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8FE32" w14:textId="77777777" w:rsidR="002D0AE7" w:rsidRDefault="00333EBB">
      <w:pPr>
        <w:spacing w:beforeLines="50" w:before="120" w:afterLines="50" w:after="120"/>
        <w:rPr>
          <w:rFonts w:hint="eastAsia"/>
          <w:bCs/>
          <w:color w:val="000000" w:themeColor="text1"/>
        </w:rPr>
      </w:pPr>
      <w:r>
        <w:rPr>
          <w:rFonts w:hint="eastAsia"/>
          <w:color w:val="000000" w:themeColor="text1"/>
        </w:rPr>
        <w:t>公司代码：</w:t>
      </w:r>
      <w:sdt>
        <w:sdtPr>
          <w:rPr>
            <w:rFonts w:hint="eastAsia"/>
            <w:bCs/>
          </w:rPr>
          <w:alias w:val="公司代码"/>
          <w:tag w:val="_GBC_704b7b03ea3f4a93b8d4655a09b2ff61"/>
          <w:id w:val="763266353"/>
          <w:placeholder>
            <w:docPart w:val="GBC22222222222222222222222222222"/>
          </w:placeholder>
        </w:sdtPr>
        <w:sdtEndPr/>
        <w:sdtContent>
          <w:r>
            <w:rPr>
              <w:bCs/>
            </w:rPr>
            <w:t>600488</w:t>
          </w:r>
          <w:r>
            <w:rPr>
              <w:rFonts w:hint="eastAsia"/>
              <w:bCs/>
            </w:rPr>
            <w:t xml:space="preserve">                                       </w:t>
          </w:r>
        </w:sdtContent>
      </w:sdt>
      <w:r>
        <w:rPr>
          <w:rFonts w:hint="eastAsia"/>
          <w:color w:val="000000" w:themeColor="text1"/>
        </w:rPr>
        <w:t>公司简称：</w:t>
      </w:r>
      <w:sdt>
        <w:sdtPr>
          <w:rPr>
            <w:rFonts w:hint="eastAsia"/>
            <w:bCs/>
          </w:rPr>
          <w:alias w:val="公司简称"/>
          <w:tag w:val="_GBC_0384ae715a1e4b4894a29e4d27f5bef4"/>
          <w:id w:val="416913415"/>
          <w:placeholder>
            <w:docPart w:val="GBC22222222222222222222222222222"/>
          </w:placeholder>
        </w:sdtPr>
        <w:sdtEndPr/>
        <w:sdtContent>
          <w:r>
            <w:rPr>
              <w:rFonts w:hint="eastAsia"/>
              <w:bCs/>
            </w:rPr>
            <w:t>津药药业</w:t>
          </w:r>
        </w:sdtContent>
      </w:sdt>
    </w:p>
    <w:p w14:paraId="7E9CAFC2" w14:textId="77777777" w:rsidR="002D0AE7" w:rsidRDefault="002D0AE7">
      <w:pPr>
        <w:rPr>
          <w:rFonts w:hint="eastAsia"/>
          <w:color w:val="000000" w:themeColor="text1"/>
        </w:rPr>
      </w:pPr>
    </w:p>
    <w:p w14:paraId="5C0F9F62" w14:textId="77777777" w:rsidR="002D0AE7" w:rsidRDefault="002D0AE7">
      <w:pPr>
        <w:rPr>
          <w:rFonts w:hint="eastAsia"/>
          <w:color w:val="000000" w:themeColor="text1"/>
        </w:rPr>
      </w:pPr>
    </w:p>
    <w:p w14:paraId="5E6260D2" w14:textId="77777777" w:rsidR="002D0AE7" w:rsidRDefault="002D0AE7">
      <w:pPr>
        <w:rPr>
          <w:rFonts w:hint="eastAsia"/>
          <w:color w:val="000000" w:themeColor="text1"/>
        </w:rPr>
      </w:pPr>
    </w:p>
    <w:p w14:paraId="7F29398B" w14:textId="77777777" w:rsidR="002D0AE7" w:rsidRDefault="002D0AE7">
      <w:pPr>
        <w:rPr>
          <w:rFonts w:hint="eastAsia"/>
          <w:color w:val="000000" w:themeColor="text1"/>
        </w:rPr>
      </w:pPr>
    </w:p>
    <w:p w14:paraId="6B9180DB" w14:textId="77777777" w:rsidR="002D0AE7" w:rsidRDefault="002D0AE7">
      <w:pPr>
        <w:rPr>
          <w:rFonts w:hint="eastAsia"/>
          <w:color w:val="000000" w:themeColor="text1"/>
        </w:rPr>
      </w:pPr>
    </w:p>
    <w:p w14:paraId="48093909" w14:textId="77777777" w:rsidR="002D0AE7" w:rsidRDefault="002D0AE7">
      <w:pPr>
        <w:rPr>
          <w:rFonts w:hint="eastAsia"/>
          <w:color w:val="FF0000"/>
        </w:rPr>
      </w:pPr>
    </w:p>
    <w:p w14:paraId="24DDE244" w14:textId="77777777" w:rsidR="002D0AE7" w:rsidRDefault="002D0AE7">
      <w:pPr>
        <w:rPr>
          <w:rFonts w:hint="eastAsia"/>
          <w:color w:val="FF0000"/>
        </w:rPr>
      </w:pPr>
    </w:p>
    <w:p w14:paraId="6F3E15EE" w14:textId="77777777" w:rsidR="002D0AE7" w:rsidRDefault="00333EBB">
      <w:pPr>
        <w:jc w:val="center"/>
        <w:rPr>
          <w:rFonts w:ascii="黑体" w:eastAsia="黑体" w:hAnsi="黑体" w:hint="eastAsia"/>
          <w:b/>
          <w:bCs/>
          <w:color w:val="FF0000"/>
          <w:sz w:val="44"/>
          <w:szCs w:val="44"/>
        </w:rPr>
      </w:pPr>
      <w:sdt>
        <w:sdtPr>
          <w:rPr>
            <w:rFonts w:ascii="黑体" w:eastAsia="黑体" w:hAnsi="黑体" w:hint="eastAsia"/>
            <w:b/>
            <w:bCs/>
            <w:color w:val="FF0000"/>
            <w:sz w:val="44"/>
            <w:szCs w:val="44"/>
          </w:rPr>
          <w:alias w:val="公司法定中文名称"/>
          <w:tag w:val="_GBC_ef279e32efc14c6bb521c62ff1f265ba"/>
          <w:id w:val="-1823963508"/>
          <w:placeholder>
            <w:docPart w:val="GBC22222222222222222222222222222"/>
          </w:placeholder>
          <w:dataBinding w:prefixMappings="xmlns:clcid-cgi='clcid-cgi'" w:xpath="/*/clcid-cgi:GongSiFaDingZhongWenMingCheng" w:storeItemID="{89EBAB94-44A0-46A2-B712-30D997D04A6D}"/>
          <w:text/>
        </w:sdtPr>
        <w:sdtEndPr/>
        <w:sdtContent>
          <w:r>
            <w:rPr>
              <w:rFonts w:ascii="黑体" w:eastAsia="黑体" w:hAnsi="黑体" w:hint="eastAsia"/>
              <w:b/>
              <w:bCs/>
              <w:color w:val="FF0000"/>
              <w:sz w:val="44"/>
              <w:szCs w:val="44"/>
            </w:rPr>
            <w:t>津药药业股份有限公司</w:t>
          </w:r>
        </w:sdtContent>
      </w:sdt>
    </w:p>
    <w:p w14:paraId="3BDC3363" w14:textId="77777777" w:rsidR="002D0AE7" w:rsidRDefault="00333EBB">
      <w:pPr>
        <w:jc w:val="center"/>
        <w:rPr>
          <w:rFonts w:ascii="黑体" w:eastAsia="黑体" w:hAnsi="黑体" w:hint="eastAsia"/>
          <w:b/>
          <w:bCs/>
          <w:color w:val="FF0000"/>
          <w:sz w:val="44"/>
          <w:szCs w:val="44"/>
        </w:rPr>
      </w:pPr>
      <w:r>
        <w:rPr>
          <w:rFonts w:ascii="黑体" w:eastAsia="黑体" w:hAnsi="黑体"/>
          <w:b/>
          <w:color w:val="FF0000"/>
          <w:sz w:val="44"/>
          <w:szCs w:val="44"/>
        </w:rPr>
        <w:t>2024</w:t>
      </w:r>
      <w:r>
        <w:rPr>
          <w:rFonts w:ascii="黑体" w:eastAsia="黑体" w:hAnsi="黑体"/>
          <w:b/>
          <w:color w:val="FF0000"/>
          <w:sz w:val="44"/>
          <w:szCs w:val="44"/>
        </w:rPr>
        <w:t>年</w:t>
      </w:r>
      <w:r>
        <w:rPr>
          <w:rFonts w:ascii="黑体" w:eastAsia="黑体" w:hAnsi="黑体" w:hint="eastAsia"/>
          <w:b/>
          <w:color w:val="FF0000"/>
          <w:sz w:val="44"/>
          <w:szCs w:val="44"/>
        </w:rPr>
        <w:t>半年度报告</w:t>
      </w:r>
    </w:p>
    <w:p w14:paraId="09AC3469" w14:textId="77777777" w:rsidR="002D0AE7" w:rsidRDefault="002D0AE7">
      <w:pPr>
        <w:rPr>
          <w:rFonts w:hint="eastAsia"/>
          <w:color w:val="FF0000"/>
        </w:rPr>
      </w:pPr>
    </w:p>
    <w:p w14:paraId="2E6352A6" w14:textId="77777777" w:rsidR="002D0AE7" w:rsidRDefault="002D0AE7">
      <w:pPr>
        <w:rPr>
          <w:rFonts w:hint="eastAsia"/>
          <w:color w:val="FF0000"/>
        </w:rPr>
      </w:pPr>
    </w:p>
    <w:p w14:paraId="33666E1E" w14:textId="77777777" w:rsidR="002D0AE7" w:rsidRDefault="002D0AE7">
      <w:pPr>
        <w:rPr>
          <w:rFonts w:hint="eastAsia"/>
          <w:color w:val="000000" w:themeColor="text1"/>
        </w:rPr>
      </w:pPr>
    </w:p>
    <w:p w14:paraId="7B9B3722" w14:textId="77777777" w:rsidR="002D0AE7" w:rsidRDefault="002D0AE7">
      <w:pPr>
        <w:rPr>
          <w:rFonts w:hint="eastAsia"/>
          <w:color w:val="000000" w:themeColor="text1"/>
        </w:rPr>
      </w:pPr>
    </w:p>
    <w:p w14:paraId="0C9F0313" w14:textId="77777777" w:rsidR="002D0AE7" w:rsidRDefault="002D0AE7">
      <w:pPr>
        <w:rPr>
          <w:rFonts w:hint="eastAsia"/>
          <w:color w:val="000000" w:themeColor="text1"/>
        </w:rPr>
      </w:pPr>
    </w:p>
    <w:p w14:paraId="4B459CC9" w14:textId="77777777" w:rsidR="002D0AE7" w:rsidRDefault="002D0AE7">
      <w:pPr>
        <w:rPr>
          <w:rFonts w:hint="eastAsia"/>
          <w:color w:val="000000" w:themeColor="text1"/>
        </w:rPr>
      </w:pPr>
    </w:p>
    <w:p w14:paraId="489C9D4A" w14:textId="77777777" w:rsidR="002D0AE7" w:rsidRDefault="002D0AE7">
      <w:pPr>
        <w:rPr>
          <w:rFonts w:hint="eastAsia"/>
          <w:color w:val="000000" w:themeColor="text1"/>
        </w:rPr>
      </w:pPr>
    </w:p>
    <w:p w14:paraId="3B4B0AA8" w14:textId="77777777" w:rsidR="002D0AE7" w:rsidRDefault="00333EBB">
      <w:pPr>
        <w:rPr>
          <w:rFonts w:hint="eastAsia"/>
          <w:color w:val="000000" w:themeColor="text1"/>
        </w:rPr>
      </w:pPr>
      <w:r>
        <w:rPr>
          <w:color w:val="000000" w:themeColor="text1"/>
        </w:rPr>
        <w:br w:type="page"/>
      </w:r>
    </w:p>
    <w:p w14:paraId="48E4A2A7" w14:textId="77777777" w:rsidR="002D0AE7" w:rsidRDefault="00333EBB">
      <w:pPr>
        <w:spacing w:after="280"/>
        <w:jc w:val="center"/>
        <w:rPr>
          <w:rFonts w:hint="eastAsia"/>
          <w:b/>
          <w:bCs/>
          <w:color w:val="000000" w:themeColor="text1"/>
          <w:sz w:val="28"/>
          <w:szCs w:val="28"/>
        </w:rPr>
      </w:pPr>
      <w:bookmarkStart w:id="0" w:name="_Toc387656034"/>
      <w:r>
        <w:rPr>
          <w:rFonts w:hint="eastAsia"/>
          <w:b/>
          <w:color w:val="000000" w:themeColor="text1"/>
          <w:sz w:val="28"/>
          <w:szCs w:val="28"/>
        </w:rPr>
        <w:lastRenderedPageBreak/>
        <w:t>重要提示</w:t>
      </w:r>
      <w:bookmarkEnd w:id="0"/>
    </w:p>
    <w:p w14:paraId="0640AF6C" w14:textId="77777777" w:rsidR="002D0AE7" w:rsidRDefault="00333EBB">
      <w:pPr>
        <w:pStyle w:val="2"/>
        <w:numPr>
          <w:ilvl w:val="0"/>
          <w:numId w:val="1"/>
        </w:numPr>
        <w:tabs>
          <w:tab w:val="left" w:pos="434"/>
        </w:tabs>
        <w:spacing w:before="0" w:after="0" w:line="360" w:lineRule="auto"/>
        <w:ind w:left="422" w:hangingChars="175" w:hanging="422"/>
        <w:rPr>
          <w:rFonts w:ascii="宋体" w:hAnsi="宋体" w:hint="eastAsia"/>
          <w:color w:val="000000" w:themeColor="text1"/>
        </w:rPr>
      </w:pPr>
      <w:sdt>
        <w:sdtPr>
          <w:rPr>
            <w:rFonts w:ascii="宋体" w:hAnsi="宋体" w:hint="eastAsia"/>
            <w:color w:val="000000" w:themeColor="text1"/>
          </w:rPr>
          <w:alias w:val="董事会及董事声明"/>
          <w:tag w:val="_GBC_6c6da163383e4e4c92758ff24076a138"/>
          <w:id w:val="67082816"/>
          <w:placeholder>
            <w:docPart w:val="GBC22222222222222222222222222222"/>
          </w:placeholder>
        </w:sdtPr>
        <w:sdtEndPr/>
        <w:sdtContent>
          <w:r>
            <w:rPr>
              <w:rFonts w:ascii="宋体" w:hAnsi="宋体" w:cs="宋体"/>
              <w:color w:val="000000" w:themeColor="text1"/>
            </w:rPr>
            <w:t>本公司董事会、监事会及董事、监事、高级管理人员保证</w:t>
          </w:r>
          <w:r>
            <w:rPr>
              <w:rFonts w:ascii="宋体" w:hAnsi="宋体" w:cs="宋体" w:hint="eastAsia"/>
              <w:color w:val="000000" w:themeColor="text1"/>
            </w:rPr>
            <w:t>半</w:t>
          </w:r>
          <w:r>
            <w:rPr>
              <w:rFonts w:ascii="宋体" w:hAnsi="宋体" w:cs="宋体"/>
              <w:color w:val="000000" w:themeColor="text1"/>
            </w:rPr>
            <w:t>年度报告内容的真实</w:t>
          </w:r>
          <w:r>
            <w:rPr>
              <w:rFonts w:ascii="宋体" w:hAnsi="宋体" w:cs="宋体" w:hint="eastAsia"/>
              <w:color w:val="000000" w:themeColor="text1"/>
            </w:rPr>
            <w:t>性</w:t>
          </w:r>
          <w:r>
            <w:rPr>
              <w:rFonts w:ascii="宋体" w:hAnsi="宋体" w:cs="宋体"/>
              <w:color w:val="000000" w:themeColor="text1"/>
            </w:rPr>
            <w:t>、准确</w:t>
          </w:r>
          <w:r>
            <w:rPr>
              <w:rFonts w:ascii="宋体" w:hAnsi="宋体" w:cs="宋体" w:hint="eastAsia"/>
              <w:color w:val="000000" w:themeColor="text1"/>
            </w:rPr>
            <w:t>性</w:t>
          </w:r>
          <w:r>
            <w:rPr>
              <w:rFonts w:ascii="宋体" w:hAnsi="宋体" w:cs="宋体"/>
              <w:color w:val="000000" w:themeColor="text1"/>
            </w:rPr>
            <w:t>、完整</w:t>
          </w:r>
          <w:r>
            <w:rPr>
              <w:rFonts w:ascii="宋体" w:hAnsi="宋体" w:cs="宋体" w:hint="eastAsia"/>
              <w:color w:val="000000" w:themeColor="text1"/>
            </w:rPr>
            <w:t>性</w:t>
          </w:r>
          <w:r>
            <w:rPr>
              <w:rFonts w:ascii="宋体" w:hAnsi="宋体" w:cs="宋体"/>
              <w:color w:val="000000" w:themeColor="text1"/>
            </w:rPr>
            <w:t>，不存在虚假记载、误导性陈述或重大遗漏，并承担个别和连带的法律责任。</w:t>
          </w:r>
        </w:sdtContent>
      </w:sdt>
    </w:p>
    <w:p w14:paraId="7A967209" w14:textId="77777777" w:rsidR="002D0AE7" w:rsidRDefault="00333EBB">
      <w:pPr>
        <w:pStyle w:val="2"/>
        <w:numPr>
          <w:ilvl w:val="0"/>
          <w:numId w:val="1"/>
        </w:numPr>
        <w:tabs>
          <w:tab w:val="left" w:pos="448"/>
        </w:tabs>
        <w:spacing w:before="0" w:after="0" w:line="360" w:lineRule="auto"/>
        <w:ind w:left="422" w:hangingChars="175" w:hanging="422"/>
        <w:rPr>
          <w:rFonts w:ascii="宋体" w:hAnsi="宋体" w:hint="eastAsia"/>
          <w:color w:val="000000" w:themeColor="text1"/>
        </w:rPr>
      </w:pPr>
      <w:bookmarkStart w:id="1" w:name="_Hlk106871957"/>
      <w:bookmarkEnd w:id="1"/>
      <w:r>
        <w:rPr>
          <w:rFonts w:ascii="宋体" w:hAnsi="宋体" w:hint="eastAsia"/>
          <w:color w:val="000000" w:themeColor="text1"/>
        </w:rPr>
        <w:t>公司</w:t>
      </w:r>
      <w:sdt>
        <w:sdtPr>
          <w:rPr>
            <w:rFonts w:ascii="宋体" w:hAnsi="宋体" w:hint="eastAsia"/>
            <w:color w:val="000000" w:themeColor="text1"/>
          </w:rPr>
          <w:tag w:val="_GBC_2e0ee33ebae04a83b92e8b1aa6754169"/>
          <w:id w:val="-86316922"/>
          <w:placeholder>
            <w:docPart w:val="GBC22222222222222222222222222222"/>
          </w:placeholder>
        </w:sdtPr>
        <w:sdtEndPr/>
        <w:sdtContent>
          <w:r>
            <w:rPr>
              <w:rFonts w:ascii="宋体" w:hAnsi="宋体" w:hint="eastAsia"/>
              <w:color w:val="000000" w:themeColor="text1"/>
            </w:rPr>
            <w:t>全体董事出席</w:t>
          </w:r>
        </w:sdtContent>
      </w:sdt>
      <w:r>
        <w:rPr>
          <w:rFonts w:ascii="宋体" w:hAnsi="宋体" w:hint="eastAsia"/>
          <w:color w:val="000000" w:themeColor="text1"/>
        </w:rPr>
        <w:t>董事会会议。</w:t>
      </w:r>
    </w:p>
    <w:p w14:paraId="78A1BF1F" w14:textId="77777777" w:rsidR="002D0AE7" w:rsidRDefault="00333EBB">
      <w:pPr>
        <w:pStyle w:val="2"/>
        <w:numPr>
          <w:ilvl w:val="0"/>
          <w:numId w:val="1"/>
        </w:numPr>
        <w:tabs>
          <w:tab w:val="left" w:pos="490"/>
        </w:tabs>
        <w:spacing w:before="0" w:after="0" w:line="360" w:lineRule="auto"/>
        <w:ind w:left="422" w:hangingChars="175" w:hanging="422"/>
        <w:rPr>
          <w:rFonts w:ascii="宋体" w:hAnsi="宋体" w:hint="eastAsia"/>
          <w:color w:val="000000" w:themeColor="text1"/>
        </w:rPr>
      </w:pPr>
      <w:r>
        <w:rPr>
          <w:rFonts w:ascii="宋体" w:hAnsi="宋体" w:hint="eastAsia"/>
          <w:color w:val="000000" w:themeColor="text1"/>
        </w:rPr>
        <w:t>本半年度报告</w:t>
      </w:r>
      <w:sdt>
        <w:sdtPr>
          <w:rPr>
            <w:rFonts w:ascii="宋体" w:hAnsi="宋体" w:hint="eastAsia"/>
            <w:color w:val="000000" w:themeColor="text1"/>
          </w:rPr>
          <w:tag w:val="_GBC_be15b7a71d95430e82193d4cab461623"/>
          <w:id w:val="-770544922"/>
          <w:placeholder>
            <w:docPart w:val="GBC22222222222222222222222222222"/>
          </w:placeholder>
        </w:sdtPr>
        <w:sdtEndPr/>
        <w:sdtContent>
          <w:r>
            <w:rPr>
              <w:rFonts w:ascii="宋体" w:hAnsi="宋体" w:hint="eastAsia"/>
              <w:color w:val="000000" w:themeColor="text1"/>
            </w:rPr>
            <w:t>未经审计</w:t>
          </w:r>
        </w:sdtContent>
      </w:sdt>
      <w:r>
        <w:rPr>
          <w:rFonts w:ascii="宋体" w:hAnsi="宋体" w:hint="eastAsia"/>
          <w:color w:val="000000" w:themeColor="text1"/>
        </w:rPr>
        <w:t>。</w:t>
      </w:r>
    </w:p>
    <w:p w14:paraId="702E1234" w14:textId="77777777" w:rsidR="002D0AE7" w:rsidRDefault="00333EBB">
      <w:pPr>
        <w:pStyle w:val="2"/>
        <w:numPr>
          <w:ilvl w:val="0"/>
          <w:numId w:val="1"/>
        </w:numPr>
        <w:tabs>
          <w:tab w:val="left" w:pos="434"/>
        </w:tabs>
        <w:spacing w:before="0" w:after="0" w:line="360" w:lineRule="auto"/>
        <w:ind w:left="422" w:hangingChars="175" w:hanging="422"/>
        <w:rPr>
          <w:rFonts w:ascii="宋体" w:hAnsi="宋体" w:hint="eastAsia"/>
          <w:color w:val="000000" w:themeColor="text1"/>
        </w:rPr>
      </w:pPr>
      <w:r>
        <w:rPr>
          <w:rFonts w:ascii="宋体" w:hAnsi="宋体" w:hint="eastAsia"/>
          <w:color w:val="000000" w:themeColor="text1"/>
        </w:rPr>
        <w:t>公司负责人</w:t>
      </w:r>
      <w:sdt>
        <w:sdtPr>
          <w:rPr>
            <w:rFonts w:ascii="宋体" w:hAnsi="宋体" w:hint="eastAsia"/>
            <w:color w:val="000000" w:themeColor="text1"/>
          </w:rPr>
          <w:alias w:val="公司负责人姓名"/>
          <w:tag w:val="_GBC_ee6b72f666bb497bbe8fc037096654d2"/>
          <w:id w:val="1197969919"/>
          <w:placeholder>
            <w:docPart w:val="GBC22222222222222222222222222222"/>
          </w:placeholder>
          <w:dataBinding w:prefixMappings="xmlns:clcid-mr='clcid-mr'" w:xpath="/*/clcid-mr:GongSiFuZeRenXingMing[not(@periodRef)]" w:storeItemID="{89EBAB94-44A0-46A2-B712-30D997D04A6D}"/>
          <w:text/>
        </w:sdtPr>
        <w:sdtEndPr/>
        <w:sdtContent>
          <w:r>
            <w:rPr>
              <w:rFonts w:ascii="宋体" w:hAnsi="宋体" w:hint="eastAsia"/>
              <w:color w:val="000000" w:themeColor="text1"/>
            </w:rPr>
            <w:t>李书箱</w:t>
          </w:r>
        </w:sdtContent>
      </w:sdt>
      <w:r>
        <w:rPr>
          <w:rFonts w:ascii="宋体" w:hAnsi="宋体" w:hint="eastAsia"/>
          <w:color w:val="000000" w:themeColor="text1"/>
        </w:rPr>
        <w:t>、主管会计工作负责人</w:t>
      </w:r>
      <w:sdt>
        <w:sdtPr>
          <w:rPr>
            <w:rFonts w:ascii="宋体" w:hAnsi="宋体" w:hint="eastAsia"/>
            <w:color w:val="000000" w:themeColor="text1"/>
          </w:rPr>
          <w:alias w:val="主管会计工作负责人姓名"/>
          <w:tag w:val="_GBC_51ed55c6ff134dadaa6756998c964cdf"/>
          <w:id w:val="1168059635"/>
          <w:placeholder>
            <w:docPart w:val="GBC22222222222222222222222222222"/>
          </w:placeholder>
          <w:dataBinding w:prefixMappings="xmlns:clcid-mr='clcid-mr'" w:xpath="/*/clcid-mr:ZhuGuanKuaiJiGongZuoFuZeRenXingMing[not(@periodRef)]" w:storeItemID="{89EBAB94-44A0-46A2-B712-30D997D04A6D}"/>
          <w:text/>
        </w:sdtPr>
        <w:sdtEndPr/>
        <w:sdtContent>
          <w:r>
            <w:rPr>
              <w:rFonts w:ascii="宋体" w:hAnsi="宋体" w:hint="eastAsia"/>
              <w:color w:val="000000" w:themeColor="text1"/>
            </w:rPr>
            <w:t>朱立延</w:t>
          </w:r>
        </w:sdtContent>
      </w:sdt>
      <w:r>
        <w:rPr>
          <w:rFonts w:ascii="宋体" w:hAnsi="宋体" w:hint="eastAsia"/>
          <w:color w:val="000000" w:themeColor="text1"/>
        </w:rPr>
        <w:t>及会计机构负责人（会计主管人员）</w:t>
      </w:r>
      <w:sdt>
        <w:sdtPr>
          <w:rPr>
            <w:rFonts w:ascii="宋体" w:hAnsi="宋体" w:hint="eastAsia"/>
            <w:color w:val="000000" w:themeColor="text1"/>
          </w:rPr>
          <w:alias w:val="会计机构负责人姓名"/>
          <w:tag w:val="_GBC_aa7d9e44d6e64b9abdcdefb4a3968427"/>
          <w:id w:val="-1136801258"/>
          <w:placeholder>
            <w:docPart w:val="GBC22222222222222222222222222222"/>
          </w:placeholder>
          <w:dataBinding w:prefixMappings="xmlns:clcid-mr='clcid-mr'" w:xpath="/*/clcid-mr:KuaiJiJiGouFuZeRenXingMing[not(@periodRef)]" w:storeItemID="{89EBAB94-44A0-46A2-B712-30D997D04A6D}"/>
          <w:text/>
        </w:sdtPr>
        <w:sdtEndPr/>
        <w:sdtContent>
          <w:r>
            <w:rPr>
              <w:rFonts w:ascii="宋体" w:hAnsi="宋体" w:hint="eastAsia"/>
              <w:color w:val="000000" w:themeColor="text1"/>
            </w:rPr>
            <w:t>王于飞</w:t>
          </w:r>
        </w:sdtContent>
      </w:sdt>
      <w:r>
        <w:rPr>
          <w:rFonts w:ascii="宋体" w:hAnsi="宋体" w:hint="eastAsia"/>
          <w:color w:val="000000" w:themeColor="text1"/>
        </w:rPr>
        <w:t>声明：保证半年度报告中财务报告的真实、准确、完整。</w:t>
      </w:r>
    </w:p>
    <w:p w14:paraId="327D3E2B" w14:textId="77777777" w:rsidR="002D0AE7" w:rsidRDefault="00333EBB">
      <w:pPr>
        <w:pStyle w:val="2"/>
        <w:numPr>
          <w:ilvl w:val="0"/>
          <w:numId w:val="1"/>
        </w:numPr>
        <w:tabs>
          <w:tab w:val="left" w:pos="490"/>
        </w:tabs>
        <w:spacing w:before="0" w:after="0" w:line="360" w:lineRule="auto"/>
        <w:ind w:left="422" w:hangingChars="175" w:hanging="422"/>
        <w:rPr>
          <w:rFonts w:ascii="宋体" w:hAnsi="宋体" w:hint="eastAsia"/>
          <w:color w:val="000000" w:themeColor="text1"/>
        </w:rPr>
      </w:pPr>
      <w:r>
        <w:rPr>
          <w:rFonts w:ascii="宋体" w:hAnsi="宋体"/>
          <w:color w:val="000000" w:themeColor="text1"/>
        </w:rPr>
        <w:t>董事会</w:t>
      </w:r>
      <w:r>
        <w:rPr>
          <w:color w:val="000000" w:themeColor="text1"/>
        </w:rPr>
        <w:t>决议通过的本报告期利润分配预案或公积金转增股本预案</w:t>
      </w:r>
    </w:p>
    <w:sdt>
      <w:sdtPr>
        <w:rPr>
          <w:rFonts w:hint="eastAsia"/>
          <w:color w:val="000000" w:themeColor="text1"/>
        </w:rPr>
        <w:alias w:val="经董事会审议的报告期利润分配预案或公积金转增股本预案"/>
        <w:tag w:val="_GBC_7676626d447143468bebcc8d267ec746"/>
        <w:id w:val="269437721"/>
        <w:placeholder>
          <w:docPart w:val="GBC22222222222222222222222222222"/>
        </w:placeholder>
      </w:sdtPr>
      <w:sdtEndPr>
        <w:rPr>
          <w:shd w:val="pct10" w:color="auto" w:fill="FFFFFF"/>
        </w:rPr>
      </w:sdtEndPr>
      <w:sdtContent>
        <w:p w14:paraId="09C6B30B" w14:textId="77777777" w:rsidR="002D0AE7" w:rsidRDefault="00333EBB">
          <w:pPr>
            <w:kinsoku w:val="0"/>
            <w:overflowPunct w:val="0"/>
            <w:autoSpaceDE w:val="0"/>
            <w:autoSpaceDN w:val="0"/>
            <w:adjustRightInd w:val="0"/>
            <w:snapToGrid w:val="0"/>
            <w:spacing w:line="360" w:lineRule="exact"/>
            <w:ind w:firstLineChars="300" w:firstLine="720"/>
            <w:rPr>
              <w:rFonts w:hint="eastAsia"/>
              <w:color w:val="000000" w:themeColor="text1"/>
              <w:shd w:val="pct10" w:color="auto" w:fill="FFFFFF"/>
            </w:rPr>
          </w:pPr>
          <w:r>
            <w:rPr>
              <w:rFonts w:hint="eastAsia"/>
              <w:color w:val="000000" w:themeColor="text1"/>
            </w:rPr>
            <w:t>无</w:t>
          </w:r>
        </w:p>
      </w:sdtContent>
    </w:sdt>
    <w:p w14:paraId="26CF620C" w14:textId="77777777" w:rsidR="002D0AE7" w:rsidRDefault="00333EBB">
      <w:pPr>
        <w:pStyle w:val="2"/>
        <w:numPr>
          <w:ilvl w:val="0"/>
          <w:numId w:val="1"/>
        </w:numPr>
        <w:tabs>
          <w:tab w:val="left" w:pos="504"/>
        </w:tabs>
        <w:spacing w:before="0" w:after="0" w:line="360" w:lineRule="auto"/>
        <w:ind w:left="422" w:hangingChars="175" w:hanging="422"/>
        <w:rPr>
          <w:rFonts w:ascii="宋体" w:hAnsi="宋体" w:hint="eastAsia"/>
          <w:color w:val="000000" w:themeColor="text1"/>
        </w:rPr>
      </w:pPr>
      <w:r>
        <w:rPr>
          <w:rFonts w:ascii="宋体" w:hAnsi="宋体"/>
          <w:color w:val="000000" w:themeColor="text1"/>
        </w:rPr>
        <w:t>前瞻性陈述的风险声明</w:t>
      </w:r>
    </w:p>
    <w:sdt>
      <w:sdtPr>
        <w:rPr>
          <w:color w:val="000000" w:themeColor="text1"/>
        </w:rPr>
        <w:alias w:val="是否适用：前瞻性陈述的风险声明[双击切换]"/>
        <w:tag w:val="_GBC_6a28949332914149bda7cc0225d614b7"/>
        <w:id w:val="1614859565"/>
        <w:placeholder>
          <w:docPart w:val="GBC22222222222222222222222222222"/>
        </w:placeholder>
      </w:sdtPr>
      <w:sdtEndPr/>
      <w:sdtContent>
        <w:p w14:paraId="7CF130E9"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rFonts w:hint="eastAsia"/>
          <w:color w:val="000000" w:themeColor="text1"/>
        </w:rPr>
        <w:alias w:val="公司对报告涉及未来计划等前瞻性陈述的声明"/>
        <w:tag w:val="_GBC_6511b5aecc604062ad93b5fbd25fd19b"/>
        <w:id w:val="-1434981404"/>
        <w:placeholder>
          <w:docPart w:val="GBC22222222222222222222222222222"/>
        </w:placeholder>
      </w:sdtPr>
      <w:sdtEndPr>
        <w:rPr>
          <w:shd w:val="pct10" w:color="auto" w:fill="FFFFFF"/>
        </w:rPr>
      </w:sdtEndPr>
      <w:sdtContent>
        <w:p w14:paraId="4BEE5095" w14:textId="77777777" w:rsidR="002D0AE7" w:rsidRDefault="00333EBB">
          <w:pPr>
            <w:kinsoku w:val="0"/>
            <w:overflowPunct w:val="0"/>
            <w:autoSpaceDE w:val="0"/>
            <w:autoSpaceDN w:val="0"/>
            <w:adjustRightInd w:val="0"/>
            <w:snapToGrid w:val="0"/>
            <w:spacing w:line="360" w:lineRule="exact"/>
            <w:ind w:firstLineChars="200" w:firstLine="480"/>
            <w:rPr>
              <w:rFonts w:hint="eastAsia"/>
              <w:color w:val="000000" w:themeColor="text1"/>
              <w:shd w:val="pct10" w:color="auto" w:fill="FFFFFF"/>
            </w:rPr>
          </w:pPr>
          <w:r>
            <w:rPr>
              <w:rFonts w:hint="eastAsia"/>
              <w:color w:val="000000" w:themeColor="text1"/>
            </w:rPr>
            <w:t>本期报告中涉及未来计划等前瞻性陈述，不构成公司对投资者的实质承诺，请广大投资者注意投资风险。</w:t>
          </w:r>
        </w:p>
      </w:sdtContent>
    </w:sdt>
    <w:p w14:paraId="10963A60" w14:textId="77777777" w:rsidR="002D0AE7" w:rsidRDefault="00333EBB">
      <w:pPr>
        <w:pStyle w:val="2"/>
        <w:numPr>
          <w:ilvl w:val="0"/>
          <w:numId w:val="1"/>
        </w:numPr>
        <w:tabs>
          <w:tab w:val="left" w:pos="434"/>
          <w:tab w:val="left" w:pos="644"/>
        </w:tabs>
        <w:spacing w:before="0" w:after="0" w:line="360" w:lineRule="auto"/>
        <w:ind w:left="422" w:hangingChars="175" w:hanging="422"/>
        <w:rPr>
          <w:rFonts w:ascii="宋体" w:hAnsi="宋体" w:hint="eastAsia"/>
          <w:color w:val="000000" w:themeColor="text1"/>
        </w:rPr>
      </w:pPr>
      <w:r>
        <w:rPr>
          <w:rFonts w:ascii="宋体" w:hAnsi="宋体"/>
          <w:color w:val="000000" w:themeColor="text1"/>
        </w:rPr>
        <w:t>是否存在被控股股东及其</w:t>
      </w:r>
      <w:r>
        <w:rPr>
          <w:rFonts w:ascii="宋体" w:hAnsi="宋体" w:hint="eastAsia"/>
          <w:color w:val="000000" w:themeColor="text1"/>
        </w:rPr>
        <w:t>他</w:t>
      </w:r>
      <w:r>
        <w:rPr>
          <w:rFonts w:ascii="宋体" w:hAnsi="宋体"/>
          <w:color w:val="000000" w:themeColor="text1"/>
        </w:rPr>
        <w:t>关联方非经营性占用资金情况</w:t>
      </w:r>
    </w:p>
    <w:sdt>
      <w:sdtPr>
        <w:rPr>
          <w:rFonts w:hint="eastAsia"/>
          <w:bCs/>
          <w:color w:val="000000" w:themeColor="text1"/>
        </w:rPr>
        <w:alias w:val="本公司是否存在大股东占用资金情况"/>
        <w:tag w:val="_GBC_a32400ff33ee44d89632e0d79a7f2c42"/>
        <w:id w:val="-396666725"/>
        <w:placeholder>
          <w:docPart w:val="GBC22222222222222222222222222222"/>
        </w:placeholder>
        <w:comboBox>
          <w:listItem w:displayText="是" w:value="true"/>
          <w:listItem w:displayText="否" w:value="false"/>
        </w:comboBox>
      </w:sdtPr>
      <w:sdtEndPr/>
      <w:sdtContent>
        <w:p w14:paraId="6E4A2AF9" w14:textId="77777777" w:rsidR="002D0AE7" w:rsidRDefault="00333EBB">
          <w:pPr>
            <w:kinsoku w:val="0"/>
            <w:overflowPunct w:val="0"/>
            <w:autoSpaceDE w:val="0"/>
            <w:autoSpaceDN w:val="0"/>
            <w:adjustRightInd w:val="0"/>
            <w:snapToGrid w:val="0"/>
            <w:spacing w:line="360" w:lineRule="exact"/>
            <w:ind w:firstLineChars="200" w:firstLine="480"/>
            <w:rPr>
              <w:rFonts w:hint="eastAsia"/>
              <w:bCs/>
              <w:color w:val="000000" w:themeColor="text1"/>
            </w:rPr>
          </w:pPr>
          <w:r>
            <w:rPr>
              <w:rFonts w:hint="eastAsia"/>
              <w:bCs/>
              <w:color w:val="000000" w:themeColor="text1"/>
            </w:rPr>
            <w:t>否</w:t>
          </w:r>
        </w:p>
      </w:sdtContent>
    </w:sdt>
    <w:p w14:paraId="2E5F71D8" w14:textId="77777777" w:rsidR="002D0AE7" w:rsidRDefault="00333EBB">
      <w:pPr>
        <w:pStyle w:val="2"/>
        <w:numPr>
          <w:ilvl w:val="0"/>
          <w:numId w:val="1"/>
        </w:numPr>
        <w:tabs>
          <w:tab w:val="left" w:pos="644"/>
        </w:tabs>
        <w:spacing w:before="0" w:after="0" w:line="360" w:lineRule="auto"/>
        <w:ind w:left="422" w:hangingChars="175" w:hanging="422"/>
        <w:rPr>
          <w:rFonts w:ascii="宋体" w:hAnsi="宋体" w:hint="eastAsia"/>
          <w:color w:val="000000" w:themeColor="text1"/>
        </w:rPr>
      </w:pPr>
      <w:r>
        <w:rPr>
          <w:rFonts w:ascii="宋体" w:hAnsi="宋体"/>
          <w:color w:val="000000" w:themeColor="text1"/>
        </w:rPr>
        <w:t>是否存在违反规定决策程序对外提供担保的情况</w:t>
      </w:r>
    </w:p>
    <w:sdt>
      <w:sdtPr>
        <w:rPr>
          <w:rFonts w:hint="eastAsia"/>
          <w:color w:val="000000" w:themeColor="text1"/>
        </w:rPr>
        <w:alias w:val="本公司是否存在违反规定决策程序对外提供担保的情况"/>
        <w:tag w:val="_GBC_3bc3f02bd342494aa2858bb9a39d8458"/>
        <w:id w:val="-1799594447"/>
        <w:placeholder>
          <w:docPart w:val="GBC22222222222222222222222222222"/>
        </w:placeholder>
        <w:comboBox>
          <w:listItem w:displayText="是" w:value="true"/>
          <w:listItem w:displayText="否" w:value="false"/>
        </w:comboBox>
      </w:sdtPr>
      <w:sdtEndPr/>
      <w:sdtContent>
        <w:p w14:paraId="1E9F27CA" w14:textId="77777777" w:rsidR="002D0AE7" w:rsidRDefault="00333EBB">
          <w:pPr>
            <w:ind w:firstLineChars="200" w:firstLine="480"/>
            <w:rPr>
              <w:rFonts w:hint="eastAsia"/>
              <w:color w:val="000000" w:themeColor="text1"/>
            </w:rPr>
          </w:pPr>
          <w:r>
            <w:rPr>
              <w:rFonts w:hint="eastAsia"/>
              <w:color w:val="000000" w:themeColor="text1"/>
            </w:rPr>
            <w:t>否</w:t>
          </w:r>
        </w:p>
      </w:sdtContent>
    </w:sdt>
    <w:p w14:paraId="5AC62C53" w14:textId="77777777" w:rsidR="002D0AE7" w:rsidRDefault="00333EBB">
      <w:pPr>
        <w:pStyle w:val="2"/>
        <w:numPr>
          <w:ilvl w:val="0"/>
          <w:numId w:val="1"/>
        </w:numPr>
        <w:tabs>
          <w:tab w:val="left" w:pos="644"/>
        </w:tabs>
        <w:spacing w:before="0" w:after="0" w:line="360" w:lineRule="auto"/>
        <w:ind w:left="422" w:hangingChars="175" w:hanging="422"/>
        <w:rPr>
          <w:rFonts w:ascii="宋体" w:hAnsi="宋体" w:cs="宋体" w:hint="eastAsia"/>
          <w:color w:val="000000" w:themeColor="text1"/>
          <w:kern w:val="0"/>
        </w:rPr>
      </w:pPr>
      <w:bookmarkStart w:id="2" w:name="_Hlk61881950"/>
      <w:bookmarkStart w:id="3" w:name="_Hlk72769553"/>
      <w:r>
        <w:rPr>
          <w:rFonts w:ascii="宋体" w:hAnsi="宋体" w:cs="宋体"/>
          <w:color w:val="000000" w:themeColor="text1"/>
          <w:kern w:val="0"/>
        </w:rPr>
        <w:t>是否存在半数</w:t>
      </w:r>
      <w:r>
        <w:rPr>
          <w:rFonts w:ascii="宋体" w:hAnsi="宋体" w:cs="宋体" w:hint="eastAsia"/>
          <w:color w:val="000000" w:themeColor="text1"/>
          <w:kern w:val="0"/>
        </w:rPr>
        <w:t>以上</w:t>
      </w:r>
      <w:r>
        <w:rPr>
          <w:rFonts w:ascii="宋体" w:hAnsi="宋体" w:cs="宋体"/>
          <w:color w:val="000000" w:themeColor="text1"/>
          <w:kern w:val="0"/>
        </w:rPr>
        <w:t>董事无法保证公司所披露</w:t>
      </w:r>
      <w:r>
        <w:rPr>
          <w:rFonts w:ascii="宋体" w:hAnsi="宋体" w:cs="宋体" w:hint="eastAsia"/>
          <w:color w:val="000000" w:themeColor="text1"/>
          <w:kern w:val="0"/>
        </w:rPr>
        <w:t>半</w:t>
      </w:r>
      <w:r>
        <w:rPr>
          <w:rFonts w:ascii="宋体" w:hAnsi="宋体" w:cs="宋体"/>
          <w:color w:val="000000" w:themeColor="text1"/>
          <w:kern w:val="0"/>
        </w:rPr>
        <w:t>年度报告的真实性、准确性和完整性</w:t>
      </w:r>
      <w:bookmarkEnd w:id="2"/>
    </w:p>
    <w:sdt>
      <w:sdtPr>
        <w:rPr>
          <w:rFonts w:hint="eastAsia"/>
          <w:color w:val="000000" w:themeColor="text1"/>
        </w:rPr>
        <w:alias w:val="是否存在半数以上董事无法保证公司所披露年度报告的真实性、准确性和完整性"/>
        <w:tag w:val="_GBC_016ca2a0d8c2429a89679ee7fdc015c2"/>
        <w:id w:val="-731849920"/>
        <w:placeholder>
          <w:docPart w:val="GBC22222222222222222222222222222"/>
        </w:placeholder>
        <w:comboBox>
          <w:listItem w:displayText="是" w:value="是"/>
          <w:listItem w:displayText="否" w:value="否"/>
        </w:comboBox>
      </w:sdtPr>
      <w:sdtEndPr/>
      <w:sdtContent>
        <w:p w14:paraId="7F9F51FA" w14:textId="77777777" w:rsidR="002D0AE7" w:rsidRDefault="00333EBB">
          <w:pPr>
            <w:ind w:firstLineChars="200" w:firstLine="480"/>
            <w:rPr>
              <w:rFonts w:hint="eastAsia"/>
              <w:color w:val="000000" w:themeColor="text1"/>
            </w:rPr>
          </w:pPr>
          <w:r>
            <w:rPr>
              <w:rFonts w:hint="eastAsia"/>
              <w:color w:val="000000" w:themeColor="text1"/>
            </w:rPr>
            <w:t>否</w:t>
          </w:r>
        </w:p>
      </w:sdtContent>
    </w:sdt>
    <w:bookmarkEnd w:id="3"/>
    <w:p w14:paraId="1E18DE41" w14:textId="77777777" w:rsidR="002D0AE7" w:rsidRDefault="00333EBB">
      <w:pPr>
        <w:pStyle w:val="2"/>
        <w:numPr>
          <w:ilvl w:val="0"/>
          <w:numId w:val="1"/>
        </w:numPr>
        <w:tabs>
          <w:tab w:val="left" w:pos="644"/>
        </w:tabs>
        <w:spacing w:before="0" w:after="0" w:line="360" w:lineRule="auto"/>
        <w:ind w:left="422" w:hangingChars="175" w:hanging="422"/>
        <w:rPr>
          <w:rFonts w:ascii="宋体" w:hAnsi="宋体" w:hint="eastAsia"/>
          <w:color w:val="000000" w:themeColor="text1"/>
        </w:rPr>
      </w:pPr>
      <w:r>
        <w:rPr>
          <w:rFonts w:ascii="宋体" w:hAnsi="宋体"/>
          <w:color w:val="000000" w:themeColor="text1"/>
        </w:rPr>
        <w:t>重大风险提示</w:t>
      </w:r>
    </w:p>
    <w:sdt>
      <w:sdtPr>
        <w:rPr>
          <w:rFonts w:hint="eastAsia"/>
          <w:color w:val="000000" w:themeColor="text1"/>
        </w:rPr>
        <w:alias w:val="重大风险提示"/>
        <w:tag w:val="_GBC_d0220f8592e64dd1b898937e183da1e3"/>
        <w:id w:val="-76524084"/>
        <w:placeholder>
          <w:docPart w:val="GBC22222222222222222222222222222"/>
        </w:placeholder>
      </w:sdtPr>
      <w:sdtEndPr/>
      <w:sdtContent>
        <w:p w14:paraId="3B1335F6" w14:textId="77777777" w:rsidR="002D0AE7" w:rsidRDefault="00333EBB">
          <w:pPr>
            <w:ind w:firstLineChars="200" w:firstLine="480"/>
            <w:rPr>
              <w:rFonts w:hint="eastAsia"/>
              <w:color w:val="000000" w:themeColor="text1"/>
            </w:rPr>
          </w:pPr>
          <w:r>
            <w:rPr>
              <w:rFonts w:hint="eastAsia"/>
              <w:color w:val="000000" w:themeColor="text1"/>
            </w:rPr>
            <w:t>公司已在本报告中对可能面对的风险进行了详细的分析和描述，敬请查阅第三节</w:t>
          </w:r>
          <w:r>
            <w:rPr>
              <w:color w:val="000000" w:themeColor="text1"/>
            </w:rPr>
            <w:t>管理层讨论与分析中</w:t>
          </w:r>
          <w:r>
            <w:rPr>
              <w:color w:val="000000" w:themeColor="text1"/>
            </w:rPr>
            <w:t>“</w:t>
          </w:r>
          <w:r>
            <w:rPr>
              <w:color w:val="000000" w:themeColor="text1"/>
            </w:rPr>
            <w:t>五、其他披露事项（一）可能面对的风险</w:t>
          </w:r>
          <w:r>
            <w:rPr>
              <w:color w:val="000000" w:themeColor="text1"/>
            </w:rPr>
            <w:t>”</w:t>
          </w:r>
          <w:r>
            <w:rPr>
              <w:color w:val="000000" w:themeColor="text1"/>
            </w:rPr>
            <w:t>部分内容。</w:t>
          </w:r>
        </w:p>
      </w:sdtContent>
    </w:sdt>
    <w:p w14:paraId="6B09E9BE" w14:textId="77777777" w:rsidR="002D0AE7" w:rsidRDefault="00333EBB">
      <w:pPr>
        <w:pStyle w:val="2"/>
        <w:numPr>
          <w:ilvl w:val="0"/>
          <w:numId w:val="1"/>
        </w:numPr>
        <w:tabs>
          <w:tab w:val="left" w:pos="588"/>
          <w:tab w:val="left" w:pos="644"/>
          <w:tab w:val="left" w:pos="672"/>
        </w:tabs>
        <w:spacing w:before="0" w:after="0" w:line="360" w:lineRule="auto"/>
        <w:ind w:left="422" w:hangingChars="175" w:hanging="422"/>
        <w:rPr>
          <w:rFonts w:ascii="宋体" w:hAnsi="宋体" w:hint="eastAsia"/>
          <w:color w:val="000000" w:themeColor="text1"/>
        </w:rPr>
      </w:pPr>
      <w:r>
        <w:rPr>
          <w:rFonts w:ascii="宋体" w:hAnsi="宋体" w:hint="eastAsia"/>
          <w:color w:val="000000" w:themeColor="text1"/>
        </w:rPr>
        <w:t>其他</w:t>
      </w:r>
    </w:p>
    <w:sdt>
      <w:sdtPr>
        <w:rPr>
          <w:color w:val="000000" w:themeColor="text1"/>
        </w:rPr>
        <w:alias w:val="是否适用：其他重要提示[双击切换]"/>
        <w:tag w:val="_GBC_3a91363d913942688077b069148debc5"/>
        <w:id w:val="-1046836013"/>
        <w:placeholder>
          <w:docPart w:val="GBC22222222222222222222222222222"/>
        </w:placeholder>
      </w:sdtPr>
      <w:sdtEndPr/>
      <w:sdtContent>
        <w:p w14:paraId="765913E2"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525CBAAA" w14:textId="77777777" w:rsidR="002D0AE7" w:rsidRDefault="002D0AE7">
      <w:pPr>
        <w:rPr>
          <w:rFonts w:hint="eastAsia"/>
          <w:color w:val="000000" w:themeColor="text1"/>
        </w:rPr>
        <w:sectPr w:rsidR="002D0AE7">
          <w:headerReference w:type="default" r:id="rId12"/>
          <w:footerReference w:type="default" r:id="rId13"/>
          <w:pgSz w:w="11906" w:h="16838"/>
          <w:pgMar w:top="1525" w:right="1276" w:bottom="1440" w:left="1797" w:header="855" w:footer="992" w:gutter="0"/>
          <w:cols w:space="425"/>
          <w:docGrid w:linePitch="312"/>
        </w:sectPr>
      </w:pPr>
    </w:p>
    <w:p w14:paraId="4A71E572" w14:textId="77777777" w:rsidR="002D0AE7" w:rsidRDefault="00333EBB">
      <w:pPr>
        <w:kinsoku w:val="0"/>
        <w:overflowPunct w:val="0"/>
        <w:autoSpaceDE w:val="0"/>
        <w:autoSpaceDN w:val="0"/>
        <w:adjustRightInd w:val="0"/>
        <w:snapToGrid w:val="0"/>
        <w:spacing w:line="360" w:lineRule="auto"/>
        <w:jc w:val="center"/>
        <w:rPr>
          <w:rFonts w:hint="eastAsia"/>
          <w:color w:val="000000" w:themeColor="text1"/>
        </w:rPr>
      </w:pPr>
      <w:r>
        <w:rPr>
          <w:rFonts w:hint="eastAsia"/>
          <w:b/>
          <w:color w:val="000000" w:themeColor="text1"/>
          <w:sz w:val="32"/>
          <w:szCs w:val="32"/>
        </w:rPr>
        <w:lastRenderedPageBreak/>
        <w:t>目录</w:t>
      </w:r>
      <w:r>
        <w:rPr>
          <w:color w:val="000000" w:themeColor="text1"/>
          <w:shd w:val="pct10" w:color="auto" w:fill="FFFFFF"/>
        </w:rPr>
        <w:fldChar w:fldCharType="begin"/>
      </w:r>
      <w:r>
        <w:rPr>
          <w:color w:val="000000" w:themeColor="text1"/>
          <w:shd w:val="pct10" w:color="auto" w:fill="FFFFFF"/>
        </w:rPr>
        <w:instrText xml:space="preserve"> TOC \o "1-1" \h \z \u </w:instrText>
      </w:r>
      <w:r>
        <w:rPr>
          <w:color w:val="000000" w:themeColor="text1"/>
          <w:shd w:val="pct10" w:color="auto" w:fill="FFFFFF"/>
        </w:rPr>
        <w:fldChar w:fldCharType="separate"/>
      </w:r>
    </w:p>
    <w:p w14:paraId="0E7C3084" w14:textId="77777777" w:rsidR="002D0AE7" w:rsidRDefault="00333EBB">
      <w:pPr>
        <w:pStyle w:val="31"/>
        <w:tabs>
          <w:tab w:val="left" w:pos="1050"/>
          <w:tab w:val="right" w:leader="dot" w:pos="8823"/>
        </w:tabs>
        <w:ind w:left="422" w:hanging="422"/>
        <w:rPr>
          <w:rFonts w:asciiTheme="minorHAnsi" w:eastAsiaTheme="minorEastAsia" w:hAnsiTheme="minorHAnsi" w:cstheme="minorBidi"/>
          <w:b/>
          <w:bCs/>
          <w:caps/>
          <w:color w:val="000000" w:themeColor="text1"/>
          <w:szCs w:val="22"/>
          <w14:ligatures w14:val="standardContextual"/>
        </w:rPr>
      </w:pPr>
      <w:hyperlink w:anchor="_Toc142578255" w:history="1">
        <w:r>
          <w:rPr>
            <w:rFonts w:ascii="黑体" w:hAnsi="黑体"/>
            <w:color w:val="000000" w:themeColor="text1"/>
          </w:rPr>
          <w:t>第一节</w:t>
        </w:r>
        <w:r>
          <w:rPr>
            <w:rFonts w:asciiTheme="minorHAnsi" w:eastAsiaTheme="minorEastAsia" w:hAnsiTheme="minorHAnsi" w:cstheme="minorBidi"/>
            <w:bCs/>
            <w:color w:val="000000" w:themeColor="text1"/>
            <w:szCs w:val="22"/>
            <w14:ligatures w14:val="standardContextual"/>
          </w:rPr>
          <w:tab/>
        </w:r>
        <w:r>
          <w:rPr>
            <w:rFonts w:ascii="黑体" w:hAnsi="黑体"/>
            <w:color w:val="000000" w:themeColor="text1"/>
          </w:rPr>
          <w:t>释义</w:t>
        </w:r>
        <w:r>
          <w:rPr>
            <w:color w:val="000000" w:themeColor="text1"/>
          </w:rPr>
          <w:tab/>
        </w:r>
        <w:r>
          <w:rPr>
            <w:color w:val="000000" w:themeColor="text1"/>
          </w:rPr>
          <w:fldChar w:fldCharType="begin"/>
        </w:r>
        <w:r>
          <w:rPr>
            <w:color w:val="000000" w:themeColor="text1"/>
          </w:rPr>
          <w:instrText xml:space="preserve"> PAGEREF _Toc142578255 \h </w:instrText>
        </w:r>
        <w:r>
          <w:rPr>
            <w:color w:val="000000" w:themeColor="text1"/>
          </w:rPr>
        </w:r>
        <w:r>
          <w:rPr>
            <w:color w:val="000000" w:themeColor="text1"/>
          </w:rPr>
          <w:fldChar w:fldCharType="separate"/>
        </w:r>
        <w:r>
          <w:rPr>
            <w:color w:val="000000" w:themeColor="text1"/>
          </w:rPr>
          <w:t>4</w:t>
        </w:r>
        <w:r>
          <w:rPr>
            <w:color w:val="000000" w:themeColor="text1"/>
          </w:rPr>
          <w:fldChar w:fldCharType="end"/>
        </w:r>
      </w:hyperlink>
    </w:p>
    <w:p w14:paraId="4D5DF339" w14:textId="77777777" w:rsidR="002D0AE7" w:rsidRDefault="00333EBB">
      <w:pPr>
        <w:pStyle w:val="31"/>
        <w:tabs>
          <w:tab w:val="left" w:pos="1050"/>
          <w:tab w:val="right" w:leader="dot" w:pos="8823"/>
        </w:tabs>
        <w:ind w:left="422" w:hanging="422"/>
        <w:rPr>
          <w:rFonts w:asciiTheme="minorHAnsi" w:eastAsiaTheme="minorEastAsia" w:hAnsiTheme="minorHAnsi" w:cstheme="minorBidi"/>
          <w:b/>
          <w:bCs/>
          <w:caps/>
          <w:color w:val="000000" w:themeColor="text1"/>
          <w:szCs w:val="22"/>
          <w14:ligatures w14:val="standardContextual"/>
        </w:rPr>
      </w:pPr>
      <w:hyperlink w:anchor="_Toc142578256" w:history="1">
        <w:r>
          <w:rPr>
            <w:rFonts w:ascii="黑体" w:hAnsi="黑体"/>
            <w:color w:val="000000" w:themeColor="text1"/>
          </w:rPr>
          <w:t>第二节</w:t>
        </w:r>
        <w:r>
          <w:rPr>
            <w:rFonts w:asciiTheme="minorHAnsi" w:eastAsiaTheme="minorEastAsia" w:hAnsiTheme="minorHAnsi" w:cstheme="minorBidi"/>
            <w:bCs/>
            <w:color w:val="000000" w:themeColor="text1"/>
            <w:szCs w:val="22"/>
            <w14:ligatures w14:val="standardContextual"/>
          </w:rPr>
          <w:tab/>
        </w:r>
        <w:r>
          <w:rPr>
            <w:rFonts w:ascii="黑体" w:hAnsi="黑体"/>
            <w:color w:val="000000" w:themeColor="text1"/>
          </w:rPr>
          <w:t>公司简介和主要财务指标</w:t>
        </w:r>
        <w:r>
          <w:rPr>
            <w:color w:val="000000" w:themeColor="text1"/>
          </w:rPr>
          <w:tab/>
        </w:r>
        <w:r>
          <w:rPr>
            <w:color w:val="000000" w:themeColor="text1"/>
          </w:rPr>
          <w:fldChar w:fldCharType="begin"/>
        </w:r>
        <w:r>
          <w:rPr>
            <w:color w:val="000000" w:themeColor="text1"/>
          </w:rPr>
          <w:instrText xml:space="preserve"> PAGEREF _Toc142578256 \h </w:instrText>
        </w:r>
        <w:r>
          <w:rPr>
            <w:color w:val="000000" w:themeColor="text1"/>
          </w:rPr>
        </w:r>
        <w:r>
          <w:rPr>
            <w:color w:val="000000" w:themeColor="text1"/>
          </w:rPr>
          <w:fldChar w:fldCharType="separate"/>
        </w:r>
        <w:r>
          <w:rPr>
            <w:color w:val="000000" w:themeColor="text1"/>
          </w:rPr>
          <w:t>5</w:t>
        </w:r>
        <w:r>
          <w:rPr>
            <w:color w:val="000000" w:themeColor="text1"/>
          </w:rPr>
          <w:fldChar w:fldCharType="end"/>
        </w:r>
      </w:hyperlink>
    </w:p>
    <w:p w14:paraId="28489F2F" w14:textId="77777777" w:rsidR="002D0AE7" w:rsidRDefault="00333EBB">
      <w:pPr>
        <w:pStyle w:val="31"/>
        <w:tabs>
          <w:tab w:val="left" w:pos="1050"/>
          <w:tab w:val="right" w:leader="dot" w:pos="8823"/>
        </w:tabs>
        <w:ind w:left="422" w:hanging="422"/>
        <w:rPr>
          <w:rFonts w:asciiTheme="minorHAnsi" w:eastAsiaTheme="minorEastAsia" w:hAnsiTheme="minorHAnsi" w:cstheme="minorBidi"/>
          <w:b/>
          <w:bCs/>
          <w:caps/>
          <w:color w:val="000000" w:themeColor="text1"/>
          <w:szCs w:val="22"/>
          <w14:ligatures w14:val="standardContextual"/>
        </w:rPr>
      </w:pPr>
      <w:hyperlink w:anchor="_Toc142578257" w:history="1">
        <w:r>
          <w:rPr>
            <w:rFonts w:ascii="黑体" w:hAnsi="黑体"/>
            <w:color w:val="000000" w:themeColor="text1"/>
          </w:rPr>
          <w:t>第三节</w:t>
        </w:r>
        <w:r>
          <w:rPr>
            <w:rFonts w:asciiTheme="minorHAnsi" w:eastAsiaTheme="minorEastAsia" w:hAnsiTheme="minorHAnsi" w:cstheme="minorBidi"/>
            <w:bCs/>
            <w:color w:val="000000" w:themeColor="text1"/>
            <w:szCs w:val="22"/>
            <w14:ligatures w14:val="standardContextual"/>
          </w:rPr>
          <w:tab/>
        </w:r>
        <w:r>
          <w:rPr>
            <w:rFonts w:ascii="黑体" w:hAnsi="黑体"/>
            <w:color w:val="000000" w:themeColor="text1"/>
          </w:rPr>
          <w:t>管理层讨论与分析</w:t>
        </w:r>
        <w:r>
          <w:rPr>
            <w:color w:val="000000" w:themeColor="text1"/>
          </w:rPr>
          <w:tab/>
        </w:r>
        <w:r>
          <w:rPr>
            <w:color w:val="000000" w:themeColor="text1"/>
          </w:rPr>
          <w:fldChar w:fldCharType="begin"/>
        </w:r>
        <w:r>
          <w:rPr>
            <w:color w:val="000000" w:themeColor="text1"/>
          </w:rPr>
          <w:instrText xml:space="preserve"> PAGEREF _Toc142578257 \h </w:instrText>
        </w:r>
        <w:r>
          <w:rPr>
            <w:color w:val="000000" w:themeColor="text1"/>
          </w:rPr>
        </w:r>
        <w:r>
          <w:rPr>
            <w:color w:val="000000" w:themeColor="text1"/>
          </w:rPr>
          <w:fldChar w:fldCharType="separate"/>
        </w:r>
        <w:r>
          <w:rPr>
            <w:color w:val="000000" w:themeColor="text1"/>
          </w:rPr>
          <w:t>7</w:t>
        </w:r>
        <w:r>
          <w:rPr>
            <w:color w:val="000000" w:themeColor="text1"/>
          </w:rPr>
          <w:fldChar w:fldCharType="end"/>
        </w:r>
      </w:hyperlink>
    </w:p>
    <w:p w14:paraId="050FA0E0" w14:textId="77777777" w:rsidR="002D0AE7" w:rsidRDefault="00333EBB">
      <w:pPr>
        <w:pStyle w:val="31"/>
        <w:tabs>
          <w:tab w:val="left" w:pos="1050"/>
          <w:tab w:val="right" w:leader="dot" w:pos="8823"/>
        </w:tabs>
        <w:ind w:left="422" w:hanging="422"/>
        <w:rPr>
          <w:rFonts w:asciiTheme="minorHAnsi" w:eastAsiaTheme="minorEastAsia" w:hAnsiTheme="minorHAnsi" w:cstheme="minorBidi"/>
          <w:b/>
          <w:bCs/>
          <w:caps/>
          <w:color w:val="000000" w:themeColor="text1"/>
          <w:szCs w:val="22"/>
          <w14:ligatures w14:val="standardContextual"/>
        </w:rPr>
      </w:pPr>
      <w:hyperlink w:anchor="_Toc142578258" w:history="1">
        <w:r>
          <w:rPr>
            <w:rFonts w:ascii="黑体" w:hAnsi="黑体"/>
            <w:color w:val="000000" w:themeColor="text1"/>
          </w:rPr>
          <w:t>第四节</w:t>
        </w:r>
        <w:r>
          <w:rPr>
            <w:rFonts w:asciiTheme="minorHAnsi" w:eastAsiaTheme="minorEastAsia" w:hAnsiTheme="minorHAnsi" w:cstheme="minorBidi"/>
            <w:bCs/>
            <w:color w:val="000000" w:themeColor="text1"/>
            <w:szCs w:val="22"/>
            <w14:ligatures w14:val="standardContextual"/>
          </w:rPr>
          <w:tab/>
        </w:r>
        <w:r>
          <w:rPr>
            <w:rFonts w:ascii="黑体" w:hAnsi="黑体"/>
            <w:color w:val="000000" w:themeColor="text1"/>
          </w:rPr>
          <w:t>公司治理</w:t>
        </w:r>
        <w:r>
          <w:rPr>
            <w:color w:val="000000" w:themeColor="text1"/>
          </w:rPr>
          <w:tab/>
        </w:r>
        <w:r>
          <w:rPr>
            <w:color w:val="000000" w:themeColor="text1"/>
          </w:rPr>
          <w:fldChar w:fldCharType="begin"/>
        </w:r>
        <w:r>
          <w:rPr>
            <w:color w:val="000000" w:themeColor="text1"/>
          </w:rPr>
          <w:instrText xml:space="preserve"> PAGEREF _Toc142578258 \h </w:instrText>
        </w:r>
        <w:r>
          <w:rPr>
            <w:color w:val="000000" w:themeColor="text1"/>
          </w:rPr>
        </w:r>
        <w:r>
          <w:rPr>
            <w:color w:val="000000" w:themeColor="text1"/>
          </w:rPr>
          <w:fldChar w:fldCharType="separate"/>
        </w:r>
        <w:r>
          <w:rPr>
            <w:color w:val="000000" w:themeColor="text1"/>
          </w:rPr>
          <w:t>21</w:t>
        </w:r>
        <w:r>
          <w:rPr>
            <w:color w:val="000000" w:themeColor="text1"/>
          </w:rPr>
          <w:fldChar w:fldCharType="end"/>
        </w:r>
      </w:hyperlink>
    </w:p>
    <w:p w14:paraId="439B59D6" w14:textId="77777777" w:rsidR="002D0AE7" w:rsidRDefault="00333EBB">
      <w:pPr>
        <w:pStyle w:val="31"/>
        <w:tabs>
          <w:tab w:val="left" w:pos="1050"/>
          <w:tab w:val="right" w:leader="dot" w:pos="8823"/>
        </w:tabs>
        <w:ind w:left="422" w:hanging="422"/>
        <w:rPr>
          <w:rFonts w:asciiTheme="minorHAnsi" w:eastAsiaTheme="minorEastAsia" w:hAnsiTheme="minorHAnsi" w:cstheme="minorBidi"/>
          <w:b/>
          <w:bCs/>
          <w:caps/>
          <w:color w:val="000000" w:themeColor="text1"/>
          <w:szCs w:val="22"/>
          <w14:ligatures w14:val="standardContextual"/>
        </w:rPr>
      </w:pPr>
      <w:hyperlink w:anchor="_Toc142578259" w:history="1">
        <w:r>
          <w:rPr>
            <w:rFonts w:ascii="黑体" w:hAnsi="黑体"/>
            <w:color w:val="000000" w:themeColor="text1"/>
          </w:rPr>
          <w:t>第五节</w:t>
        </w:r>
        <w:r>
          <w:rPr>
            <w:rFonts w:asciiTheme="minorHAnsi" w:eastAsiaTheme="minorEastAsia" w:hAnsiTheme="minorHAnsi" w:cstheme="minorBidi"/>
            <w:bCs/>
            <w:color w:val="000000" w:themeColor="text1"/>
            <w:szCs w:val="22"/>
            <w14:ligatures w14:val="standardContextual"/>
          </w:rPr>
          <w:tab/>
        </w:r>
        <w:r>
          <w:rPr>
            <w:rFonts w:ascii="黑体" w:hAnsi="黑体"/>
            <w:color w:val="000000" w:themeColor="text1"/>
          </w:rPr>
          <w:t>环境与社会责任</w:t>
        </w:r>
        <w:r>
          <w:rPr>
            <w:color w:val="000000" w:themeColor="text1"/>
          </w:rPr>
          <w:tab/>
        </w:r>
        <w:r>
          <w:rPr>
            <w:color w:val="000000" w:themeColor="text1"/>
          </w:rPr>
          <w:fldChar w:fldCharType="begin"/>
        </w:r>
        <w:r>
          <w:rPr>
            <w:color w:val="000000" w:themeColor="text1"/>
          </w:rPr>
          <w:instrText xml:space="preserve"> PAGEREF _Toc142578259 \h </w:instrText>
        </w:r>
        <w:r>
          <w:rPr>
            <w:color w:val="000000" w:themeColor="text1"/>
          </w:rPr>
        </w:r>
        <w:r>
          <w:rPr>
            <w:color w:val="000000" w:themeColor="text1"/>
          </w:rPr>
          <w:fldChar w:fldCharType="separate"/>
        </w:r>
        <w:r>
          <w:rPr>
            <w:color w:val="000000" w:themeColor="text1"/>
          </w:rPr>
          <w:t>24</w:t>
        </w:r>
        <w:r>
          <w:rPr>
            <w:color w:val="000000" w:themeColor="text1"/>
          </w:rPr>
          <w:fldChar w:fldCharType="end"/>
        </w:r>
      </w:hyperlink>
    </w:p>
    <w:p w14:paraId="39D243E1" w14:textId="77777777" w:rsidR="002D0AE7" w:rsidRDefault="00333EBB">
      <w:pPr>
        <w:pStyle w:val="31"/>
        <w:tabs>
          <w:tab w:val="left" w:pos="1050"/>
          <w:tab w:val="right" w:leader="dot" w:pos="8823"/>
        </w:tabs>
        <w:ind w:left="422" w:hanging="422"/>
        <w:rPr>
          <w:rFonts w:asciiTheme="minorHAnsi" w:eastAsiaTheme="minorEastAsia" w:hAnsiTheme="minorHAnsi" w:cstheme="minorBidi"/>
          <w:b/>
          <w:bCs/>
          <w:caps/>
          <w:color w:val="000000" w:themeColor="text1"/>
          <w:szCs w:val="22"/>
          <w14:ligatures w14:val="standardContextual"/>
        </w:rPr>
      </w:pPr>
      <w:hyperlink w:anchor="_Toc142578260" w:history="1">
        <w:r>
          <w:rPr>
            <w:rFonts w:ascii="黑体" w:hAnsi="黑体"/>
            <w:color w:val="000000" w:themeColor="text1"/>
          </w:rPr>
          <w:t>第六节</w:t>
        </w:r>
        <w:r>
          <w:rPr>
            <w:rFonts w:asciiTheme="minorHAnsi" w:eastAsiaTheme="minorEastAsia" w:hAnsiTheme="minorHAnsi" w:cstheme="minorBidi"/>
            <w:bCs/>
            <w:color w:val="000000" w:themeColor="text1"/>
            <w:szCs w:val="22"/>
            <w14:ligatures w14:val="standardContextual"/>
          </w:rPr>
          <w:tab/>
        </w:r>
        <w:r>
          <w:rPr>
            <w:rFonts w:ascii="黑体" w:hAnsi="黑体"/>
            <w:color w:val="000000" w:themeColor="text1"/>
          </w:rPr>
          <w:t>重要事项</w:t>
        </w:r>
        <w:r>
          <w:rPr>
            <w:color w:val="000000" w:themeColor="text1"/>
          </w:rPr>
          <w:tab/>
        </w:r>
        <w:r>
          <w:rPr>
            <w:color w:val="000000" w:themeColor="text1"/>
          </w:rPr>
          <w:fldChar w:fldCharType="begin"/>
        </w:r>
        <w:r>
          <w:rPr>
            <w:color w:val="000000" w:themeColor="text1"/>
          </w:rPr>
          <w:instrText xml:space="preserve"> PAGEREF _Toc142578260 \h </w:instrText>
        </w:r>
        <w:r>
          <w:rPr>
            <w:color w:val="000000" w:themeColor="text1"/>
          </w:rPr>
        </w:r>
        <w:r>
          <w:rPr>
            <w:color w:val="000000" w:themeColor="text1"/>
          </w:rPr>
          <w:fldChar w:fldCharType="separate"/>
        </w:r>
        <w:r>
          <w:rPr>
            <w:color w:val="000000" w:themeColor="text1"/>
          </w:rPr>
          <w:t>37</w:t>
        </w:r>
        <w:r>
          <w:rPr>
            <w:color w:val="000000" w:themeColor="text1"/>
          </w:rPr>
          <w:fldChar w:fldCharType="end"/>
        </w:r>
      </w:hyperlink>
    </w:p>
    <w:p w14:paraId="5282E01C" w14:textId="77777777" w:rsidR="002D0AE7" w:rsidRDefault="00333EBB">
      <w:pPr>
        <w:pStyle w:val="31"/>
        <w:tabs>
          <w:tab w:val="left" w:pos="1050"/>
          <w:tab w:val="right" w:leader="dot" w:pos="8823"/>
        </w:tabs>
        <w:ind w:left="422" w:hanging="422"/>
        <w:rPr>
          <w:rFonts w:asciiTheme="minorHAnsi" w:eastAsiaTheme="minorEastAsia" w:hAnsiTheme="minorHAnsi" w:cstheme="minorBidi"/>
          <w:b/>
          <w:bCs/>
          <w:caps/>
          <w:color w:val="000000" w:themeColor="text1"/>
          <w:szCs w:val="22"/>
          <w14:ligatures w14:val="standardContextual"/>
        </w:rPr>
      </w:pPr>
      <w:hyperlink w:anchor="_Toc142578261" w:history="1">
        <w:r>
          <w:rPr>
            <w:rFonts w:ascii="黑体" w:hAnsi="黑体"/>
            <w:color w:val="000000" w:themeColor="text1"/>
          </w:rPr>
          <w:t>第七节</w:t>
        </w:r>
        <w:r>
          <w:rPr>
            <w:rFonts w:asciiTheme="minorHAnsi" w:eastAsiaTheme="minorEastAsia" w:hAnsiTheme="minorHAnsi" w:cstheme="minorBidi"/>
            <w:bCs/>
            <w:color w:val="000000" w:themeColor="text1"/>
            <w:szCs w:val="22"/>
            <w14:ligatures w14:val="standardContextual"/>
          </w:rPr>
          <w:tab/>
        </w:r>
        <w:r>
          <w:rPr>
            <w:rFonts w:ascii="黑体" w:hAnsi="黑体"/>
            <w:color w:val="000000" w:themeColor="text1"/>
          </w:rPr>
          <w:t>股份变动及股东情况</w:t>
        </w:r>
        <w:r>
          <w:rPr>
            <w:color w:val="000000" w:themeColor="text1"/>
          </w:rPr>
          <w:tab/>
        </w:r>
        <w:r>
          <w:rPr>
            <w:color w:val="000000" w:themeColor="text1"/>
          </w:rPr>
          <w:fldChar w:fldCharType="begin"/>
        </w:r>
        <w:r>
          <w:rPr>
            <w:color w:val="000000" w:themeColor="text1"/>
          </w:rPr>
          <w:instrText xml:space="preserve"> PAGEREF _Toc142578261 \h </w:instrText>
        </w:r>
        <w:r>
          <w:rPr>
            <w:color w:val="000000" w:themeColor="text1"/>
          </w:rPr>
        </w:r>
        <w:r>
          <w:rPr>
            <w:color w:val="000000" w:themeColor="text1"/>
          </w:rPr>
          <w:fldChar w:fldCharType="separate"/>
        </w:r>
        <w:r>
          <w:rPr>
            <w:color w:val="000000" w:themeColor="text1"/>
          </w:rPr>
          <w:t>43</w:t>
        </w:r>
        <w:r>
          <w:rPr>
            <w:color w:val="000000" w:themeColor="text1"/>
          </w:rPr>
          <w:fldChar w:fldCharType="end"/>
        </w:r>
      </w:hyperlink>
    </w:p>
    <w:p w14:paraId="01DC760E" w14:textId="77777777" w:rsidR="002D0AE7" w:rsidRDefault="00333EBB">
      <w:pPr>
        <w:pStyle w:val="31"/>
        <w:tabs>
          <w:tab w:val="left" w:pos="1050"/>
          <w:tab w:val="right" w:leader="dot" w:pos="8823"/>
        </w:tabs>
        <w:ind w:left="422" w:hanging="422"/>
        <w:rPr>
          <w:rFonts w:asciiTheme="minorHAnsi" w:eastAsiaTheme="minorEastAsia" w:hAnsiTheme="minorHAnsi" w:cstheme="minorBidi"/>
          <w:b/>
          <w:bCs/>
          <w:caps/>
          <w:color w:val="000000" w:themeColor="text1"/>
          <w:szCs w:val="22"/>
          <w14:ligatures w14:val="standardContextual"/>
        </w:rPr>
      </w:pPr>
      <w:hyperlink w:anchor="_Toc142578262" w:history="1">
        <w:r>
          <w:rPr>
            <w:rFonts w:ascii="黑体" w:hAnsi="黑体"/>
            <w:color w:val="000000" w:themeColor="text1"/>
          </w:rPr>
          <w:t>第八节</w:t>
        </w:r>
        <w:r>
          <w:rPr>
            <w:rFonts w:asciiTheme="minorHAnsi" w:eastAsiaTheme="minorEastAsia" w:hAnsiTheme="minorHAnsi" w:cstheme="minorBidi"/>
            <w:bCs/>
            <w:color w:val="000000" w:themeColor="text1"/>
            <w:szCs w:val="22"/>
            <w14:ligatures w14:val="standardContextual"/>
          </w:rPr>
          <w:tab/>
        </w:r>
        <w:r>
          <w:rPr>
            <w:rFonts w:ascii="黑体" w:hAnsi="黑体"/>
            <w:color w:val="000000" w:themeColor="text1"/>
          </w:rPr>
          <w:t>优先股相关情况</w:t>
        </w:r>
        <w:r>
          <w:rPr>
            <w:color w:val="000000" w:themeColor="text1"/>
          </w:rPr>
          <w:tab/>
        </w:r>
        <w:r>
          <w:rPr>
            <w:color w:val="000000" w:themeColor="text1"/>
          </w:rPr>
          <w:fldChar w:fldCharType="begin"/>
        </w:r>
        <w:r>
          <w:rPr>
            <w:color w:val="000000" w:themeColor="text1"/>
          </w:rPr>
          <w:instrText xml:space="preserve"> PAGEREF _Toc142578262 \h </w:instrText>
        </w:r>
        <w:r>
          <w:rPr>
            <w:color w:val="000000" w:themeColor="text1"/>
          </w:rPr>
        </w:r>
        <w:r>
          <w:rPr>
            <w:color w:val="000000" w:themeColor="text1"/>
          </w:rPr>
          <w:fldChar w:fldCharType="separate"/>
        </w:r>
        <w:r>
          <w:rPr>
            <w:color w:val="000000" w:themeColor="text1"/>
          </w:rPr>
          <w:t>45</w:t>
        </w:r>
        <w:r>
          <w:rPr>
            <w:color w:val="000000" w:themeColor="text1"/>
          </w:rPr>
          <w:fldChar w:fldCharType="end"/>
        </w:r>
      </w:hyperlink>
    </w:p>
    <w:p w14:paraId="01A9AF70" w14:textId="77777777" w:rsidR="002D0AE7" w:rsidRDefault="00333EBB">
      <w:pPr>
        <w:pStyle w:val="31"/>
        <w:tabs>
          <w:tab w:val="left" w:pos="1050"/>
          <w:tab w:val="right" w:leader="dot" w:pos="8823"/>
        </w:tabs>
        <w:ind w:left="422" w:hanging="422"/>
        <w:rPr>
          <w:rFonts w:asciiTheme="minorHAnsi" w:eastAsiaTheme="minorEastAsia" w:hAnsiTheme="minorHAnsi" w:cstheme="minorBidi"/>
          <w:b/>
          <w:bCs/>
          <w:caps/>
          <w:color w:val="000000" w:themeColor="text1"/>
          <w:szCs w:val="22"/>
          <w14:ligatures w14:val="standardContextual"/>
        </w:rPr>
      </w:pPr>
      <w:hyperlink w:anchor="_Toc142578263" w:history="1">
        <w:r>
          <w:rPr>
            <w:rFonts w:ascii="黑体" w:hAnsi="黑体"/>
            <w:color w:val="000000" w:themeColor="text1"/>
          </w:rPr>
          <w:t>第九节</w:t>
        </w:r>
        <w:r>
          <w:rPr>
            <w:rFonts w:asciiTheme="minorHAnsi" w:eastAsiaTheme="minorEastAsia" w:hAnsiTheme="minorHAnsi" w:cstheme="minorBidi"/>
            <w:bCs/>
            <w:color w:val="000000" w:themeColor="text1"/>
            <w:szCs w:val="22"/>
            <w14:ligatures w14:val="standardContextual"/>
          </w:rPr>
          <w:tab/>
        </w:r>
        <w:r>
          <w:rPr>
            <w:rFonts w:ascii="黑体" w:hAnsi="黑体"/>
            <w:color w:val="000000" w:themeColor="text1"/>
          </w:rPr>
          <w:t>债券相关情况</w:t>
        </w:r>
        <w:r>
          <w:rPr>
            <w:color w:val="000000" w:themeColor="text1"/>
          </w:rPr>
          <w:tab/>
        </w:r>
        <w:r>
          <w:rPr>
            <w:color w:val="000000" w:themeColor="text1"/>
          </w:rPr>
          <w:fldChar w:fldCharType="begin"/>
        </w:r>
        <w:r>
          <w:rPr>
            <w:color w:val="000000" w:themeColor="text1"/>
          </w:rPr>
          <w:instrText xml:space="preserve"> PAGEREF _Toc142578263 \h </w:instrText>
        </w:r>
        <w:r>
          <w:rPr>
            <w:color w:val="000000" w:themeColor="text1"/>
          </w:rPr>
        </w:r>
        <w:r>
          <w:rPr>
            <w:color w:val="000000" w:themeColor="text1"/>
          </w:rPr>
          <w:fldChar w:fldCharType="separate"/>
        </w:r>
        <w:r>
          <w:rPr>
            <w:color w:val="000000" w:themeColor="text1"/>
          </w:rPr>
          <w:t>45</w:t>
        </w:r>
        <w:r>
          <w:rPr>
            <w:color w:val="000000" w:themeColor="text1"/>
          </w:rPr>
          <w:fldChar w:fldCharType="end"/>
        </w:r>
      </w:hyperlink>
    </w:p>
    <w:p w14:paraId="65BBFF94" w14:textId="77777777" w:rsidR="002D0AE7" w:rsidRDefault="00333EBB">
      <w:pPr>
        <w:pStyle w:val="31"/>
        <w:tabs>
          <w:tab w:val="left" w:pos="1050"/>
          <w:tab w:val="right" w:leader="dot" w:pos="8823"/>
        </w:tabs>
        <w:ind w:left="422" w:hanging="422"/>
        <w:rPr>
          <w:rFonts w:asciiTheme="minorHAnsi" w:eastAsiaTheme="minorEastAsia" w:hAnsiTheme="minorHAnsi" w:cstheme="minorBidi"/>
          <w:b/>
          <w:bCs/>
          <w:caps/>
          <w:color w:val="000000" w:themeColor="text1"/>
          <w:szCs w:val="22"/>
          <w14:ligatures w14:val="standardContextual"/>
        </w:rPr>
      </w:pPr>
      <w:hyperlink w:anchor="_Toc142578264" w:history="1">
        <w:r>
          <w:rPr>
            <w:rFonts w:ascii="黑体" w:hAnsi="黑体"/>
            <w:color w:val="000000" w:themeColor="text1"/>
          </w:rPr>
          <w:t>第十节</w:t>
        </w:r>
        <w:r>
          <w:rPr>
            <w:rFonts w:asciiTheme="minorHAnsi" w:eastAsiaTheme="minorEastAsia" w:hAnsiTheme="minorHAnsi" w:cstheme="minorBidi"/>
            <w:bCs/>
            <w:color w:val="000000" w:themeColor="text1"/>
            <w:szCs w:val="22"/>
            <w14:ligatures w14:val="standardContextual"/>
          </w:rPr>
          <w:tab/>
        </w:r>
        <w:r>
          <w:rPr>
            <w:rFonts w:ascii="黑体" w:hAnsi="黑体"/>
            <w:color w:val="000000" w:themeColor="text1"/>
          </w:rPr>
          <w:t>财务报告</w:t>
        </w:r>
        <w:r>
          <w:rPr>
            <w:color w:val="000000" w:themeColor="text1"/>
          </w:rPr>
          <w:tab/>
        </w:r>
        <w:r>
          <w:rPr>
            <w:color w:val="000000" w:themeColor="text1"/>
          </w:rPr>
          <w:fldChar w:fldCharType="begin"/>
        </w:r>
        <w:r>
          <w:rPr>
            <w:color w:val="000000" w:themeColor="text1"/>
          </w:rPr>
          <w:instrText xml:space="preserve"> PAGEREF _Toc142578264 \h </w:instrText>
        </w:r>
        <w:r>
          <w:rPr>
            <w:color w:val="000000" w:themeColor="text1"/>
          </w:rPr>
        </w:r>
        <w:r>
          <w:rPr>
            <w:color w:val="000000" w:themeColor="text1"/>
          </w:rPr>
          <w:fldChar w:fldCharType="separate"/>
        </w:r>
        <w:r>
          <w:rPr>
            <w:color w:val="000000" w:themeColor="text1"/>
          </w:rPr>
          <w:t>46</w:t>
        </w:r>
        <w:r>
          <w:rPr>
            <w:color w:val="000000" w:themeColor="text1"/>
          </w:rPr>
          <w:fldChar w:fldCharType="end"/>
        </w:r>
      </w:hyperlink>
    </w:p>
    <w:p w14:paraId="7848C1D3" w14:textId="77777777" w:rsidR="002D0AE7" w:rsidRDefault="00333EBB">
      <w:pPr>
        <w:kinsoku w:val="0"/>
        <w:overflowPunct w:val="0"/>
        <w:autoSpaceDE w:val="0"/>
        <w:autoSpaceDN w:val="0"/>
        <w:adjustRightInd w:val="0"/>
        <w:snapToGrid w:val="0"/>
        <w:spacing w:line="360" w:lineRule="auto"/>
        <w:jc w:val="center"/>
        <w:rPr>
          <w:rFonts w:hint="eastAsia"/>
          <w:color w:val="000000" w:themeColor="text1"/>
          <w:shd w:val="pct10" w:color="auto" w:fill="FFFFFF"/>
        </w:rPr>
      </w:pPr>
      <w:r>
        <w:rPr>
          <w:color w:val="000000" w:themeColor="text1"/>
          <w:shd w:val="pct10" w:color="auto" w:fill="FFFFFF"/>
        </w:rPr>
        <w:fldChar w:fldCharType="end"/>
      </w:r>
      <w:bookmarkStart w:id="4" w:name="_Hlk76111741"/>
    </w:p>
    <w:tbl>
      <w:tblPr>
        <w:tblW w:w="5340" w:type="pct"/>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547"/>
        <w:gridCol w:w="7876"/>
      </w:tblGrid>
      <w:sdt>
        <w:sdtPr>
          <w:rPr>
            <w:color w:val="000000" w:themeColor="text1"/>
          </w:rPr>
          <w:alias w:val="备查文件情况"/>
          <w:tag w:val="_TUP_d1defbbd2758417a8ea21948dd35feef"/>
          <w:id w:val="2091107178"/>
          <w:placeholder>
            <w:docPart w:val="GBC11111111111111111111111111111"/>
          </w:placeholder>
        </w:sdtPr>
        <w:sdtEndPr/>
        <w:sdtContent>
          <w:tr w:rsidR="002D0AE7" w14:paraId="70176537" w14:textId="77777777">
            <w:trPr>
              <w:cantSplit/>
            </w:trPr>
            <w:tc>
              <w:tcPr>
                <w:tcW w:w="821" w:type="pct"/>
                <w:vMerge w:val="restart"/>
                <w:tcBorders>
                  <w:top w:val="single" w:sz="4" w:space="0" w:color="auto"/>
                  <w:left w:val="single" w:sz="4" w:space="0" w:color="auto"/>
                  <w:bottom w:val="single" w:sz="4" w:space="0" w:color="auto"/>
                  <w:right w:val="single" w:sz="4" w:space="0" w:color="auto"/>
                </w:tcBorders>
                <w:vAlign w:val="center"/>
              </w:tcPr>
              <w:sdt>
                <w:sdtPr>
                  <w:rPr>
                    <w:color w:val="000000" w:themeColor="text1"/>
                  </w:rPr>
                  <w:tag w:val="_PLD_4dedc5664132424db8ffece735208815"/>
                  <w:id w:val="-352574909"/>
                </w:sdtPr>
                <w:sdtEndPr/>
                <w:sdtContent>
                  <w:p w14:paraId="1A40AC6C" w14:textId="77777777" w:rsidR="002D0AE7" w:rsidRDefault="00333EBB">
                    <w:pPr>
                      <w:autoSpaceDE w:val="0"/>
                      <w:autoSpaceDN w:val="0"/>
                      <w:adjustRightInd w:val="0"/>
                      <w:jc w:val="center"/>
                      <w:rPr>
                        <w:rFonts w:hint="eastAsia"/>
                        <w:color w:val="000000" w:themeColor="text1"/>
                      </w:rPr>
                    </w:pPr>
                    <w:r>
                      <w:rPr>
                        <w:color w:val="000000" w:themeColor="text1"/>
                      </w:rPr>
                      <w:t>备查文件目录</w:t>
                    </w:r>
                  </w:p>
                </w:sdtContent>
              </w:sdt>
            </w:tc>
            <w:sdt>
              <w:sdtPr>
                <w:rPr>
                  <w:color w:val="000000" w:themeColor="text1"/>
                </w:rPr>
                <w:alias w:val="备查文件目录"/>
                <w:tag w:val="_GBC_b75b724a20654c669c9ce009a20dc247"/>
                <w:id w:val="-1208712605"/>
              </w:sdtPr>
              <w:sdtEndPr/>
              <w:sdtContent>
                <w:tc>
                  <w:tcPr>
                    <w:tcW w:w="4179" w:type="pct"/>
                    <w:tcBorders>
                      <w:top w:val="single" w:sz="4" w:space="0" w:color="auto"/>
                      <w:left w:val="single" w:sz="4" w:space="0" w:color="auto"/>
                      <w:bottom w:val="single" w:sz="4" w:space="0" w:color="auto"/>
                      <w:right w:val="single" w:sz="4" w:space="0" w:color="auto"/>
                    </w:tcBorders>
                  </w:tcPr>
                  <w:p w14:paraId="3E236CF2" w14:textId="77777777" w:rsidR="002D0AE7" w:rsidRDefault="00333EBB">
                    <w:pPr>
                      <w:autoSpaceDE w:val="0"/>
                      <w:autoSpaceDN w:val="0"/>
                      <w:adjustRightInd w:val="0"/>
                      <w:rPr>
                        <w:rFonts w:hint="eastAsia"/>
                        <w:color w:val="000000" w:themeColor="text1"/>
                      </w:rPr>
                    </w:pPr>
                    <w:r>
                      <w:rPr>
                        <w:rFonts w:hint="eastAsia"/>
                        <w:color w:val="000000" w:themeColor="text1"/>
                      </w:rPr>
                      <w:t>载有法定代表人、主管财务工作负责人、会计机构负责人亲笔签字并盖章的财务报表。</w:t>
                    </w:r>
                  </w:p>
                </w:tc>
              </w:sdtContent>
            </w:sdt>
          </w:tr>
        </w:sdtContent>
      </w:sdt>
      <w:tr w:rsidR="002D0AE7" w14:paraId="43729344" w14:textId="77777777">
        <w:trPr>
          <w:cantSplit/>
        </w:trPr>
        <w:tc>
          <w:tcPr>
            <w:tcW w:w="821" w:type="pct"/>
            <w:vMerge/>
            <w:tcBorders>
              <w:top w:val="single" w:sz="4" w:space="0" w:color="auto"/>
              <w:left w:val="single" w:sz="4" w:space="0" w:color="auto"/>
              <w:bottom w:val="single" w:sz="4" w:space="0" w:color="auto"/>
              <w:right w:val="single" w:sz="4" w:space="0" w:color="auto"/>
            </w:tcBorders>
            <w:vAlign w:val="center"/>
          </w:tcPr>
          <w:p w14:paraId="4C92DEFF" w14:textId="77777777" w:rsidR="002D0AE7" w:rsidRDefault="002D0AE7">
            <w:pPr>
              <w:rPr>
                <w:rFonts w:hint="eastAsia"/>
              </w:rPr>
            </w:pPr>
          </w:p>
        </w:tc>
        <w:tc>
          <w:tcPr>
            <w:tcW w:w="4179" w:type="pct"/>
            <w:tcBorders>
              <w:top w:val="single" w:sz="4" w:space="0" w:color="auto"/>
              <w:left w:val="single" w:sz="4" w:space="0" w:color="auto"/>
              <w:bottom w:val="single" w:sz="4" w:space="0" w:color="auto"/>
              <w:right w:val="single" w:sz="4" w:space="0" w:color="auto"/>
            </w:tcBorders>
          </w:tcPr>
          <w:p w14:paraId="3981CBC2" w14:textId="77777777" w:rsidR="002D0AE7" w:rsidRDefault="00333EBB">
            <w:pPr>
              <w:autoSpaceDE w:val="0"/>
              <w:autoSpaceDN w:val="0"/>
              <w:adjustRightInd w:val="0"/>
              <w:rPr>
                <w:rFonts w:hint="eastAsia"/>
                <w:color w:val="000000" w:themeColor="text1"/>
              </w:rPr>
            </w:pPr>
            <w:r>
              <w:rPr>
                <w:rFonts w:hint="eastAsia"/>
                <w:color w:val="000000" w:themeColor="text1"/>
              </w:rPr>
              <w:t>报告期内在中国证监会指定报刊上公开披露过的所有公司文件的正本及公告原稿。</w:t>
            </w:r>
          </w:p>
        </w:tc>
      </w:tr>
    </w:tbl>
    <w:p w14:paraId="1D885D9D" w14:textId="77777777" w:rsidR="002D0AE7" w:rsidRDefault="002D0AE7">
      <w:pPr>
        <w:spacing w:line="360" w:lineRule="exact"/>
        <w:jc w:val="right"/>
        <w:rPr>
          <w:rFonts w:hint="eastAsia"/>
          <w:color w:val="000000" w:themeColor="text1"/>
        </w:rPr>
      </w:pPr>
    </w:p>
    <w:bookmarkEnd w:id="4"/>
    <w:p w14:paraId="137C1592" w14:textId="77777777" w:rsidR="002D0AE7" w:rsidRDefault="002D0AE7">
      <w:pPr>
        <w:kinsoku w:val="0"/>
        <w:overflowPunct w:val="0"/>
        <w:autoSpaceDE w:val="0"/>
        <w:autoSpaceDN w:val="0"/>
        <w:adjustRightInd w:val="0"/>
        <w:snapToGrid w:val="0"/>
        <w:spacing w:line="360" w:lineRule="exact"/>
        <w:rPr>
          <w:rFonts w:hint="eastAsia"/>
          <w:color w:val="000000" w:themeColor="text1"/>
          <w:shd w:val="pct10" w:color="auto" w:fill="FFFFFF"/>
        </w:rPr>
      </w:pPr>
    </w:p>
    <w:p w14:paraId="1A544B19" w14:textId="77777777" w:rsidR="002D0AE7" w:rsidRDefault="00333EBB">
      <w:pPr>
        <w:rPr>
          <w:rFonts w:hint="eastAsia"/>
          <w:color w:val="000000" w:themeColor="text1"/>
        </w:rPr>
      </w:pPr>
      <w:r>
        <w:rPr>
          <w:color w:val="000000" w:themeColor="text1"/>
        </w:rPr>
        <w:br w:type="page"/>
      </w:r>
    </w:p>
    <w:p w14:paraId="2ED1B561" w14:textId="77777777" w:rsidR="002D0AE7" w:rsidRDefault="00333EBB">
      <w:pPr>
        <w:pStyle w:val="1"/>
        <w:numPr>
          <w:ilvl w:val="0"/>
          <w:numId w:val="2"/>
        </w:numPr>
        <w:rPr>
          <w:rFonts w:ascii="黑体" w:hAnsi="黑体" w:hint="eastAsia"/>
          <w:color w:val="000000" w:themeColor="text1"/>
        </w:rPr>
      </w:pPr>
      <w:bookmarkStart w:id="5" w:name="_Toc76114272"/>
      <w:bookmarkStart w:id="6" w:name="_Toc142578255"/>
      <w:bookmarkStart w:id="7" w:name="_Toc342565880"/>
      <w:r>
        <w:rPr>
          <w:rFonts w:ascii="黑体" w:hAnsi="黑体" w:hint="eastAsia"/>
          <w:color w:val="000000" w:themeColor="text1"/>
        </w:rPr>
        <w:lastRenderedPageBreak/>
        <w:t>释义</w:t>
      </w:r>
      <w:bookmarkEnd w:id="5"/>
      <w:bookmarkEnd w:id="6"/>
    </w:p>
    <w:p w14:paraId="3E282607" w14:textId="77777777" w:rsidR="002D0AE7" w:rsidRDefault="00333EBB">
      <w:pPr>
        <w:rPr>
          <w:rFonts w:hint="eastAsia"/>
          <w:color w:val="000000" w:themeColor="text1"/>
        </w:rPr>
      </w:pPr>
      <w:r>
        <w:rPr>
          <w:color w:val="000000" w:themeColor="text1"/>
        </w:rPr>
        <w:t>在本报告书中，除非文义另有所指，下列词语具有如下含义：</w:t>
      </w:r>
    </w:p>
    <w:tbl>
      <w:tblPr>
        <w:tblW w:w="9816" w:type="dxa"/>
        <w:tblInd w:w="-318" w:type="dxa"/>
        <w:tblLook w:val="04A0" w:firstRow="1" w:lastRow="0" w:firstColumn="1" w:lastColumn="0" w:noHBand="0" w:noVBand="1"/>
      </w:tblPr>
      <w:tblGrid>
        <w:gridCol w:w="2870"/>
        <w:gridCol w:w="567"/>
        <w:gridCol w:w="6379"/>
      </w:tblGrid>
      <w:tr w:rsidR="002D0AE7" w14:paraId="480E65BC" w14:textId="77777777">
        <w:sdt>
          <w:sdtPr>
            <w:rPr>
              <w:color w:val="000000" w:themeColor="text1"/>
            </w:rPr>
            <w:tag w:val="_PLD_d73bff14187b49a1b1c86b56316c5e47"/>
            <w:id w:val="1387060975"/>
          </w:sdtPr>
          <w:sdtEndPr/>
          <w:sdtContent>
            <w:tc>
              <w:tcPr>
                <w:tcW w:w="9816" w:type="dxa"/>
                <w:gridSpan w:val="3"/>
                <w:tcBorders>
                  <w:bottom w:val="single" w:sz="4" w:space="0" w:color="auto"/>
                </w:tcBorders>
              </w:tcPr>
              <w:p w14:paraId="2547A194" w14:textId="77777777" w:rsidR="002D0AE7" w:rsidRDefault="00333EBB">
                <w:pPr>
                  <w:rPr>
                    <w:rFonts w:hint="eastAsia"/>
                    <w:color w:val="000000" w:themeColor="text1"/>
                  </w:rPr>
                </w:pPr>
                <w:r>
                  <w:rPr>
                    <w:color w:val="000000" w:themeColor="text1"/>
                  </w:rPr>
                  <w:t>常用词语释义</w:t>
                </w:r>
              </w:p>
            </w:tc>
          </w:sdtContent>
        </w:sdt>
      </w:tr>
      <w:tr w:rsidR="002D0AE7" w14:paraId="09913217" w14:textId="77777777">
        <w:tc>
          <w:tcPr>
            <w:tcW w:w="2870" w:type="dxa"/>
            <w:tcBorders>
              <w:top w:val="single" w:sz="4" w:space="0" w:color="auto"/>
              <w:left w:val="single" w:sz="4" w:space="0" w:color="auto"/>
              <w:bottom w:val="single" w:sz="4" w:space="0" w:color="auto"/>
              <w:right w:val="single" w:sz="4" w:space="0" w:color="auto"/>
            </w:tcBorders>
          </w:tcPr>
          <w:p w14:paraId="6B61B543" w14:textId="77777777" w:rsidR="002D0AE7" w:rsidRDefault="00333EBB">
            <w:pPr>
              <w:rPr>
                <w:rFonts w:hint="eastAsia"/>
              </w:rPr>
            </w:pPr>
            <w:r>
              <w:t>公司、本公司、津药药业</w:t>
            </w:r>
          </w:p>
        </w:tc>
        <w:tc>
          <w:tcPr>
            <w:tcW w:w="567" w:type="dxa"/>
            <w:tcBorders>
              <w:top w:val="single" w:sz="4" w:space="0" w:color="auto"/>
              <w:left w:val="single" w:sz="4" w:space="0" w:color="auto"/>
              <w:bottom w:val="single" w:sz="4" w:space="0" w:color="auto"/>
              <w:right w:val="single" w:sz="4" w:space="0" w:color="auto"/>
            </w:tcBorders>
          </w:tcPr>
          <w:p w14:paraId="1E73AE9F" w14:textId="77777777" w:rsidR="002D0AE7" w:rsidRDefault="00333EBB">
            <w:pPr>
              <w:jc w:val="center"/>
              <w:rPr>
                <w:rFonts w:hint="eastAsia"/>
                <w:highlight w:val="lightGray"/>
              </w:rPr>
            </w:pPr>
            <w:r>
              <w:rPr>
                <w:rFonts w:hint="eastAsia"/>
              </w:rPr>
              <w:t>指</w:t>
            </w:r>
          </w:p>
        </w:tc>
        <w:tc>
          <w:tcPr>
            <w:tcW w:w="6379" w:type="dxa"/>
            <w:tcBorders>
              <w:top w:val="single" w:sz="4" w:space="0" w:color="auto"/>
              <w:left w:val="single" w:sz="4" w:space="0" w:color="auto"/>
              <w:bottom w:val="single" w:sz="4" w:space="0" w:color="auto"/>
              <w:right w:val="single" w:sz="4" w:space="0" w:color="auto"/>
            </w:tcBorders>
          </w:tcPr>
          <w:p w14:paraId="56FED729" w14:textId="77777777" w:rsidR="002D0AE7" w:rsidRDefault="00333EBB">
            <w:pPr>
              <w:rPr>
                <w:rFonts w:hint="eastAsia"/>
              </w:rPr>
            </w:pPr>
            <w:r>
              <w:rPr>
                <w:rFonts w:hint="eastAsia"/>
              </w:rPr>
              <w:t>津药药业股份有限公司</w:t>
            </w:r>
          </w:p>
        </w:tc>
      </w:tr>
      <w:tr w:rsidR="002D0AE7" w14:paraId="70D6601A" w14:textId="77777777">
        <w:tc>
          <w:tcPr>
            <w:tcW w:w="2870" w:type="dxa"/>
            <w:tcBorders>
              <w:top w:val="single" w:sz="4" w:space="0" w:color="auto"/>
              <w:left w:val="single" w:sz="4" w:space="0" w:color="auto"/>
              <w:bottom w:val="single" w:sz="4" w:space="0" w:color="auto"/>
              <w:right w:val="single" w:sz="4" w:space="0" w:color="auto"/>
            </w:tcBorders>
          </w:tcPr>
          <w:p w14:paraId="223B48F1" w14:textId="77777777" w:rsidR="002D0AE7" w:rsidRDefault="00333EBB">
            <w:pPr>
              <w:rPr>
                <w:rFonts w:hint="eastAsia"/>
              </w:rPr>
            </w:pPr>
            <w:r>
              <w:t>控股股东、药业集团</w:t>
            </w:r>
          </w:p>
        </w:tc>
        <w:tc>
          <w:tcPr>
            <w:tcW w:w="567" w:type="dxa"/>
            <w:tcBorders>
              <w:top w:val="single" w:sz="4" w:space="0" w:color="auto"/>
              <w:left w:val="single" w:sz="4" w:space="0" w:color="auto"/>
              <w:bottom w:val="single" w:sz="4" w:space="0" w:color="auto"/>
              <w:right w:val="single" w:sz="4" w:space="0" w:color="auto"/>
            </w:tcBorders>
          </w:tcPr>
          <w:p w14:paraId="5769FBF3" w14:textId="77777777" w:rsidR="002D0AE7" w:rsidRDefault="00333EBB">
            <w:pPr>
              <w:jc w:val="center"/>
              <w:rPr>
                <w:rFonts w:hint="eastAsia"/>
                <w:highlight w:val="lightGray"/>
              </w:rPr>
            </w:pPr>
            <w:r>
              <w:rPr>
                <w:rFonts w:hint="eastAsia"/>
              </w:rPr>
              <w:t>指</w:t>
            </w:r>
          </w:p>
        </w:tc>
        <w:tc>
          <w:tcPr>
            <w:tcW w:w="6379" w:type="dxa"/>
            <w:tcBorders>
              <w:top w:val="single" w:sz="4" w:space="0" w:color="auto"/>
              <w:left w:val="single" w:sz="4" w:space="0" w:color="auto"/>
              <w:bottom w:val="single" w:sz="4" w:space="0" w:color="auto"/>
              <w:right w:val="single" w:sz="4" w:space="0" w:color="auto"/>
            </w:tcBorders>
          </w:tcPr>
          <w:p w14:paraId="17F36E2D" w14:textId="77777777" w:rsidR="002D0AE7" w:rsidRDefault="00333EBB">
            <w:pPr>
              <w:rPr>
                <w:rFonts w:hint="eastAsia"/>
              </w:rPr>
            </w:pPr>
            <w:r>
              <w:rPr>
                <w:rFonts w:hint="eastAsia"/>
              </w:rPr>
              <w:t>天津药业集团有限公司</w:t>
            </w:r>
          </w:p>
        </w:tc>
      </w:tr>
      <w:tr w:rsidR="002D0AE7" w14:paraId="729799C9" w14:textId="77777777">
        <w:tc>
          <w:tcPr>
            <w:tcW w:w="2870" w:type="dxa"/>
            <w:tcBorders>
              <w:top w:val="single" w:sz="4" w:space="0" w:color="auto"/>
              <w:left w:val="single" w:sz="4" w:space="0" w:color="auto"/>
              <w:bottom w:val="single" w:sz="4" w:space="0" w:color="auto"/>
              <w:right w:val="single" w:sz="4" w:space="0" w:color="auto"/>
            </w:tcBorders>
          </w:tcPr>
          <w:p w14:paraId="6B31C8A4" w14:textId="77777777" w:rsidR="002D0AE7" w:rsidRDefault="00333EBB">
            <w:pPr>
              <w:rPr>
                <w:rFonts w:hint="eastAsia"/>
              </w:rPr>
            </w:pPr>
            <w:r>
              <w:t>津药资产</w:t>
            </w:r>
          </w:p>
        </w:tc>
        <w:tc>
          <w:tcPr>
            <w:tcW w:w="567" w:type="dxa"/>
            <w:tcBorders>
              <w:top w:val="single" w:sz="4" w:space="0" w:color="auto"/>
              <w:left w:val="single" w:sz="4" w:space="0" w:color="auto"/>
              <w:bottom w:val="single" w:sz="4" w:space="0" w:color="auto"/>
              <w:right w:val="single" w:sz="4" w:space="0" w:color="auto"/>
            </w:tcBorders>
          </w:tcPr>
          <w:p w14:paraId="6FEB3DE0"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2EB1B5C9" w14:textId="77777777" w:rsidR="002D0AE7" w:rsidRDefault="00333EBB">
            <w:pPr>
              <w:rPr>
                <w:rFonts w:hint="eastAsia"/>
              </w:rPr>
            </w:pPr>
            <w:r>
              <w:t>津药资产管理有限公司</w:t>
            </w:r>
          </w:p>
        </w:tc>
      </w:tr>
      <w:tr w:rsidR="002D0AE7" w14:paraId="4B1F514F" w14:textId="77777777">
        <w:tc>
          <w:tcPr>
            <w:tcW w:w="2870" w:type="dxa"/>
            <w:tcBorders>
              <w:top w:val="single" w:sz="4" w:space="0" w:color="auto"/>
              <w:left w:val="single" w:sz="4" w:space="0" w:color="auto"/>
              <w:bottom w:val="single" w:sz="4" w:space="0" w:color="auto"/>
              <w:right w:val="single" w:sz="4" w:space="0" w:color="auto"/>
            </w:tcBorders>
          </w:tcPr>
          <w:p w14:paraId="3CF3B5F2" w14:textId="77777777" w:rsidR="002D0AE7" w:rsidRDefault="00333EBB">
            <w:pPr>
              <w:rPr>
                <w:rFonts w:hint="eastAsia"/>
              </w:rPr>
            </w:pPr>
            <w:r>
              <w:t>津药和平</w:t>
            </w:r>
          </w:p>
        </w:tc>
        <w:tc>
          <w:tcPr>
            <w:tcW w:w="567" w:type="dxa"/>
            <w:tcBorders>
              <w:top w:val="single" w:sz="4" w:space="0" w:color="auto"/>
              <w:left w:val="single" w:sz="4" w:space="0" w:color="auto"/>
              <w:bottom w:val="single" w:sz="4" w:space="0" w:color="auto"/>
              <w:right w:val="single" w:sz="4" w:space="0" w:color="auto"/>
            </w:tcBorders>
          </w:tcPr>
          <w:p w14:paraId="6C97DD8D"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191B65DB" w14:textId="77777777" w:rsidR="002D0AE7" w:rsidRDefault="00333EBB">
            <w:pPr>
              <w:rPr>
                <w:rFonts w:hint="eastAsia"/>
              </w:rPr>
            </w:pPr>
            <w:r>
              <w:t>津药和平</w:t>
            </w:r>
            <w:r>
              <w:t>(</w:t>
            </w:r>
            <w:r>
              <w:t>天津</w:t>
            </w:r>
            <w:r>
              <w:t>)</w:t>
            </w:r>
            <w:r>
              <w:t>制药有限公司</w:t>
            </w:r>
          </w:p>
        </w:tc>
      </w:tr>
      <w:tr w:rsidR="002D0AE7" w14:paraId="0DDF455D" w14:textId="77777777">
        <w:tc>
          <w:tcPr>
            <w:tcW w:w="2870" w:type="dxa"/>
            <w:tcBorders>
              <w:top w:val="single" w:sz="4" w:space="0" w:color="auto"/>
              <w:left w:val="single" w:sz="4" w:space="0" w:color="auto"/>
              <w:bottom w:val="single" w:sz="4" w:space="0" w:color="auto"/>
              <w:right w:val="single" w:sz="4" w:space="0" w:color="auto"/>
            </w:tcBorders>
          </w:tcPr>
          <w:p w14:paraId="0B7F19DF" w14:textId="77777777" w:rsidR="002D0AE7" w:rsidRDefault="00333EBB">
            <w:pPr>
              <w:rPr>
                <w:rFonts w:hint="eastAsia"/>
              </w:rPr>
            </w:pPr>
            <w:r>
              <w:t>健康科技</w:t>
            </w:r>
          </w:p>
        </w:tc>
        <w:tc>
          <w:tcPr>
            <w:tcW w:w="567" w:type="dxa"/>
            <w:tcBorders>
              <w:top w:val="single" w:sz="4" w:space="0" w:color="auto"/>
              <w:left w:val="single" w:sz="4" w:space="0" w:color="auto"/>
              <w:bottom w:val="single" w:sz="4" w:space="0" w:color="auto"/>
              <w:right w:val="single" w:sz="4" w:space="0" w:color="auto"/>
            </w:tcBorders>
          </w:tcPr>
          <w:p w14:paraId="26102F25"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55ED5B95" w14:textId="77777777" w:rsidR="002D0AE7" w:rsidRDefault="00333EBB">
            <w:pPr>
              <w:rPr>
                <w:rFonts w:hint="eastAsia"/>
              </w:rPr>
            </w:pPr>
            <w:r>
              <w:t>津药药业健康科技</w:t>
            </w:r>
            <w:r>
              <w:t>(</w:t>
            </w:r>
            <w:r>
              <w:t>天津</w:t>
            </w:r>
            <w:r>
              <w:t>)</w:t>
            </w:r>
            <w:r>
              <w:t>有限公司</w:t>
            </w:r>
          </w:p>
        </w:tc>
      </w:tr>
      <w:tr w:rsidR="002D0AE7" w14:paraId="067B167F" w14:textId="77777777">
        <w:tc>
          <w:tcPr>
            <w:tcW w:w="2870" w:type="dxa"/>
            <w:tcBorders>
              <w:top w:val="single" w:sz="4" w:space="0" w:color="auto"/>
              <w:left w:val="single" w:sz="4" w:space="0" w:color="auto"/>
              <w:bottom w:val="single" w:sz="4" w:space="0" w:color="auto"/>
              <w:right w:val="single" w:sz="4" w:space="0" w:color="auto"/>
            </w:tcBorders>
          </w:tcPr>
          <w:p w14:paraId="4974B948" w14:textId="77777777" w:rsidR="002D0AE7" w:rsidRDefault="00333EBB">
            <w:pPr>
              <w:rPr>
                <w:rFonts w:hint="eastAsia"/>
              </w:rPr>
            </w:pPr>
            <w:r>
              <w:t>天发进出口</w:t>
            </w:r>
          </w:p>
        </w:tc>
        <w:tc>
          <w:tcPr>
            <w:tcW w:w="567" w:type="dxa"/>
            <w:tcBorders>
              <w:top w:val="single" w:sz="4" w:space="0" w:color="auto"/>
              <w:left w:val="single" w:sz="4" w:space="0" w:color="auto"/>
              <w:bottom w:val="single" w:sz="4" w:space="0" w:color="auto"/>
              <w:right w:val="single" w:sz="4" w:space="0" w:color="auto"/>
            </w:tcBorders>
          </w:tcPr>
          <w:p w14:paraId="1DF4D759"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54F64327" w14:textId="77777777" w:rsidR="002D0AE7" w:rsidRDefault="00333EBB">
            <w:pPr>
              <w:rPr>
                <w:rFonts w:hint="eastAsia"/>
              </w:rPr>
            </w:pPr>
            <w:r>
              <w:t>天津市天发药业进出口有限公司</w:t>
            </w:r>
          </w:p>
        </w:tc>
      </w:tr>
      <w:tr w:rsidR="002D0AE7" w14:paraId="65BDE5BF" w14:textId="77777777">
        <w:tc>
          <w:tcPr>
            <w:tcW w:w="2870" w:type="dxa"/>
            <w:tcBorders>
              <w:top w:val="single" w:sz="4" w:space="0" w:color="auto"/>
              <w:left w:val="single" w:sz="4" w:space="0" w:color="auto"/>
              <w:bottom w:val="single" w:sz="4" w:space="0" w:color="auto"/>
              <w:right w:val="single" w:sz="4" w:space="0" w:color="auto"/>
            </w:tcBorders>
          </w:tcPr>
          <w:p w14:paraId="3B1ACC1F" w14:textId="77777777" w:rsidR="002D0AE7" w:rsidRDefault="00333EBB">
            <w:pPr>
              <w:rPr>
                <w:rFonts w:hint="eastAsia"/>
              </w:rPr>
            </w:pPr>
            <w:r>
              <w:t>津药香港</w:t>
            </w:r>
          </w:p>
        </w:tc>
        <w:tc>
          <w:tcPr>
            <w:tcW w:w="567" w:type="dxa"/>
            <w:tcBorders>
              <w:top w:val="single" w:sz="4" w:space="0" w:color="auto"/>
              <w:left w:val="single" w:sz="4" w:space="0" w:color="auto"/>
              <w:bottom w:val="single" w:sz="4" w:space="0" w:color="auto"/>
              <w:right w:val="single" w:sz="4" w:space="0" w:color="auto"/>
            </w:tcBorders>
          </w:tcPr>
          <w:p w14:paraId="0E158DC4"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6BEC5D23" w14:textId="77777777" w:rsidR="002D0AE7" w:rsidRDefault="00333EBB">
            <w:pPr>
              <w:rPr>
                <w:rFonts w:hint="eastAsia"/>
              </w:rPr>
            </w:pPr>
            <w:r>
              <w:t>津药药业（香港）有限公司</w:t>
            </w:r>
          </w:p>
        </w:tc>
      </w:tr>
      <w:tr w:rsidR="002D0AE7" w14:paraId="5555027E" w14:textId="77777777">
        <w:tc>
          <w:tcPr>
            <w:tcW w:w="2870" w:type="dxa"/>
            <w:tcBorders>
              <w:top w:val="single" w:sz="4" w:space="0" w:color="auto"/>
              <w:left w:val="single" w:sz="4" w:space="0" w:color="auto"/>
              <w:bottom w:val="single" w:sz="4" w:space="0" w:color="auto"/>
              <w:right w:val="single" w:sz="4" w:space="0" w:color="auto"/>
            </w:tcBorders>
          </w:tcPr>
          <w:p w14:paraId="4123CF17" w14:textId="77777777" w:rsidR="002D0AE7" w:rsidRDefault="00333EBB">
            <w:pPr>
              <w:rPr>
                <w:rFonts w:hint="eastAsia"/>
              </w:rPr>
            </w:pPr>
            <w:r>
              <w:t>津药</w:t>
            </w:r>
            <w:r>
              <w:rPr>
                <w:rFonts w:hint="eastAsia"/>
              </w:rPr>
              <w:t>新加坡</w:t>
            </w:r>
          </w:p>
        </w:tc>
        <w:tc>
          <w:tcPr>
            <w:tcW w:w="567" w:type="dxa"/>
            <w:tcBorders>
              <w:top w:val="single" w:sz="4" w:space="0" w:color="auto"/>
              <w:left w:val="single" w:sz="4" w:space="0" w:color="auto"/>
              <w:bottom w:val="single" w:sz="4" w:space="0" w:color="auto"/>
              <w:right w:val="single" w:sz="4" w:space="0" w:color="auto"/>
            </w:tcBorders>
          </w:tcPr>
          <w:p w14:paraId="15CC851E"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621B889E" w14:textId="77777777" w:rsidR="002D0AE7" w:rsidRDefault="00333EBB">
            <w:pPr>
              <w:rPr>
                <w:rFonts w:hint="eastAsia"/>
              </w:rPr>
            </w:pPr>
            <w:r>
              <w:t>津药药业（</w:t>
            </w:r>
            <w:r>
              <w:rPr>
                <w:rFonts w:hint="eastAsia"/>
              </w:rPr>
              <w:t>新加坡</w:t>
            </w:r>
            <w:r>
              <w:t>）有限公司</w:t>
            </w:r>
          </w:p>
        </w:tc>
      </w:tr>
      <w:tr w:rsidR="002D0AE7" w14:paraId="5C856067" w14:textId="77777777">
        <w:tc>
          <w:tcPr>
            <w:tcW w:w="2870" w:type="dxa"/>
            <w:tcBorders>
              <w:top w:val="single" w:sz="4" w:space="0" w:color="auto"/>
              <w:left w:val="single" w:sz="4" w:space="0" w:color="auto"/>
              <w:bottom w:val="single" w:sz="4" w:space="0" w:color="auto"/>
              <w:right w:val="single" w:sz="4" w:space="0" w:color="auto"/>
            </w:tcBorders>
          </w:tcPr>
          <w:p w14:paraId="394D8799" w14:textId="77777777" w:rsidR="002D0AE7" w:rsidRDefault="00333EBB">
            <w:pPr>
              <w:rPr>
                <w:rFonts w:hint="eastAsia"/>
              </w:rPr>
            </w:pPr>
            <w:r>
              <w:t>美国大圣</w:t>
            </w:r>
          </w:p>
        </w:tc>
        <w:tc>
          <w:tcPr>
            <w:tcW w:w="567" w:type="dxa"/>
            <w:tcBorders>
              <w:top w:val="single" w:sz="4" w:space="0" w:color="auto"/>
              <w:left w:val="single" w:sz="4" w:space="0" w:color="auto"/>
              <w:bottom w:val="single" w:sz="4" w:space="0" w:color="auto"/>
              <w:right w:val="single" w:sz="4" w:space="0" w:color="auto"/>
            </w:tcBorders>
          </w:tcPr>
          <w:p w14:paraId="6E57BAAB"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36A113E7" w14:textId="77777777" w:rsidR="002D0AE7" w:rsidRDefault="00333EBB">
            <w:pPr>
              <w:rPr>
                <w:rFonts w:hint="eastAsia"/>
              </w:rPr>
            </w:pPr>
            <w:r>
              <w:t>美国大圣贸易技术开发有限公司</w:t>
            </w:r>
          </w:p>
        </w:tc>
      </w:tr>
      <w:tr w:rsidR="002D0AE7" w14:paraId="4D693B33" w14:textId="77777777">
        <w:tc>
          <w:tcPr>
            <w:tcW w:w="2870" w:type="dxa"/>
            <w:tcBorders>
              <w:top w:val="single" w:sz="4" w:space="0" w:color="auto"/>
              <w:left w:val="single" w:sz="4" w:space="0" w:color="auto"/>
              <w:bottom w:val="single" w:sz="4" w:space="0" w:color="auto"/>
              <w:right w:val="single" w:sz="4" w:space="0" w:color="auto"/>
            </w:tcBorders>
          </w:tcPr>
          <w:p w14:paraId="03D0474F" w14:textId="77777777" w:rsidR="002D0AE7" w:rsidRDefault="00333EBB">
            <w:pPr>
              <w:rPr>
                <w:rFonts w:hint="eastAsia"/>
              </w:rPr>
            </w:pPr>
            <w:r>
              <w:t>药研院</w:t>
            </w:r>
          </w:p>
        </w:tc>
        <w:tc>
          <w:tcPr>
            <w:tcW w:w="567" w:type="dxa"/>
            <w:tcBorders>
              <w:top w:val="single" w:sz="4" w:space="0" w:color="auto"/>
              <w:left w:val="single" w:sz="4" w:space="0" w:color="auto"/>
              <w:bottom w:val="single" w:sz="4" w:space="0" w:color="auto"/>
              <w:right w:val="single" w:sz="4" w:space="0" w:color="auto"/>
            </w:tcBorders>
          </w:tcPr>
          <w:p w14:paraId="684C46C9"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514489D9" w14:textId="77777777" w:rsidR="002D0AE7" w:rsidRDefault="00333EBB">
            <w:pPr>
              <w:rPr>
                <w:rFonts w:hint="eastAsia"/>
              </w:rPr>
            </w:pPr>
            <w:r>
              <w:t>天津药业研究院股份有限公司</w:t>
            </w:r>
          </w:p>
        </w:tc>
      </w:tr>
      <w:tr w:rsidR="002D0AE7" w14:paraId="2D4CCC23" w14:textId="77777777">
        <w:tc>
          <w:tcPr>
            <w:tcW w:w="2870" w:type="dxa"/>
            <w:tcBorders>
              <w:top w:val="single" w:sz="4" w:space="0" w:color="auto"/>
              <w:left w:val="single" w:sz="4" w:space="0" w:color="auto"/>
              <w:bottom w:val="single" w:sz="4" w:space="0" w:color="auto"/>
              <w:right w:val="single" w:sz="4" w:space="0" w:color="auto"/>
            </w:tcBorders>
          </w:tcPr>
          <w:p w14:paraId="5910E68C" w14:textId="77777777" w:rsidR="002D0AE7" w:rsidRDefault="00333EBB">
            <w:pPr>
              <w:rPr>
                <w:rFonts w:hint="eastAsia"/>
              </w:rPr>
            </w:pPr>
            <w:r>
              <w:t>津药环科</w:t>
            </w:r>
          </w:p>
        </w:tc>
        <w:tc>
          <w:tcPr>
            <w:tcW w:w="567" w:type="dxa"/>
            <w:tcBorders>
              <w:top w:val="single" w:sz="4" w:space="0" w:color="auto"/>
              <w:left w:val="single" w:sz="4" w:space="0" w:color="auto"/>
              <w:bottom w:val="single" w:sz="4" w:space="0" w:color="auto"/>
              <w:right w:val="single" w:sz="4" w:space="0" w:color="auto"/>
            </w:tcBorders>
          </w:tcPr>
          <w:p w14:paraId="78696C96"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7F77ADA0" w14:textId="77777777" w:rsidR="002D0AE7" w:rsidRDefault="00333EBB">
            <w:pPr>
              <w:rPr>
                <w:rFonts w:hint="eastAsia"/>
              </w:rPr>
            </w:pPr>
            <w:r>
              <w:t>天津津药环境科技有限公司</w:t>
            </w:r>
          </w:p>
        </w:tc>
      </w:tr>
      <w:tr w:rsidR="002D0AE7" w14:paraId="0094EECD" w14:textId="77777777">
        <w:tc>
          <w:tcPr>
            <w:tcW w:w="2870" w:type="dxa"/>
            <w:tcBorders>
              <w:top w:val="single" w:sz="4" w:space="0" w:color="auto"/>
              <w:left w:val="single" w:sz="4" w:space="0" w:color="auto"/>
              <w:bottom w:val="single" w:sz="4" w:space="0" w:color="auto"/>
              <w:right w:val="single" w:sz="4" w:space="0" w:color="auto"/>
            </w:tcBorders>
          </w:tcPr>
          <w:p w14:paraId="76401BAD" w14:textId="77777777" w:rsidR="002D0AE7" w:rsidRDefault="00333EBB">
            <w:pPr>
              <w:rPr>
                <w:rFonts w:hint="eastAsia"/>
              </w:rPr>
            </w:pPr>
            <w:r>
              <w:t>天津信卓</w:t>
            </w:r>
          </w:p>
        </w:tc>
        <w:tc>
          <w:tcPr>
            <w:tcW w:w="567" w:type="dxa"/>
            <w:tcBorders>
              <w:top w:val="single" w:sz="4" w:space="0" w:color="auto"/>
              <w:left w:val="single" w:sz="4" w:space="0" w:color="auto"/>
              <w:bottom w:val="single" w:sz="4" w:space="0" w:color="auto"/>
              <w:right w:val="single" w:sz="4" w:space="0" w:color="auto"/>
            </w:tcBorders>
          </w:tcPr>
          <w:p w14:paraId="1472A832"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0DAB52D2" w14:textId="77777777" w:rsidR="002D0AE7" w:rsidRDefault="00333EBB">
            <w:pPr>
              <w:rPr>
                <w:rFonts w:hint="eastAsia"/>
              </w:rPr>
            </w:pPr>
            <w:r>
              <w:t>天津信卓国际贸易有限公司</w:t>
            </w:r>
          </w:p>
        </w:tc>
      </w:tr>
      <w:tr w:rsidR="002D0AE7" w14:paraId="1C9F3E7C" w14:textId="77777777">
        <w:tc>
          <w:tcPr>
            <w:tcW w:w="2870" w:type="dxa"/>
            <w:tcBorders>
              <w:top w:val="single" w:sz="4" w:space="0" w:color="auto"/>
              <w:left w:val="single" w:sz="4" w:space="0" w:color="auto"/>
              <w:bottom w:val="single" w:sz="4" w:space="0" w:color="auto"/>
              <w:right w:val="single" w:sz="4" w:space="0" w:color="auto"/>
            </w:tcBorders>
          </w:tcPr>
          <w:p w14:paraId="6C99DDE6" w14:textId="77777777" w:rsidR="002D0AE7" w:rsidRDefault="00333EBB">
            <w:pPr>
              <w:rPr>
                <w:rFonts w:hint="eastAsia"/>
              </w:rPr>
            </w:pPr>
            <w:r>
              <w:t>湖北津药</w:t>
            </w:r>
          </w:p>
        </w:tc>
        <w:tc>
          <w:tcPr>
            <w:tcW w:w="567" w:type="dxa"/>
            <w:tcBorders>
              <w:top w:val="single" w:sz="4" w:space="0" w:color="auto"/>
              <w:left w:val="single" w:sz="4" w:space="0" w:color="auto"/>
              <w:bottom w:val="single" w:sz="4" w:space="0" w:color="auto"/>
              <w:right w:val="single" w:sz="4" w:space="0" w:color="auto"/>
            </w:tcBorders>
          </w:tcPr>
          <w:p w14:paraId="65E2BFEF"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46EA111C" w14:textId="77777777" w:rsidR="002D0AE7" w:rsidRDefault="00333EBB">
            <w:pPr>
              <w:rPr>
                <w:rFonts w:hint="eastAsia"/>
              </w:rPr>
            </w:pPr>
            <w:r>
              <w:t>湖北津药药业股份有限公司</w:t>
            </w:r>
          </w:p>
        </w:tc>
      </w:tr>
      <w:tr w:rsidR="002D0AE7" w14:paraId="5BFF7915" w14:textId="77777777">
        <w:tc>
          <w:tcPr>
            <w:tcW w:w="2870" w:type="dxa"/>
            <w:tcBorders>
              <w:top w:val="single" w:sz="4" w:space="0" w:color="auto"/>
              <w:left w:val="single" w:sz="4" w:space="0" w:color="auto"/>
              <w:bottom w:val="single" w:sz="4" w:space="0" w:color="auto"/>
              <w:right w:val="single" w:sz="4" w:space="0" w:color="auto"/>
            </w:tcBorders>
          </w:tcPr>
          <w:p w14:paraId="242CD053" w14:textId="77777777" w:rsidR="002D0AE7" w:rsidRDefault="00333EBB">
            <w:pPr>
              <w:rPr>
                <w:rFonts w:hint="eastAsia"/>
              </w:rPr>
            </w:pPr>
            <w:r>
              <w:t>百思康瑞</w:t>
            </w:r>
          </w:p>
        </w:tc>
        <w:tc>
          <w:tcPr>
            <w:tcW w:w="567" w:type="dxa"/>
            <w:tcBorders>
              <w:top w:val="single" w:sz="4" w:space="0" w:color="auto"/>
              <w:left w:val="single" w:sz="4" w:space="0" w:color="auto"/>
              <w:bottom w:val="single" w:sz="4" w:space="0" w:color="auto"/>
              <w:right w:val="single" w:sz="4" w:space="0" w:color="auto"/>
            </w:tcBorders>
          </w:tcPr>
          <w:p w14:paraId="6640B93F"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5C0F8F76" w14:textId="77777777" w:rsidR="002D0AE7" w:rsidRDefault="00333EBB">
            <w:pPr>
              <w:rPr>
                <w:rFonts w:hint="eastAsia"/>
              </w:rPr>
            </w:pPr>
            <w:r>
              <w:t>江西百思康瑞药业有限公司</w:t>
            </w:r>
          </w:p>
        </w:tc>
      </w:tr>
      <w:tr w:rsidR="002D0AE7" w14:paraId="67D66E5E" w14:textId="77777777">
        <w:tc>
          <w:tcPr>
            <w:tcW w:w="2870" w:type="dxa"/>
            <w:tcBorders>
              <w:top w:val="single" w:sz="4" w:space="0" w:color="auto"/>
              <w:left w:val="single" w:sz="4" w:space="0" w:color="auto"/>
              <w:bottom w:val="single" w:sz="4" w:space="0" w:color="auto"/>
              <w:right w:val="single" w:sz="4" w:space="0" w:color="auto"/>
            </w:tcBorders>
          </w:tcPr>
          <w:p w14:paraId="72D504F3" w14:textId="77777777" w:rsidR="002D0AE7" w:rsidRDefault="00333EBB">
            <w:pPr>
              <w:rPr>
                <w:rFonts w:hint="eastAsia"/>
              </w:rPr>
            </w:pPr>
            <w:r>
              <w:t>财务公司</w:t>
            </w:r>
          </w:p>
        </w:tc>
        <w:tc>
          <w:tcPr>
            <w:tcW w:w="567" w:type="dxa"/>
            <w:tcBorders>
              <w:top w:val="single" w:sz="4" w:space="0" w:color="auto"/>
              <w:left w:val="single" w:sz="4" w:space="0" w:color="auto"/>
              <w:bottom w:val="single" w:sz="4" w:space="0" w:color="auto"/>
              <w:right w:val="single" w:sz="4" w:space="0" w:color="auto"/>
            </w:tcBorders>
          </w:tcPr>
          <w:p w14:paraId="712BD4D0"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39901730" w14:textId="77777777" w:rsidR="002D0AE7" w:rsidRDefault="00333EBB">
            <w:pPr>
              <w:rPr>
                <w:rFonts w:hint="eastAsia"/>
              </w:rPr>
            </w:pPr>
            <w:r>
              <w:t>天津医药集团财务有限公司</w:t>
            </w:r>
          </w:p>
        </w:tc>
      </w:tr>
      <w:tr w:rsidR="002D0AE7" w14:paraId="09BF3B85" w14:textId="77777777">
        <w:tc>
          <w:tcPr>
            <w:tcW w:w="2870" w:type="dxa"/>
            <w:tcBorders>
              <w:top w:val="single" w:sz="4" w:space="0" w:color="auto"/>
              <w:left w:val="single" w:sz="4" w:space="0" w:color="auto"/>
              <w:bottom w:val="single" w:sz="4" w:space="0" w:color="auto"/>
              <w:right w:val="single" w:sz="4" w:space="0" w:color="auto"/>
            </w:tcBorders>
          </w:tcPr>
          <w:p w14:paraId="2854F580" w14:textId="77777777" w:rsidR="002D0AE7" w:rsidRDefault="00333EBB">
            <w:pPr>
              <w:rPr>
                <w:rFonts w:hint="eastAsia"/>
              </w:rPr>
            </w:pPr>
            <w:r>
              <w:rPr>
                <w:rFonts w:hint="eastAsia"/>
              </w:rPr>
              <w:t>津药</w:t>
            </w:r>
            <w:r>
              <w:t>永光</w:t>
            </w:r>
          </w:p>
        </w:tc>
        <w:tc>
          <w:tcPr>
            <w:tcW w:w="567" w:type="dxa"/>
            <w:tcBorders>
              <w:top w:val="single" w:sz="4" w:space="0" w:color="auto"/>
              <w:left w:val="single" w:sz="4" w:space="0" w:color="auto"/>
              <w:bottom w:val="single" w:sz="4" w:space="0" w:color="auto"/>
              <w:right w:val="single" w:sz="4" w:space="0" w:color="auto"/>
            </w:tcBorders>
          </w:tcPr>
          <w:p w14:paraId="5E5AF1CF"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61FB88E2" w14:textId="77777777" w:rsidR="002D0AE7" w:rsidRDefault="00333EBB">
            <w:pPr>
              <w:rPr>
                <w:rFonts w:hint="eastAsia"/>
              </w:rPr>
            </w:pPr>
            <w:r>
              <w:t>津药永光</w:t>
            </w:r>
            <w:r>
              <w:t>(</w:t>
            </w:r>
            <w:r>
              <w:t>河北</w:t>
            </w:r>
            <w:r>
              <w:t>)</w:t>
            </w:r>
            <w:r>
              <w:t>制药有限公司</w:t>
            </w:r>
          </w:p>
        </w:tc>
      </w:tr>
      <w:tr w:rsidR="002D0AE7" w14:paraId="110CF13F" w14:textId="77777777">
        <w:tc>
          <w:tcPr>
            <w:tcW w:w="2870" w:type="dxa"/>
            <w:tcBorders>
              <w:top w:val="single" w:sz="4" w:space="0" w:color="auto"/>
              <w:left w:val="single" w:sz="4" w:space="0" w:color="auto"/>
              <w:bottom w:val="single" w:sz="4" w:space="0" w:color="auto"/>
              <w:right w:val="single" w:sz="4" w:space="0" w:color="auto"/>
            </w:tcBorders>
          </w:tcPr>
          <w:p w14:paraId="085B02A2" w14:textId="77777777" w:rsidR="002D0AE7" w:rsidRDefault="00333EBB">
            <w:pPr>
              <w:rPr>
                <w:rFonts w:hint="eastAsia"/>
              </w:rPr>
            </w:pPr>
            <w:r>
              <w:t>广州德福</w:t>
            </w:r>
          </w:p>
        </w:tc>
        <w:tc>
          <w:tcPr>
            <w:tcW w:w="567" w:type="dxa"/>
            <w:tcBorders>
              <w:top w:val="single" w:sz="4" w:space="0" w:color="auto"/>
              <w:left w:val="single" w:sz="4" w:space="0" w:color="auto"/>
              <w:bottom w:val="single" w:sz="4" w:space="0" w:color="auto"/>
              <w:right w:val="single" w:sz="4" w:space="0" w:color="auto"/>
            </w:tcBorders>
          </w:tcPr>
          <w:p w14:paraId="2680C5DD"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35336DED" w14:textId="77777777" w:rsidR="002D0AE7" w:rsidRDefault="00333EBB">
            <w:pPr>
              <w:rPr>
                <w:rFonts w:hint="eastAsia"/>
              </w:rPr>
            </w:pPr>
            <w:r>
              <w:t>广州德福股权投资基金合伙企业（有限合伙）</w:t>
            </w:r>
          </w:p>
        </w:tc>
      </w:tr>
      <w:tr w:rsidR="002D0AE7" w14:paraId="21848898" w14:textId="77777777">
        <w:tc>
          <w:tcPr>
            <w:tcW w:w="2870" w:type="dxa"/>
            <w:tcBorders>
              <w:top w:val="single" w:sz="4" w:space="0" w:color="auto"/>
              <w:left w:val="single" w:sz="4" w:space="0" w:color="auto"/>
              <w:bottom w:val="single" w:sz="4" w:space="0" w:color="auto"/>
              <w:right w:val="single" w:sz="4" w:space="0" w:color="auto"/>
            </w:tcBorders>
          </w:tcPr>
          <w:p w14:paraId="388FB0B0" w14:textId="77777777" w:rsidR="002D0AE7" w:rsidRDefault="00333EBB">
            <w:pPr>
              <w:rPr>
                <w:rFonts w:hint="eastAsia"/>
              </w:rPr>
            </w:pPr>
            <w:r>
              <w:t>GL</w:t>
            </w:r>
          </w:p>
        </w:tc>
        <w:tc>
          <w:tcPr>
            <w:tcW w:w="567" w:type="dxa"/>
            <w:tcBorders>
              <w:top w:val="single" w:sz="4" w:space="0" w:color="auto"/>
              <w:left w:val="single" w:sz="4" w:space="0" w:color="auto"/>
              <w:bottom w:val="single" w:sz="4" w:space="0" w:color="auto"/>
              <w:right w:val="single" w:sz="4" w:space="0" w:color="auto"/>
            </w:tcBorders>
          </w:tcPr>
          <w:p w14:paraId="7B7A2F9E"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1981BEE1" w14:textId="77777777" w:rsidR="002D0AE7" w:rsidRDefault="00333EBB">
            <w:pPr>
              <w:rPr>
                <w:rFonts w:hint="eastAsia"/>
              </w:rPr>
            </w:pPr>
            <w:r>
              <w:t>GL</w:t>
            </w:r>
            <w:r>
              <w:rPr>
                <w:rFonts w:hint="eastAsia"/>
              </w:rPr>
              <w:t xml:space="preserve"> </w:t>
            </w:r>
            <w:r>
              <w:t>Biotech</w:t>
            </w:r>
            <w:r>
              <w:rPr>
                <w:rFonts w:hint="eastAsia"/>
              </w:rPr>
              <w:t xml:space="preserve"> </w:t>
            </w:r>
            <w:r>
              <w:t>HK</w:t>
            </w:r>
            <w:r>
              <w:rPr>
                <w:rFonts w:hint="eastAsia"/>
              </w:rPr>
              <w:t xml:space="preserve"> </w:t>
            </w:r>
            <w:r>
              <w:t>Investment</w:t>
            </w:r>
            <w:r>
              <w:rPr>
                <w:rFonts w:hint="eastAsia"/>
              </w:rPr>
              <w:t xml:space="preserve"> </w:t>
            </w:r>
            <w:r>
              <w:t>Limited</w:t>
            </w:r>
          </w:p>
        </w:tc>
      </w:tr>
      <w:tr w:rsidR="002D0AE7" w14:paraId="456B3899" w14:textId="77777777">
        <w:tc>
          <w:tcPr>
            <w:tcW w:w="2870" w:type="dxa"/>
            <w:tcBorders>
              <w:top w:val="single" w:sz="4" w:space="0" w:color="auto"/>
              <w:left w:val="single" w:sz="4" w:space="0" w:color="auto"/>
              <w:bottom w:val="single" w:sz="4" w:space="0" w:color="auto"/>
              <w:right w:val="single" w:sz="4" w:space="0" w:color="auto"/>
            </w:tcBorders>
          </w:tcPr>
          <w:p w14:paraId="7478F44D" w14:textId="77777777" w:rsidR="002D0AE7" w:rsidRDefault="00333EBB">
            <w:pPr>
              <w:rPr>
                <w:rFonts w:hint="eastAsia"/>
              </w:rPr>
            </w:pPr>
            <w:r>
              <w:t>中国、我国、国内</w:t>
            </w:r>
          </w:p>
        </w:tc>
        <w:tc>
          <w:tcPr>
            <w:tcW w:w="567" w:type="dxa"/>
            <w:tcBorders>
              <w:top w:val="single" w:sz="4" w:space="0" w:color="auto"/>
              <w:left w:val="single" w:sz="4" w:space="0" w:color="auto"/>
              <w:bottom w:val="single" w:sz="4" w:space="0" w:color="auto"/>
              <w:right w:val="single" w:sz="4" w:space="0" w:color="auto"/>
            </w:tcBorders>
          </w:tcPr>
          <w:p w14:paraId="5F4119F1"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5F8D2903" w14:textId="77777777" w:rsidR="002D0AE7" w:rsidRDefault="00333EBB">
            <w:pPr>
              <w:rPr>
                <w:rFonts w:hint="eastAsia"/>
              </w:rPr>
            </w:pPr>
            <w:r>
              <w:t>中华人民共和国</w:t>
            </w:r>
          </w:p>
        </w:tc>
      </w:tr>
      <w:tr w:rsidR="002D0AE7" w14:paraId="4099B3D8" w14:textId="77777777">
        <w:tc>
          <w:tcPr>
            <w:tcW w:w="2870" w:type="dxa"/>
            <w:tcBorders>
              <w:top w:val="single" w:sz="4" w:space="0" w:color="auto"/>
              <w:left w:val="single" w:sz="4" w:space="0" w:color="auto"/>
              <w:bottom w:val="single" w:sz="4" w:space="0" w:color="auto"/>
              <w:right w:val="single" w:sz="4" w:space="0" w:color="auto"/>
            </w:tcBorders>
          </w:tcPr>
          <w:p w14:paraId="3D671DA0" w14:textId="77777777" w:rsidR="002D0AE7" w:rsidRDefault="00333EBB">
            <w:pPr>
              <w:rPr>
                <w:rFonts w:hint="eastAsia"/>
              </w:rPr>
            </w:pPr>
            <w:r>
              <w:t>中审华、会计师事务所</w:t>
            </w:r>
          </w:p>
        </w:tc>
        <w:tc>
          <w:tcPr>
            <w:tcW w:w="567" w:type="dxa"/>
            <w:tcBorders>
              <w:top w:val="single" w:sz="4" w:space="0" w:color="auto"/>
              <w:left w:val="single" w:sz="4" w:space="0" w:color="auto"/>
              <w:bottom w:val="single" w:sz="4" w:space="0" w:color="auto"/>
              <w:right w:val="single" w:sz="4" w:space="0" w:color="auto"/>
            </w:tcBorders>
          </w:tcPr>
          <w:p w14:paraId="37E84703"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64F9074B" w14:textId="77777777" w:rsidR="002D0AE7" w:rsidRDefault="00333EBB">
            <w:pPr>
              <w:rPr>
                <w:rFonts w:hint="eastAsia"/>
              </w:rPr>
            </w:pPr>
            <w:r>
              <w:t>中审华会计师事务所（特殊普通合伙）</w:t>
            </w:r>
          </w:p>
        </w:tc>
      </w:tr>
      <w:tr w:rsidR="002D0AE7" w14:paraId="2E9FDF30" w14:textId="77777777">
        <w:tc>
          <w:tcPr>
            <w:tcW w:w="2870" w:type="dxa"/>
            <w:tcBorders>
              <w:top w:val="single" w:sz="4" w:space="0" w:color="auto"/>
              <w:left w:val="single" w:sz="4" w:space="0" w:color="auto"/>
              <w:bottom w:val="single" w:sz="4" w:space="0" w:color="auto"/>
              <w:right w:val="single" w:sz="4" w:space="0" w:color="auto"/>
            </w:tcBorders>
          </w:tcPr>
          <w:p w14:paraId="63953903" w14:textId="77777777" w:rsidR="002D0AE7" w:rsidRDefault="00333EBB">
            <w:pPr>
              <w:rPr>
                <w:rFonts w:hint="eastAsia"/>
              </w:rPr>
            </w:pPr>
            <w:r>
              <w:t>报告期</w:t>
            </w:r>
          </w:p>
        </w:tc>
        <w:tc>
          <w:tcPr>
            <w:tcW w:w="567" w:type="dxa"/>
            <w:tcBorders>
              <w:top w:val="single" w:sz="4" w:space="0" w:color="auto"/>
              <w:left w:val="single" w:sz="4" w:space="0" w:color="auto"/>
              <w:bottom w:val="single" w:sz="4" w:space="0" w:color="auto"/>
              <w:right w:val="single" w:sz="4" w:space="0" w:color="auto"/>
            </w:tcBorders>
          </w:tcPr>
          <w:p w14:paraId="6EB9163B"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4D96D616" w14:textId="77777777" w:rsidR="002D0AE7" w:rsidRDefault="00333EBB">
            <w:pPr>
              <w:rPr>
                <w:rFonts w:hint="eastAsia"/>
              </w:rPr>
            </w:pPr>
            <w:r>
              <w:t>2024</w:t>
            </w:r>
            <w:r>
              <w:t>年</w:t>
            </w:r>
            <w:r>
              <w:t>1</w:t>
            </w:r>
            <w:r>
              <w:t>月</w:t>
            </w:r>
            <w:r>
              <w:t>1</w:t>
            </w:r>
            <w:r>
              <w:t>日至</w:t>
            </w:r>
            <w:r>
              <w:t>2024</w:t>
            </w:r>
            <w:r>
              <w:t>年</w:t>
            </w:r>
            <w:r>
              <w:t>6</w:t>
            </w:r>
            <w:r>
              <w:t>月</w:t>
            </w:r>
            <w:r>
              <w:t>30</w:t>
            </w:r>
            <w:r>
              <w:t>日的会计期间</w:t>
            </w:r>
          </w:p>
        </w:tc>
      </w:tr>
      <w:tr w:rsidR="002D0AE7" w14:paraId="47B3D9DD" w14:textId="77777777">
        <w:tc>
          <w:tcPr>
            <w:tcW w:w="2870" w:type="dxa"/>
            <w:tcBorders>
              <w:top w:val="single" w:sz="4" w:space="0" w:color="auto"/>
              <w:left w:val="single" w:sz="4" w:space="0" w:color="auto"/>
              <w:bottom w:val="single" w:sz="4" w:space="0" w:color="auto"/>
              <w:right w:val="single" w:sz="4" w:space="0" w:color="auto"/>
            </w:tcBorders>
          </w:tcPr>
          <w:p w14:paraId="4641FC12" w14:textId="77777777" w:rsidR="002D0AE7" w:rsidRDefault="00333EBB">
            <w:pPr>
              <w:rPr>
                <w:rFonts w:hint="eastAsia"/>
              </w:rPr>
            </w:pPr>
            <w:r>
              <w:t>中国证监会</w:t>
            </w:r>
          </w:p>
        </w:tc>
        <w:tc>
          <w:tcPr>
            <w:tcW w:w="567" w:type="dxa"/>
            <w:tcBorders>
              <w:top w:val="single" w:sz="4" w:space="0" w:color="auto"/>
              <w:left w:val="single" w:sz="4" w:space="0" w:color="auto"/>
              <w:bottom w:val="single" w:sz="4" w:space="0" w:color="auto"/>
              <w:right w:val="single" w:sz="4" w:space="0" w:color="auto"/>
            </w:tcBorders>
          </w:tcPr>
          <w:p w14:paraId="6C700AE3"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215EAA31" w14:textId="77777777" w:rsidR="002D0AE7" w:rsidRDefault="00333EBB">
            <w:pPr>
              <w:rPr>
                <w:rFonts w:hint="eastAsia"/>
              </w:rPr>
            </w:pPr>
            <w:r>
              <w:t>中国证券监督管理委员会</w:t>
            </w:r>
          </w:p>
        </w:tc>
      </w:tr>
      <w:tr w:rsidR="002D0AE7" w14:paraId="4FA3CCA7" w14:textId="77777777">
        <w:tc>
          <w:tcPr>
            <w:tcW w:w="2870" w:type="dxa"/>
            <w:tcBorders>
              <w:top w:val="single" w:sz="4" w:space="0" w:color="auto"/>
              <w:left w:val="single" w:sz="4" w:space="0" w:color="auto"/>
              <w:bottom w:val="single" w:sz="4" w:space="0" w:color="auto"/>
              <w:right w:val="single" w:sz="4" w:space="0" w:color="auto"/>
            </w:tcBorders>
          </w:tcPr>
          <w:p w14:paraId="59B9D8BD" w14:textId="77777777" w:rsidR="002D0AE7" w:rsidRDefault="00333EBB">
            <w:pPr>
              <w:rPr>
                <w:rFonts w:hint="eastAsia"/>
              </w:rPr>
            </w:pPr>
            <w:r>
              <w:t>上交所</w:t>
            </w:r>
          </w:p>
        </w:tc>
        <w:tc>
          <w:tcPr>
            <w:tcW w:w="567" w:type="dxa"/>
            <w:tcBorders>
              <w:top w:val="single" w:sz="4" w:space="0" w:color="auto"/>
              <w:left w:val="single" w:sz="4" w:space="0" w:color="auto"/>
              <w:bottom w:val="single" w:sz="4" w:space="0" w:color="auto"/>
              <w:right w:val="single" w:sz="4" w:space="0" w:color="auto"/>
            </w:tcBorders>
          </w:tcPr>
          <w:p w14:paraId="49BCA240"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64A9580D" w14:textId="77777777" w:rsidR="002D0AE7" w:rsidRDefault="00333EBB">
            <w:pPr>
              <w:rPr>
                <w:rFonts w:hint="eastAsia"/>
              </w:rPr>
            </w:pPr>
            <w:r>
              <w:t>上海证券交易所</w:t>
            </w:r>
          </w:p>
        </w:tc>
      </w:tr>
      <w:tr w:rsidR="002D0AE7" w14:paraId="2EF8941D" w14:textId="77777777">
        <w:tc>
          <w:tcPr>
            <w:tcW w:w="2870" w:type="dxa"/>
            <w:tcBorders>
              <w:top w:val="single" w:sz="4" w:space="0" w:color="auto"/>
              <w:left w:val="single" w:sz="4" w:space="0" w:color="auto"/>
              <w:bottom w:val="single" w:sz="4" w:space="0" w:color="auto"/>
              <w:right w:val="single" w:sz="4" w:space="0" w:color="auto"/>
            </w:tcBorders>
          </w:tcPr>
          <w:p w14:paraId="59EF0C04" w14:textId="77777777" w:rsidR="002D0AE7" w:rsidRDefault="00333EBB">
            <w:pPr>
              <w:rPr>
                <w:rFonts w:hint="eastAsia"/>
              </w:rPr>
            </w:pPr>
            <w:r>
              <w:t>国家药监局</w:t>
            </w:r>
          </w:p>
        </w:tc>
        <w:tc>
          <w:tcPr>
            <w:tcW w:w="567" w:type="dxa"/>
            <w:tcBorders>
              <w:top w:val="single" w:sz="4" w:space="0" w:color="auto"/>
              <w:left w:val="single" w:sz="4" w:space="0" w:color="auto"/>
              <w:bottom w:val="single" w:sz="4" w:space="0" w:color="auto"/>
              <w:right w:val="single" w:sz="4" w:space="0" w:color="auto"/>
            </w:tcBorders>
          </w:tcPr>
          <w:p w14:paraId="42ACDE21"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7CD2684F" w14:textId="77777777" w:rsidR="002D0AE7" w:rsidRDefault="00333EBB">
            <w:pPr>
              <w:rPr>
                <w:rFonts w:hint="eastAsia"/>
              </w:rPr>
            </w:pPr>
            <w:r>
              <w:t>国家药品监督管理局</w:t>
            </w:r>
          </w:p>
        </w:tc>
      </w:tr>
      <w:tr w:rsidR="002D0AE7" w14:paraId="4270255B" w14:textId="77777777">
        <w:tc>
          <w:tcPr>
            <w:tcW w:w="2870" w:type="dxa"/>
            <w:tcBorders>
              <w:top w:val="single" w:sz="4" w:space="0" w:color="auto"/>
              <w:left w:val="single" w:sz="4" w:space="0" w:color="auto"/>
              <w:bottom w:val="single" w:sz="4" w:space="0" w:color="auto"/>
              <w:right w:val="single" w:sz="4" w:space="0" w:color="auto"/>
            </w:tcBorders>
          </w:tcPr>
          <w:p w14:paraId="1156E84A" w14:textId="77777777" w:rsidR="002D0AE7" w:rsidRDefault="00333EBB">
            <w:pPr>
              <w:rPr>
                <w:rFonts w:hint="eastAsia"/>
              </w:rPr>
            </w:pPr>
            <w:r>
              <w:t>《公司法》</w:t>
            </w:r>
          </w:p>
        </w:tc>
        <w:tc>
          <w:tcPr>
            <w:tcW w:w="567" w:type="dxa"/>
            <w:tcBorders>
              <w:top w:val="single" w:sz="4" w:space="0" w:color="auto"/>
              <w:left w:val="single" w:sz="4" w:space="0" w:color="auto"/>
              <w:bottom w:val="single" w:sz="4" w:space="0" w:color="auto"/>
              <w:right w:val="single" w:sz="4" w:space="0" w:color="auto"/>
            </w:tcBorders>
          </w:tcPr>
          <w:p w14:paraId="4E1A2ADC"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5CEB1ACD" w14:textId="77777777" w:rsidR="002D0AE7" w:rsidRDefault="00333EBB">
            <w:pPr>
              <w:rPr>
                <w:rFonts w:hint="eastAsia"/>
              </w:rPr>
            </w:pPr>
            <w:r>
              <w:t>《中华人民共和国公司法》</w:t>
            </w:r>
          </w:p>
        </w:tc>
      </w:tr>
      <w:tr w:rsidR="002D0AE7" w14:paraId="0C9705D1" w14:textId="77777777">
        <w:tc>
          <w:tcPr>
            <w:tcW w:w="2870" w:type="dxa"/>
            <w:tcBorders>
              <w:top w:val="single" w:sz="4" w:space="0" w:color="auto"/>
              <w:left w:val="single" w:sz="4" w:space="0" w:color="auto"/>
              <w:bottom w:val="single" w:sz="4" w:space="0" w:color="auto"/>
              <w:right w:val="single" w:sz="4" w:space="0" w:color="auto"/>
            </w:tcBorders>
          </w:tcPr>
          <w:p w14:paraId="6355E9B3" w14:textId="77777777" w:rsidR="002D0AE7" w:rsidRDefault="00333EBB">
            <w:pPr>
              <w:rPr>
                <w:rFonts w:hint="eastAsia"/>
              </w:rPr>
            </w:pPr>
            <w:r>
              <w:t>《公司章程》</w:t>
            </w:r>
          </w:p>
        </w:tc>
        <w:tc>
          <w:tcPr>
            <w:tcW w:w="567" w:type="dxa"/>
            <w:tcBorders>
              <w:top w:val="single" w:sz="4" w:space="0" w:color="auto"/>
              <w:left w:val="single" w:sz="4" w:space="0" w:color="auto"/>
              <w:bottom w:val="single" w:sz="4" w:space="0" w:color="auto"/>
              <w:right w:val="single" w:sz="4" w:space="0" w:color="auto"/>
            </w:tcBorders>
          </w:tcPr>
          <w:p w14:paraId="71F36977"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2221FA96" w14:textId="77777777" w:rsidR="002D0AE7" w:rsidRDefault="00333EBB">
            <w:pPr>
              <w:rPr>
                <w:rFonts w:hint="eastAsia"/>
              </w:rPr>
            </w:pPr>
            <w:r>
              <w:t>《津药药业股份有限公司章程》</w:t>
            </w:r>
          </w:p>
        </w:tc>
      </w:tr>
      <w:tr w:rsidR="002D0AE7" w14:paraId="6899AEF2" w14:textId="77777777">
        <w:tc>
          <w:tcPr>
            <w:tcW w:w="2870" w:type="dxa"/>
            <w:tcBorders>
              <w:top w:val="single" w:sz="4" w:space="0" w:color="auto"/>
              <w:left w:val="single" w:sz="4" w:space="0" w:color="auto"/>
              <w:bottom w:val="single" w:sz="4" w:space="0" w:color="auto"/>
              <w:right w:val="single" w:sz="4" w:space="0" w:color="auto"/>
            </w:tcBorders>
            <w:vAlign w:val="center"/>
          </w:tcPr>
          <w:p w14:paraId="18C6D4AE" w14:textId="77777777" w:rsidR="002D0AE7" w:rsidRDefault="00333EBB">
            <w:pPr>
              <w:rPr>
                <w:rFonts w:hint="eastAsia"/>
              </w:rPr>
            </w:pPr>
            <w:r>
              <w:t>原料药、化学原料药</w:t>
            </w:r>
          </w:p>
        </w:tc>
        <w:tc>
          <w:tcPr>
            <w:tcW w:w="567" w:type="dxa"/>
            <w:tcBorders>
              <w:top w:val="single" w:sz="4" w:space="0" w:color="auto"/>
              <w:left w:val="single" w:sz="4" w:space="0" w:color="auto"/>
              <w:bottom w:val="single" w:sz="4" w:space="0" w:color="auto"/>
              <w:right w:val="single" w:sz="4" w:space="0" w:color="auto"/>
            </w:tcBorders>
            <w:vAlign w:val="center"/>
          </w:tcPr>
          <w:p w14:paraId="1ED9E211"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27C26B43" w14:textId="77777777" w:rsidR="002D0AE7" w:rsidRDefault="00333EBB">
            <w:pPr>
              <w:rPr>
                <w:rFonts w:hint="eastAsia"/>
              </w:rPr>
            </w:pPr>
            <w:r>
              <w:t>用于药品制造中的一种物质或物质的混合物，为药品的一种活性成分。此种物质在疾病的诊断、治疗、症状缓解、处理或疾病的预防中有药理活性或其他直接作用，或者能影响机体的功能和结构。</w:t>
            </w:r>
          </w:p>
        </w:tc>
      </w:tr>
      <w:tr w:rsidR="002D0AE7" w14:paraId="3283E37F" w14:textId="77777777">
        <w:tc>
          <w:tcPr>
            <w:tcW w:w="2870" w:type="dxa"/>
            <w:tcBorders>
              <w:top w:val="single" w:sz="4" w:space="0" w:color="auto"/>
              <w:left w:val="single" w:sz="4" w:space="0" w:color="auto"/>
              <w:bottom w:val="single" w:sz="4" w:space="0" w:color="auto"/>
              <w:right w:val="single" w:sz="4" w:space="0" w:color="auto"/>
            </w:tcBorders>
            <w:vAlign w:val="center"/>
          </w:tcPr>
          <w:p w14:paraId="6AD9704C" w14:textId="77777777" w:rsidR="002D0AE7" w:rsidRDefault="00333EBB">
            <w:pPr>
              <w:rPr>
                <w:rFonts w:hint="eastAsia"/>
              </w:rPr>
            </w:pPr>
            <w:r>
              <w:t>中间体</w:t>
            </w:r>
          </w:p>
        </w:tc>
        <w:tc>
          <w:tcPr>
            <w:tcW w:w="567" w:type="dxa"/>
            <w:tcBorders>
              <w:top w:val="single" w:sz="4" w:space="0" w:color="auto"/>
              <w:left w:val="single" w:sz="4" w:space="0" w:color="auto"/>
              <w:bottom w:val="single" w:sz="4" w:space="0" w:color="auto"/>
              <w:right w:val="single" w:sz="4" w:space="0" w:color="auto"/>
            </w:tcBorders>
            <w:vAlign w:val="center"/>
          </w:tcPr>
          <w:p w14:paraId="32B61383"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0E1764D4" w14:textId="77777777" w:rsidR="002D0AE7" w:rsidRDefault="00333EBB">
            <w:pPr>
              <w:rPr>
                <w:rFonts w:hint="eastAsia"/>
              </w:rPr>
            </w:pPr>
            <w:r>
              <w:t>原料药工艺步骤中产生的、必须经过进一步分子变化或精制才能成为原料药的一种物料。</w:t>
            </w:r>
          </w:p>
        </w:tc>
      </w:tr>
      <w:tr w:rsidR="002D0AE7" w14:paraId="76D739D8" w14:textId="77777777">
        <w:tc>
          <w:tcPr>
            <w:tcW w:w="2870" w:type="dxa"/>
            <w:tcBorders>
              <w:top w:val="single" w:sz="4" w:space="0" w:color="auto"/>
              <w:left w:val="single" w:sz="4" w:space="0" w:color="auto"/>
              <w:bottom w:val="single" w:sz="4" w:space="0" w:color="auto"/>
              <w:right w:val="single" w:sz="4" w:space="0" w:color="auto"/>
            </w:tcBorders>
          </w:tcPr>
          <w:p w14:paraId="08BB47BF" w14:textId="77777777" w:rsidR="002D0AE7" w:rsidRDefault="00333EBB">
            <w:pPr>
              <w:rPr>
                <w:rFonts w:hint="eastAsia"/>
              </w:rPr>
            </w:pPr>
            <w:r>
              <w:t>FDA</w:t>
            </w:r>
          </w:p>
        </w:tc>
        <w:tc>
          <w:tcPr>
            <w:tcW w:w="567" w:type="dxa"/>
            <w:tcBorders>
              <w:top w:val="single" w:sz="4" w:space="0" w:color="auto"/>
              <w:left w:val="single" w:sz="4" w:space="0" w:color="auto"/>
              <w:bottom w:val="single" w:sz="4" w:space="0" w:color="auto"/>
              <w:right w:val="single" w:sz="4" w:space="0" w:color="auto"/>
            </w:tcBorders>
          </w:tcPr>
          <w:p w14:paraId="13BC1E3D"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32E0D850" w14:textId="77777777" w:rsidR="002D0AE7" w:rsidRDefault="00333EBB">
            <w:pPr>
              <w:rPr>
                <w:rFonts w:hint="eastAsia"/>
              </w:rPr>
            </w:pPr>
            <w:r>
              <w:t>Food and Drug Administration</w:t>
            </w:r>
            <w:r>
              <w:t>，美国政府食品与药品管理局。</w:t>
            </w:r>
          </w:p>
        </w:tc>
      </w:tr>
      <w:tr w:rsidR="002D0AE7" w14:paraId="66F4AD7D" w14:textId="77777777">
        <w:tc>
          <w:tcPr>
            <w:tcW w:w="2870" w:type="dxa"/>
            <w:tcBorders>
              <w:top w:val="single" w:sz="4" w:space="0" w:color="auto"/>
              <w:left w:val="single" w:sz="4" w:space="0" w:color="auto"/>
              <w:bottom w:val="single" w:sz="4" w:space="0" w:color="auto"/>
              <w:right w:val="single" w:sz="4" w:space="0" w:color="auto"/>
            </w:tcBorders>
          </w:tcPr>
          <w:p w14:paraId="39D309EE" w14:textId="77777777" w:rsidR="002D0AE7" w:rsidRDefault="00333EBB">
            <w:pPr>
              <w:rPr>
                <w:rFonts w:hint="eastAsia"/>
              </w:rPr>
            </w:pPr>
            <w:r>
              <w:t>GMP</w:t>
            </w:r>
          </w:p>
        </w:tc>
        <w:tc>
          <w:tcPr>
            <w:tcW w:w="567" w:type="dxa"/>
            <w:tcBorders>
              <w:top w:val="single" w:sz="4" w:space="0" w:color="auto"/>
              <w:left w:val="single" w:sz="4" w:space="0" w:color="auto"/>
              <w:bottom w:val="single" w:sz="4" w:space="0" w:color="auto"/>
              <w:right w:val="single" w:sz="4" w:space="0" w:color="auto"/>
            </w:tcBorders>
          </w:tcPr>
          <w:p w14:paraId="7030D00A"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1BAA1502" w14:textId="77777777" w:rsidR="002D0AE7" w:rsidRDefault="00333EBB">
            <w:pPr>
              <w:rPr>
                <w:rFonts w:hint="eastAsia"/>
              </w:rPr>
            </w:pPr>
            <w:r>
              <w:t xml:space="preserve">Good </w:t>
            </w:r>
            <w:r>
              <w:t>Manufacturing Practice</w:t>
            </w:r>
            <w:r>
              <w:t>，药品生产质量管理规范。</w:t>
            </w:r>
          </w:p>
        </w:tc>
      </w:tr>
      <w:tr w:rsidR="002D0AE7" w14:paraId="7A71CEAA" w14:textId="77777777">
        <w:tc>
          <w:tcPr>
            <w:tcW w:w="2870" w:type="dxa"/>
            <w:tcBorders>
              <w:top w:val="single" w:sz="4" w:space="0" w:color="auto"/>
              <w:left w:val="single" w:sz="4" w:space="0" w:color="auto"/>
              <w:bottom w:val="single" w:sz="4" w:space="0" w:color="auto"/>
              <w:right w:val="single" w:sz="4" w:space="0" w:color="auto"/>
            </w:tcBorders>
          </w:tcPr>
          <w:p w14:paraId="53B0845A" w14:textId="77777777" w:rsidR="002D0AE7" w:rsidRDefault="00333EBB">
            <w:pPr>
              <w:rPr>
                <w:rFonts w:hint="eastAsia"/>
              </w:rPr>
            </w:pPr>
            <w:r>
              <w:t>EHS</w:t>
            </w:r>
          </w:p>
        </w:tc>
        <w:tc>
          <w:tcPr>
            <w:tcW w:w="567" w:type="dxa"/>
            <w:tcBorders>
              <w:top w:val="single" w:sz="4" w:space="0" w:color="auto"/>
              <w:left w:val="single" w:sz="4" w:space="0" w:color="auto"/>
              <w:bottom w:val="single" w:sz="4" w:space="0" w:color="auto"/>
              <w:right w:val="single" w:sz="4" w:space="0" w:color="auto"/>
            </w:tcBorders>
          </w:tcPr>
          <w:p w14:paraId="35D258C6"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61A462DE" w14:textId="77777777" w:rsidR="002D0AE7" w:rsidRDefault="00333EBB">
            <w:pPr>
              <w:rPr>
                <w:rFonts w:hint="eastAsia"/>
              </w:rPr>
            </w:pPr>
            <w:r>
              <w:t>Environment,Health,Safety</w:t>
            </w:r>
            <w:r>
              <w:t>，环境、健康、安全。</w:t>
            </w:r>
          </w:p>
        </w:tc>
      </w:tr>
      <w:tr w:rsidR="002D0AE7" w14:paraId="650EF09F" w14:textId="77777777">
        <w:tc>
          <w:tcPr>
            <w:tcW w:w="2870" w:type="dxa"/>
            <w:tcBorders>
              <w:top w:val="single" w:sz="4" w:space="0" w:color="auto"/>
              <w:left w:val="single" w:sz="4" w:space="0" w:color="auto"/>
              <w:bottom w:val="single" w:sz="4" w:space="0" w:color="auto"/>
              <w:right w:val="single" w:sz="4" w:space="0" w:color="auto"/>
            </w:tcBorders>
          </w:tcPr>
          <w:p w14:paraId="7B123ECC" w14:textId="77777777" w:rsidR="002D0AE7" w:rsidRDefault="00333EBB">
            <w:pPr>
              <w:rPr>
                <w:rFonts w:hint="eastAsia"/>
              </w:rPr>
            </w:pPr>
            <w:r>
              <w:t>CEP</w:t>
            </w:r>
          </w:p>
        </w:tc>
        <w:tc>
          <w:tcPr>
            <w:tcW w:w="567" w:type="dxa"/>
            <w:tcBorders>
              <w:top w:val="single" w:sz="4" w:space="0" w:color="auto"/>
              <w:left w:val="single" w:sz="4" w:space="0" w:color="auto"/>
              <w:bottom w:val="single" w:sz="4" w:space="0" w:color="auto"/>
              <w:right w:val="single" w:sz="4" w:space="0" w:color="auto"/>
            </w:tcBorders>
          </w:tcPr>
          <w:p w14:paraId="06001FCF"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4DD0F9E0" w14:textId="77777777" w:rsidR="002D0AE7" w:rsidRDefault="00333EBB">
            <w:pPr>
              <w:rPr>
                <w:rFonts w:hint="eastAsia"/>
              </w:rPr>
            </w:pPr>
            <w:r>
              <w:t>Certificate Of Suitability To Monograph Of European Pharmacopeia</w:t>
            </w:r>
            <w:r>
              <w:t>，欧洲药典适应性证书。</w:t>
            </w:r>
          </w:p>
        </w:tc>
      </w:tr>
      <w:tr w:rsidR="002D0AE7" w14:paraId="13A7BA6A" w14:textId="77777777">
        <w:tc>
          <w:tcPr>
            <w:tcW w:w="2870" w:type="dxa"/>
            <w:tcBorders>
              <w:top w:val="single" w:sz="4" w:space="0" w:color="auto"/>
              <w:left w:val="single" w:sz="4" w:space="0" w:color="auto"/>
              <w:bottom w:val="single" w:sz="4" w:space="0" w:color="auto"/>
              <w:right w:val="single" w:sz="4" w:space="0" w:color="auto"/>
            </w:tcBorders>
          </w:tcPr>
          <w:p w14:paraId="0931F355" w14:textId="77777777" w:rsidR="002D0AE7" w:rsidRDefault="00333EBB">
            <w:pPr>
              <w:rPr>
                <w:rFonts w:hint="eastAsia"/>
              </w:rPr>
            </w:pPr>
            <w:r>
              <w:t>VOCs</w:t>
            </w:r>
          </w:p>
        </w:tc>
        <w:tc>
          <w:tcPr>
            <w:tcW w:w="567" w:type="dxa"/>
            <w:tcBorders>
              <w:top w:val="single" w:sz="4" w:space="0" w:color="auto"/>
              <w:left w:val="single" w:sz="4" w:space="0" w:color="auto"/>
              <w:bottom w:val="single" w:sz="4" w:space="0" w:color="auto"/>
              <w:right w:val="single" w:sz="4" w:space="0" w:color="auto"/>
            </w:tcBorders>
          </w:tcPr>
          <w:p w14:paraId="5C50C91C"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22403115" w14:textId="77777777" w:rsidR="002D0AE7" w:rsidRDefault="00333EBB">
            <w:pPr>
              <w:rPr>
                <w:rFonts w:hint="eastAsia"/>
              </w:rPr>
            </w:pPr>
            <w:r>
              <w:t>Volatile Organic Compounds</w:t>
            </w:r>
            <w:r>
              <w:rPr>
                <w:rFonts w:hint="eastAsia"/>
              </w:rPr>
              <w:t>，</w:t>
            </w:r>
            <w:r>
              <w:t>挥发性有机物。</w:t>
            </w:r>
          </w:p>
        </w:tc>
      </w:tr>
      <w:tr w:rsidR="002D0AE7" w14:paraId="7D2BC4BC" w14:textId="77777777">
        <w:tc>
          <w:tcPr>
            <w:tcW w:w="2870" w:type="dxa"/>
            <w:tcBorders>
              <w:top w:val="single" w:sz="4" w:space="0" w:color="auto"/>
              <w:left w:val="single" w:sz="4" w:space="0" w:color="auto"/>
              <w:bottom w:val="single" w:sz="4" w:space="0" w:color="auto"/>
              <w:right w:val="single" w:sz="4" w:space="0" w:color="auto"/>
            </w:tcBorders>
          </w:tcPr>
          <w:p w14:paraId="24A7286F" w14:textId="77777777" w:rsidR="002D0AE7" w:rsidRDefault="00333EBB">
            <w:pPr>
              <w:rPr>
                <w:rFonts w:hint="eastAsia"/>
              </w:rPr>
            </w:pPr>
            <w:r>
              <w:lastRenderedPageBreak/>
              <w:t>COD</w:t>
            </w:r>
          </w:p>
        </w:tc>
        <w:tc>
          <w:tcPr>
            <w:tcW w:w="567" w:type="dxa"/>
            <w:tcBorders>
              <w:top w:val="single" w:sz="4" w:space="0" w:color="auto"/>
              <w:left w:val="single" w:sz="4" w:space="0" w:color="auto"/>
              <w:bottom w:val="single" w:sz="4" w:space="0" w:color="auto"/>
              <w:right w:val="single" w:sz="4" w:space="0" w:color="auto"/>
            </w:tcBorders>
          </w:tcPr>
          <w:p w14:paraId="3BC6FF71"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5C427913" w14:textId="77777777" w:rsidR="002D0AE7" w:rsidRDefault="00333EBB">
            <w:pPr>
              <w:rPr>
                <w:rFonts w:hint="eastAsia"/>
              </w:rPr>
            </w:pPr>
            <w:r>
              <w:t xml:space="preserve">Chemical Oxygen </w:t>
            </w:r>
            <w:r>
              <w:t>Demand</w:t>
            </w:r>
            <w:r>
              <w:t>，化学需氧量，是以化学方法测量水样中需要被氧化的还原性物质的量。</w:t>
            </w:r>
          </w:p>
        </w:tc>
      </w:tr>
      <w:tr w:rsidR="002D0AE7" w14:paraId="7BA1B081" w14:textId="77777777">
        <w:tc>
          <w:tcPr>
            <w:tcW w:w="2870" w:type="dxa"/>
            <w:tcBorders>
              <w:top w:val="single" w:sz="4" w:space="0" w:color="auto"/>
              <w:left w:val="single" w:sz="4" w:space="0" w:color="auto"/>
              <w:bottom w:val="single" w:sz="4" w:space="0" w:color="auto"/>
              <w:right w:val="single" w:sz="4" w:space="0" w:color="auto"/>
            </w:tcBorders>
          </w:tcPr>
          <w:p w14:paraId="132763A6" w14:textId="77777777" w:rsidR="002D0AE7" w:rsidRDefault="00333EBB">
            <w:pPr>
              <w:rPr>
                <w:rFonts w:hint="eastAsia"/>
              </w:rPr>
            </w:pPr>
            <w:r>
              <w:t>BOD</w:t>
            </w:r>
            <w:r>
              <w:rPr>
                <w:vertAlign w:val="subscript"/>
              </w:rPr>
              <w:t>5</w:t>
            </w:r>
          </w:p>
        </w:tc>
        <w:tc>
          <w:tcPr>
            <w:tcW w:w="567" w:type="dxa"/>
            <w:tcBorders>
              <w:top w:val="single" w:sz="4" w:space="0" w:color="auto"/>
              <w:left w:val="single" w:sz="4" w:space="0" w:color="auto"/>
              <w:bottom w:val="single" w:sz="4" w:space="0" w:color="auto"/>
              <w:right w:val="single" w:sz="4" w:space="0" w:color="auto"/>
            </w:tcBorders>
          </w:tcPr>
          <w:p w14:paraId="69269AD0"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090E10A8" w14:textId="77777777" w:rsidR="002D0AE7" w:rsidRDefault="00333EBB">
            <w:pPr>
              <w:rPr>
                <w:rFonts w:hint="eastAsia"/>
              </w:rPr>
            </w:pPr>
            <w:r>
              <w:t>Biochemical Oxygen Demand</w:t>
            </w:r>
            <w:r>
              <w:t>，生物需氧量。</w:t>
            </w:r>
          </w:p>
        </w:tc>
      </w:tr>
      <w:tr w:rsidR="002D0AE7" w14:paraId="7B268A9C" w14:textId="77777777">
        <w:tc>
          <w:tcPr>
            <w:tcW w:w="2870" w:type="dxa"/>
            <w:tcBorders>
              <w:top w:val="single" w:sz="4" w:space="0" w:color="auto"/>
              <w:left w:val="single" w:sz="4" w:space="0" w:color="auto"/>
              <w:bottom w:val="single" w:sz="4" w:space="0" w:color="auto"/>
              <w:right w:val="single" w:sz="4" w:space="0" w:color="auto"/>
            </w:tcBorders>
          </w:tcPr>
          <w:p w14:paraId="04FD3CE7" w14:textId="77777777" w:rsidR="002D0AE7" w:rsidRDefault="00333EBB">
            <w:pPr>
              <w:rPr>
                <w:rFonts w:hint="eastAsia"/>
              </w:rPr>
            </w:pPr>
            <w:r>
              <w:t>CMO</w:t>
            </w:r>
          </w:p>
        </w:tc>
        <w:tc>
          <w:tcPr>
            <w:tcW w:w="567" w:type="dxa"/>
            <w:tcBorders>
              <w:top w:val="single" w:sz="4" w:space="0" w:color="auto"/>
              <w:left w:val="single" w:sz="4" w:space="0" w:color="auto"/>
              <w:bottom w:val="single" w:sz="4" w:space="0" w:color="auto"/>
              <w:right w:val="single" w:sz="4" w:space="0" w:color="auto"/>
            </w:tcBorders>
          </w:tcPr>
          <w:p w14:paraId="02161D19" w14:textId="77777777" w:rsidR="002D0AE7" w:rsidRDefault="00333EBB">
            <w:pPr>
              <w:jc w:val="center"/>
              <w:rPr>
                <w:rFonts w:hint="eastAsia"/>
              </w:rPr>
            </w:pPr>
            <w:r>
              <w:t>指</w:t>
            </w:r>
          </w:p>
        </w:tc>
        <w:tc>
          <w:tcPr>
            <w:tcW w:w="6379" w:type="dxa"/>
            <w:tcBorders>
              <w:top w:val="single" w:sz="4" w:space="0" w:color="auto"/>
              <w:left w:val="single" w:sz="4" w:space="0" w:color="auto"/>
              <w:bottom w:val="single" w:sz="4" w:space="0" w:color="auto"/>
              <w:right w:val="single" w:sz="4" w:space="0" w:color="auto"/>
            </w:tcBorders>
          </w:tcPr>
          <w:p w14:paraId="2566FDE2" w14:textId="77777777" w:rsidR="002D0AE7" w:rsidRDefault="00333EBB">
            <w:pPr>
              <w:rPr>
                <w:rFonts w:hint="eastAsia"/>
              </w:rPr>
            </w:pPr>
            <w:r>
              <w:t>Contract</w:t>
            </w:r>
            <w:r>
              <w:rPr>
                <w:rFonts w:hint="eastAsia"/>
              </w:rPr>
              <w:t xml:space="preserve"> </w:t>
            </w:r>
            <w:r>
              <w:t>Manufacture</w:t>
            </w:r>
            <w:r>
              <w:rPr>
                <w:rFonts w:hint="eastAsia"/>
              </w:rPr>
              <w:t xml:space="preserve"> </w:t>
            </w:r>
            <w:r>
              <w:t>Organization</w:t>
            </w:r>
            <w:r>
              <w:t>，</w:t>
            </w:r>
            <w:r>
              <w:rPr>
                <w:rFonts w:hint="eastAsia"/>
              </w:rPr>
              <w:t>药品委托生产</w:t>
            </w:r>
            <w:r>
              <w:t>。</w:t>
            </w:r>
          </w:p>
        </w:tc>
      </w:tr>
      <w:tr w:rsidR="002D0AE7" w14:paraId="0FCE8EC9" w14:textId="77777777">
        <w:tc>
          <w:tcPr>
            <w:tcW w:w="2870" w:type="dxa"/>
            <w:tcBorders>
              <w:top w:val="single" w:sz="4" w:space="0" w:color="auto"/>
              <w:left w:val="single" w:sz="4" w:space="0" w:color="auto"/>
              <w:bottom w:val="single" w:sz="4" w:space="0" w:color="auto"/>
              <w:right w:val="single" w:sz="4" w:space="0" w:color="auto"/>
            </w:tcBorders>
          </w:tcPr>
          <w:p w14:paraId="10A08CC5" w14:textId="77777777" w:rsidR="002D0AE7" w:rsidRDefault="00333EBB">
            <w:pPr>
              <w:rPr>
                <w:rFonts w:hint="eastAsia"/>
              </w:rPr>
            </w:pPr>
            <w:r>
              <w:t>MRO</w:t>
            </w:r>
          </w:p>
        </w:tc>
        <w:tc>
          <w:tcPr>
            <w:tcW w:w="567" w:type="dxa"/>
            <w:tcBorders>
              <w:top w:val="single" w:sz="4" w:space="0" w:color="auto"/>
              <w:left w:val="single" w:sz="4" w:space="0" w:color="auto"/>
              <w:bottom w:val="single" w:sz="4" w:space="0" w:color="auto"/>
              <w:right w:val="single" w:sz="4" w:space="0" w:color="auto"/>
            </w:tcBorders>
          </w:tcPr>
          <w:p w14:paraId="7A450C0C" w14:textId="77777777" w:rsidR="002D0AE7" w:rsidRDefault="00333EBB">
            <w:pPr>
              <w:jc w:val="center"/>
              <w:rPr>
                <w:rFonts w:hint="eastAsia"/>
              </w:rPr>
            </w:pPr>
            <w:r>
              <w:rPr>
                <w:rFonts w:hint="eastAsia"/>
              </w:rPr>
              <w:t>指</w:t>
            </w:r>
          </w:p>
        </w:tc>
        <w:tc>
          <w:tcPr>
            <w:tcW w:w="6379" w:type="dxa"/>
            <w:tcBorders>
              <w:top w:val="single" w:sz="4" w:space="0" w:color="auto"/>
              <w:left w:val="single" w:sz="4" w:space="0" w:color="auto"/>
              <w:bottom w:val="single" w:sz="4" w:space="0" w:color="auto"/>
              <w:right w:val="single" w:sz="4" w:space="0" w:color="auto"/>
            </w:tcBorders>
          </w:tcPr>
          <w:p w14:paraId="45EC2830" w14:textId="77777777" w:rsidR="002D0AE7" w:rsidRDefault="00333EBB">
            <w:pPr>
              <w:rPr>
                <w:rFonts w:hint="eastAsia"/>
              </w:rPr>
            </w:pPr>
            <w:r>
              <w:t>Maintenance</w:t>
            </w:r>
            <w:r>
              <w:t>、</w:t>
            </w:r>
            <w:r>
              <w:t>Repair</w:t>
            </w:r>
            <w:r>
              <w:t>、</w:t>
            </w:r>
            <w:r>
              <w:t>Operations</w:t>
            </w:r>
            <w:r>
              <w:rPr>
                <w:rFonts w:hint="eastAsia"/>
              </w:rPr>
              <w:t>，用于保障企业正常运营的各类物资以及相关服务。</w:t>
            </w:r>
          </w:p>
        </w:tc>
      </w:tr>
    </w:tbl>
    <w:p w14:paraId="0248643A" w14:textId="77777777" w:rsidR="002D0AE7" w:rsidRDefault="00333EBB">
      <w:pPr>
        <w:pStyle w:val="1"/>
        <w:numPr>
          <w:ilvl w:val="0"/>
          <w:numId w:val="2"/>
        </w:numPr>
        <w:rPr>
          <w:rFonts w:ascii="黑体" w:hAnsi="黑体" w:hint="eastAsia"/>
          <w:color w:val="000000" w:themeColor="text1"/>
          <w:u w:val="single"/>
        </w:rPr>
      </w:pPr>
      <w:bookmarkStart w:id="8" w:name="_Toc76114273"/>
      <w:bookmarkStart w:id="9" w:name="_Toc142578256"/>
      <w:r>
        <w:rPr>
          <w:rFonts w:ascii="黑体" w:hAnsi="黑体" w:hint="eastAsia"/>
          <w:color w:val="000000" w:themeColor="text1"/>
        </w:rPr>
        <w:t>公司简介</w:t>
      </w:r>
      <w:bookmarkEnd w:id="7"/>
      <w:r>
        <w:rPr>
          <w:rFonts w:ascii="黑体" w:hAnsi="黑体" w:hint="eastAsia"/>
          <w:color w:val="000000" w:themeColor="text1"/>
        </w:rPr>
        <w:t>和主要财务指标</w:t>
      </w:r>
      <w:bookmarkEnd w:id="8"/>
      <w:bookmarkEnd w:id="9"/>
    </w:p>
    <w:p w14:paraId="2E39C92E" w14:textId="77777777" w:rsidR="002D0AE7" w:rsidRDefault="00333EBB">
      <w:pPr>
        <w:pStyle w:val="2"/>
        <w:numPr>
          <w:ilvl w:val="0"/>
          <w:numId w:val="3"/>
        </w:numPr>
        <w:ind w:firstLineChars="0"/>
        <w:rPr>
          <w:color w:val="000000" w:themeColor="text1"/>
        </w:rPr>
      </w:pPr>
      <w:bookmarkStart w:id="10" w:name="_Toc342565881"/>
      <w:bookmarkStart w:id="11" w:name="_Toc342051041"/>
      <w:r>
        <w:rPr>
          <w:rFonts w:hint="eastAsia"/>
          <w:color w:val="000000" w:themeColor="text1"/>
        </w:rPr>
        <w:t>公司信息</w:t>
      </w:r>
      <w:bookmarkEnd w:id="10"/>
      <w:bookmarkEnd w:id="11"/>
    </w:p>
    <w:tbl>
      <w:tblPr>
        <w:tblW w:w="5463" w:type="pct"/>
        <w:tblInd w:w="-289" w:type="dxa"/>
        <w:tblBorders>
          <w:top w:val="single" w:sz="4" w:space="0" w:color="auto"/>
          <w:left w:val="single" w:sz="4" w:space="0" w:color="auto"/>
          <w:bottom w:val="single" w:sz="4" w:space="0" w:color="auto"/>
          <w:right w:val="single" w:sz="4" w:space="0" w:color="auto"/>
        </w:tblBorders>
        <w:tblCellMar>
          <w:left w:w="30" w:type="dxa"/>
          <w:right w:w="30" w:type="dxa"/>
        </w:tblCellMar>
        <w:tblLook w:val="04A0" w:firstRow="1" w:lastRow="0" w:firstColumn="1" w:lastColumn="0" w:noHBand="0" w:noVBand="1"/>
      </w:tblPr>
      <w:tblGrid>
        <w:gridCol w:w="4114"/>
        <w:gridCol w:w="5526"/>
      </w:tblGrid>
      <w:tr w:rsidR="002D0AE7" w14:paraId="607F3BCB" w14:textId="77777777">
        <w:trPr>
          <w:trHeight w:val="293"/>
        </w:trPr>
        <w:bookmarkStart w:id="12" w:name="_Toc342051042" w:displacedByCustomXml="next"/>
        <w:bookmarkStart w:id="13" w:name="_Toc342565882" w:displacedByCustomXml="next"/>
        <w:sdt>
          <w:sdtPr>
            <w:rPr>
              <w:color w:val="000000" w:themeColor="text1"/>
            </w:rPr>
            <w:tag w:val="_PLD_372cd7a5ecc1420488735479d42bf939"/>
            <w:id w:val="-1902739658"/>
          </w:sdtPr>
          <w:sdtEndPr/>
          <w:sdtContent>
            <w:tc>
              <w:tcPr>
                <w:tcW w:w="2134" w:type="pct"/>
                <w:tcBorders>
                  <w:top w:val="single" w:sz="4" w:space="0" w:color="auto"/>
                  <w:bottom w:val="single" w:sz="4" w:space="0" w:color="auto"/>
                  <w:right w:val="single" w:sz="4" w:space="0" w:color="auto"/>
                </w:tcBorders>
                <w:shd w:val="clear" w:color="auto" w:fill="auto"/>
              </w:tcPr>
              <w:p w14:paraId="79E7C7D2" w14:textId="77777777" w:rsidR="002D0AE7" w:rsidRDefault="00333EBB">
                <w:pPr>
                  <w:kinsoku w:val="0"/>
                  <w:overflowPunct w:val="0"/>
                  <w:autoSpaceDE w:val="0"/>
                  <w:autoSpaceDN w:val="0"/>
                  <w:adjustRightInd w:val="0"/>
                  <w:snapToGrid w:val="0"/>
                  <w:jc w:val="center"/>
                  <w:rPr>
                    <w:rFonts w:hint="eastAsia"/>
                    <w:color w:val="000000" w:themeColor="text1"/>
                  </w:rPr>
                </w:pPr>
                <w:r>
                  <w:rPr>
                    <w:rFonts w:hint="eastAsia"/>
                    <w:color w:val="000000" w:themeColor="text1"/>
                  </w:rPr>
                  <w:t>公司的中文名称</w:t>
                </w:r>
              </w:p>
            </w:tc>
          </w:sdtContent>
        </w:sdt>
        <w:sdt>
          <w:sdtPr>
            <w:rPr>
              <w:rFonts w:hint="eastAsia"/>
              <w:color w:val="000000" w:themeColor="text1"/>
            </w:rPr>
            <w:alias w:val="公司法定中文名称"/>
            <w:tag w:val="_GBC_6f7f4fb261c84402a309f1371502ca4f"/>
            <w:id w:val="-1500423511"/>
            <w:dataBinding w:prefixMappings="xmlns:clcid-cgi='clcid-cgi'" w:xpath="/*/clcid-cgi:GongSiFaDingZhongWenMingCheng[not(@periodRef)]" w:storeItemID="{89EBAB94-44A0-46A2-B712-30D997D04A6D}"/>
            <w:text/>
          </w:sdtPr>
          <w:sdtEndPr/>
          <w:sdtContent>
            <w:tc>
              <w:tcPr>
                <w:tcW w:w="2866" w:type="pct"/>
                <w:tcBorders>
                  <w:top w:val="single" w:sz="4" w:space="0" w:color="auto"/>
                  <w:left w:val="single" w:sz="4" w:space="0" w:color="auto"/>
                  <w:bottom w:val="single" w:sz="4" w:space="0" w:color="auto"/>
                </w:tcBorders>
              </w:tcPr>
              <w:p w14:paraId="4BE9B987" w14:textId="77777777" w:rsidR="002D0AE7" w:rsidRDefault="00333EBB">
                <w:pPr>
                  <w:kinsoku w:val="0"/>
                  <w:overflowPunct w:val="0"/>
                  <w:autoSpaceDE w:val="0"/>
                  <w:autoSpaceDN w:val="0"/>
                  <w:adjustRightInd w:val="0"/>
                  <w:snapToGrid w:val="0"/>
                  <w:jc w:val="center"/>
                  <w:rPr>
                    <w:rFonts w:hint="eastAsia"/>
                    <w:color w:val="000000" w:themeColor="text1"/>
                  </w:rPr>
                </w:pPr>
                <w:r>
                  <w:rPr>
                    <w:rFonts w:hint="eastAsia"/>
                    <w:color w:val="000000" w:themeColor="text1"/>
                  </w:rPr>
                  <w:t>津药药业股份有限公司</w:t>
                </w:r>
              </w:p>
            </w:tc>
          </w:sdtContent>
        </w:sdt>
      </w:tr>
      <w:tr w:rsidR="002D0AE7" w14:paraId="3B9D56E5" w14:textId="77777777">
        <w:trPr>
          <w:trHeight w:val="293"/>
        </w:trPr>
        <w:tc>
          <w:tcPr>
            <w:tcW w:w="2134" w:type="pct"/>
            <w:tcBorders>
              <w:top w:val="single" w:sz="4" w:space="0" w:color="auto"/>
              <w:bottom w:val="single" w:sz="4" w:space="0" w:color="auto"/>
              <w:right w:val="single" w:sz="4" w:space="0" w:color="auto"/>
            </w:tcBorders>
            <w:shd w:val="clear" w:color="auto" w:fill="auto"/>
          </w:tcPr>
          <w:p w14:paraId="0C25CD17" w14:textId="77777777" w:rsidR="002D0AE7" w:rsidRDefault="00333EBB">
            <w:pPr>
              <w:kinsoku w:val="0"/>
              <w:overflowPunct w:val="0"/>
              <w:autoSpaceDE w:val="0"/>
              <w:autoSpaceDN w:val="0"/>
              <w:adjustRightInd w:val="0"/>
              <w:snapToGrid w:val="0"/>
              <w:jc w:val="center"/>
              <w:rPr>
                <w:rFonts w:hint="eastAsia"/>
                <w:color w:val="000000" w:themeColor="text1"/>
              </w:rPr>
            </w:pPr>
            <w:r>
              <w:rPr>
                <w:rFonts w:hint="eastAsia"/>
                <w:color w:val="000000" w:themeColor="text1"/>
              </w:rPr>
              <w:t>公司的中文简称</w:t>
            </w:r>
          </w:p>
        </w:tc>
        <w:tc>
          <w:tcPr>
            <w:tcW w:w="2866" w:type="pct"/>
            <w:tcBorders>
              <w:top w:val="single" w:sz="4" w:space="0" w:color="auto"/>
              <w:left w:val="single" w:sz="4" w:space="0" w:color="auto"/>
              <w:bottom w:val="single" w:sz="4" w:space="0" w:color="auto"/>
            </w:tcBorders>
          </w:tcPr>
          <w:p w14:paraId="2139A5E0" w14:textId="77777777" w:rsidR="002D0AE7" w:rsidRDefault="00333EBB">
            <w:pPr>
              <w:kinsoku w:val="0"/>
              <w:overflowPunct w:val="0"/>
              <w:autoSpaceDE w:val="0"/>
              <w:autoSpaceDN w:val="0"/>
              <w:adjustRightInd w:val="0"/>
              <w:snapToGrid w:val="0"/>
              <w:jc w:val="center"/>
              <w:rPr>
                <w:rFonts w:hint="eastAsia"/>
              </w:rPr>
            </w:pPr>
            <w:r>
              <w:t>津药药业</w:t>
            </w:r>
          </w:p>
        </w:tc>
      </w:tr>
      <w:tr w:rsidR="002D0AE7" w14:paraId="1B75C248" w14:textId="77777777">
        <w:trPr>
          <w:trHeight w:val="293"/>
        </w:trPr>
        <w:tc>
          <w:tcPr>
            <w:tcW w:w="2134" w:type="pct"/>
            <w:tcBorders>
              <w:top w:val="single" w:sz="4" w:space="0" w:color="auto"/>
              <w:bottom w:val="single" w:sz="4" w:space="0" w:color="auto"/>
              <w:right w:val="single" w:sz="4" w:space="0" w:color="auto"/>
            </w:tcBorders>
            <w:shd w:val="clear" w:color="auto" w:fill="auto"/>
          </w:tcPr>
          <w:p w14:paraId="1E1B64D6" w14:textId="77777777" w:rsidR="002D0AE7" w:rsidRDefault="00333EBB">
            <w:pPr>
              <w:kinsoku w:val="0"/>
              <w:overflowPunct w:val="0"/>
              <w:autoSpaceDE w:val="0"/>
              <w:autoSpaceDN w:val="0"/>
              <w:adjustRightInd w:val="0"/>
              <w:snapToGrid w:val="0"/>
              <w:jc w:val="center"/>
              <w:rPr>
                <w:rFonts w:hint="eastAsia"/>
                <w:color w:val="000000" w:themeColor="text1"/>
              </w:rPr>
            </w:pPr>
            <w:r>
              <w:rPr>
                <w:color w:val="000000" w:themeColor="text1"/>
              </w:rPr>
              <w:t>公司的外文名称</w:t>
            </w:r>
          </w:p>
        </w:tc>
        <w:tc>
          <w:tcPr>
            <w:tcW w:w="2866" w:type="pct"/>
            <w:tcBorders>
              <w:top w:val="single" w:sz="4" w:space="0" w:color="auto"/>
              <w:left w:val="single" w:sz="4" w:space="0" w:color="auto"/>
              <w:bottom w:val="single" w:sz="4" w:space="0" w:color="auto"/>
            </w:tcBorders>
          </w:tcPr>
          <w:p w14:paraId="1BF830D3" w14:textId="77777777" w:rsidR="002D0AE7" w:rsidRDefault="00333EBB">
            <w:pPr>
              <w:kinsoku w:val="0"/>
              <w:overflowPunct w:val="0"/>
              <w:autoSpaceDE w:val="0"/>
              <w:autoSpaceDN w:val="0"/>
              <w:adjustRightInd w:val="0"/>
              <w:snapToGrid w:val="0"/>
              <w:jc w:val="center"/>
              <w:rPr>
                <w:rFonts w:hint="eastAsia"/>
              </w:rPr>
            </w:pPr>
            <w:r>
              <w:t>Tianjin</w:t>
            </w:r>
            <w:r>
              <w:rPr>
                <w:rFonts w:hint="eastAsia"/>
              </w:rPr>
              <w:t xml:space="preserve"> </w:t>
            </w:r>
            <w:r>
              <w:t>Tianyao</w:t>
            </w:r>
            <w:r>
              <w:rPr>
                <w:rFonts w:hint="eastAsia"/>
              </w:rPr>
              <w:t xml:space="preserve"> </w:t>
            </w:r>
            <w:r>
              <w:t>Pharmaceuticals</w:t>
            </w:r>
            <w:r>
              <w:rPr>
                <w:rFonts w:hint="eastAsia"/>
              </w:rPr>
              <w:t xml:space="preserve"> </w:t>
            </w:r>
            <w:r>
              <w:t>Co.,Ltd</w:t>
            </w:r>
          </w:p>
        </w:tc>
      </w:tr>
      <w:tr w:rsidR="002D0AE7" w14:paraId="72EF6EA6" w14:textId="77777777">
        <w:trPr>
          <w:trHeight w:val="293"/>
        </w:trPr>
        <w:tc>
          <w:tcPr>
            <w:tcW w:w="2134" w:type="pct"/>
            <w:tcBorders>
              <w:top w:val="single" w:sz="4" w:space="0" w:color="auto"/>
              <w:bottom w:val="single" w:sz="4" w:space="0" w:color="auto"/>
              <w:right w:val="single" w:sz="4" w:space="0" w:color="auto"/>
            </w:tcBorders>
            <w:shd w:val="clear" w:color="auto" w:fill="auto"/>
          </w:tcPr>
          <w:p w14:paraId="0FAAFD68" w14:textId="77777777" w:rsidR="002D0AE7" w:rsidRDefault="00333EBB">
            <w:pPr>
              <w:kinsoku w:val="0"/>
              <w:overflowPunct w:val="0"/>
              <w:autoSpaceDE w:val="0"/>
              <w:autoSpaceDN w:val="0"/>
              <w:adjustRightInd w:val="0"/>
              <w:snapToGrid w:val="0"/>
              <w:jc w:val="center"/>
              <w:rPr>
                <w:rFonts w:hint="eastAsia"/>
                <w:color w:val="000000" w:themeColor="text1"/>
              </w:rPr>
            </w:pPr>
            <w:r>
              <w:rPr>
                <w:color w:val="000000" w:themeColor="text1"/>
              </w:rPr>
              <w:t>公司的外文名称缩写</w:t>
            </w:r>
          </w:p>
        </w:tc>
        <w:tc>
          <w:tcPr>
            <w:tcW w:w="2866" w:type="pct"/>
            <w:tcBorders>
              <w:top w:val="single" w:sz="4" w:space="0" w:color="auto"/>
              <w:left w:val="single" w:sz="4" w:space="0" w:color="auto"/>
              <w:bottom w:val="single" w:sz="4" w:space="0" w:color="auto"/>
            </w:tcBorders>
          </w:tcPr>
          <w:p w14:paraId="2DC82991" w14:textId="77777777" w:rsidR="002D0AE7" w:rsidRDefault="00333EBB">
            <w:pPr>
              <w:kinsoku w:val="0"/>
              <w:overflowPunct w:val="0"/>
              <w:autoSpaceDE w:val="0"/>
              <w:autoSpaceDN w:val="0"/>
              <w:adjustRightInd w:val="0"/>
              <w:snapToGrid w:val="0"/>
              <w:jc w:val="center"/>
              <w:rPr>
                <w:rFonts w:hint="eastAsia"/>
              </w:rPr>
            </w:pPr>
            <w:r>
              <w:t>TJPC</w:t>
            </w:r>
          </w:p>
        </w:tc>
      </w:tr>
      <w:tr w:rsidR="002D0AE7" w14:paraId="255F2DA6" w14:textId="77777777">
        <w:trPr>
          <w:trHeight w:val="293"/>
        </w:trPr>
        <w:tc>
          <w:tcPr>
            <w:tcW w:w="2134" w:type="pct"/>
            <w:tcBorders>
              <w:top w:val="single" w:sz="4" w:space="0" w:color="auto"/>
              <w:bottom w:val="single" w:sz="4" w:space="0" w:color="auto"/>
              <w:right w:val="single" w:sz="4" w:space="0" w:color="auto"/>
            </w:tcBorders>
            <w:shd w:val="clear" w:color="auto" w:fill="auto"/>
          </w:tcPr>
          <w:p w14:paraId="6674C160" w14:textId="77777777" w:rsidR="002D0AE7" w:rsidRDefault="00333EBB">
            <w:pPr>
              <w:kinsoku w:val="0"/>
              <w:overflowPunct w:val="0"/>
              <w:autoSpaceDE w:val="0"/>
              <w:autoSpaceDN w:val="0"/>
              <w:adjustRightInd w:val="0"/>
              <w:snapToGrid w:val="0"/>
              <w:jc w:val="center"/>
              <w:rPr>
                <w:rFonts w:hint="eastAsia"/>
                <w:color w:val="000000" w:themeColor="text1"/>
              </w:rPr>
            </w:pPr>
            <w:r>
              <w:rPr>
                <w:color w:val="000000" w:themeColor="text1"/>
              </w:rPr>
              <w:t>公司的</w:t>
            </w:r>
            <w:r>
              <w:rPr>
                <w:rFonts w:hint="eastAsia"/>
                <w:color w:val="000000" w:themeColor="text1"/>
              </w:rPr>
              <w:t>法定代表人</w:t>
            </w:r>
          </w:p>
        </w:tc>
        <w:tc>
          <w:tcPr>
            <w:tcW w:w="2866" w:type="pct"/>
            <w:tcBorders>
              <w:top w:val="single" w:sz="4" w:space="0" w:color="auto"/>
              <w:left w:val="single" w:sz="4" w:space="0" w:color="auto"/>
              <w:bottom w:val="single" w:sz="4" w:space="0" w:color="auto"/>
            </w:tcBorders>
          </w:tcPr>
          <w:p w14:paraId="282B6F72" w14:textId="77777777" w:rsidR="002D0AE7" w:rsidRDefault="00333EBB">
            <w:pPr>
              <w:kinsoku w:val="0"/>
              <w:overflowPunct w:val="0"/>
              <w:autoSpaceDE w:val="0"/>
              <w:autoSpaceDN w:val="0"/>
              <w:adjustRightInd w:val="0"/>
              <w:snapToGrid w:val="0"/>
              <w:jc w:val="center"/>
              <w:rPr>
                <w:rFonts w:hint="eastAsia"/>
              </w:rPr>
            </w:pPr>
            <w:r>
              <w:t>李书箱</w:t>
            </w:r>
          </w:p>
        </w:tc>
      </w:tr>
    </w:tbl>
    <w:p w14:paraId="4F670CD9" w14:textId="77777777" w:rsidR="002D0AE7" w:rsidRDefault="00333EBB">
      <w:pPr>
        <w:pStyle w:val="2"/>
        <w:numPr>
          <w:ilvl w:val="0"/>
          <w:numId w:val="3"/>
        </w:numPr>
        <w:ind w:firstLineChars="0"/>
        <w:rPr>
          <w:color w:val="000000" w:themeColor="text1"/>
        </w:rPr>
      </w:pPr>
      <w:r>
        <w:rPr>
          <w:rFonts w:hint="eastAsia"/>
          <w:color w:val="000000" w:themeColor="text1"/>
        </w:rPr>
        <w:t>联系人和联系方式</w:t>
      </w:r>
      <w:bookmarkEnd w:id="13"/>
      <w:bookmarkEnd w:id="12"/>
    </w:p>
    <w:tbl>
      <w:tblPr>
        <w:tblW w:w="5463" w:type="pct"/>
        <w:tblInd w:w="-28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firstRow="1" w:lastRow="0" w:firstColumn="1" w:lastColumn="0" w:noHBand="0" w:noVBand="1"/>
      </w:tblPr>
      <w:tblGrid>
        <w:gridCol w:w="2551"/>
        <w:gridCol w:w="3403"/>
        <w:gridCol w:w="3686"/>
      </w:tblGrid>
      <w:tr w:rsidR="002D0AE7" w14:paraId="2E8827E9" w14:textId="77777777">
        <w:tc>
          <w:tcPr>
            <w:tcW w:w="1323" w:type="pct"/>
            <w:tcBorders>
              <w:top w:val="single" w:sz="4" w:space="0" w:color="auto"/>
              <w:bottom w:val="single" w:sz="4" w:space="0" w:color="auto"/>
              <w:right w:val="single" w:sz="4" w:space="0" w:color="auto"/>
            </w:tcBorders>
            <w:shd w:val="clear" w:color="auto" w:fill="auto"/>
          </w:tcPr>
          <w:p w14:paraId="3F64CEFA" w14:textId="77777777" w:rsidR="002D0AE7" w:rsidRDefault="002D0AE7">
            <w:pPr>
              <w:kinsoku w:val="0"/>
              <w:overflowPunct w:val="0"/>
              <w:autoSpaceDE w:val="0"/>
              <w:autoSpaceDN w:val="0"/>
              <w:adjustRightInd w:val="0"/>
              <w:snapToGrid w:val="0"/>
              <w:jc w:val="center"/>
              <w:rPr>
                <w:rFonts w:hint="eastAsia"/>
                <w:color w:val="000000" w:themeColor="text1"/>
              </w:rPr>
            </w:pPr>
          </w:p>
        </w:tc>
        <w:tc>
          <w:tcPr>
            <w:tcW w:w="1765" w:type="pct"/>
            <w:tcBorders>
              <w:top w:val="single" w:sz="4" w:space="0" w:color="auto"/>
              <w:left w:val="single" w:sz="4" w:space="0" w:color="auto"/>
              <w:bottom w:val="single" w:sz="4" w:space="0" w:color="auto"/>
              <w:right w:val="single" w:sz="4" w:space="0" w:color="auto"/>
            </w:tcBorders>
            <w:shd w:val="clear" w:color="auto" w:fill="auto"/>
          </w:tcPr>
          <w:p w14:paraId="1965271D" w14:textId="77777777" w:rsidR="002D0AE7" w:rsidRDefault="00333EBB">
            <w:pPr>
              <w:kinsoku w:val="0"/>
              <w:overflowPunct w:val="0"/>
              <w:autoSpaceDE w:val="0"/>
              <w:autoSpaceDN w:val="0"/>
              <w:adjustRightInd w:val="0"/>
              <w:snapToGrid w:val="0"/>
              <w:jc w:val="center"/>
              <w:rPr>
                <w:rFonts w:hint="eastAsia"/>
                <w:color w:val="000000" w:themeColor="text1"/>
              </w:rPr>
            </w:pPr>
            <w:sdt>
              <w:sdtPr>
                <w:rPr>
                  <w:color w:val="000000" w:themeColor="text1"/>
                </w:rPr>
                <w:tag w:val="_PLD_d0432012a3f249c3b4fdd759ff340e86"/>
                <w:id w:val="1957819702"/>
              </w:sdtPr>
              <w:sdtEndPr/>
              <w:sdtContent>
                <w:r>
                  <w:rPr>
                    <w:rFonts w:hint="eastAsia"/>
                    <w:color w:val="000000" w:themeColor="text1"/>
                  </w:rPr>
                  <w:t>董事会秘书</w:t>
                </w:r>
              </w:sdtContent>
            </w:sdt>
          </w:p>
        </w:tc>
        <w:sdt>
          <w:sdtPr>
            <w:rPr>
              <w:color w:val="000000" w:themeColor="text1"/>
            </w:rPr>
            <w:tag w:val="_PLD_3a25396416c14d2cb0688ae0ac8a1d4d"/>
            <w:id w:val="-1772997960"/>
          </w:sdtPr>
          <w:sdtEndPr/>
          <w:sdtContent>
            <w:tc>
              <w:tcPr>
                <w:tcW w:w="1912" w:type="pct"/>
                <w:tcBorders>
                  <w:top w:val="single" w:sz="4" w:space="0" w:color="auto"/>
                  <w:left w:val="single" w:sz="4" w:space="0" w:color="auto"/>
                  <w:bottom w:val="single" w:sz="4" w:space="0" w:color="auto"/>
                </w:tcBorders>
                <w:shd w:val="clear" w:color="auto" w:fill="auto"/>
              </w:tcPr>
              <w:p w14:paraId="589A324A" w14:textId="77777777" w:rsidR="002D0AE7" w:rsidRDefault="00333EBB">
                <w:pPr>
                  <w:kinsoku w:val="0"/>
                  <w:overflowPunct w:val="0"/>
                  <w:autoSpaceDE w:val="0"/>
                  <w:autoSpaceDN w:val="0"/>
                  <w:adjustRightInd w:val="0"/>
                  <w:snapToGrid w:val="0"/>
                  <w:jc w:val="center"/>
                  <w:rPr>
                    <w:rFonts w:hint="eastAsia"/>
                    <w:color w:val="000000" w:themeColor="text1"/>
                  </w:rPr>
                </w:pPr>
                <w:r>
                  <w:rPr>
                    <w:rFonts w:hint="eastAsia"/>
                    <w:color w:val="000000" w:themeColor="text1"/>
                  </w:rPr>
                  <w:t>证券事务代表</w:t>
                </w:r>
              </w:p>
            </w:tc>
          </w:sdtContent>
        </w:sdt>
      </w:tr>
      <w:tr w:rsidR="002D0AE7" w14:paraId="7A669FAC" w14:textId="77777777">
        <w:sdt>
          <w:sdtPr>
            <w:rPr>
              <w:color w:val="000000" w:themeColor="text1"/>
            </w:rPr>
            <w:tag w:val="_PLD_c18fe8824f6a4cb6b9318e599fe71657"/>
            <w:id w:val="9727365"/>
          </w:sdtPr>
          <w:sdtEndPr/>
          <w:sdtContent>
            <w:tc>
              <w:tcPr>
                <w:tcW w:w="1323" w:type="pct"/>
                <w:tcBorders>
                  <w:top w:val="single" w:sz="4" w:space="0" w:color="auto"/>
                  <w:bottom w:val="single" w:sz="4" w:space="0" w:color="auto"/>
                  <w:right w:val="single" w:sz="4" w:space="0" w:color="auto"/>
                </w:tcBorders>
                <w:shd w:val="clear" w:color="auto" w:fill="auto"/>
              </w:tcPr>
              <w:p w14:paraId="386FE61E" w14:textId="77777777" w:rsidR="002D0AE7" w:rsidRDefault="00333EBB">
                <w:pPr>
                  <w:kinsoku w:val="0"/>
                  <w:overflowPunct w:val="0"/>
                  <w:autoSpaceDE w:val="0"/>
                  <w:autoSpaceDN w:val="0"/>
                  <w:adjustRightInd w:val="0"/>
                  <w:snapToGrid w:val="0"/>
                  <w:jc w:val="center"/>
                  <w:rPr>
                    <w:rFonts w:hint="eastAsia"/>
                    <w:color w:val="000000" w:themeColor="text1"/>
                  </w:rPr>
                </w:pPr>
                <w:r>
                  <w:rPr>
                    <w:rFonts w:hint="eastAsia"/>
                    <w:color w:val="000000" w:themeColor="text1"/>
                  </w:rPr>
                  <w:t>姓名</w:t>
                </w:r>
              </w:p>
            </w:tc>
          </w:sdtContent>
        </w:sdt>
        <w:tc>
          <w:tcPr>
            <w:tcW w:w="1765" w:type="pct"/>
            <w:tcBorders>
              <w:top w:val="single" w:sz="4" w:space="0" w:color="auto"/>
              <w:left w:val="single" w:sz="4" w:space="0" w:color="auto"/>
              <w:bottom w:val="single" w:sz="4" w:space="0" w:color="auto"/>
              <w:right w:val="single" w:sz="4" w:space="0" w:color="auto"/>
            </w:tcBorders>
            <w:vAlign w:val="center"/>
          </w:tcPr>
          <w:p w14:paraId="37DBE9E3" w14:textId="77777777" w:rsidR="002D0AE7" w:rsidRDefault="00333EBB">
            <w:pPr>
              <w:kinsoku w:val="0"/>
              <w:overflowPunct w:val="0"/>
              <w:autoSpaceDE w:val="0"/>
              <w:autoSpaceDN w:val="0"/>
              <w:adjustRightInd w:val="0"/>
              <w:snapToGrid w:val="0"/>
              <w:jc w:val="center"/>
              <w:rPr>
                <w:rFonts w:hint="eastAsia"/>
              </w:rPr>
            </w:pPr>
            <w:r>
              <w:rPr>
                <w:rFonts w:hint="eastAsia"/>
              </w:rPr>
              <w:t>刘博</w:t>
            </w:r>
          </w:p>
        </w:tc>
        <w:tc>
          <w:tcPr>
            <w:tcW w:w="1912" w:type="pct"/>
            <w:tcBorders>
              <w:top w:val="single" w:sz="4" w:space="0" w:color="auto"/>
              <w:left w:val="single" w:sz="4" w:space="0" w:color="auto"/>
              <w:bottom w:val="single" w:sz="4" w:space="0" w:color="auto"/>
            </w:tcBorders>
            <w:vAlign w:val="center"/>
          </w:tcPr>
          <w:p w14:paraId="0AA86CE7" w14:textId="77777777" w:rsidR="002D0AE7" w:rsidRDefault="00333EBB">
            <w:pPr>
              <w:kinsoku w:val="0"/>
              <w:overflowPunct w:val="0"/>
              <w:autoSpaceDE w:val="0"/>
              <w:autoSpaceDN w:val="0"/>
              <w:adjustRightInd w:val="0"/>
              <w:snapToGrid w:val="0"/>
              <w:jc w:val="center"/>
              <w:rPr>
                <w:rFonts w:hint="eastAsia"/>
              </w:rPr>
            </w:pPr>
            <w:r>
              <w:t>刘卉</w:t>
            </w:r>
          </w:p>
        </w:tc>
      </w:tr>
      <w:tr w:rsidR="002D0AE7" w14:paraId="55EB7AF8" w14:textId="77777777">
        <w:sdt>
          <w:sdtPr>
            <w:rPr>
              <w:color w:val="000000" w:themeColor="text1"/>
            </w:rPr>
            <w:tag w:val="_PLD_7d3032f58380420991f3cbceac5e81fd"/>
            <w:id w:val="-269082453"/>
          </w:sdtPr>
          <w:sdtEndPr/>
          <w:sdtContent>
            <w:tc>
              <w:tcPr>
                <w:tcW w:w="1323" w:type="pct"/>
                <w:tcBorders>
                  <w:top w:val="single" w:sz="4" w:space="0" w:color="auto"/>
                  <w:bottom w:val="single" w:sz="4" w:space="0" w:color="auto"/>
                  <w:right w:val="single" w:sz="4" w:space="0" w:color="auto"/>
                </w:tcBorders>
                <w:shd w:val="clear" w:color="auto" w:fill="auto"/>
              </w:tcPr>
              <w:p w14:paraId="4E088DCF" w14:textId="77777777" w:rsidR="002D0AE7" w:rsidRDefault="00333EBB">
                <w:pPr>
                  <w:kinsoku w:val="0"/>
                  <w:overflowPunct w:val="0"/>
                  <w:autoSpaceDE w:val="0"/>
                  <w:autoSpaceDN w:val="0"/>
                  <w:adjustRightInd w:val="0"/>
                  <w:snapToGrid w:val="0"/>
                  <w:jc w:val="center"/>
                  <w:rPr>
                    <w:rFonts w:hint="eastAsia"/>
                    <w:color w:val="000000" w:themeColor="text1"/>
                  </w:rPr>
                </w:pPr>
                <w:r>
                  <w:rPr>
                    <w:rFonts w:hint="eastAsia"/>
                    <w:color w:val="000000" w:themeColor="text1"/>
                  </w:rPr>
                  <w:t>联系地址</w:t>
                </w:r>
              </w:p>
            </w:tc>
          </w:sdtContent>
        </w:sdt>
        <w:tc>
          <w:tcPr>
            <w:tcW w:w="1765" w:type="pct"/>
            <w:tcBorders>
              <w:top w:val="single" w:sz="4" w:space="0" w:color="auto"/>
              <w:left w:val="single" w:sz="4" w:space="0" w:color="auto"/>
              <w:bottom w:val="single" w:sz="4" w:space="0" w:color="auto"/>
              <w:right w:val="single" w:sz="4" w:space="0" w:color="auto"/>
            </w:tcBorders>
            <w:vAlign w:val="center"/>
          </w:tcPr>
          <w:p w14:paraId="39350FA6" w14:textId="77777777" w:rsidR="002D0AE7" w:rsidRDefault="00333EBB">
            <w:pPr>
              <w:kinsoku w:val="0"/>
              <w:overflowPunct w:val="0"/>
              <w:autoSpaceDE w:val="0"/>
              <w:autoSpaceDN w:val="0"/>
              <w:adjustRightInd w:val="0"/>
              <w:snapToGrid w:val="0"/>
              <w:jc w:val="center"/>
              <w:rPr>
                <w:rFonts w:hint="eastAsia"/>
              </w:rPr>
            </w:pPr>
            <w:r>
              <w:t>天津开发区黄海路</w:t>
            </w:r>
            <w:r>
              <w:t>221</w:t>
            </w:r>
            <w:r>
              <w:t>号</w:t>
            </w:r>
          </w:p>
        </w:tc>
        <w:tc>
          <w:tcPr>
            <w:tcW w:w="1912" w:type="pct"/>
            <w:tcBorders>
              <w:top w:val="single" w:sz="4" w:space="0" w:color="auto"/>
              <w:left w:val="single" w:sz="4" w:space="0" w:color="auto"/>
              <w:bottom w:val="single" w:sz="4" w:space="0" w:color="auto"/>
            </w:tcBorders>
            <w:vAlign w:val="center"/>
          </w:tcPr>
          <w:p w14:paraId="43A617CA" w14:textId="77777777" w:rsidR="002D0AE7" w:rsidRDefault="00333EBB">
            <w:pPr>
              <w:kinsoku w:val="0"/>
              <w:overflowPunct w:val="0"/>
              <w:autoSpaceDE w:val="0"/>
              <w:autoSpaceDN w:val="0"/>
              <w:adjustRightInd w:val="0"/>
              <w:snapToGrid w:val="0"/>
              <w:jc w:val="center"/>
              <w:rPr>
                <w:rFonts w:hint="eastAsia"/>
              </w:rPr>
            </w:pPr>
            <w:r>
              <w:t>天津开发区黄海路</w:t>
            </w:r>
            <w:r>
              <w:t>221</w:t>
            </w:r>
            <w:r>
              <w:t>号</w:t>
            </w:r>
          </w:p>
        </w:tc>
      </w:tr>
      <w:tr w:rsidR="002D0AE7" w14:paraId="01A86FED" w14:textId="77777777">
        <w:sdt>
          <w:sdtPr>
            <w:rPr>
              <w:color w:val="000000" w:themeColor="text1"/>
            </w:rPr>
            <w:tag w:val="_PLD_84ed4619f9cd46ba8ed261c2524b976d"/>
            <w:id w:val="-1786190067"/>
          </w:sdtPr>
          <w:sdtEndPr/>
          <w:sdtContent>
            <w:tc>
              <w:tcPr>
                <w:tcW w:w="1323" w:type="pct"/>
                <w:tcBorders>
                  <w:top w:val="single" w:sz="4" w:space="0" w:color="auto"/>
                  <w:bottom w:val="single" w:sz="4" w:space="0" w:color="auto"/>
                  <w:right w:val="single" w:sz="4" w:space="0" w:color="auto"/>
                </w:tcBorders>
                <w:shd w:val="clear" w:color="auto" w:fill="auto"/>
              </w:tcPr>
              <w:p w14:paraId="45D96D16" w14:textId="77777777" w:rsidR="002D0AE7" w:rsidRDefault="00333EBB">
                <w:pPr>
                  <w:kinsoku w:val="0"/>
                  <w:overflowPunct w:val="0"/>
                  <w:autoSpaceDE w:val="0"/>
                  <w:autoSpaceDN w:val="0"/>
                  <w:adjustRightInd w:val="0"/>
                  <w:snapToGrid w:val="0"/>
                  <w:jc w:val="center"/>
                  <w:rPr>
                    <w:rFonts w:hint="eastAsia"/>
                    <w:color w:val="000000" w:themeColor="text1"/>
                  </w:rPr>
                </w:pPr>
                <w:r>
                  <w:rPr>
                    <w:color w:val="000000" w:themeColor="text1"/>
                  </w:rPr>
                  <w:t>电话</w:t>
                </w:r>
              </w:p>
            </w:tc>
          </w:sdtContent>
        </w:sdt>
        <w:tc>
          <w:tcPr>
            <w:tcW w:w="1765" w:type="pct"/>
            <w:tcBorders>
              <w:top w:val="single" w:sz="4" w:space="0" w:color="auto"/>
              <w:left w:val="single" w:sz="4" w:space="0" w:color="auto"/>
              <w:bottom w:val="single" w:sz="4" w:space="0" w:color="auto"/>
              <w:right w:val="single" w:sz="4" w:space="0" w:color="auto"/>
            </w:tcBorders>
            <w:vAlign w:val="center"/>
          </w:tcPr>
          <w:p w14:paraId="413ABB89" w14:textId="77777777" w:rsidR="002D0AE7" w:rsidRDefault="00333EBB">
            <w:pPr>
              <w:kinsoku w:val="0"/>
              <w:overflowPunct w:val="0"/>
              <w:autoSpaceDE w:val="0"/>
              <w:autoSpaceDN w:val="0"/>
              <w:adjustRightInd w:val="0"/>
              <w:snapToGrid w:val="0"/>
              <w:jc w:val="center"/>
              <w:rPr>
                <w:rFonts w:hint="eastAsia"/>
              </w:rPr>
            </w:pPr>
            <w:r>
              <w:t>022-60740048</w:t>
            </w:r>
          </w:p>
        </w:tc>
        <w:tc>
          <w:tcPr>
            <w:tcW w:w="1912" w:type="pct"/>
            <w:tcBorders>
              <w:top w:val="single" w:sz="4" w:space="0" w:color="auto"/>
              <w:left w:val="single" w:sz="4" w:space="0" w:color="auto"/>
              <w:bottom w:val="single" w:sz="4" w:space="0" w:color="auto"/>
            </w:tcBorders>
            <w:vAlign w:val="center"/>
          </w:tcPr>
          <w:p w14:paraId="053948BF" w14:textId="77777777" w:rsidR="002D0AE7" w:rsidRDefault="00333EBB">
            <w:pPr>
              <w:kinsoku w:val="0"/>
              <w:overflowPunct w:val="0"/>
              <w:autoSpaceDE w:val="0"/>
              <w:autoSpaceDN w:val="0"/>
              <w:adjustRightInd w:val="0"/>
              <w:snapToGrid w:val="0"/>
              <w:jc w:val="center"/>
              <w:rPr>
                <w:rFonts w:hint="eastAsia"/>
              </w:rPr>
            </w:pPr>
            <w:r>
              <w:t>022-60740048</w:t>
            </w:r>
          </w:p>
        </w:tc>
      </w:tr>
      <w:tr w:rsidR="002D0AE7" w14:paraId="006C8078" w14:textId="77777777">
        <w:sdt>
          <w:sdtPr>
            <w:rPr>
              <w:color w:val="000000" w:themeColor="text1"/>
            </w:rPr>
            <w:tag w:val="_PLD_53ff1b9808534a99b3bbc1bc09dac246"/>
            <w:id w:val="1155808407"/>
          </w:sdtPr>
          <w:sdtEndPr/>
          <w:sdtContent>
            <w:tc>
              <w:tcPr>
                <w:tcW w:w="1323" w:type="pct"/>
                <w:tcBorders>
                  <w:top w:val="single" w:sz="4" w:space="0" w:color="auto"/>
                  <w:bottom w:val="single" w:sz="4" w:space="0" w:color="auto"/>
                  <w:right w:val="single" w:sz="4" w:space="0" w:color="auto"/>
                </w:tcBorders>
                <w:shd w:val="clear" w:color="auto" w:fill="auto"/>
              </w:tcPr>
              <w:p w14:paraId="35DA94D7" w14:textId="77777777" w:rsidR="002D0AE7" w:rsidRDefault="00333EBB">
                <w:pPr>
                  <w:kinsoku w:val="0"/>
                  <w:overflowPunct w:val="0"/>
                  <w:autoSpaceDE w:val="0"/>
                  <w:autoSpaceDN w:val="0"/>
                  <w:adjustRightInd w:val="0"/>
                  <w:snapToGrid w:val="0"/>
                  <w:jc w:val="center"/>
                  <w:rPr>
                    <w:rFonts w:hint="eastAsia"/>
                    <w:color w:val="000000" w:themeColor="text1"/>
                  </w:rPr>
                </w:pPr>
                <w:r>
                  <w:rPr>
                    <w:color w:val="000000" w:themeColor="text1"/>
                  </w:rPr>
                  <w:t>传真</w:t>
                </w:r>
              </w:p>
            </w:tc>
          </w:sdtContent>
        </w:sdt>
        <w:tc>
          <w:tcPr>
            <w:tcW w:w="1765" w:type="pct"/>
            <w:tcBorders>
              <w:top w:val="single" w:sz="4" w:space="0" w:color="auto"/>
              <w:left w:val="single" w:sz="4" w:space="0" w:color="auto"/>
              <w:bottom w:val="single" w:sz="4" w:space="0" w:color="auto"/>
              <w:right w:val="single" w:sz="4" w:space="0" w:color="auto"/>
            </w:tcBorders>
            <w:vAlign w:val="center"/>
          </w:tcPr>
          <w:p w14:paraId="1D8CC95C" w14:textId="77777777" w:rsidR="002D0AE7" w:rsidRDefault="00333EBB">
            <w:pPr>
              <w:kinsoku w:val="0"/>
              <w:overflowPunct w:val="0"/>
              <w:autoSpaceDE w:val="0"/>
              <w:autoSpaceDN w:val="0"/>
              <w:adjustRightInd w:val="0"/>
              <w:snapToGrid w:val="0"/>
              <w:jc w:val="center"/>
              <w:rPr>
                <w:rFonts w:hint="eastAsia"/>
              </w:rPr>
            </w:pPr>
            <w:r>
              <w:rPr>
                <w:rFonts w:hint="eastAsia"/>
              </w:rPr>
              <w:t>无</w:t>
            </w:r>
          </w:p>
        </w:tc>
        <w:tc>
          <w:tcPr>
            <w:tcW w:w="1912" w:type="pct"/>
            <w:tcBorders>
              <w:top w:val="single" w:sz="4" w:space="0" w:color="auto"/>
              <w:left w:val="single" w:sz="4" w:space="0" w:color="auto"/>
              <w:bottom w:val="single" w:sz="4" w:space="0" w:color="auto"/>
            </w:tcBorders>
            <w:vAlign w:val="center"/>
          </w:tcPr>
          <w:p w14:paraId="3D1597C7" w14:textId="77777777" w:rsidR="002D0AE7" w:rsidRDefault="00333EBB">
            <w:pPr>
              <w:kinsoku w:val="0"/>
              <w:overflowPunct w:val="0"/>
              <w:autoSpaceDE w:val="0"/>
              <w:autoSpaceDN w:val="0"/>
              <w:adjustRightInd w:val="0"/>
              <w:snapToGrid w:val="0"/>
              <w:jc w:val="center"/>
              <w:rPr>
                <w:rFonts w:hint="eastAsia"/>
              </w:rPr>
            </w:pPr>
            <w:r>
              <w:rPr>
                <w:rFonts w:hint="eastAsia"/>
              </w:rPr>
              <w:t>无</w:t>
            </w:r>
          </w:p>
        </w:tc>
      </w:tr>
      <w:tr w:rsidR="002D0AE7" w14:paraId="7C5A3BD3" w14:textId="77777777">
        <w:sdt>
          <w:sdtPr>
            <w:rPr>
              <w:color w:val="000000" w:themeColor="text1"/>
            </w:rPr>
            <w:tag w:val="_PLD_18165b6e55e1423db094125dc7ac3ad0"/>
            <w:id w:val="-1101025105"/>
          </w:sdtPr>
          <w:sdtEndPr/>
          <w:sdtContent>
            <w:tc>
              <w:tcPr>
                <w:tcW w:w="1323" w:type="pct"/>
                <w:tcBorders>
                  <w:top w:val="single" w:sz="4" w:space="0" w:color="auto"/>
                  <w:bottom w:val="single" w:sz="4" w:space="0" w:color="auto"/>
                  <w:right w:val="single" w:sz="4" w:space="0" w:color="auto"/>
                </w:tcBorders>
                <w:shd w:val="clear" w:color="auto" w:fill="auto"/>
              </w:tcPr>
              <w:p w14:paraId="5D892088" w14:textId="77777777" w:rsidR="002D0AE7" w:rsidRDefault="00333EBB">
                <w:pPr>
                  <w:kinsoku w:val="0"/>
                  <w:overflowPunct w:val="0"/>
                  <w:autoSpaceDE w:val="0"/>
                  <w:autoSpaceDN w:val="0"/>
                  <w:adjustRightInd w:val="0"/>
                  <w:snapToGrid w:val="0"/>
                  <w:jc w:val="center"/>
                  <w:rPr>
                    <w:rFonts w:hint="eastAsia"/>
                    <w:color w:val="000000" w:themeColor="text1"/>
                  </w:rPr>
                </w:pPr>
                <w:r>
                  <w:rPr>
                    <w:color w:val="000000" w:themeColor="text1"/>
                  </w:rPr>
                  <w:t>电子信箱</w:t>
                </w:r>
              </w:p>
            </w:tc>
          </w:sdtContent>
        </w:sdt>
        <w:tc>
          <w:tcPr>
            <w:tcW w:w="1765" w:type="pct"/>
            <w:tcBorders>
              <w:top w:val="single" w:sz="4" w:space="0" w:color="auto"/>
              <w:left w:val="single" w:sz="4" w:space="0" w:color="auto"/>
              <w:bottom w:val="single" w:sz="4" w:space="0" w:color="auto"/>
              <w:right w:val="single" w:sz="4" w:space="0" w:color="auto"/>
            </w:tcBorders>
            <w:vAlign w:val="center"/>
          </w:tcPr>
          <w:p w14:paraId="70B1F04C" w14:textId="77777777" w:rsidR="002D0AE7" w:rsidRDefault="00333EBB">
            <w:pPr>
              <w:kinsoku w:val="0"/>
              <w:overflowPunct w:val="0"/>
              <w:autoSpaceDE w:val="0"/>
              <w:autoSpaceDN w:val="0"/>
              <w:adjustRightInd w:val="0"/>
              <w:snapToGrid w:val="0"/>
              <w:jc w:val="center"/>
              <w:rPr>
                <w:rFonts w:hint="eastAsia"/>
              </w:rPr>
            </w:pPr>
            <w:r>
              <w:t>tjpc600488@vip.sina.com</w:t>
            </w:r>
          </w:p>
        </w:tc>
        <w:tc>
          <w:tcPr>
            <w:tcW w:w="1912" w:type="pct"/>
            <w:tcBorders>
              <w:top w:val="single" w:sz="4" w:space="0" w:color="auto"/>
              <w:left w:val="single" w:sz="4" w:space="0" w:color="auto"/>
              <w:bottom w:val="single" w:sz="4" w:space="0" w:color="auto"/>
            </w:tcBorders>
            <w:vAlign w:val="center"/>
          </w:tcPr>
          <w:p w14:paraId="755C98AE" w14:textId="77777777" w:rsidR="002D0AE7" w:rsidRDefault="00333EBB">
            <w:pPr>
              <w:kinsoku w:val="0"/>
              <w:overflowPunct w:val="0"/>
              <w:autoSpaceDE w:val="0"/>
              <w:autoSpaceDN w:val="0"/>
              <w:adjustRightInd w:val="0"/>
              <w:snapToGrid w:val="0"/>
              <w:jc w:val="center"/>
              <w:rPr>
                <w:rFonts w:hint="eastAsia"/>
              </w:rPr>
            </w:pPr>
            <w:r>
              <w:t>tjpc600488@vip.sina.com</w:t>
            </w:r>
          </w:p>
        </w:tc>
      </w:tr>
    </w:tbl>
    <w:p w14:paraId="2CB60E28" w14:textId="77777777" w:rsidR="002D0AE7" w:rsidRDefault="00333EBB">
      <w:pPr>
        <w:pStyle w:val="2"/>
        <w:numPr>
          <w:ilvl w:val="0"/>
          <w:numId w:val="3"/>
        </w:numPr>
        <w:ind w:firstLineChars="0"/>
        <w:rPr>
          <w:color w:val="000000" w:themeColor="text1"/>
        </w:rPr>
      </w:pPr>
      <w:r>
        <w:rPr>
          <w:color w:val="000000" w:themeColor="text1"/>
        </w:rPr>
        <w:t>基本情况变更简介</w:t>
      </w:r>
    </w:p>
    <w:tbl>
      <w:tblPr>
        <w:tblW w:w="5463" w:type="pct"/>
        <w:tblInd w:w="-289" w:type="dxa"/>
        <w:tblBorders>
          <w:top w:val="single" w:sz="4" w:space="0" w:color="auto"/>
          <w:left w:val="single" w:sz="4" w:space="0" w:color="auto"/>
          <w:bottom w:val="single" w:sz="4" w:space="0" w:color="auto"/>
          <w:right w:val="single" w:sz="4" w:space="0" w:color="auto"/>
        </w:tblBorders>
        <w:tblCellMar>
          <w:left w:w="30" w:type="dxa"/>
          <w:right w:w="30" w:type="dxa"/>
        </w:tblCellMar>
        <w:tblLook w:val="04A0" w:firstRow="1" w:lastRow="0" w:firstColumn="1" w:lastColumn="0" w:noHBand="0" w:noVBand="1"/>
      </w:tblPr>
      <w:tblGrid>
        <w:gridCol w:w="3684"/>
        <w:gridCol w:w="5956"/>
      </w:tblGrid>
      <w:tr w:rsidR="002D0AE7" w14:paraId="1B874395" w14:textId="77777777">
        <w:trPr>
          <w:trHeight w:val="293"/>
        </w:trPr>
        <w:sdt>
          <w:sdtPr>
            <w:rPr>
              <w:color w:val="000000" w:themeColor="text1"/>
            </w:rPr>
            <w:tag w:val="_PLD_85d89a4aa7974727a1dc32c53cb7ca26"/>
            <w:id w:val="-1777321418"/>
          </w:sdtPr>
          <w:sdtEndPr/>
          <w:sdtContent>
            <w:tc>
              <w:tcPr>
                <w:tcW w:w="1911" w:type="pct"/>
                <w:tcBorders>
                  <w:top w:val="single" w:sz="4" w:space="0" w:color="auto"/>
                  <w:bottom w:val="single" w:sz="4" w:space="0" w:color="auto"/>
                  <w:right w:val="single" w:sz="4" w:space="0" w:color="auto"/>
                </w:tcBorders>
                <w:shd w:val="clear" w:color="auto" w:fill="auto"/>
              </w:tcPr>
              <w:p w14:paraId="5F49DBC9" w14:textId="77777777" w:rsidR="002D0AE7" w:rsidRDefault="00333EBB">
                <w:pPr>
                  <w:kinsoku w:val="0"/>
                  <w:overflowPunct w:val="0"/>
                  <w:autoSpaceDE w:val="0"/>
                  <w:autoSpaceDN w:val="0"/>
                  <w:adjustRightInd w:val="0"/>
                  <w:snapToGrid w:val="0"/>
                  <w:jc w:val="center"/>
                  <w:rPr>
                    <w:rFonts w:hint="eastAsia"/>
                    <w:color w:val="000000" w:themeColor="text1"/>
                  </w:rPr>
                </w:pPr>
                <w:r>
                  <w:rPr>
                    <w:color w:val="000000" w:themeColor="text1"/>
                  </w:rPr>
                  <w:t>公司注册地址</w:t>
                </w:r>
              </w:p>
            </w:tc>
          </w:sdtContent>
        </w:sdt>
        <w:sdt>
          <w:sdtPr>
            <w:rPr>
              <w:color w:val="000000" w:themeColor="text1"/>
            </w:rPr>
            <w:alias w:val="公司注册地址"/>
            <w:tag w:val="_GBC_176149bee7bf41819b29097eb854f331"/>
            <w:id w:val="4295693"/>
          </w:sdtPr>
          <w:sdtEndPr/>
          <w:sdtContent>
            <w:tc>
              <w:tcPr>
                <w:tcW w:w="3089" w:type="pct"/>
                <w:tcBorders>
                  <w:top w:val="single" w:sz="4" w:space="0" w:color="auto"/>
                  <w:left w:val="single" w:sz="4" w:space="0" w:color="auto"/>
                  <w:bottom w:val="single" w:sz="4" w:space="0" w:color="auto"/>
                </w:tcBorders>
                <w:vAlign w:val="center"/>
              </w:tcPr>
              <w:p w14:paraId="2F81A442" w14:textId="77777777" w:rsidR="002D0AE7" w:rsidRDefault="00333EBB">
                <w:pPr>
                  <w:kinsoku w:val="0"/>
                  <w:overflowPunct w:val="0"/>
                  <w:autoSpaceDE w:val="0"/>
                  <w:autoSpaceDN w:val="0"/>
                  <w:adjustRightInd w:val="0"/>
                  <w:snapToGrid w:val="0"/>
                  <w:jc w:val="center"/>
                  <w:rPr>
                    <w:rFonts w:hint="eastAsia"/>
                    <w:color w:val="000000" w:themeColor="text1"/>
                  </w:rPr>
                </w:pPr>
                <w:r>
                  <w:rPr>
                    <w:color w:val="000000" w:themeColor="text1"/>
                  </w:rPr>
                  <w:t>天津开发区西区新业九街</w:t>
                </w:r>
                <w:r>
                  <w:rPr>
                    <w:color w:val="000000" w:themeColor="text1"/>
                  </w:rPr>
                  <w:t>19</w:t>
                </w:r>
                <w:r>
                  <w:rPr>
                    <w:color w:val="000000" w:themeColor="text1"/>
                  </w:rPr>
                  <w:t>号</w:t>
                </w:r>
              </w:p>
            </w:tc>
          </w:sdtContent>
        </w:sdt>
      </w:tr>
      <w:tr w:rsidR="002D0AE7" w14:paraId="605C9628" w14:textId="77777777">
        <w:trPr>
          <w:trHeight w:val="293"/>
        </w:trPr>
        <w:tc>
          <w:tcPr>
            <w:tcW w:w="1911" w:type="pct"/>
            <w:tcBorders>
              <w:top w:val="single" w:sz="4" w:space="0" w:color="auto"/>
              <w:bottom w:val="single" w:sz="4" w:space="0" w:color="auto"/>
              <w:right w:val="single" w:sz="4" w:space="0" w:color="auto"/>
            </w:tcBorders>
            <w:shd w:val="clear" w:color="auto" w:fill="auto"/>
            <w:vAlign w:val="center"/>
          </w:tcPr>
          <w:sdt>
            <w:sdtPr>
              <w:rPr>
                <w:rFonts w:hint="eastAsia"/>
                <w:color w:val="000000" w:themeColor="text1"/>
              </w:rPr>
              <w:tag w:val="_PLD_86df6b07c3cb4a49842ab34107a073eb"/>
              <w:id w:val="-906293754"/>
            </w:sdtPr>
            <w:sdtEndPr/>
            <w:sdtContent>
              <w:p w14:paraId="2F38692C" w14:textId="77777777" w:rsidR="002D0AE7" w:rsidRDefault="00333EBB">
                <w:pPr>
                  <w:kinsoku w:val="0"/>
                  <w:overflowPunct w:val="0"/>
                  <w:autoSpaceDE w:val="0"/>
                  <w:autoSpaceDN w:val="0"/>
                  <w:adjustRightInd w:val="0"/>
                  <w:snapToGrid w:val="0"/>
                  <w:jc w:val="center"/>
                  <w:rPr>
                    <w:rFonts w:hint="eastAsia"/>
                    <w:color w:val="000000" w:themeColor="text1"/>
                  </w:rPr>
                </w:pPr>
                <w:r>
                  <w:rPr>
                    <w:rFonts w:hint="eastAsia"/>
                    <w:color w:val="000000" w:themeColor="text1"/>
                  </w:rPr>
                  <w:t>公司注册地址的历史变更情况</w:t>
                </w:r>
              </w:p>
            </w:sdtContent>
          </w:sdt>
        </w:tc>
        <w:sdt>
          <w:sdtPr>
            <w:rPr>
              <w:color w:val="000000" w:themeColor="text1"/>
            </w:rPr>
            <w:alias w:val="公司注册地址的历史变更情况"/>
            <w:tag w:val="_GBC_1ae6dbe87be04682949409d4dbd0335e"/>
            <w:id w:val="614804964"/>
          </w:sdtPr>
          <w:sdtEndPr/>
          <w:sdtContent>
            <w:tc>
              <w:tcPr>
                <w:tcW w:w="3089" w:type="pct"/>
                <w:tcBorders>
                  <w:top w:val="single" w:sz="4" w:space="0" w:color="auto"/>
                  <w:left w:val="single" w:sz="4" w:space="0" w:color="auto"/>
                  <w:bottom w:val="single" w:sz="4" w:space="0" w:color="auto"/>
                </w:tcBorders>
                <w:vAlign w:val="center"/>
              </w:tcPr>
              <w:p w14:paraId="22277FBF" w14:textId="77777777" w:rsidR="002D0AE7" w:rsidRDefault="00333EBB">
                <w:pPr>
                  <w:kinsoku w:val="0"/>
                  <w:overflowPunct w:val="0"/>
                  <w:autoSpaceDE w:val="0"/>
                  <w:autoSpaceDN w:val="0"/>
                  <w:adjustRightInd w:val="0"/>
                  <w:snapToGrid w:val="0"/>
                  <w:jc w:val="center"/>
                  <w:rPr>
                    <w:rFonts w:hint="eastAsia"/>
                    <w:color w:val="000000" w:themeColor="text1"/>
                  </w:rPr>
                </w:pPr>
                <w:r>
                  <w:rPr>
                    <w:color w:val="000000" w:themeColor="text1"/>
                  </w:rPr>
                  <w:t>2018</w:t>
                </w:r>
                <w:r>
                  <w:rPr>
                    <w:color w:val="000000" w:themeColor="text1"/>
                  </w:rPr>
                  <w:t>年</w:t>
                </w:r>
                <w:r>
                  <w:rPr>
                    <w:color w:val="000000" w:themeColor="text1"/>
                  </w:rPr>
                  <w:t>5</w:t>
                </w:r>
                <w:r>
                  <w:rPr>
                    <w:color w:val="000000" w:themeColor="text1"/>
                  </w:rPr>
                  <w:t>月由</w:t>
                </w:r>
                <w:r>
                  <w:rPr>
                    <w:color w:val="000000" w:themeColor="text1"/>
                  </w:rPr>
                  <w:t>“</w:t>
                </w:r>
                <w:r>
                  <w:rPr>
                    <w:color w:val="000000" w:themeColor="text1"/>
                  </w:rPr>
                  <w:t>天津市南开区新技术产业园区华苑产业区物华道</w:t>
                </w:r>
                <w:r>
                  <w:rPr>
                    <w:color w:val="000000" w:themeColor="text1"/>
                  </w:rPr>
                  <w:t>2</w:t>
                </w:r>
                <w:r>
                  <w:rPr>
                    <w:color w:val="000000" w:themeColor="text1"/>
                  </w:rPr>
                  <w:t>号</w:t>
                </w:r>
                <w:r>
                  <w:rPr>
                    <w:color w:val="000000" w:themeColor="text1"/>
                  </w:rPr>
                  <w:t>A</w:t>
                </w:r>
                <w:r>
                  <w:rPr>
                    <w:color w:val="000000" w:themeColor="text1"/>
                  </w:rPr>
                  <w:t>座</w:t>
                </w:r>
                <w:r>
                  <w:rPr>
                    <w:color w:val="000000" w:themeColor="text1"/>
                  </w:rPr>
                  <w:t>2-09</w:t>
                </w:r>
                <w:r>
                  <w:rPr>
                    <w:color w:val="000000" w:themeColor="text1"/>
                  </w:rPr>
                  <w:t>室</w:t>
                </w:r>
                <w:r>
                  <w:rPr>
                    <w:color w:val="000000" w:themeColor="text1"/>
                  </w:rPr>
                  <w:t>”</w:t>
                </w:r>
                <w:r>
                  <w:rPr>
                    <w:color w:val="000000" w:themeColor="text1"/>
                  </w:rPr>
                  <w:t>变更为</w:t>
                </w:r>
                <w:r>
                  <w:rPr>
                    <w:color w:val="000000" w:themeColor="text1"/>
                  </w:rPr>
                  <w:t>“</w:t>
                </w:r>
                <w:r>
                  <w:rPr>
                    <w:color w:val="000000" w:themeColor="text1"/>
                  </w:rPr>
                  <w:t>天津开发区西区新业九街</w:t>
                </w:r>
                <w:r>
                  <w:rPr>
                    <w:color w:val="000000" w:themeColor="text1"/>
                  </w:rPr>
                  <w:t>19</w:t>
                </w:r>
                <w:r>
                  <w:rPr>
                    <w:color w:val="000000" w:themeColor="text1"/>
                  </w:rPr>
                  <w:t>号</w:t>
                </w:r>
                <w:r>
                  <w:rPr>
                    <w:color w:val="000000" w:themeColor="text1"/>
                  </w:rPr>
                  <w:t>”</w:t>
                </w:r>
                <w:r>
                  <w:rPr>
                    <w:color w:val="000000" w:themeColor="text1"/>
                  </w:rPr>
                  <w:t>（详见公司公告</w:t>
                </w:r>
                <w:r>
                  <w:rPr>
                    <w:color w:val="000000" w:themeColor="text1"/>
                  </w:rPr>
                  <w:t>2018-041#</w:t>
                </w:r>
                <w:r>
                  <w:rPr>
                    <w:color w:val="000000" w:themeColor="text1"/>
                  </w:rPr>
                  <w:t>）</w:t>
                </w:r>
              </w:p>
            </w:tc>
          </w:sdtContent>
        </w:sdt>
      </w:tr>
      <w:tr w:rsidR="002D0AE7" w14:paraId="02B23850" w14:textId="77777777">
        <w:trPr>
          <w:trHeight w:val="293"/>
        </w:trPr>
        <w:sdt>
          <w:sdtPr>
            <w:rPr>
              <w:color w:val="000000" w:themeColor="text1"/>
            </w:rPr>
            <w:tag w:val="_PLD_afb934b530604b0a8d7df0bf16875d49"/>
            <w:id w:val="468099967"/>
          </w:sdtPr>
          <w:sdtEndPr/>
          <w:sdtContent>
            <w:tc>
              <w:tcPr>
                <w:tcW w:w="1911" w:type="pct"/>
                <w:tcBorders>
                  <w:top w:val="single" w:sz="4" w:space="0" w:color="auto"/>
                  <w:bottom w:val="single" w:sz="4" w:space="0" w:color="auto"/>
                  <w:right w:val="single" w:sz="4" w:space="0" w:color="auto"/>
                </w:tcBorders>
                <w:shd w:val="clear" w:color="auto" w:fill="auto"/>
              </w:tcPr>
              <w:p w14:paraId="5AF95937" w14:textId="77777777" w:rsidR="002D0AE7" w:rsidRDefault="00333EBB">
                <w:pPr>
                  <w:kinsoku w:val="0"/>
                  <w:overflowPunct w:val="0"/>
                  <w:autoSpaceDE w:val="0"/>
                  <w:autoSpaceDN w:val="0"/>
                  <w:adjustRightInd w:val="0"/>
                  <w:snapToGrid w:val="0"/>
                  <w:jc w:val="center"/>
                  <w:rPr>
                    <w:rFonts w:hint="eastAsia"/>
                    <w:color w:val="000000" w:themeColor="text1"/>
                  </w:rPr>
                </w:pPr>
                <w:r>
                  <w:rPr>
                    <w:color w:val="000000" w:themeColor="text1"/>
                  </w:rPr>
                  <w:t>公司办公地址</w:t>
                </w:r>
              </w:p>
            </w:tc>
          </w:sdtContent>
        </w:sdt>
        <w:sdt>
          <w:sdtPr>
            <w:rPr>
              <w:rFonts w:hint="eastAsia"/>
              <w:color w:val="000000" w:themeColor="text1"/>
            </w:rPr>
            <w:alias w:val="公司办公地址"/>
            <w:tag w:val="_GBC_5d7ed1a91af0489a99a8b9a1eb39057e"/>
            <w:id w:val="4295696"/>
          </w:sdtPr>
          <w:sdtEndPr/>
          <w:sdtContent>
            <w:tc>
              <w:tcPr>
                <w:tcW w:w="3089" w:type="pct"/>
                <w:tcBorders>
                  <w:top w:val="single" w:sz="4" w:space="0" w:color="auto"/>
                  <w:left w:val="single" w:sz="4" w:space="0" w:color="auto"/>
                  <w:bottom w:val="single" w:sz="4" w:space="0" w:color="auto"/>
                </w:tcBorders>
                <w:vAlign w:val="center"/>
              </w:tcPr>
              <w:p w14:paraId="2AE08745" w14:textId="77777777" w:rsidR="002D0AE7" w:rsidRDefault="00333EBB">
                <w:pPr>
                  <w:kinsoku w:val="0"/>
                  <w:overflowPunct w:val="0"/>
                  <w:autoSpaceDE w:val="0"/>
                  <w:autoSpaceDN w:val="0"/>
                  <w:adjustRightInd w:val="0"/>
                  <w:snapToGrid w:val="0"/>
                  <w:jc w:val="center"/>
                  <w:rPr>
                    <w:rFonts w:hint="eastAsia"/>
                    <w:color w:val="000000" w:themeColor="text1"/>
                  </w:rPr>
                </w:pPr>
                <w:r>
                  <w:rPr>
                    <w:rFonts w:hint="eastAsia"/>
                    <w:color w:val="000000" w:themeColor="text1"/>
                  </w:rPr>
                  <w:t>天津开发区黄海路</w:t>
                </w:r>
                <w:r>
                  <w:rPr>
                    <w:rFonts w:hint="eastAsia"/>
                    <w:color w:val="000000" w:themeColor="text1"/>
                  </w:rPr>
                  <w:t>221</w:t>
                </w:r>
                <w:r>
                  <w:rPr>
                    <w:rFonts w:hint="eastAsia"/>
                    <w:color w:val="000000" w:themeColor="text1"/>
                  </w:rPr>
                  <w:t>号</w:t>
                </w:r>
              </w:p>
            </w:tc>
          </w:sdtContent>
        </w:sdt>
      </w:tr>
      <w:tr w:rsidR="002D0AE7" w14:paraId="445EB464" w14:textId="77777777">
        <w:trPr>
          <w:trHeight w:val="293"/>
        </w:trPr>
        <w:sdt>
          <w:sdtPr>
            <w:rPr>
              <w:color w:val="000000" w:themeColor="text1"/>
            </w:rPr>
            <w:tag w:val="_PLD_0b92629df2db4d92969852a0afee64f9"/>
            <w:id w:val="-1783257950"/>
          </w:sdtPr>
          <w:sdtEndPr/>
          <w:sdtContent>
            <w:tc>
              <w:tcPr>
                <w:tcW w:w="1911" w:type="pct"/>
                <w:tcBorders>
                  <w:top w:val="single" w:sz="4" w:space="0" w:color="auto"/>
                  <w:bottom w:val="single" w:sz="4" w:space="0" w:color="auto"/>
                  <w:right w:val="single" w:sz="4" w:space="0" w:color="auto"/>
                </w:tcBorders>
                <w:shd w:val="clear" w:color="auto" w:fill="auto"/>
              </w:tcPr>
              <w:p w14:paraId="0A270B2A" w14:textId="77777777" w:rsidR="002D0AE7" w:rsidRDefault="00333EBB">
                <w:pPr>
                  <w:kinsoku w:val="0"/>
                  <w:overflowPunct w:val="0"/>
                  <w:autoSpaceDE w:val="0"/>
                  <w:autoSpaceDN w:val="0"/>
                  <w:adjustRightInd w:val="0"/>
                  <w:snapToGrid w:val="0"/>
                  <w:jc w:val="center"/>
                  <w:rPr>
                    <w:rFonts w:hint="eastAsia"/>
                    <w:color w:val="000000" w:themeColor="text1"/>
                  </w:rPr>
                </w:pPr>
                <w:r>
                  <w:rPr>
                    <w:color w:val="000000" w:themeColor="text1"/>
                  </w:rPr>
                  <w:t>公司办公地址的邮政编码</w:t>
                </w:r>
              </w:p>
            </w:tc>
          </w:sdtContent>
        </w:sdt>
        <w:sdt>
          <w:sdtPr>
            <w:rPr>
              <w:rFonts w:hint="eastAsia"/>
              <w:color w:val="000000" w:themeColor="text1"/>
            </w:rPr>
            <w:alias w:val="公司办公地址邮政编码"/>
            <w:tag w:val="_GBC_0b586d6a76e74eb5bfd69803dd5b3f21"/>
            <w:id w:val="4295699"/>
          </w:sdtPr>
          <w:sdtEndPr/>
          <w:sdtContent>
            <w:tc>
              <w:tcPr>
                <w:tcW w:w="3089" w:type="pct"/>
                <w:tcBorders>
                  <w:top w:val="single" w:sz="4" w:space="0" w:color="auto"/>
                  <w:left w:val="single" w:sz="4" w:space="0" w:color="auto"/>
                  <w:bottom w:val="single" w:sz="4" w:space="0" w:color="auto"/>
                </w:tcBorders>
                <w:vAlign w:val="center"/>
              </w:tcPr>
              <w:p w14:paraId="16E40349" w14:textId="77777777" w:rsidR="002D0AE7" w:rsidRDefault="00333EBB">
                <w:pPr>
                  <w:kinsoku w:val="0"/>
                  <w:overflowPunct w:val="0"/>
                  <w:autoSpaceDE w:val="0"/>
                  <w:autoSpaceDN w:val="0"/>
                  <w:adjustRightInd w:val="0"/>
                  <w:snapToGrid w:val="0"/>
                  <w:jc w:val="center"/>
                  <w:rPr>
                    <w:rFonts w:hint="eastAsia"/>
                    <w:color w:val="000000" w:themeColor="text1"/>
                  </w:rPr>
                </w:pPr>
                <w:r>
                  <w:rPr>
                    <w:rFonts w:hint="eastAsia"/>
                    <w:color w:val="000000" w:themeColor="text1"/>
                  </w:rPr>
                  <w:t>300457</w:t>
                </w:r>
              </w:p>
            </w:tc>
          </w:sdtContent>
        </w:sdt>
      </w:tr>
      <w:tr w:rsidR="002D0AE7" w14:paraId="5D703BE2" w14:textId="77777777">
        <w:trPr>
          <w:trHeight w:val="293"/>
        </w:trPr>
        <w:sdt>
          <w:sdtPr>
            <w:rPr>
              <w:color w:val="000000" w:themeColor="text1"/>
            </w:rPr>
            <w:tag w:val="_PLD_0d67a69c3a1340c3a07767557b490fe5"/>
            <w:id w:val="891318064"/>
          </w:sdtPr>
          <w:sdtEndPr/>
          <w:sdtContent>
            <w:tc>
              <w:tcPr>
                <w:tcW w:w="1911" w:type="pct"/>
                <w:tcBorders>
                  <w:top w:val="single" w:sz="4" w:space="0" w:color="auto"/>
                  <w:bottom w:val="single" w:sz="4" w:space="0" w:color="auto"/>
                  <w:right w:val="single" w:sz="4" w:space="0" w:color="auto"/>
                </w:tcBorders>
                <w:shd w:val="clear" w:color="auto" w:fill="auto"/>
              </w:tcPr>
              <w:p w14:paraId="003B49B8" w14:textId="77777777" w:rsidR="002D0AE7" w:rsidRDefault="00333EBB">
                <w:pPr>
                  <w:kinsoku w:val="0"/>
                  <w:overflowPunct w:val="0"/>
                  <w:autoSpaceDE w:val="0"/>
                  <w:autoSpaceDN w:val="0"/>
                  <w:adjustRightInd w:val="0"/>
                  <w:snapToGrid w:val="0"/>
                  <w:jc w:val="center"/>
                  <w:rPr>
                    <w:rFonts w:hint="eastAsia"/>
                    <w:color w:val="000000" w:themeColor="text1"/>
                  </w:rPr>
                </w:pPr>
                <w:r>
                  <w:rPr>
                    <w:color w:val="000000" w:themeColor="text1"/>
                  </w:rPr>
                  <w:t>公司网址</w:t>
                </w:r>
              </w:p>
            </w:tc>
          </w:sdtContent>
        </w:sdt>
        <w:sdt>
          <w:sdtPr>
            <w:rPr>
              <w:rFonts w:hint="eastAsia"/>
              <w:color w:val="000000" w:themeColor="text1"/>
            </w:rPr>
            <w:alias w:val="公司国际互联网网址"/>
            <w:tag w:val="_GBC_7230b5ca49734fc2ad410245ff685045"/>
            <w:id w:val="4295702"/>
          </w:sdtPr>
          <w:sdtEndPr/>
          <w:sdtContent>
            <w:tc>
              <w:tcPr>
                <w:tcW w:w="3089" w:type="pct"/>
                <w:tcBorders>
                  <w:top w:val="single" w:sz="4" w:space="0" w:color="auto"/>
                  <w:left w:val="single" w:sz="4" w:space="0" w:color="auto"/>
                  <w:bottom w:val="single" w:sz="4" w:space="0" w:color="auto"/>
                </w:tcBorders>
                <w:vAlign w:val="center"/>
              </w:tcPr>
              <w:p w14:paraId="7D87CA7E" w14:textId="77777777" w:rsidR="002D0AE7" w:rsidRDefault="00333EBB">
                <w:pPr>
                  <w:kinsoku w:val="0"/>
                  <w:overflowPunct w:val="0"/>
                  <w:autoSpaceDE w:val="0"/>
                  <w:autoSpaceDN w:val="0"/>
                  <w:adjustRightInd w:val="0"/>
                  <w:snapToGrid w:val="0"/>
                  <w:jc w:val="center"/>
                  <w:rPr>
                    <w:rFonts w:hint="eastAsia"/>
                    <w:color w:val="000000" w:themeColor="text1"/>
                  </w:rPr>
                </w:pPr>
                <w:r>
                  <w:rPr>
                    <w:rFonts w:hint="eastAsia"/>
                    <w:color w:val="000000" w:themeColor="text1"/>
                  </w:rPr>
                  <w:t>http://www.kingyork.biz/html/2/</w:t>
                </w:r>
              </w:p>
            </w:tc>
          </w:sdtContent>
        </w:sdt>
      </w:tr>
      <w:tr w:rsidR="002D0AE7" w14:paraId="5C6BDE7B" w14:textId="77777777">
        <w:trPr>
          <w:trHeight w:val="293"/>
        </w:trPr>
        <w:sdt>
          <w:sdtPr>
            <w:rPr>
              <w:color w:val="000000" w:themeColor="text1"/>
            </w:rPr>
            <w:tag w:val="_PLD_f90a226f402046c6b34fcce5cb28265b"/>
            <w:id w:val="-355348964"/>
          </w:sdtPr>
          <w:sdtEndPr/>
          <w:sdtContent>
            <w:tc>
              <w:tcPr>
                <w:tcW w:w="1911" w:type="pct"/>
                <w:tcBorders>
                  <w:top w:val="single" w:sz="4" w:space="0" w:color="auto"/>
                  <w:bottom w:val="single" w:sz="4" w:space="0" w:color="auto"/>
                  <w:right w:val="single" w:sz="4" w:space="0" w:color="auto"/>
                </w:tcBorders>
                <w:shd w:val="clear" w:color="auto" w:fill="auto"/>
              </w:tcPr>
              <w:p w14:paraId="35B63BEC" w14:textId="77777777" w:rsidR="002D0AE7" w:rsidRDefault="00333EBB">
                <w:pPr>
                  <w:kinsoku w:val="0"/>
                  <w:overflowPunct w:val="0"/>
                  <w:autoSpaceDE w:val="0"/>
                  <w:autoSpaceDN w:val="0"/>
                  <w:adjustRightInd w:val="0"/>
                  <w:snapToGrid w:val="0"/>
                  <w:jc w:val="center"/>
                  <w:rPr>
                    <w:rFonts w:hint="eastAsia"/>
                    <w:color w:val="000000" w:themeColor="text1"/>
                  </w:rPr>
                </w:pPr>
                <w:r>
                  <w:rPr>
                    <w:color w:val="000000" w:themeColor="text1"/>
                  </w:rPr>
                  <w:t>电子信箱</w:t>
                </w:r>
              </w:p>
            </w:tc>
          </w:sdtContent>
        </w:sdt>
        <w:sdt>
          <w:sdtPr>
            <w:rPr>
              <w:rFonts w:hint="eastAsia"/>
              <w:color w:val="000000" w:themeColor="text1"/>
            </w:rPr>
            <w:alias w:val="公司电子信箱"/>
            <w:tag w:val="_GBC_229dc578e23341bbaf9302c6a1aaeb1e"/>
            <w:id w:val="4295705"/>
          </w:sdtPr>
          <w:sdtEndPr/>
          <w:sdtContent>
            <w:tc>
              <w:tcPr>
                <w:tcW w:w="3089" w:type="pct"/>
                <w:tcBorders>
                  <w:top w:val="single" w:sz="4" w:space="0" w:color="auto"/>
                  <w:left w:val="single" w:sz="4" w:space="0" w:color="auto"/>
                  <w:bottom w:val="single" w:sz="4" w:space="0" w:color="auto"/>
                </w:tcBorders>
                <w:vAlign w:val="center"/>
              </w:tcPr>
              <w:p w14:paraId="2B259903" w14:textId="77777777" w:rsidR="002D0AE7" w:rsidRDefault="00333EBB">
                <w:pPr>
                  <w:kinsoku w:val="0"/>
                  <w:overflowPunct w:val="0"/>
                  <w:autoSpaceDE w:val="0"/>
                  <w:autoSpaceDN w:val="0"/>
                  <w:adjustRightInd w:val="0"/>
                  <w:snapToGrid w:val="0"/>
                  <w:jc w:val="center"/>
                  <w:rPr>
                    <w:rFonts w:hint="eastAsia"/>
                    <w:color w:val="000000" w:themeColor="text1"/>
                  </w:rPr>
                </w:pPr>
                <w:r>
                  <w:rPr>
                    <w:rFonts w:hint="eastAsia"/>
                    <w:color w:val="000000" w:themeColor="text1"/>
                  </w:rPr>
                  <w:t>tjpc600488@vip.sina.com</w:t>
                </w:r>
              </w:p>
            </w:tc>
          </w:sdtContent>
        </w:sdt>
      </w:tr>
      <w:tr w:rsidR="002D0AE7" w14:paraId="343E2BEC" w14:textId="77777777">
        <w:trPr>
          <w:trHeight w:val="293"/>
        </w:trPr>
        <w:sdt>
          <w:sdtPr>
            <w:rPr>
              <w:color w:val="000000" w:themeColor="text1"/>
            </w:rPr>
            <w:tag w:val="_PLD_780e327206de42a7a09f77e6debfb7d1"/>
            <w:id w:val="1583106161"/>
          </w:sdtPr>
          <w:sdtEndPr/>
          <w:sdtContent>
            <w:tc>
              <w:tcPr>
                <w:tcW w:w="1911" w:type="pct"/>
                <w:tcBorders>
                  <w:top w:val="single" w:sz="4" w:space="0" w:color="auto"/>
                  <w:bottom w:val="single" w:sz="4" w:space="0" w:color="auto"/>
                  <w:right w:val="single" w:sz="4" w:space="0" w:color="auto"/>
                </w:tcBorders>
                <w:shd w:val="clear" w:color="auto" w:fill="auto"/>
              </w:tcPr>
              <w:p w14:paraId="3142FF15" w14:textId="77777777" w:rsidR="002D0AE7" w:rsidRDefault="00333EBB">
                <w:pPr>
                  <w:kinsoku w:val="0"/>
                  <w:overflowPunct w:val="0"/>
                  <w:autoSpaceDE w:val="0"/>
                  <w:autoSpaceDN w:val="0"/>
                  <w:adjustRightInd w:val="0"/>
                  <w:snapToGrid w:val="0"/>
                  <w:jc w:val="center"/>
                  <w:rPr>
                    <w:rFonts w:hint="eastAsia"/>
                    <w:color w:val="000000" w:themeColor="text1"/>
                  </w:rPr>
                </w:pPr>
                <w:r>
                  <w:rPr>
                    <w:color w:val="000000" w:themeColor="text1"/>
                  </w:rPr>
                  <w:t>报告期内变更情况查询索引</w:t>
                </w:r>
              </w:p>
            </w:tc>
          </w:sdtContent>
        </w:sdt>
        <w:sdt>
          <w:sdtPr>
            <w:rPr>
              <w:rFonts w:hint="eastAsia"/>
              <w:color w:val="000000" w:themeColor="text1"/>
            </w:rPr>
            <w:alias w:val="公司基本情况报告期内变更查询索引"/>
            <w:tag w:val="_GBC_faa254795096437fb73ed03d5cbc1c7e"/>
            <w:id w:val="4295708"/>
          </w:sdtPr>
          <w:sdtEndPr/>
          <w:sdtContent>
            <w:tc>
              <w:tcPr>
                <w:tcW w:w="3089" w:type="pct"/>
                <w:tcBorders>
                  <w:top w:val="single" w:sz="4" w:space="0" w:color="auto"/>
                  <w:left w:val="single" w:sz="4" w:space="0" w:color="auto"/>
                  <w:bottom w:val="single" w:sz="4" w:space="0" w:color="auto"/>
                </w:tcBorders>
              </w:tcPr>
              <w:p w14:paraId="72409FC5" w14:textId="77777777" w:rsidR="002D0AE7" w:rsidRDefault="00333EBB">
                <w:pPr>
                  <w:kinsoku w:val="0"/>
                  <w:overflowPunct w:val="0"/>
                  <w:autoSpaceDE w:val="0"/>
                  <w:autoSpaceDN w:val="0"/>
                  <w:adjustRightInd w:val="0"/>
                  <w:snapToGrid w:val="0"/>
                  <w:jc w:val="center"/>
                  <w:rPr>
                    <w:rFonts w:hint="eastAsia"/>
                    <w:color w:val="000000" w:themeColor="text1"/>
                  </w:rPr>
                </w:pPr>
                <w:r>
                  <w:rPr>
                    <w:rFonts w:hint="eastAsia"/>
                    <w:color w:val="000000" w:themeColor="text1"/>
                  </w:rPr>
                  <w:t>无</w:t>
                </w:r>
              </w:p>
            </w:tc>
          </w:sdtContent>
        </w:sdt>
      </w:tr>
    </w:tbl>
    <w:p w14:paraId="5027D12E" w14:textId="77777777" w:rsidR="002D0AE7" w:rsidRDefault="00333EBB">
      <w:pPr>
        <w:pStyle w:val="2"/>
        <w:numPr>
          <w:ilvl w:val="0"/>
          <w:numId w:val="3"/>
        </w:numPr>
        <w:ind w:firstLineChars="0"/>
        <w:rPr>
          <w:color w:val="000000" w:themeColor="text1"/>
        </w:rPr>
      </w:pPr>
      <w:r>
        <w:rPr>
          <w:color w:val="000000" w:themeColor="text1"/>
        </w:rPr>
        <w:t>信息披露及备置地点变更情况简介</w:t>
      </w:r>
    </w:p>
    <w:tbl>
      <w:tblPr>
        <w:tblW w:w="5463" w:type="pct"/>
        <w:tblInd w:w="-289" w:type="dxa"/>
        <w:tblBorders>
          <w:top w:val="single" w:sz="4" w:space="0" w:color="auto"/>
          <w:left w:val="single" w:sz="4" w:space="0" w:color="auto"/>
          <w:bottom w:val="single" w:sz="4" w:space="0" w:color="auto"/>
          <w:right w:val="single" w:sz="4" w:space="0" w:color="auto"/>
        </w:tblBorders>
        <w:tblCellMar>
          <w:left w:w="30" w:type="dxa"/>
          <w:right w:w="30" w:type="dxa"/>
        </w:tblCellMar>
        <w:tblLook w:val="04A0" w:firstRow="1" w:lastRow="0" w:firstColumn="1" w:lastColumn="0" w:noHBand="0" w:noVBand="1"/>
      </w:tblPr>
      <w:tblGrid>
        <w:gridCol w:w="4114"/>
        <w:gridCol w:w="5526"/>
      </w:tblGrid>
      <w:tr w:rsidR="002D0AE7" w14:paraId="1ED30F25" w14:textId="77777777">
        <w:trPr>
          <w:trHeight w:val="293"/>
        </w:trPr>
        <w:bookmarkStart w:id="14" w:name="_Toc342051045" w:displacedByCustomXml="next"/>
        <w:bookmarkStart w:id="15" w:name="_Toc342565885" w:displacedByCustomXml="next"/>
        <w:sdt>
          <w:sdtPr>
            <w:rPr>
              <w:color w:val="000000" w:themeColor="text1"/>
            </w:rPr>
            <w:tag w:val="_PLD_5a9e1277ac2b48eb8d7aa1b69c532d31"/>
            <w:id w:val="1828014740"/>
          </w:sdtPr>
          <w:sdtEndPr/>
          <w:sdtContent>
            <w:tc>
              <w:tcPr>
                <w:tcW w:w="2134" w:type="pct"/>
                <w:tcBorders>
                  <w:top w:val="single" w:sz="4" w:space="0" w:color="auto"/>
                  <w:bottom w:val="single" w:sz="4" w:space="0" w:color="auto"/>
                  <w:right w:val="single" w:sz="4" w:space="0" w:color="auto"/>
                </w:tcBorders>
                <w:shd w:val="clear" w:color="auto" w:fill="auto"/>
                <w:vAlign w:val="center"/>
              </w:tcPr>
              <w:p w14:paraId="2290A063" w14:textId="77777777" w:rsidR="002D0AE7" w:rsidRDefault="00333EBB">
                <w:pPr>
                  <w:kinsoku w:val="0"/>
                  <w:overflowPunct w:val="0"/>
                  <w:autoSpaceDE w:val="0"/>
                  <w:autoSpaceDN w:val="0"/>
                  <w:adjustRightInd w:val="0"/>
                  <w:snapToGrid w:val="0"/>
                  <w:jc w:val="center"/>
                  <w:rPr>
                    <w:rFonts w:hint="eastAsia"/>
                    <w:color w:val="000000" w:themeColor="text1"/>
                  </w:rPr>
                </w:pPr>
                <w:r>
                  <w:rPr>
                    <w:color w:val="000000" w:themeColor="text1"/>
                  </w:rPr>
                  <w:t>公司选定的信息披露报纸名称</w:t>
                </w:r>
              </w:p>
            </w:tc>
          </w:sdtContent>
        </w:sdt>
        <w:sdt>
          <w:sdtPr>
            <w:rPr>
              <w:color w:val="000000" w:themeColor="text1"/>
            </w:rPr>
            <w:alias w:val="公司选定的信息披露报纸名称"/>
            <w:tag w:val="_GBC_ea25303a54e24033a0a9a380e9688e98"/>
            <w:id w:val="4295828"/>
          </w:sdtPr>
          <w:sdtEndPr/>
          <w:sdtContent>
            <w:tc>
              <w:tcPr>
                <w:tcW w:w="2866" w:type="pct"/>
                <w:tcBorders>
                  <w:top w:val="single" w:sz="4" w:space="0" w:color="auto"/>
                  <w:left w:val="single" w:sz="4" w:space="0" w:color="auto"/>
                  <w:bottom w:val="single" w:sz="4" w:space="0" w:color="auto"/>
                </w:tcBorders>
                <w:vAlign w:val="center"/>
              </w:tcPr>
              <w:p w14:paraId="2165C52B" w14:textId="77777777" w:rsidR="002D0AE7" w:rsidRDefault="00333EBB">
                <w:pPr>
                  <w:kinsoku w:val="0"/>
                  <w:overflowPunct w:val="0"/>
                  <w:autoSpaceDE w:val="0"/>
                  <w:autoSpaceDN w:val="0"/>
                  <w:adjustRightInd w:val="0"/>
                  <w:snapToGrid w:val="0"/>
                  <w:jc w:val="center"/>
                  <w:rPr>
                    <w:rFonts w:hint="eastAsia"/>
                    <w:color w:val="000000" w:themeColor="text1"/>
                  </w:rPr>
                </w:pPr>
                <w:r>
                  <w:rPr>
                    <w:color w:val="000000" w:themeColor="text1"/>
                  </w:rPr>
                  <w:t>中国证券报</w:t>
                </w:r>
                <w:hyperlink r:id="rId14" w:history="1">
                  <w:r>
                    <w:rPr>
                      <w:color w:val="000000" w:themeColor="text1"/>
                    </w:rPr>
                    <w:t>www.cs.com.cn</w:t>
                  </w:r>
                </w:hyperlink>
              </w:p>
              <w:p w14:paraId="5849B5DF" w14:textId="77777777" w:rsidR="002D0AE7" w:rsidRDefault="00333EBB">
                <w:pPr>
                  <w:kinsoku w:val="0"/>
                  <w:overflowPunct w:val="0"/>
                  <w:autoSpaceDE w:val="0"/>
                  <w:autoSpaceDN w:val="0"/>
                  <w:adjustRightInd w:val="0"/>
                  <w:snapToGrid w:val="0"/>
                  <w:jc w:val="center"/>
                  <w:rPr>
                    <w:rFonts w:hint="eastAsia"/>
                    <w:color w:val="000000" w:themeColor="text1"/>
                  </w:rPr>
                </w:pPr>
                <w:r>
                  <w:rPr>
                    <w:color w:val="000000" w:themeColor="text1"/>
                  </w:rPr>
                  <w:t>上海证券报</w:t>
                </w:r>
                <w:r>
                  <w:rPr>
                    <w:color w:val="000000" w:themeColor="text1"/>
                  </w:rPr>
                  <w:t>www.cnstock.com</w:t>
                </w:r>
              </w:p>
            </w:tc>
          </w:sdtContent>
        </w:sdt>
      </w:tr>
      <w:tr w:rsidR="002D0AE7" w14:paraId="70838200" w14:textId="77777777">
        <w:trPr>
          <w:trHeight w:val="293"/>
        </w:trPr>
        <w:sdt>
          <w:sdtPr>
            <w:rPr>
              <w:color w:val="000000" w:themeColor="text1"/>
            </w:rPr>
            <w:tag w:val="_PLD_34ad3e071c96488fa36dcc1913587c39"/>
            <w:id w:val="1600683956"/>
          </w:sdtPr>
          <w:sdtEndPr/>
          <w:sdtContent>
            <w:tc>
              <w:tcPr>
                <w:tcW w:w="2134" w:type="pct"/>
                <w:tcBorders>
                  <w:top w:val="single" w:sz="4" w:space="0" w:color="auto"/>
                  <w:bottom w:val="single" w:sz="4" w:space="0" w:color="auto"/>
                  <w:right w:val="single" w:sz="4" w:space="0" w:color="auto"/>
                </w:tcBorders>
                <w:shd w:val="clear" w:color="auto" w:fill="auto"/>
              </w:tcPr>
              <w:p w14:paraId="21F8BDD5" w14:textId="77777777" w:rsidR="002D0AE7" w:rsidRDefault="00333EBB">
                <w:pPr>
                  <w:kinsoku w:val="0"/>
                  <w:overflowPunct w:val="0"/>
                  <w:autoSpaceDE w:val="0"/>
                  <w:autoSpaceDN w:val="0"/>
                  <w:adjustRightInd w:val="0"/>
                  <w:snapToGrid w:val="0"/>
                  <w:jc w:val="center"/>
                  <w:rPr>
                    <w:rFonts w:hint="eastAsia"/>
                    <w:color w:val="000000" w:themeColor="text1"/>
                  </w:rPr>
                </w:pPr>
                <w:r>
                  <w:rPr>
                    <w:color w:val="000000" w:themeColor="text1"/>
                  </w:rPr>
                  <w:t>登载半年度报告的</w:t>
                </w:r>
                <w:r>
                  <w:rPr>
                    <w:rFonts w:hint="eastAsia"/>
                    <w:color w:val="000000" w:themeColor="text1"/>
                  </w:rPr>
                  <w:t>网站地</w:t>
                </w:r>
                <w:r>
                  <w:rPr>
                    <w:color w:val="000000" w:themeColor="text1"/>
                  </w:rPr>
                  <w:t>址</w:t>
                </w:r>
              </w:p>
            </w:tc>
          </w:sdtContent>
        </w:sdt>
        <w:tc>
          <w:tcPr>
            <w:tcW w:w="2866" w:type="pct"/>
            <w:tcBorders>
              <w:top w:val="single" w:sz="4" w:space="0" w:color="auto"/>
              <w:left w:val="single" w:sz="4" w:space="0" w:color="auto"/>
              <w:bottom w:val="single" w:sz="4" w:space="0" w:color="auto"/>
            </w:tcBorders>
            <w:vAlign w:val="center"/>
          </w:tcPr>
          <w:p w14:paraId="5E97617B" w14:textId="77777777" w:rsidR="002D0AE7" w:rsidRDefault="00333EBB">
            <w:pPr>
              <w:kinsoku w:val="0"/>
              <w:overflowPunct w:val="0"/>
              <w:autoSpaceDE w:val="0"/>
              <w:autoSpaceDN w:val="0"/>
              <w:adjustRightInd w:val="0"/>
              <w:snapToGrid w:val="0"/>
              <w:jc w:val="center"/>
              <w:rPr>
                <w:rFonts w:hint="eastAsia"/>
              </w:rPr>
            </w:pPr>
            <w:r>
              <w:rPr>
                <w:rFonts w:hint="eastAsia"/>
              </w:rPr>
              <w:t>上海证券交易所</w:t>
            </w:r>
            <w:r>
              <w:rPr>
                <w:rFonts w:hint="eastAsia"/>
              </w:rPr>
              <w:t>www.sse.com.cn</w:t>
            </w:r>
          </w:p>
        </w:tc>
      </w:tr>
      <w:tr w:rsidR="002D0AE7" w14:paraId="0381AD90" w14:textId="77777777">
        <w:trPr>
          <w:trHeight w:val="293"/>
        </w:trPr>
        <w:sdt>
          <w:sdtPr>
            <w:rPr>
              <w:color w:val="000000" w:themeColor="text1"/>
            </w:rPr>
            <w:tag w:val="_PLD_533f230e5c504d15b6024014067b6306"/>
            <w:id w:val="2009404852"/>
          </w:sdtPr>
          <w:sdtEndPr/>
          <w:sdtContent>
            <w:tc>
              <w:tcPr>
                <w:tcW w:w="2134" w:type="pct"/>
                <w:tcBorders>
                  <w:top w:val="single" w:sz="4" w:space="0" w:color="auto"/>
                  <w:bottom w:val="single" w:sz="4" w:space="0" w:color="auto"/>
                  <w:right w:val="single" w:sz="4" w:space="0" w:color="auto"/>
                </w:tcBorders>
                <w:shd w:val="clear" w:color="auto" w:fill="auto"/>
              </w:tcPr>
              <w:p w14:paraId="001F1D6F" w14:textId="77777777" w:rsidR="002D0AE7" w:rsidRDefault="00333EBB">
                <w:pPr>
                  <w:kinsoku w:val="0"/>
                  <w:overflowPunct w:val="0"/>
                  <w:autoSpaceDE w:val="0"/>
                  <w:autoSpaceDN w:val="0"/>
                  <w:adjustRightInd w:val="0"/>
                  <w:snapToGrid w:val="0"/>
                  <w:jc w:val="center"/>
                  <w:rPr>
                    <w:rFonts w:hint="eastAsia"/>
                    <w:color w:val="000000" w:themeColor="text1"/>
                  </w:rPr>
                </w:pPr>
                <w:r>
                  <w:rPr>
                    <w:color w:val="000000" w:themeColor="text1"/>
                  </w:rPr>
                  <w:t>公司半年度报告备置地点</w:t>
                </w:r>
              </w:p>
            </w:tc>
          </w:sdtContent>
        </w:sdt>
        <w:tc>
          <w:tcPr>
            <w:tcW w:w="2866" w:type="pct"/>
            <w:tcBorders>
              <w:top w:val="single" w:sz="4" w:space="0" w:color="auto"/>
              <w:left w:val="single" w:sz="4" w:space="0" w:color="auto"/>
              <w:bottom w:val="single" w:sz="4" w:space="0" w:color="auto"/>
            </w:tcBorders>
            <w:vAlign w:val="center"/>
          </w:tcPr>
          <w:p w14:paraId="44B8E04C" w14:textId="77777777" w:rsidR="002D0AE7" w:rsidRDefault="00333EBB">
            <w:pPr>
              <w:kinsoku w:val="0"/>
              <w:overflowPunct w:val="0"/>
              <w:autoSpaceDE w:val="0"/>
              <w:autoSpaceDN w:val="0"/>
              <w:adjustRightInd w:val="0"/>
              <w:snapToGrid w:val="0"/>
              <w:jc w:val="center"/>
              <w:rPr>
                <w:rFonts w:hint="eastAsia"/>
              </w:rPr>
            </w:pPr>
            <w:r>
              <w:rPr>
                <w:rFonts w:hint="eastAsia"/>
              </w:rPr>
              <w:t>公司董事会办公室</w:t>
            </w:r>
          </w:p>
        </w:tc>
      </w:tr>
      <w:tr w:rsidR="002D0AE7" w14:paraId="4E66ED73" w14:textId="77777777">
        <w:trPr>
          <w:trHeight w:val="293"/>
        </w:trPr>
        <w:sdt>
          <w:sdtPr>
            <w:rPr>
              <w:color w:val="000000" w:themeColor="text1"/>
            </w:rPr>
            <w:tag w:val="_PLD_71b3b22b33f543709c7346090ee03414"/>
            <w:id w:val="-374850967"/>
          </w:sdtPr>
          <w:sdtEndPr/>
          <w:sdtContent>
            <w:tc>
              <w:tcPr>
                <w:tcW w:w="2134" w:type="pct"/>
                <w:tcBorders>
                  <w:top w:val="single" w:sz="4" w:space="0" w:color="auto"/>
                  <w:bottom w:val="single" w:sz="4" w:space="0" w:color="auto"/>
                  <w:right w:val="single" w:sz="4" w:space="0" w:color="auto"/>
                </w:tcBorders>
                <w:shd w:val="clear" w:color="auto" w:fill="auto"/>
              </w:tcPr>
              <w:p w14:paraId="20EC2908" w14:textId="77777777" w:rsidR="002D0AE7" w:rsidRDefault="00333EBB">
                <w:pPr>
                  <w:kinsoku w:val="0"/>
                  <w:overflowPunct w:val="0"/>
                  <w:autoSpaceDE w:val="0"/>
                  <w:autoSpaceDN w:val="0"/>
                  <w:adjustRightInd w:val="0"/>
                  <w:snapToGrid w:val="0"/>
                  <w:jc w:val="center"/>
                  <w:rPr>
                    <w:rFonts w:hint="eastAsia"/>
                    <w:color w:val="000000" w:themeColor="text1"/>
                  </w:rPr>
                </w:pPr>
                <w:r>
                  <w:rPr>
                    <w:color w:val="000000" w:themeColor="text1"/>
                  </w:rPr>
                  <w:t>报告期内变更情况查询索引</w:t>
                </w:r>
              </w:p>
            </w:tc>
          </w:sdtContent>
        </w:sdt>
        <w:tc>
          <w:tcPr>
            <w:tcW w:w="2866" w:type="pct"/>
            <w:tcBorders>
              <w:top w:val="single" w:sz="4" w:space="0" w:color="auto"/>
              <w:left w:val="single" w:sz="4" w:space="0" w:color="auto"/>
              <w:bottom w:val="single" w:sz="4" w:space="0" w:color="auto"/>
            </w:tcBorders>
          </w:tcPr>
          <w:p w14:paraId="1EEEE8D5" w14:textId="77777777" w:rsidR="002D0AE7" w:rsidRDefault="00333EBB">
            <w:pPr>
              <w:kinsoku w:val="0"/>
              <w:overflowPunct w:val="0"/>
              <w:autoSpaceDE w:val="0"/>
              <w:autoSpaceDN w:val="0"/>
              <w:adjustRightInd w:val="0"/>
              <w:snapToGrid w:val="0"/>
              <w:jc w:val="center"/>
              <w:rPr>
                <w:rFonts w:hint="eastAsia"/>
              </w:rPr>
            </w:pPr>
            <w:r>
              <w:rPr>
                <w:rFonts w:hint="eastAsia"/>
              </w:rPr>
              <w:t>无</w:t>
            </w:r>
          </w:p>
        </w:tc>
      </w:tr>
    </w:tbl>
    <w:p w14:paraId="5DB025D9" w14:textId="77777777" w:rsidR="002D0AE7" w:rsidRDefault="00333EBB">
      <w:pPr>
        <w:pStyle w:val="2"/>
        <w:numPr>
          <w:ilvl w:val="0"/>
          <w:numId w:val="3"/>
        </w:numPr>
        <w:ind w:firstLineChars="0"/>
        <w:rPr>
          <w:color w:val="000000" w:themeColor="text1"/>
        </w:rPr>
      </w:pPr>
      <w:r>
        <w:rPr>
          <w:rFonts w:hint="eastAsia"/>
          <w:color w:val="000000" w:themeColor="text1"/>
        </w:rPr>
        <w:t>公司股票简况</w:t>
      </w:r>
      <w:bookmarkEnd w:id="15"/>
      <w:bookmarkEnd w:id="14"/>
    </w:p>
    <w:tbl>
      <w:tblPr>
        <w:tblW w:w="5383" w:type="pct"/>
        <w:tblInd w:w="-28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firstRow="1" w:lastRow="0" w:firstColumn="1" w:lastColumn="0" w:noHBand="0" w:noVBand="1"/>
      </w:tblPr>
      <w:tblGrid>
        <w:gridCol w:w="2053"/>
        <w:gridCol w:w="1765"/>
        <w:gridCol w:w="1765"/>
        <w:gridCol w:w="1765"/>
        <w:gridCol w:w="2151"/>
      </w:tblGrid>
      <w:tr w:rsidR="002D0AE7" w14:paraId="45C88DA5" w14:textId="77777777">
        <w:trPr>
          <w:trHeight w:val="293"/>
        </w:trPr>
        <w:sdt>
          <w:sdtPr>
            <w:rPr>
              <w:color w:val="000000" w:themeColor="text1"/>
            </w:rPr>
            <w:tag w:val="_PLD_136d907086394f5eaee0ec7d22ac5510"/>
            <w:id w:val="-135106787"/>
          </w:sdtPr>
          <w:sdtEndPr/>
          <w:sdtContent>
            <w:tc>
              <w:tcPr>
                <w:tcW w:w="1081" w:type="pct"/>
                <w:tcBorders>
                  <w:top w:val="single" w:sz="4" w:space="0" w:color="auto"/>
                  <w:bottom w:val="single" w:sz="4" w:space="0" w:color="auto"/>
                  <w:right w:val="single" w:sz="4" w:space="0" w:color="auto"/>
                </w:tcBorders>
                <w:shd w:val="clear" w:color="auto" w:fill="auto"/>
              </w:tcPr>
              <w:p w14:paraId="49A8E433" w14:textId="77777777" w:rsidR="002D0AE7" w:rsidRDefault="00333EBB">
                <w:pPr>
                  <w:kinsoku w:val="0"/>
                  <w:overflowPunct w:val="0"/>
                  <w:autoSpaceDE w:val="0"/>
                  <w:autoSpaceDN w:val="0"/>
                  <w:adjustRightInd w:val="0"/>
                  <w:snapToGrid w:val="0"/>
                  <w:jc w:val="center"/>
                  <w:rPr>
                    <w:rFonts w:hint="eastAsia"/>
                    <w:color w:val="000000" w:themeColor="text1"/>
                  </w:rPr>
                </w:pPr>
                <w:r>
                  <w:rPr>
                    <w:rFonts w:hint="eastAsia"/>
                    <w:color w:val="000000" w:themeColor="text1"/>
                  </w:rPr>
                  <w:t>股票种类</w:t>
                </w:r>
              </w:p>
            </w:tc>
          </w:sdtContent>
        </w:sdt>
        <w:sdt>
          <w:sdtPr>
            <w:rPr>
              <w:color w:val="000000" w:themeColor="text1"/>
            </w:rPr>
            <w:tag w:val="_PLD_6a843bcbb5a24c0aa6b5fa899c00d11d"/>
            <w:id w:val="113802360"/>
          </w:sdtPr>
          <w:sdtEndPr/>
          <w:sdtContent>
            <w:tc>
              <w:tcPr>
                <w:tcW w:w="929" w:type="pct"/>
                <w:tcBorders>
                  <w:top w:val="single" w:sz="4" w:space="0" w:color="auto"/>
                  <w:left w:val="single" w:sz="4" w:space="0" w:color="auto"/>
                  <w:bottom w:val="single" w:sz="4" w:space="0" w:color="auto"/>
                  <w:right w:val="single" w:sz="4" w:space="0" w:color="auto"/>
                </w:tcBorders>
                <w:shd w:val="clear" w:color="auto" w:fill="auto"/>
              </w:tcPr>
              <w:p w14:paraId="6F4767B8" w14:textId="77777777" w:rsidR="002D0AE7" w:rsidRDefault="00333EBB">
                <w:pPr>
                  <w:kinsoku w:val="0"/>
                  <w:overflowPunct w:val="0"/>
                  <w:autoSpaceDE w:val="0"/>
                  <w:autoSpaceDN w:val="0"/>
                  <w:adjustRightInd w:val="0"/>
                  <w:snapToGrid w:val="0"/>
                  <w:jc w:val="center"/>
                  <w:rPr>
                    <w:rFonts w:hint="eastAsia"/>
                    <w:color w:val="000000" w:themeColor="text1"/>
                  </w:rPr>
                </w:pPr>
                <w:r>
                  <w:rPr>
                    <w:rFonts w:hint="eastAsia"/>
                    <w:color w:val="000000" w:themeColor="text1"/>
                  </w:rPr>
                  <w:t>股票上市交易所</w:t>
                </w:r>
              </w:p>
            </w:tc>
          </w:sdtContent>
        </w:sdt>
        <w:sdt>
          <w:sdtPr>
            <w:rPr>
              <w:color w:val="000000" w:themeColor="text1"/>
            </w:rPr>
            <w:tag w:val="_PLD_c012a58bb3cc4bbd9a7de1f52bd17553"/>
            <w:id w:val="1877812140"/>
          </w:sdtPr>
          <w:sdtEndPr/>
          <w:sdtContent>
            <w:tc>
              <w:tcPr>
                <w:tcW w:w="929" w:type="pct"/>
                <w:tcBorders>
                  <w:top w:val="single" w:sz="4" w:space="0" w:color="auto"/>
                  <w:left w:val="single" w:sz="4" w:space="0" w:color="auto"/>
                  <w:bottom w:val="single" w:sz="4" w:space="0" w:color="auto"/>
                  <w:right w:val="single" w:sz="4" w:space="0" w:color="auto"/>
                </w:tcBorders>
                <w:shd w:val="clear" w:color="auto" w:fill="auto"/>
              </w:tcPr>
              <w:p w14:paraId="2162ECF7" w14:textId="77777777" w:rsidR="002D0AE7" w:rsidRDefault="00333EBB">
                <w:pPr>
                  <w:kinsoku w:val="0"/>
                  <w:overflowPunct w:val="0"/>
                  <w:autoSpaceDE w:val="0"/>
                  <w:autoSpaceDN w:val="0"/>
                  <w:adjustRightInd w:val="0"/>
                  <w:snapToGrid w:val="0"/>
                  <w:jc w:val="center"/>
                  <w:rPr>
                    <w:rFonts w:hint="eastAsia"/>
                    <w:color w:val="000000" w:themeColor="text1"/>
                  </w:rPr>
                </w:pPr>
                <w:r>
                  <w:rPr>
                    <w:rFonts w:hint="eastAsia"/>
                    <w:color w:val="000000" w:themeColor="text1"/>
                  </w:rPr>
                  <w:t>股票简称</w:t>
                </w:r>
              </w:p>
            </w:tc>
          </w:sdtContent>
        </w:sdt>
        <w:sdt>
          <w:sdtPr>
            <w:rPr>
              <w:color w:val="000000" w:themeColor="text1"/>
            </w:rPr>
            <w:tag w:val="_PLD_9fa1e8781b094b29b21027138e9f63e8"/>
            <w:id w:val="-1191370368"/>
          </w:sdtPr>
          <w:sdtEndPr/>
          <w:sdtContent>
            <w:tc>
              <w:tcPr>
                <w:tcW w:w="929" w:type="pct"/>
                <w:tcBorders>
                  <w:top w:val="single" w:sz="4" w:space="0" w:color="auto"/>
                  <w:left w:val="single" w:sz="4" w:space="0" w:color="auto"/>
                  <w:bottom w:val="single" w:sz="4" w:space="0" w:color="auto"/>
                  <w:right w:val="single" w:sz="4" w:space="0" w:color="auto"/>
                </w:tcBorders>
                <w:shd w:val="clear" w:color="auto" w:fill="auto"/>
              </w:tcPr>
              <w:p w14:paraId="6B298197" w14:textId="77777777" w:rsidR="002D0AE7" w:rsidRDefault="00333EBB">
                <w:pPr>
                  <w:kinsoku w:val="0"/>
                  <w:overflowPunct w:val="0"/>
                  <w:autoSpaceDE w:val="0"/>
                  <w:autoSpaceDN w:val="0"/>
                  <w:adjustRightInd w:val="0"/>
                  <w:snapToGrid w:val="0"/>
                  <w:jc w:val="center"/>
                  <w:rPr>
                    <w:rFonts w:hint="eastAsia"/>
                    <w:color w:val="000000" w:themeColor="text1"/>
                  </w:rPr>
                </w:pPr>
                <w:r>
                  <w:rPr>
                    <w:rFonts w:hint="eastAsia"/>
                    <w:color w:val="000000" w:themeColor="text1"/>
                  </w:rPr>
                  <w:t>股票代码</w:t>
                </w:r>
              </w:p>
            </w:tc>
          </w:sdtContent>
        </w:sdt>
        <w:sdt>
          <w:sdtPr>
            <w:rPr>
              <w:color w:val="000000" w:themeColor="text1"/>
            </w:rPr>
            <w:tag w:val="_PLD_38293dc771ef4460bd5252827867d07d"/>
            <w:id w:val="1835418679"/>
          </w:sdtPr>
          <w:sdtEndPr/>
          <w:sdtContent>
            <w:tc>
              <w:tcPr>
                <w:tcW w:w="1132" w:type="pct"/>
                <w:tcBorders>
                  <w:top w:val="single" w:sz="4" w:space="0" w:color="auto"/>
                  <w:left w:val="single" w:sz="4" w:space="0" w:color="auto"/>
                  <w:bottom w:val="single" w:sz="4" w:space="0" w:color="auto"/>
                </w:tcBorders>
                <w:shd w:val="clear" w:color="auto" w:fill="auto"/>
              </w:tcPr>
              <w:p w14:paraId="325D7119" w14:textId="77777777" w:rsidR="002D0AE7" w:rsidRDefault="00333EBB">
                <w:pPr>
                  <w:kinsoku w:val="0"/>
                  <w:overflowPunct w:val="0"/>
                  <w:autoSpaceDE w:val="0"/>
                  <w:autoSpaceDN w:val="0"/>
                  <w:adjustRightInd w:val="0"/>
                  <w:snapToGrid w:val="0"/>
                  <w:jc w:val="center"/>
                  <w:rPr>
                    <w:rFonts w:hint="eastAsia"/>
                    <w:color w:val="000000" w:themeColor="text1"/>
                  </w:rPr>
                </w:pPr>
                <w:r>
                  <w:rPr>
                    <w:rFonts w:hint="eastAsia"/>
                    <w:color w:val="000000" w:themeColor="text1"/>
                  </w:rPr>
                  <w:t>变更前股票简称</w:t>
                </w:r>
              </w:p>
            </w:tc>
          </w:sdtContent>
        </w:sdt>
      </w:tr>
      <w:tr w:rsidR="002D0AE7" w14:paraId="0093CA41" w14:textId="77777777">
        <w:trPr>
          <w:trHeight w:val="293"/>
        </w:trPr>
        <w:tc>
          <w:tcPr>
            <w:tcW w:w="1081" w:type="pct"/>
            <w:tcBorders>
              <w:top w:val="single" w:sz="4" w:space="0" w:color="auto"/>
              <w:bottom w:val="single" w:sz="4" w:space="0" w:color="auto"/>
              <w:right w:val="single" w:sz="4" w:space="0" w:color="auto"/>
            </w:tcBorders>
            <w:shd w:val="clear" w:color="auto" w:fill="auto"/>
          </w:tcPr>
          <w:p w14:paraId="39EECA4F" w14:textId="77777777" w:rsidR="002D0AE7" w:rsidRDefault="00333EBB">
            <w:pPr>
              <w:kinsoku w:val="0"/>
              <w:overflowPunct w:val="0"/>
              <w:autoSpaceDE w:val="0"/>
              <w:autoSpaceDN w:val="0"/>
              <w:adjustRightInd w:val="0"/>
              <w:snapToGrid w:val="0"/>
              <w:jc w:val="center"/>
              <w:rPr>
                <w:rFonts w:hint="eastAsia"/>
              </w:rPr>
            </w:pPr>
            <w:r>
              <w:t>A</w:t>
            </w:r>
            <w:r>
              <w:t>股</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18D40A99" w14:textId="77777777" w:rsidR="002D0AE7" w:rsidRDefault="00333EBB">
            <w:pPr>
              <w:kinsoku w:val="0"/>
              <w:overflowPunct w:val="0"/>
              <w:autoSpaceDE w:val="0"/>
              <w:autoSpaceDN w:val="0"/>
              <w:adjustRightInd w:val="0"/>
              <w:snapToGrid w:val="0"/>
              <w:jc w:val="center"/>
              <w:rPr>
                <w:rFonts w:hint="eastAsia"/>
              </w:rPr>
            </w:pPr>
            <w:r>
              <w:t>上海证券交易所</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19A75784" w14:textId="77777777" w:rsidR="002D0AE7" w:rsidRDefault="00333EBB">
            <w:pPr>
              <w:kinsoku w:val="0"/>
              <w:overflowPunct w:val="0"/>
              <w:autoSpaceDE w:val="0"/>
              <w:autoSpaceDN w:val="0"/>
              <w:adjustRightInd w:val="0"/>
              <w:snapToGrid w:val="0"/>
              <w:jc w:val="center"/>
              <w:rPr>
                <w:rFonts w:hint="eastAsia"/>
              </w:rPr>
            </w:pPr>
            <w:r>
              <w:t>津药药业</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43D524D1" w14:textId="77777777" w:rsidR="002D0AE7" w:rsidRDefault="00333EBB">
            <w:pPr>
              <w:kinsoku w:val="0"/>
              <w:overflowPunct w:val="0"/>
              <w:autoSpaceDE w:val="0"/>
              <w:autoSpaceDN w:val="0"/>
              <w:adjustRightInd w:val="0"/>
              <w:snapToGrid w:val="0"/>
              <w:jc w:val="center"/>
              <w:rPr>
                <w:rFonts w:hint="eastAsia"/>
              </w:rPr>
            </w:pPr>
            <w:r>
              <w:t>600488</w:t>
            </w:r>
          </w:p>
        </w:tc>
        <w:tc>
          <w:tcPr>
            <w:tcW w:w="1132" w:type="pct"/>
            <w:tcBorders>
              <w:top w:val="single" w:sz="4" w:space="0" w:color="auto"/>
              <w:left w:val="single" w:sz="4" w:space="0" w:color="auto"/>
              <w:bottom w:val="single" w:sz="4" w:space="0" w:color="auto"/>
            </w:tcBorders>
            <w:shd w:val="clear" w:color="auto" w:fill="auto"/>
          </w:tcPr>
          <w:p w14:paraId="62F232CD" w14:textId="77777777" w:rsidR="002D0AE7" w:rsidRDefault="00333EBB">
            <w:pPr>
              <w:kinsoku w:val="0"/>
              <w:overflowPunct w:val="0"/>
              <w:autoSpaceDE w:val="0"/>
              <w:autoSpaceDN w:val="0"/>
              <w:adjustRightInd w:val="0"/>
              <w:snapToGrid w:val="0"/>
              <w:jc w:val="center"/>
              <w:rPr>
                <w:rFonts w:hint="eastAsia"/>
              </w:rPr>
            </w:pPr>
            <w:r>
              <w:t>天药股份</w:t>
            </w:r>
          </w:p>
        </w:tc>
      </w:tr>
    </w:tbl>
    <w:p w14:paraId="40C2C2AE" w14:textId="77777777" w:rsidR="002D0AE7" w:rsidRDefault="00333EBB">
      <w:pPr>
        <w:pStyle w:val="2"/>
        <w:numPr>
          <w:ilvl w:val="0"/>
          <w:numId w:val="3"/>
        </w:numPr>
        <w:ind w:firstLineChars="0"/>
        <w:rPr>
          <w:color w:val="000000" w:themeColor="text1"/>
        </w:rPr>
      </w:pPr>
      <w:r>
        <w:rPr>
          <w:color w:val="000000" w:themeColor="text1"/>
        </w:rPr>
        <w:lastRenderedPageBreak/>
        <w:t>其他有关资料</w:t>
      </w:r>
    </w:p>
    <w:sdt>
      <w:sdtPr>
        <w:rPr>
          <w:color w:val="000000" w:themeColor="text1"/>
        </w:rPr>
        <w:alias w:val="是否适用：其他有关资料[双击切换]"/>
        <w:tag w:val="_GBC_78c3cc115c0d4dd3bf5e7c57142e5e68"/>
        <w:id w:val="1858769846"/>
        <w:placeholder>
          <w:docPart w:val="GBC22222222222222222222222222222"/>
        </w:placeholder>
      </w:sdtPr>
      <w:sdtEndPr/>
      <w:sdtContent>
        <w:p w14:paraId="0AB3675B"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1F90BA58" w14:textId="77777777" w:rsidR="002D0AE7" w:rsidRDefault="00333EBB">
      <w:pPr>
        <w:pStyle w:val="2"/>
        <w:numPr>
          <w:ilvl w:val="0"/>
          <w:numId w:val="3"/>
        </w:numPr>
        <w:ind w:firstLineChars="0"/>
        <w:rPr>
          <w:color w:val="000000" w:themeColor="text1"/>
        </w:rPr>
      </w:pPr>
      <w:bookmarkStart w:id="16" w:name="_Toc342565889"/>
      <w:bookmarkStart w:id="17" w:name="_Toc342056397"/>
      <w:r>
        <w:rPr>
          <w:rFonts w:hint="eastAsia"/>
          <w:color w:val="000000" w:themeColor="text1"/>
        </w:rPr>
        <w:t>公司主要会计数据和财务指标</w:t>
      </w:r>
      <w:bookmarkEnd w:id="16"/>
      <w:bookmarkEnd w:id="17"/>
    </w:p>
    <w:p w14:paraId="0E4982DC" w14:textId="77777777" w:rsidR="002D0AE7" w:rsidRDefault="00333EBB">
      <w:pPr>
        <w:pStyle w:val="3"/>
        <w:numPr>
          <w:ilvl w:val="1"/>
          <w:numId w:val="4"/>
        </w:numPr>
        <w:rPr>
          <w:rFonts w:ascii="宋体" w:hAnsi="宋体" w:hint="eastAsia"/>
          <w:color w:val="000000" w:themeColor="text1"/>
        </w:rPr>
      </w:pPr>
      <w:r>
        <w:rPr>
          <w:rFonts w:ascii="宋体" w:hAnsi="宋体" w:hint="eastAsia"/>
          <w:color w:val="000000" w:themeColor="text1"/>
        </w:rPr>
        <w:t>主要会计数据</w:t>
      </w:r>
    </w:p>
    <w:p w14:paraId="352DF0F0"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报告期末公司前三年主要会计数据和财务指标"/>
          <w:tag w:val="_GBC_c7cd0dd826b247dbba8cc8b1a811aefb"/>
          <w:id w:val="176611121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r>
            <w:rPr>
              <w:rFonts w:hint="eastAsia"/>
              <w:color w:val="000000" w:themeColor="text1"/>
            </w:rPr>
            <w:t xml:space="preserve"> </w:t>
          </w:r>
          <w:r>
            <w:rPr>
              <w:color w:val="000000" w:themeColor="text1"/>
            </w:rPr>
            <w:t xml:space="preserve"> </w:t>
          </w:r>
        </w:sdtContent>
      </w:sdt>
      <w:r>
        <w:rPr>
          <w:rFonts w:hint="eastAsia"/>
          <w:color w:val="000000" w:themeColor="text1"/>
        </w:rPr>
        <w:t>币种：</w:t>
      </w:r>
      <w:sdt>
        <w:sdtPr>
          <w:rPr>
            <w:rFonts w:hint="eastAsia"/>
            <w:color w:val="000000" w:themeColor="text1"/>
          </w:rPr>
          <w:alias w:val="币种：报告期末公司前三年主要会计数据和财务指标"/>
          <w:tag w:val="_GBC_2df6a5d441324c13bcf6c4c54ac41eb0"/>
          <w:id w:val="-1415852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7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6"/>
        <w:gridCol w:w="1774"/>
        <w:gridCol w:w="1748"/>
        <w:gridCol w:w="1716"/>
      </w:tblGrid>
      <w:tr w:rsidR="002D0AE7" w14:paraId="04B7BAEE" w14:textId="77777777">
        <w:trPr>
          <w:trHeight w:val="596"/>
          <w:jc w:val="center"/>
        </w:trPr>
        <w:bookmarkStart w:id="18" w:name="_Hlk72769913" w:displacedByCustomXml="next"/>
        <w:sdt>
          <w:sdtPr>
            <w:rPr>
              <w:rFonts w:ascii="Times New Roman" w:hAnsi="Times New Roman" w:hint="eastAsia"/>
              <w:color w:val="000000" w:themeColor="text1"/>
              <w:sz w:val="21"/>
            </w:rPr>
            <w:tag w:val="_PLD_e63d02b963714237aa4678b1878c888d"/>
            <w:id w:val="1232350770"/>
          </w:sdtPr>
          <w:sdtEndPr>
            <w:rPr>
              <w:rFonts w:hint="default"/>
            </w:rPr>
          </w:sdtEndPr>
          <w:sdtContent>
            <w:tc>
              <w:tcPr>
                <w:tcW w:w="2408" w:type="pct"/>
                <w:vAlign w:val="center"/>
              </w:tcPr>
              <w:p w14:paraId="3E80F7D0" w14:textId="77777777" w:rsidR="002D0AE7" w:rsidRDefault="00333EBB">
                <w:pPr>
                  <w:kinsoku w:val="0"/>
                  <w:overflowPunct w:val="0"/>
                  <w:autoSpaceDE w:val="0"/>
                  <w:autoSpaceDN w:val="0"/>
                  <w:adjustRightInd w:val="0"/>
                  <w:jc w:val="center"/>
                  <w:rPr>
                    <w:rFonts w:ascii="Times New Roman" w:hAnsi="Times New Roman"/>
                    <w:color w:val="000000" w:themeColor="text1"/>
                    <w:sz w:val="21"/>
                  </w:rPr>
                </w:pPr>
                <w:r>
                  <w:rPr>
                    <w:rFonts w:ascii="Times New Roman" w:hAnsi="Times New Roman" w:hint="eastAsia"/>
                    <w:color w:val="000000" w:themeColor="text1"/>
                    <w:sz w:val="21"/>
                  </w:rPr>
                  <w:t>主要会计数据</w:t>
                </w:r>
              </w:p>
            </w:tc>
          </w:sdtContent>
        </w:sdt>
        <w:sdt>
          <w:sdtPr>
            <w:rPr>
              <w:rFonts w:ascii="Times New Roman" w:hAnsi="Times New Roman"/>
              <w:color w:val="000000" w:themeColor="text1"/>
              <w:sz w:val="21"/>
            </w:rPr>
            <w:tag w:val="_PLD_913ae157f7e74eee947ea98d96be3599"/>
            <w:id w:val="2070611534"/>
          </w:sdtPr>
          <w:sdtEndPr/>
          <w:sdtContent>
            <w:tc>
              <w:tcPr>
                <w:tcW w:w="878" w:type="pct"/>
                <w:vAlign w:val="center"/>
              </w:tcPr>
              <w:p w14:paraId="74AFAB1E" w14:textId="77777777" w:rsidR="002D0AE7" w:rsidRDefault="00333EBB">
                <w:pPr>
                  <w:kinsoku w:val="0"/>
                  <w:overflowPunct w:val="0"/>
                  <w:autoSpaceDE w:val="0"/>
                  <w:autoSpaceDN w:val="0"/>
                  <w:adjustRightInd w:val="0"/>
                  <w:jc w:val="center"/>
                  <w:rPr>
                    <w:rFonts w:ascii="Times New Roman" w:hAnsi="Times New Roman"/>
                    <w:color w:val="000000" w:themeColor="text1"/>
                    <w:sz w:val="21"/>
                  </w:rPr>
                </w:pPr>
                <w:r>
                  <w:rPr>
                    <w:rFonts w:ascii="Times New Roman" w:hAnsi="Times New Roman" w:hint="eastAsia"/>
                    <w:color w:val="000000" w:themeColor="text1"/>
                    <w:sz w:val="21"/>
                  </w:rPr>
                  <w:t>本</w:t>
                </w:r>
                <w:r>
                  <w:rPr>
                    <w:rFonts w:ascii="Times New Roman" w:hAnsi="Times New Roman"/>
                    <w:color w:val="000000" w:themeColor="text1"/>
                    <w:sz w:val="21"/>
                  </w:rPr>
                  <w:t>报告期</w:t>
                </w:r>
              </w:p>
              <w:p w14:paraId="1244A5D2" w14:textId="77777777" w:rsidR="002D0AE7" w:rsidRDefault="00333EBB">
                <w:pPr>
                  <w:kinsoku w:val="0"/>
                  <w:overflowPunct w:val="0"/>
                  <w:autoSpaceDE w:val="0"/>
                  <w:autoSpaceDN w:val="0"/>
                  <w:adjustRightInd w:val="0"/>
                  <w:jc w:val="center"/>
                  <w:rPr>
                    <w:rFonts w:ascii="Times New Roman" w:hAnsi="Times New Roman"/>
                    <w:color w:val="000000" w:themeColor="text1"/>
                    <w:sz w:val="21"/>
                  </w:rPr>
                </w:pPr>
                <w:r>
                  <w:rPr>
                    <w:rFonts w:ascii="Times New Roman" w:hAnsi="Times New Roman"/>
                    <w:color w:val="000000" w:themeColor="text1"/>
                    <w:sz w:val="21"/>
                  </w:rPr>
                  <w:t>（</w:t>
                </w:r>
                <w:r>
                  <w:rPr>
                    <w:rFonts w:ascii="Times New Roman" w:hAnsi="Times New Roman"/>
                    <w:color w:val="000000" w:themeColor="text1"/>
                    <w:sz w:val="21"/>
                  </w:rPr>
                  <w:t>1</w:t>
                </w:r>
                <w:r>
                  <w:rPr>
                    <w:rFonts w:ascii="Times New Roman" w:hAnsi="Times New Roman"/>
                    <w:color w:val="000000" w:themeColor="text1"/>
                    <w:sz w:val="21"/>
                  </w:rPr>
                  <w:t>－</w:t>
                </w:r>
                <w:r>
                  <w:rPr>
                    <w:rFonts w:ascii="Times New Roman" w:hAnsi="Times New Roman"/>
                    <w:color w:val="000000" w:themeColor="text1"/>
                    <w:sz w:val="21"/>
                  </w:rPr>
                  <w:t>6</w:t>
                </w:r>
                <w:r>
                  <w:rPr>
                    <w:rFonts w:ascii="Times New Roman" w:hAnsi="Times New Roman"/>
                    <w:color w:val="000000" w:themeColor="text1"/>
                    <w:sz w:val="21"/>
                  </w:rPr>
                  <w:t>月）</w:t>
                </w:r>
              </w:p>
            </w:tc>
          </w:sdtContent>
        </w:sdt>
        <w:sdt>
          <w:sdtPr>
            <w:rPr>
              <w:rFonts w:ascii="Times New Roman" w:hAnsi="Times New Roman"/>
              <w:color w:val="000000" w:themeColor="text1"/>
              <w:sz w:val="21"/>
            </w:rPr>
            <w:tag w:val="_PLD_0f32665f64034720b1ecd674058f4d8b"/>
            <w:id w:val="687567207"/>
          </w:sdtPr>
          <w:sdtEndPr/>
          <w:sdtContent>
            <w:tc>
              <w:tcPr>
                <w:tcW w:w="865" w:type="pct"/>
                <w:vAlign w:val="center"/>
              </w:tcPr>
              <w:p w14:paraId="6E9A2FF2" w14:textId="77777777" w:rsidR="002D0AE7" w:rsidRDefault="00333EBB">
                <w:pPr>
                  <w:kinsoku w:val="0"/>
                  <w:overflowPunct w:val="0"/>
                  <w:autoSpaceDE w:val="0"/>
                  <w:autoSpaceDN w:val="0"/>
                  <w:adjustRightInd w:val="0"/>
                  <w:jc w:val="center"/>
                  <w:rPr>
                    <w:rFonts w:ascii="Times New Roman" w:hAnsi="Times New Roman"/>
                    <w:color w:val="000000" w:themeColor="text1"/>
                    <w:sz w:val="21"/>
                  </w:rPr>
                </w:pPr>
                <w:r>
                  <w:rPr>
                    <w:rFonts w:ascii="Times New Roman" w:hAnsi="Times New Roman"/>
                    <w:color w:val="000000" w:themeColor="text1"/>
                    <w:sz w:val="21"/>
                  </w:rPr>
                  <w:t>上年同期</w:t>
                </w:r>
              </w:p>
            </w:tc>
          </w:sdtContent>
        </w:sdt>
        <w:sdt>
          <w:sdtPr>
            <w:rPr>
              <w:rFonts w:ascii="Times New Roman" w:hAnsi="Times New Roman"/>
              <w:color w:val="000000" w:themeColor="text1"/>
              <w:sz w:val="21"/>
            </w:rPr>
            <w:tag w:val="_PLD_e634aa67fe8c44038b152224d8a245d6"/>
            <w:id w:val="-674879256"/>
          </w:sdtPr>
          <w:sdtEndPr/>
          <w:sdtContent>
            <w:tc>
              <w:tcPr>
                <w:tcW w:w="849" w:type="pct"/>
                <w:vAlign w:val="center"/>
              </w:tcPr>
              <w:p w14:paraId="2C2E3BC5" w14:textId="77777777" w:rsidR="002D0AE7" w:rsidRDefault="00333EBB">
                <w:pPr>
                  <w:kinsoku w:val="0"/>
                  <w:overflowPunct w:val="0"/>
                  <w:autoSpaceDE w:val="0"/>
                  <w:autoSpaceDN w:val="0"/>
                  <w:adjustRightInd w:val="0"/>
                  <w:jc w:val="center"/>
                  <w:rPr>
                    <w:rFonts w:ascii="Times New Roman" w:hAnsi="Times New Roman"/>
                    <w:color w:val="000000" w:themeColor="text1"/>
                    <w:sz w:val="21"/>
                  </w:rPr>
                </w:pPr>
                <w:r>
                  <w:rPr>
                    <w:rFonts w:ascii="Times New Roman" w:hAnsi="Times New Roman"/>
                    <w:color w:val="000000" w:themeColor="text1"/>
                    <w:sz w:val="21"/>
                  </w:rPr>
                  <w:t>本报告期比上年同期增减</w:t>
                </w:r>
                <w:r>
                  <w:rPr>
                    <w:rFonts w:ascii="Times New Roman" w:hAnsi="Times New Roman"/>
                    <w:color w:val="000000" w:themeColor="text1"/>
                    <w:sz w:val="21"/>
                  </w:rPr>
                  <w:t>(%)</w:t>
                </w:r>
              </w:p>
            </w:tc>
          </w:sdtContent>
        </w:sdt>
      </w:tr>
      <w:tr w:rsidR="002D0AE7" w14:paraId="61EE779C" w14:textId="77777777">
        <w:trPr>
          <w:trHeight w:val="285"/>
          <w:jc w:val="center"/>
        </w:trPr>
        <w:tc>
          <w:tcPr>
            <w:tcW w:w="2408" w:type="pct"/>
          </w:tcPr>
          <w:p w14:paraId="178ADF15" w14:textId="77777777" w:rsidR="002D0AE7" w:rsidRDefault="00333EBB">
            <w:pPr>
              <w:kinsoku w:val="0"/>
              <w:overflowPunct w:val="0"/>
              <w:autoSpaceDE w:val="0"/>
              <w:autoSpaceDN w:val="0"/>
              <w:adjustRightInd w:val="0"/>
              <w:rPr>
                <w:rFonts w:ascii="Times New Roman" w:hAnsi="Times New Roman"/>
                <w:color w:val="000000" w:themeColor="text1"/>
                <w:sz w:val="21"/>
              </w:rPr>
            </w:pPr>
            <w:r>
              <w:rPr>
                <w:rFonts w:ascii="Times New Roman" w:hAnsi="Times New Roman" w:hint="eastAsia"/>
                <w:color w:val="000000" w:themeColor="text1"/>
                <w:sz w:val="21"/>
              </w:rPr>
              <w:t>营业收入</w:t>
            </w:r>
          </w:p>
        </w:tc>
        <w:tc>
          <w:tcPr>
            <w:tcW w:w="878" w:type="pct"/>
            <w:vAlign w:val="center"/>
          </w:tcPr>
          <w:p w14:paraId="459CD8F5"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sz w:val="21"/>
              </w:rPr>
              <w:t>1,800,984,341.21</w:t>
            </w:r>
          </w:p>
        </w:tc>
        <w:tc>
          <w:tcPr>
            <w:tcW w:w="865" w:type="pct"/>
            <w:vAlign w:val="center"/>
          </w:tcPr>
          <w:p w14:paraId="2D3C0EEA"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sz w:val="21"/>
              </w:rPr>
              <w:t>2,023,258,856.62</w:t>
            </w:r>
          </w:p>
        </w:tc>
        <w:tc>
          <w:tcPr>
            <w:tcW w:w="849" w:type="pct"/>
            <w:vAlign w:val="center"/>
          </w:tcPr>
          <w:p w14:paraId="7414EDAA"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sz w:val="21"/>
              </w:rPr>
              <w:t>-10.99</w:t>
            </w:r>
          </w:p>
        </w:tc>
      </w:tr>
      <w:tr w:rsidR="002D0AE7" w14:paraId="67CEF4A2" w14:textId="77777777">
        <w:trPr>
          <w:trHeight w:val="285"/>
          <w:jc w:val="center"/>
        </w:trPr>
        <w:tc>
          <w:tcPr>
            <w:tcW w:w="2408" w:type="pct"/>
          </w:tcPr>
          <w:p w14:paraId="146F8865" w14:textId="77777777" w:rsidR="002D0AE7" w:rsidRDefault="00333EBB">
            <w:pPr>
              <w:kinsoku w:val="0"/>
              <w:overflowPunct w:val="0"/>
              <w:autoSpaceDE w:val="0"/>
              <w:autoSpaceDN w:val="0"/>
              <w:adjustRightInd w:val="0"/>
              <w:rPr>
                <w:rFonts w:ascii="Times New Roman" w:hAnsi="Times New Roman"/>
                <w:color w:val="000000" w:themeColor="text1"/>
                <w:sz w:val="21"/>
              </w:rPr>
            </w:pPr>
            <w:r>
              <w:rPr>
                <w:rFonts w:ascii="Times New Roman" w:hAnsi="Times New Roman" w:hint="eastAsia"/>
                <w:color w:val="000000" w:themeColor="text1"/>
                <w:sz w:val="21"/>
              </w:rPr>
              <w:t>归属于上市公司股东的净利润</w:t>
            </w:r>
          </w:p>
        </w:tc>
        <w:tc>
          <w:tcPr>
            <w:tcW w:w="878" w:type="pct"/>
            <w:vAlign w:val="center"/>
          </w:tcPr>
          <w:p w14:paraId="15D053AD"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sz w:val="21"/>
              </w:rPr>
              <w:t>142,020,246.39</w:t>
            </w:r>
          </w:p>
        </w:tc>
        <w:tc>
          <w:tcPr>
            <w:tcW w:w="865" w:type="pct"/>
            <w:vAlign w:val="center"/>
          </w:tcPr>
          <w:p w14:paraId="7426C42C"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sz w:val="21"/>
              </w:rPr>
              <w:t>123,405,359.07</w:t>
            </w:r>
          </w:p>
        </w:tc>
        <w:tc>
          <w:tcPr>
            <w:tcW w:w="849" w:type="pct"/>
            <w:vAlign w:val="center"/>
          </w:tcPr>
          <w:p w14:paraId="0E40D242"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sz w:val="21"/>
              </w:rPr>
              <w:t>15.08</w:t>
            </w:r>
          </w:p>
        </w:tc>
      </w:tr>
      <w:tr w:rsidR="002D0AE7" w14:paraId="7C8EC571" w14:textId="77777777">
        <w:trPr>
          <w:trHeight w:val="285"/>
          <w:jc w:val="center"/>
        </w:trPr>
        <w:tc>
          <w:tcPr>
            <w:tcW w:w="2408" w:type="pct"/>
          </w:tcPr>
          <w:p w14:paraId="098BCFB5" w14:textId="77777777" w:rsidR="002D0AE7" w:rsidRDefault="00333EBB">
            <w:pPr>
              <w:kinsoku w:val="0"/>
              <w:overflowPunct w:val="0"/>
              <w:autoSpaceDE w:val="0"/>
              <w:autoSpaceDN w:val="0"/>
              <w:adjustRightInd w:val="0"/>
              <w:rPr>
                <w:rFonts w:ascii="Times New Roman" w:hAnsi="Times New Roman"/>
                <w:color w:val="000000" w:themeColor="text1"/>
                <w:sz w:val="21"/>
              </w:rPr>
            </w:pPr>
            <w:r>
              <w:rPr>
                <w:rFonts w:ascii="Times New Roman" w:hAnsi="Times New Roman" w:hint="eastAsia"/>
                <w:color w:val="000000" w:themeColor="text1"/>
                <w:sz w:val="21"/>
              </w:rPr>
              <w:t>归属于上市公司股东的扣除非经常性损益的净利润</w:t>
            </w:r>
          </w:p>
        </w:tc>
        <w:tc>
          <w:tcPr>
            <w:tcW w:w="878" w:type="pct"/>
            <w:vAlign w:val="center"/>
          </w:tcPr>
          <w:p w14:paraId="53AC18F6"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color w:val="000000"/>
                <w:sz w:val="21"/>
              </w:rPr>
              <w:t>139,590,495.15</w:t>
            </w:r>
          </w:p>
        </w:tc>
        <w:tc>
          <w:tcPr>
            <w:tcW w:w="865" w:type="pct"/>
            <w:vAlign w:val="center"/>
          </w:tcPr>
          <w:p w14:paraId="0C4676C7"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color w:val="000000"/>
                <w:sz w:val="21"/>
              </w:rPr>
              <w:t>118,001,085.47</w:t>
            </w:r>
          </w:p>
        </w:tc>
        <w:tc>
          <w:tcPr>
            <w:tcW w:w="849" w:type="pct"/>
            <w:vAlign w:val="center"/>
          </w:tcPr>
          <w:p w14:paraId="064768DE"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color w:val="000000"/>
                <w:sz w:val="21"/>
              </w:rPr>
              <w:t>18.30</w:t>
            </w:r>
          </w:p>
        </w:tc>
      </w:tr>
      <w:tr w:rsidR="002D0AE7" w14:paraId="50043130" w14:textId="77777777">
        <w:trPr>
          <w:trHeight w:val="285"/>
          <w:jc w:val="center"/>
        </w:trPr>
        <w:tc>
          <w:tcPr>
            <w:tcW w:w="2408" w:type="pct"/>
          </w:tcPr>
          <w:p w14:paraId="0C39741E" w14:textId="77777777" w:rsidR="002D0AE7" w:rsidRDefault="00333EBB">
            <w:pPr>
              <w:kinsoku w:val="0"/>
              <w:overflowPunct w:val="0"/>
              <w:autoSpaceDE w:val="0"/>
              <w:autoSpaceDN w:val="0"/>
              <w:adjustRightInd w:val="0"/>
              <w:rPr>
                <w:rFonts w:ascii="Times New Roman" w:hAnsi="Times New Roman"/>
                <w:color w:val="000000" w:themeColor="text1"/>
                <w:sz w:val="21"/>
                <w:highlight w:val="magenta"/>
              </w:rPr>
            </w:pPr>
            <w:r>
              <w:rPr>
                <w:rFonts w:ascii="Times New Roman" w:hAnsi="Times New Roman" w:hint="eastAsia"/>
                <w:color w:val="000000" w:themeColor="text1"/>
                <w:sz w:val="21"/>
              </w:rPr>
              <w:t>经营活动产生的现金流量净额</w:t>
            </w:r>
          </w:p>
        </w:tc>
        <w:tc>
          <w:tcPr>
            <w:tcW w:w="878" w:type="pct"/>
            <w:vAlign w:val="center"/>
          </w:tcPr>
          <w:p w14:paraId="13286450"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sz w:val="21"/>
              </w:rPr>
              <w:t>315,828,279.32</w:t>
            </w:r>
          </w:p>
        </w:tc>
        <w:tc>
          <w:tcPr>
            <w:tcW w:w="865" w:type="pct"/>
            <w:vAlign w:val="center"/>
          </w:tcPr>
          <w:p w14:paraId="0F9D1A7F"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sz w:val="21"/>
              </w:rPr>
              <w:t>313,762,491.73</w:t>
            </w:r>
          </w:p>
        </w:tc>
        <w:tc>
          <w:tcPr>
            <w:tcW w:w="849" w:type="pct"/>
            <w:vAlign w:val="center"/>
          </w:tcPr>
          <w:p w14:paraId="190E2DEA"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sz w:val="21"/>
              </w:rPr>
              <w:t>0.66</w:t>
            </w:r>
          </w:p>
        </w:tc>
      </w:tr>
      <w:tr w:rsidR="002D0AE7" w14:paraId="5E290D32" w14:textId="77777777">
        <w:trPr>
          <w:trHeight w:val="533"/>
          <w:jc w:val="center"/>
        </w:trPr>
        <w:tc>
          <w:tcPr>
            <w:tcW w:w="2408" w:type="pct"/>
            <w:vAlign w:val="center"/>
          </w:tcPr>
          <w:p w14:paraId="4BDFEDB5" w14:textId="77777777" w:rsidR="002D0AE7" w:rsidRDefault="002D0AE7">
            <w:pPr>
              <w:kinsoku w:val="0"/>
              <w:overflowPunct w:val="0"/>
              <w:autoSpaceDE w:val="0"/>
              <w:autoSpaceDN w:val="0"/>
              <w:adjustRightInd w:val="0"/>
              <w:jc w:val="center"/>
              <w:rPr>
                <w:rFonts w:ascii="Times New Roman" w:hAnsi="Times New Roman"/>
                <w:color w:val="000000" w:themeColor="text1"/>
                <w:sz w:val="21"/>
              </w:rPr>
            </w:pPr>
          </w:p>
        </w:tc>
        <w:sdt>
          <w:sdtPr>
            <w:rPr>
              <w:rFonts w:ascii="Times New Roman" w:hAnsi="Times New Roman"/>
              <w:color w:val="000000" w:themeColor="text1"/>
              <w:sz w:val="21"/>
            </w:rPr>
            <w:tag w:val="_PLD_b75e9aa554cc48539ab9de572d244f45"/>
            <w:id w:val="-1506200436"/>
          </w:sdtPr>
          <w:sdtEndPr/>
          <w:sdtContent>
            <w:tc>
              <w:tcPr>
                <w:tcW w:w="878" w:type="pct"/>
                <w:vAlign w:val="center"/>
              </w:tcPr>
              <w:p w14:paraId="68AF087A" w14:textId="77777777" w:rsidR="002D0AE7" w:rsidRDefault="00333EBB">
                <w:pPr>
                  <w:kinsoku w:val="0"/>
                  <w:overflowPunct w:val="0"/>
                  <w:autoSpaceDE w:val="0"/>
                  <w:autoSpaceDN w:val="0"/>
                  <w:adjustRightInd w:val="0"/>
                  <w:jc w:val="center"/>
                  <w:rPr>
                    <w:rFonts w:ascii="Times New Roman" w:hAnsi="Times New Roman"/>
                    <w:color w:val="000000" w:themeColor="text1"/>
                    <w:sz w:val="21"/>
                  </w:rPr>
                </w:pPr>
                <w:r>
                  <w:rPr>
                    <w:rFonts w:ascii="Times New Roman" w:hAnsi="Times New Roman"/>
                    <w:color w:val="000000" w:themeColor="text1"/>
                    <w:sz w:val="21"/>
                  </w:rPr>
                  <w:t>本报告期末</w:t>
                </w:r>
              </w:p>
            </w:tc>
          </w:sdtContent>
        </w:sdt>
        <w:sdt>
          <w:sdtPr>
            <w:rPr>
              <w:rFonts w:ascii="Times New Roman" w:hAnsi="Times New Roman"/>
              <w:color w:val="000000" w:themeColor="text1"/>
              <w:sz w:val="21"/>
            </w:rPr>
            <w:tag w:val="_PLD_7425b2bc6a39452296814978a781ba72"/>
            <w:id w:val="686870918"/>
          </w:sdtPr>
          <w:sdtEndPr/>
          <w:sdtContent>
            <w:tc>
              <w:tcPr>
                <w:tcW w:w="865" w:type="pct"/>
                <w:vAlign w:val="center"/>
              </w:tcPr>
              <w:p w14:paraId="1DE5145A" w14:textId="77777777" w:rsidR="002D0AE7" w:rsidRDefault="00333EBB">
                <w:pPr>
                  <w:kinsoku w:val="0"/>
                  <w:overflowPunct w:val="0"/>
                  <w:autoSpaceDE w:val="0"/>
                  <w:autoSpaceDN w:val="0"/>
                  <w:adjustRightInd w:val="0"/>
                  <w:jc w:val="center"/>
                  <w:rPr>
                    <w:rFonts w:ascii="Times New Roman" w:hAnsi="Times New Roman"/>
                    <w:color w:val="000000" w:themeColor="text1"/>
                    <w:sz w:val="21"/>
                  </w:rPr>
                </w:pPr>
                <w:r>
                  <w:rPr>
                    <w:rFonts w:ascii="Times New Roman" w:hAnsi="Times New Roman"/>
                    <w:color w:val="000000" w:themeColor="text1"/>
                    <w:sz w:val="21"/>
                  </w:rPr>
                  <w:t>上年度末</w:t>
                </w:r>
              </w:p>
            </w:tc>
          </w:sdtContent>
        </w:sdt>
        <w:sdt>
          <w:sdtPr>
            <w:rPr>
              <w:rFonts w:ascii="Times New Roman" w:hAnsi="Times New Roman"/>
              <w:color w:val="000000" w:themeColor="text1"/>
              <w:sz w:val="21"/>
            </w:rPr>
            <w:tag w:val="_PLD_7a1ba9a6d9b54e51bd320f47b6233184"/>
            <w:id w:val="2039770333"/>
          </w:sdtPr>
          <w:sdtEndPr/>
          <w:sdtContent>
            <w:tc>
              <w:tcPr>
                <w:tcW w:w="849" w:type="pct"/>
                <w:vAlign w:val="center"/>
              </w:tcPr>
              <w:p w14:paraId="784A86FA" w14:textId="77777777" w:rsidR="002D0AE7" w:rsidRDefault="00333EBB">
                <w:pPr>
                  <w:kinsoku w:val="0"/>
                  <w:overflowPunct w:val="0"/>
                  <w:autoSpaceDE w:val="0"/>
                  <w:autoSpaceDN w:val="0"/>
                  <w:adjustRightInd w:val="0"/>
                  <w:jc w:val="center"/>
                  <w:rPr>
                    <w:rFonts w:ascii="Times New Roman" w:hAnsi="Times New Roman"/>
                    <w:color w:val="000000" w:themeColor="text1"/>
                    <w:sz w:val="21"/>
                  </w:rPr>
                </w:pPr>
                <w:r>
                  <w:rPr>
                    <w:rFonts w:ascii="Times New Roman" w:hAnsi="Times New Roman"/>
                    <w:color w:val="000000" w:themeColor="text1"/>
                    <w:sz w:val="21"/>
                  </w:rPr>
                  <w:t>本报告期末比上年度末增减</w:t>
                </w:r>
                <w:r>
                  <w:rPr>
                    <w:rFonts w:ascii="Times New Roman" w:hAnsi="Times New Roman"/>
                    <w:color w:val="000000" w:themeColor="text1"/>
                    <w:sz w:val="21"/>
                  </w:rPr>
                  <w:t>(%)</w:t>
                </w:r>
              </w:p>
            </w:tc>
          </w:sdtContent>
        </w:sdt>
      </w:tr>
      <w:tr w:rsidR="002D0AE7" w14:paraId="08515ED5" w14:textId="77777777">
        <w:trPr>
          <w:trHeight w:val="285"/>
          <w:jc w:val="center"/>
        </w:trPr>
        <w:tc>
          <w:tcPr>
            <w:tcW w:w="2408" w:type="pct"/>
          </w:tcPr>
          <w:p w14:paraId="67EC120D" w14:textId="77777777" w:rsidR="002D0AE7" w:rsidRDefault="00333EBB">
            <w:pPr>
              <w:kinsoku w:val="0"/>
              <w:overflowPunct w:val="0"/>
              <w:autoSpaceDE w:val="0"/>
              <w:autoSpaceDN w:val="0"/>
              <w:adjustRightInd w:val="0"/>
              <w:rPr>
                <w:rFonts w:ascii="Times New Roman" w:hAnsi="Times New Roman"/>
                <w:color w:val="000000" w:themeColor="text1"/>
                <w:sz w:val="21"/>
              </w:rPr>
            </w:pPr>
            <w:r>
              <w:rPr>
                <w:rFonts w:ascii="Times New Roman" w:hAnsi="Times New Roman" w:hint="eastAsia"/>
                <w:color w:val="000000" w:themeColor="text1"/>
                <w:sz w:val="21"/>
              </w:rPr>
              <w:t>归属于上市公司股东的净资产</w:t>
            </w:r>
          </w:p>
        </w:tc>
        <w:tc>
          <w:tcPr>
            <w:tcW w:w="878" w:type="pct"/>
            <w:vAlign w:val="center"/>
          </w:tcPr>
          <w:p w14:paraId="667D6339"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sz w:val="21"/>
              </w:rPr>
              <w:t>3,004,307,222.48</w:t>
            </w:r>
          </w:p>
        </w:tc>
        <w:tc>
          <w:tcPr>
            <w:tcW w:w="865" w:type="pct"/>
            <w:vAlign w:val="center"/>
          </w:tcPr>
          <w:p w14:paraId="73546E20"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sz w:val="21"/>
              </w:rPr>
              <w:t>2,953,554,191.30</w:t>
            </w:r>
          </w:p>
        </w:tc>
        <w:tc>
          <w:tcPr>
            <w:tcW w:w="849" w:type="pct"/>
            <w:vAlign w:val="center"/>
          </w:tcPr>
          <w:p w14:paraId="0911BB76"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sz w:val="21"/>
              </w:rPr>
              <w:t>1.72</w:t>
            </w:r>
          </w:p>
        </w:tc>
      </w:tr>
      <w:tr w:rsidR="002D0AE7" w14:paraId="5217EEA2" w14:textId="77777777">
        <w:trPr>
          <w:trHeight w:val="285"/>
          <w:jc w:val="center"/>
        </w:trPr>
        <w:tc>
          <w:tcPr>
            <w:tcW w:w="2408" w:type="pct"/>
          </w:tcPr>
          <w:p w14:paraId="34AFD75D" w14:textId="77777777" w:rsidR="002D0AE7" w:rsidRDefault="00333EBB">
            <w:pPr>
              <w:kinsoku w:val="0"/>
              <w:overflowPunct w:val="0"/>
              <w:autoSpaceDE w:val="0"/>
              <w:autoSpaceDN w:val="0"/>
              <w:adjustRightInd w:val="0"/>
              <w:rPr>
                <w:rFonts w:ascii="Times New Roman" w:hAnsi="Times New Roman"/>
                <w:color w:val="000000" w:themeColor="text1"/>
                <w:sz w:val="21"/>
              </w:rPr>
            </w:pPr>
            <w:r>
              <w:rPr>
                <w:rFonts w:ascii="Times New Roman" w:hAnsi="Times New Roman" w:hint="eastAsia"/>
                <w:color w:val="000000" w:themeColor="text1"/>
                <w:sz w:val="21"/>
              </w:rPr>
              <w:t>总资产</w:t>
            </w:r>
          </w:p>
        </w:tc>
        <w:tc>
          <w:tcPr>
            <w:tcW w:w="878" w:type="pct"/>
            <w:vAlign w:val="center"/>
          </w:tcPr>
          <w:p w14:paraId="58E5D749"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sz w:val="21"/>
              </w:rPr>
              <w:t>6,103,330,817.99</w:t>
            </w:r>
          </w:p>
        </w:tc>
        <w:tc>
          <w:tcPr>
            <w:tcW w:w="865" w:type="pct"/>
            <w:vAlign w:val="center"/>
          </w:tcPr>
          <w:p w14:paraId="0480F6D2"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sz w:val="21"/>
              </w:rPr>
              <w:t>6,142,482,199.13</w:t>
            </w:r>
          </w:p>
        </w:tc>
        <w:tc>
          <w:tcPr>
            <w:tcW w:w="849" w:type="pct"/>
            <w:vAlign w:val="center"/>
          </w:tcPr>
          <w:p w14:paraId="62898DF6"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sz w:val="21"/>
              </w:rPr>
              <w:t>-0.64</w:t>
            </w:r>
          </w:p>
        </w:tc>
      </w:tr>
    </w:tbl>
    <w:bookmarkEnd w:id="18"/>
    <w:p w14:paraId="7B2A95A3" w14:textId="77777777" w:rsidR="002D0AE7" w:rsidRDefault="00333EBB">
      <w:pPr>
        <w:pStyle w:val="3"/>
        <w:numPr>
          <w:ilvl w:val="1"/>
          <w:numId w:val="4"/>
        </w:numPr>
        <w:rPr>
          <w:rFonts w:ascii="宋体" w:hAnsi="宋体" w:hint="eastAsia"/>
          <w:color w:val="000000" w:themeColor="text1"/>
          <w:szCs w:val="21"/>
        </w:rPr>
      </w:pPr>
      <w:r>
        <w:rPr>
          <w:rFonts w:ascii="宋体" w:hAnsi="宋体"/>
          <w:color w:val="000000" w:themeColor="text1"/>
        </w:rPr>
        <w:t>主要财务指标</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1"/>
        <w:gridCol w:w="1275"/>
        <w:gridCol w:w="1134"/>
        <w:gridCol w:w="1985"/>
      </w:tblGrid>
      <w:tr w:rsidR="002D0AE7" w14:paraId="683E0D5E" w14:textId="77777777">
        <w:trPr>
          <w:jc w:val="center"/>
        </w:trPr>
        <w:sdt>
          <w:sdtPr>
            <w:rPr>
              <w:rFonts w:ascii="Times New Roman" w:hAnsi="Times New Roman"/>
              <w:color w:val="000000" w:themeColor="text1"/>
              <w:sz w:val="21"/>
            </w:rPr>
            <w:tag w:val="_PLD_b12e929543994adfbc7a21fe743cd125"/>
            <w:id w:val="-1447226680"/>
          </w:sdtPr>
          <w:sdtEndPr/>
          <w:sdtContent>
            <w:tc>
              <w:tcPr>
                <w:tcW w:w="5011" w:type="dxa"/>
                <w:vAlign w:val="center"/>
              </w:tcPr>
              <w:p w14:paraId="2BBB97C9" w14:textId="77777777" w:rsidR="002D0AE7" w:rsidRDefault="00333EBB">
                <w:pPr>
                  <w:kinsoku w:val="0"/>
                  <w:overflowPunct w:val="0"/>
                  <w:autoSpaceDE w:val="0"/>
                  <w:autoSpaceDN w:val="0"/>
                  <w:adjustRightInd w:val="0"/>
                  <w:jc w:val="center"/>
                  <w:rPr>
                    <w:rFonts w:ascii="Times New Roman" w:hAnsi="Times New Roman"/>
                    <w:color w:val="000000" w:themeColor="text1"/>
                    <w:sz w:val="21"/>
                  </w:rPr>
                </w:pPr>
                <w:r>
                  <w:rPr>
                    <w:rFonts w:ascii="Times New Roman" w:hAnsi="Times New Roman"/>
                    <w:color w:val="000000" w:themeColor="text1"/>
                    <w:sz w:val="21"/>
                  </w:rPr>
                  <w:t>主要财务指标</w:t>
                </w:r>
              </w:p>
            </w:tc>
          </w:sdtContent>
        </w:sdt>
        <w:sdt>
          <w:sdtPr>
            <w:rPr>
              <w:rFonts w:ascii="Times New Roman" w:hAnsi="Times New Roman"/>
              <w:color w:val="000000" w:themeColor="text1"/>
              <w:sz w:val="21"/>
            </w:rPr>
            <w:tag w:val="_PLD_d04f89449ff14c5fa39e871117b7e9e2"/>
            <w:id w:val="-969664079"/>
          </w:sdtPr>
          <w:sdtEndPr/>
          <w:sdtContent>
            <w:tc>
              <w:tcPr>
                <w:tcW w:w="1275" w:type="dxa"/>
                <w:vAlign w:val="center"/>
              </w:tcPr>
              <w:p w14:paraId="56BAC060" w14:textId="77777777" w:rsidR="002D0AE7" w:rsidRDefault="00333EBB">
                <w:pPr>
                  <w:kinsoku w:val="0"/>
                  <w:overflowPunct w:val="0"/>
                  <w:autoSpaceDE w:val="0"/>
                  <w:autoSpaceDN w:val="0"/>
                  <w:adjustRightInd w:val="0"/>
                  <w:jc w:val="center"/>
                  <w:rPr>
                    <w:rFonts w:ascii="Times New Roman" w:hAnsi="Times New Roman"/>
                    <w:color w:val="000000" w:themeColor="text1"/>
                    <w:sz w:val="21"/>
                  </w:rPr>
                </w:pPr>
                <w:r>
                  <w:rPr>
                    <w:rFonts w:ascii="Times New Roman" w:hAnsi="Times New Roman"/>
                    <w:color w:val="000000" w:themeColor="text1"/>
                    <w:sz w:val="21"/>
                  </w:rPr>
                  <w:t>本报告期</w:t>
                </w:r>
              </w:p>
              <w:p w14:paraId="55731238" w14:textId="77777777" w:rsidR="002D0AE7" w:rsidRDefault="00333EBB">
                <w:pPr>
                  <w:kinsoku w:val="0"/>
                  <w:overflowPunct w:val="0"/>
                  <w:autoSpaceDE w:val="0"/>
                  <w:autoSpaceDN w:val="0"/>
                  <w:adjustRightInd w:val="0"/>
                  <w:jc w:val="center"/>
                  <w:rPr>
                    <w:rFonts w:ascii="Times New Roman" w:hAnsi="Times New Roman"/>
                    <w:color w:val="000000" w:themeColor="text1"/>
                    <w:sz w:val="21"/>
                  </w:rPr>
                </w:pPr>
                <w:r>
                  <w:rPr>
                    <w:rFonts w:ascii="Times New Roman" w:hAnsi="Times New Roman"/>
                    <w:color w:val="000000" w:themeColor="text1"/>
                    <w:sz w:val="21"/>
                  </w:rPr>
                  <w:t>（</w:t>
                </w:r>
                <w:r>
                  <w:rPr>
                    <w:rFonts w:ascii="Times New Roman" w:hAnsi="Times New Roman"/>
                    <w:color w:val="000000" w:themeColor="text1"/>
                    <w:sz w:val="21"/>
                  </w:rPr>
                  <w:t>1</w:t>
                </w:r>
                <w:r>
                  <w:rPr>
                    <w:rFonts w:ascii="Times New Roman" w:hAnsi="Times New Roman"/>
                    <w:color w:val="000000" w:themeColor="text1"/>
                    <w:sz w:val="21"/>
                  </w:rPr>
                  <w:t>－</w:t>
                </w:r>
                <w:r>
                  <w:rPr>
                    <w:rFonts w:ascii="Times New Roman" w:hAnsi="Times New Roman"/>
                    <w:color w:val="000000" w:themeColor="text1"/>
                    <w:sz w:val="21"/>
                  </w:rPr>
                  <w:t>6</w:t>
                </w:r>
                <w:r>
                  <w:rPr>
                    <w:rFonts w:ascii="Times New Roman" w:hAnsi="Times New Roman"/>
                    <w:color w:val="000000" w:themeColor="text1"/>
                    <w:sz w:val="21"/>
                  </w:rPr>
                  <w:t>月）</w:t>
                </w:r>
              </w:p>
            </w:tc>
          </w:sdtContent>
        </w:sdt>
        <w:sdt>
          <w:sdtPr>
            <w:rPr>
              <w:rFonts w:ascii="Times New Roman" w:hAnsi="Times New Roman"/>
              <w:color w:val="000000" w:themeColor="text1"/>
              <w:sz w:val="21"/>
            </w:rPr>
            <w:tag w:val="_PLD_bdb91a2a58254a0e945eecc5aef91521"/>
            <w:id w:val="-505898566"/>
          </w:sdtPr>
          <w:sdtEndPr/>
          <w:sdtContent>
            <w:tc>
              <w:tcPr>
                <w:tcW w:w="1134" w:type="dxa"/>
                <w:vAlign w:val="center"/>
              </w:tcPr>
              <w:p w14:paraId="3A8EC509" w14:textId="77777777" w:rsidR="002D0AE7" w:rsidRDefault="00333EBB">
                <w:pPr>
                  <w:kinsoku w:val="0"/>
                  <w:overflowPunct w:val="0"/>
                  <w:autoSpaceDE w:val="0"/>
                  <w:autoSpaceDN w:val="0"/>
                  <w:adjustRightInd w:val="0"/>
                  <w:jc w:val="center"/>
                  <w:rPr>
                    <w:rFonts w:ascii="Times New Roman" w:hAnsi="Times New Roman"/>
                    <w:color w:val="000000" w:themeColor="text1"/>
                    <w:sz w:val="21"/>
                  </w:rPr>
                </w:pPr>
                <w:r>
                  <w:rPr>
                    <w:rFonts w:ascii="Times New Roman" w:hAnsi="Times New Roman"/>
                    <w:color w:val="000000" w:themeColor="text1"/>
                    <w:sz w:val="21"/>
                  </w:rPr>
                  <w:t>上年同期</w:t>
                </w:r>
              </w:p>
            </w:tc>
          </w:sdtContent>
        </w:sdt>
        <w:sdt>
          <w:sdtPr>
            <w:rPr>
              <w:rFonts w:ascii="Times New Roman" w:hAnsi="Times New Roman"/>
              <w:color w:val="000000" w:themeColor="text1"/>
              <w:sz w:val="21"/>
            </w:rPr>
            <w:tag w:val="_PLD_08306889e5b040aa83784b3f6db386f1"/>
            <w:id w:val="-939220839"/>
          </w:sdtPr>
          <w:sdtEndPr/>
          <w:sdtContent>
            <w:tc>
              <w:tcPr>
                <w:tcW w:w="1985" w:type="dxa"/>
                <w:vAlign w:val="center"/>
              </w:tcPr>
              <w:p w14:paraId="1229CA2E" w14:textId="77777777" w:rsidR="002D0AE7" w:rsidRDefault="00333EBB">
                <w:pPr>
                  <w:kinsoku w:val="0"/>
                  <w:overflowPunct w:val="0"/>
                  <w:autoSpaceDE w:val="0"/>
                  <w:autoSpaceDN w:val="0"/>
                  <w:adjustRightInd w:val="0"/>
                  <w:jc w:val="center"/>
                  <w:rPr>
                    <w:rFonts w:ascii="Times New Roman" w:hAnsi="Times New Roman"/>
                    <w:color w:val="000000" w:themeColor="text1"/>
                    <w:sz w:val="21"/>
                  </w:rPr>
                </w:pPr>
                <w:r>
                  <w:rPr>
                    <w:rFonts w:ascii="Times New Roman" w:hAnsi="Times New Roman"/>
                    <w:color w:val="000000" w:themeColor="text1"/>
                    <w:sz w:val="21"/>
                  </w:rPr>
                  <w:t>本报告期比上年同期增减</w:t>
                </w:r>
                <w:r>
                  <w:rPr>
                    <w:rFonts w:ascii="Times New Roman" w:hAnsi="Times New Roman"/>
                    <w:color w:val="000000" w:themeColor="text1"/>
                    <w:sz w:val="21"/>
                  </w:rPr>
                  <w:t>(%)</w:t>
                </w:r>
              </w:p>
            </w:tc>
          </w:sdtContent>
        </w:sdt>
      </w:tr>
      <w:tr w:rsidR="002D0AE7" w14:paraId="055ABB7F" w14:textId="77777777">
        <w:trPr>
          <w:jc w:val="center"/>
        </w:trPr>
        <w:tc>
          <w:tcPr>
            <w:tcW w:w="5011" w:type="dxa"/>
          </w:tcPr>
          <w:p w14:paraId="2F93B401" w14:textId="77777777" w:rsidR="002D0AE7" w:rsidRDefault="00333EBB">
            <w:pPr>
              <w:kinsoku w:val="0"/>
              <w:overflowPunct w:val="0"/>
              <w:autoSpaceDE w:val="0"/>
              <w:autoSpaceDN w:val="0"/>
              <w:adjustRightInd w:val="0"/>
              <w:rPr>
                <w:rFonts w:ascii="Times New Roman" w:hAnsi="Times New Roman"/>
                <w:color w:val="000000" w:themeColor="text1"/>
                <w:sz w:val="21"/>
              </w:rPr>
            </w:pPr>
            <w:r>
              <w:rPr>
                <w:rFonts w:ascii="Times New Roman" w:hAnsi="Times New Roman"/>
                <w:color w:val="000000" w:themeColor="text1"/>
                <w:sz w:val="21"/>
              </w:rPr>
              <w:t>基本每股收益（元／股）</w:t>
            </w:r>
          </w:p>
        </w:tc>
        <w:tc>
          <w:tcPr>
            <w:tcW w:w="1275" w:type="dxa"/>
            <w:vAlign w:val="center"/>
          </w:tcPr>
          <w:p w14:paraId="506D5092"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sz w:val="21"/>
              </w:rPr>
              <w:t>0.130</w:t>
            </w:r>
          </w:p>
        </w:tc>
        <w:tc>
          <w:tcPr>
            <w:tcW w:w="1134" w:type="dxa"/>
            <w:vAlign w:val="center"/>
          </w:tcPr>
          <w:p w14:paraId="0CB8D273"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sz w:val="21"/>
              </w:rPr>
              <w:t>0.113</w:t>
            </w:r>
          </w:p>
        </w:tc>
        <w:tc>
          <w:tcPr>
            <w:tcW w:w="1985" w:type="dxa"/>
            <w:vAlign w:val="center"/>
          </w:tcPr>
          <w:p w14:paraId="296E3E5A"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sz w:val="21"/>
              </w:rPr>
              <w:t>15.04</w:t>
            </w:r>
          </w:p>
        </w:tc>
      </w:tr>
      <w:tr w:rsidR="002D0AE7" w14:paraId="02637A40" w14:textId="77777777">
        <w:trPr>
          <w:jc w:val="center"/>
        </w:trPr>
        <w:tc>
          <w:tcPr>
            <w:tcW w:w="5011" w:type="dxa"/>
          </w:tcPr>
          <w:p w14:paraId="04D79E7A" w14:textId="77777777" w:rsidR="002D0AE7" w:rsidRDefault="00333EBB">
            <w:pPr>
              <w:kinsoku w:val="0"/>
              <w:overflowPunct w:val="0"/>
              <w:autoSpaceDE w:val="0"/>
              <w:autoSpaceDN w:val="0"/>
              <w:adjustRightInd w:val="0"/>
              <w:rPr>
                <w:rFonts w:ascii="Times New Roman" w:hAnsi="Times New Roman"/>
                <w:color w:val="000000" w:themeColor="text1"/>
                <w:sz w:val="21"/>
              </w:rPr>
            </w:pPr>
            <w:r>
              <w:rPr>
                <w:rFonts w:ascii="Times New Roman" w:hAnsi="Times New Roman"/>
                <w:color w:val="000000" w:themeColor="text1"/>
                <w:sz w:val="21"/>
              </w:rPr>
              <w:t>稀释每股收益（元／股）</w:t>
            </w:r>
          </w:p>
        </w:tc>
        <w:tc>
          <w:tcPr>
            <w:tcW w:w="1275" w:type="dxa"/>
            <w:vAlign w:val="center"/>
          </w:tcPr>
          <w:p w14:paraId="5EE76FA8"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sz w:val="21"/>
              </w:rPr>
              <w:t>0.130</w:t>
            </w:r>
          </w:p>
        </w:tc>
        <w:tc>
          <w:tcPr>
            <w:tcW w:w="1134" w:type="dxa"/>
            <w:vAlign w:val="center"/>
          </w:tcPr>
          <w:p w14:paraId="6FB368DA"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sz w:val="21"/>
              </w:rPr>
              <w:t>0.113</w:t>
            </w:r>
          </w:p>
        </w:tc>
        <w:tc>
          <w:tcPr>
            <w:tcW w:w="1985" w:type="dxa"/>
            <w:vAlign w:val="center"/>
          </w:tcPr>
          <w:p w14:paraId="50CA77D1"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sz w:val="21"/>
              </w:rPr>
              <w:t>15.04</w:t>
            </w:r>
          </w:p>
        </w:tc>
      </w:tr>
      <w:tr w:rsidR="002D0AE7" w14:paraId="765EF890" w14:textId="77777777">
        <w:trPr>
          <w:jc w:val="center"/>
        </w:trPr>
        <w:tc>
          <w:tcPr>
            <w:tcW w:w="5011" w:type="dxa"/>
          </w:tcPr>
          <w:p w14:paraId="3D559D40" w14:textId="77777777" w:rsidR="002D0AE7" w:rsidRDefault="00333EBB">
            <w:pPr>
              <w:kinsoku w:val="0"/>
              <w:overflowPunct w:val="0"/>
              <w:autoSpaceDE w:val="0"/>
              <w:autoSpaceDN w:val="0"/>
              <w:adjustRightInd w:val="0"/>
              <w:rPr>
                <w:rFonts w:ascii="Times New Roman" w:hAnsi="Times New Roman"/>
                <w:color w:val="000000" w:themeColor="text1"/>
                <w:sz w:val="21"/>
              </w:rPr>
            </w:pPr>
            <w:r>
              <w:rPr>
                <w:rFonts w:ascii="Times New Roman" w:hAnsi="Times New Roman"/>
                <w:color w:val="000000" w:themeColor="text1"/>
                <w:sz w:val="21"/>
              </w:rPr>
              <w:t>扣除非经常性损益后的基本每股收益（元／股）</w:t>
            </w:r>
          </w:p>
        </w:tc>
        <w:tc>
          <w:tcPr>
            <w:tcW w:w="1275" w:type="dxa"/>
            <w:vAlign w:val="center"/>
          </w:tcPr>
          <w:p w14:paraId="187E7C58"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sz w:val="21"/>
              </w:rPr>
              <w:t>0.128</w:t>
            </w:r>
          </w:p>
        </w:tc>
        <w:tc>
          <w:tcPr>
            <w:tcW w:w="1134" w:type="dxa"/>
            <w:vAlign w:val="center"/>
          </w:tcPr>
          <w:p w14:paraId="4774E926"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sz w:val="21"/>
              </w:rPr>
              <w:t>0.108</w:t>
            </w:r>
          </w:p>
        </w:tc>
        <w:tc>
          <w:tcPr>
            <w:tcW w:w="1985" w:type="dxa"/>
            <w:vAlign w:val="center"/>
          </w:tcPr>
          <w:p w14:paraId="6B2144F2"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sz w:val="21"/>
              </w:rPr>
              <w:t>18.52</w:t>
            </w:r>
          </w:p>
        </w:tc>
      </w:tr>
      <w:tr w:rsidR="002D0AE7" w14:paraId="303469CA" w14:textId="77777777">
        <w:trPr>
          <w:jc w:val="center"/>
        </w:trPr>
        <w:tc>
          <w:tcPr>
            <w:tcW w:w="5011" w:type="dxa"/>
          </w:tcPr>
          <w:p w14:paraId="3472A7DF" w14:textId="77777777" w:rsidR="002D0AE7" w:rsidRDefault="00333EBB">
            <w:pPr>
              <w:kinsoku w:val="0"/>
              <w:overflowPunct w:val="0"/>
              <w:autoSpaceDE w:val="0"/>
              <w:autoSpaceDN w:val="0"/>
              <w:adjustRightInd w:val="0"/>
              <w:rPr>
                <w:rFonts w:ascii="Times New Roman" w:hAnsi="Times New Roman"/>
                <w:color w:val="000000" w:themeColor="text1"/>
                <w:sz w:val="21"/>
              </w:rPr>
            </w:pPr>
            <w:r>
              <w:rPr>
                <w:rFonts w:ascii="Times New Roman" w:hAnsi="Times New Roman"/>
                <w:color w:val="000000" w:themeColor="text1"/>
                <w:sz w:val="21"/>
              </w:rPr>
              <w:t>加权平均净资产收益率（</w:t>
            </w:r>
            <w:r>
              <w:rPr>
                <w:rFonts w:ascii="Times New Roman" w:hAnsi="Times New Roman"/>
                <w:color w:val="000000" w:themeColor="text1"/>
                <w:sz w:val="21"/>
              </w:rPr>
              <w:t>%</w:t>
            </w:r>
            <w:r>
              <w:rPr>
                <w:rFonts w:ascii="Times New Roman" w:hAnsi="Times New Roman"/>
                <w:color w:val="000000" w:themeColor="text1"/>
                <w:sz w:val="21"/>
              </w:rPr>
              <w:t>）</w:t>
            </w:r>
          </w:p>
        </w:tc>
        <w:tc>
          <w:tcPr>
            <w:tcW w:w="1275" w:type="dxa"/>
            <w:vAlign w:val="center"/>
          </w:tcPr>
          <w:p w14:paraId="2D9EDDB8"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sz w:val="21"/>
              </w:rPr>
              <w:t>4.72</w:t>
            </w:r>
          </w:p>
        </w:tc>
        <w:tc>
          <w:tcPr>
            <w:tcW w:w="1134" w:type="dxa"/>
            <w:vAlign w:val="center"/>
          </w:tcPr>
          <w:p w14:paraId="42ACAF2A"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sz w:val="21"/>
              </w:rPr>
              <w:t>4.07</w:t>
            </w:r>
          </w:p>
        </w:tc>
        <w:tc>
          <w:tcPr>
            <w:tcW w:w="1985" w:type="dxa"/>
            <w:vAlign w:val="center"/>
          </w:tcPr>
          <w:p w14:paraId="75C8B77F"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sz w:val="21"/>
              </w:rPr>
              <w:t>增加</w:t>
            </w:r>
            <w:r>
              <w:rPr>
                <w:rFonts w:ascii="Times New Roman" w:hAnsi="Times New Roman" w:cs="Times New Roman"/>
                <w:sz w:val="21"/>
              </w:rPr>
              <w:t>0.65</w:t>
            </w:r>
            <w:r>
              <w:rPr>
                <w:rFonts w:ascii="Times New Roman" w:hAnsi="Times New Roman" w:cs="Times New Roman"/>
                <w:sz w:val="21"/>
              </w:rPr>
              <w:t>个百分点</w:t>
            </w:r>
          </w:p>
        </w:tc>
      </w:tr>
      <w:tr w:rsidR="002D0AE7" w14:paraId="079A0031" w14:textId="77777777">
        <w:trPr>
          <w:jc w:val="center"/>
        </w:trPr>
        <w:tc>
          <w:tcPr>
            <w:tcW w:w="5011" w:type="dxa"/>
          </w:tcPr>
          <w:p w14:paraId="65CB3E86" w14:textId="77777777" w:rsidR="002D0AE7" w:rsidRDefault="00333EBB">
            <w:pPr>
              <w:kinsoku w:val="0"/>
              <w:overflowPunct w:val="0"/>
              <w:autoSpaceDE w:val="0"/>
              <w:autoSpaceDN w:val="0"/>
              <w:adjustRightInd w:val="0"/>
              <w:rPr>
                <w:rFonts w:ascii="Times New Roman" w:hAnsi="Times New Roman"/>
                <w:color w:val="000000" w:themeColor="text1"/>
                <w:sz w:val="21"/>
              </w:rPr>
            </w:pPr>
            <w:r>
              <w:rPr>
                <w:rFonts w:ascii="Times New Roman" w:hAnsi="Times New Roman"/>
                <w:color w:val="000000" w:themeColor="text1"/>
                <w:sz w:val="21"/>
              </w:rPr>
              <w:t>扣除非经常性损益后的加权平均净资产收益率（</w:t>
            </w:r>
            <w:r>
              <w:rPr>
                <w:rFonts w:ascii="Times New Roman" w:hAnsi="Times New Roman"/>
                <w:color w:val="000000" w:themeColor="text1"/>
                <w:sz w:val="21"/>
              </w:rPr>
              <w:t>%</w:t>
            </w:r>
            <w:r>
              <w:rPr>
                <w:rFonts w:ascii="Times New Roman" w:hAnsi="Times New Roman"/>
                <w:color w:val="000000" w:themeColor="text1"/>
                <w:sz w:val="21"/>
              </w:rPr>
              <w:t>）</w:t>
            </w:r>
          </w:p>
        </w:tc>
        <w:tc>
          <w:tcPr>
            <w:tcW w:w="1275" w:type="dxa"/>
            <w:vAlign w:val="center"/>
          </w:tcPr>
          <w:p w14:paraId="412A9A35"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sz w:val="21"/>
              </w:rPr>
              <w:t>4.64</w:t>
            </w:r>
          </w:p>
        </w:tc>
        <w:tc>
          <w:tcPr>
            <w:tcW w:w="1134" w:type="dxa"/>
            <w:vAlign w:val="center"/>
          </w:tcPr>
          <w:p w14:paraId="1A6AC2F1"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sz w:val="21"/>
              </w:rPr>
              <w:t>3.89</w:t>
            </w:r>
          </w:p>
        </w:tc>
        <w:tc>
          <w:tcPr>
            <w:tcW w:w="1985" w:type="dxa"/>
            <w:vAlign w:val="center"/>
          </w:tcPr>
          <w:p w14:paraId="0CC5494E" w14:textId="77777777" w:rsidR="002D0AE7" w:rsidRDefault="00333EBB">
            <w:pPr>
              <w:kinsoku w:val="0"/>
              <w:overflowPunct w:val="0"/>
              <w:autoSpaceDE w:val="0"/>
              <w:autoSpaceDN w:val="0"/>
              <w:adjustRightInd w:val="0"/>
              <w:jc w:val="right"/>
              <w:rPr>
                <w:rFonts w:ascii="Times New Roman" w:hAnsi="Times New Roman" w:cs="Times New Roman"/>
                <w:sz w:val="21"/>
              </w:rPr>
            </w:pPr>
            <w:r>
              <w:rPr>
                <w:rFonts w:ascii="Times New Roman" w:hAnsi="Times New Roman" w:cs="Times New Roman"/>
                <w:sz w:val="21"/>
              </w:rPr>
              <w:t>增加</w:t>
            </w:r>
            <w:r>
              <w:rPr>
                <w:rFonts w:ascii="Times New Roman" w:hAnsi="Times New Roman" w:cs="Times New Roman"/>
                <w:sz w:val="21"/>
              </w:rPr>
              <w:t>0.75</w:t>
            </w:r>
            <w:r>
              <w:rPr>
                <w:rFonts w:ascii="Times New Roman" w:hAnsi="Times New Roman" w:cs="Times New Roman"/>
                <w:sz w:val="21"/>
              </w:rPr>
              <w:t>个百分点</w:t>
            </w:r>
          </w:p>
        </w:tc>
      </w:tr>
    </w:tbl>
    <w:p w14:paraId="3A061CE3" w14:textId="77777777" w:rsidR="002D0AE7" w:rsidRDefault="00333EBB">
      <w:pPr>
        <w:rPr>
          <w:rFonts w:hint="eastAsia"/>
          <w:color w:val="000000" w:themeColor="text1"/>
        </w:rPr>
      </w:pPr>
      <w:bookmarkStart w:id="19" w:name="_Toc342565890"/>
      <w:bookmarkStart w:id="20" w:name="_Toc342056398"/>
      <w:r>
        <w:rPr>
          <w:color w:val="000000" w:themeColor="text1"/>
        </w:rPr>
        <w:t>公司主要会计数据和财务指标的说明</w:t>
      </w:r>
    </w:p>
    <w:sdt>
      <w:sdtPr>
        <w:rPr>
          <w:color w:val="000000" w:themeColor="text1"/>
        </w:rPr>
        <w:alias w:val="是否适用：公司主要会计数据和财务指标的说明[双击切换]"/>
        <w:tag w:val="_GBC_cfe99dae5f804f6f8f02eb429483f98a"/>
        <w:id w:val="1587502868"/>
        <w:placeholder>
          <w:docPart w:val="GBC22222222222222222222222222222"/>
        </w:placeholder>
      </w:sdtPr>
      <w:sdtEndPr/>
      <w:sdtContent>
        <w:p w14:paraId="178EF613"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628306ED" w14:textId="77777777" w:rsidR="002D0AE7" w:rsidRDefault="00333EBB">
      <w:pPr>
        <w:pStyle w:val="2"/>
        <w:numPr>
          <w:ilvl w:val="0"/>
          <w:numId w:val="3"/>
        </w:numPr>
        <w:ind w:firstLineChars="0"/>
        <w:rPr>
          <w:color w:val="000000" w:themeColor="text1"/>
        </w:rPr>
      </w:pPr>
      <w:r>
        <w:rPr>
          <w:rFonts w:hint="eastAsia"/>
          <w:color w:val="000000" w:themeColor="text1"/>
        </w:rPr>
        <w:t>境内外会计准则下会计数据差异</w:t>
      </w:r>
      <w:bookmarkEnd w:id="19"/>
      <w:bookmarkEnd w:id="20"/>
    </w:p>
    <w:sdt>
      <w:sdtPr>
        <w:rPr>
          <w:color w:val="000000" w:themeColor="text1"/>
        </w:rPr>
        <w:alias w:val="是否适用：境内外会计准则下会计数据差异[双击切换]"/>
        <w:tag w:val="_GBC_bdabc18d82504a7696c49b78e67b7ce4"/>
        <w:id w:val="-765080940"/>
        <w:placeholder>
          <w:docPart w:val="GBC22222222222222222222222222222"/>
        </w:placeholder>
      </w:sdtPr>
      <w:sdtEndPr/>
      <w:sdtContent>
        <w:p w14:paraId="57AD8BA3"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37D2C861" w14:textId="77777777" w:rsidR="002D0AE7" w:rsidRDefault="00333EBB">
      <w:pPr>
        <w:pStyle w:val="2"/>
        <w:numPr>
          <w:ilvl w:val="0"/>
          <w:numId w:val="3"/>
        </w:numPr>
        <w:ind w:firstLineChars="0"/>
        <w:rPr>
          <w:color w:val="000000" w:themeColor="text1"/>
        </w:rPr>
      </w:pPr>
      <w:bookmarkStart w:id="21" w:name="_Hlk24640273"/>
      <w:bookmarkStart w:id="22" w:name="_Hlk167796974"/>
      <w:bookmarkEnd w:id="21"/>
      <w:r>
        <w:rPr>
          <w:rFonts w:hint="eastAsia"/>
          <w:color w:val="000000" w:themeColor="text1"/>
        </w:rPr>
        <w:t>非经常性损益项目和金额</w:t>
      </w:r>
    </w:p>
    <w:sdt>
      <w:sdtPr>
        <w:rPr>
          <w:color w:val="000000" w:themeColor="text1"/>
        </w:rPr>
        <w:alias w:val="是否适用：扣除非经常性损益项目和金额[双击切换]"/>
        <w:tag w:val="_GBC_43f94504cb3d48cbbe81a75d50663c2d"/>
        <w:id w:val="258574089"/>
        <w:placeholder>
          <w:docPart w:val="GBC22222222222222222222222222222"/>
        </w:placeholder>
      </w:sdtPr>
      <w:sdtEndPr/>
      <w:sdtContent>
        <w:p w14:paraId="2C5DF4C0"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2B83367A" w14:textId="77777777" w:rsidR="002D0AE7" w:rsidRDefault="00333EBB">
      <w:pPr>
        <w:jc w:val="right"/>
        <w:rPr>
          <w:rFonts w:hint="eastAsia"/>
          <w:color w:val="000000" w:themeColor="text1"/>
        </w:rPr>
      </w:pPr>
      <w:r>
        <w:rPr>
          <w:rFonts w:hint="eastAsia"/>
          <w:color w:val="000000" w:themeColor="text1"/>
        </w:rPr>
        <w:t>单位</w:t>
      </w:r>
      <w:r>
        <w:rPr>
          <w:rFonts w:hint="eastAsia"/>
          <w:color w:val="000000" w:themeColor="text1"/>
        </w:rPr>
        <w:t>:</w:t>
      </w:r>
      <w:sdt>
        <w:sdtPr>
          <w:rPr>
            <w:rFonts w:hint="eastAsia"/>
            <w:color w:val="000000" w:themeColor="text1"/>
          </w:rPr>
          <w:alias w:val="单位：扣除非经常性损益项目和金额"/>
          <w:tag w:val="_GBC_f9e43a30b40946c08985f868a2ba3b74"/>
          <w:id w:val="-1257054230"/>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r>
        <w:rPr>
          <w:rFonts w:hint="eastAsia"/>
          <w:color w:val="000000" w:themeColor="text1"/>
        </w:rPr>
        <w:t>:</w:t>
      </w:r>
      <w:sdt>
        <w:sdtPr>
          <w:rPr>
            <w:rFonts w:hint="eastAsia"/>
            <w:color w:val="000000" w:themeColor="text1"/>
          </w:rPr>
          <w:alias w:val="币种：扣除非经常性损益项目和金额"/>
          <w:tag w:val="_GBC_81dc93f6f5e14511b89edb8661fa84fd"/>
          <w:id w:val="1955053284"/>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5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560"/>
        <w:gridCol w:w="1181"/>
      </w:tblGrid>
      <w:tr w:rsidR="002D0AE7" w14:paraId="551D0466" w14:textId="77777777">
        <w:trPr>
          <w:jc w:val="center"/>
        </w:trPr>
        <w:sdt>
          <w:sdtPr>
            <w:rPr>
              <w:rFonts w:ascii="Times New Roman" w:hAnsi="Times New Roman"/>
            </w:rPr>
            <w:tag w:val="_PLD_75c3787071e446ebb752a5626cdbd723"/>
            <w:id w:val="-2075808012"/>
          </w:sdtPr>
          <w:sdtEndPr/>
          <w:sdtContent>
            <w:tc>
              <w:tcPr>
                <w:tcW w:w="3605" w:type="pct"/>
                <w:vAlign w:val="center"/>
              </w:tcPr>
              <w:p w14:paraId="63CDC028" w14:textId="77777777" w:rsidR="002D0AE7" w:rsidRDefault="00333EBB">
                <w:pPr>
                  <w:pStyle w:val="11"/>
                  <w:rPr>
                    <w:rFonts w:hint="eastAsia"/>
                  </w:rPr>
                </w:pPr>
                <w:r>
                  <w:rPr>
                    <w:rFonts w:hint="eastAsia"/>
                  </w:rPr>
                  <w:t>非经常性损益项目</w:t>
                </w:r>
              </w:p>
            </w:tc>
          </w:sdtContent>
        </w:sdt>
        <w:sdt>
          <w:sdtPr>
            <w:rPr>
              <w:rFonts w:ascii="Times New Roman" w:hAnsi="Times New Roman"/>
            </w:rPr>
            <w:tag w:val="_PLD_819237cfe12b4f9b95d296101869571d"/>
            <w:id w:val="888080861"/>
          </w:sdtPr>
          <w:sdtEndPr/>
          <w:sdtContent>
            <w:tc>
              <w:tcPr>
                <w:tcW w:w="794" w:type="pct"/>
                <w:vAlign w:val="center"/>
              </w:tcPr>
              <w:p w14:paraId="6751B690" w14:textId="77777777" w:rsidR="002D0AE7" w:rsidRDefault="00333EBB">
                <w:pPr>
                  <w:pStyle w:val="11"/>
                  <w:rPr>
                    <w:rFonts w:hint="eastAsia"/>
                  </w:rPr>
                </w:pPr>
                <w:r>
                  <w:rPr>
                    <w:rFonts w:hint="eastAsia"/>
                  </w:rPr>
                  <w:t>金额</w:t>
                </w:r>
              </w:p>
            </w:tc>
          </w:sdtContent>
        </w:sdt>
        <w:sdt>
          <w:sdtPr>
            <w:rPr>
              <w:rFonts w:ascii="Times New Roman" w:hAnsi="Times New Roman"/>
            </w:rPr>
            <w:tag w:val="_PLD_271c1520daad4f06be80c7ac930ea658"/>
            <w:id w:val="-1630699844"/>
          </w:sdtPr>
          <w:sdtEndPr/>
          <w:sdtContent>
            <w:tc>
              <w:tcPr>
                <w:tcW w:w="601" w:type="pct"/>
                <w:vAlign w:val="center"/>
              </w:tcPr>
              <w:p w14:paraId="44D5B211" w14:textId="77777777" w:rsidR="002D0AE7" w:rsidRDefault="00333EBB">
                <w:pPr>
                  <w:pStyle w:val="11"/>
                  <w:rPr>
                    <w:rFonts w:hint="eastAsia"/>
                  </w:rPr>
                </w:pPr>
                <w:r>
                  <w:rPr>
                    <w:rFonts w:hint="eastAsia"/>
                  </w:rPr>
                  <w:t>附注（如适用）</w:t>
                </w:r>
              </w:p>
            </w:tc>
          </w:sdtContent>
        </w:sdt>
      </w:tr>
      <w:tr w:rsidR="002D0AE7" w14:paraId="2D9D97C5" w14:textId="77777777">
        <w:trPr>
          <w:jc w:val="center"/>
        </w:trPr>
        <w:tc>
          <w:tcPr>
            <w:tcW w:w="3605" w:type="pct"/>
            <w:vAlign w:val="center"/>
          </w:tcPr>
          <w:p w14:paraId="553EAF2B" w14:textId="77777777" w:rsidR="002D0AE7" w:rsidRDefault="00333EBB">
            <w:pPr>
              <w:pStyle w:val="11"/>
              <w:rPr>
                <w:rFonts w:hint="eastAsia"/>
              </w:rPr>
            </w:pPr>
            <w:r>
              <w:t>非流动</w:t>
            </w:r>
            <w:r>
              <w:rPr>
                <w:rFonts w:hint="eastAsia"/>
              </w:rPr>
              <w:t>性</w:t>
            </w:r>
            <w:r>
              <w:t>资产处置损益</w:t>
            </w:r>
            <w:r>
              <w:rPr>
                <w:rFonts w:hint="eastAsia"/>
              </w:rPr>
              <w:t>，包括已计提资产减值准备的冲销部分</w:t>
            </w:r>
          </w:p>
        </w:tc>
        <w:tc>
          <w:tcPr>
            <w:tcW w:w="794" w:type="pct"/>
            <w:vAlign w:val="center"/>
          </w:tcPr>
          <w:p w14:paraId="60D2F6F6" w14:textId="77777777" w:rsidR="002D0AE7" w:rsidRDefault="00333EBB">
            <w:pPr>
              <w:jc w:val="right"/>
              <w:rPr>
                <w:rFonts w:ascii="Times New Roman" w:hAnsi="Times New Roman" w:cs="Times New Roman"/>
                <w:color w:val="000000" w:themeColor="text1"/>
                <w:sz w:val="21"/>
              </w:rPr>
            </w:pPr>
            <w:r>
              <w:rPr>
                <w:rFonts w:ascii="Times New Roman" w:hAnsi="Times New Roman" w:cs="Times New Roman"/>
                <w:color w:val="000000"/>
                <w:sz w:val="21"/>
              </w:rPr>
              <w:t>-194,484.96</w:t>
            </w:r>
          </w:p>
        </w:tc>
        <w:tc>
          <w:tcPr>
            <w:tcW w:w="601" w:type="pct"/>
            <w:vAlign w:val="center"/>
          </w:tcPr>
          <w:p w14:paraId="18591C41" w14:textId="77777777" w:rsidR="002D0AE7" w:rsidRDefault="00333EBB">
            <w:pPr>
              <w:rPr>
                <w:rFonts w:ascii="Times New Roman" w:hAnsi="Times New Roman"/>
                <w:color w:val="000000" w:themeColor="text1"/>
                <w:sz w:val="21"/>
              </w:rPr>
            </w:pPr>
            <w:r>
              <w:rPr>
                <w:rFonts w:ascii="Times New Roman" w:hAnsi="Times New Roman" w:hint="eastAsia"/>
                <w:color w:val="000000" w:themeColor="text1"/>
                <w:sz w:val="21"/>
              </w:rPr>
              <w:t xml:space="preserve">　</w:t>
            </w:r>
          </w:p>
        </w:tc>
      </w:tr>
      <w:tr w:rsidR="002D0AE7" w14:paraId="47FA1447" w14:textId="77777777">
        <w:trPr>
          <w:jc w:val="center"/>
        </w:trPr>
        <w:tc>
          <w:tcPr>
            <w:tcW w:w="3605" w:type="pct"/>
            <w:vAlign w:val="center"/>
          </w:tcPr>
          <w:p w14:paraId="11D43636" w14:textId="77777777" w:rsidR="002D0AE7" w:rsidRDefault="00333EBB">
            <w:pPr>
              <w:pStyle w:val="11"/>
              <w:rPr>
                <w:rFonts w:hint="eastAsia"/>
              </w:rPr>
            </w:pPr>
            <w:r>
              <w:t>计入当期损益的政府补助</w:t>
            </w:r>
            <w:r>
              <w:rPr>
                <w:rFonts w:hint="eastAsia"/>
              </w:rPr>
              <w:t>，但与公司正常经营业务密切相关、符合国家政策规定、按照确定的标准享有、对公司损益产生持续影响的政府补助除外</w:t>
            </w:r>
          </w:p>
        </w:tc>
        <w:tc>
          <w:tcPr>
            <w:tcW w:w="794" w:type="pct"/>
            <w:vAlign w:val="center"/>
          </w:tcPr>
          <w:p w14:paraId="153080B3" w14:textId="77777777" w:rsidR="002D0AE7" w:rsidRDefault="00333EBB">
            <w:pPr>
              <w:jc w:val="right"/>
              <w:rPr>
                <w:rFonts w:ascii="Times New Roman" w:hAnsi="Times New Roman" w:cs="Times New Roman"/>
                <w:color w:val="000000" w:themeColor="text1"/>
                <w:sz w:val="21"/>
              </w:rPr>
            </w:pPr>
            <w:r>
              <w:rPr>
                <w:rFonts w:ascii="Times New Roman" w:hAnsi="Times New Roman" w:cs="Times New Roman"/>
                <w:color w:val="000000" w:themeColor="text1"/>
                <w:sz w:val="21"/>
              </w:rPr>
              <w:t>2,562,944.16</w:t>
            </w:r>
          </w:p>
        </w:tc>
        <w:tc>
          <w:tcPr>
            <w:tcW w:w="601" w:type="pct"/>
            <w:vAlign w:val="center"/>
          </w:tcPr>
          <w:p w14:paraId="00C606A8" w14:textId="77777777" w:rsidR="002D0AE7" w:rsidRDefault="00333EBB">
            <w:pPr>
              <w:rPr>
                <w:rFonts w:ascii="Times New Roman" w:hAnsi="Times New Roman"/>
                <w:color w:val="000000" w:themeColor="text1"/>
                <w:sz w:val="21"/>
              </w:rPr>
            </w:pPr>
            <w:r>
              <w:rPr>
                <w:rFonts w:ascii="Times New Roman" w:hAnsi="Times New Roman" w:hint="eastAsia"/>
                <w:color w:val="000000" w:themeColor="text1"/>
                <w:sz w:val="21"/>
              </w:rPr>
              <w:t xml:space="preserve">　</w:t>
            </w:r>
          </w:p>
        </w:tc>
      </w:tr>
      <w:tr w:rsidR="002D0AE7" w14:paraId="270685AB" w14:textId="77777777">
        <w:trPr>
          <w:jc w:val="center"/>
        </w:trPr>
        <w:tc>
          <w:tcPr>
            <w:tcW w:w="3605" w:type="pct"/>
            <w:vAlign w:val="center"/>
          </w:tcPr>
          <w:p w14:paraId="5FE8B8F1" w14:textId="77777777" w:rsidR="002D0AE7" w:rsidRDefault="00333EBB">
            <w:pPr>
              <w:pStyle w:val="11"/>
              <w:rPr>
                <w:rFonts w:hint="eastAsia"/>
              </w:rPr>
            </w:pPr>
            <w:r>
              <w:t>受托经营取得的托管费收入</w:t>
            </w:r>
          </w:p>
        </w:tc>
        <w:tc>
          <w:tcPr>
            <w:tcW w:w="794" w:type="pct"/>
            <w:vAlign w:val="center"/>
          </w:tcPr>
          <w:p w14:paraId="7E0BCFFC" w14:textId="77777777" w:rsidR="002D0AE7" w:rsidRDefault="00333EBB">
            <w:pPr>
              <w:jc w:val="right"/>
              <w:rPr>
                <w:rFonts w:ascii="Times New Roman" w:hAnsi="Times New Roman" w:cs="Times New Roman"/>
                <w:color w:val="000000" w:themeColor="text1"/>
                <w:sz w:val="21"/>
              </w:rPr>
            </w:pPr>
            <w:r>
              <w:rPr>
                <w:rFonts w:ascii="Times New Roman" w:hAnsi="Times New Roman" w:cs="Times New Roman"/>
                <w:sz w:val="21"/>
              </w:rPr>
              <w:t>94,339.62</w:t>
            </w:r>
          </w:p>
        </w:tc>
        <w:tc>
          <w:tcPr>
            <w:tcW w:w="601" w:type="pct"/>
            <w:vAlign w:val="center"/>
          </w:tcPr>
          <w:p w14:paraId="2636FFF8" w14:textId="77777777" w:rsidR="002D0AE7" w:rsidRDefault="00333EBB">
            <w:pPr>
              <w:rPr>
                <w:rFonts w:ascii="Times New Roman" w:hAnsi="Times New Roman"/>
                <w:color w:val="000000" w:themeColor="text1"/>
                <w:sz w:val="21"/>
              </w:rPr>
            </w:pPr>
            <w:r>
              <w:rPr>
                <w:rFonts w:ascii="Times New Roman" w:hAnsi="Times New Roman" w:hint="eastAsia"/>
                <w:color w:val="000000" w:themeColor="text1"/>
                <w:sz w:val="21"/>
              </w:rPr>
              <w:t xml:space="preserve">　</w:t>
            </w:r>
          </w:p>
        </w:tc>
      </w:tr>
      <w:tr w:rsidR="002D0AE7" w14:paraId="685738FC" w14:textId="77777777">
        <w:trPr>
          <w:jc w:val="center"/>
        </w:trPr>
        <w:tc>
          <w:tcPr>
            <w:tcW w:w="3605" w:type="pct"/>
            <w:vAlign w:val="center"/>
          </w:tcPr>
          <w:p w14:paraId="4042A9EB" w14:textId="77777777" w:rsidR="002D0AE7" w:rsidRDefault="00333EBB">
            <w:pPr>
              <w:pStyle w:val="11"/>
              <w:rPr>
                <w:rFonts w:hint="eastAsia"/>
              </w:rPr>
            </w:pPr>
            <w:r>
              <w:t>除上述各项之外的其他营业外收入和支出</w:t>
            </w:r>
          </w:p>
        </w:tc>
        <w:tc>
          <w:tcPr>
            <w:tcW w:w="794" w:type="pct"/>
            <w:vAlign w:val="center"/>
          </w:tcPr>
          <w:p w14:paraId="587D6A12" w14:textId="77777777" w:rsidR="002D0AE7" w:rsidRDefault="00333EBB">
            <w:pPr>
              <w:jc w:val="right"/>
              <w:rPr>
                <w:rFonts w:ascii="Times New Roman" w:hAnsi="Times New Roman" w:cs="Times New Roman"/>
                <w:color w:val="000000" w:themeColor="text1"/>
                <w:sz w:val="21"/>
              </w:rPr>
            </w:pPr>
            <w:r>
              <w:rPr>
                <w:rFonts w:ascii="Times New Roman" w:hAnsi="Times New Roman" w:cs="Times New Roman"/>
                <w:color w:val="000000"/>
                <w:sz w:val="21"/>
              </w:rPr>
              <w:t>762,498.06</w:t>
            </w:r>
          </w:p>
        </w:tc>
        <w:tc>
          <w:tcPr>
            <w:tcW w:w="601" w:type="pct"/>
            <w:vAlign w:val="center"/>
          </w:tcPr>
          <w:p w14:paraId="5E5B1C3D" w14:textId="77777777" w:rsidR="002D0AE7" w:rsidRDefault="00333EBB">
            <w:pPr>
              <w:rPr>
                <w:rFonts w:ascii="Times New Roman" w:hAnsi="Times New Roman"/>
                <w:color w:val="000000" w:themeColor="text1"/>
                <w:sz w:val="21"/>
              </w:rPr>
            </w:pPr>
            <w:r>
              <w:rPr>
                <w:rFonts w:ascii="Times New Roman" w:hAnsi="Times New Roman" w:hint="eastAsia"/>
                <w:color w:val="000000" w:themeColor="text1"/>
                <w:sz w:val="21"/>
              </w:rPr>
              <w:t xml:space="preserve">　</w:t>
            </w:r>
          </w:p>
        </w:tc>
      </w:tr>
      <w:tr w:rsidR="002D0AE7" w14:paraId="4F0EBA5E" w14:textId="77777777">
        <w:trPr>
          <w:jc w:val="center"/>
        </w:trPr>
        <w:tc>
          <w:tcPr>
            <w:tcW w:w="3605" w:type="pct"/>
            <w:vAlign w:val="center"/>
          </w:tcPr>
          <w:p w14:paraId="7531F9CE" w14:textId="77777777" w:rsidR="002D0AE7" w:rsidRDefault="00333EBB">
            <w:pPr>
              <w:pStyle w:val="11"/>
              <w:rPr>
                <w:rFonts w:hint="eastAsia"/>
              </w:rPr>
            </w:pPr>
            <w:r>
              <w:rPr>
                <w:rFonts w:hint="eastAsia"/>
              </w:rPr>
              <w:t>减：</w:t>
            </w:r>
            <w:r>
              <w:t>所得税影响额</w:t>
            </w:r>
          </w:p>
        </w:tc>
        <w:tc>
          <w:tcPr>
            <w:tcW w:w="794" w:type="pct"/>
            <w:vAlign w:val="center"/>
          </w:tcPr>
          <w:p w14:paraId="19494102" w14:textId="77777777" w:rsidR="002D0AE7" w:rsidRDefault="00333EBB">
            <w:pPr>
              <w:jc w:val="right"/>
              <w:rPr>
                <w:rFonts w:ascii="Times New Roman" w:hAnsi="Times New Roman" w:cs="Times New Roman"/>
                <w:color w:val="000000" w:themeColor="text1"/>
                <w:sz w:val="21"/>
              </w:rPr>
            </w:pPr>
            <w:r>
              <w:rPr>
                <w:rFonts w:ascii="Times New Roman" w:hAnsi="Times New Roman" w:cs="Times New Roman"/>
                <w:color w:val="000000"/>
                <w:sz w:val="21"/>
              </w:rPr>
              <w:t>138,000.85</w:t>
            </w:r>
          </w:p>
        </w:tc>
        <w:tc>
          <w:tcPr>
            <w:tcW w:w="601" w:type="pct"/>
            <w:vAlign w:val="center"/>
          </w:tcPr>
          <w:p w14:paraId="2A4FB63B" w14:textId="77777777" w:rsidR="002D0AE7" w:rsidRDefault="00333EBB">
            <w:pPr>
              <w:rPr>
                <w:rFonts w:ascii="Times New Roman" w:hAnsi="Times New Roman"/>
                <w:color w:val="000000" w:themeColor="text1"/>
                <w:sz w:val="21"/>
              </w:rPr>
            </w:pPr>
            <w:r>
              <w:rPr>
                <w:rFonts w:ascii="Times New Roman" w:hAnsi="Times New Roman" w:hint="eastAsia"/>
                <w:color w:val="000000" w:themeColor="text1"/>
                <w:sz w:val="21"/>
              </w:rPr>
              <w:t xml:space="preserve">　</w:t>
            </w:r>
          </w:p>
        </w:tc>
      </w:tr>
      <w:tr w:rsidR="002D0AE7" w14:paraId="03460FE7" w14:textId="77777777">
        <w:trPr>
          <w:jc w:val="center"/>
        </w:trPr>
        <w:tc>
          <w:tcPr>
            <w:tcW w:w="3605" w:type="pct"/>
            <w:vAlign w:val="center"/>
          </w:tcPr>
          <w:p w14:paraId="03108630" w14:textId="77777777" w:rsidR="002D0AE7" w:rsidRDefault="00333EBB">
            <w:pPr>
              <w:pStyle w:val="11"/>
              <w:rPr>
                <w:rFonts w:hint="eastAsia"/>
              </w:rPr>
            </w:pPr>
            <w:r>
              <w:t>少数股东权益影响额</w:t>
            </w:r>
            <w:r>
              <w:rPr>
                <w:rFonts w:hint="eastAsia"/>
              </w:rPr>
              <w:t>（税后）</w:t>
            </w:r>
          </w:p>
        </w:tc>
        <w:tc>
          <w:tcPr>
            <w:tcW w:w="794" w:type="pct"/>
            <w:vAlign w:val="center"/>
          </w:tcPr>
          <w:p w14:paraId="2BF89157" w14:textId="77777777" w:rsidR="002D0AE7" w:rsidRDefault="00333EBB">
            <w:pPr>
              <w:jc w:val="right"/>
              <w:rPr>
                <w:rFonts w:ascii="Times New Roman" w:hAnsi="Times New Roman" w:cs="Times New Roman"/>
                <w:color w:val="000000" w:themeColor="text1"/>
                <w:sz w:val="21"/>
              </w:rPr>
            </w:pPr>
            <w:r>
              <w:rPr>
                <w:rFonts w:ascii="Times New Roman" w:hAnsi="Times New Roman" w:cs="Times New Roman"/>
                <w:color w:val="000000"/>
                <w:sz w:val="21"/>
              </w:rPr>
              <w:t>657,544.79</w:t>
            </w:r>
          </w:p>
        </w:tc>
        <w:tc>
          <w:tcPr>
            <w:tcW w:w="601" w:type="pct"/>
            <w:vAlign w:val="center"/>
          </w:tcPr>
          <w:p w14:paraId="79EC8F65" w14:textId="77777777" w:rsidR="002D0AE7" w:rsidRDefault="00333EBB">
            <w:pPr>
              <w:rPr>
                <w:rFonts w:ascii="Times New Roman" w:hAnsi="Times New Roman"/>
                <w:color w:val="000000" w:themeColor="text1"/>
                <w:sz w:val="21"/>
              </w:rPr>
            </w:pPr>
            <w:r>
              <w:rPr>
                <w:rFonts w:ascii="Times New Roman" w:hAnsi="Times New Roman" w:hint="eastAsia"/>
                <w:color w:val="000000" w:themeColor="text1"/>
                <w:sz w:val="21"/>
              </w:rPr>
              <w:t xml:space="preserve">　</w:t>
            </w:r>
          </w:p>
        </w:tc>
      </w:tr>
      <w:tr w:rsidR="002D0AE7" w14:paraId="1AF6CCA3" w14:textId="77777777">
        <w:trPr>
          <w:jc w:val="center"/>
        </w:trPr>
        <w:tc>
          <w:tcPr>
            <w:tcW w:w="3605" w:type="pct"/>
            <w:vAlign w:val="center"/>
          </w:tcPr>
          <w:p w14:paraId="31DCCE49" w14:textId="77777777" w:rsidR="002D0AE7" w:rsidRDefault="00333EBB">
            <w:pPr>
              <w:pStyle w:val="11"/>
              <w:rPr>
                <w:rFonts w:hint="eastAsia"/>
              </w:rPr>
            </w:pPr>
            <w:r>
              <w:t>合计</w:t>
            </w:r>
          </w:p>
        </w:tc>
        <w:tc>
          <w:tcPr>
            <w:tcW w:w="794" w:type="pct"/>
            <w:vAlign w:val="center"/>
          </w:tcPr>
          <w:p w14:paraId="7EE2974B" w14:textId="77777777" w:rsidR="002D0AE7" w:rsidRDefault="00333EBB">
            <w:pPr>
              <w:jc w:val="right"/>
              <w:rPr>
                <w:rFonts w:ascii="Times New Roman" w:hAnsi="Times New Roman" w:cs="Times New Roman"/>
                <w:color w:val="000000" w:themeColor="text1"/>
                <w:sz w:val="21"/>
              </w:rPr>
            </w:pPr>
            <w:r>
              <w:rPr>
                <w:rFonts w:ascii="Times New Roman" w:hAnsi="Times New Roman" w:cs="Times New Roman"/>
                <w:color w:val="000000"/>
                <w:sz w:val="21"/>
              </w:rPr>
              <w:t>2,429,751.24</w:t>
            </w:r>
          </w:p>
        </w:tc>
        <w:tc>
          <w:tcPr>
            <w:tcW w:w="601" w:type="pct"/>
            <w:vAlign w:val="center"/>
          </w:tcPr>
          <w:p w14:paraId="55D301BE" w14:textId="77777777" w:rsidR="002D0AE7" w:rsidRDefault="00333EBB">
            <w:pPr>
              <w:rPr>
                <w:rFonts w:ascii="Times New Roman" w:hAnsi="Times New Roman"/>
                <w:color w:val="000000" w:themeColor="text1"/>
                <w:sz w:val="21"/>
              </w:rPr>
            </w:pPr>
            <w:r>
              <w:rPr>
                <w:rFonts w:ascii="Times New Roman" w:hAnsi="Times New Roman" w:hint="eastAsia"/>
                <w:color w:val="000000" w:themeColor="text1"/>
                <w:sz w:val="21"/>
              </w:rPr>
              <w:t xml:space="preserve">　</w:t>
            </w:r>
          </w:p>
        </w:tc>
      </w:tr>
    </w:tbl>
    <w:p w14:paraId="0915514D" w14:textId="77777777" w:rsidR="002D0AE7" w:rsidRDefault="00333EBB">
      <w:pPr>
        <w:pStyle w:val="a6"/>
        <w:adjustRightInd w:val="0"/>
        <w:snapToGrid w:val="0"/>
        <w:spacing w:line="200" w:lineRule="atLeast"/>
        <w:rPr>
          <w:rFonts w:hAnsi="宋体" w:hint="eastAsia"/>
          <w:color w:val="000000" w:themeColor="text1"/>
          <w:kern w:val="0"/>
          <w:szCs w:val="21"/>
        </w:rPr>
      </w:pPr>
      <w:bookmarkStart w:id="23" w:name="_Hlk137045432"/>
      <w:bookmarkStart w:id="24" w:name="_Hlk41379873"/>
      <w:bookmarkStart w:id="25" w:name="_Hlk89096484"/>
      <w:bookmarkStart w:id="26" w:name="_Hlk105685044"/>
      <w:bookmarkEnd w:id="22"/>
      <w:r>
        <w:rPr>
          <w:rFonts w:hAnsi="宋体" w:cs="宋体" w:hint="eastAsia"/>
          <w:color w:val="000000" w:themeColor="text1"/>
          <w:kern w:val="0"/>
          <w:szCs w:val="21"/>
        </w:rPr>
        <w:t>对公司将《公开发行证券的公司信息披露解释性公告第</w:t>
      </w:r>
      <w:r>
        <w:rPr>
          <w:rFonts w:hAnsi="宋体" w:cs="宋体"/>
          <w:color w:val="000000" w:themeColor="text1"/>
          <w:kern w:val="0"/>
          <w:szCs w:val="21"/>
        </w:rPr>
        <w:t>1</w:t>
      </w:r>
      <w:r>
        <w:rPr>
          <w:rFonts w:hAnsi="宋体" w:cs="宋体"/>
          <w:color w:val="000000" w:themeColor="text1"/>
          <w:kern w:val="0"/>
          <w:szCs w:val="21"/>
        </w:rPr>
        <w:t>号</w:t>
      </w:r>
      <w:r>
        <w:rPr>
          <w:rFonts w:hAnsi="宋体" w:cs="宋体"/>
          <w:color w:val="000000" w:themeColor="text1"/>
          <w:kern w:val="0"/>
          <w:szCs w:val="21"/>
        </w:rPr>
        <w:t>——</w:t>
      </w:r>
      <w:r>
        <w:rPr>
          <w:rFonts w:hAnsi="宋体" w:cs="宋体"/>
          <w:color w:val="000000" w:themeColor="text1"/>
          <w:kern w:val="0"/>
          <w:szCs w:val="21"/>
        </w:rPr>
        <w:t>非经常性损益》未列举的项目认定为的非经常性损益项目且金额重大的，以及将《公开发行证券的公司信息披露解释性公告第</w:t>
      </w:r>
      <w:r>
        <w:rPr>
          <w:rFonts w:hAnsi="宋体" w:cs="宋体"/>
          <w:color w:val="000000" w:themeColor="text1"/>
          <w:kern w:val="0"/>
          <w:szCs w:val="21"/>
        </w:rPr>
        <w:t>1</w:t>
      </w:r>
      <w:r>
        <w:rPr>
          <w:rFonts w:hAnsi="宋体" w:cs="宋体"/>
          <w:color w:val="000000" w:themeColor="text1"/>
          <w:kern w:val="0"/>
          <w:szCs w:val="21"/>
        </w:rPr>
        <w:t>号</w:t>
      </w:r>
      <w:r>
        <w:rPr>
          <w:rFonts w:hAnsi="宋体" w:cs="宋体"/>
          <w:color w:val="000000" w:themeColor="text1"/>
          <w:kern w:val="0"/>
          <w:szCs w:val="21"/>
        </w:rPr>
        <w:t>——</w:t>
      </w:r>
      <w:r>
        <w:rPr>
          <w:rFonts w:hAnsi="宋体" w:cs="宋体"/>
          <w:color w:val="000000" w:themeColor="text1"/>
          <w:kern w:val="0"/>
          <w:szCs w:val="21"/>
        </w:rPr>
        <w:t>非经常性损益》中列举的非经常性损益项目界定为经常性损益的项目，应说明原因</w:t>
      </w:r>
      <w:r>
        <w:rPr>
          <w:rFonts w:hAnsi="宋体" w:cs="宋体" w:hint="eastAsia"/>
          <w:color w:val="000000" w:themeColor="text1"/>
          <w:kern w:val="0"/>
          <w:szCs w:val="21"/>
        </w:rPr>
        <w:t>。</w:t>
      </w:r>
    </w:p>
    <w:sdt>
      <w:sdtPr>
        <w:rPr>
          <w:color w:val="000000" w:themeColor="text1"/>
        </w:rPr>
        <w:alias w:val="是否适用：将非经常性损益项目界定为经常性损益项目[双击切换]"/>
        <w:tag w:val="_GBC_2fced4d4c7b049209a471cd2040fe574"/>
        <w:id w:val="1546173598"/>
        <w:placeholder>
          <w:docPart w:val="GBC22222222222222222222222222222"/>
        </w:placeholder>
      </w:sdtPr>
      <w:sdtEndPr/>
      <w:sdtContent>
        <w:p w14:paraId="11DCA069"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bookmarkEnd w:id="23"/>
    <w:bookmarkEnd w:id="24"/>
    <w:bookmarkEnd w:id="25"/>
    <w:bookmarkEnd w:id="26"/>
    <w:p w14:paraId="5802A0C7" w14:textId="77777777" w:rsidR="002D0AE7" w:rsidRDefault="00333EBB">
      <w:pPr>
        <w:pStyle w:val="2"/>
        <w:numPr>
          <w:ilvl w:val="0"/>
          <w:numId w:val="3"/>
        </w:numPr>
        <w:ind w:firstLineChars="0"/>
        <w:rPr>
          <w:color w:val="000000" w:themeColor="text1"/>
        </w:rPr>
      </w:pPr>
      <w:r>
        <w:rPr>
          <w:rFonts w:hint="eastAsia"/>
          <w:color w:val="000000" w:themeColor="text1"/>
        </w:rPr>
        <w:lastRenderedPageBreak/>
        <w:t>其他</w:t>
      </w:r>
    </w:p>
    <w:sdt>
      <w:sdtPr>
        <w:rPr>
          <w:color w:val="000000" w:themeColor="text1"/>
        </w:rPr>
        <w:alias w:val="是否适用：公司简介和主要财务指标其他说明[双击切换]"/>
        <w:tag w:val="_GBC_5b4104dc5c2c4501bc2420c70be30c2a"/>
        <w:id w:val="1130132652"/>
        <w:placeholder>
          <w:docPart w:val="GBC22222222222222222222222222222"/>
        </w:placeholder>
      </w:sdtPr>
      <w:sdtEndPr/>
      <w:sdtContent>
        <w:p w14:paraId="77DEDAD1"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3B7D6CAD" w14:textId="77777777" w:rsidR="002D0AE7" w:rsidRDefault="002D0AE7">
      <w:pPr>
        <w:rPr>
          <w:rFonts w:hint="eastAsia"/>
          <w:color w:val="000000" w:themeColor="text1"/>
        </w:rPr>
      </w:pPr>
    </w:p>
    <w:p w14:paraId="55BF004A" w14:textId="77777777" w:rsidR="002D0AE7" w:rsidRDefault="00333EBB">
      <w:pPr>
        <w:pStyle w:val="1"/>
        <w:numPr>
          <w:ilvl w:val="0"/>
          <w:numId w:val="2"/>
        </w:numPr>
        <w:rPr>
          <w:rFonts w:ascii="黑体" w:hAnsi="黑体" w:hint="eastAsia"/>
          <w:color w:val="000000" w:themeColor="text1"/>
          <w:szCs w:val="21"/>
        </w:rPr>
      </w:pPr>
      <w:bookmarkStart w:id="27" w:name="_Toc76114274"/>
      <w:bookmarkStart w:id="28" w:name="_Toc142578257"/>
      <w:r>
        <w:rPr>
          <w:rFonts w:ascii="黑体" w:hAnsi="黑体" w:hint="eastAsia"/>
          <w:color w:val="000000" w:themeColor="text1"/>
          <w:szCs w:val="21"/>
        </w:rPr>
        <w:t>管理层讨论与分析</w:t>
      </w:r>
      <w:bookmarkEnd w:id="27"/>
      <w:bookmarkEnd w:id="28"/>
    </w:p>
    <w:p w14:paraId="1B7AEFC0" w14:textId="77777777" w:rsidR="002D0AE7" w:rsidRDefault="00333EBB">
      <w:pPr>
        <w:pStyle w:val="2"/>
        <w:numPr>
          <w:ilvl w:val="0"/>
          <w:numId w:val="5"/>
        </w:numPr>
        <w:tabs>
          <w:tab w:val="left" w:pos="426"/>
        </w:tabs>
        <w:ind w:left="482" w:hanging="482"/>
        <w:jc w:val="left"/>
        <w:rPr>
          <w:rFonts w:ascii="宋体" w:hAnsi="宋体" w:hint="eastAsia"/>
          <w:color w:val="000000" w:themeColor="text1"/>
        </w:rPr>
      </w:pPr>
      <w:r>
        <w:rPr>
          <w:rFonts w:ascii="宋体" w:hAnsi="宋体" w:hint="eastAsia"/>
          <w:color w:val="000000" w:themeColor="text1"/>
        </w:rPr>
        <w:t>报告期内公司所属行业及主营业务情况说明</w:t>
      </w:r>
    </w:p>
    <w:sdt>
      <w:sdtPr>
        <w:rPr>
          <w:rFonts w:hint="eastAsia"/>
          <w:color w:val="000000" w:themeColor="text1"/>
        </w:rPr>
        <w:alias w:val="报告期内公司所从事的主要业务、经营模式及行业情况说明"/>
        <w:tag w:val="_GBC_5c28d6f46eea48f892bed0c5fc99ab60"/>
        <w:id w:val="949829564"/>
        <w:placeholder>
          <w:docPart w:val="GBC22222222222222222222222222222"/>
        </w:placeholder>
      </w:sdtPr>
      <w:sdtEndPr/>
      <w:sdtContent>
        <w:p w14:paraId="564C5C8F" w14:textId="77777777" w:rsidR="002D0AE7" w:rsidRDefault="00333EBB">
          <w:pPr>
            <w:ind w:firstLineChars="200" w:firstLine="480"/>
            <w:rPr>
              <w:rFonts w:hint="eastAsia"/>
              <w:color w:val="000000" w:themeColor="text1"/>
            </w:rPr>
          </w:pPr>
          <w:r>
            <w:rPr>
              <w:rFonts w:hint="eastAsia"/>
              <w:color w:val="000000" w:themeColor="text1"/>
            </w:rPr>
            <w:t>（一）主要业务</w:t>
          </w:r>
        </w:p>
        <w:p w14:paraId="4A87C28C" w14:textId="77777777" w:rsidR="002D0AE7" w:rsidRDefault="00333EBB">
          <w:pPr>
            <w:ind w:firstLineChars="200" w:firstLine="480"/>
            <w:rPr>
              <w:rFonts w:hint="eastAsia"/>
              <w:color w:val="000000" w:themeColor="text1"/>
            </w:rPr>
          </w:pPr>
          <w:r>
            <w:rPr>
              <w:rFonts w:hint="eastAsia"/>
              <w:color w:val="000000" w:themeColor="text1"/>
            </w:rPr>
            <w:t>公司在天津滨海新区建有生物园和制剂园两大产业化基地，主要从事甾体激素类、氨基酸类原料药及制剂的研发、生产和销售，主要产品包括地塞米松系列、泼尼松系列、甲泼尼龙系列、倍他米松系列、氨基酸等</w:t>
          </w:r>
          <w:r>
            <w:rPr>
              <w:rFonts w:hint="eastAsia"/>
              <w:color w:val="000000" w:themeColor="text1"/>
            </w:rPr>
            <w:t>7</w:t>
          </w:r>
          <w:r>
            <w:rPr>
              <w:color w:val="000000" w:themeColor="text1"/>
            </w:rPr>
            <w:t>0</w:t>
          </w:r>
          <w:r>
            <w:rPr>
              <w:color w:val="000000" w:themeColor="text1"/>
            </w:rPr>
            <w:t>余个原料药品种</w:t>
          </w:r>
          <w:r>
            <w:rPr>
              <w:rFonts w:hint="eastAsia"/>
              <w:color w:val="000000" w:themeColor="text1"/>
            </w:rPr>
            <w:t>，</w:t>
          </w:r>
          <w:r>
            <w:rPr>
              <w:color w:val="000000" w:themeColor="text1"/>
            </w:rPr>
            <w:t>以及注射剂、软膏剂、乳膏剂、硬胶囊剂、丸剂、冻干粉针剂、吸入制剂、片剂等</w:t>
          </w:r>
          <w:r>
            <w:rPr>
              <w:color w:val="000000" w:themeColor="text1"/>
            </w:rPr>
            <w:t>17</w:t>
          </w:r>
          <w:r>
            <w:rPr>
              <w:color w:val="000000" w:themeColor="text1"/>
            </w:rPr>
            <w:t>个剂型药品。</w:t>
          </w:r>
        </w:p>
        <w:p w14:paraId="553F6494" w14:textId="77777777" w:rsidR="002D0AE7" w:rsidRDefault="00333EBB">
          <w:pPr>
            <w:ind w:firstLineChars="200" w:firstLine="480"/>
            <w:rPr>
              <w:rFonts w:hint="eastAsia"/>
              <w:color w:val="000000" w:themeColor="text1"/>
            </w:rPr>
          </w:pPr>
          <w:r>
            <w:rPr>
              <w:rFonts w:hint="eastAsia"/>
              <w:color w:val="000000" w:themeColor="text1"/>
            </w:rPr>
            <w:t>公司是全球知名的甾体激素类药物生产企业和享誉全国的氨基酸原料药生产企业，国家高新技术企业，国内较早获得甾体激素类原料药</w:t>
          </w:r>
          <w:r>
            <w:rPr>
              <w:color w:val="000000" w:themeColor="text1"/>
            </w:rPr>
            <w:t>GMP</w:t>
          </w:r>
          <w:r>
            <w:rPr>
              <w:color w:val="000000" w:themeColor="text1"/>
            </w:rPr>
            <w:t>证书和天津市首批全部通过国家</w:t>
          </w:r>
          <w:r>
            <w:rPr>
              <w:color w:val="000000" w:themeColor="text1"/>
            </w:rPr>
            <w:t>GMP</w:t>
          </w:r>
          <w:r>
            <w:rPr>
              <w:color w:val="000000" w:themeColor="text1"/>
            </w:rPr>
            <w:t>认证的原料药及制剂生产企业。公司甾体激素原料药有</w:t>
          </w:r>
          <w:r>
            <w:rPr>
              <w:color w:val="000000" w:themeColor="text1"/>
            </w:rPr>
            <w:t>60%</w:t>
          </w:r>
          <w:r>
            <w:rPr>
              <w:color w:val="000000" w:themeColor="text1"/>
            </w:rPr>
            <w:t>以上出口到亚洲、欧洲、美洲的</w:t>
          </w:r>
          <w:r>
            <w:rPr>
              <w:color w:val="000000" w:themeColor="text1"/>
            </w:rPr>
            <w:t>70</w:t>
          </w:r>
          <w:r>
            <w:rPr>
              <w:color w:val="000000" w:themeColor="text1"/>
            </w:rPr>
            <w:t>多个国家和地区，国内销售覆盖近百个城市，具有较强的市场影响力和</w:t>
          </w:r>
          <w:r>
            <w:rPr>
              <w:rFonts w:hint="eastAsia"/>
              <w:color w:val="000000" w:themeColor="text1"/>
            </w:rPr>
            <w:t>较高的市场</w:t>
          </w:r>
          <w:r>
            <w:rPr>
              <w:color w:val="000000" w:themeColor="text1"/>
            </w:rPr>
            <w:t>占有率。子公司津药和平是国内急（抢）救药、冷备药的重要生产基地，作为天津市科技领军企业，一直致力于成为国内甾体激素制剂药物研发和</w:t>
          </w:r>
          <w:r>
            <w:rPr>
              <w:rFonts w:hint="eastAsia"/>
              <w:color w:val="000000" w:themeColor="text1"/>
            </w:rPr>
            <w:t>生产</w:t>
          </w:r>
          <w:r>
            <w:rPr>
              <w:color w:val="000000" w:themeColor="text1"/>
            </w:rPr>
            <w:t>基地，近年来相继荣获国家高新技术企业、天津市企业技术中心、天津市技术领先型企业</w:t>
          </w:r>
          <w:r>
            <w:rPr>
              <w:rFonts w:hint="eastAsia"/>
              <w:color w:val="000000" w:themeColor="text1"/>
            </w:rPr>
            <w:t>、天津市科技型企业、天津市先进外商投资企业、天津市绿色工厂等资质及荣誉称号；子公司湖北津药主要生产和销售小容量注射剂、大容量注射剂，是国家高新技术企业，湖北省支柱产业细分领域隐形冠军企业，湖北省襄阳市百强企业。</w:t>
          </w:r>
        </w:p>
        <w:p w14:paraId="7C0254EF" w14:textId="77777777" w:rsidR="002D0AE7" w:rsidRDefault="00333EBB">
          <w:pPr>
            <w:ind w:firstLineChars="200" w:firstLine="480"/>
            <w:rPr>
              <w:rFonts w:hint="eastAsia"/>
              <w:color w:val="FF0000"/>
            </w:rPr>
          </w:pPr>
          <w:r>
            <w:rPr>
              <w:rFonts w:hint="eastAsia"/>
              <w:color w:val="000000" w:themeColor="text1"/>
            </w:rPr>
            <w:t>（二）经营模式</w:t>
          </w:r>
        </w:p>
        <w:p w14:paraId="0081467F" w14:textId="77777777" w:rsidR="002D0AE7" w:rsidRDefault="00333EBB">
          <w:pPr>
            <w:ind w:firstLineChars="200" w:firstLine="480"/>
            <w:rPr>
              <w:rFonts w:hint="eastAsia"/>
              <w:color w:val="000000" w:themeColor="text1"/>
            </w:rPr>
          </w:pPr>
          <w:r>
            <w:rPr>
              <w:rFonts w:hint="eastAsia"/>
              <w:color w:val="000000" w:themeColor="text1"/>
            </w:rPr>
            <w:t>1.</w:t>
          </w:r>
          <w:r>
            <w:rPr>
              <w:rFonts w:hint="eastAsia"/>
              <w:color w:val="000000" w:themeColor="text1"/>
            </w:rPr>
            <w:t>采购模式</w:t>
          </w:r>
        </w:p>
        <w:p w14:paraId="7A7A1860" w14:textId="77777777" w:rsidR="002D0AE7" w:rsidRDefault="00333EBB">
          <w:pPr>
            <w:ind w:firstLineChars="200" w:firstLine="480"/>
            <w:rPr>
              <w:rFonts w:hint="eastAsia"/>
              <w:color w:val="000000" w:themeColor="text1"/>
            </w:rPr>
          </w:pPr>
          <w:r>
            <w:rPr>
              <w:rFonts w:hint="eastAsia"/>
              <w:color w:val="000000" w:themeColor="text1"/>
            </w:rPr>
            <w:t>在采购过程中公司严格执行各项管理制度，按照“品质优先、价格优惠”的原则集中采购，做到规范化、透明化、阳光化。根据原材物料的供需特性及生产实际需求，因地制宜采用公开招标、邀请招标、多家比价等多种模式开展采购业务，确保采购成本有序可控；密切关注市场行情变化，拓宽采购渠道，积极进行战略储备和合理压缩库存并举的方式，在有效应对价格波动风险的同时，不断降低采购成本；间接采购品类与工业品电商平台初步达成合作意向，整体进行流程优化，降低采购管理成本。公司通过多年的供应链管理，和一批合格优质供应商建立了稳定友好的合作关系。</w:t>
          </w:r>
        </w:p>
        <w:p w14:paraId="39061B74" w14:textId="77777777" w:rsidR="002D0AE7" w:rsidRDefault="00333EBB">
          <w:pPr>
            <w:ind w:firstLineChars="200" w:firstLine="480"/>
            <w:rPr>
              <w:rFonts w:hint="eastAsia"/>
              <w:color w:val="000000" w:themeColor="text1"/>
            </w:rPr>
          </w:pPr>
          <w:r>
            <w:rPr>
              <w:rFonts w:hint="eastAsia"/>
              <w:color w:val="000000" w:themeColor="text1"/>
            </w:rPr>
            <w:t>2.</w:t>
          </w:r>
          <w:r>
            <w:rPr>
              <w:rFonts w:hint="eastAsia"/>
              <w:color w:val="000000" w:themeColor="text1"/>
            </w:rPr>
            <w:t>生产模式</w:t>
          </w:r>
        </w:p>
        <w:p w14:paraId="3A580AD5" w14:textId="77777777" w:rsidR="002D0AE7" w:rsidRDefault="00333EBB">
          <w:pPr>
            <w:ind w:firstLineChars="200" w:firstLine="480"/>
            <w:rPr>
              <w:rFonts w:hint="eastAsia"/>
              <w:color w:val="000000" w:themeColor="text1"/>
            </w:rPr>
          </w:pPr>
          <w:r>
            <w:rPr>
              <w:rFonts w:hint="eastAsia"/>
              <w:color w:val="000000" w:themeColor="text1"/>
            </w:rPr>
            <w:t>公司采取“以销定产”的生产模式，生产部门依据销售部门反馈的销售数据，制定生产计划并组织落实，在生产过程中，公司按照客户需求科学合理安排生产，从原料采购、人员配置、设备管理、生产过程、质量控制、包装运输等各方面严格执行</w:t>
          </w:r>
          <w:r>
            <w:rPr>
              <w:color w:val="000000" w:themeColor="text1"/>
            </w:rPr>
            <w:t>GMP</w:t>
          </w:r>
          <w:r>
            <w:rPr>
              <w:color w:val="000000" w:themeColor="text1"/>
            </w:rPr>
            <w:t>，并严格遵守国家安全环保等方面的相关规定；在药品生产全周期拥有完善的质量管理体系，对原辅料、包装材料、中间产品、产成品进行全程检测及监控，确保产品质量安全；强化精益管理理念，减少过程浪费，降低生产成本，提高生产效率及运营能力，更好地满足市场需求。</w:t>
          </w:r>
        </w:p>
        <w:p w14:paraId="5EA4511D" w14:textId="77777777" w:rsidR="002D0AE7" w:rsidRDefault="00333EBB">
          <w:pPr>
            <w:ind w:firstLineChars="200" w:firstLine="480"/>
            <w:rPr>
              <w:rFonts w:hint="eastAsia"/>
              <w:color w:val="000000" w:themeColor="text1"/>
            </w:rPr>
          </w:pPr>
          <w:r>
            <w:rPr>
              <w:rFonts w:hint="eastAsia"/>
              <w:color w:val="000000" w:themeColor="text1"/>
            </w:rPr>
            <w:t>3.</w:t>
          </w:r>
          <w:r>
            <w:rPr>
              <w:rFonts w:hint="eastAsia"/>
              <w:color w:val="000000" w:themeColor="text1"/>
            </w:rPr>
            <w:t>销售模式</w:t>
          </w:r>
        </w:p>
        <w:p w14:paraId="60C8A72A" w14:textId="77777777" w:rsidR="002D0AE7" w:rsidRDefault="00333EBB">
          <w:pPr>
            <w:ind w:firstLineChars="200" w:firstLine="480"/>
            <w:rPr>
              <w:rFonts w:hint="eastAsia"/>
              <w:color w:val="000000" w:themeColor="text1"/>
            </w:rPr>
          </w:pPr>
          <w:r>
            <w:rPr>
              <w:rFonts w:hint="eastAsia"/>
              <w:color w:val="000000" w:themeColor="text1"/>
            </w:rPr>
            <w:t>（</w:t>
          </w:r>
          <w:r>
            <w:rPr>
              <w:rFonts w:hint="eastAsia"/>
              <w:color w:val="000000" w:themeColor="text1"/>
            </w:rPr>
            <w:t>1</w:t>
          </w:r>
          <w:r>
            <w:rPr>
              <w:rFonts w:hint="eastAsia"/>
              <w:color w:val="000000" w:themeColor="text1"/>
            </w:rPr>
            <w:t>）原料药销售</w:t>
          </w:r>
        </w:p>
        <w:p w14:paraId="0CC1EA1A" w14:textId="77777777" w:rsidR="002D0AE7" w:rsidRDefault="00333EBB">
          <w:pPr>
            <w:ind w:firstLineChars="200" w:firstLine="480"/>
            <w:rPr>
              <w:rFonts w:hint="eastAsia"/>
              <w:color w:val="000000" w:themeColor="text1"/>
            </w:rPr>
          </w:pPr>
          <w:r>
            <w:rPr>
              <w:rFonts w:hint="eastAsia"/>
              <w:color w:val="000000" w:themeColor="text1"/>
            </w:rPr>
            <w:lastRenderedPageBreak/>
            <w:t>A</w:t>
          </w:r>
          <w:r>
            <w:rPr>
              <w:color w:val="000000" w:themeColor="text1"/>
            </w:rPr>
            <w:t>.</w:t>
          </w:r>
          <w:r>
            <w:rPr>
              <w:rFonts w:hint="eastAsia"/>
              <w:color w:val="000000" w:themeColor="text1"/>
            </w:rPr>
            <w:t>外销模式：原料药的外销业务由公司控股子公司天发进出口负责，并根据原料药及其中间体的特点将全球市场划分为亚洲、美洲、欧洲等几大区域市场。亚洲及欧洲市场由天发进出口直接负责销售，美洲市场的出口业务流程则为公司销售商品给天发进出口，天发进出口再出口给美国大圣公司，美国大圣再将产品销售给代理商或最终客户。目前公司国外客户分布在世界</w:t>
          </w:r>
          <w:r>
            <w:rPr>
              <w:color w:val="000000" w:themeColor="text1"/>
            </w:rPr>
            <w:t>70</w:t>
          </w:r>
          <w:r>
            <w:rPr>
              <w:color w:val="000000" w:themeColor="text1"/>
            </w:rPr>
            <w:t>多个国家和地区。</w:t>
          </w:r>
        </w:p>
        <w:p w14:paraId="063E93E2" w14:textId="77777777" w:rsidR="002D0AE7" w:rsidRDefault="00333EBB">
          <w:pPr>
            <w:ind w:firstLineChars="200" w:firstLine="480"/>
            <w:rPr>
              <w:rFonts w:hint="eastAsia"/>
              <w:color w:val="000000" w:themeColor="text1"/>
            </w:rPr>
          </w:pPr>
          <w:r>
            <w:rPr>
              <w:rFonts w:hint="eastAsia"/>
              <w:color w:val="000000" w:themeColor="text1"/>
            </w:rPr>
            <w:t>B.</w:t>
          </w:r>
          <w:r>
            <w:rPr>
              <w:rFonts w:hint="eastAsia"/>
              <w:color w:val="000000" w:themeColor="text1"/>
            </w:rPr>
            <w:t>内销模式：原料药内销业务分为甾体激素原料药和氨基酸原料药两个板块，激素板块分为南北两个片区连同氨基酸片区共三个大区，根据原料药的市场区域特点在国内市场进行销售，为客户提供优质服务。</w:t>
          </w:r>
        </w:p>
        <w:p w14:paraId="29BBED91" w14:textId="77777777" w:rsidR="002D0AE7" w:rsidRDefault="00333EBB">
          <w:pPr>
            <w:ind w:firstLineChars="200" w:firstLine="480"/>
            <w:rPr>
              <w:rFonts w:hint="eastAsia"/>
              <w:color w:val="000000" w:themeColor="text1"/>
            </w:rPr>
          </w:pPr>
          <w:r>
            <w:rPr>
              <w:rFonts w:hint="eastAsia"/>
              <w:color w:val="000000" w:themeColor="text1"/>
            </w:rPr>
            <w:t>（</w:t>
          </w:r>
          <w:r>
            <w:rPr>
              <w:rFonts w:hint="eastAsia"/>
              <w:color w:val="000000" w:themeColor="text1"/>
            </w:rPr>
            <w:t>2</w:t>
          </w:r>
          <w:r>
            <w:rPr>
              <w:rFonts w:hint="eastAsia"/>
              <w:color w:val="000000" w:themeColor="text1"/>
            </w:rPr>
            <w:t>）制剂产品销售</w:t>
          </w:r>
        </w:p>
        <w:p w14:paraId="29958A73" w14:textId="77777777" w:rsidR="002D0AE7" w:rsidRDefault="00333EBB">
          <w:pPr>
            <w:ind w:firstLineChars="200" w:firstLine="480"/>
            <w:rPr>
              <w:rFonts w:hint="eastAsia"/>
              <w:color w:val="000000" w:themeColor="text1"/>
            </w:rPr>
          </w:pPr>
          <w:r>
            <w:rPr>
              <w:rFonts w:hint="eastAsia"/>
              <w:color w:val="000000" w:themeColor="text1"/>
            </w:rPr>
            <w:t>A</w:t>
          </w:r>
          <w:r>
            <w:rPr>
              <w:color w:val="000000" w:themeColor="text1"/>
            </w:rPr>
            <w:t>.</w:t>
          </w:r>
          <w:r>
            <w:rPr>
              <w:color w:val="000000" w:themeColor="text1"/>
            </w:rPr>
            <w:t>外销模式：</w:t>
          </w:r>
          <w:r>
            <w:rPr>
              <w:rFonts w:hint="eastAsia"/>
              <w:color w:val="000000" w:themeColor="text1"/>
            </w:rPr>
            <w:t>由控股子公司天津信卓、湖北津药负责。天津信卓根据制剂产品特点将全球市场划分为美国、东南亚、欧洲、南美、非洲等几大区域，根据区域特点进行自主出口销售和代理出口销售。湖北津药主要是与专业的医药进出口公司合作接收订单，目前主要出口至非洲、东南亚等区域。</w:t>
          </w:r>
        </w:p>
        <w:p w14:paraId="68ED2F26" w14:textId="77777777" w:rsidR="002D0AE7" w:rsidRDefault="00333EBB">
          <w:pPr>
            <w:ind w:firstLineChars="200" w:firstLine="480"/>
            <w:rPr>
              <w:rFonts w:hint="eastAsia"/>
              <w:color w:val="000000" w:themeColor="text1"/>
            </w:rPr>
          </w:pPr>
          <w:r>
            <w:rPr>
              <w:rFonts w:hint="eastAsia"/>
              <w:color w:val="000000" w:themeColor="text1"/>
            </w:rPr>
            <w:t>B.</w:t>
          </w:r>
          <w:r>
            <w:rPr>
              <w:color w:val="000000" w:themeColor="text1"/>
            </w:rPr>
            <w:t>内销模式：</w:t>
          </w:r>
          <w:r>
            <w:rPr>
              <w:rFonts w:hint="eastAsia"/>
              <w:color w:val="000000" w:themeColor="text1"/>
            </w:rPr>
            <w:t>天津厂区主要采用商业分销模式，在全国药品流通领域建立成熟稳定的销售渠道</w:t>
          </w:r>
          <w:r>
            <w:rPr>
              <w:color w:val="000000" w:themeColor="text1"/>
            </w:rPr>
            <w:t>,</w:t>
          </w:r>
          <w:r>
            <w:rPr>
              <w:color w:val="000000" w:themeColor="text1"/>
            </w:rPr>
            <w:t>产品主要销往医院、零售药店，基层医疗机构等不同终端；湖北厂区主要采用商业分销模式、代理模式与自营临床模式销售。</w:t>
          </w:r>
        </w:p>
        <w:p w14:paraId="6E36A8AE" w14:textId="77777777" w:rsidR="002D0AE7" w:rsidRDefault="00333EBB">
          <w:pPr>
            <w:ind w:firstLineChars="200" w:firstLine="480"/>
            <w:rPr>
              <w:rFonts w:hint="eastAsia"/>
              <w:color w:val="000000" w:themeColor="text1"/>
            </w:rPr>
          </w:pPr>
          <w:r>
            <w:rPr>
              <w:color w:val="000000" w:themeColor="text1"/>
            </w:rPr>
            <w:t>（三）业绩驱动因素</w:t>
          </w:r>
        </w:p>
        <w:p w14:paraId="41F22049" w14:textId="77777777" w:rsidR="002D0AE7" w:rsidRDefault="00333EBB">
          <w:pPr>
            <w:ind w:firstLineChars="200" w:firstLine="480"/>
            <w:rPr>
              <w:rFonts w:hint="eastAsia"/>
              <w:color w:val="000000" w:themeColor="text1"/>
            </w:rPr>
          </w:pPr>
          <w:r>
            <w:rPr>
              <w:rFonts w:hint="eastAsia"/>
              <w:color w:val="000000" w:themeColor="text1"/>
            </w:rPr>
            <w:t>报告期内，面对复杂多变的医药市场环境，公司始终坚持战略引领，积极转变营销思路，紧抓行业发展契机，加快营销模式创新。外销方面，加快产品注册进度，持续增加销售区域和客户数量；内销方面，加快产品一致性评价与新品研发进程，挖掘潜力品种。抢抓地塞米松磷酸钠注射液等</w:t>
          </w:r>
          <w:r>
            <w:rPr>
              <w:color w:val="000000" w:themeColor="text1"/>
            </w:rPr>
            <w:t>9</w:t>
          </w:r>
          <w:r>
            <w:rPr>
              <w:color w:val="000000" w:themeColor="text1"/>
            </w:rPr>
            <w:t>个品种在全国第</w:t>
          </w:r>
          <w:r>
            <w:rPr>
              <w:rFonts w:hint="eastAsia"/>
              <w:color w:val="000000" w:themeColor="text1"/>
            </w:rPr>
            <w:t>七</w:t>
          </w:r>
          <w:r>
            <w:rPr>
              <w:color w:val="000000" w:themeColor="text1"/>
            </w:rPr>
            <w:t>批</w:t>
          </w:r>
          <w:r>
            <w:rPr>
              <w:rFonts w:hint="eastAsia"/>
              <w:color w:val="000000" w:themeColor="text1"/>
            </w:rPr>
            <w:t>、</w:t>
          </w:r>
          <w:r>
            <w:rPr>
              <w:color w:val="000000" w:themeColor="text1"/>
            </w:rPr>
            <w:t>第八批、第九批药品集采中标的机遇，提高</w:t>
          </w:r>
          <w:r>
            <w:rPr>
              <w:color w:val="000000" w:themeColor="text1"/>
            </w:rPr>
            <w:t>“</w:t>
          </w:r>
          <w:r>
            <w:rPr>
              <w:color w:val="000000" w:themeColor="text1"/>
            </w:rPr>
            <w:t>津药</w:t>
          </w:r>
          <w:r>
            <w:rPr>
              <w:color w:val="000000" w:themeColor="text1"/>
            </w:rPr>
            <w:t>”</w:t>
          </w:r>
          <w:r>
            <w:rPr>
              <w:color w:val="000000" w:themeColor="text1"/>
            </w:rPr>
            <w:t>品牌的认可度。加强终端布局，根据不同产品属性，拓展医院端、零售端各类型渠道覆盖。加强内部管理，实施精益生产</w:t>
          </w:r>
          <w:r>
            <w:rPr>
              <w:rFonts w:hint="eastAsia"/>
              <w:color w:val="000000" w:themeColor="text1"/>
            </w:rPr>
            <w:t>、</w:t>
          </w:r>
          <w:r>
            <w:rPr>
              <w:color w:val="000000" w:themeColor="text1"/>
            </w:rPr>
            <w:t>流程优化</w:t>
          </w:r>
          <w:r>
            <w:rPr>
              <w:rFonts w:hint="eastAsia"/>
              <w:color w:val="000000" w:themeColor="text1"/>
            </w:rPr>
            <w:t>、</w:t>
          </w:r>
          <w:r>
            <w:rPr>
              <w:color w:val="000000" w:themeColor="text1"/>
            </w:rPr>
            <w:t>降本增效，实施研产销协同的产品质量全生命周期管理机制，确保以高效生产、品质保障、</w:t>
          </w:r>
          <w:r>
            <w:rPr>
              <w:rFonts w:hint="eastAsia"/>
              <w:color w:val="000000" w:themeColor="text1"/>
            </w:rPr>
            <w:t>优质服务、快捷流程服务市场。公司借助甾体激素和氨基酸原料制剂一体化的优势，全力开展新品研发及一致性评价工作，</w:t>
          </w:r>
          <w:r>
            <w:rPr>
              <w:rFonts w:hint="eastAsia"/>
              <w:color w:val="000000" w:themeColor="text1"/>
            </w:rPr>
            <w:t>2</w:t>
          </w:r>
          <w:r>
            <w:rPr>
              <w:color w:val="000000" w:themeColor="text1"/>
            </w:rPr>
            <w:t>024</w:t>
          </w:r>
          <w:r>
            <w:rPr>
              <w:color w:val="000000" w:themeColor="text1"/>
            </w:rPr>
            <w:t>年</w:t>
          </w:r>
          <w:r>
            <w:rPr>
              <w:rFonts w:hint="eastAsia"/>
              <w:color w:val="000000" w:themeColor="text1"/>
            </w:rPr>
            <w:t>上半年盐酸甲氧氯普胺注射液、氟康唑氯化钠注射液、克林霉素磷酸酯注射液</w:t>
          </w:r>
          <w:r>
            <w:rPr>
              <w:rFonts w:hint="eastAsia"/>
              <w:color w:val="000000" w:themeColor="text1"/>
            </w:rPr>
            <w:t>3</w:t>
          </w:r>
          <w:r>
            <w:rPr>
              <w:rFonts w:hint="eastAsia"/>
              <w:color w:val="000000" w:themeColor="text1"/>
            </w:rPr>
            <w:t>个品种通过一致性评价，吸入用乙酰半胱氨酸溶液与吸入用复方异丙托溴铵溶液获得《药品注册证书》，业绩驱动力更加显著。</w:t>
          </w:r>
        </w:p>
        <w:p w14:paraId="00CD5AC7" w14:textId="77777777" w:rsidR="002D0AE7" w:rsidRDefault="00333EBB">
          <w:pPr>
            <w:ind w:firstLineChars="200" w:firstLine="480"/>
            <w:rPr>
              <w:rFonts w:hint="eastAsia"/>
              <w:color w:val="000000" w:themeColor="text1"/>
            </w:rPr>
          </w:pPr>
          <w:r>
            <w:rPr>
              <w:rFonts w:hint="eastAsia"/>
              <w:color w:val="000000" w:themeColor="text1"/>
            </w:rPr>
            <w:t>（四）</w:t>
          </w:r>
          <w:r>
            <w:rPr>
              <w:color w:val="000000" w:themeColor="text1"/>
            </w:rPr>
            <w:t>行业情况</w:t>
          </w:r>
        </w:p>
        <w:p w14:paraId="612037FE" w14:textId="77777777" w:rsidR="002D0AE7" w:rsidRDefault="00333EBB">
          <w:pPr>
            <w:ind w:firstLineChars="200" w:firstLine="480"/>
            <w:rPr>
              <w:rFonts w:hint="eastAsia"/>
              <w:color w:val="000000" w:themeColor="text1"/>
            </w:rPr>
          </w:pPr>
          <w:r>
            <w:rPr>
              <w:color w:val="000000" w:themeColor="text1"/>
            </w:rPr>
            <w:t>1.</w:t>
          </w:r>
          <w:r>
            <w:rPr>
              <w:color w:val="000000" w:themeColor="text1"/>
            </w:rPr>
            <w:t>国内外行业发展情况</w:t>
          </w:r>
        </w:p>
        <w:p w14:paraId="2C10F1DA" w14:textId="77777777" w:rsidR="002D0AE7" w:rsidRDefault="00333EBB">
          <w:pPr>
            <w:ind w:firstLineChars="200" w:firstLine="480"/>
            <w:rPr>
              <w:rFonts w:hint="eastAsia"/>
              <w:color w:val="000000" w:themeColor="text1"/>
            </w:rPr>
          </w:pPr>
          <w:r>
            <w:rPr>
              <w:rFonts w:hint="eastAsia"/>
              <w:color w:val="000000" w:themeColor="text1"/>
            </w:rPr>
            <w:t>当前，行业发展内外环境复杂，我国医药行业保持稳定发展态势。同时，部分产品受集采政策、市场竞争、产能过剩等因素影响量价走低、增速下滑，但行业结构优化势必为有价值的产品打开更大的可持续发展空间。化学原料药集中度不断提升，提质升级和创新成为发展主旋律。</w:t>
          </w:r>
          <w:r>
            <w:rPr>
              <w:color w:val="000000" w:themeColor="text1"/>
            </w:rPr>
            <w:t>2024</w:t>
          </w:r>
          <w:r>
            <w:rPr>
              <w:color w:val="000000" w:themeColor="text1"/>
            </w:rPr>
            <w:t>年上半年原料药产量同比增长趋势持续。伴随下游制剂厂家去库存周期基本结束，原料药需求量将进一步提升。</w:t>
          </w:r>
          <w:r>
            <w:rPr>
              <w:rFonts w:hint="eastAsia"/>
              <w:color w:val="000000" w:themeColor="text1"/>
            </w:rPr>
            <w:t>制剂竞争加剧，研发创新提速，出海空间广阔。随着“三医联动”改革和医疗领域反腐行动的深入，企业存在重塑商业模式和竞争力的必要性。在此背景下，提升有效创新、降本增效、拓展海外市场的能力，将成为医药工业企业的必修课。</w:t>
          </w:r>
        </w:p>
        <w:p w14:paraId="211B10B0" w14:textId="77777777" w:rsidR="002D0AE7" w:rsidRDefault="00333EBB">
          <w:pPr>
            <w:ind w:firstLineChars="200" w:firstLine="480"/>
            <w:rPr>
              <w:rFonts w:hint="eastAsia"/>
              <w:color w:val="000000" w:themeColor="text1"/>
            </w:rPr>
          </w:pPr>
          <w:r>
            <w:rPr>
              <w:rFonts w:hint="eastAsia"/>
              <w:color w:val="000000" w:themeColor="text1"/>
            </w:rPr>
            <w:t>2.</w:t>
          </w:r>
          <w:r>
            <w:rPr>
              <w:rFonts w:hint="eastAsia"/>
              <w:color w:val="000000" w:themeColor="text1"/>
            </w:rPr>
            <w:t>行业政策变化</w:t>
          </w:r>
        </w:p>
        <w:p w14:paraId="265BF745" w14:textId="77777777" w:rsidR="002D0AE7" w:rsidRDefault="00333EBB">
          <w:pPr>
            <w:ind w:firstLineChars="200" w:firstLine="480"/>
            <w:jc w:val="both"/>
            <w:rPr>
              <w:rFonts w:hint="eastAsia"/>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color w:val="000000" w:themeColor="text1"/>
            </w:rPr>
            <w:t>2024</w:t>
          </w:r>
          <w:r>
            <w:rPr>
              <w:color w:val="000000" w:themeColor="text1"/>
            </w:rPr>
            <w:t>年</w:t>
          </w:r>
          <w:r>
            <w:rPr>
              <w:color w:val="000000" w:themeColor="text1"/>
            </w:rPr>
            <w:t>1</w:t>
          </w:r>
          <w:r>
            <w:rPr>
              <w:color w:val="000000" w:themeColor="text1"/>
            </w:rPr>
            <w:t>月，国家市场监督管理总局</w:t>
          </w:r>
          <w:r>
            <w:rPr>
              <w:rFonts w:hint="eastAsia"/>
              <w:color w:val="000000" w:themeColor="text1"/>
            </w:rPr>
            <w:t>发布</w:t>
          </w:r>
          <w:r>
            <w:rPr>
              <w:color w:val="000000" w:themeColor="text1"/>
            </w:rPr>
            <w:t>《药品经营和使用质量监督管理办法》正式实施，符合药品全生命周期理念要求以及药品流通行业高质量发展需要</w:t>
          </w:r>
          <w:r>
            <w:rPr>
              <w:rFonts w:hint="eastAsia"/>
              <w:color w:val="000000" w:themeColor="text1"/>
            </w:rPr>
            <w:t>。</w:t>
          </w:r>
        </w:p>
        <w:p w14:paraId="3129E8E9" w14:textId="77777777" w:rsidR="002D0AE7" w:rsidRDefault="00333EBB">
          <w:pPr>
            <w:ind w:firstLineChars="200" w:firstLine="480"/>
            <w:rPr>
              <w:rFonts w:hint="eastAsia"/>
              <w:color w:val="000000" w:themeColor="text1"/>
            </w:rPr>
          </w:pPr>
          <w:r>
            <w:rPr>
              <w:rFonts w:hint="eastAsia"/>
              <w:color w:val="000000" w:themeColor="text1"/>
            </w:rPr>
            <w:t>（</w:t>
          </w:r>
          <w:r>
            <w:rPr>
              <w:color w:val="000000" w:themeColor="text1"/>
            </w:rPr>
            <w:t>2</w:t>
          </w:r>
          <w:r>
            <w:rPr>
              <w:color w:val="000000" w:themeColor="text1"/>
            </w:rPr>
            <w:t>）</w:t>
          </w:r>
          <w:r>
            <w:rPr>
              <w:color w:val="000000" w:themeColor="text1"/>
            </w:rPr>
            <w:t>2024</w:t>
          </w:r>
          <w:r>
            <w:rPr>
              <w:color w:val="000000" w:themeColor="text1"/>
            </w:rPr>
            <w:t>年</w:t>
          </w:r>
          <w:r>
            <w:rPr>
              <w:color w:val="000000" w:themeColor="text1"/>
            </w:rPr>
            <w:t>2</w:t>
          </w:r>
          <w:r>
            <w:rPr>
              <w:color w:val="000000" w:themeColor="text1"/>
            </w:rPr>
            <w:t>月，国家药监局发布《关于印发优化药品补充申请审评审批程序改革试点工作方案的通知》，规定国家药监局在有能力、有条件的省级药品监管部</w:t>
          </w:r>
          <w:r>
            <w:rPr>
              <w:color w:val="000000" w:themeColor="text1"/>
            </w:rPr>
            <w:lastRenderedPageBreak/>
            <w:t>门开展试点工作，试点省级药品监管部门按照</w:t>
          </w:r>
          <w:r>
            <w:rPr>
              <w:color w:val="000000" w:themeColor="text1"/>
            </w:rPr>
            <w:t>“</w:t>
          </w:r>
          <w:r>
            <w:rPr>
              <w:color w:val="000000" w:themeColor="text1"/>
            </w:rPr>
            <w:t>提前介入、一企一策、全程指导、研审联动</w:t>
          </w:r>
          <w:r>
            <w:rPr>
              <w:color w:val="000000" w:themeColor="text1"/>
            </w:rPr>
            <w:t>”</w:t>
          </w:r>
          <w:r>
            <w:rPr>
              <w:color w:val="000000" w:themeColor="text1"/>
            </w:rPr>
            <w:t>的原则，为辖区内药品重大变更申报前提供前置指导、核查、检验和立卷服务，旨在优化药品补充申请审评审批程序，不断提高药品审评审批的质量和效率。</w:t>
          </w:r>
        </w:p>
        <w:p w14:paraId="2FD8FA21" w14:textId="77777777" w:rsidR="002D0AE7" w:rsidRDefault="00333EBB">
          <w:pPr>
            <w:ind w:firstLineChars="200" w:firstLine="480"/>
            <w:rPr>
              <w:rFonts w:hint="eastAsia"/>
              <w:color w:val="000000" w:themeColor="text1"/>
            </w:rPr>
          </w:pPr>
          <w:r>
            <w:rPr>
              <w:rFonts w:hint="eastAsia"/>
              <w:color w:val="000000" w:themeColor="text1"/>
            </w:rPr>
            <w:t>（</w:t>
          </w:r>
          <w:r>
            <w:rPr>
              <w:color w:val="000000" w:themeColor="text1"/>
            </w:rPr>
            <w:t>3</w:t>
          </w:r>
          <w:r>
            <w:rPr>
              <w:color w:val="000000" w:themeColor="text1"/>
            </w:rPr>
            <w:t>）</w:t>
          </w:r>
          <w:r>
            <w:rPr>
              <w:color w:val="000000" w:themeColor="text1"/>
            </w:rPr>
            <w:t>2024</w:t>
          </w:r>
          <w:r>
            <w:rPr>
              <w:color w:val="000000" w:themeColor="text1"/>
            </w:rPr>
            <w:t>年</w:t>
          </w:r>
          <w:r>
            <w:rPr>
              <w:color w:val="000000" w:themeColor="text1"/>
            </w:rPr>
            <w:t>2</w:t>
          </w:r>
          <w:r>
            <w:rPr>
              <w:color w:val="000000" w:themeColor="text1"/>
            </w:rPr>
            <w:t>月，国家药监局</w:t>
          </w:r>
          <w:r>
            <w:rPr>
              <w:rFonts w:hint="eastAsia"/>
              <w:color w:val="000000" w:themeColor="text1"/>
            </w:rPr>
            <w:t>药品审评中心</w:t>
          </w:r>
          <w:r>
            <w:rPr>
              <w:color w:val="000000" w:themeColor="text1"/>
            </w:rPr>
            <w:t>发布《化学药改良型新药临床药理学研究技术指导原则（试行）》的通知，给出了改良型新药的定义，明确了化学药改良型新药的临床药理学特征、临床药理学方面的总体考虑等，指导企业规范开展相关研究。</w:t>
          </w:r>
        </w:p>
        <w:p w14:paraId="32008268" w14:textId="77777777" w:rsidR="002D0AE7" w:rsidRDefault="00333EBB">
          <w:pPr>
            <w:ind w:firstLineChars="200" w:firstLine="480"/>
            <w:rPr>
              <w:rFonts w:hint="eastAsia"/>
              <w:color w:val="000000" w:themeColor="text1"/>
            </w:rPr>
          </w:pPr>
          <w:r>
            <w:rPr>
              <w:rFonts w:hint="eastAsia"/>
              <w:color w:val="000000" w:themeColor="text1"/>
            </w:rPr>
            <w:t>（</w:t>
          </w:r>
          <w:r>
            <w:rPr>
              <w:color w:val="000000" w:themeColor="text1"/>
            </w:rPr>
            <w:t>4</w:t>
          </w:r>
          <w:r>
            <w:rPr>
              <w:color w:val="000000" w:themeColor="text1"/>
            </w:rPr>
            <w:t>）</w:t>
          </w:r>
          <w:r>
            <w:rPr>
              <w:color w:val="000000" w:themeColor="text1"/>
            </w:rPr>
            <w:t>2024</w:t>
          </w:r>
          <w:r>
            <w:rPr>
              <w:color w:val="000000" w:themeColor="text1"/>
            </w:rPr>
            <w:t>年</w:t>
          </w:r>
          <w:r>
            <w:rPr>
              <w:color w:val="000000" w:themeColor="text1"/>
            </w:rPr>
            <w:t>2</w:t>
          </w:r>
          <w:r>
            <w:rPr>
              <w:color w:val="000000" w:themeColor="text1"/>
            </w:rPr>
            <w:t>月，国家药监局</w:t>
          </w:r>
          <w:r>
            <w:rPr>
              <w:rFonts w:hint="eastAsia"/>
              <w:color w:val="000000" w:themeColor="text1"/>
            </w:rPr>
            <w:t>药品审评中心</w:t>
          </w:r>
          <w:r>
            <w:rPr>
              <w:color w:val="000000" w:themeColor="text1"/>
            </w:rPr>
            <w:t>发布《药品注册研发生产主体合规信息管理与审查指导原则（试行）》的通知，旨在加强药品研制环节的风险研判与防控，引导和规范药品注册申请人及其他研发生产主体配合做好合规信息的管理与审查工作，形成研发生产主体合规信息管理的长效机制。</w:t>
          </w:r>
        </w:p>
        <w:p w14:paraId="58978F05" w14:textId="77777777" w:rsidR="002D0AE7" w:rsidRDefault="00333EBB">
          <w:pPr>
            <w:ind w:firstLineChars="200" w:firstLine="480"/>
            <w:rPr>
              <w:rFonts w:hint="eastAsia"/>
              <w:color w:val="000000" w:themeColor="text1"/>
            </w:rPr>
          </w:pPr>
          <w:r>
            <w:rPr>
              <w:rFonts w:hint="eastAsia"/>
              <w:color w:val="000000" w:themeColor="text1"/>
            </w:rPr>
            <w:t>（</w:t>
          </w:r>
          <w:r>
            <w:rPr>
              <w:rFonts w:hint="eastAsia"/>
              <w:color w:val="000000" w:themeColor="text1"/>
            </w:rPr>
            <w:t>5</w:t>
          </w:r>
          <w:r>
            <w:rPr>
              <w:rFonts w:hint="eastAsia"/>
              <w:color w:val="000000" w:themeColor="text1"/>
            </w:rPr>
            <w:t>）</w:t>
          </w:r>
          <w:r>
            <w:rPr>
              <w:color w:val="000000" w:themeColor="text1"/>
            </w:rPr>
            <w:t>2024</w:t>
          </w:r>
          <w:r>
            <w:rPr>
              <w:color w:val="000000" w:themeColor="text1"/>
            </w:rPr>
            <w:t>年</w:t>
          </w:r>
          <w:r>
            <w:rPr>
              <w:color w:val="000000" w:themeColor="text1"/>
            </w:rPr>
            <w:t>2</w:t>
          </w:r>
          <w:r>
            <w:rPr>
              <w:color w:val="000000" w:themeColor="text1"/>
            </w:rPr>
            <w:t>月，国家药监局发布关于印发《药品监督管理行政处罚裁量适用规则的通知》。本规则所称行政处罚裁量权，是指药品监督管理部门实施行政处罚时，依据法律、法规、规章的规定，综合考虑违法行为的事实、性质、情节和社会危害程度等情形，决定是否给予行政处罚、给予行政处罚种类和幅度的权限。</w:t>
          </w:r>
        </w:p>
        <w:p w14:paraId="49569858" w14:textId="77777777" w:rsidR="002D0AE7" w:rsidRDefault="00333EBB">
          <w:pPr>
            <w:ind w:firstLineChars="200" w:firstLine="480"/>
            <w:rPr>
              <w:rFonts w:hint="eastAsia"/>
              <w:color w:val="000000" w:themeColor="text1"/>
            </w:rPr>
          </w:pPr>
          <w:r>
            <w:rPr>
              <w:rFonts w:hint="eastAsia"/>
              <w:color w:val="000000" w:themeColor="text1"/>
            </w:rPr>
            <w:t>（</w:t>
          </w:r>
          <w:r>
            <w:rPr>
              <w:color w:val="000000" w:themeColor="text1"/>
            </w:rPr>
            <w:t>6</w:t>
          </w:r>
          <w:r>
            <w:rPr>
              <w:color w:val="000000" w:themeColor="text1"/>
            </w:rPr>
            <w:t>）</w:t>
          </w:r>
          <w:r>
            <w:rPr>
              <w:color w:val="000000" w:themeColor="text1"/>
            </w:rPr>
            <w:t>2024</w:t>
          </w:r>
          <w:r>
            <w:rPr>
              <w:color w:val="000000" w:themeColor="text1"/>
            </w:rPr>
            <w:t>年</w:t>
          </w:r>
          <w:r>
            <w:rPr>
              <w:color w:val="000000" w:themeColor="text1"/>
            </w:rPr>
            <w:t>3</w:t>
          </w:r>
          <w:r>
            <w:rPr>
              <w:color w:val="000000" w:themeColor="text1"/>
            </w:rPr>
            <w:t>月，国家药监局发布关于印发《药品抽检探索性研究原则及程序的通知》，规定药品监管部门及其设置或指定的药品检验机构可以采用药品标准以外的检验项目和检验方法开展探索性研究，为防控潜在风险隐患、提升药品质量水平、加强药品监管提供技术支撑。</w:t>
          </w:r>
        </w:p>
        <w:p w14:paraId="1A1F4688" w14:textId="77777777" w:rsidR="002D0AE7" w:rsidRDefault="00333EBB">
          <w:pPr>
            <w:ind w:firstLineChars="200" w:firstLine="480"/>
            <w:rPr>
              <w:rFonts w:hint="eastAsia"/>
              <w:color w:val="000000" w:themeColor="text1"/>
            </w:rPr>
          </w:pPr>
          <w:r>
            <w:rPr>
              <w:rFonts w:hint="eastAsia"/>
              <w:color w:val="000000" w:themeColor="text1"/>
            </w:rPr>
            <w:t>（</w:t>
          </w:r>
          <w:r>
            <w:rPr>
              <w:color w:val="000000" w:themeColor="text1"/>
            </w:rPr>
            <w:t>7</w:t>
          </w:r>
          <w:r>
            <w:rPr>
              <w:color w:val="000000" w:themeColor="text1"/>
            </w:rPr>
            <w:t>）</w:t>
          </w:r>
          <w:r>
            <w:rPr>
              <w:color w:val="000000" w:themeColor="text1"/>
            </w:rPr>
            <w:t>2024</w:t>
          </w:r>
          <w:r>
            <w:rPr>
              <w:color w:val="000000" w:themeColor="text1"/>
            </w:rPr>
            <w:t>年</w:t>
          </w:r>
          <w:r>
            <w:rPr>
              <w:color w:val="000000" w:themeColor="text1"/>
            </w:rPr>
            <w:t>4</w:t>
          </w:r>
          <w:r>
            <w:rPr>
              <w:color w:val="000000" w:themeColor="text1"/>
            </w:rPr>
            <w:t>月，国家药监局发布《关于实施药品注册行政许可文书电子化的公告》（</w:t>
          </w:r>
          <w:r>
            <w:rPr>
              <w:color w:val="000000" w:themeColor="text1"/>
            </w:rPr>
            <w:t>2024</w:t>
          </w:r>
          <w:r>
            <w:rPr>
              <w:color w:val="000000" w:themeColor="text1"/>
            </w:rPr>
            <w:t>年第</w:t>
          </w:r>
          <w:r>
            <w:rPr>
              <w:color w:val="000000" w:themeColor="text1"/>
            </w:rPr>
            <w:t>39</w:t>
          </w:r>
          <w:r>
            <w:rPr>
              <w:color w:val="000000" w:themeColor="text1"/>
            </w:rPr>
            <w:t>号），自</w:t>
          </w:r>
          <w:r>
            <w:rPr>
              <w:color w:val="000000" w:themeColor="text1"/>
            </w:rPr>
            <w:t>2024</w:t>
          </w:r>
          <w:r>
            <w:rPr>
              <w:color w:val="000000" w:themeColor="text1"/>
            </w:rPr>
            <w:t>年</w:t>
          </w:r>
          <w:r>
            <w:rPr>
              <w:color w:val="000000" w:themeColor="text1"/>
            </w:rPr>
            <w:t>5</w:t>
          </w:r>
          <w:r>
            <w:rPr>
              <w:color w:val="000000" w:themeColor="text1"/>
            </w:rPr>
            <w:t>月</w:t>
          </w:r>
          <w:r>
            <w:rPr>
              <w:color w:val="000000" w:themeColor="text1"/>
            </w:rPr>
            <w:t>1</w:t>
          </w:r>
          <w:r>
            <w:rPr>
              <w:color w:val="000000" w:themeColor="text1"/>
            </w:rPr>
            <w:t>日起，对国家药品标准颁布件、药品注册申请终止通知书、对照药品一次性进口审批意见通知件等药品注册行政许可文书实行电子化，药品注册行政许可电子文书与纸质文书具有同等法律效力。</w:t>
          </w:r>
        </w:p>
        <w:p w14:paraId="3CE18BB9" w14:textId="77777777" w:rsidR="002D0AE7" w:rsidRDefault="00333EBB">
          <w:pPr>
            <w:ind w:firstLineChars="200" w:firstLine="480"/>
            <w:rPr>
              <w:rFonts w:hint="eastAsia"/>
              <w:color w:val="000000" w:themeColor="text1"/>
            </w:rPr>
          </w:pPr>
          <w:r>
            <w:rPr>
              <w:rFonts w:hint="eastAsia"/>
              <w:color w:val="000000" w:themeColor="text1"/>
            </w:rPr>
            <w:t>（</w:t>
          </w:r>
          <w:r>
            <w:rPr>
              <w:color w:val="000000" w:themeColor="text1"/>
            </w:rPr>
            <w:t>8</w:t>
          </w:r>
          <w:r>
            <w:rPr>
              <w:color w:val="000000" w:themeColor="text1"/>
            </w:rPr>
            <w:t>）</w:t>
          </w:r>
          <w:r>
            <w:rPr>
              <w:color w:val="000000" w:themeColor="text1"/>
            </w:rPr>
            <w:t>2024</w:t>
          </w:r>
          <w:r>
            <w:rPr>
              <w:color w:val="000000" w:themeColor="text1"/>
            </w:rPr>
            <w:t>年</w:t>
          </w:r>
          <w:r>
            <w:rPr>
              <w:color w:val="000000" w:themeColor="text1"/>
            </w:rPr>
            <w:t>6</w:t>
          </w:r>
          <w:r>
            <w:rPr>
              <w:color w:val="000000" w:themeColor="text1"/>
            </w:rPr>
            <w:t>月，国家药监局</w:t>
          </w:r>
          <w:r>
            <w:rPr>
              <w:rFonts w:hint="eastAsia"/>
              <w:color w:val="000000" w:themeColor="text1"/>
            </w:rPr>
            <w:t>药品审评中心</w:t>
          </w:r>
          <w:r>
            <w:rPr>
              <w:color w:val="000000" w:themeColor="text1"/>
            </w:rPr>
            <w:t>发布《〈已上市化学药品药学变更研究技术指导原则（试行）〉原料药变更的问答》的通知，进一步规范了当化学原料药的生产工艺、生产场地、生产批量、质量标准等发生变更时，相关制剂持有人应进行哪些研究工作，并进一步明确当制剂所用原料药的供应商发生变更时，相关制剂的技术要求。</w:t>
          </w:r>
        </w:p>
        <w:p w14:paraId="33BA1A84" w14:textId="77777777" w:rsidR="002D0AE7" w:rsidRDefault="00333EBB">
          <w:pPr>
            <w:ind w:firstLineChars="200" w:firstLine="480"/>
            <w:rPr>
              <w:rFonts w:hint="eastAsia"/>
              <w:color w:val="000000" w:themeColor="text1"/>
            </w:rPr>
          </w:pPr>
          <w:r>
            <w:rPr>
              <w:color w:val="000000" w:themeColor="text1"/>
            </w:rPr>
            <w:t>（</w:t>
          </w:r>
          <w:r>
            <w:rPr>
              <w:color w:val="000000" w:themeColor="text1"/>
            </w:rPr>
            <w:t>9</w:t>
          </w:r>
          <w:r>
            <w:rPr>
              <w:color w:val="000000" w:themeColor="text1"/>
            </w:rPr>
            <w:t>）</w:t>
          </w:r>
          <w:r>
            <w:rPr>
              <w:color w:val="000000" w:themeColor="text1"/>
            </w:rPr>
            <w:t>2024</w:t>
          </w:r>
          <w:r>
            <w:rPr>
              <w:color w:val="000000" w:themeColor="text1"/>
            </w:rPr>
            <w:t>年</w:t>
          </w:r>
          <w:r>
            <w:rPr>
              <w:color w:val="000000" w:themeColor="text1"/>
            </w:rPr>
            <w:t>6</w:t>
          </w:r>
          <w:r>
            <w:rPr>
              <w:color w:val="000000" w:themeColor="text1"/>
            </w:rPr>
            <w:t>月，国家药监局</w:t>
          </w:r>
          <w:r>
            <w:rPr>
              <w:rFonts w:hint="eastAsia"/>
              <w:color w:val="000000" w:themeColor="text1"/>
            </w:rPr>
            <w:t>药品审评中心</w:t>
          </w:r>
          <w:r>
            <w:rPr>
              <w:color w:val="000000" w:themeColor="text1"/>
            </w:rPr>
            <w:t>发布《化学药品注射剂配伍稳定性药学研究技术指导原则（试行）》，进一步明确了化学药品注射剂配伍稳定性研究技术要求，完善了化学药品注射剂评价标准体系。</w:t>
          </w:r>
        </w:p>
        <w:p w14:paraId="0597F96C" w14:textId="77777777" w:rsidR="002D0AE7" w:rsidRDefault="00333EBB">
          <w:pPr>
            <w:ind w:firstLineChars="200" w:firstLine="480"/>
            <w:rPr>
              <w:rFonts w:hint="eastAsia"/>
              <w:color w:val="000000" w:themeColor="text1"/>
            </w:rPr>
          </w:pPr>
          <w:r>
            <w:rPr>
              <w:rFonts w:hint="eastAsia"/>
              <w:color w:val="000000" w:themeColor="text1"/>
            </w:rPr>
            <w:t>公司时刻关注政策变化，按照要求持续做好药品经营工作，保障药品经营环节质量安全；从研发设计工作开始贯彻全生命周期的质量管理要求，防控质量风险、提升药品质量水平；组织相关人员学习，保证生产经营合法合规。</w:t>
          </w:r>
        </w:p>
        <w:p w14:paraId="324851F1" w14:textId="77777777" w:rsidR="002D0AE7" w:rsidRDefault="00333EBB">
          <w:pPr>
            <w:ind w:firstLineChars="200" w:firstLine="480"/>
            <w:rPr>
              <w:rFonts w:hint="eastAsia"/>
              <w:color w:val="000000" w:themeColor="text1"/>
            </w:rPr>
          </w:pPr>
          <w:r>
            <w:rPr>
              <w:rFonts w:hint="eastAsia"/>
              <w:color w:val="000000" w:themeColor="text1"/>
            </w:rPr>
            <w:t>3.</w:t>
          </w:r>
          <w:r>
            <w:rPr>
              <w:rFonts w:hint="eastAsia"/>
              <w:color w:val="000000" w:themeColor="text1"/>
            </w:rPr>
            <w:t>公司行业地位</w:t>
          </w:r>
        </w:p>
        <w:p w14:paraId="1B7C5CC0" w14:textId="77777777" w:rsidR="002D0AE7" w:rsidRDefault="00333EBB">
          <w:pPr>
            <w:ind w:firstLineChars="200" w:firstLine="480"/>
            <w:rPr>
              <w:rFonts w:hint="eastAsia"/>
              <w:color w:val="000000" w:themeColor="text1"/>
            </w:rPr>
          </w:pPr>
          <w:r>
            <w:rPr>
              <w:rFonts w:hint="eastAsia"/>
              <w:color w:val="000000" w:themeColor="text1"/>
            </w:rPr>
            <w:t>公司作为国内较早研制并生产甾体激素类原料药的企业之一，是国家认定的高新技术企业，同时也是全球领先的氨基酸原料药制造商。公司一直积极实施以甾体激素类和氨基酸类药物为核心的原料药</w:t>
          </w:r>
          <w:r>
            <w:rPr>
              <w:color w:val="000000" w:themeColor="text1"/>
            </w:rPr>
            <w:t>制剂</w:t>
          </w:r>
          <w:r>
            <w:rPr>
              <w:rFonts w:hint="eastAsia"/>
              <w:color w:val="000000" w:themeColor="text1"/>
            </w:rPr>
            <w:t>一体化布局</w:t>
          </w:r>
          <w:r>
            <w:rPr>
              <w:color w:val="000000" w:themeColor="text1"/>
            </w:rPr>
            <w:t>，在立足本土的同时不断加快全球布局。公司的甾体激素原料药产品涵盖广泛，能够满足不同客户的需求，主要包括地塞米松系列、倍他米松系列、泼尼松系列、甲泼尼龙系列等</w:t>
          </w:r>
          <w:r>
            <w:rPr>
              <w:color w:val="000000" w:themeColor="text1"/>
            </w:rPr>
            <w:t>40</w:t>
          </w:r>
          <w:r>
            <w:rPr>
              <w:color w:val="000000" w:themeColor="text1"/>
            </w:rPr>
            <w:t>余个品种，产品远销至南北美及亚欧等全球</w:t>
          </w:r>
          <w:r>
            <w:rPr>
              <w:color w:val="000000" w:themeColor="text1"/>
            </w:rPr>
            <w:t>70</w:t>
          </w:r>
          <w:r>
            <w:rPr>
              <w:rFonts w:hint="eastAsia"/>
              <w:color w:val="000000" w:themeColor="text1"/>
            </w:rPr>
            <w:t>多</w:t>
          </w:r>
          <w:r>
            <w:rPr>
              <w:color w:val="000000" w:themeColor="text1"/>
            </w:rPr>
            <w:t>个国家和地区，具有多年的市场基础和良好的品牌影响，连续多年在</w:t>
          </w:r>
          <w:r>
            <w:rPr>
              <w:rFonts w:hint="eastAsia"/>
              <w:color w:val="000000" w:themeColor="text1"/>
            </w:rPr>
            <w:t>中国化学制药工业协会</w:t>
          </w:r>
          <w:r>
            <w:rPr>
              <w:color w:val="000000" w:themeColor="text1"/>
            </w:rPr>
            <w:t>的</w:t>
          </w:r>
          <w:r>
            <w:rPr>
              <w:rFonts w:hint="eastAsia"/>
              <w:color w:val="000000" w:themeColor="text1"/>
            </w:rPr>
            <w:t>统计数据中位于</w:t>
          </w:r>
          <w:r>
            <w:rPr>
              <w:rFonts w:hint="eastAsia"/>
              <w:color w:val="000000" w:themeColor="text1"/>
            </w:rPr>
            <w:t>皮质</w:t>
          </w:r>
          <w:r>
            <w:rPr>
              <w:rFonts w:hint="eastAsia"/>
              <w:color w:val="000000" w:themeColor="text1"/>
            </w:rPr>
            <w:t>激素原料药出口前列，在行业竞争中处于优势地位。氨基酸类原料药方面，拥有</w:t>
          </w:r>
          <w:r>
            <w:rPr>
              <w:color w:val="000000" w:themeColor="text1"/>
            </w:rPr>
            <w:t>25</w:t>
          </w:r>
          <w:r>
            <w:rPr>
              <w:color w:val="000000" w:themeColor="text1"/>
            </w:rPr>
            <w:t>个品种。在国</w:t>
          </w:r>
          <w:r>
            <w:rPr>
              <w:color w:val="000000" w:themeColor="text1"/>
            </w:rPr>
            <w:lastRenderedPageBreak/>
            <w:t>内市场，公司凭借技术优势和丰富的经验，已经建立起稳固的市场地位。面对国际市场的竞争，公司也在积极拓展海外业务，通过参与国际展会、技术合作和市场推广，公司产品逐渐赢得了海外客户的认可，并在国际市场建立了一定的知名度。未来，公司将继续加大技术研发投入，提升产品质量，积极拓展市场，增强企业的全球竞争力。</w:t>
          </w:r>
        </w:p>
        <w:p w14:paraId="0CFEEF32" w14:textId="77777777" w:rsidR="002D0AE7" w:rsidRDefault="00333EBB">
          <w:pPr>
            <w:ind w:firstLineChars="200" w:firstLine="480"/>
            <w:rPr>
              <w:rFonts w:hint="eastAsia"/>
              <w:color w:val="000000" w:themeColor="text1"/>
            </w:rPr>
          </w:pPr>
          <w:r>
            <w:rPr>
              <w:rFonts w:hint="eastAsia"/>
              <w:color w:val="000000" w:themeColor="text1"/>
            </w:rPr>
            <w:t>子公司津药和平专业从事激素类、氨基酸类药品的研发、生产与销售，包括心脑血管、抗肿瘤、呼吸系统等领域制剂，拥有注射剂、软膏剂、乳膏剂、硬胶囊剂、丸剂、冻干粉针剂、吸入制剂、片剂等</w:t>
          </w:r>
          <w:r>
            <w:rPr>
              <w:color w:val="000000" w:themeColor="text1"/>
            </w:rPr>
            <w:t>17</w:t>
          </w:r>
          <w:r>
            <w:rPr>
              <w:color w:val="000000" w:themeColor="text1"/>
            </w:rPr>
            <w:t>个剂型</w:t>
          </w:r>
          <w:r>
            <w:rPr>
              <w:color w:val="000000" w:themeColor="text1"/>
            </w:rPr>
            <w:t>200</w:t>
          </w:r>
          <w:r>
            <w:rPr>
              <w:color w:val="000000" w:themeColor="text1"/>
            </w:rPr>
            <w:t>余个产品文号。</w:t>
          </w:r>
          <w:r>
            <w:rPr>
              <w:rFonts w:hint="eastAsia"/>
              <w:color w:val="000000" w:themeColor="text1"/>
            </w:rPr>
            <w:t>津药和平是天津市生物医药产业链重点企业与国家急（抢）救药生产基地，</w:t>
          </w:r>
          <w:r>
            <w:rPr>
              <w:color w:val="000000" w:themeColor="text1"/>
            </w:rPr>
            <w:t>主要</w:t>
          </w:r>
          <w:r>
            <w:rPr>
              <w:rFonts w:hint="eastAsia"/>
              <w:color w:val="000000" w:themeColor="text1"/>
            </w:rPr>
            <w:t>急（抢）救药</w:t>
          </w:r>
          <w:r>
            <w:rPr>
              <w:color w:val="000000" w:themeColor="text1"/>
            </w:rPr>
            <w:t>品硫酸阿托品注射液是国家基药和国家医保甲类目录中的品种，</w:t>
          </w:r>
          <w:r>
            <w:rPr>
              <w:rFonts w:hint="eastAsia"/>
              <w:color w:val="000000" w:themeColor="text1"/>
            </w:rPr>
            <w:t>津药和平</w:t>
          </w:r>
          <w:r>
            <w:rPr>
              <w:color w:val="000000" w:themeColor="text1"/>
            </w:rPr>
            <w:t>是国内市场同时拥有硫酸阿托品注射液</w:t>
          </w:r>
          <w:r>
            <w:rPr>
              <w:color w:val="000000" w:themeColor="text1"/>
            </w:rPr>
            <w:t>3</w:t>
          </w:r>
          <w:r>
            <w:rPr>
              <w:color w:val="000000" w:themeColor="text1"/>
            </w:rPr>
            <w:t>个品规的为数不多的生产厂家之一，该产品市场排名领先。重酒石酸去甲肾上腺素注射液、盐酸肾上腺素注射液、呋塞米注射液作为重点</w:t>
          </w:r>
          <w:r>
            <w:rPr>
              <w:rFonts w:hint="eastAsia"/>
              <w:color w:val="000000" w:themeColor="text1"/>
            </w:rPr>
            <w:t>急（抢）救</w:t>
          </w:r>
          <w:r>
            <w:rPr>
              <w:color w:val="000000" w:themeColor="text1"/>
            </w:rPr>
            <w:t>药品，多年来在市场上销售良好，市场份额趋于前列。皮肤科用药主打品种尤卓尔（丁酸氢化可的松乳膏）是国内首仿，在临床和</w:t>
          </w:r>
          <w:r>
            <w:rPr>
              <w:color w:val="000000" w:themeColor="text1"/>
            </w:rPr>
            <w:t>OTC</w:t>
          </w:r>
          <w:r>
            <w:rPr>
              <w:color w:val="000000" w:themeColor="text1"/>
            </w:rPr>
            <w:t>渠道都有很好的应用，市场占有率占主导地位，</w:t>
          </w:r>
          <w:r>
            <w:rPr>
              <w:rFonts w:hint="eastAsia"/>
              <w:color w:val="000000" w:themeColor="text1"/>
            </w:rPr>
            <w:t>再度上榜米内网</w:t>
          </w:r>
          <w:r>
            <w:rPr>
              <w:color w:val="000000" w:themeColor="text1"/>
            </w:rPr>
            <w:t>2024</w:t>
          </w:r>
          <w:r>
            <w:rPr>
              <w:color w:val="000000" w:themeColor="text1"/>
            </w:rPr>
            <w:t>年度</w:t>
          </w:r>
          <w:r>
            <w:rPr>
              <w:color w:val="000000" w:themeColor="text1"/>
            </w:rPr>
            <w:t>“</w:t>
          </w:r>
          <w:r>
            <w:rPr>
              <w:color w:val="000000" w:themeColor="text1"/>
            </w:rPr>
            <w:t>中国医药</w:t>
          </w:r>
          <w:r>
            <w:rPr>
              <w:color w:val="000000" w:themeColor="text1"/>
            </w:rPr>
            <w:t>•</w:t>
          </w:r>
          <w:r>
            <w:rPr>
              <w:color w:val="000000" w:themeColor="text1"/>
            </w:rPr>
            <w:t>品牌榜</w:t>
          </w:r>
          <w:r>
            <w:rPr>
              <w:color w:val="000000" w:themeColor="text1"/>
            </w:rPr>
            <w:t>”</w:t>
          </w:r>
          <w:r>
            <w:rPr>
              <w:color w:val="000000" w:themeColor="text1"/>
            </w:rPr>
            <w:t>名单，蝉联零售终端品牌榜</w:t>
          </w:r>
          <w:r>
            <w:rPr>
              <w:color w:val="000000" w:themeColor="text1"/>
            </w:rPr>
            <w:t>“</w:t>
          </w:r>
          <w:r>
            <w:rPr>
              <w:color w:val="000000" w:themeColor="text1"/>
            </w:rPr>
            <w:t>皮肤病用药</w:t>
          </w:r>
          <w:r>
            <w:rPr>
              <w:color w:val="000000" w:themeColor="text1"/>
            </w:rPr>
            <w:t>”</w:t>
          </w:r>
          <w:r>
            <w:rPr>
              <w:color w:val="000000" w:themeColor="text1"/>
            </w:rPr>
            <w:t>品类</w:t>
          </w:r>
          <w:r>
            <w:rPr>
              <w:rFonts w:hint="eastAsia"/>
              <w:color w:val="000000" w:themeColor="text1"/>
            </w:rPr>
            <w:t>，进一步提升了尤卓尔的品牌影响力和市场认可度。</w:t>
          </w:r>
        </w:p>
        <w:p w14:paraId="2B2B028B" w14:textId="77777777" w:rsidR="002D0AE7" w:rsidRDefault="00333EBB">
          <w:pPr>
            <w:ind w:firstLineChars="200" w:firstLine="480"/>
            <w:rPr>
              <w:rFonts w:hint="eastAsia"/>
              <w:color w:val="000000" w:themeColor="text1"/>
            </w:rPr>
          </w:pPr>
          <w:r>
            <w:rPr>
              <w:rFonts w:hint="eastAsia"/>
              <w:color w:val="000000" w:themeColor="text1"/>
            </w:rPr>
            <w:t>子公司湖北津药是华中地区规模较大的专业针剂生产企业，主要产品包括地塞米松磷酸钠注射液、利巴韦林注射液等</w:t>
          </w:r>
          <w:r>
            <w:rPr>
              <w:color w:val="000000" w:themeColor="text1"/>
            </w:rPr>
            <w:t>70</w:t>
          </w:r>
          <w:r>
            <w:rPr>
              <w:color w:val="000000" w:themeColor="text1"/>
            </w:rPr>
            <w:t>余个小容量注射剂品种和复方氨基酸注射液（</w:t>
          </w:r>
          <w:r>
            <w:rPr>
              <w:color w:val="000000" w:themeColor="text1"/>
            </w:rPr>
            <w:t>15-HBC</w:t>
          </w:r>
          <w:r>
            <w:rPr>
              <w:color w:val="000000" w:themeColor="text1"/>
            </w:rPr>
            <w:t>）、复方氨基酸注射液</w:t>
          </w:r>
          <w:r>
            <w:rPr>
              <w:color w:val="000000" w:themeColor="text1"/>
            </w:rPr>
            <w:t>(18AA-IV)</w:t>
          </w:r>
          <w:r>
            <w:rPr>
              <w:color w:val="000000" w:themeColor="text1"/>
            </w:rPr>
            <w:t>等</w:t>
          </w:r>
          <w:r>
            <w:rPr>
              <w:color w:val="000000" w:themeColor="text1"/>
            </w:rPr>
            <w:t>60</w:t>
          </w:r>
          <w:r>
            <w:rPr>
              <w:color w:val="000000" w:themeColor="text1"/>
            </w:rPr>
            <w:t>余个大容量注射剂品种。其中小容量注射剂产品多年占据华中地区产销量领先的位置，已成为湖北、湖南、江西三省针剂标杆性企业，具有一定的区域品牌优势，</w:t>
          </w:r>
          <w:r>
            <w:rPr>
              <w:color w:val="000000" w:themeColor="text1"/>
            </w:rPr>
            <w:t>“</w:t>
          </w:r>
          <w:r>
            <w:rPr>
              <w:color w:val="000000" w:themeColor="text1"/>
            </w:rPr>
            <w:t>湖北津药</w:t>
          </w:r>
          <w:r>
            <w:rPr>
              <w:color w:val="000000" w:themeColor="text1"/>
            </w:rPr>
            <w:t>•</w:t>
          </w:r>
          <w:r>
            <w:rPr>
              <w:color w:val="000000" w:themeColor="text1"/>
            </w:rPr>
            <w:t>针剂专家</w:t>
          </w:r>
          <w:r>
            <w:rPr>
              <w:color w:val="000000" w:themeColor="text1"/>
            </w:rPr>
            <w:t>”</w:t>
          </w:r>
          <w:r>
            <w:rPr>
              <w:color w:val="000000" w:themeColor="text1"/>
            </w:rPr>
            <w:t>品牌享誉南方市场。根据《中国医药统计年报》数据，湖北津药生产的地塞米松磷酸钠注射液、肌苷注射液、氯化钠注射液等多年来产量稳居国内前三；根据米内网数</w:t>
          </w:r>
          <w:r>
            <w:rPr>
              <w:rFonts w:hint="eastAsia"/>
              <w:color w:val="000000" w:themeColor="text1"/>
            </w:rPr>
            <w:t>据，湖北津药生产的地塞米松磷酸钠注射液、盐酸利多卡因注射液、甘油果糖氯化钠注射液等单品在国内的市场占有率超过</w:t>
          </w:r>
          <w:r>
            <w:rPr>
              <w:color w:val="000000" w:themeColor="text1"/>
            </w:rPr>
            <w:t>10%</w:t>
          </w:r>
          <w:r>
            <w:rPr>
              <w:color w:val="000000" w:themeColor="text1"/>
            </w:rPr>
            <w:t>。</w:t>
          </w:r>
        </w:p>
      </w:sdtContent>
    </w:sdt>
    <w:p w14:paraId="2C0D5CDF" w14:textId="77777777" w:rsidR="002D0AE7" w:rsidRDefault="00333EBB">
      <w:pPr>
        <w:pStyle w:val="2"/>
        <w:numPr>
          <w:ilvl w:val="0"/>
          <w:numId w:val="5"/>
        </w:numPr>
        <w:tabs>
          <w:tab w:val="left" w:pos="426"/>
        </w:tabs>
        <w:ind w:left="482" w:hanging="482"/>
        <w:jc w:val="left"/>
        <w:rPr>
          <w:rFonts w:ascii="宋体" w:hAnsi="宋体" w:hint="eastAsia"/>
          <w:color w:val="000000" w:themeColor="text1"/>
        </w:rPr>
      </w:pPr>
      <w:r>
        <w:rPr>
          <w:rFonts w:ascii="宋体" w:hAnsi="宋体" w:hint="eastAsia"/>
          <w:color w:val="000000" w:themeColor="text1"/>
        </w:rPr>
        <w:t>报告期内核心竞争力分析</w:t>
      </w:r>
    </w:p>
    <w:sdt>
      <w:sdtPr>
        <w:rPr>
          <w:color w:val="000000" w:themeColor="text1"/>
        </w:rPr>
        <w:alias w:val="是否适用：报告期内核心竞争力分析[双击切换]"/>
        <w:tag w:val="_GBC_f5e4beedb06c4dedb1da9c7f429d840e"/>
        <w:id w:val="1957448587"/>
        <w:placeholder>
          <w:docPart w:val="GBC22222222222222222222222222222"/>
        </w:placeholder>
      </w:sdtPr>
      <w:sdtEndPr/>
      <w:sdtContent>
        <w:p w14:paraId="17B0B0B4"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rFonts w:hint="eastAsia"/>
          <w:color w:val="000000" w:themeColor="text1"/>
        </w:rPr>
        <w:alias w:val="报告期内核心竞争力分析"/>
        <w:tag w:val="_GBC_2aded0644185447a9ec788ba0b35ac4f"/>
        <w:id w:val="1587264807"/>
        <w:placeholder>
          <w:docPart w:val="GBC22222222222222222222222222222"/>
        </w:placeholder>
      </w:sdtPr>
      <w:sdtEndPr/>
      <w:sdtContent>
        <w:p w14:paraId="7077AD20" w14:textId="77777777" w:rsidR="002D0AE7" w:rsidRDefault="00333EBB">
          <w:pPr>
            <w:ind w:firstLineChars="200" w:firstLine="480"/>
            <w:rPr>
              <w:rFonts w:hint="eastAsia"/>
              <w:b/>
              <w:bCs/>
              <w:color w:val="000000" w:themeColor="text1"/>
            </w:rPr>
          </w:pPr>
          <w:r>
            <w:rPr>
              <w:rFonts w:hint="eastAsia"/>
              <w:b/>
              <w:bCs/>
              <w:color w:val="000000" w:themeColor="text1"/>
            </w:rPr>
            <w:t>1.</w:t>
          </w:r>
          <w:r>
            <w:rPr>
              <w:rFonts w:hint="eastAsia"/>
              <w:b/>
              <w:bCs/>
              <w:color w:val="000000" w:themeColor="text1"/>
            </w:rPr>
            <w:t>技术优势</w:t>
          </w:r>
        </w:p>
        <w:p w14:paraId="3A398642" w14:textId="77777777" w:rsidR="002D0AE7" w:rsidRDefault="00333EBB">
          <w:pPr>
            <w:ind w:firstLineChars="200" w:firstLine="480"/>
            <w:rPr>
              <w:rFonts w:hint="eastAsia"/>
              <w:color w:val="000000" w:themeColor="text1"/>
            </w:rPr>
          </w:pPr>
          <w:r>
            <w:rPr>
              <w:rFonts w:hint="eastAsia"/>
              <w:color w:val="000000" w:themeColor="text1"/>
            </w:rPr>
            <w:t>原料药方面，公司是我国较早研制并生产甾体激素类原料药的企业之一，国内</w:t>
          </w:r>
          <w:r>
            <w:rPr>
              <w:color w:val="000000" w:themeColor="text1"/>
            </w:rPr>
            <w:t>大多数甾体激素类原料药产品是由公司首先研制并投入生产。公司通过技术革新，带动多个在产品种质量提升，不断推动</w:t>
          </w:r>
          <w:r>
            <w:rPr>
              <w:rFonts w:hint="eastAsia"/>
              <w:color w:val="000000" w:themeColor="text1"/>
            </w:rPr>
            <w:t>甾体</w:t>
          </w:r>
          <w:r>
            <w:rPr>
              <w:color w:val="000000" w:themeColor="text1"/>
            </w:rPr>
            <w:t>激素原料药产品的产业结构升级，巩固公司的行业主导地位</w:t>
          </w:r>
          <w:r>
            <w:rPr>
              <w:rFonts w:hint="eastAsia"/>
              <w:color w:val="000000" w:themeColor="text1"/>
            </w:rPr>
            <w:t>，公司</w:t>
          </w:r>
          <w:r>
            <w:rPr>
              <w:color w:val="000000" w:themeColor="text1"/>
            </w:rPr>
            <w:t>入列《</w:t>
          </w:r>
          <w:r>
            <w:rPr>
              <w:color w:val="000000" w:themeColor="text1"/>
            </w:rPr>
            <w:t>2024</w:t>
          </w:r>
          <w:r>
            <w:rPr>
              <w:color w:val="000000" w:themeColor="text1"/>
            </w:rPr>
            <w:t>中国药品研发综合实力排行榜》《</w:t>
          </w:r>
          <w:r>
            <w:rPr>
              <w:color w:val="000000" w:themeColor="text1"/>
            </w:rPr>
            <w:t>2024</w:t>
          </w:r>
          <w:r>
            <w:rPr>
              <w:color w:val="000000" w:themeColor="text1"/>
            </w:rPr>
            <w:t>中国化药研发实力排行榜》百强榜单。报告期内，公司</w:t>
          </w:r>
          <w:r>
            <w:rPr>
              <w:rFonts w:hint="eastAsia"/>
              <w:color w:val="000000" w:themeColor="text1"/>
            </w:rPr>
            <w:t>二丙酸倍他米松原料药获得</w:t>
          </w:r>
          <w:r>
            <w:rPr>
              <w:color w:val="000000" w:themeColor="text1"/>
            </w:rPr>
            <w:t>CEP</w:t>
          </w:r>
          <w:r>
            <w:rPr>
              <w:color w:val="000000" w:themeColor="text1"/>
            </w:rPr>
            <w:t>证书，</w:t>
          </w:r>
          <w:r>
            <w:rPr>
              <w:rFonts w:hint="eastAsia"/>
              <w:color w:val="000000" w:themeColor="text1"/>
            </w:rPr>
            <w:t>将为公司进一步拓展国际市场带来积极影响。</w:t>
          </w:r>
        </w:p>
        <w:p w14:paraId="4BE05F87" w14:textId="77777777" w:rsidR="002D0AE7" w:rsidRDefault="00333EBB">
          <w:pPr>
            <w:ind w:firstLineChars="200" w:firstLine="480"/>
            <w:rPr>
              <w:rFonts w:hint="eastAsia"/>
              <w:color w:val="000000" w:themeColor="text1"/>
            </w:rPr>
          </w:pPr>
          <w:r>
            <w:rPr>
              <w:rFonts w:hint="eastAsia"/>
              <w:color w:val="000000" w:themeColor="text1"/>
            </w:rPr>
            <w:t>制剂方面，公司积极调研行业政策，优化产品立项流程，进行产品管线规划，加快技术转化速度，推进产品上市。报告期内吸入用乙酰半胱氨酸溶液与吸入用复方异丙托溴铵溶液获得《药品注册证书》，丰富了公司吸入制剂产品管线。克林霉素磷酸酯注射液、盐酸甲氧氯普胺注射液、氟康唑氯化钠注射液</w:t>
          </w:r>
          <w:r>
            <w:rPr>
              <w:color w:val="000000" w:themeColor="text1"/>
            </w:rPr>
            <w:t>3</w:t>
          </w:r>
          <w:r>
            <w:rPr>
              <w:color w:val="000000" w:themeColor="text1"/>
            </w:rPr>
            <w:t>个产品通过了一致性评价技术审评，获得《药品补充申请批准通知书》，其中盐酸甲氧氯普胺注射液为国内首家通过一致性评价的品种，以上产品的获批完善了公司制剂产品群，将对公司拓展国内制剂市场、提升公司业绩带来一定的积极影响。</w:t>
          </w:r>
        </w:p>
        <w:p w14:paraId="79BD97CE" w14:textId="77777777" w:rsidR="002D0AE7" w:rsidRDefault="00333EBB">
          <w:pPr>
            <w:ind w:firstLineChars="200" w:firstLine="482"/>
            <w:rPr>
              <w:rFonts w:hint="eastAsia"/>
              <w:b/>
              <w:bCs/>
              <w:color w:val="000000" w:themeColor="text1"/>
            </w:rPr>
          </w:pPr>
          <w:r>
            <w:rPr>
              <w:rFonts w:hint="eastAsia"/>
              <w:b/>
              <w:bCs/>
              <w:color w:val="000000" w:themeColor="text1"/>
            </w:rPr>
            <w:t>2.</w:t>
          </w:r>
          <w:r>
            <w:rPr>
              <w:rFonts w:hint="eastAsia"/>
              <w:b/>
              <w:bCs/>
              <w:color w:val="000000" w:themeColor="text1"/>
            </w:rPr>
            <w:t>规模优势</w:t>
          </w:r>
        </w:p>
        <w:p w14:paraId="7975AAE6" w14:textId="77777777" w:rsidR="002D0AE7" w:rsidRDefault="00333EBB">
          <w:pPr>
            <w:ind w:firstLineChars="200" w:firstLine="480"/>
            <w:rPr>
              <w:rFonts w:hint="eastAsia"/>
              <w:color w:val="000000" w:themeColor="text1"/>
            </w:rPr>
          </w:pPr>
          <w:r>
            <w:rPr>
              <w:rFonts w:hint="eastAsia"/>
              <w:color w:val="000000" w:themeColor="text1"/>
            </w:rPr>
            <w:lastRenderedPageBreak/>
            <w:t>公司多年来持续致力于科技创新与规模化生产，目前在国内生产甾体激素类原料药同行业企业中生产规模优势显著，部分品种的工艺技术和产品质量达到国际先进水平，目前是亚洲甾体激素类药物科研、生产、出口基地，其中甾体激素与氨基酸原料药年产能力</w:t>
          </w:r>
          <w:r>
            <w:rPr>
              <w:color w:val="000000" w:themeColor="text1"/>
            </w:rPr>
            <w:t>4000</w:t>
          </w:r>
          <w:r>
            <w:rPr>
              <w:color w:val="000000" w:themeColor="text1"/>
            </w:rPr>
            <w:t>吨以上，片剂年产能力</w:t>
          </w:r>
          <w:r>
            <w:rPr>
              <w:color w:val="000000" w:themeColor="text1"/>
            </w:rPr>
            <w:t>50</w:t>
          </w:r>
          <w:r>
            <w:rPr>
              <w:color w:val="000000" w:themeColor="text1"/>
            </w:rPr>
            <w:t>亿片以上。控股子公司津药和平制剂产品品种多、用途广，有多种剂型和多个渠道布局，小容量注射剂、膏剂和胶囊剂的年产能力分别达</w:t>
          </w:r>
          <w:r>
            <w:rPr>
              <w:color w:val="000000" w:themeColor="text1"/>
            </w:rPr>
            <w:t>5.24</w:t>
          </w:r>
          <w:r>
            <w:rPr>
              <w:color w:val="000000" w:themeColor="text1"/>
            </w:rPr>
            <w:t>亿支、</w:t>
          </w:r>
          <w:r>
            <w:rPr>
              <w:color w:val="000000" w:themeColor="text1"/>
            </w:rPr>
            <w:t>3</w:t>
          </w:r>
          <w:r>
            <w:rPr>
              <w:color w:val="000000" w:themeColor="text1"/>
            </w:rPr>
            <w:t>亿支和</w:t>
          </w:r>
          <w:r>
            <w:rPr>
              <w:color w:val="000000" w:themeColor="text1"/>
            </w:rPr>
            <w:t>1.66</w:t>
          </w:r>
          <w:r>
            <w:rPr>
              <w:color w:val="000000" w:themeColor="text1"/>
            </w:rPr>
            <w:t>亿粒，规模优势明显；控股子公司湖北津药多年来从事注射剂规模化生产，现有注射剂生产批件百余个，产品丰富，</w:t>
          </w:r>
          <w:r>
            <w:rPr>
              <w:rFonts w:hint="eastAsia"/>
              <w:color w:val="000000" w:themeColor="text1"/>
            </w:rPr>
            <w:t>拥有小容量注射剂车间</w:t>
          </w:r>
          <w:r>
            <w:rPr>
              <w:color w:val="000000" w:themeColor="text1"/>
            </w:rPr>
            <w:t>3</w:t>
          </w:r>
          <w:r>
            <w:rPr>
              <w:color w:val="000000" w:themeColor="text1"/>
            </w:rPr>
            <w:t>个，具备年产</w:t>
          </w:r>
          <w:r>
            <w:rPr>
              <w:color w:val="000000" w:themeColor="text1"/>
            </w:rPr>
            <w:t>16</w:t>
          </w:r>
          <w:r>
            <w:rPr>
              <w:color w:val="000000" w:themeColor="text1"/>
            </w:rPr>
            <w:t>亿支产能；拥有大容量注射剂生产线</w:t>
          </w:r>
          <w:r>
            <w:rPr>
              <w:color w:val="000000" w:themeColor="text1"/>
            </w:rPr>
            <w:t>3</w:t>
          </w:r>
          <w:r>
            <w:rPr>
              <w:color w:val="000000" w:themeColor="text1"/>
            </w:rPr>
            <w:t>条，具备年产</w:t>
          </w:r>
          <w:r>
            <w:rPr>
              <w:color w:val="000000" w:themeColor="text1"/>
            </w:rPr>
            <w:t>2</w:t>
          </w:r>
          <w:r>
            <w:rPr>
              <w:color w:val="000000" w:themeColor="text1"/>
            </w:rPr>
            <w:t>亿瓶产能，车间采用双班生产模式，产品及产能规模优势明显。公司利用技术创新带来的成本优势和公司品牌效应，甾体激素类原料药生产规模连续多年保持市场领先，有效地将技术创新优势、市场优势和规模优势转化成为经济效益，进一步增强了公司的整体竞争优势。</w:t>
          </w:r>
        </w:p>
        <w:p w14:paraId="322A3D81" w14:textId="77777777" w:rsidR="002D0AE7" w:rsidRDefault="00333EBB">
          <w:pPr>
            <w:ind w:firstLineChars="200" w:firstLine="482"/>
            <w:rPr>
              <w:rFonts w:hint="eastAsia"/>
              <w:b/>
              <w:bCs/>
              <w:color w:val="000000" w:themeColor="text1"/>
            </w:rPr>
          </w:pPr>
          <w:r>
            <w:rPr>
              <w:rFonts w:hint="eastAsia"/>
              <w:b/>
              <w:bCs/>
              <w:color w:val="000000" w:themeColor="text1"/>
            </w:rPr>
            <w:t>3.</w:t>
          </w:r>
          <w:r>
            <w:rPr>
              <w:rFonts w:hint="eastAsia"/>
              <w:b/>
              <w:bCs/>
              <w:color w:val="000000" w:themeColor="text1"/>
            </w:rPr>
            <w:t>成本优势</w:t>
          </w:r>
        </w:p>
        <w:p w14:paraId="198652C2" w14:textId="77777777" w:rsidR="002D0AE7" w:rsidRDefault="00333EBB">
          <w:pPr>
            <w:ind w:firstLineChars="200" w:firstLine="480"/>
            <w:rPr>
              <w:rFonts w:hint="eastAsia"/>
              <w:color w:val="000000" w:themeColor="text1"/>
            </w:rPr>
          </w:pPr>
          <w:r>
            <w:rPr>
              <w:color w:val="000000" w:themeColor="text1"/>
            </w:rPr>
            <w:t>公司多年来坚持开展各类产品的工艺优化和改进，持续保持工艺的创新性</w:t>
          </w:r>
          <w:r>
            <w:rPr>
              <w:rFonts w:hint="eastAsia"/>
              <w:color w:val="000000" w:themeColor="text1"/>
            </w:rPr>
            <w:t>，在国内同行业内较早实现植物甾醇生物降解雄烯二酮及</w:t>
          </w:r>
          <w:r>
            <w:rPr>
              <w:color w:val="000000" w:themeColor="text1"/>
            </w:rPr>
            <w:t>9</w:t>
          </w:r>
          <w:r>
            <w:rPr>
              <w:color w:val="000000" w:themeColor="text1"/>
            </w:rPr>
            <w:t>羟基雄烯二酮并改造</w:t>
          </w:r>
          <w:r>
            <w:rPr>
              <w:rFonts w:hint="eastAsia"/>
              <w:color w:val="000000" w:themeColor="text1"/>
            </w:rPr>
            <w:t>甾体</w:t>
          </w:r>
          <w:r>
            <w:rPr>
              <w:color w:val="000000" w:themeColor="text1"/>
            </w:rPr>
            <w:t>激素原料药的生产技术产业化，多项技术指标均领先于国内同行业。</w:t>
          </w:r>
          <w:r>
            <w:rPr>
              <w:rFonts w:hint="eastAsia"/>
              <w:color w:val="000000" w:themeColor="text1"/>
            </w:rPr>
            <w:t>近年来</w:t>
          </w:r>
          <w:r>
            <w:rPr>
              <w:color w:val="000000" w:themeColor="text1"/>
            </w:rPr>
            <w:t>通过实施多个技术改进项目，逐步提高中间体质量，重点产品的技术指标保持持续上升，实现了一系列产品成本下降。</w:t>
          </w:r>
          <w:r>
            <w:rPr>
              <w:rFonts w:hint="eastAsia"/>
              <w:color w:val="000000" w:themeColor="text1"/>
            </w:rPr>
            <w:t>同时</w:t>
          </w:r>
          <w:r>
            <w:rPr>
              <w:color w:val="000000" w:themeColor="text1"/>
            </w:rPr>
            <w:t>运用精益管理理念，推行六西格玛等工具，全面提升生产组织能力，以</w:t>
          </w:r>
          <w:r>
            <w:rPr>
              <w:color w:val="000000" w:themeColor="text1"/>
            </w:rPr>
            <w:t>“</w:t>
          </w:r>
          <w:r>
            <w:rPr>
              <w:color w:val="000000" w:themeColor="text1"/>
            </w:rPr>
            <w:t>极致高效</w:t>
          </w:r>
          <w:r>
            <w:rPr>
              <w:color w:val="000000" w:themeColor="text1"/>
            </w:rPr>
            <w:t>”</w:t>
          </w:r>
          <w:r>
            <w:rPr>
              <w:color w:val="000000" w:themeColor="text1"/>
            </w:rPr>
            <w:t>为主线，以</w:t>
          </w:r>
          <w:r>
            <w:rPr>
              <w:color w:val="000000" w:themeColor="text1"/>
            </w:rPr>
            <w:t>“</w:t>
          </w:r>
          <w:r>
            <w:rPr>
              <w:color w:val="000000" w:themeColor="text1"/>
            </w:rPr>
            <w:t>提升效率、降低成本</w:t>
          </w:r>
          <w:r>
            <w:rPr>
              <w:color w:val="000000" w:themeColor="text1"/>
            </w:rPr>
            <w:t>”</w:t>
          </w:r>
          <w:r>
            <w:rPr>
              <w:color w:val="000000" w:themeColor="text1"/>
            </w:rPr>
            <w:t>为核心，围绕科学排产、降低能耗、严控成本、质量保证、提高人效五个方面深化精益管理</w:t>
          </w:r>
          <w:r>
            <w:rPr>
              <w:rFonts w:hint="eastAsia"/>
              <w:color w:val="000000" w:themeColor="text1"/>
            </w:rPr>
            <w:t>，持续开展降本增效。同时对产能还有富裕的产线，通过大力开展</w:t>
          </w:r>
          <w:r>
            <w:rPr>
              <w:color w:val="000000" w:themeColor="text1"/>
            </w:rPr>
            <w:t>CMO</w:t>
          </w:r>
          <w:r>
            <w:rPr>
              <w:color w:val="000000" w:themeColor="text1"/>
            </w:rPr>
            <w:t>业务提高产能利用率，不断摊薄产品的固定成本。</w:t>
          </w:r>
        </w:p>
        <w:p w14:paraId="5121AE99" w14:textId="77777777" w:rsidR="002D0AE7" w:rsidRDefault="00333EBB">
          <w:pPr>
            <w:ind w:firstLineChars="200" w:firstLine="482"/>
            <w:rPr>
              <w:rFonts w:hint="eastAsia"/>
              <w:b/>
              <w:bCs/>
            </w:rPr>
          </w:pPr>
          <w:r>
            <w:rPr>
              <w:rFonts w:hint="eastAsia"/>
              <w:b/>
              <w:bCs/>
              <w:color w:val="000000" w:themeColor="text1"/>
            </w:rPr>
            <w:t>4.</w:t>
          </w:r>
          <w:r>
            <w:rPr>
              <w:rFonts w:hint="eastAsia"/>
              <w:b/>
              <w:bCs/>
              <w:color w:val="000000" w:themeColor="text1"/>
            </w:rPr>
            <w:t>出口优势</w:t>
          </w:r>
        </w:p>
        <w:p w14:paraId="1434006C" w14:textId="77777777" w:rsidR="002D0AE7" w:rsidRDefault="00333EBB">
          <w:pPr>
            <w:ind w:firstLineChars="200" w:firstLine="480"/>
            <w:rPr>
              <w:rFonts w:hint="eastAsia"/>
              <w:color w:val="000000" w:themeColor="text1"/>
            </w:rPr>
          </w:pPr>
          <w:r>
            <w:rPr>
              <w:rFonts w:hint="eastAsia"/>
              <w:color w:val="000000" w:themeColor="text1"/>
            </w:rPr>
            <w:t>公司凭借自身的技术实力和完善的质量管理体系，泼尼松、螺内酯、地塞米松、甲泼尼龙等多个原料药产品通过了美国</w:t>
          </w:r>
          <w:r>
            <w:rPr>
              <w:color w:val="000000" w:themeColor="text1"/>
            </w:rPr>
            <w:t>FDA</w:t>
          </w:r>
          <w:r>
            <w:rPr>
              <w:color w:val="000000" w:themeColor="text1"/>
            </w:rPr>
            <w:t>认证。地塞米松系列产品通过了世界卫生组织集采产品</w:t>
          </w:r>
          <w:r>
            <w:rPr>
              <w:color w:val="000000" w:themeColor="text1"/>
            </w:rPr>
            <w:t>PQ</w:t>
          </w:r>
          <w:r>
            <w:rPr>
              <w:color w:val="000000" w:themeColor="text1"/>
            </w:rPr>
            <w:t>（预认证）审核，进一步提升公司产品在世界的品牌影响力。目前，公司在甾体激素类和氨基酸类原料药方面拥有十余个产品的</w:t>
          </w:r>
          <w:r>
            <w:rPr>
              <w:color w:val="000000" w:themeColor="text1"/>
            </w:rPr>
            <w:t>CEP</w:t>
          </w:r>
          <w:r>
            <w:rPr>
              <w:color w:val="000000" w:themeColor="text1"/>
            </w:rPr>
            <w:t>证书，特别是缬氨酸为氨基酸原料药首次获得</w:t>
          </w:r>
          <w:r>
            <w:rPr>
              <w:color w:val="000000" w:themeColor="text1"/>
            </w:rPr>
            <w:t>CEP</w:t>
          </w:r>
          <w:r>
            <w:rPr>
              <w:color w:val="000000" w:themeColor="text1"/>
            </w:rPr>
            <w:t>证书，实现了公司氨基酸类产品进入发达国家主流市场零的突破，逐步打开了国际高端市场新的空间，国际化战略布局效果显著。同时公司还通过了包括美国辉瑞、法国赛诺菲等在内的多家世界著名跨国制药公司</w:t>
          </w:r>
          <w:r>
            <w:rPr>
              <w:rFonts w:hint="eastAsia"/>
              <w:color w:val="000000" w:themeColor="text1"/>
            </w:rPr>
            <w:t>的质量审计和</w:t>
          </w:r>
          <w:r>
            <w:rPr>
              <w:color w:val="000000" w:themeColor="text1"/>
            </w:rPr>
            <w:t>EHS</w:t>
          </w:r>
          <w:r>
            <w:rPr>
              <w:color w:val="000000" w:themeColor="text1"/>
            </w:rPr>
            <w:t>审计，成为他们的合格供应商。地塞米松获得俄罗斯注册批准，俄罗斯市场开发提速。二丙酸倍他米松产品获得</w:t>
          </w:r>
          <w:r>
            <w:rPr>
              <w:color w:val="000000" w:themeColor="text1"/>
            </w:rPr>
            <w:t>CEP</w:t>
          </w:r>
          <w:r>
            <w:rPr>
              <w:color w:val="000000" w:themeColor="text1"/>
            </w:rPr>
            <w:t>证书，正式具备进入欧盟以及承认</w:t>
          </w:r>
          <w:r>
            <w:rPr>
              <w:color w:val="000000" w:themeColor="text1"/>
            </w:rPr>
            <w:t>CEP</w:t>
          </w:r>
          <w:r>
            <w:rPr>
              <w:color w:val="000000" w:themeColor="text1"/>
            </w:rPr>
            <w:t>证书的高端市场，丰富公司出口产品目录。制剂方面坚持以客户为中心，以市场为导向，加强客户维护力度，提升产品服务水平，保证供应链稳定性和时效性，不断提升消费者对产品的满意度。随着泼尼松片、甲泼尼龙片、塞来昔布胶囊、注射用甲泼尼龙琥珀酸钠在美国相继上市，将对公司拓展美国制剂市场、提升公司业绩带来积极的影响。</w:t>
          </w:r>
        </w:p>
        <w:p w14:paraId="2A00E4BC" w14:textId="77777777" w:rsidR="002D0AE7" w:rsidRDefault="00333EBB">
          <w:pPr>
            <w:ind w:firstLineChars="200" w:firstLine="482"/>
            <w:rPr>
              <w:rFonts w:hint="eastAsia"/>
              <w:b/>
              <w:bCs/>
              <w:color w:val="000000" w:themeColor="text1"/>
            </w:rPr>
          </w:pPr>
          <w:r>
            <w:rPr>
              <w:rFonts w:hint="eastAsia"/>
              <w:b/>
              <w:bCs/>
              <w:color w:val="000000" w:themeColor="text1"/>
            </w:rPr>
            <w:t>5.</w:t>
          </w:r>
          <w:r>
            <w:rPr>
              <w:rFonts w:hint="eastAsia"/>
              <w:b/>
              <w:bCs/>
              <w:color w:val="000000" w:themeColor="text1"/>
            </w:rPr>
            <w:t>品牌优势</w:t>
          </w:r>
        </w:p>
        <w:p w14:paraId="7F53CE4B" w14:textId="77777777" w:rsidR="002D0AE7" w:rsidRDefault="00333EBB">
          <w:pPr>
            <w:ind w:firstLineChars="200" w:firstLine="480"/>
            <w:rPr>
              <w:rFonts w:hint="eastAsia"/>
              <w:color w:val="000000" w:themeColor="text1"/>
            </w:rPr>
          </w:pPr>
          <w:r>
            <w:rPr>
              <w:rFonts w:hint="eastAsia"/>
              <w:color w:val="000000" w:themeColor="text1"/>
            </w:rPr>
            <w:t>公司前身是天津制药厂，迄今已有</w:t>
          </w:r>
          <w:r>
            <w:rPr>
              <w:color w:val="000000" w:themeColor="text1"/>
            </w:rPr>
            <w:t>80</w:t>
          </w:r>
          <w:r>
            <w:rPr>
              <w:color w:val="000000" w:themeColor="text1"/>
            </w:rPr>
            <w:t>多年发展历史。</w:t>
          </w:r>
          <w:r>
            <w:rPr>
              <w:rFonts w:hint="eastAsia"/>
              <w:color w:val="000000" w:themeColor="text1"/>
            </w:rPr>
            <w:t>拥有</w:t>
          </w:r>
          <w:r>
            <w:rPr>
              <w:color w:val="000000" w:themeColor="text1"/>
            </w:rPr>
            <w:t>“</w:t>
          </w:r>
          <w:r>
            <w:rPr>
              <w:color w:val="000000" w:themeColor="text1"/>
            </w:rPr>
            <w:t>双燕牌</w:t>
          </w:r>
          <w:r>
            <w:rPr>
              <w:color w:val="000000" w:themeColor="text1"/>
            </w:rPr>
            <w:t>”“</w:t>
          </w:r>
          <w:r>
            <w:rPr>
              <w:color w:val="000000" w:themeColor="text1"/>
            </w:rPr>
            <w:t>和平牌</w:t>
          </w:r>
          <w:r>
            <w:rPr>
              <w:color w:val="000000" w:themeColor="text1"/>
            </w:rPr>
            <w:t>”</w:t>
          </w:r>
          <w:r>
            <w:rPr>
              <w:rFonts w:hint="eastAsia"/>
              <w:color w:val="000000" w:themeColor="text1"/>
            </w:rPr>
            <w:t>两个</w:t>
          </w:r>
          <w:r>
            <w:rPr>
              <w:color w:val="000000" w:themeColor="text1"/>
            </w:rPr>
            <w:t>中国驰名商标，</w:t>
          </w:r>
          <w:r>
            <w:rPr>
              <w:rFonts w:hint="eastAsia"/>
              <w:color w:val="000000" w:themeColor="text1"/>
            </w:rPr>
            <w:t>同时拥有</w:t>
          </w:r>
          <w:r>
            <w:rPr>
              <w:color w:val="000000" w:themeColor="text1"/>
            </w:rPr>
            <w:t>“</w:t>
          </w:r>
          <w:r>
            <w:rPr>
              <w:color w:val="000000" w:themeColor="text1"/>
            </w:rPr>
            <w:t>尤卓尔</w:t>
          </w:r>
          <w:r>
            <w:rPr>
              <w:color w:val="000000" w:themeColor="text1"/>
            </w:rPr>
            <w:t>”“</w:t>
          </w:r>
          <w:r>
            <w:rPr>
              <w:color w:val="000000" w:themeColor="text1"/>
            </w:rPr>
            <w:t>人药</w:t>
          </w:r>
          <w:r>
            <w:rPr>
              <w:color w:val="000000" w:themeColor="text1"/>
            </w:rPr>
            <w:t>”“</w:t>
          </w:r>
          <w:r>
            <w:rPr>
              <w:color w:val="000000" w:themeColor="text1"/>
            </w:rPr>
            <w:t>莫家</w:t>
          </w:r>
          <w:r>
            <w:rPr>
              <w:color w:val="000000" w:themeColor="text1"/>
            </w:rPr>
            <w:t>”“</w:t>
          </w:r>
          <w:r>
            <w:rPr>
              <w:color w:val="000000" w:themeColor="text1"/>
            </w:rPr>
            <w:t>天药</w:t>
          </w:r>
          <w:r>
            <w:rPr>
              <w:color w:val="000000" w:themeColor="text1"/>
            </w:rPr>
            <w:t>”</w:t>
          </w:r>
          <w:r>
            <w:rPr>
              <w:rFonts w:hint="eastAsia"/>
              <w:color w:val="000000" w:themeColor="text1"/>
            </w:rPr>
            <w:t>等多个天津市著名</w:t>
          </w:r>
          <w:r>
            <w:rPr>
              <w:color w:val="000000" w:themeColor="text1"/>
            </w:rPr>
            <w:t>商标；</w:t>
          </w:r>
          <w:r>
            <w:rPr>
              <w:rFonts w:hint="eastAsia"/>
              <w:color w:val="000000" w:themeColor="text1"/>
            </w:rPr>
            <w:t>子公司湖北津药非激素类小容量注射剂产品采用“襄生”商标，激素类小容量注射剂、大容量注射剂产品采用“双燕”驰名商标。</w:t>
          </w:r>
        </w:p>
        <w:p w14:paraId="4D1E16D2" w14:textId="77777777" w:rsidR="002D0AE7" w:rsidRDefault="00333EBB">
          <w:pPr>
            <w:ind w:firstLineChars="200" w:firstLine="480"/>
            <w:rPr>
              <w:rFonts w:hint="eastAsia"/>
              <w:color w:val="000000" w:themeColor="text1"/>
            </w:rPr>
          </w:pPr>
          <w:r>
            <w:rPr>
              <w:color w:val="000000" w:themeColor="text1"/>
            </w:rPr>
            <w:t>“</w:t>
          </w:r>
          <w:r>
            <w:rPr>
              <w:color w:val="000000" w:themeColor="text1"/>
            </w:rPr>
            <w:t>尤卓尔</w:t>
          </w:r>
          <w:r>
            <w:rPr>
              <w:color w:val="000000" w:themeColor="text1"/>
            </w:rPr>
            <w:t>”2023</w:t>
          </w:r>
          <w:r>
            <w:rPr>
              <w:color w:val="000000" w:themeColor="text1"/>
            </w:rPr>
            <w:t>年蝉联中国药店店员推荐率最高品牌（皮肤类）奖项，</w:t>
          </w:r>
          <w:r>
            <w:rPr>
              <w:rFonts w:hint="eastAsia"/>
              <w:color w:val="000000" w:themeColor="text1"/>
            </w:rPr>
            <w:t>并</w:t>
          </w:r>
          <w:r>
            <w:rPr>
              <w:color w:val="000000" w:themeColor="text1"/>
            </w:rPr>
            <w:t>在米思会</w:t>
          </w:r>
          <w:r>
            <w:rPr>
              <w:color w:val="000000" w:themeColor="text1"/>
            </w:rPr>
            <w:t>“</w:t>
          </w:r>
          <w:r>
            <w:rPr>
              <w:color w:val="000000" w:themeColor="text1"/>
            </w:rPr>
            <w:t>中国医药</w:t>
          </w:r>
          <w:r>
            <w:rPr>
              <w:color w:val="000000" w:themeColor="text1"/>
            </w:rPr>
            <w:t>·</w:t>
          </w:r>
          <w:r>
            <w:rPr>
              <w:color w:val="000000" w:themeColor="text1"/>
            </w:rPr>
            <w:t>品牌榜</w:t>
          </w:r>
          <w:r>
            <w:rPr>
              <w:color w:val="000000" w:themeColor="text1"/>
            </w:rPr>
            <w:t>”</w:t>
          </w:r>
          <w:r>
            <w:rPr>
              <w:color w:val="000000" w:themeColor="text1"/>
            </w:rPr>
            <w:t>中荣获</w:t>
          </w:r>
          <w:r>
            <w:rPr>
              <w:color w:val="000000" w:themeColor="text1"/>
            </w:rPr>
            <w:t>“</w:t>
          </w:r>
          <w:r>
            <w:rPr>
              <w:color w:val="000000" w:themeColor="text1"/>
            </w:rPr>
            <w:t>中国连锁药店最具合作价值单品</w:t>
          </w:r>
          <w:r>
            <w:rPr>
              <w:color w:val="000000" w:themeColor="text1"/>
            </w:rPr>
            <w:t>”</w:t>
          </w:r>
          <w:r>
            <w:rPr>
              <w:color w:val="000000" w:themeColor="text1"/>
            </w:rPr>
            <w:t>奖项</w:t>
          </w:r>
          <w:r>
            <w:rPr>
              <w:rFonts w:hint="eastAsia"/>
              <w:color w:val="000000" w:themeColor="text1"/>
            </w:rPr>
            <w:t>，</w:t>
          </w:r>
          <w:r>
            <w:rPr>
              <w:color w:val="000000" w:themeColor="text1"/>
            </w:rPr>
            <w:t>再度</w:t>
          </w:r>
          <w:r>
            <w:rPr>
              <w:color w:val="000000" w:themeColor="text1"/>
            </w:rPr>
            <w:lastRenderedPageBreak/>
            <w:t>上榜</w:t>
          </w:r>
          <w:r>
            <w:rPr>
              <w:rFonts w:hint="eastAsia"/>
              <w:color w:val="000000" w:themeColor="text1"/>
            </w:rPr>
            <w:t>米内网</w:t>
          </w:r>
          <w:r>
            <w:rPr>
              <w:color w:val="000000" w:themeColor="text1"/>
            </w:rPr>
            <w:t>2024</w:t>
          </w:r>
          <w:r>
            <w:rPr>
              <w:color w:val="000000" w:themeColor="text1"/>
            </w:rPr>
            <w:t>年度</w:t>
          </w:r>
          <w:r>
            <w:rPr>
              <w:color w:val="000000" w:themeColor="text1"/>
            </w:rPr>
            <w:t>“</w:t>
          </w:r>
          <w:r>
            <w:rPr>
              <w:color w:val="000000" w:themeColor="text1"/>
            </w:rPr>
            <w:t>中国医药</w:t>
          </w:r>
          <w:r>
            <w:rPr>
              <w:color w:val="000000" w:themeColor="text1"/>
            </w:rPr>
            <w:t>•</w:t>
          </w:r>
          <w:r>
            <w:rPr>
              <w:color w:val="000000" w:themeColor="text1"/>
            </w:rPr>
            <w:t>品牌榜</w:t>
          </w:r>
          <w:r>
            <w:rPr>
              <w:color w:val="000000" w:themeColor="text1"/>
            </w:rPr>
            <w:t>”</w:t>
          </w:r>
          <w:r>
            <w:rPr>
              <w:color w:val="000000" w:themeColor="text1"/>
            </w:rPr>
            <w:t>名单，蝉联零售终端品牌榜</w:t>
          </w:r>
          <w:r>
            <w:rPr>
              <w:color w:val="000000" w:themeColor="text1"/>
            </w:rPr>
            <w:t>“</w:t>
          </w:r>
          <w:r>
            <w:rPr>
              <w:color w:val="000000" w:themeColor="text1"/>
            </w:rPr>
            <w:t>皮肤病用药</w:t>
          </w:r>
          <w:r>
            <w:rPr>
              <w:color w:val="000000" w:themeColor="text1"/>
            </w:rPr>
            <w:t>”</w:t>
          </w:r>
          <w:r>
            <w:rPr>
              <w:color w:val="000000" w:themeColor="text1"/>
            </w:rPr>
            <w:t>品类；</w:t>
          </w:r>
          <w:r>
            <w:rPr>
              <w:color w:val="000000" w:themeColor="text1"/>
            </w:rPr>
            <w:t>“</w:t>
          </w:r>
          <w:r>
            <w:rPr>
              <w:color w:val="000000" w:themeColor="text1"/>
            </w:rPr>
            <w:t>莫家清宁丸制药工艺</w:t>
          </w:r>
          <w:r>
            <w:rPr>
              <w:color w:val="000000" w:themeColor="text1"/>
            </w:rPr>
            <w:t>”</w:t>
          </w:r>
          <w:r>
            <w:rPr>
              <w:color w:val="000000" w:themeColor="text1"/>
            </w:rPr>
            <w:t>已入选</w:t>
          </w:r>
          <w:r>
            <w:rPr>
              <w:rFonts w:hint="eastAsia"/>
              <w:color w:val="000000" w:themeColor="text1"/>
            </w:rPr>
            <w:t>滨海新区非物质文化遗产代表性项目名录；“湖北津药·针剂专家”享誉南方市场，“襄生牌”注射剂无论在商业渠道、医疗机构以及行业内部，均有良好的口碑。</w:t>
          </w:r>
        </w:p>
        <w:p w14:paraId="165E4EA2" w14:textId="77777777" w:rsidR="002D0AE7" w:rsidRDefault="00333EBB">
          <w:pPr>
            <w:tabs>
              <w:tab w:val="left" w:pos="312"/>
            </w:tabs>
            <w:ind w:firstLineChars="200" w:firstLine="482"/>
            <w:rPr>
              <w:rFonts w:hint="eastAsia"/>
              <w:b/>
              <w:bCs/>
              <w:color w:val="000000" w:themeColor="text1"/>
            </w:rPr>
          </w:pPr>
          <w:r>
            <w:rPr>
              <w:rFonts w:hint="eastAsia"/>
              <w:b/>
              <w:bCs/>
              <w:color w:val="000000" w:themeColor="text1"/>
            </w:rPr>
            <w:t>6</w:t>
          </w:r>
          <w:r>
            <w:rPr>
              <w:b/>
              <w:bCs/>
              <w:color w:val="000000" w:themeColor="text1"/>
            </w:rPr>
            <w:t>.</w:t>
          </w:r>
          <w:r>
            <w:rPr>
              <w:rFonts w:hint="eastAsia"/>
              <w:b/>
              <w:bCs/>
              <w:color w:val="000000" w:themeColor="text1"/>
            </w:rPr>
            <w:t>原料药与制剂一体化优势</w:t>
          </w:r>
        </w:p>
        <w:p w14:paraId="3AFB563F" w14:textId="77777777" w:rsidR="002D0AE7" w:rsidRDefault="00333EBB">
          <w:pPr>
            <w:ind w:firstLineChars="200" w:firstLine="480"/>
            <w:rPr>
              <w:rFonts w:hint="eastAsia"/>
              <w:color w:val="000000" w:themeColor="text1"/>
            </w:rPr>
          </w:pPr>
          <w:r>
            <w:rPr>
              <w:rFonts w:hint="eastAsia"/>
              <w:color w:val="000000" w:themeColor="text1"/>
            </w:rPr>
            <w:t>公司已将原料药优势延伸到制剂产品，充分发挥原料制剂一体化优势，通过贯通上下游产业链，进一步巩固公司在甾体激素类、氨基酸类原料药及制剂的研发、生产与销售等全产业链的行业地位。</w:t>
          </w:r>
        </w:p>
      </w:sdtContent>
    </w:sdt>
    <w:p w14:paraId="57288DF8" w14:textId="77777777" w:rsidR="002D0AE7" w:rsidRDefault="00333EBB">
      <w:pPr>
        <w:pStyle w:val="2"/>
        <w:numPr>
          <w:ilvl w:val="0"/>
          <w:numId w:val="5"/>
        </w:numPr>
        <w:tabs>
          <w:tab w:val="left" w:pos="426"/>
        </w:tabs>
        <w:ind w:left="482" w:hanging="482"/>
        <w:jc w:val="left"/>
        <w:rPr>
          <w:rFonts w:ascii="宋体" w:hAnsi="宋体" w:cs="宋体" w:hint="eastAsia"/>
          <w:color w:val="000000" w:themeColor="text1"/>
          <w:kern w:val="0"/>
        </w:rPr>
      </w:pPr>
      <w:r>
        <w:rPr>
          <w:rFonts w:ascii="宋体" w:hAnsi="宋体" w:cs="宋体"/>
          <w:color w:val="000000" w:themeColor="text1"/>
          <w:kern w:val="0"/>
        </w:rPr>
        <w:t>经营情况的讨论与分析</w:t>
      </w:r>
    </w:p>
    <w:sdt>
      <w:sdtPr>
        <w:rPr>
          <w:rFonts w:hint="eastAsia"/>
          <w:color w:val="000000" w:themeColor="text1"/>
        </w:rPr>
        <w:alias w:val="管理层讨论与分析"/>
        <w:tag w:val="_GBC_886258ec69e240da99b57ac102afbda6"/>
        <w:id w:val="-686209839"/>
        <w:placeholder>
          <w:docPart w:val="GBC22222222222222222222222222222"/>
        </w:placeholder>
      </w:sdtPr>
      <w:sdtEndPr>
        <w:rPr>
          <w:rFonts w:hint="default"/>
          <w:color w:val="auto"/>
        </w:rPr>
      </w:sdtEndPr>
      <w:sdtContent>
        <w:p w14:paraId="49DB5030" w14:textId="77777777" w:rsidR="002D0AE7" w:rsidRDefault="00333EBB">
          <w:pPr>
            <w:ind w:firstLineChars="200" w:firstLine="480"/>
            <w:rPr>
              <w:rFonts w:hint="eastAsia"/>
              <w:color w:val="000000" w:themeColor="text1"/>
            </w:rPr>
          </w:pPr>
          <w:r>
            <w:rPr>
              <w:rFonts w:hint="eastAsia"/>
              <w:color w:val="000000" w:themeColor="text1"/>
            </w:rPr>
            <w:t>惟其磨砺，始得玉成。</w:t>
          </w:r>
          <w:r>
            <w:rPr>
              <w:color w:val="000000" w:themeColor="text1"/>
            </w:rPr>
            <w:t>2024</w:t>
          </w:r>
          <w:r>
            <w:rPr>
              <w:color w:val="000000" w:themeColor="text1"/>
            </w:rPr>
            <w:t>年上半年，</w:t>
          </w:r>
          <w:r>
            <w:rPr>
              <w:rFonts w:hint="eastAsia"/>
              <w:color w:val="000000" w:themeColor="text1"/>
            </w:rPr>
            <w:t>公司以“组织深度优化带动、稳销量、保收入、增利润、提升经营质量”为思路，围绕全年经营指标，夯实管理基础、升级营销模式、优化销售费用、加快研发创新、强化安全和质量、持续推进降本增效，在效率、合规等维度上凝心聚力炼内功，实现生产经营的平稳运行。</w:t>
          </w:r>
          <w:r>
            <w:rPr>
              <w:rFonts w:ascii="Times New Roman" w:hAnsi="Times New Roman" w:cs="Times New Roman"/>
              <w:color w:val="000000" w:themeColor="text1"/>
            </w:rPr>
            <w:t>2024</w:t>
          </w:r>
          <w:r>
            <w:rPr>
              <w:color w:val="000000" w:themeColor="text1"/>
            </w:rPr>
            <w:t>年上半年实现主营业务收入</w:t>
          </w:r>
          <w:r>
            <w:rPr>
              <w:rFonts w:ascii="Times New Roman" w:hAnsi="Times New Roman" w:cs="Times New Roman"/>
              <w:color w:val="000000" w:themeColor="text1"/>
            </w:rPr>
            <w:t>17.87</w:t>
          </w:r>
          <w:r>
            <w:rPr>
              <w:rFonts w:ascii="Times New Roman" w:hAnsi="Times New Roman" w:cs="Times New Roman"/>
              <w:color w:val="000000" w:themeColor="text1"/>
            </w:rPr>
            <w:t>亿元，收入按地区划分，其中华南地区</w:t>
          </w:r>
          <w:r>
            <w:rPr>
              <w:rFonts w:ascii="Times New Roman" w:hAnsi="Times New Roman" w:cs="Times New Roman"/>
              <w:color w:val="000000" w:themeColor="text1"/>
            </w:rPr>
            <w:t>5.18</w:t>
          </w:r>
          <w:r>
            <w:rPr>
              <w:rFonts w:ascii="Times New Roman" w:hAnsi="Times New Roman" w:cs="Times New Roman"/>
              <w:color w:val="000000" w:themeColor="text1"/>
            </w:rPr>
            <w:t>亿元，华北地区</w:t>
          </w:r>
          <w:r>
            <w:rPr>
              <w:rFonts w:ascii="Times New Roman" w:hAnsi="Times New Roman" w:cs="Times New Roman"/>
              <w:color w:val="000000" w:themeColor="text1"/>
            </w:rPr>
            <w:t>2.60</w:t>
          </w:r>
          <w:r>
            <w:rPr>
              <w:rFonts w:ascii="Times New Roman" w:hAnsi="Times New Roman" w:cs="Times New Roman"/>
              <w:color w:val="000000" w:themeColor="text1"/>
            </w:rPr>
            <w:t>亿元，华东地区</w:t>
          </w:r>
          <w:r>
            <w:rPr>
              <w:rFonts w:ascii="Times New Roman" w:hAnsi="Times New Roman" w:cs="Times New Roman"/>
              <w:color w:val="000000" w:themeColor="text1"/>
            </w:rPr>
            <w:t>4.51</w:t>
          </w:r>
          <w:r>
            <w:rPr>
              <w:rFonts w:ascii="Times New Roman" w:hAnsi="Times New Roman" w:cs="Times New Roman"/>
              <w:color w:val="000000" w:themeColor="text1"/>
            </w:rPr>
            <w:t>亿元，出口</w:t>
          </w:r>
          <w:r>
            <w:rPr>
              <w:rFonts w:ascii="Times New Roman" w:hAnsi="Times New Roman" w:cs="Times New Roman"/>
              <w:color w:val="000000" w:themeColor="text1"/>
            </w:rPr>
            <w:t>5.58</w:t>
          </w:r>
          <w:r>
            <w:rPr>
              <w:rFonts w:ascii="Times New Roman" w:hAnsi="Times New Roman" w:cs="Times New Roman"/>
              <w:color w:val="000000" w:themeColor="text1"/>
            </w:rPr>
            <w:t>亿元。</w:t>
          </w:r>
          <w:r>
            <w:rPr>
              <w:rFonts w:ascii="Times New Roman" w:hAnsi="Times New Roman" w:cs="Times New Roman" w:hint="eastAsia"/>
              <w:color w:val="000000" w:themeColor="text1"/>
            </w:rPr>
            <w:t>上半年净利润</w:t>
          </w:r>
          <w:r>
            <w:rPr>
              <w:rFonts w:ascii="Times New Roman" w:hAnsi="Times New Roman" w:cs="Times New Roman"/>
              <w:color w:val="000000" w:themeColor="text1"/>
            </w:rPr>
            <w:t>1.42</w:t>
          </w:r>
          <w:r>
            <w:rPr>
              <w:rFonts w:ascii="Times New Roman" w:hAnsi="Times New Roman" w:cs="Times New Roman"/>
              <w:color w:val="000000" w:themeColor="text1"/>
            </w:rPr>
            <w:t>亿元，同比增</w:t>
          </w:r>
          <w:r>
            <w:rPr>
              <w:rFonts w:ascii="Times New Roman" w:hAnsi="Times New Roman" w:cs="Times New Roman" w:hint="eastAsia"/>
              <w:color w:val="000000" w:themeColor="text1"/>
            </w:rPr>
            <w:t>加</w:t>
          </w:r>
          <w:r>
            <w:rPr>
              <w:rFonts w:ascii="Times New Roman" w:hAnsi="Times New Roman" w:cs="Times New Roman"/>
              <w:color w:val="000000" w:themeColor="text1"/>
            </w:rPr>
            <w:t>15.08%</w:t>
          </w:r>
          <w:r>
            <w:rPr>
              <w:rFonts w:ascii="Times New Roman" w:hAnsi="Times New Roman" w:cs="Times New Roman"/>
              <w:color w:val="000000" w:themeColor="text1"/>
            </w:rPr>
            <w:t>。公司通过提升毛利水平，优化费用结构，</w:t>
          </w:r>
          <w:r>
            <w:rPr>
              <w:color w:val="000000" w:themeColor="text1"/>
            </w:rPr>
            <w:t>驱动实现盈利能力提升。</w:t>
          </w:r>
          <w:r>
            <w:rPr>
              <w:rFonts w:hint="eastAsia"/>
            </w:rPr>
            <w:t>主营</w:t>
          </w:r>
          <w:r>
            <w:t>业务分产品列示如下</w:t>
          </w:r>
          <w:r>
            <w:rPr>
              <w:rFonts w:hint="eastAsia"/>
            </w:rPr>
            <w:t>：</w:t>
          </w:r>
        </w:p>
        <w:p w14:paraId="7DA02D42" w14:textId="77777777" w:rsidR="002D0AE7" w:rsidRDefault="00333EBB">
          <w:pPr>
            <w:ind w:firstLineChars="200" w:firstLine="480"/>
            <w:jc w:val="right"/>
            <w:rPr>
              <w:rFonts w:hint="eastAsia"/>
            </w:rPr>
          </w:pPr>
          <w:r>
            <w:rPr>
              <w:rFonts w:hint="eastAsia"/>
            </w:rPr>
            <w:t>单位：元</w:t>
          </w:r>
          <w:r>
            <w:t>币种：人民币</w:t>
          </w:r>
        </w:p>
        <w:tbl>
          <w:tblPr>
            <w:tblStyle w:val="19"/>
            <w:tblW w:w="5706" w:type="pct"/>
            <w:jc w:val="center"/>
            <w:tblLook w:val="04A0" w:firstRow="1" w:lastRow="0" w:firstColumn="1" w:lastColumn="0" w:noHBand="0" w:noVBand="1"/>
          </w:tblPr>
          <w:tblGrid>
            <w:gridCol w:w="1395"/>
            <w:gridCol w:w="1802"/>
            <w:gridCol w:w="1800"/>
            <w:gridCol w:w="926"/>
            <w:gridCol w:w="1144"/>
            <w:gridCol w:w="924"/>
            <w:gridCol w:w="2078"/>
          </w:tblGrid>
          <w:tr w:rsidR="002D0AE7" w14:paraId="68AFC3DD" w14:textId="77777777">
            <w:trPr>
              <w:trHeight w:val="1550"/>
              <w:jc w:val="center"/>
            </w:trPr>
            <w:tc>
              <w:tcPr>
                <w:tcW w:w="692" w:type="pct"/>
                <w:vAlign w:val="center"/>
              </w:tcPr>
              <w:p w14:paraId="04F5256E" w14:textId="77777777" w:rsidR="002D0AE7" w:rsidRDefault="00333EBB">
                <w:pPr>
                  <w:jc w:val="center"/>
                  <w:rPr>
                    <w:rFonts w:cs="Times New Roman" w:hint="eastAsia"/>
                    <w:kern w:val="2"/>
                    <w:sz w:val="21"/>
                    <w:szCs w:val="22"/>
                  </w:rPr>
                </w:pPr>
                <w:r>
                  <w:rPr>
                    <w:rFonts w:cs="Times New Roman"/>
                    <w:kern w:val="2"/>
                    <w:sz w:val="21"/>
                    <w:szCs w:val="22"/>
                  </w:rPr>
                  <w:t>分产品</w:t>
                </w:r>
              </w:p>
            </w:tc>
            <w:tc>
              <w:tcPr>
                <w:tcW w:w="895" w:type="pct"/>
                <w:vAlign w:val="center"/>
              </w:tcPr>
              <w:p w14:paraId="4BA9A887" w14:textId="77777777" w:rsidR="002D0AE7" w:rsidRDefault="00333EBB">
                <w:pPr>
                  <w:jc w:val="center"/>
                  <w:rPr>
                    <w:rFonts w:cs="Times New Roman" w:hint="eastAsia"/>
                    <w:kern w:val="2"/>
                    <w:sz w:val="21"/>
                    <w:szCs w:val="22"/>
                  </w:rPr>
                </w:pPr>
                <w:r>
                  <w:rPr>
                    <w:rFonts w:cs="Times New Roman"/>
                    <w:kern w:val="2"/>
                    <w:sz w:val="21"/>
                    <w:szCs w:val="22"/>
                  </w:rPr>
                  <w:t>主营</w:t>
                </w:r>
                <w:r>
                  <w:rPr>
                    <w:rFonts w:cs="Times New Roman" w:hint="eastAsia"/>
                    <w:kern w:val="2"/>
                    <w:sz w:val="21"/>
                    <w:szCs w:val="22"/>
                  </w:rPr>
                  <w:t>业务</w:t>
                </w:r>
                <w:r>
                  <w:rPr>
                    <w:rFonts w:cs="Times New Roman"/>
                    <w:kern w:val="2"/>
                    <w:sz w:val="21"/>
                    <w:szCs w:val="22"/>
                  </w:rPr>
                  <w:t>收入</w:t>
                </w:r>
              </w:p>
            </w:tc>
            <w:tc>
              <w:tcPr>
                <w:tcW w:w="894" w:type="pct"/>
                <w:vAlign w:val="center"/>
              </w:tcPr>
              <w:p w14:paraId="46B32C64" w14:textId="77777777" w:rsidR="002D0AE7" w:rsidRDefault="00333EBB">
                <w:pPr>
                  <w:jc w:val="center"/>
                  <w:rPr>
                    <w:rFonts w:cs="Times New Roman" w:hint="eastAsia"/>
                    <w:kern w:val="2"/>
                    <w:sz w:val="21"/>
                    <w:szCs w:val="22"/>
                  </w:rPr>
                </w:pPr>
                <w:r>
                  <w:rPr>
                    <w:rFonts w:cs="Times New Roman"/>
                    <w:kern w:val="2"/>
                    <w:sz w:val="21"/>
                    <w:szCs w:val="22"/>
                  </w:rPr>
                  <w:t>主营业务成本</w:t>
                </w:r>
              </w:p>
            </w:tc>
            <w:tc>
              <w:tcPr>
                <w:tcW w:w="460" w:type="pct"/>
                <w:vAlign w:val="center"/>
              </w:tcPr>
              <w:p w14:paraId="62BAE100" w14:textId="77777777" w:rsidR="002D0AE7" w:rsidRDefault="00333EBB">
                <w:pPr>
                  <w:jc w:val="center"/>
                  <w:rPr>
                    <w:rFonts w:cs="Times New Roman" w:hint="eastAsia"/>
                    <w:kern w:val="2"/>
                    <w:sz w:val="21"/>
                    <w:szCs w:val="22"/>
                  </w:rPr>
                </w:pPr>
                <w:r>
                  <w:rPr>
                    <w:rFonts w:cs="Times New Roman"/>
                    <w:kern w:val="2"/>
                    <w:sz w:val="21"/>
                    <w:szCs w:val="22"/>
                  </w:rPr>
                  <w:t>毛利率</w:t>
                </w:r>
              </w:p>
            </w:tc>
            <w:tc>
              <w:tcPr>
                <w:tcW w:w="568" w:type="pct"/>
                <w:vAlign w:val="center"/>
              </w:tcPr>
              <w:p w14:paraId="3656B3B0" w14:textId="77777777" w:rsidR="002D0AE7" w:rsidRDefault="00333EBB">
                <w:pPr>
                  <w:jc w:val="center"/>
                  <w:rPr>
                    <w:rFonts w:cs="Times New Roman" w:hint="eastAsia"/>
                    <w:kern w:val="2"/>
                    <w:sz w:val="21"/>
                    <w:szCs w:val="22"/>
                  </w:rPr>
                </w:pPr>
                <w:r>
                  <w:rPr>
                    <w:rFonts w:cs="Times New Roman" w:hint="eastAsia"/>
                    <w:kern w:val="2"/>
                    <w:sz w:val="21"/>
                    <w:szCs w:val="22"/>
                  </w:rPr>
                  <w:t>主营</w:t>
                </w:r>
                <w:r>
                  <w:rPr>
                    <w:rFonts w:cs="Times New Roman"/>
                    <w:kern w:val="2"/>
                    <w:sz w:val="21"/>
                    <w:szCs w:val="22"/>
                  </w:rPr>
                  <w:t>业务收入比上年增减（</w:t>
                </w:r>
                <w:r>
                  <w:rPr>
                    <w:rFonts w:cs="Times New Roman"/>
                    <w:kern w:val="2"/>
                    <w:sz w:val="21"/>
                    <w:szCs w:val="22"/>
                  </w:rPr>
                  <w:t>%</w:t>
                </w:r>
                <w:r>
                  <w:rPr>
                    <w:rFonts w:cs="Times New Roman"/>
                    <w:kern w:val="2"/>
                    <w:sz w:val="21"/>
                    <w:szCs w:val="22"/>
                  </w:rPr>
                  <w:t>）</w:t>
                </w:r>
              </w:p>
            </w:tc>
            <w:tc>
              <w:tcPr>
                <w:tcW w:w="459" w:type="pct"/>
                <w:vAlign w:val="center"/>
              </w:tcPr>
              <w:p w14:paraId="373835FD" w14:textId="77777777" w:rsidR="002D0AE7" w:rsidRDefault="00333EBB">
                <w:pPr>
                  <w:jc w:val="center"/>
                  <w:rPr>
                    <w:rFonts w:cs="Times New Roman" w:hint="eastAsia"/>
                    <w:kern w:val="2"/>
                    <w:sz w:val="21"/>
                    <w:szCs w:val="22"/>
                  </w:rPr>
                </w:pPr>
                <w:r>
                  <w:rPr>
                    <w:rFonts w:cs="Times New Roman" w:hint="eastAsia"/>
                    <w:kern w:val="2"/>
                    <w:sz w:val="21"/>
                    <w:szCs w:val="22"/>
                  </w:rPr>
                  <w:t>主营</w:t>
                </w:r>
                <w:r>
                  <w:rPr>
                    <w:rFonts w:cs="Times New Roman"/>
                    <w:kern w:val="2"/>
                    <w:sz w:val="21"/>
                    <w:szCs w:val="22"/>
                  </w:rPr>
                  <w:t>业务成本比上年增减（</w:t>
                </w:r>
                <w:r>
                  <w:rPr>
                    <w:rFonts w:cs="Times New Roman"/>
                    <w:kern w:val="2"/>
                    <w:sz w:val="21"/>
                    <w:szCs w:val="22"/>
                  </w:rPr>
                  <w:t>%</w:t>
                </w:r>
                <w:r>
                  <w:rPr>
                    <w:rFonts w:cs="Times New Roman"/>
                    <w:kern w:val="2"/>
                    <w:sz w:val="21"/>
                    <w:szCs w:val="22"/>
                  </w:rPr>
                  <w:t>）</w:t>
                </w:r>
              </w:p>
            </w:tc>
            <w:tc>
              <w:tcPr>
                <w:tcW w:w="1032" w:type="pct"/>
                <w:vAlign w:val="center"/>
              </w:tcPr>
              <w:p w14:paraId="027BF698" w14:textId="77777777" w:rsidR="002D0AE7" w:rsidRDefault="00333EBB">
                <w:pPr>
                  <w:jc w:val="center"/>
                  <w:rPr>
                    <w:rFonts w:cs="Times New Roman" w:hint="eastAsia"/>
                    <w:kern w:val="2"/>
                    <w:sz w:val="21"/>
                    <w:szCs w:val="22"/>
                  </w:rPr>
                </w:pPr>
                <w:r>
                  <w:rPr>
                    <w:rFonts w:cs="Times New Roman"/>
                    <w:kern w:val="2"/>
                    <w:sz w:val="21"/>
                    <w:szCs w:val="22"/>
                  </w:rPr>
                  <w:t>毛利率比上年增减（</w:t>
                </w:r>
                <w:r>
                  <w:rPr>
                    <w:rFonts w:cs="Times New Roman"/>
                    <w:kern w:val="2"/>
                    <w:sz w:val="21"/>
                    <w:szCs w:val="22"/>
                  </w:rPr>
                  <w:t>%</w:t>
                </w:r>
                <w:r>
                  <w:rPr>
                    <w:rFonts w:cs="Times New Roman"/>
                    <w:kern w:val="2"/>
                    <w:sz w:val="21"/>
                    <w:szCs w:val="22"/>
                  </w:rPr>
                  <w:t>）</w:t>
                </w:r>
              </w:p>
            </w:tc>
          </w:tr>
          <w:tr w:rsidR="002D0AE7" w14:paraId="2FCD984A" w14:textId="77777777">
            <w:trPr>
              <w:trHeight w:hRule="exact" w:val="454"/>
              <w:jc w:val="center"/>
            </w:trPr>
            <w:tc>
              <w:tcPr>
                <w:tcW w:w="692" w:type="pct"/>
                <w:vAlign w:val="center"/>
              </w:tcPr>
              <w:p w14:paraId="39F9DA4B" w14:textId="77777777" w:rsidR="002D0AE7" w:rsidRDefault="00333EBB">
                <w:pPr>
                  <w:jc w:val="center"/>
                  <w:rPr>
                    <w:rFonts w:cs="Times New Roman" w:hint="eastAsia"/>
                    <w:kern w:val="2"/>
                    <w:sz w:val="21"/>
                    <w:szCs w:val="22"/>
                  </w:rPr>
                </w:pPr>
                <w:r>
                  <w:rPr>
                    <w:rFonts w:cs="Times New Roman"/>
                    <w:kern w:val="2"/>
                    <w:sz w:val="21"/>
                    <w:szCs w:val="22"/>
                  </w:rPr>
                  <w:t>甾体激素类</w:t>
                </w:r>
              </w:p>
            </w:tc>
            <w:tc>
              <w:tcPr>
                <w:tcW w:w="895" w:type="pct"/>
                <w:vAlign w:val="center"/>
              </w:tcPr>
              <w:p w14:paraId="41383408" w14:textId="77777777" w:rsidR="002D0AE7" w:rsidRDefault="00333EBB">
                <w:pPr>
                  <w:jc w:val="center"/>
                  <w:rPr>
                    <w:rFonts w:ascii="Times New Roman" w:eastAsiaTheme="minorEastAsia" w:hAnsi="Times New Roman" w:cs="Times New Roman"/>
                    <w:kern w:val="2"/>
                    <w:sz w:val="21"/>
                    <w:szCs w:val="22"/>
                  </w:rPr>
                </w:pPr>
                <w:r>
                  <w:rPr>
                    <w:rFonts w:ascii="Times New Roman" w:hAnsi="Times New Roman" w:cs="Times New Roman"/>
                    <w:sz w:val="21"/>
                  </w:rPr>
                  <w:t>1,061,437,479.76</w:t>
                </w:r>
              </w:p>
            </w:tc>
            <w:tc>
              <w:tcPr>
                <w:tcW w:w="894" w:type="pct"/>
                <w:vAlign w:val="center"/>
              </w:tcPr>
              <w:p w14:paraId="2430E702" w14:textId="77777777" w:rsidR="002D0AE7" w:rsidRDefault="00333EBB">
                <w:pPr>
                  <w:jc w:val="center"/>
                  <w:rPr>
                    <w:rFonts w:ascii="Times New Roman" w:eastAsiaTheme="minorEastAsia" w:hAnsi="Times New Roman" w:cs="Times New Roman"/>
                    <w:kern w:val="2"/>
                    <w:sz w:val="21"/>
                    <w:szCs w:val="22"/>
                  </w:rPr>
                </w:pPr>
                <w:r>
                  <w:rPr>
                    <w:rFonts w:ascii="Times New Roman" w:hAnsi="Times New Roman" w:cs="Times New Roman"/>
                    <w:sz w:val="21"/>
                  </w:rPr>
                  <w:t>683,940,854.34</w:t>
                </w:r>
              </w:p>
            </w:tc>
            <w:tc>
              <w:tcPr>
                <w:tcW w:w="460" w:type="pct"/>
                <w:vAlign w:val="center"/>
              </w:tcPr>
              <w:p w14:paraId="031AF1E0" w14:textId="77777777" w:rsidR="002D0AE7" w:rsidRDefault="00333EBB">
                <w:pPr>
                  <w:jc w:val="center"/>
                  <w:rPr>
                    <w:rFonts w:ascii="Times New Roman" w:eastAsiaTheme="minorEastAsia" w:hAnsi="Times New Roman" w:cs="Times New Roman"/>
                    <w:kern w:val="2"/>
                    <w:sz w:val="21"/>
                    <w:szCs w:val="22"/>
                  </w:rPr>
                </w:pPr>
                <w:r>
                  <w:rPr>
                    <w:rFonts w:ascii="Times New Roman" w:hAnsi="Times New Roman" w:cs="Times New Roman"/>
                    <w:sz w:val="21"/>
                  </w:rPr>
                  <w:t>35.56</w:t>
                </w:r>
              </w:p>
            </w:tc>
            <w:tc>
              <w:tcPr>
                <w:tcW w:w="568" w:type="pct"/>
                <w:vAlign w:val="center"/>
              </w:tcPr>
              <w:p w14:paraId="3BBDD00E" w14:textId="77777777" w:rsidR="002D0AE7" w:rsidRDefault="00333EBB">
                <w:pPr>
                  <w:jc w:val="center"/>
                  <w:rPr>
                    <w:rFonts w:ascii="Times New Roman" w:eastAsiaTheme="minorEastAsia" w:hAnsi="Times New Roman" w:cs="Times New Roman"/>
                    <w:kern w:val="2"/>
                    <w:sz w:val="21"/>
                    <w:szCs w:val="22"/>
                  </w:rPr>
                </w:pPr>
                <w:r>
                  <w:rPr>
                    <w:rFonts w:ascii="Times New Roman" w:hAnsi="Times New Roman" w:cs="Times New Roman"/>
                    <w:sz w:val="21"/>
                  </w:rPr>
                  <w:t>-2.30</w:t>
                </w:r>
              </w:p>
            </w:tc>
            <w:tc>
              <w:tcPr>
                <w:tcW w:w="459" w:type="pct"/>
                <w:vAlign w:val="center"/>
              </w:tcPr>
              <w:p w14:paraId="7BE36CF8" w14:textId="77777777" w:rsidR="002D0AE7" w:rsidRDefault="00333EBB">
                <w:pPr>
                  <w:jc w:val="center"/>
                  <w:rPr>
                    <w:rFonts w:ascii="Times New Roman" w:eastAsiaTheme="minorEastAsia" w:hAnsi="Times New Roman" w:cs="Times New Roman"/>
                    <w:kern w:val="2"/>
                    <w:sz w:val="21"/>
                    <w:szCs w:val="22"/>
                  </w:rPr>
                </w:pPr>
                <w:r>
                  <w:rPr>
                    <w:rFonts w:ascii="Times New Roman" w:hAnsi="Times New Roman" w:cs="Times New Roman"/>
                    <w:sz w:val="21"/>
                  </w:rPr>
                  <w:t>-4.89</w:t>
                </w:r>
              </w:p>
            </w:tc>
            <w:tc>
              <w:tcPr>
                <w:tcW w:w="1032" w:type="pct"/>
                <w:vAlign w:val="center"/>
              </w:tcPr>
              <w:p w14:paraId="5ED86CAA" w14:textId="77777777" w:rsidR="002D0AE7" w:rsidRDefault="00333EBB">
                <w:pPr>
                  <w:jc w:val="center"/>
                  <w:rPr>
                    <w:rFonts w:ascii="Times New Roman" w:eastAsiaTheme="minorEastAsia" w:hAnsi="Times New Roman" w:cs="Times New Roman"/>
                    <w:kern w:val="2"/>
                    <w:sz w:val="21"/>
                    <w:szCs w:val="22"/>
                  </w:rPr>
                </w:pPr>
                <w:r>
                  <w:rPr>
                    <w:rFonts w:ascii="Times New Roman" w:hAnsi="Times New Roman" w:cs="Times New Roman" w:hint="eastAsia"/>
                    <w:sz w:val="21"/>
                  </w:rPr>
                  <w:t>增加</w:t>
                </w:r>
                <w:r>
                  <w:rPr>
                    <w:rFonts w:ascii="Times New Roman" w:hAnsi="Times New Roman" w:cs="Times New Roman"/>
                    <w:sz w:val="21"/>
                  </w:rPr>
                  <w:t>1.75</w:t>
                </w:r>
                <w:r>
                  <w:rPr>
                    <w:rFonts w:ascii="Times New Roman" w:hAnsi="Times New Roman" w:cs="Times New Roman" w:hint="eastAsia"/>
                    <w:sz w:val="21"/>
                  </w:rPr>
                  <w:t>个百分点</w:t>
                </w:r>
              </w:p>
            </w:tc>
          </w:tr>
          <w:tr w:rsidR="002D0AE7" w14:paraId="2370F8FF" w14:textId="77777777">
            <w:trPr>
              <w:trHeight w:hRule="exact" w:val="454"/>
              <w:jc w:val="center"/>
            </w:trPr>
            <w:tc>
              <w:tcPr>
                <w:tcW w:w="692" w:type="pct"/>
                <w:vAlign w:val="center"/>
              </w:tcPr>
              <w:p w14:paraId="7D582340" w14:textId="77777777" w:rsidR="002D0AE7" w:rsidRDefault="00333EBB">
                <w:pPr>
                  <w:jc w:val="center"/>
                  <w:rPr>
                    <w:rFonts w:cs="Times New Roman" w:hint="eastAsia"/>
                    <w:kern w:val="2"/>
                    <w:sz w:val="21"/>
                    <w:szCs w:val="22"/>
                  </w:rPr>
                </w:pPr>
                <w:r>
                  <w:rPr>
                    <w:rFonts w:cs="Times New Roman"/>
                    <w:kern w:val="2"/>
                    <w:sz w:val="21"/>
                    <w:szCs w:val="22"/>
                  </w:rPr>
                  <w:t>氨基酸类</w:t>
                </w:r>
              </w:p>
            </w:tc>
            <w:tc>
              <w:tcPr>
                <w:tcW w:w="895" w:type="pct"/>
                <w:vAlign w:val="center"/>
              </w:tcPr>
              <w:p w14:paraId="394D3C52" w14:textId="77777777" w:rsidR="002D0AE7" w:rsidRDefault="00333EBB">
                <w:pPr>
                  <w:jc w:val="center"/>
                  <w:rPr>
                    <w:rFonts w:ascii="Times New Roman" w:eastAsiaTheme="minorEastAsia" w:hAnsi="Times New Roman" w:cs="Times New Roman"/>
                    <w:kern w:val="2"/>
                    <w:sz w:val="21"/>
                    <w:szCs w:val="22"/>
                  </w:rPr>
                </w:pPr>
                <w:r>
                  <w:rPr>
                    <w:rFonts w:ascii="Times New Roman" w:hAnsi="Times New Roman" w:cs="Times New Roman"/>
                    <w:sz w:val="21"/>
                  </w:rPr>
                  <w:t>156,693,845.00</w:t>
                </w:r>
              </w:p>
            </w:tc>
            <w:tc>
              <w:tcPr>
                <w:tcW w:w="894" w:type="pct"/>
                <w:vAlign w:val="center"/>
              </w:tcPr>
              <w:p w14:paraId="630FE92F" w14:textId="77777777" w:rsidR="002D0AE7" w:rsidRDefault="00333EBB">
                <w:pPr>
                  <w:jc w:val="center"/>
                  <w:rPr>
                    <w:rFonts w:ascii="Times New Roman" w:eastAsiaTheme="minorEastAsia" w:hAnsi="Times New Roman" w:cs="Times New Roman"/>
                    <w:kern w:val="2"/>
                    <w:sz w:val="21"/>
                    <w:szCs w:val="22"/>
                  </w:rPr>
                </w:pPr>
                <w:r>
                  <w:rPr>
                    <w:rFonts w:ascii="Times New Roman" w:hAnsi="Times New Roman" w:cs="Times New Roman"/>
                    <w:sz w:val="21"/>
                  </w:rPr>
                  <w:t>86,976,722.96</w:t>
                </w:r>
              </w:p>
            </w:tc>
            <w:tc>
              <w:tcPr>
                <w:tcW w:w="460" w:type="pct"/>
                <w:vAlign w:val="center"/>
              </w:tcPr>
              <w:p w14:paraId="74719047" w14:textId="77777777" w:rsidR="002D0AE7" w:rsidRDefault="00333EBB">
                <w:pPr>
                  <w:jc w:val="center"/>
                  <w:rPr>
                    <w:rFonts w:ascii="Times New Roman" w:eastAsiaTheme="minorEastAsia" w:hAnsi="Times New Roman" w:cs="Times New Roman"/>
                    <w:kern w:val="2"/>
                    <w:sz w:val="21"/>
                    <w:szCs w:val="22"/>
                  </w:rPr>
                </w:pPr>
                <w:r>
                  <w:rPr>
                    <w:rFonts w:ascii="Times New Roman" w:hAnsi="Times New Roman" w:cs="Times New Roman"/>
                    <w:sz w:val="21"/>
                  </w:rPr>
                  <w:t>44.49</w:t>
                </w:r>
              </w:p>
            </w:tc>
            <w:tc>
              <w:tcPr>
                <w:tcW w:w="568" w:type="pct"/>
                <w:vAlign w:val="center"/>
              </w:tcPr>
              <w:p w14:paraId="43B8FCB0" w14:textId="77777777" w:rsidR="002D0AE7" w:rsidRDefault="00333EBB">
                <w:pPr>
                  <w:jc w:val="center"/>
                  <w:rPr>
                    <w:rFonts w:ascii="Times New Roman" w:eastAsiaTheme="minorEastAsia" w:hAnsi="Times New Roman" w:cs="Times New Roman"/>
                    <w:kern w:val="2"/>
                    <w:sz w:val="21"/>
                    <w:szCs w:val="22"/>
                  </w:rPr>
                </w:pPr>
                <w:r>
                  <w:rPr>
                    <w:rFonts w:ascii="Times New Roman" w:hAnsi="Times New Roman" w:cs="Times New Roman"/>
                    <w:sz w:val="21"/>
                  </w:rPr>
                  <w:t>-20.81</w:t>
                </w:r>
              </w:p>
            </w:tc>
            <w:tc>
              <w:tcPr>
                <w:tcW w:w="459" w:type="pct"/>
                <w:vAlign w:val="center"/>
              </w:tcPr>
              <w:p w14:paraId="2AC2C062" w14:textId="77777777" w:rsidR="002D0AE7" w:rsidRDefault="00333EBB">
                <w:pPr>
                  <w:jc w:val="center"/>
                  <w:rPr>
                    <w:rFonts w:ascii="Times New Roman" w:eastAsiaTheme="minorEastAsia" w:hAnsi="Times New Roman" w:cs="Times New Roman"/>
                    <w:kern w:val="2"/>
                    <w:sz w:val="21"/>
                    <w:szCs w:val="22"/>
                  </w:rPr>
                </w:pPr>
                <w:r>
                  <w:rPr>
                    <w:rFonts w:ascii="Times New Roman" w:hAnsi="Times New Roman" w:cs="Times New Roman"/>
                    <w:sz w:val="21"/>
                  </w:rPr>
                  <w:t>-2.77</w:t>
                </w:r>
              </w:p>
            </w:tc>
            <w:tc>
              <w:tcPr>
                <w:tcW w:w="1032" w:type="pct"/>
                <w:vAlign w:val="center"/>
              </w:tcPr>
              <w:p w14:paraId="0C5B3E48" w14:textId="77777777" w:rsidR="002D0AE7" w:rsidRDefault="00333EBB">
                <w:pPr>
                  <w:jc w:val="center"/>
                  <w:rPr>
                    <w:rFonts w:ascii="Times New Roman" w:eastAsiaTheme="minorEastAsia" w:hAnsi="Times New Roman" w:cs="Times New Roman"/>
                    <w:kern w:val="2"/>
                    <w:sz w:val="21"/>
                    <w:szCs w:val="22"/>
                  </w:rPr>
                </w:pPr>
                <w:r>
                  <w:rPr>
                    <w:rFonts w:ascii="Times New Roman" w:hAnsi="Times New Roman" w:cs="Times New Roman" w:hint="eastAsia"/>
                    <w:sz w:val="21"/>
                  </w:rPr>
                  <w:t>减少</w:t>
                </w:r>
                <w:r>
                  <w:rPr>
                    <w:rFonts w:ascii="Times New Roman" w:hAnsi="Times New Roman" w:cs="Times New Roman"/>
                    <w:sz w:val="21"/>
                  </w:rPr>
                  <w:t>10.30</w:t>
                </w:r>
                <w:r>
                  <w:rPr>
                    <w:rFonts w:ascii="Times New Roman" w:hAnsi="Times New Roman" w:cs="Times New Roman" w:hint="eastAsia"/>
                    <w:sz w:val="21"/>
                  </w:rPr>
                  <w:t>个百分点</w:t>
                </w:r>
              </w:p>
            </w:tc>
          </w:tr>
          <w:tr w:rsidR="002D0AE7" w14:paraId="70F94603" w14:textId="77777777">
            <w:trPr>
              <w:trHeight w:hRule="exact" w:val="454"/>
              <w:jc w:val="center"/>
            </w:trPr>
            <w:tc>
              <w:tcPr>
                <w:tcW w:w="692" w:type="pct"/>
                <w:vAlign w:val="center"/>
              </w:tcPr>
              <w:p w14:paraId="400D01E3" w14:textId="77777777" w:rsidR="002D0AE7" w:rsidRDefault="00333EBB">
                <w:pPr>
                  <w:jc w:val="center"/>
                  <w:rPr>
                    <w:rFonts w:cs="Times New Roman" w:hint="eastAsia"/>
                    <w:kern w:val="2"/>
                    <w:sz w:val="21"/>
                    <w:szCs w:val="22"/>
                  </w:rPr>
                </w:pPr>
                <w:r>
                  <w:rPr>
                    <w:rFonts w:cs="Times New Roman"/>
                    <w:kern w:val="2"/>
                    <w:sz w:val="21"/>
                    <w:szCs w:val="22"/>
                  </w:rPr>
                  <w:t>其他</w:t>
                </w:r>
              </w:p>
            </w:tc>
            <w:tc>
              <w:tcPr>
                <w:tcW w:w="895" w:type="pct"/>
                <w:vAlign w:val="center"/>
              </w:tcPr>
              <w:p w14:paraId="4E0E4498" w14:textId="77777777" w:rsidR="002D0AE7" w:rsidRDefault="00333EBB">
                <w:pPr>
                  <w:jc w:val="center"/>
                  <w:rPr>
                    <w:rFonts w:ascii="Times New Roman" w:eastAsiaTheme="minorEastAsia" w:hAnsi="Times New Roman" w:cs="Times New Roman"/>
                    <w:kern w:val="2"/>
                    <w:sz w:val="21"/>
                    <w:szCs w:val="22"/>
                  </w:rPr>
                </w:pPr>
                <w:r>
                  <w:rPr>
                    <w:rFonts w:ascii="Times New Roman" w:hAnsi="Times New Roman" w:cs="Times New Roman"/>
                    <w:sz w:val="21"/>
                  </w:rPr>
                  <w:t>569,074,671.24</w:t>
                </w:r>
              </w:p>
            </w:tc>
            <w:tc>
              <w:tcPr>
                <w:tcW w:w="894" w:type="pct"/>
                <w:vAlign w:val="center"/>
              </w:tcPr>
              <w:p w14:paraId="146A60F9" w14:textId="77777777" w:rsidR="002D0AE7" w:rsidRDefault="00333EBB">
                <w:pPr>
                  <w:jc w:val="center"/>
                  <w:rPr>
                    <w:rFonts w:ascii="Times New Roman" w:eastAsiaTheme="minorEastAsia" w:hAnsi="Times New Roman" w:cs="Times New Roman"/>
                    <w:kern w:val="2"/>
                    <w:sz w:val="21"/>
                    <w:szCs w:val="22"/>
                  </w:rPr>
                </w:pPr>
                <w:r>
                  <w:rPr>
                    <w:rFonts w:ascii="Times New Roman" w:hAnsi="Times New Roman" w:cs="Times New Roman"/>
                    <w:sz w:val="21"/>
                  </w:rPr>
                  <w:t>185,520,924.36</w:t>
                </w:r>
              </w:p>
            </w:tc>
            <w:tc>
              <w:tcPr>
                <w:tcW w:w="460" w:type="pct"/>
                <w:vAlign w:val="center"/>
              </w:tcPr>
              <w:p w14:paraId="5016FD8F" w14:textId="77777777" w:rsidR="002D0AE7" w:rsidRDefault="00333EBB">
                <w:pPr>
                  <w:jc w:val="center"/>
                  <w:rPr>
                    <w:rFonts w:ascii="Times New Roman" w:eastAsiaTheme="minorEastAsia" w:hAnsi="Times New Roman" w:cs="Times New Roman"/>
                    <w:kern w:val="2"/>
                    <w:sz w:val="21"/>
                    <w:szCs w:val="22"/>
                  </w:rPr>
                </w:pPr>
                <w:r>
                  <w:rPr>
                    <w:rFonts w:ascii="Times New Roman" w:hAnsi="Times New Roman" w:cs="Times New Roman"/>
                    <w:sz w:val="21"/>
                  </w:rPr>
                  <w:t>67.40</w:t>
                </w:r>
              </w:p>
            </w:tc>
            <w:tc>
              <w:tcPr>
                <w:tcW w:w="568" w:type="pct"/>
                <w:vAlign w:val="center"/>
              </w:tcPr>
              <w:p w14:paraId="1D0A2D45" w14:textId="77777777" w:rsidR="002D0AE7" w:rsidRDefault="00333EBB">
                <w:pPr>
                  <w:jc w:val="center"/>
                  <w:rPr>
                    <w:rFonts w:ascii="Times New Roman" w:eastAsiaTheme="minorEastAsia" w:hAnsi="Times New Roman" w:cs="Times New Roman"/>
                    <w:kern w:val="2"/>
                    <w:sz w:val="21"/>
                    <w:szCs w:val="22"/>
                  </w:rPr>
                </w:pPr>
                <w:r>
                  <w:rPr>
                    <w:rFonts w:ascii="Times New Roman" w:hAnsi="Times New Roman" w:cs="Times New Roman"/>
                    <w:sz w:val="21"/>
                  </w:rPr>
                  <w:t>-20.90</w:t>
                </w:r>
              </w:p>
            </w:tc>
            <w:tc>
              <w:tcPr>
                <w:tcW w:w="459" w:type="pct"/>
                <w:vAlign w:val="center"/>
              </w:tcPr>
              <w:p w14:paraId="2A776D22" w14:textId="77777777" w:rsidR="002D0AE7" w:rsidRDefault="00333EBB">
                <w:pPr>
                  <w:jc w:val="center"/>
                  <w:rPr>
                    <w:rFonts w:ascii="Times New Roman" w:eastAsiaTheme="minorEastAsia" w:hAnsi="Times New Roman" w:cs="Times New Roman"/>
                    <w:kern w:val="2"/>
                    <w:sz w:val="21"/>
                    <w:szCs w:val="22"/>
                  </w:rPr>
                </w:pPr>
                <w:r>
                  <w:rPr>
                    <w:rFonts w:ascii="Times New Roman" w:hAnsi="Times New Roman" w:cs="Times New Roman"/>
                    <w:sz w:val="21"/>
                  </w:rPr>
                  <w:t>9.32</w:t>
                </w:r>
              </w:p>
            </w:tc>
            <w:tc>
              <w:tcPr>
                <w:tcW w:w="1032" w:type="pct"/>
                <w:vAlign w:val="center"/>
              </w:tcPr>
              <w:p w14:paraId="42A28C9D" w14:textId="77777777" w:rsidR="002D0AE7" w:rsidRDefault="00333EBB">
                <w:pPr>
                  <w:jc w:val="center"/>
                  <w:rPr>
                    <w:rFonts w:ascii="Times New Roman" w:eastAsiaTheme="minorEastAsia" w:hAnsi="Times New Roman" w:cs="Times New Roman"/>
                    <w:kern w:val="2"/>
                    <w:sz w:val="21"/>
                    <w:szCs w:val="22"/>
                  </w:rPr>
                </w:pPr>
                <w:r>
                  <w:rPr>
                    <w:rFonts w:ascii="Times New Roman" w:hAnsi="Times New Roman" w:cs="Times New Roman" w:hint="eastAsia"/>
                    <w:sz w:val="21"/>
                  </w:rPr>
                  <w:t>减少</w:t>
                </w:r>
                <w:r>
                  <w:rPr>
                    <w:rFonts w:ascii="Times New Roman" w:hAnsi="Times New Roman" w:cs="Times New Roman"/>
                    <w:sz w:val="21"/>
                  </w:rPr>
                  <w:t>9.01</w:t>
                </w:r>
                <w:r>
                  <w:rPr>
                    <w:rFonts w:ascii="Times New Roman" w:hAnsi="Times New Roman" w:cs="Times New Roman" w:hint="eastAsia"/>
                    <w:sz w:val="21"/>
                  </w:rPr>
                  <w:t>个百分点</w:t>
                </w:r>
              </w:p>
            </w:tc>
          </w:tr>
          <w:tr w:rsidR="002D0AE7" w14:paraId="1461D9FC" w14:textId="77777777">
            <w:trPr>
              <w:trHeight w:hRule="exact" w:val="454"/>
              <w:jc w:val="center"/>
            </w:trPr>
            <w:tc>
              <w:tcPr>
                <w:tcW w:w="692" w:type="pct"/>
                <w:vAlign w:val="center"/>
              </w:tcPr>
              <w:p w14:paraId="25FFDF45" w14:textId="77777777" w:rsidR="002D0AE7" w:rsidRDefault="00333EBB">
                <w:pPr>
                  <w:jc w:val="center"/>
                  <w:rPr>
                    <w:rFonts w:cs="Times New Roman" w:hint="eastAsia"/>
                    <w:kern w:val="2"/>
                    <w:sz w:val="21"/>
                    <w:szCs w:val="22"/>
                  </w:rPr>
                </w:pPr>
                <w:r>
                  <w:rPr>
                    <w:rFonts w:cs="Times New Roman"/>
                    <w:kern w:val="2"/>
                    <w:sz w:val="21"/>
                    <w:szCs w:val="22"/>
                  </w:rPr>
                  <w:t>其中：制剂</w:t>
                </w:r>
              </w:p>
            </w:tc>
            <w:tc>
              <w:tcPr>
                <w:tcW w:w="895" w:type="pct"/>
                <w:vAlign w:val="center"/>
              </w:tcPr>
              <w:p w14:paraId="64252F68" w14:textId="77777777" w:rsidR="002D0AE7" w:rsidRDefault="00333EBB">
                <w:pPr>
                  <w:jc w:val="center"/>
                  <w:rPr>
                    <w:rFonts w:ascii="Times New Roman" w:eastAsiaTheme="minorEastAsia" w:hAnsi="Times New Roman" w:cs="Times New Roman"/>
                    <w:kern w:val="2"/>
                    <w:sz w:val="21"/>
                    <w:szCs w:val="22"/>
                  </w:rPr>
                </w:pPr>
                <w:r>
                  <w:rPr>
                    <w:rFonts w:ascii="Times New Roman" w:hAnsi="Times New Roman" w:cs="Times New Roman"/>
                    <w:sz w:val="21"/>
                  </w:rPr>
                  <w:t>568,166,066.10</w:t>
                </w:r>
              </w:p>
            </w:tc>
            <w:tc>
              <w:tcPr>
                <w:tcW w:w="894" w:type="pct"/>
                <w:vAlign w:val="center"/>
              </w:tcPr>
              <w:p w14:paraId="0198A4B7" w14:textId="77777777" w:rsidR="002D0AE7" w:rsidRDefault="00333EBB">
                <w:pPr>
                  <w:jc w:val="center"/>
                  <w:rPr>
                    <w:rFonts w:ascii="Times New Roman" w:eastAsiaTheme="minorEastAsia" w:hAnsi="Times New Roman" w:cs="Times New Roman"/>
                    <w:kern w:val="2"/>
                    <w:sz w:val="21"/>
                    <w:szCs w:val="22"/>
                  </w:rPr>
                </w:pPr>
                <w:r>
                  <w:rPr>
                    <w:rFonts w:ascii="Times New Roman" w:hAnsi="Times New Roman" w:cs="Times New Roman"/>
                    <w:sz w:val="21"/>
                  </w:rPr>
                  <w:t>185,224,714.96</w:t>
                </w:r>
              </w:p>
            </w:tc>
            <w:tc>
              <w:tcPr>
                <w:tcW w:w="460" w:type="pct"/>
                <w:vAlign w:val="center"/>
              </w:tcPr>
              <w:p w14:paraId="57F3C497" w14:textId="77777777" w:rsidR="002D0AE7" w:rsidRDefault="00333EBB">
                <w:pPr>
                  <w:jc w:val="center"/>
                  <w:rPr>
                    <w:rFonts w:ascii="Times New Roman" w:eastAsiaTheme="minorEastAsia" w:hAnsi="Times New Roman" w:cs="Times New Roman"/>
                    <w:kern w:val="2"/>
                    <w:sz w:val="21"/>
                    <w:szCs w:val="22"/>
                  </w:rPr>
                </w:pPr>
                <w:r>
                  <w:rPr>
                    <w:rFonts w:ascii="Times New Roman" w:hAnsi="Times New Roman" w:cs="Times New Roman"/>
                    <w:sz w:val="21"/>
                  </w:rPr>
                  <w:t>67.40</w:t>
                </w:r>
              </w:p>
            </w:tc>
            <w:tc>
              <w:tcPr>
                <w:tcW w:w="568" w:type="pct"/>
                <w:vAlign w:val="center"/>
              </w:tcPr>
              <w:p w14:paraId="3DC9B2F8" w14:textId="77777777" w:rsidR="002D0AE7" w:rsidRDefault="00333EBB">
                <w:pPr>
                  <w:jc w:val="center"/>
                  <w:rPr>
                    <w:rFonts w:ascii="Times New Roman" w:eastAsiaTheme="minorEastAsia" w:hAnsi="Times New Roman" w:cs="Times New Roman"/>
                    <w:kern w:val="2"/>
                    <w:sz w:val="21"/>
                    <w:szCs w:val="22"/>
                  </w:rPr>
                </w:pPr>
                <w:r>
                  <w:rPr>
                    <w:rFonts w:ascii="Times New Roman" w:hAnsi="Times New Roman" w:cs="Times New Roman"/>
                    <w:sz w:val="21"/>
                  </w:rPr>
                  <w:t>-20.83</w:t>
                </w:r>
              </w:p>
            </w:tc>
            <w:tc>
              <w:tcPr>
                <w:tcW w:w="459" w:type="pct"/>
                <w:vAlign w:val="center"/>
              </w:tcPr>
              <w:p w14:paraId="7DE3986D" w14:textId="77777777" w:rsidR="002D0AE7" w:rsidRDefault="00333EBB">
                <w:pPr>
                  <w:jc w:val="center"/>
                  <w:rPr>
                    <w:rFonts w:ascii="Times New Roman" w:eastAsiaTheme="minorEastAsia" w:hAnsi="Times New Roman" w:cs="Times New Roman"/>
                    <w:kern w:val="2"/>
                    <w:sz w:val="21"/>
                    <w:szCs w:val="22"/>
                  </w:rPr>
                </w:pPr>
                <w:r>
                  <w:rPr>
                    <w:rFonts w:ascii="Times New Roman" w:hAnsi="Times New Roman" w:cs="Times New Roman"/>
                    <w:sz w:val="21"/>
                  </w:rPr>
                  <w:t>10.25</w:t>
                </w:r>
              </w:p>
            </w:tc>
            <w:tc>
              <w:tcPr>
                <w:tcW w:w="1032" w:type="pct"/>
                <w:vAlign w:val="center"/>
              </w:tcPr>
              <w:p w14:paraId="1F5B809D" w14:textId="77777777" w:rsidR="002D0AE7" w:rsidRDefault="00333EBB">
                <w:pPr>
                  <w:jc w:val="center"/>
                  <w:rPr>
                    <w:rFonts w:ascii="Times New Roman" w:eastAsiaTheme="minorEastAsia" w:hAnsi="Times New Roman" w:cs="Times New Roman"/>
                    <w:kern w:val="2"/>
                    <w:sz w:val="21"/>
                    <w:szCs w:val="22"/>
                  </w:rPr>
                </w:pPr>
                <w:r>
                  <w:rPr>
                    <w:rFonts w:ascii="Times New Roman" w:hAnsi="Times New Roman" w:cs="Times New Roman" w:hint="eastAsia"/>
                    <w:sz w:val="21"/>
                  </w:rPr>
                  <w:t>减少</w:t>
                </w:r>
                <w:r>
                  <w:rPr>
                    <w:rFonts w:ascii="Times New Roman" w:hAnsi="Times New Roman" w:cs="Times New Roman"/>
                    <w:sz w:val="21"/>
                  </w:rPr>
                  <w:t>9.19</w:t>
                </w:r>
                <w:r>
                  <w:rPr>
                    <w:rFonts w:ascii="Times New Roman" w:hAnsi="Times New Roman" w:cs="Times New Roman" w:hint="eastAsia"/>
                    <w:sz w:val="21"/>
                  </w:rPr>
                  <w:t>个百分点</w:t>
                </w:r>
              </w:p>
            </w:tc>
          </w:tr>
          <w:tr w:rsidR="002D0AE7" w14:paraId="61D39BE6" w14:textId="77777777">
            <w:trPr>
              <w:trHeight w:hRule="exact" w:val="454"/>
              <w:jc w:val="center"/>
            </w:trPr>
            <w:tc>
              <w:tcPr>
                <w:tcW w:w="692" w:type="pct"/>
                <w:vAlign w:val="center"/>
              </w:tcPr>
              <w:p w14:paraId="08F44EF3" w14:textId="77777777" w:rsidR="002D0AE7" w:rsidRDefault="00333EBB">
                <w:pPr>
                  <w:jc w:val="center"/>
                  <w:rPr>
                    <w:rFonts w:cs="Times New Roman" w:hint="eastAsia"/>
                    <w:kern w:val="2"/>
                    <w:sz w:val="21"/>
                    <w:szCs w:val="22"/>
                  </w:rPr>
                </w:pPr>
                <w:r>
                  <w:rPr>
                    <w:rFonts w:cs="Times New Roman"/>
                    <w:kern w:val="2"/>
                    <w:sz w:val="21"/>
                    <w:szCs w:val="22"/>
                  </w:rPr>
                  <w:t>合计</w:t>
                </w:r>
              </w:p>
            </w:tc>
            <w:tc>
              <w:tcPr>
                <w:tcW w:w="895" w:type="pct"/>
                <w:vAlign w:val="center"/>
              </w:tcPr>
              <w:p w14:paraId="1F856ECF" w14:textId="77777777" w:rsidR="002D0AE7" w:rsidRDefault="00333EBB">
                <w:pPr>
                  <w:jc w:val="center"/>
                  <w:rPr>
                    <w:rFonts w:ascii="Times New Roman" w:eastAsiaTheme="minorEastAsia" w:hAnsi="Times New Roman" w:cs="Times New Roman"/>
                    <w:kern w:val="2"/>
                    <w:sz w:val="21"/>
                    <w:szCs w:val="22"/>
                  </w:rPr>
                </w:pPr>
                <w:r>
                  <w:rPr>
                    <w:rFonts w:ascii="Times New Roman" w:hAnsi="Times New Roman" w:cs="Times New Roman"/>
                    <w:sz w:val="21"/>
                  </w:rPr>
                  <w:t>1,787,205,996.00</w:t>
                </w:r>
              </w:p>
            </w:tc>
            <w:tc>
              <w:tcPr>
                <w:tcW w:w="894" w:type="pct"/>
                <w:vAlign w:val="center"/>
              </w:tcPr>
              <w:p w14:paraId="5CF8CD52" w14:textId="77777777" w:rsidR="002D0AE7" w:rsidRDefault="00333EBB">
                <w:pPr>
                  <w:jc w:val="center"/>
                  <w:rPr>
                    <w:rFonts w:ascii="Times New Roman" w:eastAsiaTheme="minorEastAsia" w:hAnsi="Times New Roman" w:cs="Times New Roman"/>
                    <w:kern w:val="2"/>
                    <w:sz w:val="21"/>
                    <w:szCs w:val="22"/>
                  </w:rPr>
                </w:pPr>
                <w:r>
                  <w:rPr>
                    <w:rFonts w:ascii="Times New Roman" w:hAnsi="Times New Roman" w:cs="Times New Roman"/>
                    <w:sz w:val="21"/>
                  </w:rPr>
                  <w:t>956,438,501.66</w:t>
                </w:r>
              </w:p>
            </w:tc>
            <w:tc>
              <w:tcPr>
                <w:tcW w:w="460" w:type="pct"/>
                <w:vAlign w:val="center"/>
              </w:tcPr>
              <w:p w14:paraId="4FE99FA0" w14:textId="77777777" w:rsidR="002D0AE7" w:rsidRDefault="00333EBB">
                <w:pPr>
                  <w:jc w:val="center"/>
                  <w:rPr>
                    <w:rFonts w:ascii="Times New Roman" w:eastAsiaTheme="minorEastAsia" w:hAnsi="Times New Roman" w:cs="Times New Roman"/>
                    <w:kern w:val="2"/>
                    <w:sz w:val="21"/>
                    <w:szCs w:val="22"/>
                  </w:rPr>
                </w:pPr>
                <w:r>
                  <w:rPr>
                    <w:rFonts w:ascii="Times New Roman" w:hAnsi="Times New Roman" w:cs="Times New Roman"/>
                    <w:sz w:val="21"/>
                  </w:rPr>
                  <w:t>46.48</w:t>
                </w:r>
              </w:p>
            </w:tc>
            <w:tc>
              <w:tcPr>
                <w:tcW w:w="568" w:type="pct"/>
                <w:vAlign w:val="center"/>
              </w:tcPr>
              <w:p w14:paraId="509D98FD" w14:textId="77777777" w:rsidR="002D0AE7" w:rsidRDefault="00333EBB">
                <w:pPr>
                  <w:jc w:val="center"/>
                  <w:rPr>
                    <w:rFonts w:ascii="Times New Roman" w:eastAsiaTheme="minorEastAsia" w:hAnsi="Times New Roman" w:cs="Times New Roman"/>
                    <w:kern w:val="2"/>
                    <w:sz w:val="21"/>
                    <w:szCs w:val="22"/>
                  </w:rPr>
                </w:pPr>
                <w:r>
                  <w:rPr>
                    <w:rFonts w:ascii="Times New Roman" w:hAnsi="Times New Roman" w:cs="Times New Roman"/>
                    <w:sz w:val="21"/>
                  </w:rPr>
                  <w:t>-10.81</w:t>
                </w:r>
              </w:p>
            </w:tc>
            <w:tc>
              <w:tcPr>
                <w:tcW w:w="459" w:type="pct"/>
                <w:vAlign w:val="center"/>
              </w:tcPr>
              <w:p w14:paraId="4902EFE9" w14:textId="77777777" w:rsidR="002D0AE7" w:rsidRDefault="00333EBB">
                <w:pPr>
                  <w:jc w:val="center"/>
                  <w:rPr>
                    <w:rFonts w:ascii="Times New Roman" w:eastAsiaTheme="minorEastAsia" w:hAnsi="Times New Roman" w:cs="Times New Roman"/>
                    <w:kern w:val="2"/>
                    <w:sz w:val="21"/>
                    <w:szCs w:val="22"/>
                  </w:rPr>
                </w:pPr>
                <w:r>
                  <w:rPr>
                    <w:rFonts w:ascii="Times New Roman" w:hAnsi="Times New Roman" w:cs="Times New Roman"/>
                    <w:sz w:val="21"/>
                  </w:rPr>
                  <w:t>-2.23</w:t>
                </w:r>
              </w:p>
            </w:tc>
            <w:tc>
              <w:tcPr>
                <w:tcW w:w="1032" w:type="pct"/>
                <w:vAlign w:val="center"/>
              </w:tcPr>
              <w:p w14:paraId="10BA9ADC" w14:textId="77777777" w:rsidR="002D0AE7" w:rsidRDefault="00333EBB">
                <w:pPr>
                  <w:jc w:val="center"/>
                  <w:rPr>
                    <w:rFonts w:ascii="Times New Roman" w:eastAsiaTheme="minorEastAsia" w:hAnsi="Times New Roman" w:cs="Times New Roman"/>
                    <w:kern w:val="2"/>
                    <w:sz w:val="21"/>
                    <w:szCs w:val="22"/>
                  </w:rPr>
                </w:pPr>
                <w:r>
                  <w:rPr>
                    <w:rFonts w:ascii="Times New Roman" w:hAnsi="Times New Roman" w:cs="Times New Roman" w:hint="eastAsia"/>
                    <w:sz w:val="21"/>
                  </w:rPr>
                  <w:t>减少</w:t>
                </w:r>
                <w:r>
                  <w:rPr>
                    <w:rFonts w:ascii="Times New Roman" w:hAnsi="Times New Roman" w:cs="Times New Roman"/>
                    <w:sz w:val="21"/>
                  </w:rPr>
                  <w:t>4.70</w:t>
                </w:r>
                <w:r>
                  <w:rPr>
                    <w:rFonts w:ascii="Times New Roman" w:hAnsi="Times New Roman" w:cs="Times New Roman" w:hint="eastAsia"/>
                    <w:sz w:val="21"/>
                  </w:rPr>
                  <w:t>个百分点</w:t>
                </w:r>
              </w:p>
            </w:tc>
          </w:tr>
        </w:tbl>
        <w:p w14:paraId="0E10A651" w14:textId="77777777" w:rsidR="002D0AE7" w:rsidRDefault="00333EBB">
          <w:pPr>
            <w:ind w:firstLineChars="200" w:firstLine="480"/>
            <w:rPr>
              <w:rFonts w:hint="eastAsia"/>
            </w:rPr>
          </w:pPr>
          <w:r>
            <w:t>2024</w:t>
          </w:r>
          <w:r>
            <w:t>年上半年公司主要开展的工作如下：</w:t>
          </w:r>
        </w:p>
        <w:p w14:paraId="2FC92A26" w14:textId="77777777" w:rsidR="002D0AE7" w:rsidRDefault="00333EBB">
          <w:pPr>
            <w:ind w:firstLineChars="200" w:firstLine="482"/>
            <w:rPr>
              <w:rFonts w:hint="eastAsia"/>
              <w:b/>
              <w:bCs/>
            </w:rPr>
          </w:pPr>
          <w:r>
            <w:rPr>
              <w:b/>
              <w:bCs/>
            </w:rPr>
            <w:t>1.</w:t>
          </w:r>
          <w:r>
            <w:rPr>
              <w:b/>
              <w:bCs/>
            </w:rPr>
            <w:t>多元举措，全面加强质量管理</w:t>
          </w:r>
        </w:p>
        <w:p w14:paraId="5362BA89" w14:textId="77777777" w:rsidR="002D0AE7" w:rsidRDefault="00333EBB">
          <w:pPr>
            <w:ind w:firstLineChars="200" w:firstLine="480"/>
            <w:rPr>
              <w:rFonts w:hint="eastAsia"/>
            </w:rPr>
          </w:pPr>
          <w:r>
            <w:rPr>
              <w:rFonts w:hint="eastAsia"/>
            </w:rPr>
            <w:t>公司始终把质量作为药品生产的首要目标，严把药品质量控制关，提升全生命周期质量管理能力。加强研发过程管控，减少项目落地风险。重新进行工艺梳理，加强已上市产品工艺质量管理。固化工艺并明确操作标准，确保工艺执行率。运用监测工具及时反馈调整，确保产品质量稳定，防微杜渐。</w:t>
          </w:r>
          <w:r>
            <w:t>2024</w:t>
          </w:r>
          <w:r>
            <w:t>上半年顺利通过国内监管部门检查</w:t>
          </w:r>
          <w:r>
            <w:t>10</w:t>
          </w:r>
          <w:r>
            <w:t>余次。同时积极参加天津市</w:t>
          </w:r>
          <w:r>
            <w:t>QC</w:t>
          </w:r>
          <w:r>
            <w:t>小组成果发表交流会，子公司津药和平《关于国外细菌内毒素工作标准品</w:t>
          </w:r>
          <w:r>
            <w:t>(CSE)</w:t>
          </w:r>
          <w:r>
            <w:t>效价标定的方法研究》获得天津市</w:t>
          </w:r>
          <w:r>
            <w:t>QC</w:t>
          </w:r>
          <w:r>
            <w:t>小组成果一等奖。</w:t>
          </w:r>
        </w:p>
        <w:p w14:paraId="0D9B0598" w14:textId="77777777" w:rsidR="002D0AE7" w:rsidRDefault="00333EBB">
          <w:pPr>
            <w:ind w:firstLineChars="200" w:firstLine="482"/>
            <w:rPr>
              <w:rFonts w:hint="eastAsia"/>
              <w:b/>
              <w:bCs/>
            </w:rPr>
          </w:pPr>
          <w:r>
            <w:rPr>
              <w:b/>
              <w:bCs/>
            </w:rPr>
            <w:t>2.</w:t>
          </w:r>
          <w:r>
            <w:rPr>
              <w:b/>
              <w:bCs/>
            </w:rPr>
            <w:t>变革挖潜，全面推动市场开拓</w:t>
          </w:r>
        </w:p>
        <w:p w14:paraId="0F325A4F" w14:textId="77777777" w:rsidR="002D0AE7" w:rsidRDefault="00333EBB">
          <w:pPr>
            <w:ind w:firstLineChars="200" w:firstLine="480"/>
            <w:rPr>
              <w:rFonts w:hint="eastAsia"/>
            </w:rPr>
          </w:pPr>
          <w:r>
            <w:rPr>
              <w:rFonts w:hint="eastAsia"/>
            </w:rPr>
            <w:t>面对复杂多变的医药市场环境，公司始终坚持战略引领，积极转变营销思路，紧抓行业发展契机，加快营销模式创新。</w:t>
          </w:r>
        </w:p>
        <w:p w14:paraId="19BF441F" w14:textId="77777777" w:rsidR="002D0AE7" w:rsidRDefault="00333EBB">
          <w:pPr>
            <w:ind w:firstLineChars="200" w:firstLine="480"/>
            <w:rPr>
              <w:rFonts w:hint="eastAsia"/>
            </w:rPr>
          </w:pPr>
          <w:r>
            <w:rPr>
              <w:rFonts w:hint="eastAsia"/>
            </w:rPr>
            <w:lastRenderedPageBreak/>
            <w:t>（</w:t>
          </w:r>
          <w:r>
            <w:t>1</w:t>
          </w:r>
          <w:r>
            <w:t>）外销方面：原料药市场，克服激素原料药产品价格持续下行及国际政治经济形势日益纷繁复杂等不利因素，坚决贯彻外销保销量、保市场占有率的部署；制剂市场把握国际市场机会，快速响应，抢市场创佳绩，以规范市场带动新兴市场业务发展，以国际注册带动销售增量。克服东南亚社会不稳定因素影响，加大人民币跨境结算力度。前期市场注册、开发等相关工作的投入开始产生收益，市场启动走单带来增长。</w:t>
          </w:r>
          <w:r>
            <w:rPr>
              <w:rFonts w:hint="eastAsia"/>
            </w:rPr>
            <w:t>上半年，原料药外销主营收入</w:t>
          </w:r>
          <w:r>
            <w:rPr>
              <w:rFonts w:hint="eastAsia"/>
            </w:rPr>
            <w:t>4.97</w:t>
          </w:r>
          <w:r>
            <w:rPr>
              <w:rFonts w:hint="eastAsia"/>
            </w:rPr>
            <w:t>亿元，同比增加</w:t>
          </w:r>
          <w:r>
            <w:rPr>
              <w:rFonts w:hint="eastAsia"/>
            </w:rPr>
            <w:t>4%</w:t>
          </w:r>
          <w:r>
            <w:rPr>
              <w:rFonts w:hint="eastAsia"/>
            </w:rPr>
            <w:t>；制剂外销主营收入</w:t>
          </w:r>
          <w:r>
            <w:t>0.61</w:t>
          </w:r>
          <w:r>
            <w:rPr>
              <w:rFonts w:hint="eastAsia"/>
            </w:rPr>
            <w:t>亿元，同比增加</w:t>
          </w:r>
          <w:r>
            <w:rPr>
              <w:rFonts w:hint="eastAsia"/>
            </w:rPr>
            <w:t>63%</w:t>
          </w:r>
          <w:r>
            <w:rPr>
              <w:rFonts w:hint="eastAsia"/>
            </w:rPr>
            <w:t>。</w:t>
          </w:r>
        </w:p>
        <w:p w14:paraId="59A50E4F" w14:textId="77777777" w:rsidR="002D0AE7" w:rsidRDefault="00333EBB">
          <w:pPr>
            <w:ind w:firstLineChars="200" w:firstLine="480"/>
            <w:rPr>
              <w:rFonts w:hint="eastAsia"/>
            </w:rPr>
          </w:pPr>
          <w:r>
            <w:rPr>
              <w:rFonts w:hint="eastAsia"/>
            </w:rPr>
            <w:t>（</w:t>
          </w:r>
          <w:r>
            <w:t>2</w:t>
          </w:r>
          <w:r>
            <w:t>）内销方面：原料药市场以全年销售指标作为第一要务，加强与客户沟通交流，维护和密切客情关系，争取订单，加强与行业头部企业合作，抢占优质客户资源、抢抓重点产品订单；制剂市场优化营销模式，提升费用效率，挖掘品种资源，预判政策走势，积极面对政策波动，采取相应措施，取得实效。</w:t>
          </w:r>
        </w:p>
        <w:p w14:paraId="2C22DD9E" w14:textId="77777777" w:rsidR="002D0AE7" w:rsidRDefault="00333EBB">
          <w:pPr>
            <w:ind w:firstLineChars="200" w:firstLine="482"/>
            <w:rPr>
              <w:rFonts w:hint="eastAsia"/>
              <w:b/>
              <w:bCs/>
            </w:rPr>
          </w:pPr>
          <w:r>
            <w:rPr>
              <w:b/>
              <w:bCs/>
            </w:rPr>
            <w:t>3.</w:t>
          </w:r>
          <w:r>
            <w:rPr>
              <w:b/>
              <w:bCs/>
            </w:rPr>
            <w:t>创新驱动，科研实力稳步增强</w:t>
          </w:r>
        </w:p>
        <w:p w14:paraId="509CC5F9" w14:textId="77777777" w:rsidR="002D0AE7" w:rsidRDefault="00333EBB">
          <w:pPr>
            <w:ind w:firstLineChars="200" w:firstLine="480"/>
            <w:rPr>
              <w:rFonts w:hint="eastAsia"/>
            </w:rPr>
          </w:pPr>
          <w:r>
            <w:rPr>
              <w:rFonts w:hint="eastAsia"/>
            </w:rPr>
            <w:t>公司大力推进</w:t>
          </w:r>
          <w:r>
            <w:t>产品研发，为拓市场、增订单提供有力支撑；紧盯市场发展动向</w:t>
          </w:r>
          <w:r>
            <w:t>,</w:t>
          </w:r>
          <w:r>
            <w:t>加强产品管线布局规划，优化公司产品结构；聚焦重点品种</w:t>
          </w:r>
          <w:r>
            <w:t>,</w:t>
          </w:r>
          <w:r>
            <w:t>继续加大科研投入力度，精准研发；加强科研体系建设，不断进行产品创新和技术革新，持续增强创新能力和发展动力，以产品研发助力市场开拓。公司</w:t>
          </w:r>
          <w:r>
            <w:t>“</w:t>
          </w:r>
          <w:r>
            <w:t>高端激素口服固体制剂技术研发及国际化平台建设</w:t>
          </w:r>
          <w:r>
            <w:t>”</w:t>
          </w:r>
          <w:r>
            <w:t>项目获得天津市科学技术进步三等奖。</w:t>
          </w:r>
        </w:p>
        <w:p w14:paraId="2963B78D" w14:textId="77777777" w:rsidR="002D0AE7" w:rsidRDefault="00333EBB">
          <w:pPr>
            <w:ind w:firstLineChars="200" w:firstLine="482"/>
            <w:rPr>
              <w:rFonts w:hint="eastAsia"/>
              <w:b/>
              <w:bCs/>
            </w:rPr>
          </w:pPr>
          <w:r>
            <w:rPr>
              <w:b/>
              <w:bCs/>
            </w:rPr>
            <w:t>4.</w:t>
          </w:r>
          <w:r>
            <w:rPr>
              <w:b/>
              <w:bCs/>
            </w:rPr>
            <w:t>多措并举，全面助推降本增效</w:t>
          </w:r>
        </w:p>
        <w:p w14:paraId="71856ABF" w14:textId="77777777" w:rsidR="002D0AE7" w:rsidRDefault="00333EBB">
          <w:pPr>
            <w:ind w:firstLineChars="200" w:firstLine="480"/>
            <w:rPr>
              <w:rFonts w:hint="eastAsia"/>
            </w:rPr>
          </w:pPr>
          <w:r>
            <w:rPr>
              <w:rFonts w:hint="eastAsia"/>
            </w:rPr>
            <w:t>公司以</w:t>
          </w:r>
          <w:r>
            <w:t>CMO</w:t>
          </w:r>
          <w:r>
            <w:t>收入、能源、人效、精益管理、维修、物耗为重点攻关方向，聚焦提升劳动生产率、降低能源消耗、提升工艺优化成品率、降低采购费用、降低制造费用等课题，多举措</w:t>
          </w:r>
          <w:r>
            <w:rPr>
              <w:rFonts w:hint="eastAsia"/>
            </w:rPr>
            <w:t>内部挖</w:t>
          </w:r>
          <w:r>
            <w:t>潜、增收节支，累计节约资金上千万元。同时加强供应链管理，完成厂区</w:t>
          </w:r>
          <w:r>
            <w:t>MRO</w:t>
          </w:r>
          <w:r>
            <w:t>品类电商联合招标工作并持续推进，初步建立了具备公司特色的间接采购招标模式。</w:t>
          </w:r>
        </w:p>
        <w:p w14:paraId="265D0904" w14:textId="77777777" w:rsidR="002D0AE7" w:rsidRDefault="00333EBB">
          <w:pPr>
            <w:ind w:firstLineChars="200" w:firstLine="482"/>
            <w:rPr>
              <w:rFonts w:hint="eastAsia"/>
              <w:b/>
              <w:bCs/>
            </w:rPr>
          </w:pPr>
          <w:r>
            <w:rPr>
              <w:b/>
              <w:bCs/>
            </w:rPr>
            <w:t>5.</w:t>
          </w:r>
          <w:r>
            <w:rPr>
              <w:b/>
              <w:bCs/>
            </w:rPr>
            <w:t>合规管理，全面推进依法经营</w:t>
          </w:r>
        </w:p>
        <w:p w14:paraId="5A2F9A05" w14:textId="77777777" w:rsidR="002D0AE7" w:rsidRDefault="00333EBB">
          <w:pPr>
            <w:ind w:firstLineChars="200" w:firstLine="480"/>
            <w:rPr>
              <w:rFonts w:hint="eastAsia"/>
            </w:rPr>
          </w:pPr>
          <w:r>
            <w:rPr>
              <w:rFonts w:hint="eastAsia"/>
            </w:rPr>
            <w:t>以合规为经营底线，打造财务、质量、安全环保等多维度的合规体系。针对合规管理工作进行全面部署，明确基调、摸清现况、主动调整、完善机制。上半年，从公司整体合规逻辑角度出发，以点带面，做好顶层设计和整体规划。同时，开展多次专题合规培训，推进合规理念深入人心。</w:t>
          </w:r>
        </w:p>
        <w:p w14:paraId="6F349B2A" w14:textId="77777777" w:rsidR="002D0AE7" w:rsidRDefault="00333EBB">
          <w:pPr>
            <w:ind w:firstLineChars="200" w:firstLine="482"/>
            <w:rPr>
              <w:rFonts w:hint="eastAsia"/>
              <w:b/>
              <w:bCs/>
            </w:rPr>
          </w:pPr>
          <w:r>
            <w:rPr>
              <w:b/>
              <w:bCs/>
            </w:rPr>
            <w:t>6.</w:t>
          </w:r>
          <w:r>
            <w:rPr>
              <w:b/>
              <w:bCs/>
            </w:rPr>
            <w:t>基础优化，全面推动公司经营</w:t>
          </w:r>
        </w:p>
        <w:p w14:paraId="503182EF" w14:textId="77777777" w:rsidR="002D0AE7" w:rsidRDefault="00333EBB">
          <w:pPr>
            <w:ind w:firstLineChars="200" w:firstLine="480"/>
            <w:rPr>
              <w:rFonts w:hint="eastAsia"/>
            </w:rPr>
          </w:pPr>
          <w:r>
            <w:rPr>
              <w:rFonts w:hint="eastAsia"/>
            </w:rPr>
            <w:t>（</w:t>
          </w:r>
          <w:r>
            <w:t>1</w:t>
          </w:r>
          <w:r>
            <w:t>）</w:t>
          </w:r>
          <w:r>
            <w:t>2024</w:t>
          </w:r>
          <w:r>
            <w:t>年上半年，公司深入开展组织架构调整，逐步优化研、产、销组织架构，进一步压缩管理层级，明确各业务板块职能定位，加强专业分工、优化资源配置，通过</w:t>
          </w:r>
          <w:r>
            <w:rPr>
              <w:rFonts w:hint="eastAsia"/>
            </w:rPr>
            <w:t>优化</w:t>
          </w:r>
          <w:r>
            <w:t>运营流程提升内部协同效率，进一步强化管理机制。</w:t>
          </w:r>
        </w:p>
        <w:p w14:paraId="1678DB3A" w14:textId="77777777" w:rsidR="002D0AE7" w:rsidRDefault="00333EBB">
          <w:pPr>
            <w:ind w:firstLineChars="200" w:firstLine="480"/>
            <w:rPr>
              <w:rFonts w:hint="eastAsia"/>
            </w:rPr>
          </w:pPr>
          <w:r>
            <w:rPr>
              <w:rFonts w:hint="eastAsia"/>
            </w:rPr>
            <w:t>（</w:t>
          </w:r>
          <w:r>
            <w:t>2</w:t>
          </w:r>
          <w:r>
            <w:t>）推进数字化转型，赋能业务发展。持续推动已上线信息化系统协同集成，助力公司实现流程自动化与精细化管理；实施上线</w:t>
          </w:r>
          <w:r>
            <w:t>CRM</w:t>
          </w:r>
          <w:r>
            <w:t>系统，实现对市场、服务、采运、质量、费用、数据采集等精细化管理，形成科学有效的数据分析模型，为公司销售决策提供有力数据支撑。同时，加固信息安全</w:t>
          </w:r>
          <w:r>
            <w:t>“</w:t>
          </w:r>
          <w:r>
            <w:t>防火墙</w:t>
          </w:r>
          <w:r>
            <w:t>”</w:t>
          </w:r>
          <w:r>
            <w:t>，全方位强化网络信息安全管理。</w:t>
          </w:r>
        </w:p>
        <w:p w14:paraId="357EEFBA" w14:textId="77777777" w:rsidR="002D0AE7" w:rsidRDefault="00333EBB">
          <w:pPr>
            <w:ind w:firstLineChars="200" w:firstLine="480"/>
            <w:rPr>
              <w:rFonts w:hint="eastAsia"/>
            </w:rPr>
          </w:pPr>
          <w:r>
            <w:rPr>
              <w:rFonts w:hint="eastAsia"/>
            </w:rPr>
            <w:t>（</w:t>
          </w:r>
          <w:r>
            <w:t>3</w:t>
          </w:r>
          <w:r>
            <w:t>）加强安环管理，坚守红线夯实根基。坚持</w:t>
          </w:r>
          <w:r>
            <w:t>“</w:t>
          </w:r>
          <w:r>
            <w:t>生命至上</w:t>
          </w:r>
          <w:r>
            <w:t xml:space="preserve"> </w:t>
          </w:r>
          <w:r>
            <w:t>安全发展</w:t>
          </w:r>
          <w:r>
            <w:t>”</w:t>
          </w:r>
          <w:r>
            <w:t>理念，上半年建立</w:t>
          </w:r>
          <w:r>
            <w:t>EHS</w:t>
          </w:r>
          <w:r>
            <w:t>合规评级工具并试运行，组织安全知识竞赛、消防技能比武等安全生产月系列活动，推动公司安全绩效持续提升。废气、废水排放口设置自动在线检测设备，监督排放情况确保符合排污许可要求，为生产保驾护航。</w:t>
          </w:r>
        </w:p>
        <w:p w14:paraId="61BF7A20" w14:textId="77777777" w:rsidR="002D0AE7" w:rsidRDefault="00333EBB">
          <w:pPr>
            <w:ind w:firstLineChars="200" w:firstLine="482"/>
            <w:rPr>
              <w:rFonts w:hint="eastAsia"/>
              <w:b/>
              <w:bCs/>
            </w:rPr>
          </w:pPr>
          <w:r>
            <w:rPr>
              <w:b/>
              <w:bCs/>
            </w:rPr>
            <w:t>2024</w:t>
          </w:r>
          <w:r>
            <w:rPr>
              <w:b/>
              <w:bCs/>
            </w:rPr>
            <w:t>年下半年，公司将继续聚焦变革发展，重点抓好以下工作：</w:t>
          </w:r>
        </w:p>
        <w:p w14:paraId="09BD0960" w14:textId="77777777" w:rsidR="002D0AE7" w:rsidRDefault="00333EBB">
          <w:pPr>
            <w:ind w:firstLineChars="200" w:firstLine="482"/>
            <w:rPr>
              <w:rFonts w:hint="eastAsia"/>
            </w:rPr>
          </w:pPr>
          <w:r>
            <w:rPr>
              <w:b/>
              <w:bCs/>
            </w:rPr>
            <w:lastRenderedPageBreak/>
            <w:t>1.</w:t>
          </w:r>
          <w:r>
            <w:rPr>
              <w:b/>
              <w:bCs/>
            </w:rPr>
            <w:t>完善质量管理体系，抓好制度落实。</w:t>
          </w:r>
          <w:r>
            <w:t>2024</w:t>
          </w:r>
          <w:r>
            <w:t>年是公司质量年，下半年将继续组织落实质量管理工作要求，在公司内部统一管理，逐步增加新模块管理，提升质量管理水平，消除质量风险与隐患。</w:t>
          </w:r>
        </w:p>
        <w:p w14:paraId="341D62FF" w14:textId="77777777" w:rsidR="002D0AE7" w:rsidRDefault="00333EBB">
          <w:pPr>
            <w:ind w:firstLineChars="200" w:firstLine="482"/>
            <w:rPr>
              <w:rFonts w:hint="eastAsia"/>
            </w:rPr>
          </w:pPr>
          <w:r>
            <w:rPr>
              <w:b/>
              <w:bCs/>
            </w:rPr>
            <w:t>2.</w:t>
          </w:r>
          <w:r>
            <w:rPr>
              <w:b/>
              <w:bCs/>
            </w:rPr>
            <w:t>坚持市场导向，全面提升营销能力。</w:t>
          </w:r>
          <w:r>
            <w:t>下半年继续深入营销模式转型，赋能营销体系一线，调整产品结构，整合用好产品、费用、渠道资源，加强代理商管理，争取现有市场机会，开拓新客户、新市场。</w:t>
          </w:r>
        </w:p>
        <w:p w14:paraId="666B902D" w14:textId="77777777" w:rsidR="002D0AE7" w:rsidRDefault="00333EBB">
          <w:pPr>
            <w:ind w:firstLineChars="200" w:firstLine="482"/>
            <w:rPr>
              <w:rFonts w:hint="eastAsia"/>
            </w:rPr>
          </w:pPr>
          <w:r>
            <w:rPr>
              <w:b/>
              <w:bCs/>
            </w:rPr>
            <w:t>3.</w:t>
          </w:r>
          <w:r>
            <w:rPr>
              <w:b/>
              <w:bCs/>
            </w:rPr>
            <w:t>加快研发创新，服务产业升级。</w:t>
          </w:r>
          <w:r>
            <w:t>坚持原料药与制剂一体化战略，完善研发管线布局，聚焦优势领域，确保科研进度，加快立项和研发，赋能组织能力提升，推动科研项目高效开展。</w:t>
          </w:r>
        </w:p>
        <w:p w14:paraId="4786E963" w14:textId="77777777" w:rsidR="002D0AE7" w:rsidRDefault="00333EBB">
          <w:pPr>
            <w:ind w:firstLineChars="200" w:firstLine="482"/>
            <w:rPr>
              <w:rFonts w:hint="eastAsia"/>
            </w:rPr>
          </w:pPr>
          <w:r>
            <w:rPr>
              <w:b/>
              <w:bCs/>
            </w:rPr>
            <w:t>4.</w:t>
          </w:r>
          <w:r>
            <w:rPr>
              <w:b/>
              <w:bCs/>
            </w:rPr>
            <w:t>加强管理优化，积极赋能一线。</w:t>
          </w:r>
          <w:r>
            <w:t>优化战略运营管理，不断完善合规体系化建设，强化生产体系精细化管理，加强安全环保管理，持续提升人才发展体系建设，搭建人才培养体系。</w:t>
          </w:r>
        </w:p>
      </w:sdtContent>
    </w:sdt>
    <w:p w14:paraId="1DB4490B" w14:textId="77777777" w:rsidR="002D0AE7" w:rsidRDefault="00333EBB">
      <w:pPr>
        <w:rPr>
          <w:rFonts w:hint="eastAsia"/>
          <w:b/>
          <w:bCs/>
          <w:color w:val="000000" w:themeColor="text1"/>
        </w:rPr>
      </w:pPr>
      <w:r>
        <w:rPr>
          <w:rFonts w:hint="eastAsia"/>
          <w:b/>
          <w:color w:val="000000" w:themeColor="text1"/>
        </w:rPr>
        <w:t>报告期内公司经营情况的重大变化，以及报告期内发生的对公司经营情况有重大影响和预计未来会有重大影响的事项</w:t>
      </w:r>
    </w:p>
    <w:sdt>
      <w:sdtPr>
        <w:rPr>
          <w:rFonts w:hint="eastAsia"/>
          <w:color w:val="000000" w:themeColor="text1"/>
        </w:rPr>
        <w:alias w:val="是否适用：报告期内公司经营情况的重大变化，以及报告期内发生的对公司经营情况有重大影响和预计未来会有重大影响的事项[双击切换]"/>
        <w:tag w:val="_GBC_0f91ff55b5a9406ea662149119d7e23c"/>
        <w:id w:val="1456216037"/>
        <w:placeholder>
          <w:docPart w:val="GBC22222222222222222222222222222"/>
        </w:placeholder>
      </w:sdtPr>
      <w:sdtEndPr/>
      <w:sdtContent>
        <w:p w14:paraId="2862E8D0"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758A47C7" w14:textId="77777777" w:rsidR="002D0AE7" w:rsidRDefault="00333EBB">
      <w:pPr>
        <w:pStyle w:val="2"/>
        <w:numPr>
          <w:ilvl w:val="0"/>
          <w:numId w:val="5"/>
        </w:numPr>
        <w:tabs>
          <w:tab w:val="left" w:pos="426"/>
        </w:tabs>
        <w:ind w:left="482" w:hanging="482"/>
        <w:jc w:val="left"/>
        <w:rPr>
          <w:rFonts w:ascii="宋体" w:hAnsi="宋体" w:cs="宋体" w:hint="eastAsia"/>
          <w:color w:val="000000" w:themeColor="text1"/>
          <w:kern w:val="0"/>
        </w:rPr>
      </w:pPr>
      <w:r>
        <w:rPr>
          <w:rFonts w:ascii="宋体" w:hAnsi="宋体" w:cs="宋体" w:hint="eastAsia"/>
          <w:color w:val="000000" w:themeColor="text1"/>
          <w:kern w:val="0"/>
        </w:rPr>
        <w:t>报告期内主要经营情况</w:t>
      </w:r>
    </w:p>
    <w:p w14:paraId="54F0A3CA" w14:textId="77777777" w:rsidR="002D0AE7" w:rsidRDefault="00333EBB">
      <w:pPr>
        <w:pStyle w:val="3"/>
        <w:numPr>
          <w:ilvl w:val="0"/>
          <w:numId w:val="6"/>
        </w:numPr>
        <w:rPr>
          <w:rFonts w:ascii="宋体" w:hAnsi="宋体" w:hint="eastAsia"/>
          <w:color w:val="000000" w:themeColor="text1"/>
        </w:rPr>
      </w:pPr>
      <w:bookmarkStart w:id="29" w:name="_Toc342565895"/>
      <w:bookmarkStart w:id="30" w:name="_Toc342559738"/>
      <w:r>
        <w:rPr>
          <w:rFonts w:ascii="宋体" w:hAnsi="宋体" w:hint="eastAsia"/>
          <w:color w:val="000000" w:themeColor="text1"/>
        </w:rPr>
        <w:t>主营业务分析</w:t>
      </w:r>
      <w:bookmarkEnd w:id="29"/>
      <w:bookmarkEnd w:id="30"/>
    </w:p>
    <w:p w14:paraId="2EC85806" w14:textId="77777777" w:rsidR="002D0AE7" w:rsidRDefault="00333EBB">
      <w:pPr>
        <w:pStyle w:val="4"/>
        <w:numPr>
          <w:ilvl w:val="0"/>
          <w:numId w:val="7"/>
        </w:numPr>
        <w:rPr>
          <w:rFonts w:ascii="宋体" w:hAnsi="宋体" w:hint="eastAsia"/>
          <w:color w:val="000000" w:themeColor="text1"/>
        </w:rPr>
      </w:pPr>
      <w:bookmarkStart w:id="31" w:name="_Toc342565896"/>
      <w:bookmarkStart w:id="32" w:name="_Toc342559739"/>
      <w:r>
        <w:rPr>
          <w:rFonts w:ascii="宋体" w:hAnsi="宋体" w:hint="eastAsia"/>
          <w:color w:val="000000" w:themeColor="text1"/>
        </w:rPr>
        <w:t>财务报表相关科目变动分析表</w:t>
      </w:r>
      <w:bookmarkEnd w:id="31"/>
      <w:bookmarkEnd w:id="32"/>
    </w:p>
    <w:p w14:paraId="56E59746" w14:textId="77777777" w:rsidR="002D0AE7" w:rsidRDefault="00333EBB">
      <w:pPr>
        <w:pStyle w:val="aff7"/>
        <w:ind w:left="360" w:firstLineChars="0" w:firstLine="0"/>
        <w:jc w:val="right"/>
        <w:rPr>
          <w:rFonts w:ascii="宋体" w:hAnsi="宋体" w:hint="eastAsia"/>
          <w:color w:val="000000" w:themeColor="text1"/>
        </w:rPr>
      </w:pPr>
      <w:bookmarkStart w:id="33" w:name="_Toc342559755"/>
      <w:bookmarkStart w:id="34" w:name="_Toc342565903"/>
      <w:r>
        <w:rPr>
          <w:rFonts w:ascii="宋体" w:hAnsi="宋体" w:hint="eastAsia"/>
          <w:color w:val="000000" w:themeColor="text1"/>
          <w:szCs w:val="21"/>
        </w:rPr>
        <w:t>单位</w:t>
      </w:r>
      <w:r>
        <w:rPr>
          <w:rFonts w:ascii="宋体" w:hAnsi="宋体"/>
          <w:color w:val="000000" w:themeColor="text1"/>
          <w:szCs w:val="21"/>
        </w:rPr>
        <w:t>：</w:t>
      </w:r>
      <w:sdt>
        <w:sdtPr>
          <w:rPr>
            <w:rFonts w:ascii="宋体" w:hAnsi="宋体"/>
            <w:color w:val="000000" w:themeColor="text1"/>
            <w:szCs w:val="21"/>
          </w:rPr>
          <w:alias w:val="单位：利润表及现金流量表相关科目变动分析表"/>
          <w:tag w:val="_GBC_ece1a77905b94e6db0c76206578fe2db"/>
          <w:id w:val="1735216"/>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color w:val="000000" w:themeColor="text1"/>
              <w:szCs w:val="21"/>
            </w:rPr>
            <w:t>元</w:t>
          </w:r>
        </w:sdtContent>
      </w:sdt>
      <w:r>
        <w:rPr>
          <w:rFonts w:ascii="宋体" w:hAnsi="宋体" w:hint="eastAsia"/>
          <w:color w:val="000000" w:themeColor="text1"/>
          <w:szCs w:val="21"/>
        </w:rPr>
        <w:t xml:space="preserve">  </w:t>
      </w:r>
      <w:r>
        <w:rPr>
          <w:rFonts w:ascii="宋体" w:hAnsi="宋体" w:hint="eastAsia"/>
          <w:color w:val="000000" w:themeColor="text1"/>
          <w:szCs w:val="21"/>
        </w:rPr>
        <w:t>币种</w:t>
      </w:r>
      <w:r>
        <w:rPr>
          <w:rFonts w:ascii="宋体" w:hAnsi="宋体"/>
          <w:color w:val="000000" w:themeColor="text1"/>
          <w:szCs w:val="21"/>
        </w:rPr>
        <w:t>：</w:t>
      </w:r>
      <w:sdt>
        <w:sdtPr>
          <w:rPr>
            <w:rFonts w:ascii="宋体" w:hAnsi="宋体"/>
            <w:color w:val="000000" w:themeColor="text1"/>
            <w:szCs w:val="21"/>
          </w:rPr>
          <w:alias w:val="币种：利润表及现金流量表相关科目变动分析表"/>
          <w:tag w:val="_GBC_6c86f79f9e2349b09f37ad908cd43f73"/>
          <w:id w:val="1743134"/>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color w:val="000000" w:themeColor="text1"/>
              <w:szCs w:val="21"/>
            </w:rPr>
            <w:t>人民币</w:t>
          </w:r>
        </w:sdtContent>
      </w:sdt>
    </w:p>
    <w:tbl>
      <w:tblPr>
        <w:tblStyle w:val="aff2"/>
        <w:tblW w:w="4994" w:type="pct"/>
        <w:tblLook w:val="04A0" w:firstRow="1" w:lastRow="0" w:firstColumn="1" w:lastColumn="0" w:noHBand="0" w:noVBand="1"/>
      </w:tblPr>
      <w:tblGrid>
        <w:gridCol w:w="3008"/>
        <w:gridCol w:w="2073"/>
        <w:gridCol w:w="1935"/>
        <w:gridCol w:w="1796"/>
      </w:tblGrid>
      <w:tr w:rsidR="002D0AE7" w14:paraId="4500C785" w14:textId="77777777">
        <w:bookmarkStart w:id="35" w:name="_Hlk10208057" w:displacedByCustomXml="next"/>
        <w:sdt>
          <w:sdtPr>
            <w:rPr>
              <w:rFonts w:ascii="宋体" w:hAnsi="宋体"/>
              <w:color w:val="000000" w:themeColor="text1"/>
              <w:sz w:val="21"/>
              <w:szCs w:val="21"/>
            </w:rPr>
            <w:tag w:val="_PLD_2e2e0d1bb8d44a278061305ea6808979"/>
            <w:id w:val="345675307"/>
          </w:sdtPr>
          <w:sdtEndPr/>
          <w:sdtContent>
            <w:tc>
              <w:tcPr>
                <w:tcW w:w="1707" w:type="pct"/>
              </w:tcPr>
              <w:p w14:paraId="40E94201" w14:textId="77777777" w:rsidR="002D0AE7" w:rsidRDefault="00333EBB">
                <w:pPr>
                  <w:pStyle w:val="aff7"/>
                  <w:ind w:firstLineChars="0" w:firstLine="0"/>
                  <w:rPr>
                    <w:rFonts w:ascii="宋体" w:hAnsi="宋体" w:hint="eastAsia"/>
                    <w:color w:val="000000" w:themeColor="text1"/>
                    <w:sz w:val="21"/>
                    <w:szCs w:val="21"/>
                  </w:rPr>
                </w:pPr>
                <w:r>
                  <w:rPr>
                    <w:rFonts w:ascii="宋体" w:hAnsi="宋体" w:hint="eastAsia"/>
                    <w:color w:val="000000" w:themeColor="text1"/>
                    <w:sz w:val="21"/>
                    <w:szCs w:val="21"/>
                  </w:rPr>
                  <w:t>科目</w:t>
                </w:r>
              </w:p>
            </w:tc>
          </w:sdtContent>
        </w:sdt>
        <w:sdt>
          <w:sdtPr>
            <w:rPr>
              <w:rFonts w:ascii="宋体" w:hAnsi="宋体"/>
              <w:color w:val="000000" w:themeColor="text1"/>
              <w:sz w:val="21"/>
              <w:szCs w:val="21"/>
            </w:rPr>
            <w:tag w:val="_PLD_37391874ab08430b841a55f53c4d20e6"/>
            <w:id w:val="1550496132"/>
          </w:sdtPr>
          <w:sdtEndPr/>
          <w:sdtContent>
            <w:tc>
              <w:tcPr>
                <w:tcW w:w="1176" w:type="pct"/>
                <w:vAlign w:val="center"/>
              </w:tcPr>
              <w:p w14:paraId="4F95F794" w14:textId="77777777" w:rsidR="002D0AE7" w:rsidRDefault="00333EBB">
                <w:pPr>
                  <w:pStyle w:val="aff7"/>
                  <w:ind w:firstLineChars="0" w:firstLine="0"/>
                  <w:jc w:val="center"/>
                  <w:rPr>
                    <w:rFonts w:ascii="宋体" w:hAnsi="宋体" w:hint="eastAsia"/>
                    <w:color w:val="000000" w:themeColor="text1"/>
                    <w:sz w:val="21"/>
                    <w:szCs w:val="21"/>
                  </w:rPr>
                </w:pPr>
                <w:r>
                  <w:rPr>
                    <w:rFonts w:ascii="宋体" w:hAnsi="宋体" w:hint="eastAsia"/>
                    <w:color w:val="000000" w:themeColor="text1"/>
                    <w:sz w:val="21"/>
                    <w:szCs w:val="21"/>
                  </w:rPr>
                  <w:t>本期数</w:t>
                </w:r>
              </w:p>
            </w:tc>
          </w:sdtContent>
        </w:sdt>
        <w:sdt>
          <w:sdtPr>
            <w:rPr>
              <w:rFonts w:ascii="宋体" w:hAnsi="宋体"/>
              <w:color w:val="000000" w:themeColor="text1"/>
              <w:sz w:val="21"/>
              <w:szCs w:val="21"/>
            </w:rPr>
            <w:tag w:val="_PLD_d061bf6d7e824e93a5540d2e36feb15d"/>
            <w:id w:val="-2041512294"/>
          </w:sdtPr>
          <w:sdtEndPr/>
          <w:sdtContent>
            <w:tc>
              <w:tcPr>
                <w:tcW w:w="1098" w:type="pct"/>
                <w:vAlign w:val="center"/>
              </w:tcPr>
              <w:p w14:paraId="4747D317" w14:textId="77777777" w:rsidR="002D0AE7" w:rsidRDefault="00333EBB">
                <w:pPr>
                  <w:pStyle w:val="aff7"/>
                  <w:ind w:firstLineChars="0" w:firstLine="0"/>
                  <w:jc w:val="center"/>
                  <w:rPr>
                    <w:rFonts w:ascii="宋体" w:hAnsi="宋体" w:hint="eastAsia"/>
                    <w:color w:val="000000" w:themeColor="text1"/>
                    <w:sz w:val="21"/>
                    <w:szCs w:val="21"/>
                  </w:rPr>
                </w:pPr>
                <w:r>
                  <w:rPr>
                    <w:rFonts w:ascii="宋体" w:hAnsi="宋体" w:hint="eastAsia"/>
                    <w:color w:val="000000" w:themeColor="text1"/>
                    <w:sz w:val="21"/>
                    <w:szCs w:val="21"/>
                  </w:rPr>
                  <w:t>上年同期数</w:t>
                </w:r>
              </w:p>
            </w:tc>
          </w:sdtContent>
        </w:sdt>
        <w:sdt>
          <w:sdtPr>
            <w:rPr>
              <w:rFonts w:ascii="宋体" w:hAnsi="宋体"/>
              <w:color w:val="000000" w:themeColor="text1"/>
              <w:sz w:val="21"/>
              <w:szCs w:val="21"/>
            </w:rPr>
            <w:tag w:val="_PLD_1792b71106c34c75af22292391c96e49"/>
            <w:id w:val="-1201016099"/>
          </w:sdtPr>
          <w:sdtEndPr/>
          <w:sdtContent>
            <w:tc>
              <w:tcPr>
                <w:tcW w:w="1019" w:type="pct"/>
                <w:vAlign w:val="center"/>
              </w:tcPr>
              <w:p w14:paraId="2979E988" w14:textId="77777777" w:rsidR="002D0AE7" w:rsidRDefault="00333EBB">
                <w:pPr>
                  <w:pStyle w:val="aff7"/>
                  <w:ind w:firstLineChars="0" w:firstLine="0"/>
                  <w:jc w:val="center"/>
                  <w:rPr>
                    <w:rFonts w:ascii="宋体" w:hAnsi="宋体" w:hint="eastAsia"/>
                    <w:color w:val="000000" w:themeColor="text1"/>
                    <w:sz w:val="21"/>
                    <w:szCs w:val="21"/>
                  </w:rPr>
                </w:pPr>
                <w:r>
                  <w:rPr>
                    <w:rFonts w:ascii="宋体" w:hAnsi="宋体" w:hint="eastAsia"/>
                    <w:color w:val="000000" w:themeColor="text1"/>
                    <w:sz w:val="21"/>
                    <w:szCs w:val="21"/>
                  </w:rPr>
                  <w:t>变动比例（</w:t>
                </w:r>
                <w:r>
                  <w:rPr>
                    <w:rFonts w:ascii="宋体" w:hAnsi="宋体" w:hint="eastAsia"/>
                    <w:color w:val="000000" w:themeColor="text1"/>
                    <w:sz w:val="21"/>
                    <w:szCs w:val="21"/>
                  </w:rPr>
                  <w:t>%</w:t>
                </w:r>
                <w:r>
                  <w:rPr>
                    <w:rFonts w:ascii="宋体" w:hAnsi="宋体" w:hint="eastAsia"/>
                    <w:color w:val="000000" w:themeColor="text1"/>
                    <w:sz w:val="21"/>
                    <w:szCs w:val="21"/>
                  </w:rPr>
                  <w:t>）</w:t>
                </w:r>
              </w:p>
            </w:tc>
          </w:sdtContent>
        </w:sdt>
      </w:tr>
      <w:tr w:rsidR="002D0AE7" w14:paraId="79D99433" w14:textId="77777777">
        <w:sdt>
          <w:sdtPr>
            <w:rPr>
              <w:rFonts w:ascii="宋体" w:hAnsi="宋体"/>
              <w:color w:val="000000" w:themeColor="text1"/>
              <w:sz w:val="21"/>
              <w:szCs w:val="21"/>
            </w:rPr>
            <w:tag w:val="_PLD_c7aabd73356d4df6ad6c67395e690823"/>
            <w:id w:val="2133750770"/>
          </w:sdtPr>
          <w:sdtEndPr/>
          <w:sdtContent>
            <w:tc>
              <w:tcPr>
                <w:tcW w:w="1707" w:type="pct"/>
              </w:tcPr>
              <w:p w14:paraId="49F30D3C" w14:textId="77777777" w:rsidR="002D0AE7" w:rsidRDefault="00333EBB">
                <w:pPr>
                  <w:pStyle w:val="aff7"/>
                  <w:ind w:firstLineChars="0" w:firstLine="0"/>
                  <w:rPr>
                    <w:rFonts w:ascii="宋体" w:hAnsi="宋体" w:hint="eastAsia"/>
                    <w:color w:val="000000" w:themeColor="text1"/>
                    <w:sz w:val="21"/>
                    <w:szCs w:val="21"/>
                  </w:rPr>
                </w:pPr>
                <w:r>
                  <w:rPr>
                    <w:rFonts w:ascii="宋体" w:hAnsi="宋体" w:hint="eastAsia"/>
                    <w:color w:val="000000" w:themeColor="text1"/>
                    <w:sz w:val="21"/>
                    <w:szCs w:val="21"/>
                  </w:rPr>
                  <w:t>营业收入</w:t>
                </w:r>
              </w:p>
            </w:tc>
          </w:sdtContent>
        </w:sdt>
        <w:tc>
          <w:tcPr>
            <w:tcW w:w="1176" w:type="pct"/>
            <w:vAlign w:val="center"/>
          </w:tcPr>
          <w:p w14:paraId="0C4FA16C"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1,800,984,341.21</w:t>
            </w:r>
          </w:p>
        </w:tc>
        <w:tc>
          <w:tcPr>
            <w:tcW w:w="1098" w:type="pct"/>
            <w:vAlign w:val="center"/>
          </w:tcPr>
          <w:p w14:paraId="65F071EA"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2,023,258,856.62</w:t>
            </w:r>
          </w:p>
        </w:tc>
        <w:tc>
          <w:tcPr>
            <w:tcW w:w="1019" w:type="pct"/>
            <w:vAlign w:val="center"/>
          </w:tcPr>
          <w:p w14:paraId="544F1B5D"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-10.99</w:t>
            </w:r>
          </w:p>
        </w:tc>
      </w:tr>
      <w:tr w:rsidR="002D0AE7" w14:paraId="285EA5DB" w14:textId="77777777">
        <w:sdt>
          <w:sdtPr>
            <w:rPr>
              <w:rFonts w:ascii="宋体" w:hAnsi="宋体"/>
              <w:color w:val="000000" w:themeColor="text1"/>
              <w:sz w:val="21"/>
              <w:szCs w:val="21"/>
            </w:rPr>
            <w:tag w:val="_PLD_143930b444784190b0545eacad3472d8"/>
            <w:id w:val="1706746549"/>
          </w:sdtPr>
          <w:sdtEndPr/>
          <w:sdtContent>
            <w:tc>
              <w:tcPr>
                <w:tcW w:w="1707" w:type="pct"/>
              </w:tcPr>
              <w:p w14:paraId="2B176B6E" w14:textId="77777777" w:rsidR="002D0AE7" w:rsidRDefault="00333EBB">
                <w:pPr>
                  <w:pStyle w:val="aff7"/>
                  <w:ind w:firstLineChars="0" w:firstLine="0"/>
                  <w:rPr>
                    <w:rFonts w:ascii="宋体" w:hAnsi="宋体" w:hint="eastAsia"/>
                    <w:color w:val="000000" w:themeColor="text1"/>
                    <w:sz w:val="21"/>
                    <w:szCs w:val="21"/>
                  </w:rPr>
                </w:pPr>
                <w:r>
                  <w:rPr>
                    <w:rFonts w:ascii="宋体" w:hAnsi="宋体"/>
                    <w:color w:val="000000" w:themeColor="text1"/>
                    <w:sz w:val="21"/>
                    <w:szCs w:val="21"/>
                  </w:rPr>
                  <w:t>营业成本</w:t>
                </w:r>
              </w:p>
            </w:tc>
          </w:sdtContent>
        </w:sdt>
        <w:tc>
          <w:tcPr>
            <w:tcW w:w="1176" w:type="pct"/>
            <w:vAlign w:val="center"/>
          </w:tcPr>
          <w:p w14:paraId="3C811B06"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968,875,212.21</w:t>
            </w:r>
          </w:p>
        </w:tc>
        <w:tc>
          <w:tcPr>
            <w:tcW w:w="1098" w:type="pct"/>
            <w:vAlign w:val="center"/>
          </w:tcPr>
          <w:p w14:paraId="3FF69AA2"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995,598,853.89</w:t>
            </w:r>
          </w:p>
        </w:tc>
        <w:tc>
          <w:tcPr>
            <w:tcW w:w="1019" w:type="pct"/>
            <w:vAlign w:val="center"/>
          </w:tcPr>
          <w:p w14:paraId="72971071"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-2.68</w:t>
            </w:r>
          </w:p>
        </w:tc>
      </w:tr>
      <w:tr w:rsidR="002D0AE7" w14:paraId="714A26E5" w14:textId="77777777">
        <w:sdt>
          <w:sdtPr>
            <w:rPr>
              <w:rFonts w:ascii="宋体" w:hAnsi="宋体"/>
              <w:color w:val="000000" w:themeColor="text1"/>
              <w:sz w:val="21"/>
              <w:szCs w:val="21"/>
            </w:rPr>
            <w:tag w:val="_PLD_3140de3631dd486996919c00b7b71b20"/>
            <w:id w:val="-1575045836"/>
          </w:sdtPr>
          <w:sdtEndPr/>
          <w:sdtContent>
            <w:tc>
              <w:tcPr>
                <w:tcW w:w="1707" w:type="pct"/>
              </w:tcPr>
              <w:p w14:paraId="520D7E20" w14:textId="77777777" w:rsidR="002D0AE7" w:rsidRDefault="00333EBB">
                <w:pPr>
                  <w:pStyle w:val="aff7"/>
                  <w:ind w:firstLineChars="0" w:firstLine="0"/>
                  <w:rPr>
                    <w:rFonts w:ascii="宋体" w:hAnsi="宋体" w:hint="eastAsia"/>
                    <w:color w:val="000000" w:themeColor="text1"/>
                    <w:sz w:val="21"/>
                    <w:szCs w:val="21"/>
                  </w:rPr>
                </w:pPr>
                <w:r>
                  <w:rPr>
                    <w:rFonts w:ascii="宋体" w:hAnsi="宋体"/>
                    <w:color w:val="000000" w:themeColor="text1"/>
                    <w:sz w:val="21"/>
                    <w:szCs w:val="21"/>
                  </w:rPr>
                  <w:t>销售费用</w:t>
                </w:r>
              </w:p>
            </w:tc>
          </w:sdtContent>
        </w:sdt>
        <w:tc>
          <w:tcPr>
            <w:tcW w:w="1176" w:type="pct"/>
            <w:vAlign w:val="center"/>
          </w:tcPr>
          <w:p w14:paraId="6AAC7AF9"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339,485,156.31</w:t>
            </w:r>
          </w:p>
        </w:tc>
        <w:tc>
          <w:tcPr>
            <w:tcW w:w="1098" w:type="pct"/>
            <w:vAlign w:val="center"/>
          </w:tcPr>
          <w:p w14:paraId="75F68B21"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583,107,396.73</w:t>
            </w:r>
          </w:p>
        </w:tc>
        <w:tc>
          <w:tcPr>
            <w:tcW w:w="1019" w:type="pct"/>
            <w:vAlign w:val="center"/>
          </w:tcPr>
          <w:p w14:paraId="0E4467AE"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-41.78</w:t>
            </w:r>
          </w:p>
        </w:tc>
      </w:tr>
      <w:tr w:rsidR="002D0AE7" w14:paraId="7E3C32D1" w14:textId="77777777">
        <w:sdt>
          <w:sdtPr>
            <w:rPr>
              <w:rFonts w:ascii="宋体" w:hAnsi="宋体"/>
              <w:color w:val="000000" w:themeColor="text1"/>
              <w:sz w:val="21"/>
              <w:szCs w:val="21"/>
            </w:rPr>
            <w:tag w:val="_PLD_6448b6c19be4461084a37286c6a46673"/>
            <w:id w:val="-477146145"/>
          </w:sdtPr>
          <w:sdtEndPr/>
          <w:sdtContent>
            <w:tc>
              <w:tcPr>
                <w:tcW w:w="1707" w:type="pct"/>
              </w:tcPr>
              <w:p w14:paraId="44C3113B" w14:textId="77777777" w:rsidR="002D0AE7" w:rsidRDefault="00333EBB">
                <w:pPr>
                  <w:pStyle w:val="aff7"/>
                  <w:ind w:firstLineChars="0" w:firstLine="0"/>
                  <w:rPr>
                    <w:rFonts w:ascii="宋体" w:hAnsi="宋体" w:hint="eastAsia"/>
                    <w:color w:val="000000" w:themeColor="text1"/>
                    <w:sz w:val="21"/>
                    <w:szCs w:val="21"/>
                  </w:rPr>
                </w:pPr>
                <w:r>
                  <w:rPr>
                    <w:rFonts w:ascii="宋体" w:hAnsi="宋体"/>
                    <w:color w:val="000000" w:themeColor="text1"/>
                    <w:sz w:val="21"/>
                    <w:szCs w:val="21"/>
                  </w:rPr>
                  <w:t>管理费用</w:t>
                </w:r>
              </w:p>
            </w:tc>
          </w:sdtContent>
        </w:sdt>
        <w:tc>
          <w:tcPr>
            <w:tcW w:w="1176" w:type="pct"/>
            <w:vAlign w:val="center"/>
          </w:tcPr>
          <w:p w14:paraId="0A78EFF6"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152,859,030.38</w:t>
            </w:r>
          </w:p>
        </w:tc>
        <w:tc>
          <w:tcPr>
            <w:tcW w:w="1098" w:type="pct"/>
            <w:vAlign w:val="center"/>
          </w:tcPr>
          <w:p w14:paraId="5C9A5694"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125,000,445.68</w:t>
            </w:r>
          </w:p>
        </w:tc>
        <w:tc>
          <w:tcPr>
            <w:tcW w:w="1019" w:type="pct"/>
            <w:vAlign w:val="center"/>
          </w:tcPr>
          <w:p w14:paraId="27F85E08"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22.29</w:t>
            </w:r>
          </w:p>
        </w:tc>
      </w:tr>
      <w:tr w:rsidR="002D0AE7" w14:paraId="38DFC6F0" w14:textId="77777777">
        <w:sdt>
          <w:sdtPr>
            <w:rPr>
              <w:rFonts w:ascii="宋体" w:hAnsi="宋体"/>
              <w:color w:val="000000" w:themeColor="text1"/>
              <w:sz w:val="21"/>
              <w:szCs w:val="21"/>
            </w:rPr>
            <w:tag w:val="_PLD_d989f363470245b8a8044d51af95f876"/>
            <w:id w:val="-653519300"/>
          </w:sdtPr>
          <w:sdtEndPr/>
          <w:sdtContent>
            <w:tc>
              <w:tcPr>
                <w:tcW w:w="1707" w:type="pct"/>
              </w:tcPr>
              <w:p w14:paraId="66767AED" w14:textId="77777777" w:rsidR="002D0AE7" w:rsidRDefault="00333EBB">
                <w:pPr>
                  <w:pStyle w:val="aff7"/>
                  <w:ind w:firstLineChars="0" w:firstLine="0"/>
                  <w:rPr>
                    <w:rFonts w:ascii="宋体" w:hAnsi="宋体" w:hint="eastAsia"/>
                    <w:color w:val="000000" w:themeColor="text1"/>
                    <w:sz w:val="21"/>
                    <w:szCs w:val="21"/>
                  </w:rPr>
                </w:pPr>
                <w:r>
                  <w:rPr>
                    <w:rFonts w:ascii="宋体" w:hAnsi="宋体"/>
                    <w:color w:val="000000" w:themeColor="text1"/>
                    <w:sz w:val="21"/>
                    <w:szCs w:val="21"/>
                  </w:rPr>
                  <w:t>财务费用</w:t>
                </w:r>
              </w:p>
            </w:tc>
          </w:sdtContent>
        </w:sdt>
        <w:tc>
          <w:tcPr>
            <w:tcW w:w="1176" w:type="pct"/>
            <w:vAlign w:val="center"/>
          </w:tcPr>
          <w:p w14:paraId="6A56D1CD"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3,202,791.26</w:t>
            </w:r>
          </w:p>
        </w:tc>
        <w:tc>
          <w:tcPr>
            <w:tcW w:w="1098" w:type="pct"/>
            <w:vAlign w:val="center"/>
          </w:tcPr>
          <w:p w14:paraId="1FBBA168"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6,675,456.28</w:t>
            </w:r>
          </w:p>
        </w:tc>
        <w:tc>
          <w:tcPr>
            <w:tcW w:w="1019" w:type="pct"/>
            <w:vAlign w:val="center"/>
          </w:tcPr>
          <w:p w14:paraId="7C2BD6E3"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-52.02</w:t>
            </w:r>
          </w:p>
        </w:tc>
      </w:tr>
      <w:tr w:rsidR="002D0AE7" w14:paraId="0E047AEA" w14:textId="77777777">
        <w:sdt>
          <w:sdtPr>
            <w:rPr>
              <w:rFonts w:ascii="宋体" w:hAnsi="宋体"/>
              <w:color w:val="000000" w:themeColor="text1"/>
              <w:sz w:val="21"/>
              <w:szCs w:val="21"/>
            </w:rPr>
            <w:tag w:val="_PLD_79aac573eb414fcbb6f291d963446057"/>
            <w:id w:val="-134420160"/>
          </w:sdtPr>
          <w:sdtEndPr/>
          <w:sdtContent>
            <w:tc>
              <w:tcPr>
                <w:tcW w:w="1707" w:type="pct"/>
              </w:tcPr>
              <w:p w14:paraId="7BDFC46B" w14:textId="77777777" w:rsidR="002D0AE7" w:rsidRDefault="00333EBB">
                <w:pPr>
                  <w:pStyle w:val="aff7"/>
                  <w:ind w:firstLineChars="0" w:firstLine="0"/>
                  <w:rPr>
                    <w:rFonts w:ascii="宋体" w:hAnsi="宋体" w:hint="eastAsia"/>
                    <w:color w:val="000000" w:themeColor="text1"/>
                    <w:sz w:val="21"/>
                    <w:szCs w:val="21"/>
                  </w:rPr>
                </w:pPr>
                <w:r>
                  <w:rPr>
                    <w:rFonts w:ascii="宋体" w:hAnsi="宋体" w:hint="eastAsia"/>
                    <w:color w:val="000000" w:themeColor="text1"/>
                    <w:sz w:val="21"/>
                    <w:szCs w:val="21"/>
                  </w:rPr>
                  <w:t>研发费用</w:t>
                </w:r>
              </w:p>
            </w:tc>
          </w:sdtContent>
        </w:sdt>
        <w:tc>
          <w:tcPr>
            <w:tcW w:w="1176" w:type="pct"/>
            <w:vAlign w:val="center"/>
          </w:tcPr>
          <w:p w14:paraId="527F37E7"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83,839,615.08</w:t>
            </w:r>
          </w:p>
        </w:tc>
        <w:tc>
          <w:tcPr>
            <w:tcW w:w="1098" w:type="pct"/>
            <w:vAlign w:val="center"/>
          </w:tcPr>
          <w:p w14:paraId="75907CA5"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84,927,699.54</w:t>
            </w:r>
          </w:p>
        </w:tc>
        <w:tc>
          <w:tcPr>
            <w:tcW w:w="1019" w:type="pct"/>
            <w:vAlign w:val="center"/>
          </w:tcPr>
          <w:p w14:paraId="430ABD14"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-1.28</w:t>
            </w:r>
          </w:p>
        </w:tc>
      </w:tr>
      <w:tr w:rsidR="002D0AE7" w14:paraId="4A1524FB" w14:textId="77777777">
        <w:sdt>
          <w:sdtPr>
            <w:rPr>
              <w:rFonts w:ascii="宋体" w:hAnsi="宋体"/>
              <w:color w:val="000000" w:themeColor="text1"/>
              <w:sz w:val="21"/>
              <w:szCs w:val="21"/>
            </w:rPr>
            <w:tag w:val="_PLD_3e652539acb44f708b4f7202c302af4f"/>
            <w:id w:val="1295251990"/>
          </w:sdtPr>
          <w:sdtEndPr/>
          <w:sdtContent>
            <w:tc>
              <w:tcPr>
                <w:tcW w:w="1707" w:type="pct"/>
              </w:tcPr>
              <w:p w14:paraId="5CEC23E5" w14:textId="77777777" w:rsidR="002D0AE7" w:rsidRDefault="00333EBB">
                <w:pPr>
                  <w:pStyle w:val="aff7"/>
                  <w:ind w:firstLineChars="0" w:firstLine="0"/>
                  <w:rPr>
                    <w:rFonts w:ascii="宋体" w:hAnsi="宋体" w:hint="eastAsia"/>
                    <w:color w:val="000000" w:themeColor="text1"/>
                    <w:sz w:val="21"/>
                    <w:szCs w:val="21"/>
                  </w:rPr>
                </w:pPr>
                <w:r>
                  <w:rPr>
                    <w:rFonts w:ascii="宋体" w:hAnsi="宋体"/>
                    <w:color w:val="000000" w:themeColor="text1"/>
                    <w:sz w:val="21"/>
                    <w:szCs w:val="21"/>
                  </w:rPr>
                  <w:t>经营活动产生的现金流量净额</w:t>
                </w:r>
              </w:p>
            </w:tc>
          </w:sdtContent>
        </w:sdt>
        <w:tc>
          <w:tcPr>
            <w:tcW w:w="1176" w:type="pct"/>
            <w:vAlign w:val="center"/>
          </w:tcPr>
          <w:p w14:paraId="6A29ED91"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315,828,279.32</w:t>
            </w:r>
          </w:p>
        </w:tc>
        <w:tc>
          <w:tcPr>
            <w:tcW w:w="1098" w:type="pct"/>
            <w:vAlign w:val="center"/>
          </w:tcPr>
          <w:p w14:paraId="658BCAA9"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313,762,491.73</w:t>
            </w:r>
          </w:p>
        </w:tc>
        <w:tc>
          <w:tcPr>
            <w:tcW w:w="1019" w:type="pct"/>
            <w:vAlign w:val="center"/>
          </w:tcPr>
          <w:p w14:paraId="3EEAA051"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0.66</w:t>
            </w:r>
          </w:p>
        </w:tc>
      </w:tr>
      <w:tr w:rsidR="002D0AE7" w14:paraId="3DC2E852" w14:textId="77777777">
        <w:sdt>
          <w:sdtPr>
            <w:rPr>
              <w:rFonts w:ascii="宋体" w:hAnsi="宋体"/>
              <w:color w:val="000000" w:themeColor="text1"/>
              <w:sz w:val="21"/>
              <w:szCs w:val="21"/>
            </w:rPr>
            <w:tag w:val="_PLD_93331660aee640afb46a84edc7e2d2a4"/>
            <w:id w:val="-1909679290"/>
          </w:sdtPr>
          <w:sdtEndPr/>
          <w:sdtContent>
            <w:tc>
              <w:tcPr>
                <w:tcW w:w="1707" w:type="pct"/>
              </w:tcPr>
              <w:p w14:paraId="28389E0E" w14:textId="77777777" w:rsidR="002D0AE7" w:rsidRDefault="00333EBB">
                <w:pPr>
                  <w:pStyle w:val="aff7"/>
                  <w:ind w:firstLineChars="0" w:firstLine="0"/>
                  <w:rPr>
                    <w:rFonts w:ascii="宋体" w:hAnsi="宋体" w:hint="eastAsia"/>
                    <w:color w:val="000000" w:themeColor="text1"/>
                    <w:sz w:val="21"/>
                    <w:szCs w:val="21"/>
                  </w:rPr>
                </w:pPr>
                <w:r>
                  <w:rPr>
                    <w:rFonts w:ascii="宋体" w:hAnsi="宋体"/>
                    <w:color w:val="000000" w:themeColor="text1"/>
                    <w:sz w:val="21"/>
                    <w:szCs w:val="21"/>
                  </w:rPr>
                  <w:t>投资活动产生的现金流量净额</w:t>
                </w:r>
              </w:p>
            </w:tc>
          </w:sdtContent>
        </w:sdt>
        <w:tc>
          <w:tcPr>
            <w:tcW w:w="1176" w:type="pct"/>
            <w:vAlign w:val="center"/>
          </w:tcPr>
          <w:p w14:paraId="1F145601"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-37,477,061.61</w:t>
            </w:r>
          </w:p>
        </w:tc>
        <w:tc>
          <w:tcPr>
            <w:tcW w:w="1098" w:type="pct"/>
            <w:vAlign w:val="center"/>
          </w:tcPr>
          <w:p w14:paraId="6A3432D0"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-48,947,188.44</w:t>
            </w:r>
          </w:p>
        </w:tc>
        <w:tc>
          <w:tcPr>
            <w:tcW w:w="1019" w:type="pct"/>
            <w:vAlign w:val="center"/>
          </w:tcPr>
          <w:p w14:paraId="6F8E3638"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23.43</w:t>
            </w:r>
          </w:p>
        </w:tc>
      </w:tr>
      <w:tr w:rsidR="002D0AE7" w14:paraId="12BD7EE2" w14:textId="77777777">
        <w:sdt>
          <w:sdtPr>
            <w:rPr>
              <w:rFonts w:ascii="宋体" w:hAnsi="宋体"/>
              <w:color w:val="000000" w:themeColor="text1"/>
              <w:sz w:val="21"/>
              <w:szCs w:val="21"/>
            </w:rPr>
            <w:tag w:val="_PLD_8e32eafcb28041f58b5df53597b43172"/>
            <w:id w:val="779307504"/>
          </w:sdtPr>
          <w:sdtEndPr/>
          <w:sdtContent>
            <w:tc>
              <w:tcPr>
                <w:tcW w:w="1707" w:type="pct"/>
              </w:tcPr>
              <w:p w14:paraId="795773DE" w14:textId="77777777" w:rsidR="002D0AE7" w:rsidRDefault="00333EBB">
                <w:pPr>
                  <w:pStyle w:val="aff7"/>
                  <w:ind w:firstLineChars="0" w:firstLine="0"/>
                  <w:rPr>
                    <w:rFonts w:ascii="宋体" w:hAnsi="宋体" w:hint="eastAsia"/>
                    <w:color w:val="000000" w:themeColor="text1"/>
                    <w:sz w:val="21"/>
                    <w:szCs w:val="21"/>
                  </w:rPr>
                </w:pPr>
                <w:r>
                  <w:rPr>
                    <w:rFonts w:ascii="宋体" w:hAnsi="宋体"/>
                    <w:color w:val="000000" w:themeColor="text1"/>
                    <w:sz w:val="21"/>
                    <w:szCs w:val="21"/>
                  </w:rPr>
                  <w:t>筹资活动产生的现金流量净额</w:t>
                </w:r>
              </w:p>
            </w:tc>
          </w:sdtContent>
        </w:sdt>
        <w:tc>
          <w:tcPr>
            <w:tcW w:w="1176" w:type="pct"/>
            <w:vAlign w:val="center"/>
          </w:tcPr>
          <w:p w14:paraId="2B0502F0"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-300,513,646.07</w:t>
            </w:r>
          </w:p>
        </w:tc>
        <w:tc>
          <w:tcPr>
            <w:tcW w:w="1098" w:type="pct"/>
            <w:vAlign w:val="center"/>
          </w:tcPr>
          <w:p w14:paraId="7A4E6B41"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-326,131,346.69</w:t>
            </w:r>
          </w:p>
        </w:tc>
        <w:tc>
          <w:tcPr>
            <w:tcW w:w="1019" w:type="pct"/>
            <w:vAlign w:val="center"/>
          </w:tcPr>
          <w:p w14:paraId="2D75940D"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7.86</w:t>
            </w:r>
          </w:p>
        </w:tc>
      </w:tr>
      <w:sdt>
        <w:sdtPr>
          <w:rPr>
            <w:rFonts w:ascii="宋体" w:hAnsi="宋体"/>
            <w:color w:val="000000" w:themeColor="text1"/>
            <w:sz w:val="21"/>
            <w:szCs w:val="21"/>
          </w:rPr>
          <w:alias w:val="利润表及现金流量表相关科目变动分析"/>
          <w:tag w:val="_GBC_9dad03000e404d87a1422bfe9c7debe2"/>
          <w:id w:val="21770554"/>
          <w:placeholder>
            <w:docPart w:val="A8436EE264D444ECA21DD69F310646FB"/>
          </w:placeholder>
        </w:sdtPr>
        <w:sdtEndPr>
          <w:rPr>
            <w:rFonts w:ascii="Times New Roman" w:hAnsi="Times New Roman"/>
          </w:rPr>
        </w:sdtEndPr>
        <w:sdtContent>
          <w:tr w:rsidR="002D0AE7" w14:paraId="009EF368" w14:textId="77777777">
            <w:tc>
              <w:tcPr>
                <w:tcW w:w="1707" w:type="pct"/>
                <w:vAlign w:val="center"/>
              </w:tcPr>
              <w:p w14:paraId="0AB95482" w14:textId="77777777" w:rsidR="002D0AE7" w:rsidRDefault="00333EBB">
                <w:pPr>
                  <w:pStyle w:val="aff7"/>
                  <w:ind w:firstLineChars="0" w:firstLine="0"/>
                  <w:rPr>
                    <w:rFonts w:ascii="宋体" w:hAnsi="宋体" w:hint="eastAsia"/>
                    <w:sz w:val="21"/>
                    <w:szCs w:val="21"/>
                  </w:rPr>
                </w:pPr>
                <w:r>
                  <w:rPr>
                    <w:rFonts w:ascii="宋体" w:hAnsi="宋体" w:hint="eastAsia"/>
                    <w:sz w:val="21"/>
                    <w:szCs w:val="21"/>
                  </w:rPr>
                  <w:t>其他收益</w:t>
                </w:r>
              </w:p>
            </w:tc>
            <w:tc>
              <w:tcPr>
                <w:tcW w:w="1176" w:type="pct"/>
                <w:vAlign w:val="center"/>
              </w:tcPr>
              <w:p w14:paraId="02EBBFBE"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13,127,120.17</w:t>
                </w:r>
              </w:p>
            </w:tc>
            <w:tc>
              <w:tcPr>
                <w:tcW w:w="1098" w:type="pct"/>
                <w:vAlign w:val="center"/>
              </w:tcPr>
              <w:p w14:paraId="29279E90"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8,709,305.20</w:t>
                </w:r>
              </w:p>
            </w:tc>
            <w:tc>
              <w:tcPr>
                <w:tcW w:w="1019" w:type="pct"/>
                <w:vAlign w:val="center"/>
              </w:tcPr>
              <w:p w14:paraId="6FFAB92D"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50.73</w:t>
                </w:r>
              </w:p>
            </w:tc>
          </w:tr>
        </w:sdtContent>
      </w:sdt>
      <w:sdt>
        <w:sdtPr>
          <w:rPr>
            <w:rFonts w:ascii="宋体" w:hAnsi="宋体"/>
            <w:color w:val="000000" w:themeColor="text1"/>
            <w:sz w:val="21"/>
            <w:szCs w:val="21"/>
          </w:rPr>
          <w:alias w:val="利润表及现金流量表相关科目变动分析"/>
          <w:tag w:val="_GBC_9dad03000e404d87a1422bfe9c7debe2"/>
          <w:id w:val="-1493556245"/>
          <w:placeholder>
            <w:docPart w:val="A8436EE264D444ECA21DD69F310646FB"/>
          </w:placeholder>
        </w:sdtPr>
        <w:sdtEndPr>
          <w:rPr>
            <w:rFonts w:ascii="Times New Roman" w:hAnsi="Times New Roman"/>
          </w:rPr>
        </w:sdtEndPr>
        <w:sdtContent>
          <w:tr w:rsidR="002D0AE7" w14:paraId="4E64FF42" w14:textId="77777777">
            <w:tc>
              <w:tcPr>
                <w:tcW w:w="1707" w:type="pct"/>
                <w:vAlign w:val="center"/>
              </w:tcPr>
              <w:p w14:paraId="6CEC7A3A" w14:textId="77777777" w:rsidR="002D0AE7" w:rsidRDefault="00333EBB">
                <w:pPr>
                  <w:pStyle w:val="aff7"/>
                  <w:ind w:firstLineChars="0" w:firstLine="0"/>
                  <w:rPr>
                    <w:rFonts w:ascii="宋体" w:hAnsi="宋体" w:hint="eastAsia"/>
                    <w:sz w:val="21"/>
                    <w:szCs w:val="21"/>
                  </w:rPr>
                </w:pPr>
                <w:r>
                  <w:rPr>
                    <w:rFonts w:ascii="宋体" w:hAnsi="宋体" w:hint="eastAsia"/>
                    <w:sz w:val="21"/>
                    <w:szCs w:val="21"/>
                  </w:rPr>
                  <w:t>投资收益</w:t>
                </w:r>
              </w:p>
            </w:tc>
            <w:tc>
              <w:tcPr>
                <w:tcW w:w="1176" w:type="pct"/>
                <w:vAlign w:val="center"/>
              </w:tcPr>
              <w:p w14:paraId="4719EBAC"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1,040,640.69</w:t>
                </w:r>
              </w:p>
            </w:tc>
            <w:tc>
              <w:tcPr>
                <w:tcW w:w="1098" w:type="pct"/>
                <w:vAlign w:val="center"/>
              </w:tcPr>
              <w:p w14:paraId="4872FA61"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-587,223.62</w:t>
                </w:r>
              </w:p>
            </w:tc>
            <w:tc>
              <w:tcPr>
                <w:tcW w:w="1019" w:type="pct"/>
                <w:vAlign w:val="center"/>
              </w:tcPr>
              <w:p w14:paraId="7DFC2D5B"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277.21</w:t>
                </w:r>
              </w:p>
            </w:tc>
          </w:tr>
        </w:sdtContent>
      </w:sdt>
      <w:sdt>
        <w:sdtPr>
          <w:rPr>
            <w:rFonts w:ascii="宋体" w:hAnsi="宋体"/>
            <w:color w:val="000000" w:themeColor="text1"/>
            <w:sz w:val="21"/>
            <w:szCs w:val="21"/>
          </w:rPr>
          <w:alias w:val="利润表及现金流量表相关科目变动分析"/>
          <w:tag w:val="_GBC_9dad03000e404d87a1422bfe9c7debe2"/>
          <w:id w:val="301741787"/>
          <w:placeholder>
            <w:docPart w:val="A8436EE264D444ECA21DD69F310646FB"/>
          </w:placeholder>
        </w:sdtPr>
        <w:sdtEndPr>
          <w:rPr>
            <w:rFonts w:ascii="Times New Roman" w:hAnsi="Times New Roman"/>
          </w:rPr>
        </w:sdtEndPr>
        <w:sdtContent>
          <w:tr w:rsidR="002D0AE7" w14:paraId="693FFEA8" w14:textId="77777777">
            <w:tc>
              <w:tcPr>
                <w:tcW w:w="1707" w:type="pct"/>
                <w:vAlign w:val="center"/>
              </w:tcPr>
              <w:p w14:paraId="13A162EB" w14:textId="77777777" w:rsidR="002D0AE7" w:rsidRDefault="00333EBB">
                <w:pPr>
                  <w:pStyle w:val="aff7"/>
                  <w:ind w:firstLineChars="0" w:firstLine="0"/>
                  <w:rPr>
                    <w:rFonts w:ascii="宋体" w:hAnsi="宋体" w:hint="eastAsia"/>
                    <w:sz w:val="21"/>
                    <w:szCs w:val="21"/>
                  </w:rPr>
                </w:pPr>
                <w:r>
                  <w:rPr>
                    <w:rFonts w:ascii="宋体" w:hAnsi="宋体" w:hint="eastAsia"/>
                    <w:sz w:val="21"/>
                    <w:szCs w:val="21"/>
                  </w:rPr>
                  <w:t>公允价值变动收益</w:t>
                </w:r>
              </w:p>
            </w:tc>
            <w:tc>
              <w:tcPr>
                <w:tcW w:w="1176" w:type="pct"/>
                <w:vAlign w:val="center"/>
              </w:tcPr>
              <w:p w14:paraId="315C7FFA"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0.00</w:t>
                </w:r>
              </w:p>
            </w:tc>
            <w:tc>
              <w:tcPr>
                <w:tcW w:w="1098" w:type="pct"/>
                <w:vAlign w:val="center"/>
              </w:tcPr>
              <w:p w14:paraId="44A672E9"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-525,000.00</w:t>
                </w:r>
              </w:p>
            </w:tc>
            <w:tc>
              <w:tcPr>
                <w:tcW w:w="1019" w:type="pct"/>
                <w:vAlign w:val="center"/>
              </w:tcPr>
              <w:p w14:paraId="40932D5C"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100.00</w:t>
                </w:r>
              </w:p>
            </w:tc>
          </w:tr>
        </w:sdtContent>
      </w:sdt>
      <w:sdt>
        <w:sdtPr>
          <w:rPr>
            <w:rFonts w:ascii="宋体" w:hAnsi="宋体"/>
            <w:color w:val="000000" w:themeColor="text1"/>
            <w:sz w:val="21"/>
            <w:szCs w:val="21"/>
          </w:rPr>
          <w:alias w:val="利润表及现金流量表相关科目变动分析"/>
          <w:tag w:val="_GBC_9dad03000e404d87a1422bfe9c7debe2"/>
          <w:id w:val="-423872938"/>
          <w:placeholder>
            <w:docPart w:val="A8436EE264D444ECA21DD69F310646FB"/>
          </w:placeholder>
        </w:sdtPr>
        <w:sdtEndPr>
          <w:rPr>
            <w:rFonts w:ascii="Times New Roman" w:hAnsi="Times New Roman"/>
          </w:rPr>
        </w:sdtEndPr>
        <w:sdtContent>
          <w:tr w:rsidR="002D0AE7" w14:paraId="502C100A" w14:textId="77777777">
            <w:tc>
              <w:tcPr>
                <w:tcW w:w="1707" w:type="pct"/>
                <w:vAlign w:val="center"/>
              </w:tcPr>
              <w:p w14:paraId="571963DF" w14:textId="77777777" w:rsidR="002D0AE7" w:rsidRDefault="00333EBB">
                <w:pPr>
                  <w:pStyle w:val="aff7"/>
                  <w:ind w:firstLineChars="0" w:firstLine="0"/>
                  <w:rPr>
                    <w:rFonts w:ascii="宋体" w:hAnsi="宋体" w:hint="eastAsia"/>
                    <w:sz w:val="21"/>
                    <w:szCs w:val="21"/>
                  </w:rPr>
                </w:pPr>
                <w:r>
                  <w:rPr>
                    <w:rFonts w:ascii="宋体" w:hAnsi="宋体" w:hint="eastAsia"/>
                    <w:sz w:val="21"/>
                    <w:szCs w:val="21"/>
                  </w:rPr>
                  <w:t>信用减值损失</w:t>
                </w:r>
              </w:p>
            </w:tc>
            <w:tc>
              <w:tcPr>
                <w:tcW w:w="1176" w:type="pct"/>
                <w:vAlign w:val="center"/>
              </w:tcPr>
              <w:p w14:paraId="041950FC"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-93,292.18</w:t>
                </w:r>
              </w:p>
            </w:tc>
            <w:tc>
              <w:tcPr>
                <w:tcW w:w="1098" w:type="pct"/>
                <w:vAlign w:val="center"/>
              </w:tcPr>
              <w:p w14:paraId="5A448765"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-200,637.84</w:t>
                </w:r>
              </w:p>
            </w:tc>
            <w:tc>
              <w:tcPr>
                <w:tcW w:w="1019" w:type="pct"/>
                <w:vAlign w:val="center"/>
              </w:tcPr>
              <w:p w14:paraId="120B2235"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53.50</w:t>
                </w:r>
              </w:p>
            </w:tc>
          </w:tr>
        </w:sdtContent>
      </w:sdt>
      <w:sdt>
        <w:sdtPr>
          <w:rPr>
            <w:rFonts w:ascii="宋体" w:hAnsi="宋体"/>
            <w:color w:val="000000" w:themeColor="text1"/>
            <w:sz w:val="21"/>
            <w:szCs w:val="21"/>
          </w:rPr>
          <w:alias w:val="利润表及现金流量表相关科目变动分析"/>
          <w:tag w:val="_GBC_9dad03000e404d87a1422bfe9c7debe2"/>
          <w:id w:val="1123425404"/>
          <w:placeholder>
            <w:docPart w:val="A8436EE264D444ECA21DD69F310646FB"/>
          </w:placeholder>
        </w:sdtPr>
        <w:sdtEndPr>
          <w:rPr>
            <w:rFonts w:ascii="Times New Roman" w:hAnsi="Times New Roman"/>
          </w:rPr>
        </w:sdtEndPr>
        <w:sdtContent>
          <w:tr w:rsidR="002D0AE7" w14:paraId="578B5B75" w14:textId="77777777">
            <w:tc>
              <w:tcPr>
                <w:tcW w:w="1707" w:type="pct"/>
                <w:vAlign w:val="center"/>
              </w:tcPr>
              <w:p w14:paraId="45701FBB" w14:textId="77777777" w:rsidR="002D0AE7" w:rsidRDefault="00333EBB">
                <w:pPr>
                  <w:pStyle w:val="aff7"/>
                  <w:ind w:firstLineChars="0" w:firstLine="0"/>
                  <w:rPr>
                    <w:rFonts w:ascii="宋体" w:hAnsi="宋体" w:hint="eastAsia"/>
                    <w:sz w:val="21"/>
                    <w:szCs w:val="21"/>
                  </w:rPr>
                </w:pPr>
                <w:r>
                  <w:rPr>
                    <w:rFonts w:ascii="宋体" w:hAnsi="宋体" w:hint="eastAsia"/>
                    <w:sz w:val="21"/>
                    <w:szCs w:val="21"/>
                  </w:rPr>
                  <w:t>资产减值损失</w:t>
                </w:r>
              </w:p>
            </w:tc>
            <w:tc>
              <w:tcPr>
                <w:tcW w:w="1176" w:type="pct"/>
                <w:vAlign w:val="center"/>
              </w:tcPr>
              <w:p w14:paraId="797E2970"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-53,747,952.66</w:t>
                </w:r>
              </w:p>
            </w:tc>
            <w:tc>
              <w:tcPr>
                <w:tcW w:w="1098" w:type="pct"/>
                <w:vAlign w:val="center"/>
              </w:tcPr>
              <w:p w14:paraId="7808AC17"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-40,256,933.63</w:t>
                </w:r>
              </w:p>
            </w:tc>
            <w:tc>
              <w:tcPr>
                <w:tcW w:w="1019" w:type="pct"/>
                <w:vAlign w:val="center"/>
              </w:tcPr>
              <w:p w14:paraId="7FBED8AD"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-33.51</w:t>
                </w:r>
              </w:p>
            </w:tc>
          </w:tr>
        </w:sdtContent>
      </w:sdt>
      <w:sdt>
        <w:sdtPr>
          <w:rPr>
            <w:rFonts w:ascii="宋体" w:hAnsi="宋体"/>
            <w:color w:val="000000" w:themeColor="text1"/>
            <w:sz w:val="21"/>
            <w:szCs w:val="21"/>
          </w:rPr>
          <w:alias w:val="利润表及现金流量表相关科目变动分析"/>
          <w:tag w:val="_GBC_9dad03000e404d87a1422bfe9c7debe2"/>
          <w:id w:val="1880970087"/>
          <w:placeholder>
            <w:docPart w:val="A8436EE264D444ECA21DD69F310646FB"/>
          </w:placeholder>
        </w:sdtPr>
        <w:sdtEndPr>
          <w:rPr>
            <w:rFonts w:ascii="Times New Roman" w:hAnsi="Times New Roman"/>
          </w:rPr>
        </w:sdtEndPr>
        <w:sdtContent>
          <w:tr w:rsidR="002D0AE7" w14:paraId="16F65142" w14:textId="77777777">
            <w:tc>
              <w:tcPr>
                <w:tcW w:w="1707" w:type="pct"/>
                <w:vAlign w:val="center"/>
              </w:tcPr>
              <w:p w14:paraId="18408607" w14:textId="77777777" w:rsidR="002D0AE7" w:rsidRDefault="00333EBB">
                <w:pPr>
                  <w:pStyle w:val="aff7"/>
                  <w:ind w:firstLineChars="0" w:firstLine="0"/>
                  <w:rPr>
                    <w:rFonts w:ascii="宋体" w:hAnsi="宋体" w:hint="eastAsia"/>
                    <w:sz w:val="21"/>
                    <w:szCs w:val="21"/>
                  </w:rPr>
                </w:pPr>
                <w:r>
                  <w:rPr>
                    <w:rFonts w:ascii="宋体" w:hAnsi="宋体" w:hint="eastAsia"/>
                    <w:sz w:val="21"/>
                    <w:szCs w:val="21"/>
                  </w:rPr>
                  <w:t>资产处置收益</w:t>
                </w:r>
              </w:p>
            </w:tc>
            <w:tc>
              <w:tcPr>
                <w:tcW w:w="1176" w:type="pct"/>
                <w:vAlign w:val="center"/>
              </w:tcPr>
              <w:p w14:paraId="7E626AF1"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-194,484.96</w:t>
                </w:r>
              </w:p>
            </w:tc>
            <w:tc>
              <w:tcPr>
                <w:tcW w:w="1098" w:type="pct"/>
                <w:vAlign w:val="center"/>
              </w:tcPr>
              <w:p w14:paraId="20ADACCB"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0.00</w:t>
                </w:r>
              </w:p>
            </w:tc>
            <w:tc>
              <w:tcPr>
                <w:tcW w:w="1019" w:type="pct"/>
                <w:vAlign w:val="center"/>
              </w:tcPr>
              <w:p w14:paraId="41CAAA5C"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-100.00</w:t>
                </w:r>
              </w:p>
            </w:tc>
          </w:tr>
        </w:sdtContent>
      </w:sdt>
      <w:sdt>
        <w:sdtPr>
          <w:rPr>
            <w:rFonts w:ascii="宋体" w:hAnsi="宋体"/>
            <w:color w:val="000000" w:themeColor="text1"/>
            <w:sz w:val="21"/>
            <w:szCs w:val="21"/>
          </w:rPr>
          <w:alias w:val="利润表及现金流量表相关科目变动分析"/>
          <w:tag w:val="_GBC_9dad03000e404d87a1422bfe9c7debe2"/>
          <w:id w:val="-1170408472"/>
          <w:placeholder>
            <w:docPart w:val="A8436EE264D444ECA21DD69F310646FB"/>
          </w:placeholder>
        </w:sdtPr>
        <w:sdtEndPr>
          <w:rPr>
            <w:rFonts w:ascii="Times New Roman" w:hAnsi="Times New Roman"/>
          </w:rPr>
        </w:sdtEndPr>
        <w:sdtContent>
          <w:tr w:rsidR="002D0AE7" w14:paraId="69299862" w14:textId="77777777">
            <w:tc>
              <w:tcPr>
                <w:tcW w:w="1707" w:type="pct"/>
                <w:vAlign w:val="center"/>
              </w:tcPr>
              <w:p w14:paraId="02980F8C" w14:textId="77777777" w:rsidR="002D0AE7" w:rsidRDefault="00333EBB">
                <w:pPr>
                  <w:pStyle w:val="aff7"/>
                  <w:ind w:firstLineChars="0" w:firstLine="0"/>
                  <w:rPr>
                    <w:rFonts w:ascii="宋体" w:hAnsi="宋体" w:hint="eastAsia"/>
                    <w:sz w:val="21"/>
                    <w:szCs w:val="21"/>
                  </w:rPr>
                </w:pPr>
                <w:r>
                  <w:rPr>
                    <w:rFonts w:ascii="宋体" w:hAnsi="宋体" w:hint="eastAsia"/>
                    <w:sz w:val="21"/>
                    <w:szCs w:val="21"/>
                  </w:rPr>
                  <w:t>营业外收入</w:t>
                </w:r>
              </w:p>
            </w:tc>
            <w:tc>
              <w:tcPr>
                <w:tcW w:w="1176" w:type="pct"/>
                <w:vAlign w:val="center"/>
              </w:tcPr>
              <w:p w14:paraId="1E9914AD"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1,875,783.69</w:t>
                </w:r>
              </w:p>
            </w:tc>
            <w:tc>
              <w:tcPr>
                <w:tcW w:w="1098" w:type="pct"/>
                <w:vAlign w:val="center"/>
              </w:tcPr>
              <w:p w14:paraId="71BAE7C5"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682,474.83</w:t>
                </w:r>
              </w:p>
            </w:tc>
            <w:tc>
              <w:tcPr>
                <w:tcW w:w="1019" w:type="pct"/>
                <w:vAlign w:val="center"/>
              </w:tcPr>
              <w:p w14:paraId="2A5A66E1"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174.85</w:t>
                </w:r>
              </w:p>
            </w:tc>
          </w:tr>
        </w:sdtContent>
      </w:sdt>
      <w:sdt>
        <w:sdtPr>
          <w:rPr>
            <w:rFonts w:ascii="宋体" w:hAnsi="宋体"/>
            <w:color w:val="000000" w:themeColor="text1"/>
            <w:sz w:val="21"/>
            <w:szCs w:val="21"/>
          </w:rPr>
          <w:alias w:val="利润表及现金流量表相关科目变动分析"/>
          <w:tag w:val="_GBC_9dad03000e404d87a1422bfe9c7debe2"/>
          <w:id w:val="1021046337"/>
          <w:placeholder>
            <w:docPart w:val="A8436EE264D444ECA21DD69F310646FB"/>
          </w:placeholder>
        </w:sdtPr>
        <w:sdtEndPr>
          <w:rPr>
            <w:rFonts w:ascii="Times New Roman" w:hAnsi="Times New Roman"/>
          </w:rPr>
        </w:sdtEndPr>
        <w:sdtContent>
          <w:tr w:rsidR="002D0AE7" w14:paraId="1C9AB3E5" w14:textId="77777777">
            <w:tc>
              <w:tcPr>
                <w:tcW w:w="1707" w:type="pct"/>
                <w:vAlign w:val="center"/>
              </w:tcPr>
              <w:p w14:paraId="7BC7CED9" w14:textId="77777777" w:rsidR="002D0AE7" w:rsidRDefault="00333EBB">
                <w:pPr>
                  <w:pStyle w:val="aff7"/>
                  <w:ind w:firstLineChars="0" w:firstLine="0"/>
                  <w:rPr>
                    <w:rFonts w:ascii="宋体" w:hAnsi="宋体" w:hint="eastAsia"/>
                    <w:sz w:val="21"/>
                    <w:szCs w:val="21"/>
                  </w:rPr>
                </w:pPr>
                <w:r>
                  <w:rPr>
                    <w:rFonts w:ascii="宋体" w:hAnsi="宋体" w:hint="eastAsia"/>
                    <w:sz w:val="21"/>
                    <w:szCs w:val="21"/>
                  </w:rPr>
                  <w:t>营业外支出</w:t>
                </w:r>
              </w:p>
            </w:tc>
            <w:tc>
              <w:tcPr>
                <w:tcW w:w="1176" w:type="pct"/>
                <w:vAlign w:val="center"/>
              </w:tcPr>
              <w:p w14:paraId="3B576693"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216,273.63</w:t>
                </w:r>
              </w:p>
            </w:tc>
            <w:tc>
              <w:tcPr>
                <w:tcW w:w="1098" w:type="pct"/>
                <w:vAlign w:val="center"/>
              </w:tcPr>
              <w:p w14:paraId="2306E61A"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1,454,179.03</w:t>
                </w:r>
              </w:p>
            </w:tc>
            <w:tc>
              <w:tcPr>
                <w:tcW w:w="1019" w:type="pct"/>
                <w:vAlign w:val="center"/>
              </w:tcPr>
              <w:p w14:paraId="5AB63EF9" w14:textId="77777777" w:rsidR="002D0AE7" w:rsidRDefault="00333EBB">
                <w:pPr>
                  <w:pStyle w:val="aff7"/>
                  <w:ind w:firstLineChars="0" w:firstLine="0"/>
                  <w:jc w:val="right"/>
                  <w:rPr>
                    <w:rFonts w:ascii="Times New Roman" w:hAnsi="Times New Roman"/>
                    <w:sz w:val="21"/>
                    <w:szCs w:val="21"/>
                  </w:rPr>
                </w:pPr>
                <w:r>
                  <w:rPr>
                    <w:rFonts w:ascii="Times New Roman" w:hAnsi="Times New Roman"/>
                    <w:sz w:val="21"/>
                    <w:szCs w:val="21"/>
                  </w:rPr>
                  <w:t>-85.13</w:t>
                </w:r>
              </w:p>
            </w:tc>
          </w:tr>
        </w:sdtContent>
      </w:sdt>
    </w:tbl>
    <w:bookmarkEnd w:id="35"/>
    <w:p w14:paraId="75F41F12" w14:textId="77777777" w:rsidR="002D0AE7" w:rsidRDefault="00333EBB">
      <w:pPr>
        <w:pStyle w:val="aff7"/>
        <w:ind w:firstLineChars="0" w:firstLine="0"/>
        <w:jc w:val="left"/>
        <w:rPr>
          <w:rFonts w:ascii="宋体" w:hAnsi="宋体" w:hint="eastAsia"/>
          <w:color w:val="000000" w:themeColor="text1"/>
          <w:sz w:val="21"/>
          <w:szCs w:val="21"/>
        </w:rPr>
      </w:pPr>
      <w:r>
        <w:rPr>
          <w:rFonts w:ascii="宋体" w:hAnsi="宋体" w:hint="eastAsia"/>
          <w:color w:val="000000" w:themeColor="text1"/>
          <w:sz w:val="21"/>
          <w:szCs w:val="21"/>
        </w:rPr>
        <w:t>（</w:t>
      </w:r>
      <w:r>
        <w:rPr>
          <w:rFonts w:ascii="宋体" w:hAnsi="宋体" w:hint="eastAsia"/>
          <w:color w:val="000000" w:themeColor="text1"/>
          <w:sz w:val="21"/>
          <w:szCs w:val="21"/>
        </w:rPr>
        <w:t>1</w:t>
      </w:r>
      <w:r>
        <w:rPr>
          <w:rFonts w:ascii="宋体" w:hAnsi="宋体" w:hint="eastAsia"/>
          <w:color w:val="000000" w:themeColor="text1"/>
          <w:sz w:val="21"/>
          <w:szCs w:val="21"/>
        </w:rPr>
        <w:t>）销售费用变动原因说明：</w:t>
      </w:r>
      <w:sdt>
        <w:sdtPr>
          <w:rPr>
            <w:rFonts w:ascii="宋体" w:hAnsi="宋体" w:hint="eastAsia"/>
            <w:color w:val="000000" w:themeColor="text1"/>
            <w:sz w:val="21"/>
            <w:szCs w:val="21"/>
          </w:rPr>
          <w:alias w:val="销售费用变动原因说明"/>
          <w:tag w:val="_GBC_d8f3d3236009445ca57b171f1c954fae"/>
          <w:id w:val="1725630"/>
        </w:sdtPr>
        <w:sdtEndPr/>
        <w:sdtContent>
          <w:r>
            <w:rPr>
              <w:rFonts w:ascii="宋体" w:hAnsi="宋体" w:hint="eastAsia"/>
              <w:color w:val="000000" w:themeColor="text1"/>
              <w:sz w:val="21"/>
              <w:szCs w:val="21"/>
            </w:rPr>
            <w:t>报告期内公司进一步加强管理，优化销售模式，提升销售费用使用率，销售费用同比减少。</w:t>
          </w:r>
        </w:sdtContent>
      </w:sdt>
    </w:p>
    <w:p w14:paraId="3158EF4C" w14:textId="77777777" w:rsidR="002D0AE7" w:rsidRDefault="00333EBB">
      <w:pPr>
        <w:pStyle w:val="aff7"/>
        <w:ind w:firstLineChars="0" w:firstLine="0"/>
        <w:jc w:val="left"/>
        <w:rPr>
          <w:rFonts w:ascii="宋体" w:hAnsi="宋体" w:hint="eastAsia"/>
          <w:color w:val="000000" w:themeColor="text1"/>
          <w:sz w:val="21"/>
          <w:szCs w:val="21"/>
        </w:rPr>
      </w:pPr>
      <w:r>
        <w:rPr>
          <w:rFonts w:ascii="宋体" w:hAnsi="宋体" w:hint="eastAsia"/>
          <w:color w:val="000000" w:themeColor="text1"/>
          <w:sz w:val="21"/>
          <w:szCs w:val="21"/>
        </w:rPr>
        <w:t>（</w:t>
      </w:r>
      <w:r>
        <w:rPr>
          <w:rFonts w:ascii="宋体" w:hAnsi="宋体" w:hint="eastAsia"/>
          <w:color w:val="000000" w:themeColor="text1"/>
          <w:sz w:val="21"/>
          <w:szCs w:val="21"/>
        </w:rPr>
        <w:t>2</w:t>
      </w:r>
      <w:r>
        <w:rPr>
          <w:rFonts w:ascii="宋体" w:hAnsi="宋体" w:hint="eastAsia"/>
          <w:color w:val="000000" w:themeColor="text1"/>
          <w:sz w:val="21"/>
          <w:szCs w:val="21"/>
        </w:rPr>
        <w:t>）财务费用变动原因说明：</w:t>
      </w:r>
      <w:sdt>
        <w:sdtPr>
          <w:rPr>
            <w:rFonts w:ascii="宋体" w:hAnsi="宋体" w:hint="eastAsia"/>
            <w:color w:val="000000" w:themeColor="text1"/>
            <w:sz w:val="21"/>
            <w:szCs w:val="21"/>
          </w:rPr>
          <w:alias w:val="财务费用变动原因说明"/>
          <w:tag w:val="_GBC_2876360f1d844724b6ba84d6b9756580"/>
          <w:id w:val="1727089"/>
        </w:sdtPr>
        <w:sdtEndPr/>
        <w:sdtContent>
          <w:r>
            <w:rPr>
              <w:rFonts w:ascii="宋体" w:hAnsi="宋体" w:hint="eastAsia"/>
              <w:color w:val="000000" w:themeColor="text1"/>
              <w:sz w:val="21"/>
              <w:szCs w:val="21"/>
            </w:rPr>
            <w:t>报告期内贷款规模及利率下降，利息支出减少。</w:t>
          </w:r>
        </w:sdtContent>
      </w:sdt>
    </w:p>
    <w:sdt>
      <w:sdtPr>
        <w:rPr>
          <w:rFonts w:ascii="宋体" w:hAnsi="宋体" w:hint="eastAsia"/>
          <w:color w:val="000000" w:themeColor="text1"/>
          <w:sz w:val="21"/>
          <w:szCs w:val="21"/>
        </w:rPr>
        <w:alias w:val="利润表及现金流量表相关科目变动分析"/>
        <w:tag w:val="_GBC_94f5ff32e4ce4847911acff5a0adb36c"/>
        <w:id w:val="-1828969705"/>
        <w:placeholder>
          <w:docPart w:val="28E5EC474CE741F5BB11CB9981813D62"/>
        </w:placeholder>
      </w:sdtPr>
      <w:sdtEndPr/>
      <w:sdtContent>
        <w:p w14:paraId="3BE116E5" w14:textId="77777777" w:rsidR="002D0AE7" w:rsidRDefault="00333EBB">
          <w:pPr>
            <w:pStyle w:val="aff7"/>
            <w:ind w:firstLineChars="0" w:firstLine="0"/>
            <w:jc w:val="left"/>
            <w:rPr>
              <w:rFonts w:ascii="宋体" w:hAnsi="宋体" w:hint="eastAsia"/>
              <w:color w:val="000000" w:themeColor="text1"/>
              <w:sz w:val="21"/>
              <w:szCs w:val="21"/>
            </w:rPr>
          </w:pPr>
          <w:sdt>
            <w:sdtPr>
              <w:rPr>
                <w:rFonts w:ascii="宋体" w:hAnsi="宋体" w:hint="eastAsia"/>
                <w:color w:val="000000" w:themeColor="text1"/>
                <w:sz w:val="21"/>
                <w:szCs w:val="21"/>
              </w:rPr>
              <w:alias w:val="利润表及现金流量表相关科目变动分析-科目名称"/>
              <w:tag w:val="_GBC_764a55650aaf4240a584071ddd35a587"/>
              <w:id w:val="-1372226372"/>
            </w:sdtPr>
            <w:sdtEndPr/>
            <w:sdtContent>
              <w:r>
                <w:rPr>
                  <w:rFonts w:ascii="宋体" w:hAnsi="宋体" w:hint="eastAsia"/>
                  <w:color w:val="000000" w:themeColor="text1"/>
                  <w:sz w:val="21"/>
                  <w:szCs w:val="21"/>
                </w:rPr>
                <w:t>（</w:t>
              </w:r>
              <w:r>
                <w:rPr>
                  <w:rFonts w:ascii="宋体" w:hAnsi="宋体" w:hint="eastAsia"/>
                  <w:color w:val="000000" w:themeColor="text1"/>
                  <w:sz w:val="21"/>
                  <w:szCs w:val="21"/>
                </w:rPr>
                <w:t>3</w:t>
              </w:r>
              <w:r>
                <w:rPr>
                  <w:rFonts w:ascii="宋体" w:hAnsi="宋体" w:hint="eastAsia"/>
                  <w:color w:val="000000" w:themeColor="text1"/>
                  <w:sz w:val="21"/>
                  <w:szCs w:val="21"/>
                </w:rPr>
                <w:t>）其他收益</w:t>
              </w:r>
            </w:sdtContent>
          </w:sdt>
          <w:r>
            <w:rPr>
              <w:rFonts w:ascii="宋体" w:hAnsi="宋体" w:hint="eastAsia"/>
              <w:color w:val="000000" w:themeColor="text1"/>
              <w:sz w:val="21"/>
              <w:szCs w:val="21"/>
            </w:rPr>
            <w:t>变动原因说明：</w:t>
          </w:r>
          <w:sdt>
            <w:sdtPr>
              <w:rPr>
                <w:rFonts w:ascii="宋体" w:hAnsi="宋体" w:hint="eastAsia"/>
                <w:color w:val="000000" w:themeColor="text1"/>
                <w:sz w:val="21"/>
                <w:szCs w:val="21"/>
              </w:rPr>
              <w:alias w:val="利润表及现金流量表相关科目变动分析-变动原因说明"/>
              <w:tag w:val="_GBC_1f225b75164341838c2f2de40a1ee736"/>
              <w:id w:val="-1984152199"/>
            </w:sdtPr>
            <w:sdtEndPr/>
            <w:sdtContent>
              <w:r>
                <w:rPr>
                  <w:rFonts w:ascii="宋体" w:hAnsi="宋体" w:hint="eastAsia"/>
                  <w:color w:val="000000" w:themeColor="text1"/>
                  <w:sz w:val="21"/>
                  <w:szCs w:val="21"/>
                </w:rPr>
                <w:t>报告期内收到及结转的政府补助增加。</w:t>
              </w:r>
            </w:sdtContent>
          </w:sdt>
        </w:p>
      </w:sdtContent>
    </w:sdt>
    <w:sdt>
      <w:sdtPr>
        <w:rPr>
          <w:rFonts w:ascii="宋体" w:hAnsi="宋体" w:hint="eastAsia"/>
          <w:color w:val="000000" w:themeColor="text1"/>
          <w:sz w:val="21"/>
          <w:szCs w:val="21"/>
        </w:rPr>
        <w:alias w:val="利润表及现金流量表相关科目变动分析"/>
        <w:tag w:val="_GBC_94f5ff32e4ce4847911acff5a0adb36c"/>
        <w:id w:val="2112855265"/>
        <w:placeholder>
          <w:docPart w:val="28E5EC474CE741F5BB11CB9981813D62"/>
        </w:placeholder>
      </w:sdtPr>
      <w:sdtEndPr/>
      <w:sdtContent>
        <w:p w14:paraId="45381254" w14:textId="77777777" w:rsidR="002D0AE7" w:rsidRDefault="00333EBB">
          <w:pPr>
            <w:pStyle w:val="aff7"/>
            <w:ind w:firstLineChars="0" w:firstLine="0"/>
            <w:jc w:val="left"/>
            <w:rPr>
              <w:rFonts w:ascii="宋体" w:hAnsi="宋体" w:hint="eastAsia"/>
              <w:color w:val="000000" w:themeColor="text1"/>
              <w:sz w:val="21"/>
              <w:szCs w:val="21"/>
            </w:rPr>
          </w:pPr>
          <w:sdt>
            <w:sdtPr>
              <w:rPr>
                <w:rFonts w:ascii="宋体" w:hAnsi="宋体" w:hint="eastAsia"/>
                <w:color w:val="000000" w:themeColor="text1"/>
                <w:sz w:val="21"/>
                <w:szCs w:val="21"/>
              </w:rPr>
              <w:alias w:val="利润表及现金流量表相关科目变动分析-科目名称"/>
              <w:tag w:val="_GBC_764a55650aaf4240a584071ddd35a587"/>
              <w:id w:val="-200871500"/>
            </w:sdtPr>
            <w:sdtEndPr/>
            <w:sdtContent>
              <w:r>
                <w:rPr>
                  <w:rFonts w:ascii="宋体" w:hAnsi="宋体" w:hint="eastAsia"/>
                  <w:color w:val="000000" w:themeColor="text1"/>
                  <w:sz w:val="21"/>
                  <w:szCs w:val="21"/>
                </w:rPr>
                <w:t>（</w:t>
              </w:r>
              <w:r>
                <w:rPr>
                  <w:rFonts w:ascii="宋体" w:hAnsi="宋体" w:hint="eastAsia"/>
                  <w:color w:val="000000" w:themeColor="text1"/>
                  <w:sz w:val="21"/>
                  <w:szCs w:val="21"/>
                </w:rPr>
                <w:t>4</w:t>
              </w:r>
              <w:r>
                <w:rPr>
                  <w:rFonts w:ascii="宋体" w:hAnsi="宋体" w:hint="eastAsia"/>
                  <w:color w:val="000000" w:themeColor="text1"/>
                  <w:sz w:val="21"/>
                  <w:szCs w:val="21"/>
                </w:rPr>
                <w:t>）投资收益</w:t>
              </w:r>
            </w:sdtContent>
          </w:sdt>
          <w:r>
            <w:rPr>
              <w:rFonts w:ascii="宋体" w:hAnsi="宋体" w:hint="eastAsia"/>
              <w:color w:val="000000" w:themeColor="text1"/>
              <w:sz w:val="21"/>
              <w:szCs w:val="21"/>
            </w:rPr>
            <w:t>变动原因说明：</w:t>
          </w:r>
          <w:sdt>
            <w:sdtPr>
              <w:rPr>
                <w:rFonts w:ascii="宋体" w:hAnsi="宋体" w:hint="eastAsia"/>
                <w:color w:val="000000" w:themeColor="text1"/>
                <w:sz w:val="21"/>
                <w:szCs w:val="21"/>
              </w:rPr>
              <w:alias w:val="利润表及现金流量表相关科目变动分析-变动原因说明"/>
              <w:tag w:val="_GBC_1f225b75164341838c2f2de40a1ee736"/>
              <w:id w:val="-516310898"/>
            </w:sdtPr>
            <w:sdtEndPr/>
            <w:sdtContent>
              <w:r>
                <w:rPr>
                  <w:rFonts w:ascii="宋体" w:hAnsi="宋体" w:hint="eastAsia"/>
                  <w:color w:val="000000" w:themeColor="text1"/>
                  <w:sz w:val="21"/>
                  <w:szCs w:val="21"/>
                </w:rPr>
                <w:t>报告期内对联营企业的投资确认收益同比增加，同时上年同期外汇衍生品交易产生投资损失。</w:t>
              </w:r>
            </w:sdtContent>
          </w:sdt>
        </w:p>
      </w:sdtContent>
    </w:sdt>
    <w:sdt>
      <w:sdtPr>
        <w:rPr>
          <w:rFonts w:ascii="宋体" w:hAnsi="宋体" w:hint="eastAsia"/>
          <w:color w:val="000000" w:themeColor="text1"/>
          <w:sz w:val="21"/>
          <w:szCs w:val="21"/>
        </w:rPr>
        <w:alias w:val="利润表及现金流量表相关科目变动分析"/>
        <w:tag w:val="_GBC_94f5ff32e4ce4847911acff5a0adb36c"/>
        <w:id w:val="1786303112"/>
        <w:placeholder>
          <w:docPart w:val="28E5EC474CE741F5BB11CB9981813D62"/>
        </w:placeholder>
      </w:sdtPr>
      <w:sdtEndPr/>
      <w:sdtContent>
        <w:p w14:paraId="1323F0C4" w14:textId="77777777" w:rsidR="002D0AE7" w:rsidRDefault="00333EBB">
          <w:pPr>
            <w:pStyle w:val="aff7"/>
            <w:ind w:firstLineChars="0" w:firstLine="0"/>
            <w:jc w:val="left"/>
            <w:rPr>
              <w:rFonts w:ascii="宋体" w:hAnsi="宋体" w:hint="eastAsia"/>
              <w:color w:val="000000" w:themeColor="text1"/>
              <w:sz w:val="21"/>
              <w:szCs w:val="21"/>
            </w:rPr>
          </w:pPr>
          <w:sdt>
            <w:sdtPr>
              <w:rPr>
                <w:rFonts w:ascii="宋体" w:hAnsi="宋体" w:hint="eastAsia"/>
                <w:color w:val="000000" w:themeColor="text1"/>
                <w:sz w:val="21"/>
                <w:szCs w:val="21"/>
              </w:rPr>
              <w:alias w:val="利润表及现金流量表相关科目变动分析-科目名称"/>
              <w:tag w:val="_GBC_764a55650aaf4240a584071ddd35a587"/>
              <w:id w:val="203676264"/>
            </w:sdtPr>
            <w:sdtEndPr/>
            <w:sdtContent>
              <w:r>
                <w:rPr>
                  <w:rFonts w:ascii="宋体" w:hAnsi="宋体" w:hint="eastAsia"/>
                  <w:color w:val="000000" w:themeColor="text1"/>
                  <w:sz w:val="21"/>
                  <w:szCs w:val="21"/>
                </w:rPr>
                <w:t>（</w:t>
              </w:r>
              <w:r>
                <w:rPr>
                  <w:rFonts w:ascii="宋体" w:hAnsi="宋体" w:hint="eastAsia"/>
                  <w:color w:val="000000" w:themeColor="text1"/>
                  <w:sz w:val="21"/>
                  <w:szCs w:val="21"/>
                </w:rPr>
                <w:t>5</w:t>
              </w:r>
              <w:r>
                <w:rPr>
                  <w:rFonts w:ascii="宋体" w:hAnsi="宋体" w:hint="eastAsia"/>
                  <w:color w:val="000000" w:themeColor="text1"/>
                  <w:sz w:val="21"/>
                  <w:szCs w:val="21"/>
                </w:rPr>
                <w:t>）公允价值变动收益</w:t>
              </w:r>
            </w:sdtContent>
          </w:sdt>
          <w:r>
            <w:rPr>
              <w:rFonts w:ascii="宋体" w:hAnsi="宋体" w:hint="eastAsia"/>
              <w:color w:val="000000" w:themeColor="text1"/>
              <w:sz w:val="21"/>
              <w:szCs w:val="21"/>
            </w:rPr>
            <w:t>变动原因说明：</w:t>
          </w:r>
          <w:sdt>
            <w:sdtPr>
              <w:rPr>
                <w:rFonts w:ascii="宋体" w:hAnsi="宋体" w:hint="eastAsia"/>
                <w:color w:val="000000" w:themeColor="text1"/>
                <w:sz w:val="21"/>
                <w:szCs w:val="21"/>
              </w:rPr>
              <w:alias w:val="利润表及现金流量表相关科目变动分析-变动原因说明"/>
              <w:tag w:val="_GBC_1f225b75164341838c2f2de40a1ee736"/>
              <w:id w:val="800037951"/>
            </w:sdtPr>
            <w:sdtEndPr/>
            <w:sdtContent>
              <w:r>
                <w:rPr>
                  <w:rFonts w:ascii="宋体" w:hAnsi="宋体" w:hint="eastAsia"/>
                  <w:color w:val="000000" w:themeColor="text1"/>
                  <w:sz w:val="21"/>
                  <w:szCs w:val="21"/>
                </w:rPr>
                <w:t>同期期末持有未到行权日期的外汇衍生品，按照公允价值变动产生损失。</w:t>
              </w:r>
            </w:sdtContent>
          </w:sdt>
        </w:p>
      </w:sdtContent>
    </w:sdt>
    <w:sdt>
      <w:sdtPr>
        <w:rPr>
          <w:rFonts w:ascii="宋体" w:hAnsi="宋体" w:hint="eastAsia"/>
          <w:color w:val="000000" w:themeColor="text1"/>
          <w:sz w:val="21"/>
          <w:szCs w:val="21"/>
        </w:rPr>
        <w:alias w:val="利润表及现金流量表相关科目变动分析"/>
        <w:tag w:val="_GBC_94f5ff32e4ce4847911acff5a0adb36c"/>
        <w:id w:val="-811481204"/>
        <w:placeholder>
          <w:docPart w:val="28E5EC474CE741F5BB11CB9981813D62"/>
        </w:placeholder>
      </w:sdtPr>
      <w:sdtEndPr/>
      <w:sdtContent>
        <w:p w14:paraId="64D85748" w14:textId="77777777" w:rsidR="002D0AE7" w:rsidRDefault="00333EBB">
          <w:pPr>
            <w:pStyle w:val="aff7"/>
            <w:ind w:firstLineChars="0" w:firstLine="0"/>
            <w:jc w:val="left"/>
            <w:rPr>
              <w:rFonts w:ascii="宋体" w:hAnsi="宋体" w:hint="eastAsia"/>
              <w:color w:val="000000" w:themeColor="text1"/>
              <w:sz w:val="21"/>
              <w:szCs w:val="21"/>
            </w:rPr>
          </w:pPr>
          <w:sdt>
            <w:sdtPr>
              <w:rPr>
                <w:rFonts w:ascii="宋体" w:hAnsi="宋体" w:hint="eastAsia"/>
                <w:color w:val="000000" w:themeColor="text1"/>
                <w:sz w:val="21"/>
                <w:szCs w:val="21"/>
              </w:rPr>
              <w:alias w:val="利润表及现金流量表相关科目变动分析-科目名称"/>
              <w:tag w:val="_GBC_764a55650aaf4240a584071ddd35a587"/>
              <w:id w:val="445663966"/>
            </w:sdtPr>
            <w:sdtEndPr/>
            <w:sdtContent>
              <w:r>
                <w:rPr>
                  <w:rFonts w:ascii="宋体" w:hAnsi="宋体" w:hint="eastAsia"/>
                  <w:color w:val="000000" w:themeColor="text1"/>
                  <w:sz w:val="21"/>
                  <w:szCs w:val="21"/>
                </w:rPr>
                <w:t>（</w:t>
              </w:r>
              <w:r>
                <w:rPr>
                  <w:rFonts w:ascii="宋体" w:hAnsi="宋体" w:hint="eastAsia"/>
                  <w:color w:val="000000" w:themeColor="text1"/>
                  <w:sz w:val="21"/>
                  <w:szCs w:val="21"/>
                </w:rPr>
                <w:t>6</w:t>
              </w:r>
              <w:r>
                <w:rPr>
                  <w:rFonts w:ascii="宋体" w:hAnsi="宋体" w:hint="eastAsia"/>
                  <w:color w:val="000000" w:themeColor="text1"/>
                  <w:sz w:val="21"/>
                  <w:szCs w:val="21"/>
                </w:rPr>
                <w:t>）信用减值损失</w:t>
              </w:r>
            </w:sdtContent>
          </w:sdt>
          <w:r>
            <w:rPr>
              <w:rFonts w:ascii="宋体" w:hAnsi="宋体" w:hint="eastAsia"/>
              <w:color w:val="000000" w:themeColor="text1"/>
              <w:sz w:val="21"/>
              <w:szCs w:val="21"/>
            </w:rPr>
            <w:t>变动原因说明：</w:t>
          </w:r>
          <w:sdt>
            <w:sdtPr>
              <w:rPr>
                <w:rFonts w:ascii="宋体" w:hAnsi="宋体" w:hint="eastAsia"/>
                <w:color w:val="000000" w:themeColor="text1"/>
                <w:sz w:val="21"/>
                <w:szCs w:val="21"/>
              </w:rPr>
              <w:alias w:val="利润表及现金流量表相关科目变动分析-变动原因说明"/>
              <w:tag w:val="_GBC_1f225b75164341838c2f2de40a1ee736"/>
              <w:id w:val="1747072104"/>
            </w:sdtPr>
            <w:sdtEndPr/>
            <w:sdtContent>
              <w:r>
                <w:rPr>
                  <w:rFonts w:ascii="宋体" w:hAnsi="宋体" w:hint="eastAsia"/>
                  <w:color w:val="000000" w:themeColor="text1"/>
                  <w:sz w:val="21"/>
                  <w:szCs w:val="21"/>
                </w:rPr>
                <w:t>报告期内应收账款、其他应收款按信用风险特征组合计提坏</w:t>
              </w:r>
              <w:r>
                <w:rPr>
                  <w:rFonts w:ascii="宋体" w:hAnsi="宋体" w:hint="eastAsia"/>
                  <w:color w:val="000000" w:themeColor="text1"/>
                  <w:sz w:val="21"/>
                  <w:szCs w:val="21"/>
                </w:rPr>
                <w:lastRenderedPageBreak/>
                <w:t>账准备的应收款项均减少，收回、核销同比减少。</w:t>
              </w:r>
            </w:sdtContent>
          </w:sdt>
        </w:p>
      </w:sdtContent>
    </w:sdt>
    <w:sdt>
      <w:sdtPr>
        <w:rPr>
          <w:rFonts w:ascii="宋体" w:hAnsi="宋体" w:hint="eastAsia"/>
          <w:color w:val="000000" w:themeColor="text1"/>
          <w:sz w:val="21"/>
          <w:szCs w:val="21"/>
        </w:rPr>
        <w:alias w:val="利润表及现金流量表相关科目变动分析"/>
        <w:tag w:val="_GBC_94f5ff32e4ce4847911acff5a0adb36c"/>
        <w:id w:val="646788314"/>
        <w:placeholder>
          <w:docPart w:val="28E5EC474CE741F5BB11CB9981813D62"/>
        </w:placeholder>
      </w:sdtPr>
      <w:sdtEndPr/>
      <w:sdtContent>
        <w:p w14:paraId="5A995B51" w14:textId="77777777" w:rsidR="002D0AE7" w:rsidRDefault="00333EBB">
          <w:pPr>
            <w:pStyle w:val="aff7"/>
            <w:ind w:firstLineChars="0" w:firstLine="0"/>
            <w:jc w:val="left"/>
            <w:rPr>
              <w:rFonts w:ascii="宋体" w:hAnsi="宋体" w:hint="eastAsia"/>
              <w:color w:val="000000" w:themeColor="text1"/>
              <w:sz w:val="21"/>
              <w:szCs w:val="21"/>
            </w:rPr>
          </w:pPr>
          <w:sdt>
            <w:sdtPr>
              <w:rPr>
                <w:rFonts w:ascii="宋体" w:hAnsi="宋体" w:hint="eastAsia"/>
                <w:color w:val="000000" w:themeColor="text1"/>
                <w:sz w:val="21"/>
                <w:szCs w:val="21"/>
              </w:rPr>
              <w:alias w:val="利润表及现金流量表相关科目变动分析-科目名称"/>
              <w:tag w:val="_GBC_764a55650aaf4240a584071ddd35a587"/>
              <w:id w:val="-195227044"/>
            </w:sdtPr>
            <w:sdtEndPr/>
            <w:sdtContent>
              <w:r>
                <w:rPr>
                  <w:rFonts w:ascii="宋体" w:hAnsi="宋体" w:hint="eastAsia"/>
                  <w:color w:val="000000" w:themeColor="text1"/>
                  <w:sz w:val="21"/>
                  <w:szCs w:val="21"/>
                </w:rPr>
                <w:t>（</w:t>
              </w:r>
              <w:r>
                <w:rPr>
                  <w:rFonts w:ascii="宋体" w:hAnsi="宋体" w:hint="eastAsia"/>
                  <w:color w:val="000000" w:themeColor="text1"/>
                  <w:sz w:val="21"/>
                  <w:szCs w:val="21"/>
                </w:rPr>
                <w:t>7</w:t>
              </w:r>
              <w:r>
                <w:rPr>
                  <w:rFonts w:ascii="宋体" w:hAnsi="宋体" w:hint="eastAsia"/>
                  <w:color w:val="000000" w:themeColor="text1"/>
                  <w:sz w:val="21"/>
                  <w:szCs w:val="21"/>
                </w:rPr>
                <w:t>）资产减值损失</w:t>
              </w:r>
            </w:sdtContent>
          </w:sdt>
          <w:r>
            <w:rPr>
              <w:rFonts w:ascii="宋体" w:hAnsi="宋体" w:hint="eastAsia"/>
              <w:color w:val="000000" w:themeColor="text1"/>
              <w:sz w:val="21"/>
              <w:szCs w:val="21"/>
            </w:rPr>
            <w:t>变动原因说明：</w:t>
          </w:r>
          <w:sdt>
            <w:sdtPr>
              <w:rPr>
                <w:rFonts w:ascii="宋体" w:hAnsi="宋体" w:hint="eastAsia"/>
                <w:color w:val="000000" w:themeColor="text1"/>
                <w:sz w:val="21"/>
                <w:szCs w:val="21"/>
              </w:rPr>
              <w:alias w:val="利润表及现金流量表相关科目变动分析-变动原因说明"/>
              <w:tag w:val="_GBC_1f225b75164341838c2f2de40a1ee736"/>
              <w:id w:val="-1905755778"/>
            </w:sdtPr>
            <w:sdtEndPr/>
            <w:sdtContent>
              <w:r>
                <w:rPr>
                  <w:rFonts w:ascii="宋体" w:hAnsi="宋体" w:hint="eastAsia"/>
                  <w:color w:val="000000" w:themeColor="text1"/>
                  <w:sz w:val="21"/>
                  <w:szCs w:val="21"/>
                </w:rPr>
                <w:t>报告期内计提涉及改造停用相关固定资产减值准备。</w:t>
              </w:r>
            </w:sdtContent>
          </w:sdt>
        </w:p>
      </w:sdtContent>
    </w:sdt>
    <w:sdt>
      <w:sdtPr>
        <w:rPr>
          <w:rFonts w:ascii="宋体" w:hAnsi="宋体" w:hint="eastAsia"/>
          <w:color w:val="000000" w:themeColor="text1"/>
          <w:sz w:val="21"/>
          <w:szCs w:val="21"/>
        </w:rPr>
        <w:alias w:val="利润表及现金流量表相关科目变动分析"/>
        <w:tag w:val="_GBC_94f5ff32e4ce4847911acff5a0adb36c"/>
        <w:id w:val="1921680635"/>
        <w:placeholder>
          <w:docPart w:val="28E5EC474CE741F5BB11CB9981813D62"/>
        </w:placeholder>
      </w:sdtPr>
      <w:sdtEndPr/>
      <w:sdtContent>
        <w:p w14:paraId="48511D6C" w14:textId="77777777" w:rsidR="002D0AE7" w:rsidRDefault="00333EBB">
          <w:pPr>
            <w:pStyle w:val="aff7"/>
            <w:ind w:firstLineChars="0" w:firstLine="0"/>
            <w:jc w:val="left"/>
            <w:rPr>
              <w:rFonts w:ascii="宋体" w:hAnsi="宋体" w:hint="eastAsia"/>
              <w:color w:val="000000" w:themeColor="text1"/>
              <w:sz w:val="21"/>
              <w:szCs w:val="21"/>
            </w:rPr>
          </w:pPr>
          <w:sdt>
            <w:sdtPr>
              <w:rPr>
                <w:rFonts w:ascii="宋体" w:hAnsi="宋体" w:hint="eastAsia"/>
                <w:color w:val="000000" w:themeColor="text1"/>
                <w:sz w:val="21"/>
                <w:szCs w:val="21"/>
              </w:rPr>
              <w:alias w:val="利润表及现金流量表相关科目变动分析-科目名称"/>
              <w:tag w:val="_GBC_764a55650aaf4240a584071ddd35a587"/>
              <w:id w:val="-338389882"/>
            </w:sdtPr>
            <w:sdtEndPr/>
            <w:sdtContent>
              <w:r>
                <w:rPr>
                  <w:rFonts w:ascii="宋体" w:hAnsi="宋体" w:hint="eastAsia"/>
                  <w:color w:val="000000" w:themeColor="text1"/>
                  <w:sz w:val="21"/>
                  <w:szCs w:val="21"/>
                </w:rPr>
                <w:t>（</w:t>
              </w:r>
              <w:r>
                <w:rPr>
                  <w:rFonts w:ascii="宋体" w:hAnsi="宋体" w:hint="eastAsia"/>
                  <w:color w:val="000000" w:themeColor="text1"/>
                  <w:sz w:val="21"/>
                  <w:szCs w:val="21"/>
                </w:rPr>
                <w:t>8</w:t>
              </w:r>
              <w:r>
                <w:rPr>
                  <w:rFonts w:ascii="宋体" w:hAnsi="宋体" w:hint="eastAsia"/>
                  <w:color w:val="000000" w:themeColor="text1"/>
                  <w:sz w:val="21"/>
                  <w:szCs w:val="21"/>
                </w:rPr>
                <w:t>）资产处置收益</w:t>
              </w:r>
            </w:sdtContent>
          </w:sdt>
          <w:r>
            <w:rPr>
              <w:rFonts w:ascii="宋体" w:hAnsi="宋体" w:hint="eastAsia"/>
              <w:color w:val="000000" w:themeColor="text1"/>
              <w:sz w:val="21"/>
              <w:szCs w:val="21"/>
            </w:rPr>
            <w:t>变动原因说明：</w:t>
          </w:r>
          <w:sdt>
            <w:sdtPr>
              <w:rPr>
                <w:rFonts w:ascii="宋体" w:hAnsi="宋体" w:hint="eastAsia"/>
                <w:color w:val="000000" w:themeColor="text1"/>
                <w:sz w:val="21"/>
                <w:szCs w:val="21"/>
              </w:rPr>
              <w:alias w:val="利润表及现金流量表相关科目变动分析-变动原因说明"/>
              <w:tag w:val="_GBC_1f225b75164341838c2f2de40a1ee736"/>
              <w:id w:val="646719539"/>
            </w:sdtPr>
            <w:sdtEndPr/>
            <w:sdtContent>
              <w:r>
                <w:rPr>
                  <w:rFonts w:ascii="宋体" w:hAnsi="宋体" w:hint="eastAsia"/>
                  <w:color w:val="000000" w:themeColor="text1"/>
                  <w:sz w:val="21"/>
                  <w:szCs w:val="21"/>
                </w:rPr>
                <w:t>报告期内处置报废固定资产产生损失。</w:t>
              </w:r>
            </w:sdtContent>
          </w:sdt>
        </w:p>
      </w:sdtContent>
    </w:sdt>
    <w:sdt>
      <w:sdtPr>
        <w:rPr>
          <w:rFonts w:ascii="宋体" w:hAnsi="宋体" w:hint="eastAsia"/>
          <w:color w:val="000000" w:themeColor="text1"/>
          <w:sz w:val="21"/>
          <w:szCs w:val="21"/>
        </w:rPr>
        <w:alias w:val="利润表及现金流量表相关科目变动分析"/>
        <w:tag w:val="_GBC_94f5ff32e4ce4847911acff5a0adb36c"/>
        <w:id w:val="495076061"/>
        <w:placeholder>
          <w:docPart w:val="28E5EC474CE741F5BB11CB9981813D62"/>
        </w:placeholder>
      </w:sdtPr>
      <w:sdtEndPr/>
      <w:sdtContent>
        <w:p w14:paraId="6AE2A0C2" w14:textId="77777777" w:rsidR="002D0AE7" w:rsidRDefault="00333EBB">
          <w:pPr>
            <w:pStyle w:val="aff7"/>
            <w:ind w:firstLineChars="0" w:firstLine="0"/>
            <w:jc w:val="left"/>
            <w:rPr>
              <w:rFonts w:ascii="宋体" w:hAnsi="宋体" w:hint="eastAsia"/>
              <w:color w:val="000000" w:themeColor="text1"/>
              <w:sz w:val="21"/>
              <w:szCs w:val="21"/>
            </w:rPr>
          </w:pPr>
          <w:sdt>
            <w:sdtPr>
              <w:rPr>
                <w:rFonts w:ascii="宋体" w:hAnsi="宋体" w:hint="eastAsia"/>
                <w:color w:val="000000" w:themeColor="text1"/>
                <w:sz w:val="21"/>
                <w:szCs w:val="21"/>
              </w:rPr>
              <w:alias w:val="利润表及现金流量表相关科目变动分析-科目名称"/>
              <w:tag w:val="_GBC_764a55650aaf4240a584071ddd35a587"/>
              <w:id w:val="736370383"/>
            </w:sdtPr>
            <w:sdtEndPr/>
            <w:sdtContent>
              <w:r>
                <w:rPr>
                  <w:rFonts w:ascii="宋体" w:hAnsi="宋体" w:hint="eastAsia"/>
                  <w:color w:val="000000" w:themeColor="text1"/>
                  <w:sz w:val="21"/>
                  <w:szCs w:val="21"/>
                </w:rPr>
                <w:t>（</w:t>
              </w:r>
              <w:r>
                <w:rPr>
                  <w:rFonts w:ascii="宋体" w:hAnsi="宋体" w:hint="eastAsia"/>
                  <w:color w:val="000000" w:themeColor="text1"/>
                  <w:sz w:val="21"/>
                  <w:szCs w:val="21"/>
                </w:rPr>
                <w:t>9</w:t>
              </w:r>
              <w:r>
                <w:rPr>
                  <w:rFonts w:ascii="宋体" w:hAnsi="宋体" w:hint="eastAsia"/>
                  <w:color w:val="000000" w:themeColor="text1"/>
                  <w:sz w:val="21"/>
                  <w:szCs w:val="21"/>
                </w:rPr>
                <w:t>）营业外收入</w:t>
              </w:r>
            </w:sdtContent>
          </w:sdt>
          <w:r>
            <w:rPr>
              <w:rFonts w:ascii="宋体" w:hAnsi="宋体" w:hint="eastAsia"/>
              <w:color w:val="000000" w:themeColor="text1"/>
              <w:sz w:val="21"/>
              <w:szCs w:val="21"/>
            </w:rPr>
            <w:t>变动原因说明：</w:t>
          </w:r>
          <w:sdt>
            <w:sdtPr>
              <w:rPr>
                <w:rFonts w:ascii="宋体" w:hAnsi="宋体" w:hint="eastAsia"/>
                <w:color w:val="000000" w:themeColor="text1"/>
                <w:sz w:val="21"/>
                <w:szCs w:val="21"/>
              </w:rPr>
              <w:alias w:val="利润表及现金流量表相关科目变动分析-变动原因说明"/>
              <w:tag w:val="_GBC_1f225b75164341838c2f2de40a1ee736"/>
              <w:id w:val="1056284456"/>
            </w:sdtPr>
            <w:sdtEndPr/>
            <w:sdtContent>
              <w:r>
                <w:rPr>
                  <w:rFonts w:ascii="宋体" w:hAnsi="宋体" w:hint="eastAsia"/>
                  <w:color w:val="000000" w:themeColor="text1"/>
                  <w:sz w:val="21"/>
                  <w:szCs w:val="21"/>
                </w:rPr>
                <w:t>报告期内确认无法支付的应付款项转入营业外收入，收到的政府补助增加。</w:t>
              </w:r>
            </w:sdtContent>
          </w:sdt>
        </w:p>
      </w:sdtContent>
    </w:sdt>
    <w:sdt>
      <w:sdtPr>
        <w:rPr>
          <w:rFonts w:ascii="宋体" w:hAnsi="宋体" w:hint="eastAsia"/>
          <w:color w:val="000000" w:themeColor="text1"/>
          <w:sz w:val="21"/>
          <w:szCs w:val="21"/>
        </w:rPr>
        <w:alias w:val="利润表及现金流量表相关科目变动分析"/>
        <w:tag w:val="_GBC_94f5ff32e4ce4847911acff5a0adb36c"/>
        <w:id w:val="1314442838"/>
        <w:placeholder>
          <w:docPart w:val="28E5EC474CE741F5BB11CB9981813D62"/>
        </w:placeholder>
      </w:sdtPr>
      <w:sdtEndPr>
        <w:rPr>
          <w:sz w:val="24"/>
        </w:rPr>
      </w:sdtEndPr>
      <w:sdtContent>
        <w:p w14:paraId="133E1B3B" w14:textId="77777777" w:rsidR="002D0AE7" w:rsidRDefault="00333EBB">
          <w:pPr>
            <w:pStyle w:val="aff7"/>
            <w:ind w:firstLineChars="0" w:firstLine="0"/>
            <w:jc w:val="left"/>
            <w:rPr>
              <w:rFonts w:ascii="宋体" w:hAnsi="宋体" w:hint="eastAsia"/>
              <w:color w:val="000000" w:themeColor="text1"/>
            </w:rPr>
          </w:pPr>
          <w:sdt>
            <w:sdtPr>
              <w:rPr>
                <w:rFonts w:ascii="宋体" w:hAnsi="宋体" w:hint="eastAsia"/>
                <w:color w:val="000000" w:themeColor="text1"/>
                <w:sz w:val="21"/>
                <w:szCs w:val="21"/>
              </w:rPr>
              <w:alias w:val="利润表及现金流量表相关科目变动分析-科目名称"/>
              <w:tag w:val="_GBC_764a55650aaf4240a584071ddd35a587"/>
              <w:id w:val="1390619904"/>
            </w:sdtPr>
            <w:sdtEndPr/>
            <w:sdtContent>
              <w:r>
                <w:rPr>
                  <w:rFonts w:ascii="宋体" w:hAnsi="宋体" w:hint="eastAsia"/>
                  <w:color w:val="000000" w:themeColor="text1"/>
                  <w:sz w:val="21"/>
                  <w:szCs w:val="21"/>
                </w:rPr>
                <w:t>（</w:t>
              </w:r>
              <w:r>
                <w:rPr>
                  <w:rFonts w:ascii="宋体" w:hAnsi="宋体" w:hint="eastAsia"/>
                  <w:color w:val="000000" w:themeColor="text1"/>
                  <w:sz w:val="21"/>
                  <w:szCs w:val="21"/>
                </w:rPr>
                <w:t>1</w:t>
              </w:r>
              <w:r>
                <w:rPr>
                  <w:rFonts w:ascii="宋体" w:hAnsi="宋体"/>
                  <w:color w:val="000000" w:themeColor="text1"/>
                  <w:sz w:val="21"/>
                  <w:szCs w:val="21"/>
                </w:rPr>
                <w:t>0</w:t>
              </w:r>
              <w:r>
                <w:rPr>
                  <w:rFonts w:ascii="宋体" w:hAnsi="宋体" w:hint="eastAsia"/>
                  <w:color w:val="000000" w:themeColor="text1"/>
                  <w:sz w:val="21"/>
                  <w:szCs w:val="21"/>
                </w:rPr>
                <w:t>）营业外支出</w:t>
              </w:r>
            </w:sdtContent>
          </w:sdt>
          <w:r>
            <w:rPr>
              <w:rFonts w:ascii="宋体" w:hAnsi="宋体" w:hint="eastAsia"/>
              <w:color w:val="000000" w:themeColor="text1"/>
              <w:sz w:val="21"/>
              <w:szCs w:val="21"/>
            </w:rPr>
            <w:t>变动原因说明：</w:t>
          </w:r>
          <w:sdt>
            <w:sdtPr>
              <w:rPr>
                <w:rFonts w:ascii="宋体" w:hAnsi="宋体" w:hint="eastAsia"/>
                <w:color w:val="000000" w:themeColor="text1"/>
                <w:sz w:val="21"/>
                <w:szCs w:val="21"/>
              </w:rPr>
              <w:alias w:val="利润表及现金流量表相关科目变动分析-变动原因说明"/>
              <w:tag w:val="_GBC_1f225b75164341838c2f2de40a1ee736"/>
              <w:id w:val="-1180033108"/>
            </w:sdtPr>
            <w:sdtEndPr>
              <w:rPr>
                <w:sz w:val="24"/>
              </w:rPr>
            </w:sdtEndPr>
            <w:sdtContent>
              <w:r>
                <w:rPr>
                  <w:rFonts w:ascii="宋体" w:hAnsi="宋体" w:hint="eastAsia"/>
                  <w:color w:val="000000" w:themeColor="text1"/>
                  <w:sz w:val="21"/>
                  <w:szCs w:val="21"/>
                </w:rPr>
                <w:t>报告期内行政处罚同比减少。</w:t>
              </w:r>
            </w:sdtContent>
          </w:sdt>
        </w:p>
      </w:sdtContent>
    </w:sdt>
    <w:p w14:paraId="50A75783" w14:textId="77777777" w:rsidR="002D0AE7" w:rsidRDefault="00333EBB">
      <w:pPr>
        <w:pStyle w:val="4"/>
        <w:numPr>
          <w:ilvl w:val="0"/>
          <w:numId w:val="7"/>
        </w:numPr>
        <w:rPr>
          <w:rFonts w:ascii="宋体" w:hAnsi="宋体" w:hint="eastAsia"/>
          <w:color w:val="000000" w:themeColor="text1"/>
        </w:rPr>
      </w:pPr>
      <w:r>
        <w:rPr>
          <w:rFonts w:ascii="宋体" w:hAnsi="宋体" w:hint="eastAsia"/>
          <w:color w:val="000000" w:themeColor="text1"/>
        </w:rPr>
        <w:t>本期</w:t>
      </w:r>
      <w:r>
        <w:rPr>
          <w:rFonts w:ascii="宋体" w:hAnsi="宋体"/>
          <w:color w:val="000000" w:themeColor="text1"/>
        </w:rPr>
        <w:t>公司</w:t>
      </w:r>
      <w:r>
        <w:rPr>
          <w:rFonts w:ascii="宋体" w:hAnsi="宋体" w:hint="eastAsia"/>
          <w:color w:val="000000" w:themeColor="text1"/>
        </w:rPr>
        <w:t>业务类型、</w:t>
      </w:r>
      <w:r>
        <w:rPr>
          <w:rFonts w:ascii="宋体" w:hAnsi="宋体"/>
          <w:color w:val="000000" w:themeColor="text1"/>
        </w:rPr>
        <w:t>利润构成或利润来源发生重大变动的详细说明</w:t>
      </w:r>
    </w:p>
    <w:sdt>
      <w:sdtPr>
        <w:rPr>
          <w:color w:val="000000" w:themeColor="text1"/>
        </w:rPr>
        <w:alias w:val="是否适用：公司利润构成或利润来源发生重大变动的详细说明[双击切换]"/>
        <w:tag w:val="_GBC_cf62b49cb7b54052a77aa6c4ec7218c8"/>
        <w:id w:val="-508135227"/>
        <w:placeholder>
          <w:docPart w:val="GBC22222222222222222222222222222"/>
        </w:placeholder>
      </w:sdtPr>
      <w:sdtEndPr/>
      <w:sdtContent>
        <w:p w14:paraId="3ED51575"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0FA4ED51" w14:textId="77777777" w:rsidR="002D0AE7" w:rsidRDefault="00333EBB">
      <w:pPr>
        <w:pStyle w:val="3"/>
        <w:numPr>
          <w:ilvl w:val="0"/>
          <w:numId w:val="6"/>
        </w:numPr>
        <w:rPr>
          <w:rFonts w:ascii="宋体" w:hAnsi="宋体" w:hint="eastAsia"/>
          <w:color w:val="000000" w:themeColor="text1"/>
        </w:rPr>
      </w:pPr>
      <w:r>
        <w:rPr>
          <w:rFonts w:ascii="宋体" w:hAnsi="宋体"/>
          <w:color w:val="000000" w:themeColor="text1"/>
        </w:rPr>
        <w:t>非主营业务导致利润重大变化的说明</w:t>
      </w:r>
    </w:p>
    <w:sdt>
      <w:sdtPr>
        <w:rPr>
          <w:rFonts w:hint="eastAsia"/>
          <w:color w:val="000000" w:themeColor="text1"/>
        </w:rPr>
        <w:alias w:val="是否适用：非主营业务来源分析[双击切换]"/>
        <w:tag w:val="_GBC_45f0580c6f114551af0270412b25ccd0"/>
        <w:id w:val="959075538"/>
        <w:placeholder>
          <w:docPart w:val="GBC22222222222222222222222222222"/>
        </w:placeholder>
      </w:sdtPr>
      <w:sdtEndPr/>
      <w:sdtContent>
        <w:p w14:paraId="4530FEAA"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03A6891E" w14:textId="77777777" w:rsidR="002D0AE7" w:rsidRDefault="00333EBB">
      <w:pPr>
        <w:pStyle w:val="3"/>
        <w:numPr>
          <w:ilvl w:val="0"/>
          <w:numId w:val="6"/>
        </w:numPr>
        <w:rPr>
          <w:rFonts w:ascii="宋体" w:hAnsi="宋体" w:hint="eastAsia"/>
          <w:color w:val="000000" w:themeColor="text1"/>
          <w:szCs w:val="21"/>
        </w:rPr>
      </w:pPr>
      <w:r>
        <w:rPr>
          <w:rFonts w:ascii="宋体" w:hAnsi="宋体"/>
          <w:color w:val="000000" w:themeColor="text1"/>
          <w:szCs w:val="21"/>
        </w:rPr>
        <w:t>资产、负债情况分析</w:t>
      </w:r>
    </w:p>
    <w:p w14:paraId="26E6F0B5" w14:textId="77777777" w:rsidR="002D0AE7" w:rsidRDefault="00333EBB">
      <w:pPr>
        <w:rPr>
          <w:rFonts w:hint="eastAsia"/>
          <w:color w:val="000000" w:themeColor="text1"/>
        </w:rPr>
      </w:pPr>
      <w:sdt>
        <w:sdtPr>
          <w:rPr>
            <w:rFonts w:hint="eastAsia"/>
            <w:color w:val="000000" w:themeColor="text1"/>
          </w:rPr>
          <w:alias w:val="是否适用：资产、负债情况分析[双击切换]"/>
          <w:tag w:val="_GBC_7e768f46f428417e8696bff3cfaf9902"/>
          <w:id w:val="1380750606"/>
          <w:lock w:val="contentLocked"/>
          <w:placeholder>
            <w:docPart w:val="GBC22222222222222222222222222222"/>
          </w:placeholder>
        </w:sdtPr>
        <w:sdtEndPr/>
        <w:sdtContent>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sdtContent>
      </w:sdt>
    </w:p>
    <w:p w14:paraId="04AD1B10" w14:textId="77777777" w:rsidR="002D0AE7" w:rsidRDefault="00333EBB">
      <w:pPr>
        <w:pStyle w:val="4"/>
        <w:numPr>
          <w:ilvl w:val="0"/>
          <w:numId w:val="8"/>
        </w:numPr>
        <w:rPr>
          <w:rFonts w:ascii="宋体" w:hAnsi="宋体" w:hint="eastAsia"/>
          <w:b w:val="0"/>
          <w:color w:val="000000" w:themeColor="text1"/>
        </w:rPr>
      </w:pPr>
      <w:bookmarkStart w:id="36" w:name="_Hlk74730011"/>
      <w:r>
        <w:rPr>
          <w:rFonts w:ascii="宋体" w:hAnsi="宋体"/>
          <w:color w:val="000000" w:themeColor="text1"/>
        </w:rPr>
        <w:t>资产</w:t>
      </w:r>
      <w:r>
        <w:rPr>
          <w:rFonts w:ascii="宋体" w:hAnsi="宋体" w:hint="eastAsia"/>
          <w:color w:val="000000" w:themeColor="text1"/>
        </w:rPr>
        <w:t>及</w:t>
      </w:r>
      <w:r>
        <w:rPr>
          <w:rFonts w:ascii="宋体" w:hAnsi="宋体"/>
          <w:color w:val="000000" w:themeColor="text1"/>
        </w:rPr>
        <w:t>负债</w:t>
      </w:r>
      <w:r>
        <w:rPr>
          <w:rFonts w:ascii="宋体" w:hAnsi="宋体" w:hint="eastAsia"/>
          <w:color w:val="000000" w:themeColor="text1"/>
          <w:szCs w:val="21"/>
        </w:rPr>
        <w:t>状</w:t>
      </w:r>
      <w:r>
        <w:rPr>
          <w:rFonts w:ascii="宋体" w:hAnsi="宋体"/>
          <w:color w:val="000000" w:themeColor="text1"/>
          <w:szCs w:val="21"/>
        </w:rPr>
        <w:t>况</w:t>
      </w:r>
    </w:p>
    <w:p w14:paraId="7FF3D6FA"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资产负债状况分析"/>
          <w:tag w:val="_GBC_21de4e2184d94baf8e19137a1d0d5b74"/>
          <w:id w:val="-194005008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p>
    <w:tbl>
      <w:tblPr>
        <w:tblW w:w="6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93"/>
        <w:gridCol w:w="690"/>
        <w:gridCol w:w="1696"/>
        <w:gridCol w:w="707"/>
        <w:gridCol w:w="849"/>
        <w:gridCol w:w="3821"/>
      </w:tblGrid>
      <w:tr w:rsidR="002D0AE7" w14:paraId="6969AFF8" w14:textId="77777777">
        <w:trPr>
          <w:trHeight w:val="180"/>
          <w:jc w:val="center"/>
        </w:trPr>
        <w:sdt>
          <w:sdtPr>
            <w:rPr>
              <w:rFonts w:asciiTheme="minorEastAsia" w:hAnsiTheme="minorEastAsia"/>
              <w:color w:val="000000" w:themeColor="text1"/>
              <w:sz w:val="21"/>
              <w:szCs w:val="21"/>
            </w:rPr>
            <w:tag w:val="_PLD_d0f356a255cd4ad2a1d809f43b17afe4"/>
            <w:id w:val="-887943932"/>
          </w:sdtPr>
          <w:sdtEndPr/>
          <w:sdtContent>
            <w:tc>
              <w:tcPr>
                <w:tcW w:w="713" w:type="pct"/>
                <w:vAlign w:val="center"/>
              </w:tcPr>
              <w:p w14:paraId="488B2E6E" w14:textId="77777777" w:rsidR="002D0AE7" w:rsidRDefault="00333EBB">
                <w:pPr>
                  <w:jc w:val="center"/>
                  <w:rPr>
                    <w:rFonts w:asciiTheme="minorEastAsia" w:hAnsiTheme="minorEastAsia" w:hint="eastAsia"/>
                    <w:b/>
                    <w:color w:val="000000" w:themeColor="text1"/>
                    <w:sz w:val="21"/>
                    <w:szCs w:val="21"/>
                  </w:rPr>
                </w:pPr>
                <w:r>
                  <w:rPr>
                    <w:rFonts w:asciiTheme="minorEastAsia" w:hAnsiTheme="minorEastAsia"/>
                    <w:color w:val="000000" w:themeColor="text1"/>
                    <w:sz w:val="21"/>
                    <w:szCs w:val="21"/>
                  </w:rPr>
                  <w:t>项目名称</w:t>
                </w:r>
              </w:p>
            </w:tc>
          </w:sdtContent>
        </w:sdt>
        <w:sdt>
          <w:sdtPr>
            <w:rPr>
              <w:rFonts w:asciiTheme="minorEastAsia" w:hAnsiTheme="minorEastAsia"/>
              <w:color w:val="000000" w:themeColor="text1"/>
              <w:sz w:val="21"/>
              <w:szCs w:val="21"/>
            </w:rPr>
            <w:tag w:val="_PLD_908740cf286747d79d5abbe407fef2b5"/>
            <w:id w:val="-1618683276"/>
          </w:sdtPr>
          <w:sdtEndPr/>
          <w:sdtContent>
            <w:tc>
              <w:tcPr>
                <w:tcW w:w="730" w:type="pct"/>
                <w:vAlign w:val="center"/>
              </w:tcPr>
              <w:p w14:paraId="1E81044F" w14:textId="77777777" w:rsidR="002D0AE7" w:rsidRDefault="00333EBB">
                <w:pPr>
                  <w:jc w:val="center"/>
                  <w:rPr>
                    <w:rFonts w:asciiTheme="minorEastAsia" w:hAnsiTheme="minorEastAsia" w:hint="eastAsia"/>
                    <w:b/>
                    <w:color w:val="000000" w:themeColor="text1"/>
                    <w:sz w:val="21"/>
                    <w:szCs w:val="21"/>
                  </w:rPr>
                </w:pPr>
                <w:r>
                  <w:rPr>
                    <w:rFonts w:asciiTheme="minorEastAsia" w:hAnsiTheme="minorEastAsia"/>
                    <w:color w:val="000000" w:themeColor="text1"/>
                    <w:sz w:val="21"/>
                    <w:szCs w:val="21"/>
                  </w:rPr>
                  <w:t>本期期末数</w:t>
                </w:r>
              </w:p>
            </w:tc>
          </w:sdtContent>
        </w:sdt>
        <w:sdt>
          <w:sdtPr>
            <w:rPr>
              <w:rFonts w:asciiTheme="minorEastAsia" w:hAnsiTheme="minorEastAsia"/>
              <w:color w:val="000000" w:themeColor="text1"/>
              <w:sz w:val="21"/>
              <w:szCs w:val="21"/>
            </w:rPr>
            <w:tag w:val="_PLD_329bbbc9fa484c0990e705c4343b8bd2"/>
            <w:id w:val="20051874"/>
          </w:sdtPr>
          <w:sdtEndPr/>
          <w:sdtContent>
            <w:tc>
              <w:tcPr>
                <w:tcW w:w="316" w:type="pct"/>
                <w:vAlign w:val="center"/>
              </w:tcPr>
              <w:p w14:paraId="568F1613" w14:textId="77777777" w:rsidR="002D0AE7" w:rsidRDefault="00333EBB">
                <w:pPr>
                  <w:jc w:val="center"/>
                  <w:rPr>
                    <w:rFonts w:asciiTheme="minorEastAsia" w:hAnsiTheme="minorEastAsia" w:hint="eastAsia"/>
                    <w:b/>
                    <w:color w:val="000000" w:themeColor="text1"/>
                    <w:sz w:val="21"/>
                    <w:szCs w:val="21"/>
                  </w:rPr>
                </w:pPr>
                <w:r>
                  <w:rPr>
                    <w:rFonts w:asciiTheme="minorEastAsia" w:hAnsiTheme="minorEastAsia"/>
                    <w:color w:val="000000" w:themeColor="text1"/>
                    <w:sz w:val="21"/>
                    <w:szCs w:val="21"/>
                  </w:rPr>
                  <w:t>本期期末数占总资产的比例（</w:t>
                </w:r>
                <w:r>
                  <w:rPr>
                    <w:rFonts w:asciiTheme="minorEastAsia" w:hAnsiTheme="minorEastAsia"/>
                    <w:color w:val="000000" w:themeColor="text1"/>
                    <w:sz w:val="21"/>
                    <w:szCs w:val="21"/>
                  </w:rPr>
                  <w:t>%</w:t>
                </w:r>
                <w:r>
                  <w:rPr>
                    <w:rFonts w:asciiTheme="minorEastAsia" w:hAnsiTheme="minorEastAsia"/>
                    <w:color w:val="000000" w:themeColor="text1"/>
                    <w:sz w:val="21"/>
                    <w:szCs w:val="21"/>
                  </w:rPr>
                  <w:t>）</w:t>
                </w:r>
              </w:p>
            </w:tc>
          </w:sdtContent>
        </w:sdt>
        <w:sdt>
          <w:sdtPr>
            <w:rPr>
              <w:rFonts w:asciiTheme="minorEastAsia" w:hAnsiTheme="minorEastAsia"/>
              <w:color w:val="000000" w:themeColor="text1"/>
              <w:sz w:val="21"/>
              <w:szCs w:val="21"/>
            </w:rPr>
            <w:tag w:val="_PLD_56ec8d815a204f39816e77d18cf2ac7e"/>
            <w:id w:val="1793328649"/>
          </w:sdtPr>
          <w:sdtEndPr/>
          <w:sdtContent>
            <w:tc>
              <w:tcPr>
                <w:tcW w:w="777" w:type="pct"/>
                <w:vAlign w:val="center"/>
              </w:tcPr>
              <w:p w14:paraId="4A4ECCC4" w14:textId="77777777" w:rsidR="002D0AE7" w:rsidRDefault="00333EBB">
                <w:pPr>
                  <w:jc w:val="center"/>
                  <w:rPr>
                    <w:rFonts w:asciiTheme="minorEastAsia" w:hAnsiTheme="minorEastAsia" w:hint="eastAsia"/>
                    <w:b/>
                    <w:color w:val="000000" w:themeColor="text1"/>
                    <w:sz w:val="21"/>
                    <w:szCs w:val="21"/>
                  </w:rPr>
                </w:pPr>
                <w:r>
                  <w:rPr>
                    <w:rFonts w:asciiTheme="minorEastAsia" w:hAnsiTheme="minorEastAsia"/>
                    <w:color w:val="000000" w:themeColor="text1"/>
                    <w:sz w:val="21"/>
                    <w:szCs w:val="21"/>
                  </w:rPr>
                  <w:t>上</w:t>
                </w:r>
                <w:r>
                  <w:rPr>
                    <w:rFonts w:asciiTheme="minorEastAsia" w:hAnsiTheme="minorEastAsia" w:hint="eastAsia"/>
                    <w:color w:val="000000" w:themeColor="text1"/>
                    <w:sz w:val="21"/>
                    <w:szCs w:val="21"/>
                  </w:rPr>
                  <w:t>年</w:t>
                </w:r>
                <w:r>
                  <w:rPr>
                    <w:rFonts w:asciiTheme="minorEastAsia" w:hAnsiTheme="minorEastAsia"/>
                    <w:color w:val="000000" w:themeColor="text1"/>
                    <w:sz w:val="21"/>
                    <w:szCs w:val="21"/>
                  </w:rPr>
                  <w:t>期末数</w:t>
                </w:r>
              </w:p>
            </w:tc>
          </w:sdtContent>
        </w:sdt>
        <w:sdt>
          <w:sdtPr>
            <w:rPr>
              <w:rFonts w:asciiTheme="minorEastAsia" w:hAnsiTheme="minorEastAsia"/>
              <w:color w:val="000000" w:themeColor="text1"/>
              <w:sz w:val="21"/>
              <w:szCs w:val="21"/>
            </w:rPr>
            <w:tag w:val="_PLD_4bc2806364aa476db7b5ac96d585ad18"/>
            <w:id w:val="-469448538"/>
          </w:sdtPr>
          <w:sdtEndPr/>
          <w:sdtContent>
            <w:tc>
              <w:tcPr>
                <w:tcW w:w="324" w:type="pct"/>
                <w:vAlign w:val="center"/>
              </w:tcPr>
              <w:p w14:paraId="4C124A54" w14:textId="77777777" w:rsidR="002D0AE7" w:rsidRDefault="00333EBB">
                <w:pPr>
                  <w:jc w:val="center"/>
                  <w:rPr>
                    <w:rFonts w:asciiTheme="minorEastAsia" w:hAnsiTheme="minorEastAsia" w:hint="eastAsia"/>
                    <w:b/>
                    <w:color w:val="000000" w:themeColor="text1"/>
                    <w:sz w:val="21"/>
                    <w:szCs w:val="21"/>
                  </w:rPr>
                </w:pPr>
                <w:r>
                  <w:rPr>
                    <w:rFonts w:asciiTheme="minorEastAsia" w:hAnsiTheme="minorEastAsia"/>
                    <w:color w:val="000000" w:themeColor="text1"/>
                    <w:sz w:val="21"/>
                    <w:szCs w:val="21"/>
                  </w:rPr>
                  <w:t>上</w:t>
                </w:r>
                <w:r>
                  <w:rPr>
                    <w:rFonts w:asciiTheme="minorEastAsia" w:hAnsiTheme="minorEastAsia" w:hint="eastAsia"/>
                    <w:color w:val="000000" w:themeColor="text1"/>
                    <w:sz w:val="21"/>
                    <w:szCs w:val="21"/>
                  </w:rPr>
                  <w:t>年</w:t>
                </w:r>
                <w:r>
                  <w:rPr>
                    <w:rFonts w:asciiTheme="minorEastAsia" w:hAnsiTheme="minorEastAsia"/>
                    <w:color w:val="000000" w:themeColor="text1"/>
                    <w:sz w:val="21"/>
                    <w:szCs w:val="21"/>
                  </w:rPr>
                  <w:t>期末数占总资产的比例（</w:t>
                </w:r>
                <w:r>
                  <w:rPr>
                    <w:rFonts w:asciiTheme="minorEastAsia" w:hAnsiTheme="minorEastAsia"/>
                    <w:color w:val="000000" w:themeColor="text1"/>
                    <w:sz w:val="21"/>
                    <w:szCs w:val="21"/>
                  </w:rPr>
                  <w:t>%</w:t>
                </w:r>
                <w:r>
                  <w:rPr>
                    <w:rFonts w:asciiTheme="minorEastAsia" w:hAnsiTheme="minorEastAsia"/>
                    <w:color w:val="000000" w:themeColor="text1"/>
                    <w:sz w:val="21"/>
                    <w:szCs w:val="21"/>
                  </w:rPr>
                  <w:t>）</w:t>
                </w:r>
              </w:p>
            </w:tc>
          </w:sdtContent>
        </w:sdt>
        <w:sdt>
          <w:sdtPr>
            <w:rPr>
              <w:rFonts w:asciiTheme="minorEastAsia" w:hAnsiTheme="minorEastAsia"/>
              <w:color w:val="000000" w:themeColor="text1"/>
              <w:sz w:val="21"/>
              <w:szCs w:val="21"/>
            </w:rPr>
            <w:tag w:val="_PLD_4cfcbfaae8d94f2d87cb33b122df7a82"/>
            <w:id w:val="-112529359"/>
          </w:sdtPr>
          <w:sdtEndPr/>
          <w:sdtContent>
            <w:tc>
              <w:tcPr>
                <w:tcW w:w="389" w:type="pct"/>
                <w:vAlign w:val="center"/>
              </w:tcPr>
              <w:p w14:paraId="74BA4B29" w14:textId="77777777" w:rsidR="002D0AE7" w:rsidRDefault="00333EBB">
                <w:pPr>
                  <w:jc w:val="center"/>
                  <w:rPr>
                    <w:rFonts w:asciiTheme="minorEastAsia" w:hAnsiTheme="minorEastAsia" w:hint="eastAsia"/>
                    <w:b/>
                    <w:color w:val="000000" w:themeColor="text1"/>
                    <w:sz w:val="21"/>
                    <w:szCs w:val="21"/>
                  </w:rPr>
                </w:pPr>
                <w:r>
                  <w:rPr>
                    <w:rFonts w:asciiTheme="minorEastAsia" w:hAnsiTheme="minorEastAsia"/>
                    <w:color w:val="000000" w:themeColor="text1"/>
                    <w:sz w:val="21"/>
                    <w:szCs w:val="21"/>
                  </w:rPr>
                  <w:t>本期期末金额较上</w:t>
                </w:r>
                <w:r>
                  <w:rPr>
                    <w:rFonts w:asciiTheme="minorEastAsia" w:hAnsiTheme="minorEastAsia" w:hint="eastAsia"/>
                    <w:color w:val="000000" w:themeColor="text1"/>
                    <w:sz w:val="21"/>
                    <w:szCs w:val="21"/>
                  </w:rPr>
                  <w:t>年</w:t>
                </w:r>
                <w:r>
                  <w:rPr>
                    <w:rFonts w:asciiTheme="minorEastAsia" w:hAnsiTheme="minorEastAsia"/>
                    <w:color w:val="000000" w:themeColor="text1"/>
                    <w:sz w:val="21"/>
                    <w:szCs w:val="21"/>
                  </w:rPr>
                  <w:t>期末变动比例（</w:t>
                </w:r>
                <w:r>
                  <w:rPr>
                    <w:rFonts w:asciiTheme="minorEastAsia" w:hAnsiTheme="minorEastAsia"/>
                    <w:color w:val="000000" w:themeColor="text1"/>
                    <w:sz w:val="21"/>
                    <w:szCs w:val="21"/>
                  </w:rPr>
                  <w:t>%</w:t>
                </w:r>
                <w:r>
                  <w:rPr>
                    <w:rFonts w:asciiTheme="minorEastAsia" w:hAnsiTheme="minorEastAsia"/>
                    <w:color w:val="000000" w:themeColor="text1"/>
                    <w:sz w:val="21"/>
                    <w:szCs w:val="21"/>
                  </w:rPr>
                  <w:t>）</w:t>
                </w:r>
              </w:p>
            </w:tc>
          </w:sdtContent>
        </w:sdt>
        <w:sdt>
          <w:sdtPr>
            <w:rPr>
              <w:rFonts w:asciiTheme="minorEastAsia" w:hAnsiTheme="minorEastAsia"/>
              <w:color w:val="000000" w:themeColor="text1"/>
              <w:sz w:val="21"/>
              <w:szCs w:val="21"/>
            </w:rPr>
            <w:tag w:val="_PLD_2acc4b359fa846d5bfb9939daf2ce46b"/>
            <w:id w:val="-147904918"/>
          </w:sdtPr>
          <w:sdtEndPr/>
          <w:sdtContent>
            <w:tc>
              <w:tcPr>
                <w:tcW w:w="1752" w:type="pct"/>
                <w:vAlign w:val="center"/>
              </w:tcPr>
              <w:p w14:paraId="29E24B26" w14:textId="77777777" w:rsidR="002D0AE7" w:rsidRDefault="00333EBB">
                <w:pPr>
                  <w:jc w:val="center"/>
                  <w:rPr>
                    <w:rFonts w:asciiTheme="minorEastAsia" w:hAnsiTheme="minorEastAsia" w:hint="eastAsia"/>
                    <w:b/>
                    <w:color w:val="000000" w:themeColor="text1"/>
                    <w:sz w:val="21"/>
                    <w:szCs w:val="21"/>
                  </w:rPr>
                </w:pPr>
                <w:r>
                  <w:rPr>
                    <w:rFonts w:asciiTheme="minorEastAsia" w:hAnsiTheme="minorEastAsia"/>
                    <w:color w:val="000000" w:themeColor="text1"/>
                    <w:sz w:val="21"/>
                    <w:szCs w:val="21"/>
                  </w:rPr>
                  <w:t>情况说明</w:t>
                </w:r>
              </w:p>
            </w:tc>
          </w:sdtContent>
        </w:sdt>
      </w:tr>
      <w:tr w:rsidR="002D0AE7" w14:paraId="09BBDE2C" w14:textId="77777777">
        <w:trPr>
          <w:trHeight w:val="135"/>
          <w:jc w:val="center"/>
        </w:trPr>
        <w:tc>
          <w:tcPr>
            <w:tcW w:w="713" w:type="pct"/>
            <w:vAlign w:val="center"/>
          </w:tcPr>
          <w:p w14:paraId="16909BA8" w14:textId="77777777" w:rsidR="002D0AE7" w:rsidRDefault="00333EBB">
            <w:pPr>
              <w:rPr>
                <w:rFonts w:asciiTheme="minorEastAsia" w:hAnsiTheme="minorEastAsia" w:hint="eastAsia"/>
                <w:b/>
                <w:sz w:val="21"/>
                <w:szCs w:val="21"/>
              </w:rPr>
            </w:pPr>
            <w:r>
              <w:rPr>
                <w:sz w:val="21"/>
                <w:szCs w:val="21"/>
              </w:rPr>
              <w:t>预付款项</w:t>
            </w:r>
          </w:p>
        </w:tc>
        <w:tc>
          <w:tcPr>
            <w:tcW w:w="730" w:type="pct"/>
            <w:vAlign w:val="center"/>
          </w:tcPr>
          <w:p w14:paraId="44B03859"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30,129,787.59</w:t>
            </w:r>
          </w:p>
        </w:tc>
        <w:tc>
          <w:tcPr>
            <w:tcW w:w="316" w:type="pct"/>
            <w:vAlign w:val="center"/>
          </w:tcPr>
          <w:p w14:paraId="376E90A4"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0.49</w:t>
            </w:r>
          </w:p>
        </w:tc>
        <w:tc>
          <w:tcPr>
            <w:tcW w:w="777" w:type="pct"/>
            <w:vAlign w:val="center"/>
          </w:tcPr>
          <w:p w14:paraId="27AFA30B"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48,940,815.71</w:t>
            </w:r>
          </w:p>
        </w:tc>
        <w:tc>
          <w:tcPr>
            <w:tcW w:w="324" w:type="pct"/>
            <w:vAlign w:val="center"/>
          </w:tcPr>
          <w:p w14:paraId="180EB112"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0.80</w:t>
            </w:r>
          </w:p>
        </w:tc>
        <w:tc>
          <w:tcPr>
            <w:tcW w:w="389" w:type="pct"/>
            <w:vAlign w:val="center"/>
          </w:tcPr>
          <w:p w14:paraId="06ABAB60"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-38.44</w:t>
            </w:r>
          </w:p>
        </w:tc>
        <w:tc>
          <w:tcPr>
            <w:tcW w:w="1752" w:type="pct"/>
            <w:vAlign w:val="center"/>
          </w:tcPr>
          <w:p w14:paraId="02DA3F52" w14:textId="77777777" w:rsidR="002D0AE7" w:rsidRDefault="00333EBB">
            <w:pPr>
              <w:rPr>
                <w:rFonts w:asciiTheme="minorEastAsia" w:hAnsiTheme="minorEastAsia" w:hint="eastAsia"/>
                <w:b/>
                <w:sz w:val="21"/>
                <w:szCs w:val="21"/>
              </w:rPr>
            </w:pPr>
            <w:r>
              <w:rPr>
                <w:rFonts w:hint="eastAsia"/>
                <w:color w:val="000000"/>
                <w:sz w:val="21"/>
                <w:szCs w:val="21"/>
              </w:rPr>
              <w:t>报告期末预付原料款比年初减少。</w:t>
            </w:r>
          </w:p>
        </w:tc>
      </w:tr>
      <w:tr w:rsidR="002D0AE7" w14:paraId="4A874F60" w14:textId="77777777">
        <w:trPr>
          <w:trHeight w:val="135"/>
          <w:jc w:val="center"/>
        </w:trPr>
        <w:tc>
          <w:tcPr>
            <w:tcW w:w="713" w:type="pct"/>
            <w:vAlign w:val="center"/>
          </w:tcPr>
          <w:p w14:paraId="0746E601" w14:textId="77777777" w:rsidR="002D0AE7" w:rsidRDefault="00333EBB">
            <w:pPr>
              <w:rPr>
                <w:rFonts w:asciiTheme="minorEastAsia" w:hAnsiTheme="minorEastAsia" w:hint="eastAsia"/>
                <w:b/>
                <w:sz w:val="21"/>
                <w:szCs w:val="21"/>
              </w:rPr>
            </w:pPr>
            <w:r>
              <w:rPr>
                <w:sz w:val="21"/>
                <w:szCs w:val="21"/>
              </w:rPr>
              <w:t>其他流动资产</w:t>
            </w:r>
          </w:p>
        </w:tc>
        <w:tc>
          <w:tcPr>
            <w:tcW w:w="730" w:type="pct"/>
            <w:vAlign w:val="center"/>
          </w:tcPr>
          <w:p w14:paraId="45F25852"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4,554,102.63</w:t>
            </w:r>
          </w:p>
        </w:tc>
        <w:tc>
          <w:tcPr>
            <w:tcW w:w="316" w:type="pct"/>
            <w:vAlign w:val="center"/>
          </w:tcPr>
          <w:p w14:paraId="7D33138F"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0.07</w:t>
            </w:r>
          </w:p>
        </w:tc>
        <w:tc>
          <w:tcPr>
            <w:tcW w:w="777" w:type="pct"/>
            <w:vAlign w:val="center"/>
          </w:tcPr>
          <w:p w14:paraId="2B826317"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6,941,189.99</w:t>
            </w:r>
          </w:p>
        </w:tc>
        <w:tc>
          <w:tcPr>
            <w:tcW w:w="324" w:type="pct"/>
            <w:vAlign w:val="center"/>
          </w:tcPr>
          <w:p w14:paraId="442032DC"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0.11</w:t>
            </w:r>
          </w:p>
        </w:tc>
        <w:tc>
          <w:tcPr>
            <w:tcW w:w="389" w:type="pct"/>
            <w:vAlign w:val="center"/>
          </w:tcPr>
          <w:p w14:paraId="224C0308"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-34.39</w:t>
            </w:r>
          </w:p>
        </w:tc>
        <w:tc>
          <w:tcPr>
            <w:tcW w:w="1752" w:type="pct"/>
            <w:vAlign w:val="center"/>
          </w:tcPr>
          <w:p w14:paraId="591D0CF7" w14:textId="77777777" w:rsidR="002D0AE7" w:rsidRDefault="00333EBB">
            <w:pPr>
              <w:rPr>
                <w:rFonts w:asciiTheme="minorEastAsia" w:hAnsiTheme="minorEastAsia" w:hint="eastAsia"/>
                <w:sz w:val="21"/>
                <w:szCs w:val="21"/>
              </w:rPr>
            </w:pPr>
            <w:r>
              <w:rPr>
                <w:rFonts w:hint="eastAsia"/>
                <w:color w:val="000000"/>
                <w:sz w:val="21"/>
                <w:szCs w:val="21"/>
              </w:rPr>
              <w:t>报告期内预缴所得税较年初减少。</w:t>
            </w:r>
          </w:p>
        </w:tc>
      </w:tr>
      <w:tr w:rsidR="002D0AE7" w14:paraId="4F9D00E5" w14:textId="77777777">
        <w:trPr>
          <w:trHeight w:val="135"/>
          <w:jc w:val="center"/>
        </w:trPr>
        <w:tc>
          <w:tcPr>
            <w:tcW w:w="713" w:type="pct"/>
            <w:vAlign w:val="center"/>
          </w:tcPr>
          <w:p w14:paraId="43FCE214" w14:textId="77777777" w:rsidR="002D0AE7" w:rsidRDefault="00333EBB">
            <w:pPr>
              <w:rPr>
                <w:rFonts w:asciiTheme="minorEastAsia" w:hAnsiTheme="minorEastAsia" w:hint="eastAsia"/>
                <w:b/>
                <w:sz w:val="21"/>
                <w:szCs w:val="21"/>
              </w:rPr>
            </w:pPr>
            <w:r>
              <w:rPr>
                <w:sz w:val="21"/>
                <w:szCs w:val="21"/>
              </w:rPr>
              <w:t>使用权资产</w:t>
            </w:r>
          </w:p>
        </w:tc>
        <w:tc>
          <w:tcPr>
            <w:tcW w:w="730" w:type="pct"/>
            <w:vAlign w:val="center"/>
          </w:tcPr>
          <w:p w14:paraId="5779E8B0"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42,285.61</w:t>
            </w:r>
          </w:p>
        </w:tc>
        <w:tc>
          <w:tcPr>
            <w:tcW w:w="316" w:type="pct"/>
            <w:vAlign w:val="center"/>
          </w:tcPr>
          <w:p w14:paraId="7AE09674"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0.00</w:t>
            </w:r>
          </w:p>
        </w:tc>
        <w:tc>
          <w:tcPr>
            <w:tcW w:w="777" w:type="pct"/>
            <w:vAlign w:val="center"/>
          </w:tcPr>
          <w:p w14:paraId="14F8DD46"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126,856.85</w:t>
            </w:r>
          </w:p>
        </w:tc>
        <w:tc>
          <w:tcPr>
            <w:tcW w:w="324" w:type="pct"/>
            <w:vAlign w:val="center"/>
          </w:tcPr>
          <w:p w14:paraId="2A4D8718"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0.00</w:t>
            </w:r>
          </w:p>
        </w:tc>
        <w:tc>
          <w:tcPr>
            <w:tcW w:w="389" w:type="pct"/>
            <w:vAlign w:val="center"/>
          </w:tcPr>
          <w:p w14:paraId="7B447430"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-66.67</w:t>
            </w:r>
          </w:p>
        </w:tc>
        <w:tc>
          <w:tcPr>
            <w:tcW w:w="1752" w:type="pct"/>
            <w:vAlign w:val="center"/>
          </w:tcPr>
          <w:p w14:paraId="0C2A58CA" w14:textId="77777777" w:rsidR="002D0AE7" w:rsidRDefault="00333EBB">
            <w:pPr>
              <w:rPr>
                <w:rFonts w:asciiTheme="minorEastAsia" w:hAnsiTheme="minorEastAsia" w:hint="eastAsia"/>
                <w:b/>
                <w:sz w:val="21"/>
                <w:szCs w:val="21"/>
              </w:rPr>
            </w:pPr>
            <w:r>
              <w:rPr>
                <w:rFonts w:hint="eastAsia"/>
                <w:color w:val="000000"/>
                <w:sz w:val="21"/>
                <w:szCs w:val="21"/>
              </w:rPr>
              <w:t>报告期内部分租赁房屋到期。</w:t>
            </w:r>
          </w:p>
        </w:tc>
      </w:tr>
      <w:tr w:rsidR="002D0AE7" w14:paraId="291BF785" w14:textId="77777777">
        <w:trPr>
          <w:trHeight w:val="135"/>
          <w:jc w:val="center"/>
        </w:trPr>
        <w:tc>
          <w:tcPr>
            <w:tcW w:w="713" w:type="pct"/>
            <w:vAlign w:val="center"/>
          </w:tcPr>
          <w:p w14:paraId="55381DEB" w14:textId="77777777" w:rsidR="002D0AE7" w:rsidRDefault="00333EBB">
            <w:pPr>
              <w:rPr>
                <w:rFonts w:asciiTheme="minorEastAsia" w:hAnsiTheme="minorEastAsia" w:hint="eastAsia"/>
                <w:b/>
                <w:sz w:val="21"/>
                <w:szCs w:val="21"/>
              </w:rPr>
            </w:pPr>
            <w:r>
              <w:rPr>
                <w:sz w:val="21"/>
                <w:szCs w:val="21"/>
              </w:rPr>
              <w:t>短期借款</w:t>
            </w:r>
          </w:p>
        </w:tc>
        <w:tc>
          <w:tcPr>
            <w:tcW w:w="730" w:type="pct"/>
            <w:vAlign w:val="center"/>
          </w:tcPr>
          <w:p w14:paraId="64E09A35"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81,735,459.37</w:t>
            </w:r>
          </w:p>
        </w:tc>
        <w:tc>
          <w:tcPr>
            <w:tcW w:w="316" w:type="pct"/>
            <w:vAlign w:val="center"/>
          </w:tcPr>
          <w:p w14:paraId="1788DB4B"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1.34</w:t>
            </w:r>
          </w:p>
        </w:tc>
        <w:tc>
          <w:tcPr>
            <w:tcW w:w="777" w:type="pct"/>
            <w:vAlign w:val="center"/>
          </w:tcPr>
          <w:p w14:paraId="78517F45"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270,252,772.21</w:t>
            </w:r>
          </w:p>
        </w:tc>
        <w:tc>
          <w:tcPr>
            <w:tcW w:w="324" w:type="pct"/>
            <w:vAlign w:val="center"/>
          </w:tcPr>
          <w:p w14:paraId="698C6EA7"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4.40</w:t>
            </w:r>
          </w:p>
        </w:tc>
        <w:tc>
          <w:tcPr>
            <w:tcW w:w="389" w:type="pct"/>
            <w:vAlign w:val="center"/>
          </w:tcPr>
          <w:p w14:paraId="4B7DEEC9"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-69.76</w:t>
            </w:r>
          </w:p>
        </w:tc>
        <w:tc>
          <w:tcPr>
            <w:tcW w:w="1752" w:type="pct"/>
            <w:vAlign w:val="center"/>
          </w:tcPr>
          <w:p w14:paraId="393E60FF" w14:textId="77777777" w:rsidR="002D0AE7" w:rsidRDefault="00333EBB">
            <w:pPr>
              <w:rPr>
                <w:rFonts w:asciiTheme="minorEastAsia" w:hAnsiTheme="minorEastAsia" w:hint="eastAsia"/>
                <w:b/>
                <w:sz w:val="21"/>
                <w:szCs w:val="21"/>
              </w:rPr>
            </w:pPr>
            <w:r>
              <w:rPr>
                <w:rFonts w:hint="eastAsia"/>
                <w:color w:val="000000"/>
                <w:sz w:val="21"/>
                <w:szCs w:val="21"/>
              </w:rPr>
              <w:t>报告期内归还部分借款。</w:t>
            </w:r>
          </w:p>
        </w:tc>
      </w:tr>
      <w:tr w:rsidR="002D0AE7" w14:paraId="2E0D3205" w14:textId="77777777">
        <w:trPr>
          <w:trHeight w:val="135"/>
          <w:jc w:val="center"/>
        </w:trPr>
        <w:tc>
          <w:tcPr>
            <w:tcW w:w="713" w:type="pct"/>
            <w:vAlign w:val="center"/>
          </w:tcPr>
          <w:p w14:paraId="30F37DD6" w14:textId="77777777" w:rsidR="002D0AE7" w:rsidRDefault="00333EBB">
            <w:pPr>
              <w:rPr>
                <w:rFonts w:asciiTheme="minorEastAsia" w:hAnsiTheme="minorEastAsia" w:hint="eastAsia"/>
                <w:b/>
                <w:sz w:val="21"/>
                <w:szCs w:val="21"/>
              </w:rPr>
            </w:pPr>
            <w:r>
              <w:rPr>
                <w:sz w:val="21"/>
                <w:szCs w:val="21"/>
              </w:rPr>
              <w:t>应付票据</w:t>
            </w:r>
          </w:p>
        </w:tc>
        <w:tc>
          <w:tcPr>
            <w:tcW w:w="730" w:type="pct"/>
            <w:vAlign w:val="center"/>
          </w:tcPr>
          <w:p w14:paraId="082F5064"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141,656,665.22</w:t>
            </w:r>
          </w:p>
        </w:tc>
        <w:tc>
          <w:tcPr>
            <w:tcW w:w="316" w:type="pct"/>
            <w:vAlign w:val="center"/>
          </w:tcPr>
          <w:p w14:paraId="1A2BB10C"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2.32</w:t>
            </w:r>
          </w:p>
        </w:tc>
        <w:tc>
          <w:tcPr>
            <w:tcW w:w="777" w:type="pct"/>
            <w:vAlign w:val="center"/>
          </w:tcPr>
          <w:p w14:paraId="1933CCFD"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38,560,000.00</w:t>
            </w:r>
          </w:p>
        </w:tc>
        <w:tc>
          <w:tcPr>
            <w:tcW w:w="324" w:type="pct"/>
            <w:vAlign w:val="center"/>
          </w:tcPr>
          <w:p w14:paraId="734BBF27"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0.63</w:t>
            </w:r>
          </w:p>
        </w:tc>
        <w:tc>
          <w:tcPr>
            <w:tcW w:w="389" w:type="pct"/>
            <w:vAlign w:val="center"/>
          </w:tcPr>
          <w:p w14:paraId="3BF132AE"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267.37</w:t>
            </w:r>
          </w:p>
        </w:tc>
        <w:tc>
          <w:tcPr>
            <w:tcW w:w="1752" w:type="pct"/>
            <w:vAlign w:val="center"/>
          </w:tcPr>
          <w:p w14:paraId="2F320C43" w14:textId="77777777" w:rsidR="002D0AE7" w:rsidRDefault="00333EBB">
            <w:pPr>
              <w:rPr>
                <w:rFonts w:asciiTheme="minorEastAsia" w:hAnsiTheme="minorEastAsia" w:hint="eastAsia"/>
                <w:b/>
                <w:sz w:val="21"/>
                <w:szCs w:val="21"/>
              </w:rPr>
            </w:pPr>
            <w:r>
              <w:rPr>
                <w:rFonts w:hint="eastAsia"/>
                <w:color w:val="000000"/>
                <w:sz w:val="21"/>
                <w:szCs w:val="21"/>
              </w:rPr>
              <w:t>报告期末公司开具尚未到期的银行承兑汇票比年初增加。</w:t>
            </w:r>
          </w:p>
        </w:tc>
      </w:tr>
      <w:tr w:rsidR="002D0AE7" w14:paraId="77EF4990" w14:textId="77777777">
        <w:trPr>
          <w:trHeight w:val="135"/>
          <w:jc w:val="center"/>
        </w:trPr>
        <w:tc>
          <w:tcPr>
            <w:tcW w:w="713" w:type="pct"/>
            <w:vAlign w:val="center"/>
          </w:tcPr>
          <w:p w14:paraId="4B44AED3" w14:textId="77777777" w:rsidR="002D0AE7" w:rsidRDefault="00333EBB">
            <w:pPr>
              <w:rPr>
                <w:rFonts w:asciiTheme="minorEastAsia" w:hAnsiTheme="minorEastAsia" w:hint="eastAsia"/>
                <w:b/>
                <w:sz w:val="21"/>
                <w:szCs w:val="21"/>
              </w:rPr>
            </w:pPr>
            <w:r>
              <w:rPr>
                <w:sz w:val="21"/>
                <w:szCs w:val="21"/>
              </w:rPr>
              <w:t>合同负债</w:t>
            </w:r>
          </w:p>
        </w:tc>
        <w:tc>
          <w:tcPr>
            <w:tcW w:w="730" w:type="pct"/>
            <w:vAlign w:val="center"/>
          </w:tcPr>
          <w:p w14:paraId="24F3B9A8"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90,202,823.48</w:t>
            </w:r>
          </w:p>
        </w:tc>
        <w:tc>
          <w:tcPr>
            <w:tcW w:w="316" w:type="pct"/>
            <w:vAlign w:val="center"/>
          </w:tcPr>
          <w:p w14:paraId="3526362D"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1.48</w:t>
            </w:r>
          </w:p>
        </w:tc>
        <w:tc>
          <w:tcPr>
            <w:tcW w:w="777" w:type="pct"/>
            <w:vAlign w:val="center"/>
          </w:tcPr>
          <w:p w14:paraId="15F93584"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137,185,487.05</w:t>
            </w:r>
          </w:p>
        </w:tc>
        <w:tc>
          <w:tcPr>
            <w:tcW w:w="324" w:type="pct"/>
            <w:vAlign w:val="center"/>
          </w:tcPr>
          <w:p w14:paraId="1486C247"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2.23</w:t>
            </w:r>
          </w:p>
        </w:tc>
        <w:tc>
          <w:tcPr>
            <w:tcW w:w="389" w:type="pct"/>
            <w:vAlign w:val="center"/>
          </w:tcPr>
          <w:p w14:paraId="10D7CF8C"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-34.25</w:t>
            </w:r>
          </w:p>
        </w:tc>
        <w:tc>
          <w:tcPr>
            <w:tcW w:w="1752" w:type="pct"/>
            <w:vAlign w:val="center"/>
          </w:tcPr>
          <w:p w14:paraId="4241F8B7" w14:textId="77777777" w:rsidR="002D0AE7" w:rsidRDefault="00333EBB">
            <w:pPr>
              <w:rPr>
                <w:rFonts w:asciiTheme="minorEastAsia" w:hAnsiTheme="minorEastAsia" w:hint="eastAsia"/>
                <w:b/>
                <w:sz w:val="21"/>
                <w:szCs w:val="21"/>
              </w:rPr>
            </w:pPr>
            <w:r>
              <w:rPr>
                <w:rFonts w:hint="eastAsia"/>
                <w:color w:val="000000"/>
                <w:sz w:val="21"/>
                <w:szCs w:val="21"/>
              </w:rPr>
              <w:t>报告期末预收商品销售款比年初减少。</w:t>
            </w:r>
          </w:p>
        </w:tc>
      </w:tr>
      <w:tr w:rsidR="002D0AE7" w14:paraId="2A3C6027" w14:textId="77777777">
        <w:trPr>
          <w:trHeight w:val="135"/>
          <w:jc w:val="center"/>
        </w:trPr>
        <w:tc>
          <w:tcPr>
            <w:tcW w:w="713" w:type="pct"/>
            <w:vAlign w:val="center"/>
          </w:tcPr>
          <w:p w14:paraId="31E60549" w14:textId="77777777" w:rsidR="002D0AE7" w:rsidRDefault="00333EBB">
            <w:pPr>
              <w:rPr>
                <w:rFonts w:asciiTheme="minorEastAsia" w:hAnsiTheme="minorEastAsia" w:hint="eastAsia"/>
                <w:b/>
                <w:sz w:val="21"/>
                <w:szCs w:val="21"/>
              </w:rPr>
            </w:pPr>
            <w:r>
              <w:rPr>
                <w:sz w:val="21"/>
                <w:szCs w:val="21"/>
              </w:rPr>
              <w:t>其他流动负债</w:t>
            </w:r>
          </w:p>
        </w:tc>
        <w:tc>
          <w:tcPr>
            <w:tcW w:w="730" w:type="pct"/>
            <w:vAlign w:val="center"/>
          </w:tcPr>
          <w:p w14:paraId="6065919E"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9,974,315.38</w:t>
            </w:r>
          </w:p>
        </w:tc>
        <w:tc>
          <w:tcPr>
            <w:tcW w:w="316" w:type="pct"/>
            <w:vAlign w:val="center"/>
          </w:tcPr>
          <w:p w14:paraId="33903AE8"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0.16</w:t>
            </w:r>
          </w:p>
        </w:tc>
        <w:tc>
          <w:tcPr>
            <w:tcW w:w="777" w:type="pct"/>
            <w:vAlign w:val="center"/>
          </w:tcPr>
          <w:p w14:paraId="3F30AE53"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16,395,611.38</w:t>
            </w:r>
          </w:p>
        </w:tc>
        <w:tc>
          <w:tcPr>
            <w:tcW w:w="324" w:type="pct"/>
            <w:vAlign w:val="center"/>
          </w:tcPr>
          <w:p w14:paraId="499C6A0A"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0.27</w:t>
            </w:r>
          </w:p>
        </w:tc>
        <w:tc>
          <w:tcPr>
            <w:tcW w:w="389" w:type="pct"/>
            <w:vAlign w:val="center"/>
          </w:tcPr>
          <w:p w14:paraId="109CCAD7"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-39.16</w:t>
            </w:r>
          </w:p>
        </w:tc>
        <w:tc>
          <w:tcPr>
            <w:tcW w:w="1752" w:type="pct"/>
            <w:vAlign w:val="center"/>
          </w:tcPr>
          <w:p w14:paraId="6A1E5F56" w14:textId="77777777" w:rsidR="002D0AE7" w:rsidRDefault="00333EBB">
            <w:pPr>
              <w:rPr>
                <w:rFonts w:asciiTheme="minorEastAsia" w:hAnsiTheme="minorEastAsia" w:hint="eastAsia"/>
                <w:b/>
                <w:sz w:val="21"/>
                <w:szCs w:val="21"/>
              </w:rPr>
            </w:pPr>
            <w:r>
              <w:rPr>
                <w:rFonts w:hint="eastAsia"/>
                <w:color w:val="000000"/>
                <w:sz w:val="21"/>
                <w:szCs w:val="21"/>
              </w:rPr>
              <w:t>报告期末待转的预收商品销售款的销项税额比年初减少。</w:t>
            </w:r>
          </w:p>
        </w:tc>
      </w:tr>
      <w:tr w:rsidR="002D0AE7" w14:paraId="3E2ACEE2" w14:textId="77777777">
        <w:trPr>
          <w:trHeight w:val="135"/>
          <w:jc w:val="center"/>
        </w:trPr>
        <w:tc>
          <w:tcPr>
            <w:tcW w:w="713" w:type="pct"/>
            <w:vAlign w:val="center"/>
          </w:tcPr>
          <w:p w14:paraId="69417FF2" w14:textId="77777777" w:rsidR="002D0AE7" w:rsidRDefault="00333EBB">
            <w:pPr>
              <w:rPr>
                <w:rFonts w:asciiTheme="minorEastAsia" w:hAnsiTheme="minorEastAsia" w:hint="eastAsia"/>
                <w:b/>
                <w:sz w:val="21"/>
                <w:szCs w:val="21"/>
              </w:rPr>
            </w:pPr>
            <w:r>
              <w:rPr>
                <w:sz w:val="21"/>
                <w:szCs w:val="21"/>
              </w:rPr>
              <w:t>长期借款</w:t>
            </w:r>
          </w:p>
        </w:tc>
        <w:tc>
          <w:tcPr>
            <w:tcW w:w="730" w:type="pct"/>
            <w:vAlign w:val="center"/>
          </w:tcPr>
          <w:p w14:paraId="10D66792"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373,469,443.00</w:t>
            </w:r>
          </w:p>
        </w:tc>
        <w:tc>
          <w:tcPr>
            <w:tcW w:w="316" w:type="pct"/>
            <w:vAlign w:val="center"/>
          </w:tcPr>
          <w:p w14:paraId="0C4FFACC"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6.12</w:t>
            </w:r>
          </w:p>
        </w:tc>
        <w:tc>
          <w:tcPr>
            <w:tcW w:w="777" w:type="pct"/>
            <w:vAlign w:val="center"/>
          </w:tcPr>
          <w:p w14:paraId="735524C5"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277,000,000.00</w:t>
            </w:r>
          </w:p>
        </w:tc>
        <w:tc>
          <w:tcPr>
            <w:tcW w:w="324" w:type="pct"/>
            <w:vAlign w:val="center"/>
          </w:tcPr>
          <w:p w14:paraId="24709068"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4.51</w:t>
            </w:r>
          </w:p>
        </w:tc>
        <w:tc>
          <w:tcPr>
            <w:tcW w:w="389" w:type="pct"/>
            <w:vAlign w:val="center"/>
          </w:tcPr>
          <w:p w14:paraId="0D609C8F"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34.83</w:t>
            </w:r>
          </w:p>
        </w:tc>
        <w:tc>
          <w:tcPr>
            <w:tcW w:w="1752" w:type="pct"/>
            <w:vAlign w:val="center"/>
          </w:tcPr>
          <w:p w14:paraId="4E62C4F5" w14:textId="77777777" w:rsidR="002D0AE7" w:rsidRDefault="00333EBB">
            <w:pPr>
              <w:rPr>
                <w:rFonts w:asciiTheme="minorEastAsia" w:hAnsiTheme="minorEastAsia" w:hint="eastAsia"/>
                <w:b/>
                <w:sz w:val="21"/>
                <w:szCs w:val="21"/>
              </w:rPr>
            </w:pPr>
            <w:r>
              <w:rPr>
                <w:rFonts w:hint="eastAsia"/>
                <w:color w:val="000000"/>
                <w:sz w:val="21"/>
                <w:szCs w:val="21"/>
              </w:rPr>
              <w:t>报告期内新增部分长期借款。</w:t>
            </w:r>
          </w:p>
        </w:tc>
      </w:tr>
      <w:tr w:rsidR="002D0AE7" w14:paraId="74BF192D" w14:textId="77777777">
        <w:trPr>
          <w:trHeight w:val="135"/>
          <w:jc w:val="center"/>
        </w:trPr>
        <w:tc>
          <w:tcPr>
            <w:tcW w:w="713" w:type="pct"/>
            <w:vAlign w:val="center"/>
          </w:tcPr>
          <w:p w14:paraId="0B4F92D1" w14:textId="77777777" w:rsidR="002D0AE7" w:rsidRDefault="00333EBB">
            <w:pPr>
              <w:rPr>
                <w:rFonts w:asciiTheme="minorEastAsia" w:hAnsiTheme="minorEastAsia" w:hint="eastAsia"/>
                <w:b/>
                <w:sz w:val="21"/>
                <w:szCs w:val="21"/>
              </w:rPr>
            </w:pPr>
            <w:r>
              <w:rPr>
                <w:sz w:val="21"/>
                <w:szCs w:val="21"/>
              </w:rPr>
              <w:t>专项储备</w:t>
            </w:r>
          </w:p>
        </w:tc>
        <w:tc>
          <w:tcPr>
            <w:tcW w:w="730" w:type="pct"/>
            <w:vAlign w:val="center"/>
          </w:tcPr>
          <w:p w14:paraId="06BFFFD2"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1,199,938.05</w:t>
            </w:r>
          </w:p>
        </w:tc>
        <w:tc>
          <w:tcPr>
            <w:tcW w:w="316" w:type="pct"/>
            <w:vAlign w:val="center"/>
          </w:tcPr>
          <w:p w14:paraId="0EC5CEFE"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0.02</w:t>
            </w:r>
          </w:p>
        </w:tc>
        <w:tc>
          <w:tcPr>
            <w:tcW w:w="777" w:type="pct"/>
            <w:vAlign w:val="center"/>
          </w:tcPr>
          <w:p w14:paraId="55A2A67C"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0.00</w:t>
            </w:r>
          </w:p>
        </w:tc>
        <w:tc>
          <w:tcPr>
            <w:tcW w:w="324" w:type="pct"/>
            <w:vAlign w:val="center"/>
          </w:tcPr>
          <w:p w14:paraId="5BD9D66F"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0.00</w:t>
            </w:r>
          </w:p>
        </w:tc>
        <w:tc>
          <w:tcPr>
            <w:tcW w:w="389" w:type="pct"/>
            <w:vAlign w:val="center"/>
          </w:tcPr>
          <w:p w14:paraId="4F045609" w14:textId="77777777" w:rsidR="002D0AE7" w:rsidRDefault="00333EBB">
            <w:pPr>
              <w:jc w:val="right"/>
              <w:rPr>
                <w:rFonts w:ascii="Times New Roman" w:hAnsi="Times New Roman" w:cs="Times New Roman"/>
                <w:b/>
                <w:sz w:val="21"/>
                <w:szCs w:val="21"/>
              </w:rPr>
            </w:pPr>
            <w:r>
              <w:rPr>
                <w:rFonts w:ascii="Times New Roman" w:hAnsi="Times New Roman" w:cs="Times New Roman"/>
                <w:sz w:val="21"/>
                <w:szCs w:val="21"/>
              </w:rPr>
              <w:t>100.00</w:t>
            </w:r>
          </w:p>
        </w:tc>
        <w:tc>
          <w:tcPr>
            <w:tcW w:w="1752" w:type="pct"/>
            <w:vAlign w:val="center"/>
          </w:tcPr>
          <w:p w14:paraId="74657ED1" w14:textId="77777777" w:rsidR="002D0AE7" w:rsidRDefault="00333EBB">
            <w:pPr>
              <w:rPr>
                <w:rFonts w:asciiTheme="minorEastAsia" w:hAnsiTheme="minorEastAsia" w:hint="eastAsia"/>
                <w:b/>
                <w:sz w:val="21"/>
                <w:szCs w:val="21"/>
              </w:rPr>
            </w:pPr>
            <w:r>
              <w:rPr>
                <w:rFonts w:hint="eastAsia"/>
                <w:color w:val="000000"/>
                <w:sz w:val="21"/>
                <w:szCs w:val="21"/>
              </w:rPr>
              <w:t>报告期末有尚未使用的按照政策计提的安全费。</w:t>
            </w:r>
          </w:p>
        </w:tc>
      </w:tr>
    </w:tbl>
    <w:p w14:paraId="6235B9EC" w14:textId="77777777" w:rsidR="002D0AE7" w:rsidRDefault="00333EBB">
      <w:pPr>
        <w:rPr>
          <w:rFonts w:hint="eastAsia"/>
          <w:color w:val="000000" w:themeColor="text1"/>
        </w:rPr>
      </w:pPr>
      <w:r>
        <w:rPr>
          <w:rFonts w:hint="eastAsia"/>
          <w:color w:val="000000" w:themeColor="text1"/>
        </w:rPr>
        <w:t>其他说明</w:t>
      </w:r>
      <w:sdt>
        <w:sdtPr>
          <w:rPr>
            <w:rFonts w:hint="eastAsia"/>
            <w:color w:val="000000" w:themeColor="text1"/>
          </w:rPr>
          <w:alias w:val="资产及负债状况的其他说明"/>
          <w:tag w:val="_GBC_cb3eda90e3e24589a444c633ca113f7e"/>
          <w:id w:val="731963242"/>
          <w:placeholder>
            <w:docPart w:val="GBC22222222222222222222222222222"/>
          </w:placeholder>
        </w:sdtPr>
        <w:sdtEndPr/>
        <w:sdtContent>
          <w:r>
            <w:rPr>
              <w:rFonts w:hint="eastAsia"/>
              <w:color w:val="000000" w:themeColor="text1"/>
            </w:rPr>
            <w:t>：无</w:t>
          </w:r>
        </w:sdtContent>
      </w:sdt>
    </w:p>
    <w:bookmarkEnd w:id="36"/>
    <w:p w14:paraId="422A8633" w14:textId="77777777" w:rsidR="002D0AE7" w:rsidRDefault="00333EBB">
      <w:pPr>
        <w:pStyle w:val="4"/>
        <w:numPr>
          <w:ilvl w:val="0"/>
          <w:numId w:val="8"/>
        </w:numPr>
        <w:ind w:left="0" w:firstLine="0"/>
        <w:rPr>
          <w:rFonts w:ascii="宋体" w:hAnsi="宋体" w:hint="eastAsia"/>
          <w:color w:val="000000" w:themeColor="text1"/>
          <w:szCs w:val="21"/>
        </w:rPr>
      </w:pPr>
      <w:r>
        <w:rPr>
          <w:rFonts w:ascii="宋体" w:hAnsi="宋体" w:hint="eastAsia"/>
          <w:color w:val="000000" w:themeColor="text1"/>
          <w:szCs w:val="21"/>
        </w:rPr>
        <w:t>境外资产</w:t>
      </w:r>
      <w:r>
        <w:rPr>
          <w:rFonts w:ascii="宋体" w:hAnsi="宋体"/>
          <w:color w:val="000000" w:themeColor="text1"/>
          <w:szCs w:val="21"/>
        </w:rPr>
        <w:t>情</w:t>
      </w:r>
      <w:r>
        <w:rPr>
          <w:rFonts w:ascii="宋体" w:hAnsi="宋体" w:hint="eastAsia"/>
          <w:color w:val="000000" w:themeColor="text1"/>
          <w:szCs w:val="21"/>
        </w:rPr>
        <w:t>况</w:t>
      </w:r>
    </w:p>
    <w:sdt>
      <w:sdtPr>
        <w:rPr>
          <w:color w:val="000000" w:themeColor="text1"/>
        </w:rPr>
        <w:alias w:val="是否适用：境外资产情况 [双击切换]"/>
        <w:tag w:val="_GBC_95d71e9a9dcd4966863ba2859a3bf0b7"/>
        <w:id w:val="1291940702"/>
        <w:placeholder>
          <w:docPart w:val="GBC22222222222222222222222222222"/>
        </w:placeholder>
      </w:sdtPr>
      <w:sdtEndPr/>
      <w:sdtContent>
        <w:p w14:paraId="746B28D8"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4E0AC9E6" w14:textId="77777777" w:rsidR="002D0AE7" w:rsidRDefault="00333EBB">
      <w:pPr>
        <w:pStyle w:val="4"/>
        <w:numPr>
          <w:ilvl w:val="0"/>
          <w:numId w:val="8"/>
        </w:numPr>
        <w:rPr>
          <w:rFonts w:ascii="宋体" w:hAnsi="宋体" w:hint="eastAsia"/>
          <w:color w:val="000000" w:themeColor="text1"/>
          <w:szCs w:val="21"/>
        </w:rPr>
      </w:pPr>
      <w:bookmarkStart w:id="37" w:name="_Hlk105685192"/>
      <w:bookmarkEnd w:id="37"/>
      <w:r>
        <w:rPr>
          <w:rFonts w:ascii="宋体" w:hAnsi="宋体"/>
          <w:color w:val="000000" w:themeColor="text1"/>
          <w:szCs w:val="21"/>
        </w:rPr>
        <w:t>截至报告期末主要资产受限情</w:t>
      </w:r>
      <w:r>
        <w:rPr>
          <w:rFonts w:ascii="宋体" w:hAnsi="宋体" w:hint="eastAsia"/>
          <w:color w:val="000000" w:themeColor="text1"/>
          <w:szCs w:val="21"/>
        </w:rPr>
        <w:t>况</w:t>
      </w:r>
    </w:p>
    <w:sdt>
      <w:sdtPr>
        <w:rPr>
          <w:rFonts w:hint="eastAsia"/>
          <w:color w:val="000000" w:themeColor="text1"/>
        </w:rPr>
        <w:alias w:val="是否适用：主要资产受限情况[双击切换]"/>
        <w:tag w:val="_GBC_e9f1a2b3f13345eaac848c40837fffbb"/>
        <w:id w:val="1146249875"/>
        <w:placeholder>
          <w:docPart w:val="GBC22222222222222222222222222222"/>
        </w:placeholder>
      </w:sdtPr>
      <w:sdtEndPr/>
      <w:sdtContent>
        <w:p w14:paraId="0EF057E5"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主要资产受限情况"/>
        <w:tag w:val="_GBC_a45de9537ca94b758cc1d9c201a60b53"/>
        <w:id w:val="-173348264"/>
        <w:placeholder>
          <w:docPart w:val="GBC22222222222222222222222222222"/>
        </w:placeholder>
      </w:sdtPr>
      <w:sdtEndPr/>
      <w:sdtContent>
        <w:p w14:paraId="3568AFC7" w14:textId="77777777" w:rsidR="002D0AE7" w:rsidRDefault="00333EBB">
          <w:pPr>
            <w:ind w:firstLineChars="200" w:firstLine="480"/>
            <w:rPr>
              <w:rFonts w:hint="eastAsia"/>
              <w:color w:val="000000" w:themeColor="text1"/>
            </w:rPr>
          </w:pPr>
          <w:r>
            <w:rPr>
              <w:rFonts w:hint="eastAsia"/>
              <w:color w:val="000000" w:themeColor="text1"/>
              <w:sz w:val="21"/>
              <w:szCs w:val="21"/>
            </w:rPr>
            <w:t>截止报告期末所有权或使用权受到限制的资产是货币资金、固定资产和无形资产。货币资金金额为</w:t>
          </w:r>
          <w:r>
            <w:rPr>
              <w:rFonts w:ascii="Times New Roman" w:hAnsi="Times New Roman" w:cs="Times New Roman"/>
              <w:color w:val="000000" w:themeColor="text1"/>
              <w:sz w:val="21"/>
              <w:szCs w:val="21"/>
            </w:rPr>
            <w:t>35,789,456.48</w:t>
          </w:r>
          <w:r>
            <w:rPr>
              <w:color w:val="000000" w:themeColor="text1"/>
              <w:sz w:val="21"/>
              <w:szCs w:val="21"/>
            </w:rPr>
            <w:t>元，包括保证金</w:t>
          </w:r>
          <w:r>
            <w:rPr>
              <w:rFonts w:ascii="Times New Roman" w:hAnsi="Times New Roman" w:cs="Times New Roman"/>
              <w:color w:val="000000" w:themeColor="text1"/>
              <w:sz w:val="21"/>
              <w:szCs w:val="21"/>
            </w:rPr>
            <w:t>31,863,170.14</w:t>
          </w:r>
          <w:r>
            <w:rPr>
              <w:color w:val="000000" w:themeColor="text1"/>
              <w:sz w:val="21"/>
              <w:szCs w:val="21"/>
            </w:rPr>
            <w:t>元和银行存款</w:t>
          </w:r>
          <w:r>
            <w:rPr>
              <w:rFonts w:ascii="Times New Roman" w:hAnsi="Times New Roman" w:cs="Times New Roman"/>
              <w:color w:val="000000" w:themeColor="text1"/>
              <w:sz w:val="21"/>
              <w:szCs w:val="21"/>
            </w:rPr>
            <w:t>3,926,286.34</w:t>
          </w:r>
          <w:r>
            <w:rPr>
              <w:color w:val="000000" w:themeColor="text1"/>
              <w:sz w:val="21"/>
              <w:szCs w:val="21"/>
            </w:rPr>
            <w:t>元。固定资产金额为</w:t>
          </w:r>
          <w:r>
            <w:rPr>
              <w:rFonts w:ascii="Times New Roman" w:hAnsi="Times New Roman" w:cs="Times New Roman"/>
              <w:color w:val="000000" w:themeColor="text1"/>
              <w:sz w:val="21"/>
              <w:szCs w:val="21"/>
            </w:rPr>
            <w:t>326,234,598.05</w:t>
          </w:r>
          <w:r>
            <w:rPr>
              <w:color w:val="000000" w:themeColor="text1"/>
              <w:sz w:val="21"/>
              <w:szCs w:val="21"/>
            </w:rPr>
            <w:t>元，为抵押的</w:t>
          </w:r>
          <w:r>
            <w:rPr>
              <w:rFonts w:hint="eastAsia"/>
              <w:color w:val="000000" w:themeColor="text1"/>
              <w:sz w:val="21"/>
              <w:szCs w:val="21"/>
            </w:rPr>
            <w:t>房屋建筑物</w:t>
          </w:r>
          <w:r>
            <w:rPr>
              <w:color w:val="000000" w:themeColor="text1"/>
              <w:sz w:val="21"/>
              <w:szCs w:val="21"/>
            </w:rPr>
            <w:t>。无形资产金额为</w:t>
          </w:r>
          <w:r>
            <w:rPr>
              <w:rFonts w:ascii="Times New Roman" w:hAnsi="Times New Roman" w:cs="Times New Roman"/>
              <w:color w:val="000000" w:themeColor="text1"/>
              <w:sz w:val="21"/>
              <w:szCs w:val="21"/>
            </w:rPr>
            <w:t>2,593,446.39</w:t>
          </w:r>
          <w:r>
            <w:rPr>
              <w:color w:val="000000" w:themeColor="text1"/>
              <w:sz w:val="21"/>
              <w:szCs w:val="21"/>
            </w:rPr>
            <w:t>元，为抵押的</w:t>
          </w:r>
          <w:r>
            <w:rPr>
              <w:rFonts w:hint="eastAsia"/>
              <w:color w:val="000000" w:themeColor="text1"/>
              <w:sz w:val="21"/>
              <w:szCs w:val="21"/>
            </w:rPr>
            <w:t>土地使用权</w:t>
          </w:r>
          <w:r>
            <w:rPr>
              <w:color w:val="000000" w:themeColor="text1"/>
              <w:sz w:val="21"/>
              <w:szCs w:val="21"/>
            </w:rPr>
            <w:t>。</w:t>
          </w:r>
        </w:p>
      </w:sdtContent>
    </w:sdt>
    <w:p w14:paraId="0C2C38FE" w14:textId="77777777" w:rsidR="002D0AE7" w:rsidRDefault="00333EBB">
      <w:pPr>
        <w:pStyle w:val="4"/>
        <w:numPr>
          <w:ilvl w:val="0"/>
          <w:numId w:val="8"/>
        </w:numPr>
        <w:rPr>
          <w:rFonts w:ascii="宋体" w:hAnsi="宋体" w:hint="eastAsia"/>
          <w:color w:val="000000" w:themeColor="text1"/>
          <w:szCs w:val="21"/>
        </w:rPr>
      </w:pPr>
      <w:r>
        <w:rPr>
          <w:rFonts w:ascii="宋体" w:hAnsi="宋体"/>
          <w:color w:val="000000" w:themeColor="text1"/>
          <w:szCs w:val="21"/>
        </w:rPr>
        <w:lastRenderedPageBreak/>
        <w:t>其他说明</w:t>
      </w:r>
    </w:p>
    <w:sdt>
      <w:sdtPr>
        <w:rPr>
          <w:rFonts w:hint="eastAsia"/>
          <w:color w:val="000000" w:themeColor="text1"/>
        </w:rPr>
        <w:alias w:val="是否适用：资产及负债状况的其他说明[双击切换]"/>
        <w:tag w:val="_GBC_ba674147d80648fba521aedf33ce0b27"/>
        <w:id w:val="-1596848874"/>
        <w:placeholder>
          <w:docPart w:val="GBC22222222222222222222222222222"/>
        </w:placeholder>
      </w:sdtPr>
      <w:sdtEndPr/>
      <w:sdtContent>
        <w:p w14:paraId="179317A2"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00FE4D8A" w14:textId="77777777" w:rsidR="002D0AE7" w:rsidRDefault="00333EBB">
      <w:pPr>
        <w:pStyle w:val="3"/>
        <w:numPr>
          <w:ilvl w:val="0"/>
          <w:numId w:val="6"/>
        </w:numPr>
        <w:rPr>
          <w:rFonts w:ascii="宋体" w:hAnsi="宋体" w:hint="eastAsia"/>
          <w:color w:val="000000" w:themeColor="text1"/>
        </w:rPr>
      </w:pPr>
      <w:r>
        <w:rPr>
          <w:rFonts w:ascii="宋体" w:hAnsi="宋体" w:hint="eastAsia"/>
          <w:color w:val="000000" w:themeColor="text1"/>
        </w:rPr>
        <w:t>投资状况分析</w:t>
      </w:r>
    </w:p>
    <w:p w14:paraId="36F156A3" w14:textId="77777777" w:rsidR="002D0AE7" w:rsidRDefault="00333EBB">
      <w:pPr>
        <w:pStyle w:val="4"/>
        <w:numPr>
          <w:ilvl w:val="0"/>
          <w:numId w:val="9"/>
        </w:numPr>
        <w:rPr>
          <w:rFonts w:ascii="宋体" w:hAnsi="宋体" w:hint="eastAsia"/>
          <w:color w:val="000000" w:themeColor="text1"/>
        </w:rPr>
      </w:pPr>
      <w:r>
        <w:rPr>
          <w:rFonts w:ascii="宋体" w:hAnsi="宋体"/>
          <w:color w:val="000000" w:themeColor="text1"/>
        </w:rPr>
        <w:t>对外股权投资总体分析</w:t>
      </w:r>
    </w:p>
    <w:p w14:paraId="63958B33" w14:textId="77777777" w:rsidR="002D0AE7" w:rsidRDefault="00333EBB">
      <w:pPr>
        <w:rPr>
          <w:rFonts w:hint="eastAsia"/>
          <w:color w:val="000000" w:themeColor="text1"/>
        </w:rPr>
      </w:pPr>
      <w:sdt>
        <w:sdtPr>
          <w:rPr>
            <w:color w:val="000000" w:themeColor="text1"/>
          </w:rPr>
          <w:alias w:val="是否适用：对外股权投资总体分析[双击切换]"/>
          <w:tag w:val="_GBC_d1852fb41d2a420f9f1d78c35235341a"/>
          <w:id w:val="-1608575031"/>
          <w:placeholder>
            <w:docPart w:val="GBC22222222222222222222222222222"/>
          </w:placeholder>
        </w:sdtPr>
        <w:sdtEndPr/>
        <w:sdtContent>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sdtContent>
      </w:sdt>
    </w:p>
    <w:sdt>
      <w:sdtPr>
        <w:rPr>
          <w:color w:val="000000" w:themeColor="text1"/>
        </w:rPr>
        <w:alias w:val="对外股权投资总体分析"/>
        <w:tag w:val="_GBC_cef6637b11fc44ed960eb269931b50e8"/>
        <w:id w:val="-1118829551"/>
        <w:placeholder>
          <w:docPart w:val="GBC22222222222222222222222222222"/>
        </w:placeholder>
      </w:sdtPr>
      <w:sdtEndPr>
        <w:rPr>
          <w:sz w:val="22"/>
          <w:szCs w:val="22"/>
        </w:rPr>
      </w:sdtEndPr>
      <w:sdtContent>
        <w:p w14:paraId="7B09FC9D" w14:textId="77777777" w:rsidR="002D0AE7" w:rsidRDefault="00333EBB">
          <w:pPr>
            <w:ind w:firstLineChars="200" w:firstLine="480"/>
            <w:rPr>
              <w:rFonts w:hint="eastAsia"/>
              <w:color w:val="000000" w:themeColor="text1"/>
            </w:rPr>
          </w:pPr>
          <w:r>
            <w:rPr>
              <w:rFonts w:hint="eastAsia"/>
              <w:color w:val="000000" w:themeColor="text1"/>
            </w:rPr>
            <w:t>报告期内公司通过直接和间接方式控股、参股的公司共有</w:t>
          </w:r>
          <w:r>
            <w:rPr>
              <w:color w:val="000000" w:themeColor="text1"/>
            </w:rPr>
            <w:t>17</w:t>
          </w:r>
          <w:r>
            <w:rPr>
              <w:color w:val="000000" w:themeColor="text1"/>
            </w:rPr>
            <w:t>家，其中</w:t>
          </w:r>
          <w:r>
            <w:rPr>
              <w:color w:val="000000" w:themeColor="text1"/>
            </w:rPr>
            <w:t>10</w:t>
          </w:r>
          <w:r>
            <w:rPr>
              <w:color w:val="000000" w:themeColor="text1"/>
            </w:rPr>
            <w:t>家控股子公司和</w:t>
          </w:r>
          <w:r>
            <w:rPr>
              <w:color w:val="000000" w:themeColor="text1"/>
            </w:rPr>
            <w:t>7</w:t>
          </w:r>
          <w:r>
            <w:rPr>
              <w:color w:val="000000" w:themeColor="text1"/>
            </w:rPr>
            <w:t>家参股公司。</w:t>
          </w:r>
        </w:p>
        <w:p w14:paraId="492D121D" w14:textId="77777777" w:rsidR="002D0AE7" w:rsidRDefault="00333EBB">
          <w:pPr>
            <w:ind w:firstLineChars="200" w:firstLine="480"/>
            <w:rPr>
              <w:rFonts w:hint="eastAsia"/>
              <w:color w:val="000000" w:themeColor="text1"/>
            </w:rPr>
          </w:pPr>
          <w:r>
            <w:rPr>
              <w:noProof/>
              <w:color w:val="000000" w:themeColor="text1"/>
            </w:rPr>
            <w:drawing>
              <wp:inline distT="0" distB="0" distL="0" distR="0" wp14:anchorId="3A60ABA4" wp14:editId="29A57EC8">
                <wp:extent cx="5212080" cy="36861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13540" cy="3687194"/>
                        </a:xfrm>
                        <a:prstGeom prst="rect">
                          <a:avLst/>
                        </a:prstGeom>
                        <a:noFill/>
                        <a:ln>
                          <a:noFill/>
                        </a:ln>
                      </pic:spPr>
                    </pic:pic>
                  </a:graphicData>
                </a:graphic>
              </wp:inline>
            </w:drawing>
          </w:r>
        </w:p>
        <w:p w14:paraId="611CBEC5" w14:textId="77777777" w:rsidR="002D0AE7" w:rsidRDefault="00333EBB">
          <w:pPr>
            <w:ind w:firstLineChars="200" w:firstLine="440"/>
            <w:rPr>
              <w:rFonts w:hint="eastAsia"/>
              <w:color w:val="000000" w:themeColor="text1"/>
              <w:sz w:val="22"/>
              <w:szCs w:val="22"/>
            </w:rPr>
          </w:pPr>
          <w:r>
            <w:rPr>
              <w:rFonts w:hint="eastAsia"/>
              <w:color w:val="000000" w:themeColor="text1"/>
              <w:sz w:val="22"/>
              <w:szCs w:val="22"/>
            </w:rPr>
            <w:t>（</w:t>
          </w:r>
          <w:r>
            <w:rPr>
              <w:color w:val="000000" w:themeColor="text1"/>
              <w:sz w:val="22"/>
              <w:szCs w:val="22"/>
            </w:rPr>
            <w:t>1</w:t>
          </w:r>
          <w:r>
            <w:rPr>
              <w:color w:val="000000" w:themeColor="text1"/>
              <w:sz w:val="22"/>
              <w:szCs w:val="22"/>
            </w:rPr>
            <w:t>）</w:t>
          </w:r>
          <w:r>
            <w:rPr>
              <w:rFonts w:hint="eastAsia"/>
              <w:color w:val="000000" w:themeColor="text1"/>
              <w:sz w:val="22"/>
              <w:szCs w:val="22"/>
            </w:rPr>
            <w:t>原</w:t>
          </w:r>
          <w:r>
            <w:rPr>
              <w:color w:val="000000" w:themeColor="text1"/>
              <w:sz w:val="22"/>
              <w:szCs w:val="22"/>
            </w:rPr>
            <w:t>天津市三隆化工有限公司已注销（详见公司公告</w:t>
          </w:r>
          <w:r>
            <w:rPr>
              <w:color w:val="000000" w:themeColor="text1"/>
              <w:sz w:val="22"/>
              <w:szCs w:val="22"/>
            </w:rPr>
            <w:t>2024-009#</w:t>
          </w:r>
          <w:r>
            <w:rPr>
              <w:color w:val="000000" w:themeColor="text1"/>
              <w:sz w:val="22"/>
              <w:szCs w:val="22"/>
            </w:rPr>
            <w:t>）；</w:t>
          </w:r>
        </w:p>
        <w:p w14:paraId="26CF7C69" w14:textId="77777777" w:rsidR="002D0AE7" w:rsidRDefault="00333EBB">
          <w:pPr>
            <w:ind w:firstLineChars="200" w:firstLine="440"/>
            <w:rPr>
              <w:rFonts w:hint="eastAsia"/>
              <w:color w:val="000000" w:themeColor="text1"/>
              <w:sz w:val="22"/>
              <w:szCs w:val="22"/>
            </w:rPr>
          </w:pPr>
          <w:r>
            <w:rPr>
              <w:color w:val="000000" w:themeColor="text1"/>
              <w:sz w:val="22"/>
              <w:szCs w:val="22"/>
            </w:rPr>
            <w:t>（</w:t>
          </w:r>
          <w:r>
            <w:rPr>
              <w:color w:val="000000" w:themeColor="text1"/>
              <w:sz w:val="22"/>
              <w:szCs w:val="22"/>
            </w:rPr>
            <w:t>2</w:t>
          </w:r>
          <w:r>
            <w:rPr>
              <w:color w:val="000000" w:themeColor="text1"/>
              <w:sz w:val="22"/>
              <w:szCs w:val="22"/>
            </w:rPr>
            <w:t>）</w:t>
          </w:r>
          <w:r>
            <w:rPr>
              <w:rFonts w:hint="eastAsia"/>
              <w:color w:val="000000" w:themeColor="text1"/>
              <w:sz w:val="22"/>
              <w:szCs w:val="22"/>
            </w:rPr>
            <w:t>原</w:t>
          </w:r>
          <w:r>
            <w:rPr>
              <w:color w:val="000000" w:themeColor="text1"/>
              <w:sz w:val="22"/>
              <w:szCs w:val="22"/>
            </w:rPr>
            <w:t>天津金耀药业有限公司更名为</w:t>
          </w:r>
          <w:r>
            <w:rPr>
              <w:rFonts w:hint="eastAsia"/>
              <w:color w:val="000000" w:themeColor="text1"/>
              <w:sz w:val="22"/>
              <w:szCs w:val="22"/>
            </w:rPr>
            <w:t>：</w:t>
          </w:r>
          <w:r>
            <w:rPr>
              <w:color w:val="000000" w:themeColor="text1"/>
              <w:sz w:val="22"/>
              <w:szCs w:val="22"/>
            </w:rPr>
            <w:t>津药和平（天津）制药有限公司；</w:t>
          </w:r>
        </w:p>
        <w:p w14:paraId="00E490C1" w14:textId="77777777" w:rsidR="002D0AE7" w:rsidRDefault="00333EBB">
          <w:pPr>
            <w:ind w:firstLineChars="200" w:firstLine="440"/>
            <w:rPr>
              <w:rFonts w:hint="eastAsia"/>
              <w:color w:val="000000" w:themeColor="text1"/>
              <w:sz w:val="22"/>
              <w:szCs w:val="22"/>
            </w:rPr>
          </w:pPr>
          <w:r>
            <w:rPr>
              <w:color w:val="000000" w:themeColor="text1"/>
              <w:sz w:val="22"/>
              <w:szCs w:val="22"/>
            </w:rPr>
            <w:t>（</w:t>
          </w:r>
          <w:r>
            <w:rPr>
              <w:color w:val="000000" w:themeColor="text1"/>
              <w:sz w:val="22"/>
              <w:szCs w:val="22"/>
            </w:rPr>
            <w:t>3</w:t>
          </w:r>
          <w:r>
            <w:rPr>
              <w:color w:val="000000" w:themeColor="text1"/>
              <w:sz w:val="22"/>
              <w:szCs w:val="22"/>
            </w:rPr>
            <w:t>）</w:t>
          </w:r>
          <w:r>
            <w:rPr>
              <w:rFonts w:hint="eastAsia"/>
              <w:color w:val="000000" w:themeColor="text1"/>
              <w:sz w:val="22"/>
              <w:szCs w:val="22"/>
            </w:rPr>
            <w:t>原</w:t>
          </w:r>
          <w:r>
            <w:rPr>
              <w:color w:val="000000" w:themeColor="text1"/>
              <w:sz w:val="22"/>
              <w:szCs w:val="22"/>
            </w:rPr>
            <w:t>天津天药医药科技有限公司更名为</w:t>
          </w:r>
          <w:r>
            <w:rPr>
              <w:rFonts w:hint="eastAsia"/>
              <w:color w:val="000000" w:themeColor="text1"/>
              <w:sz w:val="22"/>
              <w:szCs w:val="22"/>
            </w:rPr>
            <w:t>：</w:t>
          </w:r>
          <w:r>
            <w:rPr>
              <w:color w:val="000000" w:themeColor="text1"/>
              <w:sz w:val="22"/>
              <w:szCs w:val="22"/>
            </w:rPr>
            <w:t>津药药业健康科技（天津）有限公司</w:t>
          </w:r>
          <w:r>
            <w:rPr>
              <w:rFonts w:hint="eastAsia"/>
              <w:color w:val="000000" w:themeColor="text1"/>
              <w:sz w:val="22"/>
              <w:szCs w:val="22"/>
            </w:rPr>
            <w:t>；</w:t>
          </w:r>
        </w:p>
        <w:p w14:paraId="5B91EFF6" w14:textId="77777777" w:rsidR="002D0AE7" w:rsidRDefault="00333EBB">
          <w:pPr>
            <w:ind w:firstLineChars="200" w:firstLine="440"/>
            <w:rPr>
              <w:rFonts w:hint="eastAsia"/>
              <w:color w:val="000000" w:themeColor="text1"/>
              <w:sz w:val="22"/>
              <w:szCs w:val="22"/>
            </w:rPr>
          </w:pPr>
          <w:r>
            <w:rPr>
              <w:rFonts w:hint="eastAsia"/>
              <w:color w:val="000000" w:themeColor="text1"/>
              <w:sz w:val="22"/>
              <w:szCs w:val="22"/>
            </w:rPr>
            <w:t>（</w:t>
          </w:r>
          <w:r>
            <w:rPr>
              <w:rFonts w:hint="eastAsia"/>
              <w:color w:val="000000" w:themeColor="text1"/>
              <w:sz w:val="22"/>
              <w:szCs w:val="22"/>
            </w:rPr>
            <w:t>4</w:t>
          </w:r>
          <w:r>
            <w:rPr>
              <w:rFonts w:hint="eastAsia"/>
              <w:color w:val="000000" w:themeColor="text1"/>
              <w:sz w:val="22"/>
              <w:szCs w:val="22"/>
            </w:rPr>
            <w:t>）原天津津药药业（香港）有限公司更名为：津药药业（香港）有限公司；</w:t>
          </w:r>
        </w:p>
        <w:p w14:paraId="08AFA4E3" w14:textId="77777777" w:rsidR="002D0AE7" w:rsidRDefault="00333EBB">
          <w:pPr>
            <w:ind w:firstLineChars="200" w:firstLine="440"/>
            <w:rPr>
              <w:rFonts w:hint="eastAsia"/>
              <w:color w:val="000000" w:themeColor="text1"/>
              <w:sz w:val="22"/>
              <w:szCs w:val="22"/>
            </w:rPr>
          </w:pPr>
          <w:r>
            <w:rPr>
              <w:rFonts w:hint="eastAsia"/>
              <w:color w:val="000000" w:themeColor="text1"/>
              <w:sz w:val="22"/>
              <w:szCs w:val="22"/>
            </w:rPr>
            <w:t>（</w:t>
          </w:r>
          <w:r>
            <w:rPr>
              <w:rFonts w:hint="eastAsia"/>
              <w:color w:val="000000" w:themeColor="text1"/>
              <w:sz w:val="22"/>
              <w:szCs w:val="22"/>
            </w:rPr>
            <w:t>5</w:t>
          </w:r>
          <w:r>
            <w:rPr>
              <w:rFonts w:hint="eastAsia"/>
              <w:color w:val="000000" w:themeColor="text1"/>
              <w:sz w:val="22"/>
              <w:szCs w:val="22"/>
            </w:rPr>
            <w:t>）原</w:t>
          </w:r>
          <w:r>
            <w:rPr>
              <w:rFonts w:ascii="Calibri" w:hAnsi="Calibri" w:cs="Times New Roman" w:hint="eastAsia"/>
              <w:kern w:val="2"/>
              <w:sz w:val="22"/>
              <w:szCs w:val="21"/>
            </w:rPr>
            <w:t>天津津药药业（亚洲）有限公司更名为：津药药业（新加坡）有限公司。</w:t>
          </w:r>
        </w:p>
      </w:sdtContent>
    </w:sdt>
    <w:p w14:paraId="55554259" w14:textId="77777777" w:rsidR="002D0AE7" w:rsidRDefault="00333EBB">
      <w:pPr>
        <w:pStyle w:val="5"/>
        <w:numPr>
          <w:ilvl w:val="0"/>
          <w:numId w:val="10"/>
        </w:numPr>
        <w:tabs>
          <w:tab w:val="left" w:pos="360"/>
        </w:tabs>
        <w:ind w:left="0" w:firstLine="0"/>
        <w:rPr>
          <w:color w:val="000000" w:themeColor="text1"/>
          <w:szCs w:val="21"/>
        </w:rPr>
      </w:pPr>
      <w:bookmarkStart w:id="38" w:name="_Hlk137045665"/>
      <w:r>
        <w:rPr>
          <w:rFonts w:hint="eastAsia"/>
          <w:color w:val="000000" w:themeColor="text1"/>
          <w:szCs w:val="21"/>
        </w:rPr>
        <w:t>重大的股权投资</w:t>
      </w:r>
    </w:p>
    <w:sdt>
      <w:sdtPr>
        <w:rPr>
          <w:rFonts w:hint="eastAsia"/>
          <w:color w:val="000000" w:themeColor="text1"/>
        </w:rPr>
        <w:alias w:val="是否适用：重大的股权投资[双击切换]"/>
        <w:tag w:val="_GBC_9d4d997d9f994cccbb938afa207cfaf2"/>
        <w:id w:val="1389611733"/>
        <w:placeholder>
          <w:docPart w:val="GBC22222222222222222222222222222"/>
        </w:placeholder>
      </w:sdtPr>
      <w:sdtEndPr/>
      <w:sdtContent>
        <w:p w14:paraId="42DF3EC7"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bookmarkEnd w:id="38"/>
    <w:p w14:paraId="09782818" w14:textId="77777777" w:rsidR="002D0AE7" w:rsidRDefault="00333EBB">
      <w:pPr>
        <w:pStyle w:val="5"/>
        <w:numPr>
          <w:ilvl w:val="0"/>
          <w:numId w:val="10"/>
        </w:numPr>
        <w:tabs>
          <w:tab w:val="left" w:pos="360"/>
        </w:tabs>
        <w:ind w:left="0" w:firstLine="0"/>
        <w:rPr>
          <w:rFonts w:ascii="宋体" w:hAnsi="宋体" w:hint="eastAsia"/>
          <w:color w:val="000000" w:themeColor="text1"/>
          <w:szCs w:val="21"/>
        </w:rPr>
      </w:pPr>
      <w:r>
        <w:rPr>
          <w:rFonts w:ascii="宋体" w:hAnsi="宋体" w:hint="eastAsia"/>
          <w:color w:val="000000" w:themeColor="text1"/>
          <w:szCs w:val="21"/>
        </w:rPr>
        <w:t>重大的非股权</w:t>
      </w:r>
      <w:r>
        <w:rPr>
          <w:rFonts w:ascii="宋体" w:hAnsi="宋体" w:cs="宋体" w:hint="eastAsia"/>
          <w:color w:val="000000" w:themeColor="text1"/>
          <w:kern w:val="0"/>
          <w:szCs w:val="21"/>
        </w:rPr>
        <w:t>投资</w:t>
      </w:r>
    </w:p>
    <w:sdt>
      <w:sdtPr>
        <w:rPr>
          <w:rFonts w:hint="eastAsia"/>
          <w:color w:val="000000" w:themeColor="text1"/>
        </w:rPr>
        <w:alias w:val="是否适用：重大的非股权投资[双击切换]"/>
        <w:tag w:val="_GBC_ea7fdcb7583549f38c0db41e73af0a8b"/>
        <w:id w:val="-742024361"/>
        <w:placeholder>
          <w:docPart w:val="GBC22222222222222222222222222222"/>
        </w:placeholder>
      </w:sdtPr>
      <w:sdtEndPr/>
      <w:sdtContent>
        <w:p w14:paraId="61A6E55A"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5AB99638" w14:textId="77777777" w:rsidR="002D0AE7" w:rsidRDefault="00333EBB">
      <w:pPr>
        <w:pStyle w:val="5"/>
        <w:numPr>
          <w:ilvl w:val="0"/>
          <w:numId w:val="10"/>
        </w:numPr>
        <w:tabs>
          <w:tab w:val="left" w:pos="360"/>
        </w:tabs>
        <w:ind w:left="0" w:firstLine="0"/>
        <w:rPr>
          <w:rFonts w:ascii="宋体" w:hAnsi="宋体" w:cs="宋体" w:hint="eastAsia"/>
          <w:color w:val="000000" w:themeColor="text1"/>
          <w:kern w:val="0"/>
          <w:szCs w:val="21"/>
        </w:rPr>
      </w:pPr>
      <w:bookmarkStart w:id="39" w:name="_Hlk40532846"/>
      <w:bookmarkStart w:id="40" w:name="_Hlk137045755"/>
      <w:r>
        <w:rPr>
          <w:rFonts w:ascii="宋体" w:hAnsi="宋体" w:cs="宋体" w:hint="eastAsia"/>
          <w:color w:val="000000" w:themeColor="text1"/>
          <w:kern w:val="0"/>
          <w:szCs w:val="21"/>
        </w:rPr>
        <w:t>以公允价值计量的金融资产</w:t>
      </w:r>
    </w:p>
    <w:bookmarkEnd w:id="39"/>
    <w:p w14:paraId="1CC4CB19" w14:textId="77777777" w:rsidR="002D0AE7" w:rsidRDefault="00333EBB">
      <w:pPr>
        <w:rPr>
          <w:rFonts w:hint="eastAsia"/>
          <w:color w:val="000000" w:themeColor="text1"/>
        </w:rPr>
      </w:pPr>
      <w:r>
        <w:rPr>
          <w:rFonts w:hint="eastAsia"/>
          <w:color w:val="000000" w:themeColor="text1"/>
        </w:rPr>
        <w:t>衍生品投资情况</w:t>
      </w:r>
    </w:p>
    <w:sdt>
      <w:sdtPr>
        <w:rPr>
          <w:rFonts w:hint="eastAsia"/>
          <w:color w:val="000000" w:themeColor="text1"/>
        </w:rPr>
        <w:alias w:val="是否适用：衍生品投资情况  [双击切换]"/>
        <w:tag w:val="_GBC_bfd154b38b804edbb19ff4896b6b9c42"/>
        <w:id w:val="-1946912905"/>
        <w:lock w:val="contentLocked"/>
        <w:placeholder>
          <w:docPart w:val="GBC22222222222222222222222222222"/>
        </w:placeholder>
      </w:sdtPr>
      <w:sdtEndPr/>
      <w:sdtContent>
        <w:p w14:paraId="44B02F03"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36085105" w14:textId="77777777" w:rsidR="002D0AE7" w:rsidRDefault="00333EBB">
      <w:pPr>
        <w:rPr>
          <w:rFonts w:hint="eastAsia"/>
          <w:color w:val="000000" w:themeColor="text1"/>
        </w:rPr>
      </w:pPr>
      <w:bookmarkStart w:id="41" w:name="_Hlk167797508"/>
      <w:bookmarkStart w:id="42" w:name="_Hlk155617745"/>
      <w:r>
        <w:rPr>
          <w:color w:val="000000" w:themeColor="text1"/>
        </w:rPr>
        <w:t>其他说明</w:t>
      </w:r>
    </w:p>
    <w:sdt>
      <w:sdtPr>
        <w:rPr>
          <w:color w:val="000000" w:themeColor="text1"/>
        </w:rPr>
        <w:alias w:val="衍生品投资情况  "/>
        <w:tag w:val="_GBC_ce54cc2da52943d583c4c95c6e084d8b"/>
        <w:id w:val="-1129008639"/>
        <w:placeholder>
          <w:docPart w:val="GBC22222222222222222222222222222"/>
        </w:placeholder>
      </w:sdtPr>
      <w:sdtEndPr/>
      <w:sdtContent>
        <w:p w14:paraId="7818F8DE" w14:textId="77777777" w:rsidR="002D0AE7" w:rsidRDefault="00333EBB">
          <w:pPr>
            <w:ind w:firstLineChars="300" w:firstLine="720"/>
            <w:rPr>
              <w:rFonts w:hint="eastAsia"/>
            </w:rPr>
          </w:pPr>
          <w:r>
            <w:rPr>
              <w:color w:val="000000" w:themeColor="text1"/>
            </w:rPr>
            <w:t>2023</w:t>
          </w:r>
          <w:r>
            <w:t>年</w:t>
          </w:r>
          <w:r>
            <w:rPr>
              <w:rFonts w:hint="eastAsia"/>
            </w:rPr>
            <w:t>1</w:t>
          </w:r>
          <w:r>
            <w:t>2</w:t>
          </w:r>
          <w:r>
            <w:t>月</w:t>
          </w:r>
          <w:r>
            <w:rPr>
              <w:rFonts w:hint="eastAsia"/>
            </w:rPr>
            <w:t>2</w:t>
          </w:r>
          <w:r>
            <w:t>0</w:t>
          </w:r>
          <w:r>
            <w:t>日公司召开第</w:t>
          </w:r>
          <w:r>
            <w:rPr>
              <w:rFonts w:hint="eastAsia"/>
            </w:rPr>
            <w:t>九</w:t>
          </w:r>
          <w:r>
            <w:t>届董事会第</w:t>
          </w:r>
          <w:r>
            <w:rPr>
              <w:rFonts w:hint="eastAsia"/>
            </w:rPr>
            <w:t>三</w:t>
          </w:r>
          <w:r>
            <w:t>次会议和第</w:t>
          </w:r>
          <w:r>
            <w:rPr>
              <w:rFonts w:hint="eastAsia"/>
            </w:rPr>
            <w:t>九</w:t>
          </w:r>
          <w:r>
            <w:t>届监事会第</w:t>
          </w:r>
          <w:r>
            <w:rPr>
              <w:rFonts w:hint="eastAsia"/>
            </w:rPr>
            <w:t>三</w:t>
          </w:r>
          <w:r>
            <w:t>次会议，</w:t>
          </w:r>
          <w:r>
            <w:rPr>
              <w:rFonts w:hint="eastAsia"/>
            </w:rPr>
            <w:t>2</w:t>
          </w:r>
          <w:r>
            <w:t>024</w:t>
          </w:r>
          <w:r>
            <w:t>年</w:t>
          </w:r>
          <w:r>
            <w:rPr>
              <w:rFonts w:hint="eastAsia"/>
            </w:rPr>
            <w:t>1</w:t>
          </w:r>
          <w:r>
            <w:t>月</w:t>
          </w:r>
          <w:r>
            <w:rPr>
              <w:rFonts w:hint="eastAsia"/>
            </w:rPr>
            <w:t>1</w:t>
          </w:r>
          <w:r>
            <w:t>0</w:t>
          </w:r>
          <w:r>
            <w:t>日召开</w:t>
          </w:r>
          <w:r>
            <w:t>2024</w:t>
          </w:r>
          <w:r>
            <w:t>年第一次临时股东大会，审议通过了《关于开展外汇衍生品交易业务的议案》。根据公司经营需要，为减少外汇汇率波动给公司经营成果带来的风险，综合考虑公司业务规模及外汇衍生品交易业务的预期成效等因</w:t>
          </w:r>
          <w:r>
            <w:lastRenderedPageBreak/>
            <w:t>素，在保证正常生产经营的前提下，公司开展外汇衍生品交易业务，主要包括远期结售汇及相关期权组合业务，交易金额不超过</w:t>
          </w:r>
          <w:r>
            <w:t>24,000</w:t>
          </w:r>
          <w:r>
            <w:t>万美元，自股东大会审议通过之日起一年内有效。</w:t>
          </w:r>
        </w:p>
        <w:p w14:paraId="7110447F" w14:textId="77777777" w:rsidR="002D0AE7" w:rsidRDefault="00333EBB">
          <w:pPr>
            <w:ind w:firstLineChars="200" w:firstLine="480"/>
            <w:rPr>
              <w:rFonts w:hint="eastAsia"/>
              <w:color w:val="000000" w:themeColor="text1"/>
            </w:rPr>
          </w:pPr>
          <w:r>
            <w:rPr>
              <w:rFonts w:hint="eastAsia"/>
            </w:rPr>
            <w:t>报告期内，公司未开展外汇衍生品业务。</w:t>
          </w:r>
        </w:p>
      </w:sdtContent>
    </w:sdt>
    <w:bookmarkEnd w:id="40"/>
    <w:bookmarkEnd w:id="41"/>
    <w:bookmarkEnd w:id="42"/>
    <w:p w14:paraId="1820B30D" w14:textId="77777777" w:rsidR="002D0AE7" w:rsidRDefault="00333EBB">
      <w:pPr>
        <w:pStyle w:val="3"/>
        <w:numPr>
          <w:ilvl w:val="0"/>
          <w:numId w:val="6"/>
        </w:numPr>
        <w:rPr>
          <w:rFonts w:ascii="宋体" w:hAnsi="宋体" w:hint="eastAsia"/>
          <w:color w:val="000000" w:themeColor="text1"/>
        </w:rPr>
      </w:pPr>
      <w:r>
        <w:rPr>
          <w:rFonts w:ascii="宋体" w:hAnsi="宋体"/>
          <w:color w:val="000000" w:themeColor="text1"/>
        </w:rPr>
        <w:t>重大资产和股权出售</w:t>
      </w:r>
    </w:p>
    <w:sdt>
      <w:sdtPr>
        <w:rPr>
          <w:rFonts w:hint="eastAsia"/>
          <w:color w:val="000000" w:themeColor="text1"/>
        </w:rPr>
        <w:alias w:val="是否适用：重大资产和股权出售[双击切换]"/>
        <w:tag w:val="_GBC_f566f251245e49238092032f065852be"/>
        <w:id w:val="1146322393"/>
        <w:placeholder>
          <w:docPart w:val="GBC22222222222222222222222222222"/>
        </w:placeholder>
      </w:sdtPr>
      <w:sdtEndPr/>
      <w:sdtContent>
        <w:p w14:paraId="3981B764"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40653D9C" w14:textId="77777777" w:rsidR="002D0AE7" w:rsidRDefault="00333EBB">
      <w:pPr>
        <w:pStyle w:val="3"/>
        <w:numPr>
          <w:ilvl w:val="0"/>
          <w:numId w:val="6"/>
        </w:numPr>
        <w:rPr>
          <w:rFonts w:ascii="宋体" w:hAnsi="宋体" w:hint="eastAsia"/>
          <w:color w:val="000000" w:themeColor="text1"/>
        </w:rPr>
      </w:pPr>
      <w:r>
        <w:rPr>
          <w:rFonts w:ascii="宋体" w:hAnsi="宋体" w:hint="eastAsia"/>
          <w:color w:val="000000" w:themeColor="text1"/>
        </w:rPr>
        <w:t>主要控股参股公司分析</w:t>
      </w:r>
    </w:p>
    <w:sdt>
      <w:sdtPr>
        <w:rPr>
          <w:color w:val="000000" w:themeColor="text1"/>
        </w:rPr>
        <w:alias w:val="是否适用：主要控股参股公司分析[双击切换]"/>
        <w:tag w:val="_GBC_3f3bd67865a44413bcd1143c0df7558d"/>
        <w:id w:val="1962067083"/>
        <w:placeholder>
          <w:docPart w:val="GBC22222222222222222222222222222"/>
        </w:placeholder>
      </w:sdtPr>
      <w:sdtEndPr/>
      <w:sdtContent>
        <w:p w14:paraId="06F9720D"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rFonts w:hint="eastAsia"/>
          <w:color w:val="000000" w:themeColor="text1"/>
        </w:rPr>
        <w:alias w:val="主要子公司、参股公司分析"/>
        <w:tag w:val="_GBC_839e73df2f5d460cbcde577c1623d15c"/>
        <w:id w:val="1854222485"/>
        <w:placeholder>
          <w:docPart w:val="GBC22222222222222222222222222222"/>
        </w:placeholder>
      </w:sdtPr>
      <w:sdtEndPr>
        <w:rPr>
          <w:sz w:val="21"/>
        </w:rPr>
      </w:sdtEndPr>
      <w:sdtContent>
        <w:p w14:paraId="2A99112D" w14:textId="77777777" w:rsidR="002D0AE7" w:rsidRDefault="00333EBB">
          <w:pPr>
            <w:rPr>
              <w:rFonts w:ascii="Times New Roman" w:hAnsi="Times New Roman" w:cs="Times New Roman"/>
              <w:b/>
              <w:bCs/>
            </w:rPr>
          </w:pPr>
          <w:r>
            <w:rPr>
              <w:rFonts w:ascii="Times New Roman" w:hAnsi="Times New Roman" w:cs="Times New Roman"/>
              <w:b/>
            </w:rPr>
            <w:t>1.</w:t>
          </w:r>
          <w:r>
            <w:rPr>
              <w:rFonts w:ascii="Times New Roman" w:hAnsi="Times New Roman" w:cs="Times New Roman" w:hint="eastAsia"/>
              <w:b/>
            </w:rPr>
            <w:t>天津市天发药业进出口有限公司</w:t>
          </w:r>
        </w:p>
        <w:tbl>
          <w:tblPr>
            <w:tblW w:w="9933" w:type="dxa"/>
            <w:jc w:val="center"/>
            <w:tblLook w:val="04A0" w:firstRow="1" w:lastRow="0" w:firstColumn="1" w:lastColumn="0" w:noHBand="0" w:noVBand="1"/>
          </w:tblPr>
          <w:tblGrid>
            <w:gridCol w:w="1985"/>
            <w:gridCol w:w="7948"/>
          </w:tblGrid>
          <w:tr w:rsidR="002D0AE7" w14:paraId="28BB773C" w14:textId="77777777">
            <w:trPr>
              <w:trHeight w:val="270"/>
              <w:jc w:val="center"/>
            </w:trPr>
            <w:tc>
              <w:tcPr>
                <w:tcW w:w="1985" w:type="dxa"/>
                <w:tcBorders>
                  <w:top w:val="nil"/>
                  <w:left w:val="nil"/>
                  <w:bottom w:val="single" w:sz="4" w:space="0" w:color="auto"/>
                  <w:right w:val="nil"/>
                </w:tcBorders>
                <w:noWrap/>
                <w:vAlign w:val="center"/>
              </w:tcPr>
              <w:p w14:paraId="4D34A484" w14:textId="77777777" w:rsidR="002D0AE7" w:rsidRDefault="002D0AE7">
                <w:pPr>
                  <w:rPr>
                    <w:rFonts w:ascii="Calibri" w:hAnsi="Calibri" w:cs="Times New Roman"/>
                    <w:sz w:val="21"/>
                    <w:szCs w:val="20"/>
                  </w:rPr>
                </w:pPr>
              </w:p>
            </w:tc>
            <w:tc>
              <w:tcPr>
                <w:tcW w:w="7948" w:type="dxa"/>
                <w:tcBorders>
                  <w:top w:val="nil"/>
                  <w:left w:val="nil"/>
                  <w:bottom w:val="single" w:sz="4" w:space="0" w:color="auto"/>
                  <w:right w:val="nil"/>
                </w:tcBorders>
                <w:vAlign w:val="center"/>
              </w:tcPr>
              <w:p w14:paraId="77984C7E" w14:textId="77777777" w:rsidR="002D0AE7" w:rsidRDefault="00333EBB">
                <w:pPr>
                  <w:jc w:val="right"/>
                  <w:rPr>
                    <w:rFonts w:ascii="Times New Roman" w:hAnsi="Times New Roman" w:cs="Times New Roman"/>
                    <w:sz w:val="21"/>
                  </w:rPr>
                </w:pPr>
                <w:r>
                  <w:rPr>
                    <w:rFonts w:ascii="Times New Roman" w:hAnsi="Times New Roman" w:cs="Times New Roman" w:hint="eastAsia"/>
                    <w:sz w:val="21"/>
                  </w:rPr>
                  <w:t>单位：万元</w:t>
                </w:r>
              </w:p>
            </w:tc>
          </w:tr>
          <w:tr w:rsidR="002D0AE7" w14:paraId="6EC2391F" w14:textId="77777777">
            <w:trPr>
              <w:trHeight w:val="270"/>
              <w:jc w:val="center"/>
            </w:trPr>
            <w:tc>
              <w:tcPr>
                <w:tcW w:w="1985" w:type="dxa"/>
                <w:tcBorders>
                  <w:top w:val="single" w:sz="4" w:space="0" w:color="auto"/>
                  <w:left w:val="single" w:sz="4" w:space="0" w:color="auto"/>
                  <w:bottom w:val="single" w:sz="4" w:space="0" w:color="auto"/>
                  <w:right w:val="single" w:sz="4" w:space="0" w:color="auto"/>
                </w:tcBorders>
                <w:vAlign w:val="center"/>
              </w:tcPr>
              <w:p w14:paraId="3AD9FD35"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注册资本</w:t>
                </w:r>
              </w:p>
            </w:tc>
            <w:tc>
              <w:tcPr>
                <w:tcW w:w="7948" w:type="dxa"/>
                <w:tcBorders>
                  <w:top w:val="single" w:sz="4" w:space="0" w:color="auto"/>
                  <w:left w:val="single" w:sz="4" w:space="0" w:color="auto"/>
                  <w:bottom w:val="single" w:sz="4" w:space="0" w:color="auto"/>
                  <w:right w:val="single" w:sz="4" w:space="0" w:color="auto"/>
                </w:tcBorders>
                <w:vAlign w:val="center"/>
              </w:tcPr>
              <w:p w14:paraId="57D3ADDF" w14:textId="77777777" w:rsidR="002D0AE7" w:rsidRDefault="00333EBB">
                <w:pPr>
                  <w:jc w:val="right"/>
                  <w:rPr>
                    <w:rFonts w:ascii="Times New Roman" w:hAnsi="Times New Roman" w:cs="Times New Roman"/>
                    <w:sz w:val="21"/>
                  </w:rPr>
                </w:pPr>
                <w:r>
                  <w:rPr>
                    <w:rFonts w:ascii="Times New Roman" w:hAnsi="Times New Roman" w:cs="Times New Roman"/>
                    <w:sz w:val="21"/>
                    <w:szCs w:val="18"/>
                  </w:rPr>
                  <w:t>18,000.00</w:t>
                </w:r>
              </w:p>
            </w:tc>
          </w:tr>
          <w:tr w:rsidR="002D0AE7" w14:paraId="2A7FEA68" w14:textId="77777777">
            <w:trPr>
              <w:trHeight w:val="270"/>
              <w:jc w:val="center"/>
            </w:trPr>
            <w:tc>
              <w:tcPr>
                <w:tcW w:w="1985" w:type="dxa"/>
                <w:tcBorders>
                  <w:top w:val="single" w:sz="4" w:space="0" w:color="auto"/>
                  <w:left w:val="single" w:sz="4" w:space="0" w:color="auto"/>
                  <w:bottom w:val="single" w:sz="4" w:space="0" w:color="auto"/>
                  <w:right w:val="single" w:sz="4" w:space="0" w:color="auto"/>
                </w:tcBorders>
                <w:noWrap/>
                <w:vAlign w:val="center"/>
              </w:tcPr>
              <w:p w14:paraId="2C1656CB"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总资产</w:t>
                </w:r>
              </w:p>
            </w:tc>
            <w:tc>
              <w:tcPr>
                <w:tcW w:w="7948" w:type="dxa"/>
                <w:tcBorders>
                  <w:top w:val="single" w:sz="4" w:space="0" w:color="auto"/>
                  <w:left w:val="nil"/>
                  <w:bottom w:val="single" w:sz="4" w:space="0" w:color="auto"/>
                  <w:right w:val="single" w:sz="4" w:space="0" w:color="auto"/>
                </w:tcBorders>
                <w:vAlign w:val="center"/>
              </w:tcPr>
              <w:p w14:paraId="700C7F63" w14:textId="77777777" w:rsidR="002D0AE7" w:rsidRDefault="00333EBB">
                <w:pPr>
                  <w:jc w:val="right"/>
                  <w:rPr>
                    <w:rFonts w:ascii="Times New Roman" w:hAnsi="Times New Roman" w:cs="Times New Roman"/>
                    <w:sz w:val="21"/>
                  </w:rPr>
                </w:pPr>
                <w:r>
                  <w:rPr>
                    <w:rFonts w:ascii="Times New Roman" w:hAnsi="Times New Roman" w:cs="Times New Roman"/>
                    <w:color w:val="000000"/>
                    <w:sz w:val="21"/>
                  </w:rPr>
                  <w:t>28,851.45</w:t>
                </w:r>
              </w:p>
            </w:tc>
          </w:tr>
          <w:tr w:rsidR="002D0AE7" w14:paraId="5A9ACD46" w14:textId="77777777">
            <w:trPr>
              <w:trHeight w:val="270"/>
              <w:jc w:val="center"/>
            </w:trPr>
            <w:tc>
              <w:tcPr>
                <w:tcW w:w="1985" w:type="dxa"/>
                <w:tcBorders>
                  <w:top w:val="single" w:sz="4" w:space="0" w:color="auto"/>
                  <w:left w:val="single" w:sz="4" w:space="0" w:color="auto"/>
                  <w:bottom w:val="single" w:sz="4" w:space="0" w:color="auto"/>
                  <w:right w:val="single" w:sz="4" w:space="0" w:color="auto"/>
                </w:tcBorders>
                <w:noWrap/>
                <w:vAlign w:val="center"/>
              </w:tcPr>
              <w:p w14:paraId="085071EC"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净资产</w:t>
                </w:r>
              </w:p>
            </w:tc>
            <w:tc>
              <w:tcPr>
                <w:tcW w:w="7948" w:type="dxa"/>
                <w:tcBorders>
                  <w:top w:val="single" w:sz="4" w:space="0" w:color="auto"/>
                  <w:left w:val="nil"/>
                  <w:bottom w:val="single" w:sz="4" w:space="0" w:color="auto"/>
                  <w:right w:val="single" w:sz="4" w:space="0" w:color="auto"/>
                </w:tcBorders>
                <w:vAlign w:val="center"/>
              </w:tcPr>
              <w:p w14:paraId="112F31EB" w14:textId="77777777" w:rsidR="002D0AE7" w:rsidRDefault="00333EBB">
                <w:pPr>
                  <w:jc w:val="right"/>
                  <w:rPr>
                    <w:rFonts w:ascii="Times New Roman" w:hAnsi="Times New Roman" w:cs="Times New Roman"/>
                    <w:sz w:val="21"/>
                  </w:rPr>
                </w:pPr>
                <w:r>
                  <w:rPr>
                    <w:rFonts w:ascii="Times New Roman" w:hAnsi="Times New Roman" w:cs="Times New Roman"/>
                    <w:color w:val="000000"/>
                    <w:sz w:val="21"/>
                  </w:rPr>
                  <w:t>20,992.50</w:t>
                </w:r>
              </w:p>
            </w:tc>
          </w:tr>
          <w:tr w:rsidR="002D0AE7" w14:paraId="5DF0F4E7" w14:textId="77777777">
            <w:trPr>
              <w:trHeight w:val="270"/>
              <w:jc w:val="center"/>
            </w:trPr>
            <w:tc>
              <w:tcPr>
                <w:tcW w:w="1985" w:type="dxa"/>
                <w:tcBorders>
                  <w:top w:val="single" w:sz="4" w:space="0" w:color="auto"/>
                  <w:left w:val="single" w:sz="4" w:space="0" w:color="auto"/>
                  <w:bottom w:val="single" w:sz="4" w:space="0" w:color="auto"/>
                  <w:right w:val="single" w:sz="4" w:space="0" w:color="auto"/>
                </w:tcBorders>
                <w:noWrap/>
                <w:vAlign w:val="center"/>
              </w:tcPr>
              <w:p w14:paraId="7FC1EC83"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净利润</w:t>
                </w:r>
              </w:p>
            </w:tc>
            <w:tc>
              <w:tcPr>
                <w:tcW w:w="7948" w:type="dxa"/>
                <w:tcBorders>
                  <w:top w:val="single" w:sz="4" w:space="0" w:color="auto"/>
                  <w:left w:val="nil"/>
                  <w:bottom w:val="single" w:sz="4" w:space="0" w:color="auto"/>
                  <w:right w:val="single" w:sz="4" w:space="0" w:color="auto"/>
                </w:tcBorders>
                <w:vAlign w:val="center"/>
              </w:tcPr>
              <w:p w14:paraId="4D9B67FB" w14:textId="77777777" w:rsidR="002D0AE7" w:rsidRDefault="00333EBB">
                <w:pPr>
                  <w:jc w:val="right"/>
                  <w:rPr>
                    <w:rFonts w:ascii="Times New Roman" w:hAnsi="Times New Roman" w:cs="Times New Roman"/>
                    <w:sz w:val="21"/>
                  </w:rPr>
                </w:pPr>
                <w:r>
                  <w:rPr>
                    <w:rFonts w:ascii="Times New Roman" w:hAnsi="Times New Roman" w:cs="Times New Roman"/>
                    <w:color w:val="000000"/>
                    <w:sz w:val="21"/>
                  </w:rPr>
                  <w:t>53.32</w:t>
                </w:r>
              </w:p>
            </w:tc>
          </w:tr>
          <w:tr w:rsidR="002D0AE7" w14:paraId="2E8748E4" w14:textId="77777777">
            <w:trPr>
              <w:trHeight w:val="270"/>
              <w:jc w:val="center"/>
            </w:trPr>
            <w:tc>
              <w:tcPr>
                <w:tcW w:w="1985" w:type="dxa"/>
                <w:tcBorders>
                  <w:top w:val="single" w:sz="4" w:space="0" w:color="auto"/>
                  <w:left w:val="single" w:sz="4" w:space="0" w:color="auto"/>
                  <w:bottom w:val="single" w:sz="4" w:space="0" w:color="auto"/>
                  <w:right w:val="single" w:sz="4" w:space="0" w:color="auto"/>
                </w:tcBorders>
                <w:vAlign w:val="center"/>
              </w:tcPr>
              <w:p w14:paraId="7FF03142"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股权结构</w:t>
                </w:r>
              </w:p>
            </w:tc>
            <w:tc>
              <w:tcPr>
                <w:tcW w:w="7948" w:type="dxa"/>
                <w:tcBorders>
                  <w:top w:val="single" w:sz="4" w:space="0" w:color="auto"/>
                  <w:left w:val="single" w:sz="4" w:space="0" w:color="auto"/>
                  <w:bottom w:val="single" w:sz="4" w:space="0" w:color="auto"/>
                  <w:right w:val="single" w:sz="4" w:space="0" w:color="auto"/>
                </w:tcBorders>
                <w:vAlign w:val="center"/>
              </w:tcPr>
              <w:p w14:paraId="3C9EAE08" w14:textId="77777777" w:rsidR="002D0AE7" w:rsidRDefault="00333EBB">
                <w:pPr>
                  <w:rPr>
                    <w:rFonts w:ascii="Times New Roman" w:hAnsi="Times New Roman" w:cs="Times New Roman"/>
                    <w:sz w:val="21"/>
                  </w:rPr>
                </w:pPr>
                <w:r>
                  <w:rPr>
                    <w:rFonts w:ascii="Times New Roman" w:hAnsi="Times New Roman" w:cs="Times New Roman" w:hint="eastAsia"/>
                    <w:sz w:val="21"/>
                  </w:rPr>
                  <w:t>公司、药业集团分别持有其</w:t>
                </w:r>
                <w:r>
                  <w:rPr>
                    <w:rFonts w:ascii="Times New Roman" w:hAnsi="Times New Roman" w:cs="Times New Roman"/>
                    <w:sz w:val="21"/>
                  </w:rPr>
                  <w:t>90%</w:t>
                </w:r>
                <w:r>
                  <w:rPr>
                    <w:rFonts w:ascii="Times New Roman" w:hAnsi="Times New Roman" w:cs="Times New Roman" w:hint="eastAsia"/>
                    <w:sz w:val="21"/>
                  </w:rPr>
                  <w:t>、</w:t>
                </w:r>
                <w:r>
                  <w:rPr>
                    <w:rFonts w:ascii="Times New Roman" w:hAnsi="Times New Roman" w:cs="Times New Roman"/>
                    <w:sz w:val="21"/>
                  </w:rPr>
                  <w:t>10%</w:t>
                </w:r>
                <w:r>
                  <w:rPr>
                    <w:rFonts w:ascii="Times New Roman" w:hAnsi="Times New Roman" w:cs="Times New Roman" w:hint="eastAsia"/>
                    <w:sz w:val="21"/>
                  </w:rPr>
                  <w:t>的股权</w:t>
                </w:r>
              </w:p>
            </w:tc>
          </w:tr>
          <w:tr w:rsidR="002D0AE7" w14:paraId="70D571F4" w14:textId="77777777">
            <w:trPr>
              <w:trHeight w:val="840"/>
              <w:jc w:val="center"/>
            </w:trPr>
            <w:tc>
              <w:tcPr>
                <w:tcW w:w="1985" w:type="dxa"/>
                <w:tcBorders>
                  <w:top w:val="single" w:sz="4" w:space="0" w:color="auto"/>
                  <w:left w:val="single" w:sz="4" w:space="0" w:color="auto"/>
                  <w:bottom w:val="single" w:sz="4" w:space="0" w:color="auto"/>
                  <w:right w:val="single" w:sz="4" w:space="0" w:color="auto"/>
                </w:tcBorders>
                <w:vAlign w:val="center"/>
              </w:tcPr>
              <w:p w14:paraId="17042075"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经营范围</w:t>
                </w:r>
              </w:p>
            </w:tc>
            <w:tc>
              <w:tcPr>
                <w:tcW w:w="7948" w:type="dxa"/>
                <w:tcBorders>
                  <w:top w:val="single" w:sz="4" w:space="0" w:color="auto"/>
                  <w:left w:val="single" w:sz="4" w:space="0" w:color="auto"/>
                  <w:bottom w:val="single" w:sz="4" w:space="0" w:color="auto"/>
                  <w:right w:val="single" w:sz="4" w:space="0" w:color="auto"/>
                </w:tcBorders>
              </w:tcPr>
              <w:p w14:paraId="145DE2E0" w14:textId="77777777" w:rsidR="002D0AE7" w:rsidRDefault="00333EBB">
                <w:pPr>
                  <w:rPr>
                    <w:rFonts w:ascii="Times New Roman" w:hAnsi="Times New Roman" w:cs="Times New Roman"/>
                    <w:sz w:val="21"/>
                  </w:rPr>
                </w:pPr>
                <w:r>
                  <w:rPr>
                    <w:rFonts w:ascii="Times New Roman" w:hAnsi="Times New Roman" w:cs="Times New Roman" w:hint="eastAsia"/>
                    <w:sz w:val="21"/>
                  </w:rPr>
                  <w:t>许可项目：</w:t>
                </w:r>
                <w:r>
                  <w:rPr>
                    <w:rFonts w:ascii="Times New Roman" w:hAnsi="Times New Roman" w:cs="Times New Roman"/>
                    <w:sz w:val="21"/>
                  </w:rPr>
                  <w:t>药品进出口</w:t>
                </w:r>
                <w:r>
                  <w:rPr>
                    <w:rFonts w:ascii="Times New Roman" w:hAnsi="Times New Roman" w:cs="Times New Roman" w:hint="eastAsia"/>
                    <w:sz w:val="21"/>
                  </w:rPr>
                  <w:t>；</w:t>
                </w:r>
                <w:r>
                  <w:rPr>
                    <w:rFonts w:ascii="Times New Roman" w:hAnsi="Times New Roman" w:cs="Times New Roman"/>
                    <w:sz w:val="21"/>
                  </w:rPr>
                  <w:t>技术进出口</w:t>
                </w:r>
                <w:r>
                  <w:rPr>
                    <w:rFonts w:ascii="Times New Roman" w:hAnsi="Times New Roman" w:cs="Times New Roman" w:hint="eastAsia"/>
                    <w:sz w:val="21"/>
                  </w:rPr>
                  <w:t>；</w:t>
                </w:r>
                <w:r>
                  <w:rPr>
                    <w:rFonts w:ascii="Times New Roman" w:hAnsi="Times New Roman" w:cs="Times New Roman"/>
                    <w:sz w:val="21"/>
                  </w:rPr>
                  <w:t>进出口代理</w:t>
                </w:r>
                <w:r>
                  <w:rPr>
                    <w:rFonts w:ascii="Times New Roman" w:hAnsi="Times New Roman" w:cs="Times New Roman" w:hint="eastAsia"/>
                    <w:sz w:val="21"/>
                  </w:rPr>
                  <w:t>；</w:t>
                </w:r>
                <w:r>
                  <w:rPr>
                    <w:rFonts w:ascii="Times New Roman" w:hAnsi="Times New Roman" w:cs="Times New Roman"/>
                    <w:sz w:val="21"/>
                  </w:rPr>
                  <w:t>货物进出口。</w:t>
                </w:r>
                <w:r>
                  <w:rPr>
                    <w:rFonts w:ascii="Times New Roman" w:hAnsi="Times New Roman" w:cs="Times New Roman"/>
                    <w:sz w:val="21"/>
                  </w:rPr>
                  <w:t>(</w:t>
                </w:r>
                <w:r>
                  <w:rPr>
                    <w:rFonts w:ascii="Times New Roman" w:hAnsi="Times New Roman" w:cs="Times New Roman"/>
                    <w:sz w:val="21"/>
                  </w:rPr>
                  <w:t>依法须经批准的项目</w:t>
                </w:r>
                <w:r>
                  <w:rPr>
                    <w:rFonts w:ascii="Times New Roman" w:hAnsi="Times New Roman" w:cs="Times New Roman" w:hint="eastAsia"/>
                    <w:sz w:val="21"/>
                  </w:rPr>
                  <w:t>，</w:t>
                </w:r>
                <w:r>
                  <w:rPr>
                    <w:rFonts w:ascii="Times New Roman" w:hAnsi="Times New Roman" w:cs="Times New Roman"/>
                    <w:sz w:val="21"/>
                  </w:rPr>
                  <w:t>经相关部门批准后方可开展经营活动</w:t>
                </w:r>
                <w:r>
                  <w:rPr>
                    <w:rFonts w:ascii="Times New Roman" w:hAnsi="Times New Roman" w:cs="Times New Roman" w:hint="eastAsia"/>
                    <w:sz w:val="21"/>
                  </w:rPr>
                  <w:t>，</w:t>
                </w:r>
                <w:r>
                  <w:rPr>
                    <w:rFonts w:ascii="Times New Roman" w:hAnsi="Times New Roman" w:cs="Times New Roman"/>
                    <w:sz w:val="21"/>
                  </w:rPr>
                  <w:t>具体经营项目以相关部门批准文件或许可证件为准</w:t>
                </w:r>
                <w:r>
                  <w:rPr>
                    <w:rFonts w:ascii="Times New Roman" w:hAnsi="Times New Roman" w:cs="Times New Roman"/>
                    <w:sz w:val="21"/>
                  </w:rPr>
                  <w:t>)</w:t>
                </w:r>
                <w:r>
                  <w:rPr>
                    <w:rFonts w:ascii="Times New Roman" w:hAnsi="Times New Roman" w:cs="Times New Roman"/>
                    <w:sz w:val="21"/>
                  </w:rPr>
                  <w:t>一般项目</w:t>
                </w:r>
                <w:r>
                  <w:rPr>
                    <w:rFonts w:ascii="Times New Roman" w:hAnsi="Times New Roman" w:cs="Times New Roman" w:hint="eastAsia"/>
                    <w:sz w:val="21"/>
                  </w:rPr>
                  <w:t>：</w:t>
                </w:r>
                <w:r>
                  <w:rPr>
                    <w:rFonts w:ascii="Times New Roman" w:hAnsi="Times New Roman" w:cs="Times New Roman"/>
                    <w:sz w:val="21"/>
                  </w:rPr>
                  <w:t>饲料原料销售</w:t>
                </w:r>
                <w:r>
                  <w:rPr>
                    <w:rFonts w:ascii="Times New Roman" w:hAnsi="Times New Roman" w:cs="Times New Roman" w:hint="eastAsia"/>
                    <w:sz w:val="21"/>
                  </w:rPr>
                  <w:t>；</w:t>
                </w:r>
                <w:r>
                  <w:rPr>
                    <w:rFonts w:ascii="Times New Roman" w:hAnsi="Times New Roman" w:cs="Times New Roman"/>
                    <w:sz w:val="21"/>
                  </w:rPr>
                  <w:t>消毒剂销售</w:t>
                </w:r>
                <w:r>
                  <w:rPr>
                    <w:rFonts w:ascii="Times New Roman" w:hAnsi="Times New Roman" w:cs="Times New Roman"/>
                    <w:sz w:val="21"/>
                  </w:rPr>
                  <w:t>(</w:t>
                </w:r>
                <w:r>
                  <w:rPr>
                    <w:rFonts w:ascii="Times New Roman" w:hAnsi="Times New Roman" w:cs="Times New Roman"/>
                    <w:sz w:val="21"/>
                  </w:rPr>
                  <w:t>不含危险化学品</w:t>
                </w:r>
                <w:r>
                  <w:rPr>
                    <w:rFonts w:ascii="Times New Roman" w:hAnsi="Times New Roman" w:cs="Times New Roman"/>
                    <w:sz w:val="21"/>
                  </w:rPr>
                  <w:t>)</w:t>
                </w:r>
                <w:r>
                  <w:rPr>
                    <w:rFonts w:ascii="Times New Roman" w:hAnsi="Times New Roman" w:cs="Times New Roman" w:hint="eastAsia"/>
                    <w:sz w:val="21"/>
                  </w:rPr>
                  <w:t>；</w:t>
                </w:r>
                <w:r>
                  <w:rPr>
                    <w:rFonts w:ascii="Times New Roman" w:hAnsi="Times New Roman" w:cs="Times New Roman"/>
                    <w:sz w:val="21"/>
                  </w:rPr>
                  <w:t>第一类医疗器械销售</w:t>
                </w:r>
                <w:r>
                  <w:rPr>
                    <w:rFonts w:ascii="Times New Roman" w:hAnsi="Times New Roman" w:cs="Times New Roman" w:hint="eastAsia"/>
                    <w:sz w:val="21"/>
                  </w:rPr>
                  <w:t>；</w:t>
                </w:r>
                <w:r>
                  <w:rPr>
                    <w:rFonts w:ascii="Times New Roman" w:hAnsi="Times New Roman" w:cs="Times New Roman"/>
                    <w:sz w:val="21"/>
                  </w:rPr>
                  <w:t>金属材料销售</w:t>
                </w:r>
                <w:r>
                  <w:rPr>
                    <w:rFonts w:ascii="Times New Roman" w:hAnsi="Times New Roman" w:cs="Times New Roman" w:hint="eastAsia"/>
                    <w:sz w:val="21"/>
                  </w:rPr>
                  <w:t>；</w:t>
                </w:r>
                <w:r>
                  <w:rPr>
                    <w:rFonts w:ascii="Times New Roman" w:hAnsi="Times New Roman" w:cs="Times New Roman"/>
                    <w:sz w:val="21"/>
                  </w:rPr>
                  <w:t>专用化学产品销售</w:t>
                </w:r>
                <w:r>
                  <w:rPr>
                    <w:rFonts w:ascii="Times New Roman" w:hAnsi="Times New Roman" w:cs="Times New Roman"/>
                    <w:sz w:val="21"/>
                  </w:rPr>
                  <w:t>(</w:t>
                </w:r>
                <w:r>
                  <w:rPr>
                    <w:rFonts w:ascii="Times New Roman" w:hAnsi="Times New Roman" w:cs="Times New Roman"/>
                    <w:sz w:val="21"/>
                  </w:rPr>
                  <w:t>不含危险化学品</w:t>
                </w:r>
                <w:r>
                  <w:rPr>
                    <w:rFonts w:ascii="Times New Roman" w:hAnsi="Times New Roman" w:cs="Times New Roman"/>
                    <w:sz w:val="21"/>
                  </w:rPr>
                  <w:t>)</w:t>
                </w:r>
                <w:r>
                  <w:rPr>
                    <w:rFonts w:ascii="Times New Roman" w:hAnsi="Times New Roman" w:cs="Times New Roman" w:hint="eastAsia"/>
                    <w:sz w:val="21"/>
                  </w:rPr>
                  <w:t>；</w:t>
                </w:r>
                <w:r>
                  <w:rPr>
                    <w:rFonts w:ascii="Times New Roman" w:hAnsi="Times New Roman" w:cs="Times New Roman"/>
                    <w:sz w:val="21"/>
                  </w:rPr>
                  <w:t>食品添加剂销售</w:t>
                </w:r>
                <w:r>
                  <w:rPr>
                    <w:rFonts w:ascii="Times New Roman" w:hAnsi="Times New Roman" w:cs="Times New Roman" w:hint="eastAsia"/>
                    <w:sz w:val="21"/>
                  </w:rPr>
                  <w:t>；</w:t>
                </w:r>
                <w:r>
                  <w:rPr>
                    <w:rFonts w:ascii="Times New Roman" w:hAnsi="Times New Roman" w:cs="Times New Roman"/>
                    <w:sz w:val="21"/>
                  </w:rPr>
                  <w:t>制药专用设备销售</w:t>
                </w:r>
                <w:r>
                  <w:rPr>
                    <w:rFonts w:ascii="Times New Roman" w:hAnsi="Times New Roman" w:cs="Times New Roman" w:hint="eastAsia"/>
                    <w:sz w:val="21"/>
                  </w:rPr>
                  <w:t>；</w:t>
                </w:r>
                <w:r>
                  <w:rPr>
                    <w:rFonts w:ascii="Times New Roman" w:hAnsi="Times New Roman" w:cs="Times New Roman"/>
                    <w:sz w:val="21"/>
                  </w:rPr>
                  <w:t>饲料添加剂销售。</w:t>
                </w:r>
                <w:r>
                  <w:rPr>
                    <w:rFonts w:ascii="Times New Roman" w:hAnsi="Times New Roman" w:cs="Times New Roman"/>
                    <w:sz w:val="21"/>
                  </w:rPr>
                  <w:t>(</w:t>
                </w:r>
                <w:r>
                  <w:rPr>
                    <w:rFonts w:ascii="Times New Roman" w:hAnsi="Times New Roman" w:cs="Times New Roman"/>
                    <w:sz w:val="21"/>
                  </w:rPr>
                  <w:t>除依法须经批准的项目外</w:t>
                </w:r>
                <w:r>
                  <w:rPr>
                    <w:rFonts w:ascii="Times New Roman" w:hAnsi="Times New Roman" w:cs="Times New Roman" w:hint="eastAsia"/>
                    <w:sz w:val="21"/>
                  </w:rPr>
                  <w:t>，</w:t>
                </w:r>
                <w:r>
                  <w:rPr>
                    <w:rFonts w:ascii="Times New Roman" w:hAnsi="Times New Roman" w:cs="Times New Roman"/>
                    <w:sz w:val="21"/>
                  </w:rPr>
                  <w:t>凭营业执照依法自主开展经营活动</w:t>
                </w:r>
                <w:r>
                  <w:rPr>
                    <w:rFonts w:ascii="Times New Roman" w:hAnsi="Times New Roman" w:cs="Times New Roman"/>
                    <w:sz w:val="21"/>
                  </w:rPr>
                  <w:t>)</w:t>
                </w:r>
              </w:p>
            </w:tc>
          </w:tr>
          <w:tr w:rsidR="002D0AE7" w14:paraId="6B27296F" w14:textId="77777777">
            <w:trPr>
              <w:trHeight w:val="825"/>
              <w:jc w:val="center"/>
            </w:trPr>
            <w:tc>
              <w:tcPr>
                <w:tcW w:w="1985" w:type="dxa"/>
                <w:tcBorders>
                  <w:top w:val="single" w:sz="4" w:space="0" w:color="auto"/>
                  <w:left w:val="single" w:sz="4" w:space="0" w:color="000000"/>
                  <w:bottom w:val="single" w:sz="4" w:space="0" w:color="000000"/>
                  <w:right w:val="single" w:sz="4" w:space="0" w:color="000000"/>
                </w:tcBorders>
                <w:vAlign w:val="center"/>
              </w:tcPr>
              <w:p w14:paraId="4781A1E4"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主要产品或服务</w:t>
                </w:r>
              </w:p>
            </w:tc>
            <w:tc>
              <w:tcPr>
                <w:tcW w:w="7948" w:type="dxa"/>
                <w:tcBorders>
                  <w:top w:val="single" w:sz="4" w:space="0" w:color="auto"/>
                  <w:left w:val="nil"/>
                  <w:bottom w:val="single" w:sz="4" w:space="0" w:color="000000"/>
                  <w:right w:val="single" w:sz="4" w:space="0" w:color="000000"/>
                </w:tcBorders>
                <w:vAlign w:val="center"/>
              </w:tcPr>
              <w:p w14:paraId="532C723B" w14:textId="77777777" w:rsidR="002D0AE7" w:rsidRDefault="00333EBB">
                <w:pPr>
                  <w:rPr>
                    <w:rFonts w:ascii="Times New Roman" w:hAnsi="Times New Roman" w:cs="Times New Roman"/>
                    <w:sz w:val="21"/>
                  </w:rPr>
                </w:pPr>
                <w:r>
                  <w:rPr>
                    <w:rFonts w:ascii="Times New Roman" w:hAnsi="Times New Roman" w:cs="Times New Roman" w:hint="eastAsia"/>
                    <w:sz w:val="21"/>
                  </w:rPr>
                  <w:t>天发进出口主要负责公司甾体激素原料药的出口销售业务，其直接面向欧洲市场和亚洲市场，美洲市场由天发进出口转销给美国大圣后再进行销售。</w:t>
                </w:r>
              </w:p>
            </w:tc>
          </w:tr>
        </w:tbl>
        <w:p w14:paraId="586D65A8" w14:textId="77777777" w:rsidR="002D0AE7" w:rsidRDefault="00333EBB">
          <w:pPr>
            <w:rPr>
              <w:rFonts w:ascii="Times New Roman" w:hAnsi="Times New Roman" w:cs="Times New Roman"/>
              <w:b/>
              <w:bCs/>
            </w:rPr>
          </w:pPr>
          <w:r>
            <w:rPr>
              <w:rFonts w:ascii="Times New Roman" w:hAnsi="Times New Roman" w:cs="Times New Roman"/>
              <w:b/>
            </w:rPr>
            <w:t>2.</w:t>
          </w:r>
          <w:r>
            <w:rPr>
              <w:rFonts w:ascii="Times New Roman" w:hAnsi="Times New Roman" w:cs="Times New Roman" w:hint="eastAsia"/>
              <w:b/>
            </w:rPr>
            <w:t>美国大圣贸易技术开发有限公司</w:t>
          </w:r>
        </w:p>
        <w:tbl>
          <w:tblPr>
            <w:tblW w:w="9965" w:type="dxa"/>
            <w:jc w:val="center"/>
            <w:tblLook w:val="04A0" w:firstRow="1" w:lastRow="0" w:firstColumn="1" w:lastColumn="0" w:noHBand="0" w:noVBand="1"/>
          </w:tblPr>
          <w:tblGrid>
            <w:gridCol w:w="1985"/>
            <w:gridCol w:w="7980"/>
          </w:tblGrid>
          <w:tr w:rsidR="002D0AE7" w14:paraId="460027A0" w14:textId="77777777">
            <w:trPr>
              <w:trHeight w:val="270"/>
              <w:jc w:val="center"/>
            </w:trPr>
            <w:tc>
              <w:tcPr>
                <w:tcW w:w="1985" w:type="dxa"/>
                <w:tcBorders>
                  <w:top w:val="nil"/>
                  <w:left w:val="nil"/>
                  <w:bottom w:val="single" w:sz="4" w:space="0" w:color="auto"/>
                  <w:right w:val="nil"/>
                </w:tcBorders>
                <w:noWrap/>
                <w:vAlign w:val="center"/>
              </w:tcPr>
              <w:p w14:paraId="77E1D23E" w14:textId="77777777" w:rsidR="002D0AE7" w:rsidRDefault="002D0AE7">
                <w:pPr>
                  <w:rPr>
                    <w:rFonts w:ascii="Calibri" w:hAnsi="Calibri" w:cs="Times New Roman"/>
                    <w:sz w:val="21"/>
                    <w:szCs w:val="20"/>
                  </w:rPr>
                </w:pPr>
              </w:p>
            </w:tc>
            <w:tc>
              <w:tcPr>
                <w:tcW w:w="7980" w:type="dxa"/>
                <w:tcBorders>
                  <w:top w:val="nil"/>
                  <w:left w:val="nil"/>
                  <w:bottom w:val="single" w:sz="4" w:space="0" w:color="auto"/>
                  <w:right w:val="nil"/>
                </w:tcBorders>
                <w:vAlign w:val="center"/>
              </w:tcPr>
              <w:p w14:paraId="2D4B8A2A" w14:textId="77777777" w:rsidR="002D0AE7" w:rsidRDefault="00333EBB">
                <w:pPr>
                  <w:jc w:val="right"/>
                  <w:rPr>
                    <w:rFonts w:ascii="Times New Roman" w:hAnsi="Times New Roman" w:cs="Times New Roman"/>
                    <w:sz w:val="21"/>
                  </w:rPr>
                </w:pPr>
                <w:r>
                  <w:rPr>
                    <w:rFonts w:ascii="Times New Roman" w:hAnsi="Times New Roman" w:cs="Times New Roman" w:hint="eastAsia"/>
                    <w:sz w:val="21"/>
                  </w:rPr>
                  <w:t>单位：万元</w:t>
                </w:r>
              </w:p>
            </w:tc>
          </w:tr>
          <w:tr w:rsidR="002D0AE7" w14:paraId="482191ED" w14:textId="77777777">
            <w:trPr>
              <w:trHeight w:val="270"/>
              <w:jc w:val="center"/>
            </w:trPr>
            <w:tc>
              <w:tcPr>
                <w:tcW w:w="1985" w:type="dxa"/>
                <w:tcBorders>
                  <w:top w:val="single" w:sz="4" w:space="0" w:color="auto"/>
                  <w:left w:val="single" w:sz="4" w:space="0" w:color="auto"/>
                  <w:bottom w:val="single" w:sz="4" w:space="0" w:color="auto"/>
                  <w:right w:val="single" w:sz="4" w:space="0" w:color="auto"/>
                </w:tcBorders>
                <w:vAlign w:val="center"/>
              </w:tcPr>
              <w:p w14:paraId="0EFD1213"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注册资本</w:t>
                </w:r>
              </w:p>
            </w:tc>
            <w:tc>
              <w:tcPr>
                <w:tcW w:w="7980" w:type="dxa"/>
                <w:tcBorders>
                  <w:top w:val="single" w:sz="4" w:space="0" w:color="auto"/>
                  <w:left w:val="single" w:sz="4" w:space="0" w:color="auto"/>
                  <w:bottom w:val="single" w:sz="4" w:space="0" w:color="auto"/>
                  <w:right w:val="single" w:sz="4" w:space="0" w:color="auto"/>
                </w:tcBorders>
                <w:vAlign w:val="center"/>
              </w:tcPr>
              <w:p w14:paraId="1DAB1A6D" w14:textId="77777777" w:rsidR="002D0AE7" w:rsidRDefault="00333EBB">
                <w:pPr>
                  <w:jc w:val="right"/>
                  <w:rPr>
                    <w:rFonts w:ascii="Times New Roman" w:hAnsi="Times New Roman" w:cs="Times New Roman"/>
                    <w:sz w:val="21"/>
                    <w:szCs w:val="18"/>
                  </w:rPr>
                </w:pPr>
                <w:r>
                  <w:rPr>
                    <w:rFonts w:ascii="Times New Roman" w:hAnsi="Times New Roman" w:cs="Times New Roman"/>
                    <w:sz w:val="21"/>
                    <w:szCs w:val="18"/>
                  </w:rPr>
                  <w:t>109.73</w:t>
                </w:r>
                <w:r>
                  <w:rPr>
                    <w:rFonts w:ascii="Times New Roman" w:hAnsi="Times New Roman" w:cs="Times New Roman"/>
                    <w:sz w:val="21"/>
                    <w:szCs w:val="18"/>
                  </w:rPr>
                  <w:t>万美元</w:t>
                </w:r>
              </w:p>
            </w:tc>
          </w:tr>
          <w:tr w:rsidR="002D0AE7" w14:paraId="299008D1" w14:textId="77777777">
            <w:trPr>
              <w:trHeight w:val="270"/>
              <w:jc w:val="center"/>
            </w:trPr>
            <w:tc>
              <w:tcPr>
                <w:tcW w:w="1985" w:type="dxa"/>
                <w:tcBorders>
                  <w:top w:val="single" w:sz="4" w:space="0" w:color="auto"/>
                  <w:left w:val="single" w:sz="4" w:space="0" w:color="auto"/>
                  <w:bottom w:val="single" w:sz="4" w:space="0" w:color="auto"/>
                  <w:right w:val="single" w:sz="4" w:space="0" w:color="auto"/>
                </w:tcBorders>
                <w:noWrap/>
                <w:vAlign w:val="center"/>
              </w:tcPr>
              <w:p w14:paraId="4AE81221"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总资产</w:t>
                </w:r>
              </w:p>
            </w:tc>
            <w:tc>
              <w:tcPr>
                <w:tcW w:w="7980" w:type="dxa"/>
                <w:tcBorders>
                  <w:top w:val="single" w:sz="4" w:space="0" w:color="auto"/>
                  <w:left w:val="nil"/>
                  <w:bottom w:val="single" w:sz="4" w:space="0" w:color="auto"/>
                  <w:right w:val="single" w:sz="4" w:space="0" w:color="auto"/>
                </w:tcBorders>
                <w:vAlign w:val="center"/>
              </w:tcPr>
              <w:p w14:paraId="440C5E72" w14:textId="77777777" w:rsidR="002D0AE7" w:rsidRDefault="00333EBB">
                <w:pPr>
                  <w:jc w:val="right"/>
                  <w:rPr>
                    <w:rFonts w:ascii="Times New Roman" w:hAnsi="Times New Roman" w:cs="Times New Roman"/>
                    <w:sz w:val="21"/>
                  </w:rPr>
                </w:pPr>
                <w:r>
                  <w:rPr>
                    <w:rFonts w:ascii="Times New Roman" w:hAnsi="Times New Roman" w:cs="Times New Roman"/>
                    <w:color w:val="000000"/>
                    <w:sz w:val="21"/>
                  </w:rPr>
                  <w:t>3,633.45</w:t>
                </w:r>
              </w:p>
            </w:tc>
          </w:tr>
          <w:tr w:rsidR="002D0AE7" w14:paraId="23AF6C36" w14:textId="77777777">
            <w:trPr>
              <w:trHeight w:val="270"/>
              <w:jc w:val="center"/>
            </w:trPr>
            <w:tc>
              <w:tcPr>
                <w:tcW w:w="1985" w:type="dxa"/>
                <w:tcBorders>
                  <w:top w:val="single" w:sz="4" w:space="0" w:color="auto"/>
                  <w:left w:val="single" w:sz="4" w:space="0" w:color="auto"/>
                  <w:bottom w:val="single" w:sz="4" w:space="0" w:color="auto"/>
                  <w:right w:val="single" w:sz="4" w:space="0" w:color="auto"/>
                </w:tcBorders>
                <w:noWrap/>
                <w:vAlign w:val="center"/>
              </w:tcPr>
              <w:p w14:paraId="15AF05C2"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净资产</w:t>
                </w:r>
              </w:p>
            </w:tc>
            <w:tc>
              <w:tcPr>
                <w:tcW w:w="7980" w:type="dxa"/>
                <w:tcBorders>
                  <w:top w:val="single" w:sz="4" w:space="0" w:color="auto"/>
                  <w:left w:val="nil"/>
                  <w:bottom w:val="single" w:sz="4" w:space="0" w:color="auto"/>
                  <w:right w:val="single" w:sz="4" w:space="0" w:color="auto"/>
                </w:tcBorders>
                <w:vAlign w:val="center"/>
              </w:tcPr>
              <w:p w14:paraId="767C900E" w14:textId="77777777" w:rsidR="002D0AE7" w:rsidRDefault="00333EBB">
                <w:pPr>
                  <w:jc w:val="right"/>
                  <w:rPr>
                    <w:rFonts w:ascii="Times New Roman" w:hAnsi="Times New Roman" w:cs="Times New Roman"/>
                    <w:sz w:val="21"/>
                  </w:rPr>
                </w:pPr>
                <w:r>
                  <w:rPr>
                    <w:rFonts w:ascii="Times New Roman" w:hAnsi="Times New Roman" w:cs="Times New Roman"/>
                    <w:color w:val="000000"/>
                    <w:sz w:val="21"/>
                  </w:rPr>
                  <w:t>884.52</w:t>
                </w:r>
              </w:p>
            </w:tc>
          </w:tr>
          <w:tr w:rsidR="002D0AE7" w14:paraId="300725BC" w14:textId="77777777">
            <w:trPr>
              <w:trHeight w:val="270"/>
              <w:jc w:val="center"/>
            </w:trPr>
            <w:tc>
              <w:tcPr>
                <w:tcW w:w="1985" w:type="dxa"/>
                <w:tcBorders>
                  <w:top w:val="single" w:sz="4" w:space="0" w:color="auto"/>
                  <w:left w:val="single" w:sz="4" w:space="0" w:color="auto"/>
                  <w:bottom w:val="single" w:sz="4" w:space="0" w:color="auto"/>
                  <w:right w:val="single" w:sz="4" w:space="0" w:color="auto"/>
                </w:tcBorders>
                <w:noWrap/>
                <w:vAlign w:val="center"/>
              </w:tcPr>
              <w:p w14:paraId="1BD728AA"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净利润</w:t>
                </w:r>
              </w:p>
            </w:tc>
            <w:tc>
              <w:tcPr>
                <w:tcW w:w="7980" w:type="dxa"/>
                <w:tcBorders>
                  <w:top w:val="single" w:sz="4" w:space="0" w:color="auto"/>
                  <w:left w:val="nil"/>
                  <w:bottom w:val="single" w:sz="4" w:space="0" w:color="auto"/>
                  <w:right w:val="single" w:sz="4" w:space="0" w:color="auto"/>
                </w:tcBorders>
                <w:vAlign w:val="center"/>
              </w:tcPr>
              <w:p w14:paraId="283FBB74" w14:textId="77777777" w:rsidR="002D0AE7" w:rsidRDefault="00333EBB">
                <w:pPr>
                  <w:jc w:val="right"/>
                  <w:rPr>
                    <w:rFonts w:ascii="Times New Roman" w:hAnsi="Times New Roman" w:cs="Times New Roman"/>
                    <w:sz w:val="21"/>
                  </w:rPr>
                </w:pPr>
                <w:r>
                  <w:rPr>
                    <w:rFonts w:ascii="Times New Roman" w:hAnsi="Times New Roman" w:cs="Times New Roman"/>
                    <w:color w:val="000000"/>
                    <w:sz w:val="21"/>
                  </w:rPr>
                  <w:t>24.71</w:t>
                </w:r>
              </w:p>
            </w:tc>
          </w:tr>
          <w:tr w:rsidR="002D0AE7" w14:paraId="29E83C4F" w14:textId="77777777">
            <w:trPr>
              <w:trHeight w:val="270"/>
              <w:jc w:val="center"/>
            </w:trPr>
            <w:tc>
              <w:tcPr>
                <w:tcW w:w="1985" w:type="dxa"/>
                <w:tcBorders>
                  <w:top w:val="single" w:sz="4" w:space="0" w:color="auto"/>
                  <w:left w:val="single" w:sz="4" w:space="0" w:color="auto"/>
                  <w:bottom w:val="single" w:sz="4" w:space="0" w:color="auto"/>
                  <w:right w:val="single" w:sz="4" w:space="0" w:color="auto"/>
                </w:tcBorders>
                <w:vAlign w:val="center"/>
              </w:tcPr>
              <w:p w14:paraId="1D3F79E9"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股权结构</w:t>
                </w:r>
              </w:p>
            </w:tc>
            <w:tc>
              <w:tcPr>
                <w:tcW w:w="7980" w:type="dxa"/>
                <w:tcBorders>
                  <w:top w:val="single" w:sz="4" w:space="0" w:color="auto"/>
                  <w:left w:val="single" w:sz="4" w:space="0" w:color="auto"/>
                  <w:bottom w:val="single" w:sz="4" w:space="0" w:color="auto"/>
                  <w:right w:val="single" w:sz="4" w:space="0" w:color="auto"/>
                </w:tcBorders>
                <w:vAlign w:val="center"/>
              </w:tcPr>
              <w:p w14:paraId="2734A69A" w14:textId="77777777" w:rsidR="002D0AE7" w:rsidRDefault="00333EBB">
                <w:pPr>
                  <w:rPr>
                    <w:rFonts w:ascii="Times New Roman" w:hAnsi="Times New Roman" w:cs="Times New Roman"/>
                    <w:sz w:val="21"/>
                  </w:rPr>
                </w:pPr>
                <w:r>
                  <w:rPr>
                    <w:rFonts w:ascii="Times New Roman" w:hAnsi="Times New Roman" w:cs="Times New Roman" w:hint="eastAsia"/>
                    <w:sz w:val="21"/>
                  </w:rPr>
                  <w:t>公司持有其</w:t>
                </w:r>
                <w:r>
                  <w:rPr>
                    <w:rFonts w:ascii="Times New Roman" w:hAnsi="Times New Roman" w:cs="Times New Roman"/>
                    <w:sz w:val="21"/>
                  </w:rPr>
                  <w:t>100%</w:t>
                </w:r>
                <w:r>
                  <w:rPr>
                    <w:rFonts w:ascii="Times New Roman" w:hAnsi="Times New Roman" w:cs="Times New Roman" w:hint="eastAsia"/>
                    <w:sz w:val="21"/>
                  </w:rPr>
                  <w:t>的股权</w:t>
                </w:r>
              </w:p>
            </w:tc>
          </w:tr>
          <w:tr w:rsidR="002D0AE7" w14:paraId="602C9FF2" w14:textId="77777777">
            <w:trPr>
              <w:trHeight w:val="270"/>
              <w:jc w:val="center"/>
            </w:trPr>
            <w:tc>
              <w:tcPr>
                <w:tcW w:w="1985" w:type="dxa"/>
                <w:tcBorders>
                  <w:top w:val="single" w:sz="4" w:space="0" w:color="auto"/>
                  <w:left w:val="single" w:sz="4" w:space="0" w:color="auto"/>
                  <w:bottom w:val="single" w:sz="4" w:space="0" w:color="auto"/>
                  <w:right w:val="single" w:sz="4" w:space="0" w:color="auto"/>
                </w:tcBorders>
                <w:vAlign w:val="center"/>
              </w:tcPr>
              <w:p w14:paraId="4D5E7EC9"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经营范围</w:t>
                </w:r>
              </w:p>
            </w:tc>
            <w:tc>
              <w:tcPr>
                <w:tcW w:w="7980" w:type="dxa"/>
                <w:tcBorders>
                  <w:top w:val="single" w:sz="4" w:space="0" w:color="auto"/>
                  <w:left w:val="single" w:sz="4" w:space="0" w:color="auto"/>
                  <w:bottom w:val="single" w:sz="4" w:space="0" w:color="auto"/>
                  <w:right w:val="single" w:sz="4" w:space="0" w:color="auto"/>
                </w:tcBorders>
                <w:vAlign w:val="center"/>
              </w:tcPr>
              <w:p w14:paraId="3D32C7ED" w14:textId="77777777" w:rsidR="002D0AE7" w:rsidRDefault="00333EBB">
                <w:pPr>
                  <w:rPr>
                    <w:rFonts w:ascii="Times New Roman" w:hAnsi="Times New Roman" w:cs="Times New Roman"/>
                    <w:sz w:val="21"/>
                  </w:rPr>
                </w:pPr>
                <w:r>
                  <w:rPr>
                    <w:rFonts w:ascii="Times New Roman" w:hAnsi="Times New Roman" w:cs="Times New Roman" w:hint="eastAsia"/>
                    <w:sz w:val="21"/>
                  </w:rPr>
                  <w:t>进出口贸易业务</w:t>
                </w:r>
              </w:p>
            </w:tc>
          </w:tr>
          <w:tr w:rsidR="002D0AE7" w14:paraId="0D126FF6" w14:textId="77777777">
            <w:trPr>
              <w:trHeight w:val="886"/>
              <w:jc w:val="center"/>
            </w:trPr>
            <w:tc>
              <w:tcPr>
                <w:tcW w:w="1985" w:type="dxa"/>
                <w:tcBorders>
                  <w:top w:val="single" w:sz="4" w:space="0" w:color="auto"/>
                  <w:left w:val="single" w:sz="4" w:space="0" w:color="auto"/>
                  <w:bottom w:val="single" w:sz="4" w:space="0" w:color="auto"/>
                  <w:right w:val="single" w:sz="4" w:space="0" w:color="auto"/>
                </w:tcBorders>
                <w:vAlign w:val="center"/>
              </w:tcPr>
              <w:p w14:paraId="2B00E061"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主要产品或服务</w:t>
                </w:r>
              </w:p>
            </w:tc>
            <w:tc>
              <w:tcPr>
                <w:tcW w:w="7980" w:type="dxa"/>
                <w:tcBorders>
                  <w:top w:val="single" w:sz="4" w:space="0" w:color="auto"/>
                  <w:left w:val="single" w:sz="4" w:space="0" w:color="auto"/>
                  <w:bottom w:val="single" w:sz="4" w:space="0" w:color="auto"/>
                  <w:right w:val="single" w:sz="4" w:space="0" w:color="auto"/>
                </w:tcBorders>
                <w:vAlign w:val="center"/>
              </w:tcPr>
              <w:p w14:paraId="5BACBE6E" w14:textId="77777777" w:rsidR="002D0AE7" w:rsidRDefault="00333EBB">
                <w:pPr>
                  <w:rPr>
                    <w:rFonts w:ascii="Times New Roman" w:hAnsi="Times New Roman" w:cs="Times New Roman"/>
                    <w:sz w:val="21"/>
                  </w:rPr>
                </w:pPr>
                <w:r>
                  <w:rPr>
                    <w:rFonts w:ascii="Times New Roman" w:hAnsi="Times New Roman" w:cs="Times New Roman" w:hint="eastAsia"/>
                    <w:sz w:val="21"/>
                  </w:rPr>
                  <w:t>美国大圣主要负责公司的甾体激素原料药在美洲地区的销售业务，不进行产品生产。该公司在原料采购、业务销售和中介服务等方面拥有很强的优势，在北美地区拥有完整的销售网络，且与认证服务机构关系良好。</w:t>
                </w:r>
              </w:p>
            </w:tc>
          </w:tr>
        </w:tbl>
        <w:p w14:paraId="175DD65C" w14:textId="77777777" w:rsidR="002D0AE7" w:rsidRDefault="00333EBB">
          <w:pPr>
            <w:rPr>
              <w:rFonts w:ascii="Times New Roman" w:hAnsi="Times New Roman" w:cs="Times New Roman"/>
              <w:b/>
              <w:bCs/>
            </w:rPr>
          </w:pPr>
          <w:r>
            <w:rPr>
              <w:rFonts w:ascii="Times New Roman" w:hAnsi="Times New Roman" w:cs="Times New Roman"/>
              <w:b/>
            </w:rPr>
            <w:t>3.</w:t>
          </w:r>
          <w:r>
            <w:rPr>
              <w:rFonts w:ascii="Times New Roman" w:hAnsi="Times New Roman" w:cs="Times New Roman" w:hint="eastAsia"/>
              <w:b/>
            </w:rPr>
            <w:t>津药药业（香港）有限公司</w:t>
          </w:r>
        </w:p>
        <w:tbl>
          <w:tblPr>
            <w:tblW w:w="9995" w:type="dxa"/>
            <w:jc w:val="center"/>
            <w:tblLook w:val="04A0" w:firstRow="1" w:lastRow="0" w:firstColumn="1" w:lastColumn="0" w:noHBand="0" w:noVBand="1"/>
          </w:tblPr>
          <w:tblGrid>
            <w:gridCol w:w="1956"/>
            <w:gridCol w:w="8039"/>
          </w:tblGrid>
          <w:tr w:rsidR="002D0AE7" w14:paraId="3E630A52" w14:textId="77777777">
            <w:trPr>
              <w:trHeight w:val="270"/>
              <w:jc w:val="center"/>
            </w:trPr>
            <w:tc>
              <w:tcPr>
                <w:tcW w:w="1956" w:type="dxa"/>
                <w:tcBorders>
                  <w:top w:val="nil"/>
                  <w:left w:val="nil"/>
                  <w:bottom w:val="single" w:sz="4" w:space="0" w:color="auto"/>
                  <w:right w:val="nil"/>
                </w:tcBorders>
                <w:noWrap/>
                <w:vAlign w:val="center"/>
              </w:tcPr>
              <w:p w14:paraId="05F53E6C" w14:textId="77777777" w:rsidR="002D0AE7" w:rsidRDefault="002D0AE7">
                <w:pPr>
                  <w:rPr>
                    <w:rFonts w:ascii="Calibri" w:hAnsi="Calibri" w:cs="Times New Roman"/>
                    <w:sz w:val="21"/>
                    <w:szCs w:val="20"/>
                  </w:rPr>
                </w:pPr>
              </w:p>
            </w:tc>
            <w:tc>
              <w:tcPr>
                <w:tcW w:w="8039" w:type="dxa"/>
                <w:tcBorders>
                  <w:top w:val="nil"/>
                  <w:left w:val="nil"/>
                  <w:bottom w:val="single" w:sz="4" w:space="0" w:color="auto"/>
                  <w:right w:val="nil"/>
                </w:tcBorders>
                <w:vAlign w:val="center"/>
              </w:tcPr>
              <w:p w14:paraId="2C687526" w14:textId="77777777" w:rsidR="002D0AE7" w:rsidRDefault="00333EBB">
                <w:pPr>
                  <w:jc w:val="right"/>
                  <w:rPr>
                    <w:rFonts w:ascii="Times New Roman" w:hAnsi="Times New Roman" w:cs="Times New Roman"/>
                    <w:sz w:val="21"/>
                  </w:rPr>
                </w:pPr>
                <w:r>
                  <w:rPr>
                    <w:rFonts w:ascii="Times New Roman" w:hAnsi="Times New Roman" w:cs="Times New Roman" w:hint="eastAsia"/>
                    <w:sz w:val="21"/>
                  </w:rPr>
                  <w:t>单位：万元</w:t>
                </w:r>
              </w:p>
            </w:tc>
          </w:tr>
          <w:tr w:rsidR="002D0AE7" w14:paraId="31BEACB0" w14:textId="77777777">
            <w:trPr>
              <w:trHeight w:val="270"/>
              <w:jc w:val="center"/>
            </w:trPr>
            <w:tc>
              <w:tcPr>
                <w:tcW w:w="1956" w:type="dxa"/>
                <w:tcBorders>
                  <w:top w:val="single" w:sz="4" w:space="0" w:color="auto"/>
                  <w:left w:val="single" w:sz="4" w:space="0" w:color="auto"/>
                  <w:bottom w:val="single" w:sz="4" w:space="0" w:color="auto"/>
                  <w:right w:val="single" w:sz="4" w:space="0" w:color="auto"/>
                </w:tcBorders>
                <w:vAlign w:val="center"/>
              </w:tcPr>
              <w:p w14:paraId="788FCB9F"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注册资本</w:t>
                </w:r>
              </w:p>
            </w:tc>
            <w:tc>
              <w:tcPr>
                <w:tcW w:w="8039" w:type="dxa"/>
                <w:tcBorders>
                  <w:top w:val="single" w:sz="4" w:space="0" w:color="auto"/>
                  <w:left w:val="single" w:sz="4" w:space="0" w:color="auto"/>
                  <w:bottom w:val="single" w:sz="4" w:space="0" w:color="auto"/>
                  <w:right w:val="single" w:sz="4" w:space="0" w:color="auto"/>
                </w:tcBorders>
                <w:vAlign w:val="center"/>
              </w:tcPr>
              <w:p w14:paraId="3F8378D0" w14:textId="77777777" w:rsidR="002D0AE7" w:rsidRDefault="00333EBB">
                <w:pPr>
                  <w:jc w:val="right"/>
                  <w:rPr>
                    <w:rFonts w:ascii="Times New Roman" w:hAnsi="Times New Roman" w:cs="Times New Roman"/>
                    <w:sz w:val="21"/>
                    <w:szCs w:val="18"/>
                  </w:rPr>
                </w:pPr>
                <w:r>
                  <w:rPr>
                    <w:rFonts w:ascii="Times New Roman" w:hAnsi="Times New Roman" w:cs="Times New Roman"/>
                    <w:sz w:val="21"/>
                    <w:szCs w:val="18"/>
                  </w:rPr>
                  <w:t>624.00</w:t>
                </w:r>
                <w:r>
                  <w:rPr>
                    <w:rFonts w:ascii="Times New Roman" w:hAnsi="Times New Roman" w:cs="Times New Roman"/>
                    <w:sz w:val="21"/>
                    <w:szCs w:val="18"/>
                  </w:rPr>
                  <w:t>万港元</w:t>
                </w:r>
              </w:p>
            </w:tc>
          </w:tr>
          <w:tr w:rsidR="002D0AE7" w14:paraId="6A93B00D" w14:textId="77777777">
            <w:trPr>
              <w:trHeight w:val="330"/>
              <w:jc w:val="center"/>
            </w:trPr>
            <w:tc>
              <w:tcPr>
                <w:tcW w:w="1956" w:type="dxa"/>
                <w:tcBorders>
                  <w:top w:val="single" w:sz="4" w:space="0" w:color="auto"/>
                  <w:left w:val="single" w:sz="4" w:space="0" w:color="auto"/>
                  <w:bottom w:val="single" w:sz="4" w:space="0" w:color="auto"/>
                  <w:right w:val="single" w:sz="4" w:space="0" w:color="auto"/>
                </w:tcBorders>
                <w:noWrap/>
                <w:vAlign w:val="center"/>
              </w:tcPr>
              <w:p w14:paraId="7AF3AFB4"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总资产</w:t>
                </w:r>
              </w:p>
            </w:tc>
            <w:tc>
              <w:tcPr>
                <w:tcW w:w="8039" w:type="dxa"/>
                <w:tcBorders>
                  <w:top w:val="single" w:sz="4" w:space="0" w:color="auto"/>
                  <w:left w:val="nil"/>
                  <w:bottom w:val="single" w:sz="4" w:space="0" w:color="000000"/>
                  <w:right w:val="single" w:sz="4" w:space="0" w:color="000000"/>
                </w:tcBorders>
                <w:vAlign w:val="center"/>
              </w:tcPr>
              <w:p w14:paraId="71A88F70" w14:textId="77777777" w:rsidR="002D0AE7" w:rsidRDefault="00333EBB">
                <w:pPr>
                  <w:jc w:val="right"/>
                  <w:rPr>
                    <w:rFonts w:ascii="Times New Roman" w:hAnsi="Times New Roman" w:cs="Times New Roman"/>
                    <w:sz w:val="21"/>
                  </w:rPr>
                </w:pPr>
                <w:r>
                  <w:rPr>
                    <w:rFonts w:ascii="Times New Roman" w:hAnsi="Times New Roman" w:cs="Times New Roman"/>
                    <w:color w:val="000000"/>
                    <w:sz w:val="21"/>
                  </w:rPr>
                  <w:t>2,473.52</w:t>
                </w:r>
              </w:p>
            </w:tc>
          </w:tr>
          <w:tr w:rsidR="002D0AE7" w14:paraId="47F2F0E8" w14:textId="77777777">
            <w:trPr>
              <w:trHeight w:val="270"/>
              <w:jc w:val="center"/>
            </w:trPr>
            <w:tc>
              <w:tcPr>
                <w:tcW w:w="1956" w:type="dxa"/>
                <w:tcBorders>
                  <w:top w:val="nil"/>
                  <w:left w:val="single" w:sz="4" w:space="0" w:color="auto"/>
                  <w:bottom w:val="single" w:sz="4" w:space="0" w:color="auto"/>
                  <w:right w:val="single" w:sz="4" w:space="0" w:color="auto"/>
                </w:tcBorders>
                <w:noWrap/>
                <w:vAlign w:val="center"/>
              </w:tcPr>
              <w:p w14:paraId="3ED5C002"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净资产</w:t>
                </w:r>
              </w:p>
            </w:tc>
            <w:tc>
              <w:tcPr>
                <w:tcW w:w="8039" w:type="dxa"/>
                <w:tcBorders>
                  <w:top w:val="nil"/>
                  <w:left w:val="nil"/>
                  <w:bottom w:val="single" w:sz="4" w:space="0" w:color="000000"/>
                  <w:right w:val="single" w:sz="4" w:space="0" w:color="000000"/>
                </w:tcBorders>
                <w:vAlign w:val="center"/>
              </w:tcPr>
              <w:p w14:paraId="2933EC09" w14:textId="77777777" w:rsidR="002D0AE7" w:rsidRDefault="00333EBB">
                <w:pPr>
                  <w:jc w:val="right"/>
                  <w:rPr>
                    <w:rFonts w:ascii="Times New Roman" w:hAnsi="Times New Roman" w:cs="Times New Roman"/>
                    <w:sz w:val="21"/>
                  </w:rPr>
                </w:pPr>
                <w:r>
                  <w:rPr>
                    <w:rFonts w:ascii="Times New Roman" w:hAnsi="Times New Roman" w:cs="Times New Roman"/>
                    <w:color w:val="000000"/>
                    <w:sz w:val="21"/>
                  </w:rPr>
                  <w:t>2,425.84</w:t>
                </w:r>
              </w:p>
            </w:tc>
          </w:tr>
          <w:tr w:rsidR="002D0AE7" w14:paraId="3BF54C04" w14:textId="77777777">
            <w:trPr>
              <w:trHeight w:val="270"/>
              <w:jc w:val="center"/>
            </w:trPr>
            <w:tc>
              <w:tcPr>
                <w:tcW w:w="1956" w:type="dxa"/>
                <w:tcBorders>
                  <w:top w:val="nil"/>
                  <w:left w:val="single" w:sz="4" w:space="0" w:color="auto"/>
                  <w:bottom w:val="single" w:sz="4" w:space="0" w:color="auto"/>
                  <w:right w:val="single" w:sz="4" w:space="0" w:color="auto"/>
                </w:tcBorders>
                <w:noWrap/>
                <w:vAlign w:val="center"/>
              </w:tcPr>
              <w:p w14:paraId="4E10D3BD"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净利润</w:t>
                </w:r>
              </w:p>
            </w:tc>
            <w:tc>
              <w:tcPr>
                <w:tcW w:w="8039" w:type="dxa"/>
                <w:tcBorders>
                  <w:top w:val="nil"/>
                  <w:left w:val="nil"/>
                  <w:bottom w:val="single" w:sz="4" w:space="0" w:color="000000"/>
                  <w:right w:val="single" w:sz="4" w:space="0" w:color="000000"/>
                </w:tcBorders>
                <w:vAlign w:val="center"/>
              </w:tcPr>
              <w:p w14:paraId="7697E33B" w14:textId="77777777" w:rsidR="002D0AE7" w:rsidRDefault="00333EBB">
                <w:pPr>
                  <w:jc w:val="right"/>
                  <w:rPr>
                    <w:rFonts w:ascii="Times New Roman" w:hAnsi="Times New Roman" w:cs="Times New Roman"/>
                    <w:sz w:val="21"/>
                  </w:rPr>
                </w:pPr>
                <w:r>
                  <w:rPr>
                    <w:rFonts w:ascii="Times New Roman" w:hAnsi="Times New Roman" w:cs="Times New Roman"/>
                    <w:color w:val="000000"/>
                    <w:sz w:val="21"/>
                  </w:rPr>
                  <w:t>50.19</w:t>
                </w:r>
              </w:p>
            </w:tc>
          </w:tr>
          <w:tr w:rsidR="002D0AE7" w14:paraId="285125B0" w14:textId="77777777">
            <w:trPr>
              <w:trHeight w:val="270"/>
              <w:jc w:val="center"/>
            </w:trPr>
            <w:tc>
              <w:tcPr>
                <w:tcW w:w="1956" w:type="dxa"/>
                <w:tcBorders>
                  <w:top w:val="nil"/>
                  <w:left w:val="single" w:sz="4" w:space="0" w:color="000000"/>
                  <w:bottom w:val="single" w:sz="4" w:space="0" w:color="000000"/>
                  <w:right w:val="single" w:sz="4" w:space="0" w:color="000000"/>
                </w:tcBorders>
                <w:vAlign w:val="center"/>
              </w:tcPr>
              <w:p w14:paraId="4C71F96A"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股权结构</w:t>
                </w:r>
              </w:p>
            </w:tc>
            <w:tc>
              <w:tcPr>
                <w:tcW w:w="8039" w:type="dxa"/>
                <w:tcBorders>
                  <w:top w:val="nil"/>
                  <w:left w:val="nil"/>
                  <w:bottom w:val="single" w:sz="4" w:space="0" w:color="000000"/>
                  <w:right w:val="single" w:sz="4" w:space="0" w:color="000000"/>
                </w:tcBorders>
                <w:vAlign w:val="center"/>
              </w:tcPr>
              <w:p w14:paraId="4B7A27AE" w14:textId="77777777" w:rsidR="002D0AE7" w:rsidRDefault="00333EBB">
                <w:pPr>
                  <w:rPr>
                    <w:rFonts w:ascii="Times New Roman" w:hAnsi="Times New Roman" w:cs="Times New Roman"/>
                    <w:sz w:val="21"/>
                  </w:rPr>
                </w:pPr>
                <w:r>
                  <w:rPr>
                    <w:rFonts w:ascii="Times New Roman" w:hAnsi="Times New Roman" w:cs="Times New Roman" w:hint="eastAsia"/>
                    <w:sz w:val="21"/>
                  </w:rPr>
                  <w:t>公司持有其</w:t>
                </w:r>
                <w:r>
                  <w:rPr>
                    <w:rFonts w:ascii="Times New Roman" w:hAnsi="Times New Roman" w:cs="Times New Roman"/>
                    <w:sz w:val="21"/>
                  </w:rPr>
                  <w:t>100%</w:t>
                </w:r>
                <w:r>
                  <w:rPr>
                    <w:rFonts w:ascii="Times New Roman" w:hAnsi="Times New Roman" w:cs="Times New Roman" w:hint="eastAsia"/>
                    <w:sz w:val="21"/>
                  </w:rPr>
                  <w:t>的股权</w:t>
                </w:r>
              </w:p>
            </w:tc>
          </w:tr>
          <w:tr w:rsidR="002D0AE7" w14:paraId="4184E0C2" w14:textId="77777777">
            <w:trPr>
              <w:trHeight w:val="270"/>
              <w:jc w:val="center"/>
            </w:trPr>
            <w:tc>
              <w:tcPr>
                <w:tcW w:w="1956" w:type="dxa"/>
                <w:tcBorders>
                  <w:top w:val="nil"/>
                  <w:left w:val="single" w:sz="4" w:space="0" w:color="000000"/>
                  <w:bottom w:val="single" w:sz="4" w:space="0" w:color="000000"/>
                  <w:right w:val="single" w:sz="4" w:space="0" w:color="000000"/>
                </w:tcBorders>
                <w:vAlign w:val="center"/>
              </w:tcPr>
              <w:p w14:paraId="4C1FA4DB"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经营范围</w:t>
                </w:r>
              </w:p>
            </w:tc>
            <w:tc>
              <w:tcPr>
                <w:tcW w:w="8039" w:type="dxa"/>
                <w:tcBorders>
                  <w:top w:val="nil"/>
                  <w:left w:val="nil"/>
                  <w:bottom w:val="single" w:sz="4" w:space="0" w:color="000000"/>
                  <w:right w:val="single" w:sz="4" w:space="0" w:color="000000"/>
                </w:tcBorders>
                <w:vAlign w:val="center"/>
              </w:tcPr>
              <w:p w14:paraId="7504502E" w14:textId="77777777" w:rsidR="002D0AE7" w:rsidRDefault="00333EBB">
                <w:pPr>
                  <w:rPr>
                    <w:rFonts w:ascii="Times New Roman" w:hAnsi="Times New Roman" w:cs="Times New Roman"/>
                    <w:sz w:val="21"/>
                  </w:rPr>
                </w:pPr>
                <w:r>
                  <w:rPr>
                    <w:rFonts w:ascii="Times New Roman" w:hAnsi="Times New Roman" w:cs="Times New Roman" w:hint="eastAsia"/>
                    <w:sz w:val="21"/>
                  </w:rPr>
                  <w:t>进出口贸易业务</w:t>
                </w:r>
              </w:p>
            </w:tc>
          </w:tr>
          <w:tr w:rsidR="002D0AE7" w14:paraId="37576169" w14:textId="77777777">
            <w:trPr>
              <w:trHeight w:val="582"/>
              <w:jc w:val="center"/>
            </w:trPr>
            <w:tc>
              <w:tcPr>
                <w:tcW w:w="1956" w:type="dxa"/>
                <w:tcBorders>
                  <w:top w:val="nil"/>
                  <w:left w:val="single" w:sz="4" w:space="0" w:color="000000"/>
                  <w:bottom w:val="single" w:sz="4" w:space="0" w:color="000000"/>
                  <w:right w:val="single" w:sz="4" w:space="0" w:color="000000"/>
                </w:tcBorders>
                <w:vAlign w:val="center"/>
              </w:tcPr>
              <w:p w14:paraId="21AF499F"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主要产品或服务</w:t>
                </w:r>
              </w:p>
            </w:tc>
            <w:tc>
              <w:tcPr>
                <w:tcW w:w="8039" w:type="dxa"/>
                <w:tcBorders>
                  <w:top w:val="nil"/>
                  <w:left w:val="nil"/>
                  <w:bottom w:val="single" w:sz="4" w:space="0" w:color="000000"/>
                  <w:right w:val="single" w:sz="4" w:space="0" w:color="000000"/>
                </w:tcBorders>
                <w:vAlign w:val="center"/>
              </w:tcPr>
              <w:p w14:paraId="5CA815C0" w14:textId="77777777" w:rsidR="002D0AE7" w:rsidRDefault="00333EBB">
                <w:pPr>
                  <w:rPr>
                    <w:rFonts w:ascii="Times New Roman" w:hAnsi="Times New Roman" w:cs="Times New Roman"/>
                    <w:sz w:val="21"/>
                    <w:highlight w:val="yellow"/>
                  </w:rPr>
                </w:pPr>
                <w:r>
                  <w:rPr>
                    <w:rFonts w:ascii="Times New Roman" w:hAnsi="Times New Roman" w:cs="Times New Roman" w:hint="eastAsia"/>
                    <w:sz w:val="21"/>
                  </w:rPr>
                  <w:t>津药香港主要负责公司甾体激素原料药在亚洲地区的销售业务，不进行产品生产。自</w:t>
                </w:r>
                <w:r>
                  <w:rPr>
                    <w:rFonts w:ascii="Times New Roman" w:hAnsi="Times New Roman" w:cs="Times New Roman"/>
                    <w:sz w:val="21"/>
                  </w:rPr>
                  <w:t>2008</w:t>
                </w:r>
                <w:r>
                  <w:rPr>
                    <w:rFonts w:ascii="Times New Roman" w:hAnsi="Times New Roman" w:cs="Times New Roman" w:hint="eastAsia"/>
                    <w:sz w:val="21"/>
                  </w:rPr>
                  <w:t>年津药新加坡设立后，公司的产品在亚洲地区的销售已逐步从津药香港转移至津药新加坡负责，目前津药新加坡的销售已逐步转移至天发进出口负责。</w:t>
                </w:r>
              </w:p>
            </w:tc>
          </w:tr>
        </w:tbl>
        <w:p w14:paraId="2E40B9E2" w14:textId="77777777" w:rsidR="002D0AE7" w:rsidRDefault="00333EBB">
          <w:pPr>
            <w:rPr>
              <w:rFonts w:ascii="Times New Roman" w:hAnsi="Times New Roman" w:cs="Times New Roman"/>
              <w:b/>
              <w:bCs/>
            </w:rPr>
          </w:pPr>
          <w:r>
            <w:rPr>
              <w:rFonts w:ascii="Times New Roman" w:hAnsi="Times New Roman" w:cs="Times New Roman"/>
              <w:b/>
            </w:rPr>
            <w:lastRenderedPageBreak/>
            <w:t>4.</w:t>
          </w:r>
          <w:r>
            <w:rPr>
              <w:rFonts w:ascii="Times New Roman" w:hAnsi="Times New Roman" w:cs="Times New Roman" w:hint="eastAsia"/>
              <w:b/>
            </w:rPr>
            <w:t>津药药业（新加坡）有限公司</w:t>
          </w:r>
        </w:p>
        <w:tbl>
          <w:tblPr>
            <w:tblW w:w="10036" w:type="dxa"/>
            <w:jc w:val="center"/>
            <w:tblLook w:val="04A0" w:firstRow="1" w:lastRow="0" w:firstColumn="1" w:lastColumn="0" w:noHBand="0" w:noVBand="1"/>
          </w:tblPr>
          <w:tblGrid>
            <w:gridCol w:w="1844"/>
            <w:gridCol w:w="8192"/>
          </w:tblGrid>
          <w:tr w:rsidR="002D0AE7" w14:paraId="471D4698" w14:textId="77777777">
            <w:trPr>
              <w:trHeight w:val="270"/>
              <w:jc w:val="center"/>
            </w:trPr>
            <w:tc>
              <w:tcPr>
                <w:tcW w:w="1844" w:type="dxa"/>
                <w:tcBorders>
                  <w:top w:val="nil"/>
                  <w:left w:val="nil"/>
                  <w:bottom w:val="single" w:sz="4" w:space="0" w:color="auto"/>
                  <w:right w:val="nil"/>
                </w:tcBorders>
                <w:vAlign w:val="center"/>
              </w:tcPr>
              <w:p w14:paraId="0427EA8C" w14:textId="77777777" w:rsidR="002D0AE7" w:rsidRDefault="002D0AE7">
                <w:pPr>
                  <w:rPr>
                    <w:rFonts w:ascii="Calibri" w:hAnsi="Calibri" w:cs="Times New Roman"/>
                    <w:sz w:val="21"/>
                    <w:szCs w:val="20"/>
                  </w:rPr>
                </w:pPr>
              </w:p>
            </w:tc>
            <w:tc>
              <w:tcPr>
                <w:tcW w:w="8192" w:type="dxa"/>
                <w:tcBorders>
                  <w:top w:val="nil"/>
                  <w:left w:val="nil"/>
                  <w:bottom w:val="single" w:sz="4" w:space="0" w:color="auto"/>
                  <w:right w:val="nil"/>
                </w:tcBorders>
                <w:vAlign w:val="center"/>
              </w:tcPr>
              <w:p w14:paraId="0A5DAF5D" w14:textId="77777777" w:rsidR="002D0AE7" w:rsidRDefault="00333EBB">
                <w:pPr>
                  <w:jc w:val="right"/>
                  <w:rPr>
                    <w:rFonts w:ascii="Times New Roman" w:hAnsi="Times New Roman" w:cs="Times New Roman"/>
                    <w:sz w:val="21"/>
                  </w:rPr>
                </w:pPr>
                <w:r>
                  <w:rPr>
                    <w:rFonts w:ascii="Times New Roman" w:hAnsi="Times New Roman" w:cs="Times New Roman" w:hint="eastAsia"/>
                    <w:sz w:val="21"/>
                  </w:rPr>
                  <w:t>单位：万美元</w:t>
                </w:r>
              </w:p>
            </w:tc>
          </w:tr>
          <w:tr w:rsidR="002D0AE7" w14:paraId="3858EF1D" w14:textId="77777777">
            <w:trPr>
              <w:trHeight w:val="270"/>
              <w:jc w:val="center"/>
            </w:trPr>
            <w:tc>
              <w:tcPr>
                <w:tcW w:w="1844" w:type="dxa"/>
                <w:tcBorders>
                  <w:top w:val="single" w:sz="4" w:space="0" w:color="auto"/>
                  <w:left w:val="single" w:sz="4" w:space="0" w:color="auto"/>
                  <w:bottom w:val="single" w:sz="4" w:space="0" w:color="auto"/>
                  <w:right w:val="single" w:sz="4" w:space="0" w:color="auto"/>
                </w:tcBorders>
                <w:vAlign w:val="center"/>
              </w:tcPr>
              <w:p w14:paraId="492A1DD2"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注册资本</w:t>
                </w:r>
              </w:p>
            </w:tc>
            <w:tc>
              <w:tcPr>
                <w:tcW w:w="8192" w:type="dxa"/>
                <w:tcBorders>
                  <w:top w:val="single" w:sz="4" w:space="0" w:color="auto"/>
                  <w:left w:val="single" w:sz="4" w:space="0" w:color="auto"/>
                  <w:bottom w:val="single" w:sz="4" w:space="0" w:color="auto"/>
                  <w:right w:val="single" w:sz="4" w:space="0" w:color="auto"/>
                </w:tcBorders>
                <w:vAlign w:val="center"/>
              </w:tcPr>
              <w:p w14:paraId="6FC6CAA4" w14:textId="77777777" w:rsidR="002D0AE7" w:rsidRDefault="00333EBB">
                <w:pPr>
                  <w:jc w:val="right"/>
                  <w:rPr>
                    <w:rFonts w:ascii="Times New Roman" w:hAnsi="Times New Roman" w:cs="Times New Roman"/>
                    <w:sz w:val="21"/>
                    <w:szCs w:val="18"/>
                  </w:rPr>
                </w:pPr>
                <w:r>
                  <w:rPr>
                    <w:rFonts w:ascii="Times New Roman" w:hAnsi="Times New Roman" w:cs="Times New Roman" w:hint="eastAsia"/>
                    <w:sz w:val="21"/>
                    <w:szCs w:val="18"/>
                  </w:rPr>
                  <w:t>3</w:t>
                </w:r>
                <w:r>
                  <w:rPr>
                    <w:rFonts w:ascii="Times New Roman" w:hAnsi="Times New Roman" w:cs="Times New Roman"/>
                    <w:sz w:val="21"/>
                    <w:szCs w:val="18"/>
                  </w:rPr>
                  <w:t>0.00</w:t>
                </w:r>
              </w:p>
            </w:tc>
          </w:tr>
          <w:tr w:rsidR="002D0AE7" w14:paraId="1ACB3A3E" w14:textId="77777777">
            <w:trPr>
              <w:trHeight w:val="270"/>
              <w:jc w:val="center"/>
            </w:trPr>
            <w:tc>
              <w:tcPr>
                <w:tcW w:w="1844" w:type="dxa"/>
                <w:tcBorders>
                  <w:top w:val="single" w:sz="4" w:space="0" w:color="auto"/>
                  <w:left w:val="single" w:sz="4" w:space="0" w:color="000000"/>
                  <w:bottom w:val="single" w:sz="4" w:space="0" w:color="000000"/>
                  <w:right w:val="single" w:sz="4" w:space="0" w:color="000000"/>
                </w:tcBorders>
                <w:vAlign w:val="center"/>
              </w:tcPr>
              <w:p w14:paraId="46D9F6FD"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股权结构</w:t>
                </w:r>
              </w:p>
            </w:tc>
            <w:tc>
              <w:tcPr>
                <w:tcW w:w="8192" w:type="dxa"/>
                <w:tcBorders>
                  <w:top w:val="single" w:sz="4" w:space="0" w:color="auto"/>
                  <w:left w:val="nil"/>
                  <w:bottom w:val="single" w:sz="4" w:space="0" w:color="000000"/>
                  <w:right w:val="single" w:sz="4" w:space="0" w:color="000000"/>
                </w:tcBorders>
                <w:vAlign w:val="center"/>
              </w:tcPr>
              <w:p w14:paraId="32E51E61" w14:textId="77777777" w:rsidR="002D0AE7" w:rsidRDefault="00333EBB">
                <w:pPr>
                  <w:rPr>
                    <w:rFonts w:ascii="Times New Roman" w:hAnsi="Times New Roman" w:cs="Times New Roman"/>
                    <w:sz w:val="21"/>
                  </w:rPr>
                </w:pPr>
                <w:r>
                  <w:rPr>
                    <w:rFonts w:ascii="Times New Roman" w:hAnsi="Times New Roman" w:cs="Times New Roman" w:hint="eastAsia"/>
                    <w:sz w:val="21"/>
                  </w:rPr>
                  <w:t>津药香港持有其</w:t>
                </w:r>
                <w:r>
                  <w:rPr>
                    <w:rFonts w:ascii="Times New Roman" w:hAnsi="Times New Roman" w:cs="Times New Roman"/>
                    <w:sz w:val="21"/>
                  </w:rPr>
                  <w:t>100%</w:t>
                </w:r>
                <w:r>
                  <w:rPr>
                    <w:rFonts w:ascii="Times New Roman" w:hAnsi="Times New Roman" w:cs="Times New Roman" w:hint="eastAsia"/>
                    <w:sz w:val="21"/>
                  </w:rPr>
                  <w:t>的股权</w:t>
                </w:r>
              </w:p>
            </w:tc>
          </w:tr>
          <w:tr w:rsidR="002D0AE7" w14:paraId="4BB340D8" w14:textId="77777777">
            <w:trPr>
              <w:trHeight w:val="270"/>
              <w:jc w:val="center"/>
            </w:trPr>
            <w:tc>
              <w:tcPr>
                <w:tcW w:w="1844" w:type="dxa"/>
                <w:tcBorders>
                  <w:top w:val="nil"/>
                  <w:left w:val="single" w:sz="4" w:space="0" w:color="000000"/>
                  <w:bottom w:val="single" w:sz="4" w:space="0" w:color="000000"/>
                  <w:right w:val="single" w:sz="4" w:space="0" w:color="000000"/>
                </w:tcBorders>
                <w:vAlign w:val="center"/>
              </w:tcPr>
              <w:p w14:paraId="01862F8C"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经营范围</w:t>
                </w:r>
              </w:p>
            </w:tc>
            <w:tc>
              <w:tcPr>
                <w:tcW w:w="8192" w:type="dxa"/>
                <w:tcBorders>
                  <w:top w:val="nil"/>
                  <w:left w:val="nil"/>
                  <w:bottom w:val="single" w:sz="4" w:space="0" w:color="000000"/>
                  <w:right w:val="single" w:sz="4" w:space="0" w:color="000000"/>
                </w:tcBorders>
                <w:vAlign w:val="center"/>
              </w:tcPr>
              <w:p w14:paraId="13DACB3B" w14:textId="77777777" w:rsidR="002D0AE7" w:rsidRDefault="00333EBB">
                <w:pPr>
                  <w:rPr>
                    <w:rFonts w:ascii="Times New Roman" w:hAnsi="Times New Roman" w:cs="Times New Roman"/>
                    <w:sz w:val="21"/>
                  </w:rPr>
                </w:pPr>
                <w:r>
                  <w:rPr>
                    <w:rFonts w:ascii="Times New Roman" w:hAnsi="Times New Roman" w:cs="Times New Roman" w:hint="eastAsia"/>
                    <w:sz w:val="21"/>
                  </w:rPr>
                  <w:t>进出口贸易业务</w:t>
                </w:r>
              </w:p>
            </w:tc>
          </w:tr>
          <w:tr w:rsidR="002D0AE7" w14:paraId="499EBAC5" w14:textId="77777777">
            <w:trPr>
              <w:trHeight w:val="273"/>
              <w:jc w:val="center"/>
            </w:trPr>
            <w:tc>
              <w:tcPr>
                <w:tcW w:w="1844" w:type="dxa"/>
                <w:tcBorders>
                  <w:top w:val="nil"/>
                  <w:left w:val="single" w:sz="4" w:space="0" w:color="000000"/>
                  <w:bottom w:val="single" w:sz="4" w:space="0" w:color="000000"/>
                  <w:right w:val="single" w:sz="4" w:space="0" w:color="000000"/>
                </w:tcBorders>
                <w:vAlign w:val="center"/>
              </w:tcPr>
              <w:p w14:paraId="36CB7C78"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主要产品或服务</w:t>
                </w:r>
              </w:p>
            </w:tc>
            <w:tc>
              <w:tcPr>
                <w:tcW w:w="8192" w:type="dxa"/>
                <w:tcBorders>
                  <w:top w:val="nil"/>
                  <w:left w:val="nil"/>
                  <w:bottom w:val="single" w:sz="4" w:space="0" w:color="000000"/>
                  <w:right w:val="single" w:sz="4" w:space="0" w:color="000000"/>
                </w:tcBorders>
                <w:vAlign w:val="center"/>
              </w:tcPr>
              <w:p w14:paraId="3772C93B" w14:textId="77777777" w:rsidR="002D0AE7" w:rsidRDefault="00333EBB">
                <w:pPr>
                  <w:rPr>
                    <w:rFonts w:ascii="Times New Roman" w:hAnsi="Times New Roman" w:cs="Times New Roman"/>
                    <w:sz w:val="21"/>
                  </w:rPr>
                </w:pPr>
                <w:r>
                  <w:rPr>
                    <w:rFonts w:ascii="Times New Roman" w:hAnsi="Times New Roman" w:cs="Times New Roman" w:hint="eastAsia"/>
                    <w:sz w:val="21"/>
                  </w:rPr>
                  <w:t>津药新加坡主要负责公司的甾体激素原料药在亚洲地区的销售业务，不进行产品生产。自</w:t>
                </w:r>
                <w:r>
                  <w:rPr>
                    <w:rFonts w:ascii="Times New Roman" w:hAnsi="Times New Roman" w:cs="Times New Roman" w:hint="eastAsia"/>
                    <w:sz w:val="21"/>
                  </w:rPr>
                  <w:t>2022</w:t>
                </w:r>
                <w:r>
                  <w:rPr>
                    <w:rFonts w:ascii="Times New Roman" w:hAnsi="Times New Roman" w:cs="Times New Roman" w:hint="eastAsia"/>
                    <w:sz w:val="21"/>
                  </w:rPr>
                  <w:t>年下半年，公司产品在亚洲地区的销售已逐步从津药新加坡转移至天发进出口负责。</w:t>
                </w:r>
              </w:p>
            </w:tc>
          </w:tr>
        </w:tbl>
        <w:p w14:paraId="696FE557" w14:textId="77777777" w:rsidR="002D0AE7" w:rsidRDefault="00333EBB">
          <w:pPr>
            <w:rPr>
              <w:rFonts w:ascii="Times New Roman" w:hAnsi="Times New Roman" w:cs="Times New Roman"/>
              <w:sz w:val="21"/>
            </w:rPr>
          </w:pPr>
          <w:r>
            <w:rPr>
              <w:rFonts w:ascii="Times New Roman" w:hAnsi="Times New Roman" w:cs="Times New Roman" w:hint="eastAsia"/>
              <w:sz w:val="21"/>
            </w:rPr>
            <w:t>注：由于津药新加坡由津药香港</w:t>
          </w:r>
          <w:r>
            <w:rPr>
              <w:rFonts w:ascii="Times New Roman" w:hAnsi="Times New Roman" w:cs="Times New Roman"/>
              <w:sz w:val="21"/>
            </w:rPr>
            <w:t>100%</w:t>
          </w:r>
          <w:r>
            <w:rPr>
              <w:rFonts w:ascii="Times New Roman" w:hAnsi="Times New Roman" w:cs="Times New Roman" w:hint="eastAsia"/>
              <w:sz w:val="21"/>
            </w:rPr>
            <w:t>控股，故津药新加坡的财务数据在津药香港报表中体现。</w:t>
          </w:r>
        </w:p>
        <w:p w14:paraId="04BE2947" w14:textId="77777777" w:rsidR="002D0AE7" w:rsidRDefault="00333EBB">
          <w:pPr>
            <w:rPr>
              <w:rFonts w:ascii="Times New Roman" w:hAnsi="Times New Roman" w:cs="Times New Roman"/>
              <w:b/>
            </w:rPr>
          </w:pPr>
          <w:r>
            <w:rPr>
              <w:rFonts w:ascii="Times New Roman" w:hAnsi="Times New Roman" w:cs="Times New Roman"/>
              <w:b/>
            </w:rPr>
            <w:t>5.</w:t>
          </w:r>
          <w:r>
            <w:rPr>
              <w:rFonts w:ascii="Times New Roman" w:hAnsi="Times New Roman" w:cs="Times New Roman" w:hint="eastAsia"/>
              <w:b/>
            </w:rPr>
            <w:t>津药和平（天津）制药有限公司</w:t>
          </w:r>
        </w:p>
        <w:tbl>
          <w:tblPr>
            <w:tblW w:w="10010" w:type="dxa"/>
            <w:jc w:val="center"/>
            <w:tblLook w:val="04A0" w:firstRow="1" w:lastRow="0" w:firstColumn="1" w:lastColumn="0" w:noHBand="0" w:noVBand="1"/>
          </w:tblPr>
          <w:tblGrid>
            <w:gridCol w:w="1844"/>
            <w:gridCol w:w="8166"/>
          </w:tblGrid>
          <w:tr w:rsidR="002D0AE7" w14:paraId="34B1CA32" w14:textId="77777777">
            <w:trPr>
              <w:trHeight w:val="270"/>
              <w:jc w:val="center"/>
            </w:trPr>
            <w:tc>
              <w:tcPr>
                <w:tcW w:w="1844" w:type="dxa"/>
                <w:tcBorders>
                  <w:top w:val="nil"/>
                  <w:left w:val="nil"/>
                  <w:bottom w:val="single" w:sz="4" w:space="0" w:color="auto"/>
                  <w:right w:val="nil"/>
                </w:tcBorders>
                <w:noWrap/>
                <w:vAlign w:val="center"/>
              </w:tcPr>
              <w:p w14:paraId="0E424723" w14:textId="77777777" w:rsidR="002D0AE7" w:rsidRDefault="002D0AE7">
                <w:pPr>
                  <w:rPr>
                    <w:rFonts w:ascii="Calibri" w:hAnsi="Calibri" w:cs="Times New Roman"/>
                    <w:sz w:val="21"/>
                    <w:szCs w:val="20"/>
                  </w:rPr>
                </w:pPr>
              </w:p>
            </w:tc>
            <w:tc>
              <w:tcPr>
                <w:tcW w:w="8166" w:type="dxa"/>
                <w:tcBorders>
                  <w:top w:val="nil"/>
                  <w:left w:val="nil"/>
                  <w:bottom w:val="single" w:sz="4" w:space="0" w:color="auto"/>
                  <w:right w:val="nil"/>
                </w:tcBorders>
                <w:vAlign w:val="center"/>
              </w:tcPr>
              <w:p w14:paraId="1FAFC1FD" w14:textId="77777777" w:rsidR="002D0AE7" w:rsidRDefault="00333EBB">
                <w:pPr>
                  <w:jc w:val="right"/>
                  <w:rPr>
                    <w:rFonts w:ascii="Times New Roman" w:hAnsi="Times New Roman" w:cs="Times New Roman"/>
                    <w:sz w:val="21"/>
                  </w:rPr>
                </w:pPr>
                <w:r>
                  <w:rPr>
                    <w:rFonts w:ascii="Times New Roman" w:hAnsi="Times New Roman" w:cs="Times New Roman" w:hint="eastAsia"/>
                    <w:sz w:val="21"/>
                  </w:rPr>
                  <w:t>单位：万元</w:t>
                </w:r>
              </w:p>
            </w:tc>
          </w:tr>
          <w:tr w:rsidR="002D0AE7" w14:paraId="32C25252" w14:textId="77777777">
            <w:trPr>
              <w:trHeight w:val="270"/>
              <w:jc w:val="center"/>
            </w:trPr>
            <w:tc>
              <w:tcPr>
                <w:tcW w:w="1844" w:type="dxa"/>
                <w:tcBorders>
                  <w:top w:val="single" w:sz="4" w:space="0" w:color="auto"/>
                  <w:left w:val="single" w:sz="4" w:space="0" w:color="auto"/>
                  <w:bottom w:val="single" w:sz="4" w:space="0" w:color="auto"/>
                  <w:right w:val="single" w:sz="4" w:space="0" w:color="auto"/>
                </w:tcBorders>
                <w:vAlign w:val="center"/>
              </w:tcPr>
              <w:p w14:paraId="23A6BE5A"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注册资本</w:t>
                </w:r>
              </w:p>
            </w:tc>
            <w:tc>
              <w:tcPr>
                <w:tcW w:w="8166" w:type="dxa"/>
                <w:tcBorders>
                  <w:top w:val="single" w:sz="4" w:space="0" w:color="auto"/>
                  <w:left w:val="single" w:sz="4" w:space="0" w:color="auto"/>
                  <w:bottom w:val="single" w:sz="4" w:space="0" w:color="auto"/>
                  <w:right w:val="single" w:sz="4" w:space="0" w:color="auto"/>
                </w:tcBorders>
                <w:vAlign w:val="center"/>
              </w:tcPr>
              <w:p w14:paraId="4EE14289" w14:textId="77777777" w:rsidR="002D0AE7" w:rsidRDefault="00333EBB">
                <w:pPr>
                  <w:jc w:val="right"/>
                  <w:rPr>
                    <w:rFonts w:ascii="Times New Roman" w:hAnsi="Times New Roman" w:cs="Times New Roman"/>
                    <w:sz w:val="21"/>
                    <w:szCs w:val="18"/>
                  </w:rPr>
                </w:pPr>
                <w:r>
                  <w:rPr>
                    <w:rFonts w:ascii="Times New Roman" w:hAnsi="Times New Roman" w:cs="Times New Roman"/>
                    <w:sz w:val="21"/>
                    <w:szCs w:val="18"/>
                  </w:rPr>
                  <w:t>60,405.00</w:t>
                </w:r>
              </w:p>
            </w:tc>
          </w:tr>
          <w:tr w:rsidR="002D0AE7" w14:paraId="64280C81" w14:textId="77777777">
            <w:trPr>
              <w:trHeight w:val="270"/>
              <w:jc w:val="center"/>
            </w:trPr>
            <w:tc>
              <w:tcPr>
                <w:tcW w:w="1844" w:type="dxa"/>
                <w:tcBorders>
                  <w:top w:val="single" w:sz="4" w:space="0" w:color="auto"/>
                  <w:left w:val="single" w:sz="4" w:space="0" w:color="auto"/>
                  <w:bottom w:val="single" w:sz="4" w:space="0" w:color="auto"/>
                  <w:right w:val="single" w:sz="4" w:space="0" w:color="auto"/>
                </w:tcBorders>
                <w:noWrap/>
                <w:vAlign w:val="center"/>
              </w:tcPr>
              <w:p w14:paraId="63DCD161"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总资产</w:t>
                </w:r>
              </w:p>
            </w:tc>
            <w:tc>
              <w:tcPr>
                <w:tcW w:w="8166" w:type="dxa"/>
                <w:tcBorders>
                  <w:top w:val="single" w:sz="4" w:space="0" w:color="auto"/>
                  <w:left w:val="nil"/>
                  <w:bottom w:val="single" w:sz="4" w:space="0" w:color="auto"/>
                  <w:right w:val="single" w:sz="4" w:space="0" w:color="auto"/>
                </w:tcBorders>
                <w:vAlign w:val="center"/>
              </w:tcPr>
              <w:p w14:paraId="29595BEB" w14:textId="77777777" w:rsidR="002D0AE7" w:rsidRDefault="00333EBB">
                <w:pPr>
                  <w:jc w:val="right"/>
                  <w:rPr>
                    <w:rFonts w:ascii="Times New Roman" w:hAnsi="Times New Roman" w:cs="Times New Roman"/>
                    <w:sz w:val="21"/>
                  </w:rPr>
                </w:pPr>
                <w:r>
                  <w:rPr>
                    <w:rFonts w:ascii="Times New Roman" w:hAnsi="Times New Roman" w:cs="Times New Roman"/>
                    <w:color w:val="000000"/>
                    <w:sz w:val="21"/>
                  </w:rPr>
                  <w:t>192,018.92</w:t>
                </w:r>
              </w:p>
            </w:tc>
          </w:tr>
          <w:tr w:rsidR="002D0AE7" w14:paraId="553BA77A" w14:textId="77777777">
            <w:trPr>
              <w:trHeight w:val="270"/>
              <w:jc w:val="center"/>
            </w:trPr>
            <w:tc>
              <w:tcPr>
                <w:tcW w:w="1844" w:type="dxa"/>
                <w:tcBorders>
                  <w:top w:val="single" w:sz="4" w:space="0" w:color="auto"/>
                  <w:left w:val="single" w:sz="4" w:space="0" w:color="auto"/>
                  <w:bottom w:val="single" w:sz="4" w:space="0" w:color="auto"/>
                  <w:right w:val="single" w:sz="4" w:space="0" w:color="auto"/>
                </w:tcBorders>
                <w:noWrap/>
                <w:vAlign w:val="center"/>
              </w:tcPr>
              <w:p w14:paraId="6F748B4D"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净资产</w:t>
                </w:r>
              </w:p>
            </w:tc>
            <w:tc>
              <w:tcPr>
                <w:tcW w:w="8166" w:type="dxa"/>
                <w:tcBorders>
                  <w:top w:val="single" w:sz="4" w:space="0" w:color="auto"/>
                  <w:left w:val="nil"/>
                  <w:bottom w:val="single" w:sz="4" w:space="0" w:color="auto"/>
                  <w:right w:val="single" w:sz="4" w:space="0" w:color="auto"/>
                </w:tcBorders>
                <w:vAlign w:val="center"/>
              </w:tcPr>
              <w:p w14:paraId="6510EC07" w14:textId="77777777" w:rsidR="002D0AE7" w:rsidRDefault="00333EBB">
                <w:pPr>
                  <w:jc w:val="right"/>
                  <w:rPr>
                    <w:rFonts w:ascii="Times New Roman" w:hAnsi="Times New Roman" w:cs="Times New Roman"/>
                    <w:sz w:val="21"/>
                  </w:rPr>
                </w:pPr>
                <w:r>
                  <w:rPr>
                    <w:rFonts w:ascii="Times New Roman" w:hAnsi="Times New Roman" w:cs="Times New Roman"/>
                    <w:color w:val="000000"/>
                    <w:sz w:val="21"/>
                  </w:rPr>
                  <w:t>131,279.21</w:t>
                </w:r>
              </w:p>
            </w:tc>
          </w:tr>
          <w:tr w:rsidR="002D0AE7" w14:paraId="663F4560" w14:textId="77777777">
            <w:trPr>
              <w:trHeight w:val="270"/>
              <w:jc w:val="center"/>
            </w:trPr>
            <w:tc>
              <w:tcPr>
                <w:tcW w:w="1844" w:type="dxa"/>
                <w:tcBorders>
                  <w:top w:val="single" w:sz="4" w:space="0" w:color="auto"/>
                  <w:left w:val="single" w:sz="4" w:space="0" w:color="auto"/>
                  <w:bottom w:val="single" w:sz="4" w:space="0" w:color="auto"/>
                  <w:right w:val="single" w:sz="4" w:space="0" w:color="auto"/>
                </w:tcBorders>
                <w:noWrap/>
                <w:vAlign w:val="center"/>
              </w:tcPr>
              <w:p w14:paraId="6C94D27A"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净利润</w:t>
                </w:r>
              </w:p>
            </w:tc>
            <w:tc>
              <w:tcPr>
                <w:tcW w:w="8166" w:type="dxa"/>
                <w:tcBorders>
                  <w:top w:val="single" w:sz="4" w:space="0" w:color="auto"/>
                  <w:left w:val="nil"/>
                  <w:bottom w:val="single" w:sz="4" w:space="0" w:color="auto"/>
                  <w:right w:val="single" w:sz="4" w:space="0" w:color="auto"/>
                </w:tcBorders>
                <w:vAlign w:val="center"/>
              </w:tcPr>
              <w:p w14:paraId="245B8663" w14:textId="77777777" w:rsidR="002D0AE7" w:rsidRDefault="00333EBB">
                <w:pPr>
                  <w:jc w:val="right"/>
                  <w:rPr>
                    <w:rFonts w:ascii="Times New Roman" w:hAnsi="Times New Roman" w:cs="Times New Roman"/>
                    <w:sz w:val="21"/>
                  </w:rPr>
                </w:pPr>
                <w:r>
                  <w:rPr>
                    <w:rFonts w:ascii="Times New Roman" w:hAnsi="Times New Roman" w:cs="Times New Roman"/>
                    <w:color w:val="000000"/>
                    <w:sz w:val="21"/>
                  </w:rPr>
                  <w:t>5,349.92</w:t>
                </w:r>
              </w:p>
            </w:tc>
          </w:tr>
          <w:tr w:rsidR="002D0AE7" w14:paraId="1C4EDE86" w14:textId="77777777">
            <w:trPr>
              <w:trHeight w:val="270"/>
              <w:jc w:val="center"/>
            </w:trPr>
            <w:tc>
              <w:tcPr>
                <w:tcW w:w="1844" w:type="dxa"/>
                <w:tcBorders>
                  <w:top w:val="single" w:sz="4" w:space="0" w:color="auto"/>
                  <w:left w:val="single" w:sz="4" w:space="0" w:color="auto"/>
                  <w:bottom w:val="single" w:sz="4" w:space="0" w:color="auto"/>
                  <w:right w:val="single" w:sz="4" w:space="0" w:color="auto"/>
                </w:tcBorders>
                <w:vAlign w:val="center"/>
              </w:tcPr>
              <w:p w14:paraId="245563AC"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股权结构</w:t>
                </w:r>
              </w:p>
            </w:tc>
            <w:tc>
              <w:tcPr>
                <w:tcW w:w="8166" w:type="dxa"/>
                <w:tcBorders>
                  <w:top w:val="single" w:sz="4" w:space="0" w:color="auto"/>
                  <w:left w:val="single" w:sz="4" w:space="0" w:color="auto"/>
                  <w:bottom w:val="single" w:sz="4" w:space="0" w:color="auto"/>
                  <w:right w:val="single" w:sz="4" w:space="0" w:color="auto"/>
                </w:tcBorders>
                <w:vAlign w:val="center"/>
              </w:tcPr>
              <w:p w14:paraId="7ADD7142" w14:textId="77777777" w:rsidR="002D0AE7" w:rsidRDefault="00333EBB">
                <w:pPr>
                  <w:rPr>
                    <w:rFonts w:ascii="Times New Roman" w:hAnsi="Times New Roman" w:cs="Times New Roman"/>
                    <w:sz w:val="21"/>
                  </w:rPr>
                </w:pPr>
                <w:r>
                  <w:rPr>
                    <w:rFonts w:ascii="Times New Roman" w:hAnsi="Times New Roman" w:cs="Times New Roman" w:hint="eastAsia"/>
                    <w:sz w:val="21"/>
                  </w:rPr>
                  <w:t>公司、药业集团、广州德福、</w:t>
                </w:r>
                <w:r>
                  <w:rPr>
                    <w:rFonts w:ascii="Times New Roman" w:hAnsi="Times New Roman" w:cs="Times New Roman"/>
                    <w:snapToGrid w:val="0"/>
                    <w:sz w:val="21"/>
                  </w:rPr>
                  <w:t>GL</w:t>
                </w:r>
                <w:r>
                  <w:rPr>
                    <w:rFonts w:ascii="Times New Roman" w:hAnsi="Times New Roman" w:cs="Times New Roman" w:hint="eastAsia"/>
                    <w:sz w:val="21"/>
                  </w:rPr>
                  <w:t>分别持有其</w:t>
                </w:r>
                <w:r>
                  <w:rPr>
                    <w:rFonts w:ascii="Times New Roman" w:hAnsi="Times New Roman" w:cs="Times New Roman"/>
                    <w:sz w:val="21"/>
                  </w:rPr>
                  <w:t>62%</w:t>
                </w:r>
                <w:r>
                  <w:rPr>
                    <w:rFonts w:ascii="Times New Roman" w:hAnsi="Times New Roman" w:cs="Times New Roman" w:hint="eastAsia"/>
                    <w:sz w:val="21"/>
                  </w:rPr>
                  <w:t>、</w:t>
                </w:r>
                <w:r>
                  <w:rPr>
                    <w:rFonts w:ascii="Times New Roman" w:hAnsi="Times New Roman" w:cs="Times New Roman"/>
                    <w:sz w:val="21"/>
                  </w:rPr>
                  <w:t>19%</w:t>
                </w:r>
                <w:r>
                  <w:rPr>
                    <w:rFonts w:ascii="Times New Roman" w:hAnsi="Times New Roman" w:cs="Times New Roman" w:hint="eastAsia"/>
                    <w:sz w:val="21"/>
                  </w:rPr>
                  <w:t>、</w:t>
                </w:r>
                <w:r>
                  <w:rPr>
                    <w:rFonts w:ascii="Times New Roman" w:hAnsi="Times New Roman" w:cs="Times New Roman"/>
                    <w:sz w:val="21"/>
                  </w:rPr>
                  <w:t>9.5%</w:t>
                </w:r>
                <w:r>
                  <w:rPr>
                    <w:rFonts w:ascii="Times New Roman" w:hAnsi="Times New Roman" w:cs="Times New Roman" w:hint="eastAsia"/>
                    <w:sz w:val="21"/>
                  </w:rPr>
                  <w:t>、</w:t>
                </w:r>
                <w:r>
                  <w:rPr>
                    <w:rFonts w:ascii="Times New Roman" w:hAnsi="Times New Roman" w:cs="Times New Roman"/>
                    <w:sz w:val="21"/>
                  </w:rPr>
                  <w:t>9.5%</w:t>
                </w:r>
                <w:r>
                  <w:rPr>
                    <w:rFonts w:ascii="Times New Roman" w:hAnsi="Times New Roman" w:cs="Times New Roman" w:hint="eastAsia"/>
                    <w:sz w:val="21"/>
                  </w:rPr>
                  <w:t>的股权</w:t>
                </w:r>
              </w:p>
            </w:tc>
          </w:tr>
          <w:tr w:rsidR="002D0AE7" w14:paraId="2860B2CB" w14:textId="77777777">
            <w:trPr>
              <w:trHeight w:val="415"/>
              <w:jc w:val="center"/>
            </w:trPr>
            <w:tc>
              <w:tcPr>
                <w:tcW w:w="1844" w:type="dxa"/>
                <w:tcBorders>
                  <w:top w:val="single" w:sz="4" w:space="0" w:color="auto"/>
                  <w:left w:val="single" w:sz="4" w:space="0" w:color="auto"/>
                  <w:bottom w:val="single" w:sz="4" w:space="0" w:color="auto"/>
                  <w:right w:val="single" w:sz="4" w:space="0" w:color="auto"/>
                </w:tcBorders>
                <w:vAlign w:val="center"/>
              </w:tcPr>
              <w:p w14:paraId="18BB83BD"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经营范围</w:t>
                </w:r>
              </w:p>
            </w:tc>
            <w:tc>
              <w:tcPr>
                <w:tcW w:w="8166" w:type="dxa"/>
                <w:tcBorders>
                  <w:top w:val="single" w:sz="4" w:space="0" w:color="auto"/>
                  <w:left w:val="single" w:sz="4" w:space="0" w:color="auto"/>
                  <w:bottom w:val="single" w:sz="4" w:space="0" w:color="auto"/>
                  <w:right w:val="single" w:sz="4" w:space="0" w:color="auto"/>
                </w:tcBorders>
              </w:tcPr>
              <w:p w14:paraId="6CB9A0F4" w14:textId="77777777" w:rsidR="002D0AE7" w:rsidRDefault="00333EBB">
                <w:pPr>
                  <w:rPr>
                    <w:rFonts w:ascii="Times New Roman" w:hAnsi="Times New Roman" w:cs="Times New Roman"/>
                    <w:sz w:val="21"/>
                  </w:rPr>
                </w:pPr>
                <w:r>
                  <w:rPr>
                    <w:rFonts w:ascii="Times New Roman" w:hAnsi="Times New Roman" w:cs="Times New Roman" w:hint="eastAsia"/>
                    <w:sz w:val="21"/>
                  </w:rPr>
                  <w:t>许可项目：</w:t>
                </w:r>
                <w:r>
                  <w:rPr>
                    <w:rFonts w:ascii="Times New Roman" w:hAnsi="Times New Roman" w:cs="Times New Roman"/>
                    <w:sz w:val="21"/>
                  </w:rPr>
                  <w:t>药品生产</w:t>
                </w:r>
                <w:r>
                  <w:rPr>
                    <w:rFonts w:ascii="Times New Roman" w:hAnsi="Times New Roman" w:cs="Times New Roman"/>
                    <w:sz w:val="21"/>
                  </w:rPr>
                  <w:t>;</w:t>
                </w:r>
                <w:r>
                  <w:rPr>
                    <w:rFonts w:ascii="Times New Roman" w:hAnsi="Times New Roman" w:cs="Times New Roman"/>
                    <w:sz w:val="21"/>
                  </w:rPr>
                  <w:t>药品委托生产</w:t>
                </w:r>
                <w:r>
                  <w:rPr>
                    <w:rFonts w:ascii="Times New Roman" w:hAnsi="Times New Roman" w:cs="Times New Roman" w:hint="eastAsia"/>
                    <w:sz w:val="21"/>
                  </w:rPr>
                  <w:t>；</w:t>
                </w:r>
                <w:r>
                  <w:rPr>
                    <w:rFonts w:ascii="Times New Roman" w:hAnsi="Times New Roman" w:cs="Times New Roman"/>
                    <w:sz w:val="21"/>
                  </w:rPr>
                  <w:t>药品批发</w:t>
                </w:r>
                <w:r>
                  <w:rPr>
                    <w:rFonts w:ascii="Times New Roman" w:hAnsi="Times New Roman" w:cs="Times New Roman"/>
                    <w:sz w:val="21"/>
                  </w:rPr>
                  <w:t>;</w:t>
                </w:r>
                <w:r>
                  <w:rPr>
                    <w:rFonts w:ascii="Times New Roman" w:hAnsi="Times New Roman" w:cs="Times New Roman"/>
                    <w:sz w:val="21"/>
                  </w:rPr>
                  <w:t>药品零售</w:t>
                </w:r>
                <w:r>
                  <w:rPr>
                    <w:rFonts w:ascii="Times New Roman" w:hAnsi="Times New Roman" w:cs="Times New Roman"/>
                    <w:sz w:val="21"/>
                  </w:rPr>
                  <w:t>;</w:t>
                </w:r>
                <w:r>
                  <w:rPr>
                    <w:rFonts w:ascii="Times New Roman" w:hAnsi="Times New Roman" w:cs="Times New Roman"/>
                    <w:sz w:val="21"/>
                  </w:rPr>
                  <w:t>药品进出口</w:t>
                </w:r>
                <w:r>
                  <w:rPr>
                    <w:rFonts w:ascii="Times New Roman" w:hAnsi="Times New Roman" w:cs="Times New Roman" w:hint="eastAsia"/>
                    <w:sz w:val="21"/>
                  </w:rPr>
                  <w:t>；</w:t>
                </w:r>
                <w:r>
                  <w:rPr>
                    <w:rFonts w:ascii="Times New Roman" w:hAnsi="Times New Roman" w:cs="Times New Roman"/>
                    <w:sz w:val="21"/>
                  </w:rPr>
                  <w:t>药品类易制毒化学品销售</w:t>
                </w:r>
                <w:r>
                  <w:rPr>
                    <w:rFonts w:ascii="Times New Roman" w:hAnsi="Times New Roman" w:cs="Times New Roman" w:hint="eastAsia"/>
                    <w:sz w:val="21"/>
                  </w:rPr>
                  <w:t>；</w:t>
                </w:r>
                <w:r>
                  <w:rPr>
                    <w:rFonts w:ascii="Times New Roman" w:hAnsi="Times New Roman" w:cs="Times New Roman"/>
                    <w:sz w:val="21"/>
                  </w:rPr>
                  <w:t>化妆品生产</w:t>
                </w:r>
                <w:r>
                  <w:rPr>
                    <w:rFonts w:ascii="Times New Roman" w:hAnsi="Times New Roman" w:cs="Times New Roman" w:hint="eastAsia"/>
                    <w:sz w:val="21"/>
                  </w:rPr>
                  <w:t>；</w:t>
                </w:r>
                <w:r>
                  <w:rPr>
                    <w:rFonts w:ascii="Times New Roman" w:hAnsi="Times New Roman" w:cs="Times New Roman"/>
                    <w:sz w:val="21"/>
                  </w:rPr>
                  <w:t>第二类医疗器械生产</w:t>
                </w:r>
                <w:r>
                  <w:rPr>
                    <w:rFonts w:ascii="Times New Roman" w:hAnsi="Times New Roman" w:cs="Times New Roman" w:hint="eastAsia"/>
                    <w:sz w:val="21"/>
                  </w:rPr>
                  <w:t>；</w:t>
                </w:r>
                <w:r>
                  <w:rPr>
                    <w:rFonts w:ascii="Times New Roman" w:hAnsi="Times New Roman" w:cs="Times New Roman"/>
                    <w:sz w:val="21"/>
                  </w:rPr>
                  <w:t>第三类医疗器械生产</w:t>
                </w:r>
                <w:r>
                  <w:rPr>
                    <w:rFonts w:ascii="Times New Roman" w:hAnsi="Times New Roman" w:cs="Times New Roman" w:hint="eastAsia"/>
                    <w:sz w:val="21"/>
                  </w:rPr>
                  <w:t>；</w:t>
                </w:r>
                <w:r>
                  <w:rPr>
                    <w:rFonts w:ascii="Times New Roman" w:hAnsi="Times New Roman" w:cs="Times New Roman"/>
                    <w:sz w:val="21"/>
                  </w:rPr>
                  <w:t>第三类医疗器械经营</w:t>
                </w:r>
                <w:r>
                  <w:rPr>
                    <w:rFonts w:ascii="Times New Roman" w:hAnsi="Times New Roman" w:cs="Times New Roman" w:hint="eastAsia"/>
                    <w:sz w:val="21"/>
                  </w:rPr>
                  <w:t>；</w:t>
                </w:r>
                <w:r>
                  <w:rPr>
                    <w:rFonts w:ascii="Times New Roman" w:hAnsi="Times New Roman" w:cs="Times New Roman"/>
                    <w:sz w:val="21"/>
                  </w:rPr>
                  <w:t>药品互联网信息服务。</w:t>
                </w:r>
                <w:r>
                  <w:rPr>
                    <w:rFonts w:ascii="Times New Roman" w:hAnsi="Times New Roman" w:cs="Times New Roman"/>
                    <w:sz w:val="21"/>
                  </w:rPr>
                  <w:t>(</w:t>
                </w:r>
                <w:r>
                  <w:rPr>
                    <w:rFonts w:ascii="Times New Roman" w:hAnsi="Times New Roman" w:cs="Times New Roman"/>
                    <w:sz w:val="21"/>
                  </w:rPr>
                  <w:t>依法须经批准的项目</w:t>
                </w:r>
                <w:r>
                  <w:rPr>
                    <w:rFonts w:ascii="Times New Roman" w:hAnsi="Times New Roman" w:cs="Times New Roman"/>
                    <w:sz w:val="21"/>
                  </w:rPr>
                  <w:t>,</w:t>
                </w:r>
                <w:r>
                  <w:rPr>
                    <w:rFonts w:ascii="Times New Roman" w:hAnsi="Times New Roman" w:cs="Times New Roman"/>
                    <w:sz w:val="21"/>
                  </w:rPr>
                  <w:t>经相关部门批准后方可开展经营活动</w:t>
                </w:r>
                <w:r>
                  <w:rPr>
                    <w:rFonts w:ascii="Times New Roman" w:hAnsi="Times New Roman" w:cs="Times New Roman"/>
                    <w:sz w:val="21"/>
                  </w:rPr>
                  <w:t>,</w:t>
                </w:r>
                <w:r>
                  <w:rPr>
                    <w:rFonts w:ascii="Times New Roman" w:hAnsi="Times New Roman" w:cs="Times New Roman"/>
                    <w:sz w:val="21"/>
                  </w:rPr>
                  <w:t>具体经营项目以相关部门批准文件或许可证件为准</w:t>
                </w:r>
                <w:r>
                  <w:rPr>
                    <w:rFonts w:ascii="Times New Roman" w:hAnsi="Times New Roman" w:cs="Times New Roman"/>
                    <w:sz w:val="21"/>
                  </w:rPr>
                  <w:t>)</w:t>
                </w:r>
                <w:r>
                  <w:rPr>
                    <w:rFonts w:ascii="Times New Roman" w:hAnsi="Times New Roman" w:cs="Times New Roman"/>
                    <w:sz w:val="21"/>
                  </w:rPr>
                  <w:t>。一般项目</w:t>
                </w:r>
                <w:r>
                  <w:rPr>
                    <w:rFonts w:ascii="Times New Roman" w:hAnsi="Times New Roman" w:cs="Times New Roman" w:hint="eastAsia"/>
                    <w:sz w:val="21"/>
                  </w:rPr>
                  <w:t>：</w:t>
                </w:r>
                <w:r>
                  <w:rPr>
                    <w:rFonts w:ascii="Times New Roman" w:hAnsi="Times New Roman" w:cs="Times New Roman"/>
                    <w:sz w:val="21"/>
                  </w:rPr>
                  <w:t>医用包装材料制造</w:t>
                </w:r>
                <w:r>
                  <w:rPr>
                    <w:rFonts w:ascii="Times New Roman" w:hAnsi="Times New Roman" w:cs="Times New Roman" w:hint="eastAsia"/>
                    <w:sz w:val="21"/>
                  </w:rPr>
                  <w:t>；</w:t>
                </w:r>
                <w:r>
                  <w:rPr>
                    <w:rFonts w:ascii="Times New Roman" w:hAnsi="Times New Roman" w:cs="Times New Roman"/>
                    <w:sz w:val="21"/>
                  </w:rPr>
                  <w:t>包装材料及制品销售</w:t>
                </w:r>
                <w:r>
                  <w:rPr>
                    <w:rFonts w:ascii="Times New Roman" w:hAnsi="Times New Roman" w:cs="Times New Roman" w:hint="eastAsia"/>
                    <w:sz w:val="21"/>
                  </w:rPr>
                  <w:t>；</w:t>
                </w:r>
                <w:r>
                  <w:rPr>
                    <w:rFonts w:ascii="Times New Roman" w:hAnsi="Times New Roman" w:cs="Times New Roman"/>
                    <w:sz w:val="21"/>
                  </w:rPr>
                  <w:t>化妆品零售</w:t>
                </w:r>
                <w:r>
                  <w:rPr>
                    <w:rFonts w:ascii="Times New Roman" w:hAnsi="Times New Roman" w:cs="Times New Roman" w:hint="eastAsia"/>
                    <w:sz w:val="21"/>
                  </w:rPr>
                  <w:t>；</w:t>
                </w:r>
                <w:r>
                  <w:rPr>
                    <w:rFonts w:ascii="Times New Roman" w:hAnsi="Times New Roman" w:cs="Times New Roman"/>
                    <w:sz w:val="21"/>
                  </w:rPr>
                  <w:t>化妆品批发</w:t>
                </w:r>
                <w:r>
                  <w:rPr>
                    <w:rFonts w:ascii="Times New Roman" w:hAnsi="Times New Roman" w:cs="Times New Roman" w:hint="eastAsia"/>
                    <w:sz w:val="21"/>
                  </w:rPr>
                  <w:t>；</w:t>
                </w:r>
                <w:r>
                  <w:rPr>
                    <w:rFonts w:ascii="Times New Roman" w:hAnsi="Times New Roman" w:cs="Times New Roman"/>
                    <w:sz w:val="21"/>
                  </w:rPr>
                  <w:t>第一类医疗器械生产</w:t>
                </w:r>
                <w:r>
                  <w:rPr>
                    <w:rFonts w:ascii="Times New Roman" w:hAnsi="Times New Roman" w:cs="Times New Roman" w:hint="eastAsia"/>
                    <w:sz w:val="21"/>
                  </w:rPr>
                  <w:t>；</w:t>
                </w:r>
                <w:r>
                  <w:rPr>
                    <w:rFonts w:ascii="Times New Roman" w:hAnsi="Times New Roman" w:cs="Times New Roman"/>
                    <w:sz w:val="21"/>
                  </w:rPr>
                  <w:t>第一类医疗器械销售</w:t>
                </w:r>
                <w:r>
                  <w:rPr>
                    <w:rFonts w:ascii="Times New Roman" w:hAnsi="Times New Roman" w:cs="Times New Roman" w:hint="eastAsia"/>
                    <w:sz w:val="21"/>
                  </w:rPr>
                  <w:t>；</w:t>
                </w:r>
                <w:r>
                  <w:rPr>
                    <w:rFonts w:ascii="Times New Roman" w:hAnsi="Times New Roman" w:cs="Times New Roman"/>
                    <w:sz w:val="21"/>
                  </w:rPr>
                  <w:t>第二类医疗器械销售</w:t>
                </w:r>
                <w:r>
                  <w:rPr>
                    <w:rFonts w:ascii="Times New Roman" w:hAnsi="Times New Roman" w:cs="Times New Roman" w:hint="eastAsia"/>
                    <w:sz w:val="21"/>
                  </w:rPr>
                  <w:t>；</w:t>
                </w:r>
                <w:r>
                  <w:rPr>
                    <w:rFonts w:ascii="Times New Roman" w:hAnsi="Times New Roman" w:cs="Times New Roman"/>
                    <w:sz w:val="21"/>
                  </w:rPr>
                  <w:t>技术服务、技术开发、技术咨询、技术交流、技术转让、技术推广；非居住房地产租赁</w:t>
                </w:r>
                <w:r>
                  <w:rPr>
                    <w:rFonts w:ascii="Times New Roman" w:hAnsi="Times New Roman" w:cs="Times New Roman" w:hint="eastAsia"/>
                    <w:sz w:val="21"/>
                  </w:rPr>
                  <w:t>；</w:t>
                </w:r>
                <w:r>
                  <w:rPr>
                    <w:rFonts w:ascii="Times New Roman" w:hAnsi="Times New Roman" w:cs="Times New Roman"/>
                    <w:sz w:val="21"/>
                  </w:rPr>
                  <w:t>机械设备租赁</w:t>
                </w:r>
                <w:r>
                  <w:rPr>
                    <w:rFonts w:ascii="Times New Roman" w:hAnsi="Times New Roman" w:cs="Times New Roman"/>
                    <w:sz w:val="21"/>
                  </w:rPr>
                  <w:t>;</w:t>
                </w:r>
                <w:r>
                  <w:rPr>
                    <w:rFonts w:ascii="Times New Roman" w:hAnsi="Times New Roman" w:cs="Times New Roman"/>
                    <w:sz w:val="21"/>
                  </w:rPr>
                  <w:t>物</w:t>
                </w:r>
                <w:r>
                  <w:rPr>
                    <w:rFonts w:ascii="Times New Roman" w:hAnsi="Times New Roman" w:cs="Times New Roman" w:hint="eastAsia"/>
                    <w:sz w:val="21"/>
                  </w:rPr>
                  <w:t>业管理。</w:t>
                </w:r>
                <w:r>
                  <w:rPr>
                    <w:rFonts w:ascii="Times New Roman" w:hAnsi="Times New Roman" w:cs="Times New Roman"/>
                    <w:sz w:val="21"/>
                  </w:rPr>
                  <w:t>(</w:t>
                </w:r>
                <w:r>
                  <w:rPr>
                    <w:rFonts w:ascii="Times New Roman" w:hAnsi="Times New Roman" w:cs="Times New Roman"/>
                    <w:sz w:val="21"/>
                  </w:rPr>
                  <w:t>除依法须经批准的项目外</w:t>
                </w:r>
                <w:r>
                  <w:rPr>
                    <w:rFonts w:ascii="Times New Roman" w:hAnsi="Times New Roman" w:cs="Times New Roman"/>
                    <w:sz w:val="21"/>
                  </w:rPr>
                  <w:t>,</w:t>
                </w:r>
                <w:r>
                  <w:rPr>
                    <w:rFonts w:ascii="Times New Roman" w:hAnsi="Times New Roman" w:cs="Times New Roman"/>
                    <w:sz w:val="21"/>
                  </w:rPr>
                  <w:t>凭营业执照依法自主开展经营活动</w:t>
                </w:r>
                <w:r>
                  <w:rPr>
                    <w:rFonts w:ascii="Times New Roman" w:hAnsi="Times New Roman" w:cs="Times New Roman"/>
                    <w:sz w:val="21"/>
                  </w:rPr>
                  <w:t>)</w:t>
                </w:r>
                <w:r>
                  <w:rPr>
                    <w:rFonts w:ascii="Times New Roman" w:hAnsi="Times New Roman" w:cs="Times New Roman"/>
                    <w:sz w:val="21"/>
                  </w:rPr>
                  <w:t>。</w:t>
                </w:r>
                <w:r>
                  <w:rPr>
                    <w:rFonts w:ascii="Times New Roman" w:hAnsi="Times New Roman" w:cs="Times New Roman"/>
                    <w:sz w:val="21"/>
                  </w:rPr>
                  <w:t>(</w:t>
                </w:r>
                <w:r>
                  <w:rPr>
                    <w:rFonts w:ascii="Times New Roman" w:hAnsi="Times New Roman" w:cs="Times New Roman"/>
                    <w:sz w:val="21"/>
                  </w:rPr>
                  <w:t>不得投资《外商投资准入负面清单》中禁止外商投资的领域</w:t>
                </w:r>
                <w:r>
                  <w:rPr>
                    <w:rFonts w:ascii="Times New Roman" w:hAnsi="Times New Roman" w:cs="Times New Roman"/>
                    <w:sz w:val="21"/>
                  </w:rPr>
                  <w:t>)</w:t>
                </w:r>
                <w:r>
                  <w:rPr>
                    <w:rFonts w:ascii="Times New Roman" w:hAnsi="Times New Roman" w:cs="Times New Roman"/>
                    <w:sz w:val="21"/>
                  </w:rPr>
                  <w:t>。</w:t>
                </w:r>
              </w:p>
            </w:tc>
          </w:tr>
          <w:tr w:rsidR="002D0AE7" w14:paraId="5047FEFB" w14:textId="77777777">
            <w:trPr>
              <w:trHeight w:val="825"/>
              <w:jc w:val="center"/>
            </w:trPr>
            <w:tc>
              <w:tcPr>
                <w:tcW w:w="1844" w:type="dxa"/>
                <w:tcBorders>
                  <w:top w:val="single" w:sz="4" w:space="0" w:color="auto"/>
                  <w:left w:val="single" w:sz="4" w:space="0" w:color="000000"/>
                  <w:bottom w:val="single" w:sz="4" w:space="0" w:color="000000"/>
                  <w:right w:val="single" w:sz="4" w:space="0" w:color="000000"/>
                </w:tcBorders>
                <w:vAlign w:val="center"/>
              </w:tcPr>
              <w:p w14:paraId="20B7DCDB"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主要产品或服务</w:t>
                </w:r>
              </w:p>
            </w:tc>
            <w:tc>
              <w:tcPr>
                <w:tcW w:w="8166" w:type="dxa"/>
                <w:tcBorders>
                  <w:top w:val="single" w:sz="4" w:space="0" w:color="auto"/>
                  <w:left w:val="nil"/>
                  <w:bottom w:val="single" w:sz="4" w:space="0" w:color="000000"/>
                  <w:right w:val="single" w:sz="4" w:space="0" w:color="000000"/>
                </w:tcBorders>
              </w:tcPr>
              <w:p w14:paraId="48A07F7F" w14:textId="77777777" w:rsidR="002D0AE7" w:rsidRDefault="00333EBB">
                <w:pPr>
                  <w:rPr>
                    <w:rFonts w:ascii="Times New Roman" w:hAnsi="Times New Roman" w:cs="Times New Roman"/>
                    <w:sz w:val="21"/>
                  </w:rPr>
                </w:pPr>
                <w:r>
                  <w:rPr>
                    <w:rFonts w:ascii="Times New Roman" w:hAnsi="Times New Roman" w:cs="Times New Roman" w:hint="eastAsia"/>
                    <w:sz w:val="21"/>
                  </w:rPr>
                  <w:t>主要从事小容量注射剂，精神药品，麻醉药品，凝胶剂，软膏剂，乳膏剂，硬胶囊剂，大容量注射剂、洗剂，滴眼剂，气雾剂，冲洗剂，吸入制剂，冻干粉针剂，片剂等多种制剂的研发、生产和销售。</w:t>
                </w:r>
              </w:p>
            </w:tc>
          </w:tr>
        </w:tbl>
        <w:p w14:paraId="750DC6D6" w14:textId="77777777" w:rsidR="002D0AE7" w:rsidRDefault="00333EBB">
          <w:pPr>
            <w:rPr>
              <w:rFonts w:ascii="Times New Roman" w:hAnsi="Times New Roman" w:cs="Times New Roman"/>
              <w:b/>
              <w:bCs/>
            </w:rPr>
          </w:pPr>
          <w:r>
            <w:rPr>
              <w:rFonts w:ascii="Times New Roman" w:hAnsi="Times New Roman" w:cs="Times New Roman"/>
              <w:b/>
            </w:rPr>
            <w:t>6.</w:t>
          </w:r>
          <w:r>
            <w:rPr>
              <w:rFonts w:ascii="Times New Roman" w:hAnsi="Times New Roman" w:cs="Times New Roman" w:hint="eastAsia"/>
              <w:b/>
            </w:rPr>
            <w:t>津药药业健康科技（天津）有限公司</w:t>
          </w:r>
        </w:p>
        <w:tbl>
          <w:tblPr>
            <w:tblW w:w="10051" w:type="dxa"/>
            <w:jc w:val="center"/>
            <w:tblLook w:val="04A0" w:firstRow="1" w:lastRow="0" w:firstColumn="1" w:lastColumn="0" w:noHBand="0" w:noVBand="1"/>
          </w:tblPr>
          <w:tblGrid>
            <w:gridCol w:w="1985"/>
            <w:gridCol w:w="8066"/>
          </w:tblGrid>
          <w:tr w:rsidR="002D0AE7" w14:paraId="1F208727" w14:textId="77777777">
            <w:trPr>
              <w:trHeight w:val="270"/>
              <w:jc w:val="center"/>
            </w:trPr>
            <w:tc>
              <w:tcPr>
                <w:tcW w:w="1985" w:type="dxa"/>
                <w:tcBorders>
                  <w:top w:val="nil"/>
                  <w:left w:val="nil"/>
                  <w:bottom w:val="single" w:sz="4" w:space="0" w:color="auto"/>
                  <w:right w:val="nil"/>
                </w:tcBorders>
                <w:noWrap/>
                <w:vAlign w:val="center"/>
              </w:tcPr>
              <w:p w14:paraId="2C91EFE9" w14:textId="77777777" w:rsidR="002D0AE7" w:rsidRDefault="002D0AE7">
                <w:pPr>
                  <w:rPr>
                    <w:rFonts w:ascii="Calibri" w:hAnsi="Calibri" w:cs="Times New Roman"/>
                    <w:sz w:val="21"/>
                    <w:szCs w:val="20"/>
                  </w:rPr>
                </w:pPr>
              </w:p>
            </w:tc>
            <w:tc>
              <w:tcPr>
                <w:tcW w:w="8066" w:type="dxa"/>
                <w:tcBorders>
                  <w:top w:val="nil"/>
                  <w:left w:val="nil"/>
                  <w:bottom w:val="single" w:sz="4" w:space="0" w:color="auto"/>
                  <w:right w:val="nil"/>
                </w:tcBorders>
                <w:vAlign w:val="center"/>
              </w:tcPr>
              <w:p w14:paraId="75AD9455" w14:textId="77777777" w:rsidR="002D0AE7" w:rsidRDefault="00333EBB">
                <w:pPr>
                  <w:jc w:val="right"/>
                  <w:rPr>
                    <w:rFonts w:ascii="Times New Roman" w:hAnsi="Times New Roman" w:cs="Times New Roman"/>
                    <w:sz w:val="21"/>
                  </w:rPr>
                </w:pPr>
                <w:r>
                  <w:rPr>
                    <w:rFonts w:ascii="Times New Roman" w:hAnsi="Times New Roman" w:cs="Times New Roman" w:hint="eastAsia"/>
                    <w:sz w:val="21"/>
                  </w:rPr>
                  <w:t>单位：万元</w:t>
                </w:r>
              </w:p>
            </w:tc>
          </w:tr>
          <w:tr w:rsidR="002D0AE7" w14:paraId="421C896F" w14:textId="77777777">
            <w:trPr>
              <w:trHeight w:val="270"/>
              <w:jc w:val="center"/>
            </w:trPr>
            <w:tc>
              <w:tcPr>
                <w:tcW w:w="1985" w:type="dxa"/>
                <w:tcBorders>
                  <w:top w:val="single" w:sz="4" w:space="0" w:color="auto"/>
                  <w:left w:val="single" w:sz="4" w:space="0" w:color="auto"/>
                  <w:bottom w:val="single" w:sz="4" w:space="0" w:color="auto"/>
                  <w:right w:val="single" w:sz="4" w:space="0" w:color="auto"/>
                </w:tcBorders>
                <w:vAlign w:val="center"/>
              </w:tcPr>
              <w:p w14:paraId="3DEDA9D3"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注册资本</w:t>
                </w:r>
              </w:p>
            </w:tc>
            <w:tc>
              <w:tcPr>
                <w:tcW w:w="8066" w:type="dxa"/>
                <w:tcBorders>
                  <w:top w:val="single" w:sz="4" w:space="0" w:color="auto"/>
                  <w:left w:val="single" w:sz="4" w:space="0" w:color="auto"/>
                  <w:bottom w:val="single" w:sz="4" w:space="0" w:color="auto"/>
                  <w:right w:val="single" w:sz="4" w:space="0" w:color="auto"/>
                </w:tcBorders>
                <w:vAlign w:val="center"/>
              </w:tcPr>
              <w:p w14:paraId="6198E881" w14:textId="77777777" w:rsidR="002D0AE7" w:rsidRDefault="00333EBB">
                <w:pPr>
                  <w:jc w:val="right"/>
                  <w:rPr>
                    <w:rFonts w:ascii="Times New Roman" w:hAnsi="Times New Roman" w:cs="Times New Roman"/>
                    <w:sz w:val="21"/>
                    <w:szCs w:val="18"/>
                  </w:rPr>
                </w:pPr>
                <w:r>
                  <w:rPr>
                    <w:rFonts w:ascii="Times New Roman" w:hAnsi="Times New Roman" w:cs="Times New Roman"/>
                    <w:sz w:val="21"/>
                    <w:szCs w:val="18"/>
                  </w:rPr>
                  <w:t>3,500.00</w:t>
                </w:r>
              </w:p>
            </w:tc>
          </w:tr>
          <w:tr w:rsidR="002D0AE7" w14:paraId="5C5A7FCE" w14:textId="77777777">
            <w:trPr>
              <w:trHeight w:val="270"/>
              <w:jc w:val="center"/>
            </w:trPr>
            <w:tc>
              <w:tcPr>
                <w:tcW w:w="1985" w:type="dxa"/>
                <w:tcBorders>
                  <w:top w:val="single" w:sz="4" w:space="0" w:color="auto"/>
                  <w:left w:val="single" w:sz="4" w:space="0" w:color="auto"/>
                  <w:bottom w:val="single" w:sz="4" w:space="0" w:color="auto"/>
                  <w:right w:val="single" w:sz="4" w:space="0" w:color="auto"/>
                </w:tcBorders>
                <w:vAlign w:val="center"/>
              </w:tcPr>
              <w:p w14:paraId="5BD148BB"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股权结构</w:t>
                </w:r>
              </w:p>
            </w:tc>
            <w:tc>
              <w:tcPr>
                <w:tcW w:w="8066" w:type="dxa"/>
                <w:tcBorders>
                  <w:top w:val="single" w:sz="4" w:space="0" w:color="auto"/>
                  <w:left w:val="single" w:sz="4" w:space="0" w:color="auto"/>
                  <w:bottom w:val="single" w:sz="4" w:space="0" w:color="auto"/>
                  <w:right w:val="single" w:sz="4" w:space="0" w:color="auto"/>
                </w:tcBorders>
                <w:vAlign w:val="center"/>
              </w:tcPr>
              <w:p w14:paraId="06E00CDF" w14:textId="77777777" w:rsidR="002D0AE7" w:rsidRDefault="00333EBB">
                <w:pPr>
                  <w:rPr>
                    <w:rFonts w:ascii="Times New Roman" w:hAnsi="Times New Roman" w:cs="Times New Roman"/>
                    <w:sz w:val="21"/>
                  </w:rPr>
                </w:pPr>
                <w:r>
                  <w:rPr>
                    <w:rFonts w:ascii="Times New Roman" w:hAnsi="Times New Roman" w:cs="Times New Roman" w:hint="eastAsia"/>
                    <w:sz w:val="21"/>
                  </w:rPr>
                  <w:t>津药和平持有其</w:t>
                </w:r>
                <w:r>
                  <w:rPr>
                    <w:rFonts w:ascii="Times New Roman" w:hAnsi="Times New Roman" w:cs="Times New Roman"/>
                    <w:sz w:val="21"/>
                  </w:rPr>
                  <w:t>100%</w:t>
                </w:r>
                <w:r>
                  <w:rPr>
                    <w:rFonts w:ascii="Times New Roman" w:hAnsi="Times New Roman" w:cs="Times New Roman" w:hint="eastAsia"/>
                    <w:sz w:val="21"/>
                  </w:rPr>
                  <w:t>股权</w:t>
                </w:r>
              </w:p>
            </w:tc>
          </w:tr>
          <w:tr w:rsidR="002D0AE7" w14:paraId="0ED48671" w14:textId="77777777">
            <w:trPr>
              <w:trHeight w:val="415"/>
              <w:jc w:val="center"/>
            </w:trPr>
            <w:tc>
              <w:tcPr>
                <w:tcW w:w="1985" w:type="dxa"/>
                <w:tcBorders>
                  <w:top w:val="single" w:sz="4" w:space="0" w:color="auto"/>
                  <w:left w:val="single" w:sz="4" w:space="0" w:color="auto"/>
                  <w:bottom w:val="single" w:sz="4" w:space="0" w:color="auto"/>
                  <w:right w:val="single" w:sz="4" w:space="0" w:color="auto"/>
                </w:tcBorders>
                <w:vAlign w:val="center"/>
              </w:tcPr>
              <w:p w14:paraId="16E5F5E7"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经营范围</w:t>
                </w:r>
              </w:p>
            </w:tc>
            <w:tc>
              <w:tcPr>
                <w:tcW w:w="8066" w:type="dxa"/>
                <w:tcBorders>
                  <w:top w:val="single" w:sz="4" w:space="0" w:color="auto"/>
                  <w:left w:val="single" w:sz="4" w:space="0" w:color="auto"/>
                  <w:bottom w:val="single" w:sz="4" w:space="0" w:color="auto"/>
                  <w:right w:val="single" w:sz="4" w:space="0" w:color="auto"/>
                </w:tcBorders>
              </w:tcPr>
              <w:p w14:paraId="0F176042" w14:textId="77777777" w:rsidR="002D0AE7" w:rsidRDefault="00333EBB">
                <w:pPr>
                  <w:rPr>
                    <w:rFonts w:ascii="Times New Roman" w:hAnsi="Times New Roman" w:cs="Times New Roman"/>
                    <w:sz w:val="21"/>
                  </w:rPr>
                </w:pPr>
                <w:r>
                  <w:rPr>
                    <w:rFonts w:ascii="Times New Roman" w:hAnsi="Times New Roman" w:cs="Times New Roman" w:hint="eastAsia"/>
                    <w:sz w:val="21"/>
                  </w:rPr>
                  <w:t>一般项目：</w:t>
                </w:r>
                <w:r>
                  <w:rPr>
                    <w:rFonts w:ascii="Times New Roman" w:hAnsi="Times New Roman" w:cs="Times New Roman"/>
                    <w:sz w:val="21"/>
                  </w:rPr>
                  <w:t>医学研究和试验发展</w:t>
                </w:r>
                <w:r>
                  <w:rPr>
                    <w:rFonts w:ascii="Times New Roman" w:hAnsi="Times New Roman" w:cs="Times New Roman" w:hint="eastAsia"/>
                    <w:sz w:val="21"/>
                  </w:rPr>
                  <w:t>；</w:t>
                </w:r>
                <w:r>
                  <w:rPr>
                    <w:rFonts w:ascii="Times New Roman" w:hAnsi="Times New Roman" w:cs="Times New Roman"/>
                    <w:sz w:val="21"/>
                  </w:rPr>
                  <w:t>技术服务、技术开发、技术咨询、技术交流、技术转让、技术推广</w:t>
                </w:r>
                <w:r>
                  <w:rPr>
                    <w:rFonts w:ascii="Times New Roman" w:hAnsi="Times New Roman" w:cs="Times New Roman" w:hint="eastAsia"/>
                    <w:sz w:val="21"/>
                  </w:rPr>
                  <w:t>；</w:t>
                </w:r>
                <w:r>
                  <w:rPr>
                    <w:rFonts w:ascii="Times New Roman" w:hAnsi="Times New Roman" w:cs="Times New Roman"/>
                    <w:sz w:val="21"/>
                  </w:rPr>
                  <w:t>包装材料及制品销售</w:t>
                </w:r>
                <w:r>
                  <w:rPr>
                    <w:rFonts w:ascii="Times New Roman" w:hAnsi="Times New Roman" w:cs="Times New Roman" w:hint="eastAsia"/>
                    <w:sz w:val="21"/>
                  </w:rPr>
                  <w:t>；</w:t>
                </w:r>
                <w:r>
                  <w:rPr>
                    <w:rFonts w:ascii="Times New Roman" w:hAnsi="Times New Roman" w:cs="Times New Roman"/>
                    <w:sz w:val="21"/>
                  </w:rPr>
                  <w:t>化妆品零售</w:t>
                </w:r>
                <w:r>
                  <w:rPr>
                    <w:rFonts w:ascii="Times New Roman" w:hAnsi="Times New Roman" w:cs="Times New Roman" w:hint="eastAsia"/>
                    <w:sz w:val="21"/>
                  </w:rPr>
                  <w:t>；</w:t>
                </w:r>
                <w:r>
                  <w:rPr>
                    <w:rFonts w:ascii="Times New Roman" w:hAnsi="Times New Roman" w:cs="Times New Roman"/>
                    <w:sz w:val="21"/>
                  </w:rPr>
                  <w:t>化妆品批发。</w:t>
                </w:r>
                <w:r>
                  <w:rPr>
                    <w:rFonts w:ascii="Times New Roman" w:hAnsi="Times New Roman" w:cs="Times New Roman"/>
                    <w:sz w:val="21"/>
                  </w:rPr>
                  <w:t>(</w:t>
                </w:r>
                <w:r>
                  <w:rPr>
                    <w:rFonts w:ascii="Times New Roman" w:hAnsi="Times New Roman" w:cs="Times New Roman"/>
                    <w:sz w:val="21"/>
                  </w:rPr>
                  <w:t>除依法须经批准的项目外</w:t>
                </w:r>
                <w:r>
                  <w:rPr>
                    <w:rFonts w:ascii="Times New Roman" w:hAnsi="Times New Roman" w:cs="Times New Roman"/>
                    <w:sz w:val="21"/>
                  </w:rPr>
                  <w:t>,</w:t>
                </w:r>
                <w:r>
                  <w:rPr>
                    <w:rFonts w:ascii="Times New Roman" w:hAnsi="Times New Roman" w:cs="Times New Roman"/>
                    <w:sz w:val="21"/>
                  </w:rPr>
                  <w:t>凭营业执照依法自主开展经营活动</w:t>
                </w:r>
                <w:r>
                  <w:rPr>
                    <w:rFonts w:ascii="Times New Roman" w:hAnsi="Times New Roman" w:cs="Times New Roman"/>
                    <w:sz w:val="21"/>
                  </w:rPr>
                  <w:t>)</w:t>
                </w:r>
                <w:r>
                  <w:rPr>
                    <w:rFonts w:ascii="Times New Roman" w:hAnsi="Times New Roman" w:cs="Times New Roman"/>
                    <w:sz w:val="21"/>
                  </w:rPr>
                  <w:t>许可项目</w:t>
                </w:r>
                <w:r>
                  <w:rPr>
                    <w:rFonts w:ascii="Times New Roman" w:hAnsi="Times New Roman" w:cs="Times New Roman"/>
                    <w:sz w:val="21"/>
                  </w:rPr>
                  <w:t>:</w:t>
                </w:r>
                <w:r>
                  <w:rPr>
                    <w:rFonts w:ascii="Times New Roman" w:hAnsi="Times New Roman" w:cs="Times New Roman"/>
                    <w:sz w:val="21"/>
                  </w:rPr>
                  <w:t>食品经营</w:t>
                </w:r>
                <w:r>
                  <w:rPr>
                    <w:rFonts w:ascii="Times New Roman" w:hAnsi="Times New Roman" w:cs="Times New Roman"/>
                    <w:sz w:val="21"/>
                  </w:rPr>
                  <w:t>(</w:t>
                </w:r>
                <w:r>
                  <w:rPr>
                    <w:rFonts w:ascii="Times New Roman" w:hAnsi="Times New Roman" w:cs="Times New Roman"/>
                    <w:sz w:val="21"/>
                  </w:rPr>
                  <w:t>销售预包装食品</w:t>
                </w:r>
                <w:r>
                  <w:rPr>
                    <w:rFonts w:ascii="Times New Roman" w:hAnsi="Times New Roman" w:cs="Times New Roman"/>
                    <w:sz w:val="21"/>
                  </w:rPr>
                  <w:t>);</w:t>
                </w:r>
                <w:r>
                  <w:rPr>
                    <w:rFonts w:ascii="Times New Roman" w:hAnsi="Times New Roman" w:cs="Times New Roman"/>
                    <w:sz w:val="21"/>
                  </w:rPr>
                  <w:t>药品批发</w:t>
                </w:r>
                <w:r>
                  <w:rPr>
                    <w:rFonts w:ascii="Times New Roman" w:hAnsi="Times New Roman" w:cs="Times New Roman" w:hint="eastAsia"/>
                    <w:sz w:val="21"/>
                  </w:rPr>
                  <w:t>；</w:t>
                </w:r>
                <w:r>
                  <w:rPr>
                    <w:rFonts w:ascii="Times New Roman" w:hAnsi="Times New Roman" w:cs="Times New Roman"/>
                    <w:sz w:val="21"/>
                  </w:rPr>
                  <w:t>药品零售</w:t>
                </w:r>
                <w:r>
                  <w:rPr>
                    <w:rFonts w:ascii="Times New Roman" w:hAnsi="Times New Roman" w:cs="Times New Roman" w:hint="eastAsia"/>
                    <w:sz w:val="21"/>
                  </w:rPr>
                  <w:t>；</w:t>
                </w:r>
                <w:r>
                  <w:rPr>
                    <w:rFonts w:ascii="Times New Roman" w:hAnsi="Times New Roman" w:cs="Times New Roman"/>
                    <w:sz w:val="21"/>
                  </w:rPr>
                  <w:t>保健食品销售</w:t>
                </w:r>
                <w:r>
                  <w:rPr>
                    <w:rFonts w:ascii="Times New Roman" w:hAnsi="Times New Roman" w:cs="Times New Roman" w:hint="eastAsia"/>
                    <w:sz w:val="21"/>
                  </w:rPr>
                  <w:t>；</w:t>
                </w:r>
                <w:r>
                  <w:rPr>
                    <w:rFonts w:ascii="Times New Roman" w:hAnsi="Times New Roman" w:cs="Times New Roman"/>
                    <w:sz w:val="21"/>
                  </w:rPr>
                  <w:t>食品经营</w:t>
                </w:r>
                <w:r>
                  <w:rPr>
                    <w:rFonts w:ascii="Times New Roman" w:hAnsi="Times New Roman" w:cs="Times New Roman"/>
                    <w:sz w:val="21"/>
                  </w:rPr>
                  <w:t>;</w:t>
                </w:r>
                <w:r>
                  <w:rPr>
                    <w:rFonts w:ascii="Times New Roman" w:hAnsi="Times New Roman" w:cs="Times New Roman"/>
                    <w:sz w:val="21"/>
                  </w:rPr>
                  <w:t>货物进出口</w:t>
                </w:r>
                <w:r>
                  <w:rPr>
                    <w:rFonts w:ascii="Times New Roman" w:hAnsi="Times New Roman" w:cs="Times New Roman"/>
                    <w:sz w:val="21"/>
                  </w:rPr>
                  <w:t>;</w:t>
                </w:r>
                <w:r>
                  <w:rPr>
                    <w:rFonts w:ascii="Times New Roman" w:hAnsi="Times New Roman" w:cs="Times New Roman"/>
                    <w:sz w:val="21"/>
                  </w:rPr>
                  <w:t>技术进出口。</w:t>
                </w:r>
                <w:r>
                  <w:rPr>
                    <w:rFonts w:ascii="Times New Roman" w:hAnsi="Times New Roman" w:cs="Times New Roman"/>
                    <w:sz w:val="21"/>
                  </w:rPr>
                  <w:t>(</w:t>
                </w:r>
                <w:r>
                  <w:rPr>
                    <w:rFonts w:ascii="Times New Roman" w:hAnsi="Times New Roman" w:cs="Times New Roman"/>
                    <w:sz w:val="21"/>
                  </w:rPr>
                  <w:t>依法须经批准的项目，经相关部门批准后方可开展经营活动，具体经营项目以相关部门批准文件或许可证件为准</w:t>
                </w:r>
                <w:r>
                  <w:rPr>
                    <w:rFonts w:ascii="Times New Roman" w:hAnsi="Times New Roman" w:cs="Times New Roman"/>
                    <w:sz w:val="21"/>
                  </w:rPr>
                  <w:t>)</w:t>
                </w:r>
              </w:p>
            </w:tc>
          </w:tr>
          <w:tr w:rsidR="002D0AE7" w14:paraId="15E0D96C" w14:textId="77777777">
            <w:trPr>
              <w:trHeight w:val="389"/>
              <w:jc w:val="center"/>
            </w:trPr>
            <w:tc>
              <w:tcPr>
                <w:tcW w:w="1985" w:type="dxa"/>
                <w:tcBorders>
                  <w:top w:val="single" w:sz="4" w:space="0" w:color="auto"/>
                  <w:left w:val="single" w:sz="4" w:space="0" w:color="000000"/>
                  <w:bottom w:val="single" w:sz="4" w:space="0" w:color="000000"/>
                  <w:right w:val="single" w:sz="4" w:space="0" w:color="000000"/>
                </w:tcBorders>
                <w:vAlign w:val="center"/>
              </w:tcPr>
              <w:p w14:paraId="0A3654F3"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主要产品或服务</w:t>
                </w:r>
              </w:p>
            </w:tc>
            <w:tc>
              <w:tcPr>
                <w:tcW w:w="8066" w:type="dxa"/>
                <w:tcBorders>
                  <w:top w:val="single" w:sz="4" w:space="0" w:color="auto"/>
                  <w:left w:val="nil"/>
                  <w:bottom w:val="single" w:sz="4" w:space="0" w:color="000000"/>
                  <w:right w:val="single" w:sz="4" w:space="0" w:color="000000"/>
                </w:tcBorders>
                <w:vAlign w:val="center"/>
              </w:tcPr>
              <w:p w14:paraId="6165B515" w14:textId="77777777" w:rsidR="002D0AE7" w:rsidRDefault="00333EBB">
                <w:pPr>
                  <w:rPr>
                    <w:rFonts w:ascii="Times New Roman" w:hAnsi="Times New Roman" w:cs="Times New Roman"/>
                    <w:sz w:val="21"/>
                  </w:rPr>
                </w:pPr>
                <w:r>
                  <w:rPr>
                    <w:rFonts w:ascii="Times New Roman" w:hAnsi="Times New Roman" w:cs="Times New Roman" w:hint="eastAsia"/>
                    <w:sz w:val="21"/>
                  </w:rPr>
                  <w:t>健康科技主要从事制剂产品的销售业务。</w:t>
                </w:r>
              </w:p>
            </w:tc>
          </w:tr>
        </w:tbl>
        <w:p w14:paraId="6E01C233" w14:textId="77777777" w:rsidR="002D0AE7" w:rsidRDefault="00333EBB">
          <w:pPr>
            <w:widowControl w:val="0"/>
            <w:rPr>
              <w:rFonts w:ascii="Times New Roman" w:hAnsi="Times New Roman" w:cs="Times New Roman"/>
              <w:sz w:val="21"/>
            </w:rPr>
          </w:pPr>
          <w:r>
            <w:rPr>
              <w:rFonts w:ascii="Times New Roman" w:hAnsi="Times New Roman" w:cs="Times New Roman" w:hint="eastAsia"/>
              <w:sz w:val="21"/>
            </w:rPr>
            <w:t>注：由于健康科技由津药和平</w:t>
          </w:r>
          <w:r>
            <w:rPr>
              <w:rFonts w:ascii="Times New Roman" w:hAnsi="Times New Roman" w:cs="Times New Roman"/>
              <w:sz w:val="21"/>
            </w:rPr>
            <w:t>100%</w:t>
          </w:r>
          <w:r>
            <w:rPr>
              <w:rFonts w:ascii="Times New Roman" w:hAnsi="Times New Roman" w:cs="Times New Roman" w:hint="eastAsia"/>
              <w:sz w:val="21"/>
            </w:rPr>
            <w:t>控股，故健康科技的财务数据在津药和平报表中体现。</w:t>
          </w:r>
        </w:p>
        <w:p w14:paraId="548400AF" w14:textId="77777777" w:rsidR="002D0AE7" w:rsidRDefault="00333EBB">
          <w:pPr>
            <w:rPr>
              <w:rFonts w:ascii="Times New Roman" w:hAnsi="Times New Roman" w:cs="Times New Roman"/>
              <w:b/>
              <w:bCs/>
              <w:highlight w:val="red"/>
            </w:rPr>
          </w:pPr>
          <w:r>
            <w:rPr>
              <w:rFonts w:ascii="Times New Roman" w:hAnsi="Times New Roman" w:cs="Times New Roman"/>
              <w:b/>
            </w:rPr>
            <w:t>7.</w:t>
          </w:r>
          <w:bookmarkStart w:id="43" w:name="_Hlk158040885"/>
          <w:r>
            <w:rPr>
              <w:rFonts w:ascii="Times New Roman" w:hAnsi="Times New Roman" w:cs="Times New Roman" w:hint="eastAsia"/>
              <w:b/>
            </w:rPr>
            <w:t>天津津药环境科技有限公司</w:t>
          </w:r>
          <w:bookmarkEnd w:id="43"/>
        </w:p>
        <w:tbl>
          <w:tblPr>
            <w:tblW w:w="10051" w:type="dxa"/>
            <w:jc w:val="center"/>
            <w:tblLook w:val="04A0" w:firstRow="1" w:lastRow="0" w:firstColumn="1" w:lastColumn="0" w:noHBand="0" w:noVBand="1"/>
          </w:tblPr>
          <w:tblGrid>
            <w:gridCol w:w="1985"/>
            <w:gridCol w:w="8066"/>
          </w:tblGrid>
          <w:tr w:rsidR="002D0AE7" w14:paraId="7EE81FB9" w14:textId="77777777">
            <w:trPr>
              <w:trHeight w:val="270"/>
              <w:jc w:val="center"/>
            </w:trPr>
            <w:tc>
              <w:tcPr>
                <w:tcW w:w="1985" w:type="dxa"/>
                <w:tcBorders>
                  <w:top w:val="nil"/>
                  <w:left w:val="nil"/>
                  <w:bottom w:val="single" w:sz="4" w:space="0" w:color="auto"/>
                  <w:right w:val="nil"/>
                </w:tcBorders>
                <w:noWrap/>
                <w:vAlign w:val="center"/>
              </w:tcPr>
              <w:p w14:paraId="671B119D" w14:textId="77777777" w:rsidR="002D0AE7" w:rsidRDefault="002D0AE7">
                <w:pPr>
                  <w:rPr>
                    <w:rFonts w:ascii="Calibri" w:hAnsi="Calibri" w:cs="Times New Roman"/>
                    <w:sz w:val="21"/>
                    <w:szCs w:val="20"/>
                  </w:rPr>
                </w:pPr>
              </w:p>
            </w:tc>
            <w:tc>
              <w:tcPr>
                <w:tcW w:w="8066" w:type="dxa"/>
                <w:tcBorders>
                  <w:top w:val="nil"/>
                  <w:left w:val="nil"/>
                  <w:bottom w:val="single" w:sz="4" w:space="0" w:color="auto"/>
                  <w:right w:val="nil"/>
                </w:tcBorders>
                <w:vAlign w:val="center"/>
              </w:tcPr>
              <w:p w14:paraId="147F9E49" w14:textId="77777777" w:rsidR="002D0AE7" w:rsidRDefault="00333EBB">
                <w:pPr>
                  <w:jc w:val="right"/>
                  <w:rPr>
                    <w:rFonts w:ascii="Times New Roman" w:hAnsi="Times New Roman" w:cs="Times New Roman"/>
                    <w:sz w:val="21"/>
                  </w:rPr>
                </w:pPr>
                <w:r>
                  <w:rPr>
                    <w:rFonts w:ascii="Times New Roman" w:hAnsi="Times New Roman" w:cs="Times New Roman" w:hint="eastAsia"/>
                    <w:sz w:val="21"/>
                  </w:rPr>
                  <w:t>单位：万元</w:t>
                </w:r>
              </w:p>
            </w:tc>
          </w:tr>
          <w:tr w:rsidR="002D0AE7" w14:paraId="06248063" w14:textId="77777777">
            <w:trPr>
              <w:trHeight w:val="270"/>
              <w:jc w:val="center"/>
            </w:trPr>
            <w:tc>
              <w:tcPr>
                <w:tcW w:w="1985" w:type="dxa"/>
                <w:tcBorders>
                  <w:top w:val="single" w:sz="4" w:space="0" w:color="auto"/>
                  <w:left w:val="single" w:sz="4" w:space="0" w:color="auto"/>
                  <w:bottom w:val="single" w:sz="4" w:space="0" w:color="auto"/>
                  <w:right w:val="single" w:sz="4" w:space="0" w:color="auto"/>
                </w:tcBorders>
                <w:vAlign w:val="center"/>
              </w:tcPr>
              <w:p w14:paraId="2A15E7CE"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注册资本</w:t>
                </w:r>
              </w:p>
            </w:tc>
            <w:tc>
              <w:tcPr>
                <w:tcW w:w="8066" w:type="dxa"/>
                <w:tcBorders>
                  <w:top w:val="single" w:sz="4" w:space="0" w:color="auto"/>
                  <w:left w:val="single" w:sz="4" w:space="0" w:color="auto"/>
                  <w:bottom w:val="single" w:sz="4" w:space="0" w:color="auto"/>
                  <w:right w:val="single" w:sz="4" w:space="0" w:color="auto"/>
                </w:tcBorders>
                <w:vAlign w:val="center"/>
              </w:tcPr>
              <w:p w14:paraId="256A9D62" w14:textId="77777777" w:rsidR="002D0AE7" w:rsidRDefault="00333EBB">
                <w:pPr>
                  <w:jc w:val="right"/>
                  <w:rPr>
                    <w:rFonts w:ascii="Times New Roman" w:hAnsi="Times New Roman" w:cs="Times New Roman"/>
                    <w:sz w:val="21"/>
                    <w:szCs w:val="18"/>
                  </w:rPr>
                </w:pPr>
                <w:r>
                  <w:rPr>
                    <w:rFonts w:ascii="Times New Roman" w:hAnsi="Times New Roman" w:cs="Times New Roman"/>
                    <w:sz w:val="21"/>
                    <w:szCs w:val="18"/>
                  </w:rPr>
                  <w:t>10,030.16</w:t>
                </w:r>
              </w:p>
            </w:tc>
          </w:tr>
          <w:tr w:rsidR="002D0AE7" w14:paraId="6B97DEF0" w14:textId="77777777">
            <w:trPr>
              <w:trHeight w:val="270"/>
              <w:jc w:val="center"/>
            </w:trPr>
            <w:tc>
              <w:tcPr>
                <w:tcW w:w="1985" w:type="dxa"/>
                <w:tcBorders>
                  <w:top w:val="single" w:sz="4" w:space="0" w:color="auto"/>
                  <w:left w:val="single" w:sz="4" w:space="0" w:color="auto"/>
                  <w:bottom w:val="single" w:sz="4" w:space="0" w:color="auto"/>
                  <w:right w:val="single" w:sz="4" w:space="0" w:color="auto"/>
                </w:tcBorders>
                <w:vAlign w:val="center"/>
              </w:tcPr>
              <w:p w14:paraId="415E09E4"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总资产</w:t>
                </w:r>
              </w:p>
            </w:tc>
            <w:tc>
              <w:tcPr>
                <w:tcW w:w="8066" w:type="dxa"/>
                <w:tcBorders>
                  <w:top w:val="single" w:sz="4" w:space="0" w:color="auto"/>
                  <w:left w:val="single" w:sz="4" w:space="0" w:color="auto"/>
                  <w:bottom w:val="single" w:sz="4" w:space="0" w:color="auto"/>
                  <w:right w:val="single" w:sz="4" w:space="0" w:color="auto"/>
                </w:tcBorders>
                <w:vAlign w:val="center"/>
              </w:tcPr>
              <w:p w14:paraId="4FAE44F2" w14:textId="77777777" w:rsidR="002D0AE7" w:rsidRDefault="00333EBB">
                <w:pPr>
                  <w:jc w:val="right"/>
                  <w:rPr>
                    <w:rFonts w:ascii="Times New Roman" w:hAnsi="Times New Roman" w:cs="Times New Roman"/>
                    <w:sz w:val="21"/>
                  </w:rPr>
                </w:pPr>
                <w:r>
                  <w:rPr>
                    <w:rFonts w:ascii="Times New Roman" w:hAnsi="Times New Roman" w:cs="Times New Roman"/>
                    <w:color w:val="000000"/>
                    <w:sz w:val="21"/>
                  </w:rPr>
                  <w:t>101,009.71</w:t>
                </w:r>
              </w:p>
            </w:tc>
          </w:tr>
          <w:tr w:rsidR="002D0AE7" w14:paraId="3E92FFCC" w14:textId="77777777">
            <w:trPr>
              <w:trHeight w:val="270"/>
              <w:jc w:val="center"/>
            </w:trPr>
            <w:tc>
              <w:tcPr>
                <w:tcW w:w="1985" w:type="dxa"/>
                <w:tcBorders>
                  <w:top w:val="single" w:sz="4" w:space="0" w:color="auto"/>
                  <w:left w:val="single" w:sz="4" w:space="0" w:color="auto"/>
                  <w:bottom w:val="single" w:sz="4" w:space="0" w:color="auto"/>
                  <w:right w:val="single" w:sz="4" w:space="0" w:color="auto"/>
                </w:tcBorders>
                <w:vAlign w:val="center"/>
              </w:tcPr>
              <w:p w14:paraId="3C509406"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净资产</w:t>
                </w:r>
              </w:p>
            </w:tc>
            <w:tc>
              <w:tcPr>
                <w:tcW w:w="8066" w:type="dxa"/>
                <w:tcBorders>
                  <w:top w:val="single" w:sz="4" w:space="0" w:color="auto"/>
                  <w:left w:val="single" w:sz="4" w:space="0" w:color="auto"/>
                  <w:bottom w:val="single" w:sz="4" w:space="0" w:color="auto"/>
                  <w:right w:val="single" w:sz="4" w:space="0" w:color="auto"/>
                </w:tcBorders>
                <w:vAlign w:val="center"/>
              </w:tcPr>
              <w:p w14:paraId="7A4B8750" w14:textId="77777777" w:rsidR="002D0AE7" w:rsidRDefault="00333EBB">
                <w:pPr>
                  <w:jc w:val="right"/>
                  <w:rPr>
                    <w:rFonts w:ascii="Times New Roman" w:hAnsi="Times New Roman" w:cs="Times New Roman"/>
                    <w:sz w:val="21"/>
                  </w:rPr>
                </w:pPr>
                <w:r>
                  <w:rPr>
                    <w:rFonts w:ascii="Times New Roman" w:hAnsi="Times New Roman" w:cs="Times New Roman"/>
                    <w:color w:val="000000"/>
                    <w:sz w:val="21"/>
                  </w:rPr>
                  <w:t>78,641.68</w:t>
                </w:r>
              </w:p>
            </w:tc>
          </w:tr>
          <w:tr w:rsidR="002D0AE7" w14:paraId="556AF1CC" w14:textId="77777777">
            <w:trPr>
              <w:trHeight w:val="270"/>
              <w:jc w:val="center"/>
            </w:trPr>
            <w:tc>
              <w:tcPr>
                <w:tcW w:w="1985" w:type="dxa"/>
                <w:tcBorders>
                  <w:top w:val="single" w:sz="4" w:space="0" w:color="auto"/>
                  <w:left w:val="single" w:sz="4" w:space="0" w:color="auto"/>
                  <w:bottom w:val="single" w:sz="4" w:space="0" w:color="auto"/>
                  <w:right w:val="single" w:sz="4" w:space="0" w:color="auto"/>
                </w:tcBorders>
                <w:vAlign w:val="center"/>
              </w:tcPr>
              <w:p w14:paraId="286C1924"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净利润</w:t>
                </w:r>
              </w:p>
            </w:tc>
            <w:tc>
              <w:tcPr>
                <w:tcW w:w="8066" w:type="dxa"/>
                <w:tcBorders>
                  <w:top w:val="single" w:sz="4" w:space="0" w:color="auto"/>
                  <w:left w:val="single" w:sz="4" w:space="0" w:color="auto"/>
                  <w:bottom w:val="single" w:sz="4" w:space="0" w:color="auto"/>
                  <w:right w:val="single" w:sz="4" w:space="0" w:color="auto"/>
                </w:tcBorders>
                <w:vAlign w:val="center"/>
              </w:tcPr>
              <w:p w14:paraId="560D405C" w14:textId="77777777" w:rsidR="002D0AE7" w:rsidRDefault="00333EBB">
                <w:pPr>
                  <w:jc w:val="right"/>
                  <w:rPr>
                    <w:rFonts w:ascii="Times New Roman" w:hAnsi="Times New Roman" w:cs="Times New Roman"/>
                    <w:sz w:val="21"/>
                  </w:rPr>
                </w:pPr>
                <w:r>
                  <w:rPr>
                    <w:rFonts w:ascii="Times New Roman" w:hAnsi="Times New Roman" w:cs="Times New Roman"/>
                    <w:color w:val="000000"/>
                    <w:sz w:val="21"/>
                  </w:rPr>
                  <w:t>57.48</w:t>
                </w:r>
              </w:p>
            </w:tc>
          </w:tr>
          <w:tr w:rsidR="002D0AE7" w14:paraId="76DDCB3F" w14:textId="77777777">
            <w:trPr>
              <w:trHeight w:val="270"/>
              <w:jc w:val="center"/>
            </w:trPr>
            <w:tc>
              <w:tcPr>
                <w:tcW w:w="1985" w:type="dxa"/>
                <w:tcBorders>
                  <w:top w:val="single" w:sz="4" w:space="0" w:color="auto"/>
                  <w:left w:val="single" w:sz="4" w:space="0" w:color="auto"/>
                  <w:bottom w:val="single" w:sz="4" w:space="0" w:color="auto"/>
                  <w:right w:val="single" w:sz="4" w:space="0" w:color="auto"/>
                </w:tcBorders>
                <w:vAlign w:val="center"/>
              </w:tcPr>
              <w:p w14:paraId="02CAF9ED"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股权结构</w:t>
                </w:r>
              </w:p>
            </w:tc>
            <w:tc>
              <w:tcPr>
                <w:tcW w:w="8066" w:type="dxa"/>
                <w:tcBorders>
                  <w:top w:val="single" w:sz="4" w:space="0" w:color="auto"/>
                  <w:left w:val="single" w:sz="4" w:space="0" w:color="auto"/>
                  <w:bottom w:val="single" w:sz="4" w:space="0" w:color="auto"/>
                  <w:right w:val="single" w:sz="4" w:space="0" w:color="auto"/>
                </w:tcBorders>
                <w:vAlign w:val="center"/>
              </w:tcPr>
              <w:p w14:paraId="3FE2B245" w14:textId="77777777" w:rsidR="002D0AE7" w:rsidRDefault="00333EBB">
                <w:pPr>
                  <w:rPr>
                    <w:rFonts w:ascii="Times New Roman" w:hAnsi="Times New Roman" w:cs="Times New Roman"/>
                    <w:sz w:val="21"/>
                  </w:rPr>
                </w:pPr>
                <w:r>
                  <w:rPr>
                    <w:rFonts w:ascii="Times New Roman" w:hAnsi="Times New Roman" w:cs="Times New Roman" w:hint="eastAsia"/>
                    <w:sz w:val="21"/>
                  </w:rPr>
                  <w:t>公司、药业集团分别持有其</w:t>
                </w:r>
                <w:r>
                  <w:rPr>
                    <w:rFonts w:ascii="Times New Roman" w:hAnsi="Times New Roman" w:cs="Times New Roman"/>
                    <w:sz w:val="21"/>
                  </w:rPr>
                  <w:t>76.11%</w:t>
                </w:r>
                <w:r>
                  <w:rPr>
                    <w:rFonts w:ascii="Times New Roman" w:hAnsi="Times New Roman" w:cs="Times New Roman" w:hint="eastAsia"/>
                    <w:sz w:val="21"/>
                  </w:rPr>
                  <w:t>、</w:t>
                </w:r>
                <w:r>
                  <w:rPr>
                    <w:rFonts w:ascii="Times New Roman" w:hAnsi="Times New Roman" w:cs="Times New Roman"/>
                    <w:sz w:val="21"/>
                  </w:rPr>
                  <w:t>23.89%</w:t>
                </w:r>
                <w:r>
                  <w:rPr>
                    <w:rFonts w:ascii="Times New Roman" w:hAnsi="Times New Roman" w:cs="Times New Roman" w:hint="eastAsia"/>
                    <w:sz w:val="21"/>
                  </w:rPr>
                  <w:t>的股权</w:t>
                </w:r>
              </w:p>
            </w:tc>
          </w:tr>
          <w:tr w:rsidR="002D0AE7" w14:paraId="55E34430" w14:textId="77777777">
            <w:trPr>
              <w:trHeight w:val="415"/>
              <w:jc w:val="center"/>
            </w:trPr>
            <w:tc>
              <w:tcPr>
                <w:tcW w:w="1985" w:type="dxa"/>
                <w:tcBorders>
                  <w:top w:val="single" w:sz="4" w:space="0" w:color="auto"/>
                  <w:left w:val="single" w:sz="4" w:space="0" w:color="auto"/>
                  <w:bottom w:val="single" w:sz="4" w:space="0" w:color="auto"/>
                  <w:right w:val="single" w:sz="4" w:space="0" w:color="auto"/>
                </w:tcBorders>
                <w:vAlign w:val="center"/>
              </w:tcPr>
              <w:p w14:paraId="35CB19FC"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lastRenderedPageBreak/>
                  <w:t>经营范围</w:t>
                </w:r>
              </w:p>
            </w:tc>
            <w:tc>
              <w:tcPr>
                <w:tcW w:w="8066" w:type="dxa"/>
                <w:tcBorders>
                  <w:top w:val="single" w:sz="4" w:space="0" w:color="auto"/>
                  <w:left w:val="single" w:sz="4" w:space="0" w:color="auto"/>
                  <w:bottom w:val="single" w:sz="4" w:space="0" w:color="auto"/>
                  <w:right w:val="single" w:sz="4" w:space="0" w:color="auto"/>
                </w:tcBorders>
              </w:tcPr>
              <w:p w14:paraId="4BB0BA2E" w14:textId="77777777" w:rsidR="002D0AE7" w:rsidRDefault="00333EBB">
                <w:pPr>
                  <w:rPr>
                    <w:rFonts w:ascii="Times New Roman" w:hAnsi="Times New Roman" w:cs="Times New Roman"/>
                    <w:sz w:val="21"/>
                  </w:rPr>
                </w:pPr>
                <w:r>
                  <w:rPr>
                    <w:rFonts w:ascii="Times New Roman" w:hAnsi="Times New Roman" w:cs="Times New Roman" w:hint="eastAsia"/>
                    <w:sz w:val="21"/>
                  </w:rPr>
                  <w:t>许可项目：</w:t>
                </w:r>
                <w:r>
                  <w:rPr>
                    <w:rFonts w:ascii="Times New Roman" w:hAnsi="Times New Roman" w:cs="Times New Roman"/>
                    <w:sz w:val="21"/>
                  </w:rPr>
                  <w:t>自来水生产与供应</w:t>
                </w:r>
                <w:r>
                  <w:rPr>
                    <w:rFonts w:ascii="Times New Roman" w:hAnsi="Times New Roman" w:cs="Times New Roman" w:hint="eastAsia"/>
                    <w:sz w:val="21"/>
                  </w:rPr>
                  <w:t>；</w:t>
                </w:r>
                <w:r>
                  <w:rPr>
                    <w:rFonts w:ascii="Times New Roman" w:hAnsi="Times New Roman" w:cs="Times New Roman"/>
                    <w:sz w:val="21"/>
                  </w:rPr>
                  <w:t>建设工程施工。</w:t>
                </w:r>
                <w:r>
                  <w:rPr>
                    <w:rFonts w:ascii="Times New Roman" w:hAnsi="Times New Roman" w:cs="Times New Roman"/>
                    <w:sz w:val="21"/>
                  </w:rPr>
                  <w:t>(</w:t>
                </w:r>
                <w:r>
                  <w:rPr>
                    <w:rFonts w:ascii="Times New Roman" w:hAnsi="Times New Roman" w:cs="Times New Roman"/>
                    <w:sz w:val="21"/>
                  </w:rPr>
                  <w:t>依法须经批准的项目</w:t>
                </w:r>
                <w:r>
                  <w:rPr>
                    <w:rFonts w:ascii="Times New Roman" w:hAnsi="Times New Roman" w:cs="Times New Roman"/>
                    <w:sz w:val="21"/>
                  </w:rPr>
                  <w:t>,</w:t>
                </w:r>
                <w:r>
                  <w:rPr>
                    <w:rFonts w:ascii="Times New Roman" w:hAnsi="Times New Roman" w:cs="Times New Roman"/>
                    <w:sz w:val="21"/>
                  </w:rPr>
                  <w:t>经相关部门批准后方可开展经营活动</w:t>
                </w:r>
                <w:r>
                  <w:rPr>
                    <w:rFonts w:ascii="Times New Roman" w:hAnsi="Times New Roman" w:cs="Times New Roman"/>
                    <w:sz w:val="21"/>
                  </w:rPr>
                  <w:t>,</w:t>
                </w:r>
                <w:r>
                  <w:rPr>
                    <w:rFonts w:ascii="Times New Roman" w:hAnsi="Times New Roman" w:cs="Times New Roman"/>
                    <w:sz w:val="21"/>
                  </w:rPr>
                  <w:t>具体经营项目以相关部门批准文件或许可证件为准</w:t>
                </w:r>
                <w:r>
                  <w:rPr>
                    <w:rFonts w:ascii="Times New Roman" w:hAnsi="Times New Roman" w:cs="Times New Roman"/>
                    <w:sz w:val="21"/>
                  </w:rPr>
                  <w:t>)</w:t>
                </w:r>
                <w:r>
                  <w:rPr>
                    <w:rFonts w:ascii="Times New Roman" w:hAnsi="Times New Roman" w:cs="Times New Roman"/>
                    <w:sz w:val="21"/>
                  </w:rPr>
                  <w:t>。一般项目</w:t>
                </w:r>
                <w:r>
                  <w:rPr>
                    <w:rFonts w:ascii="Times New Roman" w:hAnsi="Times New Roman" w:cs="Times New Roman" w:hint="eastAsia"/>
                    <w:sz w:val="21"/>
                  </w:rPr>
                  <w:t>：</w:t>
                </w:r>
                <w:r>
                  <w:rPr>
                    <w:rFonts w:ascii="Times New Roman" w:hAnsi="Times New Roman" w:cs="Times New Roman"/>
                    <w:sz w:val="21"/>
                  </w:rPr>
                  <w:t>技术服务、技术开发、技术咨询、技术交流、技术转让、技术推广</w:t>
                </w:r>
                <w:r>
                  <w:rPr>
                    <w:rFonts w:ascii="Times New Roman" w:hAnsi="Times New Roman" w:cs="Times New Roman" w:hint="eastAsia"/>
                    <w:sz w:val="21"/>
                  </w:rPr>
                  <w:t>；</w:t>
                </w:r>
                <w:r>
                  <w:rPr>
                    <w:rFonts w:ascii="Times New Roman" w:hAnsi="Times New Roman" w:cs="Times New Roman"/>
                    <w:sz w:val="21"/>
                  </w:rPr>
                  <w:t>热力生产和供应</w:t>
                </w:r>
                <w:r>
                  <w:rPr>
                    <w:rFonts w:ascii="Times New Roman" w:hAnsi="Times New Roman" w:cs="Times New Roman" w:hint="eastAsia"/>
                    <w:sz w:val="21"/>
                  </w:rPr>
                  <w:t>；</w:t>
                </w:r>
                <w:r>
                  <w:rPr>
                    <w:rFonts w:ascii="Times New Roman" w:hAnsi="Times New Roman" w:cs="Times New Roman"/>
                    <w:sz w:val="21"/>
                  </w:rPr>
                  <w:t>特种设备出租</w:t>
                </w:r>
                <w:r>
                  <w:rPr>
                    <w:rFonts w:ascii="Times New Roman" w:hAnsi="Times New Roman" w:cs="Times New Roman" w:hint="eastAsia"/>
                    <w:sz w:val="21"/>
                  </w:rPr>
                  <w:t>；</w:t>
                </w:r>
                <w:r>
                  <w:rPr>
                    <w:rFonts w:ascii="Times New Roman" w:hAnsi="Times New Roman" w:cs="Times New Roman"/>
                    <w:sz w:val="21"/>
                  </w:rPr>
                  <w:t>非居住房地产租赁</w:t>
                </w:r>
                <w:r>
                  <w:rPr>
                    <w:rFonts w:ascii="Times New Roman" w:hAnsi="Times New Roman" w:cs="Times New Roman" w:hint="eastAsia"/>
                    <w:sz w:val="21"/>
                  </w:rPr>
                  <w:t>；</w:t>
                </w:r>
                <w:r>
                  <w:rPr>
                    <w:rFonts w:ascii="Times New Roman" w:hAnsi="Times New Roman" w:cs="Times New Roman"/>
                    <w:sz w:val="21"/>
                  </w:rPr>
                  <w:t>物业管理</w:t>
                </w:r>
                <w:r>
                  <w:rPr>
                    <w:rFonts w:ascii="Times New Roman" w:hAnsi="Times New Roman" w:cs="Times New Roman" w:hint="eastAsia"/>
                    <w:sz w:val="21"/>
                  </w:rPr>
                  <w:t>；</w:t>
                </w:r>
                <w:r>
                  <w:rPr>
                    <w:rFonts w:ascii="Times New Roman" w:hAnsi="Times New Roman" w:cs="Times New Roman"/>
                    <w:sz w:val="21"/>
                  </w:rPr>
                  <w:t>基础化学原料制造</w:t>
                </w:r>
                <w:r>
                  <w:rPr>
                    <w:rFonts w:ascii="Times New Roman" w:hAnsi="Times New Roman" w:cs="Times New Roman"/>
                    <w:sz w:val="21"/>
                  </w:rPr>
                  <w:t>(</w:t>
                </w:r>
                <w:r>
                  <w:rPr>
                    <w:rFonts w:ascii="Times New Roman" w:hAnsi="Times New Roman" w:cs="Times New Roman"/>
                    <w:sz w:val="21"/>
                  </w:rPr>
                  <w:t>不含危险化学品等许可类化学品的制造</w:t>
                </w:r>
                <w:r>
                  <w:rPr>
                    <w:rFonts w:ascii="Times New Roman" w:hAnsi="Times New Roman" w:cs="Times New Roman"/>
                    <w:sz w:val="21"/>
                  </w:rPr>
                  <w:t>)</w:t>
                </w:r>
                <w:r>
                  <w:rPr>
                    <w:rFonts w:ascii="Times New Roman" w:hAnsi="Times New Roman" w:cs="Times New Roman" w:hint="eastAsia"/>
                    <w:sz w:val="21"/>
                  </w:rPr>
                  <w:t>；</w:t>
                </w:r>
                <w:r>
                  <w:rPr>
                    <w:rFonts w:ascii="Times New Roman" w:hAnsi="Times New Roman" w:cs="Times New Roman"/>
                    <w:sz w:val="21"/>
                  </w:rPr>
                  <w:t>非常规水源利用技术研发</w:t>
                </w:r>
                <w:r>
                  <w:rPr>
                    <w:rFonts w:ascii="Times New Roman" w:hAnsi="Times New Roman" w:cs="Times New Roman" w:hint="eastAsia"/>
                    <w:sz w:val="21"/>
                  </w:rPr>
                  <w:t>；</w:t>
                </w:r>
                <w:r>
                  <w:rPr>
                    <w:rFonts w:ascii="Times New Roman" w:hAnsi="Times New Roman" w:cs="Times New Roman"/>
                    <w:sz w:val="21"/>
                  </w:rPr>
                  <w:t>通用设备修理</w:t>
                </w:r>
                <w:r>
                  <w:rPr>
                    <w:rFonts w:ascii="Times New Roman" w:hAnsi="Times New Roman" w:cs="Times New Roman"/>
                    <w:sz w:val="21"/>
                  </w:rPr>
                  <w:t>;</w:t>
                </w:r>
                <w:r>
                  <w:rPr>
                    <w:rFonts w:ascii="Times New Roman" w:hAnsi="Times New Roman" w:cs="Times New Roman"/>
                    <w:sz w:val="21"/>
                  </w:rPr>
                  <w:t>专用设备修理。供冷服务</w:t>
                </w:r>
                <w:r>
                  <w:rPr>
                    <w:rFonts w:ascii="Times New Roman" w:hAnsi="Times New Roman" w:cs="Times New Roman"/>
                    <w:sz w:val="21"/>
                  </w:rPr>
                  <w:t>;</w:t>
                </w:r>
                <w:r>
                  <w:rPr>
                    <w:rFonts w:ascii="Times New Roman" w:hAnsi="Times New Roman" w:cs="Times New Roman"/>
                    <w:sz w:val="21"/>
                  </w:rPr>
                  <w:t>园区管理服务</w:t>
                </w:r>
                <w:r>
                  <w:rPr>
                    <w:rFonts w:ascii="Times New Roman" w:hAnsi="Times New Roman" w:cs="Times New Roman"/>
                    <w:sz w:val="21"/>
                  </w:rPr>
                  <w:t>;</w:t>
                </w:r>
                <w:r>
                  <w:rPr>
                    <w:rFonts w:ascii="Times New Roman" w:hAnsi="Times New Roman" w:cs="Times New Roman"/>
                    <w:sz w:val="21"/>
                  </w:rPr>
                  <w:t>日用化学产品制造</w:t>
                </w:r>
                <w:r>
                  <w:rPr>
                    <w:rFonts w:ascii="Times New Roman" w:hAnsi="Times New Roman" w:cs="Times New Roman" w:hint="eastAsia"/>
                    <w:sz w:val="21"/>
                  </w:rPr>
                  <w:t>；</w:t>
                </w:r>
                <w:r>
                  <w:rPr>
                    <w:rFonts w:ascii="Times New Roman" w:hAnsi="Times New Roman" w:cs="Times New Roman"/>
                    <w:sz w:val="21"/>
                  </w:rPr>
                  <w:t>日用化学产品销售。</w:t>
                </w:r>
                <w:r>
                  <w:rPr>
                    <w:rFonts w:ascii="Times New Roman" w:hAnsi="Times New Roman" w:cs="Times New Roman"/>
                    <w:sz w:val="21"/>
                  </w:rPr>
                  <w:t>(</w:t>
                </w:r>
                <w:r>
                  <w:rPr>
                    <w:rFonts w:ascii="Times New Roman" w:hAnsi="Times New Roman" w:cs="Times New Roman"/>
                    <w:sz w:val="21"/>
                  </w:rPr>
                  <w:t>除依法须经批准的项目外</w:t>
                </w:r>
                <w:r>
                  <w:rPr>
                    <w:rFonts w:ascii="Times New Roman" w:hAnsi="Times New Roman" w:cs="Times New Roman"/>
                    <w:sz w:val="21"/>
                  </w:rPr>
                  <w:t>,</w:t>
                </w:r>
                <w:r>
                  <w:rPr>
                    <w:rFonts w:ascii="Times New Roman" w:hAnsi="Times New Roman" w:cs="Times New Roman"/>
                    <w:sz w:val="21"/>
                  </w:rPr>
                  <w:t>凭营业执照依法自主开展经营活动</w:t>
                </w:r>
                <w:r>
                  <w:rPr>
                    <w:rFonts w:ascii="Times New Roman" w:hAnsi="Times New Roman" w:cs="Times New Roman"/>
                    <w:sz w:val="21"/>
                  </w:rPr>
                  <w:t>)</w:t>
                </w:r>
                <w:r>
                  <w:rPr>
                    <w:rFonts w:ascii="Times New Roman" w:hAnsi="Times New Roman" w:cs="Times New Roman"/>
                    <w:sz w:val="21"/>
                  </w:rPr>
                  <w:t>。</w:t>
                </w:r>
              </w:p>
            </w:tc>
          </w:tr>
          <w:tr w:rsidR="002D0AE7" w14:paraId="7A9344E5" w14:textId="77777777">
            <w:trPr>
              <w:trHeight w:val="389"/>
              <w:jc w:val="center"/>
            </w:trPr>
            <w:tc>
              <w:tcPr>
                <w:tcW w:w="1985" w:type="dxa"/>
                <w:tcBorders>
                  <w:top w:val="single" w:sz="4" w:space="0" w:color="auto"/>
                  <w:left w:val="single" w:sz="4" w:space="0" w:color="000000"/>
                  <w:bottom w:val="single" w:sz="4" w:space="0" w:color="000000"/>
                  <w:right w:val="single" w:sz="4" w:space="0" w:color="000000"/>
                </w:tcBorders>
                <w:vAlign w:val="center"/>
              </w:tcPr>
              <w:p w14:paraId="0ABBB83D"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主要产品或服务</w:t>
                </w:r>
              </w:p>
            </w:tc>
            <w:tc>
              <w:tcPr>
                <w:tcW w:w="8066" w:type="dxa"/>
                <w:tcBorders>
                  <w:top w:val="single" w:sz="4" w:space="0" w:color="auto"/>
                  <w:left w:val="nil"/>
                  <w:bottom w:val="single" w:sz="4" w:space="0" w:color="000000"/>
                  <w:right w:val="single" w:sz="4" w:space="0" w:color="000000"/>
                </w:tcBorders>
                <w:vAlign w:val="center"/>
              </w:tcPr>
              <w:p w14:paraId="5E97A49F" w14:textId="77777777" w:rsidR="002D0AE7" w:rsidRDefault="00333EBB">
                <w:pPr>
                  <w:rPr>
                    <w:rFonts w:ascii="Times New Roman" w:hAnsi="Times New Roman" w:cs="Times New Roman"/>
                    <w:sz w:val="21"/>
                    <w:highlight w:val="green"/>
                  </w:rPr>
                </w:pPr>
                <w:r>
                  <w:rPr>
                    <w:rFonts w:ascii="Times New Roman" w:hAnsi="Times New Roman" w:cs="Times New Roman" w:hint="eastAsia"/>
                    <w:sz w:val="21"/>
                  </w:rPr>
                  <w:t>津药环科主要负责为原料药园区内各生产单位组织工程建设，提供蒸汽等动力能源生产供应，提供食堂、浴室、安全保卫、污水处理、班车运行等后勤保障服务；以及园区内工程的后期维护、维修保养及其他工作等。</w:t>
                </w:r>
              </w:p>
            </w:tc>
          </w:tr>
        </w:tbl>
        <w:p w14:paraId="7EC6FCEC" w14:textId="77777777" w:rsidR="002D0AE7" w:rsidRDefault="00333EBB">
          <w:pPr>
            <w:rPr>
              <w:rFonts w:ascii="Times New Roman" w:hAnsi="Times New Roman" w:cs="Times New Roman"/>
              <w:b/>
            </w:rPr>
          </w:pPr>
          <w:r>
            <w:rPr>
              <w:rFonts w:ascii="Times New Roman" w:hAnsi="Times New Roman" w:cs="Times New Roman"/>
              <w:b/>
            </w:rPr>
            <w:t>8.</w:t>
          </w:r>
          <w:r>
            <w:rPr>
              <w:rFonts w:ascii="Times New Roman" w:hAnsi="Times New Roman" w:cs="Times New Roman" w:hint="eastAsia"/>
              <w:b/>
            </w:rPr>
            <w:t>天津信卓国际贸易有限公司</w:t>
          </w:r>
        </w:p>
        <w:tbl>
          <w:tblPr>
            <w:tblW w:w="10051" w:type="dxa"/>
            <w:jc w:val="center"/>
            <w:tblLook w:val="04A0" w:firstRow="1" w:lastRow="0" w:firstColumn="1" w:lastColumn="0" w:noHBand="0" w:noVBand="1"/>
          </w:tblPr>
          <w:tblGrid>
            <w:gridCol w:w="1985"/>
            <w:gridCol w:w="8066"/>
          </w:tblGrid>
          <w:tr w:rsidR="002D0AE7" w14:paraId="62668B4F" w14:textId="77777777">
            <w:trPr>
              <w:trHeight w:val="270"/>
              <w:jc w:val="center"/>
            </w:trPr>
            <w:tc>
              <w:tcPr>
                <w:tcW w:w="1985" w:type="dxa"/>
                <w:tcBorders>
                  <w:top w:val="nil"/>
                  <w:left w:val="nil"/>
                  <w:bottom w:val="single" w:sz="4" w:space="0" w:color="auto"/>
                  <w:right w:val="nil"/>
                </w:tcBorders>
                <w:noWrap/>
                <w:vAlign w:val="center"/>
              </w:tcPr>
              <w:p w14:paraId="32E1F421" w14:textId="77777777" w:rsidR="002D0AE7" w:rsidRDefault="002D0AE7">
                <w:pPr>
                  <w:rPr>
                    <w:rFonts w:ascii="Calibri" w:hAnsi="Calibri" w:cs="Times New Roman"/>
                    <w:sz w:val="21"/>
                    <w:szCs w:val="20"/>
                  </w:rPr>
                </w:pPr>
              </w:p>
            </w:tc>
            <w:tc>
              <w:tcPr>
                <w:tcW w:w="8066" w:type="dxa"/>
                <w:tcBorders>
                  <w:top w:val="nil"/>
                  <w:left w:val="nil"/>
                  <w:bottom w:val="single" w:sz="4" w:space="0" w:color="auto"/>
                  <w:right w:val="nil"/>
                </w:tcBorders>
                <w:vAlign w:val="center"/>
              </w:tcPr>
              <w:p w14:paraId="215F5C59" w14:textId="77777777" w:rsidR="002D0AE7" w:rsidRDefault="00333EBB">
                <w:pPr>
                  <w:jc w:val="right"/>
                  <w:rPr>
                    <w:rFonts w:ascii="Times New Roman" w:hAnsi="Times New Roman" w:cs="Times New Roman"/>
                    <w:sz w:val="21"/>
                  </w:rPr>
                </w:pPr>
                <w:r>
                  <w:rPr>
                    <w:rFonts w:ascii="Times New Roman" w:hAnsi="Times New Roman" w:cs="Times New Roman" w:hint="eastAsia"/>
                    <w:sz w:val="21"/>
                  </w:rPr>
                  <w:t>单位：万元</w:t>
                </w:r>
              </w:p>
            </w:tc>
          </w:tr>
          <w:tr w:rsidR="002D0AE7" w14:paraId="4E622AD6" w14:textId="77777777">
            <w:trPr>
              <w:trHeight w:val="270"/>
              <w:jc w:val="center"/>
            </w:trPr>
            <w:tc>
              <w:tcPr>
                <w:tcW w:w="1985" w:type="dxa"/>
                <w:tcBorders>
                  <w:top w:val="single" w:sz="4" w:space="0" w:color="auto"/>
                  <w:left w:val="single" w:sz="4" w:space="0" w:color="auto"/>
                  <w:bottom w:val="single" w:sz="4" w:space="0" w:color="auto"/>
                  <w:right w:val="single" w:sz="4" w:space="0" w:color="auto"/>
                </w:tcBorders>
                <w:vAlign w:val="center"/>
              </w:tcPr>
              <w:p w14:paraId="12FB52C2"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注册资本</w:t>
                </w:r>
              </w:p>
            </w:tc>
            <w:tc>
              <w:tcPr>
                <w:tcW w:w="8066" w:type="dxa"/>
                <w:tcBorders>
                  <w:top w:val="single" w:sz="4" w:space="0" w:color="auto"/>
                  <w:left w:val="single" w:sz="4" w:space="0" w:color="auto"/>
                  <w:bottom w:val="single" w:sz="4" w:space="0" w:color="auto"/>
                  <w:right w:val="single" w:sz="4" w:space="0" w:color="auto"/>
                </w:tcBorders>
                <w:vAlign w:val="center"/>
              </w:tcPr>
              <w:p w14:paraId="4EA29605" w14:textId="77777777" w:rsidR="002D0AE7" w:rsidRDefault="00333EBB">
                <w:pPr>
                  <w:jc w:val="right"/>
                  <w:rPr>
                    <w:rFonts w:ascii="Times New Roman" w:hAnsi="Times New Roman" w:cs="Times New Roman"/>
                    <w:sz w:val="21"/>
                  </w:rPr>
                </w:pPr>
                <w:r>
                  <w:rPr>
                    <w:rFonts w:ascii="Times New Roman" w:hAnsi="Times New Roman" w:cs="Times New Roman"/>
                    <w:sz w:val="21"/>
                    <w:szCs w:val="18"/>
                  </w:rPr>
                  <w:t>50.00</w:t>
                </w:r>
              </w:p>
            </w:tc>
          </w:tr>
          <w:tr w:rsidR="002D0AE7" w14:paraId="2C5B25CB" w14:textId="77777777">
            <w:trPr>
              <w:trHeight w:val="270"/>
              <w:jc w:val="center"/>
            </w:trPr>
            <w:tc>
              <w:tcPr>
                <w:tcW w:w="1985" w:type="dxa"/>
                <w:tcBorders>
                  <w:top w:val="single" w:sz="4" w:space="0" w:color="auto"/>
                  <w:left w:val="single" w:sz="4" w:space="0" w:color="auto"/>
                  <w:bottom w:val="single" w:sz="4" w:space="0" w:color="auto"/>
                  <w:right w:val="single" w:sz="4" w:space="0" w:color="auto"/>
                </w:tcBorders>
                <w:vAlign w:val="center"/>
              </w:tcPr>
              <w:p w14:paraId="27123899"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总资产</w:t>
                </w:r>
              </w:p>
            </w:tc>
            <w:tc>
              <w:tcPr>
                <w:tcW w:w="8066" w:type="dxa"/>
                <w:tcBorders>
                  <w:top w:val="single" w:sz="4" w:space="0" w:color="auto"/>
                  <w:left w:val="single" w:sz="4" w:space="0" w:color="auto"/>
                  <w:bottom w:val="single" w:sz="4" w:space="0" w:color="auto"/>
                  <w:right w:val="single" w:sz="4" w:space="0" w:color="auto"/>
                </w:tcBorders>
                <w:vAlign w:val="center"/>
              </w:tcPr>
              <w:p w14:paraId="01120BCB" w14:textId="77777777" w:rsidR="002D0AE7" w:rsidRDefault="00333EBB">
                <w:pPr>
                  <w:jc w:val="right"/>
                  <w:rPr>
                    <w:rFonts w:ascii="Times New Roman" w:hAnsi="Times New Roman" w:cs="Times New Roman"/>
                    <w:sz w:val="21"/>
                    <w:highlight w:val="cyan"/>
                  </w:rPr>
                </w:pPr>
                <w:r>
                  <w:rPr>
                    <w:rFonts w:ascii="Times New Roman" w:hAnsi="Times New Roman" w:cs="Times New Roman"/>
                    <w:color w:val="000000"/>
                    <w:sz w:val="21"/>
                  </w:rPr>
                  <w:t>2,787.74</w:t>
                </w:r>
              </w:p>
            </w:tc>
          </w:tr>
          <w:tr w:rsidR="002D0AE7" w14:paraId="47613B4E" w14:textId="77777777">
            <w:trPr>
              <w:trHeight w:val="270"/>
              <w:jc w:val="center"/>
            </w:trPr>
            <w:tc>
              <w:tcPr>
                <w:tcW w:w="1985" w:type="dxa"/>
                <w:tcBorders>
                  <w:top w:val="single" w:sz="4" w:space="0" w:color="auto"/>
                  <w:left w:val="single" w:sz="4" w:space="0" w:color="auto"/>
                  <w:bottom w:val="single" w:sz="4" w:space="0" w:color="auto"/>
                  <w:right w:val="single" w:sz="4" w:space="0" w:color="auto"/>
                </w:tcBorders>
                <w:vAlign w:val="center"/>
              </w:tcPr>
              <w:p w14:paraId="3FC59552"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净资产</w:t>
                </w:r>
              </w:p>
            </w:tc>
            <w:tc>
              <w:tcPr>
                <w:tcW w:w="8066" w:type="dxa"/>
                <w:tcBorders>
                  <w:top w:val="single" w:sz="4" w:space="0" w:color="auto"/>
                  <w:left w:val="single" w:sz="4" w:space="0" w:color="auto"/>
                  <w:bottom w:val="single" w:sz="4" w:space="0" w:color="auto"/>
                  <w:right w:val="single" w:sz="4" w:space="0" w:color="auto"/>
                </w:tcBorders>
                <w:vAlign w:val="center"/>
              </w:tcPr>
              <w:p w14:paraId="19FE2F17" w14:textId="77777777" w:rsidR="002D0AE7" w:rsidRDefault="00333EBB">
                <w:pPr>
                  <w:jc w:val="right"/>
                  <w:rPr>
                    <w:rFonts w:ascii="Times New Roman" w:hAnsi="Times New Roman" w:cs="Times New Roman"/>
                    <w:sz w:val="21"/>
                    <w:highlight w:val="cyan"/>
                  </w:rPr>
                </w:pPr>
                <w:r>
                  <w:rPr>
                    <w:rFonts w:ascii="Times New Roman" w:hAnsi="Times New Roman" w:cs="Times New Roman"/>
                    <w:color w:val="000000"/>
                    <w:sz w:val="21"/>
                  </w:rPr>
                  <w:t>597.08</w:t>
                </w:r>
              </w:p>
            </w:tc>
          </w:tr>
          <w:tr w:rsidR="002D0AE7" w14:paraId="6FDF1699" w14:textId="77777777">
            <w:trPr>
              <w:trHeight w:val="270"/>
              <w:jc w:val="center"/>
            </w:trPr>
            <w:tc>
              <w:tcPr>
                <w:tcW w:w="1985" w:type="dxa"/>
                <w:tcBorders>
                  <w:top w:val="single" w:sz="4" w:space="0" w:color="auto"/>
                  <w:left w:val="single" w:sz="4" w:space="0" w:color="auto"/>
                  <w:bottom w:val="single" w:sz="4" w:space="0" w:color="auto"/>
                  <w:right w:val="single" w:sz="4" w:space="0" w:color="auto"/>
                </w:tcBorders>
                <w:vAlign w:val="center"/>
              </w:tcPr>
              <w:p w14:paraId="782CF0C8"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净利润</w:t>
                </w:r>
              </w:p>
            </w:tc>
            <w:tc>
              <w:tcPr>
                <w:tcW w:w="8066" w:type="dxa"/>
                <w:tcBorders>
                  <w:top w:val="single" w:sz="4" w:space="0" w:color="auto"/>
                  <w:left w:val="single" w:sz="4" w:space="0" w:color="auto"/>
                  <w:bottom w:val="single" w:sz="4" w:space="0" w:color="auto"/>
                  <w:right w:val="single" w:sz="4" w:space="0" w:color="auto"/>
                </w:tcBorders>
                <w:vAlign w:val="center"/>
              </w:tcPr>
              <w:p w14:paraId="6F1E1380" w14:textId="77777777" w:rsidR="002D0AE7" w:rsidRDefault="00333EBB">
                <w:pPr>
                  <w:jc w:val="right"/>
                  <w:rPr>
                    <w:rFonts w:ascii="Times New Roman" w:hAnsi="Times New Roman" w:cs="Times New Roman"/>
                    <w:sz w:val="21"/>
                    <w:highlight w:val="cyan"/>
                  </w:rPr>
                </w:pPr>
                <w:r>
                  <w:rPr>
                    <w:rFonts w:ascii="Times New Roman" w:hAnsi="Times New Roman" w:cs="Times New Roman"/>
                    <w:color w:val="000000"/>
                    <w:sz w:val="21"/>
                  </w:rPr>
                  <w:t>108.37</w:t>
                </w:r>
              </w:p>
            </w:tc>
          </w:tr>
          <w:tr w:rsidR="002D0AE7" w14:paraId="37B65450" w14:textId="77777777">
            <w:trPr>
              <w:trHeight w:val="270"/>
              <w:jc w:val="center"/>
            </w:trPr>
            <w:tc>
              <w:tcPr>
                <w:tcW w:w="1985" w:type="dxa"/>
                <w:tcBorders>
                  <w:top w:val="single" w:sz="4" w:space="0" w:color="auto"/>
                  <w:left w:val="single" w:sz="4" w:space="0" w:color="auto"/>
                  <w:bottom w:val="single" w:sz="4" w:space="0" w:color="auto"/>
                  <w:right w:val="single" w:sz="4" w:space="0" w:color="auto"/>
                </w:tcBorders>
                <w:vAlign w:val="center"/>
              </w:tcPr>
              <w:p w14:paraId="5C72EA96"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股权结构</w:t>
                </w:r>
              </w:p>
            </w:tc>
            <w:tc>
              <w:tcPr>
                <w:tcW w:w="8066" w:type="dxa"/>
                <w:tcBorders>
                  <w:top w:val="single" w:sz="4" w:space="0" w:color="auto"/>
                  <w:left w:val="single" w:sz="4" w:space="0" w:color="auto"/>
                  <w:bottom w:val="single" w:sz="4" w:space="0" w:color="auto"/>
                  <w:right w:val="single" w:sz="4" w:space="0" w:color="auto"/>
                </w:tcBorders>
                <w:vAlign w:val="center"/>
              </w:tcPr>
              <w:p w14:paraId="3F9E51D6" w14:textId="77777777" w:rsidR="002D0AE7" w:rsidRDefault="00333EBB">
                <w:pPr>
                  <w:rPr>
                    <w:rFonts w:ascii="Times New Roman" w:hAnsi="Times New Roman" w:cs="Times New Roman"/>
                    <w:sz w:val="21"/>
                  </w:rPr>
                </w:pPr>
                <w:r>
                  <w:rPr>
                    <w:rFonts w:ascii="Times New Roman" w:hAnsi="Times New Roman" w:cs="Times New Roman" w:hint="eastAsia"/>
                    <w:sz w:val="21"/>
                  </w:rPr>
                  <w:t>公司持有其</w:t>
                </w:r>
                <w:r>
                  <w:rPr>
                    <w:rFonts w:ascii="Times New Roman" w:hAnsi="Times New Roman" w:cs="Times New Roman"/>
                    <w:sz w:val="21"/>
                  </w:rPr>
                  <w:t>100%</w:t>
                </w:r>
                <w:r>
                  <w:rPr>
                    <w:rFonts w:ascii="Times New Roman" w:hAnsi="Times New Roman" w:cs="Times New Roman" w:hint="eastAsia"/>
                    <w:sz w:val="21"/>
                  </w:rPr>
                  <w:t>股权</w:t>
                </w:r>
              </w:p>
            </w:tc>
          </w:tr>
          <w:tr w:rsidR="002D0AE7" w14:paraId="24C282F4" w14:textId="77777777">
            <w:trPr>
              <w:trHeight w:val="415"/>
              <w:jc w:val="center"/>
            </w:trPr>
            <w:tc>
              <w:tcPr>
                <w:tcW w:w="1985" w:type="dxa"/>
                <w:tcBorders>
                  <w:top w:val="single" w:sz="4" w:space="0" w:color="auto"/>
                  <w:left w:val="single" w:sz="4" w:space="0" w:color="auto"/>
                  <w:bottom w:val="single" w:sz="4" w:space="0" w:color="auto"/>
                  <w:right w:val="single" w:sz="4" w:space="0" w:color="auto"/>
                </w:tcBorders>
                <w:vAlign w:val="center"/>
              </w:tcPr>
              <w:p w14:paraId="68CD452C"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经营范围</w:t>
                </w:r>
              </w:p>
            </w:tc>
            <w:tc>
              <w:tcPr>
                <w:tcW w:w="8066" w:type="dxa"/>
                <w:tcBorders>
                  <w:top w:val="single" w:sz="4" w:space="0" w:color="auto"/>
                  <w:left w:val="single" w:sz="4" w:space="0" w:color="auto"/>
                  <w:bottom w:val="single" w:sz="4" w:space="0" w:color="auto"/>
                  <w:right w:val="single" w:sz="4" w:space="0" w:color="auto"/>
                </w:tcBorders>
              </w:tcPr>
              <w:p w14:paraId="25E38719" w14:textId="77777777" w:rsidR="002D0AE7" w:rsidRDefault="00333EBB">
                <w:pPr>
                  <w:rPr>
                    <w:rFonts w:ascii="Times New Roman" w:hAnsi="Times New Roman" w:cs="Times New Roman"/>
                    <w:sz w:val="21"/>
                  </w:rPr>
                </w:pPr>
                <w:r>
                  <w:rPr>
                    <w:rFonts w:ascii="Times New Roman" w:hAnsi="Times New Roman" w:cs="Times New Roman" w:hint="eastAsia"/>
                    <w:sz w:val="21"/>
                  </w:rPr>
                  <w:t>许可项目：</w:t>
                </w:r>
                <w:r>
                  <w:rPr>
                    <w:rFonts w:ascii="Times New Roman" w:hAnsi="Times New Roman" w:cs="Times New Roman"/>
                    <w:sz w:val="21"/>
                  </w:rPr>
                  <w:t>药品进出口。</w:t>
                </w:r>
                <w:r>
                  <w:rPr>
                    <w:rFonts w:ascii="Times New Roman" w:hAnsi="Times New Roman" w:cs="Times New Roman"/>
                    <w:sz w:val="21"/>
                  </w:rPr>
                  <w:t>(</w:t>
                </w:r>
                <w:r>
                  <w:rPr>
                    <w:rFonts w:ascii="Times New Roman" w:hAnsi="Times New Roman" w:cs="Times New Roman"/>
                    <w:sz w:val="21"/>
                  </w:rPr>
                  <w:t>依法须经批准的项目</w:t>
                </w:r>
                <w:r>
                  <w:rPr>
                    <w:rFonts w:ascii="Times New Roman" w:hAnsi="Times New Roman" w:cs="Times New Roman"/>
                    <w:sz w:val="21"/>
                  </w:rPr>
                  <w:t>,</w:t>
                </w:r>
                <w:r>
                  <w:rPr>
                    <w:rFonts w:ascii="Times New Roman" w:hAnsi="Times New Roman" w:cs="Times New Roman"/>
                    <w:sz w:val="21"/>
                  </w:rPr>
                  <w:t>经相关部门批准后方可开展经营活动，具体经营项目以相关部门批准文件或许可证件为准</w:t>
                </w:r>
                <w:r>
                  <w:rPr>
                    <w:rFonts w:ascii="Times New Roman" w:hAnsi="Times New Roman" w:cs="Times New Roman"/>
                    <w:sz w:val="21"/>
                  </w:rPr>
                  <w:t>)</w:t>
                </w:r>
                <w:r>
                  <w:rPr>
                    <w:rFonts w:ascii="Times New Roman" w:hAnsi="Times New Roman" w:cs="Times New Roman"/>
                    <w:sz w:val="21"/>
                  </w:rPr>
                  <w:t>。一般项目</w:t>
                </w:r>
                <w:r>
                  <w:rPr>
                    <w:rFonts w:ascii="Times New Roman" w:hAnsi="Times New Roman" w:cs="Times New Roman" w:hint="eastAsia"/>
                    <w:sz w:val="21"/>
                  </w:rPr>
                  <w:t>：</w:t>
                </w:r>
                <w:r>
                  <w:rPr>
                    <w:rFonts w:ascii="Times New Roman" w:hAnsi="Times New Roman" w:cs="Times New Roman"/>
                    <w:sz w:val="21"/>
                  </w:rPr>
                  <w:t>货物进出口</w:t>
                </w:r>
                <w:r>
                  <w:rPr>
                    <w:rFonts w:ascii="Times New Roman" w:hAnsi="Times New Roman" w:cs="Times New Roman" w:hint="eastAsia"/>
                    <w:sz w:val="21"/>
                  </w:rPr>
                  <w:t>；</w:t>
                </w:r>
                <w:r>
                  <w:rPr>
                    <w:rFonts w:ascii="Times New Roman" w:hAnsi="Times New Roman" w:cs="Times New Roman"/>
                    <w:sz w:val="21"/>
                  </w:rPr>
                  <w:t>技术进出口</w:t>
                </w:r>
                <w:r>
                  <w:rPr>
                    <w:rFonts w:ascii="Times New Roman" w:hAnsi="Times New Roman" w:cs="Times New Roman" w:hint="eastAsia"/>
                    <w:sz w:val="21"/>
                  </w:rPr>
                  <w:t>；</w:t>
                </w:r>
                <w:r>
                  <w:rPr>
                    <w:rFonts w:ascii="Times New Roman" w:hAnsi="Times New Roman" w:cs="Times New Roman"/>
                    <w:sz w:val="21"/>
                  </w:rPr>
                  <w:t>化工产品销售</w:t>
                </w:r>
                <w:r>
                  <w:rPr>
                    <w:rFonts w:ascii="Times New Roman" w:hAnsi="Times New Roman" w:cs="Times New Roman"/>
                    <w:sz w:val="21"/>
                  </w:rPr>
                  <w:t>(</w:t>
                </w:r>
                <w:r>
                  <w:rPr>
                    <w:rFonts w:ascii="Times New Roman" w:hAnsi="Times New Roman" w:cs="Times New Roman"/>
                    <w:sz w:val="21"/>
                  </w:rPr>
                  <w:t>不含许可类化工产品</w:t>
                </w:r>
                <w:r>
                  <w:rPr>
                    <w:rFonts w:ascii="Times New Roman" w:hAnsi="Times New Roman" w:cs="Times New Roman"/>
                    <w:sz w:val="21"/>
                  </w:rPr>
                  <w:t>)</w:t>
                </w:r>
                <w:r>
                  <w:rPr>
                    <w:rFonts w:ascii="Times New Roman" w:hAnsi="Times New Roman" w:cs="Times New Roman" w:hint="eastAsia"/>
                    <w:sz w:val="21"/>
                  </w:rPr>
                  <w:t>；</w:t>
                </w:r>
                <w:r>
                  <w:rPr>
                    <w:rFonts w:ascii="Times New Roman" w:hAnsi="Times New Roman" w:cs="Times New Roman"/>
                    <w:sz w:val="21"/>
                  </w:rPr>
                  <w:t>进出口代理</w:t>
                </w:r>
                <w:r>
                  <w:rPr>
                    <w:rFonts w:ascii="Times New Roman" w:hAnsi="Times New Roman" w:cs="Times New Roman"/>
                    <w:sz w:val="21"/>
                  </w:rPr>
                  <w:t>;</w:t>
                </w:r>
                <w:r>
                  <w:rPr>
                    <w:rFonts w:ascii="Times New Roman" w:hAnsi="Times New Roman" w:cs="Times New Roman"/>
                    <w:sz w:val="21"/>
                  </w:rPr>
                  <w:t>国内贸易代理。</w:t>
                </w:r>
                <w:r>
                  <w:rPr>
                    <w:rFonts w:ascii="Times New Roman" w:hAnsi="Times New Roman" w:cs="Times New Roman"/>
                    <w:sz w:val="21"/>
                  </w:rPr>
                  <w:t>(</w:t>
                </w:r>
                <w:r>
                  <w:rPr>
                    <w:rFonts w:ascii="Times New Roman" w:hAnsi="Times New Roman" w:cs="Times New Roman"/>
                    <w:sz w:val="21"/>
                  </w:rPr>
                  <w:t>除依法须经批准的项目外</w:t>
                </w:r>
                <w:r>
                  <w:rPr>
                    <w:rFonts w:ascii="Times New Roman" w:hAnsi="Times New Roman" w:cs="Times New Roman" w:hint="eastAsia"/>
                    <w:sz w:val="21"/>
                  </w:rPr>
                  <w:t>，</w:t>
                </w:r>
                <w:r>
                  <w:rPr>
                    <w:rFonts w:ascii="Times New Roman" w:hAnsi="Times New Roman" w:cs="Times New Roman"/>
                    <w:sz w:val="21"/>
                  </w:rPr>
                  <w:t>凭营业执照依法自主开展经营活动</w:t>
                </w:r>
                <w:r>
                  <w:rPr>
                    <w:rFonts w:ascii="Times New Roman" w:hAnsi="Times New Roman" w:cs="Times New Roman"/>
                    <w:sz w:val="21"/>
                  </w:rPr>
                  <w:t>)</w:t>
                </w:r>
                <w:r>
                  <w:rPr>
                    <w:rFonts w:ascii="Times New Roman" w:hAnsi="Times New Roman" w:cs="Times New Roman"/>
                    <w:sz w:val="21"/>
                  </w:rPr>
                  <w:t>。</w:t>
                </w:r>
              </w:p>
            </w:tc>
          </w:tr>
          <w:tr w:rsidR="002D0AE7" w14:paraId="1E64F5FF" w14:textId="77777777">
            <w:trPr>
              <w:trHeight w:val="389"/>
              <w:jc w:val="center"/>
            </w:trPr>
            <w:tc>
              <w:tcPr>
                <w:tcW w:w="1985" w:type="dxa"/>
                <w:tcBorders>
                  <w:top w:val="single" w:sz="4" w:space="0" w:color="auto"/>
                  <w:left w:val="single" w:sz="4" w:space="0" w:color="000000"/>
                  <w:bottom w:val="single" w:sz="4" w:space="0" w:color="000000"/>
                  <w:right w:val="single" w:sz="4" w:space="0" w:color="000000"/>
                </w:tcBorders>
                <w:vAlign w:val="center"/>
              </w:tcPr>
              <w:p w14:paraId="55269F4F"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主要产品或服务</w:t>
                </w:r>
              </w:p>
            </w:tc>
            <w:tc>
              <w:tcPr>
                <w:tcW w:w="8066" w:type="dxa"/>
                <w:tcBorders>
                  <w:top w:val="single" w:sz="4" w:space="0" w:color="auto"/>
                  <w:left w:val="nil"/>
                  <w:bottom w:val="single" w:sz="4" w:space="0" w:color="000000"/>
                  <w:right w:val="single" w:sz="4" w:space="0" w:color="000000"/>
                </w:tcBorders>
                <w:vAlign w:val="center"/>
              </w:tcPr>
              <w:p w14:paraId="45BA7D47" w14:textId="77777777" w:rsidR="002D0AE7" w:rsidRDefault="00333EBB">
                <w:pPr>
                  <w:rPr>
                    <w:rFonts w:ascii="Times New Roman" w:hAnsi="Times New Roman" w:cs="Times New Roman"/>
                    <w:sz w:val="21"/>
                  </w:rPr>
                </w:pPr>
                <w:r>
                  <w:rPr>
                    <w:rFonts w:ascii="Times New Roman" w:hAnsi="Times New Roman" w:cs="Times New Roman" w:hint="eastAsia"/>
                    <w:sz w:val="21"/>
                  </w:rPr>
                  <w:t>天津信卓从事货物或技术进出口业务。</w:t>
                </w:r>
              </w:p>
            </w:tc>
          </w:tr>
        </w:tbl>
        <w:p w14:paraId="223DEC04" w14:textId="77777777" w:rsidR="002D0AE7" w:rsidRDefault="00333EBB">
          <w:pPr>
            <w:rPr>
              <w:rFonts w:ascii="Times New Roman" w:hAnsi="Times New Roman" w:cs="Times New Roman"/>
              <w:b/>
            </w:rPr>
          </w:pPr>
          <w:r>
            <w:rPr>
              <w:rFonts w:ascii="Times New Roman" w:hAnsi="Times New Roman" w:cs="Times New Roman"/>
              <w:b/>
            </w:rPr>
            <w:t>9.</w:t>
          </w:r>
          <w:r>
            <w:rPr>
              <w:rFonts w:ascii="Times New Roman" w:hAnsi="Times New Roman" w:cs="Times New Roman" w:hint="eastAsia"/>
              <w:b/>
            </w:rPr>
            <w:t>湖北津药药业股份有限公司</w:t>
          </w:r>
        </w:p>
        <w:tbl>
          <w:tblPr>
            <w:tblW w:w="10051" w:type="dxa"/>
            <w:jc w:val="center"/>
            <w:tblLook w:val="04A0" w:firstRow="1" w:lastRow="0" w:firstColumn="1" w:lastColumn="0" w:noHBand="0" w:noVBand="1"/>
          </w:tblPr>
          <w:tblGrid>
            <w:gridCol w:w="1985"/>
            <w:gridCol w:w="8066"/>
          </w:tblGrid>
          <w:tr w:rsidR="002D0AE7" w14:paraId="2D8C3D9A" w14:textId="77777777">
            <w:trPr>
              <w:trHeight w:val="270"/>
              <w:jc w:val="center"/>
            </w:trPr>
            <w:tc>
              <w:tcPr>
                <w:tcW w:w="1985" w:type="dxa"/>
                <w:tcBorders>
                  <w:top w:val="nil"/>
                  <w:left w:val="nil"/>
                  <w:bottom w:val="single" w:sz="4" w:space="0" w:color="auto"/>
                  <w:right w:val="nil"/>
                </w:tcBorders>
                <w:noWrap/>
                <w:vAlign w:val="center"/>
              </w:tcPr>
              <w:p w14:paraId="3C9407A8" w14:textId="77777777" w:rsidR="002D0AE7" w:rsidRDefault="002D0AE7">
                <w:pPr>
                  <w:rPr>
                    <w:rFonts w:ascii="Calibri" w:hAnsi="Calibri" w:cs="Times New Roman"/>
                    <w:sz w:val="21"/>
                    <w:szCs w:val="20"/>
                  </w:rPr>
                </w:pPr>
              </w:p>
            </w:tc>
            <w:tc>
              <w:tcPr>
                <w:tcW w:w="8066" w:type="dxa"/>
                <w:tcBorders>
                  <w:top w:val="nil"/>
                  <w:left w:val="nil"/>
                  <w:bottom w:val="single" w:sz="4" w:space="0" w:color="auto"/>
                  <w:right w:val="nil"/>
                </w:tcBorders>
                <w:vAlign w:val="center"/>
              </w:tcPr>
              <w:p w14:paraId="15F68656" w14:textId="77777777" w:rsidR="002D0AE7" w:rsidRDefault="00333EBB">
                <w:pPr>
                  <w:jc w:val="right"/>
                  <w:rPr>
                    <w:rFonts w:ascii="Times New Roman" w:hAnsi="Times New Roman" w:cs="Times New Roman"/>
                    <w:sz w:val="21"/>
                  </w:rPr>
                </w:pPr>
                <w:r>
                  <w:rPr>
                    <w:rFonts w:ascii="Times New Roman" w:hAnsi="Times New Roman" w:cs="Times New Roman" w:hint="eastAsia"/>
                    <w:sz w:val="21"/>
                  </w:rPr>
                  <w:t>单位：万元</w:t>
                </w:r>
              </w:p>
            </w:tc>
          </w:tr>
          <w:tr w:rsidR="002D0AE7" w14:paraId="59F09014" w14:textId="77777777">
            <w:trPr>
              <w:trHeight w:val="270"/>
              <w:jc w:val="center"/>
            </w:trPr>
            <w:tc>
              <w:tcPr>
                <w:tcW w:w="1985" w:type="dxa"/>
                <w:tcBorders>
                  <w:top w:val="single" w:sz="4" w:space="0" w:color="auto"/>
                  <w:left w:val="single" w:sz="4" w:space="0" w:color="auto"/>
                  <w:bottom w:val="single" w:sz="4" w:space="0" w:color="auto"/>
                  <w:right w:val="single" w:sz="4" w:space="0" w:color="auto"/>
                </w:tcBorders>
                <w:vAlign w:val="center"/>
              </w:tcPr>
              <w:p w14:paraId="782404CC"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注册资本</w:t>
                </w:r>
              </w:p>
            </w:tc>
            <w:tc>
              <w:tcPr>
                <w:tcW w:w="8066" w:type="dxa"/>
                <w:tcBorders>
                  <w:top w:val="single" w:sz="4" w:space="0" w:color="auto"/>
                  <w:left w:val="single" w:sz="4" w:space="0" w:color="auto"/>
                  <w:bottom w:val="single" w:sz="4" w:space="0" w:color="auto"/>
                  <w:right w:val="single" w:sz="4" w:space="0" w:color="auto"/>
                </w:tcBorders>
                <w:vAlign w:val="center"/>
              </w:tcPr>
              <w:p w14:paraId="18D90DBB" w14:textId="77777777" w:rsidR="002D0AE7" w:rsidRDefault="00333EBB">
                <w:pPr>
                  <w:jc w:val="right"/>
                  <w:rPr>
                    <w:rFonts w:ascii="Times New Roman" w:hAnsi="Times New Roman" w:cs="Times New Roman"/>
                    <w:sz w:val="21"/>
                  </w:rPr>
                </w:pPr>
                <w:r>
                  <w:rPr>
                    <w:rFonts w:ascii="Times New Roman" w:hAnsi="Times New Roman" w:cs="Times New Roman"/>
                    <w:sz w:val="21"/>
                  </w:rPr>
                  <w:t>10,847.30</w:t>
                </w:r>
              </w:p>
            </w:tc>
          </w:tr>
          <w:tr w:rsidR="002D0AE7" w14:paraId="43D89005" w14:textId="77777777">
            <w:trPr>
              <w:trHeight w:val="270"/>
              <w:jc w:val="center"/>
            </w:trPr>
            <w:tc>
              <w:tcPr>
                <w:tcW w:w="1985" w:type="dxa"/>
                <w:tcBorders>
                  <w:top w:val="single" w:sz="4" w:space="0" w:color="auto"/>
                  <w:left w:val="single" w:sz="4" w:space="0" w:color="auto"/>
                  <w:bottom w:val="single" w:sz="4" w:space="0" w:color="auto"/>
                  <w:right w:val="single" w:sz="4" w:space="0" w:color="auto"/>
                </w:tcBorders>
                <w:vAlign w:val="center"/>
              </w:tcPr>
              <w:p w14:paraId="7CD4449A"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总资产</w:t>
                </w:r>
              </w:p>
            </w:tc>
            <w:tc>
              <w:tcPr>
                <w:tcW w:w="8066" w:type="dxa"/>
                <w:tcBorders>
                  <w:top w:val="single" w:sz="4" w:space="0" w:color="auto"/>
                  <w:left w:val="single" w:sz="4" w:space="0" w:color="auto"/>
                  <w:bottom w:val="single" w:sz="4" w:space="0" w:color="auto"/>
                  <w:right w:val="single" w:sz="4" w:space="0" w:color="auto"/>
                </w:tcBorders>
                <w:vAlign w:val="center"/>
              </w:tcPr>
              <w:p w14:paraId="7658B304" w14:textId="77777777" w:rsidR="002D0AE7" w:rsidRDefault="00333EBB">
                <w:pPr>
                  <w:jc w:val="right"/>
                  <w:rPr>
                    <w:rFonts w:ascii="Times New Roman" w:hAnsi="Times New Roman" w:cs="Times New Roman"/>
                    <w:sz w:val="21"/>
                  </w:rPr>
                </w:pPr>
                <w:r>
                  <w:rPr>
                    <w:rFonts w:ascii="Times New Roman" w:hAnsi="Times New Roman" w:cs="Times New Roman"/>
                    <w:color w:val="000000"/>
                    <w:sz w:val="21"/>
                  </w:rPr>
                  <w:t>58,986.24</w:t>
                </w:r>
              </w:p>
            </w:tc>
          </w:tr>
          <w:tr w:rsidR="002D0AE7" w14:paraId="437C7BC2" w14:textId="77777777">
            <w:trPr>
              <w:trHeight w:val="270"/>
              <w:jc w:val="center"/>
            </w:trPr>
            <w:tc>
              <w:tcPr>
                <w:tcW w:w="1985" w:type="dxa"/>
                <w:tcBorders>
                  <w:top w:val="single" w:sz="4" w:space="0" w:color="auto"/>
                  <w:left w:val="single" w:sz="4" w:space="0" w:color="auto"/>
                  <w:bottom w:val="single" w:sz="4" w:space="0" w:color="auto"/>
                  <w:right w:val="single" w:sz="4" w:space="0" w:color="auto"/>
                </w:tcBorders>
                <w:vAlign w:val="center"/>
              </w:tcPr>
              <w:p w14:paraId="6619FB7D"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净资产</w:t>
                </w:r>
              </w:p>
            </w:tc>
            <w:tc>
              <w:tcPr>
                <w:tcW w:w="8066" w:type="dxa"/>
                <w:tcBorders>
                  <w:top w:val="single" w:sz="4" w:space="0" w:color="auto"/>
                  <w:left w:val="single" w:sz="4" w:space="0" w:color="auto"/>
                  <w:bottom w:val="single" w:sz="4" w:space="0" w:color="auto"/>
                  <w:right w:val="single" w:sz="4" w:space="0" w:color="auto"/>
                </w:tcBorders>
                <w:vAlign w:val="center"/>
              </w:tcPr>
              <w:p w14:paraId="0DD1C4ED" w14:textId="77777777" w:rsidR="002D0AE7" w:rsidRDefault="00333EBB">
                <w:pPr>
                  <w:jc w:val="right"/>
                  <w:rPr>
                    <w:rFonts w:ascii="Times New Roman" w:hAnsi="Times New Roman" w:cs="Times New Roman"/>
                    <w:sz w:val="21"/>
                  </w:rPr>
                </w:pPr>
                <w:r>
                  <w:rPr>
                    <w:rFonts w:ascii="Times New Roman" w:hAnsi="Times New Roman" w:cs="Times New Roman"/>
                    <w:color w:val="000000"/>
                    <w:sz w:val="21"/>
                  </w:rPr>
                  <w:t>25,883.44</w:t>
                </w:r>
              </w:p>
            </w:tc>
          </w:tr>
          <w:tr w:rsidR="002D0AE7" w14:paraId="3232D945" w14:textId="77777777">
            <w:trPr>
              <w:trHeight w:val="270"/>
              <w:jc w:val="center"/>
            </w:trPr>
            <w:tc>
              <w:tcPr>
                <w:tcW w:w="1985" w:type="dxa"/>
                <w:tcBorders>
                  <w:top w:val="single" w:sz="4" w:space="0" w:color="auto"/>
                  <w:left w:val="single" w:sz="4" w:space="0" w:color="auto"/>
                  <w:bottom w:val="single" w:sz="4" w:space="0" w:color="auto"/>
                  <w:right w:val="single" w:sz="4" w:space="0" w:color="auto"/>
                </w:tcBorders>
                <w:vAlign w:val="center"/>
              </w:tcPr>
              <w:p w14:paraId="19A49C24"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净利润</w:t>
                </w:r>
              </w:p>
            </w:tc>
            <w:tc>
              <w:tcPr>
                <w:tcW w:w="8066" w:type="dxa"/>
                <w:tcBorders>
                  <w:top w:val="single" w:sz="4" w:space="0" w:color="auto"/>
                  <w:left w:val="single" w:sz="4" w:space="0" w:color="auto"/>
                  <w:bottom w:val="single" w:sz="4" w:space="0" w:color="auto"/>
                  <w:right w:val="single" w:sz="4" w:space="0" w:color="auto"/>
                </w:tcBorders>
                <w:vAlign w:val="center"/>
              </w:tcPr>
              <w:p w14:paraId="5B06E2AC" w14:textId="77777777" w:rsidR="002D0AE7" w:rsidRDefault="00333EBB">
                <w:pPr>
                  <w:jc w:val="right"/>
                  <w:rPr>
                    <w:rFonts w:ascii="Times New Roman" w:hAnsi="Times New Roman" w:cs="Times New Roman"/>
                    <w:sz w:val="21"/>
                  </w:rPr>
                </w:pPr>
                <w:r>
                  <w:rPr>
                    <w:rFonts w:ascii="Times New Roman" w:hAnsi="Times New Roman" w:cs="Times New Roman"/>
                    <w:color w:val="000000"/>
                    <w:sz w:val="21"/>
                  </w:rPr>
                  <w:t>3,033.15</w:t>
                </w:r>
              </w:p>
            </w:tc>
          </w:tr>
          <w:tr w:rsidR="002D0AE7" w14:paraId="3B421AF7" w14:textId="77777777">
            <w:trPr>
              <w:trHeight w:val="270"/>
              <w:jc w:val="center"/>
            </w:trPr>
            <w:tc>
              <w:tcPr>
                <w:tcW w:w="1985" w:type="dxa"/>
                <w:tcBorders>
                  <w:top w:val="single" w:sz="4" w:space="0" w:color="auto"/>
                  <w:left w:val="single" w:sz="4" w:space="0" w:color="auto"/>
                  <w:bottom w:val="single" w:sz="4" w:space="0" w:color="auto"/>
                  <w:right w:val="single" w:sz="4" w:space="0" w:color="auto"/>
                </w:tcBorders>
                <w:vAlign w:val="center"/>
              </w:tcPr>
              <w:p w14:paraId="63C5FE69"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股权结构</w:t>
                </w:r>
              </w:p>
            </w:tc>
            <w:tc>
              <w:tcPr>
                <w:tcW w:w="8066" w:type="dxa"/>
                <w:tcBorders>
                  <w:top w:val="single" w:sz="4" w:space="0" w:color="auto"/>
                  <w:left w:val="single" w:sz="4" w:space="0" w:color="auto"/>
                  <w:bottom w:val="single" w:sz="4" w:space="0" w:color="auto"/>
                  <w:right w:val="single" w:sz="4" w:space="0" w:color="auto"/>
                </w:tcBorders>
                <w:vAlign w:val="center"/>
              </w:tcPr>
              <w:p w14:paraId="3DBDF3E3" w14:textId="77777777" w:rsidR="002D0AE7" w:rsidRDefault="00333EBB">
                <w:pPr>
                  <w:rPr>
                    <w:rFonts w:ascii="Times New Roman" w:hAnsi="Times New Roman" w:cs="Times New Roman"/>
                    <w:sz w:val="21"/>
                  </w:rPr>
                </w:pPr>
                <w:r>
                  <w:rPr>
                    <w:rFonts w:ascii="Times New Roman" w:hAnsi="Times New Roman" w:cs="Times New Roman" w:hint="eastAsia"/>
                    <w:sz w:val="21"/>
                  </w:rPr>
                  <w:t>公司持有其</w:t>
                </w:r>
                <w:r>
                  <w:rPr>
                    <w:rFonts w:ascii="Times New Roman" w:hAnsi="Times New Roman" w:cs="Times New Roman"/>
                    <w:sz w:val="21"/>
                  </w:rPr>
                  <w:t>51%</w:t>
                </w:r>
                <w:r>
                  <w:rPr>
                    <w:rFonts w:ascii="Times New Roman" w:hAnsi="Times New Roman" w:cs="Times New Roman" w:hint="eastAsia"/>
                    <w:sz w:val="21"/>
                  </w:rPr>
                  <w:t>股权，蔡桂生等自然人持有其</w:t>
                </w:r>
                <w:r>
                  <w:rPr>
                    <w:rFonts w:ascii="Times New Roman" w:hAnsi="Times New Roman" w:cs="Times New Roman"/>
                    <w:sz w:val="21"/>
                  </w:rPr>
                  <w:t>49%</w:t>
                </w:r>
                <w:r>
                  <w:rPr>
                    <w:rFonts w:ascii="Times New Roman" w:hAnsi="Times New Roman" w:cs="Times New Roman" w:hint="eastAsia"/>
                    <w:sz w:val="21"/>
                  </w:rPr>
                  <w:t>股权。</w:t>
                </w:r>
              </w:p>
            </w:tc>
          </w:tr>
          <w:tr w:rsidR="002D0AE7" w14:paraId="4BC3AA37" w14:textId="77777777">
            <w:trPr>
              <w:trHeight w:val="415"/>
              <w:jc w:val="center"/>
            </w:trPr>
            <w:tc>
              <w:tcPr>
                <w:tcW w:w="1985" w:type="dxa"/>
                <w:tcBorders>
                  <w:top w:val="single" w:sz="4" w:space="0" w:color="auto"/>
                  <w:left w:val="single" w:sz="4" w:space="0" w:color="auto"/>
                  <w:bottom w:val="single" w:sz="4" w:space="0" w:color="auto"/>
                  <w:right w:val="single" w:sz="4" w:space="0" w:color="auto"/>
                </w:tcBorders>
                <w:vAlign w:val="center"/>
              </w:tcPr>
              <w:p w14:paraId="721144DA"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经营范围</w:t>
                </w:r>
              </w:p>
            </w:tc>
            <w:tc>
              <w:tcPr>
                <w:tcW w:w="8066" w:type="dxa"/>
                <w:tcBorders>
                  <w:top w:val="single" w:sz="4" w:space="0" w:color="auto"/>
                  <w:left w:val="single" w:sz="4" w:space="0" w:color="auto"/>
                  <w:bottom w:val="single" w:sz="4" w:space="0" w:color="auto"/>
                  <w:right w:val="single" w:sz="4" w:space="0" w:color="auto"/>
                </w:tcBorders>
              </w:tcPr>
              <w:p w14:paraId="1B8B5835" w14:textId="77777777" w:rsidR="002D0AE7" w:rsidRDefault="00333EBB">
                <w:pPr>
                  <w:rPr>
                    <w:rFonts w:ascii="Times New Roman" w:hAnsi="Times New Roman" w:cs="Times New Roman"/>
                    <w:sz w:val="21"/>
                  </w:rPr>
                </w:pPr>
                <w:r>
                  <w:rPr>
                    <w:rFonts w:ascii="Times New Roman" w:hAnsi="Times New Roman" w:cs="Times New Roman" w:hint="eastAsia"/>
                    <w:sz w:val="21"/>
                  </w:rPr>
                  <w:t>许可项目：</w:t>
                </w:r>
                <w:r>
                  <w:rPr>
                    <w:rFonts w:ascii="Times New Roman" w:hAnsi="Times New Roman" w:cs="Times New Roman"/>
                    <w:sz w:val="21"/>
                  </w:rPr>
                  <w:t>药品生产</w:t>
                </w:r>
                <w:r>
                  <w:rPr>
                    <w:rFonts w:ascii="Times New Roman" w:hAnsi="Times New Roman" w:cs="Times New Roman" w:hint="eastAsia"/>
                    <w:sz w:val="21"/>
                  </w:rPr>
                  <w:t>；</w:t>
                </w:r>
                <w:r>
                  <w:rPr>
                    <w:rFonts w:ascii="Times New Roman" w:hAnsi="Times New Roman" w:cs="Times New Roman"/>
                    <w:sz w:val="21"/>
                  </w:rPr>
                  <w:t>药品进出口</w:t>
                </w:r>
                <w:r>
                  <w:rPr>
                    <w:rFonts w:ascii="Times New Roman" w:hAnsi="Times New Roman" w:cs="Times New Roman" w:hint="eastAsia"/>
                    <w:sz w:val="21"/>
                  </w:rPr>
                  <w:t>；</w:t>
                </w:r>
                <w:r>
                  <w:rPr>
                    <w:rFonts w:ascii="Times New Roman" w:hAnsi="Times New Roman" w:cs="Times New Roman"/>
                    <w:sz w:val="21"/>
                  </w:rPr>
                  <w:t>药品互联网信息服务</w:t>
                </w:r>
                <w:r>
                  <w:rPr>
                    <w:rFonts w:ascii="Times New Roman" w:hAnsi="Times New Roman" w:cs="Times New Roman"/>
                    <w:sz w:val="21"/>
                  </w:rPr>
                  <w:t>(</w:t>
                </w:r>
                <w:r>
                  <w:rPr>
                    <w:rFonts w:ascii="Times New Roman" w:hAnsi="Times New Roman" w:cs="Times New Roman"/>
                    <w:sz w:val="21"/>
                  </w:rPr>
                  <w:t>依法须经批准的项目，经相关部门批准后方可开展经营活动</w:t>
                </w:r>
                <w:r>
                  <w:rPr>
                    <w:rFonts w:ascii="Times New Roman" w:hAnsi="Times New Roman" w:cs="Times New Roman" w:hint="eastAsia"/>
                    <w:sz w:val="21"/>
                  </w:rPr>
                  <w:t>，</w:t>
                </w:r>
                <w:r>
                  <w:rPr>
                    <w:rFonts w:ascii="Times New Roman" w:hAnsi="Times New Roman" w:cs="Times New Roman"/>
                    <w:sz w:val="21"/>
                  </w:rPr>
                  <w:t>具体经营项目以相关部门批准文件或许可证件为准</w:t>
                </w:r>
                <w:r>
                  <w:rPr>
                    <w:rFonts w:ascii="Times New Roman" w:hAnsi="Times New Roman" w:cs="Times New Roman"/>
                    <w:sz w:val="21"/>
                  </w:rPr>
                  <w:t>)</w:t>
                </w:r>
                <w:r>
                  <w:rPr>
                    <w:rFonts w:ascii="Times New Roman" w:hAnsi="Times New Roman" w:cs="Times New Roman"/>
                    <w:sz w:val="21"/>
                  </w:rPr>
                  <w:t>一般项目</w:t>
                </w:r>
                <w:r>
                  <w:rPr>
                    <w:rFonts w:ascii="Times New Roman" w:hAnsi="Times New Roman" w:cs="Times New Roman" w:hint="eastAsia"/>
                    <w:sz w:val="21"/>
                  </w:rPr>
                  <w:t>：</w:t>
                </w:r>
                <w:r>
                  <w:rPr>
                    <w:rFonts w:ascii="Times New Roman" w:hAnsi="Times New Roman" w:cs="Times New Roman"/>
                    <w:sz w:val="21"/>
                  </w:rPr>
                  <w:t>药品委托生产</w:t>
                </w:r>
                <w:r>
                  <w:rPr>
                    <w:rFonts w:ascii="Times New Roman" w:hAnsi="Times New Roman" w:cs="Times New Roman" w:hint="eastAsia"/>
                    <w:sz w:val="21"/>
                  </w:rPr>
                  <w:t>；</w:t>
                </w:r>
                <w:r>
                  <w:rPr>
                    <w:rFonts w:ascii="Times New Roman" w:hAnsi="Times New Roman" w:cs="Times New Roman"/>
                    <w:sz w:val="21"/>
                  </w:rPr>
                  <w:t>医用包装材料制造</w:t>
                </w:r>
                <w:r>
                  <w:rPr>
                    <w:rFonts w:ascii="Times New Roman" w:hAnsi="Times New Roman" w:cs="Times New Roman"/>
                    <w:sz w:val="21"/>
                  </w:rPr>
                  <w:t>;</w:t>
                </w:r>
                <w:r>
                  <w:rPr>
                    <w:rFonts w:ascii="Times New Roman" w:hAnsi="Times New Roman" w:cs="Times New Roman"/>
                    <w:sz w:val="21"/>
                  </w:rPr>
                  <w:t>包装材料及制品销售</w:t>
                </w:r>
                <w:r>
                  <w:rPr>
                    <w:rFonts w:ascii="Times New Roman" w:hAnsi="Times New Roman" w:cs="Times New Roman" w:hint="eastAsia"/>
                    <w:sz w:val="21"/>
                  </w:rPr>
                  <w:t>；</w:t>
                </w:r>
                <w:r>
                  <w:rPr>
                    <w:rFonts w:ascii="Times New Roman" w:hAnsi="Times New Roman" w:cs="Times New Roman"/>
                    <w:sz w:val="21"/>
                  </w:rPr>
                  <w:t>非居住房地产租赁</w:t>
                </w:r>
                <w:r>
                  <w:rPr>
                    <w:rFonts w:ascii="Times New Roman" w:hAnsi="Times New Roman" w:cs="Times New Roman" w:hint="eastAsia"/>
                    <w:sz w:val="21"/>
                  </w:rPr>
                  <w:t>；</w:t>
                </w:r>
                <w:r>
                  <w:rPr>
                    <w:rFonts w:ascii="Times New Roman" w:hAnsi="Times New Roman" w:cs="Times New Roman"/>
                    <w:sz w:val="21"/>
                  </w:rPr>
                  <w:t>劳务服务</w:t>
                </w:r>
                <w:r>
                  <w:rPr>
                    <w:rFonts w:ascii="Times New Roman" w:hAnsi="Times New Roman" w:cs="Times New Roman"/>
                    <w:sz w:val="21"/>
                  </w:rPr>
                  <w:t>(</w:t>
                </w:r>
                <w:r>
                  <w:rPr>
                    <w:rFonts w:ascii="Times New Roman" w:hAnsi="Times New Roman" w:cs="Times New Roman"/>
                    <w:sz w:val="21"/>
                  </w:rPr>
                  <w:t>不含劳务派遣</w:t>
                </w:r>
                <w:r>
                  <w:rPr>
                    <w:rFonts w:ascii="Times New Roman" w:hAnsi="Times New Roman" w:cs="Times New Roman"/>
                    <w:sz w:val="21"/>
                  </w:rPr>
                  <w:t>)</w:t>
                </w:r>
                <w:r>
                  <w:rPr>
                    <w:rFonts w:ascii="Times New Roman" w:hAnsi="Times New Roman" w:cs="Times New Roman" w:hint="eastAsia"/>
                    <w:sz w:val="21"/>
                  </w:rPr>
                  <w:t>；</w:t>
                </w:r>
                <w:r>
                  <w:rPr>
                    <w:rFonts w:ascii="Times New Roman" w:hAnsi="Times New Roman" w:cs="Times New Roman"/>
                    <w:sz w:val="21"/>
                  </w:rPr>
                  <w:t>技术服务、技术开发、技术咨询、技术交流、技术转让、技术推广</w:t>
                </w:r>
                <w:r>
                  <w:rPr>
                    <w:rFonts w:ascii="Times New Roman" w:hAnsi="Times New Roman" w:cs="Times New Roman"/>
                    <w:sz w:val="21"/>
                  </w:rPr>
                  <w:t>(</w:t>
                </w:r>
                <w:r>
                  <w:rPr>
                    <w:rFonts w:ascii="Times New Roman" w:hAnsi="Times New Roman" w:cs="Times New Roman"/>
                    <w:sz w:val="21"/>
                  </w:rPr>
                  <w:t>除许可业务外</w:t>
                </w:r>
                <w:r>
                  <w:rPr>
                    <w:rFonts w:ascii="Times New Roman" w:hAnsi="Times New Roman" w:cs="Times New Roman" w:hint="eastAsia"/>
                    <w:sz w:val="21"/>
                  </w:rPr>
                  <w:t>，</w:t>
                </w:r>
                <w:r>
                  <w:rPr>
                    <w:rFonts w:ascii="Times New Roman" w:hAnsi="Times New Roman" w:cs="Times New Roman"/>
                    <w:sz w:val="21"/>
                  </w:rPr>
                  <w:t>可自主依法经营法律法规非禁止或限制的项目</w:t>
                </w:r>
                <w:r>
                  <w:rPr>
                    <w:rFonts w:ascii="Times New Roman" w:hAnsi="Times New Roman" w:cs="Times New Roman"/>
                    <w:sz w:val="21"/>
                  </w:rPr>
                  <w:t>)</w:t>
                </w:r>
              </w:p>
            </w:tc>
          </w:tr>
          <w:tr w:rsidR="002D0AE7" w14:paraId="673AC7C0" w14:textId="77777777">
            <w:trPr>
              <w:trHeight w:val="389"/>
              <w:jc w:val="center"/>
            </w:trPr>
            <w:tc>
              <w:tcPr>
                <w:tcW w:w="1985" w:type="dxa"/>
                <w:tcBorders>
                  <w:top w:val="single" w:sz="4" w:space="0" w:color="auto"/>
                  <w:left w:val="single" w:sz="4" w:space="0" w:color="000000"/>
                  <w:bottom w:val="single" w:sz="4" w:space="0" w:color="000000"/>
                  <w:right w:val="single" w:sz="4" w:space="0" w:color="000000"/>
                </w:tcBorders>
                <w:vAlign w:val="center"/>
              </w:tcPr>
              <w:p w14:paraId="2C65EC54"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主要产品或服务</w:t>
                </w:r>
              </w:p>
            </w:tc>
            <w:tc>
              <w:tcPr>
                <w:tcW w:w="8066" w:type="dxa"/>
                <w:tcBorders>
                  <w:top w:val="single" w:sz="4" w:space="0" w:color="auto"/>
                  <w:left w:val="nil"/>
                  <w:bottom w:val="single" w:sz="4" w:space="0" w:color="000000"/>
                  <w:right w:val="single" w:sz="4" w:space="0" w:color="000000"/>
                </w:tcBorders>
                <w:vAlign w:val="center"/>
              </w:tcPr>
              <w:p w14:paraId="5D281F04" w14:textId="77777777" w:rsidR="002D0AE7" w:rsidRDefault="00333EBB">
                <w:pPr>
                  <w:rPr>
                    <w:rFonts w:ascii="Times New Roman" w:hAnsi="Times New Roman"/>
                    <w:sz w:val="21"/>
                  </w:rPr>
                </w:pPr>
                <w:r>
                  <w:rPr>
                    <w:rFonts w:ascii="Times New Roman" w:hAnsi="Times New Roman" w:cs="Times New Roman" w:hint="eastAsia"/>
                    <w:sz w:val="21"/>
                  </w:rPr>
                  <w:t>湖北津药从事</w:t>
                </w:r>
                <w:r>
                  <w:rPr>
                    <w:rFonts w:ascii="Times New Roman" w:hAnsi="Times New Roman" w:hint="eastAsia"/>
                    <w:sz w:val="21"/>
                  </w:rPr>
                  <w:t>注射剂的生产、销售。</w:t>
                </w:r>
              </w:p>
            </w:tc>
          </w:tr>
        </w:tbl>
        <w:p w14:paraId="550DEEC9" w14:textId="77777777" w:rsidR="002D0AE7" w:rsidRDefault="00333EBB">
          <w:pPr>
            <w:rPr>
              <w:rFonts w:hint="eastAsia"/>
              <w:b/>
            </w:rPr>
          </w:pPr>
          <w:r>
            <w:rPr>
              <w:rFonts w:hint="eastAsia"/>
              <w:b/>
            </w:rPr>
            <w:t>1</w:t>
          </w:r>
          <w:r>
            <w:rPr>
              <w:b/>
            </w:rPr>
            <w:t>0</w:t>
          </w:r>
          <w:r>
            <w:rPr>
              <w:rFonts w:hint="eastAsia"/>
              <w:b/>
            </w:rPr>
            <w:t>.</w:t>
          </w:r>
          <w:r>
            <w:rPr>
              <w:rFonts w:hint="eastAsia"/>
              <w:b/>
            </w:rPr>
            <w:t>湖北天药医药有限公司</w:t>
          </w:r>
        </w:p>
        <w:p w14:paraId="128E6D4A" w14:textId="77777777" w:rsidR="002D0AE7" w:rsidRDefault="00333EBB">
          <w:pPr>
            <w:jc w:val="right"/>
            <w:rPr>
              <w:rFonts w:ascii="Times New Roman" w:hAnsi="Times New Roman" w:cs="Times New Roman"/>
              <w:sz w:val="21"/>
            </w:rPr>
          </w:pPr>
          <w:r>
            <w:rPr>
              <w:rFonts w:ascii="Times New Roman" w:hAnsi="Times New Roman" w:cs="Times New Roman" w:hint="eastAsia"/>
              <w:sz w:val="21"/>
            </w:rPr>
            <w:t>单位：万元</w:t>
          </w:r>
        </w:p>
        <w:tbl>
          <w:tblPr>
            <w:tblW w:w="10051" w:type="dxa"/>
            <w:jc w:val="center"/>
            <w:tblLook w:val="04A0" w:firstRow="1" w:lastRow="0" w:firstColumn="1" w:lastColumn="0" w:noHBand="0" w:noVBand="1"/>
          </w:tblPr>
          <w:tblGrid>
            <w:gridCol w:w="1985"/>
            <w:gridCol w:w="8066"/>
          </w:tblGrid>
          <w:tr w:rsidR="002D0AE7" w14:paraId="63A2B1A3" w14:textId="77777777">
            <w:trPr>
              <w:trHeight w:val="270"/>
              <w:jc w:val="center"/>
            </w:trPr>
            <w:tc>
              <w:tcPr>
                <w:tcW w:w="1985" w:type="dxa"/>
                <w:tcBorders>
                  <w:top w:val="single" w:sz="4" w:space="0" w:color="auto"/>
                  <w:left w:val="single" w:sz="4" w:space="0" w:color="auto"/>
                  <w:bottom w:val="single" w:sz="4" w:space="0" w:color="auto"/>
                  <w:right w:val="single" w:sz="4" w:space="0" w:color="auto"/>
                </w:tcBorders>
                <w:vAlign w:val="center"/>
              </w:tcPr>
              <w:p w14:paraId="7D03624E"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注册资本</w:t>
                </w:r>
              </w:p>
            </w:tc>
            <w:tc>
              <w:tcPr>
                <w:tcW w:w="8066" w:type="dxa"/>
                <w:tcBorders>
                  <w:top w:val="single" w:sz="4" w:space="0" w:color="auto"/>
                  <w:left w:val="single" w:sz="4" w:space="0" w:color="auto"/>
                  <w:bottom w:val="single" w:sz="4" w:space="0" w:color="auto"/>
                  <w:right w:val="single" w:sz="4" w:space="0" w:color="auto"/>
                </w:tcBorders>
                <w:vAlign w:val="center"/>
              </w:tcPr>
              <w:p w14:paraId="05DF53E8" w14:textId="77777777" w:rsidR="002D0AE7" w:rsidRDefault="00333EBB">
                <w:pPr>
                  <w:jc w:val="right"/>
                  <w:rPr>
                    <w:rFonts w:ascii="Times New Roman" w:hAnsi="Times New Roman" w:cs="Times New Roman"/>
                    <w:sz w:val="21"/>
                  </w:rPr>
                </w:pPr>
                <w:r>
                  <w:rPr>
                    <w:rFonts w:ascii="Times New Roman" w:hAnsi="Times New Roman" w:cs="Times New Roman" w:hint="eastAsia"/>
                    <w:sz w:val="21"/>
                    <w:szCs w:val="18"/>
                  </w:rPr>
                  <w:t>615.00</w:t>
                </w:r>
              </w:p>
            </w:tc>
          </w:tr>
          <w:tr w:rsidR="002D0AE7" w14:paraId="0566D891" w14:textId="77777777">
            <w:trPr>
              <w:trHeight w:val="270"/>
              <w:jc w:val="center"/>
            </w:trPr>
            <w:tc>
              <w:tcPr>
                <w:tcW w:w="1985" w:type="dxa"/>
                <w:tcBorders>
                  <w:top w:val="single" w:sz="4" w:space="0" w:color="auto"/>
                  <w:left w:val="single" w:sz="4" w:space="0" w:color="auto"/>
                  <w:bottom w:val="single" w:sz="4" w:space="0" w:color="auto"/>
                  <w:right w:val="single" w:sz="4" w:space="0" w:color="auto"/>
                </w:tcBorders>
                <w:vAlign w:val="center"/>
              </w:tcPr>
              <w:p w14:paraId="7385A98E"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股权结构</w:t>
                </w:r>
              </w:p>
            </w:tc>
            <w:tc>
              <w:tcPr>
                <w:tcW w:w="8066" w:type="dxa"/>
                <w:tcBorders>
                  <w:top w:val="single" w:sz="4" w:space="0" w:color="auto"/>
                  <w:left w:val="single" w:sz="4" w:space="0" w:color="auto"/>
                  <w:bottom w:val="single" w:sz="4" w:space="0" w:color="auto"/>
                  <w:right w:val="single" w:sz="4" w:space="0" w:color="auto"/>
                </w:tcBorders>
                <w:vAlign w:val="center"/>
              </w:tcPr>
              <w:p w14:paraId="69C6A9A4" w14:textId="77777777" w:rsidR="002D0AE7" w:rsidRDefault="00333EBB">
                <w:pPr>
                  <w:rPr>
                    <w:rFonts w:ascii="Times New Roman" w:hAnsi="Times New Roman" w:cs="Times New Roman"/>
                    <w:sz w:val="21"/>
                  </w:rPr>
                </w:pPr>
                <w:r>
                  <w:rPr>
                    <w:rFonts w:ascii="Times New Roman" w:hAnsi="Times New Roman" w:cs="Times New Roman" w:hint="eastAsia"/>
                    <w:sz w:val="21"/>
                  </w:rPr>
                  <w:t>湖北津药持有其</w:t>
                </w:r>
                <w:r>
                  <w:rPr>
                    <w:rFonts w:ascii="Times New Roman" w:hAnsi="Times New Roman" w:cs="Times New Roman"/>
                    <w:sz w:val="21"/>
                  </w:rPr>
                  <w:t>100%</w:t>
                </w:r>
                <w:r>
                  <w:rPr>
                    <w:rFonts w:ascii="Times New Roman" w:hAnsi="Times New Roman" w:cs="Times New Roman" w:hint="eastAsia"/>
                    <w:sz w:val="21"/>
                  </w:rPr>
                  <w:t>股权</w:t>
                </w:r>
              </w:p>
            </w:tc>
          </w:tr>
          <w:tr w:rsidR="002D0AE7" w14:paraId="4635A051" w14:textId="77777777">
            <w:trPr>
              <w:trHeight w:val="415"/>
              <w:jc w:val="center"/>
            </w:trPr>
            <w:tc>
              <w:tcPr>
                <w:tcW w:w="1985" w:type="dxa"/>
                <w:tcBorders>
                  <w:top w:val="single" w:sz="4" w:space="0" w:color="auto"/>
                  <w:left w:val="single" w:sz="4" w:space="0" w:color="auto"/>
                  <w:bottom w:val="single" w:sz="4" w:space="0" w:color="auto"/>
                  <w:right w:val="single" w:sz="4" w:space="0" w:color="auto"/>
                </w:tcBorders>
                <w:vAlign w:val="center"/>
              </w:tcPr>
              <w:p w14:paraId="558ED9F0"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经营范围</w:t>
                </w:r>
              </w:p>
            </w:tc>
            <w:tc>
              <w:tcPr>
                <w:tcW w:w="8066" w:type="dxa"/>
                <w:tcBorders>
                  <w:top w:val="single" w:sz="4" w:space="0" w:color="auto"/>
                  <w:left w:val="single" w:sz="4" w:space="0" w:color="auto"/>
                  <w:bottom w:val="single" w:sz="4" w:space="0" w:color="auto"/>
                  <w:right w:val="single" w:sz="4" w:space="0" w:color="auto"/>
                </w:tcBorders>
              </w:tcPr>
              <w:p w14:paraId="644BACEB" w14:textId="77777777" w:rsidR="002D0AE7" w:rsidRDefault="00333EBB">
                <w:pPr>
                  <w:rPr>
                    <w:rFonts w:ascii="Times New Roman" w:hAnsi="Times New Roman" w:cs="Times New Roman"/>
                    <w:sz w:val="21"/>
                  </w:rPr>
                </w:pPr>
                <w:r>
                  <w:rPr>
                    <w:rFonts w:ascii="Times New Roman" w:hAnsi="Times New Roman" w:cs="Times New Roman" w:hint="eastAsia"/>
                    <w:sz w:val="21"/>
                  </w:rPr>
                  <w:t>许可项目：药品批发，药品进出口，药品互联网信息服务。（依法须经批准的项目，经相关部门批准后方可开展经营活动，具体经营项目以相关部门批准文件或许可证件为准）一般项目：包装材料及制品销售，非居住房地产租赁，货物进出口，技术进出口，技术服务、技术开发、技术咨询、技术交流、技术转让、技术推广，信息咨询服务（不含许可类信息咨询服务）。（除许可业务外，可自主依法经营法律法规非禁止或限制的项目）</w:t>
                </w:r>
              </w:p>
            </w:tc>
          </w:tr>
          <w:tr w:rsidR="002D0AE7" w14:paraId="4011115C" w14:textId="77777777">
            <w:trPr>
              <w:trHeight w:val="389"/>
              <w:jc w:val="center"/>
            </w:trPr>
            <w:tc>
              <w:tcPr>
                <w:tcW w:w="1985" w:type="dxa"/>
                <w:tcBorders>
                  <w:top w:val="single" w:sz="4" w:space="0" w:color="auto"/>
                  <w:left w:val="single" w:sz="4" w:space="0" w:color="000000"/>
                  <w:bottom w:val="single" w:sz="4" w:space="0" w:color="000000"/>
                  <w:right w:val="single" w:sz="4" w:space="0" w:color="000000"/>
                </w:tcBorders>
                <w:vAlign w:val="center"/>
              </w:tcPr>
              <w:p w14:paraId="12542150" w14:textId="77777777" w:rsidR="002D0AE7" w:rsidRDefault="00333EBB">
                <w:pPr>
                  <w:jc w:val="center"/>
                  <w:rPr>
                    <w:rFonts w:ascii="Times New Roman" w:hAnsi="Times New Roman" w:cs="Times New Roman"/>
                    <w:sz w:val="21"/>
                  </w:rPr>
                </w:pPr>
                <w:r>
                  <w:rPr>
                    <w:rFonts w:ascii="Times New Roman" w:hAnsi="Times New Roman" w:cs="Times New Roman" w:hint="eastAsia"/>
                    <w:sz w:val="21"/>
                  </w:rPr>
                  <w:t>主要产品或服务</w:t>
                </w:r>
              </w:p>
            </w:tc>
            <w:tc>
              <w:tcPr>
                <w:tcW w:w="8066" w:type="dxa"/>
                <w:tcBorders>
                  <w:top w:val="single" w:sz="4" w:space="0" w:color="auto"/>
                  <w:left w:val="nil"/>
                  <w:bottom w:val="single" w:sz="4" w:space="0" w:color="000000"/>
                  <w:right w:val="single" w:sz="4" w:space="0" w:color="000000"/>
                </w:tcBorders>
                <w:vAlign w:val="center"/>
              </w:tcPr>
              <w:p w14:paraId="408EC464" w14:textId="77777777" w:rsidR="002D0AE7" w:rsidRDefault="00333EBB">
                <w:pPr>
                  <w:rPr>
                    <w:rFonts w:ascii="Times New Roman" w:hAnsi="Times New Roman" w:cs="Times New Roman"/>
                    <w:sz w:val="21"/>
                  </w:rPr>
                </w:pPr>
                <w:r>
                  <w:rPr>
                    <w:rFonts w:ascii="Times New Roman" w:hAnsi="Times New Roman" w:cs="Times New Roman" w:hint="eastAsia"/>
                    <w:sz w:val="21"/>
                  </w:rPr>
                  <w:t>主要从事制剂产品的销售及出口业务。</w:t>
                </w:r>
              </w:p>
            </w:tc>
          </w:tr>
        </w:tbl>
        <w:p w14:paraId="69D3D8E0" w14:textId="77777777" w:rsidR="002D0AE7" w:rsidRDefault="00333EBB">
          <w:pPr>
            <w:rPr>
              <w:rFonts w:hint="eastAsia"/>
              <w:color w:val="000000" w:themeColor="text1"/>
              <w:sz w:val="21"/>
            </w:rPr>
          </w:pPr>
          <w:r>
            <w:rPr>
              <w:rFonts w:hint="eastAsia"/>
              <w:sz w:val="21"/>
            </w:rPr>
            <w:lastRenderedPageBreak/>
            <w:t>注：由于湖北天药医药有限公司由湖北津药</w:t>
          </w:r>
          <w:r>
            <w:rPr>
              <w:sz w:val="21"/>
            </w:rPr>
            <w:t>100%</w:t>
          </w:r>
          <w:r>
            <w:rPr>
              <w:sz w:val="21"/>
            </w:rPr>
            <w:t>控股，故</w:t>
          </w:r>
          <w:r>
            <w:rPr>
              <w:rFonts w:hint="eastAsia"/>
              <w:sz w:val="21"/>
            </w:rPr>
            <w:t>湖北天药医药有限公司</w:t>
          </w:r>
          <w:r>
            <w:rPr>
              <w:sz w:val="21"/>
            </w:rPr>
            <w:t>的财务数据在</w:t>
          </w:r>
          <w:r>
            <w:rPr>
              <w:rFonts w:hint="eastAsia"/>
              <w:sz w:val="21"/>
            </w:rPr>
            <w:t>湖北津药</w:t>
          </w:r>
          <w:r>
            <w:rPr>
              <w:sz w:val="21"/>
            </w:rPr>
            <w:t>报表中体现。</w:t>
          </w:r>
        </w:p>
      </w:sdtContent>
    </w:sdt>
    <w:p w14:paraId="7F33FD23" w14:textId="77777777" w:rsidR="002D0AE7" w:rsidRDefault="00333EBB">
      <w:pPr>
        <w:pStyle w:val="3"/>
        <w:numPr>
          <w:ilvl w:val="0"/>
          <w:numId w:val="6"/>
        </w:numPr>
        <w:rPr>
          <w:rFonts w:ascii="宋体" w:hAnsi="宋体" w:hint="eastAsia"/>
          <w:color w:val="000000" w:themeColor="text1"/>
        </w:rPr>
      </w:pPr>
      <w:r>
        <w:rPr>
          <w:rFonts w:ascii="宋体" w:hAnsi="宋体"/>
          <w:color w:val="000000" w:themeColor="text1"/>
        </w:rPr>
        <w:t>公司控制的结构化主体情况</w:t>
      </w:r>
    </w:p>
    <w:sdt>
      <w:sdtPr>
        <w:rPr>
          <w:rFonts w:hint="eastAsia"/>
          <w:color w:val="000000" w:themeColor="text1"/>
        </w:rPr>
        <w:alias w:val="是否适用：公司控制的结构化主体情况[双击切换]"/>
        <w:tag w:val="_GBC_6dee8f13bc9a4596ad3e5af6f90f0b8b"/>
        <w:id w:val="526147479"/>
        <w:placeholder>
          <w:docPart w:val="GBC22222222222222222222222222222"/>
        </w:placeholder>
      </w:sdtPr>
      <w:sdtEndPr/>
      <w:sdtContent>
        <w:p w14:paraId="088319E9"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2885AC3B" w14:textId="77777777" w:rsidR="002D0AE7" w:rsidRDefault="00333EBB">
      <w:pPr>
        <w:pStyle w:val="2"/>
        <w:numPr>
          <w:ilvl w:val="0"/>
          <w:numId w:val="5"/>
        </w:numPr>
        <w:tabs>
          <w:tab w:val="left" w:pos="426"/>
        </w:tabs>
        <w:ind w:left="482" w:hanging="482"/>
        <w:jc w:val="left"/>
        <w:rPr>
          <w:rFonts w:ascii="宋体" w:hAnsi="宋体" w:cs="宋体" w:hint="eastAsia"/>
          <w:color w:val="000000" w:themeColor="text1"/>
          <w:kern w:val="0"/>
        </w:rPr>
      </w:pPr>
      <w:r>
        <w:rPr>
          <w:rFonts w:ascii="宋体" w:hAnsi="宋体" w:cs="宋体" w:hint="eastAsia"/>
          <w:color w:val="000000" w:themeColor="text1"/>
          <w:kern w:val="0"/>
        </w:rPr>
        <w:t>其他披露事项</w:t>
      </w:r>
    </w:p>
    <w:p w14:paraId="2B2D09D5" w14:textId="77777777" w:rsidR="002D0AE7" w:rsidRDefault="00333EBB">
      <w:pPr>
        <w:pStyle w:val="3"/>
        <w:numPr>
          <w:ilvl w:val="0"/>
          <w:numId w:val="11"/>
        </w:numPr>
        <w:rPr>
          <w:rFonts w:ascii="宋体" w:hAnsi="宋体" w:hint="eastAsia"/>
          <w:color w:val="000000" w:themeColor="text1"/>
        </w:rPr>
      </w:pPr>
      <w:r>
        <w:rPr>
          <w:rFonts w:ascii="宋体" w:hAnsi="宋体"/>
          <w:color w:val="000000" w:themeColor="text1"/>
        </w:rPr>
        <w:t>可能面对的风险</w:t>
      </w:r>
    </w:p>
    <w:sdt>
      <w:sdtPr>
        <w:rPr>
          <w:rFonts w:hint="eastAsia"/>
          <w:color w:val="000000" w:themeColor="text1"/>
        </w:rPr>
        <w:alias w:val="是否适用：可能面对的风险[双击切换]"/>
        <w:tag w:val="_GBC_2a971d8ab5884d3eb5547ede4e1e17c9"/>
        <w:id w:val="44492018"/>
        <w:placeholder>
          <w:docPart w:val="GBC22222222222222222222222222222"/>
        </w:placeholder>
      </w:sdtPr>
      <w:sdtEndPr/>
      <w:sdtContent>
        <w:p w14:paraId="79DF0545"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rFonts w:hint="eastAsia"/>
          <w:color w:val="000000" w:themeColor="text1"/>
        </w:rPr>
        <w:alias w:val="公司可能面对的风险"/>
        <w:tag w:val="_GBC_6e03b01ba4f1453dbc563404b41bfdbc"/>
        <w:id w:val="1935868783"/>
        <w:placeholder>
          <w:docPart w:val="GBC22222222222222222222222222222"/>
        </w:placeholder>
      </w:sdtPr>
      <w:sdtEndPr/>
      <w:sdtContent>
        <w:p w14:paraId="7BDA208C" w14:textId="77777777" w:rsidR="002D0AE7" w:rsidRDefault="00333EBB">
          <w:pPr>
            <w:ind w:firstLineChars="200" w:firstLine="480"/>
            <w:rPr>
              <w:rFonts w:hint="eastAsia"/>
              <w:b/>
              <w:bCs/>
              <w:color w:val="000000" w:themeColor="text1"/>
            </w:rPr>
          </w:pPr>
          <w:r>
            <w:rPr>
              <w:rFonts w:hint="eastAsia"/>
              <w:b/>
              <w:bCs/>
              <w:color w:val="000000" w:themeColor="text1"/>
            </w:rPr>
            <w:t>1.</w:t>
          </w:r>
          <w:r>
            <w:rPr>
              <w:rFonts w:hint="eastAsia"/>
              <w:b/>
              <w:bCs/>
              <w:color w:val="000000" w:themeColor="text1"/>
            </w:rPr>
            <w:t>原材料的风险</w:t>
          </w:r>
        </w:p>
        <w:p w14:paraId="7A1F9E0E" w14:textId="77777777" w:rsidR="002D0AE7" w:rsidRDefault="00333EBB">
          <w:pPr>
            <w:ind w:firstLineChars="200" w:firstLine="480"/>
            <w:rPr>
              <w:rFonts w:hint="eastAsia"/>
              <w:color w:val="000000" w:themeColor="text1"/>
            </w:rPr>
          </w:pPr>
          <w:r>
            <w:rPr>
              <w:rFonts w:hint="eastAsia"/>
              <w:color w:val="000000" w:themeColor="text1"/>
            </w:rPr>
            <w:t>（</w:t>
          </w:r>
          <w:r>
            <w:rPr>
              <w:color w:val="000000" w:themeColor="text1"/>
            </w:rPr>
            <w:t>1</w:t>
          </w:r>
          <w:r>
            <w:rPr>
              <w:color w:val="000000" w:themeColor="text1"/>
            </w:rPr>
            <w:t>）原材料涨价风险：大宗原料及能源类物资价格上涨对公司产品成本产生不利影响，公司将通过招标采购，增加合格供应商，加大对比力度，择优选择高质量供应商降低此类风险。</w:t>
          </w:r>
        </w:p>
        <w:p w14:paraId="29FF8163" w14:textId="77777777" w:rsidR="002D0AE7" w:rsidRDefault="00333EBB">
          <w:pPr>
            <w:ind w:firstLineChars="200" w:firstLine="480"/>
            <w:rPr>
              <w:rFonts w:hint="eastAsia"/>
              <w:color w:val="000000" w:themeColor="text1"/>
            </w:rPr>
          </w:pPr>
          <w:r>
            <w:rPr>
              <w:rFonts w:hint="eastAsia"/>
              <w:color w:val="000000" w:themeColor="text1"/>
            </w:rPr>
            <w:t>（</w:t>
          </w:r>
          <w:r>
            <w:rPr>
              <w:color w:val="000000" w:themeColor="text1"/>
            </w:rPr>
            <w:t>2</w:t>
          </w:r>
          <w:r>
            <w:rPr>
              <w:color w:val="000000" w:themeColor="text1"/>
            </w:rPr>
            <w:t>）原材料断货风险：主要来自受环保、安全、突发事件等不可控因素，造成市场货源紧缺，从而给企业带来断货风险。公司有计划增加紧缺物资合理库存，增加合格供应商数量，以及有意识的分散采购，并随时关注市场动态信息，建立预警机制，应对断货风险。</w:t>
          </w:r>
        </w:p>
        <w:p w14:paraId="4A138802" w14:textId="77777777" w:rsidR="002D0AE7" w:rsidRDefault="00333EBB">
          <w:pPr>
            <w:ind w:firstLineChars="200" w:firstLine="480"/>
            <w:rPr>
              <w:rFonts w:hint="eastAsia"/>
              <w:color w:val="000000" w:themeColor="text1"/>
            </w:rPr>
          </w:pPr>
          <w:r>
            <w:rPr>
              <w:rFonts w:hint="eastAsia"/>
              <w:color w:val="000000" w:themeColor="text1"/>
            </w:rPr>
            <w:t>（</w:t>
          </w:r>
          <w:r>
            <w:rPr>
              <w:color w:val="000000" w:themeColor="text1"/>
            </w:rPr>
            <w:t>3</w:t>
          </w:r>
          <w:r>
            <w:rPr>
              <w:color w:val="000000" w:themeColor="text1"/>
            </w:rPr>
            <w:t>）物流风险：由于地区交通管制、恶劣天气等原因引发的物流运输受阻可能带来物料运输延期和断供的风险，为避免此类事件的发生，公司采取及时了解政策形势，关注天气变化，追踪运输进度等防范措施，降低此类风险。</w:t>
          </w:r>
        </w:p>
        <w:p w14:paraId="6A5594C8" w14:textId="77777777" w:rsidR="002D0AE7" w:rsidRDefault="00333EBB">
          <w:pPr>
            <w:ind w:firstLineChars="200" w:firstLine="480"/>
            <w:rPr>
              <w:rFonts w:hint="eastAsia"/>
              <w:color w:val="000000" w:themeColor="text1"/>
            </w:rPr>
          </w:pPr>
          <w:r>
            <w:rPr>
              <w:rFonts w:hint="eastAsia"/>
              <w:color w:val="000000" w:themeColor="text1"/>
            </w:rPr>
            <w:t>（</w:t>
          </w:r>
          <w:r>
            <w:rPr>
              <w:rFonts w:hint="eastAsia"/>
              <w:color w:val="000000" w:themeColor="text1"/>
            </w:rPr>
            <w:t>4</w:t>
          </w:r>
          <w:r>
            <w:rPr>
              <w:rFonts w:hint="eastAsia"/>
              <w:color w:val="000000" w:themeColor="text1"/>
            </w:rPr>
            <w:t>）库存物资占压风险：从采购</w:t>
          </w:r>
          <w:r>
            <w:rPr>
              <w:color w:val="000000" w:themeColor="text1"/>
            </w:rPr>
            <w:t>-</w:t>
          </w:r>
          <w:r>
            <w:rPr>
              <w:color w:val="000000" w:themeColor="text1"/>
            </w:rPr>
            <w:t>储存</w:t>
          </w:r>
          <w:r>
            <w:rPr>
              <w:color w:val="000000" w:themeColor="text1"/>
            </w:rPr>
            <w:t>-</w:t>
          </w:r>
          <w:r>
            <w:rPr>
              <w:color w:val="000000" w:themeColor="text1"/>
            </w:rPr>
            <w:t>发放</w:t>
          </w:r>
          <w:r>
            <w:rPr>
              <w:color w:val="000000" w:themeColor="text1"/>
            </w:rPr>
            <w:t>-</w:t>
          </w:r>
          <w:r>
            <w:rPr>
              <w:color w:val="000000" w:themeColor="text1"/>
            </w:rPr>
            <w:t>使用各环节加强全程监控，建立停滞物料报警机制，及时发现并解决问题物料，盘活资金，加快企业内部运转速度</w:t>
          </w:r>
          <w:r>
            <w:rPr>
              <w:rFonts w:hint="eastAsia"/>
              <w:color w:val="000000" w:themeColor="text1"/>
            </w:rPr>
            <w:t>。</w:t>
          </w:r>
        </w:p>
        <w:p w14:paraId="7039B79C" w14:textId="77777777" w:rsidR="002D0AE7" w:rsidRDefault="00333EBB">
          <w:pPr>
            <w:ind w:firstLineChars="200" w:firstLine="482"/>
            <w:rPr>
              <w:rFonts w:hint="eastAsia"/>
              <w:b/>
              <w:bCs/>
              <w:color w:val="000000" w:themeColor="text1"/>
            </w:rPr>
          </w:pPr>
          <w:r>
            <w:rPr>
              <w:rFonts w:hint="eastAsia"/>
              <w:b/>
              <w:bCs/>
              <w:color w:val="000000" w:themeColor="text1"/>
            </w:rPr>
            <w:t>2.</w:t>
          </w:r>
          <w:r>
            <w:rPr>
              <w:rFonts w:hint="eastAsia"/>
              <w:b/>
              <w:bCs/>
              <w:color w:val="000000" w:themeColor="text1"/>
            </w:rPr>
            <w:t>技术优势不能继续保持的风险</w:t>
          </w:r>
        </w:p>
        <w:p w14:paraId="7145DEA5" w14:textId="77777777" w:rsidR="002D0AE7" w:rsidRDefault="00333EBB">
          <w:pPr>
            <w:ind w:firstLineChars="200" w:firstLine="480"/>
            <w:rPr>
              <w:rFonts w:hint="eastAsia"/>
              <w:color w:val="000000" w:themeColor="text1"/>
            </w:rPr>
          </w:pPr>
          <w:r>
            <w:rPr>
              <w:rFonts w:hint="eastAsia"/>
              <w:color w:val="000000" w:themeColor="text1"/>
            </w:rPr>
            <w:t>公司在新产品的研发上投入较多，一经获批投入市场，能够有效提高产品销售</w:t>
          </w:r>
          <w:r>
            <w:rPr>
              <w:color w:val="000000" w:themeColor="text1"/>
            </w:rPr>
            <w:t>收入，更好地服务客户。但是，由于新产品、新技术开发周期长、投入大，存在研发失败的风险或投资回报周期长等情形，将会影响公司收益。其次公司甾体激素、氨基酸药物等优势领域产品已进入成熟阶段，如果国内竞争对手在该领域内取得重大技术突破，我司产品可能存在被替代的风险。随着企业发展及当前政策和市场环境变化，公司面临着布局规划挑战、产品迭代挑战、管理体系挑战和组织人才挑战。公司目前的产品结构有待优化，高技术壁垒产品不足，高端技术人才不足，高端复杂制剂的</w:t>
          </w:r>
          <w:r>
            <w:rPr>
              <w:rFonts w:hint="eastAsia"/>
              <w:color w:val="000000" w:themeColor="text1"/>
            </w:rPr>
            <w:t>研发经验不足，科研管理体系有待优化。</w:t>
          </w:r>
        </w:p>
        <w:p w14:paraId="207B4D44" w14:textId="77777777" w:rsidR="002D0AE7" w:rsidRDefault="00333EBB">
          <w:pPr>
            <w:ind w:firstLineChars="200" w:firstLine="480"/>
            <w:rPr>
              <w:rFonts w:hint="eastAsia"/>
              <w:color w:val="000000" w:themeColor="text1"/>
            </w:rPr>
          </w:pPr>
          <w:r>
            <w:rPr>
              <w:rFonts w:hint="eastAsia"/>
              <w:color w:val="000000" w:themeColor="text1"/>
            </w:rPr>
            <w:t>面对上述风险，公司将继续加大技术研发投入，以保持行业内的技术领先地位；加强政策研究和项目风险管理，在项目立项前对研发风险进行充分识别、评估，并有针对性地制定应对策略，进而减小新品研发项目的风险，以提高项目研发的成功率。加强市场与技术洞察、产品及技术管线布局规划，从而优化公司产品结构；从外部引进高技术人才，或通过聘请顾问的方式弥补公司高端人才不足的缺陷，打造高水平的创新人才团队；跟进公司布局领域产品前沿技术，适当增加创新药及首仿难仿药物的开发，逐步打造公司高价值、高技术壁垒品种。进行研发体系变革，优化组织结构，使项目立项环节、开发过程管理环节、产品生命周期管理形成完整的闭环管理，从而加快项目进程，最大限度地减少项目执行过程中出现的风险，增加项目收益。</w:t>
          </w:r>
        </w:p>
        <w:p w14:paraId="354FDDC7" w14:textId="77777777" w:rsidR="002D0AE7" w:rsidRDefault="00333EBB">
          <w:pPr>
            <w:ind w:firstLineChars="200" w:firstLine="482"/>
            <w:rPr>
              <w:rFonts w:hint="eastAsia"/>
              <w:b/>
              <w:bCs/>
              <w:color w:val="000000" w:themeColor="text1"/>
            </w:rPr>
          </w:pPr>
          <w:r>
            <w:rPr>
              <w:rFonts w:hint="eastAsia"/>
              <w:b/>
              <w:bCs/>
              <w:color w:val="000000" w:themeColor="text1"/>
            </w:rPr>
            <w:t>3.</w:t>
          </w:r>
          <w:r>
            <w:rPr>
              <w:rFonts w:hint="eastAsia"/>
              <w:b/>
              <w:bCs/>
              <w:color w:val="000000" w:themeColor="text1"/>
            </w:rPr>
            <w:t>环保的风险</w:t>
          </w:r>
        </w:p>
        <w:p w14:paraId="53FBFE59" w14:textId="77777777" w:rsidR="002D0AE7" w:rsidRDefault="00333EBB">
          <w:pPr>
            <w:ind w:firstLineChars="200" w:firstLine="480"/>
            <w:rPr>
              <w:rFonts w:hint="eastAsia"/>
              <w:color w:val="000000" w:themeColor="text1"/>
            </w:rPr>
          </w:pPr>
          <w:r>
            <w:rPr>
              <w:rFonts w:hint="eastAsia"/>
              <w:color w:val="000000" w:themeColor="text1"/>
            </w:rPr>
            <w:t>公司利用生物发酵和化学合成工艺进行生产，用水量大，使用原辅料成分复杂，生产工程中会产生废水、废气和固体废物。产生的污染物需要合规处理处置，</w:t>
          </w:r>
          <w:r>
            <w:rPr>
              <w:rFonts w:hint="eastAsia"/>
              <w:color w:val="000000" w:themeColor="text1"/>
            </w:rPr>
            <w:lastRenderedPageBreak/>
            <w:t>若处理不当将对环境造成污染，进而引发环保部门的处罚。为满足环保要求，企业需要增加环保设施投入、运行维护费用等，这将增加企业的经营成本。随着国家对环境保护的日益重视，环保法律法规不断修订和完善，企业需时刻关注并适应这些变化，以避免因不了解新法规而违法。随着公众环保意识的提高，企业的环保表现成为公众关注的焦点。一旦发生环保事故，将迅速引发公众舆论的负面评价，损害企业的品牌形象。</w:t>
          </w:r>
        </w:p>
        <w:p w14:paraId="05597B1F" w14:textId="77777777" w:rsidR="002D0AE7" w:rsidRDefault="00333EBB">
          <w:pPr>
            <w:ind w:firstLineChars="200" w:firstLine="480"/>
            <w:rPr>
              <w:rFonts w:hint="eastAsia"/>
              <w:color w:val="000000" w:themeColor="text1"/>
            </w:rPr>
          </w:pPr>
          <w:r>
            <w:rPr>
              <w:rFonts w:hint="eastAsia"/>
              <w:color w:val="000000" w:themeColor="text1"/>
            </w:rPr>
            <w:t>为应对上述风险，公司通过优化工艺、节能降耗，从源头减少污染物的产生；公司对环保方面工作加强监管，定期维护保养各类环境保护设备设施，确保公司各项排放指标达标合规；定期组织相关人员学习环保法律法规，确保企业生产经营活动符合法律要求，以降低环保相关风险。</w:t>
          </w:r>
        </w:p>
        <w:p w14:paraId="54D4FF1F" w14:textId="77777777" w:rsidR="002D0AE7" w:rsidRDefault="00333EBB">
          <w:pPr>
            <w:ind w:firstLineChars="200" w:firstLine="482"/>
            <w:rPr>
              <w:rFonts w:hint="eastAsia"/>
              <w:b/>
              <w:bCs/>
              <w:color w:val="000000" w:themeColor="text1"/>
            </w:rPr>
          </w:pPr>
          <w:r>
            <w:rPr>
              <w:rFonts w:hint="eastAsia"/>
              <w:b/>
              <w:bCs/>
              <w:color w:val="000000" w:themeColor="text1"/>
            </w:rPr>
            <w:t>4.</w:t>
          </w:r>
          <w:r>
            <w:rPr>
              <w:rFonts w:hint="eastAsia"/>
              <w:b/>
              <w:bCs/>
              <w:color w:val="000000" w:themeColor="text1"/>
            </w:rPr>
            <w:t>安全生产的风险</w:t>
          </w:r>
        </w:p>
        <w:p w14:paraId="0A4C1E35" w14:textId="77777777" w:rsidR="002D0AE7" w:rsidRDefault="00333EBB">
          <w:pPr>
            <w:ind w:firstLineChars="200" w:firstLine="480"/>
            <w:rPr>
              <w:rFonts w:hint="eastAsia"/>
              <w:color w:val="000000" w:themeColor="text1"/>
            </w:rPr>
          </w:pPr>
          <w:r>
            <w:rPr>
              <w:rFonts w:hint="eastAsia"/>
              <w:color w:val="000000" w:themeColor="text1"/>
            </w:rPr>
            <w:t>公司原料药生产工艺涵盖化学合成方法，因为工艺需求，生产过程中要使用到多种危险化学品作为原辅料，如甲醇、丙酮、三氯甲烷、乙酸、氢氧化钠等。这些危险化学品原辅料具有易燃、有毒、有刺激、有腐蚀等特性，个别品种活泼性强，如果使用或储存不当，可能造成火灾、爆炸、中毒、窒息、灼伤等安全生产事故。如发生事故，将影响公司生产的连续性，并可能造成重大的经济损失，给公司生产经营带来一定的风险。</w:t>
          </w:r>
        </w:p>
        <w:p w14:paraId="252F97D8" w14:textId="77777777" w:rsidR="002D0AE7" w:rsidRDefault="00333EBB">
          <w:pPr>
            <w:ind w:firstLineChars="200" w:firstLine="480"/>
            <w:rPr>
              <w:rFonts w:hint="eastAsia"/>
              <w:color w:val="000000" w:themeColor="text1"/>
            </w:rPr>
          </w:pPr>
          <w:r>
            <w:rPr>
              <w:rFonts w:hint="eastAsia"/>
              <w:color w:val="000000" w:themeColor="text1"/>
            </w:rPr>
            <w:t>为应对上述风险，公司对多处生产设施进行了自动化升级改造，提升作业现场本质安全；加强双重预防体系建设，组织全员进行风险辨识、分级，制定相应的管控及应急措施，定期开展安全培训、双控提问、应急演练，提高员工的安全风险管控意识及应对各类安全生产风险能力；通过拉网式排查建立问题清单，及时消除安全隐患，推动公司安全管理水平不断提升。通过公司的不断努力，为全体员工营造一个安全、可靠的工作环境。</w:t>
          </w:r>
        </w:p>
        <w:p w14:paraId="2DE102FA" w14:textId="77777777" w:rsidR="002D0AE7" w:rsidRDefault="00333EBB">
          <w:pPr>
            <w:ind w:firstLineChars="200" w:firstLine="482"/>
            <w:rPr>
              <w:rFonts w:hint="eastAsia"/>
              <w:b/>
              <w:bCs/>
              <w:color w:val="000000" w:themeColor="text1"/>
            </w:rPr>
          </w:pPr>
          <w:r>
            <w:rPr>
              <w:rFonts w:hint="eastAsia"/>
              <w:b/>
              <w:bCs/>
              <w:color w:val="000000" w:themeColor="text1"/>
            </w:rPr>
            <w:t>5.</w:t>
          </w:r>
          <w:r>
            <w:rPr>
              <w:rFonts w:hint="eastAsia"/>
              <w:b/>
              <w:bCs/>
              <w:color w:val="000000" w:themeColor="text1"/>
            </w:rPr>
            <w:t>人民币汇率波动的风险</w:t>
          </w:r>
        </w:p>
        <w:p w14:paraId="2C3BEB91" w14:textId="77777777" w:rsidR="002D0AE7" w:rsidRDefault="00333EBB">
          <w:pPr>
            <w:ind w:firstLineChars="150" w:firstLine="360"/>
            <w:rPr>
              <w:rFonts w:hint="eastAsia"/>
            </w:rPr>
          </w:pPr>
          <w:r>
            <w:rPr>
              <w:rFonts w:hint="eastAsia"/>
            </w:rPr>
            <w:t>公司在产品质量管理和海外市场认证等方面具有优势，主要产品的出口份额均处于国内前列，出口目的地包括印度、印度尼西亚、美国、德国、日本、俄罗斯等国家。公司出口销售主要以美元结算，因此人民币对外币，尤其是对美元汇率的波动会对公司的利润产生一定影响。人民币升值会降低公司产品在国际市场上的价格竞争力，将对出口比重较高的公司的生产经营产生一定的影响。</w:t>
          </w:r>
        </w:p>
        <w:p w14:paraId="11C8DCBD" w14:textId="77777777" w:rsidR="002D0AE7" w:rsidRDefault="00333EBB">
          <w:pPr>
            <w:ind w:firstLineChars="200" w:firstLine="480"/>
            <w:rPr>
              <w:rFonts w:hint="eastAsia"/>
              <w:color w:val="000000" w:themeColor="text1"/>
            </w:rPr>
          </w:pPr>
          <w:r>
            <w:rPr>
              <w:rFonts w:hint="eastAsia"/>
            </w:rPr>
            <w:t>面对上述风险，公司加强对汇率的研究分析，实时关注国际市场变化，通过开展外汇衍生品交易业务，充分利用远期结汇的套期保值功能及外汇期权类产品的成本锁定功能，降低汇率波动对公司经营业绩的影响。近年来，公司在海外市场业务拓展的同时，通过以上措施有效降低汇兑损失，发挥了较强的规避汇率风险能力。</w:t>
          </w:r>
        </w:p>
      </w:sdtContent>
    </w:sdt>
    <w:p w14:paraId="61C907F0" w14:textId="77777777" w:rsidR="002D0AE7" w:rsidRDefault="00333EBB">
      <w:pPr>
        <w:pStyle w:val="3"/>
        <w:numPr>
          <w:ilvl w:val="0"/>
          <w:numId w:val="11"/>
        </w:numPr>
        <w:rPr>
          <w:rFonts w:ascii="宋体" w:hAnsi="宋体" w:hint="eastAsia"/>
          <w:color w:val="000000" w:themeColor="text1"/>
        </w:rPr>
      </w:pPr>
      <w:r>
        <w:rPr>
          <w:rFonts w:ascii="宋体" w:hAnsi="宋体"/>
          <w:color w:val="000000" w:themeColor="text1"/>
        </w:rPr>
        <w:t>其他披露事项</w:t>
      </w:r>
    </w:p>
    <w:sdt>
      <w:sdtPr>
        <w:rPr>
          <w:rFonts w:hint="eastAsia"/>
          <w:color w:val="000000" w:themeColor="text1"/>
        </w:rPr>
        <w:alias w:val="是否适用：董事会其他需要披露的事项[双击切换]"/>
        <w:tag w:val="_GBC_4bd5ba6bf4044aee9ecd40a0c2fc29bf"/>
        <w:id w:val="232049283"/>
        <w:placeholder>
          <w:docPart w:val="GBC22222222222222222222222222222"/>
        </w:placeholder>
      </w:sdtPr>
      <w:sdtEndPr/>
      <w:sdtContent>
        <w:p w14:paraId="784274C0"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2885DF8A" w14:textId="77777777" w:rsidR="002D0AE7" w:rsidRDefault="002D0AE7">
      <w:pPr>
        <w:rPr>
          <w:rFonts w:hint="eastAsia"/>
          <w:color w:val="000000" w:themeColor="text1"/>
        </w:rPr>
      </w:pPr>
    </w:p>
    <w:p w14:paraId="32DD794A" w14:textId="77777777" w:rsidR="002D0AE7" w:rsidRDefault="00333EBB">
      <w:pPr>
        <w:pStyle w:val="1"/>
        <w:numPr>
          <w:ilvl w:val="0"/>
          <w:numId w:val="2"/>
        </w:numPr>
        <w:rPr>
          <w:rFonts w:ascii="黑体" w:hAnsi="黑体" w:hint="eastAsia"/>
          <w:color w:val="000000" w:themeColor="text1"/>
        </w:rPr>
      </w:pPr>
      <w:bookmarkStart w:id="44" w:name="_Toc76114275"/>
      <w:bookmarkStart w:id="45" w:name="_Toc142578258"/>
      <w:bookmarkEnd w:id="33"/>
      <w:bookmarkEnd w:id="34"/>
      <w:r>
        <w:rPr>
          <w:rFonts w:ascii="黑体" w:hAnsi="黑体" w:hint="eastAsia"/>
          <w:color w:val="000000" w:themeColor="text1"/>
        </w:rPr>
        <w:t>公司治理</w:t>
      </w:r>
      <w:bookmarkEnd w:id="44"/>
      <w:bookmarkEnd w:id="45"/>
    </w:p>
    <w:p w14:paraId="7582E2A6" w14:textId="77777777" w:rsidR="002D0AE7" w:rsidRDefault="00333EBB">
      <w:pPr>
        <w:pStyle w:val="2"/>
        <w:numPr>
          <w:ilvl w:val="0"/>
          <w:numId w:val="12"/>
        </w:numPr>
        <w:tabs>
          <w:tab w:val="left" w:pos="426"/>
        </w:tabs>
        <w:ind w:firstLineChars="0"/>
        <w:jc w:val="left"/>
        <w:rPr>
          <w:rFonts w:ascii="宋体" w:hAnsi="宋体" w:hint="eastAsia"/>
          <w:color w:val="000000" w:themeColor="text1"/>
        </w:rPr>
      </w:pPr>
      <w:bookmarkStart w:id="46" w:name="_Hlk74646363"/>
      <w:r>
        <w:rPr>
          <w:rFonts w:ascii="宋体" w:hAnsi="宋体"/>
          <w:color w:val="000000" w:themeColor="text1"/>
        </w:rPr>
        <w:t>股东大会情况简介</w:t>
      </w:r>
    </w:p>
    <w:tbl>
      <w:tblPr>
        <w:tblW w:w="5796"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754"/>
        <w:gridCol w:w="2736"/>
        <w:gridCol w:w="852"/>
        <w:gridCol w:w="4655"/>
      </w:tblGrid>
      <w:tr w:rsidR="002D0AE7" w14:paraId="15ACD85A" w14:textId="77777777">
        <w:trPr>
          <w:trHeight w:val="165"/>
        </w:trPr>
        <w:bookmarkEnd w:id="46" w:displacedByCustomXml="next"/>
        <w:bookmarkStart w:id="47" w:name="_Hlk41294309" w:displacedByCustomXml="next"/>
        <w:sdt>
          <w:sdtPr>
            <w:rPr>
              <w:color w:val="000000" w:themeColor="text1"/>
            </w:rPr>
            <w:tag w:val="_PLD_22bc61a8a37f49b2b6002bda8044b00b"/>
            <w:id w:val="-547677092"/>
          </w:sdtPr>
          <w:sdtEndPr/>
          <w:sdtContent>
            <w:tc>
              <w:tcPr>
                <w:tcW w:w="624" w:type="pct"/>
                <w:vAlign w:val="center"/>
              </w:tcPr>
              <w:p w14:paraId="393DE12F" w14:textId="77777777" w:rsidR="002D0AE7" w:rsidRDefault="00333EBB">
                <w:pPr>
                  <w:jc w:val="center"/>
                  <w:rPr>
                    <w:rFonts w:hint="eastAsia"/>
                    <w:color w:val="000000" w:themeColor="text1"/>
                  </w:rPr>
                </w:pPr>
                <w:r>
                  <w:rPr>
                    <w:color w:val="000000" w:themeColor="text1"/>
                  </w:rPr>
                  <w:t>会议届次</w:t>
                </w:r>
              </w:p>
            </w:tc>
          </w:sdtContent>
        </w:sdt>
        <w:sdt>
          <w:sdtPr>
            <w:rPr>
              <w:color w:val="000000" w:themeColor="text1"/>
            </w:rPr>
            <w:tag w:val="_PLD_4d4c6f75c14e44a5ae87874c2dde133c"/>
            <w:id w:val="1032845921"/>
          </w:sdtPr>
          <w:sdtEndPr/>
          <w:sdtContent>
            <w:tc>
              <w:tcPr>
                <w:tcW w:w="390" w:type="pct"/>
                <w:vAlign w:val="center"/>
              </w:tcPr>
              <w:p w14:paraId="15F48AB0" w14:textId="77777777" w:rsidR="002D0AE7" w:rsidRDefault="00333EBB">
                <w:pPr>
                  <w:jc w:val="center"/>
                  <w:rPr>
                    <w:rFonts w:hint="eastAsia"/>
                    <w:color w:val="000000" w:themeColor="text1"/>
                  </w:rPr>
                </w:pPr>
                <w:r>
                  <w:rPr>
                    <w:color w:val="000000" w:themeColor="text1"/>
                  </w:rPr>
                  <w:t>召开日期</w:t>
                </w:r>
              </w:p>
            </w:tc>
          </w:sdtContent>
        </w:sdt>
        <w:sdt>
          <w:sdtPr>
            <w:rPr>
              <w:color w:val="000000" w:themeColor="text1"/>
            </w:rPr>
            <w:tag w:val="_PLD_63dde22e2e0a412986c86439c3ed05c3"/>
            <w:id w:val="-720131912"/>
          </w:sdtPr>
          <w:sdtEndPr/>
          <w:sdtContent>
            <w:tc>
              <w:tcPr>
                <w:tcW w:w="1251" w:type="pct"/>
                <w:vAlign w:val="center"/>
              </w:tcPr>
              <w:p w14:paraId="617947C5" w14:textId="77777777" w:rsidR="002D0AE7" w:rsidRDefault="00333EBB">
                <w:pPr>
                  <w:jc w:val="center"/>
                  <w:rPr>
                    <w:rFonts w:hint="eastAsia"/>
                    <w:color w:val="000000" w:themeColor="text1"/>
                  </w:rPr>
                </w:pPr>
                <w:r>
                  <w:rPr>
                    <w:color w:val="000000" w:themeColor="text1"/>
                  </w:rPr>
                  <w:t>决议刊登的指定网站的查询索引</w:t>
                </w:r>
              </w:p>
            </w:tc>
          </w:sdtContent>
        </w:sdt>
        <w:sdt>
          <w:sdtPr>
            <w:rPr>
              <w:color w:val="000000" w:themeColor="text1"/>
            </w:rPr>
            <w:tag w:val="_PLD_68e4d17d74f541f9b1d7075bcbb5b6c5"/>
            <w:id w:val="-200092093"/>
          </w:sdtPr>
          <w:sdtEndPr/>
          <w:sdtContent>
            <w:tc>
              <w:tcPr>
                <w:tcW w:w="438" w:type="pct"/>
                <w:vAlign w:val="center"/>
              </w:tcPr>
              <w:p w14:paraId="04C33580" w14:textId="77777777" w:rsidR="002D0AE7" w:rsidRDefault="00333EBB">
                <w:pPr>
                  <w:jc w:val="center"/>
                  <w:rPr>
                    <w:rFonts w:hint="eastAsia"/>
                    <w:color w:val="000000" w:themeColor="text1"/>
                  </w:rPr>
                </w:pPr>
                <w:r>
                  <w:rPr>
                    <w:color w:val="000000" w:themeColor="text1"/>
                  </w:rPr>
                  <w:t>决议刊登的披</w:t>
                </w:r>
                <w:r>
                  <w:rPr>
                    <w:color w:val="000000" w:themeColor="text1"/>
                  </w:rPr>
                  <w:lastRenderedPageBreak/>
                  <w:t>露日期</w:t>
                </w:r>
              </w:p>
            </w:tc>
          </w:sdtContent>
        </w:sdt>
        <w:tc>
          <w:tcPr>
            <w:tcW w:w="2297" w:type="pct"/>
            <w:vAlign w:val="center"/>
          </w:tcPr>
          <w:sdt>
            <w:sdtPr>
              <w:rPr>
                <w:rFonts w:hint="eastAsia"/>
                <w:color w:val="000000" w:themeColor="text1"/>
              </w:rPr>
              <w:tag w:val="_PLD_d7d78aa5be2349bcb77c83b55ac046e4"/>
              <w:id w:val="626128483"/>
            </w:sdtPr>
            <w:sdtEndPr/>
            <w:sdtContent>
              <w:p w14:paraId="4FE81650" w14:textId="77777777" w:rsidR="002D0AE7" w:rsidRDefault="00333EBB">
                <w:pPr>
                  <w:jc w:val="center"/>
                  <w:rPr>
                    <w:rFonts w:hint="eastAsia"/>
                    <w:color w:val="000000" w:themeColor="text1"/>
                  </w:rPr>
                </w:pPr>
                <w:r>
                  <w:rPr>
                    <w:rFonts w:hint="eastAsia"/>
                    <w:color w:val="000000" w:themeColor="text1"/>
                  </w:rPr>
                  <w:t>会议决议</w:t>
                </w:r>
              </w:p>
            </w:sdtContent>
          </w:sdt>
        </w:tc>
      </w:tr>
      <w:tr w:rsidR="002D0AE7" w14:paraId="046D09EA" w14:textId="77777777">
        <w:trPr>
          <w:trHeight w:val="195"/>
        </w:trPr>
        <w:tc>
          <w:tcPr>
            <w:tcW w:w="624" w:type="pct"/>
          </w:tcPr>
          <w:p w14:paraId="22F4ADA5" w14:textId="77777777" w:rsidR="002D0AE7" w:rsidRDefault="00333EBB">
            <w:pPr>
              <w:rPr>
                <w:rFonts w:hint="eastAsia"/>
              </w:rPr>
            </w:pPr>
            <w:r>
              <w:t>2024</w:t>
            </w:r>
            <w:r>
              <w:t>年第一次临时股东大会</w:t>
            </w:r>
          </w:p>
        </w:tc>
        <w:tc>
          <w:tcPr>
            <w:tcW w:w="390" w:type="pct"/>
          </w:tcPr>
          <w:p w14:paraId="1FB64838" w14:textId="77777777" w:rsidR="002D0AE7" w:rsidRDefault="00333EBB">
            <w:pPr>
              <w:rPr>
                <w:rFonts w:hint="eastAsia"/>
              </w:rPr>
            </w:pPr>
            <w:r>
              <w:t>2024</w:t>
            </w:r>
            <w:r>
              <w:t>年</w:t>
            </w:r>
            <w:r>
              <w:t>1</w:t>
            </w:r>
            <w:r>
              <w:t>月</w:t>
            </w:r>
            <w:r>
              <w:rPr>
                <w:rFonts w:hint="eastAsia"/>
              </w:rPr>
              <w:t>1</w:t>
            </w:r>
            <w:r>
              <w:t>0</w:t>
            </w:r>
            <w:r>
              <w:t>日</w:t>
            </w:r>
          </w:p>
        </w:tc>
        <w:tc>
          <w:tcPr>
            <w:tcW w:w="1251" w:type="pct"/>
          </w:tcPr>
          <w:p w14:paraId="2EFD4571" w14:textId="77777777" w:rsidR="002D0AE7" w:rsidRDefault="00333EBB">
            <w:pPr>
              <w:rPr>
                <w:rFonts w:hint="eastAsia"/>
              </w:rPr>
            </w:pPr>
            <w:r>
              <w:t>http://www.sse.com.cn</w:t>
            </w:r>
          </w:p>
        </w:tc>
        <w:tc>
          <w:tcPr>
            <w:tcW w:w="438" w:type="pct"/>
          </w:tcPr>
          <w:p w14:paraId="455DC343" w14:textId="77777777" w:rsidR="002D0AE7" w:rsidRDefault="00333EBB">
            <w:pPr>
              <w:rPr>
                <w:rFonts w:hint="eastAsia"/>
              </w:rPr>
            </w:pPr>
            <w:r>
              <w:t>2024</w:t>
            </w:r>
            <w:r>
              <w:t>年</w:t>
            </w:r>
            <w:r>
              <w:t>1</w:t>
            </w:r>
            <w:r>
              <w:t>月</w:t>
            </w:r>
            <w:r>
              <w:t>11</w:t>
            </w:r>
            <w:r>
              <w:t>日</w:t>
            </w:r>
          </w:p>
        </w:tc>
        <w:tc>
          <w:tcPr>
            <w:tcW w:w="2297" w:type="pct"/>
          </w:tcPr>
          <w:p w14:paraId="3918B88F" w14:textId="77777777" w:rsidR="002D0AE7" w:rsidRDefault="00333EBB">
            <w:pPr>
              <w:rPr>
                <w:rFonts w:hint="eastAsia"/>
              </w:rPr>
            </w:pPr>
            <w:r>
              <w:t>审议通过《</w:t>
            </w:r>
            <w:r>
              <w:rPr>
                <w:rFonts w:hint="eastAsia"/>
              </w:rPr>
              <w:t>关于公司与江西百思康瑞药业有限公司日常关联交易的议案</w:t>
            </w:r>
            <w:r>
              <w:t>》《</w:t>
            </w:r>
            <w:r>
              <w:rPr>
                <w:rFonts w:hint="eastAsia"/>
              </w:rPr>
              <w:t>关于公司与天津市医药集团有限公司日常关联交易的议案</w:t>
            </w:r>
            <w:r>
              <w:t>》《</w:t>
            </w:r>
            <w:r>
              <w:rPr>
                <w:rFonts w:hint="eastAsia"/>
              </w:rPr>
              <w:t>关于公司与天津医药集团财务有限公司关联交易的议案</w:t>
            </w:r>
            <w:r>
              <w:t>》《关于申请贷款授信额度的议案》</w:t>
            </w:r>
            <w:r>
              <w:rPr>
                <w:rFonts w:hint="eastAsia"/>
              </w:rPr>
              <w:t>《关于开展外汇衍生品交易业务的议案》《关于修订</w:t>
            </w:r>
            <w:r>
              <w:t>&lt;</w:t>
            </w:r>
            <w:r>
              <w:t>公司章程</w:t>
            </w:r>
            <w:r>
              <w:t>&gt;</w:t>
            </w:r>
            <w:r>
              <w:t>并办理工商变更的议案》</w:t>
            </w:r>
            <w:r>
              <w:rPr>
                <w:rFonts w:hint="eastAsia"/>
              </w:rPr>
              <w:t>《</w:t>
            </w:r>
            <w:r>
              <w:t>关于修订</w:t>
            </w:r>
            <w:r>
              <w:rPr>
                <w:rFonts w:hint="eastAsia"/>
              </w:rPr>
              <w:t>&lt;</w:t>
            </w:r>
            <w:r>
              <w:t>独立董事工作制度</w:t>
            </w:r>
            <w:r>
              <w:rPr>
                <w:rFonts w:hint="eastAsia"/>
              </w:rPr>
              <w:t>&gt;</w:t>
            </w:r>
            <w:r>
              <w:t>的议案</w:t>
            </w:r>
            <w:r>
              <w:rPr>
                <w:rFonts w:hint="eastAsia"/>
              </w:rPr>
              <w:t>》《关于修订</w:t>
            </w:r>
            <w:r>
              <w:rPr>
                <w:rFonts w:hint="eastAsia"/>
              </w:rPr>
              <w:t>&lt;</w:t>
            </w:r>
            <w:r>
              <w:rPr>
                <w:rFonts w:hint="eastAsia"/>
              </w:rPr>
              <w:t>董事会议事规则</w:t>
            </w:r>
            <w:r>
              <w:rPr>
                <w:rFonts w:hint="eastAsia"/>
              </w:rPr>
              <w:t>&gt;</w:t>
            </w:r>
            <w:r>
              <w:rPr>
                <w:rFonts w:hint="eastAsia"/>
              </w:rPr>
              <w:t>的议案》</w:t>
            </w:r>
            <w:r>
              <w:t>（详见公司公告</w:t>
            </w:r>
            <w:r>
              <w:t>2024-002#</w:t>
            </w:r>
            <w:r>
              <w:t>）</w:t>
            </w:r>
          </w:p>
        </w:tc>
      </w:tr>
      <w:tr w:rsidR="002D0AE7" w14:paraId="5C9615DF" w14:textId="77777777">
        <w:trPr>
          <w:trHeight w:val="195"/>
        </w:trPr>
        <w:tc>
          <w:tcPr>
            <w:tcW w:w="624" w:type="pct"/>
          </w:tcPr>
          <w:p w14:paraId="6621FFD1" w14:textId="77777777" w:rsidR="002D0AE7" w:rsidRDefault="00333EBB">
            <w:pPr>
              <w:rPr>
                <w:rFonts w:hint="eastAsia"/>
              </w:rPr>
            </w:pPr>
            <w:r>
              <w:t>2023</w:t>
            </w:r>
            <w:r>
              <w:t>年年度股东大会</w:t>
            </w:r>
          </w:p>
        </w:tc>
        <w:tc>
          <w:tcPr>
            <w:tcW w:w="390" w:type="pct"/>
          </w:tcPr>
          <w:p w14:paraId="415FDC67" w14:textId="77777777" w:rsidR="002D0AE7" w:rsidRDefault="00333EBB">
            <w:pPr>
              <w:rPr>
                <w:rFonts w:hint="eastAsia"/>
              </w:rPr>
            </w:pPr>
            <w:r>
              <w:t>2024</w:t>
            </w:r>
            <w:r>
              <w:t>年</w:t>
            </w:r>
            <w:r>
              <w:t>4</w:t>
            </w:r>
            <w:r>
              <w:t>月</w:t>
            </w:r>
            <w:r>
              <w:t>23</w:t>
            </w:r>
            <w:r>
              <w:t>日</w:t>
            </w:r>
          </w:p>
        </w:tc>
        <w:tc>
          <w:tcPr>
            <w:tcW w:w="1251" w:type="pct"/>
          </w:tcPr>
          <w:p w14:paraId="15972F57" w14:textId="77777777" w:rsidR="002D0AE7" w:rsidRDefault="00333EBB">
            <w:pPr>
              <w:rPr>
                <w:rFonts w:hint="eastAsia"/>
              </w:rPr>
            </w:pPr>
            <w:r>
              <w:t>http://www.sse.com.cn</w:t>
            </w:r>
          </w:p>
        </w:tc>
        <w:tc>
          <w:tcPr>
            <w:tcW w:w="438" w:type="pct"/>
          </w:tcPr>
          <w:p w14:paraId="63FFE0DD" w14:textId="77777777" w:rsidR="002D0AE7" w:rsidRDefault="00333EBB">
            <w:pPr>
              <w:rPr>
                <w:rFonts w:hint="eastAsia"/>
              </w:rPr>
            </w:pPr>
            <w:r>
              <w:t>2024</w:t>
            </w:r>
            <w:r>
              <w:t>年</w:t>
            </w:r>
            <w:r>
              <w:t>4</w:t>
            </w:r>
            <w:r>
              <w:t>月</w:t>
            </w:r>
            <w:r>
              <w:t>24</w:t>
            </w:r>
            <w:r>
              <w:t>日</w:t>
            </w:r>
          </w:p>
        </w:tc>
        <w:tc>
          <w:tcPr>
            <w:tcW w:w="2297" w:type="pct"/>
          </w:tcPr>
          <w:p w14:paraId="6A626A54" w14:textId="77777777" w:rsidR="002D0AE7" w:rsidRDefault="00333EBB">
            <w:pPr>
              <w:rPr>
                <w:rFonts w:hint="eastAsia"/>
              </w:rPr>
            </w:pPr>
            <w:r>
              <w:t>审议通过《</w:t>
            </w:r>
            <w:r>
              <w:t>2023</w:t>
            </w:r>
            <w:r>
              <w:t>年度董事会工作报告》《</w:t>
            </w:r>
            <w:r>
              <w:t>2023</w:t>
            </w:r>
            <w:r>
              <w:t>年度监事会工作报告》《</w:t>
            </w:r>
            <w:r>
              <w:t>2023</w:t>
            </w:r>
            <w:r>
              <w:t>年度财务决算草案》《</w:t>
            </w:r>
            <w:r>
              <w:t>2023</w:t>
            </w:r>
            <w:r>
              <w:t>年度利润分配预案》《</w:t>
            </w:r>
            <w:r>
              <w:t>2023</w:t>
            </w:r>
            <w:r>
              <w:t>年年度报告及其摘要》《关于续聘会计师事务所的议案》（详见公司公告</w:t>
            </w:r>
            <w:r>
              <w:t>2024-018#</w:t>
            </w:r>
            <w:r>
              <w:t>）</w:t>
            </w:r>
          </w:p>
        </w:tc>
      </w:tr>
    </w:tbl>
    <w:p w14:paraId="04D1E16F" w14:textId="77777777" w:rsidR="002D0AE7" w:rsidRDefault="00333EBB">
      <w:pPr>
        <w:rPr>
          <w:rFonts w:hint="eastAsia"/>
          <w:b/>
          <w:color w:val="000000" w:themeColor="text1"/>
        </w:rPr>
      </w:pPr>
      <w:r>
        <w:rPr>
          <w:rFonts w:hint="eastAsia"/>
          <w:b/>
          <w:color w:val="000000" w:themeColor="text1"/>
        </w:rPr>
        <w:t>表决权恢复的优先股股东请求召开临时股东大会</w:t>
      </w:r>
    </w:p>
    <w:sdt>
      <w:sdtPr>
        <w:rPr>
          <w:color w:val="000000" w:themeColor="text1"/>
        </w:rPr>
        <w:alias w:val="是否适用：表决权恢复的优先股股东请求召开临时股东大会[双击切换]"/>
        <w:tag w:val="_GBC_07c9bc8db9ab4498ac0bfac48beddedc"/>
        <w:id w:val="-432360801"/>
        <w:placeholder>
          <w:docPart w:val="GBC22222222222222222222222222222"/>
        </w:placeholder>
      </w:sdtPr>
      <w:sdtEndPr/>
      <w:sdtContent>
        <w:p w14:paraId="02C21580"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bookmarkEnd w:id="47"/>
    <w:p w14:paraId="6ABF8F7D" w14:textId="77777777" w:rsidR="002D0AE7" w:rsidRDefault="00333EBB">
      <w:pPr>
        <w:rPr>
          <w:rFonts w:hint="eastAsia"/>
          <w:color w:val="000000" w:themeColor="text1"/>
        </w:rPr>
      </w:pPr>
      <w:r>
        <w:rPr>
          <w:rFonts w:hint="eastAsia"/>
          <w:color w:val="000000" w:themeColor="text1"/>
        </w:rPr>
        <w:t>股东大会情况说明</w:t>
      </w:r>
    </w:p>
    <w:sdt>
      <w:sdtPr>
        <w:rPr>
          <w:rFonts w:hint="eastAsia"/>
          <w:color w:val="000000" w:themeColor="text1"/>
        </w:rPr>
        <w:alias w:val="是否适用：股东大会情况说明[双击切换]"/>
        <w:tag w:val="_GBC_bc06fc78c35044b0a848192606e2a5ad"/>
        <w:id w:val="-1212880034"/>
        <w:placeholder>
          <w:docPart w:val="GBC22222222222222222222222222222"/>
        </w:placeholder>
      </w:sdtPr>
      <w:sdtEndPr/>
      <w:sdtContent>
        <w:p w14:paraId="51F08CE5"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rFonts w:hint="eastAsia"/>
          <w:color w:val="000000" w:themeColor="text1"/>
        </w:rPr>
        <w:alias w:val="年度股东大会情况的说明"/>
        <w:tag w:val="_GBC_f97651ca2866412b9255a1ff13fdc83d"/>
        <w:id w:val="-215745655"/>
        <w:placeholder>
          <w:docPart w:val="GBC22222222222222222222222222222"/>
        </w:placeholder>
      </w:sdtPr>
      <w:sdtEndPr/>
      <w:sdtContent>
        <w:p w14:paraId="145A1FE9" w14:textId="77777777" w:rsidR="002D0AE7" w:rsidRDefault="00333EBB">
          <w:pPr>
            <w:ind w:firstLineChars="200" w:firstLine="480"/>
            <w:rPr>
              <w:rFonts w:hint="eastAsia"/>
              <w:color w:val="000000" w:themeColor="text1"/>
            </w:rPr>
          </w:pPr>
          <w:r>
            <w:rPr>
              <w:rFonts w:hint="eastAsia"/>
              <w:color w:val="000000" w:themeColor="text1"/>
            </w:rPr>
            <w:t>报告期内，公司共召开了</w:t>
          </w:r>
          <w:r>
            <w:rPr>
              <w:color w:val="000000" w:themeColor="text1"/>
            </w:rPr>
            <w:t>2</w:t>
          </w:r>
          <w:r>
            <w:rPr>
              <w:color w:val="000000" w:themeColor="text1"/>
            </w:rPr>
            <w:t>次股东大会，股东大会的召集和召开符合《公司法》《上市公司股东大会规则》和《公司章程》等法律、法规和制度的规定；出席会议人员和会议召集人的资格合法、有效；会议的表决程序和表决结果合法有效；股东大会的决议合法有效。</w:t>
          </w:r>
        </w:p>
      </w:sdtContent>
    </w:sdt>
    <w:p w14:paraId="6086E4A4" w14:textId="77777777" w:rsidR="002D0AE7" w:rsidRDefault="00333EBB">
      <w:pPr>
        <w:pStyle w:val="2"/>
        <w:numPr>
          <w:ilvl w:val="0"/>
          <w:numId w:val="12"/>
        </w:numPr>
        <w:tabs>
          <w:tab w:val="left" w:pos="426"/>
        </w:tabs>
        <w:ind w:left="482" w:hanging="482"/>
        <w:jc w:val="left"/>
        <w:rPr>
          <w:rFonts w:ascii="宋体" w:hAnsi="宋体" w:hint="eastAsia"/>
          <w:color w:val="000000" w:themeColor="text1"/>
        </w:rPr>
      </w:pPr>
      <w:bookmarkStart w:id="48" w:name="_Toc342057949"/>
      <w:bookmarkStart w:id="49" w:name="_Toc342566009"/>
      <w:bookmarkStart w:id="50" w:name="_Hlk170998767"/>
      <w:r>
        <w:rPr>
          <w:rFonts w:ascii="宋体" w:hAnsi="宋体" w:hint="eastAsia"/>
          <w:color w:val="000000" w:themeColor="text1"/>
        </w:rPr>
        <w:t>公司董事、监事、高级管理人员变动情况</w:t>
      </w:r>
      <w:bookmarkEnd w:id="48"/>
      <w:bookmarkEnd w:id="49"/>
    </w:p>
    <w:bookmarkEnd w:id="50" w:displacedByCustomXml="next"/>
    <w:sdt>
      <w:sdtPr>
        <w:rPr>
          <w:color w:val="000000" w:themeColor="text1"/>
        </w:rPr>
        <w:alias w:val="是否适用：公司董事、监事、高级管理人员变动情况[双击切换]"/>
        <w:tag w:val="_GBC_001d837207464f1aaa52a7fb8cd9d226"/>
        <w:id w:val="398725459"/>
        <w:placeholder>
          <w:docPart w:val="GBC22222222222222222222222222222"/>
        </w:placeholder>
      </w:sdtPr>
      <w:sdtEndPr/>
      <w:sdtContent>
        <w:p w14:paraId="31FE4DDB"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900"/>
        <w:gridCol w:w="3056"/>
        <w:gridCol w:w="2867"/>
      </w:tblGrid>
      <w:tr w:rsidR="002D0AE7" w14:paraId="74656B4E" w14:textId="77777777">
        <w:bookmarkStart w:id="51" w:name="_Hlk170998801" w:displacedByCustomXml="next"/>
        <w:sdt>
          <w:sdtPr>
            <w:rPr>
              <w:color w:val="000000" w:themeColor="text1"/>
            </w:rPr>
            <w:tag w:val="_PLD_8d21520223e04755b8822b634d237604"/>
            <w:id w:val="-373539796"/>
          </w:sdtPr>
          <w:sdtEndPr/>
          <w:sdtContent>
            <w:tc>
              <w:tcPr>
                <w:tcW w:w="1643" w:type="pct"/>
                <w:shd w:val="clear" w:color="auto" w:fill="auto"/>
              </w:tcPr>
              <w:p w14:paraId="03FDA214" w14:textId="77777777" w:rsidR="002D0AE7" w:rsidRDefault="00333EBB">
                <w:pPr>
                  <w:kinsoku w:val="0"/>
                  <w:overflowPunct w:val="0"/>
                  <w:autoSpaceDE w:val="0"/>
                  <w:autoSpaceDN w:val="0"/>
                  <w:adjustRightInd w:val="0"/>
                  <w:snapToGrid w:val="0"/>
                  <w:jc w:val="center"/>
                  <w:rPr>
                    <w:rFonts w:hint="eastAsia"/>
                    <w:color w:val="000000" w:themeColor="text1"/>
                  </w:rPr>
                </w:pPr>
                <w:r>
                  <w:rPr>
                    <w:rFonts w:hint="eastAsia"/>
                    <w:color w:val="000000" w:themeColor="text1"/>
                  </w:rPr>
                  <w:t>姓名</w:t>
                </w:r>
              </w:p>
            </w:tc>
          </w:sdtContent>
        </w:sdt>
        <w:sdt>
          <w:sdtPr>
            <w:rPr>
              <w:color w:val="000000" w:themeColor="text1"/>
            </w:rPr>
            <w:tag w:val="_PLD_fbd3bf633b6f43caac5e618a32167462"/>
            <w:id w:val="-1067344312"/>
          </w:sdtPr>
          <w:sdtEndPr/>
          <w:sdtContent>
            <w:tc>
              <w:tcPr>
                <w:tcW w:w="1732" w:type="pct"/>
                <w:shd w:val="clear" w:color="auto" w:fill="auto"/>
              </w:tcPr>
              <w:p w14:paraId="343F92BD" w14:textId="77777777" w:rsidR="002D0AE7" w:rsidRDefault="00333EBB">
                <w:pPr>
                  <w:kinsoku w:val="0"/>
                  <w:overflowPunct w:val="0"/>
                  <w:autoSpaceDE w:val="0"/>
                  <w:autoSpaceDN w:val="0"/>
                  <w:adjustRightInd w:val="0"/>
                  <w:snapToGrid w:val="0"/>
                  <w:jc w:val="center"/>
                  <w:rPr>
                    <w:rFonts w:hint="eastAsia"/>
                    <w:color w:val="000000" w:themeColor="text1"/>
                  </w:rPr>
                </w:pPr>
                <w:r>
                  <w:rPr>
                    <w:rFonts w:hint="eastAsia"/>
                    <w:color w:val="000000" w:themeColor="text1"/>
                  </w:rPr>
                  <w:t>担任的职务</w:t>
                </w:r>
              </w:p>
            </w:tc>
          </w:sdtContent>
        </w:sdt>
        <w:sdt>
          <w:sdtPr>
            <w:rPr>
              <w:color w:val="000000" w:themeColor="text1"/>
            </w:rPr>
            <w:tag w:val="_PLD_32b7efb7e5ea42b9a9c73ad4470b3d12"/>
            <w:id w:val="-1677418516"/>
          </w:sdtPr>
          <w:sdtEndPr/>
          <w:sdtContent>
            <w:tc>
              <w:tcPr>
                <w:tcW w:w="1625" w:type="pct"/>
                <w:shd w:val="clear" w:color="auto" w:fill="auto"/>
              </w:tcPr>
              <w:p w14:paraId="05ED1C5A" w14:textId="77777777" w:rsidR="002D0AE7" w:rsidRDefault="00333EBB">
                <w:pPr>
                  <w:kinsoku w:val="0"/>
                  <w:overflowPunct w:val="0"/>
                  <w:autoSpaceDE w:val="0"/>
                  <w:autoSpaceDN w:val="0"/>
                  <w:adjustRightInd w:val="0"/>
                  <w:snapToGrid w:val="0"/>
                  <w:jc w:val="center"/>
                  <w:rPr>
                    <w:rFonts w:hint="eastAsia"/>
                    <w:color w:val="000000" w:themeColor="text1"/>
                    <w:highlight w:val="cyan"/>
                  </w:rPr>
                </w:pPr>
                <w:r>
                  <w:rPr>
                    <w:rFonts w:hint="eastAsia"/>
                    <w:color w:val="000000" w:themeColor="text1"/>
                  </w:rPr>
                  <w:t>变动情形</w:t>
                </w:r>
              </w:p>
            </w:tc>
          </w:sdtContent>
        </w:sdt>
      </w:tr>
      <w:tr w:rsidR="002D0AE7" w14:paraId="65971307" w14:textId="77777777">
        <w:tc>
          <w:tcPr>
            <w:tcW w:w="1643" w:type="pct"/>
          </w:tcPr>
          <w:p w14:paraId="71D27B88" w14:textId="77777777" w:rsidR="002D0AE7" w:rsidRDefault="00333EBB">
            <w:pPr>
              <w:kinsoku w:val="0"/>
              <w:overflowPunct w:val="0"/>
              <w:autoSpaceDE w:val="0"/>
              <w:autoSpaceDN w:val="0"/>
              <w:adjustRightInd w:val="0"/>
              <w:snapToGrid w:val="0"/>
              <w:jc w:val="center"/>
              <w:rPr>
                <w:rFonts w:hint="eastAsia"/>
              </w:rPr>
            </w:pPr>
            <w:r>
              <w:rPr>
                <w:rFonts w:hint="eastAsia"/>
              </w:rPr>
              <w:t>王春丽</w:t>
            </w:r>
          </w:p>
        </w:tc>
        <w:tc>
          <w:tcPr>
            <w:tcW w:w="1732" w:type="pct"/>
          </w:tcPr>
          <w:p w14:paraId="32D9F556" w14:textId="77777777" w:rsidR="002D0AE7" w:rsidRDefault="00333EBB">
            <w:pPr>
              <w:kinsoku w:val="0"/>
              <w:overflowPunct w:val="0"/>
              <w:autoSpaceDE w:val="0"/>
              <w:autoSpaceDN w:val="0"/>
              <w:adjustRightInd w:val="0"/>
              <w:snapToGrid w:val="0"/>
              <w:jc w:val="center"/>
              <w:rPr>
                <w:rFonts w:hint="eastAsia"/>
              </w:rPr>
            </w:pPr>
            <w:r>
              <w:rPr>
                <w:rFonts w:hint="eastAsia"/>
              </w:rPr>
              <w:t>董事会秘书</w:t>
            </w:r>
          </w:p>
        </w:tc>
        <w:sdt>
          <w:sdtPr>
            <w:rPr>
              <w:color w:val="000000" w:themeColor="text1"/>
            </w:rPr>
            <w:alias w:val="公司董事、监事、高级管理人员的变动情形"/>
            <w:tag w:val="_GBC_466f24fb36cc4d949be4225fed8d37c7"/>
            <w:id w:val="-1910145847"/>
            <w:comboBox>
              <w:listItem w:displayText="聘任" w:value="聘任"/>
              <w:listItem w:displayText="离任" w:value="离任"/>
              <w:listItem w:displayText="解任" w:value="解任"/>
              <w:listItem w:displayText="选举" w:value="选举"/>
            </w:comboBox>
          </w:sdtPr>
          <w:sdtEndPr/>
          <w:sdtContent>
            <w:tc>
              <w:tcPr>
                <w:tcW w:w="1625" w:type="pct"/>
              </w:tcPr>
              <w:p w14:paraId="6EA5B17E" w14:textId="77777777" w:rsidR="002D0AE7" w:rsidRDefault="00333EBB">
                <w:pPr>
                  <w:kinsoku w:val="0"/>
                  <w:overflowPunct w:val="0"/>
                  <w:autoSpaceDE w:val="0"/>
                  <w:autoSpaceDN w:val="0"/>
                  <w:adjustRightInd w:val="0"/>
                  <w:snapToGrid w:val="0"/>
                  <w:jc w:val="center"/>
                  <w:rPr>
                    <w:rFonts w:hint="eastAsia"/>
                    <w:color w:val="000000" w:themeColor="text1"/>
                  </w:rPr>
                </w:pPr>
                <w:r>
                  <w:rPr>
                    <w:rFonts w:hint="eastAsia"/>
                    <w:color w:val="000000" w:themeColor="text1"/>
                  </w:rPr>
                  <w:t>离任</w:t>
                </w:r>
              </w:p>
            </w:tc>
          </w:sdtContent>
        </w:sdt>
      </w:tr>
      <w:tr w:rsidR="002D0AE7" w14:paraId="0F2CD264" w14:textId="77777777">
        <w:tc>
          <w:tcPr>
            <w:tcW w:w="1643" w:type="pct"/>
          </w:tcPr>
          <w:p w14:paraId="6FC1CEE1" w14:textId="77777777" w:rsidR="002D0AE7" w:rsidRDefault="00333EBB">
            <w:pPr>
              <w:kinsoku w:val="0"/>
              <w:overflowPunct w:val="0"/>
              <w:autoSpaceDE w:val="0"/>
              <w:autoSpaceDN w:val="0"/>
              <w:adjustRightInd w:val="0"/>
              <w:snapToGrid w:val="0"/>
              <w:jc w:val="center"/>
              <w:rPr>
                <w:rFonts w:hint="eastAsia"/>
              </w:rPr>
            </w:pPr>
            <w:r>
              <w:rPr>
                <w:rFonts w:hint="eastAsia"/>
              </w:rPr>
              <w:t>刘博</w:t>
            </w:r>
          </w:p>
        </w:tc>
        <w:tc>
          <w:tcPr>
            <w:tcW w:w="1732" w:type="pct"/>
          </w:tcPr>
          <w:p w14:paraId="792A77AF" w14:textId="77777777" w:rsidR="002D0AE7" w:rsidRDefault="00333EBB">
            <w:pPr>
              <w:kinsoku w:val="0"/>
              <w:overflowPunct w:val="0"/>
              <w:autoSpaceDE w:val="0"/>
              <w:autoSpaceDN w:val="0"/>
              <w:adjustRightInd w:val="0"/>
              <w:snapToGrid w:val="0"/>
              <w:jc w:val="center"/>
              <w:rPr>
                <w:rFonts w:hint="eastAsia"/>
              </w:rPr>
            </w:pPr>
            <w:r>
              <w:rPr>
                <w:rFonts w:hint="eastAsia"/>
              </w:rPr>
              <w:t>董事会秘书</w:t>
            </w:r>
          </w:p>
        </w:tc>
        <w:sdt>
          <w:sdtPr>
            <w:rPr>
              <w:color w:val="000000" w:themeColor="text1"/>
            </w:rPr>
            <w:alias w:val="公司董事、监事、高级管理人员的变动情形"/>
            <w:tag w:val="_GBC_466f24fb36cc4d949be4225fed8d37c7"/>
            <w:id w:val="2068608295"/>
            <w:comboBox>
              <w:listItem w:displayText="聘任" w:value="聘任"/>
              <w:listItem w:displayText="离任" w:value="离任"/>
              <w:listItem w:displayText="解任" w:value="解任"/>
              <w:listItem w:displayText="选举" w:value="选举"/>
            </w:comboBox>
          </w:sdtPr>
          <w:sdtEndPr/>
          <w:sdtContent>
            <w:tc>
              <w:tcPr>
                <w:tcW w:w="1625" w:type="pct"/>
              </w:tcPr>
              <w:p w14:paraId="6D3E6EC8" w14:textId="77777777" w:rsidR="002D0AE7" w:rsidRDefault="00333EBB">
                <w:pPr>
                  <w:kinsoku w:val="0"/>
                  <w:overflowPunct w:val="0"/>
                  <w:autoSpaceDE w:val="0"/>
                  <w:autoSpaceDN w:val="0"/>
                  <w:adjustRightInd w:val="0"/>
                  <w:snapToGrid w:val="0"/>
                  <w:jc w:val="center"/>
                  <w:rPr>
                    <w:rFonts w:hint="eastAsia"/>
                    <w:color w:val="000000" w:themeColor="text1"/>
                  </w:rPr>
                </w:pPr>
                <w:r>
                  <w:rPr>
                    <w:rFonts w:hint="eastAsia"/>
                    <w:color w:val="000000" w:themeColor="text1"/>
                  </w:rPr>
                  <w:t>聘任</w:t>
                </w:r>
              </w:p>
            </w:tc>
          </w:sdtContent>
        </w:sdt>
      </w:tr>
      <w:bookmarkEnd w:id="51"/>
      <w:tr w:rsidR="002D0AE7" w14:paraId="2E2A744B" w14:textId="77777777">
        <w:tc>
          <w:tcPr>
            <w:tcW w:w="1643" w:type="pct"/>
          </w:tcPr>
          <w:p w14:paraId="458FF0D0" w14:textId="77777777" w:rsidR="002D0AE7" w:rsidRDefault="00333EBB">
            <w:pPr>
              <w:kinsoku w:val="0"/>
              <w:overflowPunct w:val="0"/>
              <w:autoSpaceDE w:val="0"/>
              <w:autoSpaceDN w:val="0"/>
              <w:adjustRightInd w:val="0"/>
              <w:snapToGrid w:val="0"/>
              <w:jc w:val="center"/>
              <w:rPr>
                <w:rFonts w:hint="eastAsia"/>
              </w:rPr>
            </w:pPr>
            <w:r>
              <w:rPr>
                <w:rFonts w:hint="eastAsia"/>
              </w:rPr>
              <w:t>张杰</w:t>
            </w:r>
          </w:p>
        </w:tc>
        <w:tc>
          <w:tcPr>
            <w:tcW w:w="1732" w:type="pct"/>
          </w:tcPr>
          <w:p w14:paraId="3E163507" w14:textId="77777777" w:rsidR="002D0AE7" w:rsidRDefault="00333EBB">
            <w:pPr>
              <w:kinsoku w:val="0"/>
              <w:overflowPunct w:val="0"/>
              <w:autoSpaceDE w:val="0"/>
              <w:autoSpaceDN w:val="0"/>
              <w:adjustRightInd w:val="0"/>
              <w:snapToGrid w:val="0"/>
              <w:jc w:val="center"/>
              <w:rPr>
                <w:rFonts w:hint="eastAsia"/>
              </w:rPr>
            </w:pPr>
            <w:r>
              <w:rPr>
                <w:rFonts w:hint="eastAsia"/>
              </w:rPr>
              <w:t>副总经理</w:t>
            </w:r>
          </w:p>
        </w:tc>
        <w:tc>
          <w:tcPr>
            <w:tcW w:w="1625" w:type="pct"/>
          </w:tcPr>
          <w:p w14:paraId="74FD22BC" w14:textId="77777777" w:rsidR="002D0AE7" w:rsidRDefault="00333EBB">
            <w:pPr>
              <w:kinsoku w:val="0"/>
              <w:overflowPunct w:val="0"/>
              <w:autoSpaceDE w:val="0"/>
              <w:autoSpaceDN w:val="0"/>
              <w:adjustRightInd w:val="0"/>
              <w:snapToGrid w:val="0"/>
              <w:jc w:val="center"/>
              <w:rPr>
                <w:rFonts w:hint="eastAsia"/>
                <w:color w:val="000000" w:themeColor="text1"/>
              </w:rPr>
            </w:pPr>
            <w:r>
              <w:rPr>
                <w:rFonts w:hint="eastAsia"/>
                <w:color w:val="000000" w:themeColor="text1"/>
              </w:rPr>
              <w:t>聘任</w:t>
            </w:r>
          </w:p>
        </w:tc>
      </w:tr>
    </w:tbl>
    <w:p w14:paraId="2DBC2D99" w14:textId="77777777" w:rsidR="002D0AE7" w:rsidRDefault="00333EBB">
      <w:pPr>
        <w:rPr>
          <w:rFonts w:hint="eastAsia"/>
          <w:color w:val="000000" w:themeColor="text1"/>
        </w:rPr>
      </w:pPr>
      <w:bookmarkStart w:id="52" w:name="_Hlk170998810"/>
      <w:r>
        <w:rPr>
          <w:rFonts w:hint="eastAsia"/>
          <w:color w:val="000000" w:themeColor="text1"/>
        </w:rPr>
        <w:t>公司董事、监事、高级管理人员变动的情况说明</w:t>
      </w:r>
    </w:p>
    <w:bookmarkEnd w:id="52" w:displacedByCustomXml="next"/>
    <w:sdt>
      <w:sdtPr>
        <w:rPr>
          <w:rFonts w:hint="eastAsia"/>
          <w:color w:val="000000" w:themeColor="text1"/>
        </w:rPr>
        <w:alias w:val="是否适用：公司董事、监事、高级管理人员变动的情况说明 [双击切换]"/>
        <w:tag w:val="_GBC_1eda708e71a542fa89f6ad1bb8abbf70"/>
        <w:id w:val="-1034413383"/>
        <w:placeholder>
          <w:docPart w:val="GBC22222222222222222222222222222"/>
        </w:placeholder>
      </w:sdtPr>
      <w:sdtEndPr/>
      <w:sdtContent>
        <w:p w14:paraId="272E23F2"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rFonts w:hint="eastAsia"/>
        </w:rPr>
        <w:alias w:val="公司董事、监事、高级管理人员变动的情况说明"/>
        <w:tag w:val="_GBC_f2e7651aeda04cb8847fc3d49af6315f"/>
        <w:id w:val="2081862293"/>
        <w:placeholder>
          <w:docPart w:val="GBC22222222222222222222222222222"/>
        </w:placeholder>
      </w:sdtPr>
      <w:sdtEndPr/>
      <w:sdtContent>
        <w:p w14:paraId="3025BAD4" w14:textId="77777777" w:rsidR="002D0AE7" w:rsidRDefault="00333EBB">
          <w:pPr>
            <w:ind w:firstLineChars="200" w:firstLine="480"/>
            <w:rPr>
              <w:rFonts w:hint="eastAsia"/>
              <w:color w:val="000000" w:themeColor="text1"/>
            </w:rPr>
          </w:pPr>
          <w:r>
            <w:rPr>
              <w:rFonts w:hint="eastAsia"/>
              <w:color w:val="000000" w:themeColor="text1"/>
            </w:rPr>
            <w:t>1.</w:t>
          </w:r>
          <w:r>
            <w:rPr>
              <w:rFonts w:hint="eastAsia"/>
              <w:color w:val="000000" w:themeColor="text1"/>
            </w:rPr>
            <w:t>王春丽女士因到达法定退休年龄辞去公司董事会秘书职务，经董事长徐华先生提名，公司独立董事专门会议与第九届董事会第七次会议审议通过，聘任刘博先生为公司董事会秘书，任期与第九届董事会任期一致。</w:t>
          </w:r>
        </w:p>
        <w:p w14:paraId="327D2E88" w14:textId="77777777" w:rsidR="002D0AE7" w:rsidRDefault="00333EBB">
          <w:pPr>
            <w:ind w:firstLineChars="200" w:firstLine="480"/>
            <w:rPr>
              <w:rFonts w:hint="eastAsia"/>
            </w:rPr>
          </w:pPr>
          <w:r>
            <w:rPr>
              <w:rFonts w:hint="eastAsia"/>
            </w:rPr>
            <w:t>2</w:t>
          </w:r>
          <w:r>
            <w:t>.</w:t>
          </w:r>
          <w:r>
            <w:rPr>
              <w:rFonts w:hint="eastAsia"/>
            </w:rPr>
            <w:t>经总经理李书箱先生提名，公司独立董事专门会议与第九届董事会第八次会议审议通过，聘任张杰先生为公司副总经理。</w:t>
          </w:r>
        </w:p>
      </w:sdtContent>
    </w:sdt>
    <w:p w14:paraId="076EF73E" w14:textId="77777777" w:rsidR="002D0AE7" w:rsidRDefault="00333EBB">
      <w:pPr>
        <w:pStyle w:val="2"/>
        <w:numPr>
          <w:ilvl w:val="0"/>
          <w:numId w:val="12"/>
        </w:numPr>
        <w:tabs>
          <w:tab w:val="left" w:pos="426"/>
        </w:tabs>
        <w:ind w:left="482" w:hanging="482"/>
        <w:jc w:val="left"/>
        <w:rPr>
          <w:rFonts w:ascii="宋体" w:hAnsi="宋体" w:hint="eastAsia"/>
          <w:color w:val="000000" w:themeColor="text1"/>
        </w:rPr>
      </w:pPr>
      <w:r>
        <w:rPr>
          <w:rFonts w:ascii="宋体" w:hAnsi="宋体"/>
          <w:color w:val="000000" w:themeColor="text1"/>
        </w:rPr>
        <w:t>利润分配或资本公积金转增预案</w:t>
      </w:r>
    </w:p>
    <w:p w14:paraId="470FC536" w14:textId="77777777" w:rsidR="002D0AE7" w:rsidRDefault="00333EBB">
      <w:pPr>
        <w:rPr>
          <w:rFonts w:hint="eastAsia"/>
          <w:b/>
          <w:bCs/>
          <w:color w:val="000000" w:themeColor="text1"/>
        </w:rPr>
      </w:pPr>
      <w:r>
        <w:rPr>
          <w:b/>
          <w:color w:val="000000" w:themeColor="text1"/>
        </w:rPr>
        <w:t>半年度拟定的利润分配预案、公积金转增股本预案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4404"/>
      </w:tblGrid>
      <w:tr w:rsidR="002D0AE7" w14:paraId="169AE9A7" w14:textId="77777777">
        <w:sdt>
          <w:sdtPr>
            <w:rPr>
              <w:color w:val="000000" w:themeColor="text1"/>
            </w:rPr>
            <w:tag w:val="_PLD_dee68179c02c4ccc8a9b8d7e3f70f2c6"/>
            <w:id w:val="-1902589229"/>
          </w:sdtPr>
          <w:sdtEndPr/>
          <w:sdtContent>
            <w:tc>
              <w:tcPr>
                <w:tcW w:w="4524" w:type="dxa"/>
              </w:tcPr>
              <w:p w14:paraId="430D9198" w14:textId="77777777" w:rsidR="002D0AE7" w:rsidRDefault="00333EBB">
                <w:pPr>
                  <w:rPr>
                    <w:rFonts w:hint="eastAsia"/>
                    <w:color w:val="000000" w:themeColor="text1"/>
                  </w:rPr>
                </w:pPr>
                <w:r>
                  <w:rPr>
                    <w:color w:val="000000" w:themeColor="text1"/>
                  </w:rPr>
                  <w:t>是否分配或转增</w:t>
                </w:r>
              </w:p>
            </w:tc>
          </w:sdtContent>
        </w:sdt>
        <w:sdt>
          <w:sdtPr>
            <w:rPr>
              <w:rFonts w:hint="eastAsia"/>
            </w:rPr>
            <w:alias w:val="是否分配或转增"/>
            <w:tag w:val="_GBC_1aa3bb539f35454da0536200efcc4f60"/>
            <w:id w:val="1752227011"/>
            <w:comboBox>
              <w:listItem w:displayText="是" w:value="true"/>
              <w:listItem w:displayText="否" w:value="false"/>
            </w:comboBox>
          </w:sdtPr>
          <w:sdtEndPr/>
          <w:sdtContent>
            <w:tc>
              <w:tcPr>
                <w:tcW w:w="4524" w:type="dxa"/>
              </w:tcPr>
              <w:p w14:paraId="7A973A0C" w14:textId="77777777" w:rsidR="002D0AE7" w:rsidRDefault="00333EBB">
                <w:pPr>
                  <w:jc w:val="center"/>
                  <w:rPr>
                    <w:rFonts w:hint="eastAsia"/>
                  </w:rPr>
                </w:pPr>
                <w:r>
                  <w:rPr>
                    <w:rFonts w:hint="eastAsia"/>
                  </w:rPr>
                  <w:t>否</w:t>
                </w:r>
              </w:p>
            </w:tc>
          </w:sdtContent>
        </w:sdt>
      </w:tr>
      <w:tr w:rsidR="002D0AE7" w14:paraId="4C28DC50" w14:textId="77777777">
        <w:tc>
          <w:tcPr>
            <w:tcW w:w="4524" w:type="dxa"/>
          </w:tcPr>
          <w:p w14:paraId="500278EB" w14:textId="77777777" w:rsidR="002D0AE7" w:rsidRDefault="00333EBB">
            <w:pPr>
              <w:rPr>
                <w:rFonts w:hint="eastAsia"/>
                <w:color w:val="000000" w:themeColor="text1"/>
              </w:rPr>
            </w:pPr>
            <w:r>
              <w:rPr>
                <w:color w:val="000000" w:themeColor="text1"/>
              </w:rPr>
              <w:lastRenderedPageBreak/>
              <w:t>每</w:t>
            </w:r>
            <w:r>
              <w:rPr>
                <w:color w:val="000000" w:themeColor="text1"/>
              </w:rPr>
              <w:t>10</w:t>
            </w:r>
            <w:r>
              <w:rPr>
                <w:color w:val="000000" w:themeColor="text1"/>
              </w:rPr>
              <w:t>股送红股数（股）</w:t>
            </w:r>
          </w:p>
        </w:tc>
        <w:tc>
          <w:tcPr>
            <w:tcW w:w="4524" w:type="dxa"/>
          </w:tcPr>
          <w:p w14:paraId="09E5B3A1" w14:textId="77777777" w:rsidR="002D0AE7" w:rsidRDefault="00333EBB">
            <w:pPr>
              <w:jc w:val="center"/>
              <w:rPr>
                <w:rFonts w:hint="eastAsia"/>
              </w:rPr>
            </w:pPr>
            <w:r>
              <w:t>0</w:t>
            </w:r>
          </w:p>
        </w:tc>
      </w:tr>
      <w:tr w:rsidR="002D0AE7" w14:paraId="06FD1E14" w14:textId="77777777">
        <w:tc>
          <w:tcPr>
            <w:tcW w:w="4524" w:type="dxa"/>
          </w:tcPr>
          <w:p w14:paraId="5698C513" w14:textId="77777777" w:rsidR="002D0AE7" w:rsidRDefault="00333EBB">
            <w:pPr>
              <w:rPr>
                <w:rFonts w:hint="eastAsia"/>
                <w:color w:val="000000" w:themeColor="text1"/>
              </w:rPr>
            </w:pPr>
            <w:r>
              <w:rPr>
                <w:color w:val="000000" w:themeColor="text1"/>
              </w:rPr>
              <w:t>每</w:t>
            </w:r>
            <w:r>
              <w:rPr>
                <w:color w:val="000000" w:themeColor="text1"/>
              </w:rPr>
              <w:t>10</w:t>
            </w:r>
            <w:r>
              <w:rPr>
                <w:color w:val="000000" w:themeColor="text1"/>
              </w:rPr>
              <w:t>股派息数</w:t>
            </w:r>
            <w:r>
              <w:rPr>
                <w:color w:val="000000" w:themeColor="text1"/>
              </w:rPr>
              <w:t>(</w:t>
            </w:r>
            <w:r>
              <w:rPr>
                <w:color w:val="000000" w:themeColor="text1"/>
              </w:rPr>
              <w:t>元</w:t>
            </w:r>
            <w:r>
              <w:rPr>
                <w:color w:val="000000" w:themeColor="text1"/>
              </w:rPr>
              <w:t>)</w:t>
            </w:r>
            <w:r>
              <w:rPr>
                <w:color w:val="000000" w:themeColor="text1"/>
              </w:rPr>
              <w:t>（含税）</w:t>
            </w:r>
          </w:p>
        </w:tc>
        <w:tc>
          <w:tcPr>
            <w:tcW w:w="4524" w:type="dxa"/>
          </w:tcPr>
          <w:p w14:paraId="3DCD45D7" w14:textId="77777777" w:rsidR="002D0AE7" w:rsidRDefault="00333EBB">
            <w:pPr>
              <w:jc w:val="center"/>
              <w:rPr>
                <w:rFonts w:hint="eastAsia"/>
              </w:rPr>
            </w:pPr>
            <w:r>
              <w:t>0</w:t>
            </w:r>
          </w:p>
        </w:tc>
      </w:tr>
      <w:tr w:rsidR="002D0AE7" w14:paraId="0B819D27" w14:textId="77777777">
        <w:tc>
          <w:tcPr>
            <w:tcW w:w="4524" w:type="dxa"/>
          </w:tcPr>
          <w:p w14:paraId="377797FE" w14:textId="77777777" w:rsidR="002D0AE7" w:rsidRDefault="00333EBB">
            <w:pPr>
              <w:rPr>
                <w:rFonts w:hint="eastAsia"/>
                <w:color w:val="000000" w:themeColor="text1"/>
              </w:rPr>
            </w:pPr>
            <w:r>
              <w:rPr>
                <w:color w:val="000000" w:themeColor="text1"/>
              </w:rPr>
              <w:t>每</w:t>
            </w:r>
            <w:r>
              <w:rPr>
                <w:color w:val="000000" w:themeColor="text1"/>
              </w:rPr>
              <w:t>10</w:t>
            </w:r>
            <w:r>
              <w:rPr>
                <w:color w:val="000000" w:themeColor="text1"/>
              </w:rPr>
              <w:t>股转增数（股）</w:t>
            </w:r>
          </w:p>
        </w:tc>
        <w:tc>
          <w:tcPr>
            <w:tcW w:w="4524" w:type="dxa"/>
          </w:tcPr>
          <w:p w14:paraId="020EC3FE" w14:textId="77777777" w:rsidR="002D0AE7" w:rsidRDefault="00333EBB">
            <w:pPr>
              <w:jc w:val="center"/>
              <w:rPr>
                <w:rFonts w:hint="eastAsia"/>
              </w:rPr>
            </w:pPr>
            <w:r>
              <w:t>0</w:t>
            </w:r>
          </w:p>
        </w:tc>
      </w:tr>
      <w:tr w:rsidR="002D0AE7" w14:paraId="0BE4211F" w14:textId="77777777">
        <w:sdt>
          <w:sdtPr>
            <w:rPr>
              <w:color w:val="000000" w:themeColor="text1"/>
            </w:rPr>
            <w:tag w:val="_PLD_6f4b1db2793f4d00b5b11589fa8a57fc"/>
            <w:id w:val="-1609118243"/>
          </w:sdtPr>
          <w:sdtEndPr/>
          <w:sdtContent>
            <w:tc>
              <w:tcPr>
                <w:tcW w:w="9048" w:type="dxa"/>
                <w:gridSpan w:val="2"/>
              </w:tcPr>
              <w:p w14:paraId="0676854A" w14:textId="77777777" w:rsidR="002D0AE7" w:rsidRDefault="00333EBB">
                <w:pPr>
                  <w:jc w:val="center"/>
                  <w:rPr>
                    <w:rFonts w:hint="eastAsia"/>
                    <w:color w:val="000000" w:themeColor="text1"/>
                  </w:rPr>
                </w:pPr>
                <w:r>
                  <w:rPr>
                    <w:color w:val="000000" w:themeColor="text1"/>
                  </w:rPr>
                  <w:t>利润分配或资本公积金转增预案的相关情况说明</w:t>
                </w:r>
              </w:p>
            </w:tc>
          </w:sdtContent>
        </w:sdt>
      </w:tr>
      <w:tr w:rsidR="002D0AE7" w14:paraId="672A0073" w14:textId="77777777">
        <w:tc>
          <w:tcPr>
            <w:tcW w:w="9048" w:type="dxa"/>
            <w:gridSpan w:val="2"/>
          </w:tcPr>
          <w:p w14:paraId="49D76427" w14:textId="77777777" w:rsidR="002D0AE7" w:rsidRDefault="00333EBB">
            <w:pPr>
              <w:jc w:val="center"/>
              <w:rPr>
                <w:rFonts w:hint="eastAsia"/>
                <w:color w:val="000000" w:themeColor="text1"/>
              </w:rPr>
            </w:pPr>
            <w:r>
              <w:rPr>
                <w:rFonts w:hint="eastAsia"/>
                <w:color w:val="000000" w:themeColor="text1"/>
              </w:rPr>
              <w:t>无</w:t>
            </w:r>
          </w:p>
        </w:tc>
      </w:tr>
    </w:tbl>
    <w:p w14:paraId="516039F5" w14:textId="77777777" w:rsidR="002D0AE7" w:rsidRDefault="00333EBB">
      <w:pPr>
        <w:pStyle w:val="2"/>
        <w:numPr>
          <w:ilvl w:val="0"/>
          <w:numId w:val="12"/>
        </w:numPr>
        <w:tabs>
          <w:tab w:val="left" w:pos="426"/>
        </w:tabs>
        <w:ind w:left="482" w:hanging="482"/>
        <w:jc w:val="left"/>
        <w:rPr>
          <w:rFonts w:ascii="宋体" w:hAnsi="宋体" w:hint="eastAsia"/>
          <w:color w:val="000000" w:themeColor="text1"/>
        </w:rPr>
      </w:pPr>
      <w:r>
        <w:rPr>
          <w:rFonts w:ascii="宋体" w:hAnsi="宋体" w:hint="eastAsia"/>
          <w:color w:val="000000" w:themeColor="text1"/>
        </w:rPr>
        <w:t>公司股权激励计划、员工持股计划或其他员工激励措施的情况及其影响</w:t>
      </w:r>
    </w:p>
    <w:p w14:paraId="739C4158" w14:textId="77777777" w:rsidR="002D0AE7" w:rsidRDefault="00333EBB">
      <w:pPr>
        <w:pStyle w:val="3"/>
        <w:numPr>
          <w:ilvl w:val="1"/>
          <w:numId w:val="13"/>
        </w:numPr>
        <w:rPr>
          <w:rFonts w:ascii="宋体" w:hAnsi="宋体" w:hint="eastAsia"/>
          <w:color w:val="000000" w:themeColor="text1"/>
          <w:kern w:val="44"/>
        </w:rPr>
      </w:pPr>
      <w:bookmarkStart w:id="53" w:name="_Hlk74641818"/>
      <w:r>
        <w:rPr>
          <w:rFonts w:ascii="宋体" w:hAnsi="宋体" w:hint="eastAsia"/>
          <w:color w:val="000000" w:themeColor="text1"/>
          <w:kern w:val="44"/>
        </w:rPr>
        <w:t>相关股权激励事项已在临时公告披露且后续实施无进展或变化的</w:t>
      </w:r>
    </w:p>
    <w:sdt>
      <w:sdtPr>
        <w:rPr>
          <w:color w:val="000000" w:themeColor="text1"/>
        </w:rPr>
        <w:alias w:val="是否适用：相关激励事项已在临时公告披露且后续实施无进展或变化的[双击切换]"/>
        <w:tag w:val="_GBC_3c43a5cea9ef47daa40f133532dcd63c"/>
        <w:id w:val="-393429800"/>
        <w:placeholder>
          <w:docPart w:val="GBC22222222222222222222222222222"/>
        </w:placeholder>
      </w:sdtPr>
      <w:sdtEndPr/>
      <w:sdtContent>
        <w:p w14:paraId="4C83C8E6"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7"/>
        <w:gridCol w:w="2736"/>
      </w:tblGrid>
      <w:tr w:rsidR="002D0AE7" w14:paraId="18DD95D6" w14:textId="77777777">
        <w:bookmarkEnd w:id="53" w:displacedByCustomXml="next"/>
        <w:sdt>
          <w:sdtPr>
            <w:rPr>
              <w:color w:val="000000" w:themeColor="text1"/>
            </w:rPr>
            <w:tag w:val="_PLD_ef812a0a3e304bed86eb0a29278eb98f"/>
            <w:id w:val="-1355185382"/>
          </w:sdtPr>
          <w:sdtEndPr/>
          <w:sdtContent>
            <w:tc>
              <w:tcPr>
                <w:tcW w:w="3662" w:type="pct"/>
                <w:shd w:val="clear" w:color="auto" w:fill="auto"/>
              </w:tcPr>
              <w:p w14:paraId="76BF0A2D" w14:textId="77777777" w:rsidR="002D0AE7" w:rsidRDefault="00333EBB">
                <w:pPr>
                  <w:jc w:val="center"/>
                  <w:rPr>
                    <w:rFonts w:hint="eastAsia"/>
                    <w:bCs/>
                    <w:color w:val="000000" w:themeColor="text1"/>
                    <w:kern w:val="44"/>
                  </w:rPr>
                </w:pPr>
                <w:r>
                  <w:rPr>
                    <w:rFonts w:hint="eastAsia"/>
                    <w:color w:val="000000" w:themeColor="text1"/>
                    <w:kern w:val="44"/>
                  </w:rPr>
                  <w:t>事项概述</w:t>
                </w:r>
              </w:p>
            </w:tc>
          </w:sdtContent>
        </w:sdt>
        <w:sdt>
          <w:sdtPr>
            <w:rPr>
              <w:color w:val="000000" w:themeColor="text1"/>
            </w:rPr>
            <w:tag w:val="_PLD_765d129d92594e59b6a30bc92f2cc4f2"/>
            <w:id w:val="-403377445"/>
          </w:sdtPr>
          <w:sdtEndPr/>
          <w:sdtContent>
            <w:tc>
              <w:tcPr>
                <w:tcW w:w="1338" w:type="pct"/>
                <w:shd w:val="clear" w:color="auto" w:fill="auto"/>
              </w:tcPr>
              <w:p w14:paraId="19F64C66" w14:textId="77777777" w:rsidR="002D0AE7" w:rsidRDefault="00333EBB">
                <w:pPr>
                  <w:jc w:val="center"/>
                  <w:rPr>
                    <w:rFonts w:hint="eastAsia"/>
                    <w:bCs/>
                    <w:color w:val="000000" w:themeColor="text1"/>
                    <w:kern w:val="44"/>
                  </w:rPr>
                </w:pPr>
                <w:r>
                  <w:rPr>
                    <w:rFonts w:hint="eastAsia"/>
                    <w:color w:val="000000" w:themeColor="text1"/>
                    <w:kern w:val="44"/>
                  </w:rPr>
                  <w:t>查询索引</w:t>
                </w:r>
              </w:p>
            </w:tc>
          </w:sdtContent>
        </w:sdt>
      </w:tr>
      <w:tr w:rsidR="002D0AE7" w14:paraId="13082EF6" w14:textId="77777777">
        <w:tc>
          <w:tcPr>
            <w:tcW w:w="3662" w:type="pct"/>
            <w:shd w:val="clear" w:color="auto" w:fill="auto"/>
          </w:tcPr>
          <w:p w14:paraId="07C9EFBD" w14:textId="77777777" w:rsidR="002D0AE7" w:rsidRDefault="00333EBB">
            <w:pPr>
              <w:rPr>
                <w:rFonts w:hint="eastAsia"/>
                <w:bCs/>
                <w:kern w:val="44"/>
              </w:rPr>
            </w:pPr>
            <w:r>
              <w:t>2015</w:t>
            </w:r>
            <w:r>
              <w:t>年</w:t>
            </w:r>
            <w:r>
              <w:t>12</w:t>
            </w:r>
            <w:r>
              <w:t>月</w:t>
            </w:r>
            <w:r>
              <w:t>15</w:t>
            </w:r>
            <w:r>
              <w:t>日公司第六届董事会第十一次会议审议通过了公司《限制性股票激励计划（草案）》及其摘要、《限制性股票激励计划实施考核管理办法》和《关于提请股东大会授权董事会办理公司限制性股票激励计划相关事宜的议案》。</w:t>
            </w:r>
          </w:p>
        </w:tc>
        <w:tc>
          <w:tcPr>
            <w:tcW w:w="1338" w:type="pct"/>
            <w:shd w:val="clear" w:color="auto" w:fill="auto"/>
            <w:vAlign w:val="center"/>
          </w:tcPr>
          <w:p w14:paraId="68FED397" w14:textId="77777777" w:rsidR="002D0AE7" w:rsidRDefault="00333EBB">
            <w:pPr>
              <w:jc w:val="center"/>
              <w:rPr>
                <w:rFonts w:hint="eastAsia"/>
                <w:bCs/>
                <w:kern w:val="44"/>
              </w:rPr>
            </w:pPr>
            <w:r>
              <w:t>http://www.sse.com.cn</w:t>
            </w:r>
          </w:p>
        </w:tc>
      </w:tr>
      <w:tr w:rsidR="002D0AE7" w14:paraId="752267F7" w14:textId="77777777">
        <w:tc>
          <w:tcPr>
            <w:tcW w:w="3662" w:type="pct"/>
            <w:shd w:val="clear" w:color="auto" w:fill="auto"/>
          </w:tcPr>
          <w:p w14:paraId="3BFE4472" w14:textId="77777777" w:rsidR="002D0AE7" w:rsidRDefault="00333EBB">
            <w:pPr>
              <w:rPr>
                <w:rFonts w:hint="eastAsia"/>
                <w:bCs/>
                <w:kern w:val="44"/>
              </w:rPr>
            </w:pPr>
            <w:r>
              <w:t>2019</w:t>
            </w:r>
            <w:r>
              <w:t>年</w:t>
            </w:r>
            <w:r>
              <w:t>8</w:t>
            </w:r>
            <w:r>
              <w:t>月</w:t>
            </w:r>
            <w:r>
              <w:t>26</w:t>
            </w:r>
            <w:r>
              <w:t>日公司第七届董事会第二十三次会议审议通过了公司《限制性股票激励计划（草案修订稿）》及其摘要、《限制性股票激励计划实施考核管理办法》（修订稿）和《关于提请股东大会授权董事会办理公司限制性股票激励计划相关事宜的议案》。</w:t>
            </w:r>
          </w:p>
        </w:tc>
        <w:tc>
          <w:tcPr>
            <w:tcW w:w="1338" w:type="pct"/>
            <w:shd w:val="clear" w:color="auto" w:fill="auto"/>
            <w:vAlign w:val="center"/>
          </w:tcPr>
          <w:p w14:paraId="2494A248" w14:textId="77777777" w:rsidR="002D0AE7" w:rsidRDefault="00333EBB">
            <w:pPr>
              <w:jc w:val="center"/>
              <w:rPr>
                <w:rFonts w:hint="eastAsia"/>
                <w:bCs/>
                <w:kern w:val="44"/>
              </w:rPr>
            </w:pPr>
            <w:r>
              <w:t>http://www.sse.com.cn</w:t>
            </w:r>
          </w:p>
        </w:tc>
      </w:tr>
      <w:tr w:rsidR="002D0AE7" w14:paraId="15D1CDF8" w14:textId="77777777">
        <w:tc>
          <w:tcPr>
            <w:tcW w:w="3662" w:type="pct"/>
            <w:shd w:val="clear" w:color="auto" w:fill="auto"/>
          </w:tcPr>
          <w:p w14:paraId="43FB5755" w14:textId="77777777" w:rsidR="002D0AE7" w:rsidRDefault="00333EBB">
            <w:pPr>
              <w:rPr>
                <w:rFonts w:hint="eastAsia"/>
                <w:bCs/>
                <w:kern w:val="44"/>
              </w:rPr>
            </w:pPr>
            <w:r>
              <w:t>2019</w:t>
            </w:r>
            <w:r>
              <w:t>年</w:t>
            </w:r>
            <w:r>
              <w:t>9</w:t>
            </w:r>
            <w:r>
              <w:t>月</w:t>
            </w:r>
            <w:r>
              <w:t>30</w:t>
            </w:r>
            <w:r>
              <w:t>日公司收到医药集团《关于同意天药药业股权激励方案的批复》。</w:t>
            </w:r>
          </w:p>
        </w:tc>
        <w:tc>
          <w:tcPr>
            <w:tcW w:w="1338" w:type="pct"/>
            <w:shd w:val="clear" w:color="auto" w:fill="auto"/>
            <w:vAlign w:val="center"/>
          </w:tcPr>
          <w:p w14:paraId="1C52213C" w14:textId="77777777" w:rsidR="002D0AE7" w:rsidRDefault="00333EBB">
            <w:pPr>
              <w:jc w:val="center"/>
              <w:rPr>
                <w:rFonts w:hint="eastAsia"/>
                <w:bCs/>
                <w:kern w:val="44"/>
              </w:rPr>
            </w:pPr>
            <w:r>
              <w:t>http://www.sse.com.cn</w:t>
            </w:r>
          </w:p>
        </w:tc>
      </w:tr>
      <w:tr w:rsidR="002D0AE7" w14:paraId="7236D8BC" w14:textId="77777777">
        <w:tc>
          <w:tcPr>
            <w:tcW w:w="3662" w:type="pct"/>
            <w:shd w:val="clear" w:color="auto" w:fill="auto"/>
          </w:tcPr>
          <w:p w14:paraId="2CD76E66" w14:textId="77777777" w:rsidR="002D0AE7" w:rsidRDefault="00333EBB">
            <w:pPr>
              <w:rPr>
                <w:rFonts w:hint="eastAsia"/>
                <w:bCs/>
                <w:kern w:val="44"/>
              </w:rPr>
            </w:pPr>
            <w:r>
              <w:t>2019</w:t>
            </w:r>
            <w:r>
              <w:t>年</w:t>
            </w:r>
            <w:r>
              <w:t>10</w:t>
            </w:r>
            <w:r>
              <w:t>月</w:t>
            </w:r>
            <w:r>
              <w:t>29</w:t>
            </w:r>
            <w:r>
              <w:t>日公司第七届董事会第二十五次会议审议通过了公司《限制性股票激励计划（草案二次修订稿）》及其摘要、《限制性股票激励计划实施考核管理办法》（二次修订稿）。</w:t>
            </w:r>
          </w:p>
        </w:tc>
        <w:tc>
          <w:tcPr>
            <w:tcW w:w="1338" w:type="pct"/>
            <w:shd w:val="clear" w:color="auto" w:fill="auto"/>
            <w:vAlign w:val="center"/>
          </w:tcPr>
          <w:p w14:paraId="5FB30795" w14:textId="77777777" w:rsidR="002D0AE7" w:rsidRDefault="00333EBB">
            <w:pPr>
              <w:jc w:val="center"/>
              <w:rPr>
                <w:rFonts w:hint="eastAsia"/>
                <w:bCs/>
                <w:kern w:val="44"/>
              </w:rPr>
            </w:pPr>
            <w:r>
              <w:t>http://www.sse.com.cn</w:t>
            </w:r>
          </w:p>
        </w:tc>
      </w:tr>
      <w:tr w:rsidR="002D0AE7" w14:paraId="5C932E28" w14:textId="77777777">
        <w:tc>
          <w:tcPr>
            <w:tcW w:w="3662" w:type="pct"/>
            <w:shd w:val="clear" w:color="auto" w:fill="auto"/>
          </w:tcPr>
          <w:p w14:paraId="3D259CEF" w14:textId="77777777" w:rsidR="002D0AE7" w:rsidRDefault="00333EBB">
            <w:pPr>
              <w:rPr>
                <w:rFonts w:hint="eastAsia"/>
                <w:bCs/>
                <w:kern w:val="44"/>
              </w:rPr>
            </w:pPr>
            <w:r>
              <w:t>2019</w:t>
            </w:r>
            <w:r>
              <w:t>年</w:t>
            </w:r>
            <w:r>
              <w:t>11</w:t>
            </w:r>
            <w:r>
              <w:t>月</w:t>
            </w:r>
            <w:r>
              <w:t>15</w:t>
            </w:r>
            <w:r>
              <w:t>日公司</w:t>
            </w:r>
            <w:r>
              <w:t>2019</w:t>
            </w:r>
            <w:r>
              <w:t>年第三次临时股东大会审议通过了公司《限制性股票激励计划（草案二次修订稿）》及其摘要、《限制性股票激励计划实施考核管理办法》（二次修订稿）、《关于提请股东大会授权董事会办理公司限制性股票激励计划相关事宜的议案》。</w:t>
            </w:r>
          </w:p>
        </w:tc>
        <w:tc>
          <w:tcPr>
            <w:tcW w:w="1338" w:type="pct"/>
            <w:shd w:val="clear" w:color="auto" w:fill="auto"/>
            <w:vAlign w:val="center"/>
          </w:tcPr>
          <w:p w14:paraId="67024162" w14:textId="77777777" w:rsidR="002D0AE7" w:rsidRDefault="00333EBB">
            <w:pPr>
              <w:jc w:val="center"/>
              <w:rPr>
                <w:rFonts w:hint="eastAsia"/>
                <w:bCs/>
                <w:kern w:val="44"/>
              </w:rPr>
            </w:pPr>
            <w:r>
              <w:t>http://www.sse.com.cn</w:t>
            </w:r>
          </w:p>
        </w:tc>
      </w:tr>
      <w:tr w:rsidR="002D0AE7" w14:paraId="69EC88B1" w14:textId="77777777">
        <w:tc>
          <w:tcPr>
            <w:tcW w:w="3662" w:type="pct"/>
            <w:shd w:val="clear" w:color="auto" w:fill="auto"/>
          </w:tcPr>
          <w:p w14:paraId="155EA168" w14:textId="77777777" w:rsidR="002D0AE7" w:rsidRDefault="00333EBB">
            <w:pPr>
              <w:rPr>
                <w:rFonts w:hint="eastAsia"/>
                <w:bCs/>
                <w:kern w:val="44"/>
              </w:rPr>
            </w:pPr>
            <w:r>
              <w:t>2020</w:t>
            </w:r>
            <w:r>
              <w:t>年</w:t>
            </w:r>
            <w:r>
              <w:t>5</w:t>
            </w:r>
            <w:r>
              <w:t>月</w:t>
            </w:r>
            <w:r>
              <w:t>15</w:t>
            </w:r>
            <w:r>
              <w:t>日公司第七届董事会第三十二次会议审议通过了《关于调整限制性股票激励计划相关事项的议案》《关于向激励对象授予限制性股票的议案》。</w:t>
            </w:r>
          </w:p>
        </w:tc>
        <w:tc>
          <w:tcPr>
            <w:tcW w:w="1338" w:type="pct"/>
            <w:shd w:val="clear" w:color="auto" w:fill="auto"/>
            <w:vAlign w:val="center"/>
          </w:tcPr>
          <w:p w14:paraId="6A62C355" w14:textId="77777777" w:rsidR="002D0AE7" w:rsidRDefault="00333EBB">
            <w:pPr>
              <w:jc w:val="center"/>
              <w:rPr>
                <w:rFonts w:hint="eastAsia"/>
                <w:bCs/>
                <w:kern w:val="44"/>
              </w:rPr>
            </w:pPr>
            <w:r>
              <w:t>http://www.sse.com.cn</w:t>
            </w:r>
          </w:p>
        </w:tc>
      </w:tr>
      <w:tr w:rsidR="002D0AE7" w14:paraId="4F7BE930" w14:textId="77777777">
        <w:tc>
          <w:tcPr>
            <w:tcW w:w="3662" w:type="pct"/>
            <w:shd w:val="clear" w:color="auto" w:fill="auto"/>
          </w:tcPr>
          <w:p w14:paraId="3244CEF6" w14:textId="77777777" w:rsidR="002D0AE7" w:rsidRDefault="00333EBB">
            <w:pPr>
              <w:rPr>
                <w:rFonts w:hint="eastAsia"/>
                <w:bCs/>
                <w:kern w:val="44"/>
              </w:rPr>
            </w:pPr>
            <w:r>
              <w:t>2020</w:t>
            </w:r>
            <w:r>
              <w:t>年</w:t>
            </w:r>
            <w:r>
              <w:t>6</w:t>
            </w:r>
            <w:r>
              <w:t>月</w:t>
            </w:r>
            <w:r>
              <w:t>2</w:t>
            </w:r>
            <w:r>
              <w:t>日公司激励计划授予的限制性股票登记手续已完成，中国证券登记结算有限责任公司上海分公司向公司出具了《证券变更登记证明》，并于</w:t>
            </w:r>
            <w:r>
              <w:t>2020</w:t>
            </w:r>
            <w:r>
              <w:t>年</w:t>
            </w:r>
            <w:r>
              <w:t>6</w:t>
            </w:r>
            <w:r>
              <w:t>月</w:t>
            </w:r>
            <w:r>
              <w:t>4</w:t>
            </w:r>
            <w:r>
              <w:t>日披露了《关于限制性股票激励计划授予结果公告》。</w:t>
            </w:r>
          </w:p>
        </w:tc>
        <w:tc>
          <w:tcPr>
            <w:tcW w:w="1338" w:type="pct"/>
            <w:shd w:val="clear" w:color="auto" w:fill="auto"/>
            <w:vAlign w:val="center"/>
          </w:tcPr>
          <w:p w14:paraId="14C472FC" w14:textId="77777777" w:rsidR="002D0AE7" w:rsidRDefault="00333EBB">
            <w:pPr>
              <w:jc w:val="center"/>
              <w:rPr>
                <w:rFonts w:hint="eastAsia"/>
                <w:bCs/>
                <w:kern w:val="44"/>
              </w:rPr>
            </w:pPr>
            <w:r>
              <w:t>http://www.sse.com.cn</w:t>
            </w:r>
          </w:p>
        </w:tc>
      </w:tr>
      <w:tr w:rsidR="002D0AE7" w14:paraId="52D576D1" w14:textId="77777777">
        <w:tc>
          <w:tcPr>
            <w:tcW w:w="3662" w:type="pct"/>
            <w:shd w:val="clear" w:color="auto" w:fill="auto"/>
          </w:tcPr>
          <w:p w14:paraId="5FADC6C1" w14:textId="77777777" w:rsidR="002D0AE7" w:rsidRDefault="00333EBB">
            <w:pPr>
              <w:rPr>
                <w:rFonts w:hint="eastAsia"/>
                <w:bCs/>
                <w:kern w:val="44"/>
              </w:rPr>
            </w:pPr>
            <w:r>
              <w:t>2020</w:t>
            </w:r>
            <w:r>
              <w:t>年</w:t>
            </w:r>
            <w:r>
              <w:t>10</w:t>
            </w:r>
            <w:r>
              <w:t>月</w:t>
            </w:r>
            <w:r>
              <w:t>28</w:t>
            </w:r>
            <w:r>
              <w:t>日鉴于激励对象中</w:t>
            </w:r>
            <w:r>
              <w:t>2</w:t>
            </w:r>
            <w:r>
              <w:t>名激励对象因工作调整等原因离职，已不符合公司限制性股票激励计划中有关激励对象的规定，经第七届董事会第三十八次会议审议通过，取消该</w:t>
            </w:r>
            <w:r>
              <w:t>2</w:t>
            </w:r>
            <w:r>
              <w:t>名激励对象资格并回购其持有的已获授但尚未解锁的限制性股票共</w:t>
            </w:r>
            <w:r>
              <w:t>120,000</w:t>
            </w:r>
            <w:r>
              <w:t>股，本次回购</w:t>
            </w:r>
            <w:r>
              <w:lastRenderedPageBreak/>
              <w:t>注销于</w:t>
            </w:r>
            <w:r>
              <w:t>2020</w:t>
            </w:r>
            <w:r>
              <w:t>年</w:t>
            </w:r>
            <w:r>
              <w:t>12</w:t>
            </w:r>
            <w:r>
              <w:t>月完成，剩余已登记的股权激励限制性股票为</w:t>
            </w:r>
            <w:r>
              <w:t>8,900,000</w:t>
            </w:r>
            <w:r>
              <w:t>股。</w:t>
            </w:r>
          </w:p>
        </w:tc>
        <w:tc>
          <w:tcPr>
            <w:tcW w:w="1338" w:type="pct"/>
            <w:shd w:val="clear" w:color="auto" w:fill="auto"/>
            <w:vAlign w:val="center"/>
          </w:tcPr>
          <w:p w14:paraId="28AEBEAB" w14:textId="77777777" w:rsidR="002D0AE7" w:rsidRDefault="00333EBB">
            <w:pPr>
              <w:jc w:val="center"/>
              <w:rPr>
                <w:rFonts w:hint="eastAsia"/>
                <w:bCs/>
                <w:kern w:val="44"/>
              </w:rPr>
            </w:pPr>
            <w:r>
              <w:lastRenderedPageBreak/>
              <w:t>http://www.sse.com.cn</w:t>
            </w:r>
          </w:p>
        </w:tc>
      </w:tr>
      <w:tr w:rsidR="002D0AE7" w14:paraId="2DB4B2AB" w14:textId="77777777">
        <w:tc>
          <w:tcPr>
            <w:tcW w:w="3662" w:type="pct"/>
            <w:shd w:val="clear" w:color="auto" w:fill="auto"/>
          </w:tcPr>
          <w:p w14:paraId="623C21D1" w14:textId="77777777" w:rsidR="002D0AE7" w:rsidRDefault="00333EBB">
            <w:pPr>
              <w:rPr>
                <w:rFonts w:hint="eastAsia"/>
                <w:bCs/>
                <w:kern w:val="44"/>
              </w:rPr>
            </w:pPr>
            <w:r>
              <w:t>2021</w:t>
            </w:r>
            <w:r>
              <w:t>年</w:t>
            </w:r>
            <w:r>
              <w:t>7</w:t>
            </w:r>
            <w:r>
              <w:t>月</w:t>
            </w:r>
            <w:r>
              <w:t>9</w:t>
            </w:r>
            <w:r>
              <w:t>日鉴于激励对象中</w:t>
            </w:r>
            <w:r>
              <w:t>4</w:t>
            </w:r>
            <w:r>
              <w:t>名激励对象因工作调整等原因离职，已不符合公司限制性股票激励计划中有关激励对象的规定，经第八届董事会第十一八次会议审议通过，取消该</w:t>
            </w:r>
            <w:r>
              <w:t>4</w:t>
            </w:r>
            <w:r>
              <w:t>名激励对象资格并回购其持有的已获授但尚未解锁的限制性股票共</w:t>
            </w:r>
            <w:r>
              <w:t>440,000</w:t>
            </w:r>
            <w:r>
              <w:t>股，本次回购注销于</w:t>
            </w:r>
            <w:r>
              <w:t>2021</w:t>
            </w:r>
            <w:r>
              <w:t>年</w:t>
            </w:r>
            <w:r>
              <w:t>9</w:t>
            </w:r>
            <w:r>
              <w:t>月完成，剩余已登记的股权激励限制性股票为</w:t>
            </w:r>
            <w:r>
              <w:t>8,460,000</w:t>
            </w:r>
            <w:r>
              <w:t>股。</w:t>
            </w:r>
          </w:p>
        </w:tc>
        <w:tc>
          <w:tcPr>
            <w:tcW w:w="1338" w:type="pct"/>
            <w:shd w:val="clear" w:color="auto" w:fill="auto"/>
            <w:vAlign w:val="center"/>
          </w:tcPr>
          <w:p w14:paraId="37EA2C5D" w14:textId="77777777" w:rsidR="002D0AE7" w:rsidRDefault="00333EBB">
            <w:pPr>
              <w:jc w:val="center"/>
              <w:rPr>
                <w:rFonts w:hint="eastAsia"/>
                <w:bCs/>
                <w:kern w:val="44"/>
              </w:rPr>
            </w:pPr>
            <w:r>
              <w:t>http://www.sse.com.cn</w:t>
            </w:r>
          </w:p>
        </w:tc>
      </w:tr>
      <w:tr w:rsidR="002D0AE7" w14:paraId="158ED46E" w14:textId="77777777">
        <w:tc>
          <w:tcPr>
            <w:tcW w:w="3662" w:type="pct"/>
            <w:shd w:val="clear" w:color="auto" w:fill="auto"/>
          </w:tcPr>
          <w:p w14:paraId="08371D85" w14:textId="77777777" w:rsidR="002D0AE7" w:rsidRDefault="00333EBB">
            <w:pPr>
              <w:rPr>
                <w:rFonts w:hint="eastAsia"/>
                <w:bCs/>
                <w:kern w:val="44"/>
              </w:rPr>
            </w:pPr>
            <w:r>
              <w:t>2021</w:t>
            </w:r>
            <w:r>
              <w:t>年</w:t>
            </w:r>
            <w:r>
              <w:t>12</w:t>
            </w:r>
            <w:r>
              <w:t>月</w:t>
            </w:r>
            <w:r>
              <w:t>20</w:t>
            </w:r>
            <w:r>
              <w:t>日鉴于激励对象中</w:t>
            </w:r>
            <w:r>
              <w:t>4</w:t>
            </w:r>
            <w:r>
              <w:t>名激励对象因工作调整等原因离职，已不符合公司限制性股票激励计划中有关激励对象的规定，经第八届董事会第十七次会议审议通过，取消该</w:t>
            </w:r>
            <w:r>
              <w:t>4</w:t>
            </w:r>
            <w:r>
              <w:t>名激励对象资格并回购其持有的已获授但尚未解锁的限制性股票共</w:t>
            </w:r>
            <w:r>
              <w:t>300,000</w:t>
            </w:r>
            <w:r>
              <w:t>股，本次回购注销于</w:t>
            </w:r>
            <w:r>
              <w:t>2022</w:t>
            </w:r>
            <w:r>
              <w:t>年</w:t>
            </w:r>
            <w:r>
              <w:t>2</w:t>
            </w:r>
            <w:r>
              <w:t>月完成，剩余已登记的股权激励限制性股票为</w:t>
            </w:r>
            <w:r>
              <w:t>8,160,000</w:t>
            </w:r>
            <w:r>
              <w:t>股。</w:t>
            </w:r>
          </w:p>
        </w:tc>
        <w:tc>
          <w:tcPr>
            <w:tcW w:w="1338" w:type="pct"/>
            <w:shd w:val="clear" w:color="auto" w:fill="auto"/>
            <w:vAlign w:val="center"/>
          </w:tcPr>
          <w:p w14:paraId="45743129" w14:textId="77777777" w:rsidR="002D0AE7" w:rsidRDefault="00333EBB">
            <w:pPr>
              <w:jc w:val="center"/>
              <w:rPr>
                <w:rFonts w:hint="eastAsia"/>
                <w:bCs/>
                <w:kern w:val="44"/>
              </w:rPr>
            </w:pPr>
            <w:r>
              <w:t>http://www.sse.com.cn</w:t>
            </w:r>
          </w:p>
        </w:tc>
      </w:tr>
      <w:tr w:rsidR="002D0AE7" w14:paraId="0BAA6DCC" w14:textId="77777777">
        <w:tc>
          <w:tcPr>
            <w:tcW w:w="3662" w:type="pct"/>
            <w:shd w:val="clear" w:color="auto" w:fill="auto"/>
          </w:tcPr>
          <w:p w14:paraId="23782DF8" w14:textId="77777777" w:rsidR="002D0AE7" w:rsidRDefault="00333EBB">
            <w:pPr>
              <w:rPr>
                <w:rFonts w:hint="eastAsia"/>
                <w:bCs/>
                <w:kern w:val="44"/>
              </w:rPr>
            </w:pPr>
            <w:r>
              <w:t>2022</w:t>
            </w:r>
            <w:r>
              <w:t>年</w:t>
            </w:r>
            <w:r>
              <w:t>6</w:t>
            </w:r>
            <w:r>
              <w:t>月</w:t>
            </w:r>
            <w:r>
              <w:t>20</w:t>
            </w:r>
            <w:r>
              <w:t>日经第八届董事会第二十一次会议审议通过，回购注销</w:t>
            </w:r>
            <w:r>
              <w:t>119</w:t>
            </w:r>
            <w:r>
              <w:t>名激励对象持有的第一个解锁期限制性股票</w:t>
            </w:r>
            <w:r>
              <w:t>2,984,000</w:t>
            </w:r>
            <w:r>
              <w:t>股，同时回购注销因工作调整等原因不再符合激励对象资格的</w:t>
            </w:r>
            <w:r>
              <w:t>9</w:t>
            </w:r>
            <w:r>
              <w:t>名激励对象持有的限制性股票</w:t>
            </w:r>
            <w:r>
              <w:t>700,000</w:t>
            </w:r>
            <w:r>
              <w:t>股，共计</w:t>
            </w:r>
            <w:r>
              <w:t>3,684,000</w:t>
            </w:r>
            <w:r>
              <w:t>股，本次回购注销于</w:t>
            </w:r>
            <w:r>
              <w:t>2022</w:t>
            </w:r>
            <w:r>
              <w:t>年</w:t>
            </w:r>
            <w:r>
              <w:t>8</w:t>
            </w:r>
            <w:r>
              <w:t>月完成，剩余已登记的股权激励限制性股票为</w:t>
            </w:r>
            <w:r>
              <w:t>4,476,000</w:t>
            </w:r>
            <w:r>
              <w:t>股。</w:t>
            </w:r>
          </w:p>
        </w:tc>
        <w:tc>
          <w:tcPr>
            <w:tcW w:w="1338" w:type="pct"/>
            <w:shd w:val="clear" w:color="auto" w:fill="auto"/>
            <w:vAlign w:val="center"/>
          </w:tcPr>
          <w:p w14:paraId="54884ACD" w14:textId="77777777" w:rsidR="002D0AE7" w:rsidRDefault="00333EBB">
            <w:pPr>
              <w:jc w:val="center"/>
              <w:rPr>
                <w:rFonts w:hint="eastAsia"/>
                <w:bCs/>
                <w:kern w:val="44"/>
              </w:rPr>
            </w:pPr>
            <w:r>
              <w:t>http://www.sse.com.cn</w:t>
            </w:r>
          </w:p>
        </w:tc>
      </w:tr>
      <w:tr w:rsidR="002D0AE7" w14:paraId="3A60BF86" w14:textId="77777777">
        <w:tc>
          <w:tcPr>
            <w:tcW w:w="3662" w:type="pct"/>
            <w:shd w:val="clear" w:color="auto" w:fill="auto"/>
          </w:tcPr>
          <w:p w14:paraId="2442DDFD" w14:textId="77777777" w:rsidR="002D0AE7" w:rsidRDefault="00333EBB">
            <w:pPr>
              <w:rPr>
                <w:rFonts w:hint="eastAsia"/>
                <w:bCs/>
                <w:kern w:val="44"/>
              </w:rPr>
            </w:pPr>
            <w:r>
              <w:t>2023</w:t>
            </w:r>
            <w:r>
              <w:t>年</w:t>
            </w:r>
            <w:r>
              <w:t>2</w:t>
            </w:r>
            <w:r>
              <w:t>月</w:t>
            </w:r>
            <w:r>
              <w:t>10</w:t>
            </w:r>
            <w:r>
              <w:t>日鉴于激励对象中</w:t>
            </w:r>
            <w:r>
              <w:t>3</w:t>
            </w:r>
            <w:r>
              <w:t>名激励对象因个人原因离职，已不符合公司限制性股票激励计划中有关激励对象的规定，经第八届董事会第二十七次会议审议通过，取消该</w:t>
            </w:r>
            <w:r>
              <w:t>3</w:t>
            </w:r>
            <w:r>
              <w:t>名激励对象资格并回购其持有的已获授但尚未解锁的限制性股票共</w:t>
            </w:r>
            <w:r>
              <w:t>120,000</w:t>
            </w:r>
            <w:r>
              <w:t>股，本次回购注销于</w:t>
            </w:r>
            <w:r>
              <w:t>2023</w:t>
            </w:r>
            <w:r>
              <w:t>年</w:t>
            </w:r>
            <w:r>
              <w:t>5</w:t>
            </w:r>
            <w:r>
              <w:t>月完成，剩余已登记的股权激励限制性股票为</w:t>
            </w:r>
            <w:r>
              <w:t>4,356,000</w:t>
            </w:r>
            <w:r>
              <w:t>股。</w:t>
            </w:r>
          </w:p>
        </w:tc>
        <w:tc>
          <w:tcPr>
            <w:tcW w:w="1338" w:type="pct"/>
            <w:shd w:val="clear" w:color="auto" w:fill="auto"/>
            <w:vAlign w:val="center"/>
          </w:tcPr>
          <w:p w14:paraId="344AF333" w14:textId="77777777" w:rsidR="002D0AE7" w:rsidRDefault="00333EBB">
            <w:pPr>
              <w:jc w:val="center"/>
              <w:rPr>
                <w:rFonts w:hint="eastAsia"/>
                <w:bCs/>
                <w:kern w:val="44"/>
              </w:rPr>
            </w:pPr>
            <w:r>
              <w:t>http://www.sse.com.cn</w:t>
            </w:r>
          </w:p>
        </w:tc>
      </w:tr>
      <w:tr w:rsidR="002D0AE7" w14:paraId="277C169F" w14:textId="77777777">
        <w:tc>
          <w:tcPr>
            <w:tcW w:w="3662" w:type="pct"/>
            <w:shd w:val="clear" w:color="auto" w:fill="auto"/>
          </w:tcPr>
          <w:p w14:paraId="2CA042E9" w14:textId="77777777" w:rsidR="002D0AE7" w:rsidRDefault="00333EBB">
            <w:pPr>
              <w:rPr>
                <w:rFonts w:hint="eastAsia"/>
                <w:bCs/>
                <w:kern w:val="44"/>
              </w:rPr>
            </w:pPr>
            <w:r>
              <w:t>2023</w:t>
            </w:r>
            <w:r>
              <w:t>年</w:t>
            </w:r>
            <w:r>
              <w:t>6</w:t>
            </w:r>
            <w:r>
              <w:t>月</w:t>
            </w:r>
            <w:r>
              <w:t>16</w:t>
            </w:r>
            <w:r>
              <w:t>日经第八届董事会第三十次会议审议通过，回购注销</w:t>
            </w:r>
            <w:r>
              <w:t>108</w:t>
            </w:r>
            <w:r>
              <w:t>名激励对象持有的第二个解锁期限制性股票</w:t>
            </w:r>
            <w:r>
              <w:t>2,046,000</w:t>
            </w:r>
            <w:r>
              <w:t>股，同时回购注销因退休等原因不再符合激励对象资格的</w:t>
            </w:r>
            <w:r>
              <w:t>8</w:t>
            </w:r>
            <w:r>
              <w:t>名激励对象持有的限制性股票</w:t>
            </w:r>
            <w:r>
              <w:t>264,000</w:t>
            </w:r>
            <w:r>
              <w:t>股，共计</w:t>
            </w:r>
            <w:r>
              <w:t>2,310,000</w:t>
            </w:r>
            <w:r>
              <w:t>股，本次回购注销于</w:t>
            </w:r>
            <w:r>
              <w:t>2023</w:t>
            </w:r>
            <w:r>
              <w:t>年</w:t>
            </w:r>
            <w:r>
              <w:t>8</w:t>
            </w:r>
            <w:r>
              <w:t>月完成，剩余已登记的股权激励限制性股票为</w:t>
            </w:r>
            <w:r>
              <w:t>2,046,000</w:t>
            </w:r>
            <w:r>
              <w:t>股。</w:t>
            </w:r>
          </w:p>
        </w:tc>
        <w:tc>
          <w:tcPr>
            <w:tcW w:w="1338" w:type="pct"/>
            <w:shd w:val="clear" w:color="auto" w:fill="auto"/>
            <w:vAlign w:val="center"/>
          </w:tcPr>
          <w:p w14:paraId="1B33A636" w14:textId="77777777" w:rsidR="002D0AE7" w:rsidRDefault="00333EBB">
            <w:pPr>
              <w:jc w:val="center"/>
              <w:rPr>
                <w:rFonts w:hint="eastAsia"/>
                <w:bCs/>
                <w:kern w:val="44"/>
              </w:rPr>
            </w:pPr>
            <w:r>
              <w:t>http://www.sse.com.cn</w:t>
            </w:r>
          </w:p>
        </w:tc>
      </w:tr>
      <w:tr w:rsidR="002D0AE7" w14:paraId="71262260" w14:textId="77777777">
        <w:tc>
          <w:tcPr>
            <w:tcW w:w="3662" w:type="pct"/>
            <w:shd w:val="clear" w:color="auto" w:fill="auto"/>
          </w:tcPr>
          <w:p w14:paraId="5E7CA3A8" w14:textId="77777777" w:rsidR="002D0AE7" w:rsidRDefault="00333EBB">
            <w:pPr>
              <w:rPr>
                <w:rFonts w:hint="eastAsia"/>
              </w:rPr>
            </w:pPr>
            <w:r>
              <w:t>2024</w:t>
            </w:r>
            <w:r>
              <w:t>年</w:t>
            </w:r>
            <w:r>
              <w:t>7</w:t>
            </w:r>
            <w:r>
              <w:t>月</w:t>
            </w:r>
            <w:r>
              <w:t>10</w:t>
            </w:r>
            <w:r>
              <w:t>日经第</w:t>
            </w:r>
            <w:r>
              <w:rPr>
                <w:rFonts w:hint="eastAsia"/>
              </w:rPr>
              <w:t>九</w:t>
            </w:r>
            <w:r>
              <w:t>届董事会第</w:t>
            </w:r>
            <w:r>
              <w:rPr>
                <w:rFonts w:hint="eastAsia"/>
              </w:rPr>
              <w:t>九</w:t>
            </w:r>
            <w:r>
              <w:t>次会议审议通过，回购注销</w:t>
            </w:r>
            <w:r>
              <w:t>108</w:t>
            </w:r>
            <w:r>
              <w:t>名激励对象持有的第</w:t>
            </w:r>
            <w:r>
              <w:rPr>
                <w:rFonts w:hint="eastAsia"/>
              </w:rPr>
              <w:t>三</w:t>
            </w:r>
            <w:r>
              <w:t>个解锁期限制性股票</w:t>
            </w:r>
            <w:r>
              <w:t>2,046,000</w:t>
            </w:r>
            <w:r>
              <w:t>股，</w:t>
            </w:r>
            <w:r>
              <w:rPr>
                <w:rFonts w:hint="eastAsia"/>
              </w:rPr>
              <w:t>本次回购注销程序正在办理中。</w:t>
            </w:r>
          </w:p>
        </w:tc>
        <w:tc>
          <w:tcPr>
            <w:tcW w:w="1338" w:type="pct"/>
            <w:shd w:val="clear" w:color="auto" w:fill="auto"/>
            <w:vAlign w:val="center"/>
          </w:tcPr>
          <w:p w14:paraId="6E9F5253" w14:textId="77777777" w:rsidR="002D0AE7" w:rsidRDefault="00333EBB">
            <w:pPr>
              <w:jc w:val="center"/>
              <w:rPr>
                <w:rFonts w:hint="eastAsia"/>
              </w:rPr>
            </w:pPr>
            <w:r>
              <w:t>http://www.sse.com.cn</w:t>
            </w:r>
          </w:p>
        </w:tc>
      </w:tr>
    </w:tbl>
    <w:p w14:paraId="5F01B030" w14:textId="77777777" w:rsidR="002D0AE7" w:rsidRDefault="00333EBB">
      <w:pPr>
        <w:pStyle w:val="3"/>
        <w:numPr>
          <w:ilvl w:val="1"/>
          <w:numId w:val="13"/>
        </w:numPr>
        <w:rPr>
          <w:rFonts w:ascii="宋体" w:hAnsi="宋体" w:cs="宋体" w:hint="eastAsia"/>
          <w:color w:val="000000" w:themeColor="text1"/>
          <w:kern w:val="0"/>
          <w:szCs w:val="24"/>
        </w:rPr>
      </w:pPr>
      <w:r>
        <w:rPr>
          <w:rFonts w:ascii="宋体" w:hAnsi="宋体" w:cs="宋体" w:hint="eastAsia"/>
          <w:color w:val="000000" w:themeColor="text1"/>
          <w:kern w:val="0"/>
          <w:szCs w:val="24"/>
        </w:rPr>
        <w:t>临时公告未披露或有后续进展的激励情况</w:t>
      </w:r>
    </w:p>
    <w:p w14:paraId="5ED11041" w14:textId="77777777" w:rsidR="002D0AE7" w:rsidRDefault="00333EBB">
      <w:pPr>
        <w:rPr>
          <w:rFonts w:hint="eastAsia"/>
          <w:color w:val="000000" w:themeColor="text1"/>
        </w:rPr>
      </w:pPr>
      <w:r>
        <w:rPr>
          <w:rFonts w:hint="eastAsia"/>
          <w:color w:val="000000" w:themeColor="text1"/>
        </w:rPr>
        <w:t>股权激励情况</w:t>
      </w:r>
    </w:p>
    <w:sdt>
      <w:sdtPr>
        <w:rPr>
          <w:color w:val="000000" w:themeColor="text1"/>
        </w:rPr>
        <w:alias w:val="是否适用：股权激励情况[双击切换]"/>
        <w:tag w:val="_GBC_388221bc7be24cdca55be337256c8bc1"/>
        <w:id w:val="-133335062"/>
        <w:placeholder>
          <w:docPart w:val="GBC22222222222222222222222222222"/>
        </w:placeholder>
      </w:sdtPr>
      <w:sdtEndPr/>
      <w:sdtContent>
        <w:p w14:paraId="15698042"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0B6A1402" w14:textId="77777777" w:rsidR="002D0AE7" w:rsidRDefault="00333EBB">
      <w:pPr>
        <w:rPr>
          <w:rFonts w:hint="eastAsia"/>
          <w:color w:val="000000" w:themeColor="text1"/>
        </w:rPr>
      </w:pPr>
      <w:r>
        <w:rPr>
          <w:rFonts w:hint="eastAsia"/>
          <w:color w:val="000000" w:themeColor="text1"/>
        </w:rPr>
        <w:lastRenderedPageBreak/>
        <w:t>其他说明</w:t>
      </w:r>
    </w:p>
    <w:p w14:paraId="7F8E54C2" w14:textId="77777777" w:rsidR="002D0AE7" w:rsidRDefault="00333EBB">
      <w:pPr>
        <w:rPr>
          <w:rFonts w:hint="eastAsia"/>
          <w:color w:val="000000" w:themeColor="text1"/>
        </w:rPr>
      </w:pPr>
      <w:sdt>
        <w:sdtPr>
          <w:rPr>
            <w:rFonts w:hint="eastAsia"/>
            <w:color w:val="000000" w:themeColor="text1"/>
          </w:rPr>
          <w:alias w:val="是否适用：股权激励情况的说明[双击切换]"/>
          <w:tag w:val="_GBC_e5a032ecd3e24335b29a38809f65a990"/>
          <w:id w:val="1281069698"/>
          <w:placeholder>
            <w:docPart w:val="GBC22222222222222222222222222222"/>
          </w:placeholder>
        </w:sdtPr>
        <w:sdtEndPr/>
        <w:sdtContent>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sdtContent>
      </w:sdt>
    </w:p>
    <w:p w14:paraId="125693FC" w14:textId="77777777" w:rsidR="002D0AE7" w:rsidRDefault="00333EBB">
      <w:pPr>
        <w:rPr>
          <w:rFonts w:hint="eastAsia"/>
          <w:color w:val="000000" w:themeColor="text1"/>
        </w:rPr>
      </w:pPr>
      <w:r>
        <w:rPr>
          <w:rFonts w:hint="eastAsia"/>
          <w:color w:val="000000" w:themeColor="text1"/>
        </w:rPr>
        <w:t>员工持股计划情况</w:t>
      </w:r>
    </w:p>
    <w:sdt>
      <w:sdtPr>
        <w:rPr>
          <w:color w:val="000000" w:themeColor="text1"/>
        </w:rPr>
        <w:alias w:val="是否适用：员工持股计划情况[双击切换]"/>
        <w:tag w:val="_GBC_60a13b60efda4715a83fed9c5960ee3b"/>
        <w:id w:val="-2114116917"/>
        <w:placeholder>
          <w:docPart w:val="GBC22222222222222222222222222222"/>
        </w:placeholder>
      </w:sdtPr>
      <w:sdtEndPr/>
      <w:sdtContent>
        <w:p w14:paraId="1E77E79E"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78FD4D4B" w14:textId="77777777" w:rsidR="002D0AE7" w:rsidRDefault="00333EBB">
      <w:pPr>
        <w:rPr>
          <w:rFonts w:hint="eastAsia"/>
          <w:color w:val="000000" w:themeColor="text1"/>
        </w:rPr>
      </w:pPr>
      <w:r>
        <w:rPr>
          <w:rFonts w:hint="eastAsia"/>
          <w:color w:val="000000" w:themeColor="text1"/>
        </w:rPr>
        <w:t>其他激励措施</w:t>
      </w:r>
    </w:p>
    <w:sdt>
      <w:sdtPr>
        <w:rPr>
          <w:color w:val="000000" w:themeColor="text1"/>
        </w:rPr>
        <w:alias w:val="是否适用：其他激励措施[双击切换]"/>
        <w:tag w:val="_GBC_87e3c04518ac4bed97846d84cc8784e1"/>
        <w:id w:val="-1846000503"/>
        <w:placeholder>
          <w:docPart w:val="GBC22222222222222222222222222222"/>
        </w:placeholder>
      </w:sdtPr>
      <w:sdtEndPr/>
      <w:sdtContent>
        <w:p w14:paraId="288B3F97" w14:textId="77777777" w:rsidR="002D0AE7" w:rsidRDefault="00333EBB">
          <w:pPr>
            <w:rPr>
              <w:rFonts w:hint="eastAsia"/>
              <w:bCs/>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01135BC0" w14:textId="77777777" w:rsidR="002D0AE7" w:rsidRDefault="002D0AE7">
      <w:pPr>
        <w:rPr>
          <w:rFonts w:hint="eastAsia"/>
          <w:color w:val="000000" w:themeColor="text1"/>
        </w:rPr>
      </w:pPr>
    </w:p>
    <w:p w14:paraId="5EB38AB2" w14:textId="77777777" w:rsidR="002D0AE7" w:rsidRDefault="00333EBB">
      <w:pPr>
        <w:pStyle w:val="1"/>
        <w:numPr>
          <w:ilvl w:val="0"/>
          <w:numId w:val="2"/>
        </w:numPr>
        <w:rPr>
          <w:rFonts w:ascii="黑体" w:hAnsi="黑体" w:hint="eastAsia"/>
          <w:color w:val="000000" w:themeColor="text1"/>
        </w:rPr>
      </w:pPr>
      <w:bookmarkStart w:id="54" w:name="_Toc142578259"/>
      <w:bookmarkStart w:id="55" w:name="_Toc76114276"/>
      <w:r>
        <w:rPr>
          <w:rFonts w:ascii="黑体" w:hAnsi="黑体" w:hint="eastAsia"/>
          <w:color w:val="000000" w:themeColor="text1"/>
        </w:rPr>
        <w:t>环境与社会责任</w:t>
      </w:r>
      <w:bookmarkEnd w:id="54"/>
      <w:bookmarkEnd w:id="55"/>
    </w:p>
    <w:p w14:paraId="28DCC67A" w14:textId="77777777" w:rsidR="002D0AE7" w:rsidRDefault="00333EBB">
      <w:pPr>
        <w:pStyle w:val="2"/>
        <w:numPr>
          <w:ilvl w:val="0"/>
          <w:numId w:val="14"/>
        </w:numPr>
        <w:tabs>
          <w:tab w:val="left" w:pos="426"/>
        </w:tabs>
        <w:ind w:left="450" w:firstLineChars="0" w:hanging="450"/>
        <w:jc w:val="left"/>
        <w:rPr>
          <w:rFonts w:ascii="宋体" w:hAnsi="宋体" w:hint="eastAsia"/>
          <w:color w:val="000000" w:themeColor="text1"/>
        </w:rPr>
      </w:pPr>
      <w:r>
        <w:rPr>
          <w:rFonts w:ascii="宋体" w:hAnsi="宋体" w:hint="eastAsia"/>
          <w:color w:val="000000" w:themeColor="text1"/>
        </w:rPr>
        <w:t>环境</w:t>
      </w:r>
      <w:r>
        <w:rPr>
          <w:rFonts w:ascii="宋体" w:hAnsi="宋体"/>
          <w:color w:val="000000" w:themeColor="text1"/>
        </w:rPr>
        <w:t>信息情况</w:t>
      </w:r>
    </w:p>
    <w:p w14:paraId="38B70645" w14:textId="77777777" w:rsidR="002D0AE7" w:rsidRDefault="00333EBB">
      <w:pPr>
        <w:pStyle w:val="3"/>
        <w:numPr>
          <w:ilvl w:val="0"/>
          <w:numId w:val="15"/>
        </w:numPr>
        <w:rPr>
          <w:rFonts w:ascii="宋体" w:hAnsi="宋体" w:hint="eastAsia"/>
          <w:color w:val="000000" w:themeColor="text1"/>
        </w:rPr>
      </w:pPr>
      <w:r>
        <w:rPr>
          <w:rFonts w:ascii="宋体" w:hAnsi="宋体"/>
          <w:color w:val="000000" w:themeColor="text1"/>
        </w:rPr>
        <w:t>属于环境保护部门公布的重点排污单位的公司及其</w:t>
      </w:r>
      <w:r>
        <w:rPr>
          <w:rFonts w:ascii="宋体" w:hAnsi="宋体" w:hint="eastAsia"/>
          <w:color w:val="000000" w:themeColor="text1"/>
        </w:rPr>
        <w:t>主要</w:t>
      </w:r>
      <w:r>
        <w:rPr>
          <w:rFonts w:ascii="宋体" w:hAnsi="宋体"/>
          <w:color w:val="000000" w:themeColor="text1"/>
        </w:rPr>
        <w:t>子公司的环保情况说明</w:t>
      </w:r>
    </w:p>
    <w:sdt>
      <w:sdtPr>
        <w:rPr>
          <w:rFonts w:hint="eastAsia"/>
          <w:color w:val="000000" w:themeColor="text1"/>
        </w:rPr>
        <w:alias w:val="是否适用：重点排污单位环保情况[双击切换]"/>
        <w:tag w:val="_GBC_820250e25791459fb9ab9ed79c168408"/>
        <w:id w:val="1039482103"/>
        <w:placeholder>
          <w:docPart w:val="GBC22222222222222222222222222222"/>
        </w:placeholder>
      </w:sdtPr>
      <w:sdtEndPr/>
      <w:sdtContent>
        <w:p w14:paraId="607857A3"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p w14:paraId="03C6E880" w14:textId="77777777" w:rsidR="002D0AE7" w:rsidRDefault="00333EBB">
          <w:pPr>
            <w:ind w:firstLineChars="200" w:firstLine="480"/>
            <w:rPr>
              <w:rFonts w:hint="eastAsia"/>
              <w:color w:val="000000" w:themeColor="text1"/>
            </w:rPr>
          </w:pPr>
          <w:r>
            <w:rPr>
              <w:rFonts w:hint="eastAsia"/>
              <w:color w:val="000000" w:themeColor="text1"/>
            </w:rPr>
            <w:t>公司高度重视环境保护工作，严格遵守环保法律、法规和相关监管要求，近年来持续加大环保投入，不断提升环保治理水平。</w:t>
          </w:r>
        </w:p>
        <w:p w14:paraId="00D239A4" w14:textId="77777777" w:rsidR="002D0AE7" w:rsidRDefault="00333EBB">
          <w:pPr>
            <w:ind w:firstLineChars="200" w:firstLine="480"/>
            <w:rPr>
              <w:rFonts w:hint="eastAsia"/>
              <w:color w:val="000000" w:themeColor="text1"/>
            </w:rPr>
          </w:pPr>
          <w:r>
            <w:rPr>
              <w:color w:val="000000" w:themeColor="text1"/>
            </w:rPr>
            <w:t>EHS</w:t>
          </w:r>
          <w:r>
            <w:rPr>
              <w:color w:val="000000" w:themeColor="text1"/>
            </w:rPr>
            <w:t>方针：遵守安全环保法规，防治结合持续改进；节能降耗减污增效，安全健康规避风险；关爱员工保护环境，树立津药品牌形象。</w:t>
          </w:r>
        </w:p>
        <w:p w14:paraId="1BF9F277" w14:textId="77777777" w:rsidR="002D0AE7" w:rsidRDefault="00333EBB">
          <w:pPr>
            <w:ind w:firstLineChars="200" w:firstLine="480"/>
            <w:rPr>
              <w:rFonts w:hint="eastAsia"/>
              <w:color w:val="000000" w:themeColor="text1"/>
            </w:rPr>
          </w:pPr>
          <w:r>
            <w:rPr>
              <w:color w:val="000000" w:themeColor="text1"/>
            </w:rPr>
            <w:t>EHS</w:t>
          </w:r>
          <w:r>
            <w:rPr>
              <w:color w:val="000000" w:themeColor="text1"/>
            </w:rPr>
            <w:t>目标：不断降低公司单位产值能耗；不断降低工伤发生率；创造良好的工作环境；不断降低操作中燃烧、爆炸的风险；不断降低废水、废气中有害物质的排放量；对职工进行全面的安全教育。</w:t>
          </w:r>
        </w:p>
        <w:p w14:paraId="5ED78750" w14:textId="77777777" w:rsidR="002D0AE7" w:rsidRDefault="00333EBB">
          <w:pPr>
            <w:ind w:firstLineChars="200" w:firstLine="480"/>
            <w:rPr>
              <w:rFonts w:hint="eastAsia"/>
              <w:color w:val="000000" w:themeColor="text1"/>
            </w:rPr>
          </w:pPr>
          <w:r>
            <w:rPr>
              <w:color w:val="000000" w:themeColor="text1"/>
            </w:rPr>
            <w:t>2024</w:t>
          </w:r>
          <w:r>
            <w:rPr>
              <w:color w:val="000000" w:themeColor="text1"/>
            </w:rPr>
            <w:t>年上半年工业能源消耗情况</w:t>
          </w:r>
          <w:r>
            <w:rPr>
              <w:rFonts w:hint="eastAsia"/>
              <w:color w:val="000000" w:themeColor="text1"/>
            </w:rPr>
            <w:t>：电</w:t>
          </w:r>
          <w:r>
            <w:rPr>
              <w:color w:val="000000" w:themeColor="text1"/>
            </w:rPr>
            <w:t>1377.34</w:t>
          </w:r>
          <w:r>
            <w:rPr>
              <w:color w:val="000000" w:themeColor="text1"/>
            </w:rPr>
            <w:t>万</w:t>
          </w:r>
          <w:r>
            <w:rPr>
              <w:color w:val="000000" w:themeColor="text1"/>
            </w:rPr>
            <w:t>kW·h</w:t>
          </w:r>
          <w:r>
            <w:rPr>
              <w:color w:val="000000" w:themeColor="text1"/>
            </w:rPr>
            <w:t>，折标煤</w:t>
          </w:r>
          <w:r>
            <w:rPr>
              <w:color w:val="000000" w:themeColor="text1"/>
            </w:rPr>
            <w:t>1692.75</w:t>
          </w:r>
          <w:r>
            <w:rPr>
              <w:color w:val="000000" w:themeColor="text1"/>
            </w:rPr>
            <w:t>吨；蒸汽</w:t>
          </w:r>
          <w:r>
            <w:rPr>
              <w:color w:val="000000" w:themeColor="text1"/>
            </w:rPr>
            <w:t>49319</w:t>
          </w:r>
          <w:r>
            <w:rPr>
              <w:color w:val="000000" w:themeColor="text1"/>
            </w:rPr>
            <w:t>吨，折标煤</w:t>
          </w:r>
          <w:r>
            <w:rPr>
              <w:color w:val="000000" w:themeColor="text1"/>
            </w:rPr>
            <w:t>4708.97</w:t>
          </w:r>
          <w:r>
            <w:rPr>
              <w:color w:val="000000" w:themeColor="text1"/>
            </w:rPr>
            <w:t>吨；天然气</w:t>
          </w:r>
          <w:r>
            <w:rPr>
              <w:color w:val="000000" w:themeColor="text1"/>
            </w:rPr>
            <w:t>38.87</w:t>
          </w:r>
          <w:r>
            <w:rPr>
              <w:color w:val="000000" w:themeColor="text1"/>
            </w:rPr>
            <w:t>万立方米，折标煤</w:t>
          </w:r>
          <w:r>
            <w:rPr>
              <w:color w:val="000000" w:themeColor="text1"/>
            </w:rPr>
            <w:t>516.97</w:t>
          </w:r>
          <w:r>
            <w:rPr>
              <w:color w:val="000000" w:themeColor="text1"/>
            </w:rPr>
            <w:t>吨；润滑油</w:t>
          </w:r>
          <w:r>
            <w:rPr>
              <w:color w:val="000000" w:themeColor="text1"/>
            </w:rPr>
            <w:t>0.74</w:t>
          </w:r>
          <w:r>
            <w:rPr>
              <w:color w:val="000000" w:themeColor="text1"/>
            </w:rPr>
            <w:t>吨，折标煤</w:t>
          </w:r>
          <w:r>
            <w:rPr>
              <w:color w:val="000000" w:themeColor="text1"/>
            </w:rPr>
            <w:t>1.05</w:t>
          </w:r>
          <w:r>
            <w:rPr>
              <w:color w:val="000000" w:themeColor="text1"/>
            </w:rPr>
            <w:t>吨；综合能耗</w:t>
          </w:r>
          <w:r>
            <w:rPr>
              <w:color w:val="000000" w:themeColor="text1"/>
            </w:rPr>
            <w:t>6919.74</w:t>
          </w:r>
          <w:r>
            <w:rPr>
              <w:color w:val="000000" w:themeColor="text1"/>
            </w:rPr>
            <w:t>吨标煤。</w:t>
          </w:r>
        </w:p>
        <w:p w14:paraId="0D6EE35E" w14:textId="77777777" w:rsidR="002D0AE7" w:rsidRDefault="00333EBB">
          <w:pPr>
            <w:ind w:firstLineChars="200" w:firstLine="480"/>
            <w:rPr>
              <w:rFonts w:hint="eastAsia"/>
              <w:color w:val="000000" w:themeColor="text1"/>
            </w:rPr>
          </w:pPr>
          <w:r>
            <w:rPr>
              <w:rFonts w:hint="eastAsia"/>
              <w:color w:val="000000" w:themeColor="text1"/>
            </w:rPr>
            <w:t>报告期内未发生重大环境问题。公司在今后的生产经营中将继续履行环境社会责任，增强企业综合竞争力，为环境保护做出应有贡献。</w:t>
          </w:r>
        </w:p>
      </w:sdtContent>
    </w:sdt>
    <w:p w14:paraId="72153A1A" w14:textId="77777777" w:rsidR="002D0AE7" w:rsidRDefault="00333EBB">
      <w:pPr>
        <w:pStyle w:val="4"/>
        <w:numPr>
          <w:ilvl w:val="0"/>
          <w:numId w:val="16"/>
        </w:numPr>
        <w:rPr>
          <w:rFonts w:ascii="宋体" w:hAnsi="宋体" w:hint="eastAsia"/>
          <w:color w:val="000000" w:themeColor="text1"/>
        </w:rPr>
      </w:pPr>
      <w:r>
        <w:rPr>
          <w:rFonts w:ascii="宋体" w:hAnsi="宋体" w:hint="eastAsia"/>
          <w:color w:val="000000" w:themeColor="text1"/>
        </w:rPr>
        <w:t>排污</w:t>
      </w:r>
      <w:r>
        <w:rPr>
          <w:rFonts w:ascii="宋体" w:hAnsi="宋体"/>
          <w:color w:val="000000" w:themeColor="text1"/>
        </w:rPr>
        <w:t>信息</w:t>
      </w:r>
    </w:p>
    <w:sdt>
      <w:sdtPr>
        <w:rPr>
          <w:rFonts w:hint="eastAsia"/>
        </w:rPr>
        <w:alias w:val="是否适用：排污信息[双击切换]"/>
        <w:tag w:val="_GBC_44bbf262c38141458fba6072b4e5b459"/>
        <w:id w:val="469556451"/>
        <w:placeholder>
          <w:docPart w:val="GBC22222222222222222222222222222"/>
        </w:placeholder>
      </w:sdtPr>
      <w:sdtEndPr/>
      <w:sdtContent>
        <w:p w14:paraId="3362F70D" w14:textId="77777777" w:rsidR="002D0AE7" w:rsidRDefault="00333EBB">
          <w:pPr>
            <w:pStyle w:val="11"/>
            <w:rPr>
              <w:rFonts w:hint="eastAsia"/>
            </w:rPr>
          </w:pPr>
          <w:r>
            <w:fldChar w:fldCharType="begin"/>
          </w:r>
          <w:r>
            <w:instrText xml:space="preserve"> </w:instrText>
          </w:r>
          <w:r>
            <w:rPr>
              <w:rFonts w:hint="eastAsia"/>
            </w:rPr>
            <w:instrText xml:space="preserve">MACROBUTTON  SnrToggleCheckbox </w:instrText>
          </w:r>
          <w:r>
            <w:rPr>
              <w:rFonts w:hint="eastAsia"/>
            </w:rP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ascii="宋体" w:hAnsi="宋体" w:hint="eastAsia"/>
          <w:color w:val="000000" w:themeColor="text1"/>
          <w:kern w:val="0"/>
          <w:sz w:val="21"/>
          <w:szCs w:val="24"/>
        </w:rPr>
        <w:alias w:val="排污信息"/>
        <w:tag w:val="_GBC_28890c46cf8446cc95bd08ae7c7a17dc"/>
        <w:id w:val="1255636658"/>
        <w:placeholder>
          <w:docPart w:val="GBC22222222222222222222222222222"/>
        </w:placeholder>
      </w:sdtPr>
      <w:sdtEndPr/>
      <w:sdtContent>
        <w:p w14:paraId="76AC6E15" w14:textId="77777777" w:rsidR="002D0AE7" w:rsidRDefault="00333EBB">
          <w:pPr>
            <w:pStyle w:val="aff7"/>
            <w:numPr>
              <w:ilvl w:val="0"/>
              <w:numId w:val="17"/>
            </w:numPr>
            <w:ind w:left="142" w:firstLineChars="0" w:hanging="142"/>
            <w:rPr>
              <w:bCs/>
              <w:color w:val="000000"/>
            </w:rPr>
          </w:pPr>
          <w:r>
            <w:rPr>
              <w:rFonts w:hint="eastAsia"/>
              <w:color w:val="000000"/>
            </w:rPr>
            <w:t>废物的处理处置方式：污水经污水处理站处理达标后通过污水总排口排入市政污水处理厂。废气经治理设施</w:t>
          </w:r>
          <w:r>
            <w:rPr>
              <w:color w:val="000000"/>
            </w:rPr>
            <w:t>处理后，通过排气口有组织排往大气中</w:t>
          </w:r>
          <w:r>
            <w:rPr>
              <w:rFonts w:hint="eastAsia"/>
              <w:color w:val="000000"/>
            </w:rPr>
            <w:t>。</w:t>
          </w:r>
          <w:r>
            <w:rPr>
              <w:color w:val="000000"/>
            </w:rPr>
            <w:t>危险废物交由具有相应处理资质的公司处理，一般固废交由泰达环卫处理</w:t>
          </w:r>
          <w:r>
            <w:rPr>
              <w:rFonts w:hint="eastAsia"/>
              <w:color w:val="000000"/>
            </w:rPr>
            <w:t>等有资质单位进行处理</w:t>
          </w:r>
          <w:r>
            <w:rPr>
              <w:color w:val="000000"/>
            </w:rPr>
            <w:t>。</w:t>
          </w:r>
        </w:p>
        <w:p w14:paraId="50081CF4" w14:textId="77777777" w:rsidR="002D0AE7" w:rsidRDefault="00333EBB">
          <w:pPr>
            <w:pStyle w:val="aff7"/>
            <w:numPr>
              <w:ilvl w:val="0"/>
              <w:numId w:val="17"/>
            </w:numPr>
            <w:ind w:firstLineChars="0"/>
            <w:rPr>
              <w:color w:val="000000"/>
            </w:rPr>
          </w:pPr>
          <w:r>
            <w:rPr>
              <w:rFonts w:hint="eastAsia"/>
              <w:color w:val="000000"/>
            </w:rPr>
            <w:t>排放污染物情况：废水含有</w:t>
          </w:r>
          <w:r>
            <w:rPr>
              <w:color w:val="000000"/>
            </w:rPr>
            <w:t>COD</w:t>
          </w:r>
          <w:r>
            <w:rPr>
              <w:color w:val="000000"/>
            </w:rPr>
            <w:t>、</w:t>
          </w:r>
          <w:r>
            <w:rPr>
              <w:rFonts w:cs="Calibri"/>
              <w:color w:val="000000"/>
            </w:rPr>
            <w:t>BOD</w:t>
          </w:r>
          <w:r>
            <w:rPr>
              <w:rFonts w:cs="Calibri" w:hint="eastAsia"/>
              <w:color w:val="000000"/>
              <w:vertAlign w:val="subscript"/>
            </w:rPr>
            <w:t>5</w:t>
          </w:r>
          <w:r>
            <w:rPr>
              <w:color w:val="000000"/>
            </w:rPr>
            <w:t>、氨氮等污染物（</w:t>
          </w:r>
          <w:r>
            <w:rPr>
              <w:rFonts w:hint="eastAsia"/>
              <w:color w:val="000000"/>
            </w:rPr>
            <w:t>详</w:t>
          </w:r>
          <w:r>
            <w:rPr>
              <w:color w:val="000000"/>
            </w:rPr>
            <w:t>见《水污染物排放情况表》），废气含有挥发性有机气体（排放情况见《废气污染物排放情况表》）。</w:t>
          </w:r>
        </w:p>
        <w:p w14:paraId="624BAA42" w14:textId="77777777" w:rsidR="002D0AE7" w:rsidRDefault="002D0AE7">
          <w:pPr>
            <w:pStyle w:val="aff7"/>
            <w:ind w:left="360" w:firstLineChars="0" w:firstLine="0"/>
            <w:rPr>
              <w:color w:val="000000"/>
            </w:rPr>
          </w:pPr>
        </w:p>
        <w:p w14:paraId="0BCF9C38" w14:textId="77777777" w:rsidR="002D0AE7" w:rsidRDefault="002D0AE7">
          <w:pPr>
            <w:pStyle w:val="aff7"/>
            <w:ind w:left="360" w:firstLineChars="0" w:firstLine="0"/>
            <w:rPr>
              <w:color w:val="000000"/>
            </w:rPr>
          </w:pPr>
        </w:p>
        <w:p w14:paraId="36A8B596" w14:textId="77777777" w:rsidR="002D0AE7" w:rsidRDefault="00333EBB">
          <w:pPr>
            <w:jc w:val="center"/>
            <w:rPr>
              <w:rFonts w:hint="eastAsia"/>
              <w:b/>
              <w:bCs/>
              <w:color w:val="000000"/>
            </w:rPr>
          </w:pPr>
          <w:r>
            <w:rPr>
              <w:rFonts w:hint="eastAsia"/>
              <w:b/>
              <w:bCs/>
              <w:color w:val="000000"/>
            </w:rPr>
            <w:t>水污染物排放情况表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2193"/>
            <w:gridCol w:w="1166"/>
            <w:gridCol w:w="1054"/>
            <w:gridCol w:w="1961"/>
            <w:gridCol w:w="1103"/>
          </w:tblGrid>
          <w:tr w:rsidR="002D0AE7" w14:paraId="26DCB5DF" w14:textId="77777777">
            <w:trPr>
              <w:trHeight w:val="1448"/>
              <w:jc w:val="center"/>
            </w:trPr>
            <w:tc>
              <w:tcPr>
                <w:tcW w:w="1346" w:type="dxa"/>
                <w:tcBorders>
                  <w:top w:val="single" w:sz="4" w:space="0" w:color="auto"/>
                  <w:left w:val="single" w:sz="4" w:space="0" w:color="auto"/>
                  <w:bottom w:val="single" w:sz="4" w:space="0" w:color="auto"/>
                  <w:right w:val="single" w:sz="4" w:space="0" w:color="auto"/>
                </w:tcBorders>
                <w:vAlign w:val="center"/>
              </w:tcPr>
              <w:p w14:paraId="014AF989" w14:textId="77777777" w:rsidR="002D0AE7" w:rsidRDefault="00333EBB">
                <w:pPr>
                  <w:jc w:val="center"/>
                  <w:rPr>
                    <w:rFonts w:hint="eastAsia"/>
                    <w:color w:val="000000"/>
                  </w:rPr>
                </w:pPr>
                <w:r>
                  <w:rPr>
                    <w:rFonts w:hint="eastAsia"/>
                    <w:color w:val="000000"/>
                  </w:rPr>
                  <w:t>公司名称</w:t>
                </w:r>
              </w:p>
            </w:tc>
            <w:tc>
              <w:tcPr>
                <w:tcW w:w="2193" w:type="dxa"/>
                <w:tcBorders>
                  <w:top w:val="single" w:sz="4" w:space="0" w:color="auto"/>
                  <w:left w:val="single" w:sz="4" w:space="0" w:color="auto"/>
                  <w:bottom w:val="single" w:sz="4" w:space="0" w:color="auto"/>
                  <w:right w:val="single" w:sz="4" w:space="0" w:color="auto"/>
                </w:tcBorders>
                <w:vAlign w:val="center"/>
              </w:tcPr>
              <w:p w14:paraId="3453BF88" w14:textId="77777777" w:rsidR="002D0AE7" w:rsidRDefault="00333EBB">
                <w:pPr>
                  <w:jc w:val="center"/>
                  <w:rPr>
                    <w:rFonts w:hint="eastAsia"/>
                    <w:color w:val="000000"/>
                  </w:rPr>
                </w:pPr>
                <w:r>
                  <w:rPr>
                    <w:rFonts w:hint="eastAsia"/>
                    <w:color w:val="000000"/>
                  </w:rPr>
                  <w:t>污染因子</w:t>
                </w:r>
              </w:p>
            </w:tc>
            <w:tc>
              <w:tcPr>
                <w:tcW w:w="1166" w:type="dxa"/>
                <w:tcBorders>
                  <w:top w:val="single" w:sz="4" w:space="0" w:color="auto"/>
                  <w:left w:val="single" w:sz="4" w:space="0" w:color="auto"/>
                  <w:bottom w:val="single" w:sz="4" w:space="0" w:color="auto"/>
                  <w:right w:val="single" w:sz="4" w:space="0" w:color="auto"/>
                </w:tcBorders>
                <w:vAlign w:val="center"/>
              </w:tcPr>
              <w:p w14:paraId="0BE7982E" w14:textId="77777777" w:rsidR="002D0AE7" w:rsidRDefault="00333EBB">
                <w:pPr>
                  <w:jc w:val="center"/>
                  <w:rPr>
                    <w:rFonts w:hint="eastAsia"/>
                    <w:color w:val="000000"/>
                  </w:rPr>
                </w:pPr>
                <w:r>
                  <w:rPr>
                    <w:rFonts w:hint="eastAsia"/>
                    <w:color w:val="000000"/>
                  </w:rPr>
                  <w:t>执行标准</w:t>
                </w:r>
              </w:p>
            </w:tc>
            <w:tc>
              <w:tcPr>
                <w:tcW w:w="1054" w:type="dxa"/>
                <w:tcBorders>
                  <w:top w:val="single" w:sz="4" w:space="0" w:color="auto"/>
                  <w:left w:val="single" w:sz="4" w:space="0" w:color="auto"/>
                  <w:bottom w:val="single" w:sz="4" w:space="0" w:color="auto"/>
                  <w:right w:val="single" w:sz="4" w:space="0" w:color="auto"/>
                </w:tcBorders>
                <w:vAlign w:val="center"/>
              </w:tcPr>
              <w:p w14:paraId="4EC5DE89" w14:textId="77777777" w:rsidR="002D0AE7" w:rsidRDefault="00333EBB">
                <w:pPr>
                  <w:jc w:val="center"/>
                  <w:rPr>
                    <w:rFonts w:hint="eastAsia"/>
                    <w:color w:val="000000"/>
                  </w:rPr>
                </w:pPr>
                <w:r>
                  <w:rPr>
                    <w:rFonts w:hint="eastAsia"/>
                    <w:color w:val="000000"/>
                  </w:rPr>
                  <w:t>排放标准</w:t>
                </w:r>
              </w:p>
              <w:p w14:paraId="17F70A59" w14:textId="77777777" w:rsidR="002D0AE7" w:rsidRDefault="00333EBB">
                <w:pPr>
                  <w:jc w:val="center"/>
                  <w:rPr>
                    <w:rFonts w:hint="eastAsia"/>
                    <w:color w:val="000000"/>
                  </w:rPr>
                </w:pPr>
                <w:r>
                  <w:rPr>
                    <w:rFonts w:hint="eastAsia"/>
                    <w:color w:val="000000"/>
                  </w:rPr>
                  <w:t>（</w:t>
                </w:r>
                <w:r>
                  <w:rPr>
                    <w:rFonts w:cs="Calibri" w:hint="eastAsia"/>
                    <w:color w:val="000000"/>
                  </w:rPr>
                  <w:t>mg/L</w:t>
                </w:r>
                <w:r>
                  <w:rPr>
                    <w:rFonts w:hint="eastAsia"/>
                    <w:color w:val="000000"/>
                  </w:rPr>
                  <w:t>）</w:t>
                </w:r>
              </w:p>
            </w:tc>
            <w:tc>
              <w:tcPr>
                <w:tcW w:w="1961" w:type="dxa"/>
                <w:tcBorders>
                  <w:top w:val="single" w:sz="4" w:space="0" w:color="auto"/>
                  <w:left w:val="single" w:sz="4" w:space="0" w:color="auto"/>
                  <w:bottom w:val="single" w:sz="4" w:space="0" w:color="auto"/>
                  <w:right w:val="single" w:sz="4" w:space="0" w:color="auto"/>
                </w:tcBorders>
                <w:vAlign w:val="center"/>
              </w:tcPr>
              <w:p w14:paraId="7B54A895" w14:textId="77777777" w:rsidR="002D0AE7" w:rsidRDefault="00333EBB">
                <w:pPr>
                  <w:jc w:val="center"/>
                  <w:rPr>
                    <w:rFonts w:hint="eastAsia"/>
                    <w:color w:val="000000"/>
                  </w:rPr>
                </w:pPr>
                <w:r>
                  <w:rPr>
                    <w:rFonts w:hint="eastAsia"/>
                    <w:color w:val="000000"/>
                  </w:rPr>
                  <w:t>排放浓度监测数据（</w:t>
                </w:r>
                <w:r>
                  <w:rPr>
                    <w:rFonts w:cs="Calibri" w:hint="eastAsia"/>
                    <w:color w:val="000000"/>
                  </w:rPr>
                  <w:t>mg/L</w:t>
                </w:r>
                <w:r>
                  <w:rPr>
                    <w:rFonts w:hint="eastAsia"/>
                    <w:color w:val="000000"/>
                  </w:rPr>
                  <w:t>，平均值）</w:t>
                </w:r>
              </w:p>
            </w:tc>
            <w:tc>
              <w:tcPr>
                <w:tcW w:w="1103" w:type="dxa"/>
                <w:tcBorders>
                  <w:top w:val="single" w:sz="4" w:space="0" w:color="auto"/>
                  <w:left w:val="single" w:sz="4" w:space="0" w:color="auto"/>
                  <w:bottom w:val="single" w:sz="4" w:space="0" w:color="auto"/>
                  <w:right w:val="single" w:sz="4" w:space="0" w:color="auto"/>
                </w:tcBorders>
                <w:vAlign w:val="center"/>
              </w:tcPr>
              <w:p w14:paraId="79D45B6E" w14:textId="77777777" w:rsidR="002D0AE7" w:rsidRDefault="00333EBB">
                <w:pPr>
                  <w:jc w:val="center"/>
                  <w:rPr>
                    <w:rFonts w:hint="eastAsia"/>
                    <w:color w:val="000000"/>
                  </w:rPr>
                </w:pPr>
                <w:r>
                  <w:rPr>
                    <w:rFonts w:hint="eastAsia"/>
                    <w:color w:val="000000"/>
                  </w:rPr>
                  <w:t>污染物排放量</w:t>
                </w:r>
              </w:p>
              <w:p w14:paraId="62C47C2D" w14:textId="77777777" w:rsidR="002D0AE7" w:rsidRDefault="00333EBB">
                <w:pPr>
                  <w:jc w:val="center"/>
                  <w:rPr>
                    <w:rFonts w:hint="eastAsia"/>
                    <w:color w:val="000000"/>
                  </w:rPr>
                </w:pPr>
                <w:r>
                  <w:rPr>
                    <w:rFonts w:hint="eastAsia"/>
                    <w:color w:val="000000"/>
                  </w:rPr>
                  <w:t>（吨）</w:t>
                </w:r>
              </w:p>
            </w:tc>
          </w:tr>
          <w:tr w:rsidR="002D0AE7" w14:paraId="21C8B691" w14:textId="77777777">
            <w:trPr>
              <w:trHeight w:val="90"/>
              <w:jc w:val="center"/>
            </w:trPr>
            <w:tc>
              <w:tcPr>
                <w:tcW w:w="1346" w:type="dxa"/>
                <w:vMerge w:val="restart"/>
                <w:tcBorders>
                  <w:top w:val="nil"/>
                  <w:left w:val="single" w:sz="4" w:space="0" w:color="auto"/>
                  <w:right w:val="single" w:sz="4" w:space="0" w:color="auto"/>
                </w:tcBorders>
                <w:vAlign w:val="center"/>
              </w:tcPr>
              <w:p w14:paraId="7C39F896" w14:textId="77777777" w:rsidR="002D0AE7" w:rsidRDefault="00333EBB">
                <w:pPr>
                  <w:rPr>
                    <w:rFonts w:hint="eastAsia"/>
                    <w:color w:val="000000"/>
                  </w:rPr>
                </w:pPr>
                <w:r>
                  <w:rPr>
                    <w:rFonts w:hint="eastAsia"/>
                    <w:color w:val="000000"/>
                  </w:rPr>
                  <w:t>津药药业股份有限公司</w:t>
                </w:r>
              </w:p>
            </w:tc>
            <w:tc>
              <w:tcPr>
                <w:tcW w:w="2193" w:type="dxa"/>
                <w:tcBorders>
                  <w:top w:val="single" w:sz="4" w:space="0" w:color="auto"/>
                  <w:left w:val="single" w:sz="4" w:space="0" w:color="auto"/>
                  <w:bottom w:val="single" w:sz="4" w:space="0" w:color="auto"/>
                  <w:right w:val="single" w:sz="4" w:space="0" w:color="auto"/>
                </w:tcBorders>
                <w:vAlign w:val="center"/>
              </w:tcPr>
              <w:p w14:paraId="570284C2" w14:textId="77777777" w:rsidR="002D0AE7" w:rsidRDefault="00333EBB">
                <w:pPr>
                  <w:rPr>
                    <w:rFonts w:hint="eastAsia"/>
                    <w:color w:val="000000"/>
                  </w:rPr>
                </w:pPr>
                <w:r>
                  <w:rPr>
                    <w:rFonts w:cs="Calibri" w:hint="eastAsia"/>
                    <w:color w:val="000000"/>
                  </w:rPr>
                  <w:t>COD</w:t>
                </w:r>
              </w:p>
            </w:tc>
            <w:tc>
              <w:tcPr>
                <w:tcW w:w="1166" w:type="dxa"/>
                <w:vMerge w:val="restart"/>
                <w:tcBorders>
                  <w:top w:val="nil"/>
                  <w:left w:val="single" w:sz="4" w:space="0" w:color="auto"/>
                  <w:bottom w:val="single" w:sz="4" w:space="0" w:color="auto"/>
                  <w:right w:val="single" w:sz="4" w:space="0" w:color="auto"/>
                </w:tcBorders>
                <w:vAlign w:val="center"/>
              </w:tcPr>
              <w:p w14:paraId="16ABE078" w14:textId="77777777" w:rsidR="002D0AE7" w:rsidRDefault="00333EBB">
                <w:pPr>
                  <w:rPr>
                    <w:rFonts w:hint="eastAsia"/>
                    <w:color w:val="000000"/>
                  </w:rPr>
                </w:pPr>
                <w:r>
                  <w:rPr>
                    <w:rFonts w:hint="eastAsia"/>
                    <w:color w:val="000000"/>
                  </w:rPr>
                  <w:t>《污水综合排放标准》</w:t>
                </w:r>
                <w:r>
                  <w:rPr>
                    <w:rFonts w:hint="eastAsia"/>
                    <w:color w:val="000000"/>
                  </w:rPr>
                  <w:lastRenderedPageBreak/>
                  <w:t>（</w:t>
                </w:r>
                <w:r>
                  <w:rPr>
                    <w:rFonts w:cs="Calibri" w:hint="eastAsia"/>
                    <w:color w:val="000000"/>
                  </w:rPr>
                  <w:t>DB12/356-2018</w:t>
                </w:r>
                <w:r>
                  <w:rPr>
                    <w:rFonts w:hint="eastAsia"/>
                    <w:color w:val="000000"/>
                  </w:rPr>
                  <w:t>）三级排放标准</w:t>
                </w:r>
              </w:p>
            </w:tc>
            <w:tc>
              <w:tcPr>
                <w:tcW w:w="1054" w:type="dxa"/>
                <w:tcBorders>
                  <w:top w:val="single" w:sz="4" w:space="0" w:color="auto"/>
                  <w:left w:val="single" w:sz="4" w:space="0" w:color="auto"/>
                  <w:bottom w:val="single" w:sz="4" w:space="0" w:color="auto"/>
                  <w:right w:val="single" w:sz="4" w:space="0" w:color="auto"/>
                </w:tcBorders>
                <w:vAlign w:val="center"/>
              </w:tcPr>
              <w:p w14:paraId="5ACF14D6" w14:textId="77777777" w:rsidR="002D0AE7" w:rsidRDefault="00333EBB">
                <w:pPr>
                  <w:jc w:val="right"/>
                  <w:rPr>
                    <w:rFonts w:hint="eastAsia"/>
                    <w:color w:val="000000"/>
                  </w:rPr>
                </w:pPr>
                <w:r>
                  <w:rPr>
                    <w:rFonts w:cs="Calibri" w:hint="eastAsia"/>
                    <w:color w:val="000000"/>
                  </w:rPr>
                  <w:lastRenderedPageBreak/>
                  <w:t>500</w:t>
                </w:r>
              </w:p>
            </w:tc>
            <w:tc>
              <w:tcPr>
                <w:tcW w:w="1961" w:type="dxa"/>
                <w:tcBorders>
                  <w:top w:val="single" w:sz="4" w:space="0" w:color="auto"/>
                  <w:left w:val="single" w:sz="4" w:space="0" w:color="auto"/>
                  <w:bottom w:val="single" w:sz="4" w:space="0" w:color="auto"/>
                  <w:right w:val="single" w:sz="4" w:space="0" w:color="auto"/>
                </w:tcBorders>
                <w:vAlign w:val="center"/>
              </w:tcPr>
              <w:p w14:paraId="555F4D40" w14:textId="77777777" w:rsidR="002D0AE7" w:rsidRDefault="00333EBB">
                <w:pPr>
                  <w:jc w:val="right"/>
                  <w:textAlignment w:val="center"/>
                  <w:rPr>
                    <w:rFonts w:hint="eastAsia"/>
                    <w:color w:val="000000"/>
                  </w:rPr>
                </w:pPr>
                <w:r>
                  <w:rPr>
                    <w:rFonts w:cs="Calibri"/>
                    <w:color w:val="000000"/>
                  </w:rPr>
                  <w:t>110.9</w:t>
                </w:r>
                <w:r>
                  <w:rPr>
                    <w:rFonts w:cs="Calibri" w:hint="eastAsia"/>
                    <w:color w:val="000000"/>
                  </w:rPr>
                  <w:t>8</w:t>
                </w:r>
              </w:p>
            </w:tc>
            <w:tc>
              <w:tcPr>
                <w:tcW w:w="1103" w:type="dxa"/>
                <w:tcBorders>
                  <w:top w:val="single" w:sz="4" w:space="0" w:color="auto"/>
                  <w:left w:val="single" w:sz="4" w:space="0" w:color="auto"/>
                  <w:bottom w:val="single" w:sz="4" w:space="0" w:color="auto"/>
                  <w:right w:val="single" w:sz="4" w:space="0" w:color="auto"/>
                </w:tcBorders>
                <w:vAlign w:val="center"/>
              </w:tcPr>
              <w:p w14:paraId="44238596" w14:textId="77777777" w:rsidR="002D0AE7" w:rsidRDefault="00333EBB">
                <w:pPr>
                  <w:jc w:val="right"/>
                  <w:textAlignment w:val="center"/>
                  <w:rPr>
                    <w:rFonts w:hint="eastAsia"/>
                    <w:color w:val="000000"/>
                  </w:rPr>
                </w:pPr>
                <w:r>
                  <w:rPr>
                    <w:rFonts w:cs="Calibri"/>
                    <w:color w:val="000000"/>
                  </w:rPr>
                  <w:t>19.899</w:t>
                </w:r>
              </w:p>
            </w:tc>
          </w:tr>
          <w:tr w:rsidR="002D0AE7" w14:paraId="3046BE96" w14:textId="77777777">
            <w:trPr>
              <w:trHeight w:val="283"/>
              <w:jc w:val="center"/>
            </w:trPr>
            <w:tc>
              <w:tcPr>
                <w:tcW w:w="1346" w:type="dxa"/>
                <w:vMerge/>
                <w:tcBorders>
                  <w:left w:val="single" w:sz="4" w:space="0" w:color="auto"/>
                  <w:right w:val="single" w:sz="4" w:space="0" w:color="auto"/>
                </w:tcBorders>
                <w:vAlign w:val="center"/>
              </w:tcPr>
              <w:p w14:paraId="2C10A1CF" w14:textId="77777777" w:rsidR="002D0AE7" w:rsidRDefault="002D0AE7">
                <w:pPr>
                  <w:rPr>
                    <w:rFonts w:ascii="Calibri" w:hAnsi="Calibri"/>
                    <w:color w:val="000000"/>
                    <w:kern w:val="2"/>
                  </w:rPr>
                </w:pPr>
              </w:p>
            </w:tc>
            <w:tc>
              <w:tcPr>
                <w:tcW w:w="2193" w:type="dxa"/>
                <w:tcBorders>
                  <w:top w:val="single" w:sz="4" w:space="0" w:color="auto"/>
                  <w:left w:val="single" w:sz="4" w:space="0" w:color="auto"/>
                  <w:bottom w:val="single" w:sz="4" w:space="0" w:color="auto"/>
                  <w:right w:val="single" w:sz="4" w:space="0" w:color="auto"/>
                </w:tcBorders>
                <w:vAlign w:val="center"/>
              </w:tcPr>
              <w:p w14:paraId="151C4078" w14:textId="77777777" w:rsidR="002D0AE7" w:rsidRDefault="00333EBB">
                <w:pPr>
                  <w:rPr>
                    <w:rFonts w:hint="eastAsia"/>
                    <w:color w:val="000000"/>
                  </w:rPr>
                </w:pPr>
                <w:r>
                  <w:rPr>
                    <w:rFonts w:cs="Calibri" w:hint="eastAsia"/>
                    <w:color w:val="000000"/>
                  </w:rPr>
                  <w:t>BOD</w:t>
                </w:r>
                <w:r>
                  <w:rPr>
                    <w:rFonts w:cs="Calibri" w:hint="eastAsia"/>
                    <w:color w:val="000000"/>
                    <w:vertAlign w:val="subscript"/>
                  </w:rPr>
                  <w:t>5</w:t>
                </w:r>
              </w:p>
            </w:tc>
            <w:tc>
              <w:tcPr>
                <w:tcW w:w="1166" w:type="dxa"/>
                <w:vMerge/>
                <w:tcBorders>
                  <w:top w:val="nil"/>
                  <w:left w:val="single" w:sz="4" w:space="0" w:color="auto"/>
                  <w:bottom w:val="single" w:sz="4" w:space="0" w:color="auto"/>
                  <w:right w:val="single" w:sz="4" w:space="0" w:color="auto"/>
                </w:tcBorders>
                <w:vAlign w:val="center"/>
              </w:tcPr>
              <w:p w14:paraId="77E1ECE5" w14:textId="77777777" w:rsidR="002D0AE7" w:rsidRDefault="002D0AE7">
                <w:pPr>
                  <w:rPr>
                    <w:rFonts w:ascii="Calibri" w:hAnsi="Calibri"/>
                    <w:color w:val="000000"/>
                    <w:kern w:val="2"/>
                  </w:rPr>
                </w:pPr>
              </w:p>
            </w:tc>
            <w:tc>
              <w:tcPr>
                <w:tcW w:w="1054" w:type="dxa"/>
                <w:tcBorders>
                  <w:top w:val="single" w:sz="4" w:space="0" w:color="auto"/>
                  <w:left w:val="single" w:sz="4" w:space="0" w:color="auto"/>
                  <w:bottom w:val="single" w:sz="4" w:space="0" w:color="auto"/>
                  <w:right w:val="single" w:sz="4" w:space="0" w:color="auto"/>
                </w:tcBorders>
                <w:vAlign w:val="center"/>
              </w:tcPr>
              <w:p w14:paraId="3149FAF6" w14:textId="77777777" w:rsidR="002D0AE7" w:rsidRDefault="00333EBB">
                <w:pPr>
                  <w:jc w:val="right"/>
                  <w:rPr>
                    <w:rFonts w:hint="eastAsia"/>
                    <w:color w:val="000000"/>
                  </w:rPr>
                </w:pPr>
                <w:r>
                  <w:rPr>
                    <w:rFonts w:cs="Calibri" w:hint="eastAsia"/>
                    <w:color w:val="000000"/>
                  </w:rPr>
                  <w:t>300</w:t>
                </w:r>
              </w:p>
            </w:tc>
            <w:tc>
              <w:tcPr>
                <w:tcW w:w="1961" w:type="dxa"/>
                <w:tcBorders>
                  <w:top w:val="single" w:sz="4" w:space="0" w:color="auto"/>
                  <w:left w:val="single" w:sz="4" w:space="0" w:color="auto"/>
                  <w:bottom w:val="single" w:sz="4" w:space="0" w:color="auto"/>
                  <w:right w:val="single" w:sz="4" w:space="0" w:color="auto"/>
                </w:tcBorders>
                <w:vAlign w:val="center"/>
              </w:tcPr>
              <w:p w14:paraId="7E2D8D40" w14:textId="77777777" w:rsidR="002D0AE7" w:rsidRDefault="00333EBB">
                <w:pPr>
                  <w:jc w:val="right"/>
                  <w:textAlignment w:val="center"/>
                  <w:rPr>
                    <w:rFonts w:hint="eastAsia"/>
                    <w:color w:val="000000"/>
                  </w:rPr>
                </w:pPr>
                <w:r>
                  <w:rPr>
                    <w:rFonts w:cs="Calibri"/>
                    <w:color w:val="000000"/>
                  </w:rPr>
                  <w:t>96.15</w:t>
                </w:r>
              </w:p>
            </w:tc>
            <w:tc>
              <w:tcPr>
                <w:tcW w:w="1103" w:type="dxa"/>
                <w:tcBorders>
                  <w:top w:val="single" w:sz="4" w:space="0" w:color="auto"/>
                  <w:left w:val="single" w:sz="4" w:space="0" w:color="auto"/>
                  <w:bottom w:val="single" w:sz="4" w:space="0" w:color="auto"/>
                  <w:right w:val="single" w:sz="4" w:space="0" w:color="auto"/>
                </w:tcBorders>
                <w:vAlign w:val="center"/>
              </w:tcPr>
              <w:p w14:paraId="3490C0F1" w14:textId="77777777" w:rsidR="002D0AE7" w:rsidRDefault="00333EBB">
                <w:pPr>
                  <w:jc w:val="right"/>
                  <w:textAlignment w:val="center"/>
                  <w:rPr>
                    <w:rFonts w:hint="eastAsia"/>
                    <w:color w:val="000000"/>
                  </w:rPr>
                </w:pPr>
                <w:r>
                  <w:rPr>
                    <w:rFonts w:cs="Calibri"/>
                    <w:color w:val="000000"/>
                  </w:rPr>
                  <w:t>19.010</w:t>
                </w:r>
              </w:p>
            </w:tc>
          </w:tr>
          <w:tr w:rsidR="002D0AE7" w14:paraId="7E3BACF7" w14:textId="77777777">
            <w:trPr>
              <w:trHeight w:val="283"/>
              <w:jc w:val="center"/>
            </w:trPr>
            <w:tc>
              <w:tcPr>
                <w:tcW w:w="1346" w:type="dxa"/>
                <w:vMerge/>
                <w:tcBorders>
                  <w:left w:val="single" w:sz="4" w:space="0" w:color="auto"/>
                  <w:right w:val="single" w:sz="4" w:space="0" w:color="auto"/>
                </w:tcBorders>
                <w:vAlign w:val="center"/>
              </w:tcPr>
              <w:p w14:paraId="250A3C96" w14:textId="77777777" w:rsidR="002D0AE7" w:rsidRDefault="002D0AE7">
                <w:pPr>
                  <w:rPr>
                    <w:rFonts w:ascii="Calibri" w:hAnsi="Calibri"/>
                    <w:color w:val="000000"/>
                    <w:kern w:val="2"/>
                  </w:rPr>
                </w:pPr>
              </w:p>
            </w:tc>
            <w:tc>
              <w:tcPr>
                <w:tcW w:w="2193" w:type="dxa"/>
                <w:tcBorders>
                  <w:top w:val="single" w:sz="4" w:space="0" w:color="auto"/>
                  <w:left w:val="single" w:sz="4" w:space="0" w:color="auto"/>
                  <w:bottom w:val="single" w:sz="4" w:space="0" w:color="auto"/>
                  <w:right w:val="single" w:sz="4" w:space="0" w:color="auto"/>
                </w:tcBorders>
                <w:vAlign w:val="center"/>
              </w:tcPr>
              <w:p w14:paraId="14C313E5" w14:textId="77777777" w:rsidR="002D0AE7" w:rsidRDefault="00333EBB">
                <w:pPr>
                  <w:rPr>
                    <w:rFonts w:hint="eastAsia"/>
                    <w:color w:val="000000"/>
                  </w:rPr>
                </w:pPr>
                <w:r>
                  <w:rPr>
                    <w:rFonts w:hint="eastAsia"/>
                    <w:color w:val="000000"/>
                  </w:rPr>
                  <w:t>氨氮</w:t>
                </w:r>
              </w:p>
            </w:tc>
            <w:tc>
              <w:tcPr>
                <w:tcW w:w="1166" w:type="dxa"/>
                <w:vMerge/>
                <w:tcBorders>
                  <w:top w:val="nil"/>
                  <w:left w:val="single" w:sz="4" w:space="0" w:color="auto"/>
                  <w:bottom w:val="single" w:sz="4" w:space="0" w:color="auto"/>
                  <w:right w:val="single" w:sz="4" w:space="0" w:color="auto"/>
                </w:tcBorders>
                <w:vAlign w:val="center"/>
              </w:tcPr>
              <w:p w14:paraId="1ADF0405" w14:textId="77777777" w:rsidR="002D0AE7" w:rsidRDefault="002D0AE7">
                <w:pPr>
                  <w:rPr>
                    <w:rFonts w:ascii="Calibri" w:hAnsi="Calibri"/>
                    <w:color w:val="000000"/>
                    <w:kern w:val="2"/>
                  </w:rPr>
                </w:pPr>
              </w:p>
            </w:tc>
            <w:tc>
              <w:tcPr>
                <w:tcW w:w="1054" w:type="dxa"/>
                <w:tcBorders>
                  <w:top w:val="single" w:sz="4" w:space="0" w:color="auto"/>
                  <w:left w:val="single" w:sz="4" w:space="0" w:color="auto"/>
                  <w:bottom w:val="single" w:sz="4" w:space="0" w:color="auto"/>
                  <w:right w:val="single" w:sz="4" w:space="0" w:color="auto"/>
                </w:tcBorders>
                <w:vAlign w:val="center"/>
              </w:tcPr>
              <w:p w14:paraId="78AA06C2" w14:textId="77777777" w:rsidR="002D0AE7" w:rsidRDefault="00333EBB">
                <w:pPr>
                  <w:jc w:val="right"/>
                  <w:rPr>
                    <w:rFonts w:hint="eastAsia"/>
                    <w:color w:val="000000"/>
                  </w:rPr>
                </w:pPr>
                <w:r>
                  <w:rPr>
                    <w:rFonts w:cs="Calibri" w:hint="eastAsia"/>
                    <w:color w:val="000000"/>
                  </w:rPr>
                  <w:t>45</w:t>
                </w:r>
              </w:p>
            </w:tc>
            <w:tc>
              <w:tcPr>
                <w:tcW w:w="1961" w:type="dxa"/>
                <w:tcBorders>
                  <w:top w:val="single" w:sz="4" w:space="0" w:color="auto"/>
                  <w:left w:val="single" w:sz="4" w:space="0" w:color="auto"/>
                  <w:bottom w:val="single" w:sz="4" w:space="0" w:color="auto"/>
                  <w:right w:val="single" w:sz="4" w:space="0" w:color="auto"/>
                </w:tcBorders>
                <w:vAlign w:val="center"/>
              </w:tcPr>
              <w:p w14:paraId="2DD2439A" w14:textId="77777777" w:rsidR="002D0AE7" w:rsidRDefault="00333EBB">
                <w:pPr>
                  <w:jc w:val="right"/>
                  <w:textAlignment w:val="center"/>
                  <w:rPr>
                    <w:rFonts w:hint="eastAsia"/>
                    <w:color w:val="000000"/>
                  </w:rPr>
                </w:pPr>
                <w:r>
                  <w:rPr>
                    <w:rFonts w:cs="Calibri"/>
                    <w:color w:val="000000"/>
                  </w:rPr>
                  <w:t>0.87</w:t>
                </w:r>
              </w:p>
            </w:tc>
            <w:tc>
              <w:tcPr>
                <w:tcW w:w="1103" w:type="dxa"/>
                <w:tcBorders>
                  <w:top w:val="single" w:sz="4" w:space="0" w:color="auto"/>
                  <w:left w:val="single" w:sz="4" w:space="0" w:color="auto"/>
                  <w:bottom w:val="single" w:sz="4" w:space="0" w:color="auto"/>
                  <w:right w:val="single" w:sz="4" w:space="0" w:color="auto"/>
                </w:tcBorders>
                <w:vAlign w:val="center"/>
              </w:tcPr>
              <w:p w14:paraId="76783FFC" w14:textId="77777777" w:rsidR="002D0AE7" w:rsidRDefault="00333EBB">
                <w:pPr>
                  <w:jc w:val="right"/>
                  <w:textAlignment w:val="center"/>
                  <w:rPr>
                    <w:rFonts w:hint="eastAsia"/>
                    <w:color w:val="000000"/>
                  </w:rPr>
                </w:pPr>
                <w:r>
                  <w:rPr>
                    <w:rFonts w:cs="Calibri"/>
                    <w:color w:val="000000"/>
                  </w:rPr>
                  <w:t>0.166</w:t>
                </w:r>
              </w:p>
            </w:tc>
          </w:tr>
          <w:tr w:rsidR="002D0AE7" w14:paraId="51EF05FE" w14:textId="77777777">
            <w:trPr>
              <w:trHeight w:val="90"/>
              <w:jc w:val="center"/>
            </w:trPr>
            <w:tc>
              <w:tcPr>
                <w:tcW w:w="1346" w:type="dxa"/>
                <w:vMerge/>
                <w:tcBorders>
                  <w:left w:val="single" w:sz="4" w:space="0" w:color="auto"/>
                  <w:right w:val="single" w:sz="4" w:space="0" w:color="auto"/>
                </w:tcBorders>
                <w:vAlign w:val="center"/>
              </w:tcPr>
              <w:p w14:paraId="52677AD6" w14:textId="77777777" w:rsidR="002D0AE7" w:rsidRDefault="002D0AE7">
                <w:pPr>
                  <w:rPr>
                    <w:rFonts w:ascii="Calibri" w:hAnsi="Calibri"/>
                    <w:color w:val="000000"/>
                    <w:kern w:val="2"/>
                  </w:rPr>
                </w:pPr>
              </w:p>
            </w:tc>
            <w:tc>
              <w:tcPr>
                <w:tcW w:w="2193" w:type="dxa"/>
                <w:tcBorders>
                  <w:top w:val="single" w:sz="4" w:space="0" w:color="auto"/>
                  <w:left w:val="single" w:sz="4" w:space="0" w:color="auto"/>
                  <w:bottom w:val="single" w:sz="4" w:space="0" w:color="auto"/>
                  <w:right w:val="single" w:sz="4" w:space="0" w:color="auto"/>
                </w:tcBorders>
                <w:vAlign w:val="center"/>
              </w:tcPr>
              <w:p w14:paraId="66E04E5D" w14:textId="77777777" w:rsidR="002D0AE7" w:rsidRDefault="00333EBB">
                <w:pPr>
                  <w:rPr>
                    <w:rFonts w:hint="eastAsia"/>
                    <w:color w:val="000000"/>
                  </w:rPr>
                </w:pPr>
                <w:r>
                  <w:rPr>
                    <w:rFonts w:hint="eastAsia"/>
                    <w:color w:val="000000"/>
                  </w:rPr>
                  <w:t>总磷</w:t>
                </w:r>
              </w:p>
            </w:tc>
            <w:tc>
              <w:tcPr>
                <w:tcW w:w="1166" w:type="dxa"/>
                <w:vMerge/>
                <w:tcBorders>
                  <w:top w:val="nil"/>
                  <w:left w:val="single" w:sz="4" w:space="0" w:color="auto"/>
                  <w:bottom w:val="single" w:sz="4" w:space="0" w:color="auto"/>
                  <w:right w:val="single" w:sz="4" w:space="0" w:color="auto"/>
                </w:tcBorders>
                <w:vAlign w:val="center"/>
              </w:tcPr>
              <w:p w14:paraId="462B31D5" w14:textId="77777777" w:rsidR="002D0AE7" w:rsidRDefault="002D0AE7">
                <w:pPr>
                  <w:rPr>
                    <w:rFonts w:ascii="Calibri" w:hAnsi="Calibri"/>
                    <w:color w:val="000000"/>
                    <w:kern w:val="2"/>
                  </w:rPr>
                </w:pPr>
              </w:p>
            </w:tc>
            <w:tc>
              <w:tcPr>
                <w:tcW w:w="1054" w:type="dxa"/>
                <w:tcBorders>
                  <w:top w:val="single" w:sz="4" w:space="0" w:color="auto"/>
                  <w:left w:val="single" w:sz="4" w:space="0" w:color="auto"/>
                  <w:bottom w:val="single" w:sz="4" w:space="0" w:color="auto"/>
                  <w:right w:val="single" w:sz="4" w:space="0" w:color="auto"/>
                </w:tcBorders>
                <w:vAlign w:val="center"/>
              </w:tcPr>
              <w:p w14:paraId="02238F60" w14:textId="77777777" w:rsidR="002D0AE7" w:rsidRDefault="00333EBB">
                <w:pPr>
                  <w:jc w:val="right"/>
                  <w:rPr>
                    <w:rFonts w:hint="eastAsia"/>
                    <w:color w:val="000000"/>
                  </w:rPr>
                </w:pPr>
                <w:r>
                  <w:rPr>
                    <w:rFonts w:cs="Calibri" w:hint="eastAsia"/>
                    <w:color w:val="000000"/>
                  </w:rPr>
                  <w:t>8</w:t>
                </w:r>
              </w:p>
            </w:tc>
            <w:tc>
              <w:tcPr>
                <w:tcW w:w="1961" w:type="dxa"/>
                <w:tcBorders>
                  <w:top w:val="single" w:sz="4" w:space="0" w:color="auto"/>
                  <w:left w:val="single" w:sz="4" w:space="0" w:color="auto"/>
                  <w:bottom w:val="single" w:sz="4" w:space="0" w:color="auto"/>
                  <w:right w:val="single" w:sz="4" w:space="0" w:color="auto"/>
                </w:tcBorders>
                <w:vAlign w:val="center"/>
              </w:tcPr>
              <w:p w14:paraId="294004EF" w14:textId="77777777" w:rsidR="002D0AE7" w:rsidRDefault="00333EBB">
                <w:pPr>
                  <w:jc w:val="right"/>
                  <w:textAlignment w:val="center"/>
                  <w:rPr>
                    <w:rFonts w:hint="eastAsia"/>
                    <w:color w:val="000000"/>
                  </w:rPr>
                </w:pPr>
                <w:r>
                  <w:rPr>
                    <w:rFonts w:cs="Calibri"/>
                    <w:color w:val="000000"/>
                  </w:rPr>
                  <w:t>0.99</w:t>
                </w:r>
              </w:p>
            </w:tc>
            <w:tc>
              <w:tcPr>
                <w:tcW w:w="1103" w:type="dxa"/>
                <w:tcBorders>
                  <w:top w:val="single" w:sz="4" w:space="0" w:color="auto"/>
                  <w:left w:val="single" w:sz="4" w:space="0" w:color="auto"/>
                  <w:bottom w:val="single" w:sz="4" w:space="0" w:color="auto"/>
                  <w:right w:val="single" w:sz="4" w:space="0" w:color="auto"/>
                </w:tcBorders>
                <w:vAlign w:val="center"/>
              </w:tcPr>
              <w:p w14:paraId="1809FB01" w14:textId="77777777" w:rsidR="002D0AE7" w:rsidRDefault="00333EBB">
                <w:pPr>
                  <w:jc w:val="right"/>
                  <w:textAlignment w:val="center"/>
                  <w:rPr>
                    <w:rFonts w:hint="eastAsia"/>
                    <w:color w:val="000000"/>
                  </w:rPr>
                </w:pPr>
                <w:r>
                  <w:rPr>
                    <w:rFonts w:cs="Calibri"/>
                    <w:color w:val="000000"/>
                  </w:rPr>
                  <w:t>0.192</w:t>
                </w:r>
              </w:p>
            </w:tc>
          </w:tr>
          <w:tr w:rsidR="002D0AE7" w14:paraId="0C7294F8" w14:textId="77777777">
            <w:trPr>
              <w:trHeight w:val="283"/>
              <w:jc w:val="center"/>
            </w:trPr>
            <w:tc>
              <w:tcPr>
                <w:tcW w:w="1346" w:type="dxa"/>
                <w:vMerge/>
                <w:tcBorders>
                  <w:left w:val="single" w:sz="4" w:space="0" w:color="auto"/>
                  <w:right w:val="single" w:sz="4" w:space="0" w:color="auto"/>
                </w:tcBorders>
                <w:vAlign w:val="center"/>
              </w:tcPr>
              <w:p w14:paraId="59C5B6B1" w14:textId="77777777" w:rsidR="002D0AE7" w:rsidRDefault="002D0AE7">
                <w:pPr>
                  <w:rPr>
                    <w:rFonts w:ascii="Calibri" w:hAnsi="Calibri"/>
                    <w:color w:val="000000"/>
                    <w:kern w:val="2"/>
                  </w:rPr>
                </w:pPr>
              </w:p>
            </w:tc>
            <w:tc>
              <w:tcPr>
                <w:tcW w:w="2193" w:type="dxa"/>
                <w:tcBorders>
                  <w:top w:val="single" w:sz="4" w:space="0" w:color="auto"/>
                  <w:left w:val="single" w:sz="4" w:space="0" w:color="auto"/>
                  <w:bottom w:val="single" w:sz="4" w:space="0" w:color="auto"/>
                  <w:right w:val="single" w:sz="4" w:space="0" w:color="auto"/>
                </w:tcBorders>
                <w:vAlign w:val="center"/>
              </w:tcPr>
              <w:p w14:paraId="10FE80D7" w14:textId="77777777" w:rsidR="002D0AE7" w:rsidRDefault="00333EBB">
                <w:pPr>
                  <w:rPr>
                    <w:rFonts w:hint="eastAsia"/>
                    <w:color w:val="000000"/>
                  </w:rPr>
                </w:pPr>
                <w:r>
                  <w:rPr>
                    <w:rFonts w:hint="eastAsia"/>
                    <w:color w:val="000000"/>
                  </w:rPr>
                  <w:t>悬浮物</w:t>
                </w:r>
              </w:p>
            </w:tc>
            <w:tc>
              <w:tcPr>
                <w:tcW w:w="1166" w:type="dxa"/>
                <w:vMerge/>
                <w:tcBorders>
                  <w:top w:val="nil"/>
                  <w:left w:val="single" w:sz="4" w:space="0" w:color="auto"/>
                  <w:bottom w:val="single" w:sz="4" w:space="0" w:color="auto"/>
                  <w:right w:val="single" w:sz="4" w:space="0" w:color="auto"/>
                </w:tcBorders>
                <w:vAlign w:val="center"/>
              </w:tcPr>
              <w:p w14:paraId="0EA17819" w14:textId="77777777" w:rsidR="002D0AE7" w:rsidRDefault="002D0AE7">
                <w:pPr>
                  <w:rPr>
                    <w:rFonts w:ascii="Calibri" w:hAnsi="Calibri"/>
                    <w:color w:val="000000"/>
                    <w:kern w:val="2"/>
                  </w:rPr>
                </w:pPr>
              </w:p>
            </w:tc>
            <w:tc>
              <w:tcPr>
                <w:tcW w:w="1054" w:type="dxa"/>
                <w:tcBorders>
                  <w:top w:val="single" w:sz="4" w:space="0" w:color="auto"/>
                  <w:left w:val="single" w:sz="4" w:space="0" w:color="auto"/>
                  <w:bottom w:val="single" w:sz="4" w:space="0" w:color="auto"/>
                  <w:right w:val="single" w:sz="4" w:space="0" w:color="auto"/>
                </w:tcBorders>
                <w:vAlign w:val="center"/>
              </w:tcPr>
              <w:p w14:paraId="63890F34" w14:textId="77777777" w:rsidR="002D0AE7" w:rsidRDefault="00333EBB">
                <w:pPr>
                  <w:jc w:val="right"/>
                  <w:rPr>
                    <w:rFonts w:hint="eastAsia"/>
                    <w:color w:val="000000"/>
                  </w:rPr>
                </w:pPr>
                <w:r>
                  <w:rPr>
                    <w:rFonts w:cs="Calibri" w:hint="eastAsia"/>
                    <w:color w:val="000000"/>
                  </w:rPr>
                  <w:t>400</w:t>
                </w:r>
              </w:p>
            </w:tc>
            <w:tc>
              <w:tcPr>
                <w:tcW w:w="1961" w:type="dxa"/>
                <w:tcBorders>
                  <w:top w:val="single" w:sz="4" w:space="0" w:color="auto"/>
                  <w:left w:val="single" w:sz="4" w:space="0" w:color="auto"/>
                  <w:bottom w:val="single" w:sz="4" w:space="0" w:color="auto"/>
                  <w:right w:val="single" w:sz="4" w:space="0" w:color="auto"/>
                </w:tcBorders>
                <w:vAlign w:val="center"/>
              </w:tcPr>
              <w:p w14:paraId="1C19199B" w14:textId="77777777" w:rsidR="002D0AE7" w:rsidRDefault="00333EBB">
                <w:pPr>
                  <w:jc w:val="right"/>
                  <w:textAlignment w:val="center"/>
                  <w:rPr>
                    <w:rFonts w:hint="eastAsia"/>
                    <w:color w:val="000000"/>
                  </w:rPr>
                </w:pPr>
                <w:r>
                  <w:rPr>
                    <w:rFonts w:cs="Calibri"/>
                    <w:color w:val="000000"/>
                  </w:rPr>
                  <w:t>32</w:t>
                </w:r>
              </w:p>
            </w:tc>
            <w:tc>
              <w:tcPr>
                <w:tcW w:w="1103" w:type="dxa"/>
                <w:tcBorders>
                  <w:top w:val="single" w:sz="4" w:space="0" w:color="auto"/>
                  <w:left w:val="single" w:sz="4" w:space="0" w:color="auto"/>
                  <w:bottom w:val="single" w:sz="4" w:space="0" w:color="auto"/>
                  <w:right w:val="single" w:sz="4" w:space="0" w:color="auto"/>
                </w:tcBorders>
                <w:vAlign w:val="center"/>
              </w:tcPr>
              <w:p w14:paraId="09F80F60" w14:textId="77777777" w:rsidR="002D0AE7" w:rsidRDefault="00333EBB">
                <w:pPr>
                  <w:jc w:val="right"/>
                  <w:textAlignment w:val="center"/>
                  <w:rPr>
                    <w:rFonts w:hint="eastAsia"/>
                    <w:color w:val="000000"/>
                  </w:rPr>
                </w:pPr>
                <w:r>
                  <w:rPr>
                    <w:rFonts w:cs="Calibri"/>
                    <w:color w:val="000000"/>
                  </w:rPr>
                  <w:t>6.327</w:t>
                </w:r>
              </w:p>
            </w:tc>
          </w:tr>
          <w:tr w:rsidR="002D0AE7" w14:paraId="1DC2BEA7" w14:textId="77777777">
            <w:trPr>
              <w:trHeight w:val="283"/>
              <w:jc w:val="center"/>
            </w:trPr>
            <w:tc>
              <w:tcPr>
                <w:tcW w:w="1346" w:type="dxa"/>
                <w:vMerge/>
                <w:tcBorders>
                  <w:left w:val="single" w:sz="4" w:space="0" w:color="auto"/>
                  <w:right w:val="single" w:sz="4" w:space="0" w:color="auto"/>
                </w:tcBorders>
                <w:vAlign w:val="center"/>
              </w:tcPr>
              <w:p w14:paraId="22C99F53" w14:textId="77777777" w:rsidR="002D0AE7" w:rsidRDefault="002D0AE7">
                <w:pPr>
                  <w:rPr>
                    <w:rFonts w:ascii="Calibri" w:hAnsi="Calibri"/>
                    <w:color w:val="000000"/>
                    <w:kern w:val="2"/>
                  </w:rPr>
                </w:pPr>
              </w:p>
            </w:tc>
            <w:tc>
              <w:tcPr>
                <w:tcW w:w="2193" w:type="dxa"/>
                <w:tcBorders>
                  <w:top w:val="single" w:sz="4" w:space="0" w:color="auto"/>
                  <w:left w:val="single" w:sz="4" w:space="0" w:color="auto"/>
                  <w:bottom w:val="single" w:sz="4" w:space="0" w:color="auto"/>
                  <w:right w:val="single" w:sz="4" w:space="0" w:color="auto"/>
                </w:tcBorders>
                <w:vAlign w:val="center"/>
              </w:tcPr>
              <w:p w14:paraId="2BF1F398" w14:textId="77777777" w:rsidR="002D0AE7" w:rsidRDefault="00333EBB">
                <w:pPr>
                  <w:rPr>
                    <w:rFonts w:hint="eastAsia"/>
                    <w:color w:val="000000"/>
                  </w:rPr>
                </w:pPr>
                <w:r>
                  <w:rPr>
                    <w:rFonts w:hint="eastAsia"/>
                    <w:color w:val="000000"/>
                  </w:rPr>
                  <w:t>总氮</w:t>
                </w:r>
              </w:p>
            </w:tc>
            <w:tc>
              <w:tcPr>
                <w:tcW w:w="1166" w:type="dxa"/>
                <w:vMerge/>
                <w:tcBorders>
                  <w:top w:val="nil"/>
                  <w:left w:val="single" w:sz="4" w:space="0" w:color="auto"/>
                  <w:bottom w:val="single" w:sz="4" w:space="0" w:color="auto"/>
                  <w:right w:val="single" w:sz="4" w:space="0" w:color="auto"/>
                </w:tcBorders>
                <w:vAlign w:val="center"/>
              </w:tcPr>
              <w:p w14:paraId="7C1AC9C9" w14:textId="77777777" w:rsidR="002D0AE7" w:rsidRDefault="002D0AE7">
                <w:pPr>
                  <w:rPr>
                    <w:rFonts w:ascii="Calibri" w:hAnsi="Calibri"/>
                    <w:color w:val="000000"/>
                    <w:kern w:val="2"/>
                  </w:rPr>
                </w:pPr>
              </w:p>
            </w:tc>
            <w:tc>
              <w:tcPr>
                <w:tcW w:w="1054" w:type="dxa"/>
                <w:tcBorders>
                  <w:top w:val="single" w:sz="4" w:space="0" w:color="auto"/>
                  <w:left w:val="single" w:sz="4" w:space="0" w:color="auto"/>
                  <w:bottom w:val="single" w:sz="4" w:space="0" w:color="auto"/>
                  <w:right w:val="single" w:sz="4" w:space="0" w:color="auto"/>
                </w:tcBorders>
                <w:vAlign w:val="center"/>
              </w:tcPr>
              <w:p w14:paraId="2ABC0D5F" w14:textId="77777777" w:rsidR="002D0AE7" w:rsidRDefault="00333EBB">
                <w:pPr>
                  <w:jc w:val="right"/>
                  <w:rPr>
                    <w:rFonts w:hint="eastAsia"/>
                    <w:color w:val="000000"/>
                  </w:rPr>
                </w:pPr>
                <w:r>
                  <w:rPr>
                    <w:rFonts w:cs="Calibri" w:hint="eastAsia"/>
                    <w:color w:val="000000"/>
                  </w:rPr>
                  <w:t>70</w:t>
                </w:r>
              </w:p>
            </w:tc>
            <w:tc>
              <w:tcPr>
                <w:tcW w:w="1961" w:type="dxa"/>
                <w:tcBorders>
                  <w:top w:val="single" w:sz="4" w:space="0" w:color="auto"/>
                  <w:left w:val="single" w:sz="4" w:space="0" w:color="auto"/>
                  <w:bottom w:val="single" w:sz="4" w:space="0" w:color="auto"/>
                  <w:right w:val="single" w:sz="4" w:space="0" w:color="auto"/>
                </w:tcBorders>
                <w:vAlign w:val="center"/>
              </w:tcPr>
              <w:p w14:paraId="0B59B7FA" w14:textId="77777777" w:rsidR="002D0AE7" w:rsidRDefault="00333EBB">
                <w:pPr>
                  <w:jc w:val="right"/>
                  <w:textAlignment w:val="center"/>
                  <w:rPr>
                    <w:rFonts w:hint="eastAsia"/>
                    <w:color w:val="000000"/>
                  </w:rPr>
                </w:pPr>
                <w:r>
                  <w:rPr>
                    <w:rFonts w:cs="Calibri"/>
                    <w:color w:val="000000"/>
                  </w:rPr>
                  <w:t>37.0</w:t>
                </w:r>
                <w:r>
                  <w:rPr>
                    <w:rFonts w:cs="Calibri" w:hint="eastAsia"/>
                    <w:color w:val="000000"/>
                  </w:rPr>
                  <w:t>8</w:t>
                </w:r>
              </w:p>
            </w:tc>
            <w:tc>
              <w:tcPr>
                <w:tcW w:w="1103" w:type="dxa"/>
                <w:tcBorders>
                  <w:top w:val="single" w:sz="4" w:space="0" w:color="auto"/>
                  <w:left w:val="single" w:sz="4" w:space="0" w:color="auto"/>
                  <w:bottom w:val="single" w:sz="4" w:space="0" w:color="auto"/>
                  <w:right w:val="single" w:sz="4" w:space="0" w:color="auto"/>
                </w:tcBorders>
                <w:vAlign w:val="center"/>
              </w:tcPr>
              <w:p w14:paraId="0BF3A9B8" w14:textId="77777777" w:rsidR="002D0AE7" w:rsidRDefault="00333EBB">
                <w:pPr>
                  <w:jc w:val="right"/>
                  <w:textAlignment w:val="center"/>
                  <w:rPr>
                    <w:rFonts w:hint="eastAsia"/>
                    <w:color w:val="000000"/>
                  </w:rPr>
                </w:pPr>
                <w:r>
                  <w:rPr>
                    <w:rFonts w:cs="Calibri"/>
                    <w:color w:val="000000"/>
                  </w:rPr>
                  <w:t>6.651</w:t>
                </w:r>
              </w:p>
            </w:tc>
          </w:tr>
          <w:tr w:rsidR="002D0AE7" w14:paraId="552B6FB3" w14:textId="77777777">
            <w:trPr>
              <w:trHeight w:val="283"/>
              <w:jc w:val="center"/>
            </w:trPr>
            <w:tc>
              <w:tcPr>
                <w:tcW w:w="1346" w:type="dxa"/>
                <w:vMerge/>
                <w:tcBorders>
                  <w:left w:val="single" w:sz="4" w:space="0" w:color="auto"/>
                  <w:right w:val="single" w:sz="4" w:space="0" w:color="auto"/>
                </w:tcBorders>
                <w:vAlign w:val="center"/>
              </w:tcPr>
              <w:p w14:paraId="5318D918" w14:textId="77777777" w:rsidR="002D0AE7" w:rsidRDefault="002D0AE7">
                <w:pPr>
                  <w:rPr>
                    <w:rFonts w:ascii="Calibri" w:hAnsi="Calibri"/>
                    <w:color w:val="000000"/>
                    <w:kern w:val="2"/>
                  </w:rPr>
                </w:pPr>
              </w:p>
            </w:tc>
            <w:tc>
              <w:tcPr>
                <w:tcW w:w="2193" w:type="dxa"/>
                <w:tcBorders>
                  <w:top w:val="single" w:sz="4" w:space="0" w:color="auto"/>
                  <w:left w:val="single" w:sz="4" w:space="0" w:color="auto"/>
                  <w:bottom w:val="single" w:sz="4" w:space="0" w:color="auto"/>
                  <w:right w:val="single" w:sz="4" w:space="0" w:color="auto"/>
                </w:tcBorders>
                <w:vAlign w:val="center"/>
              </w:tcPr>
              <w:p w14:paraId="7B4D520B" w14:textId="77777777" w:rsidR="002D0AE7" w:rsidRDefault="00333EBB">
                <w:pPr>
                  <w:rPr>
                    <w:rFonts w:hint="eastAsia"/>
                    <w:color w:val="000000"/>
                  </w:rPr>
                </w:pPr>
                <w:r>
                  <w:rPr>
                    <w:rFonts w:cs="Calibri" w:hint="eastAsia"/>
                    <w:color w:val="000000"/>
                  </w:rPr>
                  <w:t>pH</w:t>
                </w:r>
              </w:p>
            </w:tc>
            <w:tc>
              <w:tcPr>
                <w:tcW w:w="1166" w:type="dxa"/>
                <w:vMerge/>
                <w:tcBorders>
                  <w:top w:val="nil"/>
                  <w:left w:val="single" w:sz="4" w:space="0" w:color="auto"/>
                  <w:bottom w:val="single" w:sz="4" w:space="0" w:color="auto"/>
                  <w:right w:val="single" w:sz="4" w:space="0" w:color="auto"/>
                </w:tcBorders>
                <w:vAlign w:val="center"/>
              </w:tcPr>
              <w:p w14:paraId="60517884" w14:textId="77777777" w:rsidR="002D0AE7" w:rsidRDefault="002D0AE7">
                <w:pPr>
                  <w:rPr>
                    <w:rFonts w:ascii="Calibri" w:hAnsi="Calibri"/>
                    <w:color w:val="000000"/>
                    <w:kern w:val="2"/>
                  </w:rPr>
                </w:pPr>
              </w:p>
            </w:tc>
            <w:tc>
              <w:tcPr>
                <w:tcW w:w="1054" w:type="dxa"/>
                <w:tcBorders>
                  <w:top w:val="single" w:sz="4" w:space="0" w:color="auto"/>
                  <w:left w:val="single" w:sz="4" w:space="0" w:color="auto"/>
                  <w:bottom w:val="single" w:sz="4" w:space="0" w:color="auto"/>
                  <w:right w:val="single" w:sz="4" w:space="0" w:color="auto"/>
                </w:tcBorders>
                <w:vAlign w:val="center"/>
              </w:tcPr>
              <w:p w14:paraId="308937FF" w14:textId="77777777" w:rsidR="002D0AE7" w:rsidRDefault="00333EBB">
                <w:pPr>
                  <w:jc w:val="right"/>
                  <w:rPr>
                    <w:rFonts w:hint="eastAsia"/>
                    <w:color w:val="000000"/>
                  </w:rPr>
                </w:pPr>
                <w:r>
                  <w:rPr>
                    <w:rFonts w:cs="Calibri" w:hint="eastAsia"/>
                    <w:color w:val="000000"/>
                  </w:rPr>
                  <w:t>6-9</w:t>
                </w:r>
              </w:p>
            </w:tc>
            <w:tc>
              <w:tcPr>
                <w:tcW w:w="1961" w:type="dxa"/>
                <w:tcBorders>
                  <w:top w:val="single" w:sz="4" w:space="0" w:color="auto"/>
                  <w:left w:val="single" w:sz="4" w:space="0" w:color="auto"/>
                  <w:bottom w:val="single" w:sz="4" w:space="0" w:color="auto"/>
                  <w:right w:val="single" w:sz="4" w:space="0" w:color="auto"/>
                </w:tcBorders>
                <w:vAlign w:val="center"/>
              </w:tcPr>
              <w:p w14:paraId="1B35F586" w14:textId="77777777" w:rsidR="002D0AE7" w:rsidRDefault="00333EBB">
                <w:pPr>
                  <w:jc w:val="right"/>
                  <w:textAlignment w:val="center"/>
                  <w:rPr>
                    <w:rFonts w:hint="eastAsia"/>
                    <w:color w:val="000000"/>
                  </w:rPr>
                </w:pPr>
                <w:r>
                  <w:rPr>
                    <w:rFonts w:cs="Calibri"/>
                    <w:color w:val="000000"/>
                  </w:rPr>
                  <w:t>7.98</w:t>
                </w:r>
              </w:p>
            </w:tc>
            <w:tc>
              <w:tcPr>
                <w:tcW w:w="1103" w:type="dxa"/>
                <w:tcBorders>
                  <w:top w:val="single" w:sz="4" w:space="0" w:color="auto"/>
                  <w:left w:val="single" w:sz="4" w:space="0" w:color="auto"/>
                  <w:bottom w:val="single" w:sz="4" w:space="0" w:color="auto"/>
                  <w:right w:val="single" w:sz="4" w:space="0" w:color="auto"/>
                </w:tcBorders>
                <w:vAlign w:val="center"/>
              </w:tcPr>
              <w:p w14:paraId="0018DEE4" w14:textId="77777777" w:rsidR="002D0AE7" w:rsidRDefault="00333EBB">
                <w:pPr>
                  <w:jc w:val="right"/>
                  <w:textAlignment w:val="center"/>
                  <w:rPr>
                    <w:rFonts w:hint="eastAsia"/>
                    <w:color w:val="000000"/>
                  </w:rPr>
                </w:pPr>
                <w:r>
                  <w:rPr>
                    <w:rFonts w:hint="eastAsia"/>
                    <w:color w:val="000000"/>
                  </w:rPr>
                  <w:t>/</w:t>
                </w:r>
              </w:p>
            </w:tc>
          </w:tr>
          <w:tr w:rsidR="002D0AE7" w14:paraId="4035C8DE" w14:textId="77777777">
            <w:trPr>
              <w:trHeight w:val="283"/>
              <w:jc w:val="center"/>
            </w:trPr>
            <w:tc>
              <w:tcPr>
                <w:tcW w:w="1346" w:type="dxa"/>
                <w:vMerge/>
                <w:tcBorders>
                  <w:left w:val="single" w:sz="4" w:space="0" w:color="auto"/>
                  <w:right w:val="single" w:sz="4" w:space="0" w:color="auto"/>
                </w:tcBorders>
                <w:vAlign w:val="center"/>
              </w:tcPr>
              <w:p w14:paraId="7E68F992" w14:textId="77777777" w:rsidR="002D0AE7" w:rsidRDefault="002D0AE7">
                <w:pPr>
                  <w:rPr>
                    <w:rFonts w:ascii="Calibri" w:hAnsi="Calibri"/>
                    <w:color w:val="000000"/>
                    <w:kern w:val="2"/>
                  </w:rPr>
                </w:pPr>
              </w:p>
            </w:tc>
            <w:tc>
              <w:tcPr>
                <w:tcW w:w="2193" w:type="dxa"/>
                <w:tcBorders>
                  <w:top w:val="single" w:sz="4" w:space="0" w:color="auto"/>
                  <w:left w:val="single" w:sz="4" w:space="0" w:color="auto"/>
                  <w:bottom w:val="single" w:sz="4" w:space="0" w:color="auto"/>
                  <w:right w:val="single" w:sz="4" w:space="0" w:color="auto"/>
                </w:tcBorders>
                <w:vAlign w:val="center"/>
              </w:tcPr>
              <w:p w14:paraId="1C3B51D3" w14:textId="77777777" w:rsidR="002D0AE7" w:rsidRDefault="00333EBB">
                <w:pPr>
                  <w:rPr>
                    <w:rFonts w:hint="eastAsia"/>
                    <w:color w:val="000000"/>
                  </w:rPr>
                </w:pPr>
                <w:r>
                  <w:rPr>
                    <w:rFonts w:hint="eastAsia"/>
                    <w:color w:val="000000"/>
                  </w:rPr>
                  <w:t>动植物油</w:t>
                </w:r>
              </w:p>
            </w:tc>
            <w:tc>
              <w:tcPr>
                <w:tcW w:w="1166" w:type="dxa"/>
                <w:vMerge/>
                <w:tcBorders>
                  <w:top w:val="nil"/>
                  <w:left w:val="single" w:sz="4" w:space="0" w:color="auto"/>
                  <w:bottom w:val="single" w:sz="4" w:space="0" w:color="auto"/>
                  <w:right w:val="single" w:sz="4" w:space="0" w:color="auto"/>
                </w:tcBorders>
                <w:vAlign w:val="center"/>
              </w:tcPr>
              <w:p w14:paraId="2ABEC1D4" w14:textId="77777777" w:rsidR="002D0AE7" w:rsidRDefault="002D0AE7">
                <w:pPr>
                  <w:rPr>
                    <w:rFonts w:ascii="Calibri" w:hAnsi="Calibri"/>
                    <w:color w:val="000000"/>
                    <w:kern w:val="2"/>
                  </w:rPr>
                </w:pPr>
              </w:p>
            </w:tc>
            <w:tc>
              <w:tcPr>
                <w:tcW w:w="1054" w:type="dxa"/>
                <w:tcBorders>
                  <w:top w:val="single" w:sz="4" w:space="0" w:color="auto"/>
                  <w:left w:val="single" w:sz="4" w:space="0" w:color="auto"/>
                  <w:bottom w:val="single" w:sz="4" w:space="0" w:color="auto"/>
                  <w:right w:val="single" w:sz="4" w:space="0" w:color="auto"/>
                </w:tcBorders>
                <w:vAlign w:val="center"/>
              </w:tcPr>
              <w:p w14:paraId="731EA200" w14:textId="77777777" w:rsidR="002D0AE7" w:rsidRDefault="00333EBB">
                <w:pPr>
                  <w:jc w:val="right"/>
                  <w:rPr>
                    <w:rFonts w:hint="eastAsia"/>
                    <w:color w:val="000000"/>
                  </w:rPr>
                </w:pPr>
                <w:r>
                  <w:rPr>
                    <w:rFonts w:cs="Calibri" w:hint="eastAsia"/>
                    <w:color w:val="000000"/>
                  </w:rPr>
                  <w:t>100</w:t>
                </w:r>
              </w:p>
            </w:tc>
            <w:tc>
              <w:tcPr>
                <w:tcW w:w="1961" w:type="dxa"/>
                <w:tcBorders>
                  <w:top w:val="single" w:sz="4" w:space="0" w:color="auto"/>
                  <w:left w:val="single" w:sz="4" w:space="0" w:color="auto"/>
                  <w:bottom w:val="single" w:sz="4" w:space="0" w:color="auto"/>
                  <w:right w:val="single" w:sz="4" w:space="0" w:color="auto"/>
                </w:tcBorders>
                <w:vAlign w:val="center"/>
              </w:tcPr>
              <w:p w14:paraId="7939DED8" w14:textId="77777777" w:rsidR="002D0AE7" w:rsidRDefault="00333EBB">
                <w:pPr>
                  <w:jc w:val="right"/>
                  <w:textAlignment w:val="center"/>
                  <w:rPr>
                    <w:rFonts w:hint="eastAsia"/>
                    <w:color w:val="000000"/>
                  </w:rPr>
                </w:pPr>
                <w:r>
                  <w:rPr>
                    <w:rFonts w:cs="Calibri"/>
                    <w:color w:val="000000"/>
                  </w:rPr>
                  <w:t>0.26</w:t>
                </w:r>
              </w:p>
            </w:tc>
            <w:tc>
              <w:tcPr>
                <w:tcW w:w="1103" w:type="dxa"/>
                <w:tcBorders>
                  <w:top w:val="single" w:sz="4" w:space="0" w:color="auto"/>
                  <w:left w:val="single" w:sz="4" w:space="0" w:color="auto"/>
                  <w:bottom w:val="single" w:sz="4" w:space="0" w:color="auto"/>
                  <w:right w:val="single" w:sz="4" w:space="0" w:color="auto"/>
                </w:tcBorders>
                <w:vAlign w:val="center"/>
              </w:tcPr>
              <w:p w14:paraId="3C27069F" w14:textId="77777777" w:rsidR="002D0AE7" w:rsidRDefault="00333EBB">
                <w:pPr>
                  <w:jc w:val="right"/>
                  <w:textAlignment w:val="center"/>
                  <w:rPr>
                    <w:rFonts w:hint="eastAsia"/>
                    <w:color w:val="000000"/>
                  </w:rPr>
                </w:pPr>
                <w:r>
                  <w:rPr>
                    <w:rFonts w:cs="Calibri"/>
                    <w:color w:val="000000"/>
                  </w:rPr>
                  <w:t>0.051</w:t>
                </w:r>
              </w:p>
            </w:tc>
          </w:tr>
          <w:tr w:rsidR="002D0AE7" w14:paraId="66D0D843" w14:textId="77777777">
            <w:trPr>
              <w:trHeight w:val="283"/>
              <w:jc w:val="center"/>
            </w:trPr>
            <w:tc>
              <w:tcPr>
                <w:tcW w:w="1346" w:type="dxa"/>
                <w:vMerge/>
                <w:tcBorders>
                  <w:left w:val="single" w:sz="4" w:space="0" w:color="auto"/>
                  <w:right w:val="single" w:sz="4" w:space="0" w:color="auto"/>
                </w:tcBorders>
                <w:vAlign w:val="center"/>
              </w:tcPr>
              <w:p w14:paraId="6A67D4F2" w14:textId="77777777" w:rsidR="002D0AE7" w:rsidRDefault="002D0AE7">
                <w:pPr>
                  <w:rPr>
                    <w:rFonts w:ascii="Calibri" w:hAnsi="Calibri"/>
                    <w:color w:val="000000"/>
                    <w:kern w:val="2"/>
                  </w:rPr>
                </w:pPr>
              </w:p>
            </w:tc>
            <w:tc>
              <w:tcPr>
                <w:tcW w:w="2193" w:type="dxa"/>
                <w:tcBorders>
                  <w:top w:val="single" w:sz="4" w:space="0" w:color="auto"/>
                  <w:left w:val="single" w:sz="4" w:space="0" w:color="auto"/>
                  <w:bottom w:val="single" w:sz="4" w:space="0" w:color="auto"/>
                  <w:right w:val="single" w:sz="4" w:space="0" w:color="auto"/>
                </w:tcBorders>
                <w:vAlign w:val="center"/>
              </w:tcPr>
              <w:p w14:paraId="2C614220" w14:textId="77777777" w:rsidR="002D0AE7" w:rsidRDefault="00333EBB">
                <w:pPr>
                  <w:rPr>
                    <w:rFonts w:hint="eastAsia"/>
                    <w:color w:val="000000"/>
                  </w:rPr>
                </w:pPr>
                <w:r>
                  <w:rPr>
                    <w:rFonts w:hint="eastAsia"/>
                    <w:color w:val="000000"/>
                  </w:rPr>
                  <w:t>氟化物</w:t>
                </w:r>
              </w:p>
            </w:tc>
            <w:tc>
              <w:tcPr>
                <w:tcW w:w="1166" w:type="dxa"/>
                <w:vMerge/>
                <w:tcBorders>
                  <w:top w:val="nil"/>
                  <w:left w:val="single" w:sz="4" w:space="0" w:color="auto"/>
                  <w:bottom w:val="single" w:sz="4" w:space="0" w:color="auto"/>
                  <w:right w:val="single" w:sz="4" w:space="0" w:color="auto"/>
                </w:tcBorders>
                <w:vAlign w:val="center"/>
              </w:tcPr>
              <w:p w14:paraId="2A3282EB" w14:textId="77777777" w:rsidR="002D0AE7" w:rsidRDefault="002D0AE7">
                <w:pPr>
                  <w:rPr>
                    <w:rFonts w:ascii="Calibri" w:hAnsi="Calibri"/>
                    <w:color w:val="000000"/>
                    <w:kern w:val="2"/>
                  </w:rPr>
                </w:pPr>
              </w:p>
            </w:tc>
            <w:tc>
              <w:tcPr>
                <w:tcW w:w="1054" w:type="dxa"/>
                <w:tcBorders>
                  <w:top w:val="single" w:sz="4" w:space="0" w:color="auto"/>
                  <w:left w:val="single" w:sz="4" w:space="0" w:color="auto"/>
                  <w:bottom w:val="single" w:sz="4" w:space="0" w:color="auto"/>
                  <w:right w:val="single" w:sz="4" w:space="0" w:color="auto"/>
                </w:tcBorders>
                <w:vAlign w:val="center"/>
              </w:tcPr>
              <w:p w14:paraId="6ED53B2C" w14:textId="77777777" w:rsidR="002D0AE7" w:rsidRDefault="00333EBB">
                <w:pPr>
                  <w:jc w:val="right"/>
                  <w:rPr>
                    <w:rFonts w:hint="eastAsia"/>
                    <w:color w:val="000000"/>
                  </w:rPr>
                </w:pPr>
                <w:r>
                  <w:rPr>
                    <w:rFonts w:cs="Calibri" w:hint="eastAsia"/>
                    <w:color w:val="000000"/>
                  </w:rPr>
                  <w:t>20</w:t>
                </w:r>
              </w:p>
            </w:tc>
            <w:tc>
              <w:tcPr>
                <w:tcW w:w="1961" w:type="dxa"/>
                <w:tcBorders>
                  <w:top w:val="single" w:sz="4" w:space="0" w:color="auto"/>
                  <w:left w:val="single" w:sz="4" w:space="0" w:color="auto"/>
                  <w:bottom w:val="single" w:sz="4" w:space="0" w:color="auto"/>
                  <w:right w:val="single" w:sz="4" w:space="0" w:color="auto"/>
                </w:tcBorders>
                <w:vAlign w:val="center"/>
              </w:tcPr>
              <w:p w14:paraId="054C03F8" w14:textId="77777777" w:rsidR="002D0AE7" w:rsidRDefault="00333EBB">
                <w:pPr>
                  <w:jc w:val="right"/>
                  <w:textAlignment w:val="center"/>
                  <w:rPr>
                    <w:rFonts w:hint="eastAsia"/>
                    <w:color w:val="000000"/>
                  </w:rPr>
                </w:pPr>
                <w:r>
                  <w:rPr>
                    <w:rFonts w:cs="Calibri"/>
                    <w:color w:val="000000"/>
                  </w:rPr>
                  <w:t>5.95</w:t>
                </w:r>
              </w:p>
            </w:tc>
            <w:tc>
              <w:tcPr>
                <w:tcW w:w="1103" w:type="dxa"/>
                <w:tcBorders>
                  <w:top w:val="single" w:sz="4" w:space="0" w:color="auto"/>
                  <w:left w:val="single" w:sz="4" w:space="0" w:color="auto"/>
                  <w:bottom w:val="single" w:sz="4" w:space="0" w:color="auto"/>
                  <w:right w:val="single" w:sz="4" w:space="0" w:color="auto"/>
                </w:tcBorders>
                <w:vAlign w:val="center"/>
              </w:tcPr>
              <w:p w14:paraId="5040F3AB" w14:textId="77777777" w:rsidR="002D0AE7" w:rsidRDefault="00333EBB">
                <w:pPr>
                  <w:jc w:val="right"/>
                  <w:textAlignment w:val="center"/>
                  <w:rPr>
                    <w:rFonts w:hint="eastAsia"/>
                    <w:color w:val="000000"/>
                  </w:rPr>
                </w:pPr>
                <w:r>
                  <w:rPr>
                    <w:rFonts w:cs="Calibri"/>
                    <w:color w:val="000000"/>
                  </w:rPr>
                  <w:t>1.176</w:t>
                </w:r>
              </w:p>
            </w:tc>
          </w:tr>
          <w:tr w:rsidR="002D0AE7" w14:paraId="48F34EF3" w14:textId="77777777">
            <w:trPr>
              <w:trHeight w:val="239"/>
              <w:jc w:val="center"/>
            </w:trPr>
            <w:tc>
              <w:tcPr>
                <w:tcW w:w="1346" w:type="dxa"/>
                <w:vMerge/>
                <w:tcBorders>
                  <w:left w:val="single" w:sz="4" w:space="0" w:color="auto"/>
                  <w:right w:val="single" w:sz="4" w:space="0" w:color="auto"/>
                </w:tcBorders>
                <w:vAlign w:val="center"/>
              </w:tcPr>
              <w:p w14:paraId="750566D1" w14:textId="77777777" w:rsidR="002D0AE7" w:rsidRDefault="002D0AE7">
                <w:pPr>
                  <w:rPr>
                    <w:rFonts w:ascii="Calibri" w:hAnsi="Calibri"/>
                    <w:color w:val="000000"/>
                    <w:kern w:val="2"/>
                  </w:rPr>
                </w:pPr>
              </w:p>
            </w:tc>
            <w:tc>
              <w:tcPr>
                <w:tcW w:w="2193" w:type="dxa"/>
                <w:tcBorders>
                  <w:top w:val="single" w:sz="4" w:space="0" w:color="auto"/>
                  <w:left w:val="single" w:sz="4" w:space="0" w:color="auto"/>
                  <w:bottom w:val="single" w:sz="4" w:space="0" w:color="auto"/>
                  <w:right w:val="single" w:sz="4" w:space="0" w:color="auto"/>
                </w:tcBorders>
                <w:vAlign w:val="center"/>
              </w:tcPr>
              <w:p w14:paraId="6B465004" w14:textId="77777777" w:rsidR="002D0AE7" w:rsidRDefault="00333EBB">
                <w:pPr>
                  <w:rPr>
                    <w:rFonts w:hint="eastAsia"/>
                    <w:color w:val="000000"/>
                  </w:rPr>
                </w:pPr>
                <w:r>
                  <w:rPr>
                    <w:rFonts w:hint="eastAsia"/>
                    <w:color w:val="000000"/>
                  </w:rPr>
                  <w:t>总有机碳</w:t>
                </w:r>
              </w:p>
            </w:tc>
            <w:tc>
              <w:tcPr>
                <w:tcW w:w="1166" w:type="dxa"/>
                <w:vMerge/>
                <w:tcBorders>
                  <w:top w:val="nil"/>
                  <w:left w:val="single" w:sz="4" w:space="0" w:color="auto"/>
                  <w:bottom w:val="single" w:sz="4" w:space="0" w:color="auto"/>
                  <w:right w:val="single" w:sz="4" w:space="0" w:color="auto"/>
                </w:tcBorders>
                <w:vAlign w:val="center"/>
              </w:tcPr>
              <w:p w14:paraId="03789F78" w14:textId="77777777" w:rsidR="002D0AE7" w:rsidRDefault="002D0AE7">
                <w:pPr>
                  <w:rPr>
                    <w:rFonts w:ascii="Calibri" w:hAnsi="Calibri"/>
                    <w:color w:val="000000"/>
                    <w:kern w:val="2"/>
                  </w:rPr>
                </w:pPr>
              </w:p>
            </w:tc>
            <w:tc>
              <w:tcPr>
                <w:tcW w:w="1054" w:type="dxa"/>
                <w:tcBorders>
                  <w:top w:val="single" w:sz="4" w:space="0" w:color="auto"/>
                  <w:left w:val="single" w:sz="4" w:space="0" w:color="auto"/>
                  <w:bottom w:val="single" w:sz="4" w:space="0" w:color="auto"/>
                  <w:right w:val="single" w:sz="4" w:space="0" w:color="auto"/>
                </w:tcBorders>
                <w:vAlign w:val="center"/>
              </w:tcPr>
              <w:p w14:paraId="458A755E" w14:textId="77777777" w:rsidR="002D0AE7" w:rsidRDefault="00333EBB">
                <w:pPr>
                  <w:jc w:val="right"/>
                  <w:rPr>
                    <w:rFonts w:hint="eastAsia"/>
                    <w:color w:val="000000"/>
                  </w:rPr>
                </w:pPr>
                <w:r>
                  <w:rPr>
                    <w:rFonts w:cs="Calibri" w:hint="eastAsia"/>
                    <w:color w:val="000000"/>
                  </w:rPr>
                  <w:t>150</w:t>
                </w:r>
              </w:p>
            </w:tc>
            <w:tc>
              <w:tcPr>
                <w:tcW w:w="1961" w:type="dxa"/>
                <w:tcBorders>
                  <w:top w:val="single" w:sz="4" w:space="0" w:color="auto"/>
                  <w:left w:val="single" w:sz="4" w:space="0" w:color="auto"/>
                  <w:bottom w:val="single" w:sz="4" w:space="0" w:color="auto"/>
                  <w:right w:val="single" w:sz="4" w:space="0" w:color="auto"/>
                </w:tcBorders>
                <w:vAlign w:val="center"/>
              </w:tcPr>
              <w:p w14:paraId="6BC56885" w14:textId="77777777" w:rsidR="002D0AE7" w:rsidRDefault="00333EBB">
                <w:pPr>
                  <w:jc w:val="right"/>
                  <w:textAlignment w:val="center"/>
                  <w:rPr>
                    <w:rFonts w:hint="eastAsia"/>
                    <w:color w:val="000000"/>
                  </w:rPr>
                </w:pPr>
                <w:r>
                  <w:rPr>
                    <w:rFonts w:cs="Calibri"/>
                    <w:color w:val="000000"/>
                  </w:rPr>
                  <w:t>79.35</w:t>
                </w:r>
              </w:p>
            </w:tc>
            <w:tc>
              <w:tcPr>
                <w:tcW w:w="1103" w:type="dxa"/>
                <w:tcBorders>
                  <w:top w:val="single" w:sz="4" w:space="0" w:color="auto"/>
                  <w:left w:val="single" w:sz="4" w:space="0" w:color="auto"/>
                  <w:bottom w:val="single" w:sz="4" w:space="0" w:color="auto"/>
                  <w:right w:val="single" w:sz="4" w:space="0" w:color="auto"/>
                </w:tcBorders>
                <w:vAlign w:val="center"/>
              </w:tcPr>
              <w:p w14:paraId="0F479A33" w14:textId="77777777" w:rsidR="002D0AE7" w:rsidRDefault="00333EBB">
                <w:pPr>
                  <w:jc w:val="right"/>
                  <w:textAlignment w:val="center"/>
                  <w:rPr>
                    <w:rFonts w:hint="eastAsia"/>
                    <w:color w:val="000000"/>
                  </w:rPr>
                </w:pPr>
                <w:r>
                  <w:rPr>
                    <w:rFonts w:cs="Calibri" w:hint="eastAsia"/>
                    <w:color w:val="000000"/>
                  </w:rPr>
                  <w:t>15.688</w:t>
                </w:r>
              </w:p>
            </w:tc>
          </w:tr>
          <w:tr w:rsidR="002D0AE7" w14:paraId="6D462369" w14:textId="77777777">
            <w:trPr>
              <w:trHeight w:val="239"/>
              <w:jc w:val="center"/>
            </w:trPr>
            <w:tc>
              <w:tcPr>
                <w:tcW w:w="1346" w:type="dxa"/>
                <w:vMerge/>
                <w:tcBorders>
                  <w:left w:val="single" w:sz="4" w:space="0" w:color="auto"/>
                  <w:right w:val="single" w:sz="4" w:space="0" w:color="auto"/>
                </w:tcBorders>
                <w:vAlign w:val="center"/>
              </w:tcPr>
              <w:p w14:paraId="39289180" w14:textId="77777777" w:rsidR="002D0AE7" w:rsidRDefault="002D0AE7">
                <w:pPr>
                  <w:rPr>
                    <w:rFonts w:ascii="Calibri" w:hAnsi="Calibri"/>
                    <w:color w:val="000000"/>
                    <w:kern w:val="2"/>
                  </w:rPr>
                </w:pPr>
              </w:p>
            </w:tc>
            <w:tc>
              <w:tcPr>
                <w:tcW w:w="2193" w:type="dxa"/>
                <w:tcBorders>
                  <w:top w:val="single" w:sz="4" w:space="0" w:color="auto"/>
                  <w:left w:val="single" w:sz="4" w:space="0" w:color="auto"/>
                  <w:bottom w:val="single" w:sz="4" w:space="0" w:color="auto"/>
                  <w:right w:val="single" w:sz="4" w:space="0" w:color="auto"/>
                </w:tcBorders>
                <w:vAlign w:val="center"/>
              </w:tcPr>
              <w:p w14:paraId="6462B171" w14:textId="77777777" w:rsidR="002D0AE7" w:rsidRDefault="00333EBB">
                <w:pPr>
                  <w:rPr>
                    <w:rFonts w:hint="eastAsia"/>
                    <w:color w:val="000000"/>
                  </w:rPr>
                </w:pPr>
                <w:r>
                  <w:rPr>
                    <w:color w:val="000000"/>
                    <w:shd w:val="clear" w:color="auto" w:fill="FFFFFF"/>
                  </w:rPr>
                  <w:t>甲苯</w:t>
                </w:r>
              </w:p>
            </w:tc>
            <w:tc>
              <w:tcPr>
                <w:tcW w:w="1166" w:type="dxa"/>
                <w:vMerge/>
                <w:tcBorders>
                  <w:top w:val="nil"/>
                  <w:left w:val="single" w:sz="4" w:space="0" w:color="auto"/>
                  <w:bottom w:val="single" w:sz="4" w:space="0" w:color="auto"/>
                  <w:right w:val="single" w:sz="4" w:space="0" w:color="auto"/>
                </w:tcBorders>
                <w:vAlign w:val="center"/>
              </w:tcPr>
              <w:p w14:paraId="393E2301" w14:textId="77777777" w:rsidR="002D0AE7" w:rsidRDefault="002D0AE7">
                <w:pPr>
                  <w:rPr>
                    <w:rFonts w:ascii="Calibri" w:hAnsi="Calibri"/>
                    <w:color w:val="000000"/>
                    <w:kern w:val="2"/>
                  </w:rPr>
                </w:pPr>
              </w:p>
            </w:tc>
            <w:tc>
              <w:tcPr>
                <w:tcW w:w="1054" w:type="dxa"/>
                <w:tcBorders>
                  <w:top w:val="single" w:sz="4" w:space="0" w:color="auto"/>
                  <w:left w:val="single" w:sz="4" w:space="0" w:color="auto"/>
                  <w:bottom w:val="single" w:sz="4" w:space="0" w:color="auto"/>
                  <w:right w:val="single" w:sz="4" w:space="0" w:color="auto"/>
                </w:tcBorders>
                <w:vAlign w:val="center"/>
              </w:tcPr>
              <w:p w14:paraId="1FD1A6DF" w14:textId="77777777" w:rsidR="002D0AE7" w:rsidRDefault="00333EBB">
                <w:pPr>
                  <w:jc w:val="right"/>
                  <w:rPr>
                    <w:rFonts w:ascii="Calibri" w:hAnsi="Calibri"/>
                    <w:color w:val="000000"/>
                  </w:rPr>
                </w:pPr>
                <w:r>
                  <w:rPr>
                    <w:rFonts w:cs="Calibri" w:hint="eastAsia"/>
                    <w:color w:val="000000"/>
                  </w:rPr>
                  <w:t>0.5</w:t>
                </w:r>
              </w:p>
            </w:tc>
            <w:tc>
              <w:tcPr>
                <w:tcW w:w="1961" w:type="dxa"/>
                <w:tcBorders>
                  <w:top w:val="single" w:sz="4" w:space="0" w:color="auto"/>
                  <w:left w:val="single" w:sz="4" w:space="0" w:color="auto"/>
                  <w:bottom w:val="single" w:sz="4" w:space="0" w:color="auto"/>
                  <w:right w:val="single" w:sz="4" w:space="0" w:color="auto"/>
                </w:tcBorders>
                <w:vAlign w:val="center"/>
              </w:tcPr>
              <w:p w14:paraId="48FB73C1" w14:textId="77777777" w:rsidR="002D0AE7" w:rsidRDefault="00333EBB">
                <w:pPr>
                  <w:jc w:val="right"/>
                  <w:textAlignment w:val="center"/>
                  <w:rPr>
                    <w:rFonts w:hint="eastAsia"/>
                    <w:color w:val="000000"/>
                  </w:rPr>
                </w:pPr>
                <w:r>
                  <w:rPr>
                    <w:rFonts w:hint="eastAsia"/>
                    <w:color w:val="000000"/>
                  </w:rPr>
                  <w:t>未检出</w:t>
                </w:r>
              </w:p>
            </w:tc>
            <w:tc>
              <w:tcPr>
                <w:tcW w:w="1103" w:type="dxa"/>
                <w:tcBorders>
                  <w:top w:val="single" w:sz="4" w:space="0" w:color="auto"/>
                  <w:left w:val="single" w:sz="4" w:space="0" w:color="auto"/>
                  <w:bottom w:val="single" w:sz="4" w:space="0" w:color="auto"/>
                  <w:right w:val="single" w:sz="4" w:space="0" w:color="auto"/>
                </w:tcBorders>
                <w:vAlign w:val="center"/>
              </w:tcPr>
              <w:p w14:paraId="71949C89" w14:textId="77777777" w:rsidR="002D0AE7" w:rsidRDefault="00333EBB">
                <w:pPr>
                  <w:jc w:val="right"/>
                  <w:textAlignment w:val="center"/>
                  <w:rPr>
                    <w:rFonts w:hint="eastAsia"/>
                    <w:color w:val="000000"/>
                  </w:rPr>
                </w:pPr>
                <w:r>
                  <w:rPr>
                    <w:rFonts w:hint="eastAsia"/>
                    <w:color w:val="000000"/>
                  </w:rPr>
                  <w:t>/</w:t>
                </w:r>
              </w:p>
            </w:tc>
          </w:tr>
          <w:tr w:rsidR="002D0AE7" w14:paraId="4A43C30A" w14:textId="77777777">
            <w:trPr>
              <w:trHeight w:val="239"/>
              <w:jc w:val="center"/>
            </w:trPr>
            <w:tc>
              <w:tcPr>
                <w:tcW w:w="1346" w:type="dxa"/>
                <w:vMerge/>
                <w:tcBorders>
                  <w:left w:val="single" w:sz="4" w:space="0" w:color="auto"/>
                  <w:right w:val="single" w:sz="4" w:space="0" w:color="auto"/>
                </w:tcBorders>
                <w:vAlign w:val="center"/>
              </w:tcPr>
              <w:p w14:paraId="36C965DC" w14:textId="77777777" w:rsidR="002D0AE7" w:rsidRDefault="002D0AE7">
                <w:pPr>
                  <w:rPr>
                    <w:rFonts w:ascii="Calibri" w:hAnsi="Calibri"/>
                    <w:color w:val="000000"/>
                    <w:kern w:val="2"/>
                  </w:rPr>
                </w:pPr>
              </w:p>
            </w:tc>
            <w:tc>
              <w:tcPr>
                <w:tcW w:w="2193" w:type="dxa"/>
                <w:tcBorders>
                  <w:top w:val="single" w:sz="4" w:space="0" w:color="auto"/>
                  <w:left w:val="single" w:sz="4" w:space="0" w:color="auto"/>
                  <w:bottom w:val="single" w:sz="4" w:space="0" w:color="auto"/>
                  <w:right w:val="single" w:sz="4" w:space="0" w:color="auto"/>
                </w:tcBorders>
                <w:vAlign w:val="center"/>
              </w:tcPr>
              <w:p w14:paraId="6755865B" w14:textId="77777777" w:rsidR="002D0AE7" w:rsidRDefault="00333EBB">
                <w:pPr>
                  <w:rPr>
                    <w:rFonts w:hint="eastAsia"/>
                    <w:color w:val="000000"/>
                  </w:rPr>
                </w:pPr>
                <w:r>
                  <w:rPr>
                    <w:color w:val="000000"/>
                    <w:shd w:val="clear" w:color="auto" w:fill="FFFFFF"/>
                  </w:rPr>
                  <w:t>可吸附有机卤化物</w:t>
                </w:r>
              </w:p>
            </w:tc>
            <w:tc>
              <w:tcPr>
                <w:tcW w:w="1166" w:type="dxa"/>
                <w:vMerge/>
                <w:tcBorders>
                  <w:top w:val="nil"/>
                  <w:left w:val="single" w:sz="4" w:space="0" w:color="auto"/>
                  <w:bottom w:val="single" w:sz="4" w:space="0" w:color="auto"/>
                  <w:right w:val="single" w:sz="4" w:space="0" w:color="auto"/>
                </w:tcBorders>
                <w:vAlign w:val="center"/>
              </w:tcPr>
              <w:p w14:paraId="57103E4E" w14:textId="77777777" w:rsidR="002D0AE7" w:rsidRDefault="002D0AE7">
                <w:pPr>
                  <w:rPr>
                    <w:rFonts w:ascii="Calibri" w:hAnsi="Calibri"/>
                    <w:color w:val="000000"/>
                    <w:kern w:val="2"/>
                  </w:rPr>
                </w:pPr>
              </w:p>
            </w:tc>
            <w:tc>
              <w:tcPr>
                <w:tcW w:w="1054" w:type="dxa"/>
                <w:tcBorders>
                  <w:top w:val="single" w:sz="4" w:space="0" w:color="auto"/>
                  <w:left w:val="single" w:sz="4" w:space="0" w:color="auto"/>
                  <w:bottom w:val="single" w:sz="4" w:space="0" w:color="auto"/>
                  <w:right w:val="single" w:sz="4" w:space="0" w:color="auto"/>
                </w:tcBorders>
                <w:vAlign w:val="center"/>
              </w:tcPr>
              <w:p w14:paraId="253309BC" w14:textId="77777777" w:rsidR="002D0AE7" w:rsidRDefault="00333EBB">
                <w:pPr>
                  <w:jc w:val="right"/>
                  <w:rPr>
                    <w:rFonts w:ascii="Calibri" w:hAnsi="Calibri"/>
                    <w:color w:val="000000"/>
                  </w:rPr>
                </w:pPr>
                <w:r>
                  <w:rPr>
                    <w:rFonts w:cs="Calibri" w:hint="eastAsia"/>
                    <w:color w:val="000000"/>
                  </w:rPr>
                  <w:t>8</w:t>
                </w:r>
              </w:p>
            </w:tc>
            <w:tc>
              <w:tcPr>
                <w:tcW w:w="1961" w:type="dxa"/>
                <w:tcBorders>
                  <w:top w:val="single" w:sz="4" w:space="0" w:color="auto"/>
                  <w:left w:val="single" w:sz="4" w:space="0" w:color="auto"/>
                  <w:bottom w:val="single" w:sz="4" w:space="0" w:color="auto"/>
                  <w:right w:val="single" w:sz="4" w:space="0" w:color="auto"/>
                </w:tcBorders>
                <w:vAlign w:val="center"/>
              </w:tcPr>
              <w:p w14:paraId="32092B25" w14:textId="77777777" w:rsidR="002D0AE7" w:rsidRDefault="00333EBB">
                <w:pPr>
                  <w:jc w:val="right"/>
                  <w:textAlignment w:val="center"/>
                  <w:rPr>
                    <w:rFonts w:hint="eastAsia"/>
                    <w:color w:val="000000"/>
                  </w:rPr>
                </w:pPr>
                <w:r>
                  <w:rPr>
                    <w:rFonts w:cs="Calibri"/>
                    <w:color w:val="000000"/>
                  </w:rPr>
                  <w:t>2.8</w:t>
                </w:r>
                <w:r>
                  <w:rPr>
                    <w:rFonts w:cs="Calibri" w:hint="eastAsia"/>
                    <w:color w:val="000000"/>
                  </w:rPr>
                  <w:t>9</w:t>
                </w:r>
              </w:p>
            </w:tc>
            <w:tc>
              <w:tcPr>
                <w:tcW w:w="1103" w:type="dxa"/>
                <w:tcBorders>
                  <w:top w:val="single" w:sz="4" w:space="0" w:color="auto"/>
                  <w:left w:val="single" w:sz="4" w:space="0" w:color="auto"/>
                  <w:bottom w:val="single" w:sz="4" w:space="0" w:color="auto"/>
                  <w:right w:val="single" w:sz="4" w:space="0" w:color="auto"/>
                </w:tcBorders>
                <w:vAlign w:val="center"/>
              </w:tcPr>
              <w:p w14:paraId="24C8E69C" w14:textId="77777777" w:rsidR="002D0AE7" w:rsidRDefault="00333EBB">
                <w:pPr>
                  <w:jc w:val="right"/>
                  <w:textAlignment w:val="center"/>
                  <w:rPr>
                    <w:rFonts w:hint="eastAsia"/>
                    <w:color w:val="000000"/>
                  </w:rPr>
                </w:pPr>
                <w:r>
                  <w:rPr>
                    <w:rFonts w:cs="Calibri"/>
                    <w:color w:val="000000"/>
                  </w:rPr>
                  <w:t>0.571</w:t>
                </w:r>
              </w:p>
            </w:tc>
          </w:tr>
          <w:tr w:rsidR="002D0AE7" w14:paraId="3167BDC4" w14:textId="77777777">
            <w:trPr>
              <w:trHeight w:val="239"/>
              <w:jc w:val="center"/>
            </w:trPr>
            <w:tc>
              <w:tcPr>
                <w:tcW w:w="1346" w:type="dxa"/>
                <w:vMerge/>
                <w:tcBorders>
                  <w:left w:val="single" w:sz="4" w:space="0" w:color="auto"/>
                  <w:right w:val="single" w:sz="4" w:space="0" w:color="auto"/>
                </w:tcBorders>
                <w:vAlign w:val="center"/>
              </w:tcPr>
              <w:p w14:paraId="249E44B4" w14:textId="77777777" w:rsidR="002D0AE7" w:rsidRDefault="002D0AE7">
                <w:pPr>
                  <w:rPr>
                    <w:rFonts w:ascii="Calibri" w:hAnsi="Calibri"/>
                    <w:color w:val="000000"/>
                    <w:kern w:val="2"/>
                  </w:rPr>
                </w:pPr>
              </w:p>
            </w:tc>
            <w:tc>
              <w:tcPr>
                <w:tcW w:w="2193" w:type="dxa"/>
                <w:tcBorders>
                  <w:top w:val="single" w:sz="4" w:space="0" w:color="auto"/>
                  <w:left w:val="single" w:sz="4" w:space="0" w:color="auto"/>
                  <w:bottom w:val="single" w:sz="4" w:space="0" w:color="auto"/>
                  <w:right w:val="single" w:sz="4" w:space="0" w:color="auto"/>
                </w:tcBorders>
                <w:vAlign w:val="center"/>
              </w:tcPr>
              <w:p w14:paraId="66BE80B5" w14:textId="77777777" w:rsidR="002D0AE7" w:rsidRDefault="00333EBB">
                <w:pPr>
                  <w:rPr>
                    <w:rFonts w:hint="eastAsia"/>
                    <w:color w:val="000000"/>
                  </w:rPr>
                </w:pPr>
                <w:r>
                  <w:rPr>
                    <w:color w:val="000000"/>
                    <w:shd w:val="clear" w:color="auto" w:fill="FFFFFF"/>
                  </w:rPr>
                  <w:t>1</w:t>
                </w:r>
                <w:r>
                  <w:rPr>
                    <w:color w:val="000000"/>
                    <w:shd w:val="clear" w:color="auto" w:fill="FFFFFF"/>
                  </w:rPr>
                  <w:t>，</w:t>
                </w:r>
                <w:r>
                  <w:rPr>
                    <w:rFonts w:cs="Calibri"/>
                    <w:color w:val="000000"/>
                    <w:shd w:val="clear" w:color="auto" w:fill="FFFFFF"/>
                  </w:rPr>
                  <w:t>2-</w:t>
                </w:r>
                <w:r>
                  <w:rPr>
                    <w:color w:val="000000"/>
                    <w:shd w:val="clear" w:color="auto" w:fill="FFFFFF"/>
                  </w:rPr>
                  <w:t>二氯乙烷</w:t>
                </w:r>
              </w:p>
            </w:tc>
            <w:tc>
              <w:tcPr>
                <w:tcW w:w="1166" w:type="dxa"/>
                <w:vMerge/>
                <w:tcBorders>
                  <w:top w:val="nil"/>
                  <w:left w:val="single" w:sz="4" w:space="0" w:color="auto"/>
                  <w:bottom w:val="single" w:sz="4" w:space="0" w:color="auto"/>
                  <w:right w:val="single" w:sz="4" w:space="0" w:color="auto"/>
                </w:tcBorders>
                <w:vAlign w:val="center"/>
              </w:tcPr>
              <w:p w14:paraId="355C9F5C" w14:textId="77777777" w:rsidR="002D0AE7" w:rsidRDefault="002D0AE7">
                <w:pPr>
                  <w:rPr>
                    <w:rFonts w:ascii="Calibri" w:hAnsi="Calibri"/>
                    <w:color w:val="000000"/>
                    <w:kern w:val="2"/>
                  </w:rPr>
                </w:pPr>
              </w:p>
            </w:tc>
            <w:tc>
              <w:tcPr>
                <w:tcW w:w="1054" w:type="dxa"/>
                <w:tcBorders>
                  <w:top w:val="single" w:sz="4" w:space="0" w:color="auto"/>
                  <w:left w:val="single" w:sz="4" w:space="0" w:color="auto"/>
                  <w:bottom w:val="single" w:sz="4" w:space="0" w:color="auto"/>
                  <w:right w:val="single" w:sz="4" w:space="0" w:color="auto"/>
                </w:tcBorders>
                <w:vAlign w:val="center"/>
              </w:tcPr>
              <w:p w14:paraId="3D5A4CB6" w14:textId="77777777" w:rsidR="002D0AE7" w:rsidRDefault="00333EBB">
                <w:pPr>
                  <w:jc w:val="right"/>
                  <w:rPr>
                    <w:rFonts w:ascii="Calibri" w:hAnsi="Calibri"/>
                    <w:color w:val="000000"/>
                  </w:rPr>
                </w:pPr>
                <w:r>
                  <w:rPr>
                    <w:rFonts w:cs="Calibri" w:hint="eastAsia"/>
                    <w:color w:val="000000"/>
                  </w:rPr>
                  <w:t>1.5</w:t>
                </w:r>
              </w:p>
            </w:tc>
            <w:tc>
              <w:tcPr>
                <w:tcW w:w="1961" w:type="dxa"/>
                <w:tcBorders>
                  <w:top w:val="single" w:sz="4" w:space="0" w:color="auto"/>
                  <w:left w:val="single" w:sz="4" w:space="0" w:color="auto"/>
                  <w:bottom w:val="single" w:sz="4" w:space="0" w:color="auto"/>
                  <w:right w:val="single" w:sz="4" w:space="0" w:color="auto"/>
                </w:tcBorders>
                <w:vAlign w:val="center"/>
              </w:tcPr>
              <w:p w14:paraId="4C3DB61D" w14:textId="77777777" w:rsidR="002D0AE7" w:rsidRDefault="00333EBB">
                <w:pPr>
                  <w:jc w:val="right"/>
                  <w:textAlignment w:val="center"/>
                  <w:rPr>
                    <w:rFonts w:hint="eastAsia"/>
                    <w:color w:val="000000"/>
                  </w:rPr>
                </w:pPr>
                <w:r>
                  <w:rPr>
                    <w:rFonts w:hint="eastAsia"/>
                    <w:color w:val="000000"/>
                  </w:rPr>
                  <w:t>未检出</w:t>
                </w:r>
              </w:p>
            </w:tc>
            <w:tc>
              <w:tcPr>
                <w:tcW w:w="1103" w:type="dxa"/>
                <w:tcBorders>
                  <w:top w:val="single" w:sz="4" w:space="0" w:color="auto"/>
                  <w:left w:val="single" w:sz="4" w:space="0" w:color="auto"/>
                  <w:bottom w:val="single" w:sz="4" w:space="0" w:color="auto"/>
                  <w:right w:val="single" w:sz="4" w:space="0" w:color="auto"/>
                </w:tcBorders>
                <w:vAlign w:val="center"/>
              </w:tcPr>
              <w:p w14:paraId="768041C3" w14:textId="77777777" w:rsidR="002D0AE7" w:rsidRDefault="00333EBB">
                <w:pPr>
                  <w:jc w:val="right"/>
                  <w:rPr>
                    <w:rFonts w:hint="eastAsia"/>
                    <w:color w:val="000000"/>
                  </w:rPr>
                </w:pPr>
                <w:r>
                  <w:rPr>
                    <w:rFonts w:hint="eastAsia"/>
                    <w:color w:val="000000"/>
                  </w:rPr>
                  <w:t>/</w:t>
                </w:r>
              </w:p>
            </w:tc>
          </w:tr>
          <w:tr w:rsidR="002D0AE7" w14:paraId="4381B51E" w14:textId="77777777">
            <w:trPr>
              <w:trHeight w:val="239"/>
              <w:jc w:val="center"/>
            </w:trPr>
            <w:tc>
              <w:tcPr>
                <w:tcW w:w="1346" w:type="dxa"/>
                <w:vMerge/>
                <w:tcBorders>
                  <w:left w:val="single" w:sz="4" w:space="0" w:color="auto"/>
                  <w:right w:val="single" w:sz="4" w:space="0" w:color="auto"/>
                </w:tcBorders>
                <w:vAlign w:val="center"/>
              </w:tcPr>
              <w:p w14:paraId="73E7DFA4" w14:textId="77777777" w:rsidR="002D0AE7" w:rsidRDefault="002D0AE7">
                <w:pPr>
                  <w:rPr>
                    <w:rFonts w:ascii="Calibri" w:hAnsi="Calibri"/>
                    <w:color w:val="000000"/>
                    <w:kern w:val="2"/>
                  </w:rPr>
                </w:pPr>
              </w:p>
            </w:tc>
            <w:tc>
              <w:tcPr>
                <w:tcW w:w="2193" w:type="dxa"/>
                <w:tcBorders>
                  <w:top w:val="single" w:sz="4" w:space="0" w:color="auto"/>
                  <w:left w:val="single" w:sz="4" w:space="0" w:color="auto"/>
                  <w:bottom w:val="single" w:sz="4" w:space="0" w:color="auto"/>
                  <w:right w:val="single" w:sz="4" w:space="0" w:color="auto"/>
                </w:tcBorders>
                <w:vAlign w:val="center"/>
              </w:tcPr>
              <w:p w14:paraId="217B95CF" w14:textId="77777777" w:rsidR="002D0AE7" w:rsidRDefault="00333EBB">
                <w:pPr>
                  <w:rPr>
                    <w:rFonts w:hint="eastAsia"/>
                    <w:color w:val="000000"/>
                  </w:rPr>
                </w:pPr>
                <w:r>
                  <w:rPr>
                    <w:color w:val="000000"/>
                    <w:shd w:val="clear" w:color="auto" w:fill="FFFFFF"/>
                  </w:rPr>
                  <w:t>三氯甲烷</w:t>
                </w:r>
              </w:p>
            </w:tc>
            <w:tc>
              <w:tcPr>
                <w:tcW w:w="1166" w:type="dxa"/>
                <w:vMerge/>
                <w:tcBorders>
                  <w:top w:val="nil"/>
                  <w:left w:val="single" w:sz="4" w:space="0" w:color="auto"/>
                  <w:bottom w:val="single" w:sz="4" w:space="0" w:color="auto"/>
                  <w:right w:val="single" w:sz="4" w:space="0" w:color="auto"/>
                </w:tcBorders>
                <w:vAlign w:val="center"/>
              </w:tcPr>
              <w:p w14:paraId="1D2EEA29" w14:textId="77777777" w:rsidR="002D0AE7" w:rsidRDefault="002D0AE7">
                <w:pPr>
                  <w:rPr>
                    <w:rFonts w:ascii="Calibri" w:hAnsi="Calibri"/>
                    <w:color w:val="000000"/>
                    <w:kern w:val="2"/>
                  </w:rPr>
                </w:pPr>
              </w:p>
            </w:tc>
            <w:tc>
              <w:tcPr>
                <w:tcW w:w="1054" w:type="dxa"/>
                <w:tcBorders>
                  <w:top w:val="single" w:sz="4" w:space="0" w:color="auto"/>
                  <w:left w:val="single" w:sz="4" w:space="0" w:color="auto"/>
                  <w:bottom w:val="single" w:sz="4" w:space="0" w:color="auto"/>
                  <w:right w:val="single" w:sz="4" w:space="0" w:color="auto"/>
                </w:tcBorders>
                <w:vAlign w:val="center"/>
              </w:tcPr>
              <w:p w14:paraId="2BD9F712" w14:textId="77777777" w:rsidR="002D0AE7" w:rsidRDefault="00333EBB">
                <w:pPr>
                  <w:jc w:val="right"/>
                  <w:rPr>
                    <w:rFonts w:ascii="Calibri" w:hAnsi="Calibri"/>
                    <w:color w:val="000000"/>
                  </w:rPr>
                </w:pPr>
                <w:r>
                  <w:rPr>
                    <w:rFonts w:cs="Calibri" w:hint="eastAsia"/>
                    <w:color w:val="000000"/>
                  </w:rPr>
                  <w:t>1.0</w:t>
                </w:r>
              </w:p>
            </w:tc>
            <w:tc>
              <w:tcPr>
                <w:tcW w:w="1961" w:type="dxa"/>
                <w:tcBorders>
                  <w:top w:val="single" w:sz="4" w:space="0" w:color="auto"/>
                  <w:left w:val="single" w:sz="4" w:space="0" w:color="auto"/>
                  <w:bottom w:val="single" w:sz="4" w:space="0" w:color="auto"/>
                  <w:right w:val="single" w:sz="4" w:space="0" w:color="auto"/>
                </w:tcBorders>
                <w:vAlign w:val="center"/>
              </w:tcPr>
              <w:p w14:paraId="63E82EA6" w14:textId="77777777" w:rsidR="002D0AE7" w:rsidRDefault="00333EBB">
                <w:pPr>
                  <w:jc w:val="right"/>
                  <w:textAlignment w:val="center"/>
                  <w:rPr>
                    <w:rFonts w:hint="eastAsia"/>
                    <w:color w:val="000000"/>
                  </w:rPr>
                </w:pPr>
                <w:r>
                  <w:rPr>
                    <w:rFonts w:hint="eastAsia"/>
                    <w:color w:val="000000"/>
                  </w:rPr>
                  <w:t>0.0021</w:t>
                </w:r>
              </w:p>
            </w:tc>
            <w:tc>
              <w:tcPr>
                <w:tcW w:w="1103" w:type="dxa"/>
                <w:tcBorders>
                  <w:top w:val="single" w:sz="4" w:space="0" w:color="auto"/>
                  <w:left w:val="single" w:sz="4" w:space="0" w:color="auto"/>
                  <w:bottom w:val="single" w:sz="4" w:space="0" w:color="auto"/>
                  <w:right w:val="single" w:sz="4" w:space="0" w:color="auto"/>
                </w:tcBorders>
                <w:vAlign w:val="center"/>
              </w:tcPr>
              <w:p w14:paraId="5D529096" w14:textId="77777777" w:rsidR="002D0AE7" w:rsidRDefault="00333EBB">
                <w:pPr>
                  <w:jc w:val="right"/>
                  <w:textAlignment w:val="center"/>
                  <w:rPr>
                    <w:rFonts w:hint="eastAsia"/>
                    <w:color w:val="000000"/>
                  </w:rPr>
                </w:pPr>
                <w:r>
                  <w:rPr>
                    <w:rFonts w:hint="eastAsia"/>
                    <w:color w:val="000000"/>
                  </w:rPr>
                  <w:t>0.0004</w:t>
                </w:r>
              </w:p>
            </w:tc>
          </w:tr>
          <w:tr w:rsidR="002D0AE7" w14:paraId="5A803227" w14:textId="77777777">
            <w:trPr>
              <w:trHeight w:val="239"/>
              <w:jc w:val="center"/>
            </w:trPr>
            <w:tc>
              <w:tcPr>
                <w:tcW w:w="1346" w:type="dxa"/>
                <w:vMerge/>
                <w:tcBorders>
                  <w:left w:val="single" w:sz="4" w:space="0" w:color="auto"/>
                  <w:right w:val="single" w:sz="4" w:space="0" w:color="auto"/>
                </w:tcBorders>
                <w:vAlign w:val="center"/>
              </w:tcPr>
              <w:p w14:paraId="620E0594" w14:textId="77777777" w:rsidR="002D0AE7" w:rsidRDefault="002D0AE7">
                <w:pPr>
                  <w:rPr>
                    <w:rFonts w:ascii="Calibri" w:hAnsi="Calibri"/>
                    <w:color w:val="000000"/>
                    <w:kern w:val="2"/>
                  </w:rPr>
                </w:pPr>
              </w:p>
            </w:tc>
            <w:tc>
              <w:tcPr>
                <w:tcW w:w="2193" w:type="dxa"/>
                <w:tcBorders>
                  <w:top w:val="single" w:sz="4" w:space="0" w:color="auto"/>
                  <w:left w:val="single" w:sz="4" w:space="0" w:color="auto"/>
                  <w:bottom w:val="single" w:sz="4" w:space="0" w:color="auto"/>
                  <w:right w:val="single" w:sz="4" w:space="0" w:color="auto"/>
                </w:tcBorders>
                <w:vAlign w:val="center"/>
              </w:tcPr>
              <w:p w14:paraId="4EF8FC1F" w14:textId="77777777" w:rsidR="002D0AE7" w:rsidRDefault="00333EBB">
                <w:pPr>
                  <w:rPr>
                    <w:rFonts w:hint="eastAsia"/>
                    <w:color w:val="000000"/>
                  </w:rPr>
                </w:pPr>
                <w:r>
                  <w:rPr>
                    <w:color w:val="000000"/>
                    <w:shd w:val="clear" w:color="auto" w:fill="FFFFFF"/>
                  </w:rPr>
                  <w:t>苯酚</w:t>
                </w:r>
              </w:p>
            </w:tc>
            <w:tc>
              <w:tcPr>
                <w:tcW w:w="1166" w:type="dxa"/>
                <w:vMerge/>
                <w:tcBorders>
                  <w:top w:val="nil"/>
                  <w:left w:val="single" w:sz="4" w:space="0" w:color="auto"/>
                  <w:bottom w:val="single" w:sz="4" w:space="0" w:color="auto"/>
                  <w:right w:val="single" w:sz="4" w:space="0" w:color="auto"/>
                </w:tcBorders>
                <w:vAlign w:val="center"/>
              </w:tcPr>
              <w:p w14:paraId="40ED06AE" w14:textId="77777777" w:rsidR="002D0AE7" w:rsidRDefault="002D0AE7">
                <w:pPr>
                  <w:rPr>
                    <w:rFonts w:ascii="Calibri" w:hAnsi="Calibri"/>
                    <w:color w:val="000000"/>
                    <w:kern w:val="2"/>
                  </w:rPr>
                </w:pPr>
              </w:p>
            </w:tc>
            <w:tc>
              <w:tcPr>
                <w:tcW w:w="1054" w:type="dxa"/>
                <w:tcBorders>
                  <w:top w:val="single" w:sz="4" w:space="0" w:color="auto"/>
                  <w:left w:val="single" w:sz="4" w:space="0" w:color="auto"/>
                  <w:bottom w:val="single" w:sz="4" w:space="0" w:color="auto"/>
                  <w:right w:val="single" w:sz="4" w:space="0" w:color="auto"/>
                </w:tcBorders>
                <w:vAlign w:val="center"/>
              </w:tcPr>
              <w:p w14:paraId="60261DBF" w14:textId="77777777" w:rsidR="002D0AE7" w:rsidRDefault="00333EBB">
                <w:pPr>
                  <w:jc w:val="right"/>
                  <w:rPr>
                    <w:rFonts w:ascii="Calibri" w:hAnsi="Calibri"/>
                    <w:color w:val="000000"/>
                  </w:rPr>
                </w:pPr>
                <w:r>
                  <w:rPr>
                    <w:rFonts w:cs="Calibri" w:hint="eastAsia"/>
                    <w:color w:val="000000"/>
                  </w:rPr>
                  <w:t>1.0</w:t>
                </w:r>
              </w:p>
            </w:tc>
            <w:tc>
              <w:tcPr>
                <w:tcW w:w="1961" w:type="dxa"/>
                <w:tcBorders>
                  <w:top w:val="single" w:sz="4" w:space="0" w:color="auto"/>
                  <w:left w:val="single" w:sz="4" w:space="0" w:color="auto"/>
                  <w:bottom w:val="single" w:sz="4" w:space="0" w:color="auto"/>
                  <w:right w:val="single" w:sz="4" w:space="0" w:color="auto"/>
                </w:tcBorders>
                <w:vAlign w:val="center"/>
              </w:tcPr>
              <w:p w14:paraId="31500EBD" w14:textId="77777777" w:rsidR="002D0AE7" w:rsidRDefault="00333EBB">
                <w:pPr>
                  <w:jc w:val="right"/>
                  <w:rPr>
                    <w:rFonts w:hint="eastAsia"/>
                    <w:color w:val="000000"/>
                  </w:rPr>
                </w:pPr>
                <w:r>
                  <w:rPr>
                    <w:rFonts w:hint="eastAsia"/>
                    <w:color w:val="000000"/>
                  </w:rPr>
                  <w:t>未检出</w:t>
                </w:r>
              </w:p>
            </w:tc>
            <w:tc>
              <w:tcPr>
                <w:tcW w:w="1103" w:type="dxa"/>
                <w:tcBorders>
                  <w:top w:val="single" w:sz="4" w:space="0" w:color="auto"/>
                  <w:left w:val="single" w:sz="4" w:space="0" w:color="auto"/>
                  <w:bottom w:val="single" w:sz="4" w:space="0" w:color="auto"/>
                  <w:right w:val="single" w:sz="4" w:space="0" w:color="auto"/>
                </w:tcBorders>
                <w:vAlign w:val="center"/>
              </w:tcPr>
              <w:p w14:paraId="67524725" w14:textId="77777777" w:rsidR="002D0AE7" w:rsidRDefault="00333EBB">
                <w:pPr>
                  <w:jc w:val="right"/>
                  <w:rPr>
                    <w:rFonts w:hint="eastAsia"/>
                    <w:color w:val="000000"/>
                  </w:rPr>
                </w:pPr>
                <w:r>
                  <w:rPr>
                    <w:rFonts w:hint="eastAsia"/>
                    <w:color w:val="000000"/>
                  </w:rPr>
                  <w:t>/</w:t>
                </w:r>
              </w:p>
            </w:tc>
          </w:tr>
          <w:tr w:rsidR="002D0AE7" w14:paraId="4A666CB7" w14:textId="77777777">
            <w:trPr>
              <w:trHeight w:val="239"/>
              <w:jc w:val="center"/>
            </w:trPr>
            <w:tc>
              <w:tcPr>
                <w:tcW w:w="1346" w:type="dxa"/>
                <w:vMerge/>
                <w:tcBorders>
                  <w:left w:val="single" w:sz="4" w:space="0" w:color="auto"/>
                  <w:right w:val="single" w:sz="4" w:space="0" w:color="auto"/>
                </w:tcBorders>
                <w:vAlign w:val="center"/>
              </w:tcPr>
              <w:p w14:paraId="0310E899" w14:textId="77777777" w:rsidR="002D0AE7" w:rsidRDefault="002D0AE7">
                <w:pPr>
                  <w:rPr>
                    <w:rFonts w:hint="eastAsia"/>
                    <w:color w:val="000000"/>
                  </w:rPr>
                </w:pPr>
              </w:p>
            </w:tc>
            <w:tc>
              <w:tcPr>
                <w:tcW w:w="2193" w:type="dxa"/>
                <w:tcBorders>
                  <w:top w:val="single" w:sz="4" w:space="0" w:color="auto"/>
                  <w:left w:val="single" w:sz="4" w:space="0" w:color="auto"/>
                  <w:bottom w:val="single" w:sz="4" w:space="0" w:color="auto"/>
                  <w:right w:val="single" w:sz="4" w:space="0" w:color="auto"/>
                </w:tcBorders>
                <w:vAlign w:val="center"/>
              </w:tcPr>
              <w:p w14:paraId="3AB7F4AC" w14:textId="77777777" w:rsidR="002D0AE7" w:rsidRDefault="00333EBB">
                <w:pPr>
                  <w:rPr>
                    <w:rFonts w:hint="eastAsia"/>
                    <w:color w:val="000000"/>
                    <w:shd w:val="clear" w:color="auto" w:fill="FFFFFF"/>
                  </w:rPr>
                </w:pPr>
                <w:r>
                  <w:rPr>
                    <w:rFonts w:hint="eastAsia"/>
                    <w:color w:val="000000"/>
                    <w:shd w:val="clear" w:color="auto" w:fill="FFFFFF"/>
                  </w:rPr>
                  <w:t>色度</w:t>
                </w:r>
              </w:p>
            </w:tc>
            <w:tc>
              <w:tcPr>
                <w:tcW w:w="1166" w:type="dxa"/>
                <w:vMerge/>
                <w:tcBorders>
                  <w:top w:val="nil"/>
                  <w:left w:val="single" w:sz="4" w:space="0" w:color="auto"/>
                  <w:bottom w:val="single" w:sz="4" w:space="0" w:color="auto"/>
                  <w:right w:val="single" w:sz="4" w:space="0" w:color="auto"/>
                </w:tcBorders>
                <w:vAlign w:val="center"/>
              </w:tcPr>
              <w:p w14:paraId="3E324214" w14:textId="77777777" w:rsidR="002D0AE7" w:rsidRDefault="002D0AE7">
                <w:pPr>
                  <w:rPr>
                    <w:rFonts w:ascii="Calibri" w:hAnsi="Calibri"/>
                    <w:color w:val="000000"/>
                    <w:kern w:val="2"/>
                  </w:rPr>
                </w:pPr>
              </w:p>
            </w:tc>
            <w:tc>
              <w:tcPr>
                <w:tcW w:w="1054" w:type="dxa"/>
                <w:tcBorders>
                  <w:top w:val="single" w:sz="4" w:space="0" w:color="auto"/>
                  <w:left w:val="single" w:sz="4" w:space="0" w:color="auto"/>
                  <w:bottom w:val="single" w:sz="4" w:space="0" w:color="auto"/>
                  <w:right w:val="single" w:sz="4" w:space="0" w:color="auto"/>
                </w:tcBorders>
                <w:vAlign w:val="center"/>
              </w:tcPr>
              <w:p w14:paraId="291DD0B5" w14:textId="77777777" w:rsidR="002D0AE7" w:rsidRDefault="00333EBB">
                <w:pPr>
                  <w:jc w:val="right"/>
                  <w:rPr>
                    <w:rFonts w:hint="eastAsia"/>
                    <w:color w:val="000000"/>
                  </w:rPr>
                </w:pPr>
                <w:r>
                  <w:rPr>
                    <w:rFonts w:cs="Calibri" w:hint="eastAsia"/>
                    <w:color w:val="000000"/>
                  </w:rPr>
                  <w:t>64</w:t>
                </w:r>
              </w:p>
            </w:tc>
            <w:tc>
              <w:tcPr>
                <w:tcW w:w="1961" w:type="dxa"/>
                <w:tcBorders>
                  <w:top w:val="single" w:sz="4" w:space="0" w:color="auto"/>
                  <w:left w:val="single" w:sz="4" w:space="0" w:color="auto"/>
                  <w:bottom w:val="single" w:sz="4" w:space="0" w:color="auto"/>
                  <w:right w:val="single" w:sz="4" w:space="0" w:color="auto"/>
                </w:tcBorders>
                <w:vAlign w:val="center"/>
              </w:tcPr>
              <w:p w14:paraId="77DC889E" w14:textId="77777777" w:rsidR="002D0AE7" w:rsidRDefault="00333EBB">
                <w:pPr>
                  <w:jc w:val="right"/>
                  <w:rPr>
                    <w:rFonts w:hint="eastAsia"/>
                    <w:color w:val="000000"/>
                  </w:rPr>
                </w:pPr>
                <w:r>
                  <w:rPr>
                    <w:rFonts w:cs="Calibri" w:hint="eastAsia"/>
                    <w:color w:val="000000"/>
                  </w:rPr>
                  <w:t>33</w:t>
                </w:r>
              </w:p>
            </w:tc>
            <w:tc>
              <w:tcPr>
                <w:tcW w:w="1103" w:type="dxa"/>
                <w:tcBorders>
                  <w:top w:val="single" w:sz="4" w:space="0" w:color="auto"/>
                  <w:left w:val="single" w:sz="4" w:space="0" w:color="auto"/>
                  <w:bottom w:val="single" w:sz="4" w:space="0" w:color="auto"/>
                  <w:right w:val="single" w:sz="4" w:space="0" w:color="auto"/>
                </w:tcBorders>
                <w:vAlign w:val="center"/>
              </w:tcPr>
              <w:p w14:paraId="6271FF92" w14:textId="77777777" w:rsidR="002D0AE7" w:rsidRDefault="00333EBB">
                <w:pPr>
                  <w:jc w:val="right"/>
                  <w:rPr>
                    <w:rFonts w:hint="eastAsia"/>
                    <w:color w:val="000000"/>
                  </w:rPr>
                </w:pPr>
                <w:r>
                  <w:rPr>
                    <w:rFonts w:cs="Calibri" w:hint="eastAsia"/>
                    <w:color w:val="000000"/>
                  </w:rPr>
                  <w:t>/</w:t>
                </w:r>
              </w:p>
            </w:tc>
          </w:tr>
          <w:tr w:rsidR="002D0AE7" w14:paraId="12EE0EA4" w14:textId="77777777">
            <w:trPr>
              <w:trHeight w:val="239"/>
              <w:jc w:val="center"/>
            </w:trPr>
            <w:tc>
              <w:tcPr>
                <w:tcW w:w="1346" w:type="dxa"/>
                <w:vMerge/>
                <w:tcBorders>
                  <w:left w:val="single" w:sz="4" w:space="0" w:color="auto"/>
                  <w:right w:val="single" w:sz="4" w:space="0" w:color="auto"/>
                </w:tcBorders>
                <w:vAlign w:val="center"/>
              </w:tcPr>
              <w:p w14:paraId="566578CD" w14:textId="77777777" w:rsidR="002D0AE7" w:rsidRDefault="002D0AE7">
                <w:pPr>
                  <w:rPr>
                    <w:rFonts w:hint="eastAsia"/>
                    <w:color w:val="000000"/>
                  </w:rPr>
                </w:pPr>
              </w:p>
            </w:tc>
            <w:tc>
              <w:tcPr>
                <w:tcW w:w="2193" w:type="dxa"/>
                <w:tcBorders>
                  <w:top w:val="single" w:sz="4" w:space="0" w:color="auto"/>
                  <w:left w:val="single" w:sz="4" w:space="0" w:color="auto"/>
                  <w:bottom w:val="single" w:sz="4" w:space="0" w:color="auto"/>
                  <w:right w:val="single" w:sz="4" w:space="0" w:color="auto"/>
                </w:tcBorders>
                <w:vAlign w:val="center"/>
              </w:tcPr>
              <w:p w14:paraId="0DD845E4" w14:textId="77777777" w:rsidR="002D0AE7" w:rsidRDefault="00333EBB">
                <w:pPr>
                  <w:rPr>
                    <w:rFonts w:hint="eastAsia"/>
                    <w:color w:val="000000"/>
                    <w:shd w:val="clear" w:color="auto" w:fill="FFFFFF"/>
                  </w:rPr>
                </w:pPr>
                <w:r>
                  <w:rPr>
                    <w:rFonts w:hint="eastAsia"/>
                    <w:color w:val="000000"/>
                    <w:shd w:val="clear" w:color="auto" w:fill="FFFFFF"/>
                  </w:rPr>
                  <w:t>急性毒性</w:t>
                </w:r>
              </w:p>
            </w:tc>
            <w:tc>
              <w:tcPr>
                <w:tcW w:w="1166" w:type="dxa"/>
                <w:vMerge/>
                <w:tcBorders>
                  <w:top w:val="nil"/>
                  <w:left w:val="single" w:sz="4" w:space="0" w:color="auto"/>
                  <w:bottom w:val="single" w:sz="4" w:space="0" w:color="auto"/>
                  <w:right w:val="single" w:sz="4" w:space="0" w:color="auto"/>
                </w:tcBorders>
                <w:vAlign w:val="center"/>
              </w:tcPr>
              <w:p w14:paraId="3CFDE125" w14:textId="77777777" w:rsidR="002D0AE7" w:rsidRDefault="002D0AE7">
                <w:pPr>
                  <w:rPr>
                    <w:rFonts w:ascii="Calibri" w:hAnsi="Calibri"/>
                    <w:color w:val="000000"/>
                    <w:kern w:val="2"/>
                  </w:rPr>
                </w:pPr>
              </w:p>
            </w:tc>
            <w:tc>
              <w:tcPr>
                <w:tcW w:w="1054" w:type="dxa"/>
                <w:tcBorders>
                  <w:top w:val="single" w:sz="4" w:space="0" w:color="auto"/>
                  <w:left w:val="single" w:sz="4" w:space="0" w:color="auto"/>
                  <w:bottom w:val="single" w:sz="4" w:space="0" w:color="auto"/>
                  <w:right w:val="single" w:sz="4" w:space="0" w:color="auto"/>
                </w:tcBorders>
                <w:vAlign w:val="center"/>
              </w:tcPr>
              <w:p w14:paraId="72B30D73" w14:textId="77777777" w:rsidR="002D0AE7" w:rsidRDefault="00333EBB">
                <w:pPr>
                  <w:jc w:val="right"/>
                  <w:rPr>
                    <w:rFonts w:hint="eastAsia"/>
                    <w:color w:val="000000"/>
                  </w:rPr>
                </w:pPr>
                <w:r>
                  <w:rPr>
                    <w:rFonts w:cs="Calibri" w:hint="eastAsia"/>
                    <w:color w:val="000000"/>
                  </w:rPr>
                  <w:t>/</w:t>
                </w:r>
              </w:p>
            </w:tc>
            <w:tc>
              <w:tcPr>
                <w:tcW w:w="1961" w:type="dxa"/>
                <w:tcBorders>
                  <w:top w:val="single" w:sz="4" w:space="0" w:color="auto"/>
                  <w:left w:val="single" w:sz="4" w:space="0" w:color="auto"/>
                  <w:bottom w:val="single" w:sz="4" w:space="0" w:color="auto"/>
                  <w:right w:val="single" w:sz="4" w:space="0" w:color="auto"/>
                </w:tcBorders>
                <w:vAlign w:val="center"/>
              </w:tcPr>
              <w:p w14:paraId="5A17D9C8" w14:textId="77777777" w:rsidR="002D0AE7" w:rsidRDefault="00333EBB">
                <w:pPr>
                  <w:jc w:val="right"/>
                  <w:rPr>
                    <w:rFonts w:hint="eastAsia"/>
                    <w:color w:val="000000"/>
                  </w:rPr>
                </w:pPr>
                <w:r>
                  <w:rPr>
                    <w:rFonts w:cs="Calibri" w:hint="eastAsia"/>
                    <w:color w:val="000000"/>
                  </w:rPr>
                  <w:t>0.02</w:t>
                </w:r>
              </w:p>
            </w:tc>
            <w:tc>
              <w:tcPr>
                <w:tcW w:w="1103" w:type="dxa"/>
                <w:tcBorders>
                  <w:top w:val="single" w:sz="4" w:space="0" w:color="auto"/>
                  <w:left w:val="single" w:sz="4" w:space="0" w:color="auto"/>
                  <w:bottom w:val="single" w:sz="4" w:space="0" w:color="auto"/>
                  <w:right w:val="single" w:sz="4" w:space="0" w:color="auto"/>
                </w:tcBorders>
                <w:vAlign w:val="center"/>
              </w:tcPr>
              <w:p w14:paraId="600AA1CD" w14:textId="77777777" w:rsidR="002D0AE7" w:rsidRDefault="00333EBB">
                <w:pPr>
                  <w:jc w:val="right"/>
                  <w:rPr>
                    <w:rFonts w:hint="eastAsia"/>
                    <w:color w:val="000000"/>
                  </w:rPr>
                </w:pPr>
                <w:r>
                  <w:rPr>
                    <w:rFonts w:cs="Calibri" w:hint="eastAsia"/>
                    <w:color w:val="000000"/>
                  </w:rPr>
                  <w:t>0.00</w:t>
                </w:r>
                <w:r>
                  <w:rPr>
                    <w:rFonts w:cs="Calibri"/>
                    <w:color w:val="000000"/>
                  </w:rPr>
                  <w:t>4</w:t>
                </w:r>
              </w:p>
            </w:tc>
          </w:tr>
          <w:tr w:rsidR="002D0AE7" w14:paraId="0F30DE72" w14:textId="77777777">
            <w:trPr>
              <w:trHeight w:val="239"/>
              <w:jc w:val="center"/>
            </w:trPr>
            <w:tc>
              <w:tcPr>
                <w:tcW w:w="1346" w:type="dxa"/>
                <w:vMerge/>
                <w:tcBorders>
                  <w:left w:val="single" w:sz="4" w:space="0" w:color="auto"/>
                  <w:bottom w:val="single" w:sz="4" w:space="0" w:color="auto"/>
                  <w:right w:val="single" w:sz="4" w:space="0" w:color="auto"/>
                </w:tcBorders>
                <w:vAlign w:val="center"/>
              </w:tcPr>
              <w:p w14:paraId="51B462E6" w14:textId="77777777" w:rsidR="002D0AE7" w:rsidRDefault="002D0AE7">
                <w:pPr>
                  <w:rPr>
                    <w:rFonts w:hint="eastAsia"/>
                    <w:color w:val="000000"/>
                  </w:rPr>
                </w:pPr>
              </w:p>
            </w:tc>
            <w:tc>
              <w:tcPr>
                <w:tcW w:w="2193" w:type="dxa"/>
                <w:tcBorders>
                  <w:top w:val="single" w:sz="4" w:space="0" w:color="auto"/>
                  <w:left w:val="single" w:sz="4" w:space="0" w:color="auto"/>
                  <w:bottom w:val="single" w:sz="4" w:space="0" w:color="auto"/>
                  <w:right w:val="single" w:sz="4" w:space="0" w:color="auto"/>
                </w:tcBorders>
                <w:vAlign w:val="center"/>
              </w:tcPr>
              <w:p w14:paraId="1042E9AC" w14:textId="77777777" w:rsidR="002D0AE7" w:rsidRDefault="00333EBB">
                <w:pPr>
                  <w:rPr>
                    <w:rFonts w:hint="eastAsia"/>
                    <w:color w:val="000000"/>
                    <w:shd w:val="clear" w:color="auto" w:fill="FFFFFF"/>
                  </w:rPr>
                </w:pPr>
                <w:r>
                  <w:rPr>
                    <w:rFonts w:hint="eastAsia"/>
                    <w:color w:val="000000"/>
                    <w:shd w:val="clear" w:color="auto" w:fill="FFFFFF"/>
                  </w:rPr>
                  <w:t>二氯甲烷</w:t>
                </w:r>
              </w:p>
            </w:tc>
            <w:tc>
              <w:tcPr>
                <w:tcW w:w="1166" w:type="dxa"/>
                <w:tcBorders>
                  <w:top w:val="single" w:sz="4" w:space="0" w:color="auto"/>
                  <w:left w:val="single" w:sz="4" w:space="0" w:color="auto"/>
                  <w:bottom w:val="single" w:sz="4" w:space="0" w:color="auto"/>
                  <w:right w:val="single" w:sz="4" w:space="0" w:color="auto"/>
                </w:tcBorders>
                <w:vAlign w:val="center"/>
              </w:tcPr>
              <w:p w14:paraId="720B3656" w14:textId="77777777" w:rsidR="002D0AE7" w:rsidRDefault="002D0AE7">
                <w:pPr>
                  <w:rPr>
                    <w:rFonts w:hint="eastAsia"/>
                    <w:color w:val="000000"/>
                  </w:rPr>
                </w:pPr>
              </w:p>
            </w:tc>
            <w:tc>
              <w:tcPr>
                <w:tcW w:w="1054" w:type="dxa"/>
                <w:tcBorders>
                  <w:top w:val="single" w:sz="4" w:space="0" w:color="auto"/>
                  <w:left w:val="single" w:sz="4" w:space="0" w:color="auto"/>
                  <w:bottom w:val="single" w:sz="4" w:space="0" w:color="auto"/>
                  <w:right w:val="single" w:sz="4" w:space="0" w:color="auto"/>
                </w:tcBorders>
                <w:vAlign w:val="center"/>
              </w:tcPr>
              <w:p w14:paraId="33306CB1" w14:textId="77777777" w:rsidR="002D0AE7" w:rsidRDefault="00333EBB">
                <w:pPr>
                  <w:jc w:val="right"/>
                  <w:rPr>
                    <w:rFonts w:hint="eastAsia"/>
                    <w:color w:val="000000"/>
                  </w:rPr>
                </w:pPr>
                <w:r>
                  <w:rPr>
                    <w:rFonts w:cs="Calibri" w:hint="eastAsia"/>
                    <w:color w:val="000000"/>
                  </w:rPr>
                  <w:t>/</w:t>
                </w:r>
              </w:p>
            </w:tc>
            <w:tc>
              <w:tcPr>
                <w:tcW w:w="1961" w:type="dxa"/>
                <w:tcBorders>
                  <w:top w:val="single" w:sz="4" w:space="0" w:color="auto"/>
                  <w:left w:val="single" w:sz="4" w:space="0" w:color="auto"/>
                  <w:bottom w:val="single" w:sz="4" w:space="0" w:color="auto"/>
                  <w:right w:val="single" w:sz="4" w:space="0" w:color="auto"/>
                </w:tcBorders>
                <w:vAlign w:val="center"/>
              </w:tcPr>
              <w:p w14:paraId="63C6880F" w14:textId="77777777" w:rsidR="002D0AE7" w:rsidRDefault="00333EBB">
                <w:pPr>
                  <w:jc w:val="right"/>
                  <w:textAlignment w:val="center"/>
                  <w:rPr>
                    <w:rFonts w:hint="eastAsia"/>
                    <w:color w:val="000000"/>
                  </w:rPr>
                </w:pPr>
                <w:r>
                  <w:rPr>
                    <w:rFonts w:hint="eastAsia"/>
                    <w:color w:val="000000"/>
                  </w:rPr>
                  <w:t>0.00356</w:t>
                </w:r>
              </w:p>
            </w:tc>
            <w:tc>
              <w:tcPr>
                <w:tcW w:w="1103" w:type="dxa"/>
                <w:tcBorders>
                  <w:top w:val="single" w:sz="4" w:space="0" w:color="auto"/>
                  <w:left w:val="single" w:sz="4" w:space="0" w:color="auto"/>
                  <w:bottom w:val="single" w:sz="4" w:space="0" w:color="auto"/>
                  <w:right w:val="single" w:sz="4" w:space="0" w:color="auto"/>
                </w:tcBorders>
                <w:vAlign w:val="center"/>
              </w:tcPr>
              <w:p w14:paraId="525E8569" w14:textId="77777777" w:rsidR="002D0AE7" w:rsidRDefault="00333EBB">
                <w:pPr>
                  <w:jc w:val="right"/>
                  <w:textAlignment w:val="center"/>
                  <w:rPr>
                    <w:rFonts w:hint="eastAsia"/>
                    <w:color w:val="000000"/>
                  </w:rPr>
                </w:pPr>
                <w:r>
                  <w:rPr>
                    <w:rFonts w:hint="eastAsia"/>
                    <w:color w:val="000000"/>
                  </w:rPr>
                  <w:t>0.007</w:t>
                </w:r>
              </w:p>
            </w:tc>
          </w:tr>
          <w:tr w:rsidR="002D0AE7" w14:paraId="104EE769" w14:textId="77777777">
            <w:trPr>
              <w:trHeight w:val="239"/>
              <w:jc w:val="center"/>
            </w:trPr>
            <w:tc>
              <w:tcPr>
                <w:tcW w:w="1346" w:type="dxa"/>
                <w:tcBorders>
                  <w:top w:val="single" w:sz="4" w:space="0" w:color="auto"/>
                  <w:left w:val="single" w:sz="4" w:space="0" w:color="auto"/>
                  <w:bottom w:val="single" w:sz="4" w:space="0" w:color="auto"/>
                  <w:right w:val="single" w:sz="4" w:space="0" w:color="auto"/>
                </w:tcBorders>
                <w:vAlign w:val="center"/>
              </w:tcPr>
              <w:p w14:paraId="60D271F6" w14:textId="77777777" w:rsidR="002D0AE7" w:rsidRDefault="00333EBB">
                <w:pPr>
                  <w:rPr>
                    <w:rFonts w:hint="eastAsia"/>
                    <w:color w:val="000000"/>
                  </w:rPr>
                </w:pPr>
                <w:r>
                  <w:rPr>
                    <w:rFonts w:hint="eastAsia"/>
                    <w:color w:val="000000"/>
                  </w:rPr>
                  <w:t>天津津药环境科技有限公司</w:t>
                </w:r>
              </w:p>
            </w:tc>
            <w:tc>
              <w:tcPr>
                <w:tcW w:w="7477" w:type="dxa"/>
                <w:gridSpan w:val="5"/>
                <w:tcBorders>
                  <w:top w:val="single" w:sz="4" w:space="0" w:color="auto"/>
                  <w:left w:val="single" w:sz="4" w:space="0" w:color="auto"/>
                  <w:bottom w:val="single" w:sz="4" w:space="0" w:color="auto"/>
                  <w:right w:val="single" w:sz="4" w:space="0" w:color="auto"/>
                </w:tcBorders>
                <w:vAlign w:val="center"/>
              </w:tcPr>
              <w:p w14:paraId="046ACD34" w14:textId="77777777" w:rsidR="002D0AE7" w:rsidRDefault="00333EBB">
                <w:pPr>
                  <w:rPr>
                    <w:rFonts w:hint="eastAsia"/>
                    <w:color w:val="000000"/>
                  </w:rPr>
                </w:pPr>
                <w:r>
                  <w:rPr>
                    <w:rFonts w:hint="eastAsia"/>
                    <w:color w:val="000000"/>
                  </w:rPr>
                  <w:t>天津津药环境科技有限公司与津药药业股份有限公司在一个园区内，污水统一进过园区污水站处理后经总排口排出。</w:t>
                </w:r>
              </w:p>
            </w:tc>
          </w:tr>
          <w:tr w:rsidR="002D0AE7" w14:paraId="57B5997F" w14:textId="77777777">
            <w:trPr>
              <w:trHeight w:val="239"/>
              <w:jc w:val="center"/>
            </w:trPr>
            <w:tc>
              <w:tcPr>
                <w:tcW w:w="1346" w:type="dxa"/>
                <w:vMerge w:val="restart"/>
                <w:tcBorders>
                  <w:top w:val="nil"/>
                  <w:left w:val="single" w:sz="4" w:space="0" w:color="auto"/>
                  <w:bottom w:val="single" w:sz="4" w:space="0" w:color="auto"/>
                  <w:right w:val="single" w:sz="4" w:space="0" w:color="auto"/>
                </w:tcBorders>
                <w:vAlign w:val="center"/>
              </w:tcPr>
              <w:p w14:paraId="3E105E5E" w14:textId="77777777" w:rsidR="002D0AE7" w:rsidRDefault="00333EBB">
                <w:pPr>
                  <w:rPr>
                    <w:rFonts w:hint="eastAsia"/>
                    <w:color w:val="000000"/>
                  </w:rPr>
                </w:pPr>
                <w:r>
                  <w:rPr>
                    <w:rFonts w:hint="eastAsia"/>
                    <w:color w:val="000000"/>
                  </w:rPr>
                  <w:t>津药和平（天津</w:t>
                </w:r>
                <w:r>
                  <w:rPr>
                    <w:color w:val="000000"/>
                  </w:rPr>
                  <w:t>）</w:t>
                </w:r>
                <w:r>
                  <w:rPr>
                    <w:rFonts w:hint="eastAsia"/>
                    <w:color w:val="000000"/>
                  </w:rPr>
                  <w:t>制药有限公司</w:t>
                </w:r>
              </w:p>
            </w:tc>
            <w:tc>
              <w:tcPr>
                <w:tcW w:w="2193" w:type="dxa"/>
                <w:tcBorders>
                  <w:top w:val="single" w:sz="4" w:space="0" w:color="auto"/>
                  <w:left w:val="single" w:sz="4" w:space="0" w:color="auto"/>
                  <w:bottom w:val="single" w:sz="4" w:space="0" w:color="auto"/>
                  <w:right w:val="single" w:sz="4" w:space="0" w:color="auto"/>
                </w:tcBorders>
                <w:vAlign w:val="center"/>
              </w:tcPr>
              <w:p w14:paraId="150110F8" w14:textId="77777777" w:rsidR="002D0AE7" w:rsidRDefault="00333EBB">
                <w:pPr>
                  <w:rPr>
                    <w:rFonts w:hint="eastAsia"/>
                    <w:color w:val="000000"/>
                  </w:rPr>
                </w:pPr>
                <w:r>
                  <w:rPr>
                    <w:rFonts w:cs="Calibri" w:hint="eastAsia"/>
                    <w:color w:val="000000"/>
                  </w:rPr>
                  <w:t>COD</w:t>
                </w:r>
              </w:p>
            </w:tc>
            <w:tc>
              <w:tcPr>
                <w:tcW w:w="1166" w:type="dxa"/>
                <w:vMerge w:val="restart"/>
                <w:tcBorders>
                  <w:top w:val="single" w:sz="4" w:space="0" w:color="auto"/>
                  <w:left w:val="single" w:sz="4" w:space="0" w:color="auto"/>
                  <w:bottom w:val="single" w:sz="4" w:space="0" w:color="auto"/>
                  <w:right w:val="single" w:sz="4" w:space="0" w:color="auto"/>
                </w:tcBorders>
                <w:vAlign w:val="center"/>
              </w:tcPr>
              <w:p w14:paraId="64F4C53F" w14:textId="77777777" w:rsidR="002D0AE7" w:rsidRDefault="00333EBB">
                <w:pPr>
                  <w:rPr>
                    <w:rFonts w:ascii="Calibri" w:hAnsi="Calibri"/>
                    <w:color w:val="000000"/>
                  </w:rPr>
                </w:pPr>
                <w:r>
                  <w:rPr>
                    <w:rFonts w:hint="eastAsia"/>
                    <w:color w:val="000000"/>
                  </w:rPr>
                  <w:t>《污水综合排放标准》（</w:t>
                </w:r>
                <w:r>
                  <w:rPr>
                    <w:rFonts w:cs="Calibri" w:hint="eastAsia"/>
                    <w:color w:val="000000"/>
                  </w:rPr>
                  <w:t>DB12/356-2018</w:t>
                </w:r>
                <w:r>
                  <w:rPr>
                    <w:rFonts w:hint="eastAsia"/>
                    <w:color w:val="000000"/>
                  </w:rPr>
                  <w:t>）三级排放标准</w:t>
                </w:r>
              </w:p>
            </w:tc>
            <w:tc>
              <w:tcPr>
                <w:tcW w:w="1054" w:type="dxa"/>
                <w:tcBorders>
                  <w:top w:val="single" w:sz="4" w:space="0" w:color="auto"/>
                  <w:left w:val="single" w:sz="4" w:space="0" w:color="auto"/>
                  <w:bottom w:val="single" w:sz="4" w:space="0" w:color="auto"/>
                  <w:right w:val="single" w:sz="4" w:space="0" w:color="auto"/>
                </w:tcBorders>
                <w:vAlign w:val="center"/>
              </w:tcPr>
              <w:p w14:paraId="1D3FE2D9" w14:textId="77777777" w:rsidR="002D0AE7" w:rsidRDefault="00333EBB">
                <w:pPr>
                  <w:jc w:val="right"/>
                  <w:rPr>
                    <w:rFonts w:hint="eastAsia"/>
                    <w:color w:val="000000"/>
                  </w:rPr>
                </w:pPr>
                <w:r>
                  <w:rPr>
                    <w:rFonts w:cs="Calibri" w:hint="eastAsia"/>
                    <w:color w:val="000000"/>
                  </w:rPr>
                  <w:t>500</w:t>
                </w:r>
              </w:p>
            </w:tc>
            <w:tc>
              <w:tcPr>
                <w:tcW w:w="1961" w:type="dxa"/>
                <w:tcBorders>
                  <w:top w:val="single" w:sz="4" w:space="0" w:color="auto"/>
                  <w:left w:val="single" w:sz="4" w:space="0" w:color="auto"/>
                  <w:bottom w:val="single" w:sz="4" w:space="0" w:color="auto"/>
                  <w:right w:val="single" w:sz="4" w:space="0" w:color="auto"/>
                </w:tcBorders>
                <w:vAlign w:val="center"/>
              </w:tcPr>
              <w:p w14:paraId="36EE53F5" w14:textId="77777777" w:rsidR="002D0AE7" w:rsidRDefault="00333EBB">
                <w:pPr>
                  <w:jc w:val="right"/>
                  <w:rPr>
                    <w:rFonts w:hint="eastAsia"/>
                    <w:color w:val="000000"/>
                  </w:rPr>
                </w:pPr>
                <w:r>
                  <w:rPr>
                    <w:rFonts w:cs="Calibri" w:hint="eastAsia"/>
                    <w:color w:val="000000"/>
                  </w:rPr>
                  <w:t>70.148</w:t>
                </w:r>
              </w:p>
            </w:tc>
            <w:tc>
              <w:tcPr>
                <w:tcW w:w="1103" w:type="dxa"/>
                <w:tcBorders>
                  <w:top w:val="single" w:sz="4" w:space="0" w:color="auto"/>
                  <w:left w:val="single" w:sz="4" w:space="0" w:color="auto"/>
                  <w:bottom w:val="single" w:sz="4" w:space="0" w:color="auto"/>
                  <w:right w:val="single" w:sz="4" w:space="0" w:color="auto"/>
                </w:tcBorders>
                <w:vAlign w:val="center"/>
              </w:tcPr>
              <w:p w14:paraId="7017AF86" w14:textId="77777777" w:rsidR="002D0AE7" w:rsidRDefault="00333EBB">
                <w:pPr>
                  <w:jc w:val="right"/>
                  <w:rPr>
                    <w:rFonts w:hint="eastAsia"/>
                    <w:color w:val="000000"/>
                  </w:rPr>
                </w:pPr>
                <w:r>
                  <w:rPr>
                    <w:rFonts w:cs="Calibri" w:hint="eastAsia"/>
                    <w:color w:val="000000"/>
                  </w:rPr>
                  <w:t>6.9886</w:t>
                </w:r>
              </w:p>
            </w:tc>
          </w:tr>
          <w:tr w:rsidR="002D0AE7" w14:paraId="7A3D4E78" w14:textId="77777777">
            <w:trPr>
              <w:trHeight w:val="239"/>
              <w:jc w:val="center"/>
            </w:trPr>
            <w:tc>
              <w:tcPr>
                <w:tcW w:w="1346" w:type="dxa"/>
                <w:vMerge/>
                <w:tcBorders>
                  <w:top w:val="nil"/>
                  <w:left w:val="single" w:sz="4" w:space="0" w:color="auto"/>
                  <w:bottom w:val="single" w:sz="4" w:space="0" w:color="auto"/>
                  <w:right w:val="single" w:sz="4" w:space="0" w:color="auto"/>
                </w:tcBorders>
                <w:vAlign w:val="center"/>
              </w:tcPr>
              <w:p w14:paraId="6CCE73AD" w14:textId="77777777" w:rsidR="002D0AE7" w:rsidRDefault="002D0AE7">
                <w:pPr>
                  <w:rPr>
                    <w:rFonts w:ascii="Calibri" w:hAnsi="Calibri"/>
                    <w:color w:val="000000"/>
                    <w:kern w:val="2"/>
                  </w:rPr>
                </w:pPr>
              </w:p>
            </w:tc>
            <w:tc>
              <w:tcPr>
                <w:tcW w:w="2193" w:type="dxa"/>
                <w:tcBorders>
                  <w:top w:val="single" w:sz="4" w:space="0" w:color="auto"/>
                  <w:left w:val="single" w:sz="4" w:space="0" w:color="auto"/>
                  <w:bottom w:val="single" w:sz="4" w:space="0" w:color="auto"/>
                  <w:right w:val="single" w:sz="4" w:space="0" w:color="auto"/>
                </w:tcBorders>
                <w:vAlign w:val="center"/>
              </w:tcPr>
              <w:p w14:paraId="4738AC2F" w14:textId="77777777" w:rsidR="002D0AE7" w:rsidRDefault="00333EBB">
                <w:pPr>
                  <w:rPr>
                    <w:rFonts w:hint="eastAsia"/>
                    <w:color w:val="000000"/>
                  </w:rPr>
                </w:pPr>
                <w:r>
                  <w:rPr>
                    <w:rFonts w:cs="Calibri" w:hint="eastAsia"/>
                    <w:color w:val="000000"/>
                  </w:rPr>
                  <w:t>BOD</w:t>
                </w:r>
                <w:r>
                  <w:rPr>
                    <w:rFonts w:cs="Calibri" w:hint="eastAsia"/>
                    <w:color w:val="000000"/>
                    <w:vertAlign w:val="subscript"/>
                  </w:rPr>
                  <w:t>5</w:t>
                </w:r>
              </w:p>
            </w:tc>
            <w:tc>
              <w:tcPr>
                <w:tcW w:w="1166" w:type="dxa"/>
                <w:vMerge/>
                <w:tcBorders>
                  <w:top w:val="single" w:sz="4" w:space="0" w:color="auto"/>
                  <w:left w:val="single" w:sz="4" w:space="0" w:color="auto"/>
                  <w:bottom w:val="single" w:sz="4" w:space="0" w:color="auto"/>
                  <w:right w:val="single" w:sz="4" w:space="0" w:color="auto"/>
                </w:tcBorders>
                <w:vAlign w:val="center"/>
              </w:tcPr>
              <w:p w14:paraId="6432561F" w14:textId="77777777" w:rsidR="002D0AE7" w:rsidRDefault="002D0AE7">
                <w:pPr>
                  <w:rPr>
                    <w:rFonts w:ascii="Calibri" w:hAnsi="Calibri"/>
                    <w:color w:val="000000"/>
                    <w:kern w:val="2"/>
                  </w:rPr>
                </w:pPr>
              </w:p>
            </w:tc>
            <w:tc>
              <w:tcPr>
                <w:tcW w:w="1054" w:type="dxa"/>
                <w:tcBorders>
                  <w:top w:val="single" w:sz="4" w:space="0" w:color="auto"/>
                  <w:left w:val="single" w:sz="4" w:space="0" w:color="auto"/>
                  <w:bottom w:val="single" w:sz="4" w:space="0" w:color="auto"/>
                  <w:right w:val="single" w:sz="4" w:space="0" w:color="auto"/>
                </w:tcBorders>
                <w:vAlign w:val="center"/>
              </w:tcPr>
              <w:p w14:paraId="7A1ED54D" w14:textId="77777777" w:rsidR="002D0AE7" w:rsidRDefault="00333EBB">
                <w:pPr>
                  <w:jc w:val="right"/>
                  <w:rPr>
                    <w:rFonts w:ascii="Calibri" w:hAnsi="Calibri"/>
                    <w:color w:val="000000"/>
                  </w:rPr>
                </w:pPr>
                <w:r>
                  <w:rPr>
                    <w:rFonts w:cs="Calibri" w:hint="eastAsia"/>
                    <w:color w:val="000000"/>
                  </w:rPr>
                  <w:t>300</w:t>
                </w:r>
              </w:p>
            </w:tc>
            <w:tc>
              <w:tcPr>
                <w:tcW w:w="1961" w:type="dxa"/>
                <w:tcBorders>
                  <w:top w:val="single" w:sz="4" w:space="0" w:color="auto"/>
                  <w:left w:val="single" w:sz="4" w:space="0" w:color="auto"/>
                  <w:bottom w:val="single" w:sz="4" w:space="0" w:color="auto"/>
                  <w:right w:val="single" w:sz="4" w:space="0" w:color="auto"/>
                </w:tcBorders>
                <w:vAlign w:val="center"/>
              </w:tcPr>
              <w:p w14:paraId="0BE9D659" w14:textId="77777777" w:rsidR="002D0AE7" w:rsidRDefault="00333EBB">
                <w:pPr>
                  <w:jc w:val="right"/>
                  <w:rPr>
                    <w:rFonts w:hint="eastAsia"/>
                    <w:color w:val="000000"/>
                  </w:rPr>
                </w:pPr>
                <w:r>
                  <w:rPr>
                    <w:rFonts w:cs="Calibri" w:hint="eastAsia"/>
                    <w:color w:val="000000"/>
                  </w:rPr>
                  <w:t>59.15</w:t>
                </w:r>
                <w:r>
                  <w:rPr>
                    <w:rFonts w:cs="Calibri"/>
                    <w:color w:val="000000"/>
                  </w:rPr>
                  <w:t>0</w:t>
                </w:r>
              </w:p>
            </w:tc>
            <w:tc>
              <w:tcPr>
                <w:tcW w:w="1103" w:type="dxa"/>
                <w:tcBorders>
                  <w:top w:val="single" w:sz="4" w:space="0" w:color="auto"/>
                  <w:left w:val="single" w:sz="4" w:space="0" w:color="auto"/>
                  <w:bottom w:val="single" w:sz="4" w:space="0" w:color="auto"/>
                  <w:right w:val="single" w:sz="4" w:space="0" w:color="auto"/>
                </w:tcBorders>
                <w:vAlign w:val="center"/>
              </w:tcPr>
              <w:p w14:paraId="24D0D30D" w14:textId="77777777" w:rsidR="002D0AE7" w:rsidRDefault="00333EBB">
                <w:pPr>
                  <w:jc w:val="right"/>
                  <w:rPr>
                    <w:rFonts w:hint="eastAsia"/>
                    <w:color w:val="000000"/>
                  </w:rPr>
                </w:pPr>
                <w:r>
                  <w:rPr>
                    <w:rFonts w:cs="Calibri" w:hint="eastAsia"/>
                    <w:color w:val="000000"/>
                  </w:rPr>
                  <w:t>5.9897</w:t>
                </w:r>
              </w:p>
            </w:tc>
          </w:tr>
          <w:tr w:rsidR="002D0AE7" w14:paraId="5B595E56" w14:textId="77777777">
            <w:trPr>
              <w:trHeight w:val="239"/>
              <w:jc w:val="center"/>
            </w:trPr>
            <w:tc>
              <w:tcPr>
                <w:tcW w:w="1346" w:type="dxa"/>
                <w:vMerge/>
                <w:tcBorders>
                  <w:top w:val="nil"/>
                  <w:left w:val="single" w:sz="4" w:space="0" w:color="auto"/>
                  <w:bottom w:val="single" w:sz="4" w:space="0" w:color="auto"/>
                  <w:right w:val="single" w:sz="4" w:space="0" w:color="auto"/>
                </w:tcBorders>
                <w:vAlign w:val="center"/>
              </w:tcPr>
              <w:p w14:paraId="1CF84D01" w14:textId="77777777" w:rsidR="002D0AE7" w:rsidRDefault="002D0AE7">
                <w:pPr>
                  <w:rPr>
                    <w:rFonts w:ascii="Calibri" w:hAnsi="Calibri"/>
                    <w:color w:val="000000"/>
                    <w:kern w:val="2"/>
                  </w:rPr>
                </w:pPr>
              </w:p>
            </w:tc>
            <w:tc>
              <w:tcPr>
                <w:tcW w:w="2193" w:type="dxa"/>
                <w:tcBorders>
                  <w:top w:val="single" w:sz="4" w:space="0" w:color="auto"/>
                  <w:left w:val="single" w:sz="4" w:space="0" w:color="auto"/>
                  <w:bottom w:val="single" w:sz="4" w:space="0" w:color="auto"/>
                  <w:right w:val="single" w:sz="4" w:space="0" w:color="auto"/>
                </w:tcBorders>
                <w:vAlign w:val="center"/>
              </w:tcPr>
              <w:p w14:paraId="7CAED921" w14:textId="77777777" w:rsidR="002D0AE7" w:rsidRDefault="00333EBB">
                <w:pPr>
                  <w:rPr>
                    <w:rFonts w:hint="eastAsia"/>
                    <w:color w:val="000000"/>
                  </w:rPr>
                </w:pPr>
                <w:r>
                  <w:rPr>
                    <w:rFonts w:hint="eastAsia"/>
                    <w:color w:val="000000"/>
                  </w:rPr>
                  <w:t>氨氮</w:t>
                </w:r>
              </w:p>
            </w:tc>
            <w:tc>
              <w:tcPr>
                <w:tcW w:w="1166" w:type="dxa"/>
                <w:vMerge/>
                <w:tcBorders>
                  <w:top w:val="single" w:sz="4" w:space="0" w:color="auto"/>
                  <w:left w:val="single" w:sz="4" w:space="0" w:color="auto"/>
                  <w:bottom w:val="single" w:sz="4" w:space="0" w:color="auto"/>
                  <w:right w:val="single" w:sz="4" w:space="0" w:color="auto"/>
                </w:tcBorders>
                <w:vAlign w:val="center"/>
              </w:tcPr>
              <w:p w14:paraId="5ACCC8EA" w14:textId="77777777" w:rsidR="002D0AE7" w:rsidRDefault="002D0AE7">
                <w:pPr>
                  <w:rPr>
                    <w:rFonts w:ascii="Calibri" w:hAnsi="Calibri"/>
                    <w:color w:val="000000"/>
                    <w:kern w:val="2"/>
                  </w:rPr>
                </w:pPr>
              </w:p>
            </w:tc>
            <w:tc>
              <w:tcPr>
                <w:tcW w:w="1054" w:type="dxa"/>
                <w:tcBorders>
                  <w:top w:val="single" w:sz="4" w:space="0" w:color="auto"/>
                  <w:left w:val="single" w:sz="4" w:space="0" w:color="auto"/>
                  <w:bottom w:val="single" w:sz="4" w:space="0" w:color="auto"/>
                  <w:right w:val="single" w:sz="4" w:space="0" w:color="auto"/>
                </w:tcBorders>
                <w:vAlign w:val="center"/>
              </w:tcPr>
              <w:p w14:paraId="7D4491A5" w14:textId="77777777" w:rsidR="002D0AE7" w:rsidRDefault="00333EBB">
                <w:pPr>
                  <w:jc w:val="right"/>
                  <w:rPr>
                    <w:rFonts w:ascii="Calibri" w:hAnsi="Calibri"/>
                    <w:color w:val="000000"/>
                  </w:rPr>
                </w:pPr>
                <w:r>
                  <w:rPr>
                    <w:rFonts w:cs="Calibri" w:hint="eastAsia"/>
                    <w:color w:val="000000"/>
                  </w:rPr>
                  <w:t>45</w:t>
                </w:r>
              </w:p>
            </w:tc>
            <w:tc>
              <w:tcPr>
                <w:tcW w:w="1961" w:type="dxa"/>
                <w:tcBorders>
                  <w:top w:val="single" w:sz="4" w:space="0" w:color="auto"/>
                  <w:left w:val="single" w:sz="4" w:space="0" w:color="auto"/>
                  <w:bottom w:val="single" w:sz="4" w:space="0" w:color="auto"/>
                  <w:right w:val="single" w:sz="4" w:space="0" w:color="auto"/>
                </w:tcBorders>
                <w:vAlign w:val="center"/>
              </w:tcPr>
              <w:p w14:paraId="4A946293" w14:textId="77777777" w:rsidR="002D0AE7" w:rsidRDefault="00333EBB">
                <w:pPr>
                  <w:jc w:val="right"/>
                  <w:rPr>
                    <w:rFonts w:hint="eastAsia"/>
                    <w:color w:val="000000"/>
                  </w:rPr>
                </w:pPr>
                <w:r>
                  <w:rPr>
                    <w:rFonts w:cs="Calibri" w:hint="eastAsia"/>
                    <w:color w:val="000000"/>
                  </w:rPr>
                  <w:t>5.599</w:t>
                </w:r>
              </w:p>
            </w:tc>
            <w:tc>
              <w:tcPr>
                <w:tcW w:w="1103" w:type="dxa"/>
                <w:tcBorders>
                  <w:top w:val="single" w:sz="4" w:space="0" w:color="auto"/>
                  <w:left w:val="single" w:sz="4" w:space="0" w:color="auto"/>
                  <w:bottom w:val="single" w:sz="4" w:space="0" w:color="auto"/>
                  <w:right w:val="single" w:sz="4" w:space="0" w:color="auto"/>
                </w:tcBorders>
                <w:vAlign w:val="center"/>
              </w:tcPr>
              <w:p w14:paraId="39967027" w14:textId="77777777" w:rsidR="002D0AE7" w:rsidRDefault="00333EBB">
                <w:pPr>
                  <w:jc w:val="right"/>
                  <w:rPr>
                    <w:rFonts w:hint="eastAsia"/>
                    <w:color w:val="000000"/>
                  </w:rPr>
                </w:pPr>
                <w:r>
                  <w:rPr>
                    <w:rFonts w:cs="Calibri" w:hint="eastAsia"/>
                    <w:color w:val="000000"/>
                  </w:rPr>
                  <w:t>0.5613</w:t>
                </w:r>
              </w:p>
            </w:tc>
          </w:tr>
          <w:tr w:rsidR="002D0AE7" w14:paraId="6283BC56" w14:textId="77777777">
            <w:trPr>
              <w:trHeight w:val="239"/>
              <w:jc w:val="center"/>
            </w:trPr>
            <w:tc>
              <w:tcPr>
                <w:tcW w:w="1346" w:type="dxa"/>
                <w:vMerge/>
                <w:tcBorders>
                  <w:top w:val="nil"/>
                  <w:left w:val="single" w:sz="4" w:space="0" w:color="auto"/>
                  <w:bottom w:val="single" w:sz="4" w:space="0" w:color="auto"/>
                  <w:right w:val="single" w:sz="4" w:space="0" w:color="auto"/>
                </w:tcBorders>
                <w:vAlign w:val="center"/>
              </w:tcPr>
              <w:p w14:paraId="0E84DEBD" w14:textId="77777777" w:rsidR="002D0AE7" w:rsidRDefault="002D0AE7">
                <w:pPr>
                  <w:rPr>
                    <w:rFonts w:ascii="Calibri" w:hAnsi="Calibri"/>
                    <w:color w:val="000000"/>
                    <w:kern w:val="2"/>
                  </w:rPr>
                </w:pPr>
              </w:p>
            </w:tc>
            <w:tc>
              <w:tcPr>
                <w:tcW w:w="2193" w:type="dxa"/>
                <w:tcBorders>
                  <w:top w:val="single" w:sz="4" w:space="0" w:color="auto"/>
                  <w:left w:val="single" w:sz="4" w:space="0" w:color="auto"/>
                  <w:bottom w:val="single" w:sz="4" w:space="0" w:color="auto"/>
                  <w:right w:val="single" w:sz="4" w:space="0" w:color="auto"/>
                </w:tcBorders>
                <w:vAlign w:val="center"/>
              </w:tcPr>
              <w:p w14:paraId="1A61B5CE" w14:textId="77777777" w:rsidR="002D0AE7" w:rsidRDefault="00333EBB">
                <w:pPr>
                  <w:rPr>
                    <w:rFonts w:hint="eastAsia"/>
                    <w:color w:val="000000"/>
                  </w:rPr>
                </w:pPr>
                <w:r>
                  <w:rPr>
                    <w:rFonts w:hint="eastAsia"/>
                    <w:color w:val="000000"/>
                  </w:rPr>
                  <w:t>总磷</w:t>
                </w:r>
              </w:p>
            </w:tc>
            <w:tc>
              <w:tcPr>
                <w:tcW w:w="1166" w:type="dxa"/>
                <w:vMerge/>
                <w:tcBorders>
                  <w:top w:val="single" w:sz="4" w:space="0" w:color="auto"/>
                  <w:left w:val="single" w:sz="4" w:space="0" w:color="auto"/>
                  <w:bottom w:val="single" w:sz="4" w:space="0" w:color="auto"/>
                  <w:right w:val="single" w:sz="4" w:space="0" w:color="auto"/>
                </w:tcBorders>
                <w:vAlign w:val="center"/>
              </w:tcPr>
              <w:p w14:paraId="31885BB4" w14:textId="77777777" w:rsidR="002D0AE7" w:rsidRDefault="002D0AE7">
                <w:pPr>
                  <w:rPr>
                    <w:rFonts w:ascii="Calibri" w:hAnsi="Calibri"/>
                    <w:color w:val="000000"/>
                    <w:kern w:val="2"/>
                  </w:rPr>
                </w:pPr>
              </w:p>
            </w:tc>
            <w:tc>
              <w:tcPr>
                <w:tcW w:w="1054" w:type="dxa"/>
                <w:tcBorders>
                  <w:top w:val="single" w:sz="4" w:space="0" w:color="auto"/>
                  <w:left w:val="single" w:sz="4" w:space="0" w:color="auto"/>
                  <w:bottom w:val="single" w:sz="4" w:space="0" w:color="auto"/>
                  <w:right w:val="single" w:sz="4" w:space="0" w:color="auto"/>
                </w:tcBorders>
                <w:vAlign w:val="center"/>
              </w:tcPr>
              <w:p w14:paraId="5732E740" w14:textId="77777777" w:rsidR="002D0AE7" w:rsidRDefault="00333EBB">
                <w:pPr>
                  <w:jc w:val="right"/>
                  <w:rPr>
                    <w:rFonts w:ascii="Calibri" w:hAnsi="Calibri"/>
                    <w:color w:val="000000"/>
                  </w:rPr>
                </w:pPr>
                <w:r>
                  <w:rPr>
                    <w:rFonts w:cs="Calibri" w:hint="eastAsia"/>
                    <w:color w:val="000000"/>
                  </w:rPr>
                  <w:t>8</w:t>
                </w:r>
              </w:p>
            </w:tc>
            <w:tc>
              <w:tcPr>
                <w:tcW w:w="1961" w:type="dxa"/>
                <w:tcBorders>
                  <w:top w:val="single" w:sz="4" w:space="0" w:color="auto"/>
                  <w:left w:val="single" w:sz="4" w:space="0" w:color="auto"/>
                  <w:bottom w:val="single" w:sz="4" w:space="0" w:color="auto"/>
                  <w:right w:val="single" w:sz="4" w:space="0" w:color="auto"/>
                </w:tcBorders>
                <w:vAlign w:val="center"/>
              </w:tcPr>
              <w:p w14:paraId="56DE5A71" w14:textId="77777777" w:rsidR="002D0AE7" w:rsidRDefault="00333EBB">
                <w:pPr>
                  <w:jc w:val="right"/>
                  <w:rPr>
                    <w:rFonts w:hint="eastAsia"/>
                    <w:color w:val="000000"/>
                  </w:rPr>
                </w:pPr>
                <w:r>
                  <w:rPr>
                    <w:rFonts w:cs="Calibri" w:hint="eastAsia"/>
                    <w:color w:val="000000"/>
                  </w:rPr>
                  <w:t>0.92</w:t>
                </w:r>
                <w:r>
                  <w:rPr>
                    <w:rFonts w:cs="Calibri"/>
                    <w:color w:val="000000"/>
                  </w:rPr>
                  <w:t>0</w:t>
                </w:r>
              </w:p>
            </w:tc>
            <w:tc>
              <w:tcPr>
                <w:tcW w:w="1103" w:type="dxa"/>
                <w:tcBorders>
                  <w:top w:val="single" w:sz="4" w:space="0" w:color="auto"/>
                  <w:left w:val="single" w:sz="4" w:space="0" w:color="auto"/>
                  <w:bottom w:val="single" w:sz="4" w:space="0" w:color="auto"/>
                  <w:right w:val="single" w:sz="4" w:space="0" w:color="auto"/>
                </w:tcBorders>
                <w:vAlign w:val="center"/>
              </w:tcPr>
              <w:p w14:paraId="2B4072E0" w14:textId="77777777" w:rsidR="002D0AE7" w:rsidRDefault="00333EBB">
                <w:pPr>
                  <w:jc w:val="right"/>
                  <w:rPr>
                    <w:rFonts w:hint="eastAsia"/>
                    <w:color w:val="000000"/>
                  </w:rPr>
                </w:pPr>
                <w:r>
                  <w:rPr>
                    <w:rFonts w:cs="Calibri" w:hint="eastAsia"/>
                    <w:color w:val="000000"/>
                  </w:rPr>
                  <w:t>0.0901</w:t>
                </w:r>
              </w:p>
            </w:tc>
          </w:tr>
          <w:tr w:rsidR="002D0AE7" w14:paraId="365938D1" w14:textId="77777777">
            <w:trPr>
              <w:trHeight w:val="239"/>
              <w:jc w:val="center"/>
            </w:trPr>
            <w:tc>
              <w:tcPr>
                <w:tcW w:w="1346" w:type="dxa"/>
                <w:vMerge/>
                <w:tcBorders>
                  <w:top w:val="nil"/>
                  <w:left w:val="single" w:sz="4" w:space="0" w:color="auto"/>
                  <w:bottom w:val="single" w:sz="4" w:space="0" w:color="auto"/>
                  <w:right w:val="single" w:sz="4" w:space="0" w:color="auto"/>
                </w:tcBorders>
                <w:vAlign w:val="center"/>
              </w:tcPr>
              <w:p w14:paraId="72DD1B96" w14:textId="77777777" w:rsidR="002D0AE7" w:rsidRDefault="002D0AE7">
                <w:pPr>
                  <w:rPr>
                    <w:rFonts w:ascii="Calibri" w:hAnsi="Calibri"/>
                    <w:color w:val="000000"/>
                    <w:kern w:val="2"/>
                  </w:rPr>
                </w:pPr>
              </w:p>
            </w:tc>
            <w:tc>
              <w:tcPr>
                <w:tcW w:w="2193" w:type="dxa"/>
                <w:tcBorders>
                  <w:top w:val="single" w:sz="4" w:space="0" w:color="auto"/>
                  <w:left w:val="single" w:sz="4" w:space="0" w:color="auto"/>
                  <w:bottom w:val="single" w:sz="4" w:space="0" w:color="auto"/>
                  <w:right w:val="single" w:sz="4" w:space="0" w:color="auto"/>
                </w:tcBorders>
                <w:vAlign w:val="center"/>
              </w:tcPr>
              <w:p w14:paraId="27783C5C" w14:textId="77777777" w:rsidR="002D0AE7" w:rsidRDefault="00333EBB">
                <w:pPr>
                  <w:rPr>
                    <w:rFonts w:hint="eastAsia"/>
                    <w:color w:val="000000"/>
                  </w:rPr>
                </w:pPr>
                <w:r>
                  <w:rPr>
                    <w:rFonts w:hint="eastAsia"/>
                    <w:color w:val="000000"/>
                  </w:rPr>
                  <w:t>悬浮物</w:t>
                </w:r>
              </w:p>
            </w:tc>
            <w:tc>
              <w:tcPr>
                <w:tcW w:w="1166" w:type="dxa"/>
                <w:vMerge/>
                <w:tcBorders>
                  <w:top w:val="single" w:sz="4" w:space="0" w:color="auto"/>
                  <w:left w:val="single" w:sz="4" w:space="0" w:color="auto"/>
                  <w:bottom w:val="single" w:sz="4" w:space="0" w:color="auto"/>
                  <w:right w:val="single" w:sz="4" w:space="0" w:color="auto"/>
                </w:tcBorders>
                <w:vAlign w:val="center"/>
              </w:tcPr>
              <w:p w14:paraId="4AB05A6E" w14:textId="77777777" w:rsidR="002D0AE7" w:rsidRDefault="002D0AE7">
                <w:pPr>
                  <w:rPr>
                    <w:rFonts w:ascii="Calibri" w:hAnsi="Calibri"/>
                    <w:color w:val="000000"/>
                    <w:kern w:val="2"/>
                  </w:rPr>
                </w:pPr>
              </w:p>
            </w:tc>
            <w:tc>
              <w:tcPr>
                <w:tcW w:w="1054" w:type="dxa"/>
                <w:tcBorders>
                  <w:top w:val="single" w:sz="4" w:space="0" w:color="auto"/>
                  <w:left w:val="single" w:sz="4" w:space="0" w:color="auto"/>
                  <w:bottom w:val="single" w:sz="4" w:space="0" w:color="auto"/>
                  <w:right w:val="single" w:sz="4" w:space="0" w:color="auto"/>
                </w:tcBorders>
                <w:vAlign w:val="center"/>
              </w:tcPr>
              <w:p w14:paraId="6A8A12F6" w14:textId="77777777" w:rsidR="002D0AE7" w:rsidRDefault="00333EBB">
                <w:pPr>
                  <w:jc w:val="right"/>
                  <w:rPr>
                    <w:rFonts w:ascii="Calibri" w:hAnsi="Calibri"/>
                    <w:color w:val="000000"/>
                  </w:rPr>
                </w:pPr>
                <w:r>
                  <w:rPr>
                    <w:rFonts w:cs="Calibri" w:hint="eastAsia"/>
                    <w:color w:val="000000"/>
                  </w:rPr>
                  <w:t>400</w:t>
                </w:r>
              </w:p>
            </w:tc>
            <w:tc>
              <w:tcPr>
                <w:tcW w:w="1961" w:type="dxa"/>
                <w:tcBorders>
                  <w:top w:val="single" w:sz="4" w:space="0" w:color="auto"/>
                  <w:left w:val="single" w:sz="4" w:space="0" w:color="auto"/>
                  <w:bottom w:val="single" w:sz="4" w:space="0" w:color="auto"/>
                  <w:right w:val="single" w:sz="4" w:space="0" w:color="auto"/>
                </w:tcBorders>
                <w:vAlign w:val="center"/>
              </w:tcPr>
              <w:p w14:paraId="4E0661E0" w14:textId="77777777" w:rsidR="002D0AE7" w:rsidRDefault="00333EBB">
                <w:pPr>
                  <w:jc w:val="right"/>
                  <w:rPr>
                    <w:rFonts w:hint="eastAsia"/>
                    <w:color w:val="000000"/>
                  </w:rPr>
                </w:pPr>
                <w:r>
                  <w:rPr>
                    <w:rFonts w:cs="Calibri" w:hint="eastAsia"/>
                    <w:color w:val="000000"/>
                  </w:rPr>
                  <w:t>24</w:t>
                </w:r>
                <w:r>
                  <w:rPr>
                    <w:rFonts w:cs="Calibri"/>
                    <w:color w:val="000000"/>
                  </w:rPr>
                  <w:t>.000</w:t>
                </w:r>
              </w:p>
            </w:tc>
            <w:tc>
              <w:tcPr>
                <w:tcW w:w="1103" w:type="dxa"/>
                <w:tcBorders>
                  <w:top w:val="single" w:sz="4" w:space="0" w:color="auto"/>
                  <w:left w:val="single" w:sz="4" w:space="0" w:color="auto"/>
                  <w:bottom w:val="single" w:sz="4" w:space="0" w:color="auto"/>
                  <w:right w:val="single" w:sz="4" w:space="0" w:color="auto"/>
                </w:tcBorders>
                <w:vAlign w:val="center"/>
              </w:tcPr>
              <w:p w14:paraId="65E5A78A" w14:textId="77777777" w:rsidR="002D0AE7" w:rsidRDefault="00333EBB">
                <w:pPr>
                  <w:jc w:val="right"/>
                  <w:rPr>
                    <w:rFonts w:hint="eastAsia"/>
                    <w:color w:val="000000"/>
                  </w:rPr>
                </w:pPr>
                <w:r>
                  <w:rPr>
                    <w:rFonts w:cs="Calibri" w:hint="eastAsia"/>
                    <w:color w:val="000000"/>
                  </w:rPr>
                  <w:t>2.4212</w:t>
                </w:r>
              </w:p>
            </w:tc>
          </w:tr>
          <w:tr w:rsidR="002D0AE7" w14:paraId="1242E2D6" w14:textId="77777777">
            <w:trPr>
              <w:trHeight w:val="239"/>
              <w:jc w:val="center"/>
            </w:trPr>
            <w:tc>
              <w:tcPr>
                <w:tcW w:w="1346" w:type="dxa"/>
                <w:vMerge/>
                <w:tcBorders>
                  <w:top w:val="nil"/>
                  <w:left w:val="single" w:sz="4" w:space="0" w:color="auto"/>
                  <w:bottom w:val="single" w:sz="4" w:space="0" w:color="auto"/>
                  <w:right w:val="single" w:sz="4" w:space="0" w:color="auto"/>
                </w:tcBorders>
                <w:vAlign w:val="center"/>
              </w:tcPr>
              <w:p w14:paraId="17E5820B" w14:textId="77777777" w:rsidR="002D0AE7" w:rsidRDefault="002D0AE7">
                <w:pPr>
                  <w:rPr>
                    <w:rFonts w:ascii="Calibri" w:hAnsi="Calibri"/>
                    <w:color w:val="000000"/>
                    <w:kern w:val="2"/>
                  </w:rPr>
                </w:pPr>
              </w:p>
            </w:tc>
            <w:tc>
              <w:tcPr>
                <w:tcW w:w="2193" w:type="dxa"/>
                <w:tcBorders>
                  <w:top w:val="single" w:sz="4" w:space="0" w:color="auto"/>
                  <w:left w:val="single" w:sz="4" w:space="0" w:color="auto"/>
                  <w:bottom w:val="single" w:sz="4" w:space="0" w:color="auto"/>
                  <w:right w:val="single" w:sz="4" w:space="0" w:color="auto"/>
                </w:tcBorders>
                <w:vAlign w:val="center"/>
              </w:tcPr>
              <w:p w14:paraId="5ABAAAD9" w14:textId="77777777" w:rsidR="002D0AE7" w:rsidRDefault="00333EBB">
                <w:pPr>
                  <w:rPr>
                    <w:rFonts w:hint="eastAsia"/>
                    <w:color w:val="000000"/>
                  </w:rPr>
                </w:pPr>
                <w:r>
                  <w:rPr>
                    <w:rFonts w:hint="eastAsia"/>
                    <w:color w:val="000000"/>
                  </w:rPr>
                  <w:t>总氮</w:t>
                </w:r>
              </w:p>
            </w:tc>
            <w:tc>
              <w:tcPr>
                <w:tcW w:w="1166" w:type="dxa"/>
                <w:vMerge/>
                <w:tcBorders>
                  <w:top w:val="single" w:sz="4" w:space="0" w:color="auto"/>
                  <w:left w:val="single" w:sz="4" w:space="0" w:color="auto"/>
                  <w:bottom w:val="single" w:sz="4" w:space="0" w:color="auto"/>
                  <w:right w:val="single" w:sz="4" w:space="0" w:color="auto"/>
                </w:tcBorders>
                <w:vAlign w:val="center"/>
              </w:tcPr>
              <w:p w14:paraId="46393247" w14:textId="77777777" w:rsidR="002D0AE7" w:rsidRDefault="002D0AE7">
                <w:pPr>
                  <w:rPr>
                    <w:rFonts w:ascii="Calibri" w:hAnsi="Calibri"/>
                    <w:color w:val="000000"/>
                    <w:kern w:val="2"/>
                  </w:rPr>
                </w:pPr>
              </w:p>
            </w:tc>
            <w:tc>
              <w:tcPr>
                <w:tcW w:w="1054" w:type="dxa"/>
                <w:tcBorders>
                  <w:top w:val="single" w:sz="4" w:space="0" w:color="auto"/>
                  <w:left w:val="single" w:sz="4" w:space="0" w:color="auto"/>
                  <w:bottom w:val="single" w:sz="4" w:space="0" w:color="auto"/>
                  <w:right w:val="single" w:sz="4" w:space="0" w:color="auto"/>
                </w:tcBorders>
                <w:vAlign w:val="center"/>
              </w:tcPr>
              <w:p w14:paraId="1B4AB9C4" w14:textId="77777777" w:rsidR="002D0AE7" w:rsidRDefault="00333EBB">
                <w:pPr>
                  <w:jc w:val="right"/>
                  <w:rPr>
                    <w:rFonts w:ascii="Calibri" w:hAnsi="Calibri"/>
                    <w:color w:val="000000"/>
                  </w:rPr>
                </w:pPr>
                <w:r>
                  <w:rPr>
                    <w:rFonts w:cs="Calibri" w:hint="eastAsia"/>
                    <w:color w:val="000000"/>
                  </w:rPr>
                  <w:t>70</w:t>
                </w:r>
              </w:p>
            </w:tc>
            <w:tc>
              <w:tcPr>
                <w:tcW w:w="1961" w:type="dxa"/>
                <w:tcBorders>
                  <w:top w:val="single" w:sz="4" w:space="0" w:color="auto"/>
                  <w:left w:val="single" w:sz="4" w:space="0" w:color="auto"/>
                  <w:bottom w:val="single" w:sz="4" w:space="0" w:color="auto"/>
                  <w:right w:val="single" w:sz="4" w:space="0" w:color="auto"/>
                </w:tcBorders>
                <w:vAlign w:val="center"/>
              </w:tcPr>
              <w:p w14:paraId="1CC5643B" w14:textId="77777777" w:rsidR="002D0AE7" w:rsidRDefault="00333EBB">
                <w:pPr>
                  <w:jc w:val="right"/>
                  <w:rPr>
                    <w:rFonts w:hint="eastAsia"/>
                    <w:color w:val="000000"/>
                  </w:rPr>
                </w:pPr>
                <w:r>
                  <w:rPr>
                    <w:rFonts w:cs="Calibri" w:hint="eastAsia"/>
                    <w:color w:val="000000"/>
                  </w:rPr>
                  <w:t>18.35</w:t>
                </w:r>
              </w:p>
            </w:tc>
            <w:tc>
              <w:tcPr>
                <w:tcW w:w="1103" w:type="dxa"/>
                <w:tcBorders>
                  <w:top w:val="single" w:sz="4" w:space="0" w:color="auto"/>
                  <w:left w:val="single" w:sz="4" w:space="0" w:color="auto"/>
                  <w:bottom w:val="single" w:sz="4" w:space="0" w:color="auto"/>
                  <w:right w:val="single" w:sz="4" w:space="0" w:color="auto"/>
                </w:tcBorders>
                <w:vAlign w:val="center"/>
              </w:tcPr>
              <w:p w14:paraId="5BA2DE9C" w14:textId="77777777" w:rsidR="002D0AE7" w:rsidRDefault="00333EBB">
                <w:pPr>
                  <w:jc w:val="right"/>
                  <w:rPr>
                    <w:rFonts w:hint="eastAsia"/>
                    <w:color w:val="000000"/>
                  </w:rPr>
                </w:pPr>
                <w:r>
                  <w:rPr>
                    <w:rFonts w:cs="Calibri" w:hint="eastAsia"/>
                    <w:color w:val="000000"/>
                  </w:rPr>
                  <w:t>1.8014</w:t>
                </w:r>
              </w:p>
            </w:tc>
          </w:tr>
          <w:tr w:rsidR="002D0AE7" w14:paraId="536745F9" w14:textId="77777777">
            <w:trPr>
              <w:trHeight w:val="239"/>
              <w:jc w:val="center"/>
            </w:trPr>
            <w:tc>
              <w:tcPr>
                <w:tcW w:w="1346" w:type="dxa"/>
                <w:vMerge/>
                <w:tcBorders>
                  <w:top w:val="nil"/>
                  <w:left w:val="single" w:sz="4" w:space="0" w:color="auto"/>
                  <w:bottom w:val="single" w:sz="4" w:space="0" w:color="auto"/>
                  <w:right w:val="single" w:sz="4" w:space="0" w:color="auto"/>
                </w:tcBorders>
                <w:vAlign w:val="center"/>
              </w:tcPr>
              <w:p w14:paraId="2B04EF41" w14:textId="77777777" w:rsidR="002D0AE7" w:rsidRDefault="002D0AE7">
                <w:pPr>
                  <w:rPr>
                    <w:rFonts w:ascii="Calibri" w:hAnsi="Calibri"/>
                    <w:color w:val="000000"/>
                    <w:kern w:val="2"/>
                  </w:rPr>
                </w:pPr>
              </w:p>
            </w:tc>
            <w:tc>
              <w:tcPr>
                <w:tcW w:w="2193" w:type="dxa"/>
                <w:tcBorders>
                  <w:top w:val="single" w:sz="4" w:space="0" w:color="auto"/>
                  <w:left w:val="single" w:sz="4" w:space="0" w:color="auto"/>
                  <w:bottom w:val="single" w:sz="4" w:space="0" w:color="auto"/>
                  <w:right w:val="single" w:sz="4" w:space="0" w:color="auto"/>
                </w:tcBorders>
                <w:vAlign w:val="center"/>
              </w:tcPr>
              <w:p w14:paraId="775B5D56" w14:textId="77777777" w:rsidR="002D0AE7" w:rsidRDefault="00333EBB">
                <w:pPr>
                  <w:rPr>
                    <w:rFonts w:hint="eastAsia"/>
                    <w:color w:val="000000"/>
                  </w:rPr>
                </w:pPr>
                <w:r>
                  <w:rPr>
                    <w:rFonts w:cs="Calibri" w:hint="eastAsia"/>
                    <w:color w:val="000000"/>
                  </w:rPr>
                  <w:t>pH</w:t>
                </w:r>
              </w:p>
            </w:tc>
            <w:tc>
              <w:tcPr>
                <w:tcW w:w="1166" w:type="dxa"/>
                <w:vMerge/>
                <w:tcBorders>
                  <w:top w:val="single" w:sz="4" w:space="0" w:color="auto"/>
                  <w:left w:val="single" w:sz="4" w:space="0" w:color="auto"/>
                  <w:bottom w:val="single" w:sz="4" w:space="0" w:color="auto"/>
                  <w:right w:val="single" w:sz="4" w:space="0" w:color="auto"/>
                </w:tcBorders>
                <w:vAlign w:val="center"/>
              </w:tcPr>
              <w:p w14:paraId="0718AC73" w14:textId="77777777" w:rsidR="002D0AE7" w:rsidRDefault="002D0AE7">
                <w:pPr>
                  <w:rPr>
                    <w:rFonts w:ascii="Calibri" w:hAnsi="Calibri"/>
                    <w:color w:val="000000"/>
                    <w:kern w:val="2"/>
                  </w:rPr>
                </w:pPr>
              </w:p>
            </w:tc>
            <w:tc>
              <w:tcPr>
                <w:tcW w:w="1054" w:type="dxa"/>
                <w:tcBorders>
                  <w:top w:val="single" w:sz="4" w:space="0" w:color="auto"/>
                  <w:left w:val="single" w:sz="4" w:space="0" w:color="auto"/>
                  <w:bottom w:val="single" w:sz="4" w:space="0" w:color="auto"/>
                  <w:right w:val="single" w:sz="4" w:space="0" w:color="auto"/>
                </w:tcBorders>
                <w:vAlign w:val="center"/>
              </w:tcPr>
              <w:p w14:paraId="589C6329" w14:textId="77777777" w:rsidR="002D0AE7" w:rsidRDefault="00333EBB">
                <w:pPr>
                  <w:jc w:val="right"/>
                  <w:rPr>
                    <w:rFonts w:ascii="Calibri" w:hAnsi="Calibri"/>
                    <w:color w:val="000000"/>
                  </w:rPr>
                </w:pPr>
                <w:r>
                  <w:rPr>
                    <w:rFonts w:cs="Calibri" w:hint="eastAsia"/>
                    <w:color w:val="000000"/>
                  </w:rPr>
                  <w:t>6-9</w:t>
                </w:r>
              </w:p>
            </w:tc>
            <w:tc>
              <w:tcPr>
                <w:tcW w:w="1961" w:type="dxa"/>
                <w:tcBorders>
                  <w:top w:val="single" w:sz="4" w:space="0" w:color="auto"/>
                  <w:left w:val="single" w:sz="4" w:space="0" w:color="auto"/>
                  <w:bottom w:val="single" w:sz="4" w:space="0" w:color="auto"/>
                  <w:right w:val="single" w:sz="4" w:space="0" w:color="auto"/>
                </w:tcBorders>
                <w:vAlign w:val="center"/>
              </w:tcPr>
              <w:p w14:paraId="0294FC42" w14:textId="77777777" w:rsidR="002D0AE7" w:rsidRDefault="00333EBB">
                <w:pPr>
                  <w:jc w:val="right"/>
                  <w:rPr>
                    <w:rFonts w:hint="eastAsia"/>
                    <w:color w:val="000000"/>
                  </w:rPr>
                </w:pPr>
                <w:r>
                  <w:rPr>
                    <w:rFonts w:cs="Calibri" w:hint="eastAsia"/>
                    <w:color w:val="000000"/>
                  </w:rPr>
                  <w:t>6.955</w:t>
                </w:r>
              </w:p>
            </w:tc>
            <w:tc>
              <w:tcPr>
                <w:tcW w:w="1103" w:type="dxa"/>
                <w:tcBorders>
                  <w:top w:val="single" w:sz="4" w:space="0" w:color="auto"/>
                  <w:left w:val="single" w:sz="4" w:space="0" w:color="auto"/>
                  <w:bottom w:val="single" w:sz="4" w:space="0" w:color="auto"/>
                  <w:right w:val="single" w:sz="4" w:space="0" w:color="auto"/>
                </w:tcBorders>
                <w:vAlign w:val="center"/>
              </w:tcPr>
              <w:p w14:paraId="289E13B8" w14:textId="77777777" w:rsidR="002D0AE7" w:rsidRDefault="00333EBB">
                <w:pPr>
                  <w:jc w:val="right"/>
                  <w:rPr>
                    <w:rFonts w:hint="eastAsia"/>
                    <w:color w:val="000000"/>
                  </w:rPr>
                </w:pPr>
                <w:r>
                  <w:rPr>
                    <w:rFonts w:cs="Calibri" w:hint="eastAsia"/>
                    <w:color w:val="000000"/>
                  </w:rPr>
                  <w:t>/</w:t>
                </w:r>
              </w:p>
            </w:tc>
          </w:tr>
          <w:tr w:rsidR="002D0AE7" w14:paraId="646ADE53" w14:textId="77777777">
            <w:trPr>
              <w:trHeight w:val="255"/>
              <w:jc w:val="center"/>
            </w:trPr>
            <w:tc>
              <w:tcPr>
                <w:tcW w:w="1346" w:type="dxa"/>
                <w:vMerge/>
                <w:tcBorders>
                  <w:top w:val="nil"/>
                  <w:left w:val="single" w:sz="4" w:space="0" w:color="auto"/>
                  <w:bottom w:val="single" w:sz="4" w:space="0" w:color="auto"/>
                  <w:right w:val="single" w:sz="4" w:space="0" w:color="auto"/>
                </w:tcBorders>
                <w:vAlign w:val="center"/>
              </w:tcPr>
              <w:p w14:paraId="3BF440EB" w14:textId="77777777" w:rsidR="002D0AE7" w:rsidRDefault="002D0AE7">
                <w:pPr>
                  <w:rPr>
                    <w:rFonts w:ascii="Calibri" w:hAnsi="Calibri"/>
                    <w:color w:val="000000"/>
                    <w:kern w:val="2"/>
                  </w:rPr>
                </w:pPr>
              </w:p>
            </w:tc>
            <w:tc>
              <w:tcPr>
                <w:tcW w:w="2193" w:type="dxa"/>
                <w:tcBorders>
                  <w:top w:val="single" w:sz="4" w:space="0" w:color="auto"/>
                  <w:left w:val="single" w:sz="4" w:space="0" w:color="auto"/>
                  <w:bottom w:val="single" w:sz="4" w:space="0" w:color="auto"/>
                  <w:right w:val="single" w:sz="4" w:space="0" w:color="auto"/>
                </w:tcBorders>
                <w:vAlign w:val="center"/>
              </w:tcPr>
              <w:p w14:paraId="246B3A95" w14:textId="77777777" w:rsidR="002D0AE7" w:rsidRDefault="00333EBB">
                <w:pPr>
                  <w:rPr>
                    <w:rFonts w:hint="eastAsia"/>
                    <w:color w:val="000000"/>
                  </w:rPr>
                </w:pPr>
                <w:r>
                  <w:rPr>
                    <w:rFonts w:hint="eastAsia"/>
                    <w:color w:val="000000"/>
                  </w:rPr>
                  <w:t>石油类</w:t>
                </w:r>
              </w:p>
            </w:tc>
            <w:tc>
              <w:tcPr>
                <w:tcW w:w="1166" w:type="dxa"/>
                <w:vMerge/>
                <w:tcBorders>
                  <w:top w:val="single" w:sz="4" w:space="0" w:color="auto"/>
                  <w:left w:val="single" w:sz="4" w:space="0" w:color="auto"/>
                  <w:bottom w:val="single" w:sz="4" w:space="0" w:color="auto"/>
                  <w:right w:val="single" w:sz="4" w:space="0" w:color="auto"/>
                </w:tcBorders>
                <w:vAlign w:val="center"/>
              </w:tcPr>
              <w:p w14:paraId="40B33D59" w14:textId="77777777" w:rsidR="002D0AE7" w:rsidRDefault="002D0AE7">
                <w:pPr>
                  <w:rPr>
                    <w:rFonts w:ascii="Calibri" w:hAnsi="Calibri"/>
                    <w:color w:val="000000"/>
                    <w:kern w:val="2"/>
                  </w:rPr>
                </w:pPr>
              </w:p>
            </w:tc>
            <w:tc>
              <w:tcPr>
                <w:tcW w:w="1054" w:type="dxa"/>
                <w:tcBorders>
                  <w:top w:val="single" w:sz="4" w:space="0" w:color="auto"/>
                  <w:left w:val="single" w:sz="4" w:space="0" w:color="auto"/>
                  <w:bottom w:val="single" w:sz="4" w:space="0" w:color="auto"/>
                  <w:right w:val="single" w:sz="4" w:space="0" w:color="auto"/>
                </w:tcBorders>
                <w:vAlign w:val="center"/>
              </w:tcPr>
              <w:p w14:paraId="3745434B" w14:textId="77777777" w:rsidR="002D0AE7" w:rsidRDefault="00333EBB">
                <w:pPr>
                  <w:jc w:val="right"/>
                  <w:rPr>
                    <w:rFonts w:ascii="Calibri" w:hAnsi="Calibri"/>
                    <w:color w:val="000000"/>
                  </w:rPr>
                </w:pPr>
                <w:r>
                  <w:rPr>
                    <w:rFonts w:cs="Calibri" w:hint="eastAsia"/>
                    <w:color w:val="000000"/>
                  </w:rPr>
                  <w:t>15</w:t>
                </w:r>
              </w:p>
            </w:tc>
            <w:tc>
              <w:tcPr>
                <w:tcW w:w="1961" w:type="dxa"/>
                <w:tcBorders>
                  <w:top w:val="single" w:sz="4" w:space="0" w:color="auto"/>
                  <w:left w:val="single" w:sz="4" w:space="0" w:color="auto"/>
                  <w:bottom w:val="single" w:sz="4" w:space="0" w:color="auto"/>
                  <w:right w:val="single" w:sz="4" w:space="0" w:color="auto"/>
                </w:tcBorders>
                <w:vAlign w:val="center"/>
              </w:tcPr>
              <w:p w14:paraId="7733646B" w14:textId="77777777" w:rsidR="002D0AE7" w:rsidRDefault="00333EBB">
                <w:pPr>
                  <w:jc w:val="right"/>
                  <w:rPr>
                    <w:rFonts w:hint="eastAsia"/>
                    <w:color w:val="000000"/>
                  </w:rPr>
                </w:pPr>
                <w:r>
                  <w:rPr>
                    <w:rFonts w:cs="Calibri" w:hint="eastAsia"/>
                    <w:color w:val="000000"/>
                  </w:rPr>
                  <w:t>1.12</w:t>
                </w:r>
                <w:r>
                  <w:rPr>
                    <w:rFonts w:cs="Calibri"/>
                    <w:color w:val="000000"/>
                  </w:rPr>
                  <w:t>0</w:t>
                </w:r>
              </w:p>
            </w:tc>
            <w:tc>
              <w:tcPr>
                <w:tcW w:w="1103" w:type="dxa"/>
                <w:tcBorders>
                  <w:top w:val="single" w:sz="4" w:space="0" w:color="auto"/>
                  <w:left w:val="single" w:sz="4" w:space="0" w:color="auto"/>
                  <w:bottom w:val="single" w:sz="4" w:space="0" w:color="auto"/>
                  <w:right w:val="single" w:sz="4" w:space="0" w:color="auto"/>
                </w:tcBorders>
                <w:vAlign w:val="center"/>
              </w:tcPr>
              <w:p w14:paraId="09A0445A" w14:textId="77777777" w:rsidR="002D0AE7" w:rsidRDefault="00333EBB">
                <w:pPr>
                  <w:jc w:val="right"/>
                  <w:rPr>
                    <w:rFonts w:hint="eastAsia"/>
                    <w:color w:val="000000"/>
                  </w:rPr>
                </w:pPr>
                <w:r>
                  <w:rPr>
                    <w:rFonts w:cs="Calibri" w:hint="eastAsia"/>
                    <w:color w:val="000000"/>
                  </w:rPr>
                  <w:t>0.1107</w:t>
                </w:r>
              </w:p>
            </w:tc>
          </w:tr>
          <w:tr w:rsidR="002D0AE7" w14:paraId="39857450" w14:textId="77777777">
            <w:trPr>
              <w:trHeight w:val="239"/>
              <w:jc w:val="center"/>
            </w:trPr>
            <w:tc>
              <w:tcPr>
                <w:tcW w:w="1346" w:type="dxa"/>
                <w:vMerge/>
                <w:tcBorders>
                  <w:top w:val="nil"/>
                  <w:left w:val="single" w:sz="4" w:space="0" w:color="auto"/>
                  <w:bottom w:val="single" w:sz="4" w:space="0" w:color="auto"/>
                  <w:right w:val="single" w:sz="4" w:space="0" w:color="auto"/>
                </w:tcBorders>
                <w:vAlign w:val="center"/>
              </w:tcPr>
              <w:p w14:paraId="72E007BE" w14:textId="77777777" w:rsidR="002D0AE7" w:rsidRDefault="002D0AE7">
                <w:pPr>
                  <w:rPr>
                    <w:rFonts w:ascii="Calibri" w:hAnsi="Calibri"/>
                    <w:color w:val="000000"/>
                    <w:kern w:val="2"/>
                  </w:rPr>
                </w:pPr>
              </w:p>
            </w:tc>
            <w:tc>
              <w:tcPr>
                <w:tcW w:w="2193" w:type="dxa"/>
                <w:tcBorders>
                  <w:top w:val="single" w:sz="4" w:space="0" w:color="auto"/>
                  <w:left w:val="single" w:sz="4" w:space="0" w:color="auto"/>
                  <w:bottom w:val="single" w:sz="4" w:space="0" w:color="auto"/>
                  <w:right w:val="single" w:sz="4" w:space="0" w:color="auto"/>
                </w:tcBorders>
                <w:vAlign w:val="center"/>
              </w:tcPr>
              <w:p w14:paraId="1795EBF4" w14:textId="77777777" w:rsidR="002D0AE7" w:rsidRDefault="00333EBB">
                <w:pPr>
                  <w:rPr>
                    <w:rFonts w:hint="eastAsia"/>
                    <w:color w:val="000000"/>
                  </w:rPr>
                </w:pPr>
                <w:r>
                  <w:rPr>
                    <w:rFonts w:hint="eastAsia"/>
                    <w:color w:val="000000"/>
                  </w:rPr>
                  <w:t>动植物油</w:t>
                </w:r>
              </w:p>
            </w:tc>
            <w:tc>
              <w:tcPr>
                <w:tcW w:w="1166" w:type="dxa"/>
                <w:vMerge/>
                <w:tcBorders>
                  <w:top w:val="single" w:sz="4" w:space="0" w:color="auto"/>
                  <w:left w:val="single" w:sz="4" w:space="0" w:color="auto"/>
                  <w:bottom w:val="single" w:sz="4" w:space="0" w:color="auto"/>
                  <w:right w:val="single" w:sz="4" w:space="0" w:color="auto"/>
                </w:tcBorders>
                <w:vAlign w:val="center"/>
              </w:tcPr>
              <w:p w14:paraId="6D89A0B7" w14:textId="77777777" w:rsidR="002D0AE7" w:rsidRDefault="002D0AE7">
                <w:pPr>
                  <w:rPr>
                    <w:rFonts w:ascii="Calibri" w:hAnsi="Calibri"/>
                    <w:color w:val="000000"/>
                    <w:kern w:val="2"/>
                  </w:rPr>
                </w:pPr>
              </w:p>
            </w:tc>
            <w:tc>
              <w:tcPr>
                <w:tcW w:w="1054" w:type="dxa"/>
                <w:tcBorders>
                  <w:top w:val="single" w:sz="4" w:space="0" w:color="auto"/>
                  <w:left w:val="single" w:sz="4" w:space="0" w:color="auto"/>
                  <w:bottom w:val="single" w:sz="4" w:space="0" w:color="auto"/>
                  <w:right w:val="single" w:sz="4" w:space="0" w:color="auto"/>
                </w:tcBorders>
                <w:vAlign w:val="center"/>
              </w:tcPr>
              <w:p w14:paraId="53E78BB5" w14:textId="77777777" w:rsidR="002D0AE7" w:rsidRDefault="00333EBB">
                <w:pPr>
                  <w:jc w:val="right"/>
                  <w:rPr>
                    <w:rFonts w:ascii="Calibri" w:hAnsi="Calibri"/>
                    <w:color w:val="000000"/>
                  </w:rPr>
                </w:pPr>
                <w:r>
                  <w:rPr>
                    <w:rFonts w:cs="Calibri" w:hint="eastAsia"/>
                    <w:color w:val="000000"/>
                  </w:rPr>
                  <w:t>100</w:t>
                </w:r>
              </w:p>
            </w:tc>
            <w:tc>
              <w:tcPr>
                <w:tcW w:w="1961" w:type="dxa"/>
                <w:tcBorders>
                  <w:top w:val="single" w:sz="4" w:space="0" w:color="auto"/>
                  <w:left w:val="single" w:sz="4" w:space="0" w:color="auto"/>
                  <w:bottom w:val="single" w:sz="4" w:space="0" w:color="auto"/>
                  <w:right w:val="single" w:sz="4" w:space="0" w:color="auto"/>
                </w:tcBorders>
                <w:vAlign w:val="center"/>
              </w:tcPr>
              <w:p w14:paraId="74E78913" w14:textId="77777777" w:rsidR="002D0AE7" w:rsidRDefault="00333EBB">
                <w:pPr>
                  <w:jc w:val="right"/>
                  <w:rPr>
                    <w:rFonts w:hint="eastAsia"/>
                    <w:color w:val="000000"/>
                  </w:rPr>
                </w:pPr>
                <w:r>
                  <w:rPr>
                    <w:rFonts w:cs="Calibri" w:hint="eastAsia"/>
                    <w:color w:val="000000"/>
                  </w:rPr>
                  <w:t>1.27</w:t>
                </w:r>
                <w:r>
                  <w:rPr>
                    <w:rFonts w:cs="Calibri"/>
                    <w:color w:val="000000"/>
                  </w:rPr>
                  <w:t>0</w:t>
                </w:r>
              </w:p>
            </w:tc>
            <w:tc>
              <w:tcPr>
                <w:tcW w:w="1103" w:type="dxa"/>
                <w:tcBorders>
                  <w:top w:val="single" w:sz="4" w:space="0" w:color="auto"/>
                  <w:left w:val="single" w:sz="4" w:space="0" w:color="auto"/>
                  <w:bottom w:val="single" w:sz="4" w:space="0" w:color="auto"/>
                  <w:right w:val="single" w:sz="4" w:space="0" w:color="auto"/>
                </w:tcBorders>
                <w:vAlign w:val="center"/>
              </w:tcPr>
              <w:p w14:paraId="71829470" w14:textId="77777777" w:rsidR="002D0AE7" w:rsidRDefault="00333EBB">
                <w:pPr>
                  <w:jc w:val="right"/>
                  <w:rPr>
                    <w:rFonts w:hint="eastAsia"/>
                    <w:color w:val="000000"/>
                  </w:rPr>
                </w:pPr>
                <w:r>
                  <w:rPr>
                    <w:rFonts w:cs="Calibri" w:hint="eastAsia"/>
                    <w:color w:val="000000"/>
                  </w:rPr>
                  <w:t>0.1276</w:t>
                </w:r>
              </w:p>
            </w:tc>
          </w:tr>
          <w:tr w:rsidR="002D0AE7" w14:paraId="0D5E497D" w14:textId="77777777">
            <w:trPr>
              <w:trHeight w:val="239"/>
              <w:jc w:val="center"/>
            </w:trPr>
            <w:tc>
              <w:tcPr>
                <w:tcW w:w="1346" w:type="dxa"/>
                <w:vMerge/>
                <w:tcBorders>
                  <w:top w:val="nil"/>
                  <w:left w:val="single" w:sz="4" w:space="0" w:color="auto"/>
                  <w:bottom w:val="single" w:sz="4" w:space="0" w:color="auto"/>
                  <w:right w:val="single" w:sz="4" w:space="0" w:color="auto"/>
                </w:tcBorders>
                <w:vAlign w:val="center"/>
              </w:tcPr>
              <w:p w14:paraId="4FCC02FE" w14:textId="77777777" w:rsidR="002D0AE7" w:rsidRDefault="002D0AE7">
                <w:pPr>
                  <w:rPr>
                    <w:rFonts w:ascii="Calibri" w:hAnsi="Calibri"/>
                    <w:color w:val="000000"/>
                    <w:kern w:val="2"/>
                  </w:rPr>
                </w:pPr>
              </w:p>
            </w:tc>
            <w:tc>
              <w:tcPr>
                <w:tcW w:w="2193" w:type="dxa"/>
                <w:tcBorders>
                  <w:top w:val="single" w:sz="4" w:space="0" w:color="auto"/>
                  <w:left w:val="single" w:sz="4" w:space="0" w:color="auto"/>
                  <w:bottom w:val="single" w:sz="4" w:space="0" w:color="auto"/>
                  <w:right w:val="single" w:sz="4" w:space="0" w:color="auto"/>
                </w:tcBorders>
                <w:vAlign w:val="center"/>
              </w:tcPr>
              <w:p w14:paraId="609BB39F" w14:textId="77777777" w:rsidR="002D0AE7" w:rsidRDefault="00333EBB">
                <w:pPr>
                  <w:rPr>
                    <w:rFonts w:hint="eastAsia"/>
                    <w:color w:val="000000"/>
                  </w:rPr>
                </w:pPr>
                <w:r>
                  <w:rPr>
                    <w:rFonts w:hint="eastAsia"/>
                    <w:color w:val="000000"/>
                  </w:rPr>
                  <w:t>总有机碳</w:t>
                </w:r>
              </w:p>
            </w:tc>
            <w:tc>
              <w:tcPr>
                <w:tcW w:w="1166" w:type="dxa"/>
                <w:vMerge/>
                <w:tcBorders>
                  <w:top w:val="single" w:sz="4" w:space="0" w:color="auto"/>
                  <w:left w:val="single" w:sz="4" w:space="0" w:color="auto"/>
                  <w:bottom w:val="single" w:sz="4" w:space="0" w:color="auto"/>
                  <w:right w:val="single" w:sz="4" w:space="0" w:color="auto"/>
                </w:tcBorders>
                <w:vAlign w:val="center"/>
              </w:tcPr>
              <w:p w14:paraId="5046C370" w14:textId="77777777" w:rsidR="002D0AE7" w:rsidRDefault="002D0AE7">
                <w:pPr>
                  <w:rPr>
                    <w:rFonts w:ascii="Calibri" w:hAnsi="Calibri"/>
                    <w:color w:val="000000"/>
                    <w:kern w:val="2"/>
                  </w:rPr>
                </w:pPr>
              </w:p>
            </w:tc>
            <w:tc>
              <w:tcPr>
                <w:tcW w:w="1054" w:type="dxa"/>
                <w:tcBorders>
                  <w:top w:val="single" w:sz="4" w:space="0" w:color="auto"/>
                  <w:left w:val="single" w:sz="4" w:space="0" w:color="auto"/>
                  <w:bottom w:val="single" w:sz="4" w:space="0" w:color="auto"/>
                  <w:right w:val="single" w:sz="4" w:space="0" w:color="auto"/>
                </w:tcBorders>
                <w:vAlign w:val="center"/>
              </w:tcPr>
              <w:p w14:paraId="45C47003" w14:textId="77777777" w:rsidR="002D0AE7" w:rsidRDefault="00333EBB">
                <w:pPr>
                  <w:jc w:val="right"/>
                  <w:rPr>
                    <w:rFonts w:ascii="Calibri" w:hAnsi="Calibri"/>
                    <w:color w:val="000000"/>
                  </w:rPr>
                </w:pPr>
                <w:r>
                  <w:rPr>
                    <w:rFonts w:cs="Calibri" w:hint="eastAsia"/>
                    <w:color w:val="000000"/>
                  </w:rPr>
                  <w:t>150</w:t>
                </w:r>
              </w:p>
            </w:tc>
            <w:tc>
              <w:tcPr>
                <w:tcW w:w="1961" w:type="dxa"/>
                <w:tcBorders>
                  <w:top w:val="single" w:sz="4" w:space="0" w:color="auto"/>
                  <w:left w:val="single" w:sz="4" w:space="0" w:color="auto"/>
                  <w:bottom w:val="single" w:sz="4" w:space="0" w:color="auto"/>
                  <w:right w:val="single" w:sz="4" w:space="0" w:color="auto"/>
                </w:tcBorders>
                <w:vAlign w:val="center"/>
              </w:tcPr>
              <w:p w14:paraId="1C09F224" w14:textId="77777777" w:rsidR="002D0AE7" w:rsidRDefault="00333EBB">
                <w:pPr>
                  <w:jc w:val="right"/>
                  <w:rPr>
                    <w:rFonts w:hint="eastAsia"/>
                    <w:color w:val="000000"/>
                  </w:rPr>
                </w:pPr>
                <w:r>
                  <w:rPr>
                    <w:rFonts w:cs="Calibri" w:hint="eastAsia"/>
                    <w:color w:val="000000"/>
                  </w:rPr>
                  <w:t>38.85</w:t>
                </w:r>
                <w:r>
                  <w:rPr>
                    <w:rFonts w:cs="Calibri"/>
                    <w:color w:val="000000"/>
                  </w:rPr>
                  <w:t>0</w:t>
                </w:r>
              </w:p>
            </w:tc>
            <w:tc>
              <w:tcPr>
                <w:tcW w:w="1103" w:type="dxa"/>
                <w:tcBorders>
                  <w:top w:val="single" w:sz="4" w:space="0" w:color="auto"/>
                  <w:left w:val="single" w:sz="4" w:space="0" w:color="auto"/>
                  <w:bottom w:val="single" w:sz="4" w:space="0" w:color="auto"/>
                  <w:right w:val="single" w:sz="4" w:space="0" w:color="auto"/>
                </w:tcBorders>
                <w:vAlign w:val="center"/>
              </w:tcPr>
              <w:p w14:paraId="449B1AC1" w14:textId="77777777" w:rsidR="002D0AE7" w:rsidRDefault="00333EBB">
                <w:pPr>
                  <w:jc w:val="right"/>
                  <w:rPr>
                    <w:rFonts w:hint="eastAsia"/>
                    <w:color w:val="000000"/>
                  </w:rPr>
                </w:pPr>
                <w:r>
                  <w:rPr>
                    <w:rFonts w:cs="Calibri" w:hint="eastAsia"/>
                    <w:color w:val="000000"/>
                  </w:rPr>
                  <w:t>3.7937</w:t>
                </w:r>
              </w:p>
            </w:tc>
          </w:tr>
          <w:tr w:rsidR="002D0AE7" w14:paraId="36E3F7CC" w14:textId="77777777">
            <w:trPr>
              <w:trHeight w:val="239"/>
              <w:jc w:val="center"/>
            </w:trPr>
            <w:tc>
              <w:tcPr>
                <w:tcW w:w="1346" w:type="dxa"/>
                <w:vMerge w:val="restart"/>
                <w:tcBorders>
                  <w:top w:val="nil"/>
                  <w:left w:val="single" w:sz="4" w:space="0" w:color="auto"/>
                  <w:bottom w:val="single" w:sz="4" w:space="0" w:color="auto"/>
                  <w:right w:val="single" w:sz="4" w:space="0" w:color="auto"/>
                </w:tcBorders>
                <w:vAlign w:val="center"/>
              </w:tcPr>
              <w:p w14:paraId="7535FF0C" w14:textId="77777777" w:rsidR="002D0AE7" w:rsidRDefault="00333EBB">
                <w:pPr>
                  <w:rPr>
                    <w:rFonts w:hint="eastAsia"/>
                    <w:color w:val="000000"/>
                  </w:rPr>
                </w:pPr>
                <w:r>
                  <w:rPr>
                    <w:rFonts w:hint="eastAsia"/>
                    <w:color w:val="000000"/>
                  </w:rPr>
                  <w:t>湖北津药药业股份有限公司</w:t>
                </w:r>
              </w:p>
            </w:tc>
            <w:tc>
              <w:tcPr>
                <w:tcW w:w="2193" w:type="dxa"/>
                <w:tcBorders>
                  <w:top w:val="single" w:sz="4" w:space="0" w:color="auto"/>
                  <w:left w:val="single" w:sz="4" w:space="0" w:color="auto"/>
                  <w:bottom w:val="single" w:sz="4" w:space="0" w:color="auto"/>
                  <w:right w:val="single" w:sz="4" w:space="0" w:color="auto"/>
                </w:tcBorders>
                <w:vAlign w:val="center"/>
              </w:tcPr>
              <w:p w14:paraId="338669DE" w14:textId="77777777" w:rsidR="002D0AE7" w:rsidRDefault="00333EBB">
                <w:pPr>
                  <w:rPr>
                    <w:rFonts w:hint="eastAsia"/>
                    <w:color w:val="000000"/>
                  </w:rPr>
                </w:pPr>
                <w:r>
                  <w:rPr>
                    <w:rFonts w:cs="Calibri" w:hint="eastAsia"/>
                    <w:color w:val="000000"/>
                  </w:rPr>
                  <w:t>COD</w:t>
                </w:r>
              </w:p>
            </w:tc>
            <w:tc>
              <w:tcPr>
                <w:tcW w:w="1166" w:type="dxa"/>
                <w:vMerge w:val="restart"/>
                <w:tcBorders>
                  <w:top w:val="nil"/>
                  <w:left w:val="single" w:sz="4" w:space="0" w:color="auto"/>
                  <w:bottom w:val="single" w:sz="4" w:space="0" w:color="auto"/>
                  <w:right w:val="single" w:sz="4" w:space="0" w:color="auto"/>
                </w:tcBorders>
                <w:vAlign w:val="center"/>
              </w:tcPr>
              <w:p w14:paraId="469842E3" w14:textId="77777777" w:rsidR="002D0AE7" w:rsidRDefault="00333EBB">
                <w:pPr>
                  <w:rPr>
                    <w:rFonts w:ascii="Calibri" w:hAnsi="Calibri"/>
                    <w:color w:val="000000"/>
                  </w:rPr>
                </w:pPr>
                <w:r>
                  <w:rPr>
                    <w:rFonts w:hint="eastAsia"/>
                    <w:color w:val="000000"/>
                    <w:sz w:val="22"/>
                    <w:szCs w:val="22"/>
                  </w:rPr>
                  <w:t>《污水综合排放标准》（</w:t>
                </w:r>
                <w:r>
                  <w:rPr>
                    <w:color w:val="000000"/>
                    <w:sz w:val="22"/>
                    <w:szCs w:val="22"/>
                  </w:rPr>
                  <w:t>GB8978-1996</w:t>
                </w:r>
                <w:r>
                  <w:rPr>
                    <w:rFonts w:hint="eastAsia"/>
                    <w:color w:val="000000"/>
                    <w:sz w:val="22"/>
                    <w:szCs w:val="22"/>
                  </w:rPr>
                  <w:t>）三级排放标准</w:t>
                </w:r>
              </w:p>
            </w:tc>
            <w:tc>
              <w:tcPr>
                <w:tcW w:w="1054" w:type="dxa"/>
                <w:tcBorders>
                  <w:top w:val="single" w:sz="4" w:space="0" w:color="auto"/>
                  <w:left w:val="single" w:sz="4" w:space="0" w:color="auto"/>
                  <w:bottom w:val="single" w:sz="4" w:space="0" w:color="auto"/>
                  <w:right w:val="single" w:sz="4" w:space="0" w:color="auto"/>
                </w:tcBorders>
                <w:vAlign w:val="center"/>
              </w:tcPr>
              <w:p w14:paraId="5A4AE51E" w14:textId="77777777" w:rsidR="002D0AE7" w:rsidRDefault="00333EBB">
                <w:pPr>
                  <w:jc w:val="right"/>
                  <w:rPr>
                    <w:rFonts w:hint="eastAsia"/>
                    <w:color w:val="000000"/>
                  </w:rPr>
                </w:pPr>
                <w:r>
                  <w:rPr>
                    <w:rFonts w:cs="Calibri" w:hint="eastAsia"/>
                    <w:color w:val="000000"/>
                  </w:rPr>
                  <w:t>500</w:t>
                </w:r>
              </w:p>
            </w:tc>
            <w:tc>
              <w:tcPr>
                <w:tcW w:w="1961" w:type="dxa"/>
                <w:tcBorders>
                  <w:top w:val="single" w:sz="4" w:space="0" w:color="auto"/>
                  <w:left w:val="single" w:sz="4" w:space="0" w:color="auto"/>
                  <w:bottom w:val="single" w:sz="4" w:space="0" w:color="auto"/>
                  <w:right w:val="single" w:sz="4" w:space="0" w:color="auto"/>
                </w:tcBorders>
                <w:vAlign w:val="center"/>
              </w:tcPr>
              <w:p w14:paraId="064483E6" w14:textId="77777777" w:rsidR="002D0AE7" w:rsidRDefault="00333EBB">
                <w:pPr>
                  <w:jc w:val="right"/>
                  <w:rPr>
                    <w:rFonts w:hint="eastAsia"/>
                    <w:color w:val="000000"/>
                  </w:rPr>
                </w:pPr>
                <w:r>
                  <w:rPr>
                    <w:rFonts w:cs="Calibri" w:hint="eastAsia"/>
                    <w:color w:val="000000"/>
                  </w:rPr>
                  <w:t>10.4</w:t>
                </w:r>
                <w:r>
                  <w:rPr>
                    <w:rFonts w:cs="Calibri"/>
                    <w:color w:val="000000"/>
                  </w:rPr>
                  <w:t>00</w:t>
                </w:r>
              </w:p>
            </w:tc>
            <w:tc>
              <w:tcPr>
                <w:tcW w:w="1103" w:type="dxa"/>
                <w:tcBorders>
                  <w:top w:val="single" w:sz="4" w:space="0" w:color="auto"/>
                  <w:left w:val="single" w:sz="4" w:space="0" w:color="auto"/>
                  <w:bottom w:val="single" w:sz="4" w:space="0" w:color="auto"/>
                  <w:right w:val="single" w:sz="4" w:space="0" w:color="auto"/>
                </w:tcBorders>
                <w:vAlign w:val="center"/>
              </w:tcPr>
              <w:p w14:paraId="0D84B36C" w14:textId="77777777" w:rsidR="002D0AE7" w:rsidRDefault="00333EBB">
                <w:pPr>
                  <w:jc w:val="right"/>
                  <w:rPr>
                    <w:rFonts w:hint="eastAsia"/>
                    <w:color w:val="000000"/>
                  </w:rPr>
                </w:pPr>
                <w:r>
                  <w:rPr>
                    <w:rFonts w:cs="Calibri" w:hint="eastAsia"/>
                    <w:color w:val="000000"/>
                  </w:rPr>
                  <w:t>0.58</w:t>
                </w:r>
                <w:r>
                  <w:rPr>
                    <w:rFonts w:cs="Calibri"/>
                    <w:color w:val="000000"/>
                  </w:rPr>
                  <w:t>00</w:t>
                </w:r>
              </w:p>
            </w:tc>
          </w:tr>
          <w:tr w:rsidR="002D0AE7" w14:paraId="504480E1" w14:textId="77777777">
            <w:trPr>
              <w:trHeight w:val="391"/>
              <w:jc w:val="center"/>
            </w:trPr>
            <w:tc>
              <w:tcPr>
                <w:tcW w:w="1346" w:type="dxa"/>
                <w:vMerge/>
                <w:tcBorders>
                  <w:top w:val="nil"/>
                  <w:left w:val="single" w:sz="4" w:space="0" w:color="auto"/>
                  <w:bottom w:val="single" w:sz="4" w:space="0" w:color="auto"/>
                  <w:right w:val="single" w:sz="4" w:space="0" w:color="auto"/>
                </w:tcBorders>
                <w:vAlign w:val="center"/>
              </w:tcPr>
              <w:p w14:paraId="62A62479" w14:textId="77777777" w:rsidR="002D0AE7" w:rsidRDefault="002D0AE7">
                <w:pPr>
                  <w:rPr>
                    <w:rFonts w:ascii="Calibri" w:hAnsi="Calibri"/>
                    <w:color w:val="000000"/>
                    <w:kern w:val="2"/>
                  </w:rPr>
                </w:pPr>
              </w:p>
            </w:tc>
            <w:tc>
              <w:tcPr>
                <w:tcW w:w="2193" w:type="dxa"/>
                <w:tcBorders>
                  <w:top w:val="single" w:sz="4" w:space="0" w:color="auto"/>
                  <w:left w:val="single" w:sz="4" w:space="0" w:color="auto"/>
                  <w:bottom w:val="single" w:sz="4" w:space="0" w:color="auto"/>
                  <w:right w:val="single" w:sz="4" w:space="0" w:color="auto"/>
                </w:tcBorders>
                <w:vAlign w:val="center"/>
              </w:tcPr>
              <w:p w14:paraId="1AD22E38" w14:textId="77777777" w:rsidR="002D0AE7" w:rsidRDefault="00333EBB">
                <w:pPr>
                  <w:rPr>
                    <w:rFonts w:hint="eastAsia"/>
                    <w:color w:val="000000"/>
                  </w:rPr>
                </w:pPr>
                <w:r>
                  <w:rPr>
                    <w:rFonts w:hint="eastAsia"/>
                    <w:color w:val="000000"/>
                  </w:rPr>
                  <w:t>氨氮</w:t>
                </w:r>
              </w:p>
            </w:tc>
            <w:tc>
              <w:tcPr>
                <w:tcW w:w="1166" w:type="dxa"/>
                <w:vMerge/>
                <w:tcBorders>
                  <w:top w:val="nil"/>
                  <w:left w:val="single" w:sz="4" w:space="0" w:color="auto"/>
                  <w:bottom w:val="single" w:sz="4" w:space="0" w:color="auto"/>
                  <w:right w:val="single" w:sz="4" w:space="0" w:color="auto"/>
                </w:tcBorders>
                <w:vAlign w:val="center"/>
              </w:tcPr>
              <w:p w14:paraId="0C43E247" w14:textId="77777777" w:rsidR="002D0AE7" w:rsidRDefault="002D0AE7">
                <w:pPr>
                  <w:rPr>
                    <w:rFonts w:ascii="Calibri" w:hAnsi="Calibri"/>
                    <w:color w:val="000000"/>
                    <w:kern w:val="2"/>
                  </w:rPr>
                </w:pPr>
              </w:p>
            </w:tc>
            <w:tc>
              <w:tcPr>
                <w:tcW w:w="1054" w:type="dxa"/>
                <w:tcBorders>
                  <w:top w:val="single" w:sz="4" w:space="0" w:color="auto"/>
                  <w:left w:val="single" w:sz="4" w:space="0" w:color="auto"/>
                  <w:bottom w:val="single" w:sz="4" w:space="0" w:color="auto"/>
                  <w:right w:val="single" w:sz="4" w:space="0" w:color="auto"/>
                </w:tcBorders>
                <w:vAlign w:val="center"/>
              </w:tcPr>
              <w:p w14:paraId="234C7FA8" w14:textId="77777777" w:rsidR="002D0AE7" w:rsidRDefault="00333EBB">
                <w:pPr>
                  <w:jc w:val="right"/>
                  <w:rPr>
                    <w:rFonts w:ascii="Calibri" w:hAnsi="Calibri"/>
                    <w:color w:val="000000"/>
                  </w:rPr>
                </w:pPr>
                <w:r>
                  <w:rPr>
                    <w:rFonts w:cs="Calibri" w:hint="eastAsia"/>
                    <w:color w:val="000000"/>
                  </w:rPr>
                  <w:t>45</w:t>
                </w:r>
              </w:p>
            </w:tc>
            <w:tc>
              <w:tcPr>
                <w:tcW w:w="1961" w:type="dxa"/>
                <w:tcBorders>
                  <w:top w:val="single" w:sz="4" w:space="0" w:color="auto"/>
                  <w:left w:val="single" w:sz="4" w:space="0" w:color="auto"/>
                  <w:bottom w:val="single" w:sz="4" w:space="0" w:color="auto"/>
                  <w:right w:val="single" w:sz="4" w:space="0" w:color="auto"/>
                </w:tcBorders>
                <w:vAlign w:val="center"/>
              </w:tcPr>
              <w:p w14:paraId="48CA1CE8" w14:textId="77777777" w:rsidR="002D0AE7" w:rsidRDefault="00333EBB">
                <w:pPr>
                  <w:jc w:val="right"/>
                  <w:rPr>
                    <w:rFonts w:hint="eastAsia"/>
                    <w:color w:val="000000"/>
                  </w:rPr>
                </w:pPr>
                <w:r>
                  <w:rPr>
                    <w:rFonts w:cs="Calibri" w:hint="eastAsia"/>
                    <w:color w:val="000000"/>
                  </w:rPr>
                  <w:t>0.002</w:t>
                </w:r>
              </w:p>
            </w:tc>
            <w:tc>
              <w:tcPr>
                <w:tcW w:w="1103" w:type="dxa"/>
                <w:tcBorders>
                  <w:top w:val="single" w:sz="4" w:space="0" w:color="auto"/>
                  <w:left w:val="single" w:sz="4" w:space="0" w:color="auto"/>
                  <w:bottom w:val="single" w:sz="4" w:space="0" w:color="auto"/>
                  <w:right w:val="single" w:sz="4" w:space="0" w:color="auto"/>
                </w:tcBorders>
                <w:vAlign w:val="center"/>
              </w:tcPr>
              <w:p w14:paraId="0CC3D80F" w14:textId="77777777" w:rsidR="002D0AE7" w:rsidRDefault="00333EBB">
                <w:pPr>
                  <w:jc w:val="right"/>
                  <w:rPr>
                    <w:rFonts w:hint="eastAsia"/>
                    <w:color w:val="000000"/>
                  </w:rPr>
                </w:pPr>
                <w:r>
                  <w:rPr>
                    <w:rFonts w:cs="Calibri" w:hint="eastAsia"/>
                    <w:color w:val="000000"/>
                  </w:rPr>
                  <w:t>0.00207</w:t>
                </w:r>
              </w:p>
            </w:tc>
          </w:tr>
          <w:tr w:rsidR="002D0AE7" w14:paraId="718AFF54" w14:textId="77777777">
            <w:trPr>
              <w:trHeight w:val="523"/>
              <w:jc w:val="center"/>
            </w:trPr>
            <w:tc>
              <w:tcPr>
                <w:tcW w:w="1346" w:type="dxa"/>
                <w:vMerge/>
                <w:tcBorders>
                  <w:top w:val="nil"/>
                  <w:left w:val="single" w:sz="4" w:space="0" w:color="auto"/>
                  <w:bottom w:val="single" w:sz="4" w:space="0" w:color="auto"/>
                  <w:right w:val="single" w:sz="4" w:space="0" w:color="auto"/>
                </w:tcBorders>
                <w:vAlign w:val="center"/>
              </w:tcPr>
              <w:p w14:paraId="6F1111E0" w14:textId="77777777" w:rsidR="002D0AE7" w:rsidRDefault="002D0AE7">
                <w:pPr>
                  <w:rPr>
                    <w:rFonts w:ascii="Calibri" w:hAnsi="Calibri"/>
                    <w:color w:val="000000"/>
                    <w:kern w:val="2"/>
                  </w:rPr>
                </w:pPr>
              </w:p>
            </w:tc>
            <w:tc>
              <w:tcPr>
                <w:tcW w:w="2193" w:type="dxa"/>
                <w:tcBorders>
                  <w:top w:val="single" w:sz="4" w:space="0" w:color="auto"/>
                  <w:left w:val="single" w:sz="4" w:space="0" w:color="auto"/>
                  <w:bottom w:val="single" w:sz="4" w:space="0" w:color="auto"/>
                  <w:right w:val="single" w:sz="4" w:space="0" w:color="auto"/>
                </w:tcBorders>
                <w:vAlign w:val="center"/>
              </w:tcPr>
              <w:p w14:paraId="7CE7ABEB" w14:textId="77777777" w:rsidR="002D0AE7" w:rsidRDefault="00333EBB">
                <w:pPr>
                  <w:rPr>
                    <w:rFonts w:hint="eastAsia"/>
                    <w:color w:val="000000"/>
                  </w:rPr>
                </w:pPr>
                <w:r>
                  <w:rPr>
                    <w:rFonts w:cs="Calibri" w:hint="eastAsia"/>
                    <w:color w:val="000000"/>
                  </w:rPr>
                  <w:t>pH</w:t>
                </w:r>
              </w:p>
            </w:tc>
            <w:tc>
              <w:tcPr>
                <w:tcW w:w="1166" w:type="dxa"/>
                <w:vMerge/>
                <w:tcBorders>
                  <w:top w:val="nil"/>
                  <w:left w:val="single" w:sz="4" w:space="0" w:color="auto"/>
                  <w:bottom w:val="single" w:sz="4" w:space="0" w:color="auto"/>
                  <w:right w:val="single" w:sz="4" w:space="0" w:color="auto"/>
                </w:tcBorders>
                <w:vAlign w:val="center"/>
              </w:tcPr>
              <w:p w14:paraId="5EBB45CA" w14:textId="77777777" w:rsidR="002D0AE7" w:rsidRDefault="002D0AE7">
                <w:pPr>
                  <w:rPr>
                    <w:rFonts w:ascii="Calibri" w:hAnsi="Calibri"/>
                    <w:color w:val="000000"/>
                    <w:kern w:val="2"/>
                  </w:rPr>
                </w:pPr>
              </w:p>
            </w:tc>
            <w:tc>
              <w:tcPr>
                <w:tcW w:w="1054" w:type="dxa"/>
                <w:tcBorders>
                  <w:top w:val="single" w:sz="4" w:space="0" w:color="auto"/>
                  <w:left w:val="single" w:sz="4" w:space="0" w:color="auto"/>
                  <w:bottom w:val="single" w:sz="4" w:space="0" w:color="auto"/>
                  <w:right w:val="single" w:sz="4" w:space="0" w:color="auto"/>
                </w:tcBorders>
                <w:vAlign w:val="center"/>
              </w:tcPr>
              <w:p w14:paraId="5171341E" w14:textId="77777777" w:rsidR="002D0AE7" w:rsidRDefault="00333EBB">
                <w:pPr>
                  <w:jc w:val="right"/>
                  <w:rPr>
                    <w:rFonts w:ascii="Calibri" w:hAnsi="Calibri"/>
                    <w:color w:val="000000"/>
                  </w:rPr>
                </w:pPr>
                <w:r>
                  <w:rPr>
                    <w:rFonts w:cs="Calibri" w:hint="eastAsia"/>
                    <w:color w:val="000000"/>
                  </w:rPr>
                  <w:t>6-9</w:t>
                </w:r>
              </w:p>
            </w:tc>
            <w:tc>
              <w:tcPr>
                <w:tcW w:w="1961" w:type="dxa"/>
                <w:tcBorders>
                  <w:top w:val="single" w:sz="4" w:space="0" w:color="auto"/>
                  <w:left w:val="single" w:sz="4" w:space="0" w:color="auto"/>
                  <w:bottom w:val="single" w:sz="4" w:space="0" w:color="auto"/>
                  <w:right w:val="single" w:sz="4" w:space="0" w:color="auto"/>
                </w:tcBorders>
                <w:vAlign w:val="center"/>
              </w:tcPr>
              <w:p w14:paraId="7EE945A7" w14:textId="77777777" w:rsidR="002D0AE7" w:rsidRDefault="00333EBB">
                <w:pPr>
                  <w:jc w:val="right"/>
                  <w:rPr>
                    <w:rFonts w:hint="eastAsia"/>
                    <w:color w:val="000000"/>
                  </w:rPr>
                </w:pPr>
                <w:r>
                  <w:rPr>
                    <w:rFonts w:cs="Calibri" w:hint="eastAsia"/>
                    <w:color w:val="000000"/>
                  </w:rPr>
                  <w:t>7.83</w:t>
                </w:r>
                <w:r>
                  <w:rPr>
                    <w:rFonts w:cs="Calibri"/>
                    <w:color w:val="000000"/>
                  </w:rPr>
                  <w:t>0</w:t>
                </w:r>
              </w:p>
            </w:tc>
            <w:tc>
              <w:tcPr>
                <w:tcW w:w="1103" w:type="dxa"/>
                <w:tcBorders>
                  <w:top w:val="single" w:sz="4" w:space="0" w:color="auto"/>
                  <w:left w:val="single" w:sz="4" w:space="0" w:color="auto"/>
                  <w:bottom w:val="single" w:sz="4" w:space="0" w:color="auto"/>
                  <w:right w:val="single" w:sz="4" w:space="0" w:color="auto"/>
                </w:tcBorders>
                <w:vAlign w:val="center"/>
              </w:tcPr>
              <w:p w14:paraId="562200F1" w14:textId="77777777" w:rsidR="002D0AE7" w:rsidRDefault="00333EBB">
                <w:pPr>
                  <w:jc w:val="right"/>
                  <w:rPr>
                    <w:rFonts w:hint="eastAsia"/>
                    <w:color w:val="000000"/>
                  </w:rPr>
                </w:pPr>
                <w:r>
                  <w:rPr>
                    <w:rFonts w:cs="Calibri" w:hint="eastAsia"/>
                    <w:color w:val="000000"/>
                  </w:rPr>
                  <w:t>/</w:t>
                </w:r>
              </w:p>
            </w:tc>
          </w:tr>
        </w:tbl>
        <w:p w14:paraId="7C723B4A" w14:textId="77777777" w:rsidR="002D0AE7" w:rsidRDefault="00333EBB">
          <w:pPr>
            <w:jc w:val="center"/>
            <w:rPr>
              <w:rFonts w:ascii="Calibri" w:hAnsi="Calibri" w:cs="Times New Roman"/>
              <w:b/>
              <w:bCs/>
              <w:color w:val="000000"/>
              <w:kern w:val="2"/>
            </w:rPr>
          </w:pPr>
          <w:r>
            <w:rPr>
              <w:rFonts w:hint="eastAsia"/>
              <w:b/>
              <w:bCs/>
              <w:color w:val="000000"/>
            </w:rPr>
            <w:t>废气污染物排放情况表</w:t>
          </w:r>
        </w:p>
        <w:tbl>
          <w:tblPr>
            <w:tblW w:w="56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794"/>
            <w:gridCol w:w="1186"/>
            <w:gridCol w:w="1702"/>
            <w:gridCol w:w="3828"/>
          </w:tblGrid>
          <w:tr w:rsidR="002D0AE7" w14:paraId="5DCFA5C5" w14:textId="77777777">
            <w:trPr>
              <w:trHeight w:val="552"/>
            </w:trPr>
            <w:tc>
              <w:tcPr>
                <w:tcW w:w="724" w:type="pct"/>
                <w:vMerge w:val="restart"/>
                <w:tcBorders>
                  <w:top w:val="single" w:sz="4" w:space="0" w:color="auto"/>
                  <w:left w:val="single" w:sz="4" w:space="0" w:color="auto"/>
                  <w:bottom w:val="single" w:sz="4" w:space="0" w:color="auto"/>
                  <w:right w:val="single" w:sz="4" w:space="0" w:color="auto"/>
                </w:tcBorders>
                <w:vAlign w:val="center"/>
              </w:tcPr>
              <w:p w14:paraId="455976CD" w14:textId="77777777" w:rsidR="002D0AE7" w:rsidRDefault="00333EBB">
                <w:pPr>
                  <w:jc w:val="center"/>
                  <w:rPr>
                    <w:rFonts w:hint="eastAsia"/>
                    <w:color w:val="000000"/>
                  </w:rPr>
                </w:pPr>
                <w:r>
                  <w:rPr>
                    <w:rFonts w:hint="eastAsia"/>
                    <w:color w:val="000000"/>
                  </w:rPr>
                  <w:t>公司名称</w:t>
                </w:r>
              </w:p>
            </w:tc>
            <w:tc>
              <w:tcPr>
                <w:tcW w:w="901" w:type="pct"/>
                <w:vMerge w:val="restart"/>
                <w:tcBorders>
                  <w:top w:val="single" w:sz="4" w:space="0" w:color="auto"/>
                  <w:left w:val="single" w:sz="4" w:space="0" w:color="auto"/>
                  <w:bottom w:val="single" w:sz="4" w:space="0" w:color="auto"/>
                  <w:right w:val="single" w:sz="4" w:space="0" w:color="auto"/>
                </w:tcBorders>
                <w:vAlign w:val="center"/>
              </w:tcPr>
              <w:p w14:paraId="142F6620" w14:textId="77777777" w:rsidR="002D0AE7" w:rsidRDefault="00333EBB">
                <w:pPr>
                  <w:jc w:val="center"/>
                  <w:rPr>
                    <w:rFonts w:hint="eastAsia"/>
                    <w:color w:val="000000"/>
                  </w:rPr>
                </w:pPr>
                <w:r>
                  <w:rPr>
                    <w:rFonts w:hint="eastAsia"/>
                    <w:color w:val="000000"/>
                  </w:rPr>
                  <w:t>污染物</w:t>
                </w:r>
              </w:p>
            </w:tc>
            <w:tc>
              <w:tcPr>
                <w:tcW w:w="596" w:type="pct"/>
                <w:vMerge w:val="restart"/>
                <w:tcBorders>
                  <w:top w:val="single" w:sz="4" w:space="0" w:color="auto"/>
                  <w:left w:val="single" w:sz="4" w:space="0" w:color="auto"/>
                  <w:bottom w:val="single" w:sz="4" w:space="0" w:color="auto"/>
                  <w:right w:val="single" w:sz="4" w:space="0" w:color="auto"/>
                </w:tcBorders>
                <w:vAlign w:val="center"/>
              </w:tcPr>
              <w:p w14:paraId="796D9052" w14:textId="77777777" w:rsidR="002D0AE7" w:rsidRDefault="00333EBB">
                <w:pPr>
                  <w:jc w:val="center"/>
                  <w:rPr>
                    <w:rFonts w:hint="eastAsia"/>
                    <w:color w:val="000000"/>
                  </w:rPr>
                </w:pPr>
                <w:r>
                  <w:rPr>
                    <w:rFonts w:hint="eastAsia"/>
                    <w:color w:val="000000"/>
                  </w:rPr>
                  <w:t>最高允许排放浓度</w:t>
                </w:r>
                <w:r>
                  <w:rPr>
                    <w:rFonts w:cs="Calibri" w:hint="eastAsia"/>
                    <w:color w:val="000000"/>
                  </w:rPr>
                  <w:t>(mg/m</w:t>
                </w:r>
                <w:r>
                  <w:rPr>
                    <w:rFonts w:cs="Calibri" w:hint="eastAsia"/>
                    <w:color w:val="000000"/>
                    <w:vertAlign w:val="superscript"/>
                  </w:rPr>
                  <w:t>3</w:t>
                </w:r>
                <w:r>
                  <w:rPr>
                    <w:rFonts w:cs="Calibri" w:hint="eastAsia"/>
                    <w:color w:val="000000"/>
                  </w:rPr>
                  <w:t>)</w:t>
                </w:r>
              </w:p>
            </w:tc>
            <w:tc>
              <w:tcPr>
                <w:tcW w:w="855" w:type="pct"/>
                <w:tcBorders>
                  <w:top w:val="single" w:sz="4" w:space="0" w:color="auto"/>
                  <w:left w:val="single" w:sz="4" w:space="0" w:color="auto"/>
                  <w:bottom w:val="single" w:sz="4" w:space="0" w:color="auto"/>
                  <w:right w:val="single" w:sz="4" w:space="0" w:color="auto"/>
                </w:tcBorders>
                <w:vAlign w:val="center"/>
              </w:tcPr>
              <w:p w14:paraId="7B468A8E" w14:textId="77777777" w:rsidR="002D0AE7" w:rsidRDefault="00333EBB">
                <w:pPr>
                  <w:jc w:val="center"/>
                  <w:rPr>
                    <w:rFonts w:hint="eastAsia"/>
                    <w:color w:val="000000"/>
                  </w:rPr>
                </w:pPr>
                <w:r>
                  <w:rPr>
                    <w:rFonts w:hint="eastAsia"/>
                    <w:color w:val="000000"/>
                  </w:rPr>
                  <w:t>排放浓度监测数据年平均值</w:t>
                </w:r>
                <w:r>
                  <w:rPr>
                    <w:rFonts w:cs="Calibri" w:hint="eastAsia"/>
                    <w:color w:val="000000"/>
                  </w:rPr>
                  <w:t>(mg/m</w:t>
                </w:r>
                <w:r>
                  <w:rPr>
                    <w:rFonts w:cs="Calibri" w:hint="eastAsia"/>
                    <w:color w:val="000000"/>
                    <w:vertAlign w:val="superscript"/>
                  </w:rPr>
                  <w:t>3</w:t>
                </w:r>
                <w:r>
                  <w:rPr>
                    <w:rFonts w:cs="Calibri" w:hint="eastAsia"/>
                    <w:color w:val="000000"/>
                  </w:rPr>
                  <w:t>)</w:t>
                </w:r>
              </w:p>
            </w:tc>
            <w:tc>
              <w:tcPr>
                <w:tcW w:w="1923" w:type="pct"/>
                <w:vMerge w:val="restart"/>
                <w:tcBorders>
                  <w:top w:val="single" w:sz="4" w:space="0" w:color="auto"/>
                  <w:left w:val="single" w:sz="4" w:space="0" w:color="auto"/>
                  <w:bottom w:val="single" w:sz="4" w:space="0" w:color="auto"/>
                  <w:right w:val="single" w:sz="4" w:space="0" w:color="auto"/>
                </w:tcBorders>
                <w:vAlign w:val="center"/>
              </w:tcPr>
              <w:p w14:paraId="5C3E51A9" w14:textId="77777777" w:rsidR="002D0AE7" w:rsidRDefault="00333EBB">
                <w:pPr>
                  <w:jc w:val="center"/>
                  <w:rPr>
                    <w:rFonts w:hint="eastAsia"/>
                    <w:color w:val="000000"/>
                  </w:rPr>
                </w:pPr>
                <w:r>
                  <w:rPr>
                    <w:rFonts w:hint="eastAsia"/>
                    <w:color w:val="000000"/>
                  </w:rPr>
                  <w:t>污染物排放执行标准</w:t>
                </w:r>
              </w:p>
            </w:tc>
          </w:tr>
          <w:tr w:rsidR="002D0AE7" w14:paraId="3C826C53" w14:textId="77777777">
            <w:trPr>
              <w:trHeight w:val="90"/>
            </w:trPr>
            <w:tc>
              <w:tcPr>
                <w:tcW w:w="724" w:type="pct"/>
                <w:vMerge/>
                <w:tcBorders>
                  <w:top w:val="single" w:sz="4" w:space="0" w:color="auto"/>
                  <w:left w:val="single" w:sz="4" w:space="0" w:color="auto"/>
                  <w:bottom w:val="single" w:sz="4" w:space="0" w:color="auto"/>
                  <w:right w:val="single" w:sz="4" w:space="0" w:color="auto"/>
                </w:tcBorders>
                <w:vAlign w:val="center"/>
              </w:tcPr>
              <w:p w14:paraId="02176D8E" w14:textId="77777777" w:rsidR="002D0AE7" w:rsidRDefault="002D0AE7">
                <w:pPr>
                  <w:rPr>
                    <w:rFonts w:ascii="Calibri" w:hAnsi="Calibri"/>
                    <w:color w:val="000000"/>
                    <w:kern w:val="2"/>
                  </w:rPr>
                </w:pPr>
              </w:p>
            </w:tc>
            <w:tc>
              <w:tcPr>
                <w:tcW w:w="901" w:type="pct"/>
                <w:vMerge/>
                <w:tcBorders>
                  <w:top w:val="single" w:sz="4" w:space="0" w:color="auto"/>
                  <w:left w:val="single" w:sz="4" w:space="0" w:color="auto"/>
                  <w:bottom w:val="single" w:sz="4" w:space="0" w:color="auto"/>
                  <w:right w:val="single" w:sz="4" w:space="0" w:color="auto"/>
                </w:tcBorders>
                <w:vAlign w:val="center"/>
              </w:tcPr>
              <w:p w14:paraId="57D2A525" w14:textId="77777777" w:rsidR="002D0AE7" w:rsidRDefault="002D0AE7">
                <w:pPr>
                  <w:rPr>
                    <w:rFonts w:ascii="Calibri" w:hAnsi="Calibri"/>
                    <w:color w:val="000000"/>
                    <w:kern w:val="2"/>
                  </w:rPr>
                </w:pPr>
              </w:p>
            </w:tc>
            <w:tc>
              <w:tcPr>
                <w:tcW w:w="596" w:type="pct"/>
                <w:vMerge/>
                <w:tcBorders>
                  <w:top w:val="single" w:sz="4" w:space="0" w:color="auto"/>
                  <w:left w:val="single" w:sz="4" w:space="0" w:color="auto"/>
                  <w:bottom w:val="single" w:sz="4" w:space="0" w:color="auto"/>
                  <w:right w:val="single" w:sz="4" w:space="0" w:color="auto"/>
                </w:tcBorders>
                <w:vAlign w:val="center"/>
              </w:tcPr>
              <w:p w14:paraId="47165E00" w14:textId="77777777" w:rsidR="002D0AE7" w:rsidRDefault="002D0AE7">
                <w:pPr>
                  <w:rPr>
                    <w:rFonts w:ascii="Calibri" w:hAnsi="Calibri"/>
                    <w:color w:val="000000"/>
                    <w:kern w:val="2"/>
                  </w:rPr>
                </w:pPr>
              </w:p>
            </w:tc>
            <w:tc>
              <w:tcPr>
                <w:tcW w:w="855" w:type="pct"/>
                <w:tcBorders>
                  <w:top w:val="single" w:sz="4" w:space="0" w:color="auto"/>
                  <w:left w:val="single" w:sz="4" w:space="0" w:color="auto"/>
                  <w:bottom w:val="single" w:sz="4" w:space="0" w:color="auto"/>
                  <w:right w:val="single" w:sz="4" w:space="0" w:color="auto"/>
                </w:tcBorders>
                <w:vAlign w:val="center"/>
              </w:tcPr>
              <w:p w14:paraId="40210383" w14:textId="77777777" w:rsidR="002D0AE7" w:rsidRDefault="00333EBB">
                <w:pPr>
                  <w:rPr>
                    <w:rFonts w:hint="eastAsia"/>
                    <w:color w:val="000000"/>
                  </w:rPr>
                </w:pPr>
                <w:r>
                  <w:rPr>
                    <w:rFonts w:cs="Calibri" w:hint="eastAsia"/>
                    <w:color w:val="000000"/>
                  </w:rPr>
                  <w:t>202</w:t>
                </w:r>
                <w:r>
                  <w:rPr>
                    <w:rFonts w:cs="Calibri"/>
                    <w:color w:val="000000"/>
                  </w:rPr>
                  <w:t>4</w:t>
                </w:r>
                <w:r>
                  <w:rPr>
                    <w:rFonts w:hint="eastAsia"/>
                    <w:color w:val="000000"/>
                  </w:rPr>
                  <w:t>年上半年</w:t>
                </w:r>
              </w:p>
            </w:tc>
            <w:tc>
              <w:tcPr>
                <w:tcW w:w="1923" w:type="pct"/>
                <w:vMerge/>
                <w:tcBorders>
                  <w:top w:val="single" w:sz="4" w:space="0" w:color="auto"/>
                  <w:left w:val="single" w:sz="4" w:space="0" w:color="auto"/>
                  <w:bottom w:val="single" w:sz="4" w:space="0" w:color="auto"/>
                  <w:right w:val="single" w:sz="4" w:space="0" w:color="auto"/>
                </w:tcBorders>
                <w:vAlign w:val="center"/>
              </w:tcPr>
              <w:p w14:paraId="4D908671" w14:textId="77777777" w:rsidR="002D0AE7" w:rsidRDefault="002D0AE7">
                <w:pPr>
                  <w:rPr>
                    <w:rFonts w:ascii="Calibri" w:hAnsi="Calibri"/>
                    <w:color w:val="000000"/>
                    <w:kern w:val="2"/>
                  </w:rPr>
                </w:pPr>
              </w:p>
            </w:tc>
          </w:tr>
          <w:tr w:rsidR="002D0AE7" w14:paraId="3F300EBC" w14:textId="77777777">
            <w:trPr>
              <w:trHeight w:val="556"/>
            </w:trPr>
            <w:tc>
              <w:tcPr>
                <w:tcW w:w="724" w:type="pct"/>
                <w:vMerge w:val="restart"/>
                <w:tcBorders>
                  <w:top w:val="nil"/>
                  <w:left w:val="single" w:sz="4" w:space="0" w:color="auto"/>
                  <w:bottom w:val="single" w:sz="4" w:space="0" w:color="auto"/>
                  <w:right w:val="single" w:sz="4" w:space="0" w:color="auto"/>
                </w:tcBorders>
                <w:vAlign w:val="center"/>
              </w:tcPr>
              <w:p w14:paraId="72828CBB" w14:textId="77777777" w:rsidR="002D0AE7" w:rsidRDefault="00333EBB">
                <w:pPr>
                  <w:rPr>
                    <w:rFonts w:hint="eastAsia"/>
                    <w:color w:val="000000"/>
                  </w:rPr>
                </w:pPr>
                <w:r>
                  <w:rPr>
                    <w:rFonts w:hint="eastAsia"/>
                    <w:color w:val="000000"/>
                  </w:rPr>
                  <w:t>津药药业股份有限公司</w:t>
                </w:r>
              </w:p>
            </w:tc>
            <w:tc>
              <w:tcPr>
                <w:tcW w:w="901" w:type="pct"/>
                <w:tcBorders>
                  <w:top w:val="single" w:sz="4" w:space="0" w:color="auto"/>
                  <w:left w:val="single" w:sz="4" w:space="0" w:color="auto"/>
                  <w:bottom w:val="single" w:sz="4" w:space="0" w:color="auto"/>
                  <w:right w:val="single" w:sz="4" w:space="0" w:color="auto"/>
                </w:tcBorders>
                <w:vAlign w:val="center"/>
              </w:tcPr>
              <w:p w14:paraId="155DE74F" w14:textId="77777777" w:rsidR="002D0AE7" w:rsidRDefault="00333EBB">
                <w:pPr>
                  <w:rPr>
                    <w:rFonts w:hint="eastAsia"/>
                    <w:color w:val="000000"/>
                  </w:rPr>
                </w:pPr>
                <w:r>
                  <w:rPr>
                    <w:rFonts w:hint="eastAsia"/>
                    <w:color w:val="000000"/>
                  </w:rPr>
                  <w:t>颗粒物</w:t>
                </w:r>
              </w:p>
            </w:tc>
            <w:tc>
              <w:tcPr>
                <w:tcW w:w="596" w:type="pct"/>
                <w:tcBorders>
                  <w:top w:val="single" w:sz="4" w:space="0" w:color="auto"/>
                  <w:left w:val="single" w:sz="4" w:space="0" w:color="auto"/>
                  <w:bottom w:val="single" w:sz="4" w:space="0" w:color="auto"/>
                  <w:right w:val="single" w:sz="4" w:space="0" w:color="auto"/>
                </w:tcBorders>
                <w:vAlign w:val="center"/>
              </w:tcPr>
              <w:p w14:paraId="4E7F8176" w14:textId="77777777" w:rsidR="002D0AE7" w:rsidRDefault="00333EBB">
                <w:pPr>
                  <w:jc w:val="center"/>
                  <w:rPr>
                    <w:rFonts w:hint="eastAsia"/>
                    <w:color w:val="000000"/>
                  </w:rPr>
                </w:pPr>
                <w:r>
                  <w:rPr>
                    <w:rFonts w:hint="eastAsia"/>
                    <w:color w:val="000000"/>
                  </w:rPr>
                  <w:t>2</w:t>
                </w:r>
                <w:r>
                  <w:rPr>
                    <w:color w:val="000000"/>
                  </w:rPr>
                  <w:t>0</w:t>
                </w:r>
              </w:p>
            </w:tc>
            <w:tc>
              <w:tcPr>
                <w:tcW w:w="855" w:type="pct"/>
                <w:tcBorders>
                  <w:top w:val="single" w:sz="4" w:space="0" w:color="auto"/>
                  <w:left w:val="single" w:sz="4" w:space="0" w:color="auto"/>
                  <w:bottom w:val="single" w:sz="4" w:space="0" w:color="auto"/>
                  <w:right w:val="single" w:sz="4" w:space="0" w:color="auto"/>
                </w:tcBorders>
                <w:vAlign w:val="center"/>
              </w:tcPr>
              <w:p w14:paraId="0C967BD0" w14:textId="77777777" w:rsidR="002D0AE7" w:rsidRDefault="00333EBB">
                <w:pPr>
                  <w:jc w:val="center"/>
                  <w:rPr>
                    <w:rFonts w:hint="eastAsia"/>
                    <w:color w:val="000000"/>
                  </w:rPr>
                </w:pPr>
                <w:r>
                  <w:rPr>
                    <w:rFonts w:hint="eastAsia"/>
                    <w:color w:val="000000"/>
                  </w:rPr>
                  <w:t>1</w:t>
                </w:r>
                <w:r>
                  <w:rPr>
                    <w:color w:val="000000"/>
                  </w:rPr>
                  <w:t>.77</w:t>
                </w:r>
              </w:p>
            </w:tc>
            <w:tc>
              <w:tcPr>
                <w:tcW w:w="1923" w:type="pct"/>
                <w:tcBorders>
                  <w:top w:val="single" w:sz="4" w:space="0" w:color="auto"/>
                  <w:left w:val="single" w:sz="4" w:space="0" w:color="auto"/>
                  <w:bottom w:val="single" w:sz="4" w:space="0" w:color="auto"/>
                  <w:right w:val="single" w:sz="4" w:space="0" w:color="auto"/>
                </w:tcBorders>
                <w:vAlign w:val="center"/>
              </w:tcPr>
              <w:p w14:paraId="04189C47" w14:textId="77777777" w:rsidR="002D0AE7" w:rsidRDefault="00333EBB">
                <w:pPr>
                  <w:rPr>
                    <w:rFonts w:hint="eastAsia"/>
                    <w:color w:val="000000"/>
                  </w:rPr>
                </w:pPr>
                <w:r>
                  <w:rPr>
                    <w:rFonts w:hint="eastAsia"/>
                    <w:color w:val="000000"/>
                  </w:rPr>
                  <w:t>制药工业大气污染物排放标准</w:t>
                </w:r>
                <w:r>
                  <w:rPr>
                    <w:rFonts w:cs="Calibri" w:hint="eastAsia"/>
                    <w:color w:val="000000"/>
                  </w:rPr>
                  <w:t>GB37823</w:t>
                </w:r>
                <w:r>
                  <w:rPr>
                    <w:rFonts w:hint="eastAsia"/>
                    <w:color w:val="000000"/>
                  </w:rPr>
                  <w:t>—</w:t>
                </w:r>
                <w:r>
                  <w:rPr>
                    <w:rFonts w:cs="Calibri" w:hint="eastAsia"/>
                    <w:color w:val="000000"/>
                  </w:rPr>
                  <w:t>2019</w:t>
                </w:r>
              </w:p>
            </w:tc>
          </w:tr>
          <w:tr w:rsidR="002D0AE7" w14:paraId="186B419F" w14:textId="77777777">
            <w:trPr>
              <w:trHeight w:val="556"/>
            </w:trPr>
            <w:tc>
              <w:tcPr>
                <w:tcW w:w="724" w:type="pct"/>
                <w:vMerge/>
                <w:tcBorders>
                  <w:top w:val="nil"/>
                  <w:left w:val="single" w:sz="4" w:space="0" w:color="auto"/>
                  <w:bottom w:val="single" w:sz="4" w:space="0" w:color="auto"/>
                  <w:right w:val="single" w:sz="4" w:space="0" w:color="auto"/>
                </w:tcBorders>
                <w:vAlign w:val="center"/>
              </w:tcPr>
              <w:p w14:paraId="31B20BF4" w14:textId="77777777" w:rsidR="002D0AE7" w:rsidRDefault="002D0AE7">
                <w:pPr>
                  <w:rPr>
                    <w:rFonts w:ascii="Calibri" w:hAnsi="Calibri"/>
                    <w:color w:val="000000"/>
                    <w:kern w:val="2"/>
                  </w:rPr>
                </w:pPr>
              </w:p>
            </w:tc>
            <w:tc>
              <w:tcPr>
                <w:tcW w:w="901" w:type="pct"/>
                <w:tcBorders>
                  <w:top w:val="single" w:sz="4" w:space="0" w:color="auto"/>
                  <w:left w:val="single" w:sz="4" w:space="0" w:color="auto"/>
                  <w:bottom w:val="single" w:sz="4" w:space="0" w:color="auto"/>
                  <w:right w:val="single" w:sz="4" w:space="0" w:color="auto"/>
                </w:tcBorders>
                <w:vAlign w:val="center"/>
              </w:tcPr>
              <w:p w14:paraId="16815853" w14:textId="77777777" w:rsidR="002D0AE7" w:rsidRDefault="00333EBB">
                <w:pPr>
                  <w:rPr>
                    <w:rFonts w:hint="eastAsia"/>
                    <w:color w:val="000000"/>
                  </w:rPr>
                </w:pPr>
                <w:r>
                  <w:rPr>
                    <w:rFonts w:hint="eastAsia"/>
                    <w:color w:val="000000"/>
                  </w:rPr>
                  <w:t>二氧化硫</w:t>
                </w:r>
              </w:p>
            </w:tc>
            <w:tc>
              <w:tcPr>
                <w:tcW w:w="596" w:type="pct"/>
                <w:tcBorders>
                  <w:top w:val="single" w:sz="4" w:space="0" w:color="auto"/>
                  <w:left w:val="single" w:sz="4" w:space="0" w:color="auto"/>
                  <w:bottom w:val="single" w:sz="4" w:space="0" w:color="auto"/>
                  <w:right w:val="single" w:sz="4" w:space="0" w:color="auto"/>
                </w:tcBorders>
                <w:vAlign w:val="center"/>
              </w:tcPr>
              <w:p w14:paraId="7B2622F8" w14:textId="77777777" w:rsidR="002D0AE7" w:rsidRDefault="00333EBB">
                <w:pPr>
                  <w:jc w:val="center"/>
                  <w:rPr>
                    <w:rFonts w:hint="eastAsia"/>
                    <w:color w:val="000000"/>
                    <w:sz w:val="22"/>
                    <w:szCs w:val="22"/>
                  </w:rPr>
                </w:pPr>
                <w:r>
                  <w:rPr>
                    <w:rFonts w:cs="Calibri" w:hint="eastAsia"/>
                    <w:color w:val="000000"/>
                    <w:sz w:val="22"/>
                    <w:szCs w:val="22"/>
                  </w:rPr>
                  <w:t>200</w:t>
                </w:r>
              </w:p>
            </w:tc>
            <w:tc>
              <w:tcPr>
                <w:tcW w:w="855" w:type="pct"/>
                <w:tcBorders>
                  <w:top w:val="single" w:sz="4" w:space="0" w:color="auto"/>
                  <w:left w:val="single" w:sz="4" w:space="0" w:color="auto"/>
                  <w:bottom w:val="single" w:sz="4" w:space="0" w:color="auto"/>
                  <w:right w:val="single" w:sz="4" w:space="0" w:color="auto"/>
                </w:tcBorders>
                <w:vAlign w:val="center"/>
              </w:tcPr>
              <w:p w14:paraId="0118747E" w14:textId="77777777" w:rsidR="002D0AE7" w:rsidRDefault="00333EBB">
                <w:pPr>
                  <w:jc w:val="center"/>
                  <w:rPr>
                    <w:rFonts w:hint="eastAsia"/>
                    <w:color w:val="000000"/>
                    <w:sz w:val="22"/>
                    <w:szCs w:val="22"/>
                  </w:rPr>
                </w:pPr>
                <w:r>
                  <w:rPr>
                    <w:rFonts w:cs="Calibri" w:hint="eastAsia"/>
                    <w:color w:val="000000"/>
                    <w:sz w:val="22"/>
                    <w:szCs w:val="22"/>
                  </w:rPr>
                  <w:t>2</w:t>
                </w:r>
              </w:p>
            </w:tc>
            <w:tc>
              <w:tcPr>
                <w:tcW w:w="1923" w:type="pct"/>
                <w:tcBorders>
                  <w:top w:val="single" w:sz="4" w:space="0" w:color="auto"/>
                  <w:left w:val="single" w:sz="4" w:space="0" w:color="auto"/>
                  <w:bottom w:val="single" w:sz="4" w:space="0" w:color="auto"/>
                  <w:right w:val="single" w:sz="4" w:space="0" w:color="auto"/>
                </w:tcBorders>
                <w:vAlign w:val="center"/>
              </w:tcPr>
              <w:p w14:paraId="2239A492" w14:textId="77777777" w:rsidR="002D0AE7" w:rsidRDefault="00333EBB">
                <w:pPr>
                  <w:rPr>
                    <w:rFonts w:hint="eastAsia"/>
                    <w:color w:val="000000"/>
                  </w:rPr>
                </w:pPr>
                <w:r>
                  <w:rPr>
                    <w:rFonts w:hint="eastAsia"/>
                    <w:color w:val="000000"/>
                  </w:rPr>
                  <w:t>制药工业大气污染物排放标准</w:t>
                </w:r>
                <w:r>
                  <w:rPr>
                    <w:rFonts w:cs="Calibri" w:hint="eastAsia"/>
                    <w:color w:val="000000"/>
                  </w:rPr>
                  <w:t>GB37823</w:t>
                </w:r>
                <w:r>
                  <w:rPr>
                    <w:rFonts w:hint="eastAsia"/>
                    <w:color w:val="000000"/>
                  </w:rPr>
                  <w:t>—</w:t>
                </w:r>
                <w:r>
                  <w:rPr>
                    <w:rFonts w:cs="Calibri" w:hint="eastAsia"/>
                    <w:color w:val="000000"/>
                  </w:rPr>
                  <w:t>2019</w:t>
                </w:r>
              </w:p>
            </w:tc>
          </w:tr>
          <w:tr w:rsidR="002D0AE7" w14:paraId="139BA6EB" w14:textId="77777777">
            <w:trPr>
              <w:trHeight w:val="556"/>
            </w:trPr>
            <w:tc>
              <w:tcPr>
                <w:tcW w:w="724" w:type="pct"/>
                <w:vMerge/>
                <w:tcBorders>
                  <w:top w:val="nil"/>
                  <w:left w:val="single" w:sz="4" w:space="0" w:color="auto"/>
                  <w:bottom w:val="single" w:sz="4" w:space="0" w:color="auto"/>
                  <w:right w:val="single" w:sz="4" w:space="0" w:color="auto"/>
                </w:tcBorders>
                <w:vAlign w:val="center"/>
              </w:tcPr>
              <w:p w14:paraId="65C121CD" w14:textId="77777777" w:rsidR="002D0AE7" w:rsidRDefault="002D0AE7">
                <w:pPr>
                  <w:rPr>
                    <w:rFonts w:ascii="Calibri" w:hAnsi="Calibri"/>
                    <w:color w:val="000000"/>
                    <w:kern w:val="2"/>
                  </w:rPr>
                </w:pPr>
              </w:p>
            </w:tc>
            <w:tc>
              <w:tcPr>
                <w:tcW w:w="901" w:type="pct"/>
                <w:tcBorders>
                  <w:top w:val="single" w:sz="4" w:space="0" w:color="auto"/>
                  <w:left w:val="single" w:sz="4" w:space="0" w:color="auto"/>
                  <w:bottom w:val="single" w:sz="4" w:space="0" w:color="auto"/>
                  <w:right w:val="single" w:sz="4" w:space="0" w:color="auto"/>
                </w:tcBorders>
                <w:vAlign w:val="center"/>
              </w:tcPr>
              <w:p w14:paraId="3D3A9E09" w14:textId="77777777" w:rsidR="002D0AE7" w:rsidRDefault="00333EBB">
                <w:pPr>
                  <w:rPr>
                    <w:rFonts w:hint="eastAsia"/>
                    <w:color w:val="000000"/>
                  </w:rPr>
                </w:pPr>
                <w:r>
                  <w:rPr>
                    <w:rFonts w:hint="eastAsia"/>
                    <w:color w:val="000000"/>
                  </w:rPr>
                  <w:t>氮氧化物</w:t>
                </w:r>
              </w:p>
            </w:tc>
            <w:tc>
              <w:tcPr>
                <w:tcW w:w="596" w:type="pct"/>
                <w:tcBorders>
                  <w:top w:val="single" w:sz="4" w:space="0" w:color="auto"/>
                  <w:left w:val="single" w:sz="4" w:space="0" w:color="auto"/>
                  <w:bottom w:val="single" w:sz="4" w:space="0" w:color="auto"/>
                  <w:right w:val="single" w:sz="4" w:space="0" w:color="auto"/>
                </w:tcBorders>
                <w:vAlign w:val="center"/>
              </w:tcPr>
              <w:p w14:paraId="0CCD984A" w14:textId="77777777" w:rsidR="002D0AE7" w:rsidRDefault="00333EBB">
                <w:pPr>
                  <w:jc w:val="center"/>
                  <w:rPr>
                    <w:rFonts w:hint="eastAsia"/>
                    <w:color w:val="000000"/>
                    <w:sz w:val="22"/>
                    <w:szCs w:val="22"/>
                  </w:rPr>
                </w:pPr>
                <w:r>
                  <w:rPr>
                    <w:rFonts w:cs="Calibri" w:hint="eastAsia"/>
                    <w:color w:val="000000"/>
                    <w:sz w:val="22"/>
                    <w:szCs w:val="22"/>
                  </w:rPr>
                  <w:t>200</w:t>
                </w:r>
              </w:p>
            </w:tc>
            <w:tc>
              <w:tcPr>
                <w:tcW w:w="855" w:type="pct"/>
                <w:tcBorders>
                  <w:top w:val="single" w:sz="4" w:space="0" w:color="auto"/>
                  <w:left w:val="single" w:sz="4" w:space="0" w:color="auto"/>
                  <w:bottom w:val="single" w:sz="4" w:space="0" w:color="auto"/>
                  <w:right w:val="single" w:sz="4" w:space="0" w:color="auto"/>
                </w:tcBorders>
                <w:vAlign w:val="center"/>
              </w:tcPr>
              <w:p w14:paraId="4657FA44" w14:textId="77777777" w:rsidR="002D0AE7" w:rsidRDefault="00333EBB">
                <w:pPr>
                  <w:jc w:val="center"/>
                  <w:rPr>
                    <w:rFonts w:hint="eastAsia"/>
                    <w:color w:val="000000"/>
                    <w:sz w:val="22"/>
                    <w:szCs w:val="22"/>
                  </w:rPr>
                </w:pPr>
                <w:r>
                  <w:rPr>
                    <w:rFonts w:cs="Calibri" w:hint="eastAsia"/>
                    <w:color w:val="000000"/>
                    <w:sz w:val="22"/>
                    <w:szCs w:val="22"/>
                  </w:rPr>
                  <w:t>1</w:t>
                </w:r>
              </w:p>
            </w:tc>
            <w:tc>
              <w:tcPr>
                <w:tcW w:w="1923" w:type="pct"/>
                <w:tcBorders>
                  <w:top w:val="single" w:sz="4" w:space="0" w:color="auto"/>
                  <w:left w:val="single" w:sz="4" w:space="0" w:color="auto"/>
                  <w:bottom w:val="single" w:sz="4" w:space="0" w:color="auto"/>
                  <w:right w:val="single" w:sz="4" w:space="0" w:color="auto"/>
                </w:tcBorders>
                <w:vAlign w:val="center"/>
              </w:tcPr>
              <w:p w14:paraId="3828E310" w14:textId="77777777" w:rsidR="002D0AE7" w:rsidRDefault="00333EBB">
                <w:pPr>
                  <w:rPr>
                    <w:rFonts w:hint="eastAsia"/>
                    <w:color w:val="000000"/>
                  </w:rPr>
                </w:pPr>
                <w:r>
                  <w:rPr>
                    <w:rFonts w:hint="eastAsia"/>
                    <w:color w:val="000000"/>
                  </w:rPr>
                  <w:t>制药工业大气污染物排放标准</w:t>
                </w:r>
                <w:r>
                  <w:rPr>
                    <w:rFonts w:cs="Calibri" w:hint="eastAsia"/>
                    <w:color w:val="000000"/>
                  </w:rPr>
                  <w:t>GB37823</w:t>
                </w:r>
                <w:r>
                  <w:rPr>
                    <w:rFonts w:hint="eastAsia"/>
                    <w:color w:val="000000"/>
                  </w:rPr>
                  <w:t>—</w:t>
                </w:r>
                <w:r>
                  <w:rPr>
                    <w:rFonts w:cs="Calibri" w:hint="eastAsia"/>
                    <w:color w:val="000000"/>
                  </w:rPr>
                  <w:t>2019</w:t>
                </w:r>
              </w:p>
            </w:tc>
          </w:tr>
          <w:tr w:rsidR="002D0AE7" w14:paraId="1C2CEE1F" w14:textId="77777777">
            <w:trPr>
              <w:trHeight w:val="556"/>
            </w:trPr>
            <w:tc>
              <w:tcPr>
                <w:tcW w:w="724" w:type="pct"/>
                <w:vMerge/>
                <w:tcBorders>
                  <w:top w:val="nil"/>
                  <w:left w:val="single" w:sz="4" w:space="0" w:color="auto"/>
                  <w:bottom w:val="single" w:sz="4" w:space="0" w:color="auto"/>
                  <w:right w:val="single" w:sz="4" w:space="0" w:color="auto"/>
                </w:tcBorders>
                <w:vAlign w:val="center"/>
              </w:tcPr>
              <w:p w14:paraId="555F517F" w14:textId="77777777" w:rsidR="002D0AE7" w:rsidRDefault="002D0AE7">
                <w:pPr>
                  <w:rPr>
                    <w:rFonts w:ascii="Calibri" w:hAnsi="Calibri"/>
                    <w:color w:val="000000"/>
                    <w:kern w:val="2"/>
                  </w:rPr>
                </w:pPr>
              </w:p>
            </w:tc>
            <w:tc>
              <w:tcPr>
                <w:tcW w:w="901" w:type="pct"/>
                <w:tcBorders>
                  <w:top w:val="single" w:sz="4" w:space="0" w:color="auto"/>
                  <w:left w:val="single" w:sz="4" w:space="0" w:color="auto"/>
                  <w:bottom w:val="single" w:sz="4" w:space="0" w:color="auto"/>
                  <w:right w:val="single" w:sz="4" w:space="0" w:color="auto"/>
                </w:tcBorders>
                <w:vAlign w:val="center"/>
              </w:tcPr>
              <w:p w14:paraId="44C663F5" w14:textId="77777777" w:rsidR="002D0AE7" w:rsidRDefault="00333EBB">
                <w:pPr>
                  <w:rPr>
                    <w:rFonts w:hint="eastAsia"/>
                    <w:color w:val="000000"/>
                  </w:rPr>
                </w:pPr>
                <w:r>
                  <w:rPr>
                    <w:rFonts w:cs="Calibri" w:hint="eastAsia"/>
                    <w:color w:val="000000"/>
                  </w:rPr>
                  <w:t>TRVOC</w:t>
                </w:r>
              </w:p>
            </w:tc>
            <w:tc>
              <w:tcPr>
                <w:tcW w:w="596" w:type="pct"/>
                <w:tcBorders>
                  <w:top w:val="single" w:sz="4" w:space="0" w:color="auto"/>
                  <w:left w:val="single" w:sz="4" w:space="0" w:color="auto"/>
                  <w:bottom w:val="single" w:sz="4" w:space="0" w:color="auto"/>
                  <w:right w:val="single" w:sz="4" w:space="0" w:color="auto"/>
                </w:tcBorders>
                <w:vAlign w:val="center"/>
              </w:tcPr>
              <w:p w14:paraId="09F57A49" w14:textId="77777777" w:rsidR="002D0AE7" w:rsidRDefault="00333EBB">
                <w:pPr>
                  <w:jc w:val="center"/>
                  <w:rPr>
                    <w:rFonts w:hint="eastAsia"/>
                    <w:color w:val="000000"/>
                    <w:sz w:val="22"/>
                    <w:szCs w:val="22"/>
                  </w:rPr>
                </w:pPr>
                <w:r>
                  <w:rPr>
                    <w:rFonts w:cs="Calibri" w:hint="eastAsia"/>
                    <w:color w:val="000000"/>
                    <w:sz w:val="22"/>
                    <w:szCs w:val="22"/>
                  </w:rPr>
                  <w:t>40</w:t>
                </w:r>
              </w:p>
            </w:tc>
            <w:tc>
              <w:tcPr>
                <w:tcW w:w="855" w:type="pct"/>
                <w:tcBorders>
                  <w:top w:val="single" w:sz="4" w:space="0" w:color="auto"/>
                  <w:left w:val="single" w:sz="4" w:space="0" w:color="auto"/>
                  <w:bottom w:val="single" w:sz="4" w:space="0" w:color="auto"/>
                  <w:right w:val="single" w:sz="4" w:space="0" w:color="auto"/>
                </w:tcBorders>
                <w:vAlign w:val="center"/>
              </w:tcPr>
              <w:p w14:paraId="2960F28D" w14:textId="77777777" w:rsidR="002D0AE7" w:rsidRDefault="00333EBB">
                <w:pPr>
                  <w:jc w:val="center"/>
                  <w:rPr>
                    <w:rFonts w:hint="eastAsia"/>
                    <w:color w:val="000000"/>
                    <w:sz w:val="22"/>
                    <w:szCs w:val="22"/>
                  </w:rPr>
                </w:pPr>
                <w:r>
                  <w:rPr>
                    <w:color w:val="000000"/>
                    <w:sz w:val="22"/>
                    <w:szCs w:val="22"/>
                  </w:rPr>
                  <w:t>10.02</w:t>
                </w:r>
              </w:p>
            </w:tc>
            <w:tc>
              <w:tcPr>
                <w:tcW w:w="1923" w:type="pct"/>
                <w:tcBorders>
                  <w:top w:val="single" w:sz="4" w:space="0" w:color="auto"/>
                  <w:left w:val="single" w:sz="4" w:space="0" w:color="auto"/>
                  <w:bottom w:val="single" w:sz="4" w:space="0" w:color="auto"/>
                  <w:right w:val="single" w:sz="4" w:space="0" w:color="auto"/>
                </w:tcBorders>
                <w:vAlign w:val="center"/>
              </w:tcPr>
              <w:p w14:paraId="0745CF43" w14:textId="77777777" w:rsidR="002D0AE7" w:rsidRDefault="00333EBB">
                <w:pPr>
                  <w:rPr>
                    <w:rFonts w:hint="eastAsia"/>
                    <w:color w:val="000000"/>
                  </w:rPr>
                </w:pPr>
                <w:r>
                  <w:rPr>
                    <w:rFonts w:hint="eastAsia"/>
                    <w:color w:val="000000"/>
                  </w:rPr>
                  <w:t>工业企业挥发性有机物排放控制标准</w:t>
                </w:r>
                <w:r>
                  <w:rPr>
                    <w:rFonts w:cs="Calibri" w:hint="eastAsia"/>
                    <w:color w:val="000000"/>
                  </w:rPr>
                  <w:t>DB12/524-2020</w:t>
                </w:r>
                <w:r>
                  <w:rPr>
                    <w:rFonts w:hint="eastAsia"/>
                    <w:color w:val="000000"/>
                  </w:rPr>
                  <w:t>医药制造</w:t>
                </w:r>
              </w:p>
            </w:tc>
          </w:tr>
          <w:tr w:rsidR="002D0AE7" w14:paraId="07FB5388" w14:textId="77777777">
            <w:trPr>
              <w:trHeight w:val="566"/>
            </w:trPr>
            <w:tc>
              <w:tcPr>
                <w:tcW w:w="724" w:type="pct"/>
                <w:vMerge/>
                <w:tcBorders>
                  <w:top w:val="nil"/>
                  <w:left w:val="single" w:sz="4" w:space="0" w:color="auto"/>
                  <w:bottom w:val="single" w:sz="4" w:space="0" w:color="auto"/>
                  <w:right w:val="single" w:sz="4" w:space="0" w:color="auto"/>
                </w:tcBorders>
                <w:vAlign w:val="center"/>
              </w:tcPr>
              <w:p w14:paraId="02B7D842" w14:textId="77777777" w:rsidR="002D0AE7" w:rsidRDefault="002D0AE7">
                <w:pPr>
                  <w:rPr>
                    <w:rFonts w:ascii="Calibri" w:hAnsi="Calibri"/>
                    <w:color w:val="000000"/>
                    <w:kern w:val="2"/>
                  </w:rPr>
                </w:pPr>
              </w:p>
            </w:tc>
            <w:tc>
              <w:tcPr>
                <w:tcW w:w="901" w:type="pct"/>
                <w:tcBorders>
                  <w:top w:val="single" w:sz="4" w:space="0" w:color="auto"/>
                  <w:left w:val="single" w:sz="4" w:space="0" w:color="auto"/>
                  <w:bottom w:val="single" w:sz="4" w:space="0" w:color="auto"/>
                  <w:right w:val="single" w:sz="4" w:space="0" w:color="auto"/>
                </w:tcBorders>
                <w:vAlign w:val="center"/>
              </w:tcPr>
              <w:p w14:paraId="61F009E8" w14:textId="77777777" w:rsidR="002D0AE7" w:rsidRDefault="00333EBB">
                <w:pPr>
                  <w:rPr>
                    <w:rFonts w:hint="eastAsia"/>
                    <w:color w:val="000000"/>
                  </w:rPr>
                </w:pPr>
                <w:r>
                  <w:rPr>
                    <w:rFonts w:hint="eastAsia"/>
                    <w:color w:val="000000"/>
                  </w:rPr>
                  <w:t>非甲烷总烃</w:t>
                </w:r>
              </w:p>
            </w:tc>
            <w:tc>
              <w:tcPr>
                <w:tcW w:w="596" w:type="pct"/>
                <w:tcBorders>
                  <w:top w:val="single" w:sz="4" w:space="0" w:color="auto"/>
                  <w:left w:val="single" w:sz="4" w:space="0" w:color="auto"/>
                  <w:bottom w:val="single" w:sz="4" w:space="0" w:color="auto"/>
                  <w:right w:val="single" w:sz="4" w:space="0" w:color="auto"/>
                </w:tcBorders>
                <w:vAlign w:val="center"/>
              </w:tcPr>
              <w:p w14:paraId="50B8F062" w14:textId="77777777" w:rsidR="002D0AE7" w:rsidRDefault="00333EBB">
                <w:pPr>
                  <w:jc w:val="center"/>
                  <w:rPr>
                    <w:rFonts w:hint="eastAsia"/>
                    <w:color w:val="000000"/>
                    <w:sz w:val="22"/>
                    <w:szCs w:val="22"/>
                  </w:rPr>
                </w:pPr>
                <w:r>
                  <w:rPr>
                    <w:rFonts w:cs="Calibri" w:hint="eastAsia"/>
                    <w:color w:val="000000"/>
                    <w:sz w:val="22"/>
                    <w:szCs w:val="22"/>
                  </w:rPr>
                  <w:t>40</w:t>
                </w:r>
              </w:p>
            </w:tc>
            <w:tc>
              <w:tcPr>
                <w:tcW w:w="855" w:type="pct"/>
                <w:tcBorders>
                  <w:top w:val="single" w:sz="4" w:space="0" w:color="auto"/>
                  <w:left w:val="single" w:sz="4" w:space="0" w:color="auto"/>
                  <w:bottom w:val="single" w:sz="4" w:space="0" w:color="auto"/>
                  <w:right w:val="single" w:sz="4" w:space="0" w:color="auto"/>
                </w:tcBorders>
                <w:vAlign w:val="center"/>
              </w:tcPr>
              <w:p w14:paraId="61EACE0B" w14:textId="77777777" w:rsidR="002D0AE7" w:rsidRDefault="00333EBB">
                <w:pPr>
                  <w:jc w:val="center"/>
                  <w:rPr>
                    <w:rFonts w:hint="eastAsia"/>
                    <w:color w:val="000000"/>
                    <w:sz w:val="22"/>
                    <w:szCs w:val="22"/>
                  </w:rPr>
                </w:pPr>
                <w:r>
                  <w:rPr>
                    <w:color w:val="000000"/>
                    <w:sz w:val="22"/>
                    <w:szCs w:val="22"/>
                  </w:rPr>
                  <w:t>5.04</w:t>
                </w:r>
              </w:p>
            </w:tc>
            <w:tc>
              <w:tcPr>
                <w:tcW w:w="1923" w:type="pct"/>
                <w:tcBorders>
                  <w:top w:val="single" w:sz="4" w:space="0" w:color="auto"/>
                  <w:left w:val="single" w:sz="4" w:space="0" w:color="auto"/>
                  <w:bottom w:val="single" w:sz="4" w:space="0" w:color="auto"/>
                  <w:right w:val="single" w:sz="4" w:space="0" w:color="auto"/>
                </w:tcBorders>
                <w:vAlign w:val="center"/>
              </w:tcPr>
              <w:p w14:paraId="07EF7229" w14:textId="77777777" w:rsidR="002D0AE7" w:rsidRDefault="00333EBB">
                <w:pPr>
                  <w:rPr>
                    <w:rFonts w:hint="eastAsia"/>
                    <w:color w:val="000000"/>
                  </w:rPr>
                </w:pPr>
                <w:r>
                  <w:rPr>
                    <w:rFonts w:hint="eastAsia"/>
                    <w:color w:val="000000"/>
                  </w:rPr>
                  <w:t>工业企业挥发性有机物排放控制标准</w:t>
                </w:r>
                <w:r>
                  <w:rPr>
                    <w:rFonts w:cs="Calibri" w:hint="eastAsia"/>
                    <w:color w:val="000000"/>
                  </w:rPr>
                  <w:t>DB12/524-2020</w:t>
                </w:r>
                <w:r>
                  <w:rPr>
                    <w:rFonts w:hint="eastAsia"/>
                    <w:color w:val="000000"/>
                  </w:rPr>
                  <w:t>医药制造</w:t>
                </w:r>
              </w:p>
            </w:tc>
          </w:tr>
          <w:tr w:rsidR="002D0AE7" w14:paraId="623496E4" w14:textId="77777777">
            <w:trPr>
              <w:trHeight w:val="548"/>
            </w:trPr>
            <w:tc>
              <w:tcPr>
                <w:tcW w:w="724" w:type="pct"/>
                <w:vMerge/>
                <w:tcBorders>
                  <w:top w:val="nil"/>
                  <w:left w:val="single" w:sz="4" w:space="0" w:color="auto"/>
                  <w:bottom w:val="single" w:sz="4" w:space="0" w:color="auto"/>
                  <w:right w:val="single" w:sz="4" w:space="0" w:color="auto"/>
                </w:tcBorders>
                <w:vAlign w:val="center"/>
              </w:tcPr>
              <w:p w14:paraId="4FC04A91" w14:textId="77777777" w:rsidR="002D0AE7" w:rsidRDefault="002D0AE7">
                <w:pPr>
                  <w:rPr>
                    <w:rFonts w:ascii="Calibri" w:hAnsi="Calibri"/>
                    <w:color w:val="000000"/>
                    <w:kern w:val="2"/>
                  </w:rPr>
                </w:pPr>
              </w:p>
            </w:tc>
            <w:tc>
              <w:tcPr>
                <w:tcW w:w="901" w:type="pct"/>
                <w:tcBorders>
                  <w:top w:val="single" w:sz="4" w:space="0" w:color="auto"/>
                  <w:left w:val="single" w:sz="4" w:space="0" w:color="auto"/>
                  <w:bottom w:val="single" w:sz="4" w:space="0" w:color="auto"/>
                  <w:right w:val="single" w:sz="4" w:space="0" w:color="auto"/>
                </w:tcBorders>
                <w:vAlign w:val="center"/>
              </w:tcPr>
              <w:p w14:paraId="1EF9856E" w14:textId="77777777" w:rsidR="002D0AE7" w:rsidRDefault="00333EBB">
                <w:pPr>
                  <w:rPr>
                    <w:rFonts w:hint="eastAsia"/>
                    <w:color w:val="000000"/>
                  </w:rPr>
                </w:pPr>
                <w:r>
                  <w:rPr>
                    <w:rFonts w:hint="eastAsia"/>
                    <w:color w:val="000000"/>
                  </w:rPr>
                  <w:t>氨</w:t>
                </w:r>
              </w:p>
            </w:tc>
            <w:tc>
              <w:tcPr>
                <w:tcW w:w="596" w:type="pct"/>
                <w:tcBorders>
                  <w:top w:val="single" w:sz="4" w:space="0" w:color="auto"/>
                  <w:left w:val="single" w:sz="4" w:space="0" w:color="auto"/>
                  <w:bottom w:val="single" w:sz="4" w:space="0" w:color="auto"/>
                  <w:right w:val="single" w:sz="4" w:space="0" w:color="auto"/>
                </w:tcBorders>
                <w:vAlign w:val="center"/>
              </w:tcPr>
              <w:p w14:paraId="65807DE3" w14:textId="77777777" w:rsidR="002D0AE7" w:rsidRDefault="00333EBB">
                <w:pPr>
                  <w:jc w:val="center"/>
                  <w:rPr>
                    <w:rFonts w:hint="eastAsia"/>
                    <w:color w:val="000000"/>
                    <w:sz w:val="22"/>
                    <w:szCs w:val="22"/>
                  </w:rPr>
                </w:pPr>
                <w:r>
                  <w:rPr>
                    <w:rFonts w:cs="Calibri" w:hint="eastAsia"/>
                    <w:color w:val="000000"/>
                    <w:sz w:val="22"/>
                    <w:szCs w:val="22"/>
                  </w:rPr>
                  <w:t>20</w:t>
                </w:r>
              </w:p>
            </w:tc>
            <w:tc>
              <w:tcPr>
                <w:tcW w:w="855" w:type="pct"/>
                <w:tcBorders>
                  <w:top w:val="single" w:sz="4" w:space="0" w:color="auto"/>
                  <w:left w:val="single" w:sz="4" w:space="0" w:color="auto"/>
                  <w:bottom w:val="single" w:sz="4" w:space="0" w:color="auto"/>
                  <w:right w:val="single" w:sz="4" w:space="0" w:color="auto"/>
                </w:tcBorders>
                <w:vAlign w:val="center"/>
              </w:tcPr>
              <w:p w14:paraId="0D6A5EC3" w14:textId="77777777" w:rsidR="002D0AE7" w:rsidRDefault="00333EBB">
                <w:pPr>
                  <w:jc w:val="center"/>
                  <w:rPr>
                    <w:rFonts w:hint="eastAsia"/>
                    <w:color w:val="000000"/>
                    <w:sz w:val="22"/>
                    <w:szCs w:val="22"/>
                  </w:rPr>
                </w:pPr>
                <w:r>
                  <w:rPr>
                    <w:color w:val="000000"/>
                    <w:sz w:val="22"/>
                    <w:szCs w:val="22"/>
                  </w:rPr>
                  <w:t>2.61</w:t>
                </w:r>
              </w:p>
            </w:tc>
            <w:tc>
              <w:tcPr>
                <w:tcW w:w="1923" w:type="pct"/>
                <w:tcBorders>
                  <w:top w:val="single" w:sz="4" w:space="0" w:color="auto"/>
                  <w:left w:val="single" w:sz="4" w:space="0" w:color="auto"/>
                  <w:bottom w:val="single" w:sz="4" w:space="0" w:color="auto"/>
                  <w:right w:val="single" w:sz="4" w:space="0" w:color="auto"/>
                </w:tcBorders>
                <w:vAlign w:val="center"/>
              </w:tcPr>
              <w:p w14:paraId="44C20487" w14:textId="77777777" w:rsidR="002D0AE7" w:rsidRDefault="00333EBB">
                <w:pPr>
                  <w:rPr>
                    <w:rFonts w:hint="eastAsia"/>
                    <w:color w:val="000000"/>
                  </w:rPr>
                </w:pPr>
                <w:r>
                  <w:rPr>
                    <w:rFonts w:hint="eastAsia"/>
                    <w:color w:val="000000"/>
                  </w:rPr>
                  <w:t>制药工业大气污染物排放标准</w:t>
                </w:r>
                <w:r>
                  <w:rPr>
                    <w:rFonts w:cs="Calibri" w:hint="eastAsia"/>
                    <w:color w:val="000000"/>
                  </w:rPr>
                  <w:t>GB37823</w:t>
                </w:r>
                <w:r>
                  <w:rPr>
                    <w:rFonts w:hint="eastAsia"/>
                    <w:color w:val="000000"/>
                  </w:rPr>
                  <w:t>—</w:t>
                </w:r>
                <w:r>
                  <w:rPr>
                    <w:rFonts w:cs="Calibri" w:hint="eastAsia"/>
                    <w:color w:val="000000"/>
                  </w:rPr>
                  <w:t>2019</w:t>
                </w:r>
              </w:p>
            </w:tc>
          </w:tr>
          <w:tr w:rsidR="002D0AE7" w14:paraId="0FBE6334" w14:textId="77777777">
            <w:trPr>
              <w:trHeight w:val="558"/>
            </w:trPr>
            <w:tc>
              <w:tcPr>
                <w:tcW w:w="724" w:type="pct"/>
                <w:vMerge/>
                <w:tcBorders>
                  <w:top w:val="nil"/>
                  <w:left w:val="single" w:sz="4" w:space="0" w:color="auto"/>
                  <w:bottom w:val="single" w:sz="4" w:space="0" w:color="auto"/>
                  <w:right w:val="single" w:sz="4" w:space="0" w:color="auto"/>
                </w:tcBorders>
                <w:vAlign w:val="center"/>
              </w:tcPr>
              <w:p w14:paraId="168D9F98" w14:textId="77777777" w:rsidR="002D0AE7" w:rsidRDefault="002D0AE7">
                <w:pPr>
                  <w:rPr>
                    <w:rFonts w:ascii="Calibri" w:hAnsi="Calibri"/>
                    <w:color w:val="000000"/>
                    <w:kern w:val="2"/>
                  </w:rPr>
                </w:pPr>
              </w:p>
            </w:tc>
            <w:tc>
              <w:tcPr>
                <w:tcW w:w="901" w:type="pct"/>
                <w:tcBorders>
                  <w:top w:val="single" w:sz="4" w:space="0" w:color="auto"/>
                  <w:left w:val="single" w:sz="4" w:space="0" w:color="auto"/>
                  <w:bottom w:val="single" w:sz="4" w:space="0" w:color="auto"/>
                  <w:right w:val="single" w:sz="4" w:space="0" w:color="auto"/>
                </w:tcBorders>
                <w:vAlign w:val="center"/>
              </w:tcPr>
              <w:p w14:paraId="523039DF" w14:textId="77777777" w:rsidR="002D0AE7" w:rsidRDefault="00333EBB">
                <w:pPr>
                  <w:rPr>
                    <w:rFonts w:hint="eastAsia"/>
                    <w:color w:val="000000"/>
                  </w:rPr>
                </w:pPr>
                <w:r>
                  <w:rPr>
                    <w:rFonts w:hint="eastAsia"/>
                    <w:color w:val="000000"/>
                  </w:rPr>
                  <w:t>硫化氢</w:t>
                </w:r>
              </w:p>
            </w:tc>
            <w:tc>
              <w:tcPr>
                <w:tcW w:w="596" w:type="pct"/>
                <w:tcBorders>
                  <w:top w:val="single" w:sz="4" w:space="0" w:color="auto"/>
                  <w:left w:val="single" w:sz="4" w:space="0" w:color="auto"/>
                  <w:bottom w:val="single" w:sz="4" w:space="0" w:color="auto"/>
                  <w:right w:val="single" w:sz="4" w:space="0" w:color="auto"/>
                </w:tcBorders>
                <w:vAlign w:val="center"/>
              </w:tcPr>
              <w:p w14:paraId="1F290DEF" w14:textId="77777777" w:rsidR="002D0AE7" w:rsidRDefault="00333EBB">
                <w:pPr>
                  <w:jc w:val="center"/>
                  <w:rPr>
                    <w:rFonts w:hint="eastAsia"/>
                    <w:color w:val="000000"/>
                    <w:sz w:val="22"/>
                    <w:szCs w:val="22"/>
                  </w:rPr>
                </w:pPr>
                <w:r>
                  <w:rPr>
                    <w:rFonts w:cs="Calibri" w:hint="eastAsia"/>
                    <w:color w:val="000000"/>
                    <w:sz w:val="22"/>
                    <w:szCs w:val="22"/>
                  </w:rPr>
                  <w:t>5</w:t>
                </w:r>
              </w:p>
            </w:tc>
            <w:tc>
              <w:tcPr>
                <w:tcW w:w="855" w:type="pct"/>
                <w:tcBorders>
                  <w:top w:val="single" w:sz="4" w:space="0" w:color="auto"/>
                  <w:left w:val="single" w:sz="4" w:space="0" w:color="auto"/>
                  <w:bottom w:val="single" w:sz="4" w:space="0" w:color="auto"/>
                  <w:right w:val="single" w:sz="4" w:space="0" w:color="auto"/>
                </w:tcBorders>
                <w:vAlign w:val="center"/>
              </w:tcPr>
              <w:p w14:paraId="05084F36" w14:textId="77777777" w:rsidR="002D0AE7" w:rsidRDefault="00333EBB">
                <w:pPr>
                  <w:jc w:val="center"/>
                  <w:rPr>
                    <w:rFonts w:hint="eastAsia"/>
                    <w:color w:val="000000"/>
                    <w:sz w:val="22"/>
                    <w:szCs w:val="22"/>
                  </w:rPr>
                </w:pPr>
                <w:r>
                  <w:rPr>
                    <w:rFonts w:cs="Calibri" w:hint="eastAsia"/>
                    <w:color w:val="000000"/>
                    <w:sz w:val="22"/>
                    <w:szCs w:val="22"/>
                  </w:rPr>
                  <w:t>0.17</w:t>
                </w:r>
              </w:p>
            </w:tc>
            <w:tc>
              <w:tcPr>
                <w:tcW w:w="1923" w:type="pct"/>
                <w:tcBorders>
                  <w:top w:val="single" w:sz="4" w:space="0" w:color="auto"/>
                  <w:left w:val="single" w:sz="4" w:space="0" w:color="auto"/>
                  <w:bottom w:val="single" w:sz="4" w:space="0" w:color="auto"/>
                  <w:right w:val="single" w:sz="4" w:space="0" w:color="auto"/>
                </w:tcBorders>
                <w:vAlign w:val="center"/>
              </w:tcPr>
              <w:p w14:paraId="2AD385BD" w14:textId="77777777" w:rsidR="002D0AE7" w:rsidRDefault="00333EBB">
                <w:pPr>
                  <w:rPr>
                    <w:rFonts w:hint="eastAsia"/>
                    <w:color w:val="000000"/>
                  </w:rPr>
                </w:pPr>
                <w:r>
                  <w:rPr>
                    <w:rFonts w:hint="eastAsia"/>
                    <w:color w:val="000000"/>
                  </w:rPr>
                  <w:t>制药工业大气污染物排放标准</w:t>
                </w:r>
                <w:r>
                  <w:rPr>
                    <w:rFonts w:cs="Calibri" w:hint="eastAsia"/>
                    <w:color w:val="000000"/>
                  </w:rPr>
                  <w:t>GB37823</w:t>
                </w:r>
                <w:r>
                  <w:rPr>
                    <w:rFonts w:hint="eastAsia"/>
                    <w:color w:val="000000"/>
                  </w:rPr>
                  <w:t>—</w:t>
                </w:r>
                <w:r>
                  <w:rPr>
                    <w:rFonts w:cs="Calibri" w:hint="eastAsia"/>
                    <w:color w:val="000000"/>
                  </w:rPr>
                  <w:t>2019</w:t>
                </w:r>
              </w:p>
            </w:tc>
          </w:tr>
          <w:tr w:rsidR="002D0AE7" w14:paraId="6D71D39B" w14:textId="77777777">
            <w:trPr>
              <w:trHeight w:val="567"/>
            </w:trPr>
            <w:tc>
              <w:tcPr>
                <w:tcW w:w="724" w:type="pct"/>
                <w:vMerge/>
                <w:tcBorders>
                  <w:top w:val="nil"/>
                  <w:left w:val="single" w:sz="4" w:space="0" w:color="auto"/>
                  <w:bottom w:val="single" w:sz="4" w:space="0" w:color="auto"/>
                  <w:right w:val="single" w:sz="4" w:space="0" w:color="auto"/>
                </w:tcBorders>
                <w:vAlign w:val="center"/>
              </w:tcPr>
              <w:p w14:paraId="15F07691" w14:textId="77777777" w:rsidR="002D0AE7" w:rsidRDefault="002D0AE7">
                <w:pPr>
                  <w:rPr>
                    <w:rFonts w:ascii="Calibri" w:hAnsi="Calibri"/>
                    <w:color w:val="000000"/>
                    <w:kern w:val="2"/>
                  </w:rPr>
                </w:pPr>
              </w:p>
            </w:tc>
            <w:tc>
              <w:tcPr>
                <w:tcW w:w="901" w:type="pct"/>
                <w:tcBorders>
                  <w:top w:val="single" w:sz="4" w:space="0" w:color="auto"/>
                  <w:left w:val="single" w:sz="4" w:space="0" w:color="auto"/>
                  <w:bottom w:val="single" w:sz="4" w:space="0" w:color="auto"/>
                  <w:right w:val="single" w:sz="4" w:space="0" w:color="auto"/>
                </w:tcBorders>
                <w:vAlign w:val="center"/>
              </w:tcPr>
              <w:p w14:paraId="450166C0" w14:textId="77777777" w:rsidR="002D0AE7" w:rsidRDefault="00333EBB">
                <w:pPr>
                  <w:rPr>
                    <w:rFonts w:hint="eastAsia"/>
                    <w:color w:val="000000"/>
                  </w:rPr>
                </w:pPr>
                <w:r>
                  <w:rPr>
                    <w:rFonts w:hint="eastAsia"/>
                    <w:color w:val="000000"/>
                  </w:rPr>
                  <w:t>氯化氢</w:t>
                </w:r>
              </w:p>
            </w:tc>
            <w:tc>
              <w:tcPr>
                <w:tcW w:w="596" w:type="pct"/>
                <w:tcBorders>
                  <w:top w:val="single" w:sz="4" w:space="0" w:color="auto"/>
                  <w:left w:val="single" w:sz="4" w:space="0" w:color="auto"/>
                  <w:bottom w:val="single" w:sz="4" w:space="0" w:color="auto"/>
                  <w:right w:val="single" w:sz="4" w:space="0" w:color="auto"/>
                </w:tcBorders>
                <w:vAlign w:val="center"/>
              </w:tcPr>
              <w:p w14:paraId="61CFB7ED" w14:textId="77777777" w:rsidR="002D0AE7" w:rsidRDefault="00333EBB">
                <w:pPr>
                  <w:jc w:val="center"/>
                  <w:rPr>
                    <w:rFonts w:hint="eastAsia"/>
                    <w:color w:val="000000"/>
                    <w:sz w:val="22"/>
                    <w:szCs w:val="22"/>
                  </w:rPr>
                </w:pPr>
                <w:r>
                  <w:rPr>
                    <w:rFonts w:cs="Calibri" w:hint="eastAsia"/>
                    <w:color w:val="000000"/>
                    <w:sz w:val="22"/>
                    <w:szCs w:val="22"/>
                  </w:rPr>
                  <w:t>30</w:t>
                </w:r>
              </w:p>
            </w:tc>
            <w:tc>
              <w:tcPr>
                <w:tcW w:w="855" w:type="pct"/>
                <w:tcBorders>
                  <w:top w:val="single" w:sz="4" w:space="0" w:color="auto"/>
                  <w:left w:val="single" w:sz="4" w:space="0" w:color="auto"/>
                  <w:bottom w:val="single" w:sz="4" w:space="0" w:color="auto"/>
                  <w:right w:val="single" w:sz="4" w:space="0" w:color="auto"/>
                </w:tcBorders>
                <w:vAlign w:val="center"/>
              </w:tcPr>
              <w:p w14:paraId="78CFF9AD" w14:textId="77777777" w:rsidR="002D0AE7" w:rsidRDefault="00333EBB">
                <w:pPr>
                  <w:jc w:val="center"/>
                  <w:rPr>
                    <w:rFonts w:hint="eastAsia"/>
                    <w:color w:val="000000"/>
                    <w:sz w:val="22"/>
                    <w:szCs w:val="22"/>
                  </w:rPr>
                </w:pPr>
                <w:r>
                  <w:rPr>
                    <w:color w:val="000000"/>
                    <w:sz w:val="22"/>
                    <w:szCs w:val="22"/>
                  </w:rPr>
                  <w:t>1.86</w:t>
                </w:r>
              </w:p>
            </w:tc>
            <w:tc>
              <w:tcPr>
                <w:tcW w:w="1923" w:type="pct"/>
                <w:tcBorders>
                  <w:top w:val="single" w:sz="4" w:space="0" w:color="auto"/>
                  <w:left w:val="single" w:sz="4" w:space="0" w:color="auto"/>
                  <w:bottom w:val="single" w:sz="4" w:space="0" w:color="auto"/>
                  <w:right w:val="single" w:sz="4" w:space="0" w:color="auto"/>
                </w:tcBorders>
                <w:vAlign w:val="center"/>
              </w:tcPr>
              <w:p w14:paraId="5DAA6858" w14:textId="77777777" w:rsidR="002D0AE7" w:rsidRDefault="00333EBB">
                <w:pPr>
                  <w:rPr>
                    <w:rFonts w:hint="eastAsia"/>
                    <w:color w:val="000000"/>
                  </w:rPr>
                </w:pPr>
                <w:r>
                  <w:rPr>
                    <w:rFonts w:hint="eastAsia"/>
                    <w:color w:val="000000"/>
                  </w:rPr>
                  <w:t>制药工业大气污染物排放标准</w:t>
                </w:r>
                <w:r>
                  <w:rPr>
                    <w:rFonts w:cs="Calibri" w:hint="eastAsia"/>
                    <w:color w:val="000000"/>
                  </w:rPr>
                  <w:t>GB37823</w:t>
                </w:r>
                <w:r>
                  <w:rPr>
                    <w:rFonts w:hint="eastAsia"/>
                    <w:color w:val="000000"/>
                  </w:rPr>
                  <w:t>—</w:t>
                </w:r>
                <w:r>
                  <w:rPr>
                    <w:rFonts w:cs="Calibri" w:hint="eastAsia"/>
                    <w:color w:val="000000"/>
                  </w:rPr>
                  <w:t>2019</w:t>
                </w:r>
              </w:p>
            </w:tc>
          </w:tr>
          <w:tr w:rsidR="002D0AE7" w14:paraId="622767E7" w14:textId="77777777">
            <w:trPr>
              <w:trHeight w:val="547"/>
            </w:trPr>
            <w:tc>
              <w:tcPr>
                <w:tcW w:w="724" w:type="pct"/>
                <w:vMerge/>
                <w:tcBorders>
                  <w:top w:val="nil"/>
                  <w:left w:val="single" w:sz="4" w:space="0" w:color="auto"/>
                  <w:bottom w:val="single" w:sz="4" w:space="0" w:color="auto"/>
                  <w:right w:val="single" w:sz="4" w:space="0" w:color="auto"/>
                </w:tcBorders>
                <w:vAlign w:val="center"/>
              </w:tcPr>
              <w:p w14:paraId="42CFC0C4" w14:textId="77777777" w:rsidR="002D0AE7" w:rsidRDefault="002D0AE7">
                <w:pPr>
                  <w:rPr>
                    <w:rFonts w:ascii="Calibri" w:hAnsi="Calibri"/>
                    <w:color w:val="000000"/>
                    <w:kern w:val="2"/>
                  </w:rPr>
                </w:pPr>
              </w:p>
            </w:tc>
            <w:tc>
              <w:tcPr>
                <w:tcW w:w="901" w:type="pct"/>
                <w:tcBorders>
                  <w:top w:val="single" w:sz="4" w:space="0" w:color="auto"/>
                  <w:left w:val="single" w:sz="4" w:space="0" w:color="auto"/>
                  <w:bottom w:val="single" w:sz="4" w:space="0" w:color="auto"/>
                  <w:right w:val="single" w:sz="4" w:space="0" w:color="auto"/>
                </w:tcBorders>
                <w:vAlign w:val="center"/>
              </w:tcPr>
              <w:p w14:paraId="372308EE" w14:textId="77777777" w:rsidR="002D0AE7" w:rsidRDefault="00333EBB">
                <w:pPr>
                  <w:rPr>
                    <w:rFonts w:hint="eastAsia"/>
                    <w:color w:val="000000"/>
                  </w:rPr>
                </w:pPr>
                <w:r>
                  <w:rPr>
                    <w:rFonts w:hint="eastAsia"/>
                    <w:color w:val="000000"/>
                  </w:rPr>
                  <w:t>臭气浓度</w:t>
                </w:r>
              </w:p>
            </w:tc>
            <w:tc>
              <w:tcPr>
                <w:tcW w:w="596" w:type="pct"/>
                <w:tcBorders>
                  <w:top w:val="single" w:sz="4" w:space="0" w:color="auto"/>
                  <w:left w:val="single" w:sz="4" w:space="0" w:color="auto"/>
                  <w:bottom w:val="single" w:sz="4" w:space="0" w:color="auto"/>
                  <w:right w:val="single" w:sz="4" w:space="0" w:color="auto"/>
                </w:tcBorders>
                <w:vAlign w:val="center"/>
              </w:tcPr>
              <w:p w14:paraId="561A5140" w14:textId="77777777" w:rsidR="002D0AE7" w:rsidRDefault="00333EBB">
                <w:pPr>
                  <w:jc w:val="center"/>
                  <w:rPr>
                    <w:rFonts w:hint="eastAsia"/>
                    <w:color w:val="000000"/>
                    <w:sz w:val="22"/>
                    <w:szCs w:val="22"/>
                  </w:rPr>
                </w:pPr>
                <w:r>
                  <w:rPr>
                    <w:rFonts w:cs="Calibri" w:hint="eastAsia"/>
                    <w:color w:val="000000"/>
                    <w:sz w:val="22"/>
                    <w:szCs w:val="22"/>
                  </w:rPr>
                  <w:t>1000</w:t>
                </w:r>
                <w:r>
                  <w:rPr>
                    <w:rFonts w:hint="eastAsia"/>
                    <w:color w:val="000000"/>
                    <w:sz w:val="22"/>
                    <w:szCs w:val="22"/>
                  </w:rPr>
                  <w:t>（无量纲）</w:t>
                </w:r>
              </w:p>
            </w:tc>
            <w:tc>
              <w:tcPr>
                <w:tcW w:w="855" w:type="pct"/>
                <w:tcBorders>
                  <w:top w:val="single" w:sz="4" w:space="0" w:color="auto"/>
                  <w:left w:val="single" w:sz="4" w:space="0" w:color="auto"/>
                  <w:bottom w:val="single" w:sz="4" w:space="0" w:color="auto"/>
                  <w:right w:val="single" w:sz="4" w:space="0" w:color="auto"/>
                </w:tcBorders>
                <w:vAlign w:val="center"/>
              </w:tcPr>
              <w:p w14:paraId="4AABE655" w14:textId="77777777" w:rsidR="002D0AE7" w:rsidRDefault="00333EBB">
                <w:pPr>
                  <w:jc w:val="center"/>
                  <w:rPr>
                    <w:rFonts w:hint="eastAsia"/>
                    <w:color w:val="000000"/>
                    <w:sz w:val="22"/>
                    <w:szCs w:val="22"/>
                  </w:rPr>
                </w:pPr>
                <w:r>
                  <w:rPr>
                    <w:color w:val="000000"/>
                    <w:sz w:val="22"/>
                    <w:szCs w:val="22"/>
                  </w:rPr>
                  <w:t>216.58</w:t>
                </w:r>
              </w:p>
            </w:tc>
            <w:tc>
              <w:tcPr>
                <w:tcW w:w="1923" w:type="pct"/>
                <w:tcBorders>
                  <w:top w:val="single" w:sz="4" w:space="0" w:color="auto"/>
                  <w:left w:val="single" w:sz="4" w:space="0" w:color="auto"/>
                  <w:bottom w:val="single" w:sz="4" w:space="0" w:color="auto"/>
                  <w:right w:val="single" w:sz="4" w:space="0" w:color="auto"/>
                </w:tcBorders>
                <w:vAlign w:val="center"/>
              </w:tcPr>
              <w:p w14:paraId="3FB01BCD" w14:textId="77777777" w:rsidR="002D0AE7" w:rsidRDefault="00333EBB">
                <w:pPr>
                  <w:rPr>
                    <w:rFonts w:hint="eastAsia"/>
                    <w:color w:val="000000"/>
                  </w:rPr>
                </w:pPr>
                <w:r>
                  <w:rPr>
                    <w:rFonts w:hint="eastAsia"/>
                    <w:color w:val="000000"/>
                  </w:rPr>
                  <w:t>恶臭污染物排放标准</w:t>
                </w:r>
                <w:r>
                  <w:rPr>
                    <w:rFonts w:cs="Calibri" w:hint="eastAsia"/>
                    <w:color w:val="000000"/>
                  </w:rPr>
                  <w:t>DB12/059-2018</w:t>
                </w:r>
              </w:p>
            </w:tc>
          </w:tr>
          <w:tr w:rsidR="002D0AE7" w14:paraId="5E6E96A6" w14:textId="77777777">
            <w:trPr>
              <w:trHeight w:val="547"/>
            </w:trPr>
            <w:tc>
              <w:tcPr>
                <w:tcW w:w="724" w:type="pct"/>
                <w:vMerge/>
                <w:tcBorders>
                  <w:top w:val="nil"/>
                  <w:left w:val="single" w:sz="4" w:space="0" w:color="auto"/>
                  <w:bottom w:val="single" w:sz="4" w:space="0" w:color="auto"/>
                  <w:right w:val="single" w:sz="4" w:space="0" w:color="auto"/>
                </w:tcBorders>
                <w:vAlign w:val="center"/>
              </w:tcPr>
              <w:p w14:paraId="1CCA005B" w14:textId="77777777" w:rsidR="002D0AE7" w:rsidRDefault="002D0AE7">
                <w:pPr>
                  <w:rPr>
                    <w:rFonts w:ascii="Calibri" w:hAnsi="Calibri"/>
                    <w:color w:val="000000"/>
                    <w:kern w:val="2"/>
                  </w:rPr>
                </w:pPr>
              </w:p>
            </w:tc>
            <w:tc>
              <w:tcPr>
                <w:tcW w:w="901" w:type="pct"/>
                <w:tcBorders>
                  <w:top w:val="single" w:sz="4" w:space="0" w:color="auto"/>
                  <w:left w:val="single" w:sz="4" w:space="0" w:color="auto"/>
                  <w:bottom w:val="single" w:sz="4" w:space="0" w:color="auto"/>
                  <w:right w:val="single" w:sz="4" w:space="0" w:color="auto"/>
                </w:tcBorders>
                <w:vAlign w:val="center"/>
              </w:tcPr>
              <w:p w14:paraId="0C7C6B11" w14:textId="77777777" w:rsidR="002D0AE7" w:rsidRDefault="00333EBB">
                <w:pPr>
                  <w:rPr>
                    <w:rFonts w:hint="eastAsia"/>
                    <w:color w:val="000000"/>
                  </w:rPr>
                </w:pPr>
                <w:r>
                  <w:rPr>
                    <w:rFonts w:hint="eastAsia"/>
                    <w:color w:val="000000"/>
                  </w:rPr>
                  <w:t>二噁英类</w:t>
                </w:r>
              </w:p>
            </w:tc>
            <w:tc>
              <w:tcPr>
                <w:tcW w:w="596" w:type="pct"/>
                <w:tcBorders>
                  <w:top w:val="single" w:sz="4" w:space="0" w:color="auto"/>
                  <w:left w:val="single" w:sz="4" w:space="0" w:color="auto"/>
                  <w:bottom w:val="single" w:sz="4" w:space="0" w:color="auto"/>
                  <w:right w:val="single" w:sz="4" w:space="0" w:color="auto"/>
                </w:tcBorders>
                <w:vAlign w:val="center"/>
              </w:tcPr>
              <w:p w14:paraId="1C243402" w14:textId="77777777" w:rsidR="002D0AE7" w:rsidRDefault="00333EBB">
                <w:pPr>
                  <w:jc w:val="center"/>
                  <w:rPr>
                    <w:rFonts w:hint="eastAsia"/>
                    <w:color w:val="000000"/>
                    <w:sz w:val="22"/>
                    <w:szCs w:val="22"/>
                  </w:rPr>
                </w:pPr>
                <w:r>
                  <w:rPr>
                    <w:rFonts w:cs="Calibri" w:hint="eastAsia"/>
                    <w:color w:val="000000"/>
                    <w:sz w:val="22"/>
                    <w:szCs w:val="22"/>
                  </w:rPr>
                  <w:t>0.1ng-TEQ/m</w:t>
                </w:r>
                <w:r>
                  <w:rPr>
                    <w:rFonts w:cs="Calibri" w:hint="eastAsia"/>
                    <w:color w:val="000000"/>
                    <w:sz w:val="22"/>
                    <w:szCs w:val="22"/>
                    <w:vertAlign w:val="superscript"/>
                  </w:rPr>
                  <w:t>3</w:t>
                </w:r>
              </w:p>
            </w:tc>
            <w:tc>
              <w:tcPr>
                <w:tcW w:w="855" w:type="pct"/>
                <w:tcBorders>
                  <w:top w:val="single" w:sz="4" w:space="0" w:color="auto"/>
                  <w:left w:val="single" w:sz="4" w:space="0" w:color="auto"/>
                  <w:bottom w:val="single" w:sz="4" w:space="0" w:color="auto"/>
                  <w:right w:val="single" w:sz="4" w:space="0" w:color="auto"/>
                </w:tcBorders>
                <w:vAlign w:val="center"/>
              </w:tcPr>
              <w:p w14:paraId="33EBF97C" w14:textId="77777777" w:rsidR="002D0AE7" w:rsidRDefault="00333EBB">
                <w:pPr>
                  <w:jc w:val="center"/>
                  <w:rPr>
                    <w:rFonts w:hint="eastAsia"/>
                    <w:color w:val="000000"/>
                    <w:sz w:val="22"/>
                    <w:szCs w:val="22"/>
                  </w:rPr>
                </w:pPr>
                <w:r>
                  <w:rPr>
                    <w:color w:val="000000"/>
                    <w:sz w:val="22"/>
                    <w:szCs w:val="22"/>
                  </w:rPr>
                  <w:t>0.0039</w:t>
                </w:r>
              </w:p>
            </w:tc>
            <w:tc>
              <w:tcPr>
                <w:tcW w:w="1923" w:type="pct"/>
                <w:tcBorders>
                  <w:top w:val="single" w:sz="4" w:space="0" w:color="auto"/>
                  <w:left w:val="single" w:sz="4" w:space="0" w:color="auto"/>
                  <w:bottom w:val="single" w:sz="4" w:space="0" w:color="auto"/>
                  <w:right w:val="single" w:sz="4" w:space="0" w:color="auto"/>
                </w:tcBorders>
                <w:vAlign w:val="center"/>
              </w:tcPr>
              <w:p w14:paraId="7ECECBD5" w14:textId="77777777" w:rsidR="002D0AE7" w:rsidRDefault="00333EBB">
                <w:pPr>
                  <w:rPr>
                    <w:rFonts w:hint="eastAsia"/>
                    <w:color w:val="000000"/>
                  </w:rPr>
                </w:pPr>
                <w:r>
                  <w:rPr>
                    <w:rFonts w:hint="eastAsia"/>
                    <w:color w:val="000000"/>
                  </w:rPr>
                  <w:t>制药工业大气污染物排放标准</w:t>
                </w:r>
                <w:r>
                  <w:rPr>
                    <w:rFonts w:cs="Calibri" w:hint="eastAsia"/>
                    <w:color w:val="000000"/>
                  </w:rPr>
                  <w:t>GB37823</w:t>
                </w:r>
                <w:r>
                  <w:rPr>
                    <w:rFonts w:hint="eastAsia"/>
                    <w:color w:val="000000"/>
                  </w:rPr>
                  <w:t>—</w:t>
                </w:r>
                <w:r>
                  <w:rPr>
                    <w:rFonts w:cs="Calibri" w:hint="eastAsia"/>
                    <w:color w:val="000000"/>
                  </w:rPr>
                  <w:t>2019</w:t>
                </w:r>
              </w:p>
            </w:tc>
          </w:tr>
          <w:tr w:rsidR="002D0AE7" w14:paraId="0F7A5AB2" w14:textId="77777777">
            <w:trPr>
              <w:trHeight w:val="547"/>
            </w:trPr>
            <w:tc>
              <w:tcPr>
                <w:tcW w:w="724" w:type="pct"/>
                <w:vMerge/>
                <w:tcBorders>
                  <w:top w:val="nil"/>
                  <w:left w:val="single" w:sz="4" w:space="0" w:color="auto"/>
                  <w:bottom w:val="single" w:sz="4" w:space="0" w:color="auto"/>
                  <w:right w:val="single" w:sz="4" w:space="0" w:color="auto"/>
                </w:tcBorders>
                <w:vAlign w:val="center"/>
              </w:tcPr>
              <w:p w14:paraId="53964A47" w14:textId="77777777" w:rsidR="002D0AE7" w:rsidRDefault="002D0AE7">
                <w:pPr>
                  <w:rPr>
                    <w:rFonts w:ascii="Calibri" w:hAnsi="Calibri"/>
                    <w:color w:val="000000"/>
                    <w:kern w:val="2"/>
                  </w:rPr>
                </w:pPr>
              </w:p>
            </w:tc>
            <w:tc>
              <w:tcPr>
                <w:tcW w:w="901" w:type="pct"/>
                <w:tcBorders>
                  <w:top w:val="single" w:sz="4" w:space="0" w:color="auto"/>
                  <w:left w:val="single" w:sz="4" w:space="0" w:color="auto"/>
                  <w:bottom w:val="single" w:sz="4" w:space="0" w:color="auto"/>
                  <w:right w:val="single" w:sz="4" w:space="0" w:color="auto"/>
                </w:tcBorders>
                <w:vAlign w:val="center"/>
              </w:tcPr>
              <w:p w14:paraId="47AC55D1" w14:textId="77777777" w:rsidR="002D0AE7" w:rsidRDefault="00333EBB">
                <w:pPr>
                  <w:rPr>
                    <w:rFonts w:hint="eastAsia"/>
                    <w:color w:val="000000"/>
                  </w:rPr>
                </w:pPr>
                <w:r>
                  <w:rPr>
                    <w:rFonts w:hint="eastAsia"/>
                    <w:color w:val="000000"/>
                  </w:rPr>
                  <w:t>乙酸乙酯</w:t>
                </w:r>
              </w:p>
            </w:tc>
            <w:tc>
              <w:tcPr>
                <w:tcW w:w="596" w:type="pct"/>
                <w:tcBorders>
                  <w:top w:val="single" w:sz="4" w:space="0" w:color="auto"/>
                  <w:left w:val="single" w:sz="4" w:space="0" w:color="auto"/>
                  <w:bottom w:val="single" w:sz="4" w:space="0" w:color="auto"/>
                  <w:right w:val="single" w:sz="4" w:space="0" w:color="auto"/>
                </w:tcBorders>
                <w:vAlign w:val="center"/>
              </w:tcPr>
              <w:p w14:paraId="39650C77" w14:textId="77777777" w:rsidR="002D0AE7" w:rsidRDefault="00333EBB">
                <w:pPr>
                  <w:jc w:val="center"/>
                  <w:rPr>
                    <w:rFonts w:hint="eastAsia"/>
                    <w:color w:val="000000"/>
                    <w:sz w:val="22"/>
                    <w:szCs w:val="22"/>
                  </w:rPr>
                </w:pPr>
                <w:r>
                  <w:rPr>
                    <w:rFonts w:cs="Calibri" w:hint="eastAsia"/>
                    <w:color w:val="000000"/>
                    <w:sz w:val="22"/>
                    <w:szCs w:val="22"/>
                  </w:rPr>
                  <w:t>/</w:t>
                </w:r>
              </w:p>
            </w:tc>
            <w:tc>
              <w:tcPr>
                <w:tcW w:w="855" w:type="pct"/>
                <w:tcBorders>
                  <w:top w:val="single" w:sz="4" w:space="0" w:color="auto"/>
                  <w:left w:val="single" w:sz="4" w:space="0" w:color="auto"/>
                  <w:bottom w:val="single" w:sz="4" w:space="0" w:color="auto"/>
                  <w:right w:val="single" w:sz="4" w:space="0" w:color="auto"/>
                </w:tcBorders>
                <w:vAlign w:val="center"/>
              </w:tcPr>
              <w:p w14:paraId="749C0D64" w14:textId="77777777" w:rsidR="002D0AE7" w:rsidRDefault="00333EBB">
                <w:pPr>
                  <w:jc w:val="center"/>
                  <w:rPr>
                    <w:rFonts w:hint="eastAsia"/>
                    <w:color w:val="000000"/>
                    <w:sz w:val="22"/>
                    <w:szCs w:val="22"/>
                  </w:rPr>
                </w:pPr>
                <w:r>
                  <w:rPr>
                    <w:color w:val="000000"/>
                    <w:sz w:val="22"/>
                    <w:szCs w:val="22"/>
                  </w:rPr>
                  <w:t>0.0092</w:t>
                </w:r>
              </w:p>
            </w:tc>
            <w:tc>
              <w:tcPr>
                <w:tcW w:w="1923" w:type="pct"/>
                <w:tcBorders>
                  <w:top w:val="single" w:sz="4" w:space="0" w:color="auto"/>
                  <w:left w:val="single" w:sz="4" w:space="0" w:color="auto"/>
                  <w:bottom w:val="single" w:sz="4" w:space="0" w:color="auto"/>
                  <w:right w:val="single" w:sz="4" w:space="0" w:color="auto"/>
                </w:tcBorders>
                <w:vAlign w:val="center"/>
              </w:tcPr>
              <w:p w14:paraId="21BA9F34" w14:textId="77777777" w:rsidR="002D0AE7" w:rsidRDefault="00333EBB">
                <w:pPr>
                  <w:rPr>
                    <w:rFonts w:hint="eastAsia"/>
                    <w:color w:val="000000"/>
                  </w:rPr>
                </w:pPr>
                <w:r>
                  <w:rPr>
                    <w:rFonts w:hint="eastAsia"/>
                    <w:color w:val="000000"/>
                  </w:rPr>
                  <w:t>恶臭污染物排放标准</w:t>
                </w:r>
                <w:r>
                  <w:rPr>
                    <w:rFonts w:cs="Calibri" w:hint="eastAsia"/>
                    <w:color w:val="000000"/>
                  </w:rPr>
                  <w:t>DB12/059-2018</w:t>
                </w:r>
              </w:p>
            </w:tc>
          </w:tr>
          <w:tr w:rsidR="002D0AE7" w14:paraId="3FA8526A" w14:textId="77777777">
            <w:trPr>
              <w:trHeight w:val="547"/>
            </w:trPr>
            <w:tc>
              <w:tcPr>
                <w:tcW w:w="724" w:type="pct"/>
                <w:vMerge/>
                <w:tcBorders>
                  <w:top w:val="nil"/>
                  <w:left w:val="single" w:sz="4" w:space="0" w:color="auto"/>
                  <w:bottom w:val="single" w:sz="4" w:space="0" w:color="auto"/>
                  <w:right w:val="single" w:sz="4" w:space="0" w:color="auto"/>
                </w:tcBorders>
                <w:vAlign w:val="center"/>
              </w:tcPr>
              <w:p w14:paraId="63F6191B" w14:textId="77777777" w:rsidR="002D0AE7" w:rsidRDefault="002D0AE7">
                <w:pPr>
                  <w:rPr>
                    <w:rFonts w:ascii="Calibri" w:hAnsi="Calibri"/>
                    <w:color w:val="000000"/>
                    <w:kern w:val="2"/>
                  </w:rPr>
                </w:pPr>
              </w:p>
            </w:tc>
            <w:tc>
              <w:tcPr>
                <w:tcW w:w="901" w:type="pct"/>
                <w:tcBorders>
                  <w:top w:val="single" w:sz="4" w:space="0" w:color="auto"/>
                  <w:left w:val="single" w:sz="4" w:space="0" w:color="auto"/>
                  <w:bottom w:val="single" w:sz="4" w:space="0" w:color="auto"/>
                  <w:right w:val="single" w:sz="4" w:space="0" w:color="auto"/>
                </w:tcBorders>
                <w:vAlign w:val="center"/>
              </w:tcPr>
              <w:p w14:paraId="732E14B8" w14:textId="77777777" w:rsidR="002D0AE7" w:rsidRDefault="00333EBB">
                <w:pPr>
                  <w:rPr>
                    <w:rFonts w:hint="eastAsia"/>
                    <w:color w:val="000000"/>
                  </w:rPr>
                </w:pPr>
                <w:r>
                  <w:rPr>
                    <w:rFonts w:hint="eastAsia"/>
                    <w:color w:val="000000"/>
                  </w:rPr>
                  <w:t>苯系物</w:t>
                </w:r>
              </w:p>
            </w:tc>
            <w:tc>
              <w:tcPr>
                <w:tcW w:w="596" w:type="pct"/>
                <w:tcBorders>
                  <w:top w:val="single" w:sz="4" w:space="0" w:color="auto"/>
                  <w:left w:val="single" w:sz="4" w:space="0" w:color="auto"/>
                  <w:bottom w:val="single" w:sz="4" w:space="0" w:color="auto"/>
                  <w:right w:val="single" w:sz="4" w:space="0" w:color="auto"/>
                </w:tcBorders>
                <w:vAlign w:val="center"/>
              </w:tcPr>
              <w:p w14:paraId="49DDD6F9" w14:textId="77777777" w:rsidR="002D0AE7" w:rsidRDefault="00333EBB">
                <w:pPr>
                  <w:jc w:val="center"/>
                  <w:rPr>
                    <w:rFonts w:hint="eastAsia"/>
                    <w:color w:val="000000"/>
                    <w:sz w:val="22"/>
                    <w:szCs w:val="22"/>
                  </w:rPr>
                </w:pPr>
                <w:r>
                  <w:rPr>
                    <w:rFonts w:cs="Calibri" w:hint="eastAsia"/>
                    <w:color w:val="000000"/>
                    <w:sz w:val="22"/>
                    <w:szCs w:val="22"/>
                  </w:rPr>
                  <w:t>40</w:t>
                </w:r>
              </w:p>
            </w:tc>
            <w:tc>
              <w:tcPr>
                <w:tcW w:w="855" w:type="pct"/>
                <w:tcBorders>
                  <w:top w:val="single" w:sz="4" w:space="0" w:color="auto"/>
                  <w:left w:val="single" w:sz="4" w:space="0" w:color="auto"/>
                  <w:bottom w:val="single" w:sz="4" w:space="0" w:color="auto"/>
                  <w:right w:val="single" w:sz="4" w:space="0" w:color="auto"/>
                </w:tcBorders>
                <w:vAlign w:val="center"/>
              </w:tcPr>
              <w:p w14:paraId="5E8CD94F" w14:textId="77777777" w:rsidR="002D0AE7" w:rsidRDefault="00333EBB">
                <w:pPr>
                  <w:jc w:val="center"/>
                  <w:rPr>
                    <w:rFonts w:hint="eastAsia"/>
                    <w:color w:val="000000"/>
                    <w:sz w:val="22"/>
                    <w:szCs w:val="22"/>
                  </w:rPr>
                </w:pPr>
                <w:r>
                  <w:rPr>
                    <w:rFonts w:hint="eastAsia"/>
                    <w:color w:val="000000"/>
                    <w:sz w:val="22"/>
                    <w:szCs w:val="22"/>
                  </w:rPr>
                  <w:t>未检出</w:t>
                </w:r>
              </w:p>
            </w:tc>
            <w:tc>
              <w:tcPr>
                <w:tcW w:w="1923" w:type="pct"/>
                <w:tcBorders>
                  <w:top w:val="single" w:sz="4" w:space="0" w:color="auto"/>
                  <w:left w:val="single" w:sz="4" w:space="0" w:color="auto"/>
                  <w:bottom w:val="single" w:sz="4" w:space="0" w:color="auto"/>
                  <w:right w:val="single" w:sz="4" w:space="0" w:color="auto"/>
                </w:tcBorders>
                <w:vAlign w:val="center"/>
              </w:tcPr>
              <w:p w14:paraId="5C799725" w14:textId="77777777" w:rsidR="002D0AE7" w:rsidRDefault="00333EBB">
                <w:pPr>
                  <w:rPr>
                    <w:rFonts w:hint="eastAsia"/>
                    <w:color w:val="000000"/>
                  </w:rPr>
                </w:pPr>
                <w:r>
                  <w:rPr>
                    <w:rFonts w:hint="eastAsia"/>
                    <w:color w:val="000000"/>
                  </w:rPr>
                  <w:t>制药工业大气污染物排放标准</w:t>
                </w:r>
                <w:r>
                  <w:rPr>
                    <w:rFonts w:cs="Calibri" w:hint="eastAsia"/>
                    <w:color w:val="000000"/>
                  </w:rPr>
                  <w:t>GB37823</w:t>
                </w:r>
                <w:r>
                  <w:rPr>
                    <w:rFonts w:hint="eastAsia"/>
                    <w:color w:val="000000"/>
                  </w:rPr>
                  <w:t>—</w:t>
                </w:r>
                <w:r>
                  <w:rPr>
                    <w:rFonts w:cs="Calibri" w:hint="eastAsia"/>
                    <w:color w:val="000000"/>
                  </w:rPr>
                  <w:t>2019</w:t>
                </w:r>
              </w:p>
            </w:tc>
          </w:tr>
          <w:tr w:rsidR="002D0AE7" w14:paraId="3681830B" w14:textId="77777777">
            <w:trPr>
              <w:trHeight w:val="547"/>
            </w:trPr>
            <w:tc>
              <w:tcPr>
                <w:tcW w:w="724" w:type="pct"/>
                <w:vMerge/>
                <w:tcBorders>
                  <w:top w:val="nil"/>
                  <w:left w:val="single" w:sz="4" w:space="0" w:color="auto"/>
                  <w:bottom w:val="single" w:sz="4" w:space="0" w:color="auto"/>
                  <w:right w:val="single" w:sz="4" w:space="0" w:color="auto"/>
                </w:tcBorders>
                <w:vAlign w:val="center"/>
              </w:tcPr>
              <w:p w14:paraId="376E7C88" w14:textId="77777777" w:rsidR="002D0AE7" w:rsidRDefault="002D0AE7">
                <w:pPr>
                  <w:rPr>
                    <w:rFonts w:ascii="Calibri" w:hAnsi="Calibri"/>
                    <w:color w:val="000000"/>
                    <w:kern w:val="2"/>
                  </w:rPr>
                </w:pPr>
              </w:p>
            </w:tc>
            <w:tc>
              <w:tcPr>
                <w:tcW w:w="901" w:type="pct"/>
                <w:tcBorders>
                  <w:top w:val="single" w:sz="4" w:space="0" w:color="auto"/>
                  <w:left w:val="single" w:sz="4" w:space="0" w:color="auto"/>
                  <w:bottom w:val="single" w:sz="4" w:space="0" w:color="auto"/>
                  <w:right w:val="single" w:sz="4" w:space="0" w:color="auto"/>
                </w:tcBorders>
                <w:vAlign w:val="center"/>
              </w:tcPr>
              <w:p w14:paraId="24AC46F3" w14:textId="77777777" w:rsidR="002D0AE7" w:rsidRDefault="00333EBB">
                <w:pPr>
                  <w:rPr>
                    <w:rFonts w:hint="eastAsia"/>
                    <w:color w:val="000000"/>
                  </w:rPr>
                </w:pPr>
                <w:r>
                  <w:rPr>
                    <w:rFonts w:hint="eastAsia"/>
                    <w:color w:val="000000"/>
                  </w:rPr>
                  <w:t>乙酸丁酯</w:t>
                </w:r>
              </w:p>
            </w:tc>
            <w:tc>
              <w:tcPr>
                <w:tcW w:w="596" w:type="pct"/>
                <w:tcBorders>
                  <w:top w:val="single" w:sz="4" w:space="0" w:color="auto"/>
                  <w:left w:val="single" w:sz="4" w:space="0" w:color="auto"/>
                  <w:bottom w:val="single" w:sz="4" w:space="0" w:color="auto"/>
                  <w:right w:val="single" w:sz="4" w:space="0" w:color="auto"/>
                </w:tcBorders>
                <w:vAlign w:val="center"/>
              </w:tcPr>
              <w:p w14:paraId="002A8E15" w14:textId="77777777" w:rsidR="002D0AE7" w:rsidRDefault="00333EBB">
                <w:pPr>
                  <w:jc w:val="center"/>
                  <w:rPr>
                    <w:rFonts w:hint="eastAsia"/>
                    <w:color w:val="000000"/>
                    <w:sz w:val="22"/>
                    <w:szCs w:val="22"/>
                  </w:rPr>
                </w:pPr>
                <w:r>
                  <w:rPr>
                    <w:rFonts w:cs="Calibri" w:hint="eastAsia"/>
                    <w:color w:val="000000"/>
                    <w:sz w:val="22"/>
                    <w:szCs w:val="22"/>
                  </w:rPr>
                  <w:t>/</w:t>
                </w:r>
              </w:p>
            </w:tc>
            <w:tc>
              <w:tcPr>
                <w:tcW w:w="855" w:type="pct"/>
                <w:tcBorders>
                  <w:top w:val="single" w:sz="4" w:space="0" w:color="auto"/>
                  <w:left w:val="single" w:sz="4" w:space="0" w:color="auto"/>
                  <w:bottom w:val="single" w:sz="4" w:space="0" w:color="auto"/>
                  <w:right w:val="single" w:sz="4" w:space="0" w:color="auto"/>
                </w:tcBorders>
                <w:vAlign w:val="center"/>
              </w:tcPr>
              <w:p w14:paraId="7B9958C6" w14:textId="77777777" w:rsidR="002D0AE7" w:rsidRDefault="00333EBB">
                <w:pPr>
                  <w:jc w:val="center"/>
                  <w:rPr>
                    <w:rFonts w:hint="eastAsia"/>
                    <w:color w:val="000000"/>
                    <w:sz w:val="22"/>
                    <w:szCs w:val="22"/>
                  </w:rPr>
                </w:pPr>
                <w:r>
                  <w:rPr>
                    <w:color w:val="000000"/>
                    <w:sz w:val="22"/>
                    <w:szCs w:val="22"/>
                  </w:rPr>
                  <w:t>0.019</w:t>
                </w:r>
              </w:p>
            </w:tc>
            <w:tc>
              <w:tcPr>
                <w:tcW w:w="1923" w:type="pct"/>
                <w:tcBorders>
                  <w:top w:val="single" w:sz="4" w:space="0" w:color="auto"/>
                  <w:left w:val="single" w:sz="4" w:space="0" w:color="auto"/>
                  <w:bottom w:val="single" w:sz="4" w:space="0" w:color="auto"/>
                  <w:right w:val="single" w:sz="4" w:space="0" w:color="auto"/>
                </w:tcBorders>
                <w:vAlign w:val="center"/>
              </w:tcPr>
              <w:p w14:paraId="44EF9705" w14:textId="77777777" w:rsidR="002D0AE7" w:rsidRDefault="00333EBB">
                <w:pPr>
                  <w:rPr>
                    <w:rFonts w:hint="eastAsia"/>
                    <w:color w:val="000000"/>
                  </w:rPr>
                </w:pPr>
                <w:r>
                  <w:rPr>
                    <w:rFonts w:hint="eastAsia"/>
                    <w:color w:val="000000"/>
                  </w:rPr>
                  <w:t>恶臭污染物排放标准</w:t>
                </w:r>
                <w:r>
                  <w:rPr>
                    <w:rFonts w:cs="Calibri" w:hint="eastAsia"/>
                    <w:color w:val="000000"/>
                  </w:rPr>
                  <w:t>DB12/059-2018</w:t>
                </w:r>
              </w:p>
            </w:tc>
          </w:tr>
          <w:tr w:rsidR="002D0AE7" w14:paraId="78180A4E" w14:textId="77777777">
            <w:trPr>
              <w:trHeight w:val="547"/>
            </w:trPr>
            <w:tc>
              <w:tcPr>
                <w:tcW w:w="724" w:type="pct"/>
                <w:vMerge/>
                <w:tcBorders>
                  <w:top w:val="nil"/>
                  <w:left w:val="single" w:sz="4" w:space="0" w:color="auto"/>
                  <w:bottom w:val="single" w:sz="4" w:space="0" w:color="auto"/>
                  <w:right w:val="single" w:sz="4" w:space="0" w:color="auto"/>
                </w:tcBorders>
                <w:vAlign w:val="center"/>
              </w:tcPr>
              <w:p w14:paraId="218D09E0" w14:textId="77777777" w:rsidR="002D0AE7" w:rsidRDefault="002D0AE7">
                <w:pPr>
                  <w:rPr>
                    <w:rFonts w:ascii="Calibri" w:hAnsi="Calibri"/>
                    <w:color w:val="000000"/>
                    <w:kern w:val="2"/>
                  </w:rPr>
                </w:pPr>
              </w:p>
            </w:tc>
            <w:tc>
              <w:tcPr>
                <w:tcW w:w="901" w:type="pct"/>
                <w:tcBorders>
                  <w:top w:val="single" w:sz="4" w:space="0" w:color="auto"/>
                  <w:left w:val="single" w:sz="4" w:space="0" w:color="auto"/>
                  <w:bottom w:val="single" w:sz="4" w:space="0" w:color="auto"/>
                  <w:right w:val="single" w:sz="4" w:space="0" w:color="auto"/>
                </w:tcBorders>
                <w:vAlign w:val="center"/>
              </w:tcPr>
              <w:p w14:paraId="3AC097CA" w14:textId="77777777" w:rsidR="002D0AE7" w:rsidRDefault="00333EBB">
                <w:pPr>
                  <w:rPr>
                    <w:rFonts w:hint="eastAsia"/>
                    <w:color w:val="000000"/>
                  </w:rPr>
                </w:pPr>
                <w:r>
                  <w:rPr>
                    <w:rFonts w:hint="eastAsia"/>
                    <w:color w:val="000000"/>
                  </w:rPr>
                  <w:t>甲基异丁基甲酮</w:t>
                </w:r>
              </w:p>
            </w:tc>
            <w:tc>
              <w:tcPr>
                <w:tcW w:w="596" w:type="pct"/>
                <w:tcBorders>
                  <w:top w:val="single" w:sz="4" w:space="0" w:color="auto"/>
                  <w:left w:val="single" w:sz="4" w:space="0" w:color="auto"/>
                  <w:bottom w:val="single" w:sz="4" w:space="0" w:color="auto"/>
                  <w:right w:val="single" w:sz="4" w:space="0" w:color="auto"/>
                </w:tcBorders>
                <w:vAlign w:val="center"/>
              </w:tcPr>
              <w:p w14:paraId="098BE9D1" w14:textId="77777777" w:rsidR="002D0AE7" w:rsidRDefault="00333EBB">
                <w:pPr>
                  <w:jc w:val="center"/>
                  <w:rPr>
                    <w:rFonts w:hint="eastAsia"/>
                    <w:color w:val="000000"/>
                    <w:sz w:val="22"/>
                    <w:szCs w:val="22"/>
                  </w:rPr>
                </w:pPr>
                <w:r>
                  <w:rPr>
                    <w:rFonts w:cs="Calibri" w:hint="eastAsia"/>
                    <w:color w:val="000000"/>
                    <w:sz w:val="22"/>
                    <w:szCs w:val="22"/>
                  </w:rPr>
                  <w:t>/</w:t>
                </w:r>
              </w:p>
            </w:tc>
            <w:tc>
              <w:tcPr>
                <w:tcW w:w="855" w:type="pct"/>
                <w:tcBorders>
                  <w:top w:val="single" w:sz="4" w:space="0" w:color="auto"/>
                  <w:left w:val="single" w:sz="4" w:space="0" w:color="auto"/>
                  <w:bottom w:val="single" w:sz="4" w:space="0" w:color="auto"/>
                  <w:right w:val="single" w:sz="4" w:space="0" w:color="auto"/>
                </w:tcBorders>
                <w:vAlign w:val="center"/>
              </w:tcPr>
              <w:p w14:paraId="5795AAB3" w14:textId="77777777" w:rsidR="002D0AE7" w:rsidRDefault="00333EBB">
                <w:pPr>
                  <w:jc w:val="center"/>
                  <w:rPr>
                    <w:rFonts w:hint="eastAsia"/>
                    <w:color w:val="000000"/>
                    <w:sz w:val="22"/>
                    <w:szCs w:val="22"/>
                  </w:rPr>
                </w:pPr>
                <w:r>
                  <w:rPr>
                    <w:rFonts w:hint="eastAsia"/>
                    <w:color w:val="000000"/>
                    <w:sz w:val="22"/>
                    <w:szCs w:val="22"/>
                  </w:rPr>
                  <w:t>未检出</w:t>
                </w:r>
              </w:p>
            </w:tc>
            <w:tc>
              <w:tcPr>
                <w:tcW w:w="1923" w:type="pct"/>
                <w:tcBorders>
                  <w:top w:val="single" w:sz="4" w:space="0" w:color="auto"/>
                  <w:left w:val="single" w:sz="4" w:space="0" w:color="auto"/>
                  <w:bottom w:val="single" w:sz="4" w:space="0" w:color="auto"/>
                  <w:right w:val="single" w:sz="4" w:space="0" w:color="auto"/>
                </w:tcBorders>
                <w:vAlign w:val="center"/>
              </w:tcPr>
              <w:p w14:paraId="23C28293" w14:textId="77777777" w:rsidR="002D0AE7" w:rsidRDefault="00333EBB">
                <w:pPr>
                  <w:rPr>
                    <w:rFonts w:hint="eastAsia"/>
                    <w:color w:val="000000"/>
                  </w:rPr>
                </w:pPr>
                <w:r>
                  <w:rPr>
                    <w:rFonts w:hint="eastAsia"/>
                    <w:color w:val="000000"/>
                  </w:rPr>
                  <w:t>恶臭污染物排放标准</w:t>
                </w:r>
                <w:r>
                  <w:rPr>
                    <w:rFonts w:cs="Calibri" w:hint="eastAsia"/>
                    <w:color w:val="000000"/>
                  </w:rPr>
                  <w:t>DB12/059-2018</w:t>
                </w:r>
              </w:p>
            </w:tc>
          </w:tr>
          <w:tr w:rsidR="002D0AE7" w14:paraId="63374E43" w14:textId="77777777">
            <w:trPr>
              <w:trHeight w:val="547"/>
            </w:trPr>
            <w:tc>
              <w:tcPr>
                <w:tcW w:w="724" w:type="pct"/>
                <w:vMerge/>
                <w:tcBorders>
                  <w:top w:val="nil"/>
                  <w:left w:val="single" w:sz="4" w:space="0" w:color="auto"/>
                  <w:bottom w:val="single" w:sz="4" w:space="0" w:color="auto"/>
                  <w:right w:val="single" w:sz="4" w:space="0" w:color="auto"/>
                </w:tcBorders>
                <w:vAlign w:val="center"/>
              </w:tcPr>
              <w:p w14:paraId="4D50486C" w14:textId="77777777" w:rsidR="002D0AE7" w:rsidRDefault="002D0AE7">
                <w:pPr>
                  <w:rPr>
                    <w:rFonts w:ascii="Calibri" w:hAnsi="Calibri"/>
                    <w:color w:val="000000"/>
                    <w:kern w:val="2"/>
                  </w:rPr>
                </w:pPr>
              </w:p>
            </w:tc>
            <w:tc>
              <w:tcPr>
                <w:tcW w:w="901" w:type="pct"/>
                <w:tcBorders>
                  <w:top w:val="single" w:sz="4" w:space="0" w:color="auto"/>
                  <w:left w:val="single" w:sz="4" w:space="0" w:color="auto"/>
                  <w:bottom w:val="single" w:sz="4" w:space="0" w:color="auto"/>
                  <w:right w:val="single" w:sz="4" w:space="0" w:color="auto"/>
                </w:tcBorders>
                <w:vAlign w:val="center"/>
              </w:tcPr>
              <w:p w14:paraId="1BF73B44" w14:textId="77777777" w:rsidR="002D0AE7" w:rsidRDefault="00333EBB">
                <w:pPr>
                  <w:rPr>
                    <w:rFonts w:hint="eastAsia"/>
                    <w:color w:val="000000"/>
                  </w:rPr>
                </w:pPr>
                <w:r>
                  <w:rPr>
                    <w:rFonts w:hint="eastAsia"/>
                    <w:color w:val="000000"/>
                  </w:rPr>
                  <w:t>甲醇</w:t>
                </w:r>
              </w:p>
            </w:tc>
            <w:tc>
              <w:tcPr>
                <w:tcW w:w="596" w:type="pct"/>
                <w:tcBorders>
                  <w:top w:val="single" w:sz="4" w:space="0" w:color="auto"/>
                  <w:left w:val="single" w:sz="4" w:space="0" w:color="auto"/>
                  <w:bottom w:val="single" w:sz="4" w:space="0" w:color="auto"/>
                  <w:right w:val="single" w:sz="4" w:space="0" w:color="auto"/>
                </w:tcBorders>
                <w:vAlign w:val="center"/>
              </w:tcPr>
              <w:p w14:paraId="76A965FC" w14:textId="77777777" w:rsidR="002D0AE7" w:rsidRDefault="00333EBB">
                <w:pPr>
                  <w:jc w:val="center"/>
                  <w:rPr>
                    <w:rFonts w:hint="eastAsia"/>
                    <w:color w:val="000000"/>
                    <w:sz w:val="22"/>
                    <w:szCs w:val="22"/>
                  </w:rPr>
                </w:pPr>
                <w:r>
                  <w:rPr>
                    <w:rFonts w:cs="Calibri" w:hint="eastAsia"/>
                    <w:color w:val="000000"/>
                    <w:sz w:val="22"/>
                    <w:szCs w:val="22"/>
                  </w:rPr>
                  <w:t>190</w:t>
                </w:r>
              </w:p>
            </w:tc>
            <w:tc>
              <w:tcPr>
                <w:tcW w:w="855" w:type="pct"/>
                <w:tcBorders>
                  <w:top w:val="single" w:sz="4" w:space="0" w:color="auto"/>
                  <w:left w:val="single" w:sz="4" w:space="0" w:color="auto"/>
                  <w:bottom w:val="single" w:sz="4" w:space="0" w:color="auto"/>
                  <w:right w:val="single" w:sz="4" w:space="0" w:color="auto"/>
                </w:tcBorders>
                <w:vAlign w:val="center"/>
              </w:tcPr>
              <w:p w14:paraId="5BBA5CEC" w14:textId="77777777" w:rsidR="002D0AE7" w:rsidRDefault="00333EBB">
                <w:pPr>
                  <w:jc w:val="center"/>
                  <w:rPr>
                    <w:rFonts w:hint="eastAsia"/>
                    <w:color w:val="000000"/>
                    <w:sz w:val="22"/>
                    <w:szCs w:val="22"/>
                  </w:rPr>
                </w:pPr>
                <w:r>
                  <w:rPr>
                    <w:rFonts w:hint="eastAsia"/>
                    <w:color w:val="000000"/>
                    <w:sz w:val="22"/>
                    <w:szCs w:val="22"/>
                  </w:rPr>
                  <w:t>未检出</w:t>
                </w:r>
              </w:p>
            </w:tc>
            <w:tc>
              <w:tcPr>
                <w:tcW w:w="1923" w:type="pct"/>
                <w:tcBorders>
                  <w:top w:val="single" w:sz="4" w:space="0" w:color="auto"/>
                  <w:left w:val="single" w:sz="4" w:space="0" w:color="auto"/>
                  <w:bottom w:val="single" w:sz="4" w:space="0" w:color="auto"/>
                  <w:right w:val="single" w:sz="4" w:space="0" w:color="auto"/>
                </w:tcBorders>
                <w:vAlign w:val="center"/>
              </w:tcPr>
              <w:p w14:paraId="178BA4A0" w14:textId="77777777" w:rsidR="002D0AE7" w:rsidRDefault="00333EBB">
                <w:pPr>
                  <w:rPr>
                    <w:rFonts w:hint="eastAsia"/>
                    <w:color w:val="000000"/>
                  </w:rPr>
                </w:pPr>
                <w:r>
                  <w:rPr>
                    <w:color w:val="000000"/>
                    <w:shd w:val="clear" w:color="auto" w:fill="FFFFFF"/>
                  </w:rPr>
                  <w:t>大气污染物综合排放标准</w:t>
                </w:r>
                <w:r>
                  <w:rPr>
                    <w:color w:val="000000"/>
                    <w:shd w:val="clear" w:color="auto" w:fill="FFFFFF"/>
                  </w:rPr>
                  <w:t>GB16297-1996</w:t>
                </w:r>
              </w:p>
            </w:tc>
          </w:tr>
          <w:tr w:rsidR="002D0AE7" w14:paraId="4F3A6A63" w14:textId="77777777">
            <w:trPr>
              <w:trHeight w:val="547"/>
            </w:trPr>
            <w:tc>
              <w:tcPr>
                <w:tcW w:w="724" w:type="pct"/>
                <w:vMerge/>
                <w:tcBorders>
                  <w:top w:val="nil"/>
                  <w:left w:val="single" w:sz="4" w:space="0" w:color="auto"/>
                  <w:bottom w:val="single" w:sz="4" w:space="0" w:color="auto"/>
                  <w:right w:val="single" w:sz="4" w:space="0" w:color="auto"/>
                </w:tcBorders>
                <w:vAlign w:val="center"/>
              </w:tcPr>
              <w:p w14:paraId="5BC24CC2" w14:textId="77777777" w:rsidR="002D0AE7" w:rsidRDefault="002D0AE7">
                <w:pPr>
                  <w:rPr>
                    <w:rFonts w:ascii="Calibri" w:hAnsi="Calibri"/>
                    <w:color w:val="000000"/>
                    <w:kern w:val="2"/>
                  </w:rPr>
                </w:pPr>
              </w:p>
            </w:tc>
            <w:tc>
              <w:tcPr>
                <w:tcW w:w="901" w:type="pct"/>
                <w:tcBorders>
                  <w:top w:val="single" w:sz="4" w:space="0" w:color="auto"/>
                  <w:left w:val="single" w:sz="4" w:space="0" w:color="auto"/>
                  <w:bottom w:val="single" w:sz="4" w:space="0" w:color="auto"/>
                  <w:right w:val="single" w:sz="4" w:space="0" w:color="auto"/>
                </w:tcBorders>
                <w:vAlign w:val="center"/>
              </w:tcPr>
              <w:p w14:paraId="4807A84F" w14:textId="77777777" w:rsidR="002D0AE7" w:rsidRDefault="00333EBB">
                <w:pPr>
                  <w:rPr>
                    <w:rFonts w:ascii="Calibri" w:hAnsi="Calibri"/>
                    <w:color w:val="000000"/>
                  </w:rPr>
                </w:pPr>
                <w:r>
                  <w:rPr>
                    <w:rFonts w:hint="eastAsia"/>
                    <w:color w:val="000000"/>
                  </w:rPr>
                  <w:t>氟化物</w:t>
                </w:r>
              </w:p>
            </w:tc>
            <w:tc>
              <w:tcPr>
                <w:tcW w:w="596" w:type="pct"/>
                <w:tcBorders>
                  <w:top w:val="single" w:sz="4" w:space="0" w:color="auto"/>
                  <w:left w:val="single" w:sz="4" w:space="0" w:color="auto"/>
                  <w:bottom w:val="single" w:sz="4" w:space="0" w:color="auto"/>
                  <w:right w:val="single" w:sz="4" w:space="0" w:color="auto"/>
                </w:tcBorders>
                <w:vAlign w:val="center"/>
              </w:tcPr>
              <w:p w14:paraId="68D0C5E0" w14:textId="77777777" w:rsidR="002D0AE7" w:rsidRDefault="00333EBB">
                <w:pPr>
                  <w:jc w:val="center"/>
                  <w:rPr>
                    <w:rFonts w:hint="eastAsia"/>
                    <w:color w:val="000000"/>
                    <w:sz w:val="22"/>
                    <w:szCs w:val="22"/>
                  </w:rPr>
                </w:pPr>
                <w:r>
                  <w:rPr>
                    <w:rFonts w:cs="Calibri" w:hint="eastAsia"/>
                    <w:color w:val="000000"/>
                    <w:sz w:val="22"/>
                    <w:szCs w:val="22"/>
                  </w:rPr>
                  <w:t>9</w:t>
                </w:r>
              </w:p>
            </w:tc>
            <w:tc>
              <w:tcPr>
                <w:tcW w:w="855" w:type="pct"/>
                <w:tcBorders>
                  <w:top w:val="single" w:sz="4" w:space="0" w:color="auto"/>
                  <w:left w:val="single" w:sz="4" w:space="0" w:color="auto"/>
                  <w:bottom w:val="single" w:sz="4" w:space="0" w:color="auto"/>
                  <w:right w:val="single" w:sz="4" w:space="0" w:color="auto"/>
                </w:tcBorders>
                <w:vAlign w:val="center"/>
              </w:tcPr>
              <w:p w14:paraId="2C4400C9" w14:textId="77777777" w:rsidR="002D0AE7" w:rsidRDefault="00333EBB">
                <w:pPr>
                  <w:jc w:val="center"/>
                  <w:rPr>
                    <w:rFonts w:hint="eastAsia"/>
                    <w:color w:val="000000"/>
                    <w:sz w:val="22"/>
                    <w:szCs w:val="22"/>
                  </w:rPr>
                </w:pPr>
                <w:r>
                  <w:rPr>
                    <w:color w:val="000000"/>
                    <w:sz w:val="22"/>
                    <w:szCs w:val="22"/>
                  </w:rPr>
                  <w:t>0.14</w:t>
                </w:r>
              </w:p>
            </w:tc>
            <w:tc>
              <w:tcPr>
                <w:tcW w:w="1923" w:type="pct"/>
                <w:tcBorders>
                  <w:top w:val="single" w:sz="4" w:space="0" w:color="auto"/>
                  <w:left w:val="single" w:sz="4" w:space="0" w:color="auto"/>
                  <w:bottom w:val="single" w:sz="4" w:space="0" w:color="auto"/>
                  <w:right w:val="single" w:sz="4" w:space="0" w:color="auto"/>
                </w:tcBorders>
                <w:vAlign w:val="center"/>
              </w:tcPr>
              <w:p w14:paraId="47DEF3C3" w14:textId="77777777" w:rsidR="002D0AE7" w:rsidRDefault="00333EBB">
                <w:pPr>
                  <w:rPr>
                    <w:rFonts w:hint="eastAsia"/>
                    <w:color w:val="000000"/>
                  </w:rPr>
                </w:pPr>
                <w:r>
                  <w:rPr>
                    <w:color w:val="000000"/>
                    <w:shd w:val="clear" w:color="auto" w:fill="FFFFFF"/>
                  </w:rPr>
                  <w:t>大气污染物综合排放标准</w:t>
                </w:r>
                <w:r>
                  <w:rPr>
                    <w:color w:val="000000"/>
                    <w:shd w:val="clear" w:color="auto" w:fill="FFFFFF"/>
                  </w:rPr>
                  <w:t>GB16297-1996</w:t>
                </w:r>
              </w:p>
            </w:tc>
          </w:tr>
          <w:tr w:rsidR="002D0AE7" w14:paraId="3622F6B9" w14:textId="77777777">
            <w:trPr>
              <w:trHeight w:val="547"/>
            </w:trPr>
            <w:tc>
              <w:tcPr>
                <w:tcW w:w="724" w:type="pct"/>
                <w:vMerge w:val="restart"/>
                <w:tcBorders>
                  <w:top w:val="nil"/>
                  <w:left w:val="single" w:sz="4" w:space="0" w:color="auto"/>
                  <w:bottom w:val="single" w:sz="4" w:space="0" w:color="auto"/>
                  <w:right w:val="single" w:sz="4" w:space="0" w:color="auto"/>
                </w:tcBorders>
                <w:vAlign w:val="center"/>
              </w:tcPr>
              <w:p w14:paraId="0F103D0C" w14:textId="77777777" w:rsidR="002D0AE7" w:rsidRDefault="00333EBB">
                <w:pPr>
                  <w:rPr>
                    <w:rFonts w:ascii="Calibri" w:hAnsi="Calibri"/>
                    <w:color w:val="000000"/>
                  </w:rPr>
                </w:pPr>
                <w:r>
                  <w:rPr>
                    <w:rFonts w:hint="eastAsia"/>
                    <w:color w:val="000000"/>
                  </w:rPr>
                  <w:t>天津津药环境科技有限公司</w:t>
                </w:r>
              </w:p>
            </w:tc>
            <w:tc>
              <w:tcPr>
                <w:tcW w:w="901" w:type="pct"/>
                <w:tcBorders>
                  <w:top w:val="single" w:sz="4" w:space="0" w:color="auto"/>
                  <w:left w:val="single" w:sz="4" w:space="0" w:color="auto"/>
                  <w:bottom w:val="single" w:sz="4" w:space="0" w:color="auto"/>
                  <w:right w:val="single" w:sz="4" w:space="0" w:color="auto"/>
                </w:tcBorders>
                <w:vAlign w:val="center"/>
              </w:tcPr>
              <w:p w14:paraId="7D02AA1B" w14:textId="77777777" w:rsidR="002D0AE7" w:rsidRDefault="00333EBB">
                <w:pPr>
                  <w:rPr>
                    <w:rFonts w:hint="eastAsia"/>
                    <w:color w:val="000000"/>
                  </w:rPr>
                </w:pPr>
                <w:r>
                  <w:rPr>
                    <w:rFonts w:hint="eastAsia"/>
                    <w:color w:val="000000"/>
                  </w:rPr>
                  <w:t>颗粒物</w:t>
                </w:r>
              </w:p>
            </w:tc>
            <w:tc>
              <w:tcPr>
                <w:tcW w:w="596" w:type="pct"/>
                <w:tcBorders>
                  <w:top w:val="single" w:sz="4" w:space="0" w:color="auto"/>
                  <w:left w:val="single" w:sz="4" w:space="0" w:color="auto"/>
                  <w:bottom w:val="single" w:sz="4" w:space="0" w:color="auto"/>
                  <w:right w:val="single" w:sz="4" w:space="0" w:color="auto"/>
                </w:tcBorders>
                <w:vAlign w:val="center"/>
              </w:tcPr>
              <w:p w14:paraId="6A44C937" w14:textId="77777777" w:rsidR="002D0AE7" w:rsidRDefault="00333EBB">
                <w:pPr>
                  <w:jc w:val="center"/>
                  <w:rPr>
                    <w:rFonts w:hint="eastAsia"/>
                    <w:color w:val="000000"/>
                    <w:sz w:val="22"/>
                    <w:szCs w:val="22"/>
                  </w:rPr>
                </w:pPr>
                <w:r>
                  <w:rPr>
                    <w:rFonts w:cs="Calibri" w:hint="eastAsia"/>
                    <w:color w:val="000000"/>
                    <w:sz w:val="22"/>
                    <w:szCs w:val="22"/>
                  </w:rPr>
                  <w:t>10</w:t>
                </w:r>
              </w:p>
            </w:tc>
            <w:tc>
              <w:tcPr>
                <w:tcW w:w="855" w:type="pct"/>
                <w:tcBorders>
                  <w:top w:val="single" w:sz="4" w:space="0" w:color="auto"/>
                  <w:left w:val="single" w:sz="4" w:space="0" w:color="auto"/>
                  <w:bottom w:val="single" w:sz="4" w:space="0" w:color="auto"/>
                  <w:right w:val="single" w:sz="4" w:space="0" w:color="auto"/>
                </w:tcBorders>
                <w:vAlign w:val="center"/>
              </w:tcPr>
              <w:p w14:paraId="6BE8231C" w14:textId="77777777" w:rsidR="002D0AE7" w:rsidRDefault="00333EBB">
                <w:pPr>
                  <w:jc w:val="center"/>
                  <w:rPr>
                    <w:rFonts w:hint="eastAsia"/>
                    <w:color w:val="000000"/>
                    <w:sz w:val="22"/>
                    <w:szCs w:val="22"/>
                  </w:rPr>
                </w:pPr>
                <w:r>
                  <w:rPr>
                    <w:color w:val="000000"/>
                    <w:sz w:val="22"/>
                    <w:szCs w:val="22"/>
                    <w:shd w:val="clear" w:color="auto" w:fill="FFFFFF"/>
                  </w:rPr>
                  <w:t>1.45</w:t>
                </w:r>
              </w:p>
            </w:tc>
            <w:tc>
              <w:tcPr>
                <w:tcW w:w="1923" w:type="pct"/>
                <w:tcBorders>
                  <w:top w:val="single" w:sz="4" w:space="0" w:color="auto"/>
                  <w:left w:val="single" w:sz="4" w:space="0" w:color="auto"/>
                  <w:bottom w:val="single" w:sz="4" w:space="0" w:color="auto"/>
                  <w:right w:val="single" w:sz="4" w:space="0" w:color="auto"/>
                </w:tcBorders>
                <w:vAlign w:val="center"/>
              </w:tcPr>
              <w:p w14:paraId="4397EB19" w14:textId="77777777" w:rsidR="002D0AE7" w:rsidRDefault="00333EBB">
                <w:pPr>
                  <w:rPr>
                    <w:rFonts w:hint="eastAsia"/>
                    <w:color w:val="000000"/>
                  </w:rPr>
                </w:pPr>
                <w:r>
                  <w:rPr>
                    <w:rFonts w:hint="eastAsia"/>
                    <w:color w:val="000000"/>
                  </w:rPr>
                  <w:t>锅炉大气污染物排放标准</w:t>
                </w:r>
                <w:r>
                  <w:rPr>
                    <w:rFonts w:cs="Calibri" w:hint="eastAsia"/>
                    <w:color w:val="000000"/>
                  </w:rPr>
                  <w:t>DB12/151-2020</w:t>
                </w:r>
              </w:p>
            </w:tc>
          </w:tr>
          <w:tr w:rsidR="002D0AE7" w14:paraId="0E494C07" w14:textId="77777777">
            <w:trPr>
              <w:trHeight w:val="547"/>
            </w:trPr>
            <w:tc>
              <w:tcPr>
                <w:tcW w:w="724" w:type="pct"/>
                <w:vMerge/>
                <w:tcBorders>
                  <w:top w:val="nil"/>
                  <w:left w:val="single" w:sz="4" w:space="0" w:color="auto"/>
                  <w:bottom w:val="single" w:sz="4" w:space="0" w:color="auto"/>
                  <w:right w:val="single" w:sz="4" w:space="0" w:color="auto"/>
                </w:tcBorders>
                <w:vAlign w:val="center"/>
              </w:tcPr>
              <w:p w14:paraId="765FEC79" w14:textId="77777777" w:rsidR="002D0AE7" w:rsidRDefault="002D0AE7">
                <w:pPr>
                  <w:rPr>
                    <w:rFonts w:ascii="Calibri" w:hAnsi="Calibri"/>
                    <w:color w:val="000000"/>
                    <w:kern w:val="2"/>
                  </w:rPr>
                </w:pPr>
              </w:p>
            </w:tc>
            <w:tc>
              <w:tcPr>
                <w:tcW w:w="901" w:type="pct"/>
                <w:tcBorders>
                  <w:top w:val="single" w:sz="4" w:space="0" w:color="auto"/>
                  <w:left w:val="single" w:sz="4" w:space="0" w:color="auto"/>
                  <w:bottom w:val="single" w:sz="4" w:space="0" w:color="auto"/>
                  <w:right w:val="single" w:sz="4" w:space="0" w:color="auto"/>
                </w:tcBorders>
                <w:vAlign w:val="center"/>
              </w:tcPr>
              <w:p w14:paraId="58FFD2EB" w14:textId="77777777" w:rsidR="002D0AE7" w:rsidRDefault="00333EBB">
                <w:pPr>
                  <w:rPr>
                    <w:rFonts w:hint="eastAsia"/>
                    <w:color w:val="000000"/>
                  </w:rPr>
                </w:pPr>
                <w:r>
                  <w:rPr>
                    <w:rFonts w:hint="eastAsia"/>
                    <w:color w:val="000000"/>
                  </w:rPr>
                  <w:t>二氧化硫</w:t>
                </w:r>
              </w:p>
            </w:tc>
            <w:tc>
              <w:tcPr>
                <w:tcW w:w="596" w:type="pct"/>
                <w:tcBorders>
                  <w:top w:val="single" w:sz="4" w:space="0" w:color="auto"/>
                  <w:left w:val="single" w:sz="4" w:space="0" w:color="auto"/>
                  <w:bottom w:val="single" w:sz="4" w:space="0" w:color="auto"/>
                  <w:right w:val="single" w:sz="4" w:space="0" w:color="auto"/>
                </w:tcBorders>
                <w:vAlign w:val="center"/>
              </w:tcPr>
              <w:p w14:paraId="694B700A" w14:textId="77777777" w:rsidR="002D0AE7" w:rsidRDefault="00333EBB">
                <w:pPr>
                  <w:jc w:val="center"/>
                  <w:rPr>
                    <w:rFonts w:hint="eastAsia"/>
                    <w:color w:val="000000"/>
                    <w:sz w:val="22"/>
                    <w:szCs w:val="22"/>
                  </w:rPr>
                </w:pPr>
                <w:r>
                  <w:rPr>
                    <w:rFonts w:cs="Calibri" w:hint="eastAsia"/>
                    <w:color w:val="000000"/>
                    <w:sz w:val="22"/>
                    <w:szCs w:val="22"/>
                  </w:rPr>
                  <w:t>20</w:t>
                </w:r>
              </w:p>
            </w:tc>
            <w:tc>
              <w:tcPr>
                <w:tcW w:w="855" w:type="pct"/>
                <w:tcBorders>
                  <w:top w:val="single" w:sz="4" w:space="0" w:color="auto"/>
                  <w:left w:val="single" w:sz="4" w:space="0" w:color="auto"/>
                  <w:bottom w:val="single" w:sz="4" w:space="0" w:color="auto"/>
                  <w:right w:val="single" w:sz="4" w:space="0" w:color="auto"/>
                </w:tcBorders>
                <w:vAlign w:val="center"/>
              </w:tcPr>
              <w:p w14:paraId="0E161457" w14:textId="77777777" w:rsidR="002D0AE7" w:rsidRDefault="00333EBB">
                <w:pPr>
                  <w:jc w:val="center"/>
                  <w:rPr>
                    <w:rFonts w:hint="eastAsia"/>
                    <w:color w:val="000000"/>
                    <w:sz w:val="22"/>
                    <w:szCs w:val="22"/>
                  </w:rPr>
                </w:pPr>
                <w:r>
                  <w:rPr>
                    <w:rFonts w:hint="eastAsia"/>
                    <w:color w:val="000000"/>
                    <w:sz w:val="22"/>
                    <w:szCs w:val="22"/>
                    <w:shd w:val="clear" w:color="auto" w:fill="FFFFFF"/>
                  </w:rPr>
                  <w:t>未检出</w:t>
                </w:r>
              </w:p>
            </w:tc>
            <w:tc>
              <w:tcPr>
                <w:tcW w:w="1923" w:type="pct"/>
                <w:tcBorders>
                  <w:top w:val="single" w:sz="4" w:space="0" w:color="auto"/>
                  <w:left w:val="single" w:sz="4" w:space="0" w:color="auto"/>
                  <w:bottom w:val="single" w:sz="4" w:space="0" w:color="auto"/>
                  <w:right w:val="single" w:sz="4" w:space="0" w:color="auto"/>
                </w:tcBorders>
                <w:vAlign w:val="center"/>
              </w:tcPr>
              <w:p w14:paraId="001705E1" w14:textId="77777777" w:rsidR="002D0AE7" w:rsidRDefault="00333EBB">
                <w:pPr>
                  <w:rPr>
                    <w:rFonts w:hint="eastAsia"/>
                    <w:color w:val="000000"/>
                  </w:rPr>
                </w:pPr>
                <w:r>
                  <w:rPr>
                    <w:rFonts w:hint="eastAsia"/>
                    <w:color w:val="000000"/>
                  </w:rPr>
                  <w:t>锅炉大气污染物排放标准</w:t>
                </w:r>
                <w:r>
                  <w:rPr>
                    <w:rFonts w:cs="Calibri" w:hint="eastAsia"/>
                    <w:color w:val="000000"/>
                  </w:rPr>
                  <w:t>DB12/151-2020</w:t>
                </w:r>
              </w:p>
            </w:tc>
          </w:tr>
          <w:tr w:rsidR="002D0AE7" w14:paraId="7B34B173" w14:textId="77777777">
            <w:trPr>
              <w:trHeight w:val="547"/>
            </w:trPr>
            <w:tc>
              <w:tcPr>
                <w:tcW w:w="724" w:type="pct"/>
                <w:vMerge/>
                <w:tcBorders>
                  <w:top w:val="nil"/>
                  <w:left w:val="single" w:sz="4" w:space="0" w:color="auto"/>
                  <w:bottom w:val="single" w:sz="4" w:space="0" w:color="auto"/>
                  <w:right w:val="single" w:sz="4" w:space="0" w:color="auto"/>
                </w:tcBorders>
                <w:vAlign w:val="center"/>
              </w:tcPr>
              <w:p w14:paraId="2CF6605E" w14:textId="77777777" w:rsidR="002D0AE7" w:rsidRDefault="002D0AE7">
                <w:pPr>
                  <w:rPr>
                    <w:rFonts w:ascii="Calibri" w:hAnsi="Calibri"/>
                    <w:color w:val="000000"/>
                    <w:kern w:val="2"/>
                  </w:rPr>
                </w:pPr>
              </w:p>
            </w:tc>
            <w:tc>
              <w:tcPr>
                <w:tcW w:w="901" w:type="pct"/>
                <w:tcBorders>
                  <w:top w:val="single" w:sz="4" w:space="0" w:color="auto"/>
                  <w:left w:val="single" w:sz="4" w:space="0" w:color="auto"/>
                  <w:bottom w:val="single" w:sz="4" w:space="0" w:color="auto"/>
                  <w:right w:val="single" w:sz="4" w:space="0" w:color="auto"/>
                </w:tcBorders>
                <w:vAlign w:val="center"/>
              </w:tcPr>
              <w:p w14:paraId="02DBC3A6" w14:textId="77777777" w:rsidR="002D0AE7" w:rsidRDefault="00333EBB">
                <w:pPr>
                  <w:rPr>
                    <w:rFonts w:hint="eastAsia"/>
                    <w:color w:val="000000"/>
                  </w:rPr>
                </w:pPr>
                <w:r>
                  <w:rPr>
                    <w:rFonts w:hint="eastAsia"/>
                    <w:color w:val="000000"/>
                  </w:rPr>
                  <w:t>氮氧化物</w:t>
                </w:r>
              </w:p>
            </w:tc>
            <w:tc>
              <w:tcPr>
                <w:tcW w:w="596" w:type="pct"/>
                <w:tcBorders>
                  <w:top w:val="single" w:sz="4" w:space="0" w:color="auto"/>
                  <w:left w:val="single" w:sz="4" w:space="0" w:color="auto"/>
                  <w:bottom w:val="single" w:sz="4" w:space="0" w:color="auto"/>
                  <w:right w:val="single" w:sz="4" w:space="0" w:color="auto"/>
                </w:tcBorders>
                <w:vAlign w:val="center"/>
              </w:tcPr>
              <w:p w14:paraId="43ED5BDF" w14:textId="77777777" w:rsidR="002D0AE7" w:rsidRDefault="00333EBB">
                <w:pPr>
                  <w:jc w:val="center"/>
                  <w:rPr>
                    <w:rFonts w:hint="eastAsia"/>
                    <w:color w:val="000000"/>
                    <w:sz w:val="22"/>
                    <w:szCs w:val="22"/>
                  </w:rPr>
                </w:pPr>
                <w:r>
                  <w:rPr>
                    <w:rFonts w:cs="Calibri" w:hint="eastAsia"/>
                    <w:color w:val="000000"/>
                    <w:sz w:val="22"/>
                    <w:szCs w:val="22"/>
                  </w:rPr>
                  <w:t>50</w:t>
                </w:r>
              </w:p>
            </w:tc>
            <w:tc>
              <w:tcPr>
                <w:tcW w:w="855" w:type="pct"/>
                <w:tcBorders>
                  <w:top w:val="single" w:sz="4" w:space="0" w:color="auto"/>
                  <w:left w:val="single" w:sz="4" w:space="0" w:color="auto"/>
                  <w:bottom w:val="single" w:sz="4" w:space="0" w:color="auto"/>
                  <w:right w:val="single" w:sz="4" w:space="0" w:color="auto"/>
                </w:tcBorders>
                <w:vAlign w:val="center"/>
              </w:tcPr>
              <w:p w14:paraId="03EA4612" w14:textId="77777777" w:rsidR="002D0AE7" w:rsidRDefault="00333EBB">
                <w:pPr>
                  <w:jc w:val="center"/>
                  <w:rPr>
                    <w:rFonts w:ascii="Times New Roman" w:hAnsi="Times New Roman"/>
                    <w:color w:val="000000"/>
                    <w:sz w:val="22"/>
                    <w:szCs w:val="22"/>
                  </w:rPr>
                </w:pPr>
                <w:r>
                  <w:rPr>
                    <w:color w:val="000000"/>
                    <w:sz w:val="22"/>
                    <w:szCs w:val="22"/>
                    <w:shd w:val="clear" w:color="auto" w:fill="FFFFFF"/>
                  </w:rPr>
                  <w:t>36.816</w:t>
                </w:r>
              </w:p>
            </w:tc>
            <w:tc>
              <w:tcPr>
                <w:tcW w:w="1923" w:type="pct"/>
                <w:tcBorders>
                  <w:top w:val="single" w:sz="4" w:space="0" w:color="auto"/>
                  <w:left w:val="single" w:sz="4" w:space="0" w:color="auto"/>
                  <w:bottom w:val="single" w:sz="4" w:space="0" w:color="auto"/>
                  <w:right w:val="single" w:sz="4" w:space="0" w:color="auto"/>
                </w:tcBorders>
                <w:vAlign w:val="center"/>
              </w:tcPr>
              <w:p w14:paraId="4D8ED2AA" w14:textId="77777777" w:rsidR="002D0AE7" w:rsidRDefault="00333EBB">
                <w:pPr>
                  <w:rPr>
                    <w:rFonts w:ascii="Calibri" w:hAnsi="Calibri"/>
                    <w:color w:val="000000"/>
                  </w:rPr>
                </w:pPr>
                <w:r>
                  <w:rPr>
                    <w:rFonts w:hint="eastAsia"/>
                    <w:color w:val="000000"/>
                  </w:rPr>
                  <w:t>锅炉大气污染物排放标准</w:t>
                </w:r>
                <w:r>
                  <w:rPr>
                    <w:rFonts w:cs="Calibri" w:hint="eastAsia"/>
                    <w:color w:val="000000"/>
                  </w:rPr>
                  <w:t>DB12/151-2020</w:t>
                </w:r>
              </w:p>
            </w:tc>
          </w:tr>
          <w:tr w:rsidR="002D0AE7" w14:paraId="2F9B7C7D" w14:textId="77777777">
            <w:trPr>
              <w:trHeight w:val="547"/>
            </w:trPr>
            <w:tc>
              <w:tcPr>
                <w:tcW w:w="724" w:type="pct"/>
                <w:vMerge/>
                <w:tcBorders>
                  <w:top w:val="nil"/>
                  <w:left w:val="single" w:sz="4" w:space="0" w:color="auto"/>
                  <w:bottom w:val="single" w:sz="4" w:space="0" w:color="auto"/>
                  <w:right w:val="single" w:sz="4" w:space="0" w:color="auto"/>
                </w:tcBorders>
                <w:vAlign w:val="center"/>
              </w:tcPr>
              <w:p w14:paraId="2F8885FC" w14:textId="77777777" w:rsidR="002D0AE7" w:rsidRDefault="002D0AE7">
                <w:pPr>
                  <w:rPr>
                    <w:rFonts w:ascii="Calibri" w:hAnsi="Calibri"/>
                    <w:color w:val="000000"/>
                    <w:kern w:val="2"/>
                  </w:rPr>
                </w:pPr>
              </w:p>
            </w:tc>
            <w:tc>
              <w:tcPr>
                <w:tcW w:w="901" w:type="pct"/>
                <w:tcBorders>
                  <w:top w:val="single" w:sz="4" w:space="0" w:color="auto"/>
                  <w:left w:val="single" w:sz="4" w:space="0" w:color="auto"/>
                  <w:bottom w:val="single" w:sz="4" w:space="0" w:color="auto"/>
                  <w:right w:val="single" w:sz="4" w:space="0" w:color="auto"/>
                </w:tcBorders>
                <w:vAlign w:val="center"/>
              </w:tcPr>
              <w:p w14:paraId="2388DC1B" w14:textId="77777777" w:rsidR="002D0AE7" w:rsidRDefault="00333EBB">
                <w:pPr>
                  <w:rPr>
                    <w:rFonts w:hint="eastAsia"/>
                    <w:color w:val="000000"/>
                  </w:rPr>
                </w:pPr>
                <w:r>
                  <w:rPr>
                    <w:rFonts w:hint="eastAsia"/>
                    <w:color w:val="000000"/>
                  </w:rPr>
                  <w:t>一氧化碳</w:t>
                </w:r>
              </w:p>
            </w:tc>
            <w:tc>
              <w:tcPr>
                <w:tcW w:w="596" w:type="pct"/>
                <w:tcBorders>
                  <w:top w:val="single" w:sz="4" w:space="0" w:color="auto"/>
                  <w:left w:val="single" w:sz="4" w:space="0" w:color="auto"/>
                  <w:bottom w:val="single" w:sz="4" w:space="0" w:color="auto"/>
                  <w:right w:val="single" w:sz="4" w:space="0" w:color="auto"/>
                </w:tcBorders>
                <w:vAlign w:val="center"/>
              </w:tcPr>
              <w:p w14:paraId="5470BD31" w14:textId="77777777" w:rsidR="002D0AE7" w:rsidRDefault="00333EBB">
                <w:pPr>
                  <w:jc w:val="center"/>
                  <w:rPr>
                    <w:rFonts w:hint="eastAsia"/>
                    <w:color w:val="000000"/>
                    <w:sz w:val="22"/>
                    <w:szCs w:val="22"/>
                  </w:rPr>
                </w:pPr>
                <w:r>
                  <w:rPr>
                    <w:rFonts w:cs="Calibri" w:hint="eastAsia"/>
                    <w:color w:val="000000"/>
                    <w:sz w:val="22"/>
                    <w:szCs w:val="22"/>
                  </w:rPr>
                  <w:t>95</w:t>
                </w:r>
              </w:p>
            </w:tc>
            <w:tc>
              <w:tcPr>
                <w:tcW w:w="855" w:type="pct"/>
                <w:tcBorders>
                  <w:top w:val="single" w:sz="4" w:space="0" w:color="auto"/>
                  <w:left w:val="single" w:sz="4" w:space="0" w:color="auto"/>
                  <w:bottom w:val="single" w:sz="4" w:space="0" w:color="auto"/>
                  <w:right w:val="single" w:sz="4" w:space="0" w:color="auto"/>
                </w:tcBorders>
                <w:vAlign w:val="center"/>
              </w:tcPr>
              <w:p w14:paraId="0416E249" w14:textId="77777777" w:rsidR="002D0AE7" w:rsidRDefault="00333EBB">
                <w:pPr>
                  <w:jc w:val="center"/>
                  <w:rPr>
                    <w:rFonts w:hint="eastAsia"/>
                    <w:color w:val="000000"/>
                    <w:sz w:val="22"/>
                    <w:szCs w:val="22"/>
                  </w:rPr>
                </w:pPr>
                <w:r>
                  <w:rPr>
                    <w:rFonts w:hint="eastAsia"/>
                    <w:color w:val="000000"/>
                    <w:sz w:val="22"/>
                    <w:szCs w:val="22"/>
                    <w:shd w:val="clear" w:color="auto" w:fill="FFFFFF"/>
                  </w:rPr>
                  <w:t>未检出</w:t>
                </w:r>
              </w:p>
            </w:tc>
            <w:tc>
              <w:tcPr>
                <w:tcW w:w="1923" w:type="pct"/>
                <w:tcBorders>
                  <w:top w:val="single" w:sz="4" w:space="0" w:color="auto"/>
                  <w:left w:val="single" w:sz="4" w:space="0" w:color="auto"/>
                  <w:bottom w:val="single" w:sz="4" w:space="0" w:color="auto"/>
                  <w:right w:val="single" w:sz="4" w:space="0" w:color="auto"/>
                </w:tcBorders>
                <w:vAlign w:val="center"/>
              </w:tcPr>
              <w:p w14:paraId="7CF3CA0E" w14:textId="77777777" w:rsidR="002D0AE7" w:rsidRDefault="00333EBB">
                <w:pPr>
                  <w:rPr>
                    <w:rFonts w:hint="eastAsia"/>
                    <w:color w:val="000000"/>
                  </w:rPr>
                </w:pPr>
                <w:r>
                  <w:rPr>
                    <w:rFonts w:hint="eastAsia"/>
                    <w:color w:val="000000"/>
                  </w:rPr>
                  <w:t>锅炉大气污染物排放标准</w:t>
                </w:r>
                <w:r>
                  <w:rPr>
                    <w:rFonts w:cs="Calibri" w:hint="eastAsia"/>
                    <w:color w:val="000000"/>
                  </w:rPr>
                  <w:t>DB12/151-2020</w:t>
                </w:r>
              </w:p>
            </w:tc>
          </w:tr>
          <w:tr w:rsidR="002D0AE7" w14:paraId="2BF0D813" w14:textId="77777777">
            <w:trPr>
              <w:trHeight w:val="547"/>
            </w:trPr>
            <w:tc>
              <w:tcPr>
                <w:tcW w:w="724" w:type="pct"/>
                <w:vMerge/>
                <w:tcBorders>
                  <w:top w:val="nil"/>
                  <w:left w:val="single" w:sz="4" w:space="0" w:color="auto"/>
                  <w:bottom w:val="single" w:sz="4" w:space="0" w:color="auto"/>
                  <w:right w:val="single" w:sz="4" w:space="0" w:color="auto"/>
                </w:tcBorders>
                <w:vAlign w:val="center"/>
              </w:tcPr>
              <w:p w14:paraId="7B03958F" w14:textId="77777777" w:rsidR="002D0AE7" w:rsidRDefault="002D0AE7">
                <w:pPr>
                  <w:rPr>
                    <w:rFonts w:ascii="Calibri" w:hAnsi="Calibri"/>
                    <w:color w:val="000000"/>
                    <w:kern w:val="2"/>
                  </w:rPr>
                </w:pPr>
              </w:p>
            </w:tc>
            <w:tc>
              <w:tcPr>
                <w:tcW w:w="901" w:type="pct"/>
                <w:tcBorders>
                  <w:top w:val="single" w:sz="4" w:space="0" w:color="auto"/>
                  <w:left w:val="single" w:sz="4" w:space="0" w:color="auto"/>
                  <w:bottom w:val="single" w:sz="4" w:space="0" w:color="auto"/>
                  <w:right w:val="single" w:sz="4" w:space="0" w:color="auto"/>
                </w:tcBorders>
                <w:vAlign w:val="center"/>
              </w:tcPr>
              <w:p w14:paraId="538D7A19" w14:textId="77777777" w:rsidR="002D0AE7" w:rsidRDefault="00333EBB">
                <w:pPr>
                  <w:rPr>
                    <w:rFonts w:hint="eastAsia"/>
                    <w:color w:val="000000"/>
                  </w:rPr>
                </w:pPr>
                <w:r>
                  <w:rPr>
                    <w:rFonts w:hint="eastAsia"/>
                    <w:color w:val="000000"/>
                  </w:rPr>
                  <w:t>烟气黑度</w:t>
                </w:r>
              </w:p>
            </w:tc>
            <w:tc>
              <w:tcPr>
                <w:tcW w:w="596" w:type="pct"/>
                <w:tcBorders>
                  <w:top w:val="single" w:sz="4" w:space="0" w:color="auto"/>
                  <w:left w:val="single" w:sz="4" w:space="0" w:color="auto"/>
                  <w:bottom w:val="single" w:sz="4" w:space="0" w:color="auto"/>
                  <w:right w:val="single" w:sz="4" w:space="0" w:color="auto"/>
                </w:tcBorders>
                <w:vAlign w:val="center"/>
              </w:tcPr>
              <w:p w14:paraId="7591E154" w14:textId="77777777" w:rsidR="002D0AE7" w:rsidRDefault="00333EBB">
                <w:pPr>
                  <w:jc w:val="center"/>
                  <w:rPr>
                    <w:rFonts w:hint="eastAsia"/>
                    <w:color w:val="000000"/>
                    <w:sz w:val="22"/>
                    <w:szCs w:val="22"/>
                  </w:rPr>
                </w:pPr>
                <w:r>
                  <w:rPr>
                    <w:rFonts w:cs="Calibri" w:hint="eastAsia"/>
                    <w:color w:val="000000"/>
                    <w:sz w:val="22"/>
                    <w:szCs w:val="22"/>
                  </w:rPr>
                  <w:t>1</w:t>
                </w:r>
              </w:p>
            </w:tc>
            <w:tc>
              <w:tcPr>
                <w:tcW w:w="855" w:type="pct"/>
                <w:tcBorders>
                  <w:top w:val="single" w:sz="4" w:space="0" w:color="auto"/>
                  <w:left w:val="single" w:sz="4" w:space="0" w:color="auto"/>
                  <w:bottom w:val="single" w:sz="4" w:space="0" w:color="auto"/>
                  <w:right w:val="single" w:sz="4" w:space="0" w:color="auto"/>
                </w:tcBorders>
                <w:vAlign w:val="center"/>
              </w:tcPr>
              <w:p w14:paraId="787E41F5" w14:textId="77777777" w:rsidR="002D0AE7" w:rsidRDefault="00333EBB">
                <w:pPr>
                  <w:jc w:val="center"/>
                  <w:rPr>
                    <w:rFonts w:hint="eastAsia"/>
                    <w:color w:val="000000"/>
                    <w:sz w:val="22"/>
                    <w:szCs w:val="22"/>
                  </w:rPr>
                </w:pPr>
                <w:r>
                  <w:rPr>
                    <w:rFonts w:hint="eastAsia"/>
                    <w:color w:val="000000"/>
                    <w:sz w:val="22"/>
                    <w:szCs w:val="22"/>
                  </w:rPr>
                  <w:t>未检出</w:t>
                </w:r>
              </w:p>
            </w:tc>
            <w:tc>
              <w:tcPr>
                <w:tcW w:w="1923" w:type="pct"/>
                <w:tcBorders>
                  <w:top w:val="single" w:sz="4" w:space="0" w:color="auto"/>
                  <w:left w:val="single" w:sz="4" w:space="0" w:color="auto"/>
                  <w:bottom w:val="single" w:sz="4" w:space="0" w:color="auto"/>
                  <w:right w:val="single" w:sz="4" w:space="0" w:color="auto"/>
                </w:tcBorders>
                <w:vAlign w:val="center"/>
              </w:tcPr>
              <w:p w14:paraId="1EB54A51" w14:textId="77777777" w:rsidR="002D0AE7" w:rsidRDefault="00333EBB">
                <w:pPr>
                  <w:rPr>
                    <w:rFonts w:hint="eastAsia"/>
                    <w:color w:val="000000"/>
                  </w:rPr>
                </w:pPr>
                <w:r>
                  <w:rPr>
                    <w:rFonts w:hint="eastAsia"/>
                    <w:color w:val="000000"/>
                  </w:rPr>
                  <w:t>锅炉大气污染物排放标准</w:t>
                </w:r>
                <w:r>
                  <w:rPr>
                    <w:rFonts w:cs="Calibri" w:hint="eastAsia"/>
                    <w:color w:val="000000"/>
                  </w:rPr>
                  <w:t>DB12/151-2020</w:t>
                </w:r>
              </w:p>
            </w:tc>
          </w:tr>
          <w:tr w:rsidR="002D0AE7" w14:paraId="324C070F" w14:textId="77777777">
            <w:trPr>
              <w:trHeight w:val="547"/>
            </w:trPr>
            <w:tc>
              <w:tcPr>
                <w:tcW w:w="724" w:type="pct"/>
                <w:vMerge w:val="restart"/>
                <w:tcBorders>
                  <w:top w:val="nil"/>
                  <w:left w:val="single" w:sz="4" w:space="0" w:color="auto"/>
                  <w:bottom w:val="single" w:sz="4" w:space="0" w:color="auto"/>
                  <w:right w:val="single" w:sz="4" w:space="0" w:color="auto"/>
                </w:tcBorders>
                <w:vAlign w:val="center"/>
              </w:tcPr>
              <w:p w14:paraId="519E11CA" w14:textId="77777777" w:rsidR="002D0AE7" w:rsidRDefault="00333EBB">
                <w:pPr>
                  <w:rPr>
                    <w:rFonts w:hint="eastAsia"/>
                    <w:color w:val="000000"/>
                  </w:rPr>
                </w:pPr>
                <w:r>
                  <w:rPr>
                    <w:rFonts w:hint="eastAsia"/>
                    <w:color w:val="000000"/>
                  </w:rPr>
                  <w:t>津药和平（天津</w:t>
                </w:r>
                <w:r>
                  <w:rPr>
                    <w:color w:val="000000"/>
                  </w:rPr>
                  <w:t>）</w:t>
                </w:r>
                <w:r>
                  <w:rPr>
                    <w:rFonts w:hint="eastAsia"/>
                    <w:color w:val="000000"/>
                  </w:rPr>
                  <w:t>制药有限公司</w:t>
                </w:r>
              </w:p>
            </w:tc>
            <w:tc>
              <w:tcPr>
                <w:tcW w:w="901" w:type="pct"/>
                <w:tcBorders>
                  <w:top w:val="single" w:sz="4" w:space="0" w:color="auto"/>
                  <w:left w:val="single" w:sz="4" w:space="0" w:color="auto"/>
                  <w:bottom w:val="single" w:sz="4" w:space="0" w:color="auto"/>
                  <w:right w:val="single" w:sz="4" w:space="0" w:color="auto"/>
                </w:tcBorders>
                <w:vAlign w:val="center"/>
              </w:tcPr>
              <w:p w14:paraId="381D57C3" w14:textId="77777777" w:rsidR="002D0AE7" w:rsidRDefault="00333EBB">
                <w:pPr>
                  <w:rPr>
                    <w:rFonts w:hint="eastAsia"/>
                    <w:color w:val="000000"/>
                  </w:rPr>
                </w:pPr>
                <w:r>
                  <w:rPr>
                    <w:rFonts w:hint="eastAsia"/>
                    <w:color w:val="000000"/>
                  </w:rPr>
                  <w:t>颗粒物</w:t>
                </w:r>
              </w:p>
            </w:tc>
            <w:tc>
              <w:tcPr>
                <w:tcW w:w="596" w:type="pct"/>
                <w:tcBorders>
                  <w:top w:val="single" w:sz="4" w:space="0" w:color="auto"/>
                  <w:left w:val="single" w:sz="4" w:space="0" w:color="auto"/>
                  <w:bottom w:val="single" w:sz="4" w:space="0" w:color="auto"/>
                  <w:right w:val="single" w:sz="4" w:space="0" w:color="auto"/>
                </w:tcBorders>
                <w:vAlign w:val="center"/>
              </w:tcPr>
              <w:p w14:paraId="58BCA476" w14:textId="77777777" w:rsidR="002D0AE7" w:rsidRDefault="00333EBB">
                <w:pPr>
                  <w:jc w:val="center"/>
                  <w:rPr>
                    <w:rFonts w:hint="eastAsia"/>
                    <w:color w:val="000000"/>
                    <w:sz w:val="22"/>
                    <w:szCs w:val="22"/>
                  </w:rPr>
                </w:pPr>
                <w:r>
                  <w:rPr>
                    <w:rFonts w:cs="Calibri" w:hint="eastAsia"/>
                    <w:color w:val="000000"/>
                    <w:sz w:val="22"/>
                    <w:szCs w:val="22"/>
                  </w:rPr>
                  <w:t>20</w:t>
                </w:r>
              </w:p>
            </w:tc>
            <w:tc>
              <w:tcPr>
                <w:tcW w:w="855" w:type="pct"/>
                <w:tcBorders>
                  <w:top w:val="single" w:sz="4" w:space="0" w:color="auto"/>
                  <w:left w:val="single" w:sz="4" w:space="0" w:color="auto"/>
                  <w:bottom w:val="single" w:sz="4" w:space="0" w:color="auto"/>
                  <w:right w:val="single" w:sz="4" w:space="0" w:color="auto"/>
                </w:tcBorders>
                <w:vAlign w:val="center"/>
              </w:tcPr>
              <w:p w14:paraId="57FE2DCA" w14:textId="77777777" w:rsidR="002D0AE7" w:rsidRDefault="00333EBB">
                <w:pPr>
                  <w:jc w:val="center"/>
                  <w:textAlignment w:val="center"/>
                  <w:rPr>
                    <w:rFonts w:hint="eastAsia"/>
                    <w:color w:val="000000"/>
                    <w:sz w:val="22"/>
                    <w:szCs w:val="22"/>
                  </w:rPr>
                </w:pPr>
                <w:r>
                  <w:rPr>
                    <w:rFonts w:hint="eastAsia"/>
                    <w:color w:val="000000"/>
                    <w:sz w:val="22"/>
                    <w:szCs w:val="22"/>
                  </w:rPr>
                  <w:t>1.91</w:t>
                </w:r>
              </w:p>
            </w:tc>
            <w:tc>
              <w:tcPr>
                <w:tcW w:w="1923" w:type="pct"/>
                <w:tcBorders>
                  <w:top w:val="single" w:sz="4" w:space="0" w:color="auto"/>
                  <w:left w:val="single" w:sz="4" w:space="0" w:color="auto"/>
                  <w:bottom w:val="single" w:sz="4" w:space="0" w:color="auto"/>
                  <w:right w:val="single" w:sz="4" w:space="0" w:color="auto"/>
                </w:tcBorders>
                <w:vAlign w:val="center"/>
              </w:tcPr>
              <w:p w14:paraId="4D2F7FF0" w14:textId="77777777" w:rsidR="002D0AE7" w:rsidRDefault="00333EBB">
                <w:pPr>
                  <w:rPr>
                    <w:rFonts w:hint="eastAsia"/>
                    <w:color w:val="000000"/>
                  </w:rPr>
                </w:pPr>
                <w:r>
                  <w:rPr>
                    <w:rFonts w:hint="eastAsia"/>
                    <w:color w:val="000000"/>
                  </w:rPr>
                  <w:t>制药工业大气污染物排放标准</w:t>
                </w:r>
                <w:r>
                  <w:rPr>
                    <w:rFonts w:cs="Calibri" w:hint="eastAsia"/>
                    <w:color w:val="000000"/>
                  </w:rPr>
                  <w:t>GB37823-2019</w:t>
                </w:r>
              </w:p>
            </w:tc>
          </w:tr>
          <w:tr w:rsidR="002D0AE7" w14:paraId="45BD3429" w14:textId="77777777">
            <w:trPr>
              <w:trHeight w:val="547"/>
            </w:trPr>
            <w:tc>
              <w:tcPr>
                <w:tcW w:w="724" w:type="pct"/>
                <w:vMerge/>
                <w:tcBorders>
                  <w:top w:val="nil"/>
                  <w:left w:val="single" w:sz="4" w:space="0" w:color="auto"/>
                  <w:bottom w:val="single" w:sz="4" w:space="0" w:color="auto"/>
                  <w:right w:val="single" w:sz="4" w:space="0" w:color="auto"/>
                </w:tcBorders>
                <w:vAlign w:val="center"/>
              </w:tcPr>
              <w:p w14:paraId="29B7A15E" w14:textId="77777777" w:rsidR="002D0AE7" w:rsidRDefault="002D0AE7">
                <w:pPr>
                  <w:rPr>
                    <w:rFonts w:ascii="Calibri" w:hAnsi="Calibri"/>
                    <w:color w:val="000000"/>
                    <w:kern w:val="2"/>
                  </w:rPr>
                </w:pPr>
              </w:p>
            </w:tc>
            <w:tc>
              <w:tcPr>
                <w:tcW w:w="901" w:type="pct"/>
                <w:tcBorders>
                  <w:top w:val="single" w:sz="4" w:space="0" w:color="auto"/>
                  <w:left w:val="single" w:sz="4" w:space="0" w:color="auto"/>
                  <w:bottom w:val="single" w:sz="4" w:space="0" w:color="auto"/>
                  <w:right w:val="single" w:sz="4" w:space="0" w:color="auto"/>
                </w:tcBorders>
                <w:vAlign w:val="center"/>
              </w:tcPr>
              <w:p w14:paraId="04B6619A" w14:textId="77777777" w:rsidR="002D0AE7" w:rsidRDefault="00333EBB">
                <w:pPr>
                  <w:rPr>
                    <w:rFonts w:hint="eastAsia"/>
                    <w:color w:val="000000"/>
                  </w:rPr>
                </w:pPr>
                <w:r>
                  <w:rPr>
                    <w:rFonts w:hint="eastAsia"/>
                    <w:color w:val="000000"/>
                  </w:rPr>
                  <w:t>氮氧化物</w:t>
                </w:r>
              </w:p>
            </w:tc>
            <w:tc>
              <w:tcPr>
                <w:tcW w:w="596" w:type="pct"/>
                <w:tcBorders>
                  <w:top w:val="single" w:sz="4" w:space="0" w:color="auto"/>
                  <w:left w:val="single" w:sz="4" w:space="0" w:color="auto"/>
                  <w:bottom w:val="single" w:sz="4" w:space="0" w:color="auto"/>
                  <w:right w:val="single" w:sz="4" w:space="0" w:color="auto"/>
                </w:tcBorders>
                <w:vAlign w:val="center"/>
              </w:tcPr>
              <w:p w14:paraId="63CB0B3D" w14:textId="77777777" w:rsidR="002D0AE7" w:rsidRDefault="00333EBB">
                <w:pPr>
                  <w:jc w:val="center"/>
                  <w:rPr>
                    <w:rFonts w:hint="eastAsia"/>
                    <w:color w:val="000000"/>
                    <w:sz w:val="22"/>
                    <w:szCs w:val="22"/>
                  </w:rPr>
                </w:pPr>
                <w:r>
                  <w:rPr>
                    <w:rFonts w:cs="Calibri" w:hint="eastAsia"/>
                    <w:color w:val="000000"/>
                    <w:sz w:val="22"/>
                    <w:szCs w:val="22"/>
                  </w:rPr>
                  <w:t>240</w:t>
                </w:r>
              </w:p>
            </w:tc>
            <w:tc>
              <w:tcPr>
                <w:tcW w:w="855" w:type="pct"/>
                <w:tcBorders>
                  <w:top w:val="single" w:sz="4" w:space="0" w:color="auto"/>
                  <w:left w:val="single" w:sz="4" w:space="0" w:color="auto"/>
                  <w:bottom w:val="single" w:sz="4" w:space="0" w:color="auto"/>
                  <w:right w:val="single" w:sz="4" w:space="0" w:color="auto"/>
                </w:tcBorders>
                <w:vAlign w:val="center"/>
              </w:tcPr>
              <w:p w14:paraId="7F7B0922" w14:textId="77777777" w:rsidR="002D0AE7" w:rsidRDefault="00333EBB">
                <w:pPr>
                  <w:jc w:val="center"/>
                  <w:textAlignment w:val="center"/>
                  <w:rPr>
                    <w:rFonts w:hint="eastAsia"/>
                    <w:color w:val="000000"/>
                    <w:sz w:val="22"/>
                    <w:szCs w:val="22"/>
                  </w:rPr>
                </w:pPr>
                <w:r>
                  <w:rPr>
                    <w:rFonts w:hint="eastAsia"/>
                    <w:color w:val="000000"/>
                    <w:sz w:val="22"/>
                    <w:szCs w:val="22"/>
                  </w:rPr>
                  <w:t>28.45</w:t>
                </w:r>
              </w:p>
            </w:tc>
            <w:tc>
              <w:tcPr>
                <w:tcW w:w="1923" w:type="pct"/>
                <w:tcBorders>
                  <w:top w:val="single" w:sz="4" w:space="0" w:color="auto"/>
                  <w:left w:val="single" w:sz="4" w:space="0" w:color="auto"/>
                  <w:bottom w:val="single" w:sz="4" w:space="0" w:color="auto"/>
                  <w:right w:val="single" w:sz="4" w:space="0" w:color="auto"/>
                </w:tcBorders>
                <w:vAlign w:val="center"/>
              </w:tcPr>
              <w:p w14:paraId="2E1A65B9" w14:textId="77777777" w:rsidR="002D0AE7" w:rsidRDefault="00333EBB">
                <w:pPr>
                  <w:rPr>
                    <w:rFonts w:hint="eastAsia"/>
                    <w:color w:val="000000"/>
                  </w:rPr>
                </w:pPr>
                <w:r>
                  <w:rPr>
                    <w:rFonts w:hint="eastAsia"/>
                    <w:color w:val="000000"/>
                  </w:rPr>
                  <w:t>大气污染物综合排放标准</w:t>
                </w:r>
                <w:r>
                  <w:rPr>
                    <w:rFonts w:cs="Calibri" w:hint="eastAsia"/>
                    <w:color w:val="000000"/>
                  </w:rPr>
                  <w:t>GB16297-1996</w:t>
                </w:r>
              </w:p>
            </w:tc>
          </w:tr>
          <w:tr w:rsidR="002D0AE7" w14:paraId="4162D8A1" w14:textId="77777777">
            <w:trPr>
              <w:trHeight w:val="547"/>
            </w:trPr>
            <w:tc>
              <w:tcPr>
                <w:tcW w:w="724" w:type="pct"/>
                <w:vMerge/>
                <w:tcBorders>
                  <w:top w:val="nil"/>
                  <w:left w:val="single" w:sz="4" w:space="0" w:color="auto"/>
                  <w:bottom w:val="single" w:sz="4" w:space="0" w:color="auto"/>
                  <w:right w:val="single" w:sz="4" w:space="0" w:color="auto"/>
                </w:tcBorders>
                <w:vAlign w:val="center"/>
              </w:tcPr>
              <w:p w14:paraId="0686ED74" w14:textId="77777777" w:rsidR="002D0AE7" w:rsidRDefault="002D0AE7">
                <w:pPr>
                  <w:rPr>
                    <w:rFonts w:ascii="Calibri" w:hAnsi="Calibri"/>
                    <w:color w:val="000000"/>
                    <w:kern w:val="2"/>
                  </w:rPr>
                </w:pPr>
              </w:p>
            </w:tc>
            <w:tc>
              <w:tcPr>
                <w:tcW w:w="901" w:type="pct"/>
                <w:tcBorders>
                  <w:top w:val="single" w:sz="4" w:space="0" w:color="auto"/>
                  <w:left w:val="single" w:sz="4" w:space="0" w:color="auto"/>
                  <w:bottom w:val="single" w:sz="4" w:space="0" w:color="auto"/>
                  <w:right w:val="single" w:sz="4" w:space="0" w:color="auto"/>
                </w:tcBorders>
                <w:vAlign w:val="center"/>
              </w:tcPr>
              <w:p w14:paraId="0150257B" w14:textId="77777777" w:rsidR="002D0AE7" w:rsidRDefault="00333EBB">
                <w:pPr>
                  <w:rPr>
                    <w:rFonts w:hint="eastAsia"/>
                    <w:color w:val="000000"/>
                  </w:rPr>
                </w:pPr>
                <w:r>
                  <w:rPr>
                    <w:rFonts w:hint="eastAsia"/>
                    <w:color w:val="000000"/>
                  </w:rPr>
                  <w:t>挥发性有机物</w:t>
                </w:r>
              </w:p>
            </w:tc>
            <w:tc>
              <w:tcPr>
                <w:tcW w:w="596" w:type="pct"/>
                <w:tcBorders>
                  <w:top w:val="single" w:sz="4" w:space="0" w:color="auto"/>
                  <w:left w:val="single" w:sz="4" w:space="0" w:color="auto"/>
                  <w:bottom w:val="single" w:sz="4" w:space="0" w:color="auto"/>
                  <w:right w:val="single" w:sz="4" w:space="0" w:color="auto"/>
                </w:tcBorders>
                <w:vAlign w:val="center"/>
              </w:tcPr>
              <w:p w14:paraId="7ABA84D8" w14:textId="77777777" w:rsidR="002D0AE7" w:rsidRDefault="00333EBB">
                <w:pPr>
                  <w:jc w:val="center"/>
                  <w:rPr>
                    <w:rFonts w:hint="eastAsia"/>
                    <w:color w:val="000000"/>
                    <w:sz w:val="22"/>
                    <w:szCs w:val="22"/>
                  </w:rPr>
                </w:pPr>
                <w:r>
                  <w:rPr>
                    <w:rFonts w:cs="Calibri" w:hint="eastAsia"/>
                    <w:color w:val="000000"/>
                    <w:sz w:val="22"/>
                    <w:szCs w:val="22"/>
                  </w:rPr>
                  <w:t>40</w:t>
                </w:r>
              </w:p>
            </w:tc>
            <w:tc>
              <w:tcPr>
                <w:tcW w:w="855" w:type="pct"/>
                <w:tcBorders>
                  <w:top w:val="single" w:sz="4" w:space="0" w:color="auto"/>
                  <w:left w:val="single" w:sz="4" w:space="0" w:color="auto"/>
                  <w:bottom w:val="single" w:sz="4" w:space="0" w:color="auto"/>
                  <w:right w:val="single" w:sz="4" w:space="0" w:color="auto"/>
                </w:tcBorders>
                <w:vAlign w:val="center"/>
              </w:tcPr>
              <w:p w14:paraId="60875644" w14:textId="77777777" w:rsidR="002D0AE7" w:rsidRDefault="00333EBB">
                <w:pPr>
                  <w:jc w:val="center"/>
                  <w:textAlignment w:val="center"/>
                  <w:rPr>
                    <w:rFonts w:hint="eastAsia"/>
                    <w:color w:val="000000"/>
                    <w:sz w:val="22"/>
                    <w:szCs w:val="22"/>
                  </w:rPr>
                </w:pPr>
                <w:r>
                  <w:rPr>
                    <w:rFonts w:hint="eastAsia"/>
                    <w:color w:val="000000"/>
                    <w:sz w:val="22"/>
                    <w:szCs w:val="22"/>
                  </w:rPr>
                  <w:t>3.35</w:t>
                </w:r>
              </w:p>
            </w:tc>
            <w:tc>
              <w:tcPr>
                <w:tcW w:w="1923" w:type="pct"/>
                <w:tcBorders>
                  <w:top w:val="single" w:sz="4" w:space="0" w:color="auto"/>
                  <w:left w:val="single" w:sz="4" w:space="0" w:color="auto"/>
                  <w:bottom w:val="single" w:sz="4" w:space="0" w:color="auto"/>
                  <w:right w:val="single" w:sz="4" w:space="0" w:color="auto"/>
                </w:tcBorders>
                <w:vAlign w:val="center"/>
              </w:tcPr>
              <w:p w14:paraId="43056790" w14:textId="77777777" w:rsidR="002D0AE7" w:rsidRDefault="00333EBB">
                <w:pPr>
                  <w:rPr>
                    <w:rFonts w:hint="eastAsia"/>
                    <w:color w:val="000000"/>
                  </w:rPr>
                </w:pPr>
                <w:r>
                  <w:rPr>
                    <w:rFonts w:hint="eastAsia"/>
                    <w:color w:val="000000"/>
                  </w:rPr>
                  <w:t>工业企业挥发性有机物排放控制标准</w:t>
                </w:r>
                <w:r>
                  <w:rPr>
                    <w:rFonts w:cs="Calibri" w:hint="eastAsia"/>
                    <w:color w:val="000000"/>
                  </w:rPr>
                  <w:t>DB12/524-2020</w:t>
                </w:r>
              </w:p>
            </w:tc>
          </w:tr>
          <w:tr w:rsidR="002D0AE7" w14:paraId="669BAC0C" w14:textId="77777777">
            <w:trPr>
              <w:trHeight w:val="547"/>
            </w:trPr>
            <w:tc>
              <w:tcPr>
                <w:tcW w:w="724" w:type="pct"/>
                <w:vMerge/>
                <w:tcBorders>
                  <w:top w:val="nil"/>
                  <w:left w:val="single" w:sz="4" w:space="0" w:color="auto"/>
                  <w:bottom w:val="single" w:sz="4" w:space="0" w:color="auto"/>
                  <w:right w:val="single" w:sz="4" w:space="0" w:color="auto"/>
                </w:tcBorders>
                <w:vAlign w:val="center"/>
              </w:tcPr>
              <w:p w14:paraId="081D5FC0" w14:textId="77777777" w:rsidR="002D0AE7" w:rsidRDefault="002D0AE7">
                <w:pPr>
                  <w:rPr>
                    <w:rFonts w:ascii="Calibri" w:hAnsi="Calibri"/>
                    <w:color w:val="000000"/>
                    <w:kern w:val="2"/>
                  </w:rPr>
                </w:pPr>
              </w:p>
            </w:tc>
            <w:tc>
              <w:tcPr>
                <w:tcW w:w="901" w:type="pct"/>
                <w:tcBorders>
                  <w:top w:val="single" w:sz="4" w:space="0" w:color="auto"/>
                  <w:left w:val="single" w:sz="4" w:space="0" w:color="auto"/>
                  <w:bottom w:val="single" w:sz="4" w:space="0" w:color="auto"/>
                  <w:right w:val="single" w:sz="4" w:space="0" w:color="auto"/>
                </w:tcBorders>
                <w:vAlign w:val="center"/>
              </w:tcPr>
              <w:p w14:paraId="69EEF242" w14:textId="77777777" w:rsidR="002D0AE7" w:rsidRDefault="00333EBB">
                <w:pPr>
                  <w:rPr>
                    <w:rFonts w:hint="eastAsia"/>
                    <w:color w:val="000000"/>
                  </w:rPr>
                </w:pPr>
                <w:r>
                  <w:rPr>
                    <w:rFonts w:hint="eastAsia"/>
                    <w:color w:val="000000"/>
                  </w:rPr>
                  <w:t>非甲烷总烃</w:t>
                </w:r>
              </w:p>
            </w:tc>
            <w:tc>
              <w:tcPr>
                <w:tcW w:w="596" w:type="pct"/>
                <w:tcBorders>
                  <w:top w:val="single" w:sz="4" w:space="0" w:color="auto"/>
                  <w:left w:val="single" w:sz="4" w:space="0" w:color="auto"/>
                  <w:bottom w:val="single" w:sz="4" w:space="0" w:color="auto"/>
                  <w:right w:val="single" w:sz="4" w:space="0" w:color="auto"/>
                </w:tcBorders>
                <w:vAlign w:val="center"/>
              </w:tcPr>
              <w:p w14:paraId="0ED0BFF2" w14:textId="77777777" w:rsidR="002D0AE7" w:rsidRDefault="00333EBB">
                <w:pPr>
                  <w:jc w:val="center"/>
                  <w:rPr>
                    <w:rFonts w:hint="eastAsia"/>
                    <w:color w:val="000000"/>
                    <w:sz w:val="22"/>
                    <w:szCs w:val="22"/>
                  </w:rPr>
                </w:pPr>
                <w:r>
                  <w:rPr>
                    <w:rFonts w:cs="Calibri" w:hint="eastAsia"/>
                    <w:color w:val="000000"/>
                    <w:sz w:val="22"/>
                    <w:szCs w:val="22"/>
                  </w:rPr>
                  <w:t>40</w:t>
                </w:r>
              </w:p>
            </w:tc>
            <w:tc>
              <w:tcPr>
                <w:tcW w:w="855" w:type="pct"/>
                <w:tcBorders>
                  <w:top w:val="single" w:sz="4" w:space="0" w:color="auto"/>
                  <w:left w:val="single" w:sz="4" w:space="0" w:color="auto"/>
                  <w:bottom w:val="single" w:sz="4" w:space="0" w:color="auto"/>
                  <w:right w:val="single" w:sz="4" w:space="0" w:color="auto"/>
                </w:tcBorders>
                <w:vAlign w:val="center"/>
              </w:tcPr>
              <w:p w14:paraId="796064F4" w14:textId="77777777" w:rsidR="002D0AE7" w:rsidRDefault="00333EBB">
                <w:pPr>
                  <w:jc w:val="center"/>
                  <w:textAlignment w:val="center"/>
                  <w:rPr>
                    <w:rFonts w:hint="eastAsia"/>
                    <w:color w:val="000000"/>
                    <w:sz w:val="22"/>
                    <w:szCs w:val="22"/>
                  </w:rPr>
                </w:pPr>
                <w:r>
                  <w:rPr>
                    <w:rFonts w:hint="eastAsia"/>
                    <w:color w:val="000000"/>
                    <w:sz w:val="22"/>
                    <w:szCs w:val="22"/>
                  </w:rPr>
                  <w:t>1.76</w:t>
                </w:r>
              </w:p>
            </w:tc>
            <w:tc>
              <w:tcPr>
                <w:tcW w:w="1923" w:type="pct"/>
                <w:tcBorders>
                  <w:top w:val="single" w:sz="4" w:space="0" w:color="auto"/>
                  <w:left w:val="single" w:sz="4" w:space="0" w:color="auto"/>
                  <w:bottom w:val="single" w:sz="4" w:space="0" w:color="auto"/>
                  <w:right w:val="single" w:sz="4" w:space="0" w:color="auto"/>
                </w:tcBorders>
                <w:vAlign w:val="center"/>
              </w:tcPr>
              <w:p w14:paraId="020DCDC5" w14:textId="77777777" w:rsidR="002D0AE7" w:rsidRDefault="00333EBB">
                <w:pPr>
                  <w:rPr>
                    <w:rFonts w:hint="eastAsia"/>
                    <w:color w:val="000000"/>
                  </w:rPr>
                </w:pPr>
                <w:r>
                  <w:rPr>
                    <w:rFonts w:hint="eastAsia"/>
                    <w:color w:val="000000"/>
                  </w:rPr>
                  <w:t>工业企业挥发性有机物排放控制标准</w:t>
                </w:r>
                <w:r>
                  <w:rPr>
                    <w:rFonts w:cs="Calibri" w:hint="eastAsia"/>
                    <w:color w:val="000000"/>
                  </w:rPr>
                  <w:t>DB12/524-2020</w:t>
                </w:r>
              </w:p>
            </w:tc>
          </w:tr>
          <w:tr w:rsidR="002D0AE7" w14:paraId="6013FF22" w14:textId="77777777">
            <w:trPr>
              <w:trHeight w:val="547"/>
            </w:trPr>
            <w:tc>
              <w:tcPr>
                <w:tcW w:w="724" w:type="pct"/>
                <w:vMerge/>
                <w:tcBorders>
                  <w:top w:val="nil"/>
                  <w:left w:val="single" w:sz="4" w:space="0" w:color="auto"/>
                  <w:bottom w:val="single" w:sz="4" w:space="0" w:color="auto"/>
                  <w:right w:val="single" w:sz="4" w:space="0" w:color="auto"/>
                </w:tcBorders>
                <w:vAlign w:val="center"/>
              </w:tcPr>
              <w:p w14:paraId="7D242C03" w14:textId="77777777" w:rsidR="002D0AE7" w:rsidRDefault="002D0AE7">
                <w:pPr>
                  <w:rPr>
                    <w:rFonts w:ascii="Calibri" w:hAnsi="Calibri"/>
                    <w:color w:val="000000"/>
                    <w:kern w:val="2"/>
                  </w:rPr>
                </w:pPr>
              </w:p>
            </w:tc>
            <w:tc>
              <w:tcPr>
                <w:tcW w:w="901" w:type="pct"/>
                <w:tcBorders>
                  <w:top w:val="single" w:sz="4" w:space="0" w:color="auto"/>
                  <w:left w:val="single" w:sz="4" w:space="0" w:color="auto"/>
                  <w:bottom w:val="single" w:sz="4" w:space="0" w:color="auto"/>
                  <w:right w:val="single" w:sz="4" w:space="0" w:color="auto"/>
                </w:tcBorders>
                <w:vAlign w:val="center"/>
              </w:tcPr>
              <w:p w14:paraId="6FB97642" w14:textId="77777777" w:rsidR="002D0AE7" w:rsidRDefault="00333EBB">
                <w:pPr>
                  <w:rPr>
                    <w:rFonts w:hint="eastAsia"/>
                    <w:color w:val="000000"/>
                  </w:rPr>
                </w:pPr>
                <w:r>
                  <w:rPr>
                    <w:rFonts w:hint="eastAsia"/>
                    <w:color w:val="000000"/>
                  </w:rPr>
                  <w:t>氨</w:t>
                </w:r>
              </w:p>
            </w:tc>
            <w:tc>
              <w:tcPr>
                <w:tcW w:w="596" w:type="pct"/>
                <w:tcBorders>
                  <w:top w:val="single" w:sz="4" w:space="0" w:color="auto"/>
                  <w:left w:val="single" w:sz="4" w:space="0" w:color="auto"/>
                  <w:bottom w:val="single" w:sz="4" w:space="0" w:color="auto"/>
                  <w:right w:val="single" w:sz="4" w:space="0" w:color="auto"/>
                </w:tcBorders>
                <w:vAlign w:val="center"/>
              </w:tcPr>
              <w:p w14:paraId="38FAB5E4" w14:textId="77777777" w:rsidR="002D0AE7" w:rsidRDefault="00333EBB">
                <w:pPr>
                  <w:jc w:val="center"/>
                  <w:rPr>
                    <w:rFonts w:hint="eastAsia"/>
                    <w:color w:val="000000"/>
                    <w:sz w:val="22"/>
                    <w:szCs w:val="22"/>
                  </w:rPr>
                </w:pPr>
                <w:r>
                  <w:rPr>
                    <w:rFonts w:cs="Calibri" w:hint="eastAsia"/>
                    <w:color w:val="000000"/>
                    <w:sz w:val="22"/>
                    <w:szCs w:val="22"/>
                  </w:rPr>
                  <w:t>20</w:t>
                </w:r>
              </w:p>
            </w:tc>
            <w:tc>
              <w:tcPr>
                <w:tcW w:w="855" w:type="pct"/>
                <w:tcBorders>
                  <w:top w:val="single" w:sz="4" w:space="0" w:color="auto"/>
                  <w:left w:val="single" w:sz="4" w:space="0" w:color="auto"/>
                  <w:bottom w:val="single" w:sz="4" w:space="0" w:color="auto"/>
                  <w:right w:val="single" w:sz="4" w:space="0" w:color="auto"/>
                </w:tcBorders>
                <w:vAlign w:val="center"/>
              </w:tcPr>
              <w:p w14:paraId="0520C5AC" w14:textId="77777777" w:rsidR="002D0AE7" w:rsidRDefault="00333EBB">
                <w:pPr>
                  <w:jc w:val="center"/>
                  <w:textAlignment w:val="center"/>
                  <w:rPr>
                    <w:rFonts w:hint="eastAsia"/>
                    <w:color w:val="000000"/>
                    <w:sz w:val="22"/>
                    <w:szCs w:val="22"/>
                  </w:rPr>
                </w:pPr>
                <w:r>
                  <w:rPr>
                    <w:rFonts w:hint="eastAsia"/>
                    <w:color w:val="000000"/>
                    <w:sz w:val="22"/>
                    <w:szCs w:val="22"/>
                  </w:rPr>
                  <w:t>8.055</w:t>
                </w:r>
              </w:p>
            </w:tc>
            <w:tc>
              <w:tcPr>
                <w:tcW w:w="1923" w:type="pct"/>
                <w:tcBorders>
                  <w:top w:val="single" w:sz="4" w:space="0" w:color="auto"/>
                  <w:left w:val="single" w:sz="4" w:space="0" w:color="auto"/>
                  <w:bottom w:val="single" w:sz="4" w:space="0" w:color="auto"/>
                  <w:right w:val="single" w:sz="4" w:space="0" w:color="auto"/>
                </w:tcBorders>
                <w:vAlign w:val="center"/>
              </w:tcPr>
              <w:p w14:paraId="554C02CB" w14:textId="77777777" w:rsidR="002D0AE7" w:rsidRDefault="00333EBB">
                <w:pPr>
                  <w:rPr>
                    <w:rFonts w:hint="eastAsia"/>
                    <w:color w:val="000000"/>
                  </w:rPr>
                </w:pPr>
                <w:r>
                  <w:rPr>
                    <w:rFonts w:hint="eastAsia"/>
                    <w:color w:val="000000"/>
                  </w:rPr>
                  <w:t>制药工业大气污染物排放标准</w:t>
                </w:r>
                <w:r>
                  <w:rPr>
                    <w:rFonts w:cs="Calibri" w:hint="eastAsia"/>
                    <w:color w:val="000000"/>
                  </w:rPr>
                  <w:t>GB37823</w:t>
                </w:r>
                <w:r>
                  <w:rPr>
                    <w:rFonts w:hint="eastAsia"/>
                    <w:color w:val="000000"/>
                  </w:rPr>
                  <w:t>—</w:t>
                </w:r>
                <w:r>
                  <w:rPr>
                    <w:rFonts w:cs="Calibri" w:hint="eastAsia"/>
                    <w:color w:val="000000"/>
                  </w:rPr>
                  <w:t>2019</w:t>
                </w:r>
              </w:p>
            </w:tc>
          </w:tr>
          <w:tr w:rsidR="002D0AE7" w14:paraId="3F346CE9" w14:textId="77777777">
            <w:trPr>
              <w:trHeight w:val="547"/>
            </w:trPr>
            <w:tc>
              <w:tcPr>
                <w:tcW w:w="724" w:type="pct"/>
                <w:vMerge/>
                <w:tcBorders>
                  <w:top w:val="nil"/>
                  <w:left w:val="single" w:sz="4" w:space="0" w:color="auto"/>
                  <w:bottom w:val="single" w:sz="4" w:space="0" w:color="auto"/>
                  <w:right w:val="single" w:sz="4" w:space="0" w:color="auto"/>
                </w:tcBorders>
                <w:vAlign w:val="center"/>
              </w:tcPr>
              <w:p w14:paraId="7A2FAFF0" w14:textId="77777777" w:rsidR="002D0AE7" w:rsidRDefault="002D0AE7">
                <w:pPr>
                  <w:rPr>
                    <w:rFonts w:ascii="Calibri" w:hAnsi="Calibri"/>
                    <w:color w:val="000000"/>
                    <w:kern w:val="2"/>
                  </w:rPr>
                </w:pPr>
              </w:p>
            </w:tc>
            <w:tc>
              <w:tcPr>
                <w:tcW w:w="901" w:type="pct"/>
                <w:tcBorders>
                  <w:top w:val="single" w:sz="4" w:space="0" w:color="auto"/>
                  <w:left w:val="single" w:sz="4" w:space="0" w:color="auto"/>
                  <w:bottom w:val="single" w:sz="4" w:space="0" w:color="auto"/>
                  <w:right w:val="single" w:sz="4" w:space="0" w:color="auto"/>
                </w:tcBorders>
                <w:vAlign w:val="center"/>
              </w:tcPr>
              <w:p w14:paraId="127D7C4E" w14:textId="77777777" w:rsidR="002D0AE7" w:rsidRDefault="00333EBB">
                <w:pPr>
                  <w:rPr>
                    <w:rFonts w:hint="eastAsia"/>
                    <w:color w:val="000000"/>
                  </w:rPr>
                </w:pPr>
                <w:r>
                  <w:rPr>
                    <w:rFonts w:hint="eastAsia"/>
                    <w:color w:val="000000"/>
                  </w:rPr>
                  <w:t>硫化氢</w:t>
                </w:r>
              </w:p>
            </w:tc>
            <w:tc>
              <w:tcPr>
                <w:tcW w:w="596" w:type="pct"/>
                <w:tcBorders>
                  <w:top w:val="single" w:sz="4" w:space="0" w:color="auto"/>
                  <w:left w:val="single" w:sz="4" w:space="0" w:color="auto"/>
                  <w:bottom w:val="single" w:sz="4" w:space="0" w:color="auto"/>
                  <w:right w:val="single" w:sz="4" w:space="0" w:color="auto"/>
                </w:tcBorders>
                <w:vAlign w:val="center"/>
              </w:tcPr>
              <w:p w14:paraId="73168863" w14:textId="77777777" w:rsidR="002D0AE7" w:rsidRDefault="00333EBB">
                <w:pPr>
                  <w:jc w:val="center"/>
                  <w:rPr>
                    <w:rFonts w:hint="eastAsia"/>
                    <w:color w:val="000000"/>
                    <w:sz w:val="22"/>
                    <w:szCs w:val="22"/>
                  </w:rPr>
                </w:pPr>
                <w:r>
                  <w:rPr>
                    <w:rFonts w:cs="Calibri" w:hint="eastAsia"/>
                    <w:color w:val="000000"/>
                    <w:sz w:val="22"/>
                    <w:szCs w:val="22"/>
                  </w:rPr>
                  <w:t>5</w:t>
                </w:r>
              </w:p>
            </w:tc>
            <w:tc>
              <w:tcPr>
                <w:tcW w:w="855" w:type="pct"/>
                <w:tcBorders>
                  <w:top w:val="single" w:sz="4" w:space="0" w:color="auto"/>
                  <w:left w:val="single" w:sz="4" w:space="0" w:color="auto"/>
                  <w:bottom w:val="single" w:sz="4" w:space="0" w:color="auto"/>
                  <w:right w:val="single" w:sz="4" w:space="0" w:color="auto"/>
                </w:tcBorders>
                <w:vAlign w:val="center"/>
              </w:tcPr>
              <w:p w14:paraId="427B25D1" w14:textId="77777777" w:rsidR="002D0AE7" w:rsidRDefault="00333EBB">
                <w:pPr>
                  <w:jc w:val="center"/>
                  <w:textAlignment w:val="center"/>
                  <w:rPr>
                    <w:rFonts w:hint="eastAsia"/>
                    <w:color w:val="000000"/>
                    <w:sz w:val="22"/>
                    <w:szCs w:val="22"/>
                  </w:rPr>
                </w:pPr>
                <w:r>
                  <w:rPr>
                    <w:rFonts w:hint="eastAsia"/>
                    <w:color w:val="000000"/>
                    <w:sz w:val="22"/>
                    <w:szCs w:val="22"/>
                  </w:rPr>
                  <w:t>0.078</w:t>
                </w:r>
              </w:p>
            </w:tc>
            <w:tc>
              <w:tcPr>
                <w:tcW w:w="1923" w:type="pct"/>
                <w:tcBorders>
                  <w:top w:val="single" w:sz="4" w:space="0" w:color="auto"/>
                  <w:left w:val="single" w:sz="4" w:space="0" w:color="auto"/>
                  <w:bottom w:val="single" w:sz="4" w:space="0" w:color="auto"/>
                  <w:right w:val="single" w:sz="4" w:space="0" w:color="auto"/>
                </w:tcBorders>
                <w:vAlign w:val="center"/>
              </w:tcPr>
              <w:p w14:paraId="0966937A" w14:textId="77777777" w:rsidR="002D0AE7" w:rsidRDefault="00333EBB">
                <w:pPr>
                  <w:rPr>
                    <w:rFonts w:hint="eastAsia"/>
                    <w:color w:val="000000"/>
                  </w:rPr>
                </w:pPr>
                <w:r>
                  <w:rPr>
                    <w:rFonts w:hint="eastAsia"/>
                    <w:color w:val="000000"/>
                  </w:rPr>
                  <w:t>恶臭污染物排放标准</w:t>
                </w:r>
                <w:r>
                  <w:rPr>
                    <w:rFonts w:cs="Calibri" w:hint="eastAsia"/>
                    <w:color w:val="000000"/>
                  </w:rPr>
                  <w:t>DB12/059-2018</w:t>
                </w:r>
              </w:p>
            </w:tc>
          </w:tr>
          <w:tr w:rsidR="002D0AE7" w14:paraId="226A2CE9" w14:textId="77777777">
            <w:trPr>
              <w:trHeight w:val="547"/>
            </w:trPr>
            <w:tc>
              <w:tcPr>
                <w:tcW w:w="724" w:type="pct"/>
                <w:vMerge/>
                <w:tcBorders>
                  <w:top w:val="nil"/>
                  <w:left w:val="single" w:sz="4" w:space="0" w:color="auto"/>
                  <w:bottom w:val="single" w:sz="4" w:space="0" w:color="auto"/>
                  <w:right w:val="single" w:sz="4" w:space="0" w:color="auto"/>
                </w:tcBorders>
                <w:vAlign w:val="center"/>
              </w:tcPr>
              <w:p w14:paraId="59430C52" w14:textId="77777777" w:rsidR="002D0AE7" w:rsidRDefault="002D0AE7">
                <w:pPr>
                  <w:rPr>
                    <w:rFonts w:ascii="Calibri" w:hAnsi="Calibri"/>
                    <w:color w:val="000000"/>
                    <w:kern w:val="2"/>
                  </w:rPr>
                </w:pPr>
              </w:p>
            </w:tc>
            <w:tc>
              <w:tcPr>
                <w:tcW w:w="901" w:type="pct"/>
                <w:tcBorders>
                  <w:top w:val="single" w:sz="4" w:space="0" w:color="auto"/>
                  <w:left w:val="single" w:sz="4" w:space="0" w:color="auto"/>
                  <w:bottom w:val="single" w:sz="4" w:space="0" w:color="auto"/>
                  <w:right w:val="single" w:sz="4" w:space="0" w:color="auto"/>
                </w:tcBorders>
                <w:vAlign w:val="center"/>
              </w:tcPr>
              <w:p w14:paraId="7C3C9248" w14:textId="77777777" w:rsidR="002D0AE7" w:rsidRDefault="00333EBB">
                <w:pPr>
                  <w:rPr>
                    <w:rFonts w:hint="eastAsia"/>
                    <w:color w:val="000000"/>
                  </w:rPr>
                </w:pPr>
                <w:r>
                  <w:rPr>
                    <w:rFonts w:hint="eastAsia"/>
                    <w:color w:val="000000"/>
                  </w:rPr>
                  <w:t>臭气浓度</w:t>
                </w:r>
              </w:p>
            </w:tc>
            <w:tc>
              <w:tcPr>
                <w:tcW w:w="596" w:type="pct"/>
                <w:tcBorders>
                  <w:top w:val="single" w:sz="4" w:space="0" w:color="auto"/>
                  <w:left w:val="single" w:sz="4" w:space="0" w:color="auto"/>
                  <w:bottom w:val="single" w:sz="4" w:space="0" w:color="auto"/>
                  <w:right w:val="single" w:sz="4" w:space="0" w:color="auto"/>
                </w:tcBorders>
                <w:vAlign w:val="center"/>
              </w:tcPr>
              <w:p w14:paraId="3AC4D4F5" w14:textId="77777777" w:rsidR="002D0AE7" w:rsidRDefault="00333EBB">
                <w:pPr>
                  <w:jc w:val="center"/>
                  <w:rPr>
                    <w:rFonts w:hint="eastAsia"/>
                    <w:color w:val="000000"/>
                    <w:sz w:val="22"/>
                    <w:szCs w:val="22"/>
                  </w:rPr>
                </w:pPr>
                <w:r>
                  <w:rPr>
                    <w:rFonts w:cs="Calibri" w:hint="eastAsia"/>
                    <w:color w:val="000000"/>
                    <w:sz w:val="22"/>
                    <w:szCs w:val="22"/>
                  </w:rPr>
                  <w:t>1000</w:t>
                </w:r>
                <w:r>
                  <w:rPr>
                    <w:rFonts w:hint="eastAsia"/>
                    <w:color w:val="000000"/>
                    <w:sz w:val="22"/>
                    <w:szCs w:val="22"/>
                  </w:rPr>
                  <w:t>（无量纲）</w:t>
                </w:r>
              </w:p>
            </w:tc>
            <w:tc>
              <w:tcPr>
                <w:tcW w:w="855" w:type="pct"/>
                <w:tcBorders>
                  <w:top w:val="single" w:sz="4" w:space="0" w:color="auto"/>
                  <w:left w:val="single" w:sz="4" w:space="0" w:color="auto"/>
                  <w:bottom w:val="single" w:sz="4" w:space="0" w:color="auto"/>
                  <w:right w:val="single" w:sz="4" w:space="0" w:color="auto"/>
                </w:tcBorders>
                <w:vAlign w:val="center"/>
              </w:tcPr>
              <w:p w14:paraId="2C2A9E23" w14:textId="77777777" w:rsidR="002D0AE7" w:rsidRDefault="00333EBB">
                <w:pPr>
                  <w:jc w:val="center"/>
                  <w:textAlignment w:val="center"/>
                  <w:rPr>
                    <w:rFonts w:hint="eastAsia"/>
                    <w:color w:val="000000"/>
                    <w:sz w:val="22"/>
                    <w:szCs w:val="22"/>
                  </w:rPr>
                </w:pPr>
                <w:r>
                  <w:rPr>
                    <w:rFonts w:hint="eastAsia"/>
                    <w:color w:val="000000"/>
                    <w:sz w:val="22"/>
                    <w:szCs w:val="22"/>
                  </w:rPr>
                  <w:t>428</w:t>
                </w:r>
                <w:r>
                  <w:rPr>
                    <w:rFonts w:hint="eastAsia"/>
                    <w:color w:val="000000"/>
                    <w:sz w:val="22"/>
                    <w:szCs w:val="22"/>
                  </w:rPr>
                  <w:t>（无量纲）</w:t>
                </w:r>
              </w:p>
            </w:tc>
            <w:tc>
              <w:tcPr>
                <w:tcW w:w="1923" w:type="pct"/>
                <w:tcBorders>
                  <w:top w:val="single" w:sz="4" w:space="0" w:color="auto"/>
                  <w:left w:val="single" w:sz="4" w:space="0" w:color="auto"/>
                  <w:bottom w:val="single" w:sz="4" w:space="0" w:color="auto"/>
                  <w:right w:val="single" w:sz="4" w:space="0" w:color="auto"/>
                </w:tcBorders>
                <w:vAlign w:val="center"/>
              </w:tcPr>
              <w:p w14:paraId="7A01641A" w14:textId="77777777" w:rsidR="002D0AE7" w:rsidRDefault="00333EBB">
                <w:pPr>
                  <w:rPr>
                    <w:rFonts w:hint="eastAsia"/>
                    <w:color w:val="000000"/>
                  </w:rPr>
                </w:pPr>
                <w:r>
                  <w:rPr>
                    <w:rFonts w:hint="eastAsia"/>
                    <w:color w:val="000000"/>
                  </w:rPr>
                  <w:t>恶臭污染物排放标准</w:t>
                </w:r>
                <w:r>
                  <w:rPr>
                    <w:rFonts w:cs="Calibri" w:hint="eastAsia"/>
                    <w:color w:val="000000"/>
                  </w:rPr>
                  <w:t>DB12/059-2018</w:t>
                </w:r>
              </w:p>
            </w:tc>
          </w:tr>
          <w:tr w:rsidR="002D0AE7" w14:paraId="1EE6321C" w14:textId="77777777">
            <w:trPr>
              <w:trHeight w:val="547"/>
            </w:trPr>
            <w:tc>
              <w:tcPr>
                <w:tcW w:w="724" w:type="pct"/>
                <w:vMerge/>
                <w:tcBorders>
                  <w:top w:val="nil"/>
                  <w:left w:val="single" w:sz="4" w:space="0" w:color="auto"/>
                  <w:bottom w:val="single" w:sz="4" w:space="0" w:color="auto"/>
                  <w:right w:val="single" w:sz="4" w:space="0" w:color="auto"/>
                </w:tcBorders>
                <w:vAlign w:val="center"/>
              </w:tcPr>
              <w:p w14:paraId="5E49BD09" w14:textId="77777777" w:rsidR="002D0AE7" w:rsidRDefault="002D0AE7">
                <w:pPr>
                  <w:rPr>
                    <w:rFonts w:ascii="Calibri" w:hAnsi="Calibri"/>
                    <w:color w:val="000000"/>
                    <w:kern w:val="2"/>
                  </w:rPr>
                </w:pPr>
              </w:p>
            </w:tc>
            <w:tc>
              <w:tcPr>
                <w:tcW w:w="901" w:type="pct"/>
                <w:tcBorders>
                  <w:top w:val="single" w:sz="4" w:space="0" w:color="auto"/>
                  <w:left w:val="single" w:sz="4" w:space="0" w:color="auto"/>
                  <w:bottom w:val="single" w:sz="4" w:space="0" w:color="auto"/>
                  <w:right w:val="single" w:sz="4" w:space="0" w:color="auto"/>
                </w:tcBorders>
                <w:vAlign w:val="center"/>
              </w:tcPr>
              <w:p w14:paraId="4DE5ECAB" w14:textId="77777777" w:rsidR="002D0AE7" w:rsidRDefault="00333EBB">
                <w:pPr>
                  <w:rPr>
                    <w:rFonts w:hint="eastAsia"/>
                    <w:color w:val="000000"/>
                  </w:rPr>
                </w:pPr>
                <w:r>
                  <w:rPr>
                    <w:rFonts w:hint="eastAsia"/>
                    <w:color w:val="000000"/>
                  </w:rPr>
                  <w:t>二氧化硫</w:t>
                </w:r>
              </w:p>
            </w:tc>
            <w:tc>
              <w:tcPr>
                <w:tcW w:w="596" w:type="pct"/>
                <w:tcBorders>
                  <w:top w:val="single" w:sz="4" w:space="0" w:color="auto"/>
                  <w:left w:val="single" w:sz="4" w:space="0" w:color="auto"/>
                  <w:bottom w:val="single" w:sz="4" w:space="0" w:color="auto"/>
                  <w:right w:val="single" w:sz="4" w:space="0" w:color="auto"/>
                </w:tcBorders>
                <w:vAlign w:val="center"/>
              </w:tcPr>
              <w:p w14:paraId="08B53344" w14:textId="77777777" w:rsidR="002D0AE7" w:rsidRDefault="00333EBB">
                <w:pPr>
                  <w:jc w:val="center"/>
                  <w:rPr>
                    <w:rFonts w:hint="eastAsia"/>
                    <w:color w:val="000000"/>
                    <w:sz w:val="22"/>
                    <w:szCs w:val="22"/>
                  </w:rPr>
                </w:pPr>
                <w:r>
                  <w:rPr>
                    <w:rFonts w:cs="Calibri" w:hint="eastAsia"/>
                    <w:color w:val="000000"/>
                    <w:sz w:val="22"/>
                    <w:szCs w:val="22"/>
                  </w:rPr>
                  <w:t>550</w:t>
                </w:r>
              </w:p>
            </w:tc>
            <w:tc>
              <w:tcPr>
                <w:tcW w:w="855" w:type="pct"/>
                <w:tcBorders>
                  <w:top w:val="single" w:sz="4" w:space="0" w:color="auto"/>
                  <w:left w:val="single" w:sz="4" w:space="0" w:color="auto"/>
                  <w:bottom w:val="single" w:sz="4" w:space="0" w:color="auto"/>
                  <w:right w:val="single" w:sz="4" w:space="0" w:color="auto"/>
                </w:tcBorders>
                <w:vAlign w:val="center"/>
              </w:tcPr>
              <w:p w14:paraId="2A7C74B2" w14:textId="77777777" w:rsidR="002D0AE7" w:rsidRDefault="00333EBB">
                <w:pPr>
                  <w:jc w:val="center"/>
                  <w:rPr>
                    <w:rFonts w:hint="eastAsia"/>
                    <w:color w:val="000000"/>
                    <w:sz w:val="22"/>
                    <w:szCs w:val="22"/>
                  </w:rPr>
                </w:pPr>
                <w:r>
                  <w:rPr>
                    <w:rFonts w:hint="eastAsia"/>
                    <w:color w:val="000000"/>
                    <w:sz w:val="22"/>
                    <w:szCs w:val="22"/>
                  </w:rPr>
                  <w:t>未检出</w:t>
                </w:r>
              </w:p>
            </w:tc>
            <w:tc>
              <w:tcPr>
                <w:tcW w:w="1923" w:type="pct"/>
                <w:tcBorders>
                  <w:top w:val="single" w:sz="4" w:space="0" w:color="auto"/>
                  <w:left w:val="single" w:sz="4" w:space="0" w:color="auto"/>
                  <w:bottom w:val="single" w:sz="4" w:space="0" w:color="auto"/>
                  <w:right w:val="single" w:sz="4" w:space="0" w:color="auto"/>
                </w:tcBorders>
                <w:vAlign w:val="center"/>
              </w:tcPr>
              <w:p w14:paraId="0395A4F6" w14:textId="77777777" w:rsidR="002D0AE7" w:rsidRDefault="00333EBB">
                <w:pPr>
                  <w:rPr>
                    <w:rFonts w:hint="eastAsia"/>
                    <w:color w:val="000000"/>
                  </w:rPr>
                </w:pPr>
                <w:r>
                  <w:rPr>
                    <w:rFonts w:hint="eastAsia"/>
                    <w:color w:val="000000"/>
                  </w:rPr>
                  <w:t>大气污染物综合排放标准</w:t>
                </w:r>
                <w:r>
                  <w:rPr>
                    <w:rFonts w:cs="Calibri" w:hint="eastAsia"/>
                    <w:color w:val="000000"/>
                  </w:rPr>
                  <w:t>GB</w:t>
                </w:r>
                <w:r>
                  <w:rPr>
                    <w:rFonts w:hint="eastAsia"/>
                    <w:color w:val="000000"/>
                  </w:rPr>
                  <w:br/>
                </w:r>
                <w:r>
                  <w:rPr>
                    <w:rFonts w:cs="Calibri" w:hint="eastAsia"/>
                    <w:color w:val="000000"/>
                  </w:rPr>
                  <w:t>16297-1996</w:t>
                </w:r>
              </w:p>
            </w:tc>
          </w:tr>
          <w:tr w:rsidR="002D0AE7" w14:paraId="2EE2E895" w14:textId="77777777">
            <w:trPr>
              <w:trHeight w:val="547"/>
            </w:trPr>
            <w:tc>
              <w:tcPr>
                <w:tcW w:w="724" w:type="pct"/>
                <w:vMerge/>
                <w:tcBorders>
                  <w:top w:val="nil"/>
                  <w:left w:val="single" w:sz="4" w:space="0" w:color="auto"/>
                  <w:bottom w:val="single" w:sz="4" w:space="0" w:color="auto"/>
                  <w:right w:val="single" w:sz="4" w:space="0" w:color="auto"/>
                </w:tcBorders>
                <w:vAlign w:val="center"/>
              </w:tcPr>
              <w:p w14:paraId="001D0D41" w14:textId="77777777" w:rsidR="002D0AE7" w:rsidRDefault="002D0AE7">
                <w:pPr>
                  <w:rPr>
                    <w:rFonts w:ascii="Calibri" w:hAnsi="Calibri"/>
                    <w:color w:val="000000"/>
                    <w:kern w:val="2"/>
                  </w:rPr>
                </w:pPr>
              </w:p>
            </w:tc>
            <w:tc>
              <w:tcPr>
                <w:tcW w:w="901" w:type="pct"/>
                <w:tcBorders>
                  <w:top w:val="single" w:sz="4" w:space="0" w:color="auto"/>
                  <w:left w:val="single" w:sz="4" w:space="0" w:color="auto"/>
                  <w:bottom w:val="single" w:sz="4" w:space="0" w:color="auto"/>
                  <w:right w:val="single" w:sz="4" w:space="0" w:color="auto"/>
                </w:tcBorders>
                <w:vAlign w:val="center"/>
              </w:tcPr>
              <w:p w14:paraId="7592291D" w14:textId="77777777" w:rsidR="002D0AE7" w:rsidRDefault="00333EBB">
                <w:pPr>
                  <w:rPr>
                    <w:rFonts w:hint="eastAsia"/>
                    <w:color w:val="000000"/>
                  </w:rPr>
                </w:pPr>
                <w:r>
                  <w:rPr>
                    <w:rFonts w:hint="eastAsia"/>
                    <w:color w:val="000000"/>
                  </w:rPr>
                  <w:t>林格曼黑度</w:t>
                </w:r>
              </w:p>
            </w:tc>
            <w:tc>
              <w:tcPr>
                <w:tcW w:w="596" w:type="pct"/>
                <w:tcBorders>
                  <w:top w:val="single" w:sz="4" w:space="0" w:color="auto"/>
                  <w:left w:val="single" w:sz="4" w:space="0" w:color="auto"/>
                  <w:bottom w:val="single" w:sz="4" w:space="0" w:color="auto"/>
                  <w:right w:val="single" w:sz="4" w:space="0" w:color="auto"/>
                </w:tcBorders>
                <w:vAlign w:val="center"/>
              </w:tcPr>
              <w:p w14:paraId="034027B7" w14:textId="77777777" w:rsidR="002D0AE7" w:rsidRDefault="00333EBB">
                <w:pPr>
                  <w:jc w:val="center"/>
                  <w:rPr>
                    <w:rFonts w:hint="eastAsia"/>
                    <w:color w:val="000000"/>
                    <w:sz w:val="22"/>
                    <w:szCs w:val="22"/>
                  </w:rPr>
                </w:pPr>
                <w:r>
                  <w:rPr>
                    <w:rFonts w:cs="Calibri" w:hint="eastAsia"/>
                    <w:color w:val="000000"/>
                    <w:sz w:val="22"/>
                    <w:szCs w:val="22"/>
                  </w:rPr>
                  <w:t>1</w:t>
                </w:r>
                <w:r>
                  <w:rPr>
                    <w:rFonts w:hint="eastAsia"/>
                    <w:color w:val="000000"/>
                    <w:sz w:val="22"/>
                    <w:szCs w:val="22"/>
                  </w:rPr>
                  <w:t>级</w:t>
                </w:r>
              </w:p>
            </w:tc>
            <w:tc>
              <w:tcPr>
                <w:tcW w:w="855" w:type="pct"/>
                <w:tcBorders>
                  <w:top w:val="single" w:sz="4" w:space="0" w:color="auto"/>
                  <w:left w:val="single" w:sz="4" w:space="0" w:color="auto"/>
                  <w:bottom w:val="single" w:sz="4" w:space="0" w:color="auto"/>
                  <w:right w:val="single" w:sz="4" w:space="0" w:color="auto"/>
                </w:tcBorders>
                <w:vAlign w:val="center"/>
              </w:tcPr>
              <w:p w14:paraId="4F4041D0" w14:textId="77777777" w:rsidR="002D0AE7" w:rsidRDefault="00333EBB">
                <w:pPr>
                  <w:jc w:val="center"/>
                  <w:rPr>
                    <w:rFonts w:hint="eastAsia"/>
                    <w:color w:val="000000"/>
                    <w:sz w:val="22"/>
                    <w:szCs w:val="22"/>
                  </w:rPr>
                </w:pPr>
                <w:r>
                  <w:rPr>
                    <w:rFonts w:cs="Calibri" w:hint="eastAsia"/>
                    <w:color w:val="000000"/>
                    <w:sz w:val="22"/>
                    <w:szCs w:val="22"/>
                  </w:rPr>
                  <w:t>&lt;1</w:t>
                </w:r>
              </w:p>
            </w:tc>
            <w:tc>
              <w:tcPr>
                <w:tcW w:w="1923" w:type="pct"/>
                <w:tcBorders>
                  <w:top w:val="single" w:sz="4" w:space="0" w:color="auto"/>
                  <w:left w:val="single" w:sz="4" w:space="0" w:color="auto"/>
                  <w:bottom w:val="single" w:sz="4" w:space="0" w:color="auto"/>
                  <w:right w:val="single" w:sz="4" w:space="0" w:color="auto"/>
                </w:tcBorders>
                <w:vAlign w:val="center"/>
              </w:tcPr>
              <w:p w14:paraId="6F29BA74" w14:textId="77777777" w:rsidR="002D0AE7" w:rsidRDefault="00333EBB">
                <w:pPr>
                  <w:rPr>
                    <w:rFonts w:hint="eastAsia"/>
                    <w:color w:val="000000"/>
                  </w:rPr>
                </w:pPr>
                <w:r>
                  <w:rPr>
                    <w:rFonts w:hint="eastAsia"/>
                    <w:color w:val="000000"/>
                  </w:rPr>
                  <w:t>大气污染物综合排放标准</w:t>
                </w:r>
                <w:r>
                  <w:rPr>
                    <w:rFonts w:cs="Calibri" w:hint="eastAsia"/>
                    <w:color w:val="000000"/>
                  </w:rPr>
                  <w:t>GB</w:t>
                </w:r>
                <w:r>
                  <w:rPr>
                    <w:rFonts w:hint="eastAsia"/>
                    <w:color w:val="000000"/>
                  </w:rPr>
                  <w:br/>
                </w:r>
                <w:r>
                  <w:rPr>
                    <w:rFonts w:cs="Calibri" w:hint="eastAsia"/>
                    <w:color w:val="000000"/>
                  </w:rPr>
                  <w:t>16297-1996</w:t>
                </w:r>
              </w:p>
            </w:tc>
          </w:tr>
        </w:tbl>
        <w:p w14:paraId="52015A18" w14:textId="77777777" w:rsidR="002D0AE7" w:rsidRDefault="00333EBB">
          <w:pPr>
            <w:pStyle w:val="11"/>
            <w:rPr>
              <w:rFonts w:hint="eastAsia"/>
            </w:rPr>
          </w:pPr>
        </w:p>
      </w:sdtContent>
    </w:sdt>
    <w:p w14:paraId="18EA2CE1" w14:textId="77777777" w:rsidR="002D0AE7" w:rsidRDefault="00333EBB">
      <w:pPr>
        <w:pStyle w:val="4"/>
        <w:numPr>
          <w:ilvl w:val="0"/>
          <w:numId w:val="16"/>
        </w:numPr>
        <w:rPr>
          <w:rFonts w:ascii="宋体" w:hAnsi="宋体" w:hint="eastAsia"/>
          <w:bCs w:val="0"/>
          <w:color w:val="000000" w:themeColor="text1"/>
          <w:szCs w:val="21"/>
        </w:rPr>
      </w:pPr>
      <w:r>
        <w:rPr>
          <w:rFonts w:ascii="宋体" w:hAnsi="宋体" w:hint="eastAsia"/>
          <w:color w:val="000000" w:themeColor="text1"/>
        </w:rPr>
        <w:t>防治污染设</w:t>
      </w:r>
      <w:r>
        <w:rPr>
          <w:rFonts w:ascii="宋体" w:hAnsi="宋体" w:hint="eastAsia"/>
          <w:color w:val="000000" w:themeColor="text1"/>
          <w:szCs w:val="21"/>
        </w:rPr>
        <w:t>施的建设和运行情况</w:t>
      </w:r>
    </w:p>
    <w:sdt>
      <w:sdtPr>
        <w:rPr>
          <w:color w:val="000000" w:themeColor="text1"/>
        </w:rPr>
        <w:alias w:val="是否适用：防治污染设施的建设和运行情况[双击切换]"/>
        <w:tag w:val="_GBC_e5a6ee71f2e449e58d9301e4ca07981f"/>
        <w:id w:val="-953328219"/>
        <w:placeholder>
          <w:docPart w:val="GBC22222222222222222222222222222"/>
        </w:placeholder>
      </w:sdtPr>
      <w:sdtEndPr/>
      <w:sdtContent>
        <w:p w14:paraId="6AC86543"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rFonts w:ascii="Cambria" w:hAnsi="Cambria" w:cs="Times New Roman"/>
          <w:b/>
          <w:bCs/>
          <w:color w:val="000000" w:themeColor="text1"/>
          <w:kern w:val="2"/>
          <w:szCs w:val="28"/>
        </w:rPr>
        <w:alias w:val="防治污染设施的建设和运行情况"/>
        <w:tag w:val="_GBC_1c83977b65834eaa98d6c63b6e3074af"/>
        <w:id w:val="-390187553"/>
        <w:placeholder>
          <w:docPart w:val="GBC22222222222222222222222222222"/>
        </w:placeholder>
      </w:sdtPr>
      <w:sdtEndPr/>
      <w:sdtContent>
        <w:p w14:paraId="24E1BE04" w14:textId="77777777" w:rsidR="002D0AE7" w:rsidRDefault="00333EBB">
          <w:pPr>
            <w:jc w:val="center"/>
            <w:rPr>
              <w:rFonts w:ascii="Calibri" w:hAnsi="Calibri" w:cs="Times New Roman"/>
              <w:b/>
              <w:bCs/>
              <w:color w:val="000000"/>
            </w:rPr>
          </w:pPr>
          <w:r>
            <w:rPr>
              <w:rFonts w:hint="eastAsia"/>
              <w:b/>
              <w:bCs/>
              <w:color w:val="000000"/>
            </w:rPr>
            <w:t>水处理设施运行情况</w:t>
          </w:r>
        </w:p>
        <w:tbl>
          <w:tblPr>
            <w:tblW w:w="5000" w:type="pct"/>
            <w:jc w:val="center"/>
            <w:tblLook w:val="04A0" w:firstRow="1" w:lastRow="0" w:firstColumn="1" w:lastColumn="0" w:noHBand="0" w:noVBand="1"/>
          </w:tblPr>
          <w:tblGrid>
            <w:gridCol w:w="3681"/>
            <w:gridCol w:w="2806"/>
            <w:gridCol w:w="1223"/>
            <w:gridCol w:w="1113"/>
          </w:tblGrid>
          <w:tr w:rsidR="002D0AE7" w14:paraId="642BC0F9" w14:textId="77777777">
            <w:trPr>
              <w:trHeight w:val="567"/>
              <w:jc w:val="center"/>
            </w:trPr>
            <w:tc>
              <w:tcPr>
                <w:tcW w:w="2086" w:type="pct"/>
                <w:tcBorders>
                  <w:top w:val="single" w:sz="4" w:space="0" w:color="auto"/>
                  <w:left w:val="single" w:sz="4" w:space="0" w:color="auto"/>
                  <w:bottom w:val="single" w:sz="4" w:space="0" w:color="auto"/>
                  <w:right w:val="single" w:sz="4" w:space="0" w:color="auto"/>
                </w:tcBorders>
                <w:vAlign w:val="center"/>
              </w:tcPr>
              <w:p w14:paraId="034370E7" w14:textId="77777777" w:rsidR="002D0AE7" w:rsidRDefault="00333EBB">
                <w:pPr>
                  <w:jc w:val="center"/>
                  <w:rPr>
                    <w:rFonts w:hint="eastAsia"/>
                    <w:b/>
                    <w:color w:val="000000"/>
                  </w:rPr>
                </w:pPr>
                <w:r>
                  <w:rPr>
                    <w:rFonts w:hint="eastAsia"/>
                    <w:color w:val="000000"/>
                  </w:rPr>
                  <w:t>污染物类型</w:t>
                </w:r>
              </w:p>
            </w:tc>
            <w:tc>
              <w:tcPr>
                <w:tcW w:w="1590" w:type="pct"/>
                <w:tcBorders>
                  <w:top w:val="single" w:sz="4" w:space="0" w:color="auto"/>
                  <w:left w:val="nil"/>
                  <w:bottom w:val="single" w:sz="4" w:space="0" w:color="auto"/>
                  <w:right w:val="single" w:sz="4" w:space="0" w:color="auto"/>
                </w:tcBorders>
                <w:vAlign w:val="center"/>
              </w:tcPr>
              <w:p w14:paraId="4D4F1267" w14:textId="77777777" w:rsidR="002D0AE7" w:rsidRDefault="00333EBB">
                <w:pPr>
                  <w:jc w:val="center"/>
                  <w:rPr>
                    <w:rFonts w:hint="eastAsia"/>
                    <w:bCs/>
                    <w:color w:val="000000"/>
                  </w:rPr>
                </w:pPr>
                <w:r>
                  <w:rPr>
                    <w:rFonts w:hint="eastAsia"/>
                    <w:color w:val="000000"/>
                  </w:rPr>
                  <w:t>治理设施名称</w:t>
                </w:r>
              </w:p>
            </w:tc>
            <w:tc>
              <w:tcPr>
                <w:tcW w:w="693" w:type="pct"/>
                <w:tcBorders>
                  <w:top w:val="single" w:sz="4" w:space="0" w:color="auto"/>
                  <w:left w:val="nil"/>
                  <w:bottom w:val="single" w:sz="4" w:space="0" w:color="auto"/>
                  <w:right w:val="single" w:sz="4" w:space="0" w:color="auto"/>
                </w:tcBorders>
                <w:vAlign w:val="center"/>
              </w:tcPr>
              <w:p w14:paraId="6D81D402" w14:textId="77777777" w:rsidR="002D0AE7" w:rsidRDefault="00333EBB">
                <w:pPr>
                  <w:jc w:val="center"/>
                  <w:rPr>
                    <w:rFonts w:hint="eastAsia"/>
                    <w:color w:val="000000"/>
                  </w:rPr>
                </w:pPr>
                <w:r>
                  <w:rPr>
                    <w:rFonts w:hint="eastAsia"/>
                    <w:color w:val="000000"/>
                  </w:rPr>
                  <w:t>数量（台</w:t>
                </w:r>
                <w:r>
                  <w:rPr>
                    <w:rFonts w:cs="Calibri" w:hint="eastAsia"/>
                    <w:color w:val="000000"/>
                  </w:rPr>
                  <w:t>/</w:t>
                </w:r>
                <w:r>
                  <w:rPr>
                    <w:rFonts w:hint="eastAsia"/>
                    <w:color w:val="000000"/>
                  </w:rPr>
                  <w:t>套）</w:t>
                </w:r>
              </w:p>
            </w:tc>
            <w:tc>
              <w:tcPr>
                <w:tcW w:w="631" w:type="pct"/>
                <w:tcBorders>
                  <w:top w:val="single" w:sz="4" w:space="0" w:color="auto"/>
                  <w:left w:val="nil"/>
                  <w:bottom w:val="single" w:sz="4" w:space="0" w:color="auto"/>
                  <w:right w:val="single" w:sz="4" w:space="0" w:color="auto"/>
                </w:tcBorders>
                <w:vAlign w:val="center"/>
              </w:tcPr>
              <w:p w14:paraId="28AF325C" w14:textId="77777777" w:rsidR="002D0AE7" w:rsidRDefault="00333EBB">
                <w:pPr>
                  <w:jc w:val="center"/>
                  <w:rPr>
                    <w:rFonts w:hint="eastAsia"/>
                    <w:color w:val="000000"/>
                  </w:rPr>
                </w:pPr>
                <w:r>
                  <w:rPr>
                    <w:rFonts w:hint="eastAsia"/>
                    <w:color w:val="000000"/>
                  </w:rPr>
                  <w:t>设施运行情况</w:t>
                </w:r>
              </w:p>
            </w:tc>
          </w:tr>
          <w:tr w:rsidR="002D0AE7" w14:paraId="57F3BD44" w14:textId="77777777">
            <w:trPr>
              <w:trHeight w:val="374"/>
              <w:jc w:val="center"/>
            </w:trPr>
            <w:tc>
              <w:tcPr>
                <w:tcW w:w="2086" w:type="pct"/>
                <w:tcBorders>
                  <w:top w:val="single" w:sz="4" w:space="0" w:color="auto"/>
                  <w:left w:val="single" w:sz="4" w:space="0" w:color="auto"/>
                  <w:bottom w:val="single" w:sz="4" w:space="0" w:color="auto"/>
                  <w:right w:val="single" w:sz="4" w:space="0" w:color="auto"/>
                </w:tcBorders>
                <w:vAlign w:val="center"/>
              </w:tcPr>
              <w:p w14:paraId="7D96EA38" w14:textId="77777777" w:rsidR="002D0AE7" w:rsidRDefault="00333EBB">
                <w:pPr>
                  <w:jc w:val="center"/>
                  <w:rPr>
                    <w:rFonts w:hint="eastAsia"/>
                    <w:color w:val="000000"/>
                  </w:rPr>
                </w:pPr>
                <w:r>
                  <w:rPr>
                    <w:rFonts w:hint="eastAsia"/>
                    <w:color w:val="000000"/>
                  </w:rPr>
                  <w:t>津药药业股份有限公司</w:t>
                </w:r>
              </w:p>
            </w:tc>
            <w:tc>
              <w:tcPr>
                <w:tcW w:w="1590" w:type="pct"/>
                <w:tcBorders>
                  <w:top w:val="single" w:sz="4" w:space="0" w:color="auto"/>
                  <w:left w:val="nil"/>
                  <w:bottom w:val="single" w:sz="4" w:space="0" w:color="auto"/>
                  <w:right w:val="single" w:sz="4" w:space="0" w:color="auto"/>
                </w:tcBorders>
                <w:vAlign w:val="center"/>
              </w:tcPr>
              <w:p w14:paraId="21A4576A" w14:textId="77777777" w:rsidR="002D0AE7" w:rsidRDefault="00333EBB">
                <w:pPr>
                  <w:jc w:val="center"/>
                  <w:rPr>
                    <w:rFonts w:hint="eastAsia"/>
                    <w:color w:val="000000"/>
                  </w:rPr>
                </w:pPr>
                <w:r>
                  <w:rPr>
                    <w:rFonts w:hint="eastAsia"/>
                    <w:color w:val="000000"/>
                  </w:rPr>
                  <w:t>污水处理站</w:t>
                </w:r>
              </w:p>
            </w:tc>
            <w:tc>
              <w:tcPr>
                <w:tcW w:w="693" w:type="pct"/>
                <w:tcBorders>
                  <w:top w:val="single" w:sz="4" w:space="0" w:color="auto"/>
                  <w:left w:val="nil"/>
                  <w:bottom w:val="single" w:sz="4" w:space="0" w:color="auto"/>
                  <w:right w:val="single" w:sz="4" w:space="0" w:color="auto"/>
                </w:tcBorders>
                <w:vAlign w:val="center"/>
              </w:tcPr>
              <w:p w14:paraId="38BA34BB" w14:textId="77777777" w:rsidR="002D0AE7" w:rsidRDefault="00333EBB">
                <w:pPr>
                  <w:jc w:val="center"/>
                  <w:rPr>
                    <w:rFonts w:hint="eastAsia"/>
                    <w:color w:val="000000"/>
                  </w:rPr>
                </w:pPr>
                <w:r>
                  <w:rPr>
                    <w:rFonts w:cs="Calibri" w:hint="eastAsia"/>
                    <w:color w:val="000000"/>
                  </w:rPr>
                  <w:t>1</w:t>
                </w:r>
              </w:p>
            </w:tc>
            <w:tc>
              <w:tcPr>
                <w:tcW w:w="631" w:type="pct"/>
                <w:tcBorders>
                  <w:top w:val="single" w:sz="4" w:space="0" w:color="auto"/>
                  <w:left w:val="nil"/>
                  <w:bottom w:val="single" w:sz="4" w:space="0" w:color="auto"/>
                  <w:right w:val="single" w:sz="4" w:space="0" w:color="auto"/>
                </w:tcBorders>
                <w:vAlign w:val="center"/>
              </w:tcPr>
              <w:p w14:paraId="5A85BEC0" w14:textId="77777777" w:rsidR="002D0AE7" w:rsidRDefault="00333EBB">
                <w:pPr>
                  <w:jc w:val="center"/>
                  <w:rPr>
                    <w:rFonts w:hint="eastAsia"/>
                    <w:color w:val="000000"/>
                  </w:rPr>
                </w:pPr>
                <w:r>
                  <w:rPr>
                    <w:rFonts w:hint="eastAsia"/>
                    <w:color w:val="000000"/>
                  </w:rPr>
                  <w:t>正常</w:t>
                </w:r>
              </w:p>
            </w:tc>
          </w:tr>
          <w:tr w:rsidR="002D0AE7" w14:paraId="08F56FA1" w14:textId="77777777">
            <w:trPr>
              <w:trHeight w:val="408"/>
              <w:jc w:val="center"/>
            </w:trPr>
            <w:tc>
              <w:tcPr>
                <w:tcW w:w="2086" w:type="pct"/>
                <w:tcBorders>
                  <w:top w:val="single" w:sz="4" w:space="0" w:color="auto"/>
                  <w:left w:val="single" w:sz="4" w:space="0" w:color="auto"/>
                  <w:bottom w:val="single" w:sz="4" w:space="0" w:color="auto"/>
                  <w:right w:val="single" w:sz="4" w:space="0" w:color="auto"/>
                </w:tcBorders>
                <w:vAlign w:val="center"/>
              </w:tcPr>
              <w:p w14:paraId="3CB0BAA9" w14:textId="77777777" w:rsidR="002D0AE7" w:rsidRDefault="00333EBB">
                <w:pPr>
                  <w:jc w:val="center"/>
                  <w:rPr>
                    <w:rFonts w:hint="eastAsia"/>
                    <w:color w:val="000000"/>
                  </w:rPr>
                </w:pPr>
                <w:r>
                  <w:rPr>
                    <w:rFonts w:hint="eastAsia"/>
                    <w:color w:val="000000"/>
                  </w:rPr>
                  <w:t>天津津药环境科技有限公司</w:t>
                </w:r>
              </w:p>
            </w:tc>
            <w:tc>
              <w:tcPr>
                <w:tcW w:w="2914" w:type="pct"/>
                <w:gridSpan w:val="3"/>
                <w:tcBorders>
                  <w:top w:val="single" w:sz="4" w:space="0" w:color="auto"/>
                  <w:left w:val="nil"/>
                  <w:bottom w:val="single" w:sz="4" w:space="0" w:color="auto"/>
                  <w:right w:val="single" w:sz="4" w:space="0" w:color="auto"/>
                </w:tcBorders>
                <w:vAlign w:val="center"/>
              </w:tcPr>
              <w:p w14:paraId="62F5C0E1" w14:textId="77777777" w:rsidR="002D0AE7" w:rsidRDefault="00333EBB">
                <w:pPr>
                  <w:jc w:val="center"/>
                  <w:rPr>
                    <w:rFonts w:hint="eastAsia"/>
                    <w:color w:val="000000"/>
                  </w:rPr>
                </w:pPr>
                <w:r>
                  <w:rPr>
                    <w:rFonts w:hint="eastAsia"/>
                    <w:color w:val="000000"/>
                  </w:rPr>
                  <w:t>依托津药药业股份有限公司污水站处理污水。</w:t>
                </w:r>
              </w:p>
            </w:tc>
          </w:tr>
          <w:tr w:rsidR="002D0AE7" w14:paraId="3F2AD860" w14:textId="77777777">
            <w:trPr>
              <w:trHeight w:val="413"/>
              <w:jc w:val="center"/>
            </w:trPr>
            <w:tc>
              <w:tcPr>
                <w:tcW w:w="2086" w:type="pct"/>
                <w:tcBorders>
                  <w:top w:val="single" w:sz="4" w:space="0" w:color="auto"/>
                  <w:left w:val="single" w:sz="4" w:space="0" w:color="auto"/>
                  <w:bottom w:val="single" w:sz="4" w:space="0" w:color="auto"/>
                  <w:right w:val="single" w:sz="4" w:space="0" w:color="auto"/>
                </w:tcBorders>
                <w:vAlign w:val="center"/>
              </w:tcPr>
              <w:p w14:paraId="4AC81894" w14:textId="77777777" w:rsidR="002D0AE7" w:rsidRDefault="00333EBB">
                <w:pPr>
                  <w:jc w:val="center"/>
                  <w:rPr>
                    <w:rFonts w:hint="eastAsia"/>
                    <w:color w:val="000000"/>
                  </w:rPr>
                </w:pPr>
                <w:r>
                  <w:rPr>
                    <w:rFonts w:hint="eastAsia"/>
                    <w:color w:val="000000"/>
                  </w:rPr>
                  <w:t>津药和平（天津</w:t>
                </w:r>
                <w:r>
                  <w:rPr>
                    <w:color w:val="000000"/>
                  </w:rPr>
                  <w:t>）</w:t>
                </w:r>
                <w:r>
                  <w:rPr>
                    <w:rFonts w:hint="eastAsia"/>
                    <w:color w:val="000000"/>
                  </w:rPr>
                  <w:t>制药有限公司</w:t>
                </w:r>
              </w:p>
            </w:tc>
            <w:tc>
              <w:tcPr>
                <w:tcW w:w="1590" w:type="pct"/>
                <w:tcBorders>
                  <w:top w:val="single" w:sz="4" w:space="0" w:color="auto"/>
                  <w:left w:val="nil"/>
                  <w:bottom w:val="single" w:sz="4" w:space="0" w:color="auto"/>
                  <w:right w:val="single" w:sz="4" w:space="0" w:color="auto"/>
                </w:tcBorders>
                <w:vAlign w:val="center"/>
              </w:tcPr>
              <w:p w14:paraId="7963BC3B" w14:textId="77777777" w:rsidR="002D0AE7" w:rsidRDefault="00333EBB">
                <w:pPr>
                  <w:jc w:val="center"/>
                  <w:rPr>
                    <w:rFonts w:hint="eastAsia"/>
                    <w:color w:val="000000"/>
                  </w:rPr>
                </w:pPr>
                <w:r>
                  <w:rPr>
                    <w:rFonts w:hint="eastAsia"/>
                    <w:color w:val="000000"/>
                  </w:rPr>
                  <w:t>污水处理站</w:t>
                </w:r>
              </w:p>
            </w:tc>
            <w:tc>
              <w:tcPr>
                <w:tcW w:w="693" w:type="pct"/>
                <w:tcBorders>
                  <w:top w:val="single" w:sz="4" w:space="0" w:color="auto"/>
                  <w:left w:val="nil"/>
                  <w:bottom w:val="single" w:sz="4" w:space="0" w:color="auto"/>
                  <w:right w:val="single" w:sz="4" w:space="0" w:color="auto"/>
                </w:tcBorders>
                <w:vAlign w:val="center"/>
              </w:tcPr>
              <w:p w14:paraId="023914CE" w14:textId="77777777" w:rsidR="002D0AE7" w:rsidRDefault="00333EBB">
                <w:pPr>
                  <w:jc w:val="center"/>
                  <w:rPr>
                    <w:rFonts w:ascii="Calibri" w:hAnsi="Calibri"/>
                    <w:color w:val="000000"/>
                  </w:rPr>
                </w:pPr>
                <w:r>
                  <w:rPr>
                    <w:color w:val="000000"/>
                  </w:rPr>
                  <w:t>1</w:t>
                </w:r>
              </w:p>
            </w:tc>
            <w:tc>
              <w:tcPr>
                <w:tcW w:w="631" w:type="pct"/>
                <w:tcBorders>
                  <w:top w:val="single" w:sz="4" w:space="0" w:color="auto"/>
                  <w:left w:val="nil"/>
                  <w:bottom w:val="single" w:sz="4" w:space="0" w:color="auto"/>
                  <w:right w:val="single" w:sz="4" w:space="0" w:color="auto"/>
                </w:tcBorders>
                <w:vAlign w:val="center"/>
              </w:tcPr>
              <w:p w14:paraId="62DFCF91" w14:textId="77777777" w:rsidR="002D0AE7" w:rsidRDefault="00333EBB">
                <w:pPr>
                  <w:jc w:val="center"/>
                  <w:rPr>
                    <w:rFonts w:hint="eastAsia"/>
                    <w:color w:val="000000"/>
                  </w:rPr>
                </w:pPr>
                <w:r>
                  <w:rPr>
                    <w:rFonts w:hint="eastAsia"/>
                    <w:color w:val="000000"/>
                  </w:rPr>
                  <w:t>正常</w:t>
                </w:r>
              </w:p>
            </w:tc>
          </w:tr>
          <w:tr w:rsidR="002D0AE7" w14:paraId="76F6AE70" w14:textId="77777777">
            <w:trPr>
              <w:trHeight w:val="420"/>
              <w:jc w:val="center"/>
            </w:trPr>
            <w:tc>
              <w:tcPr>
                <w:tcW w:w="2086" w:type="pct"/>
                <w:tcBorders>
                  <w:top w:val="single" w:sz="4" w:space="0" w:color="auto"/>
                  <w:left w:val="single" w:sz="4" w:space="0" w:color="auto"/>
                  <w:bottom w:val="single" w:sz="4" w:space="0" w:color="auto"/>
                  <w:right w:val="single" w:sz="4" w:space="0" w:color="auto"/>
                </w:tcBorders>
                <w:vAlign w:val="center"/>
              </w:tcPr>
              <w:p w14:paraId="69BBBE87" w14:textId="77777777" w:rsidR="002D0AE7" w:rsidRDefault="00333EBB">
                <w:pPr>
                  <w:jc w:val="center"/>
                  <w:rPr>
                    <w:rFonts w:ascii="Calibri" w:hAnsi="Calibri"/>
                    <w:color w:val="000000"/>
                  </w:rPr>
                </w:pPr>
                <w:r>
                  <w:rPr>
                    <w:rFonts w:hint="eastAsia"/>
                    <w:color w:val="000000"/>
                  </w:rPr>
                  <w:t>湖北津药药业股份有限公司</w:t>
                </w:r>
              </w:p>
            </w:tc>
            <w:tc>
              <w:tcPr>
                <w:tcW w:w="1590" w:type="pct"/>
                <w:tcBorders>
                  <w:top w:val="single" w:sz="4" w:space="0" w:color="auto"/>
                  <w:left w:val="nil"/>
                  <w:bottom w:val="single" w:sz="4" w:space="0" w:color="auto"/>
                  <w:right w:val="single" w:sz="4" w:space="0" w:color="auto"/>
                </w:tcBorders>
                <w:vAlign w:val="center"/>
              </w:tcPr>
              <w:p w14:paraId="62893135" w14:textId="77777777" w:rsidR="002D0AE7" w:rsidRDefault="00333EBB">
                <w:pPr>
                  <w:jc w:val="center"/>
                  <w:rPr>
                    <w:rFonts w:hint="eastAsia"/>
                    <w:color w:val="000000"/>
                  </w:rPr>
                </w:pPr>
                <w:r>
                  <w:rPr>
                    <w:rFonts w:hint="eastAsia"/>
                    <w:color w:val="000000"/>
                  </w:rPr>
                  <w:t>中和池</w:t>
                </w:r>
              </w:p>
            </w:tc>
            <w:tc>
              <w:tcPr>
                <w:tcW w:w="693" w:type="pct"/>
                <w:tcBorders>
                  <w:top w:val="single" w:sz="4" w:space="0" w:color="auto"/>
                  <w:left w:val="nil"/>
                  <w:bottom w:val="single" w:sz="4" w:space="0" w:color="auto"/>
                  <w:right w:val="single" w:sz="4" w:space="0" w:color="auto"/>
                </w:tcBorders>
                <w:vAlign w:val="center"/>
              </w:tcPr>
              <w:p w14:paraId="4431BB3C" w14:textId="77777777" w:rsidR="002D0AE7" w:rsidRDefault="00333EBB">
                <w:pPr>
                  <w:jc w:val="center"/>
                  <w:rPr>
                    <w:rFonts w:ascii="Calibri" w:hAnsi="Calibri"/>
                    <w:color w:val="000000"/>
                  </w:rPr>
                </w:pPr>
                <w:r>
                  <w:rPr>
                    <w:color w:val="000000"/>
                  </w:rPr>
                  <w:t>1</w:t>
                </w:r>
              </w:p>
            </w:tc>
            <w:tc>
              <w:tcPr>
                <w:tcW w:w="631" w:type="pct"/>
                <w:tcBorders>
                  <w:top w:val="single" w:sz="4" w:space="0" w:color="auto"/>
                  <w:left w:val="nil"/>
                  <w:bottom w:val="single" w:sz="4" w:space="0" w:color="auto"/>
                  <w:right w:val="single" w:sz="4" w:space="0" w:color="auto"/>
                </w:tcBorders>
                <w:vAlign w:val="center"/>
              </w:tcPr>
              <w:p w14:paraId="42E8C5BD" w14:textId="77777777" w:rsidR="002D0AE7" w:rsidRDefault="00333EBB">
                <w:pPr>
                  <w:jc w:val="center"/>
                  <w:rPr>
                    <w:rFonts w:hint="eastAsia"/>
                    <w:color w:val="000000"/>
                  </w:rPr>
                </w:pPr>
                <w:r>
                  <w:rPr>
                    <w:rFonts w:hint="eastAsia"/>
                    <w:color w:val="000000"/>
                  </w:rPr>
                  <w:t>正常</w:t>
                </w:r>
              </w:p>
            </w:tc>
          </w:tr>
        </w:tbl>
        <w:p w14:paraId="708EE32A" w14:textId="77777777" w:rsidR="002D0AE7" w:rsidRDefault="00333EBB">
          <w:pPr>
            <w:jc w:val="center"/>
            <w:rPr>
              <w:rFonts w:ascii="Calibri" w:hAnsi="Calibri" w:cs="Times New Roman"/>
              <w:b/>
              <w:bCs/>
              <w:color w:val="000000"/>
              <w:kern w:val="2"/>
            </w:rPr>
          </w:pPr>
          <w:r>
            <w:rPr>
              <w:rFonts w:hint="eastAsia"/>
              <w:b/>
              <w:bCs/>
              <w:color w:val="000000"/>
            </w:rPr>
            <w:t>废气处理设施运行情况</w:t>
          </w:r>
        </w:p>
        <w:tbl>
          <w:tblPr>
            <w:tblW w:w="5000" w:type="pct"/>
            <w:jc w:val="center"/>
            <w:tblLook w:val="04A0" w:firstRow="1" w:lastRow="0" w:firstColumn="1" w:lastColumn="0" w:noHBand="0" w:noVBand="1"/>
          </w:tblPr>
          <w:tblGrid>
            <w:gridCol w:w="1238"/>
            <w:gridCol w:w="5364"/>
            <w:gridCol w:w="1108"/>
            <w:gridCol w:w="1113"/>
          </w:tblGrid>
          <w:tr w:rsidR="002D0AE7" w14:paraId="1E05D246" w14:textId="77777777">
            <w:trPr>
              <w:trHeight w:val="567"/>
              <w:jc w:val="center"/>
            </w:trPr>
            <w:tc>
              <w:tcPr>
                <w:tcW w:w="701" w:type="pct"/>
                <w:tcBorders>
                  <w:top w:val="single" w:sz="4" w:space="0" w:color="auto"/>
                  <w:left w:val="single" w:sz="4" w:space="0" w:color="auto"/>
                  <w:bottom w:val="single" w:sz="4" w:space="0" w:color="auto"/>
                  <w:right w:val="single" w:sz="4" w:space="0" w:color="auto"/>
                </w:tcBorders>
                <w:vAlign w:val="center"/>
              </w:tcPr>
              <w:p w14:paraId="34ADB26D" w14:textId="77777777" w:rsidR="002D0AE7" w:rsidRDefault="00333EBB">
                <w:pPr>
                  <w:jc w:val="center"/>
                  <w:rPr>
                    <w:rFonts w:hint="eastAsia"/>
                    <w:b/>
                    <w:color w:val="000000"/>
                  </w:rPr>
                </w:pPr>
                <w:r>
                  <w:rPr>
                    <w:rFonts w:hint="eastAsia"/>
                    <w:color w:val="000000"/>
                  </w:rPr>
                  <w:t>污染物类型</w:t>
                </w:r>
              </w:p>
            </w:tc>
            <w:tc>
              <w:tcPr>
                <w:tcW w:w="3040" w:type="pct"/>
                <w:tcBorders>
                  <w:top w:val="single" w:sz="4" w:space="0" w:color="auto"/>
                  <w:left w:val="nil"/>
                  <w:bottom w:val="single" w:sz="4" w:space="0" w:color="auto"/>
                  <w:right w:val="single" w:sz="4" w:space="0" w:color="auto"/>
                </w:tcBorders>
                <w:vAlign w:val="center"/>
              </w:tcPr>
              <w:p w14:paraId="06A2D64B" w14:textId="77777777" w:rsidR="002D0AE7" w:rsidRDefault="00333EBB">
                <w:pPr>
                  <w:jc w:val="center"/>
                  <w:rPr>
                    <w:rFonts w:hint="eastAsia"/>
                    <w:bCs/>
                    <w:color w:val="000000"/>
                  </w:rPr>
                </w:pPr>
                <w:r>
                  <w:rPr>
                    <w:rFonts w:hint="eastAsia"/>
                    <w:color w:val="000000"/>
                  </w:rPr>
                  <w:t>治理设施名称</w:t>
                </w:r>
              </w:p>
            </w:tc>
            <w:tc>
              <w:tcPr>
                <w:tcW w:w="628" w:type="pct"/>
                <w:tcBorders>
                  <w:top w:val="single" w:sz="4" w:space="0" w:color="auto"/>
                  <w:left w:val="nil"/>
                  <w:bottom w:val="single" w:sz="4" w:space="0" w:color="auto"/>
                  <w:right w:val="single" w:sz="4" w:space="0" w:color="auto"/>
                </w:tcBorders>
                <w:vAlign w:val="center"/>
              </w:tcPr>
              <w:p w14:paraId="3003B4CB" w14:textId="77777777" w:rsidR="002D0AE7" w:rsidRDefault="00333EBB">
                <w:pPr>
                  <w:jc w:val="center"/>
                  <w:rPr>
                    <w:rFonts w:hint="eastAsia"/>
                    <w:color w:val="000000"/>
                  </w:rPr>
                </w:pPr>
                <w:r>
                  <w:rPr>
                    <w:rFonts w:hint="eastAsia"/>
                    <w:color w:val="000000"/>
                  </w:rPr>
                  <w:t>数量（台</w:t>
                </w:r>
                <w:r>
                  <w:rPr>
                    <w:rFonts w:cs="Calibri" w:hint="eastAsia"/>
                    <w:color w:val="000000"/>
                  </w:rPr>
                  <w:t>/</w:t>
                </w:r>
                <w:r>
                  <w:rPr>
                    <w:rFonts w:hint="eastAsia"/>
                    <w:color w:val="000000"/>
                  </w:rPr>
                  <w:t>套）</w:t>
                </w:r>
              </w:p>
            </w:tc>
            <w:tc>
              <w:tcPr>
                <w:tcW w:w="631" w:type="pct"/>
                <w:tcBorders>
                  <w:top w:val="single" w:sz="4" w:space="0" w:color="auto"/>
                  <w:left w:val="nil"/>
                  <w:bottom w:val="single" w:sz="4" w:space="0" w:color="auto"/>
                  <w:right w:val="single" w:sz="4" w:space="0" w:color="auto"/>
                </w:tcBorders>
                <w:vAlign w:val="center"/>
              </w:tcPr>
              <w:p w14:paraId="193B9668" w14:textId="77777777" w:rsidR="002D0AE7" w:rsidRDefault="00333EBB">
                <w:pPr>
                  <w:jc w:val="center"/>
                  <w:rPr>
                    <w:rFonts w:hint="eastAsia"/>
                    <w:color w:val="000000"/>
                  </w:rPr>
                </w:pPr>
                <w:r>
                  <w:rPr>
                    <w:rFonts w:hint="eastAsia"/>
                    <w:color w:val="000000"/>
                  </w:rPr>
                  <w:t>设施运行情况</w:t>
                </w:r>
              </w:p>
            </w:tc>
          </w:tr>
          <w:tr w:rsidR="002D0AE7" w14:paraId="2AA1303A" w14:textId="77777777">
            <w:trPr>
              <w:trHeight w:val="395"/>
              <w:jc w:val="center"/>
            </w:trPr>
            <w:tc>
              <w:tcPr>
                <w:tcW w:w="701" w:type="pct"/>
                <w:vMerge w:val="restart"/>
                <w:tcBorders>
                  <w:top w:val="nil"/>
                  <w:left w:val="single" w:sz="4" w:space="0" w:color="auto"/>
                  <w:bottom w:val="nil"/>
                  <w:right w:val="single" w:sz="4" w:space="0" w:color="auto"/>
                </w:tcBorders>
                <w:vAlign w:val="center"/>
              </w:tcPr>
              <w:p w14:paraId="60608DA3" w14:textId="77777777" w:rsidR="002D0AE7" w:rsidRDefault="00333EBB">
                <w:pPr>
                  <w:rPr>
                    <w:rFonts w:hint="eastAsia"/>
                    <w:color w:val="000000"/>
                  </w:rPr>
                </w:pPr>
                <w:r>
                  <w:rPr>
                    <w:rFonts w:hint="eastAsia"/>
                    <w:color w:val="000000"/>
                  </w:rPr>
                  <w:t>津药药业股份有限公司</w:t>
                </w:r>
              </w:p>
            </w:tc>
            <w:tc>
              <w:tcPr>
                <w:tcW w:w="3040" w:type="pct"/>
                <w:tcBorders>
                  <w:top w:val="single" w:sz="4" w:space="0" w:color="auto"/>
                  <w:left w:val="nil"/>
                  <w:bottom w:val="single" w:sz="4" w:space="0" w:color="auto"/>
                  <w:right w:val="single" w:sz="4" w:space="0" w:color="auto"/>
                </w:tcBorders>
                <w:vAlign w:val="center"/>
              </w:tcPr>
              <w:p w14:paraId="7326879E" w14:textId="77777777" w:rsidR="002D0AE7" w:rsidRDefault="00333EBB">
                <w:pPr>
                  <w:rPr>
                    <w:rFonts w:hint="eastAsia"/>
                    <w:color w:val="000000"/>
                  </w:rPr>
                </w:pPr>
                <w:r>
                  <w:rPr>
                    <w:rFonts w:hint="eastAsia"/>
                    <w:color w:val="000000"/>
                  </w:rPr>
                  <w:t>“一级水洗</w:t>
                </w:r>
                <w:r>
                  <w:rPr>
                    <w:rFonts w:cs="Calibri" w:hint="eastAsia"/>
                    <w:color w:val="000000"/>
                  </w:rPr>
                  <w:t>+</w:t>
                </w:r>
                <w:r>
                  <w:rPr>
                    <w:rFonts w:hint="eastAsia"/>
                    <w:color w:val="000000"/>
                  </w:rPr>
                  <w:t>一级光催化</w:t>
                </w:r>
                <w:r>
                  <w:rPr>
                    <w:rFonts w:cs="Calibri" w:hint="eastAsia"/>
                    <w:color w:val="000000"/>
                  </w:rPr>
                  <w:t>+</w:t>
                </w:r>
                <w:r>
                  <w:rPr>
                    <w:rFonts w:hint="eastAsia"/>
                    <w:color w:val="000000"/>
                  </w:rPr>
                  <w:t>三级化学吸收”</w:t>
                </w:r>
                <w:r>
                  <w:rPr>
                    <w:rFonts w:cs="Calibri" w:hint="eastAsia"/>
                    <w:color w:val="000000"/>
                  </w:rPr>
                  <w:t>VOCs</w:t>
                </w:r>
                <w:r>
                  <w:rPr>
                    <w:rFonts w:hint="eastAsia"/>
                    <w:color w:val="000000"/>
                  </w:rPr>
                  <w:t>治理设施</w:t>
                </w:r>
              </w:p>
            </w:tc>
            <w:tc>
              <w:tcPr>
                <w:tcW w:w="628" w:type="pct"/>
                <w:tcBorders>
                  <w:top w:val="single" w:sz="4" w:space="0" w:color="auto"/>
                  <w:left w:val="nil"/>
                  <w:bottom w:val="single" w:sz="4" w:space="0" w:color="auto"/>
                  <w:right w:val="single" w:sz="4" w:space="0" w:color="auto"/>
                </w:tcBorders>
                <w:vAlign w:val="center"/>
              </w:tcPr>
              <w:p w14:paraId="282DBDB3" w14:textId="77777777" w:rsidR="002D0AE7" w:rsidRDefault="00333EBB">
                <w:pPr>
                  <w:jc w:val="center"/>
                  <w:rPr>
                    <w:rFonts w:hint="eastAsia"/>
                    <w:color w:val="000000"/>
                  </w:rPr>
                </w:pPr>
                <w:r>
                  <w:rPr>
                    <w:rFonts w:cs="Calibri" w:hint="eastAsia"/>
                    <w:color w:val="000000"/>
                  </w:rPr>
                  <w:t>2</w:t>
                </w:r>
              </w:p>
            </w:tc>
            <w:tc>
              <w:tcPr>
                <w:tcW w:w="631" w:type="pct"/>
                <w:tcBorders>
                  <w:top w:val="single" w:sz="4" w:space="0" w:color="auto"/>
                  <w:left w:val="nil"/>
                  <w:bottom w:val="single" w:sz="4" w:space="0" w:color="auto"/>
                  <w:right w:val="single" w:sz="4" w:space="0" w:color="auto"/>
                </w:tcBorders>
                <w:vAlign w:val="center"/>
              </w:tcPr>
              <w:p w14:paraId="7DD334E5" w14:textId="77777777" w:rsidR="002D0AE7" w:rsidRDefault="00333EBB">
                <w:pPr>
                  <w:rPr>
                    <w:rFonts w:hint="eastAsia"/>
                    <w:color w:val="000000"/>
                  </w:rPr>
                </w:pPr>
                <w:r>
                  <w:rPr>
                    <w:rFonts w:hint="eastAsia"/>
                    <w:color w:val="000000"/>
                  </w:rPr>
                  <w:t>正常</w:t>
                </w:r>
              </w:p>
            </w:tc>
          </w:tr>
          <w:tr w:rsidR="002D0AE7" w14:paraId="312835B4" w14:textId="77777777">
            <w:trPr>
              <w:trHeight w:val="415"/>
              <w:jc w:val="center"/>
            </w:trPr>
            <w:tc>
              <w:tcPr>
                <w:tcW w:w="0" w:type="auto"/>
                <w:vMerge/>
                <w:tcBorders>
                  <w:top w:val="nil"/>
                  <w:left w:val="single" w:sz="4" w:space="0" w:color="auto"/>
                  <w:bottom w:val="nil"/>
                  <w:right w:val="single" w:sz="4" w:space="0" w:color="auto"/>
                </w:tcBorders>
                <w:vAlign w:val="center"/>
              </w:tcPr>
              <w:p w14:paraId="04C3DE71" w14:textId="77777777" w:rsidR="002D0AE7" w:rsidRDefault="002D0AE7">
                <w:pPr>
                  <w:rPr>
                    <w:rFonts w:ascii="Calibri" w:hAnsi="Calibri"/>
                    <w:color w:val="000000"/>
                    <w:kern w:val="2"/>
                  </w:rPr>
                </w:pPr>
              </w:p>
            </w:tc>
            <w:tc>
              <w:tcPr>
                <w:tcW w:w="3040" w:type="pct"/>
                <w:tcBorders>
                  <w:top w:val="single" w:sz="4" w:space="0" w:color="auto"/>
                  <w:left w:val="nil"/>
                  <w:bottom w:val="single" w:sz="4" w:space="0" w:color="auto"/>
                  <w:right w:val="single" w:sz="4" w:space="0" w:color="auto"/>
                </w:tcBorders>
                <w:vAlign w:val="center"/>
              </w:tcPr>
              <w:p w14:paraId="69393F75" w14:textId="77777777" w:rsidR="002D0AE7" w:rsidRDefault="00333EBB">
                <w:pPr>
                  <w:rPr>
                    <w:rFonts w:hint="eastAsia"/>
                    <w:color w:val="000000"/>
                  </w:rPr>
                </w:pPr>
                <w:r>
                  <w:rPr>
                    <w:rFonts w:hint="eastAsia"/>
                    <w:color w:val="000000"/>
                  </w:rPr>
                  <w:t>“一级水洗</w:t>
                </w:r>
                <w:r>
                  <w:rPr>
                    <w:rFonts w:cs="Calibri" w:hint="eastAsia"/>
                    <w:color w:val="000000"/>
                  </w:rPr>
                  <w:t>+</w:t>
                </w:r>
                <w:r>
                  <w:rPr>
                    <w:rFonts w:hint="eastAsia"/>
                    <w:color w:val="000000"/>
                  </w:rPr>
                  <w:t>光催化”</w:t>
                </w:r>
                <w:r>
                  <w:rPr>
                    <w:rFonts w:cs="Calibri" w:hint="eastAsia"/>
                    <w:color w:val="000000"/>
                  </w:rPr>
                  <w:t>VOCs</w:t>
                </w:r>
                <w:r>
                  <w:rPr>
                    <w:rFonts w:hint="eastAsia"/>
                    <w:color w:val="000000"/>
                  </w:rPr>
                  <w:t>治理设施</w:t>
                </w:r>
              </w:p>
            </w:tc>
            <w:tc>
              <w:tcPr>
                <w:tcW w:w="628" w:type="pct"/>
                <w:tcBorders>
                  <w:top w:val="single" w:sz="4" w:space="0" w:color="auto"/>
                  <w:left w:val="nil"/>
                  <w:bottom w:val="single" w:sz="4" w:space="0" w:color="auto"/>
                  <w:right w:val="single" w:sz="4" w:space="0" w:color="auto"/>
                </w:tcBorders>
                <w:vAlign w:val="center"/>
              </w:tcPr>
              <w:p w14:paraId="5444645D" w14:textId="77777777" w:rsidR="002D0AE7" w:rsidRDefault="00333EBB">
                <w:pPr>
                  <w:jc w:val="center"/>
                  <w:rPr>
                    <w:rFonts w:hint="eastAsia"/>
                    <w:color w:val="000000"/>
                  </w:rPr>
                </w:pPr>
                <w:r>
                  <w:rPr>
                    <w:rFonts w:cs="Calibri" w:hint="eastAsia"/>
                    <w:color w:val="000000"/>
                  </w:rPr>
                  <w:t>1</w:t>
                </w:r>
              </w:p>
            </w:tc>
            <w:tc>
              <w:tcPr>
                <w:tcW w:w="631" w:type="pct"/>
                <w:tcBorders>
                  <w:top w:val="single" w:sz="4" w:space="0" w:color="auto"/>
                  <w:left w:val="nil"/>
                  <w:bottom w:val="single" w:sz="4" w:space="0" w:color="auto"/>
                  <w:right w:val="single" w:sz="4" w:space="0" w:color="auto"/>
                </w:tcBorders>
                <w:vAlign w:val="center"/>
              </w:tcPr>
              <w:p w14:paraId="5ECB1D19" w14:textId="77777777" w:rsidR="002D0AE7" w:rsidRDefault="00333EBB">
                <w:pPr>
                  <w:rPr>
                    <w:rFonts w:hint="eastAsia"/>
                    <w:color w:val="000000"/>
                  </w:rPr>
                </w:pPr>
                <w:r>
                  <w:rPr>
                    <w:rFonts w:hint="eastAsia"/>
                    <w:color w:val="000000"/>
                  </w:rPr>
                  <w:t>正常</w:t>
                </w:r>
              </w:p>
            </w:tc>
          </w:tr>
          <w:tr w:rsidR="002D0AE7" w14:paraId="6A9015AE" w14:textId="77777777">
            <w:trPr>
              <w:trHeight w:val="408"/>
              <w:jc w:val="center"/>
            </w:trPr>
            <w:tc>
              <w:tcPr>
                <w:tcW w:w="0" w:type="auto"/>
                <w:vMerge/>
                <w:tcBorders>
                  <w:top w:val="nil"/>
                  <w:left w:val="single" w:sz="4" w:space="0" w:color="auto"/>
                  <w:bottom w:val="nil"/>
                  <w:right w:val="single" w:sz="4" w:space="0" w:color="auto"/>
                </w:tcBorders>
                <w:vAlign w:val="center"/>
              </w:tcPr>
              <w:p w14:paraId="6EA10A43" w14:textId="77777777" w:rsidR="002D0AE7" w:rsidRDefault="002D0AE7">
                <w:pPr>
                  <w:rPr>
                    <w:rFonts w:ascii="Calibri" w:hAnsi="Calibri"/>
                    <w:color w:val="000000"/>
                    <w:kern w:val="2"/>
                  </w:rPr>
                </w:pPr>
              </w:p>
            </w:tc>
            <w:tc>
              <w:tcPr>
                <w:tcW w:w="3040" w:type="pct"/>
                <w:tcBorders>
                  <w:top w:val="single" w:sz="4" w:space="0" w:color="auto"/>
                  <w:left w:val="nil"/>
                  <w:bottom w:val="single" w:sz="4" w:space="0" w:color="auto"/>
                  <w:right w:val="single" w:sz="4" w:space="0" w:color="auto"/>
                </w:tcBorders>
                <w:vAlign w:val="center"/>
              </w:tcPr>
              <w:p w14:paraId="33139E4F" w14:textId="77777777" w:rsidR="002D0AE7" w:rsidRDefault="00333EBB">
                <w:pPr>
                  <w:rPr>
                    <w:rFonts w:hint="eastAsia"/>
                    <w:color w:val="000000"/>
                  </w:rPr>
                </w:pPr>
                <w:r>
                  <w:rPr>
                    <w:rFonts w:hint="eastAsia"/>
                    <w:color w:val="000000"/>
                  </w:rPr>
                  <w:t>“一级碱洗</w:t>
                </w:r>
                <w:r>
                  <w:rPr>
                    <w:rFonts w:cs="Calibri" w:hint="eastAsia"/>
                    <w:color w:val="000000"/>
                  </w:rPr>
                  <w:t>+</w:t>
                </w:r>
                <w:r>
                  <w:rPr>
                    <w:rFonts w:hint="eastAsia"/>
                    <w:color w:val="000000"/>
                  </w:rPr>
                  <w:t>活性炭吸附</w:t>
                </w:r>
                <w:r>
                  <w:rPr>
                    <w:rFonts w:cs="Calibri" w:hint="eastAsia"/>
                    <w:color w:val="000000"/>
                  </w:rPr>
                  <w:t>-</w:t>
                </w:r>
                <w:r>
                  <w:rPr>
                    <w:rFonts w:hint="eastAsia"/>
                    <w:color w:val="000000"/>
                  </w:rPr>
                  <w:t>蒸汽再生”</w:t>
                </w:r>
                <w:r>
                  <w:rPr>
                    <w:rFonts w:cs="Calibri" w:hint="eastAsia"/>
                    <w:color w:val="000000"/>
                  </w:rPr>
                  <w:t>VOCs</w:t>
                </w:r>
                <w:r>
                  <w:rPr>
                    <w:rFonts w:hint="eastAsia"/>
                    <w:color w:val="000000"/>
                  </w:rPr>
                  <w:t>治理设施</w:t>
                </w:r>
              </w:p>
            </w:tc>
            <w:tc>
              <w:tcPr>
                <w:tcW w:w="628" w:type="pct"/>
                <w:tcBorders>
                  <w:top w:val="single" w:sz="4" w:space="0" w:color="auto"/>
                  <w:left w:val="nil"/>
                  <w:bottom w:val="single" w:sz="4" w:space="0" w:color="auto"/>
                  <w:right w:val="single" w:sz="4" w:space="0" w:color="auto"/>
                </w:tcBorders>
                <w:vAlign w:val="center"/>
              </w:tcPr>
              <w:p w14:paraId="12ACFAD1" w14:textId="77777777" w:rsidR="002D0AE7" w:rsidRDefault="00333EBB">
                <w:pPr>
                  <w:jc w:val="center"/>
                  <w:rPr>
                    <w:rFonts w:hint="eastAsia"/>
                    <w:color w:val="000000"/>
                  </w:rPr>
                </w:pPr>
                <w:r>
                  <w:rPr>
                    <w:rFonts w:cs="Calibri" w:hint="eastAsia"/>
                    <w:color w:val="000000"/>
                  </w:rPr>
                  <w:t>8</w:t>
                </w:r>
              </w:p>
            </w:tc>
            <w:tc>
              <w:tcPr>
                <w:tcW w:w="631" w:type="pct"/>
                <w:tcBorders>
                  <w:top w:val="single" w:sz="4" w:space="0" w:color="auto"/>
                  <w:left w:val="nil"/>
                  <w:bottom w:val="single" w:sz="4" w:space="0" w:color="auto"/>
                  <w:right w:val="single" w:sz="4" w:space="0" w:color="auto"/>
                </w:tcBorders>
                <w:vAlign w:val="center"/>
              </w:tcPr>
              <w:p w14:paraId="111EEDA9" w14:textId="77777777" w:rsidR="002D0AE7" w:rsidRDefault="00333EBB">
                <w:pPr>
                  <w:rPr>
                    <w:rFonts w:hint="eastAsia"/>
                    <w:color w:val="000000"/>
                  </w:rPr>
                </w:pPr>
                <w:r>
                  <w:rPr>
                    <w:rFonts w:hint="eastAsia"/>
                    <w:color w:val="000000"/>
                  </w:rPr>
                  <w:t>正常</w:t>
                </w:r>
              </w:p>
            </w:tc>
          </w:tr>
          <w:tr w:rsidR="002D0AE7" w14:paraId="2E6FAF41" w14:textId="77777777">
            <w:trPr>
              <w:trHeight w:val="556"/>
              <w:jc w:val="center"/>
            </w:trPr>
            <w:tc>
              <w:tcPr>
                <w:tcW w:w="0" w:type="auto"/>
                <w:vMerge/>
                <w:tcBorders>
                  <w:top w:val="nil"/>
                  <w:left w:val="single" w:sz="4" w:space="0" w:color="auto"/>
                  <w:bottom w:val="nil"/>
                  <w:right w:val="single" w:sz="4" w:space="0" w:color="auto"/>
                </w:tcBorders>
                <w:vAlign w:val="center"/>
              </w:tcPr>
              <w:p w14:paraId="349C9146" w14:textId="77777777" w:rsidR="002D0AE7" w:rsidRDefault="002D0AE7">
                <w:pPr>
                  <w:rPr>
                    <w:rFonts w:ascii="Calibri" w:hAnsi="Calibri"/>
                    <w:color w:val="000000"/>
                    <w:kern w:val="2"/>
                  </w:rPr>
                </w:pPr>
              </w:p>
            </w:tc>
            <w:tc>
              <w:tcPr>
                <w:tcW w:w="3040" w:type="pct"/>
                <w:tcBorders>
                  <w:top w:val="single" w:sz="4" w:space="0" w:color="auto"/>
                  <w:left w:val="nil"/>
                  <w:bottom w:val="single" w:sz="4" w:space="0" w:color="auto"/>
                  <w:right w:val="single" w:sz="4" w:space="0" w:color="auto"/>
                </w:tcBorders>
                <w:vAlign w:val="center"/>
              </w:tcPr>
              <w:p w14:paraId="757DF4D5" w14:textId="77777777" w:rsidR="002D0AE7" w:rsidRDefault="00333EBB">
                <w:pPr>
                  <w:rPr>
                    <w:rFonts w:hint="eastAsia"/>
                    <w:color w:val="000000"/>
                  </w:rPr>
                </w:pPr>
                <w:r>
                  <w:rPr>
                    <w:rFonts w:hint="eastAsia"/>
                    <w:color w:val="000000"/>
                  </w:rPr>
                  <w:t>“一级水洗</w:t>
                </w:r>
                <w:r>
                  <w:rPr>
                    <w:rFonts w:cs="Calibri" w:hint="eastAsia"/>
                    <w:color w:val="000000"/>
                  </w:rPr>
                  <w:t>+</w:t>
                </w:r>
                <w:r>
                  <w:rPr>
                    <w:rFonts w:hint="eastAsia"/>
                    <w:color w:val="000000"/>
                  </w:rPr>
                  <w:t>活性炭吸附</w:t>
                </w:r>
                <w:r>
                  <w:rPr>
                    <w:rFonts w:cs="Calibri" w:hint="eastAsia"/>
                    <w:color w:val="000000"/>
                  </w:rPr>
                  <w:t>-</w:t>
                </w:r>
                <w:r>
                  <w:rPr>
                    <w:rFonts w:hint="eastAsia"/>
                    <w:color w:val="000000"/>
                  </w:rPr>
                  <w:t>蒸汽再生</w:t>
                </w:r>
                <w:r>
                  <w:rPr>
                    <w:rFonts w:cs="Calibri" w:hint="eastAsia"/>
                    <w:color w:val="000000"/>
                  </w:rPr>
                  <w:t>+</w:t>
                </w:r>
                <w:r>
                  <w:rPr>
                    <w:rFonts w:hint="eastAsia"/>
                    <w:color w:val="000000"/>
                  </w:rPr>
                  <w:t>光催化一级碱洗”</w:t>
                </w:r>
                <w:r>
                  <w:rPr>
                    <w:rFonts w:cs="Calibri" w:hint="eastAsia"/>
                    <w:color w:val="000000"/>
                  </w:rPr>
                  <w:t>VOCs</w:t>
                </w:r>
                <w:r>
                  <w:rPr>
                    <w:rFonts w:hint="eastAsia"/>
                    <w:color w:val="000000"/>
                  </w:rPr>
                  <w:t>治理设施</w:t>
                </w:r>
              </w:p>
            </w:tc>
            <w:tc>
              <w:tcPr>
                <w:tcW w:w="628" w:type="pct"/>
                <w:tcBorders>
                  <w:top w:val="single" w:sz="4" w:space="0" w:color="auto"/>
                  <w:left w:val="nil"/>
                  <w:bottom w:val="single" w:sz="4" w:space="0" w:color="auto"/>
                  <w:right w:val="single" w:sz="4" w:space="0" w:color="auto"/>
                </w:tcBorders>
                <w:vAlign w:val="center"/>
              </w:tcPr>
              <w:p w14:paraId="7C267760" w14:textId="77777777" w:rsidR="002D0AE7" w:rsidRDefault="00333EBB">
                <w:pPr>
                  <w:jc w:val="center"/>
                  <w:rPr>
                    <w:rFonts w:hint="eastAsia"/>
                    <w:color w:val="000000"/>
                  </w:rPr>
                </w:pPr>
                <w:r>
                  <w:rPr>
                    <w:rFonts w:cs="Calibri" w:hint="eastAsia"/>
                    <w:color w:val="000000"/>
                  </w:rPr>
                  <w:t>1</w:t>
                </w:r>
              </w:p>
            </w:tc>
            <w:tc>
              <w:tcPr>
                <w:tcW w:w="631" w:type="pct"/>
                <w:tcBorders>
                  <w:top w:val="single" w:sz="4" w:space="0" w:color="auto"/>
                  <w:left w:val="nil"/>
                  <w:bottom w:val="single" w:sz="4" w:space="0" w:color="auto"/>
                  <w:right w:val="single" w:sz="4" w:space="0" w:color="auto"/>
                </w:tcBorders>
                <w:vAlign w:val="center"/>
              </w:tcPr>
              <w:p w14:paraId="6ABEA292" w14:textId="77777777" w:rsidR="002D0AE7" w:rsidRDefault="00333EBB">
                <w:pPr>
                  <w:rPr>
                    <w:rFonts w:hint="eastAsia"/>
                    <w:color w:val="000000"/>
                  </w:rPr>
                </w:pPr>
                <w:r>
                  <w:rPr>
                    <w:rFonts w:hint="eastAsia"/>
                    <w:color w:val="000000"/>
                  </w:rPr>
                  <w:t>正常</w:t>
                </w:r>
              </w:p>
            </w:tc>
          </w:tr>
          <w:tr w:rsidR="002D0AE7" w14:paraId="2A880460" w14:textId="77777777">
            <w:trPr>
              <w:trHeight w:val="564"/>
              <w:jc w:val="center"/>
            </w:trPr>
            <w:tc>
              <w:tcPr>
                <w:tcW w:w="0" w:type="auto"/>
                <w:vMerge/>
                <w:tcBorders>
                  <w:top w:val="nil"/>
                  <w:left w:val="single" w:sz="4" w:space="0" w:color="auto"/>
                  <w:bottom w:val="nil"/>
                  <w:right w:val="single" w:sz="4" w:space="0" w:color="auto"/>
                </w:tcBorders>
                <w:vAlign w:val="center"/>
              </w:tcPr>
              <w:p w14:paraId="0DA31FE4" w14:textId="77777777" w:rsidR="002D0AE7" w:rsidRDefault="002D0AE7">
                <w:pPr>
                  <w:rPr>
                    <w:rFonts w:ascii="Calibri" w:hAnsi="Calibri"/>
                    <w:color w:val="000000"/>
                    <w:kern w:val="2"/>
                  </w:rPr>
                </w:pPr>
              </w:p>
            </w:tc>
            <w:tc>
              <w:tcPr>
                <w:tcW w:w="3040" w:type="pct"/>
                <w:tcBorders>
                  <w:top w:val="single" w:sz="4" w:space="0" w:color="auto"/>
                  <w:left w:val="nil"/>
                  <w:bottom w:val="single" w:sz="4" w:space="0" w:color="auto"/>
                  <w:right w:val="single" w:sz="4" w:space="0" w:color="auto"/>
                </w:tcBorders>
                <w:vAlign w:val="center"/>
              </w:tcPr>
              <w:p w14:paraId="460B280C" w14:textId="77777777" w:rsidR="002D0AE7" w:rsidRDefault="00333EBB">
                <w:pPr>
                  <w:rPr>
                    <w:rFonts w:hint="eastAsia"/>
                    <w:color w:val="000000"/>
                  </w:rPr>
                </w:pPr>
                <w:r>
                  <w:rPr>
                    <w:rFonts w:hint="eastAsia"/>
                    <w:color w:val="000000"/>
                  </w:rPr>
                  <w:t>“一级碱洗，</w:t>
                </w:r>
                <w:r>
                  <w:rPr>
                    <w:rFonts w:cs="Calibri" w:hint="eastAsia"/>
                    <w:color w:val="000000"/>
                  </w:rPr>
                  <w:t>RTO</w:t>
                </w:r>
                <w:r>
                  <w:rPr>
                    <w:rFonts w:hint="eastAsia"/>
                    <w:color w:val="000000"/>
                  </w:rPr>
                  <w:t>，极冷，三级碱洗，活性炭吸附</w:t>
                </w:r>
                <w:r>
                  <w:rPr>
                    <w:rFonts w:cs="Calibri" w:hint="eastAsia"/>
                    <w:color w:val="000000"/>
                  </w:rPr>
                  <w:t>-</w:t>
                </w:r>
                <w:r>
                  <w:rPr>
                    <w:rFonts w:hint="eastAsia"/>
                    <w:color w:val="000000"/>
                  </w:rPr>
                  <w:t>蒸汽再生”</w:t>
                </w:r>
                <w:r>
                  <w:rPr>
                    <w:rFonts w:cs="Calibri" w:hint="eastAsia"/>
                    <w:color w:val="000000"/>
                  </w:rPr>
                  <w:t>VOCs</w:t>
                </w:r>
                <w:r>
                  <w:rPr>
                    <w:rFonts w:hint="eastAsia"/>
                    <w:color w:val="000000"/>
                  </w:rPr>
                  <w:t>治理设施</w:t>
                </w:r>
              </w:p>
            </w:tc>
            <w:tc>
              <w:tcPr>
                <w:tcW w:w="628" w:type="pct"/>
                <w:tcBorders>
                  <w:top w:val="single" w:sz="4" w:space="0" w:color="auto"/>
                  <w:left w:val="nil"/>
                  <w:bottom w:val="single" w:sz="4" w:space="0" w:color="auto"/>
                  <w:right w:val="single" w:sz="4" w:space="0" w:color="auto"/>
                </w:tcBorders>
                <w:vAlign w:val="center"/>
              </w:tcPr>
              <w:p w14:paraId="350C335F" w14:textId="77777777" w:rsidR="002D0AE7" w:rsidRDefault="00333EBB">
                <w:pPr>
                  <w:jc w:val="center"/>
                  <w:rPr>
                    <w:rFonts w:hint="eastAsia"/>
                    <w:color w:val="000000"/>
                  </w:rPr>
                </w:pPr>
                <w:r>
                  <w:rPr>
                    <w:rFonts w:cs="Calibri" w:hint="eastAsia"/>
                    <w:color w:val="000000"/>
                  </w:rPr>
                  <w:t>2</w:t>
                </w:r>
              </w:p>
            </w:tc>
            <w:tc>
              <w:tcPr>
                <w:tcW w:w="631" w:type="pct"/>
                <w:tcBorders>
                  <w:top w:val="single" w:sz="4" w:space="0" w:color="auto"/>
                  <w:left w:val="nil"/>
                  <w:bottom w:val="single" w:sz="4" w:space="0" w:color="auto"/>
                  <w:right w:val="single" w:sz="4" w:space="0" w:color="auto"/>
                </w:tcBorders>
                <w:vAlign w:val="center"/>
              </w:tcPr>
              <w:p w14:paraId="301B8347" w14:textId="77777777" w:rsidR="002D0AE7" w:rsidRDefault="00333EBB">
                <w:pPr>
                  <w:rPr>
                    <w:rFonts w:hint="eastAsia"/>
                    <w:color w:val="000000"/>
                  </w:rPr>
                </w:pPr>
                <w:r>
                  <w:rPr>
                    <w:rFonts w:hint="eastAsia"/>
                    <w:color w:val="000000"/>
                  </w:rPr>
                  <w:t>正常</w:t>
                </w:r>
              </w:p>
            </w:tc>
          </w:tr>
          <w:tr w:rsidR="002D0AE7" w14:paraId="75EB5048" w14:textId="77777777">
            <w:trPr>
              <w:trHeight w:val="558"/>
              <w:jc w:val="center"/>
            </w:trPr>
            <w:tc>
              <w:tcPr>
                <w:tcW w:w="0" w:type="auto"/>
                <w:vMerge/>
                <w:tcBorders>
                  <w:top w:val="nil"/>
                  <w:left w:val="single" w:sz="4" w:space="0" w:color="auto"/>
                  <w:bottom w:val="nil"/>
                  <w:right w:val="single" w:sz="4" w:space="0" w:color="auto"/>
                </w:tcBorders>
                <w:vAlign w:val="center"/>
              </w:tcPr>
              <w:p w14:paraId="3F1C9896" w14:textId="77777777" w:rsidR="002D0AE7" w:rsidRDefault="002D0AE7">
                <w:pPr>
                  <w:rPr>
                    <w:rFonts w:ascii="Calibri" w:hAnsi="Calibri"/>
                    <w:color w:val="000000"/>
                    <w:kern w:val="2"/>
                  </w:rPr>
                </w:pPr>
              </w:p>
            </w:tc>
            <w:tc>
              <w:tcPr>
                <w:tcW w:w="3040" w:type="pct"/>
                <w:tcBorders>
                  <w:top w:val="single" w:sz="4" w:space="0" w:color="auto"/>
                  <w:left w:val="nil"/>
                  <w:bottom w:val="single" w:sz="4" w:space="0" w:color="auto"/>
                  <w:right w:val="single" w:sz="4" w:space="0" w:color="auto"/>
                </w:tcBorders>
                <w:vAlign w:val="center"/>
              </w:tcPr>
              <w:p w14:paraId="471697CC" w14:textId="77777777" w:rsidR="002D0AE7" w:rsidRDefault="00333EBB">
                <w:pPr>
                  <w:rPr>
                    <w:rFonts w:hint="eastAsia"/>
                    <w:color w:val="000000"/>
                  </w:rPr>
                </w:pPr>
                <w:r>
                  <w:rPr>
                    <w:rFonts w:hint="eastAsia"/>
                    <w:color w:val="000000"/>
                  </w:rPr>
                  <w:t>“一级碱洗”</w:t>
                </w:r>
                <w:r>
                  <w:rPr>
                    <w:rFonts w:cs="Calibri" w:hint="eastAsia"/>
                    <w:color w:val="000000"/>
                  </w:rPr>
                  <w:t>VOCs</w:t>
                </w:r>
                <w:r>
                  <w:rPr>
                    <w:rFonts w:hint="eastAsia"/>
                    <w:color w:val="000000"/>
                  </w:rPr>
                  <w:t>治理设施</w:t>
                </w:r>
              </w:p>
            </w:tc>
            <w:tc>
              <w:tcPr>
                <w:tcW w:w="628" w:type="pct"/>
                <w:tcBorders>
                  <w:top w:val="single" w:sz="4" w:space="0" w:color="auto"/>
                  <w:left w:val="nil"/>
                  <w:bottom w:val="single" w:sz="4" w:space="0" w:color="auto"/>
                  <w:right w:val="single" w:sz="4" w:space="0" w:color="auto"/>
                </w:tcBorders>
                <w:vAlign w:val="center"/>
              </w:tcPr>
              <w:p w14:paraId="48CA36C4" w14:textId="77777777" w:rsidR="002D0AE7" w:rsidRDefault="00333EBB">
                <w:pPr>
                  <w:jc w:val="center"/>
                  <w:rPr>
                    <w:rFonts w:hint="eastAsia"/>
                    <w:color w:val="000000"/>
                  </w:rPr>
                </w:pPr>
                <w:r>
                  <w:rPr>
                    <w:rFonts w:cs="Calibri" w:hint="eastAsia"/>
                    <w:color w:val="000000"/>
                  </w:rPr>
                  <w:t>1</w:t>
                </w:r>
              </w:p>
            </w:tc>
            <w:tc>
              <w:tcPr>
                <w:tcW w:w="631" w:type="pct"/>
                <w:tcBorders>
                  <w:top w:val="single" w:sz="4" w:space="0" w:color="auto"/>
                  <w:left w:val="nil"/>
                  <w:bottom w:val="single" w:sz="4" w:space="0" w:color="auto"/>
                  <w:right w:val="single" w:sz="4" w:space="0" w:color="auto"/>
                </w:tcBorders>
                <w:vAlign w:val="center"/>
              </w:tcPr>
              <w:p w14:paraId="10A3C5E3" w14:textId="77777777" w:rsidR="002D0AE7" w:rsidRDefault="00333EBB">
                <w:pPr>
                  <w:rPr>
                    <w:rFonts w:hint="eastAsia"/>
                    <w:color w:val="000000"/>
                  </w:rPr>
                </w:pPr>
                <w:r>
                  <w:rPr>
                    <w:rFonts w:hint="eastAsia"/>
                    <w:color w:val="000000"/>
                  </w:rPr>
                  <w:t>正常</w:t>
                </w:r>
              </w:p>
            </w:tc>
          </w:tr>
          <w:tr w:rsidR="002D0AE7" w14:paraId="4DB8D4B1" w14:textId="77777777">
            <w:trPr>
              <w:trHeight w:val="410"/>
              <w:jc w:val="center"/>
            </w:trPr>
            <w:tc>
              <w:tcPr>
                <w:tcW w:w="0" w:type="auto"/>
                <w:vMerge/>
                <w:tcBorders>
                  <w:top w:val="nil"/>
                  <w:left w:val="single" w:sz="4" w:space="0" w:color="auto"/>
                  <w:bottom w:val="nil"/>
                  <w:right w:val="single" w:sz="4" w:space="0" w:color="auto"/>
                </w:tcBorders>
                <w:vAlign w:val="center"/>
              </w:tcPr>
              <w:p w14:paraId="5F73CA8C" w14:textId="77777777" w:rsidR="002D0AE7" w:rsidRDefault="002D0AE7">
                <w:pPr>
                  <w:rPr>
                    <w:rFonts w:ascii="Calibri" w:hAnsi="Calibri"/>
                    <w:color w:val="000000"/>
                    <w:kern w:val="2"/>
                  </w:rPr>
                </w:pPr>
              </w:p>
            </w:tc>
            <w:tc>
              <w:tcPr>
                <w:tcW w:w="3040" w:type="pct"/>
                <w:tcBorders>
                  <w:top w:val="single" w:sz="4" w:space="0" w:color="auto"/>
                  <w:left w:val="nil"/>
                  <w:bottom w:val="single" w:sz="4" w:space="0" w:color="auto"/>
                  <w:right w:val="single" w:sz="4" w:space="0" w:color="auto"/>
                </w:tcBorders>
                <w:vAlign w:val="center"/>
              </w:tcPr>
              <w:p w14:paraId="782E4861" w14:textId="77777777" w:rsidR="002D0AE7" w:rsidRDefault="00333EBB">
                <w:pPr>
                  <w:rPr>
                    <w:rFonts w:hint="eastAsia"/>
                    <w:color w:val="000000"/>
                  </w:rPr>
                </w:pPr>
                <w:r>
                  <w:rPr>
                    <w:rFonts w:hint="eastAsia"/>
                    <w:color w:val="000000"/>
                  </w:rPr>
                  <w:t>布袋除尘器</w:t>
                </w:r>
              </w:p>
            </w:tc>
            <w:tc>
              <w:tcPr>
                <w:tcW w:w="628" w:type="pct"/>
                <w:tcBorders>
                  <w:top w:val="single" w:sz="4" w:space="0" w:color="auto"/>
                  <w:left w:val="nil"/>
                  <w:bottom w:val="single" w:sz="4" w:space="0" w:color="auto"/>
                  <w:right w:val="single" w:sz="4" w:space="0" w:color="auto"/>
                </w:tcBorders>
                <w:vAlign w:val="center"/>
              </w:tcPr>
              <w:p w14:paraId="229BA42E" w14:textId="77777777" w:rsidR="002D0AE7" w:rsidRDefault="00333EBB">
                <w:pPr>
                  <w:jc w:val="center"/>
                  <w:rPr>
                    <w:rFonts w:hint="eastAsia"/>
                    <w:color w:val="000000"/>
                  </w:rPr>
                </w:pPr>
                <w:r>
                  <w:rPr>
                    <w:rFonts w:cs="Calibri" w:hint="eastAsia"/>
                    <w:color w:val="000000"/>
                  </w:rPr>
                  <w:t>3</w:t>
                </w:r>
              </w:p>
            </w:tc>
            <w:tc>
              <w:tcPr>
                <w:tcW w:w="631" w:type="pct"/>
                <w:tcBorders>
                  <w:top w:val="single" w:sz="4" w:space="0" w:color="auto"/>
                  <w:left w:val="nil"/>
                  <w:bottom w:val="single" w:sz="4" w:space="0" w:color="auto"/>
                  <w:right w:val="single" w:sz="4" w:space="0" w:color="auto"/>
                </w:tcBorders>
                <w:vAlign w:val="center"/>
              </w:tcPr>
              <w:p w14:paraId="47F644C3" w14:textId="77777777" w:rsidR="002D0AE7" w:rsidRDefault="00333EBB">
                <w:pPr>
                  <w:rPr>
                    <w:rFonts w:hint="eastAsia"/>
                    <w:color w:val="000000"/>
                  </w:rPr>
                </w:pPr>
                <w:r>
                  <w:rPr>
                    <w:rFonts w:hint="eastAsia"/>
                    <w:color w:val="000000"/>
                  </w:rPr>
                  <w:t>正常</w:t>
                </w:r>
              </w:p>
            </w:tc>
          </w:tr>
          <w:tr w:rsidR="002D0AE7" w14:paraId="1E4D6B78" w14:textId="77777777">
            <w:trPr>
              <w:trHeight w:val="699"/>
              <w:jc w:val="center"/>
            </w:trPr>
            <w:tc>
              <w:tcPr>
                <w:tcW w:w="701" w:type="pct"/>
                <w:tcBorders>
                  <w:top w:val="single" w:sz="4" w:space="0" w:color="auto"/>
                  <w:left w:val="single" w:sz="4" w:space="0" w:color="auto"/>
                  <w:bottom w:val="single" w:sz="4" w:space="0" w:color="auto"/>
                  <w:right w:val="single" w:sz="4" w:space="0" w:color="auto"/>
                </w:tcBorders>
                <w:vAlign w:val="center"/>
              </w:tcPr>
              <w:p w14:paraId="46C45AB3" w14:textId="77777777" w:rsidR="002D0AE7" w:rsidRDefault="00333EBB">
                <w:pPr>
                  <w:rPr>
                    <w:rFonts w:hint="eastAsia"/>
                    <w:color w:val="000000"/>
                  </w:rPr>
                </w:pPr>
                <w:r>
                  <w:rPr>
                    <w:rFonts w:hint="eastAsia"/>
                    <w:color w:val="000000"/>
                  </w:rPr>
                  <w:t>天津津药环境科技有限公司</w:t>
                </w:r>
              </w:p>
            </w:tc>
            <w:tc>
              <w:tcPr>
                <w:tcW w:w="3040" w:type="pct"/>
                <w:tcBorders>
                  <w:top w:val="single" w:sz="4" w:space="0" w:color="auto"/>
                  <w:left w:val="nil"/>
                  <w:bottom w:val="single" w:sz="4" w:space="0" w:color="auto"/>
                  <w:right w:val="single" w:sz="4" w:space="0" w:color="auto"/>
                </w:tcBorders>
                <w:vAlign w:val="center"/>
              </w:tcPr>
              <w:p w14:paraId="75D85B0B" w14:textId="77777777" w:rsidR="002D0AE7" w:rsidRDefault="00333EBB">
                <w:pPr>
                  <w:rPr>
                    <w:rFonts w:ascii="Times New Roman" w:hAnsi="Times New Roman"/>
                    <w:color w:val="000000"/>
                  </w:rPr>
                </w:pPr>
                <w:r>
                  <w:rPr>
                    <w:rFonts w:hint="eastAsia"/>
                    <w:color w:val="000000"/>
                  </w:rPr>
                  <w:t>低氮燃烧器</w:t>
                </w:r>
              </w:p>
            </w:tc>
            <w:tc>
              <w:tcPr>
                <w:tcW w:w="628" w:type="pct"/>
                <w:tcBorders>
                  <w:top w:val="single" w:sz="4" w:space="0" w:color="auto"/>
                  <w:left w:val="nil"/>
                  <w:bottom w:val="single" w:sz="4" w:space="0" w:color="auto"/>
                  <w:right w:val="single" w:sz="4" w:space="0" w:color="auto"/>
                </w:tcBorders>
                <w:vAlign w:val="center"/>
              </w:tcPr>
              <w:p w14:paraId="0829A2EB" w14:textId="77777777" w:rsidR="002D0AE7" w:rsidRDefault="00333EBB">
                <w:pPr>
                  <w:jc w:val="center"/>
                  <w:rPr>
                    <w:rFonts w:ascii="Calibri" w:hAnsi="Calibri" w:cs="Times New Roman"/>
                    <w:color w:val="000000"/>
                    <w:kern w:val="2"/>
                  </w:rPr>
                </w:pPr>
                <w:r>
                  <w:rPr>
                    <w:rFonts w:cs="Calibri" w:hint="eastAsia"/>
                    <w:color w:val="000000"/>
                  </w:rPr>
                  <w:t>2</w:t>
                </w:r>
              </w:p>
            </w:tc>
            <w:tc>
              <w:tcPr>
                <w:tcW w:w="631" w:type="pct"/>
                <w:tcBorders>
                  <w:top w:val="single" w:sz="4" w:space="0" w:color="auto"/>
                  <w:left w:val="nil"/>
                  <w:bottom w:val="single" w:sz="4" w:space="0" w:color="auto"/>
                  <w:right w:val="single" w:sz="4" w:space="0" w:color="auto"/>
                </w:tcBorders>
                <w:vAlign w:val="center"/>
              </w:tcPr>
              <w:p w14:paraId="405BD6D4" w14:textId="77777777" w:rsidR="002D0AE7" w:rsidRDefault="00333EBB">
                <w:pPr>
                  <w:rPr>
                    <w:rFonts w:hint="eastAsia"/>
                    <w:color w:val="000000"/>
                  </w:rPr>
                </w:pPr>
                <w:r>
                  <w:rPr>
                    <w:rFonts w:hint="eastAsia"/>
                    <w:color w:val="000000"/>
                  </w:rPr>
                  <w:t>正常</w:t>
                </w:r>
              </w:p>
            </w:tc>
          </w:tr>
          <w:tr w:rsidR="002D0AE7" w14:paraId="18EAB682" w14:textId="77777777">
            <w:trPr>
              <w:trHeight w:val="442"/>
              <w:jc w:val="center"/>
            </w:trPr>
            <w:tc>
              <w:tcPr>
                <w:tcW w:w="701" w:type="pct"/>
                <w:vMerge w:val="restart"/>
                <w:tcBorders>
                  <w:top w:val="single" w:sz="4" w:space="0" w:color="auto"/>
                  <w:left w:val="single" w:sz="4" w:space="0" w:color="auto"/>
                  <w:bottom w:val="single" w:sz="4" w:space="0" w:color="auto"/>
                  <w:right w:val="single" w:sz="4" w:space="0" w:color="auto"/>
                </w:tcBorders>
                <w:vAlign w:val="center"/>
              </w:tcPr>
              <w:p w14:paraId="1B209604" w14:textId="77777777" w:rsidR="002D0AE7" w:rsidRDefault="00333EBB">
                <w:pPr>
                  <w:rPr>
                    <w:rFonts w:hint="eastAsia"/>
                    <w:color w:val="000000"/>
                  </w:rPr>
                </w:pPr>
                <w:r>
                  <w:rPr>
                    <w:rFonts w:hint="eastAsia"/>
                    <w:color w:val="000000"/>
                  </w:rPr>
                  <w:t>津药和平（天津</w:t>
                </w:r>
                <w:r>
                  <w:rPr>
                    <w:color w:val="000000"/>
                  </w:rPr>
                  <w:t>）</w:t>
                </w:r>
                <w:r>
                  <w:rPr>
                    <w:rFonts w:hint="eastAsia"/>
                    <w:color w:val="000000"/>
                  </w:rPr>
                  <w:t>制药有限公司</w:t>
                </w:r>
              </w:p>
            </w:tc>
            <w:tc>
              <w:tcPr>
                <w:tcW w:w="3040" w:type="pct"/>
                <w:tcBorders>
                  <w:top w:val="single" w:sz="4" w:space="0" w:color="auto"/>
                  <w:left w:val="nil"/>
                  <w:bottom w:val="single" w:sz="4" w:space="0" w:color="auto"/>
                  <w:right w:val="single" w:sz="4" w:space="0" w:color="auto"/>
                </w:tcBorders>
                <w:vAlign w:val="center"/>
              </w:tcPr>
              <w:p w14:paraId="4C27CC80" w14:textId="77777777" w:rsidR="002D0AE7" w:rsidRDefault="00333EBB">
                <w:pPr>
                  <w:rPr>
                    <w:rFonts w:hint="eastAsia"/>
                    <w:color w:val="000000"/>
                  </w:rPr>
                </w:pPr>
                <w:r>
                  <w:rPr>
                    <w:rFonts w:hint="eastAsia"/>
                    <w:color w:val="000000"/>
                  </w:rPr>
                  <w:t>袋式除尘</w:t>
                </w:r>
              </w:p>
            </w:tc>
            <w:tc>
              <w:tcPr>
                <w:tcW w:w="628" w:type="pct"/>
                <w:tcBorders>
                  <w:top w:val="single" w:sz="4" w:space="0" w:color="auto"/>
                  <w:left w:val="nil"/>
                  <w:bottom w:val="single" w:sz="4" w:space="0" w:color="auto"/>
                  <w:right w:val="single" w:sz="4" w:space="0" w:color="auto"/>
                </w:tcBorders>
                <w:vAlign w:val="center"/>
              </w:tcPr>
              <w:p w14:paraId="2DDD3B6B" w14:textId="77777777" w:rsidR="002D0AE7" w:rsidRDefault="00333EBB">
                <w:pPr>
                  <w:jc w:val="center"/>
                  <w:rPr>
                    <w:rFonts w:ascii="Calibri" w:hAnsi="Calibri"/>
                    <w:color w:val="000000"/>
                  </w:rPr>
                </w:pPr>
                <w:r>
                  <w:rPr>
                    <w:color w:val="000000"/>
                  </w:rPr>
                  <w:t>11</w:t>
                </w:r>
              </w:p>
            </w:tc>
            <w:tc>
              <w:tcPr>
                <w:tcW w:w="631" w:type="pct"/>
                <w:tcBorders>
                  <w:top w:val="single" w:sz="4" w:space="0" w:color="auto"/>
                  <w:left w:val="nil"/>
                  <w:bottom w:val="single" w:sz="4" w:space="0" w:color="auto"/>
                  <w:right w:val="single" w:sz="4" w:space="0" w:color="auto"/>
                </w:tcBorders>
                <w:vAlign w:val="center"/>
              </w:tcPr>
              <w:p w14:paraId="1B3D4773" w14:textId="77777777" w:rsidR="002D0AE7" w:rsidRDefault="00333EBB">
                <w:pPr>
                  <w:rPr>
                    <w:rFonts w:hint="eastAsia"/>
                    <w:color w:val="000000"/>
                  </w:rPr>
                </w:pPr>
                <w:r>
                  <w:rPr>
                    <w:rFonts w:hint="eastAsia"/>
                    <w:color w:val="000000"/>
                  </w:rPr>
                  <w:t>正常</w:t>
                </w:r>
              </w:p>
            </w:tc>
          </w:tr>
          <w:tr w:rsidR="002D0AE7" w14:paraId="32ED77C0" w14:textId="77777777">
            <w:trPr>
              <w:trHeight w:val="4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F6867BF" w14:textId="77777777" w:rsidR="002D0AE7" w:rsidRDefault="002D0AE7">
                <w:pPr>
                  <w:rPr>
                    <w:rFonts w:ascii="Calibri" w:hAnsi="Calibri"/>
                    <w:color w:val="000000"/>
                    <w:kern w:val="2"/>
                  </w:rPr>
                </w:pPr>
              </w:p>
            </w:tc>
            <w:tc>
              <w:tcPr>
                <w:tcW w:w="3040" w:type="pct"/>
                <w:tcBorders>
                  <w:top w:val="single" w:sz="4" w:space="0" w:color="auto"/>
                  <w:left w:val="nil"/>
                  <w:bottom w:val="single" w:sz="4" w:space="0" w:color="auto"/>
                  <w:right w:val="single" w:sz="4" w:space="0" w:color="auto"/>
                </w:tcBorders>
                <w:vAlign w:val="center"/>
              </w:tcPr>
              <w:p w14:paraId="63611860" w14:textId="77777777" w:rsidR="002D0AE7" w:rsidRDefault="00333EBB">
                <w:pPr>
                  <w:rPr>
                    <w:rFonts w:hint="eastAsia"/>
                    <w:color w:val="000000"/>
                  </w:rPr>
                </w:pPr>
                <w:r>
                  <w:rPr>
                    <w:rFonts w:hint="eastAsia"/>
                    <w:color w:val="000000"/>
                  </w:rPr>
                  <w:t>旋风分离</w:t>
                </w:r>
                <w:r>
                  <w:rPr>
                    <w:rFonts w:cs="Calibri" w:hint="eastAsia"/>
                    <w:color w:val="000000"/>
                  </w:rPr>
                  <w:t>+</w:t>
                </w:r>
                <w:r>
                  <w:rPr>
                    <w:rFonts w:hint="eastAsia"/>
                    <w:color w:val="000000"/>
                  </w:rPr>
                  <w:t>袋式除尘</w:t>
                </w:r>
              </w:p>
            </w:tc>
            <w:tc>
              <w:tcPr>
                <w:tcW w:w="628" w:type="pct"/>
                <w:tcBorders>
                  <w:top w:val="single" w:sz="4" w:space="0" w:color="auto"/>
                  <w:left w:val="nil"/>
                  <w:bottom w:val="single" w:sz="4" w:space="0" w:color="auto"/>
                  <w:right w:val="single" w:sz="4" w:space="0" w:color="auto"/>
                </w:tcBorders>
                <w:vAlign w:val="center"/>
              </w:tcPr>
              <w:p w14:paraId="1EF0FCCF" w14:textId="77777777" w:rsidR="002D0AE7" w:rsidRDefault="00333EBB">
                <w:pPr>
                  <w:jc w:val="center"/>
                  <w:rPr>
                    <w:rFonts w:ascii="Calibri" w:hAnsi="Calibri"/>
                    <w:color w:val="000000"/>
                  </w:rPr>
                </w:pPr>
                <w:r>
                  <w:rPr>
                    <w:color w:val="000000"/>
                  </w:rPr>
                  <w:t>2</w:t>
                </w:r>
              </w:p>
            </w:tc>
            <w:tc>
              <w:tcPr>
                <w:tcW w:w="631" w:type="pct"/>
                <w:tcBorders>
                  <w:top w:val="single" w:sz="4" w:space="0" w:color="auto"/>
                  <w:left w:val="nil"/>
                  <w:bottom w:val="single" w:sz="4" w:space="0" w:color="auto"/>
                  <w:right w:val="single" w:sz="4" w:space="0" w:color="auto"/>
                </w:tcBorders>
                <w:vAlign w:val="center"/>
              </w:tcPr>
              <w:p w14:paraId="1E1F5430" w14:textId="77777777" w:rsidR="002D0AE7" w:rsidRDefault="00333EBB">
                <w:pPr>
                  <w:rPr>
                    <w:rFonts w:hint="eastAsia"/>
                    <w:color w:val="000000"/>
                  </w:rPr>
                </w:pPr>
                <w:r>
                  <w:rPr>
                    <w:rFonts w:hint="eastAsia"/>
                    <w:color w:val="000000"/>
                  </w:rPr>
                  <w:t>正常</w:t>
                </w:r>
              </w:p>
            </w:tc>
          </w:tr>
          <w:tr w:rsidR="002D0AE7" w14:paraId="1455AD1E" w14:textId="77777777">
            <w:trPr>
              <w:trHeight w:val="41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B17D112" w14:textId="77777777" w:rsidR="002D0AE7" w:rsidRDefault="002D0AE7">
                <w:pPr>
                  <w:rPr>
                    <w:rFonts w:ascii="Calibri" w:hAnsi="Calibri"/>
                    <w:color w:val="000000"/>
                    <w:kern w:val="2"/>
                  </w:rPr>
                </w:pPr>
              </w:p>
            </w:tc>
            <w:tc>
              <w:tcPr>
                <w:tcW w:w="3040" w:type="pct"/>
                <w:tcBorders>
                  <w:top w:val="single" w:sz="4" w:space="0" w:color="auto"/>
                  <w:left w:val="nil"/>
                  <w:bottom w:val="single" w:sz="4" w:space="0" w:color="auto"/>
                  <w:right w:val="single" w:sz="4" w:space="0" w:color="auto"/>
                </w:tcBorders>
                <w:vAlign w:val="center"/>
              </w:tcPr>
              <w:p w14:paraId="3BBC94F4" w14:textId="77777777" w:rsidR="002D0AE7" w:rsidRDefault="00333EBB">
                <w:pPr>
                  <w:rPr>
                    <w:rFonts w:hint="eastAsia"/>
                    <w:color w:val="000000"/>
                  </w:rPr>
                </w:pPr>
                <w:r>
                  <w:rPr>
                    <w:rFonts w:hint="eastAsia"/>
                    <w:color w:val="000000"/>
                  </w:rPr>
                  <w:t>电光解</w:t>
                </w:r>
                <w:r>
                  <w:rPr>
                    <w:rFonts w:cs="Calibri" w:hint="eastAsia"/>
                    <w:color w:val="000000"/>
                  </w:rPr>
                  <w:t>+</w:t>
                </w:r>
                <w:r>
                  <w:rPr>
                    <w:rFonts w:hint="eastAsia"/>
                    <w:color w:val="000000"/>
                  </w:rPr>
                  <w:t>活性炭过滤</w:t>
                </w:r>
              </w:p>
            </w:tc>
            <w:tc>
              <w:tcPr>
                <w:tcW w:w="628" w:type="pct"/>
                <w:tcBorders>
                  <w:top w:val="single" w:sz="4" w:space="0" w:color="auto"/>
                  <w:left w:val="nil"/>
                  <w:bottom w:val="single" w:sz="4" w:space="0" w:color="auto"/>
                  <w:right w:val="single" w:sz="4" w:space="0" w:color="auto"/>
                </w:tcBorders>
                <w:vAlign w:val="center"/>
              </w:tcPr>
              <w:p w14:paraId="4CAB2051" w14:textId="77777777" w:rsidR="002D0AE7" w:rsidRDefault="00333EBB">
                <w:pPr>
                  <w:jc w:val="center"/>
                  <w:rPr>
                    <w:rFonts w:ascii="Calibri" w:hAnsi="Calibri"/>
                    <w:color w:val="000000"/>
                  </w:rPr>
                </w:pPr>
                <w:r>
                  <w:rPr>
                    <w:color w:val="000000"/>
                  </w:rPr>
                  <w:t>5</w:t>
                </w:r>
              </w:p>
            </w:tc>
            <w:tc>
              <w:tcPr>
                <w:tcW w:w="631" w:type="pct"/>
                <w:tcBorders>
                  <w:top w:val="single" w:sz="4" w:space="0" w:color="auto"/>
                  <w:left w:val="nil"/>
                  <w:bottom w:val="single" w:sz="4" w:space="0" w:color="auto"/>
                  <w:right w:val="single" w:sz="4" w:space="0" w:color="auto"/>
                </w:tcBorders>
                <w:vAlign w:val="center"/>
              </w:tcPr>
              <w:p w14:paraId="5C03AECC" w14:textId="77777777" w:rsidR="002D0AE7" w:rsidRDefault="00333EBB">
                <w:pPr>
                  <w:rPr>
                    <w:rFonts w:hint="eastAsia"/>
                    <w:color w:val="000000"/>
                  </w:rPr>
                </w:pPr>
                <w:r>
                  <w:rPr>
                    <w:rFonts w:hint="eastAsia"/>
                    <w:color w:val="000000"/>
                  </w:rPr>
                  <w:t>正常</w:t>
                </w:r>
              </w:p>
            </w:tc>
          </w:tr>
          <w:tr w:rsidR="002D0AE7" w14:paraId="7D404807" w14:textId="77777777">
            <w:trPr>
              <w:trHeight w:val="41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5DF05AE" w14:textId="77777777" w:rsidR="002D0AE7" w:rsidRDefault="002D0AE7">
                <w:pPr>
                  <w:rPr>
                    <w:rFonts w:ascii="Calibri" w:hAnsi="Calibri"/>
                    <w:color w:val="000000"/>
                    <w:kern w:val="2"/>
                  </w:rPr>
                </w:pPr>
              </w:p>
            </w:tc>
            <w:tc>
              <w:tcPr>
                <w:tcW w:w="3040" w:type="pct"/>
                <w:tcBorders>
                  <w:top w:val="single" w:sz="4" w:space="0" w:color="auto"/>
                  <w:left w:val="nil"/>
                  <w:bottom w:val="single" w:sz="4" w:space="0" w:color="auto"/>
                  <w:right w:val="single" w:sz="4" w:space="0" w:color="auto"/>
                </w:tcBorders>
                <w:vAlign w:val="center"/>
              </w:tcPr>
              <w:p w14:paraId="47E9BD60" w14:textId="77777777" w:rsidR="002D0AE7" w:rsidRDefault="00333EBB">
                <w:pPr>
                  <w:rPr>
                    <w:rFonts w:hint="eastAsia"/>
                    <w:color w:val="000000"/>
                  </w:rPr>
                </w:pPr>
                <w:r>
                  <w:rPr>
                    <w:rFonts w:hint="eastAsia"/>
                    <w:color w:val="000000"/>
                  </w:rPr>
                  <w:t>过滤棉</w:t>
                </w:r>
                <w:r>
                  <w:rPr>
                    <w:rFonts w:cs="Calibri" w:hint="eastAsia"/>
                    <w:color w:val="000000"/>
                  </w:rPr>
                  <w:t>+</w:t>
                </w:r>
                <w:r>
                  <w:rPr>
                    <w:rFonts w:hint="eastAsia"/>
                    <w:color w:val="000000"/>
                  </w:rPr>
                  <w:t>活性炭过滤</w:t>
                </w:r>
              </w:p>
            </w:tc>
            <w:tc>
              <w:tcPr>
                <w:tcW w:w="628" w:type="pct"/>
                <w:tcBorders>
                  <w:top w:val="single" w:sz="4" w:space="0" w:color="auto"/>
                  <w:left w:val="nil"/>
                  <w:bottom w:val="single" w:sz="4" w:space="0" w:color="auto"/>
                  <w:right w:val="single" w:sz="4" w:space="0" w:color="auto"/>
                </w:tcBorders>
                <w:vAlign w:val="center"/>
              </w:tcPr>
              <w:p w14:paraId="6D12EB8E" w14:textId="77777777" w:rsidR="002D0AE7" w:rsidRDefault="00333EBB">
                <w:pPr>
                  <w:jc w:val="center"/>
                  <w:rPr>
                    <w:rFonts w:ascii="Calibri" w:hAnsi="Calibri"/>
                    <w:color w:val="000000"/>
                  </w:rPr>
                </w:pPr>
                <w:r>
                  <w:rPr>
                    <w:color w:val="000000"/>
                  </w:rPr>
                  <w:t>2</w:t>
                </w:r>
              </w:p>
            </w:tc>
            <w:tc>
              <w:tcPr>
                <w:tcW w:w="631" w:type="pct"/>
                <w:tcBorders>
                  <w:top w:val="single" w:sz="4" w:space="0" w:color="auto"/>
                  <w:left w:val="nil"/>
                  <w:bottom w:val="single" w:sz="4" w:space="0" w:color="auto"/>
                  <w:right w:val="single" w:sz="4" w:space="0" w:color="auto"/>
                </w:tcBorders>
                <w:vAlign w:val="center"/>
              </w:tcPr>
              <w:p w14:paraId="09E3A512" w14:textId="77777777" w:rsidR="002D0AE7" w:rsidRDefault="00333EBB">
                <w:pPr>
                  <w:rPr>
                    <w:rFonts w:hint="eastAsia"/>
                    <w:color w:val="000000"/>
                  </w:rPr>
                </w:pPr>
                <w:r>
                  <w:rPr>
                    <w:rFonts w:hint="eastAsia"/>
                    <w:color w:val="000000"/>
                  </w:rPr>
                  <w:t>正常</w:t>
                </w:r>
              </w:p>
            </w:tc>
          </w:tr>
          <w:tr w:rsidR="002D0AE7" w14:paraId="313FCED4" w14:textId="77777777">
            <w:trPr>
              <w:trHeight w:val="41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6181FFE" w14:textId="77777777" w:rsidR="002D0AE7" w:rsidRDefault="002D0AE7">
                <w:pPr>
                  <w:rPr>
                    <w:rFonts w:ascii="Calibri" w:hAnsi="Calibri"/>
                    <w:color w:val="000000"/>
                    <w:kern w:val="2"/>
                  </w:rPr>
                </w:pPr>
              </w:p>
            </w:tc>
            <w:tc>
              <w:tcPr>
                <w:tcW w:w="3040" w:type="pct"/>
                <w:tcBorders>
                  <w:top w:val="single" w:sz="4" w:space="0" w:color="auto"/>
                  <w:left w:val="nil"/>
                  <w:bottom w:val="single" w:sz="4" w:space="0" w:color="auto"/>
                  <w:right w:val="single" w:sz="4" w:space="0" w:color="auto"/>
                </w:tcBorders>
                <w:vAlign w:val="center"/>
              </w:tcPr>
              <w:p w14:paraId="06901909" w14:textId="77777777" w:rsidR="002D0AE7" w:rsidRDefault="00333EBB">
                <w:pPr>
                  <w:rPr>
                    <w:rFonts w:hint="eastAsia"/>
                    <w:color w:val="000000"/>
                  </w:rPr>
                </w:pPr>
                <w:r>
                  <w:rPr>
                    <w:rFonts w:hint="eastAsia"/>
                    <w:color w:val="000000"/>
                  </w:rPr>
                  <w:t>活性炭吸附</w:t>
                </w:r>
              </w:p>
            </w:tc>
            <w:tc>
              <w:tcPr>
                <w:tcW w:w="628" w:type="pct"/>
                <w:tcBorders>
                  <w:top w:val="single" w:sz="4" w:space="0" w:color="auto"/>
                  <w:left w:val="nil"/>
                  <w:bottom w:val="single" w:sz="4" w:space="0" w:color="auto"/>
                  <w:right w:val="single" w:sz="4" w:space="0" w:color="auto"/>
                </w:tcBorders>
                <w:vAlign w:val="center"/>
              </w:tcPr>
              <w:p w14:paraId="611D25DD" w14:textId="77777777" w:rsidR="002D0AE7" w:rsidRDefault="00333EBB">
                <w:pPr>
                  <w:jc w:val="center"/>
                  <w:rPr>
                    <w:rFonts w:ascii="Calibri" w:hAnsi="Calibri"/>
                    <w:color w:val="000000"/>
                  </w:rPr>
                </w:pPr>
                <w:r>
                  <w:rPr>
                    <w:color w:val="000000"/>
                  </w:rPr>
                  <w:t>4</w:t>
                </w:r>
              </w:p>
            </w:tc>
            <w:tc>
              <w:tcPr>
                <w:tcW w:w="631" w:type="pct"/>
                <w:tcBorders>
                  <w:top w:val="single" w:sz="4" w:space="0" w:color="auto"/>
                  <w:left w:val="nil"/>
                  <w:bottom w:val="single" w:sz="4" w:space="0" w:color="auto"/>
                  <w:right w:val="single" w:sz="4" w:space="0" w:color="auto"/>
                </w:tcBorders>
                <w:vAlign w:val="center"/>
              </w:tcPr>
              <w:p w14:paraId="364286F2" w14:textId="77777777" w:rsidR="002D0AE7" w:rsidRDefault="00333EBB">
                <w:pPr>
                  <w:rPr>
                    <w:rFonts w:hint="eastAsia"/>
                    <w:color w:val="000000"/>
                  </w:rPr>
                </w:pPr>
                <w:r>
                  <w:rPr>
                    <w:rFonts w:hint="eastAsia"/>
                    <w:color w:val="000000"/>
                  </w:rPr>
                  <w:t>正常</w:t>
                </w:r>
              </w:p>
            </w:tc>
          </w:tr>
          <w:tr w:rsidR="002D0AE7" w14:paraId="4228DDA0" w14:textId="77777777">
            <w:trPr>
              <w:trHeight w:val="421"/>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7EE577B" w14:textId="77777777" w:rsidR="002D0AE7" w:rsidRDefault="002D0AE7">
                <w:pPr>
                  <w:rPr>
                    <w:rFonts w:ascii="Calibri" w:hAnsi="Calibri"/>
                    <w:color w:val="000000"/>
                    <w:kern w:val="2"/>
                  </w:rPr>
                </w:pPr>
              </w:p>
            </w:tc>
            <w:tc>
              <w:tcPr>
                <w:tcW w:w="3040" w:type="pct"/>
                <w:tcBorders>
                  <w:top w:val="single" w:sz="4" w:space="0" w:color="auto"/>
                  <w:left w:val="nil"/>
                  <w:bottom w:val="single" w:sz="4" w:space="0" w:color="auto"/>
                  <w:right w:val="single" w:sz="4" w:space="0" w:color="auto"/>
                </w:tcBorders>
                <w:vAlign w:val="center"/>
              </w:tcPr>
              <w:p w14:paraId="0D9EF9EE" w14:textId="77777777" w:rsidR="002D0AE7" w:rsidRDefault="00333EBB">
                <w:pPr>
                  <w:rPr>
                    <w:rFonts w:hint="eastAsia"/>
                    <w:color w:val="000000"/>
                  </w:rPr>
                </w:pPr>
                <w:r>
                  <w:rPr>
                    <w:rFonts w:cs="Calibri" w:hint="eastAsia"/>
                    <w:color w:val="000000"/>
                  </w:rPr>
                  <w:t>UV</w:t>
                </w:r>
                <w:r>
                  <w:rPr>
                    <w:rFonts w:hint="eastAsia"/>
                    <w:color w:val="000000"/>
                  </w:rPr>
                  <w:t>光解</w:t>
                </w:r>
                <w:r>
                  <w:rPr>
                    <w:rFonts w:cs="Calibri" w:hint="eastAsia"/>
                    <w:color w:val="000000"/>
                  </w:rPr>
                  <w:t>+</w:t>
                </w:r>
                <w:r>
                  <w:rPr>
                    <w:rFonts w:hint="eastAsia"/>
                    <w:color w:val="000000"/>
                  </w:rPr>
                  <w:t>活性炭设备</w:t>
                </w:r>
              </w:p>
            </w:tc>
            <w:tc>
              <w:tcPr>
                <w:tcW w:w="628" w:type="pct"/>
                <w:tcBorders>
                  <w:top w:val="single" w:sz="4" w:space="0" w:color="auto"/>
                  <w:left w:val="nil"/>
                  <w:bottom w:val="single" w:sz="4" w:space="0" w:color="auto"/>
                  <w:right w:val="single" w:sz="4" w:space="0" w:color="auto"/>
                </w:tcBorders>
                <w:vAlign w:val="center"/>
              </w:tcPr>
              <w:p w14:paraId="26E6D6D6" w14:textId="77777777" w:rsidR="002D0AE7" w:rsidRDefault="00333EBB">
                <w:pPr>
                  <w:jc w:val="center"/>
                  <w:rPr>
                    <w:rFonts w:ascii="Calibri" w:hAnsi="Calibri"/>
                    <w:color w:val="000000"/>
                  </w:rPr>
                </w:pPr>
                <w:r>
                  <w:rPr>
                    <w:color w:val="000000"/>
                  </w:rPr>
                  <w:t>3</w:t>
                </w:r>
              </w:p>
            </w:tc>
            <w:tc>
              <w:tcPr>
                <w:tcW w:w="631" w:type="pct"/>
                <w:tcBorders>
                  <w:top w:val="single" w:sz="4" w:space="0" w:color="auto"/>
                  <w:left w:val="nil"/>
                  <w:bottom w:val="single" w:sz="4" w:space="0" w:color="auto"/>
                  <w:right w:val="single" w:sz="4" w:space="0" w:color="auto"/>
                </w:tcBorders>
                <w:vAlign w:val="center"/>
              </w:tcPr>
              <w:p w14:paraId="00CC8C23" w14:textId="77777777" w:rsidR="002D0AE7" w:rsidRDefault="00333EBB">
                <w:pPr>
                  <w:rPr>
                    <w:rFonts w:hint="eastAsia"/>
                    <w:color w:val="000000"/>
                  </w:rPr>
                </w:pPr>
                <w:r>
                  <w:rPr>
                    <w:rFonts w:hint="eastAsia"/>
                    <w:color w:val="000000"/>
                  </w:rPr>
                  <w:t>正常</w:t>
                </w:r>
              </w:p>
            </w:tc>
          </w:tr>
          <w:tr w:rsidR="002D0AE7" w14:paraId="65C579FD" w14:textId="77777777">
            <w:trPr>
              <w:trHeight w:val="41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4CB24D5" w14:textId="77777777" w:rsidR="002D0AE7" w:rsidRDefault="002D0AE7">
                <w:pPr>
                  <w:rPr>
                    <w:rFonts w:ascii="Calibri" w:hAnsi="Calibri"/>
                    <w:color w:val="000000"/>
                    <w:kern w:val="2"/>
                  </w:rPr>
                </w:pPr>
              </w:p>
            </w:tc>
            <w:tc>
              <w:tcPr>
                <w:tcW w:w="3040" w:type="pct"/>
                <w:tcBorders>
                  <w:top w:val="single" w:sz="4" w:space="0" w:color="auto"/>
                  <w:left w:val="nil"/>
                  <w:bottom w:val="single" w:sz="4" w:space="0" w:color="auto"/>
                  <w:right w:val="single" w:sz="4" w:space="0" w:color="auto"/>
                </w:tcBorders>
                <w:vAlign w:val="center"/>
              </w:tcPr>
              <w:p w14:paraId="7050DF49" w14:textId="77777777" w:rsidR="002D0AE7" w:rsidRDefault="00333EBB">
                <w:pPr>
                  <w:rPr>
                    <w:rFonts w:hint="eastAsia"/>
                    <w:color w:val="000000"/>
                  </w:rPr>
                </w:pPr>
                <w:r>
                  <w:rPr>
                    <w:rFonts w:hint="eastAsia"/>
                    <w:color w:val="000000"/>
                  </w:rPr>
                  <w:t>前置过滤</w:t>
                </w:r>
                <w:r>
                  <w:rPr>
                    <w:rFonts w:cs="Calibri" w:hint="eastAsia"/>
                    <w:color w:val="000000"/>
                  </w:rPr>
                  <w:t>+UV</w:t>
                </w:r>
                <w:r>
                  <w:rPr>
                    <w:rFonts w:hint="eastAsia"/>
                    <w:color w:val="000000"/>
                  </w:rPr>
                  <w:t>光解</w:t>
                </w:r>
                <w:r>
                  <w:rPr>
                    <w:rFonts w:cs="Calibri" w:hint="eastAsia"/>
                    <w:color w:val="000000"/>
                  </w:rPr>
                  <w:t>+</w:t>
                </w:r>
                <w:r>
                  <w:rPr>
                    <w:rFonts w:hint="eastAsia"/>
                    <w:color w:val="000000"/>
                  </w:rPr>
                  <w:t>活性炭</w:t>
                </w:r>
              </w:p>
            </w:tc>
            <w:tc>
              <w:tcPr>
                <w:tcW w:w="628" w:type="pct"/>
                <w:tcBorders>
                  <w:top w:val="single" w:sz="4" w:space="0" w:color="auto"/>
                  <w:left w:val="nil"/>
                  <w:bottom w:val="single" w:sz="4" w:space="0" w:color="auto"/>
                  <w:right w:val="single" w:sz="4" w:space="0" w:color="auto"/>
                </w:tcBorders>
                <w:vAlign w:val="center"/>
              </w:tcPr>
              <w:p w14:paraId="6992E08A" w14:textId="77777777" w:rsidR="002D0AE7" w:rsidRDefault="00333EBB">
                <w:pPr>
                  <w:jc w:val="center"/>
                  <w:rPr>
                    <w:rFonts w:ascii="Calibri" w:hAnsi="Calibri"/>
                    <w:color w:val="000000"/>
                  </w:rPr>
                </w:pPr>
                <w:r>
                  <w:rPr>
                    <w:color w:val="000000"/>
                  </w:rPr>
                  <w:t>1</w:t>
                </w:r>
              </w:p>
            </w:tc>
            <w:tc>
              <w:tcPr>
                <w:tcW w:w="631" w:type="pct"/>
                <w:tcBorders>
                  <w:top w:val="single" w:sz="4" w:space="0" w:color="auto"/>
                  <w:left w:val="nil"/>
                  <w:bottom w:val="single" w:sz="4" w:space="0" w:color="auto"/>
                  <w:right w:val="single" w:sz="4" w:space="0" w:color="auto"/>
                </w:tcBorders>
                <w:vAlign w:val="center"/>
              </w:tcPr>
              <w:p w14:paraId="42BCF310" w14:textId="77777777" w:rsidR="002D0AE7" w:rsidRDefault="00333EBB">
                <w:pPr>
                  <w:rPr>
                    <w:rFonts w:hint="eastAsia"/>
                    <w:color w:val="000000"/>
                  </w:rPr>
                </w:pPr>
                <w:r>
                  <w:rPr>
                    <w:rFonts w:hint="eastAsia"/>
                    <w:color w:val="000000"/>
                  </w:rPr>
                  <w:t>正常</w:t>
                </w:r>
              </w:p>
            </w:tc>
          </w:tr>
        </w:tbl>
        <w:p w14:paraId="63E5BC32" w14:textId="77777777" w:rsidR="002D0AE7" w:rsidRDefault="00333EBB">
          <w:pPr>
            <w:pStyle w:val="4"/>
            <w:ind w:left="425" w:hanging="425"/>
          </w:pPr>
        </w:p>
      </w:sdtContent>
    </w:sdt>
    <w:p w14:paraId="7F71A978" w14:textId="77777777" w:rsidR="002D0AE7" w:rsidRDefault="00333EBB">
      <w:pPr>
        <w:rPr>
          <w:rFonts w:hint="eastAsia"/>
          <w:color w:val="000000" w:themeColor="text1"/>
          <w:szCs w:val="22"/>
        </w:rPr>
      </w:pPr>
      <w:r>
        <w:rPr>
          <w:rFonts w:hint="eastAsia"/>
          <w:color w:val="000000" w:themeColor="text1"/>
          <w:szCs w:val="21"/>
        </w:rPr>
        <w:t>建设项目环境影响评价及其他环境保护行政许可情况</w:t>
      </w:r>
    </w:p>
    <w:sdt>
      <w:sdtPr>
        <w:rPr>
          <w:rFonts w:hint="eastAsia"/>
        </w:rPr>
        <w:alias w:val="是否适用：环境影响评价及其他环境保护行政许可[双击切换]"/>
        <w:tag w:val="_GBC_3824fd66ff4141358cbb17c1d49124d4"/>
        <w:id w:val="157511583"/>
        <w:placeholder>
          <w:docPart w:val="GBC22222222222222222222222222222"/>
        </w:placeholder>
      </w:sdtPr>
      <w:sdtEndPr/>
      <w:sdtContent>
        <w:p w14:paraId="467F6298" w14:textId="77777777" w:rsidR="002D0AE7" w:rsidRDefault="00333EBB">
          <w:pPr>
            <w:pStyle w:val="11"/>
            <w:rPr>
              <w:rFonts w:hint="eastAsia"/>
            </w:rPr>
          </w:pPr>
          <w:r>
            <w:fldChar w:fldCharType="begin"/>
          </w:r>
          <w:r>
            <w:instrText xml:space="preserve"> </w:instrText>
          </w:r>
          <w:r>
            <w:rPr>
              <w:rFonts w:hint="eastAsia"/>
            </w:rPr>
            <w:instrText xml:space="preserve">MACROBUTTON  SnrToggleCheckbox </w:instrText>
          </w:r>
          <w:r>
            <w:rPr>
              <w:rFonts w:hint="eastAsia"/>
            </w:rP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color w:val="000000" w:themeColor="text1"/>
        </w:rPr>
        <w:alias w:val="环境影响评价及其他环境保护行政许可"/>
        <w:tag w:val="_GBC_8592b333277f43349f710f284bb4c167"/>
        <w:id w:val="2004697426"/>
        <w:placeholder>
          <w:docPart w:val="GBC22222222222222222222222222222"/>
        </w:placeholder>
      </w:sdtPr>
      <w:sdtEndPr/>
      <w:sdtContent>
        <w:p w14:paraId="1FF640C1" w14:textId="77777777" w:rsidR="002D0AE7" w:rsidRDefault="00333EBB">
          <w:pPr>
            <w:jc w:val="center"/>
            <w:rPr>
              <w:rFonts w:ascii="Calibri" w:hAnsi="Calibri" w:cs="Times New Roman"/>
              <w:bCs/>
              <w:color w:val="000000"/>
            </w:rPr>
          </w:pPr>
          <w:r>
            <w:rPr>
              <w:rFonts w:hint="eastAsia"/>
              <w:color w:val="000000"/>
            </w:rPr>
            <w:t>津药药业股份有限公司</w:t>
          </w:r>
        </w:p>
        <w:tbl>
          <w:tblPr>
            <w:tblW w:w="5220" w:type="pct"/>
            <w:jc w:val="center"/>
            <w:tblCellMar>
              <w:top w:w="15" w:type="dxa"/>
              <w:left w:w="15" w:type="dxa"/>
              <w:bottom w:w="15" w:type="dxa"/>
              <w:right w:w="15" w:type="dxa"/>
            </w:tblCellMar>
            <w:tblLook w:val="04A0" w:firstRow="1" w:lastRow="0" w:firstColumn="1" w:lastColumn="0" w:noHBand="0" w:noVBand="1"/>
          </w:tblPr>
          <w:tblGrid>
            <w:gridCol w:w="630"/>
            <w:gridCol w:w="1759"/>
            <w:gridCol w:w="1824"/>
            <w:gridCol w:w="991"/>
            <w:gridCol w:w="1312"/>
            <w:gridCol w:w="1151"/>
            <w:gridCol w:w="1544"/>
          </w:tblGrid>
          <w:tr w:rsidR="002D0AE7" w14:paraId="5E85C97E" w14:textId="77777777">
            <w:trPr>
              <w:trHeight w:val="976"/>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451EF64B" w14:textId="77777777" w:rsidR="002D0AE7" w:rsidRDefault="00333EBB">
                <w:pPr>
                  <w:jc w:val="center"/>
                  <w:rPr>
                    <w:rFonts w:hint="eastAsia"/>
                    <w:color w:val="000000"/>
                  </w:rPr>
                </w:pPr>
                <w:r>
                  <w:rPr>
                    <w:rFonts w:hint="eastAsia"/>
                    <w:color w:val="000000"/>
                  </w:rPr>
                  <w:t>序号</w:t>
                </w:r>
              </w:p>
            </w:tc>
            <w:tc>
              <w:tcPr>
                <w:tcW w:w="955" w:type="pct"/>
                <w:tcBorders>
                  <w:top w:val="single" w:sz="4" w:space="0" w:color="000000"/>
                  <w:left w:val="nil"/>
                  <w:bottom w:val="single" w:sz="4" w:space="0" w:color="000000"/>
                  <w:right w:val="single" w:sz="4" w:space="0" w:color="000000"/>
                </w:tcBorders>
                <w:vAlign w:val="center"/>
              </w:tcPr>
              <w:p w14:paraId="4FDB6E57" w14:textId="77777777" w:rsidR="002D0AE7" w:rsidRDefault="00333EBB">
                <w:pPr>
                  <w:jc w:val="center"/>
                  <w:rPr>
                    <w:rFonts w:hint="eastAsia"/>
                    <w:color w:val="000000"/>
                  </w:rPr>
                </w:pPr>
                <w:r>
                  <w:rPr>
                    <w:rFonts w:hint="eastAsia"/>
                    <w:color w:val="000000"/>
                  </w:rPr>
                  <w:t>项目名称</w:t>
                </w:r>
              </w:p>
            </w:tc>
            <w:tc>
              <w:tcPr>
                <w:tcW w:w="990" w:type="pct"/>
                <w:tcBorders>
                  <w:top w:val="single" w:sz="4" w:space="0" w:color="000000"/>
                  <w:left w:val="nil"/>
                  <w:bottom w:val="single" w:sz="4" w:space="0" w:color="000000"/>
                  <w:right w:val="single" w:sz="4" w:space="0" w:color="000000"/>
                </w:tcBorders>
                <w:vAlign w:val="center"/>
              </w:tcPr>
              <w:p w14:paraId="3024EA4E" w14:textId="77777777" w:rsidR="002D0AE7" w:rsidRDefault="00333EBB">
                <w:pPr>
                  <w:jc w:val="center"/>
                  <w:rPr>
                    <w:rFonts w:hint="eastAsia"/>
                    <w:color w:val="000000"/>
                  </w:rPr>
                </w:pPr>
                <w:r>
                  <w:rPr>
                    <w:rFonts w:hint="eastAsia"/>
                    <w:color w:val="000000"/>
                  </w:rPr>
                  <w:t>建设项目环境影响评价批复情况</w:t>
                </w:r>
              </w:p>
            </w:tc>
            <w:tc>
              <w:tcPr>
                <w:tcW w:w="538" w:type="pct"/>
                <w:tcBorders>
                  <w:top w:val="single" w:sz="4" w:space="0" w:color="000000"/>
                  <w:left w:val="nil"/>
                  <w:bottom w:val="single" w:sz="4" w:space="0" w:color="000000"/>
                  <w:right w:val="single" w:sz="4" w:space="0" w:color="000000"/>
                </w:tcBorders>
                <w:vAlign w:val="center"/>
              </w:tcPr>
              <w:p w14:paraId="133D7EFE" w14:textId="77777777" w:rsidR="002D0AE7" w:rsidRDefault="00333EBB">
                <w:pPr>
                  <w:jc w:val="center"/>
                  <w:rPr>
                    <w:rFonts w:hint="eastAsia"/>
                    <w:color w:val="000000"/>
                  </w:rPr>
                </w:pPr>
                <w:r>
                  <w:rPr>
                    <w:rFonts w:hint="eastAsia"/>
                    <w:color w:val="000000"/>
                  </w:rPr>
                  <w:t>批复时间</w:t>
                </w:r>
              </w:p>
            </w:tc>
            <w:tc>
              <w:tcPr>
                <w:tcW w:w="712" w:type="pct"/>
                <w:tcBorders>
                  <w:top w:val="single" w:sz="4" w:space="0" w:color="000000"/>
                  <w:left w:val="nil"/>
                  <w:bottom w:val="single" w:sz="4" w:space="0" w:color="000000"/>
                  <w:right w:val="single" w:sz="4" w:space="0" w:color="000000"/>
                </w:tcBorders>
                <w:vAlign w:val="center"/>
              </w:tcPr>
              <w:p w14:paraId="393D82C8" w14:textId="77777777" w:rsidR="002D0AE7" w:rsidRDefault="00333EBB">
                <w:pPr>
                  <w:jc w:val="center"/>
                  <w:rPr>
                    <w:rFonts w:hint="eastAsia"/>
                    <w:color w:val="000000"/>
                  </w:rPr>
                </w:pPr>
                <w:r>
                  <w:rPr>
                    <w:rFonts w:hint="eastAsia"/>
                    <w:color w:val="000000"/>
                  </w:rPr>
                  <w:t>建设项目竣工环境保护验收情况</w:t>
                </w:r>
              </w:p>
            </w:tc>
            <w:tc>
              <w:tcPr>
                <w:tcW w:w="625" w:type="pct"/>
                <w:tcBorders>
                  <w:top w:val="single" w:sz="4" w:space="0" w:color="000000"/>
                  <w:left w:val="nil"/>
                  <w:bottom w:val="single" w:sz="4" w:space="0" w:color="000000"/>
                  <w:right w:val="single" w:sz="4" w:space="0" w:color="000000"/>
                </w:tcBorders>
                <w:vAlign w:val="center"/>
              </w:tcPr>
              <w:p w14:paraId="07CF0874" w14:textId="77777777" w:rsidR="002D0AE7" w:rsidRDefault="00333EBB">
                <w:pPr>
                  <w:jc w:val="center"/>
                  <w:rPr>
                    <w:rFonts w:hint="eastAsia"/>
                    <w:color w:val="000000"/>
                  </w:rPr>
                </w:pPr>
                <w:r>
                  <w:rPr>
                    <w:rFonts w:hint="eastAsia"/>
                    <w:color w:val="000000"/>
                  </w:rPr>
                  <w:t>验收时间</w:t>
                </w:r>
              </w:p>
            </w:tc>
            <w:tc>
              <w:tcPr>
                <w:tcW w:w="838" w:type="pct"/>
                <w:tcBorders>
                  <w:top w:val="single" w:sz="4" w:space="0" w:color="000000"/>
                  <w:left w:val="nil"/>
                  <w:bottom w:val="single" w:sz="4" w:space="0" w:color="000000"/>
                  <w:right w:val="single" w:sz="4" w:space="0" w:color="000000"/>
                </w:tcBorders>
                <w:vAlign w:val="center"/>
              </w:tcPr>
              <w:p w14:paraId="2C83FCCB" w14:textId="77777777" w:rsidR="002D0AE7" w:rsidRDefault="00333EBB">
                <w:pPr>
                  <w:jc w:val="center"/>
                  <w:rPr>
                    <w:rFonts w:hint="eastAsia"/>
                    <w:color w:val="000000"/>
                  </w:rPr>
                </w:pPr>
                <w:r>
                  <w:rPr>
                    <w:rFonts w:hint="eastAsia"/>
                    <w:color w:val="000000"/>
                  </w:rPr>
                  <w:t>审批部门</w:t>
                </w:r>
              </w:p>
            </w:tc>
          </w:tr>
          <w:tr w:rsidR="002D0AE7" w14:paraId="08FF3199" w14:textId="77777777">
            <w:trPr>
              <w:trHeight w:val="950"/>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4D8FC721" w14:textId="77777777" w:rsidR="002D0AE7" w:rsidRDefault="00333EBB">
                <w:pPr>
                  <w:jc w:val="center"/>
                  <w:textAlignment w:val="center"/>
                  <w:rPr>
                    <w:rFonts w:hint="eastAsia"/>
                    <w:color w:val="000000"/>
                  </w:rPr>
                </w:pPr>
                <w:r>
                  <w:rPr>
                    <w:rFonts w:hint="eastAsia"/>
                    <w:color w:val="000000"/>
                  </w:rPr>
                  <w:t>1</w:t>
                </w:r>
              </w:p>
            </w:tc>
            <w:tc>
              <w:tcPr>
                <w:tcW w:w="955" w:type="pct"/>
                <w:tcBorders>
                  <w:top w:val="single" w:sz="4" w:space="0" w:color="000000"/>
                  <w:left w:val="nil"/>
                  <w:bottom w:val="single" w:sz="4" w:space="0" w:color="000000"/>
                  <w:right w:val="single" w:sz="4" w:space="0" w:color="000000"/>
                </w:tcBorders>
                <w:vAlign w:val="center"/>
              </w:tcPr>
              <w:p w14:paraId="1FD72D75" w14:textId="77777777" w:rsidR="002D0AE7" w:rsidRDefault="00333EBB">
                <w:pPr>
                  <w:textAlignment w:val="center"/>
                  <w:rPr>
                    <w:rFonts w:hint="eastAsia"/>
                    <w:color w:val="000000"/>
                  </w:rPr>
                </w:pPr>
                <w:r>
                  <w:rPr>
                    <w:rFonts w:hint="eastAsia"/>
                    <w:color w:val="000000"/>
                  </w:rPr>
                  <w:t>氨基酸项目</w:t>
                </w:r>
              </w:p>
            </w:tc>
            <w:tc>
              <w:tcPr>
                <w:tcW w:w="990" w:type="pct"/>
                <w:tcBorders>
                  <w:top w:val="single" w:sz="4" w:space="0" w:color="000000"/>
                  <w:left w:val="nil"/>
                  <w:bottom w:val="single" w:sz="4" w:space="0" w:color="000000"/>
                  <w:right w:val="single" w:sz="4" w:space="0" w:color="000000"/>
                </w:tcBorders>
                <w:vAlign w:val="center"/>
              </w:tcPr>
              <w:p w14:paraId="1CF7ADA2" w14:textId="77777777" w:rsidR="002D0AE7" w:rsidRDefault="00333EBB">
                <w:pPr>
                  <w:jc w:val="center"/>
                  <w:textAlignment w:val="center"/>
                  <w:rPr>
                    <w:rFonts w:hint="eastAsia"/>
                    <w:color w:val="000000"/>
                  </w:rPr>
                </w:pPr>
                <w:r>
                  <w:rPr>
                    <w:rFonts w:hint="eastAsia"/>
                    <w:color w:val="000000"/>
                  </w:rPr>
                  <w:t>津开环评〔</w:t>
                </w:r>
                <w:r>
                  <w:rPr>
                    <w:color w:val="000000"/>
                  </w:rPr>
                  <w:t>2018</w:t>
                </w:r>
                <w:r>
                  <w:rPr>
                    <w:rFonts w:hint="eastAsia"/>
                    <w:color w:val="000000"/>
                  </w:rPr>
                  <w:t>〕</w:t>
                </w:r>
                <w:r>
                  <w:rPr>
                    <w:color w:val="000000"/>
                  </w:rPr>
                  <w:t>15</w:t>
                </w:r>
                <w:r>
                  <w:rPr>
                    <w:color w:val="000000"/>
                  </w:rPr>
                  <w:t>号</w:t>
                </w:r>
              </w:p>
            </w:tc>
            <w:tc>
              <w:tcPr>
                <w:tcW w:w="538" w:type="pct"/>
                <w:tcBorders>
                  <w:top w:val="single" w:sz="4" w:space="0" w:color="000000"/>
                  <w:left w:val="nil"/>
                  <w:bottom w:val="single" w:sz="4" w:space="0" w:color="000000"/>
                  <w:right w:val="single" w:sz="4" w:space="0" w:color="000000"/>
                </w:tcBorders>
                <w:vAlign w:val="center"/>
              </w:tcPr>
              <w:p w14:paraId="64CCE84E" w14:textId="77777777" w:rsidR="002D0AE7" w:rsidRDefault="00333EBB">
                <w:pPr>
                  <w:jc w:val="center"/>
                  <w:textAlignment w:val="center"/>
                  <w:rPr>
                    <w:rFonts w:hint="eastAsia"/>
                    <w:color w:val="000000"/>
                  </w:rPr>
                </w:pPr>
                <w:r>
                  <w:rPr>
                    <w:color w:val="000000"/>
                  </w:rPr>
                  <w:t>2018/6/5</w:t>
                </w:r>
              </w:p>
            </w:tc>
            <w:tc>
              <w:tcPr>
                <w:tcW w:w="712" w:type="pct"/>
                <w:tcBorders>
                  <w:top w:val="single" w:sz="4" w:space="0" w:color="000000"/>
                  <w:left w:val="nil"/>
                  <w:bottom w:val="single" w:sz="4" w:space="0" w:color="000000"/>
                  <w:right w:val="single" w:sz="4" w:space="0" w:color="000000"/>
                </w:tcBorders>
                <w:vAlign w:val="center"/>
              </w:tcPr>
              <w:p w14:paraId="23F8EAFA" w14:textId="77777777" w:rsidR="002D0AE7" w:rsidRDefault="00333EBB">
                <w:pPr>
                  <w:jc w:val="center"/>
                  <w:textAlignment w:val="center"/>
                  <w:rPr>
                    <w:rFonts w:hint="eastAsia"/>
                    <w:color w:val="000000"/>
                  </w:rPr>
                </w:pPr>
                <w:r>
                  <w:rPr>
                    <w:rFonts w:hint="eastAsia"/>
                    <w:color w:val="000000"/>
                  </w:rPr>
                  <w:t>项目尚未验收</w:t>
                </w:r>
              </w:p>
            </w:tc>
            <w:tc>
              <w:tcPr>
                <w:tcW w:w="625" w:type="pct"/>
                <w:tcBorders>
                  <w:top w:val="single" w:sz="4" w:space="0" w:color="000000"/>
                  <w:left w:val="nil"/>
                  <w:bottom w:val="single" w:sz="4" w:space="0" w:color="000000"/>
                  <w:right w:val="single" w:sz="4" w:space="0" w:color="000000"/>
                </w:tcBorders>
                <w:vAlign w:val="center"/>
              </w:tcPr>
              <w:p w14:paraId="1F5B4F37" w14:textId="77777777" w:rsidR="002D0AE7" w:rsidRDefault="00333EBB">
                <w:pPr>
                  <w:jc w:val="center"/>
                  <w:textAlignment w:val="center"/>
                  <w:rPr>
                    <w:rFonts w:hint="eastAsia"/>
                    <w:color w:val="000000"/>
                  </w:rPr>
                </w:pPr>
                <w:r>
                  <w:t>——</w:t>
                </w:r>
              </w:p>
            </w:tc>
            <w:tc>
              <w:tcPr>
                <w:tcW w:w="838" w:type="pct"/>
                <w:tcBorders>
                  <w:top w:val="single" w:sz="4" w:space="0" w:color="000000"/>
                  <w:left w:val="nil"/>
                  <w:bottom w:val="single" w:sz="4" w:space="0" w:color="000000"/>
                  <w:right w:val="single" w:sz="4" w:space="0" w:color="000000"/>
                </w:tcBorders>
                <w:vAlign w:val="center"/>
              </w:tcPr>
              <w:p w14:paraId="0CFAB505" w14:textId="77777777" w:rsidR="002D0AE7" w:rsidRDefault="00333EBB">
                <w:pPr>
                  <w:jc w:val="center"/>
                  <w:textAlignment w:val="center"/>
                  <w:rPr>
                    <w:rFonts w:hint="eastAsia"/>
                    <w:color w:val="000000"/>
                  </w:rPr>
                </w:pPr>
                <w:r>
                  <w:t>天津经济技术开发区生态环境局</w:t>
                </w:r>
              </w:p>
            </w:tc>
          </w:tr>
          <w:tr w:rsidR="002D0AE7" w14:paraId="1D3972A7" w14:textId="77777777">
            <w:trPr>
              <w:trHeight w:val="950"/>
              <w:jc w:val="center"/>
            </w:trPr>
            <w:tc>
              <w:tcPr>
                <w:tcW w:w="342" w:type="pct"/>
                <w:tcBorders>
                  <w:top w:val="single" w:sz="4" w:space="0" w:color="000000"/>
                  <w:left w:val="single" w:sz="4" w:space="0" w:color="000000"/>
                  <w:bottom w:val="single" w:sz="4" w:space="0" w:color="000000"/>
                  <w:right w:val="single" w:sz="4" w:space="0" w:color="000000"/>
                </w:tcBorders>
                <w:vAlign w:val="center"/>
              </w:tcPr>
              <w:p w14:paraId="411E7793" w14:textId="77777777" w:rsidR="002D0AE7" w:rsidRDefault="00333EBB">
                <w:pPr>
                  <w:jc w:val="center"/>
                  <w:textAlignment w:val="center"/>
                  <w:rPr>
                    <w:rFonts w:hint="eastAsia"/>
                    <w:color w:val="000000"/>
                  </w:rPr>
                </w:pPr>
                <w:r>
                  <w:rPr>
                    <w:rFonts w:hint="eastAsia"/>
                    <w:color w:val="000000"/>
                  </w:rPr>
                  <w:t>2</w:t>
                </w:r>
              </w:p>
            </w:tc>
            <w:tc>
              <w:tcPr>
                <w:tcW w:w="955" w:type="pct"/>
                <w:tcBorders>
                  <w:top w:val="single" w:sz="4" w:space="0" w:color="000000"/>
                  <w:left w:val="nil"/>
                  <w:bottom w:val="single" w:sz="4" w:space="0" w:color="000000"/>
                  <w:right w:val="single" w:sz="4" w:space="0" w:color="000000"/>
                </w:tcBorders>
                <w:vAlign w:val="center"/>
              </w:tcPr>
              <w:p w14:paraId="48DE16B2" w14:textId="77777777" w:rsidR="002D0AE7" w:rsidRDefault="00333EBB">
                <w:pPr>
                  <w:textAlignment w:val="center"/>
                  <w:rPr>
                    <w:rFonts w:hint="eastAsia"/>
                  </w:rPr>
                </w:pPr>
                <w:r>
                  <w:t>59</w:t>
                </w:r>
                <w:r>
                  <w:t>号厂房项目</w:t>
                </w:r>
              </w:p>
            </w:tc>
            <w:tc>
              <w:tcPr>
                <w:tcW w:w="990" w:type="pct"/>
                <w:tcBorders>
                  <w:top w:val="single" w:sz="4" w:space="0" w:color="000000"/>
                  <w:left w:val="nil"/>
                  <w:bottom w:val="single" w:sz="4" w:space="0" w:color="000000"/>
                  <w:right w:val="single" w:sz="4" w:space="0" w:color="000000"/>
                </w:tcBorders>
                <w:vAlign w:val="center"/>
              </w:tcPr>
              <w:p w14:paraId="0B1991C5" w14:textId="77777777" w:rsidR="002D0AE7" w:rsidRDefault="00333EBB">
                <w:pPr>
                  <w:jc w:val="center"/>
                  <w:textAlignment w:val="center"/>
                  <w:rPr>
                    <w:rFonts w:hint="eastAsia"/>
                  </w:rPr>
                </w:pPr>
                <w:r>
                  <w:t>环评评审中</w:t>
                </w:r>
              </w:p>
            </w:tc>
            <w:tc>
              <w:tcPr>
                <w:tcW w:w="538" w:type="pct"/>
                <w:tcBorders>
                  <w:top w:val="single" w:sz="4" w:space="0" w:color="000000"/>
                  <w:left w:val="nil"/>
                  <w:bottom w:val="single" w:sz="4" w:space="0" w:color="000000"/>
                  <w:right w:val="single" w:sz="4" w:space="0" w:color="000000"/>
                </w:tcBorders>
                <w:vAlign w:val="center"/>
              </w:tcPr>
              <w:p w14:paraId="6EF9E3A4" w14:textId="77777777" w:rsidR="002D0AE7" w:rsidRDefault="00333EBB">
                <w:pPr>
                  <w:jc w:val="center"/>
                  <w:textAlignment w:val="center"/>
                  <w:rPr>
                    <w:rFonts w:hint="eastAsia"/>
                  </w:rPr>
                </w:pPr>
                <w:r>
                  <w:t>——</w:t>
                </w:r>
              </w:p>
            </w:tc>
            <w:tc>
              <w:tcPr>
                <w:tcW w:w="712" w:type="pct"/>
                <w:tcBorders>
                  <w:top w:val="single" w:sz="4" w:space="0" w:color="000000"/>
                  <w:left w:val="nil"/>
                  <w:bottom w:val="single" w:sz="4" w:space="0" w:color="000000"/>
                  <w:right w:val="single" w:sz="4" w:space="0" w:color="000000"/>
                </w:tcBorders>
                <w:vAlign w:val="center"/>
              </w:tcPr>
              <w:p w14:paraId="039F09CF" w14:textId="77777777" w:rsidR="002D0AE7" w:rsidRDefault="00333EBB">
                <w:pPr>
                  <w:jc w:val="center"/>
                  <w:textAlignment w:val="center"/>
                  <w:rPr>
                    <w:rFonts w:hint="eastAsia"/>
                  </w:rPr>
                </w:pPr>
                <w:r>
                  <w:t>——</w:t>
                </w:r>
              </w:p>
            </w:tc>
            <w:tc>
              <w:tcPr>
                <w:tcW w:w="625" w:type="pct"/>
                <w:tcBorders>
                  <w:top w:val="single" w:sz="4" w:space="0" w:color="000000"/>
                  <w:left w:val="nil"/>
                  <w:bottom w:val="single" w:sz="4" w:space="0" w:color="000000"/>
                  <w:right w:val="single" w:sz="4" w:space="0" w:color="000000"/>
                </w:tcBorders>
                <w:vAlign w:val="center"/>
              </w:tcPr>
              <w:p w14:paraId="07480E2A" w14:textId="77777777" w:rsidR="002D0AE7" w:rsidRDefault="00333EBB">
                <w:pPr>
                  <w:jc w:val="center"/>
                  <w:textAlignment w:val="center"/>
                  <w:rPr>
                    <w:rFonts w:hint="eastAsia"/>
                  </w:rPr>
                </w:pPr>
                <w:r>
                  <w:t>——</w:t>
                </w:r>
              </w:p>
            </w:tc>
            <w:tc>
              <w:tcPr>
                <w:tcW w:w="838" w:type="pct"/>
                <w:tcBorders>
                  <w:top w:val="single" w:sz="4" w:space="0" w:color="000000"/>
                  <w:left w:val="nil"/>
                  <w:bottom w:val="single" w:sz="4" w:space="0" w:color="000000"/>
                  <w:right w:val="single" w:sz="4" w:space="0" w:color="000000"/>
                </w:tcBorders>
                <w:vAlign w:val="center"/>
              </w:tcPr>
              <w:p w14:paraId="72540B11" w14:textId="77777777" w:rsidR="002D0AE7" w:rsidRDefault="00333EBB">
                <w:pPr>
                  <w:jc w:val="center"/>
                  <w:textAlignment w:val="center"/>
                  <w:rPr>
                    <w:rFonts w:hint="eastAsia"/>
                  </w:rPr>
                </w:pPr>
                <w:r>
                  <w:t>天津经济技术开发区生态环境局</w:t>
                </w:r>
              </w:p>
            </w:tc>
          </w:tr>
        </w:tbl>
        <w:p w14:paraId="3FF044AA" w14:textId="77777777" w:rsidR="002D0AE7" w:rsidRDefault="00333EBB">
          <w:pPr>
            <w:jc w:val="center"/>
            <w:rPr>
              <w:rFonts w:cs="Times New Roman" w:hint="eastAsia"/>
              <w:color w:val="000000"/>
              <w:kern w:val="2"/>
            </w:rPr>
          </w:pPr>
          <w:r>
            <w:rPr>
              <w:rFonts w:hint="eastAsia"/>
              <w:color w:val="000000"/>
            </w:rPr>
            <w:t>津药和平（天津</w:t>
          </w:r>
          <w:r>
            <w:rPr>
              <w:color w:val="000000"/>
            </w:rPr>
            <w:t>）</w:t>
          </w:r>
          <w:r>
            <w:rPr>
              <w:rFonts w:hint="eastAsia"/>
              <w:color w:val="000000"/>
            </w:rPr>
            <w:t>制药有限公司</w:t>
          </w:r>
        </w:p>
        <w:tbl>
          <w:tblPr>
            <w:tblW w:w="5174" w:type="pct"/>
            <w:jc w:val="center"/>
            <w:tblCellMar>
              <w:top w:w="15" w:type="dxa"/>
              <w:left w:w="15" w:type="dxa"/>
              <w:bottom w:w="15" w:type="dxa"/>
              <w:right w:w="15" w:type="dxa"/>
            </w:tblCellMar>
            <w:tblLook w:val="04A0" w:firstRow="1" w:lastRow="0" w:firstColumn="1" w:lastColumn="0" w:noHBand="0" w:noVBand="1"/>
          </w:tblPr>
          <w:tblGrid>
            <w:gridCol w:w="603"/>
            <w:gridCol w:w="1824"/>
            <w:gridCol w:w="1674"/>
            <w:gridCol w:w="1110"/>
            <w:gridCol w:w="1306"/>
            <w:gridCol w:w="1099"/>
            <w:gridCol w:w="1514"/>
          </w:tblGrid>
          <w:tr w:rsidR="002D0AE7" w14:paraId="6AF2663A" w14:textId="77777777">
            <w:trPr>
              <w:trHeight w:val="976"/>
              <w:jc w:val="center"/>
            </w:trPr>
            <w:tc>
              <w:tcPr>
                <w:tcW w:w="330" w:type="pct"/>
                <w:tcBorders>
                  <w:top w:val="single" w:sz="4" w:space="0" w:color="000000"/>
                  <w:left w:val="single" w:sz="4" w:space="0" w:color="000000"/>
                  <w:bottom w:val="single" w:sz="4" w:space="0" w:color="000000"/>
                  <w:right w:val="single" w:sz="4" w:space="0" w:color="000000"/>
                </w:tcBorders>
                <w:vAlign w:val="center"/>
              </w:tcPr>
              <w:p w14:paraId="7F86F8FB" w14:textId="77777777" w:rsidR="002D0AE7" w:rsidRDefault="00333EBB">
                <w:pPr>
                  <w:jc w:val="center"/>
                  <w:rPr>
                    <w:rFonts w:ascii="Calibri" w:hAnsi="Calibri"/>
                    <w:color w:val="000000"/>
                  </w:rPr>
                </w:pPr>
                <w:r>
                  <w:rPr>
                    <w:rFonts w:hint="eastAsia"/>
                    <w:color w:val="000000"/>
                  </w:rPr>
                  <w:t>序号</w:t>
                </w:r>
              </w:p>
            </w:tc>
            <w:tc>
              <w:tcPr>
                <w:tcW w:w="999" w:type="pct"/>
                <w:tcBorders>
                  <w:top w:val="single" w:sz="4" w:space="0" w:color="000000"/>
                  <w:left w:val="nil"/>
                  <w:bottom w:val="single" w:sz="4" w:space="0" w:color="000000"/>
                  <w:right w:val="single" w:sz="4" w:space="0" w:color="000000"/>
                </w:tcBorders>
                <w:vAlign w:val="center"/>
              </w:tcPr>
              <w:p w14:paraId="780AC378" w14:textId="77777777" w:rsidR="002D0AE7" w:rsidRDefault="00333EBB">
                <w:pPr>
                  <w:jc w:val="center"/>
                  <w:rPr>
                    <w:rFonts w:hint="eastAsia"/>
                    <w:color w:val="000000"/>
                  </w:rPr>
                </w:pPr>
                <w:r>
                  <w:rPr>
                    <w:rFonts w:hint="eastAsia"/>
                    <w:color w:val="000000"/>
                  </w:rPr>
                  <w:t>项目名称</w:t>
                </w:r>
              </w:p>
            </w:tc>
            <w:tc>
              <w:tcPr>
                <w:tcW w:w="917" w:type="pct"/>
                <w:tcBorders>
                  <w:top w:val="single" w:sz="4" w:space="0" w:color="000000"/>
                  <w:left w:val="nil"/>
                  <w:bottom w:val="single" w:sz="4" w:space="0" w:color="000000"/>
                  <w:right w:val="single" w:sz="4" w:space="0" w:color="000000"/>
                </w:tcBorders>
                <w:vAlign w:val="center"/>
              </w:tcPr>
              <w:p w14:paraId="4FF9D066" w14:textId="77777777" w:rsidR="002D0AE7" w:rsidRDefault="00333EBB">
                <w:pPr>
                  <w:jc w:val="center"/>
                  <w:rPr>
                    <w:rFonts w:hint="eastAsia"/>
                    <w:color w:val="000000"/>
                  </w:rPr>
                </w:pPr>
                <w:r>
                  <w:rPr>
                    <w:rFonts w:hint="eastAsia"/>
                    <w:color w:val="000000"/>
                  </w:rPr>
                  <w:t>建设项目环境影响评价批复情况</w:t>
                </w:r>
              </w:p>
            </w:tc>
            <w:tc>
              <w:tcPr>
                <w:tcW w:w="608" w:type="pct"/>
                <w:tcBorders>
                  <w:top w:val="single" w:sz="4" w:space="0" w:color="000000"/>
                  <w:left w:val="nil"/>
                  <w:bottom w:val="single" w:sz="4" w:space="0" w:color="000000"/>
                  <w:right w:val="single" w:sz="4" w:space="0" w:color="000000"/>
                </w:tcBorders>
                <w:vAlign w:val="center"/>
              </w:tcPr>
              <w:p w14:paraId="3DBCB1FF" w14:textId="77777777" w:rsidR="002D0AE7" w:rsidRDefault="00333EBB">
                <w:pPr>
                  <w:jc w:val="center"/>
                  <w:rPr>
                    <w:rFonts w:hint="eastAsia"/>
                    <w:color w:val="000000"/>
                  </w:rPr>
                </w:pPr>
                <w:r>
                  <w:rPr>
                    <w:rFonts w:hint="eastAsia"/>
                    <w:color w:val="000000"/>
                  </w:rPr>
                  <w:t>批复时间</w:t>
                </w:r>
              </w:p>
            </w:tc>
            <w:tc>
              <w:tcPr>
                <w:tcW w:w="715" w:type="pct"/>
                <w:tcBorders>
                  <w:top w:val="single" w:sz="4" w:space="0" w:color="000000"/>
                  <w:left w:val="nil"/>
                  <w:bottom w:val="single" w:sz="4" w:space="0" w:color="000000"/>
                  <w:right w:val="single" w:sz="4" w:space="0" w:color="000000"/>
                </w:tcBorders>
                <w:vAlign w:val="center"/>
              </w:tcPr>
              <w:p w14:paraId="0B054E6B" w14:textId="77777777" w:rsidR="002D0AE7" w:rsidRDefault="00333EBB">
                <w:pPr>
                  <w:jc w:val="center"/>
                  <w:rPr>
                    <w:rFonts w:hint="eastAsia"/>
                    <w:color w:val="000000"/>
                  </w:rPr>
                </w:pPr>
                <w:r>
                  <w:rPr>
                    <w:rFonts w:hint="eastAsia"/>
                    <w:color w:val="000000"/>
                  </w:rPr>
                  <w:t>建设项目竣工环境保护验收情况</w:t>
                </w:r>
              </w:p>
            </w:tc>
            <w:tc>
              <w:tcPr>
                <w:tcW w:w="602" w:type="pct"/>
                <w:tcBorders>
                  <w:top w:val="single" w:sz="4" w:space="0" w:color="000000"/>
                  <w:left w:val="nil"/>
                  <w:bottom w:val="single" w:sz="4" w:space="0" w:color="000000"/>
                  <w:right w:val="single" w:sz="4" w:space="0" w:color="000000"/>
                </w:tcBorders>
                <w:vAlign w:val="center"/>
              </w:tcPr>
              <w:p w14:paraId="659E1CFC" w14:textId="77777777" w:rsidR="002D0AE7" w:rsidRDefault="00333EBB">
                <w:pPr>
                  <w:jc w:val="center"/>
                  <w:rPr>
                    <w:rFonts w:hint="eastAsia"/>
                    <w:color w:val="000000"/>
                  </w:rPr>
                </w:pPr>
                <w:r>
                  <w:rPr>
                    <w:rFonts w:hint="eastAsia"/>
                    <w:color w:val="000000"/>
                  </w:rPr>
                  <w:t>验收时间</w:t>
                </w:r>
              </w:p>
            </w:tc>
            <w:tc>
              <w:tcPr>
                <w:tcW w:w="830" w:type="pct"/>
                <w:tcBorders>
                  <w:top w:val="single" w:sz="4" w:space="0" w:color="000000"/>
                  <w:left w:val="nil"/>
                  <w:bottom w:val="single" w:sz="4" w:space="0" w:color="000000"/>
                  <w:right w:val="single" w:sz="4" w:space="0" w:color="000000"/>
                </w:tcBorders>
                <w:vAlign w:val="center"/>
              </w:tcPr>
              <w:p w14:paraId="7DCADFA3" w14:textId="77777777" w:rsidR="002D0AE7" w:rsidRDefault="00333EBB">
                <w:pPr>
                  <w:jc w:val="center"/>
                  <w:rPr>
                    <w:rFonts w:hint="eastAsia"/>
                    <w:color w:val="000000"/>
                  </w:rPr>
                </w:pPr>
                <w:r>
                  <w:rPr>
                    <w:rFonts w:hint="eastAsia"/>
                    <w:color w:val="000000"/>
                  </w:rPr>
                  <w:t>审批部门</w:t>
                </w:r>
              </w:p>
            </w:tc>
          </w:tr>
          <w:tr w:rsidR="002D0AE7" w14:paraId="66C15B32" w14:textId="77777777">
            <w:trPr>
              <w:trHeight w:val="950"/>
              <w:jc w:val="center"/>
            </w:trPr>
            <w:tc>
              <w:tcPr>
                <w:tcW w:w="330" w:type="pct"/>
                <w:tcBorders>
                  <w:top w:val="single" w:sz="4" w:space="0" w:color="000000"/>
                  <w:left w:val="single" w:sz="4" w:space="0" w:color="000000"/>
                  <w:bottom w:val="single" w:sz="4" w:space="0" w:color="000000"/>
                  <w:right w:val="single" w:sz="4" w:space="0" w:color="000000"/>
                </w:tcBorders>
                <w:vAlign w:val="center"/>
              </w:tcPr>
              <w:p w14:paraId="70489C34" w14:textId="77777777" w:rsidR="002D0AE7" w:rsidRDefault="00333EBB">
                <w:pPr>
                  <w:jc w:val="center"/>
                  <w:textAlignment w:val="center"/>
                  <w:rPr>
                    <w:rFonts w:hint="eastAsia"/>
                    <w:color w:val="000000"/>
                    <w:highlight w:val="yellow"/>
                  </w:rPr>
                </w:pPr>
                <w:r>
                  <w:rPr>
                    <w:rFonts w:hint="eastAsia"/>
                    <w:color w:val="000000"/>
                  </w:rPr>
                  <w:t>1</w:t>
                </w:r>
              </w:p>
            </w:tc>
            <w:tc>
              <w:tcPr>
                <w:tcW w:w="999" w:type="pct"/>
                <w:tcBorders>
                  <w:top w:val="single" w:sz="4" w:space="0" w:color="000000"/>
                  <w:left w:val="nil"/>
                  <w:bottom w:val="single" w:sz="4" w:space="0" w:color="000000"/>
                  <w:right w:val="single" w:sz="4" w:space="0" w:color="000000"/>
                </w:tcBorders>
                <w:vAlign w:val="center"/>
              </w:tcPr>
              <w:p w14:paraId="2C9D6EB4" w14:textId="77777777" w:rsidR="002D0AE7" w:rsidRDefault="00333EBB">
                <w:pPr>
                  <w:textAlignment w:val="center"/>
                  <w:rPr>
                    <w:rFonts w:hint="eastAsia"/>
                    <w:color w:val="000000"/>
                    <w:highlight w:val="yellow"/>
                  </w:rPr>
                </w:pPr>
                <w:r>
                  <w:rPr>
                    <w:rFonts w:hint="eastAsia"/>
                    <w:color w:val="000000"/>
                  </w:rPr>
                  <w:t>无菌罐装激素安瓿瓶改造项目</w:t>
                </w:r>
              </w:p>
            </w:tc>
            <w:tc>
              <w:tcPr>
                <w:tcW w:w="917" w:type="pct"/>
                <w:tcBorders>
                  <w:top w:val="single" w:sz="4" w:space="0" w:color="000000"/>
                  <w:left w:val="nil"/>
                  <w:bottom w:val="single" w:sz="4" w:space="0" w:color="000000"/>
                  <w:right w:val="single" w:sz="4" w:space="0" w:color="000000"/>
                </w:tcBorders>
                <w:vAlign w:val="center"/>
              </w:tcPr>
              <w:p w14:paraId="2EACB3F4" w14:textId="77777777" w:rsidR="002D0AE7" w:rsidRDefault="00333EBB">
                <w:pPr>
                  <w:jc w:val="center"/>
                  <w:textAlignment w:val="center"/>
                  <w:rPr>
                    <w:rFonts w:hint="eastAsia"/>
                    <w:color w:val="000000"/>
                    <w:highlight w:val="yellow"/>
                  </w:rPr>
                </w:pPr>
                <w:r>
                  <w:rPr>
                    <w:rFonts w:hint="eastAsia"/>
                    <w:color w:val="000000"/>
                  </w:rPr>
                  <w:t>津开环评〔</w:t>
                </w:r>
                <w:r>
                  <w:rPr>
                    <w:rFonts w:hint="eastAsia"/>
                    <w:color w:val="000000"/>
                  </w:rPr>
                  <w:t>2024</w:t>
                </w:r>
                <w:r>
                  <w:rPr>
                    <w:rFonts w:hint="eastAsia"/>
                    <w:color w:val="000000"/>
                  </w:rPr>
                  <w:t>〕</w:t>
                </w:r>
                <w:r>
                  <w:rPr>
                    <w:rFonts w:hint="eastAsia"/>
                    <w:color w:val="000000"/>
                  </w:rPr>
                  <w:t>2</w:t>
                </w:r>
                <w:r>
                  <w:rPr>
                    <w:rFonts w:hint="eastAsia"/>
                    <w:color w:val="000000"/>
                  </w:rPr>
                  <w:t>号</w:t>
                </w:r>
              </w:p>
            </w:tc>
            <w:tc>
              <w:tcPr>
                <w:tcW w:w="608" w:type="pct"/>
                <w:tcBorders>
                  <w:top w:val="single" w:sz="4" w:space="0" w:color="000000"/>
                  <w:left w:val="nil"/>
                  <w:bottom w:val="single" w:sz="4" w:space="0" w:color="000000"/>
                  <w:right w:val="single" w:sz="4" w:space="0" w:color="000000"/>
                </w:tcBorders>
                <w:vAlign w:val="center"/>
              </w:tcPr>
              <w:p w14:paraId="328052D6" w14:textId="77777777" w:rsidR="002D0AE7" w:rsidRDefault="00333EBB">
                <w:pPr>
                  <w:jc w:val="center"/>
                  <w:textAlignment w:val="center"/>
                  <w:rPr>
                    <w:rFonts w:hint="eastAsia"/>
                    <w:color w:val="000000"/>
                    <w:highlight w:val="yellow"/>
                  </w:rPr>
                </w:pPr>
                <w:r>
                  <w:rPr>
                    <w:rFonts w:hint="eastAsia"/>
                    <w:color w:val="000000"/>
                  </w:rPr>
                  <w:t>2024/1/12</w:t>
                </w:r>
              </w:p>
            </w:tc>
            <w:tc>
              <w:tcPr>
                <w:tcW w:w="715" w:type="pct"/>
                <w:tcBorders>
                  <w:top w:val="single" w:sz="4" w:space="0" w:color="000000"/>
                  <w:left w:val="nil"/>
                  <w:bottom w:val="single" w:sz="4" w:space="0" w:color="000000"/>
                  <w:right w:val="single" w:sz="4" w:space="0" w:color="000000"/>
                </w:tcBorders>
                <w:vAlign w:val="center"/>
              </w:tcPr>
              <w:p w14:paraId="7FF6A23F" w14:textId="77777777" w:rsidR="002D0AE7" w:rsidRDefault="00333EBB">
                <w:pPr>
                  <w:jc w:val="center"/>
                  <w:textAlignment w:val="center"/>
                  <w:rPr>
                    <w:rFonts w:hint="eastAsia"/>
                    <w:color w:val="000000"/>
                    <w:highlight w:val="yellow"/>
                  </w:rPr>
                </w:pPr>
                <w:r>
                  <w:rPr>
                    <w:rFonts w:hint="eastAsia"/>
                    <w:color w:val="000000"/>
                  </w:rPr>
                  <w:t>正在建设中</w:t>
                </w:r>
              </w:p>
            </w:tc>
            <w:tc>
              <w:tcPr>
                <w:tcW w:w="602" w:type="pct"/>
                <w:tcBorders>
                  <w:top w:val="single" w:sz="4" w:space="0" w:color="000000"/>
                  <w:left w:val="nil"/>
                  <w:bottom w:val="single" w:sz="4" w:space="0" w:color="000000"/>
                  <w:right w:val="single" w:sz="4" w:space="0" w:color="000000"/>
                </w:tcBorders>
                <w:vAlign w:val="center"/>
              </w:tcPr>
              <w:p w14:paraId="33BB482B" w14:textId="77777777" w:rsidR="002D0AE7" w:rsidRDefault="00333EBB">
                <w:pPr>
                  <w:jc w:val="center"/>
                  <w:textAlignment w:val="center"/>
                  <w:rPr>
                    <w:rFonts w:hint="eastAsia"/>
                    <w:color w:val="000000"/>
                    <w:highlight w:val="yellow"/>
                  </w:rPr>
                </w:pPr>
                <w:r>
                  <w:rPr>
                    <w:rFonts w:hint="eastAsia"/>
                    <w:color w:val="000000"/>
                  </w:rPr>
                  <w:t>——</w:t>
                </w:r>
              </w:p>
            </w:tc>
            <w:tc>
              <w:tcPr>
                <w:tcW w:w="830" w:type="pct"/>
                <w:tcBorders>
                  <w:top w:val="single" w:sz="4" w:space="0" w:color="000000"/>
                  <w:left w:val="nil"/>
                  <w:bottom w:val="single" w:sz="4" w:space="0" w:color="000000"/>
                  <w:right w:val="single" w:sz="4" w:space="0" w:color="000000"/>
                </w:tcBorders>
                <w:vAlign w:val="center"/>
              </w:tcPr>
              <w:p w14:paraId="32CC6812" w14:textId="77777777" w:rsidR="002D0AE7" w:rsidRDefault="00333EBB">
                <w:pPr>
                  <w:jc w:val="center"/>
                  <w:textAlignment w:val="center"/>
                  <w:rPr>
                    <w:rFonts w:hint="eastAsia"/>
                    <w:color w:val="000000"/>
                    <w:highlight w:val="yellow"/>
                  </w:rPr>
                </w:pPr>
                <w:r>
                  <w:rPr>
                    <w:rFonts w:hint="eastAsia"/>
                    <w:color w:val="000000"/>
                  </w:rPr>
                  <w:t>天津经济技术开发区生态环境局</w:t>
                </w:r>
              </w:p>
            </w:tc>
          </w:tr>
          <w:tr w:rsidR="002D0AE7" w14:paraId="58D7C6EC" w14:textId="77777777">
            <w:trPr>
              <w:trHeight w:val="950"/>
              <w:jc w:val="center"/>
            </w:trPr>
            <w:tc>
              <w:tcPr>
                <w:tcW w:w="330" w:type="pct"/>
                <w:tcBorders>
                  <w:top w:val="single" w:sz="4" w:space="0" w:color="000000"/>
                  <w:left w:val="single" w:sz="4" w:space="0" w:color="000000"/>
                  <w:bottom w:val="single" w:sz="4" w:space="0" w:color="000000"/>
                  <w:right w:val="single" w:sz="4" w:space="0" w:color="000000"/>
                </w:tcBorders>
                <w:vAlign w:val="center"/>
              </w:tcPr>
              <w:p w14:paraId="22D47325" w14:textId="77777777" w:rsidR="002D0AE7" w:rsidRDefault="00333EBB">
                <w:pPr>
                  <w:jc w:val="center"/>
                  <w:textAlignment w:val="center"/>
                  <w:rPr>
                    <w:rFonts w:hint="eastAsia"/>
                    <w:color w:val="000000"/>
                    <w:highlight w:val="yellow"/>
                  </w:rPr>
                </w:pPr>
                <w:r>
                  <w:rPr>
                    <w:rFonts w:hint="eastAsia"/>
                    <w:color w:val="000000"/>
                  </w:rPr>
                  <w:t>2</w:t>
                </w:r>
              </w:p>
            </w:tc>
            <w:tc>
              <w:tcPr>
                <w:tcW w:w="999" w:type="pct"/>
                <w:tcBorders>
                  <w:top w:val="single" w:sz="4" w:space="0" w:color="000000"/>
                  <w:left w:val="nil"/>
                  <w:bottom w:val="single" w:sz="4" w:space="0" w:color="000000"/>
                  <w:right w:val="single" w:sz="4" w:space="0" w:color="000000"/>
                </w:tcBorders>
                <w:vAlign w:val="center"/>
              </w:tcPr>
              <w:p w14:paraId="4B520E15" w14:textId="77777777" w:rsidR="002D0AE7" w:rsidRDefault="00333EBB">
                <w:pPr>
                  <w:textAlignment w:val="center"/>
                  <w:rPr>
                    <w:rFonts w:hint="eastAsia"/>
                    <w:color w:val="000000"/>
                    <w:highlight w:val="yellow"/>
                  </w:rPr>
                </w:pPr>
                <w:r>
                  <w:rPr>
                    <w:rFonts w:hint="eastAsia"/>
                    <w:color w:val="000000"/>
                  </w:rPr>
                  <w:t>103</w:t>
                </w:r>
                <w:r>
                  <w:rPr>
                    <w:rFonts w:hint="eastAsia"/>
                    <w:color w:val="000000"/>
                  </w:rPr>
                  <w:t>车间激素六线左甲状腺素钠口服液厂房改造项目</w:t>
                </w:r>
              </w:p>
            </w:tc>
            <w:tc>
              <w:tcPr>
                <w:tcW w:w="917" w:type="pct"/>
                <w:tcBorders>
                  <w:top w:val="single" w:sz="4" w:space="0" w:color="000000"/>
                  <w:left w:val="nil"/>
                  <w:bottom w:val="single" w:sz="4" w:space="0" w:color="000000"/>
                  <w:right w:val="single" w:sz="4" w:space="0" w:color="000000"/>
                </w:tcBorders>
                <w:vAlign w:val="center"/>
              </w:tcPr>
              <w:p w14:paraId="25F32BF3" w14:textId="77777777" w:rsidR="002D0AE7" w:rsidRDefault="00333EBB">
                <w:pPr>
                  <w:jc w:val="center"/>
                  <w:textAlignment w:val="center"/>
                  <w:rPr>
                    <w:rFonts w:hint="eastAsia"/>
                    <w:color w:val="000000"/>
                    <w:highlight w:val="yellow"/>
                  </w:rPr>
                </w:pPr>
                <w:r>
                  <w:rPr>
                    <w:rFonts w:hint="eastAsia"/>
                    <w:color w:val="000000"/>
                  </w:rPr>
                  <w:t>津开环评〔</w:t>
                </w:r>
                <w:r>
                  <w:rPr>
                    <w:rFonts w:hint="eastAsia"/>
                    <w:color w:val="000000"/>
                  </w:rPr>
                  <w:t>2024</w:t>
                </w:r>
                <w:r>
                  <w:rPr>
                    <w:rFonts w:hint="eastAsia"/>
                    <w:color w:val="000000"/>
                  </w:rPr>
                  <w:t>〕</w:t>
                </w:r>
                <w:r>
                  <w:rPr>
                    <w:rFonts w:hint="eastAsia"/>
                    <w:color w:val="000000"/>
                  </w:rPr>
                  <w:t>1</w:t>
                </w:r>
                <w:r>
                  <w:rPr>
                    <w:rFonts w:hint="eastAsia"/>
                    <w:color w:val="000000"/>
                  </w:rPr>
                  <w:t>号</w:t>
                </w:r>
              </w:p>
            </w:tc>
            <w:tc>
              <w:tcPr>
                <w:tcW w:w="608" w:type="pct"/>
                <w:tcBorders>
                  <w:top w:val="single" w:sz="4" w:space="0" w:color="000000"/>
                  <w:left w:val="nil"/>
                  <w:bottom w:val="single" w:sz="4" w:space="0" w:color="000000"/>
                  <w:right w:val="single" w:sz="4" w:space="0" w:color="000000"/>
                </w:tcBorders>
                <w:vAlign w:val="center"/>
              </w:tcPr>
              <w:p w14:paraId="7CE9C777" w14:textId="77777777" w:rsidR="002D0AE7" w:rsidRDefault="00333EBB">
                <w:pPr>
                  <w:jc w:val="center"/>
                  <w:textAlignment w:val="center"/>
                  <w:rPr>
                    <w:rFonts w:hint="eastAsia"/>
                    <w:color w:val="000000"/>
                    <w:highlight w:val="yellow"/>
                  </w:rPr>
                </w:pPr>
                <w:r>
                  <w:rPr>
                    <w:rFonts w:hint="eastAsia"/>
                    <w:color w:val="000000"/>
                  </w:rPr>
                  <w:t>2024/1/12</w:t>
                </w:r>
              </w:p>
            </w:tc>
            <w:tc>
              <w:tcPr>
                <w:tcW w:w="715" w:type="pct"/>
                <w:tcBorders>
                  <w:top w:val="single" w:sz="4" w:space="0" w:color="000000"/>
                  <w:left w:val="nil"/>
                  <w:bottom w:val="single" w:sz="4" w:space="0" w:color="000000"/>
                  <w:right w:val="single" w:sz="4" w:space="0" w:color="000000"/>
                </w:tcBorders>
                <w:vAlign w:val="center"/>
              </w:tcPr>
              <w:p w14:paraId="2F96174B" w14:textId="77777777" w:rsidR="002D0AE7" w:rsidRDefault="00333EBB">
                <w:pPr>
                  <w:jc w:val="center"/>
                  <w:textAlignment w:val="center"/>
                  <w:rPr>
                    <w:rFonts w:hint="eastAsia"/>
                    <w:color w:val="000000"/>
                    <w:highlight w:val="yellow"/>
                  </w:rPr>
                </w:pPr>
                <w:r>
                  <w:rPr>
                    <w:rFonts w:hint="eastAsia"/>
                    <w:color w:val="000000"/>
                  </w:rPr>
                  <w:t>正在建设中</w:t>
                </w:r>
              </w:p>
            </w:tc>
            <w:tc>
              <w:tcPr>
                <w:tcW w:w="602" w:type="pct"/>
                <w:tcBorders>
                  <w:top w:val="single" w:sz="4" w:space="0" w:color="000000"/>
                  <w:left w:val="nil"/>
                  <w:bottom w:val="single" w:sz="4" w:space="0" w:color="000000"/>
                  <w:right w:val="single" w:sz="4" w:space="0" w:color="000000"/>
                </w:tcBorders>
                <w:vAlign w:val="center"/>
              </w:tcPr>
              <w:p w14:paraId="2C0863DA" w14:textId="77777777" w:rsidR="002D0AE7" w:rsidRDefault="00333EBB">
                <w:pPr>
                  <w:jc w:val="center"/>
                  <w:textAlignment w:val="center"/>
                  <w:rPr>
                    <w:rFonts w:hint="eastAsia"/>
                    <w:color w:val="000000"/>
                    <w:highlight w:val="yellow"/>
                  </w:rPr>
                </w:pPr>
                <w:r>
                  <w:rPr>
                    <w:rFonts w:hint="eastAsia"/>
                    <w:color w:val="000000"/>
                  </w:rPr>
                  <w:t>——</w:t>
                </w:r>
              </w:p>
            </w:tc>
            <w:tc>
              <w:tcPr>
                <w:tcW w:w="830" w:type="pct"/>
                <w:tcBorders>
                  <w:top w:val="single" w:sz="4" w:space="0" w:color="000000"/>
                  <w:left w:val="nil"/>
                  <w:bottom w:val="single" w:sz="4" w:space="0" w:color="000000"/>
                  <w:right w:val="single" w:sz="4" w:space="0" w:color="000000"/>
                </w:tcBorders>
                <w:vAlign w:val="center"/>
              </w:tcPr>
              <w:p w14:paraId="58EB603C" w14:textId="77777777" w:rsidR="002D0AE7" w:rsidRDefault="00333EBB">
                <w:pPr>
                  <w:jc w:val="center"/>
                  <w:textAlignment w:val="center"/>
                  <w:rPr>
                    <w:rFonts w:hint="eastAsia"/>
                    <w:color w:val="000000"/>
                    <w:highlight w:val="yellow"/>
                  </w:rPr>
                </w:pPr>
                <w:r>
                  <w:rPr>
                    <w:rFonts w:hint="eastAsia"/>
                    <w:color w:val="000000"/>
                  </w:rPr>
                  <w:t>天津经济技术开发区生态环境局</w:t>
                </w:r>
              </w:p>
            </w:tc>
          </w:tr>
        </w:tbl>
        <w:p w14:paraId="68F71F81" w14:textId="77777777" w:rsidR="002D0AE7" w:rsidRDefault="00333EBB">
          <w:pPr>
            <w:rPr>
              <w:rFonts w:hint="eastAsia"/>
              <w:color w:val="000000" w:themeColor="text1"/>
            </w:rPr>
          </w:pPr>
        </w:p>
      </w:sdtContent>
    </w:sdt>
    <w:p w14:paraId="6B80748C" w14:textId="77777777" w:rsidR="002D0AE7" w:rsidRDefault="00333EBB">
      <w:pPr>
        <w:pStyle w:val="4"/>
        <w:numPr>
          <w:ilvl w:val="0"/>
          <w:numId w:val="16"/>
        </w:numPr>
        <w:rPr>
          <w:rFonts w:ascii="宋体" w:hAnsi="宋体" w:hint="eastAsia"/>
          <w:color w:val="000000" w:themeColor="text1"/>
        </w:rPr>
      </w:pPr>
      <w:r>
        <w:rPr>
          <w:rFonts w:ascii="宋体" w:hAnsi="宋体" w:hint="eastAsia"/>
          <w:color w:val="000000" w:themeColor="text1"/>
          <w:szCs w:val="21"/>
        </w:rPr>
        <w:t>突发环境事件应急预案</w:t>
      </w:r>
    </w:p>
    <w:sdt>
      <w:sdtPr>
        <w:rPr>
          <w:color w:val="000000" w:themeColor="text1"/>
        </w:rPr>
        <w:alias w:val="是否适用：突发环境事件应急预案[双击切换]"/>
        <w:tag w:val="_GBC_df8be27e0fe04478b8e2d99d253dbf26"/>
        <w:id w:val="745620387"/>
        <w:placeholder>
          <w:docPart w:val="GBC22222222222222222222222222222"/>
        </w:placeholder>
      </w:sdtPr>
      <w:sdtEndPr/>
      <w:sdtContent>
        <w:p w14:paraId="3A041326"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突发环境事件应急预案"/>
        <w:tag w:val="_GBC_2185e6aced094c6c8ba2229f13fa085b"/>
        <w:id w:val="218019693"/>
        <w:placeholder>
          <w:docPart w:val="GBC22222222222222222222222222222"/>
        </w:placeholder>
      </w:sdtPr>
      <w:sdtEndPr/>
      <w:sdtContent>
        <w:p w14:paraId="495F6F0C" w14:textId="77777777" w:rsidR="002D0AE7" w:rsidRDefault="00333EBB">
          <w:pPr>
            <w:ind w:firstLineChars="200" w:firstLine="480"/>
            <w:rPr>
              <w:rFonts w:ascii="Calibri" w:hAnsi="Calibri" w:cs="Times New Roman"/>
              <w:bCs/>
              <w:color w:val="000000"/>
            </w:rPr>
          </w:pPr>
          <w:r>
            <w:rPr>
              <w:rFonts w:hint="eastAsia"/>
              <w:color w:val="000000"/>
            </w:rPr>
            <w:t>①为预防环境污染事件的发生，积极、有序的应对可能发生的突发环境事故，防止因组织不力或者现场救护工作混乱延误事故应急，公司根据《预案》要求进行了突发环境事件专项应急演练，并对演练结果进行了评估。</w:t>
          </w:r>
        </w:p>
        <w:p w14:paraId="6D33FBD2" w14:textId="77777777" w:rsidR="002D0AE7" w:rsidRDefault="00333EBB">
          <w:pPr>
            <w:ind w:firstLineChars="200" w:firstLine="480"/>
            <w:rPr>
              <w:rFonts w:hint="eastAsia"/>
              <w:color w:val="000000"/>
            </w:rPr>
          </w:pPr>
          <w:r>
            <w:rPr>
              <w:rFonts w:hint="eastAsia"/>
              <w:color w:val="000000"/>
            </w:rPr>
            <w:t>②本年度未发生突发环境事件。</w:t>
          </w:r>
        </w:p>
        <w:p w14:paraId="7E5086AB" w14:textId="77777777" w:rsidR="002D0AE7" w:rsidRDefault="00333EBB">
          <w:pPr>
            <w:ind w:firstLineChars="200" w:firstLine="480"/>
            <w:rPr>
              <w:rFonts w:hint="eastAsia"/>
              <w:color w:val="000000"/>
            </w:rPr>
          </w:pPr>
          <w:r>
            <w:rPr>
              <w:rFonts w:hint="eastAsia"/>
              <w:color w:val="000000"/>
            </w:rPr>
            <w:t>③突发环境事件应急预案备案编号如下表：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4445"/>
          </w:tblGrid>
          <w:tr w:rsidR="002D0AE7" w14:paraId="0F2D0217" w14:textId="77777777">
            <w:trPr>
              <w:trHeight w:val="246"/>
              <w:jc w:val="center"/>
            </w:trPr>
            <w:tc>
              <w:tcPr>
                <w:tcW w:w="4312" w:type="dxa"/>
                <w:tcBorders>
                  <w:top w:val="single" w:sz="4" w:space="0" w:color="auto"/>
                  <w:left w:val="single" w:sz="4" w:space="0" w:color="auto"/>
                  <w:bottom w:val="single" w:sz="4" w:space="0" w:color="auto"/>
                  <w:right w:val="single" w:sz="4" w:space="0" w:color="auto"/>
                </w:tcBorders>
                <w:vAlign w:val="center"/>
              </w:tcPr>
              <w:p w14:paraId="724B572A" w14:textId="77777777" w:rsidR="002D0AE7" w:rsidRDefault="00333EBB">
                <w:pPr>
                  <w:rPr>
                    <w:rFonts w:hint="eastAsia"/>
                    <w:color w:val="000000"/>
                  </w:rPr>
                </w:pPr>
                <w:r>
                  <w:rPr>
                    <w:rFonts w:hint="eastAsia"/>
                    <w:color w:val="000000"/>
                  </w:rPr>
                  <w:t>公司名称</w:t>
                </w:r>
              </w:p>
            </w:tc>
            <w:tc>
              <w:tcPr>
                <w:tcW w:w="4445" w:type="dxa"/>
                <w:tcBorders>
                  <w:top w:val="single" w:sz="4" w:space="0" w:color="auto"/>
                  <w:left w:val="single" w:sz="4" w:space="0" w:color="auto"/>
                  <w:bottom w:val="single" w:sz="4" w:space="0" w:color="auto"/>
                  <w:right w:val="single" w:sz="4" w:space="0" w:color="auto"/>
                </w:tcBorders>
                <w:vAlign w:val="center"/>
              </w:tcPr>
              <w:p w14:paraId="4F5BC8A3" w14:textId="77777777" w:rsidR="002D0AE7" w:rsidRDefault="00333EBB">
                <w:pPr>
                  <w:rPr>
                    <w:rFonts w:hint="eastAsia"/>
                    <w:color w:val="000000"/>
                  </w:rPr>
                </w:pPr>
                <w:r>
                  <w:rPr>
                    <w:rFonts w:hint="eastAsia"/>
                    <w:color w:val="000000"/>
                  </w:rPr>
                  <w:t>备案编号</w:t>
                </w:r>
              </w:p>
            </w:tc>
          </w:tr>
          <w:tr w:rsidR="002D0AE7" w14:paraId="33126A61" w14:textId="77777777">
            <w:trPr>
              <w:trHeight w:val="250"/>
              <w:jc w:val="center"/>
            </w:trPr>
            <w:tc>
              <w:tcPr>
                <w:tcW w:w="4312" w:type="dxa"/>
                <w:tcBorders>
                  <w:top w:val="single" w:sz="4" w:space="0" w:color="auto"/>
                  <w:left w:val="single" w:sz="4" w:space="0" w:color="auto"/>
                  <w:bottom w:val="single" w:sz="4" w:space="0" w:color="auto"/>
                  <w:right w:val="single" w:sz="4" w:space="0" w:color="auto"/>
                </w:tcBorders>
                <w:vAlign w:val="center"/>
              </w:tcPr>
              <w:p w14:paraId="4CB5DCE9" w14:textId="77777777" w:rsidR="002D0AE7" w:rsidRDefault="00333EBB">
                <w:pPr>
                  <w:rPr>
                    <w:rFonts w:hint="eastAsia"/>
                    <w:color w:val="000000"/>
                  </w:rPr>
                </w:pPr>
                <w:r>
                  <w:rPr>
                    <w:rFonts w:hint="eastAsia"/>
                    <w:color w:val="000000"/>
                  </w:rPr>
                  <w:t>津药药业股份有限公司</w:t>
                </w:r>
              </w:p>
            </w:tc>
            <w:tc>
              <w:tcPr>
                <w:tcW w:w="4445" w:type="dxa"/>
                <w:tcBorders>
                  <w:top w:val="single" w:sz="4" w:space="0" w:color="auto"/>
                  <w:left w:val="single" w:sz="4" w:space="0" w:color="auto"/>
                  <w:bottom w:val="single" w:sz="4" w:space="0" w:color="auto"/>
                  <w:right w:val="single" w:sz="4" w:space="0" w:color="auto"/>
                </w:tcBorders>
                <w:vAlign w:val="center"/>
              </w:tcPr>
              <w:p w14:paraId="77E8A517" w14:textId="77777777" w:rsidR="002D0AE7" w:rsidRDefault="00333EBB">
                <w:pPr>
                  <w:rPr>
                    <w:rFonts w:hint="eastAsia"/>
                    <w:color w:val="000000"/>
                  </w:rPr>
                </w:pPr>
                <w:r>
                  <w:rPr>
                    <w:rFonts w:cs="Calibri" w:hint="eastAsia"/>
                    <w:color w:val="000000"/>
                  </w:rPr>
                  <w:t>120116-KF-2023-154-M</w:t>
                </w:r>
              </w:p>
            </w:tc>
          </w:tr>
          <w:tr w:rsidR="002D0AE7" w14:paraId="7EDB3B9F" w14:textId="77777777">
            <w:trPr>
              <w:trHeight w:val="254"/>
              <w:jc w:val="center"/>
            </w:trPr>
            <w:tc>
              <w:tcPr>
                <w:tcW w:w="4312" w:type="dxa"/>
                <w:tcBorders>
                  <w:top w:val="single" w:sz="4" w:space="0" w:color="auto"/>
                  <w:left w:val="single" w:sz="4" w:space="0" w:color="auto"/>
                  <w:bottom w:val="single" w:sz="4" w:space="0" w:color="auto"/>
                  <w:right w:val="single" w:sz="4" w:space="0" w:color="auto"/>
                </w:tcBorders>
                <w:vAlign w:val="center"/>
              </w:tcPr>
              <w:p w14:paraId="6487CB00" w14:textId="77777777" w:rsidR="002D0AE7" w:rsidRDefault="00333EBB">
                <w:pPr>
                  <w:rPr>
                    <w:rFonts w:hint="eastAsia"/>
                    <w:color w:val="000000"/>
                  </w:rPr>
                </w:pPr>
                <w:r>
                  <w:rPr>
                    <w:rFonts w:hint="eastAsia"/>
                    <w:color w:val="000000"/>
                  </w:rPr>
                  <w:t>天津津药环境科技有限公司</w:t>
                </w:r>
              </w:p>
            </w:tc>
            <w:tc>
              <w:tcPr>
                <w:tcW w:w="4445" w:type="dxa"/>
                <w:tcBorders>
                  <w:top w:val="single" w:sz="4" w:space="0" w:color="auto"/>
                  <w:left w:val="single" w:sz="4" w:space="0" w:color="auto"/>
                  <w:bottom w:val="single" w:sz="4" w:space="0" w:color="auto"/>
                  <w:right w:val="single" w:sz="4" w:space="0" w:color="auto"/>
                </w:tcBorders>
                <w:vAlign w:val="center"/>
              </w:tcPr>
              <w:p w14:paraId="4883AEF1" w14:textId="77777777" w:rsidR="002D0AE7" w:rsidRDefault="00333EBB">
                <w:pPr>
                  <w:rPr>
                    <w:rFonts w:hint="eastAsia"/>
                    <w:color w:val="000000"/>
                  </w:rPr>
                </w:pPr>
                <w:r>
                  <w:rPr>
                    <w:rFonts w:cs="Calibri" w:hint="eastAsia"/>
                    <w:color w:val="000000"/>
                  </w:rPr>
                  <w:t>120116-KF-2023-077-M</w:t>
                </w:r>
              </w:p>
            </w:tc>
          </w:tr>
          <w:tr w:rsidR="002D0AE7" w14:paraId="17FAC515" w14:textId="77777777">
            <w:trPr>
              <w:trHeight w:val="258"/>
              <w:jc w:val="center"/>
            </w:trPr>
            <w:tc>
              <w:tcPr>
                <w:tcW w:w="4312" w:type="dxa"/>
                <w:tcBorders>
                  <w:top w:val="single" w:sz="4" w:space="0" w:color="auto"/>
                  <w:left w:val="single" w:sz="4" w:space="0" w:color="auto"/>
                  <w:bottom w:val="single" w:sz="4" w:space="0" w:color="auto"/>
                  <w:right w:val="single" w:sz="4" w:space="0" w:color="auto"/>
                </w:tcBorders>
                <w:vAlign w:val="center"/>
              </w:tcPr>
              <w:p w14:paraId="3B8B4E6E" w14:textId="77777777" w:rsidR="002D0AE7" w:rsidRDefault="00333EBB">
                <w:pPr>
                  <w:rPr>
                    <w:rFonts w:hint="eastAsia"/>
                    <w:color w:val="000000"/>
                  </w:rPr>
                </w:pPr>
                <w:r>
                  <w:rPr>
                    <w:rFonts w:hint="eastAsia"/>
                    <w:color w:val="000000"/>
                  </w:rPr>
                  <w:t>津药和平（天津</w:t>
                </w:r>
                <w:r>
                  <w:rPr>
                    <w:color w:val="000000"/>
                  </w:rPr>
                  <w:t>）</w:t>
                </w:r>
                <w:r>
                  <w:rPr>
                    <w:rFonts w:hint="eastAsia"/>
                    <w:color w:val="000000"/>
                  </w:rPr>
                  <w:t>制药有限公司</w:t>
                </w:r>
              </w:p>
            </w:tc>
            <w:tc>
              <w:tcPr>
                <w:tcW w:w="4445" w:type="dxa"/>
                <w:tcBorders>
                  <w:top w:val="single" w:sz="4" w:space="0" w:color="auto"/>
                  <w:left w:val="single" w:sz="4" w:space="0" w:color="auto"/>
                  <w:bottom w:val="single" w:sz="4" w:space="0" w:color="auto"/>
                  <w:right w:val="single" w:sz="4" w:space="0" w:color="auto"/>
                </w:tcBorders>
                <w:vAlign w:val="center"/>
              </w:tcPr>
              <w:p w14:paraId="6A4C9B9D" w14:textId="77777777" w:rsidR="002D0AE7" w:rsidRDefault="00333EBB">
                <w:pPr>
                  <w:rPr>
                    <w:rFonts w:hint="eastAsia"/>
                    <w:color w:val="000000"/>
                  </w:rPr>
                </w:pPr>
                <w:r>
                  <w:rPr>
                    <w:color w:val="000000"/>
                  </w:rPr>
                  <w:t>120116-KF-2021-114-L</w:t>
                </w:r>
              </w:p>
            </w:tc>
          </w:tr>
        </w:tbl>
        <w:p w14:paraId="0A677174" w14:textId="77777777" w:rsidR="002D0AE7" w:rsidRDefault="00333EBB">
          <w:pPr>
            <w:rPr>
              <w:rFonts w:hint="eastAsia"/>
              <w:color w:val="000000" w:themeColor="text1"/>
            </w:rPr>
          </w:pPr>
        </w:p>
      </w:sdtContent>
    </w:sdt>
    <w:p w14:paraId="3D7812CF" w14:textId="77777777" w:rsidR="002D0AE7" w:rsidRDefault="00333EBB">
      <w:pPr>
        <w:pStyle w:val="4"/>
        <w:numPr>
          <w:ilvl w:val="0"/>
          <w:numId w:val="16"/>
        </w:numPr>
        <w:rPr>
          <w:rFonts w:ascii="宋体" w:hAnsi="宋体" w:hint="eastAsia"/>
          <w:bCs w:val="0"/>
          <w:color w:val="000000" w:themeColor="text1"/>
          <w:szCs w:val="22"/>
        </w:rPr>
      </w:pPr>
      <w:r>
        <w:rPr>
          <w:rFonts w:ascii="宋体" w:hAnsi="宋体" w:hint="eastAsia"/>
          <w:color w:val="000000" w:themeColor="text1"/>
          <w:szCs w:val="21"/>
        </w:rPr>
        <w:t>环境自行监测方案</w:t>
      </w:r>
    </w:p>
    <w:sdt>
      <w:sdtPr>
        <w:rPr>
          <w:rFonts w:hint="eastAsia"/>
        </w:rPr>
        <w:alias w:val="是否适用：环境自行监测方案[双击切换]"/>
        <w:tag w:val="_GBC_8282bd073e454f33b6fa8f66542c0ea4"/>
        <w:id w:val="624045442"/>
        <w:placeholder>
          <w:docPart w:val="GBC22222222222222222222222222222"/>
        </w:placeholder>
      </w:sdtPr>
      <w:sdtEndPr/>
      <w:sdtContent>
        <w:p w14:paraId="4276545C" w14:textId="77777777" w:rsidR="002D0AE7" w:rsidRDefault="00333EBB">
          <w:pPr>
            <w:pStyle w:val="11"/>
            <w:rPr>
              <w:rFonts w:hint="eastAsia"/>
            </w:rPr>
          </w:pPr>
          <w:r>
            <w:fldChar w:fldCharType="begin"/>
          </w:r>
          <w:r>
            <w:instrText xml:space="preserve"> </w:instrText>
          </w:r>
          <w:r>
            <w:rPr>
              <w:rFonts w:hint="eastAsia"/>
            </w:rPr>
            <w:instrText xml:space="preserve">MACROBUTTON  SnrToggleCheckbox </w:instrText>
          </w:r>
          <w:r>
            <w:rPr>
              <w:rFonts w:hint="eastAsia"/>
            </w:rP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color w:val="000000" w:themeColor="text1"/>
        </w:rPr>
        <w:alias w:val="环境自行监测方案"/>
        <w:tag w:val="_GBC_fcc9259ff58741f496af8580b408371e"/>
        <w:id w:val="822931802"/>
        <w:placeholder>
          <w:docPart w:val="GBC22222222222222222222222222222"/>
        </w:placeholder>
      </w:sdtPr>
      <w:sdtEndPr/>
      <w:sdtContent>
        <w:p w14:paraId="508F19FF" w14:textId="77777777" w:rsidR="002D0AE7" w:rsidRDefault="00333EBB">
          <w:pPr>
            <w:rPr>
              <w:rFonts w:ascii="Calibri" w:hAnsi="Calibri" w:cs="Times New Roman"/>
              <w:bCs/>
              <w:color w:val="000000"/>
            </w:rPr>
          </w:pPr>
          <w:r>
            <w:rPr>
              <w:rFonts w:hint="eastAsia"/>
              <w:color w:val="000000"/>
            </w:rPr>
            <w:t>（</w:t>
          </w:r>
          <w:r>
            <w:rPr>
              <w:rFonts w:cs="Calibri" w:hint="eastAsia"/>
              <w:color w:val="000000"/>
            </w:rPr>
            <w:t>1</w:t>
          </w:r>
          <w:r>
            <w:rPr>
              <w:rFonts w:hint="eastAsia"/>
              <w:color w:val="000000"/>
            </w:rPr>
            <w:t>）废水监测项目</w:t>
          </w:r>
        </w:p>
        <w:tbl>
          <w:tblPr>
            <w:tblW w:w="55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1276"/>
            <w:gridCol w:w="1134"/>
            <w:gridCol w:w="2126"/>
            <w:gridCol w:w="2126"/>
            <w:gridCol w:w="992"/>
            <w:gridCol w:w="1276"/>
          </w:tblGrid>
          <w:tr w:rsidR="002D0AE7" w14:paraId="52DBBBC0" w14:textId="77777777">
            <w:trPr>
              <w:trHeight w:val="306"/>
              <w:jc w:val="center"/>
            </w:trPr>
            <w:tc>
              <w:tcPr>
                <w:tcW w:w="846" w:type="dxa"/>
                <w:tcBorders>
                  <w:top w:val="single" w:sz="4" w:space="0" w:color="auto"/>
                  <w:left w:val="single" w:sz="4" w:space="0" w:color="auto"/>
                  <w:bottom w:val="single" w:sz="4" w:space="0" w:color="auto"/>
                  <w:right w:val="single" w:sz="4" w:space="0" w:color="auto"/>
                </w:tcBorders>
                <w:vAlign w:val="center"/>
              </w:tcPr>
              <w:p w14:paraId="1CE53DE8" w14:textId="77777777" w:rsidR="002D0AE7" w:rsidRDefault="00333EBB">
                <w:pPr>
                  <w:jc w:val="center"/>
                  <w:rPr>
                    <w:rFonts w:hint="eastAsia"/>
                    <w:color w:val="000000"/>
                  </w:rPr>
                </w:pPr>
                <w:r>
                  <w:rPr>
                    <w:rFonts w:hint="eastAsia"/>
                    <w:color w:val="000000"/>
                  </w:rPr>
                  <w:t>公司名称</w:t>
                </w:r>
              </w:p>
            </w:tc>
            <w:tc>
              <w:tcPr>
                <w:tcW w:w="1276" w:type="dxa"/>
                <w:tcBorders>
                  <w:top w:val="single" w:sz="4" w:space="0" w:color="auto"/>
                  <w:left w:val="nil"/>
                  <w:bottom w:val="single" w:sz="4" w:space="0" w:color="auto"/>
                  <w:right w:val="single" w:sz="4" w:space="0" w:color="auto"/>
                </w:tcBorders>
                <w:vAlign w:val="center"/>
              </w:tcPr>
              <w:p w14:paraId="2184A0D6" w14:textId="77777777" w:rsidR="002D0AE7" w:rsidRDefault="00333EBB">
                <w:pPr>
                  <w:jc w:val="center"/>
                  <w:rPr>
                    <w:rFonts w:hint="eastAsia"/>
                    <w:color w:val="000000"/>
                  </w:rPr>
                </w:pPr>
                <w:r>
                  <w:rPr>
                    <w:rFonts w:hint="eastAsia"/>
                    <w:color w:val="000000"/>
                  </w:rPr>
                  <w:t>项目名称</w:t>
                </w:r>
              </w:p>
            </w:tc>
            <w:tc>
              <w:tcPr>
                <w:tcW w:w="1134" w:type="dxa"/>
                <w:tcBorders>
                  <w:top w:val="single" w:sz="4" w:space="0" w:color="auto"/>
                  <w:left w:val="nil"/>
                  <w:bottom w:val="single" w:sz="4" w:space="0" w:color="auto"/>
                  <w:right w:val="single" w:sz="4" w:space="0" w:color="auto"/>
                </w:tcBorders>
                <w:vAlign w:val="center"/>
              </w:tcPr>
              <w:p w14:paraId="781AE404" w14:textId="77777777" w:rsidR="002D0AE7" w:rsidRDefault="00333EBB">
                <w:pPr>
                  <w:jc w:val="center"/>
                  <w:rPr>
                    <w:rFonts w:hint="eastAsia"/>
                    <w:color w:val="000000"/>
                  </w:rPr>
                </w:pPr>
                <w:r>
                  <w:rPr>
                    <w:rFonts w:hint="eastAsia"/>
                    <w:color w:val="000000"/>
                  </w:rPr>
                  <w:t>排放限值</w:t>
                </w:r>
              </w:p>
            </w:tc>
            <w:tc>
              <w:tcPr>
                <w:tcW w:w="2126" w:type="dxa"/>
                <w:tcBorders>
                  <w:top w:val="single" w:sz="4" w:space="0" w:color="auto"/>
                  <w:left w:val="nil"/>
                  <w:bottom w:val="single" w:sz="4" w:space="0" w:color="auto"/>
                  <w:right w:val="single" w:sz="4" w:space="0" w:color="auto"/>
                </w:tcBorders>
                <w:vAlign w:val="center"/>
              </w:tcPr>
              <w:p w14:paraId="3AAA6916" w14:textId="77777777" w:rsidR="002D0AE7" w:rsidRDefault="00333EBB">
                <w:pPr>
                  <w:jc w:val="center"/>
                  <w:rPr>
                    <w:rFonts w:hint="eastAsia"/>
                    <w:color w:val="000000"/>
                  </w:rPr>
                </w:pPr>
                <w:r>
                  <w:rPr>
                    <w:rFonts w:hint="eastAsia"/>
                    <w:color w:val="000000"/>
                  </w:rPr>
                  <w:t>监测方法</w:t>
                </w:r>
              </w:p>
            </w:tc>
            <w:tc>
              <w:tcPr>
                <w:tcW w:w="2126" w:type="dxa"/>
                <w:tcBorders>
                  <w:top w:val="single" w:sz="4" w:space="0" w:color="auto"/>
                  <w:left w:val="nil"/>
                  <w:bottom w:val="single" w:sz="4" w:space="0" w:color="auto"/>
                  <w:right w:val="single" w:sz="4" w:space="0" w:color="auto"/>
                </w:tcBorders>
                <w:vAlign w:val="center"/>
              </w:tcPr>
              <w:p w14:paraId="368E3FBE" w14:textId="77777777" w:rsidR="002D0AE7" w:rsidRDefault="00333EBB">
                <w:pPr>
                  <w:jc w:val="center"/>
                  <w:rPr>
                    <w:rFonts w:hint="eastAsia"/>
                    <w:color w:val="000000"/>
                  </w:rPr>
                </w:pPr>
                <w:r>
                  <w:rPr>
                    <w:rFonts w:hint="eastAsia"/>
                    <w:color w:val="000000"/>
                  </w:rPr>
                  <w:t>分析仪器</w:t>
                </w:r>
              </w:p>
            </w:tc>
            <w:tc>
              <w:tcPr>
                <w:tcW w:w="992" w:type="dxa"/>
                <w:tcBorders>
                  <w:top w:val="single" w:sz="4" w:space="0" w:color="auto"/>
                  <w:left w:val="nil"/>
                  <w:bottom w:val="single" w:sz="4" w:space="0" w:color="auto"/>
                  <w:right w:val="single" w:sz="4" w:space="0" w:color="auto"/>
                </w:tcBorders>
                <w:vAlign w:val="center"/>
              </w:tcPr>
              <w:p w14:paraId="0A303232" w14:textId="77777777" w:rsidR="002D0AE7" w:rsidRDefault="00333EBB">
                <w:pPr>
                  <w:jc w:val="center"/>
                  <w:rPr>
                    <w:rFonts w:hint="eastAsia"/>
                    <w:color w:val="000000"/>
                  </w:rPr>
                </w:pPr>
                <w:r>
                  <w:rPr>
                    <w:rFonts w:hint="eastAsia"/>
                    <w:color w:val="000000"/>
                  </w:rPr>
                  <w:t>监测频次</w:t>
                </w:r>
              </w:p>
            </w:tc>
            <w:tc>
              <w:tcPr>
                <w:tcW w:w="1276" w:type="dxa"/>
                <w:tcBorders>
                  <w:top w:val="single" w:sz="4" w:space="0" w:color="auto"/>
                  <w:left w:val="nil"/>
                  <w:bottom w:val="single" w:sz="4" w:space="0" w:color="auto"/>
                  <w:right w:val="single" w:sz="4" w:space="0" w:color="auto"/>
                </w:tcBorders>
                <w:vAlign w:val="center"/>
              </w:tcPr>
              <w:p w14:paraId="7602574A" w14:textId="77777777" w:rsidR="002D0AE7" w:rsidRDefault="00333EBB">
                <w:pPr>
                  <w:jc w:val="center"/>
                  <w:rPr>
                    <w:rFonts w:hint="eastAsia"/>
                    <w:color w:val="000000"/>
                  </w:rPr>
                </w:pPr>
                <w:r>
                  <w:rPr>
                    <w:rFonts w:hint="eastAsia"/>
                    <w:color w:val="000000"/>
                  </w:rPr>
                  <w:t>采样方法及个数</w:t>
                </w:r>
              </w:p>
            </w:tc>
          </w:tr>
          <w:tr w:rsidR="002D0AE7" w14:paraId="498EF78D" w14:textId="77777777">
            <w:trPr>
              <w:trHeight w:val="306"/>
              <w:jc w:val="center"/>
            </w:trPr>
            <w:tc>
              <w:tcPr>
                <w:tcW w:w="846" w:type="dxa"/>
                <w:vMerge w:val="restart"/>
                <w:tcBorders>
                  <w:top w:val="nil"/>
                  <w:left w:val="single" w:sz="4" w:space="0" w:color="auto"/>
                  <w:bottom w:val="single" w:sz="4" w:space="0" w:color="auto"/>
                  <w:right w:val="single" w:sz="4" w:space="0" w:color="auto"/>
                </w:tcBorders>
                <w:vAlign w:val="center"/>
              </w:tcPr>
              <w:p w14:paraId="52BE96FB" w14:textId="77777777" w:rsidR="002D0AE7" w:rsidRDefault="00333EBB">
                <w:pPr>
                  <w:rPr>
                    <w:rFonts w:hint="eastAsia"/>
                    <w:color w:val="000000"/>
                  </w:rPr>
                </w:pPr>
                <w:r>
                  <w:rPr>
                    <w:rFonts w:hint="eastAsia"/>
                    <w:color w:val="000000"/>
                  </w:rPr>
                  <w:t>津药药业股份有限公司</w:t>
                </w:r>
              </w:p>
            </w:tc>
            <w:tc>
              <w:tcPr>
                <w:tcW w:w="1276" w:type="dxa"/>
                <w:tcBorders>
                  <w:top w:val="single" w:sz="4" w:space="0" w:color="auto"/>
                  <w:left w:val="nil"/>
                  <w:bottom w:val="single" w:sz="4" w:space="0" w:color="auto"/>
                  <w:right w:val="single" w:sz="4" w:space="0" w:color="auto"/>
                </w:tcBorders>
                <w:vAlign w:val="center"/>
              </w:tcPr>
              <w:p w14:paraId="74B2FA0A" w14:textId="77777777" w:rsidR="002D0AE7" w:rsidRDefault="00333EBB">
                <w:pPr>
                  <w:rPr>
                    <w:rFonts w:hint="eastAsia"/>
                    <w:color w:val="000000"/>
                  </w:rPr>
                </w:pPr>
                <w:r>
                  <w:rPr>
                    <w:rFonts w:hint="eastAsia"/>
                    <w:color w:val="000000"/>
                  </w:rPr>
                  <w:t>化学需氧量</w:t>
                </w:r>
              </w:p>
            </w:tc>
            <w:tc>
              <w:tcPr>
                <w:tcW w:w="1134" w:type="dxa"/>
                <w:tcBorders>
                  <w:top w:val="single" w:sz="4" w:space="0" w:color="auto"/>
                  <w:left w:val="nil"/>
                  <w:bottom w:val="single" w:sz="4" w:space="0" w:color="auto"/>
                  <w:right w:val="single" w:sz="4" w:space="0" w:color="auto"/>
                </w:tcBorders>
                <w:vAlign w:val="center"/>
              </w:tcPr>
              <w:p w14:paraId="112F5031" w14:textId="77777777" w:rsidR="002D0AE7" w:rsidRDefault="00333EBB">
                <w:pPr>
                  <w:rPr>
                    <w:rFonts w:hint="eastAsia"/>
                    <w:color w:val="000000"/>
                  </w:rPr>
                </w:pPr>
                <w:r>
                  <w:rPr>
                    <w:rFonts w:cs="Calibri" w:hint="eastAsia"/>
                    <w:color w:val="000000"/>
                  </w:rPr>
                  <w:t>500mg/L</w:t>
                </w:r>
              </w:p>
            </w:tc>
            <w:tc>
              <w:tcPr>
                <w:tcW w:w="2126" w:type="dxa"/>
                <w:tcBorders>
                  <w:top w:val="single" w:sz="4" w:space="0" w:color="auto"/>
                  <w:left w:val="nil"/>
                  <w:bottom w:val="single" w:sz="4" w:space="0" w:color="auto"/>
                  <w:right w:val="single" w:sz="4" w:space="0" w:color="auto"/>
                </w:tcBorders>
                <w:vAlign w:val="center"/>
              </w:tcPr>
              <w:p w14:paraId="5F241355" w14:textId="77777777" w:rsidR="002D0AE7" w:rsidRDefault="00333EBB">
                <w:pPr>
                  <w:rPr>
                    <w:rFonts w:hint="eastAsia"/>
                    <w:color w:val="000000"/>
                  </w:rPr>
                </w:pPr>
                <w:r>
                  <w:rPr>
                    <w:rFonts w:hint="eastAsia"/>
                    <w:color w:val="000000"/>
                  </w:rPr>
                  <w:t>重铬酸盐法</w:t>
                </w:r>
              </w:p>
            </w:tc>
            <w:tc>
              <w:tcPr>
                <w:tcW w:w="2126" w:type="dxa"/>
                <w:tcBorders>
                  <w:top w:val="single" w:sz="4" w:space="0" w:color="auto"/>
                  <w:left w:val="nil"/>
                  <w:bottom w:val="single" w:sz="4" w:space="0" w:color="auto"/>
                  <w:right w:val="single" w:sz="4" w:space="0" w:color="auto"/>
                </w:tcBorders>
                <w:vAlign w:val="center"/>
              </w:tcPr>
              <w:p w14:paraId="0606922D" w14:textId="77777777" w:rsidR="002D0AE7" w:rsidRDefault="00333EBB">
                <w:pPr>
                  <w:rPr>
                    <w:rFonts w:hint="eastAsia"/>
                    <w:color w:val="000000"/>
                  </w:rPr>
                </w:pPr>
                <w:r>
                  <w:rPr>
                    <w:rFonts w:hint="eastAsia"/>
                    <w:color w:val="000000"/>
                  </w:rPr>
                  <w:t>自动在线监测设备</w:t>
                </w:r>
              </w:p>
            </w:tc>
            <w:tc>
              <w:tcPr>
                <w:tcW w:w="992" w:type="dxa"/>
                <w:tcBorders>
                  <w:top w:val="single" w:sz="4" w:space="0" w:color="auto"/>
                  <w:left w:val="nil"/>
                  <w:bottom w:val="single" w:sz="4" w:space="0" w:color="auto"/>
                  <w:right w:val="single" w:sz="4" w:space="0" w:color="auto"/>
                </w:tcBorders>
                <w:vAlign w:val="center"/>
              </w:tcPr>
              <w:p w14:paraId="45228A36" w14:textId="77777777" w:rsidR="002D0AE7" w:rsidRDefault="00333EBB">
                <w:pPr>
                  <w:rPr>
                    <w:rFonts w:hint="eastAsia"/>
                    <w:color w:val="000000"/>
                  </w:rPr>
                </w:pPr>
                <w:r>
                  <w:rPr>
                    <w:rFonts w:cs="Calibri" w:hint="eastAsia"/>
                    <w:color w:val="000000"/>
                  </w:rPr>
                  <w:t>24</w:t>
                </w:r>
                <w:r>
                  <w:rPr>
                    <w:rFonts w:hint="eastAsia"/>
                    <w:color w:val="000000"/>
                  </w:rPr>
                  <w:t>小时连续监测</w:t>
                </w:r>
              </w:p>
            </w:tc>
            <w:tc>
              <w:tcPr>
                <w:tcW w:w="1276" w:type="dxa"/>
                <w:tcBorders>
                  <w:top w:val="single" w:sz="4" w:space="0" w:color="auto"/>
                  <w:left w:val="nil"/>
                  <w:bottom w:val="single" w:sz="4" w:space="0" w:color="auto"/>
                  <w:right w:val="single" w:sz="4" w:space="0" w:color="auto"/>
                </w:tcBorders>
                <w:vAlign w:val="center"/>
              </w:tcPr>
              <w:p w14:paraId="591D067E" w14:textId="77777777" w:rsidR="002D0AE7" w:rsidRDefault="00333EBB">
                <w:pPr>
                  <w:jc w:val="center"/>
                  <w:rPr>
                    <w:rFonts w:hint="eastAsia"/>
                    <w:color w:val="000000"/>
                  </w:rPr>
                </w:pPr>
                <w:r>
                  <w:rPr>
                    <w:rFonts w:cs="Calibri" w:hint="eastAsia"/>
                    <w:color w:val="000000"/>
                  </w:rPr>
                  <w:t>/</w:t>
                </w:r>
              </w:p>
            </w:tc>
          </w:tr>
          <w:tr w:rsidR="002D0AE7" w14:paraId="341C1E8F" w14:textId="77777777">
            <w:trPr>
              <w:trHeight w:val="306"/>
              <w:jc w:val="center"/>
            </w:trPr>
            <w:tc>
              <w:tcPr>
                <w:tcW w:w="846" w:type="dxa"/>
                <w:vMerge/>
                <w:tcBorders>
                  <w:top w:val="nil"/>
                  <w:left w:val="single" w:sz="4" w:space="0" w:color="auto"/>
                  <w:bottom w:val="single" w:sz="4" w:space="0" w:color="auto"/>
                  <w:right w:val="single" w:sz="4" w:space="0" w:color="auto"/>
                </w:tcBorders>
                <w:vAlign w:val="center"/>
              </w:tcPr>
              <w:p w14:paraId="0CBBA5A8" w14:textId="77777777" w:rsidR="002D0AE7" w:rsidRDefault="002D0AE7">
                <w:pPr>
                  <w:rPr>
                    <w:rFonts w:ascii="Calibri" w:hAnsi="Calibri"/>
                    <w:color w:val="000000"/>
                    <w:kern w:val="2"/>
                  </w:rPr>
                </w:pPr>
              </w:p>
            </w:tc>
            <w:tc>
              <w:tcPr>
                <w:tcW w:w="1276" w:type="dxa"/>
                <w:tcBorders>
                  <w:top w:val="single" w:sz="4" w:space="0" w:color="auto"/>
                  <w:left w:val="nil"/>
                  <w:bottom w:val="single" w:sz="4" w:space="0" w:color="auto"/>
                  <w:right w:val="single" w:sz="4" w:space="0" w:color="auto"/>
                </w:tcBorders>
                <w:vAlign w:val="center"/>
              </w:tcPr>
              <w:p w14:paraId="15CED1CF" w14:textId="77777777" w:rsidR="002D0AE7" w:rsidRDefault="00333EBB">
                <w:pPr>
                  <w:rPr>
                    <w:rFonts w:hint="eastAsia"/>
                    <w:color w:val="000000"/>
                  </w:rPr>
                </w:pPr>
                <w:r>
                  <w:rPr>
                    <w:rFonts w:hint="eastAsia"/>
                    <w:color w:val="000000"/>
                  </w:rPr>
                  <w:t>氨氮</w:t>
                </w:r>
              </w:p>
            </w:tc>
            <w:tc>
              <w:tcPr>
                <w:tcW w:w="1134" w:type="dxa"/>
                <w:tcBorders>
                  <w:top w:val="single" w:sz="4" w:space="0" w:color="auto"/>
                  <w:left w:val="nil"/>
                  <w:bottom w:val="single" w:sz="4" w:space="0" w:color="auto"/>
                  <w:right w:val="single" w:sz="4" w:space="0" w:color="auto"/>
                </w:tcBorders>
                <w:vAlign w:val="center"/>
              </w:tcPr>
              <w:p w14:paraId="3A53B962" w14:textId="77777777" w:rsidR="002D0AE7" w:rsidRDefault="00333EBB">
                <w:pPr>
                  <w:rPr>
                    <w:rFonts w:hint="eastAsia"/>
                    <w:color w:val="000000"/>
                  </w:rPr>
                </w:pPr>
                <w:r>
                  <w:rPr>
                    <w:rFonts w:cs="Calibri" w:hint="eastAsia"/>
                    <w:color w:val="000000"/>
                  </w:rPr>
                  <w:t>45mg/L</w:t>
                </w:r>
              </w:p>
            </w:tc>
            <w:tc>
              <w:tcPr>
                <w:tcW w:w="2126" w:type="dxa"/>
                <w:tcBorders>
                  <w:top w:val="single" w:sz="4" w:space="0" w:color="auto"/>
                  <w:left w:val="nil"/>
                  <w:bottom w:val="single" w:sz="4" w:space="0" w:color="auto"/>
                  <w:right w:val="single" w:sz="4" w:space="0" w:color="auto"/>
                </w:tcBorders>
                <w:vAlign w:val="center"/>
              </w:tcPr>
              <w:p w14:paraId="38FBAD82" w14:textId="77777777" w:rsidR="002D0AE7" w:rsidRDefault="00333EBB">
                <w:pPr>
                  <w:rPr>
                    <w:rFonts w:hint="eastAsia"/>
                    <w:color w:val="000000"/>
                  </w:rPr>
                </w:pPr>
                <w:r>
                  <w:rPr>
                    <w:rFonts w:hint="eastAsia"/>
                    <w:color w:val="000000"/>
                  </w:rPr>
                  <w:t>水杨酸分光光度法</w:t>
                </w:r>
              </w:p>
            </w:tc>
            <w:tc>
              <w:tcPr>
                <w:tcW w:w="2126" w:type="dxa"/>
                <w:tcBorders>
                  <w:top w:val="single" w:sz="4" w:space="0" w:color="auto"/>
                  <w:left w:val="nil"/>
                  <w:bottom w:val="single" w:sz="4" w:space="0" w:color="auto"/>
                  <w:right w:val="single" w:sz="4" w:space="0" w:color="auto"/>
                </w:tcBorders>
                <w:vAlign w:val="center"/>
              </w:tcPr>
              <w:p w14:paraId="2A3C23F4" w14:textId="77777777" w:rsidR="002D0AE7" w:rsidRDefault="00333EBB">
                <w:pPr>
                  <w:rPr>
                    <w:rFonts w:hint="eastAsia"/>
                    <w:color w:val="000000"/>
                  </w:rPr>
                </w:pPr>
                <w:r>
                  <w:rPr>
                    <w:rFonts w:hint="eastAsia"/>
                    <w:color w:val="000000"/>
                  </w:rPr>
                  <w:t>自动在线监测设备</w:t>
                </w:r>
              </w:p>
            </w:tc>
            <w:tc>
              <w:tcPr>
                <w:tcW w:w="992" w:type="dxa"/>
                <w:tcBorders>
                  <w:top w:val="single" w:sz="4" w:space="0" w:color="auto"/>
                  <w:left w:val="nil"/>
                  <w:bottom w:val="single" w:sz="4" w:space="0" w:color="auto"/>
                  <w:right w:val="single" w:sz="4" w:space="0" w:color="auto"/>
                </w:tcBorders>
                <w:vAlign w:val="center"/>
              </w:tcPr>
              <w:p w14:paraId="603C054E" w14:textId="77777777" w:rsidR="002D0AE7" w:rsidRDefault="00333EBB">
                <w:pPr>
                  <w:rPr>
                    <w:rFonts w:hint="eastAsia"/>
                    <w:color w:val="000000"/>
                  </w:rPr>
                </w:pPr>
                <w:r>
                  <w:rPr>
                    <w:rFonts w:cs="Calibri" w:hint="eastAsia"/>
                    <w:color w:val="000000"/>
                  </w:rPr>
                  <w:t>24</w:t>
                </w:r>
                <w:r>
                  <w:rPr>
                    <w:rFonts w:hint="eastAsia"/>
                    <w:color w:val="000000"/>
                  </w:rPr>
                  <w:t>小时连续监测</w:t>
                </w:r>
              </w:p>
            </w:tc>
            <w:tc>
              <w:tcPr>
                <w:tcW w:w="1276" w:type="dxa"/>
                <w:tcBorders>
                  <w:top w:val="single" w:sz="4" w:space="0" w:color="auto"/>
                  <w:left w:val="nil"/>
                  <w:bottom w:val="single" w:sz="4" w:space="0" w:color="auto"/>
                  <w:right w:val="single" w:sz="4" w:space="0" w:color="auto"/>
                </w:tcBorders>
                <w:vAlign w:val="center"/>
              </w:tcPr>
              <w:p w14:paraId="79A46DFB" w14:textId="77777777" w:rsidR="002D0AE7" w:rsidRDefault="00333EBB">
                <w:pPr>
                  <w:jc w:val="center"/>
                  <w:rPr>
                    <w:rFonts w:hint="eastAsia"/>
                    <w:color w:val="000000"/>
                  </w:rPr>
                </w:pPr>
                <w:r>
                  <w:rPr>
                    <w:rFonts w:cs="Calibri" w:hint="eastAsia"/>
                    <w:color w:val="000000"/>
                  </w:rPr>
                  <w:t>/</w:t>
                </w:r>
              </w:p>
            </w:tc>
          </w:tr>
          <w:tr w:rsidR="002D0AE7" w14:paraId="6EC1B9E6" w14:textId="77777777">
            <w:trPr>
              <w:trHeight w:val="306"/>
              <w:jc w:val="center"/>
            </w:trPr>
            <w:tc>
              <w:tcPr>
                <w:tcW w:w="846" w:type="dxa"/>
                <w:vMerge/>
                <w:tcBorders>
                  <w:top w:val="nil"/>
                  <w:left w:val="single" w:sz="4" w:space="0" w:color="auto"/>
                  <w:bottom w:val="single" w:sz="4" w:space="0" w:color="auto"/>
                  <w:right w:val="single" w:sz="4" w:space="0" w:color="auto"/>
                </w:tcBorders>
                <w:vAlign w:val="center"/>
              </w:tcPr>
              <w:p w14:paraId="35CD2ED7" w14:textId="77777777" w:rsidR="002D0AE7" w:rsidRDefault="002D0AE7">
                <w:pPr>
                  <w:rPr>
                    <w:rFonts w:ascii="Calibri" w:hAnsi="Calibri"/>
                    <w:color w:val="000000"/>
                    <w:kern w:val="2"/>
                  </w:rPr>
                </w:pPr>
              </w:p>
            </w:tc>
            <w:tc>
              <w:tcPr>
                <w:tcW w:w="1276" w:type="dxa"/>
                <w:tcBorders>
                  <w:top w:val="single" w:sz="4" w:space="0" w:color="auto"/>
                  <w:left w:val="nil"/>
                  <w:bottom w:val="single" w:sz="4" w:space="0" w:color="auto"/>
                  <w:right w:val="single" w:sz="4" w:space="0" w:color="auto"/>
                </w:tcBorders>
                <w:vAlign w:val="center"/>
              </w:tcPr>
              <w:p w14:paraId="1B8AAE3F" w14:textId="77777777" w:rsidR="002D0AE7" w:rsidRDefault="00333EBB">
                <w:pPr>
                  <w:rPr>
                    <w:rFonts w:hint="eastAsia"/>
                    <w:color w:val="000000"/>
                  </w:rPr>
                </w:pPr>
                <w:r>
                  <w:rPr>
                    <w:rFonts w:hint="eastAsia"/>
                    <w:color w:val="000000"/>
                  </w:rPr>
                  <w:t>总氮</w:t>
                </w:r>
              </w:p>
            </w:tc>
            <w:tc>
              <w:tcPr>
                <w:tcW w:w="1134" w:type="dxa"/>
                <w:tcBorders>
                  <w:top w:val="single" w:sz="4" w:space="0" w:color="auto"/>
                  <w:left w:val="nil"/>
                  <w:bottom w:val="single" w:sz="4" w:space="0" w:color="auto"/>
                  <w:right w:val="single" w:sz="4" w:space="0" w:color="auto"/>
                </w:tcBorders>
                <w:vAlign w:val="center"/>
              </w:tcPr>
              <w:p w14:paraId="324B6CF2" w14:textId="77777777" w:rsidR="002D0AE7" w:rsidRDefault="00333EBB">
                <w:pPr>
                  <w:rPr>
                    <w:rFonts w:hint="eastAsia"/>
                    <w:color w:val="000000"/>
                  </w:rPr>
                </w:pPr>
                <w:r>
                  <w:rPr>
                    <w:rFonts w:cs="Calibri" w:hint="eastAsia"/>
                    <w:color w:val="000000"/>
                  </w:rPr>
                  <w:t>70mg/L</w:t>
                </w:r>
              </w:p>
            </w:tc>
            <w:tc>
              <w:tcPr>
                <w:tcW w:w="2126" w:type="dxa"/>
                <w:tcBorders>
                  <w:top w:val="single" w:sz="4" w:space="0" w:color="auto"/>
                  <w:left w:val="nil"/>
                  <w:bottom w:val="single" w:sz="4" w:space="0" w:color="auto"/>
                  <w:right w:val="single" w:sz="4" w:space="0" w:color="auto"/>
                </w:tcBorders>
                <w:vAlign w:val="center"/>
              </w:tcPr>
              <w:p w14:paraId="129F5363" w14:textId="77777777" w:rsidR="002D0AE7" w:rsidRDefault="00333EBB">
                <w:pPr>
                  <w:rPr>
                    <w:rFonts w:hint="eastAsia"/>
                    <w:color w:val="000000"/>
                  </w:rPr>
                </w:pPr>
                <w:r>
                  <w:rPr>
                    <w:rFonts w:hint="eastAsia"/>
                    <w:color w:val="000000"/>
                  </w:rPr>
                  <w:t>碱性过硫酸钾消解</w:t>
                </w:r>
                <w:r>
                  <w:rPr>
                    <w:rFonts w:cs="Calibri" w:hint="eastAsia"/>
                    <w:color w:val="000000"/>
                  </w:rPr>
                  <w:t>-</w:t>
                </w:r>
                <w:r>
                  <w:rPr>
                    <w:rFonts w:hint="eastAsia"/>
                    <w:color w:val="000000"/>
                  </w:rPr>
                  <w:t>紫外分光光度法</w:t>
                </w:r>
              </w:p>
            </w:tc>
            <w:tc>
              <w:tcPr>
                <w:tcW w:w="2126" w:type="dxa"/>
                <w:tcBorders>
                  <w:top w:val="single" w:sz="4" w:space="0" w:color="auto"/>
                  <w:left w:val="nil"/>
                  <w:bottom w:val="single" w:sz="4" w:space="0" w:color="auto"/>
                  <w:right w:val="single" w:sz="4" w:space="0" w:color="auto"/>
                </w:tcBorders>
                <w:vAlign w:val="center"/>
              </w:tcPr>
              <w:p w14:paraId="054EBDC8" w14:textId="77777777" w:rsidR="002D0AE7" w:rsidRDefault="00333EBB">
                <w:pPr>
                  <w:rPr>
                    <w:rFonts w:hint="eastAsia"/>
                    <w:color w:val="000000"/>
                  </w:rPr>
                </w:pPr>
                <w:r>
                  <w:rPr>
                    <w:rFonts w:hint="eastAsia"/>
                    <w:color w:val="000000"/>
                  </w:rPr>
                  <w:t>自动在线监测设备</w:t>
                </w:r>
              </w:p>
            </w:tc>
            <w:tc>
              <w:tcPr>
                <w:tcW w:w="992" w:type="dxa"/>
                <w:tcBorders>
                  <w:top w:val="single" w:sz="4" w:space="0" w:color="auto"/>
                  <w:left w:val="nil"/>
                  <w:bottom w:val="single" w:sz="4" w:space="0" w:color="auto"/>
                  <w:right w:val="single" w:sz="4" w:space="0" w:color="auto"/>
                </w:tcBorders>
                <w:vAlign w:val="center"/>
              </w:tcPr>
              <w:p w14:paraId="38D359B4" w14:textId="77777777" w:rsidR="002D0AE7" w:rsidRDefault="00333EBB">
                <w:pPr>
                  <w:rPr>
                    <w:rFonts w:hint="eastAsia"/>
                    <w:color w:val="000000"/>
                  </w:rPr>
                </w:pPr>
                <w:r>
                  <w:rPr>
                    <w:rFonts w:cs="Calibri" w:hint="eastAsia"/>
                    <w:color w:val="000000"/>
                  </w:rPr>
                  <w:t>24</w:t>
                </w:r>
                <w:r>
                  <w:rPr>
                    <w:rFonts w:hint="eastAsia"/>
                    <w:color w:val="000000"/>
                  </w:rPr>
                  <w:t>小时连续监测</w:t>
                </w:r>
              </w:p>
            </w:tc>
            <w:tc>
              <w:tcPr>
                <w:tcW w:w="1276" w:type="dxa"/>
                <w:tcBorders>
                  <w:top w:val="single" w:sz="4" w:space="0" w:color="auto"/>
                  <w:left w:val="nil"/>
                  <w:bottom w:val="single" w:sz="4" w:space="0" w:color="auto"/>
                  <w:right w:val="single" w:sz="4" w:space="0" w:color="auto"/>
                </w:tcBorders>
                <w:vAlign w:val="center"/>
              </w:tcPr>
              <w:p w14:paraId="1F252323" w14:textId="77777777" w:rsidR="002D0AE7" w:rsidRDefault="00333EBB">
                <w:pPr>
                  <w:jc w:val="center"/>
                  <w:rPr>
                    <w:rFonts w:hint="eastAsia"/>
                    <w:color w:val="000000"/>
                  </w:rPr>
                </w:pPr>
                <w:r>
                  <w:rPr>
                    <w:rFonts w:cs="Calibri" w:hint="eastAsia"/>
                    <w:color w:val="000000"/>
                  </w:rPr>
                  <w:t>/</w:t>
                </w:r>
              </w:p>
            </w:tc>
          </w:tr>
          <w:tr w:rsidR="002D0AE7" w14:paraId="786039CF" w14:textId="77777777">
            <w:trPr>
              <w:trHeight w:val="306"/>
              <w:jc w:val="center"/>
            </w:trPr>
            <w:tc>
              <w:tcPr>
                <w:tcW w:w="846" w:type="dxa"/>
                <w:vMerge/>
                <w:tcBorders>
                  <w:top w:val="nil"/>
                  <w:left w:val="single" w:sz="4" w:space="0" w:color="auto"/>
                  <w:bottom w:val="single" w:sz="4" w:space="0" w:color="auto"/>
                  <w:right w:val="single" w:sz="4" w:space="0" w:color="auto"/>
                </w:tcBorders>
                <w:vAlign w:val="center"/>
              </w:tcPr>
              <w:p w14:paraId="190591A3" w14:textId="77777777" w:rsidR="002D0AE7" w:rsidRDefault="002D0AE7">
                <w:pPr>
                  <w:rPr>
                    <w:rFonts w:ascii="Calibri" w:hAnsi="Calibri"/>
                    <w:color w:val="000000"/>
                    <w:kern w:val="2"/>
                  </w:rPr>
                </w:pPr>
              </w:p>
            </w:tc>
            <w:tc>
              <w:tcPr>
                <w:tcW w:w="1276" w:type="dxa"/>
                <w:tcBorders>
                  <w:top w:val="single" w:sz="4" w:space="0" w:color="auto"/>
                  <w:left w:val="nil"/>
                  <w:bottom w:val="single" w:sz="4" w:space="0" w:color="auto"/>
                  <w:right w:val="single" w:sz="4" w:space="0" w:color="auto"/>
                </w:tcBorders>
                <w:vAlign w:val="center"/>
              </w:tcPr>
              <w:p w14:paraId="05B0CF0B" w14:textId="77777777" w:rsidR="002D0AE7" w:rsidRDefault="00333EBB">
                <w:pPr>
                  <w:rPr>
                    <w:rFonts w:hint="eastAsia"/>
                    <w:color w:val="000000"/>
                  </w:rPr>
                </w:pPr>
                <w:r>
                  <w:rPr>
                    <w:rFonts w:cs="Calibri" w:hint="eastAsia"/>
                    <w:color w:val="000000"/>
                  </w:rPr>
                  <w:t>pH</w:t>
                </w:r>
              </w:p>
            </w:tc>
            <w:tc>
              <w:tcPr>
                <w:tcW w:w="1134" w:type="dxa"/>
                <w:tcBorders>
                  <w:top w:val="single" w:sz="4" w:space="0" w:color="auto"/>
                  <w:left w:val="nil"/>
                  <w:bottom w:val="single" w:sz="4" w:space="0" w:color="auto"/>
                  <w:right w:val="single" w:sz="4" w:space="0" w:color="auto"/>
                </w:tcBorders>
                <w:vAlign w:val="center"/>
              </w:tcPr>
              <w:p w14:paraId="6B038EA4" w14:textId="77777777" w:rsidR="002D0AE7" w:rsidRDefault="00333EBB">
                <w:pPr>
                  <w:rPr>
                    <w:rFonts w:hint="eastAsia"/>
                    <w:color w:val="000000"/>
                  </w:rPr>
                </w:pPr>
                <w:r>
                  <w:rPr>
                    <w:rFonts w:cs="Calibri" w:hint="eastAsia"/>
                    <w:color w:val="000000"/>
                  </w:rPr>
                  <w:t>6-9mg/L</w:t>
                </w:r>
              </w:p>
            </w:tc>
            <w:tc>
              <w:tcPr>
                <w:tcW w:w="2126" w:type="dxa"/>
                <w:tcBorders>
                  <w:top w:val="single" w:sz="4" w:space="0" w:color="auto"/>
                  <w:left w:val="nil"/>
                  <w:bottom w:val="single" w:sz="4" w:space="0" w:color="auto"/>
                  <w:right w:val="single" w:sz="4" w:space="0" w:color="auto"/>
                </w:tcBorders>
                <w:vAlign w:val="center"/>
              </w:tcPr>
              <w:p w14:paraId="02842BE2" w14:textId="77777777" w:rsidR="002D0AE7" w:rsidRDefault="00333EBB">
                <w:pPr>
                  <w:rPr>
                    <w:rFonts w:hint="eastAsia"/>
                    <w:color w:val="000000"/>
                  </w:rPr>
                </w:pPr>
                <w:r>
                  <w:rPr>
                    <w:rFonts w:hint="eastAsia"/>
                    <w:color w:val="000000"/>
                  </w:rPr>
                  <w:t>玻璃电极法</w:t>
                </w:r>
              </w:p>
            </w:tc>
            <w:tc>
              <w:tcPr>
                <w:tcW w:w="2126" w:type="dxa"/>
                <w:tcBorders>
                  <w:top w:val="single" w:sz="4" w:space="0" w:color="auto"/>
                  <w:left w:val="nil"/>
                  <w:bottom w:val="single" w:sz="4" w:space="0" w:color="auto"/>
                  <w:right w:val="single" w:sz="4" w:space="0" w:color="auto"/>
                </w:tcBorders>
                <w:vAlign w:val="center"/>
              </w:tcPr>
              <w:p w14:paraId="23942BC9" w14:textId="77777777" w:rsidR="002D0AE7" w:rsidRDefault="00333EBB">
                <w:pPr>
                  <w:rPr>
                    <w:rFonts w:hint="eastAsia"/>
                    <w:color w:val="000000"/>
                  </w:rPr>
                </w:pPr>
                <w:r>
                  <w:rPr>
                    <w:rFonts w:hint="eastAsia"/>
                    <w:color w:val="000000"/>
                  </w:rPr>
                  <w:t>自动在线监测设备</w:t>
                </w:r>
              </w:p>
            </w:tc>
            <w:tc>
              <w:tcPr>
                <w:tcW w:w="992" w:type="dxa"/>
                <w:tcBorders>
                  <w:top w:val="single" w:sz="4" w:space="0" w:color="auto"/>
                  <w:left w:val="nil"/>
                  <w:bottom w:val="single" w:sz="4" w:space="0" w:color="auto"/>
                  <w:right w:val="single" w:sz="4" w:space="0" w:color="auto"/>
                </w:tcBorders>
                <w:vAlign w:val="center"/>
              </w:tcPr>
              <w:p w14:paraId="066077B8" w14:textId="77777777" w:rsidR="002D0AE7" w:rsidRDefault="00333EBB">
                <w:pPr>
                  <w:rPr>
                    <w:rFonts w:hint="eastAsia"/>
                    <w:color w:val="000000"/>
                  </w:rPr>
                </w:pPr>
                <w:r>
                  <w:rPr>
                    <w:rFonts w:cs="Calibri" w:hint="eastAsia"/>
                    <w:color w:val="000000"/>
                  </w:rPr>
                  <w:t>24</w:t>
                </w:r>
                <w:r>
                  <w:rPr>
                    <w:rFonts w:hint="eastAsia"/>
                    <w:color w:val="000000"/>
                  </w:rPr>
                  <w:t>小时连续监测</w:t>
                </w:r>
              </w:p>
            </w:tc>
            <w:tc>
              <w:tcPr>
                <w:tcW w:w="1276" w:type="dxa"/>
                <w:tcBorders>
                  <w:top w:val="single" w:sz="4" w:space="0" w:color="auto"/>
                  <w:left w:val="nil"/>
                  <w:bottom w:val="single" w:sz="4" w:space="0" w:color="auto"/>
                  <w:right w:val="single" w:sz="4" w:space="0" w:color="auto"/>
                </w:tcBorders>
                <w:vAlign w:val="center"/>
              </w:tcPr>
              <w:p w14:paraId="3DDD9314" w14:textId="77777777" w:rsidR="002D0AE7" w:rsidRDefault="00333EBB">
                <w:pPr>
                  <w:jc w:val="center"/>
                  <w:rPr>
                    <w:rFonts w:hint="eastAsia"/>
                    <w:color w:val="000000"/>
                  </w:rPr>
                </w:pPr>
                <w:r>
                  <w:rPr>
                    <w:rFonts w:cs="Calibri" w:hint="eastAsia"/>
                    <w:color w:val="000000"/>
                  </w:rPr>
                  <w:t>/</w:t>
                </w:r>
              </w:p>
            </w:tc>
          </w:tr>
          <w:tr w:rsidR="002D0AE7" w14:paraId="5EBAF6B2" w14:textId="77777777">
            <w:trPr>
              <w:trHeight w:val="306"/>
              <w:jc w:val="center"/>
            </w:trPr>
            <w:tc>
              <w:tcPr>
                <w:tcW w:w="846" w:type="dxa"/>
                <w:vMerge/>
                <w:tcBorders>
                  <w:top w:val="nil"/>
                  <w:left w:val="single" w:sz="4" w:space="0" w:color="auto"/>
                  <w:bottom w:val="single" w:sz="4" w:space="0" w:color="auto"/>
                  <w:right w:val="single" w:sz="4" w:space="0" w:color="auto"/>
                </w:tcBorders>
                <w:vAlign w:val="center"/>
              </w:tcPr>
              <w:p w14:paraId="1E96A859" w14:textId="77777777" w:rsidR="002D0AE7" w:rsidRDefault="002D0AE7">
                <w:pPr>
                  <w:rPr>
                    <w:rFonts w:ascii="Calibri" w:hAnsi="Calibri"/>
                    <w:color w:val="000000"/>
                    <w:kern w:val="2"/>
                  </w:rPr>
                </w:pPr>
              </w:p>
            </w:tc>
            <w:tc>
              <w:tcPr>
                <w:tcW w:w="1276" w:type="dxa"/>
                <w:tcBorders>
                  <w:top w:val="single" w:sz="4" w:space="0" w:color="auto"/>
                  <w:left w:val="nil"/>
                  <w:bottom w:val="single" w:sz="4" w:space="0" w:color="auto"/>
                  <w:right w:val="single" w:sz="4" w:space="0" w:color="auto"/>
                </w:tcBorders>
                <w:vAlign w:val="center"/>
              </w:tcPr>
              <w:p w14:paraId="14C51269" w14:textId="77777777" w:rsidR="002D0AE7" w:rsidRDefault="00333EBB">
                <w:pPr>
                  <w:rPr>
                    <w:rFonts w:hint="eastAsia"/>
                    <w:color w:val="000000"/>
                  </w:rPr>
                </w:pPr>
                <w:r>
                  <w:rPr>
                    <w:rFonts w:hint="eastAsia"/>
                    <w:color w:val="000000"/>
                  </w:rPr>
                  <w:t>总磷</w:t>
                </w:r>
              </w:p>
            </w:tc>
            <w:tc>
              <w:tcPr>
                <w:tcW w:w="1134" w:type="dxa"/>
                <w:tcBorders>
                  <w:top w:val="single" w:sz="4" w:space="0" w:color="auto"/>
                  <w:left w:val="nil"/>
                  <w:bottom w:val="single" w:sz="4" w:space="0" w:color="auto"/>
                  <w:right w:val="single" w:sz="4" w:space="0" w:color="auto"/>
                </w:tcBorders>
                <w:vAlign w:val="center"/>
              </w:tcPr>
              <w:p w14:paraId="676002D6" w14:textId="77777777" w:rsidR="002D0AE7" w:rsidRDefault="00333EBB">
                <w:pPr>
                  <w:rPr>
                    <w:rFonts w:hint="eastAsia"/>
                    <w:color w:val="000000"/>
                  </w:rPr>
                </w:pPr>
                <w:r>
                  <w:rPr>
                    <w:rFonts w:cs="Calibri" w:hint="eastAsia"/>
                    <w:color w:val="000000"/>
                  </w:rPr>
                  <w:t>8mg/L</w:t>
                </w:r>
              </w:p>
            </w:tc>
            <w:tc>
              <w:tcPr>
                <w:tcW w:w="2126" w:type="dxa"/>
                <w:tcBorders>
                  <w:top w:val="single" w:sz="4" w:space="0" w:color="auto"/>
                  <w:left w:val="nil"/>
                  <w:bottom w:val="single" w:sz="4" w:space="0" w:color="auto"/>
                  <w:right w:val="single" w:sz="4" w:space="0" w:color="auto"/>
                </w:tcBorders>
                <w:vAlign w:val="center"/>
              </w:tcPr>
              <w:p w14:paraId="6959AA86" w14:textId="77777777" w:rsidR="002D0AE7" w:rsidRDefault="00333EBB">
                <w:pPr>
                  <w:rPr>
                    <w:rFonts w:hint="eastAsia"/>
                    <w:color w:val="000000"/>
                  </w:rPr>
                </w:pPr>
                <w:r>
                  <w:rPr>
                    <w:rFonts w:hint="eastAsia"/>
                    <w:color w:val="000000"/>
                  </w:rPr>
                  <w:t>钼酸铵分光光度法</w:t>
                </w:r>
              </w:p>
            </w:tc>
            <w:tc>
              <w:tcPr>
                <w:tcW w:w="2126" w:type="dxa"/>
                <w:tcBorders>
                  <w:top w:val="single" w:sz="4" w:space="0" w:color="auto"/>
                  <w:left w:val="nil"/>
                  <w:bottom w:val="single" w:sz="4" w:space="0" w:color="auto"/>
                  <w:right w:val="single" w:sz="4" w:space="0" w:color="auto"/>
                </w:tcBorders>
                <w:vAlign w:val="center"/>
              </w:tcPr>
              <w:p w14:paraId="2FEFCE44" w14:textId="77777777" w:rsidR="002D0AE7" w:rsidRDefault="00333EBB">
                <w:pPr>
                  <w:rPr>
                    <w:rFonts w:hint="eastAsia"/>
                    <w:color w:val="000000"/>
                  </w:rPr>
                </w:pPr>
                <w:r>
                  <w:rPr>
                    <w:rFonts w:hint="eastAsia"/>
                    <w:color w:val="000000"/>
                  </w:rPr>
                  <w:t>自动在线监测设备</w:t>
                </w:r>
              </w:p>
            </w:tc>
            <w:tc>
              <w:tcPr>
                <w:tcW w:w="992" w:type="dxa"/>
                <w:tcBorders>
                  <w:top w:val="single" w:sz="4" w:space="0" w:color="auto"/>
                  <w:left w:val="nil"/>
                  <w:bottom w:val="single" w:sz="4" w:space="0" w:color="auto"/>
                  <w:right w:val="single" w:sz="4" w:space="0" w:color="auto"/>
                </w:tcBorders>
                <w:vAlign w:val="center"/>
              </w:tcPr>
              <w:p w14:paraId="1DC8DCA6" w14:textId="77777777" w:rsidR="002D0AE7" w:rsidRDefault="00333EBB">
                <w:pPr>
                  <w:rPr>
                    <w:rFonts w:hint="eastAsia"/>
                    <w:color w:val="000000"/>
                  </w:rPr>
                </w:pPr>
                <w:r>
                  <w:rPr>
                    <w:rFonts w:cs="Calibri" w:hint="eastAsia"/>
                    <w:color w:val="000000"/>
                  </w:rPr>
                  <w:t>24</w:t>
                </w:r>
                <w:r>
                  <w:rPr>
                    <w:rFonts w:hint="eastAsia"/>
                    <w:color w:val="000000"/>
                  </w:rPr>
                  <w:t>小时连续监测</w:t>
                </w:r>
              </w:p>
            </w:tc>
            <w:tc>
              <w:tcPr>
                <w:tcW w:w="1276" w:type="dxa"/>
                <w:tcBorders>
                  <w:top w:val="single" w:sz="4" w:space="0" w:color="auto"/>
                  <w:left w:val="nil"/>
                  <w:bottom w:val="single" w:sz="4" w:space="0" w:color="auto"/>
                  <w:right w:val="single" w:sz="4" w:space="0" w:color="auto"/>
                </w:tcBorders>
                <w:vAlign w:val="center"/>
              </w:tcPr>
              <w:p w14:paraId="3DC58CE5" w14:textId="77777777" w:rsidR="002D0AE7" w:rsidRDefault="00333EBB">
                <w:pPr>
                  <w:jc w:val="center"/>
                  <w:rPr>
                    <w:rFonts w:hint="eastAsia"/>
                    <w:color w:val="000000"/>
                  </w:rPr>
                </w:pPr>
                <w:r>
                  <w:rPr>
                    <w:rFonts w:cs="Calibri" w:hint="eastAsia"/>
                    <w:color w:val="000000"/>
                  </w:rPr>
                  <w:t>/</w:t>
                </w:r>
              </w:p>
            </w:tc>
          </w:tr>
          <w:tr w:rsidR="002D0AE7" w14:paraId="4DC963F1" w14:textId="77777777">
            <w:trPr>
              <w:trHeight w:val="306"/>
              <w:jc w:val="center"/>
            </w:trPr>
            <w:tc>
              <w:tcPr>
                <w:tcW w:w="846" w:type="dxa"/>
                <w:vMerge/>
                <w:tcBorders>
                  <w:top w:val="nil"/>
                  <w:left w:val="single" w:sz="4" w:space="0" w:color="auto"/>
                  <w:bottom w:val="single" w:sz="4" w:space="0" w:color="auto"/>
                  <w:right w:val="single" w:sz="4" w:space="0" w:color="auto"/>
                </w:tcBorders>
                <w:vAlign w:val="center"/>
              </w:tcPr>
              <w:p w14:paraId="4596EBC5" w14:textId="77777777" w:rsidR="002D0AE7" w:rsidRDefault="002D0AE7">
                <w:pPr>
                  <w:rPr>
                    <w:rFonts w:ascii="Calibri" w:hAnsi="Calibri"/>
                    <w:color w:val="000000"/>
                    <w:kern w:val="2"/>
                  </w:rPr>
                </w:pPr>
              </w:p>
            </w:tc>
            <w:tc>
              <w:tcPr>
                <w:tcW w:w="1276" w:type="dxa"/>
                <w:tcBorders>
                  <w:top w:val="single" w:sz="4" w:space="0" w:color="auto"/>
                  <w:left w:val="nil"/>
                  <w:bottom w:val="single" w:sz="4" w:space="0" w:color="auto"/>
                  <w:right w:val="single" w:sz="4" w:space="0" w:color="auto"/>
                </w:tcBorders>
                <w:vAlign w:val="center"/>
              </w:tcPr>
              <w:p w14:paraId="49DFCDFE" w14:textId="77777777" w:rsidR="002D0AE7" w:rsidRDefault="00333EBB">
                <w:pPr>
                  <w:rPr>
                    <w:rFonts w:hint="eastAsia"/>
                    <w:color w:val="000000"/>
                  </w:rPr>
                </w:pPr>
                <w:r>
                  <w:rPr>
                    <w:rFonts w:cs="Calibri" w:hint="eastAsia"/>
                    <w:color w:val="000000"/>
                  </w:rPr>
                  <w:t>BOD5</w:t>
                </w:r>
              </w:p>
            </w:tc>
            <w:tc>
              <w:tcPr>
                <w:tcW w:w="1134" w:type="dxa"/>
                <w:tcBorders>
                  <w:top w:val="single" w:sz="4" w:space="0" w:color="auto"/>
                  <w:left w:val="nil"/>
                  <w:bottom w:val="single" w:sz="4" w:space="0" w:color="auto"/>
                  <w:right w:val="single" w:sz="4" w:space="0" w:color="auto"/>
                </w:tcBorders>
                <w:vAlign w:val="center"/>
              </w:tcPr>
              <w:p w14:paraId="29EE528E" w14:textId="77777777" w:rsidR="002D0AE7" w:rsidRDefault="00333EBB">
                <w:pPr>
                  <w:rPr>
                    <w:rFonts w:hint="eastAsia"/>
                    <w:color w:val="000000"/>
                  </w:rPr>
                </w:pPr>
                <w:r>
                  <w:rPr>
                    <w:rFonts w:cs="Calibri" w:hint="eastAsia"/>
                    <w:color w:val="000000"/>
                  </w:rPr>
                  <w:t>300mg/L</w:t>
                </w:r>
              </w:p>
            </w:tc>
            <w:tc>
              <w:tcPr>
                <w:tcW w:w="2126" w:type="dxa"/>
                <w:tcBorders>
                  <w:top w:val="single" w:sz="4" w:space="0" w:color="auto"/>
                  <w:left w:val="nil"/>
                  <w:bottom w:val="single" w:sz="4" w:space="0" w:color="auto"/>
                  <w:right w:val="single" w:sz="4" w:space="0" w:color="auto"/>
                </w:tcBorders>
                <w:vAlign w:val="center"/>
              </w:tcPr>
              <w:p w14:paraId="36E1DDCA" w14:textId="77777777" w:rsidR="002D0AE7" w:rsidRDefault="00333EBB">
                <w:pPr>
                  <w:rPr>
                    <w:rFonts w:hint="eastAsia"/>
                    <w:color w:val="000000"/>
                  </w:rPr>
                </w:pPr>
                <w:r>
                  <w:rPr>
                    <w:rFonts w:hint="eastAsia"/>
                    <w:color w:val="000000"/>
                  </w:rPr>
                  <w:t>《水质五日生化需氧量（</w:t>
                </w:r>
                <w:r>
                  <w:rPr>
                    <w:rFonts w:cs="Calibri" w:hint="eastAsia"/>
                    <w:color w:val="000000"/>
                  </w:rPr>
                  <w:t>BOD5</w:t>
                </w:r>
                <w:r>
                  <w:rPr>
                    <w:rFonts w:hint="eastAsia"/>
                    <w:color w:val="000000"/>
                  </w:rPr>
                  <w:t>）的测定稀释与接种法》</w:t>
                </w:r>
                <w:r>
                  <w:rPr>
                    <w:rFonts w:cs="Calibri" w:hint="eastAsia"/>
                    <w:color w:val="000000"/>
                  </w:rPr>
                  <w:t>HJ505-2009</w:t>
                </w:r>
              </w:p>
            </w:tc>
            <w:tc>
              <w:tcPr>
                <w:tcW w:w="2126" w:type="dxa"/>
                <w:tcBorders>
                  <w:top w:val="single" w:sz="4" w:space="0" w:color="auto"/>
                  <w:left w:val="nil"/>
                  <w:bottom w:val="single" w:sz="4" w:space="0" w:color="auto"/>
                  <w:right w:val="single" w:sz="4" w:space="0" w:color="auto"/>
                </w:tcBorders>
                <w:vAlign w:val="center"/>
              </w:tcPr>
              <w:p w14:paraId="12065DCF" w14:textId="77777777" w:rsidR="002D0AE7" w:rsidRDefault="00333EBB">
                <w:pPr>
                  <w:rPr>
                    <w:rFonts w:hint="eastAsia"/>
                    <w:color w:val="000000"/>
                  </w:rPr>
                </w:pPr>
                <w:r>
                  <w:rPr>
                    <w:rFonts w:hint="eastAsia"/>
                    <w:color w:val="000000"/>
                  </w:rPr>
                  <w:t>溶解氧测定仪</w:t>
                </w:r>
              </w:p>
              <w:p w14:paraId="1949965C" w14:textId="77777777" w:rsidR="002D0AE7" w:rsidRDefault="00333EBB">
                <w:pPr>
                  <w:rPr>
                    <w:rFonts w:hint="eastAsia"/>
                    <w:color w:val="000000"/>
                  </w:rPr>
                </w:pPr>
                <w:r>
                  <w:rPr>
                    <w:rFonts w:hint="eastAsia"/>
                    <w:color w:val="000000"/>
                  </w:rPr>
                  <w:t>恒温恒湿试验箱</w:t>
                </w:r>
              </w:p>
            </w:tc>
            <w:tc>
              <w:tcPr>
                <w:tcW w:w="992" w:type="dxa"/>
                <w:tcBorders>
                  <w:top w:val="single" w:sz="4" w:space="0" w:color="auto"/>
                  <w:left w:val="nil"/>
                  <w:bottom w:val="single" w:sz="4" w:space="0" w:color="auto"/>
                  <w:right w:val="single" w:sz="4" w:space="0" w:color="auto"/>
                </w:tcBorders>
                <w:vAlign w:val="center"/>
              </w:tcPr>
              <w:p w14:paraId="3719F7D4" w14:textId="77777777" w:rsidR="002D0AE7" w:rsidRDefault="00333EBB">
                <w:pPr>
                  <w:rPr>
                    <w:rFonts w:hint="eastAsia"/>
                    <w:color w:val="000000"/>
                  </w:rPr>
                </w:pPr>
                <w:r>
                  <w:rPr>
                    <w:rFonts w:hint="eastAsia"/>
                    <w:color w:val="000000"/>
                  </w:rPr>
                  <w:t>每季度一次</w:t>
                </w:r>
              </w:p>
            </w:tc>
            <w:tc>
              <w:tcPr>
                <w:tcW w:w="1276" w:type="dxa"/>
                <w:tcBorders>
                  <w:top w:val="single" w:sz="4" w:space="0" w:color="auto"/>
                  <w:left w:val="nil"/>
                  <w:bottom w:val="single" w:sz="4" w:space="0" w:color="auto"/>
                  <w:right w:val="single" w:sz="4" w:space="0" w:color="auto"/>
                </w:tcBorders>
                <w:vAlign w:val="center"/>
              </w:tcPr>
              <w:p w14:paraId="7A454087" w14:textId="77777777" w:rsidR="002D0AE7" w:rsidRDefault="00333EBB">
                <w:pPr>
                  <w:rPr>
                    <w:rFonts w:hint="eastAsia"/>
                    <w:color w:val="000000"/>
                  </w:rPr>
                </w:pPr>
                <w:r>
                  <w:rPr>
                    <w:rFonts w:hint="eastAsia"/>
                    <w:color w:val="000000"/>
                  </w:rPr>
                  <w:t>瞬时采样至少</w:t>
                </w:r>
                <w:r>
                  <w:rPr>
                    <w:rFonts w:cs="Calibri" w:hint="eastAsia"/>
                    <w:color w:val="000000"/>
                  </w:rPr>
                  <w:t>3</w:t>
                </w:r>
                <w:r>
                  <w:rPr>
                    <w:rFonts w:hint="eastAsia"/>
                    <w:color w:val="000000"/>
                  </w:rPr>
                  <w:t>个瞬时样</w:t>
                </w:r>
              </w:p>
            </w:tc>
          </w:tr>
          <w:tr w:rsidR="002D0AE7" w14:paraId="7C9C8295" w14:textId="77777777">
            <w:trPr>
              <w:trHeight w:val="306"/>
              <w:jc w:val="center"/>
            </w:trPr>
            <w:tc>
              <w:tcPr>
                <w:tcW w:w="846" w:type="dxa"/>
                <w:vMerge/>
                <w:tcBorders>
                  <w:top w:val="nil"/>
                  <w:left w:val="single" w:sz="4" w:space="0" w:color="auto"/>
                  <w:bottom w:val="single" w:sz="4" w:space="0" w:color="auto"/>
                  <w:right w:val="single" w:sz="4" w:space="0" w:color="auto"/>
                </w:tcBorders>
                <w:vAlign w:val="center"/>
              </w:tcPr>
              <w:p w14:paraId="420BF9C7" w14:textId="77777777" w:rsidR="002D0AE7" w:rsidRDefault="002D0AE7">
                <w:pPr>
                  <w:rPr>
                    <w:rFonts w:ascii="Calibri" w:hAnsi="Calibri"/>
                    <w:color w:val="000000"/>
                    <w:kern w:val="2"/>
                  </w:rPr>
                </w:pPr>
              </w:p>
            </w:tc>
            <w:tc>
              <w:tcPr>
                <w:tcW w:w="1276" w:type="dxa"/>
                <w:tcBorders>
                  <w:top w:val="single" w:sz="4" w:space="0" w:color="auto"/>
                  <w:left w:val="nil"/>
                  <w:bottom w:val="single" w:sz="4" w:space="0" w:color="auto"/>
                  <w:right w:val="single" w:sz="4" w:space="0" w:color="auto"/>
                </w:tcBorders>
                <w:vAlign w:val="center"/>
              </w:tcPr>
              <w:p w14:paraId="607A3057" w14:textId="77777777" w:rsidR="002D0AE7" w:rsidRDefault="00333EBB">
                <w:pPr>
                  <w:rPr>
                    <w:rFonts w:hint="eastAsia"/>
                    <w:color w:val="000000"/>
                  </w:rPr>
                </w:pPr>
                <w:r>
                  <w:rPr>
                    <w:rFonts w:hint="eastAsia"/>
                    <w:color w:val="000000"/>
                  </w:rPr>
                  <w:t>悬浮物</w:t>
                </w:r>
              </w:p>
            </w:tc>
            <w:tc>
              <w:tcPr>
                <w:tcW w:w="1134" w:type="dxa"/>
                <w:tcBorders>
                  <w:top w:val="single" w:sz="4" w:space="0" w:color="auto"/>
                  <w:left w:val="nil"/>
                  <w:bottom w:val="single" w:sz="4" w:space="0" w:color="auto"/>
                  <w:right w:val="single" w:sz="4" w:space="0" w:color="auto"/>
                </w:tcBorders>
                <w:vAlign w:val="center"/>
              </w:tcPr>
              <w:p w14:paraId="4A9D6CC5" w14:textId="77777777" w:rsidR="002D0AE7" w:rsidRDefault="00333EBB">
                <w:pPr>
                  <w:rPr>
                    <w:rFonts w:hint="eastAsia"/>
                    <w:color w:val="000000"/>
                  </w:rPr>
                </w:pPr>
                <w:r>
                  <w:rPr>
                    <w:rFonts w:cs="Calibri" w:hint="eastAsia"/>
                    <w:color w:val="000000"/>
                  </w:rPr>
                  <w:t>400mg/L</w:t>
                </w:r>
              </w:p>
            </w:tc>
            <w:tc>
              <w:tcPr>
                <w:tcW w:w="2126" w:type="dxa"/>
                <w:tcBorders>
                  <w:top w:val="single" w:sz="4" w:space="0" w:color="auto"/>
                  <w:left w:val="nil"/>
                  <w:bottom w:val="single" w:sz="4" w:space="0" w:color="auto"/>
                  <w:right w:val="single" w:sz="4" w:space="0" w:color="auto"/>
                </w:tcBorders>
                <w:vAlign w:val="center"/>
              </w:tcPr>
              <w:p w14:paraId="1462A260" w14:textId="77777777" w:rsidR="002D0AE7" w:rsidRDefault="00333EBB">
                <w:pPr>
                  <w:rPr>
                    <w:rFonts w:hint="eastAsia"/>
                    <w:color w:val="000000"/>
                  </w:rPr>
                </w:pPr>
                <w:r>
                  <w:rPr>
                    <w:rFonts w:hint="eastAsia"/>
                    <w:color w:val="000000"/>
                  </w:rPr>
                  <w:t>《水质悬浮物的测定</w:t>
                </w:r>
              </w:p>
              <w:p w14:paraId="26FC0A6D" w14:textId="77777777" w:rsidR="002D0AE7" w:rsidRDefault="00333EBB">
                <w:pPr>
                  <w:rPr>
                    <w:rFonts w:hint="eastAsia"/>
                    <w:color w:val="000000"/>
                  </w:rPr>
                </w:pPr>
                <w:r>
                  <w:rPr>
                    <w:rFonts w:hint="eastAsia"/>
                    <w:color w:val="000000"/>
                  </w:rPr>
                  <w:t>重量法》</w:t>
                </w:r>
                <w:r>
                  <w:rPr>
                    <w:rFonts w:cs="Calibri" w:hint="eastAsia"/>
                    <w:color w:val="000000"/>
                  </w:rPr>
                  <w:t>GB11901-1989</w:t>
                </w:r>
              </w:p>
            </w:tc>
            <w:tc>
              <w:tcPr>
                <w:tcW w:w="2126" w:type="dxa"/>
                <w:tcBorders>
                  <w:top w:val="single" w:sz="4" w:space="0" w:color="auto"/>
                  <w:left w:val="nil"/>
                  <w:bottom w:val="single" w:sz="4" w:space="0" w:color="auto"/>
                  <w:right w:val="single" w:sz="4" w:space="0" w:color="auto"/>
                </w:tcBorders>
                <w:vAlign w:val="center"/>
              </w:tcPr>
              <w:p w14:paraId="2E28D15D" w14:textId="77777777" w:rsidR="002D0AE7" w:rsidRDefault="00333EBB">
                <w:pPr>
                  <w:rPr>
                    <w:rFonts w:hint="eastAsia"/>
                    <w:color w:val="000000"/>
                  </w:rPr>
                </w:pPr>
                <w:r>
                  <w:rPr>
                    <w:rFonts w:hint="eastAsia"/>
                    <w:color w:val="000000"/>
                  </w:rPr>
                  <w:t>电子天平；鼓风干燥箱</w:t>
                </w:r>
              </w:p>
            </w:tc>
            <w:tc>
              <w:tcPr>
                <w:tcW w:w="992" w:type="dxa"/>
                <w:tcBorders>
                  <w:top w:val="single" w:sz="4" w:space="0" w:color="auto"/>
                  <w:left w:val="nil"/>
                  <w:bottom w:val="single" w:sz="4" w:space="0" w:color="auto"/>
                  <w:right w:val="single" w:sz="4" w:space="0" w:color="auto"/>
                </w:tcBorders>
                <w:vAlign w:val="center"/>
              </w:tcPr>
              <w:p w14:paraId="6EF4A77C" w14:textId="77777777" w:rsidR="002D0AE7" w:rsidRDefault="00333EBB">
                <w:pPr>
                  <w:rPr>
                    <w:rFonts w:hint="eastAsia"/>
                    <w:color w:val="000000"/>
                  </w:rPr>
                </w:pPr>
                <w:r>
                  <w:rPr>
                    <w:rFonts w:hint="eastAsia"/>
                    <w:color w:val="000000"/>
                  </w:rPr>
                  <w:t>每季度一次</w:t>
                </w:r>
              </w:p>
            </w:tc>
            <w:tc>
              <w:tcPr>
                <w:tcW w:w="1276" w:type="dxa"/>
                <w:tcBorders>
                  <w:top w:val="single" w:sz="4" w:space="0" w:color="auto"/>
                  <w:left w:val="nil"/>
                  <w:bottom w:val="single" w:sz="4" w:space="0" w:color="auto"/>
                  <w:right w:val="single" w:sz="4" w:space="0" w:color="auto"/>
                </w:tcBorders>
                <w:vAlign w:val="center"/>
              </w:tcPr>
              <w:p w14:paraId="3ACA43EC" w14:textId="77777777" w:rsidR="002D0AE7" w:rsidRDefault="00333EBB">
                <w:pPr>
                  <w:rPr>
                    <w:rFonts w:hint="eastAsia"/>
                    <w:color w:val="000000"/>
                  </w:rPr>
                </w:pPr>
                <w:r>
                  <w:rPr>
                    <w:rFonts w:hint="eastAsia"/>
                    <w:color w:val="000000"/>
                  </w:rPr>
                  <w:t>瞬时采样至少</w:t>
                </w:r>
                <w:r>
                  <w:rPr>
                    <w:rFonts w:cs="Calibri" w:hint="eastAsia"/>
                    <w:color w:val="000000"/>
                  </w:rPr>
                  <w:t>3</w:t>
                </w:r>
                <w:r>
                  <w:rPr>
                    <w:rFonts w:hint="eastAsia"/>
                    <w:color w:val="000000"/>
                  </w:rPr>
                  <w:t>个瞬时样</w:t>
                </w:r>
              </w:p>
            </w:tc>
          </w:tr>
          <w:tr w:rsidR="002D0AE7" w14:paraId="7B74EFCD" w14:textId="77777777">
            <w:trPr>
              <w:trHeight w:val="306"/>
              <w:jc w:val="center"/>
            </w:trPr>
            <w:tc>
              <w:tcPr>
                <w:tcW w:w="846" w:type="dxa"/>
                <w:vMerge/>
                <w:tcBorders>
                  <w:top w:val="nil"/>
                  <w:left w:val="single" w:sz="4" w:space="0" w:color="auto"/>
                  <w:bottom w:val="single" w:sz="4" w:space="0" w:color="auto"/>
                  <w:right w:val="single" w:sz="4" w:space="0" w:color="auto"/>
                </w:tcBorders>
                <w:vAlign w:val="center"/>
              </w:tcPr>
              <w:p w14:paraId="1B4A83C5" w14:textId="77777777" w:rsidR="002D0AE7" w:rsidRDefault="002D0AE7">
                <w:pPr>
                  <w:rPr>
                    <w:rFonts w:ascii="Calibri" w:hAnsi="Calibri"/>
                    <w:color w:val="000000"/>
                    <w:kern w:val="2"/>
                  </w:rPr>
                </w:pPr>
              </w:p>
            </w:tc>
            <w:tc>
              <w:tcPr>
                <w:tcW w:w="1276" w:type="dxa"/>
                <w:tcBorders>
                  <w:top w:val="single" w:sz="4" w:space="0" w:color="auto"/>
                  <w:left w:val="nil"/>
                  <w:bottom w:val="single" w:sz="4" w:space="0" w:color="auto"/>
                  <w:right w:val="single" w:sz="4" w:space="0" w:color="auto"/>
                </w:tcBorders>
                <w:vAlign w:val="center"/>
              </w:tcPr>
              <w:p w14:paraId="14ADD6F0" w14:textId="77777777" w:rsidR="002D0AE7" w:rsidRDefault="00333EBB">
                <w:pPr>
                  <w:rPr>
                    <w:rFonts w:hint="eastAsia"/>
                    <w:color w:val="000000"/>
                  </w:rPr>
                </w:pPr>
                <w:r>
                  <w:rPr>
                    <w:rFonts w:hint="eastAsia"/>
                    <w:color w:val="000000"/>
                  </w:rPr>
                  <w:t>动植物油</w:t>
                </w:r>
              </w:p>
            </w:tc>
            <w:tc>
              <w:tcPr>
                <w:tcW w:w="1134" w:type="dxa"/>
                <w:tcBorders>
                  <w:top w:val="single" w:sz="4" w:space="0" w:color="auto"/>
                  <w:left w:val="nil"/>
                  <w:bottom w:val="single" w:sz="4" w:space="0" w:color="auto"/>
                  <w:right w:val="single" w:sz="4" w:space="0" w:color="auto"/>
                </w:tcBorders>
                <w:vAlign w:val="center"/>
              </w:tcPr>
              <w:p w14:paraId="6C1B7BC5" w14:textId="77777777" w:rsidR="002D0AE7" w:rsidRDefault="00333EBB">
                <w:pPr>
                  <w:rPr>
                    <w:rFonts w:hint="eastAsia"/>
                    <w:color w:val="000000"/>
                  </w:rPr>
                </w:pPr>
                <w:r>
                  <w:rPr>
                    <w:rFonts w:cs="Calibri" w:hint="eastAsia"/>
                    <w:color w:val="000000"/>
                  </w:rPr>
                  <w:t>100mg/L</w:t>
                </w:r>
              </w:p>
            </w:tc>
            <w:tc>
              <w:tcPr>
                <w:tcW w:w="2126" w:type="dxa"/>
                <w:tcBorders>
                  <w:top w:val="single" w:sz="4" w:space="0" w:color="auto"/>
                  <w:left w:val="nil"/>
                  <w:bottom w:val="single" w:sz="4" w:space="0" w:color="auto"/>
                  <w:right w:val="single" w:sz="4" w:space="0" w:color="auto"/>
                </w:tcBorders>
                <w:vAlign w:val="center"/>
              </w:tcPr>
              <w:p w14:paraId="75681273" w14:textId="77777777" w:rsidR="002D0AE7" w:rsidRDefault="00333EBB">
                <w:pPr>
                  <w:rPr>
                    <w:rFonts w:hint="eastAsia"/>
                    <w:color w:val="000000"/>
                  </w:rPr>
                </w:pPr>
                <w:r>
                  <w:rPr>
                    <w:rFonts w:hint="eastAsia"/>
                    <w:color w:val="000000"/>
                  </w:rPr>
                  <w:t>《水质石油类和动植物</w:t>
                </w:r>
              </w:p>
              <w:p w14:paraId="3498B68C" w14:textId="77777777" w:rsidR="002D0AE7" w:rsidRDefault="00333EBB">
                <w:pPr>
                  <w:rPr>
                    <w:rFonts w:hint="eastAsia"/>
                    <w:color w:val="000000"/>
                  </w:rPr>
                </w:pPr>
                <w:r>
                  <w:rPr>
                    <w:rFonts w:hint="eastAsia"/>
                    <w:color w:val="000000"/>
                  </w:rPr>
                  <w:t>油类的测定红外分光光度法》</w:t>
                </w:r>
                <w:r>
                  <w:rPr>
                    <w:rFonts w:cs="Calibri" w:hint="eastAsia"/>
                    <w:color w:val="000000"/>
                  </w:rPr>
                  <w:t>HJ637-2018</w:t>
                </w:r>
              </w:p>
            </w:tc>
            <w:tc>
              <w:tcPr>
                <w:tcW w:w="2126" w:type="dxa"/>
                <w:tcBorders>
                  <w:top w:val="single" w:sz="4" w:space="0" w:color="auto"/>
                  <w:left w:val="nil"/>
                  <w:bottom w:val="single" w:sz="4" w:space="0" w:color="auto"/>
                  <w:right w:val="single" w:sz="4" w:space="0" w:color="auto"/>
                </w:tcBorders>
                <w:vAlign w:val="center"/>
              </w:tcPr>
              <w:p w14:paraId="619FDA92" w14:textId="77777777" w:rsidR="002D0AE7" w:rsidRDefault="00333EBB">
                <w:pPr>
                  <w:rPr>
                    <w:rFonts w:hint="eastAsia"/>
                    <w:color w:val="000000"/>
                  </w:rPr>
                </w:pPr>
                <w:r>
                  <w:rPr>
                    <w:rFonts w:hint="eastAsia"/>
                    <w:color w:val="000000"/>
                  </w:rPr>
                  <w:t>红外分光测油仪</w:t>
                </w:r>
              </w:p>
            </w:tc>
            <w:tc>
              <w:tcPr>
                <w:tcW w:w="992" w:type="dxa"/>
                <w:tcBorders>
                  <w:top w:val="single" w:sz="4" w:space="0" w:color="auto"/>
                  <w:left w:val="nil"/>
                  <w:bottom w:val="single" w:sz="4" w:space="0" w:color="auto"/>
                  <w:right w:val="single" w:sz="4" w:space="0" w:color="auto"/>
                </w:tcBorders>
                <w:vAlign w:val="center"/>
              </w:tcPr>
              <w:p w14:paraId="4C90F857" w14:textId="77777777" w:rsidR="002D0AE7" w:rsidRDefault="00333EBB">
                <w:pPr>
                  <w:rPr>
                    <w:rFonts w:hint="eastAsia"/>
                    <w:color w:val="000000"/>
                  </w:rPr>
                </w:pPr>
                <w:r>
                  <w:rPr>
                    <w:rFonts w:hint="eastAsia"/>
                    <w:color w:val="000000"/>
                  </w:rPr>
                  <w:t>每季度一次</w:t>
                </w:r>
              </w:p>
            </w:tc>
            <w:tc>
              <w:tcPr>
                <w:tcW w:w="1276" w:type="dxa"/>
                <w:tcBorders>
                  <w:top w:val="single" w:sz="4" w:space="0" w:color="auto"/>
                  <w:left w:val="nil"/>
                  <w:bottom w:val="single" w:sz="4" w:space="0" w:color="auto"/>
                  <w:right w:val="single" w:sz="4" w:space="0" w:color="auto"/>
                </w:tcBorders>
                <w:vAlign w:val="center"/>
              </w:tcPr>
              <w:p w14:paraId="7094119F" w14:textId="77777777" w:rsidR="002D0AE7" w:rsidRDefault="00333EBB">
                <w:pPr>
                  <w:rPr>
                    <w:rFonts w:hint="eastAsia"/>
                    <w:color w:val="000000"/>
                  </w:rPr>
                </w:pPr>
                <w:r>
                  <w:rPr>
                    <w:rFonts w:hint="eastAsia"/>
                    <w:color w:val="000000"/>
                  </w:rPr>
                  <w:t>瞬时采样至少</w:t>
                </w:r>
                <w:r>
                  <w:rPr>
                    <w:rFonts w:cs="Calibri" w:hint="eastAsia"/>
                    <w:color w:val="000000"/>
                  </w:rPr>
                  <w:t>3</w:t>
                </w:r>
                <w:r>
                  <w:rPr>
                    <w:rFonts w:hint="eastAsia"/>
                    <w:color w:val="000000"/>
                  </w:rPr>
                  <w:t>个瞬时样</w:t>
                </w:r>
              </w:p>
            </w:tc>
          </w:tr>
          <w:tr w:rsidR="002D0AE7" w14:paraId="53B6A244" w14:textId="77777777">
            <w:trPr>
              <w:trHeight w:val="306"/>
              <w:jc w:val="center"/>
            </w:trPr>
            <w:tc>
              <w:tcPr>
                <w:tcW w:w="846" w:type="dxa"/>
                <w:vMerge/>
                <w:tcBorders>
                  <w:top w:val="nil"/>
                  <w:left w:val="single" w:sz="4" w:space="0" w:color="auto"/>
                  <w:bottom w:val="single" w:sz="4" w:space="0" w:color="auto"/>
                  <w:right w:val="single" w:sz="4" w:space="0" w:color="auto"/>
                </w:tcBorders>
                <w:vAlign w:val="center"/>
              </w:tcPr>
              <w:p w14:paraId="5020932B" w14:textId="77777777" w:rsidR="002D0AE7" w:rsidRDefault="002D0AE7">
                <w:pPr>
                  <w:rPr>
                    <w:rFonts w:ascii="Calibri" w:hAnsi="Calibri"/>
                    <w:color w:val="000000"/>
                    <w:kern w:val="2"/>
                  </w:rPr>
                </w:pPr>
              </w:p>
            </w:tc>
            <w:tc>
              <w:tcPr>
                <w:tcW w:w="1276" w:type="dxa"/>
                <w:tcBorders>
                  <w:top w:val="single" w:sz="4" w:space="0" w:color="auto"/>
                  <w:left w:val="nil"/>
                  <w:bottom w:val="single" w:sz="4" w:space="0" w:color="auto"/>
                  <w:right w:val="single" w:sz="4" w:space="0" w:color="auto"/>
                </w:tcBorders>
                <w:vAlign w:val="center"/>
              </w:tcPr>
              <w:p w14:paraId="0CBAB0AA" w14:textId="77777777" w:rsidR="002D0AE7" w:rsidRDefault="00333EBB">
                <w:pPr>
                  <w:rPr>
                    <w:rFonts w:hint="eastAsia"/>
                    <w:color w:val="000000"/>
                  </w:rPr>
                </w:pPr>
                <w:r>
                  <w:rPr>
                    <w:rFonts w:hint="eastAsia"/>
                    <w:color w:val="000000"/>
                  </w:rPr>
                  <w:t>三氯甲烷</w:t>
                </w:r>
              </w:p>
            </w:tc>
            <w:tc>
              <w:tcPr>
                <w:tcW w:w="1134" w:type="dxa"/>
                <w:tcBorders>
                  <w:top w:val="single" w:sz="4" w:space="0" w:color="auto"/>
                  <w:left w:val="nil"/>
                  <w:bottom w:val="single" w:sz="4" w:space="0" w:color="auto"/>
                  <w:right w:val="single" w:sz="4" w:space="0" w:color="auto"/>
                </w:tcBorders>
                <w:vAlign w:val="center"/>
              </w:tcPr>
              <w:p w14:paraId="71182DA4" w14:textId="77777777" w:rsidR="002D0AE7" w:rsidRDefault="00333EBB">
                <w:pPr>
                  <w:rPr>
                    <w:rFonts w:hint="eastAsia"/>
                    <w:color w:val="000000"/>
                  </w:rPr>
                </w:pPr>
                <w:r>
                  <w:rPr>
                    <w:rFonts w:cs="Calibri" w:hint="eastAsia"/>
                    <w:color w:val="000000"/>
                  </w:rPr>
                  <w:t>1.0mg/L</w:t>
                </w:r>
              </w:p>
            </w:tc>
            <w:tc>
              <w:tcPr>
                <w:tcW w:w="2126" w:type="dxa"/>
                <w:tcBorders>
                  <w:top w:val="single" w:sz="4" w:space="0" w:color="auto"/>
                  <w:left w:val="nil"/>
                  <w:bottom w:val="single" w:sz="4" w:space="0" w:color="auto"/>
                  <w:right w:val="single" w:sz="4" w:space="0" w:color="auto"/>
                </w:tcBorders>
                <w:vAlign w:val="center"/>
              </w:tcPr>
              <w:p w14:paraId="479BDC25" w14:textId="77777777" w:rsidR="002D0AE7" w:rsidRDefault="00333EBB">
                <w:pPr>
                  <w:rPr>
                    <w:rFonts w:hint="eastAsia"/>
                    <w:color w:val="000000"/>
                  </w:rPr>
                </w:pPr>
                <w:r>
                  <w:rPr>
                    <w:rFonts w:hint="eastAsia"/>
                    <w:color w:val="000000"/>
                  </w:rPr>
                  <w:t>《水质挥发性有机物的测定吹扫捕集气相色谱</w:t>
                </w:r>
                <w:r>
                  <w:rPr>
                    <w:rFonts w:cs="Calibri" w:hint="eastAsia"/>
                    <w:color w:val="000000"/>
                  </w:rPr>
                  <w:t>-</w:t>
                </w:r>
                <w:r>
                  <w:rPr>
                    <w:rFonts w:hint="eastAsia"/>
                    <w:color w:val="000000"/>
                  </w:rPr>
                  <w:t>质谱法》</w:t>
                </w:r>
                <w:r>
                  <w:rPr>
                    <w:rFonts w:cs="Calibri" w:hint="eastAsia"/>
                    <w:color w:val="000000"/>
                  </w:rPr>
                  <w:t>HJ639-2012</w:t>
                </w:r>
              </w:p>
            </w:tc>
            <w:tc>
              <w:tcPr>
                <w:tcW w:w="2126" w:type="dxa"/>
                <w:tcBorders>
                  <w:top w:val="single" w:sz="4" w:space="0" w:color="auto"/>
                  <w:left w:val="nil"/>
                  <w:bottom w:val="single" w:sz="4" w:space="0" w:color="auto"/>
                  <w:right w:val="single" w:sz="4" w:space="0" w:color="auto"/>
                </w:tcBorders>
                <w:vAlign w:val="center"/>
              </w:tcPr>
              <w:p w14:paraId="4159631D" w14:textId="77777777" w:rsidR="002D0AE7" w:rsidRDefault="00333EBB">
                <w:pPr>
                  <w:rPr>
                    <w:rFonts w:hint="eastAsia"/>
                    <w:color w:val="000000"/>
                  </w:rPr>
                </w:pPr>
                <w:r>
                  <w:rPr>
                    <w:rFonts w:hint="eastAsia"/>
                    <w:color w:val="000000"/>
                  </w:rPr>
                  <w:t>气质联用仪</w:t>
                </w:r>
              </w:p>
            </w:tc>
            <w:tc>
              <w:tcPr>
                <w:tcW w:w="992" w:type="dxa"/>
                <w:tcBorders>
                  <w:top w:val="single" w:sz="4" w:space="0" w:color="auto"/>
                  <w:left w:val="nil"/>
                  <w:bottom w:val="single" w:sz="4" w:space="0" w:color="auto"/>
                  <w:right w:val="single" w:sz="4" w:space="0" w:color="auto"/>
                </w:tcBorders>
                <w:vAlign w:val="center"/>
              </w:tcPr>
              <w:p w14:paraId="1D3C2A0D" w14:textId="77777777" w:rsidR="002D0AE7" w:rsidRDefault="00333EBB">
                <w:pPr>
                  <w:rPr>
                    <w:rFonts w:hint="eastAsia"/>
                    <w:color w:val="000000"/>
                  </w:rPr>
                </w:pPr>
                <w:r>
                  <w:rPr>
                    <w:rFonts w:hint="eastAsia"/>
                    <w:color w:val="000000"/>
                  </w:rPr>
                  <w:t>每季度一次</w:t>
                </w:r>
              </w:p>
            </w:tc>
            <w:tc>
              <w:tcPr>
                <w:tcW w:w="1276" w:type="dxa"/>
                <w:tcBorders>
                  <w:top w:val="single" w:sz="4" w:space="0" w:color="auto"/>
                  <w:left w:val="nil"/>
                  <w:bottom w:val="single" w:sz="4" w:space="0" w:color="auto"/>
                  <w:right w:val="single" w:sz="4" w:space="0" w:color="auto"/>
                </w:tcBorders>
                <w:vAlign w:val="center"/>
              </w:tcPr>
              <w:p w14:paraId="2825F862" w14:textId="77777777" w:rsidR="002D0AE7" w:rsidRDefault="00333EBB">
                <w:pPr>
                  <w:rPr>
                    <w:rFonts w:hint="eastAsia"/>
                    <w:color w:val="000000"/>
                  </w:rPr>
                </w:pPr>
                <w:r>
                  <w:rPr>
                    <w:rFonts w:hint="eastAsia"/>
                    <w:color w:val="000000"/>
                  </w:rPr>
                  <w:t>瞬时采样至少</w:t>
                </w:r>
                <w:r>
                  <w:rPr>
                    <w:rFonts w:cs="Calibri" w:hint="eastAsia"/>
                    <w:color w:val="000000"/>
                  </w:rPr>
                  <w:t>3</w:t>
                </w:r>
                <w:r>
                  <w:rPr>
                    <w:rFonts w:hint="eastAsia"/>
                    <w:color w:val="000000"/>
                  </w:rPr>
                  <w:t>个瞬时样</w:t>
                </w:r>
              </w:p>
            </w:tc>
          </w:tr>
          <w:tr w:rsidR="002D0AE7" w14:paraId="07648458" w14:textId="77777777">
            <w:trPr>
              <w:trHeight w:val="306"/>
              <w:jc w:val="center"/>
            </w:trPr>
            <w:tc>
              <w:tcPr>
                <w:tcW w:w="846" w:type="dxa"/>
                <w:vMerge/>
                <w:tcBorders>
                  <w:top w:val="nil"/>
                  <w:left w:val="single" w:sz="4" w:space="0" w:color="auto"/>
                  <w:bottom w:val="single" w:sz="4" w:space="0" w:color="auto"/>
                  <w:right w:val="single" w:sz="4" w:space="0" w:color="auto"/>
                </w:tcBorders>
                <w:vAlign w:val="center"/>
              </w:tcPr>
              <w:p w14:paraId="207BDC4D" w14:textId="77777777" w:rsidR="002D0AE7" w:rsidRDefault="002D0AE7">
                <w:pPr>
                  <w:rPr>
                    <w:rFonts w:ascii="Calibri" w:hAnsi="Calibri"/>
                    <w:color w:val="000000"/>
                    <w:kern w:val="2"/>
                  </w:rPr>
                </w:pPr>
              </w:p>
            </w:tc>
            <w:tc>
              <w:tcPr>
                <w:tcW w:w="1276" w:type="dxa"/>
                <w:tcBorders>
                  <w:top w:val="single" w:sz="4" w:space="0" w:color="auto"/>
                  <w:left w:val="nil"/>
                  <w:bottom w:val="single" w:sz="4" w:space="0" w:color="auto"/>
                  <w:right w:val="single" w:sz="4" w:space="0" w:color="auto"/>
                </w:tcBorders>
                <w:vAlign w:val="center"/>
              </w:tcPr>
              <w:p w14:paraId="4ABF4865" w14:textId="77777777" w:rsidR="002D0AE7" w:rsidRDefault="00333EBB">
                <w:pPr>
                  <w:rPr>
                    <w:rFonts w:hint="eastAsia"/>
                    <w:color w:val="000000"/>
                  </w:rPr>
                </w:pPr>
                <w:r>
                  <w:rPr>
                    <w:rFonts w:hint="eastAsia"/>
                    <w:color w:val="000000"/>
                  </w:rPr>
                  <w:t>可吸附有机卤化物</w:t>
                </w:r>
              </w:p>
            </w:tc>
            <w:tc>
              <w:tcPr>
                <w:tcW w:w="1134" w:type="dxa"/>
                <w:tcBorders>
                  <w:top w:val="single" w:sz="4" w:space="0" w:color="auto"/>
                  <w:left w:val="nil"/>
                  <w:bottom w:val="single" w:sz="4" w:space="0" w:color="auto"/>
                  <w:right w:val="single" w:sz="4" w:space="0" w:color="auto"/>
                </w:tcBorders>
                <w:vAlign w:val="center"/>
              </w:tcPr>
              <w:p w14:paraId="27491D0A" w14:textId="77777777" w:rsidR="002D0AE7" w:rsidRDefault="00333EBB">
                <w:pPr>
                  <w:rPr>
                    <w:rFonts w:hint="eastAsia"/>
                    <w:color w:val="000000"/>
                  </w:rPr>
                </w:pPr>
                <w:r>
                  <w:rPr>
                    <w:rFonts w:cs="Calibri" w:hint="eastAsia"/>
                    <w:color w:val="000000"/>
                  </w:rPr>
                  <w:t>8mg/L</w:t>
                </w:r>
              </w:p>
            </w:tc>
            <w:tc>
              <w:tcPr>
                <w:tcW w:w="2126" w:type="dxa"/>
                <w:tcBorders>
                  <w:top w:val="single" w:sz="4" w:space="0" w:color="auto"/>
                  <w:left w:val="nil"/>
                  <w:bottom w:val="single" w:sz="4" w:space="0" w:color="auto"/>
                  <w:right w:val="single" w:sz="4" w:space="0" w:color="auto"/>
                </w:tcBorders>
                <w:vAlign w:val="center"/>
              </w:tcPr>
              <w:p w14:paraId="3AEBD403" w14:textId="77777777" w:rsidR="002D0AE7" w:rsidRDefault="00333EBB">
                <w:pPr>
                  <w:rPr>
                    <w:rFonts w:hint="eastAsia"/>
                    <w:color w:val="000000"/>
                  </w:rPr>
                </w:pPr>
                <w:r>
                  <w:rPr>
                    <w:rFonts w:hint="eastAsia"/>
                    <w:color w:val="000000"/>
                  </w:rPr>
                  <w:t>《水质可吸附有机卤素（</w:t>
                </w:r>
                <w:r>
                  <w:rPr>
                    <w:rFonts w:cs="Calibri" w:hint="eastAsia"/>
                    <w:color w:val="000000"/>
                  </w:rPr>
                  <w:t>AOX</w:t>
                </w:r>
                <w:r>
                  <w:rPr>
                    <w:rFonts w:hint="eastAsia"/>
                    <w:color w:val="000000"/>
                  </w:rPr>
                  <w:t>）的测定离子色谱法》</w:t>
                </w:r>
                <w:r>
                  <w:rPr>
                    <w:rFonts w:cs="Calibri" w:hint="eastAsia"/>
                    <w:color w:val="000000"/>
                  </w:rPr>
                  <w:t>HJ/T83-2001</w:t>
                </w:r>
              </w:p>
            </w:tc>
            <w:tc>
              <w:tcPr>
                <w:tcW w:w="2126" w:type="dxa"/>
                <w:tcBorders>
                  <w:top w:val="single" w:sz="4" w:space="0" w:color="auto"/>
                  <w:left w:val="nil"/>
                  <w:bottom w:val="single" w:sz="4" w:space="0" w:color="auto"/>
                  <w:right w:val="single" w:sz="4" w:space="0" w:color="auto"/>
                </w:tcBorders>
                <w:vAlign w:val="center"/>
              </w:tcPr>
              <w:p w14:paraId="04314698" w14:textId="77777777" w:rsidR="002D0AE7" w:rsidRDefault="00333EBB">
                <w:pPr>
                  <w:rPr>
                    <w:rFonts w:hint="eastAsia"/>
                    <w:color w:val="000000"/>
                  </w:rPr>
                </w:pPr>
                <w:r>
                  <w:rPr>
                    <w:rFonts w:hint="eastAsia"/>
                    <w:color w:val="000000"/>
                  </w:rPr>
                  <w:t>离子色谱仪</w:t>
                </w:r>
              </w:p>
            </w:tc>
            <w:tc>
              <w:tcPr>
                <w:tcW w:w="992" w:type="dxa"/>
                <w:tcBorders>
                  <w:top w:val="single" w:sz="4" w:space="0" w:color="auto"/>
                  <w:left w:val="nil"/>
                  <w:bottom w:val="single" w:sz="4" w:space="0" w:color="auto"/>
                  <w:right w:val="single" w:sz="4" w:space="0" w:color="auto"/>
                </w:tcBorders>
                <w:vAlign w:val="center"/>
              </w:tcPr>
              <w:p w14:paraId="716DDDFA" w14:textId="77777777" w:rsidR="002D0AE7" w:rsidRDefault="00333EBB">
                <w:pPr>
                  <w:rPr>
                    <w:rFonts w:hint="eastAsia"/>
                    <w:color w:val="000000"/>
                  </w:rPr>
                </w:pPr>
                <w:r>
                  <w:rPr>
                    <w:rFonts w:hint="eastAsia"/>
                    <w:color w:val="000000"/>
                  </w:rPr>
                  <w:t>每季度一次</w:t>
                </w:r>
              </w:p>
            </w:tc>
            <w:tc>
              <w:tcPr>
                <w:tcW w:w="1276" w:type="dxa"/>
                <w:tcBorders>
                  <w:top w:val="single" w:sz="4" w:space="0" w:color="auto"/>
                  <w:left w:val="nil"/>
                  <w:bottom w:val="single" w:sz="4" w:space="0" w:color="auto"/>
                  <w:right w:val="single" w:sz="4" w:space="0" w:color="auto"/>
                </w:tcBorders>
                <w:vAlign w:val="center"/>
              </w:tcPr>
              <w:p w14:paraId="1EE9B8D5" w14:textId="77777777" w:rsidR="002D0AE7" w:rsidRDefault="00333EBB">
                <w:pPr>
                  <w:rPr>
                    <w:rFonts w:hint="eastAsia"/>
                    <w:color w:val="000000"/>
                  </w:rPr>
                </w:pPr>
                <w:r>
                  <w:rPr>
                    <w:rFonts w:hint="eastAsia"/>
                    <w:color w:val="000000"/>
                  </w:rPr>
                  <w:t>瞬时采样至少</w:t>
                </w:r>
                <w:r>
                  <w:rPr>
                    <w:rFonts w:cs="Calibri" w:hint="eastAsia"/>
                    <w:color w:val="000000"/>
                  </w:rPr>
                  <w:t>3</w:t>
                </w:r>
                <w:r>
                  <w:rPr>
                    <w:rFonts w:hint="eastAsia"/>
                    <w:color w:val="000000"/>
                  </w:rPr>
                  <w:t>个瞬时样</w:t>
                </w:r>
              </w:p>
            </w:tc>
          </w:tr>
          <w:tr w:rsidR="002D0AE7" w14:paraId="50F6DFC3" w14:textId="77777777">
            <w:trPr>
              <w:trHeight w:val="306"/>
              <w:jc w:val="center"/>
            </w:trPr>
            <w:tc>
              <w:tcPr>
                <w:tcW w:w="846" w:type="dxa"/>
                <w:vMerge/>
                <w:tcBorders>
                  <w:top w:val="nil"/>
                  <w:left w:val="single" w:sz="4" w:space="0" w:color="auto"/>
                  <w:bottom w:val="single" w:sz="4" w:space="0" w:color="auto"/>
                  <w:right w:val="single" w:sz="4" w:space="0" w:color="auto"/>
                </w:tcBorders>
                <w:vAlign w:val="center"/>
              </w:tcPr>
              <w:p w14:paraId="3635E9F4" w14:textId="77777777" w:rsidR="002D0AE7" w:rsidRDefault="002D0AE7">
                <w:pPr>
                  <w:rPr>
                    <w:rFonts w:ascii="Calibri" w:hAnsi="Calibri"/>
                    <w:color w:val="000000"/>
                    <w:kern w:val="2"/>
                  </w:rPr>
                </w:pPr>
              </w:p>
            </w:tc>
            <w:tc>
              <w:tcPr>
                <w:tcW w:w="1276" w:type="dxa"/>
                <w:tcBorders>
                  <w:top w:val="single" w:sz="4" w:space="0" w:color="auto"/>
                  <w:left w:val="nil"/>
                  <w:bottom w:val="single" w:sz="4" w:space="0" w:color="auto"/>
                  <w:right w:val="single" w:sz="4" w:space="0" w:color="auto"/>
                </w:tcBorders>
                <w:vAlign w:val="center"/>
              </w:tcPr>
              <w:p w14:paraId="4D5D0224" w14:textId="77777777" w:rsidR="002D0AE7" w:rsidRDefault="00333EBB">
                <w:pPr>
                  <w:rPr>
                    <w:rFonts w:hint="eastAsia"/>
                    <w:color w:val="000000"/>
                  </w:rPr>
                </w:pPr>
                <w:r>
                  <w:rPr>
                    <w:rFonts w:hint="eastAsia"/>
                    <w:color w:val="000000"/>
                  </w:rPr>
                  <w:t>总有机碳</w:t>
                </w:r>
              </w:p>
            </w:tc>
            <w:tc>
              <w:tcPr>
                <w:tcW w:w="1134" w:type="dxa"/>
                <w:tcBorders>
                  <w:top w:val="single" w:sz="4" w:space="0" w:color="auto"/>
                  <w:left w:val="nil"/>
                  <w:bottom w:val="single" w:sz="4" w:space="0" w:color="auto"/>
                  <w:right w:val="single" w:sz="4" w:space="0" w:color="auto"/>
                </w:tcBorders>
                <w:vAlign w:val="center"/>
              </w:tcPr>
              <w:p w14:paraId="04280A61" w14:textId="77777777" w:rsidR="002D0AE7" w:rsidRDefault="00333EBB">
                <w:pPr>
                  <w:rPr>
                    <w:rFonts w:hint="eastAsia"/>
                    <w:color w:val="000000"/>
                  </w:rPr>
                </w:pPr>
                <w:r>
                  <w:rPr>
                    <w:rFonts w:cs="Calibri" w:hint="eastAsia"/>
                    <w:color w:val="000000"/>
                  </w:rPr>
                  <w:t>150mg/L</w:t>
                </w:r>
              </w:p>
            </w:tc>
            <w:tc>
              <w:tcPr>
                <w:tcW w:w="2126" w:type="dxa"/>
                <w:tcBorders>
                  <w:top w:val="single" w:sz="4" w:space="0" w:color="auto"/>
                  <w:left w:val="nil"/>
                  <w:bottom w:val="single" w:sz="4" w:space="0" w:color="auto"/>
                  <w:right w:val="single" w:sz="4" w:space="0" w:color="auto"/>
                </w:tcBorders>
                <w:vAlign w:val="center"/>
              </w:tcPr>
              <w:p w14:paraId="0F22E2EA" w14:textId="77777777" w:rsidR="002D0AE7" w:rsidRDefault="00333EBB">
                <w:pPr>
                  <w:rPr>
                    <w:rFonts w:hint="eastAsia"/>
                    <w:color w:val="000000"/>
                  </w:rPr>
                </w:pPr>
                <w:r>
                  <w:rPr>
                    <w:rFonts w:hint="eastAsia"/>
                    <w:color w:val="000000"/>
                  </w:rPr>
                  <w:t>《水质总有机碳的测定燃烧氧化</w:t>
                </w:r>
                <w:r>
                  <w:rPr>
                    <w:rFonts w:cs="Calibri" w:hint="eastAsia"/>
                    <w:color w:val="000000"/>
                  </w:rPr>
                  <w:t>-</w:t>
                </w:r>
                <w:r>
                  <w:rPr>
                    <w:rFonts w:hint="eastAsia"/>
                    <w:color w:val="000000"/>
                  </w:rPr>
                  <w:t>非分散红外吸收法》</w:t>
                </w:r>
                <w:r>
                  <w:rPr>
                    <w:rFonts w:cs="Calibri" w:hint="eastAsia"/>
                    <w:color w:val="000000"/>
                  </w:rPr>
                  <w:t>HJ501-2009</w:t>
                </w:r>
              </w:p>
            </w:tc>
            <w:tc>
              <w:tcPr>
                <w:tcW w:w="2126" w:type="dxa"/>
                <w:tcBorders>
                  <w:top w:val="single" w:sz="4" w:space="0" w:color="auto"/>
                  <w:left w:val="nil"/>
                  <w:bottom w:val="single" w:sz="4" w:space="0" w:color="auto"/>
                  <w:right w:val="single" w:sz="4" w:space="0" w:color="auto"/>
                </w:tcBorders>
                <w:vAlign w:val="center"/>
              </w:tcPr>
              <w:p w14:paraId="4867DCE9" w14:textId="77777777" w:rsidR="002D0AE7" w:rsidRDefault="00333EBB">
                <w:pPr>
                  <w:rPr>
                    <w:rFonts w:hint="eastAsia"/>
                    <w:color w:val="000000"/>
                  </w:rPr>
                </w:pPr>
                <w:r>
                  <w:rPr>
                    <w:rFonts w:hint="eastAsia"/>
                    <w:color w:val="000000"/>
                  </w:rPr>
                  <w:t>总有机碳（</w:t>
                </w:r>
                <w:r>
                  <w:rPr>
                    <w:rFonts w:cs="Calibri" w:hint="eastAsia"/>
                    <w:color w:val="000000"/>
                  </w:rPr>
                  <w:t>TOC</w:t>
                </w:r>
                <w:r>
                  <w:rPr>
                    <w:rFonts w:hint="eastAsia"/>
                    <w:color w:val="000000"/>
                  </w:rPr>
                  <w:t>）分析仪</w:t>
                </w:r>
              </w:p>
            </w:tc>
            <w:tc>
              <w:tcPr>
                <w:tcW w:w="992" w:type="dxa"/>
                <w:tcBorders>
                  <w:top w:val="single" w:sz="4" w:space="0" w:color="auto"/>
                  <w:left w:val="nil"/>
                  <w:bottom w:val="single" w:sz="4" w:space="0" w:color="auto"/>
                  <w:right w:val="single" w:sz="4" w:space="0" w:color="auto"/>
                </w:tcBorders>
                <w:vAlign w:val="center"/>
              </w:tcPr>
              <w:p w14:paraId="5392AF6F" w14:textId="77777777" w:rsidR="002D0AE7" w:rsidRDefault="00333EBB">
                <w:pPr>
                  <w:rPr>
                    <w:rFonts w:hint="eastAsia"/>
                    <w:color w:val="000000"/>
                  </w:rPr>
                </w:pPr>
                <w:r>
                  <w:rPr>
                    <w:rFonts w:hint="eastAsia"/>
                    <w:color w:val="000000"/>
                  </w:rPr>
                  <w:t>每季度一次</w:t>
                </w:r>
              </w:p>
            </w:tc>
            <w:tc>
              <w:tcPr>
                <w:tcW w:w="1276" w:type="dxa"/>
                <w:tcBorders>
                  <w:top w:val="single" w:sz="4" w:space="0" w:color="auto"/>
                  <w:left w:val="nil"/>
                  <w:bottom w:val="single" w:sz="4" w:space="0" w:color="auto"/>
                  <w:right w:val="single" w:sz="4" w:space="0" w:color="auto"/>
                </w:tcBorders>
                <w:vAlign w:val="center"/>
              </w:tcPr>
              <w:p w14:paraId="3D611888" w14:textId="77777777" w:rsidR="002D0AE7" w:rsidRDefault="00333EBB">
                <w:pPr>
                  <w:rPr>
                    <w:rFonts w:hint="eastAsia"/>
                    <w:color w:val="000000"/>
                  </w:rPr>
                </w:pPr>
                <w:r>
                  <w:rPr>
                    <w:rFonts w:hint="eastAsia"/>
                    <w:color w:val="000000"/>
                  </w:rPr>
                  <w:t>瞬时采样至少</w:t>
                </w:r>
                <w:r>
                  <w:rPr>
                    <w:rFonts w:cs="Calibri" w:hint="eastAsia"/>
                    <w:color w:val="000000"/>
                  </w:rPr>
                  <w:t>3</w:t>
                </w:r>
                <w:r>
                  <w:rPr>
                    <w:rFonts w:hint="eastAsia"/>
                    <w:color w:val="000000"/>
                  </w:rPr>
                  <w:t>个瞬时样</w:t>
                </w:r>
              </w:p>
            </w:tc>
          </w:tr>
          <w:tr w:rsidR="002D0AE7" w14:paraId="2D76938E" w14:textId="77777777">
            <w:trPr>
              <w:trHeight w:val="90"/>
              <w:jc w:val="center"/>
            </w:trPr>
            <w:tc>
              <w:tcPr>
                <w:tcW w:w="846" w:type="dxa"/>
                <w:vMerge/>
                <w:tcBorders>
                  <w:top w:val="nil"/>
                  <w:left w:val="single" w:sz="4" w:space="0" w:color="auto"/>
                  <w:bottom w:val="single" w:sz="4" w:space="0" w:color="auto"/>
                  <w:right w:val="single" w:sz="4" w:space="0" w:color="auto"/>
                </w:tcBorders>
                <w:vAlign w:val="center"/>
              </w:tcPr>
              <w:p w14:paraId="29F32B2F" w14:textId="77777777" w:rsidR="002D0AE7" w:rsidRDefault="002D0AE7">
                <w:pPr>
                  <w:rPr>
                    <w:rFonts w:ascii="Calibri" w:hAnsi="Calibri"/>
                    <w:color w:val="000000"/>
                    <w:kern w:val="2"/>
                  </w:rPr>
                </w:pPr>
              </w:p>
            </w:tc>
            <w:tc>
              <w:tcPr>
                <w:tcW w:w="1276" w:type="dxa"/>
                <w:tcBorders>
                  <w:top w:val="single" w:sz="4" w:space="0" w:color="auto"/>
                  <w:left w:val="nil"/>
                  <w:bottom w:val="single" w:sz="4" w:space="0" w:color="auto"/>
                  <w:right w:val="single" w:sz="4" w:space="0" w:color="auto"/>
                </w:tcBorders>
                <w:vAlign w:val="center"/>
              </w:tcPr>
              <w:p w14:paraId="70CC80C3" w14:textId="77777777" w:rsidR="002D0AE7" w:rsidRDefault="00333EBB">
                <w:pPr>
                  <w:rPr>
                    <w:rFonts w:hint="eastAsia"/>
                    <w:color w:val="000000"/>
                  </w:rPr>
                </w:pPr>
                <w:r>
                  <w:rPr>
                    <w:rFonts w:hint="eastAsia"/>
                    <w:color w:val="000000"/>
                  </w:rPr>
                  <w:t>甲苯</w:t>
                </w:r>
              </w:p>
            </w:tc>
            <w:tc>
              <w:tcPr>
                <w:tcW w:w="1134" w:type="dxa"/>
                <w:tcBorders>
                  <w:top w:val="single" w:sz="4" w:space="0" w:color="auto"/>
                  <w:left w:val="nil"/>
                  <w:bottom w:val="single" w:sz="4" w:space="0" w:color="auto"/>
                  <w:right w:val="single" w:sz="4" w:space="0" w:color="auto"/>
                </w:tcBorders>
                <w:vAlign w:val="center"/>
              </w:tcPr>
              <w:p w14:paraId="7074BF1C" w14:textId="77777777" w:rsidR="002D0AE7" w:rsidRDefault="00333EBB">
                <w:pPr>
                  <w:rPr>
                    <w:rFonts w:hint="eastAsia"/>
                    <w:color w:val="000000"/>
                  </w:rPr>
                </w:pPr>
                <w:r>
                  <w:rPr>
                    <w:rFonts w:cs="Calibri" w:hint="eastAsia"/>
                    <w:color w:val="000000"/>
                  </w:rPr>
                  <w:t>0.5mg/L</w:t>
                </w:r>
              </w:p>
            </w:tc>
            <w:tc>
              <w:tcPr>
                <w:tcW w:w="2126" w:type="dxa"/>
                <w:tcBorders>
                  <w:top w:val="single" w:sz="4" w:space="0" w:color="auto"/>
                  <w:left w:val="nil"/>
                  <w:bottom w:val="single" w:sz="4" w:space="0" w:color="auto"/>
                  <w:right w:val="single" w:sz="4" w:space="0" w:color="auto"/>
                </w:tcBorders>
                <w:vAlign w:val="center"/>
              </w:tcPr>
              <w:p w14:paraId="49D48231" w14:textId="77777777" w:rsidR="002D0AE7" w:rsidRDefault="00333EBB">
                <w:pPr>
                  <w:rPr>
                    <w:rFonts w:hint="eastAsia"/>
                    <w:color w:val="000000"/>
                  </w:rPr>
                </w:pPr>
                <w:r>
                  <w:rPr>
                    <w:rFonts w:hint="eastAsia"/>
                    <w:color w:val="000000"/>
                  </w:rPr>
                  <w:t>《水质苯系物的测定顶空</w:t>
                </w:r>
                <w:r>
                  <w:rPr>
                    <w:rFonts w:cs="Calibri" w:hint="eastAsia"/>
                    <w:color w:val="000000"/>
                  </w:rPr>
                  <w:t>/</w:t>
                </w:r>
                <w:r>
                  <w:rPr>
                    <w:rFonts w:hint="eastAsia"/>
                    <w:color w:val="000000"/>
                  </w:rPr>
                  <w:t>气相色谱法》</w:t>
                </w:r>
                <w:r>
                  <w:rPr>
                    <w:rFonts w:cs="Calibri" w:hint="eastAsia"/>
                    <w:color w:val="000000"/>
                  </w:rPr>
                  <w:t>HJ1067-2019</w:t>
                </w:r>
              </w:p>
            </w:tc>
            <w:tc>
              <w:tcPr>
                <w:tcW w:w="2126" w:type="dxa"/>
                <w:tcBorders>
                  <w:top w:val="single" w:sz="4" w:space="0" w:color="auto"/>
                  <w:left w:val="nil"/>
                  <w:bottom w:val="single" w:sz="4" w:space="0" w:color="auto"/>
                  <w:right w:val="single" w:sz="4" w:space="0" w:color="auto"/>
                </w:tcBorders>
                <w:vAlign w:val="center"/>
              </w:tcPr>
              <w:p w14:paraId="789376BA" w14:textId="77777777" w:rsidR="002D0AE7" w:rsidRDefault="00333EBB">
                <w:pPr>
                  <w:rPr>
                    <w:rFonts w:hint="eastAsia"/>
                    <w:color w:val="000000"/>
                  </w:rPr>
                </w:pPr>
                <w:r>
                  <w:rPr>
                    <w:rFonts w:hint="eastAsia"/>
                    <w:color w:val="000000"/>
                  </w:rPr>
                  <w:t>气相色谱仪</w:t>
                </w:r>
              </w:p>
            </w:tc>
            <w:tc>
              <w:tcPr>
                <w:tcW w:w="992" w:type="dxa"/>
                <w:tcBorders>
                  <w:top w:val="single" w:sz="4" w:space="0" w:color="auto"/>
                  <w:left w:val="nil"/>
                  <w:bottom w:val="single" w:sz="4" w:space="0" w:color="auto"/>
                  <w:right w:val="single" w:sz="4" w:space="0" w:color="auto"/>
                </w:tcBorders>
                <w:vAlign w:val="center"/>
              </w:tcPr>
              <w:p w14:paraId="4C3EB11C" w14:textId="77777777" w:rsidR="002D0AE7" w:rsidRDefault="00333EBB">
                <w:pPr>
                  <w:rPr>
                    <w:rFonts w:hint="eastAsia"/>
                    <w:color w:val="000000"/>
                  </w:rPr>
                </w:pPr>
                <w:r>
                  <w:rPr>
                    <w:rFonts w:hint="eastAsia"/>
                    <w:color w:val="000000"/>
                  </w:rPr>
                  <w:t>每季度一次</w:t>
                </w:r>
              </w:p>
            </w:tc>
            <w:tc>
              <w:tcPr>
                <w:tcW w:w="1276" w:type="dxa"/>
                <w:tcBorders>
                  <w:top w:val="single" w:sz="4" w:space="0" w:color="auto"/>
                  <w:left w:val="nil"/>
                  <w:bottom w:val="single" w:sz="4" w:space="0" w:color="auto"/>
                  <w:right w:val="single" w:sz="4" w:space="0" w:color="auto"/>
                </w:tcBorders>
                <w:vAlign w:val="center"/>
              </w:tcPr>
              <w:p w14:paraId="1C1D5C9C" w14:textId="77777777" w:rsidR="002D0AE7" w:rsidRDefault="00333EBB">
                <w:pPr>
                  <w:rPr>
                    <w:rFonts w:hint="eastAsia"/>
                    <w:color w:val="000000"/>
                  </w:rPr>
                </w:pPr>
                <w:r>
                  <w:rPr>
                    <w:rFonts w:hint="eastAsia"/>
                    <w:color w:val="000000"/>
                  </w:rPr>
                  <w:t>瞬时采样至少</w:t>
                </w:r>
                <w:r>
                  <w:rPr>
                    <w:rFonts w:cs="Calibri" w:hint="eastAsia"/>
                    <w:color w:val="000000"/>
                  </w:rPr>
                  <w:t>3</w:t>
                </w:r>
                <w:r>
                  <w:rPr>
                    <w:rFonts w:hint="eastAsia"/>
                    <w:color w:val="000000"/>
                  </w:rPr>
                  <w:t>个瞬时样</w:t>
                </w:r>
              </w:p>
            </w:tc>
          </w:tr>
          <w:tr w:rsidR="002D0AE7" w14:paraId="5587A133" w14:textId="77777777">
            <w:trPr>
              <w:trHeight w:val="306"/>
              <w:jc w:val="center"/>
            </w:trPr>
            <w:tc>
              <w:tcPr>
                <w:tcW w:w="846" w:type="dxa"/>
                <w:vMerge/>
                <w:tcBorders>
                  <w:top w:val="nil"/>
                  <w:left w:val="single" w:sz="4" w:space="0" w:color="auto"/>
                  <w:bottom w:val="single" w:sz="4" w:space="0" w:color="auto"/>
                  <w:right w:val="single" w:sz="4" w:space="0" w:color="auto"/>
                </w:tcBorders>
                <w:vAlign w:val="center"/>
              </w:tcPr>
              <w:p w14:paraId="390781FB" w14:textId="77777777" w:rsidR="002D0AE7" w:rsidRDefault="002D0AE7">
                <w:pPr>
                  <w:rPr>
                    <w:rFonts w:ascii="Calibri" w:hAnsi="Calibri"/>
                    <w:color w:val="000000"/>
                    <w:kern w:val="2"/>
                  </w:rPr>
                </w:pPr>
              </w:p>
            </w:tc>
            <w:tc>
              <w:tcPr>
                <w:tcW w:w="1276" w:type="dxa"/>
                <w:tcBorders>
                  <w:top w:val="single" w:sz="4" w:space="0" w:color="auto"/>
                  <w:left w:val="nil"/>
                  <w:bottom w:val="single" w:sz="4" w:space="0" w:color="auto"/>
                  <w:right w:val="single" w:sz="4" w:space="0" w:color="auto"/>
                </w:tcBorders>
                <w:vAlign w:val="center"/>
              </w:tcPr>
              <w:p w14:paraId="70125A64" w14:textId="77777777" w:rsidR="002D0AE7" w:rsidRDefault="00333EBB">
                <w:pPr>
                  <w:rPr>
                    <w:rFonts w:hint="eastAsia"/>
                    <w:color w:val="000000"/>
                  </w:rPr>
                </w:pPr>
                <w:r>
                  <w:rPr>
                    <w:rFonts w:hint="eastAsia"/>
                    <w:color w:val="000000"/>
                  </w:rPr>
                  <w:t>氟化物</w:t>
                </w:r>
              </w:p>
            </w:tc>
            <w:tc>
              <w:tcPr>
                <w:tcW w:w="1134" w:type="dxa"/>
                <w:tcBorders>
                  <w:top w:val="single" w:sz="4" w:space="0" w:color="auto"/>
                  <w:left w:val="nil"/>
                  <w:bottom w:val="single" w:sz="4" w:space="0" w:color="auto"/>
                  <w:right w:val="single" w:sz="4" w:space="0" w:color="auto"/>
                </w:tcBorders>
                <w:vAlign w:val="center"/>
              </w:tcPr>
              <w:p w14:paraId="0B2290DD" w14:textId="77777777" w:rsidR="002D0AE7" w:rsidRDefault="00333EBB">
                <w:pPr>
                  <w:rPr>
                    <w:rFonts w:hint="eastAsia"/>
                    <w:color w:val="000000"/>
                  </w:rPr>
                </w:pPr>
                <w:r>
                  <w:rPr>
                    <w:rFonts w:cs="Calibri" w:hint="eastAsia"/>
                    <w:color w:val="000000"/>
                  </w:rPr>
                  <w:t>20mg/L</w:t>
                </w:r>
              </w:p>
            </w:tc>
            <w:tc>
              <w:tcPr>
                <w:tcW w:w="2126" w:type="dxa"/>
                <w:tcBorders>
                  <w:top w:val="single" w:sz="4" w:space="0" w:color="auto"/>
                  <w:left w:val="nil"/>
                  <w:bottom w:val="single" w:sz="4" w:space="0" w:color="auto"/>
                  <w:right w:val="single" w:sz="4" w:space="0" w:color="auto"/>
                </w:tcBorders>
                <w:vAlign w:val="center"/>
              </w:tcPr>
              <w:p w14:paraId="481C1C5E" w14:textId="77777777" w:rsidR="002D0AE7" w:rsidRDefault="00333EBB">
                <w:pPr>
                  <w:rPr>
                    <w:rFonts w:hint="eastAsia"/>
                    <w:color w:val="000000"/>
                  </w:rPr>
                </w:pPr>
                <w:r>
                  <w:rPr>
                    <w:rFonts w:hint="eastAsia"/>
                    <w:color w:val="000000"/>
                  </w:rPr>
                  <w:t>《水质氟化物的测定氟试剂分光光度法》</w:t>
                </w:r>
                <w:r>
                  <w:rPr>
                    <w:rFonts w:cs="Calibri" w:hint="eastAsia"/>
                    <w:color w:val="000000"/>
                  </w:rPr>
                  <w:t>HJ488-2009</w:t>
                </w:r>
              </w:p>
            </w:tc>
            <w:tc>
              <w:tcPr>
                <w:tcW w:w="2126" w:type="dxa"/>
                <w:tcBorders>
                  <w:top w:val="single" w:sz="4" w:space="0" w:color="auto"/>
                  <w:left w:val="nil"/>
                  <w:bottom w:val="single" w:sz="4" w:space="0" w:color="auto"/>
                  <w:right w:val="single" w:sz="4" w:space="0" w:color="auto"/>
                </w:tcBorders>
                <w:vAlign w:val="center"/>
              </w:tcPr>
              <w:p w14:paraId="797910D2" w14:textId="77777777" w:rsidR="002D0AE7" w:rsidRDefault="00333EBB">
                <w:pPr>
                  <w:rPr>
                    <w:rFonts w:hint="eastAsia"/>
                    <w:color w:val="000000"/>
                  </w:rPr>
                </w:pPr>
                <w:r>
                  <w:rPr>
                    <w:rFonts w:hint="eastAsia"/>
                    <w:color w:val="000000"/>
                  </w:rPr>
                  <w:t>紫外可见分光光度计</w:t>
                </w:r>
              </w:p>
            </w:tc>
            <w:tc>
              <w:tcPr>
                <w:tcW w:w="992" w:type="dxa"/>
                <w:tcBorders>
                  <w:top w:val="single" w:sz="4" w:space="0" w:color="auto"/>
                  <w:left w:val="nil"/>
                  <w:bottom w:val="single" w:sz="4" w:space="0" w:color="auto"/>
                  <w:right w:val="single" w:sz="4" w:space="0" w:color="auto"/>
                </w:tcBorders>
                <w:vAlign w:val="center"/>
              </w:tcPr>
              <w:p w14:paraId="34873DDA" w14:textId="77777777" w:rsidR="002D0AE7" w:rsidRDefault="00333EBB">
                <w:pPr>
                  <w:rPr>
                    <w:rFonts w:hint="eastAsia"/>
                    <w:color w:val="000000"/>
                  </w:rPr>
                </w:pPr>
                <w:r>
                  <w:rPr>
                    <w:rFonts w:hint="eastAsia"/>
                    <w:color w:val="000000"/>
                  </w:rPr>
                  <w:t>每季度一次</w:t>
                </w:r>
              </w:p>
            </w:tc>
            <w:tc>
              <w:tcPr>
                <w:tcW w:w="1276" w:type="dxa"/>
                <w:tcBorders>
                  <w:top w:val="single" w:sz="4" w:space="0" w:color="auto"/>
                  <w:left w:val="nil"/>
                  <w:bottom w:val="single" w:sz="4" w:space="0" w:color="auto"/>
                  <w:right w:val="single" w:sz="4" w:space="0" w:color="auto"/>
                </w:tcBorders>
                <w:vAlign w:val="center"/>
              </w:tcPr>
              <w:p w14:paraId="435CADE2" w14:textId="77777777" w:rsidR="002D0AE7" w:rsidRDefault="00333EBB">
                <w:pPr>
                  <w:rPr>
                    <w:rFonts w:hint="eastAsia"/>
                    <w:color w:val="000000"/>
                  </w:rPr>
                </w:pPr>
                <w:r>
                  <w:rPr>
                    <w:rFonts w:hint="eastAsia"/>
                    <w:color w:val="000000"/>
                  </w:rPr>
                  <w:t>瞬时采样至少</w:t>
                </w:r>
                <w:r>
                  <w:rPr>
                    <w:rFonts w:cs="Calibri" w:hint="eastAsia"/>
                    <w:color w:val="000000"/>
                  </w:rPr>
                  <w:t>3</w:t>
                </w:r>
                <w:r>
                  <w:rPr>
                    <w:rFonts w:hint="eastAsia"/>
                    <w:color w:val="000000"/>
                  </w:rPr>
                  <w:t>个瞬时样</w:t>
                </w:r>
              </w:p>
            </w:tc>
          </w:tr>
          <w:tr w:rsidR="002D0AE7" w14:paraId="54200E1E" w14:textId="77777777">
            <w:trPr>
              <w:trHeight w:val="980"/>
              <w:jc w:val="center"/>
            </w:trPr>
            <w:tc>
              <w:tcPr>
                <w:tcW w:w="846" w:type="dxa"/>
                <w:vMerge/>
                <w:tcBorders>
                  <w:top w:val="nil"/>
                  <w:left w:val="single" w:sz="4" w:space="0" w:color="auto"/>
                  <w:bottom w:val="single" w:sz="4" w:space="0" w:color="auto"/>
                  <w:right w:val="single" w:sz="4" w:space="0" w:color="auto"/>
                </w:tcBorders>
                <w:vAlign w:val="center"/>
              </w:tcPr>
              <w:p w14:paraId="4F400329" w14:textId="77777777" w:rsidR="002D0AE7" w:rsidRDefault="002D0AE7">
                <w:pPr>
                  <w:rPr>
                    <w:rFonts w:ascii="Calibri" w:hAnsi="Calibri"/>
                    <w:color w:val="000000"/>
                    <w:kern w:val="2"/>
                  </w:rPr>
                </w:pPr>
              </w:p>
            </w:tc>
            <w:tc>
              <w:tcPr>
                <w:tcW w:w="1276" w:type="dxa"/>
                <w:tcBorders>
                  <w:top w:val="single" w:sz="4" w:space="0" w:color="auto"/>
                  <w:left w:val="nil"/>
                  <w:bottom w:val="single" w:sz="4" w:space="0" w:color="auto"/>
                  <w:right w:val="single" w:sz="4" w:space="0" w:color="auto"/>
                </w:tcBorders>
                <w:vAlign w:val="center"/>
              </w:tcPr>
              <w:p w14:paraId="65C6095E" w14:textId="77777777" w:rsidR="002D0AE7" w:rsidRDefault="00333EBB">
                <w:pPr>
                  <w:rPr>
                    <w:rFonts w:hint="eastAsia"/>
                    <w:color w:val="000000"/>
                  </w:rPr>
                </w:pPr>
                <w:r>
                  <w:rPr>
                    <w:rFonts w:cs="Calibri" w:hint="eastAsia"/>
                    <w:color w:val="000000"/>
                  </w:rPr>
                  <w:t>1</w:t>
                </w:r>
                <w:r>
                  <w:rPr>
                    <w:rFonts w:hint="eastAsia"/>
                    <w:color w:val="000000"/>
                  </w:rPr>
                  <w:t>，</w:t>
                </w:r>
                <w:r>
                  <w:rPr>
                    <w:rFonts w:cs="Calibri" w:hint="eastAsia"/>
                    <w:color w:val="000000"/>
                  </w:rPr>
                  <w:t>2-</w:t>
                </w:r>
                <w:r>
                  <w:rPr>
                    <w:rFonts w:hint="eastAsia"/>
                    <w:color w:val="000000"/>
                  </w:rPr>
                  <w:t>二氯乙烷</w:t>
                </w:r>
              </w:p>
            </w:tc>
            <w:tc>
              <w:tcPr>
                <w:tcW w:w="1134" w:type="dxa"/>
                <w:tcBorders>
                  <w:top w:val="single" w:sz="4" w:space="0" w:color="auto"/>
                  <w:left w:val="nil"/>
                  <w:bottom w:val="single" w:sz="4" w:space="0" w:color="auto"/>
                  <w:right w:val="single" w:sz="4" w:space="0" w:color="auto"/>
                </w:tcBorders>
                <w:vAlign w:val="center"/>
              </w:tcPr>
              <w:p w14:paraId="7962544E" w14:textId="77777777" w:rsidR="002D0AE7" w:rsidRDefault="00333EBB">
                <w:pPr>
                  <w:rPr>
                    <w:rFonts w:hint="eastAsia"/>
                    <w:color w:val="000000"/>
                  </w:rPr>
                </w:pPr>
                <w:r>
                  <w:rPr>
                    <w:rFonts w:cs="Calibri" w:hint="eastAsia"/>
                    <w:color w:val="000000"/>
                  </w:rPr>
                  <w:t>1.5mg/L</w:t>
                </w:r>
              </w:p>
            </w:tc>
            <w:tc>
              <w:tcPr>
                <w:tcW w:w="2126" w:type="dxa"/>
                <w:tcBorders>
                  <w:top w:val="single" w:sz="4" w:space="0" w:color="auto"/>
                  <w:left w:val="nil"/>
                  <w:bottom w:val="single" w:sz="4" w:space="0" w:color="auto"/>
                  <w:right w:val="single" w:sz="4" w:space="0" w:color="auto"/>
                </w:tcBorders>
                <w:vAlign w:val="center"/>
              </w:tcPr>
              <w:p w14:paraId="4C492986" w14:textId="77777777" w:rsidR="002D0AE7" w:rsidRDefault="00333EBB">
                <w:pPr>
                  <w:rPr>
                    <w:rFonts w:hint="eastAsia"/>
                    <w:color w:val="000000"/>
                  </w:rPr>
                </w:pPr>
                <w:r>
                  <w:rPr>
                    <w:rFonts w:hint="eastAsia"/>
                    <w:color w:val="000000"/>
                  </w:rPr>
                  <w:t>《水质挥发性有机物的测定吹扫捕集气相色谱</w:t>
                </w:r>
                <w:r>
                  <w:rPr>
                    <w:rFonts w:cs="Calibri" w:hint="eastAsia"/>
                    <w:color w:val="000000"/>
                  </w:rPr>
                  <w:t>-</w:t>
                </w:r>
                <w:r>
                  <w:rPr>
                    <w:rFonts w:hint="eastAsia"/>
                    <w:color w:val="000000"/>
                  </w:rPr>
                  <w:t>质谱法》</w:t>
                </w:r>
                <w:r>
                  <w:rPr>
                    <w:rFonts w:cs="Calibri" w:hint="eastAsia"/>
                    <w:color w:val="000000"/>
                  </w:rPr>
                  <w:t>HJ639-2012</w:t>
                </w:r>
              </w:p>
            </w:tc>
            <w:tc>
              <w:tcPr>
                <w:tcW w:w="2126" w:type="dxa"/>
                <w:tcBorders>
                  <w:top w:val="single" w:sz="4" w:space="0" w:color="auto"/>
                  <w:left w:val="nil"/>
                  <w:bottom w:val="single" w:sz="4" w:space="0" w:color="auto"/>
                  <w:right w:val="single" w:sz="4" w:space="0" w:color="auto"/>
                </w:tcBorders>
                <w:vAlign w:val="center"/>
              </w:tcPr>
              <w:p w14:paraId="2DCAD6D1" w14:textId="77777777" w:rsidR="002D0AE7" w:rsidRDefault="00333EBB">
                <w:pPr>
                  <w:rPr>
                    <w:rFonts w:hint="eastAsia"/>
                    <w:color w:val="000000"/>
                  </w:rPr>
                </w:pPr>
                <w:r>
                  <w:rPr>
                    <w:rFonts w:hint="eastAsia"/>
                    <w:color w:val="000000"/>
                  </w:rPr>
                  <w:t>气质联用仪</w:t>
                </w:r>
              </w:p>
            </w:tc>
            <w:tc>
              <w:tcPr>
                <w:tcW w:w="992" w:type="dxa"/>
                <w:tcBorders>
                  <w:top w:val="single" w:sz="4" w:space="0" w:color="auto"/>
                  <w:left w:val="nil"/>
                  <w:bottom w:val="single" w:sz="4" w:space="0" w:color="auto"/>
                  <w:right w:val="single" w:sz="4" w:space="0" w:color="auto"/>
                </w:tcBorders>
                <w:vAlign w:val="center"/>
              </w:tcPr>
              <w:p w14:paraId="599FE14C" w14:textId="77777777" w:rsidR="002D0AE7" w:rsidRDefault="00333EBB">
                <w:pPr>
                  <w:rPr>
                    <w:rFonts w:hint="eastAsia"/>
                    <w:color w:val="000000"/>
                  </w:rPr>
                </w:pPr>
                <w:r>
                  <w:rPr>
                    <w:rFonts w:hint="eastAsia"/>
                    <w:color w:val="000000"/>
                  </w:rPr>
                  <w:t>每季度一次</w:t>
                </w:r>
              </w:p>
            </w:tc>
            <w:tc>
              <w:tcPr>
                <w:tcW w:w="1276" w:type="dxa"/>
                <w:tcBorders>
                  <w:top w:val="single" w:sz="4" w:space="0" w:color="auto"/>
                  <w:left w:val="nil"/>
                  <w:bottom w:val="single" w:sz="4" w:space="0" w:color="auto"/>
                  <w:right w:val="single" w:sz="4" w:space="0" w:color="auto"/>
                </w:tcBorders>
                <w:vAlign w:val="center"/>
              </w:tcPr>
              <w:p w14:paraId="6593047D" w14:textId="77777777" w:rsidR="002D0AE7" w:rsidRDefault="00333EBB">
                <w:pPr>
                  <w:rPr>
                    <w:rFonts w:hint="eastAsia"/>
                    <w:color w:val="000000"/>
                  </w:rPr>
                </w:pPr>
                <w:r>
                  <w:rPr>
                    <w:rFonts w:hint="eastAsia"/>
                    <w:color w:val="000000"/>
                  </w:rPr>
                  <w:t>瞬时采样至少</w:t>
                </w:r>
                <w:r>
                  <w:rPr>
                    <w:rFonts w:cs="Calibri" w:hint="eastAsia"/>
                    <w:color w:val="000000"/>
                  </w:rPr>
                  <w:t>3</w:t>
                </w:r>
                <w:r>
                  <w:rPr>
                    <w:rFonts w:hint="eastAsia"/>
                    <w:color w:val="000000"/>
                  </w:rPr>
                  <w:t>个瞬时样</w:t>
                </w:r>
              </w:p>
            </w:tc>
          </w:tr>
          <w:tr w:rsidR="002D0AE7" w14:paraId="1C3A14D4" w14:textId="77777777">
            <w:trPr>
              <w:trHeight w:val="980"/>
              <w:jc w:val="center"/>
            </w:trPr>
            <w:tc>
              <w:tcPr>
                <w:tcW w:w="846" w:type="dxa"/>
                <w:vMerge/>
                <w:tcBorders>
                  <w:top w:val="nil"/>
                  <w:left w:val="single" w:sz="4" w:space="0" w:color="auto"/>
                  <w:bottom w:val="single" w:sz="4" w:space="0" w:color="auto"/>
                  <w:right w:val="single" w:sz="4" w:space="0" w:color="auto"/>
                </w:tcBorders>
                <w:vAlign w:val="center"/>
              </w:tcPr>
              <w:p w14:paraId="6CCA8583" w14:textId="77777777" w:rsidR="002D0AE7" w:rsidRDefault="002D0AE7">
                <w:pPr>
                  <w:rPr>
                    <w:rFonts w:ascii="Calibri" w:hAnsi="Calibri"/>
                    <w:color w:val="000000"/>
                    <w:kern w:val="2"/>
                  </w:rPr>
                </w:pPr>
              </w:p>
            </w:tc>
            <w:tc>
              <w:tcPr>
                <w:tcW w:w="1276" w:type="dxa"/>
                <w:tcBorders>
                  <w:top w:val="single" w:sz="4" w:space="0" w:color="auto"/>
                  <w:left w:val="nil"/>
                  <w:bottom w:val="single" w:sz="4" w:space="0" w:color="auto"/>
                  <w:right w:val="single" w:sz="4" w:space="0" w:color="auto"/>
                </w:tcBorders>
                <w:vAlign w:val="center"/>
              </w:tcPr>
              <w:p w14:paraId="3070F305" w14:textId="77777777" w:rsidR="002D0AE7" w:rsidRDefault="00333EBB">
                <w:pPr>
                  <w:rPr>
                    <w:rFonts w:hint="eastAsia"/>
                    <w:color w:val="000000"/>
                  </w:rPr>
                </w:pPr>
                <w:r>
                  <w:rPr>
                    <w:rFonts w:hint="eastAsia"/>
                    <w:color w:val="000000"/>
                  </w:rPr>
                  <w:t>苯酚</w:t>
                </w:r>
              </w:p>
            </w:tc>
            <w:tc>
              <w:tcPr>
                <w:tcW w:w="1134" w:type="dxa"/>
                <w:tcBorders>
                  <w:top w:val="single" w:sz="4" w:space="0" w:color="auto"/>
                  <w:left w:val="nil"/>
                  <w:bottom w:val="single" w:sz="4" w:space="0" w:color="auto"/>
                  <w:right w:val="single" w:sz="4" w:space="0" w:color="auto"/>
                </w:tcBorders>
                <w:vAlign w:val="center"/>
              </w:tcPr>
              <w:p w14:paraId="7827C72D" w14:textId="77777777" w:rsidR="002D0AE7" w:rsidRDefault="00333EBB">
                <w:pPr>
                  <w:rPr>
                    <w:rFonts w:hint="eastAsia"/>
                    <w:color w:val="000000"/>
                  </w:rPr>
                </w:pPr>
                <w:r>
                  <w:rPr>
                    <w:rFonts w:cs="Calibri" w:hint="eastAsia"/>
                    <w:color w:val="000000"/>
                  </w:rPr>
                  <w:t>1.0mg/L</w:t>
                </w:r>
              </w:p>
            </w:tc>
            <w:tc>
              <w:tcPr>
                <w:tcW w:w="2126" w:type="dxa"/>
                <w:tcBorders>
                  <w:top w:val="single" w:sz="4" w:space="0" w:color="auto"/>
                  <w:left w:val="nil"/>
                  <w:bottom w:val="single" w:sz="4" w:space="0" w:color="auto"/>
                  <w:right w:val="single" w:sz="4" w:space="0" w:color="auto"/>
                </w:tcBorders>
                <w:vAlign w:val="center"/>
              </w:tcPr>
              <w:p w14:paraId="29110AAD" w14:textId="77777777" w:rsidR="002D0AE7" w:rsidRDefault="00333EBB">
                <w:pPr>
                  <w:rPr>
                    <w:rFonts w:ascii="Times New Roman" w:hAnsi="Times New Roman"/>
                    <w:color w:val="000000"/>
                  </w:rPr>
                </w:pPr>
                <w:r>
                  <w:rPr>
                    <w:rFonts w:hint="eastAsia"/>
                    <w:color w:val="000000"/>
                  </w:rPr>
                  <w:t>《水质酚类化合物的测定气相色谱</w:t>
                </w:r>
                <w:r>
                  <w:rPr>
                    <w:rFonts w:cs="Calibri" w:hint="eastAsia"/>
                    <w:color w:val="000000"/>
                  </w:rPr>
                  <w:t>-</w:t>
                </w:r>
                <w:r>
                  <w:rPr>
                    <w:rFonts w:hint="eastAsia"/>
                    <w:color w:val="000000"/>
                  </w:rPr>
                  <w:t>质谱法》</w:t>
                </w:r>
                <w:r>
                  <w:rPr>
                    <w:rFonts w:cs="Calibri" w:hint="eastAsia"/>
                    <w:color w:val="000000"/>
                  </w:rPr>
                  <w:t>HJ744-2015</w:t>
                </w:r>
              </w:p>
            </w:tc>
            <w:tc>
              <w:tcPr>
                <w:tcW w:w="2126" w:type="dxa"/>
                <w:tcBorders>
                  <w:top w:val="single" w:sz="4" w:space="0" w:color="auto"/>
                  <w:left w:val="nil"/>
                  <w:bottom w:val="single" w:sz="4" w:space="0" w:color="auto"/>
                  <w:right w:val="single" w:sz="4" w:space="0" w:color="auto"/>
                </w:tcBorders>
                <w:vAlign w:val="center"/>
              </w:tcPr>
              <w:p w14:paraId="0DD3561C" w14:textId="77777777" w:rsidR="002D0AE7" w:rsidRDefault="00333EBB">
                <w:pPr>
                  <w:rPr>
                    <w:rFonts w:ascii="Calibri" w:hAnsi="Calibri"/>
                    <w:color w:val="000000"/>
                  </w:rPr>
                </w:pPr>
                <w:r>
                  <w:rPr>
                    <w:rFonts w:hint="eastAsia"/>
                    <w:color w:val="000000"/>
                  </w:rPr>
                  <w:t>气质联用仪</w:t>
                </w:r>
              </w:p>
            </w:tc>
            <w:tc>
              <w:tcPr>
                <w:tcW w:w="992" w:type="dxa"/>
                <w:tcBorders>
                  <w:top w:val="single" w:sz="4" w:space="0" w:color="auto"/>
                  <w:left w:val="nil"/>
                  <w:bottom w:val="single" w:sz="4" w:space="0" w:color="auto"/>
                  <w:right w:val="single" w:sz="4" w:space="0" w:color="auto"/>
                </w:tcBorders>
                <w:vAlign w:val="center"/>
              </w:tcPr>
              <w:p w14:paraId="7F9B19AE" w14:textId="77777777" w:rsidR="002D0AE7" w:rsidRDefault="00333EBB">
                <w:pPr>
                  <w:rPr>
                    <w:rFonts w:hint="eastAsia"/>
                    <w:color w:val="000000"/>
                  </w:rPr>
                </w:pPr>
                <w:r>
                  <w:rPr>
                    <w:rFonts w:hint="eastAsia"/>
                    <w:color w:val="000000"/>
                  </w:rPr>
                  <w:t>每季度一次</w:t>
                </w:r>
              </w:p>
            </w:tc>
            <w:tc>
              <w:tcPr>
                <w:tcW w:w="1276" w:type="dxa"/>
                <w:tcBorders>
                  <w:top w:val="single" w:sz="4" w:space="0" w:color="auto"/>
                  <w:left w:val="nil"/>
                  <w:bottom w:val="single" w:sz="4" w:space="0" w:color="auto"/>
                  <w:right w:val="single" w:sz="4" w:space="0" w:color="auto"/>
                </w:tcBorders>
                <w:vAlign w:val="center"/>
              </w:tcPr>
              <w:p w14:paraId="7C351A2C" w14:textId="77777777" w:rsidR="002D0AE7" w:rsidRDefault="00333EBB">
                <w:pPr>
                  <w:rPr>
                    <w:rFonts w:hint="eastAsia"/>
                    <w:color w:val="000000"/>
                  </w:rPr>
                </w:pPr>
                <w:r>
                  <w:rPr>
                    <w:rFonts w:hint="eastAsia"/>
                    <w:color w:val="000000"/>
                  </w:rPr>
                  <w:t>瞬时采样至少</w:t>
                </w:r>
                <w:r>
                  <w:rPr>
                    <w:rFonts w:cs="Calibri" w:hint="eastAsia"/>
                    <w:color w:val="000000"/>
                  </w:rPr>
                  <w:t>3</w:t>
                </w:r>
                <w:r>
                  <w:rPr>
                    <w:rFonts w:hint="eastAsia"/>
                    <w:color w:val="000000"/>
                  </w:rPr>
                  <w:t>个瞬时样</w:t>
                </w:r>
              </w:p>
            </w:tc>
          </w:tr>
          <w:tr w:rsidR="002D0AE7" w14:paraId="506AD0D3" w14:textId="77777777">
            <w:trPr>
              <w:trHeight w:val="980"/>
              <w:jc w:val="center"/>
            </w:trPr>
            <w:tc>
              <w:tcPr>
                <w:tcW w:w="846" w:type="dxa"/>
                <w:vMerge/>
                <w:tcBorders>
                  <w:top w:val="nil"/>
                  <w:left w:val="single" w:sz="4" w:space="0" w:color="auto"/>
                  <w:bottom w:val="single" w:sz="4" w:space="0" w:color="auto"/>
                  <w:right w:val="single" w:sz="4" w:space="0" w:color="auto"/>
                </w:tcBorders>
                <w:vAlign w:val="center"/>
              </w:tcPr>
              <w:p w14:paraId="7B3DD2D1" w14:textId="77777777" w:rsidR="002D0AE7" w:rsidRDefault="002D0AE7">
                <w:pPr>
                  <w:rPr>
                    <w:rFonts w:ascii="Calibri" w:hAnsi="Calibri"/>
                    <w:color w:val="000000"/>
                    <w:kern w:val="2"/>
                  </w:rPr>
                </w:pPr>
              </w:p>
            </w:tc>
            <w:tc>
              <w:tcPr>
                <w:tcW w:w="1276" w:type="dxa"/>
                <w:tcBorders>
                  <w:top w:val="single" w:sz="4" w:space="0" w:color="auto"/>
                  <w:left w:val="nil"/>
                  <w:bottom w:val="single" w:sz="4" w:space="0" w:color="auto"/>
                  <w:right w:val="single" w:sz="4" w:space="0" w:color="auto"/>
                </w:tcBorders>
                <w:vAlign w:val="center"/>
              </w:tcPr>
              <w:p w14:paraId="0DCD98E9" w14:textId="77777777" w:rsidR="002D0AE7" w:rsidRDefault="00333EBB">
                <w:pPr>
                  <w:rPr>
                    <w:rFonts w:hint="eastAsia"/>
                    <w:color w:val="000000"/>
                  </w:rPr>
                </w:pPr>
                <w:r>
                  <w:rPr>
                    <w:rFonts w:hint="eastAsia"/>
                    <w:color w:val="000000"/>
                  </w:rPr>
                  <w:t>二氯甲烷</w:t>
                </w:r>
              </w:p>
            </w:tc>
            <w:tc>
              <w:tcPr>
                <w:tcW w:w="1134" w:type="dxa"/>
                <w:tcBorders>
                  <w:top w:val="single" w:sz="4" w:space="0" w:color="auto"/>
                  <w:left w:val="nil"/>
                  <w:bottom w:val="single" w:sz="4" w:space="0" w:color="auto"/>
                  <w:right w:val="single" w:sz="4" w:space="0" w:color="auto"/>
                </w:tcBorders>
                <w:vAlign w:val="center"/>
              </w:tcPr>
              <w:p w14:paraId="236FD539" w14:textId="77777777" w:rsidR="002D0AE7" w:rsidRDefault="00333EBB">
                <w:pPr>
                  <w:rPr>
                    <w:rFonts w:hint="eastAsia"/>
                    <w:color w:val="000000"/>
                  </w:rPr>
                </w:pPr>
                <w:r>
                  <w:rPr>
                    <w:rFonts w:cs="Calibri" w:hint="eastAsia"/>
                    <w:color w:val="000000"/>
                  </w:rPr>
                  <w:t>/</w:t>
                </w:r>
              </w:p>
            </w:tc>
            <w:tc>
              <w:tcPr>
                <w:tcW w:w="2126" w:type="dxa"/>
                <w:tcBorders>
                  <w:top w:val="single" w:sz="4" w:space="0" w:color="auto"/>
                  <w:left w:val="nil"/>
                  <w:bottom w:val="single" w:sz="4" w:space="0" w:color="auto"/>
                  <w:right w:val="single" w:sz="4" w:space="0" w:color="auto"/>
                </w:tcBorders>
                <w:vAlign w:val="center"/>
              </w:tcPr>
              <w:p w14:paraId="1453B67D" w14:textId="77777777" w:rsidR="002D0AE7" w:rsidRDefault="00333EBB">
                <w:pPr>
                  <w:rPr>
                    <w:rFonts w:hint="eastAsia"/>
                    <w:color w:val="000000"/>
                  </w:rPr>
                </w:pPr>
                <w:r>
                  <w:rPr>
                    <w:rFonts w:hint="eastAsia"/>
                    <w:color w:val="000000"/>
                  </w:rPr>
                  <w:t>《水质挥发性有机物的测定吹扫捕集气相色谱</w:t>
                </w:r>
                <w:r>
                  <w:rPr>
                    <w:rFonts w:cs="Calibri" w:hint="eastAsia"/>
                    <w:color w:val="000000"/>
                  </w:rPr>
                  <w:t>-</w:t>
                </w:r>
                <w:r>
                  <w:rPr>
                    <w:rFonts w:hint="eastAsia"/>
                    <w:color w:val="000000"/>
                  </w:rPr>
                  <w:t>质谱法》</w:t>
                </w:r>
                <w:r>
                  <w:rPr>
                    <w:rFonts w:cs="Calibri" w:hint="eastAsia"/>
                    <w:color w:val="000000"/>
                  </w:rPr>
                  <w:t>HJ639-2012</w:t>
                </w:r>
              </w:p>
            </w:tc>
            <w:tc>
              <w:tcPr>
                <w:tcW w:w="2126" w:type="dxa"/>
                <w:tcBorders>
                  <w:top w:val="single" w:sz="4" w:space="0" w:color="auto"/>
                  <w:left w:val="nil"/>
                  <w:bottom w:val="single" w:sz="4" w:space="0" w:color="auto"/>
                  <w:right w:val="single" w:sz="4" w:space="0" w:color="auto"/>
                </w:tcBorders>
                <w:vAlign w:val="center"/>
              </w:tcPr>
              <w:p w14:paraId="6A8C9786" w14:textId="77777777" w:rsidR="002D0AE7" w:rsidRDefault="00333EBB">
                <w:pPr>
                  <w:rPr>
                    <w:rFonts w:hint="eastAsia"/>
                    <w:color w:val="000000"/>
                  </w:rPr>
                </w:pPr>
                <w:r>
                  <w:rPr>
                    <w:rFonts w:hint="eastAsia"/>
                    <w:color w:val="000000"/>
                  </w:rPr>
                  <w:t>气质联用仪</w:t>
                </w:r>
              </w:p>
            </w:tc>
            <w:tc>
              <w:tcPr>
                <w:tcW w:w="992" w:type="dxa"/>
                <w:tcBorders>
                  <w:top w:val="single" w:sz="4" w:space="0" w:color="auto"/>
                  <w:left w:val="nil"/>
                  <w:bottom w:val="single" w:sz="4" w:space="0" w:color="auto"/>
                  <w:right w:val="single" w:sz="4" w:space="0" w:color="auto"/>
                </w:tcBorders>
                <w:vAlign w:val="center"/>
              </w:tcPr>
              <w:p w14:paraId="2E9DDFC6" w14:textId="77777777" w:rsidR="002D0AE7" w:rsidRDefault="00333EBB">
                <w:pPr>
                  <w:rPr>
                    <w:rFonts w:hint="eastAsia"/>
                    <w:color w:val="000000"/>
                  </w:rPr>
                </w:pPr>
                <w:r>
                  <w:rPr>
                    <w:rFonts w:hint="eastAsia"/>
                    <w:color w:val="000000"/>
                  </w:rPr>
                  <w:t>每季度一次</w:t>
                </w:r>
              </w:p>
            </w:tc>
            <w:tc>
              <w:tcPr>
                <w:tcW w:w="1276" w:type="dxa"/>
                <w:tcBorders>
                  <w:top w:val="single" w:sz="4" w:space="0" w:color="auto"/>
                  <w:left w:val="nil"/>
                  <w:bottom w:val="single" w:sz="4" w:space="0" w:color="auto"/>
                  <w:right w:val="single" w:sz="4" w:space="0" w:color="auto"/>
                </w:tcBorders>
                <w:vAlign w:val="center"/>
              </w:tcPr>
              <w:p w14:paraId="799E7E93" w14:textId="77777777" w:rsidR="002D0AE7" w:rsidRDefault="00333EBB">
                <w:pPr>
                  <w:rPr>
                    <w:rFonts w:hint="eastAsia"/>
                    <w:color w:val="000000"/>
                  </w:rPr>
                </w:pPr>
                <w:r>
                  <w:rPr>
                    <w:rFonts w:hint="eastAsia"/>
                    <w:color w:val="000000"/>
                  </w:rPr>
                  <w:t>瞬时采样至少</w:t>
                </w:r>
                <w:r>
                  <w:rPr>
                    <w:rFonts w:cs="Calibri" w:hint="eastAsia"/>
                    <w:color w:val="000000"/>
                  </w:rPr>
                  <w:t>3</w:t>
                </w:r>
                <w:r>
                  <w:rPr>
                    <w:rFonts w:hint="eastAsia"/>
                    <w:color w:val="000000"/>
                  </w:rPr>
                  <w:t>个瞬时样</w:t>
                </w:r>
              </w:p>
            </w:tc>
          </w:tr>
          <w:tr w:rsidR="002D0AE7" w14:paraId="7A9437F2" w14:textId="77777777">
            <w:trPr>
              <w:trHeight w:val="980"/>
              <w:jc w:val="center"/>
            </w:trPr>
            <w:tc>
              <w:tcPr>
                <w:tcW w:w="846" w:type="dxa"/>
                <w:vMerge/>
                <w:tcBorders>
                  <w:top w:val="nil"/>
                  <w:left w:val="single" w:sz="4" w:space="0" w:color="auto"/>
                  <w:bottom w:val="single" w:sz="4" w:space="0" w:color="auto"/>
                  <w:right w:val="single" w:sz="4" w:space="0" w:color="auto"/>
                </w:tcBorders>
                <w:vAlign w:val="center"/>
              </w:tcPr>
              <w:p w14:paraId="2CDA1F92" w14:textId="77777777" w:rsidR="002D0AE7" w:rsidRDefault="002D0AE7">
                <w:pPr>
                  <w:rPr>
                    <w:rFonts w:ascii="Calibri" w:hAnsi="Calibri"/>
                    <w:color w:val="000000"/>
                    <w:kern w:val="2"/>
                  </w:rPr>
                </w:pPr>
              </w:p>
            </w:tc>
            <w:tc>
              <w:tcPr>
                <w:tcW w:w="1276" w:type="dxa"/>
                <w:tcBorders>
                  <w:top w:val="single" w:sz="4" w:space="0" w:color="auto"/>
                  <w:left w:val="nil"/>
                  <w:bottom w:val="single" w:sz="4" w:space="0" w:color="auto"/>
                  <w:right w:val="single" w:sz="4" w:space="0" w:color="auto"/>
                </w:tcBorders>
                <w:vAlign w:val="center"/>
              </w:tcPr>
              <w:p w14:paraId="46F9F39D" w14:textId="77777777" w:rsidR="002D0AE7" w:rsidRDefault="00333EBB">
                <w:pPr>
                  <w:rPr>
                    <w:rFonts w:hint="eastAsia"/>
                    <w:color w:val="000000"/>
                  </w:rPr>
                </w:pPr>
                <w:r>
                  <w:rPr>
                    <w:rFonts w:hint="eastAsia"/>
                    <w:color w:val="000000"/>
                  </w:rPr>
                  <w:t>色度</w:t>
                </w:r>
              </w:p>
            </w:tc>
            <w:tc>
              <w:tcPr>
                <w:tcW w:w="1134" w:type="dxa"/>
                <w:tcBorders>
                  <w:top w:val="single" w:sz="4" w:space="0" w:color="auto"/>
                  <w:left w:val="nil"/>
                  <w:bottom w:val="single" w:sz="4" w:space="0" w:color="auto"/>
                  <w:right w:val="single" w:sz="4" w:space="0" w:color="auto"/>
                </w:tcBorders>
                <w:vAlign w:val="center"/>
              </w:tcPr>
              <w:p w14:paraId="7E03A420" w14:textId="77777777" w:rsidR="002D0AE7" w:rsidRDefault="00333EBB">
                <w:pPr>
                  <w:rPr>
                    <w:rFonts w:hint="eastAsia"/>
                    <w:color w:val="000000"/>
                  </w:rPr>
                </w:pPr>
                <w:r>
                  <w:rPr>
                    <w:rFonts w:cs="Calibri" w:hint="eastAsia"/>
                    <w:color w:val="000000"/>
                  </w:rPr>
                  <w:t>64mg/L</w:t>
                </w:r>
              </w:p>
            </w:tc>
            <w:tc>
              <w:tcPr>
                <w:tcW w:w="2126" w:type="dxa"/>
                <w:tcBorders>
                  <w:top w:val="single" w:sz="4" w:space="0" w:color="auto"/>
                  <w:left w:val="nil"/>
                  <w:bottom w:val="single" w:sz="4" w:space="0" w:color="auto"/>
                  <w:right w:val="single" w:sz="4" w:space="0" w:color="auto"/>
                </w:tcBorders>
                <w:vAlign w:val="center"/>
              </w:tcPr>
              <w:p w14:paraId="6CBC5483" w14:textId="77777777" w:rsidR="002D0AE7" w:rsidRDefault="00333EBB">
                <w:pPr>
                  <w:rPr>
                    <w:rFonts w:hint="eastAsia"/>
                    <w:color w:val="000000"/>
                  </w:rPr>
                </w:pPr>
                <w:r>
                  <w:rPr>
                    <w:rFonts w:hint="eastAsia"/>
                    <w:color w:val="000000"/>
                  </w:rPr>
                  <w:t>《水质色度的测定稀释倍数法》</w:t>
                </w:r>
                <w:r>
                  <w:rPr>
                    <w:rFonts w:cs="Calibri" w:hint="eastAsia"/>
                    <w:color w:val="000000"/>
                  </w:rPr>
                  <w:t>HJ1182-2021</w:t>
                </w:r>
              </w:p>
            </w:tc>
            <w:tc>
              <w:tcPr>
                <w:tcW w:w="2126" w:type="dxa"/>
                <w:tcBorders>
                  <w:top w:val="single" w:sz="4" w:space="0" w:color="auto"/>
                  <w:left w:val="nil"/>
                  <w:bottom w:val="single" w:sz="4" w:space="0" w:color="auto"/>
                  <w:right w:val="single" w:sz="4" w:space="0" w:color="auto"/>
                </w:tcBorders>
                <w:vAlign w:val="center"/>
              </w:tcPr>
              <w:p w14:paraId="10030D38" w14:textId="77777777" w:rsidR="002D0AE7" w:rsidRDefault="00333EBB">
                <w:pPr>
                  <w:rPr>
                    <w:rFonts w:hint="eastAsia"/>
                    <w:color w:val="000000"/>
                  </w:rPr>
                </w:pPr>
                <w:r>
                  <w:rPr>
                    <w:rFonts w:hint="eastAsia"/>
                    <w:color w:val="000000"/>
                  </w:rPr>
                  <w:t>无色具塞比色管</w:t>
                </w:r>
              </w:p>
            </w:tc>
            <w:tc>
              <w:tcPr>
                <w:tcW w:w="992" w:type="dxa"/>
                <w:tcBorders>
                  <w:top w:val="single" w:sz="4" w:space="0" w:color="auto"/>
                  <w:left w:val="nil"/>
                  <w:bottom w:val="single" w:sz="4" w:space="0" w:color="auto"/>
                  <w:right w:val="single" w:sz="4" w:space="0" w:color="auto"/>
                </w:tcBorders>
                <w:vAlign w:val="center"/>
              </w:tcPr>
              <w:p w14:paraId="601ED8E9" w14:textId="77777777" w:rsidR="002D0AE7" w:rsidRDefault="00333EBB">
                <w:pPr>
                  <w:rPr>
                    <w:rFonts w:hint="eastAsia"/>
                    <w:color w:val="000000"/>
                  </w:rPr>
                </w:pPr>
                <w:r>
                  <w:rPr>
                    <w:rFonts w:hint="eastAsia"/>
                    <w:color w:val="000000"/>
                  </w:rPr>
                  <w:t>每季度一次</w:t>
                </w:r>
              </w:p>
            </w:tc>
            <w:tc>
              <w:tcPr>
                <w:tcW w:w="1276" w:type="dxa"/>
                <w:tcBorders>
                  <w:top w:val="single" w:sz="4" w:space="0" w:color="auto"/>
                  <w:left w:val="nil"/>
                  <w:bottom w:val="single" w:sz="4" w:space="0" w:color="auto"/>
                  <w:right w:val="single" w:sz="4" w:space="0" w:color="auto"/>
                </w:tcBorders>
                <w:vAlign w:val="center"/>
              </w:tcPr>
              <w:p w14:paraId="1A744BFF" w14:textId="77777777" w:rsidR="002D0AE7" w:rsidRDefault="00333EBB">
                <w:pPr>
                  <w:rPr>
                    <w:rFonts w:hint="eastAsia"/>
                    <w:color w:val="000000"/>
                  </w:rPr>
                </w:pPr>
                <w:r>
                  <w:rPr>
                    <w:rFonts w:hint="eastAsia"/>
                    <w:color w:val="000000"/>
                  </w:rPr>
                  <w:t>瞬时采样至少</w:t>
                </w:r>
                <w:r>
                  <w:rPr>
                    <w:rFonts w:cs="Calibri" w:hint="eastAsia"/>
                    <w:color w:val="000000"/>
                  </w:rPr>
                  <w:t>3</w:t>
                </w:r>
                <w:r>
                  <w:rPr>
                    <w:rFonts w:hint="eastAsia"/>
                    <w:color w:val="000000"/>
                  </w:rPr>
                  <w:t>个瞬时样</w:t>
                </w:r>
              </w:p>
            </w:tc>
          </w:tr>
          <w:tr w:rsidR="002D0AE7" w14:paraId="3B1C623E" w14:textId="77777777">
            <w:trPr>
              <w:trHeight w:val="980"/>
              <w:jc w:val="center"/>
            </w:trPr>
            <w:tc>
              <w:tcPr>
                <w:tcW w:w="846" w:type="dxa"/>
                <w:vMerge/>
                <w:tcBorders>
                  <w:top w:val="nil"/>
                  <w:left w:val="single" w:sz="4" w:space="0" w:color="auto"/>
                  <w:bottom w:val="single" w:sz="4" w:space="0" w:color="auto"/>
                  <w:right w:val="single" w:sz="4" w:space="0" w:color="auto"/>
                </w:tcBorders>
                <w:vAlign w:val="center"/>
              </w:tcPr>
              <w:p w14:paraId="2333359A" w14:textId="77777777" w:rsidR="002D0AE7" w:rsidRDefault="002D0AE7">
                <w:pPr>
                  <w:rPr>
                    <w:rFonts w:ascii="Calibri" w:hAnsi="Calibri"/>
                    <w:color w:val="000000"/>
                    <w:kern w:val="2"/>
                  </w:rPr>
                </w:pPr>
              </w:p>
            </w:tc>
            <w:tc>
              <w:tcPr>
                <w:tcW w:w="1276" w:type="dxa"/>
                <w:tcBorders>
                  <w:top w:val="single" w:sz="4" w:space="0" w:color="auto"/>
                  <w:left w:val="nil"/>
                  <w:bottom w:val="single" w:sz="4" w:space="0" w:color="auto"/>
                  <w:right w:val="single" w:sz="4" w:space="0" w:color="auto"/>
                </w:tcBorders>
                <w:vAlign w:val="center"/>
              </w:tcPr>
              <w:p w14:paraId="7E9C23FE" w14:textId="77777777" w:rsidR="002D0AE7" w:rsidRDefault="00333EBB">
                <w:pPr>
                  <w:rPr>
                    <w:rFonts w:hint="eastAsia"/>
                    <w:color w:val="000000"/>
                  </w:rPr>
                </w:pPr>
                <w:r>
                  <w:rPr>
                    <w:rFonts w:hint="eastAsia"/>
                    <w:color w:val="000000"/>
                  </w:rPr>
                  <w:t>急性毒性</w:t>
                </w:r>
              </w:p>
            </w:tc>
            <w:tc>
              <w:tcPr>
                <w:tcW w:w="1134" w:type="dxa"/>
                <w:tcBorders>
                  <w:top w:val="single" w:sz="4" w:space="0" w:color="auto"/>
                  <w:left w:val="nil"/>
                  <w:bottom w:val="single" w:sz="4" w:space="0" w:color="auto"/>
                  <w:right w:val="single" w:sz="4" w:space="0" w:color="auto"/>
                </w:tcBorders>
                <w:vAlign w:val="center"/>
              </w:tcPr>
              <w:p w14:paraId="471DB950" w14:textId="77777777" w:rsidR="002D0AE7" w:rsidRDefault="00333EBB">
                <w:pPr>
                  <w:rPr>
                    <w:rFonts w:hint="eastAsia"/>
                    <w:color w:val="000000"/>
                  </w:rPr>
                </w:pPr>
                <w:r>
                  <w:rPr>
                    <w:rFonts w:cs="Calibri" w:hint="eastAsia"/>
                    <w:color w:val="000000"/>
                  </w:rPr>
                  <w:t>/</w:t>
                </w:r>
              </w:p>
            </w:tc>
            <w:tc>
              <w:tcPr>
                <w:tcW w:w="2126" w:type="dxa"/>
                <w:tcBorders>
                  <w:top w:val="single" w:sz="4" w:space="0" w:color="auto"/>
                  <w:left w:val="nil"/>
                  <w:bottom w:val="single" w:sz="4" w:space="0" w:color="auto"/>
                  <w:right w:val="single" w:sz="4" w:space="0" w:color="auto"/>
                </w:tcBorders>
                <w:vAlign w:val="center"/>
              </w:tcPr>
              <w:p w14:paraId="5A5B1D95" w14:textId="77777777" w:rsidR="002D0AE7" w:rsidRDefault="00333EBB">
                <w:pPr>
                  <w:rPr>
                    <w:rFonts w:hint="eastAsia"/>
                    <w:color w:val="000000"/>
                  </w:rPr>
                </w:pPr>
                <w:r>
                  <w:rPr>
                    <w:rFonts w:hint="eastAsia"/>
                    <w:color w:val="000000"/>
                  </w:rPr>
                  <w:t>《水质急性毒性的测定发光细菌法》</w:t>
                </w:r>
                <w:r>
                  <w:rPr>
                    <w:rFonts w:cs="Calibri" w:hint="eastAsia"/>
                    <w:color w:val="000000"/>
                  </w:rPr>
                  <w:t>GB/T15441-1995</w:t>
                </w:r>
              </w:p>
            </w:tc>
            <w:tc>
              <w:tcPr>
                <w:tcW w:w="2126" w:type="dxa"/>
                <w:tcBorders>
                  <w:top w:val="single" w:sz="4" w:space="0" w:color="auto"/>
                  <w:left w:val="nil"/>
                  <w:bottom w:val="single" w:sz="4" w:space="0" w:color="auto"/>
                  <w:right w:val="single" w:sz="4" w:space="0" w:color="auto"/>
                </w:tcBorders>
                <w:vAlign w:val="center"/>
              </w:tcPr>
              <w:p w14:paraId="748AD011" w14:textId="77777777" w:rsidR="002D0AE7" w:rsidRDefault="00333EBB">
                <w:pPr>
                  <w:rPr>
                    <w:rFonts w:hint="eastAsia"/>
                    <w:color w:val="000000"/>
                  </w:rPr>
                </w:pPr>
                <w:r>
                  <w:rPr>
                    <w:rFonts w:hint="eastAsia"/>
                    <w:color w:val="000000"/>
                  </w:rPr>
                  <w:t>便携式水质毒性快速检测仪</w:t>
                </w:r>
              </w:p>
            </w:tc>
            <w:tc>
              <w:tcPr>
                <w:tcW w:w="992" w:type="dxa"/>
                <w:tcBorders>
                  <w:top w:val="single" w:sz="4" w:space="0" w:color="auto"/>
                  <w:left w:val="nil"/>
                  <w:bottom w:val="single" w:sz="4" w:space="0" w:color="auto"/>
                  <w:right w:val="single" w:sz="4" w:space="0" w:color="auto"/>
                </w:tcBorders>
                <w:vAlign w:val="center"/>
              </w:tcPr>
              <w:p w14:paraId="0C5D0E72" w14:textId="77777777" w:rsidR="002D0AE7" w:rsidRDefault="00333EBB">
                <w:pPr>
                  <w:rPr>
                    <w:rFonts w:hint="eastAsia"/>
                    <w:color w:val="000000"/>
                  </w:rPr>
                </w:pPr>
                <w:r>
                  <w:rPr>
                    <w:rFonts w:hint="eastAsia"/>
                    <w:color w:val="000000"/>
                  </w:rPr>
                  <w:t>每季度一次</w:t>
                </w:r>
              </w:p>
            </w:tc>
            <w:tc>
              <w:tcPr>
                <w:tcW w:w="1276" w:type="dxa"/>
                <w:tcBorders>
                  <w:top w:val="single" w:sz="4" w:space="0" w:color="auto"/>
                  <w:left w:val="nil"/>
                  <w:bottom w:val="single" w:sz="4" w:space="0" w:color="auto"/>
                  <w:right w:val="single" w:sz="4" w:space="0" w:color="auto"/>
                </w:tcBorders>
                <w:vAlign w:val="center"/>
              </w:tcPr>
              <w:p w14:paraId="68FFDF0A" w14:textId="77777777" w:rsidR="002D0AE7" w:rsidRDefault="00333EBB">
                <w:pPr>
                  <w:rPr>
                    <w:rFonts w:hint="eastAsia"/>
                    <w:color w:val="000000"/>
                  </w:rPr>
                </w:pPr>
                <w:r>
                  <w:rPr>
                    <w:rFonts w:hint="eastAsia"/>
                    <w:color w:val="000000"/>
                  </w:rPr>
                  <w:t>瞬时采样至少</w:t>
                </w:r>
                <w:r>
                  <w:rPr>
                    <w:rFonts w:cs="Calibri" w:hint="eastAsia"/>
                    <w:color w:val="000000"/>
                  </w:rPr>
                  <w:t>3</w:t>
                </w:r>
                <w:r>
                  <w:rPr>
                    <w:rFonts w:hint="eastAsia"/>
                    <w:color w:val="000000"/>
                  </w:rPr>
                  <w:t>个瞬时样</w:t>
                </w:r>
              </w:p>
            </w:tc>
          </w:tr>
          <w:tr w:rsidR="002D0AE7" w14:paraId="07A8B195" w14:textId="77777777">
            <w:trPr>
              <w:trHeight w:val="980"/>
              <w:jc w:val="center"/>
            </w:trPr>
            <w:tc>
              <w:tcPr>
                <w:tcW w:w="846" w:type="dxa"/>
                <w:tcBorders>
                  <w:top w:val="single" w:sz="4" w:space="0" w:color="auto"/>
                  <w:left w:val="single" w:sz="4" w:space="0" w:color="auto"/>
                  <w:bottom w:val="single" w:sz="4" w:space="0" w:color="auto"/>
                  <w:right w:val="single" w:sz="4" w:space="0" w:color="auto"/>
                </w:tcBorders>
                <w:vAlign w:val="center"/>
              </w:tcPr>
              <w:p w14:paraId="4AF1B5AC" w14:textId="77777777" w:rsidR="002D0AE7" w:rsidRDefault="00333EBB">
                <w:pPr>
                  <w:rPr>
                    <w:rFonts w:hint="eastAsia"/>
                    <w:color w:val="000000"/>
                  </w:rPr>
                </w:pPr>
                <w:r>
                  <w:rPr>
                    <w:rFonts w:hint="eastAsia"/>
                    <w:color w:val="000000"/>
                  </w:rPr>
                  <w:t>天津津药环境科技有限公司</w:t>
                </w:r>
              </w:p>
            </w:tc>
            <w:tc>
              <w:tcPr>
                <w:tcW w:w="8930" w:type="dxa"/>
                <w:gridSpan w:val="6"/>
                <w:tcBorders>
                  <w:top w:val="single" w:sz="4" w:space="0" w:color="auto"/>
                  <w:left w:val="nil"/>
                  <w:bottom w:val="single" w:sz="4" w:space="0" w:color="auto"/>
                  <w:right w:val="single" w:sz="4" w:space="0" w:color="auto"/>
                </w:tcBorders>
                <w:vAlign w:val="center"/>
              </w:tcPr>
              <w:p w14:paraId="35D35676" w14:textId="77777777" w:rsidR="002D0AE7" w:rsidRDefault="00333EBB">
                <w:pPr>
                  <w:rPr>
                    <w:rFonts w:hint="eastAsia"/>
                    <w:color w:val="000000"/>
                  </w:rPr>
                </w:pPr>
                <w:r>
                  <w:rPr>
                    <w:rFonts w:hint="eastAsia"/>
                    <w:color w:val="000000"/>
                  </w:rPr>
                  <w:t>天津津药环境科技有限公司与津药药业股份有限公司在一个园区内，污水统一进过园区污水站处理后经总排口排出。</w:t>
                </w:r>
              </w:p>
            </w:tc>
          </w:tr>
          <w:tr w:rsidR="002D0AE7" w14:paraId="1F6F34A8" w14:textId="77777777">
            <w:trPr>
              <w:trHeight w:val="980"/>
              <w:jc w:val="center"/>
            </w:trPr>
            <w:tc>
              <w:tcPr>
                <w:tcW w:w="846" w:type="dxa"/>
                <w:vMerge w:val="restart"/>
                <w:tcBorders>
                  <w:top w:val="nil"/>
                  <w:left w:val="single" w:sz="4" w:space="0" w:color="auto"/>
                  <w:bottom w:val="single" w:sz="4" w:space="0" w:color="auto"/>
                  <w:right w:val="single" w:sz="4" w:space="0" w:color="auto"/>
                </w:tcBorders>
                <w:vAlign w:val="center"/>
              </w:tcPr>
              <w:p w14:paraId="6DB143E5" w14:textId="77777777" w:rsidR="002D0AE7" w:rsidRDefault="00333EBB">
                <w:pPr>
                  <w:jc w:val="center"/>
                  <w:rPr>
                    <w:rFonts w:hint="eastAsia"/>
                    <w:color w:val="000000"/>
                  </w:rPr>
                </w:pPr>
                <w:r>
                  <w:rPr>
                    <w:rFonts w:hint="eastAsia"/>
                    <w:color w:val="000000"/>
                  </w:rPr>
                  <w:t>津药和平（天津）制药有限公司</w:t>
                </w:r>
              </w:p>
            </w:tc>
            <w:tc>
              <w:tcPr>
                <w:tcW w:w="1276" w:type="dxa"/>
                <w:tcBorders>
                  <w:top w:val="single" w:sz="4" w:space="0" w:color="auto"/>
                  <w:left w:val="nil"/>
                  <w:bottom w:val="single" w:sz="4" w:space="0" w:color="auto"/>
                  <w:right w:val="single" w:sz="4" w:space="0" w:color="auto"/>
                </w:tcBorders>
                <w:vAlign w:val="center"/>
              </w:tcPr>
              <w:p w14:paraId="44868CD2" w14:textId="77777777" w:rsidR="002D0AE7" w:rsidRDefault="00333EBB">
                <w:pPr>
                  <w:rPr>
                    <w:rFonts w:hint="eastAsia"/>
                    <w:color w:val="000000"/>
                  </w:rPr>
                </w:pPr>
                <w:r>
                  <w:rPr>
                    <w:color w:val="000000"/>
                  </w:rPr>
                  <w:t>COD</w:t>
                </w:r>
              </w:p>
            </w:tc>
            <w:tc>
              <w:tcPr>
                <w:tcW w:w="1134" w:type="dxa"/>
                <w:tcBorders>
                  <w:top w:val="single" w:sz="4" w:space="0" w:color="auto"/>
                  <w:left w:val="nil"/>
                  <w:bottom w:val="single" w:sz="4" w:space="0" w:color="auto"/>
                  <w:right w:val="single" w:sz="4" w:space="0" w:color="auto"/>
                </w:tcBorders>
                <w:vAlign w:val="center"/>
              </w:tcPr>
              <w:p w14:paraId="78D52C07" w14:textId="77777777" w:rsidR="002D0AE7" w:rsidRDefault="00333EBB">
                <w:pPr>
                  <w:rPr>
                    <w:rFonts w:hint="eastAsia"/>
                    <w:color w:val="000000"/>
                  </w:rPr>
                </w:pPr>
                <w:r>
                  <w:rPr>
                    <w:color w:val="000000"/>
                  </w:rPr>
                  <w:t>500mg/L</w:t>
                </w:r>
              </w:p>
            </w:tc>
            <w:tc>
              <w:tcPr>
                <w:tcW w:w="2126" w:type="dxa"/>
                <w:tcBorders>
                  <w:top w:val="single" w:sz="4" w:space="0" w:color="auto"/>
                  <w:left w:val="nil"/>
                  <w:bottom w:val="single" w:sz="4" w:space="0" w:color="auto"/>
                  <w:right w:val="single" w:sz="4" w:space="0" w:color="auto"/>
                </w:tcBorders>
                <w:vAlign w:val="center"/>
              </w:tcPr>
              <w:p w14:paraId="2506FD49" w14:textId="77777777" w:rsidR="002D0AE7" w:rsidRDefault="00333EBB">
                <w:pPr>
                  <w:rPr>
                    <w:rFonts w:hint="eastAsia"/>
                    <w:color w:val="000000"/>
                  </w:rPr>
                </w:pPr>
                <w:r>
                  <w:rPr>
                    <w:rFonts w:hint="eastAsia"/>
                    <w:color w:val="000000"/>
                  </w:rPr>
                  <w:t>重铬酸盐法</w:t>
                </w:r>
              </w:p>
            </w:tc>
            <w:tc>
              <w:tcPr>
                <w:tcW w:w="2126" w:type="dxa"/>
                <w:tcBorders>
                  <w:top w:val="single" w:sz="4" w:space="0" w:color="auto"/>
                  <w:left w:val="nil"/>
                  <w:bottom w:val="single" w:sz="4" w:space="0" w:color="auto"/>
                  <w:right w:val="single" w:sz="4" w:space="0" w:color="auto"/>
                </w:tcBorders>
                <w:vAlign w:val="center"/>
              </w:tcPr>
              <w:p w14:paraId="182F8CFF" w14:textId="77777777" w:rsidR="002D0AE7" w:rsidRDefault="00333EBB">
                <w:pPr>
                  <w:rPr>
                    <w:rFonts w:hint="eastAsia"/>
                    <w:color w:val="000000"/>
                  </w:rPr>
                </w:pPr>
                <w:r>
                  <w:rPr>
                    <w:rFonts w:hint="eastAsia"/>
                    <w:color w:val="000000"/>
                  </w:rPr>
                  <w:t>自动在线监测设备</w:t>
                </w:r>
              </w:p>
            </w:tc>
            <w:tc>
              <w:tcPr>
                <w:tcW w:w="992" w:type="dxa"/>
                <w:tcBorders>
                  <w:top w:val="single" w:sz="4" w:space="0" w:color="auto"/>
                  <w:left w:val="nil"/>
                  <w:bottom w:val="single" w:sz="4" w:space="0" w:color="auto"/>
                  <w:right w:val="single" w:sz="4" w:space="0" w:color="auto"/>
                </w:tcBorders>
                <w:vAlign w:val="center"/>
              </w:tcPr>
              <w:p w14:paraId="7340E44E" w14:textId="77777777" w:rsidR="002D0AE7" w:rsidRDefault="00333EBB">
                <w:pPr>
                  <w:rPr>
                    <w:rFonts w:ascii="Times New Roman" w:hAnsi="Times New Roman"/>
                    <w:color w:val="000000"/>
                  </w:rPr>
                </w:pPr>
                <w:r>
                  <w:rPr>
                    <w:rFonts w:ascii="Times New Roman" w:hAnsi="Times New Roman"/>
                    <w:color w:val="000000"/>
                  </w:rPr>
                  <w:t>24</w:t>
                </w:r>
                <w:r>
                  <w:rPr>
                    <w:rFonts w:hint="eastAsia"/>
                    <w:color w:val="000000"/>
                  </w:rPr>
                  <w:t>小时连续监测</w:t>
                </w:r>
              </w:p>
            </w:tc>
            <w:tc>
              <w:tcPr>
                <w:tcW w:w="1276" w:type="dxa"/>
                <w:tcBorders>
                  <w:top w:val="single" w:sz="4" w:space="0" w:color="auto"/>
                  <w:left w:val="nil"/>
                  <w:bottom w:val="single" w:sz="4" w:space="0" w:color="auto"/>
                  <w:right w:val="single" w:sz="4" w:space="0" w:color="auto"/>
                </w:tcBorders>
                <w:vAlign w:val="center"/>
              </w:tcPr>
              <w:p w14:paraId="1B838417" w14:textId="77777777" w:rsidR="002D0AE7" w:rsidRDefault="00333EBB">
                <w:pPr>
                  <w:jc w:val="center"/>
                  <w:rPr>
                    <w:rFonts w:ascii="Calibri" w:hAnsi="Calibri"/>
                    <w:color w:val="000000"/>
                  </w:rPr>
                </w:pPr>
                <w:r>
                  <w:rPr>
                    <w:rFonts w:cs="Calibri"/>
                    <w:color w:val="000000"/>
                  </w:rPr>
                  <w:t>/</w:t>
                </w:r>
              </w:p>
            </w:tc>
          </w:tr>
          <w:tr w:rsidR="002D0AE7" w14:paraId="48AEF6E0" w14:textId="77777777">
            <w:trPr>
              <w:trHeight w:val="980"/>
              <w:jc w:val="center"/>
            </w:trPr>
            <w:tc>
              <w:tcPr>
                <w:tcW w:w="846" w:type="dxa"/>
                <w:vMerge/>
                <w:tcBorders>
                  <w:top w:val="nil"/>
                  <w:left w:val="single" w:sz="4" w:space="0" w:color="auto"/>
                  <w:bottom w:val="single" w:sz="4" w:space="0" w:color="auto"/>
                  <w:right w:val="single" w:sz="4" w:space="0" w:color="auto"/>
                </w:tcBorders>
                <w:vAlign w:val="center"/>
              </w:tcPr>
              <w:p w14:paraId="0843E3C1" w14:textId="77777777" w:rsidR="002D0AE7" w:rsidRDefault="002D0AE7">
                <w:pPr>
                  <w:rPr>
                    <w:rFonts w:ascii="Calibri" w:hAnsi="Calibri"/>
                    <w:color w:val="000000"/>
                    <w:kern w:val="2"/>
                  </w:rPr>
                </w:pPr>
              </w:p>
            </w:tc>
            <w:tc>
              <w:tcPr>
                <w:tcW w:w="1276" w:type="dxa"/>
                <w:tcBorders>
                  <w:top w:val="single" w:sz="4" w:space="0" w:color="auto"/>
                  <w:left w:val="nil"/>
                  <w:bottom w:val="single" w:sz="4" w:space="0" w:color="auto"/>
                  <w:right w:val="single" w:sz="4" w:space="0" w:color="auto"/>
                </w:tcBorders>
                <w:vAlign w:val="center"/>
              </w:tcPr>
              <w:p w14:paraId="2F852AF9" w14:textId="77777777" w:rsidR="002D0AE7" w:rsidRDefault="00333EBB">
                <w:pPr>
                  <w:rPr>
                    <w:rFonts w:hint="eastAsia"/>
                    <w:color w:val="000000"/>
                  </w:rPr>
                </w:pPr>
                <w:r>
                  <w:rPr>
                    <w:rFonts w:hint="eastAsia"/>
                    <w:color w:val="000000"/>
                  </w:rPr>
                  <w:t>氨氮</w:t>
                </w:r>
              </w:p>
            </w:tc>
            <w:tc>
              <w:tcPr>
                <w:tcW w:w="1134" w:type="dxa"/>
                <w:tcBorders>
                  <w:top w:val="single" w:sz="4" w:space="0" w:color="auto"/>
                  <w:left w:val="nil"/>
                  <w:bottom w:val="single" w:sz="4" w:space="0" w:color="auto"/>
                  <w:right w:val="single" w:sz="4" w:space="0" w:color="auto"/>
                </w:tcBorders>
                <w:vAlign w:val="center"/>
              </w:tcPr>
              <w:p w14:paraId="22CE4D5A" w14:textId="77777777" w:rsidR="002D0AE7" w:rsidRDefault="00333EBB">
                <w:pPr>
                  <w:rPr>
                    <w:rFonts w:ascii="Calibri" w:hAnsi="Calibri"/>
                    <w:color w:val="000000"/>
                  </w:rPr>
                </w:pPr>
                <w:r>
                  <w:rPr>
                    <w:color w:val="000000"/>
                  </w:rPr>
                  <w:t>45mg/L</w:t>
                </w:r>
              </w:p>
            </w:tc>
            <w:tc>
              <w:tcPr>
                <w:tcW w:w="2126" w:type="dxa"/>
                <w:tcBorders>
                  <w:top w:val="single" w:sz="4" w:space="0" w:color="auto"/>
                  <w:left w:val="nil"/>
                  <w:bottom w:val="single" w:sz="4" w:space="0" w:color="auto"/>
                  <w:right w:val="single" w:sz="4" w:space="0" w:color="auto"/>
                </w:tcBorders>
                <w:vAlign w:val="center"/>
              </w:tcPr>
              <w:p w14:paraId="5F7A46B1" w14:textId="77777777" w:rsidR="002D0AE7" w:rsidRDefault="00333EBB">
                <w:pPr>
                  <w:rPr>
                    <w:rFonts w:hint="eastAsia"/>
                    <w:color w:val="000000"/>
                  </w:rPr>
                </w:pPr>
                <w:r>
                  <w:rPr>
                    <w:rFonts w:hint="eastAsia"/>
                    <w:color w:val="000000"/>
                  </w:rPr>
                  <w:t>水杨酸分光光度法</w:t>
                </w:r>
              </w:p>
            </w:tc>
            <w:tc>
              <w:tcPr>
                <w:tcW w:w="2126" w:type="dxa"/>
                <w:tcBorders>
                  <w:top w:val="single" w:sz="4" w:space="0" w:color="auto"/>
                  <w:left w:val="nil"/>
                  <w:bottom w:val="single" w:sz="4" w:space="0" w:color="auto"/>
                  <w:right w:val="single" w:sz="4" w:space="0" w:color="auto"/>
                </w:tcBorders>
                <w:vAlign w:val="center"/>
              </w:tcPr>
              <w:p w14:paraId="70F6DBB3" w14:textId="77777777" w:rsidR="002D0AE7" w:rsidRDefault="00333EBB">
                <w:pPr>
                  <w:rPr>
                    <w:rFonts w:hint="eastAsia"/>
                    <w:color w:val="000000"/>
                  </w:rPr>
                </w:pPr>
                <w:r>
                  <w:rPr>
                    <w:rFonts w:hint="eastAsia"/>
                    <w:color w:val="000000"/>
                  </w:rPr>
                  <w:t>自动在线监测设备</w:t>
                </w:r>
              </w:p>
            </w:tc>
            <w:tc>
              <w:tcPr>
                <w:tcW w:w="992" w:type="dxa"/>
                <w:tcBorders>
                  <w:top w:val="single" w:sz="4" w:space="0" w:color="auto"/>
                  <w:left w:val="nil"/>
                  <w:bottom w:val="single" w:sz="4" w:space="0" w:color="auto"/>
                  <w:right w:val="single" w:sz="4" w:space="0" w:color="auto"/>
                </w:tcBorders>
                <w:vAlign w:val="center"/>
              </w:tcPr>
              <w:p w14:paraId="49575557" w14:textId="77777777" w:rsidR="002D0AE7" w:rsidRDefault="00333EBB">
                <w:pPr>
                  <w:rPr>
                    <w:rFonts w:ascii="Times New Roman" w:hAnsi="Times New Roman"/>
                    <w:color w:val="000000"/>
                  </w:rPr>
                </w:pPr>
                <w:r>
                  <w:rPr>
                    <w:rFonts w:ascii="Times New Roman" w:hAnsi="Times New Roman"/>
                    <w:color w:val="000000"/>
                  </w:rPr>
                  <w:t>24</w:t>
                </w:r>
                <w:r>
                  <w:rPr>
                    <w:rFonts w:hint="eastAsia"/>
                    <w:color w:val="000000"/>
                  </w:rPr>
                  <w:t>小时连续监测</w:t>
                </w:r>
              </w:p>
            </w:tc>
            <w:tc>
              <w:tcPr>
                <w:tcW w:w="1276" w:type="dxa"/>
                <w:tcBorders>
                  <w:top w:val="single" w:sz="4" w:space="0" w:color="auto"/>
                  <w:left w:val="nil"/>
                  <w:bottom w:val="single" w:sz="4" w:space="0" w:color="auto"/>
                  <w:right w:val="single" w:sz="4" w:space="0" w:color="auto"/>
                </w:tcBorders>
                <w:vAlign w:val="center"/>
              </w:tcPr>
              <w:p w14:paraId="3671D96D" w14:textId="77777777" w:rsidR="002D0AE7" w:rsidRDefault="00333EBB">
                <w:pPr>
                  <w:jc w:val="center"/>
                  <w:rPr>
                    <w:rFonts w:ascii="Calibri" w:hAnsi="Calibri"/>
                    <w:color w:val="000000"/>
                  </w:rPr>
                </w:pPr>
                <w:r>
                  <w:rPr>
                    <w:rFonts w:cs="Calibri"/>
                    <w:color w:val="000000"/>
                  </w:rPr>
                  <w:t>/</w:t>
                </w:r>
              </w:p>
            </w:tc>
          </w:tr>
          <w:tr w:rsidR="002D0AE7" w14:paraId="1F65DF38" w14:textId="77777777">
            <w:trPr>
              <w:trHeight w:val="980"/>
              <w:jc w:val="center"/>
            </w:trPr>
            <w:tc>
              <w:tcPr>
                <w:tcW w:w="846" w:type="dxa"/>
                <w:vMerge/>
                <w:tcBorders>
                  <w:top w:val="nil"/>
                  <w:left w:val="single" w:sz="4" w:space="0" w:color="auto"/>
                  <w:bottom w:val="single" w:sz="4" w:space="0" w:color="auto"/>
                  <w:right w:val="single" w:sz="4" w:space="0" w:color="auto"/>
                </w:tcBorders>
                <w:vAlign w:val="center"/>
              </w:tcPr>
              <w:p w14:paraId="7B41C5C4" w14:textId="77777777" w:rsidR="002D0AE7" w:rsidRDefault="002D0AE7">
                <w:pPr>
                  <w:rPr>
                    <w:rFonts w:ascii="Calibri" w:hAnsi="Calibri"/>
                    <w:color w:val="000000"/>
                    <w:kern w:val="2"/>
                  </w:rPr>
                </w:pPr>
              </w:p>
            </w:tc>
            <w:tc>
              <w:tcPr>
                <w:tcW w:w="1276" w:type="dxa"/>
                <w:tcBorders>
                  <w:top w:val="single" w:sz="4" w:space="0" w:color="auto"/>
                  <w:left w:val="nil"/>
                  <w:bottom w:val="single" w:sz="4" w:space="0" w:color="auto"/>
                  <w:right w:val="single" w:sz="4" w:space="0" w:color="auto"/>
                </w:tcBorders>
                <w:vAlign w:val="center"/>
              </w:tcPr>
              <w:p w14:paraId="254CDA9A" w14:textId="77777777" w:rsidR="002D0AE7" w:rsidRDefault="00333EBB">
                <w:pPr>
                  <w:rPr>
                    <w:rFonts w:hint="eastAsia"/>
                    <w:color w:val="000000"/>
                  </w:rPr>
                </w:pPr>
                <w:r>
                  <w:rPr>
                    <w:rFonts w:hint="eastAsia"/>
                    <w:color w:val="000000"/>
                  </w:rPr>
                  <w:t>总氮</w:t>
                </w:r>
              </w:p>
            </w:tc>
            <w:tc>
              <w:tcPr>
                <w:tcW w:w="1134" w:type="dxa"/>
                <w:tcBorders>
                  <w:top w:val="single" w:sz="4" w:space="0" w:color="auto"/>
                  <w:left w:val="nil"/>
                  <w:bottom w:val="single" w:sz="4" w:space="0" w:color="auto"/>
                  <w:right w:val="single" w:sz="4" w:space="0" w:color="auto"/>
                </w:tcBorders>
                <w:vAlign w:val="center"/>
              </w:tcPr>
              <w:p w14:paraId="106B1D17" w14:textId="77777777" w:rsidR="002D0AE7" w:rsidRDefault="00333EBB">
                <w:pPr>
                  <w:rPr>
                    <w:rFonts w:ascii="Calibri" w:hAnsi="Calibri"/>
                    <w:color w:val="000000"/>
                  </w:rPr>
                </w:pPr>
                <w:r>
                  <w:rPr>
                    <w:color w:val="000000"/>
                  </w:rPr>
                  <w:t>70mg/L</w:t>
                </w:r>
              </w:p>
            </w:tc>
            <w:tc>
              <w:tcPr>
                <w:tcW w:w="2126" w:type="dxa"/>
                <w:tcBorders>
                  <w:top w:val="single" w:sz="4" w:space="0" w:color="auto"/>
                  <w:left w:val="nil"/>
                  <w:bottom w:val="single" w:sz="4" w:space="0" w:color="auto"/>
                  <w:right w:val="single" w:sz="4" w:space="0" w:color="auto"/>
                </w:tcBorders>
                <w:vAlign w:val="center"/>
              </w:tcPr>
              <w:p w14:paraId="7847B858" w14:textId="77777777" w:rsidR="002D0AE7" w:rsidRDefault="00333EBB">
                <w:pPr>
                  <w:rPr>
                    <w:rFonts w:hint="eastAsia"/>
                    <w:color w:val="000000"/>
                  </w:rPr>
                </w:pPr>
                <w:r>
                  <w:rPr>
                    <w:rFonts w:hint="eastAsia"/>
                    <w:color w:val="000000"/>
                  </w:rPr>
                  <w:t>总氮的测定碱性过硫酸钾消解紫外分光光度法</w:t>
                </w:r>
                <w:r>
                  <w:rPr>
                    <w:rFonts w:cs="Calibri" w:hint="eastAsia"/>
                    <w:color w:val="000000"/>
                  </w:rPr>
                  <w:t>HJ636-2012</w:t>
                </w:r>
              </w:p>
            </w:tc>
            <w:tc>
              <w:tcPr>
                <w:tcW w:w="2126" w:type="dxa"/>
                <w:tcBorders>
                  <w:top w:val="single" w:sz="4" w:space="0" w:color="auto"/>
                  <w:left w:val="nil"/>
                  <w:bottom w:val="single" w:sz="4" w:space="0" w:color="auto"/>
                  <w:right w:val="single" w:sz="4" w:space="0" w:color="auto"/>
                </w:tcBorders>
                <w:vAlign w:val="center"/>
              </w:tcPr>
              <w:p w14:paraId="727802A0" w14:textId="77777777" w:rsidR="002D0AE7" w:rsidRDefault="00333EBB">
                <w:pPr>
                  <w:rPr>
                    <w:rFonts w:hint="eastAsia"/>
                    <w:color w:val="000000"/>
                  </w:rPr>
                </w:pPr>
                <w:r>
                  <w:rPr>
                    <w:rFonts w:hint="eastAsia"/>
                    <w:color w:val="000000"/>
                  </w:rPr>
                  <w:t>紫外可见分光光度计</w:t>
                </w:r>
              </w:p>
            </w:tc>
            <w:tc>
              <w:tcPr>
                <w:tcW w:w="992" w:type="dxa"/>
                <w:tcBorders>
                  <w:top w:val="single" w:sz="4" w:space="0" w:color="auto"/>
                  <w:left w:val="nil"/>
                  <w:bottom w:val="single" w:sz="4" w:space="0" w:color="auto"/>
                  <w:right w:val="single" w:sz="4" w:space="0" w:color="auto"/>
                </w:tcBorders>
                <w:vAlign w:val="center"/>
              </w:tcPr>
              <w:p w14:paraId="01099B4E" w14:textId="77777777" w:rsidR="002D0AE7" w:rsidRDefault="00333EBB">
                <w:pPr>
                  <w:rPr>
                    <w:rFonts w:hint="eastAsia"/>
                    <w:color w:val="000000"/>
                  </w:rPr>
                </w:pPr>
                <w:r>
                  <w:rPr>
                    <w:rFonts w:cs="Calibri" w:hint="eastAsia"/>
                    <w:color w:val="000000"/>
                  </w:rPr>
                  <w:t>1</w:t>
                </w:r>
                <w:r>
                  <w:rPr>
                    <w:rFonts w:hint="eastAsia"/>
                    <w:color w:val="000000"/>
                  </w:rPr>
                  <w:t>次</w:t>
                </w:r>
                <w:r>
                  <w:rPr>
                    <w:rFonts w:cs="Calibri" w:hint="eastAsia"/>
                    <w:color w:val="000000"/>
                  </w:rPr>
                  <w:t>/</w:t>
                </w:r>
                <w:r>
                  <w:rPr>
                    <w:rFonts w:hint="eastAsia"/>
                    <w:color w:val="000000"/>
                  </w:rPr>
                  <w:t>季</w:t>
                </w:r>
              </w:p>
            </w:tc>
            <w:tc>
              <w:tcPr>
                <w:tcW w:w="1276" w:type="dxa"/>
                <w:tcBorders>
                  <w:top w:val="single" w:sz="4" w:space="0" w:color="auto"/>
                  <w:left w:val="nil"/>
                  <w:bottom w:val="single" w:sz="4" w:space="0" w:color="auto"/>
                  <w:right w:val="single" w:sz="4" w:space="0" w:color="auto"/>
                </w:tcBorders>
                <w:vAlign w:val="center"/>
              </w:tcPr>
              <w:p w14:paraId="6897B775" w14:textId="77777777" w:rsidR="002D0AE7" w:rsidRDefault="00333EBB">
                <w:pPr>
                  <w:rPr>
                    <w:rFonts w:hint="eastAsia"/>
                    <w:color w:val="000000"/>
                  </w:rPr>
                </w:pPr>
                <w:r>
                  <w:rPr>
                    <w:rFonts w:hint="eastAsia"/>
                    <w:color w:val="000000"/>
                  </w:rPr>
                  <w:t>瞬时采样至少</w:t>
                </w:r>
                <w:r>
                  <w:rPr>
                    <w:rFonts w:cs="Calibri" w:hint="eastAsia"/>
                    <w:color w:val="000000"/>
                  </w:rPr>
                  <w:t>3</w:t>
                </w:r>
                <w:r>
                  <w:rPr>
                    <w:rFonts w:hint="eastAsia"/>
                    <w:color w:val="000000"/>
                  </w:rPr>
                  <w:t>个瞬时样</w:t>
                </w:r>
              </w:p>
            </w:tc>
          </w:tr>
          <w:tr w:rsidR="002D0AE7" w14:paraId="78E602F2" w14:textId="77777777">
            <w:trPr>
              <w:trHeight w:val="980"/>
              <w:jc w:val="center"/>
            </w:trPr>
            <w:tc>
              <w:tcPr>
                <w:tcW w:w="846" w:type="dxa"/>
                <w:vMerge/>
                <w:tcBorders>
                  <w:top w:val="nil"/>
                  <w:left w:val="single" w:sz="4" w:space="0" w:color="auto"/>
                  <w:bottom w:val="single" w:sz="4" w:space="0" w:color="auto"/>
                  <w:right w:val="single" w:sz="4" w:space="0" w:color="auto"/>
                </w:tcBorders>
                <w:vAlign w:val="center"/>
              </w:tcPr>
              <w:p w14:paraId="223132E0" w14:textId="77777777" w:rsidR="002D0AE7" w:rsidRDefault="002D0AE7">
                <w:pPr>
                  <w:rPr>
                    <w:rFonts w:ascii="Calibri" w:hAnsi="Calibri"/>
                    <w:color w:val="000000"/>
                    <w:kern w:val="2"/>
                  </w:rPr>
                </w:pPr>
              </w:p>
            </w:tc>
            <w:tc>
              <w:tcPr>
                <w:tcW w:w="1276" w:type="dxa"/>
                <w:tcBorders>
                  <w:top w:val="single" w:sz="4" w:space="0" w:color="auto"/>
                  <w:left w:val="nil"/>
                  <w:bottom w:val="single" w:sz="4" w:space="0" w:color="auto"/>
                  <w:right w:val="single" w:sz="4" w:space="0" w:color="auto"/>
                </w:tcBorders>
                <w:vAlign w:val="center"/>
              </w:tcPr>
              <w:p w14:paraId="54797272" w14:textId="77777777" w:rsidR="002D0AE7" w:rsidRDefault="00333EBB">
                <w:pPr>
                  <w:rPr>
                    <w:rFonts w:ascii="Calibri" w:hAnsi="Calibri"/>
                    <w:color w:val="000000"/>
                  </w:rPr>
                </w:pPr>
                <w:r>
                  <w:rPr>
                    <w:color w:val="000000"/>
                  </w:rPr>
                  <w:t>PH</w:t>
                </w:r>
              </w:p>
            </w:tc>
            <w:tc>
              <w:tcPr>
                <w:tcW w:w="1134" w:type="dxa"/>
                <w:tcBorders>
                  <w:top w:val="single" w:sz="4" w:space="0" w:color="auto"/>
                  <w:left w:val="nil"/>
                  <w:bottom w:val="single" w:sz="4" w:space="0" w:color="auto"/>
                  <w:right w:val="single" w:sz="4" w:space="0" w:color="auto"/>
                </w:tcBorders>
                <w:vAlign w:val="center"/>
              </w:tcPr>
              <w:p w14:paraId="52286CA9" w14:textId="77777777" w:rsidR="002D0AE7" w:rsidRDefault="00333EBB">
                <w:pPr>
                  <w:rPr>
                    <w:rFonts w:hint="eastAsia"/>
                    <w:color w:val="000000"/>
                  </w:rPr>
                </w:pPr>
                <w:r>
                  <w:rPr>
                    <w:color w:val="000000"/>
                  </w:rPr>
                  <w:t>6-9mg/L</w:t>
                </w:r>
              </w:p>
            </w:tc>
            <w:tc>
              <w:tcPr>
                <w:tcW w:w="2126" w:type="dxa"/>
                <w:tcBorders>
                  <w:top w:val="single" w:sz="4" w:space="0" w:color="auto"/>
                  <w:left w:val="nil"/>
                  <w:bottom w:val="single" w:sz="4" w:space="0" w:color="auto"/>
                  <w:right w:val="single" w:sz="4" w:space="0" w:color="auto"/>
                </w:tcBorders>
                <w:vAlign w:val="center"/>
              </w:tcPr>
              <w:p w14:paraId="73DD62C9" w14:textId="77777777" w:rsidR="002D0AE7" w:rsidRDefault="00333EBB">
                <w:pPr>
                  <w:rPr>
                    <w:rFonts w:hint="eastAsia"/>
                    <w:color w:val="000000"/>
                  </w:rPr>
                </w:pPr>
                <w:r>
                  <w:rPr>
                    <w:rFonts w:hint="eastAsia"/>
                    <w:color w:val="000000"/>
                  </w:rPr>
                  <w:t>玻璃电极法</w:t>
                </w:r>
              </w:p>
            </w:tc>
            <w:tc>
              <w:tcPr>
                <w:tcW w:w="2126" w:type="dxa"/>
                <w:tcBorders>
                  <w:top w:val="single" w:sz="4" w:space="0" w:color="auto"/>
                  <w:left w:val="nil"/>
                  <w:bottom w:val="single" w:sz="4" w:space="0" w:color="auto"/>
                  <w:right w:val="single" w:sz="4" w:space="0" w:color="auto"/>
                </w:tcBorders>
                <w:vAlign w:val="center"/>
              </w:tcPr>
              <w:p w14:paraId="0F23BF98" w14:textId="77777777" w:rsidR="002D0AE7" w:rsidRDefault="00333EBB">
                <w:pPr>
                  <w:rPr>
                    <w:rFonts w:hint="eastAsia"/>
                    <w:color w:val="000000"/>
                  </w:rPr>
                </w:pPr>
                <w:r>
                  <w:rPr>
                    <w:rFonts w:hint="eastAsia"/>
                    <w:color w:val="000000"/>
                  </w:rPr>
                  <w:t>自动在线监测设备</w:t>
                </w:r>
              </w:p>
            </w:tc>
            <w:tc>
              <w:tcPr>
                <w:tcW w:w="992" w:type="dxa"/>
                <w:tcBorders>
                  <w:top w:val="single" w:sz="4" w:space="0" w:color="auto"/>
                  <w:left w:val="nil"/>
                  <w:bottom w:val="single" w:sz="4" w:space="0" w:color="auto"/>
                  <w:right w:val="single" w:sz="4" w:space="0" w:color="auto"/>
                </w:tcBorders>
                <w:vAlign w:val="center"/>
              </w:tcPr>
              <w:p w14:paraId="6979E662" w14:textId="77777777" w:rsidR="002D0AE7" w:rsidRDefault="00333EBB">
                <w:pPr>
                  <w:rPr>
                    <w:rFonts w:ascii="Times New Roman" w:hAnsi="Times New Roman"/>
                    <w:color w:val="000000"/>
                  </w:rPr>
                </w:pPr>
                <w:r>
                  <w:rPr>
                    <w:rFonts w:ascii="Times New Roman" w:hAnsi="Times New Roman"/>
                    <w:color w:val="000000"/>
                  </w:rPr>
                  <w:t>24</w:t>
                </w:r>
                <w:r>
                  <w:rPr>
                    <w:rFonts w:hint="eastAsia"/>
                    <w:color w:val="000000"/>
                  </w:rPr>
                  <w:t>小时连续监测</w:t>
                </w:r>
              </w:p>
            </w:tc>
            <w:tc>
              <w:tcPr>
                <w:tcW w:w="1276" w:type="dxa"/>
                <w:tcBorders>
                  <w:top w:val="single" w:sz="4" w:space="0" w:color="auto"/>
                  <w:left w:val="nil"/>
                  <w:bottom w:val="single" w:sz="4" w:space="0" w:color="auto"/>
                  <w:right w:val="single" w:sz="4" w:space="0" w:color="auto"/>
                </w:tcBorders>
                <w:vAlign w:val="center"/>
              </w:tcPr>
              <w:p w14:paraId="04883857" w14:textId="77777777" w:rsidR="002D0AE7" w:rsidRDefault="00333EBB">
                <w:pPr>
                  <w:jc w:val="center"/>
                  <w:rPr>
                    <w:rFonts w:ascii="Calibri" w:hAnsi="Calibri"/>
                    <w:color w:val="000000"/>
                  </w:rPr>
                </w:pPr>
                <w:r>
                  <w:rPr>
                    <w:rFonts w:cs="Calibri"/>
                    <w:color w:val="000000"/>
                  </w:rPr>
                  <w:t>/</w:t>
                </w:r>
              </w:p>
            </w:tc>
          </w:tr>
          <w:tr w:rsidR="002D0AE7" w14:paraId="7006636D" w14:textId="77777777">
            <w:trPr>
              <w:trHeight w:val="980"/>
              <w:jc w:val="center"/>
            </w:trPr>
            <w:tc>
              <w:tcPr>
                <w:tcW w:w="846" w:type="dxa"/>
                <w:vMerge/>
                <w:tcBorders>
                  <w:top w:val="nil"/>
                  <w:left w:val="single" w:sz="4" w:space="0" w:color="auto"/>
                  <w:bottom w:val="single" w:sz="4" w:space="0" w:color="auto"/>
                  <w:right w:val="single" w:sz="4" w:space="0" w:color="auto"/>
                </w:tcBorders>
                <w:vAlign w:val="center"/>
              </w:tcPr>
              <w:p w14:paraId="2B0BF799" w14:textId="77777777" w:rsidR="002D0AE7" w:rsidRDefault="002D0AE7">
                <w:pPr>
                  <w:rPr>
                    <w:rFonts w:ascii="Calibri" w:hAnsi="Calibri"/>
                    <w:color w:val="000000"/>
                    <w:kern w:val="2"/>
                  </w:rPr>
                </w:pPr>
              </w:p>
            </w:tc>
            <w:tc>
              <w:tcPr>
                <w:tcW w:w="1276" w:type="dxa"/>
                <w:tcBorders>
                  <w:top w:val="single" w:sz="4" w:space="0" w:color="auto"/>
                  <w:left w:val="nil"/>
                  <w:bottom w:val="single" w:sz="4" w:space="0" w:color="auto"/>
                  <w:right w:val="single" w:sz="4" w:space="0" w:color="auto"/>
                </w:tcBorders>
                <w:vAlign w:val="center"/>
              </w:tcPr>
              <w:p w14:paraId="052681D3" w14:textId="77777777" w:rsidR="002D0AE7" w:rsidRDefault="00333EBB">
                <w:pPr>
                  <w:rPr>
                    <w:rFonts w:hint="eastAsia"/>
                    <w:color w:val="000000"/>
                  </w:rPr>
                </w:pPr>
                <w:r>
                  <w:rPr>
                    <w:rFonts w:hint="eastAsia"/>
                    <w:color w:val="000000"/>
                  </w:rPr>
                  <w:t>总磷</w:t>
                </w:r>
              </w:p>
            </w:tc>
            <w:tc>
              <w:tcPr>
                <w:tcW w:w="1134" w:type="dxa"/>
                <w:tcBorders>
                  <w:top w:val="single" w:sz="4" w:space="0" w:color="auto"/>
                  <w:left w:val="nil"/>
                  <w:bottom w:val="single" w:sz="4" w:space="0" w:color="auto"/>
                  <w:right w:val="single" w:sz="4" w:space="0" w:color="auto"/>
                </w:tcBorders>
                <w:vAlign w:val="center"/>
              </w:tcPr>
              <w:p w14:paraId="314F3BF1" w14:textId="77777777" w:rsidR="002D0AE7" w:rsidRDefault="00333EBB">
                <w:pPr>
                  <w:rPr>
                    <w:rFonts w:ascii="Calibri" w:hAnsi="Calibri"/>
                    <w:color w:val="000000"/>
                  </w:rPr>
                </w:pPr>
                <w:r>
                  <w:rPr>
                    <w:color w:val="000000"/>
                  </w:rPr>
                  <w:t>8mg/L</w:t>
                </w:r>
              </w:p>
            </w:tc>
            <w:tc>
              <w:tcPr>
                <w:tcW w:w="2126" w:type="dxa"/>
                <w:tcBorders>
                  <w:top w:val="single" w:sz="4" w:space="0" w:color="auto"/>
                  <w:left w:val="nil"/>
                  <w:bottom w:val="single" w:sz="4" w:space="0" w:color="auto"/>
                  <w:right w:val="single" w:sz="4" w:space="0" w:color="auto"/>
                </w:tcBorders>
                <w:vAlign w:val="center"/>
              </w:tcPr>
              <w:p w14:paraId="47BB608C" w14:textId="77777777" w:rsidR="002D0AE7" w:rsidRDefault="00333EBB">
                <w:pPr>
                  <w:rPr>
                    <w:rFonts w:hint="eastAsia"/>
                    <w:color w:val="000000"/>
                  </w:rPr>
                </w:pPr>
                <w:r>
                  <w:rPr>
                    <w:rFonts w:hint="eastAsia"/>
                    <w:color w:val="000000"/>
                  </w:rPr>
                  <w:t>水质总磷的测定钼酸铵分光光度法</w:t>
                </w:r>
                <w:r>
                  <w:rPr>
                    <w:rFonts w:cs="Calibri" w:hint="eastAsia"/>
                    <w:color w:val="000000"/>
                  </w:rPr>
                  <w:t>GB11893-1989</w:t>
                </w:r>
              </w:p>
            </w:tc>
            <w:tc>
              <w:tcPr>
                <w:tcW w:w="2126" w:type="dxa"/>
                <w:tcBorders>
                  <w:top w:val="single" w:sz="4" w:space="0" w:color="auto"/>
                  <w:left w:val="nil"/>
                  <w:bottom w:val="single" w:sz="4" w:space="0" w:color="auto"/>
                  <w:right w:val="single" w:sz="4" w:space="0" w:color="auto"/>
                </w:tcBorders>
                <w:vAlign w:val="center"/>
              </w:tcPr>
              <w:p w14:paraId="7A73A616" w14:textId="77777777" w:rsidR="002D0AE7" w:rsidRDefault="00333EBB">
                <w:pPr>
                  <w:rPr>
                    <w:rFonts w:hint="eastAsia"/>
                    <w:color w:val="000000"/>
                  </w:rPr>
                </w:pPr>
                <w:r>
                  <w:rPr>
                    <w:rFonts w:hint="eastAsia"/>
                    <w:color w:val="000000"/>
                  </w:rPr>
                  <w:t>紫外可见分光光度计</w:t>
                </w:r>
              </w:p>
            </w:tc>
            <w:tc>
              <w:tcPr>
                <w:tcW w:w="992" w:type="dxa"/>
                <w:tcBorders>
                  <w:top w:val="single" w:sz="4" w:space="0" w:color="auto"/>
                  <w:left w:val="nil"/>
                  <w:bottom w:val="single" w:sz="4" w:space="0" w:color="auto"/>
                  <w:right w:val="single" w:sz="4" w:space="0" w:color="auto"/>
                </w:tcBorders>
                <w:vAlign w:val="center"/>
              </w:tcPr>
              <w:p w14:paraId="41B781EB" w14:textId="77777777" w:rsidR="002D0AE7" w:rsidRDefault="00333EBB">
                <w:pPr>
                  <w:rPr>
                    <w:rFonts w:ascii="Calibri" w:hAnsi="Calibri"/>
                    <w:color w:val="000000"/>
                  </w:rPr>
                </w:pPr>
                <w:r>
                  <w:rPr>
                    <w:color w:val="000000"/>
                  </w:rPr>
                  <w:t>1</w:t>
                </w:r>
                <w:r>
                  <w:rPr>
                    <w:rFonts w:hint="eastAsia"/>
                    <w:color w:val="000000"/>
                  </w:rPr>
                  <w:t>次</w:t>
                </w:r>
                <w:r>
                  <w:rPr>
                    <w:color w:val="000000"/>
                  </w:rPr>
                  <w:t>/</w:t>
                </w:r>
                <w:r>
                  <w:rPr>
                    <w:rFonts w:hint="eastAsia"/>
                    <w:color w:val="000000"/>
                  </w:rPr>
                  <w:t>季</w:t>
                </w:r>
              </w:p>
            </w:tc>
            <w:tc>
              <w:tcPr>
                <w:tcW w:w="1276" w:type="dxa"/>
                <w:tcBorders>
                  <w:top w:val="single" w:sz="4" w:space="0" w:color="auto"/>
                  <w:left w:val="nil"/>
                  <w:bottom w:val="single" w:sz="4" w:space="0" w:color="auto"/>
                  <w:right w:val="single" w:sz="4" w:space="0" w:color="auto"/>
                </w:tcBorders>
                <w:vAlign w:val="center"/>
              </w:tcPr>
              <w:p w14:paraId="37FFEBD0" w14:textId="77777777" w:rsidR="002D0AE7" w:rsidRDefault="00333EBB">
                <w:pPr>
                  <w:rPr>
                    <w:rFonts w:hint="eastAsia"/>
                    <w:color w:val="000000"/>
                  </w:rPr>
                </w:pPr>
                <w:r>
                  <w:rPr>
                    <w:rFonts w:hint="eastAsia"/>
                    <w:color w:val="000000"/>
                  </w:rPr>
                  <w:t>瞬时采样至少</w:t>
                </w:r>
                <w:r>
                  <w:rPr>
                    <w:rFonts w:cs="Calibri" w:hint="eastAsia"/>
                    <w:color w:val="000000"/>
                  </w:rPr>
                  <w:t>3</w:t>
                </w:r>
                <w:r>
                  <w:rPr>
                    <w:rFonts w:hint="eastAsia"/>
                    <w:color w:val="000000"/>
                  </w:rPr>
                  <w:t>个瞬时样</w:t>
                </w:r>
              </w:p>
            </w:tc>
          </w:tr>
          <w:tr w:rsidR="002D0AE7" w14:paraId="693F4492" w14:textId="77777777">
            <w:trPr>
              <w:trHeight w:val="980"/>
              <w:jc w:val="center"/>
            </w:trPr>
            <w:tc>
              <w:tcPr>
                <w:tcW w:w="846" w:type="dxa"/>
                <w:vMerge/>
                <w:tcBorders>
                  <w:top w:val="nil"/>
                  <w:left w:val="single" w:sz="4" w:space="0" w:color="auto"/>
                  <w:bottom w:val="single" w:sz="4" w:space="0" w:color="auto"/>
                  <w:right w:val="single" w:sz="4" w:space="0" w:color="auto"/>
                </w:tcBorders>
                <w:vAlign w:val="center"/>
              </w:tcPr>
              <w:p w14:paraId="402136C5" w14:textId="77777777" w:rsidR="002D0AE7" w:rsidRDefault="002D0AE7">
                <w:pPr>
                  <w:rPr>
                    <w:rFonts w:ascii="Calibri" w:hAnsi="Calibri"/>
                    <w:color w:val="000000"/>
                    <w:kern w:val="2"/>
                  </w:rPr>
                </w:pPr>
              </w:p>
            </w:tc>
            <w:tc>
              <w:tcPr>
                <w:tcW w:w="1276" w:type="dxa"/>
                <w:tcBorders>
                  <w:top w:val="single" w:sz="4" w:space="0" w:color="auto"/>
                  <w:left w:val="nil"/>
                  <w:bottom w:val="single" w:sz="4" w:space="0" w:color="auto"/>
                  <w:right w:val="single" w:sz="4" w:space="0" w:color="auto"/>
                </w:tcBorders>
                <w:vAlign w:val="center"/>
              </w:tcPr>
              <w:p w14:paraId="553F0C3E" w14:textId="77777777" w:rsidR="002D0AE7" w:rsidRDefault="00333EBB">
                <w:pPr>
                  <w:rPr>
                    <w:rFonts w:ascii="Calibri" w:hAnsi="Calibri"/>
                    <w:color w:val="000000"/>
                  </w:rPr>
                </w:pPr>
                <w:r>
                  <w:rPr>
                    <w:color w:val="000000"/>
                  </w:rPr>
                  <w:t>BOD</w:t>
                </w:r>
                <w:r>
                  <w:rPr>
                    <w:color w:val="000000"/>
                    <w:vertAlign w:val="subscript"/>
                  </w:rPr>
                  <w:t>5</w:t>
                </w:r>
              </w:p>
            </w:tc>
            <w:tc>
              <w:tcPr>
                <w:tcW w:w="1134" w:type="dxa"/>
                <w:tcBorders>
                  <w:top w:val="single" w:sz="4" w:space="0" w:color="auto"/>
                  <w:left w:val="nil"/>
                  <w:bottom w:val="single" w:sz="4" w:space="0" w:color="auto"/>
                  <w:right w:val="single" w:sz="4" w:space="0" w:color="auto"/>
                </w:tcBorders>
                <w:vAlign w:val="center"/>
              </w:tcPr>
              <w:p w14:paraId="6EC576D8" w14:textId="77777777" w:rsidR="002D0AE7" w:rsidRDefault="00333EBB">
                <w:pPr>
                  <w:rPr>
                    <w:rFonts w:hint="eastAsia"/>
                    <w:color w:val="000000"/>
                  </w:rPr>
                </w:pPr>
                <w:r>
                  <w:rPr>
                    <w:color w:val="000000"/>
                  </w:rPr>
                  <w:t>300mg/L</w:t>
                </w:r>
              </w:p>
            </w:tc>
            <w:tc>
              <w:tcPr>
                <w:tcW w:w="2126" w:type="dxa"/>
                <w:tcBorders>
                  <w:top w:val="single" w:sz="4" w:space="0" w:color="auto"/>
                  <w:left w:val="nil"/>
                  <w:bottom w:val="single" w:sz="4" w:space="0" w:color="auto"/>
                  <w:right w:val="single" w:sz="4" w:space="0" w:color="auto"/>
                </w:tcBorders>
                <w:vAlign w:val="center"/>
              </w:tcPr>
              <w:p w14:paraId="286D31E2" w14:textId="77777777" w:rsidR="002D0AE7" w:rsidRDefault="00333EBB">
                <w:pPr>
                  <w:rPr>
                    <w:rFonts w:hint="eastAsia"/>
                    <w:color w:val="000000"/>
                  </w:rPr>
                </w:pPr>
                <w:r>
                  <w:rPr>
                    <w:rFonts w:hint="eastAsia"/>
                    <w:color w:val="000000"/>
                  </w:rPr>
                  <w:t>水质五日生化需氧量（</w:t>
                </w:r>
                <w:r>
                  <w:rPr>
                    <w:rFonts w:cs="Calibri" w:hint="eastAsia"/>
                    <w:color w:val="000000"/>
                  </w:rPr>
                  <w:t>BOD5</w:t>
                </w:r>
                <w:r>
                  <w:rPr>
                    <w:rFonts w:hint="eastAsia"/>
                    <w:color w:val="000000"/>
                  </w:rPr>
                  <w:t>）的测定稀释与接种法</w:t>
                </w:r>
                <w:r>
                  <w:rPr>
                    <w:rFonts w:cs="Calibri" w:hint="eastAsia"/>
                    <w:color w:val="000000"/>
                  </w:rPr>
                  <w:t>HJ505-2009</w:t>
                </w:r>
              </w:p>
            </w:tc>
            <w:tc>
              <w:tcPr>
                <w:tcW w:w="2126" w:type="dxa"/>
                <w:tcBorders>
                  <w:top w:val="single" w:sz="4" w:space="0" w:color="auto"/>
                  <w:left w:val="nil"/>
                  <w:bottom w:val="single" w:sz="4" w:space="0" w:color="auto"/>
                  <w:right w:val="single" w:sz="4" w:space="0" w:color="auto"/>
                </w:tcBorders>
                <w:vAlign w:val="center"/>
              </w:tcPr>
              <w:p w14:paraId="001F76DC" w14:textId="77777777" w:rsidR="002D0AE7" w:rsidRDefault="00333EBB">
                <w:pPr>
                  <w:rPr>
                    <w:rFonts w:hint="eastAsia"/>
                    <w:color w:val="000000"/>
                  </w:rPr>
                </w:pPr>
                <w:r>
                  <w:rPr>
                    <w:rFonts w:hint="eastAsia"/>
                    <w:color w:val="000000"/>
                  </w:rPr>
                  <w:t>生化培养箱、溶解氧测定仪</w:t>
                </w:r>
              </w:p>
            </w:tc>
            <w:tc>
              <w:tcPr>
                <w:tcW w:w="992" w:type="dxa"/>
                <w:tcBorders>
                  <w:top w:val="single" w:sz="4" w:space="0" w:color="auto"/>
                  <w:left w:val="nil"/>
                  <w:bottom w:val="single" w:sz="4" w:space="0" w:color="auto"/>
                  <w:right w:val="single" w:sz="4" w:space="0" w:color="auto"/>
                </w:tcBorders>
                <w:vAlign w:val="center"/>
              </w:tcPr>
              <w:p w14:paraId="521F7B89" w14:textId="77777777" w:rsidR="002D0AE7" w:rsidRDefault="00333EBB">
                <w:pPr>
                  <w:rPr>
                    <w:rFonts w:hint="eastAsia"/>
                    <w:color w:val="000000"/>
                  </w:rPr>
                </w:pPr>
                <w:r>
                  <w:rPr>
                    <w:rFonts w:cs="Calibri" w:hint="eastAsia"/>
                    <w:color w:val="000000"/>
                  </w:rPr>
                  <w:t>1</w:t>
                </w:r>
                <w:r>
                  <w:rPr>
                    <w:rFonts w:hint="eastAsia"/>
                    <w:color w:val="000000"/>
                  </w:rPr>
                  <w:t>次</w:t>
                </w:r>
                <w:r>
                  <w:rPr>
                    <w:rFonts w:cs="Calibri" w:hint="eastAsia"/>
                    <w:color w:val="000000"/>
                  </w:rPr>
                  <w:t>/</w:t>
                </w:r>
                <w:r>
                  <w:rPr>
                    <w:rFonts w:hint="eastAsia"/>
                    <w:color w:val="000000"/>
                  </w:rPr>
                  <w:t>季</w:t>
                </w:r>
              </w:p>
            </w:tc>
            <w:tc>
              <w:tcPr>
                <w:tcW w:w="1276" w:type="dxa"/>
                <w:tcBorders>
                  <w:top w:val="single" w:sz="4" w:space="0" w:color="auto"/>
                  <w:left w:val="nil"/>
                  <w:bottom w:val="single" w:sz="4" w:space="0" w:color="auto"/>
                  <w:right w:val="single" w:sz="4" w:space="0" w:color="auto"/>
                </w:tcBorders>
                <w:vAlign w:val="center"/>
              </w:tcPr>
              <w:p w14:paraId="1CD317A8" w14:textId="77777777" w:rsidR="002D0AE7" w:rsidRDefault="00333EBB">
                <w:pPr>
                  <w:rPr>
                    <w:rFonts w:hint="eastAsia"/>
                    <w:color w:val="000000"/>
                  </w:rPr>
                </w:pPr>
                <w:r>
                  <w:rPr>
                    <w:rFonts w:hint="eastAsia"/>
                    <w:color w:val="000000"/>
                  </w:rPr>
                  <w:t>瞬时采样至少</w:t>
                </w:r>
                <w:r>
                  <w:rPr>
                    <w:rFonts w:cs="Calibri" w:hint="eastAsia"/>
                    <w:color w:val="000000"/>
                  </w:rPr>
                  <w:t>3</w:t>
                </w:r>
                <w:r>
                  <w:rPr>
                    <w:rFonts w:hint="eastAsia"/>
                    <w:color w:val="000000"/>
                  </w:rPr>
                  <w:t>个瞬时样</w:t>
                </w:r>
              </w:p>
            </w:tc>
          </w:tr>
          <w:tr w:rsidR="002D0AE7" w14:paraId="6CD74AEF" w14:textId="77777777">
            <w:trPr>
              <w:trHeight w:val="980"/>
              <w:jc w:val="center"/>
            </w:trPr>
            <w:tc>
              <w:tcPr>
                <w:tcW w:w="846" w:type="dxa"/>
                <w:vMerge/>
                <w:tcBorders>
                  <w:top w:val="nil"/>
                  <w:left w:val="single" w:sz="4" w:space="0" w:color="auto"/>
                  <w:bottom w:val="single" w:sz="4" w:space="0" w:color="auto"/>
                  <w:right w:val="single" w:sz="4" w:space="0" w:color="auto"/>
                </w:tcBorders>
                <w:vAlign w:val="center"/>
              </w:tcPr>
              <w:p w14:paraId="3B368C40" w14:textId="77777777" w:rsidR="002D0AE7" w:rsidRDefault="002D0AE7">
                <w:pPr>
                  <w:rPr>
                    <w:rFonts w:ascii="Calibri" w:hAnsi="Calibri"/>
                    <w:color w:val="000000"/>
                    <w:kern w:val="2"/>
                  </w:rPr>
                </w:pPr>
              </w:p>
            </w:tc>
            <w:tc>
              <w:tcPr>
                <w:tcW w:w="1276" w:type="dxa"/>
                <w:tcBorders>
                  <w:top w:val="single" w:sz="4" w:space="0" w:color="auto"/>
                  <w:left w:val="nil"/>
                  <w:bottom w:val="single" w:sz="4" w:space="0" w:color="auto"/>
                  <w:right w:val="single" w:sz="4" w:space="0" w:color="auto"/>
                </w:tcBorders>
                <w:vAlign w:val="center"/>
              </w:tcPr>
              <w:p w14:paraId="36AF4CB7" w14:textId="77777777" w:rsidR="002D0AE7" w:rsidRDefault="00333EBB">
                <w:pPr>
                  <w:rPr>
                    <w:rFonts w:hint="eastAsia"/>
                    <w:color w:val="000000"/>
                  </w:rPr>
                </w:pPr>
                <w:r>
                  <w:rPr>
                    <w:rFonts w:hint="eastAsia"/>
                    <w:color w:val="000000"/>
                  </w:rPr>
                  <w:t>悬浮物</w:t>
                </w:r>
              </w:p>
            </w:tc>
            <w:tc>
              <w:tcPr>
                <w:tcW w:w="1134" w:type="dxa"/>
                <w:tcBorders>
                  <w:top w:val="single" w:sz="4" w:space="0" w:color="auto"/>
                  <w:left w:val="nil"/>
                  <w:bottom w:val="single" w:sz="4" w:space="0" w:color="auto"/>
                  <w:right w:val="single" w:sz="4" w:space="0" w:color="auto"/>
                </w:tcBorders>
                <w:vAlign w:val="center"/>
              </w:tcPr>
              <w:p w14:paraId="7E1EDDAC" w14:textId="77777777" w:rsidR="002D0AE7" w:rsidRDefault="00333EBB">
                <w:pPr>
                  <w:rPr>
                    <w:rFonts w:ascii="Calibri" w:hAnsi="Calibri"/>
                    <w:color w:val="000000"/>
                  </w:rPr>
                </w:pPr>
                <w:r>
                  <w:rPr>
                    <w:color w:val="000000"/>
                  </w:rPr>
                  <w:t>400mg/L</w:t>
                </w:r>
              </w:p>
            </w:tc>
            <w:tc>
              <w:tcPr>
                <w:tcW w:w="2126" w:type="dxa"/>
                <w:tcBorders>
                  <w:top w:val="single" w:sz="4" w:space="0" w:color="auto"/>
                  <w:left w:val="nil"/>
                  <w:bottom w:val="single" w:sz="4" w:space="0" w:color="auto"/>
                  <w:right w:val="single" w:sz="4" w:space="0" w:color="auto"/>
                </w:tcBorders>
                <w:vAlign w:val="center"/>
              </w:tcPr>
              <w:p w14:paraId="012AFD7C" w14:textId="77777777" w:rsidR="002D0AE7" w:rsidRDefault="00333EBB">
                <w:pPr>
                  <w:rPr>
                    <w:rFonts w:hint="eastAsia"/>
                    <w:color w:val="000000"/>
                  </w:rPr>
                </w:pPr>
                <w:r>
                  <w:rPr>
                    <w:rFonts w:hint="eastAsia"/>
                    <w:color w:val="000000"/>
                  </w:rPr>
                  <w:t>水质悬浮物的测定重量法</w:t>
                </w:r>
                <w:r>
                  <w:rPr>
                    <w:rFonts w:cs="Calibri" w:hint="eastAsia"/>
                    <w:color w:val="000000"/>
                  </w:rPr>
                  <w:t>GB11901-1989</w:t>
                </w:r>
              </w:p>
            </w:tc>
            <w:tc>
              <w:tcPr>
                <w:tcW w:w="2126" w:type="dxa"/>
                <w:tcBorders>
                  <w:top w:val="single" w:sz="4" w:space="0" w:color="auto"/>
                  <w:left w:val="nil"/>
                  <w:bottom w:val="single" w:sz="4" w:space="0" w:color="auto"/>
                  <w:right w:val="single" w:sz="4" w:space="0" w:color="auto"/>
                </w:tcBorders>
                <w:vAlign w:val="center"/>
              </w:tcPr>
              <w:p w14:paraId="694B2409" w14:textId="77777777" w:rsidR="002D0AE7" w:rsidRDefault="00333EBB">
                <w:pPr>
                  <w:rPr>
                    <w:rFonts w:hint="eastAsia"/>
                    <w:color w:val="000000"/>
                  </w:rPr>
                </w:pPr>
                <w:r>
                  <w:rPr>
                    <w:rFonts w:hint="eastAsia"/>
                    <w:color w:val="000000"/>
                  </w:rPr>
                  <w:t>电子天平；电热鼓风干燥箱</w:t>
                </w:r>
              </w:p>
            </w:tc>
            <w:tc>
              <w:tcPr>
                <w:tcW w:w="992" w:type="dxa"/>
                <w:tcBorders>
                  <w:top w:val="single" w:sz="4" w:space="0" w:color="auto"/>
                  <w:left w:val="nil"/>
                  <w:bottom w:val="single" w:sz="4" w:space="0" w:color="auto"/>
                  <w:right w:val="single" w:sz="4" w:space="0" w:color="auto"/>
                </w:tcBorders>
                <w:vAlign w:val="center"/>
              </w:tcPr>
              <w:p w14:paraId="02B24AA3" w14:textId="77777777" w:rsidR="002D0AE7" w:rsidRDefault="00333EBB">
                <w:pPr>
                  <w:rPr>
                    <w:rFonts w:hint="eastAsia"/>
                    <w:color w:val="000000"/>
                  </w:rPr>
                </w:pPr>
                <w:r>
                  <w:rPr>
                    <w:rFonts w:cs="Calibri" w:hint="eastAsia"/>
                    <w:color w:val="000000"/>
                  </w:rPr>
                  <w:t>1</w:t>
                </w:r>
                <w:r>
                  <w:rPr>
                    <w:rFonts w:hint="eastAsia"/>
                    <w:color w:val="000000"/>
                  </w:rPr>
                  <w:t>次</w:t>
                </w:r>
                <w:r>
                  <w:rPr>
                    <w:rFonts w:cs="Calibri" w:hint="eastAsia"/>
                    <w:color w:val="000000"/>
                  </w:rPr>
                  <w:t>/</w:t>
                </w:r>
                <w:r>
                  <w:rPr>
                    <w:rFonts w:hint="eastAsia"/>
                    <w:color w:val="000000"/>
                  </w:rPr>
                  <w:t>季</w:t>
                </w:r>
              </w:p>
            </w:tc>
            <w:tc>
              <w:tcPr>
                <w:tcW w:w="1276" w:type="dxa"/>
                <w:tcBorders>
                  <w:top w:val="single" w:sz="4" w:space="0" w:color="auto"/>
                  <w:left w:val="nil"/>
                  <w:bottom w:val="single" w:sz="4" w:space="0" w:color="auto"/>
                  <w:right w:val="single" w:sz="4" w:space="0" w:color="auto"/>
                </w:tcBorders>
                <w:vAlign w:val="center"/>
              </w:tcPr>
              <w:p w14:paraId="0CE5F43C" w14:textId="77777777" w:rsidR="002D0AE7" w:rsidRDefault="00333EBB">
                <w:pPr>
                  <w:rPr>
                    <w:rFonts w:hint="eastAsia"/>
                    <w:color w:val="000000"/>
                  </w:rPr>
                </w:pPr>
                <w:r>
                  <w:rPr>
                    <w:rFonts w:hint="eastAsia"/>
                    <w:color w:val="000000"/>
                  </w:rPr>
                  <w:t>瞬时采样至少</w:t>
                </w:r>
                <w:r>
                  <w:rPr>
                    <w:rFonts w:cs="Calibri" w:hint="eastAsia"/>
                    <w:color w:val="000000"/>
                  </w:rPr>
                  <w:t>3</w:t>
                </w:r>
                <w:r>
                  <w:rPr>
                    <w:rFonts w:hint="eastAsia"/>
                    <w:color w:val="000000"/>
                  </w:rPr>
                  <w:t>个瞬时样</w:t>
                </w:r>
              </w:p>
            </w:tc>
          </w:tr>
          <w:tr w:rsidR="002D0AE7" w14:paraId="2603F739" w14:textId="77777777">
            <w:trPr>
              <w:trHeight w:val="980"/>
              <w:jc w:val="center"/>
            </w:trPr>
            <w:tc>
              <w:tcPr>
                <w:tcW w:w="846" w:type="dxa"/>
                <w:vMerge/>
                <w:tcBorders>
                  <w:top w:val="nil"/>
                  <w:left w:val="single" w:sz="4" w:space="0" w:color="auto"/>
                  <w:bottom w:val="single" w:sz="4" w:space="0" w:color="auto"/>
                  <w:right w:val="single" w:sz="4" w:space="0" w:color="auto"/>
                </w:tcBorders>
                <w:vAlign w:val="center"/>
              </w:tcPr>
              <w:p w14:paraId="1A6298F2" w14:textId="77777777" w:rsidR="002D0AE7" w:rsidRDefault="002D0AE7">
                <w:pPr>
                  <w:rPr>
                    <w:rFonts w:ascii="Calibri" w:hAnsi="Calibri"/>
                    <w:color w:val="000000"/>
                    <w:kern w:val="2"/>
                  </w:rPr>
                </w:pPr>
              </w:p>
            </w:tc>
            <w:tc>
              <w:tcPr>
                <w:tcW w:w="1276" w:type="dxa"/>
                <w:tcBorders>
                  <w:top w:val="single" w:sz="4" w:space="0" w:color="auto"/>
                  <w:left w:val="nil"/>
                  <w:bottom w:val="single" w:sz="4" w:space="0" w:color="auto"/>
                  <w:right w:val="single" w:sz="4" w:space="0" w:color="auto"/>
                </w:tcBorders>
                <w:vAlign w:val="center"/>
              </w:tcPr>
              <w:p w14:paraId="53923648" w14:textId="77777777" w:rsidR="002D0AE7" w:rsidRDefault="00333EBB">
                <w:pPr>
                  <w:rPr>
                    <w:rFonts w:hint="eastAsia"/>
                    <w:color w:val="000000"/>
                  </w:rPr>
                </w:pPr>
                <w:r>
                  <w:rPr>
                    <w:rFonts w:hint="eastAsia"/>
                    <w:color w:val="000000"/>
                  </w:rPr>
                  <w:t>动植物油</w:t>
                </w:r>
              </w:p>
            </w:tc>
            <w:tc>
              <w:tcPr>
                <w:tcW w:w="1134" w:type="dxa"/>
                <w:tcBorders>
                  <w:top w:val="single" w:sz="4" w:space="0" w:color="auto"/>
                  <w:left w:val="nil"/>
                  <w:bottom w:val="single" w:sz="4" w:space="0" w:color="auto"/>
                  <w:right w:val="single" w:sz="4" w:space="0" w:color="auto"/>
                </w:tcBorders>
                <w:vAlign w:val="center"/>
              </w:tcPr>
              <w:p w14:paraId="2B39551B" w14:textId="77777777" w:rsidR="002D0AE7" w:rsidRDefault="00333EBB">
                <w:pPr>
                  <w:rPr>
                    <w:rFonts w:ascii="Calibri" w:hAnsi="Calibri"/>
                    <w:color w:val="000000"/>
                  </w:rPr>
                </w:pPr>
                <w:r>
                  <w:rPr>
                    <w:color w:val="000000"/>
                  </w:rPr>
                  <w:t>100mg/L</w:t>
                </w:r>
              </w:p>
            </w:tc>
            <w:tc>
              <w:tcPr>
                <w:tcW w:w="2126" w:type="dxa"/>
                <w:tcBorders>
                  <w:top w:val="single" w:sz="4" w:space="0" w:color="auto"/>
                  <w:left w:val="nil"/>
                  <w:bottom w:val="single" w:sz="4" w:space="0" w:color="auto"/>
                  <w:right w:val="single" w:sz="4" w:space="0" w:color="auto"/>
                </w:tcBorders>
                <w:vAlign w:val="center"/>
              </w:tcPr>
              <w:p w14:paraId="5182A454" w14:textId="77777777" w:rsidR="002D0AE7" w:rsidRDefault="00333EBB">
                <w:pPr>
                  <w:rPr>
                    <w:rFonts w:hint="eastAsia"/>
                    <w:color w:val="000000"/>
                  </w:rPr>
                </w:pPr>
                <w:r>
                  <w:rPr>
                    <w:rFonts w:hint="eastAsia"/>
                    <w:color w:val="000000"/>
                  </w:rPr>
                  <w:t>水质石油类和动植物油类的测定红外分光光度法（</w:t>
                </w:r>
                <w:r>
                  <w:rPr>
                    <w:rFonts w:cs="Calibri" w:hint="eastAsia"/>
                    <w:color w:val="000000"/>
                  </w:rPr>
                  <w:t>HJ637-2018</w:t>
                </w:r>
                <w:r>
                  <w:rPr>
                    <w:rFonts w:hint="eastAsia"/>
                    <w:color w:val="000000"/>
                  </w:rPr>
                  <w:t>）</w:t>
                </w:r>
              </w:p>
            </w:tc>
            <w:tc>
              <w:tcPr>
                <w:tcW w:w="2126" w:type="dxa"/>
                <w:tcBorders>
                  <w:top w:val="single" w:sz="4" w:space="0" w:color="auto"/>
                  <w:left w:val="nil"/>
                  <w:bottom w:val="single" w:sz="4" w:space="0" w:color="auto"/>
                  <w:right w:val="single" w:sz="4" w:space="0" w:color="auto"/>
                </w:tcBorders>
                <w:vAlign w:val="center"/>
              </w:tcPr>
              <w:p w14:paraId="1BE71B36" w14:textId="77777777" w:rsidR="002D0AE7" w:rsidRDefault="00333EBB">
                <w:pPr>
                  <w:rPr>
                    <w:rFonts w:hint="eastAsia"/>
                    <w:color w:val="000000"/>
                  </w:rPr>
                </w:pPr>
                <w:r>
                  <w:rPr>
                    <w:rFonts w:hint="eastAsia"/>
                    <w:color w:val="000000"/>
                  </w:rPr>
                  <w:t>红外分光测油仪</w:t>
                </w:r>
              </w:p>
            </w:tc>
            <w:tc>
              <w:tcPr>
                <w:tcW w:w="992" w:type="dxa"/>
                <w:tcBorders>
                  <w:top w:val="single" w:sz="4" w:space="0" w:color="auto"/>
                  <w:left w:val="nil"/>
                  <w:bottom w:val="single" w:sz="4" w:space="0" w:color="auto"/>
                  <w:right w:val="single" w:sz="4" w:space="0" w:color="auto"/>
                </w:tcBorders>
                <w:vAlign w:val="center"/>
              </w:tcPr>
              <w:p w14:paraId="0C0BA14A" w14:textId="77777777" w:rsidR="002D0AE7" w:rsidRDefault="00333EBB">
                <w:pPr>
                  <w:rPr>
                    <w:rFonts w:hint="eastAsia"/>
                    <w:color w:val="000000"/>
                  </w:rPr>
                </w:pPr>
                <w:r>
                  <w:rPr>
                    <w:rFonts w:cs="Calibri" w:hint="eastAsia"/>
                    <w:color w:val="000000"/>
                  </w:rPr>
                  <w:t>1</w:t>
                </w:r>
                <w:r>
                  <w:rPr>
                    <w:rFonts w:hint="eastAsia"/>
                    <w:color w:val="000000"/>
                  </w:rPr>
                  <w:t>次</w:t>
                </w:r>
                <w:r>
                  <w:rPr>
                    <w:rFonts w:cs="Calibri" w:hint="eastAsia"/>
                    <w:color w:val="000000"/>
                  </w:rPr>
                  <w:t>/</w:t>
                </w:r>
                <w:r>
                  <w:rPr>
                    <w:rFonts w:hint="eastAsia"/>
                    <w:color w:val="000000"/>
                  </w:rPr>
                  <w:t>季</w:t>
                </w:r>
              </w:p>
            </w:tc>
            <w:tc>
              <w:tcPr>
                <w:tcW w:w="1276" w:type="dxa"/>
                <w:tcBorders>
                  <w:top w:val="single" w:sz="4" w:space="0" w:color="auto"/>
                  <w:left w:val="nil"/>
                  <w:bottom w:val="single" w:sz="4" w:space="0" w:color="auto"/>
                  <w:right w:val="single" w:sz="4" w:space="0" w:color="auto"/>
                </w:tcBorders>
                <w:vAlign w:val="center"/>
              </w:tcPr>
              <w:p w14:paraId="35374FFA" w14:textId="77777777" w:rsidR="002D0AE7" w:rsidRDefault="00333EBB">
                <w:pPr>
                  <w:rPr>
                    <w:rFonts w:hint="eastAsia"/>
                    <w:color w:val="000000"/>
                  </w:rPr>
                </w:pPr>
                <w:r>
                  <w:rPr>
                    <w:rFonts w:hint="eastAsia"/>
                    <w:color w:val="000000"/>
                  </w:rPr>
                  <w:t>瞬时采样至少</w:t>
                </w:r>
                <w:r>
                  <w:rPr>
                    <w:rFonts w:cs="Calibri" w:hint="eastAsia"/>
                    <w:color w:val="000000"/>
                  </w:rPr>
                  <w:t>3</w:t>
                </w:r>
                <w:r>
                  <w:rPr>
                    <w:rFonts w:hint="eastAsia"/>
                    <w:color w:val="000000"/>
                  </w:rPr>
                  <w:t>个瞬时样</w:t>
                </w:r>
              </w:p>
            </w:tc>
          </w:tr>
          <w:tr w:rsidR="002D0AE7" w14:paraId="23A11A38" w14:textId="77777777">
            <w:trPr>
              <w:trHeight w:val="980"/>
              <w:jc w:val="center"/>
            </w:trPr>
            <w:tc>
              <w:tcPr>
                <w:tcW w:w="846" w:type="dxa"/>
                <w:vMerge/>
                <w:tcBorders>
                  <w:top w:val="nil"/>
                  <w:left w:val="single" w:sz="4" w:space="0" w:color="auto"/>
                  <w:bottom w:val="single" w:sz="4" w:space="0" w:color="auto"/>
                  <w:right w:val="single" w:sz="4" w:space="0" w:color="auto"/>
                </w:tcBorders>
                <w:vAlign w:val="center"/>
              </w:tcPr>
              <w:p w14:paraId="0130118A" w14:textId="77777777" w:rsidR="002D0AE7" w:rsidRDefault="002D0AE7">
                <w:pPr>
                  <w:rPr>
                    <w:rFonts w:ascii="Calibri" w:hAnsi="Calibri"/>
                    <w:color w:val="000000"/>
                    <w:kern w:val="2"/>
                  </w:rPr>
                </w:pPr>
              </w:p>
            </w:tc>
            <w:tc>
              <w:tcPr>
                <w:tcW w:w="1276" w:type="dxa"/>
                <w:tcBorders>
                  <w:top w:val="single" w:sz="4" w:space="0" w:color="auto"/>
                  <w:left w:val="nil"/>
                  <w:bottom w:val="single" w:sz="4" w:space="0" w:color="auto"/>
                  <w:right w:val="single" w:sz="4" w:space="0" w:color="auto"/>
                </w:tcBorders>
                <w:vAlign w:val="center"/>
              </w:tcPr>
              <w:p w14:paraId="2C1D87B7" w14:textId="77777777" w:rsidR="002D0AE7" w:rsidRDefault="00333EBB">
                <w:pPr>
                  <w:rPr>
                    <w:rFonts w:hint="eastAsia"/>
                    <w:color w:val="000000"/>
                  </w:rPr>
                </w:pPr>
                <w:r>
                  <w:rPr>
                    <w:rFonts w:hint="eastAsia"/>
                    <w:color w:val="000000"/>
                  </w:rPr>
                  <w:t>总有机碳</w:t>
                </w:r>
              </w:p>
            </w:tc>
            <w:tc>
              <w:tcPr>
                <w:tcW w:w="1134" w:type="dxa"/>
                <w:tcBorders>
                  <w:top w:val="single" w:sz="4" w:space="0" w:color="auto"/>
                  <w:left w:val="nil"/>
                  <w:bottom w:val="single" w:sz="4" w:space="0" w:color="auto"/>
                  <w:right w:val="single" w:sz="4" w:space="0" w:color="auto"/>
                </w:tcBorders>
                <w:vAlign w:val="center"/>
              </w:tcPr>
              <w:p w14:paraId="03EC543F" w14:textId="77777777" w:rsidR="002D0AE7" w:rsidRDefault="00333EBB">
                <w:pPr>
                  <w:rPr>
                    <w:rFonts w:ascii="Calibri" w:hAnsi="Calibri"/>
                    <w:color w:val="000000"/>
                  </w:rPr>
                </w:pPr>
                <w:r>
                  <w:rPr>
                    <w:color w:val="000000"/>
                  </w:rPr>
                  <w:t>150mg/L</w:t>
                </w:r>
              </w:p>
            </w:tc>
            <w:tc>
              <w:tcPr>
                <w:tcW w:w="2126" w:type="dxa"/>
                <w:tcBorders>
                  <w:top w:val="single" w:sz="4" w:space="0" w:color="auto"/>
                  <w:left w:val="nil"/>
                  <w:bottom w:val="single" w:sz="4" w:space="0" w:color="auto"/>
                  <w:right w:val="single" w:sz="4" w:space="0" w:color="auto"/>
                </w:tcBorders>
                <w:vAlign w:val="center"/>
              </w:tcPr>
              <w:p w14:paraId="1C68AEEC" w14:textId="77777777" w:rsidR="002D0AE7" w:rsidRDefault="00333EBB">
                <w:pPr>
                  <w:rPr>
                    <w:rFonts w:hint="eastAsia"/>
                    <w:color w:val="000000"/>
                  </w:rPr>
                </w:pPr>
                <w:r>
                  <w:rPr>
                    <w:rFonts w:hint="eastAsia"/>
                    <w:color w:val="000000"/>
                  </w:rPr>
                  <w:t>《水质总有机碳的测定燃烧氧化—非分散红外吸收法》</w:t>
                </w:r>
                <w:r>
                  <w:rPr>
                    <w:rFonts w:cs="Calibri" w:hint="eastAsia"/>
                    <w:color w:val="000000"/>
                  </w:rPr>
                  <w:t>HJ501-2009</w:t>
                </w:r>
              </w:p>
            </w:tc>
            <w:tc>
              <w:tcPr>
                <w:tcW w:w="2126" w:type="dxa"/>
                <w:tcBorders>
                  <w:top w:val="single" w:sz="4" w:space="0" w:color="auto"/>
                  <w:left w:val="nil"/>
                  <w:bottom w:val="single" w:sz="4" w:space="0" w:color="auto"/>
                  <w:right w:val="single" w:sz="4" w:space="0" w:color="auto"/>
                </w:tcBorders>
                <w:vAlign w:val="center"/>
              </w:tcPr>
              <w:p w14:paraId="770B4E23" w14:textId="77777777" w:rsidR="002D0AE7" w:rsidRDefault="00333EBB">
                <w:pPr>
                  <w:rPr>
                    <w:rFonts w:hint="eastAsia"/>
                    <w:color w:val="000000"/>
                  </w:rPr>
                </w:pPr>
                <w:r>
                  <w:rPr>
                    <w:rFonts w:hint="eastAsia"/>
                    <w:color w:val="000000"/>
                  </w:rPr>
                  <w:t>总有机碳（</w:t>
                </w:r>
                <w:r>
                  <w:rPr>
                    <w:rFonts w:cs="Calibri" w:hint="eastAsia"/>
                    <w:color w:val="000000"/>
                  </w:rPr>
                  <w:t>TOC</w:t>
                </w:r>
                <w:r>
                  <w:rPr>
                    <w:rFonts w:hint="eastAsia"/>
                    <w:color w:val="000000"/>
                  </w:rPr>
                  <w:t>）分析仪</w:t>
                </w:r>
              </w:p>
            </w:tc>
            <w:tc>
              <w:tcPr>
                <w:tcW w:w="992" w:type="dxa"/>
                <w:tcBorders>
                  <w:top w:val="single" w:sz="4" w:space="0" w:color="auto"/>
                  <w:left w:val="nil"/>
                  <w:bottom w:val="single" w:sz="4" w:space="0" w:color="auto"/>
                  <w:right w:val="single" w:sz="4" w:space="0" w:color="auto"/>
                </w:tcBorders>
                <w:vAlign w:val="center"/>
              </w:tcPr>
              <w:p w14:paraId="07C19855" w14:textId="77777777" w:rsidR="002D0AE7" w:rsidRDefault="00333EBB">
                <w:pPr>
                  <w:rPr>
                    <w:rFonts w:hint="eastAsia"/>
                    <w:color w:val="000000"/>
                  </w:rPr>
                </w:pPr>
                <w:r>
                  <w:rPr>
                    <w:rFonts w:cs="Calibri" w:hint="eastAsia"/>
                    <w:color w:val="000000"/>
                  </w:rPr>
                  <w:t>1</w:t>
                </w:r>
                <w:r>
                  <w:rPr>
                    <w:rFonts w:hint="eastAsia"/>
                    <w:color w:val="000000"/>
                  </w:rPr>
                  <w:t>次</w:t>
                </w:r>
                <w:r>
                  <w:rPr>
                    <w:rFonts w:cs="Calibri" w:hint="eastAsia"/>
                    <w:color w:val="000000"/>
                  </w:rPr>
                  <w:t>/</w:t>
                </w:r>
                <w:r>
                  <w:rPr>
                    <w:rFonts w:hint="eastAsia"/>
                    <w:color w:val="000000"/>
                  </w:rPr>
                  <w:t>季</w:t>
                </w:r>
              </w:p>
            </w:tc>
            <w:tc>
              <w:tcPr>
                <w:tcW w:w="1276" w:type="dxa"/>
                <w:tcBorders>
                  <w:top w:val="single" w:sz="4" w:space="0" w:color="auto"/>
                  <w:left w:val="nil"/>
                  <w:bottom w:val="single" w:sz="4" w:space="0" w:color="auto"/>
                  <w:right w:val="single" w:sz="4" w:space="0" w:color="auto"/>
                </w:tcBorders>
                <w:vAlign w:val="center"/>
              </w:tcPr>
              <w:p w14:paraId="28FD9746" w14:textId="77777777" w:rsidR="002D0AE7" w:rsidRDefault="00333EBB">
                <w:pPr>
                  <w:rPr>
                    <w:rFonts w:hint="eastAsia"/>
                    <w:color w:val="000000"/>
                  </w:rPr>
                </w:pPr>
                <w:r>
                  <w:rPr>
                    <w:rFonts w:hint="eastAsia"/>
                    <w:color w:val="000000"/>
                  </w:rPr>
                  <w:t>瞬时采样至少</w:t>
                </w:r>
                <w:r>
                  <w:rPr>
                    <w:rFonts w:cs="Calibri" w:hint="eastAsia"/>
                    <w:color w:val="000000"/>
                  </w:rPr>
                  <w:t>3</w:t>
                </w:r>
                <w:r>
                  <w:rPr>
                    <w:rFonts w:hint="eastAsia"/>
                    <w:color w:val="000000"/>
                  </w:rPr>
                  <w:t>个瞬时样</w:t>
                </w:r>
              </w:p>
            </w:tc>
          </w:tr>
          <w:tr w:rsidR="002D0AE7" w14:paraId="27EF1520" w14:textId="77777777">
            <w:trPr>
              <w:trHeight w:val="980"/>
              <w:jc w:val="center"/>
            </w:trPr>
            <w:tc>
              <w:tcPr>
                <w:tcW w:w="846" w:type="dxa"/>
                <w:vMerge/>
                <w:tcBorders>
                  <w:top w:val="nil"/>
                  <w:left w:val="single" w:sz="4" w:space="0" w:color="auto"/>
                  <w:bottom w:val="single" w:sz="4" w:space="0" w:color="auto"/>
                  <w:right w:val="single" w:sz="4" w:space="0" w:color="auto"/>
                </w:tcBorders>
                <w:vAlign w:val="center"/>
              </w:tcPr>
              <w:p w14:paraId="76779C40" w14:textId="77777777" w:rsidR="002D0AE7" w:rsidRDefault="002D0AE7">
                <w:pPr>
                  <w:rPr>
                    <w:rFonts w:ascii="Calibri" w:hAnsi="Calibri"/>
                    <w:color w:val="000000"/>
                    <w:kern w:val="2"/>
                  </w:rPr>
                </w:pPr>
              </w:p>
            </w:tc>
            <w:tc>
              <w:tcPr>
                <w:tcW w:w="1276" w:type="dxa"/>
                <w:tcBorders>
                  <w:top w:val="single" w:sz="4" w:space="0" w:color="auto"/>
                  <w:left w:val="nil"/>
                  <w:bottom w:val="single" w:sz="4" w:space="0" w:color="auto"/>
                  <w:right w:val="single" w:sz="4" w:space="0" w:color="auto"/>
                </w:tcBorders>
                <w:vAlign w:val="center"/>
              </w:tcPr>
              <w:p w14:paraId="65B22F25" w14:textId="77777777" w:rsidR="002D0AE7" w:rsidRDefault="00333EBB">
                <w:pPr>
                  <w:rPr>
                    <w:rFonts w:hint="eastAsia"/>
                    <w:color w:val="000000"/>
                  </w:rPr>
                </w:pPr>
                <w:r>
                  <w:rPr>
                    <w:rFonts w:hint="eastAsia"/>
                    <w:color w:val="000000"/>
                  </w:rPr>
                  <w:t>石油类</w:t>
                </w:r>
              </w:p>
            </w:tc>
            <w:tc>
              <w:tcPr>
                <w:tcW w:w="1134" w:type="dxa"/>
                <w:tcBorders>
                  <w:top w:val="single" w:sz="4" w:space="0" w:color="auto"/>
                  <w:left w:val="nil"/>
                  <w:bottom w:val="single" w:sz="4" w:space="0" w:color="auto"/>
                  <w:right w:val="single" w:sz="4" w:space="0" w:color="auto"/>
                </w:tcBorders>
                <w:vAlign w:val="center"/>
              </w:tcPr>
              <w:p w14:paraId="7FC78DDB" w14:textId="77777777" w:rsidR="002D0AE7" w:rsidRDefault="00333EBB">
                <w:pPr>
                  <w:rPr>
                    <w:rFonts w:ascii="Calibri" w:hAnsi="Calibri"/>
                    <w:color w:val="000000"/>
                  </w:rPr>
                </w:pPr>
                <w:r>
                  <w:rPr>
                    <w:color w:val="000000"/>
                  </w:rPr>
                  <w:t>15mg/L</w:t>
                </w:r>
              </w:p>
            </w:tc>
            <w:tc>
              <w:tcPr>
                <w:tcW w:w="2126" w:type="dxa"/>
                <w:tcBorders>
                  <w:top w:val="single" w:sz="4" w:space="0" w:color="auto"/>
                  <w:left w:val="nil"/>
                  <w:bottom w:val="single" w:sz="4" w:space="0" w:color="auto"/>
                  <w:right w:val="single" w:sz="4" w:space="0" w:color="auto"/>
                </w:tcBorders>
                <w:vAlign w:val="center"/>
              </w:tcPr>
              <w:p w14:paraId="259A0E96" w14:textId="77777777" w:rsidR="002D0AE7" w:rsidRDefault="00333EBB">
                <w:pPr>
                  <w:rPr>
                    <w:rFonts w:hint="eastAsia"/>
                    <w:color w:val="000000"/>
                  </w:rPr>
                </w:pPr>
                <w:r>
                  <w:rPr>
                    <w:rFonts w:hint="eastAsia"/>
                    <w:color w:val="000000"/>
                  </w:rPr>
                  <w:t>水质石油类和动植物油类的测定红外分光光度法（</w:t>
                </w:r>
                <w:r>
                  <w:rPr>
                    <w:rFonts w:cs="Calibri" w:hint="eastAsia"/>
                    <w:color w:val="000000"/>
                  </w:rPr>
                  <w:t>HJ637-2018</w:t>
                </w:r>
                <w:r>
                  <w:rPr>
                    <w:rFonts w:hint="eastAsia"/>
                    <w:color w:val="000000"/>
                  </w:rPr>
                  <w:t>）</w:t>
                </w:r>
              </w:p>
            </w:tc>
            <w:tc>
              <w:tcPr>
                <w:tcW w:w="2126" w:type="dxa"/>
                <w:tcBorders>
                  <w:top w:val="single" w:sz="4" w:space="0" w:color="auto"/>
                  <w:left w:val="nil"/>
                  <w:bottom w:val="single" w:sz="4" w:space="0" w:color="auto"/>
                  <w:right w:val="single" w:sz="4" w:space="0" w:color="auto"/>
                </w:tcBorders>
                <w:vAlign w:val="center"/>
              </w:tcPr>
              <w:p w14:paraId="222E4611" w14:textId="77777777" w:rsidR="002D0AE7" w:rsidRDefault="00333EBB">
                <w:pPr>
                  <w:rPr>
                    <w:rFonts w:hint="eastAsia"/>
                    <w:color w:val="000000"/>
                  </w:rPr>
                </w:pPr>
                <w:r>
                  <w:rPr>
                    <w:rFonts w:hint="eastAsia"/>
                    <w:color w:val="000000"/>
                  </w:rPr>
                  <w:t>红外分光测油仪</w:t>
                </w:r>
              </w:p>
            </w:tc>
            <w:tc>
              <w:tcPr>
                <w:tcW w:w="992" w:type="dxa"/>
                <w:tcBorders>
                  <w:top w:val="single" w:sz="4" w:space="0" w:color="auto"/>
                  <w:left w:val="nil"/>
                  <w:bottom w:val="single" w:sz="4" w:space="0" w:color="auto"/>
                  <w:right w:val="single" w:sz="4" w:space="0" w:color="auto"/>
                </w:tcBorders>
                <w:vAlign w:val="center"/>
              </w:tcPr>
              <w:p w14:paraId="6442CF24" w14:textId="77777777" w:rsidR="002D0AE7" w:rsidRDefault="00333EBB">
                <w:pPr>
                  <w:rPr>
                    <w:rFonts w:hint="eastAsia"/>
                    <w:color w:val="000000"/>
                  </w:rPr>
                </w:pPr>
                <w:r>
                  <w:rPr>
                    <w:rFonts w:cs="Calibri" w:hint="eastAsia"/>
                    <w:color w:val="000000"/>
                  </w:rPr>
                  <w:t>1</w:t>
                </w:r>
                <w:r>
                  <w:rPr>
                    <w:rFonts w:hint="eastAsia"/>
                    <w:color w:val="000000"/>
                  </w:rPr>
                  <w:t>次</w:t>
                </w:r>
                <w:r>
                  <w:rPr>
                    <w:rFonts w:cs="Calibri" w:hint="eastAsia"/>
                    <w:color w:val="000000"/>
                  </w:rPr>
                  <w:t>/</w:t>
                </w:r>
                <w:r>
                  <w:rPr>
                    <w:rFonts w:hint="eastAsia"/>
                    <w:color w:val="000000"/>
                  </w:rPr>
                  <w:t>季</w:t>
                </w:r>
              </w:p>
            </w:tc>
            <w:tc>
              <w:tcPr>
                <w:tcW w:w="1276" w:type="dxa"/>
                <w:tcBorders>
                  <w:top w:val="single" w:sz="4" w:space="0" w:color="auto"/>
                  <w:left w:val="nil"/>
                  <w:bottom w:val="single" w:sz="4" w:space="0" w:color="auto"/>
                  <w:right w:val="single" w:sz="4" w:space="0" w:color="auto"/>
                </w:tcBorders>
                <w:vAlign w:val="center"/>
              </w:tcPr>
              <w:p w14:paraId="72119787" w14:textId="77777777" w:rsidR="002D0AE7" w:rsidRDefault="00333EBB">
                <w:pPr>
                  <w:rPr>
                    <w:rFonts w:hint="eastAsia"/>
                    <w:color w:val="000000"/>
                  </w:rPr>
                </w:pPr>
                <w:r>
                  <w:rPr>
                    <w:rFonts w:hint="eastAsia"/>
                    <w:color w:val="000000"/>
                  </w:rPr>
                  <w:t>瞬时采样至少</w:t>
                </w:r>
                <w:r>
                  <w:rPr>
                    <w:rFonts w:cs="Calibri" w:hint="eastAsia"/>
                    <w:color w:val="000000"/>
                  </w:rPr>
                  <w:t>3</w:t>
                </w:r>
                <w:r>
                  <w:rPr>
                    <w:rFonts w:hint="eastAsia"/>
                    <w:color w:val="000000"/>
                  </w:rPr>
                  <w:t>个瞬时样</w:t>
                </w:r>
              </w:p>
            </w:tc>
          </w:tr>
          <w:tr w:rsidR="002D0AE7" w14:paraId="35A27314" w14:textId="77777777">
            <w:trPr>
              <w:trHeight w:val="980"/>
              <w:jc w:val="center"/>
            </w:trPr>
            <w:tc>
              <w:tcPr>
                <w:tcW w:w="846" w:type="dxa"/>
                <w:vMerge w:val="restart"/>
                <w:tcBorders>
                  <w:top w:val="nil"/>
                  <w:left w:val="single" w:sz="4" w:space="0" w:color="auto"/>
                  <w:bottom w:val="single" w:sz="4" w:space="0" w:color="auto"/>
                  <w:right w:val="single" w:sz="4" w:space="0" w:color="auto"/>
                </w:tcBorders>
                <w:vAlign w:val="center"/>
              </w:tcPr>
              <w:p w14:paraId="1A0A2280" w14:textId="77777777" w:rsidR="002D0AE7" w:rsidRDefault="00333EBB">
                <w:pPr>
                  <w:rPr>
                    <w:rFonts w:ascii="Calibri" w:hAnsi="Calibri"/>
                    <w:color w:val="000000"/>
                  </w:rPr>
                </w:pPr>
                <w:r>
                  <w:rPr>
                    <w:rFonts w:hint="eastAsia"/>
                    <w:color w:val="000000"/>
                  </w:rPr>
                  <w:t>湖北津药药业股份有限公司</w:t>
                </w:r>
              </w:p>
            </w:tc>
            <w:tc>
              <w:tcPr>
                <w:tcW w:w="1276" w:type="dxa"/>
                <w:tcBorders>
                  <w:top w:val="single" w:sz="4" w:space="0" w:color="auto"/>
                  <w:left w:val="nil"/>
                  <w:bottom w:val="single" w:sz="4" w:space="0" w:color="auto"/>
                  <w:right w:val="single" w:sz="4" w:space="0" w:color="auto"/>
                </w:tcBorders>
                <w:vAlign w:val="center"/>
              </w:tcPr>
              <w:p w14:paraId="11DA52FB" w14:textId="77777777" w:rsidR="002D0AE7" w:rsidRDefault="00333EBB">
                <w:pPr>
                  <w:rPr>
                    <w:rFonts w:hint="eastAsia"/>
                    <w:color w:val="000000"/>
                  </w:rPr>
                </w:pPr>
                <w:r>
                  <w:rPr>
                    <w:color w:val="000000"/>
                  </w:rPr>
                  <w:t>COD</w:t>
                </w:r>
              </w:p>
            </w:tc>
            <w:tc>
              <w:tcPr>
                <w:tcW w:w="1134" w:type="dxa"/>
                <w:tcBorders>
                  <w:top w:val="single" w:sz="4" w:space="0" w:color="auto"/>
                  <w:left w:val="nil"/>
                  <w:bottom w:val="single" w:sz="4" w:space="0" w:color="auto"/>
                  <w:right w:val="single" w:sz="4" w:space="0" w:color="auto"/>
                </w:tcBorders>
                <w:vAlign w:val="center"/>
              </w:tcPr>
              <w:p w14:paraId="7FAE2FC9" w14:textId="77777777" w:rsidR="002D0AE7" w:rsidRDefault="00333EBB">
                <w:pPr>
                  <w:rPr>
                    <w:rFonts w:hint="eastAsia"/>
                    <w:color w:val="000000"/>
                  </w:rPr>
                </w:pPr>
                <w:r>
                  <w:rPr>
                    <w:color w:val="000000"/>
                  </w:rPr>
                  <w:t>500mg/L</w:t>
                </w:r>
              </w:p>
            </w:tc>
            <w:tc>
              <w:tcPr>
                <w:tcW w:w="2126" w:type="dxa"/>
                <w:tcBorders>
                  <w:top w:val="single" w:sz="4" w:space="0" w:color="auto"/>
                  <w:left w:val="nil"/>
                  <w:bottom w:val="single" w:sz="4" w:space="0" w:color="auto"/>
                  <w:right w:val="single" w:sz="4" w:space="0" w:color="auto"/>
                </w:tcBorders>
                <w:vAlign w:val="center"/>
              </w:tcPr>
              <w:p w14:paraId="586C3298" w14:textId="77777777" w:rsidR="002D0AE7" w:rsidRDefault="00333EBB">
                <w:pPr>
                  <w:rPr>
                    <w:rFonts w:hint="eastAsia"/>
                    <w:color w:val="000000"/>
                  </w:rPr>
                </w:pPr>
                <w:r>
                  <w:rPr>
                    <w:rFonts w:hint="eastAsia"/>
                    <w:color w:val="000000"/>
                  </w:rPr>
                  <w:t>重铬酸钾法</w:t>
                </w:r>
              </w:p>
            </w:tc>
            <w:tc>
              <w:tcPr>
                <w:tcW w:w="2126" w:type="dxa"/>
                <w:tcBorders>
                  <w:top w:val="single" w:sz="4" w:space="0" w:color="auto"/>
                  <w:left w:val="nil"/>
                  <w:bottom w:val="single" w:sz="4" w:space="0" w:color="auto"/>
                  <w:right w:val="single" w:sz="4" w:space="0" w:color="auto"/>
                </w:tcBorders>
                <w:vAlign w:val="center"/>
              </w:tcPr>
              <w:p w14:paraId="49DDE5BB" w14:textId="77777777" w:rsidR="002D0AE7" w:rsidRDefault="00333EBB">
                <w:pPr>
                  <w:rPr>
                    <w:rFonts w:hint="eastAsia"/>
                    <w:color w:val="000000"/>
                  </w:rPr>
                </w:pPr>
                <w:r>
                  <w:rPr>
                    <w:rFonts w:hint="eastAsia"/>
                    <w:color w:val="000000"/>
                  </w:rPr>
                  <w:t>自动在线监测设备</w:t>
                </w:r>
              </w:p>
            </w:tc>
            <w:tc>
              <w:tcPr>
                <w:tcW w:w="992" w:type="dxa"/>
                <w:tcBorders>
                  <w:top w:val="single" w:sz="4" w:space="0" w:color="auto"/>
                  <w:left w:val="nil"/>
                  <w:bottom w:val="single" w:sz="4" w:space="0" w:color="auto"/>
                  <w:right w:val="single" w:sz="4" w:space="0" w:color="auto"/>
                </w:tcBorders>
                <w:vAlign w:val="center"/>
              </w:tcPr>
              <w:p w14:paraId="60C32214" w14:textId="77777777" w:rsidR="002D0AE7" w:rsidRDefault="00333EBB">
                <w:pPr>
                  <w:rPr>
                    <w:rFonts w:hint="eastAsia"/>
                    <w:color w:val="000000"/>
                  </w:rPr>
                </w:pPr>
                <w:r>
                  <w:rPr>
                    <w:rFonts w:hint="eastAsia"/>
                    <w:color w:val="000000"/>
                  </w:rPr>
                  <w:t>每日两次</w:t>
                </w:r>
              </w:p>
            </w:tc>
            <w:tc>
              <w:tcPr>
                <w:tcW w:w="1276" w:type="dxa"/>
                <w:tcBorders>
                  <w:top w:val="single" w:sz="4" w:space="0" w:color="auto"/>
                  <w:left w:val="nil"/>
                  <w:bottom w:val="single" w:sz="4" w:space="0" w:color="auto"/>
                  <w:right w:val="single" w:sz="4" w:space="0" w:color="auto"/>
                </w:tcBorders>
                <w:vAlign w:val="center"/>
              </w:tcPr>
              <w:p w14:paraId="38FF4FBA" w14:textId="77777777" w:rsidR="002D0AE7" w:rsidRDefault="00333EBB">
                <w:pPr>
                  <w:jc w:val="center"/>
                  <w:rPr>
                    <w:rFonts w:hint="eastAsia"/>
                    <w:color w:val="000000"/>
                  </w:rPr>
                </w:pPr>
                <w:r>
                  <w:rPr>
                    <w:color w:val="000000"/>
                  </w:rPr>
                  <w:t>/</w:t>
                </w:r>
              </w:p>
            </w:tc>
          </w:tr>
          <w:tr w:rsidR="002D0AE7" w14:paraId="14766E78" w14:textId="77777777">
            <w:trPr>
              <w:trHeight w:val="980"/>
              <w:jc w:val="center"/>
            </w:trPr>
            <w:tc>
              <w:tcPr>
                <w:tcW w:w="846" w:type="dxa"/>
                <w:vMerge/>
                <w:tcBorders>
                  <w:top w:val="nil"/>
                  <w:left w:val="single" w:sz="4" w:space="0" w:color="auto"/>
                  <w:bottom w:val="single" w:sz="4" w:space="0" w:color="auto"/>
                  <w:right w:val="single" w:sz="4" w:space="0" w:color="auto"/>
                </w:tcBorders>
                <w:vAlign w:val="center"/>
              </w:tcPr>
              <w:p w14:paraId="34259E4F" w14:textId="77777777" w:rsidR="002D0AE7" w:rsidRDefault="002D0AE7">
                <w:pPr>
                  <w:rPr>
                    <w:rFonts w:ascii="Calibri" w:hAnsi="Calibri"/>
                    <w:color w:val="000000"/>
                    <w:kern w:val="2"/>
                  </w:rPr>
                </w:pPr>
              </w:p>
            </w:tc>
            <w:tc>
              <w:tcPr>
                <w:tcW w:w="1276" w:type="dxa"/>
                <w:tcBorders>
                  <w:top w:val="single" w:sz="4" w:space="0" w:color="auto"/>
                  <w:left w:val="nil"/>
                  <w:bottom w:val="single" w:sz="4" w:space="0" w:color="auto"/>
                  <w:right w:val="single" w:sz="4" w:space="0" w:color="auto"/>
                </w:tcBorders>
                <w:vAlign w:val="center"/>
              </w:tcPr>
              <w:p w14:paraId="22370096" w14:textId="77777777" w:rsidR="002D0AE7" w:rsidRDefault="00333EBB">
                <w:pPr>
                  <w:rPr>
                    <w:rFonts w:hint="eastAsia"/>
                    <w:color w:val="000000"/>
                  </w:rPr>
                </w:pPr>
                <w:r>
                  <w:rPr>
                    <w:rFonts w:hint="eastAsia"/>
                    <w:color w:val="000000"/>
                  </w:rPr>
                  <w:t>氨氮</w:t>
                </w:r>
              </w:p>
            </w:tc>
            <w:tc>
              <w:tcPr>
                <w:tcW w:w="1134" w:type="dxa"/>
                <w:tcBorders>
                  <w:top w:val="single" w:sz="4" w:space="0" w:color="auto"/>
                  <w:left w:val="nil"/>
                  <w:bottom w:val="single" w:sz="4" w:space="0" w:color="auto"/>
                  <w:right w:val="single" w:sz="4" w:space="0" w:color="auto"/>
                </w:tcBorders>
                <w:vAlign w:val="center"/>
              </w:tcPr>
              <w:p w14:paraId="331E43B3" w14:textId="77777777" w:rsidR="002D0AE7" w:rsidRDefault="00333EBB">
                <w:pPr>
                  <w:rPr>
                    <w:rFonts w:hint="eastAsia"/>
                    <w:color w:val="000000"/>
                  </w:rPr>
                </w:pPr>
                <w:r>
                  <w:rPr>
                    <w:color w:val="000000"/>
                  </w:rPr>
                  <w:t>45mg/L</w:t>
                </w:r>
              </w:p>
            </w:tc>
            <w:tc>
              <w:tcPr>
                <w:tcW w:w="2126" w:type="dxa"/>
                <w:tcBorders>
                  <w:top w:val="single" w:sz="4" w:space="0" w:color="auto"/>
                  <w:left w:val="nil"/>
                  <w:bottom w:val="single" w:sz="4" w:space="0" w:color="auto"/>
                  <w:right w:val="single" w:sz="4" w:space="0" w:color="auto"/>
                </w:tcBorders>
                <w:vAlign w:val="center"/>
              </w:tcPr>
              <w:p w14:paraId="2B17EF43" w14:textId="77777777" w:rsidR="002D0AE7" w:rsidRDefault="00333EBB">
                <w:pPr>
                  <w:rPr>
                    <w:rFonts w:hint="eastAsia"/>
                    <w:color w:val="000000"/>
                  </w:rPr>
                </w:pPr>
                <w:r>
                  <w:rPr>
                    <w:rFonts w:hint="eastAsia"/>
                    <w:color w:val="000000"/>
                  </w:rPr>
                  <w:t>水杨酸分光光度法</w:t>
                </w:r>
              </w:p>
            </w:tc>
            <w:tc>
              <w:tcPr>
                <w:tcW w:w="2126" w:type="dxa"/>
                <w:tcBorders>
                  <w:top w:val="single" w:sz="4" w:space="0" w:color="auto"/>
                  <w:left w:val="nil"/>
                  <w:bottom w:val="single" w:sz="4" w:space="0" w:color="auto"/>
                  <w:right w:val="single" w:sz="4" w:space="0" w:color="auto"/>
                </w:tcBorders>
                <w:vAlign w:val="center"/>
              </w:tcPr>
              <w:p w14:paraId="5042B0E2" w14:textId="77777777" w:rsidR="002D0AE7" w:rsidRDefault="00333EBB">
                <w:pPr>
                  <w:rPr>
                    <w:rFonts w:hint="eastAsia"/>
                    <w:color w:val="000000"/>
                  </w:rPr>
                </w:pPr>
                <w:r>
                  <w:rPr>
                    <w:rFonts w:hint="eastAsia"/>
                    <w:color w:val="000000"/>
                  </w:rPr>
                  <w:t>自动在线监测设备</w:t>
                </w:r>
              </w:p>
            </w:tc>
            <w:tc>
              <w:tcPr>
                <w:tcW w:w="992" w:type="dxa"/>
                <w:tcBorders>
                  <w:top w:val="single" w:sz="4" w:space="0" w:color="auto"/>
                  <w:left w:val="nil"/>
                  <w:bottom w:val="single" w:sz="4" w:space="0" w:color="auto"/>
                  <w:right w:val="single" w:sz="4" w:space="0" w:color="auto"/>
                </w:tcBorders>
                <w:vAlign w:val="center"/>
              </w:tcPr>
              <w:p w14:paraId="2988BC3F" w14:textId="77777777" w:rsidR="002D0AE7" w:rsidRDefault="00333EBB">
                <w:pPr>
                  <w:rPr>
                    <w:rFonts w:hint="eastAsia"/>
                    <w:color w:val="000000"/>
                  </w:rPr>
                </w:pPr>
                <w:r>
                  <w:rPr>
                    <w:rFonts w:hint="eastAsia"/>
                    <w:color w:val="000000"/>
                  </w:rPr>
                  <w:t>每日两次</w:t>
                </w:r>
              </w:p>
            </w:tc>
            <w:tc>
              <w:tcPr>
                <w:tcW w:w="1276" w:type="dxa"/>
                <w:tcBorders>
                  <w:top w:val="single" w:sz="4" w:space="0" w:color="auto"/>
                  <w:left w:val="nil"/>
                  <w:bottom w:val="single" w:sz="4" w:space="0" w:color="auto"/>
                  <w:right w:val="single" w:sz="4" w:space="0" w:color="auto"/>
                </w:tcBorders>
                <w:vAlign w:val="center"/>
              </w:tcPr>
              <w:p w14:paraId="7DAA972C" w14:textId="77777777" w:rsidR="002D0AE7" w:rsidRDefault="00333EBB">
                <w:pPr>
                  <w:jc w:val="center"/>
                  <w:rPr>
                    <w:rFonts w:hint="eastAsia"/>
                    <w:color w:val="000000"/>
                  </w:rPr>
                </w:pPr>
                <w:r>
                  <w:rPr>
                    <w:color w:val="000000"/>
                  </w:rPr>
                  <w:t>/</w:t>
                </w:r>
              </w:p>
            </w:tc>
          </w:tr>
          <w:tr w:rsidR="002D0AE7" w14:paraId="1A92E818" w14:textId="77777777">
            <w:trPr>
              <w:trHeight w:val="980"/>
              <w:jc w:val="center"/>
            </w:trPr>
            <w:tc>
              <w:tcPr>
                <w:tcW w:w="846" w:type="dxa"/>
                <w:vMerge/>
                <w:tcBorders>
                  <w:top w:val="nil"/>
                  <w:left w:val="single" w:sz="4" w:space="0" w:color="auto"/>
                  <w:bottom w:val="single" w:sz="4" w:space="0" w:color="auto"/>
                  <w:right w:val="single" w:sz="4" w:space="0" w:color="auto"/>
                </w:tcBorders>
                <w:vAlign w:val="center"/>
              </w:tcPr>
              <w:p w14:paraId="1E78B242" w14:textId="77777777" w:rsidR="002D0AE7" w:rsidRDefault="002D0AE7">
                <w:pPr>
                  <w:rPr>
                    <w:rFonts w:ascii="Calibri" w:hAnsi="Calibri"/>
                    <w:color w:val="000000"/>
                    <w:kern w:val="2"/>
                  </w:rPr>
                </w:pPr>
              </w:p>
            </w:tc>
            <w:tc>
              <w:tcPr>
                <w:tcW w:w="1276" w:type="dxa"/>
                <w:tcBorders>
                  <w:top w:val="single" w:sz="4" w:space="0" w:color="auto"/>
                  <w:left w:val="nil"/>
                  <w:bottom w:val="single" w:sz="4" w:space="0" w:color="auto"/>
                  <w:right w:val="single" w:sz="4" w:space="0" w:color="auto"/>
                </w:tcBorders>
                <w:vAlign w:val="center"/>
              </w:tcPr>
              <w:p w14:paraId="175B5E74" w14:textId="77777777" w:rsidR="002D0AE7" w:rsidRDefault="00333EBB">
                <w:pPr>
                  <w:rPr>
                    <w:rFonts w:hint="eastAsia"/>
                    <w:color w:val="000000"/>
                  </w:rPr>
                </w:pPr>
                <w:r>
                  <w:rPr>
                    <w:color w:val="000000"/>
                  </w:rPr>
                  <w:t>PH</w:t>
                </w:r>
              </w:p>
            </w:tc>
            <w:tc>
              <w:tcPr>
                <w:tcW w:w="1134" w:type="dxa"/>
                <w:tcBorders>
                  <w:top w:val="single" w:sz="4" w:space="0" w:color="auto"/>
                  <w:left w:val="nil"/>
                  <w:bottom w:val="single" w:sz="4" w:space="0" w:color="auto"/>
                  <w:right w:val="single" w:sz="4" w:space="0" w:color="auto"/>
                </w:tcBorders>
                <w:vAlign w:val="center"/>
              </w:tcPr>
              <w:p w14:paraId="27433EC4" w14:textId="77777777" w:rsidR="002D0AE7" w:rsidRDefault="00333EBB">
                <w:pPr>
                  <w:rPr>
                    <w:rFonts w:hint="eastAsia"/>
                    <w:color w:val="000000"/>
                  </w:rPr>
                </w:pPr>
                <w:r>
                  <w:rPr>
                    <w:color w:val="000000"/>
                  </w:rPr>
                  <w:t>6-9mg/L</w:t>
                </w:r>
              </w:p>
            </w:tc>
            <w:tc>
              <w:tcPr>
                <w:tcW w:w="2126" w:type="dxa"/>
                <w:tcBorders>
                  <w:top w:val="single" w:sz="4" w:space="0" w:color="auto"/>
                  <w:left w:val="nil"/>
                  <w:bottom w:val="single" w:sz="4" w:space="0" w:color="auto"/>
                  <w:right w:val="single" w:sz="4" w:space="0" w:color="auto"/>
                </w:tcBorders>
                <w:vAlign w:val="center"/>
              </w:tcPr>
              <w:p w14:paraId="59CBA8A3" w14:textId="77777777" w:rsidR="002D0AE7" w:rsidRDefault="00333EBB">
                <w:pPr>
                  <w:rPr>
                    <w:rFonts w:hint="eastAsia"/>
                    <w:color w:val="000000"/>
                  </w:rPr>
                </w:pPr>
                <w:r>
                  <w:rPr>
                    <w:rFonts w:hint="eastAsia"/>
                    <w:color w:val="000000"/>
                  </w:rPr>
                  <w:t>电化学法</w:t>
                </w:r>
              </w:p>
            </w:tc>
            <w:tc>
              <w:tcPr>
                <w:tcW w:w="2126" w:type="dxa"/>
                <w:tcBorders>
                  <w:top w:val="single" w:sz="4" w:space="0" w:color="auto"/>
                  <w:left w:val="nil"/>
                  <w:bottom w:val="single" w:sz="4" w:space="0" w:color="auto"/>
                  <w:right w:val="single" w:sz="4" w:space="0" w:color="auto"/>
                </w:tcBorders>
                <w:vAlign w:val="center"/>
              </w:tcPr>
              <w:p w14:paraId="75116155" w14:textId="77777777" w:rsidR="002D0AE7" w:rsidRDefault="00333EBB">
                <w:pPr>
                  <w:rPr>
                    <w:rFonts w:hint="eastAsia"/>
                    <w:color w:val="000000"/>
                  </w:rPr>
                </w:pPr>
                <w:r>
                  <w:rPr>
                    <w:rFonts w:hint="eastAsia"/>
                    <w:color w:val="000000"/>
                  </w:rPr>
                  <w:t>自动在线监测设备</w:t>
                </w:r>
              </w:p>
            </w:tc>
            <w:tc>
              <w:tcPr>
                <w:tcW w:w="992" w:type="dxa"/>
                <w:tcBorders>
                  <w:top w:val="single" w:sz="4" w:space="0" w:color="auto"/>
                  <w:left w:val="nil"/>
                  <w:bottom w:val="single" w:sz="4" w:space="0" w:color="auto"/>
                  <w:right w:val="single" w:sz="4" w:space="0" w:color="auto"/>
                </w:tcBorders>
                <w:vAlign w:val="center"/>
              </w:tcPr>
              <w:p w14:paraId="36CFFE34" w14:textId="77777777" w:rsidR="002D0AE7" w:rsidRDefault="00333EBB">
                <w:pPr>
                  <w:rPr>
                    <w:rFonts w:hint="eastAsia"/>
                    <w:color w:val="000000"/>
                  </w:rPr>
                </w:pPr>
                <w:r>
                  <w:rPr>
                    <w:color w:val="000000"/>
                  </w:rPr>
                  <w:t>每日两次</w:t>
                </w:r>
              </w:p>
            </w:tc>
            <w:tc>
              <w:tcPr>
                <w:tcW w:w="1276" w:type="dxa"/>
                <w:tcBorders>
                  <w:top w:val="single" w:sz="4" w:space="0" w:color="auto"/>
                  <w:left w:val="nil"/>
                  <w:bottom w:val="single" w:sz="4" w:space="0" w:color="auto"/>
                  <w:right w:val="single" w:sz="4" w:space="0" w:color="auto"/>
                </w:tcBorders>
                <w:vAlign w:val="center"/>
              </w:tcPr>
              <w:p w14:paraId="6457E256" w14:textId="77777777" w:rsidR="002D0AE7" w:rsidRDefault="00333EBB">
                <w:pPr>
                  <w:jc w:val="center"/>
                  <w:rPr>
                    <w:rFonts w:hint="eastAsia"/>
                    <w:color w:val="000000"/>
                  </w:rPr>
                </w:pPr>
                <w:r>
                  <w:rPr>
                    <w:color w:val="000000"/>
                  </w:rPr>
                  <w:t>/</w:t>
                </w:r>
              </w:p>
            </w:tc>
          </w:tr>
        </w:tbl>
        <w:p w14:paraId="10DE94F2" w14:textId="77777777" w:rsidR="002D0AE7" w:rsidRDefault="00333EBB">
          <w:pPr>
            <w:rPr>
              <w:rFonts w:ascii="Calibri" w:hAnsi="Calibri" w:cs="Times New Roman"/>
              <w:color w:val="000000"/>
              <w:kern w:val="2"/>
            </w:rPr>
          </w:pPr>
          <w:r>
            <w:rPr>
              <w:rFonts w:hint="eastAsia"/>
              <w:color w:val="000000"/>
            </w:rPr>
            <w:t>（</w:t>
          </w:r>
          <w:r>
            <w:rPr>
              <w:rFonts w:cs="Calibri" w:hint="eastAsia"/>
              <w:color w:val="000000"/>
            </w:rPr>
            <w:t>2</w:t>
          </w:r>
          <w:r>
            <w:rPr>
              <w:rFonts w:hint="eastAsia"/>
              <w:color w:val="000000"/>
            </w:rPr>
            <w:t>）噪声监测项目</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4"/>
            <w:gridCol w:w="850"/>
            <w:gridCol w:w="1735"/>
            <w:gridCol w:w="2336"/>
            <w:gridCol w:w="1616"/>
            <w:gridCol w:w="716"/>
            <w:gridCol w:w="858"/>
          </w:tblGrid>
          <w:tr w:rsidR="002D0AE7" w14:paraId="5E1321D9" w14:textId="77777777">
            <w:trPr>
              <w:trHeight w:val="306"/>
              <w:jc w:val="center"/>
            </w:trPr>
            <w:tc>
              <w:tcPr>
                <w:tcW w:w="1264" w:type="dxa"/>
                <w:tcBorders>
                  <w:top w:val="single" w:sz="4" w:space="0" w:color="auto"/>
                  <w:left w:val="single" w:sz="4" w:space="0" w:color="auto"/>
                  <w:bottom w:val="single" w:sz="4" w:space="0" w:color="auto"/>
                  <w:right w:val="single" w:sz="4" w:space="0" w:color="auto"/>
                </w:tcBorders>
                <w:vAlign w:val="center"/>
              </w:tcPr>
              <w:p w14:paraId="4604D28B" w14:textId="77777777" w:rsidR="002D0AE7" w:rsidRDefault="00333EBB">
                <w:pPr>
                  <w:jc w:val="center"/>
                  <w:rPr>
                    <w:rFonts w:hint="eastAsia"/>
                    <w:color w:val="000000"/>
                  </w:rPr>
                </w:pPr>
                <w:r>
                  <w:rPr>
                    <w:rFonts w:hint="eastAsia"/>
                    <w:color w:val="000000"/>
                  </w:rPr>
                  <w:t>公司名称</w:t>
                </w:r>
              </w:p>
            </w:tc>
            <w:tc>
              <w:tcPr>
                <w:tcW w:w="850" w:type="dxa"/>
                <w:tcBorders>
                  <w:top w:val="single" w:sz="4" w:space="0" w:color="auto"/>
                  <w:left w:val="nil"/>
                  <w:bottom w:val="single" w:sz="4" w:space="0" w:color="auto"/>
                  <w:right w:val="single" w:sz="4" w:space="0" w:color="auto"/>
                </w:tcBorders>
                <w:vAlign w:val="center"/>
              </w:tcPr>
              <w:p w14:paraId="420DF50A" w14:textId="77777777" w:rsidR="002D0AE7" w:rsidRDefault="00333EBB">
                <w:pPr>
                  <w:jc w:val="center"/>
                  <w:rPr>
                    <w:rFonts w:hint="eastAsia"/>
                    <w:color w:val="000000"/>
                  </w:rPr>
                </w:pPr>
                <w:r>
                  <w:rPr>
                    <w:rFonts w:hint="eastAsia"/>
                    <w:color w:val="000000"/>
                  </w:rPr>
                  <w:t>项目名称</w:t>
                </w:r>
              </w:p>
            </w:tc>
            <w:tc>
              <w:tcPr>
                <w:tcW w:w="1735" w:type="dxa"/>
                <w:tcBorders>
                  <w:top w:val="single" w:sz="4" w:space="0" w:color="auto"/>
                  <w:left w:val="nil"/>
                  <w:bottom w:val="single" w:sz="4" w:space="0" w:color="auto"/>
                  <w:right w:val="single" w:sz="4" w:space="0" w:color="auto"/>
                </w:tcBorders>
                <w:vAlign w:val="center"/>
              </w:tcPr>
              <w:p w14:paraId="2C7E529B" w14:textId="77777777" w:rsidR="002D0AE7" w:rsidRDefault="00333EBB">
                <w:pPr>
                  <w:jc w:val="center"/>
                  <w:rPr>
                    <w:rFonts w:hint="eastAsia"/>
                    <w:color w:val="000000"/>
                  </w:rPr>
                </w:pPr>
                <w:r>
                  <w:rPr>
                    <w:rFonts w:hint="eastAsia"/>
                    <w:color w:val="000000"/>
                  </w:rPr>
                  <w:t>排放限值</w:t>
                </w:r>
              </w:p>
            </w:tc>
            <w:tc>
              <w:tcPr>
                <w:tcW w:w="2336" w:type="dxa"/>
                <w:tcBorders>
                  <w:top w:val="single" w:sz="4" w:space="0" w:color="auto"/>
                  <w:left w:val="nil"/>
                  <w:bottom w:val="single" w:sz="4" w:space="0" w:color="auto"/>
                  <w:right w:val="single" w:sz="4" w:space="0" w:color="auto"/>
                </w:tcBorders>
                <w:vAlign w:val="center"/>
              </w:tcPr>
              <w:p w14:paraId="0533D336" w14:textId="77777777" w:rsidR="002D0AE7" w:rsidRDefault="00333EBB">
                <w:pPr>
                  <w:jc w:val="center"/>
                  <w:rPr>
                    <w:rFonts w:hint="eastAsia"/>
                    <w:color w:val="000000"/>
                  </w:rPr>
                </w:pPr>
                <w:r>
                  <w:rPr>
                    <w:rFonts w:hint="eastAsia"/>
                    <w:color w:val="000000"/>
                  </w:rPr>
                  <w:t>监测方法</w:t>
                </w:r>
              </w:p>
            </w:tc>
            <w:tc>
              <w:tcPr>
                <w:tcW w:w="1616" w:type="dxa"/>
                <w:tcBorders>
                  <w:top w:val="single" w:sz="4" w:space="0" w:color="auto"/>
                  <w:left w:val="nil"/>
                  <w:bottom w:val="single" w:sz="4" w:space="0" w:color="auto"/>
                  <w:right w:val="single" w:sz="4" w:space="0" w:color="auto"/>
                </w:tcBorders>
                <w:vAlign w:val="center"/>
              </w:tcPr>
              <w:p w14:paraId="303A7C5C" w14:textId="77777777" w:rsidR="002D0AE7" w:rsidRDefault="00333EBB">
                <w:pPr>
                  <w:jc w:val="center"/>
                  <w:rPr>
                    <w:rFonts w:hint="eastAsia"/>
                    <w:color w:val="000000"/>
                  </w:rPr>
                </w:pPr>
                <w:r>
                  <w:rPr>
                    <w:rFonts w:hint="eastAsia"/>
                    <w:color w:val="000000"/>
                  </w:rPr>
                  <w:t>分析仪器</w:t>
                </w:r>
              </w:p>
            </w:tc>
            <w:tc>
              <w:tcPr>
                <w:tcW w:w="716" w:type="dxa"/>
                <w:tcBorders>
                  <w:top w:val="single" w:sz="4" w:space="0" w:color="auto"/>
                  <w:left w:val="nil"/>
                  <w:bottom w:val="single" w:sz="4" w:space="0" w:color="auto"/>
                  <w:right w:val="single" w:sz="4" w:space="0" w:color="auto"/>
                </w:tcBorders>
                <w:vAlign w:val="center"/>
              </w:tcPr>
              <w:p w14:paraId="4EC1A2AC" w14:textId="77777777" w:rsidR="002D0AE7" w:rsidRDefault="00333EBB">
                <w:pPr>
                  <w:jc w:val="center"/>
                  <w:rPr>
                    <w:rFonts w:hint="eastAsia"/>
                    <w:color w:val="000000"/>
                  </w:rPr>
                </w:pPr>
                <w:r>
                  <w:rPr>
                    <w:rFonts w:hint="eastAsia"/>
                    <w:color w:val="000000"/>
                  </w:rPr>
                  <w:t>监测频次</w:t>
                </w:r>
              </w:p>
            </w:tc>
            <w:tc>
              <w:tcPr>
                <w:tcW w:w="858" w:type="dxa"/>
                <w:tcBorders>
                  <w:top w:val="single" w:sz="4" w:space="0" w:color="auto"/>
                  <w:left w:val="nil"/>
                  <w:bottom w:val="single" w:sz="4" w:space="0" w:color="auto"/>
                  <w:right w:val="single" w:sz="4" w:space="0" w:color="auto"/>
                </w:tcBorders>
                <w:vAlign w:val="center"/>
              </w:tcPr>
              <w:p w14:paraId="758A84BC" w14:textId="77777777" w:rsidR="002D0AE7" w:rsidRDefault="00333EBB">
                <w:pPr>
                  <w:jc w:val="center"/>
                  <w:rPr>
                    <w:rFonts w:hint="eastAsia"/>
                    <w:color w:val="000000"/>
                  </w:rPr>
                </w:pPr>
                <w:r>
                  <w:rPr>
                    <w:rFonts w:hint="eastAsia"/>
                    <w:color w:val="000000"/>
                  </w:rPr>
                  <w:t>采样方法及个数</w:t>
                </w:r>
              </w:p>
            </w:tc>
          </w:tr>
          <w:tr w:rsidR="002D0AE7" w14:paraId="5C1279AE" w14:textId="77777777">
            <w:trPr>
              <w:trHeight w:val="567"/>
              <w:jc w:val="center"/>
            </w:trPr>
            <w:tc>
              <w:tcPr>
                <w:tcW w:w="1264" w:type="dxa"/>
                <w:tcBorders>
                  <w:top w:val="single" w:sz="4" w:space="0" w:color="auto"/>
                  <w:left w:val="single" w:sz="4" w:space="0" w:color="auto"/>
                  <w:bottom w:val="single" w:sz="4" w:space="0" w:color="auto"/>
                  <w:right w:val="single" w:sz="4" w:space="0" w:color="auto"/>
                </w:tcBorders>
                <w:vAlign w:val="center"/>
              </w:tcPr>
              <w:p w14:paraId="1F065DEC" w14:textId="77777777" w:rsidR="002D0AE7" w:rsidRDefault="00333EBB">
                <w:pPr>
                  <w:jc w:val="center"/>
                  <w:rPr>
                    <w:rFonts w:hint="eastAsia"/>
                    <w:color w:val="000000"/>
                  </w:rPr>
                </w:pPr>
                <w:r>
                  <w:rPr>
                    <w:rFonts w:hint="eastAsia"/>
                    <w:color w:val="000000"/>
                  </w:rPr>
                  <w:lastRenderedPageBreak/>
                  <w:t>津药药业股份有限公司</w:t>
                </w:r>
              </w:p>
            </w:tc>
            <w:tc>
              <w:tcPr>
                <w:tcW w:w="850" w:type="dxa"/>
                <w:tcBorders>
                  <w:top w:val="single" w:sz="4" w:space="0" w:color="auto"/>
                  <w:left w:val="nil"/>
                  <w:bottom w:val="single" w:sz="4" w:space="0" w:color="auto"/>
                  <w:right w:val="single" w:sz="4" w:space="0" w:color="auto"/>
                </w:tcBorders>
                <w:vAlign w:val="center"/>
              </w:tcPr>
              <w:p w14:paraId="524DE347" w14:textId="77777777" w:rsidR="002D0AE7" w:rsidRDefault="00333EBB">
                <w:pPr>
                  <w:jc w:val="center"/>
                  <w:rPr>
                    <w:rFonts w:hint="eastAsia"/>
                    <w:color w:val="000000"/>
                  </w:rPr>
                </w:pPr>
                <w:r>
                  <w:rPr>
                    <w:rFonts w:hint="eastAsia"/>
                    <w:color w:val="000000"/>
                  </w:rPr>
                  <w:t>噪声</w:t>
                </w:r>
              </w:p>
            </w:tc>
            <w:tc>
              <w:tcPr>
                <w:tcW w:w="1735" w:type="dxa"/>
                <w:tcBorders>
                  <w:top w:val="single" w:sz="4" w:space="0" w:color="auto"/>
                  <w:left w:val="nil"/>
                  <w:bottom w:val="single" w:sz="4" w:space="0" w:color="auto"/>
                  <w:right w:val="single" w:sz="4" w:space="0" w:color="auto"/>
                </w:tcBorders>
                <w:vAlign w:val="center"/>
              </w:tcPr>
              <w:p w14:paraId="1114EBA5" w14:textId="77777777" w:rsidR="002D0AE7" w:rsidRDefault="00333EBB">
                <w:pPr>
                  <w:jc w:val="center"/>
                  <w:rPr>
                    <w:rFonts w:hint="eastAsia"/>
                    <w:color w:val="000000"/>
                  </w:rPr>
                </w:pPr>
                <w:r>
                  <w:rPr>
                    <w:rFonts w:hint="eastAsia"/>
                    <w:color w:val="000000"/>
                  </w:rPr>
                  <w:t>白天等效声级：</w:t>
                </w:r>
                <w:r>
                  <w:rPr>
                    <w:rFonts w:cs="Calibri" w:hint="eastAsia"/>
                    <w:color w:val="000000"/>
                  </w:rPr>
                  <w:t>65</w:t>
                </w:r>
                <w:r>
                  <w:rPr>
                    <w:rFonts w:hint="eastAsia"/>
                    <w:color w:val="000000"/>
                  </w:rPr>
                  <w:t>；</w:t>
                </w:r>
              </w:p>
              <w:p w14:paraId="6AA0CC0A" w14:textId="77777777" w:rsidR="002D0AE7" w:rsidRDefault="00333EBB">
                <w:pPr>
                  <w:rPr>
                    <w:rFonts w:hint="eastAsia"/>
                    <w:color w:val="000000"/>
                  </w:rPr>
                </w:pPr>
                <w:r>
                  <w:rPr>
                    <w:rFonts w:hint="eastAsia"/>
                    <w:color w:val="000000"/>
                  </w:rPr>
                  <w:t>夜间等效声级：</w:t>
                </w:r>
                <w:r>
                  <w:rPr>
                    <w:rFonts w:cs="Calibri" w:hint="eastAsia"/>
                    <w:color w:val="000000"/>
                  </w:rPr>
                  <w:t>55</w:t>
                </w:r>
                <w:r>
                  <w:rPr>
                    <w:rFonts w:hint="eastAsia"/>
                    <w:color w:val="000000"/>
                  </w:rPr>
                  <w:t>；夜间频发噪声最大声级</w:t>
                </w:r>
                <w:r>
                  <w:rPr>
                    <w:rFonts w:cs="Calibri" w:hint="eastAsia"/>
                    <w:color w:val="000000"/>
                  </w:rPr>
                  <w:t>65</w:t>
                </w:r>
                <w:r>
                  <w:rPr>
                    <w:rFonts w:hint="eastAsia"/>
                    <w:color w:val="000000"/>
                  </w:rPr>
                  <w:t>；夜间偶发噪声最大声级</w:t>
                </w:r>
                <w:r>
                  <w:rPr>
                    <w:rFonts w:cs="Calibri" w:hint="eastAsia"/>
                    <w:color w:val="000000"/>
                  </w:rPr>
                  <w:t>70</w:t>
                </w:r>
                <w:r>
                  <w:rPr>
                    <w:rFonts w:hint="eastAsia"/>
                    <w:color w:val="000000"/>
                  </w:rPr>
                  <w:t>。</w:t>
                </w:r>
              </w:p>
            </w:tc>
            <w:tc>
              <w:tcPr>
                <w:tcW w:w="2336" w:type="dxa"/>
                <w:tcBorders>
                  <w:top w:val="single" w:sz="4" w:space="0" w:color="auto"/>
                  <w:left w:val="nil"/>
                  <w:bottom w:val="single" w:sz="4" w:space="0" w:color="auto"/>
                  <w:right w:val="single" w:sz="4" w:space="0" w:color="auto"/>
                </w:tcBorders>
                <w:vAlign w:val="center"/>
              </w:tcPr>
              <w:p w14:paraId="35C09731" w14:textId="77777777" w:rsidR="002D0AE7" w:rsidRDefault="00333EBB">
                <w:pPr>
                  <w:rPr>
                    <w:rFonts w:hint="eastAsia"/>
                    <w:color w:val="000000"/>
                  </w:rPr>
                </w:pPr>
                <w:r>
                  <w:rPr>
                    <w:rFonts w:hint="eastAsia"/>
                    <w:color w:val="000000"/>
                  </w:rPr>
                  <w:t>《工业企业厂界环境噪声排放标准》</w:t>
                </w:r>
                <w:r>
                  <w:rPr>
                    <w:rFonts w:cs="Calibri" w:hint="eastAsia"/>
                    <w:color w:val="000000"/>
                  </w:rPr>
                  <w:t>GB/T12348-2008</w:t>
                </w:r>
              </w:p>
            </w:tc>
            <w:tc>
              <w:tcPr>
                <w:tcW w:w="1616" w:type="dxa"/>
                <w:tcBorders>
                  <w:top w:val="single" w:sz="4" w:space="0" w:color="auto"/>
                  <w:left w:val="nil"/>
                  <w:bottom w:val="single" w:sz="4" w:space="0" w:color="auto"/>
                  <w:right w:val="single" w:sz="4" w:space="0" w:color="auto"/>
                </w:tcBorders>
                <w:vAlign w:val="center"/>
              </w:tcPr>
              <w:p w14:paraId="3874FA6F" w14:textId="77777777" w:rsidR="002D0AE7" w:rsidRDefault="00333EBB">
                <w:pPr>
                  <w:rPr>
                    <w:rFonts w:hint="eastAsia"/>
                    <w:color w:val="000000"/>
                  </w:rPr>
                </w:pPr>
                <w:r>
                  <w:rPr>
                    <w:rFonts w:hint="eastAsia"/>
                    <w:color w:val="000000"/>
                  </w:rPr>
                  <w:t>多功能声级计声校准器风向风速仪</w:t>
                </w:r>
              </w:p>
            </w:tc>
            <w:tc>
              <w:tcPr>
                <w:tcW w:w="716" w:type="dxa"/>
                <w:tcBorders>
                  <w:top w:val="single" w:sz="4" w:space="0" w:color="auto"/>
                  <w:left w:val="nil"/>
                  <w:bottom w:val="single" w:sz="4" w:space="0" w:color="auto"/>
                  <w:right w:val="single" w:sz="4" w:space="0" w:color="auto"/>
                </w:tcBorders>
                <w:vAlign w:val="center"/>
              </w:tcPr>
              <w:p w14:paraId="7AB840AC" w14:textId="77777777" w:rsidR="002D0AE7" w:rsidRDefault="00333EBB">
                <w:pPr>
                  <w:rPr>
                    <w:rFonts w:hint="eastAsia"/>
                    <w:color w:val="000000"/>
                  </w:rPr>
                </w:pPr>
                <w:r>
                  <w:rPr>
                    <w:rFonts w:hint="eastAsia"/>
                    <w:color w:val="000000"/>
                  </w:rPr>
                  <w:t>每季度一次</w:t>
                </w:r>
              </w:p>
            </w:tc>
            <w:tc>
              <w:tcPr>
                <w:tcW w:w="858" w:type="dxa"/>
                <w:tcBorders>
                  <w:top w:val="single" w:sz="4" w:space="0" w:color="auto"/>
                  <w:left w:val="nil"/>
                  <w:bottom w:val="single" w:sz="4" w:space="0" w:color="auto"/>
                  <w:right w:val="single" w:sz="4" w:space="0" w:color="auto"/>
                </w:tcBorders>
                <w:vAlign w:val="center"/>
              </w:tcPr>
              <w:p w14:paraId="09960A36" w14:textId="77777777" w:rsidR="002D0AE7" w:rsidRDefault="00333EBB">
                <w:pPr>
                  <w:rPr>
                    <w:rFonts w:hint="eastAsia"/>
                    <w:color w:val="000000"/>
                  </w:rPr>
                </w:pPr>
                <w:r>
                  <w:rPr>
                    <w:rFonts w:hint="eastAsia"/>
                    <w:color w:val="000000"/>
                  </w:rPr>
                  <w:t>昼夜</w:t>
                </w:r>
              </w:p>
            </w:tc>
          </w:tr>
          <w:tr w:rsidR="002D0AE7" w14:paraId="7CC2A9AA" w14:textId="77777777">
            <w:trPr>
              <w:trHeight w:val="567"/>
              <w:jc w:val="center"/>
            </w:trPr>
            <w:tc>
              <w:tcPr>
                <w:tcW w:w="1264" w:type="dxa"/>
                <w:tcBorders>
                  <w:top w:val="single" w:sz="4" w:space="0" w:color="auto"/>
                  <w:left w:val="single" w:sz="4" w:space="0" w:color="auto"/>
                  <w:bottom w:val="single" w:sz="4" w:space="0" w:color="auto"/>
                  <w:right w:val="single" w:sz="4" w:space="0" w:color="auto"/>
                </w:tcBorders>
                <w:vAlign w:val="center"/>
              </w:tcPr>
              <w:p w14:paraId="4BD2EDAA" w14:textId="77777777" w:rsidR="002D0AE7" w:rsidRDefault="00333EBB">
                <w:pPr>
                  <w:jc w:val="center"/>
                  <w:rPr>
                    <w:rFonts w:hint="eastAsia"/>
                    <w:color w:val="000000"/>
                  </w:rPr>
                </w:pPr>
                <w:r>
                  <w:rPr>
                    <w:rFonts w:hint="eastAsia"/>
                    <w:color w:val="000000"/>
                  </w:rPr>
                  <w:t>天津津药环境科技有限公司</w:t>
                </w:r>
              </w:p>
            </w:tc>
            <w:tc>
              <w:tcPr>
                <w:tcW w:w="850" w:type="dxa"/>
                <w:tcBorders>
                  <w:top w:val="single" w:sz="4" w:space="0" w:color="auto"/>
                  <w:left w:val="nil"/>
                  <w:bottom w:val="single" w:sz="4" w:space="0" w:color="auto"/>
                  <w:right w:val="single" w:sz="4" w:space="0" w:color="auto"/>
                </w:tcBorders>
                <w:vAlign w:val="center"/>
              </w:tcPr>
              <w:p w14:paraId="75F46A59" w14:textId="77777777" w:rsidR="002D0AE7" w:rsidRDefault="00333EBB">
                <w:pPr>
                  <w:jc w:val="center"/>
                  <w:rPr>
                    <w:rFonts w:hint="eastAsia"/>
                    <w:color w:val="000000"/>
                  </w:rPr>
                </w:pPr>
                <w:r>
                  <w:rPr>
                    <w:rFonts w:hint="eastAsia"/>
                    <w:color w:val="000000"/>
                  </w:rPr>
                  <w:t>噪声</w:t>
                </w:r>
              </w:p>
            </w:tc>
            <w:tc>
              <w:tcPr>
                <w:tcW w:w="1735" w:type="dxa"/>
                <w:tcBorders>
                  <w:top w:val="single" w:sz="4" w:space="0" w:color="auto"/>
                  <w:left w:val="nil"/>
                  <w:bottom w:val="single" w:sz="4" w:space="0" w:color="auto"/>
                  <w:right w:val="single" w:sz="4" w:space="0" w:color="auto"/>
                </w:tcBorders>
                <w:vAlign w:val="center"/>
              </w:tcPr>
              <w:p w14:paraId="3CA0BF22" w14:textId="77777777" w:rsidR="002D0AE7" w:rsidRDefault="00333EBB">
                <w:pPr>
                  <w:rPr>
                    <w:rFonts w:hint="eastAsia"/>
                    <w:color w:val="000000"/>
                  </w:rPr>
                </w:pPr>
                <w:r>
                  <w:rPr>
                    <w:rFonts w:hint="eastAsia"/>
                    <w:color w:val="000000"/>
                  </w:rPr>
                  <w:t>白天：</w:t>
                </w:r>
                <w:r>
                  <w:rPr>
                    <w:rFonts w:cs="Calibri" w:hint="eastAsia"/>
                    <w:color w:val="000000"/>
                  </w:rPr>
                  <w:t>65</w:t>
                </w:r>
              </w:p>
              <w:p w14:paraId="7DD15D48" w14:textId="77777777" w:rsidR="002D0AE7" w:rsidRDefault="00333EBB">
                <w:pPr>
                  <w:rPr>
                    <w:rFonts w:hint="eastAsia"/>
                    <w:color w:val="000000"/>
                  </w:rPr>
                </w:pPr>
                <w:r>
                  <w:rPr>
                    <w:rFonts w:hint="eastAsia"/>
                    <w:color w:val="000000"/>
                  </w:rPr>
                  <w:t>夜间：</w:t>
                </w:r>
                <w:r>
                  <w:rPr>
                    <w:rFonts w:cs="Calibri" w:hint="eastAsia"/>
                    <w:color w:val="000000"/>
                  </w:rPr>
                  <w:t>55</w:t>
                </w:r>
              </w:p>
            </w:tc>
            <w:tc>
              <w:tcPr>
                <w:tcW w:w="2336" w:type="dxa"/>
                <w:tcBorders>
                  <w:top w:val="single" w:sz="4" w:space="0" w:color="auto"/>
                  <w:left w:val="nil"/>
                  <w:bottom w:val="single" w:sz="4" w:space="0" w:color="auto"/>
                  <w:right w:val="single" w:sz="4" w:space="0" w:color="auto"/>
                </w:tcBorders>
                <w:vAlign w:val="center"/>
              </w:tcPr>
              <w:p w14:paraId="63F47C81" w14:textId="77777777" w:rsidR="002D0AE7" w:rsidRDefault="00333EBB">
                <w:pPr>
                  <w:rPr>
                    <w:rFonts w:hint="eastAsia"/>
                    <w:color w:val="000000"/>
                  </w:rPr>
                </w:pPr>
                <w:r>
                  <w:rPr>
                    <w:rFonts w:hint="eastAsia"/>
                    <w:color w:val="000000"/>
                  </w:rPr>
                  <w:t>《工业企业厂界环境噪声排放标准》</w:t>
                </w:r>
                <w:r>
                  <w:rPr>
                    <w:rFonts w:cs="Calibri" w:hint="eastAsia"/>
                    <w:color w:val="000000"/>
                  </w:rPr>
                  <w:t>GB/T12348-2008</w:t>
                </w:r>
              </w:p>
            </w:tc>
            <w:tc>
              <w:tcPr>
                <w:tcW w:w="1616" w:type="dxa"/>
                <w:tcBorders>
                  <w:top w:val="single" w:sz="4" w:space="0" w:color="auto"/>
                  <w:left w:val="nil"/>
                  <w:bottom w:val="single" w:sz="4" w:space="0" w:color="auto"/>
                  <w:right w:val="single" w:sz="4" w:space="0" w:color="auto"/>
                </w:tcBorders>
                <w:vAlign w:val="center"/>
              </w:tcPr>
              <w:p w14:paraId="355949B0" w14:textId="77777777" w:rsidR="002D0AE7" w:rsidRDefault="00333EBB">
                <w:pPr>
                  <w:rPr>
                    <w:rFonts w:hint="eastAsia"/>
                    <w:color w:val="000000"/>
                  </w:rPr>
                </w:pPr>
                <w:r>
                  <w:rPr>
                    <w:rFonts w:hint="eastAsia"/>
                    <w:color w:val="000000"/>
                  </w:rPr>
                  <w:t>多功能声级计声校准器风向风速仪</w:t>
                </w:r>
              </w:p>
            </w:tc>
            <w:tc>
              <w:tcPr>
                <w:tcW w:w="716" w:type="dxa"/>
                <w:tcBorders>
                  <w:top w:val="single" w:sz="4" w:space="0" w:color="auto"/>
                  <w:left w:val="nil"/>
                  <w:bottom w:val="single" w:sz="4" w:space="0" w:color="auto"/>
                  <w:right w:val="single" w:sz="4" w:space="0" w:color="auto"/>
                </w:tcBorders>
                <w:vAlign w:val="center"/>
              </w:tcPr>
              <w:p w14:paraId="3D6CC333" w14:textId="77777777" w:rsidR="002D0AE7" w:rsidRDefault="00333EBB">
                <w:pPr>
                  <w:rPr>
                    <w:rFonts w:hint="eastAsia"/>
                    <w:color w:val="000000"/>
                  </w:rPr>
                </w:pPr>
                <w:r>
                  <w:rPr>
                    <w:rFonts w:hint="eastAsia"/>
                    <w:color w:val="000000"/>
                  </w:rPr>
                  <w:t>每季度一次</w:t>
                </w:r>
              </w:p>
            </w:tc>
            <w:tc>
              <w:tcPr>
                <w:tcW w:w="858" w:type="dxa"/>
                <w:tcBorders>
                  <w:top w:val="single" w:sz="4" w:space="0" w:color="auto"/>
                  <w:left w:val="nil"/>
                  <w:bottom w:val="single" w:sz="4" w:space="0" w:color="auto"/>
                  <w:right w:val="single" w:sz="4" w:space="0" w:color="auto"/>
                </w:tcBorders>
                <w:vAlign w:val="center"/>
              </w:tcPr>
              <w:p w14:paraId="10894256" w14:textId="77777777" w:rsidR="002D0AE7" w:rsidRDefault="00333EBB">
                <w:pPr>
                  <w:rPr>
                    <w:rFonts w:hint="eastAsia"/>
                    <w:color w:val="000000"/>
                  </w:rPr>
                </w:pPr>
                <w:r>
                  <w:rPr>
                    <w:rFonts w:hint="eastAsia"/>
                    <w:color w:val="000000"/>
                  </w:rPr>
                  <w:t>昼夜</w:t>
                </w:r>
              </w:p>
            </w:tc>
          </w:tr>
          <w:tr w:rsidR="002D0AE7" w14:paraId="605A42EF" w14:textId="77777777">
            <w:trPr>
              <w:trHeight w:val="567"/>
              <w:jc w:val="center"/>
            </w:trPr>
            <w:tc>
              <w:tcPr>
                <w:tcW w:w="1264" w:type="dxa"/>
                <w:tcBorders>
                  <w:top w:val="single" w:sz="4" w:space="0" w:color="auto"/>
                  <w:left w:val="single" w:sz="4" w:space="0" w:color="auto"/>
                  <w:bottom w:val="single" w:sz="4" w:space="0" w:color="auto"/>
                  <w:right w:val="single" w:sz="4" w:space="0" w:color="auto"/>
                </w:tcBorders>
                <w:vAlign w:val="center"/>
              </w:tcPr>
              <w:p w14:paraId="52F3E973" w14:textId="77777777" w:rsidR="002D0AE7" w:rsidRDefault="00333EBB">
                <w:pPr>
                  <w:jc w:val="center"/>
                  <w:rPr>
                    <w:rFonts w:hint="eastAsia"/>
                    <w:color w:val="000000"/>
                  </w:rPr>
                </w:pPr>
                <w:r>
                  <w:rPr>
                    <w:rFonts w:hint="eastAsia"/>
                    <w:color w:val="000000"/>
                  </w:rPr>
                  <w:t>津药和平（天津）制药有限公司</w:t>
                </w:r>
              </w:p>
            </w:tc>
            <w:tc>
              <w:tcPr>
                <w:tcW w:w="850" w:type="dxa"/>
                <w:tcBorders>
                  <w:top w:val="single" w:sz="4" w:space="0" w:color="auto"/>
                  <w:left w:val="nil"/>
                  <w:bottom w:val="single" w:sz="4" w:space="0" w:color="auto"/>
                  <w:right w:val="single" w:sz="4" w:space="0" w:color="auto"/>
                </w:tcBorders>
                <w:vAlign w:val="center"/>
              </w:tcPr>
              <w:p w14:paraId="724FC301" w14:textId="77777777" w:rsidR="002D0AE7" w:rsidRDefault="00333EBB">
                <w:pPr>
                  <w:jc w:val="center"/>
                  <w:rPr>
                    <w:rFonts w:hint="eastAsia"/>
                    <w:color w:val="000000"/>
                  </w:rPr>
                </w:pPr>
                <w:r>
                  <w:rPr>
                    <w:rFonts w:hint="eastAsia"/>
                    <w:color w:val="000000"/>
                  </w:rPr>
                  <w:t>噪声</w:t>
                </w:r>
              </w:p>
            </w:tc>
            <w:tc>
              <w:tcPr>
                <w:tcW w:w="1735" w:type="dxa"/>
                <w:tcBorders>
                  <w:top w:val="single" w:sz="4" w:space="0" w:color="auto"/>
                  <w:left w:val="nil"/>
                  <w:bottom w:val="single" w:sz="4" w:space="0" w:color="auto"/>
                  <w:right w:val="single" w:sz="4" w:space="0" w:color="auto"/>
                </w:tcBorders>
                <w:vAlign w:val="center"/>
              </w:tcPr>
              <w:p w14:paraId="78F90295" w14:textId="77777777" w:rsidR="002D0AE7" w:rsidRDefault="00333EBB">
                <w:pPr>
                  <w:rPr>
                    <w:rFonts w:hint="eastAsia"/>
                    <w:color w:val="000000"/>
                  </w:rPr>
                </w:pPr>
                <w:r>
                  <w:rPr>
                    <w:rFonts w:hint="eastAsia"/>
                    <w:color w:val="000000"/>
                  </w:rPr>
                  <w:t>白天：</w:t>
                </w:r>
                <w:r>
                  <w:rPr>
                    <w:rFonts w:cs="Calibri" w:hint="eastAsia"/>
                    <w:color w:val="000000"/>
                  </w:rPr>
                  <w:t>65</w:t>
                </w:r>
              </w:p>
              <w:p w14:paraId="03E50CD6" w14:textId="77777777" w:rsidR="002D0AE7" w:rsidRDefault="00333EBB">
                <w:pPr>
                  <w:rPr>
                    <w:rFonts w:hint="eastAsia"/>
                    <w:color w:val="000000"/>
                  </w:rPr>
                </w:pPr>
                <w:r>
                  <w:rPr>
                    <w:rFonts w:hint="eastAsia"/>
                    <w:color w:val="000000"/>
                  </w:rPr>
                  <w:t>夜间：</w:t>
                </w:r>
                <w:r>
                  <w:rPr>
                    <w:rFonts w:cs="Calibri" w:hint="eastAsia"/>
                    <w:color w:val="000000"/>
                  </w:rPr>
                  <w:t>55</w:t>
                </w:r>
              </w:p>
            </w:tc>
            <w:tc>
              <w:tcPr>
                <w:tcW w:w="2336" w:type="dxa"/>
                <w:tcBorders>
                  <w:top w:val="single" w:sz="4" w:space="0" w:color="auto"/>
                  <w:left w:val="nil"/>
                  <w:bottom w:val="single" w:sz="4" w:space="0" w:color="auto"/>
                  <w:right w:val="single" w:sz="4" w:space="0" w:color="auto"/>
                </w:tcBorders>
                <w:vAlign w:val="center"/>
              </w:tcPr>
              <w:p w14:paraId="052A2737" w14:textId="77777777" w:rsidR="002D0AE7" w:rsidRDefault="00333EBB">
                <w:pPr>
                  <w:rPr>
                    <w:rFonts w:hint="eastAsia"/>
                    <w:color w:val="000000"/>
                  </w:rPr>
                </w:pPr>
                <w:r>
                  <w:rPr>
                    <w:rFonts w:hint="eastAsia"/>
                    <w:color w:val="000000"/>
                  </w:rPr>
                  <w:t>《工业企业厂界环境噪声排放标准》</w:t>
                </w:r>
                <w:r>
                  <w:rPr>
                    <w:rFonts w:cs="Calibri" w:hint="eastAsia"/>
                    <w:color w:val="000000"/>
                  </w:rPr>
                  <w:t>GB/T12348-2008</w:t>
                </w:r>
              </w:p>
            </w:tc>
            <w:tc>
              <w:tcPr>
                <w:tcW w:w="1616" w:type="dxa"/>
                <w:tcBorders>
                  <w:top w:val="single" w:sz="4" w:space="0" w:color="auto"/>
                  <w:left w:val="nil"/>
                  <w:bottom w:val="single" w:sz="4" w:space="0" w:color="auto"/>
                  <w:right w:val="single" w:sz="4" w:space="0" w:color="auto"/>
                </w:tcBorders>
                <w:vAlign w:val="center"/>
              </w:tcPr>
              <w:p w14:paraId="3D2F28AC" w14:textId="77777777" w:rsidR="002D0AE7" w:rsidRDefault="00333EBB">
                <w:pPr>
                  <w:rPr>
                    <w:rFonts w:hint="eastAsia"/>
                    <w:color w:val="000000"/>
                  </w:rPr>
                </w:pPr>
                <w:r>
                  <w:rPr>
                    <w:rFonts w:hint="eastAsia"/>
                    <w:color w:val="000000"/>
                  </w:rPr>
                  <w:t>声级计；声校准器</w:t>
                </w:r>
              </w:p>
            </w:tc>
            <w:tc>
              <w:tcPr>
                <w:tcW w:w="716" w:type="dxa"/>
                <w:tcBorders>
                  <w:top w:val="single" w:sz="4" w:space="0" w:color="auto"/>
                  <w:left w:val="nil"/>
                  <w:bottom w:val="single" w:sz="4" w:space="0" w:color="auto"/>
                  <w:right w:val="single" w:sz="4" w:space="0" w:color="auto"/>
                </w:tcBorders>
                <w:vAlign w:val="center"/>
              </w:tcPr>
              <w:p w14:paraId="55381118" w14:textId="77777777" w:rsidR="002D0AE7" w:rsidRDefault="00333EBB">
                <w:pPr>
                  <w:rPr>
                    <w:rFonts w:hint="eastAsia"/>
                    <w:color w:val="000000"/>
                  </w:rPr>
                </w:pPr>
                <w:r>
                  <w:rPr>
                    <w:rFonts w:cs="Calibri" w:hint="eastAsia"/>
                    <w:color w:val="000000"/>
                  </w:rPr>
                  <w:t>1</w:t>
                </w:r>
                <w:r>
                  <w:rPr>
                    <w:rFonts w:hint="eastAsia"/>
                    <w:color w:val="000000"/>
                  </w:rPr>
                  <w:t>次</w:t>
                </w:r>
                <w:r>
                  <w:rPr>
                    <w:rFonts w:cs="Calibri" w:hint="eastAsia"/>
                    <w:color w:val="000000"/>
                  </w:rPr>
                  <w:t>/</w:t>
                </w:r>
                <w:r>
                  <w:rPr>
                    <w:rFonts w:hint="eastAsia"/>
                    <w:color w:val="000000"/>
                  </w:rPr>
                  <w:t>季</w:t>
                </w:r>
              </w:p>
            </w:tc>
            <w:tc>
              <w:tcPr>
                <w:tcW w:w="858" w:type="dxa"/>
                <w:tcBorders>
                  <w:top w:val="single" w:sz="4" w:space="0" w:color="auto"/>
                  <w:left w:val="nil"/>
                  <w:bottom w:val="single" w:sz="4" w:space="0" w:color="auto"/>
                  <w:right w:val="single" w:sz="4" w:space="0" w:color="auto"/>
                </w:tcBorders>
                <w:vAlign w:val="center"/>
              </w:tcPr>
              <w:p w14:paraId="62F4B1EA" w14:textId="77777777" w:rsidR="002D0AE7" w:rsidRDefault="00333EBB">
                <w:pPr>
                  <w:rPr>
                    <w:rFonts w:hint="eastAsia"/>
                    <w:color w:val="000000"/>
                  </w:rPr>
                </w:pPr>
                <w:r>
                  <w:rPr>
                    <w:rFonts w:hint="eastAsia"/>
                    <w:color w:val="000000"/>
                  </w:rPr>
                  <w:t>东南西北厂界外</w:t>
                </w:r>
                <w:r>
                  <w:rPr>
                    <w:rFonts w:cs="Calibri" w:hint="eastAsia"/>
                    <w:color w:val="000000"/>
                  </w:rPr>
                  <w:t>1</w:t>
                </w:r>
                <w:r>
                  <w:rPr>
                    <w:rFonts w:hint="eastAsia"/>
                    <w:color w:val="000000"/>
                  </w:rPr>
                  <w:t>米四个点位，白天夜间分别取样</w:t>
                </w:r>
              </w:p>
            </w:tc>
          </w:tr>
        </w:tbl>
        <w:p w14:paraId="01C6BE5E" w14:textId="77777777" w:rsidR="002D0AE7" w:rsidRDefault="00333EBB">
          <w:pPr>
            <w:rPr>
              <w:rFonts w:ascii="Calibri" w:hAnsi="Calibri" w:cs="Times New Roman"/>
              <w:b/>
              <w:bCs/>
              <w:color w:val="000000"/>
              <w:kern w:val="2"/>
            </w:rPr>
          </w:pPr>
          <w:r>
            <w:rPr>
              <w:rFonts w:hint="eastAsia"/>
              <w:color w:val="000000"/>
            </w:rPr>
            <w:t>（</w:t>
          </w:r>
          <w:r>
            <w:rPr>
              <w:rFonts w:cs="Calibri" w:hint="eastAsia"/>
              <w:color w:val="000000"/>
            </w:rPr>
            <w:t>3</w:t>
          </w:r>
          <w:r>
            <w:rPr>
              <w:rFonts w:hint="eastAsia"/>
              <w:color w:val="000000"/>
            </w:rPr>
            <w:t>）废气监测项目</w:t>
          </w:r>
        </w:p>
        <w:p w14:paraId="4081D312" w14:textId="77777777" w:rsidR="002D0AE7" w:rsidRDefault="00333EBB">
          <w:pPr>
            <w:rPr>
              <w:rFonts w:hint="eastAsia"/>
              <w:b/>
              <w:bCs/>
              <w:color w:val="000000"/>
            </w:rPr>
          </w:pPr>
          <w:r>
            <w:rPr>
              <w:rFonts w:hint="eastAsia"/>
              <w:b/>
              <w:bCs/>
              <w:color w:val="000000"/>
            </w:rPr>
            <w:t>①津药药业股份有限公司</w:t>
          </w:r>
        </w:p>
        <w:tbl>
          <w:tblPr>
            <w:tblW w:w="10378" w:type="dxa"/>
            <w:tblInd w:w="-885" w:type="dxa"/>
            <w:tblLayout w:type="fixed"/>
            <w:tblLook w:val="04A0" w:firstRow="1" w:lastRow="0" w:firstColumn="1" w:lastColumn="0" w:noHBand="0" w:noVBand="1"/>
          </w:tblPr>
          <w:tblGrid>
            <w:gridCol w:w="993"/>
            <w:gridCol w:w="142"/>
            <w:gridCol w:w="1559"/>
            <w:gridCol w:w="3119"/>
            <w:gridCol w:w="1891"/>
            <w:gridCol w:w="697"/>
            <w:gridCol w:w="1977"/>
          </w:tblGrid>
          <w:tr w:rsidR="002D0AE7" w14:paraId="731BE445" w14:textId="77777777">
            <w:trPr>
              <w:trHeight w:val="280"/>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4F8B38D9" w14:textId="77777777" w:rsidR="002D0AE7" w:rsidRDefault="00333EBB">
                <w:pPr>
                  <w:rPr>
                    <w:rFonts w:hint="eastAsia"/>
                    <w:color w:val="000000"/>
                  </w:rPr>
                </w:pPr>
                <w:r>
                  <w:rPr>
                    <w:rFonts w:hint="eastAsia"/>
                    <w:color w:val="000000"/>
                  </w:rPr>
                  <w:t>项目名称</w:t>
                </w:r>
              </w:p>
            </w:tc>
            <w:tc>
              <w:tcPr>
                <w:tcW w:w="1559" w:type="dxa"/>
                <w:tcBorders>
                  <w:top w:val="single" w:sz="4" w:space="0" w:color="000000"/>
                  <w:left w:val="nil"/>
                  <w:bottom w:val="single" w:sz="4" w:space="0" w:color="000000"/>
                  <w:right w:val="single" w:sz="4" w:space="0" w:color="000000"/>
                </w:tcBorders>
                <w:vAlign w:val="center"/>
              </w:tcPr>
              <w:p w14:paraId="2B10CF79" w14:textId="77777777" w:rsidR="002D0AE7" w:rsidRDefault="00333EBB">
                <w:pPr>
                  <w:rPr>
                    <w:rFonts w:hint="eastAsia"/>
                    <w:color w:val="000000"/>
                  </w:rPr>
                </w:pPr>
                <w:r>
                  <w:rPr>
                    <w:rFonts w:hint="eastAsia"/>
                    <w:color w:val="000000"/>
                  </w:rPr>
                  <w:t>排放限值</w:t>
                </w:r>
              </w:p>
            </w:tc>
            <w:tc>
              <w:tcPr>
                <w:tcW w:w="3119" w:type="dxa"/>
                <w:tcBorders>
                  <w:top w:val="single" w:sz="4" w:space="0" w:color="000000"/>
                  <w:left w:val="nil"/>
                  <w:bottom w:val="single" w:sz="4" w:space="0" w:color="000000"/>
                  <w:right w:val="single" w:sz="4" w:space="0" w:color="000000"/>
                </w:tcBorders>
                <w:vAlign w:val="center"/>
              </w:tcPr>
              <w:p w14:paraId="3EF42B5A" w14:textId="77777777" w:rsidR="002D0AE7" w:rsidRDefault="00333EBB">
                <w:pPr>
                  <w:rPr>
                    <w:rFonts w:hint="eastAsia"/>
                    <w:color w:val="000000"/>
                  </w:rPr>
                </w:pPr>
                <w:r>
                  <w:rPr>
                    <w:rFonts w:hint="eastAsia"/>
                    <w:color w:val="000000"/>
                  </w:rPr>
                  <w:t>监测方法</w:t>
                </w:r>
              </w:p>
            </w:tc>
            <w:tc>
              <w:tcPr>
                <w:tcW w:w="1891" w:type="dxa"/>
                <w:tcBorders>
                  <w:top w:val="single" w:sz="4" w:space="0" w:color="000000"/>
                  <w:left w:val="nil"/>
                  <w:bottom w:val="single" w:sz="4" w:space="0" w:color="000000"/>
                  <w:right w:val="single" w:sz="4" w:space="0" w:color="000000"/>
                </w:tcBorders>
                <w:vAlign w:val="center"/>
              </w:tcPr>
              <w:p w14:paraId="382FDFBB" w14:textId="77777777" w:rsidR="002D0AE7" w:rsidRDefault="00333EBB">
                <w:pPr>
                  <w:rPr>
                    <w:rFonts w:hint="eastAsia"/>
                    <w:color w:val="000000"/>
                  </w:rPr>
                </w:pPr>
                <w:r>
                  <w:rPr>
                    <w:rFonts w:hint="eastAsia"/>
                    <w:color w:val="000000"/>
                  </w:rPr>
                  <w:t>分析仪器</w:t>
                </w:r>
              </w:p>
            </w:tc>
            <w:tc>
              <w:tcPr>
                <w:tcW w:w="697" w:type="dxa"/>
                <w:tcBorders>
                  <w:top w:val="single" w:sz="4" w:space="0" w:color="000000"/>
                  <w:left w:val="nil"/>
                  <w:bottom w:val="single" w:sz="4" w:space="0" w:color="000000"/>
                  <w:right w:val="single" w:sz="4" w:space="0" w:color="000000"/>
                </w:tcBorders>
                <w:vAlign w:val="center"/>
              </w:tcPr>
              <w:p w14:paraId="1FA6E014" w14:textId="77777777" w:rsidR="002D0AE7" w:rsidRDefault="00333EBB">
                <w:pPr>
                  <w:rPr>
                    <w:rFonts w:hint="eastAsia"/>
                    <w:color w:val="000000"/>
                  </w:rPr>
                </w:pPr>
                <w:r>
                  <w:rPr>
                    <w:rFonts w:hint="eastAsia"/>
                    <w:color w:val="000000"/>
                  </w:rPr>
                  <w:t>监测频次</w:t>
                </w:r>
              </w:p>
            </w:tc>
            <w:tc>
              <w:tcPr>
                <w:tcW w:w="1977" w:type="dxa"/>
                <w:tcBorders>
                  <w:top w:val="single" w:sz="4" w:space="0" w:color="000000"/>
                  <w:left w:val="nil"/>
                  <w:bottom w:val="single" w:sz="4" w:space="0" w:color="000000"/>
                  <w:right w:val="single" w:sz="4" w:space="0" w:color="000000"/>
                </w:tcBorders>
                <w:vAlign w:val="center"/>
              </w:tcPr>
              <w:p w14:paraId="5FEF1C41" w14:textId="77777777" w:rsidR="002D0AE7" w:rsidRDefault="00333EBB">
                <w:pPr>
                  <w:rPr>
                    <w:rFonts w:hint="eastAsia"/>
                    <w:color w:val="000000"/>
                  </w:rPr>
                </w:pPr>
                <w:r>
                  <w:rPr>
                    <w:rFonts w:hint="eastAsia"/>
                    <w:color w:val="000000"/>
                  </w:rPr>
                  <w:t>采样方法及个数</w:t>
                </w:r>
              </w:p>
            </w:tc>
          </w:tr>
          <w:tr w:rsidR="002D0AE7" w14:paraId="0C38E8B1" w14:textId="77777777">
            <w:trPr>
              <w:trHeight w:val="540"/>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1011122C" w14:textId="77777777" w:rsidR="002D0AE7" w:rsidRDefault="00333EBB">
                <w:pPr>
                  <w:rPr>
                    <w:rFonts w:hint="eastAsia"/>
                    <w:color w:val="000000"/>
                  </w:rPr>
                </w:pPr>
                <w:r>
                  <w:rPr>
                    <w:rFonts w:hint="eastAsia"/>
                    <w:color w:val="000000"/>
                  </w:rPr>
                  <w:t>挥发性有机物</w:t>
                </w:r>
              </w:p>
            </w:tc>
            <w:tc>
              <w:tcPr>
                <w:tcW w:w="1559" w:type="dxa"/>
                <w:tcBorders>
                  <w:top w:val="single" w:sz="4" w:space="0" w:color="000000"/>
                  <w:left w:val="nil"/>
                  <w:bottom w:val="single" w:sz="4" w:space="0" w:color="000000"/>
                  <w:right w:val="single" w:sz="4" w:space="0" w:color="000000"/>
                </w:tcBorders>
                <w:vAlign w:val="center"/>
              </w:tcPr>
              <w:p w14:paraId="79F2D30F" w14:textId="77777777" w:rsidR="002D0AE7" w:rsidRDefault="00333EBB">
                <w:pPr>
                  <w:rPr>
                    <w:rFonts w:hint="eastAsia"/>
                    <w:color w:val="000000"/>
                  </w:rPr>
                </w:pPr>
                <w:r>
                  <w:rPr>
                    <w:rFonts w:cs="Calibri" w:hint="eastAsia"/>
                    <w:color w:val="000000"/>
                  </w:rPr>
                  <w:t>40mg/Nm</w:t>
                </w:r>
                <w:r>
                  <w:rPr>
                    <w:rFonts w:cs="Calibri" w:hint="eastAsia"/>
                    <w:color w:val="000000"/>
                    <w:vertAlign w:val="superscript"/>
                  </w:rPr>
                  <w:t>3</w:t>
                </w:r>
              </w:p>
            </w:tc>
            <w:tc>
              <w:tcPr>
                <w:tcW w:w="3119" w:type="dxa"/>
                <w:tcBorders>
                  <w:top w:val="single" w:sz="4" w:space="0" w:color="000000"/>
                  <w:left w:val="nil"/>
                  <w:bottom w:val="single" w:sz="4" w:space="0" w:color="000000"/>
                  <w:right w:val="single" w:sz="4" w:space="0" w:color="000000"/>
                </w:tcBorders>
                <w:vAlign w:val="center"/>
              </w:tcPr>
              <w:p w14:paraId="7397E5AD" w14:textId="77777777" w:rsidR="002D0AE7" w:rsidRDefault="00333EBB">
                <w:pPr>
                  <w:rPr>
                    <w:rFonts w:hint="eastAsia"/>
                    <w:color w:val="000000"/>
                  </w:rPr>
                </w:pPr>
                <w:r>
                  <w:rPr>
                    <w:rFonts w:hint="eastAsia"/>
                    <w:color w:val="000000"/>
                  </w:rPr>
                  <w:t>《工业企业挥发性有机物排放控制标准》</w:t>
                </w:r>
                <w:r>
                  <w:rPr>
                    <w:rFonts w:cs="Calibri" w:hint="eastAsia"/>
                    <w:color w:val="000000"/>
                  </w:rPr>
                  <w:t>DB12/524-2020(</w:t>
                </w:r>
                <w:r>
                  <w:rPr>
                    <w:rFonts w:hint="eastAsia"/>
                    <w:color w:val="000000"/>
                  </w:rPr>
                  <w:t>附录</w:t>
                </w:r>
                <w:r>
                  <w:rPr>
                    <w:rFonts w:cs="Calibri" w:hint="eastAsia"/>
                    <w:color w:val="000000"/>
                  </w:rPr>
                  <w:t>H</w:t>
                </w:r>
                <w:r>
                  <w:rPr>
                    <w:rFonts w:hint="eastAsia"/>
                    <w:color w:val="000000"/>
                  </w:rPr>
                  <w:t>固定污染源废气挥发性有机物的测定吸附管采样</w:t>
                </w:r>
                <w:r>
                  <w:rPr>
                    <w:rFonts w:cs="Calibri" w:hint="eastAsia"/>
                    <w:color w:val="000000"/>
                  </w:rPr>
                  <w:t>-</w:t>
                </w:r>
                <w:r>
                  <w:rPr>
                    <w:rFonts w:hint="eastAsia"/>
                    <w:color w:val="000000"/>
                  </w:rPr>
                  <w:t>热脱附</w:t>
                </w:r>
                <w:r>
                  <w:rPr>
                    <w:rFonts w:cs="Calibri" w:hint="eastAsia"/>
                    <w:color w:val="000000"/>
                  </w:rPr>
                  <w:t>/</w:t>
                </w:r>
                <w:r>
                  <w:rPr>
                    <w:rFonts w:hint="eastAsia"/>
                    <w:color w:val="000000"/>
                  </w:rPr>
                  <w:t>气相色谱</w:t>
                </w:r>
                <w:r>
                  <w:rPr>
                    <w:rFonts w:cs="Calibri" w:hint="eastAsia"/>
                    <w:color w:val="000000"/>
                  </w:rPr>
                  <w:t>-</w:t>
                </w:r>
                <w:r>
                  <w:rPr>
                    <w:rFonts w:hint="eastAsia"/>
                    <w:color w:val="000000"/>
                  </w:rPr>
                  <w:t>质谱法</w:t>
                </w:r>
                <w:r>
                  <w:rPr>
                    <w:rFonts w:cs="Calibri" w:hint="eastAsia"/>
                    <w:color w:val="000000"/>
                  </w:rPr>
                  <w:t>)</w:t>
                </w:r>
              </w:p>
            </w:tc>
            <w:tc>
              <w:tcPr>
                <w:tcW w:w="1891" w:type="dxa"/>
                <w:vMerge w:val="restart"/>
                <w:tcBorders>
                  <w:top w:val="nil"/>
                  <w:left w:val="nil"/>
                  <w:bottom w:val="nil"/>
                  <w:right w:val="single" w:sz="4" w:space="0" w:color="000000"/>
                </w:tcBorders>
                <w:vAlign w:val="center"/>
              </w:tcPr>
              <w:p w14:paraId="2553082C" w14:textId="77777777" w:rsidR="002D0AE7" w:rsidRDefault="00333EBB">
                <w:pPr>
                  <w:rPr>
                    <w:rFonts w:hint="eastAsia"/>
                    <w:color w:val="000000"/>
                  </w:rPr>
                </w:pPr>
                <w:r>
                  <w:rPr>
                    <w:rFonts w:hint="eastAsia"/>
                    <w:color w:val="000000"/>
                  </w:rPr>
                  <w:t>气相色谱</w:t>
                </w:r>
                <w:r>
                  <w:rPr>
                    <w:rFonts w:cs="Calibri" w:hint="eastAsia"/>
                    <w:color w:val="000000"/>
                  </w:rPr>
                  <w:t>-</w:t>
                </w:r>
                <w:r>
                  <w:rPr>
                    <w:rFonts w:hint="eastAsia"/>
                    <w:color w:val="000000"/>
                  </w:rPr>
                  <w:t>质谱联用仪；气相色谱仪</w:t>
                </w:r>
              </w:p>
            </w:tc>
            <w:tc>
              <w:tcPr>
                <w:tcW w:w="697" w:type="dxa"/>
                <w:tcBorders>
                  <w:top w:val="single" w:sz="4" w:space="0" w:color="000000"/>
                  <w:left w:val="nil"/>
                  <w:bottom w:val="single" w:sz="4" w:space="0" w:color="000000"/>
                  <w:right w:val="single" w:sz="4" w:space="0" w:color="000000"/>
                </w:tcBorders>
                <w:vAlign w:val="center"/>
              </w:tcPr>
              <w:p w14:paraId="7D6D503B" w14:textId="77777777" w:rsidR="002D0AE7" w:rsidRDefault="00333EBB">
                <w:pPr>
                  <w:rPr>
                    <w:rFonts w:hint="eastAsia"/>
                    <w:color w:val="000000"/>
                  </w:rPr>
                </w:pPr>
                <w:r>
                  <w:rPr>
                    <w:rFonts w:hint="eastAsia"/>
                    <w:color w:val="000000"/>
                  </w:rPr>
                  <w:t>每月一次</w:t>
                </w:r>
              </w:p>
            </w:tc>
            <w:tc>
              <w:tcPr>
                <w:tcW w:w="1977" w:type="dxa"/>
                <w:tcBorders>
                  <w:top w:val="single" w:sz="4" w:space="0" w:color="000000"/>
                  <w:left w:val="nil"/>
                  <w:bottom w:val="single" w:sz="4" w:space="0" w:color="000000"/>
                  <w:right w:val="single" w:sz="4" w:space="0" w:color="000000"/>
                </w:tcBorders>
                <w:vAlign w:val="center"/>
              </w:tcPr>
              <w:p w14:paraId="65ABD5E0" w14:textId="77777777" w:rsidR="002D0AE7" w:rsidRDefault="00333EBB">
                <w:pPr>
                  <w:rPr>
                    <w:rFonts w:hint="eastAsia"/>
                    <w:color w:val="000000"/>
                  </w:rPr>
                </w:pPr>
                <w:r>
                  <w:rPr>
                    <w:rFonts w:hint="eastAsia"/>
                    <w:color w:val="000000"/>
                  </w:rPr>
                  <w:t>非连续采样</w:t>
                </w:r>
                <w:r>
                  <w:rPr>
                    <w:rFonts w:cs="Calibri" w:hint="eastAsia"/>
                    <w:color w:val="000000"/>
                  </w:rPr>
                  <w:t>3</w:t>
                </w:r>
                <w:r>
                  <w:rPr>
                    <w:rFonts w:hint="eastAsia"/>
                    <w:color w:val="000000"/>
                  </w:rPr>
                  <w:t>个</w:t>
                </w:r>
              </w:p>
            </w:tc>
          </w:tr>
          <w:tr w:rsidR="002D0AE7" w14:paraId="414FBD45" w14:textId="77777777">
            <w:trPr>
              <w:trHeight w:val="1080"/>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7E437A81" w14:textId="77777777" w:rsidR="002D0AE7" w:rsidRDefault="00333EBB">
                <w:pPr>
                  <w:rPr>
                    <w:rFonts w:hint="eastAsia"/>
                    <w:color w:val="000000"/>
                  </w:rPr>
                </w:pPr>
                <w:r>
                  <w:rPr>
                    <w:rFonts w:hint="eastAsia"/>
                    <w:color w:val="000000"/>
                  </w:rPr>
                  <w:t>非甲烷总烃</w:t>
                </w:r>
              </w:p>
            </w:tc>
            <w:tc>
              <w:tcPr>
                <w:tcW w:w="1559" w:type="dxa"/>
                <w:tcBorders>
                  <w:top w:val="single" w:sz="4" w:space="0" w:color="000000"/>
                  <w:left w:val="nil"/>
                  <w:bottom w:val="single" w:sz="4" w:space="0" w:color="000000"/>
                  <w:right w:val="single" w:sz="4" w:space="0" w:color="000000"/>
                </w:tcBorders>
                <w:vAlign w:val="center"/>
              </w:tcPr>
              <w:p w14:paraId="7DBFAD82" w14:textId="77777777" w:rsidR="002D0AE7" w:rsidRDefault="00333EBB">
                <w:pPr>
                  <w:rPr>
                    <w:rFonts w:hint="eastAsia"/>
                    <w:color w:val="000000"/>
                  </w:rPr>
                </w:pPr>
                <w:r>
                  <w:rPr>
                    <w:rFonts w:cs="Calibri" w:hint="eastAsia"/>
                    <w:color w:val="000000"/>
                  </w:rPr>
                  <w:t>40mg/Nm</w:t>
                </w:r>
                <w:r>
                  <w:rPr>
                    <w:rFonts w:cs="Calibri" w:hint="eastAsia"/>
                    <w:color w:val="000000"/>
                    <w:vertAlign w:val="superscript"/>
                  </w:rPr>
                  <w:t>3</w:t>
                </w:r>
              </w:p>
            </w:tc>
            <w:tc>
              <w:tcPr>
                <w:tcW w:w="3119" w:type="dxa"/>
                <w:tcBorders>
                  <w:top w:val="single" w:sz="4" w:space="0" w:color="000000"/>
                  <w:left w:val="nil"/>
                  <w:bottom w:val="single" w:sz="4" w:space="0" w:color="000000"/>
                  <w:right w:val="single" w:sz="4" w:space="0" w:color="000000"/>
                </w:tcBorders>
                <w:vAlign w:val="center"/>
              </w:tcPr>
              <w:p w14:paraId="3D703DCD" w14:textId="77777777" w:rsidR="002D0AE7" w:rsidRDefault="00333EBB">
                <w:pPr>
                  <w:rPr>
                    <w:rFonts w:hint="eastAsia"/>
                    <w:color w:val="000000"/>
                  </w:rPr>
                </w:pPr>
                <w:r>
                  <w:rPr>
                    <w:rFonts w:hint="eastAsia"/>
                    <w:color w:val="000000"/>
                  </w:rPr>
                  <w:t>《固定污染源废气总烃、甲烷和非甲烷总烃的测定气相色谱法》</w:t>
                </w:r>
                <w:r>
                  <w:rPr>
                    <w:rFonts w:cs="Calibri" w:hint="eastAsia"/>
                    <w:color w:val="000000"/>
                  </w:rPr>
                  <w:t>HJ38-2017</w:t>
                </w:r>
              </w:p>
            </w:tc>
            <w:tc>
              <w:tcPr>
                <w:tcW w:w="1891" w:type="dxa"/>
                <w:vMerge/>
                <w:tcBorders>
                  <w:top w:val="nil"/>
                  <w:left w:val="nil"/>
                  <w:bottom w:val="nil"/>
                  <w:right w:val="single" w:sz="4" w:space="0" w:color="000000"/>
                </w:tcBorders>
                <w:vAlign w:val="center"/>
              </w:tcPr>
              <w:p w14:paraId="15FFB8C4" w14:textId="77777777" w:rsidR="002D0AE7" w:rsidRDefault="002D0AE7">
                <w:pPr>
                  <w:rPr>
                    <w:rFonts w:ascii="Calibri" w:hAnsi="Calibri"/>
                    <w:color w:val="000000"/>
                    <w:kern w:val="2"/>
                  </w:rPr>
                </w:pPr>
              </w:p>
            </w:tc>
            <w:tc>
              <w:tcPr>
                <w:tcW w:w="697" w:type="dxa"/>
                <w:tcBorders>
                  <w:top w:val="single" w:sz="4" w:space="0" w:color="000000"/>
                  <w:left w:val="nil"/>
                  <w:bottom w:val="single" w:sz="4" w:space="0" w:color="000000"/>
                  <w:right w:val="single" w:sz="4" w:space="0" w:color="000000"/>
                </w:tcBorders>
                <w:vAlign w:val="center"/>
              </w:tcPr>
              <w:p w14:paraId="0E600223" w14:textId="77777777" w:rsidR="002D0AE7" w:rsidRDefault="00333EBB">
                <w:pPr>
                  <w:rPr>
                    <w:rFonts w:hint="eastAsia"/>
                    <w:color w:val="000000"/>
                  </w:rPr>
                </w:pPr>
                <w:r>
                  <w:rPr>
                    <w:rFonts w:hint="eastAsia"/>
                    <w:color w:val="000000"/>
                  </w:rPr>
                  <w:t>每月一次</w:t>
                </w:r>
              </w:p>
            </w:tc>
            <w:tc>
              <w:tcPr>
                <w:tcW w:w="1977" w:type="dxa"/>
                <w:tcBorders>
                  <w:top w:val="single" w:sz="4" w:space="0" w:color="000000"/>
                  <w:left w:val="nil"/>
                  <w:bottom w:val="single" w:sz="4" w:space="0" w:color="000000"/>
                  <w:right w:val="single" w:sz="4" w:space="0" w:color="000000"/>
                </w:tcBorders>
                <w:vAlign w:val="center"/>
              </w:tcPr>
              <w:p w14:paraId="143E9E68" w14:textId="77777777" w:rsidR="002D0AE7" w:rsidRDefault="00333EBB">
                <w:pPr>
                  <w:rPr>
                    <w:rFonts w:hint="eastAsia"/>
                    <w:color w:val="000000"/>
                  </w:rPr>
                </w:pPr>
                <w:r>
                  <w:rPr>
                    <w:rFonts w:hint="eastAsia"/>
                    <w:color w:val="000000"/>
                  </w:rPr>
                  <w:t>非连续采样</w:t>
                </w:r>
                <w:r>
                  <w:rPr>
                    <w:rFonts w:cs="Calibri" w:hint="eastAsia"/>
                    <w:color w:val="000000"/>
                  </w:rPr>
                  <w:t>3</w:t>
                </w:r>
                <w:r>
                  <w:rPr>
                    <w:rFonts w:hint="eastAsia"/>
                    <w:color w:val="000000"/>
                  </w:rPr>
                  <w:t>个</w:t>
                </w:r>
              </w:p>
            </w:tc>
          </w:tr>
          <w:tr w:rsidR="002D0AE7" w14:paraId="0B763B40" w14:textId="77777777">
            <w:trPr>
              <w:trHeight w:val="280"/>
            </w:trPr>
            <w:tc>
              <w:tcPr>
                <w:tcW w:w="10378" w:type="dxa"/>
                <w:gridSpan w:val="7"/>
                <w:tcBorders>
                  <w:top w:val="single" w:sz="4" w:space="0" w:color="000000"/>
                  <w:left w:val="single" w:sz="4" w:space="0" w:color="000000"/>
                  <w:bottom w:val="single" w:sz="4" w:space="0" w:color="000000"/>
                  <w:right w:val="single" w:sz="4" w:space="0" w:color="000000"/>
                </w:tcBorders>
                <w:vAlign w:val="center"/>
              </w:tcPr>
              <w:p w14:paraId="2B1CD077" w14:textId="77777777" w:rsidR="002D0AE7" w:rsidRDefault="00333EBB">
                <w:pPr>
                  <w:jc w:val="center"/>
                  <w:rPr>
                    <w:rFonts w:hint="eastAsia"/>
                    <w:color w:val="000000"/>
                  </w:rPr>
                </w:pPr>
                <w:r>
                  <w:rPr>
                    <w:rFonts w:hint="eastAsia"/>
                    <w:color w:val="000000"/>
                  </w:rPr>
                  <w:t>排放标准</w:t>
                </w:r>
              </w:p>
            </w:tc>
          </w:tr>
          <w:tr w:rsidR="002D0AE7" w14:paraId="12A34396" w14:textId="77777777">
            <w:trPr>
              <w:trHeight w:val="280"/>
            </w:trPr>
            <w:tc>
              <w:tcPr>
                <w:tcW w:w="10378" w:type="dxa"/>
                <w:gridSpan w:val="7"/>
                <w:tcBorders>
                  <w:top w:val="single" w:sz="4" w:space="0" w:color="000000"/>
                  <w:left w:val="single" w:sz="4" w:space="0" w:color="000000"/>
                  <w:bottom w:val="single" w:sz="4" w:space="0" w:color="000000"/>
                  <w:right w:val="single" w:sz="4" w:space="0" w:color="000000"/>
                </w:tcBorders>
                <w:vAlign w:val="center"/>
              </w:tcPr>
              <w:p w14:paraId="51CBCDCE" w14:textId="77777777" w:rsidR="002D0AE7" w:rsidRDefault="00333EBB">
                <w:pPr>
                  <w:jc w:val="center"/>
                  <w:rPr>
                    <w:rFonts w:hint="eastAsia"/>
                    <w:color w:val="000000"/>
                  </w:rPr>
                </w:pPr>
                <w:r>
                  <w:rPr>
                    <w:rFonts w:hint="eastAsia"/>
                    <w:color w:val="000000"/>
                  </w:rPr>
                  <w:t>《工业企业挥发性有机物排放控制标准》</w:t>
                </w:r>
                <w:r>
                  <w:rPr>
                    <w:rFonts w:cs="Calibri" w:hint="eastAsia"/>
                    <w:color w:val="000000"/>
                  </w:rPr>
                  <w:t>DB12/524-2020</w:t>
                </w:r>
                <w:r>
                  <w:rPr>
                    <w:rFonts w:hint="eastAsia"/>
                    <w:color w:val="000000"/>
                  </w:rPr>
                  <w:t>医药制造</w:t>
                </w:r>
              </w:p>
            </w:tc>
          </w:tr>
          <w:tr w:rsidR="002D0AE7" w14:paraId="5CCCF417" w14:textId="77777777">
            <w:trPr>
              <w:trHeight w:val="90"/>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1C648C9D" w14:textId="77777777" w:rsidR="002D0AE7" w:rsidRDefault="00333EBB">
                <w:pPr>
                  <w:rPr>
                    <w:rFonts w:hint="eastAsia"/>
                    <w:color w:val="000000"/>
                  </w:rPr>
                </w:pPr>
                <w:r>
                  <w:rPr>
                    <w:rFonts w:hint="eastAsia"/>
                    <w:color w:val="000000"/>
                  </w:rPr>
                  <w:t>臭气浓度</w:t>
                </w:r>
              </w:p>
            </w:tc>
            <w:tc>
              <w:tcPr>
                <w:tcW w:w="1559" w:type="dxa"/>
                <w:tcBorders>
                  <w:top w:val="single" w:sz="4" w:space="0" w:color="000000"/>
                  <w:left w:val="nil"/>
                  <w:bottom w:val="single" w:sz="4" w:space="0" w:color="000000"/>
                  <w:right w:val="single" w:sz="4" w:space="0" w:color="000000"/>
                </w:tcBorders>
                <w:vAlign w:val="center"/>
              </w:tcPr>
              <w:p w14:paraId="58732293" w14:textId="77777777" w:rsidR="002D0AE7" w:rsidRDefault="00333EBB">
                <w:pPr>
                  <w:rPr>
                    <w:rFonts w:hint="eastAsia"/>
                    <w:color w:val="000000"/>
                  </w:rPr>
                </w:pPr>
                <w:r>
                  <w:rPr>
                    <w:rFonts w:cs="Calibri" w:hint="eastAsia"/>
                    <w:color w:val="000000"/>
                  </w:rPr>
                  <w:t>1000</w:t>
                </w:r>
                <w:r>
                  <w:rPr>
                    <w:rFonts w:hint="eastAsia"/>
                    <w:color w:val="000000"/>
                  </w:rPr>
                  <w:t>（无量纲）</w:t>
                </w:r>
              </w:p>
            </w:tc>
            <w:tc>
              <w:tcPr>
                <w:tcW w:w="3119" w:type="dxa"/>
                <w:tcBorders>
                  <w:top w:val="single" w:sz="4" w:space="0" w:color="000000"/>
                  <w:left w:val="nil"/>
                  <w:bottom w:val="single" w:sz="4" w:space="0" w:color="auto"/>
                  <w:right w:val="single" w:sz="4" w:space="0" w:color="000000"/>
                </w:tcBorders>
                <w:vAlign w:val="center"/>
              </w:tcPr>
              <w:p w14:paraId="54023C70" w14:textId="77777777" w:rsidR="002D0AE7" w:rsidRDefault="00333EBB">
                <w:pPr>
                  <w:rPr>
                    <w:rFonts w:hint="eastAsia"/>
                    <w:color w:val="000000"/>
                  </w:rPr>
                </w:pPr>
                <w:r>
                  <w:rPr>
                    <w:rFonts w:hint="eastAsia"/>
                    <w:color w:val="000000"/>
                  </w:rPr>
                  <w:t>《环境空气和废气臭气的测定三点比较式臭袋法》</w:t>
                </w:r>
                <w:r>
                  <w:rPr>
                    <w:rFonts w:cs="Calibri" w:hint="eastAsia"/>
                    <w:color w:val="000000"/>
                  </w:rPr>
                  <w:t>HJ1262-2022</w:t>
                </w:r>
              </w:p>
            </w:tc>
            <w:tc>
              <w:tcPr>
                <w:tcW w:w="1891" w:type="dxa"/>
                <w:tcBorders>
                  <w:top w:val="single" w:sz="4" w:space="0" w:color="000000"/>
                  <w:left w:val="nil"/>
                  <w:bottom w:val="single" w:sz="4" w:space="0" w:color="auto"/>
                  <w:right w:val="single" w:sz="4" w:space="0" w:color="000000"/>
                </w:tcBorders>
                <w:vAlign w:val="center"/>
              </w:tcPr>
              <w:p w14:paraId="74D58920" w14:textId="77777777" w:rsidR="002D0AE7" w:rsidRDefault="00333EBB">
                <w:pPr>
                  <w:rPr>
                    <w:rFonts w:hint="eastAsia"/>
                    <w:color w:val="000000"/>
                  </w:rPr>
                </w:pPr>
                <w:r>
                  <w:rPr>
                    <w:rFonts w:hint="eastAsia"/>
                    <w:color w:val="000000"/>
                  </w:rPr>
                  <w:t>无油空气压缩机</w:t>
                </w:r>
              </w:p>
            </w:tc>
            <w:tc>
              <w:tcPr>
                <w:tcW w:w="697" w:type="dxa"/>
                <w:tcBorders>
                  <w:top w:val="single" w:sz="4" w:space="0" w:color="000000"/>
                  <w:left w:val="nil"/>
                  <w:bottom w:val="single" w:sz="4" w:space="0" w:color="000000"/>
                  <w:right w:val="single" w:sz="4" w:space="0" w:color="000000"/>
                </w:tcBorders>
                <w:vAlign w:val="center"/>
              </w:tcPr>
              <w:p w14:paraId="3EFA74CE" w14:textId="77777777" w:rsidR="002D0AE7" w:rsidRDefault="00333EBB">
                <w:pPr>
                  <w:rPr>
                    <w:rFonts w:hint="eastAsia"/>
                    <w:color w:val="000000"/>
                  </w:rPr>
                </w:pPr>
                <w:r>
                  <w:rPr>
                    <w:rFonts w:hint="eastAsia"/>
                    <w:color w:val="000000"/>
                  </w:rPr>
                  <w:t>每年一次</w:t>
                </w:r>
              </w:p>
            </w:tc>
            <w:tc>
              <w:tcPr>
                <w:tcW w:w="1977" w:type="dxa"/>
                <w:tcBorders>
                  <w:top w:val="single" w:sz="4" w:space="0" w:color="000000"/>
                  <w:left w:val="nil"/>
                  <w:bottom w:val="single" w:sz="4" w:space="0" w:color="000000"/>
                  <w:right w:val="single" w:sz="4" w:space="0" w:color="000000"/>
                </w:tcBorders>
                <w:vAlign w:val="center"/>
              </w:tcPr>
              <w:p w14:paraId="295FD722" w14:textId="77777777" w:rsidR="002D0AE7" w:rsidRDefault="00333EBB">
                <w:pPr>
                  <w:rPr>
                    <w:rFonts w:hint="eastAsia"/>
                    <w:color w:val="000000"/>
                  </w:rPr>
                </w:pPr>
                <w:r>
                  <w:rPr>
                    <w:rFonts w:hint="eastAsia"/>
                    <w:color w:val="000000"/>
                  </w:rPr>
                  <w:t>非连续采样</w:t>
                </w:r>
                <w:r>
                  <w:rPr>
                    <w:rFonts w:cs="Calibri" w:hint="eastAsia"/>
                    <w:color w:val="000000"/>
                  </w:rPr>
                  <w:t>3</w:t>
                </w:r>
                <w:r>
                  <w:rPr>
                    <w:rFonts w:hint="eastAsia"/>
                    <w:color w:val="000000"/>
                  </w:rPr>
                  <w:t>个</w:t>
                </w:r>
              </w:p>
            </w:tc>
          </w:tr>
          <w:tr w:rsidR="002D0AE7" w14:paraId="75D1182F" w14:textId="77777777">
            <w:trPr>
              <w:trHeight w:val="1598"/>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3DBCEDCC" w14:textId="77777777" w:rsidR="002D0AE7" w:rsidRDefault="00333EBB">
                <w:pPr>
                  <w:rPr>
                    <w:rFonts w:hint="eastAsia"/>
                    <w:color w:val="000000"/>
                  </w:rPr>
                </w:pPr>
                <w:r>
                  <w:rPr>
                    <w:rFonts w:hint="eastAsia"/>
                    <w:color w:val="000000"/>
                  </w:rPr>
                  <w:t>甲基异丁基甲酮</w:t>
                </w:r>
              </w:p>
            </w:tc>
            <w:tc>
              <w:tcPr>
                <w:tcW w:w="1559" w:type="dxa"/>
                <w:tcBorders>
                  <w:top w:val="single" w:sz="4" w:space="0" w:color="000000"/>
                  <w:left w:val="nil"/>
                  <w:bottom w:val="single" w:sz="4" w:space="0" w:color="000000"/>
                  <w:right w:val="single" w:sz="4" w:space="0" w:color="auto"/>
                </w:tcBorders>
                <w:vAlign w:val="center"/>
              </w:tcPr>
              <w:p w14:paraId="13FB83FA" w14:textId="77777777" w:rsidR="002D0AE7" w:rsidRDefault="00333EBB">
                <w:pPr>
                  <w:jc w:val="center"/>
                  <w:rPr>
                    <w:rFonts w:hint="eastAsia"/>
                    <w:color w:val="000000"/>
                  </w:rPr>
                </w:pPr>
                <w:r>
                  <w:rPr>
                    <w:rFonts w:cs="Calibri" w:hint="eastAsia"/>
                    <w:color w:val="000000"/>
                  </w:rPr>
                  <w:t>/</w:t>
                </w:r>
              </w:p>
            </w:tc>
            <w:tc>
              <w:tcPr>
                <w:tcW w:w="3119" w:type="dxa"/>
                <w:tcBorders>
                  <w:top w:val="single" w:sz="4" w:space="0" w:color="auto"/>
                  <w:left w:val="nil"/>
                  <w:bottom w:val="single" w:sz="4" w:space="0" w:color="auto"/>
                  <w:right w:val="single" w:sz="4" w:space="0" w:color="auto"/>
                </w:tcBorders>
                <w:vAlign w:val="center"/>
              </w:tcPr>
              <w:p w14:paraId="3302D1A2" w14:textId="77777777" w:rsidR="002D0AE7" w:rsidRDefault="00333EBB">
                <w:pPr>
                  <w:rPr>
                    <w:rFonts w:hint="eastAsia"/>
                    <w:color w:val="000000"/>
                  </w:rPr>
                </w:pPr>
                <w:r>
                  <w:rPr>
                    <w:rFonts w:hint="eastAsia"/>
                    <w:color w:val="000000"/>
                  </w:rPr>
                  <w:t>《工业企业挥发性有机物排放控制标准》</w:t>
                </w:r>
                <w:r>
                  <w:rPr>
                    <w:rFonts w:cs="Calibri" w:hint="eastAsia"/>
                    <w:color w:val="000000"/>
                  </w:rPr>
                  <w:t>DB12/524-2020(</w:t>
                </w:r>
                <w:r>
                  <w:rPr>
                    <w:rFonts w:hint="eastAsia"/>
                    <w:color w:val="000000"/>
                  </w:rPr>
                  <w:t>附录</w:t>
                </w:r>
                <w:r>
                  <w:rPr>
                    <w:rFonts w:cs="Calibri" w:hint="eastAsia"/>
                    <w:color w:val="000000"/>
                  </w:rPr>
                  <w:t>H</w:t>
                </w:r>
                <w:r>
                  <w:rPr>
                    <w:rFonts w:hint="eastAsia"/>
                    <w:color w:val="000000"/>
                  </w:rPr>
                  <w:t>固定污染源废气挥发性有机物的测定吸附管采样</w:t>
                </w:r>
                <w:r>
                  <w:rPr>
                    <w:rFonts w:cs="Calibri" w:hint="eastAsia"/>
                    <w:color w:val="000000"/>
                  </w:rPr>
                  <w:t>-</w:t>
                </w:r>
                <w:r>
                  <w:rPr>
                    <w:rFonts w:hint="eastAsia"/>
                    <w:color w:val="000000"/>
                  </w:rPr>
                  <w:t>热脱附</w:t>
                </w:r>
                <w:r>
                  <w:rPr>
                    <w:rFonts w:cs="Calibri" w:hint="eastAsia"/>
                    <w:color w:val="000000"/>
                  </w:rPr>
                  <w:t>/</w:t>
                </w:r>
                <w:r>
                  <w:rPr>
                    <w:rFonts w:hint="eastAsia"/>
                    <w:color w:val="000000"/>
                  </w:rPr>
                  <w:t>气相色谱</w:t>
                </w:r>
                <w:r>
                  <w:rPr>
                    <w:rFonts w:cs="Calibri" w:hint="eastAsia"/>
                    <w:color w:val="000000"/>
                  </w:rPr>
                  <w:t>-</w:t>
                </w:r>
                <w:r>
                  <w:rPr>
                    <w:rFonts w:hint="eastAsia"/>
                    <w:color w:val="000000"/>
                  </w:rPr>
                  <w:t>质谱法</w:t>
                </w:r>
                <w:r>
                  <w:rPr>
                    <w:rFonts w:cs="Calibri" w:hint="eastAsia"/>
                    <w:color w:val="000000"/>
                  </w:rPr>
                  <w:t>)</w:t>
                </w:r>
              </w:p>
            </w:tc>
            <w:tc>
              <w:tcPr>
                <w:tcW w:w="1891" w:type="dxa"/>
                <w:tcBorders>
                  <w:top w:val="single" w:sz="4" w:space="0" w:color="auto"/>
                  <w:left w:val="nil"/>
                  <w:bottom w:val="single" w:sz="4" w:space="0" w:color="auto"/>
                  <w:right w:val="single" w:sz="4" w:space="0" w:color="auto"/>
                </w:tcBorders>
                <w:vAlign w:val="center"/>
              </w:tcPr>
              <w:p w14:paraId="0E30F617" w14:textId="77777777" w:rsidR="002D0AE7" w:rsidRDefault="00333EBB">
                <w:pPr>
                  <w:rPr>
                    <w:rFonts w:hint="eastAsia"/>
                    <w:color w:val="000000"/>
                  </w:rPr>
                </w:pPr>
                <w:r>
                  <w:rPr>
                    <w:rFonts w:hint="eastAsia"/>
                    <w:color w:val="000000"/>
                  </w:rPr>
                  <w:t>气相色谱</w:t>
                </w:r>
                <w:r>
                  <w:rPr>
                    <w:rFonts w:cs="Calibri" w:hint="eastAsia"/>
                    <w:color w:val="000000"/>
                  </w:rPr>
                  <w:t>-</w:t>
                </w:r>
                <w:r>
                  <w:rPr>
                    <w:rFonts w:hint="eastAsia"/>
                    <w:color w:val="000000"/>
                  </w:rPr>
                  <w:t>质谱仪</w:t>
                </w:r>
              </w:p>
            </w:tc>
            <w:tc>
              <w:tcPr>
                <w:tcW w:w="697" w:type="dxa"/>
                <w:tcBorders>
                  <w:top w:val="single" w:sz="4" w:space="0" w:color="000000"/>
                  <w:left w:val="nil"/>
                  <w:bottom w:val="single" w:sz="4" w:space="0" w:color="000000"/>
                  <w:right w:val="single" w:sz="4" w:space="0" w:color="000000"/>
                </w:tcBorders>
                <w:vAlign w:val="center"/>
              </w:tcPr>
              <w:p w14:paraId="075D99B7" w14:textId="77777777" w:rsidR="002D0AE7" w:rsidRDefault="00333EBB">
                <w:pPr>
                  <w:rPr>
                    <w:rFonts w:hint="eastAsia"/>
                    <w:color w:val="000000"/>
                  </w:rPr>
                </w:pPr>
                <w:r>
                  <w:rPr>
                    <w:rFonts w:hint="eastAsia"/>
                    <w:color w:val="000000"/>
                  </w:rPr>
                  <w:t>每年一次</w:t>
                </w:r>
              </w:p>
            </w:tc>
            <w:tc>
              <w:tcPr>
                <w:tcW w:w="1977" w:type="dxa"/>
                <w:tcBorders>
                  <w:top w:val="single" w:sz="4" w:space="0" w:color="000000"/>
                  <w:left w:val="nil"/>
                  <w:bottom w:val="single" w:sz="4" w:space="0" w:color="000000"/>
                  <w:right w:val="single" w:sz="4" w:space="0" w:color="000000"/>
                </w:tcBorders>
                <w:vAlign w:val="center"/>
              </w:tcPr>
              <w:p w14:paraId="2CDEAE4A" w14:textId="77777777" w:rsidR="002D0AE7" w:rsidRDefault="00333EBB">
                <w:pPr>
                  <w:rPr>
                    <w:rFonts w:hint="eastAsia"/>
                    <w:color w:val="000000"/>
                  </w:rPr>
                </w:pPr>
                <w:r>
                  <w:rPr>
                    <w:rFonts w:hint="eastAsia"/>
                    <w:color w:val="000000"/>
                  </w:rPr>
                  <w:t>非连续采样</w:t>
                </w:r>
                <w:r>
                  <w:rPr>
                    <w:rFonts w:cs="Calibri" w:hint="eastAsia"/>
                    <w:color w:val="000000"/>
                  </w:rPr>
                  <w:t>3</w:t>
                </w:r>
                <w:r>
                  <w:rPr>
                    <w:rFonts w:hint="eastAsia"/>
                    <w:color w:val="000000"/>
                  </w:rPr>
                  <w:t>个</w:t>
                </w:r>
              </w:p>
            </w:tc>
          </w:tr>
          <w:tr w:rsidR="002D0AE7" w14:paraId="314E1DBE" w14:textId="77777777">
            <w:trPr>
              <w:trHeight w:val="1598"/>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7199B1F7" w14:textId="77777777" w:rsidR="002D0AE7" w:rsidRDefault="00333EBB">
                <w:pPr>
                  <w:rPr>
                    <w:rFonts w:hint="eastAsia"/>
                    <w:color w:val="000000"/>
                  </w:rPr>
                </w:pPr>
                <w:r>
                  <w:rPr>
                    <w:rFonts w:hint="eastAsia"/>
                    <w:color w:val="000000"/>
                  </w:rPr>
                  <w:lastRenderedPageBreak/>
                  <w:t>乙酸乙酯</w:t>
                </w:r>
              </w:p>
            </w:tc>
            <w:tc>
              <w:tcPr>
                <w:tcW w:w="1559" w:type="dxa"/>
                <w:tcBorders>
                  <w:top w:val="single" w:sz="4" w:space="0" w:color="000000"/>
                  <w:left w:val="nil"/>
                  <w:bottom w:val="single" w:sz="4" w:space="0" w:color="000000"/>
                  <w:right w:val="single" w:sz="4" w:space="0" w:color="auto"/>
                </w:tcBorders>
                <w:vAlign w:val="center"/>
              </w:tcPr>
              <w:p w14:paraId="304D4A57" w14:textId="77777777" w:rsidR="002D0AE7" w:rsidRDefault="00333EBB">
                <w:pPr>
                  <w:jc w:val="center"/>
                  <w:rPr>
                    <w:rFonts w:hint="eastAsia"/>
                    <w:color w:val="000000"/>
                  </w:rPr>
                </w:pPr>
                <w:r>
                  <w:rPr>
                    <w:rFonts w:cs="Calibri" w:hint="eastAsia"/>
                    <w:color w:val="000000"/>
                  </w:rPr>
                  <w:t>/</w:t>
                </w:r>
              </w:p>
            </w:tc>
            <w:tc>
              <w:tcPr>
                <w:tcW w:w="3119" w:type="dxa"/>
                <w:tcBorders>
                  <w:top w:val="single" w:sz="4" w:space="0" w:color="auto"/>
                  <w:left w:val="nil"/>
                  <w:bottom w:val="single" w:sz="4" w:space="0" w:color="auto"/>
                  <w:right w:val="single" w:sz="4" w:space="0" w:color="auto"/>
                </w:tcBorders>
                <w:vAlign w:val="center"/>
              </w:tcPr>
              <w:p w14:paraId="2029BDF4" w14:textId="77777777" w:rsidR="002D0AE7" w:rsidRDefault="00333EBB">
                <w:pPr>
                  <w:rPr>
                    <w:rFonts w:hint="eastAsia"/>
                    <w:color w:val="000000"/>
                  </w:rPr>
                </w:pPr>
                <w:r>
                  <w:rPr>
                    <w:rFonts w:hint="eastAsia"/>
                    <w:color w:val="000000"/>
                  </w:rPr>
                  <w:t>《工业企业挥发性有机物排放控制标准》</w:t>
                </w:r>
                <w:r>
                  <w:rPr>
                    <w:rFonts w:cs="Calibri" w:hint="eastAsia"/>
                    <w:color w:val="000000"/>
                  </w:rPr>
                  <w:t>DB12/524-2020(</w:t>
                </w:r>
                <w:r>
                  <w:rPr>
                    <w:rFonts w:hint="eastAsia"/>
                    <w:color w:val="000000"/>
                  </w:rPr>
                  <w:t>附录</w:t>
                </w:r>
                <w:r>
                  <w:rPr>
                    <w:rFonts w:cs="Calibri" w:hint="eastAsia"/>
                    <w:color w:val="000000"/>
                  </w:rPr>
                  <w:t>H</w:t>
                </w:r>
                <w:r>
                  <w:rPr>
                    <w:rFonts w:hint="eastAsia"/>
                    <w:color w:val="000000"/>
                  </w:rPr>
                  <w:t>固定污染源废气挥发性有机物的测定吸附管采样</w:t>
                </w:r>
                <w:r>
                  <w:rPr>
                    <w:rFonts w:cs="Calibri" w:hint="eastAsia"/>
                    <w:color w:val="000000"/>
                  </w:rPr>
                  <w:t>-</w:t>
                </w:r>
                <w:r>
                  <w:rPr>
                    <w:rFonts w:hint="eastAsia"/>
                    <w:color w:val="000000"/>
                  </w:rPr>
                  <w:t>热脱附</w:t>
                </w:r>
                <w:r>
                  <w:rPr>
                    <w:rFonts w:cs="Calibri" w:hint="eastAsia"/>
                    <w:color w:val="000000"/>
                  </w:rPr>
                  <w:t>/</w:t>
                </w:r>
                <w:r>
                  <w:rPr>
                    <w:rFonts w:hint="eastAsia"/>
                    <w:color w:val="000000"/>
                  </w:rPr>
                  <w:t>气相色谱</w:t>
                </w:r>
                <w:r>
                  <w:rPr>
                    <w:rFonts w:cs="Calibri" w:hint="eastAsia"/>
                    <w:color w:val="000000"/>
                  </w:rPr>
                  <w:t>-</w:t>
                </w:r>
                <w:r>
                  <w:rPr>
                    <w:rFonts w:hint="eastAsia"/>
                    <w:color w:val="000000"/>
                  </w:rPr>
                  <w:t>质谱法</w:t>
                </w:r>
                <w:r>
                  <w:rPr>
                    <w:rFonts w:cs="Calibri" w:hint="eastAsia"/>
                    <w:color w:val="000000"/>
                  </w:rPr>
                  <w:t>)</w:t>
                </w:r>
              </w:p>
            </w:tc>
            <w:tc>
              <w:tcPr>
                <w:tcW w:w="1891" w:type="dxa"/>
                <w:tcBorders>
                  <w:top w:val="single" w:sz="4" w:space="0" w:color="auto"/>
                  <w:left w:val="nil"/>
                  <w:bottom w:val="single" w:sz="4" w:space="0" w:color="auto"/>
                  <w:right w:val="single" w:sz="4" w:space="0" w:color="auto"/>
                </w:tcBorders>
                <w:vAlign w:val="center"/>
              </w:tcPr>
              <w:p w14:paraId="7C690504" w14:textId="77777777" w:rsidR="002D0AE7" w:rsidRDefault="00333EBB">
                <w:pPr>
                  <w:rPr>
                    <w:rFonts w:hint="eastAsia"/>
                    <w:color w:val="000000"/>
                  </w:rPr>
                </w:pPr>
                <w:r>
                  <w:rPr>
                    <w:rFonts w:hint="eastAsia"/>
                    <w:color w:val="000000"/>
                  </w:rPr>
                  <w:t>气相色谱</w:t>
                </w:r>
                <w:r>
                  <w:rPr>
                    <w:rFonts w:cs="Calibri" w:hint="eastAsia"/>
                    <w:color w:val="000000"/>
                  </w:rPr>
                  <w:t>-</w:t>
                </w:r>
                <w:r>
                  <w:rPr>
                    <w:rFonts w:hint="eastAsia"/>
                    <w:color w:val="000000"/>
                  </w:rPr>
                  <w:t>质谱仪</w:t>
                </w:r>
              </w:p>
            </w:tc>
            <w:tc>
              <w:tcPr>
                <w:tcW w:w="697" w:type="dxa"/>
                <w:tcBorders>
                  <w:top w:val="single" w:sz="4" w:space="0" w:color="000000"/>
                  <w:left w:val="nil"/>
                  <w:bottom w:val="single" w:sz="4" w:space="0" w:color="000000"/>
                  <w:right w:val="single" w:sz="4" w:space="0" w:color="000000"/>
                </w:tcBorders>
                <w:vAlign w:val="center"/>
              </w:tcPr>
              <w:p w14:paraId="63F26050" w14:textId="77777777" w:rsidR="002D0AE7" w:rsidRDefault="00333EBB">
                <w:pPr>
                  <w:rPr>
                    <w:rFonts w:hint="eastAsia"/>
                    <w:color w:val="000000"/>
                  </w:rPr>
                </w:pPr>
                <w:r>
                  <w:rPr>
                    <w:rFonts w:hint="eastAsia"/>
                    <w:color w:val="000000"/>
                  </w:rPr>
                  <w:t>每年一次</w:t>
                </w:r>
              </w:p>
            </w:tc>
            <w:tc>
              <w:tcPr>
                <w:tcW w:w="1977" w:type="dxa"/>
                <w:tcBorders>
                  <w:top w:val="single" w:sz="4" w:space="0" w:color="000000"/>
                  <w:left w:val="nil"/>
                  <w:bottom w:val="single" w:sz="4" w:space="0" w:color="000000"/>
                  <w:right w:val="single" w:sz="4" w:space="0" w:color="000000"/>
                </w:tcBorders>
                <w:vAlign w:val="center"/>
              </w:tcPr>
              <w:p w14:paraId="6465D2A0" w14:textId="77777777" w:rsidR="002D0AE7" w:rsidRDefault="00333EBB">
                <w:pPr>
                  <w:rPr>
                    <w:rFonts w:hint="eastAsia"/>
                    <w:color w:val="000000"/>
                  </w:rPr>
                </w:pPr>
                <w:r>
                  <w:rPr>
                    <w:rFonts w:hint="eastAsia"/>
                    <w:color w:val="000000"/>
                  </w:rPr>
                  <w:t>非连续采样</w:t>
                </w:r>
                <w:r>
                  <w:rPr>
                    <w:rFonts w:cs="Calibri" w:hint="eastAsia"/>
                    <w:color w:val="000000"/>
                  </w:rPr>
                  <w:t>3</w:t>
                </w:r>
                <w:r>
                  <w:rPr>
                    <w:rFonts w:hint="eastAsia"/>
                    <w:color w:val="000000"/>
                  </w:rPr>
                  <w:t>个</w:t>
                </w:r>
              </w:p>
            </w:tc>
          </w:tr>
          <w:tr w:rsidR="002D0AE7" w14:paraId="29E8D4E6" w14:textId="77777777">
            <w:trPr>
              <w:trHeight w:val="1598"/>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1CD7BECB" w14:textId="77777777" w:rsidR="002D0AE7" w:rsidRDefault="00333EBB">
                <w:pPr>
                  <w:rPr>
                    <w:rFonts w:hint="eastAsia"/>
                    <w:color w:val="000000"/>
                  </w:rPr>
                </w:pPr>
                <w:r>
                  <w:rPr>
                    <w:rFonts w:hint="eastAsia"/>
                    <w:color w:val="000000"/>
                  </w:rPr>
                  <w:t>乙酸丁酯</w:t>
                </w:r>
              </w:p>
            </w:tc>
            <w:tc>
              <w:tcPr>
                <w:tcW w:w="1559" w:type="dxa"/>
                <w:tcBorders>
                  <w:top w:val="single" w:sz="4" w:space="0" w:color="000000"/>
                  <w:left w:val="nil"/>
                  <w:bottom w:val="single" w:sz="4" w:space="0" w:color="000000"/>
                  <w:right w:val="single" w:sz="4" w:space="0" w:color="auto"/>
                </w:tcBorders>
                <w:vAlign w:val="center"/>
              </w:tcPr>
              <w:p w14:paraId="1BBF3123" w14:textId="77777777" w:rsidR="002D0AE7" w:rsidRDefault="00333EBB">
                <w:pPr>
                  <w:jc w:val="center"/>
                  <w:rPr>
                    <w:rFonts w:hint="eastAsia"/>
                    <w:color w:val="000000"/>
                  </w:rPr>
                </w:pPr>
                <w:r>
                  <w:rPr>
                    <w:rFonts w:cs="Calibri" w:hint="eastAsia"/>
                    <w:color w:val="000000"/>
                  </w:rPr>
                  <w:t>/</w:t>
                </w:r>
              </w:p>
            </w:tc>
            <w:tc>
              <w:tcPr>
                <w:tcW w:w="3119" w:type="dxa"/>
                <w:tcBorders>
                  <w:top w:val="single" w:sz="4" w:space="0" w:color="auto"/>
                  <w:left w:val="nil"/>
                  <w:bottom w:val="single" w:sz="4" w:space="0" w:color="auto"/>
                  <w:right w:val="single" w:sz="4" w:space="0" w:color="auto"/>
                </w:tcBorders>
                <w:vAlign w:val="center"/>
              </w:tcPr>
              <w:p w14:paraId="10CCD8D2" w14:textId="77777777" w:rsidR="002D0AE7" w:rsidRDefault="00333EBB">
                <w:pPr>
                  <w:rPr>
                    <w:rFonts w:hint="eastAsia"/>
                    <w:color w:val="000000"/>
                  </w:rPr>
                </w:pPr>
                <w:r>
                  <w:rPr>
                    <w:rFonts w:hint="eastAsia"/>
                    <w:color w:val="000000"/>
                  </w:rPr>
                  <w:t>《工业企业挥发性有机物排放控制标准》</w:t>
                </w:r>
                <w:r>
                  <w:rPr>
                    <w:rFonts w:cs="Calibri" w:hint="eastAsia"/>
                    <w:color w:val="000000"/>
                  </w:rPr>
                  <w:t>DB12/524-2020(</w:t>
                </w:r>
                <w:r>
                  <w:rPr>
                    <w:rFonts w:hint="eastAsia"/>
                    <w:color w:val="000000"/>
                  </w:rPr>
                  <w:t>附录</w:t>
                </w:r>
                <w:r>
                  <w:rPr>
                    <w:rFonts w:cs="Calibri" w:hint="eastAsia"/>
                    <w:color w:val="000000"/>
                  </w:rPr>
                  <w:t>H</w:t>
                </w:r>
                <w:r>
                  <w:rPr>
                    <w:rFonts w:hint="eastAsia"/>
                    <w:color w:val="000000"/>
                  </w:rPr>
                  <w:t>固定污染源废气挥发性有机物的测定吸附管采样</w:t>
                </w:r>
                <w:r>
                  <w:rPr>
                    <w:rFonts w:cs="Calibri" w:hint="eastAsia"/>
                    <w:color w:val="000000"/>
                  </w:rPr>
                  <w:t>-</w:t>
                </w:r>
                <w:r>
                  <w:rPr>
                    <w:rFonts w:hint="eastAsia"/>
                    <w:color w:val="000000"/>
                  </w:rPr>
                  <w:t>热脱附</w:t>
                </w:r>
                <w:r>
                  <w:rPr>
                    <w:rFonts w:cs="Calibri" w:hint="eastAsia"/>
                    <w:color w:val="000000"/>
                  </w:rPr>
                  <w:t>/</w:t>
                </w:r>
                <w:r>
                  <w:rPr>
                    <w:rFonts w:hint="eastAsia"/>
                    <w:color w:val="000000"/>
                  </w:rPr>
                  <w:t>气相色谱</w:t>
                </w:r>
                <w:r>
                  <w:rPr>
                    <w:rFonts w:cs="Calibri" w:hint="eastAsia"/>
                    <w:color w:val="000000"/>
                  </w:rPr>
                  <w:t>-</w:t>
                </w:r>
                <w:r>
                  <w:rPr>
                    <w:rFonts w:hint="eastAsia"/>
                    <w:color w:val="000000"/>
                  </w:rPr>
                  <w:t>质谱法</w:t>
                </w:r>
                <w:r>
                  <w:rPr>
                    <w:rFonts w:cs="Calibri" w:hint="eastAsia"/>
                    <w:color w:val="000000"/>
                  </w:rPr>
                  <w:t>)</w:t>
                </w:r>
              </w:p>
            </w:tc>
            <w:tc>
              <w:tcPr>
                <w:tcW w:w="1891" w:type="dxa"/>
                <w:tcBorders>
                  <w:top w:val="single" w:sz="4" w:space="0" w:color="auto"/>
                  <w:left w:val="nil"/>
                  <w:bottom w:val="single" w:sz="4" w:space="0" w:color="auto"/>
                  <w:right w:val="single" w:sz="4" w:space="0" w:color="auto"/>
                </w:tcBorders>
                <w:vAlign w:val="center"/>
              </w:tcPr>
              <w:p w14:paraId="1DA6A03F" w14:textId="77777777" w:rsidR="002D0AE7" w:rsidRDefault="00333EBB">
                <w:pPr>
                  <w:rPr>
                    <w:rFonts w:hint="eastAsia"/>
                    <w:color w:val="000000"/>
                  </w:rPr>
                </w:pPr>
                <w:r>
                  <w:rPr>
                    <w:rFonts w:hint="eastAsia"/>
                    <w:color w:val="000000"/>
                  </w:rPr>
                  <w:t>气相色谱</w:t>
                </w:r>
                <w:r>
                  <w:rPr>
                    <w:rFonts w:cs="Calibri" w:hint="eastAsia"/>
                    <w:color w:val="000000"/>
                  </w:rPr>
                  <w:t>-</w:t>
                </w:r>
                <w:r>
                  <w:rPr>
                    <w:rFonts w:hint="eastAsia"/>
                    <w:color w:val="000000"/>
                  </w:rPr>
                  <w:t>质谱仪</w:t>
                </w:r>
              </w:p>
            </w:tc>
            <w:tc>
              <w:tcPr>
                <w:tcW w:w="697" w:type="dxa"/>
                <w:tcBorders>
                  <w:top w:val="single" w:sz="4" w:space="0" w:color="000000"/>
                  <w:left w:val="nil"/>
                  <w:bottom w:val="single" w:sz="4" w:space="0" w:color="000000"/>
                  <w:right w:val="single" w:sz="4" w:space="0" w:color="000000"/>
                </w:tcBorders>
                <w:vAlign w:val="center"/>
              </w:tcPr>
              <w:p w14:paraId="1C5E4DF5" w14:textId="77777777" w:rsidR="002D0AE7" w:rsidRDefault="00333EBB">
                <w:pPr>
                  <w:rPr>
                    <w:rFonts w:hint="eastAsia"/>
                    <w:color w:val="000000"/>
                  </w:rPr>
                </w:pPr>
                <w:r>
                  <w:rPr>
                    <w:rFonts w:hint="eastAsia"/>
                    <w:color w:val="000000"/>
                  </w:rPr>
                  <w:t>每年一次</w:t>
                </w:r>
              </w:p>
            </w:tc>
            <w:tc>
              <w:tcPr>
                <w:tcW w:w="1977" w:type="dxa"/>
                <w:tcBorders>
                  <w:top w:val="single" w:sz="4" w:space="0" w:color="000000"/>
                  <w:left w:val="nil"/>
                  <w:bottom w:val="single" w:sz="4" w:space="0" w:color="000000"/>
                  <w:right w:val="single" w:sz="4" w:space="0" w:color="000000"/>
                </w:tcBorders>
                <w:vAlign w:val="center"/>
              </w:tcPr>
              <w:p w14:paraId="68E164E7" w14:textId="77777777" w:rsidR="002D0AE7" w:rsidRDefault="00333EBB">
                <w:pPr>
                  <w:rPr>
                    <w:rFonts w:hint="eastAsia"/>
                    <w:color w:val="000000"/>
                  </w:rPr>
                </w:pPr>
                <w:r>
                  <w:rPr>
                    <w:rFonts w:hint="eastAsia"/>
                    <w:color w:val="000000"/>
                  </w:rPr>
                  <w:t>非连续采样</w:t>
                </w:r>
                <w:r>
                  <w:rPr>
                    <w:rFonts w:cs="Calibri" w:hint="eastAsia"/>
                    <w:color w:val="000000"/>
                  </w:rPr>
                  <w:t>3</w:t>
                </w:r>
                <w:r>
                  <w:rPr>
                    <w:rFonts w:hint="eastAsia"/>
                    <w:color w:val="000000"/>
                  </w:rPr>
                  <w:t>个</w:t>
                </w:r>
              </w:p>
            </w:tc>
          </w:tr>
          <w:tr w:rsidR="002D0AE7" w14:paraId="795738DA" w14:textId="77777777">
            <w:trPr>
              <w:trHeight w:val="280"/>
            </w:trPr>
            <w:tc>
              <w:tcPr>
                <w:tcW w:w="10378" w:type="dxa"/>
                <w:gridSpan w:val="7"/>
                <w:tcBorders>
                  <w:top w:val="single" w:sz="4" w:space="0" w:color="000000"/>
                  <w:left w:val="single" w:sz="4" w:space="0" w:color="000000"/>
                  <w:bottom w:val="single" w:sz="4" w:space="0" w:color="000000"/>
                  <w:right w:val="single" w:sz="4" w:space="0" w:color="000000"/>
                </w:tcBorders>
                <w:vAlign w:val="center"/>
              </w:tcPr>
              <w:p w14:paraId="643C535E" w14:textId="77777777" w:rsidR="002D0AE7" w:rsidRDefault="00333EBB">
                <w:pPr>
                  <w:jc w:val="center"/>
                  <w:rPr>
                    <w:rFonts w:hint="eastAsia"/>
                    <w:color w:val="000000"/>
                  </w:rPr>
                </w:pPr>
                <w:r>
                  <w:rPr>
                    <w:rFonts w:hint="eastAsia"/>
                    <w:color w:val="000000"/>
                  </w:rPr>
                  <w:t>排放标准</w:t>
                </w:r>
              </w:p>
            </w:tc>
          </w:tr>
          <w:tr w:rsidR="002D0AE7" w14:paraId="33445940" w14:textId="77777777">
            <w:trPr>
              <w:trHeight w:val="280"/>
            </w:trPr>
            <w:tc>
              <w:tcPr>
                <w:tcW w:w="10378" w:type="dxa"/>
                <w:gridSpan w:val="7"/>
                <w:tcBorders>
                  <w:top w:val="single" w:sz="4" w:space="0" w:color="000000"/>
                  <w:left w:val="single" w:sz="4" w:space="0" w:color="000000"/>
                  <w:bottom w:val="single" w:sz="4" w:space="0" w:color="000000"/>
                  <w:right w:val="single" w:sz="4" w:space="0" w:color="000000"/>
                </w:tcBorders>
                <w:vAlign w:val="center"/>
              </w:tcPr>
              <w:p w14:paraId="222CFF21" w14:textId="77777777" w:rsidR="002D0AE7" w:rsidRDefault="00333EBB">
                <w:pPr>
                  <w:jc w:val="center"/>
                  <w:rPr>
                    <w:rFonts w:hint="eastAsia"/>
                    <w:color w:val="000000"/>
                  </w:rPr>
                </w:pPr>
                <w:r>
                  <w:rPr>
                    <w:rFonts w:hint="eastAsia"/>
                    <w:color w:val="000000"/>
                  </w:rPr>
                  <w:t>《恶臭污染物排放标准》</w:t>
                </w:r>
                <w:r>
                  <w:rPr>
                    <w:rFonts w:cs="Calibri" w:hint="eastAsia"/>
                    <w:color w:val="000000"/>
                  </w:rPr>
                  <w:t>DB12/059-2018</w:t>
                </w:r>
              </w:p>
            </w:tc>
          </w:tr>
          <w:tr w:rsidR="002D0AE7" w14:paraId="191E26F2" w14:textId="77777777">
            <w:trPr>
              <w:trHeight w:val="540"/>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6020B1EF" w14:textId="77777777" w:rsidR="002D0AE7" w:rsidRDefault="00333EBB">
                <w:pPr>
                  <w:rPr>
                    <w:rFonts w:hint="eastAsia"/>
                    <w:color w:val="000000"/>
                  </w:rPr>
                </w:pPr>
                <w:r>
                  <w:rPr>
                    <w:rFonts w:hint="eastAsia"/>
                    <w:color w:val="000000"/>
                  </w:rPr>
                  <w:t>颗粒物</w:t>
                </w:r>
              </w:p>
            </w:tc>
            <w:tc>
              <w:tcPr>
                <w:tcW w:w="1559" w:type="dxa"/>
                <w:tcBorders>
                  <w:top w:val="single" w:sz="4" w:space="0" w:color="000000"/>
                  <w:left w:val="nil"/>
                  <w:bottom w:val="single" w:sz="4" w:space="0" w:color="000000"/>
                  <w:right w:val="single" w:sz="4" w:space="0" w:color="000000"/>
                </w:tcBorders>
                <w:vAlign w:val="center"/>
              </w:tcPr>
              <w:p w14:paraId="6156F4D0" w14:textId="77777777" w:rsidR="002D0AE7" w:rsidRDefault="00333EBB">
                <w:pPr>
                  <w:rPr>
                    <w:rFonts w:hint="eastAsia"/>
                    <w:color w:val="000000"/>
                  </w:rPr>
                </w:pPr>
                <w:r>
                  <w:rPr>
                    <w:rFonts w:cs="Calibri" w:hint="eastAsia"/>
                    <w:color w:val="000000"/>
                  </w:rPr>
                  <w:t>20mg/Nm</w:t>
                </w:r>
                <w:r>
                  <w:rPr>
                    <w:rFonts w:cs="Calibri" w:hint="eastAsia"/>
                    <w:color w:val="000000"/>
                    <w:vertAlign w:val="superscript"/>
                  </w:rPr>
                  <w:t>3</w:t>
                </w:r>
              </w:p>
            </w:tc>
            <w:tc>
              <w:tcPr>
                <w:tcW w:w="3119" w:type="dxa"/>
                <w:tcBorders>
                  <w:top w:val="single" w:sz="4" w:space="0" w:color="000000"/>
                  <w:left w:val="nil"/>
                  <w:bottom w:val="single" w:sz="4" w:space="0" w:color="000000"/>
                  <w:right w:val="single" w:sz="4" w:space="0" w:color="000000"/>
                </w:tcBorders>
                <w:vAlign w:val="center"/>
              </w:tcPr>
              <w:p w14:paraId="5FFACB58" w14:textId="77777777" w:rsidR="002D0AE7" w:rsidRDefault="00333EBB">
                <w:pPr>
                  <w:rPr>
                    <w:rFonts w:hint="eastAsia"/>
                    <w:color w:val="000000"/>
                  </w:rPr>
                </w:pPr>
                <w:r>
                  <w:rPr>
                    <w:rFonts w:hint="eastAsia"/>
                    <w:color w:val="000000"/>
                  </w:rPr>
                  <w:t>《固定污染源废气低浓度颗粒物的测定重量法》</w:t>
                </w:r>
                <w:r>
                  <w:rPr>
                    <w:rFonts w:cs="Calibri" w:hint="eastAsia"/>
                    <w:color w:val="000000"/>
                  </w:rPr>
                  <w:t>HJ836-2017</w:t>
                </w:r>
              </w:p>
            </w:tc>
            <w:tc>
              <w:tcPr>
                <w:tcW w:w="1891" w:type="dxa"/>
                <w:tcBorders>
                  <w:top w:val="single" w:sz="4" w:space="0" w:color="000000"/>
                  <w:left w:val="nil"/>
                  <w:bottom w:val="single" w:sz="4" w:space="0" w:color="000000"/>
                  <w:right w:val="single" w:sz="4" w:space="0" w:color="000000"/>
                </w:tcBorders>
                <w:vAlign w:val="center"/>
              </w:tcPr>
              <w:p w14:paraId="3357CB82" w14:textId="77777777" w:rsidR="002D0AE7" w:rsidRDefault="00333EBB">
                <w:pPr>
                  <w:rPr>
                    <w:rFonts w:hint="eastAsia"/>
                    <w:color w:val="000000"/>
                  </w:rPr>
                </w:pPr>
                <w:r>
                  <w:rPr>
                    <w:rFonts w:hint="eastAsia"/>
                    <w:color w:val="000000"/>
                  </w:rPr>
                  <w:t>大流量烟尘（气）测试仪；电子天平；恒温恒湿设备</w:t>
                </w:r>
              </w:p>
            </w:tc>
            <w:tc>
              <w:tcPr>
                <w:tcW w:w="697" w:type="dxa"/>
                <w:tcBorders>
                  <w:top w:val="single" w:sz="4" w:space="0" w:color="000000"/>
                  <w:left w:val="nil"/>
                  <w:bottom w:val="single" w:sz="4" w:space="0" w:color="000000"/>
                  <w:right w:val="single" w:sz="4" w:space="0" w:color="000000"/>
                </w:tcBorders>
                <w:vAlign w:val="center"/>
              </w:tcPr>
              <w:p w14:paraId="4A26FA37" w14:textId="77777777" w:rsidR="002D0AE7" w:rsidRDefault="00333EBB">
                <w:pPr>
                  <w:rPr>
                    <w:rFonts w:hint="eastAsia"/>
                    <w:color w:val="000000"/>
                  </w:rPr>
                </w:pPr>
                <w:r>
                  <w:rPr>
                    <w:rFonts w:hint="eastAsia"/>
                    <w:color w:val="000000"/>
                  </w:rPr>
                  <w:t>每季度一次</w:t>
                </w:r>
              </w:p>
            </w:tc>
            <w:tc>
              <w:tcPr>
                <w:tcW w:w="1977" w:type="dxa"/>
                <w:tcBorders>
                  <w:top w:val="single" w:sz="4" w:space="0" w:color="000000"/>
                  <w:left w:val="nil"/>
                  <w:bottom w:val="single" w:sz="4" w:space="0" w:color="000000"/>
                  <w:right w:val="single" w:sz="4" w:space="0" w:color="000000"/>
                </w:tcBorders>
                <w:vAlign w:val="center"/>
              </w:tcPr>
              <w:p w14:paraId="5459EE77" w14:textId="77777777" w:rsidR="002D0AE7" w:rsidRDefault="00333EBB">
                <w:pPr>
                  <w:rPr>
                    <w:rFonts w:hint="eastAsia"/>
                    <w:color w:val="000000"/>
                  </w:rPr>
                </w:pPr>
                <w:r>
                  <w:rPr>
                    <w:rFonts w:hint="eastAsia"/>
                    <w:color w:val="000000"/>
                  </w:rPr>
                  <w:t>非连续采样</w:t>
                </w:r>
                <w:r>
                  <w:rPr>
                    <w:rFonts w:cs="Calibri" w:hint="eastAsia"/>
                    <w:color w:val="000000"/>
                  </w:rPr>
                  <w:t>3</w:t>
                </w:r>
                <w:r>
                  <w:rPr>
                    <w:rFonts w:hint="eastAsia"/>
                    <w:color w:val="000000"/>
                  </w:rPr>
                  <w:t>个</w:t>
                </w:r>
              </w:p>
            </w:tc>
          </w:tr>
          <w:tr w:rsidR="002D0AE7" w14:paraId="7661A8F5" w14:textId="77777777">
            <w:trPr>
              <w:trHeight w:val="540"/>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34C8D1FB" w14:textId="77777777" w:rsidR="002D0AE7" w:rsidRDefault="00333EBB">
                <w:pPr>
                  <w:rPr>
                    <w:rFonts w:hint="eastAsia"/>
                    <w:color w:val="000000"/>
                  </w:rPr>
                </w:pPr>
                <w:r>
                  <w:rPr>
                    <w:rFonts w:hint="eastAsia"/>
                    <w:color w:val="000000"/>
                  </w:rPr>
                  <w:t>氨（氨气）</w:t>
                </w:r>
              </w:p>
            </w:tc>
            <w:tc>
              <w:tcPr>
                <w:tcW w:w="1559" w:type="dxa"/>
                <w:tcBorders>
                  <w:top w:val="single" w:sz="4" w:space="0" w:color="000000"/>
                  <w:left w:val="nil"/>
                  <w:bottom w:val="single" w:sz="4" w:space="0" w:color="000000"/>
                  <w:right w:val="single" w:sz="4" w:space="0" w:color="000000"/>
                </w:tcBorders>
                <w:vAlign w:val="center"/>
              </w:tcPr>
              <w:p w14:paraId="172C4947" w14:textId="77777777" w:rsidR="002D0AE7" w:rsidRDefault="00333EBB">
                <w:pPr>
                  <w:rPr>
                    <w:rFonts w:hint="eastAsia"/>
                    <w:color w:val="000000"/>
                  </w:rPr>
                </w:pPr>
                <w:r>
                  <w:rPr>
                    <w:rFonts w:cs="Calibri" w:hint="eastAsia"/>
                    <w:color w:val="000000"/>
                  </w:rPr>
                  <w:t>20mg/Nm</w:t>
                </w:r>
                <w:r>
                  <w:rPr>
                    <w:rFonts w:cs="Calibri" w:hint="eastAsia"/>
                    <w:color w:val="000000"/>
                    <w:vertAlign w:val="superscript"/>
                  </w:rPr>
                  <w:t>3</w:t>
                </w:r>
              </w:p>
            </w:tc>
            <w:tc>
              <w:tcPr>
                <w:tcW w:w="3119" w:type="dxa"/>
                <w:tcBorders>
                  <w:top w:val="single" w:sz="4" w:space="0" w:color="000000"/>
                  <w:left w:val="nil"/>
                  <w:bottom w:val="single" w:sz="4" w:space="0" w:color="000000"/>
                  <w:right w:val="single" w:sz="4" w:space="0" w:color="000000"/>
                </w:tcBorders>
                <w:vAlign w:val="center"/>
              </w:tcPr>
              <w:p w14:paraId="1903DA06" w14:textId="77777777" w:rsidR="002D0AE7" w:rsidRDefault="00333EBB">
                <w:pPr>
                  <w:rPr>
                    <w:rFonts w:hint="eastAsia"/>
                    <w:color w:val="000000"/>
                  </w:rPr>
                </w:pPr>
                <w:r>
                  <w:rPr>
                    <w:rFonts w:hint="eastAsia"/>
                    <w:color w:val="000000"/>
                  </w:rPr>
                  <w:t>《空气和废气氨的测定纳氏试剂分光光度法》</w:t>
                </w:r>
                <w:r>
                  <w:rPr>
                    <w:rFonts w:cs="Calibri" w:hint="eastAsia"/>
                    <w:color w:val="000000"/>
                  </w:rPr>
                  <w:t>HJ533-2009</w:t>
                </w:r>
              </w:p>
            </w:tc>
            <w:tc>
              <w:tcPr>
                <w:tcW w:w="1891" w:type="dxa"/>
                <w:tcBorders>
                  <w:top w:val="single" w:sz="4" w:space="0" w:color="000000"/>
                  <w:left w:val="nil"/>
                  <w:bottom w:val="single" w:sz="4" w:space="0" w:color="000000"/>
                  <w:right w:val="single" w:sz="4" w:space="0" w:color="000000"/>
                </w:tcBorders>
                <w:vAlign w:val="center"/>
              </w:tcPr>
              <w:p w14:paraId="43CFD89E" w14:textId="77777777" w:rsidR="002D0AE7" w:rsidRDefault="00333EBB">
                <w:pPr>
                  <w:rPr>
                    <w:rFonts w:hint="eastAsia"/>
                    <w:color w:val="000000"/>
                  </w:rPr>
                </w:pPr>
                <w:r>
                  <w:rPr>
                    <w:rFonts w:hint="eastAsia"/>
                    <w:color w:val="000000"/>
                  </w:rPr>
                  <w:t>紫外可见分光光度计</w:t>
                </w:r>
              </w:p>
            </w:tc>
            <w:tc>
              <w:tcPr>
                <w:tcW w:w="697" w:type="dxa"/>
                <w:tcBorders>
                  <w:top w:val="single" w:sz="4" w:space="0" w:color="000000"/>
                  <w:left w:val="nil"/>
                  <w:bottom w:val="single" w:sz="4" w:space="0" w:color="000000"/>
                  <w:right w:val="single" w:sz="4" w:space="0" w:color="000000"/>
                </w:tcBorders>
                <w:vAlign w:val="center"/>
              </w:tcPr>
              <w:p w14:paraId="17B60755" w14:textId="77777777" w:rsidR="002D0AE7" w:rsidRDefault="00333EBB">
                <w:pPr>
                  <w:rPr>
                    <w:rFonts w:hint="eastAsia"/>
                    <w:color w:val="000000"/>
                  </w:rPr>
                </w:pPr>
                <w:r>
                  <w:rPr>
                    <w:rFonts w:hint="eastAsia"/>
                    <w:color w:val="000000"/>
                  </w:rPr>
                  <w:t>每年一次</w:t>
                </w:r>
              </w:p>
            </w:tc>
            <w:tc>
              <w:tcPr>
                <w:tcW w:w="1977" w:type="dxa"/>
                <w:tcBorders>
                  <w:top w:val="single" w:sz="4" w:space="0" w:color="000000"/>
                  <w:left w:val="nil"/>
                  <w:bottom w:val="single" w:sz="4" w:space="0" w:color="000000"/>
                  <w:right w:val="single" w:sz="4" w:space="0" w:color="000000"/>
                </w:tcBorders>
                <w:vAlign w:val="center"/>
              </w:tcPr>
              <w:p w14:paraId="3D440ADE" w14:textId="77777777" w:rsidR="002D0AE7" w:rsidRDefault="00333EBB">
                <w:pPr>
                  <w:rPr>
                    <w:rFonts w:hint="eastAsia"/>
                    <w:color w:val="000000"/>
                  </w:rPr>
                </w:pPr>
                <w:r>
                  <w:rPr>
                    <w:rFonts w:hint="eastAsia"/>
                    <w:color w:val="000000"/>
                  </w:rPr>
                  <w:t>非连续采样</w:t>
                </w:r>
                <w:r>
                  <w:rPr>
                    <w:rFonts w:cs="Calibri" w:hint="eastAsia"/>
                    <w:color w:val="000000"/>
                  </w:rPr>
                  <w:t>3</w:t>
                </w:r>
                <w:r>
                  <w:rPr>
                    <w:rFonts w:hint="eastAsia"/>
                    <w:color w:val="000000"/>
                  </w:rPr>
                  <w:t>个</w:t>
                </w:r>
              </w:p>
            </w:tc>
          </w:tr>
          <w:tr w:rsidR="002D0AE7" w14:paraId="5AEABA91" w14:textId="77777777">
            <w:trPr>
              <w:trHeight w:val="798"/>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1B9BB5B1" w14:textId="77777777" w:rsidR="002D0AE7" w:rsidRDefault="00333EBB">
                <w:pPr>
                  <w:rPr>
                    <w:rFonts w:hint="eastAsia"/>
                    <w:color w:val="000000"/>
                  </w:rPr>
                </w:pPr>
                <w:r>
                  <w:rPr>
                    <w:rFonts w:hint="eastAsia"/>
                    <w:color w:val="000000"/>
                  </w:rPr>
                  <w:t>氯化氢</w:t>
                </w:r>
              </w:p>
            </w:tc>
            <w:tc>
              <w:tcPr>
                <w:tcW w:w="1559" w:type="dxa"/>
                <w:tcBorders>
                  <w:top w:val="single" w:sz="4" w:space="0" w:color="000000"/>
                  <w:left w:val="nil"/>
                  <w:bottom w:val="single" w:sz="4" w:space="0" w:color="000000"/>
                  <w:right w:val="single" w:sz="4" w:space="0" w:color="000000"/>
                </w:tcBorders>
                <w:vAlign w:val="center"/>
              </w:tcPr>
              <w:p w14:paraId="3F96165A" w14:textId="77777777" w:rsidR="002D0AE7" w:rsidRDefault="00333EBB">
                <w:pPr>
                  <w:rPr>
                    <w:rFonts w:hint="eastAsia"/>
                    <w:color w:val="000000"/>
                  </w:rPr>
                </w:pPr>
                <w:r>
                  <w:rPr>
                    <w:rFonts w:cs="Calibri" w:hint="eastAsia"/>
                    <w:color w:val="000000"/>
                  </w:rPr>
                  <w:t>30mg/Nm</w:t>
                </w:r>
                <w:r>
                  <w:rPr>
                    <w:rFonts w:cs="Calibri" w:hint="eastAsia"/>
                    <w:color w:val="000000"/>
                    <w:vertAlign w:val="superscript"/>
                  </w:rPr>
                  <w:t>3</w:t>
                </w:r>
              </w:p>
            </w:tc>
            <w:tc>
              <w:tcPr>
                <w:tcW w:w="3119" w:type="dxa"/>
                <w:tcBorders>
                  <w:top w:val="single" w:sz="4" w:space="0" w:color="000000"/>
                  <w:left w:val="nil"/>
                  <w:bottom w:val="single" w:sz="4" w:space="0" w:color="000000"/>
                  <w:right w:val="single" w:sz="4" w:space="0" w:color="000000"/>
                </w:tcBorders>
                <w:vAlign w:val="center"/>
              </w:tcPr>
              <w:p w14:paraId="7BE4465F" w14:textId="77777777" w:rsidR="002D0AE7" w:rsidRDefault="00333EBB">
                <w:pPr>
                  <w:rPr>
                    <w:rFonts w:hint="eastAsia"/>
                    <w:color w:val="000000"/>
                  </w:rPr>
                </w:pPr>
                <w:r>
                  <w:rPr>
                    <w:rFonts w:hint="eastAsia"/>
                    <w:color w:val="000000"/>
                  </w:rPr>
                  <w:t>《环境空气和废气氯化氢的测定离子色谱法》</w:t>
                </w:r>
                <w:r>
                  <w:rPr>
                    <w:rFonts w:cs="Calibri" w:hint="eastAsia"/>
                    <w:color w:val="000000"/>
                  </w:rPr>
                  <w:t>HJ549-2016</w:t>
                </w:r>
              </w:p>
            </w:tc>
            <w:tc>
              <w:tcPr>
                <w:tcW w:w="1891" w:type="dxa"/>
                <w:tcBorders>
                  <w:top w:val="single" w:sz="4" w:space="0" w:color="000000"/>
                  <w:left w:val="nil"/>
                  <w:bottom w:val="single" w:sz="4" w:space="0" w:color="000000"/>
                  <w:right w:val="single" w:sz="4" w:space="0" w:color="000000"/>
                </w:tcBorders>
                <w:vAlign w:val="center"/>
              </w:tcPr>
              <w:p w14:paraId="7F6C95E1" w14:textId="77777777" w:rsidR="002D0AE7" w:rsidRDefault="00333EBB">
                <w:pPr>
                  <w:rPr>
                    <w:rFonts w:hint="eastAsia"/>
                    <w:color w:val="000000"/>
                  </w:rPr>
                </w:pPr>
                <w:r>
                  <w:rPr>
                    <w:rFonts w:hint="eastAsia"/>
                    <w:color w:val="000000"/>
                  </w:rPr>
                  <w:t>离子色谱仪</w:t>
                </w:r>
              </w:p>
            </w:tc>
            <w:tc>
              <w:tcPr>
                <w:tcW w:w="697" w:type="dxa"/>
                <w:tcBorders>
                  <w:top w:val="single" w:sz="4" w:space="0" w:color="000000"/>
                  <w:left w:val="nil"/>
                  <w:bottom w:val="single" w:sz="4" w:space="0" w:color="000000"/>
                  <w:right w:val="single" w:sz="4" w:space="0" w:color="000000"/>
                </w:tcBorders>
                <w:vAlign w:val="center"/>
              </w:tcPr>
              <w:p w14:paraId="03BEE42F" w14:textId="77777777" w:rsidR="002D0AE7" w:rsidRDefault="00333EBB">
                <w:pPr>
                  <w:rPr>
                    <w:rFonts w:hint="eastAsia"/>
                    <w:color w:val="000000"/>
                  </w:rPr>
                </w:pPr>
                <w:r>
                  <w:rPr>
                    <w:rFonts w:hint="eastAsia"/>
                    <w:color w:val="000000"/>
                  </w:rPr>
                  <w:t>每年一次</w:t>
                </w:r>
              </w:p>
            </w:tc>
            <w:tc>
              <w:tcPr>
                <w:tcW w:w="1977" w:type="dxa"/>
                <w:tcBorders>
                  <w:top w:val="single" w:sz="4" w:space="0" w:color="000000"/>
                  <w:left w:val="nil"/>
                  <w:bottom w:val="single" w:sz="4" w:space="0" w:color="000000"/>
                  <w:right w:val="single" w:sz="4" w:space="0" w:color="000000"/>
                </w:tcBorders>
                <w:vAlign w:val="center"/>
              </w:tcPr>
              <w:p w14:paraId="4D4493E6" w14:textId="77777777" w:rsidR="002D0AE7" w:rsidRDefault="00333EBB">
                <w:pPr>
                  <w:rPr>
                    <w:rFonts w:hint="eastAsia"/>
                    <w:color w:val="000000"/>
                  </w:rPr>
                </w:pPr>
                <w:r>
                  <w:rPr>
                    <w:rFonts w:hint="eastAsia"/>
                    <w:color w:val="000000"/>
                  </w:rPr>
                  <w:t>非连续采样</w:t>
                </w:r>
                <w:r>
                  <w:rPr>
                    <w:rFonts w:cs="Calibri" w:hint="eastAsia"/>
                    <w:color w:val="000000"/>
                  </w:rPr>
                  <w:t>3</w:t>
                </w:r>
                <w:r>
                  <w:rPr>
                    <w:rFonts w:hint="eastAsia"/>
                    <w:color w:val="000000"/>
                  </w:rPr>
                  <w:t>个</w:t>
                </w:r>
              </w:p>
            </w:tc>
          </w:tr>
          <w:tr w:rsidR="002D0AE7" w14:paraId="2BA0BE33" w14:textId="77777777">
            <w:trPr>
              <w:trHeight w:val="1080"/>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7A04289C" w14:textId="77777777" w:rsidR="002D0AE7" w:rsidRDefault="00333EBB">
                <w:pPr>
                  <w:rPr>
                    <w:rFonts w:hint="eastAsia"/>
                    <w:color w:val="000000"/>
                  </w:rPr>
                </w:pPr>
                <w:r>
                  <w:rPr>
                    <w:rFonts w:hint="eastAsia"/>
                    <w:color w:val="000000"/>
                  </w:rPr>
                  <w:t>氮氧化物</w:t>
                </w:r>
              </w:p>
            </w:tc>
            <w:tc>
              <w:tcPr>
                <w:tcW w:w="1559" w:type="dxa"/>
                <w:tcBorders>
                  <w:top w:val="single" w:sz="4" w:space="0" w:color="000000"/>
                  <w:left w:val="nil"/>
                  <w:bottom w:val="single" w:sz="4" w:space="0" w:color="000000"/>
                  <w:right w:val="single" w:sz="4" w:space="0" w:color="000000"/>
                </w:tcBorders>
                <w:vAlign w:val="center"/>
              </w:tcPr>
              <w:p w14:paraId="0C96E402" w14:textId="77777777" w:rsidR="002D0AE7" w:rsidRDefault="00333EBB">
                <w:pPr>
                  <w:rPr>
                    <w:rFonts w:hint="eastAsia"/>
                    <w:color w:val="000000"/>
                  </w:rPr>
                </w:pPr>
                <w:r>
                  <w:rPr>
                    <w:rFonts w:cs="Calibri" w:hint="eastAsia"/>
                    <w:color w:val="000000"/>
                  </w:rPr>
                  <w:t>200mg/Nm</w:t>
                </w:r>
                <w:r>
                  <w:rPr>
                    <w:rFonts w:hint="eastAsia"/>
                    <w:color w:val="000000"/>
                  </w:rPr>
                  <w:t>³</w:t>
                </w:r>
              </w:p>
            </w:tc>
            <w:tc>
              <w:tcPr>
                <w:tcW w:w="3119" w:type="dxa"/>
                <w:tcBorders>
                  <w:top w:val="single" w:sz="4" w:space="0" w:color="000000"/>
                  <w:left w:val="nil"/>
                  <w:bottom w:val="single" w:sz="4" w:space="0" w:color="000000"/>
                  <w:right w:val="single" w:sz="4" w:space="0" w:color="000000"/>
                </w:tcBorders>
                <w:vAlign w:val="center"/>
              </w:tcPr>
              <w:p w14:paraId="13B5D39B" w14:textId="77777777" w:rsidR="002D0AE7" w:rsidRDefault="00333EBB">
                <w:pPr>
                  <w:rPr>
                    <w:rFonts w:hint="eastAsia"/>
                    <w:color w:val="000000"/>
                  </w:rPr>
                </w:pPr>
                <w:r>
                  <w:rPr>
                    <w:rFonts w:hint="eastAsia"/>
                    <w:color w:val="000000"/>
                  </w:rPr>
                  <w:t>《固定污染源废气氮氧化物的测定定电位电解法》</w:t>
                </w:r>
                <w:r>
                  <w:rPr>
                    <w:rFonts w:cs="Calibri" w:hint="eastAsia"/>
                    <w:color w:val="000000"/>
                  </w:rPr>
                  <w:t>HJ693-2014</w:t>
                </w:r>
              </w:p>
            </w:tc>
            <w:tc>
              <w:tcPr>
                <w:tcW w:w="1891" w:type="dxa"/>
                <w:tcBorders>
                  <w:top w:val="single" w:sz="4" w:space="0" w:color="000000"/>
                  <w:left w:val="nil"/>
                  <w:bottom w:val="single" w:sz="4" w:space="0" w:color="000000"/>
                  <w:right w:val="single" w:sz="4" w:space="0" w:color="000000"/>
                </w:tcBorders>
                <w:vAlign w:val="center"/>
              </w:tcPr>
              <w:p w14:paraId="4183A199" w14:textId="77777777" w:rsidR="002D0AE7" w:rsidRDefault="00333EBB">
                <w:pPr>
                  <w:rPr>
                    <w:rFonts w:hint="eastAsia"/>
                    <w:color w:val="000000"/>
                  </w:rPr>
                </w:pPr>
                <w:r>
                  <w:rPr>
                    <w:rFonts w:hint="eastAsia"/>
                    <w:color w:val="000000"/>
                  </w:rPr>
                  <w:t>大流量烟尘（气）测试仪</w:t>
                </w:r>
              </w:p>
            </w:tc>
            <w:tc>
              <w:tcPr>
                <w:tcW w:w="697" w:type="dxa"/>
                <w:tcBorders>
                  <w:top w:val="single" w:sz="4" w:space="0" w:color="000000"/>
                  <w:left w:val="nil"/>
                  <w:bottom w:val="single" w:sz="4" w:space="0" w:color="000000"/>
                  <w:right w:val="single" w:sz="4" w:space="0" w:color="000000"/>
                </w:tcBorders>
                <w:vAlign w:val="center"/>
              </w:tcPr>
              <w:p w14:paraId="71DB3E93" w14:textId="77777777" w:rsidR="002D0AE7" w:rsidRDefault="00333EBB">
                <w:pPr>
                  <w:rPr>
                    <w:rFonts w:hint="eastAsia"/>
                    <w:color w:val="000000"/>
                  </w:rPr>
                </w:pPr>
                <w:r>
                  <w:rPr>
                    <w:rFonts w:hint="eastAsia"/>
                    <w:color w:val="000000"/>
                  </w:rPr>
                  <w:t>每年一次</w:t>
                </w:r>
              </w:p>
            </w:tc>
            <w:tc>
              <w:tcPr>
                <w:tcW w:w="1977" w:type="dxa"/>
                <w:tcBorders>
                  <w:top w:val="single" w:sz="4" w:space="0" w:color="000000"/>
                  <w:left w:val="nil"/>
                  <w:bottom w:val="single" w:sz="4" w:space="0" w:color="000000"/>
                  <w:right w:val="single" w:sz="4" w:space="0" w:color="000000"/>
                </w:tcBorders>
                <w:vAlign w:val="center"/>
              </w:tcPr>
              <w:p w14:paraId="02FC7EFF" w14:textId="77777777" w:rsidR="002D0AE7" w:rsidRDefault="00333EBB">
                <w:pPr>
                  <w:rPr>
                    <w:rFonts w:hint="eastAsia"/>
                    <w:color w:val="000000"/>
                  </w:rPr>
                </w:pPr>
                <w:r>
                  <w:rPr>
                    <w:rFonts w:hint="eastAsia"/>
                    <w:color w:val="000000"/>
                  </w:rPr>
                  <w:t>非连续采样</w:t>
                </w:r>
                <w:r>
                  <w:rPr>
                    <w:rFonts w:cs="Calibri" w:hint="eastAsia"/>
                    <w:color w:val="000000"/>
                  </w:rPr>
                  <w:t>3</w:t>
                </w:r>
                <w:r>
                  <w:rPr>
                    <w:rFonts w:hint="eastAsia"/>
                    <w:color w:val="000000"/>
                  </w:rPr>
                  <w:t>个</w:t>
                </w:r>
              </w:p>
            </w:tc>
          </w:tr>
          <w:tr w:rsidR="002D0AE7" w14:paraId="2A1CCC9B" w14:textId="77777777">
            <w:trPr>
              <w:trHeight w:val="810"/>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50AD81E5" w14:textId="77777777" w:rsidR="002D0AE7" w:rsidRDefault="00333EBB">
                <w:pPr>
                  <w:rPr>
                    <w:rFonts w:hint="eastAsia"/>
                    <w:color w:val="000000"/>
                  </w:rPr>
                </w:pPr>
                <w:r>
                  <w:rPr>
                    <w:rFonts w:hint="eastAsia"/>
                    <w:color w:val="000000"/>
                  </w:rPr>
                  <w:t>二噁英类</w:t>
                </w:r>
              </w:p>
            </w:tc>
            <w:tc>
              <w:tcPr>
                <w:tcW w:w="1559" w:type="dxa"/>
                <w:tcBorders>
                  <w:top w:val="single" w:sz="4" w:space="0" w:color="000000"/>
                  <w:left w:val="nil"/>
                  <w:bottom w:val="single" w:sz="4" w:space="0" w:color="000000"/>
                  <w:right w:val="single" w:sz="4" w:space="0" w:color="000000"/>
                </w:tcBorders>
                <w:vAlign w:val="center"/>
              </w:tcPr>
              <w:p w14:paraId="2B5D1718" w14:textId="77777777" w:rsidR="002D0AE7" w:rsidRDefault="00333EBB">
                <w:pPr>
                  <w:rPr>
                    <w:rFonts w:hint="eastAsia"/>
                    <w:color w:val="000000"/>
                  </w:rPr>
                </w:pPr>
                <w:r>
                  <w:rPr>
                    <w:rFonts w:cs="Calibri" w:hint="eastAsia"/>
                    <w:color w:val="000000"/>
                  </w:rPr>
                  <w:t>0.1ng-TEQ/m</w:t>
                </w:r>
                <w:r>
                  <w:rPr>
                    <w:rFonts w:hint="eastAsia"/>
                    <w:color w:val="000000"/>
                  </w:rPr>
                  <w:t>³</w:t>
                </w:r>
              </w:p>
            </w:tc>
            <w:tc>
              <w:tcPr>
                <w:tcW w:w="3119" w:type="dxa"/>
                <w:tcBorders>
                  <w:top w:val="single" w:sz="4" w:space="0" w:color="000000"/>
                  <w:left w:val="nil"/>
                  <w:bottom w:val="single" w:sz="4" w:space="0" w:color="000000"/>
                  <w:right w:val="single" w:sz="4" w:space="0" w:color="000000"/>
                </w:tcBorders>
                <w:vAlign w:val="center"/>
              </w:tcPr>
              <w:p w14:paraId="2D4BB296" w14:textId="77777777" w:rsidR="002D0AE7" w:rsidRDefault="00333EBB">
                <w:pPr>
                  <w:rPr>
                    <w:rFonts w:hint="eastAsia"/>
                    <w:color w:val="000000"/>
                  </w:rPr>
                </w:pPr>
                <w:r>
                  <w:rPr>
                    <w:rFonts w:hint="eastAsia"/>
                    <w:color w:val="000000"/>
                  </w:rPr>
                  <w:t>《环境空气和废气二噁英类的测定同位素稀释高分辨气相色谱－高分辨质谱法》</w:t>
                </w:r>
                <w:r>
                  <w:rPr>
                    <w:rFonts w:cs="Calibri" w:hint="eastAsia"/>
                    <w:color w:val="000000"/>
                  </w:rPr>
                  <w:t>HJ77.2</w:t>
                </w:r>
                <w:r>
                  <w:rPr>
                    <w:rFonts w:hint="eastAsia"/>
                    <w:color w:val="000000"/>
                  </w:rPr>
                  <w:t>－</w:t>
                </w:r>
                <w:r>
                  <w:rPr>
                    <w:rFonts w:cs="Calibri" w:hint="eastAsia"/>
                    <w:color w:val="000000"/>
                  </w:rPr>
                  <w:t>2008</w:t>
                </w:r>
              </w:p>
            </w:tc>
            <w:tc>
              <w:tcPr>
                <w:tcW w:w="1891" w:type="dxa"/>
                <w:tcBorders>
                  <w:top w:val="single" w:sz="4" w:space="0" w:color="000000"/>
                  <w:left w:val="nil"/>
                  <w:bottom w:val="single" w:sz="4" w:space="0" w:color="000000"/>
                  <w:right w:val="single" w:sz="4" w:space="0" w:color="000000"/>
                </w:tcBorders>
                <w:vAlign w:val="center"/>
              </w:tcPr>
              <w:p w14:paraId="4C0EE72E" w14:textId="77777777" w:rsidR="002D0AE7" w:rsidRDefault="00333EBB">
                <w:pPr>
                  <w:rPr>
                    <w:rFonts w:hint="eastAsia"/>
                    <w:color w:val="000000"/>
                  </w:rPr>
                </w:pPr>
                <w:r>
                  <w:rPr>
                    <w:rFonts w:hint="eastAsia"/>
                    <w:color w:val="000000"/>
                  </w:rPr>
                  <w:t>高分辨气磁质谱</w:t>
                </w:r>
              </w:p>
            </w:tc>
            <w:tc>
              <w:tcPr>
                <w:tcW w:w="697" w:type="dxa"/>
                <w:tcBorders>
                  <w:top w:val="single" w:sz="4" w:space="0" w:color="000000"/>
                  <w:left w:val="nil"/>
                  <w:bottom w:val="single" w:sz="4" w:space="0" w:color="000000"/>
                  <w:right w:val="single" w:sz="4" w:space="0" w:color="000000"/>
                </w:tcBorders>
                <w:vAlign w:val="center"/>
              </w:tcPr>
              <w:p w14:paraId="72C79C82" w14:textId="77777777" w:rsidR="002D0AE7" w:rsidRDefault="00333EBB">
                <w:pPr>
                  <w:rPr>
                    <w:rFonts w:hint="eastAsia"/>
                    <w:color w:val="000000"/>
                  </w:rPr>
                </w:pPr>
                <w:r>
                  <w:rPr>
                    <w:rFonts w:hint="eastAsia"/>
                    <w:color w:val="000000"/>
                  </w:rPr>
                  <w:t>每年一次</w:t>
                </w:r>
              </w:p>
            </w:tc>
            <w:tc>
              <w:tcPr>
                <w:tcW w:w="1977" w:type="dxa"/>
                <w:tcBorders>
                  <w:top w:val="single" w:sz="4" w:space="0" w:color="000000"/>
                  <w:left w:val="nil"/>
                  <w:bottom w:val="single" w:sz="4" w:space="0" w:color="000000"/>
                  <w:right w:val="single" w:sz="4" w:space="0" w:color="000000"/>
                </w:tcBorders>
                <w:vAlign w:val="center"/>
              </w:tcPr>
              <w:p w14:paraId="6ECC2E65" w14:textId="77777777" w:rsidR="002D0AE7" w:rsidRDefault="00333EBB">
                <w:pPr>
                  <w:rPr>
                    <w:rFonts w:hint="eastAsia"/>
                    <w:color w:val="000000"/>
                  </w:rPr>
                </w:pPr>
                <w:r>
                  <w:rPr>
                    <w:rFonts w:hint="eastAsia"/>
                    <w:color w:val="000000"/>
                  </w:rPr>
                  <w:t>非连续采样</w:t>
                </w:r>
                <w:r>
                  <w:rPr>
                    <w:rFonts w:cs="Calibri" w:hint="eastAsia"/>
                    <w:color w:val="000000"/>
                  </w:rPr>
                  <w:t>3</w:t>
                </w:r>
                <w:r>
                  <w:rPr>
                    <w:rFonts w:hint="eastAsia"/>
                    <w:color w:val="000000"/>
                  </w:rPr>
                  <w:t>个</w:t>
                </w:r>
              </w:p>
            </w:tc>
          </w:tr>
          <w:tr w:rsidR="002D0AE7" w14:paraId="39C69BF5" w14:textId="77777777">
            <w:trPr>
              <w:trHeight w:val="1644"/>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2DE23026" w14:textId="77777777" w:rsidR="002D0AE7" w:rsidRDefault="00333EBB">
                <w:pPr>
                  <w:rPr>
                    <w:rFonts w:hint="eastAsia"/>
                    <w:color w:val="000000"/>
                  </w:rPr>
                </w:pPr>
                <w:r>
                  <w:rPr>
                    <w:rFonts w:hint="eastAsia"/>
                    <w:color w:val="000000"/>
                  </w:rPr>
                  <w:t>二氧化硫</w:t>
                </w:r>
              </w:p>
            </w:tc>
            <w:tc>
              <w:tcPr>
                <w:tcW w:w="1559" w:type="dxa"/>
                <w:tcBorders>
                  <w:top w:val="single" w:sz="4" w:space="0" w:color="000000"/>
                  <w:left w:val="nil"/>
                  <w:bottom w:val="single" w:sz="4" w:space="0" w:color="000000"/>
                  <w:right w:val="single" w:sz="4" w:space="0" w:color="000000"/>
                </w:tcBorders>
                <w:vAlign w:val="center"/>
              </w:tcPr>
              <w:p w14:paraId="595DF37A" w14:textId="77777777" w:rsidR="002D0AE7" w:rsidRDefault="00333EBB">
                <w:pPr>
                  <w:rPr>
                    <w:rFonts w:hint="eastAsia"/>
                    <w:color w:val="000000"/>
                  </w:rPr>
                </w:pPr>
                <w:r>
                  <w:rPr>
                    <w:rFonts w:cs="Calibri" w:hint="eastAsia"/>
                    <w:color w:val="000000"/>
                  </w:rPr>
                  <w:t>200mg/Nm</w:t>
                </w:r>
                <w:r>
                  <w:rPr>
                    <w:rFonts w:hint="eastAsia"/>
                    <w:color w:val="000000"/>
                  </w:rPr>
                  <w:t>³</w:t>
                </w:r>
              </w:p>
            </w:tc>
            <w:tc>
              <w:tcPr>
                <w:tcW w:w="3119" w:type="dxa"/>
                <w:tcBorders>
                  <w:top w:val="single" w:sz="4" w:space="0" w:color="000000"/>
                  <w:left w:val="nil"/>
                  <w:bottom w:val="single" w:sz="4" w:space="0" w:color="000000"/>
                  <w:right w:val="single" w:sz="4" w:space="0" w:color="000000"/>
                </w:tcBorders>
                <w:vAlign w:val="center"/>
              </w:tcPr>
              <w:p w14:paraId="045268B7" w14:textId="77777777" w:rsidR="002D0AE7" w:rsidRDefault="00333EBB">
                <w:pPr>
                  <w:rPr>
                    <w:rFonts w:hint="eastAsia"/>
                    <w:color w:val="000000"/>
                  </w:rPr>
                </w:pPr>
                <w:r>
                  <w:rPr>
                    <w:rFonts w:hint="eastAsia"/>
                    <w:color w:val="000000"/>
                  </w:rPr>
                  <w:t>《固定污染源废气二氧化硫的测定定电位电解法》</w:t>
                </w:r>
                <w:r>
                  <w:rPr>
                    <w:rFonts w:cs="Calibri" w:hint="eastAsia"/>
                    <w:color w:val="000000"/>
                  </w:rPr>
                  <w:t>HJ57-2017</w:t>
                </w:r>
              </w:p>
            </w:tc>
            <w:tc>
              <w:tcPr>
                <w:tcW w:w="1891" w:type="dxa"/>
                <w:tcBorders>
                  <w:top w:val="single" w:sz="4" w:space="0" w:color="000000"/>
                  <w:left w:val="nil"/>
                  <w:bottom w:val="single" w:sz="4" w:space="0" w:color="000000"/>
                  <w:right w:val="single" w:sz="4" w:space="0" w:color="000000"/>
                </w:tcBorders>
                <w:vAlign w:val="center"/>
              </w:tcPr>
              <w:p w14:paraId="6887DC57" w14:textId="77777777" w:rsidR="002D0AE7" w:rsidRDefault="00333EBB">
                <w:pPr>
                  <w:rPr>
                    <w:rFonts w:hint="eastAsia"/>
                    <w:color w:val="000000"/>
                  </w:rPr>
                </w:pPr>
                <w:r>
                  <w:rPr>
                    <w:rFonts w:hint="eastAsia"/>
                    <w:color w:val="000000"/>
                  </w:rPr>
                  <w:t>大流量烟尘（气）测试仪</w:t>
                </w:r>
              </w:p>
            </w:tc>
            <w:tc>
              <w:tcPr>
                <w:tcW w:w="697" w:type="dxa"/>
                <w:tcBorders>
                  <w:top w:val="single" w:sz="4" w:space="0" w:color="000000"/>
                  <w:left w:val="nil"/>
                  <w:bottom w:val="single" w:sz="4" w:space="0" w:color="000000"/>
                  <w:right w:val="single" w:sz="4" w:space="0" w:color="000000"/>
                </w:tcBorders>
                <w:vAlign w:val="center"/>
              </w:tcPr>
              <w:p w14:paraId="3F1CE7B9" w14:textId="77777777" w:rsidR="002D0AE7" w:rsidRDefault="00333EBB">
                <w:pPr>
                  <w:rPr>
                    <w:rFonts w:hint="eastAsia"/>
                    <w:color w:val="000000"/>
                  </w:rPr>
                </w:pPr>
                <w:r>
                  <w:rPr>
                    <w:rFonts w:hint="eastAsia"/>
                    <w:color w:val="000000"/>
                  </w:rPr>
                  <w:t>每年一次</w:t>
                </w:r>
              </w:p>
            </w:tc>
            <w:tc>
              <w:tcPr>
                <w:tcW w:w="1977" w:type="dxa"/>
                <w:tcBorders>
                  <w:top w:val="single" w:sz="4" w:space="0" w:color="000000"/>
                  <w:left w:val="nil"/>
                  <w:bottom w:val="single" w:sz="4" w:space="0" w:color="000000"/>
                  <w:right w:val="single" w:sz="4" w:space="0" w:color="000000"/>
                </w:tcBorders>
                <w:vAlign w:val="center"/>
              </w:tcPr>
              <w:p w14:paraId="52F2702F" w14:textId="77777777" w:rsidR="002D0AE7" w:rsidRDefault="00333EBB">
                <w:pPr>
                  <w:rPr>
                    <w:rFonts w:hint="eastAsia"/>
                    <w:color w:val="000000"/>
                  </w:rPr>
                </w:pPr>
                <w:r>
                  <w:rPr>
                    <w:rFonts w:hint="eastAsia"/>
                    <w:color w:val="000000"/>
                  </w:rPr>
                  <w:t>非连续采样</w:t>
                </w:r>
                <w:r>
                  <w:rPr>
                    <w:rFonts w:cs="Calibri" w:hint="eastAsia"/>
                    <w:color w:val="000000"/>
                  </w:rPr>
                  <w:t>3</w:t>
                </w:r>
                <w:r>
                  <w:rPr>
                    <w:rFonts w:hint="eastAsia"/>
                    <w:color w:val="000000"/>
                  </w:rPr>
                  <w:t>个</w:t>
                </w:r>
              </w:p>
            </w:tc>
          </w:tr>
          <w:tr w:rsidR="002D0AE7" w14:paraId="6488B9C7" w14:textId="77777777">
            <w:trPr>
              <w:trHeight w:val="519"/>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1359DA87" w14:textId="77777777" w:rsidR="002D0AE7" w:rsidRDefault="00333EBB">
                <w:pPr>
                  <w:rPr>
                    <w:rFonts w:hint="eastAsia"/>
                    <w:color w:val="000000"/>
                  </w:rPr>
                </w:pPr>
                <w:r>
                  <w:rPr>
                    <w:rFonts w:hint="eastAsia"/>
                    <w:color w:val="000000"/>
                  </w:rPr>
                  <w:t>苯系物</w:t>
                </w:r>
              </w:p>
            </w:tc>
            <w:tc>
              <w:tcPr>
                <w:tcW w:w="1559" w:type="dxa"/>
                <w:tcBorders>
                  <w:top w:val="single" w:sz="4" w:space="0" w:color="000000"/>
                  <w:left w:val="nil"/>
                  <w:bottom w:val="single" w:sz="4" w:space="0" w:color="000000"/>
                  <w:right w:val="single" w:sz="4" w:space="0" w:color="000000"/>
                </w:tcBorders>
                <w:vAlign w:val="center"/>
              </w:tcPr>
              <w:p w14:paraId="79211C52" w14:textId="77777777" w:rsidR="002D0AE7" w:rsidRDefault="00333EBB">
                <w:pPr>
                  <w:rPr>
                    <w:rFonts w:hint="eastAsia"/>
                    <w:color w:val="000000"/>
                  </w:rPr>
                </w:pPr>
                <w:r>
                  <w:rPr>
                    <w:rFonts w:cs="Calibri" w:hint="eastAsia"/>
                    <w:color w:val="000000"/>
                  </w:rPr>
                  <w:t>40mg/Nm</w:t>
                </w:r>
                <w:r>
                  <w:rPr>
                    <w:rFonts w:cs="Calibri" w:hint="eastAsia"/>
                    <w:color w:val="000000"/>
                    <w:vertAlign w:val="superscript"/>
                  </w:rPr>
                  <w:t>3</w:t>
                </w:r>
              </w:p>
            </w:tc>
            <w:tc>
              <w:tcPr>
                <w:tcW w:w="3119" w:type="dxa"/>
                <w:tcBorders>
                  <w:top w:val="single" w:sz="4" w:space="0" w:color="000000"/>
                  <w:left w:val="nil"/>
                  <w:bottom w:val="single" w:sz="4" w:space="0" w:color="000000"/>
                  <w:right w:val="single" w:sz="4" w:space="0" w:color="000000"/>
                </w:tcBorders>
                <w:vAlign w:val="center"/>
              </w:tcPr>
              <w:p w14:paraId="0648673C" w14:textId="77777777" w:rsidR="002D0AE7" w:rsidRDefault="00333EBB">
                <w:pPr>
                  <w:rPr>
                    <w:rFonts w:hint="eastAsia"/>
                    <w:color w:val="000000"/>
                  </w:rPr>
                </w:pPr>
                <w:r>
                  <w:rPr>
                    <w:rFonts w:hint="eastAsia"/>
                    <w:color w:val="000000"/>
                  </w:rPr>
                  <w:t>《固定污染源废气苯系物的测定气袋采样</w:t>
                </w:r>
                <w:r>
                  <w:rPr>
                    <w:rFonts w:cs="Calibri" w:hint="eastAsia"/>
                    <w:color w:val="000000"/>
                  </w:rPr>
                  <w:t>/</w:t>
                </w:r>
                <w:r>
                  <w:rPr>
                    <w:rFonts w:hint="eastAsia"/>
                    <w:color w:val="000000"/>
                  </w:rPr>
                  <w:t>直接进样</w:t>
                </w:r>
                <w:r>
                  <w:rPr>
                    <w:rFonts w:cs="Calibri" w:hint="eastAsia"/>
                    <w:color w:val="000000"/>
                  </w:rPr>
                  <w:t>-</w:t>
                </w:r>
                <w:r>
                  <w:rPr>
                    <w:rFonts w:hint="eastAsia"/>
                    <w:color w:val="000000"/>
                  </w:rPr>
                  <w:t>气相色谱法》</w:t>
                </w:r>
                <w:r>
                  <w:rPr>
                    <w:rFonts w:cs="Calibri" w:hint="eastAsia"/>
                    <w:color w:val="000000"/>
                  </w:rPr>
                  <w:t>HJ1261-2022</w:t>
                </w:r>
              </w:p>
            </w:tc>
            <w:tc>
              <w:tcPr>
                <w:tcW w:w="1891" w:type="dxa"/>
                <w:tcBorders>
                  <w:top w:val="single" w:sz="4" w:space="0" w:color="000000"/>
                  <w:left w:val="nil"/>
                  <w:bottom w:val="single" w:sz="4" w:space="0" w:color="000000"/>
                  <w:right w:val="single" w:sz="4" w:space="0" w:color="000000"/>
                </w:tcBorders>
                <w:vAlign w:val="center"/>
              </w:tcPr>
              <w:p w14:paraId="22AD1C93" w14:textId="77777777" w:rsidR="002D0AE7" w:rsidRDefault="00333EBB">
                <w:pPr>
                  <w:rPr>
                    <w:rFonts w:hint="eastAsia"/>
                    <w:color w:val="000000"/>
                  </w:rPr>
                </w:pPr>
                <w:r>
                  <w:rPr>
                    <w:rFonts w:hint="eastAsia"/>
                    <w:color w:val="000000"/>
                  </w:rPr>
                  <w:t>气相色谱仪</w:t>
                </w:r>
              </w:p>
            </w:tc>
            <w:tc>
              <w:tcPr>
                <w:tcW w:w="697" w:type="dxa"/>
                <w:tcBorders>
                  <w:top w:val="single" w:sz="4" w:space="0" w:color="000000"/>
                  <w:left w:val="nil"/>
                  <w:bottom w:val="single" w:sz="4" w:space="0" w:color="000000"/>
                  <w:right w:val="single" w:sz="4" w:space="0" w:color="000000"/>
                </w:tcBorders>
                <w:vAlign w:val="center"/>
              </w:tcPr>
              <w:p w14:paraId="662DFA95" w14:textId="77777777" w:rsidR="002D0AE7" w:rsidRDefault="00333EBB">
                <w:pPr>
                  <w:rPr>
                    <w:rFonts w:hint="eastAsia"/>
                    <w:color w:val="000000"/>
                  </w:rPr>
                </w:pPr>
                <w:r>
                  <w:rPr>
                    <w:rFonts w:hint="eastAsia"/>
                    <w:color w:val="000000"/>
                  </w:rPr>
                  <w:t>每年一次</w:t>
                </w:r>
              </w:p>
            </w:tc>
            <w:tc>
              <w:tcPr>
                <w:tcW w:w="1977" w:type="dxa"/>
                <w:tcBorders>
                  <w:top w:val="single" w:sz="4" w:space="0" w:color="000000"/>
                  <w:left w:val="nil"/>
                  <w:bottom w:val="single" w:sz="4" w:space="0" w:color="000000"/>
                  <w:right w:val="single" w:sz="4" w:space="0" w:color="000000"/>
                </w:tcBorders>
                <w:vAlign w:val="center"/>
              </w:tcPr>
              <w:p w14:paraId="0CF31567" w14:textId="77777777" w:rsidR="002D0AE7" w:rsidRDefault="00333EBB">
                <w:pPr>
                  <w:rPr>
                    <w:rFonts w:hint="eastAsia"/>
                    <w:color w:val="000000"/>
                  </w:rPr>
                </w:pPr>
                <w:r>
                  <w:rPr>
                    <w:rFonts w:hint="eastAsia"/>
                    <w:color w:val="000000"/>
                  </w:rPr>
                  <w:t>非连续采样</w:t>
                </w:r>
                <w:r>
                  <w:rPr>
                    <w:rFonts w:cs="Calibri" w:hint="eastAsia"/>
                    <w:color w:val="000000"/>
                  </w:rPr>
                  <w:t>3</w:t>
                </w:r>
                <w:r>
                  <w:rPr>
                    <w:rFonts w:hint="eastAsia"/>
                    <w:color w:val="000000"/>
                  </w:rPr>
                  <w:t>个</w:t>
                </w:r>
              </w:p>
            </w:tc>
          </w:tr>
          <w:tr w:rsidR="002D0AE7" w14:paraId="6519684F" w14:textId="77777777">
            <w:trPr>
              <w:trHeight w:val="540"/>
            </w:trPr>
            <w:tc>
              <w:tcPr>
                <w:tcW w:w="1135" w:type="dxa"/>
                <w:gridSpan w:val="2"/>
                <w:tcBorders>
                  <w:top w:val="single" w:sz="4" w:space="0" w:color="000000"/>
                  <w:left w:val="single" w:sz="4" w:space="0" w:color="000000"/>
                  <w:bottom w:val="single" w:sz="4" w:space="0" w:color="000000"/>
                  <w:right w:val="single" w:sz="4" w:space="0" w:color="000000"/>
                </w:tcBorders>
                <w:vAlign w:val="center"/>
              </w:tcPr>
              <w:p w14:paraId="6C4BEB52" w14:textId="77777777" w:rsidR="002D0AE7" w:rsidRDefault="00333EBB">
                <w:pPr>
                  <w:rPr>
                    <w:rFonts w:hint="eastAsia"/>
                    <w:color w:val="000000"/>
                  </w:rPr>
                </w:pPr>
                <w:r>
                  <w:rPr>
                    <w:rFonts w:hint="eastAsia"/>
                    <w:color w:val="000000"/>
                  </w:rPr>
                  <w:t>硫化氢</w:t>
                </w:r>
              </w:p>
            </w:tc>
            <w:tc>
              <w:tcPr>
                <w:tcW w:w="1559" w:type="dxa"/>
                <w:tcBorders>
                  <w:top w:val="single" w:sz="4" w:space="0" w:color="000000"/>
                  <w:left w:val="nil"/>
                  <w:bottom w:val="single" w:sz="4" w:space="0" w:color="000000"/>
                  <w:right w:val="single" w:sz="4" w:space="0" w:color="000000"/>
                </w:tcBorders>
                <w:vAlign w:val="center"/>
              </w:tcPr>
              <w:p w14:paraId="378F9570" w14:textId="77777777" w:rsidR="002D0AE7" w:rsidRDefault="00333EBB">
                <w:pPr>
                  <w:rPr>
                    <w:rFonts w:hint="eastAsia"/>
                    <w:color w:val="000000"/>
                  </w:rPr>
                </w:pPr>
                <w:r>
                  <w:rPr>
                    <w:rFonts w:cs="Calibri" w:hint="eastAsia"/>
                    <w:color w:val="000000"/>
                  </w:rPr>
                  <w:t>5mg/Nm</w:t>
                </w:r>
                <w:r>
                  <w:rPr>
                    <w:rFonts w:hint="eastAsia"/>
                    <w:color w:val="000000"/>
                  </w:rPr>
                  <w:t>³</w:t>
                </w:r>
              </w:p>
            </w:tc>
            <w:tc>
              <w:tcPr>
                <w:tcW w:w="3119" w:type="dxa"/>
                <w:tcBorders>
                  <w:top w:val="single" w:sz="4" w:space="0" w:color="000000"/>
                  <w:left w:val="nil"/>
                  <w:bottom w:val="single" w:sz="4" w:space="0" w:color="000000"/>
                  <w:right w:val="single" w:sz="4" w:space="0" w:color="000000"/>
                </w:tcBorders>
                <w:vAlign w:val="center"/>
              </w:tcPr>
              <w:p w14:paraId="1A64ABDA" w14:textId="77777777" w:rsidR="002D0AE7" w:rsidRDefault="00333EBB">
                <w:pPr>
                  <w:rPr>
                    <w:rFonts w:hint="eastAsia"/>
                    <w:color w:val="000000"/>
                  </w:rPr>
                </w:pPr>
                <w:r>
                  <w:rPr>
                    <w:rFonts w:hint="eastAsia"/>
                    <w:color w:val="000000"/>
                  </w:rPr>
                  <w:t>亚甲基蓝分光光度法《空气和废气监测分析方法》</w:t>
                </w:r>
                <w:r>
                  <w:rPr>
                    <w:rFonts w:cs="Calibri" w:hint="eastAsia"/>
                    <w:color w:val="000000"/>
                  </w:rPr>
                  <w:t>(</w:t>
                </w:r>
                <w:r>
                  <w:rPr>
                    <w:rFonts w:hint="eastAsia"/>
                    <w:color w:val="000000"/>
                  </w:rPr>
                  <w:t>第</w:t>
                </w:r>
                <w:r>
                  <w:rPr>
                    <w:rFonts w:hint="eastAsia"/>
                    <w:color w:val="000000"/>
                  </w:rPr>
                  <w:lastRenderedPageBreak/>
                  <w:t>四版</w:t>
                </w:r>
                <w:r>
                  <w:rPr>
                    <w:rFonts w:cs="Calibri" w:hint="eastAsia"/>
                    <w:color w:val="000000"/>
                  </w:rPr>
                  <w:t>)</w:t>
                </w:r>
                <w:r>
                  <w:rPr>
                    <w:rFonts w:hint="eastAsia"/>
                    <w:color w:val="000000"/>
                  </w:rPr>
                  <w:t>国家环保总局</w:t>
                </w:r>
                <w:r>
                  <w:rPr>
                    <w:rFonts w:cs="Calibri" w:hint="eastAsia"/>
                    <w:color w:val="000000"/>
                  </w:rPr>
                  <w:t>2003</w:t>
                </w:r>
                <w:r>
                  <w:rPr>
                    <w:rFonts w:hint="eastAsia"/>
                    <w:color w:val="000000"/>
                  </w:rPr>
                  <w:t>年第五篇、第四章、十</w:t>
                </w:r>
                <w:r>
                  <w:rPr>
                    <w:rFonts w:cs="Calibri" w:hint="eastAsia"/>
                    <w:color w:val="000000"/>
                  </w:rPr>
                  <w:t>(</w:t>
                </w:r>
                <w:r>
                  <w:rPr>
                    <w:rFonts w:hint="eastAsia"/>
                    <w:color w:val="000000"/>
                  </w:rPr>
                  <w:t>三</w:t>
                </w:r>
                <w:r>
                  <w:rPr>
                    <w:rFonts w:cs="Calibri" w:hint="eastAsia"/>
                    <w:color w:val="000000"/>
                  </w:rPr>
                  <w:t>)</w:t>
                </w:r>
              </w:p>
            </w:tc>
            <w:tc>
              <w:tcPr>
                <w:tcW w:w="1891" w:type="dxa"/>
                <w:tcBorders>
                  <w:top w:val="single" w:sz="4" w:space="0" w:color="000000"/>
                  <w:left w:val="nil"/>
                  <w:bottom w:val="single" w:sz="4" w:space="0" w:color="000000"/>
                  <w:right w:val="single" w:sz="4" w:space="0" w:color="000000"/>
                </w:tcBorders>
                <w:vAlign w:val="center"/>
              </w:tcPr>
              <w:p w14:paraId="23218C95" w14:textId="77777777" w:rsidR="002D0AE7" w:rsidRDefault="00333EBB">
                <w:pPr>
                  <w:rPr>
                    <w:rFonts w:hint="eastAsia"/>
                    <w:color w:val="000000"/>
                  </w:rPr>
                </w:pPr>
                <w:r>
                  <w:rPr>
                    <w:rFonts w:hint="eastAsia"/>
                    <w:color w:val="000000"/>
                  </w:rPr>
                  <w:lastRenderedPageBreak/>
                  <w:t>紫外可见分光光度计</w:t>
                </w:r>
              </w:p>
            </w:tc>
            <w:tc>
              <w:tcPr>
                <w:tcW w:w="697" w:type="dxa"/>
                <w:tcBorders>
                  <w:top w:val="single" w:sz="4" w:space="0" w:color="000000"/>
                  <w:left w:val="nil"/>
                  <w:bottom w:val="single" w:sz="4" w:space="0" w:color="000000"/>
                  <w:right w:val="single" w:sz="4" w:space="0" w:color="000000"/>
                </w:tcBorders>
                <w:vAlign w:val="center"/>
              </w:tcPr>
              <w:p w14:paraId="591B076B" w14:textId="77777777" w:rsidR="002D0AE7" w:rsidRDefault="00333EBB">
                <w:pPr>
                  <w:rPr>
                    <w:rFonts w:hint="eastAsia"/>
                    <w:color w:val="000000"/>
                  </w:rPr>
                </w:pPr>
                <w:r>
                  <w:rPr>
                    <w:rFonts w:hint="eastAsia"/>
                    <w:color w:val="000000"/>
                  </w:rPr>
                  <w:t>每年一次</w:t>
                </w:r>
              </w:p>
            </w:tc>
            <w:tc>
              <w:tcPr>
                <w:tcW w:w="1977" w:type="dxa"/>
                <w:tcBorders>
                  <w:top w:val="single" w:sz="4" w:space="0" w:color="000000"/>
                  <w:left w:val="nil"/>
                  <w:bottom w:val="single" w:sz="4" w:space="0" w:color="000000"/>
                  <w:right w:val="single" w:sz="4" w:space="0" w:color="000000"/>
                </w:tcBorders>
                <w:vAlign w:val="center"/>
              </w:tcPr>
              <w:p w14:paraId="7CF88529" w14:textId="77777777" w:rsidR="002D0AE7" w:rsidRDefault="00333EBB">
                <w:pPr>
                  <w:rPr>
                    <w:rFonts w:hint="eastAsia"/>
                    <w:color w:val="000000"/>
                  </w:rPr>
                </w:pPr>
                <w:r>
                  <w:rPr>
                    <w:rFonts w:hint="eastAsia"/>
                    <w:color w:val="000000"/>
                  </w:rPr>
                  <w:t>非连续采样</w:t>
                </w:r>
                <w:r>
                  <w:rPr>
                    <w:rFonts w:cs="Calibri" w:hint="eastAsia"/>
                    <w:color w:val="000000"/>
                  </w:rPr>
                  <w:t>3</w:t>
                </w:r>
                <w:r>
                  <w:rPr>
                    <w:rFonts w:hint="eastAsia"/>
                    <w:color w:val="000000"/>
                  </w:rPr>
                  <w:t>个</w:t>
                </w:r>
              </w:p>
            </w:tc>
          </w:tr>
          <w:tr w:rsidR="002D0AE7" w14:paraId="5A107F7D" w14:textId="77777777">
            <w:trPr>
              <w:trHeight w:val="280"/>
            </w:trPr>
            <w:tc>
              <w:tcPr>
                <w:tcW w:w="10378" w:type="dxa"/>
                <w:gridSpan w:val="7"/>
                <w:tcBorders>
                  <w:top w:val="single" w:sz="4" w:space="0" w:color="000000"/>
                  <w:left w:val="single" w:sz="4" w:space="0" w:color="000000"/>
                  <w:bottom w:val="single" w:sz="4" w:space="0" w:color="000000"/>
                  <w:right w:val="single" w:sz="4" w:space="0" w:color="000000"/>
                </w:tcBorders>
                <w:vAlign w:val="center"/>
              </w:tcPr>
              <w:p w14:paraId="1AC386A1" w14:textId="77777777" w:rsidR="002D0AE7" w:rsidRDefault="00333EBB">
                <w:pPr>
                  <w:jc w:val="center"/>
                  <w:rPr>
                    <w:rFonts w:hint="eastAsia"/>
                    <w:color w:val="000000"/>
                  </w:rPr>
                </w:pPr>
                <w:r>
                  <w:rPr>
                    <w:rFonts w:hint="eastAsia"/>
                    <w:color w:val="000000"/>
                  </w:rPr>
                  <w:t>排放标准</w:t>
                </w:r>
              </w:p>
            </w:tc>
          </w:tr>
          <w:tr w:rsidR="002D0AE7" w14:paraId="4FF34C6A" w14:textId="77777777">
            <w:trPr>
              <w:trHeight w:val="280"/>
            </w:trPr>
            <w:tc>
              <w:tcPr>
                <w:tcW w:w="10378" w:type="dxa"/>
                <w:gridSpan w:val="7"/>
                <w:tcBorders>
                  <w:top w:val="single" w:sz="4" w:space="0" w:color="000000"/>
                  <w:left w:val="single" w:sz="4" w:space="0" w:color="000000"/>
                  <w:bottom w:val="single" w:sz="4" w:space="0" w:color="000000"/>
                  <w:right w:val="single" w:sz="4" w:space="0" w:color="000000"/>
                </w:tcBorders>
                <w:vAlign w:val="center"/>
              </w:tcPr>
              <w:p w14:paraId="45F7D6AC" w14:textId="77777777" w:rsidR="002D0AE7" w:rsidRDefault="00333EBB">
                <w:pPr>
                  <w:jc w:val="center"/>
                  <w:rPr>
                    <w:rFonts w:hint="eastAsia"/>
                    <w:color w:val="000000"/>
                  </w:rPr>
                </w:pPr>
                <w:r>
                  <w:rPr>
                    <w:rFonts w:hint="eastAsia"/>
                    <w:color w:val="000000"/>
                  </w:rPr>
                  <w:t>《制药工业大气污染物排放标准》</w:t>
                </w:r>
                <w:r>
                  <w:rPr>
                    <w:rFonts w:cs="Calibri" w:hint="eastAsia"/>
                    <w:color w:val="000000"/>
                  </w:rPr>
                  <w:t>GB37823</w:t>
                </w:r>
                <w:r>
                  <w:rPr>
                    <w:rFonts w:hint="eastAsia"/>
                    <w:color w:val="000000"/>
                  </w:rPr>
                  <w:t>—</w:t>
                </w:r>
                <w:r>
                  <w:rPr>
                    <w:rFonts w:cs="Calibri" w:hint="eastAsia"/>
                    <w:color w:val="000000"/>
                  </w:rPr>
                  <w:t>2019</w:t>
                </w:r>
              </w:p>
            </w:tc>
          </w:tr>
          <w:tr w:rsidR="002D0AE7" w14:paraId="63E01697" w14:textId="77777777">
            <w:trPr>
              <w:trHeight w:val="540"/>
            </w:trPr>
            <w:tc>
              <w:tcPr>
                <w:tcW w:w="993" w:type="dxa"/>
                <w:tcBorders>
                  <w:top w:val="single" w:sz="4" w:space="0" w:color="000000"/>
                  <w:left w:val="single" w:sz="4" w:space="0" w:color="000000"/>
                  <w:bottom w:val="single" w:sz="4" w:space="0" w:color="000000"/>
                  <w:right w:val="single" w:sz="4" w:space="0" w:color="000000"/>
                </w:tcBorders>
                <w:vAlign w:val="center"/>
              </w:tcPr>
              <w:p w14:paraId="43C766BC" w14:textId="77777777" w:rsidR="002D0AE7" w:rsidRDefault="00333EBB">
                <w:pPr>
                  <w:rPr>
                    <w:rFonts w:hint="eastAsia"/>
                    <w:color w:val="000000"/>
                  </w:rPr>
                </w:pPr>
                <w:r>
                  <w:rPr>
                    <w:rFonts w:hint="eastAsia"/>
                    <w:color w:val="000000"/>
                  </w:rPr>
                  <w:t>甲醇</w:t>
                </w:r>
              </w:p>
            </w:tc>
            <w:tc>
              <w:tcPr>
                <w:tcW w:w="1701" w:type="dxa"/>
                <w:gridSpan w:val="2"/>
                <w:tcBorders>
                  <w:top w:val="single" w:sz="4" w:space="0" w:color="000000"/>
                  <w:left w:val="nil"/>
                  <w:bottom w:val="single" w:sz="4" w:space="0" w:color="000000"/>
                  <w:right w:val="single" w:sz="4" w:space="0" w:color="000000"/>
                </w:tcBorders>
                <w:vAlign w:val="center"/>
              </w:tcPr>
              <w:p w14:paraId="53BD072C" w14:textId="77777777" w:rsidR="002D0AE7" w:rsidRDefault="00333EBB">
                <w:pPr>
                  <w:rPr>
                    <w:rFonts w:hint="eastAsia"/>
                    <w:color w:val="000000"/>
                  </w:rPr>
                </w:pPr>
                <w:r>
                  <w:rPr>
                    <w:rFonts w:cs="Calibri" w:hint="eastAsia"/>
                    <w:color w:val="000000"/>
                  </w:rPr>
                  <w:t>190mg/Nm</w:t>
                </w:r>
                <w:r>
                  <w:rPr>
                    <w:rFonts w:cs="Calibri" w:hint="eastAsia"/>
                    <w:color w:val="000000"/>
                    <w:vertAlign w:val="superscript"/>
                  </w:rPr>
                  <w:t>3</w:t>
                </w:r>
              </w:p>
            </w:tc>
            <w:tc>
              <w:tcPr>
                <w:tcW w:w="3119" w:type="dxa"/>
                <w:tcBorders>
                  <w:top w:val="single" w:sz="4" w:space="0" w:color="000000"/>
                  <w:left w:val="nil"/>
                  <w:bottom w:val="single" w:sz="4" w:space="0" w:color="000000"/>
                  <w:right w:val="single" w:sz="4" w:space="0" w:color="000000"/>
                </w:tcBorders>
                <w:vAlign w:val="center"/>
              </w:tcPr>
              <w:p w14:paraId="15C90AC3" w14:textId="77777777" w:rsidR="002D0AE7" w:rsidRDefault="00333EBB">
                <w:pPr>
                  <w:rPr>
                    <w:rFonts w:hint="eastAsia"/>
                    <w:color w:val="000000"/>
                  </w:rPr>
                </w:pPr>
                <w:r>
                  <w:rPr>
                    <w:rFonts w:hint="eastAsia"/>
                    <w:color w:val="000000"/>
                  </w:rPr>
                  <w:t>《固定污染源排气中甲醇的测定气相色谱法》</w:t>
                </w:r>
                <w:r>
                  <w:rPr>
                    <w:rFonts w:cs="Calibri" w:hint="eastAsia"/>
                    <w:color w:val="000000"/>
                  </w:rPr>
                  <w:t>HJ/T33-1999</w:t>
                </w:r>
              </w:p>
            </w:tc>
            <w:tc>
              <w:tcPr>
                <w:tcW w:w="1891" w:type="dxa"/>
                <w:tcBorders>
                  <w:top w:val="single" w:sz="4" w:space="0" w:color="000000"/>
                  <w:left w:val="nil"/>
                  <w:bottom w:val="single" w:sz="4" w:space="0" w:color="000000"/>
                  <w:right w:val="single" w:sz="4" w:space="0" w:color="000000"/>
                </w:tcBorders>
                <w:vAlign w:val="center"/>
              </w:tcPr>
              <w:p w14:paraId="5CAEA445" w14:textId="77777777" w:rsidR="002D0AE7" w:rsidRDefault="00333EBB">
                <w:pPr>
                  <w:jc w:val="center"/>
                  <w:rPr>
                    <w:rFonts w:hint="eastAsia"/>
                    <w:color w:val="000000"/>
                  </w:rPr>
                </w:pPr>
                <w:r>
                  <w:rPr>
                    <w:rFonts w:hint="eastAsia"/>
                    <w:color w:val="000000"/>
                  </w:rPr>
                  <w:t>气相色谱仪</w:t>
                </w:r>
              </w:p>
            </w:tc>
            <w:tc>
              <w:tcPr>
                <w:tcW w:w="697" w:type="dxa"/>
                <w:tcBorders>
                  <w:top w:val="single" w:sz="4" w:space="0" w:color="000000"/>
                  <w:left w:val="nil"/>
                  <w:bottom w:val="single" w:sz="4" w:space="0" w:color="000000"/>
                  <w:right w:val="single" w:sz="4" w:space="0" w:color="000000"/>
                </w:tcBorders>
                <w:vAlign w:val="center"/>
              </w:tcPr>
              <w:p w14:paraId="32E0C535" w14:textId="77777777" w:rsidR="002D0AE7" w:rsidRDefault="00333EBB">
                <w:pPr>
                  <w:rPr>
                    <w:rFonts w:hint="eastAsia"/>
                    <w:color w:val="000000"/>
                  </w:rPr>
                </w:pPr>
                <w:r>
                  <w:rPr>
                    <w:rFonts w:hint="eastAsia"/>
                    <w:color w:val="000000"/>
                  </w:rPr>
                  <w:t>每年一次</w:t>
                </w:r>
              </w:p>
            </w:tc>
            <w:tc>
              <w:tcPr>
                <w:tcW w:w="1977" w:type="dxa"/>
                <w:tcBorders>
                  <w:top w:val="single" w:sz="4" w:space="0" w:color="000000"/>
                  <w:left w:val="nil"/>
                  <w:bottom w:val="single" w:sz="4" w:space="0" w:color="000000"/>
                  <w:right w:val="single" w:sz="4" w:space="0" w:color="000000"/>
                </w:tcBorders>
                <w:vAlign w:val="center"/>
              </w:tcPr>
              <w:p w14:paraId="73FA496F" w14:textId="77777777" w:rsidR="002D0AE7" w:rsidRDefault="00333EBB">
                <w:pPr>
                  <w:rPr>
                    <w:rFonts w:hint="eastAsia"/>
                    <w:color w:val="000000"/>
                  </w:rPr>
                </w:pPr>
                <w:r>
                  <w:rPr>
                    <w:rFonts w:hint="eastAsia"/>
                    <w:color w:val="000000"/>
                  </w:rPr>
                  <w:t>非连续采样</w:t>
                </w:r>
                <w:r>
                  <w:rPr>
                    <w:rFonts w:cs="Calibri" w:hint="eastAsia"/>
                    <w:color w:val="000000"/>
                  </w:rPr>
                  <w:t>3</w:t>
                </w:r>
                <w:r>
                  <w:rPr>
                    <w:rFonts w:hint="eastAsia"/>
                    <w:color w:val="000000"/>
                  </w:rPr>
                  <w:t>个</w:t>
                </w:r>
              </w:p>
            </w:tc>
          </w:tr>
          <w:tr w:rsidR="002D0AE7" w14:paraId="51442C03" w14:textId="77777777">
            <w:trPr>
              <w:trHeight w:val="540"/>
            </w:trPr>
            <w:tc>
              <w:tcPr>
                <w:tcW w:w="993" w:type="dxa"/>
                <w:tcBorders>
                  <w:top w:val="single" w:sz="4" w:space="0" w:color="000000"/>
                  <w:left w:val="single" w:sz="4" w:space="0" w:color="000000"/>
                  <w:bottom w:val="single" w:sz="4" w:space="0" w:color="000000"/>
                  <w:right w:val="single" w:sz="4" w:space="0" w:color="000000"/>
                </w:tcBorders>
                <w:vAlign w:val="center"/>
              </w:tcPr>
              <w:p w14:paraId="26CF9505" w14:textId="77777777" w:rsidR="002D0AE7" w:rsidRDefault="00333EBB">
                <w:pPr>
                  <w:rPr>
                    <w:rFonts w:hint="eastAsia"/>
                    <w:color w:val="000000"/>
                  </w:rPr>
                </w:pPr>
                <w:r>
                  <w:rPr>
                    <w:rFonts w:hint="eastAsia"/>
                    <w:color w:val="000000"/>
                  </w:rPr>
                  <w:t>氟化物</w:t>
                </w:r>
              </w:p>
            </w:tc>
            <w:tc>
              <w:tcPr>
                <w:tcW w:w="1701" w:type="dxa"/>
                <w:gridSpan w:val="2"/>
                <w:tcBorders>
                  <w:top w:val="single" w:sz="4" w:space="0" w:color="000000"/>
                  <w:left w:val="nil"/>
                  <w:bottom w:val="single" w:sz="4" w:space="0" w:color="000000"/>
                  <w:right w:val="single" w:sz="4" w:space="0" w:color="000000"/>
                </w:tcBorders>
                <w:vAlign w:val="center"/>
              </w:tcPr>
              <w:p w14:paraId="0494A574" w14:textId="77777777" w:rsidR="002D0AE7" w:rsidRDefault="00333EBB">
                <w:pPr>
                  <w:rPr>
                    <w:rFonts w:hint="eastAsia"/>
                    <w:color w:val="000000"/>
                  </w:rPr>
                </w:pPr>
                <w:r>
                  <w:rPr>
                    <w:rFonts w:cs="Calibri" w:hint="eastAsia"/>
                    <w:color w:val="000000"/>
                  </w:rPr>
                  <w:t>9.0mg/Nm</w:t>
                </w:r>
                <w:r>
                  <w:rPr>
                    <w:rFonts w:cs="Calibri" w:hint="eastAsia"/>
                    <w:color w:val="000000"/>
                    <w:vertAlign w:val="superscript"/>
                  </w:rPr>
                  <w:t>3</w:t>
                </w:r>
              </w:p>
            </w:tc>
            <w:tc>
              <w:tcPr>
                <w:tcW w:w="3119" w:type="dxa"/>
                <w:tcBorders>
                  <w:top w:val="single" w:sz="4" w:space="0" w:color="000000"/>
                  <w:left w:val="nil"/>
                  <w:bottom w:val="single" w:sz="4" w:space="0" w:color="000000"/>
                  <w:right w:val="single" w:sz="4" w:space="0" w:color="000000"/>
                </w:tcBorders>
                <w:vAlign w:val="center"/>
              </w:tcPr>
              <w:p w14:paraId="559C154D" w14:textId="77777777" w:rsidR="002D0AE7" w:rsidRDefault="00333EBB">
                <w:pPr>
                  <w:rPr>
                    <w:rFonts w:hint="eastAsia"/>
                    <w:color w:val="000000"/>
                  </w:rPr>
                </w:pPr>
                <w:r>
                  <w:rPr>
                    <w:rFonts w:hint="eastAsia"/>
                    <w:color w:val="000000"/>
                  </w:rPr>
                  <w:t>《大气固定污染源氟化物的测定离子选择电极法》</w:t>
                </w:r>
                <w:r>
                  <w:rPr>
                    <w:rFonts w:cs="Calibri" w:hint="eastAsia"/>
                    <w:color w:val="000000"/>
                  </w:rPr>
                  <w:t>HJ/T67-2001</w:t>
                </w:r>
              </w:p>
            </w:tc>
            <w:tc>
              <w:tcPr>
                <w:tcW w:w="1891" w:type="dxa"/>
                <w:tcBorders>
                  <w:top w:val="single" w:sz="4" w:space="0" w:color="000000"/>
                  <w:left w:val="nil"/>
                  <w:bottom w:val="single" w:sz="4" w:space="0" w:color="000000"/>
                  <w:right w:val="single" w:sz="4" w:space="0" w:color="000000"/>
                </w:tcBorders>
                <w:vAlign w:val="center"/>
              </w:tcPr>
              <w:p w14:paraId="5FEA13B9" w14:textId="77777777" w:rsidR="002D0AE7" w:rsidRDefault="00333EBB">
                <w:pPr>
                  <w:jc w:val="center"/>
                  <w:rPr>
                    <w:rFonts w:hint="eastAsia"/>
                    <w:color w:val="000000"/>
                  </w:rPr>
                </w:pPr>
                <w:r>
                  <w:rPr>
                    <w:rFonts w:hint="eastAsia"/>
                    <w:color w:val="000000"/>
                  </w:rPr>
                  <w:t>离子计</w:t>
                </w:r>
              </w:p>
            </w:tc>
            <w:tc>
              <w:tcPr>
                <w:tcW w:w="697" w:type="dxa"/>
                <w:tcBorders>
                  <w:top w:val="single" w:sz="4" w:space="0" w:color="000000"/>
                  <w:left w:val="nil"/>
                  <w:bottom w:val="single" w:sz="4" w:space="0" w:color="000000"/>
                  <w:right w:val="single" w:sz="4" w:space="0" w:color="000000"/>
                </w:tcBorders>
                <w:vAlign w:val="center"/>
              </w:tcPr>
              <w:p w14:paraId="32037780" w14:textId="77777777" w:rsidR="002D0AE7" w:rsidRDefault="00333EBB">
                <w:pPr>
                  <w:rPr>
                    <w:rFonts w:hint="eastAsia"/>
                    <w:color w:val="000000"/>
                  </w:rPr>
                </w:pPr>
                <w:r>
                  <w:rPr>
                    <w:rFonts w:hint="eastAsia"/>
                    <w:color w:val="000000"/>
                  </w:rPr>
                  <w:t>每年一次</w:t>
                </w:r>
              </w:p>
            </w:tc>
            <w:tc>
              <w:tcPr>
                <w:tcW w:w="1977" w:type="dxa"/>
                <w:tcBorders>
                  <w:top w:val="single" w:sz="4" w:space="0" w:color="000000"/>
                  <w:left w:val="nil"/>
                  <w:bottom w:val="single" w:sz="4" w:space="0" w:color="000000"/>
                  <w:right w:val="single" w:sz="4" w:space="0" w:color="000000"/>
                </w:tcBorders>
                <w:vAlign w:val="center"/>
              </w:tcPr>
              <w:p w14:paraId="4A0C346E" w14:textId="77777777" w:rsidR="002D0AE7" w:rsidRDefault="00333EBB">
                <w:pPr>
                  <w:rPr>
                    <w:rFonts w:hint="eastAsia"/>
                    <w:color w:val="000000"/>
                  </w:rPr>
                </w:pPr>
                <w:r>
                  <w:rPr>
                    <w:rFonts w:hint="eastAsia"/>
                    <w:color w:val="000000"/>
                  </w:rPr>
                  <w:t>非连续采样</w:t>
                </w:r>
                <w:r>
                  <w:rPr>
                    <w:rFonts w:cs="Calibri" w:hint="eastAsia"/>
                    <w:color w:val="000000"/>
                  </w:rPr>
                  <w:t>3</w:t>
                </w:r>
                <w:r>
                  <w:rPr>
                    <w:rFonts w:hint="eastAsia"/>
                    <w:color w:val="000000"/>
                  </w:rPr>
                  <w:t>个</w:t>
                </w:r>
              </w:p>
            </w:tc>
          </w:tr>
          <w:tr w:rsidR="002D0AE7" w14:paraId="61692BF2" w14:textId="77777777">
            <w:trPr>
              <w:trHeight w:val="280"/>
            </w:trPr>
            <w:tc>
              <w:tcPr>
                <w:tcW w:w="10378" w:type="dxa"/>
                <w:gridSpan w:val="7"/>
                <w:tcBorders>
                  <w:top w:val="single" w:sz="4" w:space="0" w:color="000000"/>
                  <w:left w:val="single" w:sz="4" w:space="0" w:color="000000"/>
                  <w:bottom w:val="single" w:sz="4" w:space="0" w:color="000000"/>
                  <w:right w:val="single" w:sz="4" w:space="0" w:color="000000"/>
                </w:tcBorders>
                <w:vAlign w:val="center"/>
              </w:tcPr>
              <w:p w14:paraId="3F5956F1" w14:textId="77777777" w:rsidR="002D0AE7" w:rsidRDefault="00333EBB">
                <w:pPr>
                  <w:jc w:val="center"/>
                  <w:rPr>
                    <w:rFonts w:hint="eastAsia"/>
                    <w:color w:val="000000"/>
                  </w:rPr>
                </w:pPr>
                <w:r>
                  <w:rPr>
                    <w:rFonts w:hint="eastAsia"/>
                    <w:color w:val="000000"/>
                  </w:rPr>
                  <w:t>排放标准</w:t>
                </w:r>
              </w:p>
            </w:tc>
          </w:tr>
          <w:tr w:rsidR="002D0AE7" w14:paraId="00CE2E2C" w14:textId="77777777">
            <w:trPr>
              <w:trHeight w:val="280"/>
            </w:trPr>
            <w:tc>
              <w:tcPr>
                <w:tcW w:w="10378" w:type="dxa"/>
                <w:gridSpan w:val="7"/>
                <w:tcBorders>
                  <w:top w:val="single" w:sz="4" w:space="0" w:color="000000"/>
                  <w:left w:val="single" w:sz="4" w:space="0" w:color="000000"/>
                  <w:bottom w:val="single" w:sz="4" w:space="0" w:color="000000"/>
                  <w:right w:val="single" w:sz="4" w:space="0" w:color="000000"/>
                </w:tcBorders>
                <w:vAlign w:val="center"/>
              </w:tcPr>
              <w:p w14:paraId="1AC7DF4C" w14:textId="77777777" w:rsidR="002D0AE7" w:rsidRDefault="00333EBB">
                <w:pPr>
                  <w:jc w:val="center"/>
                  <w:rPr>
                    <w:rFonts w:hint="eastAsia"/>
                    <w:color w:val="000000"/>
                  </w:rPr>
                </w:pPr>
                <w:r>
                  <w:rPr>
                    <w:rFonts w:hint="eastAsia"/>
                    <w:color w:val="000000"/>
                  </w:rPr>
                  <w:t>大气污染物综合排放标准</w:t>
                </w:r>
                <w:r>
                  <w:rPr>
                    <w:rFonts w:cs="Calibri" w:hint="eastAsia"/>
                    <w:color w:val="000000"/>
                  </w:rPr>
                  <w:t>GB16297-1996</w:t>
                </w:r>
              </w:p>
            </w:tc>
          </w:tr>
        </w:tbl>
        <w:p w14:paraId="00CDED02" w14:textId="77777777" w:rsidR="002D0AE7" w:rsidRDefault="00333EBB">
          <w:pPr>
            <w:rPr>
              <w:rFonts w:ascii="Calibri" w:hAnsi="Calibri" w:cs="Times New Roman"/>
              <w:b/>
              <w:bCs/>
              <w:color w:val="000000"/>
              <w:kern w:val="2"/>
            </w:rPr>
          </w:pPr>
          <w:r>
            <w:rPr>
              <w:rFonts w:hint="eastAsia"/>
              <w:b/>
              <w:bCs/>
              <w:color w:val="000000"/>
            </w:rPr>
            <w:t>②天津津药环境科技有限公司</w:t>
          </w:r>
        </w:p>
        <w:tbl>
          <w:tblPr>
            <w:tblW w:w="10348" w:type="dxa"/>
            <w:tblInd w:w="-1026" w:type="dxa"/>
            <w:tblLayout w:type="fixed"/>
            <w:tblLook w:val="04A0" w:firstRow="1" w:lastRow="0" w:firstColumn="1" w:lastColumn="0" w:noHBand="0" w:noVBand="1"/>
          </w:tblPr>
          <w:tblGrid>
            <w:gridCol w:w="1134"/>
            <w:gridCol w:w="1418"/>
            <w:gridCol w:w="3402"/>
            <w:gridCol w:w="1559"/>
            <w:gridCol w:w="1134"/>
            <w:gridCol w:w="1701"/>
          </w:tblGrid>
          <w:tr w:rsidR="002D0AE7" w14:paraId="12F268FE" w14:textId="77777777">
            <w:trPr>
              <w:trHeight w:val="280"/>
            </w:trPr>
            <w:tc>
              <w:tcPr>
                <w:tcW w:w="1134" w:type="dxa"/>
                <w:tcBorders>
                  <w:top w:val="single" w:sz="4" w:space="0" w:color="000000"/>
                  <w:left w:val="single" w:sz="4" w:space="0" w:color="000000"/>
                  <w:bottom w:val="single" w:sz="4" w:space="0" w:color="000000"/>
                  <w:right w:val="single" w:sz="4" w:space="0" w:color="000000"/>
                </w:tcBorders>
                <w:vAlign w:val="center"/>
              </w:tcPr>
              <w:p w14:paraId="770A20D8" w14:textId="77777777" w:rsidR="002D0AE7" w:rsidRDefault="00333EBB">
                <w:pPr>
                  <w:rPr>
                    <w:rFonts w:hint="eastAsia"/>
                    <w:color w:val="000000"/>
                  </w:rPr>
                </w:pPr>
                <w:r>
                  <w:rPr>
                    <w:rFonts w:hint="eastAsia"/>
                    <w:color w:val="000000"/>
                  </w:rPr>
                  <w:t>项目名称</w:t>
                </w:r>
              </w:p>
            </w:tc>
            <w:tc>
              <w:tcPr>
                <w:tcW w:w="1418" w:type="dxa"/>
                <w:tcBorders>
                  <w:top w:val="single" w:sz="4" w:space="0" w:color="000000"/>
                  <w:left w:val="nil"/>
                  <w:bottom w:val="single" w:sz="4" w:space="0" w:color="000000"/>
                  <w:right w:val="single" w:sz="4" w:space="0" w:color="000000"/>
                </w:tcBorders>
                <w:vAlign w:val="center"/>
              </w:tcPr>
              <w:p w14:paraId="5A9AEFDE" w14:textId="77777777" w:rsidR="002D0AE7" w:rsidRDefault="00333EBB">
                <w:pPr>
                  <w:rPr>
                    <w:rFonts w:hint="eastAsia"/>
                    <w:color w:val="000000"/>
                  </w:rPr>
                </w:pPr>
                <w:r>
                  <w:rPr>
                    <w:rFonts w:hint="eastAsia"/>
                    <w:color w:val="000000"/>
                  </w:rPr>
                  <w:t>排放限值</w:t>
                </w:r>
              </w:p>
            </w:tc>
            <w:tc>
              <w:tcPr>
                <w:tcW w:w="3402" w:type="dxa"/>
                <w:tcBorders>
                  <w:top w:val="single" w:sz="4" w:space="0" w:color="000000"/>
                  <w:left w:val="nil"/>
                  <w:bottom w:val="single" w:sz="4" w:space="0" w:color="000000"/>
                  <w:right w:val="single" w:sz="4" w:space="0" w:color="000000"/>
                </w:tcBorders>
                <w:vAlign w:val="center"/>
              </w:tcPr>
              <w:p w14:paraId="04F110D0" w14:textId="77777777" w:rsidR="002D0AE7" w:rsidRDefault="00333EBB">
                <w:pPr>
                  <w:rPr>
                    <w:rFonts w:hint="eastAsia"/>
                    <w:color w:val="000000"/>
                  </w:rPr>
                </w:pPr>
                <w:r>
                  <w:rPr>
                    <w:rFonts w:hint="eastAsia"/>
                    <w:color w:val="000000"/>
                  </w:rPr>
                  <w:t>监测方法</w:t>
                </w:r>
              </w:p>
            </w:tc>
            <w:tc>
              <w:tcPr>
                <w:tcW w:w="1559" w:type="dxa"/>
                <w:tcBorders>
                  <w:top w:val="single" w:sz="4" w:space="0" w:color="000000"/>
                  <w:left w:val="nil"/>
                  <w:bottom w:val="single" w:sz="4" w:space="0" w:color="000000"/>
                  <w:right w:val="single" w:sz="4" w:space="0" w:color="000000"/>
                </w:tcBorders>
                <w:vAlign w:val="center"/>
              </w:tcPr>
              <w:p w14:paraId="2F1EA406" w14:textId="77777777" w:rsidR="002D0AE7" w:rsidRDefault="00333EBB">
                <w:pPr>
                  <w:rPr>
                    <w:rFonts w:hint="eastAsia"/>
                    <w:color w:val="000000"/>
                  </w:rPr>
                </w:pPr>
                <w:r>
                  <w:rPr>
                    <w:rFonts w:hint="eastAsia"/>
                    <w:color w:val="000000"/>
                  </w:rPr>
                  <w:t>分析仪器</w:t>
                </w:r>
              </w:p>
            </w:tc>
            <w:tc>
              <w:tcPr>
                <w:tcW w:w="1134" w:type="dxa"/>
                <w:tcBorders>
                  <w:top w:val="single" w:sz="4" w:space="0" w:color="000000"/>
                  <w:left w:val="nil"/>
                  <w:bottom w:val="single" w:sz="4" w:space="0" w:color="000000"/>
                  <w:right w:val="single" w:sz="4" w:space="0" w:color="000000"/>
                </w:tcBorders>
                <w:vAlign w:val="center"/>
              </w:tcPr>
              <w:p w14:paraId="45875751" w14:textId="77777777" w:rsidR="002D0AE7" w:rsidRDefault="00333EBB">
                <w:pPr>
                  <w:rPr>
                    <w:rFonts w:hint="eastAsia"/>
                    <w:color w:val="000000"/>
                  </w:rPr>
                </w:pPr>
                <w:r>
                  <w:rPr>
                    <w:rFonts w:hint="eastAsia"/>
                    <w:color w:val="000000"/>
                  </w:rPr>
                  <w:t>监测频次</w:t>
                </w:r>
              </w:p>
            </w:tc>
            <w:tc>
              <w:tcPr>
                <w:tcW w:w="1701" w:type="dxa"/>
                <w:tcBorders>
                  <w:top w:val="single" w:sz="4" w:space="0" w:color="000000"/>
                  <w:left w:val="nil"/>
                  <w:bottom w:val="single" w:sz="4" w:space="0" w:color="000000"/>
                  <w:right w:val="single" w:sz="4" w:space="0" w:color="000000"/>
                </w:tcBorders>
                <w:vAlign w:val="center"/>
              </w:tcPr>
              <w:p w14:paraId="742D8FCC" w14:textId="77777777" w:rsidR="002D0AE7" w:rsidRDefault="00333EBB">
                <w:pPr>
                  <w:rPr>
                    <w:rFonts w:hint="eastAsia"/>
                    <w:color w:val="000000"/>
                  </w:rPr>
                </w:pPr>
                <w:r>
                  <w:rPr>
                    <w:rFonts w:hint="eastAsia"/>
                    <w:color w:val="000000"/>
                  </w:rPr>
                  <w:t>采样方法及个数</w:t>
                </w:r>
              </w:p>
            </w:tc>
          </w:tr>
          <w:tr w:rsidR="002D0AE7" w14:paraId="60348864" w14:textId="77777777">
            <w:trPr>
              <w:trHeight w:val="540"/>
            </w:trPr>
            <w:tc>
              <w:tcPr>
                <w:tcW w:w="1134" w:type="dxa"/>
                <w:tcBorders>
                  <w:top w:val="single" w:sz="4" w:space="0" w:color="000000"/>
                  <w:left w:val="single" w:sz="4" w:space="0" w:color="000000"/>
                  <w:bottom w:val="single" w:sz="4" w:space="0" w:color="000000"/>
                  <w:right w:val="single" w:sz="4" w:space="0" w:color="000000"/>
                </w:tcBorders>
                <w:vAlign w:val="center"/>
              </w:tcPr>
              <w:p w14:paraId="78B290B1" w14:textId="77777777" w:rsidR="002D0AE7" w:rsidRDefault="00333EBB">
                <w:pPr>
                  <w:rPr>
                    <w:rFonts w:hint="eastAsia"/>
                    <w:color w:val="000000"/>
                  </w:rPr>
                </w:pPr>
                <w:r>
                  <w:rPr>
                    <w:rFonts w:hint="eastAsia"/>
                    <w:color w:val="000000"/>
                  </w:rPr>
                  <w:t>臭气浓度</w:t>
                </w:r>
              </w:p>
            </w:tc>
            <w:tc>
              <w:tcPr>
                <w:tcW w:w="1418" w:type="dxa"/>
                <w:tcBorders>
                  <w:top w:val="single" w:sz="4" w:space="0" w:color="000000"/>
                  <w:left w:val="nil"/>
                  <w:bottom w:val="single" w:sz="4" w:space="0" w:color="000000"/>
                  <w:right w:val="single" w:sz="4" w:space="0" w:color="000000"/>
                </w:tcBorders>
                <w:vAlign w:val="center"/>
              </w:tcPr>
              <w:p w14:paraId="7565CDE2" w14:textId="77777777" w:rsidR="002D0AE7" w:rsidRDefault="00333EBB">
                <w:pPr>
                  <w:rPr>
                    <w:rFonts w:hint="eastAsia"/>
                    <w:color w:val="000000"/>
                  </w:rPr>
                </w:pPr>
                <w:r>
                  <w:rPr>
                    <w:rFonts w:cs="Calibri" w:hint="eastAsia"/>
                    <w:color w:val="000000"/>
                  </w:rPr>
                  <w:t>1000</w:t>
                </w:r>
                <w:r>
                  <w:rPr>
                    <w:rFonts w:hint="eastAsia"/>
                    <w:color w:val="000000"/>
                  </w:rPr>
                  <w:t>无量纲</w:t>
                </w:r>
              </w:p>
            </w:tc>
            <w:tc>
              <w:tcPr>
                <w:tcW w:w="3402" w:type="dxa"/>
                <w:tcBorders>
                  <w:top w:val="single" w:sz="4" w:space="0" w:color="000000"/>
                  <w:left w:val="nil"/>
                  <w:bottom w:val="single" w:sz="4" w:space="0" w:color="000000"/>
                  <w:right w:val="single" w:sz="4" w:space="0" w:color="000000"/>
                </w:tcBorders>
                <w:vAlign w:val="center"/>
              </w:tcPr>
              <w:p w14:paraId="5D985368" w14:textId="77777777" w:rsidR="002D0AE7" w:rsidRDefault="00333EBB">
                <w:pPr>
                  <w:rPr>
                    <w:rFonts w:hint="eastAsia"/>
                    <w:color w:val="000000"/>
                  </w:rPr>
                </w:pPr>
                <w:r>
                  <w:rPr>
                    <w:rFonts w:hint="eastAsia"/>
                    <w:color w:val="000000"/>
                  </w:rPr>
                  <w:t>《环境空气和废气臭气的测定三点比较式臭袋法》</w:t>
                </w:r>
                <w:r>
                  <w:rPr>
                    <w:rFonts w:cs="Calibri" w:hint="eastAsia"/>
                    <w:color w:val="000000"/>
                  </w:rPr>
                  <w:t>HJ1262-2022</w:t>
                </w:r>
              </w:p>
            </w:tc>
            <w:tc>
              <w:tcPr>
                <w:tcW w:w="1559" w:type="dxa"/>
                <w:tcBorders>
                  <w:top w:val="single" w:sz="4" w:space="0" w:color="000000"/>
                  <w:left w:val="nil"/>
                  <w:bottom w:val="single" w:sz="4" w:space="0" w:color="000000"/>
                  <w:right w:val="single" w:sz="4" w:space="0" w:color="000000"/>
                </w:tcBorders>
                <w:vAlign w:val="center"/>
              </w:tcPr>
              <w:p w14:paraId="37C4A3CF" w14:textId="77777777" w:rsidR="002D0AE7" w:rsidRDefault="00333EBB">
                <w:pPr>
                  <w:jc w:val="center"/>
                  <w:rPr>
                    <w:rFonts w:hint="eastAsia"/>
                    <w:color w:val="000000"/>
                  </w:rPr>
                </w:pPr>
                <w:r>
                  <w:rPr>
                    <w:rFonts w:hint="eastAsia"/>
                    <w:color w:val="000000"/>
                  </w:rPr>
                  <w:t>无油空气压缩机</w:t>
                </w:r>
              </w:p>
            </w:tc>
            <w:tc>
              <w:tcPr>
                <w:tcW w:w="1134" w:type="dxa"/>
                <w:tcBorders>
                  <w:top w:val="single" w:sz="4" w:space="0" w:color="000000"/>
                  <w:left w:val="nil"/>
                  <w:bottom w:val="single" w:sz="4" w:space="0" w:color="000000"/>
                  <w:right w:val="single" w:sz="4" w:space="0" w:color="000000"/>
                </w:tcBorders>
                <w:vAlign w:val="center"/>
              </w:tcPr>
              <w:p w14:paraId="0DCD0CAD" w14:textId="77777777" w:rsidR="002D0AE7" w:rsidRDefault="00333EBB">
                <w:pPr>
                  <w:rPr>
                    <w:rFonts w:hint="eastAsia"/>
                    <w:color w:val="000000"/>
                  </w:rPr>
                </w:pPr>
                <w:r>
                  <w:rPr>
                    <w:rFonts w:hint="eastAsia"/>
                    <w:color w:val="000000"/>
                  </w:rPr>
                  <w:t>每年一次</w:t>
                </w:r>
              </w:p>
            </w:tc>
            <w:tc>
              <w:tcPr>
                <w:tcW w:w="1701" w:type="dxa"/>
                <w:tcBorders>
                  <w:top w:val="single" w:sz="4" w:space="0" w:color="000000"/>
                  <w:left w:val="nil"/>
                  <w:bottom w:val="single" w:sz="4" w:space="0" w:color="000000"/>
                  <w:right w:val="single" w:sz="4" w:space="0" w:color="000000"/>
                </w:tcBorders>
                <w:vAlign w:val="center"/>
              </w:tcPr>
              <w:p w14:paraId="0E6BFF79" w14:textId="77777777" w:rsidR="002D0AE7" w:rsidRDefault="00333EBB">
                <w:pPr>
                  <w:rPr>
                    <w:rFonts w:hint="eastAsia"/>
                    <w:color w:val="000000"/>
                  </w:rPr>
                </w:pPr>
                <w:r>
                  <w:rPr>
                    <w:rFonts w:hint="eastAsia"/>
                    <w:color w:val="000000"/>
                  </w:rPr>
                  <w:t>非连续采样</w:t>
                </w:r>
                <w:r>
                  <w:rPr>
                    <w:rFonts w:cs="Calibri" w:hint="eastAsia"/>
                    <w:color w:val="000000"/>
                  </w:rPr>
                  <w:t>3</w:t>
                </w:r>
                <w:r>
                  <w:rPr>
                    <w:rFonts w:hint="eastAsia"/>
                    <w:color w:val="000000"/>
                  </w:rPr>
                  <w:t>个</w:t>
                </w:r>
              </w:p>
            </w:tc>
          </w:tr>
          <w:tr w:rsidR="002D0AE7" w14:paraId="61F61000" w14:textId="77777777">
            <w:trPr>
              <w:trHeight w:val="1080"/>
            </w:trPr>
            <w:tc>
              <w:tcPr>
                <w:tcW w:w="1134" w:type="dxa"/>
                <w:tcBorders>
                  <w:top w:val="single" w:sz="4" w:space="0" w:color="000000"/>
                  <w:left w:val="single" w:sz="4" w:space="0" w:color="000000"/>
                  <w:bottom w:val="single" w:sz="4" w:space="0" w:color="000000"/>
                  <w:right w:val="single" w:sz="4" w:space="0" w:color="000000"/>
                </w:tcBorders>
                <w:vAlign w:val="center"/>
              </w:tcPr>
              <w:p w14:paraId="5A615073" w14:textId="77777777" w:rsidR="002D0AE7" w:rsidRDefault="00333EBB">
                <w:pPr>
                  <w:rPr>
                    <w:rFonts w:hint="eastAsia"/>
                    <w:color w:val="000000"/>
                  </w:rPr>
                </w:pPr>
                <w:r>
                  <w:rPr>
                    <w:rFonts w:hint="eastAsia"/>
                    <w:color w:val="000000"/>
                  </w:rPr>
                  <w:t>氨</w:t>
                </w:r>
              </w:p>
            </w:tc>
            <w:tc>
              <w:tcPr>
                <w:tcW w:w="1418" w:type="dxa"/>
                <w:tcBorders>
                  <w:top w:val="single" w:sz="4" w:space="0" w:color="000000"/>
                  <w:left w:val="nil"/>
                  <w:bottom w:val="single" w:sz="4" w:space="0" w:color="000000"/>
                  <w:right w:val="single" w:sz="4" w:space="0" w:color="000000"/>
                </w:tcBorders>
                <w:vAlign w:val="center"/>
              </w:tcPr>
              <w:p w14:paraId="625829BC" w14:textId="77777777" w:rsidR="002D0AE7" w:rsidRDefault="00333EBB">
                <w:pPr>
                  <w:rPr>
                    <w:rFonts w:hint="eastAsia"/>
                    <w:color w:val="000000"/>
                  </w:rPr>
                </w:pPr>
                <w:r>
                  <w:rPr>
                    <w:rFonts w:cs="Calibri" w:hint="eastAsia"/>
                    <w:color w:val="000000"/>
                  </w:rPr>
                  <w:t>0.76kg/h</w:t>
                </w:r>
              </w:p>
            </w:tc>
            <w:tc>
              <w:tcPr>
                <w:tcW w:w="3402" w:type="dxa"/>
                <w:tcBorders>
                  <w:top w:val="single" w:sz="4" w:space="0" w:color="000000"/>
                  <w:left w:val="nil"/>
                  <w:bottom w:val="single" w:sz="4" w:space="0" w:color="000000"/>
                  <w:right w:val="single" w:sz="4" w:space="0" w:color="000000"/>
                </w:tcBorders>
                <w:vAlign w:val="center"/>
              </w:tcPr>
              <w:p w14:paraId="6B4608F4" w14:textId="77777777" w:rsidR="002D0AE7" w:rsidRDefault="00333EBB">
                <w:pPr>
                  <w:rPr>
                    <w:rFonts w:hint="eastAsia"/>
                    <w:color w:val="000000"/>
                  </w:rPr>
                </w:pPr>
                <w:r>
                  <w:rPr>
                    <w:rFonts w:hint="eastAsia"/>
                    <w:color w:val="000000"/>
                  </w:rPr>
                  <w:t>《环境空气和废气氨的测定纳氏试剂分光光度法》</w:t>
                </w:r>
                <w:r>
                  <w:rPr>
                    <w:rFonts w:cs="Calibri" w:hint="eastAsia"/>
                    <w:color w:val="000000"/>
                  </w:rPr>
                  <w:t>HJ533-2009</w:t>
                </w:r>
              </w:p>
            </w:tc>
            <w:tc>
              <w:tcPr>
                <w:tcW w:w="1559" w:type="dxa"/>
                <w:tcBorders>
                  <w:top w:val="single" w:sz="4" w:space="0" w:color="000000"/>
                  <w:left w:val="nil"/>
                  <w:bottom w:val="single" w:sz="4" w:space="0" w:color="000000"/>
                  <w:right w:val="single" w:sz="4" w:space="0" w:color="000000"/>
                </w:tcBorders>
                <w:vAlign w:val="center"/>
              </w:tcPr>
              <w:p w14:paraId="78D27BE9" w14:textId="77777777" w:rsidR="002D0AE7" w:rsidRDefault="00333EBB">
                <w:pPr>
                  <w:jc w:val="center"/>
                  <w:rPr>
                    <w:rFonts w:hint="eastAsia"/>
                    <w:color w:val="000000"/>
                  </w:rPr>
                </w:pPr>
                <w:r>
                  <w:rPr>
                    <w:rFonts w:hint="eastAsia"/>
                    <w:color w:val="000000"/>
                  </w:rPr>
                  <w:t>紫外可见分光光度计</w:t>
                </w:r>
              </w:p>
            </w:tc>
            <w:tc>
              <w:tcPr>
                <w:tcW w:w="1134" w:type="dxa"/>
                <w:tcBorders>
                  <w:top w:val="single" w:sz="4" w:space="0" w:color="000000"/>
                  <w:left w:val="nil"/>
                  <w:bottom w:val="single" w:sz="4" w:space="0" w:color="000000"/>
                  <w:right w:val="single" w:sz="4" w:space="0" w:color="000000"/>
                </w:tcBorders>
                <w:vAlign w:val="center"/>
              </w:tcPr>
              <w:p w14:paraId="3DE8A2D7" w14:textId="77777777" w:rsidR="002D0AE7" w:rsidRDefault="00333EBB">
                <w:pPr>
                  <w:rPr>
                    <w:rFonts w:hint="eastAsia"/>
                    <w:color w:val="000000"/>
                  </w:rPr>
                </w:pPr>
                <w:r>
                  <w:rPr>
                    <w:rFonts w:hint="eastAsia"/>
                    <w:color w:val="000000"/>
                  </w:rPr>
                  <w:t>每年一次</w:t>
                </w:r>
              </w:p>
            </w:tc>
            <w:tc>
              <w:tcPr>
                <w:tcW w:w="1701" w:type="dxa"/>
                <w:tcBorders>
                  <w:top w:val="single" w:sz="4" w:space="0" w:color="000000"/>
                  <w:left w:val="nil"/>
                  <w:bottom w:val="single" w:sz="4" w:space="0" w:color="000000"/>
                  <w:right w:val="single" w:sz="4" w:space="0" w:color="000000"/>
                </w:tcBorders>
                <w:vAlign w:val="center"/>
              </w:tcPr>
              <w:p w14:paraId="20BBDC10" w14:textId="77777777" w:rsidR="002D0AE7" w:rsidRDefault="00333EBB">
                <w:pPr>
                  <w:rPr>
                    <w:rFonts w:hint="eastAsia"/>
                    <w:color w:val="000000"/>
                  </w:rPr>
                </w:pPr>
                <w:r>
                  <w:rPr>
                    <w:rFonts w:hint="eastAsia"/>
                    <w:color w:val="000000"/>
                  </w:rPr>
                  <w:t>非连续采样</w:t>
                </w:r>
                <w:r>
                  <w:rPr>
                    <w:rFonts w:cs="Calibri" w:hint="eastAsia"/>
                    <w:color w:val="000000"/>
                  </w:rPr>
                  <w:t>3</w:t>
                </w:r>
                <w:r>
                  <w:rPr>
                    <w:rFonts w:hint="eastAsia"/>
                    <w:color w:val="000000"/>
                  </w:rPr>
                  <w:t>个</w:t>
                </w:r>
              </w:p>
            </w:tc>
          </w:tr>
          <w:tr w:rsidR="002D0AE7" w14:paraId="5F717C57" w14:textId="77777777">
            <w:trPr>
              <w:trHeight w:val="280"/>
            </w:trPr>
            <w:tc>
              <w:tcPr>
                <w:tcW w:w="10348" w:type="dxa"/>
                <w:gridSpan w:val="6"/>
                <w:tcBorders>
                  <w:top w:val="single" w:sz="4" w:space="0" w:color="000000"/>
                  <w:left w:val="single" w:sz="4" w:space="0" w:color="000000"/>
                  <w:bottom w:val="single" w:sz="4" w:space="0" w:color="000000"/>
                  <w:right w:val="single" w:sz="4" w:space="0" w:color="000000"/>
                </w:tcBorders>
                <w:vAlign w:val="center"/>
              </w:tcPr>
              <w:p w14:paraId="37D0C710" w14:textId="77777777" w:rsidR="002D0AE7" w:rsidRDefault="00333EBB">
                <w:pPr>
                  <w:jc w:val="center"/>
                  <w:rPr>
                    <w:rFonts w:hint="eastAsia"/>
                    <w:color w:val="000000"/>
                  </w:rPr>
                </w:pPr>
                <w:r>
                  <w:rPr>
                    <w:rFonts w:hint="eastAsia"/>
                    <w:color w:val="000000"/>
                  </w:rPr>
                  <w:t>排放标准</w:t>
                </w:r>
              </w:p>
            </w:tc>
          </w:tr>
          <w:tr w:rsidR="002D0AE7" w14:paraId="0867B3E2" w14:textId="77777777">
            <w:trPr>
              <w:trHeight w:val="280"/>
            </w:trPr>
            <w:tc>
              <w:tcPr>
                <w:tcW w:w="10348" w:type="dxa"/>
                <w:gridSpan w:val="6"/>
                <w:tcBorders>
                  <w:top w:val="single" w:sz="4" w:space="0" w:color="000000"/>
                  <w:left w:val="single" w:sz="4" w:space="0" w:color="000000"/>
                  <w:bottom w:val="single" w:sz="4" w:space="0" w:color="000000"/>
                  <w:right w:val="single" w:sz="4" w:space="0" w:color="000000"/>
                </w:tcBorders>
                <w:vAlign w:val="center"/>
              </w:tcPr>
              <w:p w14:paraId="1FBBF30B" w14:textId="77777777" w:rsidR="002D0AE7" w:rsidRDefault="00333EBB">
                <w:pPr>
                  <w:jc w:val="center"/>
                  <w:rPr>
                    <w:rFonts w:hint="eastAsia"/>
                    <w:color w:val="000000"/>
                  </w:rPr>
                </w:pPr>
                <w:r>
                  <w:rPr>
                    <w:rFonts w:hint="eastAsia"/>
                    <w:color w:val="000000"/>
                  </w:rPr>
                  <w:t>《恶臭污染物排放标准》（</w:t>
                </w:r>
                <w:r>
                  <w:rPr>
                    <w:rFonts w:cs="Calibri" w:hint="eastAsia"/>
                    <w:color w:val="000000"/>
                  </w:rPr>
                  <w:t>DB12/059-2018</w:t>
                </w:r>
                <w:r>
                  <w:rPr>
                    <w:rFonts w:hint="eastAsia"/>
                    <w:color w:val="000000"/>
                  </w:rPr>
                  <w:t>）</w:t>
                </w:r>
              </w:p>
            </w:tc>
          </w:tr>
          <w:tr w:rsidR="002D0AE7" w14:paraId="1351A16B" w14:textId="77777777">
            <w:trPr>
              <w:trHeight w:val="955"/>
            </w:trPr>
            <w:tc>
              <w:tcPr>
                <w:tcW w:w="1134" w:type="dxa"/>
                <w:tcBorders>
                  <w:top w:val="single" w:sz="4" w:space="0" w:color="000000"/>
                  <w:left w:val="single" w:sz="4" w:space="0" w:color="000000"/>
                  <w:bottom w:val="single" w:sz="4" w:space="0" w:color="000000"/>
                  <w:right w:val="single" w:sz="4" w:space="0" w:color="000000"/>
                </w:tcBorders>
                <w:vAlign w:val="center"/>
              </w:tcPr>
              <w:p w14:paraId="0D6C9223" w14:textId="77777777" w:rsidR="002D0AE7" w:rsidRDefault="00333EBB">
                <w:pPr>
                  <w:jc w:val="center"/>
                  <w:rPr>
                    <w:rFonts w:hint="eastAsia"/>
                    <w:color w:val="000000"/>
                  </w:rPr>
                </w:pPr>
                <w:r>
                  <w:rPr>
                    <w:rFonts w:hint="eastAsia"/>
                    <w:color w:val="000000"/>
                  </w:rPr>
                  <w:t>氮氧化物</w:t>
                </w:r>
              </w:p>
            </w:tc>
            <w:tc>
              <w:tcPr>
                <w:tcW w:w="1418" w:type="dxa"/>
                <w:tcBorders>
                  <w:top w:val="single" w:sz="4" w:space="0" w:color="000000"/>
                  <w:left w:val="nil"/>
                  <w:bottom w:val="single" w:sz="4" w:space="0" w:color="000000"/>
                  <w:right w:val="single" w:sz="4" w:space="0" w:color="000000"/>
                </w:tcBorders>
                <w:vAlign w:val="center"/>
              </w:tcPr>
              <w:p w14:paraId="192F0290" w14:textId="77777777" w:rsidR="002D0AE7" w:rsidRDefault="00333EBB">
                <w:pPr>
                  <w:jc w:val="center"/>
                  <w:rPr>
                    <w:rFonts w:hint="eastAsia"/>
                    <w:color w:val="000000"/>
                  </w:rPr>
                </w:pPr>
                <w:r>
                  <w:rPr>
                    <w:rFonts w:cs="Calibri" w:hint="eastAsia"/>
                    <w:color w:val="000000"/>
                  </w:rPr>
                  <w:t>50mg/Nm</w:t>
                </w:r>
                <w:r>
                  <w:rPr>
                    <w:rFonts w:cs="Calibri" w:hint="eastAsia"/>
                    <w:color w:val="000000"/>
                    <w:vertAlign w:val="superscript"/>
                  </w:rPr>
                  <w:t>3</w:t>
                </w:r>
              </w:p>
            </w:tc>
            <w:tc>
              <w:tcPr>
                <w:tcW w:w="3402" w:type="dxa"/>
                <w:tcBorders>
                  <w:top w:val="single" w:sz="4" w:space="0" w:color="000000"/>
                  <w:left w:val="nil"/>
                  <w:bottom w:val="single" w:sz="4" w:space="0" w:color="000000"/>
                  <w:right w:val="single" w:sz="4" w:space="0" w:color="000000"/>
                </w:tcBorders>
                <w:vAlign w:val="center"/>
              </w:tcPr>
              <w:p w14:paraId="3B820A7B" w14:textId="77777777" w:rsidR="002D0AE7" w:rsidRDefault="00333EBB">
                <w:pPr>
                  <w:jc w:val="center"/>
                  <w:rPr>
                    <w:rFonts w:hint="eastAsia"/>
                    <w:color w:val="000000"/>
                  </w:rPr>
                </w:pPr>
                <w:r>
                  <w:rPr>
                    <w:rFonts w:hint="eastAsia"/>
                    <w:color w:val="000000"/>
                  </w:rPr>
                  <w:t>紫外差分吸收光谱法</w:t>
                </w:r>
              </w:p>
            </w:tc>
            <w:tc>
              <w:tcPr>
                <w:tcW w:w="1559" w:type="dxa"/>
                <w:tcBorders>
                  <w:top w:val="single" w:sz="4" w:space="0" w:color="000000"/>
                  <w:left w:val="nil"/>
                  <w:bottom w:val="single" w:sz="4" w:space="0" w:color="000000"/>
                  <w:right w:val="single" w:sz="4" w:space="0" w:color="000000"/>
                </w:tcBorders>
                <w:vAlign w:val="center"/>
              </w:tcPr>
              <w:p w14:paraId="06D8E50F" w14:textId="77777777" w:rsidR="002D0AE7" w:rsidRDefault="00333EBB">
                <w:pPr>
                  <w:jc w:val="center"/>
                  <w:rPr>
                    <w:rFonts w:hint="eastAsia"/>
                    <w:color w:val="000000"/>
                  </w:rPr>
                </w:pPr>
                <w:r>
                  <w:rPr>
                    <w:rFonts w:hint="eastAsia"/>
                    <w:color w:val="000000"/>
                  </w:rPr>
                  <w:t>自动在线监测设备</w:t>
                </w:r>
              </w:p>
            </w:tc>
            <w:tc>
              <w:tcPr>
                <w:tcW w:w="1134" w:type="dxa"/>
                <w:tcBorders>
                  <w:top w:val="single" w:sz="4" w:space="0" w:color="000000"/>
                  <w:left w:val="nil"/>
                  <w:bottom w:val="single" w:sz="4" w:space="0" w:color="000000"/>
                  <w:right w:val="single" w:sz="4" w:space="0" w:color="000000"/>
                </w:tcBorders>
                <w:vAlign w:val="center"/>
              </w:tcPr>
              <w:p w14:paraId="49D811CB" w14:textId="77777777" w:rsidR="002D0AE7" w:rsidRDefault="00333EBB">
                <w:pPr>
                  <w:jc w:val="center"/>
                  <w:rPr>
                    <w:rFonts w:hint="eastAsia"/>
                    <w:color w:val="000000"/>
                  </w:rPr>
                </w:pPr>
                <w:r>
                  <w:rPr>
                    <w:rFonts w:cs="Calibri" w:hint="eastAsia"/>
                    <w:color w:val="000000"/>
                  </w:rPr>
                  <w:t>24</w:t>
                </w:r>
                <w:r>
                  <w:rPr>
                    <w:rFonts w:hint="eastAsia"/>
                    <w:color w:val="000000"/>
                  </w:rPr>
                  <w:t>小时连续监测</w:t>
                </w:r>
              </w:p>
            </w:tc>
            <w:tc>
              <w:tcPr>
                <w:tcW w:w="1701" w:type="dxa"/>
                <w:tcBorders>
                  <w:top w:val="single" w:sz="4" w:space="0" w:color="000000"/>
                  <w:left w:val="nil"/>
                  <w:bottom w:val="single" w:sz="4" w:space="0" w:color="000000"/>
                  <w:right w:val="single" w:sz="4" w:space="0" w:color="000000"/>
                </w:tcBorders>
                <w:vAlign w:val="center"/>
              </w:tcPr>
              <w:p w14:paraId="012F6C12" w14:textId="77777777" w:rsidR="002D0AE7" w:rsidRDefault="00333EBB">
                <w:pPr>
                  <w:jc w:val="center"/>
                  <w:rPr>
                    <w:rFonts w:hint="eastAsia"/>
                    <w:color w:val="000000"/>
                  </w:rPr>
                </w:pPr>
                <w:r>
                  <w:rPr>
                    <w:rFonts w:cs="Calibri" w:hint="eastAsia"/>
                    <w:color w:val="000000"/>
                  </w:rPr>
                  <w:t>/</w:t>
                </w:r>
              </w:p>
            </w:tc>
          </w:tr>
          <w:tr w:rsidR="002D0AE7" w14:paraId="5AC5D62C" w14:textId="77777777">
            <w:trPr>
              <w:trHeight w:val="1080"/>
            </w:trPr>
            <w:tc>
              <w:tcPr>
                <w:tcW w:w="1134" w:type="dxa"/>
                <w:tcBorders>
                  <w:top w:val="single" w:sz="4" w:space="0" w:color="000000"/>
                  <w:left w:val="single" w:sz="4" w:space="0" w:color="000000"/>
                  <w:bottom w:val="single" w:sz="4" w:space="0" w:color="000000"/>
                  <w:right w:val="single" w:sz="4" w:space="0" w:color="000000"/>
                </w:tcBorders>
                <w:vAlign w:val="center"/>
              </w:tcPr>
              <w:p w14:paraId="3DAA4629" w14:textId="77777777" w:rsidR="002D0AE7" w:rsidRDefault="00333EBB">
                <w:pPr>
                  <w:jc w:val="center"/>
                  <w:rPr>
                    <w:rFonts w:hint="eastAsia"/>
                    <w:color w:val="000000"/>
                  </w:rPr>
                </w:pPr>
                <w:r>
                  <w:rPr>
                    <w:rFonts w:hint="eastAsia"/>
                    <w:color w:val="000000"/>
                  </w:rPr>
                  <w:t>二氧化硫</w:t>
                </w:r>
              </w:p>
            </w:tc>
            <w:tc>
              <w:tcPr>
                <w:tcW w:w="1418" w:type="dxa"/>
                <w:tcBorders>
                  <w:top w:val="single" w:sz="4" w:space="0" w:color="000000"/>
                  <w:left w:val="nil"/>
                  <w:bottom w:val="single" w:sz="4" w:space="0" w:color="000000"/>
                  <w:right w:val="single" w:sz="4" w:space="0" w:color="000000"/>
                </w:tcBorders>
                <w:vAlign w:val="center"/>
              </w:tcPr>
              <w:p w14:paraId="48527264" w14:textId="77777777" w:rsidR="002D0AE7" w:rsidRDefault="00333EBB">
                <w:pPr>
                  <w:jc w:val="center"/>
                  <w:rPr>
                    <w:rFonts w:hint="eastAsia"/>
                    <w:color w:val="000000"/>
                  </w:rPr>
                </w:pPr>
                <w:r>
                  <w:rPr>
                    <w:rFonts w:cs="Calibri" w:hint="eastAsia"/>
                    <w:color w:val="000000"/>
                  </w:rPr>
                  <w:t>20mg/Nm</w:t>
                </w:r>
                <w:r>
                  <w:rPr>
                    <w:rFonts w:cs="Calibri" w:hint="eastAsia"/>
                    <w:color w:val="000000"/>
                    <w:vertAlign w:val="superscript"/>
                  </w:rPr>
                  <w:t>3</w:t>
                </w:r>
              </w:p>
            </w:tc>
            <w:tc>
              <w:tcPr>
                <w:tcW w:w="3402" w:type="dxa"/>
                <w:tcBorders>
                  <w:top w:val="single" w:sz="4" w:space="0" w:color="000000"/>
                  <w:left w:val="nil"/>
                  <w:bottom w:val="single" w:sz="4" w:space="0" w:color="000000"/>
                  <w:right w:val="single" w:sz="4" w:space="0" w:color="000000"/>
                </w:tcBorders>
                <w:vAlign w:val="center"/>
              </w:tcPr>
              <w:p w14:paraId="1DFB403F" w14:textId="77777777" w:rsidR="002D0AE7" w:rsidRDefault="00333EBB">
                <w:pPr>
                  <w:jc w:val="center"/>
                  <w:rPr>
                    <w:rFonts w:hint="eastAsia"/>
                    <w:color w:val="000000"/>
                  </w:rPr>
                </w:pPr>
                <w:r>
                  <w:rPr>
                    <w:rFonts w:hint="eastAsia"/>
                    <w:color w:val="000000"/>
                  </w:rPr>
                  <w:t>《</w:t>
                </w:r>
                <w:r>
                  <w:rPr>
                    <w:color w:val="000000"/>
                  </w:rPr>
                  <w:t>固定污染源</w:t>
                </w:r>
                <w:r>
                  <w:rPr>
                    <w:rFonts w:hint="eastAsia"/>
                    <w:color w:val="000000"/>
                  </w:rPr>
                  <w:t>废气</w:t>
                </w:r>
                <w:r>
                  <w:rPr>
                    <w:color w:val="000000"/>
                  </w:rPr>
                  <w:t>二氧化硫的测定定电位电解法</w:t>
                </w:r>
                <w:r>
                  <w:rPr>
                    <w:rFonts w:hint="eastAsia"/>
                    <w:color w:val="000000"/>
                  </w:rPr>
                  <w:t>》</w:t>
                </w:r>
                <w:r>
                  <w:rPr>
                    <w:color w:val="000000"/>
                  </w:rPr>
                  <w:t>HJ57-2017</w:t>
                </w:r>
              </w:p>
            </w:tc>
            <w:tc>
              <w:tcPr>
                <w:tcW w:w="1559" w:type="dxa"/>
                <w:vMerge w:val="restart"/>
                <w:tcBorders>
                  <w:top w:val="nil"/>
                  <w:left w:val="nil"/>
                  <w:bottom w:val="nil"/>
                  <w:right w:val="single" w:sz="4" w:space="0" w:color="000000"/>
                </w:tcBorders>
                <w:vAlign w:val="center"/>
              </w:tcPr>
              <w:p w14:paraId="4ADC632A" w14:textId="77777777" w:rsidR="002D0AE7" w:rsidRDefault="00333EBB">
                <w:pPr>
                  <w:jc w:val="center"/>
                  <w:rPr>
                    <w:rFonts w:hint="eastAsia"/>
                    <w:color w:val="000000"/>
                  </w:rPr>
                </w:pPr>
                <w:r>
                  <w:rPr>
                    <w:rFonts w:hint="eastAsia"/>
                    <w:color w:val="000000"/>
                  </w:rPr>
                  <w:t>大流量烟尘（气）测试仪</w:t>
                </w:r>
              </w:p>
            </w:tc>
            <w:tc>
              <w:tcPr>
                <w:tcW w:w="1134" w:type="dxa"/>
                <w:tcBorders>
                  <w:top w:val="single" w:sz="4" w:space="0" w:color="000000"/>
                  <w:left w:val="nil"/>
                  <w:bottom w:val="single" w:sz="4" w:space="0" w:color="000000"/>
                  <w:right w:val="single" w:sz="4" w:space="0" w:color="000000"/>
                </w:tcBorders>
                <w:vAlign w:val="center"/>
              </w:tcPr>
              <w:p w14:paraId="03D51788" w14:textId="77777777" w:rsidR="002D0AE7" w:rsidRDefault="00333EBB">
                <w:pPr>
                  <w:jc w:val="center"/>
                  <w:rPr>
                    <w:rFonts w:hint="eastAsia"/>
                    <w:color w:val="000000"/>
                  </w:rPr>
                </w:pPr>
                <w:r>
                  <w:rPr>
                    <w:rFonts w:hint="eastAsia"/>
                    <w:color w:val="000000"/>
                  </w:rPr>
                  <w:t>每年一次</w:t>
                </w:r>
              </w:p>
            </w:tc>
            <w:tc>
              <w:tcPr>
                <w:tcW w:w="1701" w:type="dxa"/>
                <w:tcBorders>
                  <w:top w:val="single" w:sz="4" w:space="0" w:color="000000"/>
                  <w:left w:val="nil"/>
                  <w:bottom w:val="single" w:sz="4" w:space="0" w:color="000000"/>
                  <w:right w:val="single" w:sz="4" w:space="0" w:color="000000"/>
                </w:tcBorders>
                <w:vAlign w:val="center"/>
              </w:tcPr>
              <w:p w14:paraId="20F464A5" w14:textId="77777777" w:rsidR="002D0AE7" w:rsidRDefault="00333EBB">
                <w:pPr>
                  <w:jc w:val="center"/>
                  <w:rPr>
                    <w:rFonts w:hint="eastAsia"/>
                    <w:color w:val="000000"/>
                  </w:rPr>
                </w:pPr>
                <w:r>
                  <w:rPr>
                    <w:rFonts w:hint="eastAsia"/>
                    <w:color w:val="000000"/>
                  </w:rPr>
                  <w:t>非连续采样</w:t>
                </w:r>
                <w:r>
                  <w:rPr>
                    <w:rFonts w:cs="Calibri" w:hint="eastAsia"/>
                    <w:color w:val="000000"/>
                  </w:rPr>
                  <w:t>3</w:t>
                </w:r>
                <w:r>
                  <w:rPr>
                    <w:rFonts w:hint="eastAsia"/>
                    <w:color w:val="000000"/>
                  </w:rPr>
                  <w:t>个</w:t>
                </w:r>
              </w:p>
            </w:tc>
          </w:tr>
          <w:tr w:rsidR="002D0AE7" w14:paraId="7090DA9E" w14:textId="77777777">
            <w:trPr>
              <w:trHeight w:val="1080"/>
            </w:trPr>
            <w:tc>
              <w:tcPr>
                <w:tcW w:w="1134" w:type="dxa"/>
                <w:tcBorders>
                  <w:top w:val="single" w:sz="4" w:space="0" w:color="000000"/>
                  <w:left w:val="single" w:sz="4" w:space="0" w:color="000000"/>
                  <w:bottom w:val="single" w:sz="4" w:space="0" w:color="000000"/>
                  <w:right w:val="single" w:sz="4" w:space="0" w:color="000000"/>
                </w:tcBorders>
                <w:vAlign w:val="center"/>
              </w:tcPr>
              <w:p w14:paraId="72B633B8" w14:textId="77777777" w:rsidR="002D0AE7" w:rsidRDefault="00333EBB">
                <w:pPr>
                  <w:jc w:val="center"/>
                  <w:rPr>
                    <w:rFonts w:hint="eastAsia"/>
                    <w:color w:val="000000"/>
                  </w:rPr>
                </w:pPr>
                <w:r>
                  <w:rPr>
                    <w:rFonts w:hint="eastAsia"/>
                    <w:color w:val="000000"/>
                  </w:rPr>
                  <w:t>一氧化碳</w:t>
                </w:r>
              </w:p>
            </w:tc>
            <w:tc>
              <w:tcPr>
                <w:tcW w:w="1418" w:type="dxa"/>
                <w:tcBorders>
                  <w:top w:val="single" w:sz="4" w:space="0" w:color="000000"/>
                  <w:left w:val="nil"/>
                  <w:bottom w:val="single" w:sz="4" w:space="0" w:color="000000"/>
                  <w:right w:val="single" w:sz="4" w:space="0" w:color="000000"/>
                </w:tcBorders>
                <w:vAlign w:val="center"/>
              </w:tcPr>
              <w:p w14:paraId="52EAFC99" w14:textId="77777777" w:rsidR="002D0AE7" w:rsidRDefault="00333EBB">
                <w:pPr>
                  <w:jc w:val="center"/>
                  <w:rPr>
                    <w:rFonts w:hint="eastAsia"/>
                    <w:color w:val="000000"/>
                  </w:rPr>
                </w:pPr>
                <w:r>
                  <w:rPr>
                    <w:rFonts w:cs="Calibri" w:hint="eastAsia"/>
                    <w:color w:val="000000"/>
                  </w:rPr>
                  <w:t>95mg/Nm</w:t>
                </w:r>
                <w:r>
                  <w:rPr>
                    <w:rFonts w:cs="Calibri" w:hint="eastAsia"/>
                    <w:color w:val="000000"/>
                    <w:vertAlign w:val="superscript"/>
                  </w:rPr>
                  <w:t>3</w:t>
                </w:r>
              </w:p>
            </w:tc>
            <w:tc>
              <w:tcPr>
                <w:tcW w:w="3402" w:type="dxa"/>
                <w:tcBorders>
                  <w:top w:val="single" w:sz="4" w:space="0" w:color="000000"/>
                  <w:left w:val="nil"/>
                  <w:bottom w:val="single" w:sz="4" w:space="0" w:color="000000"/>
                  <w:right w:val="single" w:sz="4" w:space="0" w:color="000000"/>
                </w:tcBorders>
                <w:vAlign w:val="center"/>
              </w:tcPr>
              <w:p w14:paraId="1BE96302" w14:textId="77777777" w:rsidR="002D0AE7" w:rsidRDefault="00333EBB">
                <w:pPr>
                  <w:jc w:val="center"/>
                  <w:rPr>
                    <w:rFonts w:hint="eastAsia"/>
                    <w:color w:val="000000"/>
                  </w:rPr>
                </w:pPr>
                <w:r>
                  <w:rPr>
                    <w:color w:val="000000"/>
                  </w:rPr>
                  <w:t>《固定污染源废气一氧化碳的测定定电位电解法》</w:t>
                </w:r>
                <w:r>
                  <w:rPr>
                    <w:color w:val="000000"/>
                  </w:rPr>
                  <w:t>HJ973-2018</w:t>
                </w:r>
              </w:p>
            </w:tc>
            <w:tc>
              <w:tcPr>
                <w:tcW w:w="1559" w:type="dxa"/>
                <w:vMerge/>
                <w:tcBorders>
                  <w:top w:val="nil"/>
                  <w:left w:val="nil"/>
                  <w:bottom w:val="nil"/>
                  <w:right w:val="single" w:sz="4" w:space="0" w:color="000000"/>
                </w:tcBorders>
                <w:vAlign w:val="center"/>
              </w:tcPr>
              <w:p w14:paraId="63880D01" w14:textId="77777777" w:rsidR="002D0AE7" w:rsidRDefault="002D0AE7">
                <w:pPr>
                  <w:jc w:val="center"/>
                  <w:rPr>
                    <w:rFonts w:ascii="Calibri" w:hAnsi="Calibri"/>
                    <w:color w:val="000000"/>
                    <w:kern w:val="2"/>
                  </w:rPr>
                </w:pPr>
              </w:p>
            </w:tc>
            <w:tc>
              <w:tcPr>
                <w:tcW w:w="1134" w:type="dxa"/>
                <w:tcBorders>
                  <w:top w:val="single" w:sz="4" w:space="0" w:color="000000"/>
                  <w:left w:val="nil"/>
                  <w:bottom w:val="single" w:sz="4" w:space="0" w:color="000000"/>
                  <w:right w:val="single" w:sz="4" w:space="0" w:color="000000"/>
                </w:tcBorders>
                <w:vAlign w:val="center"/>
              </w:tcPr>
              <w:p w14:paraId="7567D1ED" w14:textId="77777777" w:rsidR="002D0AE7" w:rsidRDefault="00333EBB">
                <w:pPr>
                  <w:jc w:val="center"/>
                  <w:rPr>
                    <w:rFonts w:hint="eastAsia"/>
                    <w:color w:val="000000"/>
                  </w:rPr>
                </w:pPr>
                <w:r>
                  <w:rPr>
                    <w:rFonts w:hint="eastAsia"/>
                    <w:color w:val="000000"/>
                  </w:rPr>
                  <w:t>每年一次</w:t>
                </w:r>
              </w:p>
            </w:tc>
            <w:tc>
              <w:tcPr>
                <w:tcW w:w="1701" w:type="dxa"/>
                <w:tcBorders>
                  <w:top w:val="single" w:sz="4" w:space="0" w:color="000000"/>
                  <w:left w:val="nil"/>
                  <w:bottom w:val="single" w:sz="4" w:space="0" w:color="000000"/>
                  <w:right w:val="single" w:sz="4" w:space="0" w:color="000000"/>
                </w:tcBorders>
                <w:vAlign w:val="center"/>
              </w:tcPr>
              <w:p w14:paraId="2AED66E3" w14:textId="77777777" w:rsidR="002D0AE7" w:rsidRDefault="00333EBB">
                <w:pPr>
                  <w:jc w:val="center"/>
                  <w:rPr>
                    <w:rFonts w:hint="eastAsia"/>
                    <w:color w:val="000000"/>
                  </w:rPr>
                </w:pPr>
                <w:r>
                  <w:rPr>
                    <w:rFonts w:hint="eastAsia"/>
                    <w:color w:val="000000"/>
                  </w:rPr>
                  <w:t>非连续采样</w:t>
                </w:r>
                <w:r>
                  <w:rPr>
                    <w:rFonts w:cs="Calibri" w:hint="eastAsia"/>
                    <w:color w:val="000000"/>
                  </w:rPr>
                  <w:t>3</w:t>
                </w:r>
                <w:r>
                  <w:rPr>
                    <w:rFonts w:hint="eastAsia"/>
                    <w:color w:val="000000"/>
                  </w:rPr>
                  <w:t>个</w:t>
                </w:r>
              </w:p>
            </w:tc>
          </w:tr>
          <w:tr w:rsidR="002D0AE7" w14:paraId="4B54E4B2" w14:textId="77777777">
            <w:trPr>
              <w:trHeight w:val="1080"/>
            </w:trPr>
            <w:tc>
              <w:tcPr>
                <w:tcW w:w="1134" w:type="dxa"/>
                <w:tcBorders>
                  <w:top w:val="single" w:sz="4" w:space="0" w:color="000000"/>
                  <w:left w:val="single" w:sz="4" w:space="0" w:color="000000"/>
                  <w:bottom w:val="single" w:sz="4" w:space="0" w:color="000000"/>
                  <w:right w:val="single" w:sz="4" w:space="0" w:color="000000"/>
                </w:tcBorders>
                <w:vAlign w:val="center"/>
              </w:tcPr>
              <w:p w14:paraId="001FDC88" w14:textId="77777777" w:rsidR="002D0AE7" w:rsidRDefault="00333EBB">
                <w:pPr>
                  <w:jc w:val="center"/>
                  <w:rPr>
                    <w:rFonts w:hint="eastAsia"/>
                    <w:color w:val="000000"/>
                  </w:rPr>
                </w:pPr>
                <w:r>
                  <w:rPr>
                    <w:rFonts w:hint="eastAsia"/>
                    <w:color w:val="000000"/>
                  </w:rPr>
                  <w:t>颗粒物</w:t>
                </w:r>
              </w:p>
            </w:tc>
            <w:tc>
              <w:tcPr>
                <w:tcW w:w="1418" w:type="dxa"/>
                <w:tcBorders>
                  <w:top w:val="single" w:sz="4" w:space="0" w:color="000000"/>
                  <w:left w:val="nil"/>
                  <w:bottom w:val="single" w:sz="4" w:space="0" w:color="000000"/>
                  <w:right w:val="single" w:sz="4" w:space="0" w:color="000000"/>
                </w:tcBorders>
                <w:vAlign w:val="center"/>
              </w:tcPr>
              <w:p w14:paraId="615C0E11" w14:textId="77777777" w:rsidR="002D0AE7" w:rsidRDefault="00333EBB">
                <w:pPr>
                  <w:jc w:val="center"/>
                  <w:rPr>
                    <w:rFonts w:hint="eastAsia"/>
                    <w:color w:val="000000"/>
                  </w:rPr>
                </w:pPr>
                <w:r>
                  <w:rPr>
                    <w:rFonts w:cs="Calibri" w:hint="eastAsia"/>
                    <w:color w:val="000000"/>
                  </w:rPr>
                  <w:t>10mg/Nm</w:t>
                </w:r>
                <w:r>
                  <w:rPr>
                    <w:rFonts w:cs="Calibri" w:hint="eastAsia"/>
                    <w:color w:val="000000"/>
                    <w:vertAlign w:val="superscript"/>
                  </w:rPr>
                  <w:t>3</w:t>
                </w:r>
              </w:p>
            </w:tc>
            <w:tc>
              <w:tcPr>
                <w:tcW w:w="3402" w:type="dxa"/>
                <w:tcBorders>
                  <w:top w:val="single" w:sz="4" w:space="0" w:color="000000"/>
                  <w:left w:val="nil"/>
                  <w:bottom w:val="single" w:sz="4" w:space="0" w:color="000000"/>
                  <w:right w:val="single" w:sz="4" w:space="0" w:color="000000"/>
                </w:tcBorders>
                <w:vAlign w:val="center"/>
              </w:tcPr>
              <w:p w14:paraId="23949904" w14:textId="77777777" w:rsidR="002D0AE7" w:rsidRDefault="00333EBB">
                <w:pPr>
                  <w:jc w:val="center"/>
                  <w:rPr>
                    <w:rFonts w:hint="eastAsia"/>
                    <w:color w:val="000000"/>
                  </w:rPr>
                </w:pPr>
                <w:r>
                  <w:rPr>
                    <w:rFonts w:hint="eastAsia"/>
                    <w:color w:val="000000"/>
                  </w:rPr>
                  <w:t>《固定污染源废气低浓度颗粒物的测定重量法》</w:t>
                </w:r>
                <w:r>
                  <w:rPr>
                    <w:rFonts w:cs="Calibri" w:hint="eastAsia"/>
                    <w:color w:val="000000"/>
                  </w:rPr>
                  <w:t>HJ836-2017</w:t>
                </w:r>
              </w:p>
            </w:tc>
            <w:tc>
              <w:tcPr>
                <w:tcW w:w="1559" w:type="dxa"/>
                <w:tcBorders>
                  <w:top w:val="single" w:sz="4" w:space="0" w:color="000000"/>
                  <w:left w:val="nil"/>
                  <w:bottom w:val="single" w:sz="4" w:space="0" w:color="000000"/>
                  <w:right w:val="single" w:sz="4" w:space="0" w:color="000000"/>
                </w:tcBorders>
                <w:vAlign w:val="center"/>
              </w:tcPr>
              <w:p w14:paraId="16BEF377" w14:textId="77777777" w:rsidR="002D0AE7" w:rsidRDefault="00333EBB">
                <w:pPr>
                  <w:jc w:val="center"/>
                  <w:rPr>
                    <w:rFonts w:hint="eastAsia"/>
                    <w:color w:val="000000"/>
                  </w:rPr>
                </w:pPr>
                <w:r>
                  <w:rPr>
                    <w:rFonts w:hint="eastAsia"/>
                    <w:color w:val="000000"/>
                  </w:rPr>
                  <w:t>大流量烟尘（气）测试仪；电子天平；恒温恒湿设备</w:t>
                </w:r>
              </w:p>
            </w:tc>
            <w:tc>
              <w:tcPr>
                <w:tcW w:w="1134" w:type="dxa"/>
                <w:tcBorders>
                  <w:top w:val="single" w:sz="4" w:space="0" w:color="000000"/>
                  <w:left w:val="nil"/>
                  <w:bottom w:val="single" w:sz="4" w:space="0" w:color="000000"/>
                  <w:right w:val="single" w:sz="4" w:space="0" w:color="000000"/>
                </w:tcBorders>
                <w:vAlign w:val="center"/>
              </w:tcPr>
              <w:p w14:paraId="368EDADF" w14:textId="77777777" w:rsidR="002D0AE7" w:rsidRDefault="00333EBB">
                <w:pPr>
                  <w:jc w:val="center"/>
                  <w:rPr>
                    <w:rFonts w:hint="eastAsia"/>
                    <w:color w:val="000000"/>
                  </w:rPr>
                </w:pPr>
                <w:r>
                  <w:rPr>
                    <w:rFonts w:hint="eastAsia"/>
                    <w:color w:val="000000"/>
                  </w:rPr>
                  <w:t>每年一次</w:t>
                </w:r>
              </w:p>
            </w:tc>
            <w:tc>
              <w:tcPr>
                <w:tcW w:w="1701" w:type="dxa"/>
                <w:tcBorders>
                  <w:top w:val="single" w:sz="4" w:space="0" w:color="000000"/>
                  <w:left w:val="nil"/>
                  <w:bottom w:val="single" w:sz="4" w:space="0" w:color="000000"/>
                  <w:right w:val="single" w:sz="4" w:space="0" w:color="000000"/>
                </w:tcBorders>
                <w:vAlign w:val="center"/>
              </w:tcPr>
              <w:p w14:paraId="216F7129" w14:textId="77777777" w:rsidR="002D0AE7" w:rsidRDefault="00333EBB">
                <w:pPr>
                  <w:jc w:val="center"/>
                  <w:rPr>
                    <w:rFonts w:hint="eastAsia"/>
                    <w:color w:val="000000"/>
                  </w:rPr>
                </w:pPr>
                <w:r>
                  <w:rPr>
                    <w:rFonts w:hint="eastAsia"/>
                    <w:color w:val="000000"/>
                  </w:rPr>
                  <w:t>连续采样</w:t>
                </w:r>
                <w:r>
                  <w:rPr>
                    <w:rFonts w:cs="Calibri" w:hint="eastAsia"/>
                    <w:color w:val="000000"/>
                  </w:rPr>
                  <w:t>3</w:t>
                </w:r>
                <w:r>
                  <w:rPr>
                    <w:rFonts w:hint="eastAsia"/>
                    <w:color w:val="000000"/>
                  </w:rPr>
                  <w:t>个</w:t>
                </w:r>
              </w:p>
            </w:tc>
          </w:tr>
          <w:tr w:rsidR="002D0AE7" w14:paraId="7DA23AE3" w14:textId="77777777">
            <w:trPr>
              <w:trHeight w:val="1080"/>
            </w:trPr>
            <w:tc>
              <w:tcPr>
                <w:tcW w:w="1134" w:type="dxa"/>
                <w:tcBorders>
                  <w:top w:val="single" w:sz="4" w:space="0" w:color="000000"/>
                  <w:left w:val="single" w:sz="4" w:space="0" w:color="000000"/>
                  <w:bottom w:val="single" w:sz="4" w:space="0" w:color="000000"/>
                  <w:right w:val="single" w:sz="4" w:space="0" w:color="000000"/>
                </w:tcBorders>
                <w:vAlign w:val="center"/>
              </w:tcPr>
              <w:p w14:paraId="12D6605A" w14:textId="77777777" w:rsidR="002D0AE7" w:rsidRDefault="00333EBB">
                <w:pPr>
                  <w:jc w:val="center"/>
                  <w:rPr>
                    <w:rFonts w:hint="eastAsia"/>
                    <w:color w:val="000000"/>
                  </w:rPr>
                </w:pPr>
                <w:r>
                  <w:rPr>
                    <w:rFonts w:hint="eastAsia"/>
                    <w:color w:val="000000"/>
                  </w:rPr>
                  <w:t>烟气黑度</w:t>
                </w:r>
              </w:p>
            </w:tc>
            <w:tc>
              <w:tcPr>
                <w:tcW w:w="1418" w:type="dxa"/>
                <w:tcBorders>
                  <w:top w:val="single" w:sz="4" w:space="0" w:color="000000"/>
                  <w:left w:val="nil"/>
                  <w:bottom w:val="single" w:sz="4" w:space="0" w:color="000000"/>
                  <w:right w:val="single" w:sz="4" w:space="0" w:color="000000"/>
                </w:tcBorders>
                <w:vAlign w:val="center"/>
              </w:tcPr>
              <w:p w14:paraId="453B0E73" w14:textId="77777777" w:rsidR="002D0AE7" w:rsidRDefault="00333EBB">
                <w:pPr>
                  <w:jc w:val="center"/>
                  <w:rPr>
                    <w:rFonts w:hint="eastAsia"/>
                    <w:color w:val="000000"/>
                  </w:rPr>
                </w:pPr>
                <w:r>
                  <w:rPr>
                    <w:rFonts w:cs="Calibri" w:hint="eastAsia"/>
                    <w:color w:val="000000"/>
                  </w:rPr>
                  <w:t>1</w:t>
                </w:r>
                <w:r>
                  <w:rPr>
                    <w:rFonts w:hint="eastAsia"/>
                    <w:color w:val="000000"/>
                  </w:rPr>
                  <w:t>级</w:t>
                </w:r>
              </w:p>
            </w:tc>
            <w:tc>
              <w:tcPr>
                <w:tcW w:w="3402" w:type="dxa"/>
                <w:tcBorders>
                  <w:top w:val="single" w:sz="4" w:space="0" w:color="000000"/>
                  <w:left w:val="nil"/>
                  <w:bottom w:val="single" w:sz="4" w:space="0" w:color="000000"/>
                  <w:right w:val="single" w:sz="4" w:space="0" w:color="000000"/>
                </w:tcBorders>
                <w:vAlign w:val="center"/>
              </w:tcPr>
              <w:p w14:paraId="05A61CA2" w14:textId="77777777" w:rsidR="002D0AE7" w:rsidRDefault="00333EBB">
                <w:pPr>
                  <w:jc w:val="center"/>
                  <w:rPr>
                    <w:rFonts w:hint="eastAsia"/>
                    <w:color w:val="000000"/>
                  </w:rPr>
                </w:pPr>
                <w:r>
                  <w:rPr>
                    <w:rFonts w:hint="eastAsia"/>
                    <w:color w:val="000000"/>
                  </w:rPr>
                  <w:t>《固定污染源排放烟气黑度的测定林格曼烟气黑度图法》</w:t>
                </w:r>
                <w:r>
                  <w:rPr>
                    <w:rFonts w:cs="Calibri" w:hint="eastAsia"/>
                    <w:color w:val="000000"/>
                  </w:rPr>
                  <w:t>HJ/T398-2007</w:t>
                </w:r>
              </w:p>
            </w:tc>
            <w:tc>
              <w:tcPr>
                <w:tcW w:w="1559" w:type="dxa"/>
                <w:tcBorders>
                  <w:top w:val="single" w:sz="4" w:space="0" w:color="000000"/>
                  <w:left w:val="nil"/>
                  <w:bottom w:val="single" w:sz="4" w:space="0" w:color="000000"/>
                  <w:right w:val="single" w:sz="4" w:space="0" w:color="000000"/>
                </w:tcBorders>
                <w:vAlign w:val="center"/>
              </w:tcPr>
              <w:p w14:paraId="50A537EF" w14:textId="77777777" w:rsidR="002D0AE7" w:rsidRDefault="00333EBB">
                <w:pPr>
                  <w:jc w:val="center"/>
                  <w:rPr>
                    <w:rFonts w:hint="eastAsia"/>
                    <w:color w:val="000000"/>
                  </w:rPr>
                </w:pPr>
                <w:r>
                  <w:rPr>
                    <w:rFonts w:hint="eastAsia"/>
                    <w:color w:val="000000"/>
                  </w:rPr>
                  <w:t>林格曼烟气黑度图</w:t>
                </w:r>
              </w:p>
            </w:tc>
            <w:tc>
              <w:tcPr>
                <w:tcW w:w="1134" w:type="dxa"/>
                <w:tcBorders>
                  <w:top w:val="single" w:sz="4" w:space="0" w:color="000000"/>
                  <w:left w:val="nil"/>
                  <w:bottom w:val="single" w:sz="4" w:space="0" w:color="000000"/>
                  <w:right w:val="single" w:sz="4" w:space="0" w:color="000000"/>
                </w:tcBorders>
                <w:vAlign w:val="center"/>
              </w:tcPr>
              <w:p w14:paraId="6D5FB7CB" w14:textId="77777777" w:rsidR="002D0AE7" w:rsidRDefault="00333EBB">
                <w:pPr>
                  <w:jc w:val="center"/>
                  <w:rPr>
                    <w:rFonts w:hint="eastAsia"/>
                    <w:color w:val="000000"/>
                  </w:rPr>
                </w:pPr>
                <w:r>
                  <w:rPr>
                    <w:rFonts w:hint="eastAsia"/>
                    <w:color w:val="000000"/>
                  </w:rPr>
                  <w:t>每年一次</w:t>
                </w:r>
              </w:p>
            </w:tc>
            <w:tc>
              <w:tcPr>
                <w:tcW w:w="1701" w:type="dxa"/>
                <w:tcBorders>
                  <w:top w:val="single" w:sz="4" w:space="0" w:color="000000"/>
                  <w:left w:val="nil"/>
                  <w:bottom w:val="single" w:sz="4" w:space="0" w:color="000000"/>
                  <w:right w:val="single" w:sz="4" w:space="0" w:color="000000"/>
                </w:tcBorders>
                <w:vAlign w:val="center"/>
              </w:tcPr>
              <w:p w14:paraId="0C1ADD23" w14:textId="77777777" w:rsidR="002D0AE7" w:rsidRDefault="00333EBB">
                <w:pPr>
                  <w:jc w:val="center"/>
                  <w:rPr>
                    <w:rFonts w:hint="eastAsia"/>
                    <w:color w:val="000000"/>
                  </w:rPr>
                </w:pPr>
                <w:r>
                  <w:rPr>
                    <w:rFonts w:hint="eastAsia"/>
                    <w:color w:val="000000"/>
                  </w:rPr>
                  <w:t>非连续采样</w:t>
                </w:r>
                <w:r>
                  <w:rPr>
                    <w:rFonts w:cs="Calibri" w:hint="eastAsia"/>
                    <w:color w:val="000000"/>
                  </w:rPr>
                  <w:t>3</w:t>
                </w:r>
                <w:r>
                  <w:rPr>
                    <w:rFonts w:hint="eastAsia"/>
                    <w:color w:val="000000"/>
                  </w:rPr>
                  <w:t>个</w:t>
                </w:r>
              </w:p>
            </w:tc>
          </w:tr>
          <w:tr w:rsidR="002D0AE7" w14:paraId="255D8BF0" w14:textId="77777777">
            <w:trPr>
              <w:trHeight w:val="280"/>
            </w:trPr>
            <w:tc>
              <w:tcPr>
                <w:tcW w:w="10348" w:type="dxa"/>
                <w:gridSpan w:val="6"/>
                <w:tcBorders>
                  <w:top w:val="single" w:sz="4" w:space="0" w:color="000000"/>
                  <w:left w:val="single" w:sz="4" w:space="0" w:color="000000"/>
                  <w:bottom w:val="single" w:sz="4" w:space="0" w:color="000000"/>
                  <w:right w:val="single" w:sz="4" w:space="0" w:color="000000"/>
                </w:tcBorders>
                <w:vAlign w:val="center"/>
              </w:tcPr>
              <w:p w14:paraId="53BA18FD" w14:textId="77777777" w:rsidR="002D0AE7" w:rsidRDefault="00333EBB">
                <w:pPr>
                  <w:jc w:val="center"/>
                  <w:rPr>
                    <w:rFonts w:hint="eastAsia"/>
                    <w:color w:val="000000"/>
                  </w:rPr>
                </w:pPr>
                <w:r>
                  <w:rPr>
                    <w:rFonts w:hint="eastAsia"/>
                    <w:color w:val="000000"/>
                  </w:rPr>
                  <w:t>排放标准</w:t>
                </w:r>
              </w:p>
            </w:tc>
          </w:tr>
          <w:tr w:rsidR="002D0AE7" w14:paraId="5040CF02" w14:textId="77777777">
            <w:trPr>
              <w:trHeight w:val="280"/>
            </w:trPr>
            <w:tc>
              <w:tcPr>
                <w:tcW w:w="10348" w:type="dxa"/>
                <w:gridSpan w:val="6"/>
                <w:tcBorders>
                  <w:top w:val="single" w:sz="4" w:space="0" w:color="000000"/>
                  <w:left w:val="single" w:sz="4" w:space="0" w:color="000000"/>
                  <w:bottom w:val="single" w:sz="4" w:space="0" w:color="000000"/>
                  <w:right w:val="single" w:sz="4" w:space="0" w:color="000000"/>
                </w:tcBorders>
                <w:vAlign w:val="center"/>
              </w:tcPr>
              <w:p w14:paraId="10CE2A7E" w14:textId="77777777" w:rsidR="002D0AE7" w:rsidRDefault="00333EBB">
                <w:pPr>
                  <w:jc w:val="center"/>
                  <w:rPr>
                    <w:rFonts w:hint="eastAsia"/>
                    <w:color w:val="000000"/>
                  </w:rPr>
                </w:pPr>
                <w:r>
                  <w:rPr>
                    <w:rFonts w:hint="eastAsia"/>
                    <w:color w:val="000000"/>
                  </w:rPr>
                  <w:lastRenderedPageBreak/>
                  <w:t>《锅炉大气污染物排放标准》（</w:t>
                </w:r>
                <w:r>
                  <w:rPr>
                    <w:rFonts w:cs="Calibri" w:hint="eastAsia"/>
                    <w:color w:val="000000"/>
                  </w:rPr>
                  <w:t>DB12/151-2020</w:t>
                </w:r>
                <w:r>
                  <w:rPr>
                    <w:rFonts w:hint="eastAsia"/>
                    <w:color w:val="000000"/>
                  </w:rPr>
                  <w:t>）</w:t>
                </w:r>
              </w:p>
            </w:tc>
          </w:tr>
        </w:tbl>
        <w:p w14:paraId="61525225" w14:textId="77777777" w:rsidR="002D0AE7" w:rsidRDefault="00333EBB">
          <w:pPr>
            <w:ind w:firstLine="420"/>
            <w:rPr>
              <w:rFonts w:ascii="Calibri" w:hAnsi="Calibri" w:cs="Times New Roman"/>
              <w:b/>
              <w:bCs/>
              <w:color w:val="000000"/>
              <w:kern w:val="2"/>
            </w:rPr>
          </w:pPr>
          <w:r>
            <w:rPr>
              <w:rFonts w:hint="eastAsia"/>
              <w:b/>
              <w:bCs/>
              <w:color w:val="000000"/>
            </w:rPr>
            <w:t>③津药和平（天津）制药有限公司</w:t>
          </w:r>
        </w:p>
        <w:tbl>
          <w:tblPr>
            <w:tblW w:w="10348" w:type="dxa"/>
            <w:tblInd w:w="-1026" w:type="dxa"/>
            <w:tblLayout w:type="fixed"/>
            <w:tblLook w:val="04A0" w:firstRow="1" w:lastRow="0" w:firstColumn="1" w:lastColumn="0" w:noHBand="0" w:noVBand="1"/>
          </w:tblPr>
          <w:tblGrid>
            <w:gridCol w:w="1163"/>
            <w:gridCol w:w="1389"/>
            <w:gridCol w:w="3402"/>
            <w:gridCol w:w="1843"/>
            <w:gridCol w:w="708"/>
            <w:gridCol w:w="1843"/>
          </w:tblGrid>
          <w:tr w:rsidR="002D0AE7" w14:paraId="39C565EA" w14:textId="77777777">
            <w:trPr>
              <w:trHeight w:val="280"/>
            </w:trPr>
            <w:tc>
              <w:tcPr>
                <w:tcW w:w="1163" w:type="dxa"/>
                <w:tcBorders>
                  <w:top w:val="single" w:sz="4" w:space="0" w:color="000000"/>
                  <w:left w:val="single" w:sz="4" w:space="0" w:color="000000"/>
                  <w:bottom w:val="single" w:sz="4" w:space="0" w:color="000000"/>
                  <w:right w:val="single" w:sz="4" w:space="0" w:color="000000"/>
                </w:tcBorders>
                <w:vAlign w:val="center"/>
              </w:tcPr>
              <w:p w14:paraId="2E264E27" w14:textId="77777777" w:rsidR="002D0AE7" w:rsidRDefault="00333EBB">
                <w:pPr>
                  <w:rPr>
                    <w:rFonts w:hint="eastAsia"/>
                    <w:color w:val="000000"/>
                  </w:rPr>
                </w:pPr>
                <w:r>
                  <w:rPr>
                    <w:rFonts w:hint="eastAsia"/>
                    <w:color w:val="000000"/>
                  </w:rPr>
                  <w:t>项目名称</w:t>
                </w:r>
              </w:p>
            </w:tc>
            <w:tc>
              <w:tcPr>
                <w:tcW w:w="1389" w:type="dxa"/>
                <w:tcBorders>
                  <w:top w:val="single" w:sz="4" w:space="0" w:color="000000"/>
                  <w:left w:val="nil"/>
                  <w:bottom w:val="single" w:sz="4" w:space="0" w:color="000000"/>
                  <w:right w:val="single" w:sz="4" w:space="0" w:color="000000"/>
                </w:tcBorders>
                <w:vAlign w:val="center"/>
              </w:tcPr>
              <w:p w14:paraId="0E90F98D" w14:textId="77777777" w:rsidR="002D0AE7" w:rsidRDefault="00333EBB">
                <w:pPr>
                  <w:rPr>
                    <w:rFonts w:hint="eastAsia"/>
                    <w:color w:val="000000"/>
                  </w:rPr>
                </w:pPr>
                <w:r>
                  <w:rPr>
                    <w:rFonts w:hint="eastAsia"/>
                    <w:color w:val="000000"/>
                  </w:rPr>
                  <w:t>排放限值</w:t>
                </w:r>
              </w:p>
            </w:tc>
            <w:tc>
              <w:tcPr>
                <w:tcW w:w="3402" w:type="dxa"/>
                <w:tcBorders>
                  <w:top w:val="single" w:sz="4" w:space="0" w:color="000000"/>
                  <w:left w:val="nil"/>
                  <w:bottom w:val="single" w:sz="4" w:space="0" w:color="000000"/>
                  <w:right w:val="single" w:sz="4" w:space="0" w:color="000000"/>
                </w:tcBorders>
                <w:vAlign w:val="center"/>
              </w:tcPr>
              <w:p w14:paraId="6AC23F5B" w14:textId="77777777" w:rsidR="002D0AE7" w:rsidRDefault="00333EBB">
                <w:pPr>
                  <w:rPr>
                    <w:rFonts w:hint="eastAsia"/>
                    <w:color w:val="000000"/>
                  </w:rPr>
                </w:pPr>
                <w:r>
                  <w:rPr>
                    <w:rFonts w:hint="eastAsia"/>
                    <w:color w:val="000000"/>
                  </w:rPr>
                  <w:t>监测方法</w:t>
                </w:r>
              </w:p>
            </w:tc>
            <w:tc>
              <w:tcPr>
                <w:tcW w:w="1843" w:type="dxa"/>
                <w:tcBorders>
                  <w:top w:val="single" w:sz="4" w:space="0" w:color="000000"/>
                  <w:left w:val="nil"/>
                  <w:bottom w:val="single" w:sz="4" w:space="0" w:color="000000"/>
                  <w:right w:val="single" w:sz="4" w:space="0" w:color="000000"/>
                </w:tcBorders>
                <w:vAlign w:val="center"/>
              </w:tcPr>
              <w:p w14:paraId="39057B8C" w14:textId="77777777" w:rsidR="002D0AE7" w:rsidRDefault="00333EBB">
                <w:pPr>
                  <w:rPr>
                    <w:rFonts w:hint="eastAsia"/>
                    <w:color w:val="000000"/>
                  </w:rPr>
                </w:pPr>
                <w:r>
                  <w:rPr>
                    <w:rFonts w:hint="eastAsia"/>
                    <w:color w:val="000000"/>
                  </w:rPr>
                  <w:t>分析仪器</w:t>
                </w:r>
              </w:p>
            </w:tc>
            <w:tc>
              <w:tcPr>
                <w:tcW w:w="708" w:type="dxa"/>
                <w:tcBorders>
                  <w:top w:val="single" w:sz="4" w:space="0" w:color="000000"/>
                  <w:left w:val="nil"/>
                  <w:bottom w:val="single" w:sz="4" w:space="0" w:color="000000"/>
                  <w:right w:val="single" w:sz="4" w:space="0" w:color="000000"/>
                </w:tcBorders>
                <w:vAlign w:val="center"/>
              </w:tcPr>
              <w:p w14:paraId="22617C82" w14:textId="77777777" w:rsidR="002D0AE7" w:rsidRDefault="00333EBB">
                <w:pPr>
                  <w:rPr>
                    <w:rFonts w:hint="eastAsia"/>
                    <w:color w:val="000000"/>
                  </w:rPr>
                </w:pPr>
                <w:r>
                  <w:rPr>
                    <w:rFonts w:hint="eastAsia"/>
                    <w:color w:val="000000"/>
                  </w:rPr>
                  <w:t>监测频次</w:t>
                </w:r>
              </w:p>
            </w:tc>
            <w:tc>
              <w:tcPr>
                <w:tcW w:w="1843" w:type="dxa"/>
                <w:tcBorders>
                  <w:top w:val="single" w:sz="4" w:space="0" w:color="000000"/>
                  <w:left w:val="nil"/>
                  <w:bottom w:val="single" w:sz="4" w:space="0" w:color="000000"/>
                  <w:right w:val="single" w:sz="4" w:space="0" w:color="000000"/>
                </w:tcBorders>
                <w:vAlign w:val="center"/>
              </w:tcPr>
              <w:p w14:paraId="10F2481E" w14:textId="77777777" w:rsidR="002D0AE7" w:rsidRDefault="00333EBB">
                <w:pPr>
                  <w:rPr>
                    <w:rFonts w:hint="eastAsia"/>
                    <w:color w:val="000000"/>
                  </w:rPr>
                </w:pPr>
                <w:r>
                  <w:rPr>
                    <w:rFonts w:hint="eastAsia"/>
                    <w:color w:val="000000"/>
                  </w:rPr>
                  <w:t>采样方法及个数</w:t>
                </w:r>
              </w:p>
            </w:tc>
          </w:tr>
          <w:tr w:rsidR="002D0AE7" w14:paraId="35723D71" w14:textId="77777777">
            <w:trPr>
              <w:trHeight w:val="540"/>
            </w:trPr>
            <w:tc>
              <w:tcPr>
                <w:tcW w:w="1163" w:type="dxa"/>
                <w:tcBorders>
                  <w:top w:val="single" w:sz="4" w:space="0" w:color="000000"/>
                  <w:left w:val="single" w:sz="4" w:space="0" w:color="000000"/>
                  <w:bottom w:val="single" w:sz="4" w:space="0" w:color="000000"/>
                  <w:right w:val="single" w:sz="4" w:space="0" w:color="000000"/>
                </w:tcBorders>
                <w:vAlign w:val="center"/>
              </w:tcPr>
              <w:p w14:paraId="64E392A1" w14:textId="77777777" w:rsidR="002D0AE7" w:rsidRDefault="00333EBB">
                <w:pPr>
                  <w:rPr>
                    <w:rFonts w:hint="eastAsia"/>
                    <w:color w:val="000000"/>
                  </w:rPr>
                </w:pPr>
                <w:r>
                  <w:rPr>
                    <w:rFonts w:hint="eastAsia"/>
                    <w:color w:val="000000"/>
                  </w:rPr>
                  <w:t>挥发性有机物</w:t>
                </w:r>
              </w:p>
            </w:tc>
            <w:tc>
              <w:tcPr>
                <w:tcW w:w="1389" w:type="dxa"/>
                <w:tcBorders>
                  <w:top w:val="single" w:sz="4" w:space="0" w:color="000000"/>
                  <w:left w:val="nil"/>
                  <w:bottom w:val="single" w:sz="4" w:space="0" w:color="000000"/>
                  <w:right w:val="single" w:sz="4" w:space="0" w:color="000000"/>
                </w:tcBorders>
                <w:vAlign w:val="center"/>
              </w:tcPr>
              <w:p w14:paraId="097D156A" w14:textId="77777777" w:rsidR="002D0AE7" w:rsidRDefault="00333EBB">
                <w:pPr>
                  <w:rPr>
                    <w:rFonts w:ascii="Calibri" w:hAnsi="Calibri"/>
                    <w:color w:val="000000"/>
                  </w:rPr>
                </w:pPr>
                <w:r>
                  <w:rPr>
                    <w:color w:val="000000"/>
                  </w:rPr>
                  <w:t>40mg/Nm</w:t>
                </w:r>
                <w:r>
                  <w:rPr>
                    <w:color w:val="000000"/>
                    <w:vertAlign w:val="superscript"/>
                  </w:rPr>
                  <w:t>3</w:t>
                </w:r>
              </w:p>
            </w:tc>
            <w:tc>
              <w:tcPr>
                <w:tcW w:w="3402" w:type="dxa"/>
                <w:tcBorders>
                  <w:top w:val="single" w:sz="4" w:space="0" w:color="000000"/>
                  <w:left w:val="nil"/>
                  <w:bottom w:val="single" w:sz="4" w:space="0" w:color="000000"/>
                  <w:right w:val="single" w:sz="4" w:space="0" w:color="000000"/>
                </w:tcBorders>
                <w:vAlign w:val="center"/>
              </w:tcPr>
              <w:p w14:paraId="1EAB3EB4" w14:textId="77777777" w:rsidR="002D0AE7" w:rsidRDefault="00333EBB">
                <w:pPr>
                  <w:rPr>
                    <w:rFonts w:hint="eastAsia"/>
                    <w:color w:val="000000"/>
                  </w:rPr>
                </w:pPr>
                <w:r>
                  <w:rPr>
                    <w:rFonts w:hint="eastAsia"/>
                    <w:color w:val="000000"/>
                  </w:rPr>
                  <w:t>固定污染源废气挥发性有机物的测定</w:t>
                </w:r>
                <w:r>
                  <w:rPr>
                    <w:rFonts w:hint="eastAsia"/>
                    <w:color w:val="000000"/>
                  </w:rPr>
                  <w:br/>
                </w:r>
                <w:r>
                  <w:rPr>
                    <w:rFonts w:hint="eastAsia"/>
                    <w:color w:val="000000"/>
                  </w:rPr>
                  <w:t>固相吸附热脱附</w:t>
                </w:r>
                <w:r>
                  <w:rPr>
                    <w:rFonts w:cs="Calibri" w:hint="eastAsia"/>
                    <w:color w:val="000000"/>
                  </w:rPr>
                  <w:t>/</w:t>
                </w:r>
                <w:r>
                  <w:rPr>
                    <w:rFonts w:hint="eastAsia"/>
                    <w:color w:val="000000"/>
                  </w:rPr>
                  <w:t>气相色谱</w:t>
                </w:r>
                <w:r>
                  <w:rPr>
                    <w:rFonts w:cs="Calibri" w:hint="eastAsia"/>
                    <w:color w:val="000000"/>
                  </w:rPr>
                  <w:t>-</w:t>
                </w:r>
                <w:r>
                  <w:rPr>
                    <w:rFonts w:hint="eastAsia"/>
                    <w:color w:val="000000"/>
                  </w:rPr>
                  <w:t>质谱法</w:t>
                </w:r>
                <w:r>
                  <w:rPr>
                    <w:rFonts w:cs="Calibri" w:hint="eastAsia"/>
                    <w:color w:val="000000"/>
                  </w:rPr>
                  <w:t>HJ734-2014</w:t>
                </w:r>
              </w:p>
            </w:tc>
            <w:tc>
              <w:tcPr>
                <w:tcW w:w="1843" w:type="dxa"/>
                <w:tcBorders>
                  <w:top w:val="single" w:sz="4" w:space="0" w:color="000000"/>
                  <w:left w:val="nil"/>
                  <w:bottom w:val="single" w:sz="4" w:space="0" w:color="000000"/>
                  <w:right w:val="single" w:sz="4" w:space="0" w:color="000000"/>
                </w:tcBorders>
                <w:vAlign w:val="center"/>
              </w:tcPr>
              <w:p w14:paraId="2A9145E6" w14:textId="77777777" w:rsidR="002D0AE7" w:rsidRDefault="00333EBB">
                <w:pPr>
                  <w:rPr>
                    <w:rFonts w:hint="eastAsia"/>
                    <w:color w:val="000000"/>
                  </w:rPr>
                </w:pPr>
                <w:r>
                  <w:rPr>
                    <w:rFonts w:hint="eastAsia"/>
                    <w:color w:val="000000"/>
                  </w:rPr>
                  <w:t>气相色谱</w:t>
                </w:r>
                <w:r>
                  <w:rPr>
                    <w:rFonts w:cs="Calibri" w:hint="eastAsia"/>
                    <w:color w:val="000000"/>
                  </w:rPr>
                  <w:t>-</w:t>
                </w:r>
                <w:r>
                  <w:rPr>
                    <w:rFonts w:hint="eastAsia"/>
                    <w:color w:val="000000"/>
                  </w:rPr>
                  <w:t>质谱仪</w:t>
                </w:r>
              </w:p>
            </w:tc>
            <w:tc>
              <w:tcPr>
                <w:tcW w:w="708" w:type="dxa"/>
                <w:tcBorders>
                  <w:top w:val="single" w:sz="4" w:space="0" w:color="000000"/>
                  <w:left w:val="nil"/>
                  <w:bottom w:val="single" w:sz="4" w:space="0" w:color="000000"/>
                  <w:right w:val="single" w:sz="4" w:space="0" w:color="000000"/>
                </w:tcBorders>
                <w:vAlign w:val="center"/>
              </w:tcPr>
              <w:p w14:paraId="22335F79" w14:textId="77777777" w:rsidR="002D0AE7" w:rsidRDefault="00333EBB">
                <w:pPr>
                  <w:rPr>
                    <w:rFonts w:hint="eastAsia"/>
                    <w:color w:val="000000"/>
                  </w:rPr>
                </w:pPr>
                <w:r>
                  <w:rPr>
                    <w:rFonts w:cs="Calibri" w:hint="eastAsia"/>
                    <w:color w:val="000000"/>
                  </w:rPr>
                  <w:t>1</w:t>
                </w:r>
                <w:r>
                  <w:rPr>
                    <w:rFonts w:hint="eastAsia"/>
                    <w:color w:val="000000"/>
                  </w:rPr>
                  <w:t>次</w:t>
                </w:r>
                <w:r>
                  <w:rPr>
                    <w:rFonts w:cs="Calibri" w:hint="eastAsia"/>
                    <w:color w:val="000000"/>
                  </w:rPr>
                  <w:t>/</w:t>
                </w:r>
                <w:r>
                  <w:rPr>
                    <w:rFonts w:hint="eastAsia"/>
                    <w:color w:val="000000"/>
                  </w:rPr>
                  <w:t>半年</w:t>
                </w:r>
              </w:p>
            </w:tc>
            <w:tc>
              <w:tcPr>
                <w:tcW w:w="1843" w:type="dxa"/>
                <w:tcBorders>
                  <w:top w:val="single" w:sz="4" w:space="0" w:color="000000"/>
                  <w:left w:val="nil"/>
                  <w:bottom w:val="single" w:sz="4" w:space="0" w:color="000000"/>
                  <w:right w:val="single" w:sz="4" w:space="0" w:color="000000"/>
                </w:tcBorders>
                <w:vAlign w:val="center"/>
              </w:tcPr>
              <w:p w14:paraId="27E27369" w14:textId="77777777" w:rsidR="002D0AE7" w:rsidRDefault="00333EBB">
                <w:pPr>
                  <w:rPr>
                    <w:rFonts w:hint="eastAsia"/>
                    <w:color w:val="000000"/>
                  </w:rPr>
                </w:pPr>
                <w:r>
                  <w:rPr>
                    <w:rFonts w:hint="eastAsia"/>
                    <w:color w:val="000000"/>
                  </w:rPr>
                  <w:t>非连续采样至少</w:t>
                </w:r>
                <w:r>
                  <w:rPr>
                    <w:rFonts w:cs="Calibri" w:hint="eastAsia"/>
                    <w:color w:val="000000"/>
                  </w:rPr>
                  <w:t>3</w:t>
                </w:r>
                <w:r>
                  <w:rPr>
                    <w:rFonts w:hint="eastAsia"/>
                    <w:color w:val="000000"/>
                  </w:rPr>
                  <w:t>个</w:t>
                </w:r>
              </w:p>
            </w:tc>
          </w:tr>
          <w:tr w:rsidR="002D0AE7" w14:paraId="703C3173" w14:textId="77777777">
            <w:trPr>
              <w:trHeight w:val="1080"/>
            </w:trPr>
            <w:tc>
              <w:tcPr>
                <w:tcW w:w="1163" w:type="dxa"/>
                <w:tcBorders>
                  <w:top w:val="single" w:sz="4" w:space="0" w:color="000000"/>
                  <w:left w:val="single" w:sz="4" w:space="0" w:color="000000"/>
                  <w:bottom w:val="single" w:sz="4" w:space="0" w:color="000000"/>
                  <w:right w:val="single" w:sz="4" w:space="0" w:color="000000"/>
                </w:tcBorders>
                <w:vAlign w:val="center"/>
              </w:tcPr>
              <w:p w14:paraId="7AABD7A9" w14:textId="77777777" w:rsidR="002D0AE7" w:rsidRDefault="00333EBB">
                <w:pPr>
                  <w:rPr>
                    <w:rFonts w:hint="eastAsia"/>
                    <w:color w:val="000000"/>
                  </w:rPr>
                </w:pPr>
                <w:r>
                  <w:rPr>
                    <w:rFonts w:hint="eastAsia"/>
                    <w:color w:val="000000"/>
                  </w:rPr>
                  <w:t>非甲烷总烃</w:t>
                </w:r>
              </w:p>
            </w:tc>
            <w:tc>
              <w:tcPr>
                <w:tcW w:w="1389" w:type="dxa"/>
                <w:tcBorders>
                  <w:top w:val="single" w:sz="4" w:space="0" w:color="000000"/>
                  <w:left w:val="nil"/>
                  <w:bottom w:val="single" w:sz="4" w:space="0" w:color="000000"/>
                  <w:right w:val="single" w:sz="4" w:space="0" w:color="000000"/>
                </w:tcBorders>
                <w:vAlign w:val="center"/>
              </w:tcPr>
              <w:p w14:paraId="2D7D76C4" w14:textId="77777777" w:rsidR="002D0AE7" w:rsidRDefault="00333EBB">
                <w:pPr>
                  <w:rPr>
                    <w:rFonts w:ascii="Calibri" w:hAnsi="Calibri"/>
                    <w:color w:val="000000"/>
                  </w:rPr>
                </w:pPr>
                <w:r>
                  <w:rPr>
                    <w:color w:val="000000"/>
                  </w:rPr>
                  <w:t>40mg/Nm</w:t>
                </w:r>
                <w:r>
                  <w:rPr>
                    <w:color w:val="000000"/>
                    <w:vertAlign w:val="superscript"/>
                  </w:rPr>
                  <w:t>3</w:t>
                </w:r>
              </w:p>
            </w:tc>
            <w:tc>
              <w:tcPr>
                <w:tcW w:w="3402" w:type="dxa"/>
                <w:tcBorders>
                  <w:top w:val="single" w:sz="4" w:space="0" w:color="000000"/>
                  <w:left w:val="nil"/>
                  <w:bottom w:val="single" w:sz="4" w:space="0" w:color="000000"/>
                  <w:right w:val="single" w:sz="4" w:space="0" w:color="000000"/>
                </w:tcBorders>
                <w:vAlign w:val="center"/>
              </w:tcPr>
              <w:p w14:paraId="41420728" w14:textId="77777777" w:rsidR="002D0AE7" w:rsidRDefault="00333EBB">
                <w:pPr>
                  <w:rPr>
                    <w:rFonts w:hint="eastAsia"/>
                    <w:color w:val="000000"/>
                  </w:rPr>
                </w:pPr>
                <w:r>
                  <w:rPr>
                    <w:rFonts w:hint="eastAsia"/>
                    <w:color w:val="000000"/>
                  </w:rPr>
                  <w:t>固定污染源废气总烃、甲烷和非甲烷总烃的测定气相色谱法</w:t>
                </w:r>
                <w:r>
                  <w:rPr>
                    <w:rFonts w:cs="Calibri" w:hint="eastAsia"/>
                    <w:color w:val="000000"/>
                  </w:rPr>
                  <w:t>HJ38-2017</w:t>
                </w:r>
              </w:p>
            </w:tc>
            <w:tc>
              <w:tcPr>
                <w:tcW w:w="1843" w:type="dxa"/>
                <w:tcBorders>
                  <w:top w:val="single" w:sz="4" w:space="0" w:color="000000"/>
                  <w:left w:val="nil"/>
                  <w:bottom w:val="single" w:sz="4" w:space="0" w:color="000000"/>
                  <w:right w:val="single" w:sz="4" w:space="0" w:color="000000"/>
                </w:tcBorders>
                <w:vAlign w:val="center"/>
              </w:tcPr>
              <w:p w14:paraId="1D196E16" w14:textId="77777777" w:rsidR="002D0AE7" w:rsidRDefault="00333EBB">
                <w:pPr>
                  <w:rPr>
                    <w:rFonts w:hint="eastAsia"/>
                    <w:color w:val="000000"/>
                  </w:rPr>
                </w:pPr>
                <w:r>
                  <w:rPr>
                    <w:rFonts w:hint="eastAsia"/>
                    <w:color w:val="000000"/>
                  </w:rPr>
                  <w:t>气相色谱仪</w:t>
                </w:r>
              </w:p>
            </w:tc>
            <w:tc>
              <w:tcPr>
                <w:tcW w:w="708" w:type="dxa"/>
                <w:tcBorders>
                  <w:top w:val="single" w:sz="4" w:space="0" w:color="000000"/>
                  <w:left w:val="nil"/>
                  <w:bottom w:val="single" w:sz="4" w:space="0" w:color="000000"/>
                  <w:right w:val="single" w:sz="4" w:space="0" w:color="000000"/>
                </w:tcBorders>
                <w:vAlign w:val="center"/>
              </w:tcPr>
              <w:p w14:paraId="73A112B0" w14:textId="77777777" w:rsidR="002D0AE7" w:rsidRDefault="00333EBB">
                <w:pPr>
                  <w:rPr>
                    <w:rFonts w:hint="eastAsia"/>
                    <w:color w:val="000000"/>
                  </w:rPr>
                </w:pPr>
                <w:r>
                  <w:rPr>
                    <w:rFonts w:cs="Calibri" w:hint="eastAsia"/>
                    <w:color w:val="000000"/>
                  </w:rPr>
                  <w:t>1</w:t>
                </w:r>
                <w:r>
                  <w:rPr>
                    <w:rFonts w:hint="eastAsia"/>
                    <w:color w:val="000000"/>
                  </w:rPr>
                  <w:t>次</w:t>
                </w:r>
                <w:r>
                  <w:rPr>
                    <w:rFonts w:cs="Calibri" w:hint="eastAsia"/>
                    <w:color w:val="000000"/>
                  </w:rPr>
                  <w:t>/</w:t>
                </w:r>
                <w:r>
                  <w:rPr>
                    <w:rFonts w:hint="eastAsia"/>
                    <w:color w:val="000000"/>
                  </w:rPr>
                  <w:t>半年</w:t>
                </w:r>
              </w:p>
            </w:tc>
            <w:tc>
              <w:tcPr>
                <w:tcW w:w="1843" w:type="dxa"/>
                <w:tcBorders>
                  <w:top w:val="single" w:sz="4" w:space="0" w:color="000000"/>
                  <w:left w:val="nil"/>
                  <w:bottom w:val="single" w:sz="4" w:space="0" w:color="000000"/>
                  <w:right w:val="single" w:sz="4" w:space="0" w:color="000000"/>
                </w:tcBorders>
                <w:vAlign w:val="center"/>
              </w:tcPr>
              <w:p w14:paraId="0556DBD5" w14:textId="77777777" w:rsidR="002D0AE7" w:rsidRDefault="00333EBB">
                <w:pPr>
                  <w:rPr>
                    <w:rFonts w:hint="eastAsia"/>
                    <w:color w:val="000000"/>
                  </w:rPr>
                </w:pPr>
                <w:r>
                  <w:rPr>
                    <w:rFonts w:hint="eastAsia"/>
                    <w:color w:val="000000"/>
                  </w:rPr>
                  <w:t>非连续采样至少</w:t>
                </w:r>
                <w:r>
                  <w:rPr>
                    <w:rFonts w:cs="Calibri" w:hint="eastAsia"/>
                    <w:color w:val="000000"/>
                  </w:rPr>
                  <w:t>3</w:t>
                </w:r>
                <w:r>
                  <w:rPr>
                    <w:rFonts w:hint="eastAsia"/>
                    <w:color w:val="000000"/>
                  </w:rPr>
                  <w:t>个</w:t>
                </w:r>
              </w:p>
            </w:tc>
          </w:tr>
          <w:tr w:rsidR="002D0AE7" w14:paraId="0D8817BA" w14:textId="77777777">
            <w:trPr>
              <w:trHeight w:val="280"/>
            </w:trPr>
            <w:tc>
              <w:tcPr>
                <w:tcW w:w="10348" w:type="dxa"/>
                <w:gridSpan w:val="6"/>
                <w:tcBorders>
                  <w:top w:val="single" w:sz="4" w:space="0" w:color="000000"/>
                  <w:left w:val="single" w:sz="4" w:space="0" w:color="000000"/>
                  <w:bottom w:val="single" w:sz="4" w:space="0" w:color="000000"/>
                  <w:right w:val="single" w:sz="4" w:space="0" w:color="000000"/>
                </w:tcBorders>
                <w:vAlign w:val="center"/>
              </w:tcPr>
              <w:p w14:paraId="5041F606" w14:textId="77777777" w:rsidR="002D0AE7" w:rsidRDefault="00333EBB">
                <w:pPr>
                  <w:jc w:val="center"/>
                  <w:rPr>
                    <w:rFonts w:hint="eastAsia"/>
                    <w:color w:val="000000"/>
                  </w:rPr>
                </w:pPr>
                <w:r>
                  <w:rPr>
                    <w:rFonts w:hint="eastAsia"/>
                    <w:color w:val="000000"/>
                  </w:rPr>
                  <w:t>排放标准</w:t>
                </w:r>
              </w:p>
            </w:tc>
          </w:tr>
          <w:tr w:rsidR="002D0AE7" w14:paraId="437E10FC" w14:textId="77777777">
            <w:trPr>
              <w:trHeight w:val="280"/>
            </w:trPr>
            <w:tc>
              <w:tcPr>
                <w:tcW w:w="10348" w:type="dxa"/>
                <w:gridSpan w:val="6"/>
                <w:tcBorders>
                  <w:top w:val="single" w:sz="4" w:space="0" w:color="000000"/>
                  <w:left w:val="single" w:sz="4" w:space="0" w:color="000000"/>
                  <w:bottom w:val="single" w:sz="4" w:space="0" w:color="000000"/>
                  <w:right w:val="single" w:sz="4" w:space="0" w:color="000000"/>
                </w:tcBorders>
                <w:vAlign w:val="center"/>
              </w:tcPr>
              <w:p w14:paraId="3903025A" w14:textId="77777777" w:rsidR="002D0AE7" w:rsidRDefault="00333EBB">
                <w:pPr>
                  <w:jc w:val="center"/>
                  <w:rPr>
                    <w:rFonts w:hint="eastAsia"/>
                    <w:color w:val="000000"/>
                  </w:rPr>
                </w:pPr>
                <w:r>
                  <w:rPr>
                    <w:rFonts w:hint="eastAsia"/>
                    <w:color w:val="000000"/>
                  </w:rPr>
                  <w:t>《工业企业挥发性有机物排放控制标准》</w:t>
                </w:r>
                <w:r>
                  <w:rPr>
                    <w:rFonts w:ascii="Times New Roman" w:hAnsi="Times New Roman"/>
                    <w:color w:val="000000"/>
                  </w:rPr>
                  <w:t>DB12/524-2020</w:t>
                </w:r>
                <w:r>
                  <w:rPr>
                    <w:rFonts w:hint="eastAsia"/>
                    <w:color w:val="000000"/>
                  </w:rPr>
                  <w:t>医药制造</w:t>
                </w:r>
              </w:p>
            </w:tc>
          </w:tr>
          <w:tr w:rsidR="002D0AE7" w14:paraId="48D87D97" w14:textId="77777777">
            <w:trPr>
              <w:trHeight w:val="955"/>
            </w:trPr>
            <w:tc>
              <w:tcPr>
                <w:tcW w:w="1163" w:type="dxa"/>
                <w:tcBorders>
                  <w:top w:val="single" w:sz="4" w:space="0" w:color="000000"/>
                  <w:left w:val="single" w:sz="4" w:space="0" w:color="000000"/>
                  <w:bottom w:val="single" w:sz="4" w:space="0" w:color="000000"/>
                  <w:right w:val="single" w:sz="4" w:space="0" w:color="000000"/>
                </w:tcBorders>
                <w:vAlign w:val="center"/>
              </w:tcPr>
              <w:p w14:paraId="565E68AA" w14:textId="77777777" w:rsidR="002D0AE7" w:rsidRDefault="00333EBB">
                <w:pPr>
                  <w:rPr>
                    <w:rFonts w:hint="eastAsia"/>
                    <w:color w:val="000000"/>
                  </w:rPr>
                </w:pPr>
                <w:r>
                  <w:rPr>
                    <w:rFonts w:hint="eastAsia"/>
                    <w:color w:val="000000"/>
                  </w:rPr>
                  <w:t>臭气浓度</w:t>
                </w:r>
              </w:p>
            </w:tc>
            <w:tc>
              <w:tcPr>
                <w:tcW w:w="1389" w:type="dxa"/>
                <w:tcBorders>
                  <w:top w:val="single" w:sz="4" w:space="0" w:color="000000"/>
                  <w:left w:val="nil"/>
                  <w:bottom w:val="single" w:sz="4" w:space="0" w:color="000000"/>
                  <w:right w:val="single" w:sz="4" w:space="0" w:color="000000"/>
                </w:tcBorders>
                <w:vAlign w:val="center"/>
              </w:tcPr>
              <w:p w14:paraId="7EE228C8" w14:textId="77777777" w:rsidR="002D0AE7" w:rsidRDefault="00333EBB">
                <w:pPr>
                  <w:rPr>
                    <w:rFonts w:ascii="Calibri" w:hAnsi="Calibri"/>
                    <w:color w:val="000000"/>
                  </w:rPr>
                </w:pPr>
                <w:r>
                  <w:rPr>
                    <w:color w:val="000000"/>
                  </w:rPr>
                  <w:t>1000</w:t>
                </w:r>
                <w:r>
                  <w:rPr>
                    <w:color w:val="000000"/>
                  </w:rPr>
                  <w:t>（无量纲）</w:t>
                </w:r>
              </w:p>
            </w:tc>
            <w:tc>
              <w:tcPr>
                <w:tcW w:w="3402" w:type="dxa"/>
                <w:tcBorders>
                  <w:top w:val="single" w:sz="4" w:space="0" w:color="000000"/>
                  <w:left w:val="nil"/>
                  <w:bottom w:val="single" w:sz="4" w:space="0" w:color="000000"/>
                  <w:right w:val="single" w:sz="4" w:space="0" w:color="000000"/>
                </w:tcBorders>
                <w:vAlign w:val="center"/>
              </w:tcPr>
              <w:p w14:paraId="4543777E" w14:textId="77777777" w:rsidR="002D0AE7" w:rsidRDefault="00333EBB">
                <w:pPr>
                  <w:rPr>
                    <w:rFonts w:hint="eastAsia"/>
                    <w:color w:val="000000"/>
                  </w:rPr>
                </w:pPr>
                <w:r>
                  <w:rPr>
                    <w:rFonts w:hint="eastAsia"/>
                    <w:color w:val="000000"/>
                  </w:rPr>
                  <w:t>《环境空气和废气臭气的测定</w:t>
                </w:r>
                <w:r>
                  <w:rPr>
                    <w:rFonts w:hint="eastAsia"/>
                    <w:color w:val="000000"/>
                  </w:rPr>
                  <w:br/>
                </w:r>
                <w:r>
                  <w:rPr>
                    <w:rFonts w:hint="eastAsia"/>
                    <w:color w:val="000000"/>
                  </w:rPr>
                  <w:t>三点比较式臭袋法》</w:t>
                </w:r>
                <w:r>
                  <w:rPr>
                    <w:rFonts w:hint="eastAsia"/>
                    <w:color w:val="000000"/>
                  </w:rPr>
                  <w:br/>
                </w:r>
                <w:r>
                  <w:rPr>
                    <w:rFonts w:cs="Calibri" w:hint="eastAsia"/>
                    <w:color w:val="000000"/>
                  </w:rPr>
                  <w:t>HJ1262-2022</w:t>
                </w:r>
              </w:p>
            </w:tc>
            <w:tc>
              <w:tcPr>
                <w:tcW w:w="1843" w:type="dxa"/>
                <w:tcBorders>
                  <w:top w:val="single" w:sz="4" w:space="0" w:color="000000"/>
                  <w:left w:val="nil"/>
                  <w:bottom w:val="single" w:sz="4" w:space="0" w:color="000000"/>
                  <w:right w:val="single" w:sz="4" w:space="0" w:color="000000"/>
                </w:tcBorders>
                <w:vAlign w:val="center"/>
              </w:tcPr>
              <w:p w14:paraId="484BF9E9" w14:textId="77777777" w:rsidR="002D0AE7" w:rsidRDefault="00333EBB">
                <w:pPr>
                  <w:rPr>
                    <w:rFonts w:hint="eastAsia"/>
                    <w:color w:val="000000"/>
                  </w:rPr>
                </w:pPr>
                <w:r>
                  <w:rPr>
                    <w:rFonts w:hint="eastAsia"/>
                    <w:color w:val="000000"/>
                  </w:rPr>
                  <w:t>无油空气压缩机</w:t>
                </w:r>
              </w:p>
            </w:tc>
            <w:tc>
              <w:tcPr>
                <w:tcW w:w="708" w:type="dxa"/>
                <w:tcBorders>
                  <w:top w:val="single" w:sz="4" w:space="0" w:color="000000"/>
                  <w:left w:val="nil"/>
                  <w:bottom w:val="single" w:sz="4" w:space="0" w:color="000000"/>
                  <w:right w:val="single" w:sz="4" w:space="0" w:color="000000"/>
                </w:tcBorders>
                <w:vAlign w:val="center"/>
              </w:tcPr>
              <w:p w14:paraId="25BF3105" w14:textId="77777777" w:rsidR="002D0AE7" w:rsidRDefault="00333EBB">
                <w:pPr>
                  <w:rPr>
                    <w:rFonts w:ascii="Calibri" w:hAnsi="Calibri"/>
                    <w:color w:val="000000"/>
                  </w:rPr>
                </w:pPr>
                <w:r>
                  <w:rPr>
                    <w:rFonts w:hint="eastAsia"/>
                    <w:color w:val="000000"/>
                  </w:rPr>
                  <w:t>每年一次</w:t>
                </w:r>
              </w:p>
            </w:tc>
            <w:tc>
              <w:tcPr>
                <w:tcW w:w="1843" w:type="dxa"/>
                <w:tcBorders>
                  <w:top w:val="single" w:sz="4" w:space="0" w:color="000000"/>
                  <w:left w:val="nil"/>
                  <w:bottom w:val="single" w:sz="4" w:space="0" w:color="000000"/>
                  <w:right w:val="single" w:sz="4" w:space="0" w:color="000000"/>
                </w:tcBorders>
                <w:vAlign w:val="center"/>
              </w:tcPr>
              <w:p w14:paraId="32C84A55" w14:textId="77777777" w:rsidR="002D0AE7" w:rsidRDefault="00333EBB">
                <w:pPr>
                  <w:rPr>
                    <w:rFonts w:hint="eastAsia"/>
                    <w:color w:val="000000"/>
                  </w:rPr>
                </w:pPr>
                <w:r>
                  <w:rPr>
                    <w:rFonts w:hint="eastAsia"/>
                    <w:color w:val="000000"/>
                  </w:rPr>
                  <w:t>多次采样</w:t>
                </w:r>
                <w:r>
                  <w:rPr>
                    <w:rFonts w:hint="eastAsia"/>
                    <w:color w:val="000000"/>
                  </w:rPr>
                  <w:br/>
                </w:r>
                <w:r>
                  <w:rPr>
                    <w:rFonts w:hint="eastAsia"/>
                    <w:color w:val="000000"/>
                  </w:rPr>
                  <w:t>取最大值</w:t>
                </w:r>
              </w:p>
            </w:tc>
          </w:tr>
          <w:tr w:rsidR="002D0AE7" w14:paraId="425EC103" w14:textId="77777777">
            <w:trPr>
              <w:trHeight w:val="1080"/>
            </w:trPr>
            <w:tc>
              <w:tcPr>
                <w:tcW w:w="1163" w:type="dxa"/>
                <w:tcBorders>
                  <w:top w:val="single" w:sz="4" w:space="0" w:color="000000"/>
                  <w:left w:val="single" w:sz="4" w:space="0" w:color="000000"/>
                  <w:bottom w:val="single" w:sz="4" w:space="0" w:color="000000"/>
                  <w:right w:val="single" w:sz="4" w:space="0" w:color="000000"/>
                </w:tcBorders>
                <w:vAlign w:val="center"/>
              </w:tcPr>
              <w:p w14:paraId="3456D41C" w14:textId="77777777" w:rsidR="002D0AE7" w:rsidRDefault="00333EBB">
                <w:pPr>
                  <w:rPr>
                    <w:rFonts w:hint="eastAsia"/>
                    <w:color w:val="000000"/>
                  </w:rPr>
                </w:pPr>
                <w:r>
                  <w:rPr>
                    <w:rFonts w:hint="eastAsia"/>
                    <w:color w:val="000000"/>
                  </w:rPr>
                  <w:t>硫化氢</w:t>
                </w:r>
              </w:p>
            </w:tc>
            <w:tc>
              <w:tcPr>
                <w:tcW w:w="1389" w:type="dxa"/>
                <w:tcBorders>
                  <w:top w:val="single" w:sz="4" w:space="0" w:color="000000"/>
                  <w:left w:val="nil"/>
                  <w:bottom w:val="single" w:sz="4" w:space="0" w:color="000000"/>
                  <w:right w:val="single" w:sz="4" w:space="0" w:color="000000"/>
                </w:tcBorders>
                <w:vAlign w:val="center"/>
              </w:tcPr>
              <w:p w14:paraId="0214103D" w14:textId="77777777" w:rsidR="002D0AE7" w:rsidRDefault="00333EBB">
                <w:pPr>
                  <w:rPr>
                    <w:rFonts w:ascii="Calibri" w:hAnsi="Calibri"/>
                    <w:color w:val="000000"/>
                  </w:rPr>
                </w:pPr>
                <w:r>
                  <w:rPr>
                    <w:color w:val="000000"/>
                  </w:rPr>
                  <w:t>5mg/m</w:t>
                </w:r>
                <w:r>
                  <w:rPr>
                    <w:color w:val="000000"/>
                    <w:vertAlign w:val="superscript"/>
                  </w:rPr>
                  <w:t>3</w:t>
                </w:r>
              </w:p>
            </w:tc>
            <w:tc>
              <w:tcPr>
                <w:tcW w:w="3402" w:type="dxa"/>
                <w:tcBorders>
                  <w:top w:val="single" w:sz="4" w:space="0" w:color="000000"/>
                  <w:left w:val="nil"/>
                  <w:bottom w:val="single" w:sz="4" w:space="0" w:color="000000"/>
                  <w:right w:val="single" w:sz="4" w:space="0" w:color="000000"/>
                </w:tcBorders>
                <w:vAlign w:val="center"/>
              </w:tcPr>
              <w:p w14:paraId="56BFB45F" w14:textId="77777777" w:rsidR="002D0AE7" w:rsidRDefault="00333EBB">
                <w:pPr>
                  <w:rPr>
                    <w:rFonts w:hint="eastAsia"/>
                    <w:color w:val="000000"/>
                  </w:rPr>
                </w:pPr>
                <w:r>
                  <w:rPr>
                    <w:rFonts w:hint="eastAsia"/>
                    <w:color w:val="000000"/>
                  </w:rPr>
                  <w:t>空气质量硫化氢甲硫醇甲硫醚</w:t>
                </w:r>
                <w:r>
                  <w:rPr>
                    <w:rFonts w:hint="eastAsia"/>
                    <w:color w:val="000000"/>
                  </w:rPr>
                  <w:br/>
                </w:r>
                <w:r>
                  <w:rPr>
                    <w:rFonts w:hint="eastAsia"/>
                    <w:color w:val="000000"/>
                  </w:rPr>
                  <w:t>二甲二硫的测定气相色谱法</w:t>
                </w:r>
                <w:r>
                  <w:rPr>
                    <w:rFonts w:hint="eastAsia"/>
                    <w:color w:val="000000"/>
                  </w:rPr>
                  <w:br/>
                </w:r>
                <w:r>
                  <w:rPr>
                    <w:rFonts w:cs="Calibri" w:hint="eastAsia"/>
                    <w:color w:val="000000"/>
                  </w:rPr>
                  <w:t>GB/T14678-1993</w:t>
                </w:r>
              </w:p>
            </w:tc>
            <w:tc>
              <w:tcPr>
                <w:tcW w:w="1843" w:type="dxa"/>
                <w:tcBorders>
                  <w:top w:val="single" w:sz="4" w:space="0" w:color="000000"/>
                  <w:left w:val="nil"/>
                  <w:bottom w:val="single" w:sz="4" w:space="0" w:color="000000"/>
                  <w:right w:val="single" w:sz="4" w:space="0" w:color="000000"/>
                </w:tcBorders>
                <w:vAlign w:val="center"/>
              </w:tcPr>
              <w:p w14:paraId="137793E8" w14:textId="77777777" w:rsidR="002D0AE7" w:rsidRDefault="00333EBB">
                <w:pPr>
                  <w:rPr>
                    <w:rFonts w:hint="eastAsia"/>
                    <w:color w:val="000000"/>
                  </w:rPr>
                </w:pPr>
                <w:r>
                  <w:rPr>
                    <w:rFonts w:hint="eastAsia"/>
                    <w:color w:val="000000"/>
                  </w:rPr>
                  <w:t>大流量烟尘（气）测试仪全自动烟尘（气）测试仪全自动烟气采样器可见分光光度计</w:t>
                </w:r>
              </w:p>
            </w:tc>
            <w:tc>
              <w:tcPr>
                <w:tcW w:w="708" w:type="dxa"/>
                <w:tcBorders>
                  <w:top w:val="single" w:sz="4" w:space="0" w:color="000000"/>
                  <w:left w:val="nil"/>
                  <w:bottom w:val="single" w:sz="4" w:space="0" w:color="000000"/>
                  <w:right w:val="single" w:sz="4" w:space="0" w:color="000000"/>
                </w:tcBorders>
                <w:vAlign w:val="center"/>
              </w:tcPr>
              <w:p w14:paraId="6D71EB44" w14:textId="77777777" w:rsidR="002D0AE7" w:rsidRDefault="00333EBB">
                <w:pPr>
                  <w:rPr>
                    <w:rFonts w:ascii="Calibri" w:hAnsi="Calibri"/>
                    <w:color w:val="000000"/>
                  </w:rPr>
                </w:pPr>
                <w:r>
                  <w:rPr>
                    <w:rFonts w:hint="eastAsia"/>
                    <w:color w:val="000000"/>
                  </w:rPr>
                  <w:t>每年一次</w:t>
                </w:r>
              </w:p>
            </w:tc>
            <w:tc>
              <w:tcPr>
                <w:tcW w:w="1843" w:type="dxa"/>
                <w:tcBorders>
                  <w:top w:val="single" w:sz="4" w:space="0" w:color="000000"/>
                  <w:left w:val="nil"/>
                  <w:bottom w:val="single" w:sz="4" w:space="0" w:color="000000"/>
                  <w:right w:val="single" w:sz="4" w:space="0" w:color="000000"/>
                </w:tcBorders>
                <w:vAlign w:val="center"/>
              </w:tcPr>
              <w:p w14:paraId="465B948D" w14:textId="77777777" w:rsidR="002D0AE7" w:rsidRDefault="00333EBB">
                <w:pPr>
                  <w:rPr>
                    <w:rFonts w:hint="eastAsia"/>
                    <w:color w:val="000000"/>
                  </w:rPr>
                </w:pPr>
                <w:r>
                  <w:rPr>
                    <w:rFonts w:hint="eastAsia"/>
                    <w:color w:val="000000"/>
                  </w:rPr>
                  <w:t>多次采样</w:t>
                </w:r>
                <w:r>
                  <w:rPr>
                    <w:rFonts w:hint="eastAsia"/>
                    <w:color w:val="000000"/>
                  </w:rPr>
                  <w:br/>
                </w:r>
                <w:r>
                  <w:rPr>
                    <w:rFonts w:hint="eastAsia"/>
                    <w:color w:val="000000"/>
                  </w:rPr>
                  <w:t>取最大值</w:t>
                </w:r>
              </w:p>
            </w:tc>
          </w:tr>
          <w:tr w:rsidR="002D0AE7" w14:paraId="755E2197" w14:textId="77777777">
            <w:trPr>
              <w:trHeight w:val="280"/>
            </w:trPr>
            <w:tc>
              <w:tcPr>
                <w:tcW w:w="10348" w:type="dxa"/>
                <w:gridSpan w:val="6"/>
                <w:tcBorders>
                  <w:top w:val="single" w:sz="4" w:space="0" w:color="000000"/>
                  <w:left w:val="single" w:sz="4" w:space="0" w:color="000000"/>
                  <w:bottom w:val="single" w:sz="4" w:space="0" w:color="000000"/>
                  <w:right w:val="single" w:sz="4" w:space="0" w:color="000000"/>
                </w:tcBorders>
                <w:vAlign w:val="center"/>
              </w:tcPr>
              <w:p w14:paraId="481F571F" w14:textId="77777777" w:rsidR="002D0AE7" w:rsidRDefault="00333EBB">
                <w:pPr>
                  <w:rPr>
                    <w:rFonts w:hint="eastAsia"/>
                    <w:color w:val="000000"/>
                  </w:rPr>
                </w:pPr>
                <w:r>
                  <w:rPr>
                    <w:rFonts w:hint="eastAsia"/>
                    <w:color w:val="000000"/>
                  </w:rPr>
                  <w:t>排放标准</w:t>
                </w:r>
              </w:p>
            </w:tc>
          </w:tr>
          <w:tr w:rsidR="002D0AE7" w14:paraId="04E39A82" w14:textId="77777777">
            <w:trPr>
              <w:trHeight w:val="280"/>
            </w:trPr>
            <w:tc>
              <w:tcPr>
                <w:tcW w:w="10348" w:type="dxa"/>
                <w:gridSpan w:val="6"/>
                <w:tcBorders>
                  <w:top w:val="single" w:sz="4" w:space="0" w:color="000000"/>
                  <w:left w:val="single" w:sz="4" w:space="0" w:color="000000"/>
                  <w:bottom w:val="single" w:sz="4" w:space="0" w:color="000000"/>
                  <w:right w:val="single" w:sz="4" w:space="0" w:color="000000"/>
                </w:tcBorders>
                <w:vAlign w:val="center"/>
              </w:tcPr>
              <w:p w14:paraId="373B9C2F" w14:textId="77777777" w:rsidR="002D0AE7" w:rsidRDefault="00333EBB">
                <w:pPr>
                  <w:rPr>
                    <w:rFonts w:hint="eastAsia"/>
                    <w:color w:val="000000"/>
                  </w:rPr>
                </w:pPr>
                <w:r>
                  <w:rPr>
                    <w:rFonts w:hint="eastAsia"/>
                    <w:color w:val="000000"/>
                  </w:rPr>
                  <w:t>《恶臭污染物排放标准》</w:t>
                </w:r>
                <w:r>
                  <w:rPr>
                    <w:rFonts w:cs="Calibri" w:hint="eastAsia"/>
                    <w:color w:val="000000"/>
                  </w:rPr>
                  <w:t>DB12/059-2018</w:t>
                </w:r>
              </w:p>
            </w:tc>
          </w:tr>
          <w:tr w:rsidR="002D0AE7" w14:paraId="2F9AC6D5" w14:textId="77777777">
            <w:trPr>
              <w:trHeight w:val="211"/>
            </w:trPr>
            <w:tc>
              <w:tcPr>
                <w:tcW w:w="1163" w:type="dxa"/>
                <w:tcBorders>
                  <w:top w:val="single" w:sz="4" w:space="0" w:color="000000"/>
                  <w:left w:val="single" w:sz="4" w:space="0" w:color="000000"/>
                  <w:bottom w:val="single" w:sz="4" w:space="0" w:color="000000"/>
                  <w:right w:val="single" w:sz="4" w:space="0" w:color="000000"/>
                </w:tcBorders>
                <w:vAlign w:val="center"/>
              </w:tcPr>
              <w:p w14:paraId="2AAB2221" w14:textId="77777777" w:rsidR="002D0AE7" w:rsidRDefault="00333EBB">
                <w:pPr>
                  <w:rPr>
                    <w:rFonts w:hint="eastAsia"/>
                    <w:color w:val="000000"/>
                  </w:rPr>
                </w:pPr>
                <w:r>
                  <w:rPr>
                    <w:rFonts w:hint="eastAsia"/>
                    <w:color w:val="000000"/>
                  </w:rPr>
                  <w:t>氨</w:t>
                </w:r>
              </w:p>
            </w:tc>
            <w:tc>
              <w:tcPr>
                <w:tcW w:w="1389" w:type="dxa"/>
                <w:tcBorders>
                  <w:top w:val="single" w:sz="4" w:space="0" w:color="000000"/>
                  <w:left w:val="nil"/>
                  <w:bottom w:val="single" w:sz="4" w:space="0" w:color="000000"/>
                  <w:right w:val="single" w:sz="4" w:space="0" w:color="000000"/>
                </w:tcBorders>
                <w:vAlign w:val="center"/>
              </w:tcPr>
              <w:p w14:paraId="0249089C" w14:textId="77777777" w:rsidR="002D0AE7" w:rsidRDefault="00333EBB">
                <w:pPr>
                  <w:rPr>
                    <w:rFonts w:ascii="Calibri" w:hAnsi="Calibri"/>
                    <w:color w:val="000000"/>
                  </w:rPr>
                </w:pPr>
                <w:r>
                  <w:rPr>
                    <w:color w:val="000000"/>
                  </w:rPr>
                  <w:t>20mg/Nm</w:t>
                </w:r>
                <w:r>
                  <w:rPr>
                    <w:color w:val="000000"/>
                    <w:vertAlign w:val="superscript"/>
                  </w:rPr>
                  <w:t>3</w:t>
                </w:r>
              </w:p>
            </w:tc>
            <w:tc>
              <w:tcPr>
                <w:tcW w:w="3402" w:type="dxa"/>
                <w:tcBorders>
                  <w:top w:val="single" w:sz="4" w:space="0" w:color="000000"/>
                  <w:left w:val="nil"/>
                  <w:bottom w:val="single" w:sz="4" w:space="0" w:color="000000"/>
                  <w:right w:val="single" w:sz="4" w:space="0" w:color="000000"/>
                </w:tcBorders>
                <w:vAlign w:val="center"/>
              </w:tcPr>
              <w:p w14:paraId="46DBFA20" w14:textId="77777777" w:rsidR="002D0AE7" w:rsidRDefault="00333EBB">
                <w:pPr>
                  <w:rPr>
                    <w:rFonts w:hint="eastAsia"/>
                    <w:color w:val="000000"/>
                  </w:rPr>
                </w:pPr>
                <w:r>
                  <w:rPr>
                    <w:rFonts w:hint="eastAsia"/>
                    <w:color w:val="000000"/>
                  </w:rPr>
                  <w:t>空气质量氨的测定离子选择电极法</w:t>
                </w:r>
                <w:r>
                  <w:rPr>
                    <w:rFonts w:hint="eastAsia"/>
                    <w:color w:val="000000"/>
                  </w:rPr>
                  <w:br/>
                </w:r>
                <w:r>
                  <w:rPr>
                    <w:rFonts w:cs="Calibri" w:hint="eastAsia"/>
                    <w:color w:val="000000"/>
                  </w:rPr>
                  <w:t>GB/T14669-1993,</w:t>
                </w:r>
                <w:r>
                  <w:rPr>
                    <w:rFonts w:hint="eastAsia"/>
                    <w:color w:val="000000"/>
                  </w:rPr>
                  <w:t>空气和废气氨的测定纳氏试剂分光光度法</w:t>
                </w:r>
                <w:r>
                  <w:rPr>
                    <w:rFonts w:cs="Calibri" w:hint="eastAsia"/>
                    <w:color w:val="000000"/>
                  </w:rPr>
                  <w:t>HJ533-2009</w:t>
                </w:r>
              </w:p>
            </w:tc>
            <w:tc>
              <w:tcPr>
                <w:tcW w:w="1843" w:type="dxa"/>
                <w:tcBorders>
                  <w:top w:val="single" w:sz="4" w:space="0" w:color="000000"/>
                  <w:left w:val="nil"/>
                  <w:bottom w:val="single" w:sz="4" w:space="0" w:color="000000"/>
                  <w:right w:val="single" w:sz="4" w:space="0" w:color="000000"/>
                </w:tcBorders>
                <w:vAlign w:val="center"/>
              </w:tcPr>
              <w:p w14:paraId="001772FA" w14:textId="77777777" w:rsidR="002D0AE7" w:rsidRDefault="00333EBB">
                <w:pPr>
                  <w:rPr>
                    <w:rFonts w:hint="eastAsia"/>
                    <w:color w:val="000000"/>
                  </w:rPr>
                </w:pPr>
                <w:r>
                  <w:rPr>
                    <w:rFonts w:hint="eastAsia"/>
                    <w:color w:val="000000"/>
                  </w:rPr>
                  <w:t>可见分光光度计</w:t>
                </w:r>
              </w:p>
            </w:tc>
            <w:tc>
              <w:tcPr>
                <w:tcW w:w="708" w:type="dxa"/>
                <w:tcBorders>
                  <w:top w:val="single" w:sz="4" w:space="0" w:color="000000"/>
                  <w:left w:val="nil"/>
                  <w:bottom w:val="single" w:sz="4" w:space="0" w:color="000000"/>
                  <w:right w:val="single" w:sz="4" w:space="0" w:color="000000"/>
                </w:tcBorders>
                <w:vAlign w:val="center"/>
              </w:tcPr>
              <w:p w14:paraId="1EA280AB" w14:textId="77777777" w:rsidR="002D0AE7" w:rsidRDefault="00333EBB">
                <w:pPr>
                  <w:rPr>
                    <w:rFonts w:hint="eastAsia"/>
                    <w:color w:val="000000"/>
                  </w:rPr>
                </w:pPr>
                <w:r>
                  <w:rPr>
                    <w:rFonts w:cs="Calibri" w:hint="eastAsia"/>
                    <w:color w:val="000000"/>
                  </w:rPr>
                  <w:t>1</w:t>
                </w:r>
                <w:r>
                  <w:rPr>
                    <w:rFonts w:hint="eastAsia"/>
                    <w:color w:val="000000"/>
                  </w:rPr>
                  <w:t>次</w:t>
                </w:r>
                <w:r>
                  <w:rPr>
                    <w:rFonts w:cs="Calibri" w:hint="eastAsia"/>
                    <w:color w:val="000000"/>
                  </w:rPr>
                  <w:t>/</w:t>
                </w:r>
                <w:r>
                  <w:rPr>
                    <w:rFonts w:hint="eastAsia"/>
                    <w:color w:val="000000"/>
                  </w:rPr>
                  <w:t>年</w:t>
                </w:r>
              </w:p>
            </w:tc>
            <w:tc>
              <w:tcPr>
                <w:tcW w:w="1843" w:type="dxa"/>
                <w:tcBorders>
                  <w:top w:val="single" w:sz="4" w:space="0" w:color="000000"/>
                  <w:left w:val="nil"/>
                  <w:bottom w:val="single" w:sz="4" w:space="0" w:color="000000"/>
                  <w:right w:val="single" w:sz="4" w:space="0" w:color="000000"/>
                </w:tcBorders>
                <w:vAlign w:val="center"/>
              </w:tcPr>
              <w:p w14:paraId="5B2EDB2A" w14:textId="77777777" w:rsidR="002D0AE7" w:rsidRDefault="00333EBB">
                <w:pPr>
                  <w:rPr>
                    <w:rFonts w:hint="eastAsia"/>
                    <w:color w:val="000000"/>
                  </w:rPr>
                </w:pPr>
                <w:r>
                  <w:rPr>
                    <w:rFonts w:hint="eastAsia"/>
                    <w:color w:val="000000"/>
                  </w:rPr>
                  <w:t>非连续采样至少</w:t>
                </w:r>
                <w:r>
                  <w:rPr>
                    <w:rFonts w:cs="Calibri" w:hint="eastAsia"/>
                    <w:color w:val="000000"/>
                  </w:rPr>
                  <w:t>3</w:t>
                </w:r>
                <w:r>
                  <w:rPr>
                    <w:rFonts w:hint="eastAsia"/>
                    <w:color w:val="000000"/>
                  </w:rPr>
                  <w:t>个</w:t>
                </w:r>
              </w:p>
            </w:tc>
          </w:tr>
          <w:tr w:rsidR="002D0AE7" w14:paraId="4EE29388" w14:textId="77777777">
            <w:trPr>
              <w:trHeight w:val="206"/>
            </w:trPr>
            <w:tc>
              <w:tcPr>
                <w:tcW w:w="1163" w:type="dxa"/>
                <w:tcBorders>
                  <w:top w:val="single" w:sz="4" w:space="0" w:color="000000"/>
                  <w:left w:val="single" w:sz="4" w:space="0" w:color="000000"/>
                  <w:bottom w:val="single" w:sz="4" w:space="0" w:color="000000"/>
                  <w:right w:val="single" w:sz="4" w:space="0" w:color="000000"/>
                </w:tcBorders>
                <w:vAlign w:val="center"/>
              </w:tcPr>
              <w:p w14:paraId="5FCA946C" w14:textId="77777777" w:rsidR="002D0AE7" w:rsidRDefault="00333EBB">
                <w:pPr>
                  <w:rPr>
                    <w:rFonts w:hint="eastAsia"/>
                    <w:color w:val="000000"/>
                  </w:rPr>
                </w:pPr>
                <w:r>
                  <w:rPr>
                    <w:rFonts w:hint="eastAsia"/>
                    <w:color w:val="000000"/>
                  </w:rPr>
                  <w:t>颗粒物</w:t>
                </w:r>
              </w:p>
            </w:tc>
            <w:tc>
              <w:tcPr>
                <w:tcW w:w="1389" w:type="dxa"/>
                <w:tcBorders>
                  <w:top w:val="single" w:sz="4" w:space="0" w:color="000000"/>
                  <w:left w:val="nil"/>
                  <w:bottom w:val="single" w:sz="4" w:space="0" w:color="000000"/>
                  <w:right w:val="single" w:sz="4" w:space="0" w:color="000000"/>
                </w:tcBorders>
                <w:vAlign w:val="center"/>
              </w:tcPr>
              <w:p w14:paraId="79ACD22A" w14:textId="77777777" w:rsidR="002D0AE7" w:rsidRDefault="00333EBB">
                <w:pPr>
                  <w:rPr>
                    <w:rFonts w:ascii="Calibri" w:hAnsi="Calibri"/>
                    <w:color w:val="000000"/>
                  </w:rPr>
                </w:pPr>
                <w:r>
                  <w:rPr>
                    <w:color w:val="000000"/>
                  </w:rPr>
                  <w:t>20mg/Nm</w:t>
                </w:r>
                <w:r>
                  <w:rPr>
                    <w:color w:val="000000"/>
                    <w:vertAlign w:val="superscript"/>
                  </w:rPr>
                  <w:t>3</w:t>
                </w:r>
              </w:p>
            </w:tc>
            <w:tc>
              <w:tcPr>
                <w:tcW w:w="3402" w:type="dxa"/>
                <w:tcBorders>
                  <w:top w:val="single" w:sz="4" w:space="0" w:color="000000"/>
                  <w:left w:val="nil"/>
                  <w:bottom w:val="single" w:sz="4" w:space="0" w:color="000000"/>
                  <w:right w:val="single" w:sz="4" w:space="0" w:color="000000"/>
                </w:tcBorders>
                <w:vAlign w:val="center"/>
              </w:tcPr>
              <w:p w14:paraId="76079AC7" w14:textId="77777777" w:rsidR="002D0AE7" w:rsidRDefault="00333EBB">
                <w:pPr>
                  <w:rPr>
                    <w:rFonts w:hint="eastAsia"/>
                    <w:color w:val="000000"/>
                  </w:rPr>
                </w:pPr>
                <w:r>
                  <w:rPr>
                    <w:rFonts w:hint="eastAsia"/>
                    <w:color w:val="000000"/>
                  </w:rPr>
                  <w:t>固定污染源废气低浓度颗粒物测定重量法</w:t>
                </w:r>
                <w:r>
                  <w:rPr>
                    <w:rFonts w:cs="Calibri" w:hint="eastAsia"/>
                    <w:color w:val="000000"/>
                  </w:rPr>
                  <w:t>HJ836-2017</w:t>
                </w:r>
              </w:p>
            </w:tc>
            <w:tc>
              <w:tcPr>
                <w:tcW w:w="1843" w:type="dxa"/>
                <w:tcBorders>
                  <w:top w:val="single" w:sz="4" w:space="0" w:color="000000"/>
                  <w:left w:val="nil"/>
                  <w:bottom w:val="single" w:sz="4" w:space="0" w:color="000000"/>
                  <w:right w:val="single" w:sz="4" w:space="0" w:color="000000"/>
                </w:tcBorders>
                <w:vAlign w:val="center"/>
              </w:tcPr>
              <w:p w14:paraId="1CC9B882" w14:textId="77777777" w:rsidR="002D0AE7" w:rsidRDefault="00333EBB">
                <w:pPr>
                  <w:rPr>
                    <w:rFonts w:hint="eastAsia"/>
                    <w:color w:val="000000"/>
                  </w:rPr>
                </w:pPr>
                <w:r>
                  <w:rPr>
                    <w:rFonts w:hint="eastAsia"/>
                    <w:color w:val="000000"/>
                  </w:rPr>
                  <w:t>全自动烟尘（气）测试仪，恒温恒湿间，电子天平</w:t>
                </w:r>
              </w:p>
            </w:tc>
            <w:tc>
              <w:tcPr>
                <w:tcW w:w="708" w:type="dxa"/>
                <w:tcBorders>
                  <w:top w:val="single" w:sz="4" w:space="0" w:color="000000"/>
                  <w:left w:val="nil"/>
                  <w:bottom w:val="single" w:sz="4" w:space="0" w:color="000000"/>
                  <w:right w:val="single" w:sz="4" w:space="0" w:color="000000"/>
                </w:tcBorders>
                <w:vAlign w:val="center"/>
              </w:tcPr>
              <w:p w14:paraId="01B82294" w14:textId="77777777" w:rsidR="002D0AE7" w:rsidRDefault="00333EBB">
                <w:pPr>
                  <w:rPr>
                    <w:rFonts w:hint="eastAsia"/>
                    <w:color w:val="000000"/>
                  </w:rPr>
                </w:pPr>
                <w:r>
                  <w:rPr>
                    <w:rFonts w:cs="Calibri" w:hint="eastAsia"/>
                    <w:color w:val="000000"/>
                  </w:rPr>
                  <w:t>1</w:t>
                </w:r>
                <w:r>
                  <w:rPr>
                    <w:rFonts w:hint="eastAsia"/>
                    <w:color w:val="000000"/>
                  </w:rPr>
                  <w:t>次</w:t>
                </w:r>
                <w:r>
                  <w:rPr>
                    <w:rFonts w:cs="Calibri" w:hint="eastAsia"/>
                    <w:color w:val="000000"/>
                  </w:rPr>
                  <w:t>/</w:t>
                </w:r>
                <w:r>
                  <w:rPr>
                    <w:rFonts w:hint="eastAsia"/>
                    <w:color w:val="000000"/>
                  </w:rPr>
                  <w:t>半年</w:t>
                </w:r>
              </w:p>
            </w:tc>
            <w:tc>
              <w:tcPr>
                <w:tcW w:w="1843" w:type="dxa"/>
                <w:tcBorders>
                  <w:top w:val="single" w:sz="4" w:space="0" w:color="000000"/>
                  <w:left w:val="nil"/>
                  <w:bottom w:val="single" w:sz="4" w:space="0" w:color="000000"/>
                  <w:right w:val="single" w:sz="4" w:space="0" w:color="000000"/>
                </w:tcBorders>
                <w:vAlign w:val="center"/>
              </w:tcPr>
              <w:p w14:paraId="101348F5" w14:textId="77777777" w:rsidR="002D0AE7" w:rsidRDefault="00333EBB">
                <w:pPr>
                  <w:rPr>
                    <w:rFonts w:hint="eastAsia"/>
                    <w:color w:val="000000"/>
                  </w:rPr>
                </w:pPr>
                <w:r>
                  <w:rPr>
                    <w:rFonts w:hint="eastAsia"/>
                    <w:color w:val="000000"/>
                  </w:rPr>
                  <w:t>等时间间隔采样，结果取平均值</w:t>
                </w:r>
              </w:p>
            </w:tc>
          </w:tr>
          <w:tr w:rsidR="002D0AE7" w14:paraId="47EFA137" w14:textId="77777777">
            <w:trPr>
              <w:trHeight w:val="206"/>
            </w:trPr>
            <w:tc>
              <w:tcPr>
                <w:tcW w:w="10348" w:type="dxa"/>
                <w:gridSpan w:val="6"/>
                <w:tcBorders>
                  <w:top w:val="single" w:sz="4" w:space="0" w:color="000000"/>
                  <w:left w:val="single" w:sz="4" w:space="0" w:color="000000"/>
                  <w:bottom w:val="single" w:sz="4" w:space="0" w:color="000000"/>
                  <w:right w:val="single" w:sz="4" w:space="0" w:color="000000"/>
                </w:tcBorders>
                <w:vAlign w:val="center"/>
              </w:tcPr>
              <w:p w14:paraId="65429F8C" w14:textId="77777777" w:rsidR="002D0AE7" w:rsidRDefault="00333EBB">
                <w:pPr>
                  <w:jc w:val="center"/>
                  <w:rPr>
                    <w:rFonts w:hint="eastAsia"/>
                    <w:color w:val="000000"/>
                  </w:rPr>
                </w:pPr>
                <w:r>
                  <w:rPr>
                    <w:rFonts w:hint="eastAsia"/>
                    <w:color w:val="000000"/>
                  </w:rPr>
                  <w:t>排放标准</w:t>
                </w:r>
              </w:p>
            </w:tc>
          </w:tr>
          <w:tr w:rsidR="002D0AE7" w14:paraId="166D5789" w14:textId="77777777">
            <w:trPr>
              <w:trHeight w:val="206"/>
            </w:trPr>
            <w:tc>
              <w:tcPr>
                <w:tcW w:w="10348" w:type="dxa"/>
                <w:gridSpan w:val="6"/>
                <w:tcBorders>
                  <w:top w:val="single" w:sz="4" w:space="0" w:color="000000"/>
                  <w:left w:val="single" w:sz="4" w:space="0" w:color="000000"/>
                  <w:bottom w:val="single" w:sz="4" w:space="0" w:color="000000"/>
                  <w:right w:val="single" w:sz="4" w:space="0" w:color="000000"/>
                </w:tcBorders>
                <w:vAlign w:val="center"/>
              </w:tcPr>
              <w:p w14:paraId="4F088F46" w14:textId="77777777" w:rsidR="002D0AE7" w:rsidRDefault="00333EBB">
                <w:pPr>
                  <w:jc w:val="center"/>
                  <w:rPr>
                    <w:rFonts w:hint="eastAsia"/>
                    <w:color w:val="000000"/>
                  </w:rPr>
                </w:pPr>
                <w:r>
                  <w:rPr>
                    <w:rFonts w:hint="eastAsia"/>
                    <w:color w:val="000000"/>
                  </w:rPr>
                  <w:t>《制药工业大气污染物排放标准》</w:t>
                </w:r>
                <w:r>
                  <w:rPr>
                    <w:rFonts w:cs="Calibri" w:hint="eastAsia"/>
                    <w:color w:val="000000"/>
                  </w:rPr>
                  <w:t>GB37823</w:t>
                </w:r>
                <w:r>
                  <w:rPr>
                    <w:rFonts w:hint="eastAsia"/>
                    <w:color w:val="000000"/>
                  </w:rPr>
                  <w:t>—</w:t>
                </w:r>
                <w:r>
                  <w:rPr>
                    <w:rFonts w:cs="Calibri" w:hint="eastAsia"/>
                    <w:color w:val="000000"/>
                  </w:rPr>
                  <w:t>2019</w:t>
                </w:r>
              </w:p>
            </w:tc>
          </w:tr>
          <w:tr w:rsidR="002D0AE7" w14:paraId="0D6ACE32" w14:textId="77777777">
            <w:trPr>
              <w:trHeight w:val="206"/>
            </w:trPr>
            <w:tc>
              <w:tcPr>
                <w:tcW w:w="1163" w:type="dxa"/>
                <w:tcBorders>
                  <w:top w:val="single" w:sz="4" w:space="0" w:color="000000"/>
                  <w:left w:val="single" w:sz="4" w:space="0" w:color="000000"/>
                  <w:bottom w:val="single" w:sz="4" w:space="0" w:color="000000"/>
                  <w:right w:val="single" w:sz="4" w:space="0" w:color="000000"/>
                </w:tcBorders>
                <w:vAlign w:val="center"/>
              </w:tcPr>
              <w:p w14:paraId="7BC3D3D8" w14:textId="77777777" w:rsidR="002D0AE7" w:rsidRDefault="00333EBB">
                <w:pPr>
                  <w:jc w:val="center"/>
                  <w:rPr>
                    <w:rFonts w:hint="eastAsia"/>
                    <w:color w:val="000000"/>
                  </w:rPr>
                </w:pPr>
                <w:r>
                  <w:rPr>
                    <w:rFonts w:hint="eastAsia"/>
                    <w:color w:val="000000"/>
                  </w:rPr>
                  <w:t>氮氧化物</w:t>
                </w:r>
              </w:p>
            </w:tc>
            <w:tc>
              <w:tcPr>
                <w:tcW w:w="1389" w:type="dxa"/>
                <w:tcBorders>
                  <w:top w:val="single" w:sz="4" w:space="0" w:color="000000"/>
                  <w:left w:val="nil"/>
                  <w:bottom w:val="single" w:sz="4" w:space="0" w:color="000000"/>
                  <w:right w:val="single" w:sz="4" w:space="0" w:color="000000"/>
                </w:tcBorders>
                <w:vAlign w:val="center"/>
              </w:tcPr>
              <w:p w14:paraId="22A304B3" w14:textId="77777777" w:rsidR="002D0AE7" w:rsidRDefault="00333EBB">
                <w:pPr>
                  <w:jc w:val="center"/>
                  <w:rPr>
                    <w:rFonts w:hint="eastAsia"/>
                    <w:color w:val="000000"/>
                  </w:rPr>
                </w:pPr>
                <w:r>
                  <w:rPr>
                    <w:rFonts w:cs="Calibri" w:hint="eastAsia"/>
                    <w:color w:val="000000"/>
                  </w:rPr>
                  <w:t>240mg/Nm</w:t>
                </w:r>
                <w:r>
                  <w:rPr>
                    <w:rFonts w:hint="eastAsia"/>
                    <w:color w:val="000000"/>
                  </w:rPr>
                  <w:t>³</w:t>
                </w:r>
              </w:p>
            </w:tc>
            <w:tc>
              <w:tcPr>
                <w:tcW w:w="3402" w:type="dxa"/>
                <w:tcBorders>
                  <w:top w:val="single" w:sz="4" w:space="0" w:color="000000"/>
                  <w:left w:val="nil"/>
                  <w:bottom w:val="single" w:sz="4" w:space="0" w:color="000000"/>
                  <w:right w:val="single" w:sz="4" w:space="0" w:color="000000"/>
                </w:tcBorders>
                <w:vAlign w:val="center"/>
              </w:tcPr>
              <w:p w14:paraId="62F80AFC" w14:textId="77777777" w:rsidR="002D0AE7" w:rsidRDefault="00333EBB">
                <w:pPr>
                  <w:jc w:val="center"/>
                  <w:rPr>
                    <w:rFonts w:hint="eastAsia"/>
                    <w:color w:val="000000"/>
                  </w:rPr>
                </w:pPr>
                <w:r>
                  <w:rPr>
                    <w:rFonts w:hint="eastAsia"/>
                    <w:color w:val="000000"/>
                  </w:rPr>
                  <w:t>固定污染源废气氮氧化物的测定定电位电解法</w:t>
                </w:r>
                <w:r>
                  <w:rPr>
                    <w:rFonts w:cs="Calibri" w:hint="eastAsia"/>
                    <w:color w:val="000000"/>
                  </w:rPr>
                  <w:t>HJ693-2014</w:t>
                </w:r>
              </w:p>
            </w:tc>
            <w:tc>
              <w:tcPr>
                <w:tcW w:w="1843" w:type="dxa"/>
                <w:tcBorders>
                  <w:top w:val="single" w:sz="4" w:space="0" w:color="000000"/>
                  <w:left w:val="nil"/>
                  <w:bottom w:val="single" w:sz="4" w:space="0" w:color="000000"/>
                  <w:right w:val="single" w:sz="4" w:space="0" w:color="000000"/>
                </w:tcBorders>
                <w:vAlign w:val="center"/>
              </w:tcPr>
              <w:p w14:paraId="60CA5C15" w14:textId="77777777" w:rsidR="002D0AE7" w:rsidRDefault="00333EBB">
                <w:pPr>
                  <w:jc w:val="center"/>
                  <w:rPr>
                    <w:rFonts w:hint="eastAsia"/>
                    <w:color w:val="000000"/>
                  </w:rPr>
                </w:pPr>
                <w:r>
                  <w:rPr>
                    <w:rFonts w:hint="eastAsia"/>
                    <w:color w:val="000000"/>
                  </w:rPr>
                  <w:t>便携式大流量低浓度烟尘自动测试仪，智能高精度综合标准仪，全自动烟尘（气）测试仪，</w:t>
                </w:r>
              </w:p>
            </w:tc>
            <w:tc>
              <w:tcPr>
                <w:tcW w:w="708" w:type="dxa"/>
                <w:tcBorders>
                  <w:top w:val="single" w:sz="4" w:space="0" w:color="000000"/>
                  <w:left w:val="nil"/>
                  <w:bottom w:val="single" w:sz="4" w:space="0" w:color="000000"/>
                  <w:right w:val="single" w:sz="4" w:space="0" w:color="000000"/>
                </w:tcBorders>
                <w:vAlign w:val="center"/>
              </w:tcPr>
              <w:p w14:paraId="4E3B791B" w14:textId="77777777" w:rsidR="002D0AE7" w:rsidRDefault="00333EBB">
                <w:pPr>
                  <w:jc w:val="center"/>
                  <w:rPr>
                    <w:rFonts w:hint="eastAsia"/>
                    <w:color w:val="000000"/>
                  </w:rPr>
                </w:pPr>
                <w:r>
                  <w:rPr>
                    <w:rFonts w:cs="Calibri" w:hint="eastAsia"/>
                    <w:color w:val="000000"/>
                  </w:rPr>
                  <w:t>1</w:t>
                </w:r>
                <w:r>
                  <w:rPr>
                    <w:rFonts w:hint="eastAsia"/>
                    <w:color w:val="000000"/>
                  </w:rPr>
                  <w:t>次</w:t>
                </w:r>
                <w:r>
                  <w:rPr>
                    <w:rFonts w:cs="Calibri" w:hint="eastAsia"/>
                    <w:color w:val="000000"/>
                  </w:rPr>
                  <w:t>/</w:t>
                </w:r>
                <w:r>
                  <w:rPr>
                    <w:rFonts w:hint="eastAsia"/>
                    <w:color w:val="000000"/>
                  </w:rPr>
                  <w:t>半年</w:t>
                </w:r>
              </w:p>
            </w:tc>
            <w:tc>
              <w:tcPr>
                <w:tcW w:w="1843" w:type="dxa"/>
                <w:tcBorders>
                  <w:top w:val="single" w:sz="4" w:space="0" w:color="000000"/>
                  <w:left w:val="nil"/>
                  <w:bottom w:val="single" w:sz="4" w:space="0" w:color="000000"/>
                  <w:right w:val="single" w:sz="4" w:space="0" w:color="000000"/>
                </w:tcBorders>
                <w:vAlign w:val="center"/>
              </w:tcPr>
              <w:p w14:paraId="5AA1D4BA" w14:textId="77777777" w:rsidR="002D0AE7" w:rsidRDefault="00333EBB">
                <w:pPr>
                  <w:rPr>
                    <w:rFonts w:hint="eastAsia"/>
                    <w:color w:val="000000"/>
                  </w:rPr>
                </w:pPr>
                <w:r>
                  <w:rPr>
                    <w:rFonts w:hint="eastAsia"/>
                    <w:color w:val="000000"/>
                  </w:rPr>
                  <w:t>等时间间隔采样，结果取平均值</w:t>
                </w:r>
              </w:p>
            </w:tc>
          </w:tr>
          <w:tr w:rsidR="002D0AE7" w14:paraId="175C6CDF" w14:textId="77777777">
            <w:trPr>
              <w:trHeight w:val="206"/>
            </w:trPr>
            <w:tc>
              <w:tcPr>
                <w:tcW w:w="1163" w:type="dxa"/>
                <w:tcBorders>
                  <w:top w:val="single" w:sz="4" w:space="0" w:color="000000"/>
                  <w:left w:val="single" w:sz="4" w:space="0" w:color="000000"/>
                  <w:bottom w:val="single" w:sz="4" w:space="0" w:color="000000"/>
                  <w:right w:val="single" w:sz="4" w:space="0" w:color="000000"/>
                </w:tcBorders>
                <w:vAlign w:val="center"/>
              </w:tcPr>
              <w:p w14:paraId="557519D9" w14:textId="77777777" w:rsidR="002D0AE7" w:rsidRDefault="00333EBB">
                <w:pPr>
                  <w:jc w:val="center"/>
                  <w:rPr>
                    <w:rFonts w:hint="eastAsia"/>
                    <w:color w:val="000000"/>
                  </w:rPr>
                </w:pPr>
                <w:r>
                  <w:rPr>
                    <w:rFonts w:hint="eastAsia"/>
                    <w:color w:val="000000"/>
                  </w:rPr>
                  <w:lastRenderedPageBreak/>
                  <w:t>林格曼黑度</w:t>
                </w:r>
              </w:p>
            </w:tc>
            <w:tc>
              <w:tcPr>
                <w:tcW w:w="1389" w:type="dxa"/>
                <w:tcBorders>
                  <w:top w:val="single" w:sz="4" w:space="0" w:color="000000"/>
                  <w:left w:val="nil"/>
                  <w:bottom w:val="single" w:sz="4" w:space="0" w:color="000000"/>
                  <w:right w:val="single" w:sz="4" w:space="0" w:color="000000"/>
                </w:tcBorders>
                <w:vAlign w:val="center"/>
              </w:tcPr>
              <w:p w14:paraId="086D70D4" w14:textId="77777777" w:rsidR="002D0AE7" w:rsidRDefault="00333EBB">
                <w:pPr>
                  <w:jc w:val="center"/>
                  <w:rPr>
                    <w:rFonts w:hint="eastAsia"/>
                    <w:color w:val="000000"/>
                  </w:rPr>
                </w:pPr>
                <w:r>
                  <w:rPr>
                    <w:rFonts w:cs="Calibri" w:hint="eastAsia"/>
                    <w:color w:val="000000"/>
                  </w:rPr>
                  <w:t>1</w:t>
                </w:r>
                <w:r>
                  <w:rPr>
                    <w:rFonts w:hint="eastAsia"/>
                    <w:color w:val="000000"/>
                  </w:rPr>
                  <w:t>级</w:t>
                </w:r>
              </w:p>
            </w:tc>
            <w:tc>
              <w:tcPr>
                <w:tcW w:w="3402" w:type="dxa"/>
                <w:tcBorders>
                  <w:top w:val="single" w:sz="4" w:space="0" w:color="000000"/>
                  <w:left w:val="nil"/>
                  <w:bottom w:val="single" w:sz="4" w:space="0" w:color="000000"/>
                  <w:right w:val="single" w:sz="4" w:space="0" w:color="000000"/>
                </w:tcBorders>
                <w:vAlign w:val="center"/>
              </w:tcPr>
              <w:p w14:paraId="698E2412" w14:textId="77777777" w:rsidR="002D0AE7" w:rsidRDefault="00333EBB">
                <w:pPr>
                  <w:jc w:val="center"/>
                  <w:rPr>
                    <w:rFonts w:hint="eastAsia"/>
                    <w:color w:val="000000"/>
                  </w:rPr>
                </w:pPr>
                <w:r>
                  <w:rPr>
                    <w:rFonts w:hint="eastAsia"/>
                    <w:color w:val="000000"/>
                  </w:rPr>
                  <w:t>固定污染源排放烟气黑度的测定林格曼烟气黑度图法</w:t>
                </w:r>
                <w:r>
                  <w:rPr>
                    <w:rFonts w:cs="Calibri" w:hint="eastAsia"/>
                    <w:color w:val="000000"/>
                  </w:rPr>
                  <w:t>HJ/T398-2007</w:t>
                </w:r>
              </w:p>
            </w:tc>
            <w:tc>
              <w:tcPr>
                <w:tcW w:w="1843" w:type="dxa"/>
                <w:tcBorders>
                  <w:top w:val="single" w:sz="4" w:space="0" w:color="000000"/>
                  <w:left w:val="nil"/>
                  <w:bottom w:val="single" w:sz="4" w:space="0" w:color="000000"/>
                  <w:right w:val="single" w:sz="4" w:space="0" w:color="000000"/>
                </w:tcBorders>
                <w:vAlign w:val="center"/>
              </w:tcPr>
              <w:p w14:paraId="0D0AA314" w14:textId="77777777" w:rsidR="002D0AE7" w:rsidRDefault="00333EBB">
                <w:pPr>
                  <w:jc w:val="center"/>
                  <w:rPr>
                    <w:rFonts w:hint="eastAsia"/>
                    <w:color w:val="000000"/>
                  </w:rPr>
                </w:pPr>
                <w:r>
                  <w:rPr>
                    <w:rFonts w:hint="eastAsia"/>
                    <w:color w:val="000000"/>
                  </w:rPr>
                  <w:t>——</w:t>
                </w:r>
              </w:p>
            </w:tc>
            <w:tc>
              <w:tcPr>
                <w:tcW w:w="708" w:type="dxa"/>
                <w:tcBorders>
                  <w:top w:val="single" w:sz="4" w:space="0" w:color="000000"/>
                  <w:left w:val="nil"/>
                  <w:bottom w:val="single" w:sz="4" w:space="0" w:color="000000"/>
                  <w:right w:val="single" w:sz="4" w:space="0" w:color="000000"/>
                </w:tcBorders>
                <w:vAlign w:val="center"/>
              </w:tcPr>
              <w:p w14:paraId="6C1EF641" w14:textId="77777777" w:rsidR="002D0AE7" w:rsidRDefault="00333EBB">
                <w:pPr>
                  <w:jc w:val="center"/>
                  <w:rPr>
                    <w:rFonts w:hint="eastAsia"/>
                    <w:color w:val="000000"/>
                  </w:rPr>
                </w:pPr>
                <w:r>
                  <w:rPr>
                    <w:rFonts w:cs="Calibri" w:hint="eastAsia"/>
                    <w:color w:val="000000"/>
                  </w:rPr>
                  <w:t>1</w:t>
                </w:r>
                <w:r>
                  <w:rPr>
                    <w:rFonts w:hint="eastAsia"/>
                    <w:color w:val="000000"/>
                  </w:rPr>
                  <w:t>次</w:t>
                </w:r>
                <w:r>
                  <w:rPr>
                    <w:rFonts w:cs="Calibri" w:hint="eastAsia"/>
                    <w:color w:val="000000"/>
                  </w:rPr>
                  <w:t>/</w:t>
                </w:r>
                <w:r>
                  <w:rPr>
                    <w:rFonts w:hint="eastAsia"/>
                    <w:color w:val="000000"/>
                  </w:rPr>
                  <w:t>半年</w:t>
                </w:r>
              </w:p>
            </w:tc>
            <w:tc>
              <w:tcPr>
                <w:tcW w:w="1843" w:type="dxa"/>
                <w:tcBorders>
                  <w:top w:val="single" w:sz="4" w:space="0" w:color="000000"/>
                  <w:left w:val="nil"/>
                  <w:bottom w:val="single" w:sz="4" w:space="0" w:color="000000"/>
                  <w:right w:val="single" w:sz="4" w:space="0" w:color="000000"/>
                </w:tcBorders>
                <w:vAlign w:val="center"/>
              </w:tcPr>
              <w:p w14:paraId="7AD9FA18" w14:textId="77777777" w:rsidR="002D0AE7" w:rsidRDefault="00333EBB">
                <w:pPr>
                  <w:rPr>
                    <w:rFonts w:hint="eastAsia"/>
                    <w:color w:val="000000"/>
                  </w:rPr>
                </w:pPr>
                <w:r>
                  <w:rPr>
                    <w:rFonts w:hint="eastAsia"/>
                    <w:color w:val="000000"/>
                  </w:rPr>
                  <w:t>等时间间隔采样，结果取平均值</w:t>
                </w:r>
              </w:p>
            </w:tc>
          </w:tr>
          <w:tr w:rsidR="002D0AE7" w14:paraId="17C2D104" w14:textId="77777777">
            <w:trPr>
              <w:trHeight w:val="206"/>
            </w:trPr>
            <w:tc>
              <w:tcPr>
                <w:tcW w:w="1163" w:type="dxa"/>
                <w:tcBorders>
                  <w:top w:val="single" w:sz="4" w:space="0" w:color="000000"/>
                  <w:left w:val="single" w:sz="4" w:space="0" w:color="000000"/>
                  <w:bottom w:val="single" w:sz="4" w:space="0" w:color="auto"/>
                  <w:right w:val="single" w:sz="4" w:space="0" w:color="000000"/>
                </w:tcBorders>
                <w:vAlign w:val="center"/>
              </w:tcPr>
              <w:p w14:paraId="4FC96E1E" w14:textId="77777777" w:rsidR="002D0AE7" w:rsidRDefault="00333EBB">
                <w:pPr>
                  <w:jc w:val="center"/>
                  <w:rPr>
                    <w:rFonts w:hint="eastAsia"/>
                    <w:color w:val="000000"/>
                  </w:rPr>
                </w:pPr>
                <w:r>
                  <w:rPr>
                    <w:rFonts w:hint="eastAsia"/>
                    <w:color w:val="000000"/>
                  </w:rPr>
                  <w:t>二氧化硫</w:t>
                </w:r>
              </w:p>
            </w:tc>
            <w:tc>
              <w:tcPr>
                <w:tcW w:w="1389" w:type="dxa"/>
                <w:tcBorders>
                  <w:top w:val="single" w:sz="4" w:space="0" w:color="000000"/>
                  <w:left w:val="nil"/>
                  <w:bottom w:val="single" w:sz="4" w:space="0" w:color="auto"/>
                  <w:right w:val="single" w:sz="4" w:space="0" w:color="000000"/>
                </w:tcBorders>
                <w:vAlign w:val="center"/>
              </w:tcPr>
              <w:p w14:paraId="7D925D32" w14:textId="77777777" w:rsidR="002D0AE7" w:rsidRDefault="00333EBB">
                <w:pPr>
                  <w:jc w:val="center"/>
                  <w:rPr>
                    <w:rFonts w:hint="eastAsia"/>
                    <w:color w:val="000000"/>
                  </w:rPr>
                </w:pPr>
                <w:r>
                  <w:rPr>
                    <w:rFonts w:cs="Calibri" w:hint="eastAsia"/>
                    <w:color w:val="000000"/>
                  </w:rPr>
                  <w:t>550mg/Nm</w:t>
                </w:r>
                <w:r>
                  <w:rPr>
                    <w:rFonts w:cs="Calibri" w:hint="eastAsia"/>
                    <w:color w:val="000000"/>
                    <w:vertAlign w:val="superscript"/>
                  </w:rPr>
                  <w:t>3</w:t>
                </w:r>
              </w:p>
            </w:tc>
            <w:tc>
              <w:tcPr>
                <w:tcW w:w="3402" w:type="dxa"/>
                <w:tcBorders>
                  <w:top w:val="single" w:sz="4" w:space="0" w:color="000000"/>
                  <w:left w:val="nil"/>
                  <w:bottom w:val="single" w:sz="4" w:space="0" w:color="auto"/>
                  <w:right w:val="single" w:sz="4" w:space="0" w:color="000000"/>
                </w:tcBorders>
                <w:vAlign w:val="center"/>
              </w:tcPr>
              <w:p w14:paraId="730E415F" w14:textId="77777777" w:rsidR="002D0AE7" w:rsidRDefault="00333EBB">
                <w:pPr>
                  <w:jc w:val="center"/>
                  <w:rPr>
                    <w:rFonts w:hint="eastAsia"/>
                    <w:color w:val="000000"/>
                  </w:rPr>
                </w:pPr>
                <w:r>
                  <w:rPr>
                    <w:rFonts w:hint="eastAsia"/>
                    <w:color w:val="000000"/>
                  </w:rPr>
                  <w:t>固定污染源排气中二氧化硫的测定定电位电解法</w:t>
                </w:r>
                <w:r>
                  <w:rPr>
                    <w:rFonts w:cs="Calibri" w:hint="eastAsia"/>
                    <w:color w:val="000000"/>
                  </w:rPr>
                  <w:t>HJ/T57-2000</w:t>
                </w:r>
              </w:p>
            </w:tc>
            <w:tc>
              <w:tcPr>
                <w:tcW w:w="1843" w:type="dxa"/>
                <w:tcBorders>
                  <w:top w:val="single" w:sz="4" w:space="0" w:color="000000"/>
                  <w:left w:val="nil"/>
                  <w:bottom w:val="single" w:sz="4" w:space="0" w:color="auto"/>
                  <w:right w:val="single" w:sz="4" w:space="0" w:color="000000"/>
                </w:tcBorders>
                <w:vAlign w:val="center"/>
              </w:tcPr>
              <w:p w14:paraId="04EEBD3F" w14:textId="77777777" w:rsidR="002D0AE7" w:rsidRDefault="00333EBB">
                <w:pPr>
                  <w:jc w:val="center"/>
                  <w:rPr>
                    <w:rFonts w:hint="eastAsia"/>
                    <w:color w:val="000000"/>
                  </w:rPr>
                </w:pPr>
                <w:r>
                  <w:rPr>
                    <w:rFonts w:hint="eastAsia"/>
                    <w:color w:val="000000"/>
                  </w:rPr>
                  <w:t>便携式大流量低浓度烟尘自动测试仪，智能高精度综合标准仪，全自动烟尘（气）测试仪</w:t>
                </w:r>
              </w:p>
            </w:tc>
            <w:tc>
              <w:tcPr>
                <w:tcW w:w="708" w:type="dxa"/>
                <w:tcBorders>
                  <w:top w:val="single" w:sz="4" w:space="0" w:color="000000"/>
                  <w:left w:val="nil"/>
                  <w:bottom w:val="single" w:sz="4" w:space="0" w:color="auto"/>
                  <w:right w:val="single" w:sz="4" w:space="0" w:color="000000"/>
                </w:tcBorders>
                <w:vAlign w:val="center"/>
              </w:tcPr>
              <w:p w14:paraId="55DEC45F" w14:textId="77777777" w:rsidR="002D0AE7" w:rsidRDefault="00333EBB">
                <w:pPr>
                  <w:jc w:val="center"/>
                  <w:rPr>
                    <w:rFonts w:hint="eastAsia"/>
                    <w:color w:val="000000"/>
                  </w:rPr>
                </w:pPr>
                <w:r>
                  <w:rPr>
                    <w:rFonts w:cs="Calibri" w:hint="eastAsia"/>
                    <w:color w:val="000000"/>
                  </w:rPr>
                  <w:t>1</w:t>
                </w:r>
                <w:r>
                  <w:rPr>
                    <w:rFonts w:hint="eastAsia"/>
                    <w:color w:val="000000"/>
                  </w:rPr>
                  <w:t>次</w:t>
                </w:r>
                <w:r>
                  <w:rPr>
                    <w:rFonts w:cs="Calibri" w:hint="eastAsia"/>
                    <w:color w:val="000000"/>
                  </w:rPr>
                  <w:t>/</w:t>
                </w:r>
                <w:r>
                  <w:rPr>
                    <w:rFonts w:hint="eastAsia"/>
                    <w:color w:val="000000"/>
                  </w:rPr>
                  <w:t>半年</w:t>
                </w:r>
              </w:p>
            </w:tc>
            <w:tc>
              <w:tcPr>
                <w:tcW w:w="1843" w:type="dxa"/>
                <w:tcBorders>
                  <w:top w:val="single" w:sz="4" w:space="0" w:color="000000"/>
                  <w:left w:val="nil"/>
                  <w:bottom w:val="single" w:sz="4" w:space="0" w:color="auto"/>
                  <w:right w:val="single" w:sz="4" w:space="0" w:color="000000"/>
                </w:tcBorders>
                <w:vAlign w:val="center"/>
              </w:tcPr>
              <w:p w14:paraId="5E2049F9" w14:textId="77777777" w:rsidR="002D0AE7" w:rsidRDefault="00333EBB">
                <w:pPr>
                  <w:rPr>
                    <w:rFonts w:hint="eastAsia"/>
                    <w:color w:val="000000"/>
                  </w:rPr>
                </w:pPr>
                <w:r>
                  <w:rPr>
                    <w:rFonts w:hint="eastAsia"/>
                    <w:color w:val="000000"/>
                  </w:rPr>
                  <w:t>等时间间隔采样，结果取平均值</w:t>
                </w:r>
              </w:p>
            </w:tc>
          </w:tr>
          <w:tr w:rsidR="002D0AE7" w14:paraId="56956E58" w14:textId="77777777">
            <w:trPr>
              <w:trHeight w:val="206"/>
            </w:trPr>
            <w:tc>
              <w:tcPr>
                <w:tcW w:w="10348" w:type="dxa"/>
                <w:gridSpan w:val="6"/>
                <w:tcBorders>
                  <w:top w:val="single" w:sz="4" w:space="0" w:color="auto"/>
                  <w:left w:val="single" w:sz="4" w:space="0" w:color="auto"/>
                  <w:bottom w:val="single" w:sz="4" w:space="0" w:color="auto"/>
                  <w:right w:val="single" w:sz="4" w:space="0" w:color="auto"/>
                </w:tcBorders>
                <w:vAlign w:val="center"/>
              </w:tcPr>
              <w:p w14:paraId="27D94E16" w14:textId="77777777" w:rsidR="002D0AE7" w:rsidRDefault="00333EBB">
                <w:pPr>
                  <w:jc w:val="center"/>
                  <w:rPr>
                    <w:rFonts w:hint="eastAsia"/>
                    <w:color w:val="000000"/>
                  </w:rPr>
                </w:pPr>
                <w:r>
                  <w:rPr>
                    <w:rFonts w:hint="eastAsia"/>
                    <w:color w:val="000000"/>
                  </w:rPr>
                  <w:t>排放标准</w:t>
                </w:r>
              </w:p>
            </w:tc>
          </w:tr>
          <w:tr w:rsidR="002D0AE7" w14:paraId="310793CB" w14:textId="77777777">
            <w:trPr>
              <w:trHeight w:val="206"/>
            </w:trPr>
            <w:tc>
              <w:tcPr>
                <w:tcW w:w="10348" w:type="dxa"/>
                <w:gridSpan w:val="6"/>
                <w:tcBorders>
                  <w:top w:val="single" w:sz="4" w:space="0" w:color="auto"/>
                  <w:left w:val="single" w:sz="4" w:space="0" w:color="auto"/>
                  <w:bottom w:val="single" w:sz="4" w:space="0" w:color="auto"/>
                  <w:right w:val="single" w:sz="4" w:space="0" w:color="auto"/>
                </w:tcBorders>
                <w:vAlign w:val="center"/>
              </w:tcPr>
              <w:p w14:paraId="3DB70354" w14:textId="77777777" w:rsidR="002D0AE7" w:rsidRDefault="00333EBB">
                <w:pPr>
                  <w:jc w:val="center"/>
                  <w:rPr>
                    <w:rFonts w:hint="eastAsia"/>
                    <w:color w:val="000000"/>
                  </w:rPr>
                </w:pPr>
                <w:r>
                  <w:rPr>
                    <w:rFonts w:hint="eastAsia"/>
                    <w:color w:val="000000"/>
                  </w:rPr>
                  <w:t>《大气污染物综合排放标准》</w:t>
                </w:r>
                <w:r>
                  <w:rPr>
                    <w:rFonts w:cs="Calibri" w:hint="eastAsia"/>
                    <w:color w:val="000000"/>
                  </w:rPr>
                  <w:t>GB16297-1996</w:t>
                </w:r>
              </w:p>
            </w:tc>
          </w:tr>
        </w:tbl>
        <w:p w14:paraId="0ABDAA44" w14:textId="77777777" w:rsidR="002D0AE7" w:rsidRDefault="00333EBB">
          <w:pPr>
            <w:rPr>
              <w:rFonts w:hint="eastAsia"/>
              <w:color w:val="000000" w:themeColor="text1"/>
            </w:rPr>
          </w:pPr>
        </w:p>
      </w:sdtContent>
    </w:sdt>
    <w:p w14:paraId="2939AC2D" w14:textId="77777777" w:rsidR="002D0AE7" w:rsidRDefault="00333EBB">
      <w:pPr>
        <w:pStyle w:val="4"/>
        <w:numPr>
          <w:ilvl w:val="0"/>
          <w:numId w:val="16"/>
        </w:numPr>
        <w:rPr>
          <w:rFonts w:ascii="宋体" w:hAnsi="宋体" w:cs="宋体" w:hint="eastAsia"/>
          <w:color w:val="000000" w:themeColor="text1"/>
          <w:kern w:val="0"/>
          <w:szCs w:val="21"/>
        </w:rPr>
      </w:pPr>
      <w:r>
        <w:rPr>
          <w:rFonts w:ascii="宋体" w:hAnsi="宋体" w:cs="宋体" w:hint="eastAsia"/>
          <w:color w:val="000000" w:themeColor="text1"/>
          <w:kern w:val="0"/>
          <w:szCs w:val="21"/>
        </w:rPr>
        <w:t>报告期内因环境问题受到行政处罚的情况</w:t>
      </w:r>
    </w:p>
    <w:sdt>
      <w:sdtPr>
        <w:rPr>
          <w:color w:val="000000" w:themeColor="text1"/>
        </w:rPr>
        <w:alias w:val="是否适用：报告期内因环境问题受到行政处罚的情况[双击切换]"/>
        <w:tag w:val="_GBC_5f5b826efaf649958cd6c4a308bbb8f9"/>
        <w:id w:val="1800959542"/>
        <w:placeholder>
          <w:docPart w:val="GBC22222222222222222222222222222"/>
        </w:placeholder>
      </w:sdtPr>
      <w:sdtEndPr/>
      <w:sdtContent>
        <w:p w14:paraId="248EFA0A"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1C1B143F" w14:textId="77777777" w:rsidR="002D0AE7" w:rsidRDefault="00333EBB">
      <w:pPr>
        <w:pStyle w:val="4"/>
        <w:numPr>
          <w:ilvl w:val="0"/>
          <w:numId w:val="16"/>
        </w:numPr>
        <w:rPr>
          <w:rFonts w:ascii="宋体" w:hAnsi="宋体" w:hint="eastAsia"/>
          <w:bCs w:val="0"/>
          <w:color w:val="000000" w:themeColor="text1"/>
          <w:szCs w:val="22"/>
        </w:rPr>
      </w:pPr>
      <w:r>
        <w:rPr>
          <w:rFonts w:ascii="宋体" w:hAnsi="宋体" w:hint="eastAsia"/>
          <w:color w:val="000000" w:themeColor="text1"/>
          <w:szCs w:val="21"/>
        </w:rPr>
        <w:t>其他应当公开的环境信息</w:t>
      </w:r>
    </w:p>
    <w:sdt>
      <w:sdtPr>
        <w:rPr>
          <w:color w:val="000000" w:themeColor="text1"/>
        </w:rPr>
        <w:alias w:val="是否适用：其他应当公开的环境信息[双击切换]"/>
        <w:tag w:val="_GBC_b667f965a34943718106b9347a0b30af"/>
        <w:id w:val="396639508"/>
        <w:placeholder>
          <w:docPart w:val="GBC22222222222222222222222222222"/>
        </w:placeholder>
      </w:sdtPr>
      <w:sdtEndPr/>
      <w:sdtContent>
        <w:p w14:paraId="55E47AB8"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其他应当公开的环境信息"/>
        <w:tag w:val="_GBC_e8dd35c2f7204faaacb629f84279b445"/>
        <w:id w:val="2112082729"/>
        <w:placeholder>
          <w:docPart w:val="GBC22222222222222222222222222222"/>
        </w:placeholder>
      </w:sdtPr>
      <w:sdtEndPr/>
      <w:sdtContent>
        <w:p w14:paraId="3944C9C6" w14:textId="77777777" w:rsidR="002D0AE7" w:rsidRDefault="00333EBB">
          <w:pPr>
            <w:ind w:firstLineChars="200" w:firstLine="480"/>
            <w:rPr>
              <w:rFonts w:ascii="Calibri" w:hAnsi="Calibri" w:cs="Times New Roman"/>
              <w:b/>
              <w:bCs/>
              <w:color w:val="000000"/>
            </w:rPr>
          </w:pPr>
          <w:r>
            <w:rPr>
              <w:rFonts w:hint="eastAsia"/>
              <w:b/>
              <w:bCs/>
              <w:color w:val="000000"/>
            </w:rPr>
            <w:t>津药药业股份有限公司：</w:t>
          </w:r>
        </w:p>
        <w:p w14:paraId="1EFD7E1C" w14:textId="77777777" w:rsidR="002D0AE7" w:rsidRDefault="00333EBB">
          <w:pPr>
            <w:ind w:firstLineChars="200" w:firstLine="480"/>
            <w:rPr>
              <w:rFonts w:hint="eastAsia"/>
              <w:color w:val="000000"/>
            </w:rPr>
          </w:pPr>
          <w:r>
            <w:rPr>
              <w:rFonts w:hint="eastAsia"/>
              <w:color w:val="000000"/>
            </w:rPr>
            <w:t>①</w:t>
          </w:r>
          <w:r>
            <w:rPr>
              <w:rFonts w:cs="Calibri" w:hint="eastAsia"/>
              <w:color w:val="000000"/>
            </w:rPr>
            <w:t>2024</w:t>
          </w:r>
          <w:r>
            <w:rPr>
              <w:rFonts w:hint="eastAsia"/>
              <w:color w:val="000000"/>
            </w:rPr>
            <w:t>年</w:t>
          </w:r>
          <w:r>
            <w:rPr>
              <w:rFonts w:cs="Calibri" w:hint="eastAsia"/>
              <w:color w:val="000000"/>
            </w:rPr>
            <w:t>1</w:t>
          </w:r>
          <w:r>
            <w:rPr>
              <w:rFonts w:hint="eastAsia"/>
              <w:color w:val="000000"/>
            </w:rPr>
            <w:t>月</w:t>
          </w:r>
          <w:r>
            <w:rPr>
              <w:rFonts w:cs="Calibri" w:hint="eastAsia"/>
              <w:color w:val="000000"/>
            </w:rPr>
            <w:t>19</w:t>
          </w:r>
          <w:r>
            <w:rPr>
              <w:rFonts w:hint="eastAsia"/>
              <w:color w:val="000000"/>
            </w:rPr>
            <w:t>日新获得天津市生态环境局下发的《关于津药药业股份有限公司危险废物转移至山东省进行利用的批复》，批复文号为“津开环固转【</w:t>
          </w:r>
          <w:r>
            <w:rPr>
              <w:rFonts w:cs="Calibri" w:hint="eastAsia"/>
              <w:color w:val="000000"/>
            </w:rPr>
            <w:t>2024</w:t>
          </w:r>
          <w:r>
            <w:rPr>
              <w:rFonts w:hint="eastAsia"/>
              <w:color w:val="000000"/>
            </w:rPr>
            <w:t>】</w:t>
          </w:r>
          <w:r>
            <w:rPr>
              <w:rFonts w:cs="Calibri" w:hint="eastAsia"/>
              <w:color w:val="000000"/>
            </w:rPr>
            <w:t>12</w:t>
          </w:r>
          <w:r>
            <w:rPr>
              <w:rFonts w:hint="eastAsia"/>
              <w:color w:val="000000"/>
            </w:rPr>
            <w:t>号”。</w:t>
          </w:r>
        </w:p>
        <w:p w14:paraId="7DDBAF17" w14:textId="77777777" w:rsidR="002D0AE7" w:rsidRDefault="00333EBB">
          <w:pPr>
            <w:ind w:firstLineChars="200" w:firstLine="480"/>
            <w:rPr>
              <w:rFonts w:hint="eastAsia"/>
              <w:color w:val="000000"/>
            </w:rPr>
          </w:pPr>
          <w:r>
            <w:rPr>
              <w:rFonts w:hint="eastAsia"/>
              <w:color w:val="000000"/>
            </w:rPr>
            <w:t>②</w:t>
          </w:r>
          <w:r>
            <w:rPr>
              <w:rFonts w:cs="Calibri" w:hint="eastAsia"/>
              <w:color w:val="000000"/>
            </w:rPr>
            <w:t>2024</w:t>
          </w:r>
          <w:r>
            <w:rPr>
              <w:rFonts w:hint="eastAsia"/>
              <w:color w:val="000000"/>
            </w:rPr>
            <w:t>年</w:t>
          </w:r>
          <w:r>
            <w:rPr>
              <w:rFonts w:cs="Calibri" w:hint="eastAsia"/>
              <w:color w:val="000000"/>
            </w:rPr>
            <w:t>2</w:t>
          </w:r>
          <w:r>
            <w:rPr>
              <w:rFonts w:hint="eastAsia"/>
              <w:color w:val="000000"/>
            </w:rPr>
            <w:t>月</w:t>
          </w:r>
          <w:r>
            <w:rPr>
              <w:rFonts w:cs="Calibri" w:hint="eastAsia"/>
              <w:color w:val="000000"/>
            </w:rPr>
            <w:t>1</w:t>
          </w:r>
          <w:r>
            <w:rPr>
              <w:rFonts w:hint="eastAsia"/>
              <w:color w:val="000000"/>
            </w:rPr>
            <w:t>日新获得天津市生态环境局下发的《关于津药药业股份有限公司危险废物转移至山西省进行利用的批复》，批复文号为“津开环固转【</w:t>
          </w:r>
          <w:r>
            <w:rPr>
              <w:rFonts w:cs="Calibri" w:hint="eastAsia"/>
              <w:color w:val="000000"/>
            </w:rPr>
            <w:t>2024</w:t>
          </w:r>
          <w:r>
            <w:rPr>
              <w:rFonts w:hint="eastAsia"/>
              <w:color w:val="000000"/>
            </w:rPr>
            <w:t>】</w:t>
          </w:r>
          <w:r>
            <w:rPr>
              <w:rFonts w:cs="Calibri" w:hint="eastAsia"/>
              <w:color w:val="000000"/>
            </w:rPr>
            <w:t>15</w:t>
          </w:r>
          <w:r>
            <w:rPr>
              <w:rFonts w:hint="eastAsia"/>
              <w:color w:val="000000"/>
            </w:rPr>
            <w:t>号”。</w:t>
          </w:r>
        </w:p>
        <w:p w14:paraId="6FD90B06" w14:textId="77777777" w:rsidR="002D0AE7" w:rsidRDefault="00333EBB">
          <w:pPr>
            <w:ind w:firstLineChars="200" w:firstLine="480"/>
            <w:rPr>
              <w:rFonts w:hint="eastAsia"/>
              <w:color w:val="000000"/>
            </w:rPr>
          </w:pPr>
          <w:r>
            <w:rPr>
              <w:rFonts w:hint="eastAsia"/>
              <w:color w:val="000000"/>
            </w:rPr>
            <w:t>③</w:t>
          </w:r>
          <w:r>
            <w:rPr>
              <w:rFonts w:cs="Calibri" w:hint="eastAsia"/>
              <w:color w:val="000000"/>
            </w:rPr>
            <w:t>2024</w:t>
          </w:r>
          <w:r>
            <w:rPr>
              <w:rFonts w:hint="eastAsia"/>
              <w:color w:val="000000"/>
            </w:rPr>
            <w:t>年</w:t>
          </w:r>
          <w:r>
            <w:rPr>
              <w:rFonts w:cs="Calibri" w:hint="eastAsia"/>
              <w:color w:val="000000"/>
            </w:rPr>
            <w:t>3</w:t>
          </w:r>
          <w:r>
            <w:rPr>
              <w:rFonts w:hint="eastAsia"/>
              <w:color w:val="000000"/>
            </w:rPr>
            <w:t>月</w:t>
          </w:r>
          <w:r>
            <w:rPr>
              <w:rFonts w:cs="Calibri" w:hint="eastAsia"/>
              <w:color w:val="000000"/>
            </w:rPr>
            <w:t>8</w:t>
          </w:r>
          <w:r>
            <w:rPr>
              <w:rFonts w:hint="eastAsia"/>
              <w:color w:val="000000"/>
            </w:rPr>
            <w:t>日新获得天津经济技术开发区生态环境局审批通过排污许可证（重新申请），排污许可编号为</w:t>
          </w:r>
          <w:r>
            <w:rPr>
              <w:rFonts w:cs="Calibri" w:hint="eastAsia"/>
              <w:color w:val="000000"/>
            </w:rPr>
            <w:t>9112000071824811X4001P</w:t>
          </w:r>
          <w:r>
            <w:rPr>
              <w:rFonts w:hint="eastAsia"/>
              <w:color w:val="000000"/>
            </w:rPr>
            <w:t>。</w:t>
          </w:r>
        </w:p>
        <w:p w14:paraId="7488E72D" w14:textId="77777777" w:rsidR="002D0AE7" w:rsidRDefault="00333EBB">
          <w:pPr>
            <w:ind w:firstLineChars="200" w:firstLine="480"/>
            <w:rPr>
              <w:rFonts w:hint="eastAsia"/>
              <w:color w:val="000000"/>
            </w:rPr>
          </w:pPr>
          <w:r>
            <w:rPr>
              <w:rFonts w:hint="eastAsia"/>
              <w:color w:val="000000"/>
            </w:rPr>
            <w:t>④</w:t>
          </w:r>
          <w:r>
            <w:rPr>
              <w:rFonts w:cs="Calibri" w:hint="eastAsia"/>
              <w:color w:val="000000"/>
            </w:rPr>
            <w:t>2024</w:t>
          </w:r>
          <w:r>
            <w:rPr>
              <w:rFonts w:hint="eastAsia"/>
              <w:color w:val="000000"/>
            </w:rPr>
            <w:t>年天津市生态环境局开展碳排放信息核查工作后确认</w:t>
          </w:r>
          <w:r>
            <w:rPr>
              <w:rFonts w:cs="Calibri" w:hint="eastAsia"/>
              <w:color w:val="000000"/>
            </w:rPr>
            <w:t>2023</w:t>
          </w:r>
          <w:r>
            <w:rPr>
              <w:rFonts w:hint="eastAsia"/>
              <w:color w:val="000000"/>
            </w:rPr>
            <w:t>年度，法人边界碳排放量为</w:t>
          </w:r>
          <w:r>
            <w:rPr>
              <w:rFonts w:cs="Calibri" w:hint="eastAsia"/>
              <w:color w:val="000000"/>
            </w:rPr>
            <w:t>34957</w:t>
          </w:r>
          <w:r>
            <w:rPr>
              <w:rFonts w:hint="eastAsia"/>
              <w:color w:val="000000"/>
            </w:rPr>
            <w:t>吨，履约排放量为</w:t>
          </w:r>
          <w:r>
            <w:rPr>
              <w:rFonts w:cs="Calibri" w:hint="eastAsia"/>
              <w:color w:val="000000"/>
            </w:rPr>
            <w:t>33135</w:t>
          </w:r>
          <w:r>
            <w:rPr>
              <w:rFonts w:hint="eastAsia"/>
              <w:color w:val="000000"/>
            </w:rPr>
            <w:t>吨，应清缴配额量为</w:t>
          </w:r>
          <w:r>
            <w:rPr>
              <w:rFonts w:cs="Calibri" w:hint="eastAsia"/>
              <w:color w:val="000000"/>
            </w:rPr>
            <w:t>33135</w:t>
          </w:r>
          <w:r>
            <w:rPr>
              <w:rFonts w:hint="eastAsia"/>
              <w:color w:val="000000"/>
            </w:rPr>
            <w:t>吨，配额总量为</w:t>
          </w:r>
          <w:r>
            <w:rPr>
              <w:rFonts w:cs="Calibri" w:hint="eastAsia"/>
              <w:color w:val="000000"/>
            </w:rPr>
            <w:t>34900</w:t>
          </w:r>
          <w:r>
            <w:rPr>
              <w:rFonts w:hint="eastAsia"/>
              <w:color w:val="000000"/>
            </w:rPr>
            <w:t>吨。</w:t>
          </w:r>
        </w:p>
        <w:p w14:paraId="4319AF3F" w14:textId="77777777" w:rsidR="002D0AE7" w:rsidRDefault="002D0AE7">
          <w:pPr>
            <w:ind w:firstLineChars="200" w:firstLine="480"/>
            <w:rPr>
              <w:rFonts w:hint="eastAsia"/>
              <w:color w:val="000000"/>
            </w:rPr>
          </w:pPr>
        </w:p>
        <w:p w14:paraId="4B64CE24" w14:textId="77777777" w:rsidR="002D0AE7" w:rsidRDefault="00333EBB">
          <w:pPr>
            <w:ind w:firstLineChars="200" w:firstLine="482"/>
            <w:rPr>
              <w:rFonts w:hint="eastAsia"/>
              <w:b/>
              <w:bCs/>
              <w:color w:val="000000"/>
            </w:rPr>
          </w:pPr>
          <w:r>
            <w:rPr>
              <w:rFonts w:hint="eastAsia"/>
              <w:b/>
              <w:bCs/>
              <w:color w:val="000000"/>
            </w:rPr>
            <w:t>天津津药环境科技有限公司</w:t>
          </w:r>
          <w:r>
            <w:rPr>
              <w:rFonts w:hint="eastAsia"/>
              <w:b/>
              <w:bCs/>
              <w:color w:val="000000"/>
            </w:rPr>
            <w:t>:</w:t>
          </w:r>
        </w:p>
        <w:p w14:paraId="75451524" w14:textId="77777777" w:rsidR="002D0AE7" w:rsidRDefault="00333EBB">
          <w:pPr>
            <w:ind w:firstLineChars="200" w:firstLine="480"/>
            <w:rPr>
              <w:rFonts w:hint="eastAsia"/>
              <w:color w:val="000000"/>
            </w:rPr>
          </w:pPr>
          <w:r>
            <w:rPr>
              <w:rFonts w:hint="eastAsia"/>
              <w:color w:val="000000"/>
            </w:rPr>
            <w:t>①</w:t>
          </w:r>
          <w:r>
            <w:rPr>
              <w:rFonts w:cs="Calibri" w:hint="eastAsia"/>
              <w:color w:val="000000"/>
            </w:rPr>
            <w:t>2024</w:t>
          </w:r>
          <w:r>
            <w:rPr>
              <w:rFonts w:hint="eastAsia"/>
              <w:color w:val="000000"/>
            </w:rPr>
            <w:t>年</w:t>
          </w:r>
          <w:r>
            <w:rPr>
              <w:rFonts w:cs="Calibri" w:hint="eastAsia"/>
              <w:color w:val="000000"/>
            </w:rPr>
            <w:t>3</w:t>
          </w:r>
          <w:r>
            <w:rPr>
              <w:rFonts w:hint="eastAsia"/>
              <w:color w:val="000000"/>
            </w:rPr>
            <w:t>月</w:t>
          </w:r>
          <w:r>
            <w:rPr>
              <w:rFonts w:cs="Calibri" w:hint="eastAsia"/>
              <w:color w:val="000000"/>
            </w:rPr>
            <w:t>22</w:t>
          </w:r>
          <w:r>
            <w:rPr>
              <w:rFonts w:hint="eastAsia"/>
              <w:color w:val="000000"/>
            </w:rPr>
            <w:t>日天津经济技术开发区生态环境局审批通过排污许可证（基本信息变更），排污许可编号为</w:t>
          </w:r>
          <w:r>
            <w:rPr>
              <w:rFonts w:cs="Calibri" w:hint="eastAsia"/>
              <w:color w:val="000000"/>
            </w:rPr>
            <w:t>91120116777317875D001V</w:t>
          </w:r>
          <w:r>
            <w:rPr>
              <w:rFonts w:hint="eastAsia"/>
              <w:color w:val="000000"/>
            </w:rPr>
            <w:t>。</w:t>
          </w:r>
        </w:p>
        <w:p w14:paraId="7648ECA7" w14:textId="77777777" w:rsidR="002D0AE7" w:rsidRDefault="002D0AE7">
          <w:pPr>
            <w:ind w:firstLineChars="200" w:firstLine="482"/>
            <w:rPr>
              <w:rFonts w:hint="eastAsia"/>
              <w:b/>
              <w:bCs/>
              <w:color w:val="000000"/>
            </w:rPr>
          </w:pPr>
        </w:p>
        <w:p w14:paraId="66ABB621" w14:textId="77777777" w:rsidR="002D0AE7" w:rsidRDefault="00333EBB">
          <w:pPr>
            <w:ind w:firstLineChars="200" w:firstLine="482"/>
            <w:rPr>
              <w:rFonts w:hint="eastAsia"/>
              <w:b/>
              <w:bCs/>
              <w:color w:val="000000"/>
            </w:rPr>
          </w:pPr>
          <w:r>
            <w:rPr>
              <w:rFonts w:hint="eastAsia"/>
              <w:b/>
              <w:bCs/>
              <w:color w:val="000000"/>
            </w:rPr>
            <w:t>津药和平（天津）制药有限公司：</w:t>
          </w:r>
        </w:p>
        <w:p w14:paraId="64770CBE" w14:textId="77777777" w:rsidR="002D0AE7" w:rsidRDefault="00333EBB">
          <w:pPr>
            <w:ind w:firstLineChars="200" w:firstLine="480"/>
            <w:rPr>
              <w:rFonts w:hint="eastAsia"/>
              <w:color w:val="000000"/>
            </w:rPr>
          </w:pPr>
          <w:r>
            <w:rPr>
              <w:rFonts w:hint="eastAsia"/>
              <w:color w:val="000000"/>
            </w:rPr>
            <w:t>①</w:t>
          </w:r>
          <w:r>
            <w:rPr>
              <w:rFonts w:cs="Calibri" w:hint="eastAsia"/>
              <w:color w:val="000000"/>
            </w:rPr>
            <w:t>2024</w:t>
          </w:r>
          <w:r>
            <w:rPr>
              <w:rFonts w:hint="eastAsia"/>
              <w:color w:val="000000"/>
            </w:rPr>
            <w:t>年</w:t>
          </w:r>
          <w:r>
            <w:rPr>
              <w:rFonts w:cs="Calibri" w:hint="eastAsia"/>
              <w:color w:val="000000"/>
            </w:rPr>
            <w:t>5</w:t>
          </w:r>
          <w:r>
            <w:rPr>
              <w:rFonts w:hint="eastAsia"/>
              <w:color w:val="000000"/>
            </w:rPr>
            <w:t>月</w:t>
          </w:r>
          <w:r>
            <w:rPr>
              <w:rFonts w:cs="Calibri" w:hint="eastAsia"/>
              <w:color w:val="000000"/>
            </w:rPr>
            <w:t>27</w:t>
          </w:r>
          <w:r>
            <w:rPr>
              <w:rFonts w:hint="eastAsia"/>
              <w:color w:val="000000"/>
            </w:rPr>
            <w:t>日天津经济技术开发区生态环境局审批通过企业基本情况的申请排污许可证基本信息变更。</w:t>
          </w:r>
        </w:p>
      </w:sdtContent>
    </w:sdt>
    <w:p w14:paraId="4630BF6C" w14:textId="77777777" w:rsidR="002D0AE7" w:rsidRDefault="00333EBB">
      <w:pPr>
        <w:pStyle w:val="3"/>
        <w:numPr>
          <w:ilvl w:val="0"/>
          <w:numId w:val="15"/>
        </w:numPr>
        <w:rPr>
          <w:rFonts w:ascii="宋体" w:hAnsi="宋体" w:hint="eastAsia"/>
          <w:color w:val="000000" w:themeColor="text1"/>
        </w:rPr>
      </w:pPr>
      <w:r>
        <w:rPr>
          <w:rFonts w:ascii="宋体" w:hAnsi="宋体" w:hint="eastAsia"/>
          <w:color w:val="000000" w:themeColor="text1"/>
        </w:rPr>
        <w:t>重点排污单位之外的公司环保情况说明</w:t>
      </w:r>
    </w:p>
    <w:sdt>
      <w:sdtPr>
        <w:rPr>
          <w:color w:val="000000" w:themeColor="text1"/>
        </w:rPr>
        <w:alias w:val="是否适用：重点排污单位之外的公司的环保情况[双击切换]"/>
        <w:tag w:val="_GBC_5429e6d325df48abbf95eb4f87e71363"/>
        <w:id w:val="856082782"/>
        <w:placeholder>
          <w:docPart w:val="GBC22222222222222222222222222222"/>
        </w:placeholder>
      </w:sdtPr>
      <w:sdtEndPr/>
      <w:sdtContent>
        <w:p w14:paraId="572C6960"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5DD36B3A" w14:textId="77777777" w:rsidR="002D0AE7" w:rsidRDefault="00333EBB">
      <w:pPr>
        <w:pStyle w:val="3"/>
        <w:numPr>
          <w:ilvl w:val="0"/>
          <w:numId w:val="15"/>
        </w:numPr>
        <w:rPr>
          <w:rFonts w:ascii="宋体" w:hAnsi="宋体" w:hint="eastAsia"/>
          <w:color w:val="000000" w:themeColor="text1"/>
        </w:rPr>
      </w:pPr>
      <w:r>
        <w:rPr>
          <w:rFonts w:ascii="宋体" w:hAnsi="宋体" w:hint="eastAsia"/>
          <w:color w:val="000000" w:themeColor="text1"/>
        </w:rPr>
        <w:t>报告期内披露环境信息内容的后续进展或变化情况的说明</w:t>
      </w:r>
    </w:p>
    <w:sdt>
      <w:sdtPr>
        <w:rPr>
          <w:color w:val="000000" w:themeColor="text1"/>
        </w:rPr>
        <w:alias w:val="是否适用：披露环境信息内容的后续进展或变化情况[双击切换]"/>
        <w:tag w:val="_GBC_451a415ae7344df7ba110ec71bce5279"/>
        <w:id w:val="-1766068623"/>
        <w:placeholder>
          <w:docPart w:val="GBC22222222222222222222222222222"/>
        </w:placeholder>
      </w:sdtPr>
      <w:sdtEndPr/>
      <w:sdtContent>
        <w:p w14:paraId="12C58ABB"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3F67E8AC" w14:textId="77777777" w:rsidR="002D0AE7" w:rsidRDefault="00333EBB">
      <w:pPr>
        <w:pStyle w:val="3"/>
        <w:numPr>
          <w:ilvl w:val="0"/>
          <w:numId w:val="15"/>
        </w:numPr>
        <w:ind w:left="450" w:hanging="450"/>
        <w:rPr>
          <w:rFonts w:ascii="宋体" w:hAnsi="宋体" w:cs="宋体" w:hint="eastAsia"/>
          <w:color w:val="000000" w:themeColor="text1"/>
          <w:kern w:val="0"/>
          <w:szCs w:val="24"/>
        </w:rPr>
      </w:pPr>
      <w:r>
        <w:rPr>
          <w:rFonts w:ascii="宋体" w:hAnsi="宋体" w:cs="宋体" w:hint="eastAsia"/>
          <w:color w:val="000000" w:themeColor="text1"/>
          <w:kern w:val="0"/>
          <w:szCs w:val="24"/>
        </w:rPr>
        <w:lastRenderedPageBreak/>
        <w:t>有利于保护生态、防治污染、履行环境责任的相关信息</w:t>
      </w:r>
    </w:p>
    <w:sdt>
      <w:sdtPr>
        <w:rPr>
          <w:color w:val="000000" w:themeColor="text1"/>
        </w:rPr>
        <w:alias w:val="是否适用：有利于保护生态、防治污染、履行环境责任的相关信息[双击切换]"/>
        <w:tag w:val="_GBC_1d95a0d39baa46e594806677748c6810"/>
        <w:id w:val="-1221589754"/>
        <w:placeholder>
          <w:docPart w:val="GBC22222222222222222222222222222"/>
        </w:placeholder>
      </w:sdtPr>
      <w:sdtEndPr/>
      <w:sdtContent>
        <w:p w14:paraId="1055E5EE"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有利于保护生态、防治污染、履行环境责任的相关信息"/>
        <w:tag w:val="_GBC_a7d973127b43494bb6876b836c3ec06c"/>
        <w:id w:val="338813133"/>
        <w:placeholder>
          <w:docPart w:val="GBC22222222222222222222222222222"/>
        </w:placeholder>
      </w:sdtPr>
      <w:sdtEndPr/>
      <w:sdtContent>
        <w:p w14:paraId="4A628DF6" w14:textId="77777777" w:rsidR="002D0AE7" w:rsidRDefault="00333EBB">
          <w:pPr>
            <w:ind w:firstLineChars="200" w:firstLine="480"/>
            <w:rPr>
              <w:rFonts w:hint="eastAsia"/>
              <w:color w:val="000000" w:themeColor="text1"/>
            </w:rPr>
          </w:pPr>
          <w:r>
            <w:rPr>
              <w:rFonts w:hint="eastAsia"/>
              <w:color w:val="000000" w:themeColor="text1"/>
            </w:rPr>
            <w:t>公司严格落实各项环保要求政策，按自行监测要求开展自行监测工作，改善厂内和周边环境质量，保证污染物达标排放。按要求进行突发环境事件应急预案修订，排污许可变更；按时完成环境信息披露工作，促进公司可持续发展，提高市场竞争力。</w:t>
          </w:r>
        </w:p>
      </w:sdtContent>
    </w:sdt>
    <w:p w14:paraId="41ED008A" w14:textId="77777777" w:rsidR="002D0AE7" w:rsidRDefault="00333EBB">
      <w:pPr>
        <w:pStyle w:val="3"/>
        <w:numPr>
          <w:ilvl w:val="0"/>
          <w:numId w:val="15"/>
        </w:numPr>
        <w:ind w:left="450" w:hanging="450"/>
        <w:rPr>
          <w:rFonts w:ascii="宋体" w:hAnsi="宋体" w:hint="eastAsia"/>
          <w:color w:val="000000" w:themeColor="text1"/>
        </w:rPr>
      </w:pPr>
      <w:bookmarkStart w:id="56" w:name="_Hlk138060310"/>
      <w:r>
        <w:rPr>
          <w:rFonts w:ascii="宋体" w:hAnsi="宋体"/>
          <w:color w:val="000000" w:themeColor="text1"/>
        </w:rPr>
        <w:t>在报告期内为减少其碳排放所采取的措施及效果</w:t>
      </w:r>
    </w:p>
    <w:sdt>
      <w:sdtPr>
        <w:rPr>
          <w:color w:val="000000" w:themeColor="text1"/>
        </w:rPr>
        <w:alias w:val="是否适用：在报告期内为减少其碳排放所采取的措施及效果 [双击切换]"/>
        <w:tag w:val="_GBC_3f6f203e2a75413bbe27afcb7ca629ab"/>
        <w:id w:val="2068681573"/>
        <w:placeholder>
          <w:docPart w:val="GBC22222222222222222222222222222"/>
        </w:placeholder>
      </w:sdtPr>
      <w:sdtEndPr/>
      <w:sdtContent>
        <w:p w14:paraId="3C3A96BC"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在报告期内为减少其碳排放所采取的措施及效果 "/>
        <w:tag w:val="_GBC_8746e0ea6a004dee9126fc2c7e2176a8"/>
        <w:id w:val="-287738333"/>
        <w:placeholder>
          <w:docPart w:val="GBC22222222222222222222222222222"/>
        </w:placeholder>
      </w:sdtPr>
      <w:sdtEndPr/>
      <w:sdtContent>
        <w:p w14:paraId="2EB573A7" w14:textId="77777777" w:rsidR="002D0AE7" w:rsidRDefault="00333EBB">
          <w:pPr>
            <w:ind w:firstLineChars="200" w:firstLine="480"/>
            <w:rPr>
              <w:rFonts w:hint="eastAsia"/>
              <w:color w:val="000000" w:themeColor="text1"/>
            </w:rPr>
          </w:pPr>
          <w:r>
            <w:rPr>
              <w:rFonts w:hint="eastAsia"/>
              <w:color w:val="000000" w:themeColor="text1"/>
            </w:rPr>
            <w:t>公司秉承可持续发展、实现环境效益与经济效益双赢的企业管理理念，在公司生产中不断调整生产模式，积极推进精益项目、热能回收，对各生产环节进行能源节约，并进行煤改燃工作，进一步降低碳排放。在保证生产的基础上，减少了电能、蒸汽、循环水、冷盐水等公辅能源的消耗，为加强节能减排、发展低碳经济贡献了一份力量。</w:t>
          </w:r>
        </w:p>
      </w:sdtContent>
    </w:sdt>
    <w:p w14:paraId="0222A0D8" w14:textId="77777777" w:rsidR="002D0AE7" w:rsidRDefault="00333EBB">
      <w:pPr>
        <w:pStyle w:val="2"/>
        <w:numPr>
          <w:ilvl w:val="0"/>
          <w:numId w:val="14"/>
        </w:numPr>
        <w:tabs>
          <w:tab w:val="left" w:pos="426"/>
        </w:tabs>
        <w:ind w:left="482" w:hanging="482"/>
        <w:jc w:val="left"/>
        <w:rPr>
          <w:rFonts w:ascii="宋体" w:hAnsi="宋体" w:hint="eastAsia"/>
          <w:color w:val="000000" w:themeColor="text1"/>
        </w:rPr>
      </w:pPr>
      <w:bookmarkStart w:id="57" w:name="_Hlk138060542"/>
      <w:bookmarkStart w:id="58" w:name="_Hlk137046383"/>
      <w:bookmarkEnd w:id="56"/>
      <w:r>
        <w:rPr>
          <w:rFonts w:ascii="宋体" w:hAnsi="宋体" w:hint="eastAsia"/>
          <w:color w:val="000000" w:themeColor="text1"/>
        </w:rPr>
        <w:t>巩固拓展脱贫攻坚成果、乡村振兴等工作具体情况</w:t>
      </w:r>
    </w:p>
    <w:sdt>
      <w:sdtPr>
        <w:rPr>
          <w:color w:val="000000" w:themeColor="text1"/>
        </w:rPr>
        <w:alias w:val="是否适用：巩固拓展脱贫攻坚成果、乡村振兴工作具体情况[双击切换]"/>
        <w:tag w:val="_GBC_7f424183824c43c9809b2bbaefe89688"/>
        <w:id w:val="2047489756"/>
        <w:placeholder>
          <w:docPart w:val="GBC22222222222222222222222222222"/>
        </w:placeholder>
      </w:sdtPr>
      <w:sdtEndPr/>
      <w:sdtContent>
        <w:p w14:paraId="0581236A"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46383BAD" w14:textId="77777777" w:rsidR="002D0AE7" w:rsidRDefault="00333EBB">
      <w:pPr>
        <w:pStyle w:val="1"/>
        <w:numPr>
          <w:ilvl w:val="0"/>
          <w:numId w:val="2"/>
        </w:numPr>
        <w:rPr>
          <w:rFonts w:ascii="黑体" w:hAnsi="黑体" w:hint="eastAsia"/>
          <w:color w:val="000000" w:themeColor="text1"/>
        </w:rPr>
      </w:pPr>
      <w:bookmarkStart w:id="59" w:name="_Toc76114277"/>
      <w:bookmarkStart w:id="60" w:name="_Toc142578260"/>
      <w:bookmarkEnd w:id="57"/>
      <w:bookmarkEnd w:id="58"/>
      <w:r>
        <w:rPr>
          <w:rFonts w:ascii="黑体" w:hAnsi="黑体"/>
          <w:color w:val="000000" w:themeColor="text1"/>
        </w:rPr>
        <w:t>重要事项</w:t>
      </w:r>
      <w:bookmarkEnd w:id="59"/>
      <w:bookmarkEnd w:id="60"/>
    </w:p>
    <w:p w14:paraId="76564615" w14:textId="77777777" w:rsidR="002D0AE7" w:rsidRDefault="00333EBB">
      <w:pPr>
        <w:pStyle w:val="2"/>
        <w:numPr>
          <w:ilvl w:val="0"/>
          <w:numId w:val="18"/>
        </w:numPr>
        <w:tabs>
          <w:tab w:val="left" w:pos="426"/>
        </w:tabs>
        <w:ind w:firstLineChars="0"/>
        <w:jc w:val="left"/>
        <w:rPr>
          <w:rFonts w:ascii="宋体" w:hAnsi="宋体" w:hint="eastAsia"/>
          <w:color w:val="000000" w:themeColor="text1"/>
        </w:rPr>
      </w:pPr>
      <w:bookmarkStart w:id="61" w:name="_Toc342565988"/>
      <w:r>
        <w:rPr>
          <w:rFonts w:ascii="宋体" w:hAnsi="宋体" w:hint="eastAsia"/>
          <w:color w:val="000000" w:themeColor="text1"/>
        </w:rPr>
        <w:t>承诺事项履行情况</w:t>
      </w:r>
    </w:p>
    <w:p w14:paraId="66CB9A46" w14:textId="77777777" w:rsidR="002D0AE7" w:rsidRDefault="00333EBB">
      <w:pPr>
        <w:pStyle w:val="3"/>
        <w:numPr>
          <w:ilvl w:val="1"/>
          <w:numId w:val="19"/>
        </w:numPr>
        <w:rPr>
          <w:color w:val="000000" w:themeColor="text1"/>
          <w:szCs w:val="21"/>
        </w:rPr>
      </w:pPr>
      <w:bookmarkStart w:id="62" w:name="_Hlk167798036"/>
      <w:r>
        <w:rPr>
          <w:rFonts w:hint="eastAsia"/>
          <w:color w:val="000000" w:themeColor="text1"/>
          <w:szCs w:val="21"/>
        </w:rPr>
        <w:t>公司实际控制人、股东、关联方、收购人以及公司等承诺相关方在报告期内或持续到报告期内的承诺事项</w:t>
      </w:r>
    </w:p>
    <w:sdt>
      <w:sdtPr>
        <w:rPr>
          <w:color w:val="000000" w:themeColor="text1"/>
        </w:rPr>
        <w:alias w:val="是否适用：公司实际控制人、股东、关联方、收购人以及公司等承诺相关方在报告期内或持续到报告期内的承诺事项 [双击切换]"/>
        <w:tag w:val="_GBC_1b3cd268fdf44711b46a5537ed6234e6"/>
        <w:id w:val="-792139373"/>
        <w:placeholder>
          <w:docPart w:val="GBC22222222222222222222222222222"/>
        </w:placeholder>
      </w:sdtPr>
      <w:sdtEndPr/>
      <w:sdtContent>
        <w:p w14:paraId="2BEA5901"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tbl>
      <w:tblPr>
        <w:tblW w:w="6110"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106"/>
        <w:gridCol w:w="2484"/>
        <w:gridCol w:w="1997"/>
        <w:gridCol w:w="1417"/>
        <w:gridCol w:w="427"/>
        <w:gridCol w:w="425"/>
        <w:gridCol w:w="425"/>
        <w:gridCol w:w="705"/>
        <w:gridCol w:w="690"/>
      </w:tblGrid>
      <w:tr w:rsidR="002D0AE7" w14:paraId="674FD313" w14:textId="77777777">
        <w:bookmarkEnd w:id="62" w:displacedByCustomXml="next"/>
        <w:sdt>
          <w:sdtPr>
            <w:rPr>
              <w:color w:val="000000" w:themeColor="text1"/>
            </w:rPr>
            <w:tag w:val="_PLD_2f48c631d4f145bb89e0b412b579c044"/>
            <w:id w:val="-107506916"/>
          </w:sdtPr>
          <w:sdtEndPr/>
          <w:sdtContent>
            <w:tc>
              <w:tcPr>
                <w:tcW w:w="513" w:type="pct"/>
                <w:shd w:val="clear" w:color="auto" w:fill="auto"/>
                <w:vAlign w:val="center"/>
              </w:tcPr>
              <w:p w14:paraId="58655294" w14:textId="77777777" w:rsidR="002D0AE7" w:rsidRDefault="00333EBB">
                <w:pPr>
                  <w:jc w:val="center"/>
                  <w:rPr>
                    <w:rFonts w:hint="eastAsia"/>
                    <w:color w:val="000000" w:themeColor="text1"/>
                  </w:rPr>
                </w:pPr>
                <w:r>
                  <w:rPr>
                    <w:rFonts w:hint="eastAsia"/>
                    <w:color w:val="000000" w:themeColor="text1"/>
                  </w:rPr>
                  <w:t>承诺背景</w:t>
                </w:r>
              </w:p>
            </w:tc>
          </w:sdtContent>
        </w:sdt>
        <w:sdt>
          <w:sdtPr>
            <w:rPr>
              <w:color w:val="000000" w:themeColor="text1"/>
            </w:rPr>
            <w:tag w:val="_PLD_9a17726fa949480a8fa734c2daa367c5"/>
            <w:id w:val="-39137796"/>
          </w:sdtPr>
          <w:sdtEndPr/>
          <w:sdtContent>
            <w:tc>
              <w:tcPr>
                <w:tcW w:w="513" w:type="pct"/>
                <w:shd w:val="clear" w:color="auto" w:fill="auto"/>
                <w:vAlign w:val="center"/>
              </w:tcPr>
              <w:p w14:paraId="421DE217" w14:textId="77777777" w:rsidR="002D0AE7" w:rsidRDefault="00333EBB">
                <w:pPr>
                  <w:jc w:val="center"/>
                  <w:rPr>
                    <w:rFonts w:hint="eastAsia"/>
                    <w:color w:val="000000" w:themeColor="text1"/>
                  </w:rPr>
                </w:pPr>
                <w:r>
                  <w:rPr>
                    <w:rFonts w:hint="eastAsia"/>
                    <w:color w:val="000000" w:themeColor="text1"/>
                  </w:rPr>
                  <w:t>承诺</w:t>
                </w:r>
              </w:p>
              <w:p w14:paraId="0F775C88" w14:textId="77777777" w:rsidR="002D0AE7" w:rsidRDefault="00333EBB">
                <w:pPr>
                  <w:jc w:val="center"/>
                  <w:rPr>
                    <w:rFonts w:hint="eastAsia"/>
                    <w:color w:val="000000" w:themeColor="text1"/>
                  </w:rPr>
                </w:pPr>
                <w:r>
                  <w:rPr>
                    <w:rFonts w:hint="eastAsia"/>
                    <w:color w:val="000000" w:themeColor="text1"/>
                  </w:rPr>
                  <w:t>类型</w:t>
                </w:r>
              </w:p>
            </w:tc>
          </w:sdtContent>
        </w:sdt>
        <w:sdt>
          <w:sdtPr>
            <w:rPr>
              <w:color w:val="000000" w:themeColor="text1"/>
            </w:rPr>
            <w:tag w:val="_PLD_dd4d33263e224736aca1317e23b8393b"/>
            <w:id w:val="-1782558447"/>
          </w:sdtPr>
          <w:sdtEndPr/>
          <w:sdtContent>
            <w:tc>
              <w:tcPr>
                <w:tcW w:w="1152" w:type="pct"/>
                <w:shd w:val="clear" w:color="auto" w:fill="auto"/>
                <w:vAlign w:val="center"/>
              </w:tcPr>
              <w:p w14:paraId="71258E84" w14:textId="77777777" w:rsidR="002D0AE7" w:rsidRDefault="00333EBB">
                <w:pPr>
                  <w:jc w:val="center"/>
                  <w:rPr>
                    <w:rFonts w:hint="eastAsia"/>
                    <w:color w:val="000000" w:themeColor="text1"/>
                  </w:rPr>
                </w:pPr>
                <w:r>
                  <w:rPr>
                    <w:rFonts w:hint="eastAsia"/>
                    <w:color w:val="000000" w:themeColor="text1"/>
                  </w:rPr>
                  <w:t>承诺方</w:t>
                </w:r>
              </w:p>
            </w:tc>
          </w:sdtContent>
        </w:sdt>
        <w:sdt>
          <w:sdtPr>
            <w:rPr>
              <w:color w:val="000000" w:themeColor="text1"/>
            </w:rPr>
            <w:tag w:val="_PLD_2827daa4881746e8af82dd1a4a5cdfc9"/>
            <w:id w:val="1489835439"/>
          </w:sdtPr>
          <w:sdtEndPr/>
          <w:sdtContent>
            <w:tc>
              <w:tcPr>
                <w:tcW w:w="926" w:type="pct"/>
                <w:shd w:val="clear" w:color="auto" w:fill="auto"/>
                <w:vAlign w:val="center"/>
              </w:tcPr>
              <w:p w14:paraId="48D9583C" w14:textId="77777777" w:rsidR="002D0AE7" w:rsidRDefault="00333EBB">
                <w:pPr>
                  <w:jc w:val="center"/>
                  <w:rPr>
                    <w:rFonts w:hint="eastAsia"/>
                    <w:color w:val="000000" w:themeColor="text1"/>
                  </w:rPr>
                </w:pPr>
                <w:r>
                  <w:rPr>
                    <w:rFonts w:hint="eastAsia"/>
                    <w:color w:val="000000" w:themeColor="text1"/>
                  </w:rPr>
                  <w:t>承诺</w:t>
                </w:r>
              </w:p>
              <w:p w14:paraId="551AE06B" w14:textId="77777777" w:rsidR="002D0AE7" w:rsidRDefault="00333EBB">
                <w:pPr>
                  <w:jc w:val="center"/>
                  <w:rPr>
                    <w:rFonts w:hint="eastAsia"/>
                    <w:color w:val="000000" w:themeColor="text1"/>
                  </w:rPr>
                </w:pPr>
                <w:r>
                  <w:rPr>
                    <w:rFonts w:hint="eastAsia"/>
                    <w:color w:val="000000" w:themeColor="text1"/>
                  </w:rPr>
                  <w:t>内容</w:t>
                </w:r>
              </w:p>
            </w:tc>
          </w:sdtContent>
        </w:sdt>
        <w:sdt>
          <w:sdtPr>
            <w:rPr>
              <w:rFonts w:hint="eastAsia"/>
              <w:color w:val="000000" w:themeColor="text1"/>
            </w:rPr>
            <w:tag w:val="_PLD_0faf19b77a3a4c9f9dfef5d67a6c073e"/>
            <w:id w:val="457389476"/>
          </w:sdtPr>
          <w:sdtEndPr/>
          <w:sdtContent>
            <w:tc>
              <w:tcPr>
                <w:tcW w:w="657" w:type="pct"/>
                <w:vAlign w:val="center"/>
              </w:tcPr>
              <w:p w14:paraId="032054EC" w14:textId="77777777" w:rsidR="002D0AE7" w:rsidRDefault="00333EBB">
                <w:pPr>
                  <w:jc w:val="center"/>
                  <w:rPr>
                    <w:rFonts w:hint="eastAsia"/>
                    <w:color w:val="000000" w:themeColor="text1"/>
                  </w:rPr>
                </w:pPr>
                <w:r>
                  <w:rPr>
                    <w:rFonts w:hint="eastAsia"/>
                    <w:color w:val="000000" w:themeColor="text1"/>
                  </w:rPr>
                  <w:t>承诺时间</w:t>
                </w:r>
              </w:p>
            </w:tc>
          </w:sdtContent>
        </w:sdt>
        <w:sdt>
          <w:sdtPr>
            <w:rPr>
              <w:color w:val="000000" w:themeColor="text1"/>
            </w:rPr>
            <w:tag w:val="_PLD_5712764119844cacbd807a7b3cc06229"/>
            <w:id w:val="861175627"/>
          </w:sdtPr>
          <w:sdtEndPr/>
          <w:sdtContent>
            <w:tc>
              <w:tcPr>
                <w:tcW w:w="198" w:type="pct"/>
                <w:shd w:val="clear" w:color="auto" w:fill="auto"/>
                <w:vAlign w:val="center"/>
              </w:tcPr>
              <w:p w14:paraId="0A66925E" w14:textId="77777777" w:rsidR="002D0AE7" w:rsidRDefault="00333EBB">
                <w:pPr>
                  <w:jc w:val="center"/>
                  <w:rPr>
                    <w:rFonts w:hint="eastAsia"/>
                    <w:color w:val="000000" w:themeColor="text1"/>
                  </w:rPr>
                </w:pPr>
                <w:r>
                  <w:rPr>
                    <w:rFonts w:hint="eastAsia"/>
                    <w:color w:val="000000" w:themeColor="text1"/>
                  </w:rPr>
                  <w:t>是否有履行期限</w:t>
                </w:r>
              </w:p>
            </w:tc>
          </w:sdtContent>
        </w:sdt>
        <w:sdt>
          <w:sdtPr>
            <w:rPr>
              <w:rFonts w:hint="eastAsia"/>
              <w:color w:val="000000" w:themeColor="text1"/>
            </w:rPr>
            <w:tag w:val="_PLD_086966425efd4cf5aa843a606f19d41f"/>
            <w:id w:val="-1094629617"/>
          </w:sdtPr>
          <w:sdtEndPr/>
          <w:sdtContent>
            <w:tc>
              <w:tcPr>
                <w:tcW w:w="197" w:type="pct"/>
                <w:vAlign w:val="center"/>
              </w:tcPr>
              <w:p w14:paraId="1C09CF35" w14:textId="77777777" w:rsidR="002D0AE7" w:rsidRDefault="00333EBB">
                <w:pPr>
                  <w:jc w:val="center"/>
                  <w:rPr>
                    <w:rFonts w:hint="eastAsia"/>
                    <w:color w:val="000000" w:themeColor="text1"/>
                  </w:rPr>
                </w:pPr>
                <w:r>
                  <w:rPr>
                    <w:rFonts w:hint="eastAsia"/>
                    <w:color w:val="000000" w:themeColor="text1"/>
                  </w:rPr>
                  <w:t>承诺期限</w:t>
                </w:r>
              </w:p>
            </w:tc>
          </w:sdtContent>
        </w:sdt>
        <w:sdt>
          <w:sdtPr>
            <w:rPr>
              <w:color w:val="000000" w:themeColor="text1"/>
            </w:rPr>
            <w:tag w:val="_PLD_c57f62b5ce044c04a606e760d1fb2925"/>
            <w:id w:val="1818220211"/>
          </w:sdtPr>
          <w:sdtEndPr/>
          <w:sdtContent>
            <w:tc>
              <w:tcPr>
                <w:tcW w:w="197" w:type="pct"/>
                <w:shd w:val="clear" w:color="auto" w:fill="auto"/>
                <w:vAlign w:val="center"/>
              </w:tcPr>
              <w:p w14:paraId="3F5EF16C" w14:textId="77777777" w:rsidR="002D0AE7" w:rsidRDefault="00333EBB">
                <w:pPr>
                  <w:jc w:val="center"/>
                  <w:rPr>
                    <w:rFonts w:hint="eastAsia"/>
                    <w:color w:val="000000" w:themeColor="text1"/>
                  </w:rPr>
                </w:pPr>
                <w:r>
                  <w:rPr>
                    <w:rFonts w:hint="eastAsia"/>
                    <w:color w:val="000000" w:themeColor="text1"/>
                  </w:rPr>
                  <w:t>是否及时严格履行</w:t>
                </w:r>
              </w:p>
            </w:tc>
          </w:sdtContent>
        </w:sdt>
        <w:sdt>
          <w:sdtPr>
            <w:rPr>
              <w:color w:val="000000" w:themeColor="text1"/>
            </w:rPr>
            <w:tag w:val="_PLD_aa8ea8bcfcba4d8d9cf09df53934a60e"/>
            <w:id w:val="144180878"/>
          </w:sdtPr>
          <w:sdtEndPr/>
          <w:sdtContent>
            <w:tc>
              <w:tcPr>
                <w:tcW w:w="327" w:type="pct"/>
                <w:shd w:val="clear" w:color="auto" w:fill="auto"/>
                <w:vAlign w:val="center"/>
              </w:tcPr>
              <w:p w14:paraId="38608A46" w14:textId="77777777" w:rsidR="002D0AE7" w:rsidRDefault="00333EBB">
                <w:pPr>
                  <w:jc w:val="center"/>
                  <w:rPr>
                    <w:rFonts w:hint="eastAsia"/>
                    <w:color w:val="000000" w:themeColor="text1"/>
                  </w:rPr>
                </w:pPr>
                <w:r>
                  <w:rPr>
                    <w:rFonts w:hint="eastAsia"/>
                    <w:color w:val="000000" w:themeColor="text1"/>
                  </w:rPr>
                  <w:t>如未能及时履行应说明未完成履行的具体原因</w:t>
                </w:r>
              </w:p>
            </w:tc>
          </w:sdtContent>
        </w:sdt>
        <w:sdt>
          <w:sdtPr>
            <w:rPr>
              <w:color w:val="000000" w:themeColor="text1"/>
            </w:rPr>
            <w:tag w:val="_PLD_10e867610a5447f294ff667276bb94e5"/>
            <w:id w:val="-915470244"/>
          </w:sdtPr>
          <w:sdtEndPr/>
          <w:sdtContent>
            <w:tc>
              <w:tcPr>
                <w:tcW w:w="320" w:type="pct"/>
                <w:shd w:val="clear" w:color="auto" w:fill="auto"/>
                <w:vAlign w:val="center"/>
              </w:tcPr>
              <w:p w14:paraId="6AA56CE7" w14:textId="77777777" w:rsidR="002D0AE7" w:rsidRDefault="00333EBB">
                <w:pPr>
                  <w:jc w:val="center"/>
                  <w:rPr>
                    <w:rFonts w:hint="eastAsia"/>
                    <w:color w:val="000000" w:themeColor="text1"/>
                  </w:rPr>
                </w:pPr>
                <w:r>
                  <w:rPr>
                    <w:rFonts w:hint="eastAsia"/>
                    <w:color w:val="000000" w:themeColor="text1"/>
                  </w:rPr>
                  <w:t>如未能及时履行应说明下一步计划</w:t>
                </w:r>
              </w:p>
            </w:tc>
          </w:sdtContent>
        </w:sdt>
      </w:tr>
      <w:tr w:rsidR="002D0AE7" w14:paraId="51B5FAE6" w14:textId="77777777">
        <w:trPr>
          <w:trHeight w:val="458"/>
        </w:trPr>
        <w:tc>
          <w:tcPr>
            <w:tcW w:w="513" w:type="pct"/>
            <w:vMerge w:val="restart"/>
            <w:shd w:val="clear" w:color="auto" w:fill="auto"/>
            <w:vAlign w:val="center"/>
          </w:tcPr>
          <w:p w14:paraId="7C617516" w14:textId="77777777" w:rsidR="002D0AE7" w:rsidRDefault="00333EBB">
            <w:pPr>
              <w:rPr>
                <w:rFonts w:hint="eastAsia"/>
                <w:color w:val="000000" w:themeColor="text1"/>
              </w:rPr>
            </w:pPr>
            <w:r>
              <w:rPr>
                <w:rFonts w:hint="eastAsia"/>
                <w:color w:val="000000" w:themeColor="text1"/>
              </w:rPr>
              <w:t>收购报告书或权益变动报告</w:t>
            </w:r>
            <w:r>
              <w:rPr>
                <w:rFonts w:hint="eastAsia"/>
                <w:color w:val="000000" w:themeColor="text1"/>
              </w:rPr>
              <w:lastRenderedPageBreak/>
              <w:t>书中所作承诺</w:t>
            </w:r>
          </w:p>
        </w:tc>
        <w:sdt>
          <w:sdtPr>
            <w:rPr>
              <w:color w:val="000000" w:themeColor="text1"/>
            </w:rPr>
            <w:alias w:val="与收购报告书或权益变动报告书相关承诺-承诺类型"/>
            <w:tag w:val="_GBC_80e19e6f0cbe4830a598ece08ad07154"/>
            <w:id w:val="-352882924"/>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513" w:type="pct"/>
                <w:shd w:val="clear" w:color="auto" w:fill="auto"/>
                <w:vAlign w:val="center"/>
              </w:tcPr>
              <w:p w14:paraId="41D5D07E" w14:textId="77777777" w:rsidR="002D0AE7" w:rsidRDefault="00333EBB">
                <w:pPr>
                  <w:jc w:val="center"/>
                  <w:rPr>
                    <w:rFonts w:hint="eastAsia"/>
                    <w:color w:val="000000" w:themeColor="text1"/>
                  </w:rPr>
                </w:pPr>
                <w:r>
                  <w:rPr>
                    <w:rFonts w:hint="eastAsia"/>
                    <w:color w:val="000000" w:themeColor="text1"/>
                  </w:rPr>
                  <w:t>解决同业竞争</w:t>
                </w:r>
              </w:p>
            </w:tc>
          </w:sdtContent>
        </w:sdt>
        <w:tc>
          <w:tcPr>
            <w:tcW w:w="1152" w:type="pct"/>
            <w:shd w:val="clear" w:color="auto" w:fill="auto"/>
            <w:vAlign w:val="center"/>
          </w:tcPr>
          <w:p w14:paraId="42AC4338" w14:textId="77777777" w:rsidR="002D0AE7" w:rsidRDefault="00333EBB">
            <w:pPr>
              <w:rPr>
                <w:rFonts w:hint="eastAsia"/>
              </w:rPr>
            </w:pPr>
            <w:r>
              <w:t>公司要约收购人津沪深生物医药科技有限公司</w:t>
            </w:r>
          </w:p>
        </w:tc>
        <w:tc>
          <w:tcPr>
            <w:tcW w:w="926" w:type="pct"/>
            <w:shd w:val="clear" w:color="auto" w:fill="auto"/>
            <w:vAlign w:val="center"/>
          </w:tcPr>
          <w:p w14:paraId="659BA631" w14:textId="77777777" w:rsidR="002D0AE7" w:rsidRDefault="00333EBB">
            <w:pPr>
              <w:rPr>
                <w:rFonts w:hint="eastAsia"/>
              </w:rPr>
            </w:pPr>
            <w:r>
              <w:t>《关于规范和减少同业竞争的承诺》</w:t>
            </w:r>
          </w:p>
        </w:tc>
        <w:tc>
          <w:tcPr>
            <w:tcW w:w="657" w:type="pct"/>
            <w:vAlign w:val="center"/>
          </w:tcPr>
          <w:p w14:paraId="1F438064" w14:textId="77777777" w:rsidR="002D0AE7" w:rsidRDefault="00333EBB">
            <w:pPr>
              <w:rPr>
                <w:rFonts w:hint="eastAsia"/>
              </w:rPr>
            </w:pPr>
            <w:r>
              <w:t>2020.12.20</w:t>
            </w:r>
          </w:p>
        </w:tc>
        <w:tc>
          <w:tcPr>
            <w:tcW w:w="198" w:type="pct"/>
            <w:shd w:val="clear" w:color="auto" w:fill="auto"/>
            <w:vAlign w:val="center"/>
          </w:tcPr>
          <w:p w14:paraId="7BA146F4" w14:textId="77777777" w:rsidR="002D0AE7" w:rsidRDefault="00333EBB">
            <w:pPr>
              <w:rPr>
                <w:rFonts w:hint="eastAsia"/>
                <w:color w:val="000000" w:themeColor="text1"/>
              </w:rPr>
            </w:pPr>
            <w:r>
              <w:t>否</w:t>
            </w:r>
          </w:p>
        </w:tc>
        <w:tc>
          <w:tcPr>
            <w:tcW w:w="197" w:type="pct"/>
            <w:vAlign w:val="center"/>
          </w:tcPr>
          <w:p w14:paraId="752BFB8B" w14:textId="77777777" w:rsidR="002D0AE7" w:rsidRDefault="00333EBB">
            <w:pPr>
              <w:rPr>
                <w:rFonts w:hint="eastAsia"/>
              </w:rPr>
            </w:pPr>
            <w:r>
              <w:t>长期有效</w:t>
            </w:r>
          </w:p>
        </w:tc>
        <w:tc>
          <w:tcPr>
            <w:tcW w:w="197" w:type="pct"/>
            <w:shd w:val="clear" w:color="auto" w:fill="auto"/>
            <w:vAlign w:val="center"/>
          </w:tcPr>
          <w:p w14:paraId="335DFBE8" w14:textId="77777777" w:rsidR="002D0AE7" w:rsidRDefault="00333EBB">
            <w:pPr>
              <w:rPr>
                <w:rFonts w:hint="eastAsia"/>
                <w:color w:val="000000" w:themeColor="text1"/>
              </w:rPr>
            </w:pPr>
            <w:r>
              <w:t>是</w:t>
            </w:r>
          </w:p>
        </w:tc>
        <w:tc>
          <w:tcPr>
            <w:tcW w:w="327" w:type="pct"/>
            <w:shd w:val="clear" w:color="auto" w:fill="auto"/>
            <w:vAlign w:val="center"/>
          </w:tcPr>
          <w:p w14:paraId="3795C93A" w14:textId="77777777" w:rsidR="002D0AE7" w:rsidRDefault="002D0AE7">
            <w:pPr>
              <w:rPr>
                <w:rFonts w:hint="eastAsia"/>
              </w:rPr>
            </w:pPr>
          </w:p>
        </w:tc>
        <w:tc>
          <w:tcPr>
            <w:tcW w:w="320" w:type="pct"/>
            <w:shd w:val="clear" w:color="auto" w:fill="auto"/>
          </w:tcPr>
          <w:p w14:paraId="085576AA" w14:textId="77777777" w:rsidR="002D0AE7" w:rsidRDefault="002D0AE7">
            <w:pPr>
              <w:rPr>
                <w:rFonts w:hint="eastAsia"/>
              </w:rPr>
            </w:pPr>
          </w:p>
        </w:tc>
      </w:tr>
      <w:tr w:rsidR="002D0AE7" w14:paraId="6B97FBF1" w14:textId="77777777">
        <w:tc>
          <w:tcPr>
            <w:tcW w:w="513" w:type="pct"/>
            <w:vMerge/>
            <w:shd w:val="clear" w:color="auto" w:fill="auto"/>
            <w:vAlign w:val="center"/>
          </w:tcPr>
          <w:p w14:paraId="4D672AA9" w14:textId="77777777" w:rsidR="002D0AE7" w:rsidRDefault="002D0AE7">
            <w:pPr>
              <w:rPr>
                <w:rFonts w:hint="eastAsia"/>
              </w:rPr>
            </w:pPr>
          </w:p>
        </w:tc>
        <w:tc>
          <w:tcPr>
            <w:tcW w:w="513" w:type="pct"/>
            <w:shd w:val="clear" w:color="auto" w:fill="auto"/>
            <w:vAlign w:val="center"/>
          </w:tcPr>
          <w:p w14:paraId="09DC7ED3" w14:textId="77777777" w:rsidR="002D0AE7" w:rsidRDefault="00333EBB">
            <w:pPr>
              <w:jc w:val="center"/>
              <w:rPr>
                <w:rFonts w:hint="eastAsia"/>
              </w:rPr>
            </w:pPr>
            <w:r>
              <w:rPr>
                <w:rFonts w:hint="eastAsia"/>
              </w:rPr>
              <w:t>解决关联交易</w:t>
            </w:r>
          </w:p>
        </w:tc>
        <w:tc>
          <w:tcPr>
            <w:tcW w:w="1152" w:type="pct"/>
            <w:shd w:val="clear" w:color="auto" w:fill="auto"/>
            <w:vAlign w:val="center"/>
          </w:tcPr>
          <w:p w14:paraId="6AFA0791" w14:textId="77777777" w:rsidR="002D0AE7" w:rsidRDefault="00333EBB">
            <w:pPr>
              <w:rPr>
                <w:rFonts w:hint="eastAsia"/>
              </w:rPr>
            </w:pPr>
            <w:r>
              <w:t>公司要约收购人津沪深生物医药科技有限公司</w:t>
            </w:r>
          </w:p>
        </w:tc>
        <w:tc>
          <w:tcPr>
            <w:tcW w:w="926" w:type="pct"/>
            <w:shd w:val="clear" w:color="auto" w:fill="auto"/>
            <w:vAlign w:val="center"/>
          </w:tcPr>
          <w:p w14:paraId="1501383E" w14:textId="77777777" w:rsidR="002D0AE7" w:rsidRDefault="00333EBB">
            <w:pPr>
              <w:rPr>
                <w:rFonts w:hint="eastAsia"/>
              </w:rPr>
            </w:pPr>
            <w:r>
              <w:t>《关于避免和解决关联交易的承诺》</w:t>
            </w:r>
          </w:p>
        </w:tc>
        <w:tc>
          <w:tcPr>
            <w:tcW w:w="657" w:type="pct"/>
            <w:vAlign w:val="center"/>
          </w:tcPr>
          <w:p w14:paraId="6AD77205" w14:textId="77777777" w:rsidR="002D0AE7" w:rsidRDefault="00333EBB">
            <w:pPr>
              <w:rPr>
                <w:rFonts w:hint="eastAsia"/>
              </w:rPr>
            </w:pPr>
            <w:r>
              <w:t>2020.12.20</w:t>
            </w:r>
          </w:p>
        </w:tc>
        <w:tc>
          <w:tcPr>
            <w:tcW w:w="198" w:type="pct"/>
            <w:shd w:val="clear" w:color="auto" w:fill="auto"/>
            <w:vAlign w:val="center"/>
          </w:tcPr>
          <w:p w14:paraId="663E1F4D" w14:textId="77777777" w:rsidR="002D0AE7" w:rsidRDefault="00333EBB">
            <w:pPr>
              <w:rPr>
                <w:rFonts w:hint="eastAsia"/>
                <w:color w:val="000000" w:themeColor="text1"/>
              </w:rPr>
            </w:pPr>
            <w:r>
              <w:t>否</w:t>
            </w:r>
          </w:p>
        </w:tc>
        <w:tc>
          <w:tcPr>
            <w:tcW w:w="197" w:type="pct"/>
            <w:vAlign w:val="center"/>
          </w:tcPr>
          <w:p w14:paraId="7843C5FB" w14:textId="77777777" w:rsidR="002D0AE7" w:rsidRDefault="00333EBB">
            <w:pPr>
              <w:rPr>
                <w:rFonts w:hint="eastAsia"/>
              </w:rPr>
            </w:pPr>
            <w:r>
              <w:t>长期有效</w:t>
            </w:r>
          </w:p>
        </w:tc>
        <w:tc>
          <w:tcPr>
            <w:tcW w:w="197" w:type="pct"/>
            <w:shd w:val="clear" w:color="auto" w:fill="auto"/>
            <w:vAlign w:val="center"/>
          </w:tcPr>
          <w:p w14:paraId="5B0F156F" w14:textId="77777777" w:rsidR="002D0AE7" w:rsidRDefault="00333EBB">
            <w:pPr>
              <w:rPr>
                <w:rFonts w:hint="eastAsia"/>
                <w:color w:val="000000" w:themeColor="text1"/>
              </w:rPr>
            </w:pPr>
            <w:r>
              <w:t>是</w:t>
            </w:r>
          </w:p>
        </w:tc>
        <w:tc>
          <w:tcPr>
            <w:tcW w:w="327" w:type="pct"/>
            <w:shd w:val="clear" w:color="auto" w:fill="auto"/>
          </w:tcPr>
          <w:p w14:paraId="6CB628DA" w14:textId="77777777" w:rsidR="002D0AE7" w:rsidRDefault="002D0AE7">
            <w:pPr>
              <w:rPr>
                <w:rFonts w:hint="eastAsia"/>
              </w:rPr>
            </w:pPr>
          </w:p>
        </w:tc>
        <w:tc>
          <w:tcPr>
            <w:tcW w:w="320" w:type="pct"/>
            <w:shd w:val="clear" w:color="auto" w:fill="auto"/>
          </w:tcPr>
          <w:p w14:paraId="234A11C2" w14:textId="77777777" w:rsidR="002D0AE7" w:rsidRDefault="002D0AE7">
            <w:pPr>
              <w:rPr>
                <w:rFonts w:hint="eastAsia"/>
              </w:rPr>
            </w:pPr>
          </w:p>
        </w:tc>
      </w:tr>
      <w:tr w:rsidR="002D0AE7" w14:paraId="498583A4" w14:textId="77777777">
        <w:tc>
          <w:tcPr>
            <w:tcW w:w="513" w:type="pct"/>
            <w:vMerge w:val="restart"/>
            <w:shd w:val="clear" w:color="auto" w:fill="auto"/>
            <w:vAlign w:val="center"/>
          </w:tcPr>
          <w:p w14:paraId="40A93CCB" w14:textId="77777777" w:rsidR="002D0AE7" w:rsidRDefault="00333EBB">
            <w:pPr>
              <w:rPr>
                <w:rFonts w:hint="eastAsia"/>
                <w:color w:val="000000" w:themeColor="text1"/>
              </w:rPr>
            </w:pPr>
            <w:r>
              <w:rPr>
                <w:rFonts w:hint="eastAsia"/>
                <w:color w:val="000000" w:themeColor="text1"/>
              </w:rPr>
              <w:t>与重大资产重组相关的承诺</w:t>
            </w:r>
          </w:p>
        </w:tc>
        <w:sdt>
          <w:sdtPr>
            <w:rPr>
              <w:color w:val="000000" w:themeColor="text1"/>
            </w:rPr>
            <w:alias w:val="与重大资产重组相关的承诺-承诺类型"/>
            <w:tag w:val="_GBC_c61b4bee15504cb191076e050c98d510"/>
            <w:id w:val="-1089544478"/>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513" w:type="pct"/>
                <w:shd w:val="clear" w:color="auto" w:fill="auto"/>
                <w:vAlign w:val="center"/>
              </w:tcPr>
              <w:p w14:paraId="378E157B" w14:textId="77777777" w:rsidR="002D0AE7" w:rsidRDefault="00333EBB">
                <w:pPr>
                  <w:jc w:val="center"/>
                  <w:rPr>
                    <w:rFonts w:hint="eastAsia"/>
                    <w:color w:val="000000" w:themeColor="text1"/>
                  </w:rPr>
                </w:pPr>
                <w:r>
                  <w:rPr>
                    <w:rFonts w:hint="eastAsia"/>
                    <w:color w:val="000000" w:themeColor="text1"/>
                  </w:rPr>
                  <w:t>解决关联交易</w:t>
                </w:r>
              </w:p>
            </w:tc>
          </w:sdtContent>
        </w:sdt>
        <w:tc>
          <w:tcPr>
            <w:tcW w:w="1152" w:type="pct"/>
            <w:shd w:val="clear" w:color="auto" w:fill="auto"/>
            <w:vAlign w:val="center"/>
          </w:tcPr>
          <w:p w14:paraId="60DAF270" w14:textId="77777777" w:rsidR="002D0AE7" w:rsidRDefault="00333EBB">
            <w:pPr>
              <w:rPr>
                <w:rFonts w:hint="eastAsia"/>
              </w:rPr>
            </w:pPr>
            <w:r>
              <w:t>津药药业股份有限公司</w:t>
            </w:r>
          </w:p>
        </w:tc>
        <w:tc>
          <w:tcPr>
            <w:tcW w:w="926" w:type="pct"/>
            <w:shd w:val="clear" w:color="auto" w:fill="auto"/>
            <w:vAlign w:val="center"/>
          </w:tcPr>
          <w:p w14:paraId="4A939BF6" w14:textId="77777777" w:rsidR="002D0AE7" w:rsidRDefault="00333EBB">
            <w:pPr>
              <w:rPr>
                <w:rFonts w:hint="eastAsia"/>
              </w:rPr>
            </w:pPr>
            <w:r>
              <w:t>《关于减少与规范关联交易的承诺》</w:t>
            </w:r>
          </w:p>
        </w:tc>
        <w:tc>
          <w:tcPr>
            <w:tcW w:w="657" w:type="pct"/>
            <w:vAlign w:val="center"/>
          </w:tcPr>
          <w:p w14:paraId="1BD30E14" w14:textId="77777777" w:rsidR="002D0AE7" w:rsidRDefault="00333EBB">
            <w:pPr>
              <w:rPr>
                <w:rFonts w:hint="eastAsia"/>
              </w:rPr>
            </w:pPr>
            <w:r>
              <w:t>2017.6.26</w:t>
            </w:r>
          </w:p>
        </w:tc>
        <w:tc>
          <w:tcPr>
            <w:tcW w:w="198" w:type="pct"/>
            <w:shd w:val="clear" w:color="auto" w:fill="auto"/>
            <w:vAlign w:val="center"/>
          </w:tcPr>
          <w:p w14:paraId="0ACFC35A" w14:textId="77777777" w:rsidR="002D0AE7" w:rsidRDefault="00333EBB">
            <w:pPr>
              <w:rPr>
                <w:rFonts w:hint="eastAsia"/>
                <w:color w:val="000000" w:themeColor="text1"/>
              </w:rPr>
            </w:pPr>
            <w:r>
              <w:t>否</w:t>
            </w:r>
          </w:p>
        </w:tc>
        <w:tc>
          <w:tcPr>
            <w:tcW w:w="197" w:type="pct"/>
            <w:vAlign w:val="center"/>
          </w:tcPr>
          <w:p w14:paraId="5F85FC01" w14:textId="77777777" w:rsidR="002D0AE7" w:rsidRDefault="00333EBB">
            <w:pPr>
              <w:rPr>
                <w:rFonts w:hint="eastAsia"/>
              </w:rPr>
            </w:pPr>
            <w:r>
              <w:t>长期有效</w:t>
            </w:r>
          </w:p>
        </w:tc>
        <w:tc>
          <w:tcPr>
            <w:tcW w:w="197" w:type="pct"/>
            <w:shd w:val="clear" w:color="auto" w:fill="auto"/>
            <w:vAlign w:val="center"/>
          </w:tcPr>
          <w:p w14:paraId="3221A7ED" w14:textId="77777777" w:rsidR="002D0AE7" w:rsidRDefault="00333EBB">
            <w:pPr>
              <w:rPr>
                <w:rFonts w:hint="eastAsia"/>
                <w:color w:val="000000" w:themeColor="text1"/>
              </w:rPr>
            </w:pPr>
            <w:r>
              <w:t>是</w:t>
            </w:r>
          </w:p>
        </w:tc>
        <w:tc>
          <w:tcPr>
            <w:tcW w:w="327" w:type="pct"/>
            <w:shd w:val="clear" w:color="auto" w:fill="auto"/>
          </w:tcPr>
          <w:p w14:paraId="503408B6" w14:textId="77777777" w:rsidR="002D0AE7" w:rsidRDefault="002D0AE7">
            <w:pPr>
              <w:rPr>
                <w:rFonts w:hint="eastAsia"/>
              </w:rPr>
            </w:pPr>
          </w:p>
        </w:tc>
        <w:tc>
          <w:tcPr>
            <w:tcW w:w="320" w:type="pct"/>
            <w:shd w:val="clear" w:color="auto" w:fill="auto"/>
          </w:tcPr>
          <w:p w14:paraId="773F113F" w14:textId="77777777" w:rsidR="002D0AE7" w:rsidRDefault="002D0AE7">
            <w:pPr>
              <w:rPr>
                <w:rFonts w:hint="eastAsia"/>
              </w:rPr>
            </w:pPr>
          </w:p>
        </w:tc>
      </w:tr>
      <w:tr w:rsidR="002D0AE7" w14:paraId="078442B2" w14:textId="77777777">
        <w:tc>
          <w:tcPr>
            <w:tcW w:w="513" w:type="pct"/>
            <w:vMerge/>
            <w:shd w:val="clear" w:color="auto" w:fill="auto"/>
            <w:vAlign w:val="center"/>
          </w:tcPr>
          <w:p w14:paraId="2217F7D5" w14:textId="77777777" w:rsidR="002D0AE7" w:rsidRDefault="002D0AE7">
            <w:pPr>
              <w:rPr>
                <w:rFonts w:hint="eastAsia"/>
                <w:color w:val="000000" w:themeColor="text1"/>
              </w:rPr>
            </w:pPr>
          </w:p>
        </w:tc>
        <w:tc>
          <w:tcPr>
            <w:tcW w:w="513" w:type="pct"/>
            <w:shd w:val="clear" w:color="auto" w:fill="auto"/>
            <w:vAlign w:val="center"/>
          </w:tcPr>
          <w:p w14:paraId="0C8B6446" w14:textId="77777777" w:rsidR="002D0AE7" w:rsidRDefault="00333EBB">
            <w:pPr>
              <w:jc w:val="center"/>
              <w:rPr>
                <w:rFonts w:hint="eastAsia"/>
                <w:color w:val="000000" w:themeColor="text1"/>
              </w:rPr>
            </w:pPr>
            <w:r>
              <w:t>解决同业竞争</w:t>
            </w:r>
          </w:p>
        </w:tc>
        <w:tc>
          <w:tcPr>
            <w:tcW w:w="1152" w:type="pct"/>
            <w:shd w:val="clear" w:color="auto" w:fill="auto"/>
            <w:vAlign w:val="center"/>
          </w:tcPr>
          <w:p w14:paraId="5A928641" w14:textId="77777777" w:rsidR="002D0AE7" w:rsidRDefault="00333EBB">
            <w:pPr>
              <w:rPr>
                <w:rFonts w:hint="eastAsia"/>
              </w:rPr>
            </w:pPr>
            <w:r>
              <w:t>公司间接控股股东天津医药集团有限公司、津药资产管理有限公司、公司控股股东天津药业集团有限公司</w:t>
            </w:r>
          </w:p>
        </w:tc>
        <w:tc>
          <w:tcPr>
            <w:tcW w:w="926" w:type="pct"/>
            <w:shd w:val="clear" w:color="auto" w:fill="auto"/>
            <w:vAlign w:val="center"/>
          </w:tcPr>
          <w:p w14:paraId="423547A0" w14:textId="77777777" w:rsidR="002D0AE7" w:rsidRDefault="00333EBB">
            <w:pPr>
              <w:rPr>
                <w:rFonts w:hint="eastAsia"/>
              </w:rPr>
            </w:pPr>
            <w:r>
              <w:t>《关于避免同业竞争的承诺》</w:t>
            </w:r>
          </w:p>
        </w:tc>
        <w:tc>
          <w:tcPr>
            <w:tcW w:w="657" w:type="pct"/>
            <w:vAlign w:val="center"/>
          </w:tcPr>
          <w:p w14:paraId="1109A111" w14:textId="77777777" w:rsidR="002D0AE7" w:rsidRDefault="00333EBB">
            <w:pPr>
              <w:rPr>
                <w:rFonts w:hint="eastAsia"/>
              </w:rPr>
            </w:pPr>
            <w:r>
              <w:t>2017.6.26</w:t>
            </w:r>
          </w:p>
        </w:tc>
        <w:tc>
          <w:tcPr>
            <w:tcW w:w="198" w:type="pct"/>
            <w:shd w:val="clear" w:color="auto" w:fill="auto"/>
            <w:vAlign w:val="center"/>
          </w:tcPr>
          <w:p w14:paraId="3974B7C8" w14:textId="77777777" w:rsidR="002D0AE7" w:rsidRDefault="00333EBB">
            <w:pPr>
              <w:rPr>
                <w:rFonts w:hint="eastAsia"/>
                <w:color w:val="000000" w:themeColor="text1"/>
              </w:rPr>
            </w:pPr>
            <w:r>
              <w:t>否</w:t>
            </w:r>
          </w:p>
        </w:tc>
        <w:tc>
          <w:tcPr>
            <w:tcW w:w="197" w:type="pct"/>
            <w:vAlign w:val="center"/>
          </w:tcPr>
          <w:p w14:paraId="4DBB4CBF" w14:textId="77777777" w:rsidR="002D0AE7" w:rsidRDefault="00333EBB">
            <w:pPr>
              <w:rPr>
                <w:rFonts w:hint="eastAsia"/>
              </w:rPr>
            </w:pPr>
            <w:r>
              <w:t>长期有效</w:t>
            </w:r>
          </w:p>
        </w:tc>
        <w:tc>
          <w:tcPr>
            <w:tcW w:w="197" w:type="pct"/>
            <w:shd w:val="clear" w:color="auto" w:fill="auto"/>
            <w:vAlign w:val="center"/>
          </w:tcPr>
          <w:p w14:paraId="257C141B" w14:textId="77777777" w:rsidR="002D0AE7" w:rsidRDefault="00333EBB">
            <w:pPr>
              <w:rPr>
                <w:rFonts w:hint="eastAsia"/>
                <w:color w:val="000000" w:themeColor="text1"/>
              </w:rPr>
            </w:pPr>
            <w:r>
              <w:t>是</w:t>
            </w:r>
          </w:p>
        </w:tc>
        <w:tc>
          <w:tcPr>
            <w:tcW w:w="327" w:type="pct"/>
            <w:shd w:val="clear" w:color="auto" w:fill="auto"/>
          </w:tcPr>
          <w:p w14:paraId="241C05AF" w14:textId="77777777" w:rsidR="002D0AE7" w:rsidRDefault="002D0AE7">
            <w:pPr>
              <w:rPr>
                <w:rFonts w:hint="eastAsia"/>
              </w:rPr>
            </w:pPr>
          </w:p>
        </w:tc>
        <w:tc>
          <w:tcPr>
            <w:tcW w:w="320" w:type="pct"/>
            <w:shd w:val="clear" w:color="auto" w:fill="auto"/>
          </w:tcPr>
          <w:p w14:paraId="6212D50D" w14:textId="77777777" w:rsidR="002D0AE7" w:rsidRDefault="002D0AE7">
            <w:pPr>
              <w:rPr>
                <w:rFonts w:hint="eastAsia"/>
              </w:rPr>
            </w:pPr>
          </w:p>
        </w:tc>
      </w:tr>
      <w:tr w:rsidR="002D0AE7" w14:paraId="14AD126F" w14:textId="77777777">
        <w:tc>
          <w:tcPr>
            <w:tcW w:w="513" w:type="pct"/>
            <w:vMerge/>
            <w:shd w:val="clear" w:color="auto" w:fill="auto"/>
            <w:vAlign w:val="center"/>
          </w:tcPr>
          <w:p w14:paraId="77FF5A83" w14:textId="77777777" w:rsidR="002D0AE7" w:rsidRDefault="002D0AE7">
            <w:pPr>
              <w:rPr>
                <w:rFonts w:hint="eastAsia"/>
                <w:color w:val="000000" w:themeColor="text1"/>
              </w:rPr>
            </w:pPr>
          </w:p>
        </w:tc>
        <w:tc>
          <w:tcPr>
            <w:tcW w:w="513" w:type="pct"/>
            <w:shd w:val="clear" w:color="auto" w:fill="auto"/>
            <w:vAlign w:val="center"/>
          </w:tcPr>
          <w:p w14:paraId="1A40481B" w14:textId="77777777" w:rsidR="002D0AE7" w:rsidRDefault="00333EBB">
            <w:pPr>
              <w:jc w:val="center"/>
              <w:rPr>
                <w:rFonts w:hint="eastAsia"/>
                <w:color w:val="000000" w:themeColor="text1"/>
              </w:rPr>
            </w:pPr>
            <w:r>
              <w:t>解决关联交易</w:t>
            </w:r>
          </w:p>
        </w:tc>
        <w:tc>
          <w:tcPr>
            <w:tcW w:w="1152" w:type="pct"/>
            <w:shd w:val="clear" w:color="auto" w:fill="auto"/>
            <w:vAlign w:val="center"/>
          </w:tcPr>
          <w:p w14:paraId="2F1AF8AB" w14:textId="77777777" w:rsidR="002D0AE7" w:rsidRDefault="00333EBB">
            <w:pPr>
              <w:rPr>
                <w:rFonts w:hint="eastAsia"/>
              </w:rPr>
            </w:pPr>
            <w:r>
              <w:t>公司间接控股股东天津医药集团有限公司、津药资产管理有限公司、公司控股股东天津药业集团有限公司</w:t>
            </w:r>
          </w:p>
        </w:tc>
        <w:tc>
          <w:tcPr>
            <w:tcW w:w="926" w:type="pct"/>
            <w:shd w:val="clear" w:color="auto" w:fill="auto"/>
            <w:vAlign w:val="center"/>
          </w:tcPr>
          <w:p w14:paraId="38C28F30" w14:textId="77777777" w:rsidR="002D0AE7" w:rsidRDefault="00333EBB">
            <w:pPr>
              <w:rPr>
                <w:rFonts w:hint="eastAsia"/>
              </w:rPr>
            </w:pPr>
            <w:r>
              <w:t>《关于减少与规范关联交易的承诺》</w:t>
            </w:r>
          </w:p>
        </w:tc>
        <w:tc>
          <w:tcPr>
            <w:tcW w:w="657" w:type="pct"/>
            <w:vAlign w:val="center"/>
          </w:tcPr>
          <w:p w14:paraId="1AFC00D4" w14:textId="77777777" w:rsidR="002D0AE7" w:rsidRDefault="00333EBB">
            <w:pPr>
              <w:rPr>
                <w:rFonts w:hint="eastAsia"/>
              </w:rPr>
            </w:pPr>
            <w:r>
              <w:t>2017.6.26</w:t>
            </w:r>
          </w:p>
        </w:tc>
        <w:tc>
          <w:tcPr>
            <w:tcW w:w="198" w:type="pct"/>
            <w:shd w:val="clear" w:color="auto" w:fill="auto"/>
            <w:vAlign w:val="center"/>
          </w:tcPr>
          <w:p w14:paraId="50B87711" w14:textId="77777777" w:rsidR="002D0AE7" w:rsidRDefault="00333EBB">
            <w:pPr>
              <w:rPr>
                <w:rFonts w:hint="eastAsia"/>
                <w:color w:val="000000" w:themeColor="text1"/>
              </w:rPr>
            </w:pPr>
            <w:r>
              <w:t>否</w:t>
            </w:r>
          </w:p>
        </w:tc>
        <w:tc>
          <w:tcPr>
            <w:tcW w:w="197" w:type="pct"/>
            <w:vAlign w:val="center"/>
          </w:tcPr>
          <w:p w14:paraId="4FBCADE7" w14:textId="77777777" w:rsidR="002D0AE7" w:rsidRDefault="00333EBB">
            <w:pPr>
              <w:rPr>
                <w:rFonts w:hint="eastAsia"/>
              </w:rPr>
            </w:pPr>
            <w:r>
              <w:t>长期有效</w:t>
            </w:r>
          </w:p>
        </w:tc>
        <w:tc>
          <w:tcPr>
            <w:tcW w:w="197" w:type="pct"/>
            <w:shd w:val="clear" w:color="auto" w:fill="auto"/>
            <w:vAlign w:val="center"/>
          </w:tcPr>
          <w:p w14:paraId="146851E2" w14:textId="77777777" w:rsidR="002D0AE7" w:rsidRDefault="00333EBB">
            <w:pPr>
              <w:rPr>
                <w:rFonts w:hint="eastAsia"/>
                <w:color w:val="000000" w:themeColor="text1"/>
              </w:rPr>
            </w:pPr>
            <w:r>
              <w:t>是</w:t>
            </w:r>
          </w:p>
        </w:tc>
        <w:tc>
          <w:tcPr>
            <w:tcW w:w="327" w:type="pct"/>
            <w:shd w:val="clear" w:color="auto" w:fill="auto"/>
          </w:tcPr>
          <w:p w14:paraId="011A1236" w14:textId="77777777" w:rsidR="002D0AE7" w:rsidRDefault="002D0AE7">
            <w:pPr>
              <w:rPr>
                <w:rFonts w:hint="eastAsia"/>
              </w:rPr>
            </w:pPr>
          </w:p>
        </w:tc>
        <w:tc>
          <w:tcPr>
            <w:tcW w:w="320" w:type="pct"/>
            <w:shd w:val="clear" w:color="auto" w:fill="auto"/>
          </w:tcPr>
          <w:p w14:paraId="6039638D" w14:textId="77777777" w:rsidR="002D0AE7" w:rsidRDefault="002D0AE7">
            <w:pPr>
              <w:rPr>
                <w:rFonts w:hint="eastAsia"/>
              </w:rPr>
            </w:pPr>
          </w:p>
        </w:tc>
      </w:tr>
      <w:tr w:rsidR="002D0AE7" w14:paraId="56084A88" w14:textId="77777777">
        <w:tc>
          <w:tcPr>
            <w:tcW w:w="513" w:type="pct"/>
            <w:vMerge/>
            <w:shd w:val="clear" w:color="auto" w:fill="auto"/>
            <w:vAlign w:val="center"/>
          </w:tcPr>
          <w:p w14:paraId="4EA8F514" w14:textId="77777777" w:rsidR="002D0AE7" w:rsidRDefault="002D0AE7">
            <w:pPr>
              <w:rPr>
                <w:rFonts w:hint="eastAsia"/>
              </w:rPr>
            </w:pPr>
          </w:p>
        </w:tc>
        <w:sdt>
          <w:sdtPr>
            <w:rPr>
              <w:color w:val="000000" w:themeColor="text1"/>
            </w:rPr>
            <w:alias w:val="与重大资产重组相关的承诺-承诺类型"/>
            <w:tag w:val="_GBC_c61b4bee15504cb191076e050c98d510"/>
            <w:id w:val="-304087132"/>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513" w:type="pct"/>
                <w:shd w:val="clear" w:color="auto" w:fill="auto"/>
                <w:vAlign w:val="center"/>
              </w:tcPr>
              <w:p w14:paraId="42CEE86B" w14:textId="77777777" w:rsidR="002D0AE7" w:rsidRDefault="00333EBB">
                <w:pPr>
                  <w:jc w:val="center"/>
                  <w:rPr>
                    <w:rFonts w:hint="eastAsia"/>
                    <w:color w:val="000000" w:themeColor="text1"/>
                  </w:rPr>
                </w:pPr>
                <w:r>
                  <w:rPr>
                    <w:rFonts w:hint="eastAsia"/>
                    <w:color w:val="000000" w:themeColor="text1"/>
                  </w:rPr>
                  <w:t>其他</w:t>
                </w:r>
              </w:p>
            </w:tc>
          </w:sdtContent>
        </w:sdt>
        <w:tc>
          <w:tcPr>
            <w:tcW w:w="1152" w:type="pct"/>
            <w:shd w:val="clear" w:color="auto" w:fill="auto"/>
            <w:vAlign w:val="center"/>
          </w:tcPr>
          <w:p w14:paraId="16B716C8" w14:textId="77777777" w:rsidR="002D0AE7" w:rsidRDefault="00333EBB">
            <w:pPr>
              <w:rPr>
                <w:rFonts w:hint="eastAsia"/>
              </w:rPr>
            </w:pPr>
            <w:r>
              <w:t>公司间接控股股东天津医药集团有限公司、津药资产管理有限公司、公司控股股东天津药业集团有限公司</w:t>
            </w:r>
          </w:p>
        </w:tc>
        <w:tc>
          <w:tcPr>
            <w:tcW w:w="926" w:type="pct"/>
            <w:shd w:val="clear" w:color="auto" w:fill="auto"/>
            <w:vAlign w:val="center"/>
          </w:tcPr>
          <w:p w14:paraId="08F1BC32" w14:textId="77777777" w:rsidR="002D0AE7" w:rsidRDefault="00333EBB">
            <w:pPr>
              <w:rPr>
                <w:rFonts w:hint="eastAsia"/>
              </w:rPr>
            </w:pPr>
            <w:r>
              <w:t>《关于保持上市公司独立性的承诺》</w:t>
            </w:r>
          </w:p>
        </w:tc>
        <w:tc>
          <w:tcPr>
            <w:tcW w:w="657" w:type="pct"/>
            <w:vAlign w:val="center"/>
          </w:tcPr>
          <w:p w14:paraId="3CCD6CDB" w14:textId="77777777" w:rsidR="002D0AE7" w:rsidRDefault="00333EBB">
            <w:pPr>
              <w:rPr>
                <w:rFonts w:hint="eastAsia"/>
              </w:rPr>
            </w:pPr>
            <w:r>
              <w:t>2017.6.26</w:t>
            </w:r>
          </w:p>
        </w:tc>
        <w:tc>
          <w:tcPr>
            <w:tcW w:w="198" w:type="pct"/>
            <w:shd w:val="clear" w:color="auto" w:fill="auto"/>
            <w:vAlign w:val="center"/>
          </w:tcPr>
          <w:p w14:paraId="2FD5EB38" w14:textId="77777777" w:rsidR="002D0AE7" w:rsidRDefault="00333EBB">
            <w:pPr>
              <w:rPr>
                <w:rFonts w:hint="eastAsia"/>
                <w:color w:val="000000" w:themeColor="text1"/>
              </w:rPr>
            </w:pPr>
            <w:r>
              <w:t>否</w:t>
            </w:r>
          </w:p>
        </w:tc>
        <w:tc>
          <w:tcPr>
            <w:tcW w:w="197" w:type="pct"/>
            <w:vAlign w:val="center"/>
          </w:tcPr>
          <w:p w14:paraId="3CAD9F22" w14:textId="77777777" w:rsidR="002D0AE7" w:rsidRDefault="00333EBB">
            <w:pPr>
              <w:rPr>
                <w:rFonts w:hint="eastAsia"/>
              </w:rPr>
            </w:pPr>
            <w:r>
              <w:t>长期有效</w:t>
            </w:r>
          </w:p>
        </w:tc>
        <w:tc>
          <w:tcPr>
            <w:tcW w:w="197" w:type="pct"/>
            <w:shd w:val="clear" w:color="auto" w:fill="auto"/>
            <w:vAlign w:val="center"/>
          </w:tcPr>
          <w:p w14:paraId="6BBEA262" w14:textId="77777777" w:rsidR="002D0AE7" w:rsidRDefault="00333EBB">
            <w:pPr>
              <w:rPr>
                <w:rFonts w:hint="eastAsia"/>
                <w:color w:val="000000" w:themeColor="text1"/>
              </w:rPr>
            </w:pPr>
            <w:r>
              <w:t>是</w:t>
            </w:r>
          </w:p>
        </w:tc>
        <w:tc>
          <w:tcPr>
            <w:tcW w:w="327" w:type="pct"/>
            <w:shd w:val="clear" w:color="auto" w:fill="auto"/>
          </w:tcPr>
          <w:p w14:paraId="0B686AF0" w14:textId="77777777" w:rsidR="002D0AE7" w:rsidRDefault="002D0AE7">
            <w:pPr>
              <w:rPr>
                <w:rFonts w:hint="eastAsia"/>
              </w:rPr>
            </w:pPr>
          </w:p>
        </w:tc>
        <w:tc>
          <w:tcPr>
            <w:tcW w:w="320" w:type="pct"/>
            <w:shd w:val="clear" w:color="auto" w:fill="auto"/>
          </w:tcPr>
          <w:p w14:paraId="3FDB2ADE" w14:textId="77777777" w:rsidR="002D0AE7" w:rsidRDefault="002D0AE7">
            <w:pPr>
              <w:rPr>
                <w:rFonts w:hint="eastAsia"/>
              </w:rPr>
            </w:pPr>
          </w:p>
        </w:tc>
      </w:tr>
      <w:tr w:rsidR="002D0AE7" w14:paraId="2324EA76" w14:textId="77777777">
        <w:tc>
          <w:tcPr>
            <w:tcW w:w="513" w:type="pct"/>
            <w:vMerge/>
            <w:shd w:val="clear" w:color="auto" w:fill="auto"/>
            <w:vAlign w:val="center"/>
          </w:tcPr>
          <w:p w14:paraId="172032FA" w14:textId="77777777" w:rsidR="002D0AE7" w:rsidRDefault="002D0AE7">
            <w:pPr>
              <w:rPr>
                <w:rFonts w:hint="eastAsia"/>
              </w:rPr>
            </w:pPr>
          </w:p>
        </w:tc>
        <w:sdt>
          <w:sdtPr>
            <w:alias w:val="与首次公开发行相关的承诺-承诺类型"/>
            <w:tag w:val="_GBC_4a04fadf983945b88caa62b18cad19bb"/>
            <w:id w:val="-1597627330"/>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513" w:type="pct"/>
                <w:shd w:val="clear" w:color="auto" w:fill="auto"/>
                <w:vAlign w:val="center"/>
              </w:tcPr>
              <w:p w14:paraId="4950660E" w14:textId="77777777" w:rsidR="002D0AE7" w:rsidRDefault="00333EBB">
                <w:pPr>
                  <w:jc w:val="center"/>
                  <w:rPr>
                    <w:rFonts w:hint="eastAsia"/>
                  </w:rPr>
                </w:pPr>
                <w:r>
                  <w:rPr>
                    <w:rFonts w:hint="eastAsia"/>
                  </w:rPr>
                  <w:t>解决同业竞争</w:t>
                </w:r>
              </w:p>
            </w:tc>
          </w:sdtContent>
        </w:sdt>
        <w:tc>
          <w:tcPr>
            <w:tcW w:w="1152" w:type="pct"/>
            <w:shd w:val="clear" w:color="auto" w:fill="auto"/>
          </w:tcPr>
          <w:p w14:paraId="2C67FAA2" w14:textId="77777777" w:rsidR="002D0AE7" w:rsidRDefault="00333EBB">
            <w:pPr>
              <w:rPr>
                <w:rFonts w:hint="eastAsia"/>
              </w:rPr>
            </w:pPr>
            <w:r>
              <w:t>子公司津药和平（天津）制药有限公司</w:t>
            </w:r>
          </w:p>
        </w:tc>
        <w:tc>
          <w:tcPr>
            <w:tcW w:w="926" w:type="pct"/>
            <w:shd w:val="clear" w:color="auto" w:fill="auto"/>
          </w:tcPr>
          <w:p w14:paraId="2C06E0A2" w14:textId="77777777" w:rsidR="002D0AE7" w:rsidRDefault="00333EBB">
            <w:pPr>
              <w:rPr>
                <w:rFonts w:hint="eastAsia"/>
              </w:rPr>
            </w:pPr>
            <w:r>
              <w:t>《津药和平（天津）制药有限公司关于避免同业竞争的承诺》</w:t>
            </w:r>
          </w:p>
        </w:tc>
        <w:tc>
          <w:tcPr>
            <w:tcW w:w="657" w:type="pct"/>
          </w:tcPr>
          <w:p w14:paraId="1EE48124" w14:textId="77777777" w:rsidR="002D0AE7" w:rsidRDefault="00333EBB">
            <w:pPr>
              <w:rPr>
                <w:rFonts w:hint="eastAsia"/>
              </w:rPr>
            </w:pPr>
            <w:r>
              <w:t>2017.6.26</w:t>
            </w:r>
          </w:p>
        </w:tc>
        <w:sdt>
          <w:sdtPr>
            <w:alias w:val="与首次公开发行相关的承诺-是否有履行期限"/>
            <w:tag w:val="_GBC_865043f20c414da39c8d8a70e9c5c4e4"/>
            <w:id w:val="-1277936190"/>
            <w:comboBox>
              <w:listItem w:displayText="是" w:value="true"/>
              <w:listItem w:displayText="否" w:value="false"/>
            </w:comboBox>
          </w:sdtPr>
          <w:sdtEndPr/>
          <w:sdtContent>
            <w:tc>
              <w:tcPr>
                <w:tcW w:w="198" w:type="pct"/>
                <w:shd w:val="clear" w:color="auto" w:fill="auto"/>
              </w:tcPr>
              <w:p w14:paraId="3F3B1732" w14:textId="77777777" w:rsidR="002D0AE7" w:rsidRDefault="00333EBB">
                <w:pPr>
                  <w:rPr>
                    <w:rFonts w:hint="eastAsia"/>
                  </w:rPr>
                </w:pPr>
                <w:r>
                  <w:rPr>
                    <w:rFonts w:hint="eastAsia"/>
                  </w:rPr>
                  <w:t>否</w:t>
                </w:r>
              </w:p>
            </w:tc>
          </w:sdtContent>
        </w:sdt>
        <w:tc>
          <w:tcPr>
            <w:tcW w:w="197" w:type="pct"/>
          </w:tcPr>
          <w:p w14:paraId="58F5C030" w14:textId="77777777" w:rsidR="002D0AE7" w:rsidRDefault="00333EBB">
            <w:pPr>
              <w:rPr>
                <w:rFonts w:hint="eastAsia"/>
              </w:rPr>
            </w:pPr>
            <w:r>
              <w:t>长期有效</w:t>
            </w:r>
          </w:p>
        </w:tc>
        <w:sdt>
          <w:sdtPr>
            <w:alias w:val="与首次公开发行相关的承诺-是否及时严格履行"/>
            <w:tag w:val="_GBC_f0146b2209ec4419a3ed5f0295ed2e2e"/>
            <w:id w:val="-2040733910"/>
            <w:comboBox>
              <w:listItem w:displayText="是" w:value="true"/>
              <w:listItem w:displayText="否" w:value="false"/>
            </w:comboBox>
          </w:sdtPr>
          <w:sdtEndPr/>
          <w:sdtContent>
            <w:tc>
              <w:tcPr>
                <w:tcW w:w="197" w:type="pct"/>
                <w:shd w:val="clear" w:color="auto" w:fill="auto"/>
              </w:tcPr>
              <w:p w14:paraId="66DAE846" w14:textId="77777777" w:rsidR="002D0AE7" w:rsidRDefault="00333EBB">
                <w:pPr>
                  <w:rPr>
                    <w:rFonts w:hint="eastAsia"/>
                  </w:rPr>
                </w:pPr>
                <w:r>
                  <w:rPr>
                    <w:rFonts w:hint="eastAsia"/>
                  </w:rPr>
                  <w:t>是</w:t>
                </w:r>
              </w:p>
            </w:tc>
          </w:sdtContent>
        </w:sdt>
        <w:tc>
          <w:tcPr>
            <w:tcW w:w="327" w:type="pct"/>
            <w:shd w:val="clear" w:color="auto" w:fill="auto"/>
          </w:tcPr>
          <w:p w14:paraId="770DA26A" w14:textId="77777777" w:rsidR="002D0AE7" w:rsidRDefault="002D0AE7">
            <w:pPr>
              <w:rPr>
                <w:rFonts w:hint="eastAsia"/>
              </w:rPr>
            </w:pPr>
          </w:p>
        </w:tc>
        <w:tc>
          <w:tcPr>
            <w:tcW w:w="320" w:type="pct"/>
            <w:shd w:val="clear" w:color="auto" w:fill="auto"/>
          </w:tcPr>
          <w:p w14:paraId="611CA64E" w14:textId="77777777" w:rsidR="002D0AE7" w:rsidRDefault="002D0AE7">
            <w:pPr>
              <w:rPr>
                <w:rFonts w:hint="eastAsia"/>
              </w:rPr>
            </w:pPr>
          </w:p>
        </w:tc>
      </w:tr>
      <w:tr w:rsidR="002D0AE7" w14:paraId="31186408" w14:textId="77777777">
        <w:tc>
          <w:tcPr>
            <w:tcW w:w="513" w:type="pct"/>
            <w:vMerge/>
            <w:shd w:val="clear" w:color="auto" w:fill="auto"/>
            <w:vAlign w:val="center"/>
          </w:tcPr>
          <w:p w14:paraId="5A436876" w14:textId="77777777" w:rsidR="002D0AE7" w:rsidRDefault="002D0AE7">
            <w:pPr>
              <w:rPr>
                <w:rFonts w:hint="eastAsia"/>
              </w:rPr>
            </w:pPr>
          </w:p>
        </w:tc>
        <w:tc>
          <w:tcPr>
            <w:tcW w:w="513" w:type="pct"/>
            <w:shd w:val="clear" w:color="auto" w:fill="auto"/>
            <w:vAlign w:val="center"/>
          </w:tcPr>
          <w:p w14:paraId="670B6E87" w14:textId="77777777" w:rsidR="002D0AE7" w:rsidRDefault="00333EBB">
            <w:pPr>
              <w:jc w:val="center"/>
              <w:rPr>
                <w:rFonts w:hint="eastAsia"/>
              </w:rPr>
            </w:pPr>
            <w:r>
              <w:t>解决同业竞争</w:t>
            </w:r>
          </w:p>
        </w:tc>
        <w:tc>
          <w:tcPr>
            <w:tcW w:w="1152" w:type="pct"/>
            <w:shd w:val="clear" w:color="auto" w:fill="auto"/>
          </w:tcPr>
          <w:p w14:paraId="3C9C0DF4" w14:textId="77777777" w:rsidR="002D0AE7" w:rsidRDefault="00333EBB">
            <w:pPr>
              <w:rPr>
                <w:rFonts w:hint="eastAsia"/>
              </w:rPr>
            </w:pPr>
            <w:r>
              <w:t>津药药业及子公司津药和平（天津）制药有限公司、关联方天津力生制药股份有限公司</w:t>
            </w:r>
          </w:p>
        </w:tc>
        <w:tc>
          <w:tcPr>
            <w:tcW w:w="926" w:type="pct"/>
            <w:shd w:val="clear" w:color="auto" w:fill="auto"/>
          </w:tcPr>
          <w:p w14:paraId="49D02C79" w14:textId="77777777" w:rsidR="002D0AE7" w:rsidRDefault="00333EBB">
            <w:pPr>
              <w:rPr>
                <w:rFonts w:hint="eastAsia"/>
              </w:rPr>
            </w:pPr>
            <w:r>
              <w:t>《关于避免同业竞争的承诺》</w:t>
            </w:r>
          </w:p>
        </w:tc>
        <w:tc>
          <w:tcPr>
            <w:tcW w:w="657" w:type="pct"/>
          </w:tcPr>
          <w:p w14:paraId="5246E7D6" w14:textId="77777777" w:rsidR="002D0AE7" w:rsidRDefault="00333EBB">
            <w:pPr>
              <w:rPr>
                <w:rFonts w:hint="eastAsia"/>
              </w:rPr>
            </w:pPr>
            <w:r>
              <w:t>2017.6.26</w:t>
            </w:r>
          </w:p>
        </w:tc>
        <w:tc>
          <w:tcPr>
            <w:tcW w:w="198" w:type="pct"/>
            <w:shd w:val="clear" w:color="auto" w:fill="auto"/>
          </w:tcPr>
          <w:p w14:paraId="0538DA55" w14:textId="77777777" w:rsidR="002D0AE7" w:rsidRDefault="00333EBB">
            <w:pPr>
              <w:rPr>
                <w:rFonts w:hint="eastAsia"/>
              </w:rPr>
            </w:pPr>
            <w:r>
              <w:t>否</w:t>
            </w:r>
          </w:p>
        </w:tc>
        <w:tc>
          <w:tcPr>
            <w:tcW w:w="197" w:type="pct"/>
          </w:tcPr>
          <w:p w14:paraId="711C9D55" w14:textId="77777777" w:rsidR="002D0AE7" w:rsidRDefault="00333EBB">
            <w:pPr>
              <w:rPr>
                <w:rFonts w:hint="eastAsia"/>
              </w:rPr>
            </w:pPr>
            <w:r>
              <w:t>长期有效</w:t>
            </w:r>
          </w:p>
        </w:tc>
        <w:tc>
          <w:tcPr>
            <w:tcW w:w="197" w:type="pct"/>
            <w:shd w:val="clear" w:color="auto" w:fill="auto"/>
          </w:tcPr>
          <w:p w14:paraId="71CCB764" w14:textId="77777777" w:rsidR="002D0AE7" w:rsidRDefault="00333EBB">
            <w:pPr>
              <w:rPr>
                <w:rFonts w:hint="eastAsia"/>
              </w:rPr>
            </w:pPr>
            <w:r>
              <w:t>是</w:t>
            </w:r>
          </w:p>
        </w:tc>
        <w:tc>
          <w:tcPr>
            <w:tcW w:w="327" w:type="pct"/>
            <w:shd w:val="clear" w:color="auto" w:fill="auto"/>
          </w:tcPr>
          <w:p w14:paraId="55A47EB9" w14:textId="77777777" w:rsidR="002D0AE7" w:rsidRDefault="002D0AE7">
            <w:pPr>
              <w:rPr>
                <w:rFonts w:hint="eastAsia"/>
              </w:rPr>
            </w:pPr>
          </w:p>
        </w:tc>
        <w:tc>
          <w:tcPr>
            <w:tcW w:w="320" w:type="pct"/>
            <w:shd w:val="clear" w:color="auto" w:fill="auto"/>
          </w:tcPr>
          <w:p w14:paraId="229E61BD" w14:textId="77777777" w:rsidR="002D0AE7" w:rsidRDefault="002D0AE7">
            <w:pPr>
              <w:rPr>
                <w:rFonts w:hint="eastAsia"/>
              </w:rPr>
            </w:pPr>
          </w:p>
        </w:tc>
      </w:tr>
      <w:tr w:rsidR="002D0AE7" w14:paraId="411022B1" w14:textId="77777777">
        <w:tc>
          <w:tcPr>
            <w:tcW w:w="513" w:type="pct"/>
            <w:shd w:val="clear" w:color="auto" w:fill="auto"/>
            <w:vAlign w:val="center"/>
          </w:tcPr>
          <w:p w14:paraId="0FC24E9E" w14:textId="77777777" w:rsidR="002D0AE7" w:rsidRDefault="00333EBB">
            <w:pPr>
              <w:rPr>
                <w:rFonts w:hint="eastAsia"/>
                <w:color w:val="000000" w:themeColor="text1"/>
              </w:rPr>
            </w:pPr>
            <w:r>
              <w:rPr>
                <w:rFonts w:hint="eastAsia"/>
                <w:color w:val="000000" w:themeColor="text1"/>
              </w:rPr>
              <w:t>与再融资相关的承诺</w:t>
            </w:r>
          </w:p>
        </w:tc>
        <w:sdt>
          <w:sdtPr>
            <w:rPr>
              <w:color w:val="000000" w:themeColor="text1"/>
            </w:rPr>
            <w:alias w:val="与再融资相关的承诺-承诺类型"/>
            <w:tag w:val="_GBC_7184dc3b7ba745be9df82d8c95f5c4c3"/>
            <w:id w:val="-1142968827"/>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513" w:type="pct"/>
                <w:shd w:val="clear" w:color="auto" w:fill="auto"/>
                <w:vAlign w:val="center"/>
              </w:tcPr>
              <w:p w14:paraId="2C4EB05B" w14:textId="77777777" w:rsidR="002D0AE7" w:rsidRDefault="00333EBB">
                <w:pPr>
                  <w:jc w:val="center"/>
                  <w:rPr>
                    <w:rFonts w:hint="eastAsia"/>
                    <w:color w:val="000000" w:themeColor="text1"/>
                  </w:rPr>
                </w:pPr>
                <w:r>
                  <w:rPr>
                    <w:color w:val="000000" w:themeColor="text1"/>
                  </w:rPr>
                  <w:t>解决同业竞争</w:t>
                </w:r>
              </w:p>
            </w:tc>
          </w:sdtContent>
        </w:sdt>
        <w:tc>
          <w:tcPr>
            <w:tcW w:w="1152" w:type="pct"/>
            <w:shd w:val="clear" w:color="auto" w:fill="auto"/>
            <w:vAlign w:val="center"/>
          </w:tcPr>
          <w:p w14:paraId="61D06C4C" w14:textId="77777777" w:rsidR="002D0AE7" w:rsidRDefault="00333EBB">
            <w:pPr>
              <w:rPr>
                <w:rFonts w:hint="eastAsia"/>
              </w:rPr>
            </w:pPr>
            <w:r>
              <w:t>公司控股股东天津药业集团有限公司</w:t>
            </w:r>
            <w:r>
              <w:rPr>
                <w:rFonts w:hint="eastAsia"/>
              </w:rPr>
              <w:t>、间接控股股东津药资产管理有限公司</w:t>
            </w:r>
          </w:p>
        </w:tc>
        <w:tc>
          <w:tcPr>
            <w:tcW w:w="926" w:type="pct"/>
            <w:shd w:val="clear" w:color="auto" w:fill="auto"/>
            <w:vAlign w:val="center"/>
          </w:tcPr>
          <w:p w14:paraId="13D78644" w14:textId="77777777" w:rsidR="002D0AE7" w:rsidRDefault="00333EBB">
            <w:pPr>
              <w:rPr>
                <w:rFonts w:hint="eastAsia"/>
              </w:rPr>
            </w:pPr>
            <w:r>
              <w:t>具体内容详见公司于</w:t>
            </w:r>
            <w:r>
              <w:t>2014</w:t>
            </w:r>
            <w:r>
              <w:t>年</w:t>
            </w:r>
            <w:r>
              <w:t>2</w:t>
            </w:r>
            <w:r>
              <w:t>月</w:t>
            </w:r>
            <w:r>
              <w:t>14</w:t>
            </w:r>
            <w:r>
              <w:t>日发布的《关于公司实际控制人、股东、关联方、收购人承诺事项及履行情况的公告》</w:t>
            </w:r>
          </w:p>
        </w:tc>
        <w:tc>
          <w:tcPr>
            <w:tcW w:w="657" w:type="pct"/>
            <w:vAlign w:val="center"/>
          </w:tcPr>
          <w:p w14:paraId="4E468C55" w14:textId="77777777" w:rsidR="002D0AE7" w:rsidRDefault="00333EBB">
            <w:pPr>
              <w:rPr>
                <w:rFonts w:hint="eastAsia"/>
              </w:rPr>
            </w:pPr>
            <w:r>
              <w:t>2012.11.7</w:t>
            </w:r>
          </w:p>
        </w:tc>
        <w:tc>
          <w:tcPr>
            <w:tcW w:w="198" w:type="pct"/>
            <w:shd w:val="clear" w:color="auto" w:fill="auto"/>
            <w:vAlign w:val="center"/>
          </w:tcPr>
          <w:p w14:paraId="03828A79" w14:textId="77777777" w:rsidR="002D0AE7" w:rsidRDefault="00333EBB">
            <w:pPr>
              <w:rPr>
                <w:rFonts w:hint="eastAsia"/>
                <w:color w:val="000000" w:themeColor="text1"/>
              </w:rPr>
            </w:pPr>
            <w:r>
              <w:t>否</w:t>
            </w:r>
          </w:p>
        </w:tc>
        <w:tc>
          <w:tcPr>
            <w:tcW w:w="197" w:type="pct"/>
            <w:vAlign w:val="center"/>
          </w:tcPr>
          <w:p w14:paraId="42070585" w14:textId="77777777" w:rsidR="002D0AE7" w:rsidRDefault="00333EBB">
            <w:pPr>
              <w:rPr>
                <w:rFonts w:hint="eastAsia"/>
              </w:rPr>
            </w:pPr>
            <w:r>
              <w:t>长期有效</w:t>
            </w:r>
          </w:p>
        </w:tc>
        <w:tc>
          <w:tcPr>
            <w:tcW w:w="197" w:type="pct"/>
            <w:shd w:val="clear" w:color="auto" w:fill="auto"/>
            <w:vAlign w:val="center"/>
          </w:tcPr>
          <w:p w14:paraId="226B96AF" w14:textId="77777777" w:rsidR="002D0AE7" w:rsidRDefault="00333EBB">
            <w:pPr>
              <w:rPr>
                <w:rFonts w:hint="eastAsia"/>
                <w:color w:val="000000" w:themeColor="text1"/>
              </w:rPr>
            </w:pPr>
            <w:r>
              <w:t>是</w:t>
            </w:r>
          </w:p>
        </w:tc>
        <w:tc>
          <w:tcPr>
            <w:tcW w:w="327" w:type="pct"/>
            <w:shd w:val="clear" w:color="auto" w:fill="auto"/>
          </w:tcPr>
          <w:p w14:paraId="14808979" w14:textId="77777777" w:rsidR="002D0AE7" w:rsidRDefault="002D0AE7">
            <w:pPr>
              <w:rPr>
                <w:rFonts w:hint="eastAsia"/>
              </w:rPr>
            </w:pPr>
          </w:p>
        </w:tc>
        <w:tc>
          <w:tcPr>
            <w:tcW w:w="320" w:type="pct"/>
            <w:shd w:val="clear" w:color="auto" w:fill="auto"/>
          </w:tcPr>
          <w:p w14:paraId="2226AEE4" w14:textId="77777777" w:rsidR="002D0AE7" w:rsidRDefault="002D0AE7">
            <w:pPr>
              <w:rPr>
                <w:rFonts w:hint="eastAsia"/>
              </w:rPr>
            </w:pPr>
          </w:p>
        </w:tc>
      </w:tr>
    </w:tbl>
    <w:p w14:paraId="230FAD2E" w14:textId="77777777" w:rsidR="002D0AE7" w:rsidRDefault="00333EBB">
      <w:pPr>
        <w:pStyle w:val="2"/>
        <w:numPr>
          <w:ilvl w:val="0"/>
          <w:numId w:val="18"/>
        </w:numPr>
        <w:tabs>
          <w:tab w:val="left" w:pos="426"/>
        </w:tabs>
        <w:ind w:left="482" w:hanging="482"/>
        <w:jc w:val="left"/>
        <w:rPr>
          <w:rFonts w:ascii="宋体" w:hAnsi="宋体" w:hint="eastAsia"/>
          <w:color w:val="000000" w:themeColor="text1"/>
        </w:rPr>
      </w:pPr>
      <w:r>
        <w:rPr>
          <w:rFonts w:ascii="宋体" w:hAnsi="宋体" w:hint="eastAsia"/>
          <w:color w:val="000000" w:themeColor="text1"/>
        </w:rPr>
        <w:lastRenderedPageBreak/>
        <w:t>报</w:t>
      </w:r>
      <w:r>
        <w:rPr>
          <w:rFonts w:ascii="宋体" w:hAnsi="宋体"/>
          <w:color w:val="000000" w:themeColor="text1"/>
        </w:rPr>
        <w:t>告期内</w:t>
      </w:r>
      <w:r>
        <w:rPr>
          <w:rFonts w:ascii="宋体" w:hAnsi="宋体" w:hint="eastAsia"/>
          <w:color w:val="000000" w:themeColor="text1"/>
        </w:rPr>
        <w:t>控股股东及其他关联方非经营性占用资金情况</w:t>
      </w:r>
    </w:p>
    <w:sdt>
      <w:sdtPr>
        <w:rPr>
          <w:color w:val="000000" w:themeColor="text1"/>
        </w:rPr>
        <w:alias w:val="是否适用：资金被占用情况及清欠进展情况[双击切换]"/>
        <w:tag w:val="_GBC_ae82394ae54d49eba71e8d8d6447c499"/>
        <w:id w:val="291258674"/>
        <w:placeholder>
          <w:docPart w:val="GBC22222222222222222222222222222"/>
        </w:placeholder>
      </w:sdtPr>
      <w:sdtEndPr/>
      <w:sdtContent>
        <w:p w14:paraId="2B737F20"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08E0B80F" w14:textId="77777777" w:rsidR="002D0AE7" w:rsidRDefault="00333EBB">
      <w:pPr>
        <w:pStyle w:val="2"/>
        <w:numPr>
          <w:ilvl w:val="0"/>
          <w:numId w:val="18"/>
        </w:numPr>
        <w:tabs>
          <w:tab w:val="left" w:pos="426"/>
        </w:tabs>
        <w:ind w:left="482" w:hanging="482"/>
        <w:jc w:val="left"/>
        <w:rPr>
          <w:rFonts w:ascii="宋体" w:hAnsi="宋体" w:hint="eastAsia"/>
          <w:color w:val="000000" w:themeColor="text1"/>
        </w:rPr>
      </w:pPr>
      <w:r>
        <w:rPr>
          <w:rFonts w:ascii="宋体" w:hAnsi="宋体" w:hint="eastAsia"/>
          <w:color w:val="000000" w:themeColor="text1"/>
        </w:rPr>
        <w:t>违规担保情况</w:t>
      </w:r>
    </w:p>
    <w:sdt>
      <w:sdtPr>
        <w:rPr>
          <w:color w:val="000000" w:themeColor="text1"/>
        </w:rPr>
        <w:alias w:val="是否适用：违规担保情况[双击切换]"/>
        <w:tag w:val="_GBC_725722c7a37d40c28caf80b13d948933"/>
        <w:id w:val="315233514"/>
        <w:placeholder>
          <w:docPart w:val="GBC22222222222222222222222222222"/>
        </w:placeholder>
      </w:sdtPr>
      <w:sdtEndPr/>
      <w:sdtContent>
        <w:p w14:paraId="3001CB3A"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4FDE3740" w14:textId="77777777" w:rsidR="002D0AE7" w:rsidRDefault="00333EBB">
      <w:pPr>
        <w:pStyle w:val="2"/>
        <w:numPr>
          <w:ilvl w:val="0"/>
          <w:numId w:val="18"/>
        </w:numPr>
        <w:tabs>
          <w:tab w:val="left" w:pos="426"/>
        </w:tabs>
        <w:ind w:left="482" w:hanging="482"/>
        <w:jc w:val="left"/>
        <w:rPr>
          <w:rFonts w:ascii="宋体" w:hAnsi="宋体" w:hint="eastAsia"/>
          <w:color w:val="000000" w:themeColor="text1"/>
        </w:rPr>
      </w:pPr>
      <w:r>
        <w:rPr>
          <w:rFonts w:ascii="宋体" w:hAnsi="宋体" w:hint="eastAsia"/>
          <w:color w:val="000000" w:themeColor="text1"/>
        </w:rPr>
        <w:t>半年报审计情况</w:t>
      </w:r>
    </w:p>
    <w:sdt>
      <w:sdtPr>
        <w:rPr>
          <w:color w:val="000000" w:themeColor="text1"/>
        </w:rPr>
        <w:alias w:val="是否适用：半年报审计情况  [双击切换]"/>
        <w:tag w:val="_GBC_b2faf86be7fd4060a2a7ad4018aaf033"/>
        <w:id w:val="1159430021"/>
        <w:placeholder>
          <w:docPart w:val="GBC22222222222222222222222222222"/>
        </w:placeholder>
      </w:sdtPr>
      <w:sdtEndPr/>
      <w:sdtContent>
        <w:p w14:paraId="1AFA8185"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17479B0B" w14:textId="77777777" w:rsidR="002D0AE7" w:rsidRDefault="00333EBB">
      <w:pPr>
        <w:pStyle w:val="2"/>
        <w:numPr>
          <w:ilvl w:val="0"/>
          <w:numId w:val="18"/>
        </w:numPr>
        <w:tabs>
          <w:tab w:val="left" w:pos="426"/>
        </w:tabs>
        <w:ind w:left="482" w:hanging="482"/>
        <w:jc w:val="left"/>
        <w:rPr>
          <w:rFonts w:ascii="宋体" w:hAnsi="宋体" w:hint="eastAsia"/>
          <w:color w:val="000000" w:themeColor="text1"/>
        </w:rPr>
      </w:pPr>
      <w:r>
        <w:rPr>
          <w:rFonts w:ascii="宋体" w:hAnsi="宋体" w:hint="eastAsia"/>
          <w:color w:val="000000" w:themeColor="text1"/>
        </w:rPr>
        <w:t>上年年度报告非标准审计意见涉及事项的变化及处理情况</w:t>
      </w:r>
    </w:p>
    <w:sdt>
      <w:sdtPr>
        <w:rPr>
          <w:rFonts w:hint="eastAsia"/>
          <w:color w:val="000000" w:themeColor="text1"/>
        </w:rPr>
        <w:alias w:val="是否适用：公司对上年年度报告中的财务报告被注册会计师出具“非标准审计报告”的说明 [双击切换]"/>
        <w:tag w:val="_GBC_06e0811c47124b6da79369103f766350"/>
        <w:id w:val="388004202"/>
        <w:placeholder>
          <w:docPart w:val="GBC22222222222222222222222222222"/>
        </w:placeholder>
      </w:sdtPr>
      <w:sdtEndPr/>
      <w:sdtContent>
        <w:p w14:paraId="3113B2AA"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5BB9EA0A" w14:textId="77777777" w:rsidR="002D0AE7" w:rsidRDefault="00333EBB">
      <w:pPr>
        <w:pStyle w:val="2"/>
        <w:numPr>
          <w:ilvl w:val="0"/>
          <w:numId w:val="18"/>
        </w:numPr>
        <w:tabs>
          <w:tab w:val="left" w:pos="426"/>
        </w:tabs>
        <w:ind w:left="482" w:hanging="482"/>
        <w:jc w:val="left"/>
        <w:rPr>
          <w:rFonts w:ascii="宋体" w:hAnsi="宋体" w:hint="eastAsia"/>
          <w:color w:val="000000" w:themeColor="text1"/>
        </w:rPr>
      </w:pPr>
      <w:r>
        <w:rPr>
          <w:rFonts w:ascii="宋体" w:hAnsi="宋体" w:hint="eastAsia"/>
          <w:color w:val="000000" w:themeColor="text1"/>
        </w:rPr>
        <w:t>破产重整相关事项</w:t>
      </w:r>
    </w:p>
    <w:sdt>
      <w:sdtPr>
        <w:rPr>
          <w:rFonts w:hint="eastAsia"/>
          <w:color w:val="000000" w:themeColor="text1"/>
        </w:rPr>
        <w:alias w:val="是否适用：破产重整相关事项[双击切换]"/>
        <w:tag w:val="_GBC_c4fc8890d63b44b19353d2188a5bce59"/>
        <w:id w:val="-2118362875"/>
        <w:placeholder>
          <w:docPart w:val="GBC22222222222222222222222222222"/>
        </w:placeholder>
      </w:sdtPr>
      <w:sdtEndPr/>
      <w:sdtContent>
        <w:p w14:paraId="06546A03"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6F73A989" w14:textId="77777777" w:rsidR="002D0AE7" w:rsidRDefault="00333EBB">
      <w:pPr>
        <w:pStyle w:val="2"/>
        <w:numPr>
          <w:ilvl w:val="0"/>
          <w:numId w:val="18"/>
        </w:numPr>
        <w:tabs>
          <w:tab w:val="left" w:pos="426"/>
        </w:tabs>
        <w:ind w:left="482" w:hanging="482"/>
        <w:jc w:val="left"/>
        <w:rPr>
          <w:rFonts w:ascii="宋体" w:hAnsi="宋体" w:hint="eastAsia"/>
          <w:color w:val="000000" w:themeColor="text1"/>
        </w:rPr>
      </w:pPr>
      <w:r>
        <w:rPr>
          <w:rFonts w:ascii="宋体" w:hAnsi="宋体"/>
          <w:color w:val="000000" w:themeColor="text1"/>
        </w:rPr>
        <w:t>重大诉讼、仲裁事项</w:t>
      </w:r>
    </w:p>
    <w:sdt>
      <w:sdtPr>
        <w:rPr>
          <w:color w:val="000000" w:themeColor="text1"/>
        </w:rPr>
        <w:alias w:val="本年度公司有无重大诉讼、仲裁事项"/>
        <w:tag w:val="_GBC_0fcf1cd2d0814185bde747855edf5227"/>
        <w:id w:val="862403015"/>
        <w:placeholder>
          <w:docPart w:val="GBC22222222222222222222222222222"/>
        </w:placeholder>
      </w:sdtPr>
      <w:sdtEndPr/>
      <w:sdtContent>
        <w:p w14:paraId="433BF2AB"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本报告期公司有重大诉讼、仲裁事项</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本报告期公司无重大诉讼、仲裁事项</w:instrText>
          </w:r>
          <w:r>
            <w:rPr>
              <w:color w:val="000000" w:themeColor="text1"/>
            </w:rPr>
            <w:instrText xml:space="preserve"> </w:instrText>
          </w:r>
          <w:r>
            <w:rPr>
              <w:color w:val="000000" w:themeColor="text1"/>
            </w:rPr>
            <w:fldChar w:fldCharType="end"/>
          </w:r>
        </w:p>
      </w:sdtContent>
    </w:sdt>
    <w:p w14:paraId="6DD9545F" w14:textId="77777777" w:rsidR="002D0AE7" w:rsidRDefault="00333EBB">
      <w:pPr>
        <w:pStyle w:val="2"/>
        <w:numPr>
          <w:ilvl w:val="0"/>
          <w:numId w:val="18"/>
        </w:numPr>
        <w:tabs>
          <w:tab w:val="left" w:pos="426"/>
        </w:tabs>
        <w:ind w:left="482" w:hanging="482"/>
        <w:jc w:val="left"/>
        <w:rPr>
          <w:rFonts w:ascii="宋体" w:hAnsi="宋体" w:hint="eastAsia"/>
          <w:color w:val="000000" w:themeColor="text1"/>
        </w:rPr>
      </w:pPr>
      <w:r>
        <w:rPr>
          <w:rFonts w:ascii="宋体" w:hAnsi="宋体"/>
          <w:color w:val="000000" w:themeColor="text1"/>
        </w:rPr>
        <w:t>上市公司</w:t>
      </w:r>
      <w:r>
        <w:rPr>
          <w:rFonts w:ascii="宋体" w:hAnsi="宋体" w:hint="eastAsia"/>
          <w:color w:val="000000" w:themeColor="text1"/>
        </w:rPr>
        <w:t>及其董事、监事、高级管理人员、控股股东、实际控制人</w:t>
      </w:r>
      <w:r>
        <w:rPr>
          <w:rFonts w:ascii="宋体" w:hAnsi="宋体"/>
          <w:color w:val="000000" w:themeColor="text1"/>
        </w:rPr>
        <w:t>涉嫌违法违规、受到处罚及整改情况</w:t>
      </w:r>
    </w:p>
    <w:sdt>
      <w:sdtPr>
        <w:rPr>
          <w:rFonts w:hint="eastAsia"/>
          <w:color w:val="000000" w:themeColor="text1"/>
        </w:rPr>
        <w:alias w:val="是否适用：上市公司及其董事、监事、高级管理人员、持有5%以上股份的股东、实际控制人、收购人处罚及整改情况[双击切换]"/>
        <w:tag w:val="_GBC_05b097ae59254d13916df227f563a3ed"/>
        <w:id w:val="1161198322"/>
        <w:placeholder>
          <w:docPart w:val="GBC22222222222222222222222222222"/>
        </w:placeholder>
      </w:sdtPr>
      <w:sdtEndPr/>
      <w:sdtContent>
        <w:p w14:paraId="4586C0F0"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5DA49DEA" w14:textId="77777777" w:rsidR="002D0AE7" w:rsidRDefault="00333EBB">
      <w:pPr>
        <w:pStyle w:val="2"/>
        <w:numPr>
          <w:ilvl w:val="0"/>
          <w:numId w:val="18"/>
        </w:numPr>
        <w:tabs>
          <w:tab w:val="left" w:pos="426"/>
        </w:tabs>
        <w:ind w:left="482" w:hanging="482"/>
        <w:jc w:val="left"/>
        <w:rPr>
          <w:rFonts w:ascii="宋体" w:hAnsi="宋体" w:hint="eastAsia"/>
          <w:color w:val="000000" w:themeColor="text1"/>
        </w:rPr>
      </w:pPr>
      <w:r>
        <w:rPr>
          <w:rFonts w:ascii="宋体" w:hAnsi="宋体"/>
          <w:color w:val="000000" w:themeColor="text1"/>
        </w:rPr>
        <w:t>报告期内公司及其控股股东、实际控制人诚信状况的说明</w:t>
      </w:r>
    </w:p>
    <w:sdt>
      <w:sdtPr>
        <w:rPr>
          <w:rFonts w:hint="eastAsia"/>
          <w:color w:val="000000" w:themeColor="text1"/>
        </w:rPr>
        <w:alias w:val="是否适用：报告期内公司及其控股股东、实际控制人诚信状况的说明[双击切换]"/>
        <w:tag w:val="_GBC_650ef1e21808426d806ee2024dd14590"/>
        <w:id w:val="-1152511444"/>
        <w:placeholder>
          <w:docPart w:val="GBC22222222222222222222222222222"/>
        </w:placeholder>
      </w:sdtPr>
      <w:sdtEndPr/>
      <w:sdtContent>
        <w:p w14:paraId="0F4AF4F9"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报告期内公司及其控股股东、实际控制人诚信状况的说明"/>
        <w:tag w:val="_GBC_29d7055c47724780994aca0175d8a9c8"/>
        <w:id w:val="1833647144"/>
        <w:placeholder>
          <w:docPart w:val="GBC22222222222222222222222222222"/>
        </w:placeholder>
      </w:sdtPr>
      <w:sdtEndPr/>
      <w:sdtContent>
        <w:p w14:paraId="49A4BB90" w14:textId="77777777" w:rsidR="002D0AE7" w:rsidRDefault="00333EBB">
          <w:pPr>
            <w:ind w:firstLineChars="200" w:firstLine="480"/>
            <w:rPr>
              <w:rFonts w:hint="eastAsia"/>
              <w:color w:val="000000" w:themeColor="text1"/>
            </w:rPr>
          </w:pPr>
          <w:r>
            <w:rPr>
              <w:rFonts w:hint="eastAsia"/>
              <w:color w:val="000000" w:themeColor="text1"/>
            </w:rPr>
            <w:t>报告期内，公司及控股股东、实际控制人不存在未履行法院生效判决、到期债务未清偿等情况。</w:t>
          </w:r>
        </w:p>
      </w:sdtContent>
    </w:sdt>
    <w:p w14:paraId="4FBC6B9D" w14:textId="77777777" w:rsidR="002D0AE7" w:rsidRDefault="00333EBB">
      <w:pPr>
        <w:pStyle w:val="2"/>
        <w:numPr>
          <w:ilvl w:val="0"/>
          <w:numId w:val="18"/>
        </w:numPr>
        <w:tabs>
          <w:tab w:val="left" w:pos="426"/>
        </w:tabs>
        <w:ind w:left="482" w:hanging="482"/>
        <w:jc w:val="left"/>
        <w:rPr>
          <w:rFonts w:ascii="宋体" w:hAnsi="宋体" w:hint="eastAsia"/>
          <w:color w:val="000000" w:themeColor="text1"/>
        </w:rPr>
      </w:pPr>
      <w:bookmarkStart w:id="63" w:name="_Hlk170998984"/>
      <w:r>
        <w:rPr>
          <w:rFonts w:ascii="宋体" w:hAnsi="宋体" w:hint="eastAsia"/>
          <w:color w:val="000000" w:themeColor="text1"/>
        </w:rPr>
        <w:t>重大关联交易</w:t>
      </w:r>
    </w:p>
    <w:p w14:paraId="0A7939E2" w14:textId="77777777" w:rsidR="002D0AE7" w:rsidRDefault="00333EBB">
      <w:pPr>
        <w:pStyle w:val="3"/>
        <w:numPr>
          <w:ilvl w:val="2"/>
          <w:numId w:val="4"/>
        </w:numPr>
        <w:rPr>
          <w:rFonts w:ascii="宋体" w:hAnsi="宋体" w:hint="eastAsia"/>
          <w:color w:val="000000" w:themeColor="text1"/>
        </w:rPr>
      </w:pPr>
      <w:r>
        <w:rPr>
          <w:rFonts w:ascii="宋体" w:hAnsi="宋体" w:hint="eastAsia"/>
          <w:color w:val="000000" w:themeColor="text1"/>
        </w:rPr>
        <w:t>与日常经营相关的关联交易</w:t>
      </w:r>
    </w:p>
    <w:p w14:paraId="67AE5064" w14:textId="77777777" w:rsidR="002D0AE7" w:rsidRDefault="00333EBB">
      <w:pPr>
        <w:pStyle w:val="4"/>
        <w:numPr>
          <w:ilvl w:val="2"/>
          <w:numId w:val="20"/>
        </w:numPr>
        <w:rPr>
          <w:rFonts w:ascii="宋体" w:hAnsi="宋体" w:hint="eastAsia"/>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与日常经营相关的关联交易[双击切换]"/>
        <w:tag w:val="_GBC_9cce66e2c46445bea6fd259dd8b5277c"/>
        <w:id w:val="426473125"/>
        <w:placeholder>
          <w:docPart w:val="GBC22222222222222222222222222222"/>
        </w:placeholder>
      </w:sdtPr>
      <w:sdtEndPr/>
      <w:sdtContent>
        <w:p w14:paraId="254EFC7F"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7"/>
        <w:gridCol w:w="2736"/>
      </w:tblGrid>
      <w:tr w:rsidR="002D0AE7" w14:paraId="44CFAEDD" w14:textId="77777777">
        <w:sdt>
          <w:sdtPr>
            <w:rPr>
              <w:color w:val="000000" w:themeColor="text1"/>
            </w:rPr>
            <w:tag w:val="_PLD_3978b66ad729485ab420902ac1d8641a"/>
            <w:id w:val="1444882243"/>
          </w:sdtPr>
          <w:sdtEndPr/>
          <w:sdtContent>
            <w:tc>
              <w:tcPr>
                <w:tcW w:w="6629" w:type="dxa"/>
              </w:tcPr>
              <w:p w14:paraId="62396AC1" w14:textId="77777777" w:rsidR="002D0AE7" w:rsidRDefault="00333EBB">
                <w:pPr>
                  <w:jc w:val="center"/>
                  <w:rPr>
                    <w:rFonts w:hint="eastAsia"/>
                    <w:color w:val="000000" w:themeColor="text1"/>
                  </w:rPr>
                </w:pPr>
                <w:r>
                  <w:rPr>
                    <w:color w:val="000000" w:themeColor="text1"/>
                  </w:rPr>
                  <w:t>事项概述</w:t>
                </w:r>
              </w:p>
            </w:tc>
          </w:sdtContent>
        </w:sdt>
        <w:sdt>
          <w:sdtPr>
            <w:rPr>
              <w:color w:val="000000" w:themeColor="text1"/>
            </w:rPr>
            <w:tag w:val="_PLD_28c260015cd145a7bdcdc3be1a2f9896"/>
            <w:id w:val="-1900346426"/>
          </w:sdtPr>
          <w:sdtEndPr/>
          <w:sdtContent>
            <w:tc>
              <w:tcPr>
                <w:tcW w:w="2419" w:type="dxa"/>
              </w:tcPr>
              <w:p w14:paraId="4FC1470D" w14:textId="77777777" w:rsidR="002D0AE7" w:rsidRDefault="00333EBB">
                <w:pPr>
                  <w:jc w:val="center"/>
                  <w:rPr>
                    <w:rFonts w:hint="eastAsia"/>
                    <w:color w:val="000000" w:themeColor="text1"/>
                  </w:rPr>
                </w:pPr>
                <w:r>
                  <w:rPr>
                    <w:color w:val="000000" w:themeColor="text1"/>
                  </w:rPr>
                  <w:t>查询索引</w:t>
                </w:r>
              </w:p>
            </w:tc>
          </w:sdtContent>
        </w:sdt>
      </w:tr>
      <w:tr w:rsidR="002D0AE7" w14:paraId="0A09207A" w14:textId="77777777">
        <w:tc>
          <w:tcPr>
            <w:tcW w:w="6629" w:type="dxa"/>
          </w:tcPr>
          <w:p w14:paraId="6E7438C3" w14:textId="77777777" w:rsidR="002D0AE7" w:rsidRDefault="00333EBB">
            <w:pPr>
              <w:rPr>
                <w:rFonts w:hint="eastAsia"/>
              </w:rPr>
            </w:pPr>
            <w:r>
              <w:t>1.</w:t>
            </w:r>
            <w:r>
              <w:t>经公司</w:t>
            </w:r>
            <w:r>
              <w:t>2024</w:t>
            </w:r>
            <w:r>
              <w:t>年第一次临时股东大会审议通过的公司与百思康瑞《合作框架协议书》正在按照合同约定履行，公司在报告期内发生的日常关联交易总额未超过预计金额合计。</w:t>
            </w:r>
          </w:p>
        </w:tc>
        <w:tc>
          <w:tcPr>
            <w:tcW w:w="2419" w:type="dxa"/>
            <w:vAlign w:val="center"/>
          </w:tcPr>
          <w:p w14:paraId="7BB280EE" w14:textId="77777777" w:rsidR="002D0AE7" w:rsidRDefault="00333EBB">
            <w:pPr>
              <w:jc w:val="center"/>
              <w:rPr>
                <w:rFonts w:hint="eastAsia"/>
              </w:rPr>
            </w:pPr>
            <w:r>
              <w:t>http://www.sse.com.cn</w:t>
            </w:r>
          </w:p>
        </w:tc>
      </w:tr>
      <w:tr w:rsidR="002D0AE7" w14:paraId="0189AF3D" w14:textId="77777777">
        <w:tc>
          <w:tcPr>
            <w:tcW w:w="6629" w:type="dxa"/>
          </w:tcPr>
          <w:p w14:paraId="1B2F9F18" w14:textId="77777777" w:rsidR="002D0AE7" w:rsidRDefault="00333EBB">
            <w:pPr>
              <w:rPr>
                <w:rFonts w:hint="eastAsia"/>
              </w:rPr>
            </w:pPr>
            <w:r>
              <w:t>2.</w:t>
            </w:r>
            <w:r>
              <w:t>经公司</w:t>
            </w:r>
            <w:r>
              <w:t>2024</w:t>
            </w:r>
            <w:r>
              <w:t>年第一次临时股东大会审议通过的公司与医药集团《框架协议》正在按照合同约定履行，公司在报告期内发生的日常关联交易总额未超过预计金额合计。</w:t>
            </w:r>
          </w:p>
        </w:tc>
        <w:tc>
          <w:tcPr>
            <w:tcW w:w="2419" w:type="dxa"/>
            <w:vAlign w:val="center"/>
          </w:tcPr>
          <w:p w14:paraId="0CF72D18" w14:textId="77777777" w:rsidR="002D0AE7" w:rsidRDefault="00333EBB">
            <w:pPr>
              <w:jc w:val="center"/>
              <w:rPr>
                <w:rFonts w:hint="eastAsia"/>
              </w:rPr>
            </w:pPr>
            <w:r>
              <w:t>http://www.sse.com.cn</w:t>
            </w:r>
          </w:p>
        </w:tc>
      </w:tr>
      <w:tr w:rsidR="002D0AE7" w14:paraId="21148C40" w14:textId="77777777">
        <w:tc>
          <w:tcPr>
            <w:tcW w:w="6629" w:type="dxa"/>
          </w:tcPr>
          <w:p w14:paraId="1A146F82" w14:textId="77777777" w:rsidR="002D0AE7" w:rsidRDefault="00333EBB">
            <w:pPr>
              <w:rPr>
                <w:rFonts w:hint="eastAsia"/>
              </w:rPr>
            </w:pPr>
            <w:r>
              <w:t>3.</w:t>
            </w:r>
            <w:r>
              <w:t>经公司</w:t>
            </w:r>
            <w:r>
              <w:t>2024</w:t>
            </w:r>
            <w:r>
              <w:t>年第一次临时股东大会审议通过的公司与财务公司《金融服务协议》正在按照合同约定履行，公司在报告期内发生的日常关联交易总额未超过预计金额合计。</w:t>
            </w:r>
          </w:p>
        </w:tc>
        <w:tc>
          <w:tcPr>
            <w:tcW w:w="2419" w:type="dxa"/>
            <w:vAlign w:val="center"/>
          </w:tcPr>
          <w:p w14:paraId="1D06987C" w14:textId="77777777" w:rsidR="002D0AE7" w:rsidRDefault="00333EBB">
            <w:pPr>
              <w:jc w:val="center"/>
              <w:rPr>
                <w:rFonts w:hint="eastAsia"/>
              </w:rPr>
            </w:pPr>
            <w:r>
              <w:t>http://www.sse.com.cn</w:t>
            </w:r>
          </w:p>
        </w:tc>
      </w:tr>
      <w:tr w:rsidR="002D0AE7" w14:paraId="7A9575F2" w14:textId="77777777">
        <w:tc>
          <w:tcPr>
            <w:tcW w:w="6629" w:type="dxa"/>
          </w:tcPr>
          <w:p w14:paraId="2C55421D" w14:textId="77777777" w:rsidR="002D0AE7" w:rsidRDefault="00333EBB">
            <w:pPr>
              <w:rPr>
                <w:rFonts w:hint="eastAsia"/>
              </w:rPr>
            </w:pPr>
            <w:r>
              <w:t>4.</w:t>
            </w:r>
            <w:r>
              <w:t>经公司</w:t>
            </w:r>
            <w:r>
              <w:t>2024</w:t>
            </w:r>
            <w:r>
              <w:t>年第九届董事会第五次会议审议通过的公司与力生制药《药品委托生产协议》正在按照合同约定履行，公司在报告期内发生的日常关联交易总额未超过预计金额合计。</w:t>
            </w:r>
          </w:p>
        </w:tc>
        <w:tc>
          <w:tcPr>
            <w:tcW w:w="2419" w:type="dxa"/>
            <w:vAlign w:val="center"/>
          </w:tcPr>
          <w:p w14:paraId="5DD61FF9" w14:textId="77777777" w:rsidR="002D0AE7" w:rsidRDefault="00333EBB">
            <w:pPr>
              <w:jc w:val="center"/>
              <w:rPr>
                <w:rFonts w:hint="eastAsia"/>
              </w:rPr>
            </w:pPr>
            <w:r>
              <w:t>http://www.sse.com.cn</w:t>
            </w:r>
          </w:p>
        </w:tc>
      </w:tr>
      <w:tr w:rsidR="002D0AE7" w14:paraId="12312274" w14:textId="77777777">
        <w:tc>
          <w:tcPr>
            <w:tcW w:w="6629" w:type="dxa"/>
          </w:tcPr>
          <w:p w14:paraId="52DACF61" w14:textId="77777777" w:rsidR="002D0AE7" w:rsidRDefault="00333EBB">
            <w:pPr>
              <w:rPr>
                <w:rFonts w:hint="eastAsia"/>
              </w:rPr>
            </w:pPr>
            <w:r>
              <w:lastRenderedPageBreak/>
              <w:t>5.</w:t>
            </w:r>
            <w:r>
              <w:t>经公司</w:t>
            </w:r>
            <w:r>
              <w:t>2024</w:t>
            </w:r>
            <w:r>
              <w:t>年第九届董事会第八次会议审议通过的</w:t>
            </w:r>
            <w:r>
              <w:rPr>
                <w:rFonts w:hint="eastAsia"/>
              </w:rPr>
              <w:t>子</w:t>
            </w:r>
            <w:r>
              <w:t>公司</w:t>
            </w:r>
            <w:r>
              <w:rPr>
                <w:rFonts w:hint="eastAsia"/>
              </w:rPr>
              <w:t>津药环科</w:t>
            </w:r>
            <w:r>
              <w:t>与财务公司《最高额抵押合同》正在按照合同约定履行，公司在报告期内发生的日常关联交易</w:t>
            </w:r>
            <w:r>
              <w:rPr>
                <w:rFonts w:hint="eastAsia"/>
              </w:rPr>
              <w:t>金额</w:t>
            </w:r>
            <w:r>
              <w:t>未超过预计金额。</w:t>
            </w:r>
          </w:p>
        </w:tc>
        <w:tc>
          <w:tcPr>
            <w:tcW w:w="2419" w:type="dxa"/>
            <w:vAlign w:val="center"/>
          </w:tcPr>
          <w:p w14:paraId="2F52AFDB" w14:textId="77777777" w:rsidR="002D0AE7" w:rsidRDefault="00333EBB">
            <w:pPr>
              <w:jc w:val="center"/>
              <w:rPr>
                <w:rFonts w:hint="eastAsia"/>
              </w:rPr>
            </w:pPr>
            <w:r>
              <w:t>http://www.sse.com.cn</w:t>
            </w:r>
          </w:p>
        </w:tc>
      </w:tr>
    </w:tbl>
    <w:p w14:paraId="020370F8" w14:textId="77777777" w:rsidR="002D0AE7" w:rsidRDefault="00333EBB">
      <w:pPr>
        <w:pStyle w:val="4"/>
        <w:numPr>
          <w:ilvl w:val="2"/>
          <w:numId w:val="20"/>
        </w:numPr>
        <w:rPr>
          <w:rFonts w:ascii="宋体" w:hAnsi="宋体" w:hint="eastAsia"/>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与日常经营相关的关联交易[双击切换]"/>
        <w:tag w:val="_GBC_3d236e76c44140259dd09a3aed77ca15"/>
        <w:id w:val="-1172715462"/>
        <w:placeholder>
          <w:docPart w:val="GBC22222222222222222222222222222"/>
        </w:placeholder>
      </w:sdtPr>
      <w:sdtEndPr/>
      <w:sdtContent>
        <w:p w14:paraId="59118FBE"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11C447F7" w14:textId="77777777" w:rsidR="002D0AE7" w:rsidRDefault="00333EBB">
      <w:pPr>
        <w:pStyle w:val="4"/>
        <w:numPr>
          <w:ilvl w:val="2"/>
          <w:numId w:val="20"/>
        </w:numPr>
        <w:rPr>
          <w:rFonts w:ascii="宋体" w:hAnsi="宋体" w:hint="eastAsia"/>
          <w:color w:val="000000" w:themeColor="text1"/>
        </w:rPr>
      </w:pPr>
      <w:r>
        <w:rPr>
          <w:rFonts w:ascii="宋体" w:hAnsi="宋体" w:hint="eastAsia"/>
          <w:color w:val="000000" w:themeColor="text1"/>
        </w:rPr>
        <w:t>临时公告未披露的事项</w:t>
      </w:r>
    </w:p>
    <w:sdt>
      <w:sdtPr>
        <w:rPr>
          <w:color w:val="000000" w:themeColor="text1"/>
        </w:rPr>
        <w:alias w:val="是否适用：与日常经营相关的关联交易_临时公告未披露的事项[双击切换]"/>
        <w:tag w:val="_GBC_91ad548daaa84603a8faa6c0ce358499"/>
        <w:id w:val="1443889409"/>
        <w:placeholder>
          <w:docPart w:val="GBC22222222222222222222222222222"/>
        </w:placeholder>
      </w:sdtPr>
      <w:sdtEndPr/>
      <w:sdtContent>
        <w:p w14:paraId="32099457"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348C9DA1" w14:textId="77777777" w:rsidR="002D0AE7" w:rsidRDefault="00333EBB">
      <w:pPr>
        <w:pStyle w:val="3"/>
        <w:numPr>
          <w:ilvl w:val="2"/>
          <w:numId w:val="4"/>
        </w:numPr>
        <w:rPr>
          <w:rFonts w:ascii="宋体" w:hAnsi="宋体" w:hint="eastAsia"/>
          <w:color w:val="000000" w:themeColor="text1"/>
        </w:rPr>
      </w:pPr>
      <w:bookmarkStart w:id="64" w:name="_Hlk170999025"/>
      <w:bookmarkEnd w:id="63"/>
      <w:r>
        <w:rPr>
          <w:rFonts w:ascii="宋体" w:hAnsi="宋体"/>
          <w:color w:val="000000" w:themeColor="text1"/>
        </w:rPr>
        <w:t>资产收购</w:t>
      </w:r>
      <w:r>
        <w:rPr>
          <w:rFonts w:ascii="宋体" w:hAnsi="宋体" w:hint="eastAsia"/>
          <w:color w:val="000000" w:themeColor="text1"/>
        </w:rPr>
        <w:t>或股权收购</w:t>
      </w:r>
      <w:r>
        <w:rPr>
          <w:rFonts w:ascii="宋体" w:hAnsi="宋体"/>
          <w:color w:val="000000" w:themeColor="text1"/>
        </w:rPr>
        <w:t>、出售发生的关联交易</w:t>
      </w:r>
    </w:p>
    <w:p w14:paraId="11880308" w14:textId="77777777" w:rsidR="002D0AE7" w:rsidRDefault="00333EBB">
      <w:pPr>
        <w:pStyle w:val="4"/>
        <w:numPr>
          <w:ilvl w:val="0"/>
          <w:numId w:val="21"/>
        </w:numPr>
        <w:rPr>
          <w:rFonts w:ascii="宋体" w:hAnsi="宋体" w:hint="eastAsia"/>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资产或股权收购、出售发生的关联交易[双击切换]"/>
        <w:tag w:val="_GBC_208b69178a984ade8f4f4dd7a3362ae3"/>
        <w:id w:val="-465509335"/>
        <w:placeholder>
          <w:docPart w:val="GBC22222222222222222222222222222"/>
        </w:placeholder>
      </w:sdtPr>
      <w:sdtEndPr/>
      <w:sdtContent>
        <w:p w14:paraId="29E8FFB5"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6AA68643" w14:textId="77777777" w:rsidR="002D0AE7" w:rsidRDefault="00333EBB">
      <w:pPr>
        <w:pStyle w:val="4"/>
        <w:numPr>
          <w:ilvl w:val="0"/>
          <w:numId w:val="21"/>
        </w:numPr>
        <w:rPr>
          <w:rFonts w:ascii="宋体" w:hAnsi="宋体" w:hint="eastAsia"/>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资产或股权收购、出售发生的关联交易[双击切换]"/>
        <w:tag w:val="_GBC_b72de17637e74020b42aa0636b393f25"/>
        <w:id w:val="-1053460080"/>
        <w:placeholder>
          <w:docPart w:val="GBC22222222222222222222222222222"/>
        </w:placeholder>
      </w:sdtPr>
      <w:sdtEndPr/>
      <w:sdtContent>
        <w:p w14:paraId="1179AB6F"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03B274CE" w14:textId="77777777" w:rsidR="002D0AE7" w:rsidRDefault="00333EBB">
      <w:pPr>
        <w:pStyle w:val="4"/>
        <w:numPr>
          <w:ilvl w:val="0"/>
          <w:numId w:val="21"/>
        </w:numPr>
        <w:rPr>
          <w:rFonts w:ascii="宋体" w:hAnsi="宋体" w:hint="eastAsia"/>
          <w:color w:val="000000" w:themeColor="text1"/>
          <w:szCs w:val="32"/>
        </w:rPr>
      </w:pPr>
      <w:r>
        <w:rPr>
          <w:rFonts w:ascii="宋体" w:hAnsi="宋体"/>
          <w:color w:val="000000" w:themeColor="text1"/>
          <w:szCs w:val="32"/>
        </w:rPr>
        <w:t>临时公告未披露的事项</w:t>
      </w:r>
    </w:p>
    <w:sdt>
      <w:sdtPr>
        <w:rPr>
          <w:color w:val="000000" w:themeColor="text1"/>
        </w:rPr>
        <w:alias w:val="是否适用：资产收购、出售发生的关联交易_临时公告未披露的事项[双击切换]"/>
        <w:tag w:val="_GBC_d3f1f3f5ce564209aee49197432643af"/>
        <w:id w:val="-1386936518"/>
        <w:placeholder>
          <w:docPart w:val="GBC22222222222222222222222222222"/>
        </w:placeholder>
      </w:sdtPr>
      <w:sdtEndPr/>
      <w:sdtContent>
        <w:p w14:paraId="7037AE24"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bookmarkEnd w:id="64"/>
    <w:p w14:paraId="23209AD5" w14:textId="77777777" w:rsidR="002D0AE7" w:rsidRDefault="00333EBB">
      <w:pPr>
        <w:pStyle w:val="4"/>
        <w:numPr>
          <w:ilvl w:val="0"/>
          <w:numId w:val="21"/>
        </w:numPr>
        <w:rPr>
          <w:rFonts w:ascii="宋体" w:hAnsi="宋体" w:hint="eastAsia"/>
          <w:color w:val="000000" w:themeColor="text1"/>
        </w:rPr>
      </w:pPr>
      <w:r>
        <w:rPr>
          <w:rFonts w:ascii="宋体" w:hAnsi="宋体"/>
          <w:color w:val="000000" w:themeColor="text1"/>
        </w:rPr>
        <w:t>涉及业绩约定的，应当披露报告期内的业绩实现情况</w:t>
      </w:r>
    </w:p>
    <w:sdt>
      <w:sdtPr>
        <w:rPr>
          <w:color w:val="000000" w:themeColor="text1"/>
        </w:rPr>
        <w:alias w:val="是否适用：涉及业绩约定的，应当披露报告期内的业绩实现情况[双击切换]"/>
        <w:tag w:val="_GBC_0640a8fc3526461ca1eed7810b087c23"/>
        <w:id w:val="328565637"/>
        <w:placeholder>
          <w:docPart w:val="GBC22222222222222222222222222222"/>
        </w:placeholder>
      </w:sdtPr>
      <w:sdtEndPr/>
      <w:sdtContent>
        <w:p w14:paraId="34E0ABAE"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2A2704EF" w14:textId="77777777" w:rsidR="002D0AE7" w:rsidRDefault="00333EBB">
      <w:pPr>
        <w:pStyle w:val="3"/>
        <w:numPr>
          <w:ilvl w:val="2"/>
          <w:numId w:val="4"/>
        </w:numPr>
        <w:rPr>
          <w:rFonts w:ascii="宋体" w:hAnsi="宋体" w:hint="eastAsia"/>
          <w:color w:val="000000" w:themeColor="text1"/>
        </w:rPr>
      </w:pPr>
      <w:r>
        <w:rPr>
          <w:rFonts w:ascii="宋体" w:hAnsi="宋体"/>
          <w:color w:val="000000" w:themeColor="text1"/>
        </w:rPr>
        <w:t>共同对外投资的重大关联交易</w:t>
      </w:r>
    </w:p>
    <w:p w14:paraId="35F50CAE" w14:textId="77777777" w:rsidR="002D0AE7" w:rsidRDefault="00333EBB">
      <w:pPr>
        <w:pStyle w:val="4"/>
        <w:numPr>
          <w:ilvl w:val="0"/>
          <w:numId w:val="22"/>
        </w:numPr>
        <w:rPr>
          <w:rFonts w:ascii="宋体" w:hAnsi="宋体" w:hint="eastAsia"/>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共同对外投资的重大关联交易[双击切换]"/>
        <w:tag w:val="_GBC_dda9192a67f44f8698afb5d0b3e3c767"/>
        <w:id w:val="2053880750"/>
        <w:placeholder>
          <w:docPart w:val="GBC22222222222222222222222222222"/>
        </w:placeholder>
      </w:sdtPr>
      <w:sdtEndPr/>
      <w:sdtContent>
        <w:p w14:paraId="14F45079"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7BBFDC97" w14:textId="77777777" w:rsidR="002D0AE7" w:rsidRDefault="00333EBB">
      <w:pPr>
        <w:pStyle w:val="4"/>
        <w:numPr>
          <w:ilvl w:val="0"/>
          <w:numId w:val="22"/>
        </w:numPr>
        <w:rPr>
          <w:rFonts w:ascii="宋体" w:hAnsi="宋体" w:hint="eastAsia"/>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共同对外投资的重大关联交易[双击切换]"/>
        <w:tag w:val="_GBC_f5354c189ecd4cad9ef1e263c325c0db"/>
        <w:id w:val="2004554188"/>
        <w:placeholder>
          <w:docPart w:val="GBC22222222222222222222222222222"/>
        </w:placeholder>
      </w:sdtPr>
      <w:sdtEndPr/>
      <w:sdtContent>
        <w:p w14:paraId="0A7E7443"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303ED4EE" w14:textId="77777777" w:rsidR="002D0AE7" w:rsidRDefault="00333EBB">
      <w:pPr>
        <w:pStyle w:val="4"/>
        <w:numPr>
          <w:ilvl w:val="0"/>
          <w:numId w:val="22"/>
        </w:numPr>
        <w:rPr>
          <w:rFonts w:ascii="宋体" w:hAnsi="宋体" w:hint="eastAsia"/>
          <w:color w:val="000000" w:themeColor="text1"/>
        </w:rPr>
      </w:pPr>
      <w:r>
        <w:rPr>
          <w:rFonts w:ascii="宋体" w:hAnsi="宋体"/>
          <w:color w:val="000000" w:themeColor="text1"/>
        </w:rPr>
        <w:t>临时公告未披露的事项</w:t>
      </w:r>
    </w:p>
    <w:sdt>
      <w:sdtPr>
        <w:rPr>
          <w:rFonts w:hint="eastAsia"/>
          <w:color w:val="000000" w:themeColor="text1"/>
        </w:rPr>
        <w:alias w:val="是否适用：共同对外投资的重大关联交易_临时公告未披露的事项[双击切换]"/>
        <w:tag w:val="_GBC_3ac28148c3754202ba544078ad581a24"/>
        <w:id w:val="-1073805238"/>
        <w:placeholder>
          <w:docPart w:val="GBC22222222222222222222222222222"/>
        </w:placeholder>
      </w:sdtPr>
      <w:sdtEndPr/>
      <w:sdtContent>
        <w:p w14:paraId="757B76D7"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1C8B01C8" w14:textId="77777777" w:rsidR="002D0AE7" w:rsidRDefault="00333EBB">
      <w:pPr>
        <w:pStyle w:val="3"/>
        <w:numPr>
          <w:ilvl w:val="2"/>
          <w:numId w:val="4"/>
        </w:numPr>
        <w:rPr>
          <w:rFonts w:ascii="宋体" w:hAnsi="宋体" w:hint="eastAsia"/>
          <w:color w:val="000000" w:themeColor="text1"/>
        </w:rPr>
      </w:pPr>
      <w:r>
        <w:rPr>
          <w:rFonts w:ascii="宋体" w:hAnsi="宋体" w:hint="eastAsia"/>
          <w:color w:val="000000" w:themeColor="text1"/>
        </w:rPr>
        <w:t>关联债权债务往来</w:t>
      </w:r>
    </w:p>
    <w:p w14:paraId="1BD009E2" w14:textId="77777777" w:rsidR="002D0AE7" w:rsidRDefault="00333EBB">
      <w:pPr>
        <w:pStyle w:val="4"/>
        <w:numPr>
          <w:ilvl w:val="0"/>
          <w:numId w:val="23"/>
        </w:numPr>
        <w:rPr>
          <w:rFonts w:ascii="宋体" w:hAnsi="宋体" w:hint="eastAsia"/>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关联债权债务往来[双击切换]"/>
        <w:tag w:val="_GBC_480ccdae6247445ca78cf6327eb0e24f"/>
        <w:id w:val="1390226834"/>
        <w:placeholder>
          <w:docPart w:val="GBC22222222222222222222222222222"/>
        </w:placeholder>
      </w:sdtPr>
      <w:sdtEndPr/>
      <w:sdtContent>
        <w:p w14:paraId="1717EDBC"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0C07F57B" w14:textId="77777777" w:rsidR="002D0AE7" w:rsidRDefault="00333EBB">
      <w:pPr>
        <w:pStyle w:val="4"/>
        <w:numPr>
          <w:ilvl w:val="0"/>
          <w:numId w:val="23"/>
        </w:numPr>
        <w:rPr>
          <w:rFonts w:ascii="宋体" w:hAnsi="宋体" w:hint="eastAsia"/>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关联债权债务往来[双击切换]"/>
        <w:tag w:val="_GBC_06dcfbbd6aed49aa878ab07a09b2270b"/>
        <w:id w:val="1049339825"/>
        <w:placeholder>
          <w:docPart w:val="GBC22222222222222222222222222222"/>
        </w:placeholder>
      </w:sdtPr>
      <w:sdtEndPr/>
      <w:sdtContent>
        <w:p w14:paraId="28611B4B"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3060DB26" w14:textId="77777777" w:rsidR="002D0AE7" w:rsidRDefault="00333EBB">
      <w:pPr>
        <w:pStyle w:val="4"/>
        <w:numPr>
          <w:ilvl w:val="0"/>
          <w:numId w:val="23"/>
        </w:numPr>
        <w:rPr>
          <w:rFonts w:ascii="宋体" w:hAnsi="宋体" w:hint="eastAsia"/>
          <w:color w:val="000000" w:themeColor="text1"/>
        </w:rPr>
      </w:pPr>
      <w:r>
        <w:rPr>
          <w:rFonts w:ascii="宋体" w:hAnsi="宋体" w:hint="eastAsia"/>
          <w:color w:val="000000" w:themeColor="text1"/>
        </w:rPr>
        <w:t>临时公告未披露的事项</w:t>
      </w:r>
    </w:p>
    <w:sdt>
      <w:sdtPr>
        <w:rPr>
          <w:color w:val="000000" w:themeColor="text1"/>
        </w:rPr>
        <w:alias w:val="是否适用：关联债权债务往来_临时公告未披露的事项[双击切换]"/>
        <w:tag w:val="_GBC_0f4a6802ca704b49a413888379a91f0b"/>
        <w:id w:val="-1515058233"/>
        <w:placeholder>
          <w:docPart w:val="GBC22222222222222222222222222222"/>
        </w:placeholder>
      </w:sdtPr>
      <w:sdtEndPr/>
      <w:sdtContent>
        <w:p w14:paraId="0EC3FE8D"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10090E1D" w14:textId="77777777" w:rsidR="002D0AE7" w:rsidRDefault="00333EBB">
      <w:pPr>
        <w:pStyle w:val="3"/>
        <w:numPr>
          <w:ilvl w:val="2"/>
          <w:numId w:val="4"/>
        </w:numPr>
        <w:rPr>
          <w:rFonts w:ascii="宋体" w:hAnsi="宋体" w:hint="eastAsia"/>
          <w:color w:val="000000" w:themeColor="text1"/>
        </w:rPr>
      </w:pPr>
      <w:r>
        <w:rPr>
          <w:rFonts w:ascii="宋体" w:hAnsi="宋体"/>
          <w:color w:val="000000" w:themeColor="text1"/>
        </w:rPr>
        <w:t>公司与存在关联关系的财务公司、公司控股财务公司与关联方之间的金融业务</w:t>
      </w:r>
    </w:p>
    <w:sdt>
      <w:sdtPr>
        <w:rPr>
          <w:color w:val="000000" w:themeColor="text1"/>
        </w:rPr>
        <w:alias w:val="是否适用：公司与存在关联关系的财务公司、公司控股财务公司与关联方之间的金融业务 [双击切换]"/>
        <w:tag w:val="_GBC_918ef76103ad41b4a79075b59fdb8bf4"/>
        <w:id w:val="-132334500"/>
        <w:placeholder>
          <w:docPart w:val="GBC22222222222222222222222222222"/>
        </w:placeholder>
      </w:sdtPr>
      <w:sdtEndPr/>
      <w:sdtContent>
        <w:p w14:paraId="466F2C6D"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32082CC9" w14:textId="77777777" w:rsidR="002D0AE7" w:rsidRDefault="00333EBB">
      <w:pPr>
        <w:pStyle w:val="4"/>
        <w:numPr>
          <w:ilvl w:val="0"/>
          <w:numId w:val="24"/>
        </w:numPr>
        <w:rPr>
          <w:rFonts w:ascii="宋体" w:hAnsi="宋体" w:hint="eastAsia"/>
          <w:color w:val="000000" w:themeColor="text1"/>
        </w:rPr>
      </w:pPr>
      <w:bookmarkStart w:id="65" w:name="_Hlk106875230"/>
      <w:r>
        <w:rPr>
          <w:rFonts w:ascii="宋体" w:hAnsi="宋体" w:hint="eastAsia"/>
          <w:color w:val="000000" w:themeColor="text1"/>
        </w:rPr>
        <w:t>存款业务</w:t>
      </w:r>
    </w:p>
    <w:sdt>
      <w:sdtPr>
        <w:rPr>
          <w:color w:val="000000" w:themeColor="text1"/>
        </w:rPr>
        <w:alias w:val="是否适用：存款业务[双击切换]"/>
        <w:tag w:val="_GBC_f9224e59e79e4e7f90861dc9c88bbaf5"/>
        <w:id w:val="1970942570"/>
        <w:placeholder>
          <w:docPart w:val="GBC22222222222222222222222222222"/>
        </w:placeholder>
      </w:sdtPr>
      <w:sdtEndPr/>
      <w:sdtContent>
        <w:p w14:paraId="7EAAF707"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7FD3C9D7"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存款业务情况"/>
          <w:tag w:val="_GBC_9ecd65a8331e452c98309d736d6493e0"/>
          <w:id w:val="1594902347"/>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存款业务情况"/>
          <w:tag w:val="_GBC_28238db17bf94957b134a53203001b6c"/>
          <w:id w:val="153454251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6186"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4"/>
        <w:gridCol w:w="1419"/>
        <w:gridCol w:w="1275"/>
        <w:gridCol w:w="1417"/>
        <w:gridCol w:w="1561"/>
        <w:gridCol w:w="1559"/>
        <w:gridCol w:w="1557"/>
      </w:tblGrid>
      <w:tr w:rsidR="002D0AE7" w14:paraId="4DDF5DF1" w14:textId="77777777">
        <w:sdt>
          <w:sdtPr>
            <w:rPr>
              <w:rFonts w:hint="eastAsia"/>
              <w:color w:val="000000" w:themeColor="text1"/>
              <w:sz w:val="21"/>
              <w:szCs w:val="21"/>
            </w:rPr>
            <w:tag w:val="_PLD_ffba45c0a60d4a5eaefab3b7e513ac6f"/>
            <w:id w:val="-1337153761"/>
          </w:sdtPr>
          <w:sdtEndPr/>
          <w:sdtContent>
            <w:tc>
              <w:tcPr>
                <w:tcW w:w="519" w:type="pct"/>
                <w:vMerge w:val="restart"/>
                <w:shd w:val="clear" w:color="auto" w:fill="auto"/>
                <w:vAlign w:val="center"/>
              </w:tcPr>
              <w:p w14:paraId="7AF33882" w14:textId="77777777" w:rsidR="002D0AE7" w:rsidRDefault="00333EBB">
                <w:pPr>
                  <w:widowControl w:val="0"/>
                  <w:autoSpaceDE w:val="0"/>
                  <w:autoSpaceDN w:val="0"/>
                  <w:adjustRightInd w:val="0"/>
                  <w:jc w:val="center"/>
                  <w:rPr>
                    <w:rFonts w:hint="eastAsia"/>
                    <w:color w:val="000000" w:themeColor="text1"/>
                    <w:sz w:val="21"/>
                    <w:szCs w:val="21"/>
                  </w:rPr>
                </w:pPr>
                <w:r>
                  <w:rPr>
                    <w:rFonts w:hint="eastAsia"/>
                    <w:color w:val="000000" w:themeColor="text1"/>
                    <w:sz w:val="21"/>
                    <w:szCs w:val="21"/>
                  </w:rPr>
                  <w:t>关联方</w:t>
                </w:r>
              </w:p>
            </w:tc>
          </w:sdtContent>
        </w:sdt>
        <w:sdt>
          <w:sdtPr>
            <w:rPr>
              <w:rFonts w:hint="eastAsia"/>
              <w:color w:val="000000" w:themeColor="text1"/>
              <w:sz w:val="21"/>
              <w:szCs w:val="21"/>
            </w:rPr>
            <w:tag w:val="_PLD_e0c38f9a2c974c4fbf8f3797e658b580"/>
            <w:id w:val="-1311478137"/>
          </w:sdtPr>
          <w:sdtEndPr/>
          <w:sdtContent>
            <w:tc>
              <w:tcPr>
                <w:tcW w:w="455" w:type="pct"/>
                <w:vMerge w:val="restart"/>
                <w:shd w:val="clear" w:color="auto" w:fill="auto"/>
                <w:vAlign w:val="center"/>
              </w:tcPr>
              <w:p w14:paraId="5FCBD9B9" w14:textId="77777777" w:rsidR="002D0AE7" w:rsidRDefault="00333EBB">
                <w:pPr>
                  <w:widowControl w:val="0"/>
                  <w:autoSpaceDE w:val="0"/>
                  <w:autoSpaceDN w:val="0"/>
                  <w:adjustRightInd w:val="0"/>
                  <w:jc w:val="center"/>
                  <w:rPr>
                    <w:rFonts w:hint="eastAsia"/>
                    <w:color w:val="000000" w:themeColor="text1"/>
                    <w:sz w:val="21"/>
                    <w:szCs w:val="21"/>
                  </w:rPr>
                </w:pPr>
                <w:r>
                  <w:rPr>
                    <w:rFonts w:hint="eastAsia"/>
                    <w:color w:val="000000" w:themeColor="text1"/>
                    <w:sz w:val="21"/>
                    <w:szCs w:val="21"/>
                  </w:rPr>
                  <w:t>关联关系</w:t>
                </w:r>
              </w:p>
            </w:tc>
          </w:sdtContent>
        </w:sdt>
        <w:sdt>
          <w:sdtPr>
            <w:rPr>
              <w:color w:val="000000" w:themeColor="text1"/>
              <w:sz w:val="21"/>
              <w:szCs w:val="21"/>
            </w:rPr>
            <w:tag w:val="_PLD_98e3b28dc1a04a5988e28b76ce9f4d2f"/>
            <w:id w:val="-1697222399"/>
          </w:sdtPr>
          <w:sdtEndPr/>
          <w:sdtContent>
            <w:tc>
              <w:tcPr>
                <w:tcW w:w="650" w:type="pct"/>
                <w:vMerge w:val="restart"/>
                <w:shd w:val="clear" w:color="auto" w:fill="auto"/>
                <w:vAlign w:val="center"/>
              </w:tcPr>
              <w:p w14:paraId="2A6C69D9" w14:textId="77777777" w:rsidR="002D0AE7" w:rsidRDefault="00333EBB">
                <w:pPr>
                  <w:widowControl w:val="0"/>
                  <w:autoSpaceDE w:val="0"/>
                  <w:autoSpaceDN w:val="0"/>
                  <w:adjustRightInd w:val="0"/>
                  <w:jc w:val="center"/>
                  <w:rPr>
                    <w:rFonts w:hint="eastAsia"/>
                    <w:color w:val="000000" w:themeColor="text1"/>
                    <w:sz w:val="21"/>
                    <w:szCs w:val="21"/>
                  </w:rPr>
                </w:pPr>
                <w:r>
                  <w:rPr>
                    <w:color w:val="000000" w:themeColor="text1"/>
                    <w:sz w:val="21"/>
                    <w:szCs w:val="21"/>
                  </w:rPr>
                  <w:t>每日最高存款限额</w:t>
                </w:r>
              </w:p>
            </w:tc>
          </w:sdtContent>
        </w:sdt>
        <w:sdt>
          <w:sdtPr>
            <w:rPr>
              <w:color w:val="000000" w:themeColor="text1"/>
              <w:sz w:val="21"/>
              <w:szCs w:val="21"/>
            </w:rPr>
            <w:tag w:val="_PLD_53344796359b4d568d3a4496aae806b2"/>
            <w:id w:val="-1786802730"/>
          </w:sdtPr>
          <w:sdtEndPr/>
          <w:sdtContent>
            <w:tc>
              <w:tcPr>
                <w:tcW w:w="584" w:type="pct"/>
                <w:vMerge w:val="restart"/>
                <w:shd w:val="clear" w:color="auto" w:fill="auto"/>
                <w:vAlign w:val="center"/>
              </w:tcPr>
              <w:p w14:paraId="1C2562EE" w14:textId="77777777" w:rsidR="002D0AE7" w:rsidRDefault="00333EBB">
                <w:pPr>
                  <w:widowControl w:val="0"/>
                  <w:autoSpaceDE w:val="0"/>
                  <w:autoSpaceDN w:val="0"/>
                  <w:adjustRightInd w:val="0"/>
                  <w:jc w:val="center"/>
                  <w:rPr>
                    <w:rFonts w:hint="eastAsia"/>
                    <w:color w:val="000000" w:themeColor="text1"/>
                    <w:sz w:val="21"/>
                    <w:szCs w:val="21"/>
                  </w:rPr>
                </w:pPr>
                <w:r>
                  <w:rPr>
                    <w:color w:val="000000" w:themeColor="text1"/>
                    <w:sz w:val="21"/>
                    <w:szCs w:val="21"/>
                  </w:rPr>
                  <w:t>存款利率范围</w:t>
                </w:r>
              </w:p>
            </w:tc>
          </w:sdtContent>
        </w:sdt>
        <w:sdt>
          <w:sdtPr>
            <w:rPr>
              <w:color w:val="000000" w:themeColor="text1"/>
              <w:sz w:val="21"/>
              <w:szCs w:val="21"/>
            </w:rPr>
            <w:tag w:val="_PLD_6cab16c6c91b47ceb56c93e75218443e"/>
            <w:id w:val="-1676410353"/>
          </w:sdtPr>
          <w:sdtEndPr/>
          <w:sdtContent>
            <w:tc>
              <w:tcPr>
                <w:tcW w:w="649" w:type="pct"/>
                <w:vMerge w:val="restart"/>
                <w:shd w:val="clear" w:color="auto" w:fill="auto"/>
                <w:vAlign w:val="center"/>
              </w:tcPr>
              <w:p w14:paraId="615107AB" w14:textId="77777777" w:rsidR="002D0AE7" w:rsidRDefault="00333EBB">
                <w:pPr>
                  <w:widowControl w:val="0"/>
                  <w:autoSpaceDE w:val="0"/>
                  <w:autoSpaceDN w:val="0"/>
                  <w:adjustRightInd w:val="0"/>
                  <w:jc w:val="center"/>
                  <w:rPr>
                    <w:rFonts w:hint="eastAsia"/>
                    <w:color w:val="000000" w:themeColor="text1"/>
                    <w:sz w:val="21"/>
                    <w:szCs w:val="21"/>
                  </w:rPr>
                </w:pPr>
                <w:r>
                  <w:rPr>
                    <w:color w:val="000000" w:themeColor="text1"/>
                    <w:sz w:val="21"/>
                    <w:szCs w:val="21"/>
                  </w:rPr>
                  <w:t>期初余额</w:t>
                </w:r>
              </w:p>
            </w:tc>
          </w:sdtContent>
        </w:sdt>
        <w:sdt>
          <w:sdtPr>
            <w:rPr>
              <w:color w:val="000000" w:themeColor="text1"/>
              <w:sz w:val="21"/>
              <w:szCs w:val="21"/>
            </w:rPr>
            <w:tag w:val="_PLD_81041006ec3648d191df952d3dd35ca2"/>
            <w:id w:val="1193889435"/>
          </w:sdtPr>
          <w:sdtEndPr/>
          <w:sdtContent>
            <w:tc>
              <w:tcPr>
                <w:tcW w:w="1429" w:type="pct"/>
                <w:gridSpan w:val="2"/>
                <w:shd w:val="clear" w:color="auto" w:fill="auto"/>
                <w:vAlign w:val="center"/>
              </w:tcPr>
              <w:p w14:paraId="7CA028B3" w14:textId="77777777" w:rsidR="002D0AE7" w:rsidRDefault="00333EBB">
                <w:pPr>
                  <w:widowControl w:val="0"/>
                  <w:autoSpaceDE w:val="0"/>
                  <w:autoSpaceDN w:val="0"/>
                  <w:adjustRightInd w:val="0"/>
                  <w:jc w:val="center"/>
                  <w:rPr>
                    <w:rFonts w:hint="eastAsia"/>
                    <w:color w:val="000000" w:themeColor="text1"/>
                    <w:sz w:val="21"/>
                    <w:szCs w:val="21"/>
                  </w:rPr>
                </w:pPr>
                <w:r>
                  <w:rPr>
                    <w:color w:val="000000" w:themeColor="text1"/>
                    <w:sz w:val="21"/>
                    <w:szCs w:val="21"/>
                  </w:rPr>
                  <w:t>本期发生额</w:t>
                </w:r>
              </w:p>
            </w:tc>
          </w:sdtContent>
        </w:sdt>
        <w:sdt>
          <w:sdtPr>
            <w:rPr>
              <w:color w:val="000000" w:themeColor="text1"/>
              <w:sz w:val="21"/>
              <w:szCs w:val="21"/>
            </w:rPr>
            <w:tag w:val="_PLD_aa27139c32114925a8a34de1276d74de"/>
            <w:id w:val="-655380427"/>
          </w:sdtPr>
          <w:sdtEndPr/>
          <w:sdtContent>
            <w:tc>
              <w:tcPr>
                <w:tcW w:w="713" w:type="pct"/>
                <w:vMerge w:val="restart"/>
                <w:shd w:val="clear" w:color="auto" w:fill="auto"/>
                <w:vAlign w:val="center"/>
              </w:tcPr>
              <w:p w14:paraId="2746455A" w14:textId="77777777" w:rsidR="002D0AE7" w:rsidRDefault="00333EBB">
                <w:pPr>
                  <w:widowControl w:val="0"/>
                  <w:autoSpaceDE w:val="0"/>
                  <w:autoSpaceDN w:val="0"/>
                  <w:adjustRightInd w:val="0"/>
                  <w:jc w:val="center"/>
                  <w:rPr>
                    <w:rFonts w:hint="eastAsia"/>
                    <w:color w:val="000000" w:themeColor="text1"/>
                    <w:sz w:val="21"/>
                    <w:szCs w:val="21"/>
                  </w:rPr>
                </w:pPr>
                <w:r>
                  <w:rPr>
                    <w:color w:val="000000" w:themeColor="text1"/>
                    <w:sz w:val="21"/>
                    <w:szCs w:val="21"/>
                  </w:rPr>
                  <w:t>期末余额</w:t>
                </w:r>
              </w:p>
            </w:tc>
          </w:sdtContent>
        </w:sdt>
      </w:tr>
      <w:tr w:rsidR="002D0AE7" w14:paraId="6DEC8E8A" w14:textId="77777777">
        <w:tc>
          <w:tcPr>
            <w:tcW w:w="519" w:type="pct"/>
            <w:vMerge/>
            <w:shd w:val="clear" w:color="auto" w:fill="auto"/>
            <w:vAlign w:val="center"/>
          </w:tcPr>
          <w:p w14:paraId="0D23D500" w14:textId="77777777" w:rsidR="002D0AE7" w:rsidRDefault="002D0AE7">
            <w:pPr>
              <w:widowControl w:val="0"/>
              <w:autoSpaceDE w:val="0"/>
              <w:autoSpaceDN w:val="0"/>
              <w:adjustRightInd w:val="0"/>
              <w:jc w:val="center"/>
              <w:rPr>
                <w:rFonts w:hint="eastAsia"/>
                <w:color w:val="000000" w:themeColor="text1"/>
                <w:sz w:val="21"/>
                <w:szCs w:val="21"/>
              </w:rPr>
            </w:pPr>
          </w:p>
        </w:tc>
        <w:tc>
          <w:tcPr>
            <w:tcW w:w="455" w:type="pct"/>
            <w:vMerge/>
            <w:shd w:val="clear" w:color="auto" w:fill="auto"/>
            <w:vAlign w:val="center"/>
          </w:tcPr>
          <w:p w14:paraId="32AF0A70" w14:textId="77777777" w:rsidR="002D0AE7" w:rsidRDefault="002D0AE7">
            <w:pPr>
              <w:widowControl w:val="0"/>
              <w:autoSpaceDE w:val="0"/>
              <w:autoSpaceDN w:val="0"/>
              <w:adjustRightInd w:val="0"/>
              <w:jc w:val="center"/>
              <w:rPr>
                <w:rFonts w:hint="eastAsia"/>
                <w:color w:val="000000" w:themeColor="text1"/>
                <w:sz w:val="21"/>
                <w:szCs w:val="21"/>
              </w:rPr>
            </w:pPr>
          </w:p>
        </w:tc>
        <w:tc>
          <w:tcPr>
            <w:tcW w:w="650" w:type="pct"/>
            <w:vMerge/>
            <w:shd w:val="clear" w:color="auto" w:fill="auto"/>
            <w:vAlign w:val="center"/>
          </w:tcPr>
          <w:p w14:paraId="00302F53" w14:textId="77777777" w:rsidR="002D0AE7" w:rsidRDefault="002D0AE7">
            <w:pPr>
              <w:widowControl w:val="0"/>
              <w:autoSpaceDE w:val="0"/>
              <w:autoSpaceDN w:val="0"/>
              <w:adjustRightInd w:val="0"/>
              <w:jc w:val="center"/>
              <w:rPr>
                <w:rFonts w:hint="eastAsia"/>
                <w:color w:val="000000" w:themeColor="text1"/>
                <w:sz w:val="21"/>
                <w:szCs w:val="21"/>
              </w:rPr>
            </w:pPr>
          </w:p>
        </w:tc>
        <w:tc>
          <w:tcPr>
            <w:tcW w:w="584" w:type="pct"/>
            <w:vMerge/>
            <w:shd w:val="clear" w:color="auto" w:fill="auto"/>
            <w:vAlign w:val="center"/>
          </w:tcPr>
          <w:p w14:paraId="53944550" w14:textId="77777777" w:rsidR="002D0AE7" w:rsidRDefault="002D0AE7">
            <w:pPr>
              <w:widowControl w:val="0"/>
              <w:autoSpaceDE w:val="0"/>
              <w:autoSpaceDN w:val="0"/>
              <w:adjustRightInd w:val="0"/>
              <w:jc w:val="center"/>
              <w:rPr>
                <w:rFonts w:hint="eastAsia"/>
                <w:color w:val="000000" w:themeColor="text1"/>
                <w:sz w:val="21"/>
                <w:szCs w:val="21"/>
              </w:rPr>
            </w:pPr>
          </w:p>
        </w:tc>
        <w:tc>
          <w:tcPr>
            <w:tcW w:w="649" w:type="pct"/>
            <w:vMerge/>
            <w:shd w:val="clear" w:color="auto" w:fill="auto"/>
            <w:vAlign w:val="center"/>
          </w:tcPr>
          <w:p w14:paraId="7A33F6CF" w14:textId="77777777" w:rsidR="002D0AE7" w:rsidRDefault="002D0AE7">
            <w:pPr>
              <w:widowControl w:val="0"/>
              <w:autoSpaceDE w:val="0"/>
              <w:autoSpaceDN w:val="0"/>
              <w:adjustRightInd w:val="0"/>
              <w:jc w:val="center"/>
              <w:rPr>
                <w:rFonts w:hint="eastAsia"/>
                <w:color w:val="000000" w:themeColor="text1"/>
                <w:sz w:val="21"/>
                <w:szCs w:val="21"/>
              </w:rPr>
            </w:pPr>
          </w:p>
        </w:tc>
        <w:sdt>
          <w:sdtPr>
            <w:rPr>
              <w:rFonts w:hint="eastAsia"/>
              <w:color w:val="000000" w:themeColor="text1"/>
              <w:sz w:val="21"/>
              <w:szCs w:val="21"/>
            </w:rPr>
            <w:tag w:val="_PLD_a2f6b5773eb24bb8a29fbf18bb7113a5"/>
            <w:id w:val="1333798820"/>
          </w:sdtPr>
          <w:sdtEndPr/>
          <w:sdtContent>
            <w:tc>
              <w:tcPr>
                <w:tcW w:w="715" w:type="pct"/>
                <w:shd w:val="clear" w:color="auto" w:fill="auto"/>
                <w:vAlign w:val="center"/>
              </w:tcPr>
              <w:p w14:paraId="36906F3E" w14:textId="77777777" w:rsidR="002D0AE7" w:rsidRDefault="00333EBB">
                <w:pPr>
                  <w:widowControl w:val="0"/>
                  <w:autoSpaceDE w:val="0"/>
                  <w:autoSpaceDN w:val="0"/>
                  <w:adjustRightInd w:val="0"/>
                  <w:jc w:val="center"/>
                  <w:rPr>
                    <w:rFonts w:hint="eastAsia"/>
                    <w:color w:val="000000" w:themeColor="text1"/>
                    <w:sz w:val="21"/>
                    <w:szCs w:val="21"/>
                  </w:rPr>
                </w:pPr>
                <w:r>
                  <w:rPr>
                    <w:rFonts w:hint="eastAsia"/>
                    <w:color w:val="000000" w:themeColor="text1"/>
                    <w:sz w:val="21"/>
                    <w:szCs w:val="21"/>
                  </w:rPr>
                  <w:t>本期合计存入</w:t>
                </w:r>
                <w:r>
                  <w:rPr>
                    <w:rFonts w:hint="eastAsia"/>
                    <w:color w:val="000000" w:themeColor="text1"/>
                    <w:sz w:val="21"/>
                    <w:szCs w:val="21"/>
                  </w:rPr>
                  <w:lastRenderedPageBreak/>
                  <w:t>金额</w:t>
                </w:r>
              </w:p>
            </w:tc>
          </w:sdtContent>
        </w:sdt>
        <w:sdt>
          <w:sdtPr>
            <w:rPr>
              <w:rFonts w:hint="eastAsia"/>
              <w:color w:val="000000" w:themeColor="text1"/>
              <w:sz w:val="21"/>
              <w:szCs w:val="21"/>
            </w:rPr>
            <w:tag w:val="_PLD_20c568f382ae46968ad4e263923079b1"/>
            <w:id w:val="-14000007"/>
          </w:sdtPr>
          <w:sdtEndPr/>
          <w:sdtContent>
            <w:tc>
              <w:tcPr>
                <w:tcW w:w="714" w:type="pct"/>
              </w:tcPr>
              <w:p w14:paraId="5E0863BB" w14:textId="77777777" w:rsidR="002D0AE7" w:rsidRDefault="00333EBB">
                <w:pPr>
                  <w:widowControl w:val="0"/>
                  <w:autoSpaceDE w:val="0"/>
                  <w:autoSpaceDN w:val="0"/>
                  <w:adjustRightInd w:val="0"/>
                  <w:jc w:val="center"/>
                  <w:rPr>
                    <w:rFonts w:hint="eastAsia"/>
                    <w:color w:val="000000" w:themeColor="text1"/>
                    <w:sz w:val="21"/>
                    <w:szCs w:val="21"/>
                  </w:rPr>
                </w:pPr>
                <w:r>
                  <w:rPr>
                    <w:rFonts w:hint="eastAsia"/>
                    <w:color w:val="000000" w:themeColor="text1"/>
                    <w:sz w:val="21"/>
                    <w:szCs w:val="21"/>
                  </w:rPr>
                  <w:t>本期合计取出</w:t>
                </w:r>
                <w:r>
                  <w:rPr>
                    <w:rFonts w:hint="eastAsia"/>
                    <w:color w:val="000000" w:themeColor="text1"/>
                    <w:sz w:val="21"/>
                    <w:szCs w:val="21"/>
                  </w:rPr>
                  <w:lastRenderedPageBreak/>
                  <w:t>金额</w:t>
                </w:r>
              </w:p>
            </w:tc>
          </w:sdtContent>
        </w:sdt>
        <w:tc>
          <w:tcPr>
            <w:tcW w:w="713" w:type="pct"/>
            <w:vMerge/>
            <w:shd w:val="clear" w:color="auto" w:fill="auto"/>
            <w:vAlign w:val="center"/>
          </w:tcPr>
          <w:p w14:paraId="02E6DE58" w14:textId="77777777" w:rsidR="002D0AE7" w:rsidRDefault="002D0AE7">
            <w:pPr>
              <w:widowControl w:val="0"/>
              <w:autoSpaceDE w:val="0"/>
              <w:autoSpaceDN w:val="0"/>
              <w:adjustRightInd w:val="0"/>
              <w:jc w:val="center"/>
              <w:rPr>
                <w:rFonts w:hint="eastAsia"/>
                <w:color w:val="000000" w:themeColor="text1"/>
                <w:sz w:val="21"/>
                <w:szCs w:val="21"/>
              </w:rPr>
            </w:pPr>
          </w:p>
        </w:tc>
      </w:tr>
      <w:tr w:rsidR="002D0AE7" w14:paraId="00DD94FE" w14:textId="77777777">
        <w:tc>
          <w:tcPr>
            <w:tcW w:w="519" w:type="pct"/>
            <w:shd w:val="clear" w:color="auto" w:fill="auto"/>
            <w:vAlign w:val="center"/>
          </w:tcPr>
          <w:p w14:paraId="2725234C" w14:textId="77777777" w:rsidR="002D0AE7" w:rsidRDefault="00333EBB">
            <w:pPr>
              <w:widowControl w:val="0"/>
              <w:autoSpaceDE w:val="0"/>
              <w:autoSpaceDN w:val="0"/>
              <w:adjustRightInd w:val="0"/>
              <w:jc w:val="center"/>
              <w:rPr>
                <w:rFonts w:ascii="Times New Roman" w:hAnsi="Times New Roman" w:cs="Times New Roman"/>
                <w:sz w:val="18"/>
                <w:szCs w:val="21"/>
              </w:rPr>
            </w:pPr>
            <w:r>
              <w:rPr>
                <w:rFonts w:ascii="Times New Roman" w:hAnsi="Times New Roman" w:cs="Times New Roman"/>
                <w:sz w:val="18"/>
                <w:szCs w:val="21"/>
              </w:rPr>
              <w:t>天津医药集团财务有限公司</w:t>
            </w:r>
          </w:p>
        </w:tc>
        <w:tc>
          <w:tcPr>
            <w:tcW w:w="455" w:type="pct"/>
            <w:shd w:val="clear" w:color="auto" w:fill="auto"/>
            <w:vAlign w:val="center"/>
          </w:tcPr>
          <w:p w14:paraId="56C7D906" w14:textId="77777777" w:rsidR="002D0AE7" w:rsidRDefault="00333EBB">
            <w:pPr>
              <w:widowControl w:val="0"/>
              <w:autoSpaceDE w:val="0"/>
              <w:autoSpaceDN w:val="0"/>
              <w:adjustRightInd w:val="0"/>
              <w:jc w:val="center"/>
              <w:rPr>
                <w:rFonts w:ascii="Times New Roman" w:hAnsi="Times New Roman" w:cs="Times New Roman"/>
                <w:sz w:val="18"/>
                <w:szCs w:val="21"/>
              </w:rPr>
            </w:pPr>
            <w:r>
              <w:rPr>
                <w:rFonts w:ascii="Times New Roman" w:hAnsi="Times New Roman" w:cs="Times New Roman"/>
                <w:sz w:val="18"/>
                <w:szCs w:val="21"/>
              </w:rPr>
              <w:t>受同一间接控股股东控制</w:t>
            </w:r>
          </w:p>
        </w:tc>
        <w:tc>
          <w:tcPr>
            <w:tcW w:w="650" w:type="pct"/>
            <w:shd w:val="clear" w:color="auto" w:fill="auto"/>
            <w:vAlign w:val="center"/>
          </w:tcPr>
          <w:p w14:paraId="4BDDA0C8" w14:textId="77777777" w:rsidR="002D0AE7" w:rsidRDefault="00333EBB">
            <w:pPr>
              <w:widowControl w:val="0"/>
              <w:autoSpaceDE w:val="0"/>
              <w:autoSpaceDN w:val="0"/>
              <w:adjustRightInd w:val="0"/>
              <w:jc w:val="right"/>
              <w:rPr>
                <w:rFonts w:ascii="Times New Roman" w:hAnsi="Times New Roman" w:cs="Times New Roman"/>
                <w:sz w:val="18"/>
                <w:szCs w:val="21"/>
              </w:rPr>
            </w:pPr>
            <w:r>
              <w:rPr>
                <w:rFonts w:ascii="Times New Roman" w:hAnsi="Times New Roman" w:cs="Times New Roman"/>
                <w:sz w:val="18"/>
                <w:szCs w:val="21"/>
              </w:rPr>
              <w:t>600,000,000.00</w:t>
            </w:r>
          </w:p>
        </w:tc>
        <w:tc>
          <w:tcPr>
            <w:tcW w:w="584" w:type="pct"/>
            <w:shd w:val="clear" w:color="auto" w:fill="auto"/>
            <w:vAlign w:val="center"/>
          </w:tcPr>
          <w:p w14:paraId="106DFE30" w14:textId="77777777" w:rsidR="002D0AE7" w:rsidRDefault="00333EBB">
            <w:pPr>
              <w:widowControl w:val="0"/>
              <w:autoSpaceDE w:val="0"/>
              <w:autoSpaceDN w:val="0"/>
              <w:adjustRightInd w:val="0"/>
              <w:jc w:val="right"/>
              <w:rPr>
                <w:rFonts w:ascii="Times New Roman" w:hAnsi="Times New Roman" w:cs="Times New Roman"/>
                <w:sz w:val="18"/>
                <w:szCs w:val="21"/>
              </w:rPr>
            </w:pPr>
            <w:r>
              <w:rPr>
                <w:rFonts w:ascii="Times New Roman" w:hAnsi="Times New Roman" w:cs="Times New Roman"/>
                <w:sz w:val="18"/>
                <w:szCs w:val="21"/>
              </w:rPr>
              <w:t>0.42%-2.10%</w:t>
            </w:r>
          </w:p>
        </w:tc>
        <w:tc>
          <w:tcPr>
            <w:tcW w:w="649" w:type="pct"/>
            <w:shd w:val="clear" w:color="auto" w:fill="auto"/>
            <w:vAlign w:val="center"/>
          </w:tcPr>
          <w:p w14:paraId="66BD2FA2" w14:textId="77777777" w:rsidR="002D0AE7" w:rsidRDefault="00333EBB">
            <w:pPr>
              <w:widowControl w:val="0"/>
              <w:autoSpaceDE w:val="0"/>
              <w:autoSpaceDN w:val="0"/>
              <w:adjustRightInd w:val="0"/>
              <w:jc w:val="right"/>
              <w:rPr>
                <w:rFonts w:ascii="Times New Roman" w:hAnsi="Times New Roman" w:cs="Times New Roman"/>
                <w:sz w:val="18"/>
                <w:szCs w:val="21"/>
              </w:rPr>
            </w:pPr>
            <w:r>
              <w:rPr>
                <w:rFonts w:ascii="Times New Roman" w:hAnsi="Times New Roman" w:cs="Times New Roman"/>
                <w:color w:val="000000"/>
                <w:sz w:val="18"/>
                <w:szCs w:val="21"/>
              </w:rPr>
              <w:t>590,449,401.38</w:t>
            </w:r>
          </w:p>
        </w:tc>
        <w:tc>
          <w:tcPr>
            <w:tcW w:w="715" w:type="pct"/>
            <w:shd w:val="clear" w:color="auto" w:fill="auto"/>
            <w:vAlign w:val="center"/>
          </w:tcPr>
          <w:p w14:paraId="02D93C89" w14:textId="77777777" w:rsidR="002D0AE7" w:rsidRDefault="00333EBB">
            <w:pPr>
              <w:widowControl w:val="0"/>
              <w:autoSpaceDE w:val="0"/>
              <w:autoSpaceDN w:val="0"/>
              <w:adjustRightInd w:val="0"/>
              <w:jc w:val="right"/>
              <w:rPr>
                <w:rFonts w:ascii="Times New Roman" w:hAnsi="Times New Roman" w:cs="Times New Roman"/>
                <w:sz w:val="18"/>
                <w:szCs w:val="21"/>
              </w:rPr>
            </w:pPr>
            <w:r>
              <w:rPr>
                <w:rFonts w:ascii="Times New Roman" w:hAnsi="Times New Roman" w:cs="Times New Roman"/>
                <w:sz w:val="18"/>
                <w:szCs w:val="21"/>
              </w:rPr>
              <w:t>6,535,287,838.67</w:t>
            </w:r>
          </w:p>
        </w:tc>
        <w:tc>
          <w:tcPr>
            <w:tcW w:w="714" w:type="pct"/>
            <w:vAlign w:val="center"/>
          </w:tcPr>
          <w:p w14:paraId="62F40FB6" w14:textId="77777777" w:rsidR="002D0AE7" w:rsidRDefault="00333EBB">
            <w:pPr>
              <w:widowControl w:val="0"/>
              <w:autoSpaceDE w:val="0"/>
              <w:autoSpaceDN w:val="0"/>
              <w:adjustRightInd w:val="0"/>
              <w:jc w:val="right"/>
              <w:rPr>
                <w:rFonts w:ascii="Times New Roman" w:hAnsi="Times New Roman" w:cs="Times New Roman"/>
                <w:sz w:val="18"/>
                <w:szCs w:val="21"/>
              </w:rPr>
            </w:pPr>
            <w:r>
              <w:rPr>
                <w:rFonts w:ascii="Times New Roman" w:hAnsi="Times New Roman" w:cs="Times New Roman"/>
                <w:sz w:val="18"/>
                <w:szCs w:val="21"/>
              </w:rPr>
              <w:t>6,682,997,843.43</w:t>
            </w:r>
          </w:p>
        </w:tc>
        <w:tc>
          <w:tcPr>
            <w:tcW w:w="713" w:type="pct"/>
            <w:shd w:val="clear" w:color="auto" w:fill="auto"/>
            <w:vAlign w:val="center"/>
          </w:tcPr>
          <w:p w14:paraId="480B9EF2" w14:textId="77777777" w:rsidR="002D0AE7" w:rsidRDefault="00333EBB">
            <w:pPr>
              <w:widowControl w:val="0"/>
              <w:autoSpaceDE w:val="0"/>
              <w:autoSpaceDN w:val="0"/>
              <w:adjustRightInd w:val="0"/>
              <w:jc w:val="right"/>
              <w:rPr>
                <w:rFonts w:ascii="Times New Roman" w:hAnsi="Times New Roman" w:cs="Times New Roman"/>
                <w:sz w:val="18"/>
                <w:szCs w:val="21"/>
              </w:rPr>
            </w:pPr>
            <w:r>
              <w:rPr>
                <w:rFonts w:ascii="Times New Roman" w:hAnsi="Times New Roman" w:cs="Times New Roman"/>
                <w:color w:val="000000"/>
                <w:sz w:val="18"/>
                <w:szCs w:val="21"/>
              </w:rPr>
              <w:t>442,739,396.62</w:t>
            </w:r>
          </w:p>
        </w:tc>
      </w:tr>
      <w:tr w:rsidR="002D0AE7" w14:paraId="5A6DCF0A" w14:textId="77777777">
        <w:tc>
          <w:tcPr>
            <w:tcW w:w="519" w:type="pct"/>
            <w:shd w:val="clear" w:color="auto" w:fill="auto"/>
            <w:vAlign w:val="center"/>
          </w:tcPr>
          <w:p w14:paraId="4FA9770A" w14:textId="77777777" w:rsidR="002D0AE7" w:rsidRDefault="00333EBB">
            <w:pPr>
              <w:widowControl w:val="0"/>
              <w:autoSpaceDE w:val="0"/>
              <w:autoSpaceDN w:val="0"/>
              <w:adjustRightInd w:val="0"/>
              <w:jc w:val="center"/>
              <w:rPr>
                <w:rFonts w:ascii="Times New Roman" w:hAnsi="Times New Roman" w:cs="Times New Roman"/>
                <w:color w:val="000000" w:themeColor="text1"/>
                <w:sz w:val="18"/>
                <w:szCs w:val="21"/>
              </w:rPr>
            </w:pPr>
            <w:r>
              <w:rPr>
                <w:rFonts w:ascii="Times New Roman" w:hAnsi="Times New Roman" w:cs="Times New Roman"/>
                <w:color w:val="000000" w:themeColor="text1"/>
                <w:sz w:val="18"/>
                <w:szCs w:val="21"/>
              </w:rPr>
              <w:t>合计</w:t>
            </w:r>
          </w:p>
        </w:tc>
        <w:tc>
          <w:tcPr>
            <w:tcW w:w="455" w:type="pct"/>
            <w:shd w:val="clear" w:color="auto" w:fill="auto"/>
            <w:vAlign w:val="center"/>
          </w:tcPr>
          <w:p w14:paraId="33489F44" w14:textId="77777777" w:rsidR="002D0AE7" w:rsidRDefault="00333EBB">
            <w:pPr>
              <w:widowControl w:val="0"/>
              <w:autoSpaceDE w:val="0"/>
              <w:autoSpaceDN w:val="0"/>
              <w:adjustRightInd w:val="0"/>
              <w:jc w:val="center"/>
              <w:rPr>
                <w:rFonts w:ascii="Times New Roman" w:hAnsi="Times New Roman" w:cs="Times New Roman"/>
                <w:color w:val="000000" w:themeColor="text1"/>
                <w:sz w:val="18"/>
                <w:szCs w:val="21"/>
              </w:rPr>
            </w:pPr>
            <w:r>
              <w:rPr>
                <w:rFonts w:ascii="Times New Roman" w:hAnsi="Times New Roman" w:cs="Times New Roman"/>
                <w:color w:val="000000" w:themeColor="text1"/>
                <w:sz w:val="18"/>
                <w:szCs w:val="21"/>
              </w:rPr>
              <w:t>/</w:t>
            </w:r>
          </w:p>
        </w:tc>
        <w:tc>
          <w:tcPr>
            <w:tcW w:w="650" w:type="pct"/>
            <w:shd w:val="clear" w:color="auto" w:fill="auto"/>
            <w:vAlign w:val="center"/>
          </w:tcPr>
          <w:p w14:paraId="0412B079" w14:textId="77777777" w:rsidR="002D0AE7" w:rsidRDefault="00333EBB">
            <w:pPr>
              <w:widowControl w:val="0"/>
              <w:autoSpaceDE w:val="0"/>
              <w:autoSpaceDN w:val="0"/>
              <w:adjustRightInd w:val="0"/>
              <w:jc w:val="right"/>
              <w:rPr>
                <w:rFonts w:ascii="Times New Roman" w:hAnsi="Times New Roman" w:cs="Times New Roman"/>
                <w:color w:val="000000" w:themeColor="text1"/>
                <w:sz w:val="18"/>
                <w:szCs w:val="21"/>
              </w:rPr>
            </w:pPr>
            <w:r>
              <w:rPr>
                <w:rFonts w:ascii="Times New Roman" w:hAnsi="Times New Roman" w:cs="Times New Roman"/>
                <w:color w:val="000000" w:themeColor="text1"/>
                <w:sz w:val="18"/>
                <w:szCs w:val="21"/>
              </w:rPr>
              <w:t>/</w:t>
            </w:r>
          </w:p>
        </w:tc>
        <w:tc>
          <w:tcPr>
            <w:tcW w:w="584" w:type="pct"/>
            <w:shd w:val="clear" w:color="auto" w:fill="auto"/>
            <w:vAlign w:val="center"/>
          </w:tcPr>
          <w:p w14:paraId="5C08D158" w14:textId="77777777" w:rsidR="002D0AE7" w:rsidRDefault="00333EBB">
            <w:pPr>
              <w:widowControl w:val="0"/>
              <w:autoSpaceDE w:val="0"/>
              <w:autoSpaceDN w:val="0"/>
              <w:adjustRightInd w:val="0"/>
              <w:jc w:val="right"/>
              <w:rPr>
                <w:rFonts w:ascii="Times New Roman" w:hAnsi="Times New Roman" w:cs="Times New Roman"/>
                <w:color w:val="000000" w:themeColor="text1"/>
                <w:sz w:val="18"/>
                <w:szCs w:val="21"/>
              </w:rPr>
            </w:pPr>
            <w:r>
              <w:rPr>
                <w:rFonts w:ascii="Times New Roman" w:hAnsi="Times New Roman" w:cs="Times New Roman"/>
                <w:color w:val="000000" w:themeColor="text1"/>
                <w:sz w:val="18"/>
                <w:szCs w:val="21"/>
              </w:rPr>
              <w:t>/</w:t>
            </w:r>
          </w:p>
        </w:tc>
        <w:tc>
          <w:tcPr>
            <w:tcW w:w="649" w:type="pct"/>
            <w:shd w:val="clear" w:color="auto" w:fill="auto"/>
            <w:vAlign w:val="center"/>
          </w:tcPr>
          <w:p w14:paraId="5954106F" w14:textId="77777777" w:rsidR="002D0AE7" w:rsidRDefault="00333EBB">
            <w:pPr>
              <w:widowControl w:val="0"/>
              <w:autoSpaceDE w:val="0"/>
              <w:autoSpaceDN w:val="0"/>
              <w:adjustRightInd w:val="0"/>
              <w:jc w:val="right"/>
              <w:rPr>
                <w:rFonts w:ascii="Times New Roman" w:hAnsi="Times New Roman" w:cs="Times New Roman"/>
                <w:sz w:val="18"/>
                <w:szCs w:val="21"/>
              </w:rPr>
            </w:pPr>
            <w:r>
              <w:rPr>
                <w:rFonts w:ascii="Times New Roman" w:hAnsi="Times New Roman" w:cs="Times New Roman"/>
                <w:color w:val="000000"/>
                <w:sz w:val="18"/>
                <w:szCs w:val="21"/>
              </w:rPr>
              <w:t>590,449,401.38</w:t>
            </w:r>
          </w:p>
        </w:tc>
        <w:tc>
          <w:tcPr>
            <w:tcW w:w="715" w:type="pct"/>
            <w:shd w:val="clear" w:color="auto" w:fill="auto"/>
            <w:vAlign w:val="center"/>
          </w:tcPr>
          <w:p w14:paraId="090748A5" w14:textId="77777777" w:rsidR="002D0AE7" w:rsidRDefault="00333EBB">
            <w:pPr>
              <w:widowControl w:val="0"/>
              <w:autoSpaceDE w:val="0"/>
              <w:autoSpaceDN w:val="0"/>
              <w:adjustRightInd w:val="0"/>
              <w:jc w:val="right"/>
              <w:rPr>
                <w:rFonts w:ascii="Times New Roman" w:hAnsi="Times New Roman" w:cs="Times New Roman"/>
                <w:sz w:val="18"/>
                <w:szCs w:val="21"/>
              </w:rPr>
            </w:pPr>
            <w:r>
              <w:rPr>
                <w:rFonts w:ascii="Times New Roman" w:hAnsi="Times New Roman" w:cs="Times New Roman"/>
                <w:sz w:val="18"/>
                <w:szCs w:val="21"/>
              </w:rPr>
              <w:t>6,535,287,838.67</w:t>
            </w:r>
          </w:p>
        </w:tc>
        <w:tc>
          <w:tcPr>
            <w:tcW w:w="714" w:type="pct"/>
            <w:vAlign w:val="center"/>
          </w:tcPr>
          <w:p w14:paraId="777A9F01" w14:textId="77777777" w:rsidR="002D0AE7" w:rsidRDefault="00333EBB">
            <w:pPr>
              <w:widowControl w:val="0"/>
              <w:autoSpaceDE w:val="0"/>
              <w:autoSpaceDN w:val="0"/>
              <w:adjustRightInd w:val="0"/>
              <w:jc w:val="right"/>
              <w:rPr>
                <w:rFonts w:ascii="Times New Roman" w:hAnsi="Times New Roman" w:cs="Times New Roman"/>
                <w:sz w:val="18"/>
                <w:szCs w:val="21"/>
              </w:rPr>
            </w:pPr>
            <w:r>
              <w:rPr>
                <w:rFonts w:ascii="Times New Roman" w:hAnsi="Times New Roman" w:cs="Times New Roman"/>
                <w:sz w:val="18"/>
                <w:szCs w:val="21"/>
              </w:rPr>
              <w:t>6,682,997,843.43</w:t>
            </w:r>
          </w:p>
        </w:tc>
        <w:tc>
          <w:tcPr>
            <w:tcW w:w="713" w:type="pct"/>
            <w:shd w:val="clear" w:color="auto" w:fill="auto"/>
            <w:vAlign w:val="center"/>
          </w:tcPr>
          <w:p w14:paraId="3632EAFD" w14:textId="77777777" w:rsidR="002D0AE7" w:rsidRDefault="00333EBB">
            <w:pPr>
              <w:widowControl w:val="0"/>
              <w:autoSpaceDE w:val="0"/>
              <w:autoSpaceDN w:val="0"/>
              <w:adjustRightInd w:val="0"/>
              <w:jc w:val="right"/>
              <w:rPr>
                <w:rFonts w:ascii="Times New Roman" w:hAnsi="Times New Roman" w:cs="Times New Roman"/>
                <w:sz w:val="18"/>
                <w:szCs w:val="21"/>
              </w:rPr>
            </w:pPr>
            <w:r>
              <w:rPr>
                <w:rFonts w:ascii="Times New Roman" w:hAnsi="Times New Roman" w:cs="Times New Roman"/>
                <w:color w:val="000000"/>
                <w:sz w:val="18"/>
                <w:szCs w:val="21"/>
              </w:rPr>
              <w:t>442,739,396.62</w:t>
            </w:r>
          </w:p>
        </w:tc>
      </w:tr>
    </w:tbl>
    <w:p w14:paraId="41AC9863" w14:textId="77777777" w:rsidR="002D0AE7" w:rsidRDefault="00333EBB">
      <w:pPr>
        <w:pStyle w:val="4"/>
        <w:numPr>
          <w:ilvl w:val="0"/>
          <w:numId w:val="24"/>
        </w:numPr>
        <w:rPr>
          <w:rFonts w:ascii="宋体" w:hAnsi="宋体" w:hint="eastAsia"/>
          <w:color w:val="000000" w:themeColor="text1"/>
        </w:rPr>
      </w:pPr>
      <w:bookmarkStart w:id="66" w:name="_Hlk106875255"/>
      <w:bookmarkEnd w:id="65"/>
      <w:r>
        <w:rPr>
          <w:rFonts w:ascii="宋体" w:hAnsi="宋体" w:hint="eastAsia"/>
          <w:color w:val="000000" w:themeColor="text1"/>
        </w:rPr>
        <w:t>贷款业务</w:t>
      </w:r>
    </w:p>
    <w:sdt>
      <w:sdtPr>
        <w:rPr>
          <w:color w:val="000000" w:themeColor="text1"/>
        </w:rPr>
        <w:alias w:val="是否适用：贷款业务[双击切换]"/>
        <w:tag w:val="_GBC_15b9ec2cfd26471eb84f966164f4e1fa"/>
        <w:id w:val="1551724681"/>
        <w:placeholder>
          <w:docPart w:val="GBC22222222222222222222222222222"/>
        </w:placeholder>
      </w:sdtPr>
      <w:sdtEndPr/>
      <w:sdtContent>
        <w:p w14:paraId="155EDB12"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7306F17E"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贷款业务情况"/>
          <w:tag w:val="_GBC_00ad76cd7031486d9c7b9a4a4ddf886c"/>
          <w:id w:val="-1976986565"/>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贷款业务情况"/>
          <w:tag w:val="_GBC_2346ac86af354eb19e43f4e9b28e4376"/>
          <w:id w:val="-12169535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6186"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701"/>
        <w:gridCol w:w="1559"/>
        <w:gridCol w:w="710"/>
        <w:gridCol w:w="851"/>
        <w:gridCol w:w="1419"/>
        <w:gridCol w:w="1135"/>
        <w:gridCol w:w="1557"/>
      </w:tblGrid>
      <w:tr w:rsidR="002D0AE7" w14:paraId="1F97E5E0" w14:textId="77777777">
        <w:bookmarkEnd w:id="66" w:displacedByCustomXml="next"/>
        <w:bookmarkStart w:id="67" w:name="_Hlk41316014" w:displacedByCustomXml="next"/>
        <w:sdt>
          <w:sdtPr>
            <w:rPr>
              <w:rFonts w:hint="eastAsia"/>
              <w:color w:val="000000" w:themeColor="text1"/>
            </w:rPr>
            <w:tag w:val="_PLD_7ccdec2bb6f94443b7713c1c56ae19fd"/>
            <w:id w:val="-1734618059"/>
          </w:sdtPr>
          <w:sdtEndPr/>
          <w:sdtContent>
            <w:tc>
              <w:tcPr>
                <w:tcW w:w="909" w:type="pct"/>
                <w:vMerge w:val="restart"/>
                <w:shd w:val="clear" w:color="auto" w:fill="auto"/>
                <w:vAlign w:val="center"/>
              </w:tcPr>
              <w:p w14:paraId="6C6B5233" w14:textId="77777777" w:rsidR="002D0AE7" w:rsidRDefault="00333EBB">
                <w:pPr>
                  <w:autoSpaceDE w:val="0"/>
                  <w:autoSpaceDN w:val="0"/>
                  <w:adjustRightInd w:val="0"/>
                  <w:jc w:val="center"/>
                  <w:rPr>
                    <w:rFonts w:hint="eastAsia"/>
                    <w:color w:val="000000" w:themeColor="text1"/>
                  </w:rPr>
                </w:pPr>
                <w:r>
                  <w:rPr>
                    <w:rFonts w:hint="eastAsia"/>
                    <w:color w:val="000000" w:themeColor="text1"/>
                  </w:rPr>
                  <w:t>关联方</w:t>
                </w:r>
              </w:p>
            </w:tc>
          </w:sdtContent>
        </w:sdt>
        <w:sdt>
          <w:sdtPr>
            <w:rPr>
              <w:rFonts w:hint="eastAsia"/>
              <w:color w:val="000000" w:themeColor="text1"/>
            </w:rPr>
            <w:tag w:val="_PLD_34800de0a23746a9808d2abc3c4b5f1c"/>
            <w:id w:val="1344200786"/>
          </w:sdtPr>
          <w:sdtEndPr/>
          <w:sdtContent>
            <w:tc>
              <w:tcPr>
                <w:tcW w:w="779" w:type="pct"/>
                <w:vMerge w:val="restart"/>
                <w:shd w:val="clear" w:color="auto" w:fill="auto"/>
                <w:vAlign w:val="center"/>
              </w:tcPr>
              <w:p w14:paraId="6C3D703A" w14:textId="77777777" w:rsidR="002D0AE7" w:rsidRDefault="00333EBB">
                <w:pPr>
                  <w:autoSpaceDE w:val="0"/>
                  <w:autoSpaceDN w:val="0"/>
                  <w:adjustRightInd w:val="0"/>
                  <w:jc w:val="center"/>
                  <w:rPr>
                    <w:rFonts w:hint="eastAsia"/>
                    <w:color w:val="000000" w:themeColor="text1"/>
                  </w:rPr>
                </w:pPr>
                <w:r>
                  <w:rPr>
                    <w:rFonts w:hint="eastAsia"/>
                    <w:color w:val="000000" w:themeColor="text1"/>
                  </w:rPr>
                  <w:t>关联关系</w:t>
                </w:r>
              </w:p>
            </w:tc>
          </w:sdtContent>
        </w:sdt>
        <w:sdt>
          <w:sdtPr>
            <w:rPr>
              <w:color w:val="000000" w:themeColor="text1"/>
            </w:rPr>
            <w:tag w:val="_PLD_dfb92dc18b4943a2b8e0637ac8e976a9"/>
            <w:id w:val="43492910"/>
          </w:sdtPr>
          <w:sdtEndPr/>
          <w:sdtContent>
            <w:tc>
              <w:tcPr>
                <w:tcW w:w="714" w:type="pct"/>
                <w:vMerge w:val="restart"/>
                <w:shd w:val="clear" w:color="auto" w:fill="auto"/>
                <w:vAlign w:val="center"/>
              </w:tcPr>
              <w:p w14:paraId="0C074B19" w14:textId="77777777" w:rsidR="002D0AE7" w:rsidRDefault="00333EBB">
                <w:pPr>
                  <w:autoSpaceDE w:val="0"/>
                  <w:autoSpaceDN w:val="0"/>
                  <w:adjustRightInd w:val="0"/>
                  <w:jc w:val="center"/>
                  <w:rPr>
                    <w:rFonts w:hint="eastAsia"/>
                    <w:color w:val="000000" w:themeColor="text1"/>
                  </w:rPr>
                </w:pPr>
                <w:r>
                  <w:rPr>
                    <w:color w:val="000000" w:themeColor="text1"/>
                  </w:rPr>
                  <w:t>贷款额度</w:t>
                </w:r>
              </w:p>
            </w:tc>
          </w:sdtContent>
        </w:sdt>
        <w:sdt>
          <w:sdtPr>
            <w:rPr>
              <w:color w:val="000000" w:themeColor="text1"/>
            </w:rPr>
            <w:tag w:val="_PLD_37830bab3f184d6f885fa2d04676b78a"/>
            <w:id w:val="-1890099407"/>
          </w:sdtPr>
          <w:sdtEndPr/>
          <w:sdtContent>
            <w:tc>
              <w:tcPr>
                <w:tcW w:w="325" w:type="pct"/>
                <w:vMerge w:val="restart"/>
                <w:shd w:val="clear" w:color="auto" w:fill="auto"/>
                <w:vAlign w:val="center"/>
              </w:tcPr>
              <w:p w14:paraId="0ED8B276" w14:textId="77777777" w:rsidR="002D0AE7" w:rsidRDefault="00333EBB">
                <w:pPr>
                  <w:autoSpaceDE w:val="0"/>
                  <w:autoSpaceDN w:val="0"/>
                  <w:adjustRightInd w:val="0"/>
                  <w:jc w:val="center"/>
                  <w:rPr>
                    <w:rFonts w:hint="eastAsia"/>
                    <w:color w:val="000000" w:themeColor="text1"/>
                  </w:rPr>
                </w:pPr>
                <w:r>
                  <w:rPr>
                    <w:color w:val="000000" w:themeColor="text1"/>
                  </w:rPr>
                  <w:t>贷款利率范围</w:t>
                </w:r>
              </w:p>
            </w:tc>
          </w:sdtContent>
        </w:sdt>
        <w:sdt>
          <w:sdtPr>
            <w:rPr>
              <w:color w:val="000000" w:themeColor="text1"/>
            </w:rPr>
            <w:tag w:val="_PLD_5cad7812dfed4700b1fd6b6b0d481d68"/>
            <w:id w:val="973493323"/>
          </w:sdtPr>
          <w:sdtEndPr/>
          <w:sdtContent>
            <w:tc>
              <w:tcPr>
                <w:tcW w:w="390" w:type="pct"/>
                <w:vMerge w:val="restart"/>
                <w:shd w:val="clear" w:color="auto" w:fill="auto"/>
                <w:vAlign w:val="center"/>
              </w:tcPr>
              <w:p w14:paraId="2A430B12" w14:textId="77777777" w:rsidR="002D0AE7" w:rsidRDefault="00333EBB">
                <w:pPr>
                  <w:autoSpaceDE w:val="0"/>
                  <w:autoSpaceDN w:val="0"/>
                  <w:adjustRightInd w:val="0"/>
                  <w:jc w:val="center"/>
                  <w:rPr>
                    <w:rFonts w:hint="eastAsia"/>
                    <w:color w:val="000000" w:themeColor="text1"/>
                  </w:rPr>
                </w:pPr>
                <w:r>
                  <w:rPr>
                    <w:color w:val="000000" w:themeColor="text1"/>
                  </w:rPr>
                  <w:t>期初余额</w:t>
                </w:r>
              </w:p>
            </w:tc>
          </w:sdtContent>
        </w:sdt>
        <w:sdt>
          <w:sdtPr>
            <w:rPr>
              <w:color w:val="000000" w:themeColor="text1"/>
            </w:rPr>
            <w:tag w:val="_PLD_cd7f045054244bbf9758d1f15eae221c"/>
            <w:id w:val="152728668"/>
          </w:sdtPr>
          <w:sdtEndPr/>
          <w:sdtContent>
            <w:tc>
              <w:tcPr>
                <w:tcW w:w="1170" w:type="pct"/>
                <w:gridSpan w:val="2"/>
                <w:shd w:val="clear" w:color="auto" w:fill="auto"/>
                <w:vAlign w:val="center"/>
              </w:tcPr>
              <w:p w14:paraId="690C7FD6" w14:textId="77777777" w:rsidR="002D0AE7" w:rsidRDefault="00333EBB">
                <w:pPr>
                  <w:autoSpaceDE w:val="0"/>
                  <w:autoSpaceDN w:val="0"/>
                  <w:adjustRightInd w:val="0"/>
                  <w:jc w:val="center"/>
                  <w:rPr>
                    <w:rFonts w:hint="eastAsia"/>
                    <w:color w:val="000000" w:themeColor="text1"/>
                  </w:rPr>
                </w:pPr>
                <w:r>
                  <w:rPr>
                    <w:color w:val="000000" w:themeColor="text1"/>
                  </w:rPr>
                  <w:t>本期发生额</w:t>
                </w:r>
              </w:p>
            </w:tc>
          </w:sdtContent>
        </w:sdt>
        <w:sdt>
          <w:sdtPr>
            <w:rPr>
              <w:color w:val="000000" w:themeColor="text1"/>
            </w:rPr>
            <w:tag w:val="_PLD_5057306024d64be48c625625af4ed37b"/>
            <w:id w:val="1037238130"/>
          </w:sdtPr>
          <w:sdtEndPr/>
          <w:sdtContent>
            <w:tc>
              <w:tcPr>
                <w:tcW w:w="713" w:type="pct"/>
                <w:vMerge w:val="restart"/>
                <w:shd w:val="clear" w:color="auto" w:fill="auto"/>
                <w:vAlign w:val="center"/>
              </w:tcPr>
              <w:p w14:paraId="1F912DD4" w14:textId="77777777" w:rsidR="002D0AE7" w:rsidRDefault="00333EBB">
                <w:pPr>
                  <w:autoSpaceDE w:val="0"/>
                  <w:autoSpaceDN w:val="0"/>
                  <w:adjustRightInd w:val="0"/>
                  <w:jc w:val="center"/>
                  <w:rPr>
                    <w:rFonts w:hint="eastAsia"/>
                    <w:color w:val="000000" w:themeColor="text1"/>
                  </w:rPr>
                </w:pPr>
                <w:r>
                  <w:rPr>
                    <w:color w:val="000000" w:themeColor="text1"/>
                  </w:rPr>
                  <w:t>期末余额</w:t>
                </w:r>
              </w:p>
            </w:tc>
          </w:sdtContent>
        </w:sdt>
      </w:tr>
      <w:tr w:rsidR="002D0AE7" w14:paraId="0615B097" w14:textId="77777777">
        <w:tc>
          <w:tcPr>
            <w:tcW w:w="909" w:type="pct"/>
            <w:vMerge/>
            <w:shd w:val="clear" w:color="auto" w:fill="auto"/>
            <w:vAlign w:val="center"/>
          </w:tcPr>
          <w:p w14:paraId="215A7D45" w14:textId="77777777" w:rsidR="002D0AE7" w:rsidRDefault="002D0AE7">
            <w:pPr>
              <w:autoSpaceDE w:val="0"/>
              <w:autoSpaceDN w:val="0"/>
              <w:adjustRightInd w:val="0"/>
              <w:jc w:val="center"/>
              <w:rPr>
                <w:rFonts w:hint="eastAsia"/>
                <w:color w:val="000000" w:themeColor="text1"/>
              </w:rPr>
            </w:pPr>
          </w:p>
        </w:tc>
        <w:tc>
          <w:tcPr>
            <w:tcW w:w="779" w:type="pct"/>
            <w:vMerge/>
            <w:shd w:val="clear" w:color="auto" w:fill="auto"/>
            <w:vAlign w:val="center"/>
          </w:tcPr>
          <w:p w14:paraId="27849111" w14:textId="77777777" w:rsidR="002D0AE7" w:rsidRDefault="002D0AE7">
            <w:pPr>
              <w:autoSpaceDE w:val="0"/>
              <w:autoSpaceDN w:val="0"/>
              <w:adjustRightInd w:val="0"/>
              <w:jc w:val="center"/>
              <w:rPr>
                <w:rFonts w:hint="eastAsia"/>
                <w:color w:val="000000" w:themeColor="text1"/>
              </w:rPr>
            </w:pPr>
          </w:p>
        </w:tc>
        <w:tc>
          <w:tcPr>
            <w:tcW w:w="714" w:type="pct"/>
            <w:vMerge/>
            <w:shd w:val="clear" w:color="auto" w:fill="auto"/>
            <w:vAlign w:val="center"/>
          </w:tcPr>
          <w:p w14:paraId="23BDFA37" w14:textId="77777777" w:rsidR="002D0AE7" w:rsidRDefault="002D0AE7">
            <w:pPr>
              <w:autoSpaceDE w:val="0"/>
              <w:autoSpaceDN w:val="0"/>
              <w:adjustRightInd w:val="0"/>
              <w:jc w:val="center"/>
              <w:rPr>
                <w:rFonts w:hint="eastAsia"/>
                <w:color w:val="000000" w:themeColor="text1"/>
              </w:rPr>
            </w:pPr>
          </w:p>
        </w:tc>
        <w:tc>
          <w:tcPr>
            <w:tcW w:w="325" w:type="pct"/>
            <w:vMerge/>
            <w:shd w:val="clear" w:color="auto" w:fill="auto"/>
            <w:vAlign w:val="center"/>
          </w:tcPr>
          <w:p w14:paraId="4A34DCEE" w14:textId="77777777" w:rsidR="002D0AE7" w:rsidRDefault="002D0AE7">
            <w:pPr>
              <w:autoSpaceDE w:val="0"/>
              <w:autoSpaceDN w:val="0"/>
              <w:adjustRightInd w:val="0"/>
              <w:jc w:val="center"/>
              <w:rPr>
                <w:rFonts w:hint="eastAsia"/>
                <w:color w:val="000000" w:themeColor="text1"/>
              </w:rPr>
            </w:pPr>
          </w:p>
        </w:tc>
        <w:tc>
          <w:tcPr>
            <w:tcW w:w="390" w:type="pct"/>
            <w:vMerge/>
            <w:shd w:val="clear" w:color="auto" w:fill="auto"/>
            <w:vAlign w:val="center"/>
          </w:tcPr>
          <w:p w14:paraId="690C8534" w14:textId="77777777" w:rsidR="002D0AE7" w:rsidRDefault="002D0AE7">
            <w:pPr>
              <w:autoSpaceDE w:val="0"/>
              <w:autoSpaceDN w:val="0"/>
              <w:adjustRightInd w:val="0"/>
              <w:jc w:val="center"/>
              <w:rPr>
                <w:rFonts w:hint="eastAsia"/>
                <w:color w:val="000000" w:themeColor="text1"/>
              </w:rPr>
            </w:pPr>
          </w:p>
        </w:tc>
        <w:sdt>
          <w:sdtPr>
            <w:rPr>
              <w:rFonts w:hint="eastAsia"/>
              <w:color w:val="000000" w:themeColor="text1"/>
            </w:rPr>
            <w:tag w:val="_PLD_5e696e51a65f4c20a7cd76e58adf2d7e"/>
            <w:id w:val="686873423"/>
          </w:sdtPr>
          <w:sdtEndPr/>
          <w:sdtContent>
            <w:tc>
              <w:tcPr>
                <w:tcW w:w="650" w:type="pct"/>
                <w:shd w:val="clear" w:color="auto" w:fill="auto"/>
                <w:vAlign w:val="center"/>
              </w:tcPr>
              <w:p w14:paraId="205F0791" w14:textId="77777777" w:rsidR="002D0AE7" w:rsidRDefault="00333EBB">
                <w:pPr>
                  <w:autoSpaceDE w:val="0"/>
                  <w:autoSpaceDN w:val="0"/>
                  <w:adjustRightInd w:val="0"/>
                  <w:jc w:val="center"/>
                  <w:rPr>
                    <w:rFonts w:hint="eastAsia"/>
                    <w:color w:val="000000" w:themeColor="text1"/>
                  </w:rPr>
                </w:pPr>
                <w:r>
                  <w:rPr>
                    <w:rFonts w:hint="eastAsia"/>
                    <w:color w:val="000000" w:themeColor="text1"/>
                  </w:rPr>
                  <w:t>本期合计贷款金额</w:t>
                </w:r>
              </w:p>
            </w:tc>
          </w:sdtContent>
        </w:sdt>
        <w:sdt>
          <w:sdtPr>
            <w:rPr>
              <w:rFonts w:hint="eastAsia"/>
              <w:color w:val="000000" w:themeColor="text1"/>
            </w:rPr>
            <w:tag w:val="_PLD_1e91155a2791417ba8957ae6050af745"/>
            <w:id w:val="-696617744"/>
          </w:sdtPr>
          <w:sdtEndPr/>
          <w:sdtContent>
            <w:tc>
              <w:tcPr>
                <w:tcW w:w="520" w:type="pct"/>
              </w:tcPr>
              <w:p w14:paraId="78B1F9D3" w14:textId="77777777" w:rsidR="002D0AE7" w:rsidRDefault="00333EBB">
                <w:pPr>
                  <w:autoSpaceDE w:val="0"/>
                  <w:autoSpaceDN w:val="0"/>
                  <w:adjustRightInd w:val="0"/>
                  <w:jc w:val="center"/>
                  <w:rPr>
                    <w:rFonts w:hint="eastAsia"/>
                    <w:color w:val="000000" w:themeColor="text1"/>
                  </w:rPr>
                </w:pPr>
                <w:r>
                  <w:rPr>
                    <w:rFonts w:hint="eastAsia"/>
                    <w:color w:val="000000" w:themeColor="text1"/>
                  </w:rPr>
                  <w:t>本期合计还款金额</w:t>
                </w:r>
              </w:p>
            </w:tc>
          </w:sdtContent>
        </w:sdt>
        <w:tc>
          <w:tcPr>
            <w:tcW w:w="713" w:type="pct"/>
            <w:vMerge/>
            <w:shd w:val="clear" w:color="auto" w:fill="auto"/>
            <w:vAlign w:val="center"/>
          </w:tcPr>
          <w:p w14:paraId="5EC9FDAD" w14:textId="77777777" w:rsidR="002D0AE7" w:rsidRDefault="002D0AE7">
            <w:pPr>
              <w:autoSpaceDE w:val="0"/>
              <w:autoSpaceDN w:val="0"/>
              <w:adjustRightInd w:val="0"/>
              <w:jc w:val="center"/>
              <w:rPr>
                <w:rFonts w:hint="eastAsia"/>
                <w:color w:val="000000" w:themeColor="text1"/>
              </w:rPr>
            </w:pPr>
          </w:p>
        </w:tc>
      </w:tr>
      <w:tr w:rsidR="002D0AE7" w14:paraId="2AC23D9E" w14:textId="77777777">
        <w:tc>
          <w:tcPr>
            <w:tcW w:w="909" w:type="pct"/>
            <w:shd w:val="clear" w:color="auto" w:fill="auto"/>
            <w:vAlign w:val="center"/>
          </w:tcPr>
          <w:p w14:paraId="09244310" w14:textId="77777777" w:rsidR="002D0AE7" w:rsidRDefault="00333EBB">
            <w:pPr>
              <w:autoSpaceDE w:val="0"/>
              <w:autoSpaceDN w:val="0"/>
              <w:adjustRightInd w:val="0"/>
              <w:jc w:val="center"/>
              <w:rPr>
                <w:rFonts w:hint="eastAsia"/>
                <w:sz w:val="21"/>
              </w:rPr>
            </w:pPr>
            <w:r>
              <w:rPr>
                <w:sz w:val="21"/>
              </w:rPr>
              <w:t>天津医药集团财务有限公司</w:t>
            </w:r>
          </w:p>
        </w:tc>
        <w:tc>
          <w:tcPr>
            <w:tcW w:w="779" w:type="pct"/>
            <w:shd w:val="clear" w:color="auto" w:fill="auto"/>
            <w:vAlign w:val="center"/>
          </w:tcPr>
          <w:p w14:paraId="4F2D64C0" w14:textId="77777777" w:rsidR="002D0AE7" w:rsidRDefault="00333EBB">
            <w:pPr>
              <w:autoSpaceDE w:val="0"/>
              <w:autoSpaceDN w:val="0"/>
              <w:adjustRightInd w:val="0"/>
              <w:jc w:val="center"/>
              <w:rPr>
                <w:rFonts w:hint="eastAsia"/>
                <w:sz w:val="21"/>
              </w:rPr>
            </w:pPr>
            <w:r>
              <w:rPr>
                <w:sz w:val="21"/>
              </w:rPr>
              <w:t>受同一间接控股股东控制</w:t>
            </w:r>
          </w:p>
        </w:tc>
        <w:tc>
          <w:tcPr>
            <w:tcW w:w="714" w:type="pct"/>
            <w:shd w:val="clear" w:color="auto" w:fill="auto"/>
            <w:vAlign w:val="center"/>
          </w:tcPr>
          <w:p w14:paraId="1B7EEC79" w14:textId="77777777" w:rsidR="002D0AE7" w:rsidRDefault="00333EBB">
            <w:pPr>
              <w:autoSpaceDE w:val="0"/>
              <w:autoSpaceDN w:val="0"/>
              <w:adjustRightInd w:val="0"/>
              <w:jc w:val="right"/>
              <w:rPr>
                <w:rFonts w:ascii="Times New Roman" w:hAnsi="Times New Roman" w:cs="Times New Roman"/>
                <w:sz w:val="21"/>
              </w:rPr>
            </w:pPr>
            <w:r>
              <w:rPr>
                <w:rFonts w:ascii="Times New Roman" w:hAnsi="Times New Roman" w:cs="Times New Roman"/>
                <w:sz w:val="21"/>
              </w:rPr>
              <w:t>600,000,000.00</w:t>
            </w:r>
          </w:p>
        </w:tc>
        <w:tc>
          <w:tcPr>
            <w:tcW w:w="325" w:type="pct"/>
            <w:shd w:val="clear" w:color="auto" w:fill="auto"/>
            <w:vAlign w:val="center"/>
          </w:tcPr>
          <w:p w14:paraId="6F42A5D0" w14:textId="77777777" w:rsidR="002D0AE7" w:rsidRDefault="00333EBB">
            <w:pPr>
              <w:autoSpaceDE w:val="0"/>
              <w:autoSpaceDN w:val="0"/>
              <w:adjustRightInd w:val="0"/>
              <w:jc w:val="right"/>
              <w:rPr>
                <w:rFonts w:ascii="Times New Roman" w:hAnsi="Times New Roman" w:cs="Times New Roman"/>
                <w:sz w:val="21"/>
              </w:rPr>
            </w:pPr>
            <w:r>
              <w:rPr>
                <w:rFonts w:ascii="Times New Roman" w:hAnsi="Times New Roman" w:cs="Times New Roman"/>
                <w:sz w:val="21"/>
              </w:rPr>
              <w:t>3.2%</w:t>
            </w:r>
          </w:p>
        </w:tc>
        <w:tc>
          <w:tcPr>
            <w:tcW w:w="390" w:type="pct"/>
            <w:shd w:val="clear" w:color="auto" w:fill="auto"/>
            <w:vAlign w:val="center"/>
          </w:tcPr>
          <w:p w14:paraId="6ADFFDD1" w14:textId="77777777" w:rsidR="002D0AE7" w:rsidRDefault="00333EBB">
            <w:pPr>
              <w:autoSpaceDE w:val="0"/>
              <w:autoSpaceDN w:val="0"/>
              <w:adjustRightInd w:val="0"/>
              <w:jc w:val="right"/>
              <w:rPr>
                <w:rFonts w:ascii="Times New Roman" w:hAnsi="Times New Roman" w:cs="Times New Roman"/>
                <w:sz w:val="21"/>
              </w:rPr>
            </w:pPr>
            <w:r>
              <w:rPr>
                <w:rFonts w:ascii="Times New Roman" w:hAnsi="Times New Roman" w:cs="Times New Roman"/>
                <w:sz w:val="21"/>
              </w:rPr>
              <w:t>0.00</w:t>
            </w:r>
          </w:p>
        </w:tc>
        <w:tc>
          <w:tcPr>
            <w:tcW w:w="650" w:type="pct"/>
            <w:shd w:val="clear" w:color="auto" w:fill="auto"/>
            <w:vAlign w:val="center"/>
          </w:tcPr>
          <w:p w14:paraId="2E193270" w14:textId="77777777" w:rsidR="002D0AE7" w:rsidRDefault="00333EBB">
            <w:pPr>
              <w:autoSpaceDE w:val="0"/>
              <w:autoSpaceDN w:val="0"/>
              <w:adjustRightInd w:val="0"/>
              <w:jc w:val="right"/>
              <w:rPr>
                <w:rFonts w:ascii="Times New Roman" w:hAnsi="Times New Roman" w:cs="Times New Roman"/>
                <w:sz w:val="21"/>
              </w:rPr>
            </w:pPr>
            <w:r>
              <w:rPr>
                <w:rFonts w:ascii="Times New Roman" w:hAnsi="Times New Roman" w:cs="Times New Roman"/>
                <w:sz w:val="21"/>
              </w:rPr>
              <w:t>681,395.35</w:t>
            </w:r>
          </w:p>
        </w:tc>
        <w:tc>
          <w:tcPr>
            <w:tcW w:w="520" w:type="pct"/>
            <w:vAlign w:val="center"/>
          </w:tcPr>
          <w:p w14:paraId="17B0C1BD" w14:textId="77777777" w:rsidR="002D0AE7" w:rsidRDefault="00333EBB">
            <w:pPr>
              <w:autoSpaceDE w:val="0"/>
              <w:autoSpaceDN w:val="0"/>
              <w:adjustRightInd w:val="0"/>
              <w:jc w:val="right"/>
              <w:rPr>
                <w:rFonts w:ascii="Times New Roman" w:hAnsi="Times New Roman" w:cs="Times New Roman"/>
                <w:sz w:val="21"/>
              </w:rPr>
            </w:pPr>
            <w:r>
              <w:rPr>
                <w:rFonts w:ascii="Times New Roman" w:hAnsi="Times New Roman" w:cs="Times New Roman"/>
                <w:sz w:val="21"/>
              </w:rPr>
              <w:t>0.00</w:t>
            </w:r>
          </w:p>
        </w:tc>
        <w:tc>
          <w:tcPr>
            <w:tcW w:w="713" w:type="pct"/>
            <w:shd w:val="clear" w:color="auto" w:fill="auto"/>
            <w:vAlign w:val="center"/>
          </w:tcPr>
          <w:p w14:paraId="73053B56" w14:textId="77777777" w:rsidR="002D0AE7" w:rsidRDefault="00333EBB">
            <w:pPr>
              <w:autoSpaceDE w:val="0"/>
              <w:autoSpaceDN w:val="0"/>
              <w:adjustRightInd w:val="0"/>
              <w:jc w:val="right"/>
              <w:rPr>
                <w:rFonts w:ascii="Times New Roman" w:hAnsi="Times New Roman" w:cs="Times New Roman"/>
                <w:sz w:val="21"/>
              </w:rPr>
            </w:pPr>
            <w:r>
              <w:rPr>
                <w:rFonts w:ascii="Times New Roman" w:hAnsi="Times New Roman" w:cs="Times New Roman"/>
                <w:sz w:val="21"/>
              </w:rPr>
              <w:t>681,395.35</w:t>
            </w:r>
          </w:p>
        </w:tc>
      </w:tr>
      <w:tr w:rsidR="002D0AE7" w14:paraId="5A071FF9" w14:textId="77777777">
        <w:tc>
          <w:tcPr>
            <w:tcW w:w="909" w:type="pct"/>
            <w:shd w:val="clear" w:color="auto" w:fill="auto"/>
            <w:vAlign w:val="center"/>
          </w:tcPr>
          <w:p w14:paraId="78C2951C" w14:textId="77777777" w:rsidR="002D0AE7" w:rsidRDefault="00333EBB">
            <w:pPr>
              <w:autoSpaceDE w:val="0"/>
              <w:autoSpaceDN w:val="0"/>
              <w:adjustRightInd w:val="0"/>
              <w:jc w:val="center"/>
              <w:rPr>
                <w:rFonts w:hint="eastAsia"/>
                <w:color w:val="000000" w:themeColor="text1"/>
                <w:sz w:val="21"/>
              </w:rPr>
            </w:pPr>
            <w:r>
              <w:rPr>
                <w:color w:val="000000" w:themeColor="text1"/>
                <w:sz w:val="21"/>
              </w:rPr>
              <w:t>合计</w:t>
            </w:r>
          </w:p>
        </w:tc>
        <w:tc>
          <w:tcPr>
            <w:tcW w:w="779" w:type="pct"/>
            <w:shd w:val="clear" w:color="auto" w:fill="auto"/>
            <w:vAlign w:val="center"/>
          </w:tcPr>
          <w:p w14:paraId="5BDF54A6" w14:textId="77777777" w:rsidR="002D0AE7" w:rsidRDefault="00333EBB">
            <w:pPr>
              <w:autoSpaceDE w:val="0"/>
              <w:autoSpaceDN w:val="0"/>
              <w:adjustRightInd w:val="0"/>
              <w:jc w:val="center"/>
              <w:rPr>
                <w:rFonts w:hint="eastAsia"/>
                <w:color w:val="000000" w:themeColor="text1"/>
                <w:sz w:val="21"/>
              </w:rPr>
            </w:pPr>
            <w:r>
              <w:rPr>
                <w:rFonts w:hint="eastAsia"/>
                <w:color w:val="000000" w:themeColor="text1"/>
                <w:sz w:val="21"/>
              </w:rPr>
              <w:t>/</w:t>
            </w:r>
          </w:p>
        </w:tc>
        <w:tc>
          <w:tcPr>
            <w:tcW w:w="714" w:type="pct"/>
            <w:shd w:val="clear" w:color="auto" w:fill="auto"/>
            <w:vAlign w:val="center"/>
          </w:tcPr>
          <w:p w14:paraId="21BF395A" w14:textId="77777777" w:rsidR="002D0AE7" w:rsidRDefault="00333EBB">
            <w:pPr>
              <w:autoSpaceDE w:val="0"/>
              <w:autoSpaceDN w:val="0"/>
              <w:adjustRightInd w:val="0"/>
              <w:jc w:val="right"/>
              <w:rPr>
                <w:rFonts w:ascii="Times New Roman" w:hAnsi="Times New Roman" w:cs="Times New Roman"/>
                <w:color w:val="000000" w:themeColor="text1"/>
                <w:sz w:val="21"/>
              </w:rPr>
            </w:pPr>
            <w:r>
              <w:rPr>
                <w:rFonts w:ascii="Times New Roman" w:hAnsi="Times New Roman" w:cs="Times New Roman"/>
                <w:color w:val="000000" w:themeColor="text1"/>
                <w:sz w:val="21"/>
              </w:rPr>
              <w:t>/</w:t>
            </w:r>
          </w:p>
        </w:tc>
        <w:tc>
          <w:tcPr>
            <w:tcW w:w="325" w:type="pct"/>
            <w:shd w:val="clear" w:color="auto" w:fill="auto"/>
            <w:vAlign w:val="center"/>
          </w:tcPr>
          <w:p w14:paraId="4007EB64" w14:textId="77777777" w:rsidR="002D0AE7" w:rsidRDefault="00333EBB">
            <w:pPr>
              <w:autoSpaceDE w:val="0"/>
              <w:autoSpaceDN w:val="0"/>
              <w:adjustRightInd w:val="0"/>
              <w:jc w:val="right"/>
              <w:rPr>
                <w:rFonts w:ascii="Times New Roman" w:hAnsi="Times New Roman" w:cs="Times New Roman"/>
                <w:color w:val="000000" w:themeColor="text1"/>
                <w:sz w:val="21"/>
              </w:rPr>
            </w:pPr>
            <w:r>
              <w:rPr>
                <w:rFonts w:ascii="Times New Roman" w:hAnsi="Times New Roman" w:cs="Times New Roman"/>
                <w:color w:val="000000" w:themeColor="text1"/>
                <w:sz w:val="21"/>
              </w:rPr>
              <w:t>/</w:t>
            </w:r>
          </w:p>
        </w:tc>
        <w:tc>
          <w:tcPr>
            <w:tcW w:w="390" w:type="pct"/>
            <w:shd w:val="clear" w:color="auto" w:fill="auto"/>
            <w:vAlign w:val="center"/>
          </w:tcPr>
          <w:p w14:paraId="0ADE2FED" w14:textId="77777777" w:rsidR="002D0AE7" w:rsidRDefault="00333EBB">
            <w:pPr>
              <w:autoSpaceDE w:val="0"/>
              <w:autoSpaceDN w:val="0"/>
              <w:adjustRightInd w:val="0"/>
              <w:jc w:val="right"/>
              <w:rPr>
                <w:rFonts w:ascii="Times New Roman" w:hAnsi="Times New Roman" w:cs="Times New Roman"/>
                <w:sz w:val="21"/>
              </w:rPr>
            </w:pPr>
            <w:r>
              <w:rPr>
                <w:rFonts w:ascii="Times New Roman" w:hAnsi="Times New Roman" w:cs="Times New Roman"/>
                <w:sz w:val="21"/>
              </w:rPr>
              <w:t>0.00</w:t>
            </w:r>
          </w:p>
        </w:tc>
        <w:tc>
          <w:tcPr>
            <w:tcW w:w="650" w:type="pct"/>
            <w:shd w:val="clear" w:color="auto" w:fill="auto"/>
            <w:vAlign w:val="center"/>
          </w:tcPr>
          <w:p w14:paraId="08E14D59" w14:textId="77777777" w:rsidR="002D0AE7" w:rsidRDefault="00333EBB">
            <w:pPr>
              <w:autoSpaceDE w:val="0"/>
              <w:autoSpaceDN w:val="0"/>
              <w:adjustRightInd w:val="0"/>
              <w:jc w:val="right"/>
              <w:rPr>
                <w:rFonts w:ascii="Times New Roman" w:hAnsi="Times New Roman" w:cs="Times New Roman"/>
                <w:sz w:val="21"/>
              </w:rPr>
            </w:pPr>
            <w:r>
              <w:rPr>
                <w:rFonts w:ascii="Times New Roman" w:hAnsi="Times New Roman" w:cs="Times New Roman"/>
                <w:sz w:val="21"/>
              </w:rPr>
              <w:t>681,395.35</w:t>
            </w:r>
          </w:p>
        </w:tc>
        <w:tc>
          <w:tcPr>
            <w:tcW w:w="520" w:type="pct"/>
            <w:vAlign w:val="center"/>
          </w:tcPr>
          <w:p w14:paraId="4661164A" w14:textId="77777777" w:rsidR="002D0AE7" w:rsidRDefault="00333EBB">
            <w:pPr>
              <w:autoSpaceDE w:val="0"/>
              <w:autoSpaceDN w:val="0"/>
              <w:adjustRightInd w:val="0"/>
              <w:jc w:val="right"/>
              <w:rPr>
                <w:rFonts w:ascii="Times New Roman" w:hAnsi="Times New Roman" w:cs="Times New Roman"/>
                <w:sz w:val="21"/>
              </w:rPr>
            </w:pPr>
            <w:r>
              <w:rPr>
                <w:rFonts w:ascii="Times New Roman" w:hAnsi="Times New Roman" w:cs="Times New Roman"/>
                <w:sz w:val="21"/>
              </w:rPr>
              <w:t>0.00</w:t>
            </w:r>
          </w:p>
        </w:tc>
        <w:tc>
          <w:tcPr>
            <w:tcW w:w="713" w:type="pct"/>
            <w:shd w:val="clear" w:color="auto" w:fill="auto"/>
            <w:vAlign w:val="center"/>
          </w:tcPr>
          <w:p w14:paraId="15A0EF40" w14:textId="77777777" w:rsidR="002D0AE7" w:rsidRDefault="00333EBB">
            <w:pPr>
              <w:autoSpaceDE w:val="0"/>
              <w:autoSpaceDN w:val="0"/>
              <w:adjustRightInd w:val="0"/>
              <w:jc w:val="right"/>
              <w:rPr>
                <w:rFonts w:ascii="Times New Roman" w:hAnsi="Times New Roman" w:cs="Times New Roman"/>
                <w:sz w:val="21"/>
              </w:rPr>
            </w:pPr>
            <w:r>
              <w:rPr>
                <w:rFonts w:ascii="Times New Roman" w:hAnsi="Times New Roman" w:cs="Times New Roman"/>
                <w:sz w:val="21"/>
              </w:rPr>
              <w:t>681,395.35</w:t>
            </w:r>
          </w:p>
        </w:tc>
      </w:tr>
    </w:tbl>
    <w:p w14:paraId="5E62765C" w14:textId="77777777" w:rsidR="002D0AE7" w:rsidRDefault="00333EBB">
      <w:pPr>
        <w:pStyle w:val="4"/>
        <w:numPr>
          <w:ilvl w:val="0"/>
          <w:numId w:val="24"/>
        </w:numPr>
        <w:rPr>
          <w:rFonts w:ascii="宋体" w:hAnsi="宋体" w:cs="宋体" w:hint="eastAsia"/>
          <w:color w:val="000000" w:themeColor="text1"/>
          <w:kern w:val="0"/>
          <w:szCs w:val="24"/>
        </w:rPr>
      </w:pPr>
      <w:r>
        <w:rPr>
          <w:rFonts w:ascii="宋体" w:hAnsi="宋体" w:cs="宋体"/>
          <w:color w:val="000000" w:themeColor="text1"/>
          <w:kern w:val="0"/>
          <w:szCs w:val="24"/>
        </w:rPr>
        <w:t>授信业务或其他金融业务</w:t>
      </w:r>
    </w:p>
    <w:sdt>
      <w:sdtPr>
        <w:rPr>
          <w:rFonts w:hint="eastAsia"/>
          <w:color w:val="000000" w:themeColor="text1"/>
        </w:rPr>
        <w:alias w:val="是否适用：授信业务或其他金融业务[双击切换]"/>
        <w:tag w:val="_GBC_ed4458effe044108a44d95a5ced67408"/>
        <w:id w:val="444664041"/>
        <w:placeholder>
          <w:docPart w:val="GBC22222222222222222222222222222"/>
        </w:placeholder>
      </w:sdtPr>
      <w:sdtEndPr/>
      <w:sdtContent>
        <w:p w14:paraId="02639EA3"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42C98651" w14:textId="77777777" w:rsidR="002D0AE7" w:rsidRDefault="00333EBB">
      <w:pPr>
        <w:pStyle w:val="4"/>
        <w:numPr>
          <w:ilvl w:val="0"/>
          <w:numId w:val="24"/>
        </w:numPr>
        <w:rPr>
          <w:rFonts w:ascii="宋体" w:hAnsi="宋体" w:cs="宋体" w:hint="eastAsia"/>
          <w:color w:val="000000" w:themeColor="text1"/>
          <w:kern w:val="0"/>
          <w:szCs w:val="24"/>
        </w:rPr>
      </w:pPr>
      <w:bookmarkStart w:id="68" w:name="_Hlk41316022"/>
      <w:bookmarkEnd w:id="67"/>
      <w:r>
        <w:rPr>
          <w:rFonts w:ascii="宋体" w:hAnsi="宋体" w:cs="宋体"/>
          <w:color w:val="000000" w:themeColor="text1"/>
          <w:kern w:val="0"/>
          <w:szCs w:val="24"/>
        </w:rPr>
        <w:t>其他说明</w:t>
      </w:r>
    </w:p>
    <w:sdt>
      <w:sdtPr>
        <w:rPr>
          <w:color w:val="000000" w:themeColor="text1"/>
        </w:rPr>
        <w:alias w:val="是否适用：公司与存在关联关系的财务公司、公司控股财务公司与关联方之间的金融业务的其他说明[双击切换]"/>
        <w:tag w:val="_GBC_784bbb2dab8c4fa58a94c1deef51e2c9"/>
        <w:id w:val="-2134014770"/>
        <w:placeholder>
          <w:docPart w:val="GBC22222222222222222222222222222"/>
        </w:placeholder>
      </w:sdtPr>
      <w:sdtEndPr/>
      <w:sdtContent>
        <w:p w14:paraId="4832A69F"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5A2F0065" w14:textId="77777777" w:rsidR="002D0AE7" w:rsidRDefault="00333EBB">
      <w:pPr>
        <w:pStyle w:val="3"/>
        <w:numPr>
          <w:ilvl w:val="2"/>
          <w:numId w:val="4"/>
        </w:numPr>
        <w:rPr>
          <w:rFonts w:ascii="宋体" w:hAnsi="宋体" w:hint="eastAsia"/>
          <w:color w:val="000000" w:themeColor="text1"/>
        </w:rPr>
      </w:pPr>
      <w:bookmarkStart w:id="69" w:name="_Hlk170999057"/>
      <w:bookmarkEnd w:id="68"/>
      <w:r>
        <w:rPr>
          <w:rFonts w:ascii="宋体" w:hAnsi="宋体" w:hint="eastAsia"/>
          <w:color w:val="000000" w:themeColor="text1"/>
        </w:rPr>
        <w:t>其他重大关联交易</w:t>
      </w:r>
    </w:p>
    <w:sdt>
      <w:sdtPr>
        <w:rPr>
          <w:rFonts w:hint="eastAsia"/>
          <w:color w:val="000000" w:themeColor="text1"/>
        </w:rPr>
        <w:alias w:val="是否适用：重大关联交易其他说明[双击切换]"/>
        <w:tag w:val="_GBC_7dd39ac420a244dcb8ea88c29ac07190"/>
        <w:id w:val="905178012"/>
        <w:placeholder>
          <w:docPart w:val="GBC22222222222222222222222222222"/>
        </w:placeholder>
      </w:sdtPr>
      <w:sdtEndPr/>
      <w:sdtContent>
        <w:p w14:paraId="582F0C57"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bookmarkEnd w:id="69"/>
    <w:p w14:paraId="1FF943CB" w14:textId="77777777" w:rsidR="002D0AE7" w:rsidRDefault="00333EBB">
      <w:pPr>
        <w:pStyle w:val="3"/>
        <w:numPr>
          <w:ilvl w:val="2"/>
          <w:numId w:val="4"/>
        </w:numPr>
        <w:rPr>
          <w:rFonts w:ascii="宋体" w:hAnsi="宋体" w:hint="eastAsia"/>
          <w:color w:val="000000" w:themeColor="text1"/>
        </w:rPr>
      </w:pPr>
      <w:r>
        <w:rPr>
          <w:rFonts w:ascii="宋体" w:hAnsi="宋体" w:hint="eastAsia"/>
          <w:color w:val="000000" w:themeColor="text1"/>
        </w:rPr>
        <w:t>其他</w:t>
      </w:r>
    </w:p>
    <w:sdt>
      <w:sdtPr>
        <w:rPr>
          <w:rFonts w:hint="eastAsia"/>
          <w:color w:val="000000" w:themeColor="text1"/>
        </w:rPr>
        <w:alias w:val="是否适用：重大关联交易事项其他补充说明[双击切换]"/>
        <w:tag w:val="_GBC_272061194cde466a9c566f0881c76d0d"/>
        <w:id w:val="-1565639529"/>
        <w:placeholder>
          <w:docPart w:val="GBC22222222222222222222222222222"/>
        </w:placeholder>
      </w:sdtPr>
      <w:sdtEndPr/>
      <w:sdtContent>
        <w:p w14:paraId="38AA8296"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0060850B" w14:textId="77777777" w:rsidR="002D0AE7" w:rsidRDefault="00333EBB">
      <w:pPr>
        <w:pStyle w:val="2"/>
        <w:numPr>
          <w:ilvl w:val="0"/>
          <w:numId w:val="18"/>
        </w:numPr>
        <w:tabs>
          <w:tab w:val="left" w:pos="426"/>
        </w:tabs>
        <w:ind w:left="482" w:hanging="482"/>
        <w:jc w:val="left"/>
        <w:rPr>
          <w:rFonts w:ascii="宋体" w:hAnsi="宋体" w:hint="eastAsia"/>
          <w:color w:val="000000" w:themeColor="text1"/>
        </w:rPr>
      </w:pPr>
      <w:r>
        <w:rPr>
          <w:rFonts w:ascii="宋体" w:hAnsi="宋体" w:hint="eastAsia"/>
          <w:color w:val="000000" w:themeColor="text1"/>
        </w:rPr>
        <w:t>重大合同及其履行情况</w:t>
      </w:r>
    </w:p>
    <w:p w14:paraId="11DCB497" w14:textId="77777777" w:rsidR="002D0AE7" w:rsidRDefault="00333EBB">
      <w:pPr>
        <w:pStyle w:val="3"/>
        <w:numPr>
          <w:ilvl w:val="0"/>
          <w:numId w:val="25"/>
        </w:numPr>
        <w:rPr>
          <w:rFonts w:ascii="宋体" w:hAnsi="宋体" w:hint="eastAsia"/>
          <w:color w:val="000000" w:themeColor="text1"/>
        </w:rPr>
      </w:pPr>
      <w:r>
        <w:rPr>
          <w:rFonts w:ascii="宋体" w:hAnsi="宋体"/>
          <w:color w:val="000000" w:themeColor="text1"/>
        </w:rPr>
        <w:t>托管、承包、租赁事项</w:t>
      </w:r>
    </w:p>
    <w:p w14:paraId="5B08C42C" w14:textId="77777777" w:rsidR="002D0AE7" w:rsidRDefault="00333EBB">
      <w:pPr>
        <w:rPr>
          <w:rFonts w:hint="eastAsia"/>
          <w:color w:val="000000" w:themeColor="text1"/>
        </w:rPr>
      </w:pPr>
      <w:sdt>
        <w:sdtPr>
          <w:rPr>
            <w:color w:val="000000" w:themeColor="text1"/>
          </w:rPr>
          <w:alias w:val="是否适用：托管、承包、租赁事项[双击切换]"/>
          <w:tag w:val="_GBC_daed561e68674d828a348a97bffbc154"/>
          <w:id w:val="-778336690"/>
          <w:lock w:val="contentLocked"/>
          <w:placeholder>
            <w:docPart w:val="GBC22222222222222222222222222222"/>
          </w:placeholder>
        </w:sdtPr>
        <w:sdtEndPr/>
        <w:sdtContent>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sdtContent>
      </w:sdt>
    </w:p>
    <w:p w14:paraId="7A5AA07B" w14:textId="77777777" w:rsidR="002D0AE7" w:rsidRDefault="00333EBB">
      <w:pPr>
        <w:pStyle w:val="4"/>
        <w:numPr>
          <w:ilvl w:val="0"/>
          <w:numId w:val="26"/>
        </w:numPr>
        <w:rPr>
          <w:rFonts w:ascii="宋体" w:hAnsi="宋体" w:hint="eastAsia"/>
          <w:color w:val="000000" w:themeColor="text1"/>
        </w:rPr>
      </w:pPr>
      <w:bookmarkStart w:id="70" w:name="_Hlk170998481"/>
      <w:r>
        <w:rPr>
          <w:rFonts w:ascii="宋体" w:hAnsi="宋体" w:hint="eastAsia"/>
          <w:color w:val="000000" w:themeColor="text1"/>
        </w:rPr>
        <w:t>托管情况</w:t>
      </w:r>
    </w:p>
    <w:bookmarkEnd w:id="70" w:displacedByCustomXml="next"/>
    <w:sdt>
      <w:sdtPr>
        <w:rPr>
          <w:color w:val="000000" w:themeColor="text1"/>
        </w:rPr>
        <w:alias w:val="是否适用：托管情况[双击切换]"/>
        <w:tag w:val="_GBC_5f311928e67641ecb22c63cf8ecda62c"/>
        <w:id w:val="-1216113664"/>
        <w:placeholder>
          <w:docPart w:val="GBC22222222222222222222222222222"/>
        </w:placeholder>
      </w:sdtPr>
      <w:sdtEndPr/>
      <w:sdtContent>
        <w:p w14:paraId="01CB9290"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79C245CC" w14:textId="77777777" w:rsidR="002D0AE7" w:rsidRDefault="00333EBB">
      <w:pPr>
        <w:wordWrap w:val="0"/>
        <w:ind w:leftChars="114" w:left="274" w:firstLineChars="2536" w:firstLine="6086"/>
        <w:jc w:val="right"/>
        <w:rPr>
          <w:rFonts w:hint="eastAsia"/>
          <w:bCs/>
          <w:color w:val="000000" w:themeColor="text1"/>
        </w:rPr>
      </w:pPr>
      <w:bookmarkStart w:id="71" w:name="_Hlk170998508"/>
      <w:r>
        <w:rPr>
          <w:rFonts w:hint="eastAsia"/>
          <w:color w:val="000000" w:themeColor="text1"/>
        </w:rPr>
        <w:t>单位</w:t>
      </w:r>
      <w:r>
        <w:rPr>
          <w:color w:val="000000" w:themeColor="text1"/>
        </w:rPr>
        <w:t>：</w:t>
      </w:r>
      <w:sdt>
        <w:sdtPr>
          <w:rPr>
            <w:color w:val="000000" w:themeColor="text1"/>
          </w:rPr>
          <w:alias w:val="单位：托管情况"/>
          <w:tag w:val="_GBC_074fed5597514114ab85d136245235ba"/>
          <w:id w:val="75402211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万元</w:t>
          </w:r>
        </w:sdtContent>
      </w:sdt>
      <w:r>
        <w:rPr>
          <w:rFonts w:hint="eastAsia"/>
          <w:color w:val="000000" w:themeColor="text1"/>
        </w:rPr>
        <w:t>币种</w:t>
      </w:r>
      <w:r>
        <w:rPr>
          <w:color w:val="000000" w:themeColor="text1"/>
        </w:rPr>
        <w:t>：</w:t>
      </w:r>
      <w:sdt>
        <w:sdtPr>
          <w:rPr>
            <w:color w:val="000000" w:themeColor="text1"/>
          </w:rPr>
          <w:alias w:val="币种：托管情况"/>
          <w:tag w:val="_GBC_152c8298ced347eb9e48f1314b94ca0f"/>
          <w:id w:val="-30763264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739" w:type="pct"/>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083"/>
        <w:gridCol w:w="1084"/>
        <w:gridCol w:w="1528"/>
        <w:gridCol w:w="1140"/>
        <w:gridCol w:w="1260"/>
        <w:gridCol w:w="1260"/>
        <w:gridCol w:w="300"/>
        <w:gridCol w:w="540"/>
        <w:gridCol w:w="491"/>
        <w:gridCol w:w="495"/>
        <w:gridCol w:w="946"/>
      </w:tblGrid>
      <w:tr w:rsidR="002D0AE7" w14:paraId="67466A11" w14:textId="77777777">
        <w:bookmarkEnd w:id="71" w:displacedByCustomXml="next"/>
        <w:bookmarkStart w:id="72" w:name="_Hlk170998516" w:displacedByCustomXml="next"/>
        <w:sdt>
          <w:sdtPr>
            <w:rPr>
              <w:color w:val="000000" w:themeColor="text1"/>
            </w:rPr>
            <w:tag w:val="_PLD_fcd07b9b2b194ebba67dfcab4ee60ab1"/>
            <w:id w:val="1402339389"/>
          </w:sdtPr>
          <w:sdtEndPr/>
          <w:sdtContent>
            <w:tc>
              <w:tcPr>
                <w:tcW w:w="556" w:type="pct"/>
                <w:shd w:val="clear" w:color="auto" w:fill="auto"/>
                <w:vAlign w:val="center"/>
              </w:tcPr>
              <w:p w14:paraId="2CFC98C0" w14:textId="77777777" w:rsidR="002D0AE7" w:rsidRDefault="00333EBB">
                <w:pPr>
                  <w:autoSpaceDE w:val="0"/>
                  <w:autoSpaceDN w:val="0"/>
                  <w:adjustRightInd w:val="0"/>
                  <w:jc w:val="center"/>
                  <w:rPr>
                    <w:rFonts w:hint="eastAsia"/>
                    <w:color w:val="000000" w:themeColor="text1"/>
                  </w:rPr>
                </w:pPr>
                <w:r>
                  <w:rPr>
                    <w:rFonts w:hint="eastAsia"/>
                    <w:color w:val="000000" w:themeColor="text1"/>
                  </w:rPr>
                  <w:t>委托方名称</w:t>
                </w:r>
              </w:p>
            </w:tc>
          </w:sdtContent>
        </w:sdt>
        <w:sdt>
          <w:sdtPr>
            <w:rPr>
              <w:color w:val="000000" w:themeColor="text1"/>
            </w:rPr>
            <w:tag w:val="_PLD_81ac11c89b33491cbeda1bd793e0422d"/>
            <w:id w:val="1943185654"/>
          </w:sdtPr>
          <w:sdtEndPr/>
          <w:sdtContent>
            <w:tc>
              <w:tcPr>
                <w:tcW w:w="556" w:type="pct"/>
                <w:shd w:val="clear" w:color="auto" w:fill="auto"/>
                <w:vAlign w:val="center"/>
              </w:tcPr>
              <w:p w14:paraId="717CCF0B" w14:textId="77777777" w:rsidR="002D0AE7" w:rsidRDefault="00333EBB">
                <w:pPr>
                  <w:autoSpaceDE w:val="0"/>
                  <w:autoSpaceDN w:val="0"/>
                  <w:adjustRightInd w:val="0"/>
                  <w:jc w:val="center"/>
                  <w:rPr>
                    <w:rFonts w:hint="eastAsia"/>
                    <w:color w:val="000000" w:themeColor="text1"/>
                  </w:rPr>
                </w:pPr>
                <w:r>
                  <w:rPr>
                    <w:rFonts w:hint="eastAsia"/>
                    <w:color w:val="000000" w:themeColor="text1"/>
                  </w:rPr>
                  <w:t>受托方名称</w:t>
                </w:r>
              </w:p>
            </w:tc>
          </w:sdtContent>
        </w:sdt>
        <w:sdt>
          <w:sdtPr>
            <w:rPr>
              <w:color w:val="000000" w:themeColor="text1"/>
            </w:rPr>
            <w:tag w:val="_PLD_68bd90f498ee4185aa81bf3f8706f2f6"/>
            <w:id w:val="1244833137"/>
          </w:sdtPr>
          <w:sdtEndPr/>
          <w:sdtContent>
            <w:tc>
              <w:tcPr>
                <w:tcW w:w="775" w:type="pct"/>
                <w:shd w:val="clear" w:color="auto" w:fill="auto"/>
                <w:vAlign w:val="center"/>
              </w:tcPr>
              <w:p w14:paraId="5C1FDC45" w14:textId="77777777" w:rsidR="002D0AE7" w:rsidRDefault="00333EBB">
                <w:pPr>
                  <w:autoSpaceDE w:val="0"/>
                  <w:autoSpaceDN w:val="0"/>
                  <w:adjustRightInd w:val="0"/>
                  <w:jc w:val="center"/>
                  <w:rPr>
                    <w:rFonts w:hint="eastAsia"/>
                    <w:color w:val="000000" w:themeColor="text1"/>
                  </w:rPr>
                </w:pPr>
                <w:r>
                  <w:rPr>
                    <w:rFonts w:hint="eastAsia"/>
                    <w:color w:val="000000" w:themeColor="text1"/>
                  </w:rPr>
                  <w:t>托管资产情况</w:t>
                </w:r>
              </w:p>
            </w:tc>
          </w:sdtContent>
        </w:sdt>
        <w:sdt>
          <w:sdtPr>
            <w:rPr>
              <w:color w:val="000000" w:themeColor="text1"/>
            </w:rPr>
            <w:tag w:val="_PLD_a41ab99ae2b84bc381cbf3f2aeffae9e"/>
            <w:id w:val="1135526962"/>
          </w:sdtPr>
          <w:sdtEndPr/>
          <w:sdtContent>
            <w:tc>
              <w:tcPr>
                <w:tcW w:w="513" w:type="pct"/>
                <w:shd w:val="clear" w:color="auto" w:fill="auto"/>
                <w:vAlign w:val="center"/>
              </w:tcPr>
              <w:p w14:paraId="4D5225E5" w14:textId="77777777" w:rsidR="002D0AE7" w:rsidRDefault="00333EBB">
                <w:pPr>
                  <w:autoSpaceDE w:val="0"/>
                  <w:autoSpaceDN w:val="0"/>
                  <w:adjustRightInd w:val="0"/>
                  <w:jc w:val="center"/>
                  <w:rPr>
                    <w:rFonts w:hint="eastAsia"/>
                    <w:color w:val="000000" w:themeColor="text1"/>
                  </w:rPr>
                </w:pPr>
                <w:r>
                  <w:rPr>
                    <w:rFonts w:hint="eastAsia"/>
                    <w:color w:val="000000" w:themeColor="text1"/>
                  </w:rPr>
                  <w:t>托管资产涉及金额</w:t>
                </w:r>
              </w:p>
            </w:tc>
          </w:sdtContent>
        </w:sdt>
        <w:sdt>
          <w:sdtPr>
            <w:rPr>
              <w:color w:val="000000" w:themeColor="text1"/>
            </w:rPr>
            <w:tag w:val="_PLD_83e56192e6fb4063ac6daeca59f07ecf"/>
            <w:id w:val="654573741"/>
          </w:sdtPr>
          <w:sdtEndPr/>
          <w:sdtContent>
            <w:tc>
              <w:tcPr>
                <w:tcW w:w="564" w:type="pct"/>
                <w:shd w:val="clear" w:color="auto" w:fill="auto"/>
                <w:vAlign w:val="center"/>
              </w:tcPr>
              <w:p w14:paraId="6384B26F" w14:textId="77777777" w:rsidR="002D0AE7" w:rsidRDefault="00333EBB">
                <w:pPr>
                  <w:autoSpaceDE w:val="0"/>
                  <w:autoSpaceDN w:val="0"/>
                  <w:adjustRightInd w:val="0"/>
                  <w:jc w:val="center"/>
                  <w:rPr>
                    <w:rFonts w:hint="eastAsia"/>
                    <w:color w:val="000000" w:themeColor="text1"/>
                  </w:rPr>
                </w:pPr>
                <w:r>
                  <w:rPr>
                    <w:rFonts w:hint="eastAsia"/>
                    <w:color w:val="000000" w:themeColor="text1"/>
                  </w:rPr>
                  <w:t>托管起始日</w:t>
                </w:r>
              </w:p>
            </w:tc>
          </w:sdtContent>
        </w:sdt>
        <w:sdt>
          <w:sdtPr>
            <w:rPr>
              <w:color w:val="000000" w:themeColor="text1"/>
            </w:rPr>
            <w:tag w:val="_PLD_f4fd4bca8a404904844f88fe93aa433d"/>
            <w:id w:val="947743477"/>
          </w:sdtPr>
          <w:sdtEndPr/>
          <w:sdtContent>
            <w:tc>
              <w:tcPr>
                <w:tcW w:w="564" w:type="pct"/>
                <w:shd w:val="clear" w:color="auto" w:fill="auto"/>
                <w:vAlign w:val="center"/>
              </w:tcPr>
              <w:p w14:paraId="74BE29E8" w14:textId="77777777" w:rsidR="002D0AE7" w:rsidRDefault="00333EBB">
                <w:pPr>
                  <w:autoSpaceDE w:val="0"/>
                  <w:autoSpaceDN w:val="0"/>
                  <w:adjustRightInd w:val="0"/>
                  <w:jc w:val="center"/>
                  <w:rPr>
                    <w:rFonts w:hint="eastAsia"/>
                    <w:color w:val="000000" w:themeColor="text1"/>
                  </w:rPr>
                </w:pPr>
                <w:r>
                  <w:rPr>
                    <w:rFonts w:hint="eastAsia"/>
                    <w:color w:val="000000" w:themeColor="text1"/>
                  </w:rPr>
                  <w:t>托管终止日</w:t>
                </w:r>
              </w:p>
            </w:tc>
          </w:sdtContent>
        </w:sdt>
        <w:sdt>
          <w:sdtPr>
            <w:rPr>
              <w:color w:val="000000" w:themeColor="text1"/>
            </w:rPr>
            <w:tag w:val="_PLD_e17e764bd7324555a25f89003e7bafdb"/>
            <w:id w:val="-1734145235"/>
          </w:sdtPr>
          <w:sdtEndPr/>
          <w:sdtContent>
            <w:tc>
              <w:tcPr>
                <w:tcW w:w="157" w:type="pct"/>
                <w:shd w:val="clear" w:color="auto" w:fill="auto"/>
                <w:vAlign w:val="center"/>
              </w:tcPr>
              <w:p w14:paraId="3E5AA477" w14:textId="77777777" w:rsidR="002D0AE7" w:rsidRDefault="00333EBB">
                <w:pPr>
                  <w:autoSpaceDE w:val="0"/>
                  <w:autoSpaceDN w:val="0"/>
                  <w:adjustRightInd w:val="0"/>
                  <w:jc w:val="center"/>
                  <w:rPr>
                    <w:rFonts w:hint="eastAsia"/>
                    <w:color w:val="000000" w:themeColor="text1"/>
                  </w:rPr>
                </w:pPr>
                <w:r>
                  <w:rPr>
                    <w:rFonts w:hint="eastAsia"/>
                    <w:color w:val="000000" w:themeColor="text1"/>
                  </w:rPr>
                  <w:t>托管收益</w:t>
                </w:r>
              </w:p>
            </w:tc>
          </w:sdtContent>
        </w:sdt>
        <w:sdt>
          <w:sdtPr>
            <w:rPr>
              <w:color w:val="000000" w:themeColor="text1"/>
            </w:rPr>
            <w:tag w:val="_PLD_10470f65493b4afba8cdee6138d52e9b"/>
            <w:id w:val="-23725655"/>
          </w:sdtPr>
          <w:sdtEndPr/>
          <w:sdtContent>
            <w:tc>
              <w:tcPr>
                <w:tcW w:w="297" w:type="pct"/>
                <w:shd w:val="clear" w:color="auto" w:fill="auto"/>
                <w:vAlign w:val="center"/>
              </w:tcPr>
              <w:p w14:paraId="36643462" w14:textId="77777777" w:rsidR="002D0AE7" w:rsidRDefault="00333EBB">
                <w:pPr>
                  <w:autoSpaceDE w:val="0"/>
                  <w:autoSpaceDN w:val="0"/>
                  <w:adjustRightInd w:val="0"/>
                  <w:jc w:val="center"/>
                  <w:rPr>
                    <w:rFonts w:hint="eastAsia"/>
                    <w:color w:val="000000" w:themeColor="text1"/>
                  </w:rPr>
                </w:pPr>
                <w:r>
                  <w:rPr>
                    <w:rFonts w:hint="eastAsia"/>
                    <w:color w:val="000000" w:themeColor="text1"/>
                  </w:rPr>
                  <w:t>托管收益确定依据</w:t>
                </w:r>
              </w:p>
            </w:tc>
          </w:sdtContent>
        </w:sdt>
        <w:sdt>
          <w:sdtPr>
            <w:rPr>
              <w:color w:val="000000" w:themeColor="text1"/>
            </w:rPr>
            <w:tag w:val="_PLD_6c27ebfece354472b693a7011dcc34c0"/>
            <w:id w:val="1117104850"/>
          </w:sdtPr>
          <w:sdtEndPr/>
          <w:sdtContent>
            <w:tc>
              <w:tcPr>
                <w:tcW w:w="265" w:type="pct"/>
                <w:shd w:val="clear" w:color="auto" w:fill="auto"/>
                <w:vAlign w:val="center"/>
              </w:tcPr>
              <w:p w14:paraId="3D3A748F" w14:textId="77777777" w:rsidR="002D0AE7" w:rsidRDefault="00333EBB">
                <w:pPr>
                  <w:autoSpaceDE w:val="0"/>
                  <w:autoSpaceDN w:val="0"/>
                  <w:adjustRightInd w:val="0"/>
                  <w:jc w:val="center"/>
                  <w:rPr>
                    <w:rFonts w:hint="eastAsia"/>
                    <w:color w:val="000000" w:themeColor="text1"/>
                  </w:rPr>
                </w:pPr>
                <w:r>
                  <w:rPr>
                    <w:rFonts w:hint="eastAsia"/>
                    <w:color w:val="000000" w:themeColor="text1"/>
                  </w:rPr>
                  <w:t>托管收益对公司影响</w:t>
                </w:r>
              </w:p>
            </w:tc>
          </w:sdtContent>
        </w:sdt>
        <w:sdt>
          <w:sdtPr>
            <w:rPr>
              <w:color w:val="000000" w:themeColor="text1"/>
            </w:rPr>
            <w:tag w:val="_PLD_c9564edabc8b44b8a95cde135adf232b"/>
            <w:id w:val="-1513689472"/>
          </w:sdtPr>
          <w:sdtEndPr/>
          <w:sdtContent>
            <w:tc>
              <w:tcPr>
                <w:tcW w:w="265" w:type="pct"/>
                <w:shd w:val="clear" w:color="auto" w:fill="auto"/>
                <w:vAlign w:val="center"/>
              </w:tcPr>
              <w:p w14:paraId="06966D71" w14:textId="77777777" w:rsidR="002D0AE7" w:rsidRDefault="00333EBB">
                <w:pPr>
                  <w:autoSpaceDE w:val="0"/>
                  <w:autoSpaceDN w:val="0"/>
                  <w:adjustRightInd w:val="0"/>
                  <w:jc w:val="center"/>
                  <w:rPr>
                    <w:rFonts w:hint="eastAsia"/>
                    <w:color w:val="000000" w:themeColor="text1"/>
                  </w:rPr>
                </w:pPr>
                <w:r>
                  <w:rPr>
                    <w:rFonts w:hint="eastAsia"/>
                    <w:color w:val="000000" w:themeColor="text1"/>
                  </w:rPr>
                  <w:t>是否关联交易</w:t>
                </w:r>
              </w:p>
            </w:tc>
          </w:sdtContent>
        </w:sdt>
        <w:sdt>
          <w:sdtPr>
            <w:rPr>
              <w:color w:val="000000" w:themeColor="text1"/>
            </w:rPr>
            <w:tag w:val="_PLD_014683419e4546998e86b66fb4ced004"/>
            <w:id w:val="523136701"/>
          </w:sdtPr>
          <w:sdtEndPr/>
          <w:sdtContent>
            <w:tc>
              <w:tcPr>
                <w:tcW w:w="489" w:type="pct"/>
                <w:shd w:val="clear" w:color="auto" w:fill="auto"/>
                <w:vAlign w:val="center"/>
              </w:tcPr>
              <w:p w14:paraId="53F13335" w14:textId="77777777" w:rsidR="002D0AE7" w:rsidRDefault="00333EBB">
                <w:pPr>
                  <w:autoSpaceDE w:val="0"/>
                  <w:autoSpaceDN w:val="0"/>
                  <w:adjustRightInd w:val="0"/>
                  <w:jc w:val="center"/>
                  <w:rPr>
                    <w:rFonts w:hint="eastAsia"/>
                    <w:color w:val="000000" w:themeColor="text1"/>
                  </w:rPr>
                </w:pPr>
                <w:r>
                  <w:rPr>
                    <w:rFonts w:hint="eastAsia"/>
                    <w:color w:val="000000" w:themeColor="text1"/>
                  </w:rPr>
                  <w:t>关联关系</w:t>
                </w:r>
              </w:p>
            </w:tc>
          </w:sdtContent>
        </w:sdt>
      </w:tr>
      <w:tr w:rsidR="002D0AE7" w14:paraId="5FD90C60" w14:textId="77777777">
        <w:tc>
          <w:tcPr>
            <w:tcW w:w="556" w:type="pct"/>
            <w:vAlign w:val="center"/>
          </w:tcPr>
          <w:p w14:paraId="13600B02" w14:textId="77777777" w:rsidR="002D0AE7" w:rsidRDefault="00333EBB">
            <w:pPr>
              <w:autoSpaceDE w:val="0"/>
              <w:autoSpaceDN w:val="0"/>
              <w:adjustRightInd w:val="0"/>
              <w:jc w:val="center"/>
              <w:rPr>
                <w:rFonts w:hint="eastAsia"/>
              </w:rPr>
            </w:pPr>
            <w:r>
              <w:t>津药资产管理有限公司</w:t>
            </w:r>
          </w:p>
        </w:tc>
        <w:tc>
          <w:tcPr>
            <w:tcW w:w="556" w:type="pct"/>
            <w:vAlign w:val="center"/>
          </w:tcPr>
          <w:p w14:paraId="669316BA" w14:textId="77777777" w:rsidR="002D0AE7" w:rsidRDefault="00333EBB">
            <w:pPr>
              <w:autoSpaceDE w:val="0"/>
              <w:autoSpaceDN w:val="0"/>
              <w:adjustRightInd w:val="0"/>
              <w:jc w:val="center"/>
              <w:rPr>
                <w:rFonts w:hint="eastAsia"/>
              </w:rPr>
            </w:pPr>
            <w:r>
              <w:t>津药药业</w:t>
            </w:r>
          </w:p>
        </w:tc>
        <w:tc>
          <w:tcPr>
            <w:tcW w:w="775" w:type="pct"/>
            <w:vAlign w:val="center"/>
          </w:tcPr>
          <w:p w14:paraId="33DBD6F5" w14:textId="77777777" w:rsidR="002D0AE7" w:rsidRDefault="00333EBB">
            <w:pPr>
              <w:autoSpaceDE w:val="0"/>
              <w:autoSpaceDN w:val="0"/>
              <w:adjustRightInd w:val="0"/>
              <w:jc w:val="center"/>
              <w:rPr>
                <w:rFonts w:hint="eastAsia"/>
              </w:rPr>
            </w:pPr>
            <w:r>
              <w:t>津药永光</w:t>
            </w:r>
            <w:r>
              <w:t>(</w:t>
            </w:r>
            <w:r>
              <w:t>河北</w:t>
            </w:r>
            <w:r>
              <w:t>)</w:t>
            </w:r>
            <w:r>
              <w:t>制药有限</w:t>
            </w:r>
            <w:r>
              <w:lastRenderedPageBreak/>
              <w:t>公司</w:t>
            </w:r>
            <w:r>
              <w:t>79.3843%</w:t>
            </w:r>
            <w:r>
              <w:t>的股权</w:t>
            </w:r>
          </w:p>
        </w:tc>
        <w:tc>
          <w:tcPr>
            <w:tcW w:w="513" w:type="pct"/>
            <w:vAlign w:val="center"/>
          </w:tcPr>
          <w:p w14:paraId="13D23260" w14:textId="77777777" w:rsidR="002D0AE7" w:rsidRDefault="00333EBB">
            <w:pPr>
              <w:autoSpaceDE w:val="0"/>
              <w:autoSpaceDN w:val="0"/>
              <w:adjustRightInd w:val="0"/>
              <w:jc w:val="center"/>
              <w:rPr>
                <w:rFonts w:hint="eastAsia"/>
              </w:rPr>
            </w:pPr>
            <w:r>
              <w:lastRenderedPageBreak/>
              <w:t>11,689.03</w:t>
            </w:r>
          </w:p>
        </w:tc>
        <w:tc>
          <w:tcPr>
            <w:tcW w:w="564" w:type="pct"/>
            <w:vAlign w:val="center"/>
          </w:tcPr>
          <w:p w14:paraId="01E3374A" w14:textId="77777777" w:rsidR="002D0AE7" w:rsidRDefault="00333EBB">
            <w:pPr>
              <w:autoSpaceDE w:val="0"/>
              <w:autoSpaceDN w:val="0"/>
              <w:adjustRightInd w:val="0"/>
              <w:jc w:val="center"/>
              <w:rPr>
                <w:rFonts w:hint="eastAsia"/>
              </w:rPr>
            </w:pPr>
            <w:r>
              <w:t>2021.10.19</w:t>
            </w:r>
          </w:p>
        </w:tc>
        <w:tc>
          <w:tcPr>
            <w:tcW w:w="564" w:type="pct"/>
            <w:vAlign w:val="center"/>
          </w:tcPr>
          <w:p w14:paraId="04CCBE05" w14:textId="77777777" w:rsidR="002D0AE7" w:rsidRDefault="00333EBB">
            <w:pPr>
              <w:autoSpaceDE w:val="0"/>
              <w:autoSpaceDN w:val="0"/>
              <w:adjustRightInd w:val="0"/>
              <w:jc w:val="center"/>
              <w:rPr>
                <w:rFonts w:hint="eastAsia"/>
              </w:rPr>
            </w:pPr>
            <w:r>
              <w:t>2024.10.18</w:t>
            </w:r>
          </w:p>
        </w:tc>
        <w:tc>
          <w:tcPr>
            <w:tcW w:w="157" w:type="pct"/>
            <w:vAlign w:val="center"/>
          </w:tcPr>
          <w:p w14:paraId="3DA278C5" w14:textId="77777777" w:rsidR="002D0AE7" w:rsidRDefault="00333EBB">
            <w:pPr>
              <w:autoSpaceDE w:val="0"/>
              <w:autoSpaceDN w:val="0"/>
              <w:adjustRightInd w:val="0"/>
              <w:jc w:val="center"/>
              <w:rPr>
                <w:rFonts w:hint="eastAsia"/>
              </w:rPr>
            </w:pPr>
            <w:r>
              <w:t>/</w:t>
            </w:r>
          </w:p>
        </w:tc>
        <w:tc>
          <w:tcPr>
            <w:tcW w:w="297" w:type="pct"/>
            <w:vAlign w:val="center"/>
          </w:tcPr>
          <w:p w14:paraId="1CFFFBD2" w14:textId="77777777" w:rsidR="002D0AE7" w:rsidRDefault="00333EBB">
            <w:pPr>
              <w:autoSpaceDE w:val="0"/>
              <w:autoSpaceDN w:val="0"/>
              <w:adjustRightInd w:val="0"/>
              <w:jc w:val="center"/>
              <w:rPr>
                <w:rFonts w:hint="eastAsia"/>
              </w:rPr>
            </w:pPr>
            <w:r>
              <w:t>《股权托</w:t>
            </w:r>
            <w:r>
              <w:lastRenderedPageBreak/>
              <w:t>管协议》</w:t>
            </w:r>
          </w:p>
        </w:tc>
        <w:tc>
          <w:tcPr>
            <w:tcW w:w="265" w:type="pct"/>
            <w:vAlign w:val="center"/>
          </w:tcPr>
          <w:p w14:paraId="236C5ED0" w14:textId="77777777" w:rsidR="002D0AE7" w:rsidRDefault="00333EBB">
            <w:pPr>
              <w:autoSpaceDE w:val="0"/>
              <w:autoSpaceDN w:val="0"/>
              <w:adjustRightInd w:val="0"/>
              <w:jc w:val="center"/>
              <w:rPr>
                <w:rFonts w:hint="eastAsia"/>
              </w:rPr>
            </w:pPr>
            <w:r>
              <w:lastRenderedPageBreak/>
              <w:t>无</w:t>
            </w:r>
          </w:p>
        </w:tc>
        <w:sdt>
          <w:sdtPr>
            <w:rPr>
              <w:rFonts w:hint="eastAsia"/>
              <w:bCs/>
            </w:rPr>
            <w:alias w:val="托管是否关联交易"/>
            <w:tag w:val="_GBC_7a610cdc756345d6823d86ff86c094b9"/>
            <w:id w:val="-1756121524"/>
            <w:comboBox>
              <w:listItem w:displayText="是" w:value="true"/>
              <w:listItem w:displayText="否" w:value="false"/>
            </w:comboBox>
          </w:sdtPr>
          <w:sdtEndPr/>
          <w:sdtContent>
            <w:tc>
              <w:tcPr>
                <w:tcW w:w="265" w:type="pct"/>
                <w:vAlign w:val="center"/>
              </w:tcPr>
              <w:p w14:paraId="0F7E1BE5" w14:textId="77777777" w:rsidR="002D0AE7" w:rsidRDefault="00333EBB">
                <w:pPr>
                  <w:autoSpaceDE w:val="0"/>
                  <w:autoSpaceDN w:val="0"/>
                  <w:adjustRightInd w:val="0"/>
                  <w:jc w:val="center"/>
                  <w:rPr>
                    <w:rFonts w:hint="eastAsia"/>
                  </w:rPr>
                </w:pPr>
                <w:r>
                  <w:rPr>
                    <w:rFonts w:hint="eastAsia"/>
                    <w:bCs/>
                  </w:rPr>
                  <w:t>是</w:t>
                </w:r>
              </w:p>
            </w:tc>
          </w:sdtContent>
        </w:sdt>
        <w:sdt>
          <w:sdtPr>
            <w:alias w:val="托管中关联方与本公司关系"/>
            <w:tag w:val="_GBC_e3428408d99546baa5e58aed94e94f27"/>
            <w:id w:val="-549534932"/>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489" w:type="pct"/>
                <w:vAlign w:val="center"/>
              </w:tcPr>
              <w:p w14:paraId="7400DADB" w14:textId="77777777" w:rsidR="002D0AE7" w:rsidRDefault="00333EBB">
                <w:pPr>
                  <w:autoSpaceDE w:val="0"/>
                  <w:autoSpaceDN w:val="0"/>
                  <w:adjustRightInd w:val="0"/>
                  <w:jc w:val="center"/>
                  <w:rPr>
                    <w:rFonts w:hint="eastAsia"/>
                  </w:rPr>
                </w:pPr>
                <w:r>
                  <w:t>间接控股股东</w:t>
                </w:r>
              </w:p>
            </w:tc>
          </w:sdtContent>
        </w:sdt>
      </w:tr>
      <w:tr w:rsidR="002D0AE7" w14:paraId="03E179F4" w14:textId="77777777">
        <w:tc>
          <w:tcPr>
            <w:tcW w:w="556" w:type="pct"/>
            <w:vAlign w:val="center"/>
          </w:tcPr>
          <w:p w14:paraId="24BCB2CB" w14:textId="77777777" w:rsidR="002D0AE7" w:rsidRDefault="00333EBB">
            <w:pPr>
              <w:autoSpaceDE w:val="0"/>
              <w:autoSpaceDN w:val="0"/>
              <w:adjustRightInd w:val="0"/>
              <w:jc w:val="center"/>
              <w:rPr>
                <w:rFonts w:hint="eastAsia"/>
              </w:rPr>
            </w:pPr>
            <w:r>
              <w:t>天津药业集团有限公司</w:t>
            </w:r>
          </w:p>
        </w:tc>
        <w:tc>
          <w:tcPr>
            <w:tcW w:w="556" w:type="pct"/>
            <w:vAlign w:val="center"/>
          </w:tcPr>
          <w:p w14:paraId="7623C925" w14:textId="77777777" w:rsidR="002D0AE7" w:rsidRDefault="00333EBB">
            <w:pPr>
              <w:autoSpaceDE w:val="0"/>
              <w:autoSpaceDN w:val="0"/>
              <w:adjustRightInd w:val="0"/>
              <w:jc w:val="center"/>
              <w:rPr>
                <w:rFonts w:hint="eastAsia"/>
              </w:rPr>
            </w:pPr>
            <w:r>
              <w:t>津药药业</w:t>
            </w:r>
          </w:p>
        </w:tc>
        <w:tc>
          <w:tcPr>
            <w:tcW w:w="775" w:type="pct"/>
            <w:vAlign w:val="center"/>
          </w:tcPr>
          <w:p w14:paraId="55E88182" w14:textId="77777777" w:rsidR="002D0AE7" w:rsidRDefault="00333EBB">
            <w:pPr>
              <w:autoSpaceDE w:val="0"/>
              <w:autoSpaceDN w:val="0"/>
              <w:adjustRightInd w:val="0"/>
              <w:jc w:val="center"/>
              <w:rPr>
                <w:rFonts w:hint="eastAsia"/>
              </w:rPr>
            </w:pPr>
            <w:r>
              <w:t>天津药业研究院股份有限公司</w:t>
            </w:r>
            <w:r>
              <w:t>75.61%</w:t>
            </w:r>
            <w:r>
              <w:t>的股权</w:t>
            </w:r>
          </w:p>
        </w:tc>
        <w:tc>
          <w:tcPr>
            <w:tcW w:w="513" w:type="pct"/>
            <w:vAlign w:val="center"/>
          </w:tcPr>
          <w:p w14:paraId="53BD35D0" w14:textId="77777777" w:rsidR="002D0AE7" w:rsidRDefault="00333EBB">
            <w:pPr>
              <w:autoSpaceDE w:val="0"/>
              <w:autoSpaceDN w:val="0"/>
              <w:adjustRightInd w:val="0"/>
              <w:jc w:val="center"/>
              <w:rPr>
                <w:rFonts w:hint="eastAsia"/>
              </w:rPr>
            </w:pPr>
            <w:r>
              <w:t>3,780.50</w:t>
            </w:r>
          </w:p>
        </w:tc>
        <w:tc>
          <w:tcPr>
            <w:tcW w:w="564" w:type="pct"/>
            <w:vAlign w:val="center"/>
          </w:tcPr>
          <w:p w14:paraId="1CC64162" w14:textId="77777777" w:rsidR="002D0AE7" w:rsidRDefault="00333EBB">
            <w:pPr>
              <w:autoSpaceDE w:val="0"/>
              <w:autoSpaceDN w:val="0"/>
              <w:adjustRightInd w:val="0"/>
              <w:jc w:val="center"/>
              <w:rPr>
                <w:rFonts w:hint="eastAsia"/>
              </w:rPr>
            </w:pPr>
            <w:r>
              <w:t>2023.9.22</w:t>
            </w:r>
          </w:p>
        </w:tc>
        <w:tc>
          <w:tcPr>
            <w:tcW w:w="564" w:type="pct"/>
            <w:vAlign w:val="center"/>
          </w:tcPr>
          <w:p w14:paraId="7CC717C0" w14:textId="77777777" w:rsidR="002D0AE7" w:rsidRDefault="00333EBB">
            <w:pPr>
              <w:autoSpaceDE w:val="0"/>
              <w:autoSpaceDN w:val="0"/>
              <w:adjustRightInd w:val="0"/>
              <w:jc w:val="center"/>
              <w:rPr>
                <w:rFonts w:hint="eastAsia"/>
              </w:rPr>
            </w:pPr>
            <w:r>
              <w:t>2024.9.21</w:t>
            </w:r>
          </w:p>
        </w:tc>
        <w:tc>
          <w:tcPr>
            <w:tcW w:w="157" w:type="pct"/>
            <w:vAlign w:val="center"/>
          </w:tcPr>
          <w:p w14:paraId="7CE72811" w14:textId="77777777" w:rsidR="002D0AE7" w:rsidRDefault="00333EBB">
            <w:pPr>
              <w:autoSpaceDE w:val="0"/>
              <w:autoSpaceDN w:val="0"/>
              <w:adjustRightInd w:val="0"/>
              <w:jc w:val="center"/>
              <w:rPr>
                <w:rFonts w:hint="eastAsia"/>
              </w:rPr>
            </w:pPr>
            <w:r>
              <w:t>10</w:t>
            </w:r>
          </w:p>
        </w:tc>
        <w:tc>
          <w:tcPr>
            <w:tcW w:w="297" w:type="pct"/>
            <w:vAlign w:val="center"/>
          </w:tcPr>
          <w:p w14:paraId="4AF9162D" w14:textId="77777777" w:rsidR="002D0AE7" w:rsidRDefault="00333EBB">
            <w:pPr>
              <w:autoSpaceDE w:val="0"/>
              <w:autoSpaceDN w:val="0"/>
              <w:adjustRightInd w:val="0"/>
              <w:jc w:val="center"/>
              <w:rPr>
                <w:rFonts w:hint="eastAsia"/>
              </w:rPr>
            </w:pPr>
            <w:r>
              <w:t>《股权托管协议》</w:t>
            </w:r>
          </w:p>
        </w:tc>
        <w:tc>
          <w:tcPr>
            <w:tcW w:w="265" w:type="pct"/>
            <w:vAlign w:val="center"/>
          </w:tcPr>
          <w:p w14:paraId="50D49BE1" w14:textId="77777777" w:rsidR="002D0AE7" w:rsidRDefault="00333EBB">
            <w:pPr>
              <w:autoSpaceDE w:val="0"/>
              <w:autoSpaceDN w:val="0"/>
              <w:adjustRightInd w:val="0"/>
              <w:jc w:val="center"/>
              <w:rPr>
                <w:rFonts w:hint="eastAsia"/>
              </w:rPr>
            </w:pPr>
            <w:r>
              <w:t>无</w:t>
            </w:r>
          </w:p>
        </w:tc>
        <w:sdt>
          <w:sdtPr>
            <w:rPr>
              <w:rFonts w:hint="eastAsia"/>
              <w:bCs/>
            </w:rPr>
            <w:alias w:val="托管是否关联交易"/>
            <w:tag w:val="_GBC_7a610cdc756345d6823d86ff86c094b9"/>
            <w:id w:val="-853349574"/>
            <w:comboBox>
              <w:listItem w:displayText="是" w:value="true"/>
              <w:listItem w:displayText="否" w:value="false"/>
            </w:comboBox>
          </w:sdtPr>
          <w:sdtEndPr/>
          <w:sdtContent>
            <w:tc>
              <w:tcPr>
                <w:tcW w:w="265" w:type="pct"/>
                <w:vAlign w:val="center"/>
              </w:tcPr>
              <w:p w14:paraId="076CF749" w14:textId="77777777" w:rsidR="002D0AE7" w:rsidRDefault="00333EBB">
                <w:pPr>
                  <w:autoSpaceDE w:val="0"/>
                  <w:autoSpaceDN w:val="0"/>
                  <w:adjustRightInd w:val="0"/>
                  <w:jc w:val="center"/>
                  <w:rPr>
                    <w:rFonts w:hint="eastAsia"/>
                  </w:rPr>
                </w:pPr>
                <w:r>
                  <w:rPr>
                    <w:rFonts w:hint="eastAsia"/>
                    <w:bCs/>
                  </w:rPr>
                  <w:t>是</w:t>
                </w:r>
              </w:p>
            </w:tc>
          </w:sdtContent>
        </w:sdt>
        <w:sdt>
          <w:sdtPr>
            <w:alias w:val="托管中关联方与本公司关系"/>
            <w:tag w:val="_GBC_e3428408d99546baa5e58aed94e94f27"/>
            <w:id w:val="-2015762750"/>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EndPr/>
          <w:sdtContent>
            <w:tc>
              <w:tcPr>
                <w:tcW w:w="489" w:type="pct"/>
                <w:vAlign w:val="center"/>
              </w:tcPr>
              <w:p w14:paraId="7A575840" w14:textId="77777777" w:rsidR="002D0AE7" w:rsidRDefault="00333EBB">
                <w:pPr>
                  <w:autoSpaceDE w:val="0"/>
                  <w:autoSpaceDN w:val="0"/>
                  <w:adjustRightInd w:val="0"/>
                  <w:jc w:val="center"/>
                  <w:rPr>
                    <w:rFonts w:hint="eastAsia"/>
                  </w:rPr>
                </w:pPr>
                <w:r>
                  <w:t>控股股东</w:t>
                </w:r>
              </w:p>
            </w:tc>
          </w:sdtContent>
        </w:sdt>
      </w:tr>
    </w:tbl>
    <w:p w14:paraId="7C102BED" w14:textId="77777777" w:rsidR="002D0AE7" w:rsidRDefault="00333EBB">
      <w:pPr>
        <w:rPr>
          <w:rFonts w:hint="eastAsia"/>
          <w:color w:val="000000" w:themeColor="text1"/>
        </w:rPr>
      </w:pPr>
      <w:r>
        <w:rPr>
          <w:color w:val="000000" w:themeColor="text1"/>
        </w:rPr>
        <w:t>托管情况说明</w:t>
      </w:r>
    </w:p>
    <w:sdt>
      <w:sdtPr>
        <w:rPr>
          <w:rFonts w:hint="eastAsia"/>
          <w:color w:val="000000" w:themeColor="text1"/>
        </w:rPr>
        <w:alias w:val="托管情况说明"/>
        <w:tag w:val="_GBC_5eed16ec393348da89b5ea8bfec68130"/>
        <w:id w:val="1113865145"/>
        <w:placeholder>
          <w:docPart w:val="GBC22222222222222222222222222222"/>
        </w:placeholder>
      </w:sdtPr>
      <w:sdtEndPr>
        <w:rPr>
          <w:shd w:val="pct10" w:color="auto" w:fill="FFFFFF"/>
        </w:rPr>
      </w:sdtEndPr>
      <w:sdtContent>
        <w:p w14:paraId="13721C56" w14:textId="77777777" w:rsidR="002D0AE7" w:rsidRDefault="00333EBB">
          <w:pPr>
            <w:ind w:firstLineChars="200" w:firstLine="480"/>
            <w:rPr>
              <w:rFonts w:hint="eastAsia"/>
              <w:color w:val="000000" w:themeColor="text1"/>
            </w:rPr>
          </w:pPr>
          <w:r>
            <w:rPr>
              <w:color w:val="000000" w:themeColor="text1"/>
            </w:rPr>
            <w:t>1.</w:t>
          </w:r>
          <w:r>
            <w:rPr>
              <w:color w:val="000000" w:themeColor="text1"/>
            </w:rPr>
            <w:t>经公司</w:t>
          </w:r>
          <w:r>
            <w:rPr>
              <w:color w:val="000000" w:themeColor="text1"/>
            </w:rPr>
            <w:t>2021</w:t>
          </w:r>
          <w:r>
            <w:rPr>
              <w:color w:val="000000" w:themeColor="text1"/>
            </w:rPr>
            <w:t>年</w:t>
          </w:r>
          <w:r>
            <w:rPr>
              <w:color w:val="000000" w:themeColor="text1"/>
            </w:rPr>
            <w:t>9</w:t>
          </w:r>
          <w:r>
            <w:rPr>
              <w:color w:val="000000" w:themeColor="text1"/>
            </w:rPr>
            <w:t>月</w:t>
          </w:r>
          <w:r>
            <w:rPr>
              <w:color w:val="000000" w:themeColor="text1"/>
            </w:rPr>
            <w:t>24</w:t>
          </w:r>
          <w:r>
            <w:rPr>
              <w:color w:val="000000" w:themeColor="text1"/>
            </w:rPr>
            <w:t>日召开的第八届董事会第十四次会议审议通过，为避免可能产生的潜在同业竞争，公司与间接控股股东津药资产续签《股权托管协议》，继续受托管理津药资产持有的</w:t>
          </w:r>
          <w:r>
            <w:rPr>
              <w:rFonts w:hint="eastAsia"/>
              <w:color w:val="000000" w:themeColor="text1"/>
            </w:rPr>
            <w:t>津药</w:t>
          </w:r>
          <w:r>
            <w:rPr>
              <w:color w:val="000000" w:themeColor="text1"/>
            </w:rPr>
            <w:t>永光</w:t>
          </w:r>
          <w:r>
            <w:rPr>
              <w:color w:val="000000" w:themeColor="text1"/>
            </w:rPr>
            <w:t>79.3843%</w:t>
          </w:r>
          <w:r>
            <w:rPr>
              <w:color w:val="000000" w:themeColor="text1"/>
            </w:rPr>
            <w:t>股权，托管期限为</w:t>
          </w:r>
          <w:r>
            <w:rPr>
              <w:color w:val="000000" w:themeColor="text1"/>
            </w:rPr>
            <w:t>2021</w:t>
          </w:r>
          <w:r>
            <w:rPr>
              <w:color w:val="000000" w:themeColor="text1"/>
            </w:rPr>
            <w:t>年</w:t>
          </w:r>
          <w:r>
            <w:rPr>
              <w:color w:val="000000" w:themeColor="text1"/>
            </w:rPr>
            <w:t>10</w:t>
          </w:r>
          <w:r>
            <w:rPr>
              <w:color w:val="000000" w:themeColor="text1"/>
            </w:rPr>
            <w:t>月</w:t>
          </w:r>
          <w:r>
            <w:rPr>
              <w:color w:val="000000" w:themeColor="text1"/>
            </w:rPr>
            <w:t>19</w:t>
          </w:r>
          <w:r>
            <w:rPr>
              <w:color w:val="000000" w:themeColor="text1"/>
            </w:rPr>
            <w:t>日至</w:t>
          </w:r>
          <w:r>
            <w:rPr>
              <w:color w:val="000000" w:themeColor="text1"/>
            </w:rPr>
            <w:t>2024</w:t>
          </w:r>
          <w:r>
            <w:rPr>
              <w:color w:val="000000" w:themeColor="text1"/>
            </w:rPr>
            <w:t>年</w:t>
          </w:r>
          <w:r>
            <w:rPr>
              <w:color w:val="000000" w:themeColor="text1"/>
            </w:rPr>
            <w:t>10</w:t>
          </w:r>
          <w:r>
            <w:rPr>
              <w:color w:val="000000" w:themeColor="text1"/>
            </w:rPr>
            <w:t>月</w:t>
          </w:r>
          <w:r>
            <w:rPr>
              <w:color w:val="000000" w:themeColor="text1"/>
            </w:rPr>
            <w:t>18</w:t>
          </w:r>
          <w:r>
            <w:rPr>
              <w:color w:val="000000" w:themeColor="text1"/>
            </w:rPr>
            <w:t>日。</w:t>
          </w:r>
        </w:p>
        <w:p w14:paraId="1BB5BED3" w14:textId="77777777" w:rsidR="002D0AE7" w:rsidRDefault="00333EBB">
          <w:pPr>
            <w:ind w:firstLineChars="200" w:firstLine="480"/>
            <w:rPr>
              <w:rFonts w:hint="eastAsia"/>
              <w:color w:val="000000" w:themeColor="text1"/>
            </w:rPr>
          </w:pPr>
          <w:r>
            <w:rPr>
              <w:color w:val="000000" w:themeColor="text1"/>
            </w:rPr>
            <w:t>经公司</w:t>
          </w:r>
          <w:r>
            <w:rPr>
              <w:color w:val="000000" w:themeColor="text1"/>
            </w:rPr>
            <w:t>202</w:t>
          </w:r>
          <w:r>
            <w:rPr>
              <w:rFonts w:hint="eastAsia"/>
              <w:color w:val="000000" w:themeColor="text1"/>
            </w:rPr>
            <w:t>4</w:t>
          </w:r>
          <w:r>
            <w:rPr>
              <w:color w:val="000000" w:themeColor="text1"/>
            </w:rPr>
            <w:t>年</w:t>
          </w:r>
          <w:r>
            <w:rPr>
              <w:rFonts w:hint="eastAsia"/>
              <w:color w:val="000000" w:themeColor="text1"/>
            </w:rPr>
            <w:t>8</w:t>
          </w:r>
          <w:r>
            <w:rPr>
              <w:color w:val="000000" w:themeColor="text1"/>
            </w:rPr>
            <w:t>月</w:t>
          </w:r>
          <w:r>
            <w:rPr>
              <w:color w:val="000000" w:themeColor="text1"/>
            </w:rPr>
            <w:t>2</w:t>
          </w:r>
          <w:r>
            <w:rPr>
              <w:rFonts w:hint="eastAsia"/>
              <w:color w:val="000000" w:themeColor="text1"/>
            </w:rPr>
            <w:t>8</w:t>
          </w:r>
          <w:r>
            <w:rPr>
              <w:color w:val="000000" w:themeColor="text1"/>
            </w:rPr>
            <w:t>日召开的第</w:t>
          </w:r>
          <w:r>
            <w:rPr>
              <w:rFonts w:hint="eastAsia"/>
              <w:color w:val="000000" w:themeColor="text1"/>
            </w:rPr>
            <w:t>九</w:t>
          </w:r>
          <w:r>
            <w:rPr>
              <w:color w:val="000000" w:themeColor="text1"/>
            </w:rPr>
            <w:t>届董事会第十次会议审议通过，为避免可能产生的潜在同业竞争，公司与间接控股股东津药资产续签《股权托管协议》，继续受托管理津药资产持有的</w:t>
          </w:r>
          <w:r>
            <w:rPr>
              <w:rFonts w:hint="eastAsia"/>
              <w:color w:val="000000" w:themeColor="text1"/>
            </w:rPr>
            <w:t>津药永光</w:t>
          </w:r>
          <w:r>
            <w:rPr>
              <w:color w:val="000000" w:themeColor="text1"/>
            </w:rPr>
            <w:t>79.3843%</w:t>
          </w:r>
          <w:r>
            <w:rPr>
              <w:color w:val="000000" w:themeColor="text1"/>
            </w:rPr>
            <w:t>股权，托管期限为</w:t>
          </w:r>
          <w:r>
            <w:rPr>
              <w:color w:val="000000" w:themeColor="text1"/>
            </w:rPr>
            <w:t>202</w:t>
          </w:r>
          <w:r>
            <w:rPr>
              <w:rFonts w:hint="eastAsia"/>
              <w:color w:val="000000" w:themeColor="text1"/>
            </w:rPr>
            <w:t>4</w:t>
          </w:r>
          <w:r>
            <w:rPr>
              <w:color w:val="000000" w:themeColor="text1"/>
            </w:rPr>
            <w:t>年</w:t>
          </w:r>
          <w:r>
            <w:rPr>
              <w:color w:val="000000" w:themeColor="text1"/>
            </w:rPr>
            <w:t>10</w:t>
          </w:r>
          <w:r>
            <w:rPr>
              <w:color w:val="000000" w:themeColor="text1"/>
            </w:rPr>
            <w:t>月</w:t>
          </w:r>
          <w:r>
            <w:rPr>
              <w:color w:val="000000" w:themeColor="text1"/>
            </w:rPr>
            <w:t>1</w:t>
          </w:r>
          <w:r>
            <w:rPr>
              <w:rFonts w:hint="eastAsia"/>
              <w:color w:val="000000" w:themeColor="text1"/>
            </w:rPr>
            <w:t>9</w:t>
          </w:r>
          <w:r>
            <w:rPr>
              <w:color w:val="000000" w:themeColor="text1"/>
            </w:rPr>
            <w:t>日至</w:t>
          </w:r>
          <w:r>
            <w:rPr>
              <w:color w:val="000000" w:themeColor="text1"/>
            </w:rPr>
            <w:t>202</w:t>
          </w:r>
          <w:r>
            <w:rPr>
              <w:rFonts w:hint="eastAsia"/>
              <w:color w:val="000000" w:themeColor="text1"/>
            </w:rPr>
            <w:t>7</w:t>
          </w:r>
          <w:r>
            <w:rPr>
              <w:color w:val="000000" w:themeColor="text1"/>
            </w:rPr>
            <w:t>年</w:t>
          </w:r>
          <w:r>
            <w:rPr>
              <w:color w:val="000000" w:themeColor="text1"/>
            </w:rPr>
            <w:t>10</w:t>
          </w:r>
          <w:r>
            <w:rPr>
              <w:color w:val="000000" w:themeColor="text1"/>
            </w:rPr>
            <w:t>月</w:t>
          </w:r>
          <w:r>
            <w:rPr>
              <w:color w:val="000000" w:themeColor="text1"/>
            </w:rPr>
            <w:t>18</w:t>
          </w:r>
          <w:r>
            <w:rPr>
              <w:color w:val="000000" w:themeColor="text1"/>
            </w:rPr>
            <w:t>日</w:t>
          </w:r>
          <w:r>
            <w:rPr>
              <w:rFonts w:hint="eastAsia"/>
              <w:color w:val="000000" w:themeColor="text1"/>
            </w:rPr>
            <w:t>。</w:t>
          </w:r>
        </w:p>
        <w:p w14:paraId="2666653E" w14:textId="77777777" w:rsidR="002D0AE7" w:rsidRDefault="00333EBB">
          <w:pPr>
            <w:ind w:firstLineChars="200" w:firstLine="480"/>
            <w:rPr>
              <w:rFonts w:hint="eastAsia"/>
              <w:color w:val="000000" w:themeColor="text1"/>
            </w:rPr>
          </w:pPr>
          <w:r>
            <w:rPr>
              <w:color w:val="000000" w:themeColor="text1"/>
            </w:rPr>
            <w:t>2.</w:t>
          </w:r>
          <w:r>
            <w:rPr>
              <w:color w:val="000000" w:themeColor="text1"/>
            </w:rPr>
            <w:t>经公司</w:t>
          </w:r>
          <w:r>
            <w:rPr>
              <w:color w:val="000000" w:themeColor="text1"/>
            </w:rPr>
            <w:t>2023</w:t>
          </w:r>
          <w:r>
            <w:rPr>
              <w:color w:val="000000" w:themeColor="text1"/>
            </w:rPr>
            <w:t>年</w:t>
          </w:r>
          <w:r>
            <w:rPr>
              <w:color w:val="000000" w:themeColor="text1"/>
            </w:rPr>
            <w:t>9</w:t>
          </w:r>
          <w:r>
            <w:rPr>
              <w:color w:val="000000" w:themeColor="text1"/>
            </w:rPr>
            <w:t>月</w:t>
          </w:r>
          <w:r>
            <w:rPr>
              <w:color w:val="000000" w:themeColor="text1"/>
            </w:rPr>
            <w:t>22</w:t>
          </w:r>
          <w:r>
            <w:rPr>
              <w:color w:val="000000" w:themeColor="text1"/>
            </w:rPr>
            <w:t>日召开的第九届董事会第一次会议审议通过，为了提高公司的研发效率，加速研发成果转化，公司与控股股东药业集团签订《股权托管协议》，受托管理药业集团持有的药研院</w:t>
          </w:r>
          <w:r>
            <w:rPr>
              <w:color w:val="000000" w:themeColor="text1"/>
            </w:rPr>
            <w:t>75.61%</w:t>
          </w:r>
          <w:r>
            <w:rPr>
              <w:color w:val="000000" w:themeColor="text1"/>
            </w:rPr>
            <w:t>股权，托管期限为</w:t>
          </w:r>
          <w:r>
            <w:rPr>
              <w:color w:val="000000" w:themeColor="text1"/>
            </w:rPr>
            <w:t>2023</w:t>
          </w:r>
          <w:r>
            <w:rPr>
              <w:color w:val="000000" w:themeColor="text1"/>
            </w:rPr>
            <w:t>年</w:t>
          </w:r>
          <w:r>
            <w:rPr>
              <w:color w:val="000000" w:themeColor="text1"/>
            </w:rPr>
            <w:t>9</w:t>
          </w:r>
          <w:r>
            <w:rPr>
              <w:color w:val="000000" w:themeColor="text1"/>
            </w:rPr>
            <w:t>月</w:t>
          </w:r>
          <w:r>
            <w:rPr>
              <w:color w:val="000000" w:themeColor="text1"/>
            </w:rPr>
            <w:t>22</w:t>
          </w:r>
          <w:r>
            <w:rPr>
              <w:color w:val="000000" w:themeColor="text1"/>
            </w:rPr>
            <w:t>日至</w:t>
          </w:r>
          <w:r>
            <w:rPr>
              <w:color w:val="000000" w:themeColor="text1"/>
            </w:rPr>
            <w:t>2024</w:t>
          </w:r>
          <w:r>
            <w:rPr>
              <w:color w:val="000000" w:themeColor="text1"/>
            </w:rPr>
            <w:t>年</w:t>
          </w:r>
          <w:r>
            <w:rPr>
              <w:color w:val="000000" w:themeColor="text1"/>
            </w:rPr>
            <w:t>9</w:t>
          </w:r>
          <w:r>
            <w:rPr>
              <w:color w:val="000000" w:themeColor="text1"/>
            </w:rPr>
            <w:t>月</w:t>
          </w:r>
          <w:r>
            <w:rPr>
              <w:color w:val="000000" w:themeColor="text1"/>
            </w:rPr>
            <w:t>21</w:t>
          </w:r>
          <w:r>
            <w:rPr>
              <w:color w:val="000000" w:themeColor="text1"/>
            </w:rPr>
            <w:t>日。</w:t>
          </w:r>
        </w:p>
        <w:p w14:paraId="4146C507" w14:textId="77777777" w:rsidR="002D0AE7" w:rsidRDefault="00333EBB">
          <w:pPr>
            <w:ind w:firstLineChars="200" w:firstLine="480"/>
            <w:rPr>
              <w:rFonts w:hint="eastAsia"/>
              <w:color w:val="000000" w:themeColor="text1"/>
              <w:shd w:val="pct10" w:color="auto" w:fill="FFFFFF"/>
            </w:rPr>
          </w:pPr>
          <w:r>
            <w:rPr>
              <w:color w:val="000000" w:themeColor="text1"/>
            </w:rPr>
            <w:t>经公司</w:t>
          </w:r>
          <w:r>
            <w:rPr>
              <w:color w:val="000000" w:themeColor="text1"/>
            </w:rPr>
            <w:t>202</w:t>
          </w:r>
          <w:r>
            <w:rPr>
              <w:rFonts w:hint="eastAsia"/>
              <w:color w:val="000000" w:themeColor="text1"/>
            </w:rPr>
            <w:t>4</w:t>
          </w:r>
          <w:r>
            <w:rPr>
              <w:color w:val="000000" w:themeColor="text1"/>
            </w:rPr>
            <w:t>年</w:t>
          </w:r>
          <w:r>
            <w:rPr>
              <w:rFonts w:hint="eastAsia"/>
              <w:color w:val="000000" w:themeColor="text1"/>
            </w:rPr>
            <w:t>8</w:t>
          </w:r>
          <w:r>
            <w:rPr>
              <w:color w:val="000000" w:themeColor="text1"/>
            </w:rPr>
            <w:t>月</w:t>
          </w:r>
          <w:r>
            <w:rPr>
              <w:color w:val="000000" w:themeColor="text1"/>
            </w:rPr>
            <w:t>2</w:t>
          </w:r>
          <w:r>
            <w:rPr>
              <w:rFonts w:hint="eastAsia"/>
              <w:color w:val="000000" w:themeColor="text1"/>
            </w:rPr>
            <w:t>8</w:t>
          </w:r>
          <w:r>
            <w:rPr>
              <w:color w:val="000000" w:themeColor="text1"/>
            </w:rPr>
            <w:t>日召开的第九届董事会第</w:t>
          </w:r>
          <w:r>
            <w:rPr>
              <w:rFonts w:hint="eastAsia"/>
              <w:color w:val="000000" w:themeColor="text1"/>
            </w:rPr>
            <w:t>十</w:t>
          </w:r>
          <w:r>
            <w:rPr>
              <w:color w:val="000000" w:themeColor="text1"/>
            </w:rPr>
            <w:t>次会议审议通过，为了</w:t>
          </w:r>
          <w:r>
            <w:rPr>
              <w:rFonts w:hint="eastAsia"/>
              <w:color w:val="000000" w:themeColor="text1"/>
            </w:rPr>
            <w:t>发挥</w:t>
          </w:r>
          <w:r>
            <w:rPr>
              <w:color w:val="000000" w:themeColor="text1"/>
            </w:rPr>
            <w:t>研发</w:t>
          </w:r>
          <w:r>
            <w:rPr>
              <w:rFonts w:hint="eastAsia"/>
              <w:color w:val="000000" w:themeColor="text1"/>
            </w:rPr>
            <w:t>资源的协同效应</w:t>
          </w:r>
          <w:r>
            <w:rPr>
              <w:color w:val="000000" w:themeColor="text1"/>
            </w:rPr>
            <w:t>，公司与控股股东药业集团签订《股权托管协议》，受托管理药业集团持有的药研院</w:t>
          </w:r>
          <w:r>
            <w:rPr>
              <w:color w:val="000000" w:themeColor="text1"/>
            </w:rPr>
            <w:t>75.61%</w:t>
          </w:r>
          <w:r>
            <w:rPr>
              <w:color w:val="000000" w:themeColor="text1"/>
            </w:rPr>
            <w:t>股权，托管期限为</w:t>
          </w:r>
          <w:r>
            <w:rPr>
              <w:color w:val="000000" w:themeColor="text1"/>
            </w:rPr>
            <w:t>202</w:t>
          </w:r>
          <w:r>
            <w:rPr>
              <w:rFonts w:hint="eastAsia"/>
              <w:color w:val="000000" w:themeColor="text1"/>
            </w:rPr>
            <w:t>4</w:t>
          </w:r>
          <w:r>
            <w:rPr>
              <w:color w:val="000000" w:themeColor="text1"/>
            </w:rPr>
            <w:t>年</w:t>
          </w:r>
          <w:r>
            <w:rPr>
              <w:color w:val="000000" w:themeColor="text1"/>
            </w:rPr>
            <w:t>9</w:t>
          </w:r>
          <w:r>
            <w:rPr>
              <w:color w:val="000000" w:themeColor="text1"/>
            </w:rPr>
            <w:t>月</w:t>
          </w:r>
          <w:r>
            <w:rPr>
              <w:color w:val="000000" w:themeColor="text1"/>
            </w:rPr>
            <w:t>22</w:t>
          </w:r>
          <w:r>
            <w:rPr>
              <w:color w:val="000000" w:themeColor="text1"/>
            </w:rPr>
            <w:t>日至</w:t>
          </w:r>
          <w:r>
            <w:rPr>
              <w:color w:val="000000" w:themeColor="text1"/>
            </w:rPr>
            <w:t>202</w:t>
          </w:r>
          <w:r>
            <w:rPr>
              <w:rFonts w:hint="eastAsia"/>
              <w:color w:val="000000" w:themeColor="text1"/>
            </w:rPr>
            <w:t>7</w:t>
          </w:r>
          <w:r>
            <w:rPr>
              <w:color w:val="000000" w:themeColor="text1"/>
            </w:rPr>
            <w:t>年</w:t>
          </w:r>
          <w:r>
            <w:rPr>
              <w:color w:val="000000" w:themeColor="text1"/>
            </w:rPr>
            <w:t>9</w:t>
          </w:r>
          <w:r>
            <w:rPr>
              <w:color w:val="000000" w:themeColor="text1"/>
            </w:rPr>
            <w:t>月</w:t>
          </w:r>
          <w:r>
            <w:rPr>
              <w:color w:val="000000" w:themeColor="text1"/>
            </w:rPr>
            <w:t>21</w:t>
          </w:r>
          <w:r>
            <w:rPr>
              <w:color w:val="000000" w:themeColor="text1"/>
            </w:rPr>
            <w:t>日</w:t>
          </w:r>
          <w:r>
            <w:rPr>
              <w:rFonts w:hint="eastAsia"/>
              <w:color w:val="000000" w:themeColor="text1"/>
            </w:rPr>
            <w:t>。</w:t>
          </w:r>
        </w:p>
      </w:sdtContent>
    </w:sdt>
    <w:bookmarkEnd w:id="72"/>
    <w:p w14:paraId="53017EA6" w14:textId="77777777" w:rsidR="002D0AE7" w:rsidRDefault="00333EBB">
      <w:pPr>
        <w:pStyle w:val="4"/>
        <w:numPr>
          <w:ilvl w:val="0"/>
          <w:numId w:val="26"/>
        </w:numPr>
        <w:rPr>
          <w:rFonts w:ascii="宋体" w:hAnsi="宋体" w:hint="eastAsia"/>
          <w:color w:val="000000" w:themeColor="text1"/>
        </w:rPr>
      </w:pPr>
      <w:r>
        <w:rPr>
          <w:rFonts w:ascii="宋体" w:hAnsi="宋体"/>
          <w:color w:val="000000" w:themeColor="text1"/>
        </w:rPr>
        <w:t>承包情况</w:t>
      </w:r>
    </w:p>
    <w:sdt>
      <w:sdtPr>
        <w:rPr>
          <w:color w:val="000000" w:themeColor="text1"/>
        </w:rPr>
        <w:alias w:val="是否适用：承包情况[双击切换]"/>
        <w:tag w:val="_GBC_6780ba385e1b4167bc4be5b432f0a825"/>
        <w:id w:val="1732729347"/>
        <w:placeholder>
          <w:docPart w:val="GBC22222222222222222222222222222"/>
        </w:placeholder>
      </w:sdtPr>
      <w:sdtEndPr/>
      <w:sdtContent>
        <w:p w14:paraId="7B648FBA" w14:textId="77777777" w:rsidR="002D0AE7" w:rsidRDefault="00333EBB">
          <w:pPr>
            <w:rPr>
              <w:rFonts w:hint="eastAsia"/>
              <w:color w:val="000000" w:themeColor="text1"/>
              <w:shd w:val="pct10" w:color="auto" w:fill="FFFFFF"/>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5BEAC236" w14:textId="77777777" w:rsidR="002D0AE7" w:rsidRDefault="00333EBB">
      <w:pPr>
        <w:pStyle w:val="4"/>
        <w:numPr>
          <w:ilvl w:val="0"/>
          <w:numId w:val="26"/>
        </w:numPr>
        <w:rPr>
          <w:rFonts w:ascii="宋体" w:hAnsi="宋体" w:hint="eastAsia"/>
          <w:color w:val="000000" w:themeColor="text1"/>
        </w:rPr>
      </w:pPr>
      <w:r>
        <w:rPr>
          <w:rFonts w:ascii="宋体" w:hAnsi="宋体"/>
          <w:color w:val="000000" w:themeColor="text1"/>
        </w:rPr>
        <w:t>租赁情况</w:t>
      </w:r>
    </w:p>
    <w:sdt>
      <w:sdtPr>
        <w:rPr>
          <w:color w:val="000000" w:themeColor="text1"/>
        </w:rPr>
        <w:alias w:val="是否适用：租赁情况[双击切换]"/>
        <w:tag w:val="_GBC_0f311154c0f24dc687b16bed59ae8dd2"/>
        <w:id w:val="-586850170"/>
        <w:placeholder>
          <w:docPart w:val="GBC22222222222222222222222222222"/>
        </w:placeholder>
      </w:sdtPr>
      <w:sdtEndPr/>
      <w:sdtContent>
        <w:p w14:paraId="58298455" w14:textId="77777777" w:rsidR="002D0AE7" w:rsidRDefault="00333EBB">
          <w:pPr>
            <w:rPr>
              <w:rFonts w:hint="eastAsia"/>
              <w:color w:val="000000" w:themeColor="text1"/>
              <w:shd w:val="pct10" w:color="auto" w:fill="FFFFFF"/>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4BC68E3D" w14:textId="77777777" w:rsidR="002D0AE7" w:rsidRDefault="00333EBB">
      <w:pPr>
        <w:pStyle w:val="3"/>
        <w:numPr>
          <w:ilvl w:val="0"/>
          <w:numId w:val="27"/>
        </w:numPr>
        <w:ind w:left="450" w:hanging="450"/>
        <w:rPr>
          <w:rFonts w:ascii="宋体" w:hAnsi="宋体" w:hint="eastAsia"/>
          <w:color w:val="000000" w:themeColor="text1"/>
          <w:szCs w:val="21"/>
        </w:rPr>
      </w:pPr>
      <w:r>
        <w:rPr>
          <w:rFonts w:ascii="宋体" w:hAnsi="宋体" w:hint="eastAsia"/>
          <w:color w:val="000000" w:themeColor="text1"/>
          <w:szCs w:val="21"/>
        </w:rPr>
        <w:t>报告期内履行的及尚未履行完毕的重大担保情况</w:t>
      </w:r>
    </w:p>
    <w:sdt>
      <w:sdtPr>
        <w:rPr>
          <w:color w:val="000000" w:themeColor="text1"/>
        </w:rPr>
        <w:alias w:val="是否适用：担保情况[双击切换]"/>
        <w:tag w:val="_GBC_aae98b3e30bd49e4b2e1d2643f200047"/>
        <w:id w:val="1091893243"/>
        <w:placeholder>
          <w:docPart w:val="GBC22222222222222222222222222222"/>
        </w:placeholder>
      </w:sdtPr>
      <w:sdtEndPr/>
      <w:sdtContent>
        <w:p w14:paraId="1B4BA071"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3F56C034" w14:textId="77777777" w:rsidR="002D0AE7" w:rsidRDefault="00333EBB">
      <w:pPr>
        <w:pStyle w:val="3"/>
        <w:numPr>
          <w:ilvl w:val="0"/>
          <w:numId w:val="27"/>
        </w:numPr>
        <w:ind w:left="450" w:hanging="450"/>
        <w:rPr>
          <w:rFonts w:ascii="宋体" w:hAnsi="宋体" w:hint="eastAsia"/>
          <w:color w:val="000000" w:themeColor="text1"/>
          <w:szCs w:val="21"/>
        </w:rPr>
      </w:pPr>
      <w:bookmarkStart w:id="73" w:name="_Hlk42868045"/>
      <w:bookmarkEnd w:id="73"/>
      <w:r>
        <w:rPr>
          <w:rFonts w:ascii="宋体" w:hAnsi="宋体"/>
          <w:color w:val="000000" w:themeColor="text1"/>
          <w:szCs w:val="21"/>
        </w:rPr>
        <w:t>其他重大合同</w:t>
      </w:r>
    </w:p>
    <w:sdt>
      <w:sdtPr>
        <w:rPr>
          <w:color w:val="000000" w:themeColor="text1"/>
        </w:rPr>
        <w:alias w:val="是否适用：其他重大合同[双击切换]"/>
        <w:tag w:val="_GBC_23289ac36e3b4aeeaff6a4f1df0c3165"/>
        <w:id w:val="-1742242174"/>
        <w:placeholder>
          <w:docPart w:val="GBC22222222222222222222222222222"/>
        </w:placeholder>
      </w:sdtPr>
      <w:sdtEndPr/>
      <w:sdtContent>
        <w:p w14:paraId="7E186AB8"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09C32143" w14:textId="77777777" w:rsidR="002D0AE7" w:rsidRDefault="00333EBB">
      <w:pPr>
        <w:pStyle w:val="2"/>
        <w:numPr>
          <w:ilvl w:val="0"/>
          <w:numId w:val="18"/>
        </w:numPr>
        <w:tabs>
          <w:tab w:val="left" w:pos="426"/>
        </w:tabs>
        <w:ind w:left="482" w:hanging="482"/>
        <w:jc w:val="left"/>
        <w:rPr>
          <w:rFonts w:ascii="宋体" w:hAnsi="宋体" w:hint="eastAsia"/>
          <w:color w:val="000000" w:themeColor="text1"/>
        </w:rPr>
      </w:pPr>
      <w:bookmarkStart w:id="74" w:name="_Hlk170215658"/>
      <w:bookmarkStart w:id="75" w:name="_Hlk170206295"/>
      <w:bookmarkStart w:id="76" w:name="_Hlk72846301"/>
      <w:r>
        <w:rPr>
          <w:rFonts w:ascii="宋体" w:hAnsi="宋体" w:hint="eastAsia"/>
          <w:color w:val="000000" w:themeColor="text1"/>
        </w:rPr>
        <w:t>募集资金使用进展说明</w:t>
      </w:r>
    </w:p>
    <w:sdt>
      <w:sdtPr>
        <w:rPr>
          <w:color w:val="000000" w:themeColor="text1"/>
        </w:rPr>
        <w:alias w:val="是否适用：募集资金使用进展说明[双击切换]"/>
        <w:tag w:val="_GBC_680b9390780e4e2096adf48e91fa95ca"/>
        <w:id w:val="-680278223"/>
        <w:placeholder>
          <w:docPart w:val="GBC22222222222222222222222222222"/>
        </w:placeholder>
      </w:sdtPr>
      <w:sdtEndPr/>
      <w:sdtContent>
        <w:p w14:paraId="1DDFCA1A"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2D591B37" w14:textId="77777777" w:rsidR="002D0AE7" w:rsidRDefault="00333EBB">
      <w:pPr>
        <w:pStyle w:val="2"/>
        <w:numPr>
          <w:ilvl w:val="0"/>
          <w:numId w:val="18"/>
        </w:numPr>
        <w:tabs>
          <w:tab w:val="left" w:pos="426"/>
        </w:tabs>
        <w:ind w:left="482" w:hanging="482"/>
        <w:jc w:val="left"/>
        <w:rPr>
          <w:rFonts w:ascii="宋体" w:hAnsi="宋体" w:hint="eastAsia"/>
          <w:color w:val="000000" w:themeColor="text1"/>
        </w:rPr>
      </w:pPr>
      <w:bookmarkStart w:id="77" w:name="_Hlk106701941"/>
      <w:bookmarkStart w:id="78" w:name="_Hlk74904700"/>
      <w:bookmarkStart w:id="79" w:name="_Hlk74820557"/>
      <w:bookmarkEnd w:id="74"/>
      <w:bookmarkEnd w:id="75"/>
      <w:bookmarkEnd w:id="76"/>
      <w:bookmarkEnd w:id="77"/>
      <w:r>
        <w:rPr>
          <w:rFonts w:ascii="宋体" w:hAnsi="宋体"/>
          <w:color w:val="000000" w:themeColor="text1"/>
        </w:rPr>
        <w:t>其他</w:t>
      </w:r>
      <w:r>
        <w:rPr>
          <w:rFonts w:ascii="宋体" w:hAnsi="宋体" w:hint="eastAsia"/>
          <w:color w:val="000000" w:themeColor="text1"/>
        </w:rPr>
        <w:t>重大事项的说明</w:t>
      </w:r>
    </w:p>
    <w:sdt>
      <w:sdtPr>
        <w:rPr>
          <w:color w:val="000000" w:themeColor="text1"/>
        </w:rPr>
        <w:alias w:val="是否适用：其他重大事项的说明[双击切换]"/>
        <w:tag w:val="_GBC_60472543195d45309db4d042b8e09883"/>
        <w:id w:val="-587068645"/>
        <w:placeholder>
          <w:docPart w:val="GBC22222222222222222222222222222"/>
        </w:placeholder>
      </w:sdtPr>
      <w:sdtEndPr/>
      <w:sdtContent>
        <w:p w14:paraId="4E75E9AB"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1C92130D" w14:textId="77777777" w:rsidR="002D0AE7" w:rsidRDefault="002D0AE7">
      <w:pPr>
        <w:rPr>
          <w:rFonts w:hint="eastAsia"/>
          <w:color w:val="000000" w:themeColor="text1"/>
        </w:rPr>
      </w:pPr>
    </w:p>
    <w:p w14:paraId="2AF1899A" w14:textId="77777777" w:rsidR="002D0AE7" w:rsidRDefault="00333EBB">
      <w:pPr>
        <w:pStyle w:val="1"/>
        <w:numPr>
          <w:ilvl w:val="0"/>
          <w:numId w:val="2"/>
        </w:numPr>
        <w:rPr>
          <w:rFonts w:ascii="黑体" w:hAnsi="黑体" w:hint="eastAsia"/>
          <w:color w:val="000000" w:themeColor="text1"/>
        </w:rPr>
      </w:pPr>
      <w:bookmarkStart w:id="80" w:name="_Toc142578261"/>
      <w:bookmarkStart w:id="81" w:name="_Toc392233016"/>
      <w:bookmarkStart w:id="82" w:name="_Toc76114278"/>
      <w:bookmarkEnd w:id="78"/>
      <w:bookmarkEnd w:id="79"/>
      <w:r>
        <w:rPr>
          <w:rFonts w:ascii="黑体" w:hAnsi="黑体" w:hint="eastAsia"/>
          <w:color w:val="000000" w:themeColor="text1"/>
        </w:rPr>
        <w:lastRenderedPageBreak/>
        <w:t>股份变动及股东情况</w:t>
      </w:r>
      <w:bookmarkEnd w:id="61"/>
      <w:bookmarkEnd w:id="80"/>
      <w:bookmarkEnd w:id="81"/>
      <w:bookmarkEnd w:id="82"/>
    </w:p>
    <w:p w14:paraId="0F38B569" w14:textId="77777777" w:rsidR="002D0AE7" w:rsidRDefault="00333EBB">
      <w:pPr>
        <w:pStyle w:val="2"/>
        <w:numPr>
          <w:ilvl w:val="0"/>
          <w:numId w:val="28"/>
        </w:numPr>
        <w:spacing w:line="360" w:lineRule="auto"/>
        <w:ind w:left="482" w:hanging="482"/>
        <w:rPr>
          <w:rFonts w:ascii="宋体" w:hAnsi="宋体" w:hint="eastAsia"/>
          <w:color w:val="000000" w:themeColor="text1"/>
        </w:rPr>
      </w:pPr>
      <w:bookmarkStart w:id="83" w:name="_Toc342059476"/>
      <w:bookmarkStart w:id="84" w:name="_Toc342565989"/>
      <w:r>
        <w:rPr>
          <w:rFonts w:ascii="宋体" w:hAnsi="宋体"/>
          <w:color w:val="000000" w:themeColor="text1"/>
        </w:rPr>
        <w:t>股</w:t>
      </w:r>
      <w:r>
        <w:rPr>
          <w:rFonts w:ascii="宋体" w:hAnsi="宋体" w:hint="eastAsia"/>
          <w:color w:val="000000" w:themeColor="text1"/>
        </w:rPr>
        <w:t>本变动情况</w:t>
      </w:r>
      <w:bookmarkEnd w:id="83"/>
      <w:bookmarkEnd w:id="84"/>
    </w:p>
    <w:p w14:paraId="0D94362B" w14:textId="77777777" w:rsidR="002D0AE7" w:rsidRDefault="00333EBB">
      <w:pPr>
        <w:pStyle w:val="3"/>
        <w:numPr>
          <w:ilvl w:val="1"/>
          <w:numId w:val="29"/>
        </w:numPr>
        <w:rPr>
          <w:rFonts w:ascii="宋体" w:hAnsi="宋体" w:hint="eastAsia"/>
          <w:color w:val="000000" w:themeColor="text1"/>
        </w:rPr>
      </w:pPr>
      <w:bookmarkStart w:id="85" w:name="_Toc342059477"/>
      <w:bookmarkStart w:id="86" w:name="_Toc342565990"/>
      <w:r>
        <w:rPr>
          <w:rFonts w:ascii="宋体" w:hAnsi="宋体" w:hint="eastAsia"/>
          <w:color w:val="000000" w:themeColor="text1"/>
        </w:rPr>
        <w:t>股份变动情况表</w:t>
      </w:r>
      <w:bookmarkEnd w:id="85"/>
      <w:bookmarkEnd w:id="86"/>
    </w:p>
    <w:p w14:paraId="09EECBDE" w14:textId="77777777" w:rsidR="002D0AE7" w:rsidRDefault="00333EBB">
      <w:pPr>
        <w:pStyle w:val="4"/>
        <w:numPr>
          <w:ilvl w:val="2"/>
          <w:numId w:val="30"/>
        </w:numPr>
        <w:rPr>
          <w:rFonts w:ascii="宋体" w:hAnsi="宋体" w:hint="eastAsia"/>
          <w:color w:val="000000" w:themeColor="text1"/>
        </w:rPr>
      </w:pPr>
      <w:r>
        <w:rPr>
          <w:rFonts w:ascii="宋体" w:hAnsi="宋体" w:hint="eastAsia"/>
          <w:color w:val="000000" w:themeColor="text1"/>
        </w:rPr>
        <w:t>股份变动情况表</w:t>
      </w:r>
    </w:p>
    <w:p w14:paraId="290FB8A0" w14:textId="77777777" w:rsidR="002D0AE7" w:rsidRDefault="00333EBB">
      <w:pPr>
        <w:rPr>
          <w:rFonts w:hint="eastAsia"/>
          <w:color w:val="000000" w:themeColor="text1"/>
        </w:rPr>
      </w:pPr>
      <w:r>
        <w:rPr>
          <w:rFonts w:hint="eastAsia"/>
          <w:color w:val="000000" w:themeColor="text1"/>
        </w:rPr>
        <w:t>报告期内，</w:t>
      </w:r>
      <w:sdt>
        <w:sdtPr>
          <w:rPr>
            <w:rFonts w:hint="eastAsia"/>
            <w:color w:val="000000" w:themeColor="text1"/>
          </w:rPr>
          <w:tag w:val="_PLD_dec093ae39394edab2b0d11e4fc7aedd"/>
          <w:id w:val="1399941779"/>
          <w:placeholder>
            <w:docPart w:val="GBC22222222222222222222222222222"/>
          </w:placeholder>
        </w:sdtPr>
        <w:sdtEndPr/>
        <w:sdtContent>
          <w:r>
            <w:rPr>
              <w:rFonts w:hint="eastAsia"/>
              <w:color w:val="000000" w:themeColor="text1"/>
            </w:rPr>
            <w:t>公司股份总数及股本结构未发生变化。</w:t>
          </w:r>
        </w:sdtContent>
      </w:sdt>
    </w:p>
    <w:p w14:paraId="5B2A95B6" w14:textId="77777777" w:rsidR="002D0AE7" w:rsidRDefault="00333EBB">
      <w:pPr>
        <w:pStyle w:val="4"/>
        <w:numPr>
          <w:ilvl w:val="2"/>
          <w:numId w:val="30"/>
        </w:numPr>
        <w:rPr>
          <w:rFonts w:ascii="宋体" w:hAnsi="宋体" w:hint="eastAsia"/>
          <w:color w:val="000000" w:themeColor="text1"/>
        </w:rPr>
      </w:pPr>
      <w:bookmarkStart w:id="87" w:name="_Toc342565996"/>
      <w:bookmarkStart w:id="88" w:name="_Toc342059483"/>
      <w:r>
        <w:rPr>
          <w:rFonts w:ascii="宋体" w:hAnsi="宋体"/>
          <w:color w:val="000000" w:themeColor="text1"/>
        </w:rPr>
        <w:t>股份变动情况说明</w:t>
      </w:r>
    </w:p>
    <w:sdt>
      <w:sdtPr>
        <w:rPr>
          <w:color w:val="000000" w:themeColor="text1"/>
        </w:rPr>
        <w:alias w:val="是否适用：普通股股份变动情况说明[双击切换]"/>
        <w:tag w:val="_GBC_28994e6dc9c649e498c0ab9c340777bf"/>
        <w:id w:val="-338395702"/>
        <w:placeholder>
          <w:docPart w:val="GBC22222222222222222222222222222"/>
        </w:placeholder>
      </w:sdtPr>
      <w:sdtEndPr/>
      <w:sdtContent>
        <w:p w14:paraId="0BBE3AD1"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1BE31348" w14:textId="77777777" w:rsidR="002D0AE7" w:rsidRDefault="00333EBB">
      <w:pPr>
        <w:pStyle w:val="4"/>
        <w:numPr>
          <w:ilvl w:val="2"/>
          <w:numId w:val="30"/>
        </w:numPr>
        <w:rPr>
          <w:rFonts w:ascii="宋体" w:hAnsi="宋体" w:cs="宋体" w:hint="eastAsia"/>
          <w:color w:val="000000" w:themeColor="text1"/>
          <w:kern w:val="0"/>
          <w:szCs w:val="22"/>
        </w:rPr>
      </w:pPr>
      <w:r>
        <w:rPr>
          <w:rFonts w:ascii="宋体" w:hAnsi="宋体" w:cs="宋体" w:hint="eastAsia"/>
          <w:color w:val="000000" w:themeColor="text1"/>
          <w:kern w:val="0"/>
          <w:szCs w:val="22"/>
        </w:rPr>
        <w:t>报告期后到半年报披露日期间发生股份变动对每股收益、每股净资产等财务指标的影响（如有）</w:t>
      </w:r>
    </w:p>
    <w:sdt>
      <w:sdtPr>
        <w:rPr>
          <w:rFonts w:hint="eastAsia"/>
          <w:color w:val="000000" w:themeColor="text1"/>
        </w:rPr>
        <w:alias w:val="是否适用：普通股股份变动对最近一年和最近一期每股收益、每股净资产等财务指标的影响[双击切换]"/>
        <w:tag w:val="_GBC_bb0980f1589b4db8944ca5595f342bfe"/>
        <w:id w:val="-1269699174"/>
        <w:placeholder>
          <w:docPart w:val="GBC22222222222222222222222222222"/>
        </w:placeholder>
      </w:sdtPr>
      <w:sdtEndPr/>
      <w:sdtContent>
        <w:p w14:paraId="71678333"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2B2137C3" w14:textId="77777777" w:rsidR="002D0AE7" w:rsidRDefault="00333EBB">
      <w:pPr>
        <w:pStyle w:val="4"/>
        <w:numPr>
          <w:ilvl w:val="2"/>
          <w:numId w:val="30"/>
        </w:numPr>
        <w:rPr>
          <w:rFonts w:ascii="宋体" w:hAnsi="宋体" w:hint="eastAsia"/>
          <w:color w:val="000000" w:themeColor="text1"/>
        </w:rPr>
      </w:pPr>
      <w:r>
        <w:rPr>
          <w:rFonts w:ascii="宋体" w:hAnsi="宋体"/>
          <w:color w:val="000000" w:themeColor="text1"/>
        </w:rPr>
        <w:t>公司认为必要或证券监管机构要求披露的其他内容</w:t>
      </w:r>
    </w:p>
    <w:sdt>
      <w:sdtPr>
        <w:rPr>
          <w:color w:val="000000" w:themeColor="text1"/>
        </w:rPr>
        <w:alias w:val="是否适用：公司认为必要或证券监管机构要求披露的其他内容[双击切换]"/>
        <w:tag w:val="_GBC_7554eed1e25047d282437f24056d532b"/>
        <w:id w:val="695048346"/>
        <w:placeholder>
          <w:docPart w:val="GBC22222222222222222222222222222"/>
        </w:placeholder>
      </w:sdtPr>
      <w:sdtEndPr/>
      <w:sdtContent>
        <w:p w14:paraId="3464ED9C"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1EFC553D" w14:textId="77777777" w:rsidR="002D0AE7" w:rsidRDefault="00333EBB">
      <w:pPr>
        <w:pStyle w:val="3"/>
        <w:numPr>
          <w:ilvl w:val="1"/>
          <w:numId w:val="29"/>
        </w:numPr>
        <w:rPr>
          <w:rFonts w:ascii="宋体" w:hAnsi="宋体" w:hint="eastAsia"/>
          <w:color w:val="000000" w:themeColor="text1"/>
        </w:rPr>
      </w:pPr>
      <w:r>
        <w:rPr>
          <w:rFonts w:ascii="宋体" w:hAnsi="宋体"/>
          <w:color w:val="000000" w:themeColor="text1"/>
        </w:rPr>
        <w:t>限售股份变动情况</w:t>
      </w:r>
    </w:p>
    <w:sdt>
      <w:sdtPr>
        <w:rPr>
          <w:color w:val="000000" w:themeColor="text1"/>
        </w:rPr>
        <w:alias w:val="是否适用：限售股份变动情况表[双击切换]"/>
        <w:tag w:val="_GBC_6f5978a50e224b6aa94189436cdee711"/>
        <w:id w:val="-1730221784"/>
        <w:placeholder>
          <w:docPart w:val="GBC22222222222222222222222222222"/>
        </w:placeholder>
      </w:sdtPr>
      <w:sdtEndPr/>
      <w:sdtContent>
        <w:p w14:paraId="515EB749"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39AA5937" w14:textId="77777777" w:rsidR="002D0AE7" w:rsidRDefault="00333EBB">
      <w:pPr>
        <w:pStyle w:val="2"/>
        <w:numPr>
          <w:ilvl w:val="0"/>
          <w:numId w:val="28"/>
        </w:numPr>
        <w:spacing w:line="360" w:lineRule="auto"/>
        <w:ind w:left="482" w:hanging="482"/>
        <w:rPr>
          <w:rFonts w:ascii="宋体" w:hAnsi="宋体" w:hint="eastAsia"/>
          <w:color w:val="000000" w:themeColor="text1"/>
        </w:rPr>
      </w:pPr>
      <w:r>
        <w:rPr>
          <w:rFonts w:ascii="宋体" w:hAnsi="宋体"/>
          <w:color w:val="000000" w:themeColor="text1"/>
        </w:rPr>
        <w:t>股东情况</w:t>
      </w:r>
      <w:bookmarkEnd w:id="87"/>
      <w:bookmarkEnd w:id="88"/>
    </w:p>
    <w:p w14:paraId="572D69D2" w14:textId="77777777" w:rsidR="002D0AE7" w:rsidRDefault="00333EBB">
      <w:pPr>
        <w:pStyle w:val="3"/>
        <w:numPr>
          <w:ilvl w:val="1"/>
          <w:numId w:val="31"/>
        </w:numPr>
        <w:rPr>
          <w:rFonts w:ascii="宋体" w:hAnsi="宋体" w:hint="eastAsia"/>
          <w:color w:val="000000" w:themeColor="text1"/>
        </w:rPr>
      </w:pPr>
      <w:r>
        <w:rPr>
          <w:rFonts w:ascii="宋体" w:hAnsi="宋体"/>
          <w:color w:val="000000" w:themeColor="text1"/>
        </w:rPr>
        <w:t>股东总数：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299"/>
      </w:tblGrid>
      <w:tr w:rsidR="002D0AE7" w14:paraId="0C3DE398" w14:textId="77777777">
        <w:sdt>
          <w:sdtPr>
            <w:rPr>
              <w:rFonts w:ascii="Times New Roman" w:hAnsi="Times New Roman"/>
              <w:color w:val="000000" w:themeColor="text1"/>
            </w:rPr>
            <w:tag w:val="_PLD_9206d6884981495295105158630a6172"/>
            <w:id w:val="-26954586"/>
          </w:sdtPr>
          <w:sdtEndPr/>
          <w:sdtContent>
            <w:tc>
              <w:tcPr>
                <w:tcW w:w="5524" w:type="dxa"/>
              </w:tcPr>
              <w:p w14:paraId="04418B23" w14:textId="77777777" w:rsidR="002D0AE7" w:rsidRDefault="00333EBB">
                <w:pPr>
                  <w:rPr>
                    <w:rFonts w:ascii="Times New Roman" w:hAnsi="Times New Roman"/>
                    <w:color w:val="000000" w:themeColor="text1"/>
                  </w:rPr>
                </w:pPr>
                <w:r>
                  <w:rPr>
                    <w:rFonts w:ascii="Times New Roman" w:hAnsi="Times New Roman"/>
                    <w:color w:val="000000" w:themeColor="text1"/>
                  </w:rPr>
                  <w:t>截至报告期末</w:t>
                </w:r>
                <w:r>
                  <w:rPr>
                    <w:rFonts w:ascii="Times New Roman" w:hAnsi="Times New Roman" w:hint="eastAsia"/>
                    <w:color w:val="000000" w:themeColor="text1"/>
                  </w:rPr>
                  <w:t>普通股</w:t>
                </w:r>
                <w:r>
                  <w:rPr>
                    <w:rFonts w:ascii="Times New Roman" w:hAnsi="Times New Roman"/>
                    <w:color w:val="000000" w:themeColor="text1"/>
                  </w:rPr>
                  <w:t>股东总数</w:t>
                </w:r>
                <w:r>
                  <w:rPr>
                    <w:rFonts w:ascii="Times New Roman" w:hAnsi="Times New Roman"/>
                    <w:color w:val="000000" w:themeColor="text1"/>
                  </w:rPr>
                  <w:t>(</w:t>
                </w:r>
                <w:r>
                  <w:rPr>
                    <w:rFonts w:ascii="Times New Roman" w:hAnsi="Times New Roman"/>
                    <w:color w:val="000000" w:themeColor="text1"/>
                  </w:rPr>
                  <w:t>户</w:t>
                </w:r>
                <w:r>
                  <w:rPr>
                    <w:rFonts w:ascii="Times New Roman" w:hAnsi="Times New Roman"/>
                    <w:color w:val="000000" w:themeColor="text1"/>
                  </w:rPr>
                  <w:t>)</w:t>
                </w:r>
              </w:p>
            </w:tc>
          </w:sdtContent>
        </w:sdt>
        <w:tc>
          <w:tcPr>
            <w:tcW w:w="3299" w:type="dxa"/>
          </w:tcPr>
          <w:p w14:paraId="61837C21" w14:textId="77777777" w:rsidR="002D0AE7" w:rsidRDefault="00333EBB">
            <w:pPr>
              <w:jc w:val="right"/>
              <w:rPr>
                <w:rFonts w:ascii="Times New Roman" w:hAnsi="Times New Roman"/>
                <w:color w:val="000000" w:themeColor="text1"/>
              </w:rPr>
            </w:pPr>
            <w:r>
              <w:rPr>
                <w:rFonts w:ascii="Times New Roman" w:hAnsi="Times New Roman"/>
                <w:color w:val="000000" w:themeColor="text1"/>
              </w:rPr>
              <w:t>42,968</w:t>
            </w:r>
          </w:p>
        </w:tc>
      </w:tr>
      <w:tr w:rsidR="002D0AE7" w14:paraId="3D894293" w14:textId="77777777">
        <w:tc>
          <w:tcPr>
            <w:tcW w:w="5524" w:type="dxa"/>
          </w:tcPr>
          <w:p w14:paraId="3D50FD62" w14:textId="77777777" w:rsidR="002D0AE7" w:rsidRDefault="00333EBB">
            <w:pPr>
              <w:rPr>
                <w:rFonts w:ascii="Times New Roman" w:hAnsi="Times New Roman"/>
                <w:color w:val="000000" w:themeColor="text1"/>
              </w:rPr>
            </w:pPr>
            <w:r>
              <w:rPr>
                <w:rFonts w:ascii="Times New Roman" w:hAnsi="Times New Roman" w:hint="eastAsia"/>
                <w:color w:val="000000" w:themeColor="text1"/>
              </w:rPr>
              <w:t>截至报告期末表决权恢复的优先股股东总数（户）</w:t>
            </w:r>
          </w:p>
        </w:tc>
        <w:tc>
          <w:tcPr>
            <w:tcW w:w="3299" w:type="dxa"/>
          </w:tcPr>
          <w:p w14:paraId="67157729" w14:textId="77777777" w:rsidR="002D0AE7" w:rsidRDefault="00333EBB">
            <w:pPr>
              <w:jc w:val="right"/>
              <w:rPr>
                <w:rFonts w:ascii="Times New Roman" w:hAnsi="Times New Roman"/>
              </w:rPr>
            </w:pPr>
            <w:r>
              <w:rPr>
                <w:rFonts w:ascii="Times New Roman" w:hAnsi="Times New Roman" w:hint="eastAsia"/>
              </w:rPr>
              <w:t>0</w:t>
            </w:r>
          </w:p>
        </w:tc>
      </w:tr>
    </w:tbl>
    <w:p w14:paraId="55CBE3B5" w14:textId="77777777" w:rsidR="002D0AE7" w:rsidRDefault="00333EBB">
      <w:pPr>
        <w:pStyle w:val="3"/>
        <w:numPr>
          <w:ilvl w:val="1"/>
          <w:numId w:val="31"/>
        </w:numPr>
        <w:rPr>
          <w:rFonts w:ascii="宋体" w:hAnsi="宋体" w:hint="eastAsia"/>
          <w:color w:val="000000" w:themeColor="text1"/>
        </w:rPr>
      </w:pPr>
      <w:r>
        <w:rPr>
          <w:rFonts w:ascii="宋体" w:hAnsi="宋体" w:hint="eastAsia"/>
          <w:color w:val="000000" w:themeColor="text1"/>
          <w:szCs w:val="21"/>
        </w:rPr>
        <w:t>截至报告期末前十名股东、前十名流通股东（或无限售条件股东）持股情况表</w:t>
      </w:r>
    </w:p>
    <w:p w14:paraId="09EB7C96" w14:textId="77777777" w:rsidR="002D0AE7" w:rsidRDefault="00333EBB">
      <w:pPr>
        <w:jc w:val="right"/>
        <w:rPr>
          <w:rFonts w:hint="eastAsia"/>
          <w:color w:val="000000" w:themeColor="text1"/>
        </w:rPr>
      </w:pPr>
      <w:r>
        <w:rPr>
          <w:color w:val="000000" w:themeColor="text1"/>
        </w:rPr>
        <w:t>单位：</w:t>
      </w:r>
      <w:sdt>
        <w:sdtPr>
          <w:rPr>
            <w:bCs/>
            <w:color w:val="000000" w:themeColor="text1"/>
          </w:rPr>
          <w:alias w:val="单位：前十名股东持股情况"/>
          <w:tag w:val="_GBC_9d020b31dcb449c980ed0856cf6dae82"/>
          <w:id w:val="-633179205"/>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bCs/>
              <w:color w:val="000000" w:themeColor="text1"/>
            </w:rPr>
            <w:t>股</w:t>
          </w:r>
        </w:sdtContent>
      </w:sdt>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567"/>
        <w:gridCol w:w="1575"/>
        <w:gridCol w:w="1115"/>
        <w:gridCol w:w="456"/>
        <w:gridCol w:w="1240"/>
        <w:gridCol w:w="709"/>
        <w:gridCol w:w="1956"/>
      </w:tblGrid>
      <w:tr w:rsidR="002D0AE7" w14:paraId="573A5AB9" w14:textId="77777777">
        <w:trPr>
          <w:cantSplit/>
        </w:trPr>
        <w:bookmarkStart w:id="89" w:name="_Hlk161321917" w:displacedByCustomXml="next"/>
        <w:bookmarkStart w:id="90" w:name="_Hlk169006123" w:displacedByCustomXml="next"/>
        <w:bookmarkStart w:id="91" w:name="_Hlk167799956" w:displacedByCustomXml="next"/>
        <w:bookmarkStart w:id="92" w:name="_Hlk161154245" w:displacedByCustomXml="next"/>
        <w:bookmarkStart w:id="93" w:name="_Hlk155094173" w:displacedByCustomXml="next"/>
        <w:sdt>
          <w:sdtPr>
            <w:rPr>
              <w:color w:val="000000" w:themeColor="text1"/>
            </w:rPr>
            <w:tag w:val="_PLD_3038da138bad4905b589aeba821a8575"/>
            <w:id w:val="282625889"/>
          </w:sdtPr>
          <w:sdtEndPr/>
          <w:sdtContent>
            <w:tc>
              <w:tcPr>
                <w:tcW w:w="10632" w:type="dxa"/>
                <w:gridSpan w:val="8"/>
                <w:shd w:val="clear" w:color="auto" w:fill="auto"/>
                <w:vAlign w:val="center"/>
              </w:tcPr>
              <w:p w14:paraId="2A173433" w14:textId="77777777" w:rsidR="002D0AE7" w:rsidRDefault="00333EBB">
                <w:pPr>
                  <w:jc w:val="center"/>
                  <w:rPr>
                    <w:rFonts w:hint="eastAsia"/>
                    <w:color w:val="000000" w:themeColor="text1"/>
                  </w:rPr>
                </w:pPr>
                <w:r>
                  <w:rPr>
                    <w:color w:val="000000" w:themeColor="text1"/>
                  </w:rPr>
                  <w:t>前十名股东持股情况</w:t>
                </w:r>
                <w:r>
                  <w:rPr>
                    <w:rFonts w:hint="eastAsia"/>
                    <w:color w:val="000000" w:themeColor="text1"/>
                  </w:rPr>
                  <w:t>（不含通过转融通出借股份）</w:t>
                </w:r>
              </w:p>
            </w:tc>
          </w:sdtContent>
        </w:sdt>
      </w:tr>
      <w:tr w:rsidR="002D0AE7" w14:paraId="135FC471" w14:textId="77777777">
        <w:trPr>
          <w:cantSplit/>
        </w:trPr>
        <w:sdt>
          <w:sdtPr>
            <w:rPr>
              <w:color w:val="000000" w:themeColor="text1"/>
            </w:rPr>
            <w:tag w:val="_PLD_80eda5ca76254dc1b950ed7de7dc5885"/>
            <w:id w:val="-536047935"/>
          </w:sdtPr>
          <w:sdtEndPr/>
          <w:sdtContent>
            <w:tc>
              <w:tcPr>
                <w:tcW w:w="2014" w:type="dxa"/>
                <w:vMerge w:val="restart"/>
                <w:shd w:val="clear" w:color="auto" w:fill="auto"/>
                <w:vAlign w:val="center"/>
              </w:tcPr>
              <w:p w14:paraId="74B74F02" w14:textId="77777777" w:rsidR="002D0AE7" w:rsidRDefault="00333EBB">
                <w:pPr>
                  <w:jc w:val="center"/>
                  <w:rPr>
                    <w:rFonts w:hint="eastAsia"/>
                    <w:color w:val="000000" w:themeColor="text1"/>
                  </w:rPr>
                </w:pPr>
                <w:r>
                  <w:rPr>
                    <w:color w:val="000000" w:themeColor="text1"/>
                  </w:rPr>
                  <w:t>股东名称</w:t>
                </w:r>
              </w:p>
              <w:p w14:paraId="375EFDD5" w14:textId="77777777" w:rsidR="002D0AE7" w:rsidRDefault="00333EBB">
                <w:pPr>
                  <w:jc w:val="center"/>
                  <w:rPr>
                    <w:rFonts w:hint="eastAsia"/>
                    <w:color w:val="000000" w:themeColor="text1"/>
                  </w:rPr>
                </w:pPr>
                <w:r>
                  <w:rPr>
                    <w:rFonts w:hint="eastAsia"/>
                    <w:color w:val="000000" w:themeColor="text1"/>
                  </w:rPr>
                  <w:t>（全称）</w:t>
                </w:r>
              </w:p>
            </w:tc>
          </w:sdtContent>
        </w:sdt>
        <w:sdt>
          <w:sdtPr>
            <w:rPr>
              <w:color w:val="000000" w:themeColor="text1"/>
            </w:rPr>
            <w:tag w:val="_PLD_ca2ffd3fc186426e98aac562ecc1ba54"/>
            <w:id w:val="-318269782"/>
          </w:sdtPr>
          <w:sdtEndPr/>
          <w:sdtContent>
            <w:tc>
              <w:tcPr>
                <w:tcW w:w="1567" w:type="dxa"/>
                <w:vMerge w:val="restart"/>
                <w:shd w:val="clear" w:color="auto" w:fill="auto"/>
                <w:vAlign w:val="center"/>
              </w:tcPr>
              <w:p w14:paraId="523CA2D4" w14:textId="77777777" w:rsidR="002D0AE7" w:rsidRDefault="00333EBB">
                <w:pPr>
                  <w:jc w:val="center"/>
                  <w:rPr>
                    <w:rFonts w:hint="eastAsia"/>
                    <w:color w:val="000000" w:themeColor="text1"/>
                  </w:rPr>
                </w:pPr>
                <w:r>
                  <w:rPr>
                    <w:color w:val="000000" w:themeColor="text1"/>
                  </w:rPr>
                  <w:t>报告期内增减</w:t>
                </w:r>
              </w:p>
            </w:tc>
          </w:sdtContent>
        </w:sdt>
        <w:sdt>
          <w:sdtPr>
            <w:rPr>
              <w:color w:val="000000" w:themeColor="text1"/>
            </w:rPr>
            <w:tag w:val="_PLD_084006d53bec42bea9418fc4576a1210"/>
            <w:id w:val="1486122682"/>
          </w:sdtPr>
          <w:sdtEndPr/>
          <w:sdtContent>
            <w:tc>
              <w:tcPr>
                <w:tcW w:w="1575" w:type="dxa"/>
                <w:vMerge w:val="restart"/>
                <w:shd w:val="clear" w:color="auto" w:fill="auto"/>
                <w:vAlign w:val="center"/>
              </w:tcPr>
              <w:p w14:paraId="7B3F7FAB" w14:textId="77777777" w:rsidR="002D0AE7" w:rsidRDefault="00333EBB">
                <w:pPr>
                  <w:jc w:val="center"/>
                  <w:rPr>
                    <w:rFonts w:hint="eastAsia"/>
                    <w:color w:val="000000" w:themeColor="text1"/>
                  </w:rPr>
                </w:pPr>
                <w:r>
                  <w:rPr>
                    <w:color w:val="000000" w:themeColor="text1"/>
                  </w:rPr>
                  <w:t>期末持股数量</w:t>
                </w:r>
              </w:p>
            </w:tc>
          </w:sdtContent>
        </w:sdt>
        <w:sdt>
          <w:sdtPr>
            <w:rPr>
              <w:color w:val="000000" w:themeColor="text1"/>
            </w:rPr>
            <w:tag w:val="_PLD_f27008de77ee4b27b35e2ae22d35699c"/>
            <w:id w:val="770133214"/>
          </w:sdtPr>
          <w:sdtEndPr/>
          <w:sdtContent>
            <w:tc>
              <w:tcPr>
                <w:tcW w:w="1115" w:type="dxa"/>
                <w:vMerge w:val="restart"/>
                <w:shd w:val="clear" w:color="auto" w:fill="auto"/>
                <w:vAlign w:val="center"/>
              </w:tcPr>
              <w:p w14:paraId="4E11CF76" w14:textId="77777777" w:rsidR="002D0AE7" w:rsidRDefault="00333EBB">
                <w:pPr>
                  <w:jc w:val="center"/>
                  <w:rPr>
                    <w:rFonts w:hint="eastAsia"/>
                    <w:color w:val="000000" w:themeColor="text1"/>
                  </w:rPr>
                </w:pPr>
                <w:r>
                  <w:rPr>
                    <w:color w:val="000000" w:themeColor="text1"/>
                  </w:rPr>
                  <w:t>比例</w:t>
                </w:r>
                <w:r>
                  <w:rPr>
                    <w:color w:val="000000" w:themeColor="text1"/>
                  </w:rPr>
                  <w:t>(%)</w:t>
                </w:r>
              </w:p>
            </w:tc>
          </w:sdtContent>
        </w:sdt>
        <w:sdt>
          <w:sdtPr>
            <w:rPr>
              <w:color w:val="000000" w:themeColor="text1"/>
            </w:rPr>
            <w:tag w:val="_PLD_34fcc5fa9a414555bef1b48aa74c8135"/>
            <w:id w:val="636528634"/>
          </w:sdtPr>
          <w:sdtEndPr/>
          <w:sdtContent>
            <w:tc>
              <w:tcPr>
                <w:tcW w:w="456" w:type="dxa"/>
                <w:vMerge w:val="restart"/>
                <w:shd w:val="clear" w:color="auto" w:fill="auto"/>
                <w:vAlign w:val="center"/>
              </w:tcPr>
              <w:p w14:paraId="1C50C3F3" w14:textId="77777777" w:rsidR="002D0AE7" w:rsidRDefault="00333EBB">
                <w:pPr>
                  <w:rPr>
                    <w:rFonts w:hint="eastAsia"/>
                    <w:bCs/>
                    <w:color w:val="000000" w:themeColor="text1"/>
                  </w:rPr>
                </w:pPr>
                <w:r>
                  <w:rPr>
                    <w:color w:val="000000" w:themeColor="text1"/>
                  </w:rPr>
                  <w:t>持有有限售条件股份数量</w:t>
                </w:r>
              </w:p>
            </w:tc>
          </w:sdtContent>
        </w:sdt>
        <w:sdt>
          <w:sdtPr>
            <w:rPr>
              <w:color w:val="000000" w:themeColor="text1"/>
            </w:rPr>
            <w:tag w:val="_PLD_94fbee67e09740e59eb90272af77b58a"/>
            <w:id w:val="-2099087510"/>
          </w:sdtPr>
          <w:sdtEndPr/>
          <w:sdtContent>
            <w:tc>
              <w:tcPr>
                <w:tcW w:w="1949" w:type="dxa"/>
                <w:gridSpan w:val="2"/>
                <w:shd w:val="clear" w:color="auto" w:fill="auto"/>
                <w:vAlign w:val="center"/>
              </w:tcPr>
              <w:p w14:paraId="617A1233" w14:textId="77777777" w:rsidR="002D0AE7" w:rsidRDefault="00333EBB">
                <w:pPr>
                  <w:jc w:val="center"/>
                  <w:rPr>
                    <w:rFonts w:hint="eastAsia"/>
                    <w:color w:val="000000" w:themeColor="text1"/>
                  </w:rPr>
                </w:pPr>
                <w:r>
                  <w:rPr>
                    <w:color w:val="000000" w:themeColor="text1"/>
                  </w:rPr>
                  <w:t>质押</w:t>
                </w:r>
                <w:r>
                  <w:rPr>
                    <w:rFonts w:hint="eastAsia"/>
                    <w:color w:val="000000" w:themeColor="text1"/>
                  </w:rPr>
                  <w:t>、标记</w:t>
                </w:r>
                <w:r>
                  <w:rPr>
                    <w:color w:val="000000" w:themeColor="text1"/>
                  </w:rPr>
                  <w:t>或冻结情况</w:t>
                </w:r>
              </w:p>
            </w:tc>
          </w:sdtContent>
        </w:sdt>
        <w:sdt>
          <w:sdtPr>
            <w:rPr>
              <w:color w:val="000000" w:themeColor="text1"/>
            </w:rPr>
            <w:tag w:val="_PLD_2228ecf4db6a4362bff11fe1e2d3c903"/>
            <w:id w:val="-2007347542"/>
          </w:sdtPr>
          <w:sdtEndPr/>
          <w:sdtContent>
            <w:tc>
              <w:tcPr>
                <w:tcW w:w="1956" w:type="dxa"/>
                <w:vMerge w:val="restart"/>
                <w:shd w:val="clear" w:color="auto" w:fill="auto"/>
                <w:vAlign w:val="center"/>
              </w:tcPr>
              <w:p w14:paraId="23190EF6" w14:textId="77777777" w:rsidR="002D0AE7" w:rsidRDefault="00333EBB">
                <w:pPr>
                  <w:jc w:val="center"/>
                  <w:rPr>
                    <w:rFonts w:hint="eastAsia"/>
                    <w:color w:val="000000" w:themeColor="text1"/>
                  </w:rPr>
                </w:pPr>
                <w:r>
                  <w:rPr>
                    <w:color w:val="000000" w:themeColor="text1"/>
                  </w:rPr>
                  <w:t>股东性质</w:t>
                </w:r>
              </w:p>
            </w:tc>
          </w:sdtContent>
        </w:sdt>
      </w:tr>
      <w:tr w:rsidR="002D0AE7" w14:paraId="2A5D9444" w14:textId="77777777">
        <w:trPr>
          <w:cantSplit/>
        </w:trPr>
        <w:tc>
          <w:tcPr>
            <w:tcW w:w="2014" w:type="dxa"/>
            <w:vMerge/>
            <w:tcBorders>
              <w:bottom w:val="single" w:sz="4" w:space="0" w:color="auto"/>
            </w:tcBorders>
            <w:shd w:val="clear" w:color="auto" w:fill="auto"/>
            <w:vAlign w:val="center"/>
          </w:tcPr>
          <w:p w14:paraId="5BFFEB0E" w14:textId="77777777" w:rsidR="002D0AE7" w:rsidRDefault="002D0AE7">
            <w:pPr>
              <w:jc w:val="center"/>
              <w:rPr>
                <w:rFonts w:hint="eastAsia"/>
                <w:color w:val="000000" w:themeColor="text1"/>
              </w:rPr>
            </w:pPr>
          </w:p>
        </w:tc>
        <w:tc>
          <w:tcPr>
            <w:tcW w:w="1567" w:type="dxa"/>
            <w:vMerge/>
            <w:tcBorders>
              <w:bottom w:val="single" w:sz="4" w:space="0" w:color="auto"/>
            </w:tcBorders>
            <w:shd w:val="clear" w:color="auto" w:fill="auto"/>
            <w:vAlign w:val="center"/>
          </w:tcPr>
          <w:p w14:paraId="03E96749" w14:textId="77777777" w:rsidR="002D0AE7" w:rsidRDefault="002D0AE7">
            <w:pPr>
              <w:jc w:val="center"/>
              <w:rPr>
                <w:rFonts w:hint="eastAsia"/>
                <w:color w:val="000000" w:themeColor="text1"/>
              </w:rPr>
            </w:pPr>
          </w:p>
        </w:tc>
        <w:tc>
          <w:tcPr>
            <w:tcW w:w="1575" w:type="dxa"/>
            <w:vMerge/>
            <w:tcBorders>
              <w:bottom w:val="single" w:sz="4" w:space="0" w:color="auto"/>
            </w:tcBorders>
            <w:shd w:val="clear" w:color="auto" w:fill="auto"/>
            <w:vAlign w:val="center"/>
          </w:tcPr>
          <w:p w14:paraId="2C2BFDEA" w14:textId="77777777" w:rsidR="002D0AE7" w:rsidRDefault="002D0AE7">
            <w:pPr>
              <w:jc w:val="center"/>
              <w:rPr>
                <w:rFonts w:hint="eastAsia"/>
                <w:color w:val="000000" w:themeColor="text1"/>
              </w:rPr>
            </w:pPr>
          </w:p>
        </w:tc>
        <w:tc>
          <w:tcPr>
            <w:tcW w:w="1115" w:type="dxa"/>
            <w:vMerge/>
            <w:tcBorders>
              <w:bottom w:val="single" w:sz="4" w:space="0" w:color="auto"/>
            </w:tcBorders>
            <w:shd w:val="clear" w:color="auto" w:fill="auto"/>
            <w:vAlign w:val="center"/>
          </w:tcPr>
          <w:p w14:paraId="2EB8BBCC" w14:textId="77777777" w:rsidR="002D0AE7" w:rsidRDefault="002D0AE7">
            <w:pPr>
              <w:jc w:val="center"/>
              <w:rPr>
                <w:rFonts w:hint="eastAsia"/>
                <w:color w:val="000000" w:themeColor="text1"/>
              </w:rPr>
            </w:pPr>
          </w:p>
        </w:tc>
        <w:tc>
          <w:tcPr>
            <w:tcW w:w="456" w:type="dxa"/>
            <w:vMerge/>
            <w:tcBorders>
              <w:bottom w:val="single" w:sz="4" w:space="0" w:color="auto"/>
            </w:tcBorders>
            <w:shd w:val="clear" w:color="auto" w:fill="auto"/>
            <w:vAlign w:val="center"/>
          </w:tcPr>
          <w:p w14:paraId="00094706" w14:textId="77777777" w:rsidR="002D0AE7" w:rsidRDefault="002D0AE7">
            <w:pPr>
              <w:jc w:val="center"/>
              <w:rPr>
                <w:rFonts w:hint="eastAsia"/>
                <w:color w:val="000000" w:themeColor="text1"/>
              </w:rPr>
            </w:pPr>
          </w:p>
        </w:tc>
        <w:sdt>
          <w:sdtPr>
            <w:rPr>
              <w:color w:val="000000" w:themeColor="text1"/>
            </w:rPr>
            <w:tag w:val="_PLD_45bf36a531de47beb596ebacadac576a"/>
            <w:id w:val="422305020"/>
          </w:sdtPr>
          <w:sdtEndPr/>
          <w:sdtContent>
            <w:tc>
              <w:tcPr>
                <w:tcW w:w="1240" w:type="dxa"/>
                <w:tcBorders>
                  <w:bottom w:val="single" w:sz="4" w:space="0" w:color="auto"/>
                </w:tcBorders>
                <w:shd w:val="clear" w:color="auto" w:fill="auto"/>
                <w:vAlign w:val="center"/>
              </w:tcPr>
              <w:p w14:paraId="7EF65059" w14:textId="77777777" w:rsidR="002D0AE7" w:rsidRDefault="00333EBB">
                <w:pPr>
                  <w:jc w:val="center"/>
                  <w:rPr>
                    <w:rFonts w:hint="eastAsia"/>
                    <w:color w:val="000000" w:themeColor="text1"/>
                  </w:rPr>
                </w:pPr>
                <w:r>
                  <w:rPr>
                    <w:color w:val="000000" w:themeColor="text1"/>
                  </w:rPr>
                  <w:t>股份状态</w:t>
                </w:r>
              </w:p>
            </w:tc>
          </w:sdtContent>
        </w:sdt>
        <w:sdt>
          <w:sdtPr>
            <w:rPr>
              <w:color w:val="000000" w:themeColor="text1"/>
            </w:rPr>
            <w:tag w:val="_PLD_bea7397233604f859f8d14f2ae0a0417"/>
            <w:id w:val="638620526"/>
          </w:sdtPr>
          <w:sdtEndPr/>
          <w:sdtContent>
            <w:tc>
              <w:tcPr>
                <w:tcW w:w="709" w:type="dxa"/>
                <w:tcBorders>
                  <w:bottom w:val="single" w:sz="4" w:space="0" w:color="auto"/>
                </w:tcBorders>
                <w:shd w:val="clear" w:color="auto" w:fill="auto"/>
                <w:vAlign w:val="center"/>
              </w:tcPr>
              <w:p w14:paraId="4A7555C0" w14:textId="77777777" w:rsidR="002D0AE7" w:rsidRDefault="00333EBB">
                <w:pPr>
                  <w:jc w:val="center"/>
                  <w:rPr>
                    <w:rFonts w:hint="eastAsia"/>
                    <w:color w:val="000000" w:themeColor="text1"/>
                  </w:rPr>
                </w:pPr>
                <w:r>
                  <w:rPr>
                    <w:color w:val="000000" w:themeColor="text1"/>
                  </w:rPr>
                  <w:t>数量</w:t>
                </w:r>
              </w:p>
            </w:tc>
          </w:sdtContent>
        </w:sdt>
        <w:tc>
          <w:tcPr>
            <w:tcW w:w="1956" w:type="dxa"/>
            <w:vMerge/>
            <w:shd w:val="clear" w:color="auto" w:fill="auto"/>
            <w:vAlign w:val="center"/>
          </w:tcPr>
          <w:p w14:paraId="12679220" w14:textId="77777777" w:rsidR="002D0AE7" w:rsidRDefault="002D0AE7">
            <w:pPr>
              <w:jc w:val="center"/>
              <w:rPr>
                <w:rFonts w:hint="eastAsia"/>
                <w:color w:val="000000" w:themeColor="text1"/>
              </w:rPr>
            </w:pPr>
          </w:p>
        </w:tc>
      </w:tr>
      <w:tr w:rsidR="002D0AE7" w14:paraId="47BDB935" w14:textId="77777777">
        <w:trPr>
          <w:cantSplit/>
        </w:trPr>
        <w:tc>
          <w:tcPr>
            <w:tcW w:w="2014" w:type="dxa"/>
            <w:shd w:val="clear" w:color="auto" w:fill="auto"/>
            <w:vAlign w:val="center"/>
          </w:tcPr>
          <w:p w14:paraId="630DC8D9" w14:textId="77777777" w:rsidR="002D0AE7" w:rsidRDefault="00333EBB">
            <w:pPr>
              <w:rPr>
                <w:rFonts w:hint="eastAsia"/>
              </w:rPr>
            </w:pPr>
            <w:r>
              <w:t>天津药业集团有限公司</w:t>
            </w:r>
          </w:p>
        </w:tc>
        <w:tc>
          <w:tcPr>
            <w:tcW w:w="1567" w:type="dxa"/>
            <w:shd w:val="clear" w:color="auto" w:fill="auto"/>
            <w:vAlign w:val="center"/>
          </w:tcPr>
          <w:p w14:paraId="22DF0600" w14:textId="77777777" w:rsidR="002D0AE7" w:rsidRDefault="00333EBB">
            <w:pPr>
              <w:jc w:val="right"/>
              <w:rPr>
                <w:rFonts w:hint="eastAsia"/>
              </w:rPr>
            </w:pPr>
            <w:r>
              <w:t>0</w:t>
            </w:r>
          </w:p>
        </w:tc>
        <w:tc>
          <w:tcPr>
            <w:tcW w:w="1575" w:type="dxa"/>
            <w:shd w:val="clear" w:color="auto" w:fill="auto"/>
            <w:vAlign w:val="center"/>
          </w:tcPr>
          <w:p w14:paraId="60F5E752" w14:textId="77777777" w:rsidR="002D0AE7" w:rsidRDefault="00333EBB">
            <w:pPr>
              <w:jc w:val="right"/>
              <w:rPr>
                <w:rFonts w:hint="eastAsia"/>
              </w:rPr>
            </w:pPr>
            <w:r>
              <w:t>554,530,149</w:t>
            </w:r>
          </w:p>
        </w:tc>
        <w:tc>
          <w:tcPr>
            <w:tcW w:w="1115" w:type="dxa"/>
            <w:shd w:val="clear" w:color="auto" w:fill="auto"/>
            <w:vAlign w:val="center"/>
          </w:tcPr>
          <w:p w14:paraId="54B80CE7" w14:textId="77777777" w:rsidR="002D0AE7" w:rsidRDefault="00333EBB">
            <w:pPr>
              <w:jc w:val="right"/>
              <w:rPr>
                <w:rFonts w:hint="eastAsia"/>
              </w:rPr>
            </w:pPr>
            <w:r>
              <w:t>50.69</w:t>
            </w:r>
          </w:p>
        </w:tc>
        <w:tc>
          <w:tcPr>
            <w:tcW w:w="456" w:type="dxa"/>
            <w:shd w:val="clear" w:color="auto" w:fill="auto"/>
            <w:vAlign w:val="center"/>
          </w:tcPr>
          <w:p w14:paraId="33D3EB23" w14:textId="77777777" w:rsidR="002D0AE7" w:rsidRDefault="00333EBB">
            <w:pPr>
              <w:jc w:val="right"/>
              <w:rPr>
                <w:rFonts w:hint="eastAsia"/>
              </w:rPr>
            </w:pPr>
            <w:r>
              <w:t>0</w:t>
            </w:r>
          </w:p>
        </w:tc>
        <w:sdt>
          <w:sdtPr>
            <w:rPr>
              <w:color w:val="000000" w:themeColor="text1"/>
            </w:rPr>
            <w:alias w:val="前十名股东持有股份状态"/>
            <w:tag w:val="_GBC_d5194108b2a8481e94140819dbdc5afe"/>
            <w:id w:val="868190331"/>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1240" w:type="dxa"/>
                <w:shd w:val="clear" w:color="auto" w:fill="auto"/>
                <w:vAlign w:val="center"/>
              </w:tcPr>
              <w:p w14:paraId="63F062CC" w14:textId="77777777" w:rsidR="002D0AE7" w:rsidRDefault="00333EBB">
                <w:pPr>
                  <w:jc w:val="center"/>
                  <w:rPr>
                    <w:rFonts w:hint="eastAsia"/>
                    <w:color w:val="000000" w:themeColor="text1"/>
                  </w:rPr>
                </w:pPr>
                <w:r>
                  <w:rPr>
                    <w:rFonts w:hint="eastAsia"/>
                    <w:color w:val="000000" w:themeColor="text1"/>
                  </w:rPr>
                  <w:t>无</w:t>
                </w:r>
              </w:p>
            </w:tc>
          </w:sdtContent>
        </w:sdt>
        <w:tc>
          <w:tcPr>
            <w:tcW w:w="709" w:type="dxa"/>
            <w:shd w:val="clear" w:color="auto" w:fill="auto"/>
            <w:vAlign w:val="center"/>
          </w:tcPr>
          <w:p w14:paraId="180B1815" w14:textId="77777777" w:rsidR="002D0AE7" w:rsidRDefault="002D0AE7">
            <w:pPr>
              <w:jc w:val="right"/>
              <w:rPr>
                <w:rFonts w:hint="eastAsia"/>
              </w:rPr>
            </w:pPr>
          </w:p>
        </w:tc>
        <w:sdt>
          <w:sdtPr>
            <w:rPr>
              <w:color w:val="000000" w:themeColor="text1"/>
            </w:rPr>
            <w:alias w:val="前十名股东的股东性质"/>
            <w:tag w:val="_GBC_71380bc899eb4b9781e95e37e7a1e221"/>
            <w:id w:val="1001235320"/>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956" w:type="dxa"/>
                <w:shd w:val="clear" w:color="auto" w:fill="auto"/>
                <w:vAlign w:val="center"/>
              </w:tcPr>
              <w:p w14:paraId="7CA7ADA6" w14:textId="77777777" w:rsidR="002D0AE7" w:rsidRDefault="00333EBB">
                <w:pPr>
                  <w:rPr>
                    <w:rFonts w:hint="eastAsia"/>
                    <w:color w:val="000000" w:themeColor="text1"/>
                  </w:rPr>
                </w:pPr>
                <w:r>
                  <w:rPr>
                    <w:rFonts w:hint="eastAsia"/>
                    <w:color w:val="000000" w:themeColor="text1"/>
                  </w:rPr>
                  <w:t>境内非国有法人</w:t>
                </w:r>
              </w:p>
            </w:tc>
          </w:sdtContent>
        </w:sdt>
      </w:tr>
      <w:tr w:rsidR="002D0AE7" w14:paraId="39510FF5" w14:textId="77777777">
        <w:trPr>
          <w:cantSplit/>
        </w:trPr>
        <w:tc>
          <w:tcPr>
            <w:tcW w:w="2014" w:type="dxa"/>
            <w:shd w:val="clear" w:color="auto" w:fill="auto"/>
            <w:vAlign w:val="center"/>
          </w:tcPr>
          <w:p w14:paraId="5477027D" w14:textId="77777777" w:rsidR="002D0AE7" w:rsidRDefault="00333EBB">
            <w:pPr>
              <w:rPr>
                <w:rFonts w:hint="eastAsia"/>
              </w:rPr>
            </w:pPr>
            <w:r>
              <w:t>津沪深生物医药科技有限公司</w:t>
            </w:r>
          </w:p>
        </w:tc>
        <w:tc>
          <w:tcPr>
            <w:tcW w:w="1567" w:type="dxa"/>
            <w:shd w:val="clear" w:color="auto" w:fill="auto"/>
            <w:vAlign w:val="center"/>
          </w:tcPr>
          <w:p w14:paraId="74A76640" w14:textId="77777777" w:rsidR="002D0AE7" w:rsidRDefault="00333EBB">
            <w:pPr>
              <w:jc w:val="right"/>
              <w:rPr>
                <w:rFonts w:hint="eastAsia"/>
              </w:rPr>
            </w:pPr>
            <w:r>
              <w:t>0</w:t>
            </w:r>
          </w:p>
        </w:tc>
        <w:tc>
          <w:tcPr>
            <w:tcW w:w="1575" w:type="dxa"/>
            <w:shd w:val="clear" w:color="auto" w:fill="auto"/>
            <w:vAlign w:val="center"/>
          </w:tcPr>
          <w:p w14:paraId="550A9438" w14:textId="77777777" w:rsidR="002D0AE7" w:rsidRDefault="00333EBB">
            <w:pPr>
              <w:jc w:val="right"/>
              <w:rPr>
                <w:rFonts w:hint="eastAsia"/>
              </w:rPr>
            </w:pPr>
            <w:r>
              <w:t>58,206,300</w:t>
            </w:r>
          </w:p>
        </w:tc>
        <w:tc>
          <w:tcPr>
            <w:tcW w:w="1115" w:type="dxa"/>
            <w:shd w:val="clear" w:color="auto" w:fill="auto"/>
            <w:vAlign w:val="center"/>
          </w:tcPr>
          <w:p w14:paraId="11E502A3" w14:textId="77777777" w:rsidR="002D0AE7" w:rsidRDefault="00333EBB">
            <w:pPr>
              <w:jc w:val="right"/>
              <w:rPr>
                <w:rFonts w:hint="eastAsia"/>
              </w:rPr>
            </w:pPr>
            <w:r>
              <w:t>5.32</w:t>
            </w:r>
          </w:p>
        </w:tc>
        <w:tc>
          <w:tcPr>
            <w:tcW w:w="456" w:type="dxa"/>
            <w:shd w:val="clear" w:color="auto" w:fill="auto"/>
            <w:vAlign w:val="center"/>
          </w:tcPr>
          <w:p w14:paraId="19A2D5F9" w14:textId="77777777" w:rsidR="002D0AE7" w:rsidRDefault="00333EBB">
            <w:pPr>
              <w:jc w:val="right"/>
              <w:rPr>
                <w:rFonts w:hint="eastAsia"/>
              </w:rPr>
            </w:pPr>
            <w:r>
              <w:t>0</w:t>
            </w:r>
          </w:p>
        </w:tc>
        <w:sdt>
          <w:sdtPr>
            <w:rPr>
              <w:color w:val="000000" w:themeColor="text1"/>
            </w:rPr>
            <w:alias w:val="前十名股东持有股份状态"/>
            <w:tag w:val="_GBC_d5194108b2a8481e94140819dbdc5afe"/>
            <w:id w:val="-1676335266"/>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1240" w:type="dxa"/>
                <w:shd w:val="clear" w:color="auto" w:fill="auto"/>
                <w:vAlign w:val="center"/>
              </w:tcPr>
              <w:p w14:paraId="16F7721F" w14:textId="77777777" w:rsidR="002D0AE7" w:rsidRDefault="00333EBB">
                <w:pPr>
                  <w:jc w:val="center"/>
                  <w:rPr>
                    <w:rFonts w:hint="eastAsia"/>
                    <w:color w:val="000000" w:themeColor="text1"/>
                  </w:rPr>
                </w:pPr>
                <w:r>
                  <w:rPr>
                    <w:rFonts w:hint="eastAsia"/>
                    <w:color w:val="000000" w:themeColor="text1"/>
                  </w:rPr>
                  <w:t>无</w:t>
                </w:r>
              </w:p>
            </w:tc>
          </w:sdtContent>
        </w:sdt>
        <w:tc>
          <w:tcPr>
            <w:tcW w:w="709" w:type="dxa"/>
            <w:shd w:val="clear" w:color="auto" w:fill="auto"/>
            <w:vAlign w:val="center"/>
          </w:tcPr>
          <w:p w14:paraId="2DE1DFBC" w14:textId="77777777" w:rsidR="002D0AE7" w:rsidRDefault="002D0AE7">
            <w:pPr>
              <w:jc w:val="right"/>
              <w:rPr>
                <w:rFonts w:hint="eastAsia"/>
              </w:rPr>
            </w:pPr>
          </w:p>
        </w:tc>
        <w:sdt>
          <w:sdtPr>
            <w:rPr>
              <w:color w:val="000000" w:themeColor="text1"/>
            </w:rPr>
            <w:alias w:val="前十名股东的股东性质"/>
            <w:tag w:val="_GBC_71380bc899eb4b9781e95e37e7a1e221"/>
            <w:id w:val="-1918471876"/>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956" w:type="dxa"/>
                <w:shd w:val="clear" w:color="auto" w:fill="auto"/>
                <w:vAlign w:val="center"/>
              </w:tcPr>
              <w:p w14:paraId="4D510C48" w14:textId="77777777" w:rsidR="002D0AE7" w:rsidRDefault="00333EBB">
                <w:pPr>
                  <w:rPr>
                    <w:rFonts w:hint="eastAsia"/>
                    <w:color w:val="000000" w:themeColor="text1"/>
                  </w:rPr>
                </w:pPr>
                <w:r>
                  <w:rPr>
                    <w:rFonts w:hint="eastAsia"/>
                    <w:color w:val="000000" w:themeColor="text1"/>
                  </w:rPr>
                  <w:t>境内非国有法人</w:t>
                </w:r>
              </w:p>
            </w:tc>
          </w:sdtContent>
        </w:sdt>
      </w:tr>
      <w:tr w:rsidR="002D0AE7" w14:paraId="65785CB3" w14:textId="77777777">
        <w:trPr>
          <w:cantSplit/>
        </w:trPr>
        <w:tc>
          <w:tcPr>
            <w:tcW w:w="2014" w:type="dxa"/>
            <w:shd w:val="clear" w:color="auto" w:fill="auto"/>
            <w:vAlign w:val="center"/>
          </w:tcPr>
          <w:p w14:paraId="75DDEFC2" w14:textId="77777777" w:rsidR="002D0AE7" w:rsidRDefault="00333EBB">
            <w:pPr>
              <w:rPr>
                <w:rFonts w:hint="eastAsia"/>
              </w:rPr>
            </w:pPr>
            <w:r>
              <w:t>香港中央结算有限公司</w:t>
            </w:r>
          </w:p>
        </w:tc>
        <w:tc>
          <w:tcPr>
            <w:tcW w:w="1567" w:type="dxa"/>
            <w:shd w:val="clear" w:color="auto" w:fill="auto"/>
            <w:vAlign w:val="center"/>
          </w:tcPr>
          <w:p w14:paraId="5E43E9CC" w14:textId="77777777" w:rsidR="002D0AE7" w:rsidRDefault="00333EBB">
            <w:pPr>
              <w:jc w:val="right"/>
              <w:rPr>
                <w:rFonts w:hint="eastAsia"/>
              </w:rPr>
            </w:pPr>
            <w:r>
              <w:t>-1,942,567</w:t>
            </w:r>
          </w:p>
        </w:tc>
        <w:tc>
          <w:tcPr>
            <w:tcW w:w="1575" w:type="dxa"/>
            <w:shd w:val="clear" w:color="auto" w:fill="auto"/>
            <w:vAlign w:val="center"/>
          </w:tcPr>
          <w:p w14:paraId="6E6D2EEB" w14:textId="77777777" w:rsidR="002D0AE7" w:rsidRDefault="00333EBB">
            <w:pPr>
              <w:jc w:val="right"/>
              <w:rPr>
                <w:rFonts w:hint="eastAsia"/>
              </w:rPr>
            </w:pPr>
            <w:r>
              <w:t>11,692,093</w:t>
            </w:r>
          </w:p>
        </w:tc>
        <w:tc>
          <w:tcPr>
            <w:tcW w:w="1115" w:type="dxa"/>
            <w:shd w:val="clear" w:color="auto" w:fill="auto"/>
            <w:vAlign w:val="center"/>
          </w:tcPr>
          <w:p w14:paraId="6DADD837" w14:textId="77777777" w:rsidR="002D0AE7" w:rsidRDefault="00333EBB">
            <w:pPr>
              <w:jc w:val="right"/>
              <w:rPr>
                <w:rFonts w:hint="eastAsia"/>
              </w:rPr>
            </w:pPr>
            <w:r>
              <w:t>1.07</w:t>
            </w:r>
          </w:p>
        </w:tc>
        <w:tc>
          <w:tcPr>
            <w:tcW w:w="456" w:type="dxa"/>
            <w:shd w:val="clear" w:color="auto" w:fill="auto"/>
            <w:vAlign w:val="center"/>
          </w:tcPr>
          <w:p w14:paraId="414CB715" w14:textId="77777777" w:rsidR="002D0AE7" w:rsidRDefault="00333EBB">
            <w:pPr>
              <w:jc w:val="right"/>
              <w:rPr>
                <w:rFonts w:hint="eastAsia"/>
              </w:rPr>
            </w:pPr>
            <w:r>
              <w:t>0</w:t>
            </w:r>
          </w:p>
        </w:tc>
        <w:sdt>
          <w:sdtPr>
            <w:rPr>
              <w:color w:val="000000" w:themeColor="text1"/>
            </w:rPr>
            <w:alias w:val="前十名股东持有股份状态"/>
            <w:tag w:val="_GBC_d5194108b2a8481e94140819dbdc5afe"/>
            <w:id w:val="1472787214"/>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1240" w:type="dxa"/>
                <w:shd w:val="clear" w:color="auto" w:fill="auto"/>
                <w:vAlign w:val="center"/>
              </w:tcPr>
              <w:p w14:paraId="37187945" w14:textId="77777777" w:rsidR="002D0AE7" w:rsidRDefault="00333EBB">
                <w:pPr>
                  <w:jc w:val="center"/>
                  <w:rPr>
                    <w:rFonts w:hint="eastAsia"/>
                    <w:color w:val="000000" w:themeColor="text1"/>
                  </w:rPr>
                </w:pPr>
                <w:r>
                  <w:rPr>
                    <w:rFonts w:hint="eastAsia"/>
                    <w:color w:val="000000" w:themeColor="text1"/>
                  </w:rPr>
                  <w:t>无</w:t>
                </w:r>
              </w:p>
            </w:tc>
          </w:sdtContent>
        </w:sdt>
        <w:tc>
          <w:tcPr>
            <w:tcW w:w="709" w:type="dxa"/>
            <w:shd w:val="clear" w:color="auto" w:fill="auto"/>
            <w:vAlign w:val="center"/>
          </w:tcPr>
          <w:p w14:paraId="40F12156" w14:textId="77777777" w:rsidR="002D0AE7" w:rsidRDefault="002D0AE7">
            <w:pPr>
              <w:jc w:val="right"/>
              <w:rPr>
                <w:rFonts w:hint="eastAsia"/>
              </w:rPr>
            </w:pPr>
          </w:p>
        </w:tc>
        <w:sdt>
          <w:sdtPr>
            <w:rPr>
              <w:color w:val="000000" w:themeColor="text1"/>
            </w:rPr>
            <w:alias w:val="前十名股东的股东性质"/>
            <w:tag w:val="_GBC_71380bc899eb4b9781e95e37e7a1e221"/>
            <w:id w:val="-657376826"/>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956" w:type="dxa"/>
                <w:shd w:val="clear" w:color="auto" w:fill="auto"/>
                <w:vAlign w:val="center"/>
              </w:tcPr>
              <w:p w14:paraId="7D98AED7" w14:textId="77777777" w:rsidR="002D0AE7" w:rsidRDefault="00333EBB">
                <w:pPr>
                  <w:rPr>
                    <w:rFonts w:hint="eastAsia"/>
                    <w:color w:val="000000" w:themeColor="text1"/>
                  </w:rPr>
                </w:pPr>
                <w:r>
                  <w:rPr>
                    <w:color w:val="000000" w:themeColor="text1"/>
                  </w:rPr>
                  <w:t>其他</w:t>
                </w:r>
              </w:p>
            </w:tc>
          </w:sdtContent>
        </w:sdt>
      </w:tr>
      <w:tr w:rsidR="002D0AE7" w14:paraId="604B6587" w14:textId="77777777">
        <w:trPr>
          <w:cantSplit/>
        </w:trPr>
        <w:tc>
          <w:tcPr>
            <w:tcW w:w="2014" w:type="dxa"/>
            <w:shd w:val="clear" w:color="auto" w:fill="auto"/>
            <w:vAlign w:val="center"/>
          </w:tcPr>
          <w:p w14:paraId="55891CC3" w14:textId="77777777" w:rsidR="002D0AE7" w:rsidRDefault="00333EBB">
            <w:pPr>
              <w:rPr>
                <w:rFonts w:hint="eastAsia"/>
              </w:rPr>
            </w:pPr>
            <w:r>
              <w:lastRenderedPageBreak/>
              <w:t>李莲子</w:t>
            </w:r>
          </w:p>
        </w:tc>
        <w:tc>
          <w:tcPr>
            <w:tcW w:w="1567" w:type="dxa"/>
            <w:shd w:val="clear" w:color="auto" w:fill="auto"/>
            <w:vAlign w:val="center"/>
          </w:tcPr>
          <w:p w14:paraId="08214799" w14:textId="77777777" w:rsidR="002D0AE7" w:rsidRDefault="00333EBB">
            <w:pPr>
              <w:jc w:val="right"/>
              <w:rPr>
                <w:rFonts w:hint="eastAsia"/>
              </w:rPr>
            </w:pPr>
            <w:r>
              <w:t>722,000</w:t>
            </w:r>
          </w:p>
        </w:tc>
        <w:tc>
          <w:tcPr>
            <w:tcW w:w="1575" w:type="dxa"/>
            <w:shd w:val="clear" w:color="auto" w:fill="auto"/>
            <w:vAlign w:val="center"/>
          </w:tcPr>
          <w:p w14:paraId="7FC47B7D" w14:textId="77777777" w:rsidR="002D0AE7" w:rsidRDefault="00333EBB">
            <w:pPr>
              <w:jc w:val="right"/>
              <w:rPr>
                <w:rFonts w:hint="eastAsia"/>
              </w:rPr>
            </w:pPr>
            <w:r>
              <w:t>4,341,129</w:t>
            </w:r>
          </w:p>
        </w:tc>
        <w:tc>
          <w:tcPr>
            <w:tcW w:w="1115" w:type="dxa"/>
            <w:shd w:val="clear" w:color="auto" w:fill="auto"/>
            <w:vAlign w:val="center"/>
          </w:tcPr>
          <w:p w14:paraId="2FC2727B" w14:textId="77777777" w:rsidR="002D0AE7" w:rsidRDefault="00333EBB">
            <w:pPr>
              <w:jc w:val="right"/>
              <w:rPr>
                <w:rFonts w:hint="eastAsia"/>
              </w:rPr>
            </w:pPr>
            <w:r>
              <w:t>0.40</w:t>
            </w:r>
          </w:p>
        </w:tc>
        <w:tc>
          <w:tcPr>
            <w:tcW w:w="456" w:type="dxa"/>
            <w:shd w:val="clear" w:color="auto" w:fill="auto"/>
            <w:vAlign w:val="center"/>
          </w:tcPr>
          <w:p w14:paraId="51AEAD21" w14:textId="77777777" w:rsidR="002D0AE7" w:rsidRDefault="00333EBB">
            <w:pPr>
              <w:jc w:val="right"/>
              <w:rPr>
                <w:rFonts w:hint="eastAsia"/>
              </w:rPr>
            </w:pPr>
            <w:r>
              <w:t>0</w:t>
            </w:r>
          </w:p>
        </w:tc>
        <w:sdt>
          <w:sdtPr>
            <w:rPr>
              <w:color w:val="000000" w:themeColor="text1"/>
            </w:rPr>
            <w:alias w:val="前十名股东持有股份状态"/>
            <w:tag w:val="_GBC_d5194108b2a8481e94140819dbdc5afe"/>
            <w:id w:val="-1068954555"/>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1240" w:type="dxa"/>
                <w:shd w:val="clear" w:color="auto" w:fill="auto"/>
                <w:vAlign w:val="center"/>
              </w:tcPr>
              <w:p w14:paraId="353499AA" w14:textId="77777777" w:rsidR="002D0AE7" w:rsidRDefault="00333EBB">
                <w:pPr>
                  <w:jc w:val="center"/>
                  <w:rPr>
                    <w:rFonts w:hint="eastAsia"/>
                    <w:color w:val="000000" w:themeColor="text1"/>
                  </w:rPr>
                </w:pPr>
                <w:r>
                  <w:rPr>
                    <w:rFonts w:hint="eastAsia"/>
                    <w:color w:val="000000" w:themeColor="text1"/>
                  </w:rPr>
                  <w:t>无</w:t>
                </w:r>
              </w:p>
            </w:tc>
          </w:sdtContent>
        </w:sdt>
        <w:tc>
          <w:tcPr>
            <w:tcW w:w="709" w:type="dxa"/>
            <w:shd w:val="clear" w:color="auto" w:fill="auto"/>
            <w:vAlign w:val="center"/>
          </w:tcPr>
          <w:p w14:paraId="3DF7DDF5" w14:textId="77777777" w:rsidR="002D0AE7" w:rsidRDefault="002D0AE7">
            <w:pPr>
              <w:jc w:val="right"/>
              <w:rPr>
                <w:rFonts w:hint="eastAsia"/>
              </w:rPr>
            </w:pPr>
          </w:p>
        </w:tc>
        <w:sdt>
          <w:sdtPr>
            <w:rPr>
              <w:color w:val="000000" w:themeColor="text1"/>
            </w:rPr>
            <w:alias w:val="前十名股东的股东性质"/>
            <w:tag w:val="_GBC_71380bc899eb4b9781e95e37e7a1e221"/>
            <w:id w:val="-193068592"/>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956" w:type="dxa"/>
                <w:shd w:val="clear" w:color="auto" w:fill="auto"/>
                <w:vAlign w:val="center"/>
              </w:tcPr>
              <w:p w14:paraId="690AD99E" w14:textId="77777777" w:rsidR="002D0AE7" w:rsidRDefault="00333EBB">
                <w:pPr>
                  <w:rPr>
                    <w:rFonts w:hint="eastAsia"/>
                    <w:color w:val="000000" w:themeColor="text1"/>
                  </w:rPr>
                </w:pPr>
                <w:r>
                  <w:rPr>
                    <w:rFonts w:hint="eastAsia"/>
                    <w:color w:val="000000" w:themeColor="text1"/>
                  </w:rPr>
                  <w:t>境内自然人</w:t>
                </w:r>
              </w:p>
            </w:tc>
          </w:sdtContent>
        </w:sdt>
      </w:tr>
      <w:tr w:rsidR="002D0AE7" w14:paraId="02F7347E" w14:textId="77777777">
        <w:trPr>
          <w:cantSplit/>
        </w:trPr>
        <w:tc>
          <w:tcPr>
            <w:tcW w:w="2014" w:type="dxa"/>
            <w:shd w:val="clear" w:color="auto" w:fill="auto"/>
            <w:vAlign w:val="center"/>
          </w:tcPr>
          <w:p w14:paraId="4782D1CC" w14:textId="77777777" w:rsidR="002D0AE7" w:rsidRDefault="00333EBB">
            <w:pPr>
              <w:rPr>
                <w:rFonts w:hint="eastAsia"/>
              </w:rPr>
            </w:pPr>
            <w:r>
              <w:t>钟东明</w:t>
            </w:r>
          </w:p>
        </w:tc>
        <w:tc>
          <w:tcPr>
            <w:tcW w:w="1567" w:type="dxa"/>
            <w:shd w:val="clear" w:color="auto" w:fill="auto"/>
            <w:vAlign w:val="center"/>
          </w:tcPr>
          <w:p w14:paraId="00B74C37" w14:textId="77777777" w:rsidR="002D0AE7" w:rsidRDefault="00333EBB">
            <w:pPr>
              <w:jc w:val="right"/>
              <w:rPr>
                <w:rFonts w:hint="eastAsia"/>
              </w:rPr>
            </w:pPr>
            <w:r>
              <w:t>4,234,500</w:t>
            </w:r>
          </w:p>
        </w:tc>
        <w:tc>
          <w:tcPr>
            <w:tcW w:w="1575" w:type="dxa"/>
            <w:shd w:val="clear" w:color="auto" w:fill="auto"/>
            <w:vAlign w:val="center"/>
          </w:tcPr>
          <w:p w14:paraId="12F389F0" w14:textId="77777777" w:rsidR="002D0AE7" w:rsidRDefault="00333EBB">
            <w:pPr>
              <w:jc w:val="right"/>
              <w:rPr>
                <w:rFonts w:hint="eastAsia"/>
              </w:rPr>
            </w:pPr>
            <w:r>
              <w:t>4,234,500</w:t>
            </w:r>
          </w:p>
        </w:tc>
        <w:tc>
          <w:tcPr>
            <w:tcW w:w="1115" w:type="dxa"/>
            <w:shd w:val="clear" w:color="auto" w:fill="auto"/>
            <w:vAlign w:val="center"/>
          </w:tcPr>
          <w:p w14:paraId="23FF7942" w14:textId="77777777" w:rsidR="002D0AE7" w:rsidRDefault="00333EBB">
            <w:pPr>
              <w:jc w:val="right"/>
              <w:rPr>
                <w:rFonts w:hint="eastAsia"/>
              </w:rPr>
            </w:pPr>
            <w:r>
              <w:t>0.39</w:t>
            </w:r>
          </w:p>
        </w:tc>
        <w:tc>
          <w:tcPr>
            <w:tcW w:w="456" w:type="dxa"/>
            <w:shd w:val="clear" w:color="auto" w:fill="auto"/>
            <w:vAlign w:val="center"/>
          </w:tcPr>
          <w:p w14:paraId="1ADB9961" w14:textId="77777777" w:rsidR="002D0AE7" w:rsidRDefault="00333EBB">
            <w:pPr>
              <w:jc w:val="right"/>
              <w:rPr>
                <w:rFonts w:hint="eastAsia"/>
              </w:rPr>
            </w:pPr>
            <w:r>
              <w:t>0</w:t>
            </w:r>
          </w:p>
        </w:tc>
        <w:sdt>
          <w:sdtPr>
            <w:rPr>
              <w:color w:val="000000" w:themeColor="text1"/>
            </w:rPr>
            <w:alias w:val="前十名股东持有股份状态"/>
            <w:tag w:val="_GBC_d5194108b2a8481e94140819dbdc5afe"/>
            <w:id w:val="-504906265"/>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1240" w:type="dxa"/>
                <w:shd w:val="clear" w:color="auto" w:fill="auto"/>
                <w:vAlign w:val="center"/>
              </w:tcPr>
              <w:p w14:paraId="7597E980" w14:textId="77777777" w:rsidR="002D0AE7" w:rsidRDefault="00333EBB">
                <w:pPr>
                  <w:jc w:val="center"/>
                  <w:rPr>
                    <w:rFonts w:hint="eastAsia"/>
                    <w:color w:val="000000" w:themeColor="text1"/>
                  </w:rPr>
                </w:pPr>
                <w:r>
                  <w:rPr>
                    <w:rFonts w:hint="eastAsia"/>
                    <w:color w:val="000000" w:themeColor="text1"/>
                  </w:rPr>
                  <w:t>无</w:t>
                </w:r>
              </w:p>
            </w:tc>
          </w:sdtContent>
        </w:sdt>
        <w:tc>
          <w:tcPr>
            <w:tcW w:w="709" w:type="dxa"/>
            <w:shd w:val="clear" w:color="auto" w:fill="auto"/>
            <w:vAlign w:val="center"/>
          </w:tcPr>
          <w:p w14:paraId="5FE5D217" w14:textId="77777777" w:rsidR="002D0AE7" w:rsidRDefault="002D0AE7">
            <w:pPr>
              <w:jc w:val="right"/>
              <w:rPr>
                <w:rFonts w:hint="eastAsia"/>
              </w:rPr>
            </w:pPr>
          </w:p>
        </w:tc>
        <w:sdt>
          <w:sdtPr>
            <w:rPr>
              <w:color w:val="000000" w:themeColor="text1"/>
            </w:rPr>
            <w:alias w:val="前十名股东的股东性质"/>
            <w:tag w:val="_GBC_71380bc899eb4b9781e95e37e7a1e221"/>
            <w:id w:val="-1552227966"/>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956" w:type="dxa"/>
                <w:shd w:val="clear" w:color="auto" w:fill="auto"/>
                <w:vAlign w:val="center"/>
              </w:tcPr>
              <w:p w14:paraId="0EB9A4E2" w14:textId="77777777" w:rsidR="002D0AE7" w:rsidRDefault="00333EBB">
                <w:pPr>
                  <w:rPr>
                    <w:rFonts w:hint="eastAsia"/>
                    <w:color w:val="000000" w:themeColor="text1"/>
                  </w:rPr>
                </w:pPr>
                <w:r>
                  <w:rPr>
                    <w:rFonts w:hint="eastAsia"/>
                    <w:color w:val="000000" w:themeColor="text1"/>
                  </w:rPr>
                  <w:t>境内自然人</w:t>
                </w:r>
              </w:p>
            </w:tc>
          </w:sdtContent>
        </w:sdt>
      </w:tr>
      <w:tr w:rsidR="002D0AE7" w14:paraId="5E47C3C4" w14:textId="77777777">
        <w:trPr>
          <w:cantSplit/>
        </w:trPr>
        <w:tc>
          <w:tcPr>
            <w:tcW w:w="2014" w:type="dxa"/>
            <w:shd w:val="clear" w:color="auto" w:fill="auto"/>
            <w:vAlign w:val="center"/>
          </w:tcPr>
          <w:p w14:paraId="60A576B3" w14:textId="77777777" w:rsidR="002D0AE7" w:rsidRDefault="00333EBB">
            <w:pPr>
              <w:rPr>
                <w:rFonts w:hint="eastAsia"/>
              </w:rPr>
            </w:pPr>
            <w:r>
              <w:t>廖淑君</w:t>
            </w:r>
          </w:p>
        </w:tc>
        <w:tc>
          <w:tcPr>
            <w:tcW w:w="1567" w:type="dxa"/>
            <w:shd w:val="clear" w:color="auto" w:fill="auto"/>
            <w:vAlign w:val="center"/>
          </w:tcPr>
          <w:p w14:paraId="46C7A252" w14:textId="77777777" w:rsidR="002D0AE7" w:rsidRDefault="00333EBB">
            <w:pPr>
              <w:jc w:val="right"/>
              <w:rPr>
                <w:rFonts w:hint="eastAsia"/>
              </w:rPr>
            </w:pPr>
            <w:r>
              <w:t>0</w:t>
            </w:r>
          </w:p>
        </w:tc>
        <w:tc>
          <w:tcPr>
            <w:tcW w:w="1575" w:type="dxa"/>
            <w:shd w:val="clear" w:color="auto" w:fill="auto"/>
            <w:vAlign w:val="center"/>
          </w:tcPr>
          <w:p w14:paraId="73AB06D7" w14:textId="77777777" w:rsidR="002D0AE7" w:rsidRDefault="00333EBB">
            <w:pPr>
              <w:jc w:val="right"/>
              <w:rPr>
                <w:rFonts w:hint="eastAsia"/>
              </w:rPr>
            </w:pPr>
            <w:r>
              <w:t>3,826,000</w:t>
            </w:r>
          </w:p>
        </w:tc>
        <w:tc>
          <w:tcPr>
            <w:tcW w:w="1115" w:type="dxa"/>
            <w:shd w:val="clear" w:color="auto" w:fill="auto"/>
            <w:vAlign w:val="center"/>
          </w:tcPr>
          <w:p w14:paraId="03326B42" w14:textId="77777777" w:rsidR="002D0AE7" w:rsidRDefault="00333EBB">
            <w:pPr>
              <w:jc w:val="right"/>
              <w:rPr>
                <w:rFonts w:hint="eastAsia"/>
              </w:rPr>
            </w:pPr>
            <w:r>
              <w:t>0.35</w:t>
            </w:r>
          </w:p>
        </w:tc>
        <w:tc>
          <w:tcPr>
            <w:tcW w:w="456" w:type="dxa"/>
            <w:shd w:val="clear" w:color="auto" w:fill="auto"/>
            <w:vAlign w:val="center"/>
          </w:tcPr>
          <w:p w14:paraId="40496DE9" w14:textId="77777777" w:rsidR="002D0AE7" w:rsidRDefault="00333EBB">
            <w:pPr>
              <w:jc w:val="right"/>
              <w:rPr>
                <w:rFonts w:hint="eastAsia"/>
              </w:rPr>
            </w:pPr>
            <w:r>
              <w:t>0</w:t>
            </w:r>
          </w:p>
        </w:tc>
        <w:sdt>
          <w:sdtPr>
            <w:rPr>
              <w:color w:val="000000" w:themeColor="text1"/>
            </w:rPr>
            <w:alias w:val="前十名股东持有股份状态"/>
            <w:tag w:val="_GBC_d5194108b2a8481e94140819dbdc5afe"/>
            <w:id w:val="-1273786381"/>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1240" w:type="dxa"/>
                <w:shd w:val="clear" w:color="auto" w:fill="auto"/>
                <w:vAlign w:val="center"/>
              </w:tcPr>
              <w:p w14:paraId="5C0A608E" w14:textId="77777777" w:rsidR="002D0AE7" w:rsidRDefault="00333EBB">
                <w:pPr>
                  <w:jc w:val="center"/>
                  <w:rPr>
                    <w:rFonts w:hint="eastAsia"/>
                    <w:color w:val="000000" w:themeColor="text1"/>
                  </w:rPr>
                </w:pPr>
                <w:r>
                  <w:rPr>
                    <w:rFonts w:hint="eastAsia"/>
                    <w:color w:val="000000" w:themeColor="text1"/>
                  </w:rPr>
                  <w:t>无</w:t>
                </w:r>
              </w:p>
            </w:tc>
          </w:sdtContent>
        </w:sdt>
        <w:tc>
          <w:tcPr>
            <w:tcW w:w="709" w:type="dxa"/>
            <w:shd w:val="clear" w:color="auto" w:fill="auto"/>
            <w:vAlign w:val="center"/>
          </w:tcPr>
          <w:p w14:paraId="1527216C" w14:textId="77777777" w:rsidR="002D0AE7" w:rsidRDefault="002D0AE7">
            <w:pPr>
              <w:jc w:val="right"/>
              <w:rPr>
                <w:rFonts w:hint="eastAsia"/>
              </w:rPr>
            </w:pPr>
          </w:p>
        </w:tc>
        <w:sdt>
          <w:sdtPr>
            <w:rPr>
              <w:color w:val="000000" w:themeColor="text1"/>
            </w:rPr>
            <w:alias w:val="前十名股东的股东性质"/>
            <w:tag w:val="_GBC_71380bc899eb4b9781e95e37e7a1e221"/>
            <w:id w:val="-1321889422"/>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956" w:type="dxa"/>
                <w:shd w:val="clear" w:color="auto" w:fill="auto"/>
                <w:vAlign w:val="center"/>
              </w:tcPr>
              <w:p w14:paraId="1939ED0D" w14:textId="77777777" w:rsidR="002D0AE7" w:rsidRDefault="00333EBB">
                <w:pPr>
                  <w:rPr>
                    <w:rFonts w:hint="eastAsia"/>
                    <w:color w:val="000000" w:themeColor="text1"/>
                  </w:rPr>
                </w:pPr>
                <w:r>
                  <w:rPr>
                    <w:rFonts w:hint="eastAsia"/>
                    <w:color w:val="000000" w:themeColor="text1"/>
                  </w:rPr>
                  <w:t>境内自然人</w:t>
                </w:r>
              </w:p>
            </w:tc>
          </w:sdtContent>
        </w:sdt>
      </w:tr>
      <w:tr w:rsidR="002D0AE7" w14:paraId="31333D86" w14:textId="77777777">
        <w:trPr>
          <w:cantSplit/>
        </w:trPr>
        <w:tc>
          <w:tcPr>
            <w:tcW w:w="2014" w:type="dxa"/>
            <w:shd w:val="clear" w:color="auto" w:fill="auto"/>
            <w:vAlign w:val="center"/>
          </w:tcPr>
          <w:p w14:paraId="022E3150" w14:textId="77777777" w:rsidR="002D0AE7" w:rsidRDefault="00333EBB">
            <w:pPr>
              <w:rPr>
                <w:rFonts w:hint="eastAsia"/>
              </w:rPr>
            </w:pPr>
            <w:r>
              <w:t>天津宜药印务有限公司</w:t>
            </w:r>
          </w:p>
        </w:tc>
        <w:tc>
          <w:tcPr>
            <w:tcW w:w="1567" w:type="dxa"/>
            <w:shd w:val="clear" w:color="auto" w:fill="auto"/>
            <w:vAlign w:val="center"/>
          </w:tcPr>
          <w:p w14:paraId="41268E3F" w14:textId="77777777" w:rsidR="002D0AE7" w:rsidRDefault="00333EBB">
            <w:pPr>
              <w:jc w:val="right"/>
              <w:rPr>
                <w:rFonts w:hint="eastAsia"/>
              </w:rPr>
            </w:pPr>
            <w:r>
              <w:t>0</w:t>
            </w:r>
          </w:p>
        </w:tc>
        <w:tc>
          <w:tcPr>
            <w:tcW w:w="1575" w:type="dxa"/>
            <w:shd w:val="clear" w:color="auto" w:fill="auto"/>
            <w:vAlign w:val="center"/>
          </w:tcPr>
          <w:p w14:paraId="7F2BEBF7" w14:textId="77777777" w:rsidR="002D0AE7" w:rsidRDefault="00333EBB">
            <w:pPr>
              <w:jc w:val="right"/>
              <w:rPr>
                <w:rFonts w:hint="eastAsia"/>
              </w:rPr>
            </w:pPr>
            <w:r>
              <w:t>3,812,802</w:t>
            </w:r>
          </w:p>
        </w:tc>
        <w:tc>
          <w:tcPr>
            <w:tcW w:w="1115" w:type="dxa"/>
            <w:shd w:val="clear" w:color="auto" w:fill="auto"/>
            <w:vAlign w:val="center"/>
          </w:tcPr>
          <w:p w14:paraId="530854D8" w14:textId="77777777" w:rsidR="002D0AE7" w:rsidRDefault="00333EBB">
            <w:pPr>
              <w:jc w:val="right"/>
              <w:rPr>
                <w:rFonts w:hint="eastAsia"/>
              </w:rPr>
            </w:pPr>
            <w:r>
              <w:t>0.35</w:t>
            </w:r>
          </w:p>
        </w:tc>
        <w:tc>
          <w:tcPr>
            <w:tcW w:w="456" w:type="dxa"/>
            <w:shd w:val="clear" w:color="auto" w:fill="auto"/>
            <w:vAlign w:val="center"/>
          </w:tcPr>
          <w:p w14:paraId="01ABD4E3" w14:textId="77777777" w:rsidR="002D0AE7" w:rsidRDefault="00333EBB">
            <w:pPr>
              <w:jc w:val="right"/>
              <w:rPr>
                <w:rFonts w:hint="eastAsia"/>
              </w:rPr>
            </w:pPr>
            <w:r>
              <w:t>0</w:t>
            </w:r>
          </w:p>
        </w:tc>
        <w:sdt>
          <w:sdtPr>
            <w:rPr>
              <w:color w:val="000000" w:themeColor="text1"/>
            </w:rPr>
            <w:alias w:val="前十名股东持有股份状态"/>
            <w:tag w:val="_GBC_d5194108b2a8481e94140819dbdc5afe"/>
            <w:id w:val="496545632"/>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1240" w:type="dxa"/>
                <w:shd w:val="clear" w:color="auto" w:fill="auto"/>
                <w:vAlign w:val="center"/>
              </w:tcPr>
              <w:p w14:paraId="3812C9F4" w14:textId="77777777" w:rsidR="002D0AE7" w:rsidRDefault="00333EBB">
                <w:pPr>
                  <w:jc w:val="center"/>
                  <w:rPr>
                    <w:rFonts w:hint="eastAsia"/>
                    <w:color w:val="000000" w:themeColor="text1"/>
                  </w:rPr>
                </w:pPr>
                <w:r>
                  <w:rPr>
                    <w:rFonts w:hint="eastAsia"/>
                    <w:color w:val="000000" w:themeColor="text1"/>
                  </w:rPr>
                  <w:t>无</w:t>
                </w:r>
              </w:p>
            </w:tc>
          </w:sdtContent>
        </w:sdt>
        <w:tc>
          <w:tcPr>
            <w:tcW w:w="709" w:type="dxa"/>
            <w:shd w:val="clear" w:color="auto" w:fill="auto"/>
            <w:vAlign w:val="center"/>
          </w:tcPr>
          <w:p w14:paraId="43DA660B" w14:textId="77777777" w:rsidR="002D0AE7" w:rsidRDefault="002D0AE7">
            <w:pPr>
              <w:jc w:val="right"/>
              <w:rPr>
                <w:rFonts w:hint="eastAsia"/>
              </w:rPr>
            </w:pPr>
          </w:p>
        </w:tc>
        <w:sdt>
          <w:sdtPr>
            <w:rPr>
              <w:color w:val="000000" w:themeColor="text1"/>
            </w:rPr>
            <w:alias w:val="前十名股东的股东性质"/>
            <w:tag w:val="_GBC_71380bc899eb4b9781e95e37e7a1e221"/>
            <w:id w:val="1690947048"/>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956" w:type="dxa"/>
                <w:shd w:val="clear" w:color="auto" w:fill="auto"/>
                <w:vAlign w:val="center"/>
              </w:tcPr>
              <w:p w14:paraId="2C897AA8" w14:textId="77777777" w:rsidR="002D0AE7" w:rsidRDefault="00333EBB">
                <w:pPr>
                  <w:rPr>
                    <w:rFonts w:hint="eastAsia"/>
                    <w:color w:val="000000" w:themeColor="text1"/>
                  </w:rPr>
                </w:pPr>
                <w:r>
                  <w:rPr>
                    <w:rFonts w:hint="eastAsia"/>
                    <w:color w:val="000000" w:themeColor="text1"/>
                  </w:rPr>
                  <w:t>国有法人</w:t>
                </w:r>
              </w:p>
            </w:tc>
          </w:sdtContent>
        </w:sdt>
      </w:tr>
      <w:tr w:rsidR="002D0AE7" w14:paraId="21FA5222" w14:textId="77777777">
        <w:trPr>
          <w:cantSplit/>
        </w:trPr>
        <w:tc>
          <w:tcPr>
            <w:tcW w:w="2014" w:type="dxa"/>
            <w:shd w:val="clear" w:color="auto" w:fill="auto"/>
            <w:vAlign w:val="center"/>
          </w:tcPr>
          <w:p w14:paraId="15CC03E4" w14:textId="77777777" w:rsidR="002D0AE7" w:rsidRDefault="00333EBB">
            <w:pPr>
              <w:rPr>
                <w:rFonts w:hint="eastAsia"/>
              </w:rPr>
            </w:pPr>
            <w:r>
              <w:t>王秀强</w:t>
            </w:r>
          </w:p>
        </w:tc>
        <w:tc>
          <w:tcPr>
            <w:tcW w:w="1567" w:type="dxa"/>
            <w:shd w:val="clear" w:color="auto" w:fill="auto"/>
            <w:vAlign w:val="center"/>
          </w:tcPr>
          <w:p w14:paraId="4EBDFCDF" w14:textId="77777777" w:rsidR="002D0AE7" w:rsidRDefault="00333EBB">
            <w:pPr>
              <w:jc w:val="right"/>
              <w:rPr>
                <w:rFonts w:hint="eastAsia"/>
              </w:rPr>
            </w:pPr>
            <w:r>
              <w:t>3,593,084</w:t>
            </w:r>
          </w:p>
        </w:tc>
        <w:tc>
          <w:tcPr>
            <w:tcW w:w="1575" w:type="dxa"/>
            <w:shd w:val="clear" w:color="auto" w:fill="auto"/>
            <w:vAlign w:val="center"/>
          </w:tcPr>
          <w:p w14:paraId="699AD5F2" w14:textId="77777777" w:rsidR="002D0AE7" w:rsidRDefault="00333EBB">
            <w:pPr>
              <w:jc w:val="right"/>
              <w:rPr>
                <w:rFonts w:hint="eastAsia"/>
              </w:rPr>
            </w:pPr>
            <w:r>
              <w:t>3,593,084</w:t>
            </w:r>
          </w:p>
        </w:tc>
        <w:tc>
          <w:tcPr>
            <w:tcW w:w="1115" w:type="dxa"/>
            <w:shd w:val="clear" w:color="auto" w:fill="auto"/>
            <w:vAlign w:val="center"/>
          </w:tcPr>
          <w:p w14:paraId="740E8412" w14:textId="77777777" w:rsidR="002D0AE7" w:rsidRDefault="00333EBB">
            <w:pPr>
              <w:jc w:val="right"/>
              <w:rPr>
                <w:rFonts w:hint="eastAsia"/>
              </w:rPr>
            </w:pPr>
            <w:r>
              <w:t>0.33</w:t>
            </w:r>
          </w:p>
        </w:tc>
        <w:tc>
          <w:tcPr>
            <w:tcW w:w="456" w:type="dxa"/>
            <w:shd w:val="clear" w:color="auto" w:fill="auto"/>
            <w:vAlign w:val="center"/>
          </w:tcPr>
          <w:p w14:paraId="6BED9A9A" w14:textId="77777777" w:rsidR="002D0AE7" w:rsidRDefault="00333EBB">
            <w:pPr>
              <w:jc w:val="right"/>
              <w:rPr>
                <w:rFonts w:hint="eastAsia"/>
              </w:rPr>
            </w:pPr>
            <w:r>
              <w:t>0</w:t>
            </w:r>
          </w:p>
        </w:tc>
        <w:sdt>
          <w:sdtPr>
            <w:rPr>
              <w:color w:val="000000" w:themeColor="text1"/>
            </w:rPr>
            <w:alias w:val="前十名股东持有股份状态"/>
            <w:tag w:val="_GBC_d5194108b2a8481e94140819dbdc5afe"/>
            <w:id w:val="-1605720370"/>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1240" w:type="dxa"/>
                <w:shd w:val="clear" w:color="auto" w:fill="auto"/>
                <w:vAlign w:val="center"/>
              </w:tcPr>
              <w:p w14:paraId="1550EDB9" w14:textId="77777777" w:rsidR="002D0AE7" w:rsidRDefault="00333EBB">
                <w:pPr>
                  <w:jc w:val="center"/>
                  <w:rPr>
                    <w:rFonts w:hint="eastAsia"/>
                    <w:color w:val="000000" w:themeColor="text1"/>
                  </w:rPr>
                </w:pPr>
                <w:r>
                  <w:rPr>
                    <w:rFonts w:hint="eastAsia"/>
                    <w:color w:val="000000" w:themeColor="text1"/>
                  </w:rPr>
                  <w:t>无</w:t>
                </w:r>
              </w:p>
            </w:tc>
          </w:sdtContent>
        </w:sdt>
        <w:tc>
          <w:tcPr>
            <w:tcW w:w="709" w:type="dxa"/>
            <w:shd w:val="clear" w:color="auto" w:fill="auto"/>
            <w:vAlign w:val="center"/>
          </w:tcPr>
          <w:p w14:paraId="5CBC9BB6" w14:textId="77777777" w:rsidR="002D0AE7" w:rsidRDefault="002D0AE7">
            <w:pPr>
              <w:jc w:val="right"/>
              <w:rPr>
                <w:rFonts w:hint="eastAsia"/>
              </w:rPr>
            </w:pPr>
          </w:p>
        </w:tc>
        <w:sdt>
          <w:sdtPr>
            <w:rPr>
              <w:color w:val="000000" w:themeColor="text1"/>
            </w:rPr>
            <w:alias w:val="前十名股东的股东性质"/>
            <w:tag w:val="_GBC_71380bc899eb4b9781e95e37e7a1e221"/>
            <w:id w:val="-2099549153"/>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956" w:type="dxa"/>
                <w:shd w:val="clear" w:color="auto" w:fill="auto"/>
                <w:vAlign w:val="center"/>
              </w:tcPr>
              <w:p w14:paraId="4AAE7639" w14:textId="77777777" w:rsidR="002D0AE7" w:rsidRDefault="00333EBB">
                <w:pPr>
                  <w:rPr>
                    <w:rFonts w:hint="eastAsia"/>
                    <w:color w:val="000000" w:themeColor="text1"/>
                  </w:rPr>
                </w:pPr>
                <w:r>
                  <w:rPr>
                    <w:rFonts w:hint="eastAsia"/>
                    <w:color w:val="000000" w:themeColor="text1"/>
                  </w:rPr>
                  <w:t>境内自然人</w:t>
                </w:r>
              </w:p>
            </w:tc>
          </w:sdtContent>
        </w:sdt>
      </w:tr>
      <w:tr w:rsidR="002D0AE7" w14:paraId="706E15EB" w14:textId="77777777">
        <w:trPr>
          <w:cantSplit/>
        </w:trPr>
        <w:tc>
          <w:tcPr>
            <w:tcW w:w="2014" w:type="dxa"/>
            <w:shd w:val="clear" w:color="auto" w:fill="auto"/>
            <w:vAlign w:val="center"/>
          </w:tcPr>
          <w:p w14:paraId="1B2DABA2" w14:textId="77777777" w:rsidR="002D0AE7" w:rsidRDefault="00333EBB">
            <w:pPr>
              <w:rPr>
                <w:rFonts w:hint="eastAsia"/>
              </w:rPr>
            </w:pPr>
            <w:r>
              <w:t>吴伟立</w:t>
            </w:r>
          </w:p>
        </w:tc>
        <w:tc>
          <w:tcPr>
            <w:tcW w:w="1567" w:type="dxa"/>
            <w:shd w:val="clear" w:color="auto" w:fill="auto"/>
            <w:vAlign w:val="center"/>
          </w:tcPr>
          <w:p w14:paraId="421E320E" w14:textId="77777777" w:rsidR="002D0AE7" w:rsidRDefault="00333EBB">
            <w:pPr>
              <w:jc w:val="right"/>
              <w:rPr>
                <w:rFonts w:hint="eastAsia"/>
              </w:rPr>
            </w:pPr>
            <w:r>
              <w:t>-10,000</w:t>
            </w:r>
          </w:p>
        </w:tc>
        <w:tc>
          <w:tcPr>
            <w:tcW w:w="1575" w:type="dxa"/>
            <w:shd w:val="clear" w:color="auto" w:fill="auto"/>
            <w:vAlign w:val="center"/>
          </w:tcPr>
          <w:p w14:paraId="1B731283" w14:textId="77777777" w:rsidR="002D0AE7" w:rsidRDefault="00333EBB">
            <w:pPr>
              <w:jc w:val="right"/>
              <w:rPr>
                <w:rFonts w:hint="eastAsia"/>
              </w:rPr>
            </w:pPr>
            <w:r>
              <w:t>2,710,700</w:t>
            </w:r>
          </w:p>
        </w:tc>
        <w:tc>
          <w:tcPr>
            <w:tcW w:w="1115" w:type="dxa"/>
            <w:shd w:val="clear" w:color="auto" w:fill="auto"/>
            <w:vAlign w:val="center"/>
          </w:tcPr>
          <w:p w14:paraId="2899F3BF" w14:textId="77777777" w:rsidR="002D0AE7" w:rsidRDefault="00333EBB">
            <w:pPr>
              <w:jc w:val="right"/>
              <w:rPr>
                <w:rFonts w:hint="eastAsia"/>
              </w:rPr>
            </w:pPr>
            <w:r>
              <w:t>0.25</w:t>
            </w:r>
          </w:p>
        </w:tc>
        <w:tc>
          <w:tcPr>
            <w:tcW w:w="456" w:type="dxa"/>
            <w:shd w:val="clear" w:color="auto" w:fill="auto"/>
            <w:vAlign w:val="center"/>
          </w:tcPr>
          <w:p w14:paraId="3528BD28" w14:textId="77777777" w:rsidR="002D0AE7" w:rsidRDefault="00333EBB">
            <w:pPr>
              <w:jc w:val="right"/>
              <w:rPr>
                <w:rFonts w:hint="eastAsia"/>
              </w:rPr>
            </w:pPr>
            <w:r>
              <w:t>0</w:t>
            </w:r>
          </w:p>
        </w:tc>
        <w:sdt>
          <w:sdtPr>
            <w:rPr>
              <w:color w:val="000000" w:themeColor="text1"/>
            </w:rPr>
            <w:alias w:val="前十名股东持有股份状态"/>
            <w:tag w:val="_GBC_d5194108b2a8481e94140819dbdc5afe"/>
            <w:id w:val="1008255317"/>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1240" w:type="dxa"/>
                <w:shd w:val="clear" w:color="auto" w:fill="auto"/>
                <w:vAlign w:val="center"/>
              </w:tcPr>
              <w:p w14:paraId="76ED680B" w14:textId="77777777" w:rsidR="002D0AE7" w:rsidRDefault="00333EBB">
                <w:pPr>
                  <w:jc w:val="center"/>
                  <w:rPr>
                    <w:rFonts w:hint="eastAsia"/>
                    <w:color w:val="000000" w:themeColor="text1"/>
                  </w:rPr>
                </w:pPr>
                <w:r>
                  <w:rPr>
                    <w:rFonts w:hint="eastAsia"/>
                    <w:color w:val="000000" w:themeColor="text1"/>
                  </w:rPr>
                  <w:t>无</w:t>
                </w:r>
              </w:p>
            </w:tc>
          </w:sdtContent>
        </w:sdt>
        <w:tc>
          <w:tcPr>
            <w:tcW w:w="709" w:type="dxa"/>
            <w:shd w:val="clear" w:color="auto" w:fill="auto"/>
            <w:vAlign w:val="center"/>
          </w:tcPr>
          <w:p w14:paraId="0CBD56E6" w14:textId="77777777" w:rsidR="002D0AE7" w:rsidRDefault="002D0AE7">
            <w:pPr>
              <w:jc w:val="right"/>
              <w:rPr>
                <w:rFonts w:hint="eastAsia"/>
              </w:rPr>
            </w:pPr>
          </w:p>
        </w:tc>
        <w:sdt>
          <w:sdtPr>
            <w:rPr>
              <w:color w:val="000000" w:themeColor="text1"/>
            </w:rPr>
            <w:alias w:val="前十名股东的股东性质"/>
            <w:tag w:val="_GBC_71380bc899eb4b9781e95e37e7a1e221"/>
            <w:id w:val="1046185853"/>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956" w:type="dxa"/>
                <w:shd w:val="clear" w:color="auto" w:fill="auto"/>
                <w:vAlign w:val="center"/>
              </w:tcPr>
              <w:p w14:paraId="56BB746B" w14:textId="77777777" w:rsidR="002D0AE7" w:rsidRDefault="00333EBB">
                <w:pPr>
                  <w:rPr>
                    <w:rFonts w:hint="eastAsia"/>
                    <w:color w:val="000000" w:themeColor="text1"/>
                  </w:rPr>
                </w:pPr>
                <w:r>
                  <w:rPr>
                    <w:rFonts w:hint="eastAsia"/>
                    <w:color w:val="000000" w:themeColor="text1"/>
                  </w:rPr>
                  <w:t>境内自然人</w:t>
                </w:r>
              </w:p>
            </w:tc>
          </w:sdtContent>
        </w:sdt>
      </w:tr>
      <w:tr w:rsidR="002D0AE7" w14:paraId="68C6E6DD" w14:textId="77777777">
        <w:trPr>
          <w:cantSplit/>
        </w:trPr>
        <w:tc>
          <w:tcPr>
            <w:tcW w:w="2014" w:type="dxa"/>
            <w:shd w:val="clear" w:color="auto" w:fill="auto"/>
            <w:vAlign w:val="center"/>
          </w:tcPr>
          <w:p w14:paraId="4A4BCB89" w14:textId="77777777" w:rsidR="002D0AE7" w:rsidRDefault="00333EBB">
            <w:pPr>
              <w:rPr>
                <w:rFonts w:hint="eastAsia"/>
              </w:rPr>
            </w:pPr>
            <w:r>
              <w:t>陈卫敏</w:t>
            </w:r>
          </w:p>
        </w:tc>
        <w:tc>
          <w:tcPr>
            <w:tcW w:w="1567" w:type="dxa"/>
            <w:shd w:val="clear" w:color="auto" w:fill="auto"/>
            <w:vAlign w:val="center"/>
          </w:tcPr>
          <w:p w14:paraId="58CC27A7" w14:textId="77777777" w:rsidR="002D0AE7" w:rsidRDefault="00333EBB">
            <w:pPr>
              <w:jc w:val="right"/>
              <w:rPr>
                <w:rFonts w:hint="eastAsia"/>
              </w:rPr>
            </w:pPr>
            <w:r>
              <w:t>2,341,000</w:t>
            </w:r>
          </w:p>
        </w:tc>
        <w:tc>
          <w:tcPr>
            <w:tcW w:w="1575" w:type="dxa"/>
            <w:shd w:val="clear" w:color="auto" w:fill="auto"/>
            <w:vAlign w:val="center"/>
          </w:tcPr>
          <w:p w14:paraId="2B1A0630" w14:textId="77777777" w:rsidR="002D0AE7" w:rsidRDefault="00333EBB">
            <w:pPr>
              <w:jc w:val="right"/>
              <w:rPr>
                <w:rFonts w:hint="eastAsia"/>
              </w:rPr>
            </w:pPr>
            <w:r>
              <w:t>2,341,000</w:t>
            </w:r>
          </w:p>
        </w:tc>
        <w:tc>
          <w:tcPr>
            <w:tcW w:w="1115" w:type="dxa"/>
            <w:shd w:val="clear" w:color="auto" w:fill="auto"/>
            <w:vAlign w:val="center"/>
          </w:tcPr>
          <w:p w14:paraId="206C3515" w14:textId="77777777" w:rsidR="002D0AE7" w:rsidRDefault="00333EBB">
            <w:pPr>
              <w:jc w:val="right"/>
              <w:rPr>
                <w:rFonts w:hint="eastAsia"/>
              </w:rPr>
            </w:pPr>
            <w:r>
              <w:t>0.21</w:t>
            </w:r>
          </w:p>
        </w:tc>
        <w:tc>
          <w:tcPr>
            <w:tcW w:w="456" w:type="dxa"/>
            <w:shd w:val="clear" w:color="auto" w:fill="auto"/>
            <w:vAlign w:val="center"/>
          </w:tcPr>
          <w:p w14:paraId="723D31B4" w14:textId="77777777" w:rsidR="002D0AE7" w:rsidRDefault="00333EBB">
            <w:pPr>
              <w:jc w:val="right"/>
              <w:rPr>
                <w:rFonts w:hint="eastAsia"/>
              </w:rPr>
            </w:pPr>
            <w:r>
              <w:t>0</w:t>
            </w:r>
          </w:p>
        </w:tc>
        <w:sdt>
          <w:sdtPr>
            <w:rPr>
              <w:color w:val="000000" w:themeColor="text1"/>
            </w:rPr>
            <w:alias w:val="前十名股东持有股份状态"/>
            <w:tag w:val="_GBC_d5194108b2a8481e94140819dbdc5afe"/>
            <w:id w:val="678247656"/>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1240" w:type="dxa"/>
                <w:shd w:val="clear" w:color="auto" w:fill="auto"/>
                <w:vAlign w:val="center"/>
              </w:tcPr>
              <w:p w14:paraId="30A8C6BE" w14:textId="77777777" w:rsidR="002D0AE7" w:rsidRDefault="00333EBB">
                <w:pPr>
                  <w:jc w:val="center"/>
                  <w:rPr>
                    <w:rFonts w:hint="eastAsia"/>
                    <w:color w:val="000000" w:themeColor="text1"/>
                  </w:rPr>
                </w:pPr>
                <w:r>
                  <w:rPr>
                    <w:rFonts w:hint="eastAsia"/>
                    <w:color w:val="000000" w:themeColor="text1"/>
                  </w:rPr>
                  <w:t>无</w:t>
                </w:r>
              </w:p>
            </w:tc>
          </w:sdtContent>
        </w:sdt>
        <w:tc>
          <w:tcPr>
            <w:tcW w:w="709" w:type="dxa"/>
            <w:shd w:val="clear" w:color="auto" w:fill="auto"/>
            <w:vAlign w:val="center"/>
          </w:tcPr>
          <w:p w14:paraId="55DD46B5" w14:textId="77777777" w:rsidR="002D0AE7" w:rsidRDefault="002D0AE7">
            <w:pPr>
              <w:jc w:val="right"/>
              <w:rPr>
                <w:rFonts w:hint="eastAsia"/>
              </w:rPr>
            </w:pPr>
          </w:p>
        </w:tc>
        <w:sdt>
          <w:sdtPr>
            <w:rPr>
              <w:color w:val="000000" w:themeColor="text1"/>
            </w:rPr>
            <w:alias w:val="前十名股东的股东性质"/>
            <w:tag w:val="_GBC_71380bc899eb4b9781e95e37e7a1e221"/>
            <w:id w:val="-334458452"/>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956" w:type="dxa"/>
                <w:shd w:val="clear" w:color="auto" w:fill="auto"/>
                <w:vAlign w:val="center"/>
              </w:tcPr>
              <w:p w14:paraId="24EE65DF" w14:textId="77777777" w:rsidR="002D0AE7" w:rsidRDefault="00333EBB">
                <w:pPr>
                  <w:rPr>
                    <w:rFonts w:hint="eastAsia"/>
                    <w:color w:val="000000" w:themeColor="text1"/>
                  </w:rPr>
                </w:pPr>
                <w:r>
                  <w:rPr>
                    <w:rFonts w:hint="eastAsia"/>
                    <w:color w:val="000000" w:themeColor="text1"/>
                  </w:rPr>
                  <w:t>境内自然人</w:t>
                </w:r>
              </w:p>
            </w:tc>
          </w:sdtContent>
        </w:sdt>
      </w:tr>
      <w:tr w:rsidR="002D0AE7" w14:paraId="0630CCE9" w14:textId="77777777">
        <w:trPr>
          <w:cantSplit/>
        </w:trPr>
        <w:sdt>
          <w:sdtPr>
            <w:rPr>
              <w:color w:val="000000" w:themeColor="text1"/>
            </w:rPr>
            <w:tag w:val="_PLD_6f36efd0621247ffb7b2462dd9753e27"/>
            <w:id w:val="-531955377"/>
          </w:sdtPr>
          <w:sdtEndPr/>
          <w:sdtContent>
            <w:tc>
              <w:tcPr>
                <w:tcW w:w="10632" w:type="dxa"/>
                <w:gridSpan w:val="8"/>
                <w:shd w:val="clear" w:color="auto" w:fill="auto"/>
                <w:vAlign w:val="center"/>
              </w:tcPr>
              <w:p w14:paraId="319397BC" w14:textId="77777777" w:rsidR="002D0AE7" w:rsidRDefault="00333EBB">
                <w:pPr>
                  <w:jc w:val="center"/>
                  <w:rPr>
                    <w:rFonts w:hint="eastAsia"/>
                    <w:color w:val="000000" w:themeColor="text1"/>
                  </w:rPr>
                </w:pPr>
                <w:r>
                  <w:rPr>
                    <w:rFonts w:hint="eastAsia"/>
                    <w:color w:val="000000" w:themeColor="text1"/>
                  </w:rPr>
                  <w:t>前十名无限售条件股东持股情况（不含通过转融通出借股份）</w:t>
                </w:r>
              </w:p>
            </w:tc>
          </w:sdtContent>
        </w:sdt>
      </w:tr>
      <w:tr w:rsidR="002D0AE7" w14:paraId="590E0BA4" w14:textId="77777777">
        <w:trPr>
          <w:cantSplit/>
        </w:trPr>
        <w:sdt>
          <w:sdtPr>
            <w:rPr>
              <w:color w:val="000000" w:themeColor="text1"/>
            </w:rPr>
            <w:tag w:val="_PLD_6c8c7d50ba2b44858757eeaaa20b5499"/>
            <w:id w:val="-2138013747"/>
          </w:sdtPr>
          <w:sdtEndPr/>
          <w:sdtContent>
            <w:tc>
              <w:tcPr>
                <w:tcW w:w="3581" w:type="dxa"/>
                <w:gridSpan w:val="2"/>
                <w:vMerge w:val="restart"/>
                <w:shd w:val="clear" w:color="auto" w:fill="auto"/>
                <w:vAlign w:val="center"/>
              </w:tcPr>
              <w:p w14:paraId="1931B04F" w14:textId="77777777" w:rsidR="002D0AE7" w:rsidRDefault="00333EBB">
                <w:pPr>
                  <w:jc w:val="center"/>
                  <w:rPr>
                    <w:rFonts w:hint="eastAsia"/>
                    <w:color w:val="000000" w:themeColor="text1"/>
                  </w:rPr>
                </w:pPr>
                <w:r>
                  <w:rPr>
                    <w:color w:val="000000" w:themeColor="text1"/>
                  </w:rPr>
                  <w:t>股东名称</w:t>
                </w:r>
              </w:p>
            </w:tc>
          </w:sdtContent>
        </w:sdt>
        <w:sdt>
          <w:sdtPr>
            <w:rPr>
              <w:color w:val="000000" w:themeColor="text1"/>
            </w:rPr>
            <w:tag w:val="_PLD_e4987b1a07a6489c82ab5ef0aa3370ea"/>
            <w:id w:val="1227414435"/>
          </w:sdtPr>
          <w:sdtEndPr/>
          <w:sdtContent>
            <w:tc>
              <w:tcPr>
                <w:tcW w:w="2690" w:type="dxa"/>
                <w:gridSpan w:val="2"/>
                <w:vMerge w:val="restart"/>
                <w:shd w:val="clear" w:color="auto" w:fill="auto"/>
                <w:vAlign w:val="center"/>
              </w:tcPr>
              <w:p w14:paraId="224579E1" w14:textId="77777777" w:rsidR="002D0AE7" w:rsidRDefault="00333EBB">
                <w:pPr>
                  <w:jc w:val="center"/>
                  <w:rPr>
                    <w:rFonts w:hint="eastAsia"/>
                    <w:color w:val="000000" w:themeColor="text1"/>
                  </w:rPr>
                </w:pPr>
                <w:r>
                  <w:rPr>
                    <w:color w:val="000000" w:themeColor="text1"/>
                  </w:rPr>
                  <w:t>持有无限售条件流通股的数量</w:t>
                </w:r>
              </w:p>
            </w:tc>
          </w:sdtContent>
        </w:sdt>
        <w:sdt>
          <w:sdtPr>
            <w:rPr>
              <w:color w:val="000000" w:themeColor="text1"/>
            </w:rPr>
            <w:tag w:val="_PLD_26ce78cac14a427ca05aa80b21b65936"/>
            <w:id w:val="1975793894"/>
          </w:sdtPr>
          <w:sdtEndPr/>
          <w:sdtContent>
            <w:tc>
              <w:tcPr>
                <w:tcW w:w="4361" w:type="dxa"/>
                <w:gridSpan w:val="4"/>
                <w:tcBorders>
                  <w:bottom w:val="single" w:sz="4" w:space="0" w:color="auto"/>
                </w:tcBorders>
                <w:shd w:val="clear" w:color="auto" w:fill="auto"/>
                <w:vAlign w:val="center"/>
              </w:tcPr>
              <w:p w14:paraId="5E616289" w14:textId="77777777" w:rsidR="002D0AE7" w:rsidRDefault="00333EBB">
                <w:pPr>
                  <w:jc w:val="center"/>
                  <w:rPr>
                    <w:rFonts w:hint="eastAsia"/>
                    <w:color w:val="000000" w:themeColor="text1"/>
                  </w:rPr>
                </w:pPr>
                <w:r>
                  <w:rPr>
                    <w:color w:val="000000" w:themeColor="text1"/>
                  </w:rPr>
                  <w:t>股份种类</w:t>
                </w:r>
                <w:r>
                  <w:rPr>
                    <w:rFonts w:hint="eastAsia"/>
                    <w:color w:val="000000" w:themeColor="text1"/>
                  </w:rPr>
                  <w:t>及数量</w:t>
                </w:r>
              </w:p>
            </w:tc>
          </w:sdtContent>
        </w:sdt>
      </w:tr>
      <w:tr w:rsidR="002D0AE7" w14:paraId="3998627B" w14:textId="77777777">
        <w:trPr>
          <w:cantSplit/>
        </w:trPr>
        <w:tc>
          <w:tcPr>
            <w:tcW w:w="3581" w:type="dxa"/>
            <w:gridSpan w:val="2"/>
            <w:vMerge/>
            <w:shd w:val="clear" w:color="auto" w:fill="auto"/>
            <w:vAlign w:val="center"/>
          </w:tcPr>
          <w:p w14:paraId="0AE185AC" w14:textId="77777777" w:rsidR="002D0AE7" w:rsidRDefault="002D0AE7">
            <w:pPr>
              <w:jc w:val="center"/>
              <w:rPr>
                <w:rFonts w:hint="eastAsia"/>
                <w:color w:val="000000" w:themeColor="text1"/>
              </w:rPr>
            </w:pPr>
          </w:p>
        </w:tc>
        <w:tc>
          <w:tcPr>
            <w:tcW w:w="2690" w:type="dxa"/>
            <w:gridSpan w:val="2"/>
            <w:vMerge/>
            <w:shd w:val="clear" w:color="auto" w:fill="auto"/>
            <w:vAlign w:val="center"/>
          </w:tcPr>
          <w:p w14:paraId="08D1CAF7" w14:textId="77777777" w:rsidR="002D0AE7" w:rsidRDefault="002D0AE7">
            <w:pPr>
              <w:jc w:val="center"/>
              <w:rPr>
                <w:rFonts w:hint="eastAsia"/>
                <w:color w:val="000000" w:themeColor="text1"/>
              </w:rPr>
            </w:pPr>
          </w:p>
        </w:tc>
        <w:sdt>
          <w:sdtPr>
            <w:rPr>
              <w:color w:val="000000" w:themeColor="text1"/>
            </w:rPr>
            <w:tag w:val="_PLD_05580a00e3f942c0b2da618818a84669"/>
            <w:id w:val="518509548"/>
          </w:sdtPr>
          <w:sdtEndPr/>
          <w:sdtContent>
            <w:tc>
              <w:tcPr>
                <w:tcW w:w="2405" w:type="dxa"/>
                <w:gridSpan w:val="3"/>
                <w:shd w:val="clear" w:color="auto" w:fill="auto"/>
                <w:vAlign w:val="center"/>
              </w:tcPr>
              <w:p w14:paraId="73641109" w14:textId="77777777" w:rsidR="002D0AE7" w:rsidRDefault="00333EBB">
                <w:pPr>
                  <w:jc w:val="center"/>
                  <w:rPr>
                    <w:rFonts w:hint="eastAsia"/>
                    <w:color w:val="000000" w:themeColor="text1"/>
                  </w:rPr>
                </w:pPr>
                <w:r>
                  <w:rPr>
                    <w:rFonts w:hint="eastAsia"/>
                    <w:color w:val="000000" w:themeColor="text1"/>
                  </w:rPr>
                  <w:t>种类</w:t>
                </w:r>
              </w:p>
            </w:tc>
          </w:sdtContent>
        </w:sdt>
        <w:sdt>
          <w:sdtPr>
            <w:rPr>
              <w:color w:val="000000" w:themeColor="text1"/>
            </w:rPr>
            <w:tag w:val="_PLD_7f8ec6251e234192b411b34b07ccd732"/>
            <w:id w:val="1761023975"/>
          </w:sdtPr>
          <w:sdtEndPr/>
          <w:sdtContent>
            <w:tc>
              <w:tcPr>
                <w:tcW w:w="1956" w:type="dxa"/>
                <w:shd w:val="clear" w:color="auto" w:fill="auto"/>
                <w:vAlign w:val="center"/>
              </w:tcPr>
              <w:p w14:paraId="60EE8605" w14:textId="77777777" w:rsidR="002D0AE7" w:rsidRDefault="00333EBB">
                <w:pPr>
                  <w:jc w:val="center"/>
                  <w:rPr>
                    <w:rFonts w:hint="eastAsia"/>
                    <w:color w:val="000000" w:themeColor="text1"/>
                  </w:rPr>
                </w:pPr>
                <w:r>
                  <w:rPr>
                    <w:rFonts w:hint="eastAsia"/>
                    <w:color w:val="000000" w:themeColor="text1"/>
                  </w:rPr>
                  <w:t>数量</w:t>
                </w:r>
              </w:p>
            </w:tc>
          </w:sdtContent>
        </w:sdt>
      </w:tr>
      <w:tr w:rsidR="002D0AE7" w14:paraId="1F2CFBDC" w14:textId="77777777">
        <w:trPr>
          <w:cantSplit/>
        </w:trPr>
        <w:tc>
          <w:tcPr>
            <w:tcW w:w="3581" w:type="dxa"/>
            <w:gridSpan w:val="2"/>
            <w:shd w:val="clear" w:color="auto" w:fill="auto"/>
            <w:vAlign w:val="center"/>
          </w:tcPr>
          <w:p w14:paraId="2606DB68" w14:textId="77777777" w:rsidR="002D0AE7" w:rsidRDefault="00333EBB">
            <w:pPr>
              <w:rPr>
                <w:rFonts w:hint="eastAsia"/>
              </w:rPr>
            </w:pPr>
            <w:r>
              <w:t>天津药业集团有限公司</w:t>
            </w:r>
          </w:p>
        </w:tc>
        <w:tc>
          <w:tcPr>
            <w:tcW w:w="2690" w:type="dxa"/>
            <w:gridSpan w:val="2"/>
            <w:shd w:val="clear" w:color="auto" w:fill="auto"/>
            <w:vAlign w:val="center"/>
          </w:tcPr>
          <w:p w14:paraId="701BECA3" w14:textId="77777777" w:rsidR="002D0AE7" w:rsidRDefault="00333EBB">
            <w:pPr>
              <w:jc w:val="right"/>
              <w:rPr>
                <w:rFonts w:hint="eastAsia"/>
              </w:rPr>
            </w:pPr>
            <w:r>
              <w:t>554,530,149</w:t>
            </w:r>
          </w:p>
        </w:tc>
        <w:sdt>
          <w:sdtPr>
            <w:rPr>
              <w:bCs/>
              <w:color w:val="000000" w:themeColor="text1"/>
            </w:rPr>
            <w:alias w:val="前十名无限售条件股东期末持有流通股的种类"/>
            <w:tag w:val="_GBC_5d0d3dfc3b8545ce906ab8a21728fb94"/>
            <w:id w:val="1241917927"/>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2405" w:type="dxa"/>
                <w:gridSpan w:val="3"/>
                <w:shd w:val="clear" w:color="auto" w:fill="auto"/>
                <w:vAlign w:val="center"/>
              </w:tcPr>
              <w:p w14:paraId="7A520A78" w14:textId="77777777" w:rsidR="002D0AE7" w:rsidRDefault="00333EBB">
                <w:pPr>
                  <w:jc w:val="center"/>
                  <w:rPr>
                    <w:rFonts w:hint="eastAsia"/>
                    <w:bCs/>
                    <w:color w:val="000000" w:themeColor="text1"/>
                  </w:rPr>
                </w:pPr>
                <w:r>
                  <w:rPr>
                    <w:rFonts w:hint="eastAsia"/>
                    <w:bCs/>
                    <w:color w:val="000000" w:themeColor="text1"/>
                  </w:rPr>
                  <w:t>人民币普通股</w:t>
                </w:r>
              </w:p>
            </w:tc>
          </w:sdtContent>
        </w:sdt>
        <w:tc>
          <w:tcPr>
            <w:tcW w:w="1956" w:type="dxa"/>
            <w:shd w:val="clear" w:color="auto" w:fill="auto"/>
            <w:vAlign w:val="center"/>
          </w:tcPr>
          <w:p w14:paraId="3868951B" w14:textId="77777777" w:rsidR="002D0AE7" w:rsidRDefault="00333EBB">
            <w:pPr>
              <w:jc w:val="right"/>
              <w:rPr>
                <w:rFonts w:hint="eastAsia"/>
              </w:rPr>
            </w:pPr>
            <w:r>
              <w:t>554,530,149</w:t>
            </w:r>
          </w:p>
        </w:tc>
      </w:tr>
      <w:tr w:rsidR="002D0AE7" w14:paraId="3C3B6228" w14:textId="77777777">
        <w:trPr>
          <w:cantSplit/>
        </w:trPr>
        <w:tc>
          <w:tcPr>
            <w:tcW w:w="3581" w:type="dxa"/>
            <w:gridSpan w:val="2"/>
            <w:shd w:val="clear" w:color="auto" w:fill="auto"/>
            <w:vAlign w:val="center"/>
          </w:tcPr>
          <w:p w14:paraId="1BC6F29A" w14:textId="77777777" w:rsidR="002D0AE7" w:rsidRDefault="00333EBB">
            <w:pPr>
              <w:rPr>
                <w:rFonts w:hint="eastAsia"/>
              </w:rPr>
            </w:pPr>
            <w:r>
              <w:t>津沪深生物医药科技有限公司</w:t>
            </w:r>
          </w:p>
        </w:tc>
        <w:tc>
          <w:tcPr>
            <w:tcW w:w="2690" w:type="dxa"/>
            <w:gridSpan w:val="2"/>
            <w:shd w:val="clear" w:color="auto" w:fill="auto"/>
            <w:vAlign w:val="center"/>
          </w:tcPr>
          <w:p w14:paraId="3A55C2F4" w14:textId="77777777" w:rsidR="002D0AE7" w:rsidRDefault="00333EBB">
            <w:pPr>
              <w:jc w:val="right"/>
              <w:rPr>
                <w:rFonts w:hint="eastAsia"/>
              </w:rPr>
            </w:pPr>
            <w:r>
              <w:t>58,206,300</w:t>
            </w:r>
          </w:p>
        </w:tc>
        <w:sdt>
          <w:sdtPr>
            <w:rPr>
              <w:bCs/>
              <w:color w:val="000000" w:themeColor="text1"/>
            </w:rPr>
            <w:alias w:val="前十名无限售条件股东期末持有流通股的种类"/>
            <w:tag w:val="_GBC_5d0d3dfc3b8545ce906ab8a21728fb94"/>
            <w:id w:val="-735548653"/>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2405" w:type="dxa"/>
                <w:gridSpan w:val="3"/>
                <w:shd w:val="clear" w:color="auto" w:fill="auto"/>
                <w:vAlign w:val="center"/>
              </w:tcPr>
              <w:p w14:paraId="0724EFA6" w14:textId="77777777" w:rsidR="002D0AE7" w:rsidRDefault="00333EBB">
                <w:pPr>
                  <w:jc w:val="center"/>
                  <w:rPr>
                    <w:rFonts w:hint="eastAsia"/>
                    <w:bCs/>
                    <w:color w:val="000000" w:themeColor="text1"/>
                  </w:rPr>
                </w:pPr>
                <w:r>
                  <w:rPr>
                    <w:rFonts w:hint="eastAsia"/>
                    <w:bCs/>
                    <w:color w:val="000000" w:themeColor="text1"/>
                  </w:rPr>
                  <w:t>人民币普通股</w:t>
                </w:r>
              </w:p>
            </w:tc>
          </w:sdtContent>
        </w:sdt>
        <w:tc>
          <w:tcPr>
            <w:tcW w:w="1956" w:type="dxa"/>
            <w:shd w:val="clear" w:color="auto" w:fill="auto"/>
            <w:vAlign w:val="center"/>
          </w:tcPr>
          <w:p w14:paraId="2F0A6116" w14:textId="77777777" w:rsidR="002D0AE7" w:rsidRDefault="00333EBB">
            <w:pPr>
              <w:jc w:val="right"/>
              <w:rPr>
                <w:rFonts w:hint="eastAsia"/>
              </w:rPr>
            </w:pPr>
            <w:r>
              <w:t>58,206,300</w:t>
            </w:r>
          </w:p>
        </w:tc>
      </w:tr>
      <w:tr w:rsidR="002D0AE7" w14:paraId="731B65E8" w14:textId="77777777">
        <w:trPr>
          <w:cantSplit/>
        </w:trPr>
        <w:tc>
          <w:tcPr>
            <w:tcW w:w="3581" w:type="dxa"/>
            <w:gridSpan w:val="2"/>
            <w:shd w:val="clear" w:color="auto" w:fill="auto"/>
            <w:vAlign w:val="center"/>
          </w:tcPr>
          <w:p w14:paraId="4D317837" w14:textId="77777777" w:rsidR="002D0AE7" w:rsidRDefault="00333EBB">
            <w:pPr>
              <w:rPr>
                <w:rFonts w:hint="eastAsia"/>
              </w:rPr>
            </w:pPr>
            <w:r>
              <w:t>香港中央结算有限公司</w:t>
            </w:r>
          </w:p>
        </w:tc>
        <w:tc>
          <w:tcPr>
            <w:tcW w:w="2690" w:type="dxa"/>
            <w:gridSpan w:val="2"/>
            <w:shd w:val="clear" w:color="auto" w:fill="auto"/>
            <w:vAlign w:val="center"/>
          </w:tcPr>
          <w:p w14:paraId="7DDDAE18" w14:textId="77777777" w:rsidR="002D0AE7" w:rsidRDefault="00333EBB">
            <w:pPr>
              <w:jc w:val="right"/>
              <w:rPr>
                <w:rFonts w:hint="eastAsia"/>
              </w:rPr>
            </w:pPr>
            <w:r>
              <w:t>11,692,093</w:t>
            </w:r>
          </w:p>
        </w:tc>
        <w:sdt>
          <w:sdtPr>
            <w:rPr>
              <w:bCs/>
              <w:color w:val="000000" w:themeColor="text1"/>
            </w:rPr>
            <w:alias w:val="前十名无限售条件股东期末持有流通股的种类"/>
            <w:tag w:val="_GBC_5d0d3dfc3b8545ce906ab8a21728fb94"/>
            <w:id w:val="481198763"/>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2405" w:type="dxa"/>
                <w:gridSpan w:val="3"/>
                <w:shd w:val="clear" w:color="auto" w:fill="auto"/>
                <w:vAlign w:val="center"/>
              </w:tcPr>
              <w:p w14:paraId="3C6CBFF0" w14:textId="77777777" w:rsidR="002D0AE7" w:rsidRDefault="00333EBB">
                <w:pPr>
                  <w:jc w:val="center"/>
                  <w:rPr>
                    <w:rFonts w:hint="eastAsia"/>
                    <w:bCs/>
                    <w:color w:val="000000" w:themeColor="text1"/>
                  </w:rPr>
                </w:pPr>
                <w:r>
                  <w:rPr>
                    <w:rFonts w:hint="eastAsia"/>
                    <w:bCs/>
                    <w:color w:val="000000" w:themeColor="text1"/>
                  </w:rPr>
                  <w:t>人民币普通股</w:t>
                </w:r>
              </w:p>
            </w:tc>
          </w:sdtContent>
        </w:sdt>
        <w:tc>
          <w:tcPr>
            <w:tcW w:w="1956" w:type="dxa"/>
            <w:shd w:val="clear" w:color="auto" w:fill="auto"/>
            <w:vAlign w:val="center"/>
          </w:tcPr>
          <w:p w14:paraId="330C1F59" w14:textId="77777777" w:rsidR="002D0AE7" w:rsidRDefault="00333EBB">
            <w:pPr>
              <w:jc w:val="right"/>
              <w:rPr>
                <w:rFonts w:hint="eastAsia"/>
              </w:rPr>
            </w:pPr>
            <w:r>
              <w:t>11,692,093</w:t>
            </w:r>
          </w:p>
        </w:tc>
      </w:tr>
      <w:tr w:rsidR="002D0AE7" w14:paraId="6D205C64" w14:textId="77777777">
        <w:trPr>
          <w:cantSplit/>
        </w:trPr>
        <w:tc>
          <w:tcPr>
            <w:tcW w:w="3581" w:type="dxa"/>
            <w:gridSpan w:val="2"/>
            <w:shd w:val="clear" w:color="auto" w:fill="auto"/>
            <w:vAlign w:val="center"/>
          </w:tcPr>
          <w:p w14:paraId="7D21678B" w14:textId="77777777" w:rsidR="002D0AE7" w:rsidRDefault="00333EBB">
            <w:pPr>
              <w:rPr>
                <w:rFonts w:hint="eastAsia"/>
              </w:rPr>
            </w:pPr>
            <w:r>
              <w:t>李莲子</w:t>
            </w:r>
          </w:p>
        </w:tc>
        <w:tc>
          <w:tcPr>
            <w:tcW w:w="2690" w:type="dxa"/>
            <w:gridSpan w:val="2"/>
            <w:shd w:val="clear" w:color="auto" w:fill="auto"/>
            <w:vAlign w:val="center"/>
          </w:tcPr>
          <w:p w14:paraId="058E3FDA" w14:textId="77777777" w:rsidR="002D0AE7" w:rsidRDefault="00333EBB">
            <w:pPr>
              <w:jc w:val="right"/>
              <w:rPr>
                <w:rFonts w:hint="eastAsia"/>
              </w:rPr>
            </w:pPr>
            <w:r>
              <w:t>4,341,129</w:t>
            </w:r>
          </w:p>
        </w:tc>
        <w:sdt>
          <w:sdtPr>
            <w:rPr>
              <w:bCs/>
              <w:color w:val="000000" w:themeColor="text1"/>
            </w:rPr>
            <w:alias w:val="前十名无限售条件股东期末持有流通股的种类"/>
            <w:tag w:val="_GBC_5d0d3dfc3b8545ce906ab8a21728fb94"/>
            <w:id w:val="887921210"/>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2405" w:type="dxa"/>
                <w:gridSpan w:val="3"/>
                <w:shd w:val="clear" w:color="auto" w:fill="auto"/>
                <w:vAlign w:val="center"/>
              </w:tcPr>
              <w:p w14:paraId="3D344784" w14:textId="77777777" w:rsidR="002D0AE7" w:rsidRDefault="00333EBB">
                <w:pPr>
                  <w:jc w:val="center"/>
                  <w:rPr>
                    <w:rFonts w:hint="eastAsia"/>
                    <w:bCs/>
                    <w:color w:val="000000" w:themeColor="text1"/>
                  </w:rPr>
                </w:pPr>
                <w:r>
                  <w:rPr>
                    <w:rFonts w:hint="eastAsia"/>
                    <w:bCs/>
                    <w:color w:val="000000" w:themeColor="text1"/>
                  </w:rPr>
                  <w:t>人民币普通股</w:t>
                </w:r>
              </w:p>
            </w:tc>
          </w:sdtContent>
        </w:sdt>
        <w:tc>
          <w:tcPr>
            <w:tcW w:w="1956" w:type="dxa"/>
            <w:shd w:val="clear" w:color="auto" w:fill="auto"/>
            <w:vAlign w:val="center"/>
          </w:tcPr>
          <w:p w14:paraId="19A86B12" w14:textId="77777777" w:rsidR="002D0AE7" w:rsidRDefault="00333EBB">
            <w:pPr>
              <w:jc w:val="right"/>
              <w:rPr>
                <w:rFonts w:hint="eastAsia"/>
              </w:rPr>
            </w:pPr>
            <w:r>
              <w:t>4,341,129</w:t>
            </w:r>
          </w:p>
        </w:tc>
      </w:tr>
      <w:tr w:rsidR="002D0AE7" w14:paraId="46DCF4EC" w14:textId="77777777">
        <w:trPr>
          <w:cantSplit/>
        </w:trPr>
        <w:tc>
          <w:tcPr>
            <w:tcW w:w="3581" w:type="dxa"/>
            <w:gridSpan w:val="2"/>
            <w:shd w:val="clear" w:color="auto" w:fill="auto"/>
            <w:vAlign w:val="center"/>
          </w:tcPr>
          <w:p w14:paraId="0D8553C7" w14:textId="77777777" w:rsidR="002D0AE7" w:rsidRDefault="00333EBB">
            <w:pPr>
              <w:rPr>
                <w:rFonts w:hint="eastAsia"/>
              </w:rPr>
            </w:pPr>
            <w:r>
              <w:t>钟东明</w:t>
            </w:r>
          </w:p>
        </w:tc>
        <w:tc>
          <w:tcPr>
            <w:tcW w:w="2690" w:type="dxa"/>
            <w:gridSpan w:val="2"/>
            <w:shd w:val="clear" w:color="auto" w:fill="auto"/>
            <w:vAlign w:val="center"/>
          </w:tcPr>
          <w:p w14:paraId="4EEBBF0D" w14:textId="77777777" w:rsidR="002D0AE7" w:rsidRDefault="00333EBB">
            <w:pPr>
              <w:jc w:val="right"/>
              <w:rPr>
                <w:rFonts w:hint="eastAsia"/>
              </w:rPr>
            </w:pPr>
            <w:r>
              <w:t>4,234,500</w:t>
            </w:r>
          </w:p>
        </w:tc>
        <w:sdt>
          <w:sdtPr>
            <w:rPr>
              <w:bCs/>
              <w:color w:val="000000" w:themeColor="text1"/>
            </w:rPr>
            <w:alias w:val="前十名无限售条件股东期末持有流通股的种类"/>
            <w:tag w:val="_GBC_5d0d3dfc3b8545ce906ab8a21728fb94"/>
            <w:id w:val="-199399821"/>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2405" w:type="dxa"/>
                <w:gridSpan w:val="3"/>
                <w:shd w:val="clear" w:color="auto" w:fill="auto"/>
                <w:vAlign w:val="center"/>
              </w:tcPr>
              <w:p w14:paraId="450D33AF" w14:textId="77777777" w:rsidR="002D0AE7" w:rsidRDefault="00333EBB">
                <w:pPr>
                  <w:jc w:val="center"/>
                  <w:rPr>
                    <w:rFonts w:hint="eastAsia"/>
                    <w:bCs/>
                    <w:color w:val="000000" w:themeColor="text1"/>
                  </w:rPr>
                </w:pPr>
                <w:r>
                  <w:rPr>
                    <w:rFonts w:hint="eastAsia"/>
                    <w:bCs/>
                    <w:color w:val="000000" w:themeColor="text1"/>
                  </w:rPr>
                  <w:t>人民币普通股</w:t>
                </w:r>
              </w:p>
            </w:tc>
          </w:sdtContent>
        </w:sdt>
        <w:tc>
          <w:tcPr>
            <w:tcW w:w="1956" w:type="dxa"/>
            <w:shd w:val="clear" w:color="auto" w:fill="auto"/>
            <w:vAlign w:val="center"/>
          </w:tcPr>
          <w:p w14:paraId="268491E0" w14:textId="77777777" w:rsidR="002D0AE7" w:rsidRDefault="00333EBB">
            <w:pPr>
              <w:jc w:val="right"/>
              <w:rPr>
                <w:rFonts w:hint="eastAsia"/>
              </w:rPr>
            </w:pPr>
            <w:r>
              <w:t>4,234,500</w:t>
            </w:r>
          </w:p>
        </w:tc>
      </w:tr>
      <w:tr w:rsidR="002D0AE7" w14:paraId="0E138AF0" w14:textId="77777777">
        <w:trPr>
          <w:cantSplit/>
        </w:trPr>
        <w:tc>
          <w:tcPr>
            <w:tcW w:w="3581" w:type="dxa"/>
            <w:gridSpan w:val="2"/>
            <w:shd w:val="clear" w:color="auto" w:fill="auto"/>
            <w:vAlign w:val="center"/>
          </w:tcPr>
          <w:p w14:paraId="25ACE491" w14:textId="77777777" w:rsidR="002D0AE7" w:rsidRDefault="00333EBB">
            <w:pPr>
              <w:rPr>
                <w:rFonts w:hint="eastAsia"/>
              </w:rPr>
            </w:pPr>
            <w:r>
              <w:t>廖淑君</w:t>
            </w:r>
          </w:p>
        </w:tc>
        <w:tc>
          <w:tcPr>
            <w:tcW w:w="2690" w:type="dxa"/>
            <w:gridSpan w:val="2"/>
            <w:shd w:val="clear" w:color="auto" w:fill="auto"/>
            <w:vAlign w:val="center"/>
          </w:tcPr>
          <w:p w14:paraId="74C9588D" w14:textId="77777777" w:rsidR="002D0AE7" w:rsidRDefault="00333EBB">
            <w:pPr>
              <w:jc w:val="right"/>
              <w:rPr>
                <w:rFonts w:hint="eastAsia"/>
              </w:rPr>
            </w:pPr>
            <w:r>
              <w:t>3,826,000</w:t>
            </w:r>
          </w:p>
        </w:tc>
        <w:sdt>
          <w:sdtPr>
            <w:rPr>
              <w:bCs/>
              <w:color w:val="000000" w:themeColor="text1"/>
            </w:rPr>
            <w:alias w:val="前十名无限售条件股东期末持有流通股的种类"/>
            <w:tag w:val="_GBC_5d0d3dfc3b8545ce906ab8a21728fb94"/>
            <w:id w:val="-1535027302"/>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2405" w:type="dxa"/>
                <w:gridSpan w:val="3"/>
                <w:shd w:val="clear" w:color="auto" w:fill="auto"/>
                <w:vAlign w:val="center"/>
              </w:tcPr>
              <w:p w14:paraId="6B571D2B" w14:textId="77777777" w:rsidR="002D0AE7" w:rsidRDefault="00333EBB">
                <w:pPr>
                  <w:jc w:val="center"/>
                  <w:rPr>
                    <w:rFonts w:hint="eastAsia"/>
                    <w:bCs/>
                    <w:color w:val="000000" w:themeColor="text1"/>
                  </w:rPr>
                </w:pPr>
                <w:r>
                  <w:rPr>
                    <w:rFonts w:hint="eastAsia"/>
                    <w:bCs/>
                    <w:color w:val="000000" w:themeColor="text1"/>
                  </w:rPr>
                  <w:t>人民币普通股</w:t>
                </w:r>
              </w:p>
            </w:tc>
          </w:sdtContent>
        </w:sdt>
        <w:tc>
          <w:tcPr>
            <w:tcW w:w="1956" w:type="dxa"/>
            <w:shd w:val="clear" w:color="auto" w:fill="auto"/>
            <w:vAlign w:val="center"/>
          </w:tcPr>
          <w:p w14:paraId="0806F5E2" w14:textId="77777777" w:rsidR="002D0AE7" w:rsidRDefault="00333EBB">
            <w:pPr>
              <w:jc w:val="right"/>
              <w:rPr>
                <w:rFonts w:hint="eastAsia"/>
              </w:rPr>
            </w:pPr>
            <w:r>
              <w:t>3,826,000</w:t>
            </w:r>
          </w:p>
        </w:tc>
      </w:tr>
      <w:tr w:rsidR="002D0AE7" w14:paraId="20F8AF91" w14:textId="77777777">
        <w:trPr>
          <w:cantSplit/>
        </w:trPr>
        <w:tc>
          <w:tcPr>
            <w:tcW w:w="3581" w:type="dxa"/>
            <w:gridSpan w:val="2"/>
            <w:shd w:val="clear" w:color="auto" w:fill="auto"/>
            <w:vAlign w:val="center"/>
          </w:tcPr>
          <w:p w14:paraId="1EC5D6A2" w14:textId="77777777" w:rsidR="002D0AE7" w:rsidRDefault="00333EBB">
            <w:pPr>
              <w:rPr>
                <w:rFonts w:hint="eastAsia"/>
              </w:rPr>
            </w:pPr>
            <w:r>
              <w:t>天津宜药印务有限公司</w:t>
            </w:r>
          </w:p>
        </w:tc>
        <w:tc>
          <w:tcPr>
            <w:tcW w:w="2690" w:type="dxa"/>
            <w:gridSpan w:val="2"/>
            <w:shd w:val="clear" w:color="auto" w:fill="auto"/>
            <w:vAlign w:val="center"/>
          </w:tcPr>
          <w:p w14:paraId="26C7B63B" w14:textId="77777777" w:rsidR="002D0AE7" w:rsidRDefault="00333EBB">
            <w:pPr>
              <w:jc w:val="right"/>
              <w:rPr>
                <w:rFonts w:hint="eastAsia"/>
              </w:rPr>
            </w:pPr>
            <w:r>
              <w:t>3,812,802</w:t>
            </w:r>
          </w:p>
        </w:tc>
        <w:sdt>
          <w:sdtPr>
            <w:rPr>
              <w:bCs/>
              <w:color w:val="000000" w:themeColor="text1"/>
            </w:rPr>
            <w:alias w:val="前十名无限售条件股东期末持有流通股的种类"/>
            <w:tag w:val="_GBC_5d0d3dfc3b8545ce906ab8a21728fb94"/>
            <w:id w:val="349309487"/>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2405" w:type="dxa"/>
                <w:gridSpan w:val="3"/>
                <w:shd w:val="clear" w:color="auto" w:fill="auto"/>
                <w:vAlign w:val="center"/>
              </w:tcPr>
              <w:p w14:paraId="56A6C3CF" w14:textId="77777777" w:rsidR="002D0AE7" w:rsidRDefault="00333EBB">
                <w:pPr>
                  <w:jc w:val="center"/>
                  <w:rPr>
                    <w:rFonts w:hint="eastAsia"/>
                    <w:bCs/>
                    <w:color w:val="000000" w:themeColor="text1"/>
                  </w:rPr>
                </w:pPr>
                <w:r>
                  <w:rPr>
                    <w:rFonts w:hint="eastAsia"/>
                    <w:bCs/>
                    <w:color w:val="000000" w:themeColor="text1"/>
                  </w:rPr>
                  <w:t>人民币普通股</w:t>
                </w:r>
              </w:p>
            </w:tc>
          </w:sdtContent>
        </w:sdt>
        <w:tc>
          <w:tcPr>
            <w:tcW w:w="1956" w:type="dxa"/>
            <w:shd w:val="clear" w:color="auto" w:fill="auto"/>
            <w:vAlign w:val="center"/>
          </w:tcPr>
          <w:p w14:paraId="56B2B5E3" w14:textId="77777777" w:rsidR="002D0AE7" w:rsidRDefault="00333EBB">
            <w:pPr>
              <w:jc w:val="right"/>
              <w:rPr>
                <w:rFonts w:hint="eastAsia"/>
              </w:rPr>
            </w:pPr>
            <w:r>
              <w:t>3,812,802</w:t>
            </w:r>
          </w:p>
        </w:tc>
      </w:tr>
      <w:tr w:rsidR="002D0AE7" w14:paraId="48C442D8" w14:textId="77777777">
        <w:trPr>
          <w:cantSplit/>
        </w:trPr>
        <w:tc>
          <w:tcPr>
            <w:tcW w:w="3581" w:type="dxa"/>
            <w:gridSpan w:val="2"/>
            <w:shd w:val="clear" w:color="auto" w:fill="auto"/>
            <w:vAlign w:val="center"/>
          </w:tcPr>
          <w:p w14:paraId="7F7408F1" w14:textId="77777777" w:rsidR="002D0AE7" w:rsidRDefault="00333EBB">
            <w:pPr>
              <w:rPr>
                <w:rFonts w:hint="eastAsia"/>
              </w:rPr>
            </w:pPr>
            <w:r>
              <w:t>王秀强</w:t>
            </w:r>
          </w:p>
        </w:tc>
        <w:tc>
          <w:tcPr>
            <w:tcW w:w="2690" w:type="dxa"/>
            <w:gridSpan w:val="2"/>
            <w:shd w:val="clear" w:color="auto" w:fill="auto"/>
            <w:vAlign w:val="center"/>
          </w:tcPr>
          <w:p w14:paraId="2187F964" w14:textId="77777777" w:rsidR="002D0AE7" w:rsidRDefault="00333EBB">
            <w:pPr>
              <w:jc w:val="right"/>
              <w:rPr>
                <w:rFonts w:hint="eastAsia"/>
              </w:rPr>
            </w:pPr>
            <w:r>
              <w:t>3,593,084</w:t>
            </w:r>
          </w:p>
        </w:tc>
        <w:sdt>
          <w:sdtPr>
            <w:rPr>
              <w:bCs/>
              <w:color w:val="000000" w:themeColor="text1"/>
            </w:rPr>
            <w:alias w:val="前十名无限售条件股东期末持有流通股的种类"/>
            <w:tag w:val="_GBC_5d0d3dfc3b8545ce906ab8a21728fb94"/>
            <w:id w:val="-333925736"/>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2405" w:type="dxa"/>
                <w:gridSpan w:val="3"/>
                <w:shd w:val="clear" w:color="auto" w:fill="auto"/>
                <w:vAlign w:val="center"/>
              </w:tcPr>
              <w:p w14:paraId="78774445" w14:textId="77777777" w:rsidR="002D0AE7" w:rsidRDefault="00333EBB">
                <w:pPr>
                  <w:jc w:val="center"/>
                  <w:rPr>
                    <w:rFonts w:hint="eastAsia"/>
                    <w:bCs/>
                    <w:color w:val="000000" w:themeColor="text1"/>
                  </w:rPr>
                </w:pPr>
                <w:r>
                  <w:rPr>
                    <w:rFonts w:hint="eastAsia"/>
                    <w:bCs/>
                    <w:color w:val="000000" w:themeColor="text1"/>
                  </w:rPr>
                  <w:t>人民币普通股</w:t>
                </w:r>
              </w:p>
            </w:tc>
          </w:sdtContent>
        </w:sdt>
        <w:tc>
          <w:tcPr>
            <w:tcW w:w="1956" w:type="dxa"/>
            <w:shd w:val="clear" w:color="auto" w:fill="auto"/>
            <w:vAlign w:val="center"/>
          </w:tcPr>
          <w:p w14:paraId="12830E32" w14:textId="77777777" w:rsidR="002D0AE7" w:rsidRDefault="00333EBB">
            <w:pPr>
              <w:jc w:val="right"/>
              <w:rPr>
                <w:rFonts w:hint="eastAsia"/>
              </w:rPr>
            </w:pPr>
            <w:r>
              <w:t>3,593,084</w:t>
            </w:r>
          </w:p>
        </w:tc>
      </w:tr>
      <w:tr w:rsidR="002D0AE7" w14:paraId="1B95FDD3" w14:textId="77777777">
        <w:trPr>
          <w:cantSplit/>
        </w:trPr>
        <w:tc>
          <w:tcPr>
            <w:tcW w:w="3581" w:type="dxa"/>
            <w:gridSpan w:val="2"/>
            <w:shd w:val="clear" w:color="auto" w:fill="auto"/>
            <w:vAlign w:val="center"/>
          </w:tcPr>
          <w:p w14:paraId="2C453887" w14:textId="77777777" w:rsidR="002D0AE7" w:rsidRDefault="00333EBB">
            <w:pPr>
              <w:rPr>
                <w:rFonts w:hint="eastAsia"/>
              </w:rPr>
            </w:pPr>
            <w:r>
              <w:t>吴伟立</w:t>
            </w:r>
          </w:p>
        </w:tc>
        <w:tc>
          <w:tcPr>
            <w:tcW w:w="2690" w:type="dxa"/>
            <w:gridSpan w:val="2"/>
            <w:shd w:val="clear" w:color="auto" w:fill="auto"/>
            <w:vAlign w:val="center"/>
          </w:tcPr>
          <w:p w14:paraId="769667A2" w14:textId="77777777" w:rsidR="002D0AE7" w:rsidRDefault="00333EBB">
            <w:pPr>
              <w:jc w:val="right"/>
              <w:rPr>
                <w:rFonts w:hint="eastAsia"/>
              </w:rPr>
            </w:pPr>
            <w:r>
              <w:t>2,710,700</w:t>
            </w:r>
          </w:p>
        </w:tc>
        <w:sdt>
          <w:sdtPr>
            <w:rPr>
              <w:bCs/>
              <w:color w:val="000000" w:themeColor="text1"/>
            </w:rPr>
            <w:alias w:val="前十名无限售条件股东期末持有流通股的种类"/>
            <w:tag w:val="_GBC_5d0d3dfc3b8545ce906ab8a21728fb94"/>
            <w:id w:val="-529644347"/>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2405" w:type="dxa"/>
                <w:gridSpan w:val="3"/>
                <w:shd w:val="clear" w:color="auto" w:fill="auto"/>
                <w:vAlign w:val="center"/>
              </w:tcPr>
              <w:p w14:paraId="0312B4D5" w14:textId="77777777" w:rsidR="002D0AE7" w:rsidRDefault="00333EBB">
                <w:pPr>
                  <w:jc w:val="center"/>
                  <w:rPr>
                    <w:rFonts w:hint="eastAsia"/>
                    <w:bCs/>
                    <w:color w:val="000000" w:themeColor="text1"/>
                  </w:rPr>
                </w:pPr>
                <w:r>
                  <w:rPr>
                    <w:rFonts w:hint="eastAsia"/>
                    <w:bCs/>
                    <w:color w:val="000000" w:themeColor="text1"/>
                  </w:rPr>
                  <w:t>人民币普通股</w:t>
                </w:r>
              </w:p>
            </w:tc>
          </w:sdtContent>
        </w:sdt>
        <w:tc>
          <w:tcPr>
            <w:tcW w:w="1956" w:type="dxa"/>
            <w:shd w:val="clear" w:color="auto" w:fill="auto"/>
            <w:vAlign w:val="center"/>
          </w:tcPr>
          <w:p w14:paraId="7FAFEFF8" w14:textId="77777777" w:rsidR="002D0AE7" w:rsidRDefault="00333EBB">
            <w:pPr>
              <w:jc w:val="right"/>
              <w:rPr>
                <w:rFonts w:hint="eastAsia"/>
              </w:rPr>
            </w:pPr>
            <w:r>
              <w:t>2,710,700</w:t>
            </w:r>
          </w:p>
        </w:tc>
      </w:tr>
      <w:tr w:rsidR="002D0AE7" w14:paraId="7732365B" w14:textId="77777777">
        <w:trPr>
          <w:cantSplit/>
        </w:trPr>
        <w:tc>
          <w:tcPr>
            <w:tcW w:w="3581" w:type="dxa"/>
            <w:gridSpan w:val="2"/>
            <w:shd w:val="clear" w:color="auto" w:fill="auto"/>
            <w:vAlign w:val="center"/>
          </w:tcPr>
          <w:p w14:paraId="64375474" w14:textId="77777777" w:rsidR="002D0AE7" w:rsidRDefault="00333EBB">
            <w:pPr>
              <w:rPr>
                <w:rFonts w:hint="eastAsia"/>
              </w:rPr>
            </w:pPr>
            <w:r>
              <w:t>陈卫敏</w:t>
            </w:r>
          </w:p>
        </w:tc>
        <w:tc>
          <w:tcPr>
            <w:tcW w:w="2690" w:type="dxa"/>
            <w:gridSpan w:val="2"/>
            <w:shd w:val="clear" w:color="auto" w:fill="auto"/>
            <w:vAlign w:val="center"/>
          </w:tcPr>
          <w:p w14:paraId="39AFC6F3" w14:textId="77777777" w:rsidR="002D0AE7" w:rsidRDefault="00333EBB">
            <w:pPr>
              <w:jc w:val="right"/>
              <w:rPr>
                <w:rFonts w:hint="eastAsia"/>
              </w:rPr>
            </w:pPr>
            <w:r>
              <w:t>2,341,000</w:t>
            </w:r>
          </w:p>
        </w:tc>
        <w:sdt>
          <w:sdtPr>
            <w:rPr>
              <w:bCs/>
              <w:color w:val="000000" w:themeColor="text1"/>
            </w:rPr>
            <w:alias w:val="前十名无限售条件股东期末持有流通股的种类"/>
            <w:tag w:val="_GBC_5d0d3dfc3b8545ce906ab8a21728fb94"/>
            <w:id w:val="-1846930830"/>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2405" w:type="dxa"/>
                <w:gridSpan w:val="3"/>
                <w:shd w:val="clear" w:color="auto" w:fill="auto"/>
                <w:vAlign w:val="center"/>
              </w:tcPr>
              <w:p w14:paraId="277025D4" w14:textId="77777777" w:rsidR="002D0AE7" w:rsidRDefault="00333EBB">
                <w:pPr>
                  <w:jc w:val="center"/>
                  <w:rPr>
                    <w:rFonts w:hint="eastAsia"/>
                    <w:bCs/>
                    <w:color w:val="000000" w:themeColor="text1"/>
                  </w:rPr>
                </w:pPr>
                <w:r>
                  <w:rPr>
                    <w:rFonts w:hint="eastAsia"/>
                    <w:bCs/>
                    <w:color w:val="000000" w:themeColor="text1"/>
                  </w:rPr>
                  <w:t>人民币普通股</w:t>
                </w:r>
              </w:p>
            </w:tc>
          </w:sdtContent>
        </w:sdt>
        <w:tc>
          <w:tcPr>
            <w:tcW w:w="1956" w:type="dxa"/>
            <w:shd w:val="clear" w:color="auto" w:fill="auto"/>
            <w:vAlign w:val="center"/>
          </w:tcPr>
          <w:p w14:paraId="14680FC8" w14:textId="77777777" w:rsidR="002D0AE7" w:rsidRDefault="00333EBB">
            <w:pPr>
              <w:jc w:val="right"/>
              <w:rPr>
                <w:rFonts w:hint="eastAsia"/>
              </w:rPr>
            </w:pPr>
            <w:r>
              <w:t>2,341,000</w:t>
            </w:r>
          </w:p>
        </w:tc>
      </w:tr>
      <w:tr w:rsidR="002D0AE7" w14:paraId="11E98620" w14:textId="77777777">
        <w:trPr>
          <w:cantSplit/>
        </w:trPr>
        <w:tc>
          <w:tcPr>
            <w:tcW w:w="3581" w:type="dxa"/>
            <w:gridSpan w:val="2"/>
            <w:shd w:val="clear" w:color="auto" w:fill="auto"/>
            <w:vAlign w:val="center"/>
          </w:tcPr>
          <w:p w14:paraId="5C5C44EE" w14:textId="77777777" w:rsidR="002D0AE7" w:rsidRDefault="00333EBB">
            <w:pPr>
              <w:rPr>
                <w:rFonts w:hint="eastAsia"/>
                <w:color w:val="000000" w:themeColor="text1"/>
              </w:rPr>
            </w:pPr>
            <w:r>
              <w:rPr>
                <w:rFonts w:hint="eastAsia"/>
                <w:color w:val="000000" w:themeColor="text1"/>
              </w:rPr>
              <w:t>前十名股东中回购专户情况说明</w:t>
            </w:r>
          </w:p>
        </w:tc>
        <w:tc>
          <w:tcPr>
            <w:tcW w:w="7051" w:type="dxa"/>
            <w:gridSpan w:val="6"/>
            <w:shd w:val="clear" w:color="auto" w:fill="auto"/>
            <w:vAlign w:val="center"/>
          </w:tcPr>
          <w:p w14:paraId="5ACD52AC" w14:textId="77777777" w:rsidR="002D0AE7" w:rsidRDefault="00333EBB">
            <w:pPr>
              <w:rPr>
                <w:rFonts w:hint="eastAsia"/>
              </w:rPr>
            </w:pPr>
            <w:r>
              <w:rPr>
                <w:rFonts w:hint="eastAsia"/>
              </w:rPr>
              <w:t>无</w:t>
            </w:r>
          </w:p>
        </w:tc>
      </w:tr>
      <w:tr w:rsidR="002D0AE7" w14:paraId="58CE6272" w14:textId="77777777">
        <w:trPr>
          <w:cantSplit/>
        </w:trPr>
        <w:tc>
          <w:tcPr>
            <w:tcW w:w="3581" w:type="dxa"/>
            <w:gridSpan w:val="2"/>
            <w:shd w:val="clear" w:color="auto" w:fill="auto"/>
            <w:vAlign w:val="center"/>
          </w:tcPr>
          <w:p w14:paraId="46CB33D8" w14:textId="77777777" w:rsidR="002D0AE7" w:rsidRDefault="00333EBB">
            <w:pPr>
              <w:rPr>
                <w:rFonts w:hint="eastAsia"/>
                <w:color w:val="000000" w:themeColor="text1"/>
              </w:rPr>
            </w:pPr>
            <w:r>
              <w:rPr>
                <w:color w:val="000000" w:themeColor="text1"/>
              </w:rPr>
              <w:t>上述股东</w:t>
            </w:r>
            <w:r>
              <w:rPr>
                <w:rFonts w:hint="eastAsia"/>
                <w:color w:val="000000" w:themeColor="text1"/>
              </w:rPr>
              <w:t>委托表决权、受托表决权、放弃表决权</w:t>
            </w:r>
            <w:r>
              <w:rPr>
                <w:color w:val="000000" w:themeColor="text1"/>
              </w:rPr>
              <w:t>的说明</w:t>
            </w:r>
          </w:p>
        </w:tc>
        <w:tc>
          <w:tcPr>
            <w:tcW w:w="7051" w:type="dxa"/>
            <w:gridSpan w:val="6"/>
            <w:shd w:val="clear" w:color="auto" w:fill="auto"/>
            <w:vAlign w:val="center"/>
          </w:tcPr>
          <w:p w14:paraId="7C90C479" w14:textId="77777777" w:rsidR="002D0AE7" w:rsidRDefault="00333EBB">
            <w:pPr>
              <w:rPr>
                <w:rFonts w:hint="eastAsia"/>
              </w:rPr>
            </w:pPr>
            <w:r>
              <w:rPr>
                <w:rFonts w:hint="eastAsia"/>
              </w:rPr>
              <w:t>无</w:t>
            </w:r>
          </w:p>
        </w:tc>
      </w:tr>
      <w:tr w:rsidR="002D0AE7" w14:paraId="4079BD8C" w14:textId="77777777">
        <w:trPr>
          <w:cantSplit/>
        </w:trPr>
        <w:tc>
          <w:tcPr>
            <w:tcW w:w="3581" w:type="dxa"/>
            <w:gridSpan w:val="2"/>
            <w:shd w:val="clear" w:color="auto" w:fill="auto"/>
            <w:vAlign w:val="center"/>
          </w:tcPr>
          <w:p w14:paraId="00A39F70" w14:textId="77777777" w:rsidR="002D0AE7" w:rsidRDefault="00333EBB">
            <w:pPr>
              <w:rPr>
                <w:rFonts w:hint="eastAsia"/>
                <w:color w:val="000000" w:themeColor="text1"/>
              </w:rPr>
            </w:pPr>
            <w:r>
              <w:rPr>
                <w:color w:val="000000" w:themeColor="text1"/>
              </w:rPr>
              <w:t>上述股东关联关系或一致行动的说明</w:t>
            </w:r>
          </w:p>
        </w:tc>
        <w:tc>
          <w:tcPr>
            <w:tcW w:w="7051" w:type="dxa"/>
            <w:gridSpan w:val="6"/>
            <w:shd w:val="clear" w:color="auto" w:fill="auto"/>
            <w:vAlign w:val="center"/>
          </w:tcPr>
          <w:p w14:paraId="20282E02" w14:textId="77777777" w:rsidR="002D0AE7" w:rsidRDefault="00333EBB">
            <w:pPr>
              <w:rPr>
                <w:rFonts w:hint="eastAsia"/>
              </w:rPr>
            </w:pPr>
            <w:r>
              <w:rPr>
                <w:rFonts w:hint="eastAsia"/>
              </w:rPr>
              <w:t>前十名股东中，天津药业集团有限公司和天津宜药印务有限公司为发起人股东，津沪深生物医药科技有限公司与天津药业集团有限公司互为关联方。</w:t>
            </w:r>
          </w:p>
        </w:tc>
      </w:tr>
      <w:tr w:rsidR="002D0AE7" w14:paraId="2E302CC5" w14:textId="77777777">
        <w:trPr>
          <w:cantSplit/>
        </w:trPr>
        <w:tc>
          <w:tcPr>
            <w:tcW w:w="3581" w:type="dxa"/>
            <w:gridSpan w:val="2"/>
            <w:shd w:val="clear" w:color="auto" w:fill="auto"/>
            <w:vAlign w:val="center"/>
          </w:tcPr>
          <w:p w14:paraId="19697965" w14:textId="77777777" w:rsidR="002D0AE7" w:rsidRDefault="00333EBB">
            <w:pPr>
              <w:rPr>
                <w:rFonts w:hint="eastAsia"/>
                <w:color w:val="000000" w:themeColor="text1"/>
              </w:rPr>
            </w:pPr>
            <w:r>
              <w:rPr>
                <w:rFonts w:hint="eastAsia"/>
                <w:color w:val="000000" w:themeColor="text1"/>
              </w:rPr>
              <w:t>表决权恢复的优先股股东及持股数量的说明</w:t>
            </w:r>
          </w:p>
        </w:tc>
        <w:tc>
          <w:tcPr>
            <w:tcW w:w="7051" w:type="dxa"/>
            <w:gridSpan w:val="6"/>
            <w:shd w:val="clear" w:color="auto" w:fill="auto"/>
            <w:vAlign w:val="center"/>
          </w:tcPr>
          <w:p w14:paraId="7E62C518" w14:textId="77777777" w:rsidR="002D0AE7" w:rsidRDefault="00333EBB">
            <w:pPr>
              <w:rPr>
                <w:rFonts w:hint="eastAsia"/>
              </w:rPr>
            </w:pPr>
            <w:r>
              <w:rPr>
                <w:rFonts w:hint="eastAsia"/>
              </w:rPr>
              <w:t>无</w:t>
            </w:r>
          </w:p>
        </w:tc>
      </w:tr>
    </w:tbl>
    <w:p w14:paraId="09324F92" w14:textId="77777777" w:rsidR="002D0AE7" w:rsidRDefault="00333EBB">
      <w:pPr>
        <w:rPr>
          <w:rFonts w:hint="eastAsia"/>
          <w:color w:val="000000" w:themeColor="text1"/>
        </w:rPr>
      </w:pPr>
      <w:r>
        <w:rPr>
          <w:rFonts w:hint="eastAsia"/>
          <w:color w:val="000000" w:themeColor="text1"/>
        </w:rPr>
        <w:t>持股</w:t>
      </w:r>
      <w:r>
        <w:rPr>
          <w:color w:val="000000" w:themeColor="text1"/>
        </w:rPr>
        <w:t>5%</w:t>
      </w:r>
      <w:r>
        <w:rPr>
          <w:color w:val="000000" w:themeColor="text1"/>
        </w:rPr>
        <w:t>以上股东、前</w:t>
      </w:r>
      <w:r>
        <w:rPr>
          <w:rFonts w:hint="eastAsia"/>
          <w:color w:val="000000" w:themeColor="text1"/>
        </w:rPr>
        <w:t>十</w:t>
      </w:r>
      <w:r>
        <w:rPr>
          <w:color w:val="000000" w:themeColor="text1"/>
        </w:rPr>
        <w:t>名股东及前</w:t>
      </w:r>
      <w:r>
        <w:rPr>
          <w:rFonts w:hint="eastAsia"/>
          <w:color w:val="000000" w:themeColor="text1"/>
        </w:rPr>
        <w:t>十</w:t>
      </w:r>
      <w:r>
        <w:rPr>
          <w:color w:val="000000" w:themeColor="text1"/>
        </w:rPr>
        <w:t>名无限售流通股股东参与转融通业务出借股份情况</w:t>
      </w:r>
    </w:p>
    <w:sdt>
      <w:sdtPr>
        <w:rPr>
          <w:bCs/>
          <w:color w:val="000000" w:themeColor="text1"/>
        </w:rPr>
        <w:alias w:val="是否适用：前十名股东参与转融通业务出借股份情况[双击切换]"/>
        <w:tag w:val="_GBC_781f403c98a6480ab0058d21456ae70f"/>
        <w:id w:val="-1139256762"/>
        <w:placeholder>
          <w:docPart w:val="GBC22222222222222222222222222222"/>
        </w:placeholder>
      </w:sdtPr>
      <w:sdtEndPr/>
      <w:sdtContent>
        <w:p w14:paraId="6A234AE2" w14:textId="77777777" w:rsidR="002D0AE7" w:rsidRDefault="00333EBB">
          <w:pPr>
            <w:rPr>
              <w:rFonts w:hint="eastAsia"/>
              <w:bCs/>
              <w:color w:val="000000" w:themeColor="text1"/>
            </w:rPr>
          </w:pPr>
          <w:r>
            <w:rPr>
              <w:bCs/>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bCs/>
              <w:color w:val="000000" w:themeColor="text1"/>
            </w:rPr>
            <w:fldChar w:fldCharType="end"/>
          </w:r>
          <w:r>
            <w:rPr>
              <w:bCs/>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bCs/>
              <w:color w:val="000000" w:themeColor="text1"/>
            </w:rPr>
            <w:fldChar w:fldCharType="end"/>
          </w:r>
        </w:p>
      </w:sdtContent>
    </w:sdt>
    <w:p w14:paraId="66FCBECE" w14:textId="77777777" w:rsidR="002D0AE7" w:rsidRDefault="00333EBB">
      <w:pPr>
        <w:rPr>
          <w:rFonts w:hint="eastAsia"/>
          <w:color w:val="000000" w:themeColor="text1"/>
        </w:rPr>
      </w:pPr>
      <w:bookmarkStart w:id="94" w:name="_Hlk155094189"/>
      <w:bookmarkEnd w:id="93"/>
      <w:r>
        <w:rPr>
          <w:rFonts w:hint="eastAsia"/>
          <w:color w:val="000000" w:themeColor="text1"/>
        </w:rPr>
        <w:t>前十</w:t>
      </w:r>
      <w:r>
        <w:rPr>
          <w:color w:val="000000" w:themeColor="text1"/>
        </w:rPr>
        <w:t>名股东及前</w:t>
      </w:r>
      <w:r>
        <w:rPr>
          <w:rFonts w:hint="eastAsia"/>
          <w:color w:val="000000" w:themeColor="text1"/>
        </w:rPr>
        <w:t>十</w:t>
      </w:r>
      <w:r>
        <w:rPr>
          <w:color w:val="000000" w:themeColor="text1"/>
        </w:rPr>
        <w:t>名无限售流通股股东因转融通出借</w:t>
      </w:r>
      <w:r>
        <w:rPr>
          <w:color w:val="000000" w:themeColor="text1"/>
        </w:rPr>
        <w:t>/</w:t>
      </w:r>
      <w:r>
        <w:rPr>
          <w:color w:val="000000" w:themeColor="text1"/>
        </w:rPr>
        <w:t>归还原因导致较上期发生变化</w:t>
      </w:r>
    </w:p>
    <w:sdt>
      <w:sdtPr>
        <w:rPr>
          <w:rFonts w:hint="eastAsia"/>
          <w:color w:val="000000" w:themeColor="text1"/>
        </w:rPr>
        <w:alias w:val="是否适用：前十名股东较上期发生变化[双击切换]"/>
        <w:tag w:val="_GBC_892ba31f016544c894d3e29851e8125d"/>
        <w:id w:val="-2007423128"/>
        <w:placeholder>
          <w:docPart w:val="GBC22222222222222222222222222222"/>
        </w:placeholder>
      </w:sdtPr>
      <w:sdtEndPr/>
      <w:sdtContent>
        <w:p w14:paraId="0930C499"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bookmarkEnd w:id="92"/>
    <w:bookmarkEnd w:id="91"/>
    <w:bookmarkEnd w:id="90"/>
    <w:bookmarkEnd w:id="89"/>
    <w:bookmarkEnd w:id="94"/>
    <w:p w14:paraId="2EF2DA4E" w14:textId="77777777" w:rsidR="002D0AE7" w:rsidRDefault="00333EBB">
      <w:pPr>
        <w:rPr>
          <w:rFonts w:hint="eastAsia"/>
          <w:color w:val="000000" w:themeColor="text1"/>
        </w:rPr>
      </w:pPr>
      <w:r>
        <w:rPr>
          <w:color w:val="000000" w:themeColor="text1"/>
        </w:rPr>
        <w:t>前十名有限售条件股东持股数量及限售条件</w:t>
      </w:r>
    </w:p>
    <w:sdt>
      <w:sdtPr>
        <w:rPr>
          <w:bCs/>
          <w:color w:val="000000" w:themeColor="text1"/>
        </w:rPr>
        <w:alias w:val="是否适用：前十名有限售条件股东持股数量及限售条件[双击切换]"/>
        <w:tag w:val="_GBC_681c25d581914cb19d4b007c00511b6a"/>
        <w:id w:val="230205482"/>
        <w:placeholder>
          <w:docPart w:val="GBC22222222222222222222222222222"/>
        </w:placeholder>
      </w:sdtPr>
      <w:sdtEndPr/>
      <w:sdtContent>
        <w:p w14:paraId="35ADA912" w14:textId="77777777" w:rsidR="002D0AE7" w:rsidRDefault="00333EBB">
          <w:pPr>
            <w:rPr>
              <w:rFonts w:hint="eastAsia"/>
              <w:bCs/>
              <w:color w:val="000000" w:themeColor="text1"/>
            </w:rPr>
          </w:pPr>
          <w:r>
            <w:rPr>
              <w:bCs/>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bCs/>
              <w:color w:val="000000" w:themeColor="text1"/>
            </w:rPr>
            <w:fldChar w:fldCharType="end"/>
          </w:r>
          <w:r>
            <w:rPr>
              <w:bCs/>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bCs/>
              <w:color w:val="000000" w:themeColor="text1"/>
            </w:rPr>
            <w:fldChar w:fldCharType="end"/>
          </w:r>
        </w:p>
      </w:sdtContent>
    </w:sdt>
    <w:p w14:paraId="623BDCFF" w14:textId="77777777" w:rsidR="002D0AE7" w:rsidRDefault="00333EBB">
      <w:pPr>
        <w:pStyle w:val="3"/>
        <w:numPr>
          <w:ilvl w:val="1"/>
          <w:numId w:val="31"/>
        </w:numPr>
        <w:rPr>
          <w:rFonts w:ascii="宋体" w:hAnsi="宋体" w:hint="eastAsia"/>
          <w:color w:val="000000" w:themeColor="text1"/>
        </w:rPr>
      </w:pPr>
      <w:bookmarkStart w:id="95" w:name="_Toc342566000"/>
      <w:bookmarkStart w:id="96" w:name="_Toc342059487"/>
      <w:r>
        <w:rPr>
          <w:rFonts w:ascii="宋体" w:hAnsi="宋体"/>
          <w:color w:val="000000" w:themeColor="text1"/>
        </w:rPr>
        <w:t>战略投资者或一般法人因配售新股成为前</w:t>
      </w:r>
      <w:r>
        <w:rPr>
          <w:rFonts w:ascii="宋体" w:hAnsi="宋体" w:hint="eastAsia"/>
          <w:color w:val="000000" w:themeColor="text1"/>
        </w:rPr>
        <w:t>十</w:t>
      </w:r>
      <w:r>
        <w:rPr>
          <w:rFonts w:ascii="宋体" w:hAnsi="宋体"/>
          <w:color w:val="000000" w:themeColor="text1"/>
        </w:rPr>
        <w:t>名股东</w:t>
      </w:r>
    </w:p>
    <w:sdt>
      <w:sdtPr>
        <w:rPr>
          <w:color w:val="000000" w:themeColor="text1"/>
        </w:rPr>
        <w:alias w:val="是否适用：战略投资者或一般法人因配售新股成为前10名股东[双击切换]"/>
        <w:tag w:val="_GBC_fe7bdc72bd78490fb48d0f3eaca6248e"/>
        <w:id w:val="154425290"/>
        <w:placeholder>
          <w:docPart w:val="GBC22222222222222222222222222222"/>
        </w:placeholder>
      </w:sdtPr>
      <w:sdtEndPr/>
      <w:sdtContent>
        <w:p w14:paraId="2D9A0B17"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09A82CC7" w14:textId="77777777" w:rsidR="002D0AE7" w:rsidRDefault="00333EBB">
      <w:pPr>
        <w:pStyle w:val="2"/>
        <w:numPr>
          <w:ilvl w:val="0"/>
          <w:numId w:val="28"/>
        </w:numPr>
        <w:spacing w:line="360" w:lineRule="auto"/>
        <w:ind w:left="482" w:hanging="482"/>
        <w:rPr>
          <w:rFonts w:ascii="宋体" w:hAnsi="宋体" w:hint="eastAsia"/>
          <w:color w:val="000000" w:themeColor="text1"/>
        </w:rPr>
      </w:pPr>
      <w:bookmarkStart w:id="97" w:name="_Toc342566004"/>
      <w:bookmarkStart w:id="98" w:name="_Toc342057944"/>
      <w:r>
        <w:rPr>
          <w:rFonts w:ascii="宋体" w:hAnsi="宋体"/>
          <w:color w:val="000000" w:themeColor="text1"/>
        </w:rPr>
        <w:t>董事、监事和高级管理人员情况</w:t>
      </w:r>
    </w:p>
    <w:p w14:paraId="13CA8358" w14:textId="77777777" w:rsidR="002D0AE7" w:rsidRDefault="00333EBB">
      <w:pPr>
        <w:pStyle w:val="3"/>
        <w:numPr>
          <w:ilvl w:val="2"/>
          <w:numId w:val="32"/>
        </w:numPr>
        <w:rPr>
          <w:rFonts w:ascii="宋体" w:hAnsi="宋体" w:hint="eastAsia"/>
          <w:color w:val="000000" w:themeColor="text1"/>
        </w:rPr>
      </w:pPr>
      <w:r>
        <w:rPr>
          <w:rFonts w:ascii="宋体" w:hAnsi="宋体"/>
          <w:color w:val="000000" w:themeColor="text1"/>
        </w:rPr>
        <w:t>现任及报告期内离任董事、监事和高级管理人员持股变动情况</w:t>
      </w:r>
    </w:p>
    <w:sdt>
      <w:sdtPr>
        <w:rPr>
          <w:color w:val="000000" w:themeColor="text1"/>
        </w:rPr>
        <w:alias w:val="是否适用：董事、监事和高级管理人员持股变动[双击切换]"/>
        <w:tag w:val="_GBC_e4aa9f89c24b4cbb80c479762adcf568"/>
        <w:id w:val="24143639"/>
        <w:placeholder>
          <w:docPart w:val="GBC22222222222222222222222222222"/>
        </w:placeholder>
      </w:sdtPr>
      <w:sdtEndPr/>
      <w:sdtContent>
        <w:p w14:paraId="5B1D9185" w14:textId="77777777" w:rsidR="002D0AE7" w:rsidRDefault="00333EBB">
          <w:pPr>
            <w:rPr>
              <w:rFonts w:hint="eastAsia"/>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18649142" w14:textId="77777777" w:rsidR="002D0AE7" w:rsidRDefault="00333EBB">
      <w:pPr>
        <w:rPr>
          <w:rFonts w:hint="eastAsia"/>
          <w:color w:val="000000" w:themeColor="text1"/>
        </w:rPr>
      </w:pPr>
      <w:r>
        <w:rPr>
          <w:color w:val="000000" w:themeColor="text1"/>
        </w:rPr>
        <w:lastRenderedPageBreak/>
        <w:t>其它情况说明</w:t>
      </w:r>
    </w:p>
    <w:sdt>
      <w:sdtPr>
        <w:rPr>
          <w:color w:val="000000" w:themeColor="text1"/>
        </w:rPr>
        <w:alias w:val="是否适用：董事、监事 和高级管理人员持股变动及报酬情况其他情况说明[双击切换]"/>
        <w:tag w:val="_GBC_6604d619d6f94a81b12f8155637bb211"/>
        <w:id w:val="-2021853761"/>
        <w:placeholder>
          <w:docPart w:val="GBC22222222222222222222222222222"/>
        </w:placeholder>
      </w:sdtPr>
      <w:sdtEndPr/>
      <w:sdtContent>
        <w:p w14:paraId="652540B4"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61302E47" w14:textId="77777777" w:rsidR="002D0AE7" w:rsidRDefault="00333EBB">
      <w:pPr>
        <w:pStyle w:val="3"/>
        <w:numPr>
          <w:ilvl w:val="2"/>
          <w:numId w:val="32"/>
        </w:numPr>
        <w:rPr>
          <w:rFonts w:ascii="宋体" w:hAnsi="宋体" w:hint="eastAsia"/>
          <w:color w:val="000000" w:themeColor="text1"/>
        </w:rPr>
      </w:pPr>
      <w:bookmarkStart w:id="99" w:name="_Toc342057945"/>
      <w:bookmarkStart w:id="100" w:name="_Toc342566005"/>
      <w:bookmarkEnd w:id="97"/>
      <w:bookmarkEnd w:id="98"/>
      <w:r>
        <w:rPr>
          <w:rFonts w:ascii="宋体" w:hAnsi="宋体" w:hint="eastAsia"/>
          <w:color w:val="000000" w:themeColor="text1"/>
        </w:rPr>
        <w:t>董事、监事、高级管理人员报告期内被授予的股权激励情况</w:t>
      </w:r>
      <w:bookmarkEnd w:id="99"/>
      <w:bookmarkEnd w:id="100"/>
    </w:p>
    <w:p w14:paraId="106C416C" w14:textId="77777777" w:rsidR="002D0AE7" w:rsidRDefault="00333EBB">
      <w:pPr>
        <w:kinsoku w:val="0"/>
        <w:overflowPunct w:val="0"/>
        <w:autoSpaceDE w:val="0"/>
        <w:autoSpaceDN w:val="0"/>
        <w:adjustRightInd w:val="0"/>
        <w:snapToGrid w:val="0"/>
        <w:rPr>
          <w:rFonts w:hint="eastAsia"/>
          <w:color w:val="000000" w:themeColor="text1"/>
        </w:rPr>
      </w:pPr>
      <w:sdt>
        <w:sdtPr>
          <w:rPr>
            <w:rFonts w:hint="eastAsia"/>
            <w:color w:val="000000" w:themeColor="text1"/>
          </w:rPr>
          <w:alias w:val="是否适用：董事、监事、高级管理人员报告期内被授予的股权激励情况[双击切换]"/>
          <w:tag w:val="_GBC_3c204ebee7cf4fc2a7c4a3ad63ffe1c4"/>
          <w:id w:val="-1512825698"/>
          <w:placeholder>
            <w:docPart w:val="GBC22222222222222222222222222222"/>
          </w:placeholder>
        </w:sdtPr>
        <w:sdtEndPr/>
        <w:sdtContent>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sdtContent>
      </w:sdt>
    </w:p>
    <w:p w14:paraId="241687BB" w14:textId="77777777" w:rsidR="002D0AE7" w:rsidRDefault="00333EBB">
      <w:pPr>
        <w:pStyle w:val="3"/>
        <w:numPr>
          <w:ilvl w:val="2"/>
          <w:numId w:val="32"/>
        </w:numPr>
        <w:rPr>
          <w:rFonts w:ascii="宋体" w:hAnsi="宋体" w:hint="eastAsia"/>
          <w:color w:val="000000" w:themeColor="text1"/>
        </w:rPr>
      </w:pPr>
      <w:r>
        <w:rPr>
          <w:rFonts w:ascii="宋体" w:hAnsi="宋体" w:hint="eastAsia"/>
          <w:color w:val="000000" w:themeColor="text1"/>
        </w:rPr>
        <w:t>其他说明</w:t>
      </w:r>
    </w:p>
    <w:sdt>
      <w:sdtPr>
        <w:rPr>
          <w:color w:val="000000" w:themeColor="text1"/>
        </w:rPr>
        <w:alias w:val="是否适用：其他董事、监事、高级管理人员情况说明[双击切换]"/>
        <w:tag w:val="_GBC_8e7eb434c4c34c1b86cdb9f39b70c323"/>
        <w:id w:val="-955483755"/>
        <w:placeholder>
          <w:docPart w:val="GBC22222222222222222222222222222"/>
        </w:placeholder>
      </w:sdtPr>
      <w:sdtEndPr/>
      <w:sdtContent>
        <w:p w14:paraId="0F61CCF4"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bookmarkEnd w:id="95"/>
    <w:bookmarkEnd w:id="96"/>
    <w:p w14:paraId="36007313" w14:textId="77777777" w:rsidR="002D0AE7" w:rsidRDefault="00333EBB">
      <w:pPr>
        <w:pStyle w:val="2"/>
        <w:numPr>
          <w:ilvl w:val="0"/>
          <w:numId w:val="28"/>
        </w:numPr>
        <w:spacing w:line="360" w:lineRule="auto"/>
        <w:ind w:left="482" w:hanging="482"/>
        <w:rPr>
          <w:rFonts w:ascii="宋体" w:hAnsi="宋体" w:hint="eastAsia"/>
          <w:color w:val="000000" w:themeColor="text1"/>
        </w:rPr>
      </w:pPr>
      <w:r>
        <w:rPr>
          <w:rFonts w:ascii="宋体" w:hAnsi="宋体" w:hint="eastAsia"/>
          <w:color w:val="000000" w:themeColor="text1"/>
        </w:rPr>
        <w:t>控股股东或实际控制人变更情况</w:t>
      </w:r>
    </w:p>
    <w:sdt>
      <w:sdtPr>
        <w:rPr>
          <w:color w:val="000000" w:themeColor="text1"/>
        </w:rPr>
        <w:alias w:val="是否适用：控股股东及实际控制人变更情况[双击切换]"/>
        <w:tag w:val="_GBC_84ff369a3f714dbbbec5a13460906f4b"/>
        <w:id w:val="226268241"/>
        <w:placeholder>
          <w:docPart w:val="GBC22222222222222222222222222222"/>
        </w:placeholder>
      </w:sdtPr>
      <w:sdtEndPr/>
      <w:sdtContent>
        <w:p w14:paraId="4A4B6FDA"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4B0ED0C4" w14:textId="77777777" w:rsidR="002D0AE7" w:rsidRDefault="00333EBB">
      <w:pPr>
        <w:pStyle w:val="1"/>
        <w:numPr>
          <w:ilvl w:val="0"/>
          <w:numId w:val="2"/>
        </w:numPr>
        <w:rPr>
          <w:rFonts w:ascii="黑体" w:hAnsi="黑体" w:hint="eastAsia"/>
          <w:color w:val="000000" w:themeColor="text1"/>
        </w:rPr>
      </w:pPr>
      <w:bookmarkStart w:id="101" w:name="_Toc392233017"/>
      <w:bookmarkStart w:id="102" w:name="_Toc142578262"/>
      <w:bookmarkStart w:id="103" w:name="_Toc76114279"/>
      <w:r>
        <w:rPr>
          <w:rFonts w:ascii="黑体" w:hAnsi="黑体" w:hint="eastAsia"/>
          <w:color w:val="000000" w:themeColor="text1"/>
        </w:rPr>
        <w:t>优先股相关情况</w:t>
      </w:r>
      <w:bookmarkEnd w:id="101"/>
      <w:bookmarkEnd w:id="102"/>
      <w:bookmarkEnd w:id="103"/>
    </w:p>
    <w:sdt>
      <w:sdtPr>
        <w:rPr>
          <w:color w:val="000000" w:themeColor="text1"/>
        </w:rPr>
        <w:alias w:val="是否适用：优先股相关情况[双击切换]"/>
        <w:tag w:val="_GBC_2113adbee8464e1c828b3d6d35c60abf"/>
        <w:id w:val="-681501057"/>
        <w:placeholder>
          <w:docPart w:val="GBC22222222222222222222222222222"/>
        </w:placeholder>
      </w:sdtPr>
      <w:sdtEndPr/>
      <w:sdtContent>
        <w:p w14:paraId="126BCF7D"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4D03B18C" w14:textId="77777777" w:rsidR="002D0AE7" w:rsidRDefault="00333EBB">
      <w:pPr>
        <w:pStyle w:val="1"/>
        <w:numPr>
          <w:ilvl w:val="0"/>
          <w:numId w:val="2"/>
        </w:numPr>
        <w:rPr>
          <w:rFonts w:ascii="黑体" w:hAnsi="黑体" w:hint="eastAsia"/>
          <w:bCs w:val="0"/>
          <w:color w:val="000000" w:themeColor="text1"/>
          <w:szCs w:val="28"/>
        </w:rPr>
      </w:pPr>
      <w:bookmarkStart w:id="104" w:name="_Toc438111012"/>
      <w:bookmarkStart w:id="105" w:name="_Toc142578263"/>
      <w:bookmarkStart w:id="106" w:name="_Toc437440717"/>
      <w:bookmarkStart w:id="107" w:name="_Toc76114280"/>
      <w:r>
        <w:rPr>
          <w:rFonts w:ascii="黑体" w:hAnsi="黑体" w:hint="eastAsia"/>
          <w:color w:val="000000" w:themeColor="text1"/>
          <w:szCs w:val="28"/>
        </w:rPr>
        <w:t>债券相关情况</w:t>
      </w:r>
      <w:bookmarkEnd w:id="104"/>
      <w:bookmarkEnd w:id="105"/>
      <w:bookmarkEnd w:id="106"/>
      <w:bookmarkEnd w:id="107"/>
    </w:p>
    <w:p w14:paraId="21BF181C" w14:textId="77777777" w:rsidR="002D0AE7" w:rsidRDefault="00333EBB">
      <w:pPr>
        <w:pStyle w:val="2"/>
        <w:numPr>
          <w:ilvl w:val="0"/>
          <w:numId w:val="33"/>
        </w:numPr>
        <w:ind w:firstLineChars="0"/>
        <w:rPr>
          <w:rFonts w:ascii="宋体" w:hAnsi="宋体" w:hint="eastAsia"/>
          <w:color w:val="000000" w:themeColor="text1"/>
        </w:rPr>
      </w:pPr>
      <w:r>
        <w:rPr>
          <w:rFonts w:ascii="宋体" w:hAnsi="宋体" w:hint="eastAsia"/>
          <w:color w:val="000000" w:themeColor="text1"/>
        </w:rPr>
        <w:t>公司债券（含企业债券）和非金融企业债务融资工具</w:t>
      </w:r>
    </w:p>
    <w:bookmarkStart w:id="108" w:name="_Hlk73352152" w:displacedByCustomXml="next"/>
    <w:sdt>
      <w:sdtPr>
        <w:rPr>
          <w:color w:val="000000" w:themeColor="text1"/>
        </w:rPr>
        <w:alias w:val="是否适用：债券相关情况[双击切换]"/>
        <w:tag w:val="_GBC_8e6b9cf2d8c24a6faf41199f98e408b3"/>
        <w:id w:val="583107189"/>
        <w:placeholder>
          <w:docPart w:val="GBC22222222222222222222222222222"/>
        </w:placeholder>
      </w:sdtPr>
      <w:sdtEndPr/>
      <w:sdtContent>
        <w:p w14:paraId="3B0CB241"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bookmarkEnd w:id="108"/>
    <w:p w14:paraId="711F3769" w14:textId="77777777" w:rsidR="002D0AE7" w:rsidRDefault="00333EBB">
      <w:pPr>
        <w:pStyle w:val="2"/>
        <w:numPr>
          <w:ilvl w:val="0"/>
          <w:numId w:val="33"/>
        </w:numPr>
        <w:ind w:firstLineChars="0"/>
        <w:rPr>
          <w:rFonts w:ascii="宋体" w:hAnsi="宋体" w:hint="eastAsia"/>
          <w:color w:val="000000" w:themeColor="text1"/>
        </w:rPr>
      </w:pPr>
      <w:r>
        <w:rPr>
          <w:rFonts w:ascii="宋体" w:hAnsi="宋体" w:hint="eastAsia"/>
          <w:color w:val="000000" w:themeColor="text1"/>
        </w:rPr>
        <w:t>可转换公司债券情况</w:t>
      </w:r>
    </w:p>
    <w:sdt>
      <w:sdtPr>
        <w:rPr>
          <w:color w:val="000000" w:themeColor="text1"/>
        </w:rPr>
        <w:alias w:val="是否适用：可转换公司债券情况[双击切换]"/>
        <w:tag w:val="_GBC_6a49e99841294af3b87ba6216b1997d9"/>
        <w:id w:val="827488139"/>
        <w:placeholder>
          <w:docPart w:val="GBC22222222222222222222222222222"/>
        </w:placeholder>
      </w:sdtPr>
      <w:sdtEndPr/>
      <w:sdtContent>
        <w:p w14:paraId="559DA224"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1B62279B" w14:textId="77777777" w:rsidR="002D0AE7" w:rsidRDefault="002D0AE7">
      <w:pPr>
        <w:rPr>
          <w:rFonts w:hint="eastAsia"/>
          <w:color w:val="000000" w:themeColor="text1"/>
        </w:rPr>
        <w:sectPr w:rsidR="002D0AE7">
          <w:pgSz w:w="11906" w:h="16838"/>
          <w:pgMar w:top="1525" w:right="1276" w:bottom="1440" w:left="1797" w:header="851" w:footer="992" w:gutter="0"/>
          <w:cols w:space="425"/>
          <w:docGrid w:linePitch="312"/>
        </w:sectPr>
      </w:pPr>
    </w:p>
    <w:p w14:paraId="1F9627B3" w14:textId="77777777" w:rsidR="002D0AE7" w:rsidRDefault="00333EBB">
      <w:pPr>
        <w:pStyle w:val="1"/>
        <w:numPr>
          <w:ilvl w:val="0"/>
          <w:numId w:val="2"/>
        </w:numPr>
        <w:rPr>
          <w:rFonts w:ascii="黑体" w:hAnsi="黑体" w:hint="eastAsia"/>
          <w:bCs w:val="0"/>
          <w:color w:val="000000" w:themeColor="text1"/>
          <w:szCs w:val="28"/>
        </w:rPr>
      </w:pPr>
      <w:bookmarkStart w:id="109" w:name="_Toc76114281"/>
      <w:bookmarkStart w:id="110" w:name="_Toc142578264"/>
      <w:r>
        <w:rPr>
          <w:rFonts w:ascii="黑体" w:hAnsi="黑体"/>
          <w:color w:val="000000" w:themeColor="text1"/>
          <w:szCs w:val="28"/>
        </w:rPr>
        <w:lastRenderedPageBreak/>
        <w:t>财务报告</w:t>
      </w:r>
      <w:bookmarkEnd w:id="109"/>
      <w:bookmarkEnd w:id="110"/>
    </w:p>
    <w:p w14:paraId="5E7DAEF4" w14:textId="77777777" w:rsidR="002D0AE7" w:rsidRDefault="00333EBB">
      <w:pPr>
        <w:pStyle w:val="2"/>
        <w:numPr>
          <w:ilvl w:val="0"/>
          <w:numId w:val="34"/>
        </w:numPr>
        <w:ind w:left="482" w:hanging="482"/>
        <w:rPr>
          <w:rFonts w:ascii="宋体" w:hAnsi="宋体" w:hint="eastAsia"/>
          <w:color w:val="000000" w:themeColor="text1"/>
        </w:rPr>
      </w:pPr>
      <w:r>
        <w:rPr>
          <w:rFonts w:ascii="宋体" w:hAnsi="宋体" w:hint="eastAsia"/>
          <w:color w:val="000000" w:themeColor="text1"/>
        </w:rPr>
        <w:t>审计报告</w:t>
      </w:r>
    </w:p>
    <w:sdt>
      <w:sdtPr>
        <w:rPr>
          <w:color w:val="000000" w:themeColor="text1"/>
        </w:rPr>
        <w:alias w:val="是否适用：审计报告[双击切换]"/>
        <w:tag w:val="_GBC_33dac3baf6634fba91e3026ebaaad280"/>
        <w:id w:val="230197962"/>
        <w:placeholder>
          <w:docPart w:val="GBC22222222222222222222222222222"/>
        </w:placeholder>
      </w:sdtPr>
      <w:sdtEndPr/>
      <w:sdtContent>
        <w:p w14:paraId="16ADB7EF"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217617E1" w14:textId="77777777" w:rsidR="002D0AE7" w:rsidRDefault="00333EBB">
      <w:pPr>
        <w:pStyle w:val="2"/>
        <w:numPr>
          <w:ilvl w:val="0"/>
          <w:numId w:val="34"/>
        </w:numPr>
        <w:ind w:left="482" w:hanging="482"/>
        <w:rPr>
          <w:rFonts w:ascii="宋体" w:hAnsi="宋体" w:hint="eastAsia"/>
          <w:color w:val="000000" w:themeColor="text1"/>
        </w:rPr>
      </w:pPr>
      <w:r>
        <w:rPr>
          <w:rFonts w:ascii="宋体" w:hAnsi="宋体" w:hint="eastAsia"/>
          <w:color w:val="000000" w:themeColor="text1"/>
        </w:rPr>
        <w:t>财务报表</w:t>
      </w:r>
    </w:p>
    <w:p w14:paraId="4A7ED43A" w14:textId="77777777" w:rsidR="002D0AE7" w:rsidRDefault="00333EBB">
      <w:pPr>
        <w:pStyle w:val="3"/>
        <w:jc w:val="center"/>
        <w:rPr>
          <w:rFonts w:ascii="宋体" w:hAnsi="宋体" w:hint="eastAsia"/>
          <w:color w:val="000000" w:themeColor="text1"/>
        </w:rPr>
      </w:pPr>
      <w:bookmarkStart w:id="111" w:name="_Hlk10208794"/>
      <w:r>
        <w:rPr>
          <w:rFonts w:ascii="宋体" w:hAnsi="宋体" w:hint="eastAsia"/>
          <w:color w:val="000000" w:themeColor="text1"/>
        </w:rPr>
        <w:t>合并资产负债表</w:t>
      </w:r>
    </w:p>
    <w:p w14:paraId="7EA08577" w14:textId="77777777" w:rsidR="002D0AE7" w:rsidRDefault="00333EBB">
      <w:pPr>
        <w:snapToGrid w:val="0"/>
        <w:spacing w:line="240" w:lineRule="atLeast"/>
        <w:jc w:val="center"/>
        <w:rPr>
          <w:rFonts w:hint="eastAsia"/>
          <w:b/>
          <w:color w:val="000000" w:themeColor="text1"/>
        </w:rPr>
      </w:pPr>
      <w:r>
        <w:rPr>
          <w:color w:val="000000" w:themeColor="text1"/>
        </w:rPr>
        <w:t>2024</w:t>
      </w:r>
      <w:r>
        <w:rPr>
          <w:color w:val="000000" w:themeColor="text1"/>
        </w:rPr>
        <w:t>年</w:t>
      </w:r>
      <w:r>
        <w:rPr>
          <w:color w:val="000000" w:themeColor="text1"/>
        </w:rPr>
        <w:t>6</w:t>
      </w:r>
      <w:r>
        <w:rPr>
          <w:color w:val="000000" w:themeColor="text1"/>
        </w:rPr>
        <w:t>月</w:t>
      </w:r>
      <w:r>
        <w:rPr>
          <w:color w:val="000000" w:themeColor="text1"/>
        </w:rPr>
        <w:t>30</w:t>
      </w:r>
      <w:r>
        <w:rPr>
          <w:color w:val="000000" w:themeColor="text1"/>
        </w:rPr>
        <w:t>日</w:t>
      </w:r>
    </w:p>
    <w:p w14:paraId="6F2D229C" w14:textId="77777777" w:rsidR="002D0AE7" w:rsidRDefault="00333EBB">
      <w:pPr>
        <w:rPr>
          <w:rFonts w:hint="eastAsia"/>
          <w:color w:val="000000" w:themeColor="text1"/>
        </w:rPr>
      </w:pPr>
      <w:r>
        <w:rPr>
          <w:color w:val="000000" w:themeColor="text1"/>
        </w:rPr>
        <w:t>编制单位：</w:t>
      </w:r>
      <w:sdt>
        <w:sdtPr>
          <w:rPr>
            <w:color w:val="000000" w:themeColor="text1"/>
          </w:rPr>
          <w:alias w:val="公司法定中文名称"/>
          <w:tag w:val="_GBC_76dae7aa62d842859c05c05e750163c2"/>
          <w:id w:val="-141437571"/>
          <w:placeholder>
            <w:docPart w:val="GBC22222222222222222222222222222"/>
          </w:placeholder>
          <w:dataBinding w:prefixMappings="xmlns:clcid-cgi='clcid-cgi'" w:xpath="/*/clcid-cgi:GongSiFaDingZhongWenMingCheng[not(@periodRef)]" w:storeItemID="{89EBAB94-44A0-46A2-B712-30D997D04A6D}"/>
          <w:text/>
        </w:sdtPr>
        <w:sdtEndPr/>
        <w:sdtContent>
          <w:r>
            <w:rPr>
              <w:rFonts w:hint="eastAsia"/>
              <w:color w:val="000000" w:themeColor="text1"/>
            </w:rPr>
            <w:t>津药药业股份有限公司</w:t>
          </w:r>
        </w:sdtContent>
      </w:sdt>
    </w:p>
    <w:p w14:paraId="3195A898" w14:textId="77777777" w:rsidR="002D0AE7" w:rsidRDefault="00333EBB">
      <w:pPr>
        <w:jc w:val="right"/>
        <w:rPr>
          <w:rFonts w:hint="eastAsia"/>
          <w:color w:val="000000" w:themeColor="text1"/>
        </w:rPr>
      </w:pPr>
      <w:r>
        <w:rPr>
          <w:color w:val="000000" w:themeColor="text1"/>
        </w:rPr>
        <w:t>单位：</w:t>
      </w:r>
      <w:sdt>
        <w:sdtPr>
          <w:rPr>
            <w:color w:val="000000" w:themeColor="text1"/>
          </w:rPr>
          <w:alias w:val="单位：合并资产负债表"/>
          <w:tag w:val="_GBC_710dced47e5943589779e071c78c5512"/>
          <w:id w:val="-211142128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color w:val="000000" w:themeColor="text1"/>
        </w:rPr>
        <w:t>币种：</w:t>
      </w:r>
      <w:sdt>
        <w:sdtPr>
          <w:rPr>
            <w:color w:val="000000" w:themeColor="text1"/>
          </w:rPr>
          <w:alias w:val="币种：合并资产负债表"/>
          <w:tag w:val="_GBC_7e2679155b104d33ba04158c7414bcff"/>
          <w:id w:val="-36891826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462"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80"/>
        <w:gridCol w:w="992"/>
        <w:gridCol w:w="1984"/>
        <w:gridCol w:w="1976"/>
      </w:tblGrid>
      <w:tr w:rsidR="002D0AE7" w14:paraId="239F9415" w14:textId="77777777">
        <w:trPr>
          <w:jc w:val="center"/>
        </w:trPr>
        <w:bookmarkStart w:id="112" w:name="_Hlk137046697" w:displacedByCustomXml="next"/>
        <w:sdt>
          <w:sdtPr>
            <w:rPr>
              <w:b/>
              <w:color w:val="000000" w:themeColor="text1"/>
              <w:sz w:val="21"/>
              <w:szCs w:val="21"/>
            </w:rPr>
            <w:tag w:val="_PLD_1d3f74748a444e6ea0d191e81e54edca"/>
            <w:id w:val="667905273"/>
          </w:sdtPr>
          <w:sdtEndPr/>
          <w:sdtContent>
            <w:tc>
              <w:tcPr>
                <w:tcW w:w="2429" w:type="pct"/>
                <w:tcBorders>
                  <w:top w:val="outset" w:sz="6" w:space="0" w:color="auto"/>
                  <w:left w:val="outset" w:sz="6" w:space="0" w:color="auto"/>
                  <w:bottom w:val="outset" w:sz="6" w:space="0" w:color="auto"/>
                  <w:right w:val="outset" w:sz="6" w:space="0" w:color="auto"/>
                </w:tcBorders>
                <w:vAlign w:val="center"/>
              </w:tcPr>
              <w:p w14:paraId="557194AD" w14:textId="77777777" w:rsidR="002D0AE7" w:rsidRDefault="00333EBB">
                <w:pPr>
                  <w:jc w:val="center"/>
                  <w:rPr>
                    <w:rFonts w:hint="eastAsia"/>
                    <w:b/>
                    <w:color w:val="000000" w:themeColor="text1"/>
                    <w:sz w:val="21"/>
                    <w:szCs w:val="21"/>
                  </w:rPr>
                </w:pPr>
                <w:r>
                  <w:rPr>
                    <w:b/>
                    <w:color w:val="000000" w:themeColor="text1"/>
                    <w:sz w:val="21"/>
                    <w:szCs w:val="21"/>
                  </w:rPr>
                  <w:t>项目</w:t>
                </w:r>
              </w:p>
            </w:tc>
          </w:sdtContent>
        </w:sdt>
        <w:sdt>
          <w:sdtPr>
            <w:rPr>
              <w:b/>
              <w:color w:val="000000" w:themeColor="text1"/>
              <w:sz w:val="21"/>
              <w:szCs w:val="21"/>
            </w:rPr>
            <w:tag w:val="_PLD_da216b439a53487e85f12225916c5563"/>
            <w:id w:val="-192546940"/>
          </w:sdtPr>
          <w:sdtEndPr/>
          <w:sdtContent>
            <w:tc>
              <w:tcPr>
                <w:tcW w:w="515" w:type="pct"/>
                <w:tcBorders>
                  <w:top w:val="outset" w:sz="6" w:space="0" w:color="auto"/>
                  <w:left w:val="outset" w:sz="6" w:space="0" w:color="auto"/>
                  <w:bottom w:val="outset" w:sz="6" w:space="0" w:color="auto"/>
                  <w:right w:val="outset" w:sz="6" w:space="0" w:color="auto"/>
                </w:tcBorders>
                <w:vAlign w:val="center"/>
              </w:tcPr>
              <w:p w14:paraId="0161994D" w14:textId="77777777" w:rsidR="002D0AE7" w:rsidRDefault="00333EBB">
                <w:pPr>
                  <w:jc w:val="center"/>
                  <w:rPr>
                    <w:rFonts w:hint="eastAsia"/>
                    <w:b/>
                    <w:color w:val="000000" w:themeColor="text1"/>
                    <w:sz w:val="21"/>
                    <w:szCs w:val="21"/>
                  </w:rPr>
                </w:pPr>
                <w:r>
                  <w:rPr>
                    <w:rFonts w:hint="eastAsia"/>
                    <w:b/>
                    <w:color w:val="000000" w:themeColor="text1"/>
                    <w:sz w:val="21"/>
                    <w:szCs w:val="21"/>
                  </w:rPr>
                  <w:t>附注</w:t>
                </w:r>
              </w:p>
            </w:tc>
          </w:sdtContent>
        </w:sdt>
        <w:sdt>
          <w:sdtPr>
            <w:rPr>
              <w:b/>
              <w:color w:val="000000" w:themeColor="text1"/>
              <w:sz w:val="21"/>
              <w:szCs w:val="21"/>
            </w:rPr>
            <w:tag w:val="_PLD_21df1d74f3114abf83688ef31bc4d9a7"/>
            <w:id w:val="-465273794"/>
          </w:sdtPr>
          <w:sdtEndPr/>
          <w:sdtContent>
            <w:tc>
              <w:tcPr>
                <w:tcW w:w="1030" w:type="pct"/>
                <w:tcBorders>
                  <w:top w:val="outset" w:sz="6" w:space="0" w:color="auto"/>
                  <w:left w:val="outset" w:sz="6" w:space="0" w:color="auto"/>
                  <w:bottom w:val="outset" w:sz="6" w:space="0" w:color="auto"/>
                  <w:right w:val="outset" w:sz="6" w:space="0" w:color="auto"/>
                </w:tcBorders>
                <w:vAlign w:val="center"/>
              </w:tcPr>
              <w:p w14:paraId="1842DA65" w14:textId="77777777" w:rsidR="002D0AE7" w:rsidRDefault="00333EBB">
                <w:pPr>
                  <w:jc w:val="center"/>
                  <w:rPr>
                    <w:rFonts w:hint="eastAsia"/>
                    <w:b/>
                    <w:color w:val="000000" w:themeColor="text1"/>
                    <w:sz w:val="21"/>
                    <w:szCs w:val="21"/>
                  </w:rPr>
                </w:pPr>
                <w:r>
                  <w:rPr>
                    <w:rFonts w:hint="eastAsia"/>
                    <w:b/>
                    <w:color w:val="000000" w:themeColor="text1"/>
                    <w:sz w:val="21"/>
                    <w:szCs w:val="21"/>
                  </w:rPr>
                  <w:t>2024</w:t>
                </w:r>
                <w:r>
                  <w:rPr>
                    <w:rFonts w:hint="eastAsia"/>
                    <w:b/>
                    <w:color w:val="000000" w:themeColor="text1"/>
                    <w:sz w:val="21"/>
                    <w:szCs w:val="21"/>
                  </w:rPr>
                  <w:t>年</w:t>
                </w:r>
                <w:r>
                  <w:rPr>
                    <w:rFonts w:hint="eastAsia"/>
                    <w:b/>
                    <w:color w:val="000000" w:themeColor="text1"/>
                    <w:sz w:val="21"/>
                    <w:szCs w:val="21"/>
                  </w:rPr>
                  <w:t>6</w:t>
                </w:r>
                <w:r>
                  <w:rPr>
                    <w:rFonts w:hint="eastAsia"/>
                    <w:b/>
                    <w:color w:val="000000" w:themeColor="text1"/>
                    <w:sz w:val="21"/>
                    <w:szCs w:val="21"/>
                  </w:rPr>
                  <w:t>月</w:t>
                </w:r>
                <w:r>
                  <w:rPr>
                    <w:b/>
                    <w:color w:val="000000" w:themeColor="text1"/>
                    <w:sz w:val="21"/>
                    <w:szCs w:val="21"/>
                  </w:rPr>
                  <w:t>3</w:t>
                </w:r>
                <w:r>
                  <w:rPr>
                    <w:rFonts w:hint="eastAsia"/>
                    <w:b/>
                    <w:color w:val="000000" w:themeColor="text1"/>
                    <w:sz w:val="21"/>
                    <w:szCs w:val="21"/>
                  </w:rPr>
                  <w:t>0</w:t>
                </w:r>
                <w:r>
                  <w:rPr>
                    <w:rFonts w:hint="eastAsia"/>
                    <w:b/>
                    <w:color w:val="000000" w:themeColor="text1"/>
                    <w:sz w:val="21"/>
                    <w:szCs w:val="21"/>
                  </w:rPr>
                  <w:t>日</w:t>
                </w:r>
              </w:p>
            </w:tc>
          </w:sdtContent>
        </w:sdt>
        <w:sdt>
          <w:sdtPr>
            <w:rPr>
              <w:b/>
              <w:color w:val="000000" w:themeColor="text1"/>
              <w:sz w:val="21"/>
              <w:szCs w:val="21"/>
            </w:rPr>
            <w:tag w:val="_PLD_d92c936206d34a64b4b2139999e7311b"/>
            <w:id w:val="-1084915949"/>
          </w:sdtPr>
          <w:sdtEndPr/>
          <w:sdtContent>
            <w:tc>
              <w:tcPr>
                <w:tcW w:w="1026" w:type="pct"/>
                <w:tcBorders>
                  <w:top w:val="outset" w:sz="6" w:space="0" w:color="auto"/>
                  <w:left w:val="outset" w:sz="6" w:space="0" w:color="auto"/>
                  <w:bottom w:val="outset" w:sz="6" w:space="0" w:color="auto"/>
                  <w:right w:val="outset" w:sz="6" w:space="0" w:color="auto"/>
                </w:tcBorders>
                <w:vAlign w:val="center"/>
              </w:tcPr>
              <w:p w14:paraId="57C109BE" w14:textId="77777777" w:rsidR="002D0AE7" w:rsidRDefault="00333EBB">
                <w:pPr>
                  <w:jc w:val="center"/>
                  <w:rPr>
                    <w:rFonts w:hint="eastAsia"/>
                    <w:b/>
                    <w:color w:val="000000" w:themeColor="text1"/>
                    <w:sz w:val="21"/>
                    <w:szCs w:val="21"/>
                  </w:rPr>
                </w:pPr>
                <w:r>
                  <w:rPr>
                    <w:b/>
                    <w:color w:val="000000" w:themeColor="text1"/>
                    <w:sz w:val="21"/>
                    <w:szCs w:val="21"/>
                  </w:rPr>
                  <w:t>2023</w:t>
                </w:r>
                <w:r>
                  <w:rPr>
                    <w:b/>
                    <w:color w:val="000000" w:themeColor="text1"/>
                    <w:sz w:val="21"/>
                    <w:szCs w:val="21"/>
                  </w:rPr>
                  <w:t>年</w:t>
                </w:r>
                <w:r>
                  <w:rPr>
                    <w:b/>
                    <w:color w:val="000000" w:themeColor="text1"/>
                    <w:sz w:val="21"/>
                    <w:szCs w:val="21"/>
                  </w:rPr>
                  <w:t>12</w:t>
                </w:r>
                <w:r>
                  <w:rPr>
                    <w:b/>
                    <w:color w:val="000000" w:themeColor="text1"/>
                    <w:sz w:val="21"/>
                    <w:szCs w:val="21"/>
                  </w:rPr>
                  <w:t>月</w:t>
                </w:r>
                <w:r>
                  <w:rPr>
                    <w:b/>
                    <w:color w:val="000000" w:themeColor="text1"/>
                    <w:sz w:val="21"/>
                    <w:szCs w:val="21"/>
                  </w:rPr>
                  <w:t>31</w:t>
                </w:r>
                <w:r>
                  <w:rPr>
                    <w:b/>
                    <w:color w:val="000000" w:themeColor="text1"/>
                    <w:sz w:val="21"/>
                    <w:szCs w:val="21"/>
                  </w:rPr>
                  <w:t>日</w:t>
                </w:r>
              </w:p>
            </w:tc>
          </w:sdtContent>
        </w:sdt>
      </w:tr>
      <w:tr w:rsidR="002D0AE7" w14:paraId="7F417ED9" w14:textId="77777777">
        <w:trPr>
          <w:jc w:val="center"/>
        </w:trPr>
        <w:sdt>
          <w:sdtPr>
            <w:rPr>
              <w:color w:val="000000" w:themeColor="text1"/>
              <w:sz w:val="21"/>
              <w:szCs w:val="21"/>
            </w:rPr>
            <w:tag w:val="_PLD_c47a329e79ad491ca413bdaf35b1f19b"/>
            <w:id w:val="1631520185"/>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3C00A187" w14:textId="77777777" w:rsidR="002D0AE7" w:rsidRDefault="00333EBB">
                <w:pPr>
                  <w:rPr>
                    <w:rFonts w:hint="eastAsia"/>
                    <w:b/>
                    <w:color w:val="000000" w:themeColor="text1"/>
                    <w:sz w:val="21"/>
                    <w:szCs w:val="21"/>
                  </w:rPr>
                </w:pPr>
                <w:r>
                  <w:rPr>
                    <w:rFonts w:hint="eastAsia"/>
                    <w:b/>
                    <w:color w:val="000000" w:themeColor="text1"/>
                    <w:sz w:val="21"/>
                    <w:szCs w:val="21"/>
                  </w:rPr>
                  <w:t>流动资产：</w:t>
                </w:r>
              </w:p>
            </w:tc>
          </w:sdtContent>
        </w:sdt>
      </w:tr>
      <w:tr w:rsidR="002D0AE7" w14:paraId="0857A480"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0EAC3DA0"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货币资金</w:t>
            </w:r>
          </w:p>
        </w:tc>
        <w:tc>
          <w:tcPr>
            <w:tcW w:w="515" w:type="pct"/>
            <w:tcBorders>
              <w:top w:val="outset" w:sz="6" w:space="0" w:color="auto"/>
              <w:left w:val="outset" w:sz="6" w:space="0" w:color="auto"/>
              <w:bottom w:val="outset" w:sz="6" w:space="0" w:color="auto"/>
              <w:right w:val="outset" w:sz="6" w:space="0" w:color="auto"/>
            </w:tcBorders>
            <w:vAlign w:val="center"/>
          </w:tcPr>
          <w:p w14:paraId="00C4E118" w14:textId="77777777" w:rsidR="002D0AE7" w:rsidRDefault="00333EBB">
            <w:pPr>
              <w:rPr>
                <w:rFonts w:hint="eastAsia"/>
                <w:sz w:val="21"/>
                <w:szCs w:val="21"/>
              </w:rPr>
            </w:pPr>
            <w:r>
              <w:rPr>
                <w:rFonts w:hint="eastAsia"/>
                <w:sz w:val="21"/>
                <w:szCs w:val="21"/>
              </w:rPr>
              <w:t>七、</w:t>
            </w:r>
            <w:r>
              <w:rPr>
                <w:rFonts w:hint="eastAsia"/>
                <w:sz w:val="21"/>
                <w:szCs w:val="21"/>
              </w:rPr>
              <w:t>1</w:t>
            </w:r>
          </w:p>
        </w:tc>
        <w:tc>
          <w:tcPr>
            <w:tcW w:w="1030" w:type="pct"/>
            <w:tcBorders>
              <w:top w:val="outset" w:sz="6" w:space="0" w:color="auto"/>
              <w:left w:val="outset" w:sz="6" w:space="0" w:color="auto"/>
              <w:bottom w:val="outset" w:sz="6" w:space="0" w:color="auto"/>
              <w:right w:val="outset" w:sz="6" w:space="0" w:color="auto"/>
            </w:tcBorders>
            <w:vAlign w:val="center"/>
          </w:tcPr>
          <w:p w14:paraId="1BFC118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728,317,437.30</w:t>
            </w:r>
          </w:p>
        </w:tc>
        <w:tc>
          <w:tcPr>
            <w:tcW w:w="1026" w:type="pct"/>
            <w:tcBorders>
              <w:top w:val="outset" w:sz="6" w:space="0" w:color="auto"/>
              <w:left w:val="outset" w:sz="6" w:space="0" w:color="auto"/>
              <w:bottom w:val="outset" w:sz="6" w:space="0" w:color="auto"/>
              <w:right w:val="outset" w:sz="6" w:space="0" w:color="auto"/>
            </w:tcBorders>
            <w:vAlign w:val="center"/>
          </w:tcPr>
          <w:p w14:paraId="3038A67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718,856,391.87</w:t>
            </w:r>
          </w:p>
        </w:tc>
      </w:tr>
      <w:tr w:rsidR="002D0AE7" w14:paraId="7C91E531"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254E7C3C"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结算备付金</w:t>
            </w:r>
          </w:p>
        </w:tc>
        <w:tc>
          <w:tcPr>
            <w:tcW w:w="515" w:type="pct"/>
            <w:tcBorders>
              <w:top w:val="outset" w:sz="6" w:space="0" w:color="auto"/>
              <w:left w:val="outset" w:sz="6" w:space="0" w:color="auto"/>
              <w:bottom w:val="outset" w:sz="6" w:space="0" w:color="auto"/>
              <w:right w:val="outset" w:sz="6" w:space="0" w:color="auto"/>
            </w:tcBorders>
            <w:vAlign w:val="center"/>
          </w:tcPr>
          <w:p w14:paraId="4F00CEB1"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6D064A08"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25530274" w14:textId="77777777" w:rsidR="002D0AE7" w:rsidRDefault="002D0AE7">
            <w:pPr>
              <w:jc w:val="right"/>
              <w:rPr>
                <w:rFonts w:ascii="Times New Roman" w:hAnsi="Times New Roman" w:cs="Times New Roman"/>
                <w:sz w:val="21"/>
                <w:szCs w:val="21"/>
              </w:rPr>
            </w:pPr>
          </w:p>
        </w:tc>
      </w:tr>
      <w:tr w:rsidR="002D0AE7" w14:paraId="79D917CF"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04128CD4"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拆出资金</w:t>
            </w:r>
          </w:p>
        </w:tc>
        <w:tc>
          <w:tcPr>
            <w:tcW w:w="515" w:type="pct"/>
            <w:tcBorders>
              <w:top w:val="outset" w:sz="6" w:space="0" w:color="auto"/>
              <w:left w:val="outset" w:sz="6" w:space="0" w:color="auto"/>
              <w:bottom w:val="outset" w:sz="6" w:space="0" w:color="auto"/>
              <w:right w:val="outset" w:sz="6" w:space="0" w:color="auto"/>
            </w:tcBorders>
            <w:vAlign w:val="center"/>
          </w:tcPr>
          <w:p w14:paraId="56B15697"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6C53B3D2"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62267EBE" w14:textId="77777777" w:rsidR="002D0AE7" w:rsidRDefault="002D0AE7">
            <w:pPr>
              <w:jc w:val="right"/>
              <w:rPr>
                <w:rFonts w:ascii="Times New Roman" w:hAnsi="Times New Roman" w:cs="Times New Roman"/>
                <w:sz w:val="21"/>
                <w:szCs w:val="21"/>
              </w:rPr>
            </w:pPr>
          </w:p>
        </w:tc>
      </w:tr>
      <w:tr w:rsidR="002D0AE7" w14:paraId="27389CFD"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187369C5"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交易性金融资产</w:t>
            </w:r>
          </w:p>
        </w:tc>
        <w:tc>
          <w:tcPr>
            <w:tcW w:w="515" w:type="pct"/>
            <w:tcBorders>
              <w:top w:val="outset" w:sz="6" w:space="0" w:color="auto"/>
              <w:left w:val="outset" w:sz="6" w:space="0" w:color="auto"/>
              <w:bottom w:val="outset" w:sz="6" w:space="0" w:color="auto"/>
              <w:right w:val="outset" w:sz="6" w:space="0" w:color="auto"/>
            </w:tcBorders>
            <w:vAlign w:val="center"/>
          </w:tcPr>
          <w:p w14:paraId="1EAD70ED"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7ED1FD13"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58E6BEF5" w14:textId="77777777" w:rsidR="002D0AE7" w:rsidRDefault="002D0AE7">
            <w:pPr>
              <w:jc w:val="right"/>
              <w:rPr>
                <w:rFonts w:ascii="Times New Roman" w:hAnsi="Times New Roman" w:cs="Times New Roman"/>
                <w:sz w:val="21"/>
                <w:szCs w:val="21"/>
              </w:rPr>
            </w:pPr>
          </w:p>
        </w:tc>
      </w:tr>
      <w:tr w:rsidR="002D0AE7" w14:paraId="4B1D690B"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41EB6389"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衍生金融资产</w:t>
            </w:r>
          </w:p>
        </w:tc>
        <w:tc>
          <w:tcPr>
            <w:tcW w:w="515" w:type="pct"/>
            <w:tcBorders>
              <w:top w:val="outset" w:sz="6" w:space="0" w:color="auto"/>
              <w:left w:val="outset" w:sz="6" w:space="0" w:color="auto"/>
              <w:bottom w:val="outset" w:sz="6" w:space="0" w:color="auto"/>
              <w:right w:val="outset" w:sz="6" w:space="0" w:color="auto"/>
            </w:tcBorders>
            <w:vAlign w:val="center"/>
          </w:tcPr>
          <w:p w14:paraId="7E565F80"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529A9E72"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10BD5974" w14:textId="77777777" w:rsidR="002D0AE7" w:rsidRDefault="002D0AE7">
            <w:pPr>
              <w:jc w:val="right"/>
              <w:rPr>
                <w:rFonts w:ascii="Times New Roman" w:hAnsi="Times New Roman" w:cs="Times New Roman"/>
                <w:sz w:val="21"/>
                <w:szCs w:val="21"/>
              </w:rPr>
            </w:pPr>
          </w:p>
        </w:tc>
      </w:tr>
      <w:tr w:rsidR="002D0AE7" w14:paraId="26E4343F"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4253A3C9"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应收票据</w:t>
            </w:r>
          </w:p>
        </w:tc>
        <w:tc>
          <w:tcPr>
            <w:tcW w:w="515" w:type="pct"/>
            <w:tcBorders>
              <w:top w:val="outset" w:sz="6" w:space="0" w:color="auto"/>
              <w:left w:val="outset" w:sz="6" w:space="0" w:color="auto"/>
              <w:bottom w:val="outset" w:sz="6" w:space="0" w:color="auto"/>
              <w:right w:val="outset" w:sz="6" w:space="0" w:color="auto"/>
            </w:tcBorders>
            <w:vAlign w:val="center"/>
          </w:tcPr>
          <w:p w14:paraId="1DBF393A"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4C032C6D"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30CC40F1" w14:textId="77777777" w:rsidR="002D0AE7" w:rsidRDefault="002D0AE7">
            <w:pPr>
              <w:jc w:val="right"/>
              <w:rPr>
                <w:rFonts w:ascii="Times New Roman" w:hAnsi="Times New Roman" w:cs="Times New Roman"/>
                <w:sz w:val="21"/>
                <w:szCs w:val="21"/>
              </w:rPr>
            </w:pPr>
          </w:p>
        </w:tc>
      </w:tr>
      <w:tr w:rsidR="002D0AE7" w14:paraId="2081B284"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1BB50E6F"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应收账款</w:t>
            </w:r>
          </w:p>
        </w:tc>
        <w:tc>
          <w:tcPr>
            <w:tcW w:w="515" w:type="pct"/>
            <w:tcBorders>
              <w:top w:val="outset" w:sz="6" w:space="0" w:color="auto"/>
              <w:left w:val="outset" w:sz="6" w:space="0" w:color="auto"/>
              <w:bottom w:val="outset" w:sz="6" w:space="0" w:color="auto"/>
              <w:right w:val="outset" w:sz="6" w:space="0" w:color="auto"/>
            </w:tcBorders>
            <w:vAlign w:val="center"/>
          </w:tcPr>
          <w:p w14:paraId="0BF77EFC" w14:textId="77777777" w:rsidR="002D0AE7" w:rsidRDefault="00333EBB">
            <w:pPr>
              <w:rPr>
                <w:rFonts w:hint="eastAsia"/>
                <w:sz w:val="21"/>
                <w:szCs w:val="21"/>
              </w:rPr>
            </w:pPr>
            <w:r>
              <w:rPr>
                <w:rFonts w:hint="eastAsia"/>
                <w:sz w:val="21"/>
                <w:szCs w:val="21"/>
              </w:rPr>
              <w:t>七、</w:t>
            </w:r>
            <w:r>
              <w:rPr>
                <w:sz w:val="21"/>
                <w:szCs w:val="21"/>
              </w:rPr>
              <w:t>2</w:t>
            </w:r>
          </w:p>
        </w:tc>
        <w:tc>
          <w:tcPr>
            <w:tcW w:w="1030" w:type="pct"/>
            <w:tcBorders>
              <w:top w:val="outset" w:sz="6" w:space="0" w:color="auto"/>
              <w:left w:val="outset" w:sz="6" w:space="0" w:color="auto"/>
              <w:bottom w:val="outset" w:sz="6" w:space="0" w:color="auto"/>
              <w:right w:val="outset" w:sz="6" w:space="0" w:color="auto"/>
            </w:tcBorders>
            <w:vAlign w:val="center"/>
          </w:tcPr>
          <w:p w14:paraId="30CF480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441,484,294.35</w:t>
            </w:r>
          </w:p>
        </w:tc>
        <w:tc>
          <w:tcPr>
            <w:tcW w:w="1026" w:type="pct"/>
            <w:tcBorders>
              <w:top w:val="outset" w:sz="6" w:space="0" w:color="auto"/>
              <w:left w:val="outset" w:sz="6" w:space="0" w:color="auto"/>
              <w:bottom w:val="outset" w:sz="6" w:space="0" w:color="auto"/>
              <w:right w:val="outset" w:sz="6" w:space="0" w:color="auto"/>
            </w:tcBorders>
            <w:vAlign w:val="center"/>
          </w:tcPr>
          <w:p w14:paraId="1B0B6DD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429,950,533.44</w:t>
            </w:r>
          </w:p>
        </w:tc>
      </w:tr>
      <w:tr w:rsidR="002D0AE7" w14:paraId="61C55498"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2AAA2A87"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应收款项融资</w:t>
            </w:r>
          </w:p>
        </w:tc>
        <w:tc>
          <w:tcPr>
            <w:tcW w:w="515" w:type="pct"/>
            <w:tcBorders>
              <w:top w:val="outset" w:sz="6" w:space="0" w:color="auto"/>
              <w:left w:val="outset" w:sz="6" w:space="0" w:color="auto"/>
              <w:bottom w:val="outset" w:sz="6" w:space="0" w:color="auto"/>
              <w:right w:val="outset" w:sz="6" w:space="0" w:color="auto"/>
            </w:tcBorders>
            <w:vAlign w:val="center"/>
          </w:tcPr>
          <w:p w14:paraId="5D2E35D6" w14:textId="77777777" w:rsidR="002D0AE7" w:rsidRDefault="00333EBB">
            <w:pPr>
              <w:rPr>
                <w:rFonts w:hint="eastAsia"/>
                <w:sz w:val="21"/>
                <w:szCs w:val="21"/>
              </w:rPr>
            </w:pPr>
            <w:r>
              <w:rPr>
                <w:rFonts w:hint="eastAsia"/>
                <w:sz w:val="21"/>
                <w:szCs w:val="21"/>
              </w:rPr>
              <w:t>七、</w:t>
            </w:r>
            <w:r>
              <w:rPr>
                <w:sz w:val="21"/>
                <w:szCs w:val="21"/>
              </w:rPr>
              <w:t>3</w:t>
            </w:r>
          </w:p>
        </w:tc>
        <w:tc>
          <w:tcPr>
            <w:tcW w:w="1030" w:type="pct"/>
            <w:tcBorders>
              <w:top w:val="outset" w:sz="6" w:space="0" w:color="auto"/>
              <w:left w:val="outset" w:sz="6" w:space="0" w:color="auto"/>
              <w:bottom w:val="outset" w:sz="6" w:space="0" w:color="auto"/>
              <w:right w:val="outset" w:sz="6" w:space="0" w:color="auto"/>
            </w:tcBorders>
            <w:vAlign w:val="center"/>
          </w:tcPr>
          <w:p w14:paraId="50D446C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137,749,102.75</w:t>
            </w:r>
          </w:p>
        </w:tc>
        <w:tc>
          <w:tcPr>
            <w:tcW w:w="1026" w:type="pct"/>
            <w:tcBorders>
              <w:top w:val="outset" w:sz="6" w:space="0" w:color="auto"/>
              <w:left w:val="outset" w:sz="6" w:space="0" w:color="auto"/>
              <w:bottom w:val="outset" w:sz="6" w:space="0" w:color="auto"/>
              <w:right w:val="outset" w:sz="6" w:space="0" w:color="auto"/>
            </w:tcBorders>
            <w:vAlign w:val="center"/>
          </w:tcPr>
          <w:p w14:paraId="7AAD348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148,378,503.93</w:t>
            </w:r>
          </w:p>
        </w:tc>
      </w:tr>
      <w:tr w:rsidR="002D0AE7" w14:paraId="42A91315"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6A4B298D"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预付款项</w:t>
            </w:r>
          </w:p>
        </w:tc>
        <w:tc>
          <w:tcPr>
            <w:tcW w:w="515" w:type="pct"/>
            <w:tcBorders>
              <w:top w:val="outset" w:sz="6" w:space="0" w:color="auto"/>
              <w:left w:val="outset" w:sz="6" w:space="0" w:color="auto"/>
              <w:bottom w:val="outset" w:sz="6" w:space="0" w:color="auto"/>
              <w:right w:val="outset" w:sz="6" w:space="0" w:color="auto"/>
            </w:tcBorders>
            <w:vAlign w:val="center"/>
          </w:tcPr>
          <w:p w14:paraId="6085FA5C" w14:textId="77777777" w:rsidR="002D0AE7" w:rsidRDefault="00333EBB">
            <w:pPr>
              <w:rPr>
                <w:rFonts w:hint="eastAsia"/>
                <w:sz w:val="21"/>
                <w:szCs w:val="21"/>
              </w:rPr>
            </w:pPr>
            <w:r>
              <w:rPr>
                <w:rFonts w:hint="eastAsia"/>
                <w:sz w:val="21"/>
                <w:szCs w:val="21"/>
              </w:rPr>
              <w:t>七、</w:t>
            </w:r>
            <w:r>
              <w:rPr>
                <w:sz w:val="21"/>
                <w:szCs w:val="21"/>
              </w:rPr>
              <w:t>4</w:t>
            </w:r>
          </w:p>
        </w:tc>
        <w:tc>
          <w:tcPr>
            <w:tcW w:w="1030" w:type="pct"/>
            <w:tcBorders>
              <w:top w:val="outset" w:sz="6" w:space="0" w:color="auto"/>
              <w:left w:val="outset" w:sz="6" w:space="0" w:color="auto"/>
              <w:bottom w:val="outset" w:sz="6" w:space="0" w:color="auto"/>
              <w:right w:val="outset" w:sz="6" w:space="0" w:color="auto"/>
            </w:tcBorders>
            <w:vAlign w:val="center"/>
          </w:tcPr>
          <w:p w14:paraId="0EE28A1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30,129,787.59</w:t>
            </w:r>
          </w:p>
        </w:tc>
        <w:tc>
          <w:tcPr>
            <w:tcW w:w="1026" w:type="pct"/>
            <w:tcBorders>
              <w:top w:val="outset" w:sz="6" w:space="0" w:color="auto"/>
              <w:left w:val="outset" w:sz="6" w:space="0" w:color="auto"/>
              <w:bottom w:val="outset" w:sz="6" w:space="0" w:color="auto"/>
              <w:right w:val="outset" w:sz="6" w:space="0" w:color="auto"/>
            </w:tcBorders>
            <w:vAlign w:val="center"/>
          </w:tcPr>
          <w:p w14:paraId="23D8791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48,940,815.71</w:t>
            </w:r>
          </w:p>
        </w:tc>
      </w:tr>
      <w:tr w:rsidR="002D0AE7" w14:paraId="427FAB6A"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6B4DF647"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应收保费</w:t>
            </w:r>
          </w:p>
        </w:tc>
        <w:tc>
          <w:tcPr>
            <w:tcW w:w="515" w:type="pct"/>
            <w:tcBorders>
              <w:top w:val="outset" w:sz="6" w:space="0" w:color="auto"/>
              <w:left w:val="outset" w:sz="6" w:space="0" w:color="auto"/>
              <w:bottom w:val="outset" w:sz="6" w:space="0" w:color="auto"/>
              <w:right w:val="outset" w:sz="6" w:space="0" w:color="auto"/>
            </w:tcBorders>
            <w:vAlign w:val="center"/>
          </w:tcPr>
          <w:p w14:paraId="28EDDFFB"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48B66019"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1791769A" w14:textId="77777777" w:rsidR="002D0AE7" w:rsidRDefault="002D0AE7">
            <w:pPr>
              <w:jc w:val="right"/>
              <w:rPr>
                <w:rFonts w:ascii="Times New Roman" w:hAnsi="Times New Roman" w:cs="Times New Roman"/>
                <w:sz w:val="21"/>
                <w:szCs w:val="21"/>
              </w:rPr>
            </w:pPr>
          </w:p>
        </w:tc>
      </w:tr>
      <w:tr w:rsidR="002D0AE7" w14:paraId="26605282"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36DFE790"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应收分保账款</w:t>
            </w:r>
          </w:p>
        </w:tc>
        <w:tc>
          <w:tcPr>
            <w:tcW w:w="515" w:type="pct"/>
            <w:tcBorders>
              <w:top w:val="outset" w:sz="6" w:space="0" w:color="auto"/>
              <w:left w:val="outset" w:sz="6" w:space="0" w:color="auto"/>
              <w:bottom w:val="outset" w:sz="6" w:space="0" w:color="auto"/>
              <w:right w:val="outset" w:sz="6" w:space="0" w:color="auto"/>
            </w:tcBorders>
            <w:vAlign w:val="center"/>
          </w:tcPr>
          <w:p w14:paraId="46C341EC"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4BC4E6EE"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5BDC1D63" w14:textId="77777777" w:rsidR="002D0AE7" w:rsidRDefault="002D0AE7">
            <w:pPr>
              <w:jc w:val="right"/>
              <w:rPr>
                <w:rFonts w:ascii="Times New Roman" w:hAnsi="Times New Roman" w:cs="Times New Roman"/>
                <w:sz w:val="21"/>
                <w:szCs w:val="21"/>
              </w:rPr>
            </w:pPr>
          </w:p>
        </w:tc>
      </w:tr>
      <w:tr w:rsidR="002D0AE7" w14:paraId="792F789F"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5849FC26"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应收分保合同准备金</w:t>
            </w:r>
          </w:p>
        </w:tc>
        <w:tc>
          <w:tcPr>
            <w:tcW w:w="515" w:type="pct"/>
            <w:tcBorders>
              <w:top w:val="outset" w:sz="6" w:space="0" w:color="auto"/>
              <w:left w:val="outset" w:sz="6" w:space="0" w:color="auto"/>
              <w:bottom w:val="outset" w:sz="6" w:space="0" w:color="auto"/>
              <w:right w:val="outset" w:sz="6" w:space="0" w:color="auto"/>
            </w:tcBorders>
            <w:vAlign w:val="center"/>
          </w:tcPr>
          <w:p w14:paraId="295B1D1D"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2778BD2D"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5DFE2071" w14:textId="77777777" w:rsidR="002D0AE7" w:rsidRDefault="002D0AE7">
            <w:pPr>
              <w:jc w:val="right"/>
              <w:rPr>
                <w:rFonts w:ascii="Times New Roman" w:hAnsi="Times New Roman" w:cs="Times New Roman"/>
                <w:sz w:val="21"/>
                <w:szCs w:val="21"/>
              </w:rPr>
            </w:pPr>
          </w:p>
        </w:tc>
      </w:tr>
      <w:tr w:rsidR="002D0AE7" w14:paraId="7222626F"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2D336958"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其他应收款</w:t>
            </w:r>
          </w:p>
        </w:tc>
        <w:tc>
          <w:tcPr>
            <w:tcW w:w="515" w:type="pct"/>
            <w:tcBorders>
              <w:top w:val="outset" w:sz="6" w:space="0" w:color="auto"/>
              <w:left w:val="outset" w:sz="6" w:space="0" w:color="auto"/>
              <w:bottom w:val="outset" w:sz="6" w:space="0" w:color="auto"/>
              <w:right w:val="outset" w:sz="6" w:space="0" w:color="auto"/>
            </w:tcBorders>
            <w:vAlign w:val="center"/>
          </w:tcPr>
          <w:p w14:paraId="285D18EE" w14:textId="77777777" w:rsidR="002D0AE7" w:rsidRDefault="00333EBB">
            <w:pPr>
              <w:rPr>
                <w:rFonts w:hint="eastAsia"/>
                <w:sz w:val="21"/>
                <w:szCs w:val="21"/>
              </w:rPr>
            </w:pPr>
            <w:r>
              <w:rPr>
                <w:rFonts w:hint="eastAsia"/>
                <w:sz w:val="21"/>
                <w:szCs w:val="21"/>
              </w:rPr>
              <w:t>七、</w:t>
            </w:r>
            <w:r>
              <w:rPr>
                <w:sz w:val="21"/>
                <w:szCs w:val="21"/>
              </w:rPr>
              <w:t>5</w:t>
            </w:r>
          </w:p>
        </w:tc>
        <w:tc>
          <w:tcPr>
            <w:tcW w:w="1030" w:type="pct"/>
            <w:tcBorders>
              <w:top w:val="outset" w:sz="6" w:space="0" w:color="auto"/>
              <w:left w:val="outset" w:sz="6" w:space="0" w:color="auto"/>
              <w:bottom w:val="outset" w:sz="6" w:space="0" w:color="auto"/>
              <w:right w:val="outset" w:sz="6" w:space="0" w:color="auto"/>
            </w:tcBorders>
            <w:vAlign w:val="center"/>
          </w:tcPr>
          <w:p w14:paraId="169232A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33,504,005.53</w:t>
            </w:r>
          </w:p>
        </w:tc>
        <w:tc>
          <w:tcPr>
            <w:tcW w:w="1026" w:type="pct"/>
            <w:tcBorders>
              <w:top w:val="outset" w:sz="6" w:space="0" w:color="auto"/>
              <w:left w:val="outset" w:sz="6" w:space="0" w:color="auto"/>
              <w:bottom w:val="outset" w:sz="6" w:space="0" w:color="auto"/>
              <w:right w:val="outset" w:sz="6" w:space="0" w:color="auto"/>
            </w:tcBorders>
            <w:vAlign w:val="center"/>
          </w:tcPr>
          <w:p w14:paraId="01AD585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29,419,601.28</w:t>
            </w:r>
          </w:p>
        </w:tc>
      </w:tr>
      <w:tr w:rsidR="002D0AE7" w14:paraId="71A8EDE3"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2C2726F3"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其中：应收利息</w:t>
            </w:r>
          </w:p>
        </w:tc>
        <w:tc>
          <w:tcPr>
            <w:tcW w:w="515" w:type="pct"/>
            <w:tcBorders>
              <w:top w:val="outset" w:sz="6" w:space="0" w:color="auto"/>
              <w:left w:val="outset" w:sz="6" w:space="0" w:color="auto"/>
              <w:bottom w:val="outset" w:sz="6" w:space="0" w:color="auto"/>
              <w:right w:val="outset" w:sz="6" w:space="0" w:color="auto"/>
            </w:tcBorders>
            <w:vAlign w:val="center"/>
          </w:tcPr>
          <w:p w14:paraId="750E14F6"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384715A8"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1A16A447" w14:textId="77777777" w:rsidR="002D0AE7" w:rsidRDefault="002D0AE7">
            <w:pPr>
              <w:jc w:val="right"/>
              <w:rPr>
                <w:rFonts w:ascii="Times New Roman" w:hAnsi="Times New Roman" w:cs="Times New Roman"/>
                <w:sz w:val="21"/>
                <w:szCs w:val="21"/>
              </w:rPr>
            </w:pPr>
          </w:p>
        </w:tc>
      </w:tr>
      <w:tr w:rsidR="002D0AE7" w14:paraId="68F84FB3"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78BB2335" w14:textId="77777777" w:rsidR="002D0AE7" w:rsidRDefault="00333EBB">
            <w:pPr>
              <w:ind w:firstLineChars="400" w:firstLine="840"/>
              <w:rPr>
                <w:rFonts w:hint="eastAsia"/>
                <w:color w:val="000000" w:themeColor="text1"/>
                <w:sz w:val="21"/>
                <w:szCs w:val="21"/>
              </w:rPr>
            </w:pPr>
            <w:r>
              <w:rPr>
                <w:rFonts w:hint="eastAsia"/>
                <w:color w:val="000000" w:themeColor="text1"/>
                <w:sz w:val="21"/>
                <w:szCs w:val="21"/>
              </w:rPr>
              <w:t>应收股利</w:t>
            </w:r>
          </w:p>
        </w:tc>
        <w:tc>
          <w:tcPr>
            <w:tcW w:w="515" w:type="pct"/>
            <w:tcBorders>
              <w:top w:val="outset" w:sz="6" w:space="0" w:color="auto"/>
              <w:left w:val="outset" w:sz="6" w:space="0" w:color="auto"/>
              <w:bottom w:val="outset" w:sz="6" w:space="0" w:color="auto"/>
              <w:right w:val="outset" w:sz="6" w:space="0" w:color="auto"/>
            </w:tcBorders>
            <w:vAlign w:val="center"/>
          </w:tcPr>
          <w:p w14:paraId="3E42B14C"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1F9892FE"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3B4BE0B5" w14:textId="77777777" w:rsidR="002D0AE7" w:rsidRDefault="002D0AE7">
            <w:pPr>
              <w:jc w:val="right"/>
              <w:rPr>
                <w:rFonts w:ascii="Times New Roman" w:hAnsi="Times New Roman" w:cs="Times New Roman"/>
                <w:sz w:val="21"/>
                <w:szCs w:val="21"/>
              </w:rPr>
            </w:pPr>
          </w:p>
        </w:tc>
      </w:tr>
      <w:tr w:rsidR="002D0AE7" w14:paraId="15A80713"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19167EF7"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买入返售金融资产</w:t>
            </w:r>
          </w:p>
        </w:tc>
        <w:tc>
          <w:tcPr>
            <w:tcW w:w="515" w:type="pct"/>
            <w:tcBorders>
              <w:top w:val="outset" w:sz="6" w:space="0" w:color="auto"/>
              <w:left w:val="outset" w:sz="6" w:space="0" w:color="auto"/>
              <w:bottom w:val="outset" w:sz="6" w:space="0" w:color="auto"/>
              <w:right w:val="outset" w:sz="6" w:space="0" w:color="auto"/>
            </w:tcBorders>
            <w:vAlign w:val="center"/>
          </w:tcPr>
          <w:p w14:paraId="0F1183A7"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2DF460CE"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13328F16" w14:textId="77777777" w:rsidR="002D0AE7" w:rsidRDefault="002D0AE7">
            <w:pPr>
              <w:jc w:val="right"/>
              <w:rPr>
                <w:rFonts w:ascii="Times New Roman" w:hAnsi="Times New Roman" w:cs="Times New Roman"/>
                <w:sz w:val="21"/>
                <w:szCs w:val="21"/>
              </w:rPr>
            </w:pPr>
          </w:p>
        </w:tc>
      </w:tr>
      <w:tr w:rsidR="002D0AE7" w14:paraId="4B516D85"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6A2433B3"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存货</w:t>
            </w:r>
          </w:p>
        </w:tc>
        <w:tc>
          <w:tcPr>
            <w:tcW w:w="515" w:type="pct"/>
            <w:tcBorders>
              <w:top w:val="outset" w:sz="6" w:space="0" w:color="auto"/>
              <w:left w:val="outset" w:sz="6" w:space="0" w:color="auto"/>
              <w:bottom w:val="outset" w:sz="6" w:space="0" w:color="auto"/>
              <w:right w:val="outset" w:sz="6" w:space="0" w:color="auto"/>
            </w:tcBorders>
            <w:vAlign w:val="center"/>
          </w:tcPr>
          <w:p w14:paraId="09E04507" w14:textId="77777777" w:rsidR="002D0AE7" w:rsidRDefault="00333EBB">
            <w:pPr>
              <w:rPr>
                <w:rFonts w:hint="eastAsia"/>
                <w:sz w:val="21"/>
                <w:szCs w:val="21"/>
              </w:rPr>
            </w:pPr>
            <w:r>
              <w:rPr>
                <w:rFonts w:hint="eastAsia"/>
                <w:sz w:val="21"/>
                <w:szCs w:val="21"/>
              </w:rPr>
              <w:t>七、</w:t>
            </w:r>
            <w:r>
              <w:rPr>
                <w:sz w:val="21"/>
                <w:szCs w:val="21"/>
              </w:rPr>
              <w:t>6</w:t>
            </w:r>
          </w:p>
        </w:tc>
        <w:tc>
          <w:tcPr>
            <w:tcW w:w="1030" w:type="pct"/>
            <w:tcBorders>
              <w:top w:val="outset" w:sz="6" w:space="0" w:color="auto"/>
              <w:left w:val="outset" w:sz="6" w:space="0" w:color="auto"/>
              <w:bottom w:val="outset" w:sz="6" w:space="0" w:color="auto"/>
              <w:right w:val="outset" w:sz="6" w:space="0" w:color="auto"/>
            </w:tcBorders>
            <w:vAlign w:val="center"/>
          </w:tcPr>
          <w:p w14:paraId="7BC4DFB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795,589,493.06</w:t>
            </w:r>
          </w:p>
        </w:tc>
        <w:tc>
          <w:tcPr>
            <w:tcW w:w="1026" w:type="pct"/>
            <w:tcBorders>
              <w:top w:val="outset" w:sz="6" w:space="0" w:color="auto"/>
              <w:left w:val="outset" w:sz="6" w:space="0" w:color="auto"/>
              <w:bottom w:val="outset" w:sz="6" w:space="0" w:color="auto"/>
              <w:right w:val="outset" w:sz="6" w:space="0" w:color="auto"/>
            </w:tcBorders>
            <w:vAlign w:val="center"/>
          </w:tcPr>
          <w:p w14:paraId="4AC6E52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725,581,181.43</w:t>
            </w:r>
          </w:p>
        </w:tc>
      </w:tr>
      <w:tr w:rsidR="002D0AE7" w14:paraId="15E2C88F"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0DE3602F" w14:textId="77777777" w:rsidR="002D0AE7" w:rsidRDefault="00333EBB">
            <w:pPr>
              <w:rPr>
                <w:rFonts w:hint="eastAsia"/>
                <w:color w:val="000000" w:themeColor="text1"/>
                <w:sz w:val="21"/>
                <w:szCs w:val="21"/>
              </w:rPr>
            </w:pPr>
            <w:r>
              <w:rPr>
                <w:rFonts w:hint="eastAsia"/>
                <w:color w:val="000000" w:themeColor="text1"/>
                <w:sz w:val="21"/>
                <w:szCs w:val="21"/>
              </w:rPr>
              <w:t>其中：数据资源</w:t>
            </w:r>
          </w:p>
        </w:tc>
        <w:tc>
          <w:tcPr>
            <w:tcW w:w="515" w:type="pct"/>
            <w:tcBorders>
              <w:top w:val="outset" w:sz="6" w:space="0" w:color="auto"/>
              <w:left w:val="outset" w:sz="6" w:space="0" w:color="auto"/>
              <w:bottom w:val="outset" w:sz="6" w:space="0" w:color="auto"/>
              <w:right w:val="outset" w:sz="6" w:space="0" w:color="auto"/>
            </w:tcBorders>
            <w:vAlign w:val="center"/>
          </w:tcPr>
          <w:p w14:paraId="66EDAEE2"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475AFCB4"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089D4EC0" w14:textId="77777777" w:rsidR="002D0AE7" w:rsidRDefault="002D0AE7">
            <w:pPr>
              <w:jc w:val="right"/>
              <w:rPr>
                <w:rFonts w:ascii="Times New Roman" w:hAnsi="Times New Roman" w:cs="Times New Roman"/>
                <w:sz w:val="21"/>
                <w:szCs w:val="21"/>
              </w:rPr>
            </w:pPr>
          </w:p>
        </w:tc>
      </w:tr>
      <w:tr w:rsidR="002D0AE7" w14:paraId="18632308"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3834E141"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合同资产</w:t>
            </w:r>
          </w:p>
        </w:tc>
        <w:tc>
          <w:tcPr>
            <w:tcW w:w="515" w:type="pct"/>
            <w:tcBorders>
              <w:top w:val="outset" w:sz="6" w:space="0" w:color="auto"/>
              <w:left w:val="outset" w:sz="6" w:space="0" w:color="auto"/>
              <w:bottom w:val="outset" w:sz="6" w:space="0" w:color="auto"/>
              <w:right w:val="outset" w:sz="6" w:space="0" w:color="auto"/>
            </w:tcBorders>
            <w:vAlign w:val="center"/>
          </w:tcPr>
          <w:p w14:paraId="5FB24324"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54C6B5B0"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6634F335" w14:textId="77777777" w:rsidR="002D0AE7" w:rsidRDefault="002D0AE7">
            <w:pPr>
              <w:jc w:val="right"/>
              <w:rPr>
                <w:rFonts w:ascii="Times New Roman" w:hAnsi="Times New Roman" w:cs="Times New Roman"/>
                <w:sz w:val="21"/>
                <w:szCs w:val="21"/>
              </w:rPr>
            </w:pPr>
          </w:p>
        </w:tc>
      </w:tr>
      <w:tr w:rsidR="002D0AE7" w14:paraId="00FA25D3"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2E43972A"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持有待售资产</w:t>
            </w:r>
          </w:p>
        </w:tc>
        <w:tc>
          <w:tcPr>
            <w:tcW w:w="515" w:type="pct"/>
            <w:tcBorders>
              <w:top w:val="outset" w:sz="6" w:space="0" w:color="auto"/>
              <w:left w:val="outset" w:sz="6" w:space="0" w:color="auto"/>
              <w:bottom w:val="outset" w:sz="6" w:space="0" w:color="auto"/>
              <w:right w:val="outset" w:sz="6" w:space="0" w:color="auto"/>
            </w:tcBorders>
            <w:vAlign w:val="center"/>
          </w:tcPr>
          <w:p w14:paraId="720AF501"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296623E5"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4E7BDDD5" w14:textId="77777777" w:rsidR="002D0AE7" w:rsidRDefault="002D0AE7">
            <w:pPr>
              <w:jc w:val="right"/>
              <w:rPr>
                <w:rFonts w:ascii="Times New Roman" w:hAnsi="Times New Roman" w:cs="Times New Roman"/>
                <w:sz w:val="21"/>
                <w:szCs w:val="21"/>
              </w:rPr>
            </w:pPr>
          </w:p>
        </w:tc>
      </w:tr>
      <w:tr w:rsidR="002D0AE7" w14:paraId="7E691097"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1789C348"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一年内到期的非流动资产</w:t>
            </w:r>
          </w:p>
        </w:tc>
        <w:tc>
          <w:tcPr>
            <w:tcW w:w="515" w:type="pct"/>
            <w:tcBorders>
              <w:top w:val="outset" w:sz="6" w:space="0" w:color="auto"/>
              <w:left w:val="outset" w:sz="6" w:space="0" w:color="auto"/>
              <w:bottom w:val="outset" w:sz="6" w:space="0" w:color="auto"/>
              <w:right w:val="outset" w:sz="6" w:space="0" w:color="auto"/>
            </w:tcBorders>
            <w:vAlign w:val="center"/>
          </w:tcPr>
          <w:p w14:paraId="1B155A68"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1D39FE12"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54D4AFCC" w14:textId="77777777" w:rsidR="002D0AE7" w:rsidRDefault="002D0AE7">
            <w:pPr>
              <w:jc w:val="right"/>
              <w:rPr>
                <w:rFonts w:ascii="Times New Roman" w:hAnsi="Times New Roman" w:cs="Times New Roman"/>
                <w:sz w:val="21"/>
                <w:szCs w:val="21"/>
              </w:rPr>
            </w:pPr>
          </w:p>
        </w:tc>
      </w:tr>
      <w:tr w:rsidR="002D0AE7" w14:paraId="19577F20"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1FAE7388"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其他流动资产</w:t>
            </w:r>
          </w:p>
        </w:tc>
        <w:tc>
          <w:tcPr>
            <w:tcW w:w="515" w:type="pct"/>
            <w:tcBorders>
              <w:top w:val="outset" w:sz="6" w:space="0" w:color="auto"/>
              <w:left w:val="outset" w:sz="6" w:space="0" w:color="auto"/>
              <w:bottom w:val="outset" w:sz="6" w:space="0" w:color="auto"/>
              <w:right w:val="outset" w:sz="6" w:space="0" w:color="auto"/>
            </w:tcBorders>
            <w:vAlign w:val="center"/>
          </w:tcPr>
          <w:p w14:paraId="0292F9DB" w14:textId="77777777" w:rsidR="002D0AE7" w:rsidRDefault="00333EBB">
            <w:pPr>
              <w:rPr>
                <w:rFonts w:hint="eastAsia"/>
                <w:sz w:val="21"/>
                <w:szCs w:val="21"/>
              </w:rPr>
            </w:pPr>
            <w:r>
              <w:rPr>
                <w:rFonts w:hint="eastAsia"/>
                <w:sz w:val="21"/>
                <w:szCs w:val="21"/>
              </w:rPr>
              <w:t>七、</w:t>
            </w:r>
            <w:r>
              <w:rPr>
                <w:sz w:val="21"/>
                <w:szCs w:val="21"/>
              </w:rPr>
              <w:t>7</w:t>
            </w:r>
          </w:p>
        </w:tc>
        <w:tc>
          <w:tcPr>
            <w:tcW w:w="1030" w:type="pct"/>
            <w:tcBorders>
              <w:top w:val="outset" w:sz="6" w:space="0" w:color="auto"/>
              <w:left w:val="outset" w:sz="6" w:space="0" w:color="auto"/>
              <w:bottom w:val="outset" w:sz="6" w:space="0" w:color="auto"/>
              <w:right w:val="outset" w:sz="6" w:space="0" w:color="auto"/>
            </w:tcBorders>
            <w:vAlign w:val="center"/>
          </w:tcPr>
          <w:p w14:paraId="5B880B0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4,554,102.63</w:t>
            </w:r>
          </w:p>
        </w:tc>
        <w:tc>
          <w:tcPr>
            <w:tcW w:w="1026" w:type="pct"/>
            <w:tcBorders>
              <w:top w:val="outset" w:sz="6" w:space="0" w:color="auto"/>
              <w:left w:val="outset" w:sz="6" w:space="0" w:color="auto"/>
              <w:bottom w:val="outset" w:sz="6" w:space="0" w:color="auto"/>
              <w:right w:val="outset" w:sz="6" w:space="0" w:color="auto"/>
            </w:tcBorders>
            <w:vAlign w:val="center"/>
          </w:tcPr>
          <w:p w14:paraId="0D1C7F9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6,941,189.99</w:t>
            </w:r>
          </w:p>
        </w:tc>
      </w:tr>
      <w:tr w:rsidR="002D0AE7" w14:paraId="294908F8"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4CB4BC1A"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流动资产合计</w:t>
            </w:r>
          </w:p>
        </w:tc>
        <w:tc>
          <w:tcPr>
            <w:tcW w:w="515" w:type="pct"/>
            <w:tcBorders>
              <w:top w:val="outset" w:sz="6" w:space="0" w:color="auto"/>
              <w:left w:val="outset" w:sz="6" w:space="0" w:color="auto"/>
              <w:bottom w:val="outset" w:sz="6" w:space="0" w:color="auto"/>
              <w:right w:val="outset" w:sz="6" w:space="0" w:color="auto"/>
            </w:tcBorders>
            <w:vAlign w:val="center"/>
          </w:tcPr>
          <w:p w14:paraId="4CA1043E"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582C8D5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2,171,328,223.21</w:t>
            </w:r>
          </w:p>
        </w:tc>
        <w:tc>
          <w:tcPr>
            <w:tcW w:w="1026" w:type="pct"/>
            <w:tcBorders>
              <w:top w:val="outset" w:sz="6" w:space="0" w:color="auto"/>
              <w:left w:val="outset" w:sz="6" w:space="0" w:color="auto"/>
              <w:bottom w:val="outset" w:sz="6" w:space="0" w:color="auto"/>
              <w:right w:val="outset" w:sz="6" w:space="0" w:color="auto"/>
            </w:tcBorders>
            <w:vAlign w:val="center"/>
          </w:tcPr>
          <w:p w14:paraId="40376C7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2,108,068,217.65</w:t>
            </w:r>
          </w:p>
        </w:tc>
      </w:tr>
      <w:tr w:rsidR="002D0AE7" w14:paraId="31CE7262" w14:textId="77777777">
        <w:trPr>
          <w:jc w:val="center"/>
        </w:trPr>
        <w:sdt>
          <w:sdtPr>
            <w:rPr>
              <w:color w:val="000000" w:themeColor="text1"/>
              <w:sz w:val="21"/>
              <w:szCs w:val="21"/>
            </w:rPr>
            <w:tag w:val="_PLD_66ac6acc14e74939b5cc43190a3afd2b"/>
            <w:id w:val="-411779711"/>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71E9CF9B" w14:textId="77777777" w:rsidR="002D0AE7" w:rsidRDefault="00333EBB">
                <w:pPr>
                  <w:rPr>
                    <w:rFonts w:hint="eastAsia"/>
                    <w:color w:val="000000" w:themeColor="text1"/>
                    <w:sz w:val="21"/>
                    <w:szCs w:val="21"/>
                  </w:rPr>
                </w:pPr>
                <w:r>
                  <w:rPr>
                    <w:rFonts w:hint="eastAsia"/>
                    <w:b/>
                    <w:color w:val="000000" w:themeColor="text1"/>
                    <w:sz w:val="21"/>
                    <w:szCs w:val="21"/>
                  </w:rPr>
                  <w:t>非流动资产：</w:t>
                </w:r>
              </w:p>
            </w:tc>
          </w:sdtContent>
        </w:sdt>
      </w:tr>
      <w:tr w:rsidR="002D0AE7" w14:paraId="25E48834"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5806E3DB"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发放贷款和垫款</w:t>
            </w:r>
          </w:p>
        </w:tc>
        <w:tc>
          <w:tcPr>
            <w:tcW w:w="515" w:type="pct"/>
            <w:tcBorders>
              <w:top w:val="outset" w:sz="6" w:space="0" w:color="auto"/>
              <w:left w:val="outset" w:sz="6" w:space="0" w:color="auto"/>
              <w:bottom w:val="outset" w:sz="6" w:space="0" w:color="auto"/>
              <w:right w:val="outset" w:sz="6" w:space="0" w:color="auto"/>
            </w:tcBorders>
            <w:vAlign w:val="center"/>
          </w:tcPr>
          <w:p w14:paraId="1B6022A0"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521D1456"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40A21AA2" w14:textId="77777777" w:rsidR="002D0AE7" w:rsidRDefault="002D0AE7">
            <w:pPr>
              <w:jc w:val="right"/>
              <w:rPr>
                <w:rFonts w:ascii="Times New Roman" w:hAnsi="Times New Roman" w:cs="Times New Roman"/>
                <w:sz w:val="21"/>
                <w:szCs w:val="21"/>
              </w:rPr>
            </w:pPr>
          </w:p>
        </w:tc>
      </w:tr>
      <w:tr w:rsidR="002D0AE7" w14:paraId="5B1327F7"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4B49F414"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债权投资</w:t>
            </w:r>
          </w:p>
        </w:tc>
        <w:tc>
          <w:tcPr>
            <w:tcW w:w="515" w:type="pct"/>
            <w:tcBorders>
              <w:top w:val="outset" w:sz="6" w:space="0" w:color="auto"/>
              <w:left w:val="outset" w:sz="6" w:space="0" w:color="auto"/>
              <w:bottom w:val="outset" w:sz="6" w:space="0" w:color="auto"/>
              <w:right w:val="outset" w:sz="6" w:space="0" w:color="auto"/>
            </w:tcBorders>
            <w:vAlign w:val="center"/>
          </w:tcPr>
          <w:p w14:paraId="6F257E27"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0C6584AC"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2D9F808B" w14:textId="77777777" w:rsidR="002D0AE7" w:rsidRDefault="002D0AE7">
            <w:pPr>
              <w:jc w:val="right"/>
              <w:rPr>
                <w:rFonts w:ascii="Times New Roman" w:hAnsi="Times New Roman" w:cs="Times New Roman"/>
                <w:sz w:val="21"/>
                <w:szCs w:val="21"/>
              </w:rPr>
            </w:pPr>
          </w:p>
        </w:tc>
      </w:tr>
      <w:tr w:rsidR="002D0AE7" w14:paraId="0EA4CB94"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08F115E9"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其他债权投资</w:t>
            </w:r>
          </w:p>
        </w:tc>
        <w:tc>
          <w:tcPr>
            <w:tcW w:w="515" w:type="pct"/>
            <w:tcBorders>
              <w:top w:val="outset" w:sz="6" w:space="0" w:color="auto"/>
              <w:left w:val="outset" w:sz="6" w:space="0" w:color="auto"/>
              <w:bottom w:val="outset" w:sz="6" w:space="0" w:color="auto"/>
              <w:right w:val="outset" w:sz="6" w:space="0" w:color="auto"/>
            </w:tcBorders>
            <w:vAlign w:val="center"/>
          </w:tcPr>
          <w:p w14:paraId="23E243B1"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3A4BB20C"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04FA3A8C" w14:textId="77777777" w:rsidR="002D0AE7" w:rsidRDefault="002D0AE7">
            <w:pPr>
              <w:jc w:val="right"/>
              <w:rPr>
                <w:rFonts w:ascii="Times New Roman" w:hAnsi="Times New Roman" w:cs="Times New Roman"/>
                <w:sz w:val="21"/>
                <w:szCs w:val="21"/>
              </w:rPr>
            </w:pPr>
          </w:p>
        </w:tc>
      </w:tr>
      <w:tr w:rsidR="002D0AE7" w14:paraId="65806096"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6322A183"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长期应收款</w:t>
            </w:r>
          </w:p>
        </w:tc>
        <w:tc>
          <w:tcPr>
            <w:tcW w:w="515" w:type="pct"/>
            <w:tcBorders>
              <w:top w:val="outset" w:sz="6" w:space="0" w:color="auto"/>
              <w:left w:val="outset" w:sz="6" w:space="0" w:color="auto"/>
              <w:bottom w:val="outset" w:sz="6" w:space="0" w:color="auto"/>
              <w:right w:val="outset" w:sz="6" w:space="0" w:color="auto"/>
            </w:tcBorders>
            <w:vAlign w:val="center"/>
          </w:tcPr>
          <w:p w14:paraId="429B19FF"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53412BB2"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06362043" w14:textId="77777777" w:rsidR="002D0AE7" w:rsidRDefault="002D0AE7">
            <w:pPr>
              <w:jc w:val="right"/>
              <w:rPr>
                <w:rFonts w:ascii="Times New Roman" w:hAnsi="Times New Roman" w:cs="Times New Roman"/>
                <w:sz w:val="21"/>
                <w:szCs w:val="21"/>
              </w:rPr>
            </w:pPr>
          </w:p>
        </w:tc>
      </w:tr>
      <w:tr w:rsidR="002D0AE7" w14:paraId="65EDF707"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090647D1"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长期股权投资</w:t>
            </w:r>
          </w:p>
        </w:tc>
        <w:tc>
          <w:tcPr>
            <w:tcW w:w="515" w:type="pct"/>
            <w:tcBorders>
              <w:top w:val="outset" w:sz="6" w:space="0" w:color="auto"/>
              <w:left w:val="outset" w:sz="6" w:space="0" w:color="auto"/>
              <w:bottom w:val="outset" w:sz="6" w:space="0" w:color="auto"/>
              <w:right w:val="outset" w:sz="6" w:space="0" w:color="auto"/>
            </w:tcBorders>
            <w:vAlign w:val="center"/>
          </w:tcPr>
          <w:p w14:paraId="50FDD0ED" w14:textId="77777777" w:rsidR="002D0AE7" w:rsidRDefault="00333EBB">
            <w:pPr>
              <w:rPr>
                <w:rFonts w:hint="eastAsia"/>
                <w:sz w:val="21"/>
                <w:szCs w:val="21"/>
              </w:rPr>
            </w:pPr>
            <w:r>
              <w:rPr>
                <w:rFonts w:hint="eastAsia"/>
                <w:sz w:val="21"/>
                <w:szCs w:val="21"/>
              </w:rPr>
              <w:t>七、</w:t>
            </w:r>
            <w:r>
              <w:rPr>
                <w:sz w:val="21"/>
                <w:szCs w:val="21"/>
              </w:rPr>
              <w:t>8</w:t>
            </w:r>
          </w:p>
        </w:tc>
        <w:tc>
          <w:tcPr>
            <w:tcW w:w="1030" w:type="pct"/>
            <w:tcBorders>
              <w:top w:val="outset" w:sz="6" w:space="0" w:color="auto"/>
              <w:left w:val="outset" w:sz="6" w:space="0" w:color="auto"/>
              <w:bottom w:val="outset" w:sz="6" w:space="0" w:color="auto"/>
              <w:right w:val="outset" w:sz="6" w:space="0" w:color="auto"/>
            </w:tcBorders>
            <w:vAlign w:val="center"/>
          </w:tcPr>
          <w:p w14:paraId="3444F03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23,531,110.51</w:t>
            </w:r>
          </w:p>
        </w:tc>
        <w:tc>
          <w:tcPr>
            <w:tcW w:w="1026" w:type="pct"/>
            <w:tcBorders>
              <w:top w:val="outset" w:sz="6" w:space="0" w:color="auto"/>
              <w:left w:val="outset" w:sz="6" w:space="0" w:color="auto"/>
              <w:bottom w:val="outset" w:sz="6" w:space="0" w:color="auto"/>
              <w:right w:val="outset" w:sz="6" w:space="0" w:color="auto"/>
            </w:tcBorders>
            <w:vAlign w:val="center"/>
          </w:tcPr>
          <w:p w14:paraId="53BF1DF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22,317,200.81</w:t>
            </w:r>
          </w:p>
        </w:tc>
      </w:tr>
      <w:tr w:rsidR="002D0AE7" w14:paraId="0B216FAE"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752AC75E"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其他权益工具投资</w:t>
            </w:r>
          </w:p>
        </w:tc>
        <w:tc>
          <w:tcPr>
            <w:tcW w:w="515" w:type="pct"/>
            <w:tcBorders>
              <w:top w:val="outset" w:sz="6" w:space="0" w:color="auto"/>
              <w:left w:val="outset" w:sz="6" w:space="0" w:color="auto"/>
              <w:bottom w:val="outset" w:sz="6" w:space="0" w:color="auto"/>
              <w:right w:val="outset" w:sz="6" w:space="0" w:color="auto"/>
            </w:tcBorders>
            <w:vAlign w:val="center"/>
          </w:tcPr>
          <w:p w14:paraId="052F5CB6" w14:textId="77777777" w:rsidR="002D0AE7" w:rsidRDefault="00333EBB">
            <w:pPr>
              <w:rPr>
                <w:rFonts w:hint="eastAsia"/>
                <w:sz w:val="21"/>
                <w:szCs w:val="21"/>
              </w:rPr>
            </w:pPr>
            <w:r>
              <w:rPr>
                <w:rFonts w:hint="eastAsia"/>
                <w:sz w:val="21"/>
                <w:szCs w:val="21"/>
              </w:rPr>
              <w:t>七、</w:t>
            </w:r>
            <w:r>
              <w:rPr>
                <w:sz w:val="21"/>
                <w:szCs w:val="21"/>
              </w:rPr>
              <w:t>9</w:t>
            </w:r>
          </w:p>
        </w:tc>
        <w:tc>
          <w:tcPr>
            <w:tcW w:w="1030" w:type="pct"/>
            <w:tcBorders>
              <w:top w:val="outset" w:sz="6" w:space="0" w:color="auto"/>
              <w:left w:val="outset" w:sz="6" w:space="0" w:color="auto"/>
              <w:bottom w:val="outset" w:sz="6" w:space="0" w:color="auto"/>
              <w:right w:val="outset" w:sz="6" w:space="0" w:color="auto"/>
            </w:tcBorders>
            <w:vAlign w:val="center"/>
          </w:tcPr>
          <w:p w14:paraId="0504537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144,820,791.38</w:t>
            </w:r>
          </w:p>
        </w:tc>
        <w:tc>
          <w:tcPr>
            <w:tcW w:w="1026" w:type="pct"/>
            <w:tcBorders>
              <w:top w:val="outset" w:sz="6" w:space="0" w:color="auto"/>
              <w:left w:val="outset" w:sz="6" w:space="0" w:color="auto"/>
              <w:bottom w:val="outset" w:sz="6" w:space="0" w:color="auto"/>
              <w:right w:val="outset" w:sz="6" w:space="0" w:color="auto"/>
            </w:tcBorders>
            <w:vAlign w:val="center"/>
          </w:tcPr>
          <w:p w14:paraId="1202A93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141,884,928.83</w:t>
            </w:r>
          </w:p>
        </w:tc>
      </w:tr>
      <w:tr w:rsidR="002D0AE7" w14:paraId="4DD4F38F"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1CC62680"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其他非流动金融资产</w:t>
            </w:r>
          </w:p>
        </w:tc>
        <w:tc>
          <w:tcPr>
            <w:tcW w:w="515" w:type="pct"/>
            <w:tcBorders>
              <w:top w:val="outset" w:sz="6" w:space="0" w:color="auto"/>
              <w:left w:val="outset" w:sz="6" w:space="0" w:color="auto"/>
              <w:bottom w:val="outset" w:sz="6" w:space="0" w:color="auto"/>
              <w:right w:val="outset" w:sz="6" w:space="0" w:color="auto"/>
            </w:tcBorders>
            <w:vAlign w:val="center"/>
          </w:tcPr>
          <w:p w14:paraId="78BFD07E"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71AE635D"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4A26CEB6" w14:textId="77777777" w:rsidR="002D0AE7" w:rsidRDefault="002D0AE7">
            <w:pPr>
              <w:jc w:val="right"/>
              <w:rPr>
                <w:rFonts w:ascii="Times New Roman" w:hAnsi="Times New Roman" w:cs="Times New Roman"/>
                <w:sz w:val="21"/>
                <w:szCs w:val="21"/>
              </w:rPr>
            </w:pPr>
          </w:p>
        </w:tc>
      </w:tr>
      <w:tr w:rsidR="002D0AE7" w14:paraId="1327A1B5"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7D908DD0"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投资性房地产</w:t>
            </w:r>
          </w:p>
        </w:tc>
        <w:tc>
          <w:tcPr>
            <w:tcW w:w="515" w:type="pct"/>
            <w:tcBorders>
              <w:top w:val="outset" w:sz="6" w:space="0" w:color="auto"/>
              <w:left w:val="outset" w:sz="6" w:space="0" w:color="auto"/>
              <w:bottom w:val="outset" w:sz="6" w:space="0" w:color="auto"/>
              <w:right w:val="outset" w:sz="6" w:space="0" w:color="auto"/>
            </w:tcBorders>
            <w:vAlign w:val="center"/>
          </w:tcPr>
          <w:p w14:paraId="2D9D4EBD"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06E26AFA"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372EA2C8" w14:textId="77777777" w:rsidR="002D0AE7" w:rsidRDefault="002D0AE7">
            <w:pPr>
              <w:jc w:val="right"/>
              <w:rPr>
                <w:rFonts w:ascii="Times New Roman" w:hAnsi="Times New Roman" w:cs="Times New Roman"/>
                <w:sz w:val="21"/>
                <w:szCs w:val="21"/>
              </w:rPr>
            </w:pPr>
          </w:p>
        </w:tc>
      </w:tr>
      <w:tr w:rsidR="002D0AE7" w14:paraId="6DD6B1F1"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7273686E"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固定资产</w:t>
            </w:r>
          </w:p>
        </w:tc>
        <w:tc>
          <w:tcPr>
            <w:tcW w:w="515" w:type="pct"/>
            <w:tcBorders>
              <w:top w:val="outset" w:sz="6" w:space="0" w:color="auto"/>
              <w:left w:val="outset" w:sz="6" w:space="0" w:color="auto"/>
              <w:bottom w:val="outset" w:sz="6" w:space="0" w:color="auto"/>
              <w:right w:val="outset" w:sz="6" w:space="0" w:color="auto"/>
            </w:tcBorders>
            <w:vAlign w:val="center"/>
          </w:tcPr>
          <w:p w14:paraId="507A2F55" w14:textId="77777777" w:rsidR="002D0AE7" w:rsidRDefault="00333EBB">
            <w:pPr>
              <w:rPr>
                <w:rFonts w:hint="eastAsia"/>
                <w:sz w:val="21"/>
                <w:szCs w:val="21"/>
              </w:rPr>
            </w:pPr>
            <w:r>
              <w:rPr>
                <w:rFonts w:hint="eastAsia"/>
                <w:sz w:val="21"/>
                <w:szCs w:val="21"/>
              </w:rPr>
              <w:t>七、</w:t>
            </w:r>
            <w:r>
              <w:rPr>
                <w:rFonts w:hint="eastAsia"/>
                <w:sz w:val="21"/>
                <w:szCs w:val="21"/>
              </w:rPr>
              <w:t>1</w:t>
            </w:r>
            <w:r>
              <w:rPr>
                <w:sz w:val="21"/>
                <w:szCs w:val="21"/>
              </w:rPr>
              <w:t>0</w:t>
            </w:r>
          </w:p>
        </w:tc>
        <w:tc>
          <w:tcPr>
            <w:tcW w:w="1030" w:type="pct"/>
            <w:tcBorders>
              <w:top w:val="outset" w:sz="6" w:space="0" w:color="auto"/>
              <w:left w:val="outset" w:sz="6" w:space="0" w:color="auto"/>
              <w:bottom w:val="outset" w:sz="6" w:space="0" w:color="auto"/>
              <w:right w:val="outset" w:sz="6" w:space="0" w:color="auto"/>
            </w:tcBorders>
            <w:vAlign w:val="center"/>
          </w:tcPr>
          <w:p w14:paraId="7A76B4F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2,915,911,896.21</w:t>
            </w:r>
          </w:p>
        </w:tc>
        <w:tc>
          <w:tcPr>
            <w:tcW w:w="1026" w:type="pct"/>
            <w:tcBorders>
              <w:top w:val="outset" w:sz="6" w:space="0" w:color="auto"/>
              <w:left w:val="outset" w:sz="6" w:space="0" w:color="auto"/>
              <w:bottom w:val="outset" w:sz="6" w:space="0" w:color="auto"/>
              <w:right w:val="outset" w:sz="6" w:space="0" w:color="auto"/>
            </w:tcBorders>
            <w:vAlign w:val="center"/>
          </w:tcPr>
          <w:p w14:paraId="3708F61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3,034,612,195.93</w:t>
            </w:r>
          </w:p>
        </w:tc>
      </w:tr>
      <w:tr w:rsidR="002D0AE7" w14:paraId="59D3D45F"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60754A9B"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在建工程</w:t>
            </w:r>
          </w:p>
        </w:tc>
        <w:tc>
          <w:tcPr>
            <w:tcW w:w="515" w:type="pct"/>
            <w:tcBorders>
              <w:top w:val="outset" w:sz="6" w:space="0" w:color="auto"/>
              <w:left w:val="outset" w:sz="6" w:space="0" w:color="auto"/>
              <w:bottom w:val="outset" w:sz="6" w:space="0" w:color="auto"/>
              <w:right w:val="outset" w:sz="6" w:space="0" w:color="auto"/>
            </w:tcBorders>
            <w:vAlign w:val="center"/>
          </w:tcPr>
          <w:p w14:paraId="0EBC176B" w14:textId="77777777" w:rsidR="002D0AE7" w:rsidRDefault="00333EBB">
            <w:pPr>
              <w:rPr>
                <w:rFonts w:hint="eastAsia"/>
                <w:sz w:val="21"/>
                <w:szCs w:val="21"/>
              </w:rPr>
            </w:pPr>
            <w:r>
              <w:rPr>
                <w:rFonts w:hint="eastAsia"/>
                <w:sz w:val="21"/>
                <w:szCs w:val="21"/>
              </w:rPr>
              <w:t>七、</w:t>
            </w:r>
            <w:r>
              <w:rPr>
                <w:rFonts w:hint="eastAsia"/>
                <w:sz w:val="21"/>
                <w:szCs w:val="21"/>
              </w:rPr>
              <w:t>1</w:t>
            </w:r>
            <w:r>
              <w:rPr>
                <w:sz w:val="21"/>
                <w:szCs w:val="21"/>
              </w:rPr>
              <w:t>1</w:t>
            </w:r>
          </w:p>
        </w:tc>
        <w:tc>
          <w:tcPr>
            <w:tcW w:w="1030" w:type="pct"/>
            <w:tcBorders>
              <w:top w:val="outset" w:sz="6" w:space="0" w:color="auto"/>
              <w:left w:val="outset" w:sz="6" w:space="0" w:color="auto"/>
              <w:bottom w:val="outset" w:sz="6" w:space="0" w:color="auto"/>
              <w:right w:val="outset" w:sz="6" w:space="0" w:color="auto"/>
            </w:tcBorders>
            <w:vAlign w:val="center"/>
          </w:tcPr>
          <w:p w14:paraId="60DB280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35,368,063.79</w:t>
            </w:r>
          </w:p>
        </w:tc>
        <w:tc>
          <w:tcPr>
            <w:tcW w:w="1026" w:type="pct"/>
            <w:tcBorders>
              <w:top w:val="outset" w:sz="6" w:space="0" w:color="auto"/>
              <w:left w:val="outset" w:sz="6" w:space="0" w:color="auto"/>
              <w:bottom w:val="outset" w:sz="6" w:space="0" w:color="auto"/>
              <w:right w:val="outset" w:sz="6" w:space="0" w:color="auto"/>
            </w:tcBorders>
            <w:vAlign w:val="center"/>
          </w:tcPr>
          <w:p w14:paraId="529C862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34,440,031.84</w:t>
            </w:r>
          </w:p>
        </w:tc>
      </w:tr>
      <w:tr w:rsidR="002D0AE7" w14:paraId="3845308F"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2E87158F"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生产性生物资产</w:t>
            </w:r>
          </w:p>
        </w:tc>
        <w:tc>
          <w:tcPr>
            <w:tcW w:w="515" w:type="pct"/>
            <w:tcBorders>
              <w:top w:val="outset" w:sz="6" w:space="0" w:color="auto"/>
              <w:left w:val="outset" w:sz="6" w:space="0" w:color="auto"/>
              <w:bottom w:val="outset" w:sz="6" w:space="0" w:color="auto"/>
              <w:right w:val="outset" w:sz="6" w:space="0" w:color="auto"/>
            </w:tcBorders>
            <w:vAlign w:val="center"/>
          </w:tcPr>
          <w:p w14:paraId="0F52C8A6"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75E83688"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68810261" w14:textId="77777777" w:rsidR="002D0AE7" w:rsidRDefault="002D0AE7">
            <w:pPr>
              <w:jc w:val="right"/>
              <w:rPr>
                <w:rFonts w:ascii="Times New Roman" w:hAnsi="Times New Roman" w:cs="Times New Roman"/>
                <w:sz w:val="21"/>
                <w:szCs w:val="21"/>
              </w:rPr>
            </w:pPr>
          </w:p>
        </w:tc>
      </w:tr>
      <w:tr w:rsidR="002D0AE7" w14:paraId="16268433"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5164B850"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lastRenderedPageBreak/>
              <w:t>油气资产</w:t>
            </w:r>
          </w:p>
        </w:tc>
        <w:tc>
          <w:tcPr>
            <w:tcW w:w="515" w:type="pct"/>
            <w:tcBorders>
              <w:top w:val="outset" w:sz="6" w:space="0" w:color="auto"/>
              <w:left w:val="outset" w:sz="6" w:space="0" w:color="auto"/>
              <w:bottom w:val="outset" w:sz="6" w:space="0" w:color="auto"/>
              <w:right w:val="outset" w:sz="6" w:space="0" w:color="auto"/>
            </w:tcBorders>
            <w:vAlign w:val="center"/>
          </w:tcPr>
          <w:p w14:paraId="1FFFB127"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2F3BE1B6"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274ED3F7" w14:textId="77777777" w:rsidR="002D0AE7" w:rsidRDefault="002D0AE7">
            <w:pPr>
              <w:jc w:val="right"/>
              <w:rPr>
                <w:rFonts w:ascii="Times New Roman" w:hAnsi="Times New Roman" w:cs="Times New Roman"/>
                <w:sz w:val="21"/>
                <w:szCs w:val="21"/>
              </w:rPr>
            </w:pPr>
          </w:p>
        </w:tc>
      </w:tr>
      <w:tr w:rsidR="002D0AE7" w14:paraId="6B9C99A2"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5EAA475B"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使用权资产</w:t>
            </w:r>
          </w:p>
        </w:tc>
        <w:tc>
          <w:tcPr>
            <w:tcW w:w="515" w:type="pct"/>
            <w:tcBorders>
              <w:top w:val="outset" w:sz="6" w:space="0" w:color="auto"/>
              <w:left w:val="outset" w:sz="6" w:space="0" w:color="auto"/>
              <w:bottom w:val="outset" w:sz="6" w:space="0" w:color="auto"/>
              <w:right w:val="outset" w:sz="6" w:space="0" w:color="auto"/>
            </w:tcBorders>
            <w:vAlign w:val="center"/>
          </w:tcPr>
          <w:p w14:paraId="45805C0E" w14:textId="77777777" w:rsidR="002D0AE7" w:rsidRDefault="00333EBB">
            <w:pPr>
              <w:rPr>
                <w:rFonts w:hint="eastAsia"/>
                <w:sz w:val="21"/>
                <w:szCs w:val="21"/>
              </w:rPr>
            </w:pPr>
            <w:r>
              <w:rPr>
                <w:rFonts w:hint="eastAsia"/>
                <w:sz w:val="21"/>
                <w:szCs w:val="21"/>
              </w:rPr>
              <w:t>七、</w:t>
            </w:r>
            <w:r>
              <w:rPr>
                <w:rFonts w:hint="eastAsia"/>
                <w:sz w:val="21"/>
                <w:szCs w:val="21"/>
              </w:rPr>
              <w:t>1</w:t>
            </w:r>
            <w:r>
              <w:rPr>
                <w:sz w:val="21"/>
                <w:szCs w:val="21"/>
              </w:rPr>
              <w:t>2</w:t>
            </w:r>
          </w:p>
        </w:tc>
        <w:tc>
          <w:tcPr>
            <w:tcW w:w="1030" w:type="pct"/>
            <w:tcBorders>
              <w:top w:val="outset" w:sz="6" w:space="0" w:color="auto"/>
              <w:left w:val="outset" w:sz="6" w:space="0" w:color="auto"/>
              <w:bottom w:val="outset" w:sz="6" w:space="0" w:color="auto"/>
              <w:right w:val="outset" w:sz="6" w:space="0" w:color="auto"/>
            </w:tcBorders>
            <w:vAlign w:val="center"/>
          </w:tcPr>
          <w:p w14:paraId="6858517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42,285.61</w:t>
            </w:r>
          </w:p>
        </w:tc>
        <w:tc>
          <w:tcPr>
            <w:tcW w:w="1026" w:type="pct"/>
            <w:tcBorders>
              <w:top w:val="outset" w:sz="6" w:space="0" w:color="auto"/>
              <w:left w:val="outset" w:sz="6" w:space="0" w:color="auto"/>
              <w:bottom w:val="outset" w:sz="6" w:space="0" w:color="auto"/>
              <w:right w:val="outset" w:sz="6" w:space="0" w:color="auto"/>
            </w:tcBorders>
            <w:vAlign w:val="center"/>
          </w:tcPr>
          <w:p w14:paraId="1F39130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126,856.85</w:t>
            </w:r>
          </w:p>
        </w:tc>
      </w:tr>
      <w:tr w:rsidR="002D0AE7" w14:paraId="413BED94"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71BED9BA"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无形资产</w:t>
            </w:r>
          </w:p>
        </w:tc>
        <w:tc>
          <w:tcPr>
            <w:tcW w:w="515" w:type="pct"/>
            <w:tcBorders>
              <w:top w:val="outset" w:sz="6" w:space="0" w:color="auto"/>
              <w:left w:val="outset" w:sz="6" w:space="0" w:color="auto"/>
              <w:bottom w:val="outset" w:sz="6" w:space="0" w:color="auto"/>
              <w:right w:val="outset" w:sz="6" w:space="0" w:color="auto"/>
            </w:tcBorders>
            <w:vAlign w:val="center"/>
          </w:tcPr>
          <w:p w14:paraId="41B3BAC4" w14:textId="77777777" w:rsidR="002D0AE7" w:rsidRDefault="00333EBB">
            <w:pPr>
              <w:rPr>
                <w:rFonts w:hint="eastAsia"/>
                <w:sz w:val="21"/>
                <w:szCs w:val="21"/>
              </w:rPr>
            </w:pPr>
            <w:r>
              <w:rPr>
                <w:rFonts w:hint="eastAsia"/>
                <w:sz w:val="21"/>
                <w:szCs w:val="21"/>
              </w:rPr>
              <w:t>七、</w:t>
            </w:r>
            <w:r>
              <w:rPr>
                <w:rFonts w:hint="eastAsia"/>
                <w:sz w:val="21"/>
                <w:szCs w:val="21"/>
              </w:rPr>
              <w:t>1</w:t>
            </w:r>
            <w:r>
              <w:rPr>
                <w:sz w:val="21"/>
                <w:szCs w:val="21"/>
              </w:rPr>
              <w:t>3</w:t>
            </w:r>
          </w:p>
        </w:tc>
        <w:tc>
          <w:tcPr>
            <w:tcW w:w="1030" w:type="pct"/>
            <w:tcBorders>
              <w:top w:val="outset" w:sz="6" w:space="0" w:color="auto"/>
              <w:left w:val="outset" w:sz="6" w:space="0" w:color="auto"/>
              <w:bottom w:val="outset" w:sz="6" w:space="0" w:color="auto"/>
              <w:right w:val="outset" w:sz="6" w:space="0" w:color="auto"/>
            </w:tcBorders>
            <w:vAlign w:val="center"/>
          </w:tcPr>
          <w:p w14:paraId="2710D75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311,993,533.09</w:t>
            </w:r>
          </w:p>
        </w:tc>
        <w:tc>
          <w:tcPr>
            <w:tcW w:w="1026" w:type="pct"/>
            <w:tcBorders>
              <w:top w:val="outset" w:sz="6" w:space="0" w:color="auto"/>
              <w:left w:val="outset" w:sz="6" w:space="0" w:color="auto"/>
              <w:bottom w:val="outset" w:sz="6" w:space="0" w:color="auto"/>
              <w:right w:val="outset" w:sz="6" w:space="0" w:color="auto"/>
            </w:tcBorders>
            <w:vAlign w:val="center"/>
          </w:tcPr>
          <w:p w14:paraId="4C21A17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303,657,566.24</w:t>
            </w:r>
          </w:p>
        </w:tc>
      </w:tr>
      <w:tr w:rsidR="002D0AE7" w14:paraId="1B89C171"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33162C12"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其中：数据资源</w:t>
            </w:r>
          </w:p>
        </w:tc>
        <w:tc>
          <w:tcPr>
            <w:tcW w:w="515" w:type="pct"/>
            <w:tcBorders>
              <w:top w:val="outset" w:sz="6" w:space="0" w:color="auto"/>
              <w:left w:val="outset" w:sz="6" w:space="0" w:color="auto"/>
              <w:bottom w:val="outset" w:sz="6" w:space="0" w:color="auto"/>
              <w:right w:val="outset" w:sz="6" w:space="0" w:color="auto"/>
            </w:tcBorders>
            <w:vAlign w:val="center"/>
          </w:tcPr>
          <w:p w14:paraId="74A57831"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0B00DED9"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3B71E5CD" w14:textId="77777777" w:rsidR="002D0AE7" w:rsidRDefault="002D0AE7">
            <w:pPr>
              <w:jc w:val="right"/>
              <w:rPr>
                <w:rFonts w:ascii="Times New Roman" w:hAnsi="Times New Roman" w:cs="Times New Roman"/>
                <w:sz w:val="21"/>
                <w:szCs w:val="21"/>
              </w:rPr>
            </w:pPr>
          </w:p>
        </w:tc>
      </w:tr>
      <w:tr w:rsidR="002D0AE7" w14:paraId="05B7FD69"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0ECEC8F9"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开发支出</w:t>
            </w:r>
          </w:p>
        </w:tc>
        <w:tc>
          <w:tcPr>
            <w:tcW w:w="515" w:type="pct"/>
            <w:tcBorders>
              <w:top w:val="outset" w:sz="6" w:space="0" w:color="auto"/>
              <w:left w:val="outset" w:sz="6" w:space="0" w:color="auto"/>
              <w:bottom w:val="outset" w:sz="6" w:space="0" w:color="auto"/>
              <w:right w:val="outset" w:sz="6" w:space="0" w:color="auto"/>
            </w:tcBorders>
            <w:vAlign w:val="center"/>
          </w:tcPr>
          <w:p w14:paraId="2E009F6C" w14:textId="77777777" w:rsidR="002D0AE7" w:rsidRDefault="00333EBB">
            <w:pPr>
              <w:rPr>
                <w:rFonts w:hint="eastAsia"/>
                <w:sz w:val="21"/>
                <w:szCs w:val="21"/>
              </w:rPr>
            </w:pPr>
            <w:r>
              <w:rPr>
                <w:rFonts w:hint="eastAsia"/>
                <w:sz w:val="21"/>
                <w:szCs w:val="21"/>
              </w:rPr>
              <w:t>八</w:t>
            </w:r>
          </w:p>
        </w:tc>
        <w:tc>
          <w:tcPr>
            <w:tcW w:w="1030" w:type="pct"/>
            <w:tcBorders>
              <w:top w:val="outset" w:sz="6" w:space="0" w:color="auto"/>
              <w:left w:val="outset" w:sz="6" w:space="0" w:color="auto"/>
              <w:bottom w:val="outset" w:sz="6" w:space="0" w:color="auto"/>
              <w:right w:val="outset" w:sz="6" w:space="0" w:color="auto"/>
            </w:tcBorders>
            <w:vAlign w:val="center"/>
          </w:tcPr>
          <w:p w14:paraId="68F0B71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172,594,190.80</w:t>
            </w:r>
          </w:p>
        </w:tc>
        <w:tc>
          <w:tcPr>
            <w:tcW w:w="1026" w:type="pct"/>
            <w:tcBorders>
              <w:top w:val="outset" w:sz="6" w:space="0" w:color="auto"/>
              <w:left w:val="outset" w:sz="6" w:space="0" w:color="auto"/>
              <w:bottom w:val="outset" w:sz="6" w:space="0" w:color="auto"/>
              <w:right w:val="outset" w:sz="6" w:space="0" w:color="auto"/>
            </w:tcBorders>
            <w:vAlign w:val="center"/>
          </w:tcPr>
          <w:p w14:paraId="75ACEAC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168,414,424.63</w:t>
            </w:r>
          </w:p>
        </w:tc>
      </w:tr>
      <w:tr w:rsidR="002D0AE7" w14:paraId="46A67CDD"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7E815745"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其中：数据资源</w:t>
            </w:r>
          </w:p>
        </w:tc>
        <w:tc>
          <w:tcPr>
            <w:tcW w:w="515" w:type="pct"/>
            <w:tcBorders>
              <w:top w:val="outset" w:sz="6" w:space="0" w:color="auto"/>
              <w:left w:val="outset" w:sz="6" w:space="0" w:color="auto"/>
              <w:bottom w:val="outset" w:sz="6" w:space="0" w:color="auto"/>
              <w:right w:val="outset" w:sz="6" w:space="0" w:color="auto"/>
            </w:tcBorders>
            <w:vAlign w:val="center"/>
          </w:tcPr>
          <w:p w14:paraId="42FDDFC3"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207E12AF"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1F9F8B0F" w14:textId="77777777" w:rsidR="002D0AE7" w:rsidRDefault="002D0AE7">
            <w:pPr>
              <w:jc w:val="right"/>
              <w:rPr>
                <w:rFonts w:ascii="Times New Roman" w:hAnsi="Times New Roman" w:cs="Times New Roman"/>
                <w:sz w:val="21"/>
                <w:szCs w:val="21"/>
              </w:rPr>
            </w:pPr>
          </w:p>
        </w:tc>
      </w:tr>
      <w:tr w:rsidR="002D0AE7" w14:paraId="55CC0BA5"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7C110FE2"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商誉</w:t>
            </w:r>
          </w:p>
        </w:tc>
        <w:tc>
          <w:tcPr>
            <w:tcW w:w="515" w:type="pct"/>
            <w:tcBorders>
              <w:top w:val="outset" w:sz="6" w:space="0" w:color="auto"/>
              <w:left w:val="outset" w:sz="6" w:space="0" w:color="auto"/>
              <w:bottom w:val="outset" w:sz="6" w:space="0" w:color="auto"/>
              <w:right w:val="outset" w:sz="6" w:space="0" w:color="auto"/>
            </w:tcBorders>
            <w:vAlign w:val="center"/>
          </w:tcPr>
          <w:p w14:paraId="359B5CFE" w14:textId="77777777" w:rsidR="002D0AE7" w:rsidRDefault="00333EBB">
            <w:pPr>
              <w:rPr>
                <w:rFonts w:hint="eastAsia"/>
                <w:sz w:val="21"/>
                <w:szCs w:val="21"/>
              </w:rPr>
            </w:pPr>
            <w:r>
              <w:rPr>
                <w:rFonts w:hint="eastAsia"/>
                <w:sz w:val="21"/>
                <w:szCs w:val="21"/>
              </w:rPr>
              <w:t>七、</w:t>
            </w:r>
            <w:r>
              <w:rPr>
                <w:rFonts w:hint="eastAsia"/>
                <w:sz w:val="21"/>
                <w:szCs w:val="21"/>
              </w:rPr>
              <w:t>1</w:t>
            </w:r>
            <w:r>
              <w:rPr>
                <w:sz w:val="21"/>
                <w:szCs w:val="21"/>
              </w:rPr>
              <w:t>4</w:t>
            </w:r>
          </w:p>
        </w:tc>
        <w:tc>
          <w:tcPr>
            <w:tcW w:w="1030" w:type="pct"/>
            <w:tcBorders>
              <w:top w:val="outset" w:sz="6" w:space="0" w:color="auto"/>
              <w:left w:val="outset" w:sz="6" w:space="0" w:color="auto"/>
              <w:bottom w:val="outset" w:sz="6" w:space="0" w:color="auto"/>
              <w:right w:val="outset" w:sz="6" w:space="0" w:color="auto"/>
            </w:tcBorders>
            <w:vAlign w:val="center"/>
          </w:tcPr>
          <w:p w14:paraId="244B5AE9"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79EB5FED" w14:textId="77777777" w:rsidR="002D0AE7" w:rsidRDefault="002D0AE7">
            <w:pPr>
              <w:jc w:val="right"/>
              <w:rPr>
                <w:rFonts w:ascii="Times New Roman" w:hAnsi="Times New Roman" w:cs="Times New Roman"/>
                <w:sz w:val="21"/>
                <w:szCs w:val="21"/>
              </w:rPr>
            </w:pPr>
          </w:p>
        </w:tc>
      </w:tr>
      <w:tr w:rsidR="002D0AE7" w14:paraId="11BD433C"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0FE79F39"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长期待摊费用</w:t>
            </w:r>
          </w:p>
        </w:tc>
        <w:tc>
          <w:tcPr>
            <w:tcW w:w="515" w:type="pct"/>
            <w:tcBorders>
              <w:top w:val="outset" w:sz="6" w:space="0" w:color="auto"/>
              <w:left w:val="outset" w:sz="6" w:space="0" w:color="auto"/>
              <w:bottom w:val="outset" w:sz="6" w:space="0" w:color="auto"/>
              <w:right w:val="outset" w:sz="6" w:space="0" w:color="auto"/>
            </w:tcBorders>
            <w:vAlign w:val="center"/>
          </w:tcPr>
          <w:p w14:paraId="43D3FEDC"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36E51DC2"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0EB35B2B" w14:textId="77777777" w:rsidR="002D0AE7" w:rsidRDefault="002D0AE7">
            <w:pPr>
              <w:jc w:val="right"/>
              <w:rPr>
                <w:rFonts w:ascii="Times New Roman" w:hAnsi="Times New Roman" w:cs="Times New Roman"/>
                <w:sz w:val="21"/>
                <w:szCs w:val="21"/>
              </w:rPr>
            </w:pPr>
          </w:p>
        </w:tc>
      </w:tr>
      <w:tr w:rsidR="002D0AE7" w14:paraId="1E765741"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24C91AA2"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递延所得税资产</w:t>
            </w:r>
          </w:p>
        </w:tc>
        <w:tc>
          <w:tcPr>
            <w:tcW w:w="515" w:type="pct"/>
            <w:tcBorders>
              <w:top w:val="outset" w:sz="6" w:space="0" w:color="auto"/>
              <w:left w:val="outset" w:sz="6" w:space="0" w:color="auto"/>
              <w:bottom w:val="outset" w:sz="6" w:space="0" w:color="auto"/>
              <w:right w:val="outset" w:sz="6" w:space="0" w:color="auto"/>
            </w:tcBorders>
            <w:vAlign w:val="center"/>
          </w:tcPr>
          <w:p w14:paraId="520F776A" w14:textId="77777777" w:rsidR="002D0AE7" w:rsidRDefault="00333EBB">
            <w:pPr>
              <w:rPr>
                <w:rFonts w:hint="eastAsia"/>
                <w:sz w:val="21"/>
                <w:szCs w:val="21"/>
              </w:rPr>
            </w:pPr>
            <w:r>
              <w:rPr>
                <w:rFonts w:hint="eastAsia"/>
                <w:sz w:val="21"/>
                <w:szCs w:val="21"/>
              </w:rPr>
              <w:t>七、</w:t>
            </w:r>
            <w:r>
              <w:rPr>
                <w:rFonts w:hint="eastAsia"/>
                <w:sz w:val="21"/>
                <w:szCs w:val="21"/>
              </w:rPr>
              <w:t>1</w:t>
            </w:r>
            <w:r>
              <w:rPr>
                <w:sz w:val="21"/>
                <w:szCs w:val="21"/>
              </w:rPr>
              <w:t>5</w:t>
            </w:r>
          </w:p>
        </w:tc>
        <w:tc>
          <w:tcPr>
            <w:tcW w:w="1030" w:type="pct"/>
            <w:tcBorders>
              <w:top w:val="outset" w:sz="6" w:space="0" w:color="auto"/>
              <w:left w:val="outset" w:sz="6" w:space="0" w:color="auto"/>
              <w:bottom w:val="outset" w:sz="6" w:space="0" w:color="auto"/>
              <w:right w:val="outset" w:sz="6" w:space="0" w:color="auto"/>
            </w:tcBorders>
            <w:vAlign w:val="center"/>
          </w:tcPr>
          <w:p w14:paraId="3665110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38,311,282.71</w:t>
            </w:r>
          </w:p>
        </w:tc>
        <w:tc>
          <w:tcPr>
            <w:tcW w:w="1026" w:type="pct"/>
            <w:tcBorders>
              <w:top w:val="outset" w:sz="6" w:space="0" w:color="auto"/>
              <w:left w:val="outset" w:sz="6" w:space="0" w:color="auto"/>
              <w:bottom w:val="outset" w:sz="6" w:space="0" w:color="auto"/>
              <w:right w:val="outset" w:sz="6" w:space="0" w:color="auto"/>
            </w:tcBorders>
            <w:vAlign w:val="center"/>
          </w:tcPr>
          <w:p w14:paraId="5E4BD6A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41,808,704.56</w:t>
            </w:r>
          </w:p>
        </w:tc>
      </w:tr>
      <w:tr w:rsidR="002D0AE7" w14:paraId="78107F33"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3CFE0DE3"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其他非流动资产</w:t>
            </w:r>
          </w:p>
        </w:tc>
        <w:tc>
          <w:tcPr>
            <w:tcW w:w="515" w:type="pct"/>
            <w:tcBorders>
              <w:top w:val="outset" w:sz="6" w:space="0" w:color="auto"/>
              <w:left w:val="outset" w:sz="6" w:space="0" w:color="auto"/>
              <w:bottom w:val="outset" w:sz="6" w:space="0" w:color="auto"/>
              <w:right w:val="outset" w:sz="6" w:space="0" w:color="auto"/>
            </w:tcBorders>
            <w:vAlign w:val="center"/>
          </w:tcPr>
          <w:p w14:paraId="79679CEC" w14:textId="77777777" w:rsidR="002D0AE7" w:rsidRDefault="00333EBB">
            <w:pPr>
              <w:rPr>
                <w:rFonts w:hint="eastAsia"/>
                <w:sz w:val="21"/>
                <w:szCs w:val="21"/>
              </w:rPr>
            </w:pPr>
            <w:r>
              <w:rPr>
                <w:rFonts w:hint="eastAsia"/>
                <w:sz w:val="21"/>
                <w:szCs w:val="21"/>
              </w:rPr>
              <w:t>七、</w:t>
            </w:r>
            <w:r>
              <w:rPr>
                <w:rFonts w:hint="eastAsia"/>
                <w:sz w:val="21"/>
                <w:szCs w:val="21"/>
              </w:rPr>
              <w:t>1</w:t>
            </w:r>
            <w:r>
              <w:rPr>
                <w:sz w:val="21"/>
                <w:szCs w:val="21"/>
              </w:rPr>
              <w:t>6</w:t>
            </w:r>
          </w:p>
        </w:tc>
        <w:tc>
          <w:tcPr>
            <w:tcW w:w="1030" w:type="pct"/>
            <w:tcBorders>
              <w:top w:val="outset" w:sz="6" w:space="0" w:color="auto"/>
              <w:left w:val="outset" w:sz="6" w:space="0" w:color="auto"/>
              <w:bottom w:val="outset" w:sz="6" w:space="0" w:color="auto"/>
              <w:right w:val="outset" w:sz="6" w:space="0" w:color="auto"/>
            </w:tcBorders>
            <w:vAlign w:val="center"/>
          </w:tcPr>
          <w:p w14:paraId="16FBF35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289,429,440.68</w:t>
            </w:r>
          </w:p>
        </w:tc>
        <w:tc>
          <w:tcPr>
            <w:tcW w:w="1026" w:type="pct"/>
            <w:tcBorders>
              <w:top w:val="outset" w:sz="6" w:space="0" w:color="auto"/>
              <w:left w:val="outset" w:sz="6" w:space="0" w:color="auto"/>
              <w:bottom w:val="outset" w:sz="6" w:space="0" w:color="auto"/>
              <w:right w:val="outset" w:sz="6" w:space="0" w:color="auto"/>
            </w:tcBorders>
            <w:vAlign w:val="center"/>
          </w:tcPr>
          <w:p w14:paraId="5AB1F4F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287,152,071.79</w:t>
            </w:r>
          </w:p>
        </w:tc>
      </w:tr>
      <w:tr w:rsidR="002D0AE7" w14:paraId="5D911FAC"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2BECB9F2"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非流动资产合计</w:t>
            </w:r>
          </w:p>
        </w:tc>
        <w:tc>
          <w:tcPr>
            <w:tcW w:w="515" w:type="pct"/>
            <w:tcBorders>
              <w:top w:val="outset" w:sz="6" w:space="0" w:color="auto"/>
              <w:left w:val="outset" w:sz="6" w:space="0" w:color="auto"/>
              <w:bottom w:val="outset" w:sz="6" w:space="0" w:color="auto"/>
              <w:right w:val="outset" w:sz="6" w:space="0" w:color="auto"/>
            </w:tcBorders>
            <w:vAlign w:val="center"/>
          </w:tcPr>
          <w:p w14:paraId="33A63A7A"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0B1E31B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3,932,002,594.78</w:t>
            </w:r>
          </w:p>
        </w:tc>
        <w:tc>
          <w:tcPr>
            <w:tcW w:w="1026" w:type="pct"/>
            <w:tcBorders>
              <w:top w:val="outset" w:sz="6" w:space="0" w:color="auto"/>
              <w:left w:val="outset" w:sz="6" w:space="0" w:color="auto"/>
              <w:bottom w:val="outset" w:sz="6" w:space="0" w:color="auto"/>
              <w:right w:val="outset" w:sz="6" w:space="0" w:color="auto"/>
            </w:tcBorders>
            <w:vAlign w:val="center"/>
          </w:tcPr>
          <w:p w14:paraId="2064FED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4,034,413,981.48</w:t>
            </w:r>
          </w:p>
        </w:tc>
      </w:tr>
      <w:tr w:rsidR="002D0AE7" w14:paraId="0E00B12E"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2378F1B6"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资产总计</w:t>
            </w:r>
          </w:p>
        </w:tc>
        <w:tc>
          <w:tcPr>
            <w:tcW w:w="515" w:type="pct"/>
            <w:tcBorders>
              <w:top w:val="outset" w:sz="6" w:space="0" w:color="auto"/>
              <w:left w:val="outset" w:sz="6" w:space="0" w:color="auto"/>
              <w:bottom w:val="outset" w:sz="6" w:space="0" w:color="auto"/>
              <w:right w:val="outset" w:sz="6" w:space="0" w:color="auto"/>
            </w:tcBorders>
            <w:vAlign w:val="center"/>
          </w:tcPr>
          <w:p w14:paraId="71DD9FFE"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5E4FBB0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6,103,330,817.99</w:t>
            </w:r>
          </w:p>
        </w:tc>
        <w:tc>
          <w:tcPr>
            <w:tcW w:w="1026" w:type="pct"/>
            <w:tcBorders>
              <w:top w:val="outset" w:sz="6" w:space="0" w:color="auto"/>
              <w:left w:val="outset" w:sz="6" w:space="0" w:color="auto"/>
              <w:bottom w:val="outset" w:sz="6" w:space="0" w:color="auto"/>
              <w:right w:val="outset" w:sz="6" w:space="0" w:color="auto"/>
            </w:tcBorders>
            <w:vAlign w:val="center"/>
          </w:tcPr>
          <w:p w14:paraId="33C7AB3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6,142,482,199.13</w:t>
            </w:r>
          </w:p>
        </w:tc>
      </w:tr>
      <w:tr w:rsidR="002D0AE7" w14:paraId="6C501935" w14:textId="77777777">
        <w:trPr>
          <w:jc w:val="center"/>
        </w:trPr>
        <w:sdt>
          <w:sdtPr>
            <w:rPr>
              <w:color w:val="000000" w:themeColor="text1"/>
              <w:sz w:val="21"/>
              <w:szCs w:val="21"/>
            </w:rPr>
            <w:tag w:val="_PLD_9375d0f637964c329fb26d2b4f648745"/>
            <w:id w:val="1776282848"/>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4B99F4C5" w14:textId="77777777" w:rsidR="002D0AE7" w:rsidRDefault="00333EBB">
                <w:pPr>
                  <w:rPr>
                    <w:rFonts w:hint="eastAsia"/>
                    <w:color w:val="000000" w:themeColor="text1"/>
                    <w:sz w:val="21"/>
                    <w:szCs w:val="21"/>
                  </w:rPr>
                </w:pPr>
                <w:r>
                  <w:rPr>
                    <w:rFonts w:hint="eastAsia"/>
                    <w:b/>
                    <w:color w:val="000000" w:themeColor="text1"/>
                    <w:sz w:val="21"/>
                    <w:szCs w:val="21"/>
                  </w:rPr>
                  <w:t>流动负债：</w:t>
                </w:r>
              </w:p>
            </w:tc>
          </w:sdtContent>
        </w:sdt>
      </w:tr>
      <w:tr w:rsidR="002D0AE7" w14:paraId="6E29DA43"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57E3F8D1"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短期借款</w:t>
            </w:r>
          </w:p>
        </w:tc>
        <w:tc>
          <w:tcPr>
            <w:tcW w:w="515" w:type="pct"/>
            <w:tcBorders>
              <w:top w:val="outset" w:sz="6" w:space="0" w:color="auto"/>
              <w:left w:val="outset" w:sz="6" w:space="0" w:color="auto"/>
              <w:bottom w:val="outset" w:sz="6" w:space="0" w:color="auto"/>
              <w:right w:val="outset" w:sz="6" w:space="0" w:color="auto"/>
            </w:tcBorders>
            <w:vAlign w:val="center"/>
          </w:tcPr>
          <w:p w14:paraId="5FCD5FC9" w14:textId="77777777" w:rsidR="002D0AE7" w:rsidRDefault="00333EBB">
            <w:pPr>
              <w:rPr>
                <w:rFonts w:hint="eastAsia"/>
                <w:sz w:val="21"/>
                <w:szCs w:val="21"/>
              </w:rPr>
            </w:pPr>
            <w:r>
              <w:rPr>
                <w:rFonts w:hint="eastAsia"/>
                <w:sz w:val="21"/>
                <w:szCs w:val="21"/>
              </w:rPr>
              <w:t>七、</w:t>
            </w:r>
            <w:r>
              <w:rPr>
                <w:rFonts w:hint="eastAsia"/>
                <w:sz w:val="21"/>
                <w:szCs w:val="21"/>
              </w:rPr>
              <w:t>1</w:t>
            </w:r>
            <w:r>
              <w:rPr>
                <w:sz w:val="21"/>
                <w:szCs w:val="21"/>
              </w:rPr>
              <w:t>8</w:t>
            </w:r>
          </w:p>
        </w:tc>
        <w:tc>
          <w:tcPr>
            <w:tcW w:w="1030" w:type="pct"/>
            <w:tcBorders>
              <w:top w:val="outset" w:sz="6" w:space="0" w:color="auto"/>
              <w:left w:val="outset" w:sz="6" w:space="0" w:color="auto"/>
              <w:bottom w:val="outset" w:sz="6" w:space="0" w:color="auto"/>
              <w:right w:val="outset" w:sz="6" w:space="0" w:color="auto"/>
            </w:tcBorders>
            <w:vAlign w:val="center"/>
          </w:tcPr>
          <w:p w14:paraId="64E0978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81,735,459.37</w:t>
            </w:r>
          </w:p>
        </w:tc>
        <w:tc>
          <w:tcPr>
            <w:tcW w:w="1026" w:type="pct"/>
            <w:tcBorders>
              <w:top w:val="outset" w:sz="6" w:space="0" w:color="auto"/>
              <w:left w:val="outset" w:sz="6" w:space="0" w:color="auto"/>
              <w:bottom w:val="outset" w:sz="6" w:space="0" w:color="auto"/>
              <w:right w:val="outset" w:sz="6" w:space="0" w:color="auto"/>
            </w:tcBorders>
            <w:vAlign w:val="center"/>
          </w:tcPr>
          <w:p w14:paraId="172128E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270,252,772.21</w:t>
            </w:r>
          </w:p>
        </w:tc>
      </w:tr>
      <w:tr w:rsidR="002D0AE7" w14:paraId="4577CB48"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56A721B7"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向中央银行借款</w:t>
            </w:r>
          </w:p>
        </w:tc>
        <w:tc>
          <w:tcPr>
            <w:tcW w:w="515" w:type="pct"/>
            <w:tcBorders>
              <w:top w:val="outset" w:sz="6" w:space="0" w:color="auto"/>
              <w:left w:val="outset" w:sz="6" w:space="0" w:color="auto"/>
              <w:bottom w:val="outset" w:sz="6" w:space="0" w:color="auto"/>
              <w:right w:val="outset" w:sz="6" w:space="0" w:color="auto"/>
            </w:tcBorders>
            <w:vAlign w:val="center"/>
          </w:tcPr>
          <w:p w14:paraId="64C5608A"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03158007"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6ADD439D" w14:textId="77777777" w:rsidR="002D0AE7" w:rsidRDefault="002D0AE7">
            <w:pPr>
              <w:jc w:val="right"/>
              <w:rPr>
                <w:rFonts w:ascii="Times New Roman" w:hAnsi="Times New Roman" w:cs="Times New Roman"/>
                <w:sz w:val="21"/>
                <w:szCs w:val="21"/>
              </w:rPr>
            </w:pPr>
          </w:p>
        </w:tc>
      </w:tr>
      <w:tr w:rsidR="002D0AE7" w14:paraId="2B727DCD"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1FBE73A2"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拆入资金</w:t>
            </w:r>
          </w:p>
        </w:tc>
        <w:tc>
          <w:tcPr>
            <w:tcW w:w="515" w:type="pct"/>
            <w:tcBorders>
              <w:top w:val="outset" w:sz="6" w:space="0" w:color="auto"/>
              <w:left w:val="outset" w:sz="6" w:space="0" w:color="auto"/>
              <w:bottom w:val="outset" w:sz="6" w:space="0" w:color="auto"/>
              <w:right w:val="outset" w:sz="6" w:space="0" w:color="auto"/>
            </w:tcBorders>
            <w:vAlign w:val="center"/>
          </w:tcPr>
          <w:p w14:paraId="6866C599"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49B75DD1"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1A96EF99" w14:textId="77777777" w:rsidR="002D0AE7" w:rsidRDefault="002D0AE7">
            <w:pPr>
              <w:jc w:val="right"/>
              <w:rPr>
                <w:rFonts w:ascii="Times New Roman" w:hAnsi="Times New Roman" w:cs="Times New Roman"/>
                <w:sz w:val="21"/>
                <w:szCs w:val="21"/>
              </w:rPr>
            </w:pPr>
          </w:p>
        </w:tc>
      </w:tr>
      <w:tr w:rsidR="002D0AE7" w14:paraId="18AC64BB"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6250E44F"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交易性金融负债</w:t>
            </w:r>
          </w:p>
        </w:tc>
        <w:tc>
          <w:tcPr>
            <w:tcW w:w="515" w:type="pct"/>
            <w:tcBorders>
              <w:top w:val="outset" w:sz="6" w:space="0" w:color="auto"/>
              <w:left w:val="outset" w:sz="6" w:space="0" w:color="auto"/>
              <w:bottom w:val="outset" w:sz="6" w:space="0" w:color="auto"/>
              <w:right w:val="outset" w:sz="6" w:space="0" w:color="auto"/>
            </w:tcBorders>
            <w:vAlign w:val="center"/>
          </w:tcPr>
          <w:p w14:paraId="54538570"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2332F241"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748475E9" w14:textId="77777777" w:rsidR="002D0AE7" w:rsidRDefault="002D0AE7">
            <w:pPr>
              <w:jc w:val="right"/>
              <w:rPr>
                <w:rFonts w:ascii="Times New Roman" w:hAnsi="Times New Roman" w:cs="Times New Roman"/>
                <w:sz w:val="21"/>
                <w:szCs w:val="21"/>
              </w:rPr>
            </w:pPr>
          </w:p>
        </w:tc>
      </w:tr>
      <w:tr w:rsidR="002D0AE7" w14:paraId="5CBA54C9"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28A121CB"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衍生金融负债</w:t>
            </w:r>
          </w:p>
        </w:tc>
        <w:tc>
          <w:tcPr>
            <w:tcW w:w="515" w:type="pct"/>
            <w:tcBorders>
              <w:top w:val="outset" w:sz="6" w:space="0" w:color="auto"/>
              <w:left w:val="outset" w:sz="6" w:space="0" w:color="auto"/>
              <w:bottom w:val="outset" w:sz="6" w:space="0" w:color="auto"/>
              <w:right w:val="outset" w:sz="6" w:space="0" w:color="auto"/>
            </w:tcBorders>
            <w:vAlign w:val="center"/>
          </w:tcPr>
          <w:p w14:paraId="489A23A4"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5C561B93"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6E6CBDCD" w14:textId="77777777" w:rsidR="002D0AE7" w:rsidRDefault="002D0AE7">
            <w:pPr>
              <w:jc w:val="right"/>
              <w:rPr>
                <w:rFonts w:ascii="Times New Roman" w:hAnsi="Times New Roman" w:cs="Times New Roman"/>
                <w:sz w:val="21"/>
                <w:szCs w:val="21"/>
              </w:rPr>
            </w:pPr>
          </w:p>
        </w:tc>
      </w:tr>
      <w:tr w:rsidR="002D0AE7" w14:paraId="24B22569"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735391D6"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应付票据</w:t>
            </w:r>
          </w:p>
        </w:tc>
        <w:tc>
          <w:tcPr>
            <w:tcW w:w="515" w:type="pct"/>
            <w:tcBorders>
              <w:top w:val="outset" w:sz="6" w:space="0" w:color="auto"/>
              <w:left w:val="outset" w:sz="6" w:space="0" w:color="auto"/>
              <w:bottom w:val="outset" w:sz="6" w:space="0" w:color="auto"/>
              <w:right w:val="outset" w:sz="6" w:space="0" w:color="auto"/>
            </w:tcBorders>
            <w:vAlign w:val="center"/>
          </w:tcPr>
          <w:p w14:paraId="680EB161" w14:textId="77777777" w:rsidR="002D0AE7" w:rsidRDefault="00333EBB">
            <w:pPr>
              <w:rPr>
                <w:rFonts w:hint="eastAsia"/>
                <w:sz w:val="21"/>
                <w:szCs w:val="21"/>
              </w:rPr>
            </w:pPr>
            <w:r>
              <w:rPr>
                <w:rFonts w:hint="eastAsia"/>
                <w:sz w:val="21"/>
                <w:szCs w:val="21"/>
              </w:rPr>
              <w:t>七、</w:t>
            </w:r>
            <w:r>
              <w:rPr>
                <w:rFonts w:hint="eastAsia"/>
                <w:sz w:val="21"/>
                <w:szCs w:val="21"/>
              </w:rPr>
              <w:t>1</w:t>
            </w:r>
            <w:r>
              <w:rPr>
                <w:sz w:val="21"/>
                <w:szCs w:val="21"/>
              </w:rPr>
              <w:t>9</w:t>
            </w:r>
          </w:p>
        </w:tc>
        <w:tc>
          <w:tcPr>
            <w:tcW w:w="1030" w:type="pct"/>
            <w:tcBorders>
              <w:top w:val="outset" w:sz="6" w:space="0" w:color="auto"/>
              <w:left w:val="outset" w:sz="6" w:space="0" w:color="auto"/>
              <w:bottom w:val="outset" w:sz="6" w:space="0" w:color="auto"/>
              <w:right w:val="outset" w:sz="6" w:space="0" w:color="auto"/>
            </w:tcBorders>
            <w:vAlign w:val="center"/>
          </w:tcPr>
          <w:p w14:paraId="16B7D32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141,656,665.22</w:t>
            </w:r>
          </w:p>
        </w:tc>
        <w:tc>
          <w:tcPr>
            <w:tcW w:w="1026" w:type="pct"/>
            <w:tcBorders>
              <w:top w:val="outset" w:sz="6" w:space="0" w:color="auto"/>
              <w:left w:val="outset" w:sz="6" w:space="0" w:color="auto"/>
              <w:bottom w:val="outset" w:sz="6" w:space="0" w:color="auto"/>
              <w:right w:val="outset" w:sz="6" w:space="0" w:color="auto"/>
            </w:tcBorders>
            <w:vAlign w:val="center"/>
          </w:tcPr>
          <w:p w14:paraId="252C046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38,560,000.00</w:t>
            </w:r>
          </w:p>
        </w:tc>
      </w:tr>
      <w:tr w:rsidR="002D0AE7" w14:paraId="5CFFEB0F"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6151EAE2"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应付账款</w:t>
            </w:r>
          </w:p>
        </w:tc>
        <w:tc>
          <w:tcPr>
            <w:tcW w:w="515" w:type="pct"/>
            <w:tcBorders>
              <w:top w:val="outset" w:sz="6" w:space="0" w:color="auto"/>
              <w:left w:val="outset" w:sz="6" w:space="0" w:color="auto"/>
              <w:bottom w:val="outset" w:sz="6" w:space="0" w:color="auto"/>
              <w:right w:val="outset" w:sz="6" w:space="0" w:color="auto"/>
            </w:tcBorders>
            <w:vAlign w:val="center"/>
          </w:tcPr>
          <w:p w14:paraId="1EACD3B8" w14:textId="77777777" w:rsidR="002D0AE7" w:rsidRDefault="00333EBB">
            <w:pPr>
              <w:rPr>
                <w:rFonts w:hint="eastAsia"/>
                <w:sz w:val="21"/>
                <w:szCs w:val="21"/>
              </w:rPr>
            </w:pPr>
            <w:r>
              <w:rPr>
                <w:rFonts w:hint="eastAsia"/>
                <w:sz w:val="21"/>
                <w:szCs w:val="21"/>
              </w:rPr>
              <w:t>七、</w:t>
            </w:r>
            <w:r>
              <w:rPr>
                <w:sz w:val="21"/>
                <w:szCs w:val="21"/>
              </w:rPr>
              <w:t>20</w:t>
            </w:r>
          </w:p>
        </w:tc>
        <w:tc>
          <w:tcPr>
            <w:tcW w:w="1030" w:type="pct"/>
            <w:tcBorders>
              <w:top w:val="outset" w:sz="6" w:space="0" w:color="auto"/>
              <w:left w:val="outset" w:sz="6" w:space="0" w:color="auto"/>
              <w:bottom w:val="outset" w:sz="6" w:space="0" w:color="auto"/>
              <w:right w:val="outset" w:sz="6" w:space="0" w:color="auto"/>
            </w:tcBorders>
            <w:vAlign w:val="center"/>
          </w:tcPr>
          <w:p w14:paraId="6742F7B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708,563,610.53</w:t>
            </w:r>
          </w:p>
        </w:tc>
        <w:tc>
          <w:tcPr>
            <w:tcW w:w="1026" w:type="pct"/>
            <w:tcBorders>
              <w:top w:val="outset" w:sz="6" w:space="0" w:color="auto"/>
              <w:left w:val="outset" w:sz="6" w:space="0" w:color="auto"/>
              <w:bottom w:val="outset" w:sz="6" w:space="0" w:color="auto"/>
              <w:right w:val="outset" w:sz="6" w:space="0" w:color="auto"/>
            </w:tcBorders>
            <w:vAlign w:val="center"/>
          </w:tcPr>
          <w:p w14:paraId="0F26C27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680,991,520.54</w:t>
            </w:r>
          </w:p>
        </w:tc>
      </w:tr>
      <w:tr w:rsidR="002D0AE7" w14:paraId="062FB751"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60E97A62"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预收款项</w:t>
            </w:r>
          </w:p>
        </w:tc>
        <w:tc>
          <w:tcPr>
            <w:tcW w:w="515" w:type="pct"/>
            <w:tcBorders>
              <w:top w:val="outset" w:sz="6" w:space="0" w:color="auto"/>
              <w:left w:val="outset" w:sz="6" w:space="0" w:color="auto"/>
              <w:bottom w:val="outset" w:sz="6" w:space="0" w:color="auto"/>
              <w:right w:val="outset" w:sz="6" w:space="0" w:color="auto"/>
            </w:tcBorders>
          </w:tcPr>
          <w:p w14:paraId="7808FCEE" w14:textId="77777777" w:rsidR="002D0AE7" w:rsidRDefault="00333EBB">
            <w:pPr>
              <w:rPr>
                <w:rFonts w:hint="eastAsia"/>
                <w:sz w:val="21"/>
                <w:szCs w:val="21"/>
              </w:rPr>
            </w:pPr>
            <w:r>
              <w:rPr>
                <w:rFonts w:hint="eastAsia"/>
                <w:sz w:val="21"/>
                <w:szCs w:val="21"/>
              </w:rPr>
              <w:t>七、</w:t>
            </w:r>
            <w:r>
              <w:rPr>
                <w:sz w:val="21"/>
                <w:szCs w:val="21"/>
              </w:rPr>
              <w:t>21</w:t>
            </w:r>
          </w:p>
        </w:tc>
        <w:tc>
          <w:tcPr>
            <w:tcW w:w="1030" w:type="pct"/>
            <w:tcBorders>
              <w:top w:val="outset" w:sz="6" w:space="0" w:color="auto"/>
              <w:left w:val="outset" w:sz="6" w:space="0" w:color="auto"/>
              <w:bottom w:val="outset" w:sz="6" w:space="0" w:color="auto"/>
              <w:right w:val="outset" w:sz="6" w:space="0" w:color="auto"/>
            </w:tcBorders>
            <w:vAlign w:val="center"/>
          </w:tcPr>
          <w:p w14:paraId="0BDC35E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477,823.16</w:t>
            </w:r>
          </w:p>
        </w:tc>
        <w:tc>
          <w:tcPr>
            <w:tcW w:w="1026" w:type="pct"/>
            <w:tcBorders>
              <w:top w:val="outset" w:sz="6" w:space="0" w:color="auto"/>
              <w:left w:val="outset" w:sz="6" w:space="0" w:color="auto"/>
              <w:bottom w:val="outset" w:sz="6" w:space="0" w:color="auto"/>
              <w:right w:val="outset" w:sz="6" w:space="0" w:color="auto"/>
            </w:tcBorders>
            <w:vAlign w:val="center"/>
          </w:tcPr>
          <w:p w14:paraId="1A0D2AC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475,900.16</w:t>
            </w:r>
          </w:p>
        </w:tc>
      </w:tr>
      <w:tr w:rsidR="002D0AE7" w14:paraId="3FE3F20E"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6F9864C8"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合同负债</w:t>
            </w:r>
          </w:p>
        </w:tc>
        <w:tc>
          <w:tcPr>
            <w:tcW w:w="515" w:type="pct"/>
            <w:tcBorders>
              <w:top w:val="outset" w:sz="6" w:space="0" w:color="auto"/>
              <w:left w:val="outset" w:sz="6" w:space="0" w:color="auto"/>
              <w:bottom w:val="outset" w:sz="6" w:space="0" w:color="auto"/>
              <w:right w:val="outset" w:sz="6" w:space="0" w:color="auto"/>
            </w:tcBorders>
          </w:tcPr>
          <w:p w14:paraId="445F3C00" w14:textId="77777777" w:rsidR="002D0AE7" w:rsidRDefault="00333EBB">
            <w:pPr>
              <w:rPr>
                <w:rFonts w:hint="eastAsia"/>
                <w:sz w:val="21"/>
                <w:szCs w:val="21"/>
              </w:rPr>
            </w:pPr>
            <w:r>
              <w:rPr>
                <w:rFonts w:hint="eastAsia"/>
                <w:sz w:val="21"/>
                <w:szCs w:val="21"/>
              </w:rPr>
              <w:t>七、</w:t>
            </w:r>
            <w:r>
              <w:rPr>
                <w:sz w:val="21"/>
                <w:szCs w:val="21"/>
              </w:rPr>
              <w:t>22</w:t>
            </w:r>
          </w:p>
        </w:tc>
        <w:tc>
          <w:tcPr>
            <w:tcW w:w="1030" w:type="pct"/>
            <w:tcBorders>
              <w:top w:val="outset" w:sz="6" w:space="0" w:color="auto"/>
              <w:left w:val="outset" w:sz="6" w:space="0" w:color="auto"/>
              <w:bottom w:val="outset" w:sz="6" w:space="0" w:color="auto"/>
              <w:right w:val="outset" w:sz="6" w:space="0" w:color="auto"/>
            </w:tcBorders>
            <w:vAlign w:val="center"/>
          </w:tcPr>
          <w:p w14:paraId="148DA2D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90,202,823.48</w:t>
            </w:r>
          </w:p>
        </w:tc>
        <w:tc>
          <w:tcPr>
            <w:tcW w:w="1026" w:type="pct"/>
            <w:tcBorders>
              <w:top w:val="outset" w:sz="6" w:space="0" w:color="auto"/>
              <w:left w:val="outset" w:sz="6" w:space="0" w:color="auto"/>
              <w:bottom w:val="outset" w:sz="6" w:space="0" w:color="auto"/>
              <w:right w:val="outset" w:sz="6" w:space="0" w:color="auto"/>
            </w:tcBorders>
            <w:vAlign w:val="center"/>
          </w:tcPr>
          <w:p w14:paraId="18ACFFF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137,185,487.05</w:t>
            </w:r>
          </w:p>
        </w:tc>
      </w:tr>
      <w:tr w:rsidR="002D0AE7" w14:paraId="5FC91C1E"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26C9E8B1"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卖出回购金融资产款</w:t>
            </w:r>
          </w:p>
        </w:tc>
        <w:tc>
          <w:tcPr>
            <w:tcW w:w="515" w:type="pct"/>
            <w:tcBorders>
              <w:top w:val="outset" w:sz="6" w:space="0" w:color="auto"/>
              <w:left w:val="outset" w:sz="6" w:space="0" w:color="auto"/>
              <w:bottom w:val="outset" w:sz="6" w:space="0" w:color="auto"/>
              <w:right w:val="outset" w:sz="6" w:space="0" w:color="auto"/>
            </w:tcBorders>
            <w:vAlign w:val="center"/>
          </w:tcPr>
          <w:p w14:paraId="2AF08D78"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696FECCA"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05DBE411" w14:textId="77777777" w:rsidR="002D0AE7" w:rsidRDefault="002D0AE7">
            <w:pPr>
              <w:jc w:val="right"/>
              <w:rPr>
                <w:rFonts w:ascii="Times New Roman" w:hAnsi="Times New Roman" w:cs="Times New Roman"/>
                <w:sz w:val="21"/>
                <w:szCs w:val="21"/>
              </w:rPr>
            </w:pPr>
          </w:p>
        </w:tc>
      </w:tr>
      <w:tr w:rsidR="002D0AE7" w14:paraId="6C975309"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414890BA"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吸收存款及同业存放</w:t>
            </w:r>
          </w:p>
        </w:tc>
        <w:tc>
          <w:tcPr>
            <w:tcW w:w="515" w:type="pct"/>
            <w:tcBorders>
              <w:top w:val="outset" w:sz="6" w:space="0" w:color="auto"/>
              <w:left w:val="outset" w:sz="6" w:space="0" w:color="auto"/>
              <w:bottom w:val="outset" w:sz="6" w:space="0" w:color="auto"/>
              <w:right w:val="outset" w:sz="6" w:space="0" w:color="auto"/>
            </w:tcBorders>
            <w:vAlign w:val="center"/>
          </w:tcPr>
          <w:p w14:paraId="17E503A5"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47C97CC6"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17C49BBD" w14:textId="77777777" w:rsidR="002D0AE7" w:rsidRDefault="002D0AE7">
            <w:pPr>
              <w:jc w:val="right"/>
              <w:rPr>
                <w:rFonts w:ascii="Times New Roman" w:hAnsi="Times New Roman" w:cs="Times New Roman"/>
                <w:sz w:val="21"/>
                <w:szCs w:val="21"/>
              </w:rPr>
            </w:pPr>
          </w:p>
        </w:tc>
      </w:tr>
      <w:tr w:rsidR="002D0AE7" w14:paraId="6434892C"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04597503"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代理买卖证券款</w:t>
            </w:r>
          </w:p>
        </w:tc>
        <w:tc>
          <w:tcPr>
            <w:tcW w:w="515" w:type="pct"/>
            <w:tcBorders>
              <w:top w:val="outset" w:sz="6" w:space="0" w:color="auto"/>
              <w:left w:val="outset" w:sz="6" w:space="0" w:color="auto"/>
              <w:bottom w:val="outset" w:sz="6" w:space="0" w:color="auto"/>
              <w:right w:val="outset" w:sz="6" w:space="0" w:color="auto"/>
            </w:tcBorders>
            <w:vAlign w:val="center"/>
          </w:tcPr>
          <w:p w14:paraId="76EAA790"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232B375A"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4BF72ADF" w14:textId="77777777" w:rsidR="002D0AE7" w:rsidRDefault="002D0AE7">
            <w:pPr>
              <w:jc w:val="right"/>
              <w:rPr>
                <w:rFonts w:ascii="Times New Roman" w:hAnsi="Times New Roman" w:cs="Times New Roman"/>
                <w:sz w:val="21"/>
                <w:szCs w:val="21"/>
              </w:rPr>
            </w:pPr>
          </w:p>
        </w:tc>
      </w:tr>
      <w:tr w:rsidR="002D0AE7" w14:paraId="7B92FEEC"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4E7F46DC"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代理承销证券款</w:t>
            </w:r>
          </w:p>
        </w:tc>
        <w:tc>
          <w:tcPr>
            <w:tcW w:w="515" w:type="pct"/>
            <w:tcBorders>
              <w:top w:val="outset" w:sz="6" w:space="0" w:color="auto"/>
              <w:left w:val="outset" w:sz="6" w:space="0" w:color="auto"/>
              <w:bottom w:val="outset" w:sz="6" w:space="0" w:color="auto"/>
              <w:right w:val="outset" w:sz="6" w:space="0" w:color="auto"/>
            </w:tcBorders>
            <w:vAlign w:val="center"/>
          </w:tcPr>
          <w:p w14:paraId="03CE32A7"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1879E425"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1732311E" w14:textId="77777777" w:rsidR="002D0AE7" w:rsidRDefault="002D0AE7">
            <w:pPr>
              <w:jc w:val="right"/>
              <w:rPr>
                <w:rFonts w:ascii="Times New Roman" w:hAnsi="Times New Roman" w:cs="Times New Roman"/>
                <w:sz w:val="21"/>
                <w:szCs w:val="21"/>
              </w:rPr>
            </w:pPr>
          </w:p>
        </w:tc>
      </w:tr>
      <w:tr w:rsidR="002D0AE7" w14:paraId="78D74F83"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514A9852"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应付职工薪酬</w:t>
            </w:r>
          </w:p>
        </w:tc>
        <w:tc>
          <w:tcPr>
            <w:tcW w:w="515" w:type="pct"/>
            <w:tcBorders>
              <w:top w:val="outset" w:sz="6" w:space="0" w:color="auto"/>
              <w:left w:val="outset" w:sz="6" w:space="0" w:color="auto"/>
              <w:bottom w:val="outset" w:sz="6" w:space="0" w:color="auto"/>
              <w:right w:val="outset" w:sz="6" w:space="0" w:color="auto"/>
            </w:tcBorders>
          </w:tcPr>
          <w:p w14:paraId="35C273E8" w14:textId="77777777" w:rsidR="002D0AE7" w:rsidRDefault="00333EBB">
            <w:pPr>
              <w:rPr>
                <w:rFonts w:hint="eastAsia"/>
                <w:sz w:val="21"/>
                <w:szCs w:val="21"/>
              </w:rPr>
            </w:pPr>
            <w:r>
              <w:rPr>
                <w:rFonts w:hint="eastAsia"/>
                <w:sz w:val="21"/>
                <w:szCs w:val="21"/>
              </w:rPr>
              <w:t>七、</w:t>
            </w:r>
            <w:r>
              <w:rPr>
                <w:sz w:val="21"/>
                <w:szCs w:val="21"/>
              </w:rPr>
              <w:t>23</w:t>
            </w:r>
          </w:p>
        </w:tc>
        <w:tc>
          <w:tcPr>
            <w:tcW w:w="1030" w:type="pct"/>
            <w:tcBorders>
              <w:top w:val="outset" w:sz="6" w:space="0" w:color="auto"/>
              <w:left w:val="outset" w:sz="6" w:space="0" w:color="auto"/>
              <w:bottom w:val="outset" w:sz="6" w:space="0" w:color="auto"/>
              <w:right w:val="outset" w:sz="6" w:space="0" w:color="auto"/>
            </w:tcBorders>
            <w:vAlign w:val="center"/>
          </w:tcPr>
          <w:p w14:paraId="7FE5574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79,330,035.27</w:t>
            </w:r>
          </w:p>
        </w:tc>
        <w:tc>
          <w:tcPr>
            <w:tcW w:w="1026" w:type="pct"/>
            <w:tcBorders>
              <w:top w:val="outset" w:sz="6" w:space="0" w:color="auto"/>
              <w:left w:val="outset" w:sz="6" w:space="0" w:color="auto"/>
              <w:bottom w:val="outset" w:sz="6" w:space="0" w:color="auto"/>
              <w:right w:val="outset" w:sz="6" w:space="0" w:color="auto"/>
            </w:tcBorders>
            <w:vAlign w:val="center"/>
          </w:tcPr>
          <w:p w14:paraId="1C515FD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99,084,773.38</w:t>
            </w:r>
          </w:p>
        </w:tc>
      </w:tr>
      <w:tr w:rsidR="002D0AE7" w14:paraId="20CEBFF9"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77125790"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应交税费</w:t>
            </w:r>
          </w:p>
        </w:tc>
        <w:tc>
          <w:tcPr>
            <w:tcW w:w="515" w:type="pct"/>
            <w:tcBorders>
              <w:top w:val="outset" w:sz="6" w:space="0" w:color="auto"/>
              <w:left w:val="outset" w:sz="6" w:space="0" w:color="auto"/>
              <w:bottom w:val="outset" w:sz="6" w:space="0" w:color="auto"/>
              <w:right w:val="outset" w:sz="6" w:space="0" w:color="auto"/>
            </w:tcBorders>
          </w:tcPr>
          <w:p w14:paraId="15B61CA3" w14:textId="77777777" w:rsidR="002D0AE7" w:rsidRDefault="00333EBB">
            <w:pPr>
              <w:rPr>
                <w:rFonts w:hint="eastAsia"/>
                <w:sz w:val="21"/>
                <w:szCs w:val="21"/>
              </w:rPr>
            </w:pPr>
            <w:r>
              <w:rPr>
                <w:rFonts w:hint="eastAsia"/>
                <w:sz w:val="21"/>
                <w:szCs w:val="21"/>
              </w:rPr>
              <w:t>七、</w:t>
            </w:r>
            <w:r>
              <w:rPr>
                <w:sz w:val="21"/>
                <w:szCs w:val="21"/>
              </w:rPr>
              <w:t>24</w:t>
            </w:r>
          </w:p>
        </w:tc>
        <w:tc>
          <w:tcPr>
            <w:tcW w:w="1030" w:type="pct"/>
            <w:tcBorders>
              <w:top w:val="outset" w:sz="6" w:space="0" w:color="auto"/>
              <w:left w:val="outset" w:sz="6" w:space="0" w:color="auto"/>
              <w:bottom w:val="outset" w:sz="6" w:space="0" w:color="auto"/>
              <w:right w:val="outset" w:sz="6" w:space="0" w:color="auto"/>
            </w:tcBorders>
            <w:vAlign w:val="center"/>
          </w:tcPr>
          <w:p w14:paraId="06754D4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33,530,469.94</w:t>
            </w:r>
          </w:p>
        </w:tc>
        <w:tc>
          <w:tcPr>
            <w:tcW w:w="1026" w:type="pct"/>
            <w:tcBorders>
              <w:top w:val="outset" w:sz="6" w:space="0" w:color="auto"/>
              <w:left w:val="outset" w:sz="6" w:space="0" w:color="auto"/>
              <w:bottom w:val="outset" w:sz="6" w:space="0" w:color="auto"/>
              <w:right w:val="outset" w:sz="6" w:space="0" w:color="auto"/>
            </w:tcBorders>
            <w:vAlign w:val="center"/>
          </w:tcPr>
          <w:p w14:paraId="5D22F2F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42,826,862.52</w:t>
            </w:r>
          </w:p>
        </w:tc>
      </w:tr>
      <w:tr w:rsidR="002D0AE7" w14:paraId="1E377E50"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36A784AE"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其他应付款</w:t>
            </w:r>
          </w:p>
        </w:tc>
        <w:tc>
          <w:tcPr>
            <w:tcW w:w="515" w:type="pct"/>
            <w:tcBorders>
              <w:top w:val="outset" w:sz="6" w:space="0" w:color="auto"/>
              <w:left w:val="outset" w:sz="6" w:space="0" w:color="auto"/>
              <w:bottom w:val="outset" w:sz="6" w:space="0" w:color="auto"/>
              <w:right w:val="outset" w:sz="6" w:space="0" w:color="auto"/>
            </w:tcBorders>
          </w:tcPr>
          <w:p w14:paraId="5399DD27" w14:textId="77777777" w:rsidR="002D0AE7" w:rsidRDefault="00333EBB">
            <w:pPr>
              <w:rPr>
                <w:rFonts w:hint="eastAsia"/>
                <w:sz w:val="21"/>
                <w:szCs w:val="21"/>
              </w:rPr>
            </w:pPr>
            <w:r>
              <w:rPr>
                <w:rFonts w:hint="eastAsia"/>
                <w:sz w:val="21"/>
                <w:szCs w:val="21"/>
              </w:rPr>
              <w:t>七、</w:t>
            </w:r>
            <w:r>
              <w:rPr>
                <w:sz w:val="21"/>
                <w:szCs w:val="21"/>
              </w:rPr>
              <w:t>25</w:t>
            </w:r>
          </w:p>
        </w:tc>
        <w:tc>
          <w:tcPr>
            <w:tcW w:w="1030" w:type="pct"/>
            <w:tcBorders>
              <w:top w:val="outset" w:sz="6" w:space="0" w:color="auto"/>
              <w:left w:val="outset" w:sz="6" w:space="0" w:color="auto"/>
              <w:bottom w:val="outset" w:sz="6" w:space="0" w:color="auto"/>
              <w:right w:val="outset" w:sz="6" w:space="0" w:color="auto"/>
            </w:tcBorders>
            <w:vAlign w:val="center"/>
          </w:tcPr>
          <w:p w14:paraId="50C6081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267,043,139.93</w:t>
            </w:r>
          </w:p>
        </w:tc>
        <w:tc>
          <w:tcPr>
            <w:tcW w:w="1026" w:type="pct"/>
            <w:tcBorders>
              <w:top w:val="outset" w:sz="6" w:space="0" w:color="auto"/>
              <w:left w:val="outset" w:sz="6" w:space="0" w:color="auto"/>
              <w:bottom w:val="outset" w:sz="6" w:space="0" w:color="auto"/>
              <w:right w:val="outset" w:sz="6" w:space="0" w:color="auto"/>
            </w:tcBorders>
            <w:vAlign w:val="center"/>
          </w:tcPr>
          <w:p w14:paraId="583256C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249,821,412.28</w:t>
            </w:r>
          </w:p>
        </w:tc>
      </w:tr>
      <w:tr w:rsidR="002D0AE7" w14:paraId="355A981D"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51F5861F"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其中：应付利息</w:t>
            </w:r>
          </w:p>
        </w:tc>
        <w:tc>
          <w:tcPr>
            <w:tcW w:w="515" w:type="pct"/>
            <w:tcBorders>
              <w:top w:val="outset" w:sz="6" w:space="0" w:color="auto"/>
              <w:left w:val="outset" w:sz="6" w:space="0" w:color="auto"/>
              <w:bottom w:val="outset" w:sz="6" w:space="0" w:color="auto"/>
              <w:right w:val="outset" w:sz="6" w:space="0" w:color="auto"/>
            </w:tcBorders>
            <w:vAlign w:val="center"/>
          </w:tcPr>
          <w:p w14:paraId="532742E7"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243E8A7C"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0E538679" w14:textId="77777777" w:rsidR="002D0AE7" w:rsidRDefault="002D0AE7">
            <w:pPr>
              <w:jc w:val="right"/>
              <w:rPr>
                <w:rFonts w:ascii="Times New Roman" w:hAnsi="Times New Roman" w:cs="Times New Roman"/>
                <w:sz w:val="21"/>
                <w:szCs w:val="21"/>
              </w:rPr>
            </w:pPr>
          </w:p>
        </w:tc>
      </w:tr>
      <w:tr w:rsidR="002D0AE7" w14:paraId="3BA5B2D6"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6F8A674D" w14:textId="77777777" w:rsidR="002D0AE7" w:rsidRDefault="00333EBB">
            <w:pPr>
              <w:ind w:firstLineChars="400" w:firstLine="840"/>
              <w:rPr>
                <w:rFonts w:hint="eastAsia"/>
                <w:color w:val="000000" w:themeColor="text1"/>
                <w:sz w:val="21"/>
                <w:szCs w:val="21"/>
              </w:rPr>
            </w:pPr>
            <w:r>
              <w:rPr>
                <w:rFonts w:hint="eastAsia"/>
                <w:color w:val="000000" w:themeColor="text1"/>
                <w:sz w:val="21"/>
                <w:szCs w:val="21"/>
              </w:rPr>
              <w:t>应付股利</w:t>
            </w:r>
          </w:p>
        </w:tc>
        <w:tc>
          <w:tcPr>
            <w:tcW w:w="515" w:type="pct"/>
            <w:tcBorders>
              <w:top w:val="outset" w:sz="6" w:space="0" w:color="auto"/>
              <w:left w:val="outset" w:sz="6" w:space="0" w:color="auto"/>
              <w:bottom w:val="outset" w:sz="6" w:space="0" w:color="auto"/>
              <w:right w:val="outset" w:sz="6" w:space="0" w:color="auto"/>
            </w:tcBorders>
            <w:vAlign w:val="center"/>
          </w:tcPr>
          <w:p w14:paraId="2BA9DBDA"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2E63FCC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283,563.61</w:t>
            </w:r>
          </w:p>
        </w:tc>
        <w:tc>
          <w:tcPr>
            <w:tcW w:w="1026" w:type="pct"/>
            <w:tcBorders>
              <w:top w:val="outset" w:sz="6" w:space="0" w:color="auto"/>
              <w:left w:val="outset" w:sz="6" w:space="0" w:color="auto"/>
              <w:bottom w:val="outset" w:sz="6" w:space="0" w:color="auto"/>
              <w:right w:val="outset" w:sz="6" w:space="0" w:color="auto"/>
            </w:tcBorders>
            <w:vAlign w:val="center"/>
          </w:tcPr>
          <w:p w14:paraId="4CE6570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134,743.73</w:t>
            </w:r>
          </w:p>
        </w:tc>
      </w:tr>
      <w:tr w:rsidR="002D0AE7" w14:paraId="1AD932FC"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5ECA88EB"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应付手续费及佣金</w:t>
            </w:r>
          </w:p>
        </w:tc>
        <w:tc>
          <w:tcPr>
            <w:tcW w:w="515" w:type="pct"/>
            <w:tcBorders>
              <w:top w:val="outset" w:sz="6" w:space="0" w:color="auto"/>
              <w:left w:val="outset" w:sz="6" w:space="0" w:color="auto"/>
              <w:bottom w:val="outset" w:sz="6" w:space="0" w:color="auto"/>
              <w:right w:val="outset" w:sz="6" w:space="0" w:color="auto"/>
            </w:tcBorders>
            <w:vAlign w:val="center"/>
          </w:tcPr>
          <w:p w14:paraId="1AF37CA9"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0A021858"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0D6C9D3F" w14:textId="77777777" w:rsidR="002D0AE7" w:rsidRDefault="002D0AE7">
            <w:pPr>
              <w:jc w:val="right"/>
              <w:rPr>
                <w:rFonts w:ascii="Times New Roman" w:hAnsi="Times New Roman" w:cs="Times New Roman"/>
                <w:sz w:val="21"/>
                <w:szCs w:val="21"/>
              </w:rPr>
            </w:pPr>
          </w:p>
        </w:tc>
      </w:tr>
      <w:tr w:rsidR="002D0AE7" w14:paraId="5DE6DA15"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1985B0C3"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应付分保账款</w:t>
            </w:r>
          </w:p>
        </w:tc>
        <w:tc>
          <w:tcPr>
            <w:tcW w:w="515" w:type="pct"/>
            <w:tcBorders>
              <w:top w:val="outset" w:sz="6" w:space="0" w:color="auto"/>
              <w:left w:val="outset" w:sz="6" w:space="0" w:color="auto"/>
              <w:bottom w:val="outset" w:sz="6" w:space="0" w:color="auto"/>
              <w:right w:val="outset" w:sz="6" w:space="0" w:color="auto"/>
            </w:tcBorders>
            <w:vAlign w:val="center"/>
          </w:tcPr>
          <w:p w14:paraId="38DAD9B2"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3EDE45A0"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7021DB4C" w14:textId="77777777" w:rsidR="002D0AE7" w:rsidRDefault="002D0AE7">
            <w:pPr>
              <w:jc w:val="right"/>
              <w:rPr>
                <w:rFonts w:ascii="Times New Roman" w:hAnsi="Times New Roman" w:cs="Times New Roman"/>
                <w:sz w:val="21"/>
                <w:szCs w:val="21"/>
              </w:rPr>
            </w:pPr>
          </w:p>
        </w:tc>
      </w:tr>
      <w:tr w:rsidR="002D0AE7" w14:paraId="72AA17CF"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7C4951FC"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持有待售负债</w:t>
            </w:r>
          </w:p>
        </w:tc>
        <w:tc>
          <w:tcPr>
            <w:tcW w:w="515" w:type="pct"/>
            <w:tcBorders>
              <w:top w:val="outset" w:sz="6" w:space="0" w:color="auto"/>
              <w:left w:val="outset" w:sz="6" w:space="0" w:color="auto"/>
              <w:bottom w:val="outset" w:sz="6" w:space="0" w:color="auto"/>
              <w:right w:val="outset" w:sz="6" w:space="0" w:color="auto"/>
            </w:tcBorders>
            <w:vAlign w:val="center"/>
          </w:tcPr>
          <w:p w14:paraId="23DB2224"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28B980A4"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6F88EAF1" w14:textId="77777777" w:rsidR="002D0AE7" w:rsidRDefault="002D0AE7">
            <w:pPr>
              <w:jc w:val="right"/>
              <w:rPr>
                <w:rFonts w:ascii="Times New Roman" w:hAnsi="Times New Roman" w:cs="Times New Roman"/>
                <w:sz w:val="21"/>
                <w:szCs w:val="21"/>
              </w:rPr>
            </w:pPr>
          </w:p>
        </w:tc>
      </w:tr>
      <w:tr w:rsidR="002D0AE7" w14:paraId="1D630278"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02604E93"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一年内到期的非流动负债</w:t>
            </w:r>
          </w:p>
        </w:tc>
        <w:tc>
          <w:tcPr>
            <w:tcW w:w="515" w:type="pct"/>
            <w:tcBorders>
              <w:top w:val="outset" w:sz="6" w:space="0" w:color="auto"/>
              <w:left w:val="outset" w:sz="6" w:space="0" w:color="auto"/>
              <w:bottom w:val="outset" w:sz="6" w:space="0" w:color="auto"/>
              <w:right w:val="outset" w:sz="6" w:space="0" w:color="auto"/>
            </w:tcBorders>
          </w:tcPr>
          <w:p w14:paraId="43B2FFF2" w14:textId="77777777" w:rsidR="002D0AE7" w:rsidRDefault="00333EBB">
            <w:pPr>
              <w:rPr>
                <w:rFonts w:hint="eastAsia"/>
                <w:sz w:val="21"/>
                <w:szCs w:val="21"/>
              </w:rPr>
            </w:pPr>
            <w:r>
              <w:rPr>
                <w:rFonts w:hint="eastAsia"/>
                <w:sz w:val="21"/>
                <w:szCs w:val="21"/>
              </w:rPr>
              <w:t>七、</w:t>
            </w:r>
            <w:r>
              <w:rPr>
                <w:sz w:val="21"/>
                <w:szCs w:val="21"/>
              </w:rPr>
              <w:t>26</w:t>
            </w:r>
          </w:p>
        </w:tc>
        <w:tc>
          <w:tcPr>
            <w:tcW w:w="1030" w:type="pct"/>
            <w:tcBorders>
              <w:top w:val="outset" w:sz="6" w:space="0" w:color="auto"/>
              <w:left w:val="outset" w:sz="6" w:space="0" w:color="auto"/>
              <w:bottom w:val="outset" w:sz="6" w:space="0" w:color="auto"/>
              <w:right w:val="outset" w:sz="6" w:space="0" w:color="auto"/>
            </w:tcBorders>
            <w:vAlign w:val="center"/>
          </w:tcPr>
          <w:p w14:paraId="4511B6A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306,736,194.54</w:t>
            </w:r>
          </w:p>
        </w:tc>
        <w:tc>
          <w:tcPr>
            <w:tcW w:w="1026" w:type="pct"/>
            <w:tcBorders>
              <w:top w:val="outset" w:sz="6" w:space="0" w:color="auto"/>
              <w:left w:val="outset" w:sz="6" w:space="0" w:color="auto"/>
              <w:bottom w:val="outset" w:sz="6" w:space="0" w:color="auto"/>
              <w:right w:val="outset" w:sz="6" w:space="0" w:color="auto"/>
            </w:tcBorders>
            <w:vAlign w:val="center"/>
          </w:tcPr>
          <w:p w14:paraId="5398863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404,704,609.01</w:t>
            </w:r>
          </w:p>
        </w:tc>
      </w:tr>
      <w:tr w:rsidR="002D0AE7" w14:paraId="3B4534EE"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7A62786D"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其他流动负债</w:t>
            </w:r>
          </w:p>
        </w:tc>
        <w:tc>
          <w:tcPr>
            <w:tcW w:w="515" w:type="pct"/>
            <w:tcBorders>
              <w:top w:val="outset" w:sz="6" w:space="0" w:color="auto"/>
              <w:left w:val="outset" w:sz="6" w:space="0" w:color="auto"/>
              <w:bottom w:val="outset" w:sz="6" w:space="0" w:color="auto"/>
              <w:right w:val="outset" w:sz="6" w:space="0" w:color="auto"/>
            </w:tcBorders>
          </w:tcPr>
          <w:p w14:paraId="2EB2EEB3" w14:textId="77777777" w:rsidR="002D0AE7" w:rsidRDefault="00333EBB">
            <w:pPr>
              <w:rPr>
                <w:rFonts w:hint="eastAsia"/>
                <w:sz w:val="21"/>
                <w:szCs w:val="21"/>
              </w:rPr>
            </w:pPr>
            <w:r>
              <w:rPr>
                <w:rFonts w:hint="eastAsia"/>
                <w:sz w:val="21"/>
                <w:szCs w:val="21"/>
              </w:rPr>
              <w:t>七、</w:t>
            </w:r>
            <w:r>
              <w:rPr>
                <w:sz w:val="21"/>
                <w:szCs w:val="21"/>
              </w:rPr>
              <w:t>27</w:t>
            </w:r>
          </w:p>
        </w:tc>
        <w:tc>
          <w:tcPr>
            <w:tcW w:w="1030" w:type="pct"/>
            <w:tcBorders>
              <w:top w:val="outset" w:sz="6" w:space="0" w:color="auto"/>
              <w:left w:val="outset" w:sz="6" w:space="0" w:color="auto"/>
              <w:bottom w:val="outset" w:sz="6" w:space="0" w:color="auto"/>
              <w:right w:val="outset" w:sz="6" w:space="0" w:color="auto"/>
            </w:tcBorders>
            <w:vAlign w:val="center"/>
          </w:tcPr>
          <w:p w14:paraId="217C21A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9,974,315.38</w:t>
            </w:r>
          </w:p>
        </w:tc>
        <w:tc>
          <w:tcPr>
            <w:tcW w:w="1026" w:type="pct"/>
            <w:tcBorders>
              <w:top w:val="outset" w:sz="6" w:space="0" w:color="auto"/>
              <w:left w:val="outset" w:sz="6" w:space="0" w:color="auto"/>
              <w:bottom w:val="outset" w:sz="6" w:space="0" w:color="auto"/>
              <w:right w:val="outset" w:sz="6" w:space="0" w:color="auto"/>
            </w:tcBorders>
            <w:vAlign w:val="center"/>
          </w:tcPr>
          <w:p w14:paraId="3224726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16,395,611.38</w:t>
            </w:r>
          </w:p>
        </w:tc>
      </w:tr>
      <w:tr w:rsidR="002D0AE7" w14:paraId="33E6BCD9"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690C56B1"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流动负债合计</w:t>
            </w:r>
          </w:p>
        </w:tc>
        <w:tc>
          <w:tcPr>
            <w:tcW w:w="515" w:type="pct"/>
            <w:tcBorders>
              <w:top w:val="outset" w:sz="6" w:space="0" w:color="auto"/>
              <w:left w:val="outset" w:sz="6" w:space="0" w:color="auto"/>
              <w:bottom w:val="outset" w:sz="6" w:space="0" w:color="auto"/>
              <w:right w:val="outset" w:sz="6" w:space="0" w:color="auto"/>
            </w:tcBorders>
            <w:vAlign w:val="center"/>
          </w:tcPr>
          <w:p w14:paraId="1966A20A"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1163160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1,719,250,536.82</w:t>
            </w:r>
          </w:p>
        </w:tc>
        <w:tc>
          <w:tcPr>
            <w:tcW w:w="1026" w:type="pct"/>
            <w:tcBorders>
              <w:top w:val="outset" w:sz="6" w:space="0" w:color="auto"/>
              <w:left w:val="outset" w:sz="6" w:space="0" w:color="auto"/>
              <w:bottom w:val="outset" w:sz="6" w:space="0" w:color="auto"/>
              <w:right w:val="outset" w:sz="6" w:space="0" w:color="auto"/>
            </w:tcBorders>
            <w:vAlign w:val="center"/>
          </w:tcPr>
          <w:p w14:paraId="2150CD7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1,940,298,948.53</w:t>
            </w:r>
          </w:p>
        </w:tc>
      </w:tr>
      <w:tr w:rsidR="002D0AE7" w14:paraId="12BC6379" w14:textId="77777777">
        <w:trPr>
          <w:jc w:val="center"/>
        </w:trPr>
        <w:sdt>
          <w:sdtPr>
            <w:rPr>
              <w:color w:val="000000" w:themeColor="text1"/>
              <w:sz w:val="21"/>
              <w:szCs w:val="21"/>
            </w:rPr>
            <w:tag w:val="_PLD_e92d79badc1945afbed8782cdacf599f"/>
            <w:id w:val="-1287042232"/>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35E7A547" w14:textId="77777777" w:rsidR="002D0AE7" w:rsidRDefault="00333EBB">
                <w:pPr>
                  <w:rPr>
                    <w:rFonts w:hint="eastAsia"/>
                    <w:color w:val="000000" w:themeColor="text1"/>
                    <w:sz w:val="21"/>
                    <w:szCs w:val="21"/>
                  </w:rPr>
                </w:pPr>
                <w:r>
                  <w:rPr>
                    <w:rFonts w:hint="eastAsia"/>
                    <w:b/>
                    <w:color w:val="000000" w:themeColor="text1"/>
                    <w:sz w:val="21"/>
                    <w:szCs w:val="21"/>
                  </w:rPr>
                  <w:t>非流动负债：</w:t>
                </w:r>
              </w:p>
            </w:tc>
          </w:sdtContent>
        </w:sdt>
      </w:tr>
      <w:tr w:rsidR="002D0AE7" w14:paraId="47A467EC"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6040C1CB"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保险合同准备金</w:t>
            </w:r>
          </w:p>
        </w:tc>
        <w:tc>
          <w:tcPr>
            <w:tcW w:w="515" w:type="pct"/>
            <w:tcBorders>
              <w:top w:val="outset" w:sz="6" w:space="0" w:color="auto"/>
              <w:left w:val="outset" w:sz="6" w:space="0" w:color="auto"/>
              <w:bottom w:val="outset" w:sz="6" w:space="0" w:color="auto"/>
              <w:right w:val="outset" w:sz="6" w:space="0" w:color="auto"/>
            </w:tcBorders>
            <w:vAlign w:val="center"/>
          </w:tcPr>
          <w:p w14:paraId="2F57625D"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4665468D"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365074FA" w14:textId="77777777" w:rsidR="002D0AE7" w:rsidRDefault="002D0AE7">
            <w:pPr>
              <w:jc w:val="right"/>
              <w:rPr>
                <w:rFonts w:ascii="Times New Roman" w:hAnsi="Times New Roman" w:cs="Times New Roman"/>
                <w:sz w:val="21"/>
                <w:szCs w:val="21"/>
              </w:rPr>
            </w:pPr>
          </w:p>
        </w:tc>
      </w:tr>
      <w:tr w:rsidR="002D0AE7" w14:paraId="163DA35F"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09339F0E"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长期借款</w:t>
            </w:r>
          </w:p>
        </w:tc>
        <w:tc>
          <w:tcPr>
            <w:tcW w:w="515" w:type="pct"/>
            <w:tcBorders>
              <w:top w:val="outset" w:sz="6" w:space="0" w:color="auto"/>
              <w:left w:val="outset" w:sz="6" w:space="0" w:color="auto"/>
              <w:bottom w:val="outset" w:sz="6" w:space="0" w:color="auto"/>
              <w:right w:val="outset" w:sz="6" w:space="0" w:color="auto"/>
            </w:tcBorders>
            <w:vAlign w:val="center"/>
          </w:tcPr>
          <w:p w14:paraId="1C699928" w14:textId="77777777" w:rsidR="002D0AE7" w:rsidRDefault="00333EBB">
            <w:pPr>
              <w:rPr>
                <w:rFonts w:hint="eastAsia"/>
                <w:sz w:val="21"/>
                <w:szCs w:val="21"/>
              </w:rPr>
            </w:pPr>
            <w:r>
              <w:rPr>
                <w:rFonts w:hint="eastAsia"/>
                <w:sz w:val="21"/>
                <w:szCs w:val="21"/>
              </w:rPr>
              <w:t>七、</w:t>
            </w:r>
            <w:r>
              <w:rPr>
                <w:sz w:val="21"/>
                <w:szCs w:val="21"/>
              </w:rPr>
              <w:t>28</w:t>
            </w:r>
          </w:p>
        </w:tc>
        <w:tc>
          <w:tcPr>
            <w:tcW w:w="1030" w:type="pct"/>
            <w:tcBorders>
              <w:top w:val="outset" w:sz="6" w:space="0" w:color="auto"/>
              <w:left w:val="outset" w:sz="6" w:space="0" w:color="auto"/>
              <w:bottom w:val="outset" w:sz="6" w:space="0" w:color="auto"/>
              <w:right w:val="outset" w:sz="6" w:space="0" w:color="auto"/>
            </w:tcBorders>
            <w:vAlign w:val="center"/>
          </w:tcPr>
          <w:p w14:paraId="1A25486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373,469,443.00</w:t>
            </w:r>
          </w:p>
        </w:tc>
        <w:tc>
          <w:tcPr>
            <w:tcW w:w="1026" w:type="pct"/>
            <w:tcBorders>
              <w:top w:val="outset" w:sz="6" w:space="0" w:color="auto"/>
              <w:left w:val="outset" w:sz="6" w:space="0" w:color="auto"/>
              <w:bottom w:val="outset" w:sz="6" w:space="0" w:color="auto"/>
              <w:right w:val="outset" w:sz="6" w:space="0" w:color="auto"/>
            </w:tcBorders>
            <w:vAlign w:val="center"/>
          </w:tcPr>
          <w:p w14:paraId="235886F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277,000,000.00</w:t>
            </w:r>
          </w:p>
        </w:tc>
      </w:tr>
      <w:tr w:rsidR="002D0AE7" w14:paraId="6512741B"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55B1227E"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应付债券</w:t>
            </w:r>
          </w:p>
        </w:tc>
        <w:tc>
          <w:tcPr>
            <w:tcW w:w="515" w:type="pct"/>
            <w:tcBorders>
              <w:top w:val="outset" w:sz="6" w:space="0" w:color="auto"/>
              <w:left w:val="outset" w:sz="6" w:space="0" w:color="auto"/>
              <w:bottom w:val="outset" w:sz="6" w:space="0" w:color="auto"/>
              <w:right w:val="outset" w:sz="6" w:space="0" w:color="auto"/>
            </w:tcBorders>
            <w:vAlign w:val="center"/>
          </w:tcPr>
          <w:p w14:paraId="07851158"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16F72115"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21BCDA61" w14:textId="77777777" w:rsidR="002D0AE7" w:rsidRDefault="002D0AE7">
            <w:pPr>
              <w:jc w:val="right"/>
              <w:rPr>
                <w:rFonts w:ascii="Times New Roman" w:hAnsi="Times New Roman" w:cs="Times New Roman"/>
                <w:sz w:val="21"/>
                <w:szCs w:val="21"/>
              </w:rPr>
            </w:pPr>
          </w:p>
        </w:tc>
      </w:tr>
      <w:tr w:rsidR="002D0AE7" w14:paraId="0CDFA9C4"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0FFD2AD8"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其中：优先股</w:t>
            </w:r>
          </w:p>
        </w:tc>
        <w:tc>
          <w:tcPr>
            <w:tcW w:w="515" w:type="pct"/>
            <w:tcBorders>
              <w:top w:val="outset" w:sz="6" w:space="0" w:color="auto"/>
              <w:left w:val="outset" w:sz="6" w:space="0" w:color="auto"/>
              <w:bottom w:val="outset" w:sz="6" w:space="0" w:color="auto"/>
              <w:right w:val="outset" w:sz="6" w:space="0" w:color="auto"/>
            </w:tcBorders>
            <w:vAlign w:val="center"/>
          </w:tcPr>
          <w:p w14:paraId="7E615DAF"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7853EBC5"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4688E5AB" w14:textId="77777777" w:rsidR="002D0AE7" w:rsidRDefault="002D0AE7">
            <w:pPr>
              <w:jc w:val="right"/>
              <w:rPr>
                <w:rFonts w:ascii="Times New Roman" w:hAnsi="Times New Roman" w:cs="Times New Roman"/>
                <w:sz w:val="21"/>
                <w:szCs w:val="21"/>
              </w:rPr>
            </w:pPr>
          </w:p>
        </w:tc>
      </w:tr>
      <w:tr w:rsidR="002D0AE7" w14:paraId="1B101E23"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7B80731B" w14:textId="77777777" w:rsidR="002D0AE7" w:rsidRDefault="00333EBB">
            <w:pPr>
              <w:ind w:leftChars="300" w:left="720" w:firstLineChars="100" w:firstLine="210"/>
              <w:rPr>
                <w:rFonts w:hint="eastAsia"/>
                <w:color w:val="000000" w:themeColor="text1"/>
                <w:sz w:val="21"/>
                <w:szCs w:val="21"/>
              </w:rPr>
            </w:pPr>
            <w:r>
              <w:rPr>
                <w:rFonts w:hint="eastAsia"/>
                <w:color w:val="000000" w:themeColor="text1"/>
                <w:sz w:val="21"/>
                <w:szCs w:val="21"/>
              </w:rPr>
              <w:t>永续债</w:t>
            </w:r>
          </w:p>
        </w:tc>
        <w:tc>
          <w:tcPr>
            <w:tcW w:w="515" w:type="pct"/>
            <w:tcBorders>
              <w:top w:val="outset" w:sz="6" w:space="0" w:color="auto"/>
              <w:left w:val="outset" w:sz="6" w:space="0" w:color="auto"/>
              <w:bottom w:val="outset" w:sz="6" w:space="0" w:color="auto"/>
              <w:right w:val="outset" w:sz="6" w:space="0" w:color="auto"/>
            </w:tcBorders>
            <w:vAlign w:val="center"/>
          </w:tcPr>
          <w:p w14:paraId="09CCC7C6"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1018BF3D"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206D4581" w14:textId="77777777" w:rsidR="002D0AE7" w:rsidRDefault="002D0AE7">
            <w:pPr>
              <w:jc w:val="right"/>
              <w:rPr>
                <w:rFonts w:ascii="Times New Roman" w:hAnsi="Times New Roman" w:cs="Times New Roman"/>
                <w:sz w:val="21"/>
                <w:szCs w:val="21"/>
              </w:rPr>
            </w:pPr>
          </w:p>
        </w:tc>
      </w:tr>
      <w:tr w:rsidR="002D0AE7" w14:paraId="27920890"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5460E800"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租赁负债</w:t>
            </w:r>
          </w:p>
        </w:tc>
        <w:tc>
          <w:tcPr>
            <w:tcW w:w="515" w:type="pct"/>
            <w:tcBorders>
              <w:top w:val="outset" w:sz="6" w:space="0" w:color="auto"/>
              <w:left w:val="outset" w:sz="6" w:space="0" w:color="auto"/>
              <w:bottom w:val="outset" w:sz="6" w:space="0" w:color="auto"/>
              <w:right w:val="outset" w:sz="6" w:space="0" w:color="auto"/>
            </w:tcBorders>
            <w:vAlign w:val="center"/>
          </w:tcPr>
          <w:p w14:paraId="24B12630"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3B12BF47"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5940D757" w14:textId="77777777" w:rsidR="002D0AE7" w:rsidRDefault="002D0AE7">
            <w:pPr>
              <w:jc w:val="right"/>
              <w:rPr>
                <w:rFonts w:ascii="Times New Roman" w:hAnsi="Times New Roman" w:cs="Times New Roman"/>
                <w:sz w:val="21"/>
                <w:szCs w:val="21"/>
              </w:rPr>
            </w:pPr>
          </w:p>
        </w:tc>
      </w:tr>
      <w:tr w:rsidR="002D0AE7" w14:paraId="47C98510"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285F3BA1"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长期应付款</w:t>
            </w:r>
          </w:p>
        </w:tc>
        <w:tc>
          <w:tcPr>
            <w:tcW w:w="515" w:type="pct"/>
            <w:tcBorders>
              <w:top w:val="outset" w:sz="6" w:space="0" w:color="auto"/>
              <w:left w:val="outset" w:sz="6" w:space="0" w:color="auto"/>
              <w:bottom w:val="outset" w:sz="6" w:space="0" w:color="auto"/>
              <w:right w:val="outset" w:sz="6" w:space="0" w:color="auto"/>
            </w:tcBorders>
            <w:vAlign w:val="center"/>
          </w:tcPr>
          <w:p w14:paraId="687F559E"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78048F32"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61F67A95" w14:textId="77777777" w:rsidR="002D0AE7" w:rsidRDefault="002D0AE7">
            <w:pPr>
              <w:jc w:val="right"/>
              <w:rPr>
                <w:rFonts w:ascii="Times New Roman" w:hAnsi="Times New Roman" w:cs="Times New Roman"/>
                <w:sz w:val="21"/>
                <w:szCs w:val="21"/>
              </w:rPr>
            </w:pPr>
          </w:p>
        </w:tc>
      </w:tr>
      <w:tr w:rsidR="002D0AE7" w14:paraId="7A9B533C"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190295F9"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长期应付职工薪酬</w:t>
            </w:r>
          </w:p>
        </w:tc>
        <w:tc>
          <w:tcPr>
            <w:tcW w:w="515" w:type="pct"/>
            <w:tcBorders>
              <w:top w:val="outset" w:sz="6" w:space="0" w:color="auto"/>
              <w:left w:val="outset" w:sz="6" w:space="0" w:color="auto"/>
              <w:bottom w:val="outset" w:sz="6" w:space="0" w:color="auto"/>
              <w:right w:val="outset" w:sz="6" w:space="0" w:color="auto"/>
            </w:tcBorders>
            <w:vAlign w:val="center"/>
          </w:tcPr>
          <w:p w14:paraId="13403F29" w14:textId="77777777" w:rsidR="002D0AE7" w:rsidRDefault="00333EBB">
            <w:pPr>
              <w:rPr>
                <w:rFonts w:hint="eastAsia"/>
                <w:sz w:val="21"/>
                <w:szCs w:val="21"/>
              </w:rPr>
            </w:pPr>
            <w:r>
              <w:rPr>
                <w:rFonts w:hint="eastAsia"/>
                <w:sz w:val="21"/>
                <w:szCs w:val="21"/>
              </w:rPr>
              <w:t>七、</w:t>
            </w:r>
            <w:r>
              <w:rPr>
                <w:sz w:val="21"/>
                <w:szCs w:val="21"/>
              </w:rPr>
              <w:t>29</w:t>
            </w:r>
          </w:p>
        </w:tc>
        <w:tc>
          <w:tcPr>
            <w:tcW w:w="1030" w:type="pct"/>
            <w:tcBorders>
              <w:top w:val="outset" w:sz="6" w:space="0" w:color="auto"/>
              <w:left w:val="outset" w:sz="6" w:space="0" w:color="auto"/>
              <w:bottom w:val="outset" w:sz="6" w:space="0" w:color="auto"/>
              <w:right w:val="outset" w:sz="6" w:space="0" w:color="auto"/>
            </w:tcBorders>
            <w:vAlign w:val="center"/>
          </w:tcPr>
          <w:p w14:paraId="22C3C93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8,060,000.00</w:t>
            </w:r>
          </w:p>
        </w:tc>
        <w:tc>
          <w:tcPr>
            <w:tcW w:w="1026" w:type="pct"/>
            <w:tcBorders>
              <w:top w:val="outset" w:sz="6" w:space="0" w:color="auto"/>
              <w:left w:val="outset" w:sz="6" w:space="0" w:color="auto"/>
              <w:bottom w:val="outset" w:sz="6" w:space="0" w:color="auto"/>
              <w:right w:val="outset" w:sz="6" w:space="0" w:color="auto"/>
            </w:tcBorders>
            <w:vAlign w:val="center"/>
          </w:tcPr>
          <w:p w14:paraId="4C0BC54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8,060,000.00</w:t>
            </w:r>
          </w:p>
        </w:tc>
      </w:tr>
      <w:tr w:rsidR="002D0AE7" w14:paraId="42F1242D"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33D511F8"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预计负债</w:t>
            </w:r>
          </w:p>
        </w:tc>
        <w:tc>
          <w:tcPr>
            <w:tcW w:w="515" w:type="pct"/>
            <w:tcBorders>
              <w:top w:val="outset" w:sz="6" w:space="0" w:color="auto"/>
              <w:left w:val="outset" w:sz="6" w:space="0" w:color="auto"/>
              <w:bottom w:val="outset" w:sz="6" w:space="0" w:color="auto"/>
              <w:right w:val="outset" w:sz="6" w:space="0" w:color="auto"/>
            </w:tcBorders>
            <w:vAlign w:val="center"/>
          </w:tcPr>
          <w:p w14:paraId="101F2399"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15A56985"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05CDCAFE" w14:textId="77777777" w:rsidR="002D0AE7" w:rsidRDefault="002D0AE7">
            <w:pPr>
              <w:jc w:val="right"/>
              <w:rPr>
                <w:rFonts w:ascii="Times New Roman" w:hAnsi="Times New Roman" w:cs="Times New Roman"/>
                <w:sz w:val="21"/>
                <w:szCs w:val="21"/>
              </w:rPr>
            </w:pPr>
          </w:p>
        </w:tc>
      </w:tr>
      <w:tr w:rsidR="002D0AE7" w14:paraId="66716AB8"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3805AB23"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lastRenderedPageBreak/>
              <w:t>递延收益</w:t>
            </w:r>
          </w:p>
        </w:tc>
        <w:tc>
          <w:tcPr>
            <w:tcW w:w="515" w:type="pct"/>
            <w:tcBorders>
              <w:top w:val="outset" w:sz="6" w:space="0" w:color="auto"/>
              <w:left w:val="outset" w:sz="6" w:space="0" w:color="auto"/>
              <w:bottom w:val="outset" w:sz="6" w:space="0" w:color="auto"/>
              <w:right w:val="outset" w:sz="6" w:space="0" w:color="auto"/>
            </w:tcBorders>
            <w:vAlign w:val="center"/>
          </w:tcPr>
          <w:p w14:paraId="4C8340EB" w14:textId="77777777" w:rsidR="002D0AE7" w:rsidRDefault="00333EBB">
            <w:pPr>
              <w:rPr>
                <w:rFonts w:hint="eastAsia"/>
                <w:sz w:val="21"/>
                <w:szCs w:val="21"/>
              </w:rPr>
            </w:pPr>
            <w:r>
              <w:rPr>
                <w:rFonts w:hint="eastAsia"/>
                <w:sz w:val="21"/>
                <w:szCs w:val="21"/>
              </w:rPr>
              <w:t>七、</w:t>
            </w:r>
            <w:r>
              <w:rPr>
                <w:sz w:val="21"/>
                <w:szCs w:val="21"/>
              </w:rPr>
              <w:t>30</w:t>
            </w:r>
          </w:p>
        </w:tc>
        <w:tc>
          <w:tcPr>
            <w:tcW w:w="1030" w:type="pct"/>
            <w:tcBorders>
              <w:top w:val="outset" w:sz="6" w:space="0" w:color="auto"/>
              <w:left w:val="outset" w:sz="6" w:space="0" w:color="auto"/>
              <w:bottom w:val="outset" w:sz="6" w:space="0" w:color="auto"/>
              <w:right w:val="outset" w:sz="6" w:space="0" w:color="auto"/>
            </w:tcBorders>
            <w:vAlign w:val="center"/>
          </w:tcPr>
          <w:p w14:paraId="625E641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144,875,044.84</w:t>
            </w:r>
          </w:p>
        </w:tc>
        <w:tc>
          <w:tcPr>
            <w:tcW w:w="1026" w:type="pct"/>
            <w:tcBorders>
              <w:top w:val="outset" w:sz="6" w:space="0" w:color="auto"/>
              <w:left w:val="outset" w:sz="6" w:space="0" w:color="auto"/>
              <w:bottom w:val="outset" w:sz="6" w:space="0" w:color="auto"/>
              <w:right w:val="outset" w:sz="6" w:space="0" w:color="auto"/>
            </w:tcBorders>
            <w:vAlign w:val="center"/>
          </w:tcPr>
          <w:p w14:paraId="5A32B5B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144,988,881.20</w:t>
            </w:r>
          </w:p>
        </w:tc>
      </w:tr>
      <w:tr w:rsidR="002D0AE7" w14:paraId="2B2AB976"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2817F4C1"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递延所得税负债</w:t>
            </w:r>
          </w:p>
        </w:tc>
        <w:tc>
          <w:tcPr>
            <w:tcW w:w="515" w:type="pct"/>
            <w:tcBorders>
              <w:top w:val="outset" w:sz="6" w:space="0" w:color="auto"/>
              <w:left w:val="outset" w:sz="6" w:space="0" w:color="auto"/>
              <w:bottom w:val="outset" w:sz="6" w:space="0" w:color="auto"/>
              <w:right w:val="outset" w:sz="6" w:space="0" w:color="auto"/>
            </w:tcBorders>
            <w:vAlign w:val="center"/>
          </w:tcPr>
          <w:p w14:paraId="3A1556C5" w14:textId="77777777" w:rsidR="002D0AE7" w:rsidRDefault="00333EBB">
            <w:pPr>
              <w:rPr>
                <w:rFonts w:hint="eastAsia"/>
                <w:sz w:val="21"/>
                <w:szCs w:val="21"/>
              </w:rPr>
            </w:pPr>
            <w:r>
              <w:rPr>
                <w:rFonts w:hint="eastAsia"/>
                <w:sz w:val="21"/>
                <w:szCs w:val="21"/>
              </w:rPr>
              <w:t>七、</w:t>
            </w:r>
            <w:r>
              <w:rPr>
                <w:rFonts w:hint="eastAsia"/>
                <w:sz w:val="21"/>
                <w:szCs w:val="21"/>
              </w:rPr>
              <w:t>1</w:t>
            </w:r>
            <w:r>
              <w:rPr>
                <w:sz w:val="21"/>
                <w:szCs w:val="21"/>
              </w:rPr>
              <w:t>5</w:t>
            </w:r>
          </w:p>
        </w:tc>
        <w:tc>
          <w:tcPr>
            <w:tcW w:w="1030" w:type="pct"/>
            <w:tcBorders>
              <w:top w:val="outset" w:sz="6" w:space="0" w:color="auto"/>
              <w:left w:val="outset" w:sz="6" w:space="0" w:color="auto"/>
              <w:bottom w:val="outset" w:sz="6" w:space="0" w:color="auto"/>
              <w:right w:val="outset" w:sz="6" w:space="0" w:color="auto"/>
            </w:tcBorders>
            <w:vAlign w:val="center"/>
          </w:tcPr>
          <w:p w14:paraId="5FAEA86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17,962,852.49</w:t>
            </w:r>
          </w:p>
        </w:tc>
        <w:tc>
          <w:tcPr>
            <w:tcW w:w="1026" w:type="pct"/>
            <w:tcBorders>
              <w:top w:val="outset" w:sz="6" w:space="0" w:color="auto"/>
              <w:left w:val="outset" w:sz="6" w:space="0" w:color="auto"/>
              <w:bottom w:val="outset" w:sz="6" w:space="0" w:color="auto"/>
              <w:right w:val="outset" w:sz="6" w:space="0" w:color="auto"/>
            </w:tcBorders>
            <w:vAlign w:val="center"/>
          </w:tcPr>
          <w:p w14:paraId="4A7FFD7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18,117,064.65</w:t>
            </w:r>
          </w:p>
        </w:tc>
      </w:tr>
      <w:tr w:rsidR="002D0AE7" w14:paraId="0BD95A82"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21199C71"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其他非流动负债</w:t>
            </w:r>
          </w:p>
        </w:tc>
        <w:tc>
          <w:tcPr>
            <w:tcW w:w="515" w:type="pct"/>
            <w:tcBorders>
              <w:top w:val="outset" w:sz="6" w:space="0" w:color="auto"/>
              <w:left w:val="outset" w:sz="6" w:space="0" w:color="auto"/>
              <w:bottom w:val="outset" w:sz="6" w:space="0" w:color="auto"/>
              <w:right w:val="outset" w:sz="6" w:space="0" w:color="auto"/>
            </w:tcBorders>
            <w:vAlign w:val="center"/>
          </w:tcPr>
          <w:p w14:paraId="6E9353D8" w14:textId="77777777" w:rsidR="002D0AE7" w:rsidRDefault="00333EBB">
            <w:pPr>
              <w:rPr>
                <w:rFonts w:hint="eastAsia"/>
                <w:sz w:val="21"/>
                <w:szCs w:val="21"/>
              </w:rPr>
            </w:pPr>
            <w:r>
              <w:rPr>
                <w:rFonts w:hint="eastAsia"/>
                <w:sz w:val="21"/>
                <w:szCs w:val="21"/>
              </w:rPr>
              <w:t>七、</w:t>
            </w:r>
            <w:r>
              <w:rPr>
                <w:sz w:val="21"/>
                <w:szCs w:val="21"/>
              </w:rPr>
              <w:t>31</w:t>
            </w:r>
          </w:p>
        </w:tc>
        <w:tc>
          <w:tcPr>
            <w:tcW w:w="1030" w:type="pct"/>
            <w:tcBorders>
              <w:top w:val="outset" w:sz="6" w:space="0" w:color="auto"/>
              <w:left w:val="outset" w:sz="6" w:space="0" w:color="auto"/>
              <w:bottom w:val="outset" w:sz="6" w:space="0" w:color="auto"/>
              <w:right w:val="outset" w:sz="6" w:space="0" w:color="auto"/>
            </w:tcBorders>
            <w:vAlign w:val="center"/>
          </w:tcPr>
          <w:p w14:paraId="2504798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713,366.04</w:t>
            </w:r>
          </w:p>
        </w:tc>
        <w:tc>
          <w:tcPr>
            <w:tcW w:w="1026" w:type="pct"/>
            <w:tcBorders>
              <w:top w:val="outset" w:sz="6" w:space="0" w:color="auto"/>
              <w:left w:val="outset" w:sz="6" w:space="0" w:color="auto"/>
              <w:bottom w:val="outset" w:sz="6" w:space="0" w:color="auto"/>
              <w:right w:val="outset" w:sz="6" w:space="0" w:color="auto"/>
            </w:tcBorders>
            <w:vAlign w:val="center"/>
          </w:tcPr>
          <w:p w14:paraId="37B73E2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713,366.04</w:t>
            </w:r>
          </w:p>
        </w:tc>
      </w:tr>
      <w:tr w:rsidR="002D0AE7" w14:paraId="25B88B21"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2C71E101"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非流动负债合计</w:t>
            </w:r>
          </w:p>
        </w:tc>
        <w:tc>
          <w:tcPr>
            <w:tcW w:w="515" w:type="pct"/>
            <w:tcBorders>
              <w:top w:val="outset" w:sz="6" w:space="0" w:color="auto"/>
              <w:left w:val="outset" w:sz="6" w:space="0" w:color="auto"/>
              <w:bottom w:val="outset" w:sz="6" w:space="0" w:color="auto"/>
              <w:right w:val="outset" w:sz="6" w:space="0" w:color="auto"/>
            </w:tcBorders>
            <w:vAlign w:val="center"/>
          </w:tcPr>
          <w:p w14:paraId="27D1AA8C"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318885C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545,080,706.37</w:t>
            </w:r>
          </w:p>
        </w:tc>
        <w:tc>
          <w:tcPr>
            <w:tcW w:w="1026" w:type="pct"/>
            <w:tcBorders>
              <w:top w:val="outset" w:sz="6" w:space="0" w:color="auto"/>
              <w:left w:val="outset" w:sz="6" w:space="0" w:color="auto"/>
              <w:bottom w:val="outset" w:sz="6" w:space="0" w:color="auto"/>
              <w:right w:val="outset" w:sz="6" w:space="0" w:color="auto"/>
            </w:tcBorders>
            <w:vAlign w:val="center"/>
          </w:tcPr>
          <w:p w14:paraId="5D807FE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448,879,311.89</w:t>
            </w:r>
          </w:p>
        </w:tc>
      </w:tr>
      <w:tr w:rsidR="002D0AE7" w14:paraId="514F1E8B"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33BE3746"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负债合计</w:t>
            </w:r>
          </w:p>
        </w:tc>
        <w:tc>
          <w:tcPr>
            <w:tcW w:w="515" w:type="pct"/>
            <w:tcBorders>
              <w:top w:val="outset" w:sz="6" w:space="0" w:color="auto"/>
              <w:left w:val="outset" w:sz="6" w:space="0" w:color="auto"/>
              <w:bottom w:val="outset" w:sz="6" w:space="0" w:color="auto"/>
              <w:right w:val="outset" w:sz="6" w:space="0" w:color="auto"/>
            </w:tcBorders>
            <w:vAlign w:val="center"/>
          </w:tcPr>
          <w:p w14:paraId="235B3A72"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7DDDDBD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2,264,331,243.19</w:t>
            </w:r>
          </w:p>
        </w:tc>
        <w:tc>
          <w:tcPr>
            <w:tcW w:w="1026" w:type="pct"/>
            <w:tcBorders>
              <w:top w:val="outset" w:sz="6" w:space="0" w:color="auto"/>
              <w:left w:val="outset" w:sz="6" w:space="0" w:color="auto"/>
              <w:bottom w:val="outset" w:sz="6" w:space="0" w:color="auto"/>
              <w:right w:val="outset" w:sz="6" w:space="0" w:color="auto"/>
            </w:tcBorders>
            <w:vAlign w:val="center"/>
          </w:tcPr>
          <w:p w14:paraId="43488CD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2,389,178,260.42</w:t>
            </w:r>
          </w:p>
        </w:tc>
      </w:tr>
      <w:tr w:rsidR="002D0AE7" w14:paraId="18771887" w14:textId="77777777">
        <w:trPr>
          <w:jc w:val="center"/>
        </w:trPr>
        <w:sdt>
          <w:sdtPr>
            <w:rPr>
              <w:color w:val="000000" w:themeColor="text1"/>
              <w:sz w:val="21"/>
              <w:szCs w:val="21"/>
            </w:rPr>
            <w:tag w:val="_PLD_4fe68479676b4c8c840de2211f0c67b8"/>
            <w:id w:val="1341356401"/>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6353948F" w14:textId="77777777" w:rsidR="002D0AE7" w:rsidRDefault="00333EBB">
                <w:pPr>
                  <w:rPr>
                    <w:rFonts w:hint="eastAsia"/>
                    <w:color w:val="000000" w:themeColor="text1"/>
                    <w:sz w:val="21"/>
                    <w:szCs w:val="21"/>
                  </w:rPr>
                </w:pPr>
                <w:r>
                  <w:rPr>
                    <w:rFonts w:hint="eastAsia"/>
                    <w:b/>
                    <w:color w:val="000000" w:themeColor="text1"/>
                    <w:sz w:val="21"/>
                    <w:szCs w:val="21"/>
                  </w:rPr>
                  <w:t>所有者权益（或股东权益）：</w:t>
                </w:r>
              </w:p>
            </w:tc>
          </w:sdtContent>
        </w:sdt>
      </w:tr>
      <w:tr w:rsidR="002D0AE7" w14:paraId="516EA51B"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2BF4C012"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实收资本（或股本）</w:t>
            </w:r>
          </w:p>
        </w:tc>
        <w:tc>
          <w:tcPr>
            <w:tcW w:w="515" w:type="pct"/>
            <w:tcBorders>
              <w:top w:val="outset" w:sz="6" w:space="0" w:color="auto"/>
              <w:left w:val="outset" w:sz="6" w:space="0" w:color="auto"/>
              <w:bottom w:val="outset" w:sz="6" w:space="0" w:color="auto"/>
              <w:right w:val="outset" w:sz="6" w:space="0" w:color="auto"/>
            </w:tcBorders>
            <w:vAlign w:val="center"/>
          </w:tcPr>
          <w:p w14:paraId="677941E3" w14:textId="77777777" w:rsidR="002D0AE7" w:rsidRDefault="00333EBB">
            <w:pPr>
              <w:rPr>
                <w:rFonts w:hint="eastAsia"/>
                <w:sz w:val="21"/>
                <w:szCs w:val="21"/>
              </w:rPr>
            </w:pPr>
            <w:r>
              <w:rPr>
                <w:rFonts w:hint="eastAsia"/>
                <w:sz w:val="21"/>
                <w:szCs w:val="21"/>
              </w:rPr>
              <w:t>七、</w:t>
            </w:r>
            <w:r>
              <w:rPr>
                <w:sz w:val="21"/>
                <w:szCs w:val="21"/>
              </w:rPr>
              <w:t>32</w:t>
            </w:r>
          </w:p>
        </w:tc>
        <w:tc>
          <w:tcPr>
            <w:tcW w:w="1030" w:type="pct"/>
            <w:tcBorders>
              <w:top w:val="outset" w:sz="6" w:space="0" w:color="auto"/>
              <w:left w:val="outset" w:sz="6" w:space="0" w:color="auto"/>
              <w:bottom w:val="outset" w:sz="6" w:space="0" w:color="auto"/>
              <w:right w:val="outset" w:sz="6" w:space="0" w:color="auto"/>
            </w:tcBorders>
            <w:vAlign w:val="center"/>
          </w:tcPr>
          <w:p w14:paraId="31E1890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1,093,932,680.00</w:t>
            </w:r>
          </w:p>
        </w:tc>
        <w:tc>
          <w:tcPr>
            <w:tcW w:w="1026" w:type="pct"/>
            <w:tcBorders>
              <w:top w:val="outset" w:sz="6" w:space="0" w:color="auto"/>
              <w:left w:val="outset" w:sz="6" w:space="0" w:color="auto"/>
              <w:bottom w:val="outset" w:sz="6" w:space="0" w:color="auto"/>
              <w:right w:val="outset" w:sz="6" w:space="0" w:color="auto"/>
            </w:tcBorders>
            <w:vAlign w:val="center"/>
          </w:tcPr>
          <w:p w14:paraId="3452395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1,093,932,680.00</w:t>
            </w:r>
          </w:p>
        </w:tc>
      </w:tr>
      <w:tr w:rsidR="002D0AE7" w14:paraId="53B0F9BB"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1CC0E93B"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其他权益工具</w:t>
            </w:r>
          </w:p>
        </w:tc>
        <w:tc>
          <w:tcPr>
            <w:tcW w:w="515" w:type="pct"/>
            <w:tcBorders>
              <w:top w:val="outset" w:sz="6" w:space="0" w:color="auto"/>
              <w:left w:val="outset" w:sz="6" w:space="0" w:color="auto"/>
              <w:bottom w:val="outset" w:sz="6" w:space="0" w:color="auto"/>
              <w:right w:val="outset" w:sz="6" w:space="0" w:color="auto"/>
            </w:tcBorders>
            <w:vAlign w:val="center"/>
          </w:tcPr>
          <w:p w14:paraId="2FC04FE8"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7FC63817"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7262CF20" w14:textId="77777777" w:rsidR="002D0AE7" w:rsidRDefault="002D0AE7">
            <w:pPr>
              <w:jc w:val="right"/>
              <w:rPr>
                <w:rFonts w:ascii="Times New Roman" w:hAnsi="Times New Roman" w:cs="Times New Roman"/>
                <w:sz w:val="21"/>
                <w:szCs w:val="21"/>
              </w:rPr>
            </w:pPr>
          </w:p>
        </w:tc>
      </w:tr>
      <w:tr w:rsidR="002D0AE7" w14:paraId="26EAA101"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4769658E"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其中：优先股</w:t>
            </w:r>
          </w:p>
        </w:tc>
        <w:tc>
          <w:tcPr>
            <w:tcW w:w="515" w:type="pct"/>
            <w:tcBorders>
              <w:top w:val="outset" w:sz="6" w:space="0" w:color="auto"/>
              <w:left w:val="outset" w:sz="6" w:space="0" w:color="auto"/>
              <w:bottom w:val="outset" w:sz="6" w:space="0" w:color="auto"/>
              <w:right w:val="outset" w:sz="6" w:space="0" w:color="auto"/>
            </w:tcBorders>
            <w:vAlign w:val="center"/>
          </w:tcPr>
          <w:p w14:paraId="3169E4A2"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4674F1D8"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0F6EC0E4" w14:textId="77777777" w:rsidR="002D0AE7" w:rsidRDefault="002D0AE7">
            <w:pPr>
              <w:jc w:val="right"/>
              <w:rPr>
                <w:rFonts w:ascii="Times New Roman" w:hAnsi="Times New Roman" w:cs="Times New Roman"/>
                <w:sz w:val="21"/>
                <w:szCs w:val="21"/>
              </w:rPr>
            </w:pPr>
          </w:p>
        </w:tc>
      </w:tr>
      <w:tr w:rsidR="002D0AE7" w14:paraId="463733EC"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122F635B" w14:textId="77777777" w:rsidR="002D0AE7" w:rsidRDefault="00333EBB">
            <w:pPr>
              <w:ind w:leftChars="300" w:left="720" w:firstLineChars="100" w:firstLine="210"/>
              <w:rPr>
                <w:rFonts w:hint="eastAsia"/>
                <w:color w:val="000000" w:themeColor="text1"/>
                <w:sz w:val="21"/>
                <w:szCs w:val="21"/>
              </w:rPr>
            </w:pPr>
            <w:r>
              <w:rPr>
                <w:rFonts w:hint="eastAsia"/>
                <w:color w:val="000000" w:themeColor="text1"/>
                <w:sz w:val="21"/>
                <w:szCs w:val="21"/>
              </w:rPr>
              <w:t>永续债</w:t>
            </w:r>
          </w:p>
        </w:tc>
        <w:tc>
          <w:tcPr>
            <w:tcW w:w="515" w:type="pct"/>
            <w:tcBorders>
              <w:top w:val="outset" w:sz="6" w:space="0" w:color="auto"/>
              <w:left w:val="outset" w:sz="6" w:space="0" w:color="auto"/>
              <w:bottom w:val="outset" w:sz="6" w:space="0" w:color="auto"/>
              <w:right w:val="outset" w:sz="6" w:space="0" w:color="auto"/>
            </w:tcBorders>
            <w:vAlign w:val="center"/>
          </w:tcPr>
          <w:p w14:paraId="3F03522E"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7D748A6B"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7AEF37A8" w14:textId="77777777" w:rsidR="002D0AE7" w:rsidRDefault="002D0AE7">
            <w:pPr>
              <w:jc w:val="right"/>
              <w:rPr>
                <w:rFonts w:ascii="Times New Roman" w:hAnsi="Times New Roman" w:cs="Times New Roman"/>
                <w:sz w:val="21"/>
                <w:szCs w:val="21"/>
              </w:rPr>
            </w:pPr>
          </w:p>
        </w:tc>
      </w:tr>
      <w:tr w:rsidR="002D0AE7" w14:paraId="19B1E154"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4ECFC35E"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资本公积</w:t>
            </w:r>
          </w:p>
        </w:tc>
        <w:tc>
          <w:tcPr>
            <w:tcW w:w="515" w:type="pct"/>
            <w:tcBorders>
              <w:top w:val="outset" w:sz="6" w:space="0" w:color="auto"/>
              <w:left w:val="outset" w:sz="6" w:space="0" w:color="auto"/>
              <w:bottom w:val="outset" w:sz="6" w:space="0" w:color="auto"/>
              <w:right w:val="outset" w:sz="6" w:space="0" w:color="auto"/>
            </w:tcBorders>
            <w:vAlign w:val="center"/>
          </w:tcPr>
          <w:p w14:paraId="1386D6CD" w14:textId="77777777" w:rsidR="002D0AE7" w:rsidRDefault="00333EBB">
            <w:pPr>
              <w:rPr>
                <w:rFonts w:hint="eastAsia"/>
                <w:sz w:val="21"/>
                <w:szCs w:val="21"/>
              </w:rPr>
            </w:pPr>
            <w:r>
              <w:rPr>
                <w:rFonts w:hint="eastAsia"/>
                <w:sz w:val="21"/>
                <w:szCs w:val="21"/>
              </w:rPr>
              <w:t>七、</w:t>
            </w:r>
            <w:r>
              <w:rPr>
                <w:sz w:val="21"/>
                <w:szCs w:val="21"/>
              </w:rPr>
              <w:t>33</w:t>
            </w:r>
          </w:p>
        </w:tc>
        <w:tc>
          <w:tcPr>
            <w:tcW w:w="1030" w:type="pct"/>
            <w:tcBorders>
              <w:top w:val="outset" w:sz="6" w:space="0" w:color="auto"/>
              <w:left w:val="outset" w:sz="6" w:space="0" w:color="auto"/>
              <w:bottom w:val="outset" w:sz="6" w:space="0" w:color="auto"/>
              <w:right w:val="outset" w:sz="6" w:space="0" w:color="auto"/>
            </w:tcBorders>
            <w:vAlign w:val="center"/>
          </w:tcPr>
          <w:p w14:paraId="36EB2E4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322,190,215.52</w:t>
            </w:r>
          </w:p>
        </w:tc>
        <w:tc>
          <w:tcPr>
            <w:tcW w:w="1026" w:type="pct"/>
            <w:tcBorders>
              <w:top w:val="outset" w:sz="6" w:space="0" w:color="auto"/>
              <w:left w:val="outset" w:sz="6" w:space="0" w:color="auto"/>
              <w:bottom w:val="outset" w:sz="6" w:space="0" w:color="auto"/>
              <w:right w:val="outset" w:sz="6" w:space="0" w:color="auto"/>
            </w:tcBorders>
            <w:vAlign w:val="center"/>
          </w:tcPr>
          <w:p w14:paraId="775BD97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322,190,215.52</w:t>
            </w:r>
          </w:p>
        </w:tc>
      </w:tr>
      <w:tr w:rsidR="002D0AE7" w14:paraId="59DAA03F"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581E112E"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减：库存股</w:t>
            </w:r>
          </w:p>
        </w:tc>
        <w:tc>
          <w:tcPr>
            <w:tcW w:w="515" w:type="pct"/>
            <w:tcBorders>
              <w:top w:val="outset" w:sz="6" w:space="0" w:color="auto"/>
              <w:left w:val="outset" w:sz="6" w:space="0" w:color="auto"/>
              <w:bottom w:val="outset" w:sz="6" w:space="0" w:color="auto"/>
              <w:right w:val="outset" w:sz="6" w:space="0" w:color="auto"/>
            </w:tcBorders>
            <w:vAlign w:val="center"/>
          </w:tcPr>
          <w:p w14:paraId="1485FE5C" w14:textId="77777777" w:rsidR="002D0AE7" w:rsidRDefault="00333EBB">
            <w:pPr>
              <w:rPr>
                <w:rFonts w:hint="eastAsia"/>
                <w:sz w:val="21"/>
                <w:szCs w:val="21"/>
              </w:rPr>
            </w:pPr>
            <w:r>
              <w:rPr>
                <w:rFonts w:hint="eastAsia"/>
                <w:sz w:val="21"/>
                <w:szCs w:val="21"/>
              </w:rPr>
              <w:t>七、</w:t>
            </w:r>
            <w:r>
              <w:rPr>
                <w:sz w:val="21"/>
                <w:szCs w:val="21"/>
              </w:rPr>
              <w:t>34</w:t>
            </w:r>
          </w:p>
        </w:tc>
        <w:tc>
          <w:tcPr>
            <w:tcW w:w="1030" w:type="pct"/>
            <w:tcBorders>
              <w:top w:val="outset" w:sz="6" w:space="0" w:color="auto"/>
              <w:left w:val="outset" w:sz="6" w:space="0" w:color="auto"/>
              <w:bottom w:val="outset" w:sz="6" w:space="0" w:color="auto"/>
              <w:right w:val="outset" w:sz="6" w:space="0" w:color="auto"/>
            </w:tcBorders>
            <w:vAlign w:val="center"/>
          </w:tcPr>
          <w:p w14:paraId="737BD16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4,726,260.00</w:t>
            </w:r>
          </w:p>
        </w:tc>
        <w:tc>
          <w:tcPr>
            <w:tcW w:w="1026" w:type="pct"/>
            <w:tcBorders>
              <w:top w:val="outset" w:sz="6" w:space="0" w:color="auto"/>
              <w:left w:val="outset" w:sz="6" w:space="0" w:color="auto"/>
              <w:bottom w:val="outset" w:sz="6" w:space="0" w:color="auto"/>
              <w:right w:val="outset" w:sz="6" w:space="0" w:color="auto"/>
            </w:tcBorders>
            <w:vAlign w:val="center"/>
          </w:tcPr>
          <w:p w14:paraId="701E6A2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4,726,260.00</w:t>
            </w:r>
          </w:p>
        </w:tc>
      </w:tr>
      <w:tr w:rsidR="002D0AE7" w14:paraId="35BE06BA"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33428181"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其他综合收益</w:t>
            </w:r>
          </w:p>
        </w:tc>
        <w:tc>
          <w:tcPr>
            <w:tcW w:w="515" w:type="pct"/>
            <w:tcBorders>
              <w:top w:val="outset" w:sz="6" w:space="0" w:color="auto"/>
              <w:left w:val="outset" w:sz="6" w:space="0" w:color="auto"/>
              <w:bottom w:val="outset" w:sz="6" w:space="0" w:color="auto"/>
              <w:right w:val="outset" w:sz="6" w:space="0" w:color="auto"/>
            </w:tcBorders>
            <w:vAlign w:val="center"/>
          </w:tcPr>
          <w:p w14:paraId="196F0BEE" w14:textId="77777777" w:rsidR="002D0AE7" w:rsidRDefault="00333EBB">
            <w:pPr>
              <w:rPr>
                <w:rFonts w:hint="eastAsia"/>
                <w:sz w:val="21"/>
                <w:szCs w:val="21"/>
              </w:rPr>
            </w:pPr>
            <w:r>
              <w:rPr>
                <w:rFonts w:hint="eastAsia"/>
                <w:sz w:val="21"/>
                <w:szCs w:val="21"/>
              </w:rPr>
              <w:t>七、</w:t>
            </w:r>
            <w:r>
              <w:rPr>
                <w:sz w:val="21"/>
                <w:szCs w:val="21"/>
              </w:rPr>
              <w:t>35</w:t>
            </w:r>
          </w:p>
        </w:tc>
        <w:tc>
          <w:tcPr>
            <w:tcW w:w="1030" w:type="pct"/>
            <w:tcBorders>
              <w:top w:val="outset" w:sz="6" w:space="0" w:color="auto"/>
              <w:left w:val="outset" w:sz="6" w:space="0" w:color="auto"/>
              <w:bottom w:val="outset" w:sz="6" w:space="0" w:color="auto"/>
              <w:right w:val="outset" w:sz="6" w:space="0" w:color="auto"/>
            </w:tcBorders>
            <w:vAlign w:val="center"/>
          </w:tcPr>
          <w:p w14:paraId="542969A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49,658,370.14</w:t>
            </w:r>
          </w:p>
        </w:tc>
        <w:tc>
          <w:tcPr>
            <w:tcW w:w="1026" w:type="pct"/>
            <w:tcBorders>
              <w:top w:val="outset" w:sz="6" w:space="0" w:color="auto"/>
              <w:left w:val="outset" w:sz="6" w:space="0" w:color="auto"/>
              <w:bottom w:val="outset" w:sz="6" w:space="0" w:color="auto"/>
              <w:right w:val="outset" w:sz="6" w:space="0" w:color="auto"/>
            </w:tcBorders>
            <w:vAlign w:val="center"/>
          </w:tcPr>
          <w:p w14:paraId="53C7DEE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46,953,380.24</w:t>
            </w:r>
          </w:p>
        </w:tc>
      </w:tr>
      <w:tr w:rsidR="002D0AE7" w14:paraId="456BB205"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5614CEC2"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专项储备</w:t>
            </w:r>
          </w:p>
        </w:tc>
        <w:tc>
          <w:tcPr>
            <w:tcW w:w="515" w:type="pct"/>
            <w:tcBorders>
              <w:top w:val="outset" w:sz="6" w:space="0" w:color="auto"/>
              <w:left w:val="outset" w:sz="6" w:space="0" w:color="auto"/>
              <w:bottom w:val="outset" w:sz="6" w:space="0" w:color="auto"/>
              <w:right w:val="outset" w:sz="6" w:space="0" w:color="auto"/>
            </w:tcBorders>
            <w:vAlign w:val="center"/>
          </w:tcPr>
          <w:p w14:paraId="774CC35D" w14:textId="77777777" w:rsidR="002D0AE7" w:rsidRDefault="00333EBB">
            <w:pPr>
              <w:rPr>
                <w:rFonts w:hint="eastAsia"/>
                <w:sz w:val="21"/>
                <w:szCs w:val="21"/>
              </w:rPr>
            </w:pPr>
            <w:r>
              <w:rPr>
                <w:rFonts w:hint="eastAsia"/>
                <w:sz w:val="21"/>
                <w:szCs w:val="21"/>
              </w:rPr>
              <w:t>七、</w:t>
            </w:r>
            <w:r>
              <w:rPr>
                <w:sz w:val="21"/>
                <w:szCs w:val="21"/>
              </w:rPr>
              <w:t>36</w:t>
            </w:r>
          </w:p>
        </w:tc>
        <w:tc>
          <w:tcPr>
            <w:tcW w:w="1030" w:type="pct"/>
            <w:tcBorders>
              <w:top w:val="outset" w:sz="6" w:space="0" w:color="auto"/>
              <w:left w:val="outset" w:sz="6" w:space="0" w:color="auto"/>
              <w:bottom w:val="outset" w:sz="6" w:space="0" w:color="auto"/>
              <w:right w:val="outset" w:sz="6" w:space="0" w:color="auto"/>
            </w:tcBorders>
            <w:vAlign w:val="center"/>
          </w:tcPr>
          <w:p w14:paraId="56EFAD4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1,199,938.05</w:t>
            </w:r>
          </w:p>
        </w:tc>
        <w:tc>
          <w:tcPr>
            <w:tcW w:w="1026" w:type="pct"/>
            <w:tcBorders>
              <w:top w:val="outset" w:sz="6" w:space="0" w:color="auto"/>
              <w:left w:val="outset" w:sz="6" w:space="0" w:color="auto"/>
              <w:bottom w:val="outset" w:sz="6" w:space="0" w:color="auto"/>
              <w:right w:val="outset" w:sz="6" w:space="0" w:color="auto"/>
            </w:tcBorders>
            <w:vAlign w:val="center"/>
          </w:tcPr>
          <w:p w14:paraId="43D7B5F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6B82E2AF"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4F9950FE"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盈余公积</w:t>
            </w:r>
          </w:p>
        </w:tc>
        <w:tc>
          <w:tcPr>
            <w:tcW w:w="515" w:type="pct"/>
            <w:tcBorders>
              <w:top w:val="outset" w:sz="6" w:space="0" w:color="auto"/>
              <w:left w:val="outset" w:sz="6" w:space="0" w:color="auto"/>
              <w:bottom w:val="outset" w:sz="6" w:space="0" w:color="auto"/>
              <w:right w:val="outset" w:sz="6" w:space="0" w:color="auto"/>
            </w:tcBorders>
            <w:vAlign w:val="center"/>
          </w:tcPr>
          <w:p w14:paraId="47C4FEAF" w14:textId="77777777" w:rsidR="002D0AE7" w:rsidRDefault="00333EBB">
            <w:pPr>
              <w:rPr>
                <w:rFonts w:hint="eastAsia"/>
                <w:sz w:val="21"/>
                <w:szCs w:val="21"/>
              </w:rPr>
            </w:pPr>
            <w:r>
              <w:rPr>
                <w:rFonts w:hint="eastAsia"/>
                <w:sz w:val="21"/>
                <w:szCs w:val="21"/>
              </w:rPr>
              <w:t>七、</w:t>
            </w:r>
            <w:r>
              <w:rPr>
                <w:sz w:val="21"/>
                <w:szCs w:val="21"/>
              </w:rPr>
              <w:t>37</w:t>
            </w:r>
          </w:p>
        </w:tc>
        <w:tc>
          <w:tcPr>
            <w:tcW w:w="1030" w:type="pct"/>
            <w:tcBorders>
              <w:top w:val="outset" w:sz="6" w:space="0" w:color="auto"/>
              <w:left w:val="outset" w:sz="6" w:space="0" w:color="auto"/>
              <w:bottom w:val="outset" w:sz="6" w:space="0" w:color="auto"/>
              <w:right w:val="outset" w:sz="6" w:space="0" w:color="auto"/>
            </w:tcBorders>
            <w:vAlign w:val="center"/>
          </w:tcPr>
          <w:p w14:paraId="6B6B545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248,417,943.85</w:t>
            </w:r>
          </w:p>
        </w:tc>
        <w:tc>
          <w:tcPr>
            <w:tcW w:w="1026" w:type="pct"/>
            <w:tcBorders>
              <w:top w:val="outset" w:sz="6" w:space="0" w:color="auto"/>
              <w:left w:val="outset" w:sz="6" w:space="0" w:color="auto"/>
              <w:bottom w:val="outset" w:sz="6" w:space="0" w:color="auto"/>
              <w:right w:val="outset" w:sz="6" w:space="0" w:color="auto"/>
            </w:tcBorders>
            <w:vAlign w:val="center"/>
          </w:tcPr>
          <w:p w14:paraId="0F8E91F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237,483,087.40</w:t>
            </w:r>
          </w:p>
        </w:tc>
      </w:tr>
      <w:tr w:rsidR="002D0AE7" w14:paraId="2097304B"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173F3CA0"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一般风险准备</w:t>
            </w:r>
          </w:p>
        </w:tc>
        <w:tc>
          <w:tcPr>
            <w:tcW w:w="515" w:type="pct"/>
            <w:tcBorders>
              <w:top w:val="outset" w:sz="6" w:space="0" w:color="auto"/>
              <w:left w:val="outset" w:sz="6" w:space="0" w:color="auto"/>
              <w:bottom w:val="outset" w:sz="6" w:space="0" w:color="auto"/>
              <w:right w:val="outset" w:sz="6" w:space="0" w:color="auto"/>
            </w:tcBorders>
            <w:vAlign w:val="center"/>
          </w:tcPr>
          <w:p w14:paraId="70059313"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20E82EA6" w14:textId="77777777" w:rsidR="002D0AE7" w:rsidRDefault="002D0AE7">
            <w:pPr>
              <w:jc w:val="right"/>
              <w:rPr>
                <w:rFonts w:ascii="Times New Roman" w:hAnsi="Times New Roman" w:cs="Times New Roman"/>
                <w:sz w:val="21"/>
                <w:szCs w:val="21"/>
              </w:rPr>
            </w:pPr>
          </w:p>
        </w:tc>
        <w:tc>
          <w:tcPr>
            <w:tcW w:w="1026" w:type="pct"/>
            <w:tcBorders>
              <w:top w:val="outset" w:sz="6" w:space="0" w:color="auto"/>
              <w:left w:val="outset" w:sz="6" w:space="0" w:color="auto"/>
              <w:bottom w:val="outset" w:sz="6" w:space="0" w:color="auto"/>
              <w:right w:val="outset" w:sz="6" w:space="0" w:color="auto"/>
            </w:tcBorders>
            <w:vAlign w:val="center"/>
          </w:tcPr>
          <w:p w14:paraId="06525BC4" w14:textId="77777777" w:rsidR="002D0AE7" w:rsidRDefault="002D0AE7">
            <w:pPr>
              <w:jc w:val="right"/>
              <w:rPr>
                <w:rFonts w:ascii="Times New Roman" w:hAnsi="Times New Roman" w:cs="Times New Roman"/>
                <w:sz w:val="21"/>
                <w:szCs w:val="21"/>
              </w:rPr>
            </w:pPr>
          </w:p>
        </w:tc>
      </w:tr>
      <w:tr w:rsidR="002D0AE7" w14:paraId="3E2AE1FF"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632468AA"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未分配利润</w:t>
            </w:r>
          </w:p>
        </w:tc>
        <w:tc>
          <w:tcPr>
            <w:tcW w:w="515" w:type="pct"/>
            <w:tcBorders>
              <w:top w:val="outset" w:sz="6" w:space="0" w:color="auto"/>
              <w:left w:val="outset" w:sz="6" w:space="0" w:color="auto"/>
              <w:bottom w:val="outset" w:sz="6" w:space="0" w:color="auto"/>
              <w:right w:val="outset" w:sz="6" w:space="0" w:color="auto"/>
            </w:tcBorders>
            <w:vAlign w:val="center"/>
          </w:tcPr>
          <w:p w14:paraId="06D01D2D" w14:textId="77777777" w:rsidR="002D0AE7" w:rsidRDefault="00333EBB">
            <w:pPr>
              <w:rPr>
                <w:rFonts w:hint="eastAsia"/>
                <w:sz w:val="21"/>
                <w:szCs w:val="21"/>
              </w:rPr>
            </w:pPr>
            <w:r>
              <w:rPr>
                <w:rFonts w:hint="eastAsia"/>
                <w:sz w:val="21"/>
                <w:szCs w:val="21"/>
              </w:rPr>
              <w:t>七、</w:t>
            </w:r>
            <w:r>
              <w:rPr>
                <w:sz w:val="21"/>
                <w:szCs w:val="21"/>
              </w:rPr>
              <w:t>38</w:t>
            </w:r>
          </w:p>
        </w:tc>
        <w:tc>
          <w:tcPr>
            <w:tcW w:w="1030" w:type="pct"/>
            <w:tcBorders>
              <w:top w:val="outset" w:sz="6" w:space="0" w:color="auto"/>
              <w:left w:val="outset" w:sz="6" w:space="0" w:color="auto"/>
              <w:bottom w:val="outset" w:sz="6" w:space="0" w:color="auto"/>
              <w:right w:val="outset" w:sz="6" w:space="0" w:color="auto"/>
            </w:tcBorders>
            <w:vAlign w:val="center"/>
          </w:tcPr>
          <w:p w14:paraId="78FBEB8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1,293,634,334.92</w:t>
            </w:r>
          </w:p>
        </w:tc>
        <w:tc>
          <w:tcPr>
            <w:tcW w:w="1026" w:type="pct"/>
            <w:tcBorders>
              <w:top w:val="outset" w:sz="6" w:space="0" w:color="auto"/>
              <w:left w:val="outset" w:sz="6" w:space="0" w:color="auto"/>
              <w:bottom w:val="outset" w:sz="6" w:space="0" w:color="auto"/>
              <w:right w:val="outset" w:sz="6" w:space="0" w:color="auto"/>
            </w:tcBorders>
            <w:vAlign w:val="center"/>
          </w:tcPr>
          <w:p w14:paraId="7387DCB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1,257,721,088.14</w:t>
            </w:r>
          </w:p>
        </w:tc>
      </w:tr>
      <w:tr w:rsidR="002D0AE7" w14:paraId="04726E96"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0E2CD02D"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归属于母公司所有者权益（或股东权益）合计</w:t>
            </w:r>
          </w:p>
        </w:tc>
        <w:tc>
          <w:tcPr>
            <w:tcW w:w="515" w:type="pct"/>
            <w:tcBorders>
              <w:top w:val="outset" w:sz="6" w:space="0" w:color="auto"/>
              <w:left w:val="outset" w:sz="6" w:space="0" w:color="auto"/>
              <w:bottom w:val="outset" w:sz="6" w:space="0" w:color="auto"/>
              <w:right w:val="outset" w:sz="6" w:space="0" w:color="auto"/>
            </w:tcBorders>
            <w:vAlign w:val="center"/>
          </w:tcPr>
          <w:p w14:paraId="683B0E56"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3CA1D7B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3,004,307,222.48</w:t>
            </w:r>
          </w:p>
        </w:tc>
        <w:tc>
          <w:tcPr>
            <w:tcW w:w="1026" w:type="pct"/>
            <w:tcBorders>
              <w:top w:val="outset" w:sz="6" w:space="0" w:color="auto"/>
              <w:left w:val="outset" w:sz="6" w:space="0" w:color="auto"/>
              <w:bottom w:val="outset" w:sz="6" w:space="0" w:color="auto"/>
              <w:right w:val="outset" w:sz="6" w:space="0" w:color="auto"/>
            </w:tcBorders>
            <w:vAlign w:val="center"/>
          </w:tcPr>
          <w:p w14:paraId="27DDD64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2,953,554,191.30</w:t>
            </w:r>
          </w:p>
        </w:tc>
      </w:tr>
      <w:tr w:rsidR="002D0AE7" w14:paraId="58A5DA5C"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35092F95"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少数股东权益</w:t>
            </w:r>
          </w:p>
        </w:tc>
        <w:tc>
          <w:tcPr>
            <w:tcW w:w="515" w:type="pct"/>
            <w:tcBorders>
              <w:top w:val="outset" w:sz="6" w:space="0" w:color="auto"/>
              <w:left w:val="outset" w:sz="6" w:space="0" w:color="auto"/>
              <w:bottom w:val="outset" w:sz="6" w:space="0" w:color="auto"/>
              <w:right w:val="outset" w:sz="6" w:space="0" w:color="auto"/>
            </w:tcBorders>
            <w:vAlign w:val="center"/>
          </w:tcPr>
          <w:p w14:paraId="3C733EB8"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2C39FFA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834,692,352.32</w:t>
            </w:r>
          </w:p>
        </w:tc>
        <w:tc>
          <w:tcPr>
            <w:tcW w:w="1026" w:type="pct"/>
            <w:tcBorders>
              <w:top w:val="outset" w:sz="6" w:space="0" w:color="auto"/>
              <w:left w:val="outset" w:sz="6" w:space="0" w:color="auto"/>
              <w:bottom w:val="outset" w:sz="6" w:space="0" w:color="auto"/>
              <w:right w:val="outset" w:sz="6" w:space="0" w:color="auto"/>
            </w:tcBorders>
            <w:vAlign w:val="center"/>
          </w:tcPr>
          <w:p w14:paraId="48113ED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799,749,747.41</w:t>
            </w:r>
          </w:p>
        </w:tc>
      </w:tr>
      <w:tr w:rsidR="002D0AE7" w14:paraId="74ACF275"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6DB6E418"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所有者权益（或股东权益）合计</w:t>
            </w:r>
          </w:p>
        </w:tc>
        <w:tc>
          <w:tcPr>
            <w:tcW w:w="515" w:type="pct"/>
            <w:tcBorders>
              <w:top w:val="outset" w:sz="6" w:space="0" w:color="auto"/>
              <w:left w:val="outset" w:sz="6" w:space="0" w:color="auto"/>
              <w:bottom w:val="outset" w:sz="6" w:space="0" w:color="auto"/>
              <w:right w:val="outset" w:sz="6" w:space="0" w:color="auto"/>
            </w:tcBorders>
            <w:vAlign w:val="center"/>
          </w:tcPr>
          <w:p w14:paraId="1C596368"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2C475BD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3,838,999,574.80</w:t>
            </w:r>
          </w:p>
        </w:tc>
        <w:tc>
          <w:tcPr>
            <w:tcW w:w="1026" w:type="pct"/>
            <w:tcBorders>
              <w:top w:val="outset" w:sz="6" w:space="0" w:color="auto"/>
              <w:left w:val="outset" w:sz="6" w:space="0" w:color="auto"/>
              <w:bottom w:val="outset" w:sz="6" w:space="0" w:color="auto"/>
              <w:right w:val="outset" w:sz="6" w:space="0" w:color="auto"/>
            </w:tcBorders>
            <w:vAlign w:val="center"/>
          </w:tcPr>
          <w:p w14:paraId="489AC60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3,753,303,938.71</w:t>
            </w:r>
          </w:p>
        </w:tc>
      </w:tr>
      <w:tr w:rsidR="002D0AE7" w14:paraId="12256486" w14:textId="77777777">
        <w:trPr>
          <w:jc w:val="center"/>
        </w:trPr>
        <w:tc>
          <w:tcPr>
            <w:tcW w:w="2429" w:type="pct"/>
            <w:tcBorders>
              <w:top w:val="outset" w:sz="6" w:space="0" w:color="auto"/>
              <w:left w:val="outset" w:sz="6" w:space="0" w:color="auto"/>
              <w:bottom w:val="outset" w:sz="6" w:space="0" w:color="auto"/>
              <w:right w:val="outset" w:sz="6" w:space="0" w:color="auto"/>
            </w:tcBorders>
            <w:vAlign w:val="center"/>
          </w:tcPr>
          <w:p w14:paraId="29DE5782"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负债和所有者权益（或股东权益）总计</w:t>
            </w:r>
          </w:p>
        </w:tc>
        <w:tc>
          <w:tcPr>
            <w:tcW w:w="515" w:type="pct"/>
            <w:tcBorders>
              <w:top w:val="outset" w:sz="6" w:space="0" w:color="auto"/>
              <w:left w:val="outset" w:sz="6" w:space="0" w:color="auto"/>
              <w:bottom w:val="outset" w:sz="6" w:space="0" w:color="auto"/>
              <w:right w:val="outset" w:sz="6" w:space="0" w:color="auto"/>
            </w:tcBorders>
            <w:vAlign w:val="center"/>
          </w:tcPr>
          <w:p w14:paraId="51CFEA5F" w14:textId="77777777" w:rsidR="002D0AE7" w:rsidRDefault="002D0AE7">
            <w:pPr>
              <w:rPr>
                <w:rFonts w:hint="eastAsia"/>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305F17A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6,103,330,817.99</w:t>
            </w:r>
          </w:p>
        </w:tc>
        <w:tc>
          <w:tcPr>
            <w:tcW w:w="1026" w:type="pct"/>
            <w:tcBorders>
              <w:top w:val="outset" w:sz="6" w:space="0" w:color="auto"/>
              <w:left w:val="outset" w:sz="6" w:space="0" w:color="auto"/>
              <w:bottom w:val="outset" w:sz="6" w:space="0" w:color="auto"/>
              <w:right w:val="outset" w:sz="6" w:space="0" w:color="auto"/>
            </w:tcBorders>
            <w:vAlign w:val="center"/>
          </w:tcPr>
          <w:p w14:paraId="4B1C278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6,142,482,199.13</w:t>
            </w:r>
          </w:p>
        </w:tc>
      </w:tr>
    </w:tbl>
    <w:bookmarkEnd w:id="112"/>
    <w:p w14:paraId="3F8E3389" w14:textId="77777777" w:rsidR="002D0AE7" w:rsidRDefault="00333EBB">
      <w:pPr>
        <w:ind w:rightChars="-73" w:right="-175"/>
        <w:rPr>
          <w:rFonts w:hint="eastAsia"/>
          <w:color w:val="000000" w:themeColor="text1"/>
          <w:u w:val="single"/>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82350876809b4479afe9f3c55db147dd"/>
          <w:id w:val="815452601"/>
          <w:placeholder>
            <w:docPart w:val="GBC22222222222222222222222222222"/>
          </w:placeholder>
          <w:dataBinding w:prefixMappings="xmlns:clcid-mr='clcid-mr'" w:xpath="/*/clcid-mr:GongSiFuZeRenXingMing[not(@periodRef)]" w:storeItemID="{89EBAB94-44A0-46A2-B712-30D997D04A6D}"/>
          <w:text/>
        </w:sdtPr>
        <w:sdtEndPr/>
        <w:sdtContent>
          <w:r>
            <w:rPr>
              <w:rFonts w:hint="eastAsia"/>
              <w:color w:val="000000" w:themeColor="text1"/>
            </w:rPr>
            <w:t>李书箱</w:t>
          </w:r>
        </w:sdtContent>
      </w:sdt>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9caf2fff268b41a7b3fe74fc4a3d6533"/>
          <w:id w:val="440806514"/>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color w:val="000000" w:themeColor="text1"/>
            </w:rPr>
            <w:t>朱立延</w:t>
          </w:r>
        </w:sdtContent>
      </w:sdt>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8cacbe4a6fcc41699e67ce809516ec50"/>
          <w:id w:val="1650938589"/>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color w:val="000000" w:themeColor="text1"/>
            </w:rPr>
            <w:t>王于飞</w:t>
          </w:r>
        </w:sdtContent>
      </w:sdt>
    </w:p>
    <w:p w14:paraId="4D5BD3DA" w14:textId="77777777" w:rsidR="002D0AE7" w:rsidRDefault="00333EBB">
      <w:pPr>
        <w:pStyle w:val="3"/>
        <w:jc w:val="center"/>
        <w:rPr>
          <w:rFonts w:ascii="宋体" w:hAnsi="宋体" w:hint="eastAsia"/>
          <w:color w:val="000000" w:themeColor="text1"/>
        </w:rPr>
      </w:pPr>
      <w:r>
        <w:rPr>
          <w:rFonts w:ascii="宋体" w:hAnsi="宋体" w:hint="eastAsia"/>
          <w:color w:val="000000" w:themeColor="text1"/>
        </w:rPr>
        <w:t>母公司</w:t>
      </w:r>
      <w:r>
        <w:rPr>
          <w:rFonts w:ascii="宋体" w:hAnsi="宋体"/>
          <w:color w:val="000000" w:themeColor="text1"/>
        </w:rPr>
        <w:t>资产负债表</w:t>
      </w:r>
    </w:p>
    <w:p w14:paraId="56DB3E2A" w14:textId="77777777" w:rsidR="002D0AE7" w:rsidRDefault="00333EBB">
      <w:pPr>
        <w:snapToGrid w:val="0"/>
        <w:spacing w:line="240" w:lineRule="atLeast"/>
        <w:jc w:val="center"/>
        <w:rPr>
          <w:rFonts w:hint="eastAsia"/>
          <w:b/>
          <w:color w:val="000000" w:themeColor="text1"/>
        </w:rPr>
      </w:pPr>
      <w:r>
        <w:rPr>
          <w:color w:val="000000" w:themeColor="text1"/>
        </w:rPr>
        <w:t>2024</w:t>
      </w:r>
      <w:r>
        <w:rPr>
          <w:color w:val="000000" w:themeColor="text1"/>
        </w:rPr>
        <w:t>年</w:t>
      </w:r>
      <w:r>
        <w:rPr>
          <w:color w:val="000000" w:themeColor="text1"/>
        </w:rPr>
        <w:t>6</w:t>
      </w:r>
      <w:r>
        <w:rPr>
          <w:color w:val="000000" w:themeColor="text1"/>
        </w:rPr>
        <w:t>月</w:t>
      </w:r>
      <w:r>
        <w:rPr>
          <w:color w:val="000000" w:themeColor="text1"/>
        </w:rPr>
        <w:t>30</w:t>
      </w:r>
      <w:r>
        <w:rPr>
          <w:color w:val="000000" w:themeColor="text1"/>
        </w:rPr>
        <w:t>日</w:t>
      </w:r>
    </w:p>
    <w:p w14:paraId="33ECC7A5" w14:textId="77777777" w:rsidR="002D0AE7" w:rsidRDefault="00333EBB">
      <w:pPr>
        <w:rPr>
          <w:rFonts w:hint="eastAsia"/>
          <w:color w:val="000000" w:themeColor="text1"/>
        </w:rPr>
      </w:pPr>
      <w:r>
        <w:rPr>
          <w:color w:val="000000" w:themeColor="text1"/>
        </w:rPr>
        <w:t>编制单位：</w:t>
      </w:r>
      <w:sdt>
        <w:sdtPr>
          <w:rPr>
            <w:color w:val="000000" w:themeColor="text1"/>
          </w:rPr>
          <w:alias w:val="公司法定中文名称"/>
          <w:tag w:val="_GBC_824a3e7402834e78aa66a9ee77d287bc"/>
          <w:id w:val="1204601481"/>
          <w:placeholder>
            <w:docPart w:val="GBC22222222222222222222222222222"/>
          </w:placeholder>
          <w:dataBinding w:prefixMappings="xmlns:clcid-cgi='clcid-cgi'" w:xpath="/*/clcid-cgi:GongSiFaDingZhongWenMingCheng[not(@periodRef)]" w:storeItemID="{89EBAB94-44A0-46A2-B712-30D997D04A6D}"/>
          <w:text/>
        </w:sdtPr>
        <w:sdtEndPr/>
        <w:sdtContent>
          <w:r>
            <w:rPr>
              <w:rFonts w:hint="eastAsia"/>
              <w:color w:val="000000" w:themeColor="text1"/>
            </w:rPr>
            <w:t>津药药业股份有限公司</w:t>
          </w:r>
        </w:sdtContent>
      </w:sdt>
    </w:p>
    <w:p w14:paraId="1DB3DE7C" w14:textId="77777777" w:rsidR="002D0AE7" w:rsidRDefault="00333EBB">
      <w:pPr>
        <w:jc w:val="right"/>
        <w:rPr>
          <w:rFonts w:hint="eastAsia"/>
          <w:color w:val="000000" w:themeColor="text1"/>
        </w:rPr>
      </w:pPr>
      <w:r>
        <w:rPr>
          <w:color w:val="000000" w:themeColor="text1"/>
        </w:rPr>
        <w:t>单位：</w:t>
      </w:r>
      <w:sdt>
        <w:sdtPr>
          <w:rPr>
            <w:color w:val="000000" w:themeColor="text1"/>
          </w:rPr>
          <w:alias w:val="单位：母公司资产负债表"/>
          <w:tag w:val="_GBC_7be010b1a07f4048a3805d40208ccda4"/>
          <w:id w:val="162611326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color w:val="000000" w:themeColor="text1"/>
        </w:rPr>
        <w:t>币种：</w:t>
      </w:r>
      <w:sdt>
        <w:sdtPr>
          <w:rPr>
            <w:color w:val="000000" w:themeColor="text1"/>
          </w:rPr>
          <w:alias w:val="币种：母公司资产负债表"/>
          <w:tag w:val="_GBC_ecd35f8ce6f84d6f8ad30e1e244c15ff"/>
          <w:id w:val="-90776139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57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36"/>
        <w:gridCol w:w="994"/>
        <w:gridCol w:w="2269"/>
        <w:gridCol w:w="2023"/>
      </w:tblGrid>
      <w:tr w:rsidR="002D0AE7" w14:paraId="06D3088A" w14:textId="77777777">
        <w:trPr>
          <w:jc w:val="center"/>
        </w:trPr>
        <w:bookmarkStart w:id="113" w:name="_Hlk105686791" w:displacedByCustomXml="next"/>
        <w:sdt>
          <w:sdtPr>
            <w:rPr>
              <w:b/>
              <w:bCs/>
              <w:color w:val="000000" w:themeColor="text1"/>
              <w:sz w:val="21"/>
              <w:szCs w:val="21"/>
            </w:rPr>
            <w:tag w:val="_PLD_7b231a79acb54050b640bf23dd34ab8c"/>
            <w:id w:val="1221706894"/>
          </w:sdtPr>
          <w:sdtEndPr/>
          <w:sdtContent>
            <w:tc>
              <w:tcPr>
                <w:tcW w:w="2309" w:type="pct"/>
                <w:tcBorders>
                  <w:top w:val="outset" w:sz="6" w:space="0" w:color="auto"/>
                  <w:left w:val="outset" w:sz="6" w:space="0" w:color="auto"/>
                  <w:bottom w:val="outset" w:sz="6" w:space="0" w:color="auto"/>
                  <w:right w:val="outset" w:sz="6" w:space="0" w:color="auto"/>
                </w:tcBorders>
                <w:vAlign w:val="center"/>
              </w:tcPr>
              <w:p w14:paraId="186AF0D9" w14:textId="77777777" w:rsidR="002D0AE7" w:rsidRDefault="00333EBB">
                <w:pPr>
                  <w:jc w:val="center"/>
                  <w:rPr>
                    <w:rFonts w:hint="eastAsia"/>
                    <w:b/>
                    <w:bCs/>
                    <w:color w:val="000000" w:themeColor="text1"/>
                    <w:sz w:val="21"/>
                    <w:szCs w:val="21"/>
                  </w:rPr>
                </w:pPr>
                <w:r>
                  <w:rPr>
                    <w:b/>
                    <w:bCs/>
                    <w:color w:val="000000" w:themeColor="text1"/>
                    <w:sz w:val="21"/>
                    <w:szCs w:val="21"/>
                  </w:rPr>
                  <w:t>项目</w:t>
                </w:r>
              </w:p>
            </w:tc>
          </w:sdtContent>
        </w:sdt>
        <w:sdt>
          <w:sdtPr>
            <w:rPr>
              <w:b/>
              <w:bCs/>
              <w:color w:val="000000" w:themeColor="text1"/>
              <w:sz w:val="21"/>
              <w:szCs w:val="21"/>
            </w:rPr>
            <w:tag w:val="_PLD_5e370aa08a144a709185abd9b2f11c20"/>
            <w:id w:val="-247965734"/>
          </w:sdtPr>
          <w:sdtEndPr/>
          <w:sdtContent>
            <w:tc>
              <w:tcPr>
                <w:tcW w:w="506" w:type="pct"/>
                <w:tcBorders>
                  <w:top w:val="outset" w:sz="6" w:space="0" w:color="auto"/>
                  <w:left w:val="outset" w:sz="6" w:space="0" w:color="auto"/>
                  <w:bottom w:val="outset" w:sz="6" w:space="0" w:color="auto"/>
                  <w:right w:val="outset" w:sz="6" w:space="0" w:color="auto"/>
                </w:tcBorders>
                <w:vAlign w:val="center"/>
              </w:tcPr>
              <w:p w14:paraId="59A67857" w14:textId="77777777" w:rsidR="002D0AE7" w:rsidRDefault="00333EBB">
                <w:pPr>
                  <w:jc w:val="center"/>
                  <w:rPr>
                    <w:rFonts w:hint="eastAsia"/>
                    <w:b/>
                    <w:bCs/>
                    <w:color w:val="000000" w:themeColor="text1"/>
                    <w:sz w:val="21"/>
                    <w:szCs w:val="21"/>
                  </w:rPr>
                </w:pPr>
                <w:r>
                  <w:rPr>
                    <w:rFonts w:hint="eastAsia"/>
                    <w:b/>
                    <w:bCs/>
                    <w:color w:val="000000" w:themeColor="text1"/>
                    <w:sz w:val="21"/>
                    <w:szCs w:val="21"/>
                  </w:rPr>
                  <w:t>附注</w:t>
                </w:r>
              </w:p>
            </w:tc>
          </w:sdtContent>
        </w:sdt>
        <w:sdt>
          <w:sdtPr>
            <w:rPr>
              <w:b/>
              <w:bCs/>
              <w:color w:val="000000" w:themeColor="text1"/>
              <w:sz w:val="21"/>
              <w:szCs w:val="21"/>
            </w:rPr>
            <w:tag w:val="_PLD_0aa0a7a0cd4c45afa7cfb1bcfbba36c3"/>
            <w:id w:val="-1752655975"/>
          </w:sdtPr>
          <w:sdtEndPr/>
          <w:sdtContent>
            <w:tc>
              <w:tcPr>
                <w:tcW w:w="1155" w:type="pct"/>
                <w:tcBorders>
                  <w:top w:val="outset" w:sz="6" w:space="0" w:color="auto"/>
                  <w:left w:val="outset" w:sz="6" w:space="0" w:color="auto"/>
                  <w:bottom w:val="outset" w:sz="6" w:space="0" w:color="auto"/>
                  <w:right w:val="outset" w:sz="6" w:space="0" w:color="auto"/>
                </w:tcBorders>
                <w:vAlign w:val="center"/>
              </w:tcPr>
              <w:p w14:paraId="626394B2" w14:textId="77777777" w:rsidR="002D0AE7" w:rsidRDefault="00333EBB">
                <w:pPr>
                  <w:jc w:val="center"/>
                  <w:rPr>
                    <w:rFonts w:hint="eastAsia"/>
                    <w:b/>
                    <w:bCs/>
                    <w:color w:val="000000" w:themeColor="text1"/>
                    <w:sz w:val="21"/>
                    <w:szCs w:val="21"/>
                  </w:rPr>
                </w:pPr>
                <w:r>
                  <w:rPr>
                    <w:rFonts w:hint="eastAsia"/>
                    <w:b/>
                    <w:bCs/>
                    <w:color w:val="000000" w:themeColor="text1"/>
                    <w:sz w:val="21"/>
                    <w:szCs w:val="21"/>
                  </w:rPr>
                  <w:t>2024</w:t>
                </w:r>
                <w:r>
                  <w:rPr>
                    <w:rFonts w:hint="eastAsia"/>
                    <w:b/>
                    <w:bCs/>
                    <w:color w:val="000000" w:themeColor="text1"/>
                    <w:sz w:val="21"/>
                    <w:szCs w:val="21"/>
                  </w:rPr>
                  <w:t>年</w:t>
                </w:r>
                <w:r>
                  <w:rPr>
                    <w:rFonts w:hint="eastAsia"/>
                    <w:b/>
                    <w:bCs/>
                    <w:color w:val="000000" w:themeColor="text1"/>
                    <w:sz w:val="21"/>
                    <w:szCs w:val="21"/>
                  </w:rPr>
                  <w:t>6</w:t>
                </w:r>
                <w:r>
                  <w:rPr>
                    <w:rFonts w:hint="eastAsia"/>
                    <w:b/>
                    <w:bCs/>
                    <w:color w:val="000000" w:themeColor="text1"/>
                    <w:sz w:val="21"/>
                    <w:szCs w:val="21"/>
                  </w:rPr>
                  <w:t>月</w:t>
                </w:r>
                <w:r>
                  <w:rPr>
                    <w:b/>
                    <w:bCs/>
                    <w:color w:val="000000" w:themeColor="text1"/>
                    <w:sz w:val="21"/>
                    <w:szCs w:val="21"/>
                  </w:rPr>
                  <w:t>3</w:t>
                </w:r>
                <w:r>
                  <w:rPr>
                    <w:rFonts w:hint="eastAsia"/>
                    <w:b/>
                    <w:bCs/>
                    <w:color w:val="000000" w:themeColor="text1"/>
                    <w:sz w:val="21"/>
                    <w:szCs w:val="21"/>
                  </w:rPr>
                  <w:t>0</w:t>
                </w:r>
                <w:r>
                  <w:rPr>
                    <w:rFonts w:hint="eastAsia"/>
                    <w:b/>
                    <w:bCs/>
                    <w:color w:val="000000" w:themeColor="text1"/>
                    <w:sz w:val="21"/>
                    <w:szCs w:val="21"/>
                  </w:rPr>
                  <w:t>日</w:t>
                </w:r>
              </w:p>
            </w:tc>
          </w:sdtContent>
        </w:sdt>
        <w:sdt>
          <w:sdtPr>
            <w:rPr>
              <w:b/>
              <w:bCs/>
              <w:color w:val="000000" w:themeColor="text1"/>
              <w:sz w:val="21"/>
              <w:szCs w:val="21"/>
            </w:rPr>
            <w:tag w:val="_PLD_e986dda0dbc74346a9296e5a4646b696"/>
            <w:id w:val="890234041"/>
          </w:sdtPr>
          <w:sdtEndPr/>
          <w:sdtContent>
            <w:tc>
              <w:tcPr>
                <w:tcW w:w="1030" w:type="pct"/>
                <w:tcBorders>
                  <w:top w:val="outset" w:sz="6" w:space="0" w:color="auto"/>
                  <w:left w:val="outset" w:sz="6" w:space="0" w:color="auto"/>
                  <w:bottom w:val="outset" w:sz="6" w:space="0" w:color="auto"/>
                  <w:right w:val="outset" w:sz="6" w:space="0" w:color="auto"/>
                </w:tcBorders>
                <w:vAlign w:val="center"/>
              </w:tcPr>
              <w:p w14:paraId="214C4A81" w14:textId="77777777" w:rsidR="002D0AE7" w:rsidRDefault="00333EBB">
                <w:pPr>
                  <w:jc w:val="center"/>
                  <w:rPr>
                    <w:rFonts w:hint="eastAsia"/>
                    <w:b/>
                    <w:bCs/>
                    <w:color w:val="000000" w:themeColor="text1"/>
                    <w:sz w:val="21"/>
                    <w:szCs w:val="21"/>
                  </w:rPr>
                </w:pPr>
                <w:r>
                  <w:rPr>
                    <w:b/>
                    <w:bCs/>
                    <w:color w:val="000000" w:themeColor="text1"/>
                    <w:sz w:val="21"/>
                    <w:szCs w:val="21"/>
                  </w:rPr>
                  <w:t>2023</w:t>
                </w:r>
                <w:r>
                  <w:rPr>
                    <w:b/>
                    <w:bCs/>
                    <w:color w:val="000000" w:themeColor="text1"/>
                    <w:sz w:val="21"/>
                    <w:szCs w:val="21"/>
                  </w:rPr>
                  <w:t>年</w:t>
                </w:r>
                <w:r>
                  <w:rPr>
                    <w:b/>
                    <w:bCs/>
                    <w:color w:val="000000" w:themeColor="text1"/>
                    <w:sz w:val="21"/>
                    <w:szCs w:val="21"/>
                  </w:rPr>
                  <w:t>12</w:t>
                </w:r>
                <w:r>
                  <w:rPr>
                    <w:b/>
                    <w:bCs/>
                    <w:color w:val="000000" w:themeColor="text1"/>
                    <w:sz w:val="21"/>
                    <w:szCs w:val="21"/>
                  </w:rPr>
                  <w:t>月</w:t>
                </w:r>
                <w:r>
                  <w:rPr>
                    <w:b/>
                    <w:bCs/>
                    <w:color w:val="000000" w:themeColor="text1"/>
                    <w:sz w:val="21"/>
                    <w:szCs w:val="21"/>
                  </w:rPr>
                  <w:t>31</w:t>
                </w:r>
                <w:r>
                  <w:rPr>
                    <w:b/>
                    <w:bCs/>
                    <w:color w:val="000000" w:themeColor="text1"/>
                    <w:sz w:val="21"/>
                    <w:szCs w:val="21"/>
                  </w:rPr>
                  <w:t>日</w:t>
                </w:r>
              </w:p>
            </w:tc>
          </w:sdtContent>
        </w:sdt>
      </w:tr>
      <w:tr w:rsidR="002D0AE7" w14:paraId="0B327820" w14:textId="77777777">
        <w:trPr>
          <w:jc w:val="center"/>
        </w:trPr>
        <w:sdt>
          <w:sdtPr>
            <w:rPr>
              <w:color w:val="000000" w:themeColor="text1"/>
              <w:sz w:val="21"/>
              <w:szCs w:val="21"/>
            </w:rPr>
            <w:tag w:val="_PLD_64ae72669eea4837a1a220d585585bdf"/>
            <w:id w:val="-185760835"/>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68FB4928" w14:textId="77777777" w:rsidR="002D0AE7" w:rsidRDefault="00333EBB">
                <w:pPr>
                  <w:rPr>
                    <w:rFonts w:hint="eastAsia"/>
                    <w:b/>
                    <w:color w:val="000000" w:themeColor="text1"/>
                    <w:sz w:val="21"/>
                    <w:szCs w:val="21"/>
                  </w:rPr>
                </w:pPr>
                <w:r>
                  <w:rPr>
                    <w:rFonts w:hint="eastAsia"/>
                    <w:b/>
                    <w:color w:val="000000" w:themeColor="text1"/>
                    <w:sz w:val="21"/>
                    <w:szCs w:val="21"/>
                  </w:rPr>
                  <w:t>流动资产：</w:t>
                </w:r>
              </w:p>
            </w:tc>
          </w:sdtContent>
        </w:sdt>
      </w:tr>
      <w:tr w:rsidR="002D0AE7" w14:paraId="43BB778E"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2A370904"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货币资金</w:t>
            </w:r>
          </w:p>
        </w:tc>
        <w:tc>
          <w:tcPr>
            <w:tcW w:w="506" w:type="pct"/>
            <w:tcBorders>
              <w:top w:val="outset" w:sz="6" w:space="0" w:color="auto"/>
              <w:left w:val="outset" w:sz="6" w:space="0" w:color="auto"/>
              <w:bottom w:val="outset" w:sz="6" w:space="0" w:color="auto"/>
              <w:right w:val="outset" w:sz="6" w:space="0" w:color="auto"/>
            </w:tcBorders>
            <w:vAlign w:val="center"/>
          </w:tcPr>
          <w:p w14:paraId="1C61AA6F"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69D41ED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229,003,293.86</w:t>
            </w:r>
          </w:p>
        </w:tc>
        <w:tc>
          <w:tcPr>
            <w:tcW w:w="1030" w:type="pct"/>
            <w:tcBorders>
              <w:top w:val="outset" w:sz="6" w:space="0" w:color="auto"/>
              <w:left w:val="outset" w:sz="6" w:space="0" w:color="auto"/>
              <w:bottom w:val="outset" w:sz="6" w:space="0" w:color="auto"/>
              <w:right w:val="outset" w:sz="6" w:space="0" w:color="auto"/>
            </w:tcBorders>
            <w:vAlign w:val="center"/>
          </w:tcPr>
          <w:p w14:paraId="09B018F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332,590,952.84</w:t>
            </w:r>
          </w:p>
        </w:tc>
      </w:tr>
      <w:tr w:rsidR="002D0AE7" w14:paraId="46EFE2FE"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09E64DAB"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交易性金融资产</w:t>
            </w:r>
          </w:p>
        </w:tc>
        <w:tc>
          <w:tcPr>
            <w:tcW w:w="506" w:type="pct"/>
            <w:tcBorders>
              <w:top w:val="outset" w:sz="6" w:space="0" w:color="auto"/>
              <w:left w:val="outset" w:sz="6" w:space="0" w:color="auto"/>
              <w:bottom w:val="outset" w:sz="6" w:space="0" w:color="auto"/>
              <w:right w:val="outset" w:sz="6" w:space="0" w:color="auto"/>
            </w:tcBorders>
            <w:vAlign w:val="center"/>
          </w:tcPr>
          <w:p w14:paraId="633E4CBF"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68131AFE"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3FFF79C9" w14:textId="77777777" w:rsidR="002D0AE7" w:rsidRDefault="002D0AE7">
            <w:pPr>
              <w:jc w:val="right"/>
              <w:rPr>
                <w:rFonts w:ascii="Times New Roman" w:hAnsi="Times New Roman" w:cs="Times New Roman"/>
                <w:sz w:val="21"/>
                <w:szCs w:val="21"/>
              </w:rPr>
            </w:pPr>
          </w:p>
        </w:tc>
      </w:tr>
      <w:tr w:rsidR="002D0AE7" w14:paraId="41C7B41D"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7BE41558"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衍生金融资产</w:t>
            </w:r>
          </w:p>
        </w:tc>
        <w:tc>
          <w:tcPr>
            <w:tcW w:w="506" w:type="pct"/>
            <w:tcBorders>
              <w:top w:val="outset" w:sz="6" w:space="0" w:color="auto"/>
              <w:left w:val="outset" w:sz="6" w:space="0" w:color="auto"/>
              <w:bottom w:val="outset" w:sz="6" w:space="0" w:color="auto"/>
              <w:right w:val="outset" w:sz="6" w:space="0" w:color="auto"/>
            </w:tcBorders>
            <w:vAlign w:val="center"/>
          </w:tcPr>
          <w:p w14:paraId="7813C075"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28CB537F"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1B4F06E1" w14:textId="77777777" w:rsidR="002D0AE7" w:rsidRDefault="002D0AE7">
            <w:pPr>
              <w:jc w:val="right"/>
              <w:rPr>
                <w:rFonts w:ascii="Times New Roman" w:hAnsi="Times New Roman" w:cs="Times New Roman"/>
                <w:sz w:val="21"/>
                <w:szCs w:val="21"/>
              </w:rPr>
            </w:pPr>
          </w:p>
        </w:tc>
      </w:tr>
      <w:tr w:rsidR="002D0AE7" w14:paraId="79730455"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2555963A"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应收票据</w:t>
            </w:r>
          </w:p>
        </w:tc>
        <w:tc>
          <w:tcPr>
            <w:tcW w:w="506" w:type="pct"/>
            <w:tcBorders>
              <w:top w:val="outset" w:sz="6" w:space="0" w:color="auto"/>
              <w:left w:val="outset" w:sz="6" w:space="0" w:color="auto"/>
              <w:bottom w:val="outset" w:sz="6" w:space="0" w:color="auto"/>
              <w:right w:val="outset" w:sz="6" w:space="0" w:color="auto"/>
            </w:tcBorders>
            <w:vAlign w:val="center"/>
          </w:tcPr>
          <w:p w14:paraId="5F70F2CE"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0B1FAA79"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58DB8B12" w14:textId="77777777" w:rsidR="002D0AE7" w:rsidRDefault="002D0AE7">
            <w:pPr>
              <w:jc w:val="right"/>
              <w:rPr>
                <w:rFonts w:ascii="Times New Roman" w:hAnsi="Times New Roman" w:cs="Times New Roman"/>
                <w:sz w:val="21"/>
                <w:szCs w:val="21"/>
              </w:rPr>
            </w:pPr>
          </w:p>
        </w:tc>
      </w:tr>
      <w:tr w:rsidR="002D0AE7" w14:paraId="109A289A"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4C7A2611"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应收账款</w:t>
            </w:r>
          </w:p>
        </w:tc>
        <w:tc>
          <w:tcPr>
            <w:tcW w:w="506" w:type="pct"/>
            <w:tcBorders>
              <w:top w:val="outset" w:sz="6" w:space="0" w:color="auto"/>
              <w:left w:val="outset" w:sz="6" w:space="0" w:color="auto"/>
              <w:bottom w:val="outset" w:sz="6" w:space="0" w:color="auto"/>
              <w:right w:val="outset" w:sz="6" w:space="0" w:color="auto"/>
            </w:tcBorders>
            <w:vAlign w:val="center"/>
          </w:tcPr>
          <w:p w14:paraId="05133751" w14:textId="77777777" w:rsidR="002D0AE7" w:rsidRDefault="00333EBB">
            <w:pPr>
              <w:rPr>
                <w:rFonts w:hint="eastAsia"/>
                <w:sz w:val="21"/>
                <w:szCs w:val="21"/>
              </w:rPr>
            </w:pPr>
            <w:r>
              <w:rPr>
                <w:rFonts w:hint="eastAsia"/>
                <w:sz w:val="21"/>
                <w:szCs w:val="21"/>
              </w:rPr>
              <w:t>十九、</w:t>
            </w:r>
            <w:r>
              <w:rPr>
                <w:rFonts w:hint="eastAsia"/>
                <w:sz w:val="21"/>
                <w:szCs w:val="21"/>
              </w:rPr>
              <w:t>1</w:t>
            </w:r>
          </w:p>
        </w:tc>
        <w:tc>
          <w:tcPr>
            <w:tcW w:w="1155" w:type="pct"/>
            <w:tcBorders>
              <w:top w:val="outset" w:sz="6" w:space="0" w:color="auto"/>
              <w:left w:val="outset" w:sz="6" w:space="0" w:color="auto"/>
              <w:bottom w:val="outset" w:sz="6" w:space="0" w:color="auto"/>
              <w:right w:val="outset" w:sz="6" w:space="0" w:color="auto"/>
            </w:tcBorders>
            <w:vAlign w:val="center"/>
          </w:tcPr>
          <w:p w14:paraId="4D3DC96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152,326,314.32</w:t>
            </w:r>
          </w:p>
        </w:tc>
        <w:tc>
          <w:tcPr>
            <w:tcW w:w="1030" w:type="pct"/>
            <w:tcBorders>
              <w:top w:val="outset" w:sz="6" w:space="0" w:color="auto"/>
              <w:left w:val="outset" w:sz="6" w:space="0" w:color="auto"/>
              <w:bottom w:val="outset" w:sz="6" w:space="0" w:color="auto"/>
              <w:right w:val="outset" w:sz="6" w:space="0" w:color="auto"/>
            </w:tcBorders>
            <w:vAlign w:val="center"/>
          </w:tcPr>
          <w:p w14:paraId="56658B3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111,000,253.94</w:t>
            </w:r>
          </w:p>
        </w:tc>
      </w:tr>
      <w:tr w:rsidR="002D0AE7" w14:paraId="146039EB"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05146634"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应收款项融资</w:t>
            </w:r>
          </w:p>
        </w:tc>
        <w:tc>
          <w:tcPr>
            <w:tcW w:w="506" w:type="pct"/>
            <w:tcBorders>
              <w:top w:val="outset" w:sz="6" w:space="0" w:color="auto"/>
              <w:left w:val="outset" w:sz="6" w:space="0" w:color="auto"/>
              <w:bottom w:val="outset" w:sz="6" w:space="0" w:color="auto"/>
              <w:right w:val="outset" w:sz="6" w:space="0" w:color="auto"/>
            </w:tcBorders>
            <w:vAlign w:val="center"/>
          </w:tcPr>
          <w:p w14:paraId="7AA18C97"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229B636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56,965,312.60</w:t>
            </w:r>
          </w:p>
        </w:tc>
        <w:tc>
          <w:tcPr>
            <w:tcW w:w="1030" w:type="pct"/>
            <w:tcBorders>
              <w:top w:val="outset" w:sz="6" w:space="0" w:color="auto"/>
              <w:left w:val="outset" w:sz="6" w:space="0" w:color="auto"/>
              <w:bottom w:val="outset" w:sz="6" w:space="0" w:color="auto"/>
              <w:right w:val="outset" w:sz="6" w:space="0" w:color="auto"/>
            </w:tcBorders>
            <w:vAlign w:val="center"/>
          </w:tcPr>
          <w:p w14:paraId="3E42666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27,916,252.65</w:t>
            </w:r>
          </w:p>
        </w:tc>
      </w:tr>
      <w:tr w:rsidR="002D0AE7" w14:paraId="4EECCD17"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4A9AA970"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预付款项</w:t>
            </w:r>
          </w:p>
        </w:tc>
        <w:tc>
          <w:tcPr>
            <w:tcW w:w="506" w:type="pct"/>
            <w:tcBorders>
              <w:top w:val="outset" w:sz="6" w:space="0" w:color="auto"/>
              <w:left w:val="outset" w:sz="6" w:space="0" w:color="auto"/>
              <w:bottom w:val="outset" w:sz="6" w:space="0" w:color="auto"/>
              <w:right w:val="outset" w:sz="6" w:space="0" w:color="auto"/>
            </w:tcBorders>
            <w:vAlign w:val="center"/>
          </w:tcPr>
          <w:p w14:paraId="2A6308F4"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345B354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7,361,576.68</w:t>
            </w:r>
          </w:p>
        </w:tc>
        <w:tc>
          <w:tcPr>
            <w:tcW w:w="1030" w:type="pct"/>
            <w:tcBorders>
              <w:top w:val="outset" w:sz="6" w:space="0" w:color="auto"/>
              <w:left w:val="outset" w:sz="6" w:space="0" w:color="auto"/>
              <w:bottom w:val="outset" w:sz="6" w:space="0" w:color="auto"/>
              <w:right w:val="outset" w:sz="6" w:space="0" w:color="auto"/>
            </w:tcBorders>
            <w:vAlign w:val="center"/>
          </w:tcPr>
          <w:p w14:paraId="2A16FCC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14,884,668.59</w:t>
            </w:r>
          </w:p>
        </w:tc>
      </w:tr>
      <w:tr w:rsidR="002D0AE7" w14:paraId="58C6E060"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6D84C0EC"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其他应收款</w:t>
            </w:r>
          </w:p>
        </w:tc>
        <w:tc>
          <w:tcPr>
            <w:tcW w:w="506" w:type="pct"/>
            <w:tcBorders>
              <w:top w:val="outset" w:sz="6" w:space="0" w:color="auto"/>
              <w:left w:val="outset" w:sz="6" w:space="0" w:color="auto"/>
              <w:bottom w:val="outset" w:sz="6" w:space="0" w:color="auto"/>
              <w:right w:val="outset" w:sz="6" w:space="0" w:color="auto"/>
            </w:tcBorders>
            <w:vAlign w:val="center"/>
          </w:tcPr>
          <w:p w14:paraId="18EA0836" w14:textId="77777777" w:rsidR="002D0AE7" w:rsidRDefault="00333EBB">
            <w:pPr>
              <w:rPr>
                <w:rFonts w:hint="eastAsia"/>
                <w:sz w:val="21"/>
                <w:szCs w:val="21"/>
              </w:rPr>
            </w:pPr>
            <w:r>
              <w:rPr>
                <w:rFonts w:hint="eastAsia"/>
                <w:sz w:val="21"/>
                <w:szCs w:val="21"/>
              </w:rPr>
              <w:t>十九、</w:t>
            </w:r>
            <w:r>
              <w:rPr>
                <w:sz w:val="21"/>
                <w:szCs w:val="21"/>
              </w:rPr>
              <w:t>2</w:t>
            </w:r>
          </w:p>
        </w:tc>
        <w:tc>
          <w:tcPr>
            <w:tcW w:w="1155" w:type="pct"/>
            <w:tcBorders>
              <w:top w:val="outset" w:sz="6" w:space="0" w:color="auto"/>
              <w:left w:val="outset" w:sz="6" w:space="0" w:color="auto"/>
              <w:bottom w:val="outset" w:sz="6" w:space="0" w:color="auto"/>
              <w:right w:val="outset" w:sz="6" w:space="0" w:color="auto"/>
            </w:tcBorders>
            <w:vAlign w:val="center"/>
          </w:tcPr>
          <w:p w14:paraId="6549B77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260,102.63</w:t>
            </w:r>
          </w:p>
        </w:tc>
        <w:tc>
          <w:tcPr>
            <w:tcW w:w="1030" w:type="pct"/>
            <w:tcBorders>
              <w:top w:val="outset" w:sz="6" w:space="0" w:color="auto"/>
              <w:left w:val="outset" w:sz="6" w:space="0" w:color="auto"/>
              <w:bottom w:val="outset" w:sz="6" w:space="0" w:color="auto"/>
              <w:right w:val="outset" w:sz="6" w:space="0" w:color="auto"/>
            </w:tcBorders>
            <w:vAlign w:val="center"/>
          </w:tcPr>
          <w:p w14:paraId="580F29E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172,866.05</w:t>
            </w:r>
          </w:p>
        </w:tc>
      </w:tr>
      <w:tr w:rsidR="002D0AE7" w14:paraId="4CCD73FD"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609AA6D4"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其中：应收利息</w:t>
            </w:r>
          </w:p>
        </w:tc>
        <w:tc>
          <w:tcPr>
            <w:tcW w:w="506" w:type="pct"/>
            <w:tcBorders>
              <w:top w:val="outset" w:sz="6" w:space="0" w:color="auto"/>
              <w:left w:val="outset" w:sz="6" w:space="0" w:color="auto"/>
              <w:bottom w:val="outset" w:sz="6" w:space="0" w:color="auto"/>
              <w:right w:val="outset" w:sz="6" w:space="0" w:color="auto"/>
            </w:tcBorders>
            <w:vAlign w:val="center"/>
          </w:tcPr>
          <w:p w14:paraId="27FEF8B2"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7B978ACB"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7FB48E8B" w14:textId="77777777" w:rsidR="002D0AE7" w:rsidRDefault="002D0AE7">
            <w:pPr>
              <w:jc w:val="right"/>
              <w:rPr>
                <w:rFonts w:ascii="Times New Roman" w:hAnsi="Times New Roman" w:cs="Times New Roman"/>
                <w:sz w:val="21"/>
                <w:szCs w:val="21"/>
              </w:rPr>
            </w:pPr>
          </w:p>
        </w:tc>
      </w:tr>
      <w:tr w:rsidR="002D0AE7" w14:paraId="646E3CB3"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00E796BE" w14:textId="77777777" w:rsidR="002D0AE7" w:rsidRDefault="00333EBB">
            <w:pPr>
              <w:ind w:firstLineChars="400" w:firstLine="840"/>
              <w:rPr>
                <w:rFonts w:hint="eastAsia"/>
                <w:color w:val="000000" w:themeColor="text1"/>
                <w:sz w:val="21"/>
                <w:szCs w:val="21"/>
              </w:rPr>
            </w:pPr>
            <w:r>
              <w:rPr>
                <w:rFonts w:hint="eastAsia"/>
                <w:color w:val="000000" w:themeColor="text1"/>
                <w:sz w:val="21"/>
                <w:szCs w:val="21"/>
              </w:rPr>
              <w:t>应收股利</w:t>
            </w:r>
          </w:p>
        </w:tc>
        <w:tc>
          <w:tcPr>
            <w:tcW w:w="506" w:type="pct"/>
            <w:tcBorders>
              <w:top w:val="outset" w:sz="6" w:space="0" w:color="auto"/>
              <w:left w:val="outset" w:sz="6" w:space="0" w:color="auto"/>
              <w:bottom w:val="outset" w:sz="6" w:space="0" w:color="auto"/>
              <w:right w:val="outset" w:sz="6" w:space="0" w:color="auto"/>
            </w:tcBorders>
            <w:vAlign w:val="center"/>
          </w:tcPr>
          <w:p w14:paraId="4F8EA4BB"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2E526C22"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2B0B1D42" w14:textId="77777777" w:rsidR="002D0AE7" w:rsidRDefault="002D0AE7">
            <w:pPr>
              <w:jc w:val="right"/>
              <w:rPr>
                <w:rFonts w:ascii="Times New Roman" w:hAnsi="Times New Roman" w:cs="Times New Roman"/>
                <w:sz w:val="21"/>
                <w:szCs w:val="21"/>
              </w:rPr>
            </w:pPr>
          </w:p>
        </w:tc>
      </w:tr>
      <w:tr w:rsidR="002D0AE7" w14:paraId="35228BE8"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741B830E"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存货</w:t>
            </w:r>
          </w:p>
        </w:tc>
        <w:tc>
          <w:tcPr>
            <w:tcW w:w="506" w:type="pct"/>
            <w:tcBorders>
              <w:top w:val="outset" w:sz="6" w:space="0" w:color="auto"/>
              <w:left w:val="outset" w:sz="6" w:space="0" w:color="auto"/>
              <w:bottom w:val="outset" w:sz="6" w:space="0" w:color="auto"/>
              <w:right w:val="outset" w:sz="6" w:space="0" w:color="auto"/>
            </w:tcBorders>
            <w:vAlign w:val="center"/>
          </w:tcPr>
          <w:p w14:paraId="5E7F9CBB"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60AC9A7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531,852,309.65</w:t>
            </w:r>
          </w:p>
        </w:tc>
        <w:tc>
          <w:tcPr>
            <w:tcW w:w="1030" w:type="pct"/>
            <w:tcBorders>
              <w:top w:val="outset" w:sz="6" w:space="0" w:color="auto"/>
              <w:left w:val="outset" w:sz="6" w:space="0" w:color="auto"/>
              <w:bottom w:val="outset" w:sz="6" w:space="0" w:color="auto"/>
              <w:right w:val="outset" w:sz="6" w:space="0" w:color="auto"/>
            </w:tcBorders>
            <w:vAlign w:val="center"/>
          </w:tcPr>
          <w:p w14:paraId="58AE634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491,741,430.61</w:t>
            </w:r>
          </w:p>
        </w:tc>
      </w:tr>
      <w:tr w:rsidR="002D0AE7" w14:paraId="183FE352"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095E0E37"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其中：数据资源</w:t>
            </w:r>
          </w:p>
        </w:tc>
        <w:tc>
          <w:tcPr>
            <w:tcW w:w="506" w:type="pct"/>
            <w:tcBorders>
              <w:top w:val="outset" w:sz="6" w:space="0" w:color="auto"/>
              <w:left w:val="outset" w:sz="6" w:space="0" w:color="auto"/>
              <w:bottom w:val="outset" w:sz="6" w:space="0" w:color="auto"/>
              <w:right w:val="outset" w:sz="6" w:space="0" w:color="auto"/>
            </w:tcBorders>
            <w:vAlign w:val="center"/>
          </w:tcPr>
          <w:p w14:paraId="7853F9AB"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489DFCF9"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6FFEAD01" w14:textId="77777777" w:rsidR="002D0AE7" w:rsidRDefault="002D0AE7">
            <w:pPr>
              <w:jc w:val="right"/>
              <w:rPr>
                <w:rFonts w:ascii="Times New Roman" w:hAnsi="Times New Roman" w:cs="Times New Roman"/>
                <w:sz w:val="21"/>
                <w:szCs w:val="21"/>
              </w:rPr>
            </w:pPr>
          </w:p>
        </w:tc>
      </w:tr>
      <w:tr w:rsidR="002D0AE7" w14:paraId="44813141"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66008040"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合同资产</w:t>
            </w:r>
          </w:p>
        </w:tc>
        <w:tc>
          <w:tcPr>
            <w:tcW w:w="506" w:type="pct"/>
            <w:tcBorders>
              <w:top w:val="outset" w:sz="6" w:space="0" w:color="auto"/>
              <w:left w:val="outset" w:sz="6" w:space="0" w:color="auto"/>
              <w:bottom w:val="outset" w:sz="6" w:space="0" w:color="auto"/>
              <w:right w:val="outset" w:sz="6" w:space="0" w:color="auto"/>
            </w:tcBorders>
            <w:vAlign w:val="center"/>
          </w:tcPr>
          <w:p w14:paraId="3C4511AF"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40C438C5"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42C2C15F" w14:textId="77777777" w:rsidR="002D0AE7" w:rsidRDefault="002D0AE7">
            <w:pPr>
              <w:jc w:val="right"/>
              <w:rPr>
                <w:rFonts w:ascii="Times New Roman" w:hAnsi="Times New Roman" w:cs="Times New Roman"/>
                <w:sz w:val="21"/>
                <w:szCs w:val="21"/>
              </w:rPr>
            </w:pPr>
          </w:p>
        </w:tc>
      </w:tr>
      <w:tr w:rsidR="002D0AE7" w14:paraId="00AB45F3"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2B4B58FD"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持有待售资产</w:t>
            </w:r>
          </w:p>
        </w:tc>
        <w:tc>
          <w:tcPr>
            <w:tcW w:w="506" w:type="pct"/>
            <w:tcBorders>
              <w:top w:val="outset" w:sz="6" w:space="0" w:color="auto"/>
              <w:left w:val="outset" w:sz="6" w:space="0" w:color="auto"/>
              <w:bottom w:val="outset" w:sz="6" w:space="0" w:color="auto"/>
              <w:right w:val="outset" w:sz="6" w:space="0" w:color="auto"/>
            </w:tcBorders>
            <w:vAlign w:val="center"/>
          </w:tcPr>
          <w:p w14:paraId="04A1BB9A"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4BA6C6AE"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5820E2D7" w14:textId="77777777" w:rsidR="002D0AE7" w:rsidRDefault="002D0AE7">
            <w:pPr>
              <w:jc w:val="right"/>
              <w:rPr>
                <w:rFonts w:ascii="Times New Roman" w:hAnsi="Times New Roman" w:cs="Times New Roman"/>
                <w:sz w:val="21"/>
                <w:szCs w:val="21"/>
              </w:rPr>
            </w:pPr>
          </w:p>
        </w:tc>
      </w:tr>
      <w:tr w:rsidR="002D0AE7" w14:paraId="0B4755DB"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45A727B6"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一年内到期的非流动资产</w:t>
            </w:r>
          </w:p>
        </w:tc>
        <w:tc>
          <w:tcPr>
            <w:tcW w:w="506" w:type="pct"/>
            <w:tcBorders>
              <w:top w:val="outset" w:sz="6" w:space="0" w:color="auto"/>
              <w:left w:val="outset" w:sz="6" w:space="0" w:color="auto"/>
              <w:bottom w:val="outset" w:sz="6" w:space="0" w:color="auto"/>
              <w:right w:val="outset" w:sz="6" w:space="0" w:color="auto"/>
            </w:tcBorders>
            <w:vAlign w:val="center"/>
          </w:tcPr>
          <w:p w14:paraId="38AB3FF2"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1CC0E927"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2FBD4686" w14:textId="77777777" w:rsidR="002D0AE7" w:rsidRDefault="002D0AE7">
            <w:pPr>
              <w:jc w:val="right"/>
              <w:rPr>
                <w:rFonts w:ascii="Times New Roman" w:hAnsi="Times New Roman" w:cs="Times New Roman"/>
                <w:sz w:val="21"/>
                <w:szCs w:val="21"/>
              </w:rPr>
            </w:pPr>
          </w:p>
        </w:tc>
      </w:tr>
      <w:tr w:rsidR="002D0AE7" w14:paraId="32370576"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4AB5577F"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其他流动资产</w:t>
            </w:r>
          </w:p>
        </w:tc>
        <w:tc>
          <w:tcPr>
            <w:tcW w:w="506" w:type="pct"/>
            <w:tcBorders>
              <w:top w:val="outset" w:sz="6" w:space="0" w:color="auto"/>
              <w:left w:val="outset" w:sz="6" w:space="0" w:color="auto"/>
              <w:bottom w:val="outset" w:sz="6" w:space="0" w:color="auto"/>
              <w:right w:val="outset" w:sz="6" w:space="0" w:color="auto"/>
            </w:tcBorders>
            <w:vAlign w:val="center"/>
          </w:tcPr>
          <w:p w14:paraId="29EA9208"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26F1102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4,133,499.95</w:t>
            </w:r>
          </w:p>
        </w:tc>
        <w:tc>
          <w:tcPr>
            <w:tcW w:w="1030" w:type="pct"/>
            <w:tcBorders>
              <w:top w:val="outset" w:sz="6" w:space="0" w:color="auto"/>
              <w:left w:val="outset" w:sz="6" w:space="0" w:color="auto"/>
              <w:bottom w:val="outset" w:sz="6" w:space="0" w:color="auto"/>
              <w:right w:val="outset" w:sz="6" w:space="0" w:color="auto"/>
            </w:tcBorders>
            <w:vAlign w:val="center"/>
          </w:tcPr>
          <w:p w14:paraId="09057A7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4,726,904.61</w:t>
            </w:r>
          </w:p>
        </w:tc>
      </w:tr>
      <w:tr w:rsidR="002D0AE7" w14:paraId="1AD88AD8"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03D9537E"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流动资产合计</w:t>
            </w:r>
          </w:p>
        </w:tc>
        <w:tc>
          <w:tcPr>
            <w:tcW w:w="506" w:type="pct"/>
            <w:tcBorders>
              <w:top w:val="outset" w:sz="6" w:space="0" w:color="auto"/>
              <w:left w:val="outset" w:sz="6" w:space="0" w:color="auto"/>
              <w:bottom w:val="outset" w:sz="6" w:space="0" w:color="auto"/>
              <w:right w:val="outset" w:sz="6" w:space="0" w:color="auto"/>
            </w:tcBorders>
            <w:vAlign w:val="center"/>
          </w:tcPr>
          <w:p w14:paraId="4364B129"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08ED481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981,902,409.69</w:t>
            </w:r>
          </w:p>
        </w:tc>
        <w:tc>
          <w:tcPr>
            <w:tcW w:w="1030" w:type="pct"/>
            <w:tcBorders>
              <w:top w:val="outset" w:sz="6" w:space="0" w:color="auto"/>
              <w:left w:val="outset" w:sz="6" w:space="0" w:color="auto"/>
              <w:bottom w:val="outset" w:sz="6" w:space="0" w:color="auto"/>
              <w:right w:val="outset" w:sz="6" w:space="0" w:color="auto"/>
            </w:tcBorders>
            <w:vAlign w:val="center"/>
          </w:tcPr>
          <w:p w14:paraId="11F2634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983,033,329.29</w:t>
            </w:r>
          </w:p>
        </w:tc>
      </w:tr>
      <w:tr w:rsidR="002D0AE7" w14:paraId="143E8E1B" w14:textId="77777777">
        <w:trPr>
          <w:jc w:val="center"/>
        </w:trPr>
        <w:sdt>
          <w:sdtPr>
            <w:rPr>
              <w:color w:val="000000" w:themeColor="text1"/>
              <w:sz w:val="21"/>
              <w:szCs w:val="21"/>
            </w:rPr>
            <w:tag w:val="_PLD_71f45ac7535d4ffeaa6273d6527bae0d"/>
            <w:id w:val="1462758451"/>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00533C57" w14:textId="77777777" w:rsidR="002D0AE7" w:rsidRDefault="00333EBB">
                <w:pPr>
                  <w:rPr>
                    <w:rFonts w:hint="eastAsia"/>
                    <w:color w:val="000000" w:themeColor="text1"/>
                    <w:sz w:val="21"/>
                    <w:szCs w:val="21"/>
                  </w:rPr>
                </w:pPr>
                <w:r>
                  <w:rPr>
                    <w:rFonts w:hint="eastAsia"/>
                    <w:b/>
                    <w:color w:val="000000" w:themeColor="text1"/>
                    <w:sz w:val="21"/>
                    <w:szCs w:val="21"/>
                  </w:rPr>
                  <w:t>非流动资产：</w:t>
                </w:r>
              </w:p>
            </w:tc>
          </w:sdtContent>
        </w:sdt>
      </w:tr>
      <w:tr w:rsidR="002D0AE7" w14:paraId="6FF0799A"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3EDE53A3"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lastRenderedPageBreak/>
              <w:t>债权投资</w:t>
            </w:r>
          </w:p>
        </w:tc>
        <w:tc>
          <w:tcPr>
            <w:tcW w:w="506" w:type="pct"/>
            <w:tcBorders>
              <w:top w:val="outset" w:sz="6" w:space="0" w:color="auto"/>
              <w:left w:val="outset" w:sz="6" w:space="0" w:color="auto"/>
              <w:bottom w:val="outset" w:sz="6" w:space="0" w:color="auto"/>
              <w:right w:val="outset" w:sz="6" w:space="0" w:color="auto"/>
            </w:tcBorders>
            <w:vAlign w:val="center"/>
          </w:tcPr>
          <w:p w14:paraId="723B7467"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6DED7DD0"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4B009211" w14:textId="77777777" w:rsidR="002D0AE7" w:rsidRDefault="002D0AE7">
            <w:pPr>
              <w:jc w:val="right"/>
              <w:rPr>
                <w:rFonts w:ascii="Times New Roman" w:hAnsi="Times New Roman" w:cs="Times New Roman"/>
                <w:sz w:val="21"/>
                <w:szCs w:val="21"/>
              </w:rPr>
            </w:pPr>
          </w:p>
        </w:tc>
      </w:tr>
      <w:tr w:rsidR="002D0AE7" w14:paraId="5FEF1707"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77760A91"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其他债权投资</w:t>
            </w:r>
          </w:p>
        </w:tc>
        <w:tc>
          <w:tcPr>
            <w:tcW w:w="506" w:type="pct"/>
            <w:tcBorders>
              <w:top w:val="outset" w:sz="6" w:space="0" w:color="auto"/>
              <w:left w:val="outset" w:sz="6" w:space="0" w:color="auto"/>
              <w:bottom w:val="outset" w:sz="6" w:space="0" w:color="auto"/>
              <w:right w:val="outset" w:sz="6" w:space="0" w:color="auto"/>
            </w:tcBorders>
            <w:vAlign w:val="center"/>
          </w:tcPr>
          <w:p w14:paraId="0680662C"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06DC6574"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502CC0D9" w14:textId="77777777" w:rsidR="002D0AE7" w:rsidRDefault="002D0AE7">
            <w:pPr>
              <w:jc w:val="right"/>
              <w:rPr>
                <w:rFonts w:ascii="Times New Roman" w:hAnsi="Times New Roman" w:cs="Times New Roman"/>
                <w:sz w:val="21"/>
                <w:szCs w:val="21"/>
              </w:rPr>
            </w:pPr>
          </w:p>
        </w:tc>
      </w:tr>
      <w:tr w:rsidR="002D0AE7" w14:paraId="62B1772C"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72534B58"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长期应收款</w:t>
            </w:r>
          </w:p>
        </w:tc>
        <w:tc>
          <w:tcPr>
            <w:tcW w:w="506" w:type="pct"/>
            <w:tcBorders>
              <w:top w:val="outset" w:sz="6" w:space="0" w:color="auto"/>
              <w:left w:val="outset" w:sz="6" w:space="0" w:color="auto"/>
              <w:bottom w:val="outset" w:sz="6" w:space="0" w:color="auto"/>
              <w:right w:val="outset" w:sz="6" w:space="0" w:color="auto"/>
            </w:tcBorders>
            <w:vAlign w:val="center"/>
          </w:tcPr>
          <w:p w14:paraId="007E6D14"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0D2B405B"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4F509D5A" w14:textId="77777777" w:rsidR="002D0AE7" w:rsidRDefault="002D0AE7">
            <w:pPr>
              <w:jc w:val="right"/>
              <w:rPr>
                <w:rFonts w:ascii="Times New Roman" w:hAnsi="Times New Roman" w:cs="Times New Roman"/>
                <w:sz w:val="21"/>
                <w:szCs w:val="21"/>
              </w:rPr>
            </w:pPr>
          </w:p>
        </w:tc>
      </w:tr>
      <w:tr w:rsidR="002D0AE7" w14:paraId="732FE380"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4D35C3AD"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长期股权投资</w:t>
            </w:r>
          </w:p>
        </w:tc>
        <w:tc>
          <w:tcPr>
            <w:tcW w:w="506" w:type="pct"/>
            <w:tcBorders>
              <w:top w:val="outset" w:sz="6" w:space="0" w:color="auto"/>
              <w:left w:val="outset" w:sz="6" w:space="0" w:color="auto"/>
              <w:bottom w:val="outset" w:sz="6" w:space="0" w:color="auto"/>
              <w:right w:val="outset" w:sz="6" w:space="0" w:color="auto"/>
            </w:tcBorders>
            <w:vAlign w:val="center"/>
          </w:tcPr>
          <w:p w14:paraId="22A0A4E2" w14:textId="77777777" w:rsidR="002D0AE7" w:rsidRDefault="00333EBB">
            <w:pPr>
              <w:rPr>
                <w:rFonts w:hint="eastAsia"/>
                <w:sz w:val="21"/>
                <w:szCs w:val="21"/>
              </w:rPr>
            </w:pPr>
            <w:r>
              <w:rPr>
                <w:rFonts w:hint="eastAsia"/>
                <w:sz w:val="21"/>
                <w:szCs w:val="21"/>
              </w:rPr>
              <w:t>十九、</w:t>
            </w:r>
            <w:r>
              <w:rPr>
                <w:sz w:val="21"/>
                <w:szCs w:val="21"/>
              </w:rPr>
              <w:t>3</w:t>
            </w:r>
          </w:p>
        </w:tc>
        <w:tc>
          <w:tcPr>
            <w:tcW w:w="1155" w:type="pct"/>
            <w:tcBorders>
              <w:top w:val="outset" w:sz="6" w:space="0" w:color="auto"/>
              <w:left w:val="outset" w:sz="6" w:space="0" w:color="auto"/>
              <w:bottom w:val="outset" w:sz="6" w:space="0" w:color="auto"/>
              <w:right w:val="outset" w:sz="6" w:space="0" w:color="auto"/>
            </w:tcBorders>
            <w:vAlign w:val="center"/>
          </w:tcPr>
          <w:p w14:paraId="07E22E3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1,833,589,113.22</w:t>
            </w:r>
          </w:p>
        </w:tc>
        <w:tc>
          <w:tcPr>
            <w:tcW w:w="1030" w:type="pct"/>
            <w:tcBorders>
              <w:top w:val="outset" w:sz="6" w:space="0" w:color="auto"/>
              <w:left w:val="outset" w:sz="6" w:space="0" w:color="auto"/>
              <w:bottom w:val="outset" w:sz="6" w:space="0" w:color="auto"/>
              <w:right w:val="outset" w:sz="6" w:space="0" w:color="auto"/>
            </w:tcBorders>
            <w:vAlign w:val="center"/>
          </w:tcPr>
          <w:p w14:paraId="0B13019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1,961,983,835.96</w:t>
            </w:r>
          </w:p>
        </w:tc>
      </w:tr>
      <w:tr w:rsidR="002D0AE7" w14:paraId="026CECE9"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0F379ED0"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其他权益工具投资</w:t>
            </w:r>
          </w:p>
        </w:tc>
        <w:tc>
          <w:tcPr>
            <w:tcW w:w="506" w:type="pct"/>
            <w:tcBorders>
              <w:top w:val="outset" w:sz="6" w:space="0" w:color="auto"/>
              <w:left w:val="outset" w:sz="6" w:space="0" w:color="auto"/>
              <w:bottom w:val="outset" w:sz="6" w:space="0" w:color="auto"/>
              <w:right w:val="outset" w:sz="6" w:space="0" w:color="auto"/>
            </w:tcBorders>
            <w:vAlign w:val="center"/>
          </w:tcPr>
          <w:p w14:paraId="63D44809"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61DC5D2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144,820,791.38</w:t>
            </w:r>
          </w:p>
        </w:tc>
        <w:tc>
          <w:tcPr>
            <w:tcW w:w="1030" w:type="pct"/>
            <w:tcBorders>
              <w:top w:val="outset" w:sz="6" w:space="0" w:color="auto"/>
              <w:left w:val="outset" w:sz="6" w:space="0" w:color="auto"/>
              <w:bottom w:val="outset" w:sz="6" w:space="0" w:color="auto"/>
              <w:right w:val="outset" w:sz="6" w:space="0" w:color="auto"/>
            </w:tcBorders>
            <w:vAlign w:val="center"/>
          </w:tcPr>
          <w:p w14:paraId="5DEDAF5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141,884,928.83</w:t>
            </w:r>
          </w:p>
        </w:tc>
      </w:tr>
      <w:tr w:rsidR="002D0AE7" w14:paraId="14398423"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27C958A0"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其他非流动金融资产</w:t>
            </w:r>
          </w:p>
        </w:tc>
        <w:tc>
          <w:tcPr>
            <w:tcW w:w="506" w:type="pct"/>
            <w:tcBorders>
              <w:top w:val="outset" w:sz="6" w:space="0" w:color="auto"/>
              <w:left w:val="outset" w:sz="6" w:space="0" w:color="auto"/>
              <w:bottom w:val="outset" w:sz="6" w:space="0" w:color="auto"/>
              <w:right w:val="outset" w:sz="6" w:space="0" w:color="auto"/>
            </w:tcBorders>
            <w:vAlign w:val="center"/>
          </w:tcPr>
          <w:p w14:paraId="7259AB85"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75160367"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688D6A72" w14:textId="77777777" w:rsidR="002D0AE7" w:rsidRDefault="002D0AE7">
            <w:pPr>
              <w:jc w:val="right"/>
              <w:rPr>
                <w:rFonts w:ascii="Times New Roman" w:hAnsi="Times New Roman" w:cs="Times New Roman"/>
                <w:sz w:val="21"/>
                <w:szCs w:val="21"/>
              </w:rPr>
            </w:pPr>
          </w:p>
        </w:tc>
      </w:tr>
      <w:tr w:rsidR="002D0AE7" w14:paraId="73D6B05D"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7D8EFBB1"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投资性房地产</w:t>
            </w:r>
          </w:p>
        </w:tc>
        <w:tc>
          <w:tcPr>
            <w:tcW w:w="506" w:type="pct"/>
            <w:tcBorders>
              <w:top w:val="outset" w:sz="6" w:space="0" w:color="auto"/>
              <w:left w:val="outset" w:sz="6" w:space="0" w:color="auto"/>
              <w:bottom w:val="outset" w:sz="6" w:space="0" w:color="auto"/>
              <w:right w:val="outset" w:sz="6" w:space="0" w:color="auto"/>
            </w:tcBorders>
            <w:vAlign w:val="center"/>
          </w:tcPr>
          <w:p w14:paraId="715AB25A"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3F792D0B"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26C1CCB3" w14:textId="77777777" w:rsidR="002D0AE7" w:rsidRDefault="002D0AE7">
            <w:pPr>
              <w:jc w:val="right"/>
              <w:rPr>
                <w:rFonts w:ascii="Times New Roman" w:hAnsi="Times New Roman" w:cs="Times New Roman"/>
                <w:sz w:val="21"/>
                <w:szCs w:val="21"/>
              </w:rPr>
            </w:pPr>
          </w:p>
        </w:tc>
      </w:tr>
      <w:tr w:rsidR="002D0AE7" w14:paraId="4447CC53"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0E38C89D"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固定资产</w:t>
            </w:r>
          </w:p>
        </w:tc>
        <w:tc>
          <w:tcPr>
            <w:tcW w:w="506" w:type="pct"/>
            <w:tcBorders>
              <w:top w:val="outset" w:sz="6" w:space="0" w:color="auto"/>
              <w:left w:val="outset" w:sz="6" w:space="0" w:color="auto"/>
              <w:bottom w:val="outset" w:sz="6" w:space="0" w:color="auto"/>
              <w:right w:val="outset" w:sz="6" w:space="0" w:color="auto"/>
            </w:tcBorders>
            <w:vAlign w:val="center"/>
          </w:tcPr>
          <w:p w14:paraId="3374E702"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26CF058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1,142,024,076.39</w:t>
            </w:r>
          </w:p>
        </w:tc>
        <w:tc>
          <w:tcPr>
            <w:tcW w:w="1030" w:type="pct"/>
            <w:tcBorders>
              <w:top w:val="outset" w:sz="6" w:space="0" w:color="auto"/>
              <w:left w:val="outset" w:sz="6" w:space="0" w:color="auto"/>
              <w:bottom w:val="outset" w:sz="6" w:space="0" w:color="auto"/>
              <w:right w:val="outset" w:sz="6" w:space="0" w:color="auto"/>
            </w:tcBorders>
            <w:vAlign w:val="center"/>
          </w:tcPr>
          <w:p w14:paraId="6F12EE2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1,232,425,075.70</w:t>
            </w:r>
          </w:p>
        </w:tc>
      </w:tr>
      <w:tr w:rsidR="002D0AE7" w14:paraId="3BFC9CAE"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11766ACA"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在建工程</w:t>
            </w:r>
          </w:p>
        </w:tc>
        <w:tc>
          <w:tcPr>
            <w:tcW w:w="506" w:type="pct"/>
            <w:tcBorders>
              <w:top w:val="outset" w:sz="6" w:space="0" w:color="auto"/>
              <w:left w:val="outset" w:sz="6" w:space="0" w:color="auto"/>
              <w:bottom w:val="outset" w:sz="6" w:space="0" w:color="auto"/>
              <w:right w:val="outset" w:sz="6" w:space="0" w:color="auto"/>
            </w:tcBorders>
            <w:vAlign w:val="center"/>
          </w:tcPr>
          <w:p w14:paraId="06EB8AAC"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1533A04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24,779,558.53</w:t>
            </w:r>
          </w:p>
        </w:tc>
        <w:tc>
          <w:tcPr>
            <w:tcW w:w="1030" w:type="pct"/>
            <w:tcBorders>
              <w:top w:val="outset" w:sz="6" w:space="0" w:color="auto"/>
              <w:left w:val="outset" w:sz="6" w:space="0" w:color="auto"/>
              <w:bottom w:val="outset" w:sz="6" w:space="0" w:color="auto"/>
              <w:right w:val="outset" w:sz="6" w:space="0" w:color="auto"/>
            </w:tcBorders>
            <w:vAlign w:val="center"/>
          </w:tcPr>
          <w:p w14:paraId="7899B68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23,926,938.83</w:t>
            </w:r>
          </w:p>
        </w:tc>
      </w:tr>
      <w:tr w:rsidR="002D0AE7" w14:paraId="6D7AE77E"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6513A33D"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生产性生物资产</w:t>
            </w:r>
          </w:p>
        </w:tc>
        <w:tc>
          <w:tcPr>
            <w:tcW w:w="506" w:type="pct"/>
            <w:tcBorders>
              <w:top w:val="outset" w:sz="6" w:space="0" w:color="auto"/>
              <w:left w:val="outset" w:sz="6" w:space="0" w:color="auto"/>
              <w:bottom w:val="outset" w:sz="6" w:space="0" w:color="auto"/>
              <w:right w:val="outset" w:sz="6" w:space="0" w:color="auto"/>
            </w:tcBorders>
            <w:vAlign w:val="center"/>
          </w:tcPr>
          <w:p w14:paraId="3D6A47CF"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31519236"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2162FC6F" w14:textId="77777777" w:rsidR="002D0AE7" w:rsidRDefault="002D0AE7">
            <w:pPr>
              <w:jc w:val="right"/>
              <w:rPr>
                <w:rFonts w:ascii="Times New Roman" w:hAnsi="Times New Roman" w:cs="Times New Roman"/>
                <w:sz w:val="21"/>
                <w:szCs w:val="21"/>
              </w:rPr>
            </w:pPr>
          </w:p>
        </w:tc>
      </w:tr>
      <w:tr w:rsidR="002D0AE7" w14:paraId="013C0917"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1F0FBD51"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油气资产</w:t>
            </w:r>
          </w:p>
        </w:tc>
        <w:tc>
          <w:tcPr>
            <w:tcW w:w="506" w:type="pct"/>
            <w:tcBorders>
              <w:top w:val="outset" w:sz="6" w:space="0" w:color="auto"/>
              <w:left w:val="outset" w:sz="6" w:space="0" w:color="auto"/>
              <w:bottom w:val="outset" w:sz="6" w:space="0" w:color="auto"/>
              <w:right w:val="outset" w:sz="6" w:space="0" w:color="auto"/>
            </w:tcBorders>
            <w:vAlign w:val="center"/>
          </w:tcPr>
          <w:p w14:paraId="39DE9FAC"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2CA05BC2"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1EECE5E3" w14:textId="77777777" w:rsidR="002D0AE7" w:rsidRDefault="002D0AE7">
            <w:pPr>
              <w:jc w:val="right"/>
              <w:rPr>
                <w:rFonts w:ascii="Times New Roman" w:hAnsi="Times New Roman" w:cs="Times New Roman"/>
                <w:sz w:val="21"/>
                <w:szCs w:val="21"/>
              </w:rPr>
            </w:pPr>
          </w:p>
        </w:tc>
      </w:tr>
      <w:tr w:rsidR="002D0AE7" w14:paraId="2F6B6A4B"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77355FBD"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使用权资产</w:t>
            </w:r>
          </w:p>
        </w:tc>
        <w:tc>
          <w:tcPr>
            <w:tcW w:w="506" w:type="pct"/>
            <w:tcBorders>
              <w:top w:val="outset" w:sz="6" w:space="0" w:color="auto"/>
              <w:left w:val="outset" w:sz="6" w:space="0" w:color="auto"/>
              <w:bottom w:val="outset" w:sz="6" w:space="0" w:color="auto"/>
              <w:right w:val="outset" w:sz="6" w:space="0" w:color="auto"/>
            </w:tcBorders>
            <w:vAlign w:val="center"/>
          </w:tcPr>
          <w:p w14:paraId="55A6D231"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7BDA82D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8,858,138.75</w:t>
            </w:r>
          </w:p>
        </w:tc>
        <w:tc>
          <w:tcPr>
            <w:tcW w:w="1030" w:type="pct"/>
            <w:tcBorders>
              <w:top w:val="outset" w:sz="6" w:space="0" w:color="auto"/>
              <w:left w:val="outset" w:sz="6" w:space="0" w:color="auto"/>
              <w:bottom w:val="outset" w:sz="6" w:space="0" w:color="auto"/>
              <w:right w:val="outset" w:sz="6" w:space="0" w:color="auto"/>
            </w:tcBorders>
            <w:vAlign w:val="center"/>
          </w:tcPr>
          <w:p w14:paraId="08DA07D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17,404,593.67</w:t>
            </w:r>
          </w:p>
        </w:tc>
      </w:tr>
      <w:tr w:rsidR="002D0AE7" w14:paraId="3BB14C4A"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46D99903"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无形资产</w:t>
            </w:r>
          </w:p>
        </w:tc>
        <w:tc>
          <w:tcPr>
            <w:tcW w:w="506" w:type="pct"/>
            <w:tcBorders>
              <w:top w:val="outset" w:sz="6" w:space="0" w:color="auto"/>
              <w:left w:val="outset" w:sz="6" w:space="0" w:color="auto"/>
              <w:bottom w:val="outset" w:sz="6" w:space="0" w:color="auto"/>
              <w:right w:val="outset" w:sz="6" w:space="0" w:color="auto"/>
            </w:tcBorders>
            <w:vAlign w:val="center"/>
          </w:tcPr>
          <w:p w14:paraId="24CFD2CC"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53D6934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78,331,904.41</w:t>
            </w:r>
          </w:p>
        </w:tc>
        <w:tc>
          <w:tcPr>
            <w:tcW w:w="1030" w:type="pct"/>
            <w:tcBorders>
              <w:top w:val="outset" w:sz="6" w:space="0" w:color="auto"/>
              <w:left w:val="outset" w:sz="6" w:space="0" w:color="auto"/>
              <w:bottom w:val="outset" w:sz="6" w:space="0" w:color="auto"/>
              <w:right w:val="outset" w:sz="6" w:space="0" w:color="auto"/>
            </w:tcBorders>
            <w:vAlign w:val="center"/>
          </w:tcPr>
          <w:p w14:paraId="69DC18D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79,145,188.76</w:t>
            </w:r>
          </w:p>
        </w:tc>
      </w:tr>
      <w:tr w:rsidR="002D0AE7" w14:paraId="1FDC37D1"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1BC89378"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其中：数据资源</w:t>
            </w:r>
          </w:p>
        </w:tc>
        <w:tc>
          <w:tcPr>
            <w:tcW w:w="506" w:type="pct"/>
            <w:tcBorders>
              <w:top w:val="outset" w:sz="6" w:space="0" w:color="auto"/>
              <w:left w:val="outset" w:sz="6" w:space="0" w:color="auto"/>
              <w:bottom w:val="outset" w:sz="6" w:space="0" w:color="auto"/>
              <w:right w:val="outset" w:sz="6" w:space="0" w:color="auto"/>
            </w:tcBorders>
            <w:vAlign w:val="center"/>
          </w:tcPr>
          <w:p w14:paraId="78CE1B3D"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15F7D94A"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6057B589" w14:textId="77777777" w:rsidR="002D0AE7" w:rsidRDefault="002D0AE7">
            <w:pPr>
              <w:jc w:val="right"/>
              <w:rPr>
                <w:rFonts w:ascii="Times New Roman" w:hAnsi="Times New Roman" w:cs="Times New Roman"/>
                <w:sz w:val="21"/>
                <w:szCs w:val="21"/>
              </w:rPr>
            </w:pPr>
          </w:p>
        </w:tc>
      </w:tr>
      <w:tr w:rsidR="002D0AE7" w14:paraId="30A6861A"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5E5607BE"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开发支出</w:t>
            </w:r>
          </w:p>
        </w:tc>
        <w:tc>
          <w:tcPr>
            <w:tcW w:w="506" w:type="pct"/>
            <w:tcBorders>
              <w:top w:val="outset" w:sz="6" w:space="0" w:color="auto"/>
              <w:left w:val="outset" w:sz="6" w:space="0" w:color="auto"/>
              <w:bottom w:val="outset" w:sz="6" w:space="0" w:color="auto"/>
              <w:right w:val="outset" w:sz="6" w:space="0" w:color="auto"/>
            </w:tcBorders>
            <w:vAlign w:val="center"/>
          </w:tcPr>
          <w:p w14:paraId="2573F46B"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6C74720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21,370,755.12</w:t>
            </w:r>
          </w:p>
        </w:tc>
        <w:tc>
          <w:tcPr>
            <w:tcW w:w="1030" w:type="pct"/>
            <w:tcBorders>
              <w:top w:val="outset" w:sz="6" w:space="0" w:color="auto"/>
              <w:left w:val="outset" w:sz="6" w:space="0" w:color="auto"/>
              <w:bottom w:val="outset" w:sz="6" w:space="0" w:color="auto"/>
              <w:right w:val="outset" w:sz="6" w:space="0" w:color="auto"/>
            </w:tcBorders>
            <w:vAlign w:val="center"/>
          </w:tcPr>
          <w:p w14:paraId="4A47697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19,402,128.51</w:t>
            </w:r>
          </w:p>
        </w:tc>
      </w:tr>
      <w:tr w:rsidR="002D0AE7" w14:paraId="483DE543"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7F7354EE"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其中：数据资源</w:t>
            </w:r>
          </w:p>
        </w:tc>
        <w:tc>
          <w:tcPr>
            <w:tcW w:w="506" w:type="pct"/>
            <w:tcBorders>
              <w:top w:val="outset" w:sz="6" w:space="0" w:color="auto"/>
              <w:left w:val="outset" w:sz="6" w:space="0" w:color="auto"/>
              <w:bottom w:val="outset" w:sz="6" w:space="0" w:color="auto"/>
              <w:right w:val="outset" w:sz="6" w:space="0" w:color="auto"/>
            </w:tcBorders>
            <w:vAlign w:val="center"/>
          </w:tcPr>
          <w:p w14:paraId="068E253A"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1636D1CD"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501B73FF" w14:textId="77777777" w:rsidR="002D0AE7" w:rsidRDefault="002D0AE7">
            <w:pPr>
              <w:jc w:val="right"/>
              <w:rPr>
                <w:rFonts w:ascii="Times New Roman" w:hAnsi="Times New Roman" w:cs="Times New Roman"/>
                <w:sz w:val="21"/>
                <w:szCs w:val="21"/>
              </w:rPr>
            </w:pPr>
          </w:p>
        </w:tc>
      </w:tr>
      <w:tr w:rsidR="002D0AE7" w14:paraId="21461FBD"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09911D33"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商誉</w:t>
            </w:r>
          </w:p>
        </w:tc>
        <w:tc>
          <w:tcPr>
            <w:tcW w:w="506" w:type="pct"/>
            <w:tcBorders>
              <w:top w:val="outset" w:sz="6" w:space="0" w:color="auto"/>
              <w:left w:val="outset" w:sz="6" w:space="0" w:color="auto"/>
              <w:bottom w:val="outset" w:sz="6" w:space="0" w:color="auto"/>
              <w:right w:val="outset" w:sz="6" w:space="0" w:color="auto"/>
            </w:tcBorders>
            <w:vAlign w:val="center"/>
          </w:tcPr>
          <w:p w14:paraId="1F19E98C"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4021664B"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5C5E1B31" w14:textId="77777777" w:rsidR="002D0AE7" w:rsidRDefault="002D0AE7">
            <w:pPr>
              <w:jc w:val="right"/>
              <w:rPr>
                <w:rFonts w:ascii="Times New Roman" w:hAnsi="Times New Roman" w:cs="Times New Roman"/>
                <w:sz w:val="21"/>
                <w:szCs w:val="21"/>
              </w:rPr>
            </w:pPr>
          </w:p>
        </w:tc>
      </w:tr>
      <w:tr w:rsidR="002D0AE7" w14:paraId="04E17302"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1A3C4F95"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长期待摊费用</w:t>
            </w:r>
          </w:p>
        </w:tc>
        <w:tc>
          <w:tcPr>
            <w:tcW w:w="506" w:type="pct"/>
            <w:tcBorders>
              <w:top w:val="outset" w:sz="6" w:space="0" w:color="auto"/>
              <w:left w:val="outset" w:sz="6" w:space="0" w:color="auto"/>
              <w:bottom w:val="outset" w:sz="6" w:space="0" w:color="auto"/>
              <w:right w:val="outset" w:sz="6" w:space="0" w:color="auto"/>
            </w:tcBorders>
            <w:vAlign w:val="center"/>
          </w:tcPr>
          <w:p w14:paraId="16C5CA44"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3CED62F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43,759,140.33</w:t>
            </w:r>
          </w:p>
        </w:tc>
        <w:tc>
          <w:tcPr>
            <w:tcW w:w="1030" w:type="pct"/>
            <w:tcBorders>
              <w:top w:val="outset" w:sz="6" w:space="0" w:color="auto"/>
              <w:left w:val="outset" w:sz="6" w:space="0" w:color="auto"/>
              <w:bottom w:val="outset" w:sz="6" w:space="0" w:color="auto"/>
              <w:right w:val="outset" w:sz="6" w:space="0" w:color="auto"/>
            </w:tcBorders>
            <w:vAlign w:val="center"/>
          </w:tcPr>
          <w:p w14:paraId="79F9F2B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23,481,861.96</w:t>
            </w:r>
          </w:p>
        </w:tc>
      </w:tr>
      <w:tr w:rsidR="002D0AE7" w14:paraId="25363AF8"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5805D86F"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递延所得税资产</w:t>
            </w:r>
          </w:p>
        </w:tc>
        <w:tc>
          <w:tcPr>
            <w:tcW w:w="506" w:type="pct"/>
            <w:tcBorders>
              <w:top w:val="outset" w:sz="6" w:space="0" w:color="auto"/>
              <w:left w:val="outset" w:sz="6" w:space="0" w:color="auto"/>
              <w:bottom w:val="outset" w:sz="6" w:space="0" w:color="auto"/>
              <w:right w:val="outset" w:sz="6" w:space="0" w:color="auto"/>
            </w:tcBorders>
            <w:vAlign w:val="center"/>
          </w:tcPr>
          <w:p w14:paraId="734D09D1"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6D7E7B8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24,113,954.73</w:t>
            </w:r>
          </w:p>
        </w:tc>
        <w:tc>
          <w:tcPr>
            <w:tcW w:w="1030" w:type="pct"/>
            <w:tcBorders>
              <w:top w:val="outset" w:sz="6" w:space="0" w:color="auto"/>
              <w:left w:val="outset" w:sz="6" w:space="0" w:color="auto"/>
              <w:bottom w:val="outset" w:sz="6" w:space="0" w:color="auto"/>
              <w:right w:val="outset" w:sz="6" w:space="0" w:color="auto"/>
            </w:tcBorders>
            <w:vAlign w:val="center"/>
          </w:tcPr>
          <w:p w14:paraId="2856CE5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30,771,854.14</w:t>
            </w:r>
          </w:p>
        </w:tc>
      </w:tr>
      <w:tr w:rsidR="002D0AE7" w14:paraId="1C683179"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2C80F664"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其他非流动资产</w:t>
            </w:r>
          </w:p>
        </w:tc>
        <w:tc>
          <w:tcPr>
            <w:tcW w:w="506" w:type="pct"/>
            <w:tcBorders>
              <w:top w:val="outset" w:sz="6" w:space="0" w:color="auto"/>
              <w:left w:val="outset" w:sz="6" w:space="0" w:color="auto"/>
              <w:bottom w:val="outset" w:sz="6" w:space="0" w:color="auto"/>
              <w:right w:val="outset" w:sz="6" w:space="0" w:color="auto"/>
            </w:tcBorders>
            <w:vAlign w:val="center"/>
          </w:tcPr>
          <w:p w14:paraId="6A7919F1"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42E5148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135,234,410.72</w:t>
            </w:r>
          </w:p>
        </w:tc>
        <w:tc>
          <w:tcPr>
            <w:tcW w:w="1030" w:type="pct"/>
            <w:tcBorders>
              <w:top w:val="outset" w:sz="6" w:space="0" w:color="auto"/>
              <w:left w:val="outset" w:sz="6" w:space="0" w:color="auto"/>
              <w:bottom w:val="outset" w:sz="6" w:space="0" w:color="auto"/>
              <w:right w:val="outset" w:sz="6" w:space="0" w:color="auto"/>
            </w:tcBorders>
            <w:vAlign w:val="center"/>
          </w:tcPr>
          <w:p w14:paraId="69527BE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134,877,478.22</w:t>
            </w:r>
          </w:p>
        </w:tc>
      </w:tr>
      <w:tr w:rsidR="002D0AE7" w14:paraId="3139AE3A"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643EBFA7"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非流动资产合计</w:t>
            </w:r>
          </w:p>
        </w:tc>
        <w:tc>
          <w:tcPr>
            <w:tcW w:w="506" w:type="pct"/>
            <w:tcBorders>
              <w:top w:val="outset" w:sz="6" w:space="0" w:color="auto"/>
              <w:left w:val="outset" w:sz="6" w:space="0" w:color="auto"/>
              <w:bottom w:val="outset" w:sz="6" w:space="0" w:color="auto"/>
              <w:right w:val="outset" w:sz="6" w:space="0" w:color="auto"/>
            </w:tcBorders>
            <w:vAlign w:val="center"/>
          </w:tcPr>
          <w:p w14:paraId="564B5B8F"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24045A6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3,456,881,843.58</w:t>
            </w:r>
          </w:p>
        </w:tc>
        <w:tc>
          <w:tcPr>
            <w:tcW w:w="1030" w:type="pct"/>
            <w:tcBorders>
              <w:top w:val="outset" w:sz="6" w:space="0" w:color="auto"/>
              <w:left w:val="outset" w:sz="6" w:space="0" w:color="auto"/>
              <w:bottom w:val="outset" w:sz="6" w:space="0" w:color="auto"/>
              <w:right w:val="outset" w:sz="6" w:space="0" w:color="auto"/>
            </w:tcBorders>
            <w:vAlign w:val="center"/>
          </w:tcPr>
          <w:p w14:paraId="560C4ED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3,665,303,884.58</w:t>
            </w:r>
          </w:p>
        </w:tc>
      </w:tr>
      <w:tr w:rsidR="002D0AE7" w14:paraId="77040E48"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0CDDC748"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资产总计</w:t>
            </w:r>
          </w:p>
        </w:tc>
        <w:tc>
          <w:tcPr>
            <w:tcW w:w="506" w:type="pct"/>
            <w:tcBorders>
              <w:top w:val="outset" w:sz="6" w:space="0" w:color="auto"/>
              <w:left w:val="outset" w:sz="6" w:space="0" w:color="auto"/>
              <w:bottom w:val="outset" w:sz="6" w:space="0" w:color="auto"/>
              <w:right w:val="outset" w:sz="6" w:space="0" w:color="auto"/>
            </w:tcBorders>
            <w:vAlign w:val="center"/>
          </w:tcPr>
          <w:p w14:paraId="3332D153"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3F95318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4,438,784,253.27</w:t>
            </w:r>
          </w:p>
        </w:tc>
        <w:tc>
          <w:tcPr>
            <w:tcW w:w="1030" w:type="pct"/>
            <w:tcBorders>
              <w:top w:val="outset" w:sz="6" w:space="0" w:color="auto"/>
              <w:left w:val="outset" w:sz="6" w:space="0" w:color="auto"/>
              <w:bottom w:val="outset" w:sz="6" w:space="0" w:color="auto"/>
              <w:right w:val="outset" w:sz="6" w:space="0" w:color="auto"/>
            </w:tcBorders>
            <w:vAlign w:val="center"/>
          </w:tcPr>
          <w:p w14:paraId="5999A96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4,648,337,213.87</w:t>
            </w:r>
          </w:p>
        </w:tc>
      </w:tr>
      <w:tr w:rsidR="002D0AE7" w14:paraId="5D28FC34" w14:textId="77777777">
        <w:trPr>
          <w:jc w:val="center"/>
        </w:trPr>
        <w:sdt>
          <w:sdtPr>
            <w:rPr>
              <w:color w:val="000000" w:themeColor="text1"/>
              <w:sz w:val="21"/>
              <w:szCs w:val="21"/>
            </w:rPr>
            <w:tag w:val="_PLD_380943e088034c15ad8af33927d58d1b"/>
            <w:id w:val="-748966246"/>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71A4DFC2" w14:textId="77777777" w:rsidR="002D0AE7" w:rsidRDefault="00333EBB">
                <w:pPr>
                  <w:rPr>
                    <w:rFonts w:hint="eastAsia"/>
                    <w:color w:val="000000" w:themeColor="text1"/>
                    <w:sz w:val="21"/>
                    <w:szCs w:val="21"/>
                  </w:rPr>
                </w:pPr>
                <w:r>
                  <w:rPr>
                    <w:rFonts w:hint="eastAsia"/>
                    <w:b/>
                    <w:color w:val="000000" w:themeColor="text1"/>
                    <w:sz w:val="21"/>
                    <w:szCs w:val="21"/>
                  </w:rPr>
                  <w:t>流动负债：</w:t>
                </w:r>
              </w:p>
            </w:tc>
          </w:sdtContent>
        </w:sdt>
      </w:tr>
      <w:tr w:rsidR="002D0AE7" w14:paraId="1167AA25"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086031EF"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短期借款</w:t>
            </w:r>
          </w:p>
        </w:tc>
        <w:tc>
          <w:tcPr>
            <w:tcW w:w="506" w:type="pct"/>
            <w:tcBorders>
              <w:top w:val="outset" w:sz="6" w:space="0" w:color="auto"/>
              <w:left w:val="outset" w:sz="6" w:space="0" w:color="auto"/>
              <w:bottom w:val="outset" w:sz="6" w:space="0" w:color="auto"/>
              <w:right w:val="outset" w:sz="6" w:space="0" w:color="auto"/>
            </w:tcBorders>
            <w:vAlign w:val="center"/>
          </w:tcPr>
          <w:p w14:paraId="6D684589"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54407CF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80,053,000.01</w:t>
            </w:r>
          </w:p>
        </w:tc>
        <w:tc>
          <w:tcPr>
            <w:tcW w:w="1030" w:type="pct"/>
            <w:tcBorders>
              <w:top w:val="outset" w:sz="6" w:space="0" w:color="auto"/>
              <w:left w:val="outset" w:sz="6" w:space="0" w:color="auto"/>
              <w:bottom w:val="outset" w:sz="6" w:space="0" w:color="auto"/>
              <w:right w:val="outset" w:sz="6" w:space="0" w:color="auto"/>
            </w:tcBorders>
            <w:vAlign w:val="center"/>
          </w:tcPr>
          <w:p w14:paraId="49064A9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240,222,522.21</w:t>
            </w:r>
          </w:p>
        </w:tc>
      </w:tr>
      <w:tr w:rsidR="002D0AE7" w14:paraId="621FAFBE"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50F6FE85"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交易性金融负债</w:t>
            </w:r>
          </w:p>
        </w:tc>
        <w:tc>
          <w:tcPr>
            <w:tcW w:w="506" w:type="pct"/>
            <w:tcBorders>
              <w:top w:val="outset" w:sz="6" w:space="0" w:color="auto"/>
              <w:left w:val="outset" w:sz="6" w:space="0" w:color="auto"/>
              <w:bottom w:val="outset" w:sz="6" w:space="0" w:color="auto"/>
              <w:right w:val="outset" w:sz="6" w:space="0" w:color="auto"/>
            </w:tcBorders>
            <w:vAlign w:val="center"/>
          </w:tcPr>
          <w:p w14:paraId="2E8F0D2F"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40F987E2"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3FDED1B4" w14:textId="77777777" w:rsidR="002D0AE7" w:rsidRDefault="002D0AE7">
            <w:pPr>
              <w:jc w:val="right"/>
              <w:rPr>
                <w:rFonts w:ascii="Times New Roman" w:hAnsi="Times New Roman" w:cs="Times New Roman"/>
                <w:sz w:val="21"/>
                <w:szCs w:val="21"/>
              </w:rPr>
            </w:pPr>
          </w:p>
        </w:tc>
      </w:tr>
      <w:tr w:rsidR="002D0AE7" w14:paraId="5F6B2A19"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74A6058E"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衍生金融负债</w:t>
            </w:r>
          </w:p>
        </w:tc>
        <w:tc>
          <w:tcPr>
            <w:tcW w:w="506" w:type="pct"/>
            <w:tcBorders>
              <w:top w:val="outset" w:sz="6" w:space="0" w:color="auto"/>
              <w:left w:val="outset" w:sz="6" w:space="0" w:color="auto"/>
              <w:bottom w:val="outset" w:sz="6" w:space="0" w:color="auto"/>
              <w:right w:val="outset" w:sz="6" w:space="0" w:color="auto"/>
            </w:tcBorders>
            <w:vAlign w:val="center"/>
          </w:tcPr>
          <w:p w14:paraId="20300A41"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6E062837"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7D41C68E" w14:textId="77777777" w:rsidR="002D0AE7" w:rsidRDefault="002D0AE7">
            <w:pPr>
              <w:jc w:val="right"/>
              <w:rPr>
                <w:rFonts w:ascii="Times New Roman" w:hAnsi="Times New Roman" w:cs="Times New Roman"/>
                <w:sz w:val="21"/>
                <w:szCs w:val="21"/>
              </w:rPr>
            </w:pPr>
          </w:p>
        </w:tc>
      </w:tr>
      <w:tr w:rsidR="002D0AE7" w14:paraId="30B92AFA"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2D3AEC4E"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应付票据</w:t>
            </w:r>
          </w:p>
        </w:tc>
        <w:tc>
          <w:tcPr>
            <w:tcW w:w="506" w:type="pct"/>
            <w:tcBorders>
              <w:top w:val="outset" w:sz="6" w:space="0" w:color="auto"/>
              <w:left w:val="outset" w:sz="6" w:space="0" w:color="auto"/>
              <w:bottom w:val="outset" w:sz="6" w:space="0" w:color="auto"/>
              <w:right w:val="outset" w:sz="6" w:space="0" w:color="auto"/>
            </w:tcBorders>
            <w:vAlign w:val="center"/>
          </w:tcPr>
          <w:p w14:paraId="48884367"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2E8EA2C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173,776,665.22</w:t>
            </w:r>
          </w:p>
        </w:tc>
        <w:tc>
          <w:tcPr>
            <w:tcW w:w="1030" w:type="pct"/>
            <w:tcBorders>
              <w:top w:val="outset" w:sz="6" w:space="0" w:color="auto"/>
              <w:left w:val="outset" w:sz="6" w:space="0" w:color="auto"/>
              <w:bottom w:val="outset" w:sz="6" w:space="0" w:color="auto"/>
              <w:right w:val="outset" w:sz="6" w:space="0" w:color="auto"/>
            </w:tcBorders>
            <w:vAlign w:val="center"/>
          </w:tcPr>
          <w:p w14:paraId="3108914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93,000,000.00</w:t>
            </w:r>
          </w:p>
        </w:tc>
      </w:tr>
      <w:tr w:rsidR="002D0AE7" w14:paraId="5A2CA835"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4AB293C8"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应付账款</w:t>
            </w:r>
          </w:p>
        </w:tc>
        <w:tc>
          <w:tcPr>
            <w:tcW w:w="506" w:type="pct"/>
            <w:tcBorders>
              <w:top w:val="outset" w:sz="6" w:space="0" w:color="auto"/>
              <w:left w:val="outset" w:sz="6" w:space="0" w:color="auto"/>
              <w:bottom w:val="outset" w:sz="6" w:space="0" w:color="auto"/>
              <w:right w:val="outset" w:sz="6" w:space="0" w:color="auto"/>
            </w:tcBorders>
            <w:vAlign w:val="center"/>
          </w:tcPr>
          <w:p w14:paraId="3FDC4D20"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0187ACE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245,127,877.66</w:t>
            </w:r>
          </w:p>
        </w:tc>
        <w:tc>
          <w:tcPr>
            <w:tcW w:w="1030" w:type="pct"/>
            <w:tcBorders>
              <w:top w:val="outset" w:sz="6" w:space="0" w:color="auto"/>
              <w:left w:val="outset" w:sz="6" w:space="0" w:color="auto"/>
              <w:bottom w:val="outset" w:sz="6" w:space="0" w:color="auto"/>
              <w:right w:val="outset" w:sz="6" w:space="0" w:color="auto"/>
            </w:tcBorders>
            <w:vAlign w:val="center"/>
          </w:tcPr>
          <w:p w14:paraId="4D01D3F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331,443,369.77</w:t>
            </w:r>
          </w:p>
        </w:tc>
      </w:tr>
      <w:tr w:rsidR="002D0AE7" w14:paraId="19AF65AD"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7E3DCE85"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预收款项</w:t>
            </w:r>
          </w:p>
        </w:tc>
        <w:tc>
          <w:tcPr>
            <w:tcW w:w="506" w:type="pct"/>
            <w:tcBorders>
              <w:top w:val="outset" w:sz="6" w:space="0" w:color="auto"/>
              <w:left w:val="outset" w:sz="6" w:space="0" w:color="auto"/>
              <w:bottom w:val="outset" w:sz="6" w:space="0" w:color="auto"/>
              <w:right w:val="outset" w:sz="6" w:space="0" w:color="auto"/>
            </w:tcBorders>
            <w:vAlign w:val="center"/>
          </w:tcPr>
          <w:p w14:paraId="2428B948"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4958C77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2,150.00</w:t>
            </w:r>
          </w:p>
        </w:tc>
        <w:tc>
          <w:tcPr>
            <w:tcW w:w="1030" w:type="pct"/>
            <w:tcBorders>
              <w:top w:val="outset" w:sz="6" w:space="0" w:color="auto"/>
              <w:left w:val="outset" w:sz="6" w:space="0" w:color="auto"/>
              <w:bottom w:val="outset" w:sz="6" w:space="0" w:color="auto"/>
              <w:right w:val="outset" w:sz="6" w:space="0" w:color="auto"/>
            </w:tcBorders>
            <w:vAlign w:val="center"/>
          </w:tcPr>
          <w:p w14:paraId="6DE8DE9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2,150.00</w:t>
            </w:r>
          </w:p>
        </w:tc>
      </w:tr>
      <w:tr w:rsidR="002D0AE7" w14:paraId="668A4678"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78DC6134"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合同负债</w:t>
            </w:r>
          </w:p>
        </w:tc>
        <w:tc>
          <w:tcPr>
            <w:tcW w:w="506" w:type="pct"/>
            <w:tcBorders>
              <w:top w:val="outset" w:sz="6" w:space="0" w:color="auto"/>
              <w:left w:val="outset" w:sz="6" w:space="0" w:color="auto"/>
              <w:bottom w:val="outset" w:sz="6" w:space="0" w:color="auto"/>
              <w:right w:val="outset" w:sz="6" w:space="0" w:color="auto"/>
            </w:tcBorders>
            <w:vAlign w:val="center"/>
          </w:tcPr>
          <w:p w14:paraId="398A1368"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01175F0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27,378,994.73</w:t>
            </w:r>
          </w:p>
        </w:tc>
        <w:tc>
          <w:tcPr>
            <w:tcW w:w="1030" w:type="pct"/>
            <w:tcBorders>
              <w:top w:val="outset" w:sz="6" w:space="0" w:color="auto"/>
              <w:left w:val="outset" w:sz="6" w:space="0" w:color="auto"/>
              <w:bottom w:val="outset" w:sz="6" w:space="0" w:color="auto"/>
              <w:right w:val="outset" w:sz="6" w:space="0" w:color="auto"/>
            </w:tcBorders>
            <w:vAlign w:val="center"/>
          </w:tcPr>
          <w:p w14:paraId="78A4D4F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69,631,372.90</w:t>
            </w:r>
          </w:p>
        </w:tc>
      </w:tr>
      <w:tr w:rsidR="002D0AE7" w14:paraId="45536708"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61BE4707"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应付职工薪酬</w:t>
            </w:r>
          </w:p>
        </w:tc>
        <w:tc>
          <w:tcPr>
            <w:tcW w:w="506" w:type="pct"/>
            <w:tcBorders>
              <w:top w:val="outset" w:sz="6" w:space="0" w:color="auto"/>
              <w:left w:val="outset" w:sz="6" w:space="0" w:color="auto"/>
              <w:bottom w:val="outset" w:sz="6" w:space="0" w:color="auto"/>
              <w:right w:val="outset" w:sz="6" w:space="0" w:color="auto"/>
            </w:tcBorders>
            <w:vAlign w:val="center"/>
          </w:tcPr>
          <w:p w14:paraId="5BB7C4C9"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34054CC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30,142,806.71</w:t>
            </w:r>
          </w:p>
        </w:tc>
        <w:tc>
          <w:tcPr>
            <w:tcW w:w="1030" w:type="pct"/>
            <w:tcBorders>
              <w:top w:val="outset" w:sz="6" w:space="0" w:color="auto"/>
              <w:left w:val="outset" w:sz="6" w:space="0" w:color="auto"/>
              <w:bottom w:val="outset" w:sz="6" w:space="0" w:color="auto"/>
              <w:right w:val="outset" w:sz="6" w:space="0" w:color="auto"/>
            </w:tcBorders>
            <w:vAlign w:val="center"/>
          </w:tcPr>
          <w:p w14:paraId="4A5F4E8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37,086,309.12</w:t>
            </w:r>
          </w:p>
        </w:tc>
      </w:tr>
      <w:tr w:rsidR="002D0AE7" w14:paraId="494A80B2"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2BA47247"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应交税费</w:t>
            </w:r>
          </w:p>
        </w:tc>
        <w:tc>
          <w:tcPr>
            <w:tcW w:w="506" w:type="pct"/>
            <w:tcBorders>
              <w:top w:val="outset" w:sz="6" w:space="0" w:color="auto"/>
              <w:left w:val="outset" w:sz="6" w:space="0" w:color="auto"/>
              <w:bottom w:val="outset" w:sz="6" w:space="0" w:color="auto"/>
              <w:right w:val="outset" w:sz="6" w:space="0" w:color="auto"/>
            </w:tcBorders>
            <w:vAlign w:val="center"/>
          </w:tcPr>
          <w:p w14:paraId="5EC0D57F"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26CB62D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12,973,764.12</w:t>
            </w:r>
          </w:p>
        </w:tc>
        <w:tc>
          <w:tcPr>
            <w:tcW w:w="1030" w:type="pct"/>
            <w:tcBorders>
              <w:top w:val="outset" w:sz="6" w:space="0" w:color="auto"/>
              <w:left w:val="outset" w:sz="6" w:space="0" w:color="auto"/>
              <w:bottom w:val="outset" w:sz="6" w:space="0" w:color="auto"/>
              <w:right w:val="outset" w:sz="6" w:space="0" w:color="auto"/>
            </w:tcBorders>
            <w:vAlign w:val="center"/>
          </w:tcPr>
          <w:p w14:paraId="639AEB8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11,179,109.54</w:t>
            </w:r>
          </w:p>
        </w:tc>
      </w:tr>
      <w:tr w:rsidR="002D0AE7" w14:paraId="664DE63B"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4A3800A9"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其他应付款</w:t>
            </w:r>
          </w:p>
        </w:tc>
        <w:tc>
          <w:tcPr>
            <w:tcW w:w="506" w:type="pct"/>
            <w:tcBorders>
              <w:top w:val="outset" w:sz="6" w:space="0" w:color="auto"/>
              <w:left w:val="outset" w:sz="6" w:space="0" w:color="auto"/>
              <w:bottom w:val="outset" w:sz="6" w:space="0" w:color="auto"/>
              <w:right w:val="outset" w:sz="6" w:space="0" w:color="auto"/>
            </w:tcBorders>
            <w:vAlign w:val="center"/>
          </w:tcPr>
          <w:p w14:paraId="617E1E9F"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3E69A1B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13,763,009.66</w:t>
            </w:r>
          </w:p>
        </w:tc>
        <w:tc>
          <w:tcPr>
            <w:tcW w:w="1030" w:type="pct"/>
            <w:tcBorders>
              <w:top w:val="outset" w:sz="6" w:space="0" w:color="auto"/>
              <w:left w:val="outset" w:sz="6" w:space="0" w:color="auto"/>
              <w:bottom w:val="outset" w:sz="6" w:space="0" w:color="auto"/>
              <w:right w:val="outset" w:sz="6" w:space="0" w:color="auto"/>
            </w:tcBorders>
            <w:vAlign w:val="center"/>
          </w:tcPr>
          <w:p w14:paraId="756CB44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9,940,372.47</w:t>
            </w:r>
          </w:p>
        </w:tc>
      </w:tr>
      <w:tr w:rsidR="002D0AE7" w14:paraId="2A49A3F4"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558653CD"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其中：应付利息</w:t>
            </w:r>
          </w:p>
        </w:tc>
        <w:tc>
          <w:tcPr>
            <w:tcW w:w="506" w:type="pct"/>
            <w:tcBorders>
              <w:top w:val="outset" w:sz="6" w:space="0" w:color="auto"/>
              <w:left w:val="outset" w:sz="6" w:space="0" w:color="auto"/>
              <w:bottom w:val="outset" w:sz="6" w:space="0" w:color="auto"/>
              <w:right w:val="outset" w:sz="6" w:space="0" w:color="auto"/>
            </w:tcBorders>
            <w:vAlign w:val="center"/>
          </w:tcPr>
          <w:p w14:paraId="1D49CEAB"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338A3EE1"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599AFF86" w14:textId="77777777" w:rsidR="002D0AE7" w:rsidRDefault="002D0AE7">
            <w:pPr>
              <w:jc w:val="right"/>
              <w:rPr>
                <w:rFonts w:ascii="Times New Roman" w:hAnsi="Times New Roman" w:cs="Times New Roman"/>
                <w:sz w:val="21"/>
                <w:szCs w:val="21"/>
              </w:rPr>
            </w:pPr>
          </w:p>
        </w:tc>
      </w:tr>
      <w:tr w:rsidR="002D0AE7" w14:paraId="4A0563EF"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66238D2C" w14:textId="77777777" w:rsidR="002D0AE7" w:rsidRDefault="00333EBB">
            <w:pPr>
              <w:ind w:firstLineChars="400" w:firstLine="840"/>
              <w:rPr>
                <w:rFonts w:hint="eastAsia"/>
                <w:color w:val="000000" w:themeColor="text1"/>
                <w:sz w:val="21"/>
                <w:szCs w:val="21"/>
              </w:rPr>
            </w:pPr>
            <w:r>
              <w:rPr>
                <w:rFonts w:hint="eastAsia"/>
                <w:color w:val="000000" w:themeColor="text1"/>
                <w:sz w:val="21"/>
                <w:szCs w:val="21"/>
              </w:rPr>
              <w:t>应付股利</w:t>
            </w:r>
          </w:p>
        </w:tc>
        <w:tc>
          <w:tcPr>
            <w:tcW w:w="506" w:type="pct"/>
            <w:tcBorders>
              <w:top w:val="outset" w:sz="6" w:space="0" w:color="auto"/>
              <w:left w:val="outset" w:sz="6" w:space="0" w:color="auto"/>
              <w:bottom w:val="outset" w:sz="6" w:space="0" w:color="auto"/>
              <w:right w:val="outset" w:sz="6" w:space="0" w:color="auto"/>
            </w:tcBorders>
            <w:vAlign w:val="center"/>
          </w:tcPr>
          <w:p w14:paraId="7CEBC066"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7B410D1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248,766.00</w:t>
            </w:r>
          </w:p>
        </w:tc>
        <w:tc>
          <w:tcPr>
            <w:tcW w:w="1030" w:type="pct"/>
            <w:tcBorders>
              <w:top w:val="outset" w:sz="6" w:space="0" w:color="auto"/>
              <w:left w:val="outset" w:sz="6" w:space="0" w:color="auto"/>
              <w:bottom w:val="outset" w:sz="6" w:space="0" w:color="auto"/>
              <w:right w:val="outset" w:sz="6" w:space="0" w:color="auto"/>
            </w:tcBorders>
            <w:vAlign w:val="center"/>
          </w:tcPr>
          <w:p w14:paraId="099F943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70,764.00</w:t>
            </w:r>
          </w:p>
        </w:tc>
      </w:tr>
      <w:tr w:rsidR="002D0AE7" w14:paraId="6DD0841C"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4BD7A7E2"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持有待售负债</w:t>
            </w:r>
          </w:p>
        </w:tc>
        <w:tc>
          <w:tcPr>
            <w:tcW w:w="506" w:type="pct"/>
            <w:tcBorders>
              <w:top w:val="outset" w:sz="6" w:space="0" w:color="auto"/>
              <w:left w:val="outset" w:sz="6" w:space="0" w:color="auto"/>
              <w:bottom w:val="outset" w:sz="6" w:space="0" w:color="auto"/>
              <w:right w:val="outset" w:sz="6" w:space="0" w:color="auto"/>
            </w:tcBorders>
            <w:vAlign w:val="center"/>
          </w:tcPr>
          <w:p w14:paraId="2B505DB2"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45275247"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108C34C1" w14:textId="77777777" w:rsidR="002D0AE7" w:rsidRDefault="002D0AE7">
            <w:pPr>
              <w:jc w:val="right"/>
              <w:rPr>
                <w:rFonts w:ascii="Times New Roman" w:hAnsi="Times New Roman" w:cs="Times New Roman"/>
                <w:sz w:val="21"/>
                <w:szCs w:val="21"/>
              </w:rPr>
            </w:pPr>
          </w:p>
        </w:tc>
      </w:tr>
      <w:tr w:rsidR="002D0AE7" w14:paraId="5C093A3D"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7369289F"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一年内到期的非流动负债</w:t>
            </w:r>
          </w:p>
        </w:tc>
        <w:tc>
          <w:tcPr>
            <w:tcW w:w="506" w:type="pct"/>
            <w:tcBorders>
              <w:top w:val="outset" w:sz="6" w:space="0" w:color="auto"/>
              <w:left w:val="outset" w:sz="6" w:space="0" w:color="auto"/>
              <w:bottom w:val="outset" w:sz="6" w:space="0" w:color="auto"/>
              <w:right w:val="outset" w:sz="6" w:space="0" w:color="auto"/>
            </w:tcBorders>
            <w:vAlign w:val="center"/>
          </w:tcPr>
          <w:p w14:paraId="24483EBE"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029BD6E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315,565,909.76</w:t>
            </w:r>
          </w:p>
        </w:tc>
        <w:tc>
          <w:tcPr>
            <w:tcW w:w="1030" w:type="pct"/>
            <w:tcBorders>
              <w:top w:val="outset" w:sz="6" w:space="0" w:color="auto"/>
              <w:left w:val="outset" w:sz="6" w:space="0" w:color="auto"/>
              <w:bottom w:val="outset" w:sz="6" w:space="0" w:color="auto"/>
              <w:right w:val="outset" w:sz="6" w:space="0" w:color="auto"/>
            </w:tcBorders>
            <w:vAlign w:val="center"/>
          </w:tcPr>
          <w:p w14:paraId="2F90AB5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421,996,745.06</w:t>
            </w:r>
          </w:p>
        </w:tc>
      </w:tr>
      <w:tr w:rsidR="002D0AE7" w14:paraId="4F6FE0D1"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690C11A5"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其他流动负债</w:t>
            </w:r>
          </w:p>
        </w:tc>
        <w:tc>
          <w:tcPr>
            <w:tcW w:w="506" w:type="pct"/>
            <w:tcBorders>
              <w:top w:val="outset" w:sz="6" w:space="0" w:color="auto"/>
              <w:left w:val="outset" w:sz="6" w:space="0" w:color="auto"/>
              <w:bottom w:val="outset" w:sz="6" w:space="0" w:color="auto"/>
              <w:right w:val="outset" w:sz="6" w:space="0" w:color="auto"/>
            </w:tcBorders>
            <w:vAlign w:val="center"/>
          </w:tcPr>
          <w:p w14:paraId="0F0DDED4"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222A367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3,101,669.31</w:t>
            </w:r>
          </w:p>
        </w:tc>
        <w:tc>
          <w:tcPr>
            <w:tcW w:w="1030" w:type="pct"/>
            <w:tcBorders>
              <w:top w:val="outset" w:sz="6" w:space="0" w:color="auto"/>
              <w:left w:val="outset" w:sz="6" w:space="0" w:color="auto"/>
              <w:bottom w:val="outset" w:sz="6" w:space="0" w:color="auto"/>
              <w:right w:val="outset" w:sz="6" w:space="0" w:color="auto"/>
            </w:tcBorders>
            <w:vAlign w:val="center"/>
          </w:tcPr>
          <w:p w14:paraId="4878701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9,052,078.48</w:t>
            </w:r>
          </w:p>
        </w:tc>
      </w:tr>
      <w:tr w:rsidR="002D0AE7" w14:paraId="6765B722"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121084F3"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流动负债合计</w:t>
            </w:r>
          </w:p>
        </w:tc>
        <w:tc>
          <w:tcPr>
            <w:tcW w:w="506" w:type="pct"/>
            <w:tcBorders>
              <w:top w:val="outset" w:sz="6" w:space="0" w:color="auto"/>
              <w:left w:val="outset" w:sz="6" w:space="0" w:color="auto"/>
              <w:bottom w:val="outset" w:sz="6" w:space="0" w:color="auto"/>
              <w:right w:val="outset" w:sz="6" w:space="0" w:color="auto"/>
            </w:tcBorders>
            <w:vAlign w:val="center"/>
          </w:tcPr>
          <w:p w14:paraId="1EC91BA5"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243659B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901,885,847.18</w:t>
            </w:r>
          </w:p>
        </w:tc>
        <w:tc>
          <w:tcPr>
            <w:tcW w:w="1030" w:type="pct"/>
            <w:tcBorders>
              <w:top w:val="outset" w:sz="6" w:space="0" w:color="auto"/>
              <w:left w:val="outset" w:sz="6" w:space="0" w:color="auto"/>
              <w:bottom w:val="outset" w:sz="6" w:space="0" w:color="auto"/>
              <w:right w:val="outset" w:sz="6" w:space="0" w:color="auto"/>
            </w:tcBorders>
            <w:vAlign w:val="center"/>
          </w:tcPr>
          <w:p w14:paraId="541C93F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1,223,554,029.55</w:t>
            </w:r>
          </w:p>
        </w:tc>
      </w:tr>
      <w:tr w:rsidR="002D0AE7" w14:paraId="6D73A054" w14:textId="77777777">
        <w:trPr>
          <w:jc w:val="center"/>
        </w:trPr>
        <w:sdt>
          <w:sdtPr>
            <w:rPr>
              <w:color w:val="000000" w:themeColor="text1"/>
              <w:sz w:val="21"/>
              <w:szCs w:val="21"/>
            </w:rPr>
            <w:tag w:val="_PLD_e62929b21cd4456494013c9cb0dc5b16"/>
            <w:id w:val="-1623068968"/>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442F80F9" w14:textId="77777777" w:rsidR="002D0AE7" w:rsidRDefault="00333EBB">
                <w:pPr>
                  <w:rPr>
                    <w:rFonts w:hint="eastAsia"/>
                    <w:color w:val="000000" w:themeColor="text1"/>
                    <w:sz w:val="21"/>
                    <w:szCs w:val="21"/>
                  </w:rPr>
                </w:pPr>
                <w:r>
                  <w:rPr>
                    <w:rFonts w:hint="eastAsia"/>
                    <w:b/>
                    <w:color w:val="000000" w:themeColor="text1"/>
                    <w:sz w:val="21"/>
                    <w:szCs w:val="21"/>
                  </w:rPr>
                  <w:t>非流动负债：</w:t>
                </w:r>
              </w:p>
            </w:tc>
          </w:sdtContent>
        </w:sdt>
      </w:tr>
      <w:tr w:rsidR="002D0AE7" w14:paraId="1453FB03"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07DAA87C"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长期借款</w:t>
            </w:r>
          </w:p>
        </w:tc>
        <w:tc>
          <w:tcPr>
            <w:tcW w:w="506" w:type="pct"/>
            <w:tcBorders>
              <w:top w:val="outset" w:sz="6" w:space="0" w:color="auto"/>
              <w:left w:val="outset" w:sz="6" w:space="0" w:color="auto"/>
              <w:bottom w:val="outset" w:sz="6" w:space="0" w:color="auto"/>
              <w:right w:val="outset" w:sz="6" w:space="0" w:color="auto"/>
            </w:tcBorders>
            <w:vAlign w:val="center"/>
          </w:tcPr>
          <w:p w14:paraId="6A7E5B29"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0C7C23F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373,469,443.00</w:t>
            </w:r>
          </w:p>
        </w:tc>
        <w:tc>
          <w:tcPr>
            <w:tcW w:w="1030" w:type="pct"/>
            <w:tcBorders>
              <w:top w:val="outset" w:sz="6" w:space="0" w:color="auto"/>
              <w:left w:val="outset" w:sz="6" w:space="0" w:color="auto"/>
              <w:bottom w:val="outset" w:sz="6" w:space="0" w:color="auto"/>
              <w:right w:val="outset" w:sz="6" w:space="0" w:color="auto"/>
            </w:tcBorders>
            <w:vAlign w:val="center"/>
          </w:tcPr>
          <w:p w14:paraId="117D709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277,000,000.00</w:t>
            </w:r>
          </w:p>
        </w:tc>
      </w:tr>
      <w:tr w:rsidR="002D0AE7" w14:paraId="3789EFFE"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74D16C7E"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应付债券</w:t>
            </w:r>
          </w:p>
        </w:tc>
        <w:tc>
          <w:tcPr>
            <w:tcW w:w="506" w:type="pct"/>
            <w:tcBorders>
              <w:top w:val="outset" w:sz="6" w:space="0" w:color="auto"/>
              <w:left w:val="outset" w:sz="6" w:space="0" w:color="auto"/>
              <w:bottom w:val="outset" w:sz="6" w:space="0" w:color="auto"/>
              <w:right w:val="outset" w:sz="6" w:space="0" w:color="auto"/>
            </w:tcBorders>
            <w:vAlign w:val="center"/>
          </w:tcPr>
          <w:p w14:paraId="213C05C7"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16B65B44"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6CD80D7A" w14:textId="77777777" w:rsidR="002D0AE7" w:rsidRDefault="002D0AE7">
            <w:pPr>
              <w:jc w:val="right"/>
              <w:rPr>
                <w:rFonts w:ascii="Times New Roman" w:hAnsi="Times New Roman" w:cs="Times New Roman"/>
                <w:sz w:val="21"/>
                <w:szCs w:val="21"/>
              </w:rPr>
            </w:pPr>
          </w:p>
        </w:tc>
      </w:tr>
      <w:tr w:rsidR="002D0AE7" w14:paraId="09797553"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41C8A1B0"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其中：优先股</w:t>
            </w:r>
          </w:p>
        </w:tc>
        <w:tc>
          <w:tcPr>
            <w:tcW w:w="506" w:type="pct"/>
            <w:tcBorders>
              <w:top w:val="outset" w:sz="6" w:space="0" w:color="auto"/>
              <w:left w:val="outset" w:sz="6" w:space="0" w:color="auto"/>
              <w:bottom w:val="outset" w:sz="6" w:space="0" w:color="auto"/>
              <w:right w:val="outset" w:sz="6" w:space="0" w:color="auto"/>
            </w:tcBorders>
            <w:vAlign w:val="center"/>
          </w:tcPr>
          <w:p w14:paraId="48EFC28A"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31070DA9"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76A3EAF3" w14:textId="77777777" w:rsidR="002D0AE7" w:rsidRDefault="002D0AE7">
            <w:pPr>
              <w:jc w:val="right"/>
              <w:rPr>
                <w:rFonts w:ascii="Times New Roman" w:hAnsi="Times New Roman" w:cs="Times New Roman"/>
                <w:sz w:val="21"/>
                <w:szCs w:val="21"/>
              </w:rPr>
            </w:pPr>
          </w:p>
        </w:tc>
      </w:tr>
      <w:tr w:rsidR="002D0AE7" w14:paraId="2ACD6535"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1396AD2C" w14:textId="77777777" w:rsidR="002D0AE7" w:rsidRDefault="00333EBB">
            <w:pPr>
              <w:ind w:leftChars="300" w:left="720" w:firstLineChars="100" w:firstLine="210"/>
              <w:rPr>
                <w:rFonts w:hint="eastAsia"/>
                <w:color w:val="000000" w:themeColor="text1"/>
                <w:sz w:val="21"/>
                <w:szCs w:val="21"/>
              </w:rPr>
            </w:pPr>
            <w:r>
              <w:rPr>
                <w:rFonts w:hint="eastAsia"/>
                <w:color w:val="000000" w:themeColor="text1"/>
                <w:sz w:val="21"/>
                <w:szCs w:val="21"/>
              </w:rPr>
              <w:t>永续债</w:t>
            </w:r>
          </w:p>
        </w:tc>
        <w:tc>
          <w:tcPr>
            <w:tcW w:w="506" w:type="pct"/>
            <w:tcBorders>
              <w:top w:val="outset" w:sz="6" w:space="0" w:color="auto"/>
              <w:left w:val="outset" w:sz="6" w:space="0" w:color="auto"/>
              <w:bottom w:val="outset" w:sz="6" w:space="0" w:color="auto"/>
              <w:right w:val="outset" w:sz="6" w:space="0" w:color="auto"/>
            </w:tcBorders>
            <w:vAlign w:val="center"/>
          </w:tcPr>
          <w:p w14:paraId="167E376B"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0320D3D3"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1D6AF1DD" w14:textId="77777777" w:rsidR="002D0AE7" w:rsidRDefault="002D0AE7">
            <w:pPr>
              <w:jc w:val="right"/>
              <w:rPr>
                <w:rFonts w:ascii="Times New Roman" w:hAnsi="Times New Roman" w:cs="Times New Roman"/>
                <w:sz w:val="21"/>
                <w:szCs w:val="21"/>
              </w:rPr>
            </w:pPr>
          </w:p>
        </w:tc>
      </w:tr>
      <w:tr w:rsidR="002D0AE7" w14:paraId="7FDAA3C4"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24B07C65"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租赁负债</w:t>
            </w:r>
          </w:p>
        </w:tc>
        <w:tc>
          <w:tcPr>
            <w:tcW w:w="506" w:type="pct"/>
            <w:tcBorders>
              <w:top w:val="outset" w:sz="6" w:space="0" w:color="auto"/>
              <w:left w:val="outset" w:sz="6" w:space="0" w:color="auto"/>
              <w:bottom w:val="outset" w:sz="6" w:space="0" w:color="auto"/>
              <w:right w:val="outset" w:sz="6" w:space="0" w:color="auto"/>
            </w:tcBorders>
            <w:vAlign w:val="center"/>
          </w:tcPr>
          <w:p w14:paraId="21A0F5E0"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37055B48"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638BA8E1" w14:textId="77777777" w:rsidR="002D0AE7" w:rsidRDefault="002D0AE7">
            <w:pPr>
              <w:jc w:val="right"/>
              <w:rPr>
                <w:rFonts w:ascii="Times New Roman" w:hAnsi="Times New Roman" w:cs="Times New Roman"/>
                <w:sz w:val="21"/>
                <w:szCs w:val="21"/>
              </w:rPr>
            </w:pPr>
          </w:p>
        </w:tc>
      </w:tr>
      <w:tr w:rsidR="002D0AE7" w14:paraId="3A7B7700"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01C982DA"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长期应付款</w:t>
            </w:r>
          </w:p>
        </w:tc>
        <w:tc>
          <w:tcPr>
            <w:tcW w:w="506" w:type="pct"/>
            <w:tcBorders>
              <w:top w:val="outset" w:sz="6" w:space="0" w:color="auto"/>
              <w:left w:val="outset" w:sz="6" w:space="0" w:color="auto"/>
              <w:bottom w:val="outset" w:sz="6" w:space="0" w:color="auto"/>
              <w:right w:val="outset" w:sz="6" w:space="0" w:color="auto"/>
            </w:tcBorders>
            <w:vAlign w:val="center"/>
          </w:tcPr>
          <w:p w14:paraId="2AADA75C"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62FA36CF"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3415917F" w14:textId="77777777" w:rsidR="002D0AE7" w:rsidRDefault="002D0AE7">
            <w:pPr>
              <w:jc w:val="right"/>
              <w:rPr>
                <w:rFonts w:ascii="Times New Roman" w:hAnsi="Times New Roman" w:cs="Times New Roman"/>
                <w:sz w:val="21"/>
                <w:szCs w:val="21"/>
              </w:rPr>
            </w:pPr>
          </w:p>
        </w:tc>
      </w:tr>
      <w:tr w:rsidR="002D0AE7" w14:paraId="66D74876"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2D9107E1"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长期应付职工薪酬</w:t>
            </w:r>
          </w:p>
        </w:tc>
        <w:tc>
          <w:tcPr>
            <w:tcW w:w="506" w:type="pct"/>
            <w:tcBorders>
              <w:top w:val="outset" w:sz="6" w:space="0" w:color="auto"/>
              <w:left w:val="outset" w:sz="6" w:space="0" w:color="auto"/>
              <w:bottom w:val="outset" w:sz="6" w:space="0" w:color="auto"/>
              <w:right w:val="outset" w:sz="6" w:space="0" w:color="auto"/>
            </w:tcBorders>
            <w:vAlign w:val="center"/>
          </w:tcPr>
          <w:p w14:paraId="2FE80427"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72F4159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6,040,000.00</w:t>
            </w:r>
          </w:p>
        </w:tc>
        <w:tc>
          <w:tcPr>
            <w:tcW w:w="1030" w:type="pct"/>
            <w:tcBorders>
              <w:top w:val="outset" w:sz="6" w:space="0" w:color="auto"/>
              <w:left w:val="outset" w:sz="6" w:space="0" w:color="auto"/>
              <w:bottom w:val="outset" w:sz="6" w:space="0" w:color="auto"/>
              <w:right w:val="outset" w:sz="6" w:space="0" w:color="auto"/>
            </w:tcBorders>
            <w:vAlign w:val="center"/>
          </w:tcPr>
          <w:p w14:paraId="18ED68B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6,040,000.00</w:t>
            </w:r>
          </w:p>
        </w:tc>
      </w:tr>
      <w:tr w:rsidR="002D0AE7" w14:paraId="72F5A835"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6C03CD1A"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lastRenderedPageBreak/>
              <w:t>预计负债</w:t>
            </w:r>
          </w:p>
        </w:tc>
        <w:tc>
          <w:tcPr>
            <w:tcW w:w="506" w:type="pct"/>
            <w:tcBorders>
              <w:top w:val="outset" w:sz="6" w:space="0" w:color="auto"/>
              <w:left w:val="outset" w:sz="6" w:space="0" w:color="auto"/>
              <w:bottom w:val="outset" w:sz="6" w:space="0" w:color="auto"/>
              <w:right w:val="outset" w:sz="6" w:space="0" w:color="auto"/>
            </w:tcBorders>
            <w:vAlign w:val="center"/>
          </w:tcPr>
          <w:p w14:paraId="68E05069"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0079B0A1"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5779B3DA" w14:textId="77777777" w:rsidR="002D0AE7" w:rsidRDefault="002D0AE7">
            <w:pPr>
              <w:jc w:val="right"/>
              <w:rPr>
                <w:rFonts w:ascii="Times New Roman" w:hAnsi="Times New Roman" w:cs="Times New Roman"/>
                <w:sz w:val="21"/>
                <w:szCs w:val="21"/>
              </w:rPr>
            </w:pPr>
          </w:p>
        </w:tc>
      </w:tr>
      <w:tr w:rsidR="002D0AE7" w14:paraId="644298D0"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5542E1C7"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递延收益</w:t>
            </w:r>
          </w:p>
        </w:tc>
        <w:tc>
          <w:tcPr>
            <w:tcW w:w="506" w:type="pct"/>
            <w:tcBorders>
              <w:top w:val="outset" w:sz="6" w:space="0" w:color="auto"/>
              <w:left w:val="outset" w:sz="6" w:space="0" w:color="auto"/>
              <w:bottom w:val="outset" w:sz="6" w:space="0" w:color="auto"/>
              <w:right w:val="outset" w:sz="6" w:space="0" w:color="auto"/>
            </w:tcBorders>
            <w:vAlign w:val="center"/>
          </w:tcPr>
          <w:p w14:paraId="01DC781F"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01F8F52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69,785,249.97</w:t>
            </w:r>
          </w:p>
        </w:tc>
        <w:tc>
          <w:tcPr>
            <w:tcW w:w="1030" w:type="pct"/>
            <w:tcBorders>
              <w:top w:val="outset" w:sz="6" w:space="0" w:color="auto"/>
              <w:left w:val="outset" w:sz="6" w:space="0" w:color="auto"/>
              <w:bottom w:val="outset" w:sz="6" w:space="0" w:color="auto"/>
              <w:right w:val="outset" w:sz="6" w:space="0" w:color="auto"/>
            </w:tcBorders>
            <w:vAlign w:val="center"/>
          </w:tcPr>
          <w:p w14:paraId="46E1ECB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71,138,095.11</w:t>
            </w:r>
          </w:p>
        </w:tc>
      </w:tr>
      <w:tr w:rsidR="002D0AE7" w14:paraId="32A0CA17"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69ED5D8B"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递延所得税负债</w:t>
            </w:r>
          </w:p>
        </w:tc>
        <w:tc>
          <w:tcPr>
            <w:tcW w:w="506" w:type="pct"/>
            <w:tcBorders>
              <w:top w:val="outset" w:sz="6" w:space="0" w:color="auto"/>
              <w:left w:val="outset" w:sz="6" w:space="0" w:color="auto"/>
              <w:bottom w:val="outset" w:sz="6" w:space="0" w:color="auto"/>
              <w:right w:val="outset" w:sz="6" w:space="0" w:color="auto"/>
            </w:tcBorders>
            <w:vAlign w:val="center"/>
          </w:tcPr>
          <w:p w14:paraId="522A929C"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464740D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14,018,930.47</w:t>
            </w:r>
          </w:p>
        </w:tc>
        <w:tc>
          <w:tcPr>
            <w:tcW w:w="1030" w:type="pct"/>
            <w:tcBorders>
              <w:top w:val="outset" w:sz="6" w:space="0" w:color="auto"/>
              <w:left w:val="outset" w:sz="6" w:space="0" w:color="auto"/>
              <w:bottom w:val="outset" w:sz="6" w:space="0" w:color="auto"/>
              <w:right w:val="outset" w:sz="6" w:space="0" w:color="auto"/>
            </w:tcBorders>
            <w:vAlign w:val="center"/>
          </w:tcPr>
          <w:p w14:paraId="368F4D9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14,892,149.14</w:t>
            </w:r>
          </w:p>
        </w:tc>
      </w:tr>
      <w:tr w:rsidR="002D0AE7" w14:paraId="7A6D36EB"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5D759039"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其他非流动负债</w:t>
            </w:r>
          </w:p>
        </w:tc>
        <w:tc>
          <w:tcPr>
            <w:tcW w:w="506" w:type="pct"/>
            <w:tcBorders>
              <w:top w:val="outset" w:sz="6" w:space="0" w:color="auto"/>
              <w:left w:val="outset" w:sz="6" w:space="0" w:color="auto"/>
              <w:bottom w:val="outset" w:sz="6" w:space="0" w:color="auto"/>
              <w:right w:val="outset" w:sz="6" w:space="0" w:color="auto"/>
            </w:tcBorders>
            <w:vAlign w:val="center"/>
          </w:tcPr>
          <w:p w14:paraId="022AB992"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3C1DC7DE"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5D896179" w14:textId="77777777" w:rsidR="002D0AE7" w:rsidRDefault="002D0AE7">
            <w:pPr>
              <w:jc w:val="right"/>
              <w:rPr>
                <w:rFonts w:ascii="Times New Roman" w:hAnsi="Times New Roman" w:cs="Times New Roman"/>
                <w:sz w:val="21"/>
                <w:szCs w:val="21"/>
              </w:rPr>
            </w:pPr>
          </w:p>
        </w:tc>
      </w:tr>
      <w:tr w:rsidR="002D0AE7" w14:paraId="42272168"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4AE0DF04"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非流动负债合计</w:t>
            </w:r>
          </w:p>
        </w:tc>
        <w:tc>
          <w:tcPr>
            <w:tcW w:w="506" w:type="pct"/>
            <w:tcBorders>
              <w:top w:val="outset" w:sz="6" w:space="0" w:color="auto"/>
              <w:left w:val="outset" w:sz="6" w:space="0" w:color="auto"/>
              <w:bottom w:val="outset" w:sz="6" w:space="0" w:color="auto"/>
              <w:right w:val="outset" w:sz="6" w:space="0" w:color="auto"/>
            </w:tcBorders>
            <w:vAlign w:val="center"/>
          </w:tcPr>
          <w:p w14:paraId="2FD869DB"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1C61C26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463,313,623.44</w:t>
            </w:r>
          </w:p>
        </w:tc>
        <w:tc>
          <w:tcPr>
            <w:tcW w:w="1030" w:type="pct"/>
            <w:tcBorders>
              <w:top w:val="outset" w:sz="6" w:space="0" w:color="auto"/>
              <w:left w:val="outset" w:sz="6" w:space="0" w:color="auto"/>
              <w:bottom w:val="outset" w:sz="6" w:space="0" w:color="auto"/>
              <w:right w:val="outset" w:sz="6" w:space="0" w:color="auto"/>
            </w:tcBorders>
            <w:vAlign w:val="center"/>
          </w:tcPr>
          <w:p w14:paraId="6D6B22E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369,070,244.25</w:t>
            </w:r>
          </w:p>
        </w:tc>
      </w:tr>
      <w:tr w:rsidR="002D0AE7" w14:paraId="7BA0F1D2"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723967D2"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负债合计</w:t>
            </w:r>
          </w:p>
        </w:tc>
        <w:tc>
          <w:tcPr>
            <w:tcW w:w="506" w:type="pct"/>
            <w:tcBorders>
              <w:top w:val="outset" w:sz="6" w:space="0" w:color="auto"/>
              <w:left w:val="outset" w:sz="6" w:space="0" w:color="auto"/>
              <w:bottom w:val="outset" w:sz="6" w:space="0" w:color="auto"/>
              <w:right w:val="outset" w:sz="6" w:space="0" w:color="auto"/>
            </w:tcBorders>
            <w:vAlign w:val="center"/>
          </w:tcPr>
          <w:p w14:paraId="1F50E9B6"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7E22BFD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1,365,199,470.62</w:t>
            </w:r>
          </w:p>
        </w:tc>
        <w:tc>
          <w:tcPr>
            <w:tcW w:w="1030" w:type="pct"/>
            <w:tcBorders>
              <w:top w:val="outset" w:sz="6" w:space="0" w:color="auto"/>
              <w:left w:val="outset" w:sz="6" w:space="0" w:color="auto"/>
              <w:bottom w:val="outset" w:sz="6" w:space="0" w:color="auto"/>
              <w:right w:val="outset" w:sz="6" w:space="0" w:color="auto"/>
            </w:tcBorders>
            <w:vAlign w:val="center"/>
          </w:tcPr>
          <w:p w14:paraId="1627457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1,592,624,273.80</w:t>
            </w:r>
          </w:p>
        </w:tc>
      </w:tr>
      <w:tr w:rsidR="002D0AE7" w14:paraId="42E94C8F" w14:textId="77777777">
        <w:trPr>
          <w:jc w:val="center"/>
        </w:trPr>
        <w:sdt>
          <w:sdtPr>
            <w:rPr>
              <w:color w:val="000000" w:themeColor="text1"/>
              <w:sz w:val="21"/>
              <w:szCs w:val="21"/>
            </w:rPr>
            <w:tag w:val="_PLD_b3c95ee428314f8b8091bd15dff2a83d"/>
            <w:id w:val="804115859"/>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6869EE56" w14:textId="77777777" w:rsidR="002D0AE7" w:rsidRDefault="00333EBB">
                <w:pPr>
                  <w:rPr>
                    <w:rFonts w:hint="eastAsia"/>
                    <w:color w:val="000000" w:themeColor="text1"/>
                    <w:sz w:val="21"/>
                    <w:szCs w:val="21"/>
                  </w:rPr>
                </w:pPr>
                <w:r>
                  <w:rPr>
                    <w:rFonts w:hint="eastAsia"/>
                    <w:b/>
                    <w:color w:val="000000" w:themeColor="text1"/>
                    <w:sz w:val="21"/>
                    <w:szCs w:val="21"/>
                  </w:rPr>
                  <w:t>所有者权益（或股东权益）：</w:t>
                </w:r>
              </w:p>
            </w:tc>
          </w:sdtContent>
        </w:sdt>
      </w:tr>
      <w:tr w:rsidR="002D0AE7" w14:paraId="45DA87A3"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0B2AD255"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实收资本（或股本）</w:t>
            </w:r>
          </w:p>
        </w:tc>
        <w:tc>
          <w:tcPr>
            <w:tcW w:w="506" w:type="pct"/>
            <w:tcBorders>
              <w:top w:val="outset" w:sz="6" w:space="0" w:color="auto"/>
              <w:left w:val="outset" w:sz="6" w:space="0" w:color="auto"/>
              <w:bottom w:val="outset" w:sz="6" w:space="0" w:color="auto"/>
              <w:right w:val="outset" w:sz="6" w:space="0" w:color="auto"/>
            </w:tcBorders>
            <w:vAlign w:val="center"/>
          </w:tcPr>
          <w:p w14:paraId="04D3CC31"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4C4D27F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1,093,932,680.00</w:t>
            </w:r>
          </w:p>
        </w:tc>
        <w:tc>
          <w:tcPr>
            <w:tcW w:w="1030" w:type="pct"/>
            <w:tcBorders>
              <w:top w:val="outset" w:sz="6" w:space="0" w:color="auto"/>
              <w:left w:val="outset" w:sz="6" w:space="0" w:color="auto"/>
              <w:bottom w:val="outset" w:sz="6" w:space="0" w:color="auto"/>
              <w:right w:val="outset" w:sz="6" w:space="0" w:color="auto"/>
            </w:tcBorders>
            <w:vAlign w:val="center"/>
          </w:tcPr>
          <w:p w14:paraId="47027F4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1,093,932,680.00</w:t>
            </w:r>
          </w:p>
        </w:tc>
      </w:tr>
      <w:tr w:rsidR="002D0AE7" w14:paraId="117063B1"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6B9249CF"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其他权益工具</w:t>
            </w:r>
          </w:p>
        </w:tc>
        <w:tc>
          <w:tcPr>
            <w:tcW w:w="506" w:type="pct"/>
            <w:tcBorders>
              <w:top w:val="outset" w:sz="6" w:space="0" w:color="auto"/>
              <w:left w:val="outset" w:sz="6" w:space="0" w:color="auto"/>
              <w:bottom w:val="outset" w:sz="6" w:space="0" w:color="auto"/>
              <w:right w:val="outset" w:sz="6" w:space="0" w:color="auto"/>
            </w:tcBorders>
            <w:vAlign w:val="center"/>
          </w:tcPr>
          <w:p w14:paraId="662682FB"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6E7BCFE4"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1EE34F92" w14:textId="77777777" w:rsidR="002D0AE7" w:rsidRDefault="002D0AE7">
            <w:pPr>
              <w:jc w:val="right"/>
              <w:rPr>
                <w:rFonts w:ascii="Times New Roman" w:hAnsi="Times New Roman" w:cs="Times New Roman"/>
                <w:sz w:val="21"/>
                <w:szCs w:val="21"/>
              </w:rPr>
            </w:pPr>
          </w:p>
        </w:tc>
      </w:tr>
      <w:tr w:rsidR="002D0AE7" w14:paraId="6CBD5F07"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1FAD3400"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其中：优先股</w:t>
            </w:r>
          </w:p>
        </w:tc>
        <w:tc>
          <w:tcPr>
            <w:tcW w:w="506" w:type="pct"/>
            <w:tcBorders>
              <w:top w:val="outset" w:sz="6" w:space="0" w:color="auto"/>
              <w:left w:val="outset" w:sz="6" w:space="0" w:color="auto"/>
              <w:bottom w:val="outset" w:sz="6" w:space="0" w:color="auto"/>
              <w:right w:val="outset" w:sz="6" w:space="0" w:color="auto"/>
            </w:tcBorders>
            <w:vAlign w:val="center"/>
          </w:tcPr>
          <w:p w14:paraId="52B0AE67"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5F1F8D6B"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58812034" w14:textId="77777777" w:rsidR="002D0AE7" w:rsidRDefault="002D0AE7">
            <w:pPr>
              <w:jc w:val="right"/>
              <w:rPr>
                <w:rFonts w:ascii="Times New Roman" w:hAnsi="Times New Roman" w:cs="Times New Roman"/>
                <w:sz w:val="21"/>
                <w:szCs w:val="21"/>
              </w:rPr>
            </w:pPr>
          </w:p>
        </w:tc>
      </w:tr>
      <w:tr w:rsidR="002D0AE7" w14:paraId="00A9F67E"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37F37E36" w14:textId="77777777" w:rsidR="002D0AE7" w:rsidRDefault="00333EBB">
            <w:pPr>
              <w:ind w:leftChars="300" w:left="720" w:firstLineChars="100" w:firstLine="210"/>
              <w:rPr>
                <w:rFonts w:hint="eastAsia"/>
                <w:color w:val="000000" w:themeColor="text1"/>
                <w:sz w:val="21"/>
                <w:szCs w:val="21"/>
              </w:rPr>
            </w:pPr>
            <w:r>
              <w:rPr>
                <w:rFonts w:hint="eastAsia"/>
                <w:color w:val="000000" w:themeColor="text1"/>
                <w:sz w:val="21"/>
                <w:szCs w:val="21"/>
              </w:rPr>
              <w:t>永续债</w:t>
            </w:r>
          </w:p>
        </w:tc>
        <w:tc>
          <w:tcPr>
            <w:tcW w:w="506" w:type="pct"/>
            <w:tcBorders>
              <w:top w:val="outset" w:sz="6" w:space="0" w:color="auto"/>
              <w:left w:val="outset" w:sz="6" w:space="0" w:color="auto"/>
              <w:bottom w:val="outset" w:sz="6" w:space="0" w:color="auto"/>
              <w:right w:val="outset" w:sz="6" w:space="0" w:color="auto"/>
            </w:tcBorders>
            <w:vAlign w:val="center"/>
          </w:tcPr>
          <w:p w14:paraId="133DC266"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4357824B" w14:textId="77777777" w:rsidR="002D0AE7" w:rsidRDefault="002D0AE7">
            <w:pPr>
              <w:jc w:val="right"/>
              <w:rPr>
                <w:rFonts w:ascii="Times New Roman" w:hAnsi="Times New Roman" w:cs="Times New Roman"/>
                <w:sz w:val="21"/>
                <w:szCs w:val="21"/>
              </w:rPr>
            </w:pPr>
          </w:p>
        </w:tc>
        <w:tc>
          <w:tcPr>
            <w:tcW w:w="1030" w:type="pct"/>
            <w:tcBorders>
              <w:top w:val="outset" w:sz="6" w:space="0" w:color="auto"/>
              <w:left w:val="outset" w:sz="6" w:space="0" w:color="auto"/>
              <w:bottom w:val="outset" w:sz="6" w:space="0" w:color="auto"/>
              <w:right w:val="outset" w:sz="6" w:space="0" w:color="auto"/>
            </w:tcBorders>
            <w:vAlign w:val="center"/>
          </w:tcPr>
          <w:p w14:paraId="0F2E5CC7" w14:textId="77777777" w:rsidR="002D0AE7" w:rsidRDefault="002D0AE7">
            <w:pPr>
              <w:jc w:val="right"/>
              <w:rPr>
                <w:rFonts w:ascii="Times New Roman" w:hAnsi="Times New Roman" w:cs="Times New Roman"/>
                <w:sz w:val="21"/>
                <w:szCs w:val="21"/>
              </w:rPr>
            </w:pPr>
          </w:p>
        </w:tc>
      </w:tr>
      <w:tr w:rsidR="002D0AE7" w14:paraId="118669BF"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1361FC18"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资本公积</w:t>
            </w:r>
          </w:p>
        </w:tc>
        <w:tc>
          <w:tcPr>
            <w:tcW w:w="506" w:type="pct"/>
            <w:tcBorders>
              <w:top w:val="outset" w:sz="6" w:space="0" w:color="auto"/>
              <w:left w:val="outset" w:sz="6" w:space="0" w:color="auto"/>
              <w:bottom w:val="outset" w:sz="6" w:space="0" w:color="auto"/>
              <w:right w:val="outset" w:sz="6" w:space="0" w:color="auto"/>
            </w:tcBorders>
            <w:vAlign w:val="center"/>
          </w:tcPr>
          <w:p w14:paraId="3110E0AA"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6F87A4B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788,581,169.87</w:t>
            </w:r>
          </w:p>
        </w:tc>
        <w:tc>
          <w:tcPr>
            <w:tcW w:w="1030" w:type="pct"/>
            <w:tcBorders>
              <w:top w:val="outset" w:sz="6" w:space="0" w:color="auto"/>
              <w:left w:val="outset" w:sz="6" w:space="0" w:color="auto"/>
              <w:bottom w:val="outset" w:sz="6" w:space="0" w:color="auto"/>
              <w:right w:val="outset" w:sz="6" w:space="0" w:color="auto"/>
            </w:tcBorders>
            <w:vAlign w:val="center"/>
          </w:tcPr>
          <w:p w14:paraId="41C72FE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788,581,169.87</w:t>
            </w:r>
          </w:p>
        </w:tc>
      </w:tr>
      <w:tr w:rsidR="002D0AE7" w14:paraId="4CD2F5EF"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6C938546"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减：库存股</w:t>
            </w:r>
          </w:p>
        </w:tc>
        <w:tc>
          <w:tcPr>
            <w:tcW w:w="506" w:type="pct"/>
            <w:tcBorders>
              <w:top w:val="outset" w:sz="6" w:space="0" w:color="auto"/>
              <w:left w:val="outset" w:sz="6" w:space="0" w:color="auto"/>
              <w:bottom w:val="outset" w:sz="6" w:space="0" w:color="auto"/>
              <w:right w:val="outset" w:sz="6" w:space="0" w:color="auto"/>
            </w:tcBorders>
            <w:vAlign w:val="center"/>
          </w:tcPr>
          <w:p w14:paraId="726CB3CE"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4F3ADCE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4,726,260.00</w:t>
            </w:r>
          </w:p>
        </w:tc>
        <w:tc>
          <w:tcPr>
            <w:tcW w:w="1030" w:type="pct"/>
            <w:tcBorders>
              <w:top w:val="outset" w:sz="6" w:space="0" w:color="auto"/>
              <w:left w:val="outset" w:sz="6" w:space="0" w:color="auto"/>
              <w:bottom w:val="outset" w:sz="6" w:space="0" w:color="auto"/>
              <w:right w:val="outset" w:sz="6" w:space="0" w:color="auto"/>
            </w:tcBorders>
            <w:vAlign w:val="center"/>
          </w:tcPr>
          <w:p w14:paraId="20392F2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4,726,260.00</w:t>
            </w:r>
          </w:p>
        </w:tc>
      </w:tr>
      <w:tr w:rsidR="002D0AE7" w14:paraId="5B5E79C3"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5431BAF3"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其他综合收益</w:t>
            </w:r>
          </w:p>
        </w:tc>
        <w:tc>
          <w:tcPr>
            <w:tcW w:w="506" w:type="pct"/>
            <w:tcBorders>
              <w:top w:val="outset" w:sz="6" w:space="0" w:color="auto"/>
              <w:left w:val="outset" w:sz="6" w:space="0" w:color="auto"/>
              <w:bottom w:val="outset" w:sz="6" w:space="0" w:color="auto"/>
              <w:right w:val="outset" w:sz="6" w:space="0" w:color="auto"/>
            </w:tcBorders>
            <w:vAlign w:val="center"/>
          </w:tcPr>
          <w:p w14:paraId="12DDD00D"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6283390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54,116,969.97</w:t>
            </w:r>
          </w:p>
        </w:tc>
        <w:tc>
          <w:tcPr>
            <w:tcW w:w="1030" w:type="pct"/>
            <w:tcBorders>
              <w:top w:val="outset" w:sz="6" w:space="0" w:color="auto"/>
              <w:left w:val="outset" w:sz="6" w:space="0" w:color="auto"/>
              <w:bottom w:val="outset" w:sz="6" w:space="0" w:color="auto"/>
              <w:right w:val="outset" w:sz="6" w:space="0" w:color="auto"/>
            </w:tcBorders>
            <w:vAlign w:val="center"/>
          </w:tcPr>
          <w:p w14:paraId="5F304F4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51,621,486.80</w:t>
            </w:r>
          </w:p>
        </w:tc>
      </w:tr>
      <w:tr w:rsidR="002D0AE7" w14:paraId="554107BE"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52720A4D"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专项储备</w:t>
            </w:r>
          </w:p>
        </w:tc>
        <w:tc>
          <w:tcPr>
            <w:tcW w:w="506" w:type="pct"/>
            <w:tcBorders>
              <w:top w:val="outset" w:sz="6" w:space="0" w:color="auto"/>
              <w:left w:val="outset" w:sz="6" w:space="0" w:color="auto"/>
              <w:bottom w:val="outset" w:sz="6" w:space="0" w:color="auto"/>
              <w:right w:val="outset" w:sz="6" w:space="0" w:color="auto"/>
            </w:tcBorders>
            <w:vAlign w:val="center"/>
          </w:tcPr>
          <w:p w14:paraId="7C020B5A"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757A84A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1,199,938.05</w:t>
            </w:r>
          </w:p>
        </w:tc>
        <w:tc>
          <w:tcPr>
            <w:tcW w:w="1030" w:type="pct"/>
            <w:tcBorders>
              <w:top w:val="outset" w:sz="6" w:space="0" w:color="auto"/>
              <w:left w:val="outset" w:sz="6" w:space="0" w:color="auto"/>
              <w:bottom w:val="outset" w:sz="6" w:space="0" w:color="auto"/>
              <w:right w:val="outset" w:sz="6" w:space="0" w:color="auto"/>
            </w:tcBorders>
            <w:vAlign w:val="center"/>
          </w:tcPr>
          <w:p w14:paraId="7840491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2F69738E"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3AD2DEC3"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盈余公积</w:t>
            </w:r>
          </w:p>
        </w:tc>
        <w:tc>
          <w:tcPr>
            <w:tcW w:w="506" w:type="pct"/>
            <w:tcBorders>
              <w:top w:val="outset" w:sz="6" w:space="0" w:color="auto"/>
              <w:left w:val="outset" w:sz="6" w:space="0" w:color="auto"/>
              <w:bottom w:val="outset" w:sz="6" w:space="0" w:color="auto"/>
              <w:right w:val="outset" w:sz="6" w:space="0" w:color="auto"/>
            </w:tcBorders>
            <w:vAlign w:val="center"/>
          </w:tcPr>
          <w:p w14:paraId="46B8B768"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3760DF1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217,374,584.90</w:t>
            </w:r>
          </w:p>
        </w:tc>
        <w:tc>
          <w:tcPr>
            <w:tcW w:w="1030" w:type="pct"/>
            <w:tcBorders>
              <w:top w:val="outset" w:sz="6" w:space="0" w:color="auto"/>
              <w:left w:val="outset" w:sz="6" w:space="0" w:color="auto"/>
              <w:bottom w:val="outset" w:sz="6" w:space="0" w:color="auto"/>
              <w:right w:val="outset" w:sz="6" w:space="0" w:color="auto"/>
            </w:tcBorders>
            <w:vAlign w:val="center"/>
          </w:tcPr>
          <w:p w14:paraId="1A5AFB5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206,439,728.45</w:t>
            </w:r>
          </w:p>
        </w:tc>
      </w:tr>
      <w:tr w:rsidR="002D0AE7" w14:paraId="5AA2E12E"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7B82C97A"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未分配利润</w:t>
            </w:r>
          </w:p>
        </w:tc>
        <w:tc>
          <w:tcPr>
            <w:tcW w:w="506" w:type="pct"/>
            <w:tcBorders>
              <w:top w:val="outset" w:sz="6" w:space="0" w:color="auto"/>
              <w:left w:val="outset" w:sz="6" w:space="0" w:color="auto"/>
              <w:bottom w:val="outset" w:sz="6" w:space="0" w:color="auto"/>
              <w:right w:val="outset" w:sz="6" w:space="0" w:color="auto"/>
            </w:tcBorders>
            <w:vAlign w:val="center"/>
          </w:tcPr>
          <w:p w14:paraId="637844AE"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17EFAEB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923,105,699.86</w:t>
            </w:r>
          </w:p>
        </w:tc>
        <w:tc>
          <w:tcPr>
            <w:tcW w:w="1030" w:type="pct"/>
            <w:tcBorders>
              <w:top w:val="outset" w:sz="6" w:space="0" w:color="auto"/>
              <w:left w:val="outset" w:sz="6" w:space="0" w:color="auto"/>
              <w:bottom w:val="outset" w:sz="6" w:space="0" w:color="auto"/>
              <w:right w:val="outset" w:sz="6" w:space="0" w:color="auto"/>
            </w:tcBorders>
            <w:vAlign w:val="center"/>
          </w:tcPr>
          <w:p w14:paraId="610D69D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919,864,134.95</w:t>
            </w:r>
          </w:p>
        </w:tc>
      </w:tr>
      <w:tr w:rsidR="002D0AE7" w14:paraId="3BF0567A"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35A58DC2"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所有者权益（或股东权益）合计</w:t>
            </w:r>
          </w:p>
        </w:tc>
        <w:tc>
          <w:tcPr>
            <w:tcW w:w="506" w:type="pct"/>
            <w:tcBorders>
              <w:top w:val="outset" w:sz="6" w:space="0" w:color="auto"/>
              <w:left w:val="outset" w:sz="6" w:space="0" w:color="auto"/>
              <w:bottom w:val="outset" w:sz="6" w:space="0" w:color="auto"/>
              <w:right w:val="outset" w:sz="6" w:space="0" w:color="auto"/>
            </w:tcBorders>
            <w:vAlign w:val="center"/>
          </w:tcPr>
          <w:p w14:paraId="2B3C2278"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3D032B0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3,073,584,782.65</w:t>
            </w:r>
          </w:p>
        </w:tc>
        <w:tc>
          <w:tcPr>
            <w:tcW w:w="1030" w:type="pct"/>
            <w:tcBorders>
              <w:top w:val="outset" w:sz="6" w:space="0" w:color="auto"/>
              <w:left w:val="outset" w:sz="6" w:space="0" w:color="auto"/>
              <w:bottom w:val="outset" w:sz="6" w:space="0" w:color="auto"/>
              <w:right w:val="outset" w:sz="6" w:space="0" w:color="auto"/>
            </w:tcBorders>
            <w:vAlign w:val="center"/>
          </w:tcPr>
          <w:p w14:paraId="3D95EEA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3,055,712,940.07</w:t>
            </w:r>
          </w:p>
        </w:tc>
      </w:tr>
      <w:tr w:rsidR="002D0AE7" w14:paraId="08B97834" w14:textId="77777777">
        <w:trPr>
          <w:jc w:val="center"/>
        </w:trPr>
        <w:tc>
          <w:tcPr>
            <w:tcW w:w="2309" w:type="pct"/>
            <w:tcBorders>
              <w:top w:val="outset" w:sz="6" w:space="0" w:color="auto"/>
              <w:left w:val="outset" w:sz="6" w:space="0" w:color="auto"/>
              <w:bottom w:val="outset" w:sz="6" w:space="0" w:color="auto"/>
              <w:right w:val="outset" w:sz="6" w:space="0" w:color="auto"/>
            </w:tcBorders>
            <w:vAlign w:val="center"/>
          </w:tcPr>
          <w:p w14:paraId="0E3264CF"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负债和所有者权益（或股东权益）总计</w:t>
            </w:r>
          </w:p>
        </w:tc>
        <w:tc>
          <w:tcPr>
            <w:tcW w:w="506" w:type="pct"/>
            <w:tcBorders>
              <w:top w:val="outset" w:sz="6" w:space="0" w:color="auto"/>
              <w:left w:val="outset" w:sz="6" w:space="0" w:color="auto"/>
              <w:bottom w:val="outset" w:sz="6" w:space="0" w:color="auto"/>
              <w:right w:val="outset" w:sz="6" w:space="0" w:color="auto"/>
            </w:tcBorders>
            <w:vAlign w:val="center"/>
          </w:tcPr>
          <w:p w14:paraId="3E520E8C" w14:textId="77777777" w:rsidR="002D0AE7" w:rsidRDefault="002D0AE7">
            <w:pPr>
              <w:rPr>
                <w:rFonts w:hint="eastAsia"/>
                <w:sz w:val="21"/>
                <w:szCs w:val="21"/>
              </w:rPr>
            </w:pPr>
          </w:p>
        </w:tc>
        <w:tc>
          <w:tcPr>
            <w:tcW w:w="1155" w:type="pct"/>
            <w:tcBorders>
              <w:top w:val="outset" w:sz="6" w:space="0" w:color="auto"/>
              <w:left w:val="outset" w:sz="6" w:space="0" w:color="auto"/>
              <w:bottom w:val="outset" w:sz="6" w:space="0" w:color="auto"/>
              <w:right w:val="outset" w:sz="6" w:space="0" w:color="auto"/>
            </w:tcBorders>
            <w:vAlign w:val="center"/>
          </w:tcPr>
          <w:p w14:paraId="6D04F74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4,438,784,253.27</w:t>
            </w:r>
          </w:p>
        </w:tc>
        <w:tc>
          <w:tcPr>
            <w:tcW w:w="1030" w:type="pct"/>
            <w:tcBorders>
              <w:top w:val="outset" w:sz="6" w:space="0" w:color="auto"/>
              <w:left w:val="outset" w:sz="6" w:space="0" w:color="auto"/>
              <w:bottom w:val="outset" w:sz="6" w:space="0" w:color="auto"/>
              <w:right w:val="outset" w:sz="6" w:space="0" w:color="auto"/>
            </w:tcBorders>
            <w:vAlign w:val="center"/>
          </w:tcPr>
          <w:p w14:paraId="728F90F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4,648,337,213.87</w:t>
            </w:r>
          </w:p>
        </w:tc>
      </w:tr>
    </w:tbl>
    <w:bookmarkEnd w:id="113"/>
    <w:p w14:paraId="4E450AFA" w14:textId="77777777" w:rsidR="002D0AE7" w:rsidRDefault="00333EBB">
      <w:pPr>
        <w:ind w:rightChars="-73" w:right="-175"/>
        <w:rPr>
          <w:rFonts w:hint="eastAsia"/>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f43f422c96ec4e009c3976ce8e58b778"/>
          <w:id w:val="-1052849940"/>
          <w:placeholder>
            <w:docPart w:val="GBC22222222222222222222222222222"/>
          </w:placeholder>
          <w:dataBinding w:prefixMappings="xmlns:clcid-mr='clcid-mr'" w:xpath="/*/clcid-mr:GongSiFuZeRenXingMing[not(@periodRef)]" w:storeItemID="{89EBAB94-44A0-46A2-B712-30D997D04A6D}"/>
          <w:text/>
        </w:sdtPr>
        <w:sdtEndPr/>
        <w:sdtContent>
          <w:r>
            <w:rPr>
              <w:rFonts w:hint="eastAsia"/>
              <w:color w:val="000000" w:themeColor="text1"/>
            </w:rPr>
            <w:t>李书箱</w:t>
          </w:r>
        </w:sdtContent>
      </w:sdt>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3ac751c8378d4424bbdf4c74057683d9"/>
          <w:id w:val="1809971267"/>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color w:val="000000" w:themeColor="text1"/>
            </w:rPr>
            <w:t>朱立延</w:t>
          </w:r>
        </w:sdtContent>
      </w:sdt>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182ff185180a4ea4b9c93bbd4b01de2c"/>
          <w:id w:val="-1842158793"/>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color w:val="000000" w:themeColor="text1"/>
            </w:rPr>
            <w:t>王于飞</w:t>
          </w:r>
        </w:sdtContent>
      </w:sdt>
    </w:p>
    <w:p w14:paraId="49C2F97A" w14:textId="77777777" w:rsidR="002D0AE7" w:rsidRDefault="002D0AE7">
      <w:pPr>
        <w:jc w:val="center"/>
        <w:rPr>
          <w:rFonts w:hint="eastAsia"/>
          <w:b/>
          <w:color w:val="000000" w:themeColor="text1"/>
        </w:rPr>
      </w:pPr>
      <w:bookmarkStart w:id="114" w:name="_Hlk10210632"/>
      <w:bookmarkStart w:id="115" w:name="_Hlk10210822"/>
      <w:bookmarkEnd w:id="111"/>
      <w:bookmarkEnd w:id="114"/>
    </w:p>
    <w:p w14:paraId="57E9A34C" w14:textId="77777777" w:rsidR="002D0AE7" w:rsidRDefault="00333EBB">
      <w:pPr>
        <w:pStyle w:val="3"/>
        <w:jc w:val="center"/>
        <w:rPr>
          <w:rFonts w:ascii="宋体" w:hAnsi="宋体" w:hint="eastAsia"/>
          <w:color w:val="000000" w:themeColor="text1"/>
        </w:rPr>
      </w:pPr>
      <w:r>
        <w:rPr>
          <w:rFonts w:ascii="宋体" w:hAnsi="宋体" w:hint="eastAsia"/>
          <w:color w:val="000000" w:themeColor="text1"/>
        </w:rPr>
        <w:t>合并</w:t>
      </w:r>
      <w:r>
        <w:rPr>
          <w:rFonts w:ascii="宋体" w:hAnsi="宋体"/>
          <w:color w:val="000000" w:themeColor="text1"/>
        </w:rPr>
        <w:t>利润表</w:t>
      </w:r>
    </w:p>
    <w:p w14:paraId="392A7C9E" w14:textId="77777777" w:rsidR="002D0AE7" w:rsidRDefault="00333EBB">
      <w:pPr>
        <w:jc w:val="center"/>
        <w:rPr>
          <w:rFonts w:hint="eastAsia"/>
          <w:b/>
          <w:bCs/>
          <w:color w:val="000000" w:themeColor="text1"/>
        </w:rPr>
      </w:pPr>
      <w:r>
        <w:rPr>
          <w:color w:val="000000" w:themeColor="text1"/>
        </w:rPr>
        <w:t>2024</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2DFB835B" w14:textId="77777777" w:rsidR="002D0AE7" w:rsidRDefault="00333EBB">
      <w:pPr>
        <w:jc w:val="right"/>
        <w:rPr>
          <w:rFonts w:hint="eastAsia"/>
          <w:color w:val="000000" w:themeColor="text1"/>
        </w:rPr>
      </w:pPr>
      <w:r>
        <w:rPr>
          <w:color w:val="000000" w:themeColor="text1"/>
        </w:rPr>
        <w:t>单位：</w:t>
      </w:r>
      <w:sdt>
        <w:sdtPr>
          <w:rPr>
            <w:color w:val="000000" w:themeColor="text1"/>
          </w:rPr>
          <w:alias w:val="单位：合并利润表"/>
          <w:tag w:val="_GBC_4fec24feb4834b768c484fe556046382"/>
          <w:id w:val="59675308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color w:val="000000" w:themeColor="text1"/>
        </w:rPr>
        <w:t>币种：</w:t>
      </w:r>
      <w:sdt>
        <w:sdtPr>
          <w:rPr>
            <w:color w:val="000000" w:themeColor="text1"/>
          </w:rPr>
          <w:alias w:val="币种：合并利润表"/>
          <w:tag w:val="_GBC_ae5c0d79e5694eb28ba1b8160e27a464"/>
          <w:id w:val="-80115292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733"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18"/>
        <w:gridCol w:w="852"/>
        <w:gridCol w:w="1702"/>
        <w:gridCol w:w="1744"/>
      </w:tblGrid>
      <w:tr w:rsidR="002D0AE7" w14:paraId="4B2AA850" w14:textId="77777777">
        <w:trPr>
          <w:jc w:val="center"/>
        </w:trPr>
        <w:bookmarkStart w:id="116" w:name="_Hlk137050130" w:displacedByCustomXml="next"/>
        <w:sdt>
          <w:sdtPr>
            <w:rPr>
              <w:color w:val="000000" w:themeColor="text1"/>
              <w:sz w:val="21"/>
              <w:szCs w:val="21"/>
            </w:rPr>
            <w:tag w:val="_PLD_ea01e0b0c9224fe59426c375515c2359"/>
            <w:id w:val="226029432"/>
          </w:sdtPr>
          <w:sdtEndPr/>
          <w:sdtContent>
            <w:tc>
              <w:tcPr>
                <w:tcW w:w="2876" w:type="pct"/>
                <w:tcBorders>
                  <w:top w:val="outset" w:sz="4" w:space="0" w:color="auto"/>
                  <w:left w:val="outset" w:sz="4" w:space="0" w:color="auto"/>
                  <w:bottom w:val="outset" w:sz="4" w:space="0" w:color="auto"/>
                  <w:right w:val="outset" w:sz="4" w:space="0" w:color="auto"/>
                </w:tcBorders>
                <w:vAlign w:val="center"/>
              </w:tcPr>
              <w:p w14:paraId="24EAF840" w14:textId="77777777" w:rsidR="002D0AE7" w:rsidRDefault="00333EBB">
                <w:pPr>
                  <w:ind w:leftChars="-19" w:left="-6" w:hangingChars="19" w:hanging="40"/>
                  <w:jc w:val="center"/>
                  <w:rPr>
                    <w:rFonts w:hint="eastAsia"/>
                    <w:b/>
                    <w:color w:val="000000" w:themeColor="text1"/>
                    <w:sz w:val="21"/>
                    <w:szCs w:val="21"/>
                  </w:rPr>
                </w:pPr>
                <w:r>
                  <w:rPr>
                    <w:b/>
                    <w:color w:val="000000" w:themeColor="text1"/>
                    <w:sz w:val="21"/>
                    <w:szCs w:val="21"/>
                  </w:rPr>
                  <w:t>项目</w:t>
                </w:r>
              </w:p>
            </w:tc>
          </w:sdtContent>
        </w:sdt>
        <w:sdt>
          <w:sdtPr>
            <w:rPr>
              <w:color w:val="000000" w:themeColor="text1"/>
              <w:sz w:val="21"/>
              <w:szCs w:val="21"/>
            </w:rPr>
            <w:tag w:val="_PLD_e4f45f42e79e4a4aba892e3a7a7b123d"/>
            <w:id w:val="1221023389"/>
          </w:sdtPr>
          <w:sdtEndPr/>
          <w:sdtContent>
            <w:tc>
              <w:tcPr>
                <w:tcW w:w="421" w:type="pct"/>
                <w:tcBorders>
                  <w:top w:val="outset" w:sz="4" w:space="0" w:color="auto"/>
                  <w:left w:val="outset" w:sz="4" w:space="0" w:color="auto"/>
                  <w:bottom w:val="outset" w:sz="4" w:space="0" w:color="auto"/>
                  <w:right w:val="outset" w:sz="4" w:space="0" w:color="auto"/>
                </w:tcBorders>
                <w:vAlign w:val="center"/>
              </w:tcPr>
              <w:p w14:paraId="65427FF2" w14:textId="77777777" w:rsidR="002D0AE7" w:rsidRDefault="00333EBB">
                <w:pPr>
                  <w:jc w:val="center"/>
                  <w:rPr>
                    <w:rFonts w:hint="eastAsia"/>
                    <w:b/>
                    <w:color w:val="000000" w:themeColor="text1"/>
                    <w:sz w:val="21"/>
                    <w:szCs w:val="21"/>
                  </w:rPr>
                </w:pPr>
                <w:r>
                  <w:rPr>
                    <w:rFonts w:hint="eastAsia"/>
                    <w:b/>
                    <w:color w:val="000000" w:themeColor="text1"/>
                    <w:sz w:val="21"/>
                    <w:szCs w:val="21"/>
                  </w:rPr>
                  <w:t>附注</w:t>
                </w:r>
              </w:p>
            </w:tc>
          </w:sdtContent>
        </w:sdt>
        <w:sdt>
          <w:sdtPr>
            <w:rPr>
              <w:color w:val="000000" w:themeColor="text1"/>
              <w:sz w:val="21"/>
              <w:szCs w:val="21"/>
            </w:rPr>
            <w:tag w:val="_PLD_41682cdf00e5450394986df99de953d1"/>
            <w:id w:val="166219676"/>
          </w:sdtPr>
          <w:sdtEndPr/>
          <w:sdtContent>
            <w:tc>
              <w:tcPr>
                <w:tcW w:w="841" w:type="pct"/>
                <w:tcBorders>
                  <w:top w:val="outset" w:sz="4" w:space="0" w:color="auto"/>
                  <w:left w:val="outset" w:sz="4" w:space="0" w:color="auto"/>
                  <w:bottom w:val="outset" w:sz="4" w:space="0" w:color="auto"/>
                  <w:right w:val="outset" w:sz="4" w:space="0" w:color="auto"/>
                </w:tcBorders>
                <w:vAlign w:val="center"/>
              </w:tcPr>
              <w:p w14:paraId="433358CE" w14:textId="77777777" w:rsidR="002D0AE7" w:rsidRDefault="00333EBB">
                <w:pPr>
                  <w:jc w:val="center"/>
                  <w:rPr>
                    <w:rFonts w:hint="eastAsia"/>
                    <w:b/>
                    <w:color w:val="000000" w:themeColor="text1"/>
                    <w:sz w:val="21"/>
                    <w:szCs w:val="21"/>
                  </w:rPr>
                </w:pPr>
                <w:r>
                  <w:rPr>
                    <w:rFonts w:hint="eastAsia"/>
                    <w:b/>
                    <w:color w:val="000000" w:themeColor="text1"/>
                    <w:sz w:val="21"/>
                    <w:szCs w:val="21"/>
                  </w:rPr>
                  <w:t>2024</w:t>
                </w:r>
                <w:r>
                  <w:rPr>
                    <w:rFonts w:hint="eastAsia"/>
                    <w:b/>
                    <w:color w:val="000000" w:themeColor="text1"/>
                    <w:sz w:val="21"/>
                    <w:szCs w:val="21"/>
                  </w:rPr>
                  <w:t>年半年度</w:t>
                </w:r>
              </w:p>
            </w:tc>
          </w:sdtContent>
        </w:sdt>
        <w:sdt>
          <w:sdtPr>
            <w:rPr>
              <w:color w:val="000000" w:themeColor="text1"/>
              <w:sz w:val="21"/>
              <w:szCs w:val="21"/>
            </w:rPr>
            <w:tag w:val="_PLD_f020215569a54a6db2bd3d5298280e01"/>
            <w:id w:val="1725168403"/>
          </w:sdtPr>
          <w:sdtEndPr/>
          <w:sdtContent>
            <w:tc>
              <w:tcPr>
                <w:tcW w:w="862" w:type="pct"/>
                <w:tcBorders>
                  <w:top w:val="outset" w:sz="4" w:space="0" w:color="auto"/>
                  <w:left w:val="outset" w:sz="4" w:space="0" w:color="auto"/>
                  <w:bottom w:val="outset" w:sz="4" w:space="0" w:color="auto"/>
                  <w:right w:val="outset" w:sz="4" w:space="0" w:color="auto"/>
                </w:tcBorders>
                <w:vAlign w:val="center"/>
              </w:tcPr>
              <w:p w14:paraId="23E2B446" w14:textId="77777777" w:rsidR="002D0AE7" w:rsidRDefault="00333EBB">
                <w:pPr>
                  <w:jc w:val="center"/>
                  <w:rPr>
                    <w:rFonts w:hint="eastAsia"/>
                    <w:b/>
                    <w:color w:val="000000" w:themeColor="text1"/>
                    <w:sz w:val="21"/>
                    <w:szCs w:val="21"/>
                  </w:rPr>
                </w:pPr>
                <w:r>
                  <w:rPr>
                    <w:rFonts w:hint="eastAsia"/>
                    <w:b/>
                    <w:color w:val="000000" w:themeColor="text1"/>
                    <w:sz w:val="21"/>
                    <w:szCs w:val="21"/>
                  </w:rPr>
                  <w:t>2023</w:t>
                </w:r>
                <w:r>
                  <w:rPr>
                    <w:rFonts w:hint="eastAsia"/>
                    <w:b/>
                    <w:color w:val="000000" w:themeColor="text1"/>
                    <w:sz w:val="21"/>
                    <w:szCs w:val="21"/>
                  </w:rPr>
                  <w:t>年半年度</w:t>
                </w:r>
              </w:p>
            </w:tc>
          </w:sdtContent>
        </w:sdt>
      </w:tr>
      <w:tr w:rsidR="002D0AE7" w14:paraId="164AC06D"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3E87D875" w14:textId="77777777" w:rsidR="002D0AE7" w:rsidRDefault="00333EBB">
            <w:pPr>
              <w:rPr>
                <w:rFonts w:hint="eastAsia"/>
                <w:color w:val="000000" w:themeColor="text1"/>
                <w:sz w:val="21"/>
                <w:szCs w:val="21"/>
              </w:rPr>
            </w:pPr>
            <w:r>
              <w:rPr>
                <w:rFonts w:hint="eastAsia"/>
                <w:color w:val="000000" w:themeColor="text1"/>
                <w:sz w:val="21"/>
                <w:szCs w:val="21"/>
              </w:rPr>
              <w:t>一、营业总收入</w:t>
            </w:r>
          </w:p>
        </w:tc>
        <w:tc>
          <w:tcPr>
            <w:tcW w:w="421" w:type="pct"/>
            <w:tcBorders>
              <w:top w:val="outset" w:sz="4" w:space="0" w:color="auto"/>
              <w:left w:val="outset" w:sz="4" w:space="0" w:color="auto"/>
              <w:bottom w:val="outset" w:sz="4" w:space="0" w:color="auto"/>
              <w:right w:val="outset" w:sz="4" w:space="0" w:color="auto"/>
            </w:tcBorders>
            <w:vAlign w:val="center"/>
          </w:tcPr>
          <w:p w14:paraId="7C87E0B5"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03C488A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1,800,984,341.21</w:t>
            </w:r>
          </w:p>
        </w:tc>
        <w:tc>
          <w:tcPr>
            <w:tcW w:w="862" w:type="pct"/>
            <w:tcBorders>
              <w:top w:val="outset" w:sz="4" w:space="0" w:color="auto"/>
              <w:left w:val="outset" w:sz="4" w:space="0" w:color="auto"/>
              <w:bottom w:val="outset" w:sz="4" w:space="0" w:color="auto"/>
              <w:right w:val="outset" w:sz="4" w:space="0" w:color="auto"/>
            </w:tcBorders>
            <w:vAlign w:val="center"/>
          </w:tcPr>
          <w:p w14:paraId="25BB1CC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2,023,258,856.62</w:t>
            </w:r>
          </w:p>
        </w:tc>
      </w:tr>
      <w:tr w:rsidR="002D0AE7" w14:paraId="023A62BE"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4CC4E4CC" w14:textId="77777777" w:rsidR="002D0AE7" w:rsidRDefault="00333EBB">
            <w:pPr>
              <w:rPr>
                <w:rFonts w:hint="eastAsia"/>
                <w:color w:val="000000" w:themeColor="text1"/>
                <w:sz w:val="21"/>
                <w:szCs w:val="21"/>
              </w:rPr>
            </w:pPr>
            <w:r>
              <w:rPr>
                <w:rFonts w:hint="eastAsia"/>
                <w:color w:val="000000" w:themeColor="text1"/>
                <w:sz w:val="21"/>
                <w:szCs w:val="21"/>
              </w:rPr>
              <w:t>其中：营业收入</w:t>
            </w:r>
          </w:p>
        </w:tc>
        <w:tc>
          <w:tcPr>
            <w:tcW w:w="421" w:type="pct"/>
            <w:tcBorders>
              <w:top w:val="outset" w:sz="4" w:space="0" w:color="auto"/>
              <w:left w:val="outset" w:sz="4" w:space="0" w:color="auto"/>
              <w:bottom w:val="outset" w:sz="4" w:space="0" w:color="auto"/>
              <w:right w:val="outset" w:sz="4" w:space="0" w:color="auto"/>
            </w:tcBorders>
            <w:vAlign w:val="center"/>
          </w:tcPr>
          <w:p w14:paraId="388A3FB9" w14:textId="77777777" w:rsidR="002D0AE7" w:rsidRDefault="00333EBB">
            <w:pPr>
              <w:rPr>
                <w:rFonts w:hint="eastAsia"/>
                <w:sz w:val="21"/>
                <w:szCs w:val="21"/>
              </w:rPr>
            </w:pPr>
            <w:r>
              <w:rPr>
                <w:rFonts w:hint="eastAsia"/>
                <w:sz w:val="21"/>
                <w:szCs w:val="21"/>
              </w:rPr>
              <w:t>七、</w:t>
            </w:r>
            <w:r>
              <w:rPr>
                <w:rFonts w:hint="eastAsia"/>
                <w:sz w:val="21"/>
                <w:szCs w:val="21"/>
              </w:rPr>
              <w:t>3</w:t>
            </w:r>
            <w:r>
              <w:rPr>
                <w:sz w:val="21"/>
                <w:szCs w:val="21"/>
              </w:rPr>
              <w:t>9</w:t>
            </w:r>
          </w:p>
        </w:tc>
        <w:tc>
          <w:tcPr>
            <w:tcW w:w="841" w:type="pct"/>
            <w:tcBorders>
              <w:top w:val="outset" w:sz="4" w:space="0" w:color="auto"/>
              <w:left w:val="outset" w:sz="4" w:space="0" w:color="auto"/>
              <w:bottom w:val="outset" w:sz="4" w:space="0" w:color="auto"/>
              <w:right w:val="outset" w:sz="4" w:space="0" w:color="auto"/>
            </w:tcBorders>
            <w:vAlign w:val="center"/>
          </w:tcPr>
          <w:p w14:paraId="2ABB7F5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1,800,984,341.21</w:t>
            </w:r>
          </w:p>
        </w:tc>
        <w:tc>
          <w:tcPr>
            <w:tcW w:w="862" w:type="pct"/>
            <w:tcBorders>
              <w:top w:val="outset" w:sz="4" w:space="0" w:color="auto"/>
              <w:left w:val="outset" w:sz="4" w:space="0" w:color="auto"/>
              <w:bottom w:val="outset" w:sz="4" w:space="0" w:color="auto"/>
              <w:right w:val="outset" w:sz="4" w:space="0" w:color="auto"/>
            </w:tcBorders>
            <w:vAlign w:val="center"/>
          </w:tcPr>
          <w:p w14:paraId="7610EBF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2,023,258,856.62</w:t>
            </w:r>
          </w:p>
        </w:tc>
      </w:tr>
      <w:tr w:rsidR="002D0AE7" w14:paraId="476826A8"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14EAC30E"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利息收入</w:t>
            </w:r>
          </w:p>
        </w:tc>
        <w:tc>
          <w:tcPr>
            <w:tcW w:w="421" w:type="pct"/>
            <w:tcBorders>
              <w:top w:val="outset" w:sz="4" w:space="0" w:color="auto"/>
              <w:left w:val="outset" w:sz="4" w:space="0" w:color="auto"/>
              <w:bottom w:val="outset" w:sz="4" w:space="0" w:color="auto"/>
              <w:right w:val="outset" w:sz="4" w:space="0" w:color="auto"/>
            </w:tcBorders>
            <w:vAlign w:val="center"/>
          </w:tcPr>
          <w:p w14:paraId="0D49B420"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5F8FF768" w14:textId="77777777" w:rsidR="002D0AE7" w:rsidRDefault="002D0AE7">
            <w:pPr>
              <w:jc w:val="right"/>
              <w:rPr>
                <w:rFonts w:ascii="Times New Roman" w:hAnsi="Times New Roman" w:cs="Times New Roman"/>
                <w:sz w:val="21"/>
                <w:szCs w:val="21"/>
              </w:rPr>
            </w:pPr>
          </w:p>
        </w:tc>
        <w:tc>
          <w:tcPr>
            <w:tcW w:w="862" w:type="pct"/>
            <w:tcBorders>
              <w:top w:val="outset" w:sz="4" w:space="0" w:color="auto"/>
              <w:left w:val="outset" w:sz="4" w:space="0" w:color="auto"/>
              <w:bottom w:val="outset" w:sz="4" w:space="0" w:color="auto"/>
              <w:right w:val="outset" w:sz="4" w:space="0" w:color="auto"/>
            </w:tcBorders>
            <w:vAlign w:val="center"/>
          </w:tcPr>
          <w:p w14:paraId="31132B12" w14:textId="77777777" w:rsidR="002D0AE7" w:rsidRDefault="002D0AE7">
            <w:pPr>
              <w:jc w:val="right"/>
              <w:rPr>
                <w:rFonts w:ascii="Times New Roman" w:hAnsi="Times New Roman" w:cs="Times New Roman"/>
                <w:sz w:val="21"/>
                <w:szCs w:val="21"/>
              </w:rPr>
            </w:pPr>
          </w:p>
        </w:tc>
      </w:tr>
      <w:tr w:rsidR="002D0AE7" w14:paraId="46286EA7"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019FE210"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已赚保费</w:t>
            </w:r>
          </w:p>
        </w:tc>
        <w:tc>
          <w:tcPr>
            <w:tcW w:w="421" w:type="pct"/>
            <w:tcBorders>
              <w:top w:val="outset" w:sz="4" w:space="0" w:color="auto"/>
              <w:left w:val="outset" w:sz="4" w:space="0" w:color="auto"/>
              <w:bottom w:val="outset" w:sz="4" w:space="0" w:color="auto"/>
              <w:right w:val="outset" w:sz="4" w:space="0" w:color="auto"/>
            </w:tcBorders>
            <w:vAlign w:val="center"/>
          </w:tcPr>
          <w:p w14:paraId="6DB029EB"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1A451FB9" w14:textId="77777777" w:rsidR="002D0AE7" w:rsidRDefault="002D0AE7">
            <w:pPr>
              <w:jc w:val="right"/>
              <w:rPr>
                <w:rFonts w:ascii="Times New Roman" w:hAnsi="Times New Roman" w:cs="Times New Roman"/>
                <w:sz w:val="21"/>
                <w:szCs w:val="21"/>
              </w:rPr>
            </w:pPr>
          </w:p>
        </w:tc>
        <w:tc>
          <w:tcPr>
            <w:tcW w:w="862" w:type="pct"/>
            <w:tcBorders>
              <w:top w:val="outset" w:sz="4" w:space="0" w:color="auto"/>
              <w:left w:val="outset" w:sz="4" w:space="0" w:color="auto"/>
              <w:bottom w:val="outset" w:sz="4" w:space="0" w:color="auto"/>
              <w:right w:val="outset" w:sz="4" w:space="0" w:color="auto"/>
            </w:tcBorders>
            <w:vAlign w:val="center"/>
          </w:tcPr>
          <w:p w14:paraId="68DECB41" w14:textId="77777777" w:rsidR="002D0AE7" w:rsidRDefault="002D0AE7">
            <w:pPr>
              <w:jc w:val="right"/>
              <w:rPr>
                <w:rFonts w:ascii="Times New Roman" w:hAnsi="Times New Roman" w:cs="Times New Roman"/>
                <w:sz w:val="21"/>
                <w:szCs w:val="21"/>
              </w:rPr>
            </w:pPr>
          </w:p>
        </w:tc>
      </w:tr>
      <w:tr w:rsidR="002D0AE7" w14:paraId="000F992E"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1829E80B"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手续费及佣金收入</w:t>
            </w:r>
          </w:p>
        </w:tc>
        <w:tc>
          <w:tcPr>
            <w:tcW w:w="421" w:type="pct"/>
            <w:tcBorders>
              <w:top w:val="outset" w:sz="4" w:space="0" w:color="auto"/>
              <w:left w:val="outset" w:sz="4" w:space="0" w:color="auto"/>
              <w:bottom w:val="outset" w:sz="4" w:space="0" w:color="auto"/>
              <w:right w:val="outset" w:sz="4" w:space="0" w:color="auto"/>
            </w:tcBorders>
            <w:vAlign w:val="center"/>
          </w:tcPr>
          <w:p w14:paraId="1AB7ACA4"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1366BD5D" w14:textId="77777777" w:rsidR="002D0AE7" w:rsidRDefault="002D0AE7">
            <w:pPr>
              <w:jc w:val="right"/>
              <w:rPr>
                <w:rFonts w:ascii="Times New Roman" w:hAnsi="Times New Roman" w:cs="Times New Roman"/>
                <w:sz w:val="21"/>
                <w:szCs w:val="21"/>
              </w:rPr>
            </w:pPr>
          </w:p>
        </w:tc>
        <w:tc>
          <w:tcPr>
            <w:tcW w:w="862" w:type="pct"/>
            <w:tcBorders>
              <w:top w:val="outset" w:sz="4" w:space="0" w:color="auto"/>
              <w:left w:val="outset" w:sz="4" w:space="0" w:color="auto"/>
              <w:bottom w:val="outset" w:sz="4" w:space="0" w:color="auto"/>
              <w:right w:val="outset" w:sz="4" w:space="0" w:color="auto"/>
            </w:tcBorders>
            <w:vAlign w:val="center"/>
          </w:tcPr>
          <w:p w14:paraId="677B4B96" w14:textId="77777777" w:rsidR="002D0AE7" w:rsidRDefault="002D0AE7">
            <w:pPr>
              <w:jc w:val="right"/>
              <w:rPr>
                <w:rFonts w:ascii="Times New Roman" w:hAnsi="Times New Roman" w:cs="Times New Roman"/>
                <w:sz w:val="21"/>
                <w:szCs w:val="21"/>
              </w:rPr>
            </w:pPr>
          </w:p>
        </w:tc>
      </w:tr>
      <w:tr w:rsidR="002D0AE7" w14:paraId="783DDB63"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71742B76" w14:textId="77777777" w:rsidR="002D0AE7" w:rsidRDefault="00333EBB">
            <w:pPr>
              <w:rPr>
                <w:rFonts w:hint="eastAsia"/>
                <w:color w:val="000000" w:themeColor="text1"/>
                <w:sz w:val="21"/>
                <w:szCs w:val="21"/>
              </w:rPr>
            </w:pPr>
            <w:r>
              <w:rPr>
                <w:rFonts w:hint="eastAsia"/>
                <w:color w:val="000000" w:themeColor="text1"/>
                <w:sz w:val="21"/>
                <w:szCs w:val="21"/>
              </w:rPr>
              <w:t>二、营业总成本</w:t>
            </w:r>
          </w:p>
        </w:tc>
        <w:tc>
          <w:tcPr>
            <w:tcW w:w="421" w:type="pct"/>
            <w:tcBorders>
              <w:top w:val="outset" w:sz="4" w:space="0" w:color="auto"/>
              <w:left w:val="outset" w:sz="4" w:space="0" w:color="auto"/>
              <w:bottom w:val="outset" w:sz="4" w:space="0" w:color="auto"/>
              <w:right w:val="outset" w:sz="4" w:space="0" w:color="auto"/>
            </w:tcBorders>
            <w:vAlign w:val="center"/>
          </w:tcPr>
          <w:p w14:paraId="10B43F17"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6DE501C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1,568,445,221.99</w:t>
            </w:r>
          </w:p>
        </w:tc>
        <w:tc>
          <w:tcPr>
            <w:tcW w:w="862" w:type="pct"/>
            <w:tcBorders>
              <w:top w:val="outset" w:sz="4" w:space="0" w:color="auto"/>
              <w:left w:val="outset" w:sz="4" w:space="0" w:color="auto"/>
              <w:bottom w:val="outset" w:sz="4" w:space="0" w:color="auto"/>
              <w:right w:val="outset" w:sz="4" w:space="0" w:color="auto"/>
            </w:tcBorders>
            <w:vAlign w:val="center"/>
          </w:tcPr>
          <w:p w14:paraId="0582713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1,821,004,304.04</w:t>
            </w:r>
          </w:p>
        </w:tc>
      </w:tr>
      <w:tr w:rsidR="002D0AE7" w14:paraId="78112D66"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78165CB2" w14:textId="77777777" w:rsidR="002D0AE7" w:rsidRDefault="00333EBB">
            <w:pPr>
              <w:rPr>
                <w:rFonts w:hint="eastAsia"/>
                <w:color w:val="000000" w:themeColor="text1"/>
                <w:sz w:val="21"/>
                <w:szCs w:val="21"/>
              </w:rPr>
            </w:pPr>
            <w:r>
              <w:rPr>
                <w:rFonts w:hint="eastAsia"/>
                <w:color w:val="000000" w:themeColor="text1"/>
                <w:sz w:val="21"/>
                <w:szCs w:val="21"/>
              </w:rPr>
              <w:t>其中：营业成本</w:t>
            </w:r>
          </w:p>
        </w:tc>
        <w:tc>
          <w:tcPr>
            <w:tcW w:w="421" w:type="pct"/>
            <w:tcBorders>
              <w:top w:val="outset" w:sz="4" w:space="0" w:color="auto"/>
              <w:left w:val="outset" w:sz="4" w:space="0" w:color="auto"/>
              <w:bottom w:val="outset" w:sz="4" w:space="0" w:color="auto"/>
              <w:right w:val="outset" w:sz="4" w:space="0" w:color="auto"/>
            </w:tcBorders>
            <w:vAlign w:val="center"/>
          </w:tcPr>
          <w:p w14:paraId="0CEF230F" w14:textId="77777777" w:rsidR="002D0AE7" w:rsidRDefault="00333EBB">
            <w:pPr>
              <w:rPr>
                <w:rFonts w:hint="eastAsia"/>
                <w:sz w:val="21"/>
                <w:szCs w:val="21"/>
              </w:rPr>
            </w:pPr>
            <w:r>
              <w:rPr>
                <w:rFonts w:hint="eastAsia"/>
                <w:sz w:val="21"/>
                <w:szCs w:val="21"/>
              </w:rPr>
              <w:t>七、</w:t>
            </w:r>
            <w:r>
              <w:rPr>
                <w:rFonts w:hint="eastAsia"/>
                <w:sz w:val="21"/>
                <w:szCs w:val="21"/>
              </w:rPr>
              <w:t>3</w:t>
            </w:r>
            <w:r>
              <w:rPr>
                <w:sz w:val="21"/>
                <w:szCs w:val="21"/>
              </w:rPr>
              <w:t>9</w:t>
            </w:r>
          </w:p>
        </w:tc>
        <w:tc>
          <w:tcPr>
            <w:tcW w:w="841" w:type="pct"/>
            <w:tcBorders>
              <w:top w:val="outset" w:sz="4" w:space="0" w:color="auto"/>
              <w:left w:val="outset" w:sz="4" w:space="0" w:color="auto"/>
              <w:bottom w:val="outset" w:sz="4" w:space="0" w:color="auto"/>
              <w:right w:val="outset" w:sz="4" w:space="0" w:color="auto"/>
            </w:tcBorders>
            <w:vAlign w:val="center"/>
          </w:tcPr>
          <w:p w14:paraId="4D20BCC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968,875,212.21</w:t>
            </w:r>
          </w:p>
        </w:tc>
        <w:tc>
          <w:tcPr>
            <w:tcW w:w="862" w:type="pct"/>
            <w:tcBorders>
              <w:top w:val="outset" w:sz="4" w:space="0" w:color="auto"/>
              <w:left w:val="outset" w:sz="4" w:space="0" w:color="auto"/>
              <w:bottom w:val="outset" w:sz="4" w:space="0" w:color="auto"/>
              <w:right w:val="outset" w:sz="4" w:space="0" w:color="auto"/>
            </w:tcBorders>
            <w:vAlign w:val="center"/>
          </w:tcPr>
          <w:p w14:paraId="7BF81A2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995,598,853.89</w:t>
            </w:r>
          </w:p>
        </w:tc>
      </w:tr>
      <w:tr w:rsidR="002D0AE7" w14:paraId="1AE9A10B"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4607A867"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利息支出</w:t>
            </w:r>
          </w:p>
        </w:tc>
        <w:tc>
          <w:tcPr>
            <w:tcW w:w="421" w:type="pct"/>
            <w:tcBorders>
              <w:top w:val="outset" w:sz="4" w:space="0" w:color="auto"/>
              <w:left w:val="outset" w:sz="4" w:space="0" w:color="auto"/>
              <w:bottom w:val="outset" w:sz="4" w:space="0" w:color="auto"/>
              <w:right w:val="outset" w:sz="4" w:space="0" w:color="auto"/>
            </w:tcBorders>
            <w:vAlign w:val="center"/>
          </w:tcPr>
          <w:p w14:paraId="2ED4451F"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206C779A" w14:textId="77777777" w:rsidR="002D0AE7" w:rsidRDefault="002D0AE7">
            <w:pPr>
              <w:jc w:val="right"/>
              <w:rPr>
                <w:rFonts w:ascii="Times New Roman" w:hAnsi="Times New Roman" w:cs="Times New Roman"/>
                <w:sz w:val="21"/>
                <w:szCs w:val="21"/>
              </w:rPr>
            </w:pPr>
          </w:p>
        </w:tc>
        <w:tc>
          <w:tcPr>
            <w:tcW w:w="862" w:type="pct"/>
            <w:tcBorders>
              <w:top w:val="outset" w:sz="4" w:space="0" w:color="auto"/>
              <w:left w:val="outset" w:sz="4" w:space="0" w:color="auto"/>
              <w:bottom w:val="outset" w:sz="4" w:space="0" w:color="auto"/>
              <w:right w:val="outset" w:sz="4" w:space="0" w:color="auto"/>
            </w:tcBorders>
            <w:vAlign w:val="center"/>
          </w:tcPr>
          <w:p w14:paraId="7C351167" w14:textId="77777777" w:rsidR="002D0AE7" w:rsidRDefault="002D0AE7">
            <w:pPr>
              <w:jc w:val="right"/>
              <w:rPr>
                <w:rFonts w:ascii="Times New Roman" w:hAnsi="Times New Roman" w:cs="Times New Roman"/>
                <w:sz w:val="21"/>
                <w:szCs w:val="21"/>
              </w:rPr>
            </w:pPr>
          </w:p>
        </w:tc>
      </w:tr>
      <w:tr w:rsidR="002D0AE7" w14:paraId="668BD26B"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0FD3E9F5"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手续费及佣金支出</w:t>
            </w:r>
          </w:p>
        </w:tc>
        <w:tc>
          <w:tcPr>
            <w:tcW w:w="421" w:type="pct"/>
            <w:tcBorders>
              <w:top w:val="outset" w:sz="4" w:space="0" w:color="auto"/>
              <w:left w:val="outset" w:sz="4" w:space="0" w:color="auto"/>
              <w:bottom w:val="outset" w:sz="4" w:space="0" w:color="auto"/>
              <w:right w:val="outset" w:sz="4" w:space="0" w:color="auto"/>
            </w:tcBorders>
            <w:vAlign w:val="center"/>
          </w:tcPr>
          <w:p w14:paraId="4FC31001"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0949D274" w14:textId="77777777" w:rsidR="002D0AE7" w:rsidRDefault="002D0AE7">
            <w:pPr>
              <w:jc w:val="right"/>
              <w:rPr>
                <w:rFonts w:ascii="Times New Roman" w:hAnsi="Times New Roman" w:cs="Times New Roman"/>
                <w:sz w:val="21"/>
                <w:szCs w:val="21"/>
              </w:rPr>
            </w:pPr>
          </w:p>
        </w:tc>
        <w:tc>
          <w:tcPr>
            <w:tcW w:w="862" w:type="pct"/>
            <w:tcBorders>
              <w:top w:val="outset" w:sz="4" w:space="0" w:color="auto"/>
              <w:left w:val="outset" w:sz="4" w:space="0" w:color="auto"/>
              <w:bottom w:val="outset" w:sz="4" w:space="0" w:color="auto"/>
              <w:right w:val="outset" w:sz="4" w:space="0" w:color="auto"/>
            </w:tcBorders>
            <w:vAlign w:val="center"/>
          </w:tcPr>
          <w:p w14:paraId="701B68AE" w14:textId="77777777" w:rsidR="002D0AE7" w:rsidRDefault="002D0AE7">
            <w:pPr>
              <w:jc w:val="right"/>
              <w:rPr>
                <w:rFonts w:ascii="Times New Roman" w:hAnsi="Times New Roman" w:cs="Times New Roman"/>
                <w:sz w:val="21"/>
                <w:szCs w:val="21"/>
              </w:rPr>
            </w:pPr>
          </w:p>
        </w:tc>
      </w:tr>
      <w:tr w:rsidR="002D0AE7" w14:paraId="24B568BC"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1D1452C7"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退保金</w:t>
            </w:r>
          </w:p>
        </w:tc>
        <w:tc>
          <w:tcPr>
            <w:tcW w:w="421" w:type="pct"/>
            <w:tcBorders>
              <w:top w:val="outset" w:sz="4" w:space="0" w:color="auto"/>
              <w:left w:val="outset" w:sz="4" w:space="0" w:color="auto"/>
              <w:bottom w:val="outset" w:sz="4" w:space="0" w:color="auto"/>
              <w:right w:val="outset" w:sz="4" w:space="0" w:color="auto"/>
            </w:tcBorders>
            <w:vAlign w:val="center"/>
          </w:tcPr>
          <w:p w14:paraId="2FB85218"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4D32263B" w14:textId="77777777" w:rsidR="002D0AE7" w:rsidRDefault="002D0AE7">
            <w:pPr>
              <w:jc w:val="right"/>
              <w:rPr>
                <w:rFonts w:ascii="Times New Roman" w:hAnsi="Times New Roman" w:cs="Times New Roman"/>
                <w:sz w:val="21"/>
                <w:szCs w:val="21"/>
              </w:rPr>
            </w:pPr>
          </w:p>
        </w:tc>
        <w:tc>
          <w:tcPr>
            <w:tcW w:w="862" w:type="pct"/>
            <w:tcBorders>
              <w:top w:val="outset" w:sz="4" w:space="0" w:color="auto"/>
              <w:left w:val="outset" w:sz="4" w:space="0" w:color="auto"/>
              <w:bottom w:val="outset" w:sz="4" w:space="0" w:color="auto"/>
              <w:right w:val="outset" w:sz="4" w:space="0" w:color="auto"/>
            </w:tcBorders>
            <w:vAlign w:val="center"/>
          </w:tcPr>
          <w:p w14:paraId="17F1722A" w14:textId="77777777" w:rsidR="002D0AE7" w:rsidRDefault="002D0AE7">
            <w:pPr>
              <w:jc w:val="right"/>
              <w:rPr>
                <w:rFonts w:ascii="Times New Roman" w:hAnsi="Times New Roman" w:cs="Times New Roman"/>
                <w:sz w:val="21"/>
                <w:szCs w:val="21"/>
              </w:rPr>
            </w:pPr>
          </w:p>
        </w:tc>
      </w:tr>
      <w:tr w:rsidR="002D0AE7" w14:paraId="7DFFFB0C"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5E7FC5F8"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赔付支出净额</w:t>
            </w:r>
          </w:p>
        </w:tc>
        <w:tc>
          <w:tcPr>
            <w:tcW w:w="421" w:type="pct"/>
            <w:tcBorders>
              <w:top w:val="outset" w:sz="4" w:space="0" w:color="auto"/>
              <w:left w:val="outset" w:sz="4" w:space="0" w:color="auto"/>
              <w:bottom w:val="outset" w:sz="4" w:space="0" w:color="auto"/>
              <w:right w:val="outset" w:sz="4" w:space="0" w:color="auto"/>
            </w:tcBorders>
            <w:vAlign w:val="center"/>
          </w:tcPr>
          <w:p w14:paraId="66DA947B"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6A7F2745" w14:textId="77777777" w:rsidR="002D0AE7" w:rsidRDefault="002D0AE7">
            <w:pPr>
              <w:jc w:val="right"/>
              <w:rPr>
                <w:rFonts w:ascii="Times New Roman" w:hAnsi="Times New Roman" w:cs="Times New Roman"/>
                <w:sz w:val="21"/>
                <w:szCs w:val="21"/>
              </w:rPr>
            </w:pPr>
          </w:p>
        </w:tc>
        <w:tc>
          <w:tcPr>
            <w:tcW w:w="862" w:type="pct"/>
            <w:tcBorders>
              <w:top w:val="outset" w:sz="4" w:space="0" w:color="auto"/>
              <w:left w:val="outset" w:sz="4" w:space="0" w:color="auto"/>
              <w:bottom w:val="outset" w:sz="4" w:space="0" w:color="auto"/>
              <w:right w:val="outset" w:sz="4" w:space="0" w:color="auto"/>
            </w:tcBorders>
            <w:vAlign w:val="center"/>
          </w:tcPr>
          <w:p w14:paraId="2B12742F" w14:textId="77777777" w:rsidR="002D0AE7" w:rsidRDefault="002D0AE7">
            <w:pPr>
              <w:jc w:val="right"/>
              <w:rPr>
                <w:rFonts w:ascii="Times New Roman" w:hAnsi="Times New Roman" w:cs="Times New Roman"/>
                <w:sz w:val="21"/>
                <w:szCs w:val="21"/>
              </w:rPr>
            </w:pPr>
          </w:p>
        </w:tc>
      </w:tr>
      <w:tr w:rsidR="002D0AE7" w14:paraId="34620426"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604F029A"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提取保险责任准备金净额</w:t>
            </w:r>
          </w:p>
        </w:tc>
        <w:tc>
          <w:tcPr>
            <w:tcW w:w="421" w:type="pct"/>
            <w:tcBorders>
              <w:top w:val="outset" w:sz="4" w:space="0" w:color="auto"/>
              <w:left w:val="outset" w:sz="4" w:space="0" w:color="auto"/>
              <w:bottom w:val="outset" w:sz="4" w:space="0" w:color="auto"/>
              <w:right w:val="outset" w:sz="4" w:space="0" w:color="auto"/>
            </w:tcBorders>
            <w:vAlign w:val="center"/>
          </w:tcPr>
          <w:p w14:paraId="5223C8E7"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41DF2288" w14:textId="77777777" w:rsidR="002D0AE7" w:rsidRDefault="002D0AE7">
            <w:pPr>
              <w:jc w:val="right"/>
              <w:rPr>
                <w:rFonts w:ascii="Times New Roman" w:hAnsi="Times New Roman" w:cs="Times New Roman"/>
                <w:sz w:val="21"/>
                <w:szCs w:val="21"/>
              </w:rPr>
            </w:pPr>
          </w:p>
        </w:tc>
        <w:tc>
          <w:tcPr>
            <w:tcW w:w="862" w:type="pct"/>
            <w:tcBorders>
              <w:top w:val="outset" w:sz="4" w:space="0" w:color="auto"/>
              <w:left w:val="outset" w:sz="4" w:space="0" w:color="auto"/>
              <w:bottom w:val="outset" w:sz="4" w:space="0" w:color="auto"/>
              <w:right w:val="outset" w:sz="4" w:space="0" w:color="auto"/>
            </w:tcBorders>
            <w:vAlign w:val="center"/>
          </w:tcPr>
          <w:p w14:paraId="283C825D" w14:textId="77777777" w:rsidR="002D0AE7" w:rsidRDefault="002D0AE7">
            <w:pPr>
              <w:jc w:val="right"/>
              <w:rPr>
                <w:rFonts w:ascii="Times New Roman" w:hAnsi="Times New Roman" w:cs="Times New Roman"/>
                <w:sz w:val="21"/>
                <w:szCs w:val="21"/>
              </w:rPr>
            </w:pPr>
          </w:p>
        </w:tc>
      </w:tr>
      <w:tr w:rsidR="002D0AE7" w14:paraId="684EA47A"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2F4601E5"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保单红利支出</w:t>
            </w:r>
          </w:p>
        </w:tc>
        <w:tc>
          <w:tcPr>
            <w:tcW w:w="421" w:type="pct"/>
            <w:tcBorders>
              <w:top w:val="outset" w:sz="4" w:space="0" w:color="auto"/>
              <w:left w:val="outset" w:sz="4" w:space="0" w:color="auto"/>
              <w:bottom w:val="outset" w:sz="4" w:space="0" w:color="auto"/>
              <w:right w:val="outset" w:sz="4" w:space="0" w:color="auto"/>
            </w:tcBorders>
            <w:vAlign w:val="center"/>
          </w:tcPr>
          <w:p w14:paraId="2BC36ABC"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02E27F26" w14:textId="77777777" w:rsidR="002D0AE7" w:rsidRDefault="002D0AE7">
            <w:pPr>
              <w:jc w:val="right"/>
              <w:rPr>
                <w:rFonts w:ascii="Times New Roman" w:hAnsi="Times New Roman" w:cs="Times New Roman"/>
                <w:sz w:val="21"/>
                <w:szCs w:val="21"/>
              </w:rPr>
            </w:pPr>
          </w:p>
        </w:tc>
        <w:tc>
          <w:tcPr>
            <w:tcW w:w="862" w:type="pct"/>
            <w:tcBorders>
              <w:top w:val="outset" w:sz="4" w:space="0" w:color="auto"/>
              <w:left w:val="outset" w:sz="4" w:space="0" w:color="auto"/>
              <w:bottom w:val="outset" w:sz="4" w:space="0" w:color="auto"/>
              <w:right w:val="outset" w:sz="4" w:space="0" w:color="auto"/>
            </w:tcBorders>
            <w:vAlign w:val="center"/>
          </w:tcPr>
          <w:p w14:paraId="463487E8" w14:textId="77777777" w:rsidR="002D0AE7" w:rsidRDefault="002D0AE7">
            <w:pPr>
              <w:jc w:val="right"/>
              <w:rPr>
                <w:rFonts w:ascii="Times New Roman" w:hAnsi="Times New Roman" w:cs="Times New Roman"/>
                <w:sz w:val="21"/>
                <w:szCs w:val="21"/>
              </w:rPr>
            </w:pPr>
          </w:p>
        </w:tc>
      </w:tr>
      <w:tr w:rsidR="002D0AE7" w14:paraId="6E915CC9"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2C08BAF5"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分保费用</w:t>
            </w:r>
          </w:p>
        </w:tc>
        <w:tc>
          <w:tcPr>
            <w:tcW w:w="421" w:type="pct"/>
            <w:tcBorders>
              <w:top w:val="outset" w:sz="4" w:space="0" w:color="auto"/>
              <w:left w:val="outset" w:sz="4" w:space="0" w:color="auto"/>
              <w:bottom w:val="outset" w:sz="4" w:space="0" w:color="auto"/>
              <w:right w:val="outset" w:sz="4" w:space="0" w:color="auto"/>
            </w:tcBorders>
            <w:vAlign w:val="center"/>
          </w:tcPr>
          <w:p w14:paraId="65F90C4A"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1E595112" w14:textId="77777777" w:rsidR="002D0AE7" w:rsidRDefault="002D0AE7">
            <w:pPr>
              <w:jc w:val="right"/>
              <w:rPr>
                <w:rFonts w:ascii="Times New Roman" w:hAnsi="Times New Roman" w:cs="Times New Roman"/>
                <w:sz w:val="21"/>
                <w:szCs w:val="21"/>
              </w:rPr>
            </w:pPr>
          </w:p>
        </w:tc>
        <w:tc>
          <w:tcPr>
            <w:tcW w:w="862" w:type="pct"/>
            <w:tcBorders>
              <w:top w:val="outset" w:sz="4" w:space="0" w:color="auto"/>
              <w:left w:val="outset" w:sz="4" w:space="0" w:color="auto"/>
              <w:bottom w:val="outset" w:sz="4" w:space="0" w:color="auto"/>
              <w:right w:val="outset" w:sz="4" w:space="0" w:color="auto"/>
            </w:tcBorders>
            <w:vAlign w:val="center"/>
          </w:tcPr>
          <w:p w14:paraId="6387DF60" w14:textId="77777777" w:rsidR="002D0AE7" w:rsidRDefault="002D0AE7">
            <w:pPr>
              <w:jc w:val="right"/>
              <w:rPr>
                <w:rFonts w:ascii="Times New Roman" w:hAnsi="Times New Roman" w:cs="Times New Roman"/>
                <w:sz w:val="21"/>
                <w:szCs w:val="21"/>
              </w:rPr>
            </w:pPr>
          </w:p>
        </w:tc>
      </w:tr>
      <w:tr w:rsidR="002D0AE7" w14:paraId="6B965D86"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59A16EF9"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税金及附加</w:t>
            </w:r>
          </w:p>
        </w:tc>
        <w:tc>
          <w:tcPr>
            <w:tcW w:w="421" w:type="pct"/>
            <w:tcBorders>
              <w:top w:val="outset" w:sz="4" w:space="0" w:color="auto"/>
              <w:left w:val="outset" w:sz="4" w:space="0" w:color="auto"/>
              <w:bottom w:val="outset" w:sz="4" w:space="0" w:color="auto"/>
              <w:right w:val="outset" w:sz="4" w:space="0" w:color="auto"/>
            </w:tcBorders>
            <w:vAlign w:val="center"/>
          </w:tcPr>
          <w:p w14:paraId="212B2C49" w14:textId="77777777" w:rsidR="002D0AE7" w:rsidRDefault="00333EBB">
            <w:pPr>
              <w:rPr>
                <w:rFonts w:hint="eastAsia"/>
                <w:sz w:val="21"/>
                <w:szCs w:val="21"/>
              </w:rPr>
            </w:pPr>
            <w:r>
              <w:rPr>
                <w:rFonts w:hint="eastAsia"/>
                <w:sz w:val="21"/>
                <w:szCs w:val="21"/>
              </w:rPr>
              <w:t>七、</w:t>
            </w:r>
            <w:r>
              <w:rPr>
                <w:sz w:val="21"/>
                <w:szCs w:val="21"/>
              </w:rPr>
              <w:t>40</w:t>
            </w:r>
          </w:p>
        </w:tc>
        <w:tc>
          <w:tcPr>
            <w:tcW w:w="841" w:type="pct"/>
            <w:tcBorders>
              <w:top w:val="outset" w:sz="4" w:space="0" w:color="auto"/>
              <w:left w:val="outset" w:sz="4" w:space="0" w:color="auto"/>
              <w:bottom w:val="outset" w:sz="4" w:space="0" w:color="auto"/>
              <w:right w:val="outset" w:sz="4" w:space="0" w:color="auto"/>
            </w:tcBorders>
            <w:vAlign w:val="center"/>
          </w:tcPr>
          <w:p w14:paraId="104EC09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20,183,416.75</w:t>
            </w:r>
          </w:p>
        </w:tc>
        <w:tc>
          <w:tcPr>
            <w:tcW w:w="862" w:type="pct"/>
            <w:tcBorders>
              <w:top w:val="outset" w:sz="4" w:space="0" w:color="auto"/>
              <w:left w:val="outset" w:sz="4" w:space="0" w:color="auto"/>
              <w:bottom w:val="outset" w:sz="4" w:space="0" w:color="auto"/>
              <w:right w:val="outset" w:sz="4" w:space="0" w:color="auto"/>
            </w:tcBorders>
            <w:vAlign w:val="center"/>
          </w:tcPr>
          <w:p w14:paraId="383F330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25,694,451.92</w:t>
            </w:r>
          </w:p>
        </w:tc>
      </w:tr>
      <w:tr w:rsidR="002D0AE7" w14:paraId="5CA49C5F"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028EDBCA"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销售费用</w:t>
            </w:r>
          </w:p>
        </w:tc>
        <w:tc>
          <w:tcPr>
            <w:tcW w:w="421" w:type="pct"/>
            <w:tcBorders>
              <w:top w:val="outset" w:sz="4" w:space="0" w:color="auto"/>
              <w:left w:val="outset" w:sz="4" w:space="0" w:color="auto"/>
              <w:bottom w:val="outset" w:sz="4" w:space="0" w:color="auto"/>
              <w:right w:val="outset" w:sz="4" w:space="0" w:color="auto"/>
            </w:tcBorders>
          </w:tcPr>
          <w:p w14:paraId="3D927C78" w14:textId="77777777" w:rsidR="002D0AE7" w:rsidRDefault="00333EBB">
            <w:pPr>
              <w:rPr>
                <w:rFonts w:hint="eastAsia"/>
                <w:sz w:val="21"/>
                <w:szCs w:val="21"/>
              </w:rPr>
            </w:pPr>
            <w:r>
              <w:rPr>
                <w:rFonts w:hint="eastAsia"/>
                <w:sz w:val="21"/>
                <w:szCs w:val="21"/>
              </w:rPr>
              <w:t>七、</w:t>
            </w:r>
            <w:r>
              <w:rPr>
                <w:sz w:val="21"/>
                <w:szCs w:val="21"/>
              </w:rPr>
              <w:t>41</w:t>
            </w:r>
          </w:p>
        </w:tc>
        <w:tc>
          <w:tcPr>
            <w:tcW w:w="841" w:type="pct"/>
            <w:tcBorders>
              <w:top w:val="outset" w:sz="4" w:space="0" w:color="auto"/>
              <w:left w:val="outset" w:sz="4" w:space="0" w:color="auto"/>
              <w:bottom w:val="outset" w:sz="4" w:space="0" w:color="auto"/>
              <w:right w:val="outset" w:sz="4" w:space="0" w:color="auto"/>
            </w:tcBorders>
            <w:vAlign w:val="center"/>
          </w:tcPr>
          <w:p w14:paraId="37BDE84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339,485,156.31</w:t>
            </w:r>
          </w:p>
        </w:tc>
        <w:tc>
          <w:tcPr>
            <w:tcW w:w="862" w:type="pct"/>
            <w:tcBorders>
              <w:top w:val="outset" w:sz="4" w:space="0" w:color="auto"/>
              <w:left w:val="outset" w:sz="4" w:space="0" w:color="auto"/>
              <w:bottom w:val="outset" w:sz="4" w:space="0" w:color="auto"/>
              <w:right w:val="outset" w:sz="4" w:space="0" w:color="auto"/>
            </w:tcBorders>
            <w:vAlign w:val="center"/>
          </w:tcPr>
          <w:p w14:paraId="0B83DC3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583,107,396.73</w:t>
            </w:r>
          </w:p>
        </w:tc>
      </w:tr>
      <w:tr w:rsidR="002D0AE7" w14:paraId="4C09D3EF"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320FD9A8"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管理费用</w:t>
            </w:r>
          </w:p>
        </w:tc>
        <w:tc>
          <w:tcPr>
            <w:tcW w:w="421" w:type="pct"/>
            <w:tcBorders>
              <w:top w:val="outset" w:sz="4" w:space="0" w:color="auto"/>
              <w:left w:val="outset" w:sz="4" w:space="0" w:color="auto"/>
              <w:bottom w:val="outset" w:sz="4" w:space="0" w:color="auto"/>
              <w:right w:val="outset" w:sz="4" w:space="0" w:color="auto"/>
            </w:tcBorders>
          </w:tcPr>
          <w:p w14:paraId="251DC026" w14:textId="77777777" w:rsidR="002D0AE7" w:rsidRDefault="00333EBB">
            <w:pPr>
              <w:rPr>
                <w:rFonts w:hint="eastAsia"/>
                <w:sz w:val="21"/>
                <w:szCs w:val="21"/>
              </w:rPr>
            </w:pPr>
            <w:r>
              <w:rPr>
                <w:rFonts w:hint="eastAsia"/>
                <w:sz w:val="21"/>
                <w:szCs w:val="21"/>
              </w:rPr>
              <w:t>七、</w:t>
            </w:r>
            <w:r>
              <w:rPr>
                <w:sz w:val="21"/>
                <w:szCs w:val="21"/>
              </w:rPr>
              <w:t>42</w:t>
            </w:r>
          </w:p>
        </w:tc>
        <w:tc>
          <w:tcPr>
            <w:tcW w:w="841" w:type="pct"/>
            <w:tcBorders>
              <w:top w:val="outset" w:sz="4" w:space="0" w:color="auto"/>
              <w:left w:val="outset" w:sz="4" w:space="0" w:color="auto"/>
              <w:bottom w:val="outset" w:sz="4" w:space="0" w:color="auto"/>
              <w:right w:val="outset" w:sz="4" w:space="0" w:color="auto"/>
            </w:tcBorders>
            <w:vAlign w:val="center"/>
          </w:tcPr>
          <w:p w14:paraId="01613B8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152,859,030.38</w:t>
            </w:r>
          </w:p>
        </w:tc>
        <w:tc>
          <w:tcPr>
            <w:tcW w:w="862" w:type="pct"/>
            <w:tcBorders>
              <w:top w:val="outset" w:sz="4" w:space="0" w:color="auto"/>
              <w:left w:val="outset" w:sz="4" w:space="0" w:color="auto"/>
              <w:bottom w:val="outset" w:sz="4" w:space="0" w:color="auto"/>
              <w:right w:val="outset" w:sz="4" w:space="0" w:color="auto"/>
            </w:tcBorders>
            <w:vAlign w:val="center"/>
          </w:tcPr>
          <w:p w14:paraId="0A35C66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125,000,445.68</w:t>
            </w:r>
          </w:p>
        </w:tc>
      </w:tr>
      <w:tr w:rsidR="002D0AE7" w14:paraId="6DB05DB7"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30144DBB"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研发费用</w:t>
            </w:r>
          </w:p>
        </w:tc>
        <w:tc>
          <w:tcPr>
            <w:tcW w:w="421" w:type="pct"/>
            <w:tcBorders>
              <w:top w:val="outset" w:sz="4" w:space="0" w:color="auto"/>
              <w:left w:val="outset" w:sz="4" w:space="0" w:color="auto"/>
              <w:bottom w:val="outset" w:sz="4" w:space="0" w:color="auto"/>
              <w:right w:val="outset" w:sz="4" w:space="0" w:color="auto"/>
            </w:tcBorders>
          </w:tcPr>
          <w:p w14:paraId="15F6CF42" w14:textId="77777777" w:rsidR="002D0AE7" w:rsidRDefault="00333EBB">
            <w:pPr>
              <w:rPr>
                <w:rFonts w:hint="eastAsia"/>
                <w:sz w:val="21"/>
                <w:szCs w:val="21"/>
              </w:rPr>
            </w:pPr>
            <w:r>
              <w:rPr>
                <w:rFonts w:hint="eastAsia"/>
                <w:sz w:val="21"/>
                <w:szCs w:val="21"/>
              </w:rPr>
              <w:t>七、</w:t>
            </w:r>
            <w:r>
              <w:rPr>
                <w:sz w:val="21"/>
                <w:szCs w:val="21"/>
              </w:rPr>
              <w:t>43</w:t>
            </w:r>
          </w:p>
        </w:tc>
        <w:tc>
          <w:tcPr>
            <w:tcW w:w="841" w:type="pct"/>
            <w:tcBorders>
              <w:top w:val="outset" w:sz="4" w:space="0" w:color="auto"/>
              <w:left w:val="outset" w:sz="4" w:space="0" w:color="auto"/>
              <w:bottom w:val="outset" w:sz="4" w:space="0" w:color="auto"/>
              <w:right w:val="outset" w:sz="4" w:space="0" w:color="auto"/>
            </w:tcBorders>
            <w:vAlign w:val="center"/>
          </w:tcPr>
          <w:p w14:paraId="3879E60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83,839,615.08</w:t>
            </w:r>
          </w:p>
        </w:tc>
        <w:tc>
          <w:tcPr>
            <w:tcW w:w="862" w:type="pct"/>
            <w:tcBorders>
              <w:top w:val="outset" w:sz="4" w:space="0" w:color="auto"/>
              <w:left w:val="outset" w:sz="4" w:space="0" w:color="auto"/>
              <w:bottom w:val="outset" w:sz="4" w:space="0" w:color="auto"/>
              <w:right w:val="outset" w:sz="4" w:space="0" w:color="auto"/>
            </w:tcBorders>
            <w:vAlign w:val="center"/>
          </w:tcPr>
          <w:p w14:paraId="377A663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84,927,699.54</w:t>
            </w:r>
          </w:p>
        </w:tc>
      </w:tr>
      <w:tr w:rsidR="002D0AE7" w14:paraId="45F028A0"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22081A7C"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财务费用</w:t>
            </w:r>
          </w:p>
        </w:tc>
        <w:tc>
          <w:tcPr>
            <w:tcW w:w="421" w:type="pct"/>
            <w:tcBorders>
              <w:top w:val="outset" w:sz="4" w:space="0" w:color="auto"/>
              <w:left w:val="outset" w:sz="4" w:space="0" w:color="auto"/>
              <w:bottom w:val="outset" w:sz="4" w:space="0" w:color="auto"/>
              <w:right w:val="outset" w:sz="4" w:space="0" w:color="auto"/>
            </w:tcBorders>
          </w:tcPr>
          <w:p w14:paraId="2BECDB31" w14:textId="77777777" w:rsidR="002D0AE7" w:rsidRDefault="00333EBB">
            <w:pPr>
              <w:rPr>
                <w:rFonts w:hint="eastAsia"/>
                <w:sz w:val="21"/>
                <w:szCs w:val="21"/>
              </w:rPr>
            </w:pPr>
            <w:r>
              <w:rPr>
                <w:rFonts w:hint="eastAsia"/>
                <w:sz w:val="21"/>
                <w:szCs w:val="21"/>
              </w:rPr>
              <w:t>七、</w:t>
            </w:r>
            <w:r>
              <w:rPr>
                <w:sz w:val="21"/>
                <w:szCs w:val="21"/>
              </w:rPr>
              <w:t>44</w:t>
            </w:r>
          </w:p>
        </w:tc>
        <w:tc>
          <w:tcPr>
            <w:tcW w:w="841" w:type="pct"/>
            <w:tcBorders>
              <w:top w:val="outset" w:sz="4" w:space="0" w:color="auto"/>
              <w:left w:val="outset" w:sz="4" w:space="0" w:color="auto"/>
              <w:bottom w:val="outset" w:sz="4" w:space="0" w:color="auto"/>
              <w:right w:val="outset" w:sz="4" w:space="0" w:color="auto"/>
            </w:tcBorders>
            <w:vAlign w:val="center"/>
          </w:tcPr>
          <w:p w14:paraId="38A1BFF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3,202,791.26</w:t>
            </w:r>
          </w:p>
        </w:tc>
        <w:tc>
          <w:tcPr>
            <w:tcW w:w="862" w:type="pct"/>
            <w:tcBorders>
              <w:top w:val="outset" w:sz="4" w:space="0" w:color="auto"/>
              <w:left w:val="outset" w:sz="4" w:space="0" w:color="auto"/>
              <w:bottom w:val="outset" w:sz="4" w:space="0" w:color="auto"/>
              <w:right w:val="outset" w:sz="4" w:space="0" w:color="auto"/>
            </w:tcBorders>
            <w:vAlign w:val="center"/>
          </w:tcPr>
          <w:p w14:paraId="304E466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6,675,456.28</w:t>
            </w:r>
          </w:p>
        </w:tc>
      </w:tr>
      <w:tr w:rsidR="002D0AE7" w14:paraId="5C1D626C"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29534CFB"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其中：利息费用</w:t>
            </w:r>
          </w:p>
        </w:tc>
        <w:tc>
          <w:tcPr>
            <w:tcW w:w="421" w:type="pct"/>
            <w:tcBorders>
              <w:top w:val="outset" w:sz="4" w:space="0" w:color="auto"/>
              <w:left w:val="outset" w:sz="4" w:space="0" w:color="auto"/>
              <w:bottom w:val="outset" w:sz="4" w:space="0" w:color="auto"/>
              <w:right w:val="outset" w:sz="4" w:space="0" w:color="auto"/>
            </w:tcBorders>
            <w:vAlign w:val="center"/>
          </w:tcPr>
          <w:p w14:paraId="7BBCFE44"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1C7362A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15,795,524.67</w:t>
            </w:r>
          </w:p>
        </w:tc>
        <w:tc>
          <w:tcPr>
            <w:tcW w:w="862" w:type="pct"/>
            <w:tcBorders>
              <w:top w:val="outset" w:sz="4" w:space="0" w:color="auto"/>
              <w:left w:val="outset" w:sz="4" w:space="0" w:color="auto"/>
              <w:bottom w:val="outset" w:sz="4" w:space="0" w:color="auto"/>
              <w:right w:val="outset" w:sz="4" w:space="0" w:color="auto"/>
            </w:tcBorders>
            <w:vAlign w:val="center"/>
          </w:tcPr>
          <w:p w14:paraId="119D56F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21,420,074.81</w:t>
            </w:r>
          </w:p>
        </w:tc>
      </w:tr>
      <w:tr w:rsidR="002D0AE7" w14:paraId="1A33B923"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6E55A146" w14:textId="77777777" w:rsidR="002D0AE7" w:rsidRDefault="00333EBB">
            <w:pPr>
              <w:ind w:firstLineChars="600" w:firstLine="1260"/>
              <w:rPr>
                <w:rFonts w:hint="eastAsia"/>
                <w:color w:val="000000" w:themeColor="text1"/>
                <w:sz w:val="21"/>
                <w:szCs w:val="21"/>
              </w:rPr>
            </w:pPr>
            <w:r>
              <w:rPr>
                <w:rFonts w:hint="eastAsia"/>
                <w:color w:val="000000" w:themeColor="text1"/>
                <w:sz w:val="21"/>
                <w:szCs w:val="21"/>
              </w:rPr>
              <w:t>利息收入</w:t>
            </w:r>
          </w:p>
        </w:tc>
        <w:tc>
          <w:tcPr>
            <w:tcW w:w="421" w:type="pct"/>
            <w:tcBorders>
              <w:top w:val="outset" w:sz="4" w:space="0" w:color="auto"/>
              <w:left w:val="outset" w:sz="4" w:space="0" w:color="auto"/>
              <w:bottom w:val="outset" w:sz="4" w:space="0" w:color="auto"/>
              <w:right w:val="outset" w:sz="4" w:space="0" w:color="auto"/>
            </w:tcBorders>
            <w:vAlign w:val="center"/>
          </w:tcPr>
          <w:p w14:paraId="6618E4AD"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6409B09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4,109,155.59</w:t>
            </w:r>
          </w:p>
        </w:tc>
        <w:tc>
          <w:tcPr>
            <w:tcW w:w="862" w:type="pct"/>
            <w:tcBorders>
              <w:top w:val="outset" w:sz="4" w:space="0" w:color="auto"/>
              <w:left w:val="outset" w:sz="4" w:space="0" w:color="auto"/>
              <w:bottom w:val="outset" w:sz="4" w:space="0" w:color="auto"/>
              <w:right w:val="outset" w:sz="4" w:space="0" w:color="auto"/>
            </w:tcBorders>
            <w:vAlign w:val="center"/>
          </w:tcPr>
          <w:p w14:paraId="62C77DD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5,111,642.25</w:t>
            </w:r>
          </w:p>
        </w:tc>
      </w:tr>
      <w:tr w:rsidR="002D0AE7" w14:paraId="2B576B77"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4D523C3F"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加：其他收益</w:t>
            </w:r>
          </w:p>
        </w:tc>
        <w:tc>
          <w:tcPr>
            <w:tcW w:w="421" w:type="pct"/>
            <w:tcBorders>
              <w:top w:val="outset" w:sz="4" w:space="0" w:color="auto"/>
              <w:left w:val="outset" w:sz="4" w:space="0" w:color="auto"/>
              <w:bottom w:val="outset" w:sz="4" w:space="0" w:color="auto"/>
              <w:right w:val="outset" w:sz="4" w:space="0" w:color="auto"/>
            </w:tcBorders>
            <w:vAlign w:val="center"/>
          </w:tcPr>
          <w:p w14:paraId="66DE1021" w14:textId="77777777" w:rsidR="002D0AE7" w:rsidRDefault="00333EBB">
            <w:pPr>
              <w:rPr>
                <w:rFonts w:hint="eastAsia"/>
                <w:sz w:val="21"/>
                <w:szCs w:val="21"/>
              </w:rPr>
            </w:pPr>
            <w:r>
              <w:rPr>
                <w:rFonts w:hint="eastAsia"/>
                <w:sz w:val="21"/>
                <w:szCs w:val="21"/>
              </w:rPr>
              <w:t>七、</w:t>
            </w:r>
            <w:r>
              <w:rPr>
                <w:sz w:val="21"/>
                <w:szCs w:val="21"/>
              </w:rPr>
              <w:t>45</w:t>
            </w:r>
          </w:p>
        </w:tc>
        <w:tc>
          <w:tcPr>
            <w:tcW w:w="841" w:type="pct"/>
            <w:tcBorders>
              <w:top w:val="outset" w:sz="4" w:space="0" w:color="auto"/>
              <w:left w:val="outset" w:sz="4" w:space="0" w:color="auto"/>
              <w:bottom w:val="outset" w:sz="4" w:space="0" w:color="auto"/>
              <w:right w:val="outset" w:sz="4" w:space="0" w:color="auto"/>
            </w:tcBorders>
            <w:vAlign w:val="center"/>
          </w:tcPr>
          <w:p w14:paraId="701DBA9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13,127,120.17</w:t>
            </w:r>
          </w:p>
        </w:tc>
        <w:tc>
          <w:tcPr>
            <w:tcW w:w="862" w:type="pct"/>
            <w:tcBorders>
              <w:top w:val="outset" w:sz="4" w:space="0" w:color="auto"/>
              <w:left w:val="outset" w:sz="4" w:space="0" w:color="auto"/>
              <w:bottom w:val="outset" w:sz="4" w:space="0" w:color="auto"/>
              <w:right w:val="outset" w:sz="4" w:space="0" w:color="auto"/>
            </w:tcBorders>
            <w:vAlign w:val="center"/>
          </w:tcPr>
          <w:p w14:paraId="3F8D508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8,709,305.20</w:t>
            </w:r>
          </w:p>
        </w:tc>
      </w:tr>
      <w:tr w:rsidR="002D0AE7" w14:paraId="58054419"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53C289F3"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lastRenderedPageBreak/>
              <w:t>投资收益（损失以“－”号填列）</w:t>
            </w:r>
          </w:p>
        </w:tc>
        <w:tc>
          <w:tcPr>
            <w:tcW w:w="421" w:type="pct"/>
            <w:tcBorders>
              <w:top w:val="outset" w:sz="4" w:space="0" w:color="auto"/>
              <w:left w:val="outset" w:sz="4" w:space="0" w:color="auto"/>
              <w:bottom w:val="outset" w:sz="4" w:space="0" w:color="auto"/>
              <w:right w:val="outset" w:sz="4" w:space="0" w:color="auto"/>
            </w:tcBorders>
            <w:vAlign w:val="center"/>
          </w:tcPr>
          <w:p w14:paraId="69330152" w14:textId="77777777" w:rsidR="002D0AE7" w:rsidRDefault="00333EBB">
            <w:pPr>
              <w:rPr>
                <w:rFonts w:hint="eastAsia"/>
                <w:sz w:val="21"/>
                <w:szCs w:val="21"/>
              </w:rPr>
            </w:pPr>
            <w:r>
              <w:rPr>
                <w:rFonts w:hint="eastAsia"/>
                <w:sz w:val="21"/>
                <w:szCs w:val="21"/>
              </w:rPr>
              <w:t>七、</w:t>
            </w:r>
            <w:r>
              <w:rPr>
                <w:sz w:val="21"/>
                <w:szCs w:val="21"/>
              </w:rPr>
              <w:t>46</w:t>
            </w:r>
          </w:p>
        </w:tc>
        <w:tc>
          <w:tcPr>
            <w:tcW w:w="841" w:type="pct"/>
            <w:tcBorders>
              <w:top w:val="outset" w:sz="4" w:space="0" w:color="auto"/>
              <w:left w:val="outset" w:sz="4" w:space="0" w:color="auto"/>
              <w:bottom w:val="outset" w:sz="4" w:space="0" w:color="auto"/>
              <w:right w:val="outset" w:sz="4" w:space="0" w:color="auto"/>
            </w:tcBorders>
            <w:vAlign w:val="center"/>
          </w:tcPr>
          <w:p w14:paraId="64C6A30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1,040,640.69</w:t>
            </w:r>
          </w:p>
        </w:tc>
        <w:tc>
          <w:tcPr>
            <w:tcW w:w="862" w:type="pct"/>
            <w:tcBorders>
              <w:top w:val="outset" w:sz="4" w:space="0" w:color="auto"/>
              <w:left w:val="outset" w:sz="4" w:space="0" w:color="auto"/>
              <w:bottom w:val="outset" w:sz="4" w:space="0" w:color="auto"/>
              <w:right w:val="outset" w:sz="4" w:space="0" w:color="auto"/>
            </w:tcBorders>
            <w:vAlign w:val="center"/>
          </w:tcPr>
          <w:p w14:paraId="3368D6C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-587,223.62</w:t>
            </w:r>
          </w:p>
        </w:tc>
      </w:tr>
      <w:tr w:rsidR="002D0AE7" w14:paraId="0E857552"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5D1253D0"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其中：对联营企业和合营企业的投资收益</w:t>
            </w:r>
          </w:p>
        </w:tc>
        <w:tc>
          <w:tcPr>
            <w:tcW w:w="421" w:type="pct"/>
            <w:tcBorders>
              <w:top w:val="outset" w:sz="4" w:space="0" w:color="auto"/>
              <w:left w:val="outset" w:sz="4" w:space="0" w:color="auto"/>
              <w:bottom w:val="outset" w:sz="4" w:space="0" w:color="auto"/>
              <w:right w:val="outset" w:sz="4" w:space="0" w:color="auto"/>
            </w:tcBorders>
            <w:vAlign w:val="center"/>
          </w:tcPr>
          <w:p w14:paraId="23263F83"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0D5F3C1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1,036,948.11</w:t>
            </w:r>
          </w:p>
        </w:tc>
        <w:tc>
          <w:tcPr>
            <w:tcW w:w="862" w:type="pct"/>
            <w:tcBorders>
              <w:top w:val="outset" w:sz="4" w:space="0" w:color="auto"/>
              <w:left w:val="outset" w:sz="4" w:space="0" w:color="auto"/>
              <w:bottom w:val="outset" w:sz="4" w:space="0" w:color="auto"/>
              <w:right w:val="outset" w:sz="4" w:space="0" w:color="auto"/>
            </w:tcBorders>
            <w:vAlign w:val="center"/>
          </w:tcPr>
          <w:p w14:paraId="1991EED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-289,023.62</w:t>
            </w:r>
          </w:p>
        </w:tc>
      </w:tr>
      <w:tr w:rsidR="002D0AE7" w14:paraId="6BDB7FA5"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30F286E2" w14:textId="77777777" w:rsidR="002D0AE7" w:rsidRDefault="00333EBB">
            <w:pPr>
              <w:ind w:firstLineChars="550" w:firstLine="880"/>
              <w:rPr>
                <w:rFonts w:hint="eastAsia"/>
                <w:color w:val="000000" w:themeColor="text1"/>
                <w:sz w:val="16"/>
                <w:szCs w:val="21"/>
              </w:rPr>
            </w:pPr>
            <w:r>
              <w:rPr>
                <w:rFonts w:hint="eastAsia"/>
                <w:color w:val="000000" w:themeColor="text1"/>
                <w:sz w:val="16"/>
                <w:szCs w:val="21"/>
              </w:rPr>
              <w:t>以摊余成本计量的金融资产终止确认收益（损失以“</w:t>
            </w:r>
            <w:r>
              <w:rPr>
                <w:color w:val="000000" w:themeColor="text1"/>
                <w:sz w:val="16"/>
                <w:szCs w:val="21"/>
              </w:rPr>
              <w:t>-”</w:t>
            </w:r>
            <w:r>
              <w:rPr>
                <w:color w:val="000000" w:themeColor="text1"/>
                <w:sz w:val="16"/>
                <w:szCs w:val="21"/>
              </w:rPr>
              <w:t>号填列）</w:t>
            </w:r>
          </w:p>
        </w:tc>
        <w:tc>
          <w:tcPr>
            <w:tcW w:w="421" w:type="pct"/>
            <w:tcBorders>
              <w:top w:val="outset" w:sz="4" w:space="0" w:color="auto"/>
              <w:left w:val="outset" w:sz="4" w:space="0" w:color="auto"/>
              <w:bottom w:val="outset" w:sz="4" w:space="0" w:color="auto"/>
              <w:right w:val="outset" w:sz="4" w:space="0" w:color="auto"/>
            </w:tcBorders>
            <w:vAlign w:val="center"/>
          </w:tcPr>
          <w:p w14:paraId="632D5980"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5DCF75B0" w14:textId="77777777" w:rsidR="002D0AE7" w:rsidRDefault="002D0AE7">
            <w:pPr>
              <w:jc w:val="right"/>
              <w:rPr>
                <w:rFonts w:ascii="Times New Roman" w:hAnsi="Times New Roman" w:cs="Times New Roman"/>
                <w:sz w:val="21"/>
                <w:szCs w:val="21"/>
              </w:rPr>
            </w:pPr>
          </w:p>
        </w:tc>
        <w:tc>
          <w:tcPr>
            <w:tcW w:w="862" w:type="pct"/>
            <w:tcBorders>
              <w:top w:val="outset" w:sz="4" w:space="0" w:color="auto"/>
              <w:left w:val="outset" w:sz="4" w:space="0" w:color="auto"/>
              <w:bottom w:val="outset" w:sz="4" w:space="0" w:color="auto"/>
              <w:right w:val="outset" w:sz="4" w:space="0" w:color="auto"/>
            </w:tcBorders>
            <w:vAlign w:val="center"/>
          </w:tcPr>
          <w:p w14:paraId="7AE2DA3E" w14:textId="77777777" w:rsidR="002D0AE7" w:rsidRDefault="002D0AE7">
            <w:pPr>
              <w:jc w:val="right"/>
              <w:rPr>
                <w:rFonts w:ascii="Times New Roman" w:hAnsi="Times New Roman" w:cs="Times New Roman"/>
                <w:sz w:val="21"/>
                <w:szCs w:val="21"/>
              </w:rPr>
            </w:pPr>
          </w:p>
        </w:tc>
      </w:tr>
      <w:tr w:rsidR="002D0AE7" w14:paraId="7FB5357D"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5EBCD859"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汇兑收益（损失以“－”号填列）</w:t>
            </w:r>
          </w:p>
        </w:tc>
        <w:tc>
          <w:tcPr>
            <w:tcW w:w="421" w:type="pct"/>
            <w:tcBorders>
              <w:top w:val="outset" w:sz="4" w:space="0" w:color="auto"/>
              <w:left w:val="outset" w:sz="4" w:space="0" w:color="auto"/>
              <w:bottom w:val="outset" w:sz="4" w:space="0" w:color="auto"/>
              <w:right w:val="outset" w:sz="4" w:space="0" w:color="auto"/>
            </w:tcBorders>
            <w:vAlign w:val="center"/>
          </w:tcPr>
          <w:p w14:paraId="0DC4AE78"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4D65E6CB" w14:textId="77777777" w:rsidR="002D0AE7" w:rsidRDefault="002D0AE7">
            <w:pPr>
              <w:jc w:val="right"/>
              <w:rPr>
                <w:rFonts w:ascii="Times New Roman" w:hAnsi="Times New Roman" w:cs="Times New Roman"/>
                <w:sz w:val="21"/>
                <w:szCs w:val="21"/>
              </w:rPr>
            </w:pPr>
          </w:p>
        </w:tc>
        <w:tc>
          <w:tcPr>
            <w:tcW w:w="862" w:type="pct"/>
            <w:tcBorders>
              <w:top w:val="outset" w:sz="4" w:space="0" w:color="auto"/>
              <w:left w:val="outset" w:sz="4" w:space="0" w:color="auto"/>
              <w:bottom w:val="outset" w:sz="4" w:space="0" w:color="auto"/>
              <w:right w:val="outset" w:sz="4" w:space="0" w:color="auto"/>
            </w:tcBorders>
            <w:vAlign w:val="center"/>
          </w:tcPr>
          <w:p w14:paraId="5953D23C" w14:textId="77777777" w:rsidR="002D0AE7" w:rsidRDefault="002D0AE7">
            <w:pPr>
              <w:jc w:val="right"/>
              <w:rPr>
                <w:rFonts w:ascii="Times New Roman" w:hAnsi="Times New Roman" w:cs="Times New Roman"/>
                <w:sz w:val="21"/>
                <w:szCs w:val="21"/>
              </w:rPr>
            </w:pPr>
          </w:p>
        </w:tc>
      </w:tr>
      <w:tr w:rsidR="002D0AE7" w14:paraId="51B15F51"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65D1F99D"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净敞口套期收益（损失以“</w:t>
            </w:r>
            <w:r>
              <w:rPr>
                <w:color w:val="000000" w:themeColor="text1"/>
                <w:sz w:val="21"/>
                <w:szCs w:val="21"/>
              </w:rPr>
              <w:t>-”</w:t>
            </w:r>
            <w:r>
              <w:rPr>
                <w:color w:val="000000" w:themeColor="text1"/>
                <w:sz w:val="21"/>
                <w:szCs w:val="21"/>
              </w:rPr>
              <w:t>号填列）</w:t>
            </w:r>
          </w:p>
        </w:tc>
        <w:tc>
          <w:tcPr>
            <w:tcW w:w="421" w:type="pct"/>
            <w:tcBorders>
              <w:top w:val="outset" w:sz="4" w:space="0" w:color="auto"/>
              <w:left w:val="outset" w:sz="4" w:space="0" w:color="auto"/>
              <w:bottom w:val="outset" w:sz="4" w:space="0" w:color="auto"/>
              <w:right w:val="outset" w:sz="4" w:space="0" w:color="auto"/>
            </w:tcBorders>
            <w:vAlign w:val="center"/>
          </w:tcPr>
          <w:p w14:paraId="4361E9F4"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1E592164" w14:textId="77777777" w:rsidR="002D0AE7" w:rsidRDefault="002D0AE7">
            <w:pPr>
              <w:jc w:val="right"/>
              <w:rPr>
                <w:rFonts w:ascii="Times New Roman" w:hAnsi="Times New Roman" w:cs="Times New Roman"/>
                <w:sz w:val="21"/>
                <w:szCs w:val="21"/>
              </w:rPr>
            </w:pPr>
          </w:p>
        </w:tc>
        <w:tc>
          <w:tcPr>
            <w:tcW w:w="862" w:type="pct"/>
            <w:tcBorders>
              <w:top w:val="outset" w:sz="4" w:space="0" w:color="auto"/>
              <w:left w:val="outset" w:sz="4" w:space="0" w:color="auto"/>
              <w:bottom w:val="outset" w:sz="4" w:space="0" w:color="auto"/>
              <w:right w:val="outset" w:sz="4" w:space="0" w:color="auto"/>
            </w:tcBorders>
            <w:vAlign w:val="center"/>
          </w:tcPr>
          <w:p w14:paraId="5C62B472" w14:textId="77777777" w:rsidR="002D0AE7" w:rsidRDefault="002D0AE7">
            <w:pPr>
              <w:jc w:val="right"/>
              <w:rPr>
                <w:rFonts w:ascii="Times New Roman" w:hAnsi="Times New Roman" w:cs="Times New Roman"/>
                <w:sz w:val="21"/>
                <w:szCs w:val="21"/>
              </w:rPr>
            </w:pPr>
          </w:p>
        </w:tc>
      </w:tr>
      <w:tr w:rsidR="002D0AE7" w14:paraId="5727D81E"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1CA28177"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公允价值变动收益（损失以“－”号填列）</w:t>
            </w:r>
          </w:p>
        </w:tc>
        <w:tc>
          <w:tcPr>
            <w:tcW w:w="421" w:type="pct"/>
            <w:tcBorders>
              <w:top w:val="outset" w:sz="4" w:space="0" w:color="auto"/>
              <w:left w:val="outset" w:sz="4" w:space="0" w:color="auto"/>
              <w:bottom w:val="outset" w:sz="4" w:space="0" w:color="auto"/>
              <w:right w:val="outset" w:sz="4" w:space="0" w:color="auto"/>
            </w:tcBorders>
            <w:vAlign w:val="center"/>
          </w:tcPr>
          <w:p w14:paraId="214D804F"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3540148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62" w:type="pct"/>
            <w:tcBorders>
              <w:top w:val="outset" w:sz="4" w:space="0" w:color="auto"/>
              <w:left w:val="outset" w:sz="4" w:space="0" w:color="auto"/>
              <w:bottom w:val="outset" w:sz="4" w:space="0" w:color="auto"/>
              <w:right w:val="outset" w:sz="4" w:space="0" w:color="auto"/>
            </w:tcBorders>
            <w:vAlign w:val="center"/>
          </w:tcPr>
          <w:p w14:paraId="765FE02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-525,000.00</w:t>
            </w:r>
          </w:p>
        </w:tc>
      </w:tr>
      <w:tr w:rsidR="002D0AE7" w14:paraId="43E8F4DB"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2E9AD28A"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信用减值损失（损失以“</w:t>
            </w:r>
            <w:r>
              <w:rPr>
                <w:color w:val="000000" w:themeColor="text1"/>
                <w:sz w:val="21"/>
                <w:szCs w:val="21"/>
              </w:rPr>
              <w:t>-”</w:t>
            </w:r>
            <w:r>
              <w:rPr>
                <w:color w:val="000000" w:themeColor="text1"/>
                <w:sz w:val="21"/>
                <w:szCs w:val="21"/>
              </w:rPr>
              <w:t>号填列）</w:t>
            </w:r>
          </w:p>
        </w:tc>
        <w:tc>
          <w:tcPr>
            <w:tcW w:w="421" w:type="pct"/>
            <w:tcBorders>
              <w:top w:val="outset" w:sz="4" w:space="0" w:color="auto"/>
              <w:left w:val="outset" w:sz="4" w:space="0" w:color="auto"/>
              <w:bottom w:val="outset" w:sz="4" w:space="0" w:color="auto"/>
              <w:right w:val="outset" w:sz="4" w:space="0" w:color="auto"/>
            </w:tcBorders>
          </w:tcPr>
          <w:p w14:paraId="048BB13B" w14:textId="77777777" w:rsidR="002D0AE7" w:rsidRDefault="00333EBB">
            <w:pPr>
              <w:rPr>
                <w:rFonts w:hint="eastAsia"/>
                <w:sz w:val="21"/>
                <w:szCs w:val="21"/>
              </w:rPr>
            </w:pPr>
            <w:r>
              <w:rPr>
                <w:rFonts w:hint="eastAsia"/>
                <w:sz w:val="21"/>
                <w:szCs w:val="21"/>
              </w:rPr>
              <w:t>七、</w:t>
            </w:r>
            <w:r>
              <w:rPr>
                <w:sz w:val="21"/>
                <w:szCs w:val="21"/>
              </w:rPr>
              <w:t>47</w:t>
            </w:r>
          </w:p>
        </w:tc>
        <w:tc>
          <w:tcPr>
            <w:tcW w:w="841" w:type="pct"/>
            <w:tcBorders>
              <w:top w:val="outset" w:sz="4" w:space="0" w:color="auto"/>
              <w:left w:val="outset" w:sz="4" w:space="0" w:color="auto"/>
              <w:bottom w:val="outset" w:sz="4" w:space="0" w:color="auto"/>
              <w:right w:val="outset" w:sz="4" w:space="0" w:color="auto"/>
            </w:tcBorders>
            <w:vAlign w:val="center"/>
          </w:tcPr>
          <w:p w14:paraId="7E1AE7A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-93,292.18</w:t>
            </w:r>
          </w:p>
        </w:tc>
        <w:tc>
          <w:tcPr>
            <w:tcW w:w="862" w:type="pct"/>
            <w:tcBorders>
              <w:top w:val="outset" w:sz="4" w:space="0" w:color="auto"/>
              <w:left w:val="outset" w:sz="4" w:space="0" w:color="auto"/>
              <w:bottom w:val="outset" w:sz="4" w:space="0" w:color="auto"/>
              <w:right w:val="outset" w:sz="4" w:space="0" w:color="auto"/>
            </w:tcBorders>
            <w:vAlign w:val="center"/>
          </w:tcPr>
          <w:p w14:paraId="69357C2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-200,637.84</w:t>
            </w:r>
          </w:p>
        </w:tc>
      </w:tr>
      <w:tr w:rsidR="002D0AE7" w14:paraId="5320A45F"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5B0645BB"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资产减值损失（损失以“</w:t>
            </w:r>
            <w:r>
              <w:rPr>
                <w:color w:val="000000" w:themeColor="text1"/>
                <w:sz w:val="21"/>
                <w:szCs w:val="21"/>
              </w:rPr>
              <w:t>-”</w:t>
            </w:r>
            <w:r>
              <w:rPr>
                <w:color w:val="000000" w:themeColor="text1"/>
                <w:sz w:val="21"/>
                <w:szCs w:val="21"/>
              </w:rPr>
              <w:t>号填列）</w:t>
            </w:r>
          </w:p>
        </w:tc>
        <w:tc>
          <w:tcPr>
            <w:tcW w:w="421" w:type="pct"/>
            <w:tcBorders>
              <w:top w:val="outset" w:sz="4" w:space="0" w:color="auto"/>
              <w:left w:val="outset" w:sz="4" w:space="0" w:color="auto"/>
              <w:bottom w:val="outset" w:sz="4" w:space="0" w:color="auto"/>
              <w:right w:val="outset" w:sz="4" w:space="0" w:color="auto"/>
            </w:tcBorders>
          </w:tcPr>
          <w:p w14:paraId="1AADFE6A" w14:textId="77777777" w:rsidR="002D0AE7" w:rsidRDefault="00333EBB">
            <w:pPr>
              <w:rPr>
                <w:rFonts w:hint="eastAsia"/>
                <w:sz w:val="21"/>
                <w:szCs w:val="21"/>
              </w:rPr>
            </w:pPr>
            <w:r>
              <w:rPr>
                <w:rFonts w:hint="eastAsia"/>
                <w:sz w:val="21"/>
                <w:szCs w:val="21"/>
              </w:rPr>
              <w:t>七、</w:t>
            </w:r>
            <w:r>
              <w:rPr>
                <w:sz w:val="21"/>
                <w:szCs w:val="21"/>
              </w:rPr>
              <w:t>48</w:t>
            </w:r>
          </w:p>
        </w:tc>
        <w:tc>
          <w:tcPr>
            <w:tcW w:w="841" w:type="pct"/>
            <w:tcBorders>
              <w:top w:val="outset" w:sz="4" w:space="0" w:color="auto"/>
              <w:left w:val="outset" w:sz="4" w:space="0" w:color="auto"/>
              <w:bottom w:val="outset" w:sz="4" w:space="0" w:color="auto"/>
              <w:right w:val="outset" w:sz="4" w:space="0" w:color="auto"/>
            </w:tcBorders>
            <w:vAlign w:val="center"/>
          </w:tcPr>
          <w:p w14:paraId="2005D61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-53,747,952.66</w:t>
            </w:r>
          </w:p>
        </w:tc>
        <w:tc>
          <w:tcPr>
            <w:tcW w:w="862" w:type="pct"/>
            <w:tcBorders>
              <w:top w:val="outset" w:sz="4" w:space="0" w:color="auto"/>
              <w:left w:val="outset" w:sz="4" w:space="0" w:color="auto"/>
              <w:bottom w:val="outset" w:sz="4" w:space="0" w:color="auto"/>
              <w:right w:val="outset" w:sz="4" w:space="0" w:color="auto"/>
            </w:tcBorders>
            <w:vAlign w:val="center"/>
          </w:tcPr>
          <w:p w14:paraId="1AF20E7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-40,256,933.63</w:t>
            </w:r>
          </w:p>
        </w:tc>
      </w:tr>
      <w:tr w:rsidR="002D0AE7" w14:paraId="7977A04D"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264EA781"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资产处置收益（损失以“－”号填列）</w:t>
            </w:r>
          </w:p>
        </w:tc>
        <w:tc>
          <w:tcPr>
            <w:tcW w:w="421" w:type="pct"/>
            <w:tcBorders>
              <w:top w:val="outset" w:sz="4" w:space="0" w:color="auto"/>
              <w:left w:val="outset" w:sz="4" w:space="0" w:color="auto"/>
              <w:bottom w:val="outset" w:sz="4" w:space="0" w:color="auto"/>
              <w:right w:val="outset" w:sz="4" w:space="0" w:color="auto"/>
            </w:tcBorders>
          </w:tcPr>
          <w:p w14:paraId="327CD548" w14:textId="77777777" w:rsidR="002D0AE7" w:rsidRDefault="00333EBB">
            <w:pPr>
              <w:rPr>
                <w:rFonts w:hint="eastAsia"/>
                <w:sz w:val="21"/>
                <w:szCs w:val="21"/>
              </w:rPr>
            </w:pPr>
            <w:r>
              <w:rPr>
                <w:rFonts w:hint="eastAsia"/>
                <w:sz w:val="21"/>
                <w:szCs w:val="21"/>
              </w:rPr>
              <w:t>七、</w:t>
            </w:r>
            <w:r>
              <w:rPr>
                <w:sz w:val="21"/>
                <w:szCs w:val="21"/>
              </w:rPr>
              <w:t>49</w:t>
            </w:r>
          </w:p>
        </w:tc>
        <w:tc>
          <w:tcPr>
            <w:tcW w:w="841" w:type="pct"/>
            <w:tcBorders>
              <w:top w:val="outset" w:sz="4" w:space="0" w:color="auto"/>
              <w:left w:val="outset" w:sz="4" w:space="0" w:color="auto"/>
              <w:bottom w:val="outset" w:sz="4" w:space="0" w:color="auto"/>
              <w:right w:val="outset" w:sz="4" w:space="0" w:color="auto"/>
            </w:tcBorders>
            <w:vAlign w:val="center"/>
          </w:tcPr>
          <w:p w14:paraId="7A0F07B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-194,484.96</w:t>
            </w:r>
          </w:p>
        </w:tc>
        <w:tc>
          <w:tcPr>
            <w:tcW w:w="862" w:type="pct"/>
            <w:tcBorders>
              <w:top w:val="outset" w:sz="4" w:space="0" w:color="auto"/>
              <w:left w:val="outset" w:sz="4" w:space="0" w:color="auto"/>
              <w:bottom w:val="outset" w:sz="4" w:space="0" w:color="auto"/>
              <w:right w:val="outset" w:sz="4" w:space="0" w:color="auto"/>
            </w:tcBorders>
            <w:vAlign w:val="center"/>
          </w:tcPr>
          <w:p w14:paraId="2DA6F7A7" w14:textId="77777777" w:rsidR="002D0AE7" w:rsidRDefault="00333EBB">
            <w:pPr>
              <w:jc w:val="right"/>
              <w:rPr>
                <w:rFonts w:ascii="Times New Roman" w:hAnsi="Times New Roman" w:cs="Times New Roman"/>
                <w:sz w:val="21"/>
                <w:szCs w:val="21"/>
              </w:rPr>
            </w:pPr>
            <w:r>
              <w:rPr>
                <w:rFonts w:ascii="Times New Roman" w:hAnsi="Times New Roman" w:cs="Times New Roman" w:hint="eastAsia"/>
                <w:sz w:val="21"/>
                <w:szCs w:val="21"/>
              </w:rPr>
              <w:t>0</w:t>
            </w:r>
            <w:r>
              <w:rPr>
                <w:rFonts w:ascii="Times New Roman" w:hAnsi="Times New Roman" w:cs="Times New Roman"/>
                <w:sz w:val="21"/>
                <w:szCs w:val="21"/>
              </w:rPr>
              <w:t>.00</w:t>
            </w:r>
          </w:p>
        </w:tc>
      </w:tr>
      <w:tr w:rsidR="002D0AE7" w14:paraId="6A1628AA"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7D4D939E" w14:textId="77777777" w:rsidR="002D0AE7" w:rsidRDefault="00333EBB">
            <w:pPr>
              <w:rPr>
                <w:rFonts w:hint="eastAsia"/>
                <w:color w:val="000000" w:themeColor="text1"/>
                <w:sz w:val="21"/>
                <w:szCs w:val="21"/>
              </w:rPr>
            </w:pPr>
            <w:r>
              <w:rPr>
                <w:rFonts w:hint="eastAsia"/>
                <w:color w:val="000000" w:themeColor="text1"/>
                <w:sz w:val="21"/>
                <w:szCs w:val="21"/>
              </w:rPr>
              <w:t>三、营业利润（亏损以“－”号填列）</w:t>
            </w:r>
          </w:p>
        </w:tc>
        <w:tc>
          <w:tcPr>
            <w:tcW w:w="421" w:type="pct"/>
            <w:tcBorders>
              <w:top w:val="outset" w:sz="4" w:space="0" w:color="auto"/>
              <w:left w:val="outset" w:sz="4" w:space="0" w:color="auto"/>
              <w:bottom w:val="outset" w:sz="4" w:space="0" w:color="auto"/>
              <w:right w:val="outset" w:sz="4" w:space="0" w:color="auto"/>
            </w:tcBorders>
            <w:vAlign w:val="center"/>
          </w:tcPr>
          <w:p w14:paraId="24251919"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3E40A1E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192,671,150.28</w:t>
            </w:r>
          </w:p>
        </w:tc>
        <w:tc>
          <w:tcPr>
            <w:tcW w:w="862" w:type="pct"/>
            <w:tcBorders>
              <w:top w:val="outset" w:sz="4" w:space="0" w:color="auto"/>
              <w:left w:val="outset" w:sz="4" w:space="0" w:color="auto"/>
              <w:bottom w:val="outset" w:sz="4" w:space="0" w:color="auto"/>
              <w:right w:val="outset" w:sz="4" w:space="0" w:color="auto"/>
            </w:tcBorders>
            <w:vAlign w:val="center"/>
          </w:tcPr>
          <w:p w14:paraId="50911D1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169,394,062.69</w:t>
            </w:r>
          </w:p>
        </w:tc>
      </w:tr>
      <w:tr w:rsidR="002D0AE7" w14:paraId="31649BF6"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6F22E0C4"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加：营业外收入</w:t>
            </w:r>
          </w:p>
        </w:tc>
        <w:tc>
          <w:tcPr>
            <w:tcW w:w="421" w:type="pct"/>
            <w:tcBorders>
              <w:top w:val="outset" w:sz="4" w:space="0" w:color="auto"/>
              <w:left w:val="outset" w:sz="4" w:space="0" w:color="auto"/>
              <w:bottom w:val="outset" w:sz="4" w:space="0" w:color="auto"/>
              <w:right w:val="outset" w:sz="4" w:space="0" w:color="auto"/>
            </w:tcBorders>
            <w:vAlign w:val="center"/>
          </w:tcPr>
          <w:p w14:paraId="2815A555" w14:textId="77777777" w:rsidR="002D0AE7" w:rsidRDefault="00333EBB">
            <w:pPr>
              <w:rPr>
                <w:rFonts w:hint="eastAsia"/>
                <w:sz w:val="21"/>
                <w:szCs w:val="21"/>
              </w:rPr>
            </w:pPr>
            <w:r>
              <w:rPr>
                <w:rFonts w:hint="eastAsia"/>
                <w:sz w:val="21"/>
                <w:szCs w:val="21"/>
              </w:rPr>
              <w:t>七、</w:t>
            </w:r>
            <w:r>
              <w:rPr>
                <w:sz w:val="21"/>
                <w:szCs w:val="21"/>
              </w:rPr>
              <w:t>50</w:t>
            </w:r>
          </w:p>
        </w:tc>
        <w:tc>
          <w:tcPr>
            <w:tcW w:w="841" w:type="pct"/>
            <w:tcBorders>
              <w:top w:val="outset" w:sz="4" w:space="0" w:color="auto"/>
              <w:left w:val="outset" w:sz="4" w:space="0" w:color="auto"/>
              <w:bottom w:val="outset" w:sz="4" w:space="0" w:color="auto"/>
              <w:right w:val="outset" w:sz="4" w:space="0" w:color="auto"/>
            </w:tcBorders>
            <w:vAlign w:val="center"/>
          </w:tcPr>
          <w:p w14:paraId="6174778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1,875,783.69</w:t>
            </w:r>
          </w:p>
        </w:tc>
        <w:tc>
          <w:tcPr>
            <w:tcW w:w="862" w:type="pct"/>
            <w:tcBorders>
              <w:top w:val="outset" w:sz="4" w:space="0" w:color="auto"/>
              <w:left w:val="outset" w:sz="4" w:space="0" w:color="auto"/>
              <w:bottom w:val="outset" w:sz="4" w:space="0" w:color="auto"/>
              <w:right w:val="outset" w:sz="4" w:space="0" w:color="auto"/>
            </w:tcBorders>
            <w:vAlign w:val="center"/>
          </w:tcPr>
          <w:p w14:paraId="4C1A8B7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682,474.83</w:t>
            </w:r>
          </w:p>
        </w:tc>
      </w:tr>
      <w:tr w:rsidR="002D0AE7" w14:paraId="3B6D9A00"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7BBFF665"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减：营业外支出</w:t>
            </w:r>
          </w:p>
        </w:tc>
        <w:tc>
          <w:tcPr>
            <w:tcW w:w="421" w:type="pct"/>
            <w:tcBorders>
              <w:top w:val="outset" w:sz="4" w:space="0" w:color="auto"/>
              <w:left w:val="outset" w:sz="4" w:space="0" w:color="auto"/>
              <w:bottom w:val="outset" w:sz="4" w:space="0" w:color="auto"/>
              <w:right w:val="outset" w:sz="4" w:space="0" w:color="auto"/>
            </w:tcBorders>
            <w:vAlign w:val="center"/>
          </w:tcPr>
          <w:p w14:paraId="0E5C6C38" w14:textId="77777777" w:rsidR="002D0AE7" w:rsidRDefault="00333EBB">
            <w:pPr>
              <w:rPr>
                <w:rFonts w:hint="eastAsia"/>
                <w:sz w:val="21"/>
                <w:szCs w:val="21"/>
              </w:rPr>
            </w:pPr>
            <w:r>
              <w:rPr>
                <w:rFonts w:hint="eastAsia"/>
                <w:sz w:val="21"/>
                <w:szCs w:val="21"/>
              </w:rPr>
              <w:t>七、</w:t>
            </w:r>
            <w:r>
              <w:rPr>
                <w:sz w:val="21"/>
                <w:szCs w:val="21"/>
              </w:rPr>
              <w:t>51</w:t>
            </w:r>
          </w:p>
        </w:tc>
        <w:tc>
          <w:tcPr>
            <w:tcW w:w="841" w:type="pct"/>
            <w:tcBorders>
              <w:top w:val="outset" w:sz="4" w:space="0" w:color="auto"/>
              <w:left w:val="outset" w:sz="4" w:space="0" w:color="auto"/>
              <w:bottom w:val="outset" w:sz="4" w:space="0" w:color="auto"/>
              <w:right w:val="outset" w:sz="4" w:space="0" w:color="auto"/>
            </w:tcBorders>
            <w:vAlign w:val="center"/>
          </w:tcPr>
          <w:p w14:paraId="0AB046A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216,273.63</w:t>
            </w:r>
          </w:p>
        </w:tc>
        <w:tc>
          <w:tcPr>
            <w:tcW w:w="862" w:type="pct"/>
            <w:tcBorders>
              <w:top w:val="outset" w:sz="4" w:space="0" w:color="auto"/>
              <w:left w:val="outset" w:sz="4" w:space="0" w:color="auto"/>
              <w:bottom w:val="outset" w:sz="4" w:space="0" w:color="auto"/>
              <w:right w:val="outset" w:sz="4" w:space="0" w:color="auto"/>
            </w:tcBorders>
            <w:vAlign w:val="center"/>
          </w:tcPr>
          <w:p w14:paraId="279287B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1,454,179.03</w:t>
            </w:r>
          </w:p>
        </w:tc>
      </w:tr>
      <w:tr w:rsidR="002D0AE7" w14:paraId="02C46310"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76B9CB03" w14:textId="77777777" w:rsidR="002D0AE7" w:rsidRDefault="00333EBB">
            <w:pPr>
              <w:rPr>
                <w:rFonts w:hint="eastAsia"/>
                <w:color w:val="000000" w:themeColor="text1"/>
                <w:sz w:val="21"/>
                <w:szCs w:val="21"/>
              </w:rPr>
            </w:pPr>
            <w:r>
              <w:rPr>
                <w:rFonts w:hint="eastAsia"/>
                <w:color w:val="000000" w:themeColor="text1"/>
                <w:sz w:val="21"/>
                <w:szCs w:val="21"/>
              </w:rPr>
              <w:t>四、利润总额（亏损总额以</w:t>
            </w:r>
            <w:r>
              <w:rPr>
                <w:color w:val="000000" w:themeColor="text1"/>
                <w:sz w:val="21"/>
                <w:szCs w:val="21"/>
              </w:rPr>
              <w:t>“</w:t>
            </w:r>
            <w:r>
              <w:rPr>
                <w:rFonts w:hint="eastAsia"/>
                <w:color w:val="000000" w:themeColor="text1"/>
                <w:sz w:val="21"/>
                <w:szCs w:val="21"/>
              </w:rPr>
              <w:t>－</w:t>
            </w:r>
            <w:r>
              <w:rPr>
                <w:color w:val="000000" w:themeColor="text1"/>
                <w:sz w:val="21"/>
                <w:szCs w:val="21"/>
              </w:rPr>
              <w:t>”</w:t>
            </w:r>
            <w:r>
              <w:rPr>
                <w:rFonts w:hint="eastAsia"/>
                <w:color w:val="000000" w:themeColor="text1"/>
                <w:sz w:val="21"/>
                <w:szCs w:val="21"/>
              </w:rPr>
              <w:t>号填列）</w:t>
            </w:r>
          </w:p>
        </w:tc>
        <w:tc>
          <w:tcPr>
            <w:tcW w:w="421" w:type="pct"/>
            <w:tcBorders>
              <w:top w:val="outset" w:sz="4" w:space="0" w:color="auto"/>
              <w:left w:val="outset" w:sz="4" w:space="0" w:color="auto"/>
              <w:bottom w:val="outset" w:sz="4" w:space="0" w:color="auto"/>
              <w:right w:val="outset" w:sz="4" w:space="0" w:color="auto"/>
            </w:tcBorders>
            <w:vAlign w:val="center"/>
          </w:tcPr>
          <w:p w14:paraId="50AE2A33"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4495C6F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194,330,660.34</w:t>
            </w:r>
          </w:p>
        </w:tc>
        <w:tc>
          <w:tcPr>
            <w:tcW w:w="862" w:type="pct"/>
            <w:tcBorders>
              <w:top w:val="outset" w:sz="4" w:space="0" w:color="auto"/>
              <w:left w:val="outset" w:sz="4" w:space="0" w:color="auto"/>
              <w:bottom w:val="outset" w:sz="4" w:space="0" w:color="auto"/>
              <w:right w:val="outset" w:sz="4" w:space="0" w:color="auto"/>
            </w:tcBorders>
            <w:vAlign w:val="center"/>
          </w:tcPr>
          <w:p w14:paraId="40FE9C7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168,622,358.49</w:t>
            </w:r>
          </w:p>
        </w:tc>
      </w:tr>
      <w:tr w:rsidR="002D0AE7" w14:paraId="796A64C8"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4318FF48"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减：所得税费用</w:t>
            </w:r>
          </w:p>
        </w:tc>
        <w:tc>
          <w:tcPr>
            <w:tcW w:w="421" w:type="pct"/>
            <w:tcBorders>
              <w:top w:val="outset" w:sz="4" w:space="0" w:color="auto"/>
              <w:left w:val="outset" w:sz="4" w:space="0" w:color="auto"/>
              <w:bottom w:val="outset" w:sz="4" w:space="0" w:color="auto"/>
              <w:right w:val="outset" w:sz="4" w:space="0" w:color="auto"/>
            </w:tcBorders>
            <w:vAlign w:val="center"/>
          </w:tcPr>
          <w:p w14:paraId="310635EA" w14:textId="77777777" w:rsidR="002D0AE7" w:rsidRDefault="00333EBB">
            <w:pPr>
              <w:rPr>
                <w:rFonts w:hint="eastAsia"/>
                <w:sz w:val="21"/>
                <w:szCs w:val="21"/>
              </w:rPr>
            </w:pPr>
            <w:r>
              <w:rPr>
                <w:rFonts w:hint="eastAsia"/>
                <w:sz w:val="21"/>
                <w:szCs w:val="21"/>
              </w:rPr>
              <w:t>七、</w:t>
            </w:r>
            <w:r>
              <w:rPr>
                <w:sz w:val="21"/>
                <w:szCs w:val="21"/>
              </w:rPr>
              <w:t>52</w:t>
            </w:r>
          </w:p>
        </w:tc>
        <w:tc>
          <w:tcPr>
            <w:tcW w:w="841" w:type="pct"/>
            <w:tcBorders>
              <w:top w:val="outset" w:sz="4" w:space="0" w:color="auto"/>
              <w:left w:val="outset" w:sz="4" w:space="0" w:color="auto"/>
              <w:bottom w:val="outset" w:sz="4" w:space="0" w:color="auto"/>
              <w:right w:val="outset" w:sz="4" w:space="0" w:color="auto"/>
            </w:tcBorders>
            <w:vAlign w:val="center"/>
          </w:tcPr>
          <w:p w14:paraId="564F2AC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16,927,650.13</w:t>
            </w:r>
          </w:p>
        </w:tc>
        <w:tc>
          <w:tcPr>
            <w:tcW w:w="862" w:type="pct"/>
            <w:tcBorders>
              <w:top w:val="outset" w:sz="4" w:space="0" w:color="auto"/>
              <w:left w:val="outset" w:sz="4" w:space="0" w:color="auto"/>
              <w:bottom w:val="outset" w:sz="4" w:space="0" w:color="auto"/>
              <w:right w:val="outset" w:sz="4" w:space="0" w:color="auto"/>
            </w:tcBorders>
            <w:vAlign w:val="center"/>
          </w:tcPr>
          <w:p w14:paraId="3629B75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13,301,081.10</w:t>
            </w:r>
          </w:p>
        </w:tc>
      </w:tr>
      <w:tr w:rsidR="002D0AE7" w14:paraId="77EBB4E6"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01A93C01" w14:textId="77777777" w:rsidR="002D0AE7" w:rsidRDefault="00333EBB">
            <w:pPr>
              <w:rPr>
                <w:rFonts w:hint="eastAsia"/>
                <w:color w:val="000000" w:themeColor="text1"/>
                <w:sz w:val="21"/>
                <w:szCs w:val="21"/>
              </w:rPr>
            </w:pPr>
            <w:r>
              <w:rPr>
                <w:rFonts w:hint="eastAsia"/>
                <w:color w:val="000000" w:themeColor="text1"/>
                <w:sz w:val="21"/>
                <w:szCs w:val="21"/>
              </w:rPr>
              <w:t>五、净利润（净亏损以</w:t>
            </w:r>
            <w:r>
              <w:rPr>
                <w:color w:val="000000" w:themeColor="text1"/>
                <w:sz w:val="21"/>
                <w:szCs w:val="21"/>
              </w:rPr>
              <w:t>“</w:t>
            </w:r>
            <w:r>
              <w:rPr>
                <w:rFonts w:hint="eastAsia"/>
                <w:color w:val="000000" w:themeColor="text1"/>
                <w:sz w:val="21"/>
                <w:szCs w:val="21"/>
              </w:rPr>
              <w:t>－</w:t>
            </w:r>
            <w:r>
              <w:rPr>
                <w:color w:val="000000" w:themeColor="text1"/>
                <w:sz w:val="21"/>
                <w:szCs w:val="21"/>
              </w:rPr>
              <w:t>”</w:t>
            </w:r>
            <w:r>
              <w:rPr>
                <w:rFonts w:hint="eastAsia"/>
                <w:color w:val="000000" w:themeColor="text1"/>
                <w:sz w:val="21"/>
                <w:szCs w:val="21"/>
              </w:rPr>
              <w:t>号填列）</w:t>
            </w:r>
          </w:p>
        </w:tc>
        <w:tc>
          <w:tcPr>
            <w:tcW w:w="421" w:type="pct"/>
            <w:tcBorders>
              <w:top w:val="outset" w:sz="4" w:space="0" w:color="auto"/>
              <w:left w:val="outset" w:sz="4" w:space="0" w:color="auto"/>
              <w:bottom w:val="outset" w:sz="4" w:space="0" w:color="auto"/>
              <w:right w:val="outset" w:sz="4" w:space="0" w:color="auto"/>
            </w:tcBorders>
            <w:vAlign w:val="center"/>
          </w:tcPr>
          <w:p w14:paraId="546FA2D7"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59C6FFF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177,403,010.21</w:t>
            </w:r>
          </w:p>
        </w:tc>
        <w:tc>
          <w:tcPr>
            <w:tcW w:w="862" w:type="pct"/>
            <w:tcBorders>
              <w:top w:val="outset" w:sz="4" w:space="0" w:color="auto"/>
              <w:left w:val="outset" w:sz="4" w:space="0" w:color="auto"/>
              <w:bottom w:val="outset" w:sz="4" w:space="0" w:color="auto"/>
              <w:right w:val="outset" w:sz="4" w:space="0" w:color="auto"/>
            </w:tcBorders>
            <w:vAlign w:val="center"/>
          </w:tcPr>
          <w:p w14:paraId="4255FD8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155,321,277.39</w:t>
            </w:r>
          </w:p>
        </w:tc>
      </w:tr>
      <w:tr w:rsidR="002D0AE7" w14:paraId="7E45DBCF" w14:textId="77777777">
        <w:trPr>
          <w:jc w:val="center"/>
        </w:trPr>
        <w:tc>
          <w:tcPr>
            <w:tcW w:w="5000" w:type="pct"/>
            <w:gridSpan w:val="4"/>
            <w:tcBorders>
              <w:top w:val="outset" w:sz="4" w:space="0" w:color="auto"/>
              <w:left w:val="outset" w:sz="4" w:space="0" w:color="auto"/>
              <w:bottom w:val="outset" w:sz="4" w:space="0" w:color="auto"/>
              <w:right w:val="outset" w:sz="4" w:space="0" w:color="auto"/>
            </w:tcBorders>
            <w:vAlign w:val="center"/>
          </w:tcPr>
          <w:p w14:paraId="2887D6BD" w14:textId="77777777" w:rsidR="002D0AE7" w:rsidRDefault="00333EBB">
            <w:pPr>
              <w:rPr>
                <w:rFonts w:hint="eastAsia"/>
                <w:color w:val="000000" w:themeColor="text1"/>
                <w:sz w:val="21"/>
                <w:szCs w:val="21"/>
              </w:rPr>
            </w:pPr>
            <w:r>
              <w:rPr>
                <w:rFonts w:hint="eastAsia"/>
                <w:color w:val="000000" w:themeColor="text1"/>
                <w:sz w:val="21"/>
                <w:szCs w:val="21"/>
              </w:rPr>
              <w:t>（一）</w:t>
            </w:r>
            <w:r>
              <w:rPr>
                <w:color w:val="000000" w:themeColor="text1"/>
                <w:sz w:val="21"/>
                <w:szCs w:val="21"/>
              </w:rPr>
              <w:t>按经营持续性分类</w:t>
            </w:r>
          </w:p>
        </w:tc>
      </w:tr>
      <w:tr w:rsidR="002D0AE7" w14:paraId="17997440"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590E9B85" w14:textId="77777777" w:rsidR="002D0AE7" w:rsidRDefault="00333EBB">
            <w:pPr>
              <w:ind w:firstLineChars="200" w:firstLine="420"/>
              <w:rPr>
                <w:rFonts w:hint="eastAsia"/>
                <w:color w:val="000000" w:themeColor="text1"/>
                <w:sz w:val="21"/>
                <w:szCs w:val="21"/>
              </w:rPr>
            </w:pPr>
            <w:r>
              <w:rPr>
                <w:color w:val="000000" w:themeColor="text1"/>
                <w:sz w:val="21"/>
                <w:szCs w:val="21"/>
              </w:rPr>
              <w:t>1.</w:t>
            </w:r>
            <w:r>
              <w:rPr>
                <w:color w:val="000000" w:themeColor="text1"/>
                <w:sz w:val="21"/>
                <w:szCs w:val="21"/>
              </w:rPr>
              <w:t>持续经营净利润（净亏损以</w:t>
            </w:r>
            <w:r>
              <w:rPr>
                <w:color w:val="000000" w:themeColor="text1"/>
                <w:sz w:val="21"/>
                <w:szCs w:val="21"/>
              </w:rPr>
              <w:t>“</w:t>
            </w:r>
            <w:r>
              <w:rPr>
                <w:color w:val="000000" w:themeColor="text1"/>
                <w:sz w:val="21"/>
                <w:szCs w:val="21"/>
              </w:rPr>
              <w:t>－</w:t>
            </w:r>
            <w:r>
              <w:rPr>
                <w:color w:val="000000" w:themeColor="text1"/>
                <w:sz w:val="21"/>
                <w:szCs w:val="21"/>
              </w:rPr>
              <w:t>”</w:t>
            </w:r>
            <w:r>
              <w:rPr>
                <w:color w:val="000000" w:themeColor="text1"/>
                <w:sz w:val="21"/>
                <w:szCs w:val="21"/>
              </w:rPr>
              <w:t>号填列）</w:t>
            </w:r>
          </w:p>
        </w:tc>
        <w:tc>
          <w:tcPr>
            <w:tcW w:w="421" w:type="pct"/>
            <w:tcBorders>
              <w:top w:val="outset" w:sz="4" w:space="0" w:color="auto"/>
              <w:left w:val="outset" w:sz="4" w:space="0" w:color="auto"/>
              <w:bottom w:val="outset" w:sz="4" w:space="0" w:color="auto"/>
              <w:right w:val="outset" w:sz="4" w:space="0" w:color="auto"/>
            </w:tcBorders>
            <w:vAlign w:val="center"/>
          </w:tcPr>
          <w:p w14:paraId="207118F5"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2DD7281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177,403,010.21</w:t>
            </w:r>
          </w:p>
        </w:tc>
        <w:tc>
          <w:tcPr>
            <w:tcW w:w="862" w:type="pct"/>
            <w:tcBorders>
              <w:top w:val="outset" w:sz="4" w:space="0" w:color="auto"/>
              <w:left w:val="outset" w:sz="4" w:space="0" w:color="auto"/>
              <w:bottom w:val="outset" w:sz="4" w:space="0" w:color="auto"/>
              <w:right w:val="outset" w:sz="4" w:space="0" w:color="auto"/>
            </w:tcBorders>
            <w:vAlign w:val="center"/>
          </w:tcPr>
          <w:p w14:paraId="322A30A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155,321,277.39</w:t>
            </w:r>
          </w:p>
        </w:tc>
      </w:tr>
      <w:tr w:rsidR="002D0AE7" w14:paraId="4ADE7382"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750D7F35" w14:textId="77777777" w:rsidR="002D0AE7" w:rsidRDefault="00333EBB">
            <w:pPr>
              <w:ind w:firstLineChars="200" w:firstLine="420"/>
              <w:rPr>
                <w:rFonts w:hint="eastAsia"/>
                <w:color w:val="000000" w:themeColor="text1"/>
                <w:sz w:val="21"/>
                <w:szCs w:val="21"/>
              </w:rPr>
            </w:pPr>
            <w:r>
              <w:rPr>
                <w:color w:val="000000" w:themeColor="text1"/>
                <w:sz w:val="21"/>
                <w:szCs w:val="21"/>
              </w:rPr>
              <w:t>2.</w:t>
            </w:r>
            <w:r>
              <w:rPr>
                <w:color w:val="000000" w:themeColor="text1"/>
                <w:sz w:val="21"/>
                <w:szCs w:val="21"/>
              </w:rPr>
              <w:t>终止经营净利润（净亏损以</w:t>
            </w:r>
            <w:r>
              <w:rPr>
                <w:color w:val="000000" w:themeColor="text1"/>
                <w:sz w:val="21"/>
                <w:szCs w:val="21"/>
              </w:rPr>
              <w:t>“</w:t>
            </w:r>
            <w:r>
              <w:rPr>
                <w:color w:val="000000" w:themeColor="text1"/>
                <w:sz w:val="21"/>
                <w:szCs w:val="21"/>
              </w:rPr>
              <w:t>－</w:t>
            </w:r>
            <w:r>
              <w:rPr>
                <w:color w:val="000000" w:themeColor="text1"/>
                <w:sz w:val="21"/>
                <w:szCs w:val="21"/>
              </w:rPr>
              <w:t>”</w:t>
            </w:r>
            <w:r>
              <w:rPr>
                <w:color w:val="000000" w:themeColor="text1"/>
                <w:sz w:val="21"/>
                <w:szCs w:val="21"/>
              </w:rPr>
              <w:t>号填列）</w:t>
            </w:r>
          </w:p>
        </w:tc>
        <w:tc>
          <w:tcPr>
            <w:tcW w:w="421" w:type="pct"/>
            <w:tcBorders>
              <w:top w:val="outset" w:sz="4" w:space="0" w:color="auto"/>
              <w:left w:val="outset" w:sz="4" w:space="0" w:color="auto"/>
              <w:bottom w:val="outset" w:sz="4" w:space="0" w:color="auto"/>
              <w:right w:val="outset" w:sz="4" w:space="0" w:color="auto"/>
            </w:tcBorders>
            <w:vAlign w:val="center"/>
          </w:tcPr>
          <w:p w14:paraId="21D60ACB"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2B68CF03" w14:textId="77777777" w:rsidR="002D0AE7" w:rsidRDefault="002D0AE7">
            <w:pPr>
              <w:jc w:val="right"/>
              <w:rPr>
                <w:rFonts w:hint="eastAsia"/>
                <w:sz w:val="21"/>
                <w:szCs w:val="21"/>
              </w:rPr>
            </w:pPr>
          </w:p>
        </w:tc>
        <w:tc>
          <w:tcPr>
            <w:tcW w:w="862" w:type="pct"/>
            <w:tcBorders>
              <w:top w:val="outset" w:sz="4" w:space="0" w:color="auto"/>
              <w:left w:val="outset" w:sz="4" w:space="0" w:color="auto"/>
              <w:bottom w:val="outset" w:sz="4" w:space="0" w:color="auto"/>
              <w:right w:val="outset" w:sz="4" w:space="0" w:color="auto"/>
            </w:tcBorders>
            <w:vAlign w:val="center"/>
          </w:tcPr>
          <w:p w14:paraId="6EDA6195" w14:textId="77777777" w:rsidR="002D0AE7" w:rsidRDefault="002D0AE7">
            <w:pPr>
              <w:jc w:val="right"/>
              <w:rPr>
                <w:rFonts w:hint="eastAsia"/>
                <w:sz w:val="21"/>
                <w:szCs w:val="21"/>
              </w:rPr>
            </w:pPr>
          </w:p>
        </w:tc>
      </w:tr>
      <w:tr w:rsidR="002D0AE7" w14:paraId="15D5A900" w14:textId="77777777">
        <w:trPr>
          <w:jc w:val="center"/>
        </w:trPr>
        <w:tc>
          <w:tcPr>
            <w:tcW w:w="5000" w:type="pct"/>
            <w:gridSpan w:val="4"/>
            <w:tcBorders>
              <w:top w:val="outset" w:sz="4" w:space="0" w:color="auto"/>
              <w:left w:val="outset" w:sz="4" w:space="0" w:color="auto"/>
              <w:bottom w:val="outset" w:sz="4" w:space="0" w:color="auto"/>
              <w:right w:val="outset" w:sz="4" w:space="0" w:color="auto"/>
            </w:tcBorders>
            <w:vAlign w:val="center"/>
          </w:tcPr>
          <w:p w14:paraId="53022F19" w14:textId="77777777" w:rsidR="002D0AE7" w:rsidRDefault="00333EBB">
            <w:pPr>
              <w:rPr>
                <w:rFonts w:hint="eastAsia"/>
                <w:color w:val="000000" w:themeColor="text1"/>
                <w:sz w:val="21"/>
                <w:szCs w:val="21"/>
              </w:rPr>
            </w:pPr>
            <w:r>
              <w:rPr>
                <w:rFonts w:hint="eastAsia"/>
                <w:color w:val="000000" w:themeColor="text1"/>
                <w:sz w:val="21"/>
                <w:szCs w:val="21"/>
              </w:rPr>
              <w:t>（二）</w:t>
            </w:r>
            <w:r>
              <w:rPr>
                <w:color w:val="000000" w:themeColor="text1"/>
                <w:sz w:val="21"/>
                <w:szCs w:val="21"/>
              </w:rPr>
              <w:t>按所有权归属分类</w:t>
            </w:r>
          </w:p>
        </w:tc>
      </w:tr>
      <w:tr w:rsidR="002D0AE7" w14:paraId="3D413D23"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40C13373" w14:textId="77777777" w:rsidR="002D0AE7" w:rsidRDefault="00333EBB">
            <w:pPr>
              <w:ind w:firstLineChars="200" w:firstLine="420"/>
              <w:rPr>
                <w:rFonts w:hint="eastAsia"/>
                <w:color w:val="000000" w:themeColor="text1"/>
                <w:sz w:val="21"/>
                <w:szCs w:val="21"/>
              </w:rPr>
            </w:pPr>
            <w:r>
              <w:rPr>
                <w:color w:val="000000" w:themeColor="text1"/>
                <w:sz w:val="21"/>
                <w:szCs w:val="21"/>
              </w:rPr>
              <w:t>1.</w:t>
            </w:r>
            <w:r>
              <w:rPr>
                <w:rFonts w:hint="eastAsia"/>
                <w:color w:val="000000" w:themeColor="text1"/>
                <w:sz w:val="21"/>
                <w:szCs w:val="21"/>
              </w:rPr>
              <w:t>归属于母公司股东的净利润（净亏损以“</w:t>
            </w:r>
            <w:r>
              <w:rPr>
                <w:color w:val="000000" w:themeColor="text1"/>
                <w:sz w:val="21"/>
                <w:szCs w:val="21"/>
              </w:rPr>
              <w:t>-”</w:t>
            </w:r>
            <w:r>
              <w:rPr>
                <w:color w:val="000000" w:themeColor="text1"/>
                <w:sz w:val="21"/>
                <w:szCs w:val="21"/>
              </w:rPr>
              <w:t>号填列）</w:t>
            </w:r>
          </w:p>
        </w:tc>
        <w:tc>
          <w:tcPr>
            <w:tcW w:w="421" w:type="pct"/>
            <w:tcBorders>
              <w:top w:val="outset" w:sz="4" w:space="0" w:color="auto"/>
              <w:left w:val="outset" w:sz="4" w:space="0" w:color="auto"/>
              <w:bottom w:val="outset" w:sz="4" w:space="0" w:color="auto"/>
              <w:right w:val="outset" w:sz="4" w:space="0" w:color="auto"/>
            </w:tcBorders>
            <w:vAlign w:val="center"/>
          </w:tcPr>
          <w:p w14:paraId="4EDFA36F"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748DBF4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142,020,246.39</w:t>
            </w:r>
          </w:p>
        </w:tc>
        <w:tc>
          <w:tcPr>
            <w:tcW w:w="862" w:type="pct"/>
            <w:tcBorders>
              <w:top w:val="outset" w:sz="4" w:space="0" w:color="auto"/>
              <w:left w:val="outset" w:sz="4" w:space="0" w:color="auto"/>
              <w:bottom w:val="outset" w:sz="4" w:space="0" w:color="auto"/>
              <w:right w:val="outset" w:sz="4" w:space="0" w:color="auto"/>
            </w:tcBorders>
            <w:vAlign w:val="center"/>
          </w:tcPr>
          <w:p w14:paraId="7CF0CEF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123,405,359.07</w:t>
            </w:r>
          </w:p>
        </w:tc>
      </w:tr>
      <w:tr w:rsidR="002D0AE7" w14:paraId="79661AC2"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0AD34C59" w14:textId="77777777" w:rsidR="002D0AE7" w:rsidRDefault="00333EBB">
            <w:pPr>
              <w:ind w:firstLineChars="200" w:firstLine="420"/>
              <w:rPr>
                <w:rFonts w:hint="eastAsia"/>
                <w:color w:val="000000" w:themeColor="text1"/>
                <w:sz w:val="21"/>
                <w:szCs w:val="21"/>
              </w:rPr>
            </w:pPr>
            <w:r>
              <w:rPr>
                <w:color w:val="000000" w:themeColor="text1"/>
                <w:sz w:val="21"/>
                <w:szCs w:val="21"/>
              </w:rPr>
              <w:t>2.</w:t>
            </w:r>
            <w:r>
              <w:rPr>
                <w:rFonts w:hint="eastAsia"/>
                <w:color w:val="000000" w:themeColor="text1"/>
                <w:sz w:val="21"/>
                <w:szCs w:val="21"/>
              </w:rPr>
              <w:t>少数股东损益（净亏损以“</w:t>
            </w:r>
            <w:r>
              <w:rPr>
                <w:color w:val="000000" w:themeColor="text1"/>
                <w:sz w:val="21"/>
                <w:szCs w:val="21"/>
              </w:rPr>
              <w:t>-”</w:t>
            </w:r>
            <w:r>
              <w:rPr>
                <w:color w:val="000000" w:themeColor="text1"/>
                <w:sz w:val="21"/>
                <w:szCs w:val="21"/>
              </w:rPr>
              <w:t>号填列）</w:t>
            </w:r>
          </w:p>
        </w:tc>
        <w:tc>
          <w:tcPr>
            <w:tcW w:w="421" w:type="pct"/>
            <w:tcBorders>
              <w:top w:val="outset" w:sz="4" w:space="0" w:color="auto"/>
              <w:left w:val="outset" w:sz="4" w:space="0" w:color="auto"/>
              <w:bottom w:val="outset" w:sz="4" w:space="0" w:color="auto"/>
              <w:right w:val="outset" w:sz="4" w:space="0" w:color="auto"/>
            </w:tcBorders>
            <w:vAlign w:val="center"/>
          </w:tcPr>
          <w:p w14:paraId="6724A3A2"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03A66BA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35,382,763.82</w:t>
            </w:r>
          </w:p>
        </w:tc>
        <w:tc>
          <w:tcPr>
            <w:tcW w:w="862" w:type="pct"/>
            <w:tcBorders>
              <w:top w:val="outset" w:sz="4" w:space="0" w:color="auto"/>
              <w:left w:val="outset" w:sz="4" w:space="0" w:color="auto"/>
              <w:bottom w:val="outset" w:sz="4" w:space="0" w:color="auto"/>
              <w:right w:val="outset" w:sz="4" w:space="0" w:color="auto"/>
            </w:tcBorders>
            <w:vAlign w:val="center"/>
          </w:tcPr>
          <w:p w14:paraId="227B909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31,915,918.32</w:t>
            </w:r>
          </w:p>
        </w:tc>
      </w:tr>
      <w:tr w:rsidR="002D0AE7" w14:paraId="32074BE1"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5D1D8FFE" w14:textId="77777777" w:rsidR="002D0AE7" w:rsidRDefault="00333EBB">
            <w:pPr>
              <w:rPr>
                <w:rFonts w:hint="eastAsia"/>
                <w:color w:val="000000" w:themeColor="text1"/>
                <w:sz w:val="21"/>
                <w:szCs w:val="21"/>
              </w:rPr>
            </w:pPr>
            <w:r>
              <w:rPr>
                <w:rFonts w:hint="eastAsia"/>
                <w:color w:val="000000" w:themeColor="text1"/>
                <w:sz w:val="21"/>
                <w:szCs w:val="21"/>
              </w:rPr>
              <w:t>六、其他综合收益的税后净额</w:t>
            </w:r>
          </w:p>
        </w:tc>
        <w:tc>
          <w:tcPr>
            <w:tcW w:w="421" w:type="pct"/>
            <w:tcBorders>
              <w:top w:val="outset" w:sz="4" w:space="0" w:color="auto"/>
              <w:left w:val="outset" w:sz="4" w:space="0" w:color="auto"/>
              <w:bottom w:val="outset" w:sz="4" w:space="0" w:color="auto"/>
              <w:right w:val="outset" w:sz="4" w:space="0" w:color="auto"/>
            </w:tcBorders>
            <w:vAlign w:val="center"/>
          </w:tcPr>
          <w:p w14:paraId="5229E581"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2C5664B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2,704,989.90</w:t>
            </w:r>
          </w:p>
        </w:tc>
        <w:tc>
          <w:tcPr>
            <w:tcW w:w="862" w:type="pct"/>
            <w:tcBorders>
              <w:top w:val="outset" w:sz="4" w:space="0" w:color="auto"/>
              <w:left w:val="outset" w:sz="4" w:space="0" w:color="auto"/>
              <w:bottom w:val="outset" w:sz="4" w:space="0" w:color="auto"/>
              <w:right w:val="outset" w:sz="4" w:space="0" w:color="auto"/>
            </w:tcBorders>
            <w:vAlign w:val="center"/>
          </w:tcPr>
          <w:p w14:paraId="0962E56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6,174,818.59</w:t>
            </w:r>
          </w:p>
        </w:tc>
      </w:tr>
      <w:tr w:rsidR="002D0AE7" w14:paraId="77ABB4E3"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5CF6B7B3"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（一）归属母公司所有者的其他综合收益的税后净额</w:t>
            </w:r>
          </w:p>
        </w:tc>
        <w:tc>
          <w:tcPr>
            <w:tcW w:w="421" w:type="pct"/>
            <w:tcBorders>
              <w:top w:val="outset" w:sz="4" w:space="0" w:color="auto"/>
              <w:left w:val="outset" w:sz="4" w:space="0" w:color="auto"/>
              <w:bottom w:val="outset" w:sz="4" w:space="0" w:color="auto"/>
              <w:right w:val="outset" w:sz="4" w:space="0" w:color="auto"/>
            </w:tcBorders>
            <w:vAlign w:val="center"/>
          </w:tcPr>
          <w:p w14:paraId="7FF23A5F"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0AB6416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2,704,989.90</w:t>
            </w:r>
          </w:p>
        </w:tc>
        <w:tc>
          <w:tcPr>
            <w:tcW w:w="862" w:type="pct"/>
            <w:tcBorders>
              <w:top w:val="outset" w:sz="4" w:space="0" w:color="auto"/>
              <w:left w:val="outset" w:sz="4" w:space="0" w:color="auto"/>
              <w:bottom w:val="outset" w:sz="4" w:space="0" w:color="auto"/>
              <w:right w:val="outset" w:sz="4" w:space="0" w:color="auto"/>
            </w:tcBorders>
            <w:vAlign w:val="center"/>
          </w:tcPr>
          <w:p w14:paraId="0CF6EB4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6,174,818.59</w:t>
            </w:r>
          </w:p>
        </w:tc>
      </w:tr>
      <w:tr w:rsidR="002D0AE7" w14:paraId="752FAF33"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114762FA" w14:textId="77777777" w:rsidR="002D0AE7" w:rsidRDefault="00333EBB">
            <w:pPr>
              <w:ind w:firstLineChars="200" w:firstLine="420"/>
              <w:rPr>
                <w:rFonts w:hint="eastAsia"/>
                <w:color w:val="000000" w:themeColor="text1"/>
                <w:sz w:val="21"/>
                <w:szCs w:val="21"/>
              </w:rPr>
            </w:pPr>
            <w:r>
              <w:rPr>
                <w:color w:val="000000" w:themeColor="text1"/>
                <w:sz w:val="21"/>
                <w:szCs w:val="21"/>
              </w:rPr>
              <w:t>1.</w:t>
            </w:r>
            <w:r>
              <w:rPr>
                <w:rFonts w:hint="eastAsia"/>
                <w:color w:val="000000" w:themeColor="text1"/>
                <w:sz w:val="21"/>
                <w:szCs w:val="21"/>
              </w:rPr>
              <w:t>不能重分类进损益的其他综合收益</w:t>
            </w:r>
          </w:p>
        </w:tc>
        <w:tc>
          <w:tcPr>
            <w:tcW w:w="421" w:type="pct"/>
            <w:tcBorders>
              <w:top w:val="outset" w:sz="4" w:space="0" w:color="auto"/>
              <w:left w:val="outset" w:sz="4" w:space="0" w:color="auto"/>
              <w:bottom w:val="outset" w:sz="4" w:space="0" w:color="auto"/>
              <w:right w:val="outset" w:sz="4" w:space="0" w:color="auto"/>
            </w:tcBorders>
            <w:vAlign w:val="center"/>
          </w:tcPr>
          <w:p w14:paraId="7AACC3B2"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50DC6A5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2,495,483.17</w:t>
            </w:r>
          </w:p>
        </w:tc>
        <w:tc>
          <w:tcPr>
            <w:tcW w:w="862" w:type="pct"/>
            <w:tcBorders>
              <w:top w:val="outset" w:sz="4" w:space="0" w:color="auto"/>
              <w:left w:val="outset" w:sz="4" w:space="0" w:color="auto"/>
              <w:bottom w:val="outset" w:sz="4" w:space="0" w:color="auto"/>
              <w:right w:val="outset" w:sz="4" w:space="0" w:color="auto"/>
            </w:tcBorders>
            <w:vAlign w:val="center"/>
          </w:tcPr>
          <w:p w14:paraId="32E7799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5,067,451.11</w:t>
            </w:r>
          </w:p>
        </w:tc>
      </w:tr>
      <w:tr w:rsidR="002D0AE7" w14:paraId="034CFA5B"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41613D93" w14:textId="77777777" w:rsidR="002D0AE7" w:rsidRDefault="00333EBB">
            <w:pPr>
              <w:rPr>
                <w:rFonts w:hint="eastAsia"/>
                <w:color w:val="000000" w:themeColor="text1"/>
                <w:sz w:val="21"/>
                <w:szCs w:val="21"/>
              </w:rPr>
            </w:pPr>
            <w:r>
              <w:rPr>
                <w:rFonts w:hint="eastAsia"/>
                <w:color w:val="000000" w:themeColor="text1"/>
                <w:sz w:val="21"/>
                <w:szCs w:val="21"/>
              </w:rPr>
              <w:t>（</w:t>
            </w:r>
            <w:r>
              <w:rPr>
                <w:rFonts w:hint="eastAsia"/>
                <w:color w:val="000000" w:themeColor="text1"/>
                <w:sz w:val="21"/>
                <w:szCs w:val="21"/>
              </w:rPr>
              <w:t>1</w:t>
            </w:r>
            <w:r>
              <w:rPr>
                <w:rFonts w:hint="eastAsia"/>
                <w:color w:val="000000" w:themeColor="text1"/>
                <w:sz w:val="21"/>
                <w:szCs w:val="21"/>
              </w:rPr>
              <w:t>）</w:t>
            </w:r>
            <w:r>
              <w:rPr>
                <w:color w:val="000000" w:themeColor="text1"/>
                <w:sz w:val="21"/>
                <w:szCs w:val="21"/>
              </w:rPr>
              <w:t>重新计量设定受益计划变动额</w:t>
            </w:r>
          </w:p>
        </w:tc>
        <w:tc>
          <w:tcPr>
            <w:tcW w:w="421" w:type="pct"/>
            <w:tcBorders>
              <w:top w:val="outset" w:sz="4" w:space="0" w:color="auto"/>
              <w:left w:val="outset" w:sz="4" w:space="0" w:color="auto"/>
              <w:bottom w:val="outset" w:sz="4" w:space="0" w:color="auto"/>
              <w:right w:val="outset" w:sz="4" w:space="0" w:color="auto"/>
            </w:tcBorders>
            <w:vAlign w:val="center"/>
          </w:tcPr>
          <w:p w14:paraId="4A840898"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464A810A" w14:textId="77777777" w:rsidR="002D0AE7" w:rsidRDefault="002D0AE7">
            <w:pPr>
              <w:jc w:val="right"/>
              <w:rPr>
                <w:rFonts w:ascii="Times New Roman" w:hAnsi="Times New Roman" w:cs="Times New Roman"/>
                <w:sz w:val="21"/>
                <w:szCs w:val="21"/>
              </w:rPr>
            </w:pPr>
          </w:p>
        </w:tc>
        <w:tc>
          <w:tcPr>
            <w:tcW w:w="862" w:type="pct"/>
            <w:tcBorders>
              <w:top w:val="outset" w:sz="4" w:space="0" w:color="auto"/>
              <w:left w:val="outset" w:sz="4" w:space="0" w:color="auto"/>
              <w:bottom w:val="outset" w:sz="4" w:space="0" w:color="auto"/>
              <w:right w:val="outset" w:sz="4" w:space="0" w:color="auto"/>
            </w:tcBorders>
            <w:vAlign w:val="center"/>
          </w:tcPr>
          <w:p w14:paraId="334543F6" w14:textId="77777777" w:rsidR="002D0AE7" w:rsidRDefault="002D0AE7">
            <w:pPr>
              <w:jc w:val="right"/>
              <w:rPr>
                <w:rFonts w:ascii="Times New Roman" w:hAnsi="Times New Roman" w:cs="Times New Roman"/>
                <w:sz w:val="21"/>
                <w:szCs w:val="21"/>
              </w:rPr>
            </w:pPr>
          </w:p>
        </w:tc>
      </w:tr>
      <w:tr w:rsidR="002D0AE7" w14:paraId="6BBCC24C"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3B2D1B33" w14:textId="77777777" w:rsidR="002D0AE7" w:rsidRDefault="00333EBB">
            <w:pPr>
              <w:rPr>
                <w:rFonts w:hint="eastAsia"/>
                <w:color w:val="000000" w:themeColor="text1"/>
                <w:sz w:val="21"/>
                <w:szCs w:val="21"/>
              </w:rPr>
            </w:pPr>
            <w:r>
              <w:rPr>
                <w:rFonts w:hint="eastAsia"/>
                <w:color w:val="000000" w:themeColor="text1"/>
                <w:sz w:val="21"/>
                <w:szCs w:val="21"/>
              </w:rPr>
              <w:t>（</w:t>
            </w:r>
            <w:r>
              <w:rPr>
                <w:color w:val="000000" w:themeColor="text1"/>
                <w:sz w:val="21"/>
                <w:szCs w:val="21"/>
              </w:rPr>
              <w:t>2</w:t>
            </w:r>
            <w:r>
              <w:rPr>
                <w:rFonts w:hint="eastAsia"/>
                <w:color w:val="000000" w:themeColor="text1"/>
                <w:sz w:val="21"/>
                <w:szCs w:val="21"/>
              </w:rPr>
              <w:t>）</w:t>
            </w:r>
            <w:r>
              <w:rPr>
                <w:color w:val="000000" w:themeColor="text1"/>
                <w:sz w:val="21"/>
                <w:szCs w:val="21"/>
              </w:rPr>
              <w:t>权益法下不能转损益的其他综合收益</w:t>
            </w:r>
          </w:p>
        </w:tc>
        <w:tc>
          <w:tcPr>
            <w:tcW w:w="421" w:type="pct"/>
            <w:tcBorders>
              <w:top w:val="outset" w:sz="4" w:space="0" w:color="auto"/>
              <w:left w:val="outset" w:sz="4" w:space="0" w:color="auto"/>
              <w:bottom w:val="outset" w:sz="4" w:space="0" w:color="auto"/>
              <w:right w:val="outset" w:sz="4" w:space="0" w:color="auto"/>
            </w:tcBorders>
            <w:vAlign w:val="center"/>
          </w:tcPr>
          <w:p w14:paraId="4C793877"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6177FBE7" w14:textId="77777777" w:rsidR="002D0AE7" w:rsidRDefault="002D0AE7">
            <w:pPr>
              <w:jc w:val="right"/>
              <w:rPr>
                <w:rFonts w:ascii="Times New Roman" w:hAnsi="Times New Roman" w:cs="Times New Roman"/>
                <w:sz w:val="21"/>
                <w:szCs w:val="21"/>
              </w:rPr>
            </w:pPr>
          </w:p>
        </w:tc>
        <w:tc>
          <w:tcPr>
            <w:tcW w:w="862" w:type="pct"/>
            <w:tcBorders>
              <w:top w:val="outset" w:sz="4" w:space="0" w:color="auto"/>
              <w:left w:val="outset" w:sz="4" w:space="0" w:color="auto"/>
              <w:bottom w:val="outset" w:sz="4" w:space="0" w:color="auto"/>
              <w:right w:val="outset" w:sz="4" w:space="0" w:color="auto"/>
            </w:tcBorders>
            <w:vAlign w:val="center"/>
          </w:tcPr>
          <w:p w14:paraId="5307C27B" w14:textId="77777777" w:rsidR="002D0AE7" w:rsidRDefault="002D0AE7">
            <w:pPr>
              <w:jc w:val="right"/>
              <w:rPr>
                <w:rFonts w:ascii="Times New Roman" w:hAnsi="Times New Roman" w:cs="Times New Roman"/>
                <w:sz w:val="21"/>
                <w:szCs w:val="21"/>
              </w:rPr>
            </w:pPr>
          </w:p>
        </w:tc>
      </w:tr>
      <w:tr w:rsidR="002D0AE7" w14:paraId="2123FA9F"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4376C0BD" w14:textId="77777777" w:rsidR="002D0AE7" w:rsidRDefault="00333EBB">
            <w:pPr>
              <w:rPr>
                <w:rFonts w:hint="eastAsia"/>
                <w:color w:val="000000" w:themeColor="text1"/>
                <w:sz w:val="21"/>
                <w:szCs w:val="21"/>
              </w:rPr>
            </w:pPr>
            <w:r>
              <w:rPr>
                <w:rFonts w:hint="eastAsia"/>
                <w:color w:val="000000" w:themeColor="text1"/>
                <w:sz w:val="21"/>
                <w:szCs w:val="21"/>
              </w:rPr>
              <w:t>（</w:t>
            </w:r>
            <w:r>
              <w:rPr>
                <w:rFonts w:hint="eastAsia"/>
                <w:color w:val="000000" w:themeColor="text1"/>
                <w:sz w:val="21"/>
                <w:szCs w:val="21"/>
              </w:rPr>
              <w:t>3</w:t>
            </w:r>
            <w:r>
              <w:rPr>
                <w:rFonts w:hint="eastAsia"/>
                <w:color w:val="000000" w:themeColor="text1"/>
                <w:sz w:val="21"/>
                <w:szCs w:val="21"/>
              </w:rPr>
              <w:t>）</w:t>
            </w:r>
            <w:r>
              <w:rPr>
                <w:color w:val="000000" w:themeColor="text1"/>
                <w:sz w:val="21"/>
                <w:szCs w:val="21"/>
              </w:rPr>
              <w:t>其他权益工具投资公允价值变动</w:t>
            </w:r>
          </w:p>
        </w:tc>
        <w:tc>
          <w:tcPr>
            <w:tcW w:w="421" w:type="pct"/>
            <w:tcBorders>
              <w:top w:val="outset" w:sz="4" w:space="0" w:color="auto"/>
              <w:left w:val="outset" w:sz="4" w:space="0" w:color="auto"/>
              <w:bottom w:val="outset" w:sz="4" w:space="0" w:color="auto"/>
              <w:right w:val="outset" w:sz="4" w:space="0" w:color="auto"/>
            </w:tcBorders>
            <w:vAlign w:val="center"/>
          </w:tcPr>
          <w:p w14:paraId="3DCCF87D"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7B65A77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2,495,483.17</w:t>
            </w:r>
          </w:p>
        </w:tc>
        <w:tc>
          <w:tcPr>
            <w:tcW w:w="862" w:type="pct"/>
            <w:tcBorders>
              <w:top w:val="outset" w:sz="4" w:space="0" w:color="auto"/>
              <w:left w:val="outset" w:sz="4" w:space="0" w:color="auto"/>
              <w:bottom w:val="outset" w:sz="4" w:space="0" w:color="auto"/>
              <w:right w:val="outset" w:sz="4" w:space="0" w:color="auto"/>
            </w:tcBorders>
            <w:vAlign w:val="center"/>
          </w:tcPr>
          <w:p w14:paraId="05D6EBE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5,067,451.11</w:t>
            </w:r>
          </w:p>
        </w:tc>
      </w:tr>
      <w:tr w:rsidR="002D0AE7" w14:paraId="5CB6AD3E"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7C525E1B" w14:textId="77777777" w:rsidR="002D0AE7" w:rsidRDefault="00333EBB">
            <w:pPr>
              <w:rPr>
                <w:rFonts w:hint="eastAsia"/>
                <w:color w:val="000000" w:themeColor="text1"/>
                <w:sz w:val="21"/>
                <w:szCs w:val="21"/>
              </w:rPr>
            </w:pPr>
            <w:r>
              <w:rPr>
                <w:rFonts w:hint="eastAsia"/>
                <w:color w:val="000000" w:themeColor="text1"/>
                <w:sz w:val="21"/>
                <w:szCs w:val="21"/>
              </w:rPr>
              <w:t>（</w:t>
            </w:r>
            <w:r>
              <w:rPr>
                <w:rFonts w:hint="eastAsia"/>
                <w:color w:val="000000" w:themeColor="text1"/>
                <w:sz w:val="21"/>
                <w:szCs w:val="21"/>
              </w:rPr>
              <w:t>4</w:t>
            </w:r>
            <w:r>
              <w:rPr>
                <w:rFonts w:hint="eastAsia"/>
                <w:color w:val="000000" w:themeColor="text1"/>
                <w:sz w:val="21"/>
                <w:szCs w:val="21"/>
              </w:rPr>
              <w:t>）</w:t>
            </w:r>
            <w:r>
              <w:rPr>
                <w:color w:val="000000" w:themeColor="text1"/>
                <w:sz w:val="21"/>
                <w:szCs w:val="21"/>
              </w:rPr>
              <w:t>企业自身信用风险公允价值变动</w:t>
            </w:r>
          </w:p>
        </w:tc>
        <w:tc>
          <w:tcPr>
            <w:tcW w:w="421" w:type="pct"/>
            <w:tcBorders>
              <w:top w:val="outset" w:sz="4" w:space="0" w:color="auto"/>
              <w:left w:val="outset" w:sz="4" w:space="0" w:color="auto"/>
              <w:bottom w:val="outset" w:sz="4" w:space="0" w:color="auto"/>
              <w:right w:val="outset" w:sz="4" w:space="0" w:color="auto"/>
            </w:tcBorders>
            <w:vAlign w:val="center"/>
          </w:tcPr>
          <w:p w14:paraId="7EF1226C"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03C289BE" w14:textId="77777777" w:rsidR="002D0AE7" w:rsidRDefault="002D0AE7">
            <w:pPr>
              <w:jc w:val="right"/>
              <w:rPr>
                <w:rFonts w:ascii="Times New Roman" w:hAnsi="Times New Roman" w:cs="Times New Roman"/>
                <w:sz w:val="21"/>
                <w:szCs w:val="21"/>
              </w:rPr>
            </w:pPr>
          </w:p>
        </w:tc>
        <w:tc>
          <w:tcPr>
            <w:tcW w:w="862" w:type="pct"/>
            <w:tcBorders>
              <w:top w:val="outset" w:sz="4" w:space="0" w:color="auto"/>
              <w:left w:val="outset" w:sz="4" w:space="0" w:color="auto"/>
              <w:bottom w:val="outset" w:sz="4" w:space="0" w:color="auto"/>
              <w:right w:val="outset" w:sz="4" w:space="0" w:color="auto"/>
            </w:tcBorders>
            <w:vAlign w:val="center"/>
          </w:tcPr>
          <w:p w14:paraId="592ADEEA" w14:textId="77777777" w:rsidR="002D0AE7" w:rsidRDefault="002D0AE7">
            <w:pPr>
              <w:jc w:val="right"/>
              <w:rPr>
                <w:rFonts w:ascii="Times New Roman" w:hAnsi="Times New Roman" w:cs="Times New Roman"/>
                <w:sz w:val="21"/>
                <w:szCs w:val="21"/>
              </w:rPr>
            </w:pPr>
          </w:p>
        </w:tc>
      </w:tr>
      <w:tr w:rsidR="002D0AE7" w14:paraId="00A55751"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6721157D" w14:textId="77777777" w:rsidR="002D0AE7" w:rsidRDefault="00333EBB">
            <w:pPr>
              <w:ind w:firstLineChars="200" w:firstLine="420"/>
              <w:rPr>
                <w:rFonts w:hint="eastAsia"/>
                <w:color w:val="000000" w:themeColor="text1"/>
                <w:sz w:val="21"/>
                <w:szCs w:val="21"/>
              </w:rPr>
            </w:pPr>
            <w:r>
              <w:rPr>
                <w:color w:val="000000" w:themeColor="text1"/>
                <w:sz w:val="21"/>
                <w:szCs w:val="21"/>
              </w:rPr>
              <w:t>2.</w:t>
            </w:r>
            <w:r>
              <w:rPr>
                <w:rFonts w:hint="eastAsia"/>
                <w:color w:val="000000" w:themeColor="text1"/>
                <w:sz w:val="21"/>
                <w:szCs w:val="21"/>
              </w:rPr>
              <w:t>将重分类进损益的其他综合收益</w:t>
            </w:r>
          </w:p>
        </w:tc>
        <w:tc>
          <w:tcPr>
            <w:tcW w:w="421" w:type="pct"/>
            <w:tcBorders>
              <w:top w:val="outset" w:sz="4" w:space="0" w:color="auto"/>
              <w:left w:val="outset" w:sz="4" w:space="0" w:color="auto"/>
              <w:bottom w:val="outset" w:sz="4" w:space="0" w:color="auto"/>
              <w:right w:val="outset" w:sz="4" w:space="0" w:color="auto"/>
            </w:tcBorders>
            <w:vAlign w:val="center"/>
          </w:tcPr>
          <w:p w14:paraId="7B4240D0"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37BD54B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209,506.73</w:t>
            </w:r>
          </w:p>
        </w:tc>
        <w:tc>
          <w:tcPr>
            <w:tcW w:w="862" w:type="pct"/>
            <w:tcBorders>
              <w:top w:val="outset" w:sz="4" w:space="0" w:color="auto"/>
              <w:left w:val="outset" w:sz="4" w:space="0" w:color="auto"/>
              <w:bottom w:val="outset" w:sz="4" w:space="0" w:color="auto"/>
              <w:right w:val="outset" w:sz="4" w:space="0" w:color="auto"/>
            </w:tcBorders>
            <w:vAlign w:val="center"/>
          </w:tcPr>
          <w:p w14:paraId="7566B7C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1,107,367.48</w:t>
            </w:r>
          </w:p>
        </w:tc>
      </w:tr>
      <w:tr w:rsidR="002D0AE7" w14:paraId="484B2C55"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62136204" w14:textId="77777777" w:rsidR="002D0AE7" w:rsidRDefault="00333EBB">
            <w:pPr>
              <w:rPr>
                <w:rFonts w:hint="eastAsia"/>
                <w:color w:val="000000" w:themeColor="text1"/>
                <w:sz w:val="21"/>
                <w:szCs w:val="21"/>
              </w:rPr>
            </w:pPr>
            <w:r>
              <w:rPr>
                <w:rFonts w:hint="eastAsia"/>
                <w:color w:val="000000" w:themeColor="text1"/>
                <w:sz w:val="21"/>
                <w:szCs w:val="21"/>
              </w:rPr>
              <w:t>（</w:t>
            </w:r>
            <w:r>
              <w:rPr>
                <w:rFonts w:hint="eastAsia"/>
                <w:color w:val="000000" w:themeColor="text1"/>
                <w:sz w:val="21"/>
                <w:szCs w:val="21"/>
              </w:rPr>
              <w:t>1</w:t>
            </w:r>
            <w:r>
              <w:rPr>
                <w:rFonts w:hint="eastAsia"/>
                <w:color w:val="000000" w:themeColor="text1"/>
                <w:sz w:val="21"/>
                <w:szCs w:val="21"/>
              </w:rPr>
              <w:t>）</w:t>
            </w:r>
            <w:r>
              <w:rPr>
                <w:color w:val="000000" w:themeColor="text1"/>
                <w:sz w:val="21"/>
                <w:szCs w:val="21"/>
              </w:rPr>
              <w:t>权益法下可转损益的其他综合收益</w:t>
            </w:r>
          </w:p>
        </w:tc>
        <w:tc>
          <w:tcPr>
            <w:tcW w:w="421" w:type="pct"/>
            <w:tcBorders>
              <w:top w:val="outset" w:sz="4" w:space="0" w:color="auto"/>
              <w:left w:val="outset" w:sz="4" w:space="0" w:color="auto"/>
              <w:bottom w:val="outset" w:sz="4" w:space="0" w:color="auto"/>
              <w:right w:val="outset" w:sz="4" w:space="0" w:color="auto"/>
            </w:tcBorders>
            <w:vAlign w:val="center"/>
          </w:tcPr>
          <w:p w14:paraId="1CA41803"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5E39E0E3" w14:textId="77777777" w:rsidR="002D0AE7" w:rsidRDefault="002D0AE7">
            <w:pPr>
              <w:jc w:val="right"/>
              <w:rPr>
                <w:rFonts w:ascii="Times New Roman" w:hAnsi="Times New Roman" w:cs="Times New Roman"/>
                <w:sz w:val="21"/>
                <w:szCs w:val="21"/>
              </w:rPr>
            </w:pPr>
          </w:p>
        </w:tc>
        <w:tc>
          <w:tcPr>
            <w:tcW w:w="862" w:type="pct"/>
            <w:tcBorders>
              <w:top w:val="outset" w:sz="4" w:space="0" w:color="auto"/>
              <w:left w:val="outset" w:sz="4" w:space="0" w:color="auto"/>
              <w:bottom w:val="outset" w:sz="4" w:space="0" w:color="auto"/>
              <w:right w:val="outset" w:sz="4" w:space="0" w:color="auto"/>
            </w:tcBorders>
            <w:vAlign w:val="center"/>
          </w:tcPr>
          <w:p w14:paraId="6D754E56" w14:textId="77777777" w:rsidR="002D0AE7" w:rsidRDefault="002D0AE7">
            <w:pPr>
              <w:jc w:val="right"/>
              <w:rPr>
                <w:rFonts w:ascii="Times New Roman" w:hAnsi="Times New Roman" w:cs="Times New Roman"/>
                <w:sz w:val="21"/>
                <w:szCs w:val="21"/>
              </w:rPr>
            </w:pPr>
          </w:p>
        </w:tc>
      </w:tr>
      <w:tr w:rsidR="002D0AE7" w14:paraId="08C41EEC"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06F092B9" w14:textId="77777777" w:rsidR="002D0AE7" w:rsidRDefault="00333EBB">
            <w:pPr>
              <w:rPr>
                <w:rFonts w:hint="eastAsia"/>
                <w:color w:val="000000" w:themeColor="text1"/>
                <w:sz w:val="21"/>
                <w:szCs w:val="21"/>
              </w:rPr>
            </w:pPr>
            <w:r>
              <w:rPr>
                <w:rFonts w:hint="eastAsia"/>
                <w:color w:val="000000" w:themeColor="text1"/>
                <w:sz w:val="21"/>
                <w:szCs w:val="21"/>
              </w:rPr>
              <w:t>（</w:t>
            </w:r>
            <w:r>
              <w:rPr>
                <w:color w:val="000000" w:themeColor="text1"/>
                <w:sz w:val="21"/>
                <w:szCs w:val="21"/>
              </w:rPr>
              <w:t>2</w:t>
            </w:r>
            <w:r>
              <w:rPr>
                <w:rFonts w:hint="eastAsia"/>
                <w:color w:val="000000" w:themeColor="text1"/>
                <w:sz w:val="21"/>
                <w:szCs w:val="21"/>
              </w:rPr>
              <w:t>）</w:t>
            </w:r>
            <w:r>
              <w:rPr>
                <w:color w:val="000000" w:themeColor="text1"/>
                <w:sz w:val="21"/>
                <w:szCs w:val="21"/>
              </w:rPr>
              <w:t>其他债权投资公允价值变动</w:t>
            </w:r>
          </w:p>
        </w:tc>
        <w:tc>
          <w:tcPr>
            <w:tcW w:w="421" w:type="pct"/>
            <w:tcBorders>
              <w:top w:val="outset" w:sz="4" w:space="0" w:color="auto"/>
              <w:left w:val="outset" w:sz="4" w:space="0" w:color="auto"/>
              <w:bottom w:val="outset" w:sz="4" w:space="0" w:color="auto"/>
              <w:right w:val="outset" w:sz="4" w:space="0" w:color="auto"/>
            </w:tcBorders>
            <w:vAlign w:val="center"/>
          </w:tcPr>
          <w:p w14:paraId="56396E84"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74519757" w14:textId="77777777" w:rsidR="002D0AE7" w:rsidRDefault="002D0AE7">
            <w:pPr>
              <w:jc w:val="right"/>
              <w:rPr>
                <w:rFonts w:ascii="Times New Roman" w:hAnsi="Times New Roman" w:cs="Times New Roman"/>
                <w:sz w:val="21"/>
                <w:szCs w:val="21"/>
              </w:rPr>
            </w:pPr>
          </w:p>
        </w:tc>
        <w:tc>
          <w:tcPr>
            <w:tcW w:w="862" w:type="pct"/>
            <w:tcBorders>
              <w:top w:val="outset" w:sz="4" w:space="0" w:color="auto"/>
              <w:left w:val="outset" w:sz="4" w:space="0" w:color="auto"/>
              <w:bottom w:val="outset" w:sz="4" w:space="0" w:color="auto"/>
              <w:right w:val="outset" w:sz="4" w:space="0" w:color="auto"/>
            </w:tcBorders>
            <w:vAlign w:val="center"/>
          </w:tcPr>
          <w:p w14:paraId="7927D931" w14:textId="77777777" w:rsidR="002D0AE7" w:rsidRDefault="002D0AE7">
            <w:pPr>
              <w:jc w:val="right"/>
              <w:rPr>
                <w:rFonts w:ascii="Times New Roman" w:hAnsi="Times New Roman" w:cs="Times New Roman"/>
                <w:sz w:val="21"/>
                <w:szCs w:val="21"/>
              </w:rPr>
            </w:pPr>
          </w:p>
        </w:tc>
      </w:tr>
      <w:tr w:rsidR="002D0AE7" w14:paraId="3F3C0FE4"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66E2E96C" w14:textId="77777777" w:rsidR="002D0AE7" w:rsidRDefault="00333EBB">
            <w:pPr>
              <w:rPr>
                <w:rFonts w:hint="eastAsia"/>
                <w:color w:val="000000" w:themeColor="text1"/>
                <w:sz w:val="21"/>
                <w:szCs w:val="21"/>
              </w:rPr>
            </w:pPr>
            <w:r>
              <w:rPr>
                <w:rFonts w:hint="eastAsia"/>
                <w:color w:val="000000" w:themeColor="text1"/>
                <w:sz w:val="21"/>
                <w:szCs w:val="21"/>
              </w:rPr>
              <w:t>（</w:t>
            </w:r>
            <w:r>
              <w:rPr>
                <w:rFonts w:hint="eastAsia"/>
                <w:color w:val="000000" w:themeColor="text1"/>
                <w:sz w:val="21"/>
                <w:szCs w:val="21"/>
              </w:rPr>
              <w:t>3</w:t>
            </w:r>
            <w:r>
              <w:rPr>
                <w:rFonts w:hint="eastAsia"/>
                <w:color w:val="000000" w:themeColor="text1"/>
                <w:sz w:val="21"/>
                <w:szCs w:val="21"/>
              </w:rPr>
              <w:t>）</w:t>
            </w:r>
            <w:r>
              <w:rPr>
                <w:color w:val="000000" w:themeColor="text1"/>
                <w:sz w:val="21"/>
                <w:szCs w:val="21"/>
              </w:rPr>
              <w:t>金融资产重分类计入其他综合收益的金额</w:t>
            </w:r>
          </w:p>
        </w:tc>
        <w:tc>
          <w:tcPr>
            <w:tcW w:w="421" w:type="pct"/>
            <w:tcBorders>
              <w:top w:val="outset" w:sz="4" w:space="0" w:color="auto"/>
              <w:left w:val="outset" w:sz="4" w:space="0" w:color="auto"/>
              <w:bottom w:val="outset" w:sz="4" w:space="0" w:color="auto"/>
              <w:right w:val="outset" w:sz="4" w:space="0" w:color="auto"/>
            </w:tcBorders>
            <w:vAlign w:val="center"/>
          </w:tcPr>
          <w:p w14:paraId="2A21BC16"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6B396863" w14:textId="77777777" w:rsidR="002D0AE7" w:rsidRDefault="002D0AE7">
            <w:pPr>
              <w:jc w:val="right"/>
              <w:rPr>
                <w:rFonts w:ascii="Times New Roman" w:hAnsi="Times New Roman" w:cs="Times New Roman"/>
                <w:sz w:val="21"/>
                <w:szCs w:val="21"/>
              </w:rPr>
            </w:pPr>
          </w:p>
        </w:tc>
        <w:tc>
          <w:tcPr>
            <w:tcW w:w="862" w:type="pct"/>
            <w:tcBorders>
              <w:top w:val="outset" w:sz="4" w:space="0" w:color="auto"/>
              <w:left w:val="outset" w:sz="4" w:space="0" w:color="auto"/>
              <w:bottom w:val="outset" w:sz="4" w:space="0" w:color="auto"/>
              <w:right w:val="outset" w:sz="4" w:space="0" w:color="auto"/>
            </w:tcBorders>
            <w:vAlign w:val="center"/>
          </w:tcPr>
          <w:p w14:paraId="14669A59" w14:textId="77777777" w:rsidR="002D0AE7" w:rsidRDefault="002D0AE7">
            <w:pPr>
              <w:jc w:val="right"/>
              <w:rPr>
                <w:rFonts w:ascii="Times New Roman" w:hAnsi="Times New Roman" w:cs="Times New Roman"/>
                <w:sz w:val="21"/>
                <w:szCs w:val="21"/>
              </w:rPr>
            </w:pPr>
          </w:p>
        </w:tc>
      </w:tr>
      <w:tr w:rsidR="002D0AE7" w14:paraId="63D68C75"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7E3A6335" w14:textId="77777777" w:rsidR="002D0AE7" w:rsidRDefault="00333EBB">
            <w:pPr>
              <w:rPr>
                <w:rFonts w:hint="eastAsia"/>
                <w:color w:val="000000" w:themeColor="text1"/>
                <w:sz w:val="21"/>
                <w:szCs w:val="21"/>
              </w:rPr>
            </w:pPr>
            <w:r>
              <w:rPr>
                <w:rFonts w:hint="eastAsia"/>
                <w:color w:val="000000" w:themeColor="text1"/>
                <w:sz w:val="21"/>
                <w:szCs w:val="21"/>
              </w:rPr>
              <w:t>（</w:t>
            </w:r>
            <w:r>
              <w:rPr>
                <w:rFonts w:hint="eastAsia"/>
                <w:color w:val="000000" w:themeColor="text1"/>
                <w:sz w:val="21"/>
                <w:szCs w:val="21"/>
              </w:rPr>
              <w:t>4</w:t>
            </w:r>
            <w:r>
              <w:rPr>
                <w:rFonts w:hint="eastAsia"/>
                <w:color w:val="000000" w:themeColor="text1"/>
                <w:sz w:val="21"/>
                <w:szCs w:val="21"/>
              </w:rPr>
              <w:t>）</w:t>
            </w:r>
            <w:r>
              <w:rPr>
                <w:color w:val="000000" w:themeColor="text1"/>
                <w:sz w:val="21"/>
                <w:szCs w:val="21"/>
              </w:rPr>
              <w:t>其他债权投资信用减值准备</w:t>
            </w:r>
          </w:p>
        </w:tc>
        <w:tc>
          <w:tcPr>
            <w:tcW w:w="421" w:type="pct"/>
            <w:tcBorders>
              <w:top w:val="outset" w:sz="4" w:space="0" w:color="auto"/>
              <w:left w:val="outset" w:sz="4" w:space="0" w:color="auto"/>
              <w:bottom w:val="outset" w:sz="4" w:space="0" w:color="auto"/>
              <w:right w:val="outset" w:sz="4" w:space="0" w:color="auto"/>
            </w:tcBorders>
            <w:vAlign w:val="center"/>
          </w:tcPr>
          <w:p w14:paraId="20FCF01A"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2293D510" w14:textId="77777777" w:rsidR="002D0AE7" w:rsidRDefault="002D0AE7">
            <w:pPr>
              <w:jc w:val="right"/>
              <w:rPr>
                <w:rFonts w:ascii="Times New Roman" w:hAnsi="Times New Roman" w:cs="Times New Roman"/>
                <w:sz w:val="21"/>
                <w:szCs w:val="21"/>
              </w:rPr>
            </w:pPr>
          </w:p>
        </w:tc>
        <w:tc>
          <w:tcPr>
            <w:tcW w:w="862" w:type="pct"/>
            <w:tcBorders>
              <w:top w:val="outset" w:sz="4" w:space="0" w:color="auto"/>
              <w:left w:val="outset" w:sz="4" w:space="0" w:color="auto"/>
              <w:bottom w:val="outset" w:sz="4" w:space="0" w:color="auto"/>
              <w:right w:val="outset" w:sz="4" w:space="0" w:color="auto"/>
            </w:tcBorders>
            <w:vAlign w:val="center"/>
          </w:tcPr>
          <w:p w14:paraId="1C618275" w14:textId="77777777" w:rsidR="002D0AE7" w:rsidRDefault="002D0AE7">
            <w:pPr>
              <w:jc w:val="right"/>
              <w:rPr>
                <w:rFonts w:ascii="Times New Roman" w:hAnsi="Times New Roman" w:cs="Times New Roman"/>
                <w:sz w:val="21"/>
                <w:szCs w:val="21"/>
              </w:rPr>
            </w:pPr>
          </w:p>
        </w:tc>
      </w:tr>
      <w:tr w:rsidR="002D0AE7" w14:paraId="0CFBEA50"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38D7490F" w14:textId="77777777" w:rsidR="002D0AE7" w:rsidRDefault="00333EBB">
            <w:pPr>
              <w:rPr>
                <w:rFonts w:hint="eastAsia"/>
                <w:color w:val="000000" w:themeColor="text1"/>
                <w:sz w:val="21"/>
                <w:szCs w:val="21"/>
              </w:rPr>
            </w:pPr>
            <w:r>
              <w:rPr>
                <w:rFonts w:hint="eastAsia"/>
                <w:color w:val="000000" w:themeColor="text1"/>
                <w:sz w:val="21"/>
                <w:szCs w:val="21"/>
              </w:rPr>
              <w:t>（</w:t>
            </w:r>
            <w:r>
              <w:rPr>
                <w:rFonts w:hint="eastAsia"/>
                <w:color w:val="000000" w:themeColor="text1"/>
                <w:sz w:val="21"/>
                <w:szCs w:val="21"/>
              </w:rPr>
              <w:t>5</w:t>
            </w:r>
            <w:r>
              <w:rPr>
                <w:rFonts w:hint="eastAsia"/>
                <w:color w:val="000000" w:themeColor="text1"/>
                <w:sz w:val="21"/>
                <w:szCs w:val="21"/>
              </w:rPr>
              <w:t>）</w:t>
            </w:r>
            <w:r>
              <w:rPr>
                <w:color w:val="000000" w:themeColor="text1"/>
                <w:sz w:val="21"/>
                <w:szCs w:val="21"/>
              </w:rPr>
              <w:t>现金流量套期储备</w:t>
            </w:r>
          </w:p>
        </w:tc>
        <w:tc>
          <w:tcPr>
            <w:tcW w:w="421" w:type="pct"/>
            <w:tcBorders>
              <w:top w:val="outset" w:sz="4" w:space="0" w:color="auto"/>
              <w:left w:val="outset" w:sz="4" w:space="0" w:color="auto"/>
              <w:bottom w:val="outset" w:sz="4" w:space="0" w:color="auto"/>
              <w:right w:val="outset" w:sz="4" w:space="0" w:color="auto"/>
            </w:tcBorders>
            <w:vAlign w:val="center"/>
          </w:tcPr>
          <w:p w14:paraId="361A9526"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34D89E55" w14:textId="77777777" w:rsidR="002D0AE7" w:rsidRDefault="002D0AE7">
            <w:pPr>
              <w:jc w:val="right"/>
              <w:rPr>
                <w:rFonts w:ascii="Times New Roman" w:hAnsi="Times New Roman" w:cs="Times New Roman"/>
                <w:sz w:val="21"/>
                <w:szCs w:val="21"/>
              </w:rPr>
            </w:pPr>
          </w:p>
        </w:tc>
        <w:tc>
          <w:tcPr>
            <w:tcW w:w="862" w:type="pct"/>
            <w:tcBorders>
              <w:top w:val="outset" w:sz="4" w:space="0" w:color="auto"/>
              <w:left w:val="outset" w:sz="4" w:space="0" w:color="auto"/>
              <w:bottom w:val="outset" w:sz="4" w:space="0" w:color="auto"/>
              <w:right w:val="outset" w:sz="4" w:space="0" w:color="auto"/>
            </w:tcBorders>
            <w:vAlign w:val="center"/>
          </w:tcPr>
          <w:p w14:paraId="753F0050" w14:textId="77777777" w:rsidR="002D0AE7" w:rsidRDefault="002D0AE7">
            <w:pPr>
              <w:jc w:val="right"/>
              <w:rPr>
                <w:rFonts w:ascii="Times New Roman" w:hAnsi="Times New Roman" w:cs="Times New Roman"/>
                <w:sz w:val="21"/>
                <w:szCs w:val="21"/>
              </w:rPr>
            </w:pPr>
          </w:p>
        </w:tc>
      </w:tr>
      <w:tr w:rsidR="002D0AE7" w14:paraId="590CEC5D"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3758AC3F" w14:textId="77777777" w:rsidR="002D0AE7" w:rsidRDefault="00333EBB">
            <w:pPr>
              <w:rPr>
                <w:rFonts w:hint="eastAsia"/>
                <w:color w:val="000000" w:themeColor="text1"/>
                <w:sz w:val="21"/>
                <w:szCs w:val="21"/>
              </w:rPr>
            </w:pPr>
            <w:r>
              <w:rPr>
                <w:rFonts w:hint="eastAsia"/>
                <w:color w:val="000000" w:themeColor="text1"/>
                <w:sz w:val="21"/>
                <w:szCs w:val="21"/>
              </w:rPr>
              <w:t>（</w:t>
            </w:r>
            <w:r>
              <w:rPr>
                <w:rFonts w:hint="eastAsia"/>
                <w:color w:val="000000" w:themeColor="text1"/>
                <w:sz w:val="21"/>
                <w:szCs w:val="21"/>
              </w:rPr>
              <w:t>6</w:t>
            </w:r>
            <w:r>
              <w:rPr>
                <w:rFonts w:hint="eastAsia"/>
                <w:color w:val="000000" w:themeColor="text1"/>
                <w:sz w:val="21"/>
                <w:szCs w:val="21"/>
              </w:rPr>
              <w:t>）</w:t>
            </w:r>
            <w:r>
              <w:rPr>
                <w:color w:val="000000" w:themeColor="text1"/>
                <w:sz w:val="21"/>
                <w:szCs w:val="21"/>
              </w:rPr>
              <w:t>外币财务报表折算差额</w:t>
            </w:r>
          </w:p>
        </w:tc>
        <w:tc>
          <w:tcPr>
            <w:tcW w:w="421" w:type="pct"/>
            <w:tcBorders>
              <w:top w:val="outset" w:sz="4" w:space="0" w:color="auto"/>
              <w:left w:val="outset" w:sz="4" w:space="0" w:color="auto"/>
              <w:bottom w:val="outset" w:sz="4" w:space="0" w:color="auto"/>
              <w:right w:val="outset" w:sz="4" w:space="0" w:color="auto"/>
            </w:tcBorders>
            <w:vAlign w:val="center"/>
          </w:tcPr>
          <w:p w14:paraId="5FD4B4AB"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7E23DE6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209,506.73</w:t>
            </w:r>
          </w:p>
        </w:tc>
        <w:tc>
          <w:tcPr>
            <w:tcW w:w="862" w:type="pct"/>
            <w:tcBorders>
              <w:top w:val="outset" w:sz="4" w:space="0" w:color="auto"/>
              <w:left w:val="outset" w:sz="4" w:space="0" w:color="auto"/>
              <w:bottom w:val="outset" w:sz="4" w:space="0" w:color="auto"/>
              <w:right w:val="outset" w:sz="4" w:space="0" w:color="auto"/>
            </w:tcBorders>
            <w:vAlign w:val="center"/>
          </w:tcPr>
          <w:p w14:paraId="4118374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1,107,367.48</w:t>
            </w:r>
          </w:p>
        </w:tc>
      </w:tr>
      <w:tr w:rsidR="002D0AE7" w14:paraId="67BE5A20"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5FD4A29F" w14:textId="77777777" w:rsidR="002D0AE7" w:rsidRDefault="00333EBB">
            <w:pPr>
              <w:rPr>
                <w:rFonts w:hint="eastAsia"/>
                <w:color w:val="000000" w:themeColor="text1"/>
                <w:sz w:val="21"/>
                <w:szCs w:val="21"/>
              </w:rPr>
            </w:pPr>
            <w:r>
              <w:rPr>
                <w:rFonts w:hint="eastAsia"/>
                <w:color w:val="000000" w:themeColor="text1"/>
                <w:sz w:val="21"/>
                <w:szCs w:val="21"/>
              </w:rPr>
              <w:t>（</w:t>
            </w:r>
            <w:r>
              <w:rPr>
                <w:rFonts w:hint="eastAsia"/>
                <w:color w:val="000000" w:themeColor="text1"/>
                <w:sz w:val="21"/>
                <w:szCs w:val="21"/>
              </w:rPr>
              <w:t>7</w:t>
            </w:r>
            <w:r>
              <w:rPr>
                <w:rFonts w:hint="eastAsia"/>
                <w:color w:val="000000" w:themeColor="text1"/>
                <w:sz w:val="21"/>
                <w:szCs w:val="21"/>
              </w:rPr>
              <w:t>）</w:t>
            </w:r>
            <w:r>
              <w:rPr>
                <w:color w:val="000000" w:themeColor="text1"/>
                <w:sz w:val="21"/>
                <w:szCs w:val="21"/>
              </w:rPr>
              <w:t>其他</w:t>
            </w:r>
          </w:p>
        </w:tc>
        <w:tc>
          <w:tcPr>
            <w:tcW w:w="421" w:type="pct"/>
            <w:tcBorders>
              <w:top w:val="outset" w:sz="4" w:space="0" w:color="auto"/>
              <w:left w:val="outset" w:sz="4" w:space="0" w:color="auto"/>
              <w:bottom w:val="outset" w:sz="4" w:space="0" w:color="auto"/>
              <w:right w:val="outset" w:sz="4" w:space="0" w:color="auto"/>
            </w:tcBorders>
            <w:vAlign w:val="center"/>
          </w:tcPr>
          <w:p w14:paraId="7B6F8ABF"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012AAB31" w14:textId="77777777" w:rsidR="002D0AE7" w:rsidRDefault="002D0AE7">
            <w:pPr>
              <w:jc w:val="right"/>
              <w:rPr>
                <w:rFonts w:ascii="Times New Roman" w:hAnsi="Times New Roman" w:cs="Times New Roman"/>
                <w:sz w:val="21"/>
                <w:szCs w:val="21"/>
              </w:rPr>
            </w:pPr>
          </w:p>
        </w:tc>
        <w:tc>
          <w:tcPr>
            <w:tcW w:w="862" w:type="pct"/>
            <w:tcBorders>
              <w:top w:val="outset" w:sz="4" w:space="0" w:color="auto"/>
              <w:left w:val="outset" w:sz="4" w:space="0" w:color="auto"/>
              <w:bottom w:val="outset" w:sz="4" w:space="0" w:color="auto"/>
              <w:right w:val="outset" w:sz="4" w:space="0" w:color="auto"/>
            </w:tcBorders>
            <w:vAlign w:val="center"/>
          </w:tcPr>
          <w:p w14:paraId="5CF61632" w14:textId="77777777" w:rsidR="002D0AE7" w:rsidRDefault="002D0AE7">
            <w:pPr>
              <w:jc w:val="right"/>
              <w:rPr>
                <w:rFonts w:ascii="Times New Roman" w:hAnsi="Times New Roman" w:cs="Times New Roman"/>
                <w:sz w:val="21"/>
                <w:szCs w:val="21"/>
              </w:rPr>
            </w:pPr>
          </w:p>
        </w:tc>
      </w:tr>
      <w:tr w:rsidR="002D0AE7" w14:paraId="6981673D"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0C945A64"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（二）归属于少数股东的其他综合收益的税后净额</w:t>
            </w:r>
          </w:p>
        </w:tc>
        <w:tc>
          <w:tcPr>
            <w:tcW w:w="421" w:type="pct"/>
            <w:tcBorders>
              <w:top w:val="outset" w:sz="4" w:space="0" w:color="auto"/>
              <w:left w:val="outset" w:sz="4" w:space="0" w:color="auto"/>
              <w:bottom w:val="outset" w:sz="4" w:space="0" w:color="auto"/>
              <w:right w:val="outset" w:sz="4" w:space="0" w:color="auto"/>
            </w:tcBorders>
            <w:vAlign w:val="center"/>
          </w:tcPr>
          <w:p w14:paraId="325C5CDC"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1C63360C" w14:textId="77777777" w:rsidR="002D0AE7" w:rsidRDefault="002D0AE7">
            <w:pPr>
              <w:jc w:val="right"/>
              <w:rPr>
                <w:rFonts w:ascii="Times New Roman" w:hAnsi="Times New Roman" w:cs="Times New Roman"/>
                <w:sz w:val="21"/>
                <w:szCs w:val="21"/>
              </w:rPr>
            </w:pPr>
          </w:p>
        </w:tc>
        <w:tc>
          <w:tcPr>
            <w:tcW w:w="862" w:type="pct"/>
            <w:tcBorders>
              <w:top w:val="outset" w:sz="4" w:space="0" w:color="auto"/>
              <w:left w:val="outset" w:sz="4" w:space="0" w:color="auto"/>
              <w:bottom w:val="outset" w:sz="4" w:space="0" w:color="auto"/>
              <w:right w:val="outset" w:sz="4" w:space="0" w:color="auto"/>
            </w:tcBorders>
            <w:vAlign w:val="center"/>
          </w:tcPr>
          <w:p w14:paraId="251D20D6" w14:textId="77777777" w:rsidR="002D0AE7" w:rsidRDefault="002D0AE7">
            <w:pPr>
              <w:jc w:val="right"/>
              <w:rPr>
                <w:rFonts w:ascii="Times New Roman" w:hAnsi="Times New Roman" w:cs="Times New Roman"/>
                <w:sz w:val="21"/>
                <w:szCs w:val="21"/>
              </w:rPr>
            </w:pPr>
          </w:p>
        </w:tc>
      </w:tr>
      <w:tr w:rsidR="002D0AE7" w14:paraId="3757B832"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24628387" w14:textId="77777777" w:rsidR="002D0AE7" w:rsidRDefault="00333EBB">
            <w:pPr>
              <w:rPr>
                <w:rFonts w:hint="eastAsia"/>
                <w:color w:val="000000" w:themeColor="text1"/>
                <w:sz w:val="21"/>
                <w:szCs w:val="21"/>
              </w:rPr>
            </w:pPr>
            <w:r>
              <w:rPr>
                <w:rFonts w:hint="eastAsia"/>
                <w:color w:val="000000" w:themeColor="text1"/>
                <w:sz w:val="21"/>
                <w:szCs w:val="21"/>
              </w:rPr>
              <w:t>七、综合收益总额</w:t>
            </w:r>
          </w:p>
        </w:tc>
        <w:tc>
          <w:tcPr>
            <w:tcW w:w="421" w:type="pct"/>
            <w:tcBorders>
              <w:top w:val="outset" w:sz="4" w:space="0" w:color="auto"/>
              <w:left w:val="outset" w:sz="4" w:space="0" w:color="auto"/>
              <w:bottom w:val="outset" w:sz="4" w:space="0" w:color="auto"/>
              <w:right w:val="outset" w:sz="4" w:space="0" w:color="auto"/>
            </w:tcBorders>
            <w:vAlign w:val="center"/>
          </w:tcPr>
          <w:p w14:paraId="725C88E3"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62FC6B2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180,108,000.11</w:t>
            </w:r>
          </w:p>
        </w:tc>
        <w:tc>
          <w:tcPr>
            <w:tcW w:w="862" w:type="pct"/>
            <w:tcBorders>
              <w:top w:val="outset" w:sz="4" w:space="0" w:color="auto"/>
              <w:left w:val="outset" w:sz="4" w:space="0" w:color="auto"/>
              <w:bottom w:val="outset" w:sz="4" w:space="0" w:color="auto"/>
              <w:right w:val="outset" w:sz="4" w:space="0" w:color="auto"/>
            </w:tcBorders>
            <w:vAlign w:val="center"/>
          </w:tcPr>
          <w:p w14:paraId="08A8307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161,496,095.98</w:t>
            </w:r>
          </w:p>
        </w:tc>
      </w:tr>
      <w:tr w:rsidR="002D0AE7" w14:paraId="348BF9FF"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3B4218C7" w14:textId="77777777" w:rsidR="002D0AE7" w:rsidRDefault="00333EBB">
            <w:pPr>
              <w:ind w:firstLineChars="100" w:firstLine="210"/>
              <w:rPr>
                <w:rFonts w:hint="eastAsia"/>
                <w:color w:val="000000" w:themeColor="text1"/>
                <w:sz w:val="21"/>
                <w:szCs w:val="21"/>
              </w:rPr>
            </w:pPr>
            <w:r>
              <w:rPr>
                <w:color w:val="000000" w:themeColor="text1"/>
                <w:sz w:val="21"/>
                <w:szCs w:val="21"/>
              </w:rPr>
              <w:t>（一）</w:t>
            </w:r>
            <w:r>
              <w:rPr>
                <w:rFonts w:hint="eastAsia"/>
                <w:color w:val="000000" w:themeColor="text1"/>
                <w:sz w:val="21"/>
                <w:szCs w:val="21"/>
              </w:rPr>
              <w:t>归属于母公司所有者的综合收益总额</w:t>
            </w:r>
          </w:p>
        </w:tc>
        <w:tc>
          <w:tcPr>
            <w:tcW w:w="421" w:type="pct"/>
            <w:tcBorders>
              <w:top w:val="outset" w:sz="4" w:space="0" w:color="auto"/>
              <w:left w:val="outset" w:sz="4" w:space="0" w:color="auto"/>
              <w:bottom w:val="outset" w:sz="4" w:space="0" w:color="auto"/>
              <w:right w:val="outset" w:sz="4" w:space="0" w:color="auto"/>
            </w:tcBorders>
            <w:vAlign w:val="center"/>
          </w:tcPr>
          <w:p w14:paraId="71BD5020"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06B7C08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144,725,236.29</w:t>
            </w:r>
          </w:p>
        </w:tc>
        <w:tc>
          <w:tcPr>
            <w:tcW w:w="862" w:type="pct"/>
            <w:tcBorders>
              <w:top w:val="outset" w:sz="4" w:space="0" w:color="auto"/>
              <w:left w:val="outset" w:sz="4" w:space="0" w:color="auto"/>
              <w:bottom w:val="outset" w:sz="4" w:space="0" w:color="auto"/>
              <w:right w:val="outset" w:sz="4" w:space="0" w:color="auto"/>
            </w:tcBorders>
            <w:vAlign w:val="center"/>
          </w:tcPr>
          <w:p w14:paraId="5262D4D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129,580,177.66</w:t>
            </w:r>
          </w:p>
        </w:tc>
      </w:tr>
      <w:tr w:rsidR="002D0AE7" w14:paraId="42A961E3"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790286D2" w14:textId="77777777" w:rsidR="002D0AE7" w:rsidRDefault="00333EBB">
            <w:pPr>
              <w:ind w:firstLineChars="100" w:firstLine="210"/>
              <w:rPr>
                <w:rFonts w:hint="eastAsia"/>
                <w:color w:val="000000" w:themeColor="text1"/>
                <w:sz w:val="21"/>
                <w:szCs w:val="21"/>
              </w:rPr>
            </w:pPr>
            <w:r>
              <w:rPr>
                <w:color w:val="000000" w:themeColor="text1"/>
                <w:sz w:val="21"/>
                <w:szCs w:val="21"/>
              </w:rPr>
              <w:t>（二）</w:t>
            </w:r>
            <w:r>
              <w:rPr>
                <w:rFonts w:hint="eastAsia"/>
                <w:color w:val="000000" w:themeColor="text1"/>
                <w:sz w:val="21"/>
                <w:szCs w:val="21"/>
              </w:rPr>
              <w:t>归属于少数股东的综合收益总额</w:t>
            </w:r>
          </w:p>
        </w:tc>
        <w:tc>
          <w:tcPr>
            <w:tcW w:w="421" w:type="pct"/>
            <w:tcBorders>
              <w:top w:val="outset" w:sz="4" w:space="0" w:color="auto"/>
              <w:left w:val="outset" w:sz="4" w:space="0" w:color="auto"/>
              <w:bottom w:val="outset" w:sz="4" w:space="0" w:color="auto"/>
              <w:right w:val="outset" w:sz="4" w:space="0" w:color="auto"/>
            </w:tcBorders>
            <w:vAlign w:val="center"/>
          </w:tcPr>
          <w:p w14:paraId="70FB28A9"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6E53DDB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35,382,763.82</w:t>
            </w:r>
          </w:p>
        </w:tc>
        <w:tc>
          <w:tcPr>
            <w:tcW w:w="862" w:type="pct"/>
            <w:tcBorders>
              <w:top w:val="outset" w:sz="4" w:space="0" w:color="auto"/>
              <w:left w:val="outset" w:sz="4" w:space="0" w:color="auto"/>
              <w:bottom w:val="outset" w:sz="4" w:space="0" w:color="auto"/>
              <w:right w:val="outset" w:sz="4" w:space="0" w:color="auto"/>
            </w:tcBorders>
            <w:vAlign w:val="center"/>
          </w:tcPr>
          <w:p w14:paraId="226CCAB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31,915,918.32</w:t>
            </w:r>
          </w:p>
        </w:tc>
      </w:tr>
      <w:tr w:rsidR="002D0AE7" w14:paraId="32EF6E09" w14:textId="77777777">
        <w:trPr>
          <w:jc w:val="center"/>
        </w:trPr>
        <w:tc>
          <w:tcPr>
            <w:tcW w:w="5000" w:type="pct"/>
            <w:gridSpan w:val="4"/>
            <w:tcBorders>
              <w:top w:val="outset" w:sz="4" w:space="0" w:color="auto"/>
              <w:left w:val="outset" w:sz="4" w:space="0" w:color="auto"/>
              <w:bottom w:val="outset" w:sz="4" w:space="0" w:color="auto"/>
              <w:right w:val="outset" w:sz="4" w:space="0" w:color="auto"/>
            </w:tcBorders>
            <w:vAlign w:val="center"/>
          </w:tcPr>
          <w:p w14:paraId="771D1D06" w14:textId="77777777" w:rsidR="002D0AE7" w:rsidRDefault="00333EBB">
            <w:pPr>
              <w:rPr>
                <w:rFonts w:hint="eastAsia"/>
                <w:color w:val="000000" w:themeColor="text1"/>
                <w:sz w:val="21"/>
                <w:szCs w:val="21"/>
              </w:rPr>
            </w:pPr>
            <w:r>
              <w:rPr>
                <w:rFonts w:hint="eastAsia"/>
                <w:color w:val="000000" w:themeColor="text1"/>
                <w:sz w:val="21"/>
                <w:szCs w:val="21"/>
              </w:rPr>
              <w:t>八、每股收益：</w:t>
            </w:r>
          </w:p>
        </w:tc>
      </w:tr>
      <w:tr w:rsidR="002D0AE7" w14:paraId="60DE2DEF"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265D16AE" w14:textId="77777777" w:rsidR="002D0AE7" w:rsidRDefault="00333EBB">
            <w:pPr>
              <w:ind w:firstLineChars="100" w:firstLine="210"/>
              <w:rPr>
                <w:rFonts w:hint="eastAsia"/>
                <w:color w:val="000000" w:themeColor="text1"/>
                <w:sz w:val="21"/>
                <w:szCs w:val="21"/>
              </w:rPr>
            </w:pPr>
            <w:r>
              <w:rPr>
                <w:color w:val="000000" w:themeColor="text1"/>
                <w:sz w:val="21"/>
                <w:szCs w:val="21"/>
              </w:rPr>
              <w:t>（一）基本每股收益</w:t>
            </w:r>
            <w:r>
              <w:rPr>
                <w:rFonts w:hint="eastAsia"/>
                <w:color w:val="000000" w:themeColor="text1"/>
                <w:sz w:val="21"/>
                <w:szCs w:val="21"/>
              </w:rPr>
              <w:t>(</w:t>
            </w:r>
            <w:r>
              <w:rPr>
                <w:rFonts w:hint="eastAsia"/>
                <w:color w:val="000000" w:themeColor="text1"/>
                <w:sz w:val="21"/>
                <w:szCs w:val="21"/>
              </w:rPr>
              <w:t>元</w:t>
            </w:r>
            <w:r>
              <w:rPr>
                <w:rFonts w:hint="eastAsia"/>
                <w:color w:val="000000" w:themeColor="text1"/>
                <w:sz w:val="21"/>
                <w:szCs w:val="21"/>
              </w:rPr>
              <w:t>/</w:t>
            </w:r>
            <w:r>
              <w:rPr>
                <w:rFonts w:hint="eastAsia"/>
                <w:color w:val="000000" w:themeColor="text1"/>
                <w:sz w:val="21"/>
                <w:szCs w:val="21"/>
              </w:rPr>
              <w:t>股</w:t>
            </w:r>
            <w:r>
              <w:rPr>
                <w:rFonts w:hint="eastAsia"/>
                <w:color w:val="000000" w:themeColor="text1"/>
                <w:sz w:val="21"/>
                <w:szCs w:val="21"/>
              </w:rPr>
              <w:t>)</w:t>
            </w:r>
          </w:p>
        </w:tc>
        <w:tc>
          <w:tcPr>
            <w:tcW w:w="421" w:type="pct"/>
            <w:tcBorders>
              <w:top w:val="outset" w:sz="4" w:space="0" w:color="auto"/>
              <w:left w:val="outset" w:sz="4" w:space="0" w:color="auto"/>
              <w:bottom w:val="outset" w:sz="4" w:space="0" w:color="auto"/>
              <w:right w:val="outset" w:sz="4" w:space="0" w:color="auto"/>
            </w:tcBorders>
            <w:vAlign w:val="center"/>
          </w:tcPr>
          <w:p w14:paraId="5C3BC8A8"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7C8DBEC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0.130</w:t>
            </w:r>
          </w:p>
        </w:tc>
        <w:tc>
          <w:tcPr>
            <w:tcW w:w="862" w:type="pct"/>
            <w:tcBorders>
              <w:top w:val="outset" w:sz="4" w:space="0" w:color="auto"/>
              <w:left w:val="outset" w:sz="4" w:space="0" w:color="auto"/>
              <w:bottom w:val="outset" w:sz="4" w:space="0" w:color="auto"/>
              <w:right w:val="outset" w:sz="4" w:space="0" w:color="auto"/>
            </w:tcBorders>
            <w:vAlign w:val="center"/>
          </w:tcPr>
          <w:p w14:paraId="64DBD74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0.113</w:t>
            </w:r>
          </w:p>
        </w:tc>
      </w:tr>
      <w:tr w:rsidR="002D0AE7" w14:paraId="2ACE1036" w14:textId="77777777">
        <w:trPr>
          <w:jc w:val="center"/>
        </w:trPr>
        <w:tc>
          <w:tcPr>
            <w:tcW w:w="2876" w:type="pct"/>
            <w:tcBorders>
              <w:top w:val="outset" w:sz="4" w:space="0" w:color="auto"/>
              <w:left w:val="outset" w:sz="4" w:space="0" w:color="auto"/>
              <w:bottom w:val="outset" w:sz="4" w:space="0" w:color="auto"/>
              <w:right w:val="outset" w:sz="4" w:space="0" w:color="auto"/>
            </w:tcBorders>
            <w:vAlign w:val="center"/>
          </w:tcPr>
          <w:p w14:paraId="469508AF" w14:textId="77777777" w:rsidR="002D0AE7" w:rsidRDefault="00333EBB">
            <w:pPr>
              <w:ind w:firstLineChars="100" w:firstLine="210"/>
              <w:rPr>
                <w:rFonts w:hint="eastAsia"/>
                <w:color w:val="000000" w:themeColor="text1"/>
                <w:sz w:val="21"/>
                <w:szCs w:val="21"/>
              </w:rPr>
            </w:pPr>
            <w:r>
              <w:rPr>
                <w:color w:val="000000" w:themeColor="text1"/>
                <w:sz w:val="21"/>
                <w:szCs w:val="21"/>
              </w:rPr>
              <w:t>（二）稀释每股收益</w:t>
            </w:r>
            <w:r>
              <w:rPr>
                <w:rFonts w:hint="eastAsia"/>
                <w:color w:val="000000" w:themeColor="text1"/>
                <w:sz w:val="21"/>
                <w:szCs w:val="21"/>
              </w:rPr>
              <w:t>(</w:t>
            </w:r>
            <w:r>
              <w:rPr>
                <w:rFonts w:hint="eastAsia"/>
                <w:color w:val="000000" w:themeColor="text1"/>
                <w:sz w:val="21"/>
                <w:szCs w:val="21"/>
              </w:rPr>
              <w:t>元</w:t>
            </w:r>
            <w:r>
              <w:rPr>
                <w:rFonts w:hint="eastAsia"/>
                <w:color w:val="000000" w:themeColor="text1"/>
                <w:sz w:val="21"/>
                <w:szCs w:val="21"/>
              </w:rPr>
              <w:t>/</w:t>
            </w:r>
            <w:r>
              <w:rPr>
                <w:rFonts w:hint="eastAsia"/>
                <w:color w:val="000000" w:themeColor="text1"/>
                <w:sz w:val="21"/>
                <w:szCs w:val="21"/>
              </w:rPr>
              <w:t>股</w:t>
            </w:r>
            <w:r>
              <w:rPr>
                <w:rFonts w:hint="eastAsia"/>
                <w:color w:val="000000" w:themeColor="text1"/>
                <w:sz w:val="21"/>
                <w:szCs w:val="21"/>
              </w:rPr>
              <w:t>)</w:t>
            </w:r>
          </w:p>
        </w:tc>
        <w:tc>
          <w:tcPr>
            <w:tcW w:w="421" w:type="pct"/>
            <w:tcBorders>
              <w:top w:val="outset" w:sz="4" w:space="0" w:color="auto"/>
              <w:left w:val="outset" w:sz="4" w:space="0" w:color="auto"/>
              <w:bottom w:val="outset" w:sz="4" w:space="0" w:color="auto"/>
              <w:right w:val="outset" w:sz="4" w:space="0" w:color="auto"/>
            </w:tcBorders>
            <w:vAlign w:val="center"/>
          </w:tcPr>
          <w:p w14:paraId="5E7AF9C3" w14:textId="77777777" w:rsidR="002D0AE7" w:rsidRDefault="002D0AE7">
            <w:pPr>
              <w:rPr>
                <w:rFonts w:hint="eastAsia"/>
                <w:sz w:val="21"/>
                <w:szCs w:val="21"/>
              </w:rPr>
            </w:pPr>
          </w:p>
        </w:tc>
        <w:tc>
          <w:tcPr>
            <w:tcW w:w="841" w:type="pct"/>
            <w:tcBorders>
              <w:top w:val="outset" w:sz="4" w:space="0" w:color="auto"/>
              <w:left w:val="outset" w:sz="4" w:space="0" w:color="auto"/>
              <w:bottom w:val="outset" w:sz="4" w:space="0" w:color="auto"/>
              <w:right w:val="outset" w:sz="4" w:space="0" w:color="auto"/>
            </w:tcBorders>
            <w:vAlign w:val="center"/>
          </w:tcPr>
          <w:p w14:paraId="2ECCA60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0.130</w:t>
            </w:r>
          </w:p>
        </w:tc>
        <w:tc>
          <w:tcPr>
            <w:tcW w:w="862" w:type="pct"/>
            <w:tcBorders>
              <w:top w:val="outset" w:sz="4" w:space="0" w:color="auto"/>
              <w:left w:val="outset" w:sz="4" w:space="0" w:color="auto"/>
              <w:bottom w:val="outset" w:sz="4" w:space="0" w:color="auto"/>
              <w:right w:val="outset" w:sz="4" w:space="0" w:color="auto"/>
            </w:tcBorders>
            <w:vAlign w:val="center"/>
          </w:tcPr>
          <w:p w14:paraId="7C0A1B8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0.113</w:t>
            </w:r>
          </w:p>
        </w:tc>
      </w:tr>
    </w:tbl>
    <w:bookmarkEnd w:id="116"/>
    <w:p w14:paraId="3E50B445" w14:textId="77777777" w:rsidR="002D0AE7" w:rsidRDefault="00333EBB">
      <w:pPr>
        <w:rPr>
          <w:rFonts w:hint="eastAsia"/>
          <w:b/>
          <w:bCs/>
          <w:color w:val="000000" w:themeColor="text1"/>
        </w:rPr>
      </w:pPr>
      <w:r>
        <w:rPr>
          <w:rFonts w:hint="eastAsia"/>
          <w:color w:val="000000" w:themeColor="text1"/>
        </w:rPr>
        <w:t>本期发生同一控制下企业合并的，被合并方在合并前实现的净利润为：</w:t>
      </w:r>
      <w:sdt>
        <w:sdtPr>
          <w:rPr>
            <w:rFonts w:hint="eastAsia"/>
            <w:color w:val="000000" w:themeColor="text1"/>
          </w:rPr>
          <w:alias w:val="同一控制下的企业合并中被合并方在合并前实现的净利润"/>
          <w:tag w:val="_GBC_0d3f3004d896427080339d4b0e2d499c"/>
          <w:id w:val="1938951620"/>
          <w:placeholder>
            <w:docPart w:val="GBC22222222222222222222222222222"/>
          </w:placeholder>
        </w:sdtPr>
        <w:sdtEndPr/>
        <w:sdtContent>
          <w:r>
            <w:rPr>
              <w:rFonts w:hint="eastAsia"/>
              <w:color w:val="000000" w:themeColor="text1"/>
            </w:rPr>
            <w:t>0.00</w:t>
          </w:r>
        </w:sdtContent>
      </w:sdt>
      <w:r>
        <w:rPr>
          <w:rFonts w:hint="eastAsia"/>
          <w:color w:val="000000" w:themeColor="text1"/>
        </w:rPr>
        <w:t>元</w:t>
      </w:r>
      <w:r>
        <w:rPr>
          <w:rFonts w:hint="eastAsia"/>
          <w:color w:val="000000" w:themeColor="text1"/>
        </w:rPr>
        <w:t>,</w:t>
      </w:r>
      <w:r>
        <w:rPr>
          <w:rFonts w:hint="eastAsia"/>
          <w:color w:val="000000" w:themeColor="text1"/>
        </w:rPr>
        <w:t>上期被合并方实现的净利润为：</w:t>
      </w:r>
      <w:sdt>
        <w:sdtPr>
          <w:rPr>
            <w:rFonts w:hint="eastAsia"/>
            <w:color w:val="000000" w:themeColor="text1"/>
          </w:rPr>
          <w:alias w:val="同一控制下的企业合并中被合并方在合并前实现的净利润"/>
          <w:tag w:val="_GBC_7e8cf02e71b9434883c60dcb8fb33270"/>
          <w:id w:val="1421064048"/>
          <w:placeholder>
            <w:docPart w:val="GBC22222222222222222222222222222"/>
          </w:placeholder>
        </w:sdtPr>
        <w:sdtEndPr>
          <w:rPr>
            <w:rFonts w:hint="default"/>
          </w:rPr>
        </w:sdtEndPr>
        <w:sdtContent>
          <w:r>
            <w:rPr>
              <w:rFonts w:hint="eastAsia"/>
              <w:color w:val="000000" w:themeColor="text1"/>
            </w:rPr>
            <w:t>0.00</w:t>
          </w:r>
        </w:sdtContent>
      </w:sdt>
      <w:r>
        <w:rPr>
          <w:rFonts w:hint="eastAsia"/>
          <w:color w:val="000000" w:themeColor="text1"/>
        </w:rPr>
        <w:t>元。</w:t>
      </w:r>
    </w:p>
    <w:p w14:paraId="39208DF0" w14:textId="77777777" w:rsidR="002D0AE7" w:rsidRDefault="00333EBB">
      <w:pPr>
        <w:rPr>
          <w:rFonts w:hint="eastAsia"/>
          <w:color w:val="000000" w:themeColor="text1"/>
          <w:u w:val="single"/>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84d2ead02dbe49699dff5184a9cd1bd3"/>
          <w:id w:val="-1210565433"/>
          <w:placeholder>
            <w:docPart w:val="GBC22222222222222222222222222222"/>
          </w:placeholder>
          <w:dataBinding w:prefixMappings="xmlns:clcid-mr='clcid-mr'" w:xpath="/*/clcid-mr:GongSiFuZeRenXingMing[not(@periodRef)]" w:storeItemID="{89EBAB94-44A0-46A2-B712-30D997D04A6D}"/>
          <w:text/>
        </w:sdtPr>
        <w:sdtEndPr/>
        <w:sdtContent>
          <w:r>
            <w:rPr>
              <w:rFonts w:hint="eastAsia"/>
              <w:color w:val="000000" w:themeColor="text1"/>
            </w:rPr>
            <w:t>李书箱</w:t>
          </w:r>
        </w:sdtContent>
      </w:sdt>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e958f3d59232458da90c4799548d15ea"/>
          <w:id w:val="-551235589"/>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color w:val="000000" w:themeColor="text1"/>
            </w:rPr>
            <w:t>朱立延</w:t>
          </w:r>
        </w:sdtContent>
      </w:sdt>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83eea96809554a8b86e8c53c6e3da040"/>
          <w:id w:val="1084887507"/>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color w:val="000000" w:themeColor="text1"/>
            </w:rPr>
            <w:t>王于飞</w:t>
          </w:r>
        </w:sdtContent>
      </w:sdt>
    </w:p>
    <w:p w14:paraId="30F205FB" w14:textId="77777777" w:rsidR="002D0AE7" w:rsidRDefault="002D0AE7">
      <w:pPr>
        <w:rPr>
          <w:rFonts w:hint="eastAsia"/>
          <w:color w:val="000000" w:themeColor="text1"/>
          <w:u w:val="single"/>
        </w:rPr>
      </w:pPr>
    </w:p>
    <w:p w14:paraId="4FDC4733" w14:textId="77777777" w:rsidR="002D0AE7" w:rsidRDefault="00333EBB">
      <w:pPr>
        <w:pStyle w:val="3"/>
        <w:jc w:val="center"/>
        <w:rPr>
          <w:rFonts w:ascii="宋体" w:hAnsi="宋体" w:hint="eastAsia"/>
          <w:color w:val="000000" w:themeColor="text1"/>
        </w:rPr>
      </w:pPr>
      <w:r>
        <w:rPr>
          <w:rFonts w:ascii="宋体" w:hAnsi="宋体" w:hint="eastAsia"/>
          <w:color w:val="000000" w:themeColor="text1"/>
        </w:rPr>
        <w:lastRenderedPageBreak/>
        <w:t>母公司</w:t>
      </w:r>
      <w:r>
        <w:rPr>
          <w:rFonts w:ascii="宋体" w:hAnsi="宋体"/>
          <w:color w:val="000000" w:themeColor="text1"/>
        </w:rPr>
        <w:t>利润表</w:t>
      </w:r>
    </w:p>
    <w:p w14:paraId="50A44146" w14:textId="77777777" w:rsidR="002D0AE7" w:rsidRDefault="00333EBB">
      <w:pPr>
        <w:jc w:val="center"/>
        <w:rPr>
          <w:rFonts w:hint="eastAsia"/>
          <w:b/>
          <w:bCs/>
          <w:color w:val="000000" w:themeColor="text1"/>
        </w:rPr>
      </w:pPr>
      <w:r>
        <w:rPr>
          <w:color w:val="000000" w:themeColor="text1"/>
        </w:rPr>
        <w:t>2024</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4868FACA" w14:textId="77777777" w:rsidR="002D0AE7" w:rsidRDefault="00333EBB">
      <w:pPr>
        <w:snapToGrid w:val="0"/>
        <w:spacing w:line="240" w:lineRule="atLeast"/>
        <w:jc w:val="right"/>
        <w:rPr>
          <w:rFonts w:hint="eastAsia"/>
          <w:b/>
          <w:bCs/>
          <w:color w:val="000000" w:themeColor="text1"/>
        </w:rPr>
      </w:pPr>
      <w:r>
        <w:rPr>
          <w:color w:val="000000" w:themeColor="text1"/>
        </w:rPr>
        <w:t>单位：</w:t>
      </w:r>
      <w:sdt>
        <w:sdtPr>
          <w:rPr>
            <w:color w:val="000000" w:themeColor="text1"/>
          </w:rPr>
          <w:alias w:val="单位：母公司利润表"/>
          <w:tag w:val="_GBC_955732cd74ff4f1f9b098e70c1b85c60"/>
          <w:id w:val="47835550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color w:val="000000" w:themeColor="text1"/>
        </w:rPr>
        <w:t>币种：</w:t>
      </w:r>
      <w:sdt>
        <w:sdtPr>
          <w:rPr>
            <w:color w:val="000000" w:themeColor="text1"/>
          </w:rPr>
          <w:alias w:val="币种：母公司利润表"/>
          <w:tag w:val="_GBC_125a2547934143ccb384434361f57d37"/>
          <w:id w:val="-156224810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566"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88"/>
        <w:gridCol w:w="992"/>
        <w:gridCol w:w="1845"/>
        <w:gridCol w:w="1597"/>
      </w:tblGrid>
      <w:tr w:rsidR="002D0AE7" w14:paraId="208F81E5"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sdt>
            <w:sdtPr>
              <w:rPr>
                <w:rFonts w:hint="eastAsia"/>
                <w:b/>
                <w:color w:val="000000" w:themeColor="text1"/>
                <w:sz w:val="21"/>
                <w:szCs w:val="21"/>
              </w:rPr>
              <w:tag w:val="_PLD_2746da9ce382479bbcc34de94cc91419"/>
              <w:id w:val="-853499285"/>
            </w:sdtPr>
            <w:sdtEndPr/>
            <w:sdtContent>
              <w:p w14:paraId="7E69E17C" w14:textId="77777777" w:rsidR="002D0AE7" w:rsidRDefault="00333EBB">
                <w:pPr>
                  <w:ind w:leftChars="-19" w:left="-6" w:hangingChars="19" w:hanging="40"/>
                  <w:jc w:val="center"/>
                  <w:rPr>
                    <w:rFonts w:hint="eastAsia"/>
                    <w:b/>
                    <w:color w:val="000000" w:themeColor="text1"/>
                    <w:sz w:val="21"/>
                    <w:szCs w:val="21"/>
                  </w:rPr>
                </w:pPr>
                <w:r>
                  <w:rPr>
                    <w:rFonts w:hint="eastAsia"/>
                    <w:b/>
                    <w:color w:val="000000" w:themeColor="text1"/>
                    <w:sz w:val="21"/>
                    <w:szCs w:val="21"/>
                  </w:rPr>
                  <w:t>项目</w:t>
                </w:r>
              </w:p>
            </w:sdtContent>
          </w:sdt>
        </w:tc>
        <w:tc>
          <w:tcPr>
            <w:tcW w:w="505" w:type="pct"/>
            <w:tcBorders>
              <w:top w:val="outset" w:sz="4" w:space="0" w:color="auto"/>
              <w:left w:val="outset" w:sz="4" w:space="0" w:color="auto"/>
              <w:bottom w:val="outset" w:sz="4" w:space="0" w:color="auto"/>
              <w:right w:val="outset" w:sz="4" w:space="0" w:color="auto"/>
            </w:tcBorders>
            <w:vAlign w:val="center"/>
          </w:tcPr>
          <w:sdt>
            <w:sdtPr>
              <w:rPr>
                <w:rFonts w:hint="eastAsia"/>
                <w:b/>
                <w:color w:val="000000" w:themeColor="text1"/>
                <w:sz w:val="21"/>
                <w:szCs w:val="21"/>
              </w:rPr>
              <w:tag w:val="_PLD_353d1b95815e4cb9bce619c23384aae7"/>
              <w:id w:val="1322692515"/>
            </w:sdtPr>
            <w:sdtEndPr/>
            <w:sdtContent>
              <w:p w14:paraId="3EFC448A" w14:textId="77777777" w:rsidR="002D0AE7" w:rsidRDefault="00333EBB">
                <w:pPr>
                  <w:jc w:val="center"/>
                  <w:rPr>
                    <w:rFonts w:hint="eastAsia"/>
                    <w:b/>
                    <w:color w:val="000000" w:themeColor="text1"/>
                    <w:sz w:val="21"/>
                    <w:szCs w:val="21"/>
                  </w:rPr>
                </w:pPr>
                <w:r>
                  <w:rPr>
                    <w:rFonts w:hint="eastAsia"/>
                    <w:b/>
                    <w:color w:val="000000" w:themeColor="text1"/>
                    <w:sz w:val="21"/>
                    <w:szCs w:val="21"/>
                  </w:rPr>
                  <w:t>附注</w:t>
                </w:r>
              </w:p>
            </w:sdtContent>
          </w:sdt>
        </w:tc>
        <w:tc>
          <w:tcPr>
            <w:tcW w:w="939" w:type="pct"/>
            <w:tcBorders>
              <w:top w:val="outset" w:sz="4" w:space="0" w:color="auto"/>
              <w:left w:val="outset" w:sz="4" w:space="0" w:color="auto"/>
              <w:bottom w:val="outset" w:sz="4" w:space="0" w:color="auto"/>
              <w:right w:val="outset" w:sz="4" w:space="0" w:color="auto"/>
            </w:tcBorders>
            <w:vAlign w:val="center"/>
          </w:tcPr>
          <w:sdt>
            <w:sdtPr>
              <w:rPr>
                <w:rFonts w:hint="eastAsia"/>
                <w:b/>
                <w:color w:val="000000" w:themeColor="text1"/>
                <w:sz w:val="21"/>
                <w:szCs w:val="21"/>
              </w:rPr>
              <w:tag w:val="_PLD_aa6da19e961f4f0aa9c1f47a5d8bdb21"/>
              <w:id w:val="1828787794"/>
            </w:sdtPr>
            <w:sdtEndPr/>
            <w:sdtContent>
              <w:p w14:paraId="6EDE2A96" w14:textId="77777777" w:rsidR="002D0AE7" w:rsidRDefault="00333EBB">
                <w:pPr>
                  <w:jc w:val="center"/>
                  <w:rPr>
                    <w:rFonts w:hint="eastAsia"/>
                    <w:b/>
                    <w:color w:val="000000" w:themeColor="text1"/>
                    <w:sz w:val="21"/>
                    <w:szCs w:val="21"/>
                  </w:rPr>
                </w:pPr>
                <w:r>
                  <w:rPr>
                    <w:rFonts w:hint="eastAsia"/>
                    <w:b/>
                    <w:color w:val="000000" w:themeColor="text1"/>
                    <w:sz w:val="21"/>
                    <w:szCs w:val="21"/>
                  </w:rPr>
                  <w:t>2024</w:t>
                </w:r>
                <w:r>
                  <w:rPr>
                    <w:rFonts w:hint="eastAsia"/>
                    <w:b/>
                    <w:color w:val="000000" w:themeColor="text1"/>
                    <w:sz w:val="21"/>
                    <w:szCs w:val="21"/>
                  </w:rPr>
                  <w:t>年半年度</w:t>
                </w:r>
              </w:p>
            </w:sdtContent>
          </w:sdt>
        </w:tc>
        <w:tc>
          <w:tcPr>
            <w:tcW w:w="813" w:type="pct"/>
            <w:tcBorders>
              <w:top w:val="outset" w:sz="4" w:space="0" w:color="auto"/>
              <w:left w:val="outset" w:sz="4" w:space="0" w:color="auto"/>
              <w:bottom w:val="outset" w:sz="4" w:space="0" w:color="auto"/>
              <w:right w:val="outset" w:sz="4" w:space="0" w:color="auto"/>
            </w:tcBorders>
            <w:vAlign w:val="center"/>
          </w:tcPr>
          <w:sdt>
            <w:sdtPr>
              <w:rPr>
                <w:rFonts w:hint="eastAsia"/>
                <w:b/>
                <w:color w:val="000000" w:themeColor="text1"/>
                <w:sz w:val="21"/>
                <w:szCs w:val="21"/>
              </w:rPr>
              <w:tag w:val="_PLD_fd6f3d63a7544a05b6f572cee64f39fb"/>
              <w:id w:val="-1498793700"/>
            </w:sdtPr>
            <w:sdtEndPr/>
            <w:sdtContent>
              <w:p w14:paraId="5C14AF22" w14:textId="77777777" w:rsidR="002D0AE7" w:rsidRDefault="00333EBB">
                <w:pPr>
                  <w:jc w:val="center"/>
                  <w:rPr>
                    <w:rFonts w:hint="eastAsia"/>
                    <w:b/>
                    <w:color w:val="000000" w:themeColor="text1"/>
                    <w:sz w:val="21"/>
                    <w:szCs w:val="21"/>
                  </w:rPr>
                </w:pPr>
                <w:r>
                  <w:rPr>
                    <w:rFonts w:hint="eastAsia"/>
                    <w:b/>
                    <w:color w:val="000000" w:themeColor="text1"/>
                    <w:sz w:val="21"/>
                    <w:szCs w:val="21"/>
                  </w:rPr>
                  <w:t>2023</w:t>
                </w:r>
                <w:r>
                  <w:rPr>
                    <w:rFonts w:hint="eastAsia"/>
                    <w:b/>
                    <w:color w:val="000000" w:themeColor="text1"/>
                    <w:sz w:val="21"/>
                    <w:szCs w:val="21"/>
                  </w:rPr>
                  <w:t>年半年度</w:t>
                </w:r>
              </w:p>
            </w:sdtContent>
          </w:sdt>
        </w:tc>
      </w:tr>
      <w:tr w:rsidR="002D0AE7" w14:paraId="6EC4BF7B"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3C77002A" w14:textId="77777777" w:rsidR="002D0AE7" w:rsidRDefault="00333EBB">
            <w:pPr>
              <w:ind w:left="-19"/>
              <w:rPr>
                <w:rFonts w:hint="eastAsia"/>
                <w:color w:val="000000" w:themeColor="text1"/>
                <w:sz w:val="21"/>
                <w:szCs w:val="21"/>
              </w:rPr>
            </w:pPr>
            <w:r>
              <w:rPr>
                <w:rFonts w:hint="eastAsia"/>
                <w:color w:val="000000" w:themeColor="text1"/>
                <w:sz w:val="21"/>
                <w:szCs w:val="21"/>
              </w:rPr>
              <w:t>一、营业收入</w:t>
            </w:r>
          </w:p>
        </w:tc>
        <w:tc>
          <w:tcPr>
            <w:tcW w:w="505" w:type="pct"/>
            <w:tcBorders>
              <w:top w:val="outset" w:sz="4" w:space="0" w:color="auto"/>
              <w:left w:val="outset" w:sz="4" w:space="0" w:color="auto"/>
              <w:bottom w:val="outset" w:sz="4" w:space="0" w:color="auto"/>
              <w:right w:val="outset" w:sz="4" w:space="0" w:color="auto"/>
            </w:tcBorders>
            <w:vAlign w:val="center"/>
          </w:tcPr>
          <w:p w14:paraId="3C4E1A28" w14:textId="77777777" w:rsidR="002D0AE7" w:rsidRDefault="00333EBB">
            <w:pPr>
              <w:rPr>
                <w:rFonts w:hint="eastAsia"/>
                <w:sz w:val="21"/>
                <w:szCs w:val="21"/>
              </w:rPr>
            </w:pPr>
            <w:r>
              <w:rPr>
                <w:rFonts w:hint="eastAsia"/>
                <w:sz w:val="21"/>
                <w:szCs w:val="21"/>
              </w:rPr>
              <w:t>十九、</w:t>
            </w:r>
            <w:r>
              <w:rPr>
                <w:sz w:val="21"/>
                <w:szCs w:val="21"/>
              </w:rPr>
              <w:t>4</w:t>
            </w:r>
          </w:p>
        </w:tc>
        <w:tc>
          <w:tcPr>
            <w:tcW w:w="939" w:type="pct"/>
            <w:tcBorders>
              <w:top w:val="outset" w:sz="4" w:space="0" w:color="auto"/>
              <w:left w:val="outset" w:sz="4" w:space="0" w:color="auto"/>
              <w:bottom w:val="outset" w:sz="4" w:space="0" w:color="auto"/>
              <w:right w:val="outset" w:sz="4" w:space="0" w:color="auto"/>
            </w:tcBorders>
            <w:vAlign w:val="center"/>
          </w:tcPr>
          <w:p w14:paraId="1B4E54A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906,967,302.20</w:t>
            </w:r>
          </w:p>
        </w:tc>
        <w:tc>
          <w:tcPr>
            <w:tcW w:w="813" w:type="pct"/>
            <w:tcBorders>
              <w:top w:val="outset" w:sz="4" w:space="0" w:color="auto"/>
              <w:left w:val="outset" w:sz="4" w:space="0" w:color="auto"/>
              <w:bottom w:val="outset" w:sz="4" w:space="0" w:color="auto"/>
              <w:right w:val="outset" w:sz="4" w:space="0" w:color="auto"/>
            </w:tcBorders>
            <w:vAlign w:val="center"/>
          </w:tcPr>
          <w:p w14:paraId="2711BE7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900,522,528.93</w:t>
            </w:r>
          </w:p>
        </w:tc>
      </w:tr>
      <w:tr w:rsidR="002D0AE7" w14:paraId="557F72DE"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0CF2D33D"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减：营业成本</w:t>
            </w:r>
          </w:p>
        </w:tc>
        <w:tc>
          <w:tcPr>
            <w:tcW w:w="505" w:type="pct"/>
            <w:tcBorders>
              <w:top w:val="outset" w:sz="4" w:space="0" w:color="auto"/>
              <w:left w:val="outset" w:sz="4" w:space="0" w:color="auto"/>
              <w:bottom w:val="outset" w:sz="4" w:space="0" w:color="auto"/>
              <w:right w:val="outset" w:sz="4" w:space="0" w:color="auto"/>
            </w:tcBorders>
            <w:vAlign w:val="center"/>
          </w:tcPr>
          <w:p w14:paraId="5A9E80E2" w14:textId="77777777" w:rsidR="002D0AE7" w:rsidRDefault="00333EBB">
            <w:pPr>
              <w:rPr>
                <w:rFonts w:hint="eastAsia"/>
                <w:sz w:val="21"/>
                <w:szCs w:val="21"/>
              </w:rPr>
            </w:pPr>
            <w:r>
              <w:rPr>
                <w:rFonts w:hint="eastAsia"/>
                <w:sz w:val="21"/>
                <w:szCs w:val="21"/>
              </w:rPr>
              <w:t>十九、</w:t>
            </w:r>
            <w:r>
              <w:rPr>
                <w:sz w:val="21"/>
                <w:szCs w:val="21"/>
              </w:rPr>
              <w:t>4</w:t>
            </w:r>
          </w:p>
        </w:tc>
        <w:tc>
          <w:tcPr>
            <w:tcW w:w="939" w:type="pct"/>
            <w:tcBorders>
              <w:top w:val="outset" w:sz="4" w:space="0" w:color="auto"/>
              <w:left w:val="outset" w:sz="4" w:space="0" w:color="auto"/>
              <w:bottom w:val="outset" w:sz="4" w:space="0" w:color="auto"/>
              <w:right w:val="outset" w:sz="4" w:space="0" w:color="auto"/>
            </w:tcBorders>
            <w:vAlign w:val="center"/>
          </w:tcPr>
          <w:p w14:paraId="0DC3410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614,464,961.79</w:t>
            </w:r>
          </w:p>
        </w:tc>
        <w:tc>
          <w:tcPr>
            <w:tcW w:w="813" w:type="pct"/>
            <w:tcBorders>
              <w:top w:val="outset" w:sz="4" w:space="0" w:color="auto"/>
              <w:left w:val="outset" w:sz="4" w:space="0" w:color="auto"/>
              <w:bottom w:val="outset" w:sz="4" w:space="0" w:color="auto"/>
              <w:right w:val="outset" w:sz="4" w:space="0" w:color="auto"/>
            </w:tcBorders>
            <w:vAlign w:val="center"/>
          </w:tcPr>
          <w:p w14:paraId="16A1BA9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651,408,578.37</w:t>
            </w:r>
          </w:p>
        </w:tc>
      </w:tr>
      <w:tr w:rsidR="002D0AE7" w14:paraId="451FDEDF"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156683D8"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税金及附加</w:t>
            </w:r>
          </w:p>
        </w:tc>
        <w:tc>
          <w:tcPr>
            <w:tcW w:w="505" w:type="pct"/>
            <w:tcBorders>
              <w:top w:val="outset" w:sz="4" w:space="0" w:color="auto"/>
              <w:left w:val="outset" w:sz="4" w:space="0" w:color="auto"/>
              <w:bottom w:val="outset" w:sz="4" w:space="0" w:color="auto"/>
              <w:right w:val="outset" w:sz="4" w:space="0" w:color="auto"/>
            </w:tcBorders>
            <w:vAlign w:val="center"/>
          </w:tcPr>
          <w:p w14:paraId="18DCBD1A"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674F5AC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6,886,780.45</w:t>
            </w:r>
          </w:p>
        </w:tc>
        <w:tc>
          <w:tcPr>
            <w:tcW w:w="813" w:type="pct"/>
            <w:tcBorders>
              <w:top w:val="outset" w:sz="4" w:space="0" w:color="auto"/>
              <w:left w:val="outset" w:sz="4" w:space="0" w:color="auto"/>
              <w:bottom w:val="outset" w:sz="4" w:space="0" w:color="auto"/>
              <w:right w:val="outset" w:sz="4" w:space="0" w:color="auto"/>
            </w:tcBorders>
            <w:vAlign w:val="center"/>
          </w:tcPr>
          <w:p w14:paraId="6A5B217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8,320,994.79</w:t>
            </w:r>
          </w:p>
        </w:tc>
      </w:tr>
      <w:tr w:rsidR="002D0AE7" w14:paraId="51631620"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72B5E886"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销售费用</w:t>
            </w:r>
          </w:p>
        </w:tc>
        <w:tc>
          <w:tcPr>
            <w:tcW w:w="505" w:type="pct"/>
            <w:tcBorders>
              <w:top w:val="outset" w:sz="4" w:space="0" w:color="auto"/>
              <w:left w:val="outset" w:sz="4" w:space="0" w:color="auto"/>
              <w:bottom w:val="outset" w:sz="4" w:space="0" w:color="auto"/>
              <w:right w:val="outset" w:sz="4" w:space="0" w:color="auto"/>
            </w:tcBorders>
            <w:vAlign w:val="center"/>
          </w:tcPr>
          <w:p w14:paraId="47A662E0"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552C118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13,450,738.93</w:t>
            </w:r>
          </w:p>
        </w:tc>
        <w:tc>
          <w:tcPr>
            <w:tcW w:w="813" w:type="pct"/>
            <w:tcBorders>
              <w:top w:val="outset" w:sz="4" w:space="0" w:color="auto"/>
              <w:left w:val="outset" w:sz="4" w:space="0" w:color="auto"/>
              <w:bottom w:val="outset" w:sz="4" w:space="0" w:color="auto"/>
              <w:right w:val="outset" w:sz="4" w:space="0" w:color="auto"/>
            </w:tcBorders>
            <w:vAlign w:val="center"/>
          </w:tcPr>
          <w:p w14:paraId="16A84B7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14,652,796.54</w:t>
            </w:r>
          </w:p>
        </w:tc>
      </w:tr>
      <w:tr w:rsidR="002D0AE7" w14:paraId="6CB35B61"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6154AEED"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管理费用</w:t>
            </w:r>
          </w:p>
        </w:tc>
        <w:tc>
          <w:tcPr>
            <w:tcW w:w="505" w:type="pct"/>
            <w:tcBorders>
              <w:top w:val="outset" w:sz="4" w:space="0" w:color="auto"/>
              <w:left w:val="outset" w:sz="4" w:space="0" w:color="auto"/>
              <w:bottom w:val="outset" w:sz="4" w:space="0" w:color="auto"/>
              <w:right w:val="outset" w:sz="4" w:space="0" w:color="auto"/>
            </w:tcBorders>
            <w:vAlign w:val="center"/>
          </w:tcPr>
          <w:p w14:paraId="08C7AA1F"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6ED6099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87,134,757.98</w:t>
            </w:r>
          </w:p>
        </w:tc>
        <w:tc>
          <w:tcPr>
            <w:tcW w:w="813" w:type="pct"/>
            <w:tcBorders>
              <w:top w:val="outset" w:sz="4" w:space="0" w:color="auto"/>
              <w:left w:val="outset" w:sz="4" w:space="0" w:color="auto"/>
              <w:bottom w:val="outset" w:sz="4" w:space="0" w:color="auto"/>
              <w:right w:val="outset" w:sz="4" w:space="0" w:color="auto"/>
            </w:tcBorders>
            <w:vAlign w:val="center"/>
          </w:tcPr>
          <w:p w14:paraId="243A53F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68,876,860.52</w:t>
            </w:r>
          </w:p>
        </w:tc>
      </w:tr>
      <w:tr w:rsidR="002D0AE7" w14:paraId="4AA1456D"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37C58ABB"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研发费用</w:t>
            </w:r>
          </w:p>
        </w:tc>
        <w:tc>
          <w:tcPr>
            <w:tcW w:w="505" w:type="pct"/>
            <w:tcBorders>
              <w:top w:val="outset" w:sz="4" w:space="0" w:color="auto"/>
              <w:left w:val="outset" w:sz="4" w:space="0" w:color="auto"/>
              <w:bottom w:val="outset" w:sz="4" w:space="0" w:color="auto"/>
              <w:right w:val="outset" w:sz="4" w:space="0" w:color="auto"/>
            </w:tcBorders>
            <w:vAlign w:val="center"/>
          </w:tcPr>
          <w:p w14:paraId="3067F064"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1E7DF89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33,034,711.13</w:t>
            </w:r>
          </w:p>
        </w:tc>
        <w:tc>
          <w:tcPr>
            <w:tcW w:w="813" w:type="pct"/>
            <w:tcBorders>
              <w:top w:val="outset" w:sz="4" w:space="0" w:color="auto"/>
              <w:left w:val="outset" w:sz="4" w:space="0" w:color="auto"/>
              <w:bottom w:val="outset" w:sz="4" w:space="0" w:color="auto"/>
              <w:right w:val="outset" w:sz="4" w:space="0" w:color="auto"/>
            </w:tcBorders>
            <w:vAlign w:val="center"/>
          </w:tcPr>
          <w:p w14:paraId="61B728B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34,132,475.62</w:t>
            </w:r>
          </w:p>
        </w:tc>
      </w:tr>
      <w:tr w:rsidR="002D0AE7" w14:paraId="249B90B9"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27F13DBE"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财务费用</w:t>
            </w:r>
          </w:p>
        </w:tc>
        <w:tc>
          <w:tcPr>
            <w:tcW w:w="505" w:type="pct"/>
            <w:tcBorders>
              <w:top w:val="outset" w:sz="4" w:space="0" w:color="auto"/>
              <w:left w:val="outset" w:sz="4" w:space="0" w:color="auto"/>
              <w:bottom w:val="outset" w:sz="4" w:space="0" w:color="auto"/>
              <w:right w:val="outset" w:sz="4" w:space="0" w:color="auto"/>
            </w:tcBorders>
            <w:vAlign w:val="center"/>
          </w:tcPr>
          <w:p w14:paraId="6CDA5F03"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107BF0C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11,220,254.38</w:t>
            </w:r>
          </w:p>
        </w:tc>
        <w:tc>
          <w:tcPr>
            <w:tcW w:w="813" w:type="pct"/>
            <w:tcBorders>
              <w:top w:val="outset" w:sz="4" w:space="0" w:color="auto"/>
              <w:left w:val="outset" w:sz="4" w:space="0" w:color="auto"/>
              <w:bottom w:val="outset" w:sz="4" w:space="0" w:color="auto"/>
              <w:right w:val="outset" w:sz="4" w:space="0" w:color="auto"/>
            </w:tcBorders>
            <w:vAlign w:val="center"/>
          </w:tcPr>
          <w:p w14:paraId="7DCFB68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17,742,394.18</w:t>
            </w:r>
          </w:p>
        </w:tc>
      </w:tr>
      <w:tr w:rsidR="002D0AE7" w14:paraId="42B61E2F"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7F0BDDF3"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其中：利息费用</w:t>
            </w:r>
          </w:p>
        </w:tc>
        <w:tc>
          <w:tcPr>
            <w:tcW w:w="505" w:type="pct"/>
            <w:tcBorders>
              <w:top w:val="outset" w:sz="4" w:space="0" w:color="auto"/>
              <w:left w:val="outset" w:sz="4" w:space="0" w:color="auto"/>
              <w:bottom w:val="outset" w:sz="4" w:space="0" w:color="auto"/>
              <w:right w:val="outset" w:sz="4" w:space="0" w:color="auto"/>
            </w:tcBorders>
            <w:vAlign w:val="center"/>
          </w:tcPr>
          <w:p w14:paraId="054E9DD4"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34098CE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13,077,278.45</w:t>
            </w:r>
          </w:p>
        </w:tc>
        <w:tc>
          <w:tcPr>
            <w:tcW w:w="813" w:type="pct"/>
            <w:tcBorders>
              <w:top w:val="outset" w:sz="4" w:space="0" w:color="auto"/>
              <w:left w:val="outset" w:sz="4" w:space="0" w:color="auto"/>
              <w:bottom w:val="outset" w:sz="4" w:space="0" w:color="auto"/>
              <w:right w:val="outset" w:sz="4" w:space="0" w:color="auto"/>
            </w:tcBorders>
            <w:vAlign w:val="center"/>
          </w:tcPr>
          <w:p w14:paraId="6D6E7CC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19,993,962.05</w:t>
            </w:r>
          </w:p>
        </w:tc>
      </w:tr>
      <w:tr w:rsidR="002D0AE7" w14:paraId="129D3293"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5FB0D1F4" w14:textId="77777777" w:rsidR="002D0AE7" w:rsidRDefault="00333EBB">
            <w:pPr>
              <w:ind w:firstLineChars="600" w:firstLine="1260"/>
              <w:rPr>
                <w:rFonts w:hint="eastAsia"/>
                <w:color w:val="000000" w:themeColor="text1"/>
                <w:sz w:val="21"/>
                <w:szCs w:val="21"/>
              </w:rPr>
            </w:pPr>
            <w:r>
              <w:rPr>
                <w:rFonts w:hint="eastAsia"/>
                <w:color w:val="000000" w:themeColor="text1"/>
                <w:sz w:val="21"/>
                <w:szCs w:val="21"/>
              </w:rPr>
              <w:t>利息收入</w:t>
            </w:r>
          </w:p>
        </w:tc>
        <w:tc>
          <w:tcPr>
            <w:tcW w:w="505" w:type="pct"/>
            <w:tcBorders>
              <w:top w:val="outset" w:sz="4" w:space="0" w:color="auto"/>
              <w:left w:val="outset" w:sz="4" w:space="0" w:color="auto"/>
              <w:bottom w:val="outset" w:sz="4" w:space="0" w:color="auto"/>
              <w:right w:val="outset" w:sz="4" w:space="0" w:color="auto"/>
            </w:tcBorders>
            <w:vAlign w:val="center"/>
          </w:tcPr>
          <w:p w14:paraId="1D737887"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71E3825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1,919,880.30</w:t>
            </w:r>
          </w:p>
        </w:tc>
        <w:tc>
          <w:tcPr>
            <w:tcW w:w="813" w:type="pct"/>
            <w:tcBorders>
              <w:top w:val="outset" w:sz="4" w:space="0" w:color="auto"/>
              <w:left w:val="outset" w:sz="4" w:space="0" w:color="auto"/>
              <w:bottom w:val="outset" w:sz="4" w:space="0" w:color="auto"/>
              <w:right w:val="outset" w:sz="4" w:space="0" w:color="auto"/>
            </w:tcBorders>
            <w:vAlign w:val="center"/>
          </w:tcPr>
          <w:p w14:paraId="400B753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2,604,516.54</w:t>
            </w:r>
          </w:p>
        </w:tc>
      </w:tr>
      <w:tr w:rsidR="002D0AE7" w14:paraId="1CFBF370"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33A9F896"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加：其他收益</w:t>
            </w:r>
          </w:p>
        </w:tc>
        <w:tc>
          <w:tcPr>
            <w:tcW w:w="505" w:type="pct"/>
            <w:tcBorders>
              <w:top w:val="outset" w:sz="4" w:space="0" w:color="auto"/>
              <w:left w:val="outset" w:sz="4" w:space="0" w:color="auto"/>
              <w:bottom w:val="outset" w:sz="4" w:space="0" w:color="auto"/>
              <w:right w:val="outset" w:sz="4" w:space="0" w:color="auto"/>
            </w:tcBorders>
            <w:vAlign w:val="center"/>
          </w:tcPr>
          <w:p w14:paraId="1AB25B66"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476927C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5,449,312.11</w:t>
            </w:r>
          </w:p>
        </w:tc>
        <w:tc>
          <w:tcPr>
            <w:tcW w:w="813" w:type="pct"/>
            <w:tcBorders>
              <w:top w:val="outset" w:sz="4" w:space="0" w:color="auto"/>
              <w:left w:val="outset" w:sz="4" w:space="0" w:color="auto"/>
              <w:bottom w:val="outset" w:sz="4" w:space="0" w:color="auto"/>
              <w:right w:val="outset" w:sz="4" w:space="0" w:color="auto"/>
            </w:tcBorders>
            <w:vAlign w:val="center"/>
          </w:tcPr>
          <w:p w14:paraId="2827E15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3,113,704.78</w:t>
            </w:r>
          </w:p>
        </w:tc>
      </w:tr>
      <w:tr w:rsidR="002D0AE7" w14:paraId="3632BF93"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08B6D1B4"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投资收益（损失以“－”号填列）</w:t>
            </w:r>
          </w:p>
        </w:tc>
        <w:tc>
          <w:tcPr>
            <w:tcW w:w="505" w:type="pct"/>
            <w:tcBorders>
              <w:top w:val="outset" w:sz="4" w:space="0" w:color="auto"/>
              <w:left w:val="outset" w:sz="4" w:space="0" w:color="auto"/>
              <w:bottom w:val="outset" w:sz="4" w:space="0" w:color="auto"/>
              <w:right w:val="outset" w:sz="4" w:space="0" w:color="auto"/>
            </w:tcBorders>
            <w:vAlign w:val="center"/>
          </w:tcPr>
          <w:p w14:paraId="68979AD7" w14:textId="77777777" w:rsidR="002D0AE7" w:rsidRDefault="00333EBB">
            <w:pPr>
              <w:rPr>
                <w:rFonts w:hint="eastAsia"/>
                <w:sz w:val="21"/>
                <w:szCs w:val="21"/>
              </w:rPr>
            </w:pPr>
            <w:r>
              <w:rPr>
                <w:rFonts w:hint="eastAsia"/>
                <w:sz w:val="21"/>
                <w:szCs w:val="21"/>
              </w:rPr>
              <w:t>十九、</w:t>
            </w:r>
            <w:r>
              <w:rPr>
                <w:sz w:val="21"/>
                <w:szCs w:val="21"/>
              </w:rPr>
              <w:t>5</w:t>
            </w:r>
          </w:p>
        </w:tc>
        <w:tc>
          <w:tcPr>
            <w:tcW w:w="939" w:type="pct"/>
            <w:tcBorders>
              <w:top w:val="outset" w:sz="4" w:space="0" w:color="auto"/>
              <w:left w:val="outset" w:sz="4" w:space="0" w:color="auto"/>
              <w:bottom w:val="outset" w:sz="4" w:space="0" w:color="auto"/>
              <w:right w:val="outset" w:sz="4" w:space="0" w:color="auto"/>
            </w:tcBorders>
            <w:vAlign w:val="center"/>
          </w:tcPr>
          <w:p w14:paraId="1B1C09A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13,155,558.36</w:t>
            </w:r>
          </w:p>
        </w:tc>
        <w:tc>
          <w:tcPr>
            <w:tcW w:w="813" w:type="pct"/>
            <w:tcBorders>
              <w:top w:val="outset" w:sz="4" w:space="0" w:color="auto"/>
              <w:left w:val="outset" w:sz="4" w:space="0" w:color="auto"/>
              <w:bottom w:val="outset" w:sz="4" w:space="0" w:color="auto"/>
              <w:right w:val="outset" w:sz="4" w:space="0" w:color="auto"/>
            </w:tcBorders>
            <w:vAlign w:val="center"/>
          </w:tcPr>
          <w:p w14:paraId="1DAAA2C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-289,023.62</w:t>
            </w:r>
          </w:p>
        </w:tc>
      </w:tr>
      <w:tr w:rsidR="002D0AE7" w14:paraId="3C1B846A"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53EC2EBC"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其中：对联营企业和合营企业的投资收益</w:t>
            </w:r>
          </w:p>
        </w:tc>
        <w:tc>
          <w:tcPr>
            <w:tcW w:w="505" w:type="pct"/>
            <w:tcBorders>
              <w:top w:val="outset" w:sz="4" w:space="0" w:color="auto"/>
              <w:left w:val="outset" w:sz="4" w:space="0" w:color="auto"/>
              <w:bottom w:val="outset" w:sz="4" w:space="0" w:color="auto"/>
              <w:right w:val="outset" w:sz="4" w:space="0" w:color="auto"/>
            </w:tcBorders>
            <w:vAlign w:val="center"/>
          </w:tcPr>
          <w:p w14:paraId="26C9D550"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280930E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1,403,664.55</w:t>
            </w:r>
          </w:p>
        </w:tc>
        <w:tc>
          <w:tcPr>
            <w:tcW w:w="813" w:type="pct"/>
            <w:tcBorders>
              <w:top w:val="outset" w:sz="4" w:space="0" w:color="auto"/>
              <w:left w:val="outset" w:sz="4" w:space="0" w:color="auto"/>
              <w:bottom w:val="outset" w:sz="4" w:space="0" w:color="auto"/>
              <w:right w:val="outset" w:sz="4" w:space="0" w:color="auto"/>
            </w:tcBorders>
            <w:vAlign w:val="center"/>
          </w:tcPr>
          <w:p w14:paraId="03A7169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-289,023.62</w:t>
            </w:r>
          </w:p>
        </w:tc>
      </w:tr>
      <w:tr w:rsidR="002D0AE7" w14:paraId="28C03A82"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06B3A842" w14:textId="77777777" w:rsidR="002D0AE7" w:rsidRDefault="00333EBB">
            <w:pPr>
              <w:ind w:firstLineChars="550" w:firstLine="825"/>
              <w:rPr>
                <w:rFonts w:hint="eastAsia"/>
                <w:color w:val="000000" w:themeColor="text1"/>
                <w:sz w:val="21"/>
                <w:szCs w:val="21"/>
              </w:rPr>
            </w:pPr>
            <w:r>
              <w:rPr>
                <w:rFonts w:hint="eastAsia"/>
                <w:color w:val="000000" w:themeColor="text1"/>
                <w:sz w:val="15"/>
                <w:szCs w:val="21"/>
              </w:rPr>
              <w:t>以摊余成本计量的金融资产终止确认收益（损失以“</w:t>
            </w:r>
            <w:r>
              <w:rPr>
                <w:color w:val="000000" w:themeColor="text1"/>
                <w:sz w:val="15"/>
                <w:szCs w:val="21"/>
              </w:rPr>
              <w:t>-”</w:t>
            </w:r>
            <w:r>
              <w:rPr>
                <w:color w:val="000000" w:themeColor="text1"/>
                <w:sz w:val="15"/>
                <w:szCs w:val="21"/>
              </w:rPr>
              <w:t>号填列）</w:t>
            </w:r>
          </w:p>
        </w:tc>
        <w:tc>
          <w:tcPr>
            <w:tcW w:w="505" w:type="pct"/>
            <w:tcBorders>
              <w:top w:val="outset" w:sz="4" w:space="0" w:color="auto"/>
              <w:left w:val="outset" w:sz="4" w:space="0" w:color="auto"/>
              <w:bottom w:val="outset" w:sz="4" w:space="0" w:color="auto"/>
              <w:right w:val="outset" w:sz="4" w:space="0" w:color="auto"/>
            </w:tcBorders>
            <w:vAlign w:val="center"/>
          </w:tcPr>
          <w:p w14:paraId="354AA5F9"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0BCE0B91" w14:textId="77777777" w:rsidR="002D0AE7" w:rsidRDefault="002D0AE7">
            <w:pPr>
              <w:jc w:val="right"/>
              <w:rPr>
                <w:rFonts w:ascii="Times New Roman" w:hAnsi="Times New Roman" w:cs="Times New Roman"/>
                <w:sz w:val="21"/>
                <w:szCs w:val="21"/>
              </w:rPr>
            </w:pPr>
          </w:p>
        </w:tc>
        <w:tc>
          <w:tcPr>
            <w:tcW w:w="813" w:type="pct"/>
            <w:tcBorders>
              <w:top w:val="outset" w:sz="4" w:space="0" w:color="auto"/>
              <w:left w:val="outset" w:sz="4" w:space="0" w:color="auto"/>
              <w:bottom w:val="outset" w:sz="4" w:space="0" w:color="auto"/>
              <w:right w:val="outset" w:sz="4" w:space="0" w:color="auto"/>
            </w:tcBorders>
            <w:vAlign w:val="center"/>
          </w:tcPr>
          <w:p w14:paraId="7A9E5F70" w14:textId="77777777" w:rsidR="002D0AE7" w:rsidRDefault="002D0AE7">
            <w:pPr>
              <w:jc w:val="right"/>
              <w:rPr>
                <w:rFonts w:ascii="Times New Roman" w:hAnsi="Times New Roman" w:cs="Times New Roman"/>
                <w:bCs/>
                <w:sz w:val="21"/>
                <w:szCs w:val="21"/>
              </w:rPr>
            </w:pPr>
          </w:p>
        </w:tc>
      </w:tr>
      <w:tr w:rsidR="002D0AE7" w14:paraId="0E998FD0"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71915993"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净敞口套期收益（损失以“</w:t>
            </w:r>
            <w:r>
              <w:rPr>
                <w:color w:val="000000" w:themeColor="text1"/>
                <w:sz w:val="21"/>
                <w:szCs w:val="21"/>
              </w:rPr>
              <w:t>-”</w:t>
            </w:r>
            <w:r>
              <w:rPr>
                <w:color w:val="000000" w:themeColor="text1"/>
                <w:sz w:val="21"/>
                <w:szCs w:val="21"/>
              </w:rPr>
              <w:t>号填列）</w:t>
            </w:r>
          </w:p>
        </w:tc>
        <w:tc>
          <w:tcPr>
            <w:tcW w:w="505" w:type="pct"/>
            <w:tcBorders>
              <w:top w:val="outset" w:sz="4" w:space="0" w:color="auto"/>
              <w:left w:val="outset" w:sz="4" w:space="0" w:color="auto"/>
              <w:bottom w:val="outset" w:sz="4" w:space="0" w:color="auto"/>
              <w:right w:val="outset" w:sz="4" w:space="0" w:color="auto"/>
            </w:tcBorders>
            <w:vAlign w:val="center"/>
          </w:tcPr>
          <w:p w14:paraId="70266020"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0B42920E" w14:textId="77777777" w:rsidR="002D0AE7" w:rsidRDefault="002D0AE7">
            <w:pPr>
              <w:jc w:val="right"/>
              <w:rPr>
                <w:rFonts w:ascii="Times New Roman" w:hAnsi="Times New Roman" w:cs="Times New Roman"/>
                <w:sz w:val="21"/>
                <w:szCs w:val="21"/>
              </w:rPr>
            </w:pPr>
          </w:p>
        </w:tc>
        <w:tc>
          <w:tcPr>
            <w:tcW w:w="813" w:type="pct"/>
            <w:tcBorders>
              <w:top w:val="outset" w:sz="4" w:space="0" w:color="auto"/>
              <w:left w:val="outset" w:sz="4" w:space="0" w:color="auto"/>
              <w:bottom w:val="outset" w:sz="4" w:space="0" w:color="auto"/>
              <w:right w:val="outset" w:sz="4" w:space="0" w:color="auto"/>
            </w:tcBorders>
            <w:vAlign w:val="center"/>
          </w:tcPr>
          <w:p w14:paraId="13E9E241" w14:textId="77777777" w:rsidR="002D0AE7" w:rsidRDefault="002D0AE7">
            <w:pPr>
              <w:jc w:val="right"/>
              <w:rPr>
                <w:rFonts w:ascii="Times New Roman" w:hAnsi="Times New Roman" w:cs="Times New Roman"/>
                <w:sz w:val="21"/>
                <w:szCs w:val="21"/>
              </w:rPr>
            </w:pPr>
          </w:p>
        </w:tc>
      </w:tr>
      <w:tr w:rsidR="002D0AE7" w14:paraId="55731467"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342EDAE1"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公允价值变动收益（损失以“－”号填列）</w:t>
            </w:r>
          </w:p>
        </w:tc>
        <w:tc>
          <w:tcPr>
            <w:tcW w:w="505" w:type="pct"/>
            <w:tcBorders>
              <w:top w:val="outset" w:sz="4" w:space="0" w:color="auto"/>
              <w:left w:val="outset" w:sz="4" w:space="0" w:color="auto"/>
              <w:bottom w:val="outset" w:sz="4" w:space="0" w:color="auto"/>
              <w:right w:val="outset" w:sz="4" w:space="0" w:color="auto"/>
            </w:tcBorders>
            <w:vAlign w:val="center"/>
          </w:tcPr>
          <w:p w14:paraId="048FCC0C"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1B93A7D4" w14:textId="77777777" w:rsidR="002D0AE7" w:rsidRDefault="002D0AE7">
            <w:pPr>
              <w:jc w:val="right"/>
              <w:rPr>
                <w:rFonts w:ascii="Times New Roman" w:hAnsi="Times New Roman" w:cs="Times New Roman"/>
                <w:sz w:val="21"/>
                <w:szCs w:val="21"/>
              </w:rPr>
            </w:pPr>
          </w:p>
        </w:tc>
        <w:tc>
          <w:tcPr>
            <w:tcW w:w="813" w:type="pct"/>
            <w:tcBorders>
              <w:top w:val="outset" w:sz="4" w:space="0" w:color="auto"/>
              <w:left w:val="outset" w:sz="4" w:space="0" w:color="auto"/>
              <w:bottom w:val="outset" w:sz="4" w:space="0" w:color="auto"/>
              <w:right w:val="outset" w:sz="4" w:space="0" w:color="auto"/>
            </w:tcBorders>
            <w:vAlign w:val="center"/>
          </w:tcPr>
          <w:p w14:paraId="0A9A1DBA" w14:textId="77777777" w:rsidR="002D0AE7" w:rsidRDefault="002D0AE7">
            <w:pPr>
              <w:jc w:val="right"/>
              <w:rPr>
                <w:rFonts w:ascii="Times New Roman" w:hAnsi="Times New Roman" w:cs="Times New Roman"/>
                <w:sz w:val="21"/>
                <w:szCs w:val="21"/>
              </w:rPr>
            </w:pPr>
          </w:p>
        </w:tc>
      </w:tr>
      <w:tr w:rsidR="002D0AE7" w14:paraId="44EF13A8"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3AE29739"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信用减值损失（损失以“</w:t>
            </w:r>
            <w:r>
              <w:rPr>
                <w:color w:val="000000" w:themeColor="text1"/>
                <w:sz w:val="21"/>
                <w:szCs w:val="21"/>
              </w:rPr>
              <w:t>-”</w:t>
            </w:r>
            <w:r>
              <w:rPr>
                <w:color w:val="000000" w:themeColor="text1"/>
                <w:sz w:val="21"/>
                <w:szCs w:val="21"/>
              </w:rPr>
              <w:t>号填列）</w:t>
            </w:r>
          </w:p>
        </w:tc>
        <w:tc>
          <w:tcPr>
            <w:tcW w:w="505" w:type="pct"/>
            <w:tcBorders>
              <w:top w:val="outset" w:sz="4" w:space="0" w:color="auto"/>
              <w:left w:val="outset" w:sz="4" w:space="0" w:color="auto"/>
              <w:bottom w:val="outset" w:sz="4" w:space="0" w:color="auto"/>
              <w:right w:val="outset" w:sz="4" w:space="0" w:color="auto"/>
            </w:tcBorders>
            <w:vAlign w:val="center"/>
          </w:tcPr>
          <w:p w14:paraId="21D03D73"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4CD2332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-11,247.79</w:t>
            </w:r>
          </w:p>
        </w:tc>
        <w:tc>
          <w:tcPr>
            <w:tcW w:w="813" w:type="pct"/>
            <w:tcBorders>
              <w:top w:val="outset" w:sz="4" w:space="0" w:color="auto"/>
              <w:left w:val="outset" w:sz="4" w:space="0" w:color="auto"/>
              <w:bottom w:val="outset" w:sz="4" w:space="0" w:color="auto"/>
              <w:right w:val="outset" w:sz="4" w:space="0" w:color="auto"/>
            </w:tcBorders>
            <w:vAlign w:val="center"/>
          </w:tcPr>
          <w:p w14:paraId="370138D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668.23</w:t>
            </w:r>
          </w:p>
        </w:tc>
      </w:tr>
      <w:tr w:rsidR="002D0AE7" w14:paraId="49269901"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22D1F5AA"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资产减值损失（损失以“</w:t>
            </w:r>
            <w:r>
              <w:rPr>
                <w:color w:val="000000" w:themeColor="text1"/>
                <w:sz w:val="21"/>
                <w:szCs w:val="21"/>
              </w:rPr>
              <w:t>-”</w:t>
            </w:r>
            <w:r>
              <w:rPr>
                <w:color w:val="000000" w:themeColor="text1"/>
                <w:sz w:val="21"/>
                <w:szCs w:val="21"/>
              </w:rPr>
              <w:t>号填列）</w:t>
            </w:r>
          </w:p>
        </w:tc>
        <w:tc>
          <w:tcPr>
            <w:tcW w:w="505" w:type="pct"/>
            <w:tcBorders>
              <w:top w:val="outset" w:sz="4" w:space="0" w:color="auto"/>
              <w:left w:val="outset" w:sz="4" w:space="0" w:color="auto"/>
              <w:bottom w:val="outset" w:sz="4" w:space="0" w:color="auto"/>
              <w:right w:val="outset" w:sz="4" w:space="0" w:color="auto"/>
            </w:tcBorders>
            <w:vAlign w:val="center"/>
          </w:tcPr>
          <w:p w14:paraId="6BCA483B"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4A41F89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-38,224,804.35</w:t>
            </w:r>
          </w:p>
        </w:tc>
        <w:tc>
          <w:tcPr>
            <w:tcW w:w="813" w:type="pct"/>
            <w:tcBorders>
              <w:top w:val="outset" w:sz="4" w:space="0" w:color="auto"/>
              <w:left w:val="outset" w:sz="4" w:space="0" w:color="auto"/>
              <w:bottom w:val="outset" w:sz="4" w:space="0" w:color="auto"/>
              <w:right w:val="outset" w:sz="4" w:space="0" w:color="auto"/>
            </w:tcBorders>
            <w:vAlign w:val="center"/>
          </w:tcPr>
          <w:p w14:paraId="5FEAAE1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-28,186,077.51</w:t>
            </w:r>
          </w:p>
        </w:tc>
      </w:tr>
      <w:tr w:rsidR="002D0AE7" w14:paraId="27139408"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68C8889D"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资产处置收益（损失以“－”号填列）</w:t>
            </w:r>
          </w:p>
        </w:tc>
        <w:tc>
          <w:tcPr>
            <w:tcW w:w="505" w:type="pct"/>
            <w:tcBorders>
              <w:top w:val="outset" w:sz="4" w:space="0" w:color="auto"/>
              <w:left w:val="outset" w:sz="4" w:space="0" w:color="auto"/>
              <w:bottom w:val="outset" w:sz="4" w:space="0" w:color="auto"/>
              <w:right w:val="outset" w:sz="4" w:space="0" w:color="auto"/>
            </w:tcBorders>
            <w:vAlign w:val="center"/>
          </w:tcPr>
          <w:p w14:paraId="702DD349"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290F991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-156,846.77</w:t>
            </w:r>
          </w:p>
        </w:tc>
        <w:tc>
          <w:tcPr>
            <w:tcW w:w="813" w:type="pct"/>
            <w:tcBorders>
              <w:top w:val="outset" w:sz="4" w:space="0" w:color="auto"/>
              <w:left w:val="outset" w:sz="4" w:space="0" w:color="auto"/>
              <w:bottom w:val="outset" w:sz="4" w:space="0" w:color="auto"/>
              <w:right w:val="outset" w:sz="4" w:space="0" w:color="auto"/>
            </w:tcBorders>
            <w:vAlign w:val="center"/>
          </w:tcPr>
          <w:p w14:paraId="567023A0" w14:textId="77777777" w:rsidR="002D0AE7" w:rsidRDefault="00333EBB">
            <w:pPr>
              <w:jc w:val="right"/>
              <w:rPr>
                <w:rFonts w:ascii="Times New Roman" w:hAnsi="Times New Roman" w:cs="Times New Roman"/>
                <w:sz w:val="21"/>
                <w:szCs w:val="21"/>
              </w:rPr>
            </w:pPr>
            <w:r>
              <w:rPr>
                <w:rFonts w:ascii="Times New Roman" w:hAnsi="Times New Roman" w:cs="Times New Roman" w:hint="eastAsia"/>
                <w:sz w:val="21"/>
                <w:szCs w:val="21"/>
              </w:rPr>
              <w:t>0</w:t>
            </w:r>
            <w:r>
              <w:rPr>
                <w:rFonts w:ascii="Times New Roman" w:hAnsi="Times New Roman" w:cs="Times New Roman"/>
                <w:sz w:val="21"/>
                <w:szCs w:val="21"/>
              </w:rPr>
              <w:t>.00</w:t>
            </w:r>
          </w:p>
        </w:tc>
      </w:tr>
      <w:tr w:rsidR="002D0AE7" w14:paraId="47B89F5A"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3522C7C1" w14:textId="77777777" w:rsidR="002D0AE7" w:rsidRDefault="00333EBB">
            <w:pPr>
              <w:ind w:left="-19"/>
              <w:rPr>
                <w:rFonts w:hint="eastAsia"/>
                <w:color w:val="000000" w:themeColor="text1"/>
                <w:sz w:val="21"/>
                <w:szCs w:val="21"/>
              </w:rPr>
            </w:pPr>
            <w:r>
              <w:rPr>
                <w:rFonts w:hint="eastAsia"/>
                <w:color w:val="000000" w:themeColor="text1"/>
                <w:sz w:val="21"/>
                <w:szCs w:val="21"/>
              </w:rPr>
              <w:t>二、营业利润（亏损以“－”号填列）</w:t>
            </w:r>
          </w:p>
        </w:tc>
        <w:tc>
          <w:tcPr>
            <w:tcW w:w="505" w:type="pct"/>
            <w:tcBorders>
              <w:top w:val="outset" w:sz="4" w:space="0" w:color="auto"/>
              <w:left w:val="outset" w:sz="4" w:space="0" w:color="auto"/>
              <w:bottom w:val="outset" w:sz="4" w:space="0" w:color="auto"/>
              <w:right w:val="outset" w:sz="4" w:space="0" w:color="auto"/>
            </w:tcBorders>
            <w:vAlign w:val="center"/>
          </w:tcPr>
          <w:p w14:paraId="12561095"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0AC6D2F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120,987,069.10</w:t>
            </w:r>
          </w:p>
        </w:tc>
        <w:tc>
          <w:tcPr>
            <w:tcW w:w="813" w:type="pct"/>
            <w:tcBorders>
              <w:top w:val="outset" w:sz="4" w:space="0" w:color="auto"/>
              <w:left w:val="outset" w:sz="4" w:space="0" w:color="auto"/>
              <w:bottom w:val="outset" w:sz="4" w:space="0" w:color="auto"/>
              <w:right w:val="outset" w:sz="4" w:space="0" w:color="auto"/>
            </w:tcBorders>
            <w:vAlign w:val="center"/>
          </w:tcPr>
          <w:p w14:paraId="0897EF0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80,027,700.79</w:t>
            </w:r>
          </w:p>
        </w:tc>
      </w:tr>
      <w:tr w:rsidR="002D0AE7" w14:paraId="0B7CD0E4"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10C61D0F"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加：营业外收入</w:t>
            </w:r>
          </w:p>
        </w:tc>
        <w:tc>
          <w:tcPr>
            <w:tcW w:w="505" w:type="pct"/>
            <w:tcBorders>
              <w:top w:val="outset" w:sz="4" w:space="0" w:color="auto"/>
              <w:left w:val="outset" w:sz="4" w:space="0" w:color="auto"/>
              <w:bottom w:val="outset" w:sz="4" w:space="0" w:color="auto"/>
              <w:right w:val="outset" w:sz="4" w:space="0" w:color="auto"/>
            </w:tcBorders>
            <w:vAlign w:val="center"/>
          </w:tcPr>
          <w:p w14:paraId="1B55885E"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3B5D2F4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827,067.29</w:t>
            </w:r>
          </w:p>
        </w:tc>
        <w:tc>
          <w:tcPr>
            <w:tcW w:w="813" w:type="pct"/>
            <w:tcBorders>
              <w:top w:val="outset" w:sz="4" w:space="0" w:color="auto"/>
              <w:left w:val="outset" w:sz="4" w:space="0" w:color="auto"/>
              <w:bottom w:val="outset" w:sz="4" w:space="0" w:color="auto"/>
              <w:right w:val="outset" w:sz="4" w:space="0" w:color="auto"/>
            </w:tcBorders>
            <w:vAlign w:val="center"/>
          </w:tcPr>
          <w:p w14:paraId="00EC7CC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265,152.85</w:t>
            </w:r>
          </w:p>
        </w:tc>
      </w:tr>
      <w:tr w:rsidR="002D0AE7" w14:paraId="571E9118"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4E667D71"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减：营业外支出</w:t>
            </w:r>
          </w:p>
        </w:tc>
        <w:tc>
          <w:tcPr>
            <w:tcW w:w="505" w:type="pct"/>
            <w:tcBorders>
              <w:top w:val="outset" w:sz="4" w:space="0" w:color="auto"/>
              <w:left w:val="outset" w:sz="4" w:space="0" w:color="auto"/>
              <w:bottom w:val="outset" w:sz="4" w:space="0" w:color="auto"/>
              <w:right w:val="outset" w:sz="4" w:space="0" w:color="auto"/>
            </w:tcBorders>
            <w:vAlign w:val="center"/>
          </w:tcPr>
          <w:p w14:paraId="4CE72963"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5B2B882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100,204.23</w:t>
            </w:r>
          </w:p>
        </w:tc>
        <w:tc>
          <w:tcPr>
            <w:tcW w:w="813" w:type="pct"/>
            <w:tcBorders>
              <w:top w:val="outset" w:sz="4" w:space="0" w:color="auto"/>
              <w:left w:val="outset" w:sz="4" w:space="0" w:color="auto"/>
              <w:bottom w:val="outset" w:sz="4" w:space="0" w:color="auto"/>
              <w:right w:val="outset" w:sz="4" w:space="0" w:color="auto"/>
            </w:tcBorders>
            <w:vAlign w:val="center"/>
          </w:tcPr>
          <w:p w14:paraId="3012AA5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1F15CC4D"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4AB1215B" w14:textId="77777777" w:rsidR="002D0AE7" w:rsidRDefault="00333EBB">
            <w:pPr>
              <w:ind w:left="-19"/>
              <w:rPr>
                <w:rFonts w:hint="eastAsia"/>
                <w:color w:val="000000" w:themeColor="text1"/>
                <w:sz w:val="21"/>
                <w:szCs w:val="21"/>
              </w:rPr>
            </w:pPr>
            <w:r>
              <w:rPr>
                <w:rFonts w:hint="eastAsia"/>
                <w:color w:val="000000" w:themeColor="text1"/>
                <w:sz w:val="21"/>
                <w:szCs w:val="21"/>
              </w:rPr>
              <w:t>三、利润总额（亏损总额以“－”号填列）</w:t>
            </w:r>
          </w:p>
        </w:tc>
        <w:tc>
          <w:tcPr>
            <w:tcW w:w="505" w:type="pct"/>
            <w:tcBorders>
              <w:top w:val="outset" w:sz="4" w:space="0" w:color="auto"/>
              <w:left w:val="outset" w:sz="4" w:space="0" w:color="auto"/>
              <w:bottom w:val="outset" w:sz="4" w:space="0" w:color="auto"/>
              <w:right w:val="outset" w:sz="4" w:space="0" w:color="auto"/>
            </w:tcBorders>
            <w:vAlign w:val="center"/>
          </w:tcPr>
          <w:p w14:paraId="08597F85"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6C7DD48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121,713,932.16</w:t>
            </w:r>
          </w:p>
        </w:tc>
        <w:tc>
          <w:tcPr>
            <w:tcW w:w="813" w:type="pct"/>
            <w:tcBorders>
              <w:top w:val="outset" w:sz="4" w:space="0" w:color="auto"/>
              <w:left w:val="outset" w:sz="4" w:space="0" w:color="auto"/>
              <w:bottom w:val="outset" w:sz="4" w:space="0" w:color="auto"/>
              <w:right w:val="outset" w:sz="4" w:space="0" w:color="auto"/>
            </w:tcBorders>
            <w:vAlign w:val="center"/>
          </w:tcPr>
          <w:p w14:paraId="324F164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80,292,853.64</w:t>
            </w:r>
          </w:p>
        </w:tc>
      </w:tr>
      <w:tr w:rsidR="002D0AE7" w14:paraId="0B57D0EA"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224B7626" w14:textId="77777777" w:rsidR="002D0AE7" w:rsidRDefault="00333EBB">
            <w:pPr>
              <w:ind w:left="-19" w:firstLineChars="200" w:firstLine="420"/>
              <w:rPr>
                <w:rFonts w:hint="eastAsia"/>
                <w:color w:val="000000" w:themeColor="text1"/>
                <w:sz w:val="21"/>
                <w:szCs w:val="21"/>
              </w:rPr>
            </w:pPr>
            <w:r>
              <w:rPr>
                <w:rFonts w:hint="eastAsia"/>
                <w:color w:val="000000" w:themeColor="text1"/>
                <w:sz w:val="21"/>
                <w:szCs w:val="21"/>
              </w:rPr>
              <w:t>减：所得税费用</w:t>
            </w:r>
          </w:p>
        </w:tc>
        <w:tc>
          <w:tcPr>
            <w:tcW w:w="505" w:type="pct"/>
            <w:tcBorders>
              <w:top w:val="outset" w:sz="4" w:space="0" w:color="auto"/>
              <w:left w:val="outset" w:sz="4" w:space="0" w:color="auto"/>
              <w:bottom w:val="outset" w:sz="4" w:space="0" w:color="auto"/>
              <w:right w:val="outset" w:sz="4" w:space="0" w:color="auto"/>
            </w:tcBorders>
            <w:vAlign w:val="center"/>
          </w:tcPr>
          <w:p w14:paraId="440050EB"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5B2D1B4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12,365,367.64</w:t>
            </w:r>
          </w:p>
        </w:tc>
        <w:tc>
          <w:tcPr>
            <w:tcW w:w="813" w:type="pct"/>
            <w:tcBorders>
              <w:top w:val="outset" w:sz="4" w:space="0" w:color="auto"/>
              <w:left w:val="outset" w:sz="4" w:space="0" w:color="auto"/>
              <w:bottom w:val="outset" w:sz="4" w:space="0" w:color="auto"/>
              <w:right w:val="outset" w:sz="4" w:space="0" w:color="auto"/>
            </w:tcBorders>
            <w:vAlign w:val="center"/>
          </w:tcPr>
          <w:p w14:paraId="6C7CD08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8,029,621.41</w:t>
            </w:r>
          </w:p>
        </w:tc>
      </w:tr>
      <w:tr w:rsidR="002D0AE7" w14:paraId="6651C284"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42F651C9" w14:textId="77777777" w:rsidR="002D0AE7" w:rsidRDefault="00333EBB">
            <w:pPr>
              <w:ind w:left="-19"/>
              <w:rPr>
                <w:rFonts w:hint="eastAsia"/>
                <w:color w:val="000000" w:themeColor="text1"/>
                <w:sz w:val="21"/>
                <w:szCs w:val="21"/>
              </w:rPr>
            </w:pPr>
            <w:r>
              <w:rPr>
                <w:rFonts w:hint="eastAsia"/>
                <w:color w:val="000000" w:themeColor="text1"/>
                <w:sz w:val="21"/>
                <w:szCs w:val="21"/>
              </w:rPr>
              <w:t>四、净利润（净亏损以“－”号填列）</w:t>
            </w:r>
          </w:p>
        </w:tc>
        <w:tc>
          <w:tcPr>
            <w:tcW w:w="505" w:type="pct"/>
            <w:tcBorders>
              <w:top w:val="outset" w:sz="4" w:space="0" w:color="auto"/>
              <w:left w:val="outset" w:sz="4" w:space="0" w:color="auto"/>
              <w:bottom w:val="outset" w:sz="4" w:space="0" w:color="auto"/>
              <w:right w:val="outset" w:sz="4" w:space="0" w:color="auto"/>
            </w:tcBorders>
            <w:vAlign w:val="center"/>
          </w:tcPr>
          <w:p w14:paraId="7EAC6F5F"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38398A2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109,348,564.52</w:t>
            </w:r>
          </w:p>
        </w:tc>
        <w:tc>
          <w:tcPr>
            <w:tcW w:w="813" w:type="pct"/>
            <w:tcBorders>
              <w:top w:val="outset" w:sz="4" w:space="0" w:color="auto"/>
              <w:left w:val="outset" w:sz="4" w:space="0" w:color="auto"/>
              <w:bottom w:val="outset" w:sz="4" w:space="0" w:color="auto"/>
              <w:right w:val="outset" w:sz="4" w:space="0" w:color="auto"/>
            </w:tcBorders>
            <w:vAlign w:val="center"/>
          </w:tcPr>
          <w:p w14:paraId="12767AC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72,263,232.23</w:t>
            </w:r>
          </w:p>
        </w:tc>
      </w:tr>
      <w:tr w:rsidR="002D0AE7" w14:paraId="2D0F3444"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69A03D0F" w14:textId="77777777" w:rsidR="002D0AE7" w:rsidRDefault="00333EBB">
            <w:pPr>
              <w:ind w:firstLineChars="108" w:firstLine="227"/>
              <w:rPr>
                <w:rFonts w:hint="eastAsia"/>
                <w:color w:val="000000" w:themeColor="text1"/>
                <w:sz w:val="21"/>
                <w:szCs w:val="21"/>
              </w:rPr>
            </w:pPr>
            <w:r>
              <w:rPr>
                <w:rFonts w:hint="eastAsia"/>
                <w:color w:val="000000" w:themeColor="text1"/>
                <w:sz w:val="21"/>
                <w:szCs w:val="21"/>
              </w:rPr>
              <w:t>（一）</w:t>
            </w:r>
            <w:r>
              <w:rPr>
                <w:color w:val="000000" w:themeColor="text1"/>
                <w:sz w:val="21"/>
                <w:szCs w:val="21"/>
              </w:rPr>
              <w:t>持续经营净利润（净亏损以</w:t>
            </w:r>
            <w:r>
              <w:rPr>
                <w:color w:val="000000" w:themeColor="text1"/>
                <w:sz w:val="21"/>
                <w:szCs w:val="21"/>
              </w:rPr>
              <w:t>“</w:t>
            </w:r>
            <w:r>
              <w:rPr>
                <w:color w:val="000000" w:themeColor="text1"/>
                <w:sz w:val="21"/>
                <w:szCs w:val="21"/>
              </w:rPr>
              <w:t>－</w:t>
            </w:r>
            <w:r>
              <w:rPr>
                <w:color w:val="000000" w:themeColor="text1"/>
                <w:sz w:val="21"/>
                <w:szCs w:val="21"/>
              </w:rPr>
              <w:t>”</w:t>
            </w:r>
            <w:r>
              <w:rPr>
                <w:color w:val="000000" w:themeColor="text1"/>
                <w:sz w:val="21"/>
                <w:szCs w:val="21"/>
              </w:rPr>
              <w:t>号填列）</w:t>
            </w:r>
          </w:p>
        </w:tc>
        <w:tc>
          <w:tcPr>
            <w:tcW w:w="505" w:type="pct"/>
            <w:tcBorders>
              <w:top w:val="outset" w:sz="4" w:space="0" w:color="auto"/>
              <w:left w:val="outset" w:sz="4" w:space="0" w:color="auto"/>
              <w:bottom w:val="outset" w:sz="4" w:space="0" w:color="auto"/>
              <w:right w:val="outset" w:sz="4" w:space="0" w:color="auto"/>
            </w:tcBorders>
            <w:vAlign w:val="center"/>
          </w:tcPr>
          <w:p w14:paraId="435352FF"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6EA3E5B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109,348,564.52</w:t>
            </w:r>
          </w:p>
        </w:tc>
        <w:tc>
          <w:tcPr>
            <w:tcW w:w="813" w:type="pct"/>
            <w:tcBorders>
              <w:top w:val="outset" w:sz="4" w:space="0" w:color="auto"/>
              <w:left w:val="outset" w:sz="4" w:space="0" w:color="auto"/>
              <w:bottom w:val="outset" w:sz="4" w:space="0" w:color="auto"/>
              <w:right w:val="outset" w:sz="4" w:space="0" w:color="auto"/>
            </w:tcBorders>
            <w:vAlign w:val="center"/>
          </w:tcPr>
          <w:p w14:paraId="20B0789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72,263,232.23</w:t>
            </w:r>
          </w:p>
        </w:tc>
      </w:tr>
      <w:tr w:rsidR="002D0AE7" w14:paraId="3FFC11E1"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3B54CE66" w14:textId="77777777" w:rsidR="002D0AE7" w:rsidRDefault="00333EBB">
            <w:pPr>
              <w:ind w:firstLineChars="108" w:firstLine="227"/>
              <w:rPr>
                <w:rFonts w:hint="eastAsia"/>
                <w:color w:val="000000" w:themeColor="text1"/>
                <w:sz w:val="21"/>
                <w:szCs w:val="21"/>
              </w:rPr>
            </w:pPr>
            <w:r>
              <w:rPr>
                <w:rFonts w:hint="eastAsia"/>
                <w:color w:val="000000" w:themeColor="text1"/>
                <w:sz w:val="21"/>
                <w:szCs w:val="21"/>
              </w:rPr>
              <w:t>（二）终止经营净利润（净亏损以“－”号填列）</w:t>
            </w:r>
          </w:p>
        </w:tc>
        <w:tc>
          <w:tcPr>
            <w:tcW w:w="505" w:type="pct"/>
            <w:tcBorders>
              <w:top w:val="outset" w:sz="4" w:space="0" w:color="auto"/>
              <w:left w:val="outset" w:sz="4" w:space="0" w:color="auto"/>
              <w:bottom w:val="outset" w:sz="4" w:space="0" w:color="auto"/>
              <w:right w:val="outset" w:sz="4" w:space="0" w:color="auto"/>
            </w:tcBorders>
            <w:vAlign w:val="center"/>
          </w:tcPr>
          <w:p w14:paraId="3F7EF3A6"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045603EC" w14:textId="77777777" w:rsidR="002D0AE7" w:rsidRDefault="002D0AE7">
            <w:pPr>
              <w:jc w:val="right"/>
              <w:rPr>
                <w:rFonts w:ascii="Times New Roman" w:hAnsi="Times New Roman" w:cs="Times New Roman"/>
                <w:sz w:val="21"/>
                <w:szCs w:val="21"/>
              </w:rPr>
            </w:pPr>
          </w:p>
        </w:tc>
        <w:tc>
          <w:tcPr>
            <w:tcW w:w="813" w:type="pct"/>
            <w:tcBorders>
              <w:top w:val="outset" w:sz="4" w:space="0" w:color="auto"/>
              <w:left w:val="outset" w:sz="4" w:space="0" w:color="auto"/>
              <w:bottom w:val="outset" w:sz="4" w:space="0" w:color="auto"/>
              <w:right w:val="outset" w:sz="4" w:space="0" w:color="auto"/>
            </w:tcBorders>
            <w:vAlign w:val="center"/>
          </w:tcPr>
          <w:p w14:paraId="72E11553" w14:textId="77777777" w:rsidR="002D0AE7" w:rsidRDefault="002D0AE7">
            <w:pPr>
              <w:jc w:val="right"/>
              <w:rPr>
                <w:rFonts w:ascii="Times New Roman" w:hAnsi="Times New Roman" w:cs="Times New Roman"/>
                <w:sz w:val="21"/>
                <w:szCs w:val="21"/>
              </w:rPr>
            </w:pPr>
          </w:p>
        </w:tc>
      </w:tr>
      <w:tr w:rsidR="002D0AE7" w14:paraId="255E5D56"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4446C0FA" w14:textId="77777777" w:rsidR="002D0AE7" w:rsidRDefault="00333EBB">
            <w:pPr>
              <w:ind w:leftChars="-19" w:left="-6" w:hangingChars="19" w:hanging="40"/>
              <w:rPr>
                <w:rFonts w:hint="eastAsia"/>
                <w:color w:val="000000" w:themeColor="text1"/>
                <w:sz w:val="21"/>
                <w:szCs w:val="21"/>
              </w:rPr>
            </w:pPr>
            <w:r>
              <w:rPr>
                <w:rFonts w:hint="eastAsia"/>
                <w:color w:val="000000" w:themeColor="text1"/>
                <w:sz w:val="21"/>
                <w:szCs w:val="21"/>
              </w:rPr>
              <w:t>五、其他综合收益的税后净额</w:t>
            </w:r>
          </w:p>
        </w:tc>
        <w:tc>
          <w:tcPr>
            <w:tcW w:w="505" w:type="pct"/>
            <w:tcBorders>
              <w:top w:val="outset" w:sz="4" w:space="0" w:color="auto"/>
              <w:left w:val="outset" w:sz="4" w:space="0" w:color="auto"/>
              <w:bottom w:val="outset" w:sz="4" w:space="0" w:color="auto"/>
              <w:right w:val="outset" w:sz="4" w:space="0" w:color="auto"/>
            </w:tcBorders>
            <w:vAlign w:val="center"/>
          </w:tcPr>
          <w:p w14:paraId="6966014C"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094CAF9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2,495,483.17</w:t>
            </w:r>
          </w:p>
        </w:tc>
        <w:tc>
          <w:tcPr>
            <w:tcW w:w="813" w:type="pct"/>
            <w:tcBorders>
              <w:top w:val="outset" w:sz="4" w:space="0" w:color="auto"/>
              <w:left w:val="outset" w:sz="4" w:space="0" w:color="auto"/>
              <w:bottom w:val="outset" w:sz="4" w:space="0" w:color="auto"/>
              <w:right w:val="outset" w:sz="4" w:space="0" w:color="auto"/>
            </w:tcBorders>
            <w:vAlign w:val="center"/>
          </w:tcPr>
          <w:p w14:paraId="5DF89AF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5,067,451.11</w:t>
            </w:r>
          </w:p>
        </w:tc>
      </w:tr>
      <w:tr w:rsidR="002D0AE7" w14:paraId="14A6D228"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302F7107"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（一）不能重分类进损益的其他综合收益</w:t>
            </w:r>
          </w:p>
        </w:tc>
        <w:tc>
          <w:tcPr>
            <w:tcW w:w="505" w:type="pct"/>
            <w:tcBorders>
              <w:top w:val="outset" w:sz="4" w:space="0" w:color="auto"/>
              <w:left w:val="outset" w:sz="4" w:space="0" w:color="auto"/>
              <w:bottom w:val="outset" w:sz="4" w:space="0" w:color="auto"/>
              <w:right w:val="outset" w:sz="4" w:space="0" w:color="auto"/>
            </w:tcBorders>
            <w:vAlign w:val="center"/>
          </w:tcPr>
          <w:p w14:paraId="270FE9A5"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2883191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2,495,483.17</w:t>
            </w:r>
          </w:p>
        </w:tc>
        <w:tc>
          <w:tcPr>
            <w:tcW w:w="813" w:type="pct"/>
            <w:tcBorders>
              <w:top w:val="outset" w:sz="4" w:space="0" w:color="auto"/>
              <w:left w:val="outset" w:sz="4" w:space="0" w:color="auto"/>
              <w:bottom w:val="outset" w:sz="4" w:space="0" w:color="auto"/>
              <w:right w:val="outset" w:sz="4" w:space="0" w:color="auto"/>
            </w:tcBorders>
            <w:vAlign w:val="center"/>
          </w:tcPr>
          <w:p w14:paraId="4866390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5,067,451.11</w:t>
            </w:r>
          </w:p>
        </w:tc>
      </w:tr>
      <w:tr w:rsidR="002D0AE7" w14:paraId="1052D37E"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5ED911BC" w14:textId="77777777" w:rsidR="002D0AE7" w:rsidRDefault="00333EBB">
            <w:pPr>
              <w:ind w:firstLineChars="200" w:firstLine="420"/>
              <w:rPr>
                <w:rFonts w:hint="eastAsia"/>
                <w:color w:val="000000" w:themeColor="text1"/>
                <w:sz w:val="21"/>
                <w:szCs w:val="21"/>
              </w:rPr>
            </w:pPr>
            <w:r>
              <w:rPr>
                <w:color w:val="000000" w:themeColor="text1"/>
                <w:sz w:val="21"/>
                <w:szCs w:val="21"/>
              </w:rPr>
              <w:t>1.</w:t>
            </w:r>
            <w:r>
              <w:rPr>
                <w:color w:val="000000" w:themeColor="text1"/>
                <w:sz w:val="21"/>
                <w:szCs w:val="21"/>
              </w:rPr>
              <w:t>重新计量设定受益计划变动额</w:t>
            </w:r>
          </w:p>
        </w:tc>
        <w:tc>
          <w:tcPr>
            <w:tcW w:w="505" w:type="pct"/>
            <w:tcBorders>
              <w:top w:val="outset" w:sz="4" w:space="0" w:color="auto"/>
              <w:left w:val="outset" w:sz="4" w:space="0" w:color="auto"/>
              <w:bottom w:val="outset" w:sz="4" w:space="0" w:color="auto"/>
              <w:right w:val="outset" w:sz="4" w:space="0" w:color="auto"/>
            </w:tcBorders>
            <w:vAlign w:val="center"/>
          </w:tcPr>
          <w:p w14:paraId="488A44E5"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7B81D8BC" w14:textId="77777777" w:rsidR="002D0AE7" w:rsidRDefault="002D0AE7">
            <w:pPr>
              <w:jc w:val="right"/>
              <w:rPr>
                <w:rFonts w:ascii="Times New Roman" w:hAnsi="Times New Roman" w:cs="Times New Roman"/>
                <w:sz w:val="21"/>
                <w:szCs w:val="21"/>
              </w:rPr>
            </w:pPr>
          </w:p>
        </w:tc>
        <w:tc>
          <w:tcPr>
            <w:tcW w:w="813" w:type="pct"/>
            <w:tcBorders>
              <w:top w:val="outset" w:sz="4" w:space="0" w:color="auto"/>
              <w:left w:val="outset" w:sz="4" w:space="0" w:color="auto"/>
              <w:bottom w:val="outset" w:sz="4" w:space="0" w:color="auto"/>
              <w:right w:val="outset" w:sz="4" w:space="0" w:color="auto"/>
            </w:tcBorders>
            <w:vAlign w:val="center"/>
          </w:tcPr>
          <w:p w14:paraId="3F649271" w14:textId="77777777" w:rsidR="002D0AE7" w:rsidRDefault="002D0AE7">
            <w:pPr>
              <w:jc w:val="right"/>
              <w:rPr>
                <w:rFonts w:ascii="Times New Roman" w:hAnsi="Times New Roman" w:cs="Times New Roman"/>
                <w:sz w:val="21"/>
                <w:szCs w:val="21"/>
              </w:rPr>
            </w:pPr>
          </w:p>
        </w:tc>
      </w:tr>
      <w:tr w:rsidR="002D0AE7" w14:paraId="4B12B969"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54884577" w14:textId="77777777" w:rsidR="002D0AE7" w:rsidRDefault="00333EBB">
            <w:pPr>
              <w:ind w:firstLineChars="200" w:firstLine="420"/>
              <w:rPr>
                <w:rFonts w:hint="eastAsia"/>
                <w:color w:val="000000" w:themeColor="text1"/>
                <w:sz w:val="21"/>
                <w:szCs w:val="21"/>
              </w:rPr>
            </w:pPr>
            <w:r>
              <w:rPr>
                <w:color w:val="000000" w:themeColor="text1"/>
                <w:sz w:val="21"/>
                <w:szCs w:val="21"/>
              </w:rPr>
              <w:t>2.</w:t>
            </w:r>
            <w:r>
              <w:rPr>
                <w:color w:val="000000" w:themeColor="text1"/>
                <w:sz w:val="21"/>
                <w:szCs w:val="21"/>
              </w:rPr>
              <w:t>权益法下不能转损益的其他综合收益</w:t>
            </w:r>
          </w:p>
        </w:tc>
        <w:tc>
          <w:tcPr>
            <w:tcW w:w="505" w:type="pct"/>
            <w:tcBorders>
              <w:top w:val="outset" w:sz="4" w:space="0" w:color="auto"/>
              <w:left w:val="outset" w:sz="4" w:space="0" w:color="auto"/>
              <w:bottom w:val="outset" w:sz="4" w:space="0" w:color="auto"/>
              <w:right w:val="outset" w:sz="4" w:space="0" w:color="auto"/>
            </w:tcBorders>
            <w:vAlign w:val="center"/>
          </w:tcPr>
          <w:p w14:paraId="0ADDC505"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78DBFBAC" w14:textId="77777777" w:rsidR="002D0AE7" w:rsidRDefault="002D0AE7">
            <w:pPr>
              <w:jc w:val="right"/>
              <w:rPr>
                <w:rFonts w:ascii="Times New Roman" w:hAnsi="Times New Roman" w:cs="Times New Roman"/>
                <w:sz w:val="21"/>
                <w:szCs w:val="21"/>
              </w:rPr>
            </w:pPr>
          </w:p>
        </w:tc>
        <w:tc>
          <w:tcPr>
            <w:tcW w:w="813" w:type="pct"/>
            <w:tcBorders>
              <w:top w:val="outset" w:sz="4" w:space="0" w:color="auto"/>
              <w:left w:val="outset" w:sz="4" w:space="0" w:color="auto"/>
              <w:bottom w:val="outset" w:sz="4" w:space="0" w:color="auto"/>
              <w:right w:val="outset" w:sz="4" w:space="0" w:color="auto"/>
            </w:tcBorders>
            <w:vAlign w:val="center"/>
          </w:tcPr>
          <w:p w14:paraId="2A52F1CB" w14:textId="77777777" w:rsidR="002D0AE7" w:rsidRDefault="002D0AE7">
            <w:pPr>
              <w:jc w:val="right"/>
              <w:rPr>
                <w:rFonts w:ascii="Times New Roman" w:hAnsi="Times New Roman" w:cs="Times New Roman"/>
                <w:sz w:val="21"/>
                <w:szCs w:val="21"/>
              </w:rPr>
            </w:pPr>
          </w:p>
        </w:tc>
      </w:tr>
      <w:tr w:rsidR="002D0AE7" w14:paraId="622B414E"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285FC19F" w14:textId="77777777" w:rsidR="002D0AE7" w:rsidRDefault="00333EBB">
            <w:pPr>
              <w:ind w:firstLineChars="200" w:firstLine="420"/>
              <w:rPr>
                <w:rFonts w:hint="eastAsia"/>
                <w:color w:val="000000" w:themeColor="text1"/>
                <w:sz w:val="21"/>
                <w:szCs w:val="21"/>
              </w:rPr>
            </w:pPr>
            <w:r>
              <w:rPr>
                <w:color w:val="000000" w:themeColor="text1"/>
                <w:sz w:val="21"/>
                <w:szCs w:val="21"/>
              </w:rPr>
              <w:t>3.</w:t>
            </w:r>
            <w:r>
              <w:rPr>
                <w:color w:val="000000" w:themeColor="text1"/>
                <w:sz w:val="21"/>
                <w:szCs w:val="21"/>
              </w:rPr>
              <w:t>其他权益工具投资公允价值变动</w:t>
            </w:r>
          </w:p>
        </w:tc>
        <w:tc>
          <w:tcPr>
            <w:tcW w:w="505" w:type="pct"/>
            <w:tcBorders>
              <w:top w:val="outset" w:sz="4" w:space="0" w:color="auto"/>
              <w:left w:val="outset" w:sz="4" w:space="0" w:color="auto"/>
              <w:bottom w:val="outset" w:sz="4" w:space="0" w:color="auto"/>
              <w:right w:val="outset" w:sz="4" w:space="0" w:color="auto"/>
            </w:tcBorders>
            <w:vAlign w:val="center"/>
          </w:tcPr>
          <w:p w14:paraId="7C93A762"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4789446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2,495,483.17</w:t>
            </w:r>
          </w:p>
        </w:tc>
        <w:tc>
          <w:tcPr>
            <w:tcW w:w="813" w:type="pct"/>
            <w:tcBorders>
              <w:top w:val="outset" w:sz="4" w:space="0" w:color="auto"/>
              <w:left w:val="outset" w:sz="4" w:space="0" w:color="auto"/>
              <w:bottom w:val="outset" w:sz="4" w:space="0" w:color="auto"/>
              <w:right w:val="outset" w:sz="4" w:space="0" w:color="auto"/>
            </w:tcBorders>
            <w:vAlign w:val="center"/>
          </w:tcPr>
          <w:p w14:paraId="7811E92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5,067,451.11</w:t>
            </w:r>
          </w:p>
        </w:tc>
      </w:tr>
      <w:tr w:rsidR="002D0AE7" w14:paraId="622CE908"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30754526" w14:textId="77777777" w:rsidR="002D0AE7" w:rsidRDefault="00333EBB">
            <w:pPr>
              <w:ind w:firstLineChars="200" w:firstLine="420"/>
              <w:rPr>
                <w:rFonts w:hint="eastAsia"/>
                <w:color w:val="000000" w:themeColor="text1"/>
                <w:sz w:val="21"/>
                <w:szCs w:val="21"/>
              </w:rPr>
            </w:pPr>
            <w:r>
              <w:rPr>
                <w:color w:val="000000" w:themeColor="text1"/>
                <w:sz w:val="21"/>
                <w:szCs w:val="21"/>
              </w:rPr>
              <w:t>4.</w:t>
            </w:r>
            <w:r>
              <w:rPr>
                <w:color w:val="000000" w:themeColor="text1"/>
                <w:sz w:val="21"/>
                <w:szCs w:val="21"/>
              </w:rPr>
              <w:t>企业自身信用风险公允价值变动</w:t>
            </w:r>
          </w:p>
        </w:tc>
        <w:tc>
          <w:tcPr>
            <w:tcW w:w="505" w:type="pct"/>
            <w:tcBorders>
              <w:top w:val="outset" w:sz="4" w:space="0" w:color="auto"/>
              <w:left w:val="outset" w:sz="4" w:space="0" w:color="auto"/>
              <w:bottom w:val="outset" w:sz="4" w:space="0" w:color="auto"/>
              <w:right w:val="outset" w:sz="4" w:space="0" w:color="auto"/>
            </w:tcBorders>
            <w:vAlign w:val="center"/>
          </w:tcPr>
          <w:p w14:paraId="1DEA874B"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4954FC79" w14:textId="77777777" w:rsidR="002D0AE7" w:rsidRDefault="002D0AE7">
            <w:pPr>
              <w:jc w:val="right"/>
              <w:rPr>
                <w:rFonts w:ascii="Times New Roman" w:hAnsi="Times New Roman" w:cs="Times New Roman"/>
                <w:sz w:val="21"/>
                <w:szCs w:val="21"/>
              </w:rPr>
            </w:pPr>
          </w:p>
        </w:tc>
        <w:tc>
          <w:tcPr>
            <w:tcW w:w="813" w:type="pct"/>
            <w:tcBorders>
              <w:top w:val="outset" w:sz="4" w:space="0" w:color="auto"/>
              <w:left w:val="outset" w:sz="4" w:space="0" w:color="auto"/>
              <w:bottom w:val="outset" w:sz="4" w:space="0" w:color="auto"/>
              <w:right w:val="outset" w:sz="4" w:space="0" w:color="auto"/>
            </w:tcBorders>
            <w:vAlign w:val="center"/>
          </w:tcPr>
          <w:p w14:paraId="5C667896" w14:textId="77777777" w:rsidR="002D0AE7" w:rsidRDefault="002D0AE7">
            <w:pPr>
              <w:jc w:val="right"/>
              <w:rPr>
                <w:rFonts w:ascii="Times New Roman" w:hAnsi="Times New Roman" w:cs="Times New Roman"/>
                <w:sz w:val="21"/>
                <w:szCs w:val="21"/>
              </w:rPr>
            </w:pPr>
          </w:p>
        </w:tc>
      </w:tr>
      <w:tr w:rsidR="002D0AE7" w14:paraId="71FA15B3"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6FF4D03D"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（二）将重分类进损益的其他综合收益</w:t>
            </w:r>
          </w:p>
        </w:tc>
        <w:tc>
          <w:tcPr>
            <w:tcW w:w="505" w:type="pct"/>
            <w:tcBorders>
              <w:top w:val="outset" w:sz="4" w:space="0" w:color="auto"/>
              <w:left w:val="outset" w:sz="4" w:space="0" w:color="auto"/>
              <w:bottom w:val="outset" w:sz="4" w:space="0" w:color="auto"/>
              <w:right w:val="outset" w:sz="4" w:space="0" w:color="auto"/>
            </w:tcBorders>
            <w:vAlign w:val="center"/>
          </w:tcPr>
          <w:p w14:paraId="1DE5A96D"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0EA1786B" w14:textId="77777777" w:rsidR="002D0AE7" w:rsidRDefault="002D0AE7">
            <w:pPr>
              <w:jc w:val="right"/>
              <w:rPr>
                <w:rFonts w:ascii="Times New Roman" w:hAnsi="Times New Roman" w:cs="Times New Roman"/>
                <w:sz w:val="21"/>
                <w:szCs w:val="21"/>
              </w:rPr>
            </w:pPr>
          </w:p>
        </w:tc>
        <w:tc>
          <w:tcPr>
            <w:tcW w:w="813" w:type="pct"/>
            <w:tcBorders>
              <w:top w:val="outset" w:sz="4" w:space="0" w:color="auto"/>
              <w:left w:val="outset" w:sz="4" w:space="0" w:color="auto"/>
              <w:bottom w:val="outset" w:sz="4" w:space="0" w:color="auto"/>
              <w:right w:val="outset" w:sz="4" w:space="0" w:color="auto"/>
            </w:tcBorders>
            <w:vAlign w:val="center"/>
          </w:tcPr>
          <w:p w14:paraId="63954EBA" w14:textId="77777777" w:rsidR="002D0AE7" w:rsidRDefault="002D0AE7">
            <w:pPr>
              <w:jc w:val="right"/>
              <w:rPr>
                <w:rFonts w:ascii="Times New Roman" w:hAnsi="Times New Roman" w:cs="Times New Roman"/>
                <w:sz w:val="21"/>
                <w:szCs w:val="21"/>
              </w:rPr>
            </w:pPr>
          </w:p>
        </w:tc>
      </w:tr>
      <w:tr w:rsidR="002D0AE7" w14:paraId="6FB1E9C1"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221F75F5" w14:textId="77777777" w:rsidR="002D0AE7" w:rsidRDefault="00333EBB">
            <w:pPr>
              <w:ind w:firstLineChars="200" w:firstLine="420"/>
              <w:rPr>
                <w:rFonts w:hint="eastAsia"/>
                <w:color w:val="000000" w:themeColor="text1"/>
                <w:sz w:val="21"/>
                <w:szCs w:val="21"/>
              </w:rPr>
            </w:pPr>
            <w:r>
              <w:rPr>
                <w:color w:val="000000" w:themeColor="text1"/>
                <w:sz w:val="21"/>
                <w:szCs w:val="21"/>
              </w:rPr>
              <w:t>1.</w:t>
            </w:r>
            <w:r>
              <w:rPr>
                <w:color w:val="000000" w:themeColor="text1"/>
                <w:sz w:val="21"/>
                <w:szCs w:val="21"/>
              </w:rPr>
              <w:t>权益法下可转损益的其他综合收益</w:t>
            </w:r>
          </w:p>
        </w:tc>
        <w:tc>
          <w:tcPr>
            <w:tcW w:w="505" w:type="pct"/>
            <w:tcBorders>
              <w:top w:val="outset" w:sz="4" w:space="0" w:color="auto"/>
              <w:left w:val="outset" w:sz="4" w:space="0" w:color="auto"/>
              <w:bottom w:val="outset" w:sz="4" w:space="0" w:color="auto"/>
              <w:right w:val="outset" w:sz="4" w:space="0" w:color="auto"/>
            </w:tcBorders>
            <w:vAlign w:val="center"/>
          </w:tcPr>
          <w:p w14:paraId="2BFCEA48"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20B4A16D" w14:textId="77777777" w:rsidR="002D0AE7" w:rsidRDefault="002D0AE7">
            <w:pPr>
              <w:jc w:val="right"/>
              <w:rPr>
                <w:rFonts w:ascii="Times New Roman" w:hAnsi="Times New Roman" w:cs="Times New Roman"/>
                <w:sz w:val="21"/>
                <w:szCs w:val="21"/>
              </w:rPr>
            </w:pPr>
          </w:p>
        </w:tc>
        <w:tc>
          <w:tcPr>
            <w:tcW w:w="813" w:type="pct"/>
            <w:tcBorders>
              <w:top w:val="outset" w:sz="4" w:space="0" w:color="auto"/>
              <w:left w:val="outset" w:sz="4" w:space="0" w:color="auto"/>
              <w:bottom w:val="outset" w:sz="4" w:space="0" w:color="auto"/>
              <w:right w:val="outset" w:sz="4" w:space="0" w:color="auto"/>
            </w:tcBorders>
            <w:vAlign w:val="center"/>
          </w:tcPr>
          <w:p w14:paraId="4CA1A132" w14:textId="77777777" w:rsidR="002D0AE7" w:rsidRDefault="002D0AE7">
            <w:pPr>
              <w:jc w:val="right"/>
              <w:rPr>
                <w:rFonts w:ascii="Times New Roman" w:hAnsi="Times New Roman" w:cs="Times New Roman"/>
                <w:sz w:val="21"/>
                <w:szCs w:val="21"/>
              </w:rPr>
            </w:pPr>
          </w:p>
        </w:tc>
      </w:tr>
      <w:tr w:rsidR="002D0AE7" w14:paraId="3F0B9838"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17619537" w14:textId="77777777" w:rsidR="002D0AE7" w:rsidRDefault="00333EBB">
            <w:pPr>
              <w:ind w:firstLineChars="200" w:firstLine="420"/>
              <w:rPr>
                <w:rFonts w:hint="eastAsia"/>
                <w:color w:val="000000" w:themeColor="text1"/>
                <w:sz w:val="21"/>
                <w:szCs w:val="21"/>
              </w:rPr>
            </w:pPr>
            <w:r>
              <w:rPr>
                <w:color w:val="000000" w:themeColor="text1"/>
                <w:sz w:val="21"/>
                <w:szCs w:val="21"/>
              </w:rPr>
              <w:t>2.</w:t>
            </w:r>
            <w:r>
              <w:rPr>
                <w:color w:val="000000" w:themeColor="text1"/>
                <w:sz w:val="21"/>
                <w:szCs w:val="21"/>
              </w:rPr>
              <w:t>其他债权投资公允价值变动</w:t>
            </w:r>
          </w:p>
        </w:tc>
        <w:tc>
          <w:tcPr>
            <w:tcW w:w="505" w:type="pct"/>
            <w:tcBorders>
              <w:top w:val="outset" w:sz="4" w:space="0" w:color="auto"/>
              <w:left w:val="outset" w:sz="4" w:space="0" w:color="auto"/>
              <w:bottom w:val="outset" w:sz="4" w:space="0" w:color="auto"/>
              <w:right w:val="outset" w:sz="4" w:space="0" w:color="auto"/>
            </w:tcBorders>
            <w:vAlign w:val="center"/>
          </w:tcPr>
          <w:p w14:paraId="15A61B73"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2077D4A9" w14:textId="77777777" w:rsidR="002D0AE7" w:rsidRDefault="002D0AE7">
            <w:pPr>
              <w:jc w:val="right"/>
              <w:rPr>
                <w:rFonts w:ascii="Times New Roman" w:hAnsi="Times New Roman" w:cs="Times New Roman"/>
                <w:sz w:val="21"/>
                <w:szCs w:val="21"/>
              </w:rPr>
            </w:pPr>
          </w:p>
        </w:tc>
        <w:tc>
          <w:tcPr>
            <w:tcW w:w="813" w:type="pct"/>
            <w:tcBorders>
              <w:top w:val="outset" w:sz="4" w:space="0" w:color="auto"/>
              <w:left w:val="outset" w:sz="4" w:space="0" w:color="auto"/>
              <w:bottom w:val="outset" w:sz="4" w:space="0" w:color="auto"/>
              <w:right w:val="outset" w:sz="4" w:space="0" w:color="auto"/>
            </w:tcBorders>
            <w:vAlign w:val="center"/>
          </w:tcPr>
          <w:p w14:paraId="30260E9E" w14:textId="77777777" w:rsidR="002D0AE7" w:rsidRDefault="002D0AE7">
            <w:pPr>
              <w:jc w:val="right"/>
              <w:rPr>
                <w:rFonts w:ascii="Times New Roman" w:hAnsi="Times New Roman" w:cs="Times New Roman"/>
                <w:sz w:val="21"/>
                <w:szCs w:val="21"/>
              </w:rPr>
            </w:pPr>
          </w:p>
        </w:tc>
      </w:tr>
      <w:tr w:rsidR="002D0AE7" w14:paraId="2C47CFBF"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3ADB677F" w14:textId="77777777" w:rsidR="002D0AE7" w:rsidRDefault="00333EBB">
            <w:pPr>
              <w:ind w:firstLineChars="200" w:firstLine="420"/>
              <w:rPr>
                <w:rFonts w:hint="eastAsia"/>
                <w:color w:val="000000" w:themeColor="text1"/>
                <w:sz w:val="21"/>
                <w:szCs w:val="21"/>
              </w:rPr>
            </w:pPr>
            <w:r>
              <w:rPr>
                <w:color w:val="000000" w:themeColor="text1"/>
                <w:sz w:val="21"/>
                <w:szCs w:val="21"/>
              </w:rPr>
              <w:t>3.</w:t>
            </w:r>
            <w:r>
              <w:rPr>
                <w:color w:val="000000" w:themeColor="text1"/>
                <w:sz w:val="21"/>
                <w:szCs w:val="21"/>
              </w:rPr>
              <w:t>金融资产重分类计入其他综合收益的金额</w:t>
            </w:r>
          </w:p>
        </w:tc>
        <w:tc>
          <w:tcPr>
            <w:tcW w:w="505" w:type="pct"/>
            <w:tcBorders>
              <w:top w:val="outset" w:sz="4" w:space="0" w:color="auto"/>
              <w:left w:val="outset" w:sz="4" w:space="0" w:color="auto"/>
              <w:bottom w:val="outset" w:sz="4" w:space="0" w:color="auto"/>
              <w:right w:val="outset" w:sz="4" w:space="0" w:color="auto"/>
            </w:tcBorders>
            <w:vAlign w:val="center"/>
          </w:tcPr>
          <w:p w14:paraId="0E1E5419"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3C8CF835" w14:textId="77777777" w:rsidR="002D0AE7" w:rsidRDefault="002D0AE7">
            <w:pPr>
              <w:jc w:val="right"/>
              <w:rPr>
                <w:rFonts w:ascii="Times New Roman" w:hAnsi="Times New Roman" w:cs="Times New Roman"/>
                <w:sz w:val="21"/>
                <w:szCs w:val="21"/>
              </w:rPr>
            </w:pPr>
          </w:p>
        </w:tc>
        <w:tc>
          <w:tcPr>
            <w:tcW w:w="813" w:type="pct"/>
            <w:tcBorders>
              <w:top w:val="outset" w:sz="4" w:space="0" w:color="auto"/>
              <w:left w:val="outset" w:sz="4" w:space="0" w:color="auto"/>
              <w:bottom w:val="outset" w:sz="4" w:space="0" w:color="auto"/>
              <w:right w:val="outset" w:sz="4" w:space="0" w:color="auto"/>
            </w:tcBorders>
            <w:vAlign w:val="center"/>
          </w:tcPr>
          <w:p w14:paraId="071ADAC8" w14:textId="77777777" w:rsidR="002D0AE7" w:rsidRDefault="002D0AE7">
            <w:pPr>
              <w:jc w:val="right"/>
              <w:rPr>
                <w:rFonts w:ascii="Times New Roman" w:hAnsi="Times New Roman" w:cs="Times New Roman"/>
                <w:sz w:val="21"/>
                <w:szCs w:val="21"/>
              </w:rPr>
            </w:pPr>
          </w:p>
        </w:tc>
      </w:tr>
      <w:tr w:rsidR="002D0AE7" w14:paraId="736F6471"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59F9A8DA" w14:textId="77777777" w:rsidR="002D0AE7" w:rsidRDefault="00333EBB">
            <w:pPr>
              <w:ind w:firstLineChars="200" w:firstLine="420"/>
              <w:rPr>
                <w:rFonts w:hint="eastAsia"/>
                <w:color w:val="000000" w:themeColor="text1"/>
                <w:sz w:val="21"/>
                <w:szCs w:val="21"/>
              </w:rPr>
            </w:pPr>
            <w:r>
              <w:rPr>
                <w:color w:val="000000" w:themeColor="text1"/>
                <w:sz w:val="21"/>
                <w:szCs w:val="21"/>
              </w:rPr>
              <w:t>4.</w:t>
            </w:r>
            <w:r>
              <w:rPr>
                <w:color w:val="000000" w:themeColor="text1"/>
                <w:sz w:val="21"/>
                <w:szCs w:val="21"/>
              </w:rPr>
              <w:t>其他债权投资信用减值准备</w:t>
            </w:r>
          </w:p>
        </w:tc>
        <w:tc>
          <w:tcPr>
            <w:tcW w:w="505" w:type="pct"/>
            <w:tcBorders>
              <w:top w:val="outset" w:sz="4" w:space="0" w:color="auto"/>
              <w:left w:val="outset" w:sz="4" w:space="0" w:color="auto"/>
              <w:bottom w:val="outset" w:sz="4" w:space="0" w:color="auto"/>
              <w:right w:val="outset" w:sz="4" w:space="0" w:color="auto"/>
            </w:tcBorders>
            <w:vAlign w:val="center"/>
          </w:tcPr>
          <w:p w14:paraId="59CFA490"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0DE8FB56" w14:textId="77777777" w:rsidR="002D0AE7" w:rsidRDefault="002D0AE7">
            <w:pPr>
              <w:jc w:val="right"/>
              <w:rPr>
                <w:rFonts w:ascii="Times New Roman" w:hAnsi="Times New Roman" w:cs="Times New Roman"/>
                <w:sz w:val="21"/>
                <w:szCs w:val="21"/>
              </w:rPr>
            </w:pPr>
          </w:p>
        </w:tc>
        <w:tc>
          <w:tcPr>
            <w:tcW w:w="813" w:type="pct"/>
            <w:tcBorders>
              <w:top w:val="outset" w:sz="4" w:space="0" w:color="auto"/>
              <w:left w:val="outset" w:sz="4" w:space="0" w:color="auto"/>
              <w:bottom w:val="outset" w:sz="4" w:space="0" w:color="auto"/>
              <w:right w:val="outset" w:sz="4" w:space="0" w:color="auto"/>
            </w:tcBorders>
            <w:vAlign w:val="center"/>
          </w:tcPr>
          <w:p w14:paraId="3DFECF9C" w14:textId="77777777" w:rsidR="002D0AE7" w:rsidRDefault="002D0AE7">
            <w:pPr>
              <w:jc w:val="right"/>
              <w:rPr>
                <w:rFonts w:ascii="Times New Roman" w:hAnsi="Times New Roman" w:cs="Times New Roman"/>
                <w:sz w:val="21"/>
                <w:szCs w:val="21"/>
              </w:rPr>
            </w:pPr>
          </w:p>
        </w:tc>
      </w:tr>
      <w:tr w:rsidR="002D0AE7" w14:paraId="0CF13BE2"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136D3BEA" w14:textId="77777777" w:rsidR="002D0AE7" w:rsidRDefault="00333EBB">
            <w:pPr>
              <w:ind w:firstLineChars="200" w:firstLine="420"/>
              <w:rPr>
                <w:rFonts w:hint="eastAsia"/>
                <w:color w:val="000000" w:themeColor="text1"/>
                <w:sz w:val="21"/>
                <w:szCs w:val="21"/>
              </w:rPr>
            </w:pPr>
            <w:r>
              <w:rPr>
                <w:color w:val="000000" w:themeColor="text1"/>
                <w:sz w:val="21"/>
                <w:szCs w:val="21"/>
              </w:rPr>
              <w:t>5.</w:t>
            </w:r>
            <w:r>
              <w:rPr>
                <w:color w:val="000000" w:themeColor="text1"/>
                <w:sz w:val="21"/>
                <w:szCs w:val="21"/>
              </w:rPr>
              <w:t>现金流量套期储备</w:t>
            </w:r>
          </w:p>
        </w:tc>
        <w:tc>
          <w:tcPr>
            <w:tcW w:w="505" w:type="pct"/>
            <w:tcBorders>
              <w:top w:val="outset" w:sz="4" w:space="0" w:color="auto"/>
              <w:left w:val="outset" w:sz="4" w:space="0" w:color="auto"/>
              <w:bottom w:val="outset" w:sz="4" w:space="0" w:color="auto"/>
              <w:right w:val="outset" w:sz="4" w:space="0" w:color="auto"/>
            </w:tcBorders>
            <w:vAlign w:val="center"/>
          </w:tcPr>
          <w:p w14:paraId="60A03308"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7CD2AE7E" w14:textId="77777777" w:rsidR="002D0AE7" w:rsidRDefault="002D0AE7">
            <w:pPr>
              <w:jc w:val="right"/>
              <w:rPr>
                <w:rFonts w:ascii="Times New Roman" w:hAnsi="Times New Roman" w:cs="Times New Roman"/>
                <w:sz w:val="21"/>
                <w:szCs w:val="21"/>
              </w:rPr>
            </w:pPr>
          </w:p>
        </w:tc>
        <w:tc>
          <w:tcPr>
            <w:tcW w:w="813" w:type="pct"/>
            <w:tcBorders>
              <w:top w:val="outset" w:sz="4" w:space="0" w:color="auto"/>
              <w:left w:val="outset" w:sz="4" w:space="0" w:color="auto"/>
              <w:bottom w:val="outset" w:sz="4" w:space="0" w:color="auto"/>
              <w:right w:val="outset" w:sz="4" w:space="0" w:color="auto"/>
            </w:tcBorders>
            <w:vAlign w:val="center"/>
          </w:tcPr>
          <w:p w14:paraId="397D09E4" w14:textId="77777777" w:rsidR="002D0AE7" w:rsidRDefault="002D0AE7">
            <w:pPr>
              <w:jc w:val="right"/>
              <w:rPr>
                <w:rFonts w:ascii="Times New Roman" w:hAnsi="Times New Roman" w:cs="Times New Roman"/>
                <w:sz w:val="21"/>
                <w:szCs w:val="21"/>
              </w:rPr>
            </w:pPr>
          </w:p>
        </w:tc>
      </w:tr>
      <w:tr w:rsidR="002D0AE7" w14:paraId="7E90A599"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1D930E97" w14:textId="77777777" w:rsidR="002D0AE7" w:rsidRDefault="00333EBB">
            <w:pPr>
              <w:ind w:firstLineChars="200" w:firstLine="420"/>
              <w:rPr>
                <w:rFonts w:hint="eastAsia"/>
                <w:color w:val="000000" w:themeColor="text1"/>
                <w:sz w:val="21"/>
                <w:szCs w:val="21"/>
              </w:rPr>
            </w:pPr>
            <w:r>
              <w:rPr>
                <w:color w:val="000000" w:themeColor="text1"/>
                <w:sz w:val="21"/>
                <w:szCs w:val="21"/>
              </w:rPr>
              <w:t>6.</w:t>
            </w:r>
            <w:r>
              <w:rPr>
                <w:color w:val="000000" w:themeColor="text1"/>
                <w:sz w:val="21"/>
                <w:szCs w:val="21"/>
              </w:rPr>
              <w:t>外币财务报表折算差额</w:t>
            </w:r>
          </w:p>
        </w:tc>
        <w:tc>
          <w:tcPr>
            <w:tcW w:w="505" w:type="pct"/>
            <w:tcBorders>
              <w:top w:val="outset" w:sz="4" w:space="0" w:color="auto"/>
              <w:left w:val="outset" w:sz="4" w:space="0" w:color="auto"/>
              <w:bottom w:val="outset" w:sz="4" w:space="0" w:color="auto"/>
              <w:right w:val="outset" w:sz="4" w:space="0" w:color="auto"/>
            </w:tcBorders>
            <w:vAlign w:val="center"/>
          </w:tcPr>
          <w:p w14:paraId="2DA38741"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75889EA1" w14:textId="77777777" w:rsidR="002D0AE7" w:rsidRDefault="002D0AE7">
            <w:pPr>
              <w:jc w:val="right"/>
              <w:rPr>
                <w:rFonts w:ascii="Times New Roman" w:hAnsi="Times New Roman" w:cs="Times New Roman"/>
                <w:sz w:val="21"/>
                <w:szCs w:val="21"/>
              </w:rPr>
            </w:pPr>
          </w:p>
        </w:tc>
        <w:tc>
          <w:tcPr>
            <w:tcW w:w="813" w:type="pct"/>
            <w:tcBorders>
              <w:top w:val="outset" w:sz="4" w:space="0" w:color="auto"/>
              <w:left w:val="outset" w:sz="4" w:space="0" w:color="auto"/>
              <w:bottom w:val="outset" w:sz="4" w:space="0" w:color="auto"/>
              <w:right w:val="outset" w:sz="4" w:space="0" w:color="auto"/>
            </w:tcBorders>
            <w:vAlign w:val="center"/>
          </w:tcPr>
          <w:p w14:paraId="153A7469" w14:textId="77777777" w:rsidR="002D0AE7" w:rsidRDefault="002D0AE7">
            <w:pPr>
              <w:jc w:val="right"/>
              <w:rPr>
                <w:rFonts w:ascii="Times New Roman" w:hAnsi="Times New Roman" w:cs="Times New Roman"/>
                <w:sz w:val="21"/>
                <w:szCs w:val="21"/>
              </w:rPr>
            </w:pPr>
          </w:p>
        </w:tc>
      </w:tr>
      <w:tr w:rsidR="002D0AE7" w14:paraId="5126BD3B"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0E2DED66" w14:textId="77777777" w:rsidR="002D0AE7" w:rsidRDefault="00333EBB">
            <w:pPr>
              <w:ind w:firstLineChars="200" w:firstLine="420"/>
              <w:rPr>
                <w:rFonts w:hint="eastAsia"/>
                <w:color w:val="000000" w:themeColor="text1"/>
                <w:sz w:val="21"/>
                <w:szCs w:val="21"/>
              </w:rPr>
            </w:pPr>
            <w:r>
              <w:rPr>
                <w:color w:val="000000" w:themeColor="text1"/>
                <w:sz w:val="21"/>
                <w:szCs w:val="21"/>
              </w:rPr>
              <w:t>7.</w:t>
            </w:r>
            <w:r>
              <w:rPr>
                <w:color w:val="000000" w:themeColor="text1"/>
                <w:sz w:val="21"/>
                <w:szCs w:val="21"/>
              </w:rPr>
              <w:t>其他</w:t>
            </w:r>
          </w:p>
        </w:tc>
        <w:tc>
          <w:tcPr>
            <w:tcW w:w="505" w:type="pct"/>
            <w:tcBorders>
              <w:top w:val="outset" w:sz="4" w:space="0" w:color="auto"/>
              <w:left w:val="outset" w:sz="4" w:space="0" w:color="auto"/>
              <w:bottom w:val="outset" w:sz="4" w:space="0" w:color="auto"/>
              <w:right w:val="outset" w:sz="4" w:space="0" w:color="auto"/>
            </w:tcBorders>
            <w:vAlign w:val="center"/>
          </w:tcPr>
          <w:p w14:paraId="12F91DA0"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79F2461C" w14:textId="77777777" w:rsidR="002D0AE7" w:rsidRDefault="002D0AE7">
            <w:pPr>
              <w:jc w:val="right"/>
              <w:rPr>
                <w:rFonts w:ascii="Times New Roman" w:hAnsi="Times New Roman" w:cs="Times New Roman"/>
                <w:sz w:val="21"/>
                <w:szCs w:val="21"/>
              </w:rPr>
            </w:pPr>
          </w:p>
        </w:tc>
        <w:tc>
          <w:tcPr>
            <w:tcW w:w="813" w:type="pct"/>
            <w:tcBorders>
              <w:top w:val="outset" w:sz="4" w:space="0" w:color="auto"/>
              <w:left w:val="outset" w:sz="4" w:space="0" w:color="auto"/>
              <w:bottom w:val="outset" w:sz="4" w:space="0" w:color="auto"/>
              <w:right w:val="outset" w:sz="4" w:space="0" w:color="auto"/>
            </w:tcBorders>
            <w:vAlign w:val="center"/>
          </w:tcPr>
          <w:p w14:paraId="5E7888D8" w14:textId="77777777" w:rsidR="002D0AE7" w:rsidRDefault="002D0AE7">
            <w:pPr>
              <w:jc w:val="right"/>
              <w:rPr>
                <w:rFonts w:ascii="Times New Roman" w:hAnsi="Times New Roman" w:cs="Times New Roman"/>
                <w:sz w:val="21"/>
                <w:szCs w:val="21"/>
              </w:rPr>
            </w:pPr>
          </w:p>
        </w:tc>
      </w:tr>
      <w:tr w:rsidR="002D0AE7" w14:paraId="0AC103C6"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56365673" w14:textId="77777777" w:rsidR="002D0AE7" w:rsidRDefault="00333EBB">
            <w:pPr>
              <w:ind w:left="-19"/>
              <w:rPr>
                <w:rFonts w:hint="eastAsia"/>
                <w:color w:val="000000" w:themeColor="text1"/>
                <w:sz w:val="21"/>
                <w:szCs w:val="21"/>
              </w:rPr>
            </w:pPr>
            <w:r>
              <w:rPr>
                <w:rFonts w:hint="eastAsia"/>
                <w:color w:val="000000" w:themeColor="text1"/>
                <w:sz w:val="21"/>
                <w:szCs w:val="21"/>
              </w:rPr>
              <w:t>六、综合收益总额</w:t>
            </w:r>
          </w:p>
        </w:tc>
        <w:tc>
          <w:tcPr>
            <w:tcW w:w="505" w:type="pct"/>
            <w:tcBorders>
              <w:top w:val="outset" w:sz="4" w:space="0" w:color="auto"/>
              <w:left w:val="outset" w:sz="4" w:space="0" w:color="auto"/>
              <w:bottom w:val="outset" w:sz="4" w:space="0" w:color="auto"/>
              <w:right w:val="outset" w:sz="4" w:space="0" w:color="auto"/>
            </w:tcBorders>
            <w:vAlign w:val="center"/>
          </w:tcPr>
          <w:p w14:paraId="7D9F67B2"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675A036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111,844,047.69</w:t>
            </w:r>
          </w:p>
        </w:tc>
        <w:tc>
          <w:tcPr>
            <w:tcW w:w="813" w:type="pct"/>
            <w:tcBorders>
              <w:top w:val="outset" w:sz="4" w:space="0" w:color="auto"/>
              <w:left w:val="outset" w:sz="4" w:space="0" w:color="auto"/>
              <w:bottom w:val="outset" w:sz="4" w:space="0" w:color="auto"/>
              <w:right w:val="outset" w:sz="4" w:space="0" w:color="auto"/>
            </w:tcBorders>
            <w:vAlign w:val="center"/>
          </w:tcPr>
          <w:p w14:paraId="0341B4C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77,330,683.34</w:t>
            </w:r>
          </w:p>
        </w:tc>
      </w:tr>
      <w:tr w:rsidR="002D0AE7" w14:paraId="704F289A" w14:textId="77777777">
        <w:trPr>
          <w:jc w:val="center"/>
        </w:trPr>
        <w:tc>
          <w:tcPr>
            <w:tcW w:w="5000" w:type="pct"/>
            <w:gridSpan w:val="4"/>
            <w:tcBorders>
              <w:top w:val="outset" w:sz="4" w:space="0" w:color="auto"/>
              <w:left w:val="outset" w:sz="4" w:space="0" w:color="auto"/>
              <w:bottom w:val="outset" w:sz="4" w:space="0" w:color="auto"/>
              <w:right w:val="outset" w:sz="4" w:space="0" w:color="auto"/>
            </w:tcBorders>
            <w:vAlign w:val="center"/>
          </w:tcPr>
          <w:p w14:paraId="29BA6F5E" w14:textId="77777777" w:rsidR="002D0AE7" w:rsidRDefault="00333EBB">
            <w:pPr>
              <w:rPr>
                <w:rFonts w:hint="eastAsia"/>
                <w:color w:val="000000" w:themeColor="text1"/>
                <w:sz w:val="21"/>
                <w:szCs w:val="21"/>
              </w:rPr>
            </w:pPr>
            <w:r>
              <w:rPr>
                <w:rFonts w:hint="eastAsia"/>
                <w:color w:val="000000" w:themeColor="text1"/>
                <w:sz w:val="21"/>
                <w:szCs w:val="21"/>
              </w:rPr>
              <w:t>七</w:t>
            </w:r>
            <w:r>
              <w:rPr>
                <w:color w:val="000000" w:themeColor="text1"/>
                <w:sz w:val="21"/>
                <w:szCs w:val="21"/>
              </w:rPr>
              <w:t>、每股收益：</w:t>
            </w:r>
          </w:p>
        </w:tc>
      </w:tr>
      <w:tr w:rsidR="002D0AE7" w14:paraId="41029106"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27D58722" w14:textId="77777777" w:rsidR="002D0AE7" w:rsidRDefault="00333EBB">
            <w:pPr>
              <w:ind w:left="-19" w:firstLineChars="200" w:firstLine="420"/>
              <w:rPr>
                <w:rFonts w:hint="eastAsia"/>
                <w:color w:val="000000" w:themeColor="text1"/>
                <w:sz w:val="21"/>
                <w:szCs w:val="21"/>
              </w:rPr>
            </w:pPr>
            <w:r>
              <w:rPr>
                <w:color w:val="000000" w:themeColor="text1"/>
                <w:sz w:val="21"/>
                <w:szCs w:val="21"/>
              </w:rPr>
              <w:t>（一）基本每股收益</w:t>
            </w:r>
            <w:r>
              <w:rPr>
                <w:rFonts w:hint="eastAsia"/>
                <w:color w:val="000000" w:themeColor="text1"/>
                <w:sz w:val="21"/>
                <w:szCs w:val="21"/>
              </w:rPr>
              <w:t>(</w:t>
            </w:r>
            <w:r>
              <w:rPr>
                <w:rFonts w:hint="eastAsia"/>
                <w:color w:val="000000" w:themeColor="text1"/>
                <w:sz w:val="21"/>
                <w:szCs w:val="21"/>
              </w:rPr>
              <w:t>元</w:t>
            </w:r>
            <w:r>
              <w:rPr>
                <w:rFonts w:hint="eastAsia"/>
                <w:color w:val="000000" w:themeColor="text1"/>
                <w:sz w:val="21"/>
                <w:szCs w:val="21"/>
              </w:rPr>
              <w:t>/</w:t>
            </w:r>
            <w:r>
              <w:rPr>
                <w:rFonts w:hint="eastAsia"/>
                <w:color w:val="000000" w:themeColor="text1"/>
                <w:sz w:val="21"/>
                <w:szCs w:val="21"/>
              </w:rPr>
              <w:t>股</w:t>
            </w:r>
            <w:r>
              <w:rPr>
                <w:rFonts w:hint="eastAsia"/>
                <w:color w:val="000000" w:themeColor="text1"/>
                <w:sz w:val="21"/>
                <w:szCs w:val="21"/>
              </w:rPr>
              <w:t>)</w:t>
            </w:r>
          </w:p>
        </w:tc>
        <w:tc>
          <w:tcPr>
            <w:tcW w:w="505" w:type="pct"/>
            <w:tcBorders>
              <w:top w:val="outset" w:sz="4" w:space="0" w:color="auto"/>
              <w:left w:val="outset" w:sz="4" w:space="0" w:color="auto"/>
              <w:bottom w:val="outset" w:sz="4" w:space="0" w:color="auto"/>
              <w:right w:val="outset" w:sz="4" w:space="0" w:color="auto"/>
            </w:tcBorders>
            <w:vAlign w:val="center"/>
          </w:tcPr>
          <w:p w14:paraId="45ADE3DD"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3B0B7E2F" w14:textId="77777777" w:rsidR="002D0AE7" w:rsidRDefault="002D0AE7">
            <w:pPr>
              <w:jc w:val="right"/>
              <w:rPr>
                <w:rFonts w:hint="eastAsia"/>
                <w:sz w:val="21"/>
                <w:szCs w:val="21"/>
              </w:rPr>
            </w:pPr>
          </w:p>
        </w:tc>
        <w:tc>
          <w:tcPr>
            <w:tcW w:w="813" w:type="pct"/>
            <w:tcBorders>
              <w:top w:val="outset" w:sz="4" w:space="0" w:color="auto"/>
              <w:left w:val="outset" w:sz="4" w:space="0" w:color="auto"/>
              <w:bottom w:val="outset" w:sz="4" w:space="0" w:color="auto"/>
              <w:right w:val="outset" w:sz="4" w:space="0" w:color="auto"/>
            </w:tcBorders>
            <w:vAlign w:val="center"/>
          </w:tcPr>
          <w:p w14:paraId="42F4B64D" w14:textId="77777777" w:rsidR="002D0AE7" w:rsidRDefault="002D0AE7">
            <w:pPr>
              <w:jc w:val="right"/>
              <w:rPr>
                <w:rFonts w:hint="eastAsia"/>
                <w:sz w:val="21"/>
                <w:szCs w:val="21"/>
              </w:rPr>
            </w:pPr>
          </w:p>
        </w:tc>
      </w:tr>
      <w:tr w:rsidR="002D0AE7" w14:paraId="5879F0B9" w14:textId="77777777">
        <w:trPr>
          <w:jc w:val="center"/>
        </w:trPr>
        <w:tc>
          <w:tcPr>
            <w:tcW w:w="2743" w:type="pct"/>
            <w:tcBorders>
              <w:top w:val="outset" w:sz="4" w:space="0" w:color="auto"/>
              <w:left w:val="outset" w:sz="4" w:space="0" w:color="auto"/>
              <w:bottom w:val="outset" w:sz="4" w:space="0" w:color="auto"/>
              <w:right w:val="outset" w:sz="4" w:space="0" w:color="auto"/>
            </w:tcBorders>
            <w:vAlign w:val="center"/>
          </w:tcPr>
          <w:p w14:paraId="1A825FFC" w14:textId="77777777" w:rsidR="002D0AE7" w:rsidRDefault="00333EBB">
            <w:pPr>
              <w:ind w:left="-19" w:firstLineChars="200" w:firstLine="420"/>
              <w:rPr>
                <w:rFonts w:hint="eastAsia"/>
                <w:color w:val="000000" w:themeColor="text1"/>
                <w:sz w:val="21"/>
                <w:szCs w:val="21"/>
              </w:rPr>
            </w:pPr>
            <w:r>
              <w:rPr>
                <w:color w:val="000000" w:themeColor="text1"/>
                <w:sz w:val="21"/>
                <w:szCs w:val="21"/>
              </w:rPr>
              <w:t>（二）稀释每股收益</w:t>
            </w:r>
            <w:r>
              <w:rPr>
                <w:rFonts w:hint="eastAsia"/>
                <w:color w:val="000000" w:themeColor="text1"/>
                <w:sz w:val="21"/>
                <w:szCs w:val="21"/>
              </w:rPr>
              <w:t>(</w:t>
            </w:r>
            <w:r>
              <w:rPr>
                <w:rFonts w:hint="eastAsia"/>
                <w:color w:val="000000" w:themeColor="text1"/>
                <w:sz w:val="21"/>
                <w:szCs w:val="21"/>
              </w:rPr>
              <w:t>元</w:t>
            </w:r>
            <w:r>
              <w:rPr>
                <w:rFonts w:hint="eastAsia"/>
                <w:color w:val="000000" w:themeColor="text1"/>
                <w:sz w:val="21"/>
                <w:szCs w:val="21"/>
              </w:rPr>
              <w:t>/</w:t>
            </w:r>
            <w:r>
              <w:rPr>
                <w:rFonts w:hint="eastAsia"/>
                <w:color w:val="000000" w:themeColor="text1"/>
                <w:sz w:val="21"/>
                <w:szCs w:val="21"/>
              </w:rPr>
              <w:t>股</w:t>
            </w:r>
            <w:r>
              <w:rPr>
                <w:rFonts w:hint="eastAsia"/>
                <w:color w:val="000000" w:themeColor="text1"/>
                <w:sz w:val="21"/>
                <w:szCs w:val="21"/>
              </w:rPr>
              <w:t>)</w:t>
            </w:r>
          </w:p>
        </w:tc>
        <w:tc>
          <w:tcPr>
            <w:tcW w:w="505" w:type="pct"/>
            <w:tcBorders>
              <w:top w:val="outset" w:sz="4" w:space="0" w:color="auto"/>
              <w:left w:val="outset" w:sz="4" w:space="0" w:color="auto"/>
              <w:bottom w:val="outset" w:sz="4" w:space="0" w:color="auto"/>
              <w:right w:val="outset" w:sz="4" w:space="0" w:color="auto"/>
            </w:tcBorders>
            <w:vAlign w:val="center"/>
          </w:tcPr>
          <w:p w14:paraId="16A900FE" w14:textId="77777777" w:rsidR="002D0AE7" w:rsidRDefault="002D0AE7">
            <w:pPr>
              <w:rPr>
                <w:rFonts w:hint="eastAsia"/>
                <w:sz w:val="21"/>
                <w:szCs w:val="21"/>
              </w:rPr>
            </w:pPr>
          </w:p>
        </w:tc>
        <w:tc>
          <w:tcPr>
            <w:tcW w:w="939" w:type="pct"/>
            <w:tcBorders>
              <w:top w:val="outset" w:sz="4" w:space="0" w:color="auto"/>
              <w:left w:val="outset" w:sz="4" w:space="0" w:color="auto"/>
              <w:bottom w:val="outset" w:sz="4" w:space="0" w:color="auto"/>
              <w:right w:val="outset" w:sz="4" w:space="0" w:color="auto"/>
            </w:tcBorders>
            <w:vAlign w:val="center"/>
          </w:tcPr>
          <w:p w14:paraId="6C97DDD2" w14:textId="77777777" w:rsidR="002D0AE7" w:rsidRDefault="002D0AE7">
            <w:pPr>
              <w:jc w:val="right"/>
              <w:rPr>
                <w:rFonts w:hint="eastAsia"/>
                <w:sz w:val="21"/>
                <w:szCs w:val="21"/>
              </w:rPr>
            </w:pPr>
          </w:p>
        </w:tc>
        <w:tc>
          <w:tcPr>
            <w:tcW w:w="813" w:type="pct"/>
            <w:tcBorders>
              <w:top w:val="outset" w:sz="4" w:space="0" w:color="auto"/>
              <w:left w:val="outset" w:sz="4" w:space="0" w:color="auto"/>
              <w:bottom w:val="outset" w:sz="4" w:space="0" w:color="auto"/>
              <w:right w:val="outset" w:sz="4" w:space="0" w:color="auto"/>
            </w:tcBorders>
            <w:vAlign w:val="center"/>
          </w:tcPr>
          <w:p w14:paraId="1925C16B" w14:textId="77777777" w:rsidR="002D0AE7" w:rsidRDefault="002D0AE7">
            <w:pPr>
              <w:jc w:val="right"/>
              <w:rPr>
                <w:rFonts w:hint="eastAsia"/>
                <w:sz w:val="21"/>
                <w:szCs w:val="21"/>
              </w:rPr>
            </w:pPr>
          </w:p>
        </w:tc>
      </w:tr>
    </w:tbl>
    <w:p w14:paraId="5914D4A7" w14:textId="77777777" w:rsidR="002D0AE7" w:rsidRDefault="00333EBB">
      <w:pPr>
        <w:snapToGrid w:val="0"/>
        <w:spacing w:line="240" w:lineRule="atLeast"/>
        <w:ind w:rightChars="-73" w:right="-175"/>
        <w:rPr>
          <w:rFonts w:cs="宋体-方正超大字符集" w:hint="eastAsia"/>
          <w:color w:val="000000" w:themeColor="text1"/>
        </w:rPr>
      </w:pPr>
      <w:r>
        <w:rPr>
          <w:color w:val="000000" w:themeColor="text1"/>
        </w:rPr>
        <w:lastRenderedPageBreak/>
        <w:t>公司负责人</w:t>
      </w:r>
      <w:r>
        <w:rPr>
          <w:rFonts w:hint="eastAsia"/>
          <w:color w:val="000000" w:themeColor="text1"/>
        </w:rPr>
        <w:t>：</w:t>
      </w:r>
      <w:sdt>
        <w:sdtPr>
          <w:rPr>
            <w:rFonts w:hint="eastAsia"/>
            <w:color w:val="000000" w:themeColor="text1"/>
          </w:rPr>
          <w:alias w:val="公司负责人"/>
          <w:tag w:val="_GBC_6be9c51ef68a40f0b60486f4414f2413"/>
          <w:id w:val="-468821266"/>
          <w:placeholder>
            <w:docPart w:val="GBC22222222222222222222222222222"/>
          </w:placeholder>
          <w:dataBinding w:prefixMappings="xmlns:clcid-mr='clcid-mr'" w:xpath="/*/clcid-mr:GongSiFuZeRenXingMing[not(@periodRef)]" w:storeItemID="{89EBAB94-44A0-46A2-B712-30D997D04A6D}"/>
          <w:text/>
        </w:sdtPr>
        <w:sdtEndPr/>
        <w:sdtContent>
          <w:r>
            <w:rPr>
              <w:rFonts w:hint="eastAsia"/>
              <w:color w:val="000000" w:themeColor="text1"/>
            </w:rPr>
            <w:t>李书箱</w:t>
          </w:r>
        </w:sdtContent>
      </w:sdt>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ac91a6c67f0a401ab312a449bd87b833"/>
          <w:id w:val="-1051227769"/>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color w:val="000000" w:themeColor="text1"/>
            </w:rPr>
            <w:t>朱立延</w:t>
          </w:r>
        </w:sdtContent>
      </w:sdt>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60f6b900783346cfad817de4d84acf5e"/>
          <w:id w:val="1819153153"/>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color w:val="000000" w:themeColor="text1"/>
            </w:rPr>
            <w:t>王于飞</w:t>
          </w:r>
        </w:sdtContent>
      </w:sdt>
    </w:p>
    <w:p w14:paraId="0F2EF6A5" w14:textId="77777777" w:rsidR="002D0AE7" w:rsidRDefault="002D0AE7">
      <w:pPr>
        <w:snapToGrid w:val="0"/>
        <w:spacing w:line="240" w:lineRule="atLeast"/>
        <w:ind w:rightChars="-73" w:right="-175"/>
        <w:rPr>
          <w:rFonts w:hint="eastAsia"/>
          <w:b/>
          <w:bCs/>
          <w:color w:val="000000" w:themeColor="text1"/>
        </w:rPr>
      </w:pPr>
    </w:p>
    <w:p w14:paraId="17B8C19B" w14:textId="77777777" w:rsidR="002D0AE7" w:rsidRDefault="00333EBB">
      <w:pPr>
        <w:pStyle w:val="3"/>
        <w:jc w:val="center"/>
        <w:rPr>
          <w:rFonts w:ascii="宋体" w:hAnsi="宋体" w:hint="eastAsia"/>
          <w:color w:val="000000" w:themeColor="text1"/>
        </w:rPr>
      </w:pPr>
      <w:bookmarkStart w:id="117" w:name="_Hlk10211424"/>
      <w:bookmarkStart w:id="118" w:name="_Hlk10211590"/>
      <w:bookmarkEnd w:id="115"/>
      <w:bookmarkEnd w:id="117"/>
      <w:r>
        <w:rPr>
          <w:rFonts w:ascii="宋体" w:hAnsi="宋体" w:hint="eastAsia"/>
          <w:color w:val="000000" w:themeColor="text1"/>
        </w:rPr>
        <w:t>合并</w:t>
      </w:r>
      <w:r>
        <w:rPr>
          <w:rFonts w:ascii="宋体" w:hAnsi="宋体"/>
          <w:color w:val="000000" w:themeColor="text1"/>
        </w:rPr>
        <w:t>现金流量表</w:t>
      </w:r>
    </w:p>
    <w:p w14:paraId="25E80A7D" w14:textId="77777777" w:rsidR="002D0AE7" w:rsidRDefault="00333EBB">
      <w:pPr>
        <w:jc w:val="center"/>
        <w:rPr>
          <w:rFonts w:hint="eastAsia"/>
          <w:b/>
          <w:bCs/>
          <w:color w:val="000000" w:themeColor="text1"/>
        </w:rPr>
      </w:pPr>
      <w:r>
        <w:rPr>
          <w:color w:val="000000" w:themeColor="text1"/>
        </w:rPr>
        <w:t>2024</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51E71335" w14:textId="77777777" w:rsidR="002D0AE7" w:rsidRDefault="00333EBB">
      <w:pPr>
        <w:jc w:val="right"/>
        <w:rPr>
          <w:rFonts w:hint="eastAsia"/>
          <w:color w:val="000000" w:themeColor="text1"/>
        </w:rPr>
      </w:pPr>
      <w:r>
        <w:rPr>
          <w:color w:val="000000" w:themeColor="text1"/>
        </w:rPr>
        <w:t>单位</w:t>
      </w:r>
      <w:r>
        <w:rPr>
          <w:rFonts w:hint="eastAsia"/>
          <w:color w:val="000000" w:themeColor="text1"/>
        </w:rPr>
        <w:t>：</w:t>
      </w:r>
      <w:sdt>
        <w:sdtPr>
          <w:rPr>
            <w:rFonts w:hint="eastAsia"/>
            <w:color w:val="000000" w:themeColor="text1"/>
          </w:rPr>
          <w:alias w:val="单位：合并现金流量表"/>
          <w:tag w:val="_GBC_7049413ddb8f4e5eac9cb9fb4f802433"/>
          <w:id w:val="171545774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color w:val="000000" w:themeColor="text1"/>
        </w:rPr>
        <w:t>币种</w:t>
      </w:r>
      <w:r>
        <w:rPr>
          <w:rFonts w:hint="eastAsia"/>
          <w:color w:val="000000" w:themeColor="text1"/>
        </w:rPr>
        <w:t>：</w:t>
      </w:r>
      <w:sdt>
        <w:sdtPr>
          <w:rPr>
            <w:rFonts w:hint="eastAsia"/>
            <w:color w:val="000000" w:themeColor="text1"/>
          </w:rPr>
          <w:alias w:val="币种：合并现金流量表"/>
          <w:tag w:val="_GBC_5ab1c6e244484b228b8cdc6ee3840fd6"/>
          <w:id w:val="80627539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621"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82"/>
        <w:gridCol w:w="992"/>
        <w:gridCol w:w="1700"/>
        <w:gridCol w:w="1845"/>
      </w:tblGrid>
      <w:tr w:rsidR="002D0AE7" w14:paraId="42596542" w14:textId="77777777">
        <w:trPr>
          <w:jc w:val="center"/>
        </w:trPr>
        <w:sdt>
          <w:sdtPr>
            <w:rPr>
              <w:color w:val="000000" w:themeColor="text1"/>
              <w:sz w:val="21"/>
              <w:szCs w:val="21"/>
            </w:rPr>
            <w:tag w:val="_PLD_2a3b6af3ab824e2db1022630f7a58e18"/>
            <w:id w:val="-226840747"/>
          </w:sdtPr>
          <w:sdtEndPr/>
          <w:sdtContent>
            <w:tc>
              <w:tcPr>
                <w:tcW w:w="2713" w:type="pct"/>
                <w:tcBorders>
                  <w:top w:val="outset" w:sz="4" w:space="0" w:color="auto"/>
                  <w:left w:val="outset" w:sz="4" w:space="0" w:color="auto"/>
                  <w:bottom w:val="outset" w:sz="4" w:space="0" w:color="auto"/>
                  <w:right w:val="outset" w:sz="4" w:space="0" w:color="auto"/>
                </w:tcBorders>
                <w:vAlign w:val="center"/>
              </w:tcPr>
              <w:p w14:paraId="28D8C221" w14:textId="77777777" w:rsidR="002D0AE7" w:rsidRDefault="00333EBB">
                <w:pPr>
                  <w:jc w:val="center"/>
                  <w:rPr>
                    <w:rFonts w:hint="eastAsia"/>
                    <w:b/>
                    <w:bCs/>
                    <w:color w:val="000000" w:themeColor="text1"/>
                    <w:sz w:val="21"/>
                    <w:szCs w:val="21"/>
                  </w:rPr>
                </w:pPr>
                <w:r>
                  <w:rPr>
                    <w:b/>
                    <w:color w:val="000000" w:themeColor="text1"/>
                    <w:sz w:val="21"/>
                    <w:szCs w:val="21"/>
                  </w:rPr>
                  <w:t>项目</w:t>
                </w:r>
              </w:p>
            </w:tc>
          </w:sdtContent>
        </w:sdt>
        <w:sdt>
          <w:sdtPr>
            <w:rPr>
              <w:color w:val="000000" w:themeColor="text1"/>
              <w:sz w:val="21"/>
              <w:szCs w:val="21"/>
            </w:rPr>
            <w:tag w:val="_PLD_49df1a6f5a224085bdcd56671a898d47"/>
            <w:id w:val="-1004118884"/>
          </w:sdtPr>
          <w:sdtEndPr/>
          <w:sdtContent>
            <w:tc>
              <w:tcPr>
                <w:tcW w:w="500" w:type="pct"/>
                <w:tcBorders>
                  <w:top w:val="outset" w:sz="4" w:space="0" w:color="auto"/>
                  <w:left w:val="outset" w:sz="4" w:space="0" w:color="auto"/>
                  <w:bottom w:val="outset" w:sz="4" w:space="0" w:color="auto"/>
                  <w:right w:val="outset" w:sz="4" w:space="0" w:color="auto"/>
                </w:tcBorders>
                <w:vAlign w:val="center"/>
              </w:tcPr>
              <w:p w14:paraId="1E9C38B8" w14:textId="77777777" w:rsidR="002D0AE7" w:rsidRDefault="00333EBB">
                <w:pPr>
                  <w:jc w:val="center"/>
                  <w:rPr>
                    <w:rFonts w:hint="eastAsia"/>
                    <w:b/>
                    <w:color w:val="000000" w:themeColor="text1"/>
                    <w:sz w:val="21"/>
                    <w:szCs w:val="21"/>
                  </w:rPr>
                </w:pPr>
                <w:r>
                  <w:rPr>
                    <w:b/>
                    <w:color w:val="000000" w:themeColor="text1"/>
                    <w:sz w:val="21"/>
                    <w:szCs w:val="21"/>
                  </w:rPr>
                  <w:t>附注</w:t>
                </w:r>
              </w:p>
            </w:tc>
          </w:sdtContent>
        </w:sdt>
        <w:sdt>
          <w:sdtPr>
            <w:rPr>
              <w:color w:val="000000" w:themeColor="text1"/>
              <w:sz w:val="21"/>
              <w:szCs w:val="21"/>
            </w:rPr>
            <w:tag w:val="_PLD_aba5e14092764f689b78fdbe9892bc51"/>
            <w:id w:val="753938602"/>
          </w:sdtPr>
          <w:sdtEndPr/>
          <w:sdtContent>
            <w:tc>
              <w:tcPr>
                <w:tcW w:w="857" w:type="pct"/>
                <w:tcBorders>
                  <w:top w:val="outset" w:sz="4" w:space="0" w:color="auto"/>
                  <w:left w:val="outset" w:sz="4" w:space="0" w:color="auto"/>
                  <w:bottom w:val="outset" w:sz="4" w:space="0" w:color="auto"/>
                  <w:right w:val="outset" w:sz="4" w:space="0" w:color="auto"/>
                </w:tcBorders>
                <w:vAlign w:val="center"/>
              </w:tcPr>
              <w:p w14:paraId="6A389E51" w14:textId="77777777" w:rsidR="002D0AE7" w:rsidRDefault="00333EBB">
                <w:pPr>
                  <w:autoSpaceDE w:val="0"/>
                  <w:autoSpaceDN w:val="0"/>
                  <w:adjustRightInd w:val="0"/>
                  <w:jc w:val="center"/>
                  <w:rPr>
                    <w:rFonts w:hint="eastAsia"/>
                    <w:b/>
                    <w:color w:val="000000" w:themeColor="text1"/>
                    <w:sz w:val="21"/>
                    <w:szCs w:val="21"/>
                  </w:rPr>
                </w:pPr>
                <w:r>
                  <w:rPr>
                    <w:rFonts w:hint="eastAsia"/>
                    <w:b/>
                    <w:color w:val="000000" w:themeColor="text1"/>
                    <w:sz w:val="21"/>
                    <w:szCs w:val="21"/>
                  </w:rPr>
                  <w:t>2024</w:t>
                </w:r>
                <w:r>
                  <w:rPr>
                    <w:rFonts w:hint="eastAsia"/>
                    <w:b/>
                    <w:color w:val="000000" w:themeColor="text1"/>
                    <w:sz w:val="21"/>
                    <w:szCs w:val="21"/>
                  </w:rPr>
                  <w:t>年半年度</w:t>
                </w:r>
              </w:p>
            </w:tc>
          </w:sdtContent>
        </w:sdt>
        <w:sdt>
          <w:sdtPr>
            <w:rPr>
              <w:color w:val="000000" w:themeColor="text1"/>
              <w:sz w:val="21"/>
              <w:szCs w:val="21"/>
            </w:rPr>
            <w:tag w:val="_PLD_8cac70c6f00c4266a9b8cff482cc71cc"/>
            <w:id w:val="1178384323"/>
          </w:sdtPr>
          <w:sdtEndPr/>
          <w:sdtContent>
            <w:tc>
              <w:tcPr>
                <w:tcW w:w="930" w:type="pct"/>
                <w:tcBorders>
                  <w:top w:val="outset" w:sz="4" w:space="0" w:color="auto"/>
                  <w:left w:val="outset" w:sz="4" w:space="0" w:color="auto"/>
                  <w:bottom w:val="outset" w:sz="4" w:space="0" w:color="auto"/>
                  <w:right w:val="outset" w:sz="4" w:space="0" w:color="auto"/>
                </w:tcBorders>
                <w:vAlign w:val="center"/>
              </w:tcPr>
              <w:p w14:paraId="191E8177" w14:textId="77777777" w:rsidR="002D0AE7" w:rsidRDefault="00333EBB">
                <w:pPr>
                  <w:autoSpaceDE w:val="0"/>
                  <w:autoSpaceDN w:val="0"/>
                  <w:adjustRightInd w:val="0"/>
                  <w:jc w:val="center"/>
                  <w:rPr>
                    <w:rFonts w:hint="eastAsia"/>
                    <w:b/>
                    <w:color w:val="000000" w:themeColor="text1"/>
                    <w:sz w:val="21"/>
                    <w:szCs w:val="21"/>
                  </w:rPr>
                </w:pPr>
                <w:r>
                  <w:rPr>
                    <w:rFonts w:hint="eastAsia"/>
                    <w:b/>
                    <w:color w:val="000000" w:themeColor="text1"/>
                    <w:sz w:val="21"/>
                    <w:szCs w:val="21"/>
                  </w:rPr>
                  <w:t>2023</w:t>
                </w:r>
                <w:r>
                  <w:rPr>
                    <w:rFonts w:hint="eastAsia"/>
                    <w:b/>
                    <w:color w:val="000000" w:themeColor="text1"/>
                    <w:sz w:val="21"/>
                    <w:szCs w:val="21"/>
                  </w:rPr>
                  <w:t>年半年度</w:t>
                </w:r>
              </w:p>
            </w:tc>
          </w:sdtContent>
        </w:sdt>
      </w:tr>
      <w:tr w:rsidR="002D0AE7" w14:paraId="43808DA5" w14:textId="77777777">
        <w:trPr>
          <w:jc w:val="center"/>
        </w:trPr>
        <w:sdt>
          <w:sdtPr>
            <w:rPr>
              <w:color w:val="000000" w:themeColor="text1"/>
              <w:sz w:val="21"/>
              <w:szCs w:val="21"/>
            </w:rPr>
            <w:tag w:val="_PLD_ffd119a1ffa641c1a00397806a78ee23"/>
            <w:id w:val="314760171"/>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7A8E6333" w14:textId="77777777" w:rsidR="002D0AE7" w:rsidRDefault="00333EBB">
                <w:pPr>
                  <w:rPr>
                    <w:rFonts w:hint="eastAsia"/>
                    <w:color w:val="000000" w:themeColor="text1"/>
                    <w:sz w:val="21"/>
                    <w:szCs w:val="21"/>
                  </w:rPr>
                </w:pPr>
                <w:r>
                  <w:rPr>
                    <w:rFonts w:hint="eastAsia"/>
                    <w:b/>
                    <w:color w:val="000000" w:themeColor="text1"/>
                    <w:sz w:val="21"/>
                    <w:szCs w:val="21"/>
                  </w:rPr>
                  <w:t>一、经营活动产生的现金流量：</w:t>
                </w:r>
              </w:p>
            </w:tc>
          </w:sdtContent>
        </w:sdt>
      </w:tr>
      <w:tr w:rsidR="002D0AE7" w14:paraId="7D6B2A15"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35C6BEFF"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销售商品、提供劳务收到的现金</w:t>
            </w:r>
          </w:p>
        </w:tc>
        <w:tc>
          <w:tcPr>
            <w:tcW w:w="500" w:type="pct"/>
            <w:tcBorders>
              <w:top w:val="outset" w:sz="4" w:space="0" w:color="auto"/>
              <w:left w:val="outset" w:sz="4" w:space="0" w:color="auto"/>
              <w:bottom w:val="outset" w:sz="4" w:space="0" w:color="auto"/>
              <w:right w:val="outset" w:sz="4" w:space="0" w:color="auto"/>
            </w:tcBorders>
            <w:vAlign w:val="center"/>
          </w:tcPr>
          <w:p w14:paraId="2499FE20"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42B6E20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1,627,495,448.71</w:t>
            </w:r>
          </w:p>
        </w:tc>
        <w:tc>
          <w:tcPr>
            <w:tcW w:w="930" w:type="pct"/>
            <w:tcBorders>
              <w:top w:val="outset" w:sz="4" w:space="0" w:color="auto"/>
              <w:left w:val="outset" w:sz="4" w:space="0" w:color="auto"/>
              <w:bottom w:val="outset" w:sz="4" w:space="0" w:color="auto"/>
              <w:right w:val="outset" w:sz="4" w:space="0" w:color="auto"/>
            </w:tcBorders>
            <w:vAlign w:val="center"/>
          </w:tcPr>
          <w:p w14:paraId="7D09D63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1,705,217,655.05</w:t>
            </w:r>
          </w:p>
        </w:tc>
      </w:tr>
      <w:tr w:rsidR="002D0AE7" w14:paraId="2851426E"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133A5374"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客户存款和同业存放款项净增加额</w:t>
            </w:r>
          </w:p>
        </w:tc>
        <w:tc>
          <w:tcPr>
            <w:tcW w:w="500" w:type="pct"/>
            <w:tcBorders>
              <w:top w:val="outset" w:sz="4" w:space="0" w:color="auto"/>
              <w:left w:val="outset" w:sz="4" w:space="0" w:color="auto"/>
              <w:bottom w:val="outset" w:sz="4" w:space="0" w:color="auto"/>
              <w:right w:val="outset" w:sz="4" w:space="0" w:color="auto"/>
            </w:tcBorders>
            <w:vAlign w:val="center"/>
          </w:tcPr>
          <w:p w14:paraId="3FA04B4D"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0375B1BA" w14:textId="77777777" w:rsidR="002D0AE7" w:rsidRDefault="002D0AE7">
            <w:pPr>
              <w:jc w:val="right"/>
              <w:rPr>
                <w:rFonts w:ascii="Times New Roman" w:hAnsi="Times New Roman" w:cs="Times New Roman"/>
                <w:sz w:val="21"/>
                <w:szCs w:val="21"/>
              </w:rPr>
            </w:pPr>
          </w:p>
        </w:tc>
        <w:tc>
          <w:tcPr>
            <w:tcW w:w="930" w:type="pct"/>
            <w:tcBorders>
              <w:top w:val="outset" w:sz="4" w:space="0" w:color="auto"/>
              <w:left w:val="outset" w:sz="4" w:space="0" w:color="auto"/>
              <w:bottom w:val="outset" w:sz="4" w:space="0" w:color="auto"/>
              <w:right w:val="outset" w:sz="4" w:space="0" w:color="auto"/>
            </w:tcBorders>
            <w:vAlign w:val="center"/>
          </w:tcPr>
          <w:p w14:paraId="552FDD7F" w14:textId="77777777" w:rsidR="002D0AE7" w:rsidRDefault="002D0AE7">
            <w:pPr>
              <w:jc w:val="right"/>
              <w:rPr>
                <w:rFonts w:ascii="Times New Roman" w:hAnsi="Times New Roman" w:cs="Times New Roman"/>
                <w:sz w:val="21"/>
                <w:szCs w:val="21"/>
              </w:rPr>
            </w:pPr>
          </w:p>
        </w:tc>
      </w:tr>
      <w:tr w:rsidR="002D0AE7" w14:paraId="0104242C"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506E4203"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向中央银行借款净增加额</w:t>
            </w:r>
          </w:p>
        </w:tc>
        <w:tc>
          <w:tcPr>
            <w:tcW w:w="500" w:type="pct"/>
            <w:tcBorders>
              <w:top w:val="outset" w:sz="4" w:space="0" w:color="auto"/>
              <w:left w:val="outset" w:sz="4" w:space="0" w:color="auto"/>
              <w:bottom w:val="outset" w:sz="4" w:space="0" w:color="auto"/>
              <w:right w:val="outset" w:sz="4" w:space="0" w:color="auto"/>
            </w:tcBorders>
            <w:vAlign w:val="center"/>
          </w:tcPr>
          <w:p w14:paraId="30E754F1"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35B271F3" w14:textId="77777777" w:rsidR="002D0AE7" w:rsidRDefault="002D0AE7">
            <w:pPr>
              <w:jc w:val="right"/>
              <w:rPr>
                <w:rFonts w:ascii="Times New Roman" w:hAnsi="Times New Roman" w:cs="Times New Roman"/>
                <w:sz w:val="21"/>
                <w:szCs w:val="21"/>
              </w:rPr>
            </w:pPr>
          </w:p>
        </w:tc>
        <w:tc>
          <w:tcPr>
            <w:tcW w:w="930" w:type="pct"/>
            <w:tcBorders>
              <w:top w:val="outset" w:sz="4" w:space="0" w:color="auto"/>
              <w:left w:val="outset" w:sz="4" w:space="0" w:color="auto"/>
              <w:bottom w:val="outset" w:sz="4" w:space="0" w:color="auto"/>
              <w:right w:val="outset" w:sz="4" w:space="0" w:color="auto"/>
            </w:tcBorders>
            <w:vAlign w:val="center"/>
          </w:tcPr>
          <w:p w14:paraId="19CA4D4C" w14:textId="77777777" w:rsidR="002D0AE7" w:rsidRDefault="002D0AE7">
            <w:pPr>
              <w:jc w:val="right"/>
              <w:rPr>
                <w:rFonts w:ascii="Times New Roman" w:hAnsi="Times New Roman" w:cs="Times New Roman"/>
                <w:sz w:val="21"/>
                <w:szCs w:val="21"/>
              </w:rPr>
            </w:pPr>
          </w:p>
        </w:tc>
      </w:tr>
      <w:tr w:rsidR="002D0AE7" w14:paraId="3929A17B"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16EC4B02"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向其他金融机构拆入资金净增加额</w:t>
            </w:r>
          </w:p>
        </w:tc>
        <w:tc>
          <w:tcPr>
            <w:tcW w:w="500" w:type="pct"/>
            <w:tcBorders>
              <w:top w:val="outset" w:sz="4" w:space="0" w:color="auto"/>
              <w:left w:val="outset" w:sz="4" w:space="0" w:color="auto"/>
              <w:bottom w:val="outset" w:sz="4" w:space="0" w:color="auto"/>
              <w:right w:val="outset" w:sz="4" w:space="0" w:color="auto"/>
            </w:tcBorders>
            <w:vAlign w:val="center"/>
          </w:tcPr>
          <w:p w14:paraId="020646DA"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45D8BDDF" w14:textId="77777777" w:rsidR="002D0AE7" w:rsidRDefault="002D0AE7">
            <w:pPr>
              <w:jc w:val="right"/>
              <w:rPr>
                <w:rFonts w:ascii="Times New Roman" w:hAnsi="Times New Roman" w:cs="Times New Roman"/>
                <w:sz w:val="21"/>
                <w:szCs w:val="21"/>
              </w:rPr>
            </w:pPr>
          </w:p>
        </w:tc>
        <w:tc>
          <w:tcPr>
            <w:tcW w:w="930" w:type="pct"/>
            <w:tcBorders>
              <w:top w:val="outset" w:sz="4" w:space="0" w:color="auto"/>
              <w:left w:val="outset" w:sz="4" w:space="0" w:color="auto"/>
              <w:bottom w:val="outset" w:sz="4" w:space="0" w:color="auto"/>
              <w:right w:val="outset" w:sz="4" w:space="0" w:color="auto"/>
            </w:tcBorders>
            <w:vAlign w:val="center"/>
          </w:tcPr>
          <w:p w14:paraId="26F8FDB4" w14:textId="77777777" w:rsidR="002D0AE7" w:rsidRDefault="002D0AE7">
            <w:pPr>
              <w:jc w:val="right"/>
              <w:rPr>
                <w:rFonts w:ascii="Times New Roman" w:hAnsi="Times New Roman" w:cs="Times New Roman"/>
                <w:sz w:val="21"/>
                <w:szCs w:val="21"/>
              </w:rPr>
            </w:pPr>
          </w:p>
        </w:tc>
      </w:tr>
      <w:tr w:rsidR="002D0AE7" w14:paraId="63B93E06"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0D24C347"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收到原保险合同保费取得的现金</w:t>
            </w:r>
          </w:p>
        </w:tc>
        <w:tc>
          <w:tcPr>
            <w:tcW w:w="500" w:type="pct"/>
            <w:tcBorders>
              <w:top w:val="outset" w:sz="4" w:space="0" w:color="auto"/>
              <w:left w:val="outset" w:sz="4" w:space="0" w:color="auto"/>
              <w:bottom w:val="outset" w:sz="4" w:space="0" w:color="auto"/>
              <w:right w:val="outset" w:sz="4" w:space="0" w:color="auto"/>
            </w:tcBorders>
            <w:vAlign w:val="center"/>
          </w:tcPr>
          <w:p w14:paraId="56643B3B"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5E41285D" w14:textId="77777777" w:rsidR="002D0AE7" w:rsidRDefault="002D0AE7">
            <w:pPr>
              <w:jc w:val="right"/>
              <w:rPr>
                <w:rFonts w:ascii="Times New Roman" w:hAnsi="Times New Roman" w:cs="Times New Roman"/>
                <w:sz w:val="21"/>
                <w:szCs w:val="21"/>
              </w:rPr>
            </w:pPr>
          </w:p>
        </w:tc>
        <w:tc>
          <w:tcPr>
            <w:tcW w:w="930" w:type="pct"/>
            <w:tcBorders>
              <w:top w:val="outset" w:sz="4" w:space="0" w:color="auto"/>
              <w:left w:val="outset" w:sz="4" w:space="0" w:color="auto"/>
              <w:bottom w:val="outset" w:sz="4" w:space="0" w:color="auto"/>
              <w:right w:val="outset" w:sz="4" w:space="0" w:color="auto"/>
            </w:tcBorders>
            <w:vAlign w:val="center"/>
          </w:tcPr>
          <w:p w14:paraId="04B66123" w14:textId="77777777" w:rsidR="002D0AE7" w:rsidRDefault="002D0AE7">
            <w:pPr>
              <w:jc w:val="right"/>
              <w:rPr>
                <w:rFonts w:ascii="Times New Roman" w:hAnsi="Times New Roman" w:cs="Times New Roman"/>
                <w:sz w:val="21"/>
                <w:szCs w:val="21"/>
              </w:rPr>
            </w:pPr>
          </w:p>
        </w:tc>
      </w:tr>
      <w:tr w:rsidR="002D0AE7" w14:paraId="31DA60D8"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548D62DD"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收到再保业务现金净额</w:t>
            </w:r>
          </w:p>
        </w:tc>
        <w:tc>
          <w:tcPr>
            <w:tcW w:w="500" w:type="pct"/>
            <w:tcBorders>
              <w:top w:val="outset" w:sz="4" w:space="0" w:color="auto"/>
              <w:left w:val="outset" w:sz="4" w:space="0" w:color="auto"/>
              <w:bottom w:val="outset" w:sz="4" w:space="0" w:color="auto"/>
              <w:right w:val="outset" w:sz="4" w:space="0" w:color="auto"/>
            </w:tcBorders>
            <w:vAlign w:val="center"/>
          </w:tcPr>
          <w:p w14:paraId="4F16ADB2"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341277B5" w14:textId="77777777" w:rsidR="002D0AE7" w:rsidRDefault="002D0AE7">
            <w:pPr>
              <w:jc w:val="right"/>
              <w:rPr>
                <w:rFonts w:ascii="Times New Roman" w:hAnsi="Times New Roman" w:cs="Times New Roman"/>
                <w:sz w:val="21"/>
                <w:szCs w:val="21"/>
              </w:rPr>
            </w:pPr>
          </w:p>
        </w:tc>
        <w:tc>
          <w:tcPr>
            <w:tcW w:w="930" w:type="pct"/>
            <w:tcBorders>
              <w:top w:val="outset" w:sz="4" w:space="0" w:color="auto"/>
              <w:left w:val="outset" w:sz="4" w:space="0" w:color="auto"/>
              <w:bottom w:val="outset" w:sz="4" w:space="0" w:color="auto"/>
              <w:right w:val="outset" w:sz="4" w:space="0" w:color="auto"/>
            </w:tcBorders>
            <w:vAlign w:val="center"/>
          </w:tcPr>
          <w:p w14:paraId="43871FC3" w14:textId="77777777" w:rsidR="002D0AE7" w:rsidRDefault="002D0AE7">
            <w:pPr>
              <w:jc w:val="right"/>
              <w:rPr>
                <w:rFonts w:ascii="Times New Roman" w:hAnsi="Times New Roman" w:cs="Times New Roman"/>
                <w:sz w:val="21"/>
                <w:szCs w:val="21"/>
              </w:rPr>
            </w:pPr>
          </w:p>
        </w:tc>
      </w:tr>
      <w:tr w:rsidR="002D0AE7" w14:paraId="69320026"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21C2129E"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保户储金及投资款净增加额</w:t>
            </w:r>
          </w:p>
        </w:tc>
        <w:tc>
          <w:tcPr>
            <w:tcW w:w="500" w:type="pct"/>
            <w:tcBorders>
              <w:top w:val="outset" w:sz="4" w:space="0" w:color="auto"/>
              <w:left w:val="outset" w:sz="4" w:space="0" w:color="auto"/>
              <w:bottom w:val="outset" w:sz="4" w:space="0" w:color="auto"/>
              <w:right w:val="outset" w:sz="4" w:space="0" w:color="auto"/>
            </w:tcBorders>
            <w:vAlign w:val="center"/>
          </w:tcPr>
          <w:p w14:paraId="2D50EA34"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14358637" w14:textId="77777777" w:rsidR="002D0AE7" w:rsidRDefault="002D0AE7">
            <w:pPr>
              <w:jc w:val="right"/>
              <w:rPr>
                <w:rFonts w:ascii="Times New Roman" w:hAnsi="Times New Roman" w:cs="Times New Roman"/>
                <w:sz w:val="21"/>
                <w:szCs w:val="21"/>
              </w:rPr>
            </w:pPr>
          </w:p>
        </w:tc>
        <w:tc>
          <w:tcPr>
            <w:tcW w:w="930" w:type="pct"/>
            <w:tcBorders>
              <w:top w:val="outset" w:sz="4" w:space="0" w:color="auto"/>
              <w:left w:val="outset" w:sz="4" w:space="0" w:color="auto"/>
              <w:bottom w:val="outset" w:sz="4" w:space="0" w:color="auto"/>
              <w:right w:val="outset" w:sz="4" w:space="0" w:color="auto"/>
            </w:tcBorders>
            <w:vAlign w:val="center"/>
          </w:tcPr>
          <w:p w14:paraId="646A9DBB" w14:textId="77777777" w:rsidR="002D0AE7" w:rsidRDefault="002D0AE7">
            <w:pPr>
              <w:jc w:val="right"/>
              <w:rPr>
                <w:rFonts w:ascii="Times New Roman" w:hAnsi="Times New Roman" w:cs="Times New Roman"/>
                <w:sz w:val="21"/>
                <w:szCs w:val="21"/>
              </w:rPr>
            </w:pPr>
          </w:p>
        </w:tc>
      </w:tr>
      <w:tr w:rsidR="002D0AE7" w14:paraId="20B7671F"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3E3C9D41"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收取利息、手续费及佣金的现金</w:t>
            </w:r>
          </w:p>
        </w:tc>
        <w:tc>
          <w:tcPr>
            <w:tcW w:w="500" w:type="pct"/>
            <w:tcBorders>
              <w:top w:val="outset" w:sz="4" w:space="0" w:color="auto"/>
              <w:left w:val="outset" w:sz="4" w:space="0" w:color="auto"/>
              <w:bottom w:val="outset" w:sz="4" w:space="0" w:color="auto"/>
              <w:right w:val="outset" w:sz="4" w:space="0" w:color="auto"/>
            </w:tcBorders>
            <w:vAlign w:val="center"/>
          </w:tcPr>
          <w:p w14:paraId="36698C39"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0A3536BC" w14:textId="77777777" w:rsidR="002D0AE7" w:rsidRDefault="002D0AE7">
            <w:pPr>
              <w:jc w:val="right"/>
              <w:rPr>
                <w:rFonts w:ascii="Times New Roman" w:hAnsi="Times New Roman" w:cs="Times New Roman"/>
                <w:sz w:val="21"/>
                <w:szCs w:val="21"/>
              </w:rPr>
            </w:pPr>
          </w:p>
        </w:tc>
        <w:tc>
          <w:tcPr>
            <w:tcW w:w="930" w:type="pct"/>
            <w:tcBorders>
              <w:top w:val="outset" w:sz="4" w:space="0" w:color="auto"/>
              <w:left w:val="outset" w:sz="4" w:space="0" w:color="auto"/>
              <w:bottom w:val="outset" w:sz="4" w:space="0" w:color="auto"/>
              <w:right w:val="outset" w:sz="4" w:space="0" w:color="auto"/>
            </w:tcBorders>
            <w:vAlign w:val="center"/>
          </w:tcPr>
          <w:p w14:paraId="36817D79" w14:textId="77777777" w:rsidR="002D0AE7" w:rsidRDefault="002D0AE7">
            <w:pPr>
              <w:jc w:val="right"/>
              <w:rPr>
                <w:rFonts w:ascii="Times New Roman" w:hAnsi="Times New Roman" w:cs="Times New Roman"/>
                <w:sz w:val="21"/>
                <w:szCs w:val="21"/>
              </w:rPr>
            </w:pPr>
          </w:p>
        </w:tc>
      </w:tr>
      <w:tr w:rsidR="002D0AE7" w14:paraId="68370FD5"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36FBD3C6"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拆入资金净增加额</w:t>
            </w:r>
          </w:p>
        </w:tc>
        <w:tc>
          <w:tcPr>
            <w:tcW w:w="500" w:type="pct"/>
            <w:tcBorders>
              <w:top w:val="outset" w:sz="4" w:space="0" w:color="auto"/>
              <w:left w:val="outset" w:sz="4" w:space="0" w:color="auto"/>
              <w:bottom w:val="outset" w:sz="4" w:space="0" w:color="auto"/>
              <w:right w:val="outset" w:sz="4" w:space="0" w:color="auto"/>
            </w:tcBorders>
            <w:vAlign w:val="center"/>
          </w:tcPr>
          <w:p w14:paraId="75F81FA7"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4AE349DF" w14:textId="77777777" w:rsidR="002D0AE7" w:rsidRDefault="002D0AE7">
            <w:pPr>
              <w:jc w:val="right"/>
              <w:rPr>
                <w:rFonts w:ascii="Times New Roman" w:hAnsi="Times New Roman" w:cs="Times New Roman"/>
                <w:sz w:val="21"/>
                <w:szCs w:val="21"/>
              </w:rPr>
            </w:pPr>
          </w:p>
        </w:tc>
        <w:tc>
          <w:tcPr>
            <w:tcW w:w="930" w:type="pct"/>
            <w:tcBorders>
              <w:top w:val="outset" w:sz="4" w:space="0" w:color="auto"/>
              <w:left w:val="outset" w:sz="4" w:space="0" w:color="auto"/>
              <w:bottom w:val="outset" w:sz="4" w:space="0" w:color="auto"/>
              <w:right w:val="outset" w:sz="4" w:space="0" w:color="auto"/>
            </w:tcBorders>
            <w:vAlign w:val="center"/>
          </w:tcPr>
          <w:p w14:paraId="0C95C1C3" w14:textId="77777777" w:rsidR="002D0AE7" w:rsidRDefault="002D0AE7">
            <w:pPr>
              <w:jc w:val="right"/>
              <w:rPr>
                <w:rFonts w:ascii="Times New Roman" w:hAnsi="Times New Roman" w:cs="Times New Roman"/>
                <w:sz w:val="21"/>
                <w:szCs w:val="21"/>
              </w:rPr>
            </w:pPr>
          </w:p>
        </w:tc>
      </w:tr>
      <w:tr w:rsidR="002D0AE7" w14:paraId="43F5CE01"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23674ED9"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回购业务资金净增加额</w:t>
            </w:r>
          </w:p>
        </w:tc>
        <w:tc>
          <w:tcPr>
            <w:tcW w:w="500" w:type="pct"/>
            <w:tcBorders>
              <w:top w:val="outset" w:sz="4" w:space="0" w:color="auto"/>
              <w:left w:val="outset" w:sz="4" w:space="0" w:color="auto"/>
              <w:bottom w:val="outset" w:sz="4" w:space="0" w:color="auto"/>
              <w:right w:val="outset" w:sz="4" w:space="0" w:color="auto"/>
            </w:tcBorders>
            <w:vAlign w:val="center"/>
          </w:tcPr>
          <w:p w14:paraId="4D48A6F5"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7739F3D2" w14:textId="77777777" w:rsidR="002D0AE7" w:rsidRDefault="002D0AE7">
            <w:pPr>
              <w:jc w:val="right"/>
              <w:rPr>
                <w:rFonts w:ascii="Times New Roman" w:hAnsi="Times New Roman" w:cs="Times New Roman"/>
                <w:sz w:val="21"/>
                <w:szCs w:val="21"/>
              </w:rPr>
            </w:pPr>
          </w:p>
        </w:tc>
        <w:tc>
          <w:tcPr>
            <w:tcW w:w="930" w:type="pct"/>
            <w:tcBorders>
              <w:top w:val="outset" w:sz="4" w:space="0" w:color="auto"/>
              <w:left w:val="outset" w:sz="4" w:space="0" w:color="auto"/>
              <w:bottom w:val="outset" w:sz="4" w:space="0" w:color="auto"/>
              <w:right w:val="outset" w:sz="4" w:space="0" w:color="auto"/>
            </w:tcBorders>
            <w:vAlign w:val="center"/>
          </w:tcPr>
          <w:p w14:paraId="054BB1EF" w14:textId="77777777" w:rsidR="002D0AE7" w:rsidRDefault="002D0AE7">
            <w:pPr>
              <w:jc w:val="right"/>
              <w:rPr>
                <w:rFonts w:ascii="Times New Roman" w:hAnsi="Times New Roman" w:cs="Times New Roman"/>
                <w:sz w:val="21"/>
                <w:szCs w:val="21"/>
              </w:rPr>
            </w:pPr>
          </w:p>
        </w:tc>
      </w:tr>
      <w:tr w:rsidR="002D0AE7" w14:paraId="2B65C568"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47ECCE56"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代理买卖证券收到的现金净额</w:t>
            </w:r>
          </w:p>
        </w:tc>
        <w:tc>
          <w:tcPr>
            <w:tcW w:w="500" w:type="pct"/>
            <w:tcBorders>
              <w:top w:val="outset" w:sz="4" w:space="0" w:color="auto"/>
              <w:left w:val="outset" w:sz="4" w:space="0" w:color="auto"/>
              <w:bottom w:val="outset" w:sz="4" w:space="0" w:color="auto"/>
              <w:right w:val="outset" w:sz="4" w:space="0" w:color="auto"/>
            </w:tcBorders>
            <w:vAlign w:val="center"/>
          </w:tcPr>
          <w:p w14:paraId="62B48824"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42D7B12F" w14:textId="77777777" w:rsidR="002D0AE7" w:rsidRDefault="002D0AE7">
            <w:pPr>
              <w:jc w:val="right"/>
              <w:rPr>
                <w:rFonts w:ascii="Times New Roman" w:hAnsi="Times New Roman" w:cs="Times New Roman"/>
                <w:sz w:val="21"/>
                <w:szCs w:val="21"/>
              </w:rPr>
            </w:pPr>
          </w:p>
        </w:tc>
        <w:tc>
          <w:tcPr>
            <w:tcW w:w="930" w:type="pct"/>
            <w:tcBorders>
              <w:top w:val="outset" w:sz="4" w:space="0" w:color="auto"/>
              <w:left w:val="outset" w:sz="4" w:space="0" w:color="auto"/>
              <w:bottom w:val="outset" w:sz="4" w:space="0" w:color="auto"/>
              <w:right w:val="outset" w:sz="4" w:space="0" w:color="auto"/>
            </w:tcBorders>
            <w:vAlign w:val="center"/>
          </w:tcPr>
          <w:p w14:paraId="67B52553" w14:textId="77777777" w:rsidR="002D0AE7" w:rsidRDefault="002D0AE7">
            <w:pPr>
              <w:jc w:val="right"/>
              <w:rPr>
                <w:rFonts w:ascii="Times New Roman" w:hAnsi="Times New Roman" w:cs="Times New Roman"/>
                <w:sz w:val="21"/>
                <w:szCs w:val="21"/>
              </w:rPr>
            </w:pPr>
          </w:p>
        </w:tc>
      </w:tr>
      <w:tr w:rsidR="002D0AE7" w14:paraId="2606EE4D"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7A5301F7"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收到的税费返还</w:t>
            </w:r>
          </w:p>
        </w:tc>
        <w:tc>
          <w:tcPr>
            <w:tcW w:w="500" w:type="pct"/>
            <w:tcBorders>
              <w:top w:val="outset" w:sz="4" w:space="0" w:color="auto"/>
              <w:left w:val="outset" w:sz="4" w:space="0" w:color="auto"/>
              <w:bottom w:val="outset" w:sz="4" w:space="0" w:color="auto"/>
              <w:right w:val="outset" w:sz="4" w:space="0" w:color="auto"/>
            </w:tcBorders>
            <w:vAlign w:val="center"/>
          </w:tcPr>
          <w:p w14:paraId="5D7F631B"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7B09DEB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65,874,368.34</w:t>
            </w:r>
          </w:p>
        </w:tc>
        <w:tc>
          <w:tcPr>
            <w:tcW w:w="930" w:type="pct"/>
            <w:tcBorders>
              <w:top w:val="outset" w:sz="4" w:space="0" w:color="auto"/>
              <w:left w:val="outset" w:sz="4" w:space="0" w:color="auto"/>
              <w:bottom w:val="outset" w:sz="4" w:space="0" w:color="auto"/>
              <w:right w:val="outset" w:sz="4" w:space="0" w:color="auto"/>
            </w:tcBorders>
            <w:vAlign w:val="center"/>
          </w:tcPr>
          <w:p w14:paraId="44B31A5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49,498,403.31</w:t>
            </w:r>
          </w:p>
        </w:tc>
      </w:tr>
      <w:tr w:rsidR="002D0AE7" w14:paraId="1AA05A93"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72F0C042"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收到其他与经营活动有关的现金</w:t>
            </w:r>
          </w:p>
        </w:tc>
        <w:tc>
          <w:tcPr>
            <w:tcW w:w="500" w:type="pct"/>
            <w:tcBorders>
              <w:top w:val="outset" w:sz="4" w:space="0" w:color="auto"/>
              <w:left w:val="outset" w:sz="4" w:space="0" w:color="auto"/>
              <w:bottom w:val="outset" w:sz="4" w:space="0" w:color="auto"/>
              <w:right w:val="outset" w:sz="4" w:space="0" w:color="auto"/>
            </w:tcBorders>
            <w:vAlign w:val="center"/>
          </w:tcPr>
          <w:p w14:paraId="190C9E56" w14:textId="77777777" w:rsidR="002D0AE7" w:rsidRDefault="00333EBB">
            <w:pPr>
              <w:rPr>
                <w:rFonts w:hint="eastAsia"/>
                <w:sz w:val="21"/>
                <w:szCs w:val="21"/>
              </w:rPr>
            </w:pPr>
            <w:r>
              <w:rPr>
                <w:rFonts w:hint="eastAsia"/>
                <w:sz w:val="21"/>
                <w:szCs w:val="21"/>
              </w:rPr>
              <w:t>七、</w:t>
            </w:r>
            <w:r>
              <w:rPr>
                <w:rFonts w:hint="eastAsia"/>
                <w:sz w:val="21"/>
                <w:szCs w:val="21"/>
              </w:rPr>
              <w:t>5</w:t>
            </w:r>
            <w:r>
              <w:rPr>
                <w:sz w:val="21"/>
                <w:szCs w:val="21"/>
              </w:rPr>
              <w:t>4</w:t>
            </w:r>
          </w:p>
        </w:tc>
        <w:tc>
          <w:tcPr>
            <w:tcW w:w="857" w:type="pct"/>
            <w:tcBorders>
              <w:top w:val="outset" w:sz="4" w:space="0" w:color="auto"/>
              <w:left w:val="outset" w:sz="4" w:space="0" w:color="auto"/>
              <w:bottom w:val="outset" w:sz="4" w:space="0" w:color="auto"/>
              <w:right w:val="outset" w:sz="4" w:space="0" w:color="auto"/>
            </w:tcBorders>
            <w:vAlign w:val="center"/>
          </w:tcPr>
          <w:p w14:paraId="1423148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34,958,800.52</w:t>
            </w:r>
          </w:p>
        </w:tc>
        <w:tc>
          <w:tcPr>
            <w:tcW w:w="930" w:type="pct"/>
            <w:tcBorders>
              <w:top w:val="outset" w:sz="4" w:space="0" w:color="auto"/>
              <w:left w:val="outset" w:sz="4" w:space="0" w:color="auto"/>
              <w:bottom w:val="outset" w:sz="4" w:space="0" w:color="auto"/>
              <w:right w:val="outset" w:sz="4" w:space="0" w:color="auto"/>
            </w:tcBorders>
            <w:vAlign w:val="center"/>
          </w:tcPr>
          <w:p w14:paraId="20D8076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58,844,302.95</w:t>
            </w:r>
          </w:p>
        </w:tc>
      </w:tr>
      <w:tr w:rsidR="002D0AE7" w14:paraId="5E447E0B"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14BF8BAD"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经营活动现金流入小计</w:t>
            </w:r>
          </w:p>
        </w:tc>
        <w:tc>
          <w:tcPr>
            <w:tcW w:w="500" w:type="pct"/>
            <w:tcBorders>
              <w:top w:val="outset" w:sz="4" w:space="0" w:color="auto"/>
              <w:left w:val="outset" w:sz="4" w:space="0" w:color="auto"/>
              <w:bottom w:val="outset" w:sz="4" w:space="0" w:color="auto"/>
              <w:right w:val="outset" w:sz="4" w:space="0" w:color="auto"/>
            </w:tcBorders>
            <w:vAlign w:val="center"/>
          </w:tcPr>
          <w:p w14:paraId="135E3043"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1F6E279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1,728,328,617.57</w:t>
            </w:r>
          </w:p>
        </w:tc>
        <w:tc>
          <w:tcPr>
            <w:tcW w:w="930" w:type="pct"/>
            <w:tcBorders>
              <w:top w:val="outset" w:sz="4" w:space="0" w:color="auto"/>
              <w:left w:val="outset" w:sz="4" w:space="0" w:color="auto"/>
              <w:bottom w:val="outset" w:sz="4" w:space="0" w:color="auto"/>
              <w:right w:val="outset" w:sz="4" w:space="0" w:color="auto"/>
            </w:tcBorders>
            <w:vAlign w:val="center"/>
          </w:tcPr>
          <w:p w14:paraId="5FF1E75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1,813,560,361.31</w:t>
            </w:r>
          </w:p>
        </w:tc>
      </w:tr>
      <w:tr w:rsidR="002D0AE7" w14:paraId="79885DEE"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04A467DB"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购买商品、接受劳务支付的现金</w:t>
            </w:r>
          </w:p>
        </w:tc>
        <w:tc>
          <w:tcPr>
            <w:tcW w:w="500" w:type="pct"/>
            <w:tcBorders>
              <w:top w:val="outset" w:sz="4" w:space="0" w:color="auto"/>
              <w:left w:val="outset" w:sz="4" w:space="0" w:color="auto"/>
              <w:bottom w:val="outset" w:sz="4" w:space="0" w:color="auto"/>
              <w:right w:val="outset" w:sz="4" w:space="0" w:color="auto"/>
            </w:tcBorders>
            <w:vAlign w:val="center"/>
          </w:tcPr>
          <w:p w14:paraId="3230F9B4"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1BE82A4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902,535,822.46</w:t>
            </w:r>
          </w:p>
        </w:tc>
        <w:tc>
          <w:tcPr>
            <w:tcW w:w="930" w:type="pct"/>
            <w:tcBorders>
              <w:top w:val="outset" w:sz="4" w:space="0" w:color="auto"/>
              <w:left w:val="outset" w:sz="4" w:space="0" w:color="auto"/>
              <w:bottom w:val="outset" w:sz="4" w:space="0" w:color="auto"/>
              <w:right w:val="outset" w:sz="4" w:space="0" w:color="auto"/>
            </w:tcBorders>
            <w:vAlign w:val="center"/>
          </w:tcPr>
          <w:p w14:paraId="34AA04D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1,004,390,851.85</w:t>
            </w:r>
          </w:p>
        </w:tc>
      </w:tr>
      <w:tr w:rsidR="002D0AE7" w14:paraId="089087E6"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7F886BA4"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客户贷款及垫款净增加额</w:t>
            </w:r>
          </w:p>
        </w:tc>
        <w:tc>
          <w:tcPr>
            <w:tcW w:w="500" w:type="pct"/>
            <w:tcBorders>
              <w:top w:val="outset" w:sz="4" w:space="0" w:color="auto"/>
              <w:left w:val="outset" w:sz="4" w:space="0" w:color="auto"/>
              <w:bottom w:val="outset" w:sz="4" w:space="0" w:color="auto"/>
              <w:right w:val="outset" w:sz="4" w:space="0" w:color="auto"/>
            </w:tcBorders>
            <w:vAlign w:val="center"/>
          </w:tcPr>
          <w:p w14:paraId="2F968045"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3BC39D20" w14:textId="77777777" w:rsidR="002D0AE7" w:rsidRDefault="002D0AE7">
            <w:pPr>
              <w:jc w:val="right"/>
              <w:rPr>
                <w:rFonts w:ascii="Times New Roman" w:hAnsi="Times New Roman" w:cs="Times New Roman"/>
                <w:sz w:val="21"/>
                <w:szCs w:val="21"/>
              </w:rPr>
            </w:pPr>
          </w:p>
        </w:tc>
        <w:tc>
          <w:tcPr>
            <w:tcW w:w="930" w:type="pct"/>
            <w:tcBorders>
              <w:top w:val="outset" w:sz="4" w:space="0" w:color="auto"/>
              <w:left w:val="outset" w:sz="4" w:space="0" w:color="auto"/>
              <w:bottom w:val="outset" w:sz="4" w:space="0" w:color="auto"/>
              <w:right w:val="outset" w:sz="4" w:space="0" w:color="auto"/>
            </w:tcBorders>
            <w:vAlign w:val="center"/>
          </w:tcPr>
          <w:p w14:paraId="5A6FA818" w14:textId="77777777" w:rsidR="002D0AE7" w:rsidRDefault="002D0AE7">
            <w:pPr>
              <w:jc w:val="right"/>
              <w:rPr>
                <w:rFonts w:ascii="Times New Roman" w:hAnsi="Times New Roman" w:cs="Times New Roman"/>
                <w:sz w:val="21"/>
                <w:szCs w:val="21"/>
              </w:rPr>
            </w:pPr>
          </w:p>
        </w:tc>
      </w:tr>
      <w:tr w:rsidR="002D0AE7" w14:paraId="586AF4BD"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2BBA3A9A"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存放中央银行和同业款项净增加额</w:t>
            </w:r>
          </w:p>
        </w:tc>
        <w:tc>
          <w:tcPr>
            <w:tcW w:w="500" w:type="pct"/>
            <w:tcBorders>
              <w:top w:val="outset" w:sz="4" w:space="0" w:color="auto"/>
              <w:left w:val="outset" w:sz="4" w:space="0" w:color="auto"/>
              <w:bottom w:val="outset" w:sz="4" w:space="0" w:color="auto"/>
              <w:right w:val="outset" w:sz="4" w:space="0" w:color="auto"/>
            </w:tcBorders>
            <w:vAlign w:val="center"/>
          </w:tcPr>
          <w:p w14:paraId="2266FAB1"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63AC1C7C" w14:textId="77777777" w:rsidR="002D0AE7" w:rsidRDefault="002D0AE7">
            <w:pPr>
              <w:jc w:val="right"/>
              <w:rPr>
                <w:rFonts w:ascii="Times New Roman" w:hAnsi="Times New Roman" w:cs="Times New Roman"/>
                <w:sz w:val="21"/>
                <w:szCs w:val="21"/>
              </w:rPr>
            </w:pPr>
          </w:p>
        </w:tc>
        <w:tc>
          <w:tcPr>
            <w:tcW w:w="930" w:type="pct"/>
            <w:tcBorders>
              <w:top w:val="outset" w:sz="4" w:space="0" w:color="auto"/>
              <w:left w:val="outset" w:sz="4" w:space="0" w:color="auto"/>
              <w:bottom w:val="outset" w:sz="4" w:space="0" w:color="auto"/>
              <w:right w:val="outset" w:sz="4" w:space="0" w:color="auto"/>
            </w:tcBorders>
            <w:vAlign w:val="center"/>
          </w:tcPr>
          <w:p w14:paraId="5CCDA620" w14:textId="77777777" w:rsidR="002D0AE7" w:rsidRDefault="002D0AE7">
            <w:pPr>
              <w:jc w:val="right"/>
              <w:rPr>
                <w:rFonts w:ascii="Times New Roman" w:hAnsi="Times New Roman" w:cs="Times New Roman"/>
                <w:sz w:val="21"/>
                <w:szCs w:val="21"/>
              </w:rPr>
            </w:pPr>
          </w:p>
        </w:tc>
      </w:tr>
      <w:tr w:rsidR="002D0AE7" w14:paraId="43D74696"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1A3BCBB5"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支付原保险合同赔付款项的现金</w:t>
            </w:r>
          </w:p>
        </w:tc>
        <w:tc>
          <w:tcPr>
            <w:tcW w:w="500" w:type="pct"/>
            <w:tcBorders>
              <w:top w:val="outset" w:sz="4" w:space="0" w:color="auto"/>
              <w:left w:val="outset" w:sz="4" w:space="0" w:color="auto"/>
              <w:bottom w:val="outset" w:sz="4" w:space="0" w:color="auto"/>
              <w:right w:val="outset" w:sz="4" w:space="0" w:color="auto"/>
            </w:tcBorders>
            <w:vAlign w:val="center"/>
          </w:tcPr>
          <w:p w14:paraId="03029874"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159F4860" w14:textId="77777777" w:rsidR="002D0AE7" w:rsidRDefault="002D0AE7">
            <w:pPr>
              <w:jc w:val="right"/>
              <w:rPr>
                <w:rFonts w:ascii="Times New Roman" w:hAnsi="Times New Roman" w:cs="Times New Roman"/>
                <w:sz w:val="21"/>
                <w:szCs w:val="21"/>
              </w:rPr>
            </w:pPr>
          </w:p>
        </w:tc>
        <w:tc>
          <w:tcPr>
            <w:tcW w:w="930" w:type="pct"/>
            <w:tcBorders>
              <w:top w:val="outset" w:sz="4" w:space="0" w:color="auto"/>
              <w:left w:val="outset" w:sz="4" w:space="0" w:color="auto"/>
              <w:bottom w:val="outset" w:sz="4" w:space="0" w:color="auto"/>
              <w:right w:val="outset" w:sz="4" w:space="0" w:color="auto"/>
            </w:tcBorders>
            <w:vAlign w:val="center"/>
          </w:tcPr>
          <w:p w14:paraId="1AA84121" w14:textId="77777777" w:rsidR="002D0AE7" w:rsidRDefault="002D0AE7">
            <w:pPr>
              <w:jc w:val="right"/>
              <w:rPr>
                <w:rFonts w:ascii="Times New Roman" w:hAnsi="Times New Roman" w:cs="Times New Roman"/>
                <w:sz w:val="21"/>
                <w:szCs w:val="21"/>
              </w:rPr>
            </w:pPr>
          </w:p>
        </w:tc>
      </w:tr>
      <w:tr w:rsidR="002D0AE7" w14:paraId="324E4107"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34BBB9CA"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拆出资金净增加额</w:t>
            </w:r>
          </w:p>
        </w:tc>
        <w:tc>
          <w:tcPr>
            <w:tcW w:w="500" w:type="pct"/>
            <w:tcBorders>
              <w:top w:val="outset" w:sz="4" w:space="0" w:color="auto"/>
              <w:left w:val="outset" w:sz="4" w:space="0" w:color="auto"/>
              <w:bottom w:val="outset" w:sz="4" w:space="0" w:color="auto"/>
              <w:right w:val="outset" w:sz="4" w:space="0" w:color="auto"/>
            </w:tcBorders>
            <w:vAlign w:val="center"/>
          </w:tcPr>
          <w:p w14:paraId="20D3574C"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66C8BB13" w14:textId="77777777" w:rsidR="002D0AE7" w:rsidRDefault="002D0AE7">
            <w:pPr>
              <w:jc w:val="right"/>
              <w:rPr>
                <w:rFonts w:ascii="Times New Roman" w:hAnsi="Times New Roman" w:cs="Times New Roman"/>
                <w:sz w:val="21"/>
                <w:szCs w:val="21"/>
              </w:rPr>
            </w:pPr>
          </w:p>
        </w:tc>
        <w:tc>
          <w:tcPr>
            <w:tcW w:w="930" w:type="pct"/>
            <w:tcBorders>
              <w:top w:val="outset" w:sz="4" w:space="0" w:color="auto"/>
              <w:left w:val="outset" w:sz="4" w:space="0" w:color="auto"/>
              <w:bottom w:val="outset" w:sz="4" w:space="0" w:color="auto"/>
              <w:right w:val="outset" w:sz="4" w:space="0" w:color="auto"/>
            </w:tcBorders>
            <w:vAlign w:val="center"/>
          </w:tcPr>
          <w:p w14:paraId="3DBDB825" w14:textId="77777777" w:rsidR="002D0AE7" w:rsidRDefault="002D0AE7">
            <w:pPr>
              <w:jc w:val="right"/>
              <w:rPr>
                <w:rFonts w:ascii="Times New Roman" w:hAnsi="Times New Roman" w:cs="Times New Roman"/>
                <w:sz w:val="21"/>
                <w:szCs w:val="21"/>
              </w:rPr>
            </w:pPr>
          </w:p>
        </w:tc>
      </w:tr>
      <w:tr w:rsidR="002D0AE7" w14:paraId="65FB0C05"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7F217E5C"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支付利息、手续费及佣金的现金</w:t>
            </w:r>
          </w:p>
        </w:tc>
        <w:tc>
          <w:tcPr>
            <w:tcW w:w="500" w:type="pct"/>
            <w:tcBorders>
              <w:top w:val="outset" w:sz="4" w:space="0" w:color="auto"/>
              <w:left w:val="outset" w:sz="4" w:space="0" w:color="auto"/>
              <w:bottom w:val="outset" w:sz="4" w:space="0" w:color="auto"/>
              <w:right w:val="outset" w:sz="4" w:space="0" w:color="auto"/>
            </w:tcBorders>
            <w:vAlign w:val="center"/>
          </w:tcPr>
          <w:p w14:paraId="42F980F0"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78D45837" w14:textId="77777777" w:rsidR="002D0AE7" w:rsidRDefault="002D0AE7">
            <w:pPr>
              <w:jc w:val="right"/>
              <w:rPr>
                <w:rFonts w:ascii="Times New Roman" w:hAnsi="Times New Roman" w:cs="Times New Roman"/>
                <w:sz w:val="21"/>
                <w:szCs w:val="21"/>
              </w:rPr>
            </w:pPr>
          </w:p>
        </w:tc>
        <w:tc>
          <w:tcPr>
            <w:tcW w:w="930" w:type="pct"/>
            <w:tcBorders>
              <w:top w:val="outset" w:sz="4" w:space="0" w:color="auto"/>
              <w:left w:val="outset" w:sz="4" w:space="0" w:color="auto"/>
              <w:bottom w:val="outset" w:sz="4" w:space="0" w:color="auto"/>
              <w:right w:val="outset" w:sz="4" w:space="0" w:color="auto"/>
            </w:tcBorders>
            <w:vAlign w:val="center"/>
          </w:tcPr>
          <w:p w14:paraId="05493ECE" w14:textId="77777777" w:rsidR="002D0AE7" w:rsidRDefault="002D0AE7">
            <w:pPr>
              <w:jc w:val="right"/>
              <w:rPr>
                <w:rFonts w:ascii="Times New Roman" w:hAnsi="Times New Roman" w:cs="Times New Roman"/>
                <w:sz w:val="21"/>
                <w:szCs w:val="21"/>
              </w:rPr>
            </w:pPr>
          </w:p>
        </w:tc>
      </w:tr>
      <w:tr w:rsidR="002D0AE7" w14:paraId="0FCFC44E"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6B091BF1"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支付保单红利的现金</w:t>
            </w:r>
          </w:p>
        </w:tc>
        <w:tc>
          <w:tcPr>
            <w:tcW w:w="500" w:type="pct"/>
            <w:tcBorders>
              <w:top w:val="outset" w:sz="4" w:space="0" w:color="auto"/>
              <w:left w:val="outset" w:sz="4" w:space="0" w:color="auto"/>
              <w:bottom w:val="outset" w:sz="4" w:space="0" w:color="auto"/>
              <w:right w:val="outset" w:sz="4" w:space="0" w:color="auto"/>
            </w:tcBorders>
            <w:vAlign w:val="center"/>
          </w:tcPr>
          <w:p w14:paraId="5781DD9E"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2C1FD3FC" w14:textId="77777777" w:rsidR="002D0AE7" w:rsidRDefault="002D0AE7">
            <w:pPr>
              <w:jc w:val="right"/>
              <w:rPr>
                <w:rFonts w:ascii="Times New Roman" w:hAnsi="Times New Roman" w:cs="Times New Roman"/>
                <w:sz w:val="21"/>
                <w:szCs w:val="21"/>
              </w:rPr>
            </w:pPr>
          </w:p>
        </w:tc>
        <w:tc>
          <w:tcPr>
            <w:tcW w:w="930" w:type="pct"/>
            <w:tcBorders>
              <w:top w:val="outset" w:sz="4" w:space="0" w:color="auto"/>
              <w:left w:val="outset" w:sz="4" w:space="0" w:color="auto"/>
              <w:bottom w:val="outset" w:sz="4" w:space="0" w:color="auto"/>
              <w:right w:val="outset" w:sz="4" w:space="0" w:color="auto"/>
            </w:tcBorders>
            <w:vAlign w:val="center"/>
          </w:tcPr>
          <w:p w14:paraId="5C143F5D" w14:textId="77777777" w:rsidR="002D0AE7" w:rsidRDefault="002D0AE7">
            <w:pPr>
              <w:jc w:val="right"/>
              <w:rPr>
                <w:rFonts w:ascii="Times New Roman" w:hAnsi="Times New Roman" w:cs="Times New Roman"/>
                <w:sz w:val="21"/>
                <w:szCs w:val="21"/>
              </w:rPr>
            </w:pPr>
          </w:p>
        </w:tc>
      </w:tr>
      <w:tr w:rsidR="002D0AE7" w14:paraId="565EDB90"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30AA9EEE"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支付给职工及为职工支付的现金</w:t>
            </w:r>
          </w:p>
        </w:tc>
        <w:tc>
          <w:tcPr>
            <w:tcW w:w="500" w:type="pct"/>
            <w:tcBorders>
              <w:top w:val="outset" w:sz="4" w:space="0" w:color="auto"/>
              <w:left w:val="outset" w:sz="4" w:space="0" w:color="auto"/>
              <w:bottom w:val="outset" w:sz="4" w:space="0" w:color="auto"/>
              <w:right w:val="outset" w:sz="4" w:space="0" w:color="auto"/>
            </w:tcBorders>
            <w:vAlign w:val="center"/>
          </w:tcPr>
          <w:p w14:paraId="1C9FEBF3"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3E2B9AC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271,970,683.32</w:t>
            </w:r>
          </w:p>
        </w:tc>
        <w:tc>
          <w:tcPr>
            <w:tcW w:w="930" w:type="pct"/>
            <w:tcBorders>
              <w:top w:val="outset" w:sz="4" w:space="0" w:color="auto"/>
              <w:left w:val="outset" w:sz="4" w:space="0" w:color="auto"/>
              <w:bottom w:val="outset" w:sz="4" w:space="0" w:color="auto"/>
              <w:right w:val="outset" w:sz="4" w:space="0" w:color="auto"/>
            </w:tcBorders>
            <w:vAlign w:val="center"/>
          </w:tcPr>
          <w:p w14:paraId="29DE75E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203,065,034.41</w:t>
            </w:r>
          </w:p>
        </w:tc>
      </w:tr>
      <w:tr w:rsidR="002D0AE7" w14:paraId="3C0ED667"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101A14AF"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支付的各项税费</w:t>
            </w:r>
          </w:p>
        </w:tc>
        <w:tc>
          <w:tcPr>
            <w:tcW w:w="500" w:type="pct"/>
            <w:tcBorders>
              <w:top w:val="outset" w:sz="4" w:space="0" w:color="auto"/>
              <w:left w:val="outset" w:sz="4" w:space="0" w:color="auto"/>
              <w:bottom w:val="outset" w:sz="4" w:space="0" w:color="auto"/>
              <w:right w:val="outset" w:sz="4" w:space="0" w:color="auto"/>
            </w:tcBorders>
            <w:vAlign w:val="center"/>
          </w:tcPr>
          <w:p w14:paraId="53982A3B"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0F98FD2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144,699,720.13</w:t>
            </w:r>
          </w:p>
        </w:tc>
        <w:tc>
          <w:tcPr>
            <w:tcW w:w="930" w:type="pct"/>
            <w:tcBorders>
              <w:top w:val="outset" w:sz="4" w:space="0" w:color="auto"/>
              <w:left w:val="outset" w:sz="4" w:space="0" w:color="auto"/>
              <w:bottom w:val="outset" w:sz="4" w:space="0" w:color="auto"/>
              <w:right w:val="outset" w:sz="4" w:space="0" w:color="auto"/>
            </w:tcBorders>
            <w:vAlign w:val="center"/>
          </w:tcPr>
          <w:p w14:paraId="7B35050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162,249,466.10</w:t>
            </w:r>
          </w:p>
        </w:tc>
      </w:tr>
      <w:tr w:rsidR="002D0AE7" w14:paraId="68479D3D"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204406CF"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支付其他与经营活动有关的现金</w:t>
            </w:r>
          </w:p>
        </w:tc>
        <w:tc>
          <w:tcPr>
            <w:tcW w:w="500" w:type="pct"/>
            <w:tcBorders>
              <w:top w:val="outset" w:sz="4" w:space="0" w:color="auto"/>
              <w:left w:val="outset" w:sz="4" w:space="0" w:color="auto"/>
              <w:bottom w:val="outset" w:sz="4" w:space="0" w:color="auto"/>
              <w:right w:val="outset" w:sz="4" w:space="0" w:color="auto"/>
            </w:tcBorders>
            <w:vAlign w:val="center"/>
          </w:tcPr>
          <w:p w14:paraId="6CC6016C" w14:textId="77777777" w:rsidR="002D0AE7" w:rsidRDefault="00333EBB">
            <w:pPr>
              <w:rPr>
                <w:rFonts w:hint="eastAsia"/>
                <w:sz w:val="21"/>
                <w:szCs w:val="21"/>
              </w:rPr>
            </w:pPr>
            <w:r>
              <w:rPr>
                <w:rFonts w:hint="eastAsia"/>
                <w:sz w:val="21"/>
                <w:szCs w:val="21"/>
              </w:rPr>
              <w:t>七、</w:t>
            </w:r>
            <w:r>
              <w:rPr>
                <w:rFonts w:hint="eastAsia"/>
                <w:sz w:val="21"/>
                <w:szCs w:val="21"/>
              </w:rPr>
              <w:t>5</w:t>
            </w:r>
            <w:r>
              <w:rPr>
                <w:sz w:val="21"/>
                <w:szCs w:val="21"/>
              </w:rPr>
              <w:t>4</w:t>
            </w:r>
          </w:p>
        </w:tc>
        <w:tc>
          <w:tcPr>
            <w:tcW w:w="857" w:type="pct"/>
            <w:tcBorders>
              <w:top w:val="outset" w:sz="4" w:space="0" w:color="auto"/>
              <w:left w:val="outset" w:sz="4" w:space="0" w:color="auto"/>
              <w:bottom w:val="outset" w:sz="4" w:space="0" w:color="auto"/>
              <w:right w:val="outset" w:sz="4" w:space="0" w:color="auto"/>
            </w:tcBorders>
            <w:vAlign w:val="center"/>
          </w:tcPr>
          <w:p w14:paraId="03317E5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93,294,112.34</w:t>
            </w:r>
          </w:p>
        </w:tc>
        <w:tc>
          <w:tcPr>
            <w:tcW w:w="930" w:type="pct"/>
            <w:tcBorders>
              <w:top w:val="outset" w:sz="4" w:space="0" w:color="auto"/>
              <w:left w:val="outset" w:sz="4" w:space="0" w:color="auto"/>
              <w:bottom w:val="outset" w:sz="4" w:space="0" w:color="auto"/>
              <w:right w:val="outset" w:sz="4" w:space="0" w:color="auto"/>
            </w:tcBorders>
            <w:vAlign w:val="center"/>
          </w:tcPr>
          <w:p w14:paraId="1CC90EC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130,092,517.22</w:t>
            </w:r>
          </w:p>
        </w:tc>
      </w:tr>
      <w:tr w:rsidR="002D0AE7" w14:paraId="5DCB4B7C"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1E681490"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经营活动现金流出小计</w:t>
            </w:r>
          </w:p>
        </w:tc>
        <w:tc>
          <w:tcPr>
            <w:tcW w:w="500" w:type="pct"/>
            <w:tcBorders>
              <w:top w:val="outset" w:sz="4" w:space="0" w:color="auto"/>
              <w:left w:val="outset" w:sz="4" w:space="0" w:color="auto"/>
              <w:bottom w:val="outset" w:sz="4" w:space="0" w:color="auto"/>
              <w:right w:val="outset" w:sz="4" w:space="0" w:color="auto"/>
            </w:tcBorders>
            <w:vAlign w:val="center"/>
          </w:tcPr>
          <w:p w14:paraId="19E9A544"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3375EA1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1,412,500,338.25</w:t>
            </w:r>
          </w:p>
        </w:tc>
        <w:tc>
          <w:tcPr>
            <w:tcW w:w="930" w:type="pct"/>
            <w:tcBorders>
              <w:top w:val="outset" w:sz="4" w:space="0" w:color="auto"/>
              <w:left w:val="outset" w:sz="4" w:space="0" w:color="auto"/>
              <w:bottom w:val="outset" w:sz="4" w:space="0" w:color="auto"/>
              <w:right w:val="outset" w:sz="4" w:space="0" w:color="auto"/>
            </w:tcBorders>
            <w:vAlign w:val="center"/>
          </w:tcPr>
          <w:p w14:paraId="4DA2134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1,499,797,869.58</w:t>
            </w:r>
          </w:p>
        </w:tc>
      </w:tr>
      <w:tr w:rsidR="002D0AE7" w14:paraId="327951BA"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5B1BBE12"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经营活动产生的现金流量净额</w:t>
            </w:r>
          </w:p>
        </w:tc>
        <w:tc>
          <w:tcPr>
            <w:tcW w:w="500" w:type="pct"/>
            <w:tcBorders>
              <w:top w:val="outset" w:sz="4" w:space="0" w:color="auto"/>
              <w:left w:val="outset" w:sz="4" w:space="0" w:color="auto"/>
              <w:bottom w:val="outset" w:sz="4" w:space="0" w:color="auto"/>
              <w:right w:val="outset" w:sz="4" w:space="0" w:color="auto"/>
            </w:tcBorders>
            <w:vAlign w:val="center"/>
          </w:tcPr>
          <w:p w14:paraId="52579334"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04B7037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315,828,279.32</w:t>
            </w:r>
          </w:p>
        </w:tc>
        <w:tc>
          <w:tcPr>
            <w:tcW w:w="930" w:type="pct"/>
            <w:tcBorders>
              <w:top w:val="outset" w:sz="4" w:space="0" w:color="auto"/>
              <w:left w:val="outset" w:sz="4" w:space="0" w:color="auto"/>
              <w:bottom w:val="outset" w:sz="4" w:space="0" w:color="auto"/>
              <w:right w:val="outset" w:sz="4" w:space="0" w:color="auto"/>
            </w:tcBorders>
            <w:vAlign w:val="center"/>
          </w:tcPr>
          <w:p w14:paraId="7C0DA4D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313,762,491.73</w:t>
            </w:r>
          </w:p>
        </w:tc>
      </w:tr>
      <w:tr w:rsidR="002D0AE7" w14:paraId="234374A6" w14:textId="77777777">
        <w:trPr>
          <w:jc w:val="center"/>
        </w:trPr>
        <w:tc>
          <w:tcPr>
            <w:tcW w:w="5000" w:type="pct"/>
            <w:gridSpan w:val="4"/>
            <w:tcBorders>
              <w:top w:val="outset" w:sz="4" w:space="0" w:color="auto"/>
              <w:left w:val="outset" w:sz="4" w:space="0" w:color="auto"/>
              <w:bottom w:val="outset" w:sz="4" w:space="0" w:color="auto"/>
              <w:right w:val="outset" w:sz="4" w:space="0" w:color="auto"/>
            </w:tcBorders>
            <w:vAlign w:val="center"/>
          </w:tcPr>
          <w:p w14:paraId="73411805" w14:textId="77777777" w:rsidR="002D0AE7" w:rsidRDefault="00333EBB">
            <w:pPr>
              <w:rPr>
                <w:rFonts w:hint="eastAsia"/>
                <w:color w:val="000000" w:themeColor="text1"/>
                <w:sz w:val="21"/>
                <w:szCs w:val="21"/>
              </w:rPr>
            </w:pPr>
            <w:r>
              <w:rPr>
                <w:rFonts w:hint="eastAsia"/>
                <w:b/>
                <w:color w:val="000000" w:themeColor="text1"/>
                <w:sz w:val="21"/>
                <w:szCs w:val="21"/>
              </w:rPr>
              <w:t>二、投资活动产生的现金流量：</w:t>
            </w:r>
          </w:p>
        </w:tc>
      </w:tr>
      <w:tr w:rsidR="002D0AE7" w14:paraId="17307D5E"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6DDECF75"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收回投资收到的现金</w:t>
            </w:r>
          </w:p>
        </w:tc>
        <w:tc>
          <w:tcPr>
            <w:tcW w:w="500" w:type="pct"/>
            <w:tcBorders>
              <w:top w:val="outset" w:sz="4" w:space="0" w:color="auto"/>
              <w:left w:val="outset" w:sz="4" w:space="0" w:color="auto"/>
              <w:bottom w:val="outset" w:sz="4" w:space="0" w:color="auto"/>
              <w:right w:val="outset" w:sz="4" w:space="0" w:color="auto"/>
            </w:tcBorders>
            <w:vAlign w:val="center"/>
          </w:tcPr>
          <w:p w14:paraId="17C99C77"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2C843682" w14:textId="77777777" w:rsidR="002D0AE7" w:rsidRDefault="002D0AE7">
            <w:pPr>
              <w:jc w:val="right"/>
              <w:rPr>
                <w:rFonts w:ascii="Times New Roman" w:hAnsi="Times New Roman" w:cs="Times New Roman"/>
                <w:sz w:val="21"/>
                <w:szCs w:val="21"/>
              </w:rPr>
            </w:pPr>
          </w:p>
        </w:tc>
        <w:tc>
          <w:tcPr>
            <w:tcW w:w="930" w:type="pct"/>
            <w:tcBorders>
              <w:top w:val="outset" w:sz="4" w:space="0" w:color="auto"/>
              <w:left w:val="outset" w:sz="4" w:space="0" w:color="auto"/>
              <w:bottom w:val="outset" w:sz="4" w:space="0" w:color="auto"/>
              <w:right w:val="outset" w:sz="4" w:space="0" w:color="auto"/>
            </w:tcBorders>
            <w:vAlign w:val="center"/>
          </w:tcPr>
          <w:p w14:paraId="672BD252" w14:textId="77777777" w:rsidR="002D0AE7" w:rsidRDefault="002D0AE7">
            <w:pPr>
              <w:jc w:val="right"/>
              <w:rPr>
                <w:rFonts w:hint="eastAsia"/>
                <w:sz w:val="21"/>
                <w:szCs w:val="21"/>
              </w:rPr>
            </w:pPr>
          </w:p>
        </w:tc>
      </w:tr>
      <w:tr w:rsidR="002D0AE7" w14:paraId="2E049169"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3A463001"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取得投资收益收到的现金</w:t>
            </w:r>
          </w:p>
        </w:tc>
        <w:tc>
          <w:tcPr>
            <w:tcW w:w="500" w:type="pct"/>
            <w:tcBorders>
              <w:top w:val="outset" w:sz="4" w:space="0" w:color="auto"/>
              <w:left w:val="outset" w:sz="4" w:space="0" w:color="auto"/>
              <w:bottom w:val="outset" w:sz="4" w:space="0" w:color="auto"/>
              <w:right w:val="outset" w:sz="4" w:space="0" w:color="auto"/>
            </w:tcBorders>
            <w:vAlign w:val="center"/>
          </w:tcPr>
          <w:p w14:paraId="31AC5A53"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3C11F254" w14:textId="77777777" w:rsidR="002D0AE7" w:rsidRDefault="002D0AE7">
            <w:pPr>
              <w:jc w:val="right"/>
              <w:rPr>
                <w:rFonts w:ascii="Times New Roman" w:hAnsi="Times New Roman" w:cs="Times New Roman"/>
                <w:sz w:val="21"/>
                <w:szCs w:val="21"/>
              </w:rPr>
            </w:pPr>
          </w:p>
        </w:tc>
        <w:tc>
          <w:tcPr>
            <w:tcW w:w="930" w:type="pct"/>
            <w:tcBorders>
              <w:top w:val="outset" w:sz="4" w:space="0" w:color="auto"/>
              <w:left w:val="outset" w:sz="4" w:space="0" w:color="auto"/>
              <w:bottom w:val="outset" w:sz="4" w:space="0" w:color="auto"/>
              <w:right w:val="outset" w:sz="4" w:space="0" w:color="auto"/>
            </w:tcBorders>
            <w:vAlign w:val="center"/>
          </w:tcPr>
          <w:p w14:paraId="178A41A2" w14:textId="77777777" w:rsidR="002D0AE7" w:rsidRDefault="002D0AE7">
            <w:pPr>
              <w:jc w:val="right"/>
              <w:rPr>
                <w:rFonts w:hint="eastAsia"/>
                <w:sz w:val="21"/>
                <w:szCs w:val="21"/>
              </w:rPr>
            </w:pPr>
          </w:p>
        </w:tc>
      </w:tr>
      <w:tr w:rsidR="002D0AE7" w14:paraId="306EFF55"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004B2D69" w14:textId="77777777" w:rsidR="002D0AE7" w:rsidRDefault="00333EBB">
            <w:pPr>
              <w:ind w:firstLineChars="100" w:firstLine="180"/>
              <w:rPr>
                <w:rFonts w:hint="eastAsia"/>
                <w:color w:val="000000" w:themeColor="text1"/>
                <w:sz w:val="18"/>
                <w:szCs w:val="21"/>
              </w:rPr>
            </w:pPr>
            <w:r>
              <w:rPr>
                <w:rFonts w:hint="eastAsia"/>
                <w:color w:val="000000" w:themeColor="text1"/>
                <w:sz w:val="18"/>
                <w:szCs w:val="21"/>
              </w:rPr>
              <w:t>处置固定资产、无形资产和其他长期资产收回的现金净额</w:t>
            </w:r>
          </w:p>
        </w:tc>
        <w:tc>
          <w:tcPr>
            <w:tcW w:w="500" w:type="pct"/>
            <w:tcBorders>
              <w:top w:val="outset" w:sz="4" w:space="0" w:color="auto"/>
              <w:left w:val="outset" w:sz="4" w:space="0" w:color="auto"/>
              <w:bottom w:val="outset" w:sz="4" w:space="0" w:color="auto"/>
              <w:right w:val="outset" w:sz="4" w:space="0" w:color="auto"/>
            </w:tcBorders>
            <w:vAlign w:val="center"/>
          </w:tcPr>
          <w:p w14:paraId="5F19B477"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782D103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85,831.00</w:t>
            </w:r>
          </w:p>
        </w:tc>
        <w:tc>
          <w:tcPr>
            <w:tcW w:w="930" w:type="pct"/>
            <w:tcBorders>
              <w:top w:val="outset" w:sz="4" w:space="0" w:color="auto"/>
              <w:left w:val="outset" w:sz="4" w:space="0" w:color="auto"/>
              <w:bottom w:val="outset" w:sz="4" w:space="0" w:color="auto"/>
              <w:right w:val="outset" w:sz="4" w:space="0" w:color="auto"/>
            </w:tcBorders>
            <w:vAlign w:val="center"/>
          </w:tcPr>
          <w:p w14:paraId="73D43E8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3B6575B3"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2D462E55"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处置子公司及其他营业单位收到的现金净额</w:t>
            </w:r>
          </w:p>
        </w:tc>
        <w:tc>
          <w:tcPr>
            <w:tcW w:w="500" w:type="pct"/>
            <w:tcBorders>
              <w:top w:val="outset" w:sz="4" w:space="0" w:color="auto"/>
              <w:left w:val="outset" w:sz="4" w:space="0" w:color="auto"/>
              <w:bottom w:val="outset" w:sz="4" w:space="0" w:color="auto"/>
              <w:right w:val="outset" w:sz="4" w:space="0" w:color="auto"/>
            </w:tcBorders>
            <w:vAlign w:val="center"/>
          </w:tcPr>
          <w:p w14:paraId="786C2D2C"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690DD6F6" w14:textId="77777777" w:rsidR="002D0AE7" w:rsidRDefault="002D0AE7">
            <w:pPr>
              <w:jc w:val="right"/>
              <w:rPr>
                <w:rFonts w:ascii="Times New Roman" w:hAnsi="Times New Roman" w:cs="Times New Roman"/>
                <w:sz w:val="21"/>
                <w:szCs w:val="21"/>
              </w:rPr>
            </w:pPr>
          </w:p>
        </w:tc>
        <w:tc>
          <w:tcPr>
            <w:tcW w:w="930" w:type="pct"/>
            <w:tcBorders>
              <w:top w:val="outset" w:sz="4" w:space="0" w:color="auto"/>
              <w:left w:val="outset" w:sz="4" w:space="0" w:color="auto"/>
              <w:bottom w:val="outset" w:sz="4" w:space="0" w:color="auto"/>
              <w:right w:val="outset" w:sz="4" w:space="0" w:color="auto"/>
            </w:tcBorders>
            <w:vAlign w:val="center"/>
          </w:tcPr>
          <w:p w14:paraId="52FC7D73" w14:textId="77777777" w:rsidR="002D0AE7" w:rsidRDefault="002D0AE7">
            <w:pPr>
              <w:jc w:val="right"/>
              <w:rPr>
                <w:rFonts w:hint="eastAsia"/>
                <w:sz w:val="21"/>
                <w:szCs w:val="21"/>
              </w:rPr>
            </w:pPr>
          </w:p>
        </w:tc>
      </w:tr>
      <w:tr w:rsidR="002D0AE7" w14:paraId="69291B69"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3E613476"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收到其他与投资活动有关的现金</w:t>
            </w:r>
          </w:p>
        </w:tc>
        <w:tc>
          <w:tcPr>
            <w:tcW w:w="500" w:type="pct"/>
            <w:tcBorders>
              <w:top w:val="outset" w:sz="4" w:space="0" w:color="auto"/>
              <w:left w:val="outset" w:sz="4" w:space="0" w:color="auto"/>
              <w:bottom w:val="outset" w:sz="4" w:space="0" w:color="auto"/>
              <w:right w:val="outset" w:sz="4" w:space="0" w:color="auto"/>
            </w:tcBorders>
            <w:vAlign w:val="center"/>
          </w:tcPr>
          <w:p w14:paraId="322663F1"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05D4DC90" w14:textId="77777777" w:rsidR="002D0AE7" w:rsidRDefault="002D0AE7">
            <w:pPr>
              <w:jc w:val="right"/>
              <w:rPr>
                <w:rFonts w:ascii="Times New Roman" w:hAnsi="Times New Roman" w:cs="Times New Roman"/>
                <w:sz w:val="21"/>
                <w:szCs w:val="21"/>
              </w:rPr>
            </w:pPr>
          </w:p>
        </w:tc>
        <w:tc>
          <w:tcPr>
            <w:tcW w:w="930" w:type="pct"/>
            <w:tcBorders>
              <w:top w:val="outset" w:sz="4" w:space="0" w:color="auto"/>
              <w:left w:val="outset" w:sz="4" w:space="0" w:color="auto"/>
              <w:bottom w:val="outset" w:sz="4" w:space="0" w:color="auto"/>
              <w:right w:val="outset" w:sz="4" w:space="0" w:color="auto"/>
            </w:tcBorders>
            <w:vAlign w:val="center"/>
          </w:tcPr>
          <w:p w14:paraId="521E22C7" w14:textId="77777777" w:rsidR="002D0AE7" w:rsidRDefault="002D0AE7">
            <w:pPr>
              <w:jc w:val="right"/>
              <w:rPr>
                <w:rFonts w:hint="eastAsia"/>
                <w:sz w:val="21"/>
                <w:szCs w:val="21"/>
              </w:rPr>
            </w:pPr>
          </w:p>
        </w:tc>
      </w:tr>
      <w:tr w:rsidR="002D0AE7" w14:paraId="7765D3E8"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690D734B"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投资活动现金流入小计</w:t>
            </w:r>
          </w:p>
        </w:tc>
        <w:tc>
          <w:tcPr>
            <w:tcW w:w="500" w:type="pct"/>
            <w:tcBorders>
              <w:top w:val="outset" w:sz="4" w:space="0" w:color="auto"/>
              <w:left w:val="outset" w:sz="4" w:space="0" w:color="auto"/>
              <w:bottom w:val="outset" w:sz="4" w:space="0" w:color="auto"/>
              <w:right w:val="outset" w:sz="4" w:space="0" w:color="auto"/>
            </w:tcBorders>
            <w:vAlign w:val="center"/>
          </w:tcPr>
          <w:p w14:paraId="440CF084"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3F73E3D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85,831.00</w:t>
            </w:r>
          </w:p>
        </w:tc>
        <w:tc>
          <w:tcPr>
            <w:tcW w:w="930" w:type="pct"/>
            <w:tcBorders>
              <w:top w:val="outset" w:sz="4" w:space="0" w:color="auto"/>
              <w:left w:val="outset" w:sz="4" w:space="0" w:color="auto"/>
              <w:bottom w:val="outset" w:sz="4" w:space="0" w:color="auto"/>
              <w:right w:val="outset" w:sz="4" w:space="0" w:color="auto"/>
            </w:tcBorders>
            <w:vAlign w:val="center"/>
          </w:tcPr>
          <w:p w14:paraId="5BF8EB4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61BC22CD"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187F6D6F"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购建固定资产、无形资产和其他长期资产支付的现金</w:t>
            </w:r>
          </w:p>
        </w:tc>
        <w:tc>
          <w:tcPr>
            <w:tcW w:w="500" w:type="pct"/>
            <w:tcBorders>
              <w:top w:val="outset" w:sz="4" w:space="0" w:color="auto"/>
              <w:left w:val="outset" w:sz="4" w:space="0" w:color="auto"/>
              <w:bottom w:val="outset" w:sz="4" w:space="0" w:color="auto"/>
              <w:right w:val="outset" w:sz="4" w:space="0" w:color="auto"/>
            </w:tcBorders>
            <w:vAlign w:val="center"/>
          </w:tcPr>
          <w:p w14:paraId="6B96026E"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74E81E4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37,162,892.61</w:t>
            </w:r>
          </w:p>
        </w:tc>
        <w:tc>
          <w:tcPr>
            <w:tcW w:w="930" w:type="pct"/>
            <w:tcBorders>
              <w:top w:val="outset" w:sz="4" w:space="0" w:color="auto"/>
              <w:left w:val="outset" w:sz="4" w:space="0" w:color="auto"/>
              <w:bottom w:val="outset" w:sz="4" w:space="0" w:color="auto"/>
              <w:right w:val="outset" w:sz="4" w:space="0" w:color="auto"/>
            </w:tcBorders>
            <w:vAlign w:val="center"/>
          </w:tcPr>
          <w:p w14:paraId="07DDC43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48,947,188.44</w:t>
            </w:r>
          </w:p>
        </w:tc>
      </w:tr>
      <w:tr w:rsidR="002D0AE7" w14:paraId="28915D4A"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0990099D"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投资支付的现金</w:t>
            </w:r>
          </w:p>
        </w:tc>
        <w:tc>
          <w:tcPr>
            <w:tcW w:w="500" w:type="pct"/>
            <w:tcBorders>
              <w:top w:val="outset" w:sz="4" w:space="0" w:color="auto"/>
              <w:left w:val="outset" w:sz="4" w:space="0" w:color="auto"/>
              <w:bottom w:val="outset" w:sz="4" w:space="0" w:color="auto"/>
              <w:right w:val="outset" w:sz="4" w:space="0" w:color="auto"/>
            </w:tcBorders>
            <w:vAlign w:val="center"/>
          </w:tcPr>
          <w:p w14:paraId="75CD782A"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6687E2EF" w14:textId="77777777" w:rsidR="002D0AE7" w:rsidRDefault="002D0AE7">
            <w:pPr>
              <w:jc w:val="right"/>
              <w:rPr>
                <w:rFonts w:ascii="Times New Roman" w:hAnsi="Times New Roman" w:cs="Times New Roman"/>
                <w:sz w:val="21"/>
                <w:szCs w:val="21"/>
              </w:rPr>
            </w:pPr>
          </w:p>
        </w:tc>
        <w:tc>
          <w:tcPr>
            <w:tcW w:w="930" w:type="pct"/>
            <w:tcBorders>
              <w:top w:val="outset" w:sz="4" w:space="0" w:color="auto"/>
              <w:left w:val="outset" w:sz="4" w:space="0" w:color="auto"/>
              <w:bottom w:val="outset" w:sz="4" w:space="0" w:color="auto"/>
              <w:right w:val="outset" w:sz="4" w:space="0" w:color="auto"/>
            </w:tcBorders>
            <w:vAlign w:val="center"/>
          </w:tcPr>
          <w:p w14:paraId="0619D873" w14:textId="77777777" w:rsidR="002D0AE7" w:rsidRDefault="002D0AE7">
            <w:pPr>
              <w:jc w:val="right"/>
              <w:rPr>
                <w:rFonts w:ascii="Times New Roman" w:hAnsi="Times New Roman" w:cs="Times New Roman"/>
                <w:sz w:val="21"/>
                <w:szCs w:val="21"/>
              </w:rPr>
            </w:pPr>
          </w:p>
        </w:tc>
      </w:tr>
      <w:tr w:rsidR="002D0AE7" w14:paraId="45D985A0"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6BB4AB7C"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质押贷款净增加额</w:t>
            </w:r>
          </w:p>
        </w:tc>
        <w:tc>
          <w:tcPr>
            <w:tcW w:w="500" w:type="pct"/>
            <w:tcBorders>
              <w:top w:val="outset" w:sz="4" w:space="0" w:color="auto"/>
              <w:left w:val="outset" w:sz="4" w:space="0" w:color="auto"/>
              <w:bottom w:val="outset" w:sz="4" w:space="0" w:color="auto"/>
              <w:right w:val="outset" w:sz="4" w:space="0" w:color="auto"/>
            </w:tcBorders>
            <w:vAlign w:val="center"/>
          </w:tcPr>
          <w:p w14:paraId="0D239874"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299C5CE7" w14:textId="77777777" w:rsidR="002D0AE7" w:rsidRDefault="002D0AE7">
            <w:pPr>
              <w:jc w:val="right"/>
              <w:rPr>
                <w:rFonts w:ascii="Times New Roman" w:hAnsi="Times New Roman" w:cs="Times New Roman"/>
                <w:sz w:val="21"/>
                <w:szCs w:val="21"/>
              </w:rPr>
            </w:pPr>
          </w:p>
        </w:tc>
        <w:tc>
          <w:tcPr>
            <w:tcW w:w="930" w:type="pct"/>
            <w:tcBorders>
              <w:top w:val="outset" w:sz="4" w:space="0" w:color="auto"/>
              <w:left w:val="outset" w:sz="4" w:space="0" w:color="auto"/>
              <w:bottom w:val="outset" w:sz="4" w:space="0" w:color="auto"/>
              <w:right w:val="outset" w:sz="4" w:space="0" w:color="auto"/>
            </w:tcBorders>
            <w:vAlign w:val="center"/>
          </w:tcPr>
          <w:p w14:paraId="6EA4DDAF" w14:textId="77777777" w:rsidR="002D0AE7" w:rsidRDefault="002D0AE7">
            <w:pPr>
              <w:jc w:val="right"/>
              <w:rPr>
                <w:rFonts w:ascii="Times New Roman" w:hAnsi="Times New Roman" w:cs="Times New Roman"/>
                <w:sz w:val="21"/>
                <w:szCs w:val="21"/>
              </w:rPr>
            </w:pPr>
          </w:p>
        </w:tc>
      </w:tr>
      <w:tr w:rsidR="002D0AE7" w14:paraId="73D4F10C"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44E81920"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取得子公司及其他营业单位支付的现金净额</w:t>
            </w:r>
          </w:p>
        </w:tc>
        <w:tc>
          <w:tcPr>
            <w:tcW w:w="500" w:type="pct"/>
            <w:tcBorders>
              <w:top w:val="outset" w:sz="4" w:space="0" w:color="auto"/>
              <w:left w:val="outset" w:sz="4" w:space="0" w:color="auto"/>
              <w:bottom w:val="outset" w:sz="4" w:space="0" w:color="auto"/>
              <w:right w:val="outset" w:sz="4" w:space="0" w:color="auto"/>
            </w:tcBorders>
            <w:vAlign w:val="center"/>
          </w:tcPr>
          <w:p w14:paraId="1718BDD7"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2B379316" w14:textId="77777777" w:rsidR="002D0AE7" w:rsidRDefault="002D0AE7">
            <w:pPr>
              <w:jc w:val="right"/>
              <w:rPr>
                <w:rFonts w:ascii="Times New Roman" w:hAnsi="Times New Roman" w:cs="Times New Roman"/>
                <w:sz w:val="21"/>
                <w:szCs w:val="21"/>
              </w:rPr>
            </w:pPr>
          </w:p>
        </w:tc>
        <w:tc>
          <w:tcPr>
            <w:tcW w:w="930" w:type="pct"/>
            <w:tcBorders>
              <w:top w:val="outset" w:sz="4" w:space="0" w:color="auto"/>
              <w:left w:val="outset" w:sz="4" w:space="0" w:color="auto"/>
              <w:bottom w:val="outset" w:sz="4" w:space="0" w:color="auto"/>
              <w:right w:val="outset" w:sz="4" w:space="0" w:color="auto"/>
            </w:tcBorders>
            <w:vAlign w:val="center"/>
          </w:tcPr>
          <w:p w14:paraId="0E126C64" w14:textId="77777777" w:rsidR="002D0AE7" w:rsidRDefault="002D0AE7">
            <w:pPr>
              <w:jc w:val="right"/>
              <w:rPr>
                <w:rFonts w:ascii="Times New Roman" w:hAnsi="Times New Roman" w:cs="Times New Roman"/>
                <w:sz w:val="21"/>
                <w:szCs w:val="21"/>
              </w:rPr>
            </w:pPr>
          </w:p>
        </w:tc>
      </w:tr>
      <w:tr w:rsidR="002D0AE7" w14:paraId="569FD62A"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4B304674"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支付其他与投资活动有关的现金</w:t>
            </w:r>
          </w:p>
        </w:tc>
        <w:tc>
          <w:tcPr>
            <w:tcW w:w="500" w:type="pct"/>
            <w:tcBorders>
              <w:top w:val="outset" w:sz="4" w:space="0" w:color="auto"/>
              <w:left w:val="outset" w:sz="4" w:space="0" w:color="auto"/>
              <w:bottom w:val="outset" w:sz="4" w:space="0" w:color="auto"/>
              <w:right w:val="outset" w:sz="4" w:space="0" w:color="auto"/>
            </w:tcBorders>
            <w:vAlign w:val="center"/>
          </w:tcPr>
          <w:p w14:paraId="160BBBF7" w14:textId="77777777" w:rsidR="002D0AE7" w:rsidRDefault="00333EBB">
            <w:pPr>
              <w:rPr>
                <w:rFonts w:hint="eastAsia"/>
                <w:sz w:val="21"/>
                <w:szCs w:val="21"/>
              </w:rPr>
            </w:pPr>
            <w:r>
              <w:rPr>
                <w:rFonts w:hint="eastAsia"/>
                <w:sz w:val="21"/>
                <w:szCs w:val="21"/>
              </w:rPr>
              <w:t>七、</w:t>
            </w:r>
            <w:r>
              <w:rPr>
                <w:rFonts w:hint="eastAsia"/>
                <w:sz w:val="21"/>
                <w:szCs w:val="21"/>
              </w:rPr>
              <w:t>5</w:t>
            </w:r>
            <w:r>
              <w:rPr>
                <w:sz w:val="21"/>
                <w:szCs w:val="21"/>
              </w:rPr>
              <w:t>4</w:t>
            </w:r>
          </w:p>
        </w:tc>
        <w:tc>
          <w:tcPr>
            <w:tcW w:w="857" w:type="pct"/>
            <w:tcBorders>
              <w:top w:val="outset" w:sz="4" w:space="0" w:color="auto"/>
              <w:left w:val="outset" w:sz="4" w:space="0" w:color="auto"/>
              <w:bottom w:val="outset" w:sz="4" w:space="0" w:color="auto"/>
              <w:right w:val="outset" w:sz="4" w:space="0" w:color="auto"/>
            </w:tcBorders>
            <w:vAlign w:val="center"/>
          </w:tcPr>
          <w:p w14:paraId="5B36B4D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400,000.00</w:t>
            </w:r>
          </w:p>
        </w:tc>
        <w:tc>
          <w:tcPr>
            <w:tcW w:w="930" w:type="pct"/>
            <w:tcBorders>
              <w:top w:val="outset" w:sz="4" w:space="0" w:color="auto"/>
              <w:left w:val="outset" w:sz="4" w:space="0" w:color="auto"/>
              <w:bottom w:val="outset" w:sz="4" w:space="0" w:color="auto"/>
              <w:right w:val="outset" w:sz="4" w:space="0" w:color="auto"/>
            </w:tcBorders>
            <w:vAlign w:val="center"/>
          </w:tcPr>
          <w:p w14:paraId="5CC397B5" w14:textId="77777777" w:rsidR="002D0AE7" w:rsidRDefault="00333EBB">
            <w:pPr>
              <w:jc w:val="right"/>
              <w:rPr>
                <w:rFonts w:ascii="Times New Roman" w:hAnsi="Times New Roman" w:cs="Times New Roman"/>
                <w:sz w:val="21"/>
                <w:szCs w:val="21"/>
              </w:rPr>
            </w:pPr>
            <w:r>
              <w:rPr>
                <w:rFonts w:ascii="Times New Roman" w:hAnsi="Times New Roman" w:cs="Times New Roman" w:hint="eastAsia"/>
                <w:sz w:val="21"/>
                <w:szCs w:val="21"/>
              </w:rPr>
              <w:t>0</w:t>
            </w:r>
            <w:r>
              <w:rPr>
                <w:rFonts w:ascii="Times New Roman" w:hAnsi="Times New Roman" w:cs="Times New Roman"/>
                <w:sz w:val="21"/>
                <w:szCs w:val="21"/>
              </w:rPr>
              <w:t>.00</w:t>
            </w:r>
          </w:p>
        </w:tc>
      </w:tr>
      <w:tr w:rsidR="002D0AE7" w14:paraId="7729C2A0"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4CE7FA2D"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投资活动现金流出小计</w:t>
            </w:r>
          </w:p>
        </w:tc>
        <w:tc>
          <w:tcPr>
            <w:tcW w:w="500" w:type="pct"/>
            <w:tcBorders>
              <w:top w:val="outset" w:sz="4" w:space="0" w:color="auto"/>
              <w:left w:val="outset" w:sz="4" w:space="0" w:color="auto"/>
              <w:bottom w:val="outset" w:sz="4" w:space="0" w:color="auto"/>
              <w:right w:val="outset" w:sz="4" w:space="0" w:color="auto"/>
            </w:tcBorders>
            <w:vAlign w:val="center"/>
          </w:tcPr>
          <w:p w14:paraId="7A755FEB"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03EDB6D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37,562,892.61</w:t>
            </w:r>
          </w:p>
        </w:tc>
        <w:tc>
          <w:tcPr>
            <w:tcW w:w="930" w:type="pct"/>
            <w:tcBorders>
              <w:top w:val="outset" w:sz="4" w:space="0" w:color="auto"/>
              <w:left w:val="outset" w:sz="4" w:space="0" w:color="auto"/>
              <w:bottom w:val="outset" w:sz="4" w:space="0" w:color="auto"/>
              <w:right w:val="outset" w:sz="4" w:space="0" w:color="auto"/>
            </w:tcBorders>
            <w:vAlign w:val="center"/>
          </w:tcPr>
          <w:p w14:paraId="518BB19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48,947,188.44</w:t>
            </w:r>
          </w:p>
        </w:tc>
      </w:tr>
      <w:tr w:rsidR="002D0AE7" w14:paraId="32D522AB"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181C783A"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投资活动产生的现金流量净额</w:t>
            </w:r>
          </w:p>
        </w:tc>
        <w:tc>
          <w:tcPr>
            <w:tcW w:w="500" w:type="pct"/>
            <w:tcBorders>
              <w:top w:val="outset" w:sz="4" w:space="0" w:color="auto"/>
              <w:left w:val="outset" w:sz="4" w:space="0" w:color="auto"/>
              <w:bottom w:val="outset" w:sz="4" w:space="0" w:color="auto"/>
              <w:right w:val="outset" w:sz="4" w:space="0" w:color="auto"/>
            </w:tcBorders>
            <w:vAlign w:val="center"/>
          </w:tcPr>
          <w:p w14:paraId="173D058A"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1B0A490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-37,477,061.61</w:t>
            </w:r>
          </w:p>
        </w:tc>
        <w:tc>
          <w:tcPr>
            <w:tcW w:w="930" w:type="pct"/>
            <w:tcBorders>
              <w:top w:val="outset" w:sz="4" w:space="0" w:color="auto"/>
              <w:left w:val="outset" w:sz="4" w:space="0" w:color="auto"/>
              <w:bottom w:val="outset" w:sz="4" w:space="0" w:color="auto"/>
              <w:right w:val="outset" w:sz="4" w:space="0" w:color="auto"/>
            </w:tcBorders>
            <w:vAlign w:val="center"/>
          </w:tcPr>
          <w:p w14:paraId="749FD5A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-48,947,188.44</w:t>
            </w:r>
          </w:p>
        </w:tc>
      </w:tr>
      <w:tr w:rsidR="002D0AE7" w14:paraId="4D5FEF63" w14:textId="77777777">
        <w:trPr>
          <w:jc w:val="center"/>
        </w:trPr>
        <w:tc>
          <w:tcPr>
            <w:tcW w:w="5000" w:type="pct"/>
            <w:gridSpan w:val="4"/>
            <w:tcBorders>
              <w:top w:val="outset" w:sz="4" w:space="0" w:color="auto"/>
              <w:left w:val="outset" w:sz="4" w:space="0" w:color="auto"/>
              <w:bottom w:val="outset" w:sz="4" w:space="0" w:color="auto"/>
              <w:right w:val="outset" w:sz="4" w:space="0" w:color="auto"/>
            </w:tcBorders>
            <w:vAlign w:val="center"/>
          </w:tcPr>
          <w:p w14:paraId="359FC546" w14:textId="77777777" w:rsidR="002D0AE7" w:rsidRDefault="00333EBB">
            <w:pPr>
              <w:rPr>
                <w:rFonts w:hint="eastAsia"/>
                <w:color w:val="000000" w:themeColor="text1"/>
                <w:sz w:val="21"/>
                <w:szCs w:val="21"/>
              </w:rPr>
            </w:pPr>
            <w:r>
              <w:rPr>
                <w:rFonts w:hint="eastAsia"/>
                <w:b/>
                <w:color w:val="000000" w:themeColor="text1"/>
                <w:sz w:val="21"/>
                <w:szCs w:val="21"/>
              </w:rPr>
              <w:lastRenderedPageBreak/>
              <w:t>三、筹资活动产生的现金流量：</w:t>
            </w:r>
          </w:p>
        </w:tc>
      </w:tr>
      <w:tr w:rsidR="002D0AE7" w14:paraId="2F945CDE"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746F8473"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吸收投资收到的现金</w:t>
            </w:r>
          </w:p>
        </w:tc>
        <w:tc>
          <w:tcPr>
            <w:tcW w:w="500" w:type="pct"/>
            <w:tcBorders>
              <w:top w:val="outset" w:sz="4" w:space="0" w:color="auto"/>
              <w:left w:val="outset" w:sz="4" w:space="0" w:color="auto"/>
              <w:bottom w:val="outset" w:sz="4" w:space="0" w:color="auto"/>
              <w:right w:val="outset" w:sz="4" w:space="0" w:color="auto"/>
            </w:tcBorders>
            <w:vAlign w:val="center"/>
          </w:tcPr>
          <w:p w14:paraId="753927A9"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2CB37036" w14:textId="77777777" w:rsidR="002D0AE7" w:rsidRDefault="002D0AE7">
            <w:pPr>
              <w:jc w:val="right"/>
              <w:rPr>
                <w:rFonts w:ascii="Times New Roman" w:hAnsi="Times New Roman" w:cs="Times New Roman"/>
                <w:sz w:val="21"/>
                <w:szCs w:val="21"/>
              </w:rPr>
            </w:pPr>
          </w:p>
        </w:tc>
        <w:tc>
          <w:tcPr>
            <w:tcW w:w="930" w:type="pct"/>
            <w:tcBorders>
              <w:top w:val="outset" w:sz="4" w:space="0" w:color="auto"/>
              <w:left w:val="outset" w:sz="4" w:space="0" w:color="auto"/>
              <w:bottom w:val="outset" w:sz="4" w:space="0" w:color="auto"/>
              <w:right w:val="outset" w:sz="4" w:space="0" w:color="auto"/>
            </w:tcBorders>
            <w:vAlign w:val="center"/>
          </w:tcPr>
          <w:p w14:paraId="7AE49E28" w14:textId="77777777" w:rsidR="002D0AE7" w:rsidRDefault="002D0AE7">
            <w:pPr>
              <w:jc w:val="right"/>
              <w:rPr>
                <w:rFonts w:hint="eastAsia"/>
                <w:sz w:val="21"/>
                <w:szCs w:val="21"/>
              </w:rPr>
            </w:pPr>
          </w:p>
        </w:tc>
      </w:tr>
      <w:tr w:rsidR="002D0AE7" w14:paraId="72CF849C"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69BB7FB2"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其中：子公司吸收少数股东投资收到的现金</w:t>
            </w:r>
          </w:p>
        </w:tc>
        <w:tc>
          <w:tcPr>
            <w:tcW w:w="500" w:type="pct"/>
            <w:tcBorders>
              <w:top w:val="outset" w:sz="4" w:space="0" w:color="auto"/>
              <w:left w:val="outset" w:sz="4" w:space="0" w:color="auto"/>
              <w:bottom w:val="outset" w:sz="4" w:space="0" w:color="auto"/>
              <w:right w:val="outset" w:sz="4" w:space="0" w:color="auto"/>
            </w:tcBorders>
            <w:vAlign w:val="center"/>
          </w:tcPr>
          <w:p w14:paraId="591EC1B4"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0BFA01C4" w14:textId="77777777" w:rsidR="002D0AE7" w:rsidRDefault="002D0AE7">
            <w:pPr>
              <w:jc w:val="right"/>
              <w:rPr>
                <w:rFonts w:ascii="Times New Roman" w:hAnsi="Times New Roman" w:cs="Times New Roman"/>
                <w:sz w:val="21"/>
                <w:szCs w:val="21"/>
              </w:rPr>
            </w:pPr>
          </w:p>
        </w:tc>
        <w:tc>
          <w:tcPr>
            <w:tcW w:w="930" w:type="pct"/>
            <w:tcBorders>
              <w:top w:val="outset" w:sz="4" w:space="0" w:color="auto"/>
              <w:left w:val="outset" w:sz="4" w:space="0" w:color="auto"/>
              <w:bottom w:val="outset" w:sz="4" w:space="0" w:color="auto"/>
              <w:right w:val="outset" w:sz="4" w:space="0" w:color="auto"/>
            </w:tcBorders>
            <w:vAlign w:val="center"/>
          </w:tcPr>
          <w:p w14:paraId="11227AD9" w14:textId="77777777" w:rsidR="002D0AE7" w:rsidRDefault="002D0AE7">
            <w:pPr>
              <w:jc w:val="right"/>
              <w:rPr>
                <w:rFonts w:hint="eastAsia"/>
                <w:sz w:val="21"/>
                <w:szCs w:val="21"/>
              </w:rPr>
            </w:pPr>
          </w:p>
        </w:tc>
      </w:tr>
      <w:tr w:rsidR="002D0AE7" w14:paraId="29FFC7BC"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1E1F5434"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取得借款收到的现金</w:t>
            </w:r>
          </w:p>
        </w:tc>
        <w:tc>
          <w:tcPr>
            <w:tcW w:w="500" w:type="pct"/>
            <w:tcBorders>
              <w:top w:val="outset" w:sz="4" w:space="0" w:color="auto"/>
              <w:left w:val="outset" w:sz="4" w:space="0" w:color="auto"/>
              <w:bottom w:val="outset" w:sz="4" w:space="0" w:color="auto"/>
              <w:right w:val="outset" w:sz="4" w:space="0" w:color="auto"/>
            </w:tcBorders>
            <w:vAlign w:val="center"/>
          </w:tcPr>
          <w:p w14:paraId="32EE085D"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70C3977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427,450,838.35</w:t>
            </w:r>
          </w:p>
        </w:tc>
        <w:tc>
          <w:tcPr>
            <w:tcW w:w="930" w:type="pct"/>
            <w:tcBorders>
              <w:top w:val="outset" w:sz="4" w:space="0" w:color="auto"/>
              <w:left w:val="outset" w:sz="4" w:space="0" w:color="auto"/>
              <w:bottom w:val="outset" w:sz="4" w:space="0" w:color="auto"/>
              <w:right w:val="outset" w:sz="4" w:space="0" w:color="auto"/>
            </w:tcBorders>
            <w:vAlign w:val="center"/>
          </w:tcPr>
          <w:p w14:paraId="1A96E5E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515,500,000.00</w:t>
            </w:r>
          </w:p>
        </w:tc>
      </w:tr>
      <w:tr w:rsidR="002D0AE7" w14:paraId="61D5A446"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549E3CD4"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收到其他与筹资活动有关的现金</w:t>
            </w:r>
          </w:p>
        </w:tc>
        <w:tc>
          <w:tcPr>
            <w:tcW w:w="500" w:type="pct"/>
            <w:tcBorders>
              <w:top w:val="outset" w:sz="4" w:space="0" w:color="auto"/>
              <w:left w:val="outset" w:sz="4" w:space="0" w:color="auto"/>
              <w:bottom w:val="outset" w:sz="4" w:space="0" w:color="auto"/>
              <w:right w:val="outset" w:sz="4" w:space="0" w:color="auto"/>
            </w:tcBorders>
            <w:vAlign w:val="center"/>
          </w:tcPr>
          <w:p w14:paraId="5590806F"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239BFFFD" w14:textId="77777777" w:rsidR="002D0AE7" w:rsidRDefault="002D0AE7">
            <w:pPr>
              <w:jc w:val="right"/>
              <w:rPr>
                <w:rFonts w:ascii="Times New Roman" w:hAnsi="Times New Roman" w:cs="Times New Roman"/>
                <w:sz w:val="21"/>
                <w:szCs w:val="21"/>
              </w:rPr>
            </w:pPr>
          </w:p>
        </w:tc>
        <w:tc>
          <w:tcPr>
            <w:tcW w:w="930" w:type="pct"/>
            <w:tcBorders>
              <w:top w:val="outset" w:sz="4" w:space="0" w:color="auto"/>
              <w:left w:val="outset" w:sz="4" w:space="0" w:color="auto"/>
              <w:bottom w:val="outset" w:sz="4" w:space="0" w:color="auto"/>
              <w:right w:val="outset" w:sz="4" w:space="0" w:color="auto"/>
            </w:tcBorders>
            <w:vAlign w:val="center"/>
          </w:tcPr>
          <w:p w14:paraId="32B84256" w14:textId="77777777" w:rsidR="002D0AE7" w:rsidRDefault="002D0AE7">
            <w:pPr>
              <w:jc w:val="right"/>
              <w:rPr>
                <w:rFonts w:ascii="Times New Roman" w:hAnsi="Times New Roman" w:cs="Times New Roman"/>
                <w:sz w:val="21"/>
                <w:szCs w:val="21"/>
              </w:rPr>
            </w:pPr>
          </w:p>
        </w:tc>
      </w:tr>
      <w:tr w:rsidR="002D0AE7" w14:paraId="2BAC45EE"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5C0BF2C3"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筹资活动现金流入小计</w:t>
            </w:r>
          </w:p>
        </w:tc>
        <w:tc>
          <w:tcPr>
            <w:tcW w:w="500" w:type="pct"/>
            <w:tcBorders>
              <w:top w:val="outset" w:sz="4" w:space="0" w:color="auto"/>
              <w:left w:val="outset" w:sz="4" w:space="0" w:color="auto"/>
              <w:bottom w:val="outset" w:sz="4" w:space="0" w:color="auto"/>
              <w:right w:val="outset" w:sz="4" w:space="0" w:color="auto"/>
            </w:tcBorders>
            <w:vAlign w:val="center"/>
          </w:tcPr>
          <w:p w14:paraId="516CFACE"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5CDE941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427,450,838.35</w:t>
            </w:r>
          </w:p>
        </w:tc>
        <w:tc>
          <w:tcPr>
            <w:tcW w:w="930" w:type="pct"/>
            <w:tcBorders>
              <w:top w:val="outset" w:sz="4" w:space="0" w:color="auto"/>
              <w:left w:val="outset" w:sz="4" w:space="0" w:color="auto"/>
              <w:bottom w:val="outset" w:sz="4" w:space="0" w:color="auto"/>
              <w:right w:val="outset" w:sz="4" w:space="0" w:color="auto"/>
            </w:tcBorders>
            <w:vAlign w:val="center"/>
          </w:tcPr>
          <w:p w14:paraId="61E5103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515,500,000.00</w:t>
            </w:r>
          </w:p>
        </w:tc>
      </w:tr>
      <w:tr w:rsidR="002D0AE7" w14:paraId="22340CE9"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0B039288"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偿还债务支付的现金</w:t>
            </w:r>
          </w:p>
        </w:tc>
        <w:tc>
          <w:tcPr>
            <w:tcW w:w="500" w:type="pct"/>
            <w:tcBorders>
              <w:top w:val="outset" w:sz="4" w:space="0" w:color="auto"/>
              <w:left w:val="outset" w:sz="4" w:space="0" w:color="auto"/>
              <w:bottom w:val="outset" w:sz="4" w:space="0" w:color="auto"/>
              <w:right w:val="outset" w:sz="4" w:space="0" w:color="auto"/>
            </w:tcBorders>
            <w:vAlign w:val="center"/>
          </w:tcPr>
          <w:p w14:paraId="2319216F"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1624516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617,532,387.50</w:t>
            </w:r>
          </w:p>
        </w:tc>
        <w:tc>
          <w:tcPr>
            <w:tcW w:w="930" w:type="pct"/>
            <w:tcBorders>
              <w:top w:val="outset" w:sz="4" w:space="0" w:color="auto"/>
              <w:left w:val="outset" w:sz="4" w:space="0" w:color="auto"/>
              <w:bottom w:val="outset" w:sz="4" w:space="0" w:color="auto"/>
              <w:right w:val="outset" w:sz="4" w:space="0" w:color="auto"/>
            </w:tcBorders>
            <w:vAlign w:val="center"/>
          </w:tcPr>
          <w:p w14:paraId="0A52B69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729,925,718.20</w:t>
            </w:r>
          </w:p>
        </w:tc>
      </w:tr>
      <w:tr w:rsidR="002D0AE7" w14:paraId="09CE65D6"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41E00DC0"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分配股利、利润或偿付利息支付的现金</w:t>
            </w:r>
          </w:p>
        </w:tc>
        <w:tc>
          <w:tcPr>
            <w:tcW w:w="500" w:type="pct"/>
            <w:tcBorders>
              <w:top w:val="outset" w:sz="4" w:space="0" w:color="auto"/>
              <w:left w:val="outset" w:sz="4" w:space="0" w:color="auto"/>
              <w:bottom w:val="outset" w:sz="4" w:space="0" w:color="auto"/>
              <w:right w:val="outset" w:sz="4" w:space="0" w:color="auto"/>
            </w:tcBorders>
            <w:vAlign w:val="center"/>
          </w:tcPr>
          <w:p w14:paraId="4B7C670D"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7E8A319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110,361,104.40</w:t>
            </w:r>
          </w:p>
        </w:tc>
        <w:tc>
          <w:tcPr>
            <w:tcW w:w="930" w:type="pct"/>
            <w:tcBorders>
              <w:top w:val="outset" w:sz="4" w:space="0" w:color="auto"/>
              <w:left w:val="outset" w:sz="4" w:space="0" w:color="auto"/>
              <w:bottom w:val="outset" w:sz="4" w:space="0" w:color="auto"/>
              <w:right w:val="outset" w:sz="4" w:space="0" w:color="auto"/>
            </w:tcBorders>
            <w:vAlign w:val="center"/>
          </w:tcPr>
          <w:p w14:paraId="169C6B5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28,925,949.92</w:t>
            </w:r>
          </w:p>
        </w:tc>
      </w:tr>
      <w:tr w:rsidR="002D0AE7" w14:paraId="5652A82F"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4E2580EF"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其中：子公司支付给少数股东的股利、利润</w:t>
            </w:r>
          </w:p>
        </w:tc>
        <w:tc>
          <w:tcPr>
            <w:tcW w:w="500" w:type="pct"/>
            <w:tcBorders>
              <w:top w:val="outset" w:sz="4" w:space="0" w:color="auto"/>
              <w:left w:val="outset" w:sz="4" w:space="0" w:color="auto"/>
              <w:bottom w:val="outset" w:sz="4" w:space="0" w:color="auto"/>
              <w:right w:val="outset" w:sz="4" w:space="0" w:color="auto"/>
            </w:tcBorders>
            <w:vAlign w:val="center"/>
          </w:tcPr>
          <w:p w14:paraId="0FD02186"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3EA2DD35" w14:textId="77777777" w:rsidR="002D0AE7" w:rsidRDefault="002D0AE7">
            <w:pPr>
              <w:jc w:val="right"/>
              <w:rPr>
                <w:rFonts w:ascii="Times New Roman" w:hAnsi="Times New Roman" w:cs="Times New Roman"/>
                <w:sz w:val="21"/>
                <w:szCs w:val="21"/>
              </w:rPr>
            </w:pPr>
          </w:p>
        </w:tc>
        <w:tc>
          <w:tcPr>
            <w:tcW w:w="930" w:type="pct"/>
            <w:tcBorders>
              <w:top w:val="outset" w:sz="4" w:space="0" w:color="auto"/>
              <w:left w:val="outset" w:sz="4" w:space="0" w:color="auto"/>
              <w:bottom w:val="outset" w:sz="4" w:space="0" w:color="auto"/>
              <w:right w:val="outset" w:sz="4" w:space="0" w:color="auto"/>
            </w:tcBorders>
            <w:vAlign w:val="center"/>
          </w:tcPr>
          <w:p w14:paraId="090D17B1" w14:textId="77777777" w:rsidR="002D0AE7" w:rsidRDefault="002D0AE7">
            <w:pPr>
              <w:jc w:val="right"/>
              <w:rPr>
                <w:rFonts w:ascii="Times New Roman" w:hAnsi="Times New Roman" w:cs="Times New Roman"/>
                <w:sz w:val="21"/>
                <w:szCs w:val="21"/>
              </w:rPr>
            </w:pPr>
          </w:p>
        </w:tc>
      </w:tr>
      <w:tr w:rsidR="002D0AE7" w14:paraId="52C98601"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3C0AE678"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支付其他与筹资活动有关的现金</w:t>
            </w:r>
          </w:p>
        </w:tc>
        <w:tc>
          <w:tcPr>
            <w:tcW w:w="500" w:type="pct"/>
            <w:tcBorders>
              <w:top w:val="outset" w:sz="4" w:space="0" w:color="auto"/>
              <w:left w:val="outset" w:sz="4" w:space="0" w:color="auto"/>
              <w:bottom w:val="outset" w:sz="4" w:space="0" w:color="auto"/>
              <w:right w:val="outset" w:sz="4" w:space="0" w:color="auto"/>
            </w:tcBorders>
            <w:vAlign w:val="center"/>
          </w:tcPr>
          <w:p w14:paraId="093869CE" w14:textId="77777777" w:rsidR="002D0AE7" w:rsidRDefault="00333EBB">
            <w:pPr>
              <w:rPr>
                <w:rFonts w:hint="eastAsia"/>
                <w:sz w:val="21"/>
                <w:szCs w:val="21"/>
              </w:rPr>
            </w:pPr>
            <w:r>
              <w:rPr>
                <w:rFonts w:hint="eastAsia"/>
                <w:sz w:val="21"/>
                <w:szCs w:val="21"/>
              </w:rPr>
              <w:t>七、</w:t>
            </w:r>
            <w:r>
              <w:rPr>
                <w:rFonts w:hint="eastAsia"/>
                <w:sz w:val="21"/>
                <w:szCs w:val="21"/>
              </w:rPr>
              <w:t>5</w:t>
            </w:r>
            <w:r>
              <w:rPr>
                <w:sz w:val="21"/>
                <w:szCs w:val="21"/>
              </w:rPr>
              <w:t>4</w:t>
            </w:r>
          </w:p>
        </w:tc>
        <w:tc>
          <w:tcPr>
            <w:tcW w:w="857" w:type="pct"/>
            <w:tcBorders>
              <w:top w:val="outset" w:sz="4" w:space="0" w:color="auto"/>
              <w:left w:val="outset" w:sz="4" w:space="0" w:color="auto"/>
              <w:bottom w:val="outset" w:sz="4" w:space="0" w:color="auto"/>
              <w:right w:val="outset" w:sz="4" w:space="0" w:color="auto"/>
            </w:tcBorders>
            <w:vAlign w:val="center"/>
          </w:tcPr>
          <w:p w14:paraId="543FC00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70,992.52</w:t>
            </w:r>
          </w:p>
        </w:tc>
        <w:tc>
          <w:tcPr>
            <w:tcW w:w="930" w:type="pct"/>
            <w:tcBorders>
              <w:top w:val="outset" w:sz="4" w:space="0" w:color="auto"/>
              <w:left w:val="outset" w:sz="4" w:space="0" w:color="auto"/>
              <w:bottom w:val="outset" w:sz="4" w:space="0" w:color="auto"/>
              <w:right w:val="outset" w:sz="4" w:space="0" w:color="auto"/>
            </w:tcBorders>
            <w:vAlign w:val="center"/>
          </w:tcPr>
          <w:p w14:paraId="2CB5BAB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82,779,678.57</w:t>
            </w:r>
          </w:p>
        </w:tc>
      </w:tr>
      <w:tr w:rsidR="002D0AE7" w14:paraId="67D6420C"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1826A7B0"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筹资活动现金流出小计</w:t>
            </w:r>
          </w:p>
        </w:tc>
        <w:tc>
          <w:tcPr>
            <w:tcW w:w="500" w:type="pct"/>
            <w:tcBorders>
              <w:top w:val="outset" w:sz="4" w:space="0" w:color="auto"/>
              <w:left w:val="outset" w:sz="4" w:space="0" w:color="auto"/>
              <w:bottom w:val="outset" w:sz="4" w:space="0" w:color="auto"/>
              <w:right w:val="outset" w:sz="4" w:space="0" w:color="auto"/>
            </w:tcBorders>
            <w:vAlign w:val="center"/>
          </w:tcPr>
          <w:p w14:paraId="1DFBBDD1"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5DADBB3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727,964,484.42</w:t>
            </w:r>
          </w:p>
        </w:tc>
        <w:tc>
          <w:tcPr>
            <w:tcW w:w="930" w:type="pct"/>
            <w:tcBorders>
              <w:top w:val="outset" w:sz="4" w:space="0" w:color="auto"/>
              <w:left w:val="outset" w:sz="4" w:space="0" w:color="auto"/>
              <w:bottom w:val="outset" w:sz="4" w:space="0" w:color="auto"/>
              <w:right w:val="outset" w:sz="4" w:space="0" w:color="auto"/>
            </w:tcBorders>
            <w:vAlign w:val="center"/>
          </w:tcPr>
          <w:p w14:paraId="6CF400F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841,631,346.69</w:t>
            </w:r>
          </w:p>
        </w:tc>
      </w:tr>
      <w:tr w:rsidR="002D0AE7" w14:paraId="77F9C6B4"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21B0AE49"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筹资活动产生的现金流量净额</w:t>
            </w:r>
          </w:p>
        </w:tc>
        <w:tc>
          <w:tcPr>
            <w:tcW w:w="500" w:type="pct"/>
            <w:tcBorders>
              <w:top w:val="outset" w:sz="4" w:space="0" w:color="auto"/>
              <w:left w:val="outset" w:sz="4" w:space="0" w:color="auto"/>
              <w:bottom w:val="outset" w:sz="4" w:space="0" w:color="auto"/>
              <w:right w:val="outset" w:sz="4" w:space="0" w:color="auto"/>
            </w:tcBorders>
            <w:vAlign w:val="center"/>
          </w:tcPr>
          <w:p w14:paraId="121AFDE4"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308ABF5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-300,513,646.07</w:t>
            </w:r>
          </w:p>
        </w:tc>
        <w:tc>
          <w:tcPr>
            <w:tcW w:w="930" w:type="pct"/>
            <w:tcBorders>
              <w:top w:val="outset" w:sz="4" w:space="0" w:color="auto"/>
              <w:left w:val="outset" w:sz="4" w:space="0" w:color="auto"/>
              <w:bottom w:val="outset" w:sz="4" w:space="0" w:color="auto"/>
              <w:right w:val="outset" w:sz="4" w:space="0" w:color="auto"/>
            </w:tcBorders>
            <w:vAlign w:val="center"/>
          </w:tcPr>
          <w:p w14:paraId="55DC1AB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-326,131,346.69</w:t>
            </w:r>
          </w:p>
        </w:tc>
      </w:tr>
      <w:tr w:rsidR="002D0AE7" w14:paraId="3FEE9F5D"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4448DAA1" w14:textId="77777777" w:rsidR="002D0AE7" w:rsidRDefault="00333EBB">
            <w:pPr>
              <w:rPr>
                <w:rFonts w:hint="eastAsia"/>
                <w:color w:val="000000" w:themeColor="text1"/>
                <w:sz w:val="21"/>
                <w:szCs w:val="21"/>
              </w:rPr>
            </w:pPr>
            <w:r>
              <w:rPr>
                <w:rFonts w:hint="eastAsia"/>
                <w:b/>
                <w:color w:val="000000" w:themeColor="text1"/>
                <w:sz w:val="21"/>
                <w:szCs w:val="21"/>
              </w:rPr>
              <w:t>四、汇率变动对现金及现金等价物的影响</w:t>
            </w:r>
          </w:p>
        </w:tc>
        <w:tc>
          <w:tcPr>
            <w:tcW w:w="500" w:type="pct"/>
            <w:tcBorders>
              <w:top w:val="outset" w:sz="4" w:space="0" w:color="auto"/>
              <w:left w:val="outset" w:sz="4" w:space="0" w:color="auto"/>
              <w:bottom w:val="outset" w:sz="4" w:space="0" w:color="auto"/>
              <w:right w:val="outset" w:sz="4" w:space="0" w:color="auto"/>
            </w:tcBorders>
            <w:vAlign w:val="center"/>
          </w:tcPr>
          <w:p w14:paraId="39F83A6A"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02E5CBE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11,683,167.06</w:t>
            </w:r>
          </w:p>
        </w:tc>
        <w:tc>
          <w:tcPr>
            <w:tcW w:w="930" w:type="pct"/>
            <w:tcBorders>
              <w:top w:val="outset" w:sz="4" w:space="0" w:color="auto"/>
              <w:left w:val="outset" w:sz="4" w:space="0" w:color="auto"/>
              <w:bottom w:val="outset" w:sz="4" w:space="0" w:color="auto"/>
              <w:right w:val="outset" w:sz="4" w:space="0" w:color="auto"/>
            </w:tcBorders>
            <w:vAlign w:val="center"/>
          </w:tcPr>
          <w:p w14:paraId="44CB224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-10,840,368.94</w:t>
            </w:r>
          </w:p>
        </w:tc>
      </w:tr>
      <w:tr w:rsidR="002D0AE7" w14:paraId="34D48D87"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40648BA7" w14:textId="77777777" w:rsidR="002D0AE7" w:rsidRDefault="00333EBB">
            <w:pPr>
              <w:rPr>
                <w:rFonts w:hint="eastAsia"/>
                <w:color w:val="000000" w:themeColor="text1"/>
                <w:sz w:val="21"/>
                <w:szCs w:val="21"/>
              </w:rPr>
            </w:pPr>
            <w:r>
              <w:rPr>
                <w:rFonts w:hint="eastAsia"/>
                <w:b/>
                <w:color w:val="000000" w:themeColor="text1"/>
                <w:sz w:val="21"/>
                <w:szCs w:val="21"/>
              </w:rPr>
              <w:t>五、现金及现金等价物净增加额</w:t>
            </w:r>
          </w:p>
        </w:tc>
        <w:tc>
          <w:tcPr>
            <w:tcW w:w="500" w:type="pct"/>
            <w:tcBorders>
              <w:top w:val="outset" w:sz="4" w:space="0" w:color="auto"/>
              <w:left w:val="outset" w:sz="4" w:space="0" w:color="auto"/>
              <w:bottom w:val="outset" w:sz="4" w:space="0" w:color="auto"/>
              <w:right w:val="outset" w:sz="4" w:space="0" w:color="auto"/>
            </w:tcBorders>
            <w:vAlign w:val="center"/>
          </w:tcPr>
          <w:p w14:paraId="6C4E497A" w14:textId="77777777" w:rsidR="002D0AE7" w:rsidRDefault="00333EBB">
            <w:pPr>
              <w:rPr>
                <w:rFonts w:hint="eastAsia"/>
                <w:sz w:val="21"/>
                <w:szCs w:val="21"/>
              </w:rPr>
            </w:pPr>
            <w:r>
              <w:rPr>
                <w:rFonts w:hint="eastAsia"/>
                <w:sz w:val="21"/>
                <w:szCs w:val="21"/>
              </w:rPr>
              <w:t>七、</w:t>
            </w:r>
            <w:r>
              <w:rPr>
                <w:rFonts w:hint="eastAsia"/>
                <w:sz w:val="21"/>
                <w:szCs w:val="21"/>
              </w:rPr>
              <w:t>5</w:t>
            </w:r>
            <w:r>
              <w:rPr>
                <w:sz w:val="21"/>
                <w:szCs w:val="21"/>
              </w:rPr>
              <w:t>5</w:t>
            </w:r>
          </w:p>
        </w:tc>
        <w:tc>
          <w:tcPr>
            <w:tcW w:w="857" w:type="pct"/>
            <w:tcBorders>
              <w:top w:val="outset" w:sz="4" w:space="0" w:color="auto"/>
              <w:left w:val="outset" w:sz="4" w:space="0" w:color="auto"/>
              <w:bottom w:val="outset" w:sz="4" w:space="0" w:color="auto"/>
              <w:right w:val="outset" w:sz="4" w:space="0" w:color="auto"/>
            </w:tcBorders>
            <w:vAlign w:val="center"/>
          </w:tcPr>
          <w:p w14:paraId="1265B5E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-10,479,261.30</w:t>
            </w:r>
          </w:p>
        </w:tc>
        <w:tc>
          <w:tcPr>
            <w:tcW w:w="930" w:type="pct"/>
            <w:tcBorders>
              <w:top w:val="outset" w:sz="4" w:space="0" w:color="auto"/>
              <w:left w:val="outset" w:sz="4" w:space="0" w:color="auto"/>
              <w:bottom w:val="outset" w:sz="4" w:space="0" w:color="auto"/>
              <w:right w:val="outset" w:sz="4" w:space="0" w:color="auto"/>
            </w:tcBorders>
            <w:vAlign w:val="center"/>
          </w:tcPr>
          <w:p w14:paraId="6300E81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-72,156,412.34</w:t>
            </w:r>
          </w:p>
        </w:tc>
      </w:tr>
      <w:tr w:rsidR="002D0AE7" w14:paraId="236F7C7E"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59463F58"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加：期初现金及现金等价物余额</w:t>
            </w:r>
          </w:p>
        </w:tc>
        <w:tc>
          <w:tcPr>
            <w:tcW w:w="500" w:type="pct"/>
            <w:tcBorders>
              <w:top w:val="outset" w:sz="4" w:space="0" w:color="auto"/>
              <w:left w:val="outset" w:sz="4" w:space="0" w:color="auto"/>
              <w:bottom w:val="outset" w:sz="4" w:space="0" w:color="auto"/>
              <w:right w:val="outset" w:sz="4" w:space="0" w:color="auto"/>
            </w:tcBorders>
            <w:vAlign w:val="center"/>
          </w:tcPr>
          <w:p w14:paraId="76F901DC" w14:textId="77777777" w:rsidR="002D0AE7" w:rsidRDefault="00333EBB">
            <w:pPr>
              <w:rPr>
                <w:rFonts w:hint="eastAsia"/>
                <w:sz w:val="21"/>
                <w:szCs w:val="21"/>
              </w:rPr>
            </w:pPr>
            <w:r>
              <w:rPr>
                <w:rFonts w:hint="eastAsia"/>
                <w:sz w:val="21"/>
                <w:szCs w:val="21"/>
              </w:rPr>
              <w:t>七、</w:t>
            </w:r>
            <w:r>
              <w:rPr>
                <w:rFonts w:hint="eastAsia"/>
                <w:sz w:val="21"/>
                <w:szCs w:val="21"/>
              </w:rPr>
              <w:t>5</w:t>
            </w:r>
            <w:r>
              <w:rPr>
                <w:sz w:val="21"/>
                <w:szCs w:val="21"/>
              </w:rPr>
              <w:t>5</w:t>
            </w:r>
          </w:p>
        </w:tc>
        <w:tc>
          <w:tcPr>
            <w:tcW w:w="857" w:type="pct"/>
            <w:tcBorders>
              <w:top w:val="outset" w:sz="4" w:space="0" w:color="auto"/>
              <w:left w:val="outset" w:sz="4" w:space="0" w:color="auto"/>
              <w:bottom w:val="outset" w:sz="4" w:space="0" w:color="auto"/>
              <w:right w:val="outset" w:sz="4" w:space="0" w:color="auto"/>
            </w:tcBorders>
            <w:vAlign w:val="center"/>
          </w:tcPr>
          <w:p w14:paraId="49C94E8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703,007,242.12</w:t>
            </w:r>
          </w:p>
        </w:tc>
        <w:tc>
          <w:tcPr>
            <w:tcW w:w="930" w:type="pct"/>
            <w:tcBorders>
              <w:top w:val="outset" w:sz="4" w:space="0" w:color="auto"/>
              <w:left w:val="outset" w:sz="4" w:space="0" w:color="auto"/>
              <w:bottom w:val="outset" w:sz="4" w:space="0" w:color="auto"/>
              <w:right w:val="outset" w:sz="4" w:space="0" w:color="auto"/>
            </w:tcBorders>
            <w:vAlign w:val="center"/>
          </w:tcPr>
          <w:p w14:paraId="4AD689C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608,802,932.46</w:t>
            </w:r>
          </w:p>
        </w:tc>
      </w:tr>
      <w:tr w:rsidR="002D0AE7" w14:paraId="666A57F3" w14:textId="77777777">
        <w:trPr>
          <w:jc w:val="center"/>
        </w:trPr>
        <w:tc>
          <w:tcPr>
            <w:tcW w:w="2713" w:type="pct"/>
            <w:tcBorders>
              <w:top w:val="outset" w:sz="4" w:space="0" w:color="auto"/>
              <w:left w:val="outset" w:sz="4" w:space="0" w:color="auto"/>
              <w:bottom w:val="outset" w:sz="4" w:space="0" w:color="auto"/>
              <w:right w:val="outset" w:sz="4" w:space="0" w:color="auto"/>
            </w:tcBorders>
            <w:vAlign w:val="center"/>
          </w:tcPr>
          <w:p w14:paraId="0707BD47" w14:textId="77777777" w:rsidR="002D0AE7" w:rsidRDefault="00333EBB">
            <w:pPr>
              <w:rPr>
                <w:rFonts w:hint="eastAsia"/>
                <w:color w:val="000000" w:themeColor="text1"/>
                <w:sz w:val="21"/>
                <w:szCs w:val="21"/>
              </w:rPr>
            </w:pPr>
            <w:r>
              <w:rPr>
                <w:rFonts w:hint="eastAsia"/>
                <w:b/>
                <w:color w:val="000000" w:themeColor="text1"/>
                <w:sz w:val="21"/>
                <w:szCs w:val="21"/>
              </w:rPr>
              <w:t>六、期末现金及现金等价物余额</w:t>
            </w:r>
          </w:p>
        </w:tc>
        <w:tc>
          <w:tcPr>
            <w:tcW w:w="500" w:type="pct"/>
            <w:tcBorders>
              <w:top w:val="outset" w:sz="4" w:space="0" w:color="auto"/>
              <w:left w:val="outset" w:sz="4" w:space="0" w:color="auto"/>
              <w:bottom w:val="outset" w:sz="4" w:space="0" w:color="auto"/>
              <w:right w:val="outset" w:sz="4" w:space="0" w:color="auto"/>
            </w:tcBorders>
            <w:vAlign w:val="center"/>
          </w:tcPr>
          <w:p w14:paraId="4EF4F58E" w14:textId="77777777" w:rsidR="002D0AE7" w:rsidRDefault="00333EBB">
            <w:pPr>
              <w:rPr>
                <w:rFonts w:hint="eastAsia"/>
                <w:sz w:val="21"/>
                <w:szCs w:val="21"/>
              </w:rPr>
            </w:pPr>
            <w:r>
              <w:rPr>
                <w:rFonts w:hint="eastAsia"/>
                <w:sz w:val="21"/>
                <w:szCs w:val="21"/>
              </w:rPr>
              <w:t>七、</w:t>
            </w:r>
            <w:r>
              <w:rPr>
                <w:rFonts w:hint="eastAsia"/>
                <w:sz w:val="21"/>
                <w:szCs w:val="21"/>
              </w:rPr>
              <w:t>5</w:t>
            </w:r>
            <w:r>
              <w:rPr>
                <w:sz w:val="21"/>
                <w:szCs w:val="21"/>
              </w:rPr>
              <w:t>5</w:t>
            </w:r>
          </w:p>
        </w:tc>
        <w:tc>
          <w:tcPr>
            <w:tcW w:w="857" w:type="pct"/>
            <w:tcBorders>
              <w:top w:val="outset" w:sz="4" w:space="0" w:color="auto"/>
              <w:left w:val="outset" w:sz="4" w:space="0" w:color="auto"/>
              <w:bottom w:val="outset" w:sz="4" w:space="0" w:color="auto"/>
              <w:right w:val="outset" w:sz="4" w:space="0" w:color="auto"/>
            </w:tcBorders>
            <w:vAlign w:val="center"/>
          </w:tcPr>
          <w:p w14:paraId="267D1B3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692,527,980.82</w:t>
            </w:r>
          </w:p>
        </w:tc>
        <w:tc>
          <w:tcPr>
            <w:tcW w:w="930" w:type="pct"/>
            <w:tcBorders>
              <w:top w:val="outset" w:sz="4" w:space="0" w:color="auto"/>
              <w:left w:val="outset" w:sz="4" w:space="0" w:color="auto"/>
              <w:bottom w:val="outset" w:sz="4" w:space="0" w:color="auto"/>
              <w:right w:val="outset" w:sz="4" w:space="0" w:color="auto"/>
            </w:tcBorders>
            <w:vAlign w:val="center"/>
          </w:tcPr>
          <w:p w14:paraId="288A8DB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536,646,520.12</w:t>
            </w:r>
          </w:p>
        </w:tc>
      </w:tr>
    </w:tbl>
    <w:p w14:paraId="18BCFC44" w14:textId="77777777" w:rsidR="002D0AE7" w:rsidRDefault="00333EBB">
      <w:pPr>
        <w:snapToGrid w:val="0"/>
        <w:spacing w:line="240" w:lineRule="atLeast"/>
        <w:ind w:rightChars="12" w:right="29"/>
        <w:rPr>
          <w:rFonts w:hint="eastAsia"/>
          <w:b/>
          <w:bCs/>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d1f7cb193ab444ff8482a06aad12f0db"/>
          <w:id w:val="692570610"/>
          <w:placeholder>
            <w:docPart w:val="GBC22222222222222222222222222222"/>
          </w:placeholder>
          <w:dataBinding w:prefixMappings="xmlns:clcid-mr='clcid-mr'" w:xpath="/*/clcid-mr:GongSiFuZeRenXingMing[not(@periodRef)]" w:storeItemID="{89EBAB94-44A0-46A2-B712-30D997D04A6D}"/>
          <w:text/>
        </w:sdtPr>
        <w:sdtEndPr/>
        <w:sdtContent>
          <w:r>
            <w:rPr>
              <w:rFonts w:hint="eastAsia"/>
              <w:color w:val="000000" w:themeColor="text1"/>
            </w:rPr>
            <w:t>李书箱</w:t>
          </w:r>
        </w:sdtContent>
      </w:sdt>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45110b4746914613a7aad68cef7b1bed"/>
          <w:id w:val="1709760378"/>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color w:val="000000" w:themeColor="text1"/>
            </w:rPr>
            <w:t>朱立延</w:t>
          </w:r>
        </w:sdtContent>
      </w:sdt>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e7d70223996e482d9871cfff87704452"/>
          <w:id w:val="-981916634"/>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color w:val="000000" w:themeColor="text1"/>
            </w:rPr>
            <w:t>王于飞</w:t>
          </w:r>
        </w:sdtContent>
      </w:sdt>
    </w:p>
    <w:p w14:paraId="25268144" w14:textId="77777777" w:rsidR="002D0AE7" w:rsidRDefault="002D0AE7">
      <w:pPr>
        <w:jc w:val="center"/>
        <w:rPr>
          <w:rFonts w:hint="eastAsia"/>
          <w:b/>
          <w:bCs/>
          <w:color w:val="000000" w:themeColor="text1"/>
        </w:rPr>
      </w:pPr>
    </w:p>
    <w:p w14:paraId="5139C8E5" w14:textId="77777777" w:rsidR="002D0AE7" w:rsidRDefault="00333EBB">
      <w:pPr>
        <w:pStyle w:val="3"/>
        <w:jc w:val="center"/>
        <w:rPr>
          <w:rFonts w:ascii="宋体" w:hAnsi="宋体" w:hint="eastAsia"/>
          <w:color w:val="000000" w:themeColor="text1"/>
        </w:rPr>
      </w:pPr>
      <w:r>
        <w:rPr>
          <w:rFonts w:ascii="宋体" w:hAnsi="宋体" w:hint="eastAsia"/>
          <w:color w:val="000000" w:themeColor="text1"/>
        </w:rPr>
        <w:t>母公司</w:t>
      </w:r>
      <w:r>
        <w:rPr>
          <w:rFonts w:ascii="宋体" w:hAnsi="宋体"/>
          <w:color w:val="000000" w:themeColor="text1"/>
        </w:rPr>
        <w:t>现金流量表</w:t>
      </w:r>
    </w:p>
    <w:p w14:paraId="30DCE610" w14:textId="77777777" w:rsidR="002D0AE7" w:rsidRDefault="00333EBB">
      <w:pPr>
        <w:jc w:val="center"/>
        <w:rPr>
          <w:rFonts w:hint="eastAsia"/>
          <w:b/>
          <w:bCs/>
          <w:color w:val="000000" w:themeColor="text1"/>
        </w:rPr>
      </w:pPr>
      <w:r>
        <w:rPr>
          <w:color w:val="000000" w:themeColor="text1"/>
        </w:rPr>
        <w:t>2024</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2572CABB" w14:textId="77777777" w:rsidR="002D0AE7" w:rsidRDefault="00333EBB">
      <w:pPr>
        <w:jc w:val="right"/>
        <w:rPr>
          <w:rFonts w:hint="eastAsia"/>
          <w:color w:val="000000" w:themeColor="text1"/>
        </w:rPr>
      </w:pPr>
      <w:r>
        <w:rPr>
          <w:color w:val="000000" w:themeColor="text1"/>
        </w:rPr>
        <w:t>单位：</w:t>
      </w:r>
      <w:sdt>
        <w:sdtPr>
          <w:rPr>
            <w:color w:val="000000" w:themeColor="text1"/>
          </w:rPr>
          <w:alias w:val="单位：母公司现金流量表"/>
          <w:tag w:val="_GBC_993ead81b27a41dfaccaacfaec8b7c78"/>
          <w:id w:val="25526346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color w:val="000000" w:themeColor="text1"/>
        </w:rPr>
        <w:t>币种：</w:t>
      </w:r>
      <w:sdt>
        <w:sdtPr>
          <w:rPr>
            <w:color w:val="000000" w:themeColor="text1"/>
          </w:rPr>
          <w:alias w:val="币种：母公司现金流量表"/>
          <w:tag w:val="_GBC_2dd4b706d0a244a4b4c21166025356cc"/>
          <w:id w:val="203198827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623" w:type="pct"/>
        <w:tblInd w:w="-57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87"/>
        <w:gridCol w:w="992"/>
        <w:gridCol w:w="1701"/>
        <w:gridCol w:w="1842"/>
      </w:tblGrid>
      <w:tr w:rsidR="002D0AE7" w14:paraId="7E98CB41" w14:textId="77777777">
        <w:sdt>
          <w:sdtPr>
            <w:rPr>
              <w:color w:val="000000" w:themeColor="text1"/>
              <w:sz w:val="21"/>
              <w:szCs w:val="21"/>
            </w:rPr>
            <w:tag w:val="_PLD_20ae0904ed714106892a5beddfe5846a"/>
            <w:id w:val="-1275405545"/>
          </w:sdtPr>
          <w:sdtEndPr/>
          <w:sdtContent>
            <w:tc>
              <w:tcPr>
                <w:tcW w:w="2715" w:type="pct"/>
                <w:tcBorders>
                  <w:top w:val="outset" w:sz="4" w:space="0" w:color="auto"/>
                  <w:left w:val="outset" w:sz="4" w:space="0" w:color="auto"/>
                  <w:bottom w:val="outset" w:sz="4" w:space="0" w:color="auto"/>
                  <w:right w:val="outset" w:sz="4" w:space="0" w:color="auto"/>
                </w:tcBorders>
                <w:vAlign w:val="center"/>
              </w:tcPr>
              <w:p w14:paraId="3FD83662" w14:textId="77777777" w:rsidR="002D0AE7" w:rsidRDefault="00333EBB">
                <w:pPr>
                  <w:jc w:val="center"/>
                  <w:rPr>
                    <w:rFonts w:hint="eastAsia"/>
                    <w:b/>
                    <w:bCs/>
                    <w:color w:val="000000" w:themeColor="text1"/>
                    <w:sz w:val="21"/>
                    <w:szCs w:val="21"/>
                  </w:rPr>
                </w:pPr>
                <w:r>
                  <w:rPr>
                    <w:b/>
                    <w:color w:val="000000" w:themeColor="text1"/>
                    <w:sz w:val="21"/>
                    <w:szCs w:val="21"/>
                  </w:rPr>
                  <w:t>项目</w:t>
                </w:r>
              </w:p>
            </w:tc>
          </w:sdtContent>
        </w:sdt>
        <w:sdt>
          <w:sdtPr>
            <w:rPr>
              <w:color w:val="000000" w:themeColor="text1"/>
              <w:sz w:val="21"/>
              <w:szCs w:val="21"/>
            </w:rPr>
            <w:tag w:val="_PLD_9cb87427e0de42d2b7e58a286ff58290"/>
            <w:id w:val="1585177674"/>
          </w:sdtPr>
          <w:sdtEndPr/>
          <w:sdtContent>
            <w:tc>
              <w:tcPr>
                <w:tcW w:w="500" w:type="pct"/>
                <w:tcBorders>
                  <w:top w:val="outset" w:sz="4" w:space="0" w:color="auto"/>
                  <w:left w:val="outset" w:sz="4" w:space="0" w:color="auto"/>
                  <w:bottom w:val="outset" w:sz="4" w:space="0" w:color="auto"/>
                  <w:right w:val="outset" w:sz="4" w:space="0" w:color="auto"/>
                </w:tcBorders>
                <w:vAlign w:val="center"/>
              </w:tcPr>
              <w:p w14:paraId="64AB2E42" w14:textId="77777777" w:rsidR="002D0AE7" w:rsidRDefault="00333EBB">
                <w:pPr>
                  <w:autoSpaceDE w:val="0"/>
                  <w:autoSpaceDN w:val="0"/>
                  <w:adjustRightInd w:val="0"/>
                  <w:jc w:val="center"/>
                  <w:rPr>
                    <w:rFonts w:hint="eastAsia"/>
                    <w:b/>
                    <w:color w:val="000000" w:themeColor="text1"/>
                    <w:sz w:val="21"/>
                    <w:szCs w:val="21"/>
                  </w:rPr>
                </w:pPr>
                <w:r>
                  <w:rPr>
                    <w:b/>
                    <w:color w:val="000000" w:themeColor="text1"/>
                    <w:sz w:val="21"/>
                    <w:szCs w:val="21"/>
                  </w:rPr>
                  <w:t>附注</w:t>
                </w:r>
              </w:p>
            </w:tc>
          </w:sdtContent>
        </w:sdt>
        <w:sdt>
          <w:sdtPr>
            <w:rPr>
              <w:color w:val="000000" w:themeColor="text1"/>
              <w:sz w:val="21"/>
              <w:szCs w:val="21"/>
            </w:rPr>
            <w:tag w:val="_PLD_514bbce28b6040e393e59c5ec50c3820"/>
            <w:id w:val="1445112720"/>
          </w:sdtPr>
          <w:sdtEndPr/>
          <w:sdtContent>
            <w:tc>
              <w:tcPr>
                <w:tcW w:w="857" w:type="pct"/>
                <w:tcBorders>
                  <w:top w:val="outset" w:sz="4" w:space="0" w:color="auto"/>
                  <w:left w:val="outset" w:sz="4" w:space="0" w:color="auto"/>
                  <w:bottom w:val="outset" w:sz="4" w:space="0" w:color="auto"/>
                  <w:right w:val="outset" w:sz="4" w:space="0" w:color="auto"/>
                </w:tcBorders>
                <w:vAlign w:val="center"/>
              </w:tcPr>
              <w:p w14:paraId="161A7FF5" w14:textId="77777777" w:rsidR="002D0AE7" w:rsidRDefault="00333EBB">
                <w:pPr>
                  <w:autoSpaceDE w:val="0"/>
                  <w:autoSpaceDN w:val="0"/>
                  <w:adjustRightInd w:val="0"/>
                  <w:jc w:val="center"/>
                  <w:rPr>
                    <w:rFonts w:hint="eastAsia"/>
                    <w:b/>
                    <w:color w:val="000000" w:themeColor="text1"/>
                    <w:sz w:val="21"/>
                    <w:szCs w:val="21"/>
                  </w:rPr>
                </w:pPr>
                <w:r>
                  <w:rPr>
                    <w:rFonts w:hint="eastAsia"/>
                    <w:b/>
                    <w:color w:val="000000" w:themeColor="text1"/>
                    <w:sz w:val="21"/>
                    <w:szCs w:val="21"/>
                  </w:rPr>
                  <w:t>2024</w:t>
                </w:r>
                <w:r>
                  <w:rPr>
                    <w:rFonts w:hint="eastAsia"/>
                    <w:b/>
                    <w:color w:val="000000" w:themeColor="text1"/>
                    <w:sz w:val="21"/>
                    <w:szCs w:val="21"/>
                  </w:rPr>
                  <w:t>年半年度</w:t>
                </w:r>
              </w:p>
            </w:tc>
          </w:sdtContent>
        </w:sdt>
        <w:sdt>
          <w:sdtPr>
            <w:rPr>
              <w:color w:val="000000" w:themeColor="text1"/>
              <w:sz w:val="21"/>
              <w:szCs w:val="21"/>
            </w:rPr>
            <w:tag w:val="_PLD_de39c3f730c74ecca3c9a890bc08a2c1"/>
            <w:id w:val="383682132"/>
          </w:sdtPr>
          <w:sdtEndPr/>
          <w:sdtContent>
            <w:tc>
              <w:tcPr>
                <w:tcW w:w="928" w:type="pct"/>
                <w:tcBorders>
                  <w:top w:val="outset" w:sz="4" w:space="0" w:color="auto"/>
                  <w:left w:val="outset" w:sz="4" w:space="0" w:color="auto"/>
                  <w:bottom w:val="outset" w:sz="4" w:space="0" w:color="auto"/>
                  <w:right w:val="outset" w:sz="4" w:space="0" w:color="auto"/>
                </w:tcBorders>
                <w:vAlign w:val="center"/>
              </w:tcPr>
              <w:p w14:paraId="11AB95A6" w14:textId="77777777" w:rsidR="002D0AE7" w:rsidRDefault="00333EBB">
                <w:pPr>
                  <w:autoSpaceDE w:val="0"/>
                  <w:autoSpaceDN w:val="0"/>
                  <w:adjustRightInd w:val="0"/>
                  <w:jc w:val="center"/>
                  <w:rPr>
                    <w:rFonts w:hint="eastAsia"/>
                    <w:b/>
                    <w:color w:val="000000" w:themeColor="text1"/>
                    <w:sz w:val="21"/>
                    <w:szCs w:val="21"/>
                  </w:rPr>
                </w:pPr>
                <w:r>
                  <w:rPr>
                    <w:rFonts w:hint="eastAsia"/>
                    <w:b/>
                    <w:color w:val="000000" w:themeColor="text1"/>
                    <w:sz w:val="21"/>
                    <w:szCs w:val="21"/>
                  </w:rPr>
                  <w:t>2023</w:t>
                </w:r>
                <w:r>
                  <w:rPr>
                    <w:rFonts w:hint="eastAsia"/>
                    <w:b/>
                    <w:color w:val="000000" w:themeColor="text1"/>
                    <w:sz w:val="21"/>
                    <w:szCs w:val="21"/>
                  </w:rPr>
                  <w:t>年半年度</w:t>
                </w:r>
              </w:p>
            </w:tc>
          </w:sdtContent>
        </w:sdt>
      </w:tr>
      <w:tr w:rsidR="002D0AE7" w14:paraId="7CEE3D40" w14:textId="77777777">
        <w:sdt>
          <w:sdtPr>
            <w:rPr>
              <w:color w:val="000000" w:themeColor="text1"/>
              <w:sz w:val="21"/>
              <w:szCs w:val="21"/>
            </w:rPr>
            <w:tag w:val="_PLD_575fd724a7cb4261a6c80660162ce2fb"/>
            <w:id w:val="-1476292716"/>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46BA8788" w14:textId="77777777" w:rsidR="002D0AE7" w:rsidRDefault="00333EBB">
                <w:pPr>
                  <w:rPr>
                    <w:rFonts w:hint="eastAsia"/>
                    <w:color w:val="000000" w:themeColor="text1"/>
                    <w:sz w:val="21"/>
                    <w:szCs w:val="21"/>
                  </w:rPr>
                </w:pPr>
                <w:r>
                  <w:rPr>
                    <w:rFonts w:hint="eastAsia"/>
                    <w:b/>
                    <w:color w:val="000000" w:themeColor="text1"/>
                    <w:sz w:val="21"/>
                    <w:szCs w:val="21"/>
                  </w:rPr>
                  <w:t>一、经营活动产生的现金流量：</w:t>
                </w:r>
              </w:p>
            </w:tc>
          </w:sdtContent>
        </w:sdt>
      </w:tr>
      <w:tr w:rsidR="002D0AE7" w14:paraId="560484F6" w14:textId="77777777">
        <w:tc>
          <w:tcPr>
            <w:tcW w:w="2715" w:type="pct"/>
            <w:tcBorders>
              <w:top w:val="outset" w:sz="4" w:space="0" w:color="auto"/>
              <w:left w:val="outset" w:sz="4" w:space="0" w:color="auto"/>
              <w:bottom w:val="outset" w:sz="4" w:space="0" w:color="auto"/>
              <w:right w:val="outset" w:sz="4" w:space="0" w:color="auto"/>
            </w:tcBorders>
            <w:vAlign w:val="center"/>
          </w:tcPr>
          <w:p w14:paraId="5AB0C014"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销售商品、提供劳务收到的现金</w:t>
            </w:r>
          </w:p>
        </w:tc>
        <w:tc>
          <w:tcPr>
            <w:tcW w:w="500" w:type="pct"/>
            <w:tcBorders>
              <w:top w:val="outset" w:sz="4" w:space="0" w:color="auto"/>
              <w:left w:val="outset" w:sz="4" w:space="0" w:color="auto"/>
              <w:bottom w:val="outset" w:sz="4" w:space="0" w:color="auto"/>
              <w:right w:val="outset" w:sz="4" w:space="0" w:color="auto"/>
            </w:tcBorders>
            <w:vAlign w:val="center"/>
          </w:tcPr>
          <w:p w14:paraId="49C5949C"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3BE2FA3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697,561,166.20</w:t>
            </w:r>
          </w:p>
        </w:tc>
        <w:tc>
          <w:tcPr>
            <w:tcW w:w="928" w:type="pct"/>
            <w:tcBorders>
              <w:top w:val="outset" w:sz="4" w:space="0" w:color="auto"/>
              <w:left w:val="outset" w:sz="4" w:space="0" w:color="auto"/>
              <w:bottom w:val="outset" w:sz="4" w:space="0" w:color="auto"/>
              <w:right w:val="outset" w:sz="4" w:space="0" w:color="auto"/>
            </w:tcBorders>
            <w:vAlign w:val="center"/>
          </w:tcPr>
          <w:p w14:paraId="0DA6E0A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557,063,134.51</w:t>
            </w:r>
          </w:p>
        </w:tc>
      </w:tr>
      <w:tr w:rsidR="002D0AE7" w14:paraId="561BFA89" w14:textId="77777777">
        <w:tc>
          <w:tcPr>
            <w:tcW w:w="2715" w:type="pct"/>
            <w:tcBorders>
              <w:top w:val="outset" w:sz="4" w:space="0" w:color="auto"/>
              <w:left w:val="outset" w:sz="4" w:space="0" w:color="auto"/>
              <w:bottom w:val="outset" w:sz="4" w:space="0" w:color="auto"/>
              <w:right w:val="outset" w:sz="4" w:space="0" w:color="auto"/>
            </w:tcBorders>
            <w:vAlign w:val="center"/>
          </w:tcPr>
          <w:p w14:paraId="066DB09B"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收到的税费返还</w:t>
            </w:r>
          </w:p>
        </w:tc>
        <w:tc>
          <w:tcPr>
            <w:tcW w:w="500" w:type="pct"/>
            <w:tcBorders>
              <w:top w:val="outset" w:sz="4" w:space="0" w:color="auto"/>
              <w:left w:val="outset" w:sz="4" w:space="0" w:color="auto"/>
              <w:bottom w:val="outset" w:sz="4" w:space="0" w:color="auto"/>
              <w:right w:val="outset" w:sz="4" w:space="0" w:color="auto"/>
            </w:tcBorders>
            <w:vAlign w:val="center"/>
          </w:tcPr>
          <w:p w14:paraId="391CD89D"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22AEE29E" w14:textId="77777777" w:rsidR="002D0AE7" w:rsidRDefault="002D0AE7">
            <w:pPr>
              <w:jc w:val="right"/>
              <w:rPr>
                <w:rFonts w:ascii="Times New Roman" w:hAnsi="Times New Roman" w:cs="Times New Roman"/>
                <w:sz w:val="21"/>
                <w:szCs w:val="21"/>
              </w:rPr>
            </w:pPr>
          </w:p>
        </w:tc>
        <w:tc>
          <w:tcPr>
            <w:tcW w:w="928" w:type="pct"/>
            <w:tcBorders>
              <w:top w:val="outset" w:sz="4" w:space="0" w:color="auto"/>
              <w:left w:val="outset" w:sz="4" w:space="0" w:color="auto"/>
              <w:bottom w:val="outset" w:sz="4" w:space="0" w:color="auto"/>
              <w:right w:val="outset" w:sz="4" w:space="0" w:color="auto"/>
            </w:tcBorders>
            <w:vAlign w:val="center"/>
          </w:tcPr>
          <w:p w14:paraId="2A388A3C" w14:textId="77777777" w:rsidR="002D0AE7" w:rsidRDefault="002D0AE7">
            <w:pPr>
              <w:jc w:val="right"/>
              <w:rPr>
                <w:rFonts w:ascii="Times New Roman" w:hAnsi="Times New Roman" w:cs="Times New Roman"/>
                <w:sz w:val="21"/>
                <w:szCs w:val="21"/>
              </w:rPr>
            </w:pPr>
          </w:p>
        </w:tc>
      </w:tr>
      <w:tr w:rsidR="002D0AE7" w14:paraId="152AE7DD" w14:textId="77777777">
        <w:tc>
          <w:tcPr>
            <w:tcW w:w="2715" w:type="pct"/>
            <w:tcBorders>
              <w:top w:val="outset" w:sz="4" w:space="0" w:color="auto"/>
              <w:left w:val="outset" w:sz="4" w:space="0" w:color="auto"/>
              <w:bottom w:val="outset" w:sz="4" w:space="0" w:color="auto"/>
              <w:right w:val="outset" w:sz="4" w:space="0" w:color="auto"/>
            </w:tcBorders>
            <w:vAlign w:val="center"/>
          </w:tcPr>
          <w:p w14:paraId="0A673257"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收到其他与经营活动有关的现金</w:t>
            </w:r>
          </w:p>
        </w:tc>
        <w:tc>
          <w:tcPr>
            <w:tcW w:w="500" w:type="pct"/>
            <w:tcBorders>
              <w:top w:val="outset" w:sz="4" w:space="0" w:color="auto"/>
              <w:left w:val="outset" w:sz="4" w:space="0" w:color="auto"/>
              <w:bottom w:val="outset" w:sz="4" w:space="0" w:color="auto"/>
              <w:right w:val="outset" w:sz="4" w:space="0" w:color="auto"/>
            </w:tcBorders>
            <w:vAlign w:val="center"/>
          </w:tcPr>
          <w:p w14:paraId="3402DB8B"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6CAD363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11,373,661.59</w:t>
            </w:r>
          </w:p>
        </w:tc>
        <w:tc>
          <w:tcPr>
            <w:tcW w:w="928" w:type="pct"/>
            <w:tcBorders>
              <w:top w:val="outset" w:sz="4" w:space="0" w:color="auto"/>
              <w:left w:val="outset" w:sz="4" w:space="0" w:color="auto"/>
              <w:bottom w:val="outset" w:sz="4" w:space="0" w:color="auto"/>
              <w:right w:val="outset" w:sz="4" w:space="0" w:color="auto"/>
            </w:tcBorders>
            <w:vAlign w:val="center"/>
          </w:tcPr>
          <w:p w14:paraId="4C05CA3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24,503,848.53</w:t>
            </w:r>
          </w:p>
        </w:tc>
      </w:tr>
      <w:tr w:rsidR="002D0AE7" w14:paraId="18A8D6AD" w14:textId="77777777">
        <w:tc>
          <w:tcPr>
            <w:tcW w:w="2715" w:type="pct"/>
            <w:tcBorders>
              <w:top w:val="outset" w:sz="4" w:space="0" w:color="auto"/>
              <w:left w:val="outset" w:sz="4" w:space="0" w:color="auto"/>
              <w:bottom w:val="outset" w:sz="4" w:space="0" w:color="auto"/>
              <w:right w:val="outset" w:sz="4" w:space="0" w:color="auto"/>
            </w:tcBorders>
            <w:vAlign w:val="center"/>
          </w:tcPr>
          <w:p w14:paraId="2A0DBAE4"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经营活动现金流入小计</w:t>
            </w:r>
          </w:p>
        </w:tc>
        <w:tc>
          <w:tcPr>
            <w:tcW w:w="500" w:type="pct"/>
            <w:tcBorders>
              <w:top w:val="outset" w:sz="4" w:space="0" w:color="auto"/>
              <w:left w:val="outset" w:sz="4" w:space="0" w:color="auto"/>
              <w:bottom w:val="outset" w:sz="4" w:space="0" w:color="auto"/>
              <w:right w:val="outset" w:sz="4" w:space="0" w:color="auto"/>
            </w:tcBorders>
            <w:vAlign w:val="center"/>
          </w:tcPr>
          <w:p w14:paraId="6BC779BE"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5E9661B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708,934,827.79</w:t>
            </w:r>
          </w:p>
        </w:tc>
        <w:tc>
          <w:tcPr>
            <w:tcW w:w="928" w:type="pct"/>
            <w:tcBorders>
              <w:top w:val="outset" w:sz="4" w:space="0" w:color="auto"/>
              <w:left w:val="outset" w:sz="4" w:space="0" w:color="auto"/>
              <w:bottom w:val="outset" w:sz="4" w:space="0" w:color="auto"/>
              <w:right w:val="outset" w:sz="4" w:space="0" w:color="auto"/>
            </w:tcBorders>
            <w:vAlign w:val="center"/>
          </w:tcPr>
          <w:p w14:paraId="4A2F6E5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581,566,983.04</w:t>
            </w:r>
          </w:p>
        </w:tc>
      </w:tr>
      <w:tr w:rsidR="002D0AE7" w14:paraId="78115001" w14:textId="77777777">
        <w:tc>
          <w:tcPr>
            <w:tcW w:w="2715" w:type="pct"/>
            <w:tcBorders>
              <w:top w:val="outset" w:sz="4" w:space="0" w:color="auto"/>
              <w:left w:val="outset" w:sz="4" w:space="0" w:color="auto"/>
              <w:bottom w:val="outset" w:sz="4" w:space="0" w:color="auto"/>
              <w:right w:val="outset" w:sz="4" w:space="0" w:color="auto"/>
            </w:tcBorders>
            <w:vAlign w:val="center"/>
          </w:tcPr>
          <w:p w14:paraId="204060E0"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购买商品、接受劳务支付的现金</w:t>
            </w:r>
          </w:p>
        </w:tc>
        <w:tc>
          <w:tcPr>
            <w:tcW w:w="500" w:type="pct"/>
            <w:tcBorders>
              <w:top w:val="outset" w:sz="4" w:space="0" w:color="auto"/>
              <w:left w:val="outset" w:sz="4" w:space="0" w:color="auto"/>
              <w:bottom w:val="outset" w:sz="4" w:space="0" w:color="auto"/>
              <w:right w:val="outset" w:sz="4" w:space="0" w:color="auto"/>
            </w:tcBorders>
            <w:vAlign w:val="center"/>
          </w:tcPr>
          <w:p w14:paraId="60D1236D"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5248F35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343,654,028.16</w:t>
            </w:r>
          </w:p>
        </w:tc>
        <w:tc>
          <w:tcPr>
            <w:tcW w:w="928" w:type="pct"/>
            <w:tcBorders>
              <w:top w:val="outset" w:sz="4" w:space="0" w:color="auto"/>
              <w:left w:val="outset" w:sz="4" w:space="0" w:color="auto"/>
              <w:bottom w:val="outset" w:sz="4" w:space="0" w:color="auto"/>
              <w:right w:val="outset" w:sz="4" w:space="0" w:color="auto"/>
            </w:tcBorders>
            <w:vAlign w:val="center"/>
          </w:tcPr>
          <w:p w14:paraId="53AB921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408,750,892.68</w:t>
            </w:r>
          </w:p>
        </w:tc>
      </w:tr>
      <w:tr w:rsidR="002D0AE7" w14:paraId="2F8FD35E" w14:textId="77777777">
        <w:tc>
          <w:tcPr>
            <w:tcW w:w="2715" w:type="pct"/>
            <w:tcBorders>
              <w:top w:val="outset" w:sz="4" w:space="0" w:color="auto"/>
              <w:left w:val="outset" w:sz="4" w:space="0" w:color="auto"/>
              <w:bottom w:val="outset" w:sz="4" w:space="0" w:color="auto"/>
              <w:right w:val="outset" w:sz="4" w:space="0" w:color="auto"/>
            </w:tcBorders>
            <w:vAlign w:val="center"/>
          </w:tcPr>
          <w:p w14:paraId="4B371EAA"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支付给职工及为职工支付的现金</w:t>
            </w:r>
          </w:p>
        </w:tc>
        <w:tc>
          <w:tcPr>
            <w:tcW w:w="500" w:type="pct"/>
            <w:tcBorders>
              <w:top w:val="outset" w:sz="4" w:space="0" w:color="auto"/>
              <w:left w:val="outset" w:sz="4" w:space="0" w:color="auto"/>
              <w:bottom w:val="outset" w:sz="4" w:space="0" w:color="auto"/>
              <w:right w:val="outset" w:sz="4" w:space="0" w:color="auto"/>
            </w:tcBorders>
            <w:vAlign w:val="center"/>
          </w:tcPr>
          <w:p w14:paraId="1CA0339B"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48E87E9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105,747,673.06</w:t>
            </w:r>
          </w:p>
        </w:tc>
        <w:tc>
          <w:tcPr>
            <w:tcW w:w="928" w:type="pct"/>
            <w:tcBorders>
              <w:top w:val="outset" w:sz="4" w:space="0" w:color="auto"/>
              <w:left w:val="outset" w:sz="4" w:space="0" w:color="auto"/>
              <w:bottom w:val="outset" w:sz="4" w:space="0" w:color="auto"/>
              <w:right w:val="outset" w:sz="4" w:space="0" w:color="auto"/>
            </w:tcBorders>
            <w:vAlign w:val="center"/>
          </w:tcPr>
          <w:p w14:paraId="1A4DA3C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67,793,080.50</w:t>
            </w:r>
          </w:p>
        </w:tc>
      </w:tr>
      <w:tr w:rsidR="002D0AE7" w14:paraId="0F9145D3" w14:textId="77777777">
        <w:tc>
          <w:tcPr>
            <w:tcW w:w="2715" w:type="pct"/>
            <w:tcBorders>
              <w:top w:val="outset" w:sz="4" w:space="0" w:color="auto"/>
              <w:left w:val="outset" w:sz="4" w:space="0" w:color="auto"/>
              <w:bottom w:val="outset" w:sz="4" w:space="0" w:color="auto"/>
              <w:right w:val="outset" w:sz="4" w:space="0" w:color="auto"/>
            </w:tcBorders>
            <w:vAlign w:val="center"/>
          </w:tcPr>
          <w:p w14:paraId="3BAC9617"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支付的各项税费</w:t>
            </w:r>
          </w:p>
        </w:tc>
        <w:tc>
          <w:tcPr>
            <w:tcW w:w="500" w:type="pct"/>
            <w:tcBorders>
              <w:top w:val="outset" w:sz="4" w:space="0" w:color="auto"/>
              <w:left w:val="outset" w:sz="4" w:space="0" w:color="auto"/>
              <w:bottom w:val="outset" w:sz="4" w:space="0" w:color="auto"/>
              <w:right w:val="outset" w:sz="4" w:space="0" w:color="auto"/>
            </w:tcBorders>
            <w:vAlign w:val="center"/>
          </w:tcPr>
          <w:p w14:paraId="6706BB22"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0845EBD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49,684,003.07</w:t>
            </w:r>
          </w:p>
        </w:tc>
        <w:tc>
          <w:tcPr>
            <w:tcW w:w="928" w:type="pct"/>
            <w:tcBorders>
              <w:top w:val="outset" w:sz="4" w:space="0" w:color="auto"/>
              <w:left w:val="outset" w:sz="4" w:space="0" w:color="auto"/>
              <w:bottom w:val="outset" w:sz="4" w:space="0" w:color="auto"/>
              <w:right w:val="outset" w:sz="4" w:space="0" w:color="auto"/>
            </w:tcBorders>
            <w:vAlign w:val="center"/>
          </w:tcPr>
          <w:p w14:paraId="7D75141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50,782,121.72</w:t>
            </w:r>
          </w:p>
        </w:tc>
      </w:tr>
      <w:tr w:rsidR="002D0AE7" w14:paraId="32FC9EF4" w14:textId="77777777">
        <w:tc>
          <w:tcPr>
            <w:tcW w:w="2715" w:type="pct"/>
            <w:tcBorders>
              <w:top w:val="outset" w:sz="4" w:space="0" w:color="auto"/>
              <w:left w:val="outset" w:sz="4" w:space="0" w:color="auto"/>
              <w:bottom w:val="outset" w:sz="4" w:space="0" w:color="auto"/>
              <w:right w:val="outset" w:sz="4" w:space="0" w:color="auto"/>
            </w:tcBorders>
            <w:vAlign w:val="center"/>
          </w:tcPr>
          <w:p w14:paraId="5330666D"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支付其他与经营活动有关的现金</w:t>
            </w:r>
          </w:p>
        </w:tc>
        <w:tc>
          <w:tcPr>
            <w:tcW w:w="500" w:type="pct"/>
            <w:tcBorders>
              <w:top w:val="outset" w:sz="4" w:space="0" w:color="auto"/>
              <w:left w:val="outset" w:sz="4" w:space="0" w:color="auto"/>
              <w:bottom w:val="outset" w:sz="4" w:space="0" w:color="auto"/>
              <w:right w:val="outset" w:sz="4" w:space="0" w:color="auto"/>
            </w:tcBorders>
            <w:vAlign w:val="center"/>
          </w:tcPr>
          <w:p w14:paraId="02D634F9"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6EBAF1F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44,641,168.97</w:t>
            </w:r>
          </w:p>
        </w:tc>
        <w:tc>
          <w:tcPr>
            <w:tcW w:w="928" w:type="pct"/>
            <w:tcBorders>
              <w:top w:val="outset" w:sz="4" w:space="0" w:color="auto"/>
              <w:left w:val="outset" w:sz="4" w:space="0" w:color="auto"/>
              <w:bottom w:val="outset" w:sz="4" w:space="0" w:color="auto"/>
              <w:right w:val="outset" w:sz="4" w:space="0" w:color="auto"/>
            </w:tcBorders>
            <w:vAlign w:val="center"/>
          </w:tcPr>
          <w:p w14:paraId="14E1BC2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30,257,599.13</w:t>
            </w:r>
          </w:p>
        </w:tc>
      </w:tr>
      <w:tr w:rsidR="002D0AE7" w14:paraId="4094F7E4" w14:textId="77777777">
        <w:tc>
          <w:tcPr>
            <w:tcW w:w="2715" w:type="pct"/>
            <w:tcBorders>
              <w:top w:val="outset" w:sz="4" w:space="0" w:color="auto"/>
              <w:left w:val="outset" w:sz="4" w:space="0" w:color="auto"/>
              <w:bottom w:val="outset" w:sz="4" w:space="0" w:color="auto"/>
              <w:right w:val="outset" w:sz="4" w:space="0" w:color="auto"/>
            </w:tcBorders>
            <w:vAlign w:val="center"/>
          </w:tcPr>
          <w:p w14:paraId="206ACE9C"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经营活动现金流出小计</w:t>
            </w:r>
          </w:p>
        </w:tc>
        <w:tc>
          <w:tcPr>
            <w:tcW w:w="500" w:type="pct"/>
            <w:tcBorders>
              <w:top w:val="outset" w:sz="4" w:space="0" w:color="auto"/>
              <w:left w:val="outset" w:sz="4" w:space="0" w:color="auto"/>
              <w:bottom w:val="outset" w:sz="4" w:space="0" w:color="auto"/>
              <w:right w:val="outset" w:sz="4" w:space="0" w:color="auto"/>
            </w:tcBorders>
            <w:vAlign w:val="center"/>
          </w:tcPr>
          <w:p w14:paraId="3C84F397"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5381B52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543,726,873.26</w:t>
            </w:r>
          </w:p>
        </w:tc>
        <w:tc>
          <w:tcPr>
            <w:tcW w:w="928" w:type="pct"/>
            <w:tcBorders>
              <w:top w:val="outset" w:sz="4" w:space="0" w:color="auto"/>
              <w:left w:val="outset" w:sz="4" w:space="0" w:color="auto"/>
              <w:bottom w:val="outset" w:sz="4" w:space="0" w:color="auto"/>
              <w:right w:val="outset" w:sz="4" w:space="0" w:color="auto"/>
            </w:tcBorders>
            <w:vAlign w:val="center"/>
          </w:tcPr>
          <w:p w14:paraId="321090E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557,583,694.03</w:t>
            </w:r>
          </w:p>
        </w:tc>
      </w:tr>
      <w:tr w:rsidR="002D0AE7" w14:paraId="222410B9" w14:textId="77777777">
        <w:tc>
          <w:tcPr>
            <w:tcW w:w="2715" w:type="pct"/>
            <w:tcBorders>
              <w:top w:val="outset" w:sz="4" w:space="0" w:color="auto"/>
              <w:left w:val="outset" w:sz="4" w:space="0" w:color="auto"/>
              <w:bottom w:val="outset" w:sz="4" w:space="0" w:color="auto"/>
              <w:right w:val="outset" w:sz="4" w:space="0" w:color="auto"/>
            </w:tcBorders>
            <w:vAlign w:val="center"/>
          </w:tcPr>
          <w:p w14:paraId="2DF6C237"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经营活动产生的现金流量净额</w:t>
            </w:r>
          </w:p>
        </w:tc>
        <w:tc>
          <w:tcPr>
            <w:tcW w:w="500" w:type="pct"/>
            <w:tcBorders>
              <w:top w:val="outset" w:sz="4" w:space="0" w:color="auto"/>
              <w:left w:val="outset" w:sz="4" w:space="0" w:color="auto"/>
              <w:bottom w:val="outset" w:sz="4" w:space="0" w:color="auto"/>
              <w:right w:val="outset" w:sz="4" w:space="0" w:color="auto"/>
            </w:tcBorders>
            <w:vAlign w:val="center"/>
          </w:tcPr>
          <w:p w14:paraId="6E859065"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1501596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165,207,954.53</w:t>
            </w:r>
          </w:p>
        </w:tc>
        <w:tc>
          <w:tcPr>
            <w:tcW w:w="928" w:type="pct"/>
            <w:tcBorders>
              <w:top w:val="outset" w:sz="4" w:space="0" w:color="auto"/>
              <w:left w:val="outset" w:sz="4" w:space="0" w:color="auto"/>
              <w:bottom w:val="outset" w:sz="4" w:space="0" w:color="auto"/>
              <w:right w:val="outset" w:sz="4" w:space="0" w:color="auto"/>
            </w:tcBorders>
            <w:vAlign w:val="center"/>
          </w:tcPr>
          <w:p w14:paraId="6FD038E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23,983,289.01</w:t>
            </w:r>
          </w:p>
        </w:tc>
      </w:tr>
      <w:tr w:rsidR="002D0AE7" w14:paraId="58914524" w14:textId="77777777">
        <w:tc>
          <w:tcPr>
            <w:tcW w:w="5000" w:type="pct"/>
            <w:gridSpan w:val="4"/>
            <w:tcBorders>
              <w:top w:val="outset" w:sz="4" w:space="0" w:color="auto"/>
              <w:left w:val="outset" w:sz="4" w:space="0" w:color="auto"/>
              <w:bottom w:val="outset" w:sz="4" w:space="0" w:color="auto"/>
              <w:right w:val="outset" w:sz="4" w:space="0" w:color="auto"/>
            </w:tcBorders>
            <w:vAlign w:val="center"/>
          </w:tcPr>
          <w:p w14:paraId="5CA2472C" w14:textId="77777777" w:rsidR="002D0AE7" w:rsidRDefault="00333EBB">
            <w:pPr>
              <w:rPr>
                <w:rFonts w:hint="eastAsia"/>
                <w:color w:val="000000" w:themeColor="text1"/>
                <w:sz w:val="21"/>
                <w:szCs w:val="21"/>
              </w:rPr>
            </w:pPr>
            <w:r>
              <w:rPr>
                <w:rFonts w:hint="eastAsia"/>
                <w:b/>
                <w:color w:val="000000" w:themeColor="text1"/>
                <w:sz w:val="21"/>
                <w:szCs w:val="21"/>
              </w:rPr>
              <w:t>二、投资活动产生的现金流量：</w:t>
            </w:r>
          </w:p>
        </w:tc>
      </w:tr>
      <w:tr w:rsidR="002D0AE7" w14:paraId="533D3B1C" w14:textId="77777777">
        <w:tc>
          <w:tcPr>
            <w:tcW w:w="2715" w:type="pct"/>
            <w:tcBorders>
              <w:top w:val="outset" w:sz="4" w:space="0" w:color="auto"/>
              <w:left w:val="outset" w:sz="4" w:space="0" w:color="auto"/>
              <w:bottom w:val="outset" w:sz="4" w:space="0" w:color="auto"/>
              <w:right w:val="outset" w:sz="4" w:space="0" w:color="auto"/>
            </w:tcBorders>
            <w:vAlign w:val="center"/>
          </w:tcPr>
          <w:p w14:paraId="58164DF8"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收回投资收到的现金</w:t>
            </w:r>
          </w:p>
        </w:tc>
        <w:tc>
          <w:tcPr>
            <w:tcW w:w="500" w:type="pct"/>
            <w:tcBorders>
              <w:top w:val="outset" w:sz="4" w:space="0" w:color="auto"/>
              <w:left w:val="outset" w:sz="4" w:space="0" w:color="auto"/>
              <w:bottom w:val="outset" w:sz="4" w:space="0" w:color="auto"/>
              <w:right w:val="outset" w:sz="4" w:space="0" w:color="auto"/>
            </w:tcBorders>
            <w:vAlign w:val="center"/>
          </w:tcPr>
          <w:p w14:paraId="6AB9FF67"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7C880A3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710,652.21</w:t>
            </w:r>
          </w:p>
        </w:tc>
        <w:tc>
          <w:tcPr>
            <w:tcW w:w="928" w:type="pct"/>
            <w:tcBorders>
              <w:top w:val="outset" w:sz="4" w:space="0" w:color="auto"/>
              <w:left w:val="outset" w:sz="4" w:space="0" w:color="auto"/>
              <w:bottom w:val="outset" w:sz="4" w:space="0" w:color="auto"/>
              <w:right w:val="outset" w:sz="4" w:space="0" w:color="auto"/>
            </w:tcBorders>
            <w:vAlign w:val="center"/>
          </w:tcPr>
          <w:p w14:paraId="09FD3DE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7D900DC3" w14:textId="77777777">
        <w:tc>
          <w:tcPr>
            <w:tcW w:w="2715" w:type="pct"/>
            <w:tcBorders>
              <w:top w:val="outset" w:sz="4" w:space="0" w:color="auto"/>
              <w:left w:val="outset" w:sz="4" w:space="0" w:color="auto"/>
              <w:bottom w:val="outset" w:sz="4" w:space="0" w:color="auto"/>
              <w:right w:val="outset" w:sz="4" w:space="0" w:color="auto"/>
            </w:tcBorders>
            <w:vAlign w:val="center"/>
          </w:tcPr>
          <w:p w14:paraId="6F1179BC"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取得投资收益收到的现金</w:t>
            </w:r>
          </w:p>
        </w:tc>
        <w:tc>
          <w:tcPr>
            <w:tcW w:w="500" w:type="pct"/>
            <w:tcBorders>
              <w:top w:val="outset" w:sz="4" w:space="0" w:color="auto"/>
              <w:left w:val="outset" w:sz="4" w:space="0" w:color="auto"/>
              <w:bottom w:val="outset" w:sz="4" w:space="0" w:color="auto"/>
              <w:right w:val="outset" w:sz="4" w:space="0" w:color="auto"/>
            </w:tcBorders>
            <w:vAlign w:val="center"/>
          </w:tcPr>
          <w:p w14:paraId="0C7815F7"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75EF512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924.04</w:t>
            </w:r>
          </w:p>
        </w:tc>
        <w:tc>
          <w:tcPr>
            <w:tcW w:w="928" w:type="pct"/>
            <w:tcBorders>
              <w:top w:val="outset" w:sz="4" w:space="0" w:color="auto"/>
              <w:left w:val="outset" w:sz="4" w:space="0" w:color="auto"/>
              <w:bottom w:val="outset" w:sz="4" w:space="0" w:color="auto"/>
              <w:right w:val="outset" w:sz="4" w:space="0" w:color="auto"/>
            </w:tcBorders>
            <w:vAlign w:val="center"/>
          </w:tcPr>
          <w:p w14:paraId="7909871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74766D8D" w14:textId="77777777">
        <w:tc>
          <w:tcPr>
            <w:tcW w:w="2715" w:type="pct"/>
            <w:tcBorders>
              <w:top w:val="outset" w:sz="4" w:space="0" w:color="auto"/>
              <w:left w:val="outset" w:sz="4" w:space="0" w:color="auto"/>
              <w:bottom w:val="outset" w:sz="4" w:space="0" w:color="auto"/>
              <w:right w:val="outset" w:sz="4" w:space="0" w:color="auto"/>
            </w:tcBorders>
            <w:vAlign w:val="center"/>
          </w:tcPr>
          <w:p w14:paraId="1A6CE9A7" w14:textId="77777777" w:rsidR="002D0AE7" w:rsidRDefault="00333EBB">
            <w:pPr>
              <w:ind w:firstLineChars="100" w:firstLine="180"/>
              <w:rPr>
                <w:rFonts w:hint="eastAsia"/>
                <w:color w:val="000000" w:themeColor="text1"/>
                <w:sz w:val="18"/>
                <w:szCs w:val="21"/>
              </w:rPr>
            </w:pPr>
            <w:r>
              <w:rPr>
                <w:rFonts w:hint="eastAsia"/>
                <w:color w:val="000000" w:themeColor="text1"/>
                <w:sz w:val="18"/>
                <w:szCs w:val="21"/>
              </w:rPr>
              <w:t>处置固定资产、无形资产和其他长期资产收回的现金净额</w:t>
            </w:r>
          </w:p>
        </w:tc>
        <w:tc>
          <w:tcPr>
            <w:tcW w:w="500" w:type="pct"/>
            <w:tcBorders>
              <w:top w:val="outset" w:sz="4" w:space="0" w:color="auto"/>
              <w:left w:val="outset" w:sz="4" w:space="0" w:color="auto"/>
              <w:bottom w:val="outset" w:sz="4" w:space="0" w:color="auto"/>
              <w:right w:val="outset" w:sz="4" w:space="0" w:color="auto"/>
            </w:tcBorders>
            <w:vAlign w:val="center"/>
          </w:tcPr>
          <w:p w14:paraId="5F4C703A"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127A42A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84,131.00</w:t>
            </w:r>
          </w:p>
        </w:tc>
        <w:tc>
          <w:tcPr>
            <w:tcW w:w="928" w:type="pct"/>
            <w:tcBorders>
              <w:top w:val="outset" w:sz="4" w:space="0" w:color="auto"/>
              <w:left w:val="outset" w:sz="4" w:space="0" w:color="auto"/>
              <w:bottom w:val="outset" w:sz="4" w:space="0" w:color="auto"/>
              <w:right w:val="outset" w:sz="4" w:space="0" w:color="auto"/>
            </w:tcBorders>
            <w:vAlign w:val="center"/>
          </w:tcPr>
          <w:p w14:paraId="775AE0F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008636B2" w14:textId="77777777">
        <w:tc>
          <w:tcPr>
            <w:tcW w:w="2715" w:type="pct"/>
            <w:tcBorders>
              <w:top w:val="outset" w:sz="4" w:space="0" w:color="auto"/>
              <w:left w:val="outset" w:sz="4" w:space="0" w:color="auto"/>
              <w:bottom w:val="outset" w:sz="4" w:space="0" w:color="auto"/>
              <w:right w:val="outset" w:sz="4" w:space="0" w:color="auto"/>
            </w:tcBorders>
            <w:vAlign w:val="center"/>
          </w:tcPr>
          <w:p w14:paraId="7E55AF08"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处置子公司及其他营业单位收到的现金净额</w:t>
            </w:r>
          </w:p>
        </w:tc>
        <w:tc>
          <w:tcPr>
            <w:tcW w:w="500" w:type="pct"/>
            <w:tcBorders>
              <w:top w:val="outset" w:sz="4" w:space="0" w:color="auto"/>
              <w:left w:val="outset" w:sz="4" w:space="0" w:color="auto"/>
              <w:bottom w:val="outset" w:sz="4" w:space="0" w:color="auto"/>
              <w:right w:val="outset" w:sz="4" w:space="0" w:color="auto"/>
            </w:tcBorders>
            <w:vAlign w:val="center"/>
          </w:tcPr>
          <w:p w14:paraId="3828CD01"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104D6606" w14:textId="77777777" w:rsidR="002D0AE7" w:rsidRDefault="002D0AE7">
            <w:pPr>
              <w:jc w:val="right"/>
              <w:rPr>
                <w:rFonts w:ascii="Times New Roman" w:hAnsi="Times New Roman" w:cs="Times New Roman"/>
                <w:sz w:val="21"/>
                <w:szCs w:val="21"/>
              </w:rPr>
            </w:pPr>
          </w:p>
        </w:tc>
        <w:tc>
          <w:tcPr>
            <w:tcW w:w="928" w:type="pct"/>
            <w:tcBorders>
              <w:top w:val="outset" w:sz="4" w:space="0" w:color="auto"/>
              <w:left w:val="outset" w:sz="4" w:space="0" w:color="auto"/>
              <w:bottom w:val="outset" w:sz="4" w:space="0" w:color="auto"/>
              <w:right w:val="outset" w:sz="4" w:space="0" w:color="auto"/>
            </w:tcBorders>
            <w:vAlign w:val="center"/>
          </w:tcPr>
          <w:p w14:paraId="044FB2AD" w14:textId="77777777" w:rsidR="002D0AE7" w:rsidRDefault="002D0AE7">
            <w:pPr>
              <w:jc w:val="right"/>
              <w:rPr>
                <w:rFonts w:ascii="Times New Roman" w:hAnsi="Times New Roman" w:cs="Times New Roman"/>
                <w:sz w:val="21"/>
                <w:szCs w:val="21"/>
              </w:rPr>
            </w:pPr>
          </w:p>
        </w:tc>
      </w:tr>
      <w:tr w:rsidR="002D0AE7" w14:paraId="5F1A87A0" w14:textId="77777777">
        <w:tc>
          <w:tcPr>
            <w:tcW w:w="2715" w:type="pct"/>
            <w:tcBorders>
              <w:top w:val="outset" w:sz="4" w:space="0" w:color="auto"/>
              <w:left w:val="outset" w:sz="4" w:space="0" w:color="auto"/>
              <w:bottom w:val="outset" w:sz="4" w:space="0" w:color="auto"/>
              <w:right w:val="outset" w:sz="4" w:space="0" w:color="auto"/>
            </w:tcBorders>
            <w:vAlign w:val="center"/>
          </w:tcPr>
          <w:p w14:paraId="37ED05B5"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收到其他与投资活动有关的现金</w:t>
            </w:r>
          </w:p>
        </w:tc>
        <w:tc>
          <w:tcPr>
            <w:tcW w:w="500" w:type="pct"/>
            <w:tcBorders>
              <w:top w:val="outset" w:sz="4" w:space="0" w:color="auto"/>
              <w:left w:val="outset" w:sz="4" w:space="0" w:color="auto"/>
              <w:bottom w:val="outset" w:sz="4" w:space="0" w:color="auto"/>
              <w:right w:val="outset" w:sz="4" w:space="0" w:color="auto"/>
            </w:tcBorders>
            <w:vAlign w:val="center"/>
          </w:tcPr>
          <w:p w14:paraId="1B00CFB1"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092C7D90" w14:textId="77777777" w:rsidR="002D0AE7" w:rsidRDefault="002D0AE7">
            <w:pPr>
              <w:jc w:val="right"/>
              <w:rPr>
                <w:rFonts w:ascii="Times New Roman" w:hAnsi="Times New Roman" w:cs="Times New Roman"/>
                <w:sz w:val="21"/>
                <w:szCs w:val="21"/>
              </w:rPr>
            </w:pPr>
          </w:p>
        </w:tc>
        <w:tc>
          <w:tcPr>
            <w:tcW w:w="928" w:type="pct"/>
            <w:tcBorders>
              <w:top w:val="outset" w:sz="4" w:space="0" w:color="auto"/>
              <w:left w:val="outset" w:sz="4" w:space="0" w:color="auto"/>
              <w:bottom w:val="outset" w:sz="4" w:space="0" w:color="auto"/>
              <w:right w:val="outset" w:sz="4" w:space="0" w:color="auto"/>
            </w:tcBorders>
            <w:vAlign w:val="center"/>
          </w:tcPr>
          <w:p w14:paraId="0AD9C300" w14:textId="77777777" w:rsidR="002D0AE7" w:rsidRDefault="002D0AE7">
            <w:pPr>
              <w:jc w:val="right"/>
              <w:rPr>
                <w:rFonts w:ascii="Times New Roman" w:hAnsi="Times New Roman" w:cs="Times New Roman"/>
                <w:sz w:val="21"/>
                <w:szCs w:val="21"/>
              </w:rPr>
            </w:pPr>
          </w:p>
        </w:tc>
      </w:tr>
      <w:tr w:rsidR="002D0AE7" w14:paraId="4063913F" w14:textId="77777777">
        <w:tc>
          <w:tcPr>
            <w:tcW w:w="2715" w:type="pct"/>
            <w:tcBorders>
              <w:top w:val="outset" w:sz="4" w:space="0" w:color="auto"/>
              <w:left w:val="outset" w:sz="4" w:space="0" w:color="auto"/>
              <w:bottom w:val="outset" w:sz="4" w:space="0" w:color="auto"/>
              <w:right w:val="outset" w:sz="4" w:space="0" w:color="auto"/>
            </w:tcBorders>
            <w:vAlign w:val="center"/>
          </w:tcPr>
          <w:p w14:paraId="17D200E9"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投资活动现金流入小计</w:t>
            </w:r>
          </w:p>
        </w:tc>
        <w:tc>
          <w:tcPr>
            <w:tcW w:w="500" w:type="pct"/>
            <w:tcBorders>
              <w:top w:val="outset" w:sz="4" w:space="0" w:color="auto"/>
              <w:left w:val="outset" w:sz="4" w:space="0" w:color="auto"/>
              <w:bottom w:val="outset" w:sz="4" w:space="0" w:color="auto"/>
              <w:right w:val="outset" w:sz="4" w:space="0" w:color="auto"/>
            </w:tcBorders>
            <w:vAlign w:val="center"/>
          </w:tcPr>
          <w:p w14:paraId="6E79A0D1"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4B1B584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795,707.25</w:t>
            </w:r>
          </w:p>
        </w:tc>
        <w:tc>
          <w:tcPr>
            <w:tcW w:w="928" w:type="pct"/>
            <w:tcBorders>
              <w:top w:val="outset" w:sz="4" w:space="0" w:color="auto"/>
              <w:left w:val="outset" w:sz="4" w:space="0" w:color="auto"/>
              <w:bottom w:val="outset" w:sz="4" w:space="0" w:color="auto"/>
              <w:right w:val="outset" w:sz="4" w:space="0" w:color="auto"/>
            </w:tcBorders>
            <w:vAlign w:val="center"/>
          </w:tcPr>
          <w:p w14:paraId="73167A6D" w14:textId="77777777" w:rsidR="002D0AE7" w:rsidRDefault="00333EBB">
            <w:pPr>
              <w:jc w:val="right"/>
              <w:rPr>
                <w:rFonts w:ascii="Times New Roman" w:hAnsi="Times New Roman" w:cs="Times New Roman"/>
                <w:sz w:val="21"/>
                <w:szCs w:val="21"/>
              </w:rPr>
            </w:pPr>
            <w:r>
              <w:rPr>
                <w:rFonts w:ascii="Times New Roman" w:hAnsi="Times New Roman" w:cs="Times New Roman" w:hint="eastAsia"/>
                <w:sz w:val="21"/>
                <w:szCs w:val="21"/>
              </w:rPr>
              <w:t>0</w:t>
            </w:r>
            <w:r>
              <w:rPr>
                <w:rFonts w:ascii="Times New Roman" w:hAnsi="Times New Roman" w:cs="Times New Roman"/>
                <w:sz w:val="21"/>
                <w:szCs w:val="21"/>
              </w:rPr>
              <w:t>.00</w:t>
            </w:r>
          </w:p>
        </w:tc>
      </w:tr>
      <w:tr w:rsidR="002D0AE7" w14:paraId="3033E928" w14:textId="77777777">
        <w:tc>
          <w:tcPr>
            <w:tcW w:w="2715" w:type="pct"/>
            <w:tcBorders>
              <w:top w:val="outset" w:sz="4" w:space="0" w:color="auto"/>
              <w:left w:val="outset" w:sz="4" w:space="0" w:color="auto"/>
              <w:bottom w:val="outset" w:sz="4" w:space="0" w:color="auto"/>
              <w:right w:val="outset" w:sz="4" w:space="0" w:color="auto"/>
            </w:tcBorders>
            <w:vAlign w:val="center"/>
          </w:tcPr>
          <w:p w14:paraId="46C7FC39"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购建固定资产、无形资产和其他长期资产支付的现金</w:t>
            </w:r>
          </w:p>
        </w:tc>
        <w:tc>
          <w:tcPr>
            <w:tcW w:w="500" w:type="pct"/>
            <w:tcBorders>
              <w:top w:val="outset" w:sz="4" w:space="0" w:color="auto"/>
              <w:left w:val="outset" w:sz="4" w:space="0" w:color="auto"/>
              <w:bottom w:val="outset" w:sz="4" w:space="0" w:color="auto"/>
              <w:right w:val="outset" w:sz="4" w:space="0" w:color="auto"/>
            </w:tcBorders>
            <w:vAlign w:val="center"/>
          </w:tcPr>
          <w:p w14:paraId="0123E47D"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5901315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15,459,583.72</w:t>
            </w:r>
          </w:p>
        </w:tc>
        <w:tc>
          <w:tcPr>
            <w:tcW w:w="928" w:type="pct"/>
            <w:tcBorders>
              <w:top w:val="outset" w:sz="4" w:space="0" w:color="auto"/>
              <w:left w:val="outset" w:sz="4" w:space="0" w:color="auto"/>
              <w:bottom w:val="outset" w:sz="4" w:space="0" w:color="auto"/>
              <w:right w:val="outset" w:sz="4" w:space="0" w:color="auto"/>
            </w:tcBorders>
            <w:vAlign w:val="center"/>
          </w:tcPr>
          <w:p w14:paraId="1DCF2E6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24,939,266.81</w:t>
            </w:r>
          </w:p>
        </w:tc>
      </w:tr>
      <w:tr w:rsidR="002D0AE7" w14:paraId="7FF8A3B4" w14:textId="77777777">
        <w:tc>
          <w:tcPr>
            <w:tcW w:w="2715" w:type="pct"/>
            <w:tcBorders>
              <w:top w:val="outset" w:sz="4" w:space="0" w:color="auto"/>
              <w:left w:val="outset" w:sz="4" w:space="0" w:color="auto"/>
              <w:bottom w:val="outset" w:sz="4" w:space="0" w:color="auto"/>
              <w:right w:val="outset" w:sz="4" w:space="0" w:color="auto"/>
            </w:tcBorders>
            <w:vAlign w:val="center"/>
          </w:tcPr>
          <w:p w14:paraId="52845ECC"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投资支付的现金</w:t>
            </w:r>
          </w:p>
        </w:tc>
        <w:tc>
          <w:tcPr>
            <w:tcW w:w="500" w:type="pct"/>
            <w:tcBorders>
              <w:top w:val="outset" w:sz="4" w:space="0" w:color="auto"/>
              <w:left w:val="outset" w:sz="4" w:space="0" w:color="auto"/>
              <w:bottom w:val="outset" w:sz="4" w:space="0" w:color="auto"/>
              <w:right w:val="outset" w:sz="4" w:space="0" w:color="auto"/>
            </w:tcBorders>
            <w:vAlign w:val="center"/>
          </w:tcPr>
          <w:p w14:paraId="3B35ABF3"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15125C13" w14:textId="77777777" w:rsidR="002D0AE7" w:rsidRDefault="002D0AE7">
            <w:pPr>
              <w:jc w:val="right"/>
              <w:rPr>
                <w:rFonts w:ascii="Times New Roman" w:hAnsi="Times New Roman" w:cs="Times New Roman"/>
                <w:sz w:val="21"/>
                <w:szCs w:val="21"/>
              </w:rPr>
            </w:pPr>
          </w:p>
        </w:tc>
        <w:tc>
          <w:tcPr>
            <w:tcW w:w="928" w:type="pct"/>
            <w:tcBorders>
              <w:top w:val="outset" w:sz="4" w:space="0" w:color="auto"/>
              <w:left w:val="outset" w:sz="4" w:space="0" w:color="auto"/>
              <w:bottom w:val="outset" w:sz="4" w:space="0" w:color="auto"/>
              <w:right w:val="outset" w:sz="4" w:space="0" w:color="auto"/>
            </w:tcBorders>
            <w:vAlign w:val="center"/>
          </w:tcPr>
          <w:p w14:paraId="7C6313B9" w14:textId="77777777" w:rsidR="002D0AE7" w:rsidRDefault="002D0AE7">
            <w:pPr>
              <w:jc w:val="right"/>
              <w:rPr>
                <w:rFonts w:ascii="Times New Roman" w:hAnsi="Times New Roman" w:cs="Times New Roman"/>
                <w:sz w:val="21"/>
                <w:szCs w:val="21"/>
              </w:rPr>
            </w:pPr>
          </w:p>
        </w:tc>
      </w:tr>
      <w:tr w:rsidR="002D0AE7" w14:paraId="19ED75D1" w14:textId="77777777">
        <w:tc>
          <w:tcPr>
            <w:tcW w:w="2715" w:type="pct"/>
            <w:tcBorders>
              <w:top w:val="outset" w:sz="4" w:space="0" w:color="auto"/>
              <w:left w:val="outset" w:sz="4" w:space="0" w:color="auto"/>
              <w:bottom w:val="outset" w:sz="4" w:space="0" w:color="auto"/>
              <w:right w:val="outset" w:sz="4" w:space="0" w:color="auto"/>
            </w:tcBorders>
            <w:vAlign w:val="center"/>
          </w:tcPr>
          <w:p w14:paraId="00AD2835"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取得子公司及其他营业单位支付的现金净额</w:t>
            </w:r>
          </w:p>
        </w:tc>
        <w:tc>
          <w:tcPr>
            <w:tcW w:w="500" w:type="pct"/>
            <w:tcBorders>
              <w:top w:val="outset" w:sz="4" w:space="0" w:color="auto"/>
              <w:left w:val="outset" w:sz="4" w:space="0" w:color="auto"/>
              <w:bottom w:val="outset" w:sz="4" w:space="0" w:color="auto"/>
              <w:right w:val="outset" w:sz="4" w:space="0" w:color="auto"/>
            </w:tcBorders>
            <w:vAlign w:val="center"/>
          </w:tcPr>
          <w:p w14:paraId="0DEC1774"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354C7856" w14:textId="77777777" w:rsidR="002D0AE7" w:rsidRDefault="002D0AE7">
            <w:pPr>
              <w:jc w:val="right"/>
              <w:rPr>
                <w:rFonts w:ascii="Times New Roman" w:hAnsi="Times New Roman" w:cs="Times New Roman"/>
                <w:sz w:val="21"/>
                <w:szCs w:val="21"/>
              </w:rPr>
            </w:pPr>
          </w:p>
        </w:tc>
        <w:tc>
          <w:tcPr>
            <w:tcW w:w="928" w:type="pct"/>
            <w:tcBorders>
              <w:top w:val="outset" w:sz="4" w:space="0" w:color="auto"/>
              <w:left w:val="outset" w:sz="4" w:space="0" w:color="auto"/>
              <w:bottom w:val="outset" w:sz="4" w:space="0" w:color="auto"/>
              <w:right w:val="outset" w:sz="4" w:space="0" w:color="auto"/>
            </w:tcBorders>
            <w:vAlign w:val="center"/>
          </w:tcPr>
          <w:p w14:paraId="51B14D40" w14:textId="77777777" w:rsidR="002D0AE7" w:rsidRDefault="002D0AE7">
            <w:pPr>
              <w:jc w:val="right"/>
              <w:rPr>
                <w:rFonts w:ascii="Times New Roman" w:hAnsi="Times New Roman" w:cs="Times New Roman"/>
                <w:sz w:val="21"/>
                <w:szCs w:val="21"/>
              </w:rPr>
            </w:pPr>
          </w:p>
        </w:tc>
      </w:tr>
      <w:tr w:rsidR="002D0AE7" w14:paraId="69EB4B36" w14:textId="77777777">
        <w:tc>
          <w:tcPr>
            <w:tcW w:w="2715" w:type="pct"/>
            <w:tcBorders>
              <w:top w:val="outset" w:sz="4" w:space="0" w:color="auto"/>
              <w:left w:val="outset" w:sz="4" w:space="0" w:color="auto"/>
              <w:bottom w:val="outset" w:sz="4" w:space="0" w:color="auto"/>
              <w:right w:val="outset" w:sz="4" w:space="0" w:color="auto"/>
            </w:tcBorders>
            <w:vAlign w:val="center"/>
          </w:tcPr>
          <w:p w14:paraId="45CDA1C0"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支付其他与投资活动有关的现金</w:t>
            </w:r>
          </w:p>
        </w:tc>
        <w:tc>
          <w:tcPr>
            <w:tcW w:w="500" w:type="pct"/>
            <w:tcBorders>
              <w:top w:val="outset" w:sz="4" w:space="0" w:color="auto"/>
              <w:left w:val="outset" w:sz="4" w:space="0" w:color="auto"/>
              <w:bottom w:val="outset" w:sz="4" w:space="0" w:color="auto"/>
              <w:right w:val="outset" w:sz="4" w:space="0" w:color="auto"/>
            </w:tcBorders>
            <w:vAlign w:val="center"/>
          </w:tcPr>
          <w:p w14:paraId="7CC31FE2"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64AB18D6" w14:textId="77777777" w:rsidR="002D0AE7" w:rsidRDefault="002D0AE7">
            <w:pPr>
              <w:jc w:val="right"/>
              <w:rPr>
                <w:rFonts w:ascii="Times New Roman" w:hAnsi="Times New Roman" w:cs="Times New Roman"/>
                <w:sz w:val="21"/>
                <w:szCs w:val="21"/>
              </w:rPr>
            </w:pPr>
          </w:p>
        </w:tc>
        <w:tc>
          <w:tcPr>
            <w:tcW w:w="928" w:type="pct"/>
            <w:tcBorders>
              <w:top w:val="outset" w:sz="4" w:space="0" w:color="auto"/>
              <w:left w:val="outset" w:sz="4" w:space="0" w:color="auto"/>
              <w:bottom w:val="outset" w:sz="4" w:space="0" w:color="auto"/>
              <w:right w:val="outset" w:sz="4" w:space="0" w:color="auto"/>
            </w:tcBorders>
            <w:vAlign w:val="center"/>
          </w:tcPr>
          <w:p w14:paraId="12E4ADC6" w14:textId="77777777" w:rsidR="002D0AE7" w:rsidRDefault="002D0AE7">
            <w:pPr>
              <w:jc w:val="right"/>
              <w:rPr>
                <w:rFonts w:ascii="Times New Roman" w:hAnsi="Times New Roman" w:cs="Times New Roman"/>
                <w:sz w:val="21"/>
                <w:szCs w:val="21"/>
              </w:rPr>
            </w:pPr>
          </w:p>
        </w:tc>
      </w:tr>
      <w:tr w:rsidR="002D0AE7" w14:paraId="67F19F19" w14:textId="77777777">
        <w:tc>
          <w:tcPr>
            <w:tcW w:w="2715" w:type="pct"/>
            <w:tcBorders>
              <w:top w:val="outset" w:sz="4" w:space="0" w:color="auto"/>
              <w:left w:val="outset" w:sz="4" w:space="0" w:color="auto"/>
              <w:bottom w:val="outset" w:sz="4" w:space="0" w:color="auto"/>
              <w:right w:val="outset" w:sz="4" w:space="0" w:color="auto"/>
            </w:tcBorders>
            <w:vAlign w:val="center"/>
          </w:tcPr>
          <w:p w14:paraId="02B13EFF"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投资活动现金流出小计</w:t>
            </w:r>
          </w:p>
        </w:tc>
        <w:tc>
          <w:tcPr>
            <w:tcW w:w="500" w:type="pct"/>
            <w:tcBorders>
              <w:top w:val="outset" w:sz="4" w:space="0" w:color="auto"/>
              <w:left w:val="outset" w:sz="4" w:space="0" w:color="auto"/>
              <w:bottom w:val="outset" w:sz="4" w:space="0" w:color="auto"/>
              <w:right w:val="outset" w:sz="4" w:space="0" w:color="auto"/>
            </w:tcBorders>
            <w:vAlign w:val="center"/>
          </w:tcPr>
          <w:p w14:paraId="64CA7116"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4561388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15,459,583.72</w:t>
            </w:r>
          </w:p>
        </w:tc>
        <w:tc>
          <w:tcPr>
            <w:tcW w:w="928" w:type="pct"/>
            <w:tcBorders>
              <w:top w:val="outset" w:sz="4" w:space="0" w:color="auto"/>
              <w:left w:val="outset" w:sz="4" w:space="0" w:color="auto"/>
              <w:bottom w:val="outset" w:sz="4" w:space="0" w:color="auto"/>
              <w:right w:val="outset" w:sz="4" w:space="0" w:color="auto"/>
            </w:tcBorders>
            <w:vAlign w:val="center"/>
          </w:tcPr>
          <w:p w14:paraId="3DC2743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24,939,266.81</w:t>
            </w:r>
          </w:p>
        </w:tc>
      </w:tr>
      <w:tr w:rsidR="002D0AE7" w14:paraId="73A2D973" w14:textId="77777777">
        <w:tc>
          <w:tcPr>
            <w:tcW w:w="2715" w:type="pct"/>
            <w:tcBorders>
              <w:top w:val="outset" w:sz="4" w:space="0" w:color="auto"/>
              <w:left w:val="outset" w:sz="4" w:space="0" w:color="auto"/>
              <w:bottom w:val="outset" w:sz="4" w:space="0" w:color="auto"/>
              <w:right w:val="outset" w:sz="4" w:space="0" w:color="auto"/>
            </w:tcBorders>
            <w:vAlign w:val="center"/>
          </w:tcPr>
          <w:p w14:paraId="3B716D9B"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投资活动产生的现金流量净额</w:t>
            </w:r>
          </w:p>
        </w:tc>
        <w:tc>
          <w:tcPr>
            <w:tcW w:w="500" w:type="pct"/>
            <w:tcBorders>
              <w:top w:val="outset" w:sz="4" w:space="0" w:color="auto"/>
              <w:left w:val="outset" w:sz="4" w:space="0" w:color="auto"/>
              <w:bottom w:val="outset" w:sz="4" w:space="0" w:color="auto"/>
              <w:right w:val="outset" w:sz="4" w:space="0" w:color="auto"/>
            </w:tcBorders>
            <w:vAlign w:val="center"/>
          </w:tcPr>
          <w:p w14:paraId="09869FE4"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0CB0935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-14,663,876.47</w:t>
            </w:r>
          </w:p>
        </w:tc>
        <w:tc>
          <w:tcPr>
            <w:tcW w:w="928" w:type="pct"/>
            <w:tcBorders>
              <w:top w:val="outset" w:sz="4" w:space="0" w:color="auto"/>
              <w:left w:val="outset" w:sz="4" w:space="0" w:color="auto"/>
              <w:bottom w:val="outset" w:sz="4" w:space="0" w:color="auto"/>
              <w:right w:val="outset" w:sz="4" w:space="0" w:color="auto"/>
            </w:tcBorders>
            <w:vAlign w:val="center"/>
          </w:tcPr>
          <w:p w14:paraId="6D12570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-24,939,266.81</w:t>
            </w:r>
          </w:p>
        </w:tc>
      </w:tr>
      <w:tr w:rsidR="002D0AE7" w14:paraId="5D54C6B0" w14:textId="77777777">
        <w:tc>
          <w:tcPr>
            <w:tcW w:w="5000" w:type="pct"/>
            <w:gridSpan w:val="4"/>
            <w:tcBorders>
              <w:top w:val="outset" w:sz="4" w:space="0" w:color="auto"/>
              <w:left w:val="outset" w:sz="4" w:space="0" w:color="auto"/>
              <w:bottom w:val="outset" w:sz="4" w:space="0" w:color="auto"/>
              <w:right w:val="outset" w:sz="4" w:space="0" w:color="auto"/>
            </w:tcBorders>
            <w:vAlign w:val="center"/>
          </w:tcPr>
          <w:p w14:paraId="497D0C7C" w14:textId="77777777" w:rsidR="002D0AE7" w:rsidRDefault="00333EBB">
            <w:pPr>
              <w:rPr>
                <w:rFonts w:hint="eastAsia"/>
                <w:color w:val="000000" w:themeColor="text1"/>
                <w:sz w:val="21"/>
                <w:szCs w:val="21"/>
              </w:rPr>
            </w:pPr>
            <w:r>
              <w:rPr>
                <w:rFonts w:hint="eastAsia"/>
                <w:b/>
                <w:color w:val="000000" w:themeColor="text1"/>
                <w:sz w:val="21"/>
                <w:szCs w:val="21"/>
              </w:rPr>
              <w:t>三、筹资活动产生的现金流量：</w:t>
            </w:r>
          </w:p>
        </w:tc>
      </w:tr>
      <w:tr w:rsidR="002D0AE7" w14:paraId="3CC5DA66" w14:textId="77777777">
        <w:tc>
          <w:tcPr>
            <w:tcW w:w="2715" w:type="pct"/>
            <w:tcBorders>
              <w:top w:val="outset" w:sz="4" w:space="0" w:color="auto"/>
              <w:left w:val="outset" w:sz="4" w:space="0" w:color="auto"/>
              <w:bottom w:val="outset" w:sz="4" w:space="0" w:color="auto"/>
              <w:right w:val="outset" w:sz="4" w:space="0" w:color="auto"/>
            </w:tcBorders>
            <w:vAlign w:val="center"/>
          </w:tcPr>
          <w:p w14:paraId="18573F62"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lastRenderedPageBreak/>
              <w:t>吸收投资收到的现金</w:t>
            </w:r>
          </w:p>
        </w:tc>
        <w:tc>
          <w:tcPr>
            <w:tcW w:w="500" w:type="pct"/>
            <w:tcBorders>
              <w:top w:val="outset" w:sz="4" w:space="0" w:color="auto"/>
              <w:left w:val="outset" w:sz="4" w:space="0" w:color="auto"/>
              <w:bottom w:val="outset" w:sz="4" w:space="0" w:color="auto"/>
              <w:right w:val="outset" w:sz="4" w:space="0" w:color="auto"/>
            </w:tcBorders>
            <w:vAlign w:val="center"/>
          </w:tcPr>
          <w:p w14:paraId="6627463A"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0BBDFEAF" w14:textId="77777777" w:rsidR="002D0AE7" w:rsidRDefault="002D0AE7">
            <w:pPr>
              <w:jc w:val="right"/>
              <w:rPr>
                <w:rFonts w:ascii="Times New Roman" w:hAnsi="Times New Roman" w:cs="Times New Roman"/>
                <w:sz w:val="21"/>
                <w:szCs w:val="21"/>
              </w:rPr>
            </w:pPr>
          </w:p>
        </w:tc>
        <w:tc>
          <w:tcPr>
            <w:tcW w:w="928" w:type="pct"/>
            <w:tcBorders>
              <w:top w:val="outset" w:sz="4" w:space="0" w:color="auto"/>
              <w:left w:val="outset" w:sz="4" w:space="0" w:color="auto"/>
              <w:bottom w:val="outset" w:sz="4" w:space="0" w:color="auto"/>
              <w:right w:val="outset" w:sz="4" w:space="0" w:color="auto"/>
            </w:tcBorders>
            <w:vAlign w:val="center"/>
          </w:tcPr>
          <w:p w14:paraId="12E02A5D" w14:textId="77777777" w:rsidR="002D0AE7" w:rsidRDefault="002D0AE7">
            <w:pPr>
              <w:jc w:val="right"/>
              <w:rPr>
                <w:rFonts w:hint="eastAsia"/>
                <w:sz w:val="21"/>
                <w:szCs w:val="21"/>
              </w:rPr>
            </w:pPr>
          </w:p>
        </w:tc>
      </w:tr>
      <w:tr w:rsidR="002D0AE7" w14:paraId="498C8299" w14:textId="77777777">
        <w:tc>
          <w:tcPr>
            <w:tcW w:w="2715" w:type="pct"/>
            <w:tcBorders>
              <w:top w:val="outset" w:sz="4" w:space="0" w:color="auto"/>
              <w:left w:val="outset" w:sz="4" w:space="0" w:color="auto"/>
              <w:bottom w:val="outset" w:sz="4" w:space="0" w:color="auto"/>
              <w:right w:val="outset" w:sz="4" w:space="0" w:color="auto"/>
            </w:tcBorders>
            <w:vAlign w:val="center"/>
          </w:tcPr>
          <w:p w14:paraId="0D583FC4"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取得借款收到的现金</w:t>
            </w:r>
          </w:p>
        </w:tc>
        <w:tc>
          <w:tcPr>
            <w:tcW w:w="500" w:type="pct"/>
            <w:tcBorders>
              <w:top w:val="outset" w:sz="4" w:space="0" w:color="auto"/>
              <w:left w:val="outset" w:sz="4" w:space="0" w:color="auto"/>
              <w:bottom w:val="outset" w:sz="4" w:space="0" w:color="auto"/>
              <w:right w:val="outset" w:sz="4" w:space="0" w:color="auto"/>
            </w:tcBorders>
            <w:vAlign w:val="center"/>
          </w:tcPr>
          <w:p w14:paraId="0D930B56"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5D26A08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424,769,443.00</w:t>
            </w:r>
          </w:p>
        </w:tc>
        <w:tc>
          <w:tcPr>
            <w:tcW w:w="928" w:type="pct"/>
            <w:tcBorders>
              <w:top w:val="outset" w:sz="4" w:space="0" w:color="auto"/>
              <w:left w:val="outset" w:sz="4" w:space="0" w:color="auto"/>
              <w:bottom w:val="outset" w:sz="4" w:space="0" w:color="auto"/>
              <w:right w:val="outset" w:sz="4" w:space="0" w:color="auto"/>
            </w:tcBorders>
            <w:vAlign w:val="center"/>
          </w:tcPr>
          <w:p w14:paraId="2DE872E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495,500,000.00</w:t>
            </w:r>
          </w:p>
        </w:tc>
      </w:tr>
      <w:tr w:rsidR="002D0AE7" w14:paraId="731F826C" w14:textId="77777777">
        <w:tc>
          <w:tcPr>
            <w:tcW w:w="2715" w:type="pct"/>
            <w:tcBorders>
              <w:top w:val="outset" w:sz="4" w:space="0" w:color="auto"/>
              <w:left w:val="outset" w:sz="4" w:space="0" w:color="auto"/>
              <w:bottom w:val="outset" w:sz="4" w:space="0" w:color="auto"/>
              <w:right w:val="outset" w:sz="4" w:space="0" w:color="auto"/>
            </w:tcBorders>
            <w:vAlign w:val="center"/>
          </w:tcPr>
          <w:p w14:paraId="2E7B0565"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收到其他与筹资活动有关的现金</w:t>
            </w:r>
          </w:p>
        </w:tc>
        <w:tc>
          <w:tcPr>
            <w:tcW w:w="500" w:type="pct"/>
            <w:tcBorders>
              <w:top w:val="outset" w:sz="4" w:space="0" w:color="auto"/>
              <w:left w:val="outset" w:sz="4" w:space="0" w:color="auto"/>
              <w:bottom w:val="outset" w:sz="4" w:space="0" w:color="auto"/>
              <w:right w:val="outset" w:sz="4" w:space="0" w:color="auto"/>
            </w:tcBorders>
            <w:vAlign w:val="center"/>
          </w:tcPr>
          <w:p w14:paraId="408AB70D"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249D52E1" w14:textId="77777777" w:rsidR="002D0AE7" w:rsidRDefault="002D0AE7">
            <w:pPr>
              <w:jc w:val="right"/>
              <w:rPr>
                <w:rFonts w:ascii="Times New Roman" w:hAnsi="Times New Roman" w:cs="Times New Roman"/>
                <w:sz w:val="21"/>
                <w:szCs w:val="21"/>
              </w:rPr>
            </w:pPr>
          </w:p>
        </w:tc>
        <w:tc>
          <w:tcPr>
            <w:tcW w:w="928" w:type="pct"/>
            <w:tcBorders>
              <w:top w:val="outset" w:sz="4" w:space="0" w:color="auto"/>
              <w:left w:val="outset" w:sz="4" w:space="0" w:color="auto"/>
              <w:bottom w:val="outset" w:sz="4" w:space="0" w:color="auto"/>
              <w:right w:val="outset" w:sz="4" w:space="0" w:color="auto"/>
            </w:tcBorders>
            <w:vAlign w:val="center"/>
          </w:tcPr>
          <w:p w14:paraId="42813D75" w14:textId="77777777" w:rsidR="002D0AE7" w:rsidRDefault="002D0AE7">
            <w:pPr>
              <w:jc w:val="right"/>
              <w:rPr>
                <w:rFonts w:ascii="Times New Roman" w:hAnsi="Times New Roman" w:cs="Times New Roman"/>
                <w:sz w:val="21"/>
                <w:szCs w:val="21"/>
              </w:rPr>
            </w:pPr>
          </w:p>
        </w:tc>
      </w:tr>
      <w:tr w:rsidR="002D0AE7" w14:paraId="057D8B8E" w14:textId="77777777">
        <w:tc>
          <w:tcPr>
            <w:tcW w:w="2715" w:type="pct"/>
            <w:tcBorders>
              <w:top w:val="outset" w:sz="4" w:space="0" w:color="auto"/>
              <w:left w:val="outset" w:sz="4" w:space="0" w:color="auto"/>
              <w:bottom w:val="outset" w:sz="4" w:space="0" w:color="auto"/>
              <w:right w:val="outset" w:sz="4" w:space="0" w:color="auto"/>
            </w:tcBorders>
            <w:vAlign w:val="center"/>
          </w:tcPr>
          <w:p w14:paraId="1ADB7008"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筹资活动现金流入小计</w:t>
            </w:r>
          </w:p>
        </w:tc>
        <w:tc>
          <w:tcPr>
            <w:tcW w:w="500" w:type="pct"/>
            <w:tcBorders>
              <w:top w:val="outset" w:sz="4" w:space="0" w:color="auto"/>
              <w:left w:val="outset" w:sz="4" w:space="0" w:color="auto"/>
              <w:bottom w:val="outset" w:sz="4" w:space="0" w:color="auto"/>
              <w:right w:val="outset" w:sz="4" w:space="0" w:color="auto"/>
            </w:tcBorders>
            <w:vAlign w:val="center"/>
          </w:tcPr>
          <w:p w14:paraId="6F65B40D"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2BB94C1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424,769,443.00</w:t>
            </w:r>
          </w:p>
        </w:tc>
        <w:tc>
          <w:tcPr>
            <w:tcW w:w="928" w:type="pct"/>
            <w:tcBorders>
              <w:top w:val="outset" w:sz="4" w:space="0" w:color="auto"/>
              <w:left w:val="outset" w:sz="4" w:space="0" w:color="auto"/>
              <w:bottom w:val="outset" w:sz="4" w:space="0" w:color="auto"/>
              <w:right w:val="outset" w:sz="4" w:space="0" w:color="auto"/>
            </w:tcBorders>
            <w:vAlign w:val="center"/>
          </w:tcPr>
          <w:p w14:paraId="7EA7C6AB" w14:textId="77777777" w:rsidR="002D0AE7" w:rsidRDefault="00333EBB">
            <w:pPr>
              <w:tabs>
                <w:tab w:val="center" w:pos="989"/>
                <w:tab w:val="right" w:pos="1979"/>
              </w:tabs>
              <w:jc w:val="right"/>
              <w:rPr>
                <w:rFonts w:ascii="Times New Roman" w:hAnsi="Times New Roman" w:cs="Times New Roman"/>
                <w:sz w:val="21"/>
                <w:szCs w:val="21"/>
              </w:rPr>
            </w:pPr>
            <w:r>
              <w:rPr>
                <w:rFonts w:ascii="Times New Roman" w:hAnsi="Times New Roman" w:cs="Times New Roman"/>
                <w:sz w:val="21"/>
                <w:szCs w:val="21"/>
              </w:rPr>
              <w:t>495,500,000.00</w:t>
            </w:r>
          </w:p>
        </w:tc>
      </w:tr>
      <w:tr w:rsidR="002D0AE7" w14:paraId="0D01AF0C" w14:textId="77777777">
        <w:tc>
          <w:tcPr>
            <w:tcW w:w="2715" w:type="pct"/>
            <w:tcBorders>
              <w:top w:val="outset" w:sz="4" w:space="0" w:color="auto"/>
              <w:left w:val="outset" w:sz="4" w:space="0" w:color="auto"/>
              <w:bottom w:val="outset" w:sz="4" w:space="0" w:color="auto"/>
              <w:right w:val="outset" w:sz="4" w:space="0" w:color="auto"/>
            </w:tcBorders>
            <w:vAlign w:val="center"/>
          </w:tcPr>
          <w:p w14:paraId="3C5F7CC2"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偿还债务支付的现金</w:t>
            </w:r>
          </w:p>
        </w:tc>
        <w:tc>
          <w:tcPr>
            <w:tcW w:w="500" w:type="pct"/>
            <w:tcBorders>
              <w:top w:val="outset" w:sz="4" w:space="0" w:color="auto"/>
              <w:left w:val="outset" w:sz="4" w:space="0" w:color="auto"/>
              <w:bottom w:val="outset" w:sz="4" w:space="0" w:color="auto"/>
              <w:right w:val="outset" w:sz="4" w:space="0" w:color="auto"/>
            </w:tcBorders>
            <w:vAlign w:val="center"/>
          </w:tcPr>
          <w:p w14:paraId="364204D4"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1DC0178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586,532,387.50</w:t>
            </w:r>
          </w:p>
        </w:tc>
        <w:tc>
          <w:tcPr>
            <w:tcW w:w="928" w:type="pct"/>
            <w:tcBorders>
              <w:top w:val="outset" w:sz="4" w:space="0" w:color="auto"/>
              <w:left w:val="outset" w:sz="4" w:space="0" w:color="auto"/>
              <w:bottom w:val="outset" w:sz="4" w:space="0" w:color="auto"/>
              <w:right w:val="outset" w:sz="4" w:space="0" w:color="auto"/>
            </w:tcBorders>
            <w:vAlign w:val="center"/>
          </w:tcPr>
          <w:p w14:paraId="6D52653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494,500,000.00</w:t>
            </w:r>
          </w:p>
        </w:tc>
      </w:tr>
      <w:tr w:rsidR="002D0AE7" w14:paraId="457006F9" w14:textId="77777777">
        <w:tc>
          <w:tcPr>
            <w:tcW w:w="2715" w:type="pct"/>
            <w:tcBorders>
              <w:top w:val="outset" w:sz="4" w:space="0" w:color="auto"/>
              <w:left w:val="outset" w:sz="4" w:space="0" w:color="auto"/>
              <w:bottom w:val="outset" w:sz="4" w:space="0" w:color="auto"/>
              <w:right w:val="outset" w:sz="4" w:space="0" w:color="auto"/>
            </w:tcBorders>
            <w:vAlign w:val="center"/>
          </w:tcPr>
          <w:p w14:paraId="14A51E87"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分配股利、利润或偿付利息支付的现金</w:t>
            </w:r>
          </w:p>
        </w:tc>
        <w:tc>
          <w:tcPr>
            <w:tcW w:w="500" w:type="pct"/>
            <w:tcBorders>
              <w:top w:val="outset" w:sz="4" w:space="0" w:color="auto"/>
              <w:left w:val="outset" w:sz="4" w:space="0" w:color="auto"/>
              <w:bottom w:val="outset" w:sz="4" w:space="0" w:color="auto"/>
              <w:right w:val="outset" w:sz="4" w:space="0" w:color="auto"/>
            </w:tcBorders>
            <w:vAlign w:val="center"/>
          </w:tcPr>
          <w:p w14:paraId="1D90D93E"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58EADBD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107,637,745.34</w:t>
            </w:r>
          </w:p>
        </w:tc>
        <w:tc>
          <w:tcPr>
            <w:tcW w:w="928" w:type="pct"/>
            <w:tcBorders>
              <w:top w:val="outset" w:sz="4" w:space="0" w:color="auto"/>
              <w:left w:val="outset" w:sz="4" w:space="0" w:color="auto"/>
              <w:bottom w:val="outset" w:sz="4" w:space="0" w:color="auto"/>
              <w:right w:val="outset" w:sz="4" w:space="0" w:color="auto"/>
            </w:tcBorders>
            <w:vAlign w:val="center"/>
          </w:tcPr>
          <w:p w14:paraId="4500A96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27,728,970.77</w:t>
            </w:r>
          </w:p>
        </w:tc>
      </w:tr>
      <w:tr w:rsidR="002D0AE7" w14:paraId="23D09B3A" w14:textId="77777777">
        <w:tc>
          <w:tcPr>
            <w:tcW w:w="2715" w:type="pct"/>
            <w:tcBorders>
              <w:top w:val="outset" w:sz="4" w:space="0" w:color="auto"/>
              <w:left w:val="outset" w:sz="4" w:space="0" w:color="auto"/>
              <w:bottom w:val="outset" w:sz="4" w:space="0" w:color="auto"/>
              <w:right w:val="outset" w:sz="4" w:space="0" w:color="auto"/>
            </w:tcBorders>
            <w:vAlign w:val="center"/>
          </w:tcPr>
          <w:p w14:paraId="75C85286"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支付其他与筹资活动有关的现金</w:t>
            </w:r>
          </w:p>
        </w:tc>
        <w:tc>
          <w:tcPr>
            <w:tcW w:w="500" w:type="pct"/>
            <w:tcBorders>
              <w:top w:val="outset" w:sz="4" w:space="0" w:color="auto"/>
              <w:left w:val="outset" w:sz="4" w:space="0" w:color="auto"/>
              <w:bottom w:val="outset" w:sz="4" w:space="0" w:color="auto"/>
              <w:right w:val="outset" w:sz="4" w:space="0" w:color="auto"/>
            </w:tcBorders>
            <w:vAlign w:val="center"/>
          </w:tcPr>
          <w:p w14:paraId="2112D73E"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6AD8230A" w14:textId="77777777" w:rsidR="002D0AE7" w:rsidRDefault="00333EBB">
            <w:pPr>
              <w:jc w:val="right"/>
              <w:rPr>
                <w:rFonts w:ascii="Times New Roman" w:hAnsi="Times New Roman" w:cs="Times New Roman"/>
                <w:sz w:val="21"/>
                <w:szCs w:val="21"/>
              </w:rPr>
            </w:pPr>
            <w:r>
              <w:rPr>
                <w:rFonts w:ascii="Times New Roman" w:hAnsi="Times New Roman" w:cs="Times New Roman" w:hint="eastAsia"/>
                <w:sz w:val="21"/>
                <w:szCs w:val="21"/>
              </w:rPr>
              <w:t>0</w:t>
            </w:r>
            <w:r>
              <w:rPr>
                <w:rFonts w:ascii="Times New Roman" w:hAnsi="Times New Roman" w:cs="Times New Roman"/>
                <w:sz w:val="21"/>
                <w:szCs w:val="21"/>
              </w:rPr>
              <w:t>.00</w:t>
            </w:r>
          </w:p>
        </w:tc>
        <w:tc>
          <w:tcPr>
            <w:tcW w:w="928" w:type="pct"/>
            <w:tcBorders>
              <w:top w:val="outset" w:sz="4" w:space="0" w:color="auto"/>
              <w:left w:val="outset" w:sz="4" w:space="0" w:color="auto"/>
              <w:bottom w:val="outset" w:sz="4" w:space="0" w:color="auto"/>
              <w:right w:val="outset" w:sz="4" w:space="0" w:color="auto"/>
            </w:tcBorders>
            <w:vAlign w:val="center"/>
          </w:tcPr>
          <w:p w14:paraId="00C5155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32,779,678.57</w:t>
            </w:r>
          </w:p>
        </w:tc>
      </w:tr>
      <w:tr w:rsidR="002D0AE7" w14:paraId="51D6654A" w14:textId="77777777">
        <w:tc>
          <w:tcPr>
            <w:tcW w:w="2715" w:type="pct"/>
            <w:tcBorders>
              <w:top w:val="outset" w:sz="4" w:space="0" w:color="auto"/>
              <w:left w:val="outset" w:sz="4" w:space="0" w:color="auto"/>
              <w:bottom w:val="outset" w:sz="4" w:space="0" w:color="auto"/>
              <w:right w:val="outset" w:sz="4" w:space="0" w:color="auto"/>
            </w:tcBorders>
            <w:vAlign w:val="center"/>
          </w:tcPr>
          <w:p w14:paraId="14DFB3C6"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筹资活动现金流出小计</w:t>
            </w:r>
          </w:p>
        </w:tc>
        <w:tc>
          <w:tcPr>
            <w:tcW w:w="500" w:type="pct"/>
            <w:tcBorders>
              <w:top w:val="outset" w:sz="4" w:space="0" w:color="auto"/>
              <w:left w:val="outset" w:sz="4" w:space="0" w:color="auto"/>
              <w:bottom w:val="outset" w:sz="4" w:space="0" w:color="auto"/>
              <w:right w:val="outset" w:sz="4" w:space="0" w:color="auto"/>
            </w:tcBorders>
            <w:vAlign w:val="center"/>
          </w:tcPr>
          <w:p w14:paraId="65007EA5"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5F075B9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694,170,132.84</w:t>
            </w:r>
          </w:p>
        </w:tc>
        <w:tc>
          <w:tcPr>
            <w:tcW w:w="928" w:type="pct"/>
            <w:tcBorders>
              <w:top w:val="outset" w:sz="4" w:space="0" w:color="auto"/>
              <w:left w:val="outset" w:sz="4" w:space="0" w:color="auto"/>
              <w:bottom w:val="outset" w:sz="4" w:space="0" w:color="auto"/>
              <w:right w:val="outset" w:sz="4" w:space="0" w:color="auto"/>
            </w:tcBorders>
            <w:vAlign w:val="center"/>
          </w:tcPr>
          <w:p w14:paraId="38528C1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555,008,649.34</w:t>
            </w:r>
          </w:p>
        </w:tc>
      </w:tr>
      <w:tr w:rsidR="002D0AE7" w14:paraId="07B4EF6E" w14:textId="77777777">
        <w:tc>
          <w:tcPr>
            <w:tcW w:w="2715" w:type="pct"/>
            <w:tcBorders>
              <w:top w:val="outset" w:sz="4" w:space="0" w:color="auto"/>
              <w:left w:val="outset" w:sz="4" w:space="0" w:color="auto"/>
              <w:bottom w:val="outset" w:sz="4" w:space="0" w:color="auto"/>
              <w:right w:val="outset" w:sz="4" w:space="0" w:color="auto"/>
            </w:tcBorders>
            <w:vAlign w:val="center"/>
          </w:tcPr>
          <w:p w14:paraId="28F8B488"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筹资活动产生的现金流量净额</w:t>
            </w:r>
          </w:p>
        </w:tc>
        <w:tc>
          <w:tcPr>
            <w:tcW w:w="500" w:type="pct"/>
            <w:tcBorders>
              <w:top w:val="outset" w:sz="4" w:space="0" w:color="auto"/>
              <w:left w:val="outset" w:sz="4" w:space="0" w:color="auto"/>
              <w:bottom w:val="outset" w:sz="4" w:space="0" w:color="auto"/>
              <w:right w:val="outset" w:sz="4" w:space="0" w:color="auto"/>
            </w:tcBorders>
            <w:vAlign w:val="center"/>
          </w:tcPr>
          <w:p w14:paraId="6832876A"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7581EEA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-269,400,689.84</w:t>
            </w:r>
          </w:p>
        </w:tc>
        <w:tc>
          <w:tcPr>
            <w:tcW w:w="928" w:type="pct"/>
            <w:tcBorders>
              <w:top w:val="outset" w:sz="4" w:space="0" w:color="auto"/>
              <w:left w:val="outset" w:sz="4" w:space="0" w:color="auto"/>
              <w:bottom w:val="outset" w:sz="4" w:space="0" w:color="auto"/>
              <w:right w:val="outset" w:sz="4" w:space="0" w:color="auto"/>
            </w:tcBorders>
            <w:vAlign w:val="center"/>
          </w:tcPr>
          <w:p w14:paraId="14AE8F1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-59,508,649.34</w:t>
            </w:r>
          </w:p>
        </w:tc>
      </w:tr>
      <w:tr w:rsidR="002D0AE7" w14:paraId="2F25E23E" w14:textId="77777777">
        <w:tc>
          <w:tcPr>
            <w:tcW w:w="2715" w:type="pct"/>
            <w:tcBorders>
              <w:top w:val="outset" w:sz="4" w:space="0" w:color="auto"/>
              <w:left w:val="outset" w:sz="4" w:space="0" w:color="auto"/>
              <w:bottom w:val="outset" w:sz="4" w:space="0" w:color="auto"/>
              <w:right w:val="outset" w:sz="4" w:space="0" w:color="auto"/>
            </w:tcBorders>
            <w:vAlign w:val="center"/>
          </w:tcPr>
          <w:p w14:paraId="435202A9" w14:textId="77777777" w:rsidR="002D0AE7" w:rsidRDefault="00333EBB">
            <w:pPr>
              <w:rPr>
                <w:rFonts w:hint="eastAsia"/>
                <w:color w:val="000000" w:themeColor="text1"/>
                <w:sz w:val="21"/>
                <w:szCs w:val="21"/>
              </w:rPr>
            </w:pPr>
            <w:r>
              <w:rPr>
                <w:rFonts w:hint="eastAsia"/>
                <w:b/>
                <w:color w:val="000000" w:themeColor="text1"/>
                <w:sz w:val="21"/>
                <w:szCs w:val="21"/>
              </w:rPr>
              <w:t>四、汇率变动对现金及现金等价物的影响</w:t>
            </w:r>
          </w:p>
        </w:tc>
        <w:tc>
          <w:tcPr>
            <w:tcW w:w="500" w:type="pct"/>
            <w:tcBorders>
              <w:top w:val="outset" w:sz="4" w:space="0" w:color="auto"/>
              <w:left w:val="outset" w:sz="4" w:space="0" w:color="auto"/>
              <w:bottom w:val="outset" w:sz="4" w:space="0" w:color="auto"/>
              <w:right w:val="outset" w:sz="4" w:space="0" w:color="auto"/>
            </w:tcBorders>
            <w:vAlign w:val="center"/>
          </w:tcPr>
          <w:p w14:paraId="3C3CF3F9"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0968647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28" w:type="pct"/>
            <w:tcBorders>
              <w:top w:val="outset" w:sz="4" w:space="0" w:color="auto"/>
              <w:left w:val="outset" w:sz="4" w:space="0" w:color="auto"/>
              <w:bottom w:val="outset" w:sz="4" w:space="0" w:color="auto"/>
              <w:right w:val="outset" w:sz="4" w:space="0" w:color="auto"/>
            </w:tcBorders>
            <w:vAlign w:val="center"/>
          </w:tcPr>
          <w:p w14:paraId="04E3B866" w14:textId="77777777" w:rsidR="002D0AE7" w:rsidRDefault="00333EBB">
            <w:pPr>
              <w:jc w:val="right"/>
              <w:rPr>
                <w:rFonts w:ascii="Times New Roman" w:hAnsi="Times New Roman" w:cs="Times New Roman"/>
                <w:sz w:val="21"/>
                <w:szCs w:val="21"/>
              </w:rPr>
            </w:pPr>
            <w:r>
              <w:rPr>
                <w:rFonts w:ascii="Times New Roman" w:hAnsi="Times New Roman" w:cs="Times New Roman" w:hint="eastAsia"/>
                <w:sz w:val="21"/>
                <w:szCs w:val="21"/>
              </w:rPr>
              <w:t>0</w:t>
            </w:r>
            <w:r>
              <w:rPr>
                <w:rFonts w:ascii="Times New Roman" w:hAnsi="Times New Roman" w:cs="Times New Roman"/>
                <w:sz w:val="21"/>
                <w:szCs w:val="21"/>
              </w:rPr>
              <w:t>.00</w:t>
            </w:r>
          </w:p>
        </w:tc>
      </w:tr>
      <w:tr w:rsidR="002D0AE7" w14:paraId="08FF6ACB" w14:textId="77777777">
        <w:tc>
          <w:tcPr>
            <w:tcW w:w="2715" w:type="pct"/>
            <w:tcBorders>
              <w:top w:val="outset" w:sz="4" w:space="0" w:color="auto"/>
              <w:left w:val="outset" w:sz="4" w:space="0" w:color="auto"/>
              <w:bottom w:val="outset" w:sz="4" w:space="0" w:color="auto"/>
              <w:right w:val="outset" w:sz="4" w:space="0" w:color="auto"/>
            </w:tcBorders>
            <w:vAlign w:val="center"/>
          </w:tcPr>
          <w:p w14:paraId="5B653F69" w14:textId="77777777" w:rsidR="002D0AE7" w:rsidRDefault="00333EBB">
            <w:pPr>
              <w:rPr>
                <w:rFonts w:hint="eastAsia"/>
                <w:color w:val="000000" w:themeColor="text1"/>
                <w:sz w:val="21"/>
                <w:szCs w:val="21"/>
              </w:rPr>
            </w:pPr>
            <w:r>
              <w:rPr>
                <w:rFonts w:hint="eastAsia"/>
                <w:b/>
                <w:color w:val="000000" w:themeColor="text1"/>
                <w:sz w:val="21"/>
                <w:szCs w:val="21"/>
              </w:rPr>
              <w:t>五、现金及现金等价物净增加额</w:t>
            </w:r>
          </w:p>
        </w:tc>
        <w:tc>
          <w:tcPr>
            <w:tcW w:w="500" w:type="pct"/>
            <w:tcBorders>
              <w:top w:val="outset" w:sz="4" w:space="0" w:color="auto"/>
              <w:left w:val="outset" w:sz="4" w:space="0" w:color="auto"/>
              <w:bottom w:val="outset" w:sz="4" w:space="0" w:color="auto"/>
              <w:right w:val="outset" w:sz="4" w:space="0" w:color="auto"/>
            </w:tcBorders>
            <w:vAlign w:val="center"/>
          </w:tcPr>
          <w:p w14:paraId="563E85A5"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3799F75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-118,856,611.78</w:t>
            </w:r>
          </w:p>
        </w:tc>
        <w:tc>
          <w:tcPr>
            <w:tcW w:w="928" w:type="pct"/>
            <w:tcBorders>
              <w:top w:val="outset" w:sz="4" w:space="0" w:color="auto"/>
              <w:left w:val="outset" w:sz="4" w:space="0" w:color="auto"/>
              <w:bottom w:val="outset" w:sz="4" w:space="0" w:color="auto"/>
              <w:right w:val="outset" w:sz="4" w:space="0" w:color="auto"/>
            </w:tcBorders>
            <w:vAlign w:val="center"/>
          </w:tcPr>
          <w:p w14:paraId="28B37E4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-60,464,627.14</w:t>
            </w:r>
          </w:p>
        </w:tc>
      </w:tr>
      <w:tr w:rsidR="002D0AE7" w14:paraId="0A592EBF" w14:textId="77777777">
        <w:tc>
          <w:tcPr>
            <w:tcW w:w="2715" w:type="pct"/>
            <w:tcBorders>
              <w:top w:val="outset" w:sz="4" w:space="0" w:color="auto"/>
              <w:left w:val="outset" w:sz="4" w:space="0" w:color="auto"/>
              <w:bottom w:val="outset" w:sz="4" w:space="0" w:color="auto"/>
              <w:right w:val="outset" w:sz="4" w:space="0" w:color="auto"/>
            </w:tcBorders>
            <w:vAlign w:val="center"/>
          </w:tcPr>
          <w:p w14:paraId="49B0A5CB" w14:textId="77777777" w:rsidR="002D0AE7" w:rsidRDefault="00333EBB">
            <w:pPr>
              <w:ind w:firstLineChars="100" w:firstLine="210"/>
              <w:rPr>
                <w:rFonts w:hint="eastAsia"/>
                <w:color w:val="000000" w:themeColor="text1"/>
                <w:sz w:val="21"/>
                <w:szCs w:val="21"/>
              </w:rPr>
            </w:pPr>
            <w:r>
              <w:rPr>
                <w:rFonts w:hint="eastAsia"/>
                <w:color w:val="000000" w:themeColor="text1"/>
                <w:sz w:val="21"/>
                <w:szCs w:val="21"/>
              </w:rPr>
              <w:t>加：期初现金及现金等价物余额</w:t>
            </w:r>
          </w:p>
        </w:tc>
        <w:tc>
          <w:tcPr>
            <w:tcW w:w="500" w:type="pct"/>
            <w:tcBorders>
              <w:top w:val="outset" w:sz="4" w:space="0" w:color="auto"/>
              <w:left w:val="outset" w:sz="4" w:space="0" w:color="auto"/>
              <w:bottom w:val="outset" w:sz="4" w:space="0" w:color="auto"/>
              <w:right w:val="outset" w:sz="4" w:space="0" w:color="auto"/>
            </w:tcBorders>
            <w:vAlign w:val="center"/>
          </w:tcPr>
          <w:p w14:paraId="18D5317E"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45D872F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326,582,528.10</w:t>
            </w:r>
          </w:p>
        </w:tc>
        <w:tc>
          <w:tcPr>
            <w:tcW w:w="928" w:type="pct"/>
            <w:tcBorders>
              <w:top w:val="outset" w:sz="4" w:space="0" w:color="auto"/>
              <w:left w:val="outset" w:sz="4" w:space="0" w:color="auto"/>
              <w:bottom w:val="outset" w:sz="4" w:space="0" w:color="auto"/>
              <w:right w:val="outset" w:sz="4" w:space="0" w:color="auto"/>
            </w:tcBorders>
            <w:vAlign w:val="center"/>
          </w:tcPr>
          <w:p w14:paraId="1BBF061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269,185,195.39</w:t>
            </w:r>
          </w:p>
        </w:tc>
      </w:tr>
      <w:tr w:rsidR="002D0AE7" w14:paraId="1DA99E83" w14:textId="77777777">
        <w:tc>
          <w:tcPr>
            <w:tcW w:w="2715" w:type="pct"/>
            <w:tcBorders>
              <w:top w:val="outset" w:sz="4" w:space="0" w:color="auto"/>
              <w:left w:val="outset" w:sz="4" w:space="0" w:color="auto"/>
              <w:bottom w:val="outset" w:sz="4" w:space="0" w:color="auto"/>
              <w:right w:val="outset" w:sz="4" w:space="0" w:color="auto"/>
            </w:tcBorders>
            <w:vAlign w:val="center"/>
          </w:tcPr>
          <w:p w14:paraId="1A630412" w14:textId="77777777" w:rsidR="002D0AE7" w:rsidRDefault="00333EBB">
            <w:pPr>
              <w:rPr>
                <w:rFonts w:hint="eastAsia"/>
                <w:color w:val="000000" w:themeColor="text1"/>
                <w:sz w:val="21"/>
                <w:szCs w:val="21"/>
              </w:rPr>
            </w:pPr>
            <w:r>
              <w:rPr>
                <w:rFonts w:hint="eastAsia"/>
                <w:b/>
                <w:color w:val="000000" w:themeColor="text1"/>
                <w:sz w:val="21"/>
                <w:szCs w:val="21"/>
              </w:rPr>
              <w:t>六、期末现金及现金等价物余额</w:t>
            </w:r>
          </w:p>
        </w:tc>
        <w:tc>
          <w:tcPr>
            <w:tcW w:w="500" w:type="pct"/>
            <w:tcBorders>
              <w:top w:val="outset" w:sz="4" w:space="0" w:color="auto"/>
              <w:left w:val="outset" w:sz="4" w:space="0" w:color="auto"/>
              <w:bottom w:val="outset" w:sz="4" w:space="0" w:color="auto"/>
              <w:right w:val="outset" w:sz="4" w:space="0" w:color="auto"/>
            </w:tcBorders>
            <w:vAlign w:val="center"/>
          </w:tcPr>
          <w:p w14:paraId="639FE03B" w14:textId="77777777" w:rsidR="002D0AE7" w:rsidRDefault="002D0AE7">
            <w:pPr>
              <w:rPr>
                <w:rFonts w:hint="eastAsia"/>
                <w:sz w:val="21"/>
                <w:szCs w:val="21"/>
              </w:rPr>
            </w:pPr>
          </w:p>
        </w:tc>
        <w:tc>
          <w:tcPr>
            <w:tcW w:w="857" w:type="pct"/>
            <w:tcBorders>
              <w:top w:val="outset" w:sz="4" w:space="0" w:color="auto"/>
              <w:left w:val="outset" w:sz="4" w:space="0" w:color="auto"/>
              <w:bottom w:val="outset" w:sz="4" w:space="0" w:color="auto"/>
              <w:right w:val="outset" w:sz="4" w:space="0" w:color="auto"/>
            </w:tcBorders>
            <w:vAlign w:val="center"/>
          </w:tcPr>
          <w:p w14:paraId="076A326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207,725,916.32</w:t>
            </w:r>
          </w:p>
        </w:tc>
        <w:tc>
          <w:tcPr>
            <w:tcW w:w="928" w:type="pct"/>
            <w:tcBorders>
              <w:top w:val="outset" w:sz="4" w:space="0" w:color="auto"/>
              <w:left w:val="outset" w:sz="4" w:space="0" w:color="auto"/>
              <w:bottom w:val="outset" w:sz="4" w:space="0" w:color="auto"/>
              <w:right w:val="outset" w:sz="4" w:space="0" w:color="auto"/>
            </w:tcBorders>
            <w:vAlign w:val="center"/>
          </w:tcPr>
          <w:p w14:paraId="101C02F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208,720,568.25</w:t>
            </w:r>
          </w:p>
        </w:tc>
      </w:tr>
    </w:tbl>
    <w:p w14:paraId="0F32BB98" w14:textId="77777777" w:rsidR="002D0AE7" w:rsidRDefault="00333EBB">
      <w:pPr>
        <w:snapToGrid w:val="0"/>
        <w:spacing w:line="240" w:lineRule="atLeast"/>
        <w:ind w:rightChars="-73" w:right="-175"/>
        <w:rPr>
          <w:rFonts w:hint="eastAsia"/>
          <w:b/>
          <w:bCs/>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b872f4b10a12453987b2d73dfe2a5ff9"/>
          <w:id w:val="345756569"/>
          <w:placeholder>
            <w:docPart w:val="GBC22222222222222222222222222222"/>
          </w:placeholder>
          <w:dataBinding w:prefixMappings="xmlns:clcid-mr='clcid-mr'" w:xpath="/*/clcid-mr:GongSiFuZeRenXingMing[not(@periodRef)]" w:storeItemID="{89EBAB94-44A0-46A2-B712-30D997D04A6D}"/>
          <w:text/>
        </w:sdtPr>
        <w:sdtEndPr/>
        <w:sdtContent>
          <w:r>
            <w:rPr>
              <w:rFonts w:hint="eastAsia"/>
              <w:color w:val="000000" w:themeColor="text1"/>
            </w:rPr>
            <w:t>李书箱</w:t>
          </w:r>
        </w:sdtContent>
      </w:sdt>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29443dd8858043c68f8217b05d1e3346"/>
          <w:id w:val="198837409"/>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color w:val="000000" w:themeColor="text1"/>
            </w:rPr>
            <w:t>朱立延</w:t>
          </w:r>
        </w:sdtContent>
      </w:sdt>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952065710c0f41709539d877935c1903"/>
          <w:id w:val="-856656659"/>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color w:val="000000" w:themeColor="text1"/>
            </w:rPr>
            <w:t>王于飞</w:t>
          </w:r>
        </w:sdtContent>
      </w:sdt>
    </w:p>
    <w:p w14:paraId="28536BF2" w14:textId="77777777" w:rsidR="002D0AE7" w:rsidRDefault="002D0AE7">
      <w:pPr>
        <w:rPr>
          <w:rFonts w:hint="eastAsia"/>
          <w:b/>
          <w:bCs/>
          <w:color w:val="000000" w:themeColor="text1"/>
        </w:rPr>
      </w:pPr>
    </w:p>
    <w:p w14:paraId="2360DF75" w14:textId="77777777" w:rsidR="002D0AE7" w:rsidRDefault="002D0AE7">
      <w:pPr>
        <w:rPr>
          <w:rFonts w:hint="eastAsia"/>
          <w:color w:val="000000" w:themeColor="text1"/>
        </w:rPr>
        <w:sectPr w:rsidR="002D0AE7">
          <w:pgSz w:w="11906" w:h="16838"/>
          <w:pgMar w:top="1525" w:right="1276" w:bottom="1440" w:left="1797" w:header="851" w:footer="992" w:gutter="0"/>
          <w:cols w:space="425"/>
          <w:docGrid w:linePitch="312"/>
        </w:sectPr>
      </w:pPr>
      <w:bookmarkStart w:id="119" w:name="_Hlk10211660"/>
      <w:bookmarkEnd w:id="118"/>
      <w:bookmarkEnd w:id="119"/>
    </w:p>
    <w:p w14:paraId="56695C5A" w14:textId="77777777" w:rsidR="002D0AE7" w:rsidRDefault="00333EBB">
      <w:pPr>
        <w:pStyle w:val="3"/>
        <w:jc w:val="center"/>
        <w:rPr>
          <w:rFonts w:ascii="宋体" w:hAnsi="宋体" w:hint="eastAsia"/>
          <w:color w:val="000000" w:themeColor="text1"/>
        </w:rPr>
      </w:pPr>
      <w:bookmarkStart w:id="120" w:name="_Hlk10211858"/>
      <w:r>
        <w:rPr>
          <w:rFonts w:ascii="宋体" w:hAnsi="宋体"/>
          <w:color w:val="000000" w:themeColor="text1"/>
        </w:rPr>
        <w:lastRenderedPageBreak/>
        <w:t>合并</w:t>
      </w:r>
      <w:r>
        <w:rPr>
          <w:rFonts w:ascii="宋体" w:hAnsi="宋体" w:hint="eastAsia"/>
          <w:color w:val="000000" w:themeColor="text1"/>
        </w:rPr>
        <w:t>所有者权益变动表</w:t>
      </w:r>
    </w:p>
    <w:p w14:paraId="2308C229" w14:textId="77777777" w:rsidR="002D0AE7" w:rsidRDefault="00333EBB">
      <w:pPr>
        <w:tabs>
          <w:tab w:val="left" w:pos="10080"/>
        </w:tabs>
        <w:snapToGrid w:val="0"/>
        <w:spacing w:line="240" w:lineRule="atLeast"/>
        <w:ind w:rightChars="12" w:right="29"/>
        <w:jc w:val="center"/>
        <w:rPr>
          <w:rFonts w:hint="eastAsia"/>
          <w:color w:val="000000" w:themeColor="text1"/>
        </w:rPr>
      </w:pPr>
      <w:r>
        <w:rPr>
          <w:color w:val="000000" w:themeColor="text1"/>
        </w:rPr>
        <w:t>2024</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rFonts w:hint="eastAsia"/>
          <w:color w:val="000000" w:themeColor="text1"/>
        </w:rPr>
        <w:t>月</w:t>
      </w:r>
    </w:p>
    <w:p w14:paraId="220D7417" w14:textId="77777777" w:rsidR="002D0AE7" w:rsidRDefault="00333EBB">
      <w:pPr>
        <w:tabs>
          <w:tab w:val="left" w:pos="10080"/>
        </w:tabs>
        <w:snapToGrid w:val="0"/>
        <w:spacing w:line="240" w:lineRule="atLeast"/>
        <w:jc w:val="right"/>
        <w:rPr>
          <w:rFonts w:hint="eastAsia"/>
          <w:color w:val="000000" w:themeColor="text1"/>
        </w:rPr>
      </w:pPr>
      <w:r>
        <w:rPr>
          <w:color w:val="000000" w:themeColor="text1"/>
        </w:rPr>
        <w:t>单位：</w:t>
      </w:r>
      <w:sdt>
        <w:sdtPr>
          <w:rPr>
            <w:color w:val="000000" w:themeColor="text1"/>
          </w:rPr>
          <w:alias w:val="单位：合并股东权益调节表"/>
          <w:tag w:val="_GBC_57faea4e453e49ad93821b7dd6ce8bc4"/>
          <w:id w:val="-12347638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color w:val="000000" w:themeColor="text1"/>
        </w:rPr>
        <w:t>币种：</w:t>
      </w:r>
      <w:sdt>
        <w:sdtPr>
          <w:rPr>
            <w:color w:val="000000" w:themeColor="text1"/>
          </w:rPr>
          <w:alias w:val="币种：合并股东权益调节表"/>
          <w:tag w:val="_GBC_cef77704267643d794145c73763360e5"/>
          <w:id w:val="-47083071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213"/>
        <w:gridCol w:w="456"/>
        <w:gridCol w:w="456"/>
        <w:gridCol w:w="456"/>
        <w:gridCol w:w="1075"/>
        <w:gridCol w:w="936"/>
        <w:gridCol w:w="1003"/>
        <w:gridCol w:w="936"/>
        <w:gridCol w:w="1075"/>
        <w:gridCol w:w="396"/>
        <w:gridCol w:w="1216"/>
        <w:gridCol w:w="396"/>
        <w:gridCol w:w="1222"/>
        <w:gridCol w:w="1075"/>
        <w:gridCol w:w="1195"/>
      </w:tblGrid>
      <w:tr w:rsidR="002D0AE7" w14:paraId="0D3C0AC7" w14:textId="77777777">
        <w:trPr>
          <w:jc w:val="center"/>
        </w:trPr>
        <w:tc>
          <w:tcPr>
            <w:tcW w:w="634" w:type="pct"/>
            <w:vMerge w:val="restart"/>
            <w:vAlign w:val="center"/>
          </w:tcPr>
          <w:sdt>
            <w:sdtPr>
              <w:rPr>
                <w:rFonts w:hint="eastAsia"/>
                <w:color w:val="000000" w:themeColor="text1"/>
                <w:sz w:val="18"/>
                <w:szCs w:val="18"/>
              </w:rPr>
              <w:tag w:val="_PLD_5bd68ed5796041328d1a003c1362ceaf"/>
              <w:id w:val="1573693942"/>
            </w:sdtPr>
            <w:sdtEndPr/>
            <w:sdtContent>
              <w:p w14:paraId="792B5DFC" w14:textId="77777777" w:rsidR="002D0AE7" w:rsidRDefault="00333EBB">
                <w:pPr>
                  <w:snapToGrid w:val="0"/>
                  <w:spacing w:line="240" w:lineRule="atLeast"/>
                  <w:jc w:val="center"/>
                  <w:rPr>
                    <w:rFonts w:hint="eastAsia"/>
                    <w:color w:val="000000" w:themeColor="text1"/>
                    <w:sz w:val="18"/>
                    <w:szCs w:val="18"/>
                  </w:rPr>
                </w:pPr>
                <w:r>
                  <w:rPr>
                    <w:rFonts w:hint="eastAsia"/>
                    <w:color w:val="000000" w:themeColor="text1"/>
                    <w:sz w:val="18"/>
                    <w:szCs w:val="18"/>
                  </w:rPr>
                  <w:t>项目</w:t>
                </w:r>
              </w:p>
            </w:sdtContent>
          </w:sdt>
        </w:tc>
        <w:tc>
          <w:tcPr>
            <w:tcW w:w="4366" w:type="pct"/>
            <w:gridSpan w:val="15"/>
            <w:vAlign w:val="center"/>
          </w:tcPr>
          <w:p w14:paraId="0FC17F44" w14:textId="77777777" w:rsidR="002D0AE7" w:rsidRDefault="00333EBB">
            <w:pPr>
              <w:snapToGrid w:val="0"/>
              <w:spacing w:line="240" w:lineRule="atLeast"/>
              <w:ind w:rightChars="-759" w:right="-1822"/>
              <w:jc w:val="center"/>
              <w:rPr>
                <w:rFonts w:hint="eastAsia"/>
                <w:color w:val="000000" w:themeColor="text1"/>
              </w:rPr>
            </w:pPr>
            <w:sdt>
              <w:sdtPr>
                <w:rPr>
                  <w:color w:val="000000" w:themeColor="text1"/>
                </w:rPr>
                <w:tag w:val="_PLD_70c71cd0427542b1b96a0fa943173d3d"/>
                <w:id w:val="-1657600308"/>
              </w:sdtPr>
              <w:sdtEndPr/>
              <w:sdtContent>
                <w:r>
                  <w:rPr>
                    <w:rFonts w:hint="eastAsia"/>
                    <w:color w:val="000000" w:themeColor="text1"/>
                    <w:sz w:val="18"/>
                    <w:szCs w:val="18"/>
                  </w:rPr>
                  <w:t>2024</w:t>
                </w:r>
                <w:r>
                  <w:rPr>
                    <w:rFonts w:hint="eastAsia"/>
                    <w:color w:val="000000" w:themeColor="text1"/>
                    <w:sz w:val="18"/>
                    <w:szCs w:val="18"/>
                  </w:rPr>
                  <w:t>年半年度</w:t>
                </w:r>
              </w:sdtContent>
            </w:sdt>
          </w:p>
        </w:tc>
      </w:tr>
      <w:tr w:rsidR="002D0AE7" w14:paraId="55A4EE19" w14:textId="77777777">
        <w:trPr>
          <w:trHeight w:val="540"/>
          <w:jc w:val="center"/>
        </w:trPr>
        <w:tc>
          <w:tcPr>
            <w:tcW w:w="634" w:type="pct"/>
            <w:vMerge/>
            <w:vAlign w:val="center"/>
          </w:tcPr>
          <w:p w14:paraId="53763B2D" w14:textId="77777777" w:rsidR="002D0AE7" w:rsidRDefault="002D0AE7">
            <w:pPr>
              <w:snapToGrid w:val="0"/>
              <w:spacing w:line="240" w:lineRule="atLeast"/>
              <w:ind w:rightChars="-759" w:right="-1822"/>
              <w:rPr>
                <w:rFonts w:hint="eastAsia"/>
                <w:color w:val="000000" w:themeColor="text1"/>
                <w:sz w:val="18"/>
                <w:szCs w:val="18"/>
              </w:rPr>
            </w:pPr>
          </w:p>
        </w:tc>
        <w:sdt>
          <w:sdtPr>
            <w:rPr>
              <w:color w:val="000000" w:themeColor="text1"/>
            </w:rPr>
            <w:tag w:val="_PLD_e146ec74496c4c03a714dcef40faa972"/>
            <w:id w:val="228044335"/>
          </w:sdtPr>
          <w:sdtEndPr/>
          <w:sdtContent>
            <w:tc>
              <w:tcPr>
                <w:tcW w:w="3610" w:type="pct"/>
                <w:gridSpan w:val="13"/>
                <w:vAlign w:val="center"/>
              </w:tcPr>
              <w:p w14:paraId="79C900BD" w14:textId="77777777" w:rsidR="002D0AE7" w:rsidRDefault="00333EBB">
                <w:pPr>
                  <w:jc w:val="center"/>
                  <w:rPr>
                    <w:rFonts w:hint="eastAsia"/>
                    <w:color w:val="000000" w:themeColor="text1"/>
                  </w:rPr>
                </w:pPr>
                <w:r>
                  <w:rPr>
                    <w:color w:val="000000" w:themeColor="text1"/>
                    <w:sz w:val="18"/>
                    <w:szCs w:val="18"/>
                  </w:rPr>
                  <w:t>归属于母公司所有者权益</w:t>
                </w:r>
              </w:p>
            </w:tc>
          </w:sdtContent>
        </w:sdt>
        <w:sdt>
          <w:sdtPr>
            <w:rPr>
              <w:color w:val="000000" w:themeColor="text1"/>
            </w:rPr>
            <w:tag w:val="_PLD_b1ca85c50c1341e59b4b412e92d87f2f"/>
            <w:id w:val="-1791119395"/>
          </w:sdtPr>
          <w:sdtEndPr/>
          <w:sdtContent>
            <w:tc>
              <w:tcPr>
                <w:tcW w:w="358" w:type="pct"/>
                <w:vMerge w:val="restart"/>
                <w:vAlign w:val="center"/>
              </w:tcPr>
              <w:p w14:paraId="2F2E593C" w14:textId="77777777" w:rsidR="002D0AE7" w:rsidRDefault="00333EBB">
                <w:pPr>
                  <w:jc w:val="center"/>
                  <w:rPr>
                    <w:rFonts w:hint="eastAsia"/>
                    <w:color w:val="000000" w:themeColor="text1"/>
                    <w:sz w:val="18"/>
                    <w:szCs w:val="18"/>
                  </w:rPr>
                </w:pPr>
                <w:r>
                  <w:rPr>
                    <w:color w:val="000000" w:themeColor="text1"/>
                    <w:sz w:val="18"/>
                    <w:szCs w:val="18"/>
                  </w:rPr>
                  <w:t>少数股东权益</w:t>
                </w:r>
              </w:p>
            </w:tc>
          </w:sdtContent>
        </w:sdt>
        <w:sdt>
          <w:sdtPr>
            <w:rPr>
              <w:color w:val="000000" w:themeColor="text1"/>
            </w:rPr>
            <w:tag w:val="_PLD_0e252e0d00f04386b93d4e3064ba423d"/>
            <w:id w:val="294419876"/>
          </w:sdtPr>
          <w:sdtEndPr/>
          <w:sdtContent>
            <w:tc>
              <w:tcPr>
                <w:tcW w:w="398" w:type="pct"/>
                <w:vMerge w:val="restart"/>
                <w:vAlign w:val="center"/>
              </w:tcPr>
              <w:p w14:paraId="20220EF7" w14:textId="77777777" w:rsidR="002D0AE7" w:rsidRDefault="00333EBB">
                <w:pPr>
                  <w:jc w:val="center"/>
                  <w:rPr>
                    <w:rFonts w:hint="eastAsia"/>
                    <w:color w:val="000000" w:themeColor="text1"/>
                    <w:sz w:val="18"/>
                    <w:szCs w:val="18"/>
                  </w:rPr>
                </w:pPr>
                <w:r>
                  <w:rPr>
                    <w:color w:val="000000" w:themeColor="text1"/>
                    <w:sz w:val="18"/>
                    <w:szCs w:val="18"/>
                  </w:rPr>
                  <w:t>所有者权益合计</w:t>
                </w:r>
              </w:p>
            </w:tc>
          </w:sdtContent>
        </w:sdt>
      </w:tr>
      <w:tr w:rsidR="002D0AE7" w14:paraId="6B2FB338" w14:textId="77777777">
        <w:trPr>
          <w:trHeight w:val="352"/>
          <w:jc w:val="center"/>
        </w:trPr>
        <w:tc>
          <w:tcPr>
            <w:tcW w:w="634" w:type="pct"/>
            <w:vMerge/>
            <w:vAlign w:val="center"/>
          </w:tcPr>
          <w:p w14:paraId="334F2327" w14:textId="77777777" w:rsidR="002D0AE7" w:rsidRDefault="002D0AE7">
            <w:pPr>
              <w:snapToGrid w:val="0"/>
              <w:spacing w:line="240" w:lineRule="atLeast"/>
              <w:ind w:rightChars="-759" w:right="-1822"/>
              <w:rPr>
                <w:rFonts w:hint="eastAsia"/>
                <w:color w:val="000000" w:themeColor="text1"/>
                <w:sz w:val="18"/>
                <w:szCs w:val="18"/>
              </w:rPr>
            </w:pPr>
          </w:p>
        </w:tc>
        <w:sdt>
          <w:sdtPr>
            <w:rPr>
              <w:color w:val="000000" w:themeColor="text1"/>
            </w:rPr>
            <w:tag w:val="_PLD_1605afb5a60946a9ba86cca783d492d3"/>
            <w:id w:val="1579398556"/>
          </w:sdtPr>
          <w:sdtEndPr/>
          <w:sdtContent>
            <w:tc>
              <w:tcPr>
                <w:tcW w:w="404" w:type="pct"/>
                <w:vMerge w:val="restart"/>
                <w:vAlign w:val="center"/>
              </w:tcPr>
              <w:p w14:paraId="7E04627C" w14:textId="77777777" w:rsidR="002D0AE7" w:rsidRDefault="00333EBB">
                <w:pPr>
                  <w:snapToGrid w:val="0"/>
                  <w:spacing w:line="240" w:lineRule="atLeast"/>
                  <w:jc w:val="center"/>
                  <w:rPr>
                    <w:rFonts w:hint="eastAsia"/>
                    <w:color w:val="000000" w:themeColor="text1"/>
                    <w:sz w:val="18"/>
                    <w:szCs w:val="18"/>
                  </w:rPr>
                </w:pPr>
                <w:r>
                  <w:rPr>
                    <w:rFonts w:hint="eastAsia"/>
                    <w:color w:val="000000" w:themeColor="text1"/>
                    <w:sz w:val="18"/>
                    <w:szCs w:val="18"/>
                  </w:rPr>
                  <w:t>实收资本</w:t>
                </w:r>
                <w:r>
                  <w:rPr>
                    <w:color w:val="000000" w:themeColor="text1"/>
                    <w:sz w:val="18"/>
                    <w:szCs w:val="18"/>
                  </w:rPr>
                  <w:t>(</w:t>
                </w:r>
                <w:r>
                  <w:rPr>
                    <w:color w:val="000000" w:themeColor="text1"/>
                    <w:sz w:val="18"/>
                    <w:szCs w:val="18"/>
                  </w:rPr>
                  <w:t>或股本</w:t>
                </w:r>
                <w:r>
                  <w:rPr>
                    <w:color w:val="000000" w:themeColor="text1"/>
                    <w:sz w:val="18"/>
                    <w:szCs w:val="18"/>
                  </w:rPr>
                  <w:t>)</w:t>
                </w:r>
              </w:p>
            </w:tc>
          </w:sdtContent>
        </w:sdt>
        <w:sdt>
          <w:sdtPr>
            <w:rPr>
              <w:color w:val="000000" w:themeColor="text1"/>
            </w:rPr>
            <w:tag w:val="_PLD_78f5e518a65d422c99d27d23e96afb9e"/>
            <w:id w:val="2001844517"/>
          </w:sdtPr>
          <w:sdtEndPr/>
          <w:sdtContent>
            <w:tc>
              <w:tcPr>
                <w:tcW w:w="456" w:type="pct"/>
                <w:gridSpan w:val="3"/>
                <w:vAlign w:val="center"/>
              </w:tcPr>
              <w:p w14:paraId="09432EA7" w14:textId="77777777" w:rsidR="002D0AE7" w:rsidRDefault="00333EBB">
                <w:pPr>
                  <w:snapToGrid w:val="0"/>
                  <w:spacing w:line="240" w:lineRule="atLeast"/>
                  <w:jc w:val="center"/>
                  <w:rPr>
                    <w:rFonts w:hint="eastAsia"/>
                    <w:color w:val="000000" w:themeColor="text1"/>
                    <w:sz w:val="18"/>
                    <w:szCs w:val="18"/>
                  </w:rPr>
                </w:pPr>
                <w:r>
                  <w:rPr>
                    <w:rFonts w:hint="eastAsia"/>
                    <w:color w:val="000000" w:themeColor="text1"/>
                    <w:sz w:val="18"/>
                    <w:szCs w:val="18"/>
                  </w:rPr>
                  <w:t>其他权益工具</w:t>
                </w:r>
              </w:p>
            </w:tc>
          </w:sdtContent>
        </w:sdt>
        <w:sdt>
          <w:sdtPr>
            <w:rPr>
              <w:color w:val="000000" w:themeColor="text1"/>
            </w:rPr>
            <w:tag w:val="_PLD_f67d05ac9f6f4daaafdf90084911dcee"/>
            <w:id w:val="591751650"/>
          </w:sdtPr>
          <w:sdtEndPr/>
          <w:sdtContent>
            <w:tc>
              <w:tcPr>
                <w:tcW w:w="358" w:type="pct"/>
                <w:vMerge w:val="restart"/>
                <w:vAlign w:val="center"/>
              </w:tcPr>
              <w:p w14:paraId="71617D07" w14:textId="77777777" w:rsidR="002D0AE7" w:rsidRDefault="00333EBB">
                <w:pPr>
                  <w:snapToGrid w:val="0"/>
                  <w:spacing w:line="240" w:lineRule="atLeast"/>
                  <w:jc w:val="center"/>
                  <w:rPr>
                    <w:rFonts w:hint="eastAsia"/>
                    <w:color w:val="000000" w:themeColor="text1"/>
                    <w:sz w:val="18"/>
                    <w:szCs w:val="18"/>
                  </w:rPr>
                </w:pPr>
                <w:r>
                  <w:rPr>
                    <w:rFonts w:hint="eastAsia"/>
                    <w:color w:val="000000" w:themeColor="text1"/>
                    <w:sz w:val="18"/>
                    <w:szCs w:val="18"/>
                  </w:rPr>
                  <w:t>资本公积</w:t>
                </w:r>
              </w:p>
            </w:tc>
          </w:sdtContent>
        </w:sdt>
        <w:sdt>
          <w:sdtPr>
            <w:rPr>
              <w:color w:val="000000" w:themeColor="text1"/>
            </w:rPr>
            <w:tag w:val="_PLD_21df11f52b3443acacf7dd8421b5cc67"/>
            <w:id w:val="1849372141"/>
          </w:sdtPr>
          <w:sdtEndPr/>
          <w:sdtContent>
            <w:tc>
              <w:tcPr>
                <w:tcW w:w="312" w:type="pct"/>
                <w:vMerge w:val="restart"/>
                <w:vAlign w:val="center"/>
              </w:tcPr>
              <w:p w14:paraId="440676DF" w14:textId="77777777" w:rsidR="002D0AE7" w:rsidRDefault="00333EBB">
                <w:pPr>
                  <w:snapToGrid w:val="0"/>
                  <w:spacing w:line="240" w:lineRule="atLeast"/>
                  <w:jc w:val="center"/>
                  <w:rPr>
                    <w:rFonts w:hint="eastAsia"/>
                    <w:color w:val="000000" w:themeColor="text1"/>
                    <w:sz w:val="18"/>
                    <w:szCs w:val="18"/>
                  </w:rPr>
                </w:pPr>
                <w:r>
                  <w:rPr>
                    <w:rFonts w:hint="eastAsia"/>
                    <w:color w:val="000000" w:themeColor="text1"/>
                    <w:sz w:val="18"/>
                    <w:szCs w:val="18"/>
                  </w:rPr>
                  <w:t>减：库存股</w:t>
                </w:r>
              </w:p>
            </w:tc>
          </w:sdtContent>
        </w:sdt>
        <w:sdt>
          <w:sdtPr>
            <w:rPr>
              <w:color w:val="000000" w:themeColor="text1"/>
            </w:rPr>
            <w:tag w:val="_PLD_bdc12fd277ea4fbe9c90f9480d9ecddb"/>
            <w:id w:val="921989831"/>
          </w:sdtPr>
          <w:sdtEndPr/>
          <w:sdtContent>
            <w:tc>
              <w:tcPr>
                <w:tcW w:w="334" w:type="pct"/>
                <w:vMerge w:val="restart"/>
                <w:vAlign w:val="center"/>
              </w:tcPr>
              <w:p w14:paraId="470B1045" w14:textId="77777777" w:rsidR="002D0AE7" w:rsidRDefault="00333EBB">
                <w:pPr>
                  <w:snapToGrid w:val="0"/>
                  <w:spacing w:line="240" w:lineRule="atLeast"/>
                  <w:jc w:val="center"/>
                  <w:rPr>
                    <w:rFonts w:hint="eastAsia"/>
                    <w:color w:val="000000" w:themeColor="text1"/>
                    <w:sz w:val="18"/>
                    <w:szCs w:val="18"/>
                  </w:rPr>
                </w:pPr>
                <w:r>
                  <w:rPr>
                    <w:rFonts w:hint="eastAsia"/>
                    <w:color w:val="000000" w:themeColor="text1"/>
                    <w:sz w:val="18"/>
                    <w:szCs w:val="18"/>
                  </w:rPr>
                  <w:t>其他综合收益</w:t>
                </w:r>
              </w:p>
            </w:tc>
          </w:sdtContent>
        </w:sdt>
        <w:sdt>
          <w:sdtPr>
            <w:rPr>
              <w:color w:val="000000" w:themeColor="text1"/>
            </w:rPr>
            <w:tag w:val="_PLD_b4aa95f4be904a02958b77b5542bb78d"/>
            <w:id w:val="-1694147142"/>
          </w:sdtPr>
          <w:sdtEndPr/>
          <w:sdtContent>
            <w:tc>
              <w:tcPr>
                <w:tcW w:w="312" w:type="pct"/>
                <w:vMerge w:val="restart"/>
                <w:vAlign w:val="center"/>
              </w:tcPr>
              <w:p w14:paraId="0E7BF6F1" w14:textId="77777777" w:rsidR="002D0AE7" w:rsidRDefault="00333EBB">
                <w:pPr>
                  <w:snapToGrid w:val="0"/>
                  <w:spacing w:line="240" w:lineRule="atLeast"/>
                  <w:jc w:val="center"/>
                  <w:rPr>
                    <w:rFonts w:hint="eastAsia"/>
                    <w:color w:val="000000" w:themeColor="text1"/>
                    <w:sz w:val="18"/>
                    <w:szCs w:val="18"/>
                  </w:rPr>
                </w:pPr>
                <w:r>
                  <w:rPr>
                    <w:rFonts w:hint="eastAsia"/>
                    <w:color w:val="000000" w:themeColor="text1"/>
                    <w:sz w:val="18"/>
                    <w:szCs w:val="18"/>
                  </w:rPr>
                  <w:t>专项储备</w:t>
                </w:r>
              </w:p>
            </w:tc>
          </w:sdtContent>
        </w:sdt>
        <w:sdt>
          <w:sdtPr>
            <w:rPr>
              <w:color w:val="000000" w:themeColor="text1"/>
            </w:rPr>
            <w:tag w:val="_PLD_1ee8f47ee38e4000af64e781a1a0e729"/>
            <w:id w:val="-71203379"/>
          </w:sdtPr>
          <w:sdtEndPr/>
          <w:sdtContent>
            <w:tc>
              <w:tcPr>
                <w:tcW w:w="358" w:type="pct"/>
                <w:vMerge w:val="restart"/>
                <w:vAlign w:val="center"/>
              </w:tcPr>
              <w:p w14:paraId="44BD4727" w14:textId="77777777" w:rsidR="002D0AE7" w:rsidRDefault="00333EBB">
                <w:pPr>
                  <w:snapToGrid w:val="0"/>
                  <w:spacing w:line="240" w:lineRule="atLeast"/>
                  <w:jc w:val="center"/>
                  <w:rPr>
                    <w:rFonts w:hint="eastAsia"/>
                    <w:color w:val="000000" w:themeColor="text1"/>
                    <w:sz w:val="18"/>
                    <w:szCs w:val="18"/>
                  </w:rPr>
                </w:pPr>
                <w:r>
                  <w:rPr>
                    <w:rFonts w:hint="eastAsia"/>
                    <w:color w:val="000000" w:themeColor="text1"/>
                    <w:sz w:val="18"/>
                    <w:szCs w:val="18"/>
                  </w:rPr>
                  <w:t>盈余公积</w:t>
                </w:r>
              </w:p>
            </w:tc>
          </w:sdtContent>
        </w:sdt>
        <w:sdt>
          <w:sdtPr>
            <w:rPr>
              <w:color w:val="000000" w:themeColor="text1"/>
            </w:rPr>
            <w:tag w:val="_PLD_b09258af0aa4494b8e88e711ca2dd7b8"/>
            <w:id w:val="1919058722"/>
          </w:sdtPr>
          <w:sdtEndPr/>
          <w:sdtContent>
            <w:tc>
              <w:tcPr>
                <w:tcW w:w="132" w:type="pct"/>
                <w:vMerge w:val="restart"/>
                <w:vAlign w:val="center"/>
              </w:tcPr>
              <w:p w14:paraId="2C5F8793" w14:textId="77777777" w:rsidR="002D0AE7" w:rsidRDefault="00333EBB">
                <w:pPr>
                  <w:snapToGrid w:val="0"/>
                  <w:spacing w:line="240" w:lineRule="atLeast"/>
                  <w:jc w:val="center"/>
                  <w:rPr>
                    <w:rFonts w:hint="eastAsia"/>
                    <w:color w:val="000000" w:themeColor="text1"/>
                    <w:sz w:val="18"/>
                    <w:szCs w:val="18"/>
                  </w:rPr>
                </w:pPr>
                <w:r>
                  <w:rPr>
                    <w:rFonts w:hint="eastAsia"/>
                    <w:color w:val="000000" w:themeColor="text1"/>
                    <w:sz w:val="18"/>
                    <w:szCs w:val="18"/>
                  </w:rPr>
                  <w:t>一般风险准备</w:t>
                </w:r>
              </w:p>
            </w:tc>
          </w:sdtContent>
        </w:sdt>
        <w:sdt>
          <w:sdtPr>
            <w:rPr>
              <w:color w:val="000000" w:themeColor="text1"/>
            </w:rPr>
            <w:tag w:val="_PLD_f20054bead0a491aafe7bb5a5952f48f"/>
            <w:id w:val="127903598"/>
          </w:sdtPr>
          <w:sdtEndPr/>
          <w:sdtContent>
            <w:tc>
              <w:tcPr>
                <w:tcW w:w="405" w:type="pct"/>
                <w:vMerge w:val="restart"/>
                <w:vAlign w:val="center"/>
              </w:tcPr>
              <w:p w14:paraId="67E0D529" w14:textId="77777777" w:rsidR="002D0AE7" w:rsidRDefault="00333EBB">
                <w:pPr>
                  <w:snapToGrid w:val="0"/>
                  <w:spacing w:line="240" w:lineRule="atLeast"/>
                  <w:jc w:val="center"/>
                  <w:rPr>
                    <w:rFonts w:hint="eastAsia"/>
                    <w:color w:val="000000" w:themeColor="text1"/>
                    <w:sz w:val="18"/>
                    <w:szCs w:val="18"/>
                  </w:rPr>
                </w:pPr>
                <w:r>
                  <w:rPr>
                    <w:rFonts w:hint="eastAsia"/>
                    <w:color w:val="000000" w:themeColor="text1"/>
                    <w:sz w:val="18"/>
                    <w:szCs w:val="18"/>
                  </w:rPr>
                  <w:t>未分配利润</w:t>
                </w:r>
              </w:p>
            </w:tc>
          </w:sdtContent>
        </w:sdt>
        <w:tc>
          <w:tcPr>
            <w:tcW w:w="132" w:type="pct"/>
            <w:vMerge w:val="restart"/>
            <w:vAlign w:val="center"/>
          </w:tcPr>
          <w:sdt>
            <w:sdtPr>
              <w:rPr>
                <w:rFonts w:hint="eastAsia"/>
                <w:color w:val="000000" w:themeColor="text1"/>
                <w:sz w:val="18"/>
                <w:szCs w:val="18"/>
              </w:rPr>
              <w:tag w:val="_PLD_ee763dfa69fd4fa3bec927cefa83eadc"/>
              <w:id w:val="-1697994583"/>
            </w:sdtPr>
            <w:sdtEndPr/>
            <w:sdtContent>
              <w:p w14:paraId="375E8007" w14:textId="77777777" w:rsidR="002D0AE7" w:rsidRDefault="00333EBB">
                <w:pPr>
                  <w:jc w:val="center"/>
                  <w:rPr>
                    <w:rFonts w:hint="eastAsia"/>
                    <w:color w:val="000000" w:themeColor="text1"/>
                    <w:sz w:val="18"/>
                    <w:szCs w:val="18"/>
                  </w:rPr>
                </w:pPr>
                <w:r>
                  <w:rPr>
                    <w:rFonts w:hint="eastAsia"/>
                    <w:color w:val="000000" w:themeColor="text1"/>
                    <w:sz w:val="18"/>
                    <w:szCs w:val="18"/>
                  </w:rPr>
                  <w:t>其他</w:t>
                </w:r>
              </w:p>
            </w:sdtContent>
          </w:sdt>
        </w:tc>
        <w:tc>
          <w:tcPr>
            <w:tcW w:w="407" w:type="pct"/>
            <w:vMerge w:val="restart"/>
            <w:vAlign w:val="center"/>
          </w:tcPr>
          <w:sdt>
            <w:sdtPr>
              <w:rPr>
                <w:rFonts w:hint="eastAsia"/>
                <w:color w:val="000000" w:themeColor="text1"/>
                <w:sz w:val="18"/>
                <w:szCs w:val="18"/>
              </w:rPr>
              <w:tag w:val="_PLD_97c92cf2be1e4f36880a16a2c16704b4"/>
              <w:id w:val="-962424674"/>
            </w:sdtPr>
            <w:sdtEndPr/>
            <w:sdtContent>
              <w:p w14:paraId="3F62693B" w14:textId="77777777" w:rsidR="002D0AE7" w:rsidRDefault="00333EBB">
                <w:pPr>
                  <w:jc w:val="center"/>
                  <w:rPr>
                    <w:rFonts w:hint="eastAsia"/>
                    <w:color w:val="000000" w:themeColor="text1"/>
                    <w:sz w:val="18"/>
                    <w:szCs w:val="18"/>
                  </w:rPr>
                </w:pPr>
                <w:r>
                  <w:rPr>
                    <w:rFonts w:hint="eastAsia"/>
                    <w:color w:val="000000" w:themeColor="text1"/>
                    <w:sz w:val="18"/>
                    <w:szCs w:val="18"/>
                  </w:rPr>
                  <w:t>小计</w:t>
                </w:r>
              </w:p>
            </w:sdtContent>
          </w:sdt>
        </w:tc>
        <w:tc>
          <w:tcPr>
            <w:tcW w:w="358" w:type="pct"/>
            <w:vMerge/>
            <w:vAlign w:val="center"/>
          </w:tcPr>
          <w:p w14:paraId="3D6BCA5C" w14:textId="77777777" w:rsidR="002D0AE7" w:rsidRDefault="002D0AE7">
            <w:pPr>
              <w:jc w:val="center"/>
              <w:rPr>
                <w:rFonts w:hint="eastAsia"/>
                <w:color w:val="000000" w:themeColor="text1"/>
                <w:sz w:val="18"/>
                <w:szCs w:val="18"/>
              </w:rPr>
            </w:pPr>
          </w:p>
        </w:tc>
        <w:tc>
          <w:tcPr>
            <w:tcW w:w="398" w:type="pct"/>
            <w:vMerge/>
            <w:vAlign w:val="center"/>
          </w:tcPr>
          <w:p w14:paraId="6B3F01A9" w14:textId="77777777" w:rsidR="002D0AE7" w:rsidRDefault="002D0AE7">
            <w:pPr>
              <w:jc w:val="center"/>
              <w:rPr>
                <w:rFonts w:hint="eastAsia"/>
                <w:color w:val="000000" w:themeColor="text1"/>
                <w:sz w:val="18"/>
                <w:szCs w:val="18"/>
              </w:rPr>
            </w:pPr>
          </w:p>
        </w:tc>
      </w:tr>
      <w:tr w:rsidR="002D0AE7" w14:paraId="4948BBB5" w14:textId="77777777">
        <w:trPr>
          <w:trHeight w:val="345"/>
          <w:jc w:val="center"/>
        </w:trPr>
        <w:tc>
          <w:tcPr>
            <w:tcW w:w="634" w:type="pct"/>
            <w:vMerge/>
            <w:vAlign w:val="center"/>
          </w:tcPr>
          <w:p w14:paraId="1FFB4AE1" w14:textId="77777777" w:rsidR="002D0AE7" w:rsidRDefault="002D0AE7">
            <w:pPr>
              <w:snapToGrid w:val="0"/>
              <w:spacing w:line="240" w:lineRule="atLeast"/>
              <w:ind w:rightChars="-759" w:right="-1822"/>
              <w:rPr>
                <w:rFonts w:hint="eastAsia"/>
                <w:color w:val="000000" w:themeColor="text1"/>
                <w:sz w:val="18"/>
                <w:szCs w:val="18"/>
              </w:rPr>
            </w:pPr>
          </w:p>
        </w:tc>
        <w:tc>
          <w:tcPr>
            <w:tcW w:w="404" w:type="pct"/>
            <w:vMerge/>
            <w:vAlign w:val="center"/>
          </w:tcPr>
          <w:p w14:paraId="067463FF" w14:textId="77777777" w:rsidR="002D0AE7" w:rsidRDefault="002D0AE7">
            <w:pPr>
              <w:snapToGrid w:val="0"/>
              <w:spacing w:line="240" w:lineRule="atLeast"/>
              <w:jc w:val="center"/>
              <w:rPr>
                <w:rFonts w:hint="eastAsia"/>
                <w:color w:val="000000" w:themeColor="text1"/>
                <w:sz w:val="18"/>
                <w:szCs w:val="18"/>
              </w:rPr>
            </w:pPr>
          </w:p>
        </w:tc>
        <w:sdt>
          <w:sdtPr>
            <w:rPr>
              <w:color w:val="000000" w:themeColor="text1"/>
            </w:rPr>
            <w:tag w:val="_PLD_7b6493af25ff4e3986120f711cb3be4e"/>
            <w:id w:val="1711525981"/>
          </w:sdtPr>
          <w:sdtEndPr/>
          <w:sdtContent>
            <w:tc>
              <w:tcPr>
                <w:tcW w:w="152" w:type="pct"/>
                <w:vAlign w:val="center"/>
              </w:tcPr>
              <w:p w14:paraId="3A2CE157" w14:textId="77777777" w:rsidR="002D0AE7" w:rsidRDefault="00333EBB">
                <w:pPr>
                  <w:snapToGrid w:val="0"/>
                  <w:spacing w:line="240" w:lineRule="atLeast"/>
                  <w:jc w:val="center"/>
                  <w:rPr>
                    <w:rFonts w:hint="eastAsia"/>
                    <w:color w:val="000000" w:themeColor="text1"/>
                    <w:sz w:val="18"/>
                    <w:szCs w:val="18"/>
                  </w:rPr>
                </w:pPr>
                <w:r>
                  <w:rPr>
                    <w:rFonts w:hint="eastAsia"/>
                    <w:color w:val="000000" w:themeColor="text1"/>
                    <w:sz w:val="18"/>
                    <w:szCs w:val="18"/>
                  </w:rPr>
                  <w:t>优先股</w:t>
                </w:r>
              </w:p>
            </w:tc>
          </w:sdtContent>
        </w:sdt>
        <w:sdt>
          <w:sdtPr>
            <w:rPr>
              <w:color w:val="000000" w:themeColor="text1"/>
            </w:rPr>
            <w:tag w:val="_PLD_446c35c8857c4ad0bb648db82e104141"/>
            <w:id w:val="-440455891"/>
          </w:sdtPr>
          <w:sdtEndPr/>
          <w:sdtContent>
            <w:tc>
              <w:tcPr>
                <w:tcW w:w="152" w:type="pct"/>
                <w:vAlign w:val="center"/>
              </w:tcPr>
              <w:p w14:paraId="66CD86D1" w14:textId="77777777" w:rsidR="002D0AE7" w:rsidRDefault="00333EBB">
                <w:pPr>
                  <w:snapToGrid w:val="0"/>
                  <w:spacing w:line="240" w:lineRule="atLeast"/>
                  <w:jc w:val="center"/>
                  <w:rPr>
                    <w:rFonts w:hint="eastAsia"/>
                    <w:color w:val="000000" w:themeColor="text1"/>
                    <w:sz w:val="18"/>
                    <w:szCs w:val="18"/>
                  </w:rPr>
                </w:pPr>
                <w:r>
                  <w:rPr>
                    <w:rFonts w:hint="eastAsia"/>
                    <w:color w:val="000000" w:themeColor="text1"/>
                    <w:sz w:val="18"/>
                    <w:szCs w:val="18"/>
                  </w:rPr>
                  <w:t>永续债</w:t>
                </w:r>
              </w:p>
            </w:tc>
          </w:sdtContent>
        </w:sdt>
        <w:sdt>
          <w:sdtPr>
            <w:rPr>
              <w:color w:val="000000" w:themeColor="text1"/>
            </w:rPr>
            <w:tag w:val="_PLD_e8048d05ab294ec8a2a849ca1f70a7c9"/>
            <w:id w:val="2001155320"/>
          </w:sdtPr>
          <w:sdtEndPr/>
          <w:sdtContent>
            <w:tc>
              <w:tcPr>
                <w:tcW w:w="152" w:type="pct"/>
                <w:vAlign w:val="center"/>
              </w:tcPr>
              <w:p w14:paraId="75B9F350" w14:textId="77777777" w:rsidR="002D0AE7" w:rsidRDefault="00333EBB">
                <w:pPr>
                  <w:snapToGrid w:val="0"/>
                  <w:spacing w:line="240" w:lineRule="atLeast"/>
                  <w:jc w:val="center"/>
                  <w:rPr>
                    <w:rFonts w:hint="eastAsia"/>
                    <w:color w:val="000000" w:themeColor="text1"/>
                    <w:sz w:val="18"/>
                    <w:szCs w:val="18"/>
                  </w:rPr>
                </w:pPr>
                <w:r>
                  <w:rPr>
                    <w:rFonts w:hint="eastAsia"/>
                    <w:color w:val="000000" w:themeColor="text1"/>
                    <w:sz w:val="18"/>
                    <w:szCs w:val="18"/>
                  </w:rPr>
                  <w:t>其他</w:t>
                </w:r>
              </w:p>
            </w:tc>
          </w:sdtContent>
        </w:sdt>
        <w:tc>
          <w:tcPr>
            <w:tcW w:w="358" w:type="pct"/>
            <w:vMerge/>
            <w:vAlign w:val="center"/>
          </w:tcPr>
          <w:p w14:paraId="79B839C6" w14:textId="77777777" w:rsidR="002D0AE7" w:rsidRDefault="002D0AE7">
            <w:pPr>
              <w:snapToGrid w:val="0"/>
              <w:spacing w:line="240" w:lineRule="atLeast"/>
              <w:jc w:val="center"/>
              <w:rPr>
                <w:rFonts w:hint="eastAsia"/>
                <w:color w:val="000000" w:themeColor="text1"/>
                <w:sz w:val="18"/>
                <w:szCs w:val="18"/>
              </w:rPr>
            </w:pPr>
          </w:p>
        </w:tc>
        <w:tc>
          <w:tcPr>
            <w:tcW w:w="312" w:type="pct"/>
            <w:vMerge/>
            <w:vAlign w:val="center"/>
          </w:tcPr>
          <w:p w14:paraId="2B8D488F" w14:textId="77777777" w:rsidR="002D0AE7" w:rsidRDefault="002D0AE7">
            <w:pPr>
              <w:snapToGrid w:val="0"/>
              <w:spacing w:line="240" w:lineRule="atLeast"/>
              <w:jc w:val="center"/>
              <w:rPr>
                <w:rFonts w:hint="eastAsia"/>
                <w:color w:val="000000" w:themeColor="text1"/>
                <w:sz w:val="18"/>
                <w:szCs w:val="18"/>
              </w:rPr>
            </w:pPr>
          </w:p>
        </w:tc>
        <w:tc>
          <w:tcPr>
            <w:tcW w:w="334" w:type="pct"/>
            <w:vMerge/>
            <w:vAlign w:val="center"/>
          </w:tcPr>
          <w:p w14:paraId="66255184" w14:textId="77777777" w:rsidR="002D0AE7" w:rsidRDefault="002D0AE7">
            <w:pPr>
              <w:snapToGrid w:val="0"/>
              <w:spacing w:line="240" w:lineRule="atLeast"/>
              <w:jc w:val="center"/>
              <w:rPr>
                <w:rFonts w:hint="eastAsia"/>
                <w:color w:val="000000" w:themeColor="text1"/>
                <w:sz w:val="18"/>
                <w:szCs w:val="18"/>
              </w:rPr>
            </w:pPr>
          </w:p>
        </w:tc>
        <w:tc>
          <w:tcPr>
            <w:tcW w:w="312" w:type="pct"/>
            <w:vMerge/>
            <w:vAlign w:val="center"/>
          </w:tcPr>
          <w:p w14:paraId="40B51E4D" w14:textId="77777777" w:rsidR="002D0AE7" w:rsidRDefault="002D0AE7">
            <w:pPr>
              <w:snapToGrid w:val="0"/>
              <w:spacing w:line="240" w:lineRule="atLeast"/>
              <w:jc w:val="center"/>
              <w:rPr>
                <w:rFonts w:hint="eastAsia"/>
                <w:color w:val="000000" w:themeColor="text1"/>
                <w:sz w:val="18"/>
                <w:szCs w:val="18"/>
              </w:rPr>
            </w:pPr>
          </w:p>
        </w:tc>
        <w:tc>
          <w:tcPr>
            <w:tcW w:w="358" w:type="pct"/>
            <w:vMerge/>
            <w:vAlign w:val="center"/>
          </w:tcPr>
          <w:p w14:paraId="7F5858A5" w14:textId="77777777" w:rsidR="002D0AE7" w:rsidRDefault="002D0AE7">
            <w:pPr>
              <w:snapToGrid w:val="0"/>
              <w:spacing w:line="240" w:lineRule="atLeast"/>
              <w:jc w:val="center"/>
              <w:rPr>
                <w:rFonts w:hint="eastAsia"/>
                <w:color w:val="000000" w:themeColor="text1"/>
                <w:sz w:val="18"/>
                <w:szCs w:val="18"/>
              </w:rPr>
            </w:pPr>
          </w:p>
        </w:tc>
        <w:tc>
          <w:tcPr>
            <w:tcW w:w="132" w:type="pct"/>
            <w:vMerge/>
            <w:vAlign w:val="center"/>
          </w:tcPr>
          <w:p w14:paraId="7B4DA8A0" w14:textId="77777777" w:rsidR="002D0AE7" w:rsidRDefault="002D0AE7">
            <w:pPr>
              <w:snapToGrid w:val="0"/>
              <w:spacing w:line="240" w:lineRule="atLeast"/>
              <w:jc w:val="center"/>
              <w:rPr>
                <w:rFonts w:hint="eastAsia"/>
                <w:color w:val="000000" w:themeColor="text1"/>
                <w:sz w:val="18"/>
                <w:szCs w:val="18"/>
              </w:rPr>
            </w:pPr>
          </w:p>
        </w:tc>
        <w:tc>
          <w:tcPr>
            <w:tcW w:w="405" w:type="pct"/>
            <w:vMerge/>
            <w:vAlign w:val="center"/>
          </w:tcPr>
          <w:p w14:paraId="6D4AF789" w14:textId="77777777" w:rsidR="002D0AE7" w:rsidRDefault="002D0AE7">
            <w:pPr>
              <w:snapToGrid w:val="0"/>
              <w:spacing w:line="240" w:lineRule="atLeast"/>
              <w:jc w:val="center"/>
              <w:rPr>
                <w:rFonts w:hint="eastAsia"/>
                <w:color w:val="000000" w:themeColor="text1"/>
                <w:sz w:val="18"/>
                <w:szCs w:val="18"/>
              </w:rPr>
            </w:pPr>
          </w:p>
        </w:tc>
        <w:tc>
          <w:tcPr>
            <w:tcW w:w="132" w:type="pct"/>
            <w:vMerge/>
            <w:vAlign w:val="center"/>
          </w:tcPr>
          <w:p w14:paraId="700734E2" w14:textId="77777777" w:rsidR="002D0AE7" w:rsidRDefault="002D0AE7">
            <w:pPr>
              <w:jc w:val="center"/>
              <w:rPr>
                <w:rFonts w:hint="eastAsia"/>
                <w:color w:val="000000" w:themeColor="text1"/>
                <w:sz w:val="18"/>
                <w:szCs w:val="18"/>
              </w:rPr>
            </w:pPr>
          </w:p>
        </w:tc>
        <w:tc>
          <w:tcPr>
            <w:tcW w:w="407" w:type="pct"/>
            <w:vMerge/>
            <w:vAlign w:val="center"/>
          </w:tcPr>
          <w:p w14:paraId="5F84B484" w14:textId="77777777" w:rsidR="002D0AE7" w:rsidRDefault="002D0AE7">
            <w:pPr>
              <w:jc w:val="center"/>
              <w:rPr>
                <w:rFonts w:hint="eastAsia"/>
                <w:color w:val="000000" w:themeColor="text1"/>
                <w:sz w:val="18"/>
                <w:szCs w:val="18"/>
              </w:rPr>
            </w:pPr>
          </w:p>
        </w:tc>
        <w:tc>
          <w:tcPr>
            <w:tcW w:w="358" w:type="pct"/>
            <w:vMerge/>
            <w:vAlign w:val="center"/>
          </w:tcPr>
          <w:p w14:paraId="010E13E2" w14:textId="77777777" w:rsidR="002D0AE7" w:rsidRDefault="002D0AE7">
            <w:pPr>
              <w:jc w:val="center"/>
              <w:rPr>
                <w:rFonts w:hint="eastAsia"/>
                <w:color w:val="000000" w:themeColor="text1"/>
                <w:sz w:val="18"/>
                <w:szCs w:val="18"/>
              </w:rPr>
            </w:pPr>
          </w:p>
        </w:tc>
        <w:tc>
          <w:tcPr>
            <w:tcW w:w="398" w:type="pct"/>
            <w:vMerge/>
            <w:tcBorders>
              <w:bottom w:val="nil"/>
            </w:tcBorders>
            <w:vAlign w:val="center"/>
          </w:tcPr>
          <w:p w14:paraId="141D761C" w14:textId="77777777" w:rsidR="002D0AE7" w:rsidRDefault="002D0AE7">
            <w:pPr>
              <w:jc w:val="center"/>
              <w:rPr>
                <w:rFonts w:hint="eastAsia"/>
                <w:color w:val="000000" w:themeColor="text1"/>
                <w:sz w:val="18"/>
                <w:szCs w:val="18"/>
              </w:rPr>
            </w:pPr>
          </w:p>
        </w:tc>
      </w:tr>
      <w:tr w:rsidR="002D0AE7" w14:paraId="402FCE30" w14:textId="77777777">
        <w:trPr>
          <w:jc w:val="center"/>
        </w:trPr>
        <w:tc>
          <w:tcPr>
            <w:tcW w:w="634" w:type="pct"/>
            <w:vAlign w:val="center"/>
          </w:tcPr>
          <w:p w14:paraId="0655E231" w14:textId="77777777" w:rsidR="002D0AE7" w:rsidRDefault="00333EBB">
            <w:pPr>
              <w:rPr>
                <w:rFonts w:hint="eastAsia"/>
                <w:color w:val="000000" w:themeColor="text1"/>
                <w:sz w:val="18"/>
                <w:szCs w:val="18"/>
              </w:rPr>
            </w:pPr>
            <w:r>
              <w:rPr>
                <w:color w:val="000000" w:themeColor="text1"/>
                <w:sz w:val="18"/>
                <w:szCs w:val="18"/>
              </w:rPr>
              <w:t>一、上年</w:t>
            </w:r>
            <w:r>
              <w:rPr>
                <w:rFonts w:hint="eastAsia"/>
                <w:color w:val="000000" w:themeColor="text1"/>
                <w:sz w:val="18"/>
                <w:szCs w:val="18"/>
              </w:rPr>
              <w:t>期</w:t>
            </w:r>
            <w:r>
              <w:rPr>
                <w:color w:val="000000" w:themeColor="text1"/>
                <w:sz w:val="18"/>
                <w:szCs w:val="18"/>
              </w:rPr>
              <w:t>末余额</w:t>
            </w:r>
          </w:p>
        </w:tc>
        <w:tc>
          <w:tcPr>
            <w:tcW w:w="404" w:type="pct"/>
            <w:vAlign w:val="center"/>
          </w:tcPr>
          <w:p w14:paraId="27D31BEA" w14:textId="77777777" w:rsidR="002D0AE7" w:rsidRDefault="00333EBB">
            <w:pPr>
              <w:jc w:val="right"/>
              <w:rPr>
                <w:rFonts w:ascii="Arial Narrow" w:hAnsi="Arial Narrow"/>
                <w:sz w:val="15"/>
                <w:szCs w:val="15"/>
              </w:rPr>
            </w:pPr>
            <w:r>
              <w:rPr>
                <w:rFonts w:ascii="Arial Narrow" w:hAnsi="Arial Narrow"/>
                <w:sz w:val="15"/>
                <w:szCs w:val="15"/>
              </w:rPr>
              <w:t>1,093,932,680.00</w:t>
            </w:r>
          </w:p>
        </w:tc>
        <w:tc>
          <w:tcPr>
            <w:tcW w:w="152" w:type="pct"/>
            <w:vAlign w:val="center"/>
          </w:tcPr>
          <w:p w14:paraId="68E296A1" w14:textId="77777777" w:rsidR="002D0AE7" w:rsidRDefault="002D0AE7">
            <w:pPr>
              <w:jc w:val="right"/>
              <w:rPr>
                <w:rFonts w:ascii="Arial Narrow" w:hAnsi="Arial Narrow"/>
                <w:sz w:val="15"/>
                <w:szCs w:val="15"/>
              </w:rPr>
            </w:pPr>
          </w:p>
        </w:tc>
        <w:tc>
          <w:tcPr>
            <w:tcW w:w="152" w:type="pct"/>
            <w:vAlign w:val="center"/>
          </w:tcPr>
          <w:p w14:paraId="57B98849" w14:textId="77777777" w:rsidR="002D0AE7" w:rsidRDefault="002D0AE7">
            <w:pPr>
              <w:jc w:val="right"/>
              <w:rPr>
                <w:rFonts w:ascii="Arial Narrow" w:hAnsi="Arial Narrow"/>
                <w:sz w:val="15"/>
                <w:szCs w:val="15"/>
              </w:rPr>
            </w:pPr>
          </w:p>
        </w:tc>
        <w:tc>
          <w:tcPr>
            <w:tcW w:w="152" w:type="pct"/>
            <w:vAlign w:val="center"/>
          </w:tcPr>
          <w:p w14:paraId="03AE44A5" w14:textId="77777777" w:rsidR="002D0AE7" w:rsidRDefault="002D0AE7">
            <w:pPr>
              <w:jc w:val="right"/>
              <w:rPr>
                <w:rFonts w:ascii="Arial Narrow" w:hAnsi="Arial Narrow"/>
                <w:sz w:val="15"/>
                <w:szCs w:val="15"/>
              </w:rPr>
            </w:pPr>
          </w:p>
        </w:tc>
        <w:tc>
          <w:tcPr>
            <w:tcW w:w="358" w:type="pct"/>
            <w:vAlign w:val="center"/>
          </w:tcPr>
          <w:p w14:paraId="4F8C258A" w14:textId="77777777" w:rsidR="002D0AE7" w:rsidRDefault="00333EBB">
            <w:pPr>
              <w:jc w:val="right"/>
              <w:rPr>
                <w:rFonts w:ascii="Arial Narrow" w:hAnsi="Arial Narrow"/>
                <w:sz w:val="15"/>
                <w:szCs w:val="15"/>
              </w:rPr>
            </w:pPr>
            <w:r>
              <w:rPr>
                <w:rFonts w:ascii="Arial Narrow" w:hAnsi="Arial Narrow"/>
                <w:sz w:val="15"/>
                <w:szCs w:val="15"/>
              </w:rPr>
              <w:t>322,190,215.52</w:t>
            </w:r>
          </w:p>
        </w:tc>
        <w:tc>
          <w:tcPr>
            <w:tcW w:w="312" w:type="pct"/>
            <w:vAlign w:val="center"/>
          </w:tcPr>
          <w:p w14:paraId="4E88F06E" w14:textId="77777777" w:rsidR="002D0AE7" w:rsidRDefault="00333EBB">
            <w:pPr>
              <w:jc w:val="right"/>
              <w:rPr>
                <w:rFonts w:ascii="Arial Narrow" w:hAnsi="Arial Narrow"/>
                <w:sz w:val="15"/>
                <w:szCs w:val="15"/>
              </w:rPr>
            </w:pPr>
            <w:r>
              <w:rPr>
                <w:rFonts w:ascii="Arial Narrow" w:hAnsi="Arial Narrow"/>
                <w:sz w:val="15"/>
                <w:szCs w:val="15"/>
              </w:rPr>
              <w:t>4,726,260.00</w:t>
            </w:r>
          </w:p>
        </w:tc>
        <w:tc>
          <w:tcPr>
            <w:tcW w:w="334" w:type="pct"/>
            <w:vAlign w:val="center"/>
          </w:tcPr>
          <w:p w14:paraId="767C88DE" w14:textId="77777777" w:rsidR="002D0AE7" w:rsidRDefault="00333EBB">
            <w:pPr>
              <w:jc w:val="right"/>
              <w:rPr>
                <w:rFonts w:ascii="Arial Narrow" w:hAnsi="Arial Narrow"/>
                <w:sz w:val="15"/>
                <w:szCs w:val="15"/>
              </w:rPr>
            </w:pPr>
            <w:r>
              <w:rPr>
                <w:rFonts w:ascii="Arial Narrow" w:hAnsi="Arial Narrow"/>
                <w:sz w:val="15"/>
                <w:szCs w:val="15"/>
              </w:rPr>
              <w:t>46,953,380.24</w:t>
            </w:r>
          </w:p>
        </w:tc>
        <w:tc>
          <w:tcPr>
            <w:tcW w:w="312" w:type="pct"/>
            <w:vAlign w:val="center"/>
          </w:tcPr>
          <w:p w14:paraId="229BB5D8"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8" w:type="pct"/>
            <w:vAlign w:val="center"/>
          </w:tcPr>
          <w:p w14:paraId="4A9BE96C" w14:textId="77777777" w:rsidR="002D0AE7" w:rsidRDefault="00333EBB">
            <w:pPr>
              <w:jc w:val="right"/>
              <w:rPr>
                <w:rFonts w:ascii="Arial Narrow" w:hAnsi="Arial Narrow"/>
                <w:sz w:val="15"/>
                <w:szCs w:val="15"/>
              </w:rPr>
            </w:pPr>
            <w:r>
              <w:rPr>
                <w:rFonts w:ascii="Arial Narrow" w:hAnsi="Arial Narrow"/>
                <w:sz w:val="15"/>
                <w:szCs w:val="15"/>
              </w:rPr>
              <w:t>237,483,087.40</w:t>
            </w:r>
          </w:p>
        </w:tc>
        <w:tc>
          <w:tcPr>
            <w:tcW w:w="132" w:type="pct"/>
            <w:vAlign w:val="center"/>
          </w:tcPr>
          <w:p w14:paraId="5A56B8C9" w14:textId="77777777" w:rsidR="002D0AE7" w:rsidRDefault="002D0AE7">
            <w:pPr>
              <w:jc w:val="right"/>
              <w:rPr>
                <w:rFonts w:ascii="Arial Narrow" w:hAnsi="Arial Narrow"/>
                <w:sz w:val="15"/>
                <w:szCs w:val="15"/>
              </w:rPr>
            </w:pPr>
          </w:p>
        </w:tc>
        <w:tc>
          <w:tcPr>
            <w:tcW w:w="405" w:type="pct"/>
            <w:vAlign w:val="center"/>
          </w:tcPr>
          <w:p w14:paraId="4BFBEE15" w14:textId="77777777" w:rsidR="002D0AE7" w:rsidRDefault="00333EBB">
            <w:pPr>
              <w:jc w:val="right"/>
              <w:rPr>
                <w:rFonts w:ascii="Arial Narrow" w:hAnsi="Arial Narrow"/>
                <w:sz w:val="15"/>
                <w:szCs w:val="15"/>
              </w:rPr>
            </w:pPr>
            <w:r>
              <w:rPr>
                <w:rFonts w:ascii="Arial Narrow" w:hAnsi="Arial Narrow"/>
                <w:sz w:val="15"/>
                <w:szCs w:val="15"/>
              </w:rPr>
              <w:t>1,257,721,088.14</w:t>
            </w:r>
          </w:p>
        </w:tc>
        <w:tc>
          <w:tcPr>
            <w:tcW w:w="132" w:type="pct"/>
            <w:vAlign w:val="center"/>
          </w:tcPr>
          <w:p w14:paraId="1AE96729" w14:textId="77777777" w:rsidR="002D0AE7" w:rsidRDefault="002D0AE7">
            <w:pPr>
              <w:jc w:val="right"/>
              <w:rPr>
                <w:rFonts w:ascii="Arial Narrow" w:hAnsi="Arial Narrow"/>
                <w:sz w:val="15"/>
                <w:szCs w:val="15"/>
              </w:rPr>
            </w:pPr>
          </w:p>
        </w:tc>
        <w:tc>
          <w:tcPr>
            <w:tcW w:w="407" w:type="pct"/>
            <w:vAlign w:val="center"/>
          </w:tcPr>
          <w:p w14:paraId="072746F8" w14:textId="77777777" w:rsidR="002D0AE7" w:rsidRDefault="00333EBB">
            <w:pPr>
              <w:jc w:val="right"/>
              <w:rPr>
                <w:rFonts w:ascii="Arial Narrow" w:hAnsi="Arial Narrow"/>
                <w:sz w:val="15"/>
                <w:szCs w:val="15"/>
              </w:rPr>
            </w:pPr>
            <w:r>
              <w:rPr>
                <w:rFonts w:ascii="Arial Narrow" w:hAnsi="Arial Narrow"/>
                <w:sz w:val="15"/>
                <w:szCs w:val="15"/>
              </w:rPr>
              <w:t>2,953,554,191.30</w:t>
            </w:r>
          </w:p>
        </w:tc>
        <w:tc>
          <w:tcPr>
            <w:tcW w:w="358" w:type="pct"/>
            <w:vAlign w:val="center"/>
          </w:tcPr>
          <w:p w14:paraId="08DA5EFB" w14:textId="77777777" w:rsidR="002D0AE7" w:rsidRDefault="00333EBB">
            <w:pPr>
              <w:jc w:val="right"/>
              <w:rPr>
                <w:rFonts w:ascii="Arial Narrow" w:hAnsi="Arial Narrow"/>
                <w:sz w:val="15"/>
                <w:szCs w:val="15"/>
              </w:rPr>
            </w:pPr>
            <w:r>
              <w:rPr>
                <w:rFonts w:ascii="Arial Narrow" w:hAnsi="Arial Narrow"/>
                <w:sz w:val="15"/>
                <w:szCs w:val="15"/>
              </w:rPr>
              <w:t>799,749,747.41</w:t>
            </w:r>
          </w:p>
        </w:tc>
        <w:tc>
          <w:tcPr>
            <w:tcW w:w="398" w:type="pct"/>
            <w:vAlign w:val="center"/>
          </w:tcPr>
          <w:p w14:paraId="3C7A7037" w14:textId="77777777" w:rsidR="002D0AE7" w:rsidRDefault="00333EBB">
            <w:pPr>
              <w:jc w:val="right"/>
              <w:rPr>
                <w:rFonts w:ascii="Arial Narrow" w:hAnsi="Arial Narrow"/>
                <w:sz w:val="15"/>
                <w:szCs w:val="15"/>
              </w:rPr>
            </w:pPr>
            <w:r>
              <w:rPr>
                <w:rFonts w:ascii="Arial Narrow" w:hAnsi="Arial Narrow"/>
                <w:sz w:val="15"/>
                <w:szCs w:val="15"/>
              </w:rPr>
              <w:t>3,753,303,938.71</w:t>
            </w:r>
          </w:p>
        </w:tc>
      </w:tr>
      <w:tr w:rsidR="002D0AE7" w14:paraId="25CC35E4" w14:textId="77777777">
        <w:trPr>
          <w:jc w:val="center"/>
        </w:trPr>
        <w:tc>
          <w:tcPr>
            <w:tcW w:w="634" w:type="pct"/>
            <w:vAlign w:val="center"/>
          </w:tcPr>
          <w:p w14:paraId="0505E9F9" w14:textId="77777777" w:rsidR="002D0AE7" w:rsidRDefault="00333EBB">
            <w:pPr>
              <w:rPr>
                <w:rFonts w:hint="eastAsia"/>
                <w:color w:val="000000" w:themeColor="text1"/>
                <w:sz w:val="18"/>
                <w:szCs w:val="18"/>
              </w:rPr>
            </w:pPr>
            <w:r>
              <w:rPr>
                <w:rFonts w:hint="eastAsia"/>
                <w:color w:val="000000" w:themeColor="text1"/>
                <w:sz w:val="18"/>
                <w:szCs w:val="18"/>
              </w:rPr>
              <w:t>加：</w:t>
            </w:r>
            <w:r>
              <w:rPr>
                <w:color w:val="000000" w:themeColor="text1"/>
                <w:sz w:val="18"/>
                <w:szCs w:val="18"/>
              </w:rPr>
              <w:t>会计政策变更</w:t>
            </w:r>
          </w:p>
        </w:tc>
        <w:tc>
          <w:tcPr>
            <w:tcW w:w="404" w:type="pct"/>
            <w:vAlign w:val="center"/>
          </w:tcPr>
          <w:p w14:paraId="4EEDA376" w14:textId="77777777" w:rsidR="002D0AE7" w:rsidRDefault="002D0AE7">
            <w:pPr>
              <w:jc w:val="right"/>
              <w:rPr>
                <w:rFonts w:ascii="Arial Narrow" w:hAnsi="Arial Narrow"/>
                <w:sz w:val="15"/>
                <w:szCs w:val="15"/>
              </w:rPr>
            </w:pPr>
          </w:p>
        </w:tc>
        <w:tc>
          <w:tcPr>
            <w:tcW w:w="152" w:type="pct"/>
            <w:vAlign w:val="center"/>
          </w:tcPr>
          <w:p w14:paraId="0DA4D3F1" w14:textId="77777777" w:rsidR="002D0AE7" w:rsidRDefault="002D0AE7">
            <w:pPr>
              <w:jc w:val="right"/>
              <w:rPr>
                <w:rFonts w:ascii="Arial Narrow" w:hAnsi="Arial Narrow"/>
                <w:sz w:val="15"/>
                <w:szCs w:val="15"/>
              </w:rPr>
            </w:pPr>
          </w:p>
        </w:tc>
        <w:tc>
          <w:tcPr>
            <w:tcW w:w="152" w:type="pct"/>
            <w:vAlign w:val="center"/>
          </w:tcPr>
          <w:p w14:paraId="07637183" w14:textId="77777777" w:rsidR="002D0AE7" w:rsidRDefault="002D0AE7">
            <w:pPr>
              <w:jc w:val="right"/>
              <w:rPr>
                <w:rFonts w:ascii="Arial Narrow" w:hAnsi="Arial Narrow"/>
                <w:sz w:val="15"/>
                <w:szCs w:val="15"/>
              </w:rPr>
            </w:pPr>
          </w:p>
        </w:tc>
        <w:tc>
          <w:tcPr>
            <w:tcW w:w="152" w:type="pct"/>
            <w:vAlign w:val="center"/>
          </w:tcPr>
          <w:p w14:paraId="0D066178" w14:textId="77777777" w:rsidR="002D0AE7" w:rsidRDefault="002D0AE7">
            <w:pPr>
              <w:jc w:val="right"/>
              <w:rPr>
                <w:rFonts w:ascii="Arial Narrow" w:hAnsi="Arial Narrow"/>
                <w:sz w:val="15"/>
                <w:szCs w:val="15"/>
              </w:rPr>
            </w:pPr>
          </w:p>
        </w:tc>
        <w:tc>
          <w:tcPr>
            <w:tcW w:w="358" w:type="pct"/>
            <w:vAlign w:val="center"/>
          </w:tcPr>
          <w:p w14:paraId="48D5F8E2" w14:textId="77777777" w:rsidR="002D0AE7" w:rsidRDefault="002D0AE7">
            <w:pPr>
              <w:jc w:val="right"/>
              <w:rPr>
                <w:rFonts w:ascii="Arial Narrow" w:hAnsi="Arial Narrow"/>
                <w:sz w:val="15"/>
                <w:szCs w:val="15"/>
              </w:rPr>
            </w:pPr>
          </w:p>
        </w:tc>
        <w:tc>
          <w:tcPr>
            <w:tcW w:w="312" w:type="pct"/>
            <w:vAlign w:val="center"/>
          </w:tcPr>
          <w:p w14:paraId="53B9CA18" w14:textId="77777777" w:rsidR="002D0AE7" w:rsidRDefault="002D0AE7">
            <w:pPr>
              <w:jc w:val="right"/>
              <w:rPr>
                <w:rFonts w:ascii="Arial Narrow" w:hAnsi="Arial Narrow"/>
                <w:sz w:val="15"/>
                <w:szCs w:val="15"/>
              </w:rPr>
            </w:pPr>
          </w:p>
        </w:tc>
        <w:tc>
          <w:tcPr>
            <w:tcW w:w="334" w:type="pct"/>
            <w:vAlign w:val="center"/>
          </w:tcPr>
          <w:p w14:paraId="198AEC50" w14:textId="77777777" w:rsidR="002D0AE7" w:rsidRDefault="002D0AE7">
            <w:pPr>
              <w:jc w:val="right"/>
              <w:rPr>
                <w:rFonts w:ascii="Arial Narrow" w:hAnsi="Arial Narrow"/>
                <w:sz w:val="15"/>
                <w:szCs w:val="15"/>
              </w:rPr>
            </w:pPr>
          </w:p>
        </w:tc>
        <w:tc>
          <w:tcPr>
            <w:tcW w:w="312" w:type="pct"/>
            <w:vAlign w:val="center"/>
          </w:tcPr>
          <w:p w14:paraId="01987AA1" w14:textId="77777777" w:rsidR="002D0AE7" w:rsidRDefault="002D0AE7">
            <w:pPr>
              <w:jc w:val="right"/>
              <w:rPr>
                <w:rFonts w:ascii="Arial Narrow" w:hAnsi="Arial Narrow"/>
                <w:sz w:val="15"/>
                <w:szCs w:val="15"/>
              </w:rPr>
            </w:pPr>
          </w:p>
        </w:tc>
        <w:tc>
          <w:tcPr>
            <w:tcW w:w="358" w:type="pct"/>
            <w:vAlign w:val="center"/>
          </w:tcPr>
          <w:p w14:paraId="51A5237E" w14:textId="77777777" w:rsidR="002D0AE7" w:rsidRDefault="002D0AE7">
            <w:pPr>
              <w:jc w:val="right"/>
              <w:rPr>
                <w:rFonts w:ascii="Arial Narrow" w:hAnsi="Arial Narrow"/>
                <w:sz w:val="15"/>
                <w:szCs w:val="15"/>
              </w:rPr>
            </w:pPr>
          </w:p>
        </w:tc>
        <w:tc>
          <w:tcPr>
            <w:tcW w:w="132" w:type="pct"/>
            <w:vAlign w:val="center"/>
          </w:tcPr>
          <w:p w14:paraId="474F6AAC" w14:textId="77777777" w:rsidR="002D0AE7" w:rsidRDefault="002D0AE7">
            <w:pPr>
              <w:jc w:val="right"/>
              <w:rPr>
                <w:rFonts w:ascii="Arial Narrow" w:hAnsi="Arial Narrow"/>
                <w:sz w:val="15"/>
                <w:szCs w:val="15"/>
              </w:rPr>
            </w:pPr>
          </w:p>
        </w:tc>
        <w:tc>
          <w:tcPr>
            <w:tcW w:w="405" w:type="pct"/>
            <w:vAlign w:val="center"/>
          </w:tcPr>
          <w:p w14:paraId="4CBC1BE1" w14:textId="77777777" w:rsidR="002D0AE7" w:rsidRDefault="002D0AE7">
            <w:pPr>
              <w:jc w:val="right"/>
              <w:rPr>
                <w:rFonts w:ascii="Arial Narrow" w:hAnsi="Arial Narrow"/>
                <w:sz w:val="15"/>
                <w:szCs w:val="15"/>
              </w:rPr>
            </w:pPr>
          </w:p>
        </w:tc>
        <w:tc>
          <w:tcPr>
            <w:tcW w:w="132" w:type="pct"/>
            <w:vAlign w:val="center"/>
          </w:tcPr>
          <w:p w14:paraId="678666F2" w14:textId="77777777" w:rsidR="002D0AE7" w:rsidRDefault="002D0AE7">
            <w:pPr>
              <w:jc w:val="right"/>
              <w:rPr>
                <w:rFonts w:ascii="Arial Narrow" w:hAnsi="Arial Narrow"/>
                <w:sz w:val="15"/>
                <w:szCs w:val="15"/>
              </w:rPr>
            </w:pPr>
          </w:p>
        </w:tc>
        <w:tc>
          <w:tcPr>
            <w:tcW w:w="407" w:type="pct"/>
            <w:vAlign w:val="center"/>
          </w:tcPr>
          <w:p w14:paraId="2A283472" w14:textId="77777777" w:rsidR="002D0AE7" w:rsidRDefault="002D0AE7">
            <w:pPr>
              <w:jc w:val="right"/>
              <w:rPr>
                <w:rFonts w:ascii="Arial Narrow" w:hAnsi="Arial Narrow"/>
                <w:sz w:val="15"/>
                <w:szCs w:val="15"/>
              </w:rPr>
            </w:pPr>
          </w:p>
        </w:tc>
        <w:tc>
          <w:tcPr>
            <w:tcW w:w="358" w:type="pct"/>
            <w:vAlign w:val="center"/>
          </w:tcPr>
          <w:p w14:paraId="6370CDC8" w14:textId="77777777" w:rsidR="002D0AE7" w:rsidRDefault="002D0AE7">
            <w:pPr>
              <w:jc w:val="right"/>
              <w:rPr>
                <w:rFonts w:ascii="Arial Narrow" w:hAnsi="Arial Narrow"/>
                <w:sz w:val="15"/>
                <w:szCs w:val="15"/>
              </w:rPr>
            </w:pPr>
          </w:p>
        </w:tc>
        <w:tc>
          <w:tcPr>
            <w:tcW w:w="398" w:type="pct"/>
            <w:vAlign w:val="center"/>
          </w:tcPr>
          <w:p w14:paraId="79935FB9" w14:textId="77777777" w:rsidR="002D0AE7" w:rsidRDefault="002D0AE7">
            <w:pPr>
              <w:jc w:val="right"/>
              <w:rPr>
                <w:rFonts w:ascii="Arial Narrow" w:hAnsi="Arial Narrow"/>
                <w:sz w:val="15"/>
                <w:szCs w:val="15"/>
              </w:rPr>
            </w:pPr>
          </w:p>
        </w:tc>
      </w:tr>
      <w:tr w:rsidR="002D0AE7" w14:paraId="42FD2A9F" w14:textId="77777777">
        <w:trPr>
          <w:jc w:val="center"/>
        </w:trPr>
        <w:tc>
          <w:tcPr>
            <w:tcW w:w="634" w:type="pct"/>
            <w:vAlign w:val="center"/>
          </w:tcPr>
          <w:p w14:paraId="263C4512" w14:textId="77777777" w:rsidR="002D0AE7" w:rsidRDefault="00333EBB">
            <w:pPr>
              <w:ind w:firstLineChars="200" w:firstLine="360"/>
              <w:rPr>
                <w:rFonts w:hint="eastAsia"/>
                <w:color w:val="000000" w:themeColor="text1"/>
                <w:sz w:val="18"/>
                <w:szCs w:val="18"/>
              </w:rPr>
            </w:pPr>
            <w:r>
              <w:rPr>
                <w:color w:val="000000" w:themeColor="text1"/>
                <w:sz w:val="18"/>
                <w:szCs w:val="18"/>
              </w:rPr>
              <w:t>前期差错更正</w:t>
            </w:r>
          </w:p>
        </w:tc>
        <w:tc>
          <w:tcPr>
            <w:tcW w:w="404" w:type="pct"/>
            <w:vAlign w:val="center"/>
          </w:tcPr>
          <w:p w14:paraId="713283D3" w14:textId="77777777" w:rsidR="002D0AE7" w:rsidRDefault="002D0AE7">
            <w:pPr>
              <w:jc w:val="right"/>
              <w:rPr>
                <w:rFonts w:ascii="Arial Narrow" w:hAnsi="Arial Narrow"/>
                <w:sz w:val="15"/>
                <w:szCs w:val="15"/>
              </w:rPr>
            </w:pPr>
          </w:p>
        </w:tc>
        <w:tc>
          <w:tcPr>
            <w:tcW w:w="152" w:type="pct"/>
            <w:vAlign w:val="center"/>
          </w:tcPr>
          <w:p w14:paraId="39F83003" w14:textId="77777777" w:rsidR="002D0AE7" w:rsidRDefault="002D0AE7">
            <w:pPr>
              <w:jc w:val="right"/>
              <w:rPr>
                <w:rFonts w:ascii="Arial Narrow" w:hAnsi="Arial Narrow"/>
                <w:sz w:val="15"/>
                <w:szCs w:val="15"/>
              </w:rPr>
            </w:pPr>
          </w:p>
        </w:tc>
        <w:tc>
          <w:tcPr>
            <w:tcW w:w="152" w:type="pct"/>
            <w:vAlign w:val="center"/>
          </w:tcPr>
          <w:p w14:paraId="0156AE66" w14:textId="77777777" w:rsidR="002D0AE7" w:rsidRDefault="002D0AE7">
            <w:pPr>
              <w:jc w:val="right"/>
              <w:rPr>
                <w:rFonts w:ascii="Arial Narrow" w:hAnsi="Arial Narrow"/>
                <w:sz w:val="15"/>
                <w:szCs w:val="15"/>
              </w:rPr>
            </w:pPr>
          </w:p>
        </w:tc>
        <w:tc>
          <w:tcPr>
            <w:tcW w:w="152" w:type="pct"/>
            <w:vAlign w:val="center"/>
          </w:tcPr>
          <w:p w14:paraId="756D2138" w14:textId="77777777" w:rsidR="002D0AE7" w:rsidRDefault="002D0AE7">
            <w:pPr>
              <w:jc w:val="right"/>
              <w:rPr>
                <w:rFonts w:ascii="Arial Narrow" w:hAnsi="Arial Narrow"/>
                <w:sz w:val="15"/>
                <w:szCs w:val="15"/>
              </w:rPr>
            </w:pPr>
          </w:p>
        </w:tc>
        <w:tc>
          <w:tcPr>
            <w:tcW w:w="358" w:type="pct"/>
            <w:vAlign w:val="center"/>
          </w:tcPr>
          <w:p w14:paraId="76A05AF3" w14:textId="77777777" w:rsidR="002D0AE7" w:rsidRDefault="002D0AE7">
            <w:pPr>
              <w:jc w:val="right"/>
              <w:rPr>
                <w:rFonts w:ascii="Arial Narrow" w:hAnsi="Arial Narrow"/>
                <w:sz w:val="15"/>
                <w:szCs w:val="15"/>
              </w:rPr>
            </w:pPr>
          </w:p>
        </w:tc>
        <w:tc>
          <w:tcPr>
            <w:tcW w:w="312" w:type="pct"/>
            <w:vAlign w:val="center"/>
          </w:tcPr>
          <w:p w14:paraId="00CE2088" w14:textId="77777777" w:rsidR="002D0AE7" w:rsidRDefault="002D0AE7">
            <w:pPr>
              <w:jc w:val="right"/>
              <w:rPr>
                <w:rFonts w:ascii="Arial Narrow" w:hAnsi="Arial Narrow"/>
                <w:sz w:val="15"/>
                <w:szCs w:val="15"/>
              </w:rPr>
            </w:pPr>
          </w:p>
        </w:tc>
        <w:tc>
          <w:tcPr>
            <w:tcW w:w="334" w:type="pct"/>
            <w:vAlign w:val="center"/>
          </w:tcPr>
          <w:p w14:paraId="7EC2A571" w14:textId="77777777" w:rsidR="002D0AE7" w:rsidRDefault="002D0AE7">
            <w:pPr>
              <w:jc w:val="right"/>
              <w:rPr>
                <w:rFonts w:ascii="Arial Narrow" w:hAnsi="Arial Narrow"/>
                <w:sz w:val="15"/>
                <w:szCs w:val="15"/>
              </w:rPr>
            </w:pPr>
          </w:p>
        </w:tc>
        <w:tc>
          <w:tcPr>
            <w:tcW w:w="312" w:type="pct"/>
            <w:vAlign w:val="center"/>
          </w:tcPr>
          <w:p w14:paraId="0C51EE6B" w14:textId="77777777" w:rsidR="002D0AE7" w:rsidRDefault="002D0AE7">
            <w:pPr>
              <w:jc w:val="right"/>
              <w:rPr>
                <w:rFonts w:ascii="Arial Narrow" w:hAnsi="Arial Narrow"/>
                <w:sz w:val="15"/>
                <w:szCs w:val="15"/>
              </w:rPr>
            </w:pPr>
          </w:p>
        </w:tc>
        <w:tc>
          <w:tcPr>
            <w:tcW w:w="358" w:type="pct"/>
            <w:vAlign w:val="center"/>
          </w:tcPr>
          <w:p w14:paraId="3E344262" w14:textId="77777777" w:rsidR="002D0AE7" w:rsidRDefault="002D0AE7">
            <w:pPr>
              <w:jc w:val="right"/>
              <w:rPr>
                <w:rFonts w:ascii="Arial Narrow" w:hAnsi="Arial Narrow"/>
                <w:sz w:val="15"/>
                <w:szCs w:val="15"/>
              </w:rPr>
            </w:pPr>
          </w:p>
        </w:tc>
        <w:tc>
          <w:tcPr>
            <w:tcW w:w="132" w:type="pct"/>
            <w:vAlign w:val="center"/>
          </w:tcPr>
          <w:p w14:paraId="75E37653" w14:textId="77777777" w:rsidR="002D0AE7" w:rsidRDefault="002D0AE7">
            <w:pPr>
              <w:jc w:val="right"/>
              <w:rPr>
                <w:rFonts w:ascii="Arial Narrow" w:hAnsi="Arial Narrow"/>
                <w:sz w:val="15"/>
                <w:szCs w:val="15"/>
              </w:rPr>
            </w:pPr>
          </w:p>
        </w:tc>
        <w:tc>
          <w:tcPr>
            <w:tcW w:w="405" w:type="pct"/>
            <w:vAlign w:val="center"/>
          </w:tcPr>
          <w:p w14:paraId="323F4E5B" w14:textId="77777777" w:rsidR="002D0AE7" w:rsidRDefault="002D0AE7">
            <w:pPr>
              <w:jc w:val="right"/>
              <w:rPr>
                <w:rFonts w:ascii="Arial Narrow" w:hAnsi="Arial Narrow"/>
                <w:sz w:val="15"/>
                <w:szCs w:val="15"/>
              </w:rPr>
            </w:pPr>
          </w:p>
        </w:tc>
        <w:tc>
          <w:tcPr>
            <w:tcW w:w="132" w:type="pct"/>
            <w:vAlign w:val="center"/>
          </w:tcPr>
          <w:p w14:paraId="41ADCACE" w14:textId="77777777" w:rsidR="002D0AE7" w:rsidRDefault="002D0AE7">
            <w:pPr>
              <w:jc w:val="right"/>
              <w:rPr>
                <w:rFonts w:ascii="Arial Narrow" w:hAnsi="Arial Narrow"/>
                <w:sz w:val="15"/>
                <w:szCs w:val="15"/>
              </w:rPr>
            </w:pPr>
          </w:p>
        </w:tc>
        <w:tc>
          <w:tcPr>
            <w:tcW w:w="407" w:type="pct"/>
            <w:vAlign w:val="center"/>
          </w:tcPr>
          <w:p w14:paraId="434A2132" w14:textId="77777777" w:rsidR="002D0AE7" w:rsidRDefault="002D0AE7">
            <w:pPr>
              <w:jc w:val="right"/>
              <w:rPr>
                <w:rFonts w:ascii="Arial Narrow" w:hAnsi="Arial Narrow"/>
                <w:sz w:val="15"/>
                <w:szCs w:val="15"/>
              </w:rPr>
            </w:pPr>
          </w:p>
        </w:tc>
        <w:tc>
          <w:tcPr>
            <w:tcW w:w="358" w:type="pct"/>
            <w:vAlign w:val="center"/>
          </w:tcPr>
          <w:p w14:paraId="0DE84546" w14:textId="77777777" w:rsidR="002D0AE7" w:rsidRDefault="002D0AE7">
            <w:pPr>
              <w:jc w:val="right"/>
              <w:rPr>
                <w:rFonts w:ascii="Arial Narrow" w:hAnsi="Arial Narrow"/>
                <w:sz w:val="15"/>
                <w:szCs w:val="15"/>
              </w:rPr>
            </w:pPr>
          </w:p>
        </w:tc>
        <w:tc>
          <w:tcPr>
            <w:tcW w:w="398" w:type="pct"/>
            <w:vAlign w:val="center"/>
          </w:tcPr>
          <w:p w14:paraId="22B63432" w14:textId="77777777" w:rsidR="002D0AE7" w:rsidRDefault="002D0AE7">
            <w:pPr>
              <w:jc w:val="right"/>
              <w:rPr>
                <w:rFonts w:ascii="Arial Narrow" w:hAnsi="Arial Narrow"/>
                <w:sz w:val="15"/>
                <w:szCs w:val="15"/>
              </w:rPr>
            </w:pPr>
          </w:p>
        </w:tc>
      </w:tr>
      <w:tr w:rsidR="002D0AE7" w14:paraId="5BCB84CA" w14:textId="77777777">
        <w:trPr>
          <w:jc w:val="center"/>
        </w:trPr>
        <w:tc>
          <w:tcPr>
            <w:tcW w:w="634" w:type="pct"/>
            <w:vAlign w:val="center"/>
          </w:tcPr>
          <w:p w14:paraId="0558E20B" w14:textId="77777777" w:rsidR="002D0AE7" w:rsidRDefault="00333EBB">
            <w:pPr>
              <w:ind w:firstLineChars="200" w:firstLine="360"/>
              <w:rPr>
                <w:rFonts w:hint="eastAsia"/>
                <w:color w:val="000000" w:themeColor="text1"/>
                <w:sz w:val="18"/>
                <w:szCs w:val="18"/>
              </w:rPr>
            </w:pPr>
            <w:r>
              <w:rPr>
                <w:rFonts w:hint="eastAsia"/>
                <w:color w:val="000000" w:themeColor="text1"/>
                <w:sz w:val="18"/>
                <w:szCs w:val="18"/>
              </w:rPr>
              <w:t>其他</w:t>
            </w:r>
          </w:p>
        </w:tc>
        <w:tc>
          <w:tcPr>
            <w:tcW w:w="404" w:type="pct"/>
            <w:vAlign w:val="center"/>
          </w:tcPr>
          <w:p w14:paraId="3DE47007" w14:textId="77777777" w:rsidR="002D0AE7" w:rsidRDefault="002D0AE7">
            <w:pPr>
              <w:jc w:val="right"/>
              <w:rPr>
                <w:rFonts w:ascii="Arial Narrow" w:hAnsi="Arial Narrow"/>
                <w:sz w:val="15"/>
                <w:szCs w:val="15"/>
              </w:rPr>
            </w:pPr>
          </w:p>
        </w:tc>
        <w:tc>
          <w:tcPr>
            <w:tcW w:w="152" w:type="pct"/>
            <w:vAlign w:val="center"/>
          </w:tcPr>
          <w:p w14:paraId="7FAA8093" w14:textId="77777777" w:rsidR="002D0AE7" w:rsidRDefault="002D0AE7">
            <w:pPr>
              <w:jc w:val="right"/>
              <w:rPr>
                <w:rFonts w:ascii="Arial Narrow" w:hAnsi="Arial Narrow"/>
                <w:sz w:val="15"/>
                <w:szCs w:val="15"/>
              </w:rPr>
            </w:pPr>
          </w:p>
        </w:tc>
        <w:tc>
          <w:tcPr>
            <w:tcW w:w="152" w:type="pct"/>
            <w:vAlign w:val="center"/>
          </w:tcPr>
          <w:p w14:paraId="4B1384E8" w14:textId="77777777" w:rsidR="002D0AE7" w:rsidRDefault="002D0AE7">
            <w:pPr>
              <w:jc w:val="right"/>
              <w:rPr>
                <w:rFonts w:ascii="Arial Narrow" w:hAnsi="Arial Narrow"/>
                <w:sz w:val="15"/>
                <w:szCs w:val="15"/>
              </w:rPr>
            </w:pPr>
          </w:p>
        </w:tc>
        <w:tc>
          <w:tcPr>
            <w:tcW w:w="152" w:type="pct"/>
            <w:vAlign w:val="center"/>
          </w:tcPr>
          <w:p w14:paraId="46DE9BB6" w14:textId="77777777" w:rsidR="002D0AE7" w:rsidRDefault="002D0AE7">
            <w:pPr>
              <w:jc w:val="right"/>
              <w:rPr>
                <w:rFonts w:ascii="Arial Narrow" w:hAnsi="Arial Narrow"/>
                <w:sz w:val="15"/>
                <w:szCs w:val="15"/>
              </w:rPr>
            </w:pPr>
          </w:p>
        </w:tc>
        <w:tc>
          <w:tcPr>
            <w:tcW w:w="358" w:type="pct"/>
            <w:vAlign w:val="center"/>
          </w:tcPr>
          <w:p w14:paraId="65087061" w14:textId="77777777" w:rsidR="002D0AE7" w:rsidRDefault="002D0AE7">
            <w:pPr>
              <w:jc w:val="right"/>
              <w:rPr>
                <w:rFonts w:ascii="Arial Narrow" w:hAnsi="Arial Narrow"/>
                <w:sz w:val="15"/>
                <w:szCs w:val="15"/>
              </w:rPr>
            </w:pPr>
          </w:p>
        </w:tc>
        <w:tc>
          <w:tcPr>
            <w:tcW w:w="312" w:type="pct"/>
            <w:vAlign w:val="center"/>
          </w:tcPr>
          <w:p w14:paraId="0FCC1C39" w14:textId="77777777" w:rsidR="002D0AE7" w:rsidRDefault="002D0AE7">
            <w:pPr>
              <w:jc w:val="right"/>
              <w:rPr>
                <w:rFonts w:ascii="Arial Narrow" w:hAnsi="Arial Narrow"/>
                <w:sz w:val="15"/>
                <w:szCs w:val="15"/>
              </w:rPr>
            </w:pPr>
          </w:p>
        </w:tc>
        <w:tc>
          <w:tcPr>
            <w:tcW w:w="334" w:type="pct"/>
            <w:vAlign w:val="center"/>
          </w:tcPr>
          <w:p w14:paraId="24636829" w14:textId="77777777" w:rsidR="002D0AE7" w:rsidRDefault="002D0AE7">
            <w:pPr>
              <w:jc w:val="right"/>
              <w:rPr>
                <w:rFonts w:ascii="Arial Narrow" w:hAnsi="Arial Narrow"/>
                <w:sz w:val="15"/>
                <w:szCs w:val="15"/>
              </w:rPr>
            </w:pPr>
          </w:p>
        </w:tc>
        <w:tc>
          <w:tcPr>
            <w:tcW w:w="312" w:type="pct"/>
            <w:vAlign w:val="center"/>
          </w:tcPr>
          <w:p w14:paraId="149FC23E" w14:textId="77777777" w:rsidR="002D0AE7" w:rsidRDefault="002D0AE7">
            <w:pPr>
              <w:jc w:val="right"/>
              <w:rPr>
                <w:rFonts w:ascii="Arial Narrow" w:hAnsi="Arial Narrow"/>
                <w:sz w:val="15"/>
                <w:szCs w:val="15"/>
              </w:rPr>
            </w:pPr>
          </w:p>
        </w:tc>
        <w:tc>
          <w:tcPr>
            <w:tcW w:w="358" w:type="pct"/>
            <w:vAlign w:val="center"/>
          </w:tcPr>
          <w:p w14:paraId="4FEB73BA" w14:textId="77777777" w:rsidR="002D0AE7" w:rsidRDefault="002D0AE7">
            <w:pPr>
              <w:jc w:val="right"/>
              <w:rPr>
                <w:rFonts w:ascii="Arial Narrow" w:hAnsi="Arial Narrow"/>
                <w:sz w:val="15"/>
                <w:szCs w:val="15"/>
              </w:rPr>
            </w:pPr>
          </w:p>
        </w:tc>
        <w:tc>
          <w:tcPr>
            <w:tcW w:w="132" w:type="pct"/>
            <w:vAlign w:val="center"/>
          </w:tcPr>
          <w:p w14:paraId="16C3910C" w14:textId="77777777" w:rsidR="002D0AE7" w:rsidRDefault="002D0AE7">
            <w:pPr>
              <w:jc w:val="right"/>
              <w:rPr>
                <w:rFonts w:ascii="Arial Narrow" w:hAnsi="Arial Narrow"/>
                <w:sz w:val="15"/>
                <w:szCs w:val="15"/>
              </w:rPr>
            </w:pPr>
          </w:p>
        </w:tc>
        <w:tc>
          <w:tcPr>
            <w:tcW w:w="405" w:type="pct"/>
            <w:vAlign w:val="center"/>
          </w:tcPr>
          <w:p w14:paraId="67A0311B" w14:textId="77777777" w:rsidR="002D0AE7" w:rsidRDefault="002D0AE7">
            <w:pPr>
              <w:jc w:val="right"/>
              <w:rPr>
                <w:rFonts w:ascii="Arial Narrow" w:hAnsi="Arial Narrow"/>
                <w:sz w:val="15"/>
                <w:szCs w:val="15"/>
              </w:rPr>
            </w:pPr>
          </w:p>
        </w:tc>
        <w:tc>
          <w:tcPr>
            <w:tcW w:w="132" w:type="pct"/>
            <w:vAlign w:val="center"/>
          </w:tcPr>
          <w:p w14:paraId="0788B80C" w14:textId="77777777" w:rsidR="002D0AE7" w:rsidRDefault="002D0AE7">
            <w:pPr>
              <w:jc w:val="right"/>
              <w:rPr>
                <w:rFonts w:ascii="Arial Narrow" w:hAnsi="Arial Narrow"/>
                <w:sz w:val="15"/>
                <w:szCs w:val="15"/>
              </w:rPr>
            </w:pPr>
          </w:p>
        </w:tc>
        <w:tc>
          <w:tcPr>
            <w:tcW w:w="407" w:type="pct"/>
            <w:vAlign w:val="center"/>
          </w:tcPr>
          <w:p w14:paraId="230952AB" w14:textId="77777777" w:rsidR="002D0AE7" w:rsidRDefault="002D0AE7">
            <w:pPr>
              <w:jc w:val="right"/>
              <w:rPr>
                <w:rFonts w:ascii="Arial Narrow" w:hAnsi="Arial Narrow"/>
                <w:sz w:val="15"/>
                <w:szCs w:val="15"/>
              </w:rPr>
            </w:pPr>
          </w:p>
        </w:tc>
        <w:tc>
          <w:tcPr>
            <w:tcW w:w="358" w:type="pct"/>
            <w:vAlign w:val="center"/>
          </w:tcPr>
          <w:p w14:paraId="37B52757" w14:textId="77777777" w:rsidR="002D0AE7" w:rsidRDefault="002D0AE7">
            <w:pPr>
              <w:jc w:val="right"/>
              <w:rPr>
                <w:rFonts w:ascii="Arial Narrow" w:hAnsi="Arial Narrow"/>
                <w:sz w:val="15"/>
                <w:szCs w:val="15"/>
              </w:rPr>
            </w:pPr>
          </w:p>
        </w:tc>
        <w:tc>
          <w:tcPr>
            <w:tcW w:w="398" w:type="pct"/>
            <w:vAlign w:val="center"/>
          </w:tcPr>
          <w:p w14:paraId="3BB2F771" w14:textId="77777777" w:rsidR="002D0AE7" w:rsidRDefault="002D0AE7">
            <w:pPr>
              <w:jc w:val="right"/>
              <w:rPr>
                <w:rFonts w:ascii="Arial Narrow" w:hAnsi="Arial Narrow"/>
                <w:sz w:val="15"/>
                <w:szCs w:val="15"/>
              </w:rPr>
            </w:pPr>
          </w:p>
        </w:tc>
      </w:tr>
      <w:tr w:rsidR="002D0AE7" w14:paraId="70845C6B" w14:textId="77777777">
        <w:trPr>
          <w:jc w:val="center"/>
        </w:trPr>
        <w:tc>
          <w:tcPr>
            <w:tcW w:w="634" w:type="pct"/>
            <w:vAlign w:val="center"/>
          </w:tcPr>
          <w:p w14:paraId="29B211F3" w14:textId="77777777" w:rsidR="002D0AE7" w:rsidRDefault="00333EBB">
            <w:pPr>
              <w:rPr>
                <w:rFonts w:hint="eastAsia"/>
                <w:color w:val="000000" w:themeColor="text1"/>
                <w:sz w:val="18"/>
                <w:szCs w:val="18"/>
              </w:rPr>
            </w:pPr>
            <w:r>
              <w:rPr>
                <w:color w:val="000000" w:themeColor="text1"/>
                <w:sz w:val="18"/>
                <w:szCs w:val="18"/>
              </w:rPr>
              <w:t>二、本年</w:t>
            </w:r>
            <w:r>
              <w:rPr>
                <w:rFonts w:hint="eastAsia"/>
                <w:color w:val="000000" w:themeColor="text1"/>
                <w:sz w:val="18"/>
                <w:szCs w:val="18"/>
              </w:rPr>
              <w:t>期</w:t>
            </w:r>
            <w:r>
              <w:rPr>
                <w:color w:val="000000" w:themeColor="text1"/>
                <w:sz w:val="18"/>
                <w:szCs w:val="18"/>
              </w:rPr>
              <w:t>初余额</w:t>
            </w:r>
          </w:p>
        </w:tc>
        <w:tc>
          <w:tcPr>
            <w:tcW w:w="404" w:type="pct"/>
            <w:vAlign w:val="center"/>
          </w:tcPr>
          <w:p w14:paraId="2F676594" w14:textId="77777777" w:rsidR="002D0AE7" w:rsidRDefault="00333EBB">
            <w:pPr>
              <w:jc w:val="right"/>
              <w:rPr>
                <w:rFonts w:ascii="Arial Narrow" w:hAnsi="Arial Narrow"/>
                <w:sz w:val="15"/>
                <w:szCs w:val="15"/>
              </w:rPr>
            </w:pPr>
            <w:r>
              <w:rPr>
                <w:rFonts w:ascii="Arial Narrow" w:hAnsi="Arial Narrow"/>
                <w:sz w:val="15"/>
                <w:szCs w:val="15"/>
              </w:rPr>
              <w:t>1,093,932,680.00</w:t>
            </w:r>
          </w:p>
        </w:tc>
        <w:tc>
          <w:tcPr>
            <w:tcW w:w="152" w:type="pct"/>
            <w:vAlign w:val="center"/>
          </w:tcPr>
          <w:p w14:paraId="2CB0B17D" w14:textId="77777777" w:rsidR="002D0AE7" w:rsidRDefault="002D0AE7">
            <w:pPr>
              <w:jc w:val="right"/>
              <w:rPr>
                <w:rFonts w:ascii="Arial Narrow" w:hAnsi="Arial Narrow"/>
                <w:sz w:val="15"/>
                <w:szCs w:val="15"/>
              </w:rPr>
            </w:pPr>
          </w:p>
        </w:tc>
        <w:tc>
          <w:tcPr>
            <w:tcW w:w="152" w:type="pct"/>
            <w:vAlign w:val="center"/>
          </w:tcPr>
          <w:p w14:paraId="1195D045" w14:textId="77777777" w:rsidR="002D0AE7" w:rsidRDefault="002D0AE7">
            <w:pPr>
              <w:jc w:val="right"/>
              <w:rPr>
                <w:rFonts w:ascii="Arial Narrow" w:hAnsi="Arial Narrow"/>
                <w:sz w:val="15"/>
                <w:szCs w:val="15"/>
              </w:rPr>
            </w:pPr>
          </w:p>
        </w:tc>
        <w:tc>
          <w:tcPr>
            <w:tcW w:w="152" w:type="pct"/>
            <w:vAlign w:val="center"/>
          </w:tcPr>
          <w:p w14:paraId="3B63A1F6" w14:textId="77777777" w:rsidR="002D0AE7" w:rsidRDefault="002D0AE7">
            <w:pPr>
              <w:jc w:val="right"/>
              <w:rPr>
                <w:rFonts w:ascii="Arial Narrow" w:hAnsi="Arial Narrow"/>
                <w:sz w:val="15"/>
                <w:szCs w:val="15"/>
              </w:rPr>
            </w:pPr>
          </w:p>
        </w:tc>
        <w:tc>
          <w:tcPr>
            <w:tcW w:w="358" w:type="pct"/>
            <w:vAlign w:val="center"/>
          </w:tcPr>
          <w:p w14:paraId="78492B5D" w14:textId="77777777" w:rsidR="002D0AE7" w:rsidRDefault="00333EBB">
            <w:pPr>
              <w:jc w:val="right"/>
              <w:rPr>
                <w:rFonts w:ascii="Arial Narrow" w:hAnsi="Arial Narrow"/>
                <w:sz w:val="15"/>
                <w:szCs w:val="15"/>
              </w:rPr>
            </w:pPr>
            <w:r>
              <w:rPr>
                <w:rFonts w:ascii="Arial Narrow" w:hAnsi="Arial Narrow"/>
                <w:sz w:val="15"/>
                <w:szCs w:val="15"/>
              </w:rPr>
              <w:t>322,190,215.52</w:t>
            </w:r>
          </w:p>
        </w:tc>
        <w:tc>
          <w:tcPr>
            <w:tcW w:w="312" w:type="pct"/>
            <w:vAlign w:val="center"/>
          </w:tcPr>
          <w:p w14:paraId="2A117630" w14:textId="77777777" w:rsidR="002D0AE7" w:rsidRDefault="00333EBB">
            <w:pPr>
              <w:jc w:val="right"/>
              <w:rPr>
                <w:rFonts w:ascii="Arial Narrow" w:hAnsi="Arial Narrow"/>
                <w:sz w:val="15"/>
                <w:szCs w:val="15"/>
              </w:rPr>
            </w:pPr>
            <w:r>
              <w:rPr>
                <w:rFonts w:ascii="Arial Narrow" w:hAnsi="Arial Narrow"/>
                <w:sz w:val="15"/>
                <w:szCs w:val="15"/>
              </w:rPr>
              <w:t>4,726,260.00</w:t>
            </w:r>
          </w:p>
        </w:tc>
        <w:tc>
          <w:tcPr>
            <w:tcW w:w="334" w:type="pct"/>
            <w:vAlign w:val="center"/>
          </w:tcPr>
          <w:p w14:paraId="7AEFDC63" w14:textId="77777777" w:rsidR="002D0AE7" w:rsidRDefault="00333EBB">
            <w:pPr>
              <w:jc w:val="right"/>
              <w:rPr>
                <w:rFonts w:ascii="Arial Narrow" w:hAnsi="Arial Narrow"/>
                <w:sz w:val="15"/>
                <w:szCs w:val="15"/>
              </w:rPr>
            </w:pPr>
            <w:r>
              <w:rPr>
                <w:rFonts w:ascii="Arial Narrow" w:hAnsi="Arial Narrow"/>
                <w:sz w:val="15"/>
                <w:szCs w:val="15"/>
              </w:rPr>
              <w:t>46,953,380.24</w:t>
            </w:r>
          </w:p>
        </w:tc>
        <w:tc>
          <w:tcPr>
            <w:tcW w:w="312" w:type="pct"/>
            <w:vAlign w:val="center"/>
          </w:tcPr>
          <w:p w14:paraId="5EE6B0B5"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8" w:type="pct"/>
            <w:vAlign w:val="center"/>
          </w:tcPr>
          <w:p w14:paraId="5315FB93" w14:textId="77777777" w:rsidR="002D0AE7" w:rsidRDefault="00333EBB">
            <w:pPr>
              <w:jc w:val="right"/>
              <w:rPr>
                <w:rFonts w:ascii="Arial Narrow" w:hAnsi="Arial Narrow"/>
                <w:sz w:val="15"/>
                <w:szCs w:val="15"/>
              </w:rPr>
            </w:pPr>
            <w:r>
              <w:rPr>
                <w:rFonts w:ascii="Arial Narrow" w:hAnsi="Arial Narrow"/>
                <w:sz w:val="15"/>
                <w:szCs w:val="15"/>
              </w:rPr>
              <w:t>237,483,087.40</w:t>
            </w:r>
          </w:p>
        </w:tc>
        <w:tc>
          <w:tcPr>
            <w:tcW w:w="132" w:type="pct"/>
            <w:vAlign w:val="center"/>
          </w:tcPr>
          <w:p w14:paraId="0D611EDB" w14:textId="77777777" w:rsidR="002D0AE7" w:rsidRDefault="002D0AE7">
            <w:pPr>
              <w:jc w:val="right"/>
              <w:rPr>
                <w:rFonts w:ascii="Arial Narrow" w:hAnsi="Arial Narrow"/>
                <w:sz w:val="15"/>
                <w:szCs w:val="15"/>
              </w:rPr>
            </w:pPr>
          </w:p>
        </w:tc>
        <w:tc>
          <w:tcPr>
            <w:tcW w:w="405" w:type="pct"/>
            <w:vAlign w:val="center"/>
          </w:tcPr>
          <w:p w14:paraId="61E972FA" w14:textId="77777777" w:rsidR="002D0AE7" w:rsidRDefault="00333EBB">
            <w:pPr>
              <w:jc w:val="right"/>
              <w:rPr>
                <w:rFonts w:ascii="Arial Narrow" w:hAnsi="Arial Narrow"/>
                <w:sz w:val="15"/>
                <w:szCs w:val="15"/>
              </w:rPr>
            </w:pPr>
            <w:r>
              <w:rPr>
                <w:rFonts w:ascii="Arial Narrow" w:hAnsi="Arial Narrow"/>
                <w:sz w:val="15"/>
                <w:szCs w:val="15"/>
              </w:rPr>
              <w:t>1,257,721,088.14</w:t>
            </w:r>
          </w:p>
        </w:tc>
        <w:tc>
          <w:tcPr>
            <w:tcW w:w="132" w:type="pct"/>
            <w:vAlign w:val="center"/>
          </w:tcPr>
          <w:p w14:paraId="53ECBC3B" w14:textId="77777777" w:rsidR="002D0AE7" w:rsidRDefault="002D0AE7">
            <w:pPr>
              <w:jc w:val="right"/>
              <w:rPr>
                <w:rFonts w:ascii="Arial Narrow" w:hAnsi="Arial Narrow"/>
                <w:sz w:val="15"/>
                <w:szCs w:val="15"/>
              </w:rPr>
            </w:pPr>
          </w:p>
        </w:tc>
        <w:tc>
          <w:tcPr>
            <w:tcW w:w="407" w:type="pct"/>
            <w:vAlign w:val="center"/>
          </w:tcPr>
          <w:p w14:paraId="3BFE145A" w14:textId="77777777" w:rsidR="002D0AE7" w:rsidRDefault="00333EBB">
            <w:pPr>
              <w:jc w:val="right"/>
              <w:rPr>
                <w:rFonts w:ascii="Arial Narrow" w:hAnsi="Arial Narrow"/>
                <w:sz w:val="15"/>
                <w:szCs w:val="15"/>
              </w:rPr>
            </w:pPr>
            <w:r>
              <w:rPr>
                <w:rFonts w:ascii="Arial Narrow" w:hAnsi="Arial Narrow"/>
                <w:sz w:val="15"/>
                <w:szCs w:val="15"/>
              </w:rPr>
              <w:t>2,953,554,191.30</w:t>
            </w:r>
          </w:p>
        </w:tc>
        <w:tc>
          <w:tcPr>
            <w:tcW w:w="358" w:type="pct"/>
            <w:vAlign w:val="center"/>
          </w:tcPr>
          <w:p w14:paraId="1D5F9046" w14:textId="77777777" w:rsidR="002D0AE7" w:rsidRDefault="00333EBB">
            <w:pPr>
              <w:jc w:val="right"/>
              <w:rPr>
                <w:rFonts w:ascii="Arial Narrow" w:hAnsi="Arial Narrow"/>
                <w:sz w:val="15"/>
                <w:szCs w:val="15"/>
              </w:rPr>
            </w:pPr>
            <w:r>
              <w:rPr>
                <w:rFonts w:ascii="Arial Narrow" w:hAnsi="Arial Narrow"/>
                <w:sz w:val="15"/>
                <w:szCs w:val="15"/>
              </w:rPr>
              <w:t>799,749,747.41</w:t>
            </w:r>
          </w:p>
        </w:tc>
        <w:tc>
          <w:tcPr>
            <w:tcW w:w="398" w:type="pct"/>
            <w:vAlign w:val="center"/>
          </w:tcPr>
          <w:p w14:paraId="762E7D28" w14:textId="77777777" w:rsidR="002D0AE7" w:rsidRDefault="00333EBB">
            <w:pPr>
              <w:jc w:val="right"/>
              <w:rPr>
                <w:rFonts w:ascii="Arial Narrow" w:hAnsi="Arial Narrow"/>
                <w:sz w:val="15"/>
                <w:szCs w:val="15"/>
              </w:rPr>
            </w:pPr>
            <w:r>
              <w:rPr>
                <w:rFonts w:ascii="Arial Narrow" w:hAnsi="Arial Narrow"/>
                <w:sz w:val="15"/>
                <w:szCs w:val="15"/>
              </w:rPr>
              <w:t>3,753,303,938.71</w:t>
            </w:r>
          </w:p>
        </w:tc>
      </w:tr>
      <w:tr w:rsidR="002D0AE7" w14:paraId="62BA90C3" w14:textId="77777777">
        <w:trPr>
          <w:jc w:val="center"/>
        </w:trPr>
        <w:tc>
          <w:tcPr>
            <w:tcW w:w="634" w:type="pct"/>
            <w:vAlign w:val="center"/>
          </w:tcPr>
          <w:p w14:paraId="20DA5C80" w14:textId="77777777" w:rsidR="002D0AE7" w:rsidRDefault="00333EBB">
            <w:pPr>
              <w:rPr>
                <w:rFonts w:hint="eastAsia"/>
                <w:color w:val="000000" w:themeColor="text1"/>
                <w:sz w:val="18"/>
                <w:szCs w:val="18"/>
              </w:rPr>
            </w:pPr>
            <w:r>
              <w:rPr>
                <w:color w:val="000000" w:themeColor="text1"/>
                <w:sz w:val="18"/>
                <w:szCs w:val="18"/>
              </w:rPr>
              <w:t>三、本</w:t>
            </w:r>
            <w:r>
              <w:rPr>
                <w:rFonts w:hint="eastAsia"/>
                <w:color w:val="000000" w:themeColor="text1"/>
                <w:sz w:val="18"/>
                <w:szCs w:val="18"/>
              </w:rPr>
              <w:t>期</w:t>
            </w:r>
            <w:r>
              <w:rPr>
                <w:color w:val="000000" w:themeColor="text1"/>
                <w:sz w:val="18"/>
                <w:szCs w:val="18"/>
              </w:rPr>
              <w:t>增减变动金额（减少以</w:t>
            </w:r>
            <w:r>
              <w:rPr>
                <w:color w:val="000000" w:themeColor="text1"/>
                <w:sz w:val="18"/>
                <w:szCs w:val="18"/>
              </w:rPr>
              <w:t>“</w:t>
            </w:r>
            <w:r>
              <w:rPr>
                <w:color w:val="000000" w:themeColor="text1"/>
                <w:sz w:val="18"/>
                <w:szCs w:val="18"/>
              </w:rPr>
              <w:t>－</w:t>
            </w:r>
            <w:r>
              <w:rPr>
                <w:color w:val="000000" w:themeColor="text1"/>
                <w:sz w:val="18"/>
                <w:szCs w:val="18"/>
              </w:rPr>
              <w:t>”</w:t>
            </w:r>
            <w:r>
              <w:rPr>
                <w:color w:val="000000" w:themeColor="text1"/>
                <w:sz w:val="18"/>
                <w:szCs w:val="18"/>
              </w:rPr>
              <w:t>号填列）</w:t>
            </w:r>
          </w:p>
        </w:tc>
        <w:tc>
          <w:tcPr>
            <w:tcW w:w="404" w:type="pct"/>
            <w:vAlign w:val="center"/>
          </w:tcPr>
          <w:p w14:paraId="741B5611"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57C1B386"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3D110481"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50E6A71F"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8" w:type="pct"/>
            <w:vAlign w:val="center"/>
          </w:tcPr>
          <w:p w14:paraId="3BA63D6F" w14:textId="77777777" w:rsidR="002D0AE7" w:rsidRDefault="00333EBB">
            <w:pPr>
              <w:jc w:val="right"/>
              <w:rPr>
                <w:rFonts w:ascii="Arial Narrow" w:hAnsi="Arial Narrow"/>
                <w:sz w:val="15"/>
                <w:szCs w:val="15"/>
              </w:rPr>
            </w:pPr>
            <w:r>
              <w:rPr>
                <w:rFonts w:ascii="Arial Narrow" w:hAnsi="Arial Narrow"/>
                <w:sz w:val="15"/>
                <w:szCs w:val="15"/>
              </w:rPr>
              <w:t>0.00</w:t>
            </w:r>
          </w:p>
        </w:tc>
        <w:tc>
          <w:tcPr>
            <w:tcW w:w="312" w:type="pct"/>
            <w:vAlign w:val="center"/>
          </w:tcPr>
          <w:p w14:paraId="738F97C0" w14:textId="77777777" w:rsidR="002D0AE7" w:rsidRDefault="00333EBB">
            <w:pPr>
              <w:jc w:val="right"/>
              <w:rPr>
                <w:rFonts w:ascii="Arial Narrow" w:hAnsi="Arial Narrow"/>
                <w:sz w:val="15"/>
                <w:szCs w:val="15"/>
              </w:rPr>
            </w:pPr>
            <w:r>
              <w:rPr>
                <w:rFonts w:ascii="Arial Narrow" w:hAnsi="Arial Narrow"/>
                <w:sz w:val="15"/>
                <w:szCs w:val="15"/>
              </w:rPr>
              <w:t>0.00</w:t>
            </w:r>
          </w:p>
        </w:tc>
        <w:tc>
          <w:tcPr>
            <w:tcW w:w="334" w:type="pct"/>
            <w:vAlign w:val="center"/>
          </w:tcPr>
          <w:p w14:paraId="66BD8514" w14:textId="77777777" w:rsidR="002D0AE7" w:rsidRDefault="00333EBB">
            <w:pPr>
              <w:jc w:val="right"/>
              <w:rPr>
                <w:rFonts w:ascii="Arial Narrow" w:hAnsi="Arial Narrow"/>
                <w:sz w:val="15"/>
                <w:szCs w:val="15"/>
              </w:rPr>
            </w:pPr>
            <w:r>
              <w:rPr>
                <w:rFonts w:ascii="Arial Narrow" w:hAnsi="Arial Narrow"/>
                <w:sz w:val="15"/>
                <w:szCs w:val="15"/>
              </w:rPr>
              <w:t>2,704,989.90</w:t>
            </w:r>
          </w:p>
        </w:tc>
        <w:tc>
          <w:tcPr>
            <w:tcW w:w="312" w:type="pct"/>
            <w:vAlign w:val="center"/>
          </w:tcPr>
          <w:p w14:paraId="0FA73280" w14:textId="77777777" w:rsidR="002D0AE7" w:rsidRDefault="00333EBB">
            <w:pPr>
              <w:jc w:val="right"/>
              <w:rPr>
                <w:rFonts w:ascii="Arial Narrow" w:hAnsi="Arial Narrow"/>
                <w:sz w:val="15"/>
                <w:szCs w:val="15"/>
              </w:rPr>
            </w:pPr>
            <w:r>
              <w:rPr>
                <w:rFonts w:ascii="Arial Narrow" w:hAnsi="Arial Narrow"/>
                <w:sz w:val="15"/>
                <w:szCs w:val="15"/>
              </w:rPr>
              <w:t>1,199,938.05</w:t>
            </w:r>
          </w:p>
        </w:tc>
        <w:tc>
          <w:tcPr>
            <w:tcW w:w="358" w:type="pct"/>
            <w:vAlign w:val="center"/>
          </w:tcPr>
          <w:p w14:paraId="1C491100" w14:textId="77777777" w:rsidR="002D0AE7" w:rsidRDefault="00333EBB">
            <w:pPr>
              <w:jc w:val="right"/>
              <w:rPr>
                <w:rFonts w:ascii="Arial Narrow" w:hAnsi="Arial Narrow"/>
                <w:sz w:val="15"/>
                <w:szCs w:val="15"/>
              </w:rPr>
            </w:pPr>
            <w:r>
              <w:rPr>
                <w:rFonts w:ascii="Arial Narrow" w:hAnsi="Arial Narrow"/>
                <w:sz w:val="15"/>
                <w:szCs w:val="15"/>
              </w:rPr>
              <w:t>10,934,856.45</w:t>
            </w:r>
          </w:p>
        </w:tc>
        <w:tc>
          <w:tcPr>
            <w:tcW w:w="132" w:type="pct"/>
            <w:vAlign w:val="center"/>
          </w:tcPr>
          <w:p w14:paraId="3A1DDED4" w14:textId="77777777" w:rsidR="002D0AE7" w:rsidRDefault="002D0AE7">
            <w:pPr>
              <w:jc w:val="right"/>
              <w:rPr>
                <w:rFonts w:ascii="Arial Narrow" w:hAnsi="Arial Narrow"/>
                <w:sz w:val="15"/>
                <w:szCs w:val="15"/>
              </w:rPr>
            </w:pPr>
          </w:p>
        </w:tc>
        <w:tc>
          <w:tcPr>
            <w:tcW w:w="405" w:type="pct"/>
            <w:vAlign w:val="center"/>
          </w:tcPr>
          <w:p w14:paraId="26FA3CD7" w14:textId="77777777" w:rsidR="002D0AE7" w:rsidRDefault="00333EBB">
            <w:pPr>
              <w:jc w:val="right"/>
              <w:rPr>
                <w:rFonts w:ascii="Arial Narrow" w:hAnsi="Arial Narrow"/>
                <w:sz w:val="15"/>
                <w:szCs w:val="15"/>
              </w:rPr>
            </w:pPr>
            <w:r>
              <w:rPr>
                <w:rFonts w:ascii="Arial Narrow" w:hAnsi="Arial Narrow"/>
                <w:sz w:val="15"/>
                <w:szCs w:val="15"/>
              </w:rPr>
              <w:t>35,913,246.78</w:t>
            </w:r>
          </w:p>
        </w:tc>
        <w:tc>
          <w:tcPr>
            <w:tcW w:w="132" w:type="pct"/>
            <w:vAlign w:val="center"/>
          </w:tcPr>
          <w:p w14:paraId="68FCC511" w14:textId="77777777" w:rsidR="002D0AE7" w:rsidRDefault="002D0AE7">
            <w:pPr>
              <w:jc w:val="right"/>
              <w:rPr>
                <w:rFonts w:ascii="Arial Narrow" w:hAnsi="Arial Narrow"/>
                <w:sz w:val="15"/>
                <w:szCs w:val="15"/>
              </w:rPr>
            </w:pPr>
          </w:p>
        </w:tc>
        <w:tc>
          <w:tcPr>
            <w:tcW w:w="407" w:type="pct"/>
            <w:vAlign w:val="center"/>
          </w:tcPr>
          <w:p w14:paraId="44210986" w14:textId="77777777" w:rsidR="002D0AE7" w:rsidRDefault="00333EBB">
            <w:pPr>
              <w:jc w:val="right"/>
              <w:rPr>
                <w:rFonts w:ascii="Arial Narrow" w:hAnsi="Arial Narrow"/>
                <w:sz w:val="15"/>
                <w:szCs w:val="15"/>
              </w:rPr>
            </w:pPr>
            <w:r>
              <w:rPr>
                <w:rFonts w:ascii="Arial Narrow" w:hAnsi="Arial Narrow"/>
                <w:sz w:val="15"/>
                <w:szCs w:val="15"/>
              </w:rPr>
              <w:t>50,753,031.18</w:t>
            </w:r>
          </w:p>
        </w:tc>
        <w:tc>
          <w:tcPr>
            <w:tcW w:w="358" w:type="pct"/>
            <w:vAlign w:val="center"/>
          </w:tcPr>
          <w:p w14:paraId="4277262F" w14:textId="77777777" w:rsidR="002D0AE7" w:rsidRDefault="00333EBB">
            <w:pPr>
              <w:jc w:val="right"/>
              <w:rPr>
                <w:rFonts w:ascii="Arial Narrow" w:hAnsi="Arial Narrow"/>
                <w:sz w:val="15"/>
                <w:szCs w:val="15"/>
              </w:rPr>
            </w:pPr>
            <w:r>
              <w:rPr>
                <w:rFonts w:ascii="Arial Narrow" w:hAnsi="Arial Narrow"/>
                <w:sz w:val="15"/>
                <w:szCs w:val="15"/>
              </w:rPr>
              <w:t>34,942,604.91</w:t>
            </w:r>
          </w:p>
        </w:tc>
        <w:tc>
          <w:tcPr>
            <w:tcW w:w="398" w:type="pct"/>
            <w:vAlign w:val="center"/>
          </w:tcPr>
          <w:p w14:paraId="70009E01" w14:textId="77777777" w:rsidR="002D0AE7" w:rsidRDefault="00333EBB">
            <w:pPr>
              <w:jc w:val="right"/>
              <w:rPr>
                <w:rFonts w:ascii="Arial Narrow" w:hAnsi="Arial Narrow"/>
                <w:sz w:val="15"/>
                <w:szCs w:val="15"/>
              </w:rPr>
            </w:pPr>
            <w:r>
              <w:rPr>
                <w:rFonts w:ascii="Arial Narrow" w:hAnsi="Arial Narrow"/>
                <w:sz w:val="15"/>
                <w:szCs w:val="15"/>
              </w:rPr>
              <w:t>85,695,636.09</w:t>
            </w:r>
          </w:p>
        </w:tc>
      </w:tr>
      <w:tr w:rsidR="002D0AE7" w14:paraId="34101EA6" w14:textId="77777777">
        <w:trPr>
          <w:jc w:val="center"/>
        </w:trPr>
        <w:tc>
          <w:tcPr>
            <w:tcW w:w="634" w:type="pct"/>
            <w:vAlign w:val="center"/>
          </w:tcPr>
          <w:p w14:paraId="2A50612F" w14:textId="77777777" w:rsidR="002D0AE7" w:rsidRDefault="00333EBB">
            <w:pPr>
              <w:rPr>
                <w:rFonts w:hint="eastAsia"/>
                <w:color w:val="000000" w:themeColor="text1"/>
                <w:sz w:val="18"/>
                <w:szCs w:val="18"/>
              </w:rPr>
            </w:pPr>
            <w:r>
              <w:rPr>
                <w:rFonts w:hint="eastAsia"/>
                <w:color w:val="000000" w:themeColor="text1"/>
                <w:sz w:val="18"/>
                <w:szCs w:val="18"/>
              </w:rPr>
              <w:t>（一）综合收益总额</w:t>
            </w:r>
          </w:p>
        </w:tc>
        <w:tc>
          <w:tcPr>
            <w:tcW w:w="404" w:type="pct"/>
            <w:vAlign w:val="center"/>
          </w:tcPr>
          <w:p w14:paraId="68AD0178" w14:textId="77777777" w:rsidR="002D0AE7" w:rsidRDefault="00333EBB">
            <w:pPr>
              <w:jc w:val="right"/>
              <w:rPr>
                <w:rFonts w:ascii="Arial Narrow" w:hAnsi="Arial Narrow"/>
                <w:sz w:val="15"/>
                <w:szCs w:val="15"/>
              </w:rPr>
            </w:pPr>
            <w:r>
              <w:rPr>
                <w:rFonts w:ascii="Arial Narrow" w:hAnsi="Arial Narrow" w:hint="eastAsia"/>
                <w:sz w:val="15"/>
                <w:szCs w:val="15"/>
              </w:rPr>
              <w:t>0</w:t>
            </w:r>
            <w:r>
              <w:rPr>
                <w:rFonts w:ascii="Arial Narrow" w:hAnsi="Arial Narrow"/>
                <w:sz w:val="15"/>
                <w:szCs w:val="15"/>
              </w:rPr>
              <w:t>.00</w:t>
            </w:r>
          </w:p>
        </w:tc>
        <w:tc>
          <w:tcPr>
            <w:tcW w:w="152" w:type="pct"/>
            <w:vAlign w:val="center"/>
          </w:tcPr>
          <w:p w14:paraId="501E37AD"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324AD4F2"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7BD80D5F"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8" w:type="pct"/>
            <w:vAlign w:val="center"/>
          </w:tcPr>
          <w:p w14:paraId="2A85DDF7" w14:textId="77777777" w:rsidR="002D0AE7" w:rsidRDefault="00333EBB">
            <w:pPr>
              <w:jc w:val="right"/>
              <w:rPr>
                <w:rFonts w:ascii="Arial Narrow" w:hAnsi="Arial Narrow"/>
                <w:sz w:val="15"/>
                <w:szCs w:val="15"/>
              </w:rPr>
            </w:pPr>
            <w:r>
              <w:rPr>
                <w:rFonts w:ascii="Arial Narrow" w:hAnsi="Arial Narrow"/>
                <w:sz w:val="15"/>
                <w:szCs w:val="15"/>
              </w:rPr>
              <w:t>0.00</w:t>
            </w:r>
          </w:p>
        </w:tc>
        <w:tc>
          <w:tcPr>
            <w:tcW w:w="312" w:type="pct"/>
            <w:vAlign w:val="center"/>
          </w:tcPr>
          <w:p w14:paraId="6CA1084C" w14:textId="77777777" w:rsidR="002D0AE7" w:rsidRDefault="00333EBB">
            <w:pPr>
              <w:jc w:val="right"/>
              <w:rPr>
                <w:rFonts w:ascii="Arial Narrow" w:hAnsi="Arial Narrow"/>
                <w:sz w:val="15"/>
                <w:szCs w:val="15"/>
              </w:rPr>
            </w:pPr>
            <w:r>
              <w:rPr>
                <w:rFonts w:ascii="Arial Narrow" w:hAnsi="Arial Narrow"/>
                <w:sz w:val="15"/>
                <w:szCs w:val="15"/>
              </w:rPr>
              <w:t>0.00</w:t>
            </w:r>
          </w:p>
        </w:tc>
        <w:tc>
          <w:tcPr>
            <w:tcW w:w="334" w:type="pct"/>
            <w:vAlign w:val="center"/>
          </w:tcPr>
          <w:p w14:paraId="78C834F5" w14:textId="77777777" w:rsidR="002D0AE7" w:rsidRDefault="00333EBB">
            <w:pPr>
              <w:jc w:val="right"/>
              <w:rPr>
                <w:rFonts w:ascii="Arial Narrow" w:hAnsi="Arial Narrow"/>
                <w:sz w:val="15"/>
                <w:szCs w:val="15"/>
              </w:rPr>
            </w:pPr>
            <w:r>
              <w:rPr>
                <w:rFonts w:ascii="Arial Narrow" w:hAnsi="Arial Narrow"/>
                <w:sz w:val="15"/>
                <w:szCs w:val="15"/>
              </w:rPr>
              <w:t>2,704,989.90</w:t>
            </w:r>
          </w:p>
        </w:tc>
        <w:tc>
          <w:tcPr>
            <w:tcW w:w="312" w:type="pct"/>
            <w:vAlign w:val="center"/>
          </w:tcPr>
          <w:p w14:paraId="33A483D4"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8" w:type="pct"/>
            <w:vAlign w:val="center"/>
          </w:tcPr>
          <w:p w14:paraId="49623A5A" w14:textId="77777777" w:rsidR="002D0AE7" w:rsidRDefault="00333EBB">
            <w:pPr>
              <w:jc w:val="right"/>
              <w:rPr>
                <w:rFonts w:ascii="Arial Narrow" w:hAnsi="Arial Narrow"/>
                <w:sz w:val="15"/>
                <w:szCs w:val="15"/>
              </w:rPr>
            </w:pPr>
            <w:r>
              <w:rPr>
                <w:rFonts w:ascii="Arial Narrow" w:hAnsi="Arial Narrow"/>
                <w:sz w:val="15"/>
                <w:szCs w:val="15"/>
              </w:rPr>
              <w:t>0.00</w:t>
            </w:r>
          </w:p>
        </w:tc>
        <w:tc>
          <w:tcPr>
            <w:tcW w:w="132" w:type="pct"/>
            <w:vAlign w:val="center"/>
          </w:tcPr>
          <w:p w14:paraId="58655C78" w14:textId="77777777" w:rsidR="002D0AE7" w:rsidRDefault="002D0AE7">
            <w:pPr>
              <w:jc w:val="right"/>
              <w:rPr>
                <w:rFonts w:ascii="Arial Narrow" w:hAnsi="Arial Narrow"/>
                <w:sz w:val="15"/>
                <w:szCs w:val="15"/>
              </w:rPr>
            </w:pPr>
          </w:p>
        </w:tc>
        <w:tc>
          <w:tcPr>
            <w:tcW w:w="405" w:type="pct"/>
            <w:vAlign w:val="center"/>
          </w:tcPr>
          <w:p w14:paraId="43995643" w14:textId="77777777" w:rsidR="002D0AE7" w:rsidRDefault="00333EBB">
            <w:pPr>
              <w:jc w:val="right"/>
              <w:rPr>
                <w:rFonts w:ascii="Arial Narrow" w:hAnsi="Arial Narrow"/>
                <w:sz w:val="15"/>
                <w:szCs w:val="15"/>
              </w:rPr>
            </w:pPr>
            <w:r>
              <w:rPr>
                <w:rFonts w:ascii="Arial Narrow" w:hAnsi="Arial Narrow"/>
                <w:sz w:val="15"/>
                <w:szCs w:val="15"/>
              </w:rPr>
              <w:t>142,020,246.39</w:t>
            </w:r>
          </w:p>
        </w:tc>
        <w:tc>
          <w:tcPr>
            <w:tcW w:w="132" w:type="pct"/>
            <w:vAlign w:val="center"/>
          </w:tcPr>
          <w:p w14:paraId="6C8F2D0B" w14:textId="77777777" w:rsidR="002D0AE7" w:rsidRDefault="002D0AE7">
            <w:pPr>
              <w:jc w:val="right"/>
              <w:rPr>
                <w:rFonts w:ascii="Arial Narrow" w:hAnsi="Arial Narrow"/>
                <w:sz w:val="15"/>
                <w:szCs w:val="15"/>
              </w:rPr>
            </w:pPr>
          </w:p>
        </w:tc>
        <w:tc>
          <w:tcPr>
            <w:tcW w:w="407" w:type="pct"/>
            <w:vAlign w:val="center"/>
          </w:tcPr>
          <w:p w14:paraId="4BBFDDA1" w14:textId="77777777" w:rsidR="002D0AE7" w:rsidRDefault="00333EBB">
            <w:pPr>
              <w:jc w:val="right"/>
              <w:rPr>
                <w:rFonts w:ascii="Arial Narrow" w:hAnsi="Arial Narrow"/>
                <w:sz w:val="15"/>
                <w:szCs w:val="15"/>
              </w:rPr>
            </w:pPr>
            <w:r>
              <w:rPr>
                <w:rFonts w:ascii="Arial Narrow" w:hAnsi="Arial Narrow"/>
                <w:sz w:val="15"/>
                <w:szCs w:val="15"/>
              </w:rPr>
              <w:t>144,725,236.29</w:t>
            </w:r>
          </w:p>
        </w:tc>
        <w:tc>
          <w:tcPr>
            <w:tcW w:w="358" w:type="pct"/>
            <w:vAlign w:val="center"/>
          </w:tcPr>
          <w:p w14:paraId="1AA65337" w14:textId="77777777" w:rsidR="002D0AE7" w:rsidRDefault="00333EBB">
            <w:pPr>
              <w:jc w:val="right"/>
              <w:rPr>
                <w:rFonts w:ascii="Arial Narrow" w:hAnsi="Arial Narrow"/>
                <w:sz w:val="15"/>
                <w:szCs w:val="15"/>
              </w:rPr>
            </w:pPr>
            <w:r>
              <w:rPr>
                <w:rFonts w:ascii="Arial Narrow" w:hAnsi="Arial Narrow"/>
                <w:sz w:val="15"/>
                <w:szCs w:val="15"/>
              </w:rPr>
              <w:t>35,382,763.82</w:t>
            </w:r>
          </w:p>
        </w:tc>
        <w:tc>
          <w:tcPr>
            <w:tcW w:w="398" w:type="pct"/>
            <w:vAlign w:val="center"/>
          </w:tcPr>
          <w:p w14:paraId="79D323C4" w14:textId="77777777" w:rsidR="002D0AE7" w:rsidRDefault="00333EBB">
            <w:pPr>
              <w:jc w:val="right"/>
              <w:rPr>
                <w:rFonts w:ascii="Arial Narrow" w:hAnsi="Arial Narrow"/>
                <w:sz w:val="15"/>
                <w:szCs w:val="15"/>
              </w:rPr>
            </w:pPr>
            <w:r>
              <w:rPr>
                <w:rFonts w:ascii="Arial Narrow" w:hAnsi="Arial Narrow"/>
                <w:sz w:val="15"/>
                <w:szCs w:val="15"/>
              </w:rPr>
              <w:t>180,108,000.11</w:t>
            </w:r>
          </w:p>
        </w:tc>
      </w:tr>
      <w:tr w:rsidR="002D0AE7" w14:paraId="02E3FB29" w14:textId="77777777">
        <w:trPr>
          <w:jc w:val="center"/>
        </w:trPr>
        <w:tc>
          <w:tcPr>
            <w:tcW w:w="634" w:type="pct"/>
            <w:vAlign w:val="center"/>
          </w:tcPr>
          <w:p w14:paraId="6974974D" w14:textId="77777777" w:rsidR="002D0AE7" w:rsidRDefault="00333EBB">
            <w:pPr>
              <w:rPr>
                <w:rFonts w:hint="eastAsia"/>
                <w:color w:val="000000" w:themeColor="text1"/>
                <w:sz w:val="18"/>
                <w:szCs w:val="18"/>
              </w:rPr>
            </w:pPr>
            <w:r>
              <w:rPr>
                <w:color w:val="000000" w:themeColor="text1"/>
                <w:sz w:val="18"/>
                <w:szCs w:val="18"/>
              </w:rPr>
              <w:t>（</w:t>
            </w:r>
            <w:r>
              <w:rPr>
                <w:rFonts w:hint="eastAsia"/>
                <w:color w:val="000000" w:themeColor="text1"/>
                <w:sz w:val="18"/>
                <w:szCs w:val="18"/>
              </w:rPr>
              <w:t>二</w:t>
            </w:r>
            <w:r>
              <w:rPr>
                <w:color w:val="000000" w:themeColor="text1"/>
                <w:sz w:val="18"/>
                <w:szCs w:val="18"/>
              </w:rPr>
              <w:t>）所有者投入和减少资本</w:t>
            </w:r>
          </w:p>
        </w:tc>
        <w:tc>
          <w:tcPr>
            <w:tcW w:w="404" w:type="pct"/>
            <w:vAlign w:val="center"/>
          </w:tcPr>
          <w:p w14:paraId="38DD4C60"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1CC7CBD4"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37E34C66"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25F6AA5E"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8" w:type="pct"/>
            <w:vAlign w:val="center"/>
          </w:tcPr>
          <w:p w14:paraId="02F28C4D" w14:textId="77777777" w:rsidR="002D0AE7" w:rsidRDefault="00333EBB">
            <w:pPr>
              <w:jc w:val="right"/>
              <w:rPr>
                <w:rFonts w:ascii="Arial Narrow" w:hAnsi="Arial Narrow"/>
                <w:sz w:val="15"/>
                <w:szCs w:val="15"/>
              </w:rPr>
            </w:pPr>
            <w:r>
              <w:rPr>
                <w:rFonts w:ascii="Arial Narrow" w:hAnsi="Arial Narrow"/>
                <w:sz w:val="15"/>
                <w:szCs w:val="15"/>
              </w:rPr>
              <w:t>0.00</w:t>
            </w:r>
          </w:p>
        </w:tc>
        <w:tc>
          <w:tcPr>
            <w:tcW w:w="312" w:type="pct"/>
            <w:vAlign w:val="center"/>
          </w:tcPr>
          <w:p w14:paraId="2DFD29A2" w14:textId="77777777" w:rsidR="002D0AE7" w:rsidRDefault="00333EBB">
            <w:pPr>
              <w:jc w:val="right"/>
              <w:rPr>
                <w:rFonts w:ascii="Arial Narrow" w:hAnsi="Arial Narrow"/>
                <w:sz w:val="15"/>
                <w:szCs w:val="15"/>
              </w:rPr>
            </w:pPr>
            <w:r>
              <w:rPr>
                <w:rFonts w:ascii="Arial Narrow" w:hAnsi="Arial Narrow"/>
                <w:sz w:val="15"/>
                <w:szCs w:val="15"/>
              </w:rPr>
              <w:t>0.00</w:t>
            </w:r>
          </w:p>
        </w:tc>
        <w:tc>
          <w:tcPr>
            <w:tcW w:w="334" w:type="pct"/>
            <w:vAlign w:val="center"/>
          </w:tcPr>
          <w:p w14:paraId="64330684" w14:textId="77777777" w:rsidR="002D0AE7" w:rsidRDefault="00333EBB">
            <w:pPr>
              <w:jc w:val="right"/>
              <w:rPr>
                <w:rFonts w:ascii="Arial Narrow" w:hAnsi="Arial Narrow"/>
                <w:sz w:val="15"/>
                <w:szCs w:val="15"/>
              </w:rPr>
            </w:pPr>
            <w:r>
              <w:rPr>
                <w:rFonts w:ascii="Arial Narrow" w:hAnsi="Arial Narrow"/>
                <w:sz w:val="15"/>
                <w:szCs w:val="15"/>
              </w:rPr>
              <w:t>0.00</w:t>
            </w:r>
          </w:p>
        </w:tc>
        <w:tc>
          <w:tcPr>
            <w:tcW w:w="312" w:type="pct"/>
            <w:vAlign w:val="center"/>
          </w:tcPr>
          <w:p w14:paraId="148DDE8E"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8" w:type="pct"/>
            <w:vAlign w:val="center"/>
          </w:tcPr>
          <w:p w14:paraId="219FB6F1" w14:textId="77777777" w:rsidR="002D0AE7" w:rsidRDefault="00333EBB">
            <w:pPr>
              <w:jc w:val="right"/>
              <w:rPr>
                <w:rFonts w:ascii="Arial Narrow" w:hAnsi="Arial Narrow"/>
                <w:sz w:val="15"/>
                <w:szCs w:val="15"/>
              </w:rPr>
            </w:pPr>
            <w:r>
              <w:rPr>
                <w:rFonts w:ascii="Arial Narrow" w:hAnsi="Arial Narrow"/>
                <w:sz w:val="15"/>
                <w:szCs w:val="15"/>
              </w:rPr>
              <w:t>0.00</w:t>
            </w:r>
          </w:p>
        </w:tc>
        <w:tc>
          <w:tcPr>
            <w:tcW w:w="132" w:type="pct"/>
            <w:vAlign w:val="center"/>
          </w:tcPr>
          <w:p w14:paraId="073A0EBA" w14:textId="77777777" w:rsidR="002D0AE7" w:rsidRDefault="002D0AE7">
            <w:pPr>
              <w:jc w:val="right"/>
              <w:rPr>
                <w:rFonts w:ascii="Arial Narrow" w:hAnsi="Arial Narrow"/>
                <w:sz w:val="15"/>
                <w:szCs w:val="15"/>
              </w:rPr>
            </w:pPr>
          </w:p>
        </w:tc>
        <w:tc>
          <w:tcPr>
            <w:tcW w:w="405" w:type="pct"/>
            <w:vAlign w:val="center"/>
          </w:tcPr>
          <w:p w14:paraId="59539A82" w14:textId="77777777" w:rsidR="002D0AE7" w:rsidRDefault="00333EBB">
            <w:pPr>
              <w:jc w:val="right"/>
              <w:rPr>
                <w:rFonts w:ascii="Arial Narrow" w:hAnsi="Arial Narrow"/>
                <w:sz w:val="15"/>
                <w:szCs w:val="15"/>
              </w:rPr>
            </w:pPr>
            <w:r>
              <w:rPr>
                <w:rFonts w:ascii="Arial Narrow" w:hAnsi="Arial Narrow"/>
                <w:sz w:val="15"/>
                <w:szCs w:val="15"/>
              </w:rPr>
              <w:t>0.00</w:t>
            </w:r>
          </w:p>
        </w:tc>
        <w:tc>
          <w:tcPr>
            <w:tcW w:w="132" w:type="pct"/>
            <w:vAlign w:val="center"/>
          </w:tcPr>
          <w:p w14:paraId="775B5C1E" w14:textId="77777777" w:rsidR="002D0AE7" w:rsidRDefault="002D0AE7">
            <w:pPr>
              <w:jc w:val="right"/>
              <w:rPr>
                <w:rFonts w:ascii="Arial Narrow" w:hAnsi="Arial Narrow"/>
                <w:sz w:val="15"/>
                <w:szCs w:val="15"/>
              </w:rPr>
            </w:pPr>
          </w:p>
        </w:tc>
        <w:tc>
          <w:tcPr>
            <w:tcW w:w="407" w:type="pct"/>
            <w:vAlign w:val="center"/>
          </w:tcPr>
          <w:p w14:paraId="06E9E483"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8" w:type="pct"/>
            <w:vAlign w:val="center"/>
          </w:tcPr>
          <w:p w14:paraId="55F02192" w14:textId="77777777" w:rsidR="002D0AE7" w:rsidRDefault="00333EBB">
            <w:pPr>
              <w:jc w:val="right"/>
              <w:rPr>
                <w:rFonts w:ascii="Arial Narrow" w:hAnsi="Arial Narrow"/>
                <w:sz w:val="15"/>
                <w:szCs w:val="15"/>
              </w:rPr>
            </w:pPr>
            <w:r>
              <w:rPr>
                <w:rFonts w:ascii="Arial Narrow" w:hAnsi="Arial Narrow"/>
                <w:sz w:val="15"/>
                <w:szCs w:val="15"/>
              </w:rPr>
              <w:t>-440,158.91</w:t>
            </w:r>
          </w:p>
        </w:tc>
        <w:tc>
          <w:tcPr>
            <w:tcW w:w="398" w:type="pct"/>
            <w:vAlign w:val="center"/>
          </w:tcPr>
          <w:p w14:paraId="7844CFC7" w14:textId="77777777" w:rsidR="002D0AE7" w:rsidRDefault="00333EBB">
            <w:pPr>
              <w:jc w:val="right"/>
              <w:rPr>
                <w:rFonts w:ascii="Arial Narrow" w:hAnsi="Arial Narrow"/>
                <w:sz w:val="15"/>
                <w:szCs w:val="15"/>
              </w:rPr>
            </w:pPr>
            <w:r>
              <w:rPr>
                <w:rFonts w:ascii="Arial Narrow" w:hAnsi="Arial Narrow"/>
                <w:sz w:val="15"/>
                <w:szCs w:val="15"/>
              </w:rPr>
              <w:t>-440,158.91</w:t>
            </w:r>
          </w:p>
        </w:tc>
      </w:tr>
      <w:tr w:rsidR="002D0AE7" w14:paraId="160961BD" w14:textId="77777777">
        <w:trPr>
          <w:jc w:val="center"/>
        </w:trPr>
        <w:tc>
          <w:tcPr>
            <w:tcW w:w="634" w:type="pct"/>
            <w:vAlign w:val="center"/>
          </w:tcPr>
          <w:p w14:paraId="7F26FCBA" w14:textId="77777777" w:rsidR="002D0AE7" w:rsidRDefault="00333EBB">
            <w:pPr>
              <w:rPr>
                <w:rFonts w:hint="eastAsia"/>
                <w:color w:val="000000" w:themeColor="text1"/>
                <w:sz w:val="18"/>
                <w:szCs w:val="18"/>
              </w:rPr>
            </w:pPr>
            <w:r>
              <w:rPr>
                <w:rFonts w:hint="eastAsia"/>
                <w:color w:val="000000" w:themeColor="text1"/>
                <w:sz w:val="18"/>
                <w:szCs w:val="18"/>
              </w:rPr>
              <w:t>1</w:t>
            </w:r>
            <w:r>
              <w:rPr>
                <w:rFonts w:hint="eastAsia"/>
                <w:color w:val="000000" w:themeColor="text1"/>
                <w:sz w:val="18"/>
                <w:szCs w:val="18"/>
              </w:rPr>
              <w:t>．所有者投入的普通股</w:t>
            </w:r>
          </w:p>
        </w:tc>
        <w:tc>
          <w:tcPr>
            <w:tcW w:w="404" w:type="pct"/>
            <w:vAlign w:val="center"/>
          </w:tcPr>
          <w:p w14:paraId="15BA6B8E" w14:textId="77777777" w:rsidR="002D0AE7" w:rsidRDefault="002D0AE7">
            <w:pPr>
              <w:jc w:val="right"/>
              <w:rPr>
                <w:rFonts w:ascii="Arial Narrow" w:hAnsi="Arial Narrow"/>
                <w:sz w:val="15"/>
                <w:szCs w:val="15"/>
              </w:rPr>
            </w:pPr>
          </w:p>
        </w:tc>
        <w:tc>
          <w:tcPr>
            <w:tcW w:w="152" w:type="pct"/>
            <w:vAlign w:val="center"/>
          </w:tcPr>
          <w:p w14:paraId="2BBCD412" w14:textId="77777777" w:rsidR="002D0AE7" w:rsidRDefault="002D0AE7">
            <w:pPr>
              <w:jc w:val="right"/>
              <w:rPr>
                <w:rFonts w:ascii="Arial Narrow" w:hAnsi="Arial Narrow"/>
                <w:sz w:val="15"/>
                <w:szCs w:val="15"/>
              </w:rPr>
            </w:pPr>
          </w:p>
        </w:tc>
        <w:tc>
          <w:tcPr>
            <w:tcW w:w="152" w:type="pct"/>
            <w:vAlign w:val="center"/>
          </w:tcPr>
          <w:p w14:paraId="062073D6" w14:textId="77777777" w:rsidR="002D0AE7" w:rsidRDefault="002D0AE7">
            <w:pPr>
              <w:jc w:val="right"/>
              <w:rPr>
                <w:rFonts w:ascii="Arial Narrow" w:hAnsi="Arial Narrow"/>
                <w:sz w:val="15"/>
                <w:szCs w:val="15"/>
              </w:rPr>
            </w:pPr>
          </w:p>
        </w:tc>
        <w:tc>
          <w:tcPr>
            <w:tcW w:w="152" w:type="pct"/>
            <w:vAlign w:val="center"/>
          </w:tcPr>
          <w:p w14:paraId="26087C2F" w14:textId="77777777" w:rsidR="002D0AE7" w:rsidRDefault="002D0AE7">
            <w:pPr>
              <w:jc w:val="right"/>
              <w:rPr>
                <w:rFonts w:ascii="Arial Narrow" w:hAnsi="Arial Narrow"/>
                <w:sz w:val="15"/>
                <w:szCs w:val="15"/>
              </w:rPr>
            </w:pPr>
          </w:p>
        </w:tc>
        <w:tc>
          <w:tcPr>
            <w:tcW w:w="358" w:type="pct"/>
            <w:vAlign w:val="center"/>
          </w:tcPr>
          <w:p w14:paraId="2E90EDB1" w14:textId="77777777" w:rsidR="002D0AE7" w:rsidRDefault="002D0AE7">
            <w:pPr>
              <w:jc w:val="right"/>
              <w:rPr>
                <w:rFonts w:ascii="Arial Narrow" w:hAnsi="Arial Narrow"/>
                <w:sz w:val="15"/>
                <w:szCs w:val="15"/>
              </w:rPr>
            </w:pPr>
          </w:p>
        </w:tc>
        <w:tc>
          <w:tcPr>
            <w:tcW w:w="312" w:type="pct"/>
            <w:vAlign w:val="center"/>
          </w:tcPr>
          <w:p w14:paraId="08FB783F" w14:textId="77777777" w:rsidR="002D0AE7" w:rsidRDefault="002D0AE7">
            <w:pPr>
              <w:jc w:val="right"/>
              <w:rPr>
                <w:rFonts w:ascii="Arial Narrow" w:hAnsi="Arial Narrow"/>
                <w:sz w:val="15"/>
                <w:szCs w:val="15"/>
              </w:rPr>
            </w:pPr>
          </w:p>
        </w:tc>
        <w:tc>
          <w:tcPr>
            <w:tcW w:w="334" w:type="pct"/>
            <w:vAlign w:val="center"/>
          </w:tcPr>
          <w:p w14:paraId="3240AD4E" w14:textId="77777777" w:rsidR="002D0AE7" w:rsidRDefault="002D0AE7">
            <w:pPr>
              <w:jc w:val="right"/>
              <w:rPr>
                <w:rFonts w:ascii="Arial Narrow" w:hAnsi="Arial Narrow"/>
                <w:sz w:val="15"/>
                <w:szCs w:val="15"/>
              </w:rPr>
            </w:pPr>
          </w:p>
        </w:tc>
        <w:tc>
          <w:tcPr>
            <w:tcW w:w="312" w:type="pct"/>
            <w:vAlign w:val="center"/>
          </w:tcPr>
          <w:p w14:paraId="76454773" w14:textId="77777777" w:rsidR="002D0AE7" w:rsidRDefault="002D0AE7">
            <w:pPr>
              <w:jc w:val="right"/>
              <w:rPr>
                <w:rFonts w:ascii="Arial Narrow" w:hAnsi="Arial Narrow"/>
                <w:sz w:val="15"/>
                <w:szCs w:val="15"/>
              </w:rPr>
            </w:pPr>
          </w:p>
        </w:tc>
        <w:tc>
          <w:tcPr>
            <w:tcW w:w="358" w:type="pct"/>
            <w:vAlign w:val="center"/>
          </w:tcPr>
          <w:p w14:paraId="5AD2F6DE" w14:textId="77777777" w:rsidR="002D0AE7" w:rsidRDefault="002D0AE7">
            <w:pPr>
              <w:jc w:val="right"/>
              <w:rPr>
                <w:rFonts w:ascii="Arial Narrow" w:hAnsi="Arial Narrow"/>
                <w:sz w:val="15"/>
                <w:szCs w:val="15"/>
              </w:rPr>
            </w:pPr>
          </w:p>
        </w:tc>
        <w:tc>
          <w:tcPr>
            <w:tcW w:w="132" w:type="pct"/>
            <w:vAlign w:val="center"/>
          </w:tcPr>
          <w:p w14:paraId="6A5598A9" w14:textId="77777777" w:rsidR="002D0AE7" w:rsidRDefault="002D0AE7">
            <w:pPr>
              <w:jc w:val="right"/>
              <w:rPr>
                <w:rFonts w:ascii="Arial Narrow" w:hAnsi="Arial Narrow"/>
                <w:sz w:val="15"/>
                <w:szCs w:val="15"/>
              </w:rPr>
            </w:pPr>
          </w:p>
        </w:tc>
        <w:tc>
          <w:tcPr>
            <w:tcW w:w="405" w:type="pct"/>
            <w:vAlign w:val="center"/>
          </w:tcPr>
          <w:p w14:paraId="70CE6874" w14:textId="77777777" w:rsidR="002D0AE7" w:rsidRDefault="002D0AE7">
            <w:pPr>
              <w:jc w:val="right"/>
              <w:rPr>
                <w:rFonts w:ascii="Arial Narrow" w:hAnsi="Arial Narrow"/>
                <w:sz w:val="15"/>
                <w:szCs w:val="15"/>
              </w:rPr>
            </w:pPr>
          </w:p>
        </w:tc>
        <w:tc>
          <w:tcPr>
            <w:tcW w:w="132" w:type="pct"/>
            <w:vAlign w:val="center"/>
          </w:tcPr>
          <w:p w14:paraId="398A1AE9" w14:textId="77777777" w:rsidR="002D0AE7" w:rsidRDefault="002D0AE7">
            <w:pPr>
              <w:jc w:val="right"/>
              <w:rPr>
                <w:rFonts w:ascii="Arial Narrow" w:hAnsi="Arial Narrow"/>
                <w:sz w:val="15"/>
                <w:szCs w:val="15"/>
              </w:rPr>
            </w:pPr>
          </w:p>
        </w:tc>
        <w:tc>
          <w:tcPr>
            <w:tcW w:w="407" w:type="pct"/>
            <w:vAlign w:val="center"/>
          </w:tcPr>
          <w:p w14:paraId="02371E5C" w14:textId="77777777" w:rsidR="002D0AE7" w:rsidRDefault="002D0AE7">
            <w:pPr>
              <w:jc w:val="right"/>
              <w:rPr>
                <w:rFonts w:ascii="Arial Narrow" w:hAnsi="Arial Narrow"/>
                <w:sz w:val="15"/>
                <w:szCs w:val="15"/>
              </w:rPr>
            </w:pPr>
          </w:p>
        </w:tc>
        <w:tc>
          <w:tcPr>
            <w:tcW w:w="358" w:type="pct"/>
            <w:vAlign w:val="center"/>
          </w:tcPr>
          <w:p w14:paraId="17946E5D" w14:textId="77777777" w:rsidR="002D0AE7" w:rsidRDefault="002D0AE7">
            <w:pPr>
              <w:jc w:val="right"/>
              <w:rPr>
                <w:rFonts w:ascii="Arial Narrow" w:hAnsi="Arial Narrow"/>
                <w:sz w:val="15"/>
                <w:szCs w:val="15"/>
              </w:rPr>
            </w:pPr>
          </w:p>
        </w:tc>
        <w:tc>
          <w:tcPr>
            <w:tcW w:w="398" w:type="pct"/>
            <w:vAlign w:val="center"/>
          </w:tcPr>
          <w:p w14:paraId="345AAF71" w14:textId="77777777" w:rsidR="002D0AE7" w:rsidRDefault="002D0AE7">
            <w:pPr>
              <w:jc w:val="right"/>
              <w:rPr>
                <w:rFonts w:ascii="Arial Narrow" w:hAnsi="Arial Narrow"/>
                <w:sz w:val="15"/>
                <w:szCs w:val="15"/>
              </w:rPr>
            </w:pPr>
          </w:p>
        </w:tc>
      </w:tr>
      <w:tr w:rsidR="002D0AE7" w14:paraId="3A802F97" w14:textId="77777777">
        <w:trPr>
          <w:jc w:val="center"/>
        </w:trPr>
        <w:tc>
          <w:tcPr>
            <w:tcW w:w="634" w:type="pct"/>
            <w:vAlign w:val="center"/>
          </w:tcPr>
          <w:p w14:paraId="00F7416B" w14:textId="77777777" w:rsidR="002D0AE7" w:rsidRDefault="00333EBB">
            <w:pPr>
              <w:rPr>
                <w:rFonts w:hint="eastAsia"/>
                <w:color w:val="000000" w:themeColor="text1"/>
                <w:sz w:val="18"/>
                <w:szCs w:val="18"/>
              </w:rPr>
            </w:pPr>
            <w:r>
              <w:rPr>
                <w:rFonts w:hint="eastAsia"/>
                <w:color w:val="000000" w:themeColor="text1"/>
                <w:sz w:val="18"/>
                <w:szCs w:val="18"/>
              </w:rPr>
              <w:t>2</w:t>
            </w:r>
            <w:r>
              <w:rPr>
                <w:rFonts w:hint="eastAsia"/>
                <w:color w:val="000000" w:themeColor="text1"/>
                <w:sz w:val="18"/>
                <w:szCs w:val="18"/>
              </w:rPr>
              <w:t>．其他权益工具持有者投入资本</w:t>
            </w:r>
          </w:p>
        </w:tc>
        <w:tc>
          <w:tcPr>
            <w:tcW w:w="404" w:type="pct"/>
            <w:vAlign w:val="center"/>
          </w:tcPr>
          <w:p w14:paraId="28954A5D" w14:textId="77777777" w:rsidR="002D0AE7" w:rsidRDefault="002D0AE7">
            <w:pPr>
              <w:jc w:val="right"/>
              <w:rPr>
                <w:rFonts w:ascii="Arial Narrow" w:hAnsi="Arial Narrow"/>
                <w:sz w:val="15"/>
                <w:szCs w:val="15"/>
              </w:rPr>
            </w:pPr>
          </w:p>
        </w:tc>
        <w:tc>
          <w:tcPr>
            <w:tcW w:w="152" w:type="pct"/>
            <w:vAlign w:val="center"/>
          </w:tcPr>
          <w:p w14:paraId="025296E0" w14:textId="77777777" w:rsidR="002D0AE7" w:rsidRDefault="002D0AE7">
            <w:pPr>
              <w:jc w:val="right"/>
              <w:rPr>
                <w:rFonts w:ascii="Arial Narrow" w:hAnsi="Arial Narrow"/>
                <w:sz w:val="15"/>
                <w:szCs w:val="15"/>
              </w:rPr>
            </w:pPr>
          </w:p>
        </w:tc>
        <w:tc>
          <w:tcPr>
            <w:tcW w:w="152" w:type="pct"/>
            <w:vAlign w:val="center"/>
          </w:tcPr>
          <w:p w14:paraId="3572BA1F" w14:textId="77777777" w:rsidR="002D0AE7" w:rsidRDefault="002D0AE7">
            <w:pPr>
              <w:jc w:val="right"/>
              <w:rPr>
                <w:rFonts w:ascii="Arial Narrow" w:hAnsi="Arial Narrow"/>
                <w:sz w:val="15"/>
                <w:szCs w:val="15"/>
              </w:rPr>
            </w:pPr>
          </w:p>
        </w:tc>
        <w:tc>
          <w:tcPr>
            <w:tcW w:w="152" w:type="pct"/>
            <w:vAlign w:val="center"/>
          </w:tcPr>
          <w:p w14:paraId="0D5B15F0" w14:textId="77777777" w:rsidR="002D0AE7" w:rsidRDefault="002D0AE7">
            <w:pPr>
              <w:jc w:val="right"/>
              <w:rPr>
                <w:rFonts w:ascii="Arial Narrow" w:hAnsi="Arial Narrow"/>
                <w:sz w:val="15"/>
                <w:szCs w:val="15"/>
              </w:rPr>
            </w:pPr>
          </w:p>
        </w:tc>
        <w:tc>
          <w:tcPr>
            <w:tcW w:w="358" w:type="pct"/>
            <w:vAlign w:val="center"/>
          </w:tcPr>
          <w:p w14:paraId="7A6562BD" w14:textId="77777777" w:rsidR="002D0AE7" w:rsidRDefault="002D0AE7">
            <w:pPr>
              <w:jc w:val="right"/>
              <w:rPr>
                <w:rFonts w:ascii="Arial Narrow" w:hAnsi="Arial Narrow"/>
                <w:sz w:val="15"/>
                <w:szCs w:val="15"/>
              </w:rPr>
            </w:pPr>
          </w:p>
        </w:tc>
        <w:tc>
          <w:tcPr>
            <w:tcW w:w="312" w:type="pct"/>
            <w:vAlign w:val="center"/>
          </w:tcPr>
          <w:p w14:paraId="1E89E29A" w14:textId="77777777" w:rsidR="002D0AE7" w:rsidRDefault="002D0AE7">
            <w:pPr>
              <w:jc w:val="right"/>
              <w:rPr>
                <w:rFonts w:ascii="Arial Narrow" w:hAnsi="Arial Narrow"/>
                <w:sz w:val="15"/>
                <w:szCs w:val="15"/>
              </w:rPr>
            </w:pPr>
          </w:p>
        </w:tc>
        <w:tc>
          <w:tcPr>
            <w:tcW w:w="334" w:type="pct"/>
            <w:vAlign w:val="center"/>
          </w:tcPr>
          <w:p w14:paraId="2AC6DDD3" w14:textId="77777777" w:rsidR="002D0AE7" w:rsidRDefault="002D0AE7">
            <w:pPr>
              <w:jc w:val="right"/>
              <w:rPr>
                <w:rFonts w:ascii="Arial Narrow" w:hAnsi="Arial Narrow"/>
                <w:sz w:val="15"/>
                <w:szCs w:val="15"/>
              </w:rPr>
            </w:pPr>
          </w:p>
        </w:tc>
        <w:tc>
          <w:tcPr>
            <w:tcW w:w="312" w:type="pct"/>
            <w:vAlign w:val="center"/>
          </w:tcPr>
          <w:p w14:paraId="2A38C41E" w14:textId="77777777" w:rsidR="002D0AE7" w:rsidRDefault="002D0AE7">
            <w:pPr>
              <w:jc w:val="right"/>
              <w:rPr>
                <w:rFonts w:ascii="Arial Narrow" w:hAnsi="Arial Narrow"/>
                <w:sz w:val="15"/>
                <w:szCs w:val="15"/>
              </w:rPr>
            </w:pPr>
          </w:p>
        </w:tc>
        <w:tc>
          <w:tcPr>
            <w:tcW w:w="358" w:type="pct"/>
            <w:vAlign w:val="center"/>
          </w:tcPr>
          <w:p w14:paraId="5EC86BEB" w14:textId="77777777" w:rsidR="002D0AE7" w:rsidRDefault="002D0AE7">
            <w:pPr>
              <w:jc w:val="right"/>
              <w:rPr>
                <w:rFonts w:ascii="Arial Narrow" w:hAnsi="Arial Narrow"/>
                <w:sz w:val="15"/>
                <w:szCs w:val="15"/>
              </w:rPr>
            </w:pPr>
          </w:p>
        </w:tc>
        <w:tc>
          <w:tcPr>
            <w:tcW w:w="132" w:type="pct"/>
            <w:vAlign w:val="center"/>
          </w:tcPr>
          <w:p w14:paraId="49E0F8FA" w14:textId="77777777" w:rsidR="002D0AE7" w:rsidRDefault="002D0AE7">
            <w:pPr>
              <w:jc w:val="right"/>
              <w:rPr>
                <w:rFonts w:ascii="Arial Narrow" w:hAnsi="Arial Narrow"/>
                <w:sz w:val="15"/>
                <w:szCs w:val="15"/>
              </w:rPr>
            </w:pPr>
          </w:p>
        </w:tc>
        <w:tc>
          <w:tcPr>
            <w:tcW w:w="405" w:type="pct"/>
            <w:vAlign w:val="center"/>
          </w:tcPr>
          <w:p w14:paraId="56BC6A28" w14:textId="77777777" w:rsidR="002D0AE7" w:rsidRDefault="002D0AE7">
            <w:pPr>
              <w:jc w:val="right"/>
              <w:rPr>
                <w:rFonts w:ascii="Arial Narrow" w:hAnsi="Arial Narrow"/>
                <w:sz w:val="15"/>
                <w:szCs w:val="15"/>
              </w:rPr>
            </w:pPr>
          </w:p>
        </w:tc>
        <w:tc>
          <w:tcPr>
            <w:tcW w:w="132" w:type="pct"/>
            <w:vAlign w:val="center"/>
          </w:tcPr>
          <w:p w14:paraId="15416A7C" w14:textId="77777777" w:rsidR="002D0AE7" w:rsidRDefault="002D0AE7">
            <w:pPr>
              <w:jc w:val="right"/>
              <w:rPr>
                <w:rFonts w:ascii="Arial Narrow" w:hAnsi="Arial Narrow"/>
                <w:sz w:val="15"/>
                <w:szCs w:val="15"/>
              </w:rPr>
            </w:pPr>
          </w:p>
        </w:tc>
        <w:tc>
          <w:tcPr>
            <w:tcW w:w="407" w:type="pct"/>
            <w:vAlign w:val="center"/>
          </w:tcPr>
          <w:p w14:paraId="099EC462" w14:textId="77777777" w:rsidR="002D0AE7" w:rsidRDefault="002D0AE7">
            <w:pPr>
              <w:jc w:val="right"/>
              <w:rPr>
                <w:rFonts w:ascii="Arial Narrow" w:hAnsi="Arial Narrow"/>
                <w:sz w:val="15"/>
                <w:szCs w:val="15"/>
              </w:rPr>
            </w:pPr>
          </w:p>
        </w:tc>
        <w:tc>
          <w:tcPr>
            <w:tcW w:w="358" w:type="pct"/>
            <w:vAlign w:val="center"/>
          </w:tcPr>
          <w:p w14:paraId="2AE092F5" w14:textId="77777777" w:rsidR="002D0AE7" w:rsidRDefault="002D0AE7">
            <w:pPr>
              <w:jc w:val="right"/>
              <w:rPr>
                <w:rFonts w:ascii="Arial Narrow" w:hAnsi="Arial Narrow"/>
                <w:sz w:val="15"/>
                <w:szCs w:val="15"/>
              </w:rPr>
            </w:pPr>
          </w:p>
        </w:tc>
        <w:tc>
          <w:tcPr>
            <w:tcW w:w="398" w:type="pct"/>
            <w:vAlign w:val="center"/>
          </w:tcPr>
          <w:p w14:paraId="0472930E" w14:textId="77777777" w:rsidR="002D0AE7" w:rsidRDefault="002D0AE7">
            <w:pPr>
              <w:jc w:val="right"/>
              <w:rPr>
                <w:rFonts w:ascii="Arial Narrow" w:hAnsi="Arial Narrow"/>
                <w:sz w:val="15"/>
                <w:szCs w:val="15"/>
              </w:rPr>
            </w:pPr>
          </w:p>
        </w:tc>
      </w:tr>
      <w:tr w:rsidR="002D0AE7" w14:paraId="09457292" w14:textId="77777777">
        <w:trPr>
          <w:jc w:val="center"/>
        </w:trPr>
        <w:tc>
          <w:tcPr>
            <w:tcW w:w="634" w:type="pct"/>
            <w:vAlign w:val="center"/>
          </w:tcPr>
          <w:p w14:paraId="62AE93D6" w14:textId="77777777" w:rsidR="002D0AE7" w:rsidRDefault="00333EBB">
            <w:pPr>
              <w:rPr>
                <w:rFonts w:hint="eastAsia"/>
                <w:color w:val="000000" w:themeColor="text1"/>
                <w:sz w:val="18"/>
                <w:szCs w:val="18"/>
              </w:rPr>
            </w:pPr>
            <w:r>
              <w:rPr>
                <w:rFonts w:hint="eastAsia"/>
                <w:color w:val="000000" w:themeColor="text1"/>
                <w:sz w:val="18"/>
                <w:szCs w:val="18"/>
              </w:rPr>
              <w:t>3</w:t>
            </w:r>
            <w:r>
              <w:rPr>
                <w:color w:val="000000" w:themeColor="text1"/>
                <w:sz w:val="18"/>
                <w:szCs w:val="18"/>
              </w:rPr>
              <w:t>．股份支付计入所有者权益的金额</w:t>
            </w:r>
          </w:p>
        </w:tc>
        <w:tc>
          <w:tcPr>
            <w:tcW w:w="404" w:type="pct"/>
            <w:vAlign w:val="center"/>
          </w:tcPr>
          <w:p w14:paraId="5E6A6CBB" w14:textId="77777777" w:rsidR="002D0AE7" w:rsidRDefault="002D0AE7">
            <w:pPr>
              <w:jc w:val="right"/>
              <w:rPr>
                <w:rFonts w:ascii="Arial Narrow" w:hAnsi="Arial Narrow"/>
                <w:sz w:val="15"/>
                <w:szCs w:val="15"/>
              </w:rPr>
            </w:pPr>
          </w:p>
        </w:tc>
        <w:tc>
          <w:tcPr>
            <w:tcW w:w="152" w:type="pct"/>
            <w:vAlign w:val="center"/>
          </w:tcPr>
          <w:p w14:paraId="33DA22AB" w14:textId="77777777" w:rsidR="002D0AE7" w:rsidRDefault="002D0AE7">
            <w:pPr>
              <w:jc w:val="right"/>
              <w:rPr>
                <w:rFonts w:ascii="Arial Narrow" w:hAnsi="Arial Narrow"/>
                <w:sz w:val="15"/>
                <w:szCs w:val="15"/>
              </w:rPr>
            </w:pPr>
          </w:p>
        </w:tc>
        <w:tc>
          <w:tcPr>
            <w:tcW w:w="152" w:type="pct"/>
            <w:vAlign w:val="center"/>
          </w:tcPr>
          <w:p w14:paraId="5270C0B4" w14:textId="77777777" w:rsidR="002D0AE7" w:rsidRDefault="002D0AE7">
            <w:pPr>
              <w:jc w:val="right"/>
              <w:rPr>
                <w:rFonts w:ascii="Arial Narrow" w:hAnsi="Arial Narrow"/>
                <w:sz w:val="15"/>
                <w:szCs w:val="15"/>
              </w:rPr>
            </w:pPr>
          </w:p>
        </w:tc>
        <w:tc>
          <w:tcPr>
            <w:tcW w:w="152" w:type="pct"/>
            <w:vAlign w:val="center"/>
          </w:tcPr>
          <w:p w14:paraId="4A9D9747" w14:textId="77777777" w:rsidR="002D0AE7" w:rsidRDefault="002D0AE7">
            <w:pPr>
              <w:jc w:val="right"/>
              <w:rPr>
                <w:rFonts w:ascii="Arial Narrow" w:hAnsi="Arial Narrow"/>
                <w:sz w:val="15"/>
                <w:szCs w:val="15"/>
              </w:rPr>
            </w:pPr>
          </w:p>
        </w:tc>
        <w:tc>
          <w:tcPr>
            <w:tcW w:w="358" w:type="pct"/>
            <w:vAlign w:val="center"/>
          </w:tcPr>
          <w:p w14:paraId="1AC14920" w14:textId="77777777" w:rsidR="002D0AE7" w:rsidRDefault="002D0AE7">
            <w:pPr>
              <w:jc w:val="right"/>
              <w:rPr>
                <w:rFonts w:ascii="Arial Narrow" w:hAnsi="Arial Narrow"/>
                <w:sz w:val="15"/>
                <w:szCs w:val="15"/>
              </w:rPr>
            </w:pPr>
          </w:p>
        </w:tc>
        <w:tc>
          <w:tcPr>
            <w:tcW w:w="312" w:type="pct"/>
            <w:vAlign w:val="center"/>
          </w:tcPr>
          <w:p w14:paraId="041F0B4C" w14:textId="77777777" w:rsidR="002D0AE7" w:rsidRDefault="002D0AE7">
            <w:pPr>
              <w:jc w:val="right"/>
              <w:rPr>
                <w:rFonts w:ascii="Arial Narrow" w:hAnsi="Arial Narrow"/>
                <w:sz w:val="15"/>
                <w:szCs w:val="15"/>
              </w:rPr>
            </w:pPr>
          </w:p>
        </w:tc>
        <w:tc>
          <w:tcPr>
            <w:tcW w:w="334" w:type="pct"/>
            <w:vAlign w:val="center"/>
          </w:tcPr>
          <w:p w14:paraId="36011EB4" w14:textId="77777777" w:rsidR="002D0AE7" w:rsidRDefault="002D0AE7">
            <w:pPr>
              <w:jc w:val="right"/>
              <w:rPr>
                <w:rFonts w:ascii="Arial Narrow" w:hAnsi="Arial Narrow"/>
                <w:sz w:val="15"/>
                <w:szCs w:val="15"/>
              </w:rPr>
            </w:pPr>
          </w:p>
        </w:tc>
        <w:tc>
          <w:tcPr>
            <w:tcW w:w="312" w:type="pct"/>
            <w:vAlign w:val="center"/>
          </w:tcPr>
          <w:p w14:paraId="6403ACCA" w14:textId="77777777" w:rsidR="002D0AE7" w:rsidRDefault="002D0AE7">
            <w:pPr>
              <w:jc w:val="right"/>
              <w:rPr>
                <w:rFonts w:ascii="Arial Narrow" w:hAnsi="Arial Narrow"/>
                <w:sz w:val="15"/>
                <w:szCs w:val="15"/>
              </w:rPr>
            </w:pPr>
          </w:p>
        </w:tc>
        <w:tc>
          <w:tcPr>
            <w:tcW w:w="358" w:type="pct"/>
            <w:vAlign w:val="center"/>
          </w:tcPr>
          <w:p w14:paraId="7C08B392" w14:textId="77777777" w:rsidR="002D0AE7" w:rsidRDefault="002D0AE7">
            <w:pPr>
              <w:jc w:val="right"/>
              <w:rPr>
                <w:rFonts w:ascii="Arial Narrow" w:hAnsi="Arial Narrow"/>
                <w:sz w:val="15"/>
                <w:szCs w:val="15"/>
              </w:rPr>
            </w:pPr>
          </w:p>
        </w:tc>
        <w:tc>
          <w:tcPr>
            <w:tcW w:w="132" w:type="pct"/>
            <w:vAlign w:val="center"/>
          </w:tcPr>
          <w:p w14:paraId="74DDE158" w14:textId="77777777" w:rsidR="002D0AE7" w:rsidRDefault="002D0AE7">
            <w:pPr>
              <w:jc w:val="right"/>
              <w:rPr>
                <w:rFonts w:ascii="Arial Narrow" w:hAnsi="Arial Narrow"/>
                <w:sz w:val="15"/>
                <w:szCs w:val="15"/>
              </w:rPr>
            </w:pPr>
          </w:p>
        </w:tc>
        <w:tc>
          <w:tcPr>
            <w:tcW w:w="405" w:type="pct"/>
            <w:vAlign w:val="center"/>
          </w:tcPr>
          <w:p w14:paraId="7F1AF02A" w14:textId="77777777" w:rsidR="002D0AE7" w:rsidRDefault="002D0AE7">
            <w:pPr>
              <w:jc w:val="right"/>
              <w:rPr>
                <w:rFonts w:ascii="Arial Narrow" w:hAnsi="Arial Narrow"/>
                <w:sz w:val="15"/>
                <w:szCs w:val="15"/>
              </w:rPr>
            </w:pPr>
          </w:p>
        </w:tc>
        <w:tc>
          <w:tcPr>
            <w:tcW w:w="132" w:type="pct"/>
            <w:vAlign w:val="center"/>
          </w:tcPr>
          <w:p w14:paraId="477C7D8F" w14:textId="77777777" w:rsidR="002D0AE7" w:rsidRDefault="002D0AE7">
            <w:pPr>
              <w:jc w:val="right"/>
              <w:rPr>
                <w:rFonts w:ascii="Arial Narrow" w:hAnsi="Arial Narrow"/>
                <w:sz w:val="15"/>
                <w:szCs w:val="15"/>
              </w:rPr>
            </w:pPr>
          </w:p>
        </w:tc>
        <w:tc>
          <w:tcPr>
            <w:tcW w:w="407" w:type="pct"/>
            <w:vAlign w:val="center"/>
          </w:tcPr>
          <w:p w14:paraId="0DE9ABFF" w14:textId="77777777" w:rsidR="002D0AE7" w:rsidRDefault="002D0AE7">
            <w:pPr>
              <w:jc w:val="right"/>
              <w:rPr>
                <w:rFonts w:ascii="Arial Narrow" w:hAnsi="Arial Narrow"/>
                <w:sz w:val="15"/>
                <w:szCs w:val="15"/>
              </w:rPr>
            </w:pPr>
          </w:p>
        </w:tc>
        <w:tc>
          <w:tcPr>
            <w:tcW w:w="358" w:type="pct"/>
            <w:vAlign w:val="center"/>
          </w:tcPr>
          <w:p w14:paraId="58780F55" w14:textId="77777777" w:rsidR="002D0AE7" w:rsidRDefault="002D0AE7">
            <w:pPr>
              <w:jc w:val="right"/>
              <w:rPr>
                <w:rFonts w:ascii="Arial Narrow" w:hAnsi="Arial Narrow"/>
                <w:sz w:val="15"/>
                <w:szCs w:val="15"/>
              </w:rPr>
            </w:pPr>
          </w:p>
        </w:tc>
        <w:tc>
          <w:tcPr>
            <w:tcW w:w="398" w:type="pct"/>
            <w:vAlign w:val="center"/>
          </w:tcPr>
          <w:p w14:paraId="10F1047A" w14:textId="77777777" w:rsidR="002D0AE7" w:rsidRDefault="002D0AE7">
            <w:pPr>
              <w:jc w:val="right"/>
              <w:rPr>
                <w:rFonts w:ascii="Arial Narrow" w:hAnsi="Arial Narrow"/>
                <w:sz w:val="15"/>
                <w:szCs w:val="15"/>
              </w:rPr>
            </w:pPr>
          </w:p>
        </w:tc>
      </w:tr>
      <w:tr w:rsidR="002D0AE7" w14:paraId="686CA87F" w14:textId="77777777">
        <w:trPr>
          <w:jc w:val="center"/>
        </w:trPr>
        <w:tc>
          <w:tcPr>
            <w:tcW w:w="634" w:type="pct"/>
            <w:vAlign w:val="center"/>
          </w:tcPr>
          <w:p w14:paraId="484911FF" w14:textId="77777777" w:rsidR="002D0AE7" w:rsidRDefault="00333EBB">
            <w:pPr>
              <w:rPr>
                <w:rFonts w:hint="eastAsia"/>
                <w:color w:val="000000" w:themeColor="text1"/>
                <w:sz w:val="18"/>
                <w:szCs w:val="18"/>
              </w:rPr>
            </w:pPr>
            <w:r>
              <w:rPr>
                <w:rFonts w:hint="eastAsia"/>
                <w:color w:val="000000" w:themeColor="text1"/>
                <w:sz w:val="18"/>
                <w:szCs w:val="18"/>
              </w:rPr>
              <w:t>4</w:t>
            </w:r>
            <w:r>
              <w:rPr>
                <w:color w:val="000000" w:themeColor="text1"/>
                <w:sz w:val="18"/>
                <w:szCs w:val="18"/>
              </w:rPr>
              <w:t>．其他</w:t>
            </w:r>
          </w:p>
        </w:tc>
        <w:tc>
          <w:tcPr>
            <w:tcW w:w="404" w:type="pct"/>
          </w:tcPr>
          <w:p w14:paraId="36443E00"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tcPr>
          <w:p w14:paraId="730B6216"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tcPr>
          <w:p w14:paraId="16BEC8E6"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tcPr>
          <w:p w14:paraId="302DF067"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8" w:type="pct"/>
          </w:tcPr>
          <w:p w14:paraId="6D6C78E1" w14:textId="77777777" w:rsidR="002D0AE7" w:rsidRDefault="00333EBB">
            <w:pPr>
              <w:jc w:val="right"/>
              <w:rPr>
                <w:rFonts w:ascii="Arial Narrow" w:hAnsi="Arial Narrow"/>
                <w:sz w:val="15"/>
                <w:szCs w:val="15"/>
              </w:rPr>
            </w:pPr>
            <w:r>
              <w:rPr>
                <w:rFonts w:ascii="Arial Narrow" w:hAnsi="Arial Narrow"/>
                <w:sz w:val="15"/>
                <w:szCs w:val="15"/>
              </w:rPr>
              <w:t>0.00</w:t>
            </w:r>
          </w:p>
        </w:tc>
        <w:tc>
          <w:tcPr>
            <w:tcW w:w="312" w:type="pct"/>
          </w:tcPr>
          <w:p w14:paraId="75664B4B" w14:textId="77777777" w:rsidR="002D0AE7" w:rsidRDefault="00333EBB">
            <w:pPr>
              <w:jc w:val="right"/>
              <w:rPr>
                <w:rFonts w:ascii="Arial Narrow" w:hAnsi="Arial Narrow"/>
                <w:sz w:val="15"/>
                <w:szCs w:val="15"/>
              </w:rPr>
            </w:pPr>
            <w:r>
              <w:rPr>
                <w:rFonts w:ascii="Arial Narrow" w:hAnsi="Arial Narrow"/>
                <w:sz w:val="15"/>
                <w:szCs w:val="15"/>
              </w:rPr>
              <w:t>0.00</w:t>
            </w:r>
          </w:p>
        </w:tc>
        <w:tc>
          <w:tcPr>
            <w:tcW w:w="334" w:type="pct"/>
          </w:tcPr>
          <w:p w14:paraId="70636A50" w14:textId="77777777" w:rsidR="002D0AE7" w:rsidRDefault="00333EBB">
            <w:pPr>
              <w:jc w:val="right"/>
              <w:rPr>
                <w:rFonts w:ascii="Arial Narrow" w:hAnsi="Arial Narrow"/>
                <w:sz w:val="15"/>
                <w:szCs w:val="15"/>
              </w:rPr>
            </w:pPr>
            <w:r>
              <w:rPr>
                <w:rFonts w:ascii="Arial Narrow" w:hAnsi="Arial Narrow"/>
                <w:sz w:val="15"/>
                <w:szCs w:val="15"/>
              </w:rPr>
              <w:t>0.00</w:t>
            </w:r>
          </w:p>
        </w:tc>
        <w:tc>
          <w:tcPr>
            <w:tcW w:w="312" w:type="pct"/>
          </w:tcPr>
          <w:p w14:paraId="30F278D2"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8" w:type="pct"/>
          </w:tcPr>
          <w:p w14:paraId="6111F092" w14:textId="77777777" w:rsidR="002D0AE7" w:rsidRDefault="00333EBB">
            <w:pPr>
              <w:jc w:val="right"/>
              <w:rPr>
                <w:rFonts w:ascii="Arial Narrow" w:hAnsi="Arial Narrow"/>
                <w:sz w:val="15"/>
                <w:szCs w:val="15"/>
              </w:rPr>
            </w:pPr>
            <w:r>
              <w:rPr>
                <w:rFonts w:ascii="Arial Narrow" w:hAnsi="Arial Narrow"/>
                <w:sz w:val="15"/>
                <w:szCs w:val="15"/>
              </w:rPr>
              <w:t>0.00</w:t>
            </w:r>
          </w:p>
        </w:tc>
        <w:tc>
          <w:tcPr>
            <w:tcW w:w="132" w:type="pct"/>
          </w:tcPr>
          <w:p w14:paraId="0846FA8B" w14:textId="77777777" w:rsidR="002D0AE7" w:rsidRDefault="002D0AE7">
            <w:pPr>
              <w:jc w:val="right"/>
              <w:rPr>
                <w:rFonts w:ascii="Arial Narrow" w:hAnsi="Arial Narrow"/>
                <w:sz w:val="15"/>
                <w:szCs w:val="15"/>
              </w:rPr>
            </w:pPr>
          </w:p>
        </w:tc>
        <w:tc>
          <w:tcPr>
            <w:tcW w:w="405" w:type="pct"/>
          </w:tcPr>
          <w:p w14:paraId="26065062" w14:textId="77777777" w:rsidR="002D0AE7" w:rsidRDefault="00333EBB">
            <w:pPr>
              <w:jc w:val="right"/>
              <w:rPr>
                <w:rFonts w:ascii="Arial Narrow" w:hAnsi="Arial Narrow"/>
                <w:sz w:val="15"/>
                <w:szCs w:val="15"/>
              </w:rPr>
            </w:pPr>
            <w:r>
              <w:rPr>
                <w:rFonts w:ascii="Arial Narrow" w:hAnsi="Arial Narrow"/>
                <w:sz w:val="15"/>
                <w:szCs w:val="15"/>
              </w:rPr>
              <w:t>0.00</w:t>
            </w:r>
          </w:p>
        </w:tc>
        <w:tc>
          <w:tcPr>
            <w:tcW w:w="132" w:type="pct"/>
            <w:vAlign w:val="center"/>
          </w:tcPr>
          <w:p w14:paraId="5B4687AE" w14:textId="77777777" w:rsidR="002D0AE7" w:rsidRDefault="002D0AE7">
            <w:pPr>
              <w:jc w:val="right"/>
              <w:rPr>
                <w:rFonts w:ascii="Arial Narrow" w:hAnsi="Arial Narrow"/>
                <w:sz w:val="15"/>
                <w:szCs w:val="15"/>
              </w:rPr>
            </w:pPr>
          </w:p>
        </w:tc>
        <w:tc>
          <w:tcPr>
            <w:tcW w:w="407" w:type="pct"/>
            <w:vAlign w:val="center"/>
          </w:tcPr>
          <w:p w14:paraId="3BD01460"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8" w:type="pct"/>
            <w:vAlign w:val="center"/>
          </w:tcPr>
          <w:p w14:paraId="38AA6B83" w14:textId="77777777" w:rsidR="002D0AE7" w:rsidRDefault="00333EBB">
            <w:pPr>
              <w:jc w:val="right"/>
              <w:rPr>
                <w:rFonts w:ascii="Arial Narrow" w:hAnsi="Arial Narrow"/>
                <w:sz w:val="15"/>
                <w:szCs w:val="15"/>
              </w:rPr>
            </w:pPr>
            <w:r>
              <w:rPr>
                <w:rFonts w:ascii="Arial Narrow" w:hAnsi="Arial Narrow"/>
                <w:sz w:val="15"/>
                <w:szCs w:val="15"/>
              </w:rPr>
              <w:t>-440,158.91</w:t>
            </w:r>
          </w:p>
        </w:tc>
        <w:tc>
          <w:tcPr>
            <w:tcW w:w="398" w:type="pct"/>
            <w:vAlign w:val="center"/>
          </w:tcPr>
          <w:p w14:paraId="7CEB42C0" w14:textId="77777777" w:rsidR="002D0AE7" w:rsidRDefault="00333EBB">
            <w:pPr>
              <w:jc w:val="right"/>
              <w:rPr>
                <w:rFonts w:ascii="Arial Narrow" w:hAnsi="Arial Narrow"/>
                <w:sz w:val="15"/>
                <w:szCs w:val="15"/>
              </w:rPr>
            </w:pPr>
            <w:r>
              <w:rPr>
                <w:rFonts w:ascii="Arial Narrow" w:hAnsi="Arial Narrow"/>
                <w:sz w:val="15"/>
                <w:szCs w:val="15"/>
              </w:rPr>
              <w:t>-440,158.91</w:t>
            </w:r>
          </w:p>
        </w:tc>
      </w:tr>
      <w:tr w:rsidR="002D0AE7" w14:paraId="14F95366" w14:textId="77777777">
        <w:trPr>
          <w:jc w:val="center"/>
        </w:trPr>
        <w:tc>
          <w:tcPr>
            <w:tcW w:w="634" w:type="pct"/>
            <w:vAlign w:val="center"/>
          </w:tcPr>
          <w:p w14:paraId="2B890DF1" w14:textId="77777777" w:rsidR="002D0AE7" w:rsidRDefault="00333EBB">
            <w:pPr>
              <w:rPr>
                <w:rFonts w:hint="eastAsia"/>
                <w:color w:val="000000" w:themeColor="text1"/>
                <w:sz w:val="18"/>
                <w:szCs w:val="18"/>
              </w:rPr>
            </w:pPr>
            <w:r>
              <w:rPr>
                <w:color w:val="000000" w:themeColor="text1"/>
                <w:sz w:val="18"/>
                <w:szCs w:val="18"/>
              </w:rPr>
              <w:t>（</w:t>
            </w:r>
            <w:r>
              <w:rPr>
                <w:rFonts w:hint="eastAsia"/>
                <w:color w:val="000000" w:themeColor="text1"/>
                <w:sz w:val="18"/>
                <w:szCs w:val="18"/>
              </w:rPr>
              <w:t>三</w:t>
            </w:r>
            <w:r>
              <w:rPr>
                <w:color w:val="000000" w:themeColor="text1"/>
                <w:sz w:val="18"/>
                <w:szCs w:val="18"/>
              </w:rPr>
              <w:t>）利润分配</w:t>
            </w:r>
          </w:p>
        </w:tc>
        <w:tc>
          <w:tcPr>
            <w:tcW w:w="404" w:type="pct"/>
            <w:vAlign w:val="center"/>
          </w:tcPr>
          <w:p w14:paraId="43E8AF6A"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509E5FAE"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66C97ECF"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5B12BAEA"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8" w:type="pct"/>
            <w:vAlign w:val="center"/>
          </w:tcPr>
          <w:p w14:paraId="78999C8A" w14:textId="77777777" w:rsidR="002D0AE7" w:rsidRDefault="00333EBB">
            <w:pPr>
              <w:jc w:val="right"/>
              <w:rPr>
                <w:rFonts w:ascii="Arial Narrow" w:hAnsi="Arial Narrow"/>
                <w:sz w:val="15"/>
                <w:szCs w:val="15"/>
              </w:rPr>
            </w:pPr>
            <w:r>
              <w:rPr>
                <w:rFonts w:ascii="Arial Narrow" w:hAnsi="Arial Narrow"/>
                <w:sz w:val="15"/>
                <w:szCs w:val="15"/>
              </w:rPr>
              <w:t>0.00</w:t>
            </w:r>
          </w:p>
        </w:tc>
        <w:tc>
          <w:tcPr>
            <w:tcW w:w="312" w:type="pct"/>
            <w:vAlign w:val="center"/>
          </w:tcPr>
          <w:p w14:paraId="38174BCD" w14:textId="77777777" w:rsidR="002D0AE7" w:rsidRDefault="00333EBB">
            <w:pPr>
              <w:jc w:val="right"/>
              <w:rPr>
                <w:rFonts w:ascii="Arial Narrow" w:hAnsi="Arial Narrow"/>
                <w:sz w:val="15"/>
                <w:szCs w:val="15"/>
              </w:rPr>
            </w:pPr>
            <w:r>
              <w:rPr>
                <w:rFonts w:ascii="Arial Narrow" w:hAnsi="Arial Narrow"/>
                <w:sz w:val="15"/>
                <w:szCs w:val="15"/>
              </w:rPr>
              <w:t>0.00</w:t>
            </w:r>
          </w:p>
        </w:tc>
        <w:tc>
          <w:tcPr>
            <w:tcW w:w="334" w:type="pct"/>
            <w:vAlign w:val="center"/>
          </w:tcPr>
          <w:p w14:paraId="70C3C013" w14:textId="77777777" w:rsidR="002D0AE7" w:rsidRDefault="00333EBB">
            <w:pPr>
              <w:jc w:val="right"/>
              <w:rPr>
                <w:rFonts w:ascii="Arial Narrow" w:hAnsi="Arial Narrow"/>
                <w:sz w:val="15"/>
                <w:szCs w:val="15"/>
              </w:rPr>
            </w:pPr>
            <w:r>
              <w:rPr>
                <w:rFonts w:ascii="Arial Narrow" w:hAnsi="Arial Narrow"/>
                <w:sz w:val="15"/>
                <w:szCs w:val="15"/>
              </w:rPr>
              <w:t>0.00</w:t>
            </w:r>
          </w:p>
        </w:tc>
        <w:tc>
          <w:tcPr>
            <w:tcW w:w="312" w:type="pct"/>
            <w:vAlign w:val="center"/>
          </w:tcPr>
          <w:p w14:paraId="20AC997B"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8" w:type="pct"/>
            <w:vAlign w:val="center"/>
          </w:tcPr>
          <w:p w14:paraId="1888D1D6" w14:textId="77777777" w:rsidR="002D0AE7" w:rsidRDefault="00333EBB">
            <w:pPr>
              <w:jc w:val="right"/>
              <w:rPr>
                <w:rFonts w:ascii="Arial Narrow" w:hAnsi="Arial Narrow"/>
                <w:sz w:val="15"/>
                <w:szCs w:val="15"/>
              </w:rPr>
            </w:pPr>
            <w:r>
              <w:rPr>
                <w:rFonts w:ascii="Arial Narrow" w:hAnsi="Arial Narrow"/>
                <w:sz w:val="15"/>
                <w:szCs w:val="15"/>
              </w:rPr>
              <w:t>10,934,856.45</w:t>
            </w:r>
          </w:p>
        </w:tc>
        <w:tc>
          <w:tcPr>
            <w:tcW w:w="132" w:type="pct"/>
            <w:vAlign w:val="center"/>
          </w:tcPr>
          <w:p w14:paraId="53E6C387" w14:textId="77777777" w:rsidR="002D0AE7" w:rsidRDefault="002D0AE7">
            <w:pPr>
              <w:jc w:val="right"/>
              <w:rPr>
                <w:rFonts w:ascii="Arial Narrow" w:hAnsi="Arial Narrow"/>
                <w:sz w:val="15"/>
                <w:szCs w:val="15"/>
              </w:rPr>
            </w:pPr>
          </w:p>
        </w:tc>
        <w:tc>
          <w:tcPr>
            <w:tcW w:w="405" w:type="pct"/>
            <w:vAlign w:val="center"/>
          </w:tcPr>
          <w:p w14:paraId="56E7E224" w14:textId="77777777" w:rsidR="002D0AE7" w:rsidRDefault="00333EBB">
            <w:pPr>
              <w:jc w:val="right"/>
              <w:rPr>
                <w:rFonts w:ascii="Arial Narrow" w:hAnsi="Arial Narrow"/>
                <w:sz w:val="15"/>
                <w:szCs w:val="15"/>
              </w:rPr>
            </w:pPr>
            <w:r>
              <w:rPr>
                <w:rFonts w:ascii="Arial Narrow" w:hAnsi="Arial Narrow"/>
                <w:sz w:val="15"/>
                <w:szCs w:val="15"/>
              </w:rPr>
              <w:t>-106,106,999.61</w:t>
            </w:r>
          </w:p>
        </w:tc>
        <w:tc>
          <w:tcPr>
            <w:tcW w:w="132" w:type="pct"/>
            <w:vAlign w:val="center"/>
          </w:tcPr>
          <w:p w14:paraId="18DB5F97" w14:textId="77777777" w:rsidR="002D0AE7" w:rsidRDefault="002D0AE7">
            <w:pPr>
              <w:jc w:val="right"/>
              <w:rPr>
                <w:rFonts w:ascii="Arial Narrow" w:hAnsi="Arial Narrow"/>
                <w:sz w:val="15"/>
                <w:szCs w:val="15"/>
              </w:rPr>
            </w:pPr>
          </w:p>
        </w:tc>
        <w:tc>
          <w:tcPr>
            <w:tcW w:w="407" w:type="pct"/>
            <w:vAlign w:val="center"/>
          </w:tcPr>
          <w:p w14:paraId="32EED589" w14:textId="77777777" w:rsidR="002D0AE7" w:rsidRDefault="00333EBB">
            <w:pPr>
              <w:jc w:val="right"/>
              <w:rPr>
                <w:rFonts w:ascii="Arial Narrow" w:hAnsi="Arial Narrow"/>
                <w:sz w:val="15"/>
                <w:szCs w:val="15"/>
              </w:rPr>
            </w:pPr>
            <w:r>
              <w:rPr>
                <w:rFonts w:ascii="Arial Narrow" w:hAnsi="Arial Narrow"/>
                <w:sz w:val="15"/>
                <w:szCs w:val="15"/>
              </w:rPr>
              <w:t>-95,172,143.16</w:t>
            </w:r>
          </w:p>
        </w:tc>
        <w:tc>
          <w:tcPr>
            <w:tcW w:w="358" w:type="pct"/>
            <w:vAlign w:val="center"/>
          </w:tcPr>
          <w:p w14:paraId="0F82ACA8"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8" w:type="pct"/>
            <w:vAlign w:val="center"/>
          </w:tcPr>
          <w:p w14:paraId="2326723D" w14:textId="77777777" w:rsidR="002D0AE7" w:rsidRDefault="00333EBB">
            <w:pPr>
              <w:jc w:val="right"/>
              <w:rPr>
                <w:rFonts w:ascii="Arial Narrow" w:hAnsi="Arial Narrow"/>
                <w:sz w:val="15"/>
                <w:szCs w:val="15"/>
              </w:rPr>
            </w:pPr>
            <w:r>
              <w:rPr>
                <w:rFonts w:ascii="Arial Narrow" w:hAnsi="Arial Narrow"/>
                <w:sz w:val="15"/>
                <w:szCs w:val="15"/>
              </w:rPr>
              <w:t>-95,172,143.16</w:t>
            </w:r>
          </w:p>
        </w:tc>
      </w:tr>
      <w:tr w:rsidR="002D0AE7" w14:paraId="326D8939" w14:textId="77777777">
        <w:trPr>
          <w:jc w:val="center"/>
        </w:trPr>
        <w:tc>
          <w:tcPr>
            <w:tcW w:w="634" w:type="pct"/>
            <w:vAlign w:val="center"/>
          </w:tcPr>
          <w:p w14:paraId="3C011D3D" w14:textId="77777777" w:rsidR="002D0AE7" w:rsidRDefault="00333EBB">
            <w:pPr>
              <w:rPr>
                <w:rFonts w:hint="eastAsia"/>
                <w:color w:val="000000" w:themeColor="text1"/>
                <w:sz w:val="18"/>
                <w:szCs w:val="18"/>
              </w:rPr>
            </w:pPr>
            <w:r>
              <w:rPr>
                <w:color w:val="000000" w:themeColor="text1"/>
                <w:sz w:val="18"/>
                <w:szCs w:val="18"/>
              </w:rPr>
              <w:t>1</w:t>
            </w:r>
            <w:r>
              <w:rPr>
                <w:color w:val="000000" w:themeColor="text1"/>
                <w:sz w:val="18"/>
                <w:szCs w:val="18"/>
              </w:rPr>
              <w:t>．提取盈余公积</w:t>
            </w:r>
          </w:p>
        </w:tc>
        <w:tc>
          <w:tcPr>
            <w:tcW w:w="404" w:type="pct"/>
            <w:vAlign w:val="center"/>
          </w:tcPr>
          <w:p w14:paraId="11CB74F2"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45521BD7"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7A02DC39"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5AC75DBB"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8" w:type="pct"/>
            <w:vAlign w:val="center"/>
          </w:tcPr>
          <w:p w14:paraId="2D63C5D9" w14:textId="77777777" w:rsidR="002D0AE7" w:rsidRDefault="00333EBB">
            <w:pPr>
              <w:jc w:val="right"/>
              <w:rPr>
                <w:rFonts w:ascii="Arial Narrow" w:hAnsi="Arial Narrow"/>
                <w:sz w:val="15"/>
                <w:szCs w:val="15"/>
              </w:rPr>
            </w:pPr>
            <w:r>
              <w:rPr>
                <w:rFonts w:ascii="Arial Narrow" w:hAnsi="Arial Narrow"/>
                <w:sz w:val="15"/>
                <w:szCs w:val="15"/>
              </w:rPr>
              <w:t>0.00</w:t>
            </w:r>
          </w:p>
        </w:tc>
        <w:tc>
          <w:tcPr>
            <w:tcW w:w="312" w:type="pct"/>
            <w:vAlign w:val="center"/>
          </w:tcPr>
          <w:p w14:paraId="67A9D36C" w14:textId="77777777" w:rsidR="002D0AE7" w:rsidRDefault="00333EBB">
            <w:pPr>
              <w:jc w:val="right"/>
              <w:rPr>
                <w:rFonts w:ascii="Arial Narrow" w:hAnsi="Arial Narrow"/>
                <w:sz w:val="15"/>
                <w:szCs w:val="15"/>
              </w:rPr>
            </w:pPr>
            <w:r>
              <w:rPr>
                <w:rFonts w:ascii="Arial Narrow" w:hAnsi="Arial Narrow"/>
                <w:sz w:val="15"/>
                <w:szCs w:val="15"/>
              </w:rPr>
              <w:t>0.00</w:t>
            </w:r>
          </w:p>
        </w:tc>
        <w:tc>
          <w:tcPr>
            <w:tcW w:w="334" w:type="pct"/>
            <w:vAlign w:val="center"/>
          </w:tcPr>
          <w:p w14:paraId="7920BBE9" w14:textId="77777777" w:rsidR="002D0AE7" w:rsidRDefault="00333EBB">
            <w:pPr>
              <w:jc w:val="right"/>
              <w:rPr>
                <w:rFonts w:ascii="Arial Narrow" w:hAnsi="Arial Narrow"/>
                <w:sz w:val="15"/>
                <w:szCs w:val="15"/>
              </w:rPr>
            </w:pPr>
            <w:r>
              <w:rPr>
                <w:rFonts w:ascii="Arial Narrow" w:hAnsi="Arial Narrow"/>
                <w:sz w:val="15"/>
                <w:szCs w:val="15"/>
              </w:rPr>
              <w:t>0.00</w:t>
            </w:r>
          </w:p>
        </w:tc>
        <w:tc>
          <w:tcPr>
            <w:tcW w:w="312" w:type="pct"/>
            <w:vAlign w:val="center"/>
          </w:tcPr>
          <w:p w14:paraId="77D5C623"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8" w:type="pct"/>
            <w:vAlign w:val="center"/>
          </w:tcPr>
          <w:p w14:paraId="5F1F2D84" w14:textId="77777777" w:rsidR="002D0AE7" w:rsidRDefault="00333EBB">
            <w:pPr>
              <w:jc w:val="right"/>
              <w:rPr>
                <w:rFonts w:ascii="Arial Narrow" w:hAnsi="Arial Narrow"/>
                <w:sz w:val="15"/>
                <w:szCs w:val="15"/>
              </w:rPr>
            </w:pPr>
            <w:r>
              <w:rPr>
                <w:rFonts w:ascii="Arial Narrow" w:hAnsi="Arial Narrow"/>
                <w:sz w:val="15"/>
                <w:szCs w:val="15"/>
              </w:rPr>
              <w:t>10,934,856.45</w:t>
            </w:r>
          </w:p>
        </w:tc>
        <w:tc>
          <w:tcPr>
            <w:tcW w:w="132" w:type="pct"/>
            <w:vAlign w:val="center"/>
          </w:tcPr>
          <w:p w14:paraId="4A220415" w14:textId="77777777" w:rsidR="002D0AE7" w:rsidRDefault="002D0AE7">
            <w:pPr>
              <w:jc w:val="right"/>
              <w:rPr>
                <w:rFonts w:ascii="Arial Narrow" w:hAnsi="Arial Narrow"/>
                <w:sz w:val="15"/>
                <w:szCs w:val="15"/>
              </w:rPr>
            </w:pPr>
          </w:p>
        </w:tc>
        <w:tc>
          <w:tcPr>
            <w:tcW w:w="405" w:type="pct"/>
            <w:vAlign w:val="center"/>
          </w:tcPr>
          <w:p w14:paraId="16037F62" w14:textId="77777777" w:rsidR="002D0AE7" w:rsidRDefault="00333EBB">
            <w:pPr>
              <w:jc w:val="right"/>
              <w:rPr>
                <w:rFonts w:ascii="Arial Narrow" w:hAnsi="Arial Narrow"/>
                <w:sz w:val="15"/>
                <w:szCs w:val="15"/>
              </w:rPr>
            </w:pPr>
            <w:r>
              <w:rPr>
                <w:rFonts w:ascii="Arial Narrow" w:hAnsi="Arial Narrow"/>
                <w:sz w:val="15"/>
                <w:szCs w:val="15"/>
              </w:rPr>
              <w:t>-10,934,856.45</w:t>
            </w:r>
          </w:p>
        </w:tc>
        <w:tc>
          <w:tcPr>
            <w:tcW w:w="132" w:type="pct"/>
            <w:vAlign w:val="center"/>
          </w:tcPr>
          <w:p w14:paraId="1F3A9FB5" w14:textId="77777777" w:rsidR="002D0AE7" w:rsidRDefault="002D0AE7">
            <w:pPr>
              <w:jc w:val="right"/>
              <w:rPr>
                <w:rFonts w:ascii="Arial Narrow" w:hAnsi="Arial Narrow"/>
                <w:sz w:val="15"/>
                <w:szCs w:val="15"/>
              </w:rPr>
            </w:pPr>
          </w:p>
        </w:tc>
        <w:tc>
          <w:tcPr>
            <w:tcW w:w="407" w:type="pct"/>
            <w:vAlign w:val="center"/>
          </w:tcPr>
          <w:p w14:paraId="270D92B6"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8" w:type="pct"/>
            <w:vAlign w:val="center"/>
          </w:tcPr>
          <w:p w14:paraId="4EC20D2F"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8" w:type="pct"/>
            <w:vAlign w:val="center"/>
          </w:tcPr>
          <w:p w14:paraId="05809F57" w14:textId="77777777" w:rsidR="002D0AE7" w:rsidRDefault="00333EBB">
            <w:pPr>
              <w:jc w:val="right"/>
              <w:rPr>
                <w:rFonts w:ascii="Arial Narrow" w:hAnsi="Arial Narrow"/>
                <w:sz w:val="15"/>
                <w:szCs w:val="15"/>
              </w:rPr>
            </w:pPr>
            <w:r>
              <w:rPr>
                <w:rFonts w:ascii="Arial Narrow" w:hAnsi="Arial Narrow"/>
                <w:sz w:val="15"/>
                <w:szCs w:val="15"/>
              </w:rPr>
              <w:t>0.00</w:t>
            </w:r>
          </w:p>
        </w:tc>
      </w:tr>
      <w:tr w:rsidR="002D0AE7" w14:paraId="2E2C532B" w14:textId="77777777">
        <w:trPr>
          <w:jc w:val="center"/>
        </w:trPr>
        <w:tc>
          <w:tcPr>
            <w:tcW w:w="634" w:type="pct"/>
            <w:vAlign w:val="center"/>
          </w:tcPr>
          <w:p w14:paraId="2F362786" w14:textId="77777777" w:rsidR="002D0AE7" w:rsidRDefault="00333EBB">
            <w:pPr>
              <w:rPr>
                <w:rFonts w:hint="eastAsia"/>
                <w:color w:val="000000" w:themeColor="text1"/>
                <w:sz w:val="18"/>
                <w:szCs w:val="18"/>
              </w:rPr>
            </w:pPr>
            <w:r>
              <w:rPr>
                <w:color w:val="000000" w:themeColor="text1"/>
                <w:sz w:val="18"/>
                <w:szCs w:val="18"/>
              </w:rPr>
              <w:lastRenderedPageBreak/>
              <w:t>2</w:t>
            </w:r>
            <w:r>
              <w:rPr>
                <w:color w:val="000000" w:themeColor="text1"/>
                <w:sz w:val="18"/>
                <w:szCs w:val="18"/>
              </w:rPr>
              <w:t>．提取一般风险准备</w:t>
            </w:r>
          </w:p>
        </w:tc>
        <w:tc>
          <w:tcPr>
            <w:tcW w:w="404" w:type="pct"/>
            <w:vAlign w:val="center"/>
          </w:tcPr>
          <w:p w14:paraId="4B971506" w14:textId="77777777" w:rsidR="002D0AE7" w:rsidRDefault="002D0AE7">
            <w:pPr>
              <w:jc w:val="right"/>
              <w:rPr>
                <w:rFonts w:ascii="Arial Narrow" w:hAnsi="Arial Narrow"/>
                <w:sz w:val="15"/>
                <w:szCs w:val="15"/>
              </w:rPr>
            </w:pPr>
          </w:p>
        </w:tc>
        <w:tc>
          <w:tcPr>
            <w:tcW w:w="152" w:type="pct"/>
            <w:vAlign w:val="center"/>
          </w:tcPr>
          <w:p w14:paraId="7E0E5CBF" w14:textId="77777777" w:rsidR="002D0AE7" w:rsidRDefault="002D0AE7">
            <w:pPr>
              <w:jc w:val="right"/>
              <w:rPr>
                <w:rFonts w:ascii="Arial Narrow" w:hAnsi="Arial Narrow"/>
                <w:sz w:val="15"/>
                <w:szCs w:val="15"/>
              </w:rPr>
            </w:pPr>
          </w:p>
        </w:tc>
        <w:tc>
          <w:tcPr>
            <w:tcW w:w="152" w:type="pct"/>
            <w:vAlign w:val="center"/>
          </w:tcPr>
          <w:p w14:paraId="0808F5DD" w14:textId="77777777" w:rsidR="002D0AE7" w:rsidRDefault="002D0AE7">
            <w:pPr>
              <w:jc w:val="right"/>
              <w:rPr>
                <w:rFonts w:ascii="Arial Narrow" w:hAnsi="Arial Narrow"/>
                <w:sz w:val="15"/>
                <w:szCs w:val="15"/>
              </w:rPr>
            </w:pPr>
          </w:p>
        </w:tc>
        <w:tc>
          <w:tcPr>
            <w:tcW w:w="152" w:type="pct"/>
            <w:vAlign w:val="center"/>
          </w:tcPr>
          <w:p w14:paraId="5ACCD71B" w14:textId="77777777" w:rsidR="002D0AE7" w:rsidRDefault="002D0AE7">
            <w:pPr>
              <w:jc w:val="right"/>
              <w:rPr>
                <w:rFonts w:ascii="Arial Narrow" w:hAnsi="Arial Narrow"/>
                <w:sz w:val="15"/>
                <w:szCs w:val="15"/>
              </w:rPr>
            </w:pPr>
          </w:p>
        </w:tc>
        <w:tc>
          <w:tcPr>
            <w:tcW w:w="358" w:type="pct"/>
            <w:vAlign w:val="center"/>
          </w:tcPr>
          <w:p w14:paraId="7F650D02" w14:textId="77777777" w:rsidR="002D0AE7" w:rsidRDefault="002D0AE7">
            <w:pPr>
              <w:jc w:val="right"/>
              <w:rPr>
                <w:rFonts w:ascii="Arial Narrow" w:hAnsi="Arial Narrow"/>
                <w:sz w:val="15"/>
                <w:szCs w:val="15"/>
              </w:rPr>
            </w:pPr>
          </w:p>
        </w:tc>
        <w:tc>
          <w:tcPr>
            <w:tcW w:w="312" w:type="pct"/>
            <w:vAlign w:val="center"/>
          </w:tcPr>
          <w:p w14:paraId="62B0FCA3" w14:textId="77777777" w:rsidR="002D0AE7" w:rsidRDefault="002D0AE7">
            <w:pPr>
              <w:jc w:val="right"/>
              <w:rPr>
                <w:rFonts w:ascii="Arial Narrow" w:hAnsi="Arial Narrow"/>
                <w:sz w:val="15"/>
                <w:szCs w:val="15"/>
              </w:rPr>
            </w:pPr>
          </w:p>
        </w:tc>
        <w:tc>
          <w:tcPr>
            <w:tcW w:w="334" w:type="pct"/>
            <w:vAlign w:val="center"/>
          </w:tcPr>
          <w:p w14:paraId="3AD8DD3F" w14:textId="77777777" w:rsidR="002D0AE7" w:rsidRDefault="002D0AE7">
            <w:pPr>
              <w:jc w:val="right"/>
              <w:rPr>
                <w:rFonts w:ascii="Arial Narrow" w:hAnsi="Arial Narrow"/>
                <w:sz w:val="15"/>
                <w:szCs w:val="15"/>
              </w:rPr>
            </w:pPr>
          </w:p>
        </w:tc>
        <w:tc>
          <w:tcPr>
            <w:tcW w:w="312" w:type="pct"/>
            <w:vAlign w:val="center"/>
          </w:tcPr>
          <w:p w14:paraId="2CAC802C" w14:textId="77777777" w:rsidR="002D0AE7" w:rsidRDefault="002D0AE7">
            <w:pPr>
              <w:jc w:val="right"/>
              <w:rPr>
                <w:rFonts w:ascii="Arial Narrow" w:hAnsi="Arial Narrow"/>
                <w:sz w:val="15"/>
                <w:szCs w:val="15"/>
              </w:rPr>
            </w:pPr>
          </w:p>
        </w:tc>
        <w:tc>
          <w:tcPr>
            <w:tcW w:w="358" w:type="pct"/>
            <w:vAlign w:val="center"/>
          </w:tcPr>
          <w:p w14:paraId="70BDD9FE" w14:textId="77777777" w:rsidR="002D0AE7" w:rsidRDefault="002D0AE7">
            <w:pPr>
              <w:jc w:val="right"/>
              <w:rPr>
                <w:rFonts w:ascii="Arial Narrow" w:hAnsi="Arial Narrow"/>
                <w:sz w:val="15"/>
                <w:szCs w:val="15"/>
              </w:rPr>
            </w:pPr>
          </w:p>
        </w:tc>
        <w:tc>
          <w:tcPr>
            <w:tcW w:w="132" w:type="pct"/>
            <w:vAlign w:val="center"/>
          </w:tcPr>
          <w:p w14:paraId="3E60E673" w14:textId="77777777" w:rsidR="002D0AE7" w:rsidRDefault="002D0AE7">
            <w:pPr>
              <w:jc w:val="right"/>
              <w:rPr>
                <w:rFonts w:ascii="Arial Narrow" w:hAnsi="Arial Narrow"/>
                <w:sz w:val="15"/>
                <w:szCs w:val="15"/>
              </w:rPr>
            </w:pPr>
          </w:p>
        </w:tc>
        <w:tc>
          <w:tcPr>
            <w:tcW w:w="405" w:type="pct"/>
            <w:vAlign w:val="center"/>
          </w:tcPr>
          <w:p w14:paraId="2675A950" w14:textId="77777777" w:rsidR="002D0AE7" w:rsidRDefault="002D0AE7">
            <w:pPr>
              <w:jc w:val="right"/>
              <w:rPr>
                <w:rFonts w:ascii="Arial Narrow" w:hAnsi="Arial Narrow"/>
                <w:sz w:val="15"/>
                <w:szCs w:val="15"/>
              </w:rPr>
            </w:pPr>
          </w:p>
        </w:tc>
        <w:tc>
          <w:tcPr>
            <w:tcW w:w="132" w:type="pct"/>
            <w:vAlign w:val="center"/>
          </w:tcPr>
          <w:p w14:paraId="0AED2C3F" w14:textId="77777777" w:rsidR="002D0AE7" w:rsidRDefault="002D0AE7">
            <w:pPr>
              <w:jc w:val="right"/>
              <w:rPr>
                <w:rFonts w:ascii="Arial Narrow" w:hAnsi="Arial Narrow"/>
                <w:sz w:val="15"/>
                <w:szCs w:val="15"/>
              </w:rPr>
            </w:pPr>
          </w:p>
        </w:tc>
        <w:tc>
          <w:tcPr>
            <w:tcW w:w="407" w:type="pct"/>
            <w:vAlign w:val="center"/>
          </w:tcPr>
          <w:p w14:paraId="47C7199E" w14:textId="77777777" w:rsidR="002D0AE7" w:rsidRDefault="002D0AE7">
            <w:pPr>
              <w:jc w:val="right"/>
              <w:rPr>
                <w:rFonts w:ascii="Arial Narrow" w:hAnsi="Arial Narrow"/>
                <w:sz w:val="15"/>
                <w:szCs w:val="15"/>
              </w:rPr>
            </w:pPr>
          </w:p>
        </w:tc>
        <w:tc>
          <w:tcPr>
            <w:tcW w:w="358" w:type="pct"/>
            <w:vAlign w:val="center"/>
          </w:tcPr>
          <w:p w14:paraId="3C2EAD19" w14:textId="77777777" w:rsidR="002D0AE7" w:rsidRDefault="002D0AE7">
            <w:pPr>
              <w:jc w:val="right"/>
              <w:rPr>
                <w:rFonts w:ascii="Arial Narrow" w:hAnsi="Arial Narrow"/>
                <w:sz w:val="15"/>
                <w:szCs w:val="15"/>
              </w:rPr>
            </w:pPr>
          </w:p>
        </w:tc>
        <w:tc>
          <w:tcPr>
            <w:tcW w:w="398" w:type="pct"/>
            <w:vAlign w:val="center"/>
          </w:tcPr>
          <w:p w14:paraId="65B364BB" w14:textId="77777777" w:rsidR="002D0AE7" w:rsidRDefault="002D0AE7">
            <w:pPr>
              <w:jc w:val="right"/>
              <w:rPr>
                <w:rFonts w:ascii="Arial Narrow" w:hAnsi="Arial Narrow"/>
                <w:sz w:val="15"/>
                <w:szCs w:val="15"/>
              </w:rPr>
            </w:pPr>
          </w:p>
        </w:tc>
      </w:tr>
      <w:tr w:rsidR="002D0AE7" w14:paraId="296984EE" w14:textId="77777777">
        <w:trPr>
          <w:jc w:val="center"/>
        </w:trPr>
        <w:tc>
          <w:tcPr>
            <w:tcW w:w="634" w:type="pct"/>
            <w:vAlign w:val="center"/>
          </w:tcPr>
          <w:p w14:paraId="757F6E69" w14:textId="77777777" w:rsidR="002D0AE7" w:rsidRDefault="00333EBB">
            <w:pPr>
              <w:rPr>
                <w:rFonts w:hint="eastAsia"/>
                <w:color w:val="000000" w:themeColor="text1"/>
                <w:sz w:val="18"/>
                <w:szCs w:val="18"/>
              </w:rPr>
            </w:pPr>
            <w:r>
              <w:rPr>
                <w:color w:val="000000" w:themeColor="text1"/>
                <w:sz w:val="18"/>
                <w:szCs w:val="18"/>
              </w:rPr>
              <w:t>3</w:t>
            </w:r>
            <w:r>
              <w:rPr>
                <w:color w:val="000000" w:themeColor="text1"/>
                <w:sz w:val="18"/>
                <w:szCs w:val="18"/>
              </w:rPr>
              <w:t>．对所有者（或股东）的分配</w:t>
            </w:r>
          </w:p>
        </w:tc>
        <w:tc>
          <w:tcPr>
            <w:tcW w:w="404" w:type="pct"/>
            <w:vAlign w:val="center"/>
          </w:tcPr>
          <w:p w14:paraId="34BBB186"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1F96336E"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603FBCF4"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0840CD1D"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8" w:type="pct"/>
            <w:vAlign w:val="center"/>
          </w:tcPr>
          <w:p w14:paraId="3909774D" w14:textId="77777777" w:rsidR="002D0AE7" w:rsidRDefault="00333EBB">
            <w:pPr>
              <w:jc w:val="right"/>
              <w:rPr>
                <w:rFonts w:ascii="Arial Narrow" w:hAnsi="Arial Narrow"/>
                <w:sz w:val="15"/>
                <w:szCs w:val="15"/>
              </w:rPr>
            </w:pPr>
            <w:r>
              <w:rPr>
                <w:rFonts w:ascii="Arial Narrow" w:hAnsi="Arial Narrow"/>
                <w:sz w:val="15"/>
                <w:szCs w:val="15"/>
              </w:rPr>
              <w:t>0.00</w:t>
            </w:r>
          </w:p>
        </w:tc>
        <w:tc>
          <w:tcPr>
            <w:tcW w:w="312" w:type="pct"/>
            <w:vAlign w:val="center"/>
          </w:tcPr>
          <w:p w14:paraId="3B328D6E" w14:textId="77777777" w:rsidR="002D0AE7" w:rsidRDefault="00333EBB">
            <w:pPr>
              <w:jc w:val="right"/>
              <w:rPr>
                <w:rFonts w:ascii="Arial Narrow" w:hAnsi="Arial Narrow"/>
                <w:sz w:val="15"/>
                <w:szCs w:val="15"/>
              </w:rPr>
            </w:pPr>
            <w:r>
              <w:rPr>
                <w:rFonts w:ascii="Arial Narrow" w:hAnsi="Arial Narrow"/>
                <w:sz w:val="15"/>
                <w:szCs w:val="15"/>
              </w:rPr>
              <w:t>0.00</w:t>
            </w:r>
          </w:p>
        </w:tc>
        <w:tc>
          <w:tcPr>
            <w:tcW w:w="334" w:type="pct"/>
            <w:vAlign w:val="center"/>
          </w:tcPr>
          <w:p w14:paraId="1D68813E" w14:textId="77777777" w:rsidR="002D0AE7" w:rsidRDefault="00333EBB">
            <w:pPr>
              <w:jc w:val="right"/>
              <w:rPr>
                <w:rFonts w:ascii="Arial Narrow" w:hAnsi="Arial Narrow"/>
                <w:sz w:val="15"/>
                <w:szCs w:val="15"/>
              </w:rPr>
            </w:pPr>
            <w:r>
              <w:rPr>
                <w:rFonts w:ascii="Arial Narrow" w:hAnsi="Arial Narrow"/>
                <w:sz w:val="15"/>
                <w:szCs w:val="15"/>
              </w:rPr>
              <w:t>0.00</w:t>
            </w:r>
          </w:p>
        </w:tc>
        <w:tc>
          <w:tcPr>
            <w:tcW w:w="312" w:type="pct"/>
            <w:vAlign w:val="center"/>
          </w:tcPr>
          <w:p w14:paraId="4D32D78D"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8" w:type="pct"/>
            <w:vAlign w:val="center"/>
          </w:tcPr>
          <w:p w14:paraId="3284269F" w14:textId="77777777" w:rsidR="002D0AE7" w:rsidRDefault="00333EBB">
            <w:pPr>
              <w:jc w:val="right"/>
              <w:rPr>
                <w:rFonts w:ascii="Arial Narrow" w:hAnsi="Arial Narrow"/>
                <w:sz w:val="15"/>
                <w:szCs w:val="15"/>
              </w:rPr>
            </w:pPr>
            <w:r>
              <w:rPr>
                <w:rFonts w:ascii="Arial Narrow" w:hAnsi="Arial Narrow"/>
                <w:sz w:val="15"/>
                <w:szCs w:val="15"/>
              </w:rPr>
              <w:t>0.00</w:t>
            </w:r>
          </w:p>
        </w:tc>
        <w:tc>
          <w:tcPr>
            <w:tcW w:w="132" w:type="pct"/>
            <w:vAlign w:val="center"/>
          </w:tcPr>
          <w:p w14:paraId="12CA78E8" w14:textId="77777777" w:rsidR="002D0AE7" w:rsidRDefault="002D0AE7">
            <w:pPr>
              <w:jc w:val="right"/>
              <w:rPr>
                <w:rFonts w:ascii="Arial Narrow" w:hAnsi="Arial Narrow"/>
                <w:sz w:val="15"/>
                <w:szCs w:val="15"/>
              </w:rPr>
            </w:pPr>
          </w:p>
        </w:tc>
        <w:tc>
          <w:tcPr>
            <w:tcW w:w="405" w:type="pct"/>
            <w:vAlign w:val="center"/>
          </w:tcPr>
          <w:p w14:paraId="7C8D1945" w14:textId="77777777" w:rsidR="002D0AE7" w:rsidRDefault="00333EBB">
            <w:pPr>
              <w:jc w:val="right"/>
              <w:rPr>
                <w:rFonts w:ascii="Arial Narrow" w:hAnsi="Arial Narrow"/>
                <w:sz w:val="15"/>
                <w:szCs w:val="15"/>
              </w:rPr>
            </w:pPr>
            <w:r>
              <w:rPr>
                <w:rFonts w:ascii="Arial Narrow" w:hAnsi="Arial Narrow"/>
                <w:sz w:val="15"/>
                <w:szCs w:val="15"/>
              </w:rPr>
              <w:t>-95,172,143.16</w:t>
            </w:r>
          </w:p>
        </w:tc>
        <w:tc>
          <w:tcPr>
            <w:tcW w:w="132" w:type="pct"/>
            <w:vAlign w:val="center"/>
          </w:tcPr>
          <w:p w14:paraId="4C0F66B9" w14:textId="77777777" w:rsidR="002D0AE7" w:rsidRDefault="002D0AE7">
            <w:pPr>
              <w:jc w:val="right"/>
              <w:rPr>
                <w:rFonts w:ascii="Arial Narrow" w:hAnsi="Arial Narrow"/>
                <w:sz w:val="15"/>
                <w:szCs w:val="15"/>
              </w:rPr>
            </w:pPr>
          </w:p>
        </w:tc>
        <w:tc>
          <w:tcPr>
            <w:tcW w:w="407" w:type="pct"/>
            <w:vAlign w:val="center"/>
          </w:tcPr>
          <w:p w14:paraId="05E4AE63" w14:textId="77777777" w:rsidR="002D0AE7" w:rsidRDefault="00333EBB">
            <w:pPr>
              <w:jc w:val="right"/>
              <w:rPr>
                <w:rFonts w:ascii="Arial Narrow" w:hAnsi="Arial Narrow"/>
                <w:sz w:val="15"/>
                <w:szCs w:val="15"/>
              </w:rPr>
            </w:pPr>
            <w:r>
              <w:rPr>
                <w:rFonts w:ascii="Arial Narrow" w:hAnsi="Arial Narrow"/>
                <w:sz w:val="15"/>
                <w:szCs w:val="15"/>
              </w:rPr>
              <w:t>-95,172,143.16</w:t>
            </w:r>
          </w:p>
        </w:tc>
        <w:tc>
          <w:tcPr>
            <w:tcW w:w="358" w:type="pct"/>
            <w:vAlign w:val="center"/>
          </w:tcPr>
          <w:p w14:paraId="3102C403" w14:textId="77777777" w:rsidR="002D0AE7" w:rsidRDefault="002D0AE7">
            <w:pPr>
              <w:jc w:val="right"/>
              <w:rPr>
                <w:rFonts w:ascii="Arial Narrow" w:hAnsi="Arial Narrow"/>
                <w:sz w:val="15"/>
                <w:szCs w:val="15"/>
              </w:rPr>
            </w:pPr>
          </w:p>
        </w:tc>
        <w:tc>
          <w:tcPr>
            <w:tcW w:w="398" w:type="pct"/>
            <w:vAlign w:val="center"/>
          </w:tcPr>
          <w:p w14:paraId="52267BD5" w14:textId="77777777" w:rsidR="002D0AE7" w:rsidRDefault="00333EBB">
            <w:pPr>
              <w:jc w:val="right"/>
              <w:rPr>
                <w:rFonts w:ascii="Arial Narrow" w:hAnsi="Arial Narrow"/>
                <w:sz w:val="15"/>
                <w:szCs w:val="15"/>
              </w:rPr>
            </w:pPr>
            <w:r>
              <w:rPr>
                <w:rFonts w:ascii="Arial Narrow" w:hAnsi="Arial Narrow"/>
                <w:sz w:val="15"/>
                <w:szCs w:val="15"/>
              </w:rPr>
              <w:t>-95,172,143.16</w:t>
            </w:r>
          </w:p>
        </w:tc>
      </w:tr>
      <w:tr w:rsidR="002D0AE7" w14:paraId="4C08C09A" w14:textId="77777777">
        <w:trPr>
          <w:jc w:val="center"/>
        </w:trPr>
        <w:tc>
          <w:tcPr>
            <w:tcW w:w="634" w:type="pct"/>
            <w:vAlign w:val="center"/>
          </w:tcPr>
          <w:p w14:paraId="501D5D2D" w14:textId="77777777" w:rsidR="002D0AE7" w:rsidRDefault="00333EBB">
            <w:pPr>
              <w:rPr>
                <w:rFonts w:hint="eastAsia"/>
                <w:color w:val="000000" w:themeColor="text1"/>
                <w:sz w:val="18"/>
                <w:szCs w:val="18"/>
              </w:rPr>
            </w:pPr>
            <w:r>
              <w:rPr>
                <w:color w:val="000000" w:themeColor="text1"/>
                <w:sz w:val="18"/>
                <w:szCs w:val="18"/>
              </w:rPr>
              <w:t>4</w:t>
            </w:r>
            <w:r>
              <w:rPr>
                <w:color w:val="000000" w:themeColor="text1"/>
                <w:sz w:val="18"/>
                <w:szCs w:val="18"/>
              </w:rPr>
              <w:t>．其他</w:t>
            </w:r>
          </w:p>
        </w:tc>
        <w:tc>
          <w:tcPr>
            <w:tcW w:w="404" w:type="pct"/>
            <w:vAlign w:val="center"/>
          </w:tcPr>
          <w:p w14:paraId="118C6277" w14:textId="77777777" w:rsidR="002D0AE7" w:rsidRDefault="002D0AE7">
            <w:pPr>
              <w:jc w:val="right"/>
              <w:rPr>
                <w:rFonts w:ascii="Arial Narrow" w:hAnsi="Arial Narrow"/>
                <w:sz w:val="15"/>
                <w:szCs w:val="15"/>
              </w:rPr>
            </w:pPr>
          </w:p>
        </w:tc>
        <w:tc>
          <w:tcPr>
            <w:tcW w:w="152" w:type="pct"/>
            <w:vAlign w:val="center"/>
          </w:tcPr>
          <w:p w14:paraId="51AA1DE9" w14:textId="77777777" w:rsidR="002D0AE7" w:rsidRDefault="002D0AE7">
            <w:pPr>
              <w:jc w:val="right"/>
              <w:rPr>
                <w:rFonts w:ascii="Arial Narrow" w:hAnsi="Arial Narrow"/>
                <w:sz w:val="15"/>
                <w:szCs w:val="15"/>
              </w:rPr>
            </w:pPr>
          </w:p>
        </w:tc>
        <w:tc>
          <w:tcPr>
            <w:tcW w:w="152" w:type="pct"/>
            <w:vAlign w:val="center"/>
          </w:tcPr>
          <w:p w14:paraId="064A53B5" w14:textId="77777777" w:rsidR="002D0AE7" w:rsidRDefault="002D0AE7">
            <w:pPr>
              <w:jc w:val="right"/>
              <w:rPr>
                <w:rFonts w:ascii="Arial Narrow" w:hAnsi="Arial Narrow"/>
                <w:sz w:val="15"/>
                <w:szCs w:val="15"/>
              </w:rPr>
            </w:pPr>
          </w:p>
        </w:tc>
        <w:tc>
          <w:tcPr>
            <w:tcW w:w="152" w:type="pct"/>
            <w:vAlign w:val="center"/>
          </w:tcPr>
          <w:p w14:paraId="6C79F4FB" w14:textId="77777777" w:rsidR="002D0AE7" w:rsidRDefault="002D0AE7">
            <w:pPr>
              <w:jc w:val="right"/>
              <w:rPr>
                <w:rFonts w:ascii="Arial Narrow" w:hAnsi="Arial Narrow"/>
                <w:sz w:val="15"/>
                <w:szCs w:val="15"/>
              </w:rPr>
            </w:pPr>
          </w:p>
        </w:tc>
        <w:tc>
          <w:tcPr>
            <w:tcW w:w="358" w:type="pct"/>
            <w:vAlign w:val="center"/>
          </w:tcPr>
          <w:p w14:paraId="1DB84429" w14:textId="77777777" w:rsidR="002D0AE7" w:rsidRDefault="002D0AE7">
            <w:pPr>
              <w:jc w:val="right"/>
              <w:rPr>
                <w:rFonts w:ascii="Arial Narrow" w:hAnsi="Arial Narrow"/>
                <w:sz w:val="15"/>
                <w:szCs w:val="15"/>
              </w:rPr>
            </w:pPr>
          </w:p>
        </w:tc>
        <w:tc>
          <w:tcPr>
            <w:tcW w:w="312" w:type="pct"/>
            <w:vAlign w:val="center"/>
          </w:tcPr>
          <w:p w14:paraId="411B9FDA" w14:textId="77777777" w:rsidR="002D0AE7" w:rsidRDefault="002D0AE7">
            <w:pPr>
              <w:jc w:val="right"/>
              <w:rPr>
                <w:rFonts w:ascii="Arial Narrow" w:hAnsi="Arial Narrow"/>
                <w:sz w:val="15"/>
                <w:szCs w:val="15"/>
              </w:rPr>
            </w:pPr>
          </w:p>
        </w:tc>
        <w:tc>
          <w:tcPr>
            <w:tcW w:w="334" w:type="pct"/>
            <w:vAlign w:val="center"/>
          </w:tcPr>
          <w:p w14:paraId="5BD0488F" w14:textId="77777777" w:rsidR="002D0AE7" w:rsidRDefault="002D0AE7">
            <w:pPr>
              <w:jc w:val="right"/>
              <w:rPr>
                <w:rFonts w:ascii="Arial Narrow" w:hAnsi="Arial Narrow"/>
                <w:sz w:val="15"/>
                <w:szCs w:val="15"/>
              </w:rPr>
            </w:pPr>
          </w:p>
        </w:tc>
        <w:tc>
          <w:tcPr>
            <w:tcW w:w="312" w:type="pct"/>
            <w:vAlign w:val="center"/>
          </w:tcPr>
          <w:p w14:paraId="607C7209" w14:textId="77777777" w:rsidR="002D0AE7" w:rsidRDefault="002D0AE7">
            <w:pPr>
              <w:jc w:val="right"/>
              <w:rPr>
                <w:rFonts w:ascii="Arial Narrow" w:hAnsi="Arial Narrow"/>
                <w:sz w:val="15"/>
                <w:szCs w:val="15"/>
              </w:rPr>
            </w:pPr>
          </w:p>
        </w:tc>
        <w:tc>
          <w:tcPr>
            <w:tcW w:w="358" w:type="pct"/>
            <w:vAlign w:val="center"/>
          </w:tcPr>
          <w:p w14:paraId="212FA62D" w14:textId="77777777" w:rsidR="002D0AE7" w:rsidRDefault="002D0AE7">
            <w:pPr>
              <w:jc w:val="right"/>
              <w:rPr>
                <w:rFonts w:ascii="Arial Narrow" w:hAnsi="Arial Narrow"/>
                <w:sz w:val="15"/>
                <w:szCs w:val="15"/>
              </w:rPr>
            </w:pPr>
          </w:p>
        </w:tc>
        <w:tc>
          <w:tcPr>
            <w:tcW w:w="132" w:type="pct"/>
            <w:vAlign w:val="center"/>
          </w:tcPr>
          <w:p w14:paraId="3C06DD32" w14:textId="77777777" w:rsidR="002D0AE7" w:rsidRDefault="002D0AE7">
            <w:pPr>
              <w:jc w:val="right"/>
              <w:rPr>
                <w:rFonts w:ascii="Arial Narrow" w:hAnsi="Arial Narrow"/>
                <w:sz w:val="15"/>
                <w:szCs w:val="15"/>
              </w:rPr>
            </w:pPr>
          </w:p>
        </w:tc>
        <w:tc>
          <w:tcPr>
            <w:tcW w:w="405" w:type="pct"/>
            <w:vAlign w:val="center"/>
          </w:tcPr>
          <w:p w14:paraId="6E60A0A0" w14:textId="77777777" w:rsidR="002D0AE7" w:rsidRDefault="002D0AE7">
            <w:pPr>
              <w:jc w:val="right"/>
              <w:rPr>
                <w:rFonts w:ascii="Arial Narrow" w:hAnsi="Arial Narrow"/>
                <w:sz w:val="15"/>
                <w:szCs w:val="15"/>
              </w:rPr>
            </w:pPr>
          </w:p>
        </w:tc>
        <w:tc>
          <w:tcPr>
            <w:tcW w:w="132" w:type="pct"/>
            <w:vAlign w:val="center"/>
          </w:tcPr>
          <w:p w14:paraId="0BFF15AF" w14:textId="77777777" w:rsidR="002D0AE7" w:rsidRDefault="002D0AE7">
            <w:pPr>
              <w:jc w:val="right"/>
              <w:rPr>
                <w:rFonts w:ascii="Arial Narrow" w:hAnsi="Arial Narrow"/>
                <w:sz w:val="15"/>
                <w:szCs w:val="15"/>
              </w:rPr>
            </w:pPr>
          </w:p>
        </w:tc>
        <w:tc>
          <w:tcPr>
            <w:tcW w:w="407" w:type="pct"/>
            <w:vAlign w:val="center"/>
          </w:tcPr>
          <w:p w14:paraId="53EFA248" w14:textId="77777777" w:rsidR="002D0AE7" w:rsidRDefault="002D0AE7">
            <w:pPr>
              <w:jc w:val="right"/>
              <w:rPr>
                <w:rFonts w:ascii="Arial Narrow" w:hAnsi="Arial Narrow"/>
                <w:sz w:val="15"/>
                <w:szCs w:val="15"/>
              </w:rPr>
            </w:pPr>
          </w:p>
        </w:tc>
        <w:tc>
          <w:tcPr>
            <w:tcW w:w="358" w:type="pct"/>
            <w:vAlign w:val="center"/>
          </w:tcPr>
          <w:p w14:paraId="2B31777A" w14:textId="77777777" w:rsidR="002D0AE7" w:rsidRDefault="002D0AE7">
            <w:pPr>
              <w:jc w:val="right"/>
              <w:rPr>
                <w:rFonts w:ascii="Arial Narrow" w:hAnsi="Arial Narrow"/>
                <w:sz w:val="15"/>
                <w:szCs w:val="15"/>
              </w:rPr>
            </w:pPr>
          </w:p>
        </w:tc>
        <w:tc>
          <w:tcPr>
            <w:tcW w:w="398" w:type="pct"/>
            <w:vAlign w:val="center"/>
          </w:tcPr>
          <w:p w14:paraId="23C15C90" w14:textId="77777777" w:rsidR="002D0AE7" w:rsidRDefault="002D0AE7">
            <w:pPr>
              <w:jc w:val="right"/>
              <w:rPr>
                <w:rFonts w:ascii="Arial Narrow" w:hAnsi="Arial Narrow"/>
                <w:sz w:val="15"/>
                <w:szCs w:val="15"/>
              </w:rPr>
            </w:pPr>
          </w:p>
        </w:tc>
      </w:tr>
      <w:tr w:rsidR="002D0AE7" w14:paraId="2410BFA0" w14:textId="77777777">
        <w:trPr>
          <w:jc w:val="center"/>
        </w:trPr>
        <w:tc>
          <w:tcPr>
            <w:tcW w:w="634" w:type="pct"/>
            <w:vAlign w:val="center"/>
          </w:tcPr>
          <w:p w14:paraId="06D1A7F2" w14:textId="77777777" w:rsidR="002D0AE7" w:rsidRDefault="00333EBB">
            <w:pPr>
              <w:rPr>
                <w:rFonts w:hint="eastAsia"/>
                <w:color w:val="000000" w:themeColor="text1"/>
                <w:sz w:val="18"/>
                <w:szCs w:val="18"/>
              </w:rPr>
            </w:pPr>
            <w:r>
              <w:rPr>
                <w:color w:val="000000" w:themeColor="text1"/>
                <w:sz w:val="18"/>
                <w:szCs w:val="18"/>
              </w:rPr>
              <w:t>（</w:t>
            </w:r>
            <w:r>
              <w:rPr>
                <w:rFonts w:hint="eastAsia"/>
                <w:color w:val="000000" w:themeColor="text1"/>
                <w:sz w:val="18"/>
                <w:szCs w:val="18"/>
              </w:rPr>
              <w:t>四</w:t>
            </w:r>
            <w:r>
              <w:rPr>
                <w:color w:val="000000" w:themeColor="text1"/>
                <w:sz w:val="18"/>
                <w:szCs w:val="18"/>
              </w:rPr>
              <w:t>）所有者权益内部结转</w:t>
            </w:r>
          </w:p>
        </w:tc>
        <w:tc>
          <w:tcPr>
            <w:tcW w:w="404" w:type="pct"/>
            <w:vAlign w:val="center"/>
          </w:tcPr>
          <w:p w14:paraId="342493C8" w14:textId="77777777" w:rsidR="002D0AE7" w:rsidRDefault="002D0AE7">
            <w:pPr>
              <w:jc w:val="right"/>
              <w:rPr>
                <w:rFonts w:ascii="Arial Narrow" w:hAnsi="Arial Narrow"/>
                <w:sz w:val="15"/>
                <w:szCs w:val="15"/>
              </w:rPr>
            </w:pPr>
          </w:p>
        </w:tc>
        <w:tc>
          <w:tcPr>
            <w:tcW w:w="152" w:type="pct"/>
            <w:vAlign w:val="center"/>
          </w:tcPr>
          <w:p w14:paraId="7A462137" w14:textId="77777777" w:rsidR="002D0AE7" w:rsidRDefault="002D0AE7">
            <w:pPr>
              <w:jc w:val="right"/>
              <w:rPr>
                <w:rFonts w:ascii="Arial Narrow" w:hAnsi="Arial Narrow"/>
                <w:sz w:val="15"/>
                <w:szCs w:val="15"/>
              </w:rPr>
            </w:pPr>
          </w:p>
        </w:tc>
        <w:tc>
          <w:tcPr>
            <w:tcW w:w="152" w:type="pct"/>
            <w:vAlign w:val="center"/>
          </w:tcPr>
          <w:p w14:paraId="6F7538B5" w14:textId="77777777" w:rsidR="002D0AE7" w:rsidRDefault="002D0AE7">
            <w:pPr>
              <w:jc w:val="right"/>
              <w:rPr>
                <w:rFonts w:ascii="Arial Narrow" w:hAnsi="Arial Narrow"/>
                <w:sz w:val="15"/>
                <w:szCs w:val="15"/>
              </w:rPr>
            </w:pPr>
          </w:p>
        </w:tc>
        <w:tc>
          <w:tcPr>
            <w:tcW w:w="152" w:type="pct"/>
            <w:vAlign w:val="center"/>
          </w:tcPr>
          <w:p w14:paraId="7F0D7029" w14:textId="77777777" w:rsidR="002D0AE7" w:rsidRDefault="002D0AE7">
            <w:pPr>
              <w:jc w:val="right"/>
              <w:rPr>
                <w:rFonts w:ascii="Arial Narrow" w:hAnsi="Arial Narrow"/>
                <w:sz w:val="15"/>
                <w:szCs w:val="15"/>
              </w:rPr>
            </w:pPr>
          </w:p>
        </w:tc>
        <w:tc>
          <w:tcPr>
            <w:tcW w:w="358" w:type="pct"/>
            <w:vAlign w:val="center"/>
          </w:tcPr>
          <w:p w14:paraId="4194D133" w14:textId="77777777" w:rsidR="002D0AE7" w:rsidRDefault="002D0AE7">
            <w:pPr>
              <w:jc w:val="right"/>
              <w:rPr>
                <w:rFonts w:ascii="Arial Narrow" w:hAnsi="Arial Narrow"/>
                <w:sz w:val="15"/>
                <w:szCs w:val="15"/>
              </w:rPr>
            </w:pPr>
          </w:p>
        </w:tc>
        <w:tc>
          <w:tcPr>
            <w:tcW w:w="312" w:type="pct"/>
            <w:vAlign w:val="center"/>
          </w:tcPr>
          <w:p w14:paraId="052A788F" w14:textId="77777777" w:rsidR="002D0AE7" w:rsidRDefault="002D0AE7">
            <w:pPr>
              <w:jc w:val="right"/>
              <w:rPr>
                <w:rFonts w:ascii="Arial Narrow" w:hAnsi="Arial Narrow"/>
                <w:sz w:val="15"/>
                <w:szCs w:val="15"/>
              </w:rPr>
            </w:pPr>
          </w:p>
        </w:tc>
        <w:tc>
          <w:tcPr>
            <w:tcW w:w="334" w:type="pct"/>
            <w:vAlign w:val="center"/>
          </w:tcPr>
          <w:p w14:paraId="495FB00F" w14:textId="77777777" w:rsidR="002D0AE7" w:rsidRDefault="002D0AE7">
            <w:pPr>
              <w:jc w:val="right"/>
              <w:rPr>
                <w:rFonts w:ascii="Arial Narrow" w:hAnsi="Arial Narrow"/>
                <w:sz w:val="15"/>
                <w:szCs w:val="15"/>
              </w:rPr>
            </w:pPr>
          </w:p>
        </w:tc>
        <w:tc>
          <w:tcPr>
            <w:tcW w:w="312" w:type="pct"/>
            <w:vAlign w:val="center"/>
          </w:tcPr>
          <w:p w14:paraId="76F20C6F" w14:textId="77777777" w:rsidR="002D0AE7" w:rsidRDefault="002D0AE7">
            <w:pPr>
              <w:jc w:val="right"/>
              <w:rPr>
                <w:rFonts w:ascii="Arial Narrow" w:hAnsi="Arial Narrow"/>
                <w:sz w:val="15"/>
                <w:szCs w:val="15"/>
              </w:rPr>
            </w:pPr>
          </w:p>
        </w:tc>
        <w:tc>
          <w:tcPr>
            <w:tcW w:w="358" w:type="pct"/>
            <w:vAlign w:val="center"/>
          </w:tcPr>
          <w:p w14:paraId="3ED3E820" w14:textId="77777777" w:rsidR="002D0AE7" w:rsidRDefault="002D0AE7">
            <w:pPr>
              <w:jc w:val="right"/>
              <w:rPr>
                <w:rFonts w:ascii="Arial Narrow" w:hAnsi="Arial Narrow"/>
                <w:sz w:val="15"/>
                <w:szCs w:val="15"/>
              </w:rPr>
            </w:pPr>
          </w:p>
        </w:tc>
        <w:tc>
          <w:tcPr>
            <w:tcW w:w="132" w:type="pct"/>
            <w:vAlign w:val="center"/>
          </w:tcPr>
          <w:p w14:paraId="627CD962" w14:textId="77777777" w:rsidR="002D0AE7" w:rsidRDefault="002D0AE7">
            <w:pPr>
              <w:jc w:val="right"/>
              <w:rPr>
                <w:rFonts w:ascii="Arial Narrow" w:hAnsi="Arial Narrow"/>
                <w:sz w:val="15"/>
                <w:szCs w:val="15"/>
              </w:rPr>
            </w:pPr>
          </w:p>
        </w:tc>
        <w:tc>
          <w:tcPr>
            <w:tcW w:w="405" w:type="pct"/>
            <w:vAlign w:val="center"/>
          </w:tcPr>
          <w:p w14:paraId="6AAC628F" w14:textId="77777777" w:rsidR="002D0AE7" w:rsidRDefault="002D0AE7">
            <w:pPr>
              <w:jc w:val="right"/>
              <w:rPr>
                <w:rFonts w:ascii="Arial Narrow" w:hAnsi="Arial Narrow"/>
                <w:sz w:val="15"/>
                <w:szCs w:val="15"/>
              </w:rPr>
            </w:pPr>
          </w:p>
        </w:tc>
        <w:tc>
          <w:tcPr>
            <w:tcW w:w="132" w:type="pct"/>
            <w:vAlign w:val="center"/>
          </w:tcPr>
          <w:p w14:paraId="724DFF9B" w14:textId="77777777" w:rsidR="002D0AE7" w:rsidRDefault="002D0AE7">
            <w:pPr>
              <w:jc w:val="right"/>
              <w:rPr>
                <w:rFonts w:ascii="Arial Narrow" w:hAnsi="Arial Narrow"/>
                <w:sz w:val="15"/>
                <w:szCs w:val="15"/>
              </w:rPr>
            </w:pPr>
          </w:p>
        </w:tc>
        <w:tc>
          <w:tcPr>
            <w:tcW w:w="407" w:type="pct"/>
            <w:vAlign w:val="center"/>
          </w:tcPr>
          <w:p w14:paraId="3553E095" w14:textId="77777777" w:rsidR="002D0AE7" w:rsidRDefault="002D0AE7">
            <w:pPr>
              <w:jc w:val="right"/>
              <w:rPr>
                <w:rFonts w:ascii="Arial Narrow" w:hAnsi="Arial Narrow"/>
                <w:sz w:val="15"/>
                <w:szCs w:val="15"/>
              </w:rPr>
            </w:pPr>
          </w:p>
        </w:tc>
        <w:tc>
          <w:tcPr>
            <w:tcW w:w="358" w:type="pct"/>
            <w:vAlign w:val="center"/>
          </w:tcPr>
          <w:p w14:paraId="6DDB96F5" w14:textId="77777777" w:rsidR="002D0AE7" w:rsidRDefault="002D0AE7">
            <w:pPr>
              <w:jc w:val="right"/>
              <w:rPr>
                <w:rFonts w:ascii="Arial Narrow" w:hAnsi="Arial Narrow"/>
                <w:sz w:val="15"/>
                <w:szCs w:val="15"/>
              </w:rPr>
            </w:pPr>
          </w:p>
        </w:tc>
        <w:tc>
          <w:tcPr>
            <w:tcW w:w="398" w:type="pct"/>
            <w:vAlign w:val="center"/>
          </w:tcPr>
          <w:p w14:paraId="1C3B2540" w14:textId="77777777" w:rsidR="002D0AE7" w:rsidRDefault="002D0AE7">
            <w:pPr>
              <w:jc w:val="right"/>
              <w:rPr>
                <w:rFonts w:ascii="Arial Narrow" w:hAnsi="Arial Narrow"/>
                <w:sz w:val="15"/>
                <w:szCs w:val="15"/>
              </w:rPr>
            </w:pPr>
          </w:p>
        </w:tc>
      </w:tr>
      <w:tr w:rsidR="002D0AE7" w14:paraId="1CA829FF" w14:textId="77777777">
        <w:trPr>
          <w:jc w:val="center"/>
        </w:trPr>
        <w:tc>
          <w:tcPr>
            <w:tcW w:w="634" w:type="pct"/>
            <w:vAlign w:val="center"/>
          </w:tcPr>
          <w:p w14:paraId="31941985" w14:textId="77777777" w:rsidR="002D0AE7" w:rsidRDefault="00333EBB">
            <w:pPr>
              <w:rPr>
                <w:rFonts w:hint="eastAsia"/>
                <w:color w:val="000000" w:themeColor="text1"/>
                <w:sz w:val="18"/>
                <w:szCs w:val="18"/>
              </w:rPr>
            </w:pPr>
            <w:r>
              <w:rPr>
                <w:color w:val="000000" w:themeColor="text1"/>
                <w:sz w:val="18"/>
                <w:szCs w:val="18"/>
              </w:rPr>
              <w:t>1</w:t>
            </w:r>
            <w:r>
              <w:rPr>
                <w:color w:val="000000" w:themeColor="text1"/>
                <w:sz w:val="18"/>
                <w:szCs w:val="18"/>
              </w:rPr>
              <w:t>．资本公积转增资本（或股本）</w:t>
            </w:r>
          </w:p>
        </w:tc>
        <w:tc>
          <w:tcPr>
            <w:tcW w:w="404" w:type="pct"/>
            <w:vAlign w:val="center"/>
          </w:tcPr>
          <w:p w14:paraId="19A3C63B" w14:textId="77777777" w:rsidR="002D0AE7" w:rsidRDefault="002D0AE7">
            <w:pPr>
              <w:jc w:val="right"/>
              <w:rPr>
                <w:rFonts w:ascii="Arial Narrow" w:hAnsi="Arial Narrow"/>
                <w:sz w:val="15"/>
                <w:szCs w:val="15"/>
              </w:rPr>
            </w:pPr>
          </w:p>
        </w:tc>
        <w:tc>
          <w:tcPr>
            <w:tcW w:w="152" w:type="pct"/>
            <w:vAlign w:val="center"/>
          </w:tcPr>
          <w:p w14:paraId="3AF880C7" w14:textId="77777777" w:rsidR="002D0AE7" w:rsidRDefault="002D0AE7">
            <w:pPr>
              <w:jc w:val="right"/>
              <w:rPr>
                <w:rFonts w:ascii="Arial Narrow" w:hAnsi="Arial Narrow"/>
                <w:sz w:val="15"/>
                <w:szCs w:val="15"/>
              </w:rPr>
            </w:pPr>
          </w:p>
        </w:tc>
        <w:tc>
          <w:tcPr>
            <w:tcW w:w="152" w:type="pct"/>
            <w:vAlign w:val="center"/>
          </w:tcPr>
          <w:p w14:paraId="6A7126BC" w14:textId="77777777" w:rsidR="002D0AE7" w:rsidRDefault="002D0AE7">
            <w:pPr>
              <w:jc w:val="right"/>
              <w:rPr>
                <w:rFonts w:ascii="Arial Narrow" w:hAnsi="Arial Narrow"/>
                <w:sz w:val="15"/>
                <w:szCs w:val="15"/>
              </w:rPr>
            </w:pPr>
          </w:p>
        </w:tc>
        <w:tc>
          <w:tcPr>
            <w:tcW w:w="152" w:type="pct"/>
            <w:vAlign w:val="center"/>
          </w:tcPr>
          <w:p w14:paraId="11E7EF57" w14:textId="77777777" w:rsidR="002D0AE7" w:rsidRDefault="002D0AE7">
            <w:pPr>
              <w:jc w:val="right"/>
              <w:rPr>
                <w:rFonts w:ascii="Arial Narrow" w:hAnsi="Arial Narrow"/>
                <w:sz w:val="15"/>
                <w:szCs w:val="15"/>
              </w:rPr>
            </w:pPr>
          </w:p>
        </w:tc>
        <w:tc>
          <w:tcPr>
            <w:tcW w:w="358" w:type="pct"/>
            <w:vAlign w:val="center"/>
          </w:tcPr>
          <w:p w14:paraId="09D58572" w14:textId="77777777" w:rsidR="002D0AE7" w:rsidRDefault="002D0AE7">
            <w:pPr>
              <w:jc w:val="right"/>
              <w:rPr>
                <w:rFonts w:ascii="Arial Narrow" w:hAnsi="Arial Narrow"/>
                <w:sz w:val="15"/>
                <w:szCs w:val="15"/>
              </w:rPr>
            </w:pPr>
          </w:p>
        </w:tc>
        <w:tc>
          <w:tcPr>
            <w:tcW w:w="312" w:type="pct"/>
            <w:vAlign w:val="center"/>
          </w:tcPr>
          <w:p w14:paraId="5F6D19AA" w14:textId="77777777" w:rsidR="002D0AE7" w:rsidRDefault="002D0AE7">
            <w:pPr>
              <w:jc w:val="right"/>
              <w:rPr>
                <w:rFonts w:ascii="Arial Narrow" w:hAnsi="Arial Narrow"/>
                <w:sz w:val="15"/>
                <w:szCs w:val="15"/>
              </w:rPr>
            </w:pPr>
          </w:p>
        </w:tc>
        <w:tc>
          <w:tcPr>
            <w:tcW w:w="334" w:type="pct"/>
            <w:vAlign w:val="center"/>
          </w:tcPr>
          <w:p w14:paraId="777E71E3" w14:textId="77777777" w:rsidR="002D0AE7" w:rsidRDefault="002D0AE7">
            <w:pPr>
              <w:jc w:val="right"/>
              <w:rPr>
                <w:rFonts w:ascii="Arial Narrow" w:hAnsi="Arial Narrow"/>
                <w:sz w:val="15"/>
                <w:szCs w:val="15"/>
              </w:rPr>
            </w:pPr>
          </w:p>
        </w:tc>
        <w:tc>
          <w:tcPr>
            <w:tcW w:w="312" w:type="pct"/>
            <w:vAlign w:val="center"/>
          </w:tcPr>
          <w:p w14:paraId="48E3F738" w14:textId="77777777" w:rsidR="002D0AE7" w:rsidRDefault="002D0AE7">
            <w:pPr>
              <w:jc w:val="right"/>
              <w:rPr>
                <w:rFonts w:ascii="Arial Narrow" w:hAnsi="Arial Narrow"/>
                <w:sz w:val="15"/>
                <w:szCs w:val="15"/>
              </w:rPr>
            </w:pPr>
          </w:p>
        </w:tc>
        <w:tc>
          <w:tcPr>
            <w:tcW w:w="358" w:type="pct"/>
            <w:vAlign w:val="center"/>
          </w:tcPr>
          <w:p w14:paraId="6C8FEC98" w14:textId="77777777" w:rsidR="002D0AE7" w:rsidRDefault="002D0AE7">
            <w:pPr>
              <w:jc w:val="right"/>
              <w:rPr>
                <w:rFonts w:ascii="Arial Narrow" w:hAnsi="Arial Narrow"/>
                <w:sz w:val="15"/>
                <w:szCs w:val="15"/>
              </w:rPr>
            </w:pPr>
          </w:p>
        </w:tc>
        <w:tc>
          <w:tcPr>
            <w:tcW w:w="132" w:type="pct"/>
            <w:vAlign w:val="center"/>
          </w:tcPr>
          <w:p w14:paraId="68746778" w14:textId="77777777" w:rsidR="002D0AE7" w:rsidRDefault="002D0AE7">
            <w:pPr>
              <w:jc w:val="right"/>
              <w:rPr>
                <w:rFonts w:ascii="Arial Narrow" w:hAnsi="Arial Narrow"/>
                <w:sz w:val="15"/>
                <w:szCs w:val="15"/>
              </w:rPr>
            </w:pPr>
          </w:p>
        </w:tc>
        <w:tc>
          <w:tcPr>
            <w:tcW w:w="405" w:type="pct"/>
            <w:vAlign w:val="center"/>
          </w:tcPr>
          <w:p w14:paraId="54B2684B" w14:textId="77777777" w:rsidR="002D0AE7" w:rsidRDefault="002D0AE7">
            <w:pPr>
              <w:jc w:val="right"/>
              <w:rPr>
                <w:rFonts w:ascii="Arial Narrow" w:hAnsi="Arial Narrow"/>
                <w:sz w:val="15"/>
                <w:szCs w:val="15"/>
              </w:rPr>
            </w:pPr>
          </w:p>
        </w:tc>
        <w:tc>
          <w:tcPr>
            <w:tcW w:w="132" w:type="pct"/>
            <w:vAlign w:val="center"/>
          </w:tcPr>
          <w:p w14:paraId="5B57EF31" w14:textId="77777777" w:rsidR="002D0AE7" w:rsidRDefault="002D0AE7">
            <w:pPr>
              <w:jc w:val="right"/>
              <w:rPr>
                <w:rFonts w:ascii="Arial Narrow" w:hAnsi="Arial Narrow"/>
                <w:sz w:val="15"/>
                <w:szCs w:val="15"/>
              </w:rPr>
            </w:pPr>
          </w:p>
        </w:tc>
        <w:tc>
          <w:tcPr>
            <w:tcW w:w="407" w:type="pct"/>
            <w:vAlign w:val="center"/>
          </w:tcPr>
          <w:p w14:paraId="578024DC" w14:textId="77777777" w:rsidR="002D0AE7" w:rsidRDefault="002D0AE7">
            <w:pPr>
              <w:jc w:val="right"/>
              <w:rPr>
                <w:rFonts w:ascii="Arial Narrow" w:hAnsi="Arial Narrow"/>
                <w:sz w:val="15"/>
                <w:szCs w:val="15"/>
              </w:rPr>
            </w:pPr>
          </w:p>
        </w:tc>
        <w:tc>
          <w:tcPr>
            <w:tcW w:w="358" w:type="pct"/>
            <w:vAlign w:val="center"/>
          </w:tcPr>
          <w:p w14:paraId="6A12E1A3" w14:textId="77777777" w:rsidR="002D0AE7" w:rsidRDefault="002D0AE7">
            <w:pPr>
              <w:jc w:val="right"/>
              <w:rPr>
                <w:rFonts w:ascii="Arial Narrow" w:hAnsi="Arial Narrow"/>
                <w:sz w:val="15"/>
                <w:szCs w:val="15"/>
              </w:rPr>
            </w:pPr>
          </w:p>
        </w:tc>
        <w:tc>
          <w:tcPr>
            <w:tcW w:w="398" w:type="pct"/>
            <w:vAlign w:val="center"/>
          </w:tcPr>
          <w:p w14:paraId="7167229F" w14:textId="77777777" w:rsidR="002D0AE7" w:rsidRDefault="002D0AE7">
            <w:pPr>
              <w:jc w:val="right"/>
              <w:rPr>
                <w:rFonts w:ascii="Arial Narrow" w:hAnsi="Arial Narrow"/>
                <w:sz w:val="15"/>
                <w:szCs w:val="15"/>
              </w:rPr>
            </w:pPr>
          </w:p>
        </w:tc>
      </w:tr>
      <w:tr w:rsidR="002D0AE7" w14:paraId="5D709102" w14:textId="77777777">
        <w:trPr>
          <w:jc w:val="center"/>
        </w:trPr>
        <w:tc>
          <w:tcPr>
            <w:tcW w:w="634" w:type="pct"/>
            <w:vAlign w:val="center"/>
          </w:tcPr>
          <w:p w14:paraId="7A5FD567" w14:textId="77777777" w:rsidR="002D0AE7" w:rsidRDefault="00333EBB">
            <w:pPr>
              <w:rPr>
                <w:rFonts w:hint="eastAsia"/>
                <w:color w:val="000000" w:themeColor="text1"/>
                <w:sz w:val="18"/>
                <w:szCs w:val="18"/>
              </w:rPr>
            </w:pPr>
            <w:r>
              <w:rPr>
                <w:color w:val="000000" w:themeColor="text1"/>
                <w:sz w:val="18"/>
                <w:szCs w:val="18"/>
              </w:rPr>
              <w:t>2</w:t>
            </w:r>
            <w:r>
              <w:rPr>
                <w:color w:val="000000" w:themeColor="text1"/>
                <w:sz w:val="18"/>
                <w:szCs w:val="18"/>
              </w:rPr>
              <w:t>．盈余公积转增资本（或股本）</w:t>
            </w:r>
          </w:p>
        </w:tc>
        <w:tc>
          <w:tcPr>
            <w:tcW w:w="404" w:type="pct"/>
            <w:vAlign w:val="center"/>
          </w:tcPr>
          <w:p w14:paraId="498AD258" w14:textId="77777777" w:rsidR="002D0AE7" w:rsidRDefault="002D0AE7">
            <w:pPr>
              <w:jc w:val="right"/>
              <w:rPr>
                <w:rFonts w:ascii="Arial Narrow" w:hAnsi="Arial Narrow"/>
                <w:sz w:val="15"/>
                <w:szCs w:val="15"/>
              </w:rPr>
            </w:pPr>
          </w:p>
        </w:tc>
        <w:tc>
          <w:tcPr>
            <w:tcW w:w="152" w:type="pct"/>
            <w:vAlign w:val="center"/>
          </w:tcPr>
          <w:p w14:paraId="6DB4529B" w14:textId="77777777" w:rsidR="002D0AE7" w:rsidRDefault="002D0AE7">
            <w:pPr>
              <w:jc w:val="right"/>
              <w:rPr>
                <w:rFonts w:ascii="Arial Narrow" w:hAnsi="Arial Narrow"/>
                <w:sz w:val="15"/>
                <w:szCs w:val="15"/>
              </w:rPr>
            </w:pPr>
          </w:p>
        </w:tc>
        <w:tc>
          <w:tcPr>
            <w:tcW w:w="152" w:type="pct"/>
            <w:vAlign w:val="center"/>
          </w:tcPr>
          <w:p w14:paraId="39D1FFF1" w14:textId="77777777" w:rsidR="002D0AE7" w:rsidRDefault="002D0AE7">
            <w:pPr>
              <w:jc w:val="right"/>
              <w:rPr>
                <w:rFonts w:ascii="Arial Narrow" w:hAnsi="Arial Narrow"/>
                <w:sz w:val="15"/>
                <w:szCs w:val="15"/>
              </w:rPr>
            </w:pPr>
          </w:p>
        </w:tc>
        <w:tc>
          <w:tcPr>
            <w:tcW w:w="152" w:type="pct"/>
            <w:vAlign w:val="center"/>
          </w:tcPr>
          <w:p w14:paraId="48548F4D" w14:textId="77777777" w:rsidR="002D0AE7" w:rsidRDefault="002D0AE7">
            <w:pPr>
              <w:jc w:val="right"/>
              <w:rPr>
                <w:rFonts w:ascii="Arial Narrow" w:hAnsi="Arial Narrow"/>
                <w:sz w:val="15"/>
                <w:szCs w:val="15"/>
              </w:rPr>
            </w:pPr>
          </w:p>
        </w:tc>
        <w:tc>
          <w:tcPr>
            <w:tcW w:w="358" w:type="pct"/>
            <w:vAlign w:val="center"/>
          </w:tcPr>
          <w:p w14:paraId="6F0A5323" w14:textId="77777777" w:rsidR="002D0AE7" w:rsidRDefault="002D0AE7">
            <w:pPr>
              <w:jc w:val="right"/>
              <w:rPr>
                <w:rFonts w:ascii="Arial Narrow" w:hAnsi="Arial Narrow"/>
                <w:sz w:val="15"/>
                <w:szCs w:val="15"/>
              </w:rPr>
            </w:pPr>
          </w:p>
        </w:tc>
        <w:tc>
          <w:tcPr>
            <w:tcW w:w="312" w:type="pct"/>
            <w:vAlign w:val="center"/>
          </w:tcPr>
          <w:p w14:paraId="7A246191" w14:textId="77777777" w:rsidR="002D0AE7" w:rsidRDefault="002D0AE7">
            <w:pPr>
              <w:jc w:val="right"/>
              <w:rPr>
                <w:rFonts w:ascii="Arial Narrow" w:hAnsi="Arial Narrow"/>
                <w:sz w:val="15"/>
                <w:szCs w:val="15"/>
              </w:rPr>
            </w:pPr>
          </w:p>
        </w:tc>
        <w:tc>
          <w:tcPr>
            <w:tcW w:w="334" w:type="pct"/>
            <w:vAlign w:val="center"/>
          </w:tcPr>
          <w:p w14:paraId="60C0019E" w14:textId="77777777" w:rsidR="002D0AE7" w:rsidRDefault="002D0AE7">
            <w:pPr>
              <w:jc w:val="right"/>
              <w:rPr>
                <w:rFonts w:ascii="Arial Narrow" w:hAnsi="Arial Narrow"/>
                <w:sz w:val="15"/>
                <w:szCs w:val="15"/>
              </w:rPr>
            </w:pPr>
          </w:p>
        </w:tc>
        <w:tc>
          <w:tcPr>
            <w:tcW w:w="312" w:type="pct"/>
            <w:vAlign w:val="center"/>
          </w:tcPr>
          <w:p w14:paraId="410AF3AC" w14:textId="77777777" w:rsidR="002D0AE7" w:rsidRDefault="002D0AE7">
            <w:pPr>
              <w:jc w:val="right"/>
              <w:rPr>
                <w:rFonts w:ascii="Arial Narrow" w:hAnsi="Arial Narrow"/>
                <w:sz w:val="15"/>
                <w:szCs w:val="15"/>
              </w:rPr>
            </w:pPr>
          </w:p>
        </w:tc>
        <w:tc>
          <w:tcPr>
            <w:tcW w:w="358" w:type="pct"/>
            <w:vAlign w:val="center"/>
          </w:tcPr>
          <w:p w14:paraId="5C32EF31" w14:textId="77777777" w:rsidR="002D0AE7" w:rsidRDefault="002D0AE7">
            <w:pPr>
              <w:jc w:val="right"/>
              <w:rPr>
                <w:rFonts w:ascii="Arial Narrow" w:hAnsi="Arial Narrow"/>
                <w:sz w:val="15"/>
                <w:szCs w:val="15"/>
              </w:rPr>
            </w:pPr>
          </w:p>
        </w:tc>
        <w:tc>
          <w:tcPr>
            <w:tcW w:w="132" w:type="pct"/>
            <w:vAlign w:val="center"/>
          </w:tcPr>
          <w:p w14:paraId="290EFF3F" w14:textId="77777777" w:rsidR="002D0AE7" w:rsidRDefault="002D0AE7">
            <w:pPr>
              <w:jc w:val="right"/>
              <w:rPr>
                <w:rFonts w:ascii="Arial Narrow" w:hAnsi="Arial Narrow"/>
                <w:sz w:val="15"/>
                <w:szCs w:val="15"/>
              </w:rPr>
            </w:pPr>
          </w:p>
        </w:tc>
        <w:tc>
          <w:tcPr>
            <w:tcW w:w="405" w:type="pct"/>
            <w:vAlign w:val="center"/>
          </w:tcPr>
          <w:p w14:paraId="3F62E290" w14:textId="77777777" w:rsidR="002D0AE7" w:rsidRDefault="002D0AE7">
            <w:pPr>
              <w:jc w:val="right"/>
              <w:rPr>
                <w:rFonts w:ascii="Arial Narrow" w:hAnsi="Arial Narrow"/>
                <w:sz w:val="15"/>
                <w:szCs w:val="15"/>
              </w:rPr>
            </w:pPr>
          </w:p>
        </w:tc>
        <w:tc>
          <w:tcPr>
            <w:tcW w:w="132" w:type="pct"/>
            <w:vAlign w:val="center"/>
          </w:tcPr>
          <w:p w14:paraId="4F9A7D83" w14:textId="77777777" w:rsidR="002D0AE7" w:rsidRDefault="002D0AE7">
            <w:pPr>
              <w:jc w:val="right"/>
              <w:rPr>
                <w:rFonts w:ascii="Arial Narrow" w:hAnsi="Arial Narrow"/>
                <w:sz w:val="15"/>
                <w:szCs w:val="15"/>
              </w:rPr>
            </w:pPr>
          </w:p>
        </w:tc>
        <w:tc>
          <w:tcPr>
            <w:tcW w:w="407" w:type="pct"/>
            <w:vAlign w:val="center"/>
          </w:tcPr>
          <w:p w14:paraId="74CDE434" w14:textId="77777777" w:rsidR="002D0AE7" w:rsidRDefault="002D0AE7">
            <w:pPr>
              <w:jc w:val="right"/>
              <w:rPr>
                <w:rFonts w:ascii="Arial Narrow" w:hAnsi="Arial Narrow"/>
                <w:sz w:val="15"/>
                <w:szCs w:val="15"/>
              </w:rPr>
            </w:pPr>
          </w:p>
        </w:tc>
        <w:tc>
          <w:tcPr>
            <w:tcW w:w="358" w:type="pct"/>
            <w:vAlign w:val="center"/>
          </w:tcPr>
          <w:p w14:paraId="19B88206" w14:textId="77777777" w:rsidR="002D0AE7" w:rsidRDefault="002D0AE7">
            <w:pPr>
              <w:jc w:val="right"/>
              <w:rPr>
                <w:rFonts w:ascii="Arial Narrow" w:hAnsi="Arial Narrow"/>
                <w:sz w:val="15"/>
                <w:szCs w:val="15"/>
              </w:rPr>
            </w:pPr>
          </w:p>
        </w:tc>
        <w:tc>
          <w:tcPr>
            <w:tcW w:w="398" w:type="pct"/>
            <w:vAlign w:val="center"/>
          </w:tcPr>
          <w:p w14:paraId="5660DFA5" w14:textId="77777777" w:rsidR="002D0AE7" w:rsidRDefault="002D0AE7">
            <w:pPr>
              <w:jc w:val="right"/>
              <w:rPr>
                <w:rFonts w:ascii="Arial Narrow" w:hAnsi="Arial Narrow"/>
                <w:sz w:val="15"/>
                <w:szCs w:val="15"/>
              </w:rPr>
            </w:pPr>
          </w:p>
        </w:tc>
      </w:tr>
      <w:tr w:rsidR="002D0AE7" w14:paraId="052E647B" w14:textId="77777777">
        <w:trPr>
          <w:jc w:val="center"/>
        </w:trPr>
        <w:tc>
          <w:tcPr>
            <w:tcW w:w="634" w:type="pct"/>
            <w:vAlign w:val="center"/>
          </w:tcPr>
          <w:p w14:paraId="4277F249" w14:textId="77777777" w:rsidR="002D0AE7" w:rsidRDefault="00333EBB">
            <w:pPr>
              <w:rPr>
                <w:rFonts w:hint="eastAsia"/>
                <w:color w:val="000000" w:themeColor="text1"/>
                <w:sz w:val="18"/>
                <w:szCs w:val="18"/>
              </w:rPr>
            </w:pPr>
            <w:r>
              <w:rPr>
                <w:color w:val="000000" w:themeColor="text1"/>
                <w:sz w:val="18"/>
                <w:szCs w:val="18"/>
              </w:rPr>
              <w:t>3</w:t>
            </w:r>
            <w:r>
              <w:rPr>
                <w:color w:val="000000" w:themeColor="text1"/>
                <w:sz w:val="18"/>
                <w:szCs w:val="18"/>
              </w:rPr>
              <w:t>．盈余公积弥补亏损</w:t>
            </w:r>
          </w:p>
        </w:tc>
        <w:tc>
          <w:tcPr>
            <w:tcW w:w="404" w:type="pct"/>
            <w:vAlign w:val="center"/>
          </w:tcPr>
          <w:p w14:paraId="0E96BE54" w14:textId="77777777" w:rsidR="002D0AE7" w:rsidRDefault="002D0AE7">
            <w:pPr>
              <w:jc w:val="right"/>
              <w:rPr>
                <w:rFonts w:ascii="Arial Narrow" w:hAnsi="Arial Narrow"/>
                <w:sz w:val="15"/>
                <w:szCs w:val="15"/>
              </w:rPr>
            </w:pPr>
          </w:p>
        </w:tc>
        <w:tc>
          <w:tcPr>
            <w:tcW w:w="152" w:type="pct"/>
            <w:vAlign w:val="center"/>
          </w:tcPr>
          <w:p w14:paraId="48104DE5" w14:textId="77777777" w:rsidR="002D0AE7" w:rsidRDefault="002D0AE7">
            <w:pPr>
              <w:jc w:val="right"/>
              <w:rPr>
                <w:rFonts w:ascii="Arial Narrow" w:hAnsi="Arial Narrow"/>
                <w:sz w:val="15"/>
                <w:szCs w:val="15"/>
              </w:rPr>
            </w:pPr>
          </w:p>
        </w:tc>
        <w:tc>
          <w:tcPr>
            <w:tcW w:w="152" w:type="pct"/>
            <w:vAlign w:val="center"/>
          </w:tcPr>
          <w:p w14:paraId="34891891" w14:textId="77777777" w:rsidR="002D0AE7" w:rsidRDefault="002D0AE7">
            <w:pPr>
              <w:jc w:val="right"/>
              <w:rPr>
                <w:rFonts w:ascii="Arial Narrow" w:hAnsi="Arial Narrow"/>
                <w:sz w:val="15"/>
                <w:szCs w:val="15"/>
              </w:rPr>
            </w:pPr>
          </w:p>
        </w:tc>
        <w:tc>
          <w:tcPr>
            <w:tcW w:w="152" w:type="pct"/>
            <w:vAlign w:val="center"/>
          </w:tcPr>
          <w:p w14:paraId="0A804C5E" w14:textId="77777777" w:rsidR="002D0AE7" w:rsidRDefault="002D0AE7">
            <w:pPr>
              <w:jc w:val="right"/>
              <w:rPr>
                <w:rFonts w:ascii="Arial Narrow" w:hAnsi="Arial Narrow"/>
                <w:sz w:val="15"/>
                <w:szCs w:val="15"/>
              </w:rPr>
            </w:pPr>
          </w:p>
        </w:tc>
        <w:tc>
          <w:tcPr>
            <w:tcW w:w="358" w:type="pct"/>
            <w:vAlign w:val="center"/>
          </w:tcPr>
          <w:p w14:paraId="76FE75E1" w14:textId="77777777" w:rsidR="002D0AE7" w:rsidRDefault="002D0AE7">
            <w:pPr>
              <w:jc w:val="right"/>
              <w:rPr>
                <w:rFonts w:ascii="Arial Narrow" w:hAnsi="Arial Narrow"/>
                <w:sz w:val="15"/>
                <w:szCs w:val="15"/>
              </w:rPr>
            </w:pPr>
          </w:p>
        </w:tc>
        <w:tc>
          <w:tcPr>
            <w:tcW w:w="312" w:type="pct"/>
            <w:vAlign w:val="center"/>
          </w:tcPr>
          <w:p w14:paraId="1AFD40BC" w14:textId="77777777" w:rsidR="002D0AE7" w:rsidRDefault="002D0AE7">
            <w:pPr>
              <w:jc w:val="right"/>
              <w:rPr>
                <w:rFonts w:ascii="Arial Narrow" w:hAnsi="Arial Narrow"/>
                <w:sz w:val="15"/>
                <w:szCs w:val="15"/>
              </w:rPr>
            </w:pPr>
          </w:p>
        </w:tc>
        <w:tc>
          <w:tcPr>
            <w:tcW w:w="334" w:type="pct"/>
            <w:vAlign w:val="center"/>
          </w:tcPr>
          <w:p w14:paraId="00A939DA" w14:textId="77777777" w:rsidR="002D0AE7" w:rsidRDefault="002D0AE7">
            <w:pPr>
              <w:jc w:val="right"/>
              <w:rPr>
                <w:rFonts w:ascii="Arial Narrow" w:hAnsi="Arial Narrow"/>
                <w:sz w:val="15"/>
                <w:szCs w:val="15"/>
              </w:rPr>
            </w:pPr>
          </w:p>
        </w:tc>
        <w:tc>
          <w:tcPr>
            <w:tcW w:w="312" w:type="pct"/>
            <w:vAlign w:val="center"/>
          </w:tcPr>
          <w:p w14:paraId="771D1398" w14:textId="77777777" w:rsidR="002D0AE7" w:rsidRDefault="002D0AE7">
            <w:pPr>
              <w:jc w:val="right"/>
              <w:rPr>
                <w:rFonts w:ascii="Arial Narrow" w:hAnsi="Arial Narrow"/>
                <w:sz w:val="15"/>
                <w:szCs w:val="15"/>
              </w:rPr>
            </w:pPr>
          </w:p>
        </w:tc>
        <w:tc>
          <w:tcPr>
            <w:tcW w:w="358" w:type="pct"/>
            <w:vAlign w:val="center"/>
          </w:tcPr>
          <w:p w14:paraId="31859F4A" w14:textId="77777777" w:rsidR="002D0AE7" w:rsidRDefault="002D0AE7">
            <w:pPr>
              <w:jc w:val="right"/>
              <w:rPr>
                <w:rFonts w:ascii="Arial Narrow" w:hAnsi="Arial Narrow"/>
                <w:sz w:val="15"/>
                <w:szCs w:val="15"/>
              </w:rPr>
            </w:pPr>
          </w:p>
        </w:tc>
        <w:tc>
          <w:tcPr>
            <w:tcW w:w="132" w:type="pct"/>
            <w:vAlign w:val="center"/>
          </w:tcPr>
          <w:p w14:paraId="6E3C9CA4" w14:textId="77777777" w:rsidR="002D0AE7" w:rsidRDefault="002D0AE7">
            <w:pPr>
              <w:jc w:val="right"/>
              <w:rPr>
                <w:rFonts w:ascii="Arial Narrow" w:hAnsi="Arial Narrow"/>
                <w:sz w:val="15"/>
                <w:szCs w:val="15"/>
              </w:rPr>
            </w:pPr>
          </w:p>
        </w:tc>
        <w:tc>
          <w:tcPr>
            <w:tcW w:w="405" w:type="pct"/>
            <w:vAlign w:val="center"/>
          </w:tcPr>
          <w:p w14:paraId="265239B7" w14:textId="77777777" w:rsidR="002D0AE7" w:rsidRDefault="002D0AE7">
            <w:pPr>
              <w:jc w:val="right"/>
              <w:rPr>
                <w:rFonts w:ascii="Arial Narrow" w:hAnsi="Arial Narrow"/>
                <w:sz w:val="15"/>
                <w:szCs w:val="15"/>
              </w:rPr>
            </w:pPr>
          </w:p>
        </w:tc>
        <w:tc>
          <w:tcPr>
            <w:tcW w:w="132" w:type="pct"/>
            <w:vAlign w:val="center"/>
          </w:tcPr>
          <w:p w14:paraId="3B7CD7F4" w14:textId="77777777" w:rsidR="002D0AE7" w:rsidRDefault="002D0AE7">
            <w:pPr>
              <w:jc w:val="right"/>
              <w:rPr>
                <w:rFonts w:ascii="Arial Narrow" w:hAnsi="Arial Narrow"/>
                <w:sz w:val="15"/>
                <w:szCs w:val="15"/>
              </w:rPr>
            </w:pPr>
          </w:p>
        </w:tc>
        <w:tc>
          <w:tcPr>
            <w:tcW w:w="407" w:type="pct"/>
            <w:vAlign w:val="center"/>
          </w:tcPr>
          <w:p w14:paraId="3F758781" w14:textId="77777777" w:rsidR="002D0AE7" w:rsidRDefault="002D0AE7">
            <w:pPr>
              <w:jc w:val="right"/>
              <w:rPr>
                <w:rFonts w:ascii="Arial Narrow" w:hAnsi="Arial Narrow"/>
                <w:sz w:val="15"/>
                <w:szCs w:val="15"/>
              </w:rPr>
            </w:pPr>
          </w:p>
        </w:tc>
        <w:tc>
          <w:tcPr>
            <w:tcW w:w="358" w:type="pct"/>
            <w:vAlign w:val="center"/>
          </w:tcPr>
          <w:p w14:paraId="1ADC2DDE" w14:textId="77777777" w:rsidR="002D0AE7" w:rsidRDefault="002D0AE7">
            <w:pPr>
              <w:jc w:val="right"/>
              <w:rPr>
                <w:rFonts w:ascii="Arial Narrow" w:hAnsi="Arial Narrow"/>
                <w:sz w:val="15"/>
                <w:szCs w:val="15"/>
              </w:rPr>
            </w:pPr>
          </w:p>
        </w:tc>
        <w:tc>
          <w:tcPr>
            <w:tcW w:w="398" w:type="pct"/>
            <w:vAlign w:val="center"/>
          </w:tcPr>
          <w:p w14:paraId="0BD85480" w14:textId="77777777" w:rsidR="002D0AE7" w:rsidRDefault="002D0AE7">
            <w:pPr>
              <w:jc w:val="right"/>
              <w:rPr>
                <w:rFonts w:ascii="Arial Narrow" w:hAnsi="Arial Narrow"/>
                <w:sz w:val="15"/>
                <w:szCs w:val="15"/>
              </w:rPr>
            </w:pPr>
          </w:p>
        </w:tc>
      </w:tr>
      <w:tr w:rsidR="002D0AE7" w14:paraId="4CAB0C9D" w14:textId="77777777">
        <w:trPr>
          <w:jc w:val="center"/>
        </w:trPr>
        <w:tc>
          <w:tcPr>
            <w:tcW w:w="634" w:type="pct"/>
            <w:vAlign w:val="center"/>
          </w:tcPr>
          <w:p w14:paraId="5FD17C14" w14:textId="77777777" w:rsidR="002D0AE7" w:rsidRDefault="00333EBB">
            <w:pPr>
              <w:rPr>
                <w:rFonts w:hint="eastAsia"/>
                <w:color w:val="000000" w:themeColor="text1"/>
              </w:rPr>
            </w:pPr>
            <w:r>
              <w:rPr>
                <w:color w:val="000000" w:themeColor="text1"/>
                <w:sz w:val="18"/>
                <w:szCs w:val="18"/>
              </w:rPr>
              <w:t>4</w:t>
            </w:r>
            <w:r>
              <w:rPr>
                <w:color w:val="000000" w:themeColor="text1"/>
                <w:sz w:val="18"/>
                <w:szCs w:val="18"/>
              </w:rPr>
              <w:t>．设定受益计划变动额结转留存收益</w:t>
            </w:r>
          </w:p>
        </w:tc>
        <w:tc>
          <w:tcPr>
            <w:tcW w:w="404" w:type="pct"/>
            <w:vAlign w:val="center"/>
          </w:tcPr>
          <w:p w14:paraId="0291EA5B" w14:textId="77777777" w:rsidR="002D0AE7" w:rsidRDefault="002D0AE7">
            <w:pPr>
              <w:jc w:val="right"/>
              <w:rPr>
                <w:rFonts w:ascii="Arial Narrow" w:hAnsi="Arial Narrow"/>
                <w:sz w:val="15"/>
                <w:szCs w:val="15"/>
              </w:rPr>
            </w:pPr>
          </w:p>
        </w:tc>
        <w:tc>
          <w:tcPr>
            <w:tcW w:w="152" w:type="pct"/>
            <w:vAlign w:val="center"/>
          </w:tcPr>
          <w:p w14:paraId="32D8456E" w14:textId="77777777" w:rsidR="002D0AE7" w:rsidRDefault="002D0AE7">
            <w:pPr>
              <w:jc w:val="right"/>
              <w:rPr>
                <w:rFonts w:ascii="Arial Narrow" w:hAnsi="Arial Narrow"/>
                <w:sz w:val="15"/>
                <w:szCs w:val="15"/>
              </w:rPr>
            </w:pPr>
          </w:p>
        </w:tc>
        <w:tc>
          <w:tcPr>
            <w:tcW w:w="152" w:type="pct"/>
            <w:vAlign w:val="center"/>
          </w:tcPr>
          <w:p w14:paraId="2DEC526C" w14:textId="77777777" w:rsidR="002D0AE7" w:rsidRDefault="002D0AE7">
            <w:pPr>
              <w:jc w:val="right"/>
              <w:rPr>
                <w:rFonts w:ascii="Arial Narrow" w:hAnsi="Arial Narrow"/>
                <w:sz w:val="15"/>
                <w:szCs w:val="15"/>
              </w:rPr>
            </w:pPr>
          </w:p>
        </w:tc>
        <w:tc>
          <w:tcPr>
            <w:tcW w:w="152" w:type="pct"/>
            <w:vAlign w:val="center"/>
          </w:tcPr>
          <w:p w14:paraId="5E22D253" w14:textId="77777777" w:rsidR="002D0AE7" w:rsidRDefault="002D0AE7">
            <w:pPr>
              <w:jc w:val="right"/>
              <w:rPr>
                <w:rFonts w:ascii="Arial Narrow" w:hAnsi="Arial Narrow"/>
                <w:sz w:val="15"/>
                <w:szCs w:val="15"/>
              </w:rPr>
            </w:pPr>
          </w:p>
        </w:tc>
        <w:tc>
          <w:tcPr>
            <w:tcW w:w="358" w:type="pct"/>
            <w:vAlign w:val="center"/>
          </w:tcPr>
          <w:p w14:paraId="78EB92DD" w14:textId="77777777" w:rsidR="002D0AE7" w:rsidRDefault="002D0AE7">
            <w:pPr>
              <w:jc w:val="right"/>
              <w:rPr>
                <w:rFonts w:ascii="Arial Narrow" w:hAnsi="Arial Narrow"/>
                <w:sz w:val="15"/>
                <w:szCs w:val="15"/>
              </w:rPr>
            </w:pPr>
          </w:p>
        </w:tc>
        <w:tc>
          <w:tcPr>
            <w:tcW w:w="312" w:type="pct"/>
            <w:vAlign w:val="center"/>
          </w:tcPr>
          <w:p w14:paraId="006E2AE4" w14:textId="77777777" w:rsidR="002D0AE7" w:rsidRDefault="002D0AE7">
            <w:pPr>
              <w:jc w:val="right"/>
              <w:rPr>
                <w:rFonts w:ascii="Arial Narrow" w:hAnsi="Arial Narrow"/>
                <w:sz w:val="15"/>
                <w:szCs w:val="15"/>
              </w:rPr>
            </w:pPr>
          </w:p>
        </w:tc>
        <w:tc>
          <w:tcPr>
            <w:tcW w:w="334" w:type="pct"/>
            <w:vAlign w:val="center"/>
          </w:tcPr>
          <w:p w14:paraId="1D701105" w14:textId="77777777" w:rsidR="002D0AE7" w:rsidRDefault="002D0AE7">
            <w:pPr>
              <w:jc w:val="right"/>
              <w:rPr>
                <w:rFonts w:ascii="Arial Narrow" w:hAnsi="Arial Narrow"/>
                <w:sz w:val="15"/>
                <w:szCs w:val="15"/>
              </w:rPr>
            </w:pPr>
          </w:p>
        </w:tc>
        <w:tc>
          <w:tcPr>
            <w:tcW w:w="312" w:type="pct"/>
            <w:vAlign w:val="center"/>
          </w:tcPr>
          <w:p w14:paraId="6F49BC64" w14:textId="77777777" w:rsidR="002D0AE7" w:rsidRDefault="002D0AE7">
            <w:pPr>
              <w:jc w:val="right"/>
              <w:rPr>
                <w:rFonts w:ascii="Arial Narrow" w:hAnsi="Arial Narrow"/>
                <w:sz w:val="15"/>
                <w:szCs w:val="15"/>
              </w:rPr>
            </w:pPr>
          </w:p>
        </w:tc>
        <w:tc>
          <w:tcPr>
            <w:tcW w:w="358" w:type="pct"/>
            <w:vAlign w:val="center"/>
          </w:tcPr>
          <w:p w14:paraId="7ACD29EB" w14:textId="77777777" w:rsidR="002D0AE7" w:rsidRDefault="002D0AE7">
            <w:pPr>
              <w:jc w:val="right"/>
              <w:rPr>
                <w:rFonts w:ascii="Arial Narrow" w:hAnsi="Arial Narrow"/>
                <w:sz w:val="15"/>
                <w:szCs w:val="15"/>
              </w:rPr>
            </w:pPr>
          </w:p>
        </w:tc>
        <w:tc>
          <w:tcPr>
            <w:tcW w:w="132" w:type="pct"/>
            <w:vAlign w:val="center"/>
          </w:tcPr>
          <w:p w14:paraId="2BCE2006" w14:textId="77777777" w:rsidR="002D0AE7" w:rsidRDefault="002D0AE7">
            <w:pPr>
              <w:jc w:val="right"/>
              <w:rPr>
                <w:rFonts w:ascii="Arial Narrow" w:hAnsi="Arial Narrow"/>
                <w:sz w:val="15"/>
                <w:szCs w:val="15"/>
              </w:rPr>
            </w:pPr>
          </w:p>
        </w:tc>
        <w:tc>
          <w:tcPr>
            <w:tcW w:w="405" w:type="pct"/>
            <w:vAlign w:val="center"/>
          </w:tcPr>
          <w:p w14:paraId="1DAF3F34" w14:textId="77777777" w:rsidR="002D0AE7" w:rsidRDefault="002D0AE7">
            <w:pPr>
              <w:jc w:val="right"/>
              <w:rPr>
                <w:rFonts w:ascii="Arial Narrow" w:hAnsi="Arial Narrow"/>
                <w:sz w:val="15"/>
                <w:szCs w:val="15"/>
              </w:rPr>
            </w:pPr>
          </w:p>
        </w:tc>
        <w:tc>
          <w:tcPr>
            <w:tcW w:w="132" w:type="pct"/>
            <w:vAlign w:val="center"/>
          </w:tcPr>
          <w:p w14:paraId="67186A22" w14:textId="77777777" w:rsidR="002D0AE7" w:rsidRDefault="002D0AE7">
            <w:pPr>
              <w:jc w:val="right"/>
              <w:rPr>
                <w:rFonts w:ascii="Arial Narrow" w:hAnsi="Arial Narrow"/>
                <w:sz w:val="15"/>
                <w:szCs w:val="15"/>
              </w:rPr>
            </w:pPr>
          </w:p>
        </w:tc>
        <w:tc>
          <w:tcPr>
            <w:tcW w:w="407" w:type="pct"/>
            <w:vAlign w:val="center"/>
          </w:tcPr>
          <w:p w14:paraId="2EAC75B1" w14:textId="77777777" w:rsidR="002D0AE7" w:rsidRDefault="002D0AE7">
            <w:pPr>
              <w:jc w:val="right"/>
              <w:rPr>
                <w:rFonts w:ascii="Arial Narrow" w:hAnsi="Arial Narrow"/>
                <w:sz w:val="15"/>
                <w:szCs w:val="15"/>
              </w:rPr>
            </w:pPr>
          </w:p>
        </w:tc>
        <w:tc>
          <w:tcPr>
            <w:tcW w:w="358" w:type="pct"/>
            <w:vAlign w:val="center"/>
          </w:tcPr>
          <w:p w14:paraId="292BCAE3" w14:textId="77777777" w:rsidR="002D0AE7" w:rsidRDefault="002D0AE7">
            <w:pPr>
              <w:jc w:val="right"/>
              <w:rPr>
                <w:rFonts w:ascii="Arial Narrow" w:hAnsi="Arial Narrow"/>
                <w:sz w:val="15"/>
                <w:szCs w:val="15"/>
              </w:rPr>
            </w:pPr>
          </w:p>
        </w:tc>
        <w:tc>
          <w:tcPr>
            <w:tcW w:w="398" w:type="pct"/>
            <w:vAlign w:val="center"/>
          </w:tcPr>
          <w:p w14:paraId="10133A2A" w14:textId="77777777" w:rsidR="002D0AE7" w:rsidRDefault="002D0AE7">
            <w:pPr>
              <w:jc w:val="right"/>
              <w:rPr>
                <w:rFonts w:ascii="Arial Narrow" w:hAnsi="Arial Narrow"/>
                <w:sz w:val="15"/>
                <w:szCs w:val="15"/>
              </w:rPr>
            </w:pPr>
          </w:p>
        </w:tc>
      </w:tr>
      <w:tr w:rsidR="002D0AE7" w14:paraId="34A2C166" w14:textId="77777777">
        <w:trPr>
          <w:jc w:val="center"/>
        </w:trPr>
        <w:tc>
          <w:tcPr>
            <w:tcW w:w="634" w:type="pct"/>
            <w:vAlign w:val="center"/>
          </w:tcPr>
          <w:p w14:paraId="590FB515" w14:textId="77777777" w:rsidR="002D0AE7" w:rsidRDefault="00333EBB">
            <w:pPr>
              <w:rPr>
                <w:rFonts w:hint="eastAsia"/>
                <w:color w:val="000000" w:themeColor="text1"/>
                <w:sz w:val="18"/>
                <w:szCs w:val="18"/>
              </w:rPr>
            </w:pPr>
            <w:r>
              <w:rPr>
                <w:color w:val="000000" w:themeColor="text1"/>
                <w:sz w:val="18"/>
                <w:szCs w:val="18"/>
              </w:rPr>
              <w:t>5</w:t>
            </w:r>
            <w:r>
              <w:rPr>
                <w:color w:val="000000" w:themeColor="text1"/>
                <w:sz w:val="18"/>
                <w:szCs w:val="18"/>
              </w:rPr>
              <w:t>．其他综合收益结转留存收益</w:t>
            </w:r>
          </w:p>
        </w:tc>
        <w:tc>
          <w:tcPr>
            <w:tcW w:w="404" w:type="pct"/>
            <w:vAlign w:val="center"/>
          </w:tcPr>
          <w:p w14:paraId="4AA2BC7F" w14:textId="77777777" w:rsidR="002D0AE7" w:rsidRDefault="002D0AE7">
            <w:pPr>
              <w:jc w:val="right"/>
              <w:rPr>
                <w:rFonts w:ascii="Arial Narrow" w:hAnsi="Arial Narrow"/>
                <w:sz w:val="15"/>
                <w:szCs w:val="15"/>
              </w:rPr>
            </w:pPr>
          </w:p>
        </w:tc>
        <w:tc>
          <w:tcPr>
            <w:tcW w:w="152" w:type="pct"/>
            <w:vAlign w:val="center"/>
          </w:tcPr>
          <w:p w14:paraId="6026341E" w14:textId="77777777" w:rsidR="002D0AE7" w:rsidRDefault="002D0AE7">
            <w:pPr>
              <w:jc w:val="right"/>
              <w:rPr>
                <w:rFonts w:ascii="Arial Narrow" w:hAnsi="Arial Narrow"/>
                <w:sz w:val="15"/>
                <w:szCs w:val="15"/>
              </w:rPr>
            </w:pPr>
          </w:p>
        </w:tc>
        <w:tc>
          <w:tcPr>
            <w:tcW w:w="152" w:type="pct"/>
            <w:vAlign w:val="center"/>
          </w:tcPr>
          <w:p w14:paraId="34AA56E3" w14:textId="77777777" w:rsidR="002D0AE7" w:rsidRDefault="002D0AE7">
            <w:pPr>
              <w:jc w:val="right"/>
              <w:rPr>
                <w:rFonts w:ascii="Arial Narrow" w:hAnsi="Arial Narrow"/>
                <w:sz w:val="15"/>
                <w:szCs w:val="15"/>
              </w:rPr>
            </w:pPr>
          </w:p>
        </w:tc>
        <w:tc>
          <w:tcPr>
            <w:tcW w:w="152" w:type="pct"/>
            <w:vAlign w:val="center"/>
          </w:tcPr>
          <w:p w14:paraId="05D42333" w14:textId="77777777" w:rsidR="002D0AE7" w:rsidRDefault="002D0AE7">
            <w:pPr>
              <w:jc w:val="right"/>
              <w:rPr>
                <w:rFonts w:ascii="Arial Narrow" w:hAnsi="Arial Narrow"/>
                <w:sz w:val="15"/>
                <w:szCs w:val="15"/>
              </w:rPr>
            </w:pPr>
          </w:p>
        </w:tc>
        <w:tc>
          <w:tcPr>
            <w:tcW w:w="358" w:type="pct"/>
            <w:vAlign w:val="center"/>
          </w:tcPr>
          <w:p w14:paraId="3657221C" w14:textId="77777777" w:rsidR="002D0AE7" w:rsidRDefault="002D0AE7">
            <w:pPr>
              <w:jc w:val="right"/>
              <w:rPr>
                <w:rFonts w:ascii="Arial Narrow" w:hAnsi="Arial Narrow"/>
                <w:sz w:val="15"/>
                <w:szCs w:val="15"/>
              </w:rPr>
            </w:pPr>
          </w:p>
        </w:tc>
        <w:tc>
          <w:tcPr>
            <w:tcW w:w="312" w:type="pct"/>
            <w:vAlign w:val="center"/>
          </w:tcPr>
          <w:p w14:paraId="47C46A0F" w14:textId="77777777" w:rsidR="002D0AE7" w:rsidRDefault="002D0AE7">
            <w:pPr>
              <w:jc w:val="right"/>
              <w:rPr>
                <w:rFonts w:ascii="Arial Narrow" w:hAnsi="Arial Narrow"/>
                <w:sz w:val="15"/>
                <w:szCs w:val="15"/>
              </w:rPr>
            </w:pPr>
          </w:p>
        </w:tc>
        <w:tc>
          <w:tcPr>
            <w:tcW w:w="334" w:type="pct"/>
            <w:vAlign w:val="center"/>
          </w:tcPr>
          <w:p w14:paraId="55258BC7" w14:textId="77777777" w:rsidR="002D0AE7" w:rsidRDefault="002D0AE7">
            <w:pPr>
              <w:jc w:val="right"/>
              <w:rPr>
                <w:rFonts w:ascii="Arial Narrow" w:hAnsi="Arial Narrow"/>
                <w:sz w:val="15"/>
                <w:szCs w:val="15"/>
              </w:rPr>
            </w:pPr>
          </w:p>
        </w:tc>
        <w:tc>
          <w:tcPr>
            <w:tcW w:w="312" w:type="pct"/>
            <w:vAlign w:val="center"/>
          </w:tcPr>
          <w:p w14:paraId="1C703254" w14:textId="77777777" w:rsidR="002D0AE7" w:rsidRDefault="002D0AE7">
            <w:pPr>
              <w:jc w:val="right"/>
              <w:rPr>
                <w:rFonts w:ascii="Arial Narrow" w:hAnsi="Arial Narrow"/>
                <w:sz w:val="15"/>
                <w:szCs w:val="15"/>
              </w:rPr>
            </w:pPr>
          </w:p>
        </w:tc>
        <w:tc>
          <w:tcPr>
            <w:tcW w:w="358" w:type="pct"/>
            <w:vAlign w:val="center"/>
          </w:tcPr>
          <w:p w14:paraId="17477C9C" w14:textId="77777777" w:rsidR="002D0AE7" w:rsidRDefault="002D0AE7">
            <w:pPr>
              <w:jc w:val="right"/>
              <w:rPr>
                <w:rFonts w:ascii="Arial Narrow" w:hAnsi="Arial Narrow"/>
                <w:sz w:val="15"/>
                <w:szCs w:val="15"/>
              </w:rPr>
            </w:pPr>
          </w:p>
        </w:tc>
        <w:tc>
          <w:tcPr>
            <w:tcW w:w="132" w:type="pct"/>
            <w:vAlign w:val="center"/>
          </w:tcPr>
          <w:p w14:paraId="2C843A13" w14:textId="77777777" w:rsidR="002D0AE7" w:rsidRDefault="002D0AE7">
            <w:pPr>
              <w:jc w:val="right"/>
              <w:rPr>
                <w:rFonts w:ascii="Arial Narrow" w:hAnsi="Arial Narrow"/>
                <w:sz w:val="15"/>
                <w:szCs w:val="15"/>
              </w:rPr>
            </w:pPr>
          </w:p>
        </w:tc>
        <w:tc>
          <w:tcPr>
            <w:tcW w:w="405" w:type="pct"/>
            <w:vAlign w:val="center"/>
          </w:tcPr>
          <w:p w14:paraId="67B4B6BA" w14:textId="77777777" w:rsidR="002D0AE7" w:rsidRDefault="002D0AE7">
            <w:pPr>
              <w:jc w:val="right"/>
              <w:rPr>
                <w:rFonts w:ascii="Arial Narrow" w:hAnsi="Arial Narrow"/>
                <w:sz w:val="15"/>
                <w:szCs w:val="15"/>
              </w:rPr>
            </w:pPr>
          </w:p>
        </w:tc>
        <w:tc>
          <w:tcPr>
            <w:tcW w:w="132" w:type="pct"/>
            <w:vAlign w:val="center"/>
          </w:tcPr>
          <w:p w14:paraId="1AD2F6E2" w14:textId="77777777" w:rsidR="002D0AE7" w:rsidRDefault="002D0AE7">
            <w:pPr>
              <w:jc w:val="right"/>
              <w:rPr>
                <w:rFonts w:ascii="Arial Narrow" w:hAnsi="Arial Narrow"/>
                <w:sz w:val="15"/>
                <w:szCs w:val="15"/>
              </w:rPr>
            </w:pPr>
          </w:p>
        </w:tc>
        <w:tc>
          <w:tcPr>
            <w:tcW w:w="407" w:type="pct"/>
            <w:vAlign w:val="center"/>
          </w:tcPr>
          <w:p w14:paraId="2A55F280" w14:textId="77777777" w:rsidR="002D0AE7" w:rsidRDefault="002D0AE7">
            <w:pPr>
              <w:jc w:val="right"/>
              <w:rPr>
                <w:rFonts w:ascii="Arial Narrow" w:hAnsi="Arial Narrow"/>
                <w:sz w:val="15"/>
                <w:szCs w:val="15"/>
              </w:rPr>
            </w:pPr>
          </w:p>
        </w:tc>
        <w:tc>
          <w:tcPr>
            <w:tcW w:w="358" w:type="pct"/>
            <w:vAlign w:val="center"/>
          </w:tcPr>
          <w:p w14:paraId="3E44ED65" w14:textId="77777777" w:rsidR="002D0AE7" w:rsidRDefault="002D0AE7">
            <w:pPr>
              <w:jc w:val="right"/>
              <w:rPr>
                <w:rFonts w:ascii="Arial Narrow" w:hAnsi="Arial Narrow"/>
                <w:sz w:val="15"/>
                <w:szCs w:val="15"/>
              </w:rPr>
            </w:pPr>
          </w:p>
        </w:tc>
        <w:tc>
          <w:tcPr>
            <w:tcW w:w="398" w:type="pct"/>
            <w:vAlign w:val="center"/>
          </w:tcPr>
          <w:p w14:paraId="75540DCF" w14:textId="77777777" w:rsidR="002D0AE7" w:rsidRDefault="002D0AE7">
            <w:pPr>
              <w:jc w:val="right"/>
              <w:rPr>
                <w:rFonts w:ascii="Arial Narrow" w:hAnsi="Arial Narrow"/>
                <w:sz w:val="15"/>
                <w:szCs w:val="15"/>
              </w:rPr>
            </w:pPr>
          </w:p>
        </w:tc>
      </w:tr>
      <w:tr w:rsidR="002D0AE7" w14:paraId="25BA1910" w14:textId="77777777">
        <w:trPr>
          <w:jc w:val="center"/>
        </w:trPr>
        <w:tc>
          <w:tcPr>
            <w:tcW w:w="634" w:type="pct"/>
            <w:vAlign w:val="center"/>
          </w:tcPr>
          <w:p w14:paraId="62E241FD" w14:textId="77777777" w:rsidR="002D0AE7" w:rsidRDefault="00333EBB">
            <w:pPr>
              <w:rPr>
                <w:rFonts w:hint="eastAsia"/>
                <w:color w:val="000000" w:themeColor="text1"/>
              </w:rPr>
            </w:pPr>
            <w:r>
              <w:rPr>
                <w:color w:val="000000" w:themeColor="text1"/>
                <w:sz w:val="18"/>
                <w:szCs w:val="18"/>
              </w:rPr>
              <w:t>6</w:t>
            </w:r>
            <w:r>
              <w:rPr>
                <w:color w:val="000000" w:themeColor="text1"/>
                <w:sz w:val="18"/>
                <w:szCs w:val="18"/>
              </w:rPr>
              <w:t>．其他</w:t>
            </w:r>
          </w:p>
        </w:tc>
        <w:tc>
          <w:tcPr>
            <w:tcW w:w="404" w:type="pct"/>
            <w:vAlign w:val="center"/>
          </w:tcPr>
          <w:p w14:paraId="1D0A823F" w14:textId="77777777" w:rsidR="002D0AE7" w:rsidRDefault="002D0AE7">
            <w:pPr>
              <w:jc w:val="right"/>
              <w:rPr>
                <w:rFonts w:ascii="Arial Narrow" w:hAnsi="Arial Narrow"/>
                <w:sz w:val="15"/>
                <w:szCs w:val="15"/>
              </w:rPr>
            </w:pPr>
          </w:p>
        </w:tc>
        <w:tc>
          <w:tcPr>
            <w:tcW w:w="152" w:type="pct"/>
            <w:vAlign w:val="center"/>
          </w:tcPr>
          <w:p w14:paraId="37335D9D" w14:textId="77777777" w:rsidR="002D0AE7" w:rsidRDefault="002D0AE7">
            <w:pPr>
              <w:jc w:val="right"/>
              <w:rPr>
                <w:rFonts w:ascii="Arial Narrow" w:hAnsi="Arial Narrow"/>
                <w:sz w:val="15"/>
                <w:szCs w:val="15"/>
              </w:rPr>
            </w:pPr>
          </w:p>
        </w:tc>
        <w:tc>
          <w:tcPr>
            <w:tcW w:w="152" w:type="pct"/>
            <w:vAlign w:val="center"/>
          </w:tcPr>
          <w:p w14:paraId="489B28C0" w14:textId="77777777" w:rsidR="002D0AE7" w:rsidRDefault="002D0AE7">
            <w:pPr>
              <w:jc w:val="right"/>
              <w:rPr>
                <w:rFonts w:ascii="Arial Narrow" w:hAnsi="Arial Narrow"/>
                <w:sz w:val="15"/>
                <w:szCs w:val="15"/>
              </w:rPr>
            </w:pPr>
          </w:p>
        </w:tc>
        <w:tc>
          <w:tcPr>
            <w:tcW w:w="152" w:type="pct"/>
            <w:vAlign w:val="center"/>
          </w:tcPr>
          <w:p w14:paraId="037729FE" w14:textId="77777777" w:rsidR="002D0AE7" w:rsidRDefault="002D0AE7">
            <w:pPr>
              <w:jc w:val="right"/>
              <w:rPr>
                <w:rFonts w:ascii="Arial Narrow" w:hAnsi="Arial Narrow"/>
                <w:sz w:val="15"/>
                <w:szCs w:val="15"/>
              </w:rPr>
            </w:pPr>
          </w:p>
        </w:tc>
        <w:tc>
          <w:tcPr>
            <w:tcW w:w="358" w:type="pct"/>
            <w:vAlign w:val="center"/>
          </w:tcPr>
          <w:p w14:paraId="0D929964" w14:textId="77777777" w:rsidR="002D0AE7" w:rsidRDefault="002D0AE7">
            <w:pPr>
              <w:jc w:val="right"/>
              <w:rPr>
                <w:rFonts w:ascii="Arial Narrow" w:hAnsi="Arial Narrow"/>
                <w:sz w:val="15"/>
                <w:szCs w:val="15"/>
              </w:rPr>
            </w:pPr>
          </w:p>
        </w:tc>
        <w:tc>
          <w:tcPr>
            <w:tcW w:w="312" w:type="pct"/>
            <w:vAlign w:val="center"/>
          </w:tcPr>
          <w:p w14:paraId="4C1359EF" w14:textId="77777777" w:rsidR="002D0AE7" w:rsidRDefault="002D0AE7">
            <w:pPr>
              <w:jc w:val="right"/>
              <w:rPr>
                <w:rFonts w:ascii="Arial Narrow" w:hAnsi="Arial Narrow"/>
                <w:sz w:val="15"/>
                <w:szCs w:val="15"/>
              </w:rPr>
            </w:pPr>
          </w:p>
        </w:tc>
        <w:tc>
          <w:tcPr>
            <w:tcW w:w="334" w:type="pct"/>
            <w:vAlign w:val="center"/>
          </w:tcPr>
          <w:p w14:paraId="1D6E000A" w14:textId="77777777" w:rsidR="002D0AE7" w:rsidRDefault="002D0AE7">
            <w:pPr>
              <w:jc w:val="right"/>
              <w:rPr>
                <w:rFonts w:ascii="Arial Narrow" w:hAnsi="Arial Narrow"/>
                <w:sz w:val="15"/>
                <w:szCs w:val="15"/>
              </w:rPr>
            </w:pPr>
          </w:p>
        </w:tc>
        <w:tc>
          <w:tcPr>
            <w:tcW w:w="312" w:type="pct"/>
            <w:vAlign w:val="center"/>
          </w:tcPr>
          <w:p w14:paraId="20044DC9" w14:textId="77777777" w:rsidR="002D0AE7" w:rsidRDefault="002D0AE7">
            <w:pPr>
              <w:jc w:val="right"/>
              <w:rPr>
                <w:rFonts w:ascii="Arial Narrow" w:hAnsi="Arial Narrow"/>
                <w:sz w:val="15"/>
                <w:szCs w:val="15"/>
              </w:rPr>
            </w:pPr>
          </w:p>
        </w:tc>
        <w:tc>
          <w:tcPr>
            <w:tcW w:w="358" w:type="pct"/>
            <w:vAlign w:val="center"/>
          </w:tcPr>
          <w:p w14:paraId="6028DCCD" w14:textId="77777777" w:rsidR="002D0AE7" w:rsidRDefault="002D0AE7">
            <w:pPr>
              <w:jc w:val="right"/>
              <w:rPr>
                <w:rFonts w:ascii="Arial Narrow" w:hAnsi="Arial Narrow"/>
                <w:sz w:val="15"/>
                <w:szCs w:val="15"/>
              </w:rPr>
            </w:pPr>
          </w:p>
        </w:tc>
        <w:tc>
          <w:tcPr>
            <w:tcW w:w="132" w:type="pct"/>
            <w:vAlign w:val="center"/>
          </w:tcPr>
          <w:p w14:paraId="1AAB9AF0" w14:textId="77777777" w:rsidR="002D0AE7" w:rsidRDefault="002D0AE7">
            <w:pPr>
              <w:jc w:val="right"/>
              <w:rPr>
                <w:rFonts w:ascii="Arial Narrow" w:hAnsi="Arial Narrow"/>
                <w:sz w:val="15"/>
                <w:szCs w:val="15"/>
              </w:rPr>
            </w:pPr>
          </w:p>
        </w:tc>
        <w:tc>
          <w:tcPr>
            <w:tcW w:w="405" w:type="pct"/>
            <w:vAlign w:val="center"/>
          </w:tcPr>
          <w:p w14:paraId="4463A355" w14:textId="77777777" w:rsidR="002D0AE7" w:rsidRDefault="002D0AE7">
            <w:pPr>
              <w:jc w:val="right"/>
              <w:rPr>
                <w:rFonts w:ascii="Arial Narrow" w:hAnsi="Arial Narrow"/>
                <w:sz w:val="15"/>
                <w:szCs w:val="15"/>
              </w:rPr>
            </w:pPr>
          </w:p>
        </w:tc>
        <w:tc>
          <w:tcPr>
            <w:tcW w:w="132" w:type="pct"/>
            <w:vAlign w:val="center"/>
          </w:tcPr>
          <w:p w14:paraId="3D7DCBEC" w14:textId="77777777" w:rsidR="002D0AE7" w:rsidRDefault="002D0AE7">
            <w:pPr>
              <w:jc w:val="right"/>
              <w:rPr>
                <w:rFonts w:ascii="Arial Narrow" w:hAnsi="Arial Narrow"/>
                <w:sz w:val="15"/>
                <w:szCs w:val="15"/>
              </w:rPr>
            </w:pPr>
          </w:p>
        </w:tc>
        <w:tc>
          <w:tcPr>
            <w:tcW w:w="407" w:type="pct"/>
            <w:vAlign w:val="center"/>
          </w:tcPr>
          <w:p w14:paraId="1E04E09F" w14:textId="77777777" w:rsidR="002D0AE7" w:rsidRDefault="002D0AE7">
            <w:pPr>
              <w:jc w:val="right"/>
              <w:rPr>
                <w:rFonts w:ascii="Arial Narrow" w:hAnsi="Arial Narrow"/>
                <w:sz w:val="15"/>
                <w:szCs w:val="15"/>
              </w:rPr>
            </w:pPr>
          </w:p>
        </w:tc>
        <w:tc>
          <w:tcPr>
            <w:tcW w:w="358" w:type="pct"/>
            <w:vAlign w:val="center"/>
          </w:tcPr>
          <w:p w14:paraId="3C29FCF8" w14:textId="77777777" w:rsidR="002D0AE7" w:rsidRDefault="002D0AE7">
            <w:pPr>
              <w:jc w:val="right"/>
              <w:rPr>
                <w:rFonts w:ascii="Arial Narrow" w:hAnsi="Arial Narrow"/>
                <w:sz w:val="15"/>
                <w:szCs w:val="15"/>
              </w:rPr>
            </w:pPr>
          </w:p>
        </w:tc>
        <w:tc>
          <w:tcPr>
            <w:tcW w:w="398" w:type="pct"/>
            <w:vAlign w:val="center"/>
          </w:tcPr>
          <w:p w14:paraId="31DA7B54" w14:textId="77777777" w:rsidR="002D0AE7" w:rsidRDefault="002D0AE7">
            <w:pPr>
              <w:jc w:val="right"/>
              <w:rPr>
                <w:rFonts w:ascii="Arial Narrow" w:hAnsi="Arial Narrow"/>
                <w:sz w:val="15"/>
                <w:szCs w:val="15"/>
              </w:rPr>
            </w:pPr>
          </w:p>
        </w:tc>
      </w:tr>
      <w:tr w:rsidR="002D0AE7" w14:paraId="057BF9A5" w14:textId="77777777">
        <w:trPr>
          <w:jc w:val="center"/>
        </w:trPr>
        <w:tc>
          <w:tcPr>
            <w:tcW w:w="634" w:type="pct"/>
            <w:vAlign w:val="center"/>
          </w:tcPr>
          <w:p w14:paraId="6F604297" w14:textId="77777777" w:rsidR="002D0AE7" w:rsidRDefault="00333EBB">
            <w:pPr>
              <w:rPr>
                <w:rFonts w:hint="eastAsia"/>
                <w:color w:val="000000" w:themeColor="text1"/>
                <w:sz w:val="18"/>
                <w:szCs w:val="18"/>
              </w:rPr>
            </w:pPr>
            <w:r>
              <w:rPr>
                <w:rFonts w:hint="eastAsia"/>
                <w:color w:val="000000" w:themeColor="text1"/>
                <w:sz w:val="18"/>
                <w:szCs w:val="18"/>
              </w:rPr>
              <w:t>（五）专项储备</w:t>
            </w:r>
          </w:p>
        </w:tc>
        <w:tc>
          <w:tcPr>
            <w:tcW w:w="404" w:type="pct"/>
            <w:vAlign w:val="center"/>
          </w:tcPr>
          <w:p w14:paraId="5AE79B82"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02459F6D"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4401B9DE"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11444602"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8" w:type="pct"/>
            <w:vAlign w:val="center"/>
          </w:tcPr>
          <w:p w14:paraId="033E625E" w14:textId="77777777" w:rsidR="002D0AE7" w:rsidRDefault="00333EBB">
            <w:pPr>
              <w:jc w:val="right"/>
              <w:rPr>
                <w:rFonts w:ascii="Arial Narrow" w:hAnsi="Arial Narrow"/>
                <w:sz w:val="15"/>
                <w:szCs w:val="15"/>
              </w:rPr>
            </w:pPr>
            <w:r>
              <w:rPr>
                <w:rFonts w:ascii="Arial Narrow" w:hAnsi="Arial Narrow"/>
                <w:sz w:val="15"/>
                <w:szCs w:val="15"/>
              </w:rPr>
              <w:t>0.00</w:t>
            </w:r>
          </w:p>
        </w:tc>
        <w:tc>
          <w:tcPr>
            <w:tcW w:w="312" w:type="pct"/>
            <w:vAlign w:val="center"/>
          </w:tcPr>
          <w:p w14:paraId="0B506700" w14:textId="77777777" w:rsidR="002D0AE7" w:rsidRDefault="00333EBB">
            <w:pPr>
              <w:jc w:val="right"/>
              <w:rPr>
                <w:rFonts w:ascii="Arial Narrow" w:hAnsi="Arial Narrow"/>
                <w:sz w:val="15"/>
                <w:szCs w:val="15"/>
              </w:rPr>
            </w:pPr>
            <w:r>
              <w:rPr>
                <w:rFonts w:ascii="Arial Narrow" w:hAnsi="Arial Narrow"/>
                <w:sz w:val="15"/>
                <w:szCs w:val="15"/>
              </w:rPr>
              <w:t>0.00</w:t>
            </w:r>
          </w:p>
        </w:tc>
        <w:tc>
          <w:tcPr>
            <w:tcW w:w="334" w:type="pct"/>
            <w:vAlign w:val="center"/>
          </w:tcPr>
          <w:p w14:paraId="268C1CFB" w14:textId="77777777" w:rsidR="002D0AE7" w:rsidRDefault="00333EBB">
            <w:pPr>
              <w:jc w:val="right"/>
              <w:rPr>
                <w:rFonts w:ascii="Arial Narrow" w:hAnsi="Arial Narrow"/>
                <w:sz w:val="15"/>
                <w:szCs w:val="15"/>
              </w:rPr>
            </w:pPr>
            <w:r>
              <w:rPr>
                <w:rFonts w:ascii="Arial Narrow" w:hAnsi="Arial Narrow"/>
                <w:sz w:val="15"/>
                <w:szCs w:val="15"/>
              </w:rPr>
              <w:t>0.00</w:t>
            </w:r>
          </w:p>
        </w:tc>
        <w:tc>
          <w:tcPr>
            <w:tcW w:w="312" w:type="pct"/>
            <w:vAlign w:val="center"/>
          </w:tcPr>
          <w:p w14:paraId="68409992" w14:textId="77777777" w:rsidR="002D0AE7" w:rsidRDefault="00333EBB">
            <w:pPr>
              <w:jc w:val="right"/>
              <w:rPr>
                <w:rFonts w:ascii="Arial Narrow" w:hAnsi="Arial Narrow"/>
                <w:sz w:val="15"/>
                <w:szCs w:val="15"/>
              </w:rPr>
            </w:pPr>
            <w:r>
              <w:rPr>
                <w:rFonts w:ascii="Arial Narrow" w:hAnsi="Arial Narrow"/>
                <w:sz w:val="15"/>
                <w:szCs w:val="15"/>
              </w:rPr>
              <w:t>1,199,938.05</w:t>
            </w:r>
          </w:p>
        </w:tc>
        <w:tc>
          <w:tcPr>
            <w:tcW w:w="358" w:type="pct"/>
            <w:vAlign w:val="center"/>
          </w:tcPr>
          <w:p w14:paraId="1150632D" w14:textId="77777777" w:rsidR="002D0AE7" w:rsidRDefault="00333EBB">
            <w:pPr>
              <w:jc w:val="right"/>
              <w:rPr>
                <w:rFonts w:ascii="Arial Narrow" w:hAnsi="Arial Narrow"/>
                <w:sz w:val="15"/>
                <w:szCs w:val="15"/>
              </w:rPr>
            </w:pPr>
            <w:r>
              <w:rPr>
                <w:rFonts w:ascii="Arial Narrow" w:hAnsi="Arial Narrow"/>
                <w:sz w:val="15"/>
                <w:szCs w:val="15"/>
              </w:rPr>
              <w:t>0.00</w:t>
            </w:r>
          </w:p>
        </w:tc>
        <w:tc>
          <w:tcPr>
            <w:tcW w:w="132" w:type="pct"/>
            <w:vAlign w:val="center"/>
          </w:tcPr>
          <w:p w14:paraId="53F96B25" w14:textId="77777777" w:rsidR="002D0AE7" w:rsidRDefault="002D0AE7">
            <w:pPr>
              <w:jc w:val="right"/>
              <w:rPr>
                <w:rFonts w:ascii="Arial Narrow" w:hAnsi="Arial Narrow"/>
                <w:sz w:val="15"/>
                <w:szCs w:val="15"/>
              </w:rPr>
            </w:pPr>
          </w:p>
        </w:tc>
        <w:tc>
          <w:tcPr>
            <w:tcW w:w="405" w:type="pct"/>
            <w:vAlign w:val="center"/>
          </w:tcPr>
          <w:p w14:paraId="22905451" w14:textId="77777777" w:rsidR="002D0AE7" w:rsidRDefault="00333EBB">
            <w:pPr>
              <w:jc w:val="right"/>
              <w:rPr>
                <w:rFonts w:ascii="Arial Narrow" w:hAnsi="Arial Narrow"/>
                <w:sz w:val="15"/>
                <w:szCs w:val="15"/>
              </w:rPr>
            </w:pPr>
            <w:r>
              <w:rPr>
                <w:rFonts w:ascii="Arial Narrow" w:hAnsi="Arial Narrow"/>
                <w:sz w:val="15"/>
                <w:szCs w:val="15"/>
              </w:rPr>
              <w:t>0.00</w:t>
            </w:r>
          </w:p>
        </w:tc>
        <w:tc>
          <w:tcPr>
            <w:tcW w:w="132" w:type="pct"/>
            <w:vAlign w:val="center"/>
          </w:tcPr>
          <w:p w14:paraId="15FF7428" w14:textId="77777777" w:rsidR="002D0AE7" w:rsidRDefault="002D0AE7">
            <w:pPr>
              <w:jc w:val="right"/>
              <w:rPr>
                <w:rFonts w:ascii="Arial Narrow" w:hAnsi="Arial Narrow"/>
                <w:sz w:val="15"/>
                <w:szCs w:val="15"/>
              </w:rPr>
            </w:pPr>
          </w:p>
        </w:tc>
        <w:tc>
          <w:tcPr>
            <w:tcW w:w="407" w:type="pct"/>
            <w:vAlign w:val="center"/>
          </w:tcPr>
          <w:p w14:paraId="0417D603" w14:textId="77777777" w:rsidR="002D0AE7" w:rsidRDefault="00333EBB">
            <w:pPr>
              <w:jc w:val="right"/>
              <w:rPr>
                <w:rFonts w:ascii="Arial Narrow" w:hAnsi="Arial Narrow"/>
                <w:sz w:val="15"/>
                <w:szCs w:val="15"/>
              </w:rPr>
            </w:pPr>
            <w:r>
              <w:rPr>
                <w:rFonts w:ascii="Arial Narrow" w:hAnsi="Arial Narrow"/>
                <w:sz w:val="15"/>
                <w:szCs w:val="15"/>
              </w:rPr>
              <w:t>1,199,938.05</w:t>
            </w:r>
          </w:p>
        </w:tc>
        <w:tc>
          <w:tcPr>
            <w:tcW w:w="358" w:type="pct"/>
            <w:vAlign w:val="center"/>
          </w:tcPr>
          <w:p w14:paraId="2179DC67" w14:textId="77777777" w:rsidR="002D0AE7" w:rsidRDefault="002D0AE7">
            <w:pPr>
              <w:jc w:val="right"/>
              <w:rPr>
                <w:rFonts w:ascii="Arial Narrow" w:hAnsi="Arial Narrow"/>
                <w:sz w:val="15"/>
                <w:szCs w:val="15"/>
              </w:rPr>
            </w:pPr>
          </w:p>
        </w:tc>
        <w:tc>
          <w:tcPr>
            <w:tcW w:w="398" w:type="pct"/>
            <w:vAlign w:val="center"/>
          </w:tcPr>
          <w:p w14:paraId="5B090E71" w14:textId="77777777" w:rsidR="002D0AE7" w:rsidRDefault="00333EBB">
            <w:pPr>
              <w:jc w:val="right"/>
              <w:rPr>
                <w:rFonts w:ascii="Arial Narrow" w:hAnsi="Arial Narrow"/>
                <w:sz w:val="15"/>
                <w:szCs w:val="15"/>
              </w:rPr>
            </w:pPr>
            <w:r>
              <w:rPr>
                <w:rFonts w:ascii="Arial Narrow" w:hAnsi="Arial Narrow"/>
                <w:sz w:val="15"/>
                <w:szCs w:val="15"/>
              </w:rPr>
              <w:t>1,199,938.05</w:t>
            </w:r>
          </w:p>
        </w:tc>
      </w:tr>
      <w:tr w:rsidR="002D0AE7" w14:paraId="51BA56CD" w14:textId="77777777">
        <w:trPr>
          <w:jc w:val="center"/>
        </w:trPr>
        <w:tc>
          <w:tcPr>
            <w:tcW w:w="634" w:type="pct"/>
            <w:vAlign w:val="center"/>
          </w:tcPr>
          <w:p w14:paraId="0024D456" w14:textId="77777777" w:rsidR="002D0AE7" w:rsidRDefault="00333EBB">
            <w:pPr>
              <w:rPr>
                <w:rFonts w:hint="eastAsia"/>
                <w:color w:val="000000" w:themeColor="text1"/>
                <w:sz w:val="18"/>
                <w:szCs w:val="18"/>
              </w:rPr>
            </w:pPr>
            <w:r>
              <w:rPr>
                <w:rFonts w:hint="eastAsia"/>
                <w:color w:val="000000" w:themeColor="text1"/>
                <w:sz w:val="18"/>
                <w:szCs w:val="18"/>
              </w:rPr>
              <w:t>1</w:t>
            </w:r>
            <w:r>
              <w:rPr>
                <w:rFonts w:hint="eastAsia"/>
                <w:color w:val="000000" w:themeColor="text1"/>
                <w:sz w:val="18"/>
                <w:szCs w:val="18"/>
              </w:rPr>
              <w:t>．本期提取</w:t>
            </w:r>
          </w:p>
        </w:tc>
        <w:tc>
          <w:tcPr>
            <w:tcW w:w="404" w:type="pct"/>
          </w:tcPr>
          <w:p w14:paraId="1FF28CDC"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tcPr>
          <w:p w14:paraId="37128E71"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tcPr>
          <w:p w14:paraId="5DEF67F4"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tcPr>
          <w:p w14:paraId="4473F2DA"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8" w:type="pct"/>
          </w:tcPr>
          <w:p w14:paraId="2F386EA9" w14:textId="77777777" w:rsidR="002D0AE7" w:rsidRDefault="00333EBB">
            <w:pPr>
              <w:jc w:val="right"/>
              <w:rPr>
                <w:rFonts w:ascii="Arial Narrow" w:hAnsi="Arial Narrow"/>
                <w:sz w:val="15"/>
                <w:szCs w:val="15"/>
              </w:rPr>
            </w:pPr>
            <w:r>
              <w:rPr>
                <w:rFonts w:ascii="Arial Narrow" w:hAnsi="Arial Narrow"/>
                <w:sz w:val="15"/>
                <w:szCs w:val="15"/>
              </w:rPr>
              <w:t>0.00</w:t>
            </w:r>
          </w:p>
        </w:tc>
        <w:tc>
          <w:tcPr>
            <w:tcW w:w="312" w:type="pct"/>
          </w:tcPr>
          <w:p w14:paraId="22FA1E97" w14:textId="77777777" w:rsidR="002D0AE7" w:rsidRDefault="00333EBB">
            <w:pPr>
              <w:jc w:val="right"/>
              <w:rPr>
                <w:rFonts w:ascii="Arial Narrow" w:hAnsi="Arial Narrow"/>
                <w:sz w:val="15"/>
                <w:szCs w:val="15"/>
              </w:rPr>
            </w:pPr>
            <w:r>
              <w:rPr>
                <w:rFonts w:ascii="Arial Narrow" w:hAnsi="Arial Narrow"/>
                <w:sz w:val="15"/>
                <w:szCs w:val="15"/>
              </w:rPr>
              <w:t>0.00</w:t>
            </w:r>
          </w:p>
        </w:tc>
        <w:tc>
          <w:tcPr>
            <w:tcW w:w="334" w:type="pct"/>
          </w:tcPr>
          <w:p w14:paraId="70744E7C" w14:textId="77777777" w:rsidR="002D0AE7" w:rsidRDefault="00333EBB">
            <w:pPr>
              <w:jc w:val="right"/>
              <w:rPr>
                <w:rFonts w:ascii="Arial Narrow" w:hAnsi="Arial Narrow"/>
                <w:sz w:val="15"/>
                <w:szCs w:val="15"/>
              </w:rPr>
            </w:pPr>
            <w:r>
              <w:rPr>
                <w:rFonts w:ascii="Arial Narrow" w:hAnsi="Arial Narrow"/>
                <w:sz w:val="15"/>
                <w:szCs w:val="15"/>
              </w:rPr>
              <w:t>0.00</w:t>
            </w:r>
          </w:p>
        </w:tc>
        <w:tc>
          <w:tcPr>
            <w:tcW w:w="312" w:type="pct"/>
            <w:vAlign w:val="center"/>
          </w:tcPr>
          <w:p w14:paraId="38F3DDC3" w14:textId="77777777" w:rsidR="002D0AE7" w:rsidRDefault="00333EBB">
            <w:pPr>
              <w:jc w:val="right"/>
              <w:rPr>
                <w:rFonts w:ascii="Arial Narrow" w:hAnsi="Arial Narrow"/>
                <w:sz w:val="15"/>
                <w:szCs w:val="15"/>
              </w:rPr>
            </w:pPr>
            <w:r>
              <w:rPr>
                <w:rFonts w:ascii="Arial Narrow" w:hAnsi="Arial Narrow"/>
                <w:sz w:val="15"/>
                <w:szCs w:val="15"/>
              </w:rPr>
              <w:t>4,380,000.00</w:t>
            </w:r>
          </w:p>
        </w:tc>
        <w:tc>
          <w:tcPr>
            <w:tcW w:w="358" w:type="pct"/>
          </w:tcPr>
          <w:p w14:paraId="7E8F5F46" w14:textId="77777777" w:rsidR="002D0AE7" w:rsidRDefault="00333EBB">
            <w:pPr>
              <w:jc w:val="right"/>
              <w:rPr>
                <w:rFonts w:ascii="Arial Narrow" w:hAnsi="Arial Narrow"/>
                <w:sz w:val="15"/>
                <w:szCs w:val="15"/>
              </w:rPr>
            </w:pPr>
            <w:r>
              <w:rPr>
                <w:rFonts w:ascii="Arial Narrow" w:hAnsi="Arial Narrow"/>
                <w:sz w:val="15"/>
                <w:szCs w:val="15"/>
              </w:rPr>
              <w:t>0.00</w:t>
            </w:r>
          </w:p>
        </w:tc>
        <w:tc>
          <w:tcPr>
            <w:tcW w:w="132" w:type="pct"/>
            <w:vAlign w:val="center"/>
          </w:tcPr>
          <w:p w14:paraId="5D46EDAC" w14:textId="77777777" w:rsidR="002D0AE7" w:rsidRDefault="002D0AE7">
            <w:pPr>
              <w:jc w:val="right"/>
              <w:rPr>
                <w:rFonts w:ascii="Arial Narrow" w:hAnsi="Arial Narrow"/>
                <w:sz w:val="15"/>
                <w:szCs w:val="15"/>
              </w:rPr>
            </w:pPr>
          </w:p>
        </w:tc>
        <w:tc>
          <w:tcPr>
            <w:tcW w:w="405" w:type="pct"/>
          </w:tcPr>
          <w:p w14:paraId="0518D966" w14:textId="77777777" w:rsidR="002D0AE7" w:rsidRDefault="00333EBB">
            <w:pPr>
              <w:jc w:val="right"/>
              <w:rPr>
                <w:rFonts w:ascii="Arial Narrow" w:hAnsi="Arial Narrow"/>
                <w:sz w:val="15"/>
                <w:szCs w:val="15"/>
              </w:rPr>
            </w:pPr>
            <w:r>
              <w:rPr>
                <w:rFonts w:ascii="Arial Narrow" w:hAnsi="Arial Narrow"/>
                <w:sz w:val="15"/>
                <w:szCs w:val="15"/>
              </w:rPr>
              <w:t>0.00</w:t>
            </w:r>
          </w:p>
        </w:tc>
        <w:tc>
          <w:tcPr>
            <w:tcW w:w="132" w:type="pct"/>
            <w:vAlign w:val="center"/>
          </w:tcPr>
          <w:p w14:paraId="2558BF7A" w14:textId="77777777" w:rsidR="002D0AE7" w:rsidRDefault="002D0AE7">
            <w:pPr>
              <w:jc w:val="right"/>
              <w:rPr>
                <w:rFonts w:ascii="Arial Narrow" w:hAnsi="Arial Narrow"/>
                <w:sz w:val="15"/>
                <w:szCs w:val="15"/>
              </w:rPr>
            </w:pPr>
          </w:p>
        </w:tc>
        <w:tc>
          <w:tcPr>
            <w:tcW w:w="407" w:type="pct"/>
            <w:vAlign w:val="center"/>
          </w:tcPr>
          <w:p w14:paraId="58B65F3F" w14:textId="77777777" w:rsidR="002D0AE7" w:rsidRDefault="00333EBB">
            <w:pPr>
              <w:jc w:val="right"/>
              <w:rPr>
                <w:rFonts w:ascii="Arial Narrow" w:hAnsi="Arial Narrow"/>
                <w:sz w:val="15"/>
                <w:szCs w:val="15"/>
              </w:rPr>
            </w:pPr>
            <w:r>
              <w:rPr>
                <w:rFonts w:ascii="Arial Narrow" w:hAnsi="Arial Narrow"/>
                <w:sz w:val="15"/>
                <w:szCs w:val="15"/>
              </w:rPr>
              <w:t>4,380,000.00</w:t>
            </w:r>
          </w:p>
        </w:tc>
        <w:tc>
          <w:tcPr>
            <w:tcW w:w="358" w:type="pct"/>
            <w:vAlign w:val="center"/>
          </w:tcPr>
          <w:p w14:paraId="6770C901" w14:textId="77777777" w:rsidR="002D0AE7" w:rsidRDefault="002D0AE7">
            <w:pPr>
              <w:jc w:val="right"/>
              <w:rPr>
                <w:rFonts w:ascii="Arial Narrow" w:hAnsi="Arial Narrow"/>
                <w:sz w:val="15"/>
                <w:szCs w:val="15"/>
              </w:rPr>
            </w:pPr>
          </w:p>
        </w:tc>
        <w:tc>
          <w:tcPr>
            <w:tcW w:w="398" w:type="pct"/>
            <w:vAlign w:val="center"/>
          </w:tcPr>
          <w:p w14:paraId="6CDC1263" w14:textId="77777777" w:rsidR="002D0AE7" w:rsidRDefault="00333EBB">
            <w:pPr>
              <w:jc w:val="right"/>
              <w:rPr>
                <w:rFonts w:ascii="Arial Narrow" w:hAnsi="Arial Narrow"/>
                <w:sz w:val="15"/>
                <w:szCs w:val="15"/>
              </w:rPr>
            </w:pPr>
            <w:r>
              <w:rPr>
                <w:rFonts w:ascii="Arial Narrow" w:hAnsi="Arial Narrow"/>
                <w:sz w:val="15"/>
                <w:szCs w:val="15"/>
              </w:rPr>
              <w:t>4,380,000.00</w:t>
            </w:r>
          </w:p>
        </w:tc>
      </w:tr>
      <w:tr w:rsidR="002D0AE7" w14:paraId="56423B90" w14:textId="77777777">
        <w:trPr>
          <w:jc w:val="center"/>
        </w:trPr>
        <w:tc>
          <w:tcPr>
            <w:tcW w:w="634" w:type="pct"/>
            <w:vAlign w:val="center"/>
          </w:tcPr>
          <w:p w14:paraId="74A0D39B" w14:textId="77777777" w:rsidR="002D0AE7" w:rsidRDefault="00333EBB">
            <w:pPr>
              <w:rPr>
                <w:rFonts w:hint="eastAsia"/>
                <w:color w:val="000000" w:themeColor="text1"/>
                <w:sz w:val="18"/>
                <w:szCs w:val="18"/>
              </w:rPr>
            </w:pPr>
            <w:r>
              <w:rPr>
                <w:rFonts w:hint="eastAsia"/>
                <w:color w:val="000000" w:themeColor="text1"/>
                <w:sz w:val="18"/>
                <w:szCs w:val="18"/>
              </w:rPr>
              <w:t>2</w:t>
            </w:r>
            <w:r>
              <w:rPr>
                <w:rFonts w:hint="eastAsia"/>
                <w:color w:val="000000" w:themeColor="text1"/>
                <w:sz w:val="18"/>
                <w:szCs w:val="18"/>
              </w:rPr>
              <w:t>．本期使用</w:t>
            </w:r>
          </w:p>
        </w:tc>
        <w:tc>
          <w:tcPr>
            <w:tcW w:w="404" w:type="pct"/>
          </w:tcPr>
          <w:p w14:paraId="58E2D90B"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tcPr>
          <w:p w14:paraId="11AD5F07"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tcPr>
          <w:p w14:paraId="432355D3"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tcPr>
          <w:p w14:paraId="3DA06807"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8" w:type="pct"/>
          </w:tcPr>
          <w:p w14:paraId="4DC3AF5B" w14:textId="77777777" w:rsidR="002D0AE7" w:rsidRDefault="00333EBB">
            <w:pPr>
              <w:jc w:val="right"/>
              <w:rPr>
                <w:rFonts w:ascii="Arial Narrow" w:hAnsi="Arial Narrow"/>
                <w:sz w:val="15"/>
                <w:szCs w:val="15"/>
              </w:rPr>
            </w:pPr>
            <w:r>
              <w:rPr>
                <w:rFonts w:ascii="Arial Narrow" w:hAnsi="Arial Narrow"/>
                <w:sz w:val="15"/>
                <w:szCs w:val="15"/>
              </w:rPr>
              <w:t>0.00</w:t>
            </w:r>
          </w:p>
        </w:tc>
        <w:tc>
          <w:tcPr>
            <w:tcW w:w="312" w:type="pct"/>
          </w:tcPr>
          <w:p w14:paraId="672B1597" w14:textId="77777777" w:rsidR="002D0AE7" w:rsidRDefault="00333EBB">
            <w:pPr>
              <w:jc w:val="right"/>
              <w:rPr>
                <w:rFonts w:ascii="Arial Narrow" w:hAnsi="Arial Narrow"/>
                <w:sz w:val="15"/>
                <w:szCs w:val="15"/>
              </w:rPr>
            </w:pPr>
            <w:r>
              <w:rPr>
                <w:rFonts w:ascii="Arial Narrow" w:hAnsi="Arial Narrow"/>
                <w:sz w:val="15"/>
                <w:szCs w:val="15"/>
              </w:rPr>
              <w:t>0.00</w:t>
            </w:r>
          </w:p>
        </w:tc>
        <w:tc>
          <w:tcPr>
            <w:tcW w:w="334" w:type="pct"/>
          </w:tcPr>
          <w:p w14:paraId="7AE83265" w14:textId="77777777" w:rsidR="002D0AE7" w:rsidRDefault="00333EBB">
            <w:pPr>
              <w:jc w:val="right"/>
              <w:rPr>
                <w:rFonts w:ascii="Arial Narrow" w:hAnsi="Arial Narrow"/>
                <w:sz w:val="15"/>
                <w:szCs w:val="15"/>
              </w:rPr>
            </w:pPr>
            <w:r>
              <w:rPr>
                <w:rFonts w:ascii="Arial Narrow" w:hAnsi="Arial Narrow"/>
                <w:sz w:val="15"/>
                <w:szCs w:val="15"/>
              </w:rPr>
              <w:t>0.00</w:t>
            </w:r>
          </w:p>
        </w:tc>
        <w:tc>
          <w:tcPr>
            <w:tcW w:w="312" w:type="pct"/>
            <w:vAlign w:val="center"/>
          </w:tcPr>
          <w:p w14:paraId="38E24627" w14:textId="77777777" w:rsidR="002D0AE7" w:rsidRDefault="00333EBB">
            <w:pPr>
              <w:jc w:val="right"/>
              <w:rPr>
                <w:rFonts w:ascii="Arial Narrow" w:hAnsi="Arial Narrow"/>
                <w:sz w:val="15"/>
                <w:szCs w:val="15"/>
              </w:rPr>
            </w:pPr>
            <w:r>
              <w:rPr>
                <w:rFonts w:ascii="Arial Narrow" w:hAnsi="Arial Narrow"/>
                <w:sz w:val="15"/>
                <w:szCs w:val="15"/>
              </w:rPr>
              <w:t>3,180,061.95</w:t>
            </w:r>
          </w:p>
        </w:tc>
        <w:tc>
          <w:tcPr>
            <w:tcW w:w="358" w:type="pct"/>
          </w:tcPr>
          <w:p w14:paraId="5BAA0A93" w14:textId="77777777" w:rsidR="002D0AE7" w:rsidRDefault="00333EBB">
            <w:pPr>
              <w:jc w:val="right"/>
              <w:rPr>
                <w:rFonts w:ascii="Arial Narrow" w:hAnsi="Arial Narrow"/>
                <w:sz w:val="15"/>
                <w:szCs w:val="15"/>
              </w:rPr>
            </w:pPr>
            <w:r>
              <w:rPr>
                <w:rFonts w:ascii="Arial Narrow" w:hAnsi="Arial Narrow"/>
                <w:sz w:val="15"/>
                <w:szCs w:val="15"/>
              </w:rPr>
              <w:t>0.00</w:t>
            </w:r>
          </w:p>
        </w:tc>
        <w:tc>
          <w:tcPr>
            <w:tcW w:w="132" w:type="pct"/>
            <w:vAlign w:val="center"/>
          </w:tcPr>
          <w:p w14:paraId="2564A363" w14:textId="77777777" w:rsidR="002D0AE7" w:rsidRDefault="002D0AE7">
            <w:pPr>
              <w:jc w:val="right"/>
              <w:rPr>
                <w:rFonts w:ascii="Arial Narrow" w:hAnsi="Arial Narrow"/>
                <w:sz w:val="15"/>
                <w:szCs w:val="15"/>
              </w:rPr>
            </w:pPr>
          </w:p>
        </w:tc>
        <w:tc>
          <w:tcPr>
            <w:tcW w:w="405" w:type="pct"/>
          </w:tcPr>
          <w:p w14:paraId="20DCDBB7" w14:textId="77777777" w:rsidR="002D0AE7" w:rsidRDefault="00333EBB">
            <w:pPr>
              <w:jc w:val="right"/>
              <w:rPr>
                <w:rFonts w:ascii="Arial Narrow" w:hAnsi="Arial Narrow"/>
                <w:sz w:val="15"/>
                <w:szCs w:val="15"/>
              </w:rPr>
            </w:pPr>
            <w:r>
              <w:rPr>
                <w:rFonts w:ascii="Arial Narrow" w:hAnsi="Arial Narrow"/>
                <w:sz w:val="15"/>
                <w:szCs w:val="15"/>
              </w:rPr>
              <w:t>0.00</w:t>
            </w:r>
          </w:p>
        </w:tc>
        <w:tc>
          <w:tcPr>
            <w:tcW w:w="132" w:type="pct"/>
            <w:vAlign w:val="center"/>
          </w:tcPr>
          <w:p w14:paraId="53E5D1A6" w14:textId="77777777" w:rsidR="002D0AE7" w:rsidRDefault="002D0AE7">
            <w:pPr>
              <w:jc w:val="right"/>
              <w:rPr>
                <w:rFonts w:ascii="Arial Narrow" w:hAnsi="Arial Narrow"/>
                <w:sz w:val="15"/>
                <w:szCs w:val="15"/>
              </w:rPr>
            </w:pPr>
          </w:p>
        </w:tc>
        <w:tc>
          <w:tcPr>
            <w:tcW w:w="407" w:type="pct"/>
            <w:vAlign w:val="center"/>
          </w:tcPr>
          <w:p w14:paraId="32A8A2CD" w14:textId="77777777" w:rsidR="002D0AE7" w:rsidRDefault="00333EBB">
            <w:pPr>
              <w:jc w:val="right"/>
              <w:rPr>
                <w:rFonts w:ascii="Arial Narrow" w:hAnsi="Arial Narrow"/>
                <w:sz w:val="15"/>
                <w:szCs w:val="15"/>
              </w:rPr>
            </w:pPr>
            <w:r>
              <w:rPr>
                <w:rFonts w:ascii="Arial Narrow" w:hAnsi="Arial Narrow"/>
                <w:sz w:val="15"/>
                <w:szCs w:val="15"/>
              </w:rPr>
              <w:t>3,180,061.95</w:t>
            </w:r>
          </w:p>
        </w:tc>
        <w:tc>
          <w:tcPr>
            <w:tcW w:w="358" w:type="pct"/>
            <w:vAlign w:val="center"/>
          </w:tcPr>
          <w:p w14:paraId="0A7A4F9E" w14:textId="77777777" w:rsidR="002D0AE7" w:rsidRDefault="002D0AE7">
            <w:pPr>
              <w:jc w:val="right"/>
              <w:rPr>
                <w:rFonts w:ascii="Arial Narrow" w:hAnsi="Arial Narrow"/>
                <w:sz w:val="15"/>
                <w:szCs w:val="15"/>
              </w:rPr>
            </w:pPr>
          </w:p>
        </w:tc>
        <w:tc>
          <w:tcPr>
            <w:tcW w:w="398" w:type="pct"/>
            <w:vAlign w:val="center"/>
          </w:tcPr>
          <w:p w14:paraId="114D1C45" w14:textId="77777777" w:rsidR="002D0AE7" w:rsidRDefault="00333EBB">
            <w:pPr>
              <w:jc w:val="right"/>
              <w:rPr>
                <w:rFonts w:ascii="Arial Narrow" w:hAnsi="Arial Narrow"/>
                <w:sz w:val="15"/>
                <w:szCs w:val="15"/>
              </w:rPr>
            </w:pPr>
            <w:r>
              <w:rPr>
                <w:rFonts w:ascii="Arial Narrow" w:hAnsi="Arial Narrow"/>
                <w:sz w:val="15"/>
                <w:szCs w:val="15"/>
              </w:rPr>
              <w:t>3,180,061.95</w:t>
            </w:r>
          </w:p>
        </w:tc>
      </w:tr>
      <w:tr w:rsidR="002D0AE7" w14:paraId="43916694" w14:textId="77777777">
        <w:trPr>
          <w:jc w:val="center"/>
        </w:trPr>
        <w:tc>
          <w:tcPr>
            <w:tcW w:w="634" w:type="pct"/>
            <w:vAlign w:val="center"/>
          </w:tcPr>
          <w:p w14:paraId="45F3DB81" w14:textId="77777777" w:rsidR="002D0AE7" w:rsidRDefault="00333EBB">
            <w:pPr>
              <w:rPr>
                <w:rFonts w:hint="eastAsia"/>
                <w:color w:val="000000" w:themeColor="text1"/>
                <w:sz w:val="18"/>
                <w:szCs w:val="18"/>
              </w:rPr>
            </w:pPr>
            <w:r>
              <w:rPr>
                <w:rFonts w:hint="eastAsia"/>
                <w:color w:val="000000" w:themeColor="text1"/>
                <w:sz w:val="18"/>
                <w:szCs w:val="18"/>
              </w:rPr>
              <w:t>（六）其他</w:t>
            </w:r>
          </w:p>
        </w:tc>
        <w:tc>
          <w:tcPr>
            <w:tcW w:w="404" w:type="pct"/>
            <w:vAlign w:val="center"/>
          </w:tcPr>
          <w:p w14:paraId="3738B5B0" w14:textId="77777777" w:rsidR="002D0AE7" w:rsidRDefault="002D0AE7">
            <w:pPr>
              <w:jc w:val="right"/>
              <w:rPr>
                <w:rFonts w:ascii="Arial Narrow" w:hAnsi="Arial Narrow"/>
                <w:sz w:val="15"/>
                <w:szCs w:val="15"/>
              </w:rPr>
            </w:pPr>
          </w:p>
        </w:tc>
        <w:tc>
          <w:tcPr>
            <w:tcW w:w="152" w:type="pct"/>
            <w:vAlign w:val="center"/>
          </w:tcPr>
          <w:p w14:paraId="159EE1E7" w14:textId="77777777" w:rsidR="002D0AE7" w:rsidRDefault="002D0AE7">
            <w:pPr>
              <w:jc w:val="right"/>
              <w:rPr>
                <w:rFonts w:ascii="Arial Narrow" w:hAnsi="Arial Narrow"/>
                <w:sz w:val="15"/>
                <w:szCs w:val="15"/>
              </w:rPr>
            </w:pPr>
          </w:p>
        </w:tc>
        <w:tc>
          <w:tcPr>
            <w:tcW w:w="152" w:type="pct"/>
            <w:vAlign w:val="center"/>
          </w:tcPr>
          <w:p w14:paraId="0B4D20E8" w14:textId="77777777" w:rsidR="002D0AE7" w:rsidRDefault="002D0AE7">
            <w:pPr>
              <w:jc w:val="right"/>
              <w:rPr>
                <w:rFonts w:ascii="Arial Narrow" w:hAnsi="Arial Narrow"/>
                <w:sz w:val="15"/>
                <w:szCs w:val="15"/>
              </w:rPr>
            </w:pPr>
          </w:p>
        </w:tc>
        <w:tc>
          <w:tcPr>
            <w:tcW w:w="152" w:type="pct"/>
            <w:vAlign w:val="center"/>
          </w:tcPr>
          <w:p w14:paraId="28F40A6C" w14:textId="77777777" w:rsidR="002D0AE7" w:rsidRDefault="002D0AE7">
            <w:pPr>
              <w:jc w:val="right"/>
              <w:rPr>
                <w:rFonts w:ascii="Arial Narrow" w:hAnsi="Arial Narrow"/>
                <w:sz w:val="15"/>
                <w:szCs w:val="15"/>
              </w:rPr>
            </w:pPr>
          </w:p>
        </w:tc>
        <w:tc>
          <w:tcPr>
            <w:tcW w:w="358" w:type="pct"/>
            <w:vAlign w:val="center"/>
          </w:tcPr>
          <w:p w14:paraId="3540962B" w14:textId="77777777" w:rsidR="002D0AE7" w:rsidRDefault="002D0AE7">
            <w:pPr>
              <w:jc w:val="right"/>
              <w:rPr>
                <w:rFonts w:ascii="Arial Narrow" w:hAnsi="Arial Narrow"/>
                <w:sz w:val="15"/>
                <w:szCs w:val="15"/>
              </w:rPr>
            </w:pPr>
          </w:p>
        </w:tc>
        <w:tc>
          <w:tcPr>
            <w:tcW w:w="312" w:type="pct"/>
            <w:vAlign w:val="center"/>
          </w:tcPr>
          <w:p w14:paraId="09CDCDA9" w14:textId="77777777" w:rsidR="002D0AE7" w:rsidRDefault="002D0AE7">
            <w:pPr>
              <w:jc w:val="right"/>
              <w:rPr>
                <w:rFonts w:ascii="Arial Narrow" w:hAnsi="Arial Narrow"/>
                <w:sz w:val="15"/>
                <w:szCs w:val="15"/>
              </w:rPr>
            </w:pPr>
          </w:p>
        </w:tc>
        <w:tc>
          <w:tcPr>
            <w:tcW w:w="334" w:type="pct"/>
            <w:vAlign w:val="center"/>
          </w:tcPr>
          <w:p w14:paraId="37577E4C" w14:textId="77777777" w:rsidR="002D0AE7" w:rsidRDefault="002D0AE7">
            <w:pPr>
              <w:jc w:val="right"/>
              <w:rPr>
                <w:rFonts w:ascii="Arial Narrow" w:hAnsi="Arial Narrow"/>
                <w:sz w:val="15"/>
                <w:szCs w:val="15"/>
              </w:rPr>
            </w:pPr>
          </w:p>
        </w:tc>
        <w:tc>
          <w:tcPr>
            <w:tcW w:w="312" w:type="pct"/>
            <w:vAlign w:val="center"/>
          </w:tcPr>
          <w:p w14:paraId="32950267" w14:textId="77777777" w:rsidR="002D0AE7" w:rsidRDefault="002D0AE7">
            <w:pPr>
              <w:jc w:val="right"/>
              <w:rPr>
                <w:rFonts w:ascii="Arial Narrow" w:hAnsi="Arial Narrow"/>
                <w:sz w:val="15"/>
                <w:szCs w:val="15"/>
              </w:rPr>
            </w:pPr>
          </w:p>
        </w:tc>
        <w:tc>
          <w:tcPr>
            <w:tcW w:w="358" w:type="pct"/>
            <w:vAlign w:val="center"/>
          </w:tcPr>
          <w:p w14:paraId="1989E643" w14:textId="77777777" w:rsidR="002D0AE7" w:rsidRDefault="002D0AE7">
            <w:pPr>
              <w:jc w:val="right"/>
              <w:rPr>
                <w:rFonts w:ascii="Arial Narrow" w:hAnsi="Arial Narrow"/>
                <w:sz w:val="15"/>
                <w:szCs w:val="15"/>
              </w:rPr>
            </w:pPr>
          </w:p>
        </w:tc>
        <w:tc>
          <w:tcPr>
            <w:tcW w:w="132" w:type="pct"/>
            <w:vAlign w:val="center"/>
          </w:tcPr>
          <w:p w14:paraId="5A535EB2" w14:textId="77777777" w:rsidR="002D0AE7" w:rsidRDefault="002D0AE7">
            <w:pPr>
              <w:jc w:val="right"/>
              <w:rPr>
                <w:rFonts w:ascii="Arial Narrow" w:hAnsi="Arial Narrow"/>
                <w:sz w:val="15"/>
                <w:szCs w:val="15"/>
              </w:rPr>
            </w:pPr>
          </w:p>
        </w:tc>
        <w:tc>
          <w:tcPr>
            <w:tcW w:w="405" w:type="pct"/>
            <w:vAlign w:val="center"/>
          </w:tcPr>
          <w:p w14:paraId="4B64C202" w14:textId="77777777" w:rsidR="002D0AE7" w:rsidRDefault="002D0AE7">
            <w:pPr>
              <w:jc w:val="right"/>
              <w:rPr>
                <w:rFonts w:ascii="Arial Narrow" w:hAnsi="Arial Narrow"/>
                <w:sz w:val="15"/>
                <w:szCs w:val="15"/>
              </w:rPr>
            </w:pPr>
          </w:p>
        </w:tc>
        <w:tc>
          <w:tcPr>
            <w:tcW w:w="132" w:type="pct"/>
            <w:vAlign w:val="center"/>
          </w:tcPr>
          <w:p w14:paraId="73739D6A" w14:textId="77777777" w:rsidR="002D0AE7" w:rsidRDefault="002D0AE7">
            <w:pPr>
              <w:jc w:val="right"/>
              <w:rPr>
                <w:rFonts w:ascii="Arial Narrow" w:hAnsi="Arial Narrow"/>
                <w:sz w:val="15"/>
                <w:szCs w:val="15"/>
              </w:rPr>
            </w:pPr>
          </w:p>
        </w:tc>
        <w:tc>
          <w:tcPr>
            <w:tcW w:w="407" w:type="pct"/>
            <w:vAlign w:val="center"/>
          </w:tcPr>
          <w:p w14:paraId="356AF1C8" w14:textId="77777777" w:rsidR="002D0AE7" w:rsidRDefault="002D0AE7">
            <w:pPr>
              <w:jc w:val="right"/>
              <w:rPr>
                <w:rFonts w:ascii="Arial Narrow" w:hAnsi="Arial Narrow"/>
                <w:sz w:val="15"/>
                <w:szCs w:val="15"/>
              </w:rPr>
            </w:pPr>
          </w:p>
        </w:tc>
        <w:tc>
          <w:tcPr>
            <w:tcW w:w="358" w:type="pct"/>
            <w:vAlign w:val="center"/>
          </w:tcPr>
          <w:p w14:paraId="62CA4C50" w14:textId="77777777" w:rsidR="002D0AE7" w:rsidRDefault="002D0AE7">
            <w:pPr>
              <w:jc w:val="right"/>
              <w:rPr>
                <w:rFonts w:ascii="Arial Narrow" w:hAnsi="Arial Narrow"/>
                <w:sz w:val="15"/>
                <w:szCs w:val="15"/>
              </w:rPr>
            </w:pPr>
          </w:p>
        </w:tc>
        <w:tc>
          <w:tcPr>
            <w:tcW w:w="398" w:type="pct"/>
            <w:vAlign w:val="center"/>
          </w:tcPr>
          <w:p w14:paraId="05DE7DEB" w14:textId="77777777" w:rsidR="002D0AE7" w:rsidRDefault="002D0AE7">
            <w:pPr>
              <w:jc w:val="right"/>
              <w:rPr>
                <w:rFonts w:ascii="Arial Narrow" w:hAnsi="Arial Narrow"/>
                <w:sz w:val="15"/>
                <w:szCs w:val="15"/>
              </w:rPr>
            </w:pPr>
          </w:p>
        </w:tc>
      </w:tr>
      <w:tr w:rsidR="002D0AE7" w14:paraId="4A993801" w14:textId="77777777">
        <w:trPr>
          <w:jc w:val="center"/>
        </w:trPr>
        <w:tc>
          <w:tcPr>
            <w:tcW w:w="634" w:type="pct"/>
            <w:vAlign w:val="center"/>
          </w:tcPr>
          <w:p w14:paraId="3C191D2C" w14:textId="77777777" w:rsidR="002D0AE7" w:rsidRDefault="00333EBB">
            <w:pPr>
              <w:rPr>
                <w:rFonts w:hint="eastAsia"/>
                <w:color w:val="000000" w:themeColor="text1"/>
                <w:sz w:val="18"/>
                <w:szCs w:val="18"/>
              </w:rPr>
            </w:pPr>
            <w:r>
              <w:rPr>
                <w:color w:val="000000" w:themeColor="text1"/>
                <w:sz w:val="18"/>
                <w:szCs w:val="18"/>
              </w:rPr>
              <w:t>四、本期期末余额</w:t>
            </w:r>
          </w:p>
        </w:tc>
        <w:tc>
          <w:tcPr>
            <w:tcW w:w="404" w:type="pct"/>
            <w:vAlign w:val="center"/>
          </w:tcPr>
          <w:p w14:paraId="2A80FFEC" w14:textId="77777777" w:rsidR="002D0AE7" w:rsidRDefault="00333EBB">
            <w:pPr>
              <w:jc w:val="right"/>
              <w:rPr>
                <w:rFonts w:ascii="Arial Narrow" w:hAnsi="Arial Narrow"/>
                <w:sz w:val="15"/>
                <w:szCs w:val="15"/>
              </w:rPr>
            </w:pPr>
            <w:r>
              <w:rPr>
                <w:rFonts w:ascii="Arial Narrow" w:hAnsi="Arial Narrow"/>
                <w:sz w:val="15"/>
                <w:szCs w:val="15"/>
              </w:rPr>
              <w:t>1,093,932,680.00</w:t>
            </w:r>
          </w:p>
        </w:tc>
        <w:tc>
          <w:tcPr>
            <w:tcW w:w="152" w:type="pct"/>
            <w:vAlign w:val="center"/>
          </w:tcPr>
          <w:p w14:paraId="31E6B988"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7B68641B"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6ED54782"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8" w:type="pct"/>
            <w:vAlign w:val="center"/>
          </w:tcPr>
          <w:p w14:paraId="07252F0E" w14:textId="77777777" w:rsidR="002D0AE7" w:rsidRDefault="00333EBB">
            <w:pPr>
              <w:jc w:val="right"/>
              <w:rPr>
                <w:rFonts w:ascii="Arial Narrow" w:hAnsi="Arial Narrow"/>
                <w:sz w:val="15"/>
                <w:szCs w:val="15"/>
              </w:rPr>
            </w:pPr>
            <w:r>
              <w:rPr>
                <w:rFonts w:ascii="Arial Narrow" w:hAnsi="Arial Narrow"/>
                <w:sz w:val="15"/>
                <w:szCs w:val="15"/>
              </w:rPr>
              <w:t>322,190,215.52</w:t>
            </w:r>
          </w:p>
        </w:tc>
        <w:tc>
          <w:tcPr>
            <w:tcW w:w="312" w:type="pct"/>
            <w:vAlign w:val="center"/>
          </w:tcPr>
          <w:p w14:paraId="388AE40F" w14:textId="77777777" w:rsidR="002D0AE7" w:rsidRDefault="00333EBB">
            <w:pPr>
              <w:jc w:val="right"/>
              <w:rPr>
                <w:rFonts w:ascii="Arial Narrow" w:hAnsi="Arial Narrow"/>
                <w:sz w:val="15"/>
                <w:szCs w:val="15"/>
              </w:rPr>
            </w:pPr>
            <w:r>
              <w:rPr>
                <w:rFonts w:ascii="Arial Narrow" w:hAnsi="Arial Narrow"/>
                <w:sz w:val="15"/>
                <w:szCs w:val="15"/>
              </w:rPr>
              <w:t>4,726,260.00</w:t>
            </w:r>
          </w:p>
        </w:tc>
        <w:tc>
          <w:tcPr>
            <w:tcW w:w="334" w:type="pct"/>
            <w:vAlign w:val="center"/>
          </w:tcPr>
          <w:p w14:paraId="435BE13A" w14:textId="77777777" w:rsidR="002D0AE7" w:rsidRDefault="00333EBB">
            <w:pPr>
              <w:jc w:val="right"/>
              <w:rPr>
                <w:rFonts w:ascii="Arial Narrow" w:hAnsi="Arial Narrow"/>
                <w:sz w:val="15"/>
                <w:szCs w:val="15"/>
              </w:rPr>
            </w:pPr>
            <w:r>
              <w:rPr>
                <w:rFonts w:ascii="Arial Narrow" w:hAnsi="Arial Narrow"/>
                <w:sz w:val="15"/>
                <w:szCs w:val="15"/>
              </w:rPr>
              <w:t>49,658,370.14</w:t>
            </w:r>
          </w:p>
        </w:tc>
        <w:tc>
          <w:tcPr>
            <w:tcW w:w="312" w:type="pct"/>
            <w:vAlign w:val="center"/>
          </w:tcPr>
          <w:p w14:paraId="36DC3661" w14:textId="77777777" w:rsidR="002D0AE7" w:rsidRDefault="00333EBB">
            <w:pPr>
              <w:jc w:val="right"/>
              <w:rPr>
                <w:rFonts w:ascii="Arial Narrow" w:hAnsi="Arial Narrow"/>
                <w:sz w:val="15"/>
                <w:szCs w:val="15"/>
              </w:rPr>
            </w:pPr>
            <w:r>
              <w:rPr>
                <w:rFonts w:ascii="Arial Narrow" w:hAnsi="Arial Narrow"/>
                <w:sz w:val="15"/>
                <w:szCs w:val="15"/>
              </w:rPr>
              <w:t>1,199,938.05</w:t>
            </w:r>
          </w:p>
        </w:tc>
        <w:tc>
          <w:tcPr>
            <w:tcW w:w="358" w:type="pct"/>
            <w:vAlign w:val="center"/>
          </w:tcPr>
          <w:p w14:paraId="391EE594" w14:textId="77777777" w:rsidR="002D0AE7" w:rsidRDefault="00333EBB">
            <w:pPr>
              <w:jc w:val="right"/>
              <w:rPr>
                <w:rFonts w:ascii="Arial Narrow" w:hAnsi="Arial Narrow"/>
                <w:sz w:val="15"/>
                <w:szCs w:val="15"/>
              </w:rPr>
            </w:pPr>
            <w:r>
              <w:rPr>
                <w:rFonts w:ascii="Arial Narrow" w:hAnsi="Arial Narrow"/>
                <w:sz w:val="15"/>
                <w:szCs w:val="15"/>
              </w:rPr>
              <w:t>248,417,943.85</w:t>
            </w:r>
          </w:p>
        </w:tc>
        <w:tc>
          <w:tcPr>
            <w:tcW w:w="132" w:type="pct"/>
            <w:vAlign w:val="center"/>
          </w:tcPr>
          <w:p w14:paraId="715A3D66" w14:textId="77777777" w:rsidR="002D0AE7" w:rsidRDefault="002D0AE7">
            <w:pPr>
              <w:jc w:val="right"/>
              <w:rPr>
                <w:rFonts w:ascii="Arial Narrow" w:hAnsi="Arial Narrow"/>
                <w:sz w:val="15"/>
                <w:szCs w:val="15"/>
              </w:rPr>
            </w:pPr>
          </w:p>
        </w:tc>
        <w:tc>
          <w:tcPr>
            <w:tcW w:w="405" w:type="pct"/>
            <w:vAlign w:val="center"/>
          </w:tcPr>
          <w:p w14:paraId="2DF25BB4" w14:textId="77777777" w:rsidR="002D0AE7" w:rsidRDefault="00333EBB">
            <w:pPr>
              <w:jc w:val="right"/>
              <w:rPr>
                <w:rFonts w:ascii="Arial Narrow" w:hAnsi="Arial Narrow"/>
                <w:sz w:val="15"/>
                <w:szCs w:val="15"/>
              </w:rPr>
            </w:pPr>
            <w:r>
              <w:rPr>
                <w:rFonts w:ascii="Arial Narrow" w:hAnsi="Arial Narrow"/>
                <w:sz w:val="15"/>
                <w:szCs w:val="15"/>
              </w:rPr>
              <w:t>1,293,634,334.92</w:t>
            </w:r>
          </w:p>
        </w:tc>
        <w:tc>
          <w:tcPr>
            <w:tcW w:w="132" w:type="pct"/>
            <w:vAlign w:val="center"/>
          </w:tcPr>
          <w:p w14:paraId="45B4E6BA" w14:textId="77777777" w:rsidR="002D0AE7" w:rsidRDefault="002D0AE7">
            <w:pPr>
              <w:jc w:val="right"/>
              <w:rPr>
                <w:rFonts w:ascii="Arial Narrow" w:hAnsi="Arial Narrow"/>
                <w:sz w:val="15"/>
                <w:szCs w:val="15"/>
              </w:rPr>
            </w:pPr>
          </w:p>
        </w:tc>
        <w:tc>
          <w:tcPr>
            <w:tcW w:w="407" w:type="pct"/>
            <w:vAlign w:val="center"/>
          </w:tcPr>
          <w:p w14:paraId="48043B59" w14:textId="77777777" w:rsidR="002D0AE7" w:rsidRDefault="00333EBB">
            <w:pPr>
              <w:jc w:val="right"/>
              <w:rPr>
                <w:rFonts w:ascii="Arial Narrow" w:hAnsi="Arial Narrow"/>
                <w:sz w:val="15"/>
                <w:szCs w:val="15"/>
              </w:rPr>
            </w:pPr>
            <w:r>
              <w:rPr>
                <w:rFonts w:ascii="Arial Narrow" w:hAnsi="Arial Narrow"/>
                <w:sz w:val="15"/>
                <w:szCs w:val="15"/>
              </w:rPr>
              <w:t>3,004,307,222.48</w:t>
            </w:r>
          </w:p>
        </w:tc>
        <w:tc>
          <w:tcPr>
            <w:tcW w:w="358" w:type="pct"/>
            <w:vAlign w:val="center"/>
          </w:tcPr>
          <w:p w14:paraId="65658DA3" w14:textId="77777777" w:rsidR="002D0AE7" w:rsidRDefault="00333EBB">
            <w:pPr>
              <w:jc w:val="right"/>
              <w:rPr>
                <w:rFonts w:ascii="Arial Narrow" w:hAnsi="Arial Narrow"/>
                <w:sz w:val="15"/>
                <w:szCs w:val="15"/>
              </w:rPr>
            </w:pPr>
            <w:r>
              <w:rPr>
                <w:rFonts w:ascii="Arial Narrow" w:hAnsi="Arial Narrow"/>
                <w:sz w:val="15"/>
                <w:szCs w:val="15"/>
              </w:rPr>
              <w:t>834,692,352.32</w:t>
            </w:r>
          </w:p>
        </w:tc>
        <w:tc>
          <w:tcPr>
            <w:tcW w:w="398" w:type="pct"/>
            <w:vAlign w:val="center"/>
          </w:tcPr>
          <w:p w14:paraId="03F78AEC" w14:textId="77777777" w:rsidR="002D0AE7" w:rsidRDefault="00333EBB">
            <w:pPr>
              <w:jc w:val="right"/>
              <w:rPr>
                <w:rFonts w:ascii="Arial Narrow" w:hAnsi="Arial Narrow"/>
                <w:sz w:val="15"/>
                <w:szCs w:val="15"/>
              </w:rPr>
            </w:pPr>
            <w:r>
              <w:rPr>
                <w:rFonts w:ascii="Arial Narrow" w:hAnsi="Arial Narrow"/>
                <w:sz w:val="15"/>
                <w:szCs w:val="15"/>
              </w:rPr>
              <w:t>3,838,999,574.80</w:t>
            </w:r>
          </w:p>
        </w:tc>
      </w:tr>
    </w:tbl>
    <w:p w14:paraId="73066802" w14:textId="77777777" w:rsidR="002D0AE7" w:rsidRDefault="002D0AE7">
      <w:pPr>
        <w:snapToGrid w:val="0"/>
        <w:spacing w:line="240" w:lineRule="atLeast"/>
        <w:ind w:rightChars="-759" w:right="-1822"/>
        <w:rPr>
          <w:rFonts w:hint="eastAsia"/>
          <w:color w:val="000000" w:themeColor="text1"/>
        </w:rPr>
      </w:pPr>
    </w:p>
    <w:tbl>
      <w:tblPr>
        <w:tblW w:w="54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1183"/>
        <w:gridCol w:w="456"/>
        <w:gridCol w:w="456"/>
        <w:gridCol w:w="456"/>
        <w:gridCol w:w="1072"/>
        <w:gridCol w:w="1003"/>
        <w:gridCol w:w="1072"/>
        <w:gridCol w:w="935"/>
        <w:gridCol w:w="1072"/>
        <w:gridCol w:w="456"/>
        <w:gridCol w:w="1174"/>
        <w:gridCol w:w="457"/>
        <w:gridCol w:w="1175"/>
        <w:gridCol w:w="1073"/>
        <w:gridCol w:w="1174"/>
      </w:tblGrid>
      <w:tr w:rsidR="002D0AE7" w14:paraId="64FA8F45" w14:textId="77777777">
        <w:trPr>
          <w:jc w:val="center"/>
        </w:trPr>
        <w:tc>
          <w:tcPr>
            <w:tcW w:w="602" w:type="pct"/>
            <w:vMerge w:val="restart"/>
            <w:vAlign w:val="center"/>
          </w:tcPr>
          <w:sdt>
            <w:sdtPr>
              <w:rPr>
                <w:rFonts w:hint="eastAsia"/>
                <w:color w:val="000000" w:themeColor="text1"/>
                <w:sz w:val="18"/>
                <w:szCs w:val="18"/>
              </w:rPr>
              <w:tag w:val="_PLD_20eb9c9dd1e14fb0a0790f87b63a489d"/>
              <w:id w:val="1831636003"/>
            </w:sdtPr>
            <w:sdtEndPr/>
            <w:sdtContent>
              <w:p w14:paraId="57D11946" w14:textId="77777777" w:rsidR="002D0AE7" w:rsidRDefault="00333EBB">
                <w:pPr>
                  <w:snapToGrid w:val="0"/>
                  <w:spacing w:line="240" w:lineRule="atLeast"/>
                  <w:jc w:val="center"/>
                  <w:rPr>
                    <w:rFonts w:hint="eastAsia"/>
                    <w:color w:val="000000" w:themeColor="text1"/>
                    <w:sz w:val="18"/>
                    <w:szCs w:val="18"/>
                  </w:rPr>
                </w:pPr>
                <w:r>
                  <w:rPr>
                    <w:rFonts w:hint="eastAsia"/>
                    <w:color w:val="000000" w:themeColor="text1"/>
                    <w:sz w:val="18"/>
                    <w:szCs w:val="18"/>
                  </w:rPr>
                  <w:t>项目</w:t>
                </w:r>
              </w:p>
            </w:sdtContent>
          </w:sdt>
        </w:tc>
        <w:tc>
          <w:tcPr>
            <w:tcW w:w="4398" w:type="pct"/>
            <w:gridSpan w:val="15"/>
            <w:vAlign w:val="center"/>
          </w:tcPr>
          <w:p w14:paraId="0BC378B6" w14:textId="77777777" w:rsidR="002D0AE7" w:rsidRDefault="00333EBB">
            <w:pPr>
              <w:snapToGrid w:val="0"/>
              <w:spacing w:line="240" w:lineRule="atLeast"/>
              <w:jc w:val="center"/>
              <w:rPr>
                <w:rFonts w:hint="eastAsia"/>
                <w:color w:val="000000" w:themeColor="text1"/>
              </w:rPr>
            </w:pPr>
            <w:sdt>
              <w:sdtPr>
                <w:rPr>
                  <w:rFonts w:hint="eastAsia"/>
                  <w:color w:val="000000" w:themeColor="text1"/>
                </w:rPr>
                <w:tag w:val="_PLD_95c0e6e5f75a49daa1b601f67b7dd704"/>
                <w:id w:val="-2073496770"/>
              </w:sdtPr>
              <w:sdtEndPr/>
              <w:sdtContent>
                <w:r>
                  <w:rPr>
                    <w:rFonts w:hint="eastAsia"/>
                    <w:color w:val="000000" w:themeColor="text1"/>
                    <w:sz w:val="18"/>
                    <w:szCs w:val="18"/>
                  </w:rPr>
                  <w:t>2023</w:t>
                </w:r>
                <w:r>
                  <w:rPr>
                    <w:rFonts w:hint="eastAsia"/>
                    <w:color w:val="000000" w:themeColor="text1"/>
                    <w:sz w:val="18"/>
                    <w:szCs w:val="18"/>
                  </w:rPr>
                  <w:t>年半年度</w:t>
                </w:r>
              </w:sdtContent>
            </w:sdt>
          </w:p>
        </w:tc>
      </w:tr>
      <w:tr w:rsidR="002D0AE7" w14:paraId="01BB1869" w14:textId="77777777">
        <w:trPr>
          <w:trHeight w:val="471"/>
          <w:jc w:val="center"/>
        </w:trPr>
        <w:tc>
          <w:tcPr>
            <w:tcW w:w="602" w:type="pct"/>
            <w:vMerge/>
            <w:vAlign w:val="center"/>
          </w:tcPr>
          <w:p w14:paraId="7B5729E5" w14:textId="77777777" w:rsidR="002D0AE7" w:rsidRDefault="002D0AE7">
            <w:pPr>
              <w:snapToGrid w:val="0"/>
              <w:spacing w:line="240" w:lineRule="atLeast"/>
              <w:ind w:rightChars="-759" w:right="-1822"/>
              <w:rPr>
                <w:rFonts w:hint="eastAsia"/>
                <w:color w:val="000000" w:themeColor="text1"/>
                <w:sz w:val="18"/>
                <w:szCs w:val="18"/>
              </w:rPr>
            </w:pPr>
          </w:p>
        </w:tc>
        <w:sdt>
          <w:sdtPr>
            <w:rPr>
              <w:color w:val="000000" w:themeColor="text1"/>
            </w:rPr>
            <w:tag w:val="_PLD_3c5d65171933469ea16eac46afc03a54"/>
            <w:id w:val="-16010567"/>
          </w:sdtPr>
          <w:sdtEndPr/>
          <w:sdtContent>
            <w:tc>
              <w:tcPr>
                <w:tcW w:w="3650" w:type="pct"/>
                <w:gridSpan w:val="13"/>
                <w:vAlign w:val="center"/>
              </w:tcPr>
              <w:p w14:paraId="59EF429B" w14:textId="77777777" w:rsidR="002D0AE7" w:rsidRDefault="00333EBB">
                <w:pPr>
                  <w:jc w:val="center"/>
                  <w:rPr>
                    <w:rFonts w:hint="eastAsia"/>
                    <w:color w:val="000000" w:themeColor="text1"/>
                  </w:rPr>
                </w:pPr>
                <w:r>
                  <w:rPr>
                    <w:color w:val="000000" w:themeColor="text1"/>
                    <w:sz w:val="18"/>
                    <w:szCs w:val="18"/>
                  </w:rPr>
                  <w:t>归属于母公司所有者权益</w:t>
                </w:r>
              </w:p>
            </w:tc>
          </w:sdtContent>
        </w:sdt>
        <w:sdt>
          <w:sdtPr>
            <w:rPr>
              <w:color w:val="000000" w:themeColor="text1"/>
            </w:rPr>
            <w:tag w:val="_PLD_ba7b1c99b1634f48939c500d6c46ce09"/>
            <w:id w:val="-784192587"/>
          </w:sdtPr>
          <w:sdtEndPr/>
          <w:sdtContent>
            <w:tc>
              <w:tcPr>
                <w:tcW w:w="357" w:type="pct"/>
                <w:vMerge w:val="restart"/>
                <w:vAlign w:val="center"/>
              </w:tcPr>
              <w:p w14:paraId="4ADB1D6F" w14:textId="77777777" w:rsidR="002D0AE7" w:rsidRDefault="00333EBB">
                <w:pPr>
                  <w:jc w:val="center"/>
                  <w:rPr>
                    <w:rFonts w:hint="eastAsia"/>
                    <w:color w:val="000000" w:themeColor="text1"/>
                    <w:sz w:val="18"/>
                    <w:szCs w:val="18"/>
                  </w:rPr>
                </w:pPr>
                <w:r>
                  <w:rPr>
                    <w:color w:val="000000" w:themeColor="text1"/>
                    <w:sz w:val="18"/>
                    <w:szCs w:val="18"/>
                  </w:rPr>
                  <w:t>少数股东权益</w:t>
                </w:r>
              </w:p>
            </w:tc>
          </w:sdtContent>
        </w:sdt>
        <w:sdt>
          <w:sdtPr>
            <w:rPr>
              <w:color w:val="000000" w:themeColor="text1"/>
            </w:rPr>
            <w:tag w:val="_PLD_fb367567c5f141a5863649df07435b71"/>
            <w:id w:val="551048380"/>
          </w:sdtPr>
          <w:sdtEndPr/>
          <w:sdtContent>
            <w:tc>
              <w:tcPr>
                <w:tcW w:w="391" w:type="pct"/>
                <w:vMerge w:val="restart"/>
                <w:vAlign w:val="center"/>
              </w:tcPr>
              <w:p w14:paraId="5304FF18" w14:textId="77777777" w:rsidR="002D0AE7" w:rsidRDefault="00333EBB">
                <w:pPr>
                  <w:jc w:val="center"/>
                  <w:rPr>
                    <w:rFonts w:hint="eastAsia"/>
                    <w:color w:val="000000" w:themeColor="text1"/>
                    <w:sz w:val="18"/>
                    <w:szCs w:val="18"/>
                  </w:rPr>
                </w:pPr>
                <w:r>
                  <w:rPr>
                    <w:color w:val="000000" w:themeColor="text1"/>
                    <w:sz w:val="18"/>
                    <w:szCs w:val="18"/>
                  </w:rPr>
                  <w:t>所有者权益合计</w:t>
                </w:r>
              </w:p>
            </w:tc>
          </w:sdtContent>
        </w:sdt>
      </w:tr>
      <w:tr w:rsidR="002D0AE7" w14:paraId="1F7683C6" w14:textId="77777777">
        <w:trPr>
          <w:trHeight w:val="383"/>
          <w:jc w:val="center"/>
        </w:trPr>
        <w:tc>
          <w:tcPr>
            <w:tcW w:w="602" w:type="pct"/>
            <w:vMerge/>
            <w:vAlign w:val="center"/>
          </w:tcPr>
          <w:p w14:paraId="01A41BB6" w14:textId="77777777" w:rsidR="002D0AE7" w:rsidRDefault="002D0AE7">
            <w:pPr>
              <w:snapToGrid w:val="0"/>
              <w:spacing w:line="240" w:lineRule="atLeast"/>
              <w:ind w:rightChars="-759" w:right="-1822"/>
              <w:rPr>
                <w:rFonts w:hint="eastAsia"/>
                <w:color w:val="000000" w:themeColor="text1"/>
                <w:sz w:val="18"/>
                <w:szCs w:val="18"/>
              </w:rPr>
            </w:pPr>
          </w:p>
        </w:tc>
        <w:sdt>
          <w:sdtPr>
            <w:rPr>
              <w:color w:val="000000" w:themeColor="text1"/>
            </w:rPr>
            <w:tag w:val="_PLD_36b3a5c009c04b53b0bd25afc2596e7e"/>
            <w:id w:val="114498690"/>
          </w:sdtPr>
          <w:sdtEndPr/>
          <w:sdtContent>
            <w:tc>
              <w:tcPr>
                <w:tcW w:w="394" w:type="pct"/>
                <w:vMerge w:val="restart"/>
                <w:vAlign w:val="center"/>
              </w:tcPr>
              <w:p w14:paraId="0FC7C501" w14:textId="77777777" w:rsidR="002D0AE7" w:rsidRDefault="00333EBB">
                <w:pPr>
                  <w:snapToGrid w:val="0"/>
                  <w:spacing w:line="240" w:lineRule="atLeast"/>
                  <w:jc w:val="center"/>
                  <w:rPr>
                    <w:rFonts w:hint="eastAsia"/>
                    <w:color w:val="000000" w:themeColor="text1"/>
                    <w:sz w:val="18"/>
                    <w:szCs w:val="18"/>
                  </w:rPr>
                </w:pPr>
                <w:r>
                  <w:rPr>
                    <w:rFonts w:hint="eastAsia"/>
                    <w:color w:val="000000" w:themeColor="text1"/>
                    <w:sz w:val="18"/>
                    <w:szCs w:val="18"/>
                  </w:rPr>
                  <w:t>实收资本</w:t>
                </w:r>
                <w:r>
                  <w:rPr>
                    <w:color w:val="000000" w:themeColor="text1"/>
                    <w:sz w:val="18"/>
                    <w:szCs w:val="18"/>
                  </w:rPr>
                  <w:t>(</w:t>
                </w:r>
                <w:r>
                  <w:rPr>
                    <w:color w:val="000000" w:themeColor="text1"/>
                    <w:sz w:val="18"/>
                    <w:szCs w:val="18"/>
                  </w:rPr>
                  <w:t>或股本</w:t>
                </w:r>
                <w:r>
                  <w:rPr>
                    <w:color w:val="000000" w:themeColor="text1"/>
                    <w:sz w:val="18"/>
                    <w:szCs w:val="18"/>
                  </w:rPr>
                  <w:t>)</w:t>
                </w:r>
              </w:p>
            </w:tc>
          </w:sdtContent>
        </w:sdt>
        <w:sdt>
          <w:sdtPr>
            <w:rPr>
              <w:color w:val="000000" w:themeColor="text1"/>
            </w:rPr>
            <w:tag w:val="_PLD_c0579a9940424a129a85d26955bb30bc"/>
            <w:id w:val="-208501752"/>
          </w:sdtPr>
          <w:sdtEndPr/>
          <w:sdtContent>
            <w:tc>
              <w:tcPr>
                <w:tcW w:w="455" w:type="pct"/>
                <w:gridSpan w:val="3"/>
                <w:vAlign w:val="center"/>
              </w:tcPr>
              <w:p w14:paraId="7DDD5E18" w14:textId="77777777" w:rsidR="002D0AE7" w:rsidRDefault="00333EBB">
                <w:pPr>
                  <w:snapToGrid w:val="0"/>
                  <w:spacing w:line="240" w:lineRule="atLeast"/>
                  <w:jc w:val="center"/>
                  <w:rPr>
                    <w:rFonts w:hint="eastAsia"/>
                    <w:color w:val="000000" w:themeColor="text1"/>
                    <w:sz w:val="18"/>
                    <w:szCs w:val="18"/>
                  </w:rPr>
                </w:pPr>
                <w:r>
                  <w:rPr>
                    <w:rFonts w:hint="eastAsia"/>
                    <w:color w:val="000000" w:themeColor="text1"/>
                    <w:sz w:val="18"/>
                    <w:szCs w:val="18"/>
                  </w:rPr>
                  <w:t>其他权益工具</w:t>
                </w:r>
              </w:p>
            </w:tc>
          </w:sdtContent>
        </w:sdt>
        <w:sdt>
          <w:sdtPr>
            <w:rPr>
              <w:color w:val="000000" w:themeColor="text1"/>
            </w:rPr>
            <w:tag w:val="_PLD_f728bf12d1d64c4fa04dfc828a7a0411"/>
            <w:id w:val="-1959948292"/>
          </w:sdtPr>
          <w:sdtEndPr/>
          <w:sdtContent>
            <w:tc>
              <w:tcPr>
                <w:tcW w:w="357" w:type="pct"/>
                <w:vMerge w:val="restart"/>
                <w:vAlign w:val="center"/>
              </w:tcPr>
              <w:p w14:paraId="306FA846" w14:textId="77777777" w:rsidR="002D0AE7" w:rsidRDefault="00333EBB">
                <w:pPr>
                  <w:snapToGrid w:val="0"/>
                  <w:spacing w:line="240" w:lineRule="atLeast"/>
                  <w:jc w:val="center"/>
                  <w:rPr>
                    <w:rFonts w:hint="eastAsia"/>
                    <w:color w:val="000000" w:themeColor="text1"/>
                    <w:sz w:val="18"/>
                    <w:szCs w:val="18"/>
                  </w:rPr>
                </w:pPr>
                <w:r>
                  <w:rPr>
                    <w:rFonts w:hint="eastAsia"/>
                    <w:color w:val="000000" w:themeColor="text1"/>
                    <w:sz w:val="18"/>
                    <w:szCs w:val="18"/>
                  </w:rPr>
                  <w:t>资本公积</w:t>
                </w:r>
              </w:p>
            </w:tc>
          </w:sdtContent>
        </w:sdt>
        <w:sdt>
          <w:sdtPr>
            <w:rPr>
              <w:color w:val="000000" w:themeColor="text1"/>
            </w:rPr>
            <w:tag w:val="_PLD_8c191e0685ac4367b113504c484a11e9"/>
            <w:id w:val="578407247"/>
          </w:sdtPr>
          <w:sdtEndPr/>
          <w:sdtContent>
            <w:tc>
              <w:tcPr>
                <w:tcW w:w="334" w:type="pct"/>
                <w:vMerge w:val="restart"/>
                <w:vAlign w:val="center"/>
              </w:tcPr>
              <w:p w14:paraId="46976483" w14:textId="77777777" w:rsidR="002D0AE7" w:rsidRDefault="00333EBB">
                <w:pPr>
                  <w:snapToGrid w:val="0"/>
                  <w:spacing w:line="240" w:lineRule="atLeast"/>
                  <w:jc w:val="center"/>
                  <w:rPr>
                    <w:rFonts w:hint="eastAsia"/>
                    <w:color w:val="000000" w:themeColor="text1"/>
                    <w:sz w:val="18"/>
                    <w:szCs w:val="18"/>
                  </w:rPr>
                </w:pPr>
                <w:r>
                  <w:rPr>
                    <w:rFonts w:hint="eastAsia"/>
                    <w:color w:val="000000" w:themeColor="text1"/>
                    <w:sz w:val="18"/>
                    <w:szCs w:val="18"/>
                  </w:rPr>
                  <w:t>减：库存股</w:t>
                </w:r>
              </w:p>
            </w:tc>
          </w:sdtContent>
        </w:sdt>
        <w:sdt>
          <w:sdtPr>
            <w:rPr>
              <w:color w:val="000000" w:themeColor="text1"/>
            </w:rPr>
            <w:tag w:val="_PLD_68ae3206209542ea8491f40d49bafeb7"/>
            <w:id w:val="-167722037"/>
          </w:sdtPr>
          <w:sdtEndPr/>
          <w:sdtContent>
            <w:tc>
              <w:tcPr>
                <w:tcW w:w="357" w:type="pct"/>
                <w:vMerge w:val="restart"/>
                <w:vAlign w:val="center"/>
              </w:tcPr>
              <w:p w14:paraId="38F7E2B0" w14:textId="77777777" w:rsidR="002D0AE7" w:rsidRDefault="00333EBB">
                <w:pPr>
                  <w:snapToGrid w:val="0"/>
                  <w:spacing w:line="240" w:lineRule="atLeast"/>
                  <w:jc w:val="center"/>
                  <w:rPr>
                    <w:rFonts w:hint="eastAsia"/>
                    <w:color w:val="000000" w:themeColor="text1"/>
                    <w:sz w:val="18"/>
                    <w:szCs w:val="18"/>
                  </w:rPr>
                </w:pPr>
                <w:r>
                  <w:rPr>
                    <w:rFonts w:hint="eastAsia"/>
                    <w:color w:val="000000" w:themeColor="text1"/>
                    <w:sz w:val="18"/>
                    <w:szCs w:val="18"/>
                  </w:rPr>
                  <w:t>其他综合收益</w:t>
                </w:r>
              </w:p>
            </w:tc>
          </w:sdtContent>
        </w:sdt>
        <w:sdt>
          <w:sdtPr>
            <w:rPr>
              <w:color w:val="000000" w:themeColor="text1"/>
            </w:rPr>
            <w:tag w:val="_PLD_6402f064d7a041d58973d8b8205096d0"/>
            <w:id w:val="-1525709400"/>
          </w:sdtPr>
          <w:sdtEndPr/>
          <w:sdtContent>
            <w:tc>
              <w:tcPr>
                <w:tcW w:w="311" w:type="pct"/>
                <w:vMerge w:val="restart"/>
                <w:vAlign w:val="center"/>
              </w:tcPr>
              <w:p w14:paraId="18C03F66" w14:textId="77777777" w:rsidR="002D0AE7" w:rsidRDefault="00333EBB">
                <w:pPr>
                  <w:snapToGrid w:val="0"/>
                  <w:spacing w:line="240" w:lineRule="atLeast"/>
                  <w:jc w:val="center"/>
                  <w:rPr>
                    <w:rFonts w:hint="eastAsia"/>
                    <w:color w:val="000000" w:themeColor="text1"/>
                    <w:sz w:val="18"/>
                    <w:szCs w:val="18"/>
                  </w:rPr>
                </w:pPr>
                <w:r>
                  <w:rPr>
                    <w:rFonts w:hint="eastAsia"/>
                    <w:color w:val="000000" w:themeColor="text1"/>
                    <w:sz w:val="18"/>
                    <w:szCs w:val="18"/>
                  </w:rPr>
                  <w:t>专项储备</w:t>
                </w:r>
              </w:p>
            </w:tc>
          </w:sdtContent>
        </w:sdt>
        <w:sdt>
          <w:sdtPr>
            <w:rPr>
              <w:color w:val="000000" w:themeColor="text1"/>
            </w:rPr>
            <w:tag w:val="_PLD_b1d22d8686164205bfa14ef647cebfcd"/>
            <w:id w:val="-622076418"/>
          </w:sdtPr>
          <w:sdtEndPr/>
          <w:sdtContent>
            <w:tc>
              <w:tcPr>
                <w:tcW w:w="357" w:type="pct"/>
                <w:vMerge w:val="restart"/>
                <w:vAlign w:val="center"/>
              </w:tcPr>
              <w:p w14:paraId="224CEE25" w14:textId="77777777" w:rsidR="002D0AE7" w:rsidRDefault="00333EBB">
                <w:pPr>
                  <w:snapToGrid w:val="0"/>
                  <w:spacing w:line="240" w:lineRule="atLeast"/>
                  <w:jc w:val="center"/>
                  <w:rPr>
                    <w:rFonts w:hint="eastAsia"/>
                    <w:color w:val="000000" w:themeColor="text1"/>
                    <w:sz w:val="18"/>
                    <w:szCs w:val="18"/>
                  </w:rPr>
                </w:pPr>
                <w:r>
                  <w:rPr>
                    <w:rFonts w:hint="eastAsia"/>
                    <w:color w:val="000000" w:themeColor="text1"/>
                    <w:sz w:val="18"/>
                    <w:szCs w:val="18"/>
                  </w:rPr>
                  <w:t>盈余公积</w:t>
                </w:r>
              </w:p>
            </w:tc>
          </w:sdtContent>
        </w:sdt>
        <w:sdt>
          <w:sdtPr>
            <w:rPr>
              <w:color w:val="000000" w:themeColor="text1"/>
            </w:rPr>
            <w:tag w:val="_PLD_c5c57d0195b14864b413898a9c76e89d"/>
            <w:id w:val="-920725105"/>
          </w:sdtPr>
          <w:sdtEndPr/>
          <w:sdtContent>
            <w:tc>
              <w:tcPr>
                <w:tcW w:w="152" w:type="pct"/>
                <w:vMerge w:val="restart"/>
                <w:vAlign w:val="center"/>
              </w:tcPr>
              <w:p w14:paraId="7C58BCDB" w14:textId="77777777" w:rsidR="002D0AE7" w:rsidRDefault="00333EBB">
                <w:pPr>
                  <w:snapToGrid w:val="0"/>
                  <w:spacing w:line="240" w:lineRule="atLeast"/>
                  <w:jc w:val="center"/>
                  <w:rPr>
                    <w:rFonts w:hint="eastAsia"/>
                    <w:color w:val="000000" w:themeColor="text1"/>
                    <w:sz w:val="18"/>
                    <w:szCs w:val="18"/>
                  </w:rPr>
                </w:pPr>
                <w:r>
                  <w:rPr>
                    <w:rFonts w:hint="eastAsia"/>
                    <w:color w:val="000000" w:themeColor="text1"/>
                    <w:sz w:val="18"/>
                    <w:szCs w:val="18"/>
                  </w:rPr>
                  <w:t>一般风险准备</w:t>
                </w:r>
              </w:p>
            </w:tc>
          </w:sdtContent>
        </w:sdt>
        <w:sdt>
          <w:sdtPr>
            <w:rPr>
              <w:color w:val="000000" w:themeColor="text1"/>
            </w:rPr>
            <w:tag w:val="_PLD_c9bffd2027d24ca1955db036ad79f5ea"/>
            <w:id w:val="-1528093345"/>
          </w:sdtPr>
          <w:sdtEndPr/>
          <w:sdtContent>
            <w:tc>
              <w:tcPr>
                <w:tcW w:w="391" w:type="pct"/>
                <w:vMerge w:val="restart"/>
                <w:vAlign w:val="center"/>
              </w:tcPr>
              <w:p w14:paraId="73521F55" w14:textId="77777777" w:rsidR="002D0AE7" w:rsidRDefault="00333EBB">
                <w:pPr>
                  <w:snapToGrid w:val="0"/>
                  <w:spacing w:line="240" w:lineRule="atLeast"/>
                  <w:jc w:val="center"/>
                  <w:rPr>
                    <w:rFonts w:hint="eastAsia"/>
                    <w:color w:val="000000" w:themeColor="text1"/>
                    <w:sz w:val="18"/>
                    <w:szCs w:val="18"/>
                  </w:rPr>
                </w:pPr>
                <w:r>
                  <w:rPr>
                    <w:rFonts w:hint="eastAsia"/>
                    <w:color w:val="000000" w:themeColor="text1"/>
                    <w:sz w:val="18"/>
                    <w:szCs w:val="18"/>
                  </w:rPr>
                  <w:t>未分配利润</w:t>
                </w:r>
              </w:p>
            </w:tc>
          </w:sdtContent>
        </w:sdt>
        <w:tc>
          <w:tcPr>
            <w:tcW w:w="152" w:type="pct"/>
            <w:vMerge w:val="restart"/>
            <w:vAlign w:val="center"/>
          </w:tcPr>
          <w:sdt>
            <w:sdtPr>
              <w:rPr>
                <w:rFonts w:hint="eastAsia"/>
                <w:color w:val="000000" w:themeColor="text1"/>
                <w:sz w:val="18"/>
                <w:szCs w:val="18"/>
              </w:rPr>
              <w:tag w:val="_PLD_de6da1e2128f48e49564e44af75ff7ab"/>
              <w:id w:val="1474103608"/>
            </w:sdtPr>
            <w:sdtEndPr/>
            <w:sdtContent>
              <w:sdt>
                <w:sdtPr>
                  <w:rPr>
                    <w:rFonts w:hint="eastAsia"/>
                    <w:color w:val="000000" w:themeColor="text1"/>
                    <w:sz w:val="18"/>
                    <w:szCs w:val="18"/>
                  </w:rPr>
                  <w:tag w:val="_PLD_ff5e808cf3794086a9aee4c489a9f6eb"/>
                  <w:id w:val="125058743"/>
                  <w:placeholder>
                    <w:docPart w:val="GBC11111111111111111111111111111"/>
                  </w:placeholder>
                </w:sdtPr>
                <w:sdtEndPr/>
                <w:sdtContent>
                  <w:p w14:paraId="3088F0CC" w14:textId="77777777" w:rsidR="002D0AE7" w:rsidRDefault="00333EBB">
                    <w:pPr>
                      <w:jc w:val="center"/>
                      <w:rPr>
                        <w:rFonts w:hint="eastAsia"/>
                        <w:color w:val="000000" w:themeColor="text1"/>
                        <w:sz w:val="18"/>
                        <w:szCs w:val="18"/>
                      </w:rPr>
                    </w:pPr>
                    <w:r>
                      <w:rPr>
                        <w:rFonts w:hint="eastAsia"/>
                        <w:color w:val="000000" w:themeColor="text1"/>
                        <w:sz w:val="18"/>
                        <w:szCs w:val="18"/>
                      </w:rPr>
                      <w:t>其他</w:t>
                    </w:r>
                  </w:p>
                </w:sdtContent>
              </w:sdt>
            </w:sdtContent>
          </w:sdt>
        </w:tc>
        <w:tc>
          <w:tcPr>
            <w:tcW w:w="391" w:type="pct"/>
            <w:vMerge w:val="restart"/>
            <w:vAlign w:val="center"/>
          </w:tcPr>
          <w:sdt>
            <w:sdtPr>
              <w:rPr>
                <w:rFonts w:hint="eastAsia"/>
                <w:color w:val="000000" w:themeColor="text1"/>
                <w:sz w:val="18"/>
                <w:szCs w:val="18"/>
              </w:rPr>
              <w:tag w:val="_PLD_e6df9793a438430a8df9730b2cdd8a99"/>
              <w:id w:val="-310556831"/>
            </w:sdtPr>
            <w:sdtEndPr/>
            <w:sdtContent>
              <w:p w14:paraId="108A91C3" w14:textId="77777777" w:rsidR="002D0AE7" w:rsidRDefault="00333EBB">
                <w:pPr>
                  <w:jc w:val="center"/>
                  <w:rPr>
                    <w:rFonts w:hint="eastAsia"/>
                    <w:color w:val="000000" w:themeColor="text1"/>
                    <w:sz w:val="18"/>
                    <w:szCs w:val="18"/>
                  </w:rPr>
                </w:pPr>
                <w:r>
                  <w:rPr>
                    <w:rFonts w:hint="eastAsia"/>
                    <w:color w:val="000000" w:themeColor="text1"/>
                    <w:sz w:val="18"/>
                    <w:szCs w:val="18"/>
                  </w:rPr>
                  <w:t>小计</w:t>
                </w:r>
              </w:p>
            </w:sdtContent>
          </w:sdt>
        </w:tc>
        <w:tc>
          <w:tcPr>
            <w:tcW w:w="357" w:type="pct"/>
            <w:vMerge/>
            <w:vAlign w:val="center"/>
          </w:tcPr>
          <w:p w14:paraId="2F069C8A" w14:textId="77777777" w:rsidR="002D0AE7" w:rsidRDefault="002D0AE7">
            <w:pPr>
              <w:jc w:val="center"/>
              <w:rPr>
                <w:rFonts w:hint="eastAsia"/>
                <w:color w:val="000000" w:themeColor="text1"/>
                <w:sz w:val="18"/>
                <w:szCs w:val="18"/>
              </w:rPr>
            </w:pPr>
          </w:p>
        </w:tc>
        <w:tc>
          <w:tcPr>
            <w:tcW w:w="391" w:type="pct"/>
            <w:vMerge/>
            <w:vAlign w:val="center"/>
          </w:tcPr>
          <w:p w14:paraId="2BB0248A" w14:textId="77777777" w:rsidR="002D0AE7" w:rsidRDefault="002D0AE7">
            <w:pPr>
              <w:jc w:val="center"/>
              <w:rPr>
                <w:rFonts w:hint="eastAsia"/>
                <w:color w:val="000000" w:themeColor="text1"/>
                <w:sz w:val="18"/>
                <w:szCs w:val="18"/>
              </w:rPr>
            </w:pPr>
          </w:p>
        </w:tc>
      </w:tr>
      <w:tr w:rsidR="002D0AE7" w14:paraId="43FE7D95" w14:textId="77777777">
        <w:trPr>
          <w:trHeight w:val="303"/>
          <w:jc w:val="center"/>
        </w:trPr>
        <w:tc>
          <w:tcPr>
            <w:tcW w:w="602" w:type="pct"/>
            <w:vMerge/>
            <w:vAlign w:val="center"/>
          </w:tcPr>
          <w:p w14:paraId="20A9FAE7" w14:textId="77777777" w:rsidR="002D0AE7" w:rsidRDefault="002D0AE7">
            <w:pPr>
              <w:snapToGrid w:val="0"/>
              <w:spacing w:line="240" w:lineRule="atLeast"/>
              <w:ind w:rightChars="-759" w:right="-1822"/>
              <w:rPr>
                <w:rFonts w:hint="eastAsia"/>
                <w:color w:val="000000" w:themeColor="text1"/>
                <w:sz w:val="18"/>
                <w:szCs w:val="18"/>
              </w:rPr>
            </w:pPr>
          </w:p>
        </w:tc>
        <w:tc>
          <w:tcPr>
            <w:tcW w:w="394" w:type="pct"/>
            <w:vMerge/>
            <w:vAlign w:val="center"/>
          </w:tcPr>
          <w:p w14:paraId="340B3DB2" w14:textId="77777777" w:rsidR="002D0AE7" w:rsidRDefault="002D0AE7">
            <w:pPr>
              <w:snapToGrid w:val="0"/>
              <w:spacing w:line="240" w:lineRule="atLeast"/>
              <w:jc w:val="center"/>
              <w:rPr>
                <w:rFonts w:hint="eastAsia"/>
                <w:color w:val="000000" w:themeColor="text1"/>
                <w:sz w:val="18"/>
                <w:szCs w:val="18"/>
              </w:rPr>
            </w:pPr>
          </w:p>
        </w:tc>
        <w:sdt>
          <w:sdtPr>
            <w:rPr>
              <w:color w:val="000000" w:themeColor="text1"/>
            </w:rPr>
            <w:tag w:val="_PLD_052ae87eff474159aaedec0c5ce4bb50"/>
            <w:id w:val="-1469430867"/>
          </w:sdtPr>
          <w:sdtEndPr/>
          <w:sdtContent>
            <w:tc>
              <w:tcPr>
                <w:tcW w:w="152" w:type="pct"/>
                <w:vAlign w:val="center"/>
              </w:tcPr>
              <w:p w14:paraId="2E4A9DF9" w14:textId="77777777" w:rsidR="002D0AE7" w:rsidRDefault="00333EBB">
                <w:pPr>
                  <w:jc w:val="center"/>
                  <w:rPr>
                    <w:rFonts w:hint="eastAsia"/>
                    <w:color w:val="000000" w:themeColor="text1"/>
                    <w:sz w:val="18"/>
                    <w:szCs w:val="18"/>
                  </w:rPr>
                </w:pPr>
                <w:r>
                  <w:rPr>
                    <w:rFonts w:hint="eastAsia"/>
                    <w:color w:val="000000" w:themeColor="text1"/>
                    <w:sz w:val="18"/>
                    <w:szCs w:val="18"/>
                  </w:rPr>
                  <w:t>优先股</w:t>
                </w:r>
              </w:p>
            </w:tc>
          </w:sdtContent>
        </w:sdt>
        <w:sdt>
          <w:sdtPr>
            <w:rPr>
              <w:color w:val="000000" w:themeColor="text1"/>
            </w:rPr>
            <w:tag w:val="_PLD_f40d311f528a48d8a47457e11ad5ccd5"/>
            <w:id w:val="-1792042152"/>
          </w:sdtPr>
          <w:sdtEndPr/>
          <w:sdtContent>
            <w:tc>
              <w:tcPr>
                <w:tcW w:w="152" w:type="pct"/>
                <w:vAlign w:val="center"/>
              </w:tcPr>
              <w:p w14:paraId="7F9B17CB" w14:textId="77777777" w:rsidR="002D0AE7" w:rsidRDefault="00333EBB">
                <w:pPr>
                  <w:jc w:val="center"/>
                  <w:rPr>
                    <w:rFonts w:hint="eastAsia"/>
                    <w:color w:val="000000" w:themeColor="text1"/>
                    <w:sz w:val="18"/>
                    <w:szCs w:val="18"/>
                  </w:rPr>
                </w:pPr>
                <w:r>
                  <w:rPr>
                    <w:rFonts w:hint="eastAsia"/>
                    <w:color w:val="000000" w:themeColor="text1"/>
                    <w:sz w:val="18"/>
                    <w:szCs w:val="18"/>
                  </w:rPr>
                  <w:t>永续债</w:t>
                </w:r>
              </w:p>
            </w:tc>
          </w:sdtContent>
        </w:sdt>
        <w:sdt>
          <w:sdtPr>
            <w:rPr>
              <w:color w:val="000000" w:themeColor="text1"/>
            </w:rPr>
            <w:tag w:val="_PLD_90f98adf8eaf44078005d57f570c4291"/>
            <w:id w:val="-604415491"/>
          </w:sdtPr>
          <w:sdtEndPr/>
          <w:sdtContent>
            <w:tc>
              <w:tcPr>
                <w:tcW w:w="152" w:type="pct"/>
                <w:vAlign w:val="center"/>
              </w:tcPr>
              <w:p w14:paraId="7BECCBBE" w14:textId="77777777" w:rsidR="002D0AE7" w:rsidRDefault="00333EBB">
                <w:pPr>
                  <w:jc w:val="center"/>
                  <w:rPr>
                    <w:rFonts w:hint="eastAsia"/>
                    <w:color w:val="000000" w:themeColor="text1"/>
                    <w:sz w:val="18"/>
                    <w:szCs w:val="18"/>
                  </w:rPr>
                </w:pPr>
                <w:r>
                  <w:rPr>
                    <w:rFonts w:hint="eastAsia"/>
                    <w:color w:val="000000" w:themeColor="text1"/>
                    <w:sz w:val="18"/>
                    <w:szCs w:val="18"/>
                  </w:rPr>
                  <w:t>其他</w:t>
                </w:r>
              </w:p>
            </w:tc>
          </w:sdtContent>
        </w:sdt>
        <w:tc>
          <w:tcPr>
            <w:tcW w:w="357" w:type="pct"/>
            <w:vMerge/>
            <w:vAlign w:val="center"/>
          </w:tcPr>
          <w:p w14:paraId="465121BF" w14:textId="77777777" w:rsidR="002D0AE7" w:rsidRDefault="002D0AE7">
            <w:pPr>
              <w:snapToGrid w:val="0"/>
              <w:spacing w:line="240" w:lineRule="atLeast"/>
              <w:jc w:val="center"/>
              <w:rPr>
                <w:rFonts w:hint="eastAsia"/>
                <w:color w:val="000000" w:themeColor="text1"/>
                <w:sz w:val="18"/>
                <w:szCs w:val="18"/>
              </w:rPr>
            </w:pPr>
          </w:p>
        </w:tc>
        <w:tc>
          <w:tcPr>
            <w:tcW w:w="334" w:type="pct"/>
            <w:vMerge/>
            <w:vAlign w:val="center"/>
          </w:tcPr>
          <w:p w14:paraId="3188819E" w14:textId="77777777" w:rsidR="002D0AE7" w:rsidRDefault="002D0AE7">
            <w:pPr>
              <w:snapToGrid w:val="0"/>
              <w:spacing w:line="240" w:lineRule="atLeast"/>
              <w:jc w:val="center"/>
              <w:rPr>
                <w:rFonts w:hint="eastAsia"/>
                <w:color w:val="000000" w:themeColor="text1"/>
                <w:sz w:val="18"/>
                <w:szCs w:val="18"/>
              </w:rPr>
            </w:pPr>
          </w:p>
        </w:tc>
        <w:tc>
          <w:tcPr>
            <w:tcW w:w="357" w:type="pct"/>
            <w:vMerge/>
            <w:vAlign w:val="center"/>
          </w:tcPr>
          <w:p w14:paraId="5CE14D15" w14:textId="77777777" w:rsidR="002D0AE7" w:rsidRDefault="002D0AE7">
            <w:pPr>
              <w:snapToGrid w:val="0"/>
              <w:spacing w:line="240" w:lineRule="atLeast"/>
              <w:jc w:val="center"/>
              <w:rPr>
                <w:rFonts w:hint="eastAsia"/>
                <w:color w:val="000000" w:themeColor="text1"/>
                <w:sz w:val="18"/>
                <w:szCs w:val="18"/>
              </w:rPr>
            </w:pPr>
          </w:p>
        </w:tc>
        <w:tc>
          <w:tcPr>
            <w:tcW w:w="311" w:type="pct"/>
            <w:vMerge/>
            <w:vAlign w:val="center"/>
          </w:tcPr>
          <w:p w14:paraId="4A5711CB" w14:textId="77777777" w:rsidR="002D0AE7" w:rsidRDefault="002D0AE7">
            <w:pPr>
              <w:snapToGrid w:val="0"/>
              <w:spacing w:line="240" w:lineRule="atLeast"/>
              <w:jc w:val="center"/>
              <w:rPr>
                <w:rFonts w:hint="eastAsia"/>
                <w:color w:val="000000" w:themeColor="text1"/>
                <w:sz w:val="18"/>
                <w:szCs w:val="18"/>
              </w:rPr>
            </w:pPr>
          </w:p>
        </w:tc>
        <w:tc>
          <w:tcPr>
            <w:tcW w:w="357" w:type="pct"/>
            <w:vMerge/>
            <w:vAlign w:val="center"/>
          </w:tcPr>
          <w:p w14:paraId="0952798F" w14:textId="77777777" w:rsidR="002D0AE7" w:rsidRDefault="002D0AE7">
            <w:pPr>
              <w:snapToGrid w:val="0"/>
              <w:spacing w:line="240" w:lineRule="atLeast"/>
              <w:jc w:val="center"/>
              <w:rPr>
                <w:rFonts w:hint="eastAsia"/>
                <w:color w:val="000000" w:themeColor="text1"/>
                <w:sz w:val="18"/>
                <w:szCs w:val="18"/>
              </w:rPr>
            </w:pPr>
          </w:p>
        </w:tc>
        <w:tc>
          <w:tcPr>
            <w:tcW w:w="152" w:type="pct"/>
            <w:vMerge/>
            <w:vAlign w:val="center"/>
          </w:tcPr>
          <w:p w14:paraId="3C0E0A23" w14:textId="77777777" w:rsidR="002D0AE7" w:rsidRDefault="002D0AE7">
            <w:pPr>
              <w:snapToGrid w:val="0"/>
              <w:spacing w:line="240" w:lineRule="atLeast"/>
              <w:jc w:val="center"/>
              <w:rPr>
                <w:rFonts w:hint="eastAsia"/>
                <w:color w:val="000000" w:themeColor="text1"/>
                <w:sz w:val="18"/>
                <w:szCs w:val="18"/>
              </w:rPr>
            </w:pPr>
          </w:p>
        </w:tc>
        <w:tc>
          <w:tcPr>
            <w:tcW w:w="391" w:type="pct"/>
            <w:vMerge/>
            <w:vAlign w:val="center"/>
          </w:tcPr>
          <w:p w14:paraId="01A7BA7C" w14:textId="77777777" w:rsidR="002D0AE7" w:rsidRDefault="002D0AE7">
            <w:pPr>
              <w:snapToGrid w:val="0"/>
              <w:spacing w:line="240" w:lineRule="atLeast"/>
              <w:jc w:val="center"/>
              <w:rPr>
                <w:rFonts w:hint="eastAsia"/>
                <w:color w:val="000000" w:themeColor="text1"/>
                <w:sz w:val="18"/>
                <w:szCs w:val="18"/>
              </w:rPr>
            </w:pPr>
          </w:p>
        </w:tc>
        <w:tc>
          <w:tcPr>
            <w:tcW w:w="152" w:type="pct"/>
            <w:vMerge/>
            <w:vAlign w:val="center"/>
          </w:tcPr>
          <w:p w14:paraId="1AA9CB64" w14:textId="77777777" w:rsidR="002D0AE7" w:rsidRDefault="002D0AE7">
            <w:pPr>
              <w:jc w:val="center"/>
              <w:rPr>
                <w:rFonts w:hint="eastAsia"/>
                <w:color w:val="000000" w:themeColor="text1"/>
                <w:sz w:val="18"/>
                <w:szCs w:val="18"/>
              </w:rPr>
            </w:pPr>
          </w:p>
        </w:tc>
        <w:tc>
          <w:tcPr>
            <w:tcW w:w="391" w:type="pct"/>
            <w:vMerge/>
            <w:vAlign w:val="center"/>
          </w:tcPr>
          <w:p w14:paraId="7EEC7279" w14:textId="77777777" w:rsidR="002D0AE7" w:rsidRDefault="002D0AE7">
            <w:pPr>
              <w:jc w:val="center"/>
              <w:rPr>
                <w:rFonts w:hint="eastAsia"/>
                <w:color w:val="000000" w:themeColor="text1"/>
                <w:sz w:val="18"/>
                <w:szCs w:val="18"/>
              </w:rPr>
            </w:pPr>
          </w:p>
        </w:tc>
        <w:tc>
          <w:tcPr>
            <w:tcW w:w="357" w:type="pct"/>
            <w:vMerge/>
            <w:vAlign w:val="center"/>
          </w:tcPr>
          <w:p w14:paraId="4FF08BAC" w14:textId="77777777" w:rsidR="002D0AE7" w:rsidRDefault="002D0AE7">
            <w:pPr>
              <w:jc w:val="center"/>
              <w:rPr>
                <w:rFonts w:hint="eastAsia"/>
                <w:color w:val="000000" w:themeColor="text1"/>
                <w:sz w:val="18"/>
                <w:szCs w:val="18"/>
              </w:rPr>
            </w:pPr>
          </w:p>
        </w:tc>
        <w:tc>
          <w:tcPr>
            <w:tcW w:w="391" w:type="pct"/>
            <w:vMerge/>
            <w:tcBorders>
              <w:bottom w:val="nil"/>
            </w:tcBorders>
            <w:vAlign w:val="center"/>
          </w:tcPr>
          <w:p w14:paraId="5A2B2385" w14:textId="77777777" w:rsidR="002D0AE7" w:rsidRDefault="002D0AE7">
            <w:pPr>
              <w:jc w:val="center"/>
              <w:rPr>
                <w:rFonts w:hint="eastAsia"/>
                <w:color w:val="000000" w:themeColor="text1"/>
                <w:sz w:val="18"/>
                <w:szCs w:val="18"/>
              </w:rPr>
            </w:pPr>
          </w:p>
        </w:tc>
      </w:tr>
      <w:tr w:rsidR="002D0AE7" w14:paraId="7C2C8584" w14:textId="77777777">
        <w:trPr>
          <w:jc w:val="center"/>
        </w:trPr>
        <w:tc>
          <w:tcPr>
            <w:tcW w:w="602" w:type="pct"/>
            <w:vAlign w:val="center"/>
          </w:tcPr>
          <w:p w14:paraId="152495EC" w14:textId="77777777" w:rsidR="002D0AE7" w:rsidRDefault="00333EBB">
            <w:pPr>
              <w:rPr>
                <w:rFonts w:hint="eastAsia"/>
                <w:color w:val="000000" w:themeColor="text1"/>
                <w:sz w:val="18"/>
                <w:szCs w:val="18"/>
              </w:rPr>
            </w:pPr>
            <w:r>
              <w:rPr>
                <w:color w:val="000000" w:themeColor="text1"/>
                <w:sz w:val="18"/>
                <w:szCs w:val="18"/>
              </w:rPr>
              <w:t>一、上年</w:t>
            </w:r>
            <w:r>
              <w:rPr>
                <w:rFonts w:hint="eastAsia"/>
                <w:color w:val="000000" w:themeColor="text1"/>
                <w:sz w:val="18"/>
                <w:szCs w:val="18"/>
              </w:rPr>
              <w:t>期</w:t>
            </w:r>
            <w:r>
              <w:rPr>
                <w:color w:val="000000" w:themeColor="text1"/>
                <w:sz w:val="18"/>
                <w:szCs w:val="18"/>
              </w:rPr>
              <w:t>末余额</w:t>
            </w:r>
          </w:p>
        </w:tc>
        <w:tc>
          <w:tcPr>
            <w:tcW w:w="394" w:type="pct"/>
            <w:vAlign w:val="center"/>
          </w:tcPr>
          <w:p w14:paraId="37983B94" w14:textId="77777777" w:rsidR="002D0AE7" w:rsidRDefault="00333EBB">
            <w:pPr>
              <w:jc w:val="right"/>
              <w:rPr>
                <w:rFonts w:ascii="Arial Narrow" w:hAnsi="Arial Narrow"/>
                <w:sz w:val="15"/>
                <w:szCs w:val="15"/>
              </w:rPr>
            </w:pPr>
            <w:r>
              <w:rPr>
                <w:rFonts w:ascii="Arial Narrow" w:hAnsi="Arial Narrow"/>
                <w:sz w:val="15"/>
                <w:szCs w:val="15"/>
              </w:rPr>
              <w:t>1,096,362,680.00</w:t>
            </w:r>
          </w:p>
        </w:tc>
        <w:tc>
          <w:tcPr>
            <w:tcW w:w="152" w:type="pct"/>
            <w:vAlign w:val="center"/>
          </w:tcPr>
          <w:p w14:paraId="6632631F"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36118B9B"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5A259000"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7" w:type="pct"/>
            <w:vAlign w:val="center"/>
          </w:tcPr>
          <w:p w14:paraId="6E122FE8" w14:textId="77777777" w:rsidR="002D0AE7" w:rsidRDefault="00333EBB">
            <w:pPr>
              <w:jc w:val="right"/>
              <w:rPr>
                <w:rFonts w:ascii="Arial Narrow" w:hAnsi="Arial Narrow"/>
                <w:sz w:val="15"/>
                <w:szCs w:val="15"/>
              </w:rPr>
            </w:pPr>
            <w:r>
              <w:rPr>
                <w:rFonts w:ascii="Arial Narrow" w:hAnsi="Arial Narrow"/>
                <w:sz w:val="15"/>
                <w:szCs w:val="15"/>
              </w:rPr>
              <w:t>327,100,399.52</w:t>
            </w:r>
          </w:p>
        </w:tc>
        <w:tc>
          <w:tcPr>
            <w:tcW w:w="334" w:type="pct"/>
            <w:vAlign w:val="center"/>
          </w:tcPr>
          <w:p w14:paraId="4AC4C44D" w14:textId="77777777" w:rsidR="002D0AE7" w:rsidRDefault="00333EBB">
            <w:pPr>
              <w:jc w:val="right"/>
              <w:rPr>
                <w:rFonts w:ascii="Arial Narrow" w:hAnsi="Arial Narrow"/>
                <w:sz w:val="15"/>
                <w:szCs w:val="15"/>
              </w:rPr>
            </w:pPr>
            <w:r>
              <w:rPr>
                <w:rFonts w:ascii="Arial Narrow" w:hAnsi="Arial Narrow"/>
                <w:sz w:val="15"/>
                <w:szCs w:val="15"/>
              </w:rPr>
              <w:t>10,339,560.00</w:t>
            </w:r>
          </w:p>
        </w:tc>
        <w:tc>
          <w:tcPr>
            <w:tcW w:w="357" w:type="pct"/>
            <w:vAlign w:val="center"/>
          </w:tcPr>
          <w:p w14:paraId="79ABA2E6" w14:textId="77777777" w:rsidR="002D0AE7" w:rsidRDefault="00333EBB">
            <w:pPr>
              <w:jc w:val="right"/>
              <w:rPr>
                <w:rFonts w:ascii="Arial Narrow" w:hAnsi="Arial Narrow"/>
                <w:sz w:val="15"/>
                <w:szCs w:val="15"/>
              </w:rPr>
            </w:pPr>
            <w:r>
              <w:rPr>
                <w:rFonts w:ascii="Arial Narrow" w:hAnsi="Arial Narrow"/>
                <w:sz w:val="15"/>
                <w:szCs w:val="15"/>
              </w:rPr>
              <w:t>168,272,147.14</w:t>
            </w:r>
          </w:p>
        </w:tc>
        <w:tc>
          <w:tcPr>
            <w:tcW w:w="311" w:type="pct"/>
            <w:vAlign w:val="center"/>
          </w:tcPr>
          <w:p w14:paraId="48954518" w14:textId="77777777" w:rsidR="002D0AE7" w:rsidRDefault="00333EBB">
            <w:pPr>
              <w:jc w:val="right"/>
              <w:rPr>
                <w:rFonts w:ascii="Arial Narrow" w:hAnsi="Arial Narrow"/>
                <w:sz w:val="15"/>
                <w:szCs w:val="15"/>
              </w:rPr>
            </w:pPr>
            <w:r>
              <w:rPr>
                <w:rFonts w:ascii="Arial Narrow" w:hAnsi="Arial Narrow"/>
                <w:sz w:val="15"/>
                <w:szCs w:val="15"/>
              </w:rPr>
              <w:t>2,078,905.81</w:t>
            </w:r>
          </w:p>
        </w:tc>
        <w:tc>
          <w:tcPr>
            <w:tcW w:w="357" w:type="pct"/>
            <w:vAlign w:val="center"/>
          </w:tcPr>
          <w:p w14:paraId="21888728" w14:textId="77777777" w:rsidR="002D0AE7" w:rsidRDefault="00333EBB">
            <w:pPr>
              <w:jc w:val="right"/>
              <w:rPr>
                <w:rFonts w:ascii="Arial Narrow" w:hAnsi="Arial Narrow"/>
                <w:sz w:val="15"/>
                <w:szCs w:val="15"/>
              </w:rPr>
            </w:pPr>
            <w:r>
              <w:rPr>
                <w:rFonts w:ascii="Arial Narrow" w:hAnsi="Arial Narrow"/>
                <w:sz w:val="15"/>
                <w:szCs w:val="15"/>
              </w:rPr>
              <w:t>229,238,541.82</w:t>
            </w:r>
          </w:p>
        </w:tc>
        <w:tc>
          <w:tcPr>
            <w:tcW w:w="152" w:type="pct"/>
            <w:vAlign w:val="center"/>
          </w:tcPr>
          <w:p w14:paraId="0DB5D06B"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130945E8" w14:textId="77777777" w:rsidR="002D0AE7" w:rsidRDefault="00333EBB">
            <w:pPr>
              <w:jc w:val="right"/>
              <w:rPr>
                <w:rFonts w:ascii="Arial Narrow" w:hAnsi="Arial Narrow"/>
                <w:sz w:val="15"/>
                <w:szCs w:val="15"/>
              </w:rPr>
            </w:pPr>
            <w:r>
              <w:rPr>
                <w:rFonts w:ascii="Arial Narrow" w:hAnsi="Arial Narrow"/>
                <w:sz w:val="15"/>
                <w:szCs w:val="15"/>
              </w:rPr>
              <w:t>1,159,795,320.02</w:t>
            </w:r>
          </w:p>
        </w:tc>
        <w:tc>
          <w:tcPr>
            <w:tcW w:w="152" w:type="pct"/>
            <w:vAlign w:val="center"/>
          </w:tcPr>
          <w:p w14:paraId="65CB8F20"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4D3EA128" w14:textId="77777777" w:rsidR="002D0AE7" w:rsidRDefault="00333EBB">
            <w:pPr>
              <w:jc w:val="right"/>
              <w:rPr>
                <w:rFonts w:ascii="Arial Narrow" w:hAnsi="Arial Narrow"/>
                <w:sz w:val="15"/>
                <w:szCs w:val="15"/>
              </w:rPr>
            </w:pPr>
            <w:r>
              <w:rPr>
                <w:rFonts w:ascii="Arial Narrow" w:hAnsi="Arial Narrow"/>
                <w:sz w:val="15"/>
                <w:szCs w:val="15"/>
              </w:rPr>
              <w:t>2,972,508,434.31</w:t>
            </w:r>
          </w:p>
        </w:tc>
        <w:tc>
          <w:tcPr>
            <w:tcW w:w="357" w:type="pct"/>
            <w:vAlign w:val="center"/>
          </w:tcPr>
          <w:p w14:paraId="76B94FE6" w14:textId="77777777" w:rsidR="002D0AE7" w:rsidRDefault="00333EBB">
            <w:pPr>
              <w:jc w:val="right"/>
              <w:rPr>
                <w:rFonts w:ascii="Arial Narrow" w:hAnsi="Arial Narrow"/>
                <w:sz w:val="15"/>
                <w:szCs w:val="15"/>
              </w:rPr>
            </w:pPr>
            <w:r>
              <w:rPr>
                <w:rFonts w:ascii="Arial Narrow" w:hAnsi="Arial Narrow"/>
                <w:sz w:val="15"/>
                <w:szCs w:val="15"/>
              </w:rPr>
              <w:t>781,329,163.96</w:t>
            </w:r>
          </w:p>
        </w:tc>
        <w:tc>
          <w:tcPr>
            <w:tcW w:w="391" w:type="pct"/>
            <w:vAlign w:val="center"/>
          </w:tcPr>
          <w:p w14:paraId="3E3B18A0" w14:textId="77777777" w:rsidR="002D0AE7" w:rsidRDefault="00333EBB">
            <w:pPr>
              <w:jc w:val="right"/>
              <w:rPr>
                <w:rFonts w:ascii="Arial Narrow" w:hAnsi="Arial Narrow"/>
                <w:sz w:val="15"/>
                <w:szCs w:val="15"/>
              </w:rPr>
            </w:pPr>
            <w:r>
              <w:rPr>
                <w:rFonts w:ascii="Arial Narrow" w:hAnsi="Arial Narrow"/>
                <w:sz w:val="15"/>
                <w:szCs w:val="15"/>
              </w:rPr>
              <w:t>3,753,837,598.27</w:t>
            </w:r>
          </w:p>
        </w:tc>
      </w:tr>
      <w:tr w:rsidR="002D0AE7" w14:paraId="50E1E213" w14:textId="77777777">
        <w:trPr>
          <w:jc w:val="center"/>
        </w:trPr>
        <w:tc>
          <w:tcPr>
            <w:tcW w:w="602" w:type="pct"/>
            <w:vAlign w:val="center"/>
          </w:tcPr>
          <w:p w14:paraId="530B1F86" w14:textId="77777777" w:rsidR="002D0AE7" w:rsidRDefault="00333EBB">
            <w:pPr>
              <w:rPr>
                <w:rFonts w:hint="eastAsia"/>
                <w:color w:val="000000" w:themeColor="text1"/>
                <w:sz w:val="18"/>
                <w:szCs w:val="18"/>
              </w:rPr>
            </w:pPr>
            <w:r>
              <w:rPr>
                <w:rFonts w:hint="eastAsia"/>
                <w:color w:val="000000" w:themeColor="text1"/>
                <w:sz w:val="18"/>
                <w:szCs w:val="18"/>
              </w:rPr>
              <w:lastRenderedPageBreak/>
              <w:t>加：</w:t>
            </w:r>
            <w:r>
              <w:rPr>
                <w:color w:val="000000" w:themeColor="text1"/>
                <w:sz w:val="18"/>
                <w:szCs w:val="18"/>
              </w:rPr>
              <w:t>会计政策变更</w:t>
            </w:r>
          </w:p>
        </w:tc>
        <w:tc>
          <w:tcPr>
            <w:tcW w:w="394" w:type="pct"/>
            <w:vAlign w:val="center"/>
          </w:tcPr>
          <w:p w14:paraId="6CC53A35" w14:textId="77777777" w:rsidR="002D0AE7" w:rsidRDefault="002D0AE7">
            <w:pPr>
              <w:jc w:val="right"/>
              <w:rPr>
                <w:rFonts w:ascii="Arial Narrow" w:hAnsi="Arial Narrow"/>
                <w:sz w:val="15"/>
                <w:szCs w:val="15"/>
              </w:rPr>
            </w:pPr>
          </w:p>
        </w:tc>
        <w:tc>
          <w:tcPr>
            <w:tcW w:w="152" w:type="pct"/>
            <w:vAlign w:val="center"/>
          </w:tcPr>
          <w:p w14:paraId="6556FDFC" w14:textId="77777777" w:rsidR="002D0AE7" w:rsidRDefault="002D0AE7">
            <w:pPr>
              <w:jc w:val="right"/>
              <w:rPr>
                <w:rFonts w:ascii="Arial Narrow" w:hAnsi="Arial Narrow"/>
                <w:sz w:val="15"/>
                <w:szCs w:val="15"/>
              </w:rPr>
            </w:pPr>
          </w:p>
        </w:tc>
        <w:tc>
          <w:tcPr>
            <w:tcW w:w="152" w:type="pct"/>
            <w:vAlign w:val="center"/>
          </w:tcPr>
          <w:p w14:paraId="555A9AC4" w14:textId="77777777" w:rsidR="002D0AE7" w:rsidRDefault="002D0AE7">
            <w:pPr>
              <w:jc w:val="right"/>
              <w:rPr>
                <w:rFonts w:ascii="Arial Narrow" w:hAnsi="Arial Narrow"/>
                <w:sz w:val="15"/>
                <w:szCs w:val="15"/>
              </w:rPr>
            </w:pPr>
          </w:p>
        </w:tc>
        <w:tc>
          <w:tcPr>
            <w:tcW w:w="152" w:type="pct"/>
            <w:vAlign w:val="center"/>
          </w:tcPr>
          <w:p w14:paraId="0FF03277" w14:textId="77777777" w:rsidR="002D0AE7" w:rsidRDefault="002D0AE7">
            <w:pPr>
              <w:jc w:val="right"/>
              <w:rPr>
                <w:rFonts w:ascii="Arial Narrow" w:hAnsi="Arial Narrow"/>
                <w:sz w:val="15"/>
                <w:szCs w:val="15"/>
              </w:rPr>
            </w:pPr>
          </w:p>
        </w:tc>
        <w:tc>
          <w:tcPr>
            <w:tcW w:w="357" w:type="pct"/>
            <w:vAlign w:val="center"/>
          </w:tcPr>
          <w:p w14:paraId="0CCCA9DE" w14:textId="77777777" w:rsidR="002D0AE7" w:rsidRDefault="002D0AE7">
            <w:pPr>
              <w:jc w:val="right"/>
              <w:rPr>
                <w:rFonts w:ascii="Arial Narrow" w:hAnsi="Arial Narrow"/>
                <w:sz w:val="15"/>
                <w:szCs w:val="15"/>
              </w:rPr>
            </w:pPr>
          </w:p>
        </w:tc>
        <w:tc>
          <w:tcPr>
            <w:tcW w:w="334" w:type="pct"/>
            <w:vAlign w:val="center"/>
          </w:tcPr>
          <w:p w14:paraId="229D6AB0" w14:textId="77777777" w:rsidR="002D0AE7" w:rsidRDefault="002D0AE7">
            <w:pPr>
              <w:jc w:val="right"/>
              <w:rPr>
                <w:rFonts w:ascii="Arial Narrow" w:hAnsi="Arial Narrow"/>
                <w:sz w:val="15"/>
                <w:szCs w:val="15"/>
              </w:rPr>
            </w:pPr>
          </w:p>
        </w:tc>
        <w:tc>
          <w:tcPr>
            <w:tcW w:w="357" w:type="pct"/>
            <w:vAlign w:val="center"/>
          </w:tcPr>
          <w:p w14:paraId="0C12AEE4" w14:textId="77777777" w:rsidR="002D0AE7" w:rsidRDefault="002D0AE7">
            <w:pPr>
              <w:jc w:val="right"/>
              <w:rPr>
                <w:rFonts w:ascii="Arial Narrow" w:hAnsi="Arial Narrow"/>
                <w:sz w:val="15"/>
                <w:szCs w:val="15"/>
              </w:rPr>
            </w:pPr>
          </w:p>
        </w:tc>
        <w:tc>
          <w:tcPr>
            <w:tcW w:w="311" w:type="pct"/>
            <w:vAlign w:val="center"/>
          </w:tcPr>
          <w:p w14:paraId="43CC2935" w14:textId="77777777" w:rsidR="002D0AE7" w:rsidRDefault="002D0AE7">
            <w:pPr>
              <w:jc w:val="right"/>
              <w:rPr>
                <w:rFonts w:ascii="Arial Narrow" w:hAnsi="Arial Narrow"/>
                <w:sz w:val="15"/>
                <w:szCs w:val="15"/>
              </w:rPr>
            </w:pPr>
          </w:p>
        </w:tc>
        <w:tc>
          <w:tcPr>
            <w:tcW w:w="357" w:type="pct"/>
            <w:vAlign w:val="center"/>
          </w:tcPr>
          <w:p w14:paraId="0A55C1EE" w14:textId="77777777" w:rsidR="002D0AE7" w:rsidRDefault="002D0AE7">
            <w:pPr>
              <w:jc w:val="right"/>
              <w:rPr>
                <w:rFonts w:ascii="Arial Narrow" w:hAnsi="Arial Narrow"/>
                <w:sz w:val="15"/>
                <w:szCs w:val="15"/>
              </w:rPr>
            </w:pPr>
          </w:p>
        </w:tc>
        <w:tc>
          <w:tcPr>
            <w:tcW w:w="152" w:type="pct"/>
            <w:vAlign w:val="center"/>
          </w:tcPr>
          <w:p w14:paraId="16FD7B9D" w14:textId="77777777" w:rsidR="002D0AE7" w:rsidRDefault="002D0AE7">
            <w:pPr>
              <w:jc w:val="right"/>
              <w:rPr>
                <w:rFonts w:ascii="Arial Narrow" w:hAnsi="Arial Narrow"/>
                <w:sz w:val="15"/>
                <w:szCs w:val="15"/>
              </w:rPr>
            </w:pPr>
          </w:p>
        </w:tc>
        <w:tc>
          <w:tcPr>
            <w:tcW w:w="391" w:type="pct"/>
            <w:vAlign w:val="center"/>
          </w:tcPr>
          <w:p w14:paraId="157BF9B3" w14:textId="77777777" w:rsidR="002D0AE7" w:rsidRDefault="002D0AE7">
            <w:pPr>
              <w:jc w:val="right"/>
              <w:rPr>
                <w:rFonts w:ascii="Arial Narrow" w:hAnsi="Arial Narrow"/>
                <w:sz w:val="15"/>
                <w:szCs w:val="15"/>
              </w:rPr>
            </w:pPr>
          </w:p>
        </w:tc>
        <w:tc>
          <w:tcPr>
            <w:tcW w:w="152" w:type="pct"/>
            <w:vAlign w:val="center"/>
          </w:tcPr>
          <w:p w14:paraId="5026FC54" w14:textId="77777777" w:rsidR="002D0AE7" w:rsidRDefault="002D0AE7">
            <w:pPr>
              <w:jc w:val="right"/>
              <w:rPr>
                <w:rFonts w:ascii="Arial Narrow" w:hAnsi="Arial Narrow"/>
                <w:sz w:val="15"/>
                <w:szCs w:val="15"/>
              </w:rPr>
            </w:pPr>
          </w:p>
        </w:tc>
        <w:tc>
          <w:tcPr>
            <w:tcW w:w="391" w:type="pct"/>
            <w:vAlign w:val="center"/>
          </w:tcPr>
          <w:p w14:paraId="02AAF41E" w14:textId="77777777" w:rsidR="002D0AE7" w:rsidRDefault="002D0AE7">
            <w:pPr>
              <w:jc w:val="right"/>
              <w:rPr>
                <w:rFonts w:ascii="Arial Narrow" w:hAnsi="Arial Narrow"/>
                <w:sz w:val="15"/>
                <w:szCs w:val="15"/>
              </w:rPr>
            </w:pPr>
          </w:p>
        </w:tc>
        <w:tc>
          <w:tcPr>
            <w:tcW w:w="357" w:type="pct"/>
            <w:vAlign w:val="center"/>
          </w:tcPr>
          <w:p w14:paraId="7363CEF4" w14:textId="77777777" w:rsidR="002D0AE7" w:rsidRDefault="002D0AE7">
            <w:pPr>
              <w:jc w:val="right"/>
              <w:rPr>
                <w:rFonts w:ascii="Arial Narrow" w:hAnsi="Arial Narrow"/>
                <w:sz w:val="15"/>
                <w:szCs w:val="15"/>
              </w:rPr>
            </w:pPr>
          </w:p>
        </w:tc>
        <w:tc>
          <w:tcPr>
            <w:tcW w:w="391" w:type="pct"/>
            <w:vAlign w:val="center"/>
          </w:tcPr>
          <w:p w14:paraId="57075F5A" w14:textId="77777777" w:rsidR="002D0AE7" w:rsidRDefault="002D0AE7">
            <w:pPr>
              <w:jc w:val="right"/>
              <w:rPr>
                <w:rFonts w:ascii="Arial Narrow" w:hAnsi="Arial Narrow"/>
                <w:sz w:val="15"/>
                <w:szCs w:val="15"/>
              </w:rPr>
            </w:pPr>
          </w:p>
        </w:tc>
      </w:tr>
      <w:tr w:rsidR="002D0AE7" w14:paraId="6525470E" w14:textId="77777777">
        <w:trPr>
          <w:jc w:val="center"/>
        </w:trPr>
        <w:tc>
          <w:tcPr>
            <w:tcW w:w="602" w:type="pct"/>
            <w:vAlign w:val="center"/>
          </w:tcPr>
          <w:p w14:paraId="04AADFB4" w14:textId="77777777" w:rsidR="002D0AE7" w:rsidRDefault="00333EBB">
            <w:pPr>
              <w:ind w:firstLineChars="200" w:firstLine="360"/>
              <w:rPr>
                <w:rFonts w:hint="eastAsia"/>
                <w:color w:val="000000" w:themeColor="text1"/>
                <w:sz w:val="18"/>
                <w:szCs w:val="18"/>
              </w:rPr>
            </w:pPr>
            <w:r>
              <w:rPr>
                <w:color w:val="000000" w:themeColor="text1"/>
                <w:sz w:val="18"/>
                <w:szCs w:val="18"/>
              </w:rPr>
              <w:t>前期差错更正</w:t>
            </w:r>
          </w:p>
        </w:tc>
        <w:tc>
          <w:tcPr>
            <w:tcW w:w="394" w:type="pct"/>
            <w:vAlign w:val="center"/>
          </w:tcPr>
          <w:p w14:paraId="2A54A5FA" w14:textId="77777777" w:rsidR="002D0AE7" w:rsidRDefault="002D0AE7">
            <w:pPr>
              <w:jc w:val="right"/>
              <w:rPr>
                <w:rFonts w:ascii="Arial Narrow" w:hAnsi="Arial Narrow"/>
                <w:sz w:val="15"/>
                <w:szCs w:val="15"/>
              </w:rPr>
            </w:pPr>
          </w:p>
        </w:tc>
        <w:tc>
          <w:tcPr>
            <w:tcW w:w="152" w:type="pct"/>
            <w:vAlign w:val="center"/>
          </w:tcPr>
          <w:p w14:paraId="0C703A65" w14:textId="77777777" w:rsidR="002D0AE7" w:rsidRDefault="002D0AE7">
            <w:pPr>
              <w:jc w:val="right"/>
              <w:rPr>
                <w:rFonts w:ascii="Arial Narrow" w:hAnsi="Arial Narrow"/>
                <w:sz w:val="15"/>
                <w:szCs w:val="15"/>
              </w:rPr>
            </w:pPr>
          </w:p>
        </w:tc>
        <w:tc>
          <w:tcPr>
            <w:tcW w:w="152" w:type="pct"/>
            <w:vAlign w:val="center"/>
          </w:tcPr>
          <w:p w14:paraId="487CEE9C" w14:textId="77777777" w:rsidR="002D0AE7" w:rsidRDefault="002D0AE7">
            <w:pPr>
              <w:jc w:val="right"/>
              <w:rPr>
                <w:rFonts w:ascii="Arial Narrow" w:hAnsi="Arial Narrow"/>
                <w:sz w:val="15"/>
                <w:szCs w:val="15"/>
              </w:rPr>
            </w:pPr>
          </w:p>
        </w:tc>
        <w:tc>
          <w:tcPr>
            <w:tcW w:w="152" w:type="pct"/>
            <w:vAlign w:val="center"/>
          </w:tcPr>
          <w:p w14:paraId="7BDAC02B" w14:textId="77777777" w:rsidR="002D0AE7" w:rsidRDefault="002D0AE7">
            <w:pPr>
              <w:jc w:val="right"/>
              <w:rPr>
                <w:rFonts w:ascii="Arial Narrow" w:hAnsi="Arial Narrow"/>
                <w:sz w:val="15"/>
                <w:szCs w:val="15"/>
              </w:rPr>
            </w:pPr>
          </w:p>
        </w:tc>
        <w:tc>
          <w:tcPr>
            <w:tcW w:w="357" w:type="pct"/>
            <w:vAlign w:val="center"/>
          </w:tcPr>
          <w:p w14:paraId="120B283C" w14:textId="77777777" w:rsidR="002D0AE7" w:rsidRDefault="002D0AE7">
            <w:pPr>
              <w:jc w:val="right"/>
              <w:rPr>
                <w:rFonts w:ascii="Arial Narrow" w:hAnsi="Arial Narrow"/>
                <w:sz w:val="15"/>
                <w:szCs w:val="15"/>
              </w:rPr>
            </w:pPr>
          </w:p>
        </w:tc>
        <w:tc>
          <w:tcPr>
            <w:tcW w:w="334" w:type="pct"/>
            <w:vAlign w:val="center"/>
          </w:tcPr>
          <w:p w14:paraId="51134DF4" w14:textId="77777777" w:rsidR="002D0AE7" w:rsidRDefault="002D0AE7">
            <w:pPr>
              <w:jc w:val="right"/>
              <w:rPr>
                <w:rFonts w:ascii="Arial Narrow" w:hAnsi="Arial Narrow"/>
                <w:sz w:val="15"/>
                <w:szCs w:val="15"/>
              </w:rPr>
            </w:pPr>
          </w:p>
        </w:tc>
        <w:tc>
          <w:tcPr>
            <w:tcW w:w="357" w:type="pct"/>
            <w:vAlign w:val="center"/>
          </w:tcPr>
          <w:p w14:paraId="6CA26068" w14:textId="77777777" w:rsidR="002D0AE7" w:rsidRDefault="002D0AE7">
            <w:pPr>
              <w:jc w:val="right"/>
              <w:rPr>
                <w:rFonts w:ascii="Arial Narrow" w:hAnsi="Arial Narrow"/>
                <w:sz w:val="15"/>
                <w:szCs w:val="15"/>
              </w:rPr>
            </w:pPr>
          </w:p>
        </w:tc>
        <w:tc>
          <w:tcPr>
            <w:tcW w:w="311" w:type="pct"/>
            <w:vAlign w:val="center"/>
          </w:tcPr>
          <w:p w14:paraId="2C595CA9" w14:textId="77777777" w:rsidR="002D0AE7" w:rsidRDefault="002D0AE7">
            <w:pPr>
              <w:jc w:val="right"/>
              <w:rPr>
                <w:rFonts w:ascii="Arial Narrow" w:hAnsi="Arial Narrow"/>
                <w:sz w:val="15"/>
                <w:szCs w:val="15"/>
              </w:rPr>
            </w:pPr>
          </w:p>
        </w:tc>
        <w:tc>
          <w:tcPr>
            <w:tcW w:w="357" w:type="pct"/>
            <w:vAlign w:val="center"/>
          </w:tcPr>
          <w:p w14:paraId="7B448201" w14:textId="77777777" w:rsidR="002D0AE7" w:rsidRDefault="002D0AE7">
            <w:pPr>
              <w:jc w:val="right"/>
              <w:rPr>
                <w:rFonts w:ascii="Arial Narrow" w:hAnsi="Arial Narrow"/>
                <w:sz w:val="15"/>
                <w:szCs w:val="15"/>
              </w:rPr>
            </w:pPr>
          </w:p>
        </w:tc>
        <w:tc>
          <w:tcPr>
            <w:tcW w:w="152" w:type="pct"/>
            <w:vAlign w:val="center"/>
          </w:tcPr>
          <w:p w14:paraId="0E3C4C90" w14:textId="77777777" w:rsidR="002D0AE7" w:rsidRDefault="002D0AE7">
            <w:pPr>
              <w:jc w:val="right"/>
              <w:rPr>
                <w:rFonts w:ascii="Arial Narrow" w:hAnsi="Arial Narrow"/>
                <w:sz w:val="15"/>
                <w:szCs w:val="15"/>
              </w:rPr>
            </w:pPr>
          </w:p>
        </w:tc>
        <w:tc>
          <w:tcPr>
            <w:tcW w:w="391" w:type="pct"/>
            <w:vAlign w:val="center"/>
          </w:tcPr>
          <w:p w14:paraId="3A51EEE1" w14:textId="77777777" w:rsidR="002D0AE7" w:rsidRDefault="002D0AE7">
            <w:pPr>
              <w:jc w:val="right"/>
              <w:rPr>
                <w:rFonts w:ascii="Arial Narrow" w:hAnsi="Arial Narrow"/>
                <w:sz w:val="15"/>
                <w:szCs w:val="15"/>
              </w:rPr>
            </w:pPr>
          </w:p>
        </w:tc>
        <w:tc>
          <w:tcPr>
            <w:tcW w:w="152" w:type="pct"/>
            <w:vAlign w:val="center"/>
          </w:tcPr>
          <w:p w14:paraId="7445FAE9" w14:textId="77777777" w:rsidR="002D0AE7" w:rsidRDefault="002D0AE7">
            <w:pPr>
              <w:jc w:val="right"/>
              <w:rPr>
                <w:rFonts w:ascii="Arial Narrow" w:hAnsi="Arial Narrow"/>
                <w:sz w:val="15"/>
                <w:szCs w:val="15"/>
              </w:rPr>
            </w:pPr>
          </w:p>
        </w:tc>
        <w:tc>
          <w:tcPr>
            <w:tcW w:w="391" w:type="pct"/>
            <w:vAlign w:val="center"/>
          </w:tcPr>
          <w:p w14:paraId="3BB7C04B" w14:textId="77777777" w:rsidR="002D0AE7" w:rsidRDefault="002D0AE7">
            <w:pPr>
              <w:jc w:val="right"/>
              <w:rPr>
                <w:rFonts w:ascii="Arial Narrow" w:hAnsi="Arial Narrow"/>
                <w:sz w:val="15"/>
                <w:szCs w:val="15"/>
              </w:rPr>
            </w:pPr>
          </w:p>
        </w:tc>
        <w:tc>
          <w:tcPr>
            <w:tcW w:w="357" w:type="pct"/>
            <w:vAlign w:val="center"/>
          </w:tcPr>
          <w:p w14:paraId="1358DCA2" w14:textId="77777777" w:rsidR="002D0AE7" w:rsidRDefault="002D0AE7">
            <w:pPr>
              <w:jc w:val="right"/>
              <w:rPr>
                <w:rFonts w:ascii="Arial Narrow" w:hAnsi="Arial Narrow"/>
                <w:sz w:val="15"/>
                <w:szCs w:val="15"/>
              </w:rPr>
            </w:pPr>
          </w:p>
        </w:tc>
        <w:tc>
          <w:tcPr>
            <w:tcW w:w="391" w:type="pct"/>
            <w:vAlign w:val="center"/>
          </w:tcPr>
          <w:p w14:paraId="5314EF18" w14:textId="77777777" w:rsidR="002D0AE7" w:rsidRDefault="002D0AE7">
            <w:pPr>
              <w:jc w:val="right"/>
              <w:rPr>
                <w:rFonts w:ascii="Arial Narrow" w:hAnsi="Arial Narrow"/>
                <w:sz w:val="15"/>
                <w:szCs w:val="15"/>
              </w:rPr>
            </w:pPr>
          </w:p>
        </w:tc>
      </w:tr>
      <w:tr w:rsidR="002D0AE7" w14:paraId="62719D4D" w14:textId="77777777">
        <w:trPr>
          <w:jc w:val="center"/>
        </w:trPr>
        <w:tc>
          <w:tcPr>
            <w:tcW w:w="602" w:type="pct"/>
            <w:vAlign w:val="center"/>
          </w:tcPr>
          <w:p w14:paraId="6223CE08" w14:textId="77777777" w:rsidR="002D0AE7" w:rsidRDefault="00333EBB">
            <w:pPr>
              <w:ind w:firstLineChars="200" w:firstLine="360"/>
              <w:rPr>
                <w:rFonts w:hint="eastAsia"/>
                <w:color w:val="000000" w:themeColor="text1"/>
                <w:sz w:val="18"/>
                <w:szCs w:val="18"/>
              </w:rPr>
            </w:pPr>
            <w:r>
              <w:rPr>
                <w:rFonts w:hint="eastAsia"/>
                <w:color w:val="000000" w:themeColor="text1"/>
                <w:sz w:val="18"/>
                <w:szCs w:val="18"/>
              </w:rPr>
              <w:t>其他</w:t>
            </w:r>
          </w:p>
        </w:tc>
        <w:tc>
          <w:tcPr>
            <w:tcW w:w="394" w:type="pct"/>
            <w:vAlign w:val="center"/>
          </w:tcPr>
          <w:p w14:paraId="12A402F8" w14:textId="77777777" w:rsidR="002D0AE7" w:rsidRDefault="002D0AE7">
            <w:pPr>
              <w:jc w:val="right"/>
              <w:rPr>
                <w:rFonts w:ascii="Arial Narrow" w:hAnsi="Arial Narrow"/>
                <w:sz w:val="15"/>
                <w:szCs w:val="15"/>
              </w:rPr>
            </w:pPr>
          </w:p>
        </w:tc>
        <w:tc>
          <w:tcPr>
            <w:tcW w:w="152" w:type="pct"/>
            <w:vAlign w:val="center"/>
          </w:tcPr>
          <w:p w14:paraId="39129373" w14:textId="77777777" w:rsidR="002D0AE7" w:rsidRDefault="002D0AE7">
            <w:pPr>
              <w:jc w:val="right"/>
              <w:rPr>
                <w:rFonts w:ascii="Arial Narrow" w:hAnsi="Arial Narrow"/>
                <w:sz w:val="15"/>
                <w:szCs w:val="15"/>
              </w:rPr>
            </w:pPr>
          </w:p>
        </w:tc>
        <w:tc>
          <w:tcPr>
            <w:tcW w:w="152" w:type="pct"/>
            <w:vAlign w:val="center"/>
          </w:tcPr>
          <w:p w14:paraId="18AF74D4" w14:textId="77777777" w:rsidR="002D0AE7" w:rsidRDefault="002D0AE7">
            <w:pPr>
              <w:jc w:val="right"/>
              <w:rPr>
                <w:rFonts w:ascii="Arial Narrow" w:hAnsi="Arial Narrow"/>
                <w:sz w:val="15"/>
                <w:szCs w:val="15"/>
              </w:rPr>
            </w:pPr>
          </w:p>
        </w:tc>
        <w:tc>
          <w:tcPr>
            <w:tcW w:w="152" w:type="pct"/>
            <w:vAlign w:val="center"/>
          </w:tcPr>
          <w:p w14:paraId="1E219886" w14:textId="77777777" w:rsidR="002D0AE7" w:rsidRDefault="002D0AE7">
            <w:pPr>
              <w:jc w:val="right"/>
              <w:rPr>
                <w:rFonts w:ascii="Arial Narrow" w:hAnsi="Arial Narrow"/>
                <w:sz w:val="15"/>
                <w:szCs w:val="15"/>
              </w:rPr>
            </w:pPr>
          </w:p>
        </w:tc>
        <w:tc>
          <w:tcPr>
            <w:tcW w:w="357" w:type="pct"/>
            <w:vAlign w:val="center"/>
          </w:tcPr>
          <w:p w14:paraId="09E5064E" w14:textId="77777777" w:rsidR="002D0AE7" w:rsidRDefault="002D0AE7">
            <w:pPr>
              <w:jc w:val="right"/>
              <w:rPr>
                <w:rFonts w:ascii="Arial Narrow" w:hAnsi="Arial Narrow"/>
                <w:sz w:val="15"/>
                <w:szCs w:val="15"/>
              </w:rPr>
            </w:pPr>
          </w:p>
        </w:tc>
        <w:tc>
          <w:tcPr>
            <w:tcW w:w="334" w:type="pct"/>
            <w:vAlign w:val="center"/>
          </w:tcPr>
          <w:p w14:paraId="322F8599" w14:textId="77777777" w:rsidR="002D0AE7" w:rsidRDefault="002D0AE7">
            <w:pPr>
              <w:jc w:val="right"/>
              <w:rPr>
                <w:rFonts w:ascii="Arial Narrow" w:hAnsi="Arial Narrow"/>
                <w:sz w:val="15"/>
                <w:szCs w:val="15"/>
              </w:rPr>
            </w:pPr>
          </w:p>
        </w:tc>
        <w:tc>
          <w:tcPr>
            <w:tcW w:w="357" w:type="pct"/>
            <w:vAlign w:val="center"/>
          </w:tcPr>
          <w:p w14:paraId="64251F50" w14:textId="77777777" w:rsidR="002D0AE7" w:rsidRDefault="002D0AE7">
            <w:pPr>
              <w:jc w:val="right"/>
              <w:rPr>
                <w:rFonts w:ascii="Arial Narrow" w:hAnsi="Arial Narrow"/>
                <w:sz w:val="15"/>
                <w:szCs w:val="15"/>
              </w:rPr>
            </w:pPr>
          </w:p>
        </w:tc>
        <w:tc>
          <w:tcPr>
            <w:tcW w:w="311" w:type="pct"/>
            <w:vAlign w:val="center"/>
          </w:tcPr>
          <w:p w14:paraId="7F2F2D01" w14:textId="77777777" w:rsidR="002D0AE7" w:rsidRDefault="002D0AE7">
            <w:pPr>
              <w:jc w:val="right"/>
              <w:rPr>
                <w:rFonts w:ascii="Arial Narrow" w:hAnsi="Arial Narrow"/>
                <w:sz w:val="15"/>
                <w:szCs w:val="15"/>
              </w:rPr>
            </w:pPr>
          </w:p>
        </w:tc>
        <w:tc>
          <w:tcPr>
            <w:tcW w:w="357" w:type="pct"/>
            <w:vAlign w:val="center"/>
          </w:tcPr>
          <w:p w14:paraId="4FDE839C" w14:textId="77777777" w:rsidR="002D0AE7" w:rsidRDefault="002D0AE7">
            <w:pPr>
              <w:jc w:val="right"/>
              <w:rPr>
                <w:rFonts w:ascii="Arial Narrow" w:hAnsi="Arial Narrow"/>
                <w:sz w:val="15"/>
                <w:szCs w:val="15"/>
              </w:rPr>
            </w:pPr>
          </w:p>
        </w:tc>
        <w:tc>
          <w:tcPr>
            <w:tcW w:w="152" w:type="pct"/>
            <w:vAlign w:val="center"/>
          </w:tcPr>
          <w:p w14:paraId="266BE871" w14:textId="77777777" w:rsidR="002D0AE7" w:rsidRDefault="002D0AE7">
            <w:pPr>
              <w:jc w:val="right"/>
              <w:rPr>
                <w:rFonts w:ascii="Arial Narrow" w:hAnsi="Arial Narrow"/>
                <w:sz w:val="15"/>
                <w:szCs w:val="15"/>
              </w:rPr>
            </w:pPr>
          </w:p>
        </w:tc>
        <w:tc>
          <w:tcPr>
            <w:tcW w:w="391" w:type="pct"/>
            <w:vAlign w:val="center"/>
          </w:tcPr>
          <w:p w14:paraId="14C0F8B1" w14:textId="77777777" w:rsidR="002D0AE7" w:rsidRDefault="002D0AE7">
            <w:pPr>
              <w:jc w:val="right"/>
              <w:rPr>
                <w:rFonts w:ascii="Arial Narrow" w:hAnsi="Arial Narrow"/>
                <w:sz w:val="15"/>
                <w:szCs w:val="15"/>
              </w:rPr>
            </w:pPr>
          </w:p>
        </w:tc>
        <w:tc>
          <w:tcPr>
            <w:tcW w:w="152" w:type="pct"/>
            <w:vAlign w:val="center"/>
          </w:tcPr>
          <w:p w14:paraId="4A115646" w14:textId="77777777" w:rsidR="002D0AE7" w:rsidRDefault="002D0AE7">
            <w:pPr>
              <w:jc w:val="right"/>
              <w:rPr>
                <w:rFonts w:ascii="Arial Narrow" w:hAnsi="Arial Narrow"/>
                <w:sz w:val="15"/>
                <w:szCs w:val="15"/>
              </w:rPr>
            </w:pPr>
          </w:p>
        </w:tc>
        <w:tc>
          <w:tcPr>
            <w:tcW w:w="391" w:type="pct"/>
            <w:vAlign w:val="center"/>
          </w:tcPr>
          <w:p w14:paraId="16278935" w14:textId="77777777" w:rsidR="002D0AE7" w:rsidRDefault="002D0AE7">
            <w:pPr>
              <w:jc w:val="right"/>
              <w:rPr>
                <w:rFonts w:ascii="Arial Narrow" w:hAnsi="Arial Narrow"/>
                <w:sz w:val="15"/>
                <w:szCs w:val="15"/>
              </w:rPr>
            </w:pPr>
          </w:p>
        </w:tc>
        <w:tc>
          <w:tcPr>
            <w:tcW w:w="357" w:type="pct"/>
            <w:vAlign w:val="center"/>
          </w:tcPr>
          <w:p w14:paraId="05C77E90" w14:textId="77777777" w:rsidR="002D0AE7" w:rsidRDefault="002D0AE7">
            <w:pPr>
              <w:jc w:val="right"/>
              <w:rPr>
                <w:rFonts w:ascii="Arial Narrow" w:hAnsi="Arial Narrow"/>
                <w:sz w:val="15"/>
                <w:szCs w:val="15"/>
              </w:rPr>
            </w:pPr>
          </w:p>
        </w:tc>
        <w:tc>
          <w:tcPr>
            <w:tcW w:w="391" w:type="pct"/>
            <w:vAlign w:val="center"/>
          </w:tcPr>
          <w:p w14:paraId="514F18A7" w14:textId="77777777" w:rsidR="002D0AE7" w:rsidRDefault="002D0AE7">
            <w:pPr>
              <w:jc w:val="right"/>
              <w:rPr>
                <w:rFonts w:ascii="Arial Narrow" w:hAnsi="Arial Narrow"/>
                <w:sz w:val="15"/>
                <w:szCs w:val="15"/>
              </w:rPr>
            </w:pPr>
          </w:p>
        </w:tc>
      </w:tr>
      <w:tr w:rsidR="002D0AE7" w14:paraId="035F910D" w14:textId="77777777">
        <w:trPr>
          <w:jc w:val="center"/>
        </w:trPr>
        <w:tc>
          <w:tcPr>
            <w:tcW w:w="602" w:type="pct"/>
            <w:vAlign w:val="center"/>
          </w:tcPr>
          <w:p w14:paraId="3BAC7C9F" w14:textId="77777777" w:rsidR="002D0AE7" w:rsidRDefault="00333EBB">
            <w:pPr>
              <w:rPr>
                <w:rFonts w:hint="eastAsia"/>
                <w:color w:val="000000" w:themeColor="text1"/>
                <w:sz w:val="18"/>
                <w:szCs w:val="18"/>
              </w:rPr>
            </w:pPr>
            <w:r>
              <w:rPr>
                <w:color w:val="000000" w:themeColor="text1"/>
                <w:sz w:val="18"/>
                <w:szCs w:val="18"/>
              </w:rPr>
              <w:t>二、本年</w:t>
            </w:r>
            <w:r>
              <w:rPr>
                <w:rFonts w:hint="eastAsia"/>
                <w:color w:val="000000" w:themeColor="text1"/>
                <w:sz w:val="18"/>
                <w:szCs w:val="18"/>
              </w:rPr>
              <w:t>期</w:t>
            </w:r>
            <w:r>
              <w:rPr>
                <w:color w:val="000000" w:themeColor="text1"/>
                <w:sz w:val="18"/>
                <w:szCs w:val="18"/>
              </w:rPr>
              <w:t>初余额</w:t>
            </w:r>
          </w:p>
        </w:tc>
        <w:tc>
          <w:tcPr>
            <w:tcW w:w="394" w:type="pct"/>
            <w:vAlign w:val="center"/>
          </w:tcPr>
          <w:p w14:paraId="6335BDF2" w14:textId="77777777" w:rsidR="002D0AE7" w:rsidRDefault="00333EBB">
            <w:pPr>
              <w:jc w:val="right"/>
              <w:rPr>
                <w:rFonts w:ascii="Arial Narrow" w:hAnsi="Arial Narrow"/>
                <w:sz w:val="15"/>
                <w:szCs w:val="15"/>
              </w:rPr>
            </w:pPr>
            <w:r>
              <w:rPr>
                <w:rFonts w:ascii="Arial Narrow" w:hAnsi="Arial Narrow"/>
                <w:sz w:val="15"/>
                <w:szCs w:val="15"/>
              </w:rPr>
              <w:t>1,096,362,680.00</w:t>
            </w:r>
          </w:p>
        </w:tc>
        <w:tc>
          <w:tcPr>
            <w:tcW w:w="152" w:type="pct"/>
            <w:vAlign w:val="center"/>
          </w:tcPr>
          <w:p w14:paraId="1FC4D31E"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5CE3F672"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3072575F"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7" w:type="pct"/>
            <w:vAlign w:val="center"/>
          </w:tcPr>
          <w:p w14:paraId="2D8E96D4" w14:textId="77777777" w:rsidR="002D0AE7" w:rsidRDefault="00333EBB">
            <w:pPr>
              <w:jc w:val="right"/>
              <w:rPr>
                <w:rFonts w:ascii="Arial Narrow" w:hAnsi="Arial Narrow"/>
                <w:sz w:val="15"/>
                <w:szCs w:val="15"/>
              </w:rPr>
            </w:pPr>
            <w:r>
              <w:rPr>
                <w:rFonts w:ascii="Arial Narrow" w:hAnsi="Arial Narrow"/>
                <w:sz w:val="15"/>
                <w:szCs w:val="15"/>
              </w:rPr>
              <w:t>327,100,399.52</w:t>
            </w:r>
          </w:p>
        </w:tc>
        <w:tc>
          <w:tcPr>
            <w:tcW w:w="334" w:type="pct"/>
            <w:vAlign w:val="center"/>
          </w:tcPr>
          <w:p w14:paraId="523D0926" w14:textId="77777777" w:rsidR="002D0AE7" w:rsidRDefault="00333EBB">
            <w:pPr>
              <w:jc w:val="right"/>
              <w:rPr>
                <w:rFonts w:ascii="Arial Narrow" w:hAnsi="Arial Narrow"/>
                <w:sz w:val="15"/>
                <w:szCs w:val="15"/>
              </w:rPr>
            </w:pPr>
            <w:r>
              <w:rPr>
                <w:rFonts w:ascii="Arial Narrow" w:hAnsi="Arial Narrow"/>
                <w:sz w:val="15"/>
                <w:szCs w:val="15"/>
              </w:rPr>
              <w:t>10,339,560.00</w:t>
            </w:r>
          </w:p>
        </w:tc>
        <w:tc>
          <w:tcPr>
            <w:tcW w:w="357" w:type="pct"/>
            <w:vAlign w:val="center"/>
          </w:tcPr>
          <w:p w14:paraId="0A94D13F" w14:textId="77777777" w:rsidR="002D0AE7" w:rsidRDefault="00333EBB">
            <w:pPr>
              <w:jc w:val="right"/>
              <w:rPr>
                <w:rFonts w:ascii="Arial Narrow" w:hAnsi="Arial Narrow"/>
                <w:sz w:val="15"/>
                <w:szCs w:val="15"/>
              </w:rPr>
            </w:pPr>
            <w:r>
              <w:rPr>
                <w:rFonts w:ascii="Arial Narrow" w:hAnsi="Arial Narrow"/>
                <w:sz w:val="15"/>
                <w:szCs w:val="15"/>
              </w:rPr>
              <w:t>168,272,147.14</w:t>
            </w:r>
          </w:p>
        </w:tc>
        <w:tc>
          <w:tcPr>
            <w:tcW w:w="311" w:type="pct"/>
            <w:vAlign w:val="center"/>
          </w:tcPr>
          <w:p w14:paraId="0A2C1A95" w14:textId="77777777" w:rsidR="002D0AE7" w:rsidRDefault="00333EBB">
            <w:pPr>
              <w:jc w:val="right"/>
              <w:rPr>
                <w:rFonts w:ascii="Arial Narrow" w:hAnsi="Arial Narrow"/>
                <w:sz w:val="15"/>
                <w:szCs w:val="15"/>
              </w:rPr>
            </w:pPr>
            <w:r>
              <w:rPr>
                <w:rFonts w:ascii="Arial Narrow" w:hAnsi="Arial Narrow"/>
                <w:sz w:val="15"/>
                <w:szCs w:val="15"/>
              </w:rPr>
              <w:t>2,078,905.81</w:t>
            </w:r>
          </w:p>
        </w:tc>
        <w:tc>
          <w:tcPr>
            <w:tcW w:w="357" w:type="pct"/>
            <w:vAlign w:val="center"/>
          </w:tcPr>
          <w:p w14:paraId="59047E8C" w14:textId="77777777" w:rsidR="002D0AE7" w:rsidRDefault="00333EBB">
            <w:pPr>
              <w:jc w:val="right"/>
              <w:rPr>
                <w:rFonts w:ascii="Arial Narrow" w:hAnsi="Arial Narrow"/>
                <w:sz w:val="15"/>
                <w:szCs w:val="15"/>
              </w:rPr>
            </w:pPr>
            <w:r>
              <w:rPr>
                <w:rFonts w:ascii="Arial Narrow" w:hAnsi="Arial Narrow"/>
                <w:sz w:val="15"/>
                <w:szCs w:val="15"/>
              </w:rPr>
              <w:t>229,238,541.82</w:t>
            </w:r>
          </w:p>
        </w:tc>
        <w:tc>
          <w:tcPr>
            <w:tcW w:w="152" w:type="pct"/>
            <w:vAlign w:val="center"/>
          </w:tcPr>
          <w:p w14:paraId="1C77B873"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37EBC35C" w14:textId="77777777" w:rsidR="002D0AE7" w:rsidRDefault="00333EBB">
            <w:pPr>
              <w:jc w:val="right"/>
              <w:rPr>
                <w:rFonts w:ascii="Arial Narrow" w:hAnsi="Arial Narrow"/>
                <w:sz w:val="15"/>
                <w:szCs w:val="15"/>
              </w:rPr>
            </w:pPr>
            <w:r>
              <w:rPr>
                <w:rFonts w:ascii="Arial Narrow" w:hAnsi="Arial Narrow"/>
                <w:sz w:val="15"/>
                <w:szCs w:val="15"/>
              </w:rPr>
              <w:t>1,159,795,320.02</w:t>
            </w:r>
          </w:p>
        </w:tc>
        <w:tc>
          <w:tcPr>
            <w:tcW w:w="152" w:type="pct"/>
            <w:vAlign w:val="center"/>
          </w:tcPr>
          <w:p w14:paraId="6AB26102"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58407998" w14:textId="77777777" w:rsidR="002D0AE7" w:rsidRDefault="00333EBB">
            <w:pPr>
              <w:jc w:val="right"/>
              <w:rPr>
                <w:rFonts w:ascii="Arial Narrow" w:hAnsi="Arial Narrow"/>
                <w:sz w:val="15"/>
                <w:szCs w:val="15"/>
              </w:rPr>
            </w:pPr>
            <w:r>
              <w:rPr>
                <w:rFonts w:ascii="Arial Narrow" w:hAnsi="Arial Narrow"/>
                <w:sz w:val="15"/>
                <w:szCs w:val="15"/>
              </w:rPr>
              <w:t>2,972,508,434.31</w:t>
            </w:r>
          </w:p>
        </w:tc>
        <w:tc>
          <w:tcPr>
            <w:tcW w:w="357" w:type="pct"/>
            <w:vAlign w:val="center"/>
          </w:tcPr>
          <w:p w14:paraId="3C859D54" w14:textId="77777777" w:rsidR="002D0AE7" w:rsidRDefault="00333EBB">
            <w:pPr>
              <w:jc w:val="right"/>
              <w:rPr>
                <w:rFonts w:ascii="Arial Narrow" w:hAnsi="Arial Narrow"/>
                <w:sz w:val="15"/>
                <w:szCs w:val="15"/>
              </w:rPr>
            </w:pPr>
            <w:r>
              <w:rPr>
                <w:rFonts w:ascii="Arial Narrow" w:hAnsi="Arial Narrow"/>
                <w:sz w:val="15"/>
                <w:szCs w:val="15"/>
              </w:rPr>
              <w:t>781,329,163.96</w:t>
            </w:r>
          </w:p>
        </w:tc>
        <w:tc>
          <w:tcPr>
            <w:tcW w:w="391" w:type="pct"/>
            <w:vAlign w:val="center"/>
          </w:tcPr>
          <w:p w14:paraId="6CF16293" w14:textId="77777777" w:rsidR="002D0AE7" w:rsidRDefault="00333EBB">
            <w:pPr>
              <w:jc w:val="right"/>
              <w:rPr>
                <w:rFonts w:ascii="Arial Narrow" w:hAnsi="Arial Narrow"/>
                <w:sz w:val="15"/>
                <w:szCs w:val="15"/>
              </w:rPr>
            </w:pPr>
            <w:r>
              <w:rPr>
                <w:rFonts w:ascii="Arial Narrow" w:hAnsi="Arial Narrow"/>
                <w:sz w:val="15"/>
                <w:szCs w:val="15"/>
              </w:rPr>
              <w:t>3,753,837,598.27</w:t>
            </w:r>
          </w:p>
        </w:tc>
      </w:tr>
      <w:tr w:rsidR="002D0AE7" w14:paraId="3F6959B1" w14:textId="77777777">
        <w:trPr>
          <w:jc w:val="center"/>
        </w:trPr>
        <w:tc>
          <w:tcPr>
            <w:tcW w:w="602" w:type="pct"/>
            <w:vAlign w:val="center"/>
          </w:tcPr>
          <w:p w14:paraId="044C45B7" w14:textId="77777777" w:rsidR="002D0AE7" w:rsidRDefault="00333EBB">
            <w:pPr>
              <w:rPr>
                <w:rFonts w:hint="eastAsia"/>
                <w:color w:val="000000" w:themeColor="text1"/>
                <w:sz w:val="18"/>
                <w:szCs w:val="18"/>
              </w:rPr>
            </w:pPr>
            <w:r>
              <w:rPr>
                <w:color w:val="000000" w:themeColor="text1"/>
                <w:sz w:val="18"/>
                <w:szCs w:val="18"/>
              </w:rPr>
              <w:t>三、本</w:t>
            </w:r>
            <w:r>
              <w:rPr>
                <w:rFonts w:hint="eastAsia"/>
                <w:color w:val="000000" w:themeColor="text1"/>
                <w:sz w:val="18"/>
                <w:szCs w:val="18"/>
              </w:rPr>
              <w:t>期</w:t>
            </w:r>
            <w:r>
              <w:rPr>
                <w:color w:val="000000" w:themeColor="text1"/>
                <w:sz w:val="18"/>
                <w:szCs w:val="18"/>
              </w:rPr>
              <w:t>增减变动金额（减少以</w:t>
            </w:r>
            <w:r>
              <w:rPr>
                <w:color w:val="000000" w:themeColor="text1"/>
                <w:sz w:val="18"/>
                <w:szCs w:val="18"/>
              </w:rPr>
              <w:t>“</w:t>
            </w:r>
            <w:r>
              <w:rPr>
                <w:color w:val="000000" w:themeColor="text1"/>
                <w:sz w:val="18"/>
                <w:szCs w:val="18"/>
              </w:rPr>
              <w:t>－</w:t>
            </w:r>
            <w:r>
              <w:rPr>
                <w:color w:val="000000" w:themeColor="text1"/>
                <w:sz w:val="18"/>
                <w:szCs w:val="18"/>
              </w:rPr>
              <w:t>”</w:t>
            </w:r>
            <w:r>
              <w:rPr>
                <w:color w:val="000000" w:themeColor="text1"/>
                <w:sz w:val="18"/>
                <w:szCs w:val="18"/>
              </w:rPr>
              <w:t>号填列）</w:t>
            </w:r>
          </w:p>
        </w:tc>
        <w:tc>
          <w:tcPr>
            <w:tcW w:w="394" w:type="pct"/>
            <w:vAlign w:val="center"/>
          </w:tcPr>
          <w:p w14:paraId="7D1B3479" w14:textId="77777777" w:rsidR="002D0AE7" w:rsidRDefault="00333EBB">
            <w:pPr>
              <w:jc w:val="right"/>
              <w:rPr>
                <w:rFonts w:ascii="Arial Narrow" w:hAnsi="Arial Narrow"/>
                <w:sz w:val="15"/>
                <w:szCs w:val="15"/>
              </w:rPr>
            </w:pPr>
            <w:r>
              <w:rPr>
                <w:rFonts w:ascii="Arial Narrow" w:hAnsi="Arial Narrow"/>
                <w:sz w:val="15"/>
                <w:szCs w:val="15"/>
              </w:rPr>
              <w:t>-2,430,000.00</w:t>
            </w:r>
          </w:p>
        </w:tc>
        <w:tc>
          <w:tcPr>
            <w:tcW w:w="152" w:type="pct"/>
            <w:vAlign w:val="center"/>
          </w:tcPr>
          <w:p w14:paraId="17B9129A"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320B4F2D"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76E931C8"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7" w:type="pct"/>
            <w:vAlign w:val="center"/>
          </w:tcPr>
          <w:p w14:paraId="6B27CDF3" w14:textId="77777777" w:rsidR="002D0AE7" w:rsidRDefault="00333EBB">
            <w:pPr>
              <w:jc w:val="right"/>
              <w:rPr>
                <w:rFonts w:ascii="Arial Narrow" w:hAnsi="Arial Narrow"/>
                <w:sz w:val="15"/>
                <w:szCs w:val="15"/>
              </w:rPr>
            </w:pPr>
            <w:r>
              <w:rPr>
                <w:rFonts w:ascii="Arial Narrow" w:hAnsi="Arial Narrow"/>
                <w:sz w:val="15"/>
                <w:szCs w:val="15"/>
              </w:rPr>
              <w:t>-3,437,755.50</w:t>
            </w:r>
          </w:p>
        </w:tc>
        <w:tc>
          <w:tcPr>
            <w:tcW w:w="334" w:type="pct"/>
            <w:vAlign w:val="center"/>
          </w:tcPr>
          <w:p w14:paraId="7114CCB3" w14:textId="77777777" w:rsidR="002D0AE7" w:rsidRDefault="00333EBB">
            <w:pPr>
              <w:jc w:val="right"/>
              <w:rPr>
                <w:rFonts w:ascii="Arial Narrow" w:hAnsi="Arial Narrow"/>
                <w:sz w:val="15"/>
                <w:szCs w:val="15"/>
              </w:rPr>
            </w:pPr>
            <w:r>
              <w:rPr>
                <w:rFonts w:ascii="Arial Narrow" w:hAnsi="Arial Narrow"/>
                <w:sz w:val="15"/>
                <w:szCs w:val="15"/>
              </w:rPr>
              <w:t>-5,613,300.00</w:t>
            </w:r>
          </w:p>
        </w:tc>
        <w:tc>
          <w:tcPr>
            <w:tcW w:w="357" w:type="pct"/>
            <w:vAlign w:val="center"/>
          </w:tcPr>
          <w:p w14:paraId="45FDDEBF" w14:textId="77777777" w:rsidR="002D0AE7" w:rsidRDefault="00333EBB">
            <w:pPr>
              <w:jc w:val="right"/>
              <w:rPr>
                <w:rFonts w:ascii="Arial Narrow" w:hAnsi="Arial Narrow"/>
                <w:sz w:val="15"/>
                <w:szCs w:val="15"/>
              </w:rPr>
            </w:pPr>
            <w:r>
              <w:rPr>
                <w:rFonts w:ascii="Arial Narrow" w:hAnsi="Arial Narrow"/>
                <w:sz w:val="15"/>
                <w:szCs w:val="15"/>
              </w:rPr>
              <w:t>6,174,818.59</w:t>
            </w:r>
          </w:p>
        </w:tc>
        <w:tc>
          <w:tcPr>
            <w:tcW w:w="311" w:type="pct"/>
            <w:vAlign w:val="center"/>
          </w:tcPr>
          <w:p w14:paraId="375718A2" w14:textId="77777777" w:rsidR="002D0AE7" w:rsidRDefault="00333EBB">
            <w:pPr>
              <w:jc w:val="right"/>
              <w:rPr>
                <w:rFonts w:ascii="Arial Narrow" w:hAnsi="Arial Narrow"/>
                <w:sz w:val="15"/>
                <w:szCs w:val="15"/>
              </w:rPr>
            </w:pPr>
            <w:r>
              <w:rPr>
                <w:rFonts w:ascii="Arial Narrow" w:hAnsi="Arial Narrow"/>
                <w:sz w:val="15"/>
                <w:szCs w:val="15"/>
              </w:rPr>
              <w:t>1,893,155.95</w:t>
            </w:r>
          </w:p>
        </w:tc>
        <w:tc>
          <w:tcPr>
            <w:tcW w:w="357" w:type="pct"/>
            <w:vAlign w:val="center"/>
          </w:tcPr>
          <w:p w14:paraId="2358D120" w14:textId="77777777" w:rsidR="002D0AE7" w:rsidRDefault="00333EBB">
            <w:pPr>
              <w:jc w:val="right"/>
              <w:rPr>
                <w:rFonts w:ascii="Arial Narrow" w:hAnsi="Arial Narrow"/>
                <w:sz w:val="15"/>
                <w:szCs w:val="15"/>
              </w:rPr>
            </w:pPr>
            <w:r>
              <w:rPr>
                <w:rFonts w:ascii="Arial Narrow" w:hAnsi="Arial Narrow"/>
                <w:sz w:val="15"/>
                <w:szCs w:val="15"/>
              </w:rPr>
              <w:t>7,226,323.22</w:t>
            </w:r>
          </w:p>
        </w:tc>
        <w:tc>
          <w:tcPr>
            <w:tcW w:w="152" w:type="pct"/>
            <w:vAlign w:val="center"/>
          </w:tcPr>
          <w:p w14:paraId="215B7D09"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4DD895E4" w14:textId="77777777" w:rsidR="002D0AE7" w:rsidRDefault="00333EBB">
            <w:pPr>
              <w:jc w:val="right"/>
              <w:rPr>
                <w:rFonts w:ascii="Arial Narrow" w:hAnsi="Arial Narrow"/>
                <w:sz w:val="15"/>
                <w:szCs w:val="15"/>
              </w:rPr>
            </w:pPr>
            <w:r>
              <w:rPr>
                <w:rFonts w:ascii="Arial Narrow" w:hAnsi="Arial Narrow"/>
                <w:sz w:val="15"/>
                <w:szCs w:val="15"/>
              </w:rPr>
              <w:t>105,296,829.05</w:t>
            </w:r>
          </w:p>
        </w:tc>
        <w:tc>
          <w:tcPr>
            <w:tcW w:w="152" w:type="pct"/>
            <w:vAlign w:val="center"/>
          </w:tcPr>
          <w:p w14:paraId="08FB1A95"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243775EF" w14:textId="77777777" w:rsidR="002D0AE7" w:rsidRDefault="00333EBB">
            <w:pPr>
              <w:jc w:val="right"/>
              <w:rPr>
                <w:rFonts w:ascii="Arial Narrow" w:hAnsi="Arial Narrow"/>
                <w:sz w:val="15"/>
                <w:szCs w:val="15"/>
              </w:rPr>
            </w:pPr>
            <w:r>
              <w:rPr>
                <w:rFonts w:ascii="Arial Narrow" w:hAnsi="Arial Narrow"/>
                <w:sz w:val="15"/>
                <w:szCs w:val="15"/>
              </w:rPr>
              <w:t>120,336,671.31</w:t>
            </w:r>
          </w:p>
        </w:tc>
        <w:tc>
          <w:tcPr>
            <w:tcW w:w="357" w:type="pct"/>
            <w:vAlign w:val="center"/>
          </w:tcPr>
          <w:p w14:paraId="7EB42750" w14:textId="77777777" w:rsidR="002D0AE7" w:rsidRDefault="00333EBB">
            <w:pPr>
              <w:jc w:val="right"/>
              <w:rPr>
                <w:rFonts w:ascii="Arial Narrow" w:hAnsi="Arial Narrow"/>
                <w:sz w:val="15"/>
                <w:szCs w:val="15"/>
              </w:rPr>
            </w:pPr>
            <w:r>
              <w:rPr>
                <w:rFonts w:ascii="Arial Narrow" w:hAnsi="Arial Narrow"/>
                <w:sz w:val="15"/>
                <w:szCs w:val="15"/>
              </w:rPr>
              <w:t>31,915,918.32</w:t>
            </w:r>
          </w:p>
        </w:tc>
        <w:tc>
          <w:tcPr>
            <w:tcW w:w="391" w:type="pct"/>
            <w:vAlign w:val="center"/>
          </w:tcPr>
          <w:p w14:paraId="605531EE" w14:textId="77777777" w:rsidR="002D0AE7" w:rsidRDefault="00333EBB">
            <w:pPr>
              <w:jc w:val="right"/>
              <w:rPr>
                <w:rFonts w:ascii="Arial Narrow" w:hAnsi="Arial Narrow"/>
                <w:sz w:val="15"/>
                <w:szCs w:val="15"/>
              </w:rPr>
            </w:pPr>
            <w:r>
              <w:rPr>
                <w:rFonts w:ascii="Arial Narrow" w:hAnsi="Arial Narrow"/>
                <w:sz w:val="15"/>
                <w:szCs w:val="15"/>
              </w:rPr>
              <w:t>152,252,589.63</w:t>
            </w:r>
          </w:p>
        </w:tc>
      </w:tr>
      <w:tr w:rsidR="002D0AE7" w14:paraId="3B6749C4" w14:textId="77777777">
        <w:trPr>
          <w:jc w:val="center"/>
        </w:trPr>
        <w:tc>
          <w:tcPr>
            <w:tcW w:w="602" w:type="pct"/>
            <w:vAlign w:val="center"/>
          </w:tcPr>
          <w:p w14:paraId="47A2BA29" w14:textId="77777777" w:rsidR="002D0AE7" w:rsidRDefault="00333EBB">
            <w:pPr>
              <w:rPr>
                <w:rFonts w:hint="eastAsia"/>
                <w:color w:val="000000" w:themeColor="text1"/>
                <w:sz w:val="18"/>
                <w:szCs w:val="18"/>
              </w:rPr>
            </w:pPr>
            <w:r>
              <w:rPr>
                <w:rFonts w:hint="eastAsia"/>
                <w:color w:val="000000" w:themeColor="text1"/>
                <w:sz w:val="18"/>
                <w:szCs w:val="18"/>
              </w:rPr>
              <w:t>（一）综合收益总额</w:t>
            </w:r>
          </w:p>
        </w:tc>
        <w:tc>
          <w:tcPr>
            <w:tcW w:w="394" w:type="pct"/>
            <w:vAlign w:val="center"/>
          </w:tcPr>
          <w:p w14:paraId="48CC8F16"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6A9A10D0"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3383E2E4"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65A40ACF"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7" w:type="pct"/>
            <w:vAlign w:val="center"/>
          </w:tcPr>
          <w:p w14:paraId="613F9A10" w14:textId="77777777" w:rsidR="002D0AE7" w:rsidRDefault="00333EBB">
            <w:pPr>
              <w:jc w:val="right"/>
              <w:rPr>
                <w:rFonts w:ascii="Arial Narrow" w:hAnsi="Arial Narrow"/>
                <w:sz w:val="15"/>
                <w:szCs w:val="15"/>
              </w:rPr>
            </w:pPr>
            <w:r>
              <w:rPr>
                <w:rFonts w:ascii="Arial Narrow" w:hAnsi="Arial Narrow"/>
                <w:sz w:val="15"/>
                <w:szCs w:val="15"/>
              </w:rPr>
              <w:t>0.00</w:t>
            </w:r>
          </w:p>
        </w:tc>
        <w:tc>
          <w:tcPr>
            <w:tcW w:w="334" w:type="pct"/>
            <w:vAlign w:val="center"/>
          </w:tcPr>
          <w:p w14:paraId="6006431C"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7" w:type="pct"/>
            <w:vAlign w:val="center"/>
          </w:tcPr>
          <w:p w14:paraId="6B496734" w14:textId="77777777" w:rsidR="002D0AE7" w:rsidRDefault="00333EBB">
            <w:pPr>
              <w:jc w:val="right"/>
              <w:rPr>
                <w:rFonts w:ascii="Arial Narrow" w:hAnsi="Arial Narrow"/>
                <w:sz w:val="15"/>
                <w:szCs w:val="15"/>
              </w:rPr>
            </w:pPr>
            <w:r>
              <w:rPr>
                <w:rFonts w:ascii="Arial Narrow" w:hAnsi="Arial Narrow"/>
                <w:sz w:val="15"/>
                <w:szCs w:val="15"/>
              </w:rPr>
              <w:t>6,174,818.59</w:t>
            </w:r>
          </w:p>
        </w:tc>
        <w:tc>
          <w:tcPr>
            <w:tcW w:w="311" w:type="pct"/>
            <w:vAlign w:val="center"/>
          </w:tcPr>
          <w:p w14:paraId="7A093484"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7" w:type="pct"/>
            <w:vAlign w:val="center"/>
          </w:tcPr>
          <w:p w14:paraId="4E30AB41"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3C26CDD5"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37B32977" w14:textId="77777777" w:rsidR="002D0AE7" w:rsidRDefault="00333EBB">
            <w:pPr>
              <w:jc w:val="right"/>
              <w:rPr>
                <w:rFonts w:ascii="Arial Narrow" w:hAnsi="Arial Narrow"/>
                <w:sz w:val="15"/>
                <w:szCs w:val="15"/>
              </w:rPr>
            </w:pPr>
            <w:r>
              <w:rPr>
                <w:rFonts w:ascii="Arial Narrow" w:hAnsi="Arial Narrow"/>
                <w:sz w:val="15"/>
                <w:szCs w:val="15"/>
              </w:rPr>
              <w:t>123,405,359.07</w:t>
            </w:r>
          </w:p>
        </w:tc>
        <w:tc>
          <w:tcPr>
            <w:tcW w:w="152" w:type="pct"/>
            <w:vAlign w:val="center"/>
          </w:tcPr>
          <w:p w14:paraId="6F4A7FD6"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18172B22" w14:textId="77777777" w:rsidR="002D0AE7" w:rsidRDefault="00333EBB">
            <w:pPr>
              <w:jc w:val="right"/>
              <w:rPr>
                <w:rFonts w:ascii="Arial Narrow" w:hAnsi="Arial Narrow"/>
                <w:sz w:val="15"/>
                <w:szCs w:val="15"/>
              </w:rPr>
            </w:pPr>
            <w:r>
              <w:rPr>
                <w:rFonts w:ascii="Arial Narrow" w:hAnsi="Arial Narrow"/>
                <w:sz w:val="15"/>
                <w:szCs w:val="15"/>
              </w:rPr>
              <w:t>129,580,177.66</w:t>
            </w:r>
          </w:p>
        </w:tc>
        <w:tc>
          <w:tcPr>
            <w:tcW w:w="357" w:type="pct"/>
            <w:vAlign w:val="center"/>
          </w:tcPr>
          <w:p w14:paraId="4BDE6A87" w14:textId="77777777" w:rsidR="002D0AE7" w:rsidRDefault="00333EBB">
            <w:pPr>
              <w:jc w:val="right"/>
              <w:rPr>
                <w:rFonts w:ascii="Arial Narrow" w:hAnsi="Arial Narrow"/>
                <w:sz w:val="15"/>
                <w:szCs w:val="15"/>
              </w:rPr>
            </w:pPr>
            <w:r>
              <w:rPr>
                <w:rFonts w:ascii="Arial Narrow" w:hAnsi="Arial Narrow"/>
                <w:sz w:val="15"/>
                <w:szCs w:val="15"/>
              </w:rPr>
              <w:t>31,915,918.32</w:t>
            </w:r>
          </w:p>
        </w:tc>
        <w:tc>
          <w:tcPr>
            <w:tcW w:w="391" w:type="pct"/>
            <w:vAlign w:val="center"/>
          </w:tcPr>
          <w:p w14:paraId="2EA99935" w14:textId="77777777" w:rsidR="002D0AE7" w:rsidRDefault="00333EBB">
            <w:pPr>
              <w:jc w:val="right"/>
              <w:rPr>
                <w:rFonts w:ascii="Arial Narrow" w:hAnsi="Arial Narrow"/>
                <w:sz w:val="15"/>
                <w:szCs w:val="15"/>
              </w:rPr>
            </w:pPr>
            <w:r>
              <w:rPr>
                <w:rFonts w:ascii="Arial Narrow" w:hAnsi="Arial Narrow"/>
                <w:sz w:val="15"/>
                <w:szCs w:val="15"/>
              </w:rPr>
              <w:t>161,496,095.98</w:t>
            </w:r>
          </w:p>
        </w:tc>
      </w:tr>
      <w:tr w:rsidR="002D0AE7" w14:paraId="33525D83" w14:textId="77777777">
        <w:trPr>
          <w:jc w:val="center"/>
        </w:trPr>
        <w:tc>
          <w:tcPr>
            <w:tcW w:w="602" w:type="pct"/>
            <w:vAlign w:val="center"/>
          </w:tcPr>
          <w:p w14:paraId="0485B0EF" w14:textId="77777777" w:rsidR="002D0AE7" w:rsidRDefault="00333EBB">
            <w:pPr>
              <w:rPr>
                <w:rFonts w:hint="eastAsia"/>
                <w:color w:val="000000" w:themeColor="text1"/>
                <w:sz w:val="18"/>
                <w:szCs w:val="18"/>
              </w:rPr>
            </w:pPr>
            <w:r>
              <w:rPr>
                <w:color w:val="000000" w:themeColor="text1"/>
                <w:sz w:val="18"/>
                <w:szCs w:val="18"/>
              </w:rPr>
              <w:t>（</w:t>
            </w:r>
            <w:r>
              <w:rPr>
                <w:rFonts w:hint="eastAsia"/>
                <w:color w:val="000000" w:themeColor="text1"/>
                <w:sz w:val="18"/>
                <w:szCs w:val="18"/>
              </w:rPr>
              <w:t>二</w:t>
            </w:r>
            <w:r>
              <w:rPr>
                <w:color w:val="000000" w:themeColor="text1"/>
                <w:sz w:val="18"/>
                <w:szCs w:val="18"/>
              </w:rPr>
              <w:t>）所有者投入和减少资本</w:t>
            </w:r>
          </w:p>
        </w:tc>
        <w:tc>
          <w:tcPr>
            <w:tcW w:w="394" w:type="pct"/>
            <w:vAlign w:val="center"/>
          </w:tcPr>
          <w:p w14:paraId="17E1744D" w14:textId="77777777" w:rsidR="002D0AE7" w:rsidRDefault="00333EBB">
            <w:pPr>
              <w:jc w:val="right"/>
              <w:rPr>
                <w:rFonts w:ascii="Arial Narrow" w:hAnsi="Arial Narrow"/>
                <w:sz w:val="15"/>
                <w:szCs w:val="15"/>
              </w:rPr>
            </w:pPr>
            <w:r>
              <w:rPr>
                <w:rFonts w:ascii="Arial Narrow" w:hAnsi="Arial Narrow"/>
                <w:sz w:val="15"/>
                <w:szCs w:val="15"/>
              </w:rPr>
              <w:t>-2,430,000.00</w:t>
            </w:r>
          </w:p>
        </w:tc>
        <w:tc>
          <w:tcPr>
            <w:tcW w:w="152" w:type="pct"/>
            <w:vAlign w:val="center"/>
          </w:tcPr>
          <w:p w14:paraId="3F377FA5"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4F28B655"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67E7A91A"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7" w:type="pct"/>
            <w:vAlign w:val="center"/>
          </w:tcPr>
          <w:p w14:paraId="3D4F3C90" w14:textId="77777777" w:rsidR="002D0AE7" w:rsidRDefault="00333EBB">
            <w:pPr>
              <w:jc w:val="right"/>
              <w:rPr>
                <w:rFonts w:ascii="Arial Narrow" w:hAnsi="Arial Narrow"/>
                <w:sz w:val="15"/>
                <w:szCs w:val="15"/>
              </w:rPr>
            </w:pPr>
            <w:r>
              <w:rPr>
                <w:rFonts w:ascii="Arial Narrow" w:hAnsi="Arial Narrow"/>
                <w:sz w:val="15"/>
                <w:szCs w:val="15"/>
              </w:rPr>
              <w:t>-3,437,755.50</w:t>
            </w:r>
          </w:p>
        </w:tc>
        <w:tc>
          <w:tcPr>
            <w:tcW w:w="334" w:type="pct"/>
            <w:vAlign w:val="center"/>
          </w:tcPr>
          <w:p w14:paraId="23D32C4B" w14:textId="77777777" w:rsidR="002D0AE7" w:rsidRDefault="00333EBB">
            <w:pPr>
              <w:jc w:val="right"/>
              <w:rPr>
                <w:rFonts w:ascii="Arial Narrow" w:hAnsi="Arial Narrow"/>
                <w:sz w:val="15"/>
                <w:szCs w:val="15"/>
              </w:rPr>
            </w:pPr>
            <w:r>
              <w:rPr>
                <w:rFonts w:ascii="Arial Narrow" w:hAnsi="Arial Narrow"/>
                <w:sz w:val="15"/>
                <w:szCs w:val="15"/>
              </w:rPr>
              <w:t>-5,613,300.00</w:t>
            </w:r>
          </w:p>
        </w:tc>
        <w:tc>
          <w:tcPr>
            <w:tcW w:w="357" w:type="pct"/>
            <w:vAlign w:val="center"/>
          </w:tcPr>
          <w:p w14:paraId="7756F3C3" w14:textId="77777777" w:rsidR="002D0AE7" w:rsidRDefault="00333EBB">
            <w:pPr>
              <w:jc w:val="right"/>
              <w:rPr>
                <w:rFonts w:ascii="Arial Narrow" w:hAnsi="Arial Narrow"/>
                <w:sz w:val="15"/>
                <w:szCs w:val="15"/>
              </w:rPr>
            </w:pPr>
            <w:r>
              <w:rPr>
                <w:rFonts w:ascii="Arial Narrow" w:hAnsi="Arial Narrow"/>
                <w:sz w:val="15"/>
                <w:szCs w:val="15"/>
              </w:rPr>
              <w:t>0.00</w:t>
            </w:r>
          </w:p>
        </w:tc>
        <w:tc>
          <w:tcPr>
            <w:tcW w:w="311" w:type="pct"/>
            <w:vAlign w:val="center"/>
          </w:tcPr>
          <w:p w14:paraId="5DD27AB9"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7" w:type="pct"/>
            <w:vAlign w:val="center"/>
          </w:tcPr>
          <w:p w14:paraId="6EBAE0D9"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1250D647"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42391592"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22FD4939"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69EED89C" w14:textId="77777777" w:rsidR="002D0AE7" w:rsidRDefault="00333EBB">
            <w:pPr>
              <w:jc w:val="right"/>
              <w:rPr>
                <w:rFonts w:ascii="Arial Narrow" w:hAnsi="Arial Narrow"/>
                <w:sz w:val="15"/>
                <w:szCs w:val="15"/>
              </w:rPr>
            </w:pPr>
            <w:r>
              <w:rPr>
                <w:rFonts w:ascii="Arial Narrow" w:hAnsi="Arial Narrow"/>
                <w:sz w:val="15"/>
                <w:szCs w:val="15"/>
              </w:rPr>
              <w:t>-254,455.50</w:t>
            </w:r>
          </w:p>
        </w:tc>
        <w:tc>
          <w:tcPr>
            <w:tcW w:w="357" w:type="pct"/>
            <w:vAlign w:val="center"/>
          </w:tcPr>
          <w:p w14:paraId="0AF8CEC3"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0620CC82" w14:textId="77777777" w:rsidR="002D0AE7" w:rsidRDefault="00333EBB">
            <w:pPr>
              <w:jc w:val="right"/>
              <w:rPr>
                <w:rFonts w:ascii="Arial Narrow" w:hAnsi="Arial Narrow"/>
                <w:sz w:val="15"/>
                <w:szCs w:val="15"/>
              </w:rPr>
            </w:pPr>
            <w:r>
              <w:rPr>
                <w:rFonts w:ascii="Arial Narrow" w:hAnsi="Arial Narrow"/>
                <w:sz w:val="15"/>
                <w:szCs w:val="15"/>
              </w:rPr>
              <w:t>-254,455.50</w:t>
            </w:r>
          </w:p>
        </w:tc>
      </w:tr>
      <w:tr w:rsidR="002D0AE7" w14:paraId="4542BE46" w14:textId="77777777">
        <w:trPr>
          <w:jc w:val="center"/>
        </w:trPr>
        <w:tc>
          <w:tcPr>
            <w:tcW w:w="602" w:type="pct"/>
            <w:vAlign w:val="center"/>
          </w:tcPr>
          <w:p w14:paraId="79DA2C99" w14:textId="77777777" w:rsidR="002D0AE7" w:rsidRDefault="00333EBB">
            <w:pPr>
              <w:rPr>
                <w:rFonts w:hint="eastAsia"/>
                <w:color w:val="000000" w:themeColor="text1"/>
                <w:sz w:val="18"/>
                <w:szCs w:val="18"/>
              </w:rPr>
            </w:pPr>
            <w:r>
              <w:rPr>
                <w:rFonts w:hint="eastAsia"/>
                <w:color w:val="000000" w:themeColor="text1"/>
                <w:sz w:val="18"/>
                <w:szCs w:val="18"/>
              </w:rPr>
              <w:t>1</w:t>
            </w:r>
            <w:r>
              <w:rPr>
                <w:rFonts w:hint="eastAsia"/>
                <w:color w:val="000000" w:themeColor="text1"/>
                <w:sz w:val="18"/>
                <w:szCs w:val="18"/>
              </w:rPr>
              <w:t>．所有者投入的普通股</w:t>
            </w:r>
          </w:p>
        </w:tc>
        <w:tc>
          <w:tcPr>
            <w:tcW w:w="394" w:type="pct"/>
            <w:vAlign w:val="center"/>
          </w:tcPr>
          <w:p w14:paraId="41EDEAC2" w14:textId="77777777" w:rsidR="002D0AE7" w:rsidRDefault="00333EBB">
            <w:pPr>
              <w:jc w:val="right"/>
              <w:rPr>
                <w:rFonts w:ascii="Arial Narrow" w:hAnsi="Arial Narrow"/>
                <w:sz w:val="15"/>
                <w:szCs w:val="15"/>
              </w:rPr>
            </w:pPr>
            <w:r>
              <w:rPr>
                <w:rFonts w:ascii="Arial Narrow" w:hAnsi="Arial Narrow"/>
                <w:sz w:val="15"/>
                <w:szCs w:val="15"/>
              </w:rPr>
              <w:t>-2,430,000.00</w:t>
            </w:r>
          </w:p>
        </w:tc>
        <w:tc>
          <w:tcPr>
            <w:tcW w:w="152" w:type="pct"/>
            <w:vAlign w:val="center"/>
          </w:tcPr>
          <w:p w14:paraId="5F53F402"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32C4E145"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4602E729"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7" w:type="pct"/>
            <w:vAlign w:val="center"/>
          </w:tcPr>
          <w:p w14:paraId="786AFA97" w14:textId="77777777" w:rsidR="002D0AE7" w:rsidRDefault="00333EBB">
            <w:pPr>
              <w:jc w:val="right"/>
              <w:rPr>
                <w:rFonts w:ascii="Arial Narrow" w:hAnsi="Arial Narrow"/>
                <w:sz w:val="15"/>
                <w:szCs w:val="15"/>
              </w:rPr>
            </w:pPr>
            <w:r>
              <w:rPr>
                <w:rFonts w:ascii="Arial Narrow" w:hAnsi="Arial Narrow"/>
                <w:sz w:val="15"/>
                <w:szCs w:val="15"/>
              </w:rPr>
              <w:t>-3,101,880.00</w:t>
            </w:r>
          </w:p>
        </w:tc>
        <w:tc>
          <w:tcPr>
            <w:tcW w:w="334" w:type="pct"/>
            <w:vAlign w:val="center"/>
          </w:tcPr>
          <w:p w14:paraId="3B1C65DF" w14:textId="77777777" w:rsidR="002D0AE7" w:rsidRDefault="00333EBB">
            <w:pPr>
              <w:jc w:val="right"/>
              <w:rPr>
                <w:rFonts w:ascii="Arial Narrow" w:hAnsi="Arial Narrow"/>
                <w:sz w:val="15"/>
                <w:szCs w:val="15"/>
              </w:rPr>
            </w:pPr>
            <w:r>
              <w:rPr>
                <w:rFonts w:ascii="Arial Narrow" w:hAnsi="Arial Narrow"/>
                <w:sz w:val="15"/>
                <w:szCs w:val="15"/>
              </w:rPr>
              <w:t>-5,613,300.00</w:t>
            </w:r>
          </w:p>
        </w:tc>
        <w:tc>
          <w:tcPr>
            <w:tcW w:w="357" w:type="pct"/>
            <w:vAlign w:val="center"/>
          </w:tcPr>
          <w:p w14:paraId="4B7CEEF5" w14:textId="77777777" w:rsidR="002D0AE7" w:rsidRDefault="00333EBB">
            <w:pPr>
              <w:jc w:val="right"/>
              <w:rPr>
                <w:rFonts w:ascii="Arial Narrow" w:hAnsi="Arial Narrow"/>
                <w:sz w:val="15"/>
                <w:szCs w:val="15"/>
              </w:rPr>
            </w:pPr>
            <w:r>
              <w:rPr>
                <w:rFonts w:ascii="Arial Narrow" w:hAnsi="Arial Narrow"/>
                <w:sz w:val="15"/>
                <w:szCs w:val="15"/>
              </w:rPr>
              <w:t>0.00</w:t>
            </w:r>
          </w:p>
        </w:tc>
        <w:tc>
          <w:tcPr>
            <w:tcW w:w="311" w:type="pct"/>
            <w:vAlign w:val="center"/>
          </w:tcPr>
          <w:p w14:paraId="12E809C5"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7" w:type="pct"/>
            <w:vAlign w:val="center"/>
          </w:tcPr>
          <w:p w14:paraId="6ACB7918"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1AF18635"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3EB655BA"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74039C6E"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49951C53" w14:textId="77777777" w:rsidR="002D0AE7" w:rsidRDefault="00333EBB">
            <w:pPr>
              <w:jc w:val="right"/>
              <w:rPr>
                <w:rFonts w:ascii="Arial Narrow" w:hAnsi="Arial Narrow"/>
                <w:sz w:val="15"/>
                <w:szCs w:val="15"/>
              </w:rPr>
            </w:pPr>
            <w:r>
              <w:rPr>
                <w:rFonts w:ascii="Arial Narrow" w:hAnsi="Arial Narrow"/>
                <w:sz w:val="15"/>
                <w:szCs w:val="15"/>
              </w:rPr>
              <w:t>81,420.00</w:t>
            </w:r>
          </w:p>
        </w:tc>
        <w:tc>
          <w:tcPr>
            <w:tcW w:w="357" w:type="pct"/>
            <w:vAlign w:val="center"/>
          </w:tcPr>
          <w:p w14:paraId="786C796F"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747B9CFE" w14:textId="77777777" w:rsidR="002D0AE7" w:rsidRDefault="00333EBB">
            <w:pPr>
              <w:jc w:val="right"/>
              <w:rPr>
                <w:rFonts w:ascii="Arial Narrow" w:hAnsi="Arial Narrow"/>
                <w:sz w:val="15"/>
                <w:szCs w:val="15"/>
              </w:rPr>
            </w:pPr>
            <w:r>
              <w:rPr>
                <w:rFonts w:ascii="Arial Narrow" w:hAnsi="Arial Narrow"/>
                <w:sz w:val="15"/>
                <w:szCs w:val="15"/>
              </w:rPr>
              <w:t>81,420.00</w:t>
            </w:r>
          </w:p>
        </w:tc>
      </w:tr>
      <w:tr w:rsidR="002D0AE7" w14:paraId="24A29F96" w14:textId="77777777">
        <w:trPr>
          <w:jc w:val="center"/>
        </w:trPr>
        <w:tc>
          <w:tcPr>
            <w:tcW w:w="602" w:type="pct"/>
            <w:vAlign w:val="center"/>
          </w:tcPr>
          <w:p w14:paraId="2C8A62F7" w14:textId="77777777" w:rsidR="002D0AE7" w:rsidRDefault="00333EBB">
            <w:pPr>
              <w:rPr>
                <w:rFonts w:hint="eastAsia"/>
                <w:color w:val="000000" w:themeColor="text1"/>
                <w:sz w:val="18"/>
                <w:szCs w:val="18"/>
              </w:rPr>
            </w:pPr>
            <w:r>
              <w:rPr>
                <w:rFonts w:hint="eastAsia"/>
                <w:color w:val="000000" w:themeColor="text1"/>
                <w:sz w:val="18"/>
                <w:szCs w:val="18"/>
              </w:rPr>
              <w:t>2</w:t>
            </w:r>
            <w:r>
              <w:rPr>
                <w:rFonts w:hint="eastAsia"/>
                <w:color w:val="000000" w:themeColor="text1"/>
                <w:sz w:val="18"/>
                <w:szCs w:val="18"/>
              </w:rPr>
              <w:t>．其他权益工具持有者投入资本</w:t>
            </w:r>
          </w:p>
        </w:tc>
        <w:tc>
          <w:tcPr>
            <w:tcW w:w="394" w:type="pct"/>
            <w:vAlign w:val="center"/>
          </w:tcPr>
          <w:p w14:paraId="540367E9" w14:textId="77777777" w:rsidR="002D0AE7" w:rsidRDefault="002D0AE7">
            <w:pPr>
              <w:jc w:val="right"/>
              <w:rPr>
                <w:rFonts w:ascii="Arial Narrow" w:hAnsi="Arial Narrow"/>
                <w:sz w:val="15"/>
                <w:szCs w:val="15"/>
              </w:rPr>
            </w:pPr>
          </w:p>
        </w:tc>
        <w:tc>
          <w:tcPr>
            <w:tcW w:w="152" w:type="pct"/>
            <w:vAlign w:val="center"/>
          </w:tcPr>
          <w:p w14:paraId="21B628BE" w14:textId="77777777" w:rsidR="002D0AE7" w:rsidRDefault="002D0AE7">
            <w:pPr>
              <w:jc w:val="right"/>
              <w:rPr>
                <w:rFonts w:ascii="Arial Narrow" w:hAnsi="Arial Narrow"/>
                <w:sz w:val="15"/>
                <w:szCs w:val="15"/>
              </w:rPr>
            </w:pPr>
          </w:p>
        </w:tc>
        <w:tc>
          <w:tcPr>
            <w:tcW w:w="152" w:type="pct"/>
            <w:vAlign w:val="center"/>
          </w:tcPr>
          <w:p w14:paraId="6445C55B" w14:textId="77777777" w:rsidR="002D0AE7" w:rsidRDefault="002D0AE7">
            <w:pPr>
              <w:jc w:val="right"/>
              <w:rPr>
                <w:rFonts w:ascii="Arial Narrow" w:hAnsi="Arial Narrow"/>
                <w:sz w:val="15"/>
                <w:szCs w:val="15"/>
              </w:rPr>
            </w:pPr>
          </w:p>
        </w:tc>
        <w:tc>
          <w:tcPr>
            <w:tcW w:w="152" w:type="pct"/>
            <w:vAlign w:val="center"/>
          </w:tcPr>
          <w:p w14:paraId="63B12712" w14:textId="77777777" w:rsidR="002D0AE7" w:rsidRDefault="002D0AE7">
            <w:pPr>
              <w:jc w:val="right"/>
              <w:rPr>
                <w:rFonts w:ascii="Arial Narrow" w:hAnsi="Arial Narrow"/>
                <w:sz w:val="15"/>
                <w:szCs w:val="15"/>
              </w:rPr>
            </w:pPr>
          </w:p>
        </w:tc>
        <w:tc>
          <w:tcPr>
            <w:tcW w:w="357" w:type="pct"/>
            <w:vAlign w:val="center"/>
          </w:tcPr>
          <w:p w14:paraId="1E34D6C7" w14:textId="77777777" w:rsidR="002D0AE7" w:rsidRDefault="002D0AE7">
            <w:pPr>
              <w:jc w:val="right"/>
              <w:rPr>
                <w:rFonts w:ascii="Arial Narrow" w:hAnsi="Arial Narrow"/>
                <w:sz w:val="15"/>
                <w:szCs w:val="15"/>
              </w:rPr>
            </w:pPr>
          </w:p>
        </w:tc>
        <w:tc>
          <w:tcPr>
            <w:tcW w:w="334" w:type="pct"/>
            <w:vAlign w:val="center"/>
          </w:tcPr>
          <w:p w14:paraId="6C203FB8" w14:textId="77777777" w:rsidR="002D0AE7" w:rsidRDefault="002D0AE7">
            <w:pPr>
              <w:jc w:val="right"/>
              <w:rPr>
                <w:rFonts w:ascii="Arial Narrow" w:hAnsi="Arial Narrow"/>
                <w:sz w:val="15"/>
                <w:szCs w:val="15"/>
              </w:rPr>
            </w:pPr>
          </w:p>
        </w:tc>
        <w:tc>
          <w:tcPr>
            <w:tcW w:w="357" w:type="pct"/>
            <w:vAlign w:val="center"/>
          </w:tcPr>
          <w:p w14:paraId="2C397539" w14:textId="77777777" w:rsidR="002D0AE7" w:rsidRDefault="002D0AE7">
            <w:pPr>
              <w:jc w:val="right"/>
              <w:rPr>
                <w:rFonts w:ascii="Arial Narrow" w:hAnsi="Arial Narrow"/>
                <w:sz w:val="15"/>
                <w:szCs w:val="15"/>
              </w:rPr>
            </w:pPr>
          </w:p>
        </w:tc>
        <w:tc>
          <w:tcPr>
            <w:tcW w:w="311" w:type="pct"/>
            <w:vAlign w:val="center"/>
          </w:tcPr>
          <w:p w14:paraId="3352DD74" w14:textId="77777777" w:rsidR="002D0AE7" w:rsidRDefault="002D0AE7">
            <w:pPr>
              <w:jc w:val="right"/>
              <w:rPr>
                <w:rFonts w:ascii="Arial Narrow" w:hAnsi="Arial Narrow"/>
                <w:sz w:val="15"/>
                <w:szCs w:val="15"/>
              </w:rPr>
            </w:pPr>
          </w:p>
        </w:tc>
        <w:tc>
          <w:tcPr>
            <w:tcW w:w="357" w:type="pct"/>
            <w:vAlign w:val="center"/>
          </w:tcPr>
          <w:p w14:paraId="0D068B80" w14:textId="77777777" w:rsidR="002D0AE7" w:rsidRDefault="002D0AE7">
            <w:pPr>
              <w:jc w:val="right"/>
              <w:rPr>
                <w:rFonts w:ascii="Arial Narrow" w:hAnsi="Arial Narrow"/>
                <w:sz w:val="15"/>
                <w:szCs w:val="15"/>
              </w:rPr>
            </w:pPr>
          </w:p>
        </w:tc>
        <w:tc>
          <w:tcPr>
            <w:tcW w:w="152" w:type="pct"/>
            <w:vAlign w:val="center"/>
          </w:tcPr>
          <w:p w14:paraId="4F22779A" w14:textId="77777777" w:rsidR="002D0AE7" w:rsidRDefault="002D0AE7">
            <w:pPr>
              <w:jc w:val="right"/>
              <w:rPr>
                <w:rFonts w:ascii="Arial Narrow" w:hAnsi="Arial Narrow"/>
                <w:sz w:val="15"/>
                <w:szCs w:val="15"/>
              </w:rPr>
            </w:pPr>
          </w:p>
        </w:tc>
        <w:tc>
          <w:tcPr>
            <w:tcW w:w="391" w:type="pct"/>
            <w:vAlign w:val="center"/>
          </w:tcPr>
          <w:p w14:paraId="7853416F" w14:textId="77777777" w:rsidR="002D0AE7" w:rsidRDefault="002D0AE7">
            <w:pPr>
              <w:jc w:val="right"/>
              <w:rPr>
                <w:rFonts w:ascii="Arial Narrow" w:hAnsi="Arial Narrow"/>
                <w:sz w:val="15"/>
                <w:szCs w:val="15"/>
              </w:rPr>
            </w:pPr>
          </w:p>
        </w:tc>
        <w:tc>
          <w:tcPr>
            <w:tcW w:w="152" w:type="pct"/>
            <w:vAlign w:val="center"/>
          </w:tcPr>
          <w:p w14:paraId="2D022E25" w14:textId="77777777" w:rsidR="002D0AE7" w:rsidRDefault="002D0AE7">
            <w:pPr>
              <w:jc w:val="right"/>
              <w:rPr>
                <w:rFonts w:ascii="Arial Narrow" w:hAnsi="Arial Narrow"/>
                <w:sz w:val="15"/>
                <w:szCs w:val="15"/>
              </w:rPr>
            </w:pPr>
          </w:p>
        </w:tc>
        <w:tc>
          <w:tcPr>
            <w:tcW w:w="391" w:type="pct"/>
            <w:vAlign w:val="center"/>
          </w:tcPr>
          <w:p w14:paraId="47B10DCB" w14:textId="77777777" w:rsidR="002D0AE7" w:rsidRDefault="002D0AE7">
            <w:pPr>
              <w:jc w:val="right"/>
              <w:rPr>
                <w:rFonts w:ascii="Arial Narrow" w:hAnsi="Arial Narrow"/>
                <w:sz w:val="15"/>
                <w:szCs w:val="15"/>
              </w:rPr>
            </w:pPr>
          </w:p>
        </w:tc>
        <w:tc>
          <w:tcPr>
            <w:tcW w:w="357" w:type="pct"/>
            <w:vAlign w:val="center"/>
          </w:tcPr>
          <w:p w14:paraId="6E6B021B" w14:textId="77777777" w:rsidR="002D0AE7" w:rsidRDefault="002D0AE7">
            <w:pPr>
              <w:jc w:val="right"/>
              <w:rPr>
                <w:rFonts w:ascii="Arial Narrow" w:hAnsi="Arial Narrow"/>
                <w:sz w:val="15"/>
                <w:szCs w:val="15"/>
              </w:rPr>
            </w:pPr>
          </w:p>
        </w:tc>
        <w:tc>
          <w:tcPr>
            <w:tcW w:w="391" w:type="pct"/>
            <w:vAlign w:val="center"/>
          </w:tcPr>
          <w:p w14:paraId="1A3CAC17" w14:textId="77777777" w:rsidR="002D0AE7" w:rsidRDefault="002D0AE7">
            <w:pPr>
              <w:jc w:val="right"/>
              <w:rPr>
                <w:rFonts w:ascii="Arial Narrow" w:hAnsi="Arial Narrow"/>
                <w:sz w:val="15"/>
                <w:szCs w:val="15"/>
              </w:rPr>
            </w:pPr>
          </w:p>
        </w:tc>
      </w:tr>
      <w:tr w:rsidR="002D0AE7" w14:paraId="29F1552E" w14:textId="77777777">
        <w:trPr>
          <w:jc w:val="center"/>
        </w:trPr>
        <w:tc>
          <w:tcPr>
            <w:tcW w:w="602" w:type="pct"/>
            <w:vAlign w:val="center"/>
          </w:tcPr>
          <w:p w14:paraId="0DD0FDEF" w14:textId="77777777" w:rsidR="002D0AE7" w:rsidRDefault="00333EBB">
            <w:pPr>
              <w:rPr>
                <w:rFonts w:hint="eastAsia"/>
                <w:color w:val="000000" w:themeColor="text1"/>
                <w:sz w:val="18"/>
                <w:szCs w:val="18"/>
              </w:rPr>
            </w:pPr>
            <w:r>
              <w:rPr>
                <w:rFonts w:hint="eastAsia"/>
                <w:color w:val="000000" w:themeColor="text1"/>
                <w:sz w:val="18"/>
                <w:szCs w:val="18"/>
              </w:rPr>
              <w:t>3</w:t>
            </w:r>
            <w:r>
              <w:rPr>
                <w:color w:val="000000" w:themeColor="text1"/>
                <w:sz w:val="18"/>
                <w:szCs w:val="18"/>
              </w:rPr>
              <w:t>．股份支付计入所有者权益的金额</w:t>
            </w:r>
          </w:p>
        </w:tc>
        <w:tc>
          <w:tcPr>
            <w:tcW w:w="394" w:type="pct"/>
            <w:vAlign w:val="center"/>
          </w:tcPr>
          <w:p w14:paraId="25AA7565"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176666AE"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4E7DE386"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4E8E5C01"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7" w:type="pct"/>
            <w:vAlign w:val="center"/>
          </w:tcPr>
          <w:p w14:paraId="466C616A" w14:textId="77777777" w:rsidR="002D0AE7" w:rsidRDefault="00333EBB">
            <w:pPr>
              <w:jc w:val="right"/>
              <w:rPr>
                <w:rFonts w:ascii="Arial Narrow" w:hAnsi="Arial Narrow"/>
                <w:sz w:val="15"/>
                <w:szCs w:val="15"/>
              </w:rPr>
            </w:pPr>
            <w:r>
              <w:rPr>
                <w:rFonts w:ascii="Arial Narrow" w:hAnsi="Arial Narrow"/>
                <w:sz w:val="15"/>
                <w:szCs w:val="15"/>
              </w:rPr>
              <w:t>-335,875.50</w:t>
            </w:r>
          </w:p>
        </w:tc>
        <w:tc>
          <w:tcPr>
            <w:tcW w:w="334" w:type="pct"/>
            <w:vAlign w:val="center"/>
          </w:tcPr>
          <w:p w14:paraId="46E1EB2F"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7" w:type="pct"/>
            <w:vAlign w:val="center"/>
          </w:tcPr>
          <w:p w14:paraId="64085572" w14:textId="77777777" w:rsidR="002D0AE7" w:rsidRDefault="00333EBB">
            <w:pPr>
              <w:jc w:val="right"/>
              <w:rPr>
                <w:rFonts w:ascii="Arial Narrow" w:hAnsi="Arial Narrow"/>
                <w:sz w:val="15"/>
                <w:szCs w:val="15"/>
              </w:rPr>
            </w:pPr>
            <w:r>
              <w:rPr>
                <w:rFonts w:ascii="Arial Narrow" w:hAnsi="Arial Narrow"/>
                <w:sz w:val="15"/>
                <w:szCs w:val="15"/>
              </w:rPr>
              <w:t>0.00</w:t>
            </w:r>
          </w:p>
        </w:tc>
        <w:tc>
          <w:tcPr>
            <w:tcW w:w="311" w:type="pct"/>
            <w:vAlign w:val="center"/>
          </w:tcPr>
          <w:p w14:paraId="2EC2DB6B"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7" w:type="pct"/>
            <w:vAlign w:val="center"/>
          </w:tcPr>
          <w:p w14:paraId="04686C05"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3504AE9E"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0FABC316"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4B67D4BF"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69596E3D" w14:textId="77777777" w:rsidR="002D0AE7" w:rsidRDefault="00333EBB">
            <w:pPr>
              <w:jc w:val="right"/>
              <w:rPr>
                <w:rFonts w:ascii="Arial Narrow" w:hAnsi="Arial Narrow"/>
                <w:sz w:val="15"/>
                <w:szCs w:val="15"/>
              </w:rPr>
            </w:pPr>
            <w:r>
              <w:rPr>
                <w:rFonts w:ascii="Arial Narrow" w:hAnsi="Arial Narrow"/>
                <w:sz w:val="15"/>
                <w:szCs w:val="15"/>
              </w:rPr>
              <w:t>-335,875.50</w:t>
            </w:r>
          </w:p>
        </w:tc>
        <w:tc>
          <w:tcPr>
            <w:tcW w:w="357" w:type="pct"/>
            <w:vAlign w:val="center"/>
          </w:tcPr>
          <w:p w14:paraId="26E7059C"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07CEF749" w14:textId="77777777" w:rsidR="002D0AE7" w:rsidRDefault="00333EBB">
            <w:pPr>
              <w:jc w:val="right"/>
              <w:rPr>
                <w:rFonts w:ascii="Arial Narrow" w:hAnsi="Arial Narrow"/>
                <w:sz w:val="15"/>
                <w:szCs w:val="15"/>
              </w:rPr>
            </w:pPr>
            <w:r>
              <w:rPr>
                <w:rFonts w:ascii="Arial Narrow" w:hAnsi="Arial Narrow"/>
                <w:sz w:val="15"/>
                <w:szCs w:val="15"/>
              </w:rPr>
              <w:t>-335,875.50</w:t>
            </w:r>
          </w:p>
        </w:tc>
      </w:tr>
      <w:tr w:rsidR="002D0AE7" w14:paraId="238F615B" w14:textId="77777777">
        <w:trPr>
          <w:jc w:val="center"/>
        </w:trPr>
        <w:tc>
          <w:tcPr>
            <w:tcW w:w="602" w:type="pct"/>
            <w:vAlign w:val="center"/>
          </w:tcPr>
          <w:p w14:paraId="2A5D9F40" w14:textId="77777777" w:rsidR="002D0AE7" w:rsidRDefault="00333EBB">
            <w:pPr>
              <w:rPr>
                <w:rFonts w:hint="eastAsia"/>
                <w:color w:val="000000" w:themeColor="text1"/>
                <w:sz w:val="18"/>
                <w:szCs w:val="18"/>
              </w:rPr>
            </w:pPr>
            <w:r>
              <w:rPr>
                <w:rFonts w:hint="eastAsia"/>
                <w:color w:val="000000" w:themeColor="text1"/>
                <w:sz w:val="18"/>
                <w:szCs w:val="18"/>
              </w:rPr>
              <w:t>4</w:t>
            </w:r>
            <w:r>
              <w:rPr>
                <w:color w:val="000000" w:themeColor="text1"/>
                <w:sz w:val="18"/>
                <w:szCs w:val="18"/>
              </w:rPr>
              <w:t>．其他</w:t>
            </w:r>
          </w:p>
        </w:tc>
        <w:tc>
          <w:tcPr>
            <w:tcW w:w="394" w:type="pct"/>
            <w:vAlign w:val="center"/>
          </w:tcPr>
          <w:p w14:paraId="64B33669" w14:textId="77777777" w:rsidR="002D0AE7" w:rsidRDefault="002D0AE7">
            <w:pPr>
              <w:jc w:val="right"/>
              <w:rPr>
                <w:rFonts w:ascii="Arial Narrow" w:hAnsi="Arial Narrow"/>
                <w:sz w:val="15"/>
                <w:szCs w:val="15"/>
              </w:rPr>
            </w:pPr>
          </w:p>
        </w:tc>
        <w:tc>
          <w:tcPr>
            <w:tcW w:w="152" w:type="pct"/>
            <w:vAlign w:val="center"/>
          </w:tcPr>
          <w:p w14:paraId="4A3B4405" w14:textId="77777777" w:rsidR="002D0AE7" w:rsidRDefault="002D0AE7">
            <w:pPr>
              <w:jc w:val="right"/>
              <w:rPr>
                <w:rFonts w:ascii="Arial Narrow" w:hAnsi="Arial Narrow"/>
                <w:sz w:val="15"/>
                <w:szCs w:val="15"/>
              </w:rPr>
            </w:pPr>
          </w:p>
        </w:tc>
        <w:tc>
          <w:tcPr>
            <w:tcW w:w="152" w:type="pct"/>
            <w:vAlign w:val="center"/>
          </w:tcPr>
          <w:p w14:paraId="5EAD408B" w14:textId="77777777" w:rsidR="002D0AE7" w:rsidRDefault="002D0AE7">
            <w:pPr>
              <w:jc w:val="right"/>
              <w:rPr>
                <w:rFonts w:ascii="Arial Narrow" w:hAnsi="Arial Narrow"/>
                <w:sz w:val="15"/>
                <w:szCs w:val="15"/>
              </w:rPr>
            </w:pPr>
          </w:p>
        </w:tc>
        <w:tc>
          <w:tcPr>
            <w:tcW w:w="152" w:type="pct"/>
            <w:vAlign w:val="center"/>
          </w:tcPr>
          <w:p w14:paraId="3791EE56" w14:textId="77777777" w:rsidR="002D0AE7" w:rsidRDefault="002D0AE7">
            <w:pPr>
              <w:jc w:val="right"/>
              <w:rPr>
                <w:rFonts w:ascii="Arial Narrow" w:hAnsi="Arial Narrow"/>
                <w:sz w:val="15"/>
                <w:szCs w:val="15"/>
              </w:rPr>
            </w:pPr>
          </w:p>
        </w:tc>
        <w:tc>
          <w:tcPr>
            <w:tcW w:w="357" w:type="pct"/>
            <w:vAlign w:val="center"/>
          </w:tcPr>
          <w:p w14:paraId="74712AE9" w14:textId="77777777" w:rsidR="002D0AE7" w:rsidRDefault="002D0AE7">
            <w:pPr>
              <w:jc w:val="right"/>
              <w:rPr>
                <w:rFonts w:ascii="Arial Narrow" w:hAnsi="Arial Narrow"/>
                <w:sz w:val="15"/>
                <w:szCs w:val="15"/>
              </w:rPr>
            </w:pPr>
          </w:p>
        </w:tc>
        <w:tc>
          <w:tcPr>
            <w:tcW w:w="334" w:type="pct"/>
            <w:vAlign w:val="center"/>
          </w:tcPr>
          <w:p w14:paraId="34882C66" w14:textId="77777777" w:rsidR="002D0AE7" w:rsidRDefault="002D0AE7">
            <w:pPr>
              <w:jc w:val="right"/>
              <w:rPr>
                <w:rFonts w:ascii="Arial Narrow" w:hAnsi="Arial Narrow"/>
                <w:sz w:val="15"/>
                <w:szCs w:val="15"/>
              </w:rPr>
            </w:pPr>
          </w:p>
        </w:tc>
        <w:tc>
          <w:tcPr>
            <w:tcW w:w="357" w:type="pct"/>
            <w:vAlign w:val="center"/>
          </w:tcPr>
          <w:p w14:paraId="671C135A" w14:textId="77777777" w:rsidR="002D0AE7" w:rsidRDefault="002D0AE7">
            <w:pPr>
              <w:jc w:val="right"/>
              <w:rPr>
                <w:rFonts w:ascii="Arial Narrow" w:hAnsi="Arial Narrow"/>
                <w:sz w:val="15"/>
                <w:szCs w:val="15"/>
              </w:rPr>
            </w:pPr>
          </w:p>
        </w:tc>
        <w:tc>
          <w:tcPr>
            <w:tcW w:w="311" w:type="pct"/>
            <w:vAlign w:val="center"/>
          </w:tcPr>
          <w:p w14:paraId="3B1F5CC8" w14:textId="77777777" w:rsidR="002D0AE7" w:rsidRDefault="002D0AE7">
            <w:pPr>
              <w:jc w:val="right"/>
              <w:rPr>
                <w:rFonts w:ascii="Arial Narrow" w:hAnsi="Arial Narrow"/>
                <w:sz w:val="15"/>
                <w:szCs w:val="15"/>
              </w:rPr>
            </w:pPr>
          </w:p>
        </w:tc>
        <w:tc>
          <w:tcPr>
            <w:tcW w:w="357" w:type="pct"/>
            <w:vAlign w:val="center"/>
          </w:tcPr>
          <w:p w14:paraId="3D372C83" w14:textId="77777777" w:rsidR="002D0AE7" w:rsidRDefault="002D0AE7">
            <w:pPr>
              <w:jc w:val="right"/>
              <w:rPr>
                <w:rFonts w:ascii="Arial Narrow" w:hAnsi="Arial Narrow"/>
                <w:sz w:val="15"/>
                <w:szCs w:val="15"/>
              </w:rPr>
            </w:pPr>
          </w:p>
        </w:tc>
        <w:tc>
          <w:tcPr>
            <w:tcW w:w="152" w:type="pct"/>
            <w:vAlign w:val="center"/>
          </w:tcPr>
          <w:p w14:paraId="08B37EDA" w14:textId="77777777" w:rsidR="002D0AE7" w:rsidRDefault="002D0AE7">
            <w:pPr>
              <w:jc w:val="right"/>
              <w:rPr>
                <w:rFonts w:ascii="Arial Narrow" w:hAnsi="Arial Narrow"/>
                <w:sz w:val="15"/>
                <w:szCs w:val="15"/>
              </w:rPr>
            </w:pPr>
          </w:p>
        </w:tc>
        <w:tc>
          <w:tcPr>
            <w:tcW w:w="391" w:type="pct"/>
            <w:vAlign w:val="center"/>
          </w:tcPr>
          <w:p w14:paraId="69161BD4" w14:textId="77777777" w:rsidR="002D0AE7" w:rsidRDefault="002D0AE7">
            <w:pPr>
              <w:jc w:val="right"/>
              <w:rPr>
                <w:rFonts w:ascii="Arial Narrow" w:hAnsi="Arial Narrow"/>
                <w:sz w:val="15"/>
                <w:szCs w:val="15"/>
              </w:rPr>
            </w:pPr>
          </w:p>
        </w:tc>
        <w:tc>
          <w:tcPr>
            <w:tcW w:w="152" w:type="pct"/>
            <w:vAlign w:val="center"/>
          </w:tcPr>
          <w:p w14:paraId="10367B6B" w14:textId="77777777" w:rsidR="002D0AE7" w:rsidRDefault="002D0AE7">
            <w:pPr>
              <w:jc w:val="right"/>
              <w:rPr>
                <w:rFonts w:ascii="Arial Narrow" w:hAnsi="Arial Narrow"/>
                <w:sz w:val="15"/>
                <w:szCs w:val="15"/>
              </w:rPr>
            </w:pPr>
          </w:p>
        </w:tc>
        <w:tc>
          <w:tcPr>
            <w:tcW w:w="391" w:type="pct"/>
            <w:vAlign w:val="center"/>
          </w:tcPr>
          <w:p w14:paraId="152984D3" w14:textId="77777777" w:rsidR="002D0AE7" w:rsidRDefault="002D0AE7">
            <w:pPr>
              <w:jc w:val="right"/>
              <w:rPr>
                <w:rFonts w:ascii="Arial Narrow" w:hAnsi="Arial Narrow"/>
                <w:sz w:val="15"/>
                <w:szCs w:val="15"/>
              </w:rPr>
            </w:pPr>
          </w:p>
        </w:tc>
        <w:tc>
          <w:tcPr>
            <w:tcW w:w="357" w:type="pct"/>
            <w:vAlign w:val="center"/>
          </w:tcPr>
          <w:p w14:paraId="74D95B08" w14:textId="77777777" w:rsidR="002D0AE7" w:rsidRDefault="002D0AE7">
            <w:pPr>
              <w:jc w:val="right"/>
              <w:rPr>
                <w:rFonts w:ascii="Arial Narrow" w:hAnsi="Arial Narrow"/>
                <w:sz w:val="15"/>
                <w:szCs w:val="15"/>
              </w:rPr>
            </w:pPr>
          </w:p>
        </w:tc>
        <w:tc>
          <w:tcPr>
            <w:tcW w:w="391" w:type="pct"/>
            <w:vAlign w:val="center"/>
          </w:tcPr>
          <w:p w14:paraId="51862D94" w14:textId="77777777" w:rsidR="002D0AE7" w:rsidRDefault="002D0AE7">
            <w:pPr>
              <w:jc w:val="right"/>
              <w:rPr>
                <w:rFonts w:ascii="Arial Narrow" w:hAnsi="Arial Narrow"/>
                <w:sz w:val="15"/>
                <w:szCs w:val="15"/>
              </w:rPr>
            </w:pPr>
          </w:p>
        </w:tc>
      </w:tr>
      <w:tr w:rsidR="002D0AE7" w14:paraId="1135D749" w14:textId="77777777">
        <w:trPr>
          <w:jc w:val="center"/>
        </w:trPr>
        <w:tc>
          <w:tcPr>
            <w:tcW w:w="602" w:type="pct"/>
            <w:vAlign w:val="center"/>
          </w:tcPr>
          <w:p w14:paraId="4E96AAB0" w14:textId="77777777" w:rsidR="002D0AE7" w:rsidRDefault="00333EBB">
            <w:pPr>
              <w:rPr>
                <w:rFonts w:hint="eastAsia"/>
                <w:color w:val="000000" w:themeColor="text1"/>
                <w:sz w:val="18"/>
                <w:szCs w:val="18"/>
              </w:rPr>
            </w:pPr>
            <w:r>
              <w:rPr>
                <w:color w:val="000000" w:themeColor="text1"/>
                <w:sz w:val="18"/>
                <w:szCs w:val="18"/>
              </w:rPr>
              <w:t>（</w:t>
            </w:r>
            <w:r>
              <w:rPr>
                <w:rFonts w:hint="eastAsia"/>
                <w:color w:val="000000" w:themeColor="text1"/>
                <w:sz w:val="18"/>
                <w:szCs w:val="18"/>
              </w:rPr>
              <w:t>三</w:t>
            </w:r>
            <w:r>
              <w:rPr>
                <w:color w:val="000000" w:themeColor="text1"/>
                <w:sz w:val="18"/>
                <w:szCs w:val="18"/>
              </w:rPr>
              <w:t>）利润分配</w:t>
            </w:r>
          </w:p>
        </w:tc>
        <w:tc>
          <w:tcPr>
            <w:tcW w:w="394" w:type="pct"/>
            <w:vAlign w:val="center"/>
          </w:tcPr>
          <w:p w14:paraId="051EF87C"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102F58A9"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0368F3EF"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6C62D590"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7" w:type="pct"/>
            <w:vAlign w:val="center"/>
          </w:tcPr>
          <w:p w14:paraId="26A7E8EE" w14:textId="77777777" w:rsidR="002D0AE7" w:rsidRDefault="00333EBB">
            <w:pPr>
              <w:jc w:val="right"/>
              <w:rPr>
                <w:rFonts w:ascii="Arial Narrow" w:hAnsi="Arial Narrow"/>
                <w:sz w:val="15"/>
                <w:szCs w:val="15"/>
              </w:rPr>
            </w:pPr>
            <w:r>
              <w:rPr>
                <w:rFonts w:ascii="Arial Narrow" w:hAnsi="Arial Narrow"/>
                <w:sz w:val="15"/>
                <w:szCs w:val="15"/>
              </w:rPr>
              <w:t>0.00</w:t>
            </w:r>
          </w:p>
        </w:tc>
        <w:tc>
          <w:tcPr>
            <w:tcW w:w="334" w:type="pct"/>
            <w:vAlign w:val="center"/>
          </w:tcPr>
          <w:p w14:paraId="129FB06E"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7" w:type="pct"/>
            <w:vAlign w:val="center"/>
          </w:tcPr>
          <w:p w14:paraId="134027C2" w14:textId="77777777" w:rsidR="002D0AE7" w:rsidRDefault="00333EBB">
            <w:pPr>
              <w:jc w:val="right"/>
              <w:rPr>
                <w:rFonts w:ascii="Arial Narrow" w:hAnsi="Arial Narrow"/>
                <w:sz w:val="15"/>
                <w:szCs w:val="15"/>
              </w:rPr>
            </w:pPr>
            <w:r>
              <w:rPr>
                <w:rFonts w:ascii="Arial Narrow" w:hAnsi="Arial Narrow"/>
                <w:sz w:val="15"/>
                <w:szCs w:val="15"/>
              </w:rPr>
              <w:t>0.00</w:t>
            </w:r>
          </w:p>
        </w:tc>
        <w:tc>
          <w:tcPr>
            <w:tcW w:w="311" w:type="pct"/>
            <w:vAlign w:val="center"/>
          </w:tcPr>
          <w:p w14:paraId="1F41EF02"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7" w:type="pct"/>
            <w:vAlign w:val="center"/>
          </w:tcPr>
          <w:p w14:paraId="3F7AD5AD" w14:textId="77777777" w:rsidR="002D0AE7" w:rsidRDefault="00333EBB">
            <w:pPr>
              <w:jc w:val="right"/>
              <w:rPr>
                <w:rFonts w:ascii="Arial Narrow" w:hAnsi="Arial Narrow"/>
                <w:sz w:val="15"/>
                <w:szCs w:val="15"/>
              </w:rPr>
            </w:pPr>
            <w:r>
              <w:rPr>
                <w:rFonts w:ascii="Arial Narrow" w:hAnsi="Arial Narrow"/>
                <w:sz w:val="15"/>
                <w:szCs w:val="15"/>
              </w:rPr>
              <w:t>7,226,323.22</w:t>
            </w:r>
          </w:p>
        </w:tc>
        <w:tc>
          <w:tcPr>
            <w:tcW w:w="152" w:type="pct"/>
            <w:vAlign w:val="center"/>
          </w:tcPr>
          <w:p w14:paraId="66641F4B"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2A116B18" w14:textId="77777777" w:rsidR="002D0AE7" w:rsidRDefault="00333EBB">
            <w:pPr>
              <w:jc w:val="right"/>
              <w:rPr>
                <w:rFonts w:ascii="Arial Narrow" w:hAnsi="Arial Narrow"/>
                <w:sz w:val="15"/>
                <w:szCs w:val="15"/>
              </w:rPr>
            </w:pPr>
            <w:r>
              <w:rPr>
                <w:rFonts w:ascii="Arial Narrow" w:hAnsi="Arial Narrow"/>
                <w:sz w:val="15"/>
                <w:szCs w:val="15"/>
              </w:rPr>
              <w:t>-18,108,530.02</w:t>
            </w:r>
          </w:p>
        </w:tc>
        <w:tc>
          <w:tcPr>
            <w:tcW w:w="152" w:type="pct"/>
            <w:vAlign w:val="center"/>
          </w:tcPr>
          <w:p w14:paraId="7946524E"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19D06B55" w14:textId="77777777" w:rsidR="002D0AE7" w:rsidRDefault="00333EBB">
            <w:pPr>
              <w:jc w:val="right"/>
              <w:rPr>
                <w:rFonts w:ascii="Arial Narrow" w:hAnsi="Arial Narrow"/>
                <w:sz w:val="15"/>
                <w:szCs w:val="15"/>
              </w:rPr>
            </w:pPr>
            <w:r>
              <w:rPr>
                <w:rFonts w:ascii="Arial Narrow" w:hAnsi="Arial Narrow"/>
                <w:sz w:val="15"/>
                <w:szCs w:val="15"/>
              </w:rPr>
              <w:t>-10,882,206.80</w:t>
            </w:r>
          </w:p>
        </w:tc>
        <w:tc>
          <w:tcPr>
            <w:tcW w:w="357" w:type="pct"/>
            <w:vAlign w:val="center"/>
          </w:tcPr>
          <w:p w14:paraId="6BB24C0E"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321CAD6C" w14:textId="77777777" w:rsidR="002D0AE7" w:rsidRDefault="00333EBB">
            <w:pPr>
              <w:jc w:val="right"/>
              <w:rPr>
                <w:rFonts w:ascii="Arial Narrow" w:hAnsi="Arial Narrow"/>
                <w:sz w:val="15"/>
                <w:szCs w:val="15"/>
              </w:rPr>
            </w:pPr>
            <w:r>
              <w:rPr>
                <w:rFonts w:ascii="Arial Narrow" w:hAnsi="Arial Narrow"/>
                <w:sz w:val="15"/>
                <w:szCs w:val="15"/>
              </w:rPr>
              <w:t>-10,882,206.80</w:t>
            </w:r>
          </w:p>
        </w:tc>
      </w:tr>
      <w:tr w:rsidR="002D0AE7" w14:paraId="63FD56AD" w14:textId="77777777">
        <w:trPr>
          <w:jc w:val="center"/>
        </w:trPr>
        <w:tc>
          <w:tcPr>
            <w:tcW w:w="602" w:type="pct"/>
            <w:vAlign w:val="center"/>
          </w:tcPr>
          <w:p w14:paraId="5990D732" w14:textId="77777777" w:rsidR="002D0AE7" w:rsidRDefault="00333EBB">
            <w:pPr>
              <w:rPr>
                <w:rFonts w:hint="eastAsia"/>
                <w:color w:val="000000" w:themeColor="text1"/>
                <w:sz w:val="18"/>
                <w:szCs w:val="18"/>
              </w:rPr>
            </w:pPr>
            <w:r>
              <w:rPr>
                <w:color w:val="000000" w:themeColor="text1"/>
                <w:sz w:val="18"/>
                <w:szCs w:val="18"/>
              </w:rPr>
              <w:t>1</w:t>
            </w:r>
            <w:r>
              <w:rPr>
                <w:color w:val="000000" w:themeColor="text1"/>
                <w:sz w:val="18"/>
                <w:szCs w:val="18"/>
              </w:rPr>
              <w:t>．提取盈余公积</w:t>
            </w:r>
          </w:p>
        </w:tc>
        <w:tc>
          <w:tcPr>
            <w:tcW w:w="394" w:type="pct"/>
            <w:vAlign w:val="center"/>
          </w:tcPr>
          <w:p w14:paraId="249C848A"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239560C6"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34AE6013"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20A89212"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7" w:type="pct"/>
            <w:vAlign w:val="center"/>
          </w:tcPr>
          <w:p w14:paraId="7DF875DB" w14:textId="77777777" w:rsidR="002D0AE7" w:rsidRDefault="00333EBB">
            <w:pPr>
              <w:jc w:val="right"/>
              <w:rPr>
                <w:rFonts w:ascii="Arial Narrow" w:hAnsi="Arial Narrow"/>
                <w:sz w:val="15"/>
                <w:szCs w:val="15"/>
              </w:rPr>
            </w:pPr>
            <w:r>
              <w:rPr>
                <w:rFonts w:ascii="Arial Narrow" w:hAnsi="Arial Narrow"/>
                <w:sz w:val="15"/>
                <w:szCs w:val="15"/>
              </w:rPr>
              <w:t>0.00</w:t>
            </w:r>
          </w:p>
        </w:tc>
        <w:tc>
          <w:tcPr>
            <w:tcW w:w="334" w:type="pct"/>
            <w:vAlign w:val="center"/>
          </w:tcPr>
          <w:p w14:paraId="3FCE510A"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7" w:type="pct"/>
            <w:vAlign w:val="center"/>
          </w:tcPr>
          <w:p w14:paraId="6907B77C" w14:textId="77777777" w:rsidR="002D0AE7" w:rsidRDefault="00333EBB">
            <w:pPr>
              <w:jc w:val="right"/>
              <w:rPr>
                <w:rFonts w:ascii="Arial Narrow" w:hAnsi="Arial Narrow"/>
                <w:sz w:val="15"/>
                <w:szCs w:val="15"/>
              </w:rPr>
            </w:pPr>
            <w:r>
              <w:rPr>
                <w:rFonts w:ascii="Arial Narrow" w:hAnsi="Arial Narrow"/>
                <w:sz w:val="15"/>
                <w:szCs w:val="15"/>
              </w:rPr>
              <w:t>0.00</w:t>
            </w:r>
          </w:p>
        </w:tc>
        <w:tc>
          <w:tcPr>
            <w:tcW w:w="311" w:type="pct"/>
            <w:vAlign w:val="center"/>
          </w:tcPr>
          <w:p w14:paraId="6816FB7E"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7" w:type="pct"/>
            <w:vAlign w:val="center"/>
          </w:tcPr>
          <w:p w14:paraId="54BAFCBF" w14:textId="77777777" w:rsidR="002D0AE7" w:rsidRDefault="00333EBB">
            <w:pPr>
              <w:jc w:val="right"/>
              <w:rPr>
                <w:rFonts w:ascii="Arial Narrow" w:hAnsi="Arial Narrow"/>
                <w:sz w:val="15"/>
                <w:szCs w:val="15"/>
              </w:rPr>
            </w:pPr>
            <w:r>
              <w:rPr>
                <w:rFonts w:ascii="Arial Narrow" w:hAnsi="Arial Narrow"/>
                <w:sz w:val="15"/>
                <w:szCs w:val="15"/>
              </w:rPr>
              <w:t>7,226,323.22</w:t>
            </w:r>
          </w:p>
        </w:tc>
        <w:tc>
          <w:tcPr>
            <w:tcW w:w="152" w:type="pct"/>
            <w:vAlign w:val="center"/>
          </w:tcPr>
          <w:p w14:paraId="247EFB6A"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367FC4AF" w14:textId="77777777" w:rsidR="002D0AE7" w:rsidRDefault="00333EBB">
            <w:pPr>
              <w:jc w:val="right"/>
              <w:rPr>
                <w:rFonts w:ascii="Arial Narrow" w:hAnsi="Arial Narrow"/>
                <w:sz w:val="15"/>
                <w:szCs w:val="15"/>
              </w:rPr>
            </w:pPr>
            <w:r>
              <w:rPr>
                <w:rFonts w:ascii="Arial Narrow" w:hAnsi="Arial Narrow"/>
                <w:sz w:val="15"/>
                <w:szCs w:val="15"/>
              </w:rPr>
              <w:t>-7,226,323.22</w:t>
            </w:r>
          </w:p>
        </w:tc>
        <w:tc>
          <w:tcPr>
            <w:tcW w:w="152" w:type="pct"/>
            <w:vAlign w:val="center"/>
          </w:tcPr>
          <w:p w14:paraId="5EA949BC"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1F7E9B2C"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7" w:type="pct"/>
            <w:vAlign w:val="center"/>
          </w:tcPr>
          <w:p w14:paraId="5713B3B6"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29E226F5" w14:textId="77777777" w:rsidR="002D0AE7" w:rsidRDefault="00333EBB">
            <w:pPr>
              <w:jc w:val="right"/>
              <w:rPr>
                <w:rFonts w:ascii="Arial Narrow" w:hAnsi="Arial Narrow"/>
                <w:sz w:val="15"/>
                <w:szCs w:val="15"/>
              </w:rPr>
            </w:pPr>
            <w:r>
              <w:rPr>
                <w:rFonts w:ascii="Arial Narrow" w:hAnsi="Arial Narrow"/>
                <w:sz w:val="15"/>
                <w:szCs w:val="15"/>
              </w:rPr>
              <w:t>0.00</w:t>
            </w:r>
          </w:p>
        </w:tc>
      </w:tr>
      <w:tr w:rsidR="002D0AE7" w14:paraId="14DFDC3F" w14:textId="77777777">
        <w:trPr>
          <w:jc w:val="center"/>
        </w:trPr>
        <w:tc>
          <w:tcPr>
            <w:tcW w:w="602" w:type="pct"/>
            <w:vAlign w:val="center"/>
          </w:tcPr>
          <w:p w14:paraId="08F3043E" w14:textId="77777777" w:rsidR="002D0AE7" w:rsidRDefault="00333EBB">
            <w:pPr>
              <w:rPr>
                <w:rFonts w:hint="eastAsia"/>
                <w:color w:val="000000" w:themeColor="text1"/>
                <w:sz w:val="18"/>
                <w:szCs w:val="18"/>
              </w:rPr>
            </w:pPr>
            <w:r>
              <w:rPr>
                <w:color w:val="000000" w:themeColor="text1"/>
                <w:sz w:val="18"/>
                <w:szCs w:val="18"/>
              </w:rPr>
              <w:t>2</w:t>
            </w:r>
            <w:r>
              <w:rPr>
                <w:color w:val="000000" w:themeColor="text1"/>
                <w:sz w:val="18"/>
                <w:szCs w:val="18"/>
              </w:rPr>
              <w:t>．提取一般风险准备</w:t>
            </w:r>
          </w:p>
        </w:tc>
        <w:tc>
          <w:tcPr>
            <w:tcW w:w="394" w:type="pct"/>
            <w:vAlign w:val="center"/>
          </w:tcPr>
          <w:p w14:paraId="6DF66662" w14:textId="77777777" w:rsidR="002D0AE7" w:rsidRDefault="002D0AE7">
            <w:pPr>
              <w:jc w:val="right"/>
              <w:rPr>
                <w:rFonts w:ascii="Arial Narrow" w:hAnsi="Arial Narrow"/>
                <w:sz w:val="15"/>
                <w:szCs w:val="15"/>
              </w:rPr>
            </w:pPr>
          </w:p>
        </w:tc>
        <w:tc>
          <w:tcPr>
            <w:tcW w:w="152" w:type="pct"/>
            <w:vAlign w:val="center"/>
          </w:tcPr>
          <w:p w14:paraId="20C2AFB8" w14:textId="77777777" w:rsidR="002D0AE7" w:rsidRDefault="002D0AE7">
            <w:pPr>
              <w:jc w:val="right"/>
              <w:rPr>
                <w:rFonts w:ascii="Arial Narrow" w:hAnsi="Arial Narrow"/>
                <w:sz w:val="15"/>
                <w:szCs w:val="15"/>
              </w:rPr>
            </w:pPr>
          </w:p>
        </w:tc>
        <w:tc>
          <w:tcPr>
            <w:tcW w:w="152" w:type="pct"/>
            <w:vAlign w:val="center"/>
          </w:tcPr>
          <w:p w14:paraId="67DBF1E5" w14:textId="77777777" w:rsidR="002D0AE7" w:rsidRDefault="002D0AE7">
            <w:pPr>
              <w:jc w:val="right"/>
              <w:rPr>
                <w:rFonts w:ascii="Arial Narrow" w:hAnsi="Arial Narrow"/>
                <w:sz w:val="15"/>
                <w:szCs w:val="15"/>
              </w:rPr>
            </w:pPr>
          </w:p>
        </w:tc>
        <w:tc>
          <w:tcPr>
            <w:tcW w:w="152" w:type="pct"/>
            <w:vAlign w:val="center"/>
          </w:tcPr>
          <w:p w14:paraId="7BDBC60A" w14:textId="77777777" w:rsidR="002D0AE7" w:rsidRDefault="002D0AE7">
            <w:pPr>
              <w:jc w:val="right"/>
              <w:rPr>
                <w:rFonts w:ascii="Arial Narrow" w:hAnsi="Arial Narrow"/>
                <w:sz w:val="15"/>
                <w:szCs w:val="15"/>
              </w:rPr>
            </w:pPr>
          </w:p>
        </w:tc>
        <w:tc>
          <w:tcPr>
            <w:tcW w:w="357" w:type="pct"/>
            <w:vAlign w:val="center"/>
          </w:tcPr>
          <w:p w14:paraId="39496465" w14:textId="77777777" w:rsidR="002D0AE7" w:rsidRDefault="002D0AE7">
            <w:pPr>
              <w:jc w:val="right"/>
              <w:rPr>
                <w:rFonts w:ascii="Arial Narrow" w:hAnsi="Arial Narrow"/>
                <w:sz w:val="15"/>
                <w:szCs w:val="15"/>
              </w:rPr>
            </w:pPr>
          </w:p>
        </w:tc>
        <w:tc>
          <w:tcPr>
            <w:tcW w:w="334" w:type="pct"/>
            <w:vAlign w:val="center"/>
          </w:tcPr>
          <w:p w14:paraId="4F9D4CC9" w14:textId="77777777" w:rsidR="002D0AE7" w:rsidRDefault="002D0AE7">
            <w:pPr>
              <w:jc w:val="right"/>
              <w:rPr>
                <w:rFonts w:ascii="Arial Narrow" w:hAnsi="Arial Narrow"/>
                <w:sz w:val="15"/>
                <w:szCs w:val="15"/>
              </w:rPr>
            </w:pPr>
          </w:p>
        </w:tc>
        <w:tc>
          <w:tcPr>
            <w:tcW w:w="357" w:type="pct"/>
            <w:vAlign w:val="center"/>
          </w:tcPr>
          <w:p w14:paraId="6097898B" w14:textId="77777777" w:rsidR="002D0AE7" w:rsidRDefault="002D0AE7">
            <w:pPr>
              <w:jc w:val="right"/>
              <w:rPr>
                <w:rFonts w:ascii="Arial Narrow" w:hAnsi="Arial Narrow"/>
                <w:sz w:val="15"/>
                <w:szCs w:val="15"/>
              </w:rPr>
            </w:pPr>
          </w:p>
        </w:tc>
        <w:tc>
          <w:tcPr>
            <w:tcW w:w="311" w:type="pct"/>
            <w:vAlign w:val="center"/>
          </w:tcPr>
          <w:p w14:paraId="30848120" w14:textId="77777777" w:rsidR="002D0AE7" w:rsidRDefault="002D0AE7">
            <w:pPr>
              <w:jc w:val="right"/>
              <w:rPr>
                <w:rFonts w:ascii="Arial Narrow" w:hAnsi="Arial Narrow"/>
                <w:sz w:val="15"/>
                <w:szCs w:val="15"/>
              </w:rPr>
            </w:pPr>
          </w:p>
        </w:tc>
        <w:tc>
          <w:tcPr>
            <w:tcW w:w="357" w:type="pct"/>
            <w:vAlign w:val="center"/>
          </w:tcPr>
          <w:p w14:paraId="665A641E" w14:textId="77777777" w:rsidR="002D0AE7" w:rsidRDefault="002D0AE7">
            <w:pPr>
              <w:jc w:val="right"/>
              <w:rPr>
                <w:rFonts w:ascii="Arial Narrow" w:hAnsi="Arial Narrow"/>
                <w:sz w:val="15"/>
                <w:szCs w:val="15"/>
              </w:rPr>
            </w:pPr>
          </w:p>
        </w:tc>
        <w:tc>
          <w:tcPr>
            <w:tcW w:w="152" w:type="pct"/>
            <w:vAlign w:val="center"/>
          </w:tcPr>
          <w:p w14:paraId="34BFB548" w14:textId="77777777" w:rsidR="002D0AE7" w:rsidRDefault="002D0AE7">
            <w:pPr>
              <w:jc w:val="right"/>
              <w:rPr>
                <w:rFonts w:ascii="Arial Narrow" w:hAnsi="Arial Narrow"/>
                <w:sz w:val="15"/>
                <w:szCs w:val="15"/>
              </w:rPr>
            </w:pPr>
          </w:p>
        </w:tc>
        <w:tc>
          <w:tcPr>
            <w:tcW w:w="391" w:type="pct"/>
            <w:vAlign w:val="center"/>
          </w:tcPr>
          <w:p w14:paraId="399A5197" w14:textId="77777777" w:rsidR="002D0AE7" w:rsidRDefault="002D0AE7">
            <w:pPr>
              <w:jc w:val="right"/>
              <w:rPr>
                <w:rFonts w:ascii="Arial Narrow" w:hAnsi="Arial Narrow"/>
                <w:sz w:val="15"/>
                <w:szCs w:val="15"/>
              </w:rPr>
            </w:pPr>
          </w:p>
        </w:tc>
        <w:tc>
          <w:tcPr>
            <w:tcW w:w="152" w:type="pct"/>
            <w:vAlign w:val="center"/>
          </w:tcPr>
          <w:p w14:paraId="7038DDCD" w14:textId="77777777" w:rsidR="002D0AE7" w:rsidRDefault="002D0AE7">
            <w:pPr>
              <w:jc w:val="right"/>
              <w:rPr>
                <w:rFonts w:ascii="Arial Narrow" w:hAnsi="Arial Narrow"/>
                <w:sz w:val="15"/>
                <w:szCs w:val="15"/>
              </w:rPr>
            </w:pPr>
          </w:p>
        </w:tc>
        <w:tc>
          <w:tcPr>
            <w:tcW w:w="391" w:type="pct"/>
            <w:vAlign w:val="center"/>
          </w:tcPr>
          <w:p w14:paraId="50A1FA68" w14:textId="77777777" w:rsidR="002D0AE7" w:rsidRDefault="002D0AE7">
            <w:pPr>
              <w:jc w:val="right"/>
              <w:rPr>
                <w:rFonts w:ascii="Arial Narrow" w:hAnsi="Arial Narrow"/>
                <w:sz w:val="15"/>
                <w:szCs w:val="15"/>
              </w:rPr>
            </w:pPr>
          </w:p>
        </w:tc>
        <w:tc>
          <w:tcPr>
            <w:tcW w:w="357" w:type="pct"/>
            <w:vAlign w:val="center"/>
          </w:tcPr>
          <w:p w14:paraId="71104836" w14:textId="77777777" w:rsidR="002D0AE7" w:rsidRDefault="002D0AE7">
            <w:pPr>
              <w:jc w:val="right"/>
              <w:rPr>
                <w:rFonts w:ascii="Arial Narrow" w:hAnsi="Arial Narrow"/>
                <w:sz w:val="15"/>
                <w:szCs w:val="15"/>
              </w:rPr>
            </w:pPr>
          </w:p>
        </w:tc>
        <w:tc>
          <w:tcPr>
            <w:tcW w:w="391" w:type="pct"/>
            <w:vAlign w:val="center"/>
          </w:tcPr>
          <w:p w14:paraId="18AF370E" w14:textId="77777777" w:rsidR="002D0AE7" w:rsidRDefault="002D0AE7">
            <w:pPr>
              <w:jc w:val="right"/>
              <w:rPr>
                <w:rFonts w:ascii="Arial Narrow" w:hAnsi="Arial Narrow"/>
                <w:sz w:val="15"/>
                <w:szCs w:val="15"/>
              </w:rPr>
            </w:pPr>
          </w:p>
        </w:tc>
      </w:tr>
      <w:tr w:rsidR="002D0AE7" w14:paraId="58E02881" w14:textId="77777777">
        <w:trPr>
          <w:jc w:val="center"/>
        </w:trPr>
        <w:tc>
          <w:tcPr>
            <w:tcW w:w="602" w:type="pct"/>
            <w:vAlign w:val="center"/>
          </w:tcPr>
          <w:p w14:paraId="6B110D4A" w14:textId="77777777" w:rsidR="002D0AE7" w:rsidRDefault="00333EBB">
            <w:pPr>
              <w:rPr>
                <w:rFonts w:hint="eastAsia"/>
                <w:color w:val="000000" w:themeColor="text1"/>
                <w:sz w:val="18"/>
                <w:szCs w:val="18"/>
              </w:rPr>
            </w:pPr>
            <w:r>
              <w:rPr>
                <w:color w:val="000000" w:themeColor="text1"/>
                <w:sz w:val="18"/>
                <w:szCs w:val="18"/>
              </w:rPr>
              <w:t>3</w:t>
            </w:r>
            <w:r>
              <w:rPr>
                <w:color w:val="000000" w:themeColor="text1"/>
                <w:sz w:val="18"/>
                <w:szCs w:val="18"/>
              </w:rPr>
              <w:t>．对所有者（或股东）的分配</w:t>
            </w:r>
          </w:p>
        </w:tc>
        <w:tc>
          <w:tcPr>
            <w:tcW w:w="394" w:type="pct"/>
            <w:vAlign w:val="center"/>
          </w:tcPr>
          <w:p w14:paraId="0837B6C3"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5C6B1973"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13BC3CFA"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377C0163"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7" w:type="pct"/>
            <w:vAlign w:val="center"/>
          </w:tcPr>
          <w:p w14:paraId="2B4E0024" w14:textId="77777777" w:rsidR="002D0AE7" w:rsidRDefault="00333EBB">
            <w:pPr>
              <w:jc w:val="right"/>
              <w:rPr>
                <w:rFonts w:ascii="Arial Narrow" w:hAnsi="Arial Narrow"/>
                <w:sz w:val="15"/>
                <w:szCs w:val="15"/>
              </w:rPr>
            </w:pPr>
            <w:r>
              <w:rPr>
                <w:rFonts w:ascii="Arial Narrow" w:hAnsi="Arial Narrow"/>
                <w:sz w:val="15"/>
                <w:szCs w:val="15"/>
              </w:rPr>
              <w:t>0.00</w:t>
            </w:r>
          </w:p>
        </w:tc>
        <w:tc>
          <w:tcPr>
            <w:tcW w:w="334" w:type="pct"/>
            <w:vAlign w:val="center"/>
          </w:tcPr>
          <w:p w14:paraId="6A68425D"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7" w:type="pct"/>
            <w:vAlign w:val="center"/>
          </w:tcPr>
          <w:p w14:paraId="3CC6C918" w14:textId="77777777" w:rsidR="002D0AE7" w:rsidRDefault="00333EBB">
            <w:pPr>
              <w:jc w:val="right"/>
              <w:rPr>
                <w:rFonts w:ascii="Arial Narrow" w:hAnsi="Arial Narrow"/>
                <w:sz w:val="15"/>
                <w:szCs w:val="15"/>
              </w:rPr>
            </w:pPr>
            <w:r>
              <w:rPr>
                <w:rFonts w:ascii="Arial Narrow" w:hAnsi="Arial Narrow"/>
                <w:sz w:val="15"/>
                <w:szCs w:val="15"/>
              </w:rPr>
              <w:t>0.00</w:t>
            </w:r>
          </w:p>
        </w:tc>
        <w:tc>
          <w:tcPr>
            <w:tcW w:w="311" w:type="pct"/>
            <w:vAlign w:val="center"/>
          </w:tcPr>
          <w:p w14:paraId="311D795B"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7" w:type="pct"/>
            <w:vAlign w:val="center"/>
          </w:tcPr>
          <w:p w14:paraId="52C57784"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7C86EC86"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5F2CCE42" w14:textId="77777777" w:rsidR="002D0AE7" w:rsidRDefault="00333EBB">
            <w:pPr>
              <w:jc w:val="right"/>
              <w:rPr>
                <w:rFonts w:ascii="Arial Narrow" w:hAnsi="Arial Narrow"/>
                <w:sz w:val="15"/>
                <w:szCs w:val="15"/>
              </w:rPr>
            </w:pPr>
            <w:r>
              <w:rPr>
                <w:rFonts w:ascii="Arial Narrow" w:hAnsi="Arial Narrow"/>
                <w:sz w:val="15"/>
                <w:szCs w:val="15"/>
              </w:rPr>
              <w:t>-10,882,206.80</w:t>
            </w:r>
          </w:p>
        </w:tc>
        <w:tc>
          <w:tcPr>
            <w:tcW w:w="152" w:type="pct"/>
            <w:vAlign w:val="center"/>
          </w:tcPr>
          <w:p w14:paraId="54F1A44D"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5538EE25" w14:textId="77777777" w:rsidR="002D0AE7" w:rsidRDefault="00333EBB">
            <w:pPr>
              <w:jc w:val="right"/>
              <w:rPr>
                <w:rFonts w:ascii="Arial Narrow" w:hAnsi="Arial Narrow"/>
                <w:sz w:val="15"/>
                <w:szCs w:val="15"/>
              </w:rPr>
            </w:pPr>
            <w:r>
              <w:rPr>
                <w:rFonts w:ascii="Arial Narrow" w:hAnsi="Arial Narrow"/>
                <w:sz w:val="15"/>
                <w:szCs w:val="15"/>
              </w:rPr>
              <w:t>-10,882,206.80</w:t>
            </w:r>
          </w:p>
        </w:tc>
        <w:tc>
          <w:tcPr>
            <w:tcW w:w="357" w:type="pct"/>
            <w:vAlign w:val="center"/>
          </w:tcPr>
          <w:p w14:paraId="0414E8EC"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3138534B" w14:textId="77777777" w:rsidR="002D0AE7" w:rsidRDefault="00333EBB">
            <w:pPr>
              <w:jc w:val="right"/>
              <w:rPr>
                <w:rFonts w:ascii="Arial Narrow" w:hAnsi="Arial Narrow"/>
                <w:sz w:val="15"/>
                <w:szCs w:val="15"/>
              </w:rPr>
            </w:pPr>
            <w:r>
              <w:rPr>
                <w:rFonts w:ascii="Arial Narrow" w:hAnsi="Arial Narrow"/>
                <w:sz w:val="15"/>
                <w:szCs w:val="15"/>
              </w:rPr>
              <w:t>-10,882,206.80</w:t>
            </w:r>
          </w:p>
        </w:tc>
      </w:tr>
      <w:tr w:rsidR="002D0AE7" w14:paraId="6F1DBFFF" w14:textId="77777777">
        <w:trPr>
          <w:jc w:val="center"/>
        </w:trPr>
        <w:tc>
          <w:tcPr>
            <w:tcW w:w="602" w:type="pct"/>
            <w:vAlign w:val="center"/>
          </w:tcPr>
          <w:p w14:paraId="2A7EC8E9" w14:textId="77777777" w:rsidR="002D0AE7" w:rsidRDefault="00333EBB">
            <w:pPr>
              <w:rPr>
                <w:rFonts w:hint="eastAsia"/>
                <w:color w:val="000000" w:themeColor="text1"/>
                <w:sz w:val="18"/>
                <w:szCs w:val="18"/>
              </w:rPr>
            </w:pPr>
            <w:r>
              <w:rPr>
                <w:color w:val="000000" w:themeColor="text1"/>
                <w:sz w:val="18"/>
                <w:szCs w:val="18"/>
              </w:rPr>
              <w:t>4</w:t>
            </w:r>
            <w:r>
              <w:rPr>
                <w:color w:val="000000" w:themeColor="text1"/>
                <w:sz w:val="18"/>
                <w:szCs w:val="18"/>
              </w:rPr>
              <w:t>．其他</w:t>
            </w:r>
          </w:p>
        </w:tc>
        <w:tc>
          <w:tcPr>
            <w:tcW w:w="394" w:type="pct"/>
            <w:vAlign w:val="center"/>
          </w:tcPr>
          <w:p w14:paraId="5CEE69A3" w14:textId="77777777" w:rsidR="002D0AE7" w:rsidRDefault="002D0AE7">
            <w:pPr>
              <w:jc w:val="right"/>
              <w:rPr>
                <w:rFonts w:ascii="Arial Narrow" w:hAnsi="Arial Narrow"/>
                <w:sz w:val="15"/>
                <w:szCs w:val="15"/>
              </w:rPr>
            </w:pPr>
          </w:p>
        </w:tc>
        <w:tc>
          <w:tcPr>
            <w:tcW w:w="152" w:type="pct"/>
            <w:vAlign w:val="center"/>
          </w:tcPr>
          <w:p w14:paraId="415767A2" w14:textId="77777777" w:rsidR="002D0AE7" w:rsidRDefault="002D0AE7">
            <w:pPr>
              <w:jc w:val="right"/>
              <w:rPr>
                <w:rFonts w:ascii="Arial Narrow" w:hAnsi="Arial Narrow"/>
                <w:sz w:val="15"/>
                <w:szCs w:val="15"/>
              </w:rPr>
            </w:pPr>
          </w:p>
        </w:tc>
        <w:tc>
          <w:tcPr>
            <w:tcW w:w="152" w:type="pct"/>
            <w:vAlign w:val="center"/>
          </w:tcPr>
          <w:p w14:paraId="512F8E63" w14:textId="77777777" w:rsidR="002D0AE7" w:rsidRDefault="002D0AE7">
            <w:pPr>
              <w:jc w:val="right"/>
              <w:rPr>
                <w:rFonts w:ascii="Arial Narrow" w:hAnsi="Arial Narrow"/>
                <w:sz w:val="15"/>
                <w:szCs w:val="15"/>
              </w:rPr>
            </w:pPr>
          </w:p>
        </w:tc>
        <w:tc>
          <w:tcPr>
            <w:tcW w:w="152" w:type="pct"/>
            <w:vAlign w:val="center"/>
          </w:tcPr>
          <w:p w14:paraId="28765252" w14:textId="77777777" w:rsidR="002D0AE7" w:rsidRDefault="002D0AE7">
            <w:pPr>
              <w:jc w:val="right"/>
              <w:rPr>
                <w:rFonts w:ascii="Arial Narrow" w:hAnsi="Arial Narrow"/>
                <w:sz w:val="15"/>
                <w:szCs w:val="15"/>
              </w:rPr>
            </w:pPr>
          </w:p>
        </w:tc>
        <w:tc>
          <w:tcPr>
            <w:tcW w:w="357" w:type="pct"/>
            <w:vAlign w:val="center"/>
          </w:tcPr>
          <w:p w14:paraId="5E40CBE9" w14:textId="77777777" w:rsidR="002D0AE7" w:rsidRDefault="002D0AE7">
            <w:pPr>
              <w:jc w:val="right"/>
              <w:rPr>
                <w:rFonts w:ascii="Arial Narrow" w:hAnsi="Arial Narrow"/>
                <w:sz w:val="15"/>
                <w:szCs w:val="15"/>
              </w:rPr>
            </w:pPr>
          </w:p>
        </w:tc>
        <w:tc>
          <w:tcPr>
            <w:tcW w:w="334" w:type="pct"/>
            <w:vAlign w:val="center"/>
          </w:tcPr>
          <w:p w14:paraId="76DB855B" w14:textId="77777777" w:rsidR="002D0AE7" w:rsidRDefault="002D0AE7">
            <w:pPr>
              <w:jc w:val="right"/>
              <w:rPr>
                <w:rFonts w:ascii="Arial Narrow" w:hAnsi="Arial Narrow"/>
                <w:sz w:val="15"/>
                <w:szCs w:val="15"/>
              </w:rPr>
            </w:pPr>
          </w:p>
        </w:tc>
        <w:tc>
          <w:tcPr>
            <w:tcW w:w="357" w:type="pct"/>
            <w:vAlign w:val="center"/>
          </w:tcPr>
          <w:p w14:paraId="5E97DA7C" w14:textId="77777777" w:rsidR="002D0AE7" w:rsidRDefault="002D0AE7">
            <w:pPr>
              <w:jc w:val="right"/>
              <w:rPr>
                <w:rFonts w:ascii="Arial Narrow" w:hAnsi="Arial Narrow"/>
                <w:sz w:val="15"/>
                <w:szCs w:val="15"/>
              </w:rPr>
            </w:pPr>
          </w:p>
        </w:tc>
        <w:tc>
          <w:tcPr>
            <w:tcW w:w="311" w:type="pct"/>
            <w:vAlign w:val="center"/>
          </w:tcPr>
          <w:p w14:paraId="02A5AC94" w14:textId="77777777" w:rsidR="002D0AE7" w:rsidRDefault="002D0AE7">
            <w:pPr>
              <w:jc w:val="right"/>
              <w:rPr>
                <w:rFonts w:ascii="Arial Narrow" w:hAnsi="Arial Narrow"/>
                <w:sz w:val="15"/>
                <w:szCs w:val="15"/>
              </w:rPr>
            </w:pPr>
          </w:p>
        </w:tc>
        <w:tc>
          <w:tcPr>
            <w:tcW w:w="357" w:type="pct"/>
            <w:vAlign w:val="center"/>
          </w:tcPr>
          <w:p w14:paraId="28DA61F7" w14:textId="77777777" w:rsidR="002D0AE7" w:rsidRDefault="002D0AE7">
            <w:pPr>
              <w:jc w:val="right"/>
              <w:rPr>
                <w:rFonts w:ascii="Arial Narrow" w:hAnsi="Arial Narrow"/>
                <w:sz w:val="15"/>
                <w:szCs w:val="15"/>
              </w:rPr>
            </w:pPr>
          </w:p>
        </w:tc>
        <w:tc>
          <w:tcPr>
            <w:tcW w:w="152" w:type="pct"/>
            <w:vAlign w:val="center"/>
          </w:tcPr>
          <w:p w14:paraId="5CECFD0C" w14:textId="77777777" w:rsidR="002D0AE7" w:rsidRDefault="002D0AE7">
            <w:pPr>
              <w:jc w:val="right"/>
              <w:rPr>
                <w:rFonts w:ascii="Arial Narrow" w:hAnsi="Arial Narrow"/>
                <w:sz w:val="15"/>
                <w:szCs w:val="15"/>
              </w:rPr>
            </w:pPr>
          </w:p>
        </w:tc>
        <w:tc>
          <w:tcPr>
            <w:tcW w:w="391" w:type="pct"/>
            <w:vAlign w:val="center"/>
          </w:tcPr>
          <w:p w14:paraId="0AB4AEAC" w14:textId="77777777" w:rsidR="002D0AE7" w:rsidRDefault="002D0AE7">
            <w:pPr>
              <w:jc w:val="right"/>
              <w:rPr>
                <w:rFonts w:ascii="Arial Narrow" w:hAnsi="Arial Narrow"/>
                <w:sz w:val="15"/>
                <w:szCs w:val="15"/>
              </w:rPr>
            </w:pPr>
          </w:p>
        </w:tc>
        <w:tc>
          <w:tcPr>
            <w:tcW w:w="152" w:type="pct"/>
            <w:vAlign w:val="center"/>
          </w:tcPr>
          <w:p w14:paraId="509DB2E2" w14:textId="77777777" w:rsidR="002D0AE7" w:rsidRDefault="002D0AE7">
            <w:pPr>
              <w:jc w:val="right"/>
              <w:rPr>
                <w:rFonts w:ascii="Arial Narrow" w:hAnsi="Arial Narrow"/>
                <w:sz w:val="15"/>
                <w:szCs w:val="15"/>
              </w:rPr>
            </w:pPr>
          </w:p>
        </w:tc>
        <w:tc>
          <w:tcPr>
            <w:tcW w:w="391" w:type="pct"/>
            <w:vAlign w:val="center"/>
          </w:tcPr>
          <w:p w14:paraId="4CE45CFF" w14:textId="77777777" w:rsidR="002D0AE7" w:rsidRDefault="002D0AE7">
            <w:pPr>
              <w:jc w:val="right"/>
              <w:rPr>
                <w:rFonts w:ascii="Arial Narrow" w:hAnsi="Arial Narrow"/>
                <w:sz w:val="15"/>
                <w:szCs w:val="15"/>
              </w:rPr>
            </w:pPr>
          </w:p>
        </w:tc>
        <w:tc>
          <w:tcPr>
            <w:tcW w:w="357" w:type="pct"/>
            <w:vAlign w:val="center"/>
          </w:tcPr>
          <w:p w14:paraId="6FD074C1" w14:textId="77777777" w:rsidR="002D0AE7" w:rsidRDefault="002D0AE7">
            <w:pPr>
              <w:jc w:val="right"/>
              <w:rPr>
                <w:rFonts w:ascii="Arial Narrow" w:hAnsi="Arial Narrow"/>
                <w:sz w:val="15"/>
                <w:szCs w:val="15"/>
              </w:rPr>
            </w:pPr>
          </w:p>
        </w:tc>
        <w:tc>
          <w:tcPr>
            <w:tcW w:w="391" w:type="pct"/>
            <w:vAlign w:val="center"/>
          </w:tcPr>
          <w:p w14:paraId="2B1C1350" w14:textId="77777777" w:rsidR="002D0AE7" w:rsidRDefault="002D0AE7">
            <w:pPr>
              <w:jc w:val="right"/>
              <w:rPr>
                <w:rFonts w:ascii="Arial Narrow" w:hAnsi="Arial Narrow"/>
                <w:sz w:val="15"/>
                <w:szCs w:val="15"/>
              </w:rPr>
            </w:pPr>
          </w:p>
        </w:tc>
      </w:tr>
      <w:tr w:rsidR="002D0AE7" w14:paraId="58E1D892" w14:textId="77777777">
        <w:trPr>
          <w:jc w:val="center"/>
        </w:trPr>
        <w:tc>
          <w:tcPr>
            <w:tcW w:w="602" w:type="pct"/>
            <w:vAlign w:val="center"/>
          </w:tcPr>
          <w:p w14:paraId="635B94F8" w14:textId="77777777" w:rsidR="002D0AE7" w:rsidRDefault="00333EBB">
            <w:pPr>
              <w:rPr>
                <w:rFonts w:hint="eastAsia"/>
                <w:color w:val="000000" w:themeColor="text1"/>
                <w:sz w:val="18"/>
                <w:szCs w:val="18"/>
              </w:rPr>
            </w:pPr>
            <w:r>
              <w:rPr>
                <w:color w:val="000000" w:themeColor="text1"/>
                <w:sz w:val="18"/>
                <w:szCs w:val="18"/>
              </w:rPr>
              <w:t>（</w:t>
            </w:r>
            <w:r>
              <w:rPr>
                <w:rFonts w:hint="eastAsia"/>
                <w:color w:val="000000" w:themeColor="text1"/>
                <w:sz w:val="18"/>
                <w:szCs w:val="18"/>
              </w:rPr>
              <w:t>四</w:t>
            </w:r>
            <w:r>
              <w:rPr>
                <w:color w:val="000000" w:themeColor="text1"/>
                <w:sz w:val="18"/>
                <w:szCs w:val="18"/>
              </w:rPr>
              <w:t>）所有者权益内部结转</w:t>
            </w:r>
          </w:p>
        </w:tc>
        <w:tc>
          <w:tcPr>
            <w:tcW w:w="394" w:type="pct"/>
            <w:vAlign w:val="center"/>
          </w:tcPr>
          <w:p w14:paraId="4B6EC755" w14:textId="77777777" w:rsidR="002D0AE7" w:rsidRDefault="002D0AE7">
            <w:pPr>
              <w:jc w:val="right"/>
              <w:rPr>
                <w:rFonts w:ascii="Arial Narrow" w:hAnsi="Arial Narrow"/>
                <w:sz w:val="15"/>
                <w:szCs w:val="15"/>
              </w:rPr>
            </w:pPr>
          </w:p>
        </w:tc>
        <w:tc>
          <w:tcPr>
            <w:tcW w:w="152" w:type="pct"/>
            <w:vAlign w:val="center"/>
          </w:tcPr>
          <w:p w14:paraId="73E1EE87" w14:textId="77777777" w:rsidR="002D0AE7" w:rsidRDefault="002D0AE7">
            <w:pPr>
              <w:jc w:val="right"/>
              <w:rPr>
                <w:rFonts w:ascii="Arial Narrow" w:hAnsi="Arial Narrow"/>
                <w:sz w:val="15"/>
                <w:szCs w:val="15"/>
              </w:rPr>
            </w:pPr>
          </w:p>
        </w:tc>
        <w:tc>
          <w:tcPr>
            <w:tcW w:w="152" w:type="pct"/>
            <w:vAlign w:val="center"/>
          </w:tcPr>
          <w:p w14:paraId="3D88AB67" w14:textId="77777777" w:rsidR="002D0AE7" w:rsidRDefault="002D0AE7">
            <w:pPr>
              <w:jc w:val="right"/>
              <w:rPr>
                <w:rFonts w:ascii="Arial Narrow" w:hAnsi="Arial Narrow"/>
                <w:sz w:val="15"/>
                <w:szCs w:val="15"/>
              </w:rPr>
            </w:pPr>
          </w:p>
        </w:tc>
        <w:tc>
          <w:tcPr>
            <w:tcW w:w="152" w:type="pct"/>
            <w:vAlign w:val="center"/>
          </w:tcPr>
          <w:p w14:paraId="3F2459B9" w14:textId="77777777" w:rsidR="002D0AE7" w:rsidRDefault="002D0AE7">
            <w:pPr>
              <w:jc w:val="right"/>
              <w:rPr>
                <w:rFonts w:ascii="Arial Narrow" w:hAnsi="Arial Narrow"/>
                <w:sz w:val="15"/>
                <w:szCs w:val="15"/>
              </w:rPr>
            </w:pPr>
          </w:p>
        </w:tc>
        <w:tc>
          <w:tcPr>
            <w:tcW w:w="357" w:type="pct"/>
            <w:vAlign w:val="center"/>
          </w:tcPr>
          <w:p w14:paraId="7092D6BC" w14:textId="77777777" w:rsidR="002D0AE7" w:rsidRDefault="002D0AE7">
            <w:pPr>
              <w:jc w:val="right"/>
              <w:rPr>
                <w:rFonts w:ascii="Arial Narrow" w:hAnsi="Arial Narrow"/>
                <w:sz w:val="15"/>
                <w:szCs w:val="15"/>
              </w:rPr>
            </w:pPr>
          </w:p>
        </w:tc>
        <w:tc>
          <w:tcPr>
            <w:tcW w:w="334" w:type="pct"/>
            <w:vAlign w:val="center"/>
          </w:tcPr>
          <w:p w14:paraId="4C44E3E8" w14:textId="77777777" w:rsidR="002D0AE7" w:rsidRDefault="002D0AE7">
            <w:pPr>
              <w:jc w:val="right"/>
              <w:rPr>
                <w:rFonts w:ascii="Arial Narrow" w:hAnsi="Arial Narrow"/>
                <w:sz w:val="15"/>
                <w:szCs w:val="15"/>
              </w:rPr>
            </w:pPr>
          </w:p>
        </w:tc>
        <w:tc>
          <w:tcPr>
            <w:tcW w:w="357" w:type="pct"/>
            <w:vAlign w:val="center"/>
          </w:tcPr>
          <w:p w14:paraId="09E80DA2" w14:textId="77777777" w:rsidR="002D0AE7" w:rsidRDefault="002D0AE7">
            <w:pPr>
              <w:jc w:val="right"/>
              <w:rPr>
                <w:rFonts w:ascii="Arial Narrow" w:hAnsi="Arial Narrow"/>
                <w:sz w:val="15"/>
                <w:szCs w:val="15"/>
              </w:rPr>
            </w:pPr>
          </w:p>
        </w:tc>
        <w:tc>
          <w:tcPr>
            <w:tcW w:w="311" w:type="pct"/>
            <w:vAlign w:val="center"/>
          </w:tcPr>
          <w:p w14:paraId="265FA4DE" w14:textId="77777777" w:rsidR="002D0AE7" w:rsidRDefault="002D0AE7">
            <w:pPr>
              <w:jc w:val="right"/>
              <w:rPr>
                <w:rFonts w:ascii="Arial Narrow" w:hAnsi="Arial Narrow"/>
                <w:sz w:val="15"/>
                <w:szCs w:val="15"/>
              </w:rPr>
            </w:pPr>
          </w:p>
        </w:tc>
        <w:tc>
          <w:tcPr>
            <w:tcW w:w="357" w:type="pct"/>
            <w:vAlign w:val="center"/>
          </w:tcPr>
          <w:p w14:paraId="3E44A826" w14:textId="77777777" w:rsidR="002D0AE7" w:rsidRDefault="002D0AE7">
            <w:pPr>
              <w:jc w:val="right"/>
              <w:rPr>
                <w:rFonts w:ascii="Arial Narrow" w:hAnsi="Arial Narrow"/>
                <w:sz w:val="15"/>
                <w:szCs w:val="15"/>
              </w:rPr>
            </w:pPr>
          </w:p>
        </w:tc>
        <w:tc>
          <w:tcPr>
            <w:tcW w:w="152" w:type="pct"/>
            <w:vAlign w:val="center"/>
          </w:tcPr>
          <w:p w14:paraId="6AF388ED" w14:textId="77777777" w:rsidR="002D0AE7" w:rsidRDefault="002D0AE7">
            <w:pPr>
              <w:jc w:val="right"/>
              <w:rPr>
                <w:rFonts w:ascii="Arial Narrow" w:hAnsi="Arial Narrow"/>
                <w:sz w:val="15"/>
                <w:szCs w:val="15"/>
              </w:rPr>
            </w:pPr>
          </w:p>
        </w:tc>
        <w:tc>
          <w:tcPr>
            <w:tcW w:w="391" w:type="pct"/>
            <w:vAlign w:val="center"/>
          </w:tcPr>
          <w:p w14:paraId="1BD8E51C" w14:textId="77777777" w:rsidR="002D0AE7" w:rsidRDefault="002D0AE7">
            <w:pPr>
              <w:jc w:val="right"/>
              <w:rPr>
                <w:rFonts w:ascii="Arial Narrow" w:hAnsi="Arial Narrow"/>
                <w:sz w:val="15"/>
                <w:szCs w:val="15"/>
              </w:rPr>
            </w:pPr>
          </w:p>
        </w:tc>
        <w:tc>
          <w:tcPr>
            <w:tcW w:w="152" w:type="pct"/>
            <w:vAlign w:val="center"/>
          </w:tcPr>
          <w:p w14:paraId="6ADA2422" w14:textId="77777777" w:rsidR="002D0AE7" w:rsidRDefault="002D0AE7">
            <w:pPr>
              <w:jc w:val="right"/>
              <w:rPr>
                <w:rFonts w:ascii="Arial Narrow" w:hAnsi="Arial Narrow"/>
                <w:sz w:val="15"/>
                <w:szCs w:val="15"/>
              </w:rPr>
            </w:pPr>
          </w:p>
        </w:tc>
        <w:tc>
          <w:tcPr>
            <w:tcW w:w="391" w:type="pct"/>
            <w:vAlign w:val="center"/>
          </w:tcPr>
          <w:p w14:paraId="4DA918B3" w14:textId="77777777" w:rsidR="002D0AE7" w:rsidRDefault="002D0AE7">
            <w:pPr>
              <w:jc w:val="right"/>
              <w:rPr>
                <w:rFonts w:ascii="Arial Narrow" w:hAnsi="Arial Narrow"/>
                <w:sz w:val="15"/>
                <w:szCs w:val="15"/>
              </w:rPr>
            </w:pPr>
          </w:p>
        </w:tc>
        <w:tc>
          <w:tcPr>
            <w:tcW w:w="357" w:type="pct"/>
            <w:vAlign w:val="center"/>
          </w:tcPr>
          <w:p w14:paraId="6B2557AD" w14:textId="77777777" w:rsidR="002D0AE7" w:rsidRDefault="002D0AE7">
            <w:pPr>
              <w:jc w:val="right"/>
              <w:rPr>
                <w:rFonts w:ascii="Arial Narrow" w:hAnsi="Arial Narrow"/>
                <w:sz w:val="15"/>
                <w:szCs w:val="15"/>
              </w:rPr>
            </w:pPr>
          </w:p>
        </w:tc>
        <w:tc>
          <w:tcPr>
            <w:tcW w:w="391" w:type="pct"/>
            <w:vAlign w:val="center"/>
          </w:tcPr>
          <w:p w14:paraId="12A18116" w14:textId="77777777" w:rsidR="002D0AE7" w:rsidRDefault="002D0AE7">
            <w:pPr>
              <w:jc w:val="right"/>
              <w:rPr>
                <w:rFonts w:ascii="Arial Narrow" w:hAnsi="Arial Narrow"/>
                <w:sz w:val="15"/>
                <w:szCs w:val="15"/>
              </w:rPr>
            </w:pPr>
          </w:p>
        </w:tc>
      </w:tr>
      <w:tr w:rsidR="002D0AE7" w14:paraId="38CDB43F" w14:textId="77777777">
        <w:trPr>
          <w:jc w:val="center"/>
        </w:trPr>
        <w:tc>
          <w:tcPr>
            <w:tcW w:w="602" w:type="pct"/>
            <w:vAlign w:val="center"/>
          </w:tcPr>
          <w:p w14:paraId="6B3E3FFD" w14:textId="77777777" w:rsidR="002D0AE7" w:rsidRDefault="00333EBB">
            <w:pPr>
              <w:rPr>
                <w:rFonts w:hint="eastAsia"/>
                <w:color w:val="000000" w:themeColor="text1"/>
                <w:sz w:val="18"/>
                <w:szCs w:val="18"/>
              </w:rPr>
            </w:pPr>
            <w:r>
              <w:rPr>
                <w:color w:val="000000" w:themeColor="text1"/>
                <w:sz w:val="18"/>
                <w:szCs w:val="18"/>
              </w:rPr>
              <w:t>1</w:t>
            </w:r>
            <w:r>
              <w:rPr>
                <w:color w:val="000000" w:themeColor="text1"/>
                <w:sz w:val="18"/>
                <w:szCs w:val="18"/>
              </w:rPr>
              <w:t>．资本公积转增资本（或股本）</w:t>
            </w:r>
          </w:p>
        </w:tc>
        <w:tc>
          <w:tcPr>
            <w:tcW w:w="394" w:type="pct"/>
            <w:vAlign w:val="center"/>
          </w:tcPr>
          <w:p w14:paraId="4E29BCC7" w14:textId="77777777" w:rsidR="002D0AE7" w:rsidRDefault="002D0AE7">
            <w:pPr>
              <w:jc w:val="right"/>
              <w:rPr>
                <w:rFonts w:ascii="Arial Narrow" w:hAnsi="Arial Narrow"/>
                <w:sz w:val="15"/>
                <w:szCs w:val="15"/>
              </w:rPr>
            </w:pPr>
          </w:p>
        </w:tc>
        <w:tc>
          <w:tcPr>
            <w:tcW w:w="152" w:type="pct"/>
            <w:vAlign w:val="center"/>
          </w:tcPr>
          <w:p w14:paraId="323BFF7A" w14:textId="77777777" w:rsidR="002D0AE7" w:rsidRDefault="002D0AE7">
            <w:pPr>
              <w:jc w:val="right"/>
              <w:rPr>
                <w:rFonts w:ascii="Arial Narrow" w:hAnsi="Arial Narrow"/>
                <w:sz w:val="15"/>
                <w:szCs w:val="15"/>
              </w:rPr>
            </w:pPr>
          </w:p>
        </w:tc>
        <w:tc>
          <w:tcPr>
            <w:tcW w:w="152" w:type="pct"/>
            <w:vAlign w:val="center"/>
          </w:tcPr>
          <w:p w14:paraId="42C4B55A" w14:textId="77777777" w:rsidR="002D0AE7" w:rsidRDefault="002D0AE7">
            <w:pPr>
              <w:jc w:val="right"/>
              <w:rPr>
                <w:rFonts w:ascii="Arial Narrow" w:hAnsi="Arial Narrow"/>
                <w:sz w:val="15"/>
                <w:szCs w:val="15"/>
              </w:rPr>
            </w:pPr>
          </w:p>
        </w:tc>
        <w:tc>
          <w:tcPr>
            <w:tcW w:w="152" w:type="pct"/>
            <w:vAlign w:val="center"/>
          </w:tcPr>
          <w:p w14:paraId="0F6E02DB" w14:textId="77777777" w:rsidR="002D0AE7" w:rsidRDefault="002D0AE7">
            <w:pPr>
              <w:jc w:val="right"/>
              <w:rPr>
                <w:rFonts w:ascii="Arial Narrow" w:hAnsi="Arial Narrow"/>
                <w:sz w:val="15"/>
                <w:szCs w:val="15"/>
              </w:rPr>
            </w:pPr>
          </w:p>
        </w:tc>
        <w:tc>
          <w:tcPr>
            <w:tcW w:w="357" w:type="pct"/>
            <w:vAlign w:val="center"/>
          </w:tcPr>
          <w:p w14:paraId="0A705824" w14:textId="77777777" w:rsidR="002D0AE7" w:rsidRDefault="002D0AE7">
            <w:pPr>
              <w:jc w:val="right"/>
              <w:rPr>
                <w:rFonts w:ascii="Arial Narrow" w:hAnsi="Arial Narrow"/>
                <w:sz w:val="15"/>
                <w:szCs w:val="15"/>
              </w:rPr>
            </w:pPr>
          </w:p>
        </w:tc>
        <w:tc>
          <w:tcPr>
            <w:tcW w:w="334" w:type="pct"/>
            <w:vAlign w:val="center"/>
          </w:tcPr>
          <w:p w14:paraId="12F2029F" w14:textId="77777777" w:rsidR="002D0AE7" w:rsidRDefault="002D0AE7">
            <w:pPr>
              <w:jc w:val="right"/>
              <w:rPr>
                <w:rFonts w:ascii="Arial Narrow" w:hAnsi="Arial Narrow"/>
                <w:sz w:val="15"/>
                <w:szCs w:val="15"/>
              </w:rPr>
            </w:pPr>
          </w:p>
        </w:tc>
        <w:tc>
          <w:tcPr>
            <w:tcW w:w="357" w:type="pct"/>
            <w:vAlign w:val="center"/>
          </w:tcPr>
          <w:p w14:paraId="695B414F" w14:textId="77777777" w:rsidR="002D0AE7" w:rsidRDefault="002D0AE7">
            <w:pPr>
              <w:jc w:val="right"/>
              <w:rPr>
                <w:rFonts w:ascii="Arial Narrow" w:hAnsi="Arial Narrow"/>
                <w:sz w:val="15"/>
                <w:szCs w:val="15"/>
              </w:rPr>
            </w:pPr>
          </w:p>
        </w:tc>
        <w:tc>
          <w:tcPr>
            <w:tcW w:w="311" w:type="pct"/>
            <w:vAlign w:val="center"/>
          </w:tcPr>
          <w:p w14:paraId="6CE572B3" w14:textId="77777777" w:rsidR="002D0AE7" w:rsidRDefault="002D0AE7">
            <w:pPr>
              <w:jc w:val="right"/>
              <w:rPr>
                <w:rFonts w:ascii="Arial Narrow" w:hAnsi="Arial Narrow"/>
                <w:sz w:val="15"/>
                <w:szCs w:val="15"/>
              </w:rPr>
            </w:pPr>
          </w:p>
        </w:tc>
        <w:tc>
          <w:tcPr>
            <w:tcW w:w="357" w:type="pct"/>
            <w:vAlign w:val="center"/>
          </w:tcPr>
          <w:p w14:paraId="396E38A9" w14:textId="77777777" w:rsidR="002D0AE7" w:rsidRDefault="002D0AE7">
            <w:pPr>
              <w:jc w:val="right"/>
              <w:rPr>
                <w:rFonts w:ascii="Arial Narrow" w:hAnsi="Arial Narrow"/>
                <w:sz w:val="15"/>
                <w:szCs w:val="15"/>
              </w:rPr>
            </w:pPr>
          </w:p>
        </w:tc>
        <w:tc>
          <w:tcPr>
            <w:tcW w:w="152" w:type="pct"/>
            <w:vAlign w:val="center"/>
          </w:tcPr>
          <w:p w14:paraId="54807A25" w14:textId="77777777" w:rsidR="002D0AE7" w:rsidRDefault="002D0AE7">
            <w:pPr>
              <w:jc w:val="right"/>
              <w:rPr>
                <w:rFonts w:ascii="Arial Narrow" w:hAnsi="Arial Narrow"/>
                <w:sz w:val="15"/>
                <w:szCs w:val="15"/>
              </w:rPr>
            </w:pPr>
          </w:p>
        </w:tc>
        <w:tc>
          <w:tcPr>
            <w:tcW w:w="391" w:type="pct"/>
            <w:vAlign w:val="center"/>
          </w:tcPr>
          <w:p w14:paraId="5FDAB39B" w14:textId="77777777" w:rsidR="002D0AE7" w:rsidRDefault="002D0AE7">
            <w:pPr>
              <w:jc w:val="right"/>
              <w:rPr>
                <w:rFonts w:ascii="Arial Narrow" w:hAnsi="Arial Narrow"/>
                <w:sz w:val="15"/>
                <w:szCs w:val="15"/>
              </w:rPr>
            </w:pPr>
          </w:p>
        </w:tc>
        <w:tc>
          <w:tcPr>
            <w:tcW w:w="152" w:type="pct"/>
            <w:vAlign w:val="center"/>
          </w:tcPr>
          <w:p w14:paraId="64293D2A" w14:textId="77777777" w:rsidR="002D0AE7" w:rsidRDefault="002D0AE7">
            <w:pPr>
              <w:jc w:val="right"/>
              <w:rPr>
                <w:rFonts w:ascii="Arial Narrow" w:hAnsi="Arial Narrow"/>
                <w:sz w:val="15"/>
                <w:szCs w:val="15"/>
              </w:rPr>
            </w:pPr>
          </w:p>
        </w:tc>
        <w:tc>
          <w:tcPr>
            <w:tcW w:w="391" w:type="pct"/>
            <w:vAlign w:val="center"/>
          </w:tcPr>
          <w:p w14:paraId="1D1C57C4" w14:textId="77777777" w:rsidR="002D0AE7" w:rsidRDefault="002D0AE7">
            <w:pPr>
              <w:jc w:val="right"/>
              <w:rPr>
                <w:rFonts w:ascii="Arial Narrow" w:hAnsi="Arial Narrow"/>
                <w:sz w:val="15"/>
                <w:szCs w:val="15"/>
              </w:rPr>
            </w:pPr>
          </w:p>
        </w:tc>
        <w:tc>
          <w:tcPr>
            <w:tcW w:w="357" w:type="pct"/>
            <w:vAlign w:val="center"/>
          </w:tcPr>
          <w:p w14:paraId="635FB612" w14:textId="77777777" w:rsidR="002D0AE7" w:rsidRDefault="002D0AE7">
            <w:pPr>
              <w:jc w:val="right"/>
              <w:rPr>
                <w:rFonts w:ascii="Arial Narrow" w:hAnsi="Arial Narrow"/>
                <w:sz w:val="15"/>
                <w:szCs w:val="15"/>
              </w:rPr>
            </w:pPr>
          </w:p>
        </w:tc>
        <w:tc>
          <w:tcPr>
            <w:tcW w:w="391" w:type="pct"/>
            <w:vAlign w:val="center"/>
          </w:tcPr>
          <w:p w14:paraId="69D8AF65" w14:textId="77777777" w:rsidR="002D0AE7" w:rsidRDefault="002D0AE7">
            <w:pPr>
              <w:jc w:val="right"/>
              <w:rPr>
                <w:rFonts w:ascii="Arial Narrow" w:hAnsi="Arial Narrow"/>
                <w:sz w:val="15"/>
                <w:szCs w:val="15"/>
              </w:rPr>
            </w:pPr>
          </w:p>
        </w:tc>
      </w:tr>
      <w:tr w:rsidR="002D0AE7" w14:paraId="3DFD3796" w14:textId="77777777">
        <w:trPr>
          <w:jc w:val="center"/>
        </w:trPr>
        <w:tc>
          <w:tcPr>
            <w:tcW w:w="602" w:type="pct"/>
            <w:vAlign w:val="center"/>
          </w:tcPr>
          <w:p w14:paraId="4688A6B5" w14:textId="77777777" w:rsidR="002D0AE7" w:rsidRDefault="00333EBB">
            <w:pPr>
              <w:rPr>
                <w:rFonts w:hint="eastAsia"/>
                <w:color w:val="000000" w:themeColor="text1"/>
                <w:sz w:val="18"/>
                <w:szCs w:val="18"/>
              </w:rPr>
            </w:pPr>
            <w:r>
              <w:rPr>
                <w:color w:val="000000" w:themeColor="text1"/>
                <w:sz w:val="18"/>
                <w:szCs w:val="18"/>
              </w:rPr>
              <w:t>2</w:t>
            </w:r>
            <w:r>
              <w:rPr>
                <w:color w:val="000000" w:themeColor="text1"/>
                <w:sz w:val="18"/>
                <w:szCs w:val="18"/>
              </w:rPr>
              <w:t>．盈余公积转增资本（或股本）</w:t>
            </w:r>
          </w:p>
        </w:tc>
        <w:tc>
          <w:tcPr>
            <w:tcW w:w="394" w:type="pct"/>
            <w:vAlign w:val="center"/>
          </w:tcPr>
          <w:p w14:paraId="03705516" w14:textId="77777777" w:rsidR="002D0AE7" w:rsidRDefault="002D0AE7">
            <w:pPr>
              <w:jc w:val="right"/>
              <w:rPr>
                <w:rFonts w:ascii="Arial Narrow" w:hAnsi="Arial Narrow"/>
                <w:sz w:val="15"/>
                <w:szCs w:val="15"/>
              </w:rPr>
            </w:pPr>
          </w:p>
        </w:tc>
        <w:tc>
          <w:tcPr>
            <w:tcW w:w="152" w:type="pct"/>
            <w:vAlign w:val="center"/>
          </w:tcPr>
          <w:p w14:paraId="077CCC9E" w14:textId="77777777" w:rsidR="002D0AE7" w:rsidRDefault="002D0AE7">
            <w:pPr>
              <w:jc w:val="right"/>
              <w:rPr>
                <w:rFonts w:ascii="Arial Narrow" w:hAnsi="Arial Narrow"/>
                <w:sz w:val="15"/>
                <w:szCs w:val="15"/>
              </w:rPr>
            </w:pPr>
          </w:p>
        </w:tc>
        <w:tc>
          <w:tcPr>
            <w:tcW w:w="152" w:type="pct"/>
            <w:vAlign w:val="center"/>
          </w:tcPr>
          <w:p w14:paraId="59C26F89" w14:textId="77777777" w:rsidR="002D0AE7" w:rsidRDefault="002D0AE7">
            <w:pPr>
              <w:jc w:val="right"/>
              <w:rPr>
                <w:rFonts w:ascii="Arial Narrow" w:hAnsi="Arial Narrow"/>
                <w:sz w:val="15"/>
                <w:szCs w:val="15"/>
              </w:rPr>
            </w:pPr>
          </w:p>
        </w:tc>
        <w:tc>
          <w:tcPr>
            <w:tcW w:w="152" w:type="pct"/>
            <w:vAlign w:val="center"/>
          </w:tcPr>
          <w:p w14:paraId="133DC612" w14:textId="77777777" w:rsidR="002D0AE7" w:rsidRDefault="002D0AE7">
            <w:pPr>
              <w:jc w:val="right"/>
              <w:rPr>
                <w:rFonts w:ascii="Arial Narrow" w:hAnsi="Arial Narrow"/>
                <w:sz w:val="15"/>
                <w:szCs w:val="15"/>
              </w:rPr>
            </w:pPr>
          </w:p>
        </w:tc>
        <w:tc>
          <w:tcPr>
            <w:tcW w:w="357" w:type="pct"/>
            <w:vAlign w:val="center"/>
          </w:tcPr>
          <w:p w14:paraId="43E45836" w14:textId="77777777" w:rsidR="002D0AE7" w:rsidRDefault="002D0AE7">
            <w:pPr>
              <w:jc w:val="right"/>
              <w:rPr>
                <w:rFonts w:ascii="Arial Narrow" w:hAnsi="Arial Narrow"/>
                <w:sz w:val="15"/>
                <w:szCs w:val="15"/>
              </w:rPr>
            </w:pPr>
          </w:p>
        </w:tc>
        <w:tc>
          <w:tcPr>
            <w:tcW w:w="334" w:type="pct"/>
            <w:vAlign w:val="center"/>
          </w:tcPr>
          <w:p w14:paraId="2A18E7E2" w14:textId="77777777" w:rsidR="002D0AE7" w:rsidRDefault="002D0AE7">
            <w:pPr>
              <w:jc w:val="right"/>
              <w:rPr>
                <w:rFonts w:ascii="Arial Narrow" w:hAnsi="Arial Narrow"/>
                <w:sz w:val="15"/>
                <w:szCs w:val="15"/>
              </w:rPr>
            </w:pPr>
          </w:p>
        </w:tc>
        <w:tc>
          <w:tcPr>
            <w:tcW w:w="357" w:type="pct"/>
            <w:vAlign w:val="center"/>
          </w:tcPr>
          <w:p w14:paraId="1884A1E5" w14:textId="77777777" w:rsidR="002D0AE7" w:rsidRDefault="002D0AE7">
            <w:pPr>
              <w:jc w:val="right"/>
              <w:rPr>
                <w:rFonts w:ascii="Arial Narrow" w:hAnsi="Arial Narrow"/>
                <w:sz w:val="15"/>
                <w:szCs w:val="15"/>
              </w:rPr>
            </w:pPr>
          </w:p>
        </w:tc>
        <w:tc>
          <w:tcPr>
            <w:tcW w:w="311" w:type="pct"/>
            <w:vAlign w:val="center"/>
          </w:tcPr>
          <w:p w14:paraId="33438B09" w14:textId="77777777" w:rsidR="002D0AE7" w:rsidRDefault="002D0AE7">
            <w:pPr>
              <w:jc w:val="right"/>
              <w:rPr>
                <w:rFonts w:ascii="Arial Narrow" w:hAnsi="Arial Narrow"/>
                <w:sz w:val="15"/>
                <w:szCs w:val="15"/>
              </w:rPr>
            </w:pPr>
          </w:p>
        </w:tc>
        <w:tc>
          <w:tcPr>
            <w:tcW w:w="357" w:type="pct"/>
            <w:vAlign w:val="center"/>
          </w:tcPr>
          <w:p w14:paraId="41399EA1" w14:textId="77777777" w:rsidR="002D0AE7" w:rsidRDefault="002D0AE7">
            <w:pPr>
              <w:jc w:val="right"/>
              <w:rPr>
                <w:rFonts w:ascii="Arial Narrow" w:hAnsi="Arial Narrow"/>
                <w:sz w:val="15"/>
                <w:szCs w:val="15"/>
              </w:rPr>
            </w:pPr>
          </w:p>
        </w:tc>
        <w:tc>
          <w:tcPr>
            <w:tcW w:w="152" w:type="pct"/>
            <w:vAlign w:val="center"/>
          </w:tcPr>
          <w:p w14:paraId="5A874F78" w14:textId="77777777" w:rsidR="002D0AE7" w:rsidRDefault="002D0AE7">
            <w:pPr>
              <w:jc w:val="right"/>
              <w:rPr>
                <w:rFonts w:ascii="Arial Narrow" w:hAnsi="Arial Narrow"/>
                <w:sz w:val="15"/>
                <w:szCs w:val="15"/>
              </w:rPr>
            </w:pPr>
          </w:p>
        </w:tc>
        <w:tc>
          <w:tcPr>
            <w:tcW w:w="391" w:type="pct"/>
            <w:vAlign w:val="center"/>
          </w:tcPr>
          <w:p w14:paraId="1400854A" w14:textId="77777777" w:rsidR="002D0AE7" w:rsidRDefault="002D0AE7">
            <w:pPr>
              <w:jc w:val="right"/>
              <w:rPr>
                <w:rFonts w:ascii="Arial Narrow" w:hAnsi="Arial Narrow"/>
                <w:sz w:val="15"/>
                <w:szCs w:val="15"/>
              </w:rPr>
            </w:pPr>
          </w:p>
        </w:tc>
        <w:tc>
          <w:tcPr>
            <w:tcW w:w="152" w:type="pct"/>
            <w:vAlign w:val="center"/>
          </w:tcPr>
          <w:p w14:paraId="7306216D" w14:textId="77777777" w:rsidR="002D0AE7" w:rsidRDefault="002D0AE7">
            <w:pPr>
              <w:jc w:val="right"/>
              <w:rPr>
                <w:rFonts w:ascii="Arial Narrow" w:hAnsi="Arial Narrow"/>
                <w:sz w:val="15"/>
                <w:szCs w:val="15"/>
              </w:rPr>
            </w:pPr>
          </w:p>
        </w:tc>
        <w:tc>
          <w:tcPr>
            <w:tcW w:w="391" w:type="pct"/>
            <w:vAlign w:val="center"/>
          </w:tcPr>
          <w:p w14:paraId="4D3D3F9E" w14:textId="77777777" w:rsidR="002D0AE7" w:rsidRDefault="002D0AE7">
            <w:pPr>
              <w:jc w:val="right"/>
              <w:rPr>
                <w:rFonts w:ascii="Arial Narrow" w:hAnsi="Arial Narrow"/>
                <w:sz w:val="15"/>
                <w:szCs w:val="15"/>
              </w:rPr>
            </w:pPr>
          </w:p>
        </w:tc>
        <w:tc>
          <w:tcPr>
            <w:tcW w:w="357" w:type="pct"/>
            <w:vAlign w:val="center"/>
          </w:tcPr>
          <w:p w14:paraId="41BE7554" w14:textId="77777777" w:rsidR="002D0AE7" w:rsidRDefault="002D0AE7">
            <w:pPr>
              <w:jc w:val="right"/>
              <w:rPr>
                <w:rFonts w:ascii="Arial Narrow" w:hAnsi="Arial Narrow"/>
                <w:sz w:val="15"/>
                <w:szCs w:val="15"/>
              </w:rPr>
            </w:pPr>
          </w:p>
        </w:tc>
        <w:tc>
          <w:tcPr>
            <w:tcW w:w="391" w:type="pct"/>
            <w:vAlign w:val="center"/>
          </w:tcPr>
          <w:p w14:paraId="42A7E4B1" w14:textId="77777777" w:rsidR="002D0AE7" w:rsidRDefault="002D0AE7">
            <w:pPr>
              <w:jc w:val="right"/>
              <w:rPr>
                <w:rFonts w:ascii="Arial Narrow" w:hAnsi="Arial Narrow"/>
                <w:sz w:val="15"/>
                <w:szCs w:val="15"/>
              </w:rPr>
            </w:pPr>
          </w:p>
        </w:tc>
      </w:tr>
      <w:tr w:rsidR="002D0AE7" w14:paraId="3961D751" w14:textId="77777777">
        <w:trPr>
          <w:jc w:val="center"/>
        </w:trPr>
        <w:tc>
          <w:tcPr>
            <w:tcW w:w="602" w:type="pct"/>
            <w:vAlign w:val="center"/>
          </w:tcPr>
          <w:p w14:paraId="364A54CD" w14:textId="77777777" w:rsidR="002D0AE7" w:rsidRDefault="00333EBB">
            <w:pPr>
              <w:rPr>
                <w:rFonts w:hint="eastAsia"/>
                <w:color w:val="000000" w:themeColor="text1"/>
                <w:sz w:val="18"/>
                <w:szCs w:val="18"/>
              </w:rPr>
            </w:pPr>
            <w:r>
              <w:rPr>
                <w:color w:val="000000" w:themeColor="text1"/>
                <w:sz w:val="18"/>
                <w:szCs w:val="18"/>
              </w:rPr>
              <w:t>3</w:t>
            </w:r>
            <w:r>
              <w:rPr>
                <w:color w:val="000000" w:themeColor="text1"/>
                <w:sz w:val="18"/>
                <w:szCs w:val="18"/>
              </w:rPr>
              <w:t>．盈余公积弥补亏损</w:t>
            </w:r>
          </w:p>
        </w:tc>
        <w:tc>
          <w:tcPr>
            <w:tcW w:w="394" w:type="pct"/>
            <w:vAlign w:val="center"/>
          </w:tcPr>
          <w:p w14:paraId="5CA4181C" w14:textId="77777777" w:rsidR="002D0AE7" w:rsidRDefault="002D0AE7">
            <w:pPr>
              <w:jc w:val="right"/>
              <w:rPr>
                <w:rFonts w:ascii="Arial Narrow" w:hAnsi="Arial Narrow"/>
                <w:sz w:val="15"/>
                <w:szCs w:val="15"/>
              </w:rPr>
            </w:pPr>
          </w:p>
        </w:tc>
        <w:tc>
          <w:tcPr>
            <w:tcW w:w="152" w:type="pct"/>
            <w:vAlign w:val="center"/>
          </w:tcPr>
          <w:p w14:paraId="1E3DC9A2" w14:textId="77777777" w:rsidR="002D0AE7" w:rsidRDefault="002D0AE7">
            <w:pPr>
              <w:jc w:val="right"/>
              <w:rPr>
                <w:rFonts w:ascii="Arial Narrow" w:hAnsi="Arial Narrow"/>
                <w:sz w:val="15"/>
                <w:szCs w:val="15"/>
              </w:rPr>
            </w:pPr>
          </w:p>
        </w:tc>
        <w:tc>
          <w:tcPr>
            <w:tcW w:w="152" w:type="pct"/>
            <w:vAlign w:val="center"/>
          </w:tcPr>
          <w:p w14:paraId="436D0F10" w14:textId="77777777" w:rsidR="002D0AE7" w:rsidRDefault="002D0AE7">
            <w:pPr>
              <w:jc w:val="right"/>
              <w:rPr>
                <w:rFonts w:ascii="Arial Narrow" w:hAnsi="Arial Narrow"/>
                <w:sz w:val="15"/>
                <w:szCs w:val="15"/>
              </w:rPr>
            </w:pPr>
          </w:p>
        </w:tc>
        <w:tc>
          <w:tcPr>
            <w:tcW w:w="152" w:type="pct"/>
            <w:vAlign w:val="center"/>
          </w:tcPr>
          <w:p w14:paraId="49E7B007" w14:textId="77777777" w:rsidR="002D0AE7" w:rsidRDefault="002D0AE7">
            <w:pPr>
              <w:jc w:val="right"/>
              <w:rPr>
                <w:rFonts w:ascii="Arial Narrow" w:hAnsi="Arial Narrow"/>
                <w:sz w:val="15"/>
                <w:szCs w:val="15"/>
              </w:rPr>
            </w:pPr>
          </w:p>
        </w:tc>
        <w:tc>
          <w:tcPr>
            <w:tcW w:w="357" w:type="pct"/>
            <w:vAlign w:val="center"/>
          </w:tcPr>
          <w:p w14:paraId="5858E6DD" w14:textId="77777777" w:rsidR="002D0AE7" w:rsidRDefault="002D0AE7">
            <w:pPr>
              <w:jc w:val="right"/>
              <w:rPr>
                <w:rFonts w:ascii="Arial Narrow" w:hAnsi="Arial Narrow"/>
                <w:sz w:val="15"/>
                <w:szCs w:val="15"/>
              </w:rPr>
            </w:pPr>
          </w:p>
        </w:tc>
        <w:tc>
          <w:tcPr>
            <w:tcW w:w="334" w:type="pct"/>
            <w:vAlign w:val="center"/>
          </w:tcPr>
          <w:p w14:paraId="659DA2D2" w14:textId="77777777" w:rsidR="002D0AE7" w:rsidRDefault="002D0AE7">
            <w:pPr>
              <w:jc w:val="right"/>
              <w:rPr>
                <w:rFonts w:ascii="Arial Narrow" w:hAnsi="Arial Narrow"/>
                <w:sz w:val="15"/>
                <w:szCs w:val="15"/>
              </w:rPr>
            </w:pPr>
          </w:p>
        </w:tc>
        <w:tc>
          <w:tcPr>
            <w:tcW w:w="357" w:type="pct"/>
            <w:vAlign w:val="center"/>
          </w:tcPr>
          <w:p w14:paraId="6B7C39C3" w14:textId="77777777" w:rsidR="002D0AE7" w:rsidRDefault="002D0AE7">
            <w:pPr>
              <w:jc w:val="right"/>
              <w:rPr>
                <w:rFonts w:ascii="Arial Narrow" w:hAnsi="Arial Narrow"/>
                <w:sz w:val="15"/>
                <w:szCs w:val="15"/>
              </w:rPr>
            </w:pPr>
          </w:p>
        </w:tc>
        <w:tc>
          <w:tcPr>
            <w:tcW w:w="311" w:type="pct"/>
            <w:vAlign w:val="center"/>
          </w:tcPr>
          <w:p w14:paraId="17C0E820" w14:textId="77777777" w:rsidR="002D0AE7" w:rsidRDefault="002D0AE7">
            <w:pPr>
              <w:jc w:val="right"/>
              <w:rPr>
                <w:rFonts w:ascii="Arial Narrow" w:hAnsi="Arial Narrow"/>
                <w:sz w:val="15"/>
                <w:szCs w:val="15"/>
              </w:rPr>
            </w:pPr>
          </w:p>
        </w:tc>
        <w:tc>
          <w:tcPr>
            <w:tcW w:w="357" w:type="pct"/>
            <w:vAlign w:val="center"/>
          </w:tcPr>
          <w:p w14:paraId="5E95D7E2" w14:textId="77777777" w:rsidR="002D0AE7" w:rsidRDefault="002D0AE7">
            <w:pPr>
              <w:jc w:val="right"/>
              <w:rPr>
                <w:rFonts w:ascii="Arial Narrow" w:hAnsi="Arial Narrow"/>
                <w:sz w:val="15"/>
                <w:szCs w:val="15"/>
              </w:rPr>
            </w:pPr>
          </w:p>
        </w:tc>
        <w:tc>
          <w:tcPr>
            <w:tcW w:w="152" w:type="pct"/>
            <w:vAlign w:val="center"/>
          </w:tcPr>
          <w:p w14:paraId="3587E526" w14:textId="77777777" w:rsidR="002D0AE7" w:rsidRDefault="002D0AE7">
            <w:pPr>
              <w:jc w:val="right"/>
              <w:rPr>
                <w:rFonts w:ascii="Arial Narrow" w:hAnsi="Arial Narrow"/>
                <w:sz w:val="15"/>
                <w:szCs w:val="15"/>
              </w:rPr>
            </w:pPr>
          </w:p>
        </w:tc>
        <w:tc>
          <w:tcPr>
            <w:tcW w:w="391" w:type="pct"/>
            <w:vAlign w:val="center"/>
          </w:tcPr>
          <w:p w14:paraId="396EB9CC" w14:textId="77777777" w:rsidR="002D0AE7" w:rsidRDefault="002D0AE7">
            <w:pPr>
              <w:jc w:val="right"/>
              <w:rPr>
                <w:rFonts w:ascii="Arial Narrow" w:hAnsi="Arial Narrow"/>
                <w:sz w:val="15"/>
                <w:szCs w:val="15"/>
              </w:rPr>
            </w:pPr>
          </w:p>
        </w:tc>
        <w:tc>
          <w:tcPr>
            <w:tcW w:w="152" w:type="pct"/>
            <w:vAlign w:val="center"/>
          </w:tcPr>
          <w:p w14:paraId="67DA9C87" w14:textId="77777777" w:rsidR="002D0AE7" w:rsidRDefault="002D0AE7">
            <w:pPr>
              <w:jc w:val="right"/>
              <w:rPr>
                <w:rFonts w:ascii="Arial Narrow" w:hAnsi="Arial Narrow"/>
                <w:sz w:val="15"/>
                <w:szCs w:val="15"/>
              </w:rPr>
            </w:pPr>
          </w:p>
        </w:tc>
        <w:tc>
          <w:tcPr>
            <w:tcW w:w="391" w:type="pct"/>
            <w:vAlign w:val="center"/>
          </w:tcPr>
          <w:p w14:paraId="48B3C394" w14:textId="77777777" w:rsidR="002D0AE7" w:rsidRDefault="002D0AE7">
            <w:pPr>
              <w:jc w:val="right"/>
              <w:rPr>
                <w:rFonts w:ascii="Arial Narrow" w:hAnsi="Arial Narrow"/>
                <w:sz w:val="15"/>
                <w:szCs w:val="15"/>
              </w:rPr>
            </w:pPr>
          </w:p>
        </w:tc>
        <w:tc>
          <w:tcPr>
            <w:tcW w:w="357" w:type="pct"/>
            <w:vAlign w:val="center"/>
          </w:tcPr>
          <w:p w14:paraId="3362EB1E" w14:textId="77777777" w:rsidR="002D0AE7" w:rsidRDefault="002D0AE7">
            <w:pPr>
              <w:jc w:val="right"/>
              <w:rPr>
                <w:rFonts w:ascii="Arial Narrow" w:hAnsi="Arial Narrow"/>
                <w:sz w:val="15"/>
                <w:szCs w:val="15"/>
              </w:rPr>
            </w:pPr>
          </w:p>
        </w:tc>
        <w:tc>
          <w:tcPr>
            <w:tcW w:w="391" w:type="pct"/>
            <w:vAlign w:val="center"/>
          </w:tcPr>
          <w:p w14:paraId="74E2BC61" w14:textId="77777777" w:rsidR="002D0AE7" w:rsidRDefault="002D0AE7">
            <w:pPr>
              <w:jc w:val="right"/>
              <w:rPr>
                <w:rFonts w:ascii="Arial Narrow" w:hAnsi="Arial Narrow"/>
                <w:sz w:val="15"/>
                <w:szCs w:val="15"/>
              </w:rPr>
            </w:pPr>
          </w:p>
        </w:tc>
      </w:tr>
      <w:tr w:rsidR="002D0AE7" w14:paraId="4E9480BD" w14:textId="77777777">
        <w:trPr>
          <w:jc w:val="center"/>
        </w:trPr>
        <w:tc>
          <w:tcPr>
            <w:tcW w:w="602" w:type="pct"/>
            <w:vAlign w:val="center"/>
          </w:tcPr>
          <w:p w14:paraId="798DFE7C" w14:textId="77777777" w:rsidR="002D0AE7" w:rsidRDefault="00333EBB">
            <w:pPr>
              <w:rPr>
                <w:rFonts w:hint="eastAsia"/>
                <w:color w:val="000000" w:themeColor="text1"/>
              </w:rPr>
            </w:pPr>
            <w:r>
              <w:rPr>
                <w:color w:val="000000" w:themeColor="text1"/>
                <w:sz w:val="18"/>
                <w:szCs w:val="18"/>
              </w:rPr>
              <w:t>4</w:t>
            </w:r>
            <w:r>
              <w:rPr>
                <w:color w:val="000000" w:themeColor="text1"/>
                <w:sz w:val="18"/>
                <w:szCs w:val="18"/>
              </w:rPr>
              <w:t>．设定受益计划变动额结转留存收益</w:t>
            </w:r>
          </w:p>
        </w:tc>
        <w:tc>
          <w:tcPr>
            <w:tcW w:w="394" w:type="pct"/>
            <w:vAlign w:val="center"/>
          </w:tcPr>
          <w:p w14:paraId="5768E6DD" w14:textId="77777777" w:rsidR="002D0AE7" w:rsidRDefault="002D0AE7">
            <w:pPr>
              <w:jc w:val="right"/>
              <w:rPr>
                <w:rFonts w:ascii="Arial Narrow" w:hAnsi="Arial Narrow"/>
                <w:sz w:val="15"/>
                <w:szCs w:val="15"/>
              </w:rPr>
            </w:pPr>
          </w:p>
        </w:tc>
        <w:tc>
          <w:tcPr>
            <w:tcW w:w="152" w:type="pct"/>
            <w:vAlign w:val="center"/>
          </w:tcPr>
          <w:p w14:paraId="6E6D8406" w14:textId="77777777" w:rsidR="002D0AE7" w:rsidRDefault="002D0AE7">
            <w:pPr>
              <w:jc w:val="right"/>
              <w:rPr>
                <w:rFonts w:ascii="Arial Narrow" w:hAnsi="Arial Narrow"/>
                <w:sz w:val="15"/>
                <w:szCs w:val="15"/>
              </w:rPr>
            </w:pPr>
          </w:p>
        </w:tc>
        <w:tc>
          <w:tcPr>
            <w:tcW w:w="152" w:type="pct"/>
            <w:vAlign w:val="center"/>
          </w:tcPr>
          <w:p w14:paraId="7A6ECEEA" w14:textId="77777777" w:rsidR="002D0AE7" w:rsidRDefault="002D0AE7">
            <w:pPr>
              <w:jc w:val="right"/>
              <w:rPr>
                <w:rFonts w:ascii="Arial Narrow" w:hAnsi="Arial Narrow"/>
                <w:sz w:val="15"/>
                <w:szCs w:val="15"/>
              </w:rPr>
            </w:pPr>
          </w:p>
        </w:tc>
        <w:tc>
          <w:tcPr>
            <w:tcW w:w="152" w:type="pct"/>
            <w:vAlign w:val="center"/>
          </w:tcPr>
          <w:p w14:paraId="0804E737" w14:textId="77777777" w:rsidR="002D0AE7" w:rsidRDefault="002D0AE7">
            <w:pPr>
              <w:jc w:val="right"/>
              <w:rPr>
                <w:rFonts w:ascii="Arial Narrow" w:hAnsi="Arial Narrow"/>
                <w:sz w:val="15"/>
                <w:szCs w:val="15"/>
              </w:rPr>
            </w:pPr>
          </w:p>
        </w:tc>
        <w:tc>
          <w:tcPr>
            <w:tcW w:w="357" w:type="pct"/>
            <w:vAlign w:val="center"/>
          </w:tcPr>
          <w:p w14:paraId="3F26D45D" w14:textId="77777777" w:rsidR="002D0AE7" w:rsidRDefault="002D0AE7">
            <w:pPr>
              <w:jc w:val="right"/>
              <w:rPr>
                <w:rFonts w:ascii="Arial Narrow" w:hAnsi="Arial Narrow"/>
                <w:sz w:val="15"/>
                <w:szCs w:val="15"/>
              </w:rPr>
            </w:pPr>
          </w:p>
        </w:tc>
        <w:tc>
          <w:tcPr>
            <w:tcW w:w="334" w:type="pct"/>
            <w:vAlign w:val="center"/>
          </w:tcPr>
          <w:p w14:paraId="4FADD424" w14:textId="77777777" w:rsidR="002D0AE7" w:rsidRDefault="002D0AE7">
            <w:pPr>
              <w:jc w:val="right"/>
              <w:rPr>
                <w:rFonts w:ascii="Arial Narrow" w:hAnsi="Arial Narrow"/>
                <w:sz w:val="15"/>
                <w:szCs w:val="15"/>
              </w:rPr>
            </w:pPr>
          </w:p>
        </w:tc>
        <w:tc>
          <w:tcPr>
            <w:tcW w:w="357" w:type="pct"/>
            <w:vAlign w:val="center"/>
          </w:tcPr>
          <w:p w14:paraId="5AB0598B" w14:textId="77777777" w:rsidR="002D0AE7" w:rsidRDefault="002D0AE7">
            <w:pPr>
              <w:jc w:val="right"/>
              <w:rPr>
                <w:rFonts w:ascii="Arial Narrow" w:hAnsi="Arial Narrow"/>
                <w:sz w:val="15"/>
                <w:szCs w:val="15"/>
              </w:rPr>
            </w:pPr>
          </w:p>
        </w:tc>
        <w:tc>
          <w:tcPr>
            <w:tcW w:w="311" w:type="pct"/>
            <w:vAlign w:val="center"/>
          </w:tcPr>
          <w:p w14:paraId="3A681BFD" w14:textId="77777777" w:rsidR="002D0AE7" w:rsidRDefault="002D0AE7">
            <w:pPr>
              <w:jc w:val="right"/>
              <w:rPr>
                <w:rFonts w:ascii="Arial Narrow" w:hAnsi="Arial Narrow"/>
                <w:sz w:val="15"/>
                <w:szCs w:val="15"/>
              </w:rPr>
            </w:pPr>
          </w:p>
        </w:tc>
        <w:tc>
          <w:tcPr>
            <w:tcW w:w="357" w:type="pct"/>
            <w:vAlign w:val="center"/>
          </w:tcPr>
          <w:p w14:paraId="4706815E" w14:textId="77777777" w:rsidR="002D0AE7" w:rsidRDefault="002D0AE7">
            <w:pPr>
              <w:jc w:val="right"/>
              <w:rPr>
                <w:rFonts w:ascii="Arial Narrow" w:hAnsi="Arial Narrow"/>
                <w:sz w:val="15"/>
                <w:szCs w:val="15"/>
              </w:rPr>
            </w:pPr>
          </w:p>
        </w:tc>
        <w:tc>
          <w:tcPr>
            <w:tcW w:w="152" w:type="pct"/>
            <w:vAlign w:val="center"/>
          </w:tcPr>
          <w:p w14:paraId="5F9DBF6D" w14:textId="77777777" w:rsidR="002D0AE7" w:rsidRDefault="002D0AE7">
            <w:pPr>
              <w:jc w:val="right"/>
              <w:rPr>
                <w:rFonts w:ascii="Arial Narrow" w:hAnsi="Arial Narrow"/>
                <w:sz w:val="15"/>
                <w:szCs w:val="15"/>
              </w:rPr>
            </w:pPr>
          </w:p>
        </w:tc>
        <w:tc>
          <w:tcPr>
            <w:tcW w:w="391" w:type="pct"/>
            <w:vAlign w:val="center"/>
          </w:tcPr>
          <w:p w14:paraId="41C58EFD" w14:textId="77777777" w:rsidR="002D0AE7" w:rsidRDefault="002D0AE7">
            <w:pPr>
              <w:jc w:val="right"/>
              <w:rPr>
                <w:rFonts w:ascii="Arial Narrow" w:hAnsi="Arial Narrow"/>
                <w:sz w:val="15"/>
                <w:szCs w:val="15"/>
              </w:rPr>
            </w:pPr>
          </w:p>
        </w:tc>
        <w:tc>
          <w:tcPr>
            <w:tcW w:w="152" w:type="pct"/>
            <w:vAlign w:val="center"/>
          </w:tcPr>
          <w:p w14:paraId="530B6A4F" w14:textId="77777777" w:rsidR="002D0AE7" w:rsidRDefault="002D0AE7">
            <w:pPr>
              <w:jc w:val="right"/>
              <w:rPr>
                <w:rFonts w:ascii="Arial Narrow" w:hAnsi="Arial Narrow"/>
                <w:sz w:val="15"/>
                <w:szCs w:val="15"/>
              </w:rPr>
            </w:pPr>
          </w:p>
        </w:tc>
        <w:tc>
          <w:tcPr>
            <w:tcW w:w="391" w:type="pct"/>
            <w:vAlign w:val="center"/>
          </w:tcPr>
          <w:p w14:paraId="77FA2FD6" w14:textId="77777777" w:rsidR="002D0AE7" w:rsidRDefault="002D0AE7">
            <w:pPr>
              <w:jc w:val="right"/>
              <w:rPr>
                <w:rFonts w:ascii="Arial Narrow" w:hAnsi="Arial Narrow"/>
                <w:sz w:val="15"/>
                <w:szCs w:val="15"/>
              </w:rPr>
            </w:pPr>
          </w:p>
        </w:tc>
        <w:tc>
          <w:tcPr>
            <w:tcW w:w="357" w:type="pct"/>
            <w:vAlign w:val="center"/>
          </w:tcPr>
          <w:p w14:paraId="540A2E76" w14:textId="77777777" w:rsidR="002D0AE7" w:rsidRDefault="002D0AE7">
            <w:pPr>
              <w:jc w:val="right"/>
              <w:rPr>
                <w:rFonts w:ascii="Arial Narrow" w:hAnsi="Arial Narrow"/>
                <w:sz w:val="15"/>
                <w:szCs w:val="15"/>
              </w:rPr>
            </w:pPr>
          </w:p>
        </w:tc>
        <w:tc>
          <w:tcPr>
            <w:tcW w:w="391" w:type="pct"/>
            <w:vAlign w:val="center"/>
          </w:tcPr>
          <w:p w14:paraId="25A53950" w14:textId="77777777" w:rsidR="002D0AE7" w:rsidRDefault="002D0AE7">
            <w:pPr>
              <w:jc w:val="right"/>
              <w:rPr>
                <w:rFonts w:ascii="Arial Narrow" w:hAnsi="Arial Narrow"/>
                <w:sz w:val="15"/>
                <w:szCs w:val="15"/>
              </w:rPr>
            </w:pPr>
          </w:p>
        </w:tc>
      </w:tr>
      <w:tr w:rsidR="002D0AE7" w14:paraId="73B68A63" w14:textId="77777777">
        <w:trPr>
          <w:jc w:val="center"/>
        </w:trPr>
        <w:tc>
          <w:tcPr>
            <w:tcW w:w="602" w:type="pct"/>
            <w:vAlign w:val="center"/>
          </w:tcPr>
          <w:p w14:paraId="321BA1DC" w14:textId="77777777" w:rsidR="002D0AE7" w:rsidRDefault="00333EBB">
            <w:pPr>
              <w:rPr>
                <w:rFonts w:hint="eastAsia"/>
                <w:color w:val="000000" w:themeColor="text1"/>
                <w:sz w:val="18"/>
                <w:szCs w:val="18"/>
              </w:rPr>
            </w:pPr>
            <w:r>
              <w:rPr>
                <w:color w:val="000000" w:themeColor="text1"/>
                <w:sz w:val="18"/>
                <w:szCs w:val="18"/>
              </w:rPr>
              <w:lastRenderedPageBreak/>
              <w:t>5</w:t>
            </w:r>
            <w:r>
              <w:rPr>
                <w:color w:val="000000" w:themeColor="text1"/>
                <w:sz w:val="18"/>
                <w:szCs w:val="18"/>
              </w:rPr>
              <w:t>．其他综合收益结转留存收益</w:t>
            </w:r>
          </w:p>
        </w:tc>
        <w:tc>
          <w:tcPr>
            <w:tcW w:w="394" w:type="pct"/>
            <w:vAlign w:val="center"/>
          </w:tcPr>
          <w:p w14:paraId="691D4E89" w14:textId="77777777" w:rsidR="002D0AE7" w:rsidRDefault="002D0AE7">
            <w:pPr>
              <w:jc w:val="right"/>
              <w:rPr>
                <w:rFonts w:ascii="Arial Narrow" w:hAnsi="Arial Narrow"/>
                <w:sz w:val="15"/>
                <w:szCs w:val="15"/>
              </w:rPr>
            </w:pPr>
          </w:p>
        </w:tc>
        <w:tc>
          <w:tcPr>
            <w:tcW w:w="152" w:type="pct"/>
            <w:vAlign w:val="center"/>
          </w:tcPr>
          <w:p w14:paraId="245AC0E7" w14:textId="77777777" w:rsidR="002D0AE7" w:rsidRDefault="002D0AE7">
            <w:pPr>
              <w:jc w:val="right"/>
              <w:rPr>
                <w:rFonts w:ascii="Arial Narrow" w:hAnsi="Arial Narrow"/>
                <w:sz w:val="15"/>
                <w:szCs w:val="15"/>
              </w:rPr>
            </w:pPr>
          </w:p>
        </w:tc>
        <w:tc>
          <w:tcPr>
            <w:tcW w:w="152" w:type="pct"/>
            <w:vAlign w:val="center"/>
          </w:tcPr>
          <w:p w14:paraId="48A71D4F" w14:textId="77777777" w:rsidR="002D0AE7" w:rsidRDefault="002D0AE7">
            <w:pPr>
              <w:jc w:val="right"/>
              <w:rPr>
                <w:rFonts w:ascii="Arial Narrow" w:hAnsi="Arial Narrow"/>
                <w:sz w:val="15"/>
                <w:szCs w:val="15"/>
              </w:rPr>
            </w:pPr>
          </w:p>
        </w:tc>
        <w:tc>
          <w:tcPr>
            <w:tcW w:w="152" w:type="pct"/>
            <w:vAlign w:val="center"/>
          </w:tcPr>
          <w:p w14:paraId="4E1C2CCD" w14:textId="77777777" w:rsidR="002D0AE7" w:rsidRDefault="002D0AE7">
            <w:pPr>
              <w:jc w:val="right"/>
              <w:rPr>
                <w:rFonts w:ascii="Arial Narrow" w:hAnsi="Arial Narrow"/>
                <w:sz w:val="15"/>
                <w:szCs w:val="15"/>
              </w:rPr>
            </w:pPr>
          </w:p>
        </w:tc>
        <w:tc>
          <w:tcPr>
            <w:tcW w:w="357" w:type="pct"/>
            <w:vAlign w:val="center"/>
          </w:tcPr>
          <w:p w14:paraId="29EF8ACB" w14:textId="77777777" w:rsidR="002D0AE7" w:rsidRDefault="002D0AE7">
            <w:pPr>
              <w:jc w:val="right"/>
              <w:rPr>
                <w:rFonts w:ascii="Arial Narrow" w:hAnsi="Arial Narrow"/>
                <w:sz w:val="15"/>
                <w:szCs w:val="15"/>
              </w:rPr>
            </w:pPr>
          </w:p>
        </w:tc>
        <w:tc>
          <w:tcPr>
            <w:tcW w:w="334" w:type="pct"/>
            <w:vAlign w:val="center"/>
          </w:tcPr>
          <w:p w14:paraId="65AC4AD0" w14:textId="77777777" w:rsidR="002D0AE7" w:rsidRDefault="002D0AE7">
            <w:pPr>
              <w:jc w:val="right"/>
              <w:rPr>
                <w:rFonts w:ascii="Arial Narrow" w:hAnsi="Arial Narrow"/>
                <w:sz w:val="15"/>
                <w:szCs w:val="15"/>
              </w:rPr>
            </w:pPr>
          </w:p>
        </w:tc>
        <w:tc>
          <w:tcPr>
            <w:tcW w:w="357" w:type="pct"/>
            <w:vAlign w:val="center"/>
          </w:tcPr>
          <w:p w14:paraId="1DBEE8D4" w14:textId="77777777" w:rsidR="002D0AE7" w:rsidRDefault="002D0AE7">
            <w:pPr>
              <w:jc w:val="right"/>
              <w:rPr>
                <w:rFonts w:ascii="Arial Narrow" w:hAnsi="Arial Narrow"/>
                <w:sz w:val="15"/>
                <w:szCs w:val="15"/>
              </w:rPr>
            </w:pPr>
          </w:p>
        </w:tc>
        <w:tc>
          <w:tcPr>
            <w:tcW w:w="311" w:type="pct"/>
            <w:vAlign w:val="center"/>
          </w:tcPr>
          <w:p w14:paraId="3FF6C9A2" w14:textId="77777777" w:rsidR="002D0AE7" w:rsidRDefault="002D0AE7">
            <w:pPr>
              <w:jc w:val="right"/>
              <w:rPr>
                <w:rFonts w:ascii="Arial Narrow" w:hAnsi="Arial Narrow"/>
                <w:sz w:val="15"/>
                <w:szCs w:val="15"/>
              </w:rPr>
            </w:pPr>
          </w:p>
        </w:tc>
        <w:tc>
          <w:tcPr>
            <w:tcW w:w="357" w:type="pct"/>
            <w:vAlign w:val="center"/>
          </w:tcPr>
          <w:p w14:paraId="79A223AA" w14:textId="77777777" w:rsidR="002D0AE7" w:rsidRDefault="002D0AE7">
            <w:pPr>
              <w:jc w:val="right"/>
              <w:rPr>
                <w:rFonts w:ascii="Arial Narrow" w:hAnsi="Arial Narrow"/>
                <w:sz w:val="15"/>
                <w:szCs w:val="15"/>
              </w:rPr>
            </w:pPr>
          </w:p>
        </w:tc>
        <w:tc>
          <w:tcPr>
            <w:tcW w:w="152" w:type="pct"/>
            <w:vAlign w:val="center"/>
          </w:tcPr>
          <w:p w14:paraId="5C3F2C77" w14:textId="77777777" w:rsidR="002D0AE7" w:rsidRDefault="002D0AE7">
            <w:pPr>
              <w:jc w:val="right"/>
              <w:rPr>
                <w:rFonts w:ascii="Arial Narrow" w:hAnsi="Arial Narrow"/>
                <w:sz w:val="15"/>
                <w:szCs w:val="15"/>
              </w:rPr>
            </w:pPr>
          </w:p>
        </w:tc>
        <w:tc>
          <w:tcPr>
            <w:tcW w:w="391" w:type="pct"/>
            <w:vAlign w:val="center"/>
          </w:tcPr>
          <w:p w14:paraId="7E99A6DF" w14:textId="77777777" w:rsidR="002D0AE7" w:rsidRDefault="002D0AE7">
            <w:pPr>
              <w:jc w:val="right"/>
              <w:rPr>
                <w:rFonts w:ascii="Arial Narrow" w:hAnsi="Arial Narrow"/>
                <w:sz w:val="15"/>
                <w:szCs w:val="15"/>
              </w:rPr>
            </w:pPr>
          </w:p>
        </w:tc>
        <w:tc>
          <w:tcPr>
            <w:tcW w:w="152" w:type="pct"/>
            <w:vAlign w:val="center"/>
          </w:tcPr>
          <w:p w14:paraId="67A3AA73" w14:textId="77777777" w:rsidR="002D0AE7" w:rsidRDefault="002D0AE7">
            <w:pPr>
              <w:jc w:val="right"/>
              <w:rPr>
                <w:rFonts w:ascii="Arial Narrow" w:hAnsi="Arial Narrow"/>
                <w:sz w:val="15"/>
                <w:szCs w:val="15"/>
              </w:rPr>
            </w:pPr>
          </w:p>
        </w:tc>
        <w:tc>
          <w:tcPr>
            <w:tcW w:w="391" w:type="pct"/>
            <w:vAlign w:val="center"/>
          </w:tcPr>
          <w:p w14:paraId="0CCEFE48" w14:textId="77777777" w:rsidR="002D0AE7" w:rsidRDefault="002D0AE7">
            <w:pPr>
              <w:jc w:val="right"/>
              <w:rPr>
                <w:rFonts w:ascii="Arial Narrow" w:hAnsi="Arial Narrow"/>
                <w:sz w:val="15"/>
                <w:szCs w:val="15"/>
              </w:rPr>
            </w:pPr>
          </w:p>
        </w:tc>
        <w:tc>
          <w:tcPr>
            <w:tcW w:w="357" w:type="pct"/>
            <w:vAlign w:val="center"/>
          </w:tcPr>
          <w:p w14:paraId="7BFDD756" w14:textId="77777777" w:rsidR="002D0AE7" w:rsidRDefault="002D0AE7">
            <w:pPr>
              <w:jc w:val="right"/>
              <w:rPr>
                <w:rFonts w:ascii="Arial Narrow" w:hAnsi="Arial Narrow"/>
                <w:sz w:val="15"/>
                <w:szCs w:val="15"/>
              </w:rPr>
            </w:pPr>
          </w:p>
        </w:tc>
        <w:tc>
          <w:tcPr>
            <w:tcW w:w="391" w:type="pct"/>
            <w:vAlign w:val="center"/>
          </w:tcPr>
          <w:p w14:paraId="543AED83" w14:textId="77777777" w:rsidR="002D0AE7" w:rsidRDefault="002D0AE7">
            <w:pPr>
              <w:jc w:val="right"/>
              <w:rPr>
                <w:rFonts w:ascii="Arial Narrow" w:hAnsi="Arial Narrow"/>
                <w:sz w:val="15"/>
                <w:szCs w:val="15"/>
              </w:rPr>
            </w:pPr>
          </w:p>
        </w:tc>
      </w:tr>
      <w:tr w:rsidR="002D0AE7" w14:paraId="4FED0772" w14:textId="77777777">
        <w:trPr>
          <w:jc w:val="center"/>
        </w:trPr>
        <w:tc>
          <w:tcPr>
            <w:tcW w:w="602" w:type="pct"/>
            <w:vAlign w:val="center"/>
          </w:tcPr>
          <w:p w14:paraId="3CE7E2F7" w14:textId="77777777" w:rsidR="002D0AE7" w:rsidRDefault="00333EBB">
            <w:pPr>
              <w:rPr>
                <w:rFonts w:hint="eastAsia"/>
                <w:color w:val="000000" w:themeColor="text1"/>
              </w:rPr>
            </w:pPr>
            <w:r>
              <w:rPr>
                <w:color w:val="000000" w:themeColor="text1"/>
                <w:sz w:val="18"/>
                <w:szCs w:val="18"/>
              </w:rPr>
              <w:t>6</w:t>
            </w:r>
            <w:r>
              <w:rPr>
                <w:color w:val="000000" w:themeColor="text1"/>
                <w:sz w:val="18"/>
                <w:szCs w:val="18"/>
              </w:rPr>
              <w:t>．其他</w:t>
            </w:r>
          </w:p>
        </w:tc>
        <w:tc>
          <w:tcPr>
            <w:tcW w:w="394" w:type="pct"/>
            <w:vAlign w:val="center"/>
          </w:tcPr>
          <w:p w14:paraId="26FADFE5" w14:textId="77777777" w:rsidR="002D0AE7" w:rsidRDefault="002D0AE7">
            <w:pPr>
              <w:jc w:val="right"/>
              <w:rPr>
                <w:rFonts w:ascii="Arial Narrow" w:hAnsi="Arial Narrow"/>
                <w:sz w:val="15"/>
                <w:szCs w:val="15"/>
              </w:rPr>
            </w:pPr>
          </w:p>
        </w:tc>
        <w:tc>
          <w:tcPr>
            <w:tcW w:w="152" w:type="pct"/>
            <w:vAlign w:val="center"/>
          </w:tcPr>
          <w:p w14:paraId="016C1695" w14:textId="77777777" w:rsidR="002D0AE7" w:rsidRDefault="002D0AE7">
            <w:pPr>
              <w:jc w:val="right"/>
              <w:rPr>
                <w:rFonts w:ascii="Arial Narrow" w:hAnsi="Arial Narrow"/>
                <w:sz w:val="15"/>
                <w:szCs w:val="15"/>
              </w:rPr>
            </w:pPr>
          </w:p>
        </w:tc>
        <w:tc>
          <w:tcPr>
            <w:tcW w:w="152" w:type="pct"/>
            <w:vAlign w:val="center"/>
          </w:tcPr>
          <w:p w14:paraId="2AAB030F" w14:textId="77777777" w:rsidR="002D0AE7" w:rsidRDefault="002D0AE7">
            <w:pPr>
              <w:jc w:val="right"/>
              <w:rPr>
                <w:rFonts w:ascii="Arial Narrow" w:hAnsi="Arial Narrow"/>
                <w:sz w:val="15"/>
                <w:szCs w:val="15"/>
              </w:rPr>
            </w:pPr>
          </w:p>
        </w:tc>
        <w:tc>
          <w:tcPr>
            <w:tcW w:w="152" w:type="pct"/>
            <w:vAlign w:val="center"/>
          </w:tcPr>
          <w:p w14:paraId="7DA12160" w14:textId="77777777" w:rsidR="002D0AE7" w:rsidRDefault="002D0AE7">
            <w:pPr>
              <w:jc w:val="right"/>
              <w:rPr>
                <w:rFonts w:ascii="Arial Narrow" w:hAnsi="Arial Narrow"/>
                <w:sz w:val="15"/>
                <w:szCs w:val="15"/>
              </w:rPr>
            </w:pPr>
          </w:p>
        </w:tc>
        <w:tc>
          <w:tcPr>
            <w:tcW w:w="357" w:type="pct"/>
            <w:vAlign w:val="center"/>
          </w:tcPr>
          <w:p w14:paraId="298A5DCB" w14:textId="77777777" w:rsidR="002D0AE7" w:rsidRDefault="002D0AE7">
            <w:pPr>
              <w:jc w:val="right"/>
              <w:rPr>
                <w:rFonts w:ascii="Arial Narrow" w:hAnsi="Arial Narrow"/>
                <w:sz w:val="15"/>
                <w:szCs w:val="15"/>
              </w:rPr>
            </w:pPr>
          </w:p>
        </w:tc>
        <w:tc>
          <w:tcPr>
            <w:tcW w:w="334" w:type="pct"/>
            <w:vAlign w:val="center"/>
          </w:tcPr>
          <w:p w14:paraId="3C3D04FF" w14:textId="77777777" w:rsidR="002D0AE7" w:rsidRDefault="002D0AE7">
            <w:pPr>
              <w:jc w:val="right"/>
              <w:rPr>
                <w:rFonts w:ascii="Arial Narrow" w:hAnsi="Arial Narrow"/>
                <w:sz w:val="15"/>
                <w:szCs w:val="15"/>
              </w:rPr>
            </w:pPr>
          </w:p>
        </w:tc>
        <w:tc>
          <w:tcPr>
            <w:tcW w:w="357" w:type="pct"/>
            <w:vAlign w:val="center"/>
          </w:tcPr>
          <w:p w14:paraId="0BF572B9" w14:textId="77777777" w:rsidR="002D0AE7" w:rsidRDefault="002D0AE7">
            <w:pPr>
              <w:jc w:val="right"/>
              <w:rPr>
                <w:rFonts w:ascii="Arial Narrow" w:hAnsi="Arial Narrow"/>
                <w:sz w:val="15"/>
                <w:szCs w:val="15"/>
              </w:rPr>
            </w:pPr>
          </w:p>
        </w:tc>
        <w:tc>
          <w:tcPr>
            <w:tcW w:w="311" w:type="pct"/>
            <w:vAlign w:val="center"/>
          </w:tcPr>
          <w:p w14:paraId="623ECCA4" w14:textId="77777777" w:rsidR="002D0AE7" w:rsidRDefault="002D0AE7">
            <w:pPr>
              <w:jc w:val="right"/>
              <w:rPr>
                <w:rFonts w:ascii="Arial Narrow" w:hAnsi="Arial Narrow"/>
                <w:sz w:val="15"/>
                <w:szCs w:val="15"/>
              </w:rPr>
            </w:pPr>
          </w:p>
        </w:tc>
        <w:tc>
          <w:tcPr>
            <w:tcW w:w="357" w:type="pct"/>
            <w:vAlign w:val="center"/>
          </w:tcPr>
          <w:p w14:paraId="1E3D9A94" w14:textId="77777777" w:rsidR="002D0AE7" w:rsidRDefault="002D0AE7">
            <w:pPr>
              <w:jc w:val="right"/>
              <w:rPr>
                <w:rFonts w:ascii="Arial Narrow" w:hAnsi="Arial Narrow"/>
                <w:sz w:val="15"/>
                <w:szCs w:val="15"/>
              </w:rPr>
            </w:pPr>
          </w:p>
        </w:tc>
        <w:tc>
          <w:tcPr>
            <w:tcW w:w="152" w:type="pct"/>
            <w:vAlign w:val="center"/>
          </w:tcPr>
          <w:p w14:paraId="3C5FE1EE" w14:textId="77777777" w:rsidR="002D0AE7" w:rsidRDefault="002D0AE7">
            <w:pPr>
              <w:jc w:val="right"/>
              <w:rPr>
                <w:rFonts w:ascii="Arial Narrow" w:hAnsi="Arial Narrow"/>
                <w:sz w:val="15"/>
                <w:szCs w:val="15"/>
              </w:rPr>
            </w:pPr>
          </w:p>
        </w:tc>
        <w:tc>
          <w:tcPr>
            <w:tcW w:w="391" w:type="pct"/>
            <w:vAlign w:val="center"/>
          </w:tcPr>
          <w:p w14:paraId="456B29D9" w14:textId="77777777" w:rsidR="002D0AE7" w:rsidRDefault="002D0AE7">
            <w:pPr>
              <w:jc w:val="right"/>
              <w:rPr>
                <w:rFonts w:ascii="Arial Narrow" w:hAnsi="Arial Narrow"/>
                <w:sz w:val="15"/>
                <w:szCs w:val="15"/>
              </w:rPr>
            </w:pPr>
          </w:p>
        </w:tc>
        <w:tc>
          <w:tcPr>
            <w:tcW w:w="152" w:type="pct"/>
            <w:vAlign w:val="center"/>
          </w:tcPr>
          <w:p w14:paraId="3B314120" w14:textId="77777777" w:rsidR="002D0AE7" w:rsidRDefault="002D0AE7">
            <w:pPr>
              <w:jc w:val="right"/>
              <w:rPr>
                <w:rFonts w:ascii="Arial Narrow" w:hAnsi="Arial Narrow"/>
                <w:sz w:val="15"/>
                <w:szCs w:val="15"/>
              </w:rPr>
            </w:pPr>
          </w:p>
        </w:tc>
        <w:tc>
          <w:tcPr>
            <w:tcW w:w="391" w:type="pct"/>
            <w:vAlign w:val="center"/>
          </w:tcPr>
          <w:p w14:paraId="6B9C338D" w14:textId="77777777" w:rsidR="002D0AE7" w:rsidRDefault="002D0AE7">
            <w:pPr>
              <w:jc w:val="right"/>
              <w:rPr>
                <w:rFonts w:ascii="Arial Narrow" w:hAnsi="Arial Narrow"/>
                <w:sz w:val="15"/>
                <w:szCs w:val="15"/>
              </w:rPr>
            </w:pPr>
          </w:p>
        </w:tc>
        <w:tc>
          <w:tcPr>
            <w:tcW w:w="357" w:type="pct"/>
            <w:vAlign w:val="center"/>
          </w:tcPr>
          <w:p w14:paraId="62729AA3" w14:textId="77777777" w:rsidR="002D0AE7" w:rsidRDefault="002D0AE7">
            <w:pPr>
              <w:jc w:val="right"/>
              <w:rPr>
                <w:rFonts w:ascii="Arial Narrow" w:hAnsi="Arial Narrow"/>
                <w:sz w:val="15"/>
                <w:szCs w:val="15"/>
              </w:rPr>
            </w:pPr>
          </w:p>
        </w:tc>
        <w:tc>
          <w:tcPr>
            <w:tcW w:w="391" w:type="pct"/>
            <w:vAlign w:val="center"/>
          </w:tcPr>
          <w:p w14:paraId="61A34723" w14:textId="77777777" w:rsidR="002D0AE7" w:rsidRDefault="002D0AE7">
            <w:pPr>
              <w:jc w:val="right"/>
              <w:rPr>
                <w:rFonts w:ascii="Arial Narrow" w:hAnsi="Arial Narrow"/>
                <w:sz w:val="15"/>
                <w:szCs w:val="15"/>
              </w:rPr>
            </w:pPr>
          </w:p>
        </w:tc>
      </w:tr>
      <w:tr w:rsidR="002D0AE7" w14:paraId="008B6B56" w14:textId="77777777">
        <w:trPr>
          <w:jc w:val="center"/>
        </w:trPr>
        <w:tc>
          <w:tcPr>
            <w:tcW w:w="602" w:type="pct"/>
            <w:vAlign w:val="center"/>
          </w:tcPr>
          <w:p w14:paraId="5343724F" w14:textId="77777777" w:rsidR="002D0AE7" w:rsidRDefault="00333EBB">
            <w:pPr>
              <w:rPr>
                <w:rFonts w:hint="eastAsia"/>
                <w:color w:val="000000" w:themeColor="text1"/>
                <w:sz w:val="18"/>
                <w:szCs w:val="18"/>
              </w:rPr>
            </w:pPr>
            <w:r>
              <w:rPr>
                <w:rFonts w:hint="eastAsia"/>
                <w:color w:val="000000" w:themeColor="text1"/>
                <w:sz w:val="18"/>
                <w:szCs w:val="18"/>
              </w:rPr>
              <w:t>（五）专项储备</w:t>
            </w:r>
          </w:p>
        </w:tc>
        <w:tc>
          <w:tcPr>
            <w:tcW w:w="394" w:type="pct"/>
            <w:vAlign w:val="center"/>
          </w:tcPr>
          <w:p w14:paraId="5D852EFE"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5968AE7F"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1FFB3161"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02A217A8"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7" w:type="pct"/>
            <w:vAlign w:val="center"/>
          </w:tcPr>
          <w:p w14:paraId="1F722B1A" w14:textId="77777777" w:rsidR="002D0AE7" w:rsidRDefault="00333EBB">
            <w:pPr>
              <w:jc w:val="right"/>
              <w:rPr>
                <w:rFonts w:ascii="Arial Narrow" w:hAnsi="Arial Narrow"/>
                <w:sz w:val="15"/>
                <w:szCs w:val="15"/>
              </w:rPr>
            </w:pPr>
            <w:r>
              <w:rPr>
                <w:rFonts w:ascii="Arial Narrow" w:hAnsi="Arial Narrow"/>
                <w:sz w:val="15"/>
                <w:szCs w:val="15"/>
              </w:rPr>
              <w:t>0.00</w:t>
            </w:r>
          </w:p>
        </w:tc>
        <w:tc>
          <w:tcPr>
            <w:tcW w:w="334" w:type="pct"/>
            <w:vAlign w:val="center"/>
          </w:tcPr>
          <w:p w14:paraId="79EC3838"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7" w:type="pct"/>
            <w:vAlign w:val="center"/>
          </w:tcPr>
          <w:p w14:paraId="7635C0E4" w14:textId="77777777" w:rsidR="002D0AE7" w:rsidRDefault="00333EBB">
            <w:pPr>
              <w:jc w:val="right"/>
              <w:rPr>
                <w:rFonts w:ascii="Arial Narrow" w:hAnsi="Arial Narrow"/>
                <w:sz w:val="15"/>
                <w:szCs w:val="15"/>
              </w:rPr>
            </w:pPr>
            <w:r>
              <w:rPr>
                <w:rFonts w:ascii="Arial Narrow" w:hAnsi="Arial Narrow"/>
                <w:sz w:val="15"/>
                <w:szCs w:val="15"/>
              </w:rPr>
              <w:t>0.00</w:t>
            </w:r>
          </w:p>
        </w:tc>
        <w:tc>
          <w:tcPr>
            <w:tcW w:w="311" w:type="pct"/>
            <w:vAlign w:val="center"/>
          </w:tcPr>
          <w:p w14:paraId="0735D11C" w14:textId="77777777" w:rsidR="002D0AE7" w:rsidRDefault="00333EBB">
            <w:pPr>
              <w:jc w:val="right"/>
              <w:rPr>
                <w:rFonts w:ascii="Arial Narrow" w:hAnsi="Arial Narrow"/>
                <w:sz w:val="15"/>
                <w:szCs w:val="15"/>
              </w:rPr>
            </w:pPr>
            <w:r>
              <w:rPr>
                <w:rFonts w:ascii="Arial Narrow" w:hAnsi="Arial Narrow"/>
                <w:sz w:val="15"/>
                <w:szCs w:val="15"/>
              </w:rPr>
              <w:t>1,893,155.95</w:t>
            </w:r>
          </w:p>
        </w:tc>
        <w:tc>
          <w:tcPr>
            <w:tcW w:w="357" w:type="pct"/>
            <w:vAlign w:val="center"/>
          </w:tcPr>
          <w:p w14:paraId="36A3D067"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457EBFDB"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2A93167E"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67D2A2C2"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16BAD527" w14:textId="77777777" w:rsidR="002D0AE7" w:rsidRDefault="00333EBB">
            <w:pPr>
              <w:jc w:val="right"/>
              <w:rPr>
                <w:rFonts w:ascii="Arial Narrow" w:hAnsi="Arial Narrow"/>
                <w:sz w:val="15"/>
                <w:szCs w:val="15"/>
              </w:rPr>
            </w:pPr>
            <w:r>
              <w:rPr>
                <w:rFonts w:ascii="Arial Narrow" w:hAnsi="Arial Narrow"/>
                <w:sz w:val="15"/>
                <w:szCs w:val="15"/>
              </w:rPr>
              <w:t>1,893,155.95</w:t>
            </w:r>
          </w:p>
        </w:tc>
        <w:tc>
          <w:tcPr>
            <w:tcW w:w="357" w:type="pct"/>
            <w:vAlign w:val="center"/>
          </w:tcPr>
          <w:p w14:paraId="1890097E"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68C8F5D2" w14:textId="77777777" w:rsidR="002D0AE7" w:rsidRDefault="00333EBB">
            <w:pPr>
              <w:jc w:val="right"/>
              <w:rPr>
                <w:rFonts w:ascii="Arial Narrow" w:hAnsi="Arial Narrow"/>
                <w:sz w:val="15"/>
                <w:szCs w:val="15"/>
              </w:rPr>
            </w:pPr>
            <w:r>
              <w:rPr>
                <w:rFonts w:ascii="Arial Narrow" w:hAnsi="Arial Narrow"/>
                <w:sz w:val="15"/>
                <w:szCs w:val="15"/>
              </w:rPr>
              <w:t>1,893,155.95</w:t>
            </w:r>
          </w:p>
        </w:tc>
      </w:tr>
      <w:tr w:rsidR="002D0AE7" w14:paraId="58126411" w14:textId="77777777">
        <w:trPr>
          <w:jc w:val="center"/>
        </w:trPr>
        <w:tc>
          <w:tcPr>
            <w:tcW w:w="602" w:type="pct"/>
            <w:vAlign w:val="center"/>
          </w:tcPr>
          <w:p w14:paraId="7FA160E2" w14:textId="77777777" w:rsidR="002D0AE7" w:rsidRDefault="00333EBB">
            <w:pPr>
              <w:rPr>
                <w:rFonts w:hint="eastAsia"/>
                <w:color w:val="000000" w:themeColor="text1"/>
                <w:sz w:val="18"/>
                <w:szCs w:val="18"/>
              </w:rPr>
            </w:pPr>
            <w:r>
              <w:rPr>
                <w:rFonts w:hint="eastAsia"/>
                <w:color w:val="000000" w:themeColor="text1"/>
                <w:sz w:val="18"/>
                <w:szCs w:val="18"/>
              </w:rPr>
              <w:t>1</w:t>
            </w:r>
            <w:r>
              <w:rPr>
                <w:rFonts w:hint="eastAsia"/>
                <w:color w:val="000000" w:themeColor="text1"/>
                <w:sz w:val="18"/>
                <w:szCs w:val="18"/>
              </w:rPr>
              <w:t>．本期提取</w:t>
            </w:r>
          </w:p>
        </w:tc>
        <w:tc>
          <w:tcPr>
            <w:tcW w:w="394" w:type="pct"/>
            <w:vAlign w:val="center"/>
          </w:tcPr>
          <w:p w14:paraId="6D0EC978"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6B53E046"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0BCFDBFD"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40372472"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7" w:type="pct"/>
            <w:vAlign w:val="center"/>
          </w:tcPr>
          <w:p w14:paraId="1E7DF159" w14:textId="77777777" w:rsidR="002D0AE7" w:rsidRDefault="00333EBB">
            <w:pPr>
              <w:jc w:val="right"/>
              <w:rPr>
                <w:rFonts w:ascii="Arial Narrow" w:hAnsi="Arial Narrow"/>
                <w:sz w:val="15"/>
                <w:szCs w:val="15"/>
              </w:rPr>
            </w:pPr>
            <w:r>
              <w:rPr>
                <w:rFonts w:ascii="Arial Narrow" w:hAnsi="Arial Narrow"/>
                <w:sz w:val="15"/>
                <w:szCs w:val="15"/>
              </w:rPr>
              <w:t>0.00</w:t>
            </w:r>
          </w:p>
        </w:tc>
        <w:tc>
          <w:tcPr>
            <w:tcW w:w="334" w:type="pct"/>
            <w:vAlign w:val="center"/>
          </w:tcPr>
          <w:p w14:paraId="60A0A531"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7" w:type="pct"/>
            <w:vAlign w:val="center"/>
          </w:tcPr>
          <w:p w14:paraId="0DEE3C0B" w14:textId="77777777" w:rsidR="002D0AE7" w:rsidRDefault="00333EBB">
            <w:pPr>
              <w:jc w:val="right"/>
              <w:rPr>
                <w:rFonts w:ascii="Arial Narrow" w:hAnsi="Arial Narrow"/>
                <w:sz w:val="15"/>
                <w:szCs w:val="15"/>
              </w:rPr>
            </w:pPr>
            <w:r>
              <w:rPr>
                <w:rFonts w:ascii="Arial Narrow" w:hAnsi="Arial Narrow"/>
                <w:sz w:val="15"/>
                <w:szCs w:val="15"/>
              </w:rPr>
              <w:t>0.00</w:t>
            </w:r>
          </w:p>
        </w:tc>
        <w:tc>
          <w:tcPr>
            <w:tcW w:w="311" w:type="pct"/>
            <w:vAlign w:val="center"/>
          </w:tcPr>
          <w:p w14:paraId="0782336A" w14:textId="77777777" w:rsidR="002D0AE7" w:rsidRDefault="00333EBB">
            <w:pPr>
              <w:jc w:val="right"/>
              <w:rPr>
                <w:rFonts w:ascii="Arial Narrow" w:hAnsi="Arial Narrow"/>
                <w:sz w:val="15"/>
                <w:szCs w:val="15"/>
              </w:rPr>
            </w:pPr>
            <w:r>
              <w:rPr>
                <w:rFonts w:ascii="Arial Narrow" w:hAnsi="Arial Narrow"/>
                <w:sz w:val="15"/>
                <w:szCs w:val="15"/>
              </w:rPr>
              <w:t>4,212,000.00</w:t>
            </w:r>
          </w:p>
        </w:tc>
        <w:tc>
          <w:tcPr>
            <w:tcW w:w="357" w:type="pct"/>
            <w:vAlign w:val="center"/>
          </w:tcPr>
          <w:p w14:paraId="28FB0C93"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421E3D8B"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1D2BC4AE"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3325101E"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2FE81EA0" w14:textId="77777777" w:rsidR="002D0AE7" w:rsidRDefault="00333EBB">
            <w:pPr>
              <w:jc w:val="right"/>
              <w:rPr>
                <w:rFonts w:ascii="Arial Narrow" w:hAnsi="Arial Narrow"/>
                <w:sz w:val="15"/>
                <w:szCs w:val="15"/>
              </w:rPr>
            </w:pPr>
            <w:r>
              <w:rPr>
                <w:rFonts w:ascii="Arial Narrow" w:hAnsi="Arial Narrow"/>
                <w:sz w:val="15"/>
                <w:szCs w:val="15"/>
              </w:rPr>
              <w:t>4,212,000.00</w:t>
            </w:r>
          </w:p>
        </w:tc>
        <w:tc>
          <w:tcPr>
            <w:tcW w:w="357" w:type="pct"/>
            <w:vAlign w:val="center"/>
          </w:tcPr>
          <w:p w14:paraId="76EB9DCA"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48113B07" w14:textId="77777777" w:rsidR="002D0AE7" w:rsidRDefault="00333EBB">
            <w:pPr>
              <w:jc w:val="right"/>
              <w:rPr>
                <w:rFonts w:ascii="Arial Narrow" w:hAnsi="Arial Narrow"/>
                <w:sz w:val="15"/>
                <w:szCs w:val="15"/>
              </w:rPr>
            </w:pPr>
            <w:r>
              <w:rPr>
                <w:rFonts w:ascii="Arial Narrow" w:hAnsi="Arial Narrow"/>
                <w:sz w:val="15"/>
                <w:szCs w:val="15"/>
              </w:rPr>
              <w:t>4,212,000.00</w:t>
            </w:r>
          </w:p>
        </w:tc>
      </w:tr>
      <w:tr w:rsidR="002D0AE7" w14:paraId="62B4F873" w14:textId="77777777">
        <w:trPr>
          <w:jc w:val="center"/>
        </w:trPr>
        <w:tc>
          <w:tcPr>
            <w:tcW w:w="602" w:type="pct"/>
            <w:vAlign w:val="center"/>
          </w:tcPr>
          <w:p w14:paraId="5495C8ED" w14:textId="77777777" w:rsidR="002D0AE7" w:rsidRDefault="00333EBB">
            <w:pPr>
              <w:rPr>
                <w:rFonts w:hint="eastAsia"/>
                <w:color w:val="000000" w:themeColor="text1"/>
                <w:sz w:val="18"/>
                <w:szCs w:val="18"/>
              </w:rPr>
            </w:pPr>
            <w:r>
              <w:rPr>
                <w:rFonts w:hint="eastAsia"/>
                <w:color w:val="000000" w:themeColor="text1"/>
                <w:sz w:val="18"/>
                <w:szCs w:val="18"/>
              </w:rPr>
              <w:t>2</w:t>
            </w:r>
            <w:r>
              <w:rPr>
                <w:rFonts w:hint="eastAsia"/>
                <w:color w:val="000000" w:themeColor="text1"/>
                <w:sz w:val="18"/>
                <w:szCs w:val="18"/>
              </w:rPr>
              <w:t>．本期使用</w:t>
            </w:r>
          </w:p>
        </w:tc>
        <w:tc>
          <w:tcPr>
            <w:tcW w:w="394" w:type="pct"/>
            <w:vAlign w:val="center"/>
          </w:tcPr>
          <w:p w14:paraId="114A0364"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5F70DE41"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080B5608"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35F03265"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7" w:type="pct"/>
            <w:vAlign w:val="center"/>
          </w:tcPr>
          <w:p w14:paraId="5ACA1D17" w14:textId="77777777" w:rsidR="002D0AE7" w:rsidRDefault="00333EBB">
            <w:pPr>
              <w:jc w:val="right"/>
              <w:rPr>
                <w:rFonts w:ascii="Arial Narrow" w:hAnsi="Arial Narrow"/>
                <w:sz w:val="15"/>
                <w:szCs w:val="15"/>
              </w:rPr>
            </w:pPr>
            <w:r>
              <w:rPr>
                <w:rFonts w:ascii="Arial Narrow" w:hAnsi="Arial Narrow"/>
                <w:sz w:val="15"/>
                <w:szCs w:val="15"/>
              </w:rPr>
              <w:t>0.00</w:t>
            </w:r>
          </w:p>
        </w:tc>
        <w:tc>
          <w:tcPr>
            <w:tcW w:w="334" w:type="pct"/>
            <w:vAlign w:val="center"/>
          </w:tcPr>
          <w:p w14:paraId="16CAD160"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7" w:type="pct"/>
            <w:vAlign w:val="center"/>
          </w:tcPr>
          <w:p w14:paraId="7DCF176E" w14:textId="77777777" w:rsidR="002D0AE7" w:rsidRDefault="00333EBB">
            <w:pPr>
              <w:jc w:val="right"/>
              <w:rPr>
                <w:rFonts w:ascii="Arial Narrow" w:hAnsi="Arial Narrow"/>
                <w:sz w:val="15"/>
                <w:szCs w:val="15"/>
              </w:rPr>
            </w:pPr>
            <w:r>
              <w:rPr>
                <w:rFonts w:ascii="Arial Narrow" w:hAnsi="Arial Narrow"/>
                <w:sz w:val="15"/>
                <w:szCs w:val="15"/>
              </w:rPr>
              <w:t>0.00</w:t>
            </w:r>
          </w:p>
        </w:tc>
        <w:tc>
          <w:tcPr>
            <w:tcW w:w="311" w:type="pct"/>
            <w:vAlign w:val="center"/>
          </w:tcPr>
          <w:p w14:paraId="0CC2C2B6" w14:textId="77777777" w:rsidR="002D0AE7" w:rsidRDefault="00333EBB">
            <w:pPr>
              <w:jc w:val="right"/>
              <w:rPr>
                <w:rFonts w:ascii="Arial Narrow" w:hAnsi="Arial Narrow"/>
                <w:sz w:val="15"/>
                <w:szCs w:val="15"/>
              </w:rPr>
            </w:pPr>
            <w:r>
              <w:rPr>
                <w:rFonts w:ascii="Arial Narrow" w:hAnsi="Arial Narrow"/>
                <w:sz w:val="15"/>
                <w:szCs w:val="15"/>
              </w:rPr>
              <w:t>2,318,844.05</w:t>
            </w:r>
          </w:p>
        </w:tc>
        <w:tc>
          <w:tcPr>
            <w:tcW w:w="357" w:type="pct"/>
            <w:vAlign w:val="center"/>
          </w:tcPr>
          <w:p w14:paraId="26B47B63"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74EE5270"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75DD8BD8"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4F4AD2BB"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0483341E" w14:textId="77777777" w:rsidR="002D0AE7" w:rsidRDefault="00333EBB">
            <w:pPr>
              <w:jc w:val="right"/>
              <w:rPr>
                <w:rFonts w:ascii="Arial Narrow" w:hAnsi="Arial Narrow"/>
                <w:sz w:val="15"/>
                <w:szCs w:val="15"/>
              </w:rPr>
            </w:pPr>
            <w:r>
              <w:rPr>
                <w:rFonts w:ascii="Arial Narrow" w:hAnsi="Arial Narrow"/>
                <w:sz w:val="15"/>
                <w:szCs w:val="15"/>
              </w:rPr>
              <w:t>2,318,844.05</w:t>
            </w:r>
          </w:p>
        </w:tc>
        <w:tc>
          <w:tcPr>
            <w:tcW w:w="357" w:type="pct"/>
            <w:vAlign w:val="center"/>
          </w:tcPr>
          <w:p w14:paraId="387310C1"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31569C3F" w14:textId="77777777" w:rsidR="002D0AE7" w:rsidRDefault="00333EBB">
            <w:pPr>
              <w:jc w:val="right"/>
              <w:rPr>
                <w:rFonts w:ascii="Arial Narrow" w:hAnsi="Arial Narrow"/>
                <w:sz w:val="15"/>
                <w:szCs w:val="15"/>
              </w:rPr>
            </w:pPr>
            <w:r>
              <w:rPr>
                <w:rFonts w:ascii="Arial Narrow" w:hAnsi="Arial Narrow"/>
                <w:sz w:val="15"/>
                <w:szCs w:val="15"/>
              </w:rPr>
              <w:t>2,318,844.05</w:t>
            </w:r>
          </w:p>
        </w:tc>
      </w:tr>
      <w:tr w:rsidR="002D0AE7" w14:paraId="6B35EA88" w14:textId="77777777">
        <w:trPr>
          <w:jc w:val="center"/>
        </w:trPr>
        <w:tc>
          <w:tcPr>
            <w:tcW w:w="602" w:type="pct"/>
            <w:vAlign w:val="center"/>
          </w:tcPr>
          <w:p w14:paraId="53AC2C44" w14:textId="77777777" w:rsidR="002D0AE7" w:rsidRDefault="00333EBB">
            <w:pPr>
              <w:rPr>
                <w:rFonts w:hint="eastAsia"/>
                <w:color w:val="000000" w:themeColor="text1"/>
                <w:sz w:val="18"/>
                <w:szCs w:val="18"/>
              </w:rPr>
            </w:pPr>
            <w:r>
              <w:rPr>
                <w:rFonts w:hint="eastAsia"/>
                <w:color w:val="000000" w:themeColor="text1"/>
                <w:sz w:val="18"/>
                <w:szCs w:val="18"/>
              </w:rPr>
              <w:t>（六）其他</w:t>
            </w:r>
          </w:p>
        </w:tc>
        <w:tc>
          <w:tcPr>
            <w:tcW w:w="394" w:type="pct"/>
            <w:vAlign w:val="center"/>
          </w:tcPr>
          <w:p w14:paraId="0F2B1A67" w14:textId="77777777" w:rsidR="002D0AE7" w:rsidRDefault="002D0AE7">
            <w:pPr>
              <w:jc w:val="right"/>
              <w:rPr>
                <w:rFonts w:ascii="Arial Narrow" w:hAnsi="Arial Narrow"/>
                <w:sz w:val="15"/>
                <w:szCs w:val="15"/>
              </w:rPr>
            </w:pPr>
          </w:p>
        </w:tc>
        <w:tc>
          <w:tcPr>
            <w:tcW w:w="152" w:type="pct"/>
            <w:vAlign w:val="center"/>
          </w:tcPr>
          <w:p w14:paraId="03A091E7" w14:textId="77777777" w:rsidR="002D0AE7" w:rsidRDefault="002D0AE7">
            <w:pPr>
              <w:jc w:val="right"/>
              <w:rPr>
                <w:rFonts w:ascii="Arial Narrow" w:hAnsi="Arial Narrow"/>
                <w:sz w:val="15"/>
                <w:szCs w:val="15"/>
              </w:rPr>
            </w:pPr>
          </w:p>
        </w:tc>
        <w:tc>
          <w:tcPr>
            <w:tcW w:w="152" w:type="pct"/>
            <w:vAlign w:val="center"/>
          </w:tcPr>
          <w:p w14:paraId="4209EC09" w14:textId="77777777" w:rsidR="002D0AE7" w:rsidRDefault="002D0AE7">
            <w:pPr>
              <w:jc w:val="right"/>
              <w:rPr>
                <w:rFonts w:ascii="Arial Narrow" w:hAnsi="Arial Narrow"/>
                <w:sz w:val="15"/>
                <w:szCs w:val="15"/>
              </w:rPr>
            </w:pPr>
          </w:p>
        </w:tc>
        <w:tc>
          <w:tcPr>
            <w:tcW w:w="152" w:type="pct"/>
            <w:vAlign w:val="center"/>
          </w:tcPr>
          <w:p w14:paraId="11B0FA0D" w14:textId="77777777" w:rsidR="002D0AE7" w:rsidRDefault="002D0AE7">
            <w:pPr>
              <w:jc w:val="right"/>
              <w:rPr>
                <w:rFonts w:ascii="Arial Narrow" w:hAnsi="Arial Narrow"/>
                <w:sz w:val="15"/>
                <w:szCs w:val="15"/>
              </w:rPr>
            </w:pPr>
          </w:p>
        </w:tc>
        <w:tc>
          <w:tcPr>
            <w:tcW w:w="357" w:type="pct"/>
            <w:vAlign w:val="center"/>
          </w:tcPr>
          <w:p w14:paraId="4D7583F6" w14:textId="77777777" w:rsidR="002D0AE7" w:rsidRDefault="002D0AE7">
            <w:pPr>
              <w:jc w:val="right"/>
              <w:rPr>
                <w:rFonts w:ascii="Arial Narrow" w:hAnsi="Arial Narrow"/>
                <w:sz w:val="15"/>
                <w:szCs w:val="15"/>
              </w:rPr>
            </w:pPr>
          </w:p>
        </w:tc>
        <w:tc>
          <w:tcPr>
            <w:tcW w:w="334" w:type="pct"/>
            <w:vAlign w:val="center"/>
          </w:tcPr>
          <w:p w14:paraId="305459E5" w14:textId="77777777" w:rsidR="002D0AE7" w:rsidRDefault="002D0AE7">
            <w:pPr>
              <w:jc w:val="right"/>
              <w:rPr>
                <w:rFonts w:ascii="Arial Narrow" w:hAnsi="Arial Narrow"/>
                <w:sz w:val="15"/>
                <w:szCs w:val="15"/>
              </w:rPr>
            </w:pPr>
          </w:p>
        </w:tc>
        <w:tc>
          <w:tcPr>
            <w:tcW w:w="357" w:type="pct"/>
            <w:vAlign w:val="center"/>
          </w:tcPr>
          <w:p w14:paraId="2F0984C1" w14:textId="77777777" w:rsidR="002D0AE7" w:rsidRDefault="002D0AE7">
            <w:pPr>
              <w:jc w:val="right"/>
              <w:rPr>
                <w:rFonts w:ascii="Arial Narrow" w:hAnsi="Arial Narrow"/>
                <w:sz w:val="15"/>
                <w:szCs w:val="15"/>
              </w:rPr>
            </w:pPr>
          </w:p>
        </w:tc>
        <w:tc>
          <w:tcPr>
            <w:tcW w:w="311" w:type="pct"/>
            <w:vAlign w:val="center"/>
          </w:tcPr>
          <w:p w14:paraId="1B369C6F" w14:textId="77777777" w:rsidR="002D0AE7" w:rsidRDefault="002D0AE7">
            <w:pPr>
              <w:jc w:val="right"/>
              <w:rPr>
                <w:rFonts w:ascii="Arial Narrow" w:hAnsi="Arial Narrow"/>
                <w:sz w:val="15"/>
                <w:szCs w:val="15"/>
              </w:rPr>
            </w:pPr>
          </w:p>
        </w:tc>
        <w:tc>
          <w:tcPr>
            <w:tcW w:w="357" w:type="pct"/>
            <w:vAlign w:val="center"/>
          </w:tcPr>
          <w:p w14:paraId="191C0A45" w14:textId="77777777" w:rsidR="002D0AE7" w:rsidRDefault="002D0AE7">
            <w:pPr>
              <w:jc w:val="right"/>
              <w:rPr>
                <w:rFonts w:ascii="Arial Narrow" w:hAnsi="Arial Narrow"/>
                <w:sz w:val="15"/>
                <w:szCs w:val="15"/>
              </w:rPr>
            </w:pPr>
          </w:p>
        </w:tc>
        <w:tc>
          <w:tcPr>
            <w:tcW w:w="152" w:type="pct"/>
            <w:vAlign w:val="center"/>
          </w:tcPr>
          <w:p w14:paraId="63C2B887" w14:textId="77777777" w:rsidR="002D0AE7" w:rsidRDefault="002D0AE7">
            <w:pPr>
              <w:jc w:val="right"/>
              <w:rPr>
                <w:rFonts w:ascii="Arial Narrow" w:hAnsi="Arial Narrow"/>
                <w:sz w:val="15"/>
                <w:szCs w:val="15"/>
              </w:rPr>
            </w:pPr>
          </w:p>
        </w:tc>
        <w:tc>
          <w:tcPr>
            <w:tcW w:w="391" w:type="pct"/>
            <w:vAlign w:val="center"/>
          </w:tcPr>
          <w:p w14:paraId="402E0D7A" w14:textId="77777777" w:rsidR="002D0AE7" w:rsidRDefault="002D0AE7">
            <w:pPr>
              <w:jc w:val="right"/>
              <w:rPr>
                <w:rFonts w:ascii="Arial Narrow" w:hAnsi="Arial Narrow"/>
                <w:sz w:val="15"/>
                <w:szCs w:val="15"/>
              </w:rPr>
            </w:pPr>
          </w:p>
        </w:tc>
        <w:tc>
          <w:tcPr>
            <w:tcW w:w="152" w:type="pct"/>
            <w:vAlign w:val="center"/>
          </w:tcPr>
          <w:p w14:paraId="41C7D384" w14:textId="77777777" w:rsidR="002D0AE7" w:rsidRDefault="002D0AE7">
            <w:pPr>
              <w:jc w:val="right"/>
              <w:rPr>
                <w:rFonts w:ascii="Arial Narrow" w:hAnsi="Arial Narrow"/>
                <w:sz w:val="15"/>
                <w:szCs w:val="15"/>
              </w:rPr>
            </w:pPr>
          </w:p>
        </w:tc>
        <w:tc>
          <w:tcPr>
            <w:tcW w:w="391" w:type="pct"/>
            <w:vAlign w:val="center"/>
          </w:tcPr>
          <w:p w14:paraId="2A0A52C2" w14:textId="77777777" w:rsidR="002D0AE7" w:rsidRDefault="002D0AE7">
            <w:pPr>
              <w:jc w:val="right"/>
              <w:rPr>
                <w:rFonts w:ascii="Arial Narrow" w:hAnsi="Arial Narrow"/>
                <w:sz w:val="15"/>
                <w:szCs w:val="15"/>
              </w:rPr>
            </w:pPr>
          </w:p>
        </w:tc>
        <w:tc>
          <w:tcPr>
            <w:tcW w:w="357" w:type="pct"/>
            <w:vAlign w:val="center"/>
          </w:tcPr>
          <w:p w14:paraId="6915B437" w14:textId="77777777" w:rsidR="002D0AE7" w:rsidRDefault="002D0AE7">
            <w:pPr>
              <w:jc w:val="right"/>
              <w:rPr>
                <w:rFonts w:ascii="Arial Narrow" w:hAnsi="Arial Narrow"/>
                <w:sz w:val="15"/>
                <w:szCs w:val="15"/>
              </w:rPr>
            </w:pPr>
          </w:p>
        </w:tc>
        <w:tc>
          <w:tcPr>
            <w:tcW w:w="391" w:type="pct"/>
            <w:vAlign w:val="center"/>
          </w:tcPr>
          <w:p w14:paraId="00AF96B9" w14:textId="77777777" w:rsidR="002D0AE7" w:rsidRDefault="002D0AE7">
            <w:pPr>
              <w:jc w:val="right"/>
              <w:rPr>
                <w:rFonts w:ascii="Arial Narrow" w:hAnsi="Arial Narrow"/>
                <w:sz w:val="15"/>
                <w:szCs w:val="15"/>
              </w:rPr>
            </w:pPr>
          </w:p>
        </w:tc>
      </w:tr>
      <w:tr w:rsidR="002D0AE7" w14:paraId="39C30EBB" w14:textId="77777777">
        <w:trPr>
          <w:jc w:val="center"/>
        </w:trPr>
        <w:tc>
          <w:tcPr>
            <w:tcW w:w="602" w:type="pct"/>
            <w:vAlign w:val="center"/>
          </w:tcPr>
          <w:p w14:paraId="0E734D82" w14:textId="77777777" w:rsidR="002D0AE7" w:rsidRDefault="00333EBB">
            <w:pPr>
              <w:rPr>
                <w:rFonts w:hint="eastAsia"/>
                <w:color w:val="000000" w:themeColor="text1"/>
                <w:sz w:val="18"/>
                <w:szCs w:val="18"/>
              </w:rPr>
            </w:pPr>
            <w:r>
              <w:rPr>
                <w:color w:val="000000" w:themeColor="text1"/>
                <w:sz w:val="18"/>
                <w:szCs w:val="18"/>
              </w:rPr>
              <w:t>四、本期期末余额</w:t>
            </w:r>
          </w:p>
        </w:tc>
        <w:tc>
          <w:tcPr>
            <w:tcW w:w="394" w:type="pct"/>
            <w:vAlign w:val="center"/>
          </w:tcPr>
          <w:p w14:paraId="78713B08" w14:textId="77777777" w:rsidR="002D0AE7" w:rsidRDefault="00333EBB">
            <w:pPr>
              <w:jc w:val="right"/>
              <w:rPr>
                <w:rFonts w:ascii="Arial Narrow" w:hAnsi="Arial Narrow"/>
                <w:sz w:val="15"/>
                <w:szCs w:val="15"/>
              </w:rPr>
            </w:pPr>
            <w:r>
              <w:rPr>
                <w:rFonts w:ascii="Arial Narrow" w:hAnsi="Arial Narrow"/>
                <w:sz w:val="15"/>
                <w:szCs w:val="15"/>
              </w:rPr>
              <w:t>1,093,932,680.00</w:t>
            </w:r>
          </w:p>
        </w:tc>
        <w:tc>
          <w:tcPr>
            <w:tcW w:w="152" w:type="pct"/>
            <w:vAlign w:val="center"/>
          </w:tcPr>
          <w:p w14:paraId="2AF294B3"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373F54FE" w14:textId="77777777" w:rsidR="002D0AE7" w:rsidRDefault="00333EBB">
            <w:pPr>
              <w:jc w:val="right"/>
              <w:rPr>
                <w:rFonts w:ascii="Arial Narrow" w:hAnsi="Arial Narrow"/>
                <w:sz w:val="15"/>
                <w:szCs w:val="15"/>
              </w:rPr>
            </w:pPr>
            <w:r>
              <w:rPr>
                <w:rFonts w:ascii="Arial Narrow" w:hAnsi="Arial Narrow"/>
                <w:sz w:val="15"/>
                <w:szCs w:val="15"/>
              </w:rPr>
              <w:t>0.00</w:t>
            </w:r>
          </w:p>
        </w:tc>
        <w:tc>
          <w:tcPr>
            <w:tcW w:w="152" w:type="pct"/>
            <w:vAlign w:val="center"/>
          </w:tcPr>
          <w:p w14:paraId="13AC766F" w14:textId="77777777" w:rsidR="002D0AE7" w:rsidRDefault="00333EBB">
            <w:pPr>
              <w:jc w:val="right"/>
              <w:rPr>
                <w:rFonts w:ascii="Arial Narrow" w:hAnsi="Arial Narrow"/>
                <w:sz w:val="15"/>
                <w:szCs w:val="15"/>
              </w:rPr>
            </w:pPr>
            <w:r>
              <w:rPr>
                <w:rFonts w:ascii="Arial Narrow" w:hAnsi="Arial Narrow"/>
                <w:sz w:val="15"/>
                <w:szCs w:val="15"/>
              </w:rPr>
              <w:t>0.00</w:t>
            </w:r>
          </w:p>
        </w:tc>
        <w:tc>
          <w:tcPr>
            <w:tcW w:w="357" w:type="pct"/>
            <w:vAlign w:val="center"/>
          </w:tcPr>
          <w:p w14:paraId="5A4831DA" w14:textId="77777777" w:rsidR="002D0AE7" w:rsidRDefault="00333EBB">
            <w:pPr>
              <w:jc w:val="right"/>
              <w:rPr>
                <w:rFonts w:ascii="Arial Narrow" w:hAnsi="Arial Narrow"/>
                <w:sz w:val="15"/>
                <w:szCs w:val="15"/>
              </w:rPr>
            </w:pPr>
            <w:r>
              <w:rPr>
                <w:rFonts w:ascii="Arial Narrow" w:hAnsi="Arial Narrow"/>
                <w:sz w:val="15"/>
                <w:szCs w:val="15"/>
              </w:rPr>
              <w:t>323,662,644.02</w:t>
            </w:r>
          </w:p>
        </w:tc>
        <w:tc>
          <w:tcPr>
            <w:tcW w:w="334" w:type="pct"/>
            <w:vAlign w:val="center"/>
          </w:tcPr>
          <w:p w14:paraId="1EAD5482" w14:textId="77777777" w:rsidR="002D0AE7" w:rsidRDefault="00333EBB">
            <w:pPr>
              <w:jc w:val="right"/>
              <w:rPr>
                <w:rFonts w:ascii="Arial Narrow" w:hAnsi="Arial Narrow"/>
                <w:sz w:val="15"/>
                <w:szCs w:val="15"/>
              </w:rPr>
            </w:pPr>
            <w:r>
              <w:rPr>
                <w:rFonts w:ascii="Arial Narrow" w:hAnsi="Arial Narrow"/>
                <w:sz w:val="15"/>
                <w:szCs w:val="15"/>
              </w:rPr>
              <w:t>4,726,260.00</w:t>
            </w:r>
          </w:p>
        </w:tc>
        <w:tc>
          <w:tcPr>
            <w:tcW w:w="357" w:type="pct"/>
            <w:vAlign w:val="center"/>
          </w:tcPr>
          <w:p w14:paraId="7A8FD0AC" w14:textId="77777777" w:rsidR="002D0AE7" w:rsidRDefault="00333EBB">
            <w:pPr>
              <w:jc w:val="right"/>
              <w:rPr>
                <w:rFonts w:ascii="Arial Narrow" w:hAnsi="Arial Narrow"/>
                <w:sz w:val="15"/>
                <w:szCs w:val="15"/>
              </w:rPr>
            </w:pPr>
            <w:r>
              <w:rPr>
                <w:rFonts w:ascii="Arial Narrow" w:hAnsi="Arial Narrow"/>
                <w:sz w:val="15"/>
                <w:szCs w:val="15"/>
              </w:rPr>
              <w:t>174,446,965.73</w:t>
            </w:r>
          </w:p>
        </w:tc>
        <w:tc>
          <w:tcPr>
            <w:tcW w:w="311" w:type="pct"/>
            <w:vAlign w:val="center"/>
          </w:tcPr>
          <w:p w14:paraId="7A454154" w14:textId="77777777" w:rsidR="002D0AE7" w:rsidRDefault="00333EBB">
            <w:pPr>
              <w:jc w:val="right"/>
              <w:rPr>
                <w:rFonts w:ascii="Arial Narrow" w:hAnsi="Arial Narrow"/>
                <w:sz w:val="15"/>
                <w:szCs w:val="15"/>
              </w:rPr>
            </w:pPr>
            <w:r>
              <w:rPr>
                <w:rFonts w:ascii="Arial Narrow" w:hAnsi="Arial Narrow"/>
                <w:sz w:val="15"/>
                <w:szCs w:val="15"/>
              </w:rPr>
              <w:t>3,972,061.76</w:t>
            </w:r>
          </w:p>
        </w:tc>
        <w:tc>
          <w:tcPr>
            <w:tcW w:w="357" w:type="pct"/>
            <w:vAlign w:val="center"/>
          </w:tcPr>
          <w:p w14:paraId="4DE8349E" w14:textId="77777777" w:rsidR="002D0AE7" w:rsidRDefault="00333EBB">
            <w:pPr>
              <w:jc w:val="right"/>
              <w:rPr>
                <w:rFonts w:ascii="Arial Narrow" w:hAnsi="Arial Narrow"/>
                <w:sz w:val="15"/>
                <w:szCs w:val="15"/>
              </w:rPr>
            </w:pPr>
            <w:r>
              <w:rPr>
                <w:rFonts w:ascii="Arial Narrow" w:hAnsi="Arial Narrow"/>
                <w:sz w:val="15"/>
                <w:szCs w:val="15"/>
              </w:rPr>
              <w:t>236,464,865.04</w:t>
            </w:r>
          </w:p>
        </w:tc>
        <w:tc>
          <w:tcPr>
            <w:tcW w:w="152" w:type="pct"/>
            <w:vAlign w:val="center"/>
          </w:tcPr>
          <w:p w14:paraId="60376A09"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48EBD6E7" w14:textId="77777777" w:rsidR="002D0AE7" w:rsidRDefault="00333EBB">
            <w:pPr>
              <w:jc w:val="right"/>
              <w:rPr>
                <w:rFonts w:ascii="Arial Narrow" w:hAnsi="Arial Narrow"/>
                <w:sz w:val="15"/>
                <w:szCs w:val="15"/>
              </w:rPr>
            </w:pPr>
            <w:r>
              <w:rPr>
                <w:rFonts w:ascii="Arial Narrow" w:hAnsi="Arial Narrow"/>
                <w:sz w:val="15"/>
                <w:szCs w:val="15"/>
              </w:rPr>
              <w:t>1,265,092,149.07</w:t>
            </w:r>
          </w:p>
        </w:tc>
        <w:tc>
          <w:tcPr>
            <w:tcW w:w="152" w:type="pct"/>
            <w:vAlign w:val="center"/>
          </w:tcPr>
          <w:p w14:paraId="1AA02A85" w14:textId="77777777" w:rsidR="002D0AE7" w:rsidRDefault="00333EBB">
            <w:pPr>
              <w:jc w:val="right"/>
              <w:rPr>
                <w:rFonts w:ascii="Arial Narrow" w:hAnsi="Arial Narrow"/>
                <w:sz w:val="15"/>
                <w:szCs w:val="15"/>
              </w:rPr>
            </w:pPr>
            <w:r>
              <w:rPr>
                <w:rFonts w:ascii="Arial Narrow" w:hAnsi="Arial Narrow"/>
                <w:sz w:val="15"/>
                <w:szCs w:val="15"/>
              </w:rPr>
              <w:t>0.00</w:t>
            </w:r>
          </w:p>
        </w:tc>
        <w:tc>
          <w:tcPr>
            <w:tcW w:w="391" w:type="pct"/>
            <w:vAlign w:val="center"/>
          </w:tcPr>
          <w:p w14:paraId="0D8BF88D" w14:textId="77777777" w:rsidR="002D0AE7" w:rsidRDefault="00333EBB">
            <w:pPr>
              <w:jc w:val="right"/>
              <w:rPr>
                <w:rFonts w:ascii="Arial Narrow" w:hAnsi="Arial Narrow"/>
                <w:sz w:val="15"/>
                <w:szCs w:val="15"/>
              </w:rPr>
            </w:pPr>
            <w:r>
              <w:rPr>
                <w:rFonts w:ascii="Arial Narrow" w:hAnsi="Arial Narrow"/>
                <w:sz w:val="15"/>
                <w:szCs w:val="15"/>
              </w:rPr>
              <w:t>3,092,845,105.62</w:t>
            </w:r>
          </w:p>
        </w:tc>
        <w:tc>
          <w:tcPr>
            <w:tcW w:w="357" w:type="pct"/>
            <w:vAlign w:val="center"/>
          </w:tcPr>
          <w:p w14:paraId="4DCAF098" w14:textId="77777777" w:rsidR="002D0AE7" w:rsidRDefault="00333EBB">
            <w:pPr>
              <w:jc w:val="right"/>
              <w:rPr>
                <w:rFonts w:ascii="Arial Narrow" w:hAnsi="Arial Narrow"/>
                <w:sz w:val="15"/>
                <w:szCs w:val="15"/>
              </w:rPr>
            </w:pPr>
            <w:r>
              <w:rPr>
                <w:rFonts w:ascii="Arial Narrow" w:hAnsi="Arial Narrow"/>
                <w:sz w:val="15"/>
                <w:szCs w:val="15"/>
              </w:rPr>
              <w:t>813,245,082.28</w:t>
            </w:r>
          </w:p>
        </w:tc>
        <w:tc>
          <w:tcPr>
            <w:tcW w:w="391" w:type="pct"/>
            <w:vAlign w:val="center"/>
          </w:tcPr>
          <w:p w14:paraId="7D7CD9F9" w14:textId="77777777" w:rsidR="002D0AE7" w:rsidRDefault="00333EBB">
            <w:pPr>
              <w:jc w:val="right"/>
              <w:rPr>
                <w:rFonts w:ascii="Arial Narrow" w:hAnsi="Arial Narrow"/>
                <w:sz w:val="15"/>
                <w:szCs w:val="15"/>
              </w:rPr>
            </w:pPr>
            <w:r>
              <w:rPr>
                <w:rFonts w:ascii="Arial Narrow" w:hAnsi="Arial Narrow"/>
                <w:sz w:val="15"/>
                <w:szCs w:val="15"/>
              </w:rPr>
              <w:t>3,906,090,187.90</w:t>
            </w:r>
          </w:p>
        </w:tc>
      </w:tr>
    </w:tbl>
    <w:p w14:paraId="0B18FDB8" w14:textId="77777777" w:rsidR="002D0AE7" w:rsidRDefault="002D0AE7">
      <w:pPr>
        <w:rPr>
          <w:rFonts w:hint="eastAsia"/>
          <w:color w:val="000000" w:themeColor="text1"/>
        </w:rPr>
      </w:pPr>
    </w:p>
    <w:p w14:paraId="58CA30E4" w14:textId="77777777" w:rsidR="002D0AE7" w:rsidRDefault="00333EBB">
      <w:pPr>
        <w:snapToGrid w:val="0"/>
        <w:spacing w:line="240" w:lineRule="atLeast"/>
        <w:rPr>
          <w:rFonts w:hint="eastAsia"/>
          <w:b/>
          <w:bCs/>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076a4a0998a840bab20f0ed83e5bab3d"/>
          <w:id w:val="-514465344"/>
          <w:placeholder>
            <w:docPart w:val="GBC22222222222222222222222222222"/>
          </w:placeholder>
          <w:dataBinding w:prefixMappings="xmlns:clcid-mr='clcid-mr'" w:xpath="/*/clcid-mr:GongSiFuZeRenXingMing[not(@periodRef)]" w:storeItemID="{89EBAB94-44A0-46A2-B712-30D997D04A6D}"/>
          <w:text/>
        </w:sdtPr>
        <w:sdtEndPr/>
        <w:sdtContent>
          <w:r>
            <w:rPr>
              <w:rFonts w:hint="eastAsia"/>
              <w:color w:val="000000" w:themeColor="text1"/>
            </w:rPr>
            <w:t>李书箱</w:t>
          </w:r>
        </w:sdtContent>
      </w:sdt>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5b21002df9e248fa81a6770579ce76cd"/>
          <w:id w:val="-36980333"/>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color w:val="000000" w:themeColor="text1"/>
            </w:rPr>
            <w:t>朱立延</w:t>
          </w:r>
        </w:sdtContent>
      </w:sdt>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6a446d6543174dc48c72d440eefb0b71"/>
          <w:id w:val="-1709331871"/>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color w:val="000000" w:themeColor="text1"/>
            </w:rPr>
            <w:t>王于飞</w:t>
          </w:r>
        </w:sdtContent>
      </w:sdt>
    </w:p>
    <w:p w14:paraId="5FC28BBE" w14:textId="77777777" w:rsidR="002D0AE7" w:rsidRDefault="002D0AE7">
      <w:pPr>
        <w:rPr>
          <w:rFonts w:hint="eastAsia"/>
          <w:color w:val="000000" w:themeColor="text1"/>
        </w:rPr>
      </w:pPr>
    </w:p>
    <w:p w14:paraId="4577EDF6" w14:textId="77777777" w:rsidR="002D0AE7" w:rsidRDefault="00333EBB">
      <w:pPr>
        <w:pStyle w:val="3"/>
        <w:jc w:val="center"/>
        <w:rPr>
          <w:rFonts w:ascii="宋体" w:hAnsi="宋体" w:hint="eastAsia"/>
          <w:color w:val="000000" w:themeColor="text1"/>
        </w:rPr>
      </w:pPr>
      <w:r>
        <w:rPr>
          <w:rFonts w:ascii="宋体" w:hAnsi="宋体"/>
          <w:color w:val="000000" w:themeColor="text1"/>
        </w:rPr>
        <w:t>母公司</w:t>
      </w:r>
      <w:r>
        <w:rPr>
          <w:rFonts w:ascii="宋体" w:hAnsi="宋体" w:hint="eastAsia"/>
          <w:color w:val="000000" w:themeColor="text1"/>
        </w:rPr>
        <w:t>所有者权益变动表</w:t>
      </w:r>
    </w:p>
    <w:p w14:paraId="24F0CC76" w14:textId="77777777" w:rsidR="002D0AE7" w:rsidRDefault="00333EBB">
      <w:pPr>
        <w:tabs>
          <w:tab w:val="left" w:pos="10080"/>
        </w:tabs>
        <w:snapToGrid w:val="0"/>
        <w:spacing w:line="240" w:lineRule="atLeast"/>
        <w:ind w:rightChars="12" w:right="29"/>
        <w:jc w:val="center"/>
        <w:rPr>
          <w:rFonts w:hint="eastAsia"/>
          <w:b/>
          <w:bCs/>
          <w:color w:val="000000" w:themeColor="text1"/>
        </w:rPr>
      </w:pPr>
      <w:r>
        <w:rPr>
          <w:color w:val="000000" w:themeColor="text1"/>
        </w:rPr>
        <w:t>2024</w:t>
      </w:r>
      <w:r>
        <w:rPr>
          <w:color w:val="000000" w:themeColor="text1"/>
        </w:rPr>
        <w:t>年</w:t>
      </w:r>
      <w:r>
        <w:rPr>
          <w:rFonts w:hint="eastAsia"/>
          <w:color w:val="000000" w:themeColor="text1"/>
        </w:rPr>
        <w:t>1</w:t>
      </w:r>
      <w:r>
        <w:rPr>
          <w:rFonts w:hint="eastAsia"/>
          <w:color w:val="000000" w:themeColor="text1"/>
        </w:rPr>
        <w:t>—</w:t>
      </w:r>
      <w:r>
        <w:rPr>
          <w:rFonts w:hint="eastAsia"/>
          <w:color w:val="000000" w:themeColor="text1"/>
        </w:rPr>
        <w:t>6</w:t>
      </w:r>
      <w:r>
        <w:rPr>
          <w:color w:val="000000" w:themeColor="text1"/>
        </w:rPr>
        <w:t>月</w:t>
      </w:r>
    </w:p>
    <w:p w14:paraId="44E09964" w14:textId="77777777" w:rsidR="002D0AE7" w:rsidRDefault="00333EBB">
      <w:pPr>
        <w:snapToGrid w:val="0"/>
        <w:spacing w:line="240" w:lineRule="atLeast"/>
        <w:jc w:val="right"/>
        <w:rPr>
          <w:rFonts w:hint="eastAsia"/>
          <w:color w:val="000000" w:themeColor="text1"/>
        </w:rPr>
      </w:pPr>
      <w:r>
        <w:rPr>
          <w:color w:val="000000" w:themeColor="text1"/>
        </w:rPr>
        <w:t>单位：</w:t>
      </w:r>
      <w:sdt>
        <w:sdtPr>
          <w:rPr>
            <w:color w:val="000000" w:themeColor="text1"/>
          </w:rPr>
          <w:alias w:val="单位：母公司股东权益调节表"/>
          <w:tag w:val="_GBC_048773409e614c6bb753000b028316a5"/>
          <w:id w:val="-163902414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color w:val="000000" w:themeColor="text1"/>
        </w:rPr>
        <w:t>币种：</w:t>
      </w:r>
      <w:sdt>
        <w:sdtPr>
          <w:rPr>
            <w:color w:val="000000" w:themeColor="text1"/>
          </w:rPr>
          <w:alias w:val="币种：母公司股东权益调节表"/>
          <w:tag w:val="_GBC_5214b7a188334da286fc3038d017d072"/>
          <w:id w:val="-87315810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145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1276"/>
        <w:gridCol w:w="567"/>
        <w:gridCol w:w="567"/>
        <w:gridCol w:w="567"/>
        <w:gridCol w:w="1134"/>
        <w:gridCol w:w="992"/>
        <w:gridCol w:w="1134"/>
        <w:gridCol w:w="1134"/>
        <w:gridCol w:w="1134"/>
        <w:gridCol w:w="1134"/>
        <w:gridCol w:w="1212"/>
      </w:tblGrid>
      <w:tr w:rsidR="002D0AE7" w14:paraId="7A698CAA" w14:textId="77777777">
        <w:trPr>
          <w:trHeight w:val="20"/>
          <w:jc w:val="center"/>
        </w:trPr>
        <w:sdt>
          <w:sdtPr>
            <w:rPr>
              <w:color w:val="000000" w:themeColor="text1"/>
            </w:rPr>
            <w:tag w:val="_PLD_e16babcb874e4410be91226aac3d24db"/>
            <w:id w:val="2018584677"/>
          </w:sdtPr>
          <w:sdtEndPr/>
          <w:sdtContent>
            <w:tc>
              <w:tcPr>
                <w:tcW w:w="3681" w:type="dxa"/>
                <w:vMerge w:val="restart"/>
                <w:vAlign w:val="center"/>
              </w:tcPr>
              <w:p w14:paraId="776978F3" w14:textId="77777777" w:rsidR="002D0AE7" w:rsidRDefault="00333EBB">
                <w:pPr>
                  <w:adjustRightInd w:val="0"/>
                  <w:snapToGrid w:val="0"/>
                  <w:jc w:val="center"/>
                  <w:rPr>
                    <w:rFonts w:hint="eastAsia"/>
                    <w:color w:val="000000" w:themeColor="text1"/>
                    <w:sz w:val="18"/>
                    <w:szCs w:val="18"/>
                  </w:rPr>
                </w:pPr>
                <w:r>
                  <w:rPr>
                    <w:rFonts w:hint="eastAsia"/>
                    <w:color w:val="000000" w:themeColor="text1"/>
                    <w:sz w:val="18"/>
                    <w:szCs w:val="18"/>
                  </w:rPr>
                  <w:t>项目</w:t>
                </w:r>
              </w:p>
            </w:tc>
          </w:sdtContent>
        </w:sdt>
        <w:tc>
          <w:tcPr>
            <w:tcW w:w="10851" w:type="dxa"/>
            <w:gridSpan w:val="11"/>
            <w:vAlign w:val="center"/>
          </w:tcPr>
          <w:p w14:paraId="24520A80" w14:textId="77777777" w:rsidR="002D0AE7" w:rsidRDefault="00333EBB">
            <w:pPr>
              <w:adjustRightInd w:val="0"/>
              <w:snapToGrid w:val="0"/>
              <w:jc w:val="center"/>
              <w:rPr>
                <w:rFonts w:hint="eastAsia"/>
                <w:color w:val="000000" w:themeColor="text1"/>
              </w:rPr>
            </w:pPr>
            <w:sdt>
              <w:sdtPr>
                <w:rPr>
                  <w:rFonts w:hint="eastAsia"/>
                  <w:color w:val="000000" w:themeColor="text1"/>
                </w:rPr>
                <w:tag w:val="_PLD_f6e21c3ce66d4e148eea3bf743a653b8"/>
                <w:id w:val="-29502741"/>
              </w:sdtPr>
              <w:sdtEndPr/>
              <w:sdtContent>
                <w:r>
                  <w:rPr>
                    <w:rFonts w:hint="eastAsia"/>
                    <w:color w:val="000000" w:themeColor="text1"/>
                    <w:sz w:val="18"/>
                  </w:rPr>
                  <w:t>2024</w:t>
                </w:r>
                <w:r>
                  <w:rPr>
                    <w:rFonts w:hint="eastAsia"/>
                    <w:color w:val="000000" w:themeColor="text1"/>
                    <w:sz w:val="18"/>
                  </w:rPr>
                  <w:t>年半年度</w:t>
                </w:r>
              </w:sdtContent>
            </w:sdt>
          </w:p>
        </w:tc>
      </w:tr>
      <w:tr w:rsidR="002D0AE7" w14:paraId="2FD0E6A5" w14:textId="77777777">
        <w:trPr>
          <w:trHeight w:val="315"/>
          <w:jc w:val="center"/>
        </w:trPr>
        <w:tc>
          <w:tcPr>
            <w:tcW w:w="3681" w:type="dxa"/>
            <w:vMerge/>
          </w:tcPr>
          <w:p w14:paraId="3E46507E" w14:textId="77777777" w:rsidR="002D0AE7" w:rsidRDefault="002D0AE7">
            <w:pPr>
              <w:adjustRightInd w:val="0"/>
              <w:snapToGrid w:val="0"/>
              <w:rPr>
                <w:rFonts w:hint="eastAsia"/>
                <w:color w:val="000000" w:themeColor="text1"/>
                <w:sz w:val="18"/>
                <w:szCs w:val="18"/>
              </w:rPr>
            </w:pPr>
          </w:p>
        </w:tc>
        <w:sdt>
          <w:sdtPr>
            <w:rPr>
              <w:color w:val="000000" w:themeColor="text1"/>
            </w:rPr>
            <w:tag w:val="_PLD_0b6e9703ed65458cb162afd47e6cc9f5"/>
            <w:id w:val="-319808098"/>
          </w:sdtPr>
          <w:sdtEndPr/>
          <w:sdtContent>
            <w:tc>
              <w:tcPr>
                <w:tcW w:w="1276" w:type="dxa"/>
                <w:vMerge w:val="restart"/>
                <w:tcBorders>
                  <w:right w:val="single" w:sz="4" w:space="0" w:color="auto"/>
                </w:tcBorders>
                <w:vAlign w:val="center"/>
              </w:tcPr>
              <w:p w14:paraId="2A8AB9A2" w14:textId="77777777" w:rsidR="002D0AE7" w:rsidRDefault="00333EBB">
                <w:pPr>
                  <w:adjustRightInd w:val="0"/>
                  <w:snapToGrid w:val="0"/>
                  <w:jc w:val="center"/>
                  <w:rPr>
                    <w:rFonts w:hint="eastAsia"/>
                    <w:color w:val="000000" w:themeColor="text1"/>
                    <w:sz w:val="18"/>
                    <w:szCs w:val="18"/>
                  </w:rPr>
                </w:pPr>
                <w:r>
                  <w:rPr>
                    <w:rFonts w:hint="eastAsia"/>
                    <w:color w:val="000000" w:themeColor="text1"/>
                    <w:sz w:val="18"/>
                    <w:szCs w:val="18"/>
                  </w:rPr>
                  <w:t>实收资本</w:t>
                </w:r>
                <w:r>
                  <w:rPr>
                    <w:color w:val="000000" w:themeColor="text1"/>
                    <w:sz w:val="18"/>
                    <w:szCs w:val="18"/>
                  </w:rPr>
                  <w:t>(</w:t>
                </w:r>
                <w:r>
                  <w:rPr>
                    <w:color w:val="000000" w:themeColor="text1"/>
                    <w:sz w:val="18"/>
                    <w:szCs w:val="18"/>
                  </w:rPr>
                  <w:t>或股本</w:t>
                </w:r>
                <w:r>
                  <w:rPr>
                    <w:color w:val="000000" w:themeColor="text1"/>
                    <w:sz w:val="18"/>
                    <w:szCs w:val="18"/>
                  </w:rPr>
                  <w:t>)</w:t>
                </w:r>
              </w:p>
            </w:tc>
          </w:sdtContent>
        </w:sdt>
        <w:sdt>
          <w:sdtPr>
            <w:rPr>
              <w:color w:val="000000" w:themeColor="text1"/>
            </w:rPr>
            <w:tag w:val="_PLD_385a3413585444238bb59d181b958311"/>
            <w:id w:val="1932007469"/>
          </w:sdtPr>
          <w:sdtEndPr/>
          <w:sdtContent>
            <w:tc>
              <w:tcPr>
                <w:tcW w:w="1701" w:type="dxa"/>
                <w:gridSpan w:val="3"/>
                <w:tcBorders>
                  <w:left w:val="single" w:sz="4" w:space="0" w:color="auto"/>
                  <w:bottom w:val="single" w:sz="4" w:space="0" w:color="auto"/>
                </w:tcBorders>
                <w:vAlign w:val="center"/>
              </w:tcPr>
              <w:p w14:paraId="270036BF" w14:textId="77777777" w:rsidR="002D0AE7" w:rsidRDefault="00333EBB">
                <w:pPr>
                  <w:adjustRightInd w:val="0"/>
                  <w:snapToGrid w:val="0"/>
                  <w:jc w:val="center"/>
                  <w:rPr>
                    <w:rFonts w:hint="eastAsia"/>
                    <w:color w:val="000000" w:themeColor="text1"/>
                    <w:sz w:val="18"/>
                    <w:szCs w:val="18"/>
                  </w:rPr>
                </w:pPr>
                <w:r>
                  <w:rPr>
                    <w:rFonts w:hint="eastAsia"/>
                    <w:color w:val="000000" w:themeColor="text1"/>
                    <w:sz w:val="18"/>
                    <w:szCs w:val="18"/>
                  </w:rPr>
                  <w:t>其他权益工具</w:t>
                </w:r>
              </w:p>
            </w:tc>
          </w:sdtContent>
        </w:sdt>
        <w:sdt>
          <w:sdtPr>
            <w:rPr>
              <w:color w:val="000000" w:themeColor="text1"/>
            </w:rPr>
            <w:tag w:val="_PLD_670488de432c4150880353e82f6ebb21"/>
            <w:id w:val="-857655635"/>
          </w:sdtPr>
          <w:sdtEndPr/>
          <w:sdtContent>
            <w:tc>
              <w:tcPr>
                <w:tcW w:w="1134" w:type="dxa"/>
                <w:vMerge w:val="restart"/>
                <w:vAlign w:val="center"/>
              </w:tcPr>
              <w:p w14:paraId="4E410E62" w14:textId="77777777" w:rsidR="002D0AE7" w:rsidRDefault="00333EBB">
                <w:pPr>
                  <w:adjustRightInd w:val="0"/>
                  <w:snapToGrid w:val="0"/>
                  <w:jc w:val="center"/>
                  <w:rPr>
                    <w:rFonts w:hint="eastAsia"/>
                    <w:color w:val="000000" w:themeColor="text1"/>
                    <w:sz w:val="18"/>
                    <w:szCs w:val="18"/>
                  </w:rPr>
                </w:pPr>
                <w:r>
                  <w:rPr>
                    <w:color w:val="000000" w:themeColor="text1"/>
                    <w:sz w:val="18"/>
                    <w:szCs w:val="18"/>
                  </w:rPr>
                  <w:t>资本公积</w:t>
                </w:r>
              </w:p>
            </w:tc>
          </w:sdtContent>
        </w:sdt>
        <w:sdt>
          <w:sdtPr>
            <w:rPr>
              <w:color w:val="000000" w:themeColor="text1"/>
            </w:rPr>
            <w:tag w:val="_PLD_c1c25c4e521b4e8aba5ccfef16a558c5"/>
            <w:id w:val="-739019940"/>
          </w:sdtPr>
          <w:sdtEndPr/>
          <w:sdtContent>
            <w:tc>
              <w:tcPr>
                <w:tcW w:w="992" w:type="dxa"/>
                <w:vMerge w:val="restart"/>
                <w:vAlign w:val="center"/>
              </w:tcPr>
              <w:p w14:paraId="30D1AD01" w14:textId="77777777" w:rsidR="002D0AE7" w:rsidRDefault="00333EBB">
                <w:pPr>
                  <w:adjustRightInd w:val="0"/>
                  <w:snapToGrid w:val="0"/>
                  <w:jc w:val="center"/>
                  <w:rPr>
                    <w:rFonts w:hint="eastAsia"/>
                    <w:color w:val="000000" w:themeColor="text1"/>
                    <w:sz w:val="18"/>
                    <w:szCs w:val="18"/>
                  </w:rPr>
                </w:pPr>
                <w:r>
                  <w:rPr>
                    <w:color w:val="000000" w:themeColor="text1"/>
                    <w:sz w:val="18"/>
                    <w:szCs w:val="18"/>
                  </w:rPr>
                  <w:t>减：库存股</w:t>
                </w:r>
              </w:p>
            </w:tc>
          </w:sdtContent>
        </w:sdt>
        <w:sdt>
          <w:sdtPr>
            <w:rPr>
              <w:color w:val="000000" w:themeColor="text1"/>
            </w:rPr>
            <w:tag w:val="_PLD_4ef83c170ca54a08ac6fcebc6a487dcd"/>
            <w:id w:val="-317107801"/>
          </w:sdtPr>
          <w:sdtEndPr/>
          <w:sdtContent>
            <w:tc>
              <w:tcPr>
                <w:tcW w:w="1134" w:type="dxa"/>
                <w:vMerge w:val="restart"/>
                <w:vAlign w:val="center"/>
              </w:tcPr>
              <w:p w14:paraId="76E6CC50" w14:textId="77777777" w:rsidR="002D0AE7" w:rsidRDefault="00333EBB">
                <w:pPr>
                  <w:jc w:val="center"/>
                  <w:rPr>
                    <w:rFonts w:hint="eastAsia"/>
                    <w:color w:val="000000" w:themeColor="text1"/>
                    <w:sz w:val="18"/>
                    <w:szCs w:val="18"/>
                  </w:rPr>
                </w:pPr>
                <w:r>
                  <w:rPr>
                    <w:rFonts w:hint="eastAsia"/>
                    <w:color w:val="000000" w:themeColor="text1"/>
                    <w:sz w:val="18"/>
                    <w:szCs w:val="18"/>
                  </w:rPr>
                  <w:t>其他综合收益</w:t>
                </w:r>
              </w:p>
            </w:tc>
          </w:sdtContent>
        </w:sdt>
        <w:sdt>
          <w:sdtPr>
            <w:rPr>
              <w:color w:val="000000" w:themeColor="text1"/>
            </w:rPr>
            <w:tag w:val="_PLD_5a42f2a835d44138928915520fc5e902"/>
            <w:id w:val="-1133634908"/>
          </w:sdtPr>
          <w:sdtEndPr/>
          <w:sdtContent>
            <w:tc>
              <w:tcPr>
                <w:tcW w:w="1134" w:type="dxa"/>
                <w:vMerge w:val="restart"/>
                <w:vAlign w:val="center"/>
              </w:tcPr>
              <w:p w14:paraId="0F3907CF" w14:textId="77777777" w:rsidR="002D0AE7" w:rsidRDefault="00333EBB">
                <w:pPr>
                  <w:adjustRightInd w:val="0"/>
                  <w:snapToGrid w:val="0"/>
                  <w:jc w:val="center"/>
                  <w:rPr>
                    <w:rFonts w:hint="eastAsia"/>
                    <w:color w:val="000000" w:themeColor="text1"/>
                    <w:sz w:val="18"/>
                    <w:szCs w:val="18"/>
                  </w:rPr>
                </w:pPr>
                <w:r>
                  <w:rPr>
                    <w:rFonts w:hint="eastAsia"/>
                    <w:color w:val="000000" w:themeColor="text1"/>
                    <w:sz w:val="18"/>
                    <w:szCs w:val="18"/>
                  </w:rPr>
                  <w:t>专项储备</w:t>
                </w:r>
              </w:p>
            </w:tc>
          </w:sdtContent>
        </w:sdt>
        <w:sdt>
          <w:sdtPr>
            <w:rPr>
              <w:color w:val="000000" w:themeColor="text1"/>
            </w:rPr>
            <w:tag w:val="_PLD_dbef0e1514f54b8ab8b43e975d3451b6"/>
            <w:id w:val="1554959534"/>
          </w:sdtPr>
          <w:sdtEndPr/>
          <w:sdtContent>
            <w:tc>
              <w:tcPr>
                <w:tcW w:w="1134" w:type="dxa"/>
                <w:vMerge w:val="restart"/>
                <w:vAlign w:val="center"/>
              </w:tcPr>
              <w:p w14:paraId="19ED55A9" w14:textId="77777777" w:rsidR="002D0AE7" w:rsidRDefault="00333EBB">
                <w:pPr>
                  <w:adjustRightInd w:val="0"/>
                  <w:snapToGrid w:val="0"/>
                  <w:jc w:val="center"/>
                  <w:rPr>
                    <w:rFonts w:hint="eastAsia"/>
                    <w:color w:val="000000" w:themeColor="text1"/>
                    <w:sz w:val="18"/>
                    <w:szCs w:val="18"/>
                  </w:rPr>
                </w:pPr>
                <w:r>
                  <w:rPr>
                    <w:color w:val="000000" w:themeColor="text1"/>
                    <w:sz w:val="18"/>
                    <w:szCs w:val="18"/>
                  </w:rPr>
                  <w:t>盈余公积</w:t>
                </w:r>
              </w:p>
            </w:tc>
          </w:sdtContent>
        </w:sdt>
        <w:sdt>
          <w:sdtPr>
            <w:rPr>
              <w:color w:val="000000" w:themeColor="text1"/>
            </w:rPr>
            <w:tag w:val="_PLD_63b6c2969ec64e7abb1802f027c1069a"/>
            <w:id w:val="-1651890078"/>
          </w:sdtPr>
          <w:sdtEndPr/>
          <w:sdtContent>
            <w:tc>
              <w:tcPr>
                <w:tcW w:w="1134" w:type="dxa"/>
                <w:vMerge w:val="restart"/>
                <w:vAlign w:val="center"/>
              </w:tcPr>
              <w:p w14:paraId="40FBF67B" w14:textId="77777777" w:rsidR="002D0AE7" w:rsidRDefault="00333EBB">
                <w:pPr>
                  <w:adjustRightInd w:val="0"/>
                  <w:snapToGrid w:val="0"/>
                  <w:jc w:val="center"/>
                  <w:rPr>
                    <w:rFonts w:hint="eastAsia"/>
                    <w:color w:val="000000" w:themeColor="text1"/>
                    <w:sz w:val="18"/>
                    <w:szCs w:val="18"/>
                  </w:rPr>
                </w:pPr>
                <w:r>
                  <w:rPr>
                    <w:color w:val="000000" w:themeColor="text1"/>
                    <w:sz w:val="18"/>
                    <w:szCs w:val="18"/>
                  </w:rPr>
                  <w:t>未分配利润</w:t>
                </w:r>
              </w:p>
            </w:tc>
          </w:sdtContent>
        </w:sdt>
        <w:sdt>
          <w:sdtPr>
            <w:rPr>
              <w:color w:val="000000" w:themeColor="text1"/>
            </w:rPr>
            <w:tag w:val="_PLD_cdd38492b3a84e28b52c6700432babfd"/>
            <w:id w:val="-2076107021"/>
          </w:sdtPr>
          <w:sdtEndPr/>
          <w:sdtContent>
            <w:tc>
              <w:tcPr>
                <w:tcW w:w="1212" w:type="dxa"/>
                <w:vMerge w:val="restart"/>
                <w:vAlign w:val="center"/>
              </w:tcPr>
              <w:p w14:paraId="1D2BAE78" w14:textId="77777777" w:rsidR="002D0AE7" w:rsidRDefault="00333EBB">
                <w:pPr>
                  <w:adjustRightInd w:val="0"/>
                  <w:snapToGrid w:val="0"/>
                  <w:jc w:val="center"/>
                  <w:rPr>
                    <w:rFonts w:hint="eastAsia"/>
                    <w:color w:val="000000" w:themeColor="text1"/>
                    <w:sz w:val="18"/>
                    <w:szCs w:val="18"/>
                  </w:rPr>
                </w:pPr>
                <w:r>
                  <w:rPr>
                    <w:color w:val="000000" w:themeColor="text1"/>
                    <w:sz w:val="18"/>
                    <w:szCs w:val="18"/>
                  </w:rPr>
                  <w:t>所有者权益合计</w:t>
                </w:r>
              </w:p>
            </w:tc>
          </w:sdtContent>
        </w:sdt>
      </w:tr>
      <w:tr w:rsidR="002D0AE7" w14:paraId="5BB029E6" w14:textId="77777777">
        <w:trPr>
          <w:trHeight w:val="294"/>
          <w:jc w:val="center"/>
        </w:trPr>
        <w:tc>
          <w:tcPr>
            <w:tcW w:w="3681" w:type="dxa"/>
            <w:vMerge/>
          </w:tcPr>
          <w:p w14:paraId="7C2D127E" w14:textId="77777777" w:rsidR="002D0AE7" w:rsidRDefault="002D0AE7">
            <w:pPr>
              <w:adjustRightInd w:val="0"/>
              <w:snapToGrid w:val="0"/>
              <w:rPr>
                <w:rFonts w:hint="eastAsia"/>
                <w:color w:val="000000" w:themeColor="text1"/>
                <w:sz w:val="18"/>
                <w:szCs w:val="18"/>
              </w:rPr>
            </w:pPr>
          </w:p>
        </w:tc>
        <w:tc>
          <w:tcPr>
            <w:tcW w:w="1276" w:type="dxa"/>
            <w:vMerge/>
            <w:tcBorders>
              <w:right w:val="single" w:sz="4" w:space="0" w:color="auto"/>
            </w:tcBorders>
            <w:vAlign w:val="center"/>
          </w:tcPr>
          <w:p w14:paraId="682B61B5" w14:textId="77777777" w:rsidR="002D0AE7" w:rsidRDefault="002D0AE7">
            <w:pPr>
              <w:adjustRightInd w:val="0"/>
              <w:snapToGrid w:val="0"/>
              <w:jc w:val="center"/>
              <w:rPr>
                <w:rFonts w:hint="eastAsia"/>
                <w:color w:val="000000" w:themeColor="text1"/>
                <w:sz w:val="18"/>
                <w:szCs w:val="18"/>
              </w:rPr>
            </w:pPr>
          </w:p>
        </w:tc>
        <w:sdt>
          <w:sdtPr>
            <w:rPr>
              <w:color w:val="000000" w:themeColor="text1"/>
            </w:rPr>
            <w:tag w:val="_PLD_90c1cf3c29414463ba491093caed23a7"/>
            <w:id w:val="-1352099183"/>
          </w:sdtPr>
          <w:sdtEndPr/>
          <w:sdtContent>
            <w:tc>
              <w:tcPr>
                <w:tcW w:w="567" w:type="dxa"/>
                <w:tcBorders>
                  <w:top w:val="single" w:sz="4" w:space="0" w:color="auto"/>
                  <w:left w:val="single" w:sz="4" w:space="0" w:color="auto"/>
                  <w:right w:val="single" w:sz="4" w:space="0" w:color="auto"/>
                </w:tcBorders>
                <w:vAlign w:val="center"/>
              </w:tcPr>
              <w:p w14:paraId="6350595C" w14:textId="77777777" w:rsidR="002D0AE7" w:rsidRDefault="00333EBB">
                <w:pPr>
                  <w:adjustRightInd w:val="0"/>
                  <w:snapToGrid w:val="0"/>
                  <w:jc w:val="center"/>
                  <w:rPr>
                    <w:rFonts w:hint="eastAsia"/>
                    <w:color w:val="000000" w:themeColor="text1"/>
                    <w:sz w:val="18"/>
                    <w:szCs w:val="18"/>
                  </w:rPr>
                </w:pPr>
                <w:r>
                  <w:rPr>
                    <w:rFonts w:hint="eastAsia"/>
                    <w:color w:val="000000" w:themeColor="text1"/>
                    <w:sz w:val="18"/>
                    <w:szCs w:val="18"/>
                  </w:rPr>
                  <w:t>优先股</w:t>
                </w:r>
              </w:p>
            </w:tc>
          </w:sdtContent>
        </w:sdt>
        <w:sdt>
          <w:sdtPr>
            <w:rPr>
              <w:color w:val="000000" w:themeColor="text1"/>
            </w:rPr>
            <w:tag w:val="_PLD_7dac20c025664b94b7a2176be4c24d00"/>
            <w:id w:val="418219921"/>
          </w:sdtPr>
          <w:sdtEndPr/>
          <w:sdtContent>
            <w:tc>
              <w:tcPr>
                <w:tcW w:w="567" w:type="dxa"/>
                <w:tcBorders>
                  <w:top w:val="single" w:sz="4" w:space="0" w:color="auto"/>
                  <w:left w:val="single" w:sz="4" w:space="0" w:color="auto"/>
                  <w:right w:val="single" w:sz="4" w:space="0" w:color="auto"/>
                </w:tcBorders>
                <w:vAlign w:val="center"/>
              </w:tcPr>
              <w:p w14:paraId="1C80FAE3" w14:textId="77777777" w:rsidR="002D0AE7" w:rsidRDefault="00333EBB">
                <w:pPr>
                  <w:adjustRightInd w:val="0"/>
                  <w:snapToGrid w:val="0"/>
                  <w:jc w:val="center"/>
                  <w:rPr>
                    <w:rFonts w:hint="eastAsia"/>
                    <w:color w:val="000000" w:themeColor="text1"/>
                    <w:sz w:val="18"/>
                    <w:szCs w:val="18"/>
                  </w:rPr>
                </w:pPr>
                <w:r>
                  <w:rPr>
                    <w:rFonts w:hint="eastAsia"/>
                    <w:color w:val="000000" w:themeColor="text1"/>
                    <w:sz w:val="18"/>
                    <w:szCs w:val="18"/>
                  </w:rPr>
                  <w:t>永续债</w:t>
                </w:r>
              </w:p>
            </w:tc>
          </w:sdtContent>
        </w:sdt>
        <w:sdt>
          <w:sdtPr>
            <w:rPr>
              <w:color w:val="000000" w:themeColor="text1"/>
            </w:rPr>
            <w:tag w:val="_PLD_23829f284d5149ee92e64b94083b1ade"/>
            <w:id w:val="583813519"/>
          </w:sdtPr>
          <w:sdtEndPr/>
          <w:sdtContent>
            <w:tc>
              <w:tcPr>
                <w:tcW w:w="567" w:type="dxa"/>
                <w:tcBorders>
                  <w:top w:val="single" w:sz="4" w:space="0" w:color="auto"/>
                  <w:left w:val="single" w:sz="4" w:space="0" w:color="auto"/>
                </w:tcBorders>
                <w:vAlign w:val="center"/>
              </w:tcPr>
              <w:p w14:paraId="1B258F7D" w14:textId="77777777" w:rsidR="002D0AE7" w:rsidRDefault="00333EBB">
                <w:pPr>
                  <w:adjustRightInd w:val="0"/>
                  <w:snapToGrid w:val="0"/>
                  <w:jc w:val="center"/>
                  <w:rPr>
                    <w:rFonts w:hint="eastAsia"/>
                    <w:color w:val="000000" w:themeColor="text1"/>
                    <w:sz w:val="18"/>
                    <w:szCs w:val="18"/>
                  </w:rPr>
                </w:pPr>
                <w:r>
                  <w:rPr>
                    <w:rFonts w:hint="eastAsia"/>
                    <w:color w:val="000000" w:themeColor="text1"/>
                    <w:sz w:val="18"/>
                    <w:szCs w:val="18"/>
                  </w:rPr>
                  <w:t>其他</w:t>
                </w:r>
              </w:p>
            </w:tc>
          </w:sdtContent>
        </w:sdt>
        <w:tc>
          <w:tcPr>
            <w:tcW w:w="1134" w:type="dxa"/>
            <w:vMerge/>
          </w:tcPr>
          <w:p w14:paraId="0AFE6AA8" w14:textId="77777777" w:rsidR="002D0AE7" w:rsidRDefault="002D0AE7">
            <w:pPr>
              <w:adjustRightInd w:val="0"/>
              <w:snapToGrid w:val="0"/>
              <w:jc w:val="center"/>
              <w:rPr>
                <w:rFonts w:hint="eastAsia"/>
                <w:color w:val="000000" w:themeColor="text1"/>
                <w:sz w:val="18"/>
                <w:szCs w:val="18"/>
              </w:rPr>
            </w:pPr>
          </w:p>
        </w:tc>
        <w:tc>
          <w:tcPr>
            <w:tcW w:w="992" w:type="dxa"/>
            <w:vMerge/>
          </w:tcPr>
          <w:p w14:paraId="5D4E6401" w14:textId="77777777" w:rsidR="002D0AE7" w:rsidRDefault="002D0AE7">
            <w:pPr>
              <w:adjustRightInd w:val="0"/>
              <w:snapToGrid w:val="0"/>
              <w:jc w:val="center"/>
              <w:rPr>
                <w:rFonts w:hint="eastAsia"/>
                <w:color w:val="000000" w:themeColor="text1"/>
                <w:sz w:val="18"/>
                <w:szCs w:val="18"/>
              </w:rPr>
            </w:pPr>
          </w:p>
        </w:tc>
        <w:tc>
          <w:tcPr>
            <w:tcW w:w="1134" w:type="dxa"/>
            <w:vMerge/>
          </w:tcPr>
          <w:p w14:paraId="235F6450" w14:textId="77777777" w:rsidR="002D0AE7" w:rsidRDefault="002D0AE7">
            <w:pPr>
              <w:jc w:val="center"/>
              <w:rPr>
                <w:rFonts w:hint="eastAsia"/>
                <w:color w:val="000000" w:themeColor="text1"/>
                <w:sz w:val="18"/>
                <w:szCs w:val="18"/>
              </w:rPr>
            </w:pPr>
          </w:p>
        </w:tc>
        <w:tc>
          <w:tcPr>
            <w:tcW w:w="1134" w:type="dxa"/>
            <w:vMerge/>
          </w:tcPr>
          <w:p w14:paraId="1D9824C3" w14:textId="77777777" w:rsidR="002D0AE7" w:rsidRDefault="002D0AE7">
            <w:pPr>
              <w:adjustRightInd w:val="0"/>
              <w:snapToGrid w:val="0"/>
              <w:jc w:val="center"/>
              <w:rPr>
                <w:rFonts w:hint="eastAsia"/>
                <w:color w:val="000000" w:themeColor="text1"/>
                <w:sz w:val="18"/>
                <w:szCs w:val="18"/>
              </w:rPr>
            </w:pPr>
          </w:p>
        </w:tc>
        <w:tc>
          <w:tcPr>
            <w:tcW w:w="1134" w:type="dxa"/>
            <w:vMerge/>
          </w:tcPr>
          <w:p w14:paraId="70C6FC31" w14:textId="77777777" w:rsidR="002D0AE7" w:rsidRDefault="002D0AE7">
            <w:pPr>
              <w:adjustRightInd w:val="0"/>
              <w:snapToGrid w:val="0"/>
              <w:jc w:val="center"/>
              <w:rPr>
                <w:rFonts w:hint="eastAsia"/>
                <w:color w:val="000000" w:themeColor="text1"/>
                <w:sz w:val="18"/>
                <w:szCs w:val="18"/>
              </w:rPr>
            </w:pPr>
          </w:p>
        </w:tc>
        <w:tc>
          <w:tcPr>
            <w:tcW w:w="1134" w:type="dxa"/>
            <w:vMerge/>
          </w:tcPr>
          <w:p w14:paraId="1CC5DC37" w14:textId="77777777" w:rsidR="002D0AE7" w:rsidRDefault="002D0AE7">
            <w:pPr>
              <w:adjustRightInd w:val="0"/>
              <w:snapToGrid w:val="0"/>
              <w:jc w:val="center"/>
              <w:rPr>
                <w:rFonts w:hint="eastAsia"/>
                <w:color w:val="000000" w:themeColor="text1"/>
                <w:sz w:val="18"/>
                <w:szCs w:val="18"/>
              </w:rPr>
            </w:pPr>
          </w:p>
        </w:tc>
        <w:tc>
          <w:tcPr>
            <w:tcW w:w="1212" w:type="dxa"/>
            <w:vMerge/>
          </w:tcPr>
          <w:p w14:paraId="6D9DD98F" w14:textId="77777777" w:rsidR="002D0AE7" w:rsidRDefault="002D0AE7">
            <w:pPr>
              <w:adjustRightInd w:val="0"/>
              <w:snapToGrid w:val="0"/>
              <w:jc w:val="center"/>
              <w:rPr>
                <w:rFonts w:hint="eastAsia"/>
                <w:color w:val="000000" w:themeColor="text1"/>
                <w:sz w:val="18"/>
                <w:szCs w:val="18"/>
              </w:rPr>
            </w:pPr>
          </w:p>
        </w:tc>
      </w:tr>
      <w:tr w:rsidR="002D0AE7" w14:paraId="077929F8" w14:textId="77777777">
        <w:trPr>
          <w:trHeight w:val="20"/>
          <w:jc w:val="center"/>
        </w:trPr>
        <w:tc>
          <w:tcPr>
            <w:tcW w:w="3681" w:type="dxa"/>
          </w:tcPr>
          <w:p w14:paraId="10444C93" w14:textId="77777777" w:rsidR="002D0AE7" w:rsidRDefault="00333EBB">
            <w:pPr>
              <w:rPr>
                <w:rFonts w:hint="eastAsia"/>
                <w:color w:val="000000" w:themeColor="text1"/>
                <w:sz w:val="18"/>
                <w:szCs w:val="18"/>
              </w:rPr>
            </w:pPr>
            <w:r>
              <w:rPr>
                <w:color w:val="000000" w:themeColor="text1"/>
                <w:sz w:val="18"/>
                <w:szCs w:val="18"/>
              </w:rPr>
              <w:t>一、上年</w:t>
            </w:r>
            <w:r>
              <w:rPr>
                <w:rFonts w:hint="eastAsia"/>
                <w:color w:val="000000" w:themeColor="text1"/>
                <w:sz w:val="18"/>
                <w:szCs w:val="18"/>
              </w:rPr>
              <w:t>期</w:t>
            </w:r>
            <w:r>
              <w:rPr>
                <w:color w:val="000000" w:themeColor="text1"/>
                <w:sz w:val="18"/>
                <w:szCs w:val="18"/>
              </w:rPr>
              <w:t>末余额</w:t>
            </w:r>
          </w:p>
        </w:tc>
        <w:tc>
          <w:tcPr>
            <w:tcW w:w="1276" w:type="dxa"/>
            <w:tcBorders>
              <w:right w:val="single" w:sz="4" w:space="0" w:color="auto"/>
            </w:tcBorders>
            <w:vAlign w:val="center"/>
          </w:tcPr>
          <w:p w14:paraId="273A6C16"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1,093,932,680.00</w:t>
            </w:r>
          </w:p>
        </w:tc>
        <w:tc>
          <w:tcPr>
            <w:tcW w:w="567" w:type="dxa"/>
            <w:tcBorders>
              <w:left w:val="single" w:sz="4" w:space="0" w:color="auto"/>
              <w:right w:val="single" w:sz="4" w:space="0" w:color="auto"/>
            </w:tcBorders>
            <w:vAlign w:val="center"/>
          </w:tcPr>
          <w:p w14:paraId="075142D1"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537CEF97"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7B005F60"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1134" w:type="dxa"/>
            <w:tcBorders>
              <w:left w:val="single" w:sz="4" w:space="0" w:color="auto"/>
            </w:tcBorders>
            <w:vAlign w:val="center"/>
          </w:tcPr>
          <w:p w14:paraId="5857D8D0"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788,581,169.87</w:t>
            </w:r>
          </w:p>
        </w:tc>
        <w:tc>
          <w:tcPr>
            <w:tcW w:w="992" w:type="dxa"/>
            <w:vAlign w:val="center"/>
          </w:tcPr>
          <w:p w14:paraId="3D2595FA"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4,726,260.00</w:t>
            </w:r>
          </w:p>
        </w:tc>
        <w:tc>
          <w:tcPr>
            <w:tcW w:w="1134" w:type="dxa"/>
            <w:vAlign w:val="center"/>
          </w:tcPr>
          <w:p w14:paraId="65F77FAB"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51,621,486.80</w:t>
            </w:r>
          </w:p>
        </w:tc>
        <w:tc>
          <w:tcPr>
            <w:tcW w:w="1134" w:type="dxa"/>
            <w:vAlign w:val="center"/>
          </w:tcPr>
          <w:p w14:paraId="62E9B9E1"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0.00</w:t>
            </w:r>
          </w:p>
        </w:tc>
        <w:tc>
          <w:tcPr>
            <w:tcW w:w="1134" w:type="dxa"/>
            <w:vAlign w:val="center"/>
          </w:tcPr>
          <w:p w14:paraId="3B8CE91F"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206,439,728.45</w:t>
            </w:r>
          </w:p>
        </w:tc>
        <w:tc>
          <w:tcPr>
            <w:tcW w:w="1134" w:type="dxa"/>
            <w:vAlign w:val="center"/>
          </w:tcPr>
          <w:p w14:paraId="27D811D2"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919,864,134.95</w:t>
            </w:r>
          </w:p>
        </w:tc>
        <w:tc>
          <w:tcPr>
            <w:tcW w:w="1212" w:type="dxa"/>
            <w:vAlign w:val="center"/>
          </w:tcPr>
          <w:p w14:paraId="27306AAD"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3,055,712,940.07</w:t>
            </w:r>
          </w:p>
        </w:tc>
      </w:tr>
      <w:tr w:rsidR="002D0AE7" w14:paraId="490C6350" w14:textId="77777777">
        <w:trPr>
          <w:trHeight w:val="20"/>
          <w:jc w:val="center"/>
        </w:trPr>
        <w:tc>
          <w:tcPr>
            <w:tcW w:w="3681" w:type="dxa"/>
          </w:tcPr>
          <w:p w14:paraId="4E4BCEA2" w14:textId="77777777" w:rsidR="002D0AE7" w:rsidRDefault="00333EBB">
            <w:pPr>
              <w:rPr>
                <w:rFonts w:hint="eastAsia"/>
                <w:color w:val="000000" w:themeColor="text1"/>
                <w:sz w:val="18"/>
                <w:szCs w:val="18"/>
              </w:rPr>
            </w:pPr>
            <w:r>
              <w:rPr>
                <w:color w:val="000000" w:themeColor="text1"/>
                <w:sz w:val="18"/>
                <w:szCs w:val="18"/>
              </w:rPr>
              <w:t>加：会计政策变更</w:t>
            </w:r>
          </w:p>
        </w:tc>
        <w:tc>
          <w:tcPr>
            <w:tcW w:w="1276" w:type="dxa"/>
            <w:tcBorders>
              <w:right w:val="single" w:sz="4" w:space="0" w:color="auto"/>
            </w:tcBorders>
          </w:tcPr>
          <w:p w14:paraId="4D42F7E4"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tcPr>
          <w:p w14:paraId="1D2CB3E8"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tcPr>
          <w:p w14:paraId="56FE8919"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tcPr>
          <w:p w14:paraId="7DDE584C" w14:textId="77777777" w:rsidR="002D0AE7" w:rsidRDefault="002D0AE7">
            <w:pPr>
              <w:jc w:val="right"/>
              <w:rPr>
                <w:rFonts w:ascii="Arial Narrow" w:hAnsi="Arial Narrow" w:cs="Times New Roman"/>
                <w:sz w:val="15"/>
                <w:szCs w:val="15"/>
              </w:rPr>
            </w:pPr>
          </w:p>
        </w:tc>
        <w:tc>
          <w:tcPr>
            <w:tcW w:w="1134" w:type="dxa"/>
            <w:tcBorders>
              <w:left w:val="single" w:sz="4" w:space="0" w:color="auto"/>
            </w:tcBorders>
          </w:tcPr>
          <w:p w14:paraId="55EE621B" w14:textId="77777777" w:rsidR="002D0AE7" w:rsidRDefault="002D0AE7">
            <w:pPr>
              <w:jc w:val="right"/>
              <w:rPr>
                <w:rFonts w:ascii="Arial Narrow" w:hAnsi="Arial Narrow" w:cs="Times New Roman"/>
                <w:sz w:val="15"/>
                <w:szCs w:val="15"/>
              </w:rPr>
            </w:pPr>
          </w:p>
        </w:tc>
        <w:tc>
          <w:tcPr>
            <w:tcW w:w="992" w:type="dxa"/>
          </w:tcPr>
          <w:p w14:paraId="35368172" w14:textId="77777777" w:rsidR="002D0AE7" w:rsidRDefault="002D0AE7">
            <w:pPr>
              <w:jc w:val="right"/>
              <w:rPr>
                <w:rFonts w:ascii="Arial Narrow" w:hAnsi="Arial Narrow" w:cs="Times New Roman"/>
                <w:sz w:val="15"/>
                <w:szCs w:val="15"/>
              </w:rPr>
            </w:pPr>
          </w:p>
        </w:tc>
        <w:tc>
          <w:tcPr>
            <w:tcW w:w="1134" w:type="dxa"/>
          </w:tcPr>
          <w:p w14:paraId="0710D1E0" w14:textId="77777777" w:rsidR="002D0AE7" w:rsidRDefault="002D0AE7">
            <w:pPr>
              <w:jc w:val="right"/>
              <w:rPr>
                <w:rFonts w:ascii="Arial Narrow" w:hAnsi="Arial Narrow" w:cs="Times New Roman"/>
                <w:sz w:val="15"/>
                <w:szCs w:val="15"/>
              </w:rPr>
            </w:pPr>
          </w:p>
        </w:tc>
        <w:tc>
          <w:tcPr>
            <w:tcW w:w="1134" w:type="dxa"/>
          </w:tcPr>
          <w:p w14:paraId="2B504196" w14:textId="77777777" w:rsidR="002D0AE7" w:rsidRDefault="002D0AE7">
            <w:pPr>
              <w:jc w:val="right"/>
              <w:rPr>
                <w:rFonts w:ascii="Arial Narrow" w:hAnsi="Arial Narrow" w:cs="Times New Roman"/>
                <w:sz w:val="15"/>
                <w:szCs w:val="15"/>
              </w:rPr>
            </w:pPr>
          </w:p>
        </w:tc>
        <w:tc>
          <w:tcPr>
            <w:tcW w:w="1134" w:type="dxa"/>
          </w:tcPr>
          <w:p w14:paraId="40F0EEB6" w14:textId="77777777" w:rsidR="002D0AE7" w:rsidRDefault="002D0AE7">
            <w:pPr>
              <w:jc w:val="right"/>
              <w:rPr>
                <w:rFonts w:ascii="Arial Narrow" w:hAnsi="Arial Narrow" w:cs="Times New Roman"/>
                <w:sz w:val="15"/>
                <w:szCs w:val="15"/>
              </w:rPr>
            </w:pPr>
          </w:p>
        </w:tc>
        <w:tc>
          <w:tcPr>
            <w:tcW w:w="1134" w:type="dxa"/>
          </w:tcPr>
          <w:p w14:paraId="76028013" w14:textId="77777777" w:rsidR="002D0AE7" w:rsidRDefault="002D0AE7">
            <w:pPr>
              <w:jc w:val="right"/>
              <w:rPr>
                <w:rFonts w:ascii="Arial Narrow" w:hAnsi="Arial Narrow" w:cs="Times New Roman"/>
                <w:sz w:val="15"/>
                <w:szCs w:val="15"/>
              </w:rPr>
            </w:pPr>
          </w:p>
        </w:tc>
        <w:tc>
          <w:tcPr>
            <w:tcW w:w="1212" w:type="dxa"/>
          </w:tcPr>
          <w:p w14:paraId="58F84F70" w14:textId="77777777" w:rsidR="002D0AE7" w:rsidRDefault="002D0AE7">
            <w:pPr>
              <w:jc w:val="right"/>
              <w:rPr>
                <w:rFonts w:ascii="Arial Narrow" w:hAnsi="Arial Narrow" w:cs="Times New Roman"/>
                <w:sz w:val="15"/>
                <w:szCs w:val="15"/>
              </w:rPr>
            </w:pPr>
          </w:p>
        </w:tc>
      </w:tr>
      <w:tr w:rsidR="002D0AE7" w14:paraId="651E103E" w14:textId="77777777">
        <w:trPr>
          <w:trHeight w:val="20"/>
          <w:jc w:val="center"/>
        </w:trPr>
        <w:tc>
          <w:tcPr>
            <w:tcW w:w="3681" w:type="dxa"/>
          </w:tcPr>
          <w:p w14:paraId="7B4AD5EA" w14:textId="77777777" w:rsidR="002D0AE7" w:rsidRDefault="00333EBB">
            <w:pPr>
              <w:ind w:firstLineChars="200" w:firstLine="360"/>
              <w:rPr>
                <w:rFonts w:hint="eastAsia"/>
                <w:color w:val="000000" w:themeColor="text1"/>
                <w:sz w:val="18"/>
                <w:szCs w:val="18"/>
              </w:rPr>
            </w:pPr>
            <w:r>
              <w:rPr>
                <w:color w:val="000000" w:themeColor="text1"/>
                <w:sz w:val="18"/>
                <w:szCs w:val="18"/>
              </w:rPr>
              <w:t>前期差错更正</w:t>
            </w:r>
          </w:p>
        </w:tc>
        <w:tc>
          <w:tcPr>
            <w:tcW w:w="1276" w:type="dxa"/>
            <w:tcBorders>
              <w:right w:val="single" w:sz="4" w:space="0" w:color="auto"/>
            </w:tcBorders>
          </w:tcPr>
          <w:p w14:paraId="00FD7AC2"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tcPr>
          <w:p w14:paraId="175B04A0"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tcPr>
          <w:p w14:paraId="19CD1EAF"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tcPr>
          <w:p w14:paraId="6D1ED329" w14:textId="77777777" w:rsidR="002D0AE7" w:rsidRDefault="002D0AE7">
            <w:pPr>
              <w:jc w:val="right"/>
              <w:rPr>
                <w:rFonts w:ascii="Arial Narrow" w:hAnsi="Arial Narrow" w:cs="Times New Roman"/>
                <w:sz w:val="15"/>
                <w:szCs w:val="15"/>
              </w:rPr>
            </w:pPr>
          </w:p>
        </w:tc>
        <w:tc>
          <w:tcPr>
            <w:tcW w:w="1134" w:type="dxa"/>
            <w:tcBorders>
              <w:left w:val="single" w:sz="4" w:space="0" w:color="auto"/>
            </w:tcBorders>
          </w:tcPr>
          <w:p w14:paraId="5297BB33" w14:textId="77777777" w:rsidR="002D0AE7" w:rsidRDefault="002D0AE7">
            <w:pPr>
              <w:jc w:val="right"/>
              <w:rPr>
                <w:rFonts w:ascii="Arial Narrow" w:hAnsi="Arial Narrow" w:cs="Times New Roman"/>
                <w:sz w:val="15"/>
                <w:szCs w:val="15"/>
              </w:rPr>
            </w:pPr>
          </w:p>
        </w:tc>
        <w:tc>
          <w:tcPr>
            <w:tcW w:w="992" w:type="dxa"/>
          </w:tcPr>
          <w:p w14:paraId="21F579F5" w14:textId="77777777" w:rsidR="002D0AE7" w:rsidRDefault="002D0AE7">
            <w:pPr>
              <w:jc w:val="right"/>
              <w:rPr>
                <w:rFonts w:ascii="Arial Narrow" w:hAnsi="Arial Narrow" w:cs="Times New Roman"/>
                <w:sz w:val="15"/>
                <w:szCs w:val="15"/>
              </w:rPr>
            </w:pPr>
          </w:p>
        </w:tc>
        <w:tc>
          <w:tcPr>
            <w:tcW w:w="1134" w:type="dxa"/>
          </w:tcPr>
          <w:p w14:paraId="61546B18" w14:textId="77777777" w:rsidR="002D0AE7" w:rsidRDefault="002D0AE7">
            <w:pPr>
              <w:jc w:val="right"/>
              <w:rPr>
                <w:rFonts w:ascii="Arial Narrow" w:hAnsi="Arial Narrow" w:cs="Times New Roman"/>
                <w:sz w:val="15"/>
                <w:szCs w:val="15"/>
              </w:rPr>
            </w:pPr>
          </w:p>
        </w:tc>
        <w:tc>
          <w:tcPr>
            <w:tcW w:w="1134" w:type="dxa"/>
          </w:tcPr>
          <w:p w14:paraId="7E9D4F4E" w14:textId="77777777" w:rsidR="002D0AE7" w:rsidRDefault="002D0AE7">
            <w:pPr>
              <w:jc w:val="right"/>
              <w:rPr>
                <w:rFonts w:ascii="Arial Narrow" w:hAnsi="Arial Narrow" w:cs="Times New Roman"/>
                <w:sz w:val="15"/>
                <w:szCs w:val="15"/>
              </w:rPr>
            </w:pPr>
          </w:p>
        </w:tc>
        <w:tc>
          <w:tcPr>
            <w:tcW w:w="1134" w:type="dxa"/>
          </w:tcPr>
          <w:p w14:paraId="73F8707F" w14:textId="77777777" w:rsidR="002D0AE7" w:rsidRDefault="002D0AE7">
            <w:pPr>
              <w:jc w:val="right"/>
              <w:rPr>
                <w:rFonts w:ascii="Arial Narrow" w:hAnsi="Arial Narrow" w:cs="Times New Roman"/>
                <w:sz w:val="15"/>
                <w:szCs w:val="15"/>
              </w:rPr>
            </w:pPr>
          </w:p>
        </w:tc>
        <w:tc>
          <w:tcPr>
            <w:tcW w:w="1134" w:type="dxa"/>
          </w:tcPr>
          <w:p w14:paraId="1D00C06F" w14:textId="77777777" w:rsidR="002D0AE7" w:rsidRDefault="002D0AE7">
            <w:pPr>
              <w:jc w:val="right"/>
              <w:rPr>
                <w:rFonts w:ascii="Arial Narrow" w:hAnsi="Arial Narrow" w:cs="Times New Roman"/>
                <w:sz w:val="15"/>
                <w:szCs w:val="15"/>
              </w:rPr>
            </w:pPr>
          </w:p>
        </w:tc>
        <w:tc>
          <w:tcPr>
            <w:tcW w:w="1212" w:type="dxa"/>
          </w:tcPr>
          <w:p w14:paraId="40E32563" w14:textId="77777777" w:rsidR="002D0AE7" w:rsidRDefault="002D0AE7">
            <w:pPr>
              <w:jc w:val="right"/>
              <w:rPr>
                <w:rFonts w:ascii="Arial Narrow" w:hAnsi="Arial Narrow" w:cs="Times New Roman"/>
                <w:sz w:val="15"/>
                <w:szCs w:val="15"/>
              </w:rPr>
            </w:pPr>
          </w:p>
        </w:tc>
      </w:tr>
      <w:tr w:rsidR="002D0AE7" w14:paraId="4B188562" w14:textId="77777777">
        <w:trPr>
          <w:trHeight w:val="20"/>
          <w:jc w:val="center"/>
        </w:trPr>
        <w:tc>
          <w:tcPr>
            <w:tcW w:w="3681" w:type="dxa"/>
          </w:tcPr>
          <w:p w14:paraId="4D620D17" w14:textId="77777777" w:rsidR="002D0AE7" w:rsidRDefault="00333EBB">
            <w:pPr>
              <w:ind w:firstLineChars="200" w:firstLine="360"/>
              <w:rPr>
                <w:rFonts w:hint="eastAsia"/>
                <w:color w:val="000000" w:themeColor="text1"/>
                <w:sz w:val="18"/>
                <w:szCs w:val="18"/>
              </w:rPr>
            </w:pPr>
            <w:r>
              <w:rPr>
                <w:rFonts w:hint="eastAsia"/>
                <w:color w:val="000000" w:themeColor="text1"/>
                <w:sz w:val="18"/>
                <w:szCs w:val="18"/>
              </w:rPr>
              <w:t>其他</w:t>
            </w:r>
          </w:p>
        </w:tc>
        <w:tc>
          <w:tcPr>
            <w:tcW w:w="1276" w:type="dxa"/>
            <w:tcBorders>
              <w:right w:val="single" w:sz="4" w:space="0" w:color="auto"/>
            </w:tcBorders>
          </w:tcPr>
          <w:p w14:paraId="459CFAC8"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tcPr>
          <w:p w14:paraId="324D92D0"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tcPr>
          <w:p w14:paraId="65060C54"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tcPr>
          <w:p w14:paraId="3413D965" w14:textId="77777777" w:rsidR="002D0AE7" w:rsidRDefault="002D0AE7">
            <w:pPr>
              <w:jc w:val="right"/>
              <w:rPr>
                <w:rFonts w:ascii="Arial Narrow" w:hAnsi="Arial Narrow" w:cs="Times New Roman"/>
                <w:sz w:val="15"/>
                <w:szCs w:val="15"/>
              </w:rPr>
            </w:pPr>
          </w:p>
        </w:tc>
        <w:tc>
          <w:tcPr>
            <w:tcW w:w="1134" w:type="dxa"/>
            <w:tcBorders>
              <w:left w:val="single" w:sz="4" w:space="0" w:color="auto"/>
            </w:tcBorders>
          </w:tcPr>
          <w:p w14:paraId="7887BA39" w14:textId="77777777" w:rsidR="002D0AE7" w:rsidRDefault="002D0AE7">
            <w:pPr>
              <w:jc w:val="right"/>
              <w:rPr>
                <w:rFonts w:ascii="Arial Narrow" w:hAnsi="Arial Narrow" w:cs="Times New Roman"/>
                <w:sz w:val="15"/>
                <w:szCs w:val="15"/>
              </w:rPr>
            </w:pPr>
          </w:p>
        </w:tc>
        <w:tc>
          <w:tcPr>
            <w:tcW w:w="992" w:type="dxa"/>
          </w:tcPr>
          <w:p w14:paraId="0A00284D" w14:textId="77777777" w:rsidR="002D0AE7" w:rsidRDefault="002D0AE7">
            <w:pPr>
              <w:jc w:val="right"/>
              <w:rPr>
                <w:rFonts w:ascii="Arial Narrow" w:hAnsi="Arial Narrow" w:cs="Times New Roman"/>
                <w:sz w:val="15"/>
                <w:szCs w:val="15"/>
              </w:rPr>
            </w:pPr>
          </w:p>
        </w:tc>
        <w:tc>
          <w:tcPr>
            <w:tcW w:w="1134" w:type="dxa"/>
          </w:tcPr>
          <w:p w14:paraId="4316D4BC" w14:textId="77777777" w:rsidR="002D0AE7" w:rsidRDefault="002D0AE7">
            <w:pPr>
              <w:jc w:val="right"/>
              <w:rPr>
                <w:rFonts w:ascii="Arial Narrow" w:hAnsi="Arial Narrow" w:cs="Times New Roman"/>
                <w:sz w:val="15"/>
                <w:szCs w:val="15"/>
              </w:rPr>
            </w:pPr>
          </w:p>
        </w:tc>
        <w:tc>
          <w:tcPr>
            <w:tcW w:w="1134" w:type="dxa"/>
          </w:tcPr>
          <w:p w14:paraId="5DEC0411" w14:textId="77777777" w:rsidR="002D0AE7" w:rsidRDefault="002D0AE7">
            <w:pPr>
              <w:jc w:val="right"/>
              <w:rPr>
                <w:rFonts w:ascii="Arial Narrow" w:hAnsi="Arial Narrow" w:cs="Times New Roman"/>
                <w:sz w:val="15"/>
                <w:szCs w:val="15"/>
              </w:rPr>
            </w:pPr>
          </w:p>
        </w:tc>
        <w:tc>
          <w:tcPr>
            <w:tcW w:w="1134" w:type="dxa"/>
          </w:tcPr>
          <w:p w14:paraId="4264DCDD" w14:textId="77777777" w:rsidR="002D0AE7" w:rsidRDefault="002D0AE7">
            <w:pPr>
              <w:jc w:val="right"/>
              <w:rPr>
                <w:rFonts w:ascii="Arial Narrow" w:hAnsi="Arial Narrow" w:cs="Times New Roman"/>
                <w:sz w:val="15"/>
                <w:szCs w:val="15"/>
              </w:rPr>
            </w:pPr>
          </w:p>
        </w:tc>
        <w:tc>
          <w:tcPr>
            <w:tcW w:w="1134" w:type="dxa"/>
          </w:tcPr>
          <w:p w14:paraId="3279D836" w14:textId="77777777" w:rsidR="002D0AE7" w:rsidRDefault="002D0AE7">
            <w:pPr>
              <w:jc w:val="right"/>
              <w:rPr>
                <w:rFonts w:ascii="Arial Narrow" w:hAnsi="Arial Narrow" w:cs="Times New Roman"/>
                <w:sz w:val="15"/>
                <w:szCs w:val="15"/>
              </w:rPr>
            </w:pPr>
          </w:p>
        </w:tc>
        <w:tc>
          <w:tcPr>
            <w:tcW w:w="1212" w:type="dxa"/>
          </w:tcPr>
          <w:p w14:paraId="076865DD" w14:textId="77777777" w:rsidR="002D0AE7" w:rsidRDefault="002D0AE7">
            <w:pPr>
              <w:jc w:val="right"/>
              <w:rPr>
                <w:rFonts w:ascii="Arial Narrow" w:hAnsi="Arial Narrow" w:cs="Times New Roman"/>
                <w:sz w:val="15"/>
                <w:szCs w:val="15"/>
              </w:rPr>
            </w:pPr>
          </w:p>
        </w:tc>
      </w:tr>
      <w:tr w:rsidR="002D0AE7" w14:paraId="2DB04385" w14:textId="77777777">
        <w:trPr>
          <w:trHeight w:val="20"/>
          <w:jc w:val="center"/>
        </w:trPr>
        <w:tc>
          <w:tcPr>
            <w:tcW w:w="3681" w:type="dxa"/>
          </w:tcPr>
          <w:p w14:paraId="06C1DFFD" w14:textId="77777777" w:rsidR="002D0AE7" w:rsidRDefault="00333EBB">
            <w:pPr>
              <w:rPr>
                <w:rFonts w:hint="eastAsia"/>
                <w:color w:val="000000" w:themeColor="text1"/>
                <w:sz w:val="18"/>
                <w:szCs w:val="18"/>
              </w:rPr>
            </w:pPr>
            <w:r>
              <w:rPr>
                <w:color w:val="000000" w:themeColor="text1"/>
                <w:sz w:val="18"/>
                <w:szCs w:val="18"/>
              </w:rPr>
              <w:t>二、本年</w:t>
            </w:r>
            <w:r>
              <w:rPr>
                <w:rFonts w:hint="eastAsia"/>
                <w:color w:val="000000" w:themeColor="text1"/>
                <w:sz w:val="18"/>
                <w:szCs w:val="18"/>
              </w:rPr>
              <w:t>期</w:t>
            </w:r>
            <w:r>
              <w:rPr>
                <w:color w:val="000000" w:themeColor="text1"/>
                <w:sz w:val="18"/>
                <w:szCs w:val="18"/>
              </w:rPr>
              <w:t>初余额</w:t>
            </w:r>
          </w:p>
        </w:tc>
        <w:tc>
          <w:tcPr>
            <w:tcW w:w="1276" w:type="dxa"/>
            <w:tcBorders>
              <w:right w:val="single" w:sz="4" w:space="0" w:color="auto"/>
            </w:tcBorders>
            <w:vAlign w:val="center"/>
          </w:tcPr>
          <w:p w14:paraId="56BAA927"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1,093,932,680.00</w:t>
            </w:r>
          </w:p>
        </w:tc>
        <w:tc>
          <w:tcPr>
            <w:tcW w:w="567" w:type="dxa"/>
            <w:tcBorders>
              <w:left w:val="single" w:sz="4" w:space="0" w:color="auto"/>
              <w:right w:val="single" w:sz="4" w:space="0" w:color="auto"/>
            </w:tcBorders>
            <w:vAlign w:val="center"/>
          </w:tcPr>
          <w:p w14:paraId="51F81881"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35D0F6D0"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2C995D42"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1134" w:type="dxa"/>
            <w:tcBorders>
              <w:left w:val="single" w:sz="4" w:space="0" w:color="auto"/>
            </w:tcBorders>
            <w:vAlign w:val="center"/>
          </w:tcPr>
          <w:p w14:paraId="129B82B3"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788,581,169.87</w:t>
            </w:r>
          </w:p>
        </w:tc>
        <w:tc>
          <w:tcPr>
            <w:tcW w:w="992" w:type="dxa"/>
            <w:vAlign w:val="center"/>
          </w:tcPr>
          <w:p w14:paraId="72F1B8B5"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4,726,260.00</w:t>
            </w:r>
          </w:p>
        </w:tc>
        <w:tc>
          <w:tcPr>
            <w:tcW w:w="1134" w:type="dxa"/>
            <w:vAlign w:val="center"/>
          </w:tcPr>
          <w:p w14:paraId="3E47F3FC"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51,621,486.80</w:t>
            </w:r>
          </w:p>
        </w:tc>
        <w:tc>
          <w:tcPr>
            <w:tcW w:w="1134" w:type="dxa"/>
            <w:vAlign w:val="center"/>
          </w:tcPr>
          <w:p w14:paraId="6967EAAD"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0.00</w:t>
            </w:r>
          </w:p>
        </w:tc>
        <w:tc>
          <w:tcPr>
            <w:tcW w:w="1134" w:type="dxa"/>
            <w:vAlign w:val="center"/>
          </w:tcPr>
          <w:p w14:paraId="52A2F0C6"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206,439,728.45</w:t>
            </w:r>
          </w:p>
        </w:tc>
        <w:tc>
          <w:tcPr>
            <w:tcW w:w="1134" w:type="dxa"/>
            <w:vAlign w:val="center"/>
          </w:tcPr>
          <w:p w14:paraId="4FFBB46B"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919,864,134.95</w:t>
            </w:r>
          </w:p>
        </w:tc>
        <w:tc>
          <w:tcPr>
            <w:tcW w:w="1212" w:type="dxa"/>
            <w:vAlign w:val="center"/>
          </w:tcPr>
          <w:p w14:paraId="06455A92"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3,055,712,940.07</w:t>
            </w:r>
          </w:p>
        </w:tc>
      </w:tr>
      <w:tr w:rsidR="002D0AE7" w14:paraId="05E072CC" w14:textId="77777777">
        <w:trPr>
          <w:trHeight w:val="20"/>
          <w:jc w:val="center"/>
        </w:trPr>
        <w:tc>
          <w:tcPr>
            <w:tcW w:w="3681" w:type="dxa"/>
          </w:tcPr>
          <w:p w14:paraId="5E1B0CCC" w14:textId="77777777" w:rsidR="002D0AE7" w:rsidRDefault="00333EBB">
            <w:pPr>
              <w:rPr>
                <w:rFonts w:hint="eastAsia"/>
                <w:color w:val="000000" w:themeColor="text1"/>
                <w:sz w:val="16"/>
                <w:szCs w:val="18"/>
              </w:rPr>
            </w:pPr>
            <w:r>
              <w:rPr>
                <w:color w:val="000000" w:themeColor="text1"/>
                <w:sz w:val="16"/>
                <w:szCs w:val="18"/>
              </w:rPr>
              <w:t>三、本</w:t>
            </w:r>
            <w:r>
              <w:rPr>
                <w:rFonts w:hint="eastAsia"/>
                <w:color w:val="000000" w:themeColor="text1"/>
                <w:sz w:val="16"/>
                <w:szCs w:val="18"/>
              </w:rPr>
              <w:t>期</w:t>
            </w:r>
            <w:r>
              <w:rPr>
                <w:color w:val="000000" w:themeColor="text1"/>
                <w:sz w:val="16"/>
                <w:szCs w:val="18"/>
              </w:rPr>
              <w:t>增减变动金额（减少以</w:t>
            </w:r>
            <w:r>
              <w:rPr>
                <w:color w:val="000000" w:themeColor="text1"/>
                <w:sz w:val="16"/>
                <w:szCs w:val="18"/>
              </w:rPr>
              <w:t>“</w:t>
            </w:r>
            <w:r>
              <w:rPr>
                <w:color w:val="000000" w:themeColor="text1"/>
                <w:sz w:val="16"/>
                <w:szCs w:val="18"/>
              </w:rPr>
              <w:t>－</w:t>
            </w:r>
            <w:r>
              <w:rPr>
                <w:color w:val="000000" w:themeColor="text1"/>
                <w:sz w:val="16"/>
                <w:szCs w:val="18"/>
              </w:rPr>
              <w:t>”</w:t>
            </w:r>
            <w:r>
              <w:rPr>
                <w:color w:val="000000" w:themeColor="text1"/>
                <w:sz w:val="16"/>
                <w:szCs w:val="18"/>
              </w:rPr>
              <w:t>号填列）</w:t>
            </w:r>
          </w:p>
        </w:tc>
        <w:tc>
          <w:tcPr>
            <w:tcW w:w="1276" w:type="dxa"/>
            <w:tcBorders>
              <w:right w:val="single" w:sz="4" w:space="0" w:color="auto"/>
            </w:tcBorders>
            <w:vAlign w:val="center"/>
          </w:tcPr>
          <w:p w14:paraId="4EC6D2E3"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0.00</w:t>
            </w:r>
          </w:p>
        </w:tc>
        <w:tc>
          <w:tcPr>
            <w:tcW w:w="567" w:type="dxa"/>
            <w:tcBorders>
              <w:left w:val="single" w:sz="4" w:space="0" w:color="auto"/>
              <w:right w:val="single" w:sz="4" w:space="0" w:color="auto"/>
            </w:tcBorders>
            <w:vAlign w:val="center"/>
          </w:tcPr>
          <w:p w14:paraId="3C953411"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0.00</w:t>
            </w:r>
          </w:p>
        </w:tc>
        <w:tc>
          <w:tcPr>
            <w:tcW w:w="567" w:type="dxa"/>
            <w:tcBorders>
              <w:left w:val="single" w:sz="4" w:space="0" w:color="auto"/>
              <w:right w:val="single" w:sz="4" w:space="0" w:color="auto"/>
            </w:tcBorders>
            <w:vAlign w:val="center"/>
          </w:tcPr>
          <w:p w14:paraId="42FB55B4"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0.00</w:t>
            </w:r>
          </w:p>
        </w:tc>
        <w:tc>
          <w:tcPr>
            <w:tcW w:w="567" w:type="dxa"/>
            <w:tcBorders>
              <w:left w:val="single" w:sz="4" w:space="0" w:color="auto"/>
            </w:tcBorders>
            <w:vAlign w:val="center"/>
          </w:tcPr>
          <w:p w14:paraId="3F13B8F3"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0.00</w:t>
            </w:r>
          </w:p>
        </w:tc>
        <w:tc>
          <w:tcPr>
            <w:tcW w:w="1134" w:type="dxa"/>
            <w:vAlign w:val="center"/>
          </w:tcPr>
          <w:p w14:paraId="72AB24F5"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0.00</w:t>
            </w:r>
          </w:p>
        </w:tc>
        <w:tc>
          <w:tcPr>
            <w:tcW w:w="992" w:type="dxa"/>
            <w:vAlign w:val="center"/>
          </w:tcPr>
          <w:p w14:paraId="2AB5AD50"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0.00</w:t>
            </w:r>
          </w:p>
        </w:tc>
        <w:tc>
          <w:tcPr>
            <w:tcW w:w="1134" w:type="dxa"/>
            <w:vAlign w:val="center"/>
          </w:tcPr>
          <w:p w14:paraId="16C69588"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2,495,483.17</w:t>
            </w:r>
          </w:p>
        </w:tc>
        <w:tc>
          <w:tcPr>
            <w:tcW w:w="1134" w:type="dxa"/>
            <w:vAlign w:val="center"/>
          </w:tcPr>
          <w:p w14:paraId="5B63301C"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1,199,938.05</w:t>
            </w:r>
          </w:p>
        </w:tc>
        <w:tc>
          <w:tcPr>
            <w:tcW w:w="1134" w:type="dxa"/>
            <w:vAlign w:val="center"/>
          </w:tcPr>
          <w:p w14:paraId="07399ABC"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10,934,856.45</w:t>
            </w:r>
          </w:p>
        </w:tc>
        <w:tc>
          <w:tcPr>
            <w:tcW w:w="1134" w:type="dxa"/>
            <w:vAlign w:val="center"/>
          </w:tcPr>
          <w:p w14:paraId="47F1DBBD"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3,241,564.91</w:t>
            </w:r>
          </w:p>
        </w:tc>
        <w:tc>
          <w:tcPr>
            <w:tcW w:w="1212" w:type="dxa"/>
            <w:vAlign w:val="center"/>
          </w:tcPr>
          <w:p w14:paraId="2487B967"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17,871,842.58</w:t>
            </w:r>
          </w:p>
        </w:tc>
      </w:tr>
      <w:tr w:rsidR="002D0AE7" w14:paraId="7B235F01" w14:textId="77777777">
        <w:trPr>
          <w:trHeight w:val="20"/>
          <w:jc w:val="center"/>
        </w:trPr>
        <w:tc>
          <w:tcPr>
            <w:tcW w:w="3681" w:type="dxa"/>
          </w:tcPr>
          <w:p w14:paraId="0EA0AF70" w14:textId="77777777" w:rsidR="002D0AE7" w:rsidRDefault="00333EBB">
            <w:pPr>
              <w:rPr>
                <w:rFonts w:hint="eastAsia"/>
                <w:color w:val="000000" w:themeColor="text1"/>
                <w:sz w:val="18"/>
                <w:szCs w:val="18"/>
              </w:rPr>
            </w:pPr>
            <w:r>
              <w:rPr>
                <w:rFonts w:hint="eastAsia"/>
                <w:color w:val="000000" w:themeColor="text1"/>
                <w:sz w:val="18"/>
                <w:szCs w:val="18"/>
              </w:rPr>
              <w:t>（一）综合收益总额</w:t>
            </w:r>
          </w:p>
        </w:tc>
        <w:tc>
          <w:tcPr>
            <w:tcW w:w="1276" w:type="dxa"/>
            <w:tcBorders>
              <w:right w:val="single" w:sz="4" w:space="0" w:color="auto"/>
            </w:tcBorders>
            <w:vAlign w:val="center"/>
          </w:tcPr>
          <w:p w14:paraId="45771F6C"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05FD53DF"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6287391F"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567" w:type="dxa"/>
            <w:tcBorders>
              <w:left w:val="single" w:sz="4" w:space="0" w:color="auto"/>
            </w:tcBorders>
            <w:vAlign w:val="center"/>
          </w:tcPr>
          <w:p w14:paraId="78A7536B"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1134" w:type="dxa"/>
            <w:vAlign w:val="center"/>
          </w:tcPr>
          <w:p w14:paraId="4638250F"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992" w:type="dxa"/>
            <w:vAlign w:val="center"/>
          </w:tcPr>
          <w:p w14:paraId="72F28D95"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1134" w:type="dxa"/>
            <w:vAlign w:val="center"/>
          </w:tcPr>
          <w:p w14:paraId="5E2E84DD"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2,495,483.17</w:t>
            </w:r>
          </w:p>
        </w:tc>
        <w:tc>
          <w:tcPr>
            <w:tcW w:w="1134" w:type="dxa"/>
            <w:vAlign w:val="center"/>
          </w:tcPr>
          <w:p w14:paraId="39ABF651"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1134" w:type="dxa"/>
            <w:vAlign w:val="center"/>
          </w:tcPr>
          <w:p w14:paraId="151547B6"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1134" w:type="dxa"/>
            <w:vAlign w:val="center"/>
          </w:tcPr>
          <w:p w14:paraId="6C6CD320"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109,348,564.52</w:t>
            </w:r>
          </w:p>
        </w:tc>
        <w:tc>
          <w:tcPr>
            <w:tcW w:w="1212" w:type="dxa"/>
            <w:vAlign w:val="center"/>
          </w:tcPr>
          <w:p w14:paraId="25EC73CE"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111,844,047.69</w:t>
            </w:r>
          </w:p>
        </w:tc>
      </w:tr>
      <w:tr w:rsidR="002D0AE7" w14:paraId="35B65FA7" w14:textId="77777777">
        <w:trPr>
          <w:trHeight w:val="20"/>
          <w:jc w:val="center"/>
        </w:trPr>
        <w:tc>
          <w:tcPr>
            <w:tcW w:w="3681" w:type="dxa"/>
          </w:tcPr>
          <w:p w14:paraId="170099E9" w14:textId="77777777" w:rsidR="002D0AE7" w:rsidRDefault="00333EBB">
            <w:pPr>
              <w:rPr>
                <w:rFonts w:hint="eastAsia"/>
                <w:color w:val="000000" w:themeColor="text1"/>
                <w:sz w:val="18"/>
                <w:szCs w:val="18"/>
              </w:rPr>
            </w:pPr>
            <w:r>
              <w:rPr>
                <w:color w:val="000000" w:themeColor="text1"/>
                <w:sz w:val="18"/>
                <w:szCs w:val="18"/>
              </w:rPr>
              <w:t>（</w:t>
            </w:r>
            <w:r>
              <w:rPr>
                <w:rFonts w:hint="eastAsia"/>
                <w:color w:val="000000" w:themeColor="text1"/>
                <w:sz w:val="18"/>
                <w:szCs w:val="18"/>
              </w:rPr>
              <w:t>二</w:t>
            </w:r>
            <w:r>
              <w:rPr>
                <w:color w:val="000000" w:themeColor="text1"/>
                <w:sz w:val="18"/>
                <w:szCs w:val="18"/>
              </w:rPr>
              <w:t>）所有者投入和减少资本</w:t>
            </w:r>
          </w:p>
        </w:tc>
        <w:tc>
          <w:tcPr>
            <w:tcW w:w="1276" w:type="dxa"/>
            <w:tcBorders>
              <w:right w:val="single" w:sz="4" w:space="0" w:color="auto"/>
            </w:tcBorders>
            <w:vAlign w:val="center"/>
          </w:tcPr>
          <w:p w14:paraId="0D1D2C88"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vAlign w:val="center"/>
          </w:tcPr>
          <w:p w14:paraId="33420951"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vAlign w:val="center"/>
          </w:tcPr>
          <w:p w14:paraId="076C2CD7" w14:textId="77777777" w:rsidR="002D0AE7" w:rsidRDefault="002D0AE7">
            <w:pPr>
              <w:jc w:val="right"/>
              <w:rPr>
                <w:rFonts w:ascii="Arial Narrow" w:hAnsi="Arial Narrow" w:cs="Times New Roman"/>
                <w:sz w:val="15"/>
                <w:szCs w:val="15"/>
              </w:rPr>
            </w:pPr>
          </w:p>
        </w:tc>
        <w:tc>
          <w:tcPr>
            <w:tcW w:w="567" w:type="dxa"/>
            <w:tcBorders>
              <w:left w:val="single" w:sz="4" w:space="0" w:color="auto"/>
            </w:tcBorders>
            <w:vAlign w:val="center"/>
          </w:tcPr>
          <w:p w14:paraId="5C00E15C" w14:textId="77777777" w:rsidR="002D0AE7" w:rsidRDefault="002D0AE7">
            <w:pPr>
              <w:jc w:val="right"/>
              <w:rPr>
                <w:rFonts w:ascii="Arial Narrow" w:hAnsi="Arial Narrow" w:cs="Times New Roman"/>
                <w:sz w:val="15"/>
                <w:szCs w:val="15"/>
              </w:rPr>
            </w:pPr>
          </w:p>
        </w:tc>
        <w:tc>
          <w:tcPr>
            <w:tcW w:w="1134" w:type="dxa"/>
            <w:vAlign w:val="center"/>
          </w:tcPr>
          <w:p w14:paraId="28D27B89" w14:textId="77777777" w:rsidR="002D0AE7" w:rsidRDefault="002D0AE7">
            <w:pPr>
              <w:jc w:val="right"/>
              <w:rPr>
                <w:rFonts w:ascii="Arial Narrow" w:hAnsi="Arial Narrow" w:cs="Times New Roman"/>
                <w:sz w:val="15"/>
                <w:szCs w:val="15"/>
              </w:rPr>
            </w:pPr>
          </w:p>
        </w:tc>
        <w:tc>
          <w:tcPr>
            <w:tcW w:w="992" w:type="dxa"/>
            <w:vAlign w:val="center"/>
          </w:tcPr>
          <w:p w14:paraId="2DDA0CF0" w14:textId="77777777" w:rsidR="002D0AE7" w:rsidRDefault="002D0AE7">
            <w:pPr>
              <w:jc w:val="right"/>
              <w:rPr>
                <w:rFonts w:ascii="Arial Narrow" w:hAnsi="Arial Narrow" w:cs="Times New Roman"/>
                <w:sz w:val="15"/>
                <w:szCs w:val="15"/>
              </w:rPr>
            </w:pPr>
          </w:p>
        </w:tc>
        <w:tc>
          <w:tcPr>
            <w:tcW w:w="1134" w:type="dxa"/>
            <w:vAlign w:val="center"/>
          </w:tcPr>
          <w:p w14:paraId="212F28AF" w14:textId="77777777" w:rsidR="002D0AE7" w:rsidRDefault="002D0AE7">
            <w:pPr>
              <w:jc w:val="right"/>
              <w:rPr>
                <w:rFonts w:ascii="Arial Narrow" w:hAnsi="Arial Narrow" w:cs="Times New Roman"/>
                <w:sz w:val="15"/>
                <w:szCs w:val="15"/>
              </w:rPr>
            </w:pPr>
          </w:p>
        </w:tc>
        <w:tc>
          <w:tcPr>
            <w:tcW w:w="1134" w:type="dxa"/>
            <w:vAlign w:val="center"/>
          </w:tcPr>
          <w:p w14:paraId="29387EB8" w14:textId="77777777" w:rsidR="002D0AE7" w:rsidRDefault="002D0AE7">
            <w:pPr>
              <w:jc w:val="right"/>
              <w:rPr>
                <w:rFonts w:ascii="Arial Narrow" w:hAnsi="Arial Narrow" w:cs="Times New Roman"/>
                <w:sz w:val="15"/>
                <w:szCs w:val="15"/>
              </w:rPr>
            </w:pPr>
          </w:p>
        </w:tc>
        <w:tc>
          <w:tcPr>
            <w:tcW w:w="1134" w:type="dxa"/>
            <w:vAlign w:val="center"/>
          </w:tcPr>
          <w:p w14:paraId="776214B5" w14:textId="77777777" w:rsidR="002D0AE7" w:rsidRDefault="002D0AE7">
            <w:pPr>
              <w:jc w:val="right"/>
              <w:rPr>
                <w:rFonts w:ascii="Arial Narrow" w:hAnsi="Arial Narrow" w:cs="Times New Roman"/>
                <w:sz w:val="15"/>
                <w:szCs w:val="15"/>
              </w:rPr>
            </w:pPr>
          </w:p>
        </w:tc>
        <w:tc>
          <w:tcPr>
            <w:tcW w:w="1134" w:type="dxa"/>
            <w:vAlign w:val="center"/>
          </w:tcPr>
          <w:p w14:paraId="08C168FB" w14:textId="77777777" w:rsidR="002D0AE7" w:rsidRDefault="002D0AE7">
            <w:pPr>
              <w:jc w:val="right"/>
              <w:rPr>
                <w:rFonts w:ascii="Arial Narrow" w:hAnsi="Arial Narrow" w:cs="Times New Roman"/>
                <w:sz w:val="15"/>
                <w:szCs w:val="15"/>
              </w:rPr>
            </w:pPr>
          </w:p>
        </w:tc>
        <w:tc>
          <w:tcPr>
            <w:tcW w:w="1212" w:type="dxa"/>
            <w:vAlign w:val="center"/>
          </w:tcPr>
          <w:p w14:paraId="7EE51728" w14:textId="77777777" w:rsidR="002D0AE7" w:rsidRDefault="002D0AE7">
            <w:pPr>
              <w:jc w:val="right"/>
              <w:rPr>
                <w:rFonts w:ascii="Arial Narrow" w:hAnsi="Arial Narrow" w:cs="Times New Roman"/>
                <w:sz w:val="15"/>
                <w:szCs w:val="15"/>
              </w:rPr>
            </w:pPr>
          </w:p>
        </w:tc>
      </w:tr>
      <w:tr w:rsidR="002D0AE7" w14:paraId="5BF4F947" w14:textId="77777777">
        <w:trPr>
          <w:trHeight w:val="20"/>
          <w:jc w:val="center"/>
        </w:trPr>
        <w:tc>
          <w:tcPr>
            <w:tcW w:w="3681" w:type="dxa"/>
          </w:tcPr>
          <w:p w14:paraId="308068E7" w14:textId="77777777" w:rsidR="002D0AE7" w:rsidRDefault="00333EBB">
            <w:pPr>
              <w:rPr>
                <w:rFonts w:hint="eastAsia"/>
                <w:color w:val="000000" w:themeColor="text1"/>
                <w:sz w:val="18"/>
                <w:szCs w:val="18"/>
              </w:rPr>
            </w:pPr>
            <w:r>
              <w:rPr>
                <w:rFonts w:hint="eastAsia"/>
                <w:color w:val="000000" w:themeColor="text1"/>
                <w:sz w:val="18"/>
                <w:szCs w:val="18"/>
              </w:rPr>
              <w:t>1</w:t>
            </w:r>
            <w:r>
              <w:rPr>
                <w:rFonts w:hint="eastAsia"/>
                <w:color w:val="000000" w:themeColor="text1"/>
                <w:sz w:val="18"/>
                <w:szCs w:val="18"/>
              </w:rPr>
              <w:t>．所有者投入的普通股</w:t>
            </w:r>
          </w:p>
        </w:tc>
        <w:tc>
          <w:tcPr>
            <w:tcW w:w="1276" w:type="dxa"/>
            <w:tcBorders>
              <w:right w:val="single" w:sz="4" w:space="0" w:color="auto"/>
            </w:tcBorders>
            <w:vAlign w:val="center"/>
          </w:tcPr>
          <w:p w14:paraId="49453A96"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vAlign w:val="center"/>
          </w:tcPr>
          <w:p w14:paraId="7FE57011"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vAlign w:val="center"/>
          </w:tcPr>
          <w:p w14:paraId="20094BBE" w14:textId="77777777" w:rsidR="002D0AE7" w:rsidRDefault="002D0AE7">
            <w:pPr>
              <w:jc w:val="right"/>
              <w:rPr>
                <w:rFonts w:ascii="Arial Narrow" w:hAnsi="Arial Narrow" w:cs="Times New Roman"/>
                <w:sz w:val="15"/>
                <w:szCs w:val="15"/>
              </w:rPr>
            </w:pPr>
          </w:p>
        </w:tc>
        <w:tc>
          <w:tcPr>
            <w:tcW w:w="567" w:type="dxa"/>
            <w:tcBorders>
              <w:left w:val="single" w:sz="4" w:space="0" w:color="auto"/>
            </w:tcBorders>
            <w:vAlign w:val="center"/>
          </w:tcPr>
          <w:p w14:paraId="1FAB6C67" w14:textId="77777777" w:rsidR="002D0AE7" w:rsidRDefault="002D0AE7">
            <w:pPr>
              <w:jc w:val="right"/>
              <w:rPr>
                <w:rFonts w:ascii="Arial Narrow" w:hAnsi="Arial Narrow" w:cs="Times New Roman"/>
                <w:sz w:val="15"/>
                <w:szCs w:val="15"/>
              </w:rPr>
            </w:pPr>
          </w:p>
        </w:tc>
        <w:tc>
          <w:tcPr>
            <w:tcW w:w="1134" w:type="dxa"/>
            <w:vAlign w:val="center"/>
          </w:tcPr>
          <w:p w14:paraId="0E6A5DA0" w14:textId="77777777" w:rsidR="002D0AE7" w:rsidRDefault="002D0AE7">
            <w:pPr>
              <w:jc w:val="right"/>
              <w:rPr>
                <w:rFonts w:ascii="Arial Narrow" w:hAnsi="Arial Narrow" w:cs="Times New Roman"/>
                <w:sz w:val="15"/>
                <w:szCs w:val="15"/>
              </w:rPr>
            </w:pPr>
          </w:p>
        </w:tc>
        <w:tc>
          <w:tcPr>
            <w:tcW w:w="992" w:type="dxa"/>
            <w:vAlign w:val="center"/>
          </w:tcPr>
          <w:p w14:paraId="21966B10" w14:textId="77777777" w:rsidR="002D0AE7" w:rsidRDefault="002D0AE7">
            <w:pPr>
              <w:jc w:val="right"/>
              <w:rPr>
                <w:rFonts w:ascii="Arial Narrow" w:hAnsi="Arial Narrow" w:cs="Times New Roman"/>
                <w:sz w:val="15"/>
                <w:szCs w:val="15"/>
              </w:rPr>
            </w:pPr>
          </w:p>
        </w:tc>
        <w:tc>
          <w:tcPr>
            <w:tcW w:w="1134" w:type="dxa"/>
            <w:vAlign w:val="center"/>
          </w:tcPr>
          <w:p w14:paraId="22961789" w14:textId="77777777" w:rsidR="002D0AE7" w:rsidRDefault="002D0AE7">
            <w:pPr>
              <w:jc w:val="right"/>
              <w:rPr>
                <w:rFonts w:ascii="Arial Narrow" w:hAnsi="Arial Narrow" w:cs="Times New Roman"/>
                <w:sz w:val="15"/>
                <w:szCs w:val="15"/>
              </w:rPr>
            </w:pPr>
          </w:p>
        </w:tc>
        <w:tc>
          <w:tcPr>
            <w:tcW w:w="1134" w:type="dxa"/>
            <w:vAlign w:val="center"/>
          </w:tcPr>
          <w:p w14:paraId="7311AA9F" w14:textId="77777777" w:rsidR="002D0AE7" w:rsidRDefault="002D0AE7">
            <w:pPr>
              <w:jc w:val="right"/>
              <w:rPr>
                <w:rFonts w:ascii="Arial Narrow" w:hAnsi="Arial Narrow" w:cs="Times New Roman"/>
                <w:sz w:val="15"/>
                <w:szCs w:val="15"/>
              </w:rPr>
            </w:pPr>
          </w:p>
        </w:tc>
        <w:tc>
          <w:tcPr>
            <w:tcW w:w="1134" w:type="dxa"/>
            <w:vAlign w:val="center"/>
          </w:tcPr>
          <w:p w14:paraId="07CB9D63" w14:textId="77777777" w:rsidR="002D0AE7" w:rsidRDefault="002D0AE7">
            <w:pPr>
              <w:jc w:val="right"/>
              <w:rPr>
                <w:rFonts w:ascii="Arial Narrow" w:hAnsi="Arial Narrow" w:cs="Times New Roman"/>
                <w:sz w:val="15"/>
                <w:szCs w:val="15"/>
              </w:rPr>
            </w:pPr>
          </w:p>
        </w:tc>
        <w:tc>
          <w:tcPr>
            <w:tcW w:w="1134" w:type="dxa"/>
            <w:vAlign w:val="center"/>
          </w:tcPr>
          <w:p w14:paraId="296189C0" w14:textId="77777777" w:rsidR="002D0AE7" w:rsidRDefault="002D0AE7">
            <w:pPr>
              <w:jc w:val="right"/>
              <w:rPr>
                <w:rFonts w:ascii="Arial Narrow" w:hAnsi="Arial Narrow" w:cs="Times New Roman"/>
                <w:sz w:val="15"/>
                <w:szCs w:val="15"/>
              </w:rPr>
            </w:pPr>
          </w:p>
        </w:tc>
        <w:tc>
          <w:tcPr>
            <w:tcW w:w="1212" w:type="dxa"/>
            <w:vAlign w:val="center"/>
          </w:tcPr>
          <w:p w14:paraId="1DEE59BA" w14:textId="77777777" w:rsidR="002D0AE7" w:rsidRDefault="002D0AE7">
            <w:pPr>
              <w:jc w:val="right"/>
              <w:rPr>
                <w:rFonts w:ascii="Arial Narrow" w:hAnsi="Arial Narrow" w:cs="Times New Roman"/>
                <w:sz w:val="15"/>
                <w:szCs w:val="15"/>
              </w:rPr>
            </w:pPr>
          </w:p>
        </w:tc>
      </w:tr>
      <w:tr w:rsidR="002D0AE7" w14:paraId="5C436C55" w14:textId="77777777">
        <w:trPr>
          <w:trHeight w:val="20"/>
          <w:jc w:val="center"/>
        </w:trPr>
        <w:tc>
          <w:tcPr>
            <w:tcW w:w="3681" w:type="dxa"/>
          </w:tcPr>
          <w:p w14:paraId="600C0849" w14:textId="77777777" w:rsidR="002D0AE7" w:rsidRDefault="00333EBB">
            <w:pPr>
              <w:rPr>
                <w:rFonts w:hint="eastAsia"/>
                <w:color w:val="000000" w:themeColor="text1"/>
                <w:sz w:val="18"/>
                <w:szCs w:val="18"/>
              </w:rPr>
            </w:pPr>
            <w:r>
              <w:rPr>
                <w:rFonts w:hint="eastAsia"/>
                <w:color w:val="000000" w:themeColor="text1"/>
                <w:sz w:val="18"/>
                <w:szCs w:val="18"/>
              </w:rPr>
              <w:t>2</w:t>
            </w:r>
            <w:r>
              <w:rPr>
                <w:rFonts w:hint="eastAsia"/>
                <w:color w:val="000000" w:themeColor="text1"/>
                <w:sz w:val="18"/>
                <w:szCs w:val="18"/>
              </w:rPr>
              <w:t>．其他权益工具持有者投入资本</w:t>
            </w:r>
          </w:p>
        </w:tc>
        <w:tc>
          <w:tcPr>
            <w:tcW w:w="1276" w:type="dxa"/>
            <w:tcBorders>
              <w:right w:val="single" w:sz="4" w:space="0" w:color="auto"/>
            </w:tcBorders>
            <w:vAlign w:val="center"/>
          </w:tcPr>
          <w:p w14:paraId="48A6BD26"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vAlign w:val="center"/>
          </w:tcPr>
          <w:p w14:paraId="3FB33279"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vAlign w:val="center"/>
          </w:tcPr>
          <w:p w14:paraId="58A4135D" w14:textId="77777777" w:rsidR="002D0AE7" w:rsidRDefault="002D0AE7">
            <w:pPr>
              <w:jc w:val="right"/>
              <w:rPr>
                <w:rFonts w:ascii="Arial Narrow" w:hAnsi="Arial Narrow" w:cs="Times New Roman"/>
                <w:sz w:val="15"/>
                <w:szCs w:val="15"/>
              </w:rPr>
            </w:pPr>
          </w:p>
        </w:tc>
        <w:tc>
          <w:tcPr>
            <w:tcW w:w="567" w:type="dxa"/>
            <w:tcBorders>
              <w:left w:val="single" w:sz="4" w:space="0" w:color="auto"/>
            </w:tcBorders>
            <w:vAlign w:val="center"/>
          </w:tcPr>
          <w:p w14:paraId="2987B499" w14:textId="77777777" w:rsidR="002D0AE7" w:rsidRDefault="002D0AE7">
            <w:pPr>
              <w:jc w:val="right"/>
              <w:rPr>
                <w:rFonts w:ascii="Arial Narrow" w:hAnsi="Arial Narrow" w:cs="Times New Roman"/>
                <w:sz w:val="15"/>
                <w:szCs w:val="15"/>
              </w:rPr>
            </w:pPr>
          </w:p>
        </w:tc>
        <w:tc>
          <w:tcPr>
            <w:tcW w:w="1134" w:type="dxa"/>
            <w:vAlign w:val="center"/>
          </w:tcPr>
          <w:p w14:paraId="562814F1" w14:textId="77777777" w:rsidR="002D0AE7" w:rsidRDefault="002D0AE7">
            <w:pPr>
              <w:jc w:val="right"/>
              <w:rPr>
                <w:rFonts w:ascii="Arial Narrow" w:hAnsi="Arial Narrow" w:cs="Times New Roman"/>
                <w:sz w:val="15"/>
                <w:szCs w:val="15"/>
              </w:rPr>
            </w:pPr>
          </w:p>
        </w:tc>
        <w:tc>
          <w:tcPr>
            <w:tcW w:w="992" w:type="dxa"/>
            <w:vAlign w:val="center"/>
          </w:tcPr>
          <w:p w14:paraId="5AB846B4" w14:textId="77777777" w:rsidR="002D0AE7" w:rsidRDefault="002D0AE7">
            <w:pPr>
              <w:jc w:val="right"/>
              <w:rPr>
                <w:rFonts w:ascii="Arial Narrow" w:hAnsi="Arial Narrow" w:cs="Times New Roman"/>
                <w:sz w:val="15"/>
                <w:szCs w:val="15"/>
              </w:rPr>
            </w:pPr>
          </w:p>
        </w:tc>
        <w:tc>
          <w:tcPr>
            <w:tcW w:w="1134" w:type="dxa"/>
            <w:vAlign w:val="center"/>
          </w:tcPr>
          <w:p w14:paraId="6A7D4978" w14:textId="77777777" w:rsidR="002D0AE7" w:rsidRDefault="002D0AE7">
            <w:pPr>
              <w:jc w:val="right"/>
              <w:rPr>
                <w:rFonts w:ascii="Arial Narrow" w:hAnsi="Arial Narrow" w:cs="Times New Roman"/>
                <w:sz w:val="15"/>
                <w:szCs w:val="15"/>
              </w:rPr>
            </w:pPr>
          </w:p>
        </w:tc>
        <w:tc>
          <w:tcPr>
            <w:tcW w:w="1134" w:type="dxa"/>
            <w:vAlign w:val="center"/>
          </w:tcPr>
          <w:p w14:paraId="637877E1" w14:textId="77777777" w:rsidR="002D0AE7" w:rsidRDefault="002D0AE7">
            <w:pPr>
              <w:jc w:val="right"/>
              <w:rPr>
                <w:rFonts w:ascii="Arial Narrow" w:hAnsi="Arial Narrow" w:cs="Times New Roman"/>
                <w:sz w:val="15"/>
                <w:szCs w:val="15"/>
              </w:rPr>
            </w:pPr>
          </w:p>
        </w:tc>
        <w:tc>
          <w:tcPr>
            <w:tcW w:w="1134" w:type="dxa"/>
            <w:vAlign w:val="center"/>
          </w:tcPr>
          <w:p w14:paraId="1F9BD32C" w14:textId="77777777" w:rsidR="002D0AE7" w:rsidRDefault="002D0AE7">
            <w:pPr>
              <w:jc w:val="right"/>
              <w:rPr>
                <w:rFonts w:ascii="Arial Narrow" w:hAnsi="Arial Narrow" w:cs="Times New Roman"/>
                <w:sz w:val="15"/>
                <w:szCs w:val="15"/>
              </w:rPr>
            </w:pPr>
          </w:p>
        </w:tc>
        <w:tc>
          <w:tcPr>
            <w:tcW w:w="1134" w:type="dxa"/>
            <w:vAlign w:val="center"/>
          </w:tcPr>
          <w:p w14:paraId="3801100F" w14:textId="77777777" w:rsidR="002D0AE7" w:rsidRDefault="002D0AE7">
            <w:pPr>
              <w:jc w:val="right"/>
              <w:rPr>
                <w:rFonts w:ascii="Arial Narrow" w:hAnsi="Arial Narrow" w:cs="Times New Roman"/>
                <w:sz w:val="15"/>
                <w:szCs w:val="15"/>
              </w:rPr>
            </w:pPr>
          </w:p>
        </w:tc>
        <w:tc>
          <w:tcPr>
            <w:tcW w:w="1212" w:type="dxa"/>
            <w:vAlign w:val="center"/>
          </w:tcPr>
          <w:p w14:paraId="1BD1D775" w14:textId="77777777" w:rsidR="002D0AE7" w:rsidRDefault="002D0AE7">
            <w:pPr>
              <w:jc w:val="right"/>
              <w:rPr>
                <w:rFonts w:ascii="Arial Narrow" w:hAnsi="Arial Narrow" w:cs="Times New Roman"/>
                <w:sz w:val="15"/>
                <w:szCs w:val="15"/>
              </w:rPr>
            </w:pPr>
          </w:p>
        </w:tc>
      </w:tr>
      <w:tr w:rsidR="002D0AE7" w14:paraId="7380D983" w14:textId="77777777">
        <w:trPr>
          <w:trHeight w:val="20"/>
          <w:jc w:val="center"/>
        </w:trPr>
        <w:tc>
          <w:tcPr>
            <w:tcW w:w="3681" w:type="dxa"/>
          </w:tcPr>
          <w:p w14:paraId="219FE800" w14:textId="77777777" w:rsidR="002D0AE7" w:rsidRDefault="00333EBB">
            <w:pPr>
              <w:rPr>
                <w:rFonts w:hint="eastAsia"/>
                <w:color w:val="000000" w:themeColor="text1"/>
                <w:sz w:val="16"/>
                <w:szCs w:val="18"/>
              </w:rPr>
            </w:pPr>
            <w:r>
              <w:rPr>
                <w:rFonts w:hint="eastAsia"/>
                <w:color w:val="000000" w:themeColor="text1"/>
                <w:sz w:val="16"/>
                <w:szCs w:val="18"/>
              </w:rPr>
              <w:t>3</w:t>
            </w:r>
            <w:r>
              <w:rPr>
                <w:color w:val="000000" w:themeColor="text1"/>
                <w:sz w:val="16"/>
                <w:szCs w:val="18"/>
              </w:rPr>
              <w:t>．股份支付计入所有者权益的金额</w:t>
            </w:r>
          </w:p>
        </w:tc>
        <w:tc>
          <w:tcPr>
            <w:tcW w:w="1276" w:type="dxa"/>
            <w:tcBorders>
              <w:right w:val="single" w:sz="4" w:space="0" w:color="auto"/>
            </w:tcBorders>
            <w:vAlign w:val="center"/>
          </w:tcPr>
          <w:p w14:paraId="0E9409CA"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vAlign w:val="center"/>
          </w:tcPr>
          <w:p w14:paraId="6048504A"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vAlign w:val="center"/>
          </w:tcPr>
          <w:p w14:paraId="513D12C7" w14:textId="77777777" w:rsidR="002D0AE7" w:rsidRDefault="002D0AE7">
            <w:pPr>
              <w:jc w:val="right"/>
              <w:rPr>
                <w:rFonts w:ascii="Arial Narrow" w:hAnsi="Arial Narrow" w:cs="Times New Roman"/>
                <w:sz w:val="15"/>
                <w:szCs w:val="15"/>
              </w:rPr>
            </w:pPr>
          </w:p>
        </w:tc>
        <w:tc>
          <w:tcPr>
            <w:tcW w:w="567" w:type="dxa"/>
            <w:tcBorders>
              <w:left w:val="single" w:sz="4" w:space="0" w:color="auto"/>
            </w:tcBorders>
            <w:vAlign w:val="center"/>
          </w:tcPr>
          <w:p w14:paraId="2F064BB6" w14:textId="77777777" w:rsidR="002D0AE7" w:rsidRDefault="002D0AE7">
            <w:pPr>
              <w:jc w:val="right"/>
              <w:rPr>
                <w:rFonts w:ascii="Arial Narrow" w:hAnsi="Arial Narrow" w:cs="Times New Roman"/>
                <w:sz w:val="15"/>
                <w:szCs w:val="15"/>
              </w:rPr>
            </w:pPr>
          </w:p>
        </w:tc>
        <w:tc>
          <w:tcPr>
            <w:tcW w:w="1134" w:type="dxa"/>
            <w:vAlign w:val="center"/>
          </w:tcPr>
          <w:p w14:paraId="1F9362C8" w14:textId="77777777" w:rsidR="002D0AE7" w:rsidRDefault="002D0AE7">
            <w:pPr>
              <w:jc w:val="right"/>
              <w:rPr>
                <w:rFonts w:ascii="Arial Narrow" w:hAnsi="Arial Narrow" w:cs="Times New Roman"/>
                <w:sz w:val="15"/>
                <w:szCs w:val="15"/>
              </w:rPr>
            </w:pPr>
          </w:p>
        </w:tc>
        <w:tc>
          <w:tcPr>
            <w:tcW w:w="992" w:type="dxa"/>
            <w:vAlign w:val="center"/>
          </w:tcPr>
          <w:p w14:paraId="74414814" w14:textId="77777777" w:rsidR="002D0AE7" w:rsidRDefault="002D0AE7">
            <w:pPr>
              <w:jc w:val="right"/>
              <w:rPr>
                <w:rFonts w:ascii="Arial Narrow" w:hAnsi="Arial Narrow" w:cs="Times New Roman"/>
                <w:sz w:val="15"/>
                <w:szCs w:val="15"/>
              </w:rPr>
            </w:pPr>
          </w:p>
        </w:tc>
        <w:tc>
          <w:tcPr>
            <w:tcW w:w="1134" w:type="dxa"/>
            <w:vAlign w:val="center"/>
          </w:tcPr>
          <w:p w14:paraId="077714AA" w14:textId="77777777" w:rsidR="002D0AE7" w:rsidRDefault="002D0AE7">
            <w:pPr>
              <w:jc w:val="right"/>
              <w:rPr>
                <w:rFonts w:ascii="Arial Narrow" w:hAnsi="Arial Narrow" w:cs="Times New Roman"/>
                <w:sz w:val="15"/>
                <w:szCs w:val="15"/>
              </w:rPr>
            </w:pPr>
          </w:p>
        </w:tc>
        <w:tc>
          <w:tcPr>
            <w:tcW w:w="1134" w:type="dxa"/>
            <w:vAlign w:val="center"/>
          </w:tcPr>
          <w:p w14:paraId="7E6078B9" w14:textId="77777777" w:rsidR="002D0AE7" w:rsidRDefault="002D0AE7">
            <w:pPr>
              <w:jc w:val="right"/>
              <w:rPr>
                <w:rFonts w:ascii="Arial Narrow" w:hAnsi="Arial Narrow" w:cs="Times New Roman"/>
                <w:sz w:val="15"/>
                <w:szCs w:val="15"/>
              </w:rPr>
            </w:pPr>
          </w:p>
        </w:tc>
        <w:tc>
          <w:tcPr>
            <w:tcW w:w="1134" w:type="dxa"/>
            <w:vAlign w:val="center"/>
          </w:tcPr>
          <w:p w14:paraId="56044F89" w14:textId="77777777" w:rsidR="002D0AE7" w:rsidRDefault="002D0AE7">
            <w:pPr>
              <w:jc w:val="right"/>
              <w:rPr>
                <w:rFonts w:ascii="Arial Narrow" w:hAnsi="Arial Narrow" w:cs="Times New Roman"/>
                <w:sz w:val="15"/>
                <w:szCs w:val="15"/>
              </w:rPr>
            </w:pPr>
          </w:p>
        </w:tc>
        <w:tc>
          <w:tcPr>
            <w:tcW w:w="1134" w:type="dxa"/>
            <w:vAlign w:val="center"/>
          </w:tcPr>
          <w:p w14:paraId="7E6C1E32" w14:textId="77777777" w:rsidR="002D0AE7" w:rsidRDefault="002D0AE7">
            <w:pPr>
              <w:jc w:val="right"/>
              <w:rPr>
                <w:rFonts w:ascii="Arial Narrow" w:hAnsi="Arial Narrow" w:cs="Times New Roman"/>
                <w:sz w:val="15"/>
                <w:szCs w:val="15"/>
              </w:rPr>
            </w:pPr>
          </w:p>
        </w:tc>
        <w:tc>
          <w:tcPr>
            <w:tcW w:w="1212" w:type="dxa"/>
            <w:vAlign w:val="center"/>
          </w:tcPr>
          <w:p w14:paraId="14CF65CB" w14:textId="77777777" w:rsidR="002D0AE7" w:rsidRDefault="002D0AE7">
            <w:pPr>
              <w:jc w:val="right"/>
              <w:rPr>
                <w:rFonts w:ascii="Arial Narrow" w:hAnsi="Arial Narrow" w:cs="Times New Roman"/>
                <w:sz w:val="15"/>
                <w:szCs w:val="15"/>
              </w:rPr>
            </w:pPr>
          </w:p>
        </w:tc>
      </w:tr>
      <w:tr w:rsidR="002D0AE7" w14:paraId="4CF03DA7" w14:textId="77777777">
        <w:trPr>
          <w:trHeight w:val="20"/>
          <w:jc w:val="center"/>
        </w:trPr>
        <w:tc>
          <w:tcPr>
            <w:tcW w:w="3681" w:type="dxa"/>
          </w:tcPr>
          <w:p w14:paraId="31255C58" w14:textId="77777777" w:rsidR="002D0AE7" w:rsidRDefault="00333EBB">
            <w:pPr>
              <w:rPr>
                <w:rFonts w:hint="eastAsia"/>
                <w:color w:val="000000" w:themeColor="text1"/>
                <w:sz w:val="18"/>
                <w:szCs w:val="18"/>
              </w:rPr>
            </w:pPr>
            <w:r>
              <w:rPr>
                <w:rFonts w:hint="eastAsia"/>
                <w:color w:val="000000" w:themeColor="text1"/>
                <w:sz w:val="18"/>
                <w:szCs w:val="18"/>
              </w:rPr>
              <w:t>4</w:t>
            </w:r>
            <w:r>
              <w:rPr>
                <w:color w:val="000000" w:themeColor="text1"/>
                <w:sz w:val="18"/>
                <w:szCs w:val="18"/>
              </w:rPr>
              <w:t>．其他</w:t>
            </w:r>
          </w:p>
        </w:tc>
        <w:tc>
          <w:tcPr>
            <w:tcW w:w="1276" w:type="dxa"/>
            <w:tcBorders>
              <w:right w:val="single" w:sz="4" w:space="0" w:color="auto"/>
            </w:tcBorders>
            <w:vAlign w:val="center"/>
          </w:tcPr>
          <w:p w14:paraId="01546939"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vAlign w:val="center"/>
          </w:tcPr>
          <w:p w14:paraId="1E556D9A"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vAlign w:val="center"/>
          </w:tcPr>
          <w:p w14:paraId="4E5A61C5" w14:textId="77777777" w:rsidR="002D0AE7" w:rsidRDefault="002D0AE7">
            <w:pPr>
              <w:jc w:val="right"/>
              <w:rPr>
                <w:rFonts w:ascii="Arial Narrow" w:hAnsi="Arial Narrow" w:cs="Times New Roman"/>
                <w:sz w:val="15"/>
                <w:szCs w:val="15"/>
              </w:rPr>
            </w:pPr>
          </w:p>
        </w:tc>
        <w:tc>
          <w:tcPr>
            <w:tcW w:w="567" w:type="dxa"/>
            <w:tcBorders>
              <w:left w:val="single" w:sz="4" w:space="0" w:color="auto"/>
            </w:tcBorders>
            <w:vAlign w:val="center"/>
          </w:tcPr>
          <w:p w14:paraId="7C65AA14" w14:textId="77777777" w:rsidR="002D0AE7" w:rsidRDefault="002D0AE7">
            <w:pPr>
              <w:jc w:val="right"/>
              <w:rPr>
                <w:rFonts w:ascii="Arial Narrow" w:hAnsi="Arial Narrow" w:cs="Times New Roman"/>
                <w:sz w:val="15"/>
                <w:szCs w:val="15"/>
              </w:rPr>
            </w:pPr>
          </w:p>
        </w:tc>
        <w:tc>
          <w:tcPr>
            <w:tcW w:w="1134" w:type="dxa"/>
            <w:vAlign w:val="center"/>
          </w:tcPr>
          <w:p w14:paraId="633AABD0" w14:textId="77777777" w:rsidR="002D0AE7" w:rsidRDefault="002D0AE7">
            <w:pPr>
              <w:jc w:val="right"/>
              <w:rPr>
                <w:rFonts w:ascii="Arial Narrow" w:hAnsi="Arial Narrow" w:cs="Times New Roman"/>
                <w:sz w:val="15"/>
                <w:szCs w:val="15"/>
              </w:rPr>
            </w:pPr>
          </w:p>
        </w:tc>
        <w:tc>
          <w:tcPr>
            <w:tcW w:w="992" w:type="dxa"/>
            <w:vAlign w:val="center"/>
          </w:tcPr>
          <w:p w14:paraId="5CDE2FCA" w14:textId="77777777" w:rsidR="002D0AE7" w:rsidRDefault="002D0AE7">
            <w:pPr>
              <w:jc w:val="right"/>
              <w:rPr>
                <w:rFonts w:ascii="Arial Narrow" w:hAnsi="Arial Narrow" w:cs="Times New Roman"/>
                <w:sz w:val="15"/>
                <w:szCs w:val="15"/>
              </w:rPr>
            </w:pPr>
          </w:p>
        </w:tc>
        <w:tc>
          <w:tcPr>
            <w:tcW w:w="1134" w:type="dxa"/>
            <w:vAlign w:val="center"/>
          </w:tcPr>
          <w:p w14:paraId="52DC416E" w14:textId="77777777" w:rsidR="002D0AE7" w:rsidRDefault="002D0AE7">
            <w:pPr>
              <w:jc w:val="right"/>
              <w:rPr>
                <w:rFonts w:ascii="Arial Narrow" w:hAnsi="Arial Narrow" w:cs="Times New Roman"/>
                <w:sz w:val="15"/>
                <w:szCs w:val="15"/>
              </w:rPr>
            </w:pPr>
          </w:p>
        </w:tc>
        <w:tc>
          <w:tcPr>
            <w:tcW w:w="1134" w:type="dxa"/>
            <w:vAlign w:val="center"/>
          </w:tcPr>
          <w:p w14:paraId="66C70C20" w14:textId="77777777" w:rsidR="002D0AE7" w:rsidRDefault="002D0AE7">
            <w:pPr>
              <w:jc w:val="right"/>
              <w:rPr>
                <w:rFonts w:ascii="Arial Narrow" w:hAnsi="Arial Narrow" w:cs="Times New Roman"/>
                <w:sz w:val="15"/>
                <w:szCs w:val="15"/>
              </w:rPr>
            </w:pPr>
          </w:p>
        </w:tc>
        <w:tc>
          <w:tcPr>
            <w:tcW w:w="1134" w:type="dxa"/>
            <w:vAlign w:val="center"/>
          </w:tcPr>
          <w:p w14:paraId="7D29086E" w14:textId="77777777" w:rsidR="002D0AE7" w:rsidRDefault="002D0AE7">
            <w:pPr>
              <w:jc w:val="right"/>
              <w:rPr>
                <w:rFonts w:ascii="Arial Narrow" w:hAnsi="Arial Narrow" w:cs="Times New Roman"/>
                <w:sz w:val="15"/>
                <w:szCs w:val="15"/>
              </w:rPr>
            </w:pPr>
          </w:p>
        </w:tc>
        <w:tc>
          <w:tcPr>
            <w:tcW w:w="1134" w:type="dxa"/>
            <w:vAlign w:val="center"/>
          </w:tcPr>
          <w:p w14:paraId="2A3557E0" w14:textId="77777777" w:rsidR="002D0AE7" w:rsidRDefault="002D0AE7">
            <w:pPr>
              <w:jc w:val="right"/>
              <w:rPr>
                <w:rFonts w:ascii="Arial Narrow" w:hAnsi="Arial Narrow" w:cs="Times New Roman"/>
                <w:sz w:val="15"/>
                <w:szCs w:val="15"/>
              </w:rPr>
            </w:pPr>
          </w:p>
        </w:tc>
        <w:tc>
          <w:tcPr>
            <w:tcW w:w="1212" w:type="dxa"/>
            <w:vAlign w:val="center"/>
          </w:tcPr>
          <w:p w14:paraId="5B790636" w14:textId="77777777" w:rsidR="002D0AE7" w:rsidRDefault="002D0AE7">
            <w:pPr>
              <w:jc w:val="right"/>
              <w:rPr>
                <w:rFonts w:ascii="Arial Narrow" w:hAnsi="Arial Narrow" w:cs="Times New Roman"/>
                <w:sz w:val="15"/>
                <w:szCs w:val="15"/>
              </w:rPr>
            </w:pPr>
          </w:p>
        </w:tc>
      </w:tr>
      <w:tr w:rsidR="002D0AE7" w14:paraId="55D255DE" w14:textId="77777777">
        <w:trPr>
          <w:trHeight w:val="20"/>
          <w:jc w:val="center"/>
        </w:trPr>
        <w:tc>
          <w:tcPr>
            <w:tcW w:w="3681" w:type="dxa"/>
          </w:tcPr>
          <w:p w14:paraId="377A090F" w14:textId="77777777" w:rsidR="002D0AE7" w:rsidRDefault="00333EBB">
            <w:pPr>
              <w:rPr>
                <w:rFonts w:hint="eastAsia"/>
                <w:color w:val="000000" w:themeColor="text1"/>
                <w:sz w:val="18"/>
                <w:szCs w:val="18"/>
              </w:rPr>
            </w:pPr>
            <w:r>
              <w:rPr>
                <w:color w:val="000000" w:themeColor="text1"/>
                <w:sz w:val="18"/>
                <w:szCs w:val="18"/>
              </w:rPr>
              <w:lastRenderedPageBreak/>
              <w:t>（</w:t>
            </w:r>
            <w:r>
              <w:rPr>
                <w:rFonts w:hint="eastAsia"/>
                <w:color w:val="000000" w:themeColor="text1"/>
                <w:sz w:val="18"/>
                <w:szCs w:val="18"/>
              </w:rPr>
              <w:t>三</w:t>
            </w:r>
            <w:r>
              <w:rPr>
                <w:color w:val="000000" w:themeColor="text1"/>
                <w:sz w:val="18"/>
                <w:szCs w:val="18"/>
              </w:rPr>
              <w:t>）利润分配</w:t>
            </w:r>
          </w:p>
        </w:tc>
        <w:tc>
          <w:tcPr>
            <w:tcW w:w="1276" w:type="dxa"/>
            <w:tcBorders>
              <w:right w:val="single" w:sz="4" w:space="0" w:color="auto"/>
            </w:tcBorders>
            <w:vAlign w:val="center"/>
          </w:tcPr>
          <w:p w14:paraId="5FBA52AC"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0.00</w:t>
            </w:r>
          </w:p>
        </w:tc>
        <w:tc>
          <w:tcPr>
            <w:tcW w:w="567" w:type="dxa"/>
            <w:tcBorders>
              <w:left w:val="single" w:sz="4" w:space="0" w:color="auto"/>
              <w:right w:val="single" w:sz="4" w:space="0" w:color="auto"/>
            </w:tcBorders>
            <w:vAlign w:val="center"/>
          </w:tcPr>
          <w:p w14:paraId="0A02829B"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0.00</w:t>
            </w:r>
          </w:p>
        </w:tc>
        <w:tc>
          <w:tcPr>
            <w:tcW w:w="567" w:type="dxa"/>
            <w:tcBorders>
              <w:left w:val="single" w:sz="4" w:space="0" w:color="auto"/>
              <w:right w:val="single" w:sz="4" w:space="0" w:color="auto"/>
            </w:tcBorders>
            <w:vAlign w:val="center"/>
          </w:tcPr>
          <w:p w14:paraId="1D5919ED"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0.00</w:t>
            </w:r>
          </w:p>
        </w:tc>
        <w:tc>
          <w:tcPr>
            <w:tcW w:w="567" w:type="dxa"/>
            <w:tcBorders>
              <w:left w:val="single" w:sz="4" w:space="0" w:color="auto"/>
            </w:tcBorders>
            <w:vAlign w:val="center"/>
          </w:tcPr>
          <w:p w14:paraId="7E44539D"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0.00</w:t>
            </w:r>
          </w:p>
        </w:tc>
        <w:tc>
          <w:tcPr>
            <w:tcW w:w="1134" w:type="dxa"/>
            <w:vAlign w:val="center"/>
          </w:tcPr>
          <w:p w14:paraId="1E48A8EC"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0.00</w:t>
            </w:r>
          </w:p>
        </w:tc>
        <w:tc>
          <w:tcPr>
            <w:tcW w:w="992" w:type="dxa"/>
            <w:vAlign w:val="center"/>
          </w:tcPr>
          <w:p w14:paraId="64851503"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0.00</w:t>
            </w:r>
          </w:p>
        </w:tc>
        <w:tc>
          <w:tcPr>
            <w:tcW w:w="1134" w:type="dxa"/>
            <w:vAlign w:val="center"/>
          </w:tcPr>
          <w:p w14:paraId="60840588"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0.00</w:t>
            </w:r>
          </w:p>
        </w:tc>
        <w:tc>
          <w:tcPr>
            <w:tcW w:w="1134" w:type="dxa"/>
            <w:vAlign w:val="center"/>
          </w:tcPr>
          <w:p w14:paraId="43D50C65"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0.00</w:t>
            </w:r>
          </w:p>
        </w:tc>
        <w:tc>
          <w:tcPr>
            <w:tcW w:w="1134" w:type="dxa"/>
            <w:vAlign w:val="center"/>
          </w:tcPr>
          <w:p w14:paraId="5F495E4C"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10,934,856.45</w:t>
            </w:r>
          </w:p>
        </w:tc>
        <w:tc>
          <w:tcPr>
            <w:tcW w:w="1134" w:type="dxa"/>
            <w:vAlign w:val="center"/>
          </w:tcPr>
          <w:p w14:paraId="1CB3811F"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-106,106,999.61</w:t>
            </w:r>
          </w:p>
        </w:tc>
        <w:tc>
          <w:tcPr>
            <w:tcW w:w="1212" w:type="dxa"/>
            <w:vAlign w:val="center"/>
          </w:tcPr>
          <w:p w14:paraId="2D6D513D"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-95,172,143.16</w:t>
            </w:r>
          </w:p>
        </w:tc>
      </w:tr>
      <w:tr w:rsidR="002D0AE7" w14:paraId="0B898CB4" w14:textId="77777777">
        <w:trPr>
          <w:trHeight w:val="20"/>
          <w:jc w:val="center"/>
        </w:trPr>
        <w:tc>
          <w:tcPr>
            <w:tcW w:w="3681" w:type="dxa"/>
          </w:tcPr>
          <w:p w14:paraId="01351525" w14:textId="77777777" w:rsidR="002D0AE7" w:rsidRDefault="00333EBB">
            <w:pPr>
              <w:rPr>
                <w:rFonts w:hint="eastAsia"/>
                <w:color w:val="000000" w:themeColor="text1"/>
                <w:sz w:val="18"/>
                <w:szCs w:val="18"/>
              </w:rPr>
            </w:pPr>
            <w:r>
              <w:rPr>
                <w:color w:val="000000" w:themeColor="text1"/>
                <w:sz w:val="18"/>
                <w:szCs w:val="18"/>
              </w:rPr>
              <w:t>1</w:t>
            </w:r>
            <w:r>
              <w:rPr>
                <w:color w:val="000000" w:themeColor="text1"/>
                <w:sz w:val="18"/>
                <w:szCs w:val="18"/>
              </w:rPr>
              <w:t>．提取盈余公积</w:t>
            </w:r>
          </w:p>
        </w:tc>
        <w:tc>
          <w:tcPr>
            <w:tcW w:w="1276" w:type="dxa"/>
            <w:tcBorders>
              <w:right w:val="single" w:sz="4" w:space="0" w:color="auto"/>
            </w:tcBorders>
            <w:vAlign w:val="center"/>
          </w:tcPr>
          <w:p w14:paraId="6C78EAB4"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75D0F96B"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6CFD772D"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567" w:type="dxa"/>
            <w:tcBorders>
              <w:left w:val="single" w:sz="4" w:space="0" w:color="auto"/>
            </w:tcBorders>
            <w:vAlign w:val="center"/>
          </w:tcPr>
          <w:p w14:paraId="52D1FC8C"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1134" w:type="dxa"/>
            <w:vAlign w:val="center"/>
          </w:tcPr>
          <w:p w14:paraId="5CD262CC"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992" w:type="dxa"/>
            <w:vAlign w:val="center"/>
          </w:tcPr>
          <w:p w14:paraId="0E250115"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1134" w:type="dxa"/>
            <w:vAlign w:val="center"/>
          </w:tcPr>
          <w:p w14:paraId="3CA7355B"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1134" w:type="dxa"/>
            <w:vAlign w:val="center"/>
          </w:tcPr>
          <w:p w14:paraId="75B6BCC5"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1134" w:type="dxa"/>
            <w:vAlign w:val="center"/>
          </w:tcPr>
          <w:p w14:paraId="7E74D42A"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10,934,856.45</w:t>
            </w:r>
          </w:p>
        </w:tc>
        <w:tc>
          <w:tcPr>
            <w:tcW w:w="1134" w:type="dxa"/>
            <w:vAlign w:val="center"/>
          </w:tcPr>
          <w:p w14:paraId="62FC402C"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-10,934,856.45</w:t>
            </w:r>
          </w:p>
        </w:tc>
        <w:tc>
          <w:tcPr>
            <w:tcW w:w="1212" w:type="dxa"/>
            <w:vAlign w:val="center"/>
          </w:tcPr>
          <w:p w14:paraId="0236CE00"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0.00</w:t>
            </w:r>
          </w:p>
        </w:tc>
      </w:tr>
      <w:tr w:rsidR="002D0AE7" w14:paraId="55C9299D" w14:textId="77777777">
        <w:trPr>
          <w:trHeight w:val="20"/>
          <w:jc w:val="center"/>
        </w:trPr>
        <w:tc>
          <w:tcPr>
            <w:tcW w:w="3681" w:type="dxa"/>
          </w:tcPr>
          <w:p w14:paraId="36E7796F" w14:textId="77777777" w:rsidR="002D0AE7" w:rsidRDefault="00333EBB">
            <w:pPr>
              <w:rPr>
                <w:rFonts w:hint="eastAsia"/>
                <w:color w:val="000000" w:themeColor="text1"/>
                <w:sz w:val="18"/>
                <w:szCs w:val="18"/>
              </w:rPr>
            </w:pPr>
            <w:r>
              <w:rPr>
                <w:rFonts w:hint="eastAsia"/>
                <w:color w:val="000000" w:themeColor="text1"/>
                <w:sz w:val="18"/>
                <w:szCs w:val="18"/>
              </w:rPr>
              <w:t>2</w:t>
            </w:r>
            <w:r>
              <w:rPr>
                <w:color w:val="000000" w:themeColor="text1"/>
                <w:sz w:val="18"/>
                <w:szCs w:val="18"/>
              </w:rPr>
              <w:t>．对所有者（或股东）的分配</w:t>
            </w:r>
          </w:p>
        </w:tc>
        <w:tc>
          <w:tcPr>
            <w:tcW w:w="1276" w:type="dxa"/>
            <w:tcBorders>
              <w:right w:val="single" w:sz="4" w:space="0" w:color="auto"/>
            </w:tcBorders>
            <w:vAlign w:val="center"/>
          </w:tcPr>
          <w:p w14:paraId="692A6FF4"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1C15CFFD"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0BD8E96A"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567" w:type="dxa"/>
            <w:tcBorders>
              <w:left w:val="single" w:sz="4" w:space="0" w:color="auto"/>
            </w:tcBorders>
            <w:vAlign w:val="center"/>
          </w:tcPr>
          <w:p w14:paraId="1B7F4C72"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1134" w:type="dxa"/>
            <w:vAlign w:val="center"/>
          </w:tcPr>
          <w:p w14:paraId="7DA46915"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992" w:type="dxa"/>
            <w:vAlign w:val="center"/>
          </w:tcPr>
          <w:p w14:paraId="27604942"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1134" w:type="dxa"/>
            <w:vAlign w:val="center"/>
          </w:tcPr>
          <w:p w14:paraId="33E741EB"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1134" w:type="dxa"/>
            <w:vAlign w:val="center"/>
          </w:tcPr>
          <w:p w14:paraId="49D89F26"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1134" w:type="dxa"/>
            <w:vAlign w:val="center"/>
          </w:tcPr>
          <w:p w14:paraId="165E5949"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0.00</w:t>
            </w:r>
          </w:p>
        </w:tc>
        <w:tc>
          <w:tcPr>
            <w:tcW w:w="1134" w:type="dxa"/>
            <w:vAlign w:val="center"/>
          </w:tcPr>
          <w:p w14:paraId="3C940F40"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-95,172,143.16</w:t>
            </w:r>
          </w:p>
        </w:tc>
        <w:tc>
          <w:tcPr>
            <w:tcW w:w="1212" w:type="dxa"/>
            <w:vAlign w:val="center"/>
          </w:tcPr>
          <w:p w14:paraId="1719D9E7"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-95,172,143.16</w:t>
            </w:r>
          </w:p>
        </w:tc>
      </w:tr>
      <w:tr w:rsidR="002D0AE7" w14:paraId="064F5066" w14:textId="77777777">
        <w:trPr>
          <w:trHeight w:val="20"/>
          <w:jc w:val="center"/>
        </w:trPr>
        <w:tc>
          <w:tcPr>
            <w:tcW w:w="3681" w:type="dxa"/>
          </w:tcPr>
          <w:p w14:paraId="214E5CCE" w14:textId="77777777" w:rsidR="002D0AE7" w:rsidRDefault="00333EBB">
            <w:pPr>
              <w:rPr>
                <w:rFonts w:hint="eastAsia"/>
                <w:color w:val="000000" w:themeColor="text1"/>
                <w:sz w:val="18"/>
                <w:szCs w:val="18"/>
              </w:rPr>
            </w:pPr>
            <w:r>
              <w:rPr>
                <w:rFonts w:hint="eastAsia"/>
                <w:color w:val="000000" w:themeColor="text1"/>
                <w:sz w:val="18"/>
                <w:szCs w:val="18"/>
              </w:rPr>
              <w:t>3</w:t>
            </w:r>
            <w:r>
              <w:rPr>
                <w:color w:val="000000" w:themeColor="text1"/>
                <w:sz w:val="18"/>
                <w:szCs w:val="18"/>
              </w:rPr>
              <w:t>．其他</w:t>
            </w:r>
          </w:p>
        </w:tc>
        <w:tc>
          <w:tcPr>
            <w:tcW w:w="1276" w:type="dxa"/>
            <w:tcBorders>
              <w:right w:val="single" w:sz="4" w:space="0" w:color="auto"/>
            </w:tcBorders>
            <w:vAlign w:val="center"/>
          </w:tcPr>
          <w:p w14:paraId="564B0C79"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vAlign w:val="center"/>
          </w:tcPr>
          <w:p w14:paraId="182A5C4B"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vAlign w:val="center"/>
          </w:tcPr>
          <w:p w14:paraId="2C237706" w14:textId="77777777" w:rsidR="002D0AE7" w:rsidRDefault="002D0AE7">
            <w:pPr>
              <w:jc w:val="right"/>
              <w:rPr>
                <w:rFonts w:ascii="Arial Narrow" w:hAnsi="Arial Narrow" w:cs="Times New Roman"/>
                <w:sz w:val="15"/>
                <w:szCs w:val="15"/>
              </w:rPr>
            </w:pPr>
          </w:p>
        </w:tc>
        <w:tc>
          <w:tcPr>
            <w:tcW w:w="567" w:type="dxa"/>
            <w:tcBorders>
              <w:left w:val="single" w:sz="4" w:space="0" w:color="auto"/>
            </w:tcBorders>
            <w:vAlign w:val="center"/>
          </w:tcPr>
          <w:p w14:paraId="6799E97C" w14:textId="77777777" w:rsidR="002D0AE7" w:rsidRDefault="002D0AE7">
            <w:pPr>
              <w:jc w:val="right"/>
              <w:rPr>
                <w:rFonts w:ascii="Arial Narrow" w:hAnsi="Arial Narrow" w:cs="Times New Roman"/>
                <w:sz w:val="15"/>
                <w:szCs w:val="15"/>
              </w:rPr>
            </w:pPr>
          </w:p>
        </w:tc>
        <w:tc>
          <w:tcPr>
            <w:tcW w:w="1134" w:type="dxa"/>
            <w:vAlign w:val="center"/>
          </w:tcPr>
          <w:p w14:paraId="169F1EC1" w14:textId="77777777" w:rsidR="002D0AE7" w:rsidRDefault="002D0AE7">
            <w:pPr>
              <w:jc w:val="right"/>
              <w:rPr>
                <w:rFonts w:ascii="Arial Narrow" w:hAnsi="Arial Narrow" w:cs="Times New Roman"/>
                <w:sz w:val="15"/>
                <w:szCs w:val="15"/>
              </w:rPr>
            </w:pPr>
          </w:p>
        </w:tc>
        <w:tc>
          <w:tcPr>
            <w:tcW w:w="992" w:type="dxa"/>
            <w:vAlign w:val="center"/>
          </w:tcPr>
          <w:p w14:paraId="716B8A62" w14:textId="77777777" w:rsidR="002D0AE7" w:rsidRDefault="002D0AE7">
            <w:pPr>
              <w:jc w:val="right"/>
              <w:rPr>
                <w:rFonts w:ascii="Arial Narrow" w:hAnsi="Arial Narrow" w:cs="Times New Roman"/>
                <w:sz w:val="15"/>
                <w:szCs w:val="15"/>
              </w:rPr>
            </w:pPr>
          </w:p>
        </w:tc>
        <w:tc>
          <w:tcPr>
            <w:tcW w:w="1134" w:type="dxa"/>
            <w:vAlign w:val="center"/>
          </w:tcPr>
          <w:p w14:paraId="45A8BB40" w14:textId="77777777" w:rsidR="002D0AE7" w:rsidRDefault="002D0AE7">
            <w:pPr>
              <w:jc w:val="right"/>
              <w:rPr>
                <w:rFonts w:ascii="Arial Narrow" w:hAnsi="Arial Narrow" w:cs="Times New Roman"/>
                <w:sz w:val="15"/>
                <w:szCs w:val="15"/>
              </w:rPr>
            </w:pPr>
          </w:p>
        </w:tc>
        <w:tc>
          <w:tcPr>
            <w:tcW w:w="1134" w:type="dxa"/>
            <w:vAlign w:val="center"/>
          </w:tcPr>
          <w:p w14:paraId="75246495" w14:textId="77777777" w:rsidR="002D0AE7" w:rsidRDefault="002D0AE7">
            <w:pPr>
              <w:jc w:val="right"/>
              <w:rPr>
                <w:rFonts w:ascii="Arial Narrow" w:hAnsi="Arial Narrow" w:cs="Times New Roman"/>
                <w:sz w:val="15"/>
                <w:szCs w:val="15"/>
              </w:rPr>
            </w:pPr>
          </w:p>
        </w:tc>
        <w:tc>
          <w:tcPr>
            <w:tcW w:w="1134" w:type="dxa"/>
            <w:vAlign w:val="center"/>
          </w:tcPr>
          <w:p w14:paraId="10339C45" w14:textId="77777777" w:rsidR="002D0AE7" w:rsidRDefault="002D0AE7">
            <w:pPr>
              <w:jc w:val="right"/>
              <w:rPr>
                <w:rFonts w:ascii="Arial Narrow" w:hAnsi="Arial Narrow" w:cs="Times New Roman"/>
                <w:sz w:val="15"/>
                <w:szCs w:val="15"/>
              </w:rPr>
            </w:pPr>
          </w:p>
        </w:tc>
        <w:tc>
          <w:tcPr>
            <w:tcW w:w="1134" w:type="dxa"/>
            <w:vAlign w:val="center"/>
          </w:tcPr>
          <w:p w14:paraId="26FECB86" w14:textId="77777777" w:rsidR="002D0AE7" w:rsidRDefault="002D0AE7">
            <w:pPr>
              <w:jc w:val="right"/>
              <w:rPr>
                <w:rFonts w:ascii="Arial Narrow" w:hAnsi="Arial Narrow" w:cs="Times New Roman"/>
                <w:sz w:val="15"/>
                <w:szCs w:val="15"/>
              </w:rPr>
            </w:pPr>
          </w:p>
        </w:tc>
        <w:tc>
          <w:tcPr>
            <w:tcW w:w="1212" w:type="dxa"/>
            <w:vAlign w:val="center"/>
          </w:tcPr>
          <w:p w14:paraId="17D29FF6" w14:textId="77777777" w:rsidR="002D0AE7" w:rsidRDefault="002D0AE7">
            <w:pPr>
              <w:jc w:val="right"/>
              <w:rPr>
                <w:rFonts w:ascii="Arial Narrow" w:hAnsi="Arial Narrow" w:cs="Times New Roman"/>
                <w:sz w:val="15"/>
                <w:szCs w:val="15"/>
              </w:rPr>
            </w:pPr>
          </w:p>
        </w:tc>
      </w:tr>
      <w:tr w:rsidR="002D0AE7" w14:paraId="390F340D" w14:textId="77777777">
        <w:trPr>
          <w:trHeight w:val="20"/>
          <w:jc w:val="center"/>
        </w:trPr>
        <w:tc>
          <w:tcPr>
            <w:tcW w:w="3681" w:type="dxa"/>
          </w:tcPr>
          <w:p w14:paraId="2BCC1D17" w14:textId="77777777" w:rsidR="002D0AE7" w:rsidRDefault="00333EBB">
            <w:pPr>
              <w:rPr>
                <w:rFonts w:hint="eastAsia"/>
                <w:color w:val="000000" w:themeColor="text1"/>
                <w:sz w:val="18"/>
                <w:szCs w:val="18"/>
              </w:rPr>
            </w:pPr>
            <w:r>
              <w:rPr>
                <w:color w:val="000000" w:themeColor="text1"/>
                <w:sz w:val="18"/>
                <w:szCs w:val="18"/>
              </w:rPr>
              <w:t>（</w:t>
            </w:r>
            <w:r>
              <w:rPr>
                <w:rFonts w:hint="eastAsia"/>
                <w:color w:val="000000" w:themeColor="text1"/>
                <w:sz w:val="18"/>
                <w:szCs w:val="18"/>
              </w:rPr>
              <w:t>四</w:t>
            </w:r>
            <w:r>
              <w:rPr>
                <w:color w:val="000000" w:themeColor="text1"/>
                <w:sz w:val="18"/>
                <w:szCs w:val="18"/>
              </w:rPr>
              <w:t>）所有者权益内部结转</w:t>
            </w:r>
          </w:p>
        </w:tc>
        <w:tc>
          <w:tcPr>
            <w:tcW w:w="1276" w:type="dxa"/>
            <w:tcBorders>
              <w:right w:val="single" w:sz="4" w:space="0" w:color="auto"/>
            </w:tcBorders>
            <w:vAlign w:val="center"/>
          </w:tcPr>
          <w:p w14:paraId="5084D27F"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vAlign w:val="center"/>
          </w:tcPr>
          <w:p w14:paraId="128C357F"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vAlign w:val="center"/>
          </w:tcPr>
          <w:p w14:paraId="27ECF712" w14:textId="77777777" w:rsidR="002D0AE7" w:rsidRDefault="002D0AE7">
            <w:pPr>
              <w:jc w:val="right"/>
              <w:rPr>
                <w:rFonts w:ascii="Arial Narrow" w:hAnsi="Arial Narrow" w:cs="Times New Roman"/>
                <w:sz w:val="15"/>
                <w:szCs w:val="15"/>
              </w:rPr>
            </w:pPr>
          </w:p>
        </w:tc>
        <w:tc>
          <w:tcPr>
            <w:tcW w:w="567" w:type="dxa"/>
            <w:tcBorders>
              <w:left w:val="single" w:sz="4" w:space="0" w:color="auto"/>
            </w:tcBorders>
            <w:vAlign w:val="center"/>
          </w:tcPr>
          <w:p w14:paraId="48CF2E47" w14:textId="77777777" w:rsidR="002D0AE7" w:rsidRDefault="002D0AE7">
            <w:pPr>
              <w:jc w:val="right"/>
              <w:rPr>
                <w:rFonts w:ascii="Arial Narrow" w:hAnsi="Arial Narrow" w:cs="Times New Roman"/>
                <w:sz w:val="15"/>
                <w:szCs w:val="15"/>
              </w:rPr>
            </w:pPr>
          </w:p>
        </w:tc>
        <w:tc>
          <w:tcPr>
            <w:tcW w:w="1134" w:type="dxa"/>
            <w:vAlign w:val="center"/>
          </w:tcPr>
          <w:p w14:paraId="4F2F313C" w14:textId="77777777" w:rsidR="002D0AE7" w:rsidRDefault="002D0AE7">
            <w:pPr>
              <w:jc w:val="right"/>
              <w:rPr>
                <w:rFonts w:ascii="Arial Narrow" w:hAnsi="Arial Narrow" w:cs="Times New Roman"/>
                <w:sz w:val="15"/>
                <w:szCs w:val="15"/>
              </w:rPr>
            </w:pPr>
          </w:p>
        </w:tc>
        <w:tc>
          <w:tcPr>
            <w:tcW w:w="992" w:type="dxa"/>
            <w:vAlign w:val="center"/>
          </w:tcPr>
          <w:p w14:paraId="6080A3A9" w14:textId="77777777" w:rsidR="002D0AE7" w:rsidRDefault="002D0AE7">
            <w:pPr>
              <w:jc w:val="right"/>
              <w:rPr>
                <w:rFonts w:ascii="Arial Narrow" w:hAnsi="Arial Narrow" w:cs="Times New Roman"/>
                <w:sz w:val="15"/>
                <w:szCs w:val="15"/>
              </w:rPr>
            </w:pPr>
          </w:p>
        </w:tc>
        <w:tc>
          <w:tcPr>
            <w:tcW w:w="1134" w:type="dxa"/>
            <w:vAlign w:val="center"/>
          </w:tcPr>
          <w:p w14:paraId="42137491" w14:textId="77777777" w:rsidR="002D0AE7" w:rsidRDefault="002D0AE7">
            <w:pPr>
              <w:jc w:val="right"/>
              <w:rPr>
                <w:rFonts w:ascii="Arial Narrow" w:hAnsi="Arial Narrow" w:cs="Times New Roman"/>
                <w:sz w:val="15"/>
                <w:szCs w:val="15"/>
              </w:rPr>
            </w:pPr>
          </w:p>
        </w:tc>
        <w:tc>
          <w:tcPr>
            <w:tcW w:w="1134" w:type="dxa"/>
            <w:vAlign w:val="center"/>
          </w:tcPr>
          <w:p w14:paraId="7F6BC746" w14:textId="77777777" w:rsidR="002D0AE7" w:rsidRDefault="002D0AE7">
            <w:pPr>
              <w:jc w:val="right"/>
              <w:rPr>
                <w:rFonts w:ascii="Arial Narrow" w:hAnsi="Arial Narrow" w:cs="Times New Roman"/>
                <w:sz w:val="15"/>
                <w:szCs w:val="15"/>
              </w:rPr>
            </w:pPr>
          </w:p>
        </w:tc>
        <w:tc>
          <w:tcPr>
            <w:tcW w:w="1134" w:type="dxa"/>
            <w:vAlign w:val="center"/>
          </w:tcPr>
          <w:p w14:paraId="64C8B825" w14:textId="77777777" w:rsidR="002D0AE7" w:rsidRDefault="002D0AE7">
            <w:pPr>
              <w:jc w:val="right"/>
              <w:rPr>
                <w:rFonts w:ascii="Arial Narrow" w:hAnsi="Arial Narrow" w:cs="Times New Roman"/>
                <w:sz w:val="15"/>
                <w:szCs w:val="15"/>
              </w:rPr>
            </w:pPr>
          </w:p>
        </w:tc>
        <w:tc>
          <w:tcPr>
            <w:tcW w:w="1134" w:type="dxa"/>
            <w:vAlign w:val="center"/>
          </w:tcPr>
          <w:p w14:paraId="034D5D0E" w14:textId="77777777" w:rsidR="002D0AE7" w:rsidRDefault="002D0AE7">
            <w:pPr>
              <w:jc w:val="right"/>
              <w:rPr>
                <w:rFonts w:ascii="Arial Narrow" w:hAnsi="Arial Narrow" w:cs="Times New Roman"/>
                <w:sz w:val="15"/>
                <w:szCs w:val="15"/>
              </w:rPr>
            </w:pPr>
          </w:p>
        </w:tc>
        <w:tc>
          <w:tcPr>
            <w:tcW w:w="1212" w:type="dxa"/>
            <w:vAlign w:val="center"/>
          </w:tcPr>
          <w:p w14:paraId="49F78DFE" w14:textId="77777777" w:rsidR="002D0AE7" w:rsidRDefault="002D0AE7">
            <w:pPr>
              <w:jc w:val="right"/>
              <w:rPr>
                <w:rFonts w:ascii="Arial Narrow" w:hAnsi="Arial Narrow" w:cs="Times New Roman"/>
                <w:sz w:val="15"/>
                <w:szCs w:val="15"/>
              </w:rPr>
            </w:pPr>
          </w:p>
        </w:tc>
      </w:tr>
      <w:tr w:rsidR="002D0AE7" w14:paraId="1A0E39AF" w14:textId="77777777">
        <w:trPr>
          <w:trHeight w:val="20"/>
          <w:jc w:val="center"/>
        </w:trPr>
        <w:tc>
          <w:tcPr>
            <w:tcW w:w="3681" w:type="dxa"/>
          </w:tcPr>
          <w:p w14:paraId="174C9AFC" w14:textId="77777777" w:rsidR="002D0AE7" w:rsidRDefault="00333EBB">
            <w:pPr>
              <w:rPr>
                <w:rFonts w:hint="eastAsia"/>
                <w:color w:val="000000" w:themeColor="text1"/>
                <w:sz w:val="18"/>
                <w:szCs w:val="18"/>
              </w:rPr>
            </w:pPr>
            <w:r>
              <w:rPr>
                <w:color w:val="000000" w:themeColor="text1"/>
                <w:sz w:val="18"/>
                <w:szCs w:val="18"/>
              </w:rPr>
              <w:t>1</w:t>
            </w:r>
            <w:r>
              <w:rPr>
                <w:color w:val="000000" w:themeColor="text1"/>
                <w:sz w:val="18"/>
                <w:szCs w:val="18"/>
              </w:rPr>
              <w:t>．资本公积转增资本（或股本）</w:t>
            </w:r>
          </w:p>
        </w:tc>
        <w:tc>
          <w:tcPr>
            <w:tcW w:w="1276" w:type="dxa"/>
            <w:tcBorders>
              <w:right w:val="single" w:sz="4" w:space="0" w:color="auto"/>
            </w:tcBorders>
            <w:vAlign w:val="center"/>
          </w:tcPr>
          <w:p w14:paraId="70E27B3A"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vAlign w:val="center"/>
          </w:tcPr>
          <w:p w14:paraId="3B9E5D6D"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vAlign w:val="center"/>
          </w:tcPr>
          <w:p w14:paraId="4572F417" w14:textId="77777777" w:rsidR="002D0AE7" w:rsidRDefault="002D0AE7">
            <w:pPr>
              <w:jc w:val="right"/>
              <w:rPr>
                <w:rFonts w:ascii="Arial Narrow" w:hAnsi="Arial Narrow" w:cs="Times New Roman"/>
                <w:sz w:val="15"/>
                <w:szCs w:val="15"/>
              </w:rPr>
            </w:pPr>
          </w:p>
        </w:tc>
        <w:tc>
          <w:tcPr>
            <w:tcW w:w="567" w:type="dxa"/>
            <w:tcBorders>
              <w:left w:val="single" w:sz="4" w:space="0" w:color="auto"/>
            </w:tcBorders>
            <w:vAlign w:val="center"/>
          </w:tcPr>
          <w:p w14:paraId="660AF9DC" w14:textId="77777777" w:rsidR="002D0AE7" w:rsidRDefault="002D0AE7">
            <w:pPr>
              <w:jc w:val="right"/>
              <w:rPr>
                <w:rFonts w:ascii="Arial Narrow" w:hAnsi="Arial Narrow" w:cs="Times New Roman"/>
                <w:sz w:val="15"/>
                <w:szCs w:val="15"/>
              </w:rPr>
            </w:pPr>
          </w:p>
        </w:tc>
        <w:tc>
          <w:tcPr>
            <w:tcW w:w="1134" w:type="dxa"/>
            <w:vAlign w:val="center"/>
          </w:tcPr>
          <w:p w14:paraId="4E204F27" w14:textId="77777777" w:rsidR="002D0AE7" w:rsidRDefault="002D0AE7">
            <w:pPr>
              <w:jc w:val="right"/>
              <w:rPr>
                <w:rFonts w:ascii="Arial Narrow" w:hAnsi="Arial Narrow" w:cs="Times New Roman"/>
                <w:sz w:val="15"/>
                <w:szCs w:val="15"/>
              </w:rPr>
            </w:pPr>
          </w:p>
        </w:tc>
        <w:tc>
          <w:tcPr>
            <w:tcW w:w="992" w:type="dxa"/>
            <w:vAlign w:val="center"/>
          </w:tcPr>
          <w:p w14:paraId="48896A07" w14:textId="77777777" w:rsidR="002D0AE7" w:rsidRDefault="002D0AE7">
            <w:pPr>
              <w:jc w:val="right"/>
              <w:rPr>
                <w:rFonts w:ascii="Arial Narrow" w:hAnsi="Arial Narrow" w:cs="Times New Roman"/>
                <w:sz w:val="15"/>
                <w:szCs w:val="15"/>
              </w:rPr>
            </w:pPr>
          </w:p>
        </w:tc>
        <w:tc>
          <w:tcPr>
            <w:tcW w:w="1134" w:type="dxa"/>
            <w:vAlign w:val="center"/>
          </w:tcPr>
          <w:p w14:paraId="5AB566BB" w14:textId="77777777" w:rsidR="002D0AE7" w:rsidRDefault="002D0AE7">
            <w:pPr>
              <w:jc w:val="right"/>
              <w:rPr>
                <w:rFonts w:ascii="Arial Narrow" w:hAnsi="Arial Narrow" w:cs="Times New Roman"/>
                <w:sz w:val="15"/>
                <w:szCs w:val="15"/>
              </w:rPr>
            </w:pPr>
          </w:p>
        </w:tc>
        <w:tc>
          <w:tcPr>
            <w:tcW w:w="1134" w:type="dxa"/>
            <w:vAlign w:val="center"/>
          </w:tcPr>
          <w:p w14:paraId="7C330C1D" w14:textId="77777777" w:rsidR="002D0AE7" w:rsidRDefault="002D0AE7">
            <w:pPr>
              <w:jc w:val="right"/>
              <w:rPr>
                <w:rFonts w:ascii="Arial Narrow" w:hAnsi="Arial Narrow" w:cs="Times New Roman"/>
                <w:sz w:val="15"/>
                <w:szCs w:val="15"/>
              </w:rPr>
            </w:pPr>
          </w:p>
        </w:tc>
        <w:tc>
          <w:tcPr>
            <w:tcW w:w="1134" w:type="dxa"/>
            <w:vAlign w:val="center"/>
          </w:tcPr>
          <w:p w14:paraId="4D64C239" w14:textId="77777777" w:rsidR="002D0AE7" w:rsidRDefault="002D0AE7">
            <w:pPr>
              <w:jc w:val="right"/>
              <w:rPr>
                <w:rFonts w:ascii="Arial Narrow" w:hAnsi="Arial Narrow" w:cs="Times New Roman"/>
                <w:sz w:val="15"/>
                <w:szCs w:val="15"/>
              </w:rPr>
            </w:pPr>
          </w:p>
        </w:tc>
        <w:tc>
          <w:tcPr>
            <w:tcW w:w="1134" w:type="dxa"/>
            <w:vAlign w:val="center"/>
          </w:tcPr>
          <w:p w14:paraId="2D7BF121" w14:textId="77777777" w:rsidR="002D0AE7" w:rsidRDefault="002D0AE7">
            <w:pPr>
              <w:jc w:val="right"/>
              <w:rPr>
                <w:rFonts w:ascii="Arial Narrow" w:hAnsi="Arial Narrow" w:cs="Times New Roman"/>
                <w:sz w:val="15"/>
                <w:szCs w:val="15"/>
              </w:rPr>
            </w:pPr>
          </w:p>
        </w:tc>
        <w:tc>
          <w:tcPr>
            <w:tcW w:w="1212" w:type="dxa"/>
            <w:vAlign w:val="center"/>
          </w:tcPr>
          <w:p w14:paraId="06DE5276" w14:textId="77777777" w:rsidR="002D0AE7" w:rsidRDefault="002D0AE7">
            <w:pPr>
              <w:jc w:val="right"/>
              <w:rPr>
                <w:rFonts w:ascii="Arial Narrow" w:hAnsi="Arial Narrow" w:cs="Times New Roman"/>
                <w:sz w:val="15"/>
                <w:szCs w:val="15"/>
              </w:rPr>
            </w:pPr>
          </w:p>
        </w:tc>
      </w:tr>
      <w:tr w:rsidR="002D0AE7" w14:paraId="5D75634B" w14:textId="77777777">
        <w:trPr>
          <w:trHeight w:val="20"/>
          <w:jc w:val="center"/>
        </w:trPr>
        <w:tc>
          <w:tcPr>
            <w:tcW w:w="3681" w:type="dxa"/>
          </w:tcPr>
          <w:p w14:paraId="2EC7A69F" w14:textId="77777777" w:rsidR="002D0AE7" w:rsidRDefault="00333EBB">
            <w:pPr>
              <w:rPr>
                <w:rFonts w:hint="eastAsia"/>
                <w:color w:val="000000" w:themeColor="text1"/>
                <w:sz w:val="18"/>
                <w:szCs w:val="18"/>
              </w:rPr>
            </w:pPr>
            <w:r>
              <w:rPr>
                <w:color w:val="000000" w:themeColor="text1"/>
                <w:sz w:val="18"/>
                <w:szCs w:val="18"/>
              </w:rPr>
              <w:t>2</w:t>
            </w:r>
            <w:r>
              <w:rPr>
                <w:color w:val="000000" w:themeColor="text1"/>
                <w:sz w:val="18"/>
                <w:szCs w:val="18"/>
              </w:rPr>
              <w:t>．盈余公积转增资本（或股本）</w:t>
            </w:r>
          </w:p>
        </w:tc>
        <w:tc>
          <w:tcPr>
            <w:tcW w:w="1276" w:type="dxa"/>
            <w:tcBorders>
              <w:right w:val="single" w:sz="4" w:space="0" w:color="auto"/>
            </w:tcBorders>
            <w:vAlign w:val="center"/>
          </w:tcPr>
          <w:p w14:paraId="3C4FF682"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vAlign w:val="center"/>
          </w:tcPr>
          <w:p w14:paraId="62B09D69"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vAlign w:val="center"/>
          </w:tcPr>
          <w:p w14:paraId="2C93AA39" w14:textId="77777777" w:rsidR="002D0AE7" w:rsidRDefault="002D0AE7">
            <w:pPr>
              <w:jc w:val="right"/>
              <w:rPr>
                <w:rFonts w:ascii="Arial Narrow" w:hAnsi="Arial Narrow" w:cs="Times New Roman"/>
                <w:sz w:val="15"/>
                <w:szCs w:val="15"/>
              </w:rPr>
            </w:pPr>
          </w:p>
        </w:tc>
        <w:tc>
          <w:tcPr>
            <w:tcW w:w="567" w:type="dxa"/>
            <w:tcBorders>
              <w:left w:val="single" w:sz="4" w:space="0" w:color="auto"/>
            </w:tcBorders>
            <w:vAlign w:val="center"/>
          </w:tcPr>
          <w:p w14:paraId="37F627D2" w14:textId="77777777" w:rsidR="002D0AE7" w:rsidRDefault="002D0AE7">
            <w:pPr>
              <w:jc w:val="right"/>
              <w:rPr>
                <w:rFonts w:ascii="Arial Narrow" w:hAnsi="Arial Narrow" w:cs="Times New Roman"/>
                <w:sz w:val="15"/>
                <w:szCs w:val="15"/>
              </w:rPr>
            </w:pPr>
          </w:p>
        </w:tc>
        <w:tc>
          <w:tcPr>
            <w:tcW w:w="1134" w:type="dxa"/>
            <w:vAlign w:val="center"/>
          </w:tcPr>
          <w:p w14:paraId="79627854" w14:textId="77777777" w:rsidR="002D0AE7" w:rsidRDefault="002D0AE7">
            <w:pPr>
              <w:jc w:val="right"/>
              <w:rPr>
                <w:rFonts w:ascii="Arial Narrow" w:hAnsi="Arial Narrow" w:cs="Times New Roman"/>
                <w:sz w:val="15"/>
                <w:szCs w:val="15"/>
              </w:rPr>
            </w:pPr>
          </w:p>
        </w:tc>
        <w:tc>
          <w:tcPr>
            <w:tcW w:w="992" w:type="dxa"/>
            <w:vAlign w:val="center"/>
          </w:tcPr>
          <w:p w14:paraId="51AF34F0" w14:textId="77777777" w:rsidR="002D0AE7" w:rsidRDefault="002D0AE7">
            <w:pPr>
              <w:jc w:val="right"/>
              <w:rPr>
                <w:rFonts w:ascii="Arial Narrow" w:hAnsi="Arial Narrow" w:cs="Times New Roman"/>
                <w:sz w:val="15"/>
                <w:szCs w:val="15"/>
              </w:rPr>
            </w:pPr>
          </w:p>
        </w:tc>
        <w:tc>
          <w:tcPr>
            <w:tcW w:w="1134" w:type="dxa"/>
            <w:vAlign w:val="center"/>
          </w:tcPr>
          <w:p w14:paraId="498EAFEE" w14:textId="77777777" w:rsidR="002D0AE7" w:rsidRDefault="002D0AE7">
            <w:pPr>
              <w:jc w:val="right"/>
              <w:rPr>
                <w:rFonts w:ascii="Arial Narrow" w:hAnsi="Arial Narrow" w:cs="Times New Roman"/>
                <w:sz w:val="15"/>
                <w:szCs w:val="15"/>
              </w:rPr>
            </w:pPr>
          </w:p>
        </w:tc>
        <w:tc>
          <w:tcPr>
            <w:tcW w:w="1134" w:type="dxa"/>
            <w:vAlign w:val="center"/>
          </w:tcPr>
          <w:p w14:paraId="02002803" w14:textId="77777777" w:rsidR="002D0AE7" w:rsidRDefault="002D0AE7">
            <w:pPr>
              <w:jc w:val="right"/>
              <w:rPr>
                <w:rFonts w:ascii="Arial Narrow" w:hAnsi="Arial Narrow" w:cs="Times New Roman"/>
                <w:sz w:val="15"/>
                <w:szCs w:val="15"/>
              </w:rPr>
            </w:pPr>
          </w:p>
        </w:tc>
        <w:tc>
          <w:tcPr>
            <w:tcW w:w="1134" w:type="dxa"/>
            <w:vAlign w:val="center"/>
          </w:tcPr>
          <w:p w14:paraId="5B0BB9CE" w14:textId="77777777" w:rsidR="002D0AE7" w:rsidRDefault="002D0AE7">
            <w:pPr>
              <w:jc w:val="right"/>
              <w:rPr>
                <w:rFonts w:ascii="Arial Narrow" w:hAnsi="Arial Narrow" w:cs="Times New Roman"/>
                <w:sz w:val="15"/>
                <w:szCs w:val="15"/>
              </w:rPr>
            </w:pPr>
          </w:p>
        </w:tc>
        <w:tc>
          <w:tcPr>
            <w:tcW w:w="1134" w:type="dxa"/>
            <w:vAlign w:val="center"/>
          </w:tcPr>
          <w:p w14:paraId="6BE3EEF3" w14:textId="77777777" w:rsidR="002D0AE7" w:rsidRDefault="002D0AE7">
            <w:pPr>
              <w:jc w:val="right"/>
              <w:rPr>
                <w:rFonts w:ascii="Arial Narrow" w:hAnsi="Arial Narrow" w:cs="Times New Roman"/>
                <w:sz w:val="15"/>
                <w:szCs w:val="15"/>
              </w:rPr>
            </w:pPr>
          </w:p>
        </w:tc>
        <w:tc>
          <w:tcPr>
            <w:tcW w:w="1212" w:type="dxa"/>
            <w:vAlign w:val="center"/>
          </w:tcPr>
          <w:p w14:paraId="2252CC53" w14:textId="77777777" w:rsidR="002D0AE7" w:rsidRDefault="002D0AE7">
            <w:pPr>
              <w:jc w:val="right"/>
              <w:rPr>
                <w:rFonts w:ascii="Arial Narrow" w:hAnsi="Arial Narrow" w:cs="Times New Roman"/>
                <w:sz w:val="15"/>
                <w:szCs w:val="15"/>
              </w:rPr>
            </w:pPr>
          </w:p>
        </w:tc>
      </w:tr>
      <w:tr w:rsidR="002D0AE7" w14:paraId="0CD1D769" w14:textId="77777777">
        <w:trPr>
          <w:trHeight w:val="20"/>
          <w:jc w:val="center"/>
        </w:trPr>
        <w:tc>
          <w:tcPr>
            <w:tcW w:w="3681" w:type="dxa"/>
          </w:tcPr>
          <w:p w14:paraId="7B6F1799" w14:textId="77777777" w:rsidR="002D0AE7" w:rsidRDefault="00333EBB">
            <w:pPr>
              <w:rPr>
                <w:rFonts w:hint="eastAsia"/>
                <w:color w:val="000000" w:themeColor="text1"/>
                <w:sz w:val="18"/>
                <w:szCs w:val="18"/>
              </w:rPr>
            </w:pPr>
            <w:r>
              <w:rPr>
                <w:color w:val="000000" w:themeColor="text1"/>
                <w:sz w:val="18"/>
                <w:szCs w:val="18"/>
              </w:rPr>
              <w:t>3</w:t>
            </w:r>
            <w:r>
              <w:rPr>
                <w:color w:val="000000" w:themeColor="text1"/>
                <w:sz w:val="18"/>
                <w:szCs w:val="18"/>
              </w:rPr>
              <w:t>．盈余公积弥补亏损</w:t>
            </w:r>
          </w:p>
        </w:tc>
        <w:tc>
          <w:tcPr>
            <w:tcW w:w="1276" w:type="dxa"/>
            <w:tcBorders>
              <w:right w:val="single" w:sz="4" w:space="0" w:color="auto"/>
            </w:tcBorders>
            <w:vAlign w:val="center"/>
          </w:tcPr>
          <w:p w14:paraId="6FE9433D"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vAlign w:val="center"/>
          </w:tcPr>
          <w:p w14:paraId="62C56256"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vAlign w:val="center"/>
          </w:tcPr>
          <w:p w14:paraId="495A5BBA" w14:textId="77777777" w:rsidR="002D0AE7" w:rsidRDefault="002D0AE7">
            <w:pPr>
              <w:jc w:val="right"/>
              <w:rPr>
                <w:rFonts w:ascii="Arial Narrow" w:hAnsi="Arial Narrow" w:cs="Times New Roman"/>
                <w:sz w:val="15"/>
                <w:szCs w:val="15"/>
              </w:rPr>
            </w:pPr>
          </w:p>
        </w:tc>
        <w:tc>
          <w:tcPr>
            <w:tcW w:w="567" w:type="dxa"/>
            <w:tcBorders>
              <w:left w:val="single" w:sz="4" w:space="0" w:color="auto"/>
            </w:tcBorders>
            <w:vAlign w:val="center"/>
          </w:tcPr>
          <w:p w14:paraId="2A7DCA49" w14:textId="77777777" w:rsidR="002D0AE7" w:rsidRDefault="002D0AE7">
            <w:pPr>
              <w:jc w:val="right"/>
              <w:rPr>
                <w:rFonts w:ascii="Arial Narrow" w:hAnsi="Arial Narrow" w:cs="Times New Roman"/>
                <w:sz w:val="15"/>
                <w:szCs w:val="15"/>
              </w:rPr>
            </w:pPr>
          </w:p>
        </w:tc>
        <w:tc>
          <w:tcPr>
            <w:tcW w:w="1134" w:type="dxa"/>
            <w:vAlign w:val="center"/>
          </w:tcPr>
          <w:p w14:paraId="36C61296" w14:textId="77777777" w:rsidR="002D0AE7" w:rsidRDefault="002D0AE7">
            <w:pPr>
              <w:jc w:val="right"/>
              <w:rPr>
                <w:rFonts w:ascii="Arial Narrow" w:hAnsi="Arial Narrow" w:cs="Times New Roman"/>
                <w:sz w:val="15"/>
                <w:szCs w:val="15"/>
              </w:rPr>
            </w:pPr>
          </w:p>
        </w:tc>
        <w:tc>
          <w:tcPr>
            <w:tcW w:w="992" w:type="dxa"/>
            <w:vAlign w:val="center"/>
          </w:tcPr>
          <w:p w14:paraId="67C3C394" w14:textId="77777777" w:rsidR="002D0AE7" w:rsidRDefault="002D0AE7">
            <w:pPr>
              <w:jc w:val="right"/>
              <w:rPr>
                <w:rFonts w:ascii="Arial Narrow" w:hAnsi="Arial Narrow" w:cs="Times New Roman"/>
                <w:sz w:val="15"/>
                <w:szCs w:val="15"/>
              </w:rPr>
            </w:pPr>
          </w:p>
        </w:tc>
        <w:tc>
          <w:tcPr>
            <w:tcW w:w="1134" w:type="dxa"/>
            <w:vAlign w:val="center"/>
          </w:tcPr>
          <w:p w14:paraId="5C3302B8" w14:textId="77777777" w:rsidR="002D0AE7" w:rsidRDefault="002D0AE7">
            <w:pPr>
              <w:jc w:val="right"/>
              <w:rPr>
                <w:rFonts w:ascii="Arial Narrow" w:hAnsi="Arial Narrow" w:cs="Times New Roman"/>
                <w:sz w:val="15"/>
                <w:szCs w:val="15"/>
              </w:rPr>
            </w:pPr>
          </w:p>
        </w:tc>
        <w:tc>
          <w:tcPr>
            <w:tcW w:w="1134" w:type="dxa"/>
            <w:vAlign w:val="center"/>
          </w:tcPr>
          <w:p w14:paraId="2BFC33A6" w14:textId="77777777" w:rsidR="002D0AE7" w:rsidRDefault="002D0AE7">
            <w:pPr>
              <w:jc w:val="right"/>
              <w:rPr>
                <w:rFonts w:ascii="Arial Narrow" w:hAnsi="Arial Narrow" w:cs="Times New Roman"/>
                <w:sz w:val="15"/>
                <w:szCs w:val="15"/>
              </w:rPr>
            </w:pPr>
          </w:p>
        </w:tc>
        <w:tc>
          <w:tcPr>
            <w:tcW w:w="1134" w:type="dxa"/>
            <w:vAlign w:val="center"/>
          </w:tcPr>
          <w:p w14:paraId="055622E0" w14:textId="77777777" w:rsidR="002D0AE7" w:rsidRDefault="002D0AE7">
            <w:pPr>
              <w:jc w:val="right"/>
              <w:rPr>
                <w:rFonts w:ascii="Arial Narrow" w:hAnsi="Arial Narrow" w:cs="Times New Roman"/>
                <w:sz w:val="15"/>
                <w:szCs w:val="15"/>
              </w:rPr>
            </w:pPr>
          </w:p>
        </w:tc>
        <w:tc>
          <w:tcPr>
            <w:tcW w:w="1134" w:type="dxa"/>
            <w:vAlign w:val="center"/>
          </w:tcPr>
          <w:p w14:paraId="5484AE5C" w14:textId="77777777" w:rsidR="002D0AE7" w:rsidRDefault="002D0AE7">
            <w:pPr>
              <w:jc w:val="right"/>
              <w:rPr>
                <w:rFonts w:ascii="Arial Narrow" w:hAnsi="Arial Narrow" w:cs="Times New Roman"/>
                <w:sz w:val="15"/>
                <w:szCs w:val="15"/>
              </w:rPr>
            </w:pPr>
          </w:p>
        </w:tc>
        <w:tc>
          <w:tcPr>
            <w:tcW w:w="1212" w:type="dxa"/>
            <w:vAlign w:val="center"/>
          </w:tcPr>
          <w:p w14:paraId="0121E81A" w14:textId="77777777" w:rsidR="002D0AE7" w:rsidRDefault="002D0AE7">
            <w:pPr>
              <w:jc w:val="right"/>
              <w:rPr>
                <w:rFonts w:ascii="Arial Narrow" w:hAnsi="Arial Narrow" w:cs="Times New Roman"/>
                <w:sz w:val="15"/>
                <w:szCs w:val="15"/>
              </w:rPr>
            </w:pPr>
          </w:p>
        </w:tc>
      </w:tr>
      <w:tr w:rsidR="002D0AE7" w14:paraId="7CBF5895" w14:textId="77777777">
        <w:trPr>
          <w:trHeight w:val="20"/>
          <w:jc w:val="center"/>
        </w:trPr>
        <w:tc>
          <w:tcPr>
            <w:tcW w:w="3681" w:type="dxa"/>
          </w:tcPr>
          <w:p w14:paraId="69417FD4" w14:textId="77777777" w:rsidR="002D0AE7" w:rsidRDefault="00333EBB">
            <w:pPr>
              <w:rPr>
                <w:rFonts w:hint="eastAsia"/>
                <w:color w:val="000000" w:themeColor="text1"/>
                <w:sz w:val="16"/>
              </w:rPr>
            </w:pPr>
            <w:r>
              <w:rPr>
                <w:color w:val="000000" w:themeColor="text1"/>
                <w:sz w:val="16"/>
                <w:szCs w:val="18"/>
              </w:rPr>
              <w:t>4</w:t>
            </w:r>
            <w:r>
              <w:rPr>
                <w:color w:val="000000" w:themeColor="text1"/>
                <w:sz w:val="16"/>
                <w:szCs w:val="18"/>
              </w:rPr>
              <w:t>．设定受益计划变动额结转留存收益</w:t>
            </w:r>
          </w:p>
        </w:tc>
        <w:tc>
          <w:tcPr>
            <w:tcW w:w="1276" w:type="dxa"/>
            <w:tcBorders>
              <w:right w:val="single" w:sz="4" w:space="0" w:color="auto"/>
            </w:tcBorders>
            <w:vAlign w:val="center"/>
          </w:tcPr>
          <w:p w14:paraId="10D1E590"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vAlign w:val="center"/>
          </w:tcPr>
          <w:p w14:paraId="5F607291"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vAlign w:val="center"/>
          </w:tcPr>
          <w:p w14:paraId="121819CB" w14:textId="77777777" w:rsidR="002D0AE7" w:rsidRDefault="002D0AE7">
            <w:pPr>
              <w:jc w:val="right"/>
              <w:rPr>
                <w:rFonts w:ascii="Arial Narrow" w:hAnsi="Arial Narrow" w:cs="Times New Roman"/>
                <w:sz w:val="15"/>
                <w:szCs w:val="15"/>
              </w:rPr>
            </w:pPr>
          </w:p>
        </w:tc>
        <w:tc>
          <w:tcPr>
            <w:tcW w:w="567" w:type="dxa"/>
            <w:tcBorders>
              <w:left w:val="single" w:sz="4" w:space="0" w:color="auto"/>
            </w:tcBorders>
            <w:vAlign w:val="center"/>
          </w:tcPr>
          <w:p w14:paraId="41A2308D" w14:textId="77777777" w:rsidR="002D0AE7" w:rsidRDefault="002D0AE7">
            <w:pPr>
              <w:jc w:val="right"/>
              <w:rPr>
                <w:rFonts w:ascii="Arial Narrow" w:hAnsi="Arial Narrow" w:cs="Times New Roman"/>
                <w:sz w:val="15"/>
                <w:szCs w:val="15"/>
              </w:rPr>
            </w:pPr>
          </w:p>
        </w:tc>
        <w:tc>
          <w:tcPr>
            <w:tcW w:w="1134" w:type="dxa"/>
            <w:vAlign w:val="center"/>
          </w:tcPr>
          <w:p w14:paraId="062D66B8" w14:textId="77777777" w:rsidR="002D0AE7" w:rsidRDefault="002D0AE7">
            <w:pPr>
              <w:jc w:val="right"/>
              <w:rPr>
                <w:rFonts w:ascii="Arial Narrow" w:hAnsi="Arial Narrow" w:cs="Times New Roman"/>
                <w:sz w:val="15"/>
                <w:szCs w:val="15"/>
              </w:rPr>
            </w:pPr>
          </w:p>
        </w:tc>
        <w:tc>
          <w:tcPr>
            <w:tcW w:w="992" w:type="dxa"/>
            <w:vAlign w:val="center"/>
          </w:tcPr>
          <w:p w14:paraId="16CA5DFD" w14:textId="77777777" w:rsidR="002D0AE7" w:rsidRDefault="002D0AE7">
            <w:pPr>
              <w:jc w:val="right"/>
              <w:rPr>
                <w:rFonts w:ascii="Arial Narrow" w:hAnsi="Arial Narrow" w:cs="Times New Roman"/>
                <w:sz w:val="15"/>
                <w:szCs w:val="15"/>
              </w:rPr>
            </w:pPr>
          </w:p>
        </w:tc>
        <w:tc>
          <w:tcPr>
            <w:tcW w:w="1134" w:type="dxa"/>
            <w:vAlign w:val="center"/>
          </w:tcPr>
          <w:p w14:paraId="6C846EC7" w14:textId="77777777" w:rsidR="002D0AE7" w:rsidRDefault="002D0AE7">
            <w:pPr>
              <w:jc w:val="right"/>
              <w:rPr>
                <w:rFonts w:ascii="Arial Narrow" w:hAnsi="Arial Narrow" w:cs="Times New Roman"/>
                <w:sz w:val="15"/>
                <w:szCs w:val="15"/>
              </w:rPr>
            </w:pPr>
          </w:p>
        </w:tc>
        <w:tc>
          <w:tcPr>
            <w:tcW w:w="1134" w:type="dxa"/>
            <w:vAlign w:val="center"/>
          </w:tcPr>
          <w:p w14:paraId="2F9AA727" w14:textId="77777777" w:rsidR="002D0AE7" w:rsidRDefault="002D0AE7">
            <w:pPr>
              <w:jc w:val="right"/>
              <w:rPr>
                <w:rFonts w:ascii="Arial Narrow" w:hAnsi="Arial Narrow" w:cs="Times New Roman"/>
                <w:sz w:val="15"/>
                <w:szCs w:val="15"/>
              </w:rPr>
            </w:pPr>
          </w:p>
        </w:tc>
        <w:tc>
          <w:tcPr>
            <w:tcW w:w="1134" w:type="dxa"/>
            <w:vAlign w:val="center"/>
          </w:tcPr>
          <w:p w14:paraId="5B0B5B82" w14:textId="77777777" w:rsidR="002D0AE7" w:rsidRDefault="002D0AE7">
            <w:pPr>
              <w:jc w:val="right"/>
              <w:rPr>
                <w:rFonts w:ascii="Arial Narrow" w:hAnsi="Arial Narrow" w:cs="Times New Roman"/>
                <w:sz w:val="15"/>
                <w:szCs w:val="15"/>
              </w:rPr>
            </w:pPr>
          </w:p>
        </w:tc>
        <w:tc>
          <w:tcPr>
            <w:tcW w:w="1134" w:type="dxa"/>
            <w:vAlign w:val="center"/>
          </w:tcPr>
          <w:p w14:paraId="5DC269FC" w14:textId="77777777" w:rsidR="002D0AE7" w:rsidRDefault="002D0AE7">
            <w:pPr>
              <w:jc w:val="right"/>
              <w:rPr>
                <w:rFonts w:ascii="Arial Narrow" w:hAnsi="Arial Narrow" w:cs="Times New Roman"/>
                <w:sz w:val="15"/>
                <w:szCs w:val="15"/>
              </w:rPr>
            </w:pPr>
          </w:p>
        </w:tc>
        <w:tc>
          <w:tcPr>
            <w:tcW w:w="1212" w:type="dxa"/>
            <w:vAlign w:val="center"/>
          </w:tcPr>
          <w:p w14:paraId="0668C7A2" w14:textId="77777777" w:rsidR="002D0AE7" w:rsidRDefault="002D0AE7">
            <w:pPr>
              <w:jc w:val="right"/>
              <w:rPr>
                <w:rFonts w:ascii="Arial Narrow" w:hAnsi="Arial Narrow" w:cs="Times New Roman"/>
                <w:sz w:val="15"/>
                <w:szCs w:val="15"/>
              </w:rPr>
            </w:pPr>
          </w:p>
        </w:tc>
      </w:tr>
      <w:tr w:rsidR="002D0AE7" w14:paraId="7A829F3A" w14:textId="77777777">
        <w:trPr>
          <w:trHeight w:val="20"/>
          <w:jc w:val="center"/>
        </w:trPr>
        <w:tc>
          <w:tcPr>
            <w:tcW w:w="3681" w:type="dxa"/>
          </w:tcPr>
          <w:p w14:paraId="53B637F3" w14:textId="77777777" w:rsidR="002D0AE7" w:rsidRDefault="00333EBB">
            <w:pPr>
              <w:rPr>
                <w:rFonts w:hint="eastAsia"/>
                <w:color w:val="000000" w:themeColor="text1"/>
                <w:sz w:val="18"/>
                <w:szCs w:val="18"/>
              </w:rPr>
            </w:pPr>
            <w:r>
              <w:rPr>
                <w:color w:val="000000" w:themeColor="text1"/>
                <w:sz w:val="18"/>
                <w:szCs w:val="18"/>
              </w:rPr>
              <w:t>5</w:t>
            </w:r>
            <w:r>
              <w:rPr>
                <w:color w:val="000000" w:themeColor="text1"/>
                <w:sz w:val="18"/>
                <w:szCs w:val="18"/>
              </w:rPr>
              <w:t>．其他综合收益结转留存收益</w:t>
            </w:r>
          </w:p>
        </w:tc>
        <w:tc>
          <w:tcPr>
            <w:tcW w:w="1276" w:type="dxa"/>
            <w:tcBorders>
              <w:right w:val="single" w:sz="4" w:space="0" w:color="auto"/>
            </w:tcBorders>
            <w:vAlign w:val="center"/>
          </w:tcPr>
          <w:p w14:paraId="108D4DCE"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vAlign w:val="center"/>
          </w:tcPr>
          <w:p w14:paraId="17EE9A3A"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vAlign w:val="center"/>
          </w:tcPr>
          <w:p w14:paraId="379F5400" w14:textId="77777777" w:rsidR="002D0AE7" w:rsidRDefault="002D0AE7">
            <w:pPr>
              <w:jc w:val="right"/>
              <w:rPr>
                <w:rFonts w:ascii="Arial Narrow" w:hAnsi="Arial Narrow" w:cs="Times New Roman"/>
                <w:sz w:val="15"/>
                <w:szCs w:val="15"/>
              </w:rPr>
            </w:pPr>
          </w:p>
        </w:tc>
        <w:tc>
          <w:tcPr>
            <w:tcW w:w="567" w:type="dxa"/>
            <w:tcBorders>
              <w:left w:val="single" w:sz="4" w:space="0" w:color="auto"/>
            </w:tcBorders>
            <w:vAlign w:val="center"/>
          </w:tcPr>
          <w:p w14:paraId="76664EED" w14:textId="77777777" w:rsidR="002D0AE7" w:rsidRDefault="002D0AE7">
            <w:pPr>
              <w:jc w:val="right"/>
              <w:rPr>
                <w:rFonts w:ascii="Arial Narrow" w:hAnsi="Arial Narrow" w:cs="Times New Roman"/>
                <w:sz w:val="15"/>
                <w:szCs w:val="15"/>
              </w:rPr>
            </w:pPr>
          </w:p>
        </w:tc>
        <w:tc>
          <w:tcPr>
            <w:tcW w:w="1134" w:type="dxa"/>
            <w:vAlign w:val="center"/>
          </w:tcPr>
          <w:p w14:paraId="4DEECC83" w14:textId="77777777" w:rsidR="002D0AE7" w:rsidRDefault="002D0AE7">
            <w:pPr>
              <w:jc w:val="right"/>
              <w:rPr>
                <w:rFonts w:ascii="Arial Narrow" w:hAnsi="Arial Narrow" w:cs="Times New Roman"/>
                <w:sz w:val="15"/>
                <w:szCs w:val="15"/>
              </w:rPr>
            </w:pPr>
          </w:p>
        </w:tc>
        <w:tc>
          <w:tcPr>
            <w:tcW w:w="992" w:type="dxa"/>
            <w:vAlign w:val="center"/>
          </w:tcPr>
          <w:p w14:paraId="5D28A584" w14:textId="77777777" w:rsidR="002D0AE7" w:rsidRDefault="002D0AE7">
            <w:pPr>
              <w:jc w:val="right"/>
              <w:rPr>
                <w:rFonts w:ascii="Arial Narrow" w:hAnsi="Arial Narrow" w:cs="Times New Roman"/>
                <w:sz w:val="15"/>
                <w:szCs w:val="15"/>
              </w:rPr>
            </w:pPr>
          </w:p>
        </w:tc>
        <w:tc>
          <w:tcPr>
            <w:tcW w:w="1134" w:type="dxa"/>
            <w:vAlign w:val="center"/>
          </w:tcPr>
          <w:p w14:paraId="7B629051" w14:textId="77777777" w:rsidR="002D0AE7" w:rsidRDefault="002D0AE7">
            <w:pPr>
              <w:jc w:val="right"/>
              <w:rPr>
                <w:rFonts w:ascii="Arial Narrow" w:hAnsi="Arial Narrow" w:cs="Times New Roman"/>
                <w:sz w:val="15"/>
                <w:szCs w:val="15"/>
              </w:rPr>
            </w:pPr>
          </w:p>
        </w:tc>
        <w:tc>
          <w:tcPr>
            <w:tcW w:w="1134" w:type="dxa"/>
            <w:vAlign w:val="center"/>
          </w:tcPr>
          <w:p w14:paraId="0F476BB0" w14:textId="77777777" w:rsidR="002D0AE7" w:rsidRDefault="002D0AE7">
            <w:pPr>
              <w:jc w:val="right"/>
              <w:rPr>
                <w:rFonts w:ascii="Arial Narrow" w:hAnsi="Arial Narrow" w:cs="Times New Roman"/>
                <w:sz w:val="15"/>
                <w:szCs w:val="15"/>
              </w:rPr>
            </w:pPr>
          </w:p>
        </w:tc>
        <w:tc>
          <w:tcPr>
            <w:tcW w:w="1134" w:type="dxa"/>
            <w:vAlign w:val="center"/>
          </w:tcPr>
          <w:p w14:paraId="41FB06F2" w14:textId="77777777" w:rsidR="002D0AE7" w:rsidRDefault="002D0AE7">
            <w:pPr>
              <w:jc w:val="right"/>
              <w:rPr>
                <w:rFonts w:ascii="Arial Narrow" w:hAnsi="Arial Narrow" w:cs="Times New Roman"/>
                <w:sz w:val="15"/>
                <w:szCs w:val="15"/>
              </w:rPr>
            </w:pPr>
          </w:p>
        </w:tc>
        <w:tc>
          <w:tcPr>
            <w:tcW w:w="1134" w:type="dxa"/>
            <w:vAlign w:val="center"/>
          </w:tcPr>
          <w:p w14:paraId="56463ABE" w14:textId="77777777" w:rsidR="002D0AE7" w:rsidRDefault="002D0AE7">
            <w:pPr>
              <w:jc w:val="right"/>
              <w:rPr>
                <w:rFonts w:ascii="Arial Narrow" w:hAnsi="Arial Narrow" w:cs="Times New Roman"/>
                <w:sz w:val="15"/>
                <w:szCs w:val="15"/>
              </w:rPr>
            </w:pPr>
          </w:p>
        </w:tc>
        <w:tc>
          <w:tcPr>
            <w:tcW w:w="1212" w:type="dxa"/>
            <w:vAlign w:val="center"/>
          </w:tcPr>
          <w:p w14:paraId="5F487A24" w14:textId="77777777" w:rsidR="002D0AE7" w:rsidRDefault="002D0AE7">
            <w:pPr>
              <w:jc w:val="right"/>
              <w:rPr>
                <w:rFonts w:ascii="Arial Narrow" w:hAnsi="Arial Narrow" w:cs="Times New Roman"/>
                <w:sz w:val="15"/>
                <w:szCs w:val="15"/>
              </w:rPr>
            </w:pPr>
          </w:p>
        </w:tc>
      </w:tr>
      <w:tr w:rsidR="002D0AE7" w14:paraId="29D122E3" w14:textId="77777777">
        <w:trPr>
          <w:trHeight w:val="20"/>
          <w:jc w:val="center"/>
        </w:trPr>
        <w:tc>
          <w:tcPr>
            <w:tcW w:w="3681" w:type="dxa"/>
          </w:tcPr>
          <w:p w14:paraId="00236059" w14:textId="77777777" w:rsidR="002D0AE7" w:rsidRDefault="00333EBB">
            <w:pPr>
              <w:rPr>
                <w:rFonts w:hint="eastAsia"/>
                <w:color w:val="000000" w:themeColor="text1"/>
              </w:rPr>
            </w:pPr>
            <w:r>
              <w:rPr>
                <w:color w:val="000000" w:themeColor="text1"/>
                <w:sz w:val="18"/>
                <w:szCs w:val="18"/>
              </w:rPr>
              <w:t>6</w:t>
            </w:r>
            <w:r>
              <w:rPr>
                <w:color w:val="000000" w:themeColor="text1"/>
                <w:sz w:val="18"/>
                <w:szCs w:val="18"/>
              </w:rPr>
              <w:t>．其他</w:t>
            </w:r>
          </w:p>
        </w:tc>
        <w:tc>
          <w:tcPr>
            <w:tcW w:w="1276" w:type="dxa"/>
            <w:tcBorders>
              <w:right w:val="single" w:sz="4" w:space="0" w:color="auto"/>
            </w:tcBorders>
            <w:vAlign w:val="center"/>
          </w:tcPr>
          <w:p w14:paraId="6833D593"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vAlign w:val="center"/>
          </w:tcPr>
          <w:p w14:paraId="27955ECB"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vAlign w:val="center"/>
          </w:tcPr>
          <w:p w14:paraId="2862534F" w14:textId="77777777" w:rsidR="002D0AE7" w:rsidRDefault="002D0AE7">
            <w:pPr>
              <w:jc w:val="right"/>
              <w:rPr>
                <w:rFonts w:ascii="Arial Narrow" w:hAnsi="Arial Narrow" w:cs="Times New Roman"/>
                <w:sz w:val="15"/>
                <w:szCs w:val="15"/>
              </w:rPr>
            </w:pPr>
          </w:p>
        </w:tc>
        <w:tc>
          <w:tcPr>
            <w:tcW w:w="567" w:type="dxa"/>
            <w:tcBorders>
              <w:left w:val="single" w:sz="4" w:space="0" w:color="auto"/>
            </w:tcBorders>
            <w:vAlign w:val="center"/>
          </w:tcPr>
          <w:p w14:paraId="5F22D510" w14:textId="77777777" w:rsidR="002D0AE7" w:rsidRDefault="002D0AE7">
            <w:pPr>
              <w:jc w:val="right"/>
              <w:rPr>
                <w:rFonts w:ascii="Arial Narrow" w:hAnsi="Arial Narrow" w:cs="Times New Roman"/>
                <w:sz w:val="15"/>
                <w:szCs w:val="15"/>
              </w:rPr>
            </w:pPr>
          </w:p>
        </w:tc>
        <w:tc>
          <w:tcPr>
            <w:tcW w:w="1134" w:type="dxa"/>
            <w:vAlign w:val="center"/>
          </w:tcPr>
          <w:p w14:paraId="5654BF12" w14:textId="77777777" w:rsidR="002D0AE7" w:rsidRDefault="002D0AE7">
            <w:pPr>
              <w:jc w:val="right"/>
              <w:rPr>
                <w:rFonts w:ascii="Arial Narrow" w:hAnsi="Arial Narrow" w:cs="Times New Roman"/>
                <w:sz w:val="15"/>
                <w:szCs w:val="15"/>
              </w:rPr>
            </w:pPr>
          </w:p>
        </w:tc>
        <w:tc>
          <w:tcPr>
            <w:tcW w:w="992" w:type="dxa"/>
            <w:vAlign w:val="center"/>
          </w:tcPr>
          <w:p w14:paraId="0C3303D6" w14:textId="77777777" w:rsidR="002D0AE7" w:rsidRDefault="002D0AE7">
            <w:pPr>
              <w:jc w:val="right"/>
              <w:rPr>
                <w:rFonts w:ascii="Arial Narrow" w:hAnsi="Arial Narrow" w:cs="Times New Roman"/>
                <w:sz w:val="15"/>
                <w:szCs w:val="15"/>
              </w:rPr>
            </w:pPr>
          </w:p>
        </w:tc>
        <w:tc>
          <w:tcPr>
            <w:tcW w:w="1134" w:type="dxa"/>
            <w:vAlign w:val="center"/>
          </w:tcPr>
          <w:p w14:paraId="1C26EA9B" w14:textId="77777777" w:rsidR="002D0AE7" w:rsidRDefault="002D0AE7">
            <w:pPr>
              <w:jc w:val="right"/>
              <w:rPr>
                <w:rFonts w:ascii="Arial Narrow" w:hAnsi="Arial Narrow" w:cs="Times New Roman"/>
                <w:sz w:val="15"/>
                <w:szCs w:val="15"/>
              </w:rPr>
            </w:pPr>
          </w:p>
        </w:tc>
        <w:tc>
          <w:tcPr>
            <w:tcW w:w="1134" w:type="dxa"/>
            <w:vAlign w:val="center"/>
          </w:tcPr>
          <w:p w14:paraId="1C030930" w14:textId="77777777" w:rsidR="002D0AE7" w:rsidRDefault="002D0AE7">
            <w:pPr>
              <w:jc w:val="right"/>
              <w:rPr>
                <w:rFonts w:ascii="Arial Narrow" w:hAnsi="Arial Narrow" w:cs="Times New Roman"/>
                <w:sz w:val="15"/>
                <w:szCs w:val="15"/>
              </w:rPr>
            </w:pPr>
          </w:p>
        </w:tc>
        <w:tc>
          <w:tcPr>
            <w:tcW w:w="1134" w:type="dxa"/>
            <w:vAlign w:val="center"/>
          </w:tcPr>
          <w:p w14:paraId="3B8437DA" w14:textId="77777777" w:rsidR="002D0AE7" w:rsidRDefault="002D0AE7">
            <w:pPr>
              <w:jc w:val="right"/>
              <w:rPr>
                <w:rFonts w:ascii="Arial Narrow" w:hAnsi="Arial Narrow" w:cs="Times New Roman"/>
                <w:sz w:val="15"/>
                <w:szCs w:val="15"/>
              </w:rPr>
            </w:pPr>
          </w:p>
        </w:tc>
        <w:tc>
          <w:tcPr>
            <w:tcW w:w="1134" w:type="dxa"/>
            <w:vAlign w:val="center"/>
          </w:tcPr>
          <w:p w14:paraId="5A5F6FA0" w14:textId="77777777" w:rsidR="002D0AE7" w:rsidRDefault="002D0AE7">
            <w:pPr>
              <w:jc w:val="right"/>
              <w:rPr>
                <w:rFonts w:ascii="Arial Narrow" w:hAnsi="Arial Narrow" w:cs="Times New Roman"/>
                <w:sz w:val="15"/>
                <w:szCs w:val="15"/>
              </w:rPr>
            </w:pPr>
          </w:p>
        </w:tc>
        <w:tc>
          <w:tcPr>
            <w:tcW w:w="1212" w:type="dxa"/>
            <w:vAlign w:val="center"/>
          </w:tcPr>
          <w:p w14:paraId="1A4A2744" w14:textId="77777777" w:rsidR="002D0AE7" w:rsidRDefault="002D0AE7">
            <w:pPr>
              <w:jc w:val="right"/>
              <w:rPr>
                <w:rFonts w:ascii="Arial Narrow" w:hAnsi="Arial Narrow" w:cs="Times New Roman"/>
                <w:sz w:val="15"/>
                <w:szCs w:val="15"/>
              </w:rPr>
            </w:pPr>
          </w:p>
        </w:tc>
      </w:tr>
      <w:tr w:rsidR="002D0AE7" w14:paraId="1F886ECF" w14:textId="77777777">
        <w:trPr>
          <w:trHeight w:val="20"/>
          <w:jc w:val="center"/>
        </w:trPr>
        <w:tc>
          <w:tcPr>
            <w:tcW w:w="3681" w:type="dxa"/>
            <w:vAlign w:val="center"/>
          </w:tcPr>
          <w:p w14:paraId="5734275E" w14:textId="77777777" w:rsidR="002D0AE7" w:rsidRDefault="00333EBB">
            <w:pPr>
              <w:rPr>
                <w:rFonts w:hint="eastAsia"/>
                <w:color w:val="000000" w:themeColor="text1"/>
                <w:sz w:val="18"/>
                <w:szCs w:val="18"/>
              </w:rPr>
            </w:pPr>
            <w:r>
              <w:rPr>
                <w:rFonts w:hint="eastAsia"/>
                <w:color w:val="000000" w:themeColor="text1"/>
                <w:sz w:val="18"/>
                <w:szCs w:val="18"/>
              </w:rPr>
              <w:t>（五）专项储备</w:t>
            </w:r>
          </w:p>
        </w:tc>
        <w:tc>
          <w:tcPr>
            <w:tcW w:w="1276" w:type="dxa"/>
            <w:tcBorders>
              <w:right w:val="single" w:sz="4" w:space="0" w:color="auto"/>
            </w:tcBorders>
            <w:vAlign w:val="center"/>
          </w:tcPr>
          <w:p w14:paraId="06D7373D"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0.00</w:t>
            </w:r>
          </w:p>
        </w:tc>
        <w:tc>
          <w:tcPr>
            <w:tcW w:w="567" w:type="dxa"/>
            <w:tcBorders>
              <w:left w:val="single" w:sz="4" w:space="0" w:color="auto"/>
              <w:right w:val="single" w:sz="4" w:space="0" w:color="auto"/>
            </w:tcBorders>
            <w:vAlign w:val="center"/>
          </w:tcPr>
          <w:p w14:paraId="096EDCD4"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0.00</w:t>
            </w:r>
          </w:p>
        </w:tc>
        <w:tc>
          <w:tcPr>
            <w:tcW w:w="567" w:type="dxa"/>
            <w:tcBorders>
              <w:left w:val="single" w:sz="4" w:space="0" w:color="auto"/>
              <w:right w:val="single" w:sz="4" w:space="0" w:color="auto"/>
            </w:tcBorders>
            <w:vAlign w:val="center"/>
          </w:tcPr>
          <w:p w14:paraId="7D1A774C"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0.00</w:t>
            </w:r>
          </w:p>
        </w:tc>
        <w:tc>
          <w:tcPr>
            <w:tcW w:w="567" w:type="dxa"/>
            <w:tcBorders>
              <w:left w:val="single" w:sz="4" w:space="0" w:color="auto"/>
            </w:tcBorders>
            <w:vAlign w:val="center"/>
          </w:tcPr>
          <w:p w14:paraId="7B5F86FB"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0.00</w:t>
            </w:r>
          </w:p>
        </w:tc>
        <w:tc>
          <w:tcPr>
            <w:tcW w:w="1134" w:type="dxa"/>
            <w:vAlign w:val="center"/>
          </w:tcPr>
          <w:p w14:paraId="1ACA4C70"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0.00</w:t>
            </w:r>
          </w:p>
        </w:tc>
        <w:tc>
          <w:tcPr>
            <w:tcW w:w="992" w:type="dxa"/>
            <w:vAlign w:val="center"/>
          </w:tcPr>
          <w:p w14:paraId="5DE324E6"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0.00</w:t>
            </w:r>
          </w:p>
        </w:tc>
        <w:tc>
          <w:tcPr>
            <w:tcW w:w="1134" w:type="dxa"/>
            <w:vAlign w:val="center"/>
          </w:tcPr>
          <w:p w14:paraId="6E0B7EF1"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0.00</w:t>
            </w:r>
          </w:p>
        </w:tc>
        <w:tc>
          <w:tcPr>
            <w:tcW w:w="1134" w:type="dxa"/>
            <w:vAlign w:val="center"/>
          </w:tcPr>
          <w:p w14:paraId="4A11D943"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1,199,938.05</w:t>
            </w:r>
          </w:p>
        </w:tc>
        <w:tc>
          <w:tcPr>
            <w:tcW w:w="1134" w:type="dxa"/>
            <w:vAlign w:val="center"/>
          </w:tcPr>
          <w:p w14:paraId="29C8C6F8"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0.00</w:t>
            </w:r>
          </w:p>
        </w:tc>
        <w:tc>
          <w:tcPr>
            <w:tcW w:w="1134" w:type="dxa"/>
            <w:vAlign w:val="center"/>
          </w:tcPr>
          <w:p w14:paraId="1685D397"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0.00</w:t>
            </w:r>
          </w:p>
        </w:tc>
        <w:tc>
          <w:tcPr>
            <w:tcW w:w="1212" w:type="dxa"/>
            <w:vAlign w:val="center"/>
          </w:tcPr>
          <w:p w14:paraId="271303E0"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1,199,938.05</w:t>
            </w:r>
          </w:p>
        </w:tc>
      </w:tr>
      <w:tr w:rsidR="002D0AE7" w14:paraId="13007C6D" w14:textId="77777777">
        <w:trPr>
          <w:trHeight w:val="20"/>
          <w:jc w:val="center"/>
        </w:trPr>
        <w:tc>
          <w:tcPr>
            <w:tcW w:w="3681" w:type="dxa"/>
            <w:vAlign w:val="center"/>
          </w:tcPr>
          <w:p w14:paraId="500FCB26" w14:textId="77777777" w:rsidR="002D0AE7" w:rsidRDefault="00333EBB">
            <w:pPr>
              <w:rPr>
                <w:rFonts w:hint="eastAsia"/>
                <w:color w:val="000000" w:themeColor="text1"/>
                <w:sz w:val="18"/>
                <w:szCs w:val="18"/>
              </w:rPr>
            </w:pPr>
            <w:r>
              <w:rPr>
                <w:rFonts w:hint="eastAsia"/>
                <w:color w:val="000000" w:themeColor="text1"/>
                <w:sz w:val="18"/>
                <w:szCs w:val="18"/>
              </w:rPr>
              <w:t>1</w:t>
            </w:r>
            <w:r>
              <w:rPr>
                <w:rFonts w:hint="eastAsia"/>
                <w:color w:val="000000" w:themeColor="text1"/>
                <w:sz w:val="18"/>
                <w:szCs w:val="18"/>
              </w:rPr>
              <w:t>．本期提取</w:t>
            </w:r>
          </w:p>
        </w:tc>
        <w:tc>
          <w:tcPr>
            <w:tcW w:w="1276" w:type="dxa"/>
            <w:tcBorders>
              <w:right w:val="single" w:sz="4" w:space="0" w:color="auto"/>
            </w:tcBorders>
            <w:vAlign w:val="center"/>
          </w:tcPr>
          <w:p w14:paraId="08F14361"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2AB29A29"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20D0DA08"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567" w:type="dxa"/>
            <w:tcBorders>
              <w:left w:val="single" w:sz="4" w:space="0" w:color="auto"/>
            </w:tcBorders>
            <w:vAlign w:val="center"/>
          </w:tcPr>
          <w:p w14:paraId="07493529"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1134" w:type="dxa"/>
            <w:vAlign w:val="center"/>
          </w:tcPr>
          <w:p w14:paraId="1E89079D"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992" w:type="dxa"/>
            <w:vAlign w:val="center"/>
          </w:tcPr>
          <w:p w14:paraId="09F5E1D6"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1134" w:type="dxa"/>
            <w:vAlign w:val="center"/>
          </w:tcPr>
          <w:p w14:paraId="38E59361"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1134" w:type="dxa"/>
            <w:vAlign w:val="center"/>
          </w:tcPr>
          <w:p w14:paraId="5A53B266"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4,380,000.00</w:t>
            </w:r>
          </w:p>
        </w:tc>
        <w:tc>
          <w:tcPr>
            <w:tcW w:w="1134" w:type="dxa"/>
            <w:vAlign w:val="center"/>
          </w:tcPr>
          <w:p w14:paraId="57EFDBCE"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1134" w:type="dxa"/>
            <w:vAlign w:val="center"/>
          </w:tcPr>
          <w:p w14:paraId="27D04521"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1212" w:type="dxa"/>
            <w:vAlign w:val="center"/>
          </w:tcPr>
          <w:p w14:paraId="7BF8CDEA"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4,380,000.00</w:t>
            </w:r>
          </w:p>
        </w:tc>
      </w:tr>
      <w:tr w:rsidR="002D0AE7" w14:paraId="294F105D" w14:textId="77777777">
        <w:trPr>
          <w:trHeight w:val="20"/>
          <w:jc w:val="center"/>
        </w:trPr>
        <w:tc>
          <w:tcPr>
            <w:tcW w:w="3681" w:type="dxa"/>
            <w:vAlign w:val="center"/>
          </w:tcPr>
          <w:p w14:paraId="14B2232A" w14:textId="77777777" w:rsidR="002D0AE7" w:rsidRDefault="00333EBB">
            <w:pPr>
              <w:rPr>
                <w:rFonts w:hint="eastAsia"/>
                <w:color w:val="000000" w:themeColor="text1"/>
                <w:sz w:val="18"/>
                <w:szCs w:val="18"/>
              </w:rPr>
            </w:pPr>
            <w:r>
              <w:rPr>
                <w:rFonts w:hint="eastAsia"/>
                <w:color w:val="000000" w:themeColor="text1"/>
                <w:sz w:val="18"/>
                <w:szCs w:val="18"/>
              </w:rPr>
              <w:t>2</w:t>
            </w:r>
            <w:r>
              <w:rPr>
                <w:rFonts w:hint="eastAsia"/>
                <w:color w:val="000000" w:themeColor="text1"/>
                <w:sz w:val="18"/>
                <w:szCs w:val="18"/>
              </w:rPr>
              <w:t>．本期使用</w:t>
            </w:r>
          </w:p>
        </w:tc>
        <w:tc>
          <w:tcPr>
            <w:tcW w:w="1276" w:type="dxa"/>
            <w:tcBorders>
              <w:right w:val="single" w:sz="4" w:space="0" w:color="auto"/>
            </w:tcBorders>
            <w:vAlign w:val="center"/>
          </w:tcPr>
          <w:p w14:paraId="10FBB344"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2318E33D"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0CD26318"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567" w:type="dxa"/>
            <w:tcBorders>
              <w:left w:val="single" w:sz="4" w:space="0" w:color="auto"/>
            </w:tcBorders>
            <w:vAlign w:val="center"/>
          </w:tcPr>
          <w:p w14:paraId="7E305194"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1134" w:type="dxa"/>
            <w:vAlign w:val="center"/>
          </w:tcPr>
          <w:p w14:paraId="1EB68E02"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992" w:type="dxa"/>
            <w:vAlign w:val="center"/>
          </w:tcPr>
          <w:p w14:paraId="5C72A44A"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1134" w:type="dxa"/>
            <w:vAlign w:val="center"/>
          </w:tcPr>
          <w:p w14:paraId="35158240"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1134" w:type="dxa"/>
            <w:vAlign w:val="center"/>
          </w:tcPr>
          <w:p w14:paraId="1532A326"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3,180,061.95</w:t>
            </w:r>
          </w:p>
        </w:tc>
        <w:tc>
          <w:tcPr>
            <w:tcW w:w="1134" w:type="dxa"/>
            <w:vAlign w:val="center"/>
          </w:tcPr>
          <w:p w14:paraId="52A9B0BC"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1134" w:type="dxa"/>
            <w:vAlign w:val="center"/>
          </w:tcPr>
          <w:p w14:paraId="52EE0485" w14:textId="77777777" w:rsidR="002D0AE7" w:rsidRDefault="00333EBB">
            <w:pPr>
              <w:jc w:val="right"/>
              <w:rPr>
                <w:rFonts w:ascii="Arial Narrow" w:hAnsi="Arial Narrow" w:cs="Times New Roman"/>
                <w:sz w:val="15"/>
                <w:szCs w:val="15"/>
              </w:rPr>
            </w:pPr>
            <w:r>
              <w:rPr>
                <w:rFonts w:ascii="Arial Narrow" w:hAnsi="Arial Narrow"/>
                <w:sz w:val="15"/>
                <w:szCs w:val="15"/>
              </w:rPr>
              <w:t>0.00</w:t>
            </w:r>
          </w:p>
        </w:tc>
        <w:tc>
          <w:tcPr>
            <w:tcW w:w="1212" w:type="dxa"/>
            <w:vAlign w:val="center"/>
          </w:tcPr>
          <w:p w14:paraId="1030558F"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3,180,061.95</w:t>
            </w:r>
          </w:p>
        </w:tc>
      </w:tr>
      <w:tr w:rsidR="002D0AE7" w14:paraId="1AF93D99" w14:textId="77777777">
        <w:trPr>
          <w:trHeight w:val="20"/>
          <w:jc w:val="center"/>
        </w:trPr>
        <w:tc>
          <w:tcPr>
            <w:tcW w:w="3681" w:type="dxa"/>
          </w:tcPr>
          <w:p w14:paraId="59338937" w14:textId="77777777" w:rsidR="002D0AE7" w:rsidRDefault="00333EBB">
            <w:pPr>
              <w:rPr>
                <w:rFonts w:hint="eastAsia"/>
                <w:color w:val="000000" w:themeColor="text1"/>
                <w:sz w:val="18"/>
                <w:szCs w:val="18"/>
              </w:rPr>
            </w:pPr>
            <w:r>
              <w:rPr>
                <w:rFonts w:hint="eastAsia"/>
                <w:color w:val="000000" w:themeColor="text1"/>
                <w:sz w:val="18"/>
                <w:szCs w:val="18"/>
              </w:rPr>
              <w:t>（六）其他</w:t>
            </w:r>
          </w:p>
        </w:tc>
        <w:tc>
          <w:tcPr>
            <w:tcW w:w="1276" w:type="dxa"/>
            <w:tcBorders>
              <w:right w:val="single" w:sz="4" w:space="0" w:color="auto"/>
            </w:tcBorders>
            <w:vAlign w:val="center"/>
          </w:tcPr>
          <w:p w14:paraId="2923DD1F"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vAlign w:val="center"/>
          </w:tcPr>
          <w:p w14:paraId="5FE6B571" w14:textId="77777777" w:rsidR="002D0AE7" w:rsidRDefault="002D0AE7">
            <w:pPr>
              <w:jc w:val="right"/>
              <w:rPr>
                <w:rFonts w:ascii="Arial Narrow" w:hAnsi="Arial Narrow" w:cs="Times New Roman"/>
                <w:sz w:val="15"/>
                <w:szCs w:val="15"/>
              </w:rPr>
            </w:pPr>
          </w:p>
        </w:tc>
        <w:tc>
          <w:tcPr>
            <w:tcW w:w="567" w:type="dxa"/>
            <w:tcBorders>
              <w:left w:val="single" w:sz="4" w:space="0" w:color="auto"/>
              <w:right w:val="single" w:sz="4" w:space="0" w:color="auto"/>
            </w:tcBorders>
            <w:vAlign w:val="center"/>
          </w:tcPr>
          <w:p w14:paraId="30CB9F52" w14:textId="77777777" w:rsidR="002D0AE7" w:rsidRDefault="002D0AE7">
            <w:pPr>
              <w:jc w:val="right"/>
              <w:rPr>
                <w:rFonts w:ascii="Arial Narrow" w:hAnsi="Arial Narrow" w:cs="Times New Roman"/>
                <w:sz w:val="15"/>
                <w:szCs w:val="15"/>
              </w:rPr>
            </w:pPr>
          </w:p>
        </w:tc>
        <w:tc>
          <w:tcPr>
            <w:tcW w:w="567" w:type="dxa"/>
            <w:tcBorders>
              <w:left w:val="single" w:sz="4" w:space="0" w:color="auto"/>
            </w:tcBorders>
            <w:vAlign w:val="center"/>
          </w:tcPr>
          <w:p w14:paraId="0EABDC84" w14:textId="77777777" w:rsidR="002D0AE7" w:rsidRDefault="002D0AE7">
            <w:pPr>
              <w:jc w:val="right"/>
              <w:rPr>
                <w:rFonts w:ascii="Arial Narrow" w:hAnsi="Arial Narrow" w:cs="Times New Roman"/>
                <w:sz w:val="15"/>
                <w:szCs w:val="15"/>
              </w:rPr>
            </w:pPr>
          </w:p>
        </w:tc>
        <w:tc>
          <w:tcPr>
            <w:tcW w:w="1134" w:type="dxa"/>
            <w:vAlign w:val="center"/>
          </w:tcPr>
          <w:p w14:paraId="7237719E" w14:textId="77777777" w:rsidR="002D0AE7" w:rsidRDefault="002D0AE7">
            <w:pPr>
              <w:jc w:val="right"/>
              <w:rPr>
                <w:rFonts w:ascii="Arial Narrow" w:hAnsi="Arial Narrow" w:cs="Times New Roman"/>
                <w:sz w:val="15"/>
                <w:szCs w:val="15"/>
              </w:rPr>
            </w:pPr>
          </w:p>
        </w:tc>
        <w:tc>
          <w:tcPr>
            <w:tcW w:w="992" w:type="dxa"/>
            <w:vAlign w:val="center"/>
          </w:tcPr>
          <w:p w14:paraId="540EA70B" w14:textId="77777777" w:rsidR="002D0AE7" w:rsidRDefault="002D0AE7">
            <w:pPr>
              <w:jc w:val="right"/>
              <w:rPr>
                <w:rFonts w:ascii="Arial Narrow" w:hAnsi="Arial Narrow" w:cs="Times New Roman"/>
                <w:sz w:val="15"/>
                <w:szCs w:val="15"/>
              </w:rPr>
            </w:pPr>
          </w:p>
        </w:tc>
        <w:tc>
          <w:tcPr>
            <w:tcW w:w="1134" w:type="dxa"/>
            <w:vAlign w:val="center"/>
          </w:tcPr>
          <w:p w14:paraId="512B3985" w14:textId="77777777" w:rsidR="002D0AE7" w:rsidRDefault="002D0AE7">
            <w:pPr>
              <w:jc w:val="right"/>
              <w:rPr>
                <w:rFonts w:ascii="Arial Narrow" w:hAnsi="Arial Narrow" w:cs="Times New Roman"/>
                <w:sz w:val="15"/>
                <w:szCs w:val="15"/>
              </w:rPr>
            </w:pPr>
          </w:p>
        </w:tc>
        <w:tc>
          <w:tcPr>
            <w:tcW w:w="1134" w:type="dxa"/>
            <w:vAlign w:val="center"/>
          </w:tcPr>
          <w:p w14:paraId="024A8C12" w14:textId="77777777" w:rsidR="002D0AE7" w:rsidRDefault="002D0AE7">
            <w:pPr>
              <w:jc w:val="right"/>
              <w:rPr>
                <w:rFonts w:ascii="Arial Narrow" w:hAnsi="Arial Narrow" w:cs="Times New Roman"/>
                <w:sz w:val="15"/>
                <w:szCs w:val="15"/>
              </w:rPr>
            </w:pPr>
          </w:p>
        </w:tc>
        <w:tc>
          <w:tcPr>
            <w:tcW w:w="1134" w:type="dxa"/>
            <w:vAlign w:val="center"/>
          </w:tcPr>
          <w:p w14:paraId="00EC3F79" w14:textId="77777777" w:rsidR="002D0AE7" w:rsidRDefault="002D0AE7">
            <w:pPr>
              <w:jc w:val="right"/>
              <w:rPr>
                <w:rFonts w:ascii="Arial Narrow" w:hAnsi="Arial Narrow" w:cs="Times New Roman"/>
                <w:sz w:val="15"/>
                <w:szCs w:val="15"/>
              </w:rPr>
            </w:pPr>
          </w:p>
        </w:tc>
        <w:tc>
          <w:tcPr>
            <w:tcW w:w="1134" w:type="dxa"/>
            <w:vAlign w:val="center"/>
          </w:tcPr>
          <w:p w14:paraId="024BA987" w14:textId="77777777" w:rsidR="002D0AE7" w:rsidRDefault="002D0AE7">
            <w:pPr>
              <w:jc w:val="right"/>
              <w:rPr>
                <w:rFonts w:ascii="Arial Narrow" w:hAnsi="Arial Narrow" w:cs="Times New Roman"/>
                <w:sz w:val="15"/>
                <w:szCs w:val="15"/>
              </w:rPr>
            </w:pPr>
          </w:p>
        </w:tc>
        <w:tc>
          <w:tcPr>
            <w:tcW w:w="1212" w:type="dxa"/>
            <w:vAlign w:val="center"/>
          </w:tcPr>
          <w:p w14:paraId="2BB35CBB" w14:textId="77777777" w:rsidR="002D0AE7" w:rsidRDefault="002D0AE7">
            <w:pPr>
              <w:jc w:val="right"/>
              <w:rPr>
                <w:rFonts w:ascii="Arial Narrow" w:hAnsi="Arial Narrow" w:cs="Times New Roman"/>
                <w:sz w:val="15"/>
                <w:szCs w:val="15"/>
              </w:rPr>
            </w:pPr>
          </w:p>
        </w:tc>
      </w:tr>
      <w:tr w:rsidR="002D0AE7" w14:paraId="2386E4AA" w14:textId="77777777">
        <w:trPr>
          <w:trHeight w:val="20"/>
          <w:jc w:val="center"/>
        </w:trPr>
        <w:tc>
          <w:tcPr>
            <w:tcW w:w="3681" w:type="dxa"/>
          </w:tcPr>
          <w:p w14:paraId="66BCD40F" w14:textId="77777777" w:rsidR="002D0AE7" w:rsidRDefault="00333EBB">
            <w:pPr>
              <w:rPr>
                <w:rFonts w:hint="eastAsia"/>
                <w:color w:val="000000" w:themeColor="text1"/>
                <w:sz w:val="18"/>
                <w:szCs w:val="18"/>
              </w:rPr>
            </w:pPr>
            <w:r>
              <w:rPr>
                <w:color w:val="000000" w:themeColor="text1"/>
                <w:sz w:val="18"/>
                <w:szCs w:val="18"/>
              </w:rPr>
              <w:t>四、本期期末余额</w:t>
            </w:r>
          </w:p>
        </w:tc>
        <w:tc>
          <w:tcPr>
            <w:tcW w:w="1276" w:type="dxa"/>
            <w:tcBorders>
              <w:right w:val="single" w:sz="4" w:space="0" w:color="auto"/>
            </w:tcBorders>
            <w:vAlign w:val="center"/>
          </w:tcPr>
          <w:p w14:paraId="752031DA"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1,093,932,680.00</w:t>
            </w:r>
          </w:p>
        </w:tc>
        <w:tc>
          <w:tcPr>
            <w:tcW w:w="567" w:type="dxa"/>
            <w:tcBorders>
              <w:left w:val="single" w:sz="4" w:space="0" w:color="auto"/>
              <w:right w:val="single" w:sz="4" w:space="0" w:color="auto"/>
            </w:tcBorders>
            <w:vAlign w:val="center"/>
          </w:tcPr>
          <w:p w14:paraId="6F257E04"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0.00</w:t>
            </w:r>
          </w:p>
        </w:tc>
        <w:tc>
          <w:tcPr>
            <w:tcW w:w="567" w:type="dxa"/>
            <w:tcBorders>
              <w:left w:val="single" w:sz="4" w:space="0" w:color="auto"/>
              <w:right w:val="single" w:sz="4" w:space="0" w:color="auto"/>
            </w:tcBorders>
            <w:vAlign w:val="center"/>
          </w:tcPr>
          <w:p w14:paraId="0C60492E"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0.00</w:t>
            </w:r>
          </w:p>
        </w:tc>
        <w:tc>
          <w:tcPr>
            <w:tcW w:w="567" w:type="dxa"/>
            <w:tcBorders>
              <w:left w:val="single" w:sz="4" w:space="0" w:color="auto"/>
            </w:tcBorders>
            <w:vAlign w:val="center"/>
          </w:tcPr>
          <w:p w14:paraId="64E42893"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0.00</w:t>
            </w:r>
          </w:p>
        </w:tc>
        <w:tc>
          <w:tcPr>
            <w:tcW w:w="1134" w:type="dxa"/>
            <w:vAlign w:val="center"/>
          </w:tcPr>
          <w:p w14:paraId="1FF57874"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788,581,169.87</w:t>
            </w:r>
          </w:p>
        </w:tc>
        <w:tc>
          <w:tcPr>
            <w:tcW w:w="992" w:type="dxa"/>
            <w:vAlign w:val="center"/>
          </w:tcPr>
          <w:p w14:paraId="271AC6F2"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4,726,260.00</w:t>
            </w:r>
          </w:p>
        </w:tc>
        <w:tc>
          <w:tcPr>
            <w:tcW w:w="1134" w:type="dxa"/>
            <w:vAlign w:val="center"/>
          </w:tcPr>
          <w:p w14:paraId="494EEC5C"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54,116,969.97</w:t>
            </w:r>
          </w:p>
        </w:tc>
        <w:tc>
          <w:tcPr>
            <w:tcW w:w="1134" w:type="dxa"/>
            <w:vAlign w:val="center"/>
          </w:tcPr>
          <w:p w14:paraId="73CE52F8"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1,199,938.05</w:t>
            </w:r>
          </w:p>
        </w:tc>
        <w:tc>
          <w:tcPr>
            <w:tcW w:w="1134" w:type="dxa"/>
            <w:vAlign w:val="center"/>
          </w:tcPr>
          <w:p w14:paraId="4D51F438"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217,374,584.90</w:t>
            </w:r>
          </w:p>
        </w:tc>
        <w:tc>
          <w:tcPr>
            <w:tcW w:w="1134" w:type="dxa"/>
            <w:vAlign w:val="center"/>
          </w:tcPr>
          <w:p w14:paraId="5C12F98F"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923,105,699.86</w:t>
            </w:r>
          </w:p>
        </w:tc>
        <w:tc>
          <w:tcPr>
            <w:tcW w:w="1212" w:type="dxa"/>
            <w:vAlign w:val="center"/>
          </w:tcPr>
          <w:p w14:paraId="5EFCCE65" w14:textId="77777777" w:rsidR="002D0AE7" w:rsidRDefault="00333EBB">
            <w:pPr>
              <w:jc w:val="right"/>
              <w:rPr>
                <w:rFonts w:ascii="Arial Narrow" w:hAnsi="Arial Narrow" w:cs="Times New Roman"/>
                <w:sz w:val="15"/>
                <w:szCs w:val="15"/>
              </w:rPr>
            </w:pPr>
            <w:r>
              <w:rPr>
                <w:rFonts w:ascii="Arial Narrow" w:hAnsi="Arial Narrow" w:cs="Times New Roman"/>
                <w:sz w:val="15"/>
                <w:szCs w:val="15"/>
              </w:rPr>
              <w:t>3,073,584,782.65</w:t>
            </w:r>
          </w:p>
        </w:tc>
      </w:tr>
    </w:tbl>
    <w:p w14:paraId="08FF1DC9" w14:textId="77777777" w:rsidR="002D0AE7" w:rsidRDefault="002D0AE7">
      <w:pPr>
        <w:rPr>
          <w:rFonts w:hint="eastAsia"/>
          <w:color w:val="000000" w:themeColor="text1"/>
        </w:rPr>
      </w:pPr>
    </w:p>
    <w:tbl>
      <w:tblPr>
        <w:tblW w:w="147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678"/>
        <w:gridCol w:w="1276"/>
        <w:gridCol w:w="567"/>
        <w:gridCol w:w="567"/>
        <w:gridCol w:w="567"/>
        <w:gridCol w:w="1134"/>
        <w:gridCol w:w="1134"/>
        <w:gridCol w:w="1134"/>
        <w:gridCol w:w="1058"/>
        <w:gridCol w:w="1210"/>
        <w:gridCol w:w="1134"/>
        <w:gridCol w:w="1275"/>
      </w:tblGrid>
      <w:tr w:rsidR="002D0AE7" w14:paraId="79267F06" w14:textId="77777777">
        <w:trPr>
          <w:trHeight w:val="20"/>
          <w:jc w:val="center"/>
        </w:trPr>
        <w:tc>
          <w:tcPr>
            <w:tcW w:w="3678" w:type="dxa"/>
            <w:vMerge w:val="restart"/>
            <w:vAlign w:val="center"/>
          </w:tcPr>
          <w:sdt>
            <w:sdtPr>
              <w:rPr>
                <w:rFonts w:hint="eastAsia"/>
                <w:color w:val="000000" w:themeColor="text1"/>
                <w:sz w:val="18"/>
                <w:szCs w:val="18"/>
              </w:rPr>
              <w:tag w:val="_PLD_312727f4b56147c2b646c0fb68a4b58b"/>
              <w:id w:val="1280997018"/>
            </w:sdtPr>
            <w:sdtEndPr/>
            <w:sdtContent>
              <w:p w14:paraId="3E265B32" w14:textId="77777777" w:rsidR="002D0AE7" w:rsidRDefault="00333EBB">
                <w:pPr>
                  <w:adjustRightInd w:val="0"/>
                  <w:snapToGrid w:val="0"/>
                  <w:jc w:val="center"/>
                  <w:rPr>
                    <w:rFonts w:hint="eastAsia"/>
                    <w:color w:val="000000" w:themeColor="text1"/>
                    <w:sz w:val="18"/>
                    <w:szCs w:val="18"/>
                  </w:rPr>
                </w:pPr>
                <w:r>
                  <w:rPr>
                    <w:rFonts w:hint="eastAsia"/>
                    <w:color w:val="000000" w:themeColor="text1"/>
                    <w:sz w:val="18"/>
                    <w:szCs w:val="18"/>
                  </w:rPr>
                  <w:t>项目</w:t>
                </w:r>
              </w:p>
            </w:sdtContent>
          </w:sdt>
        </w:tc>
        <w:tc>
          <w:tcPr>
            <w:tcW w:w="11056" w:type="dxa"/>
            <w:gridSpan w:val="11"/>
          </w:tcPr>
          <w:p w14:paraId="60856953" w14:textId="77777777" w:rsidR="002D0AE7" w:rsidRDefault="00333EBB">
            <w:pPr>
              <w:adjustRightInd w:val="0"/>
              <w:snapToGrid w:val="0"/>
              <w:jc w:val="center"/>
              <w:rPr>
                <w:rFonts w:hint="eastAsia"/>
                <w:color w:val="000000" w:themeColor="text1"/>
                <w:sz w:val="18"/>
              </w:rPr>
            </w:pPr>
            <w:sdt>
              <w:sdtPr>
                <w:rPr>
                  <w:rFonts w:hint="eastAsia"/>
                  <w:color w:val="000000" w:themeColor="text1"/>
                  <w:sz w:val="18"/>
                </w:rPr>
                <w:tag w:val="_PLD_35246b22171846ac8ef46c5dfa1d1663"/>
                <w:id w:val="1035072306"/>
              </w:sdtPr>
              <w:sdtEndPr/>
              <w:sdtContent>
                <w:r>
                  <w:rPr>
                    <w:rFonts w:hint="eastAsia"/>
                    <w:color w:val="000000" w:themeColor="text1"/>
                    <w:sz w:val="18"/>
                  </w:rPr>
                  <w:t>2023</w:t>
                </w:r>
                <w:r>
                  <w:rPr>
                    <w:rFonts w:hint="eastAsia"/>
                    <w:color w:val="000000" w:themeColor="text1"/>
                    <w:sz w:val="18"/>
                  </w:rPr>
                  <w:t>年半年度</w:t>
                </w:r>
              </w:sdtContent>
            </w:sdt>
          </w:p>
        </w:tc>
      </w:tr>
      <w:tr w:rsidR="002D0AE7" w14:paraId="772951F4" w14:textId="77777777">
        <w:trPr>
          <w:trHeight w:val="315"/>
          <w:jc w:val="center"/>
        </w:trPr>
        <w:tc>
          <w:tcPr>
            <w:tcW w:w="3678" w:type="dxa"/>
            <w:vMerge/>
          </w:tcPr>
          <w:p w14:paraId="54E3FC45" w14:textId="77777777" w:rsidR="002D0AE7" w:rsidRDefault="002D0AE7">
            <w:pPr>
              <w:adjustRightInd w:val="0"/>
              <w:snapToGrid w:val="0"/>
              <w:rPr>
                <w:rFonts w:hint="eastAsia"/>
                <w:color w:val="000000" w:themeColor="text1"/>
                <w:sz w:val="18"/>
                <w:szCs w:val="18"/>
              </w:rPr>
            </w:pPr>
          </w:p>
        </w:tc>
        <w:sdt>
          <w:sdtPr>
            <w:rPr>
              <w:color w:val="000000" w:themeColor="text1"/>
              <w:sz w:val="18"/>
            </w:rPr>
            <w:tag w:val="_PLD_5da9900c5a9e46a085487ea972f44796"/>
            <w:id w:val="638226354"/>
          </w:sdtPr>
          <w:sdtEndPr/>
          <w:sdtContent>
            <w:tc>
              <w:tcPr>
                <w:tcW w:w="1276" w:type="dxa"/>
                <w:vMerge w:val="restart"/>
                <w:tcBorders>
                  <w:right w:val="single" w:sz="4" w:space="0" w:color="auto"/>
                </w:tcBorders>
                <w:vAlign w:val="center"/>
              </w:tcPr>
              <w:p w14:paraId="4951BCE8" w14:textId="77777777" w:rsidR="002D0AE7" w:rsidRDefault="00333EBB">
                <w:pPr>
                  <w:adjustRightInd w:val="0"/>
                  <w:snapToGrid w:val="0"/>
                  <w:jc w:val="center"/>
                  <w:rPr>
                    <w:rFonts w:hint="eastAsia"/>
                    <w:color w:val="000000" w:themeColor="text1"/>
                    <w:sz w:val="18"/>
                    <w:szCs w:val="18"/>
                  </w:rPr>
                </w:pPr>
                <w:r>
                  <w:rPr>
                    <w:rFonts w:hint="eastAsia"/>
                    <w:color w:val="000000" w:themeColor="text1"/>
                    <w:sz w:val="18"/>
                    <w:szCs w:val="18"/>
                  </w:rPr>
                  <w:t>实收资本</w:t>
                </w:r>
                <w:r>
                  <w:rPr>
                    <w:color w:val="000000" w:themeColor="text1"/>
                    <w:sz w:val="18"/>
                    <w:szCs w:val="18"/>
                  </w:rPr>
                  <w:t>(</w:t>
                </w:r>
                <w:r>
                  <w:rPr>
                    <w:color w:val="000000" w:themeColor="text1"/>
                    <w:sz w:val="18"/>
                    <w:szCs w:val="18"/>
                  </w:rPr>
                  <w:t>或股本</w:t>
                </w:r>
                <w:r>
                  <w:rPr>
                    <w:color w:val="000000" w:themeColor="text1"/>
                    <w:sz w:val="18"/>
                    <w:szCs w:val="18"/>
                  </w:rPr>
                  <w:t>)</w:t>
                </w:r>
              </w:p>
            </w:tc>
          </w:sdtContent>
        </w:sdt>
        <w:sdt>
          <w:sdtPr>
            <w:rPr>
              <w:color w:val="000000" w:themeColor="text1"/>
              <w:sz w:val="18"/>
            </w:rPr>
            <w:tag w:val="_PLD_fc0bce3be00144ff950606755a048a76"/>
            <w:id w:val="-200941178"/>
          </w:sdtPr>
          <w:sdtEndPr/>
          <w:sdtContent>
            <w:tc>
              <w:tcPr>
                <w:tcW w:w="1701" w:type="dxa"/>
                <w:gridSpan w:val="3"/>
                <w:tcBorders>
                  <w:left w:val="single" w:sz="4" w:space="0" w:color="auto"/>
                  <w:bottom w:val="single" w:sz="4" w:space="0" w:color="auto"/>
                </w:tcBorders>
                <w:vAlign w:val="center"/>
              </w:tcPr>
              <w:p w14:paraId="5FC8E1F4" w14:textId="77777777" w:rsidR="002D0AE7" w:rsidRDefault="00333EBB">
                <w:pPr>
                  <w:adjustRightInd w:val="0"/>
                  <w:snapToGrid w:val="0"/>
                  <w:jc w:val="center"/>
                  <w:rPr>
                    <w:rFonts w:hint="eastAsia"/>
                    <w:color w:val="000000" w:themeColor="text1"/>
                    <w:sz w:val="18"/>
                    <w:szCs w:val="18"/>
                  </w:rPr>
                </w:pPr>
                <w:r>
                  <w:rPr>
                    <w:rFonts w:hint="eastAsia"/>
                    <w:color w:val="000000" w:themeColor="text1"/>
                    <w:sz w:val="18"/>
                    <w:szCs w:val="18"/>
                  </w:rPr>
                  <w:t>其他权益工具</w:t>
                </w:r>
              </w:p>
            </w:tc>
          </w:sdtContent>
        </w:sdt>
        <w:sdt>
          <w:sdtPr>
            <w:rPr>
              <w:color w:val="000000" w:themeColor="text1"/>
              <w:sz w:val="18"/>
            </w:rPr>
            <w:tag w:val="_PLD_b31d07f97db344b1b180738b22a76467"/>
            <w:id w:val="1044639464"/>
          </w:sdtPr>
          <w:sdtEndPr/>
          <w:sdtContent>
            <w:tc>
              <w:tcPr>
                <w:tcW w:w="1134" w:type="dxa"/>
                <w:vMerge w:val="restart"/>
                <w:vAlign w:val="center"/>
              </w:tcPr>
              <w:p w14:paraId="38912708" w14:textId="77777777" w:rsidR="002D0AE7" w:rsidRDefault="00333EBB">
                <w:pPr>
                  <w:adjustRightInd w:val="0"/>
                  <w:snapToGrid w:val="0"/>
                  <w:jc w:val="center"/>
                  <w:rPr>
                    <w:rFonts w:hint="eastAsia"/>
                    <w:color w:val="000000" w:themeColor="text1"/>
                    <w:sz w:val="18"/>
                    <w:szCs w:val="18"/>
                  </w:rPr>
                </w:pPr>
                <w:r>
                  <w:rPr>
                    <w:color w:val="000000" w:themeColor="text1"/>
                    <w:sz w:val="18"/>
                    <w:szCs w:val="18"/>
                  </w:rPr>
                  <w:t>资本公积</w:t>
                </w:r>
              </w:p>
            </w:tc>
          </w:sdtContent>
        </w:sdt>
        <w:sdt>
          <w:sdtPr>
            <w:rPr>
              <w:color w:val="000000" w:themeColor="text1"/>
              <w:sz w:val="18"/>
            </w:rPr>
            <w:tag w:val="_PLD_244676dcaf4245bd9119f474a4e885f9"/>
            <w:id w:val="-1476985508"/>
          </w:sdtPr>
          <w:sdtEndPr/>
          <w:sdtContent>
            <w:tc>
              <w:tcPr>
                <w:tcW w:w="1134" w:type="dxa"/>
                <w:vMerge w:val="restart"/>
                <w:vAlign w:val="center"/>
              </w:tcPr>
              <w:p w14:paraId="33932C22" w14:textId="77777777" w:rsidR="002D0AE7" w:rsidRDefault="00333EBB">
                <w:pPr>
                  <w:adjustRightInd w:val="0"/>
                  <w:snapToGrid w:val="0"/>
                  <w:jc w:val="center"/>
                  <w:rPr>
                    <w:rFonts w:hint="eastAsia"/>
                    <w:color w:val="000000" w:themeColor="text1"/>
                    <w:sz w:val="18"/>
                    <w:szCs w:val="18"/>
                  </w:rPr>
                </w:pPr>
                <w:r>
                  <w:rPr>
                    <w:color w:val="000000" w:themeColor="text1"/>
                    <w:sz w:val="18"/>
                    <w:szCs w:val="18"/>
                  </w:rPr>
                  <w:t>减：库存股</w:t>
                </w:r>
              </w:p>
            </w:tc>
          </w:sdtContent>
        </w:sdt>
        <w:sdt>
          <w:sdtPr>
            <w:rPr>
              <w:color w:val="000000" w:themeColor="text1"/>
              <w:sz w:val="18"/>
            </w:rPr>
            <w:tag w:val="_PLD_01eab1b775574165b2820a19e72d2ad0"/>
            <w:id w:val="690416472"/>
          </w:sdtPr>
          <w:sdtEndPr/>
          <w:sdtContent>
            <w:tc>
              <w:tcPr>
                <w:tcW w:w="1134" w:type="dxa"/>
                <w:vMerge w:val="restart"/>
                <w:vAlign w:val="center"/>
              </w:tcPr>
              <w:p w14:paraId="3010E01B" w14:textId="77777777" w:rsidR="002D0AE7" w:rsidRDefault="00333EBB">
                <w:pPr>
                  <w:jc w:val="center"/>
                  <w:rPr>
                    <w:rFonts w:hint="eastAsia"/>
                    <w:color w:val="000000" w:themeColor="text1"/>
                    <w:sz w:val="18"/>
                    <w:szCs w:val="18"/>
                  </w:rPr>
                </w:pPr>
                <w:r>
                  <w:rPr>
                    <w:rFonts w:hint="eastAsia"/>
                    <w:color w:val="000000" w:themeColor="text1"/>
                    <w:sz w:val="18"/>
                    <w:szCs w:val="18"/>
                  </w:rPr>
                  <w:t>其他综合收益</w:t>
                </w:r>
              </w:p>
            </w:tc>
          </w:sdtContent>
        </w:sdt>
        <w:sdt>
          <w:sdtPr>
            <w:rPr>
              <w:color w:val="000000" w:themeColor="text1"/>
              <w:sz w:val="18"/>
            </w:rPr>
            <w:tag w:val="_PLD_13f17e2c8a7a404da876af1bac2ae6d1"/>
            <w:id w:val="-190077564"/>
          </w:sdtPr>
          <w:sdtEndPr/>
          <w:sdtContent>
            <w:tc>
              <w:tcPr>
                <w:tcW w:w="1058" w:type="dxa"/>
                <w:vMerge w:val="restart"/>
                <w:vAlign w:val="center"/>
              </w:tcPr>
              <w:p w14:paraId="127237CA" w14:textId="77777777" w:rsidR="002D0AE7" w:rsidRDefault="00333EBB">
                <w:pPr>
                  <w:adjustRightInd w:val="0"/>
                  <w:snapToGrid w:val="0"/>
                  <w:jc w:val="center"/>
                  <w:rPr>
                    <w:rFonts w:hint="eastAsia"/>
                    <w:color w:val="000000" w:themeColor="text1"/>
                    <w:sz w:val="18"/>
                    <w:szCs w:val="18"/>
                  </w:rPr>
                </w:pPr>
                <w:r>
                  <w:rPr>
                    <w:rFonts w:hint="eastAsia"/>
                    <w:color w:val="000000" w:themeColor="text1"/>
                    <w:sz w:val="18"/>
                    <w:szCs w:val="18"/>
                  </w:rPr>
                  <w:t>专项储备</w:t>
                </w:r>
              </w:p>
            </w:tc>
          </w:sdtContent>
        </w:sdt>
        <w:sdt>
          <w:sdtPr>
            <w:rPr>
              <w:color w:val="000000" w:themeColor="text1"/>
              <w:sz w:val="18"/>
            </w:rPr>
            <w:tag w:val="_PLD_9578f3812cf04a34965a5bdc9ee82115"/>
            <w:id w:val="536943575"/>
          </w:sdtPr>
          <w:sdtEndPr/>
          <w:sdtContent>
            <w:tc>
              <w:tcPr>
                <w:tcW w:w="1210" w:type="dxa"/>
                <w:vMerge w:val="restart"/>
                <w:vAlign w:val="center"/>
              </w:tcPr>
              <w:p w14:paraId="42D2FAE7" w14:textId="77777777" w:rsidR="002D0AE7" w:rsidRDefault="00333EBB">
                <w:pPr>
                  <w:adjustRightInd w:val="0"/>
                  <w:snapToGrid w:val="0"/>
                  <w:jc w:val="center"/>
                  <w:rPr>
                    <w:rFonts w:hint="eastAsia"/>
                    <w:color w:val="000000" w:themeColor="text1"/>
                    <w:sz w:val="18"/>
                    <w:szCs w:val="18"/>
                  </w:rPr>
                </w:pPr>
                <w:r>
                  <w:rPr>
                    <w:color w:val="000000" w:themeColor="text1"/>
                    <w:sz w:val="18"/>
                    <w:szCs w:val="18"/>
                  </w:rPr>
                  <w:t>盈余公积</w:t>
                </w:r>
              </w:p>
            </w:tc>
          </w:sdtContent>
        </w:sdt>
        <w:sdt>
          <w:sdtPr>
            <w:rPr>
              <w:color w:val="000000" w:themeColor="text1"/>
              <w:sz w:val="18"/>
            </w:rPr>
            <w:tag w:val="_PLD_5d835cd98ccc4304aec553a0b6a56628"/>
            <w:id w:val="1262956995"/>
          </w:sdtPr>
          <w:sdtEndPr/>
          <w:sdtContent>
            <w:tc>
              <w:tcPr>
                <w:tcW w:w="1134" w:type="dxa"/>
                <w:vMerge w:val="restart"/>
                <w:vAlign w:val="center"/>
              </w:tcPr>
              <w:p w14:paraId="32F04470" w14:textId="77777777" w:rsidR="002D0AE7" w:rsidRDefault="00333EBB">
                <w:pPr>
                  <w:adjustRightInd w:val="0"/>
                  <w:snapToGrid w:val="0"/>
                  <w:jc w:val="center"/>
                  <w:rPr>
                    <w:rFonts w:hint="eastAsia"/>
                    <w:color w:val="000000" w:themeColor="text1"/>
                    <w:sz w:val="18"/>
                    <w:szCs w:val="18"/>
                  </w:rPr>
                </w:pPr>
                <w:r>
                  <w:rPr>
                    <w:color w:val="000000" w:themeColor="text1"/>
                    <w:sz w:val="18"/>
                    <w:szCs w:val="18"/>
                  </w:rPr>
                  <w:t>未分配利润</w:t>
                </w:r>
              </w:p>
            </w:tc>
          </w:sdtContent>
        </w:sdt>
        <w:sdt>
          <w:sdtPr>
            <w:rPr>
              <w:color w:val="000000" w:themeColor="text1"/>
              <w:sz w:val="18"/>
            </w:rPr>
            <w:tag w:val="_PLD_1cbb8af374a54430ad1f29ed83c69cd0"/>
            <w:id w:val="1373585430"/>
          </w:sdtPr>
          <w:sdtEndPr/>
          <w:sdtContent>
            <w:tc>
              <w:tcPr>
                <w:tcW w:w="1275" w:type="dxa"/>
                <w:vMerge w:val="restart"/>
                <w:vAlign w:val="center"/>
              </w:tcPr>
              <w:p w14:paraId="467E5255" w14:textId="77777777" w:rsidR="002D0AE7" w:rsidRDefault="00333EBB">
                <w:pPr>
                  <w:adjustRightInd w:val="0"/>
                  <w:snapToGrid w:val="0"/>
                  <w:jc w:val="center"/>
                  <w:rPr>
                    <w:rFonts w:hint="eastAsia"/>
                    <w:color w:val="000000" w:themeColor="text1"/>
                    <w:sz w:val="18"/>
                    <w:szCs w:val="18"/>
                  </w:rPr>
                </w:pPr>
                <w:r>
                  <w:rPr>
                    <w:color w:val="000000" w:themeColor="text1"/>
                    <w:sz w:val="18"/>
                    <w:szCs w:val="18"/>
                  </w:rPr>
                  <w:t>所有者权益合计</w:t>
                </w:r>
              </w:p>
            </w:tc>
          </w:sdtContent>
        </w:sdt>
      </w:tr>
      <w:tr w:rsidR="002D0AE7" w14:paraId="2B8C94C5" w14:textId="77777777">
        <w:trPr>
          <w:trHeight w:val="294"/>
          <w:jc w:val="center"/>
        </w:trPr>
        <w:tc>
          <w:tcPr>
            <w:tcW w:w="3678" w:type="dxa"/>
            <w:vMerge/>
          </w:tcPr>
          <w:p w14:paraId="0739FDFF" w14:textId="77777777" w:rsidR="002D0AE7" w:rsidRDefault="002D0AE7">
            <w:pPr>
              <w:adjustRightInd w:val="0"/>
              <w:snapToGrid w:val="0"/>
              <w:rPr>
                <w:rFonts w:hint="eastAsia"/>
                <w:color w:val="000000" w:themeColor="text1"/>
                <w:sz w:val="18"/>
                <w:szCs w:val="18"/>
              </w:rPr>
            </w:pPr>
          </w:p>
        </w:tc>
        <w:tc>
          <w:tcPr>
            <w:tcW w:w="1276" w:type="dxa"/>
            <w:vMerge/>
            <w:tcBorders>
              <w:right w:val="single" w:sz="4" w:space="0" w:color="auto"/>
            </w:tcBorders>
          </w:tcPr>
          <w:p w14:paraId="56D1D8F5" w14:textId="77777777" w:rsidR="002D0AE7" w:rsidRDefault="002D0AE7">
            <w:pPr>
              <w:adjustRightInd w:val="0"/>
              <w:snapToGrid w:val="0"/>
              <w:jc w:val="center"/>
              <w:rPr>
                <w:rFonts w:hint="eastAsia"/>
                <w:color w:val="000000" w:themeColor="text1"/>
                <w:sz w:val="18"/>
                <w:szCs w:val="18"/>
              </w:rPr>
            </w:pPr>
          </w:p>
        </w:tc>
        <w:sdt>
          <w:sdtPr>
            <w:rPr>
              <w:color w:val="000000" w:themeColor="text1"/>
            </w:rPr>
            <w:tag w:val="_PLD_dcc9ba0f815c4a99a7c4c9fe219d232e"/>
            <w:id w:val="-240871665"/>
          </w:sdtPr>
          <w:sdtEndPr/>
          <w:sdtContent>
            <w:tc>
              <w:tcPr>
                <w:tcW w:w="567" w:type="dxa"/>
                <w:tcBorders>
                  <w:top w:val="single" w:sz="4" w:space="0" w:color="auto"/>
                  <w:left w:val="single" w:sz="4" w:space="0" w:color="auto"/>
                  <w:right w:val="single" w:sz="4" w:space="0" w:color="auto"/>
                </w:tcBorders>
                <w:vAlign w:val="center"/>
              </w:tcPr>
              <w:p w14:paraId="4B7D071F" w14:textId="77777777" w:rsidR="002D0AE7" w:rsidRDefault="00333EBB">
                <w:pPr>
                  <w:adjustRightInd w:val="0"/>
                  <w:snapToGrid w:val="0"/>
                  <w:jc w:val="center"/>
                  <w:rPr>
                    <w:rFonts w:hint="eastAsia"/>
                    <w:color w:val="000000" w:themeColor="text1"/>
                    <w:sz w:val="18"/>
                    <w:szCs w:val="18"/>
                  </w:rPr>
                </w:pPr>
                <w:r>
                  <w:rPr>
                    <w:rFonts w:hint="eastAsia"/>
                    <w:color w:val="000000" w:themeColor="text1"/>
                    <w:sz w:val="18"/>
                    <w:szCs w:val="18"/>
                  </w:rPr>
                  <w:t>优先股</w:t>
                </w:r>
              </w:p>
            </w:tc>
          </w:sdtContent>
        </w:sdt>
        <w:sdt>
          <w:sdtPr>
            <w:rPr>
              <w:color w:val="000000" w:themeColor="text1"/>
            </w:rPr>
            <w:tag w:val="_PLD_42f56a6e995041a8b03e0979c7b2350c"/>
            <w:id w:val="2004155726"/>
          </w:sdtPr>
          <w:sdtEndPr/>
          <w:sdtContent>
            <w:tc>
              <w:tcPr>
                <w:tcW w:w="567" w:type="dxa"/>
                <w:tcBorders>
                  <w:top w:val="single" w:sz="4" w:space="0" w:color="auto"/>
                  <w:left w:val="single" w:sz="4" w:space="0" w:color="auto"/>
                  <w:right w:val="single" w:sz="4" w:space="0" w:color="auto"/>
                </w:tcBorders>
                <w:vAlign w:val="center"/>
              </w:tcPr>
              <w:p w14:paraId="1686FB1E" w14:textId="77777777" w:rsidR="002D0AE7" w:rsidRDefault="00333EBB">
                <w:pPr>
                  <w:adjustRightInd w:val="0"/>
                  <w:snapToGrid w:val="0"/>
                  <w:jc w:val="center"/>
                  <w:rPr>
                    <w:rFonts w:hint="eastAsia"/>
                    <w:color w:val="000000" w:themeColor="text1"/>
                    <w:sz w:val="18"/>
                    <w:szCs w:val="18"/>
                  </w:rPr>
                </w:pPr>
                <w:r>
                  <w:rPr>
                    <w:rFonts w:hint="eastAsia"/>
                    <w:color w:val="000000" w:themeColor="text1"/>
                    <w:sz w:val="18"/>
                    <w:szCs w:val="18"/>
                  </w:rPr>
                  <w:t>永续债</w:t>
                </w:r>
              </w:p>
            </w:tc>
          </w:sdtContent>
        </w:sdt>
        <w:sdt>
          <w:sdtPr>
            <w:rPr>
              <w:color w:val="000000" w:themeColor="text1"/>
            </w:rPr>
            <w:tag w:val="_PLD_30aa853463c54004a69a2235554ee8fd"/>
            <w:id w:val="-77363445"/>
          </w:sdtPr>
          <w:sdtEndPr/>
          <w:sdtContent>
            <w:tc>
              <w:tcPr>
                <w:tcW w:w="567" w:type="dxa"/>
                <w:tcBorders>
                  <w:top w:val="single" w:sz="4" w:space="0" w:color="auto"/>
                  <w:left w:val="single" w:sz="4" w:space="0" w:color="auto"/>
                </w:tcBorders>
                <w:vAlign w:val="center"/>
              </w:tcPr>
              <w:p w14:paraId="535C72FB" w14:textId="77777777" w:rsidR="002D0AE7" w:rsidRDefault="00333EBB">
                <w:pPr>
                  <w:adjustRightInd w:val="0"/>
                  <w:snapToGrid w:val="0"/>
                  <w:jc w:val="center"/>
                  <w:rPr>
                    <w:rFonts w:hint="eastAsia"/>
                    <w:color w:val="000000" w:themeColor="text1"/>
                    <w:sz w:val="18"/>
                    <w:szCs w:val="18"/>
                  </w:rPr>
                </w:pPr>
                <w:r>
                  <w:rPr>
                    <w:rFonts w:hint="eastAsia"/>
                    <w:color w:val="000000" w:themeColor="text1"/>
                    <w:sz w:val="18"/>
                    <w:szCs w:val="18"/>
                  </w:rPr>
                  <w:t>其他</w:t>
                </w:r>
              </w:p>
            </w:tc>
          </w:sdtContent>
        </w:sdt>
        <w:tc>
          <w:tcPr>
            <w:tcW w:w="1134" w:type="dxa"/>
            <w:vMerge/>
          </w:tcPr>
          <w:p w14:paraId="1CB3F328" w14:textId="77777777" w:rsidR="002D0AE7" w:rsidRDefault="002D0AE7">
            <w:pPr>
              <w:adjustRightInd w:val="0"/>
              <w:snapToGrid w:val="0"/>
              <w:jc w:val="center"/>
              <w:rPr>
                <w:rFonts w:hint="eastAsia"/>
                <w:color w:val="000000" w:themeColor="text1"/>
                <w:sz w:val="18"/>
                <w:szCs w:val="18"/>
              </w:rPr>
            </w:pPr>
          </w:p>
        </w:tc>
        <w:tc>
          <w:tcPr>
            <w:tcW w:w="1134" w:type="dxa"/>
            <w:vMerge/>
          </w:tcPr>
          <w:p w14:paraId="3E84158E" w14:textId="77777777" w:rsidR="002D0AE7" w:rsidRDefault="002D0AE7">
            <w:pPr>
              <w:adjustRightInd w:val="0"/>
              <w:snapToGrid w:val="0"/>
              <w:jc w:val="center"/>
              <w:rPr>
                <w:rFonts w:hint="eastAsia"/>
                <w:color w:val="000000" w:themeColor="text1"/>
                <w:sz w:val="18"/>
                <w:szCs w:val="18"/>
              </w:rPr>
            </w:pPr>
          </w:p>
        </w:tc>
        <w:tc>
          <w:tcPr>
            <w:tcW w:w="1134" w:type="dxa"/>
            <w:vMerge/>
          </w:tcPr>
          <w:p w14:paraId="6C3BC21F" w14:textId="77777777" w:rsidR="002D0AE7" w:rsidRDefault="002D0AE7">
            <w:pPr>
              <w:jc w:val="center"/>
              <w:rPr>
                <w:rFonts w:hint="eastAsia"/>
                <w:color w:val="000000" w:themeColor="text1"/>
                <w:sz w:val="18"/>
                <w:szCs w:val="18"/>
              </w:rPr>
            </w:pPr>
          </w:p>
        </w:tc>
        <w:tc>
          <w:tcPr>
            <w:tcW w:w="1058" w:type="dxa"/>
            <w:vMerge/>
          </w:tcPr>
          <w:p w14:paraId="4B9321C9" w14:textId="77777777" w:rsidR="002D0AE7" w:rsidRDefault="002D0AE7">
            <w:pPr>
              <w:adjustRightInd w:val="0"/>
              <w:snapToGrid w:val="0"/>
              <w:jc w:val="center"/>
              <w:rPr>
                <w:rFonts w:hint="eastAsia"/>
                <w:color w:val="000000" w:themeColor="text1"/>
                <w:sz w:val="18"/>
                <w:szCs w:val="18"/>
              </w:rPr>
            </w:pPr>
          </w:p>
        </w:tc>
        <w:tc>
          <w:tcPr>
            <w:tcW w:w="1210" w:type="dxa"/>
            <w:vMerge/>
          </w:tcPr>
          <w:p w14:paraId="6684060B" w14:textId="77777777" w:rsidR="002D0AE7" w:rsidRDefault="002D0AE7">
            <w:pPr>
              <w:adjustRightInd w:val="0"/>
              <w:snapToGrid w:val="0"/>
              <w:jc w:val="center"/>
              <w:rPr>
                <w:rFonts w:hint="eastAsia"/>
                <w:color w:val="000000" w:themeColor="text1"/>
                <w:sz w:val="18"/>
                <w:szCs w:val="18"/>
              </w:rPr>
            </w:pPr>
          </w:p>
        </w:tc>
        <w:tc>
          <w:tcPr>
            <w:tcW w:w="1134" w:type="dxa"/>
            <w:vMerge/>
          </w:tcPr>
          <w:p w14:paraId="71E8AEA8" w14:textId="77777777" w:rsidR="002D0AE7" w:rsidRDefault="002D0AE7">
            <w:pPr>
              <w:adjustRightInd w:val="0"/>
              <w:snapToGrid w:val="0"/>
              <w:jc w:val="center"/>
              <w:rPr>
                <w:rFonts w:hint="eastAsia"/>
                <w:color w:val="000000" w:themeColor="text1"/>
                <w:sz w:val="18"/>
                <w:szCs w:val="18"/>
              </w:rPr>
            </w:pPr>
          </w:p>
        </w:tc>
        <w:tc>
          <w:tcPr>
            <w:tcW w:w="1275" w:type="dxa"/>
            <w:vMerge/>
          </w:tcPr>
          <w:p w14:paraId="06815AFF" w14:textId="77777777" w:rsidR="002D0AE7" w:rsidRDefault="002D0AE7">
            <w:pPr>
              <w:adjustRightInd w:val="0"/>
              <w:snapToGrid w:val="0"/>
              <w:jc w:val="center"/>
              <w:rPr>
                <w:rFonts w:hint="eastAsia"/>
                <w:color w:val="000000" w:themeColor="text1"/>
                <w:sz w:val="18"/>
                <w:szCs w:val="18"/>
              </w:rPr>
            </w:pPr>
          </w:p>
        </w:tc>
      </w:tr>
      <w:tr w:rsidR="002D0AE7" w14:paraId="4DE1DDF5" w14:textId="77777777">
        <w:trPr>
          <w:trHeight w:val="20"/>
          <w:jc w:val="center"/>
        </w:trPr>
        <w:tc>
          <w:tcPr>
            <w:tcW w:w="3678" w:type="dxa"/>
          </w:tcPr>
          <w:p w14:paraId="4B3422E1" w14:textId="77777777" w:rsidR="002D0AE7" w:rsidRDefault="00333EBB">
            <w:pPr>
              <w:rPr>
                <w:rFonts w:hint="eastAsia"/>
                <w:color w:val="000000" w:themeColor="text1"/>
                <w:sz w:val="18"/>
                <w:szCs w:val="18"/>
              </w:rPr>
            </w:pPr>
            <w:r>
              <w:rPr>
                <w:color w:val="000000" w:themeColor="text1"/>
                <w:sz w:val="18"/>
                <w:szCs w:val="18"/>
              </w:rPr>
              <w:t>一、上年</w:t>
            </w:r>
            <w:r>
              <w:rPr>
                <w:rFonts w:hint="eastAsia"/>
                <w:color w:val="000000" w:themeColor="text1"/>
                <w:sz w:val="18"/>
                <w:szCs w:val="18"/>
              </w:rPr>
              <w:t>期</w:t>
            </w:r>
            <w:r>
              <w:rPr>
                <w:color w:val="000000" w:themeColor="text1"/>
                <w:sz w:val="18"/>
                <w:szCs w:val="18"/>
              </w:rPr>
              <w:t>末余额</w:t>
            </w:r>
          </w:p>
        </w:tc>
        <w:tc>
          <w:tcPr>
            <w:tcW w:w="1276" w:type="dxa"/>
            <w:tcBorders>
              <w:right w:val="single" w:sz="4" w:space="0" w:color="auto"/>
            </w:tcBorders>
            <w:vAlign w:val="center"/>
          </w:tcPr>
          <w:p w14:paraId="2A2AFF5C" w14:textId="77777777" w:rsidR="002D0AE7" w:rsidRDefault="00333EBB">
            <w:pPr>
              <w:jc w:val="right"/>
              <w:rPr>
                <w:rFonts w:ascii="Arial Narrow" w:hAnsi="Arial Narrow"/>
                <w:sz w:val="15"/>
                <w:szCs w:val="15"/>
              </w:rPr>
            </w:pPr>
            <w:r>
              <w:rPr>
                <w:rFonts w:ascii="Arial Narrow" w:hAnsi="Arial Narrow"/>
                <w:sz w:val="15"/>
                <w:szCs w:val="15"/>
              </w:rPr>
              <w:t>1,096,362,680.00</w:t>
            </w:r>
          </w:p>
        </w:tc>
        <w:tc>
          <w:tcPr>
            <w:tcW w:w="567" w:type="dxa"/>
            <w:tcBorders>
              <w:left w:val="single" w:sz="4" w:space="0" w:color="auto"/>
              <w:right w:val="single" w:sz="4" w:space="0" w:color="auto"/>
            </w:tcBorders>
            <w:vAlign w:val="center"/>
          </w:tcPr>
          <w:p w14:paraId="4E933C4B"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017CFB37"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32BE2B06"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tcBorders>
              <w:left w:val="single" w:sz="4" w:space="0" w:color="auto"/>
            </w:tcBorders>
            <w:vAlign w:val="center"/>
          </w:tcPr>
          <w:p w14:paraId="448547F1" w14:textId="77777777" w:rsidR="002D0AE7" w:rsidRDefault="00333EBB">
            <w:pPr>
              <w:jc w:val="right"/>
              <w:rPr>
                <w:rFonts w:ascii="Arial Narrow" w:hAnsi="Arial Narrow"/>
                <w:sz w:val="15"/>
                <w:szCs w:val="15"/>
              </w:rPr>
            </w:pPr>
            <w:r>
              <w:rPr>
                <w:rFonts w:ascii="Arial Narrow" w:hAnsi="Arial Narrow"/>
                <w:sz w:val="15"/>
                <w:szCs w:val="15"/>
              </w:rPr>
              <w:t>793,491,353.87</w:t>
            </w:r>
          </w:p>
        </w:tc>
        <w:tc>
          <w:tcPr>
            <w:tcW w:w="1134" w:type="dxa"/>
            <w:vAlign w:val="center"/>
          </w:tcPr>
          <w:p w14:paraId="4825C7D2" w14:textId="77777777" w:rsidR="002D0AE7" w:rsidRDefault="00333EBB">
            <w:pPr>
              <w:jc w:val="right"/>
              <w:rPr>
                <w:rFonts w:ascii="Arial Narrow" w:hAnsi="Arial Narrow"/>
                <w:sz w:val="15"/>
                <w:szCs w:val="15"/>
              </w:rPr>
            </w:pPr>
            <w:r>
              <w:rPr>
                <w:rFonts w:ascii="Arial Narrow" w:hAnsi="Arial Narrow"/>
                <w:sz w:val="15"/>
                <w:szCs w:val="15"/>
              </w:rPr>
              <w:t>10,339,560.00</w:t>
            </w:r>
          </w:p>
        </w:tc>
        <w:tc>
          <w:tcPr>
            <w:tcW w:w="1134" w:type="dxa"/>
            <w:vAlign w:val="center"/>
          </w:tcPr>
          <w:p w14:paraId="6C6FAE96" w14:textId="77777777" w:rsidR="002D0AE7" w:rsidRDefault="00333EBB">
            <w:pPr>
              <w:jc w:val="right"/>
              <w:rPr>
                <w:rFonts w:ascii="Arial Narrow" w:hAnsi="Arial Narrow"/>
                <w:sz w:val="15"/>
                <w:szCs w:val="15"/>
              </w:rPr>
            </w:pPr>
            <w:r>
              <w:rPr>
                <w:rFonts w:ascii="Arial Narrow" w:hAnsi="Arial Narrow"/>
                <w:sz w:val="15"/>
                <w:szCs w:val="15"/>
              </w:rPr>
              <w:t>173,424,142.53</w:t>
            </w:r>
          </w:p>
        </w:tc>
        <w:tc>
          <w:tcPr>
            <w:tcW w:w="1058" w:type="dxa"/>
            <w:vAlign w:val="center"/>
          </w:tcPr>
          <w:p w14:paraId="13898E88" w14:textId="77777777" w:rsidR="002D0AE7" w:rsidRDefault="00333EBB">
            <w:pPr>
              <w:jc w:val="right"/>
              <w:rPr>
                <w:rFonts w:ascii="Arial Narrow" w:hAnsi="Arial Narrow"/>
                <w:sz w:val="15"/>
                <w:szCs w:val="15"/>
              </w:rPr>
            </w:pPr>
            <w:r>
              <w:rPr>
                <w:rFonts w:ascii="Arial Narrow" w:hAnsi="Arial Narrow"/>
                <w:sz w:val="15"/>
                <w:szCs w:val="15"/>
              </w:rPr>
              <w:t>2,078,905.81</w:t>
            </w:r>
          </w:p>
        </w:tc>
        <w:tc>
          <w:tcPr>
            <w:tcW w:w="1210" w:type="dxa"/>
            <w:vAlign w:val="center"/>
          </w:tcPr>
          <w:p w14:paraId="1F2DA963" w14:textId="77777777" w:rsidR="002D0AE7" w:rsidRDefault="00333EBB">
            <w:pPr>
              <w:jc w:val="right"/>
              <w:rPr>
                <w:rFonts w:ascii="Arial Narrow" w:hAnsi="Arial Narrow"/>
                <w:sz w:val="15"/>
                <w:szCs w:val="15"/>
              </w:rPr>
            </w:pPr>
            <w:r>
              <w:rPr>
                <w:rFonts w:ascii="Arial Narrow" w:hAnsi="Arial Narrow"/>
                <w:sz w:val="15"/>
                <w:szCs w:val="15"/>
              </w:rPr>
              <w:t>198,184,709.19</w:t>
            </w:r>
          </w:p>
        </w:tc>
        <w:tc>
          <w:tcPr>
            <w:tcW w:w="1134" w:type="dxa"/>
            <w:vAlign w:val="center"/>
          </w:tcPr>
          <w:p w14:paraId="35C7F45C" w14:textId="77777777" w:rsidR="002D0AE7" w:rsidRDefault="00333EBB">
            <w:pPr>
              <w:jc w:val="right"/>
              <w:rPr>
                <w:rFonts w:ascii="Arial Narrow" w:hAnsi="Arial Narrow"/>
                <w:sz w:val="15"/>
                <w:szCs w:val="15"/>
              </w:rPr>
            </w:pPr>
            <w:r>
              <w:rPr>
                <w:rFonts w:ascii="Arial Narrow" w:hAnsi="Arial Narrow"/>
                <w:sz w:val="15"/>
                <w:szCs w:val="15"/>
              </w:rPr>
              <w:t>856,451,168.44</w:t>
            </w:r>
          </w:p>
        </w:tc>
        <w:tc>
          <w:tcPr>
            <w:tcW w:w="1275" w:type="dxa"/>
            <w:vAlign w:val="center"/>
          </w:tcPr>
          <w:p w14:paraId="52F64C81" w14:textId="77777777" w:rsidR="002D0AE7" w:rsidRDefault="00333EBB">
            <w:pPr>
              <w:jc w:val="right"/>
              <w:rPr>
                <w:rFonts w:ascii="Arial Narrow" w:hAnsi="Arial Narrow"/>
                <w:sz w:val="15"/>
                <w:szCs w:val="15"/>
              </w:rPr>
            </w:pPr>
            <w:r>
              <w:rPr>
                <w:rFonts w:ascii="Arial Narrow" w:hAnsi="Arial Narrow"/>
                <w:sz w:val="15"/>
                <w:szCs w:val="15"/>
              </w:rPr>
              <w:t>3,109,653,399.84</w:t>
            </w:r>
          </w:p>
        </w:tc>
      </w:tr>
      <w:tr w:rsidR="002D0AE7" w14:paraId="771FC489" w14:textId="77777777">
        <w:trPr>
          <w:trHeight w:val="20"/>
          <w:jc w:val="center"/>
        </w:trPr>
        <w:tc>
          <w:tcPr>
            <w:tcW w:w="3678" w:type="dxa"/>
          </w:tcPr>
          <w:p w14:paraId="6D0CEBD3" w14:textId="77777777" w:rsidR="002D0AE7" w:rsidRDefault="00333EBB">
            <w:pPr>
              <w:rPr>
                <w:rFonts w:hint="eastAsia"/>
                <w:color w:val="000000" w:themeColor="text1"/>
                <w:sz w:val="18"/>
                <w:szCs w:val="18"/>
              </w:rPr>
            </w:pPr>
            <w:r>
              <w:rPr>
                <w:color w:val="000000" w:themeColor="text1"/>
                <w:sz w:val="18"/>
                <w:szCs w:val="18"/>
              </w:rPr>
              <w:t>加：会计政策变更</w:t>
            </w:r>
          </w:p>
        </w:tc>
        <w:tc>
          <w:tcPr>
            <w:tcW w:w="1276" w:type="dxa"/>
            <w:tcBorders>
              <w:right w:val="single" w:sz="4" w:space="0" w:color="auto"/>
            </w:tcBorders>
            <w:vAlign w:val="center"/>
          </w:tcPr>
          <w:p w14:paraId="23BFE61B" w14:textId="77777777" w:rsidR="002D0AE7" w:rsidRDefault="002D0AE7">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13EB5561" w14:textId="77777777" w:rsidR="002D0AE7" w:rsidRDefault="002D0AE7">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46372D39" w14:textId="77777777" w:rsidR="002D0AE7" w:rsidRDefault="002D0AE7">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4DCECC62" w14:textId="77777777" w:rsidR="002D0AE7" w:rsidRDefault="002D0AE7">
            <w:pPr>
              <w:jc w:val="right"/>
              <w:rPr>
                <w:rFonts w:ascii="Arial Narrow" w:hAnsi="Arial Narrow"/>
                <w:sz w:val="15"/>
                <w:szCs w:val="15"/>
              </w:rPr>
            </w:pPr>
          </w:p>
        </w:tc>
        <w:tc>
          <w:tcPr>
            <w:tcW w:w="1134" w:type="dxa"/>
            <w:tcBorders>
              <w:left w:val="single" w:sz="4" w:space="0" w:color="auto"/>
            </w:tcBorders>
            <w:vAlign w:val="center"/>
          </w:tcPr>
          <w:p w14:paraId="11839BEE" w14:textId="77777777" w:rsidR="002D0AE7" w:rsidRDefault="002D0AE7">
            <w:pPr>
              <w:jc w:val="right"/>
              <w:rPr>
                <w:rFonts w:ascii="Arial Narrow" w:hAnsi="Arial Narrow"/>
                <w:sz w:val="15"/>
                <w:szCs w:val="15"/>
              </w:rPr>
            </w:pPr>
          </w:p>
        </w:tc>
        <w:tc>
          <w:tcPr>
            <w:tcW w:w="1134" w:type="dxa"/>
            <w:vAlign w:val="center"/>
          </w:tcPr>
          <w:p w14:paraId="0101A227" w14:textId="77777777" w:rsidR="002D0AE7" w:rsidRDefault="002D0AE7">
            <w:pPr>
              <w:jc w:val="right"/>
              <w:rPr>
                <w:rFonts w:ascii="Arial Narrow" w:hAnsi="Arial Narrow"/>
                <w:sz w:val="15"/>
                <w:szCs w:val="15"/>
              </w:rPr>
            </w:pPr>
          </w:p>
        </w:tc>
        <w:tc>
          <w:tcPr>
            <w:tcW w:w="1134" w:type="dxa"/>
            <w:vAlign w:val="center"/>
          </w:tcPr>
          <w:p w14:paraId="36B6577C" w14:textId="77777777" w:rsidR="002D0AE7" w:rsidRDefault="002D0AE7">
            <w:pPr>
              <w:jc w:val="right"/>
              <w:rPr>
                <w:rFonts w:ascii="Arial Narrow" w:hAnsi="Arial Narrow"/>
                <w:sz w:val="15"/>
                <w:szCs w:val="15"/>
              </w:rPr>
            </w:pPr>
          </w:p>
        </w:tc>
        <w:tc>
          <w:tcPr>
            <w:tcW w:w="1058" w:type="dxa"/>
            <w:vAlign w:val="center"/>
          </w:tcPr>
          <w:p w14:paraId="0C46F50F" w14:textId="77777777" w:rsidR="002D0AE7" w:rsidRDefault="002D0AE7">
            <w:pPr>
              <w:jc w:val="right"/>
              <w:rPr>
                <w:rFonts w:ascii="Arial Narrow" w:hAnsi="Arial Narrow"/>
                <w:sz w:val="15"/>
                <w:szCs w:val="15"/>
              </w:rPr>
            </w:pPr>
          </w:p>
        </w:tc>
        <w:tc>
          <w:tcPr>
            <w:tcW w:w="1210" w:type="dxa"/>
            <w:vAlign w:val="center"/>
          </w:tcPr>
          <w:p w14:paraId="19340A8E" w14:textId="77777777" w:rsidR="002D0AE7" w:rsidRDefault="002D0AE7">
            <w:pPr>
              <w:jc w:val="right"/>
              <w:rPr>
                <w:rFonts w:ascii="Arial Narrow" w:hAnsi="Arial Narrow"/>
                <w:sz w:val="15"/>
                <w:szCs w:val="15"/>
              </w:rPr>
            </w:pPr>
          </w:p>
        </w:tc>
        <w:tc>
          <w:tcPr>
            <w:tcW w:w="1134" w:type="dxa"/>
            <w:vAlign w:val="center"/>
          </w:tcPr>
          <w:p w14:paraId="7C85B5B6" w14:textId="77777777" w:rsidR="002D0AE7" w:rsidRDefault="002D0AE7">
            <w:pPr>
              <w:jc w:val="right"/>
              <w:rPr>
                <w:rFonts w:ascii="Arial Narrow" w:hAnsi="Arial Narrow"/>
                <w:sz w:val="15"/>
                <w:szCs w:val="15"/>
              </w:rPr>
            </w:pPr>
          </w:p>
        </w:tc>
        <w:tc>
          <w:tcPr>
            <w:tcW w:w="1275" w:type="dxa"/>
            <w:vAlign w:val="center"/>
          </w:tcPr>
          <w:p w14:paraId="3098F5F0" w14:textId="77777777" w:rsidR="002D0AE7" w:rsidRDefault="002D0AE7">
            <w:pPr>
              <w:jc w:val="right"/>
              <w:rPr>
                <w:rFonts w:ascii="Arial Narrow" w:hAnsi="Arial Narrow"/>
                <w:sz w:val="15"/>
                <w:szCs w:val="15"/>
              </w:rPr>
            </w:pPr>
          </w:p>
        </w:tc>
      </w:tr>
      <w:tr w:rsidR="002D0AE7" w14:paraId="681A7457" w14:textId="77777777">
        <w:trPr>
          <w:trHeight w:val="20"/>
          <w:jc w:val="center"/>
        </w:trPr>
        <w:tc>
          <w:tcPr>
            <w:tcW w:w="3678" w:type="dxa"/>
          </w:tcPr>
          <w:p w14:paraId="18C3BF7F" w14:textId="77777777" w:rsidR="002D0AE7" w:rsidRDefault="00333EBB">
            <w:pPr>
              <w:ind w:firstLineChars="200" w:firstLine="360"/>
              <w:rPr>
                <w:rFonts w:hint="eastAsia"/>
                <w:color w:val="000000" w:themeColor="text1"/>
                <w:sz w:val="18"/>
                <w:szCs w:val="18"/>
              </w:rPr>
            </w:pPr>
            <w:r>
              <w:rPr>
                <w:color w:val="000000" w:themeColor="text1"/>
                <w:sz w:val="18"/>
                <w:szCs w:val="18"/>
              </w:rPr>
              <w:t>前期差错更正</w:t>
            </w:r>
          </w:p>
        </w:tc>
        <w:tc>
          <w:tcPr>
            <w:tcW w:w="1276" w:type="dxa"/>
            <w:tcBorders>
              <w:right w:val="single" w:sz="4" w:space="0" w:color="auto"/>
            </w:tcBorders>
            <w:vAlign w:val="center"/>
          </w:tcPr>
          <w:p w14:paraId="28962B34" w14:textId="77777777" w:rsidR="002D0AE7" w:rsidRDefault="002D0AE7">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240428FB" w14:textId="77777777" w:rsidR="002D0AE7" w:rsidRDefault="002D0AE7">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4EA4FCC6" w14:textId="77777777" w:rsidR="002D0AE7" w:rsidRDefault="002D0AE7">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2A821EBC" w14:textId="77777777" w:rsidR="002D0AE7" w:rsidRDefault="002D0AE7">
            <w:pPr>
              <w:jc w:val="right"/>
              <w:rPr>
                <w:rFonts w:ascii="Arial Narrow" w:hAnsi="Arial Narrow"/>
                <w:sz w:val="15"/>
                <w:szCs w:val="15"/>
              </w:rPr>
            </w:pPr>
          </w:p>
        </w:tc>
        <w:tc>
          <w:tcPr>
            <w:tcW w:w="1134" w:type="dxa"/>
            <w:tcBorders>
              <w:left w:val="single" w:sz="4" w:space="0" w:color="auto"/>
            </w:tcBorders>
            <w:vAlign w:val="center"/>
          </w:tcPr>
          <w:p w14:paraId="5CE1CDDD" w14:textId="77777777" w:rsidR="002D0AE7" w:rsidRDefault="002D0AE7">
            <w:pPr>
              <w:jc w:val="right"/>
              <w:rPr>
                <w:rFonts w:ascii="Arial Narrow" w:hAnsi="Arial Narrow"/>
                <w:sz w:val="15"/>
                <w:szCs w:val="15"/>
              </w:rPr>
            </w:pPr>
          </w:p>
        </w:tc>
        <w:tc>
          <w:tcPr>
            <w:tcW w:w="1134" w:type="dxa"/>
            <w:vAlign w:val="center"/>
          </w:tcPr>
          <w:p w14:paraId="5DA380A2" w14:textId="77777777" w:rsidR="002D0AE7" w:rsidRDefault="002D0AE7">
            <w:pPr>
              <w:jc w:val="right"/>
              <w:rPr>
                <w:rFonts w:ascii="Arial Narrow" w:hAnsi="Arial Narrow"/>
                <w:sz w:val="15"/>
                <w:szCs w:val="15"/>
              </w:rPr>
            </w:pPr>
          </w:p>
        </w:tc>
        <w:tc>
          <w:tcPr>
            <w:tcW w:w="1134" w:type="dxa"/>
            <w:vAlign w:val="center"/>
          </w:tcPr>
          <w:p w14:paraId="648AAF86" w14:textId="77777777" w:rsidR="002D0AE7" w:rsidRDefault="002D0AE7">
            <w:pPr>
              <w:jc w:val="right"/>
              <w:rPr>
                <w:rFonts w:ascii="Arial Narrow" w:hAnsi="Arial Narrow"/>
                <w:sz w:val="15"/>
                <w:szCs w:val="15"/>
              </w:rPr>
            </w:pPr>
          </w:p>
        </w:tc>
        <w:tc>
          <w:tcPr>
            <w:tcW w:w="1058" w:type="dxa"/>
            <w:vAlign w:val="center"/>
          </w:tcPr>
          <w:p w14:paraId="377C9E5E" w14:textId="77777777" w:rsidR="002D0AE7" w:rsidRDefault="002D0AE7">
            <w:pPr>
              <w:jc w:val="right"/>
              <w:rPr>
                <w:rFonts w:ascii="Arial Narrow" w:hAnsi="Arial Narrow"/>
                <w:sz w:val="15"/>
                <w:szCs w:val="15"/>
              </w:rPr>
            </w:pPr>
          </w:p>
        </w:tc>
        <w:tc>
          <w:tcPr>
            <w:tcW w:w="1210" w:type="dxa"/>
            <w:vAlign w:val="center"/>
          </w:tcPr>
          <w:p w14:paraId="42D44B33" w14:textId="77777777" w:rsidR="002D0AE7" w:rsidRDefault="002D0AE7">
            <w:pPr>
              <w:jc w:val="right"/>
              <w:rPr>
                <w:rFonts w:ascii="Arial Narrow" w:hAnsi="Arial Narrow"/>
                <w:sz w:val="15"/>
                <w:szCs w:val="15"/>
              </w:rPr>
            </w:pPr>
          </w:p>
        </w:tc>
        <w:tc>
          <w:tcPr>
            <w:tcW w:w="1134" w:type="dxa"/>
            <w:vAlign w:val="center"/>
          </w:tcPr>
          <w:p w14:paraId="6555AF34" w14:textId="77777777" w:rsidR="002D0AE7" w:rsidRDefault="002D0AE7">
            <w:pPr>
              <w:jc w:val="right"/>
              <w:rPr>
                <w:rFonts w:ascii="Arial Narrow" w:hAnsi="Arial Narrow"/>
                <w:sz w:val="15"/>
                <w:szCs w:val="15"/>
              </w:rPr>
            </w:pPr>
          </w:p>
        </w:tc>
        <w:tc>
          <w:tcPr>
            <w:tcW w:w="1275" w:type="dxa"/>
            <w:vAlign w:val="center"/>
          </w:tcPr>
          <w:p w14:paraId="232F4944" w14:textId="77777777" w:rsidR="002D0AE7" w:rsidRDefault="002D0AE7">
            <w:pPr>
              <w:jc w:val="right"/>
              <w:rPr>
                <w:rFonts w:ascii="Arial Narrow" w:hAnsi="Arial Narrow"/>
                <w:sz w:val="15"/>
                <w:szCs w:val="15"/>
              </w:rPr>
            </w:pPr>
          </w:p>
        </w:tc>
      </w:tr>
      <w:tr w:rsidR="002D0AE7" w14:paraId="6C5735D4" w14:textId="77777777">
        <w:trPr>
          <w:trHeight w:val="20"/>
          <w:jc w:val="center"/>
        </w:trPr>
        <w:tc>
          <w:tcPr>
            <w:tcW w:w="3678" w:type="dxa"/>
          </w:tcPr>
          <w:p w14:paraId="59EE281D" w14:textId="77777777" w:rsidR="002D0AE7" w:rsidRDefault="00333EBB">
            <w:pPr>
              <w:ind w:firstLineChars="200" w:firstLine="360"/>
              <w:rPr>
                <w:rFonts w:hint="eastAsia"/>
                <w:color w:val="000000" w:themeColor="text1"/>
                <w:sz w:val="18"/>
                <w:szCs w:val="18"/>
              </w:rPr>
            </w:pPr>
            <w:r>
              <w:rPr>
                <w:rFonts w:hint="eastAsia"/>
                <w:color w:val="000000" w:themeColor="text1"/>
                <w:sz w:val="18"/>
                <w:szCs w:val="18"/>
              </w:rPr>
              <w:t>其他</w:t>
            </w:r>
          </w:p>
        </w:tc>
        <w:tc>
          <w:tcPr>
            <w:tcW w:w="1276" w:type="dxa"/>
            <w:tcBorders>
              <w:right w:val="single" w:sz="4" w:space="0" w:color="auto"/>
            </w:tcBorders>
            <w:vAlign w:val="center"/>
          </w:tcPr>
          <w:p w14:paraId="2085B9B4" w14:textId="77777777" w:rsidR="002D0AE7" w:rsidRDefault="002D0AE7">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4531E7B6" w14:textId="77777777" w:rsidR="002D0AE7" w:rsidRDefault="002D0AE7">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2693093C" w14:textId="77777777" w:rsidR="002D0AE7" w:rsidRDefault="002D0AE7">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71D60DA6" w14:textId="77777777" w:rsidR="002D0AE7" w:rsidRDefault="002D0AE7">
            <w:pPr>
              <w:jc w:val="right"/>
              <w:rPr>
                <w:rFonts w:ascii="Arial Narrow" w:hAnsi="Arial Narrow"/>
                <w:sz w:val="15"/>
                <w:szCs w:val="15"/>
              </w:rPr>
            </w:pPr>
          </w:p>
        </w:tc>
        <w:tc>
          <w:tcPr>
            <w:tcW w:w="1134" w:type="dxa"/>
            <w:tcBorders>
              <w:left w:val="single" w:sz="4" w:space="0" w:color="auto"/>
            </w:tcBorders>
            <w:vAlign w:val="center"/>
          </w:tcPr>
          <w:p w14:paraId="3BD684C1" w14:textId="77777777" w:rsidR="002D0AE7" w:rsidRDefault="002D0AE7">
            <w:pPr>
              <w:jc w:val="right"/>
              <w:rPr>
                <w:rFonts w:ascii="Arial Narrow" w:hAnsi="Arial Narrow"/>
                <w:sz w:val="15"/>
                <w:szCs w:val="15"/>
              </w:rPr>
            </w:pPr>
          </w:p>
        </w:tc>
        <w:tc>
          <w:tcPr>
            <w:tcW w:w="1134" w:type="dxa"/>
            <w:vAlign w:val="center"/>
          </w:tcPr>
          <w:p w14:paraId="2FAFA5DF" w14:textId="77777777" w:rsidR="002D0AE7" w:rsidRDefault="002D0AE7">
            <w:pPr>
              <w:jc w:val="right"/>
              <w:rPr>
                <w:rFonts w:ascii="Arial Narrow" w:hAnsi="Arial Narrow"/>
                <w:sz w:val="15"/>
                <w:szCs w:val="15"/>
              </w:rPr>
            </w:pPr>
          </w:p>
        </w:tc>
        <w:tc>
          <w:tcPr>
            <w:tcW w:w="1134" w:type="dxa"/>
            <w:vAlign w:val="center"/>
          </w:tcPr>
          <w:p w14:paraId="007B39FA" w14:textId="77777777" w:rsidR="002D0AE7" w:rsidRDefault="002D0AE7">
            <w:pPr>
              <w:jc w:val="right"/>
              <w:rPr>
                <w:rFonts w:ascii="Arial Narrow" w:hAnsi="Arial Narrow"/>
                <w:sz w:val="15"/>
                <w:szCs w:val="15"/>
              </w:rPr>
            </w:pPr>
          </w:p>
        </w:tc>
        <w:tc>
          <w:tcPr>
            <w:tcW w:w="1058" w:type="dxa"/>
            <w:vAlign w:val="center"/>
          </w:tcPr>
          <w:p w14:paraId="126BD6C2" w14:textId="77777777" w:rsidR="002D0AE7" w:rsidRDefault="002D0AE7">
            <w:pPr>
              <w:jc w:val="right"/>
              <w:rPr>
                <w:rFonts w:ascii="Arial Narrow" w:hAnsi="Arial Narrow"/>
                <w:sz w:val="15"/>
                <w:szCs w:val="15"/>
              </w:rPr>
            </w:pPr>
          </w:p>
        </w:tc>
        <w:tc>
          <w:tcPr>
            <w:tcW w:w="1210" w:type="dxa"/>
            <w:vAlign w:val="center"/>
          </w:tcPr>
          <w:p w14:paraId="4E1A8706" w14:textId="77777777" w:rsidR="002D0AE7" w:rsidRDefault="002D0AE7">
            <w:pPr>
              <w:jc w:val="right"/>
              <w:rPr>
                <w:rFonts w:ascii="Arial Narrow" w:hAnsi="Arial Narrow"/>
                <w:sz w:val="15"/>
                <w:szCs w:val="15"/>
              </w:rPr>
            </w:pPr>
          </w:p>
        </w:tc>
        <w:tc>
          <w:tcPr>
            <w:tcW w:w="1134" w:type="dxa"/>
            <w:vAlign w:val="center"/>
          </w:tcPr>
          <w:p w14:paraId="6ABADF82" w14:textId="77777777" w:rsidR="002D0AE7" w:rsidRDefault="002D0AE7">
            <w:pPr>
              <w:jc w:val="right"/>
              <w:rPr>
                <w:rFonts w:ascii="Arial Narrow" w:hAnsi="Arial Narrow"/>
                <w:sz w:val="15"/>
                <w:szCs w:val="15"/>
              </w:rPr>
            </w:pPr>
          </w:p>
        </w:tc>
        <w:tc>
          <w:tcPr>
            <w:tcW w:w="1275" w:type="dxa"/>
            <w:vAlign w:val="center"/>
          </w:tcPr>
          <w:p w14:paraId="1E1D7D28" w14:textId="77777777" w:rsidR="002D0AE7" w:rsidRDefault="002D0AE7">
            <w:pPr>
              <w:jc w:val="right"/>
              <w:rPr>
                <w:rFonts w:ascii="Arial Narrow" w:hAnsi="Arial Narrow"/>
                <w:sz w:val="15"/>
                <w:szCs w:val="15"/>
              </w:rPr>
            </w:pPr>
          </w:p>
        </w:tc>
      </w:tr>
      <w:tr w:rsidR="002D0AE7" w14:paraId="2EA1397B" w14:textId="77777777">
        <w:trPr>
          <w:trHeight w:val="20"/>
          <w:jc w:val="center"/>
        </w:trPr>
        <w:tc>
          <w:tcPr>
            <w:tcW w:w="3678" w:type="dxa"/>
          </w:tcPr>
          <w:p w14:paraId="68B8FF19" w14:textId="77777777" w:rsidR="002D0AE7" w:rsidRDefault="00333EBB">
            <w:pPr>
              <w:rPr>
                <w:rFonts w:hint="eastAsia"/>
                <w:color w:val="000000" w:themeColor="text1"/>
                <w:sz w:val="18"/>
                <w:szCs w:val="18"/>
              </w:rPr>
            </w:pPr>
            <w:r>
              <w:rPr>
                <w:color w:val="000000" w:themeColor="text1"/>
                <w:sz w:val="18"/>
                <w:szCs w:val="18"/>
              </w:rPr>
              <w:t>二、本年</w:t>
            </w:r>
            <w:r>
              <w:rPr>
                <w:rFonts w:hint="eastAsia"/>
                <w:color w:val="000000" w:themeColor="text1"/>
                <w:sz w:val="18"/>
                <w:szCs w:val="18"/>
              </w:rPr>
              <w:t>期</w:t>
            </w:r>
            <w:r>
              <w:rPr>
                <w:color w:val="000000" w:themeColor="text1"/>
                <w:sz w:val="18"/>
                <w:szCs w:val="18"/>
              </w:rPr>
              <w:t>初余额</w:t>
            </w:r>
          </w:p>
        </w:tc>
        <w:tc>
          <w:tcPr>
            <w:tcW w:w="1276" w:type="dxa"/>
            <w:tcBorders>
              <w:right w:val="single" w:sz="4" w:space="0" w:color="auto"/>
            </w:tcBorders>
            <w:vAlign w:val="center"/>
          </w:tcPr>
          <w:p w14:paraId="1C1F504E" w14:textId="77777777" w:rsidR="002D0AE7" w:rsidRDefault="00333EBB">
            <w:pPr>
              <w:jc w:val="right"/>
              <w:rPr>
                <w:rFonts w:ascii="Arial Narrow" w:hAnsi="Arial Narrow"/>
                <w:sz w:val="15"/>
                <w:szCs w:val="15"/>
              </w:rPr>
            </w:pPr>
            <w:r>
              <w:rPr>
                <w:rFonts w:ascii="Arial Narrow" w:hAnsi="Arial Narrow"/>
                <w:sz w:val="15"/>
                <w:szCs w:val="15"/>
              </w:rPr>
              <w:t>1,096,362,680.00</w:t>
            </w:r>
          </w:p>
        </w:tc>
        <w:tc>
          <w:tcPr>
            <w:tcW w:w="567" w:type="dxa"/>
            <w:tcBorders>
              <w:left w:val="single" w:sz="4" w:space="0" w:color="auto"/>
              <w:right w:val="single" w:sz="4" w:space="0" w:color="auto"/>
            </w:tcBorders>
            <w:vAlign w:val="center"/>
          </w:tcPr>
          <w:p w14:paraId="78587B3A"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757C576E"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3E32FE70"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tcBorders>
              <w:left w:val="single" w:sz="4" w:space="0" w:color="auto"/>
            </w:tcBorders>
            <w:vAlign w:val="center"/>
          </w:tcPr>
          <w:p w14:paraId="4557E2AF" w14:textId="77777777" w:rsidR="002D0AE7" w:rsidRDefault="00333EBB">
            <w:pPr>
              <w:jc w:val="right"/>
              <w:rPr>
                <w:rFonts w:ascii="Arial Narrow" w:hAnsi="Arial Narrow"/>
                <w:sz w:val="15"/>
                <w:szCs w:val="15"/>
              </w:rPr>
            </w:pPr>
            <w:r>
              <w:rPr>
                <w:rFonts w:ascii="Arial Narrow" w:hAnsi="Arial Narrow"/>
                <w:sz w:val="15"/>
                <w:szCs w:val="15"/>
              </w:rPr>
              <w:t>793,491,353.87</w:t>
            </w:r>
          </w:p>
        </w:tc>
        <w:tc>
          <w:tcPr>
            <w:tcW w:w="1134" w:type="dxa"/>
            <w:vAlign w:val="center"/>
          </w:tcPr>
          <w:p w14:paraId="57A01ECD" w14:textId="77777777" w:rsidR="002D0AE7" w:rsidRDefault="00333EBB">
            <w:pPr>
              <w:jc w:val="right"/>
              <w:rPr>
                <w:rFonts w:ascii="Arial Narrow" w:hAnsi="Arial Narrow"/>
                <w:sz w:val="15"/>
                <w:szCs w:val="15"/>
              </w:rPr>
            </w:pPr>
            <w:r>
              <w:rPr>
                <w:rFonts w:ascii="Arial Narrow" w:hAnsi="Arial Narrow"/>
                <w:sz w:val="15"/>
                <w:szCs w:val="15"/>
              </w:rPr>
              <w:t>10,339,560.00</w:t>
            </w:r>
          </w:p>
        </w:tc>
        <w:tc>
          <w:tcPr>
            <w:tcW w:w="1134" w:type="dxa"/>
            <w:vAlign w:val="center"/>
          </w:tcPr>
          <w:p w14:paraId="34CA8666" w14:textId="77777777" w:rsidR="002D0AE7" w:rsidRDefault="00333EBB">
            <w:pPr>
              <w:jc w:val="right"/>
              <w:rPr>
                <w:rFonts w:ascii="Arial Narrow" w:hAnsi="Arial Narrow"/>
                <w:sz w:val="15"/>
                <w:szCs w:val="15"/>
              </w:rPr>
            </w:pPr>
            <w:r>
              <w:rPr>
                <w:rFonts w:ascii="Arial Narrow" w:hAnsi="Arial Narrow"/>
                <w:sz w:val="15"/>
                <w:szCs w:val="15"/>
              </w:rPr>
              <w:t>173,424,142.53</w:t>
            </w:r>
          </w:p>
        </w:tc>
        <w:tc>
          <w:tcPr>
            <w:tcW w:w="1058" w:type="dxa"/>
            <w:vAlign w:val="center"/>
          </w:tcPr>
          <w:p w14:paraId="5892CE6B" w14:textId="77777777" w:rsidR="002D0AE7" w:rsidRDefault="00333EBB">
            <w:pPr>
              <w:jc w:val="right"/>
              <w:rPr>
                <w:rFonts w:ascii="Arial Narrow" w:hAnsi="Arial Narrow"/>
                <w:sz w:val="15"/>
                <w:szCs w:val="15"/>
              </w:rPr>
            </w:pPr>
            <w:r>
              <w:rPr>
                <w:rFonts w:ascii="Arial Narrow" w:hAnsi="Arial Narrow"/>
                <w:sz w:val="15"/>
                <w:szCs w:val="15"/>
              </w:rPr>
              <w:t>2,078,905.81</w:t>
            </w:r>
          </w:p>
        </w:tc>
        <w:tc>
          <w:tcPr>
            <w:tcW w:w="1210" w:type="dxa"/>
            <w:vAlign w:val="center"/>
          </w:tcPr>
          <w:p w14:paraId="1305D722" w14:textId="77777777" w:rsidR="002D0AE7" w:rsidRDefault="00333EBB">
            <w:pPr>
              <w:jc w:val="right"/>
              <w:rPr>
                <w:rFonts w:ascii="Arial Narrow" w:hAnsi="Arial Narrow"/>
                <w:sz w:val="15"/>
                <w:szCs w:val="15"/>
              </w:rPr>
            </w:pPr>
            <w:r>
              <w:rPr>
                <w:rFonts w:ascii="Arial Narrow" w:hAnsi="Arial Narrow"/>
                <w:sz w:val="15"/>
                <w:szCs w:val="15"/>
              </w:rPr>
              <w:t>198,184,709.19</w:t>
            </w:r>
          </w:p>
        </w:tc>
        <w:tc>
          <w:tcPr>
            <w:tcW w:w="1134" w:type="dxa"/>
            <w:vAlign w:val="center"/>
          </w:tcPr>
          <w:p w14:paraId="621AFB48" w14:textId="77777777" w:rsidR="002D0AE7" w:rsidRDefault="00333EBB">
            <w:pPr>
              <w:jc w:val="right"/>
              <w:rPr>
                <w:rFonts w:ascii="Arial Narrow" w:hAnsi="Arial Narrow"/>
                <w:sz w:val="15"/>
                <w:szCs w:val="15"/>
              </w:rPr>
            </w:pPr>
            <w:r>
              <w:rPr>
                <w:rFonts w:ascii="Arial Narrow" w:hAnsi="Arial Narrow"/>
                <w:sz w:val="15"/>
                <w:szCs w:val="15"/>
              </w:rPr>
              <w:t>856,451,168.44</w:t>
            </w:r>
          </w:p>
        </w:tc>
        <w:tc>
          <w:tcPr>
            <w:tcW w:w="1275" w:type="dxa"/>
            <w:vAlign w:val="center"/>
          </w:tcPr>
          <w:p w14:paraId="4026E162" w14:textId="77777777" w:rsidR="002D0AE7" w:rsidRDefault="00333EBB">
            <w:pPr>
              <w:jc w:val="right"/>
              <w:rPr>
                <w:rFonts w:ascii="Arial Narrow" w:hAnsi="Arial Narrow"/>
                <w:sz w:val="15"/>
                <w:szCs w:val="15"/>
              </w:rPr>
            </w:pPr>
            <w:r>
              <w:rPr>
                <w:rFonts w:ascii="Arial Narrow" w:hAnsi="Arial Narrow"/>
                <w:sz w:val="15"/>
                <w:szCs w:val="15"/>
              </w:rPr>
              <w:t>3,109,653,399.84</w:t>
            </w:r>
          </w:p>
        </w:tc>
      </w:tr>
      <w:tr w:rsidR="002D0AE7" w14:paraId="774D75FA" w14:textId="77777777">
        <w:trPr>
          <w:trHeight w:val="20"/>
          <w:jc w:val="center"/>
        </w:trPr>
        <w:tc>
          <w:tcPr>
            <w:tcW w:w="3678" w:type="dxa"/>
          </w:tcPr>
          <w:p w14:paraId="7A26E518" w14:textId="77777777" w:rsidR="002D0AE7" w:rsidRDefault="00333EBB">
            <w:pPr>
              <w:rPr>
                <w:rFonts w:hint="eastAsia"/>
                <w:color w:val="000000" w:themeColor="text1"/>
                <w:sz w:val="16"/>
                <w:szCs w:val="18"/>
              </w:rPr>
            </w:pPr>
            <w:r>
              <w:rPr>
                <w:color w:val="000000" w:themeColor="text1"/>
                <w:sz w:val="16"/>
                <w:szCs w:val="18"/>
              </w:rPr>
              <w:t>三、本</w:t>
            </w:r>
            <w:r>
              <w:rPr>
                <w:rFonts w:hint="eastAsia"/>
                <w:color w:val="000000" w:themeColor="text1"/>
                <w:sz w:val="16"/>
                <w:szCs w:val="18"/>
              </w:rPr>
              <w:t>期</w:t>
            </w:r>
            <w:r>
              <w:rPr>
                <w:color w:val="000000" w:themeColor="text1"/>
                <w:sz w:val="16"/>
                <w:szCs w:val="18"/>
              </w:rPr>
              <w:t>增减变动金额（减少以</w:t>
            </w:r>
            <w:r>
              <w:rPr>
                <w:color w:val="000000" w:themeColor="text1"/>
                <w:sz w:val="16"/>
                <w:szCs w:val="18"/>
              </w:rPr>
              <w:t>“</w:t>
            </w:r>
            <w:r>
              <w:rPr>
                <w:color w:val="000000" w:themeColor="text1"/>
                <w:sz w:val="16"/>
                <w:szCs w:val="18"/>
              </w:rPr>
              <w:t>－</w:t>
            </w:r>
            <w:r>
              <w:rPr>
                <w:color w:val="000000" w:themeColor="text1"/>
                <w:sz w:val="16"/>
                <w:szCs w:val="18"/>
              </w:rPr>
              <w:t>”</w:t>
            </w:r>
            <w:r>
              <w:rPr>
                <w:color w:val="000000" w:themeColor="text1"/>
                <w:sz w:val="16"/>
                <w:szCs w:val="18"/>
              </w:rPr>
              <w:t>号填列）</w:t>
            </w:r>
          </w:p>
        </w:tc>
        <w:tc>
          <w:tcPr>
            <w:tcW w:w="1276" w:type="dxa"/>
            <w:tcBorders>
              <w:right w:val="single" w:sz="4" w:space="0" w:color="auto"/>
            </w:tcBorders>
            <w:vAlign w:val="center"/>
          </w:tcPr>
          <w:p w14:paraId="412FB983" w14:textId="77777777" w:rsidR="002D0AE7" w:rsidRDefault="00333EBB">
            <w:pPr>
              <w:jc w:val="right"/>
              <w:rPr>
                <w:rFonts w:ascii="Arial Narrow" w:hAnsi="Arial Narrow"/>
                <w:sz w:val="15"/>
                <w:szCs w:val="15"/>
              </w:rPr>
            </w:pPr>
            <w:r>
              <w:rPr>
                <w:rFonts w:ascii="Arial Narrow" w:hAnsi="Arial Narrow"/>
                <w:sz w:val="15"/>
                <w:szCs w:val="15"/>
              </w:rPr>
              <w:t>-2,430,000.00</w:t>
            </w:r>
          </w:p>
        </w:tc>
        <w:tc>
          <w:tcPr>
            <w:tcW w:w="567" w:type="dxa"/>
            <w:tcBorders>
              <w:left w:val="single" w:sz="4" w:space="0" w:color="auto"/>
              <w:right w:val="single" w:sz="4" w:space="0" w:color="auto"/>
            </w:tcBorders>
            <w:vAlign w:val="center"/>
          </w:tcPr>
          <w:p w14:paraId="5EECB0BA"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3944BD1E"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tcBorders>
            <w:vAlign w:val="center"/>
          </w:tcPr>
          <w:p w14:paraId="1D17F0CE"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3A7DDE8F" w14:textId="77777777" w:rsidR="002D0AE7" w:rsidRDefault="00333EBB">
            <w:pPr>
              <w:jc w:val="right"/>
              <w:rPr>
                <w:rFonts w:ascii="Arial Narrow" w:hAnsi="Arial Narrow"/>
                <w:sz w:val="15"/>
                <w:szCs w:val="15"/>
              </w:rPr>
            </w:pPr>
            <w:r>
              <w:rPr>
                <w:rFonts w:ascii="Arial Narrow" w:hAnsi="Arial Narrow"/>
                <w:sz w:val="15"/>
                <w:szCs w:val="15"/>
              </w:rPr>
              <w:t>-3,437,755.50</w:t>
            </w:r>
          </w:p>
        </w:tc>
        <w:tc>
          <w:tcPr>
            <w:tcW w:w="1134" w:type="dxa"/>
            <w:vAlign w:val="center"/>
          </w:tcPr>
          <w:p w14:paraId="09CFF7FB" w14:textId="77777777" w:rsidR="002D0AE7" w:rsidRDefault="00333EBB">
            <w:pPr>
              <w:jc w:val="right"/>
              <w:rPr>
                <w:rFonts w:ascii="Arial Narrow" w:hAnsi="Arial Narrow"/>
                <w:sz w:val="15"/>
                <w:szCs w:val="15"/>
              </w:rPr>
            </w:pPr>
            <w:r>
              <w:rPr>
                <w:rFonts w:ascii="Arial Narrow" w:hAnsi="Arial Narrow"/>
                <w:sz w:val="15"/>
                <w:szCs w:val="15"/>
              </w:rPr>
              <w:t>-5,613,300.00</w:t>
            </w:r>
          </w:p>
        </w:tc>
        <w:tc>
          <w:tcPr>
            <w:tcW w:w="1134" w:type="dxa"/>
            <w:vAlign w:val="center"/>
          </w:tcPr>
          <w:p w14:paraId="0A691E78" w14:textId="77777777" w:rsidR="002D0AE7" w:rsidRDefault="00333EBB">
            <w:pPr>
              <w:jc w:val="right"/>
              <w:rPr>
                <w:rFonts w:ascii="Arial Narrow" w:hAnsi="Arial Narrow"/>
                <w:sz w:val="15"/>
                <w:szCs w:val="15"/>
              </w:rPr>
            </w:pPr>
            <w:r>
              <w:rPr>
                <w:rFonts w:ascii="Arial Narrow" w:hAnsi="Arial Narrow"/>
                <w:sz w:val="15"/>
                <w:szCs w:val="15"/>
              </w:rPr>
              <w:t>5,067,451.11</w:t>
            </w:r>
          </w:p>
        </w:tc>
        <w:tc>
          <w:tcPr>
            <w:tcW w:w="1058" w:type="dxa"/>
            <w:vAlign w:val="center"/>
          </w:tcPr>
          <w:p w14:paraId="7DC2A39A" w14:textId="77777777" w:rsidR="002D0AE7" w:rsidRDefault="00333EBB">
            <w:pPr>
              <w:jc w:val="right"/>
              <w:rPr>
                <w:rFonts w:ascii="Arial Narrow" w:hAnsi="Arial Narrow"/>
                <w:sz w:val="15"/>
                <w:szCs w:val="15"/>
              </w:rPr>
            </w:pPr>
            <w:r>
              <w:rPr>
                <w:rFonts w:ascii="Arial Narrow" w:hAnsi="Arial Narrow"/>
                <w:sz w:val="15"/>
                <w:szCs w:val="15"/>
              </w:rPr>
              <w:t>1,893,155.95</w:t>
            </w:r>
          </w:p>
        </w:tc>
        <w:tc>
          <w:tcPr>
            <w:tcW w:w="1210" w:type="dxa"/>
            <w:vAlign w:val="center"/>
          </w:tcPr>
          <w:p w14:paraId="2F0B4C1F" w14:textId="77777777" w:rsidR="002D0AE7" w:rsidRDefault="00333EBB">
            <w:pPr>
              <w:jc w:val="right"/>
              <w:rPr>
                <w:rFonts w:ascii="Arial Narrow" w:hAnsi="Arial Narrow"/>
                <w:sz w:val="15"/>
                <w:szCs w:val="15"/>
              </w:rPr>
            </w:pPr>
            <w:r>
              <w:rPr>
                <w:rFonts w:ascii="Arial Narrow" w:hAnsi="Arial Narrow"/>
                <w:sz w:val="15"/>
                <w:szCs w:val="15"/>
              </w:rPr>
              <w:t>7,226,323.22</w:t>
            </w:r>
          </w:p>
        </w:tc>
        <w:tc>
          <w:tcPr>
            <w:tcW w:w="1134" w:type="dxa"/>
            <w:vAlign w:val="center"/>
          </w:tcPr>
          <w:p w14:paraId="5F7420CB" w14:textId="77777777" w:rsidR="002D0AE7" w:rsidRDefault="00333EBB">
            <w:pPr>
              <w:jc w:val="right"/>
              <w:rPr>
                <w:rFonts w:ascii="Arial Narrow" w:hAnsi="Arial Narrow"/>
                <w:sz w:val="15"/>
                <w:szCs w:val="15"/>
              </w:rPr>
            </w:pPr>
            <w:r>
              <w:rPr>
                <w:rFonts w:ascii="Arial Narrow" w:hAnsi="Arial Narrow"/>
                <w:sz w:val="15"/>
                <w:szCs w:val="15"/>
              </w:rPr>
              <w:t>54,154,702.21</w:t>
            </w:r>
          </w:p>
        </w:tc>
        <w:tc>
          <w:tcPr>
            <w:tcW w:w="1275" w:type="dxa"/>
            <w:vAlign w:val="center"/>
          </w:tcPr>
          <w:p w14:paraId="051AFC4B" w14:textId="77777777" w:rsidR="002D0AE7" w:rsidRDefault="00333EBB">
            <w:pPr>
              <w:jc w:val="right"/>
              <w:rPr>
                <w:rFonts w:ascii="Arial Narrow" w:hAnsi="Arial Narrow"/>
                <w:sz w:val="15"/>
                <w:szCs w:val="15"/>
              </w:rPr>
            </w:pPr>
            <w:r>
              <w:rPr>
                <w:rFonts w:ascii="Arial Narrow" w:hAnsi="Arial Narrow"/>
                <w:sz w:val="15"/>
                <w:szCs w:val="15"/>
              </w:rPr>
              <w:t>68,087,176.99</w:t>
            </w:r>
          </w:p>
        </w:tc>
      </w:tr>
      <w:tr w:rsidR="002D0AE7" w14:paraId="41AA6C4D" w14:textId="77777777">
        <w:trPr>
          <w:trHeight w:val="20"/>
          <w:jc w:val="center"/>
        </w:trPr>
        <w:tc>
          <w:tcPr>
            <w:tcW w:w="3678" w:type="dxa"/>
          </w:tcPr>
          <w:p w14:paraId="71B3E284" w14:textId="77777777" w:rsidR="002D0AE7" w:rsidRDefault="00333EBB">
            <w:pPr>
              <w:rPr>
                <w:rFonts w:hint="eastAsia"/>
                <w:color w:val="000000" w:themeColor="text1"/>
                <w:sz w:val="18"/>
                <w:szCs w:val="18"/>
              </w:rPr>
            </w:pPr>
            <w:r>
              <w:rPr>
                <w:rFonts w:hint="eastAsia"/>
                <w:color w:val="000000" w:themeColor="text1"/>
                <w:sz w:val="18"/>
                <w:szCs w:val="18"/>
              </w:rPr>
              <w:t>（一）综合收益总额</w:t>
            </w:r>
          </w:p>
        </w:tc>
        <w:tc>
          <w:tcPr>
            <w:tcW w:w="1276" w:type="dxa"/>
            <w:tcBorders>
              <w:right w:val="single" w:sz="4" w:space="0" w:color="auto"/>
            </w:tcBorders>
            <w:vAlign w:val="center"/>
          </w:tcPr>
          <w:p w14:paraId="1D05D4F8"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03C8010B"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2ADCB965"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tcBorders>
            <w:vAlign w:val="center"/>
          </w:tcPr>
          <w:p w14:paraId="70C12C95"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3DD8489D"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2D668BDF"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5210C5DF" w14:textId="77777777" w:rsidR="002D0AE7" w:rsidRDefault="00333EBB">
            <w:pPr>
              <w:jc w:val="right"/>
              <w:rPr>
                <w:rFonts w:ascii="Arial Narrow" w:hAnsi="Arial Narrow"/>
                <w:sz w:val="15"/>
                <w:szCs w:val="15"/>
              </w:rPr>
            </w:pPr>
            <w:r>
              <w:rPr>
                <w:rFonts w:ascii="Arial Narrow" w:hAnsi="Arial Narrow"/>
                <w:sz w:val="15"/>
                <w:szCs w:val="15"/>
              </w:rPr>
              <w:t>5,067,451.11</w:t>
            </w:r>
          </w:p>
        </w:tc>
        <w:tc>
          <w:tcPr>
            <w:tcW w:w="1058" w:type="dxa"/>
            <w:vAlign w:val="center"/>
          </w:tcPr>
          <w:p w14:paraId="6883F060" w14:textId="77777777" w:rsidR="002D0AE7" w:rsidRDefault="00333EBB">
            <w:pPr>
              <w:jc w:val="right"/>
              <w:rPr>
                <w:rFonts w:ascii="Arial Narrow" w:hAnsi="Arial Narrow"/>
                <w:sz w:val="15"/>
                <w:szCs w:val="15"/>
              </w:rPr>
            </w:pPr>
            <w:r>
              <w:rPr>
                <w:rFonts w:ascii="Arial Narrow" w:hAnsi="Arial Narrow"/>
                <w:sz w:val="15"/>
                <w:szCs w:val="15"/>
              </w:rPr>
              <w:t>0.00</w:t>
            </w:r>
          </w:p>
        </w:tc>
        <w:tc>
          <w:tcPr>
            <w:tcW w:w="1210" w:type="dxa"/>
            <w:vAlign w:val="center"/>
          </w:tcPr>
          <w:p w14:paraId="28A97016"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073DD456" w14:textId="77777777" w:rsidR="002D0AE7" w:rsidRDefault="00333EBB">
            <w:pPr>
              <w:jc w:val="right"/>
              <w:rPr>
                <w:rFonts w:ascii="Arial Narrow" w:hAnsi="Arial Narrow"/>
                <w:sz w:val="15"/>
                <w:szCs w:val="15"/>
              </w:rPr>
            </w:pPr>
            <w:r>
              <w:rPr>
                <w:rFonts w:ascii="Arial Narrow" w:hAnsi="Arial Narrow"/>
                <w:sz w:val="15"/>
                <w:szCs w:val="15"/>
              </w:rPr>
              <w:t>72,263,232.23</w:t>
            </w:r>
          </w:p>
        </w:tc>
        <w:tc>
          <w:tcPr>
            <w:tcW w:w="1275" w:type="dxa"/>
            <w:vAlign w:val="center"/>
          </w:tcPr>
          <w:p w14:paraId="6A07A0A3" w14:textId="77777777" w:rsidR="002D0AE7" w:rsidRDefault="00333EBB">
            <w:pPr>
              <w:jc w:val="right"/>
              <w:rPr>
                <w:rFonts w:ascii="Arial Narrow" w:hAnsi="Arial Narrow"/>
                <w:sz w:val="15"/>
                <w:szCs w:val="15"/>
              </w:rPr>
            </w:pPr>
            <w:r>
              <w:rPr>
                <w:rFonts w:ascii="Arial Narrow" w:hAnsi="Arial Narrow"/>
                <w:sz w:val="15"/>
                <w:szCs w:val="15"/>
              </w:rPr>
              <w:t>77,330,683.34</w:t>
            </w:r>
          </w:p>
        </w:tc>
      </w:tr>
      <w:tr w:rsidR="002D0AE7" w14:paraId="1D48D3C4" w14:textId="77777777">
        <w:trPr>
          <w:trHeight w:val="20"/>
          <w:jc w:val="center"/>
        </w:trPr>
        <w:tc>
          <w:tcPr>
            <w:tcW w:w="3678" w:type="dxa"/>
          </w:tcPr>
          <w:p w14:paraId="42098CB5" w14:textId="77777777" w:rsidR="002D0AE7" w:rsidRDefault="00333EBB">
            <w:pPr>
              <w:rPr>
                <w:rFonts w:hint="eastAsia"/>
                <w:color w:val="000000" w:themeColor="text1"/>
                <w:sz w:val="18"/>
                <w:szCs w:val="18"/>
              </w:rPr>
            </w:pPr>
            <w:r>
              <w:rPr>
                <w:color w:val="000000" w:themeColor="text1"/>
                <w:sz w:val="18"/>
                <w:szCs w:val="18"/>
              </w:rPr>
              <w:t>（</w:t>
            </w:r>
            <w:r>
              <w:rPr>
                <w:rFonts w:hint="eastAsia"/>
                <w:color w:val="000000" w:themeColor="text1"/>
                <w:sz w:val="18"/>
                <w:szCs w:val="18"/>
              </w:rPr>
              <w:t>二</w:t>
            </w:r>
            <w:r>
              <w:rPr>
                <w:color w:val="000000" w:themeColor="text1"/>
                <w:sz w:val="18"/>
                <w:szCs w:val="18"/>
              </w:rPr>
              <w:t>）所有者投入和减少资本</w:t>
            </w:r>
          </w:p>
        </w:tc>
        <w:tc>
          <w:tcPr>
            <w:tcW w:w="1276" w:type="dxa"/>
            <w:tcBorders>
              <w:right w:val="single" w:sz="4" w:space="0" w:color="auto"/>
            </w:tcBorders>
            <w:vAlign w:val="center"/>
          </w:tcPr>
          <w:p w14:paraId="0367C137" w14:textId="77777777" w:rsidR="002D0AE7" w:rsidRDefault="00333EBB">
            <w:pPr>
              <w:jc w:val="right"/>
              <w:rPr>
                <w:rFonts w:ascii="Arial Narrow" w:hAnsi="Arial Narrow"/>
                <w:sz w:val="15"/>
                <w:szCs w:val="15"/>
              </w:rPr>
            </w:pPr>
            <w:r>
              <w:rPr>
                <w:rFonts w:ascii="Arial Narrow" w:hAnsi="Arial Narrow"/>
                <w:sz w:val="15"/>
                <w:szCs w:val="15"/>
              </w:rPr>
              <w:t>-2,430,000.00</w:t>
            </w:r>
          </w:p>
        </w:tc>
        <w:tc>
          <w:tcPr>
            <w:tcW w:w="567" w:type="dxa"/>
            <w:tcBorders>
              <w:left w:val="single" w:sz="4" w:space="0" w:color="auto"/>
              <w:right w:val="single" w:sz="4" w:space="0" w:color="auto"/>
            </w:tcBorders>
            <w:vAlign w:val="center"/>
          </w:tcPr>
          <w:p w14:paraId="3E6C1D11"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54A3F6F5"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tcBorders>
            <w:vAlign w:val="center"/>
          </w:tcPr>
          <w:p w14:paraId="3145F06B"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6325036C" w14:textId="77777777" w:rsidR="002D0AE7" w:rsidRDefault="00333EBB">
            <w:pPr>
              <w:jc w:val="right"/>
              <w:rPr>
                <w:rFonts w:ascii="Arial Narrow" w:hAnsi="Arial Narrow"/>
                <w:sz w:val="15"/>
                <w:szCs w:val="15"/>
              </w:rPr>
            </w:pPr>
            <w:r>
              <w:rPr>
                <w:rFonts w:ascii="Arial Narrow" w:hAnsi="Arial Narrow"/>
                <w:sz w:val="15"/>
                <w:szCs w:val="15"/>
              </w:rPr>
              <w:t>-3,437,755.50</w:t>
            </w:r>
          </w:p>
        </w:tc>
        <w:tc>
          <w:tcPr>
            <w:tcW w:w="1134" w:type="dxa"/>
            <w:vAlign w:val="center"/>
          </w:tcPr>
          <w:p w14:paraId="1E013C2D" w14:textId="77777777" w:rsidR="002D0AE7" w:rsidRDefault="00333EBB">
            <w:pPr>
              <w:jc w:val="right"/>
              <w:rPr>
                <w:rFonts w:ascii="Arial Narrow" w:hAnsi="Arial Narrow"/>
                <w:sz w:val="15"/>
                <w:szCs w:val="15"/>
              </w:rPr>
            </w:pPr>
            <w:r>
              <w:rPr>
                <w:rFonts w:ascii="Arial Narrow" w:hAnsi="Arial Narrow"/>
                <w:sz w:val="15"/>
                <w:szCs w:val="15"/>
              </w:rPr>
              <w:t>-5,613,300.00</w:t>
            </w:r>
          </w:p>
        </w:tc>
        <w:tc>
          <w:tcPr>
            <w:tcW w:w="1134" w:type="dxa"/>
            <w:vAlign w:val="center"/>
          </w:tcPr>
          <w:p w14:paraId="306E3A14" w14:textId="77777777" w:rsidR="002D0AE7" w:rsidRDefault="00333EBB">
            <w:pPr>
              <w:jc w:val="right"/>
              <w:rPr>
                <w:rFonts w:ascii="Arial Narrow" w:hAnsi="Arial Narrow"/>
                <w:sz w:val="15"/>
                <w:szCs w:val="15"/>
              </w:rPr>
            </w:pPr>
            <w:r>
              <w:rPr>
                <w:rFonts w:ascii="Arial Narrow" w:hAnsi="Arial Narrow"/>
                <w:sz w:val="15"/>
                <w:szCs w:val="15"/>
              </w:rPr>
              <w:t>0.00</w:t>
            </w:r>
          </w:p>
        </w:tc>
        <w:tc>
          <w:tcPr>
            <w:tcW w:w="1058" w:type="dxa"/>
            <w:vAlign w:val="center"/>
          </w:tcPr>
          <w:p w14:paraId="0FB6DFCB" w14:textId="77777777" w:rsidR="002D0AE7" w:rsidRDefault="00333EBB">
            <w:pPr>
              <w:jc w:val="right"/>
              <w:rPr>
                <w:rFonts w:ascii="Arial Narrow" w:hAnsi="Arial Narrow"/>
                <w:sz w:val="15"/>
                <w:szCs w:val="15"/>
              </w:rPr>
            </w:pPr>
            <w:r>
              <w:rPr>
                <w:rFonts w:ascii="Arial Narrow" w:hAnsi="Arial Narrow"/>
                <w:sz w:val="15"/>
                <w:szCs w:val="15"/>
              </w:rPr>
              <w:t>0.00</w:t>
            </w:r>
          </w:p>
        </w:tc>
        <w:tc>
          <w:tcPr>
            <w:tcW w:w="1210" w:type="dxa"/>
            <w:vAlign w:val="center"/>
          </w:tcPr>
          <w:p w14:paraId="75B43001"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1CA29E96" w14:textId="77777777" w:rsidR="002D0AE7" w:rsidRDefault="00333EBB">
            <w:pPr>
              <w:jc w:val="right"/>
              <w:rPr>
                <w:rFonts w:ascii="Arial Narrow" w:hAnsi="Arial Narrow"/>
                <w:sz w:val="15"/>
                <w:szCs w:val="15"/>
              </w:rPr>
            </w:pPr>
            <w:r>
              <w:rPr>
                <w:rFonts w:ascii="Arial Narrow" w:hAnsi="Arial Narrow"/>
                <w:sz w:val="15"/>
                <w:szCs w:val="15"/>
              </w:rPr>
              <w:t>0.00</w:t>
            </w:r>
          </w:p>
        </w:tc>
        <w:tc>
          <w:tcPr>
            <w:tcW w:w="1275" w:type="dxa"/>
            <w:vAlign w:val="center"/>
          </w:tcPr>
          <w:p w14:paraId="25AA9CA9" w14:textId="77777777" w:rsidR="002D0AE7" w:rsidRDefault="00333EBB">
            <w:pPr>
              <w:jc w:val="right"/>
              <w:rPr>
                <w:rFonts w:ascii="Arial Narrow" w:hAnsi="Arial Narrow"/>
                <w:sz w:val="15"/>
                <w:szCs w:val="15"/>
              </w:rPr>
            </w:pPr>
            <w:r>
              <w:rPr>
                <w:rFonts w:ascii="Arial Narrow" w:hAnsi="Arial Narrow"/>
                <w:sz w:val="15"/>
                <w:szCs w:val="15"/>
              </w:rPr>
              <w:t>-254,455.50</w:t>
            </w:r>
          </w:p>
        </w:tc>
      </w:tr>
      <w:tr w:rsidR="002D0AE7" w14:paraId="369FC7AC" w14:textId="77777777">
        <w:trPr>
          <w:trHeight w:val="20"/>
          <w:jc w:val="center"/>
        </w:trPr>
        <w:tc>
          <w:tcPr>
            <w:tcW w:w="3678" w:type="dxa"/>
          </w:tcPr>
          <w:p w14:paraId="0DF0CDEA" w14:textId="77777777" w:rsidR="002D0AE7" w:rsidRDefault="00333EBB">
            <w:pPr>
              <w:rPr>
                <w:rFonts w:hint="eastAsia"/>
                <w:color w:val="000000" w:themeColor="text1"/>
                <w:sz w:val="18"/>
                <w:szCs w:val="18"/>
              </w:rPr>
            </w:pPr>
            <w:r>
              <w:rPr>
                <w:rFonts w:hint="eastAsia"/>
                <w:color w:val="000000" w:themeColor="text1"/>
                <w:sz w:val="18"/>
                <w:szCs w:val="18"/>
              </w:rPr>
              <w:t>1</w:t>
            </w:r>
            <w:r>
              <w:rPr>
                <w:rFonts w:hint="eastAsia"/>
                <w:color w:val="000000" w:themeColor="text1"/>
                <w:sz w:val="18"/>
                <w:szCs w:val="18"/>
              </w:rPr>
              <w:t>．所有者投入的普通股</w:t>
            </w:r>
          </w:p>
        </w:tc>
        <w:tc>
          <w:tcPr>
            <w:tcW w:w="1276" w:type="dxa"/>
            <w:tcBorders>
              <w:right w:val="single" w:sz="4" w:space="0" w:color="auto"/>
            </w:tcBorders>
            <w:vAlign w:val="center"/>
          </w:tcPr>
          <w:p w14:paraId="6A1836F6" w14:textId="77777777" w:rsidR="002D0AE7" w:rsidRDefault="00333EBB">
            <w:pPr>
              <w:jc w:val="right"/>
              <w:rPr>
                <w:rFonts w:ascii="Arial Narrow" w:hAnsi="Arial Narrow"/>
                <w:sz w:val="15"/>
                <w:szCs w:val="15"/>
              </w:rPr>
            </w:pPr>
            <w:r>
              <w:rPr>
                <w:rFonts w:ascii="Arial Narrow" w:hAnsi="Arial Narrow"/>
                <w:sz w:val="15"/>
                <w:szCs w:val="15"/>
              </w:rPr>
              <w:t>-2,430,000.00</w:t>
            </w:r>
          </w:p>
        </w:tc>
        <w:tc>
          <w:tcPr>
            <w:tcW w:w="567" w:type="dxa"/>
            <w:tcBorders>
              <w:left w:val="single" w:sz="4" w:space="0" w:color="auto"/>
              <w:right w:val="single" w:sz="4" w:space="0" w:color="auto"/>
            </w:tcBorders>
            <w:vAlign w:val="center"/>
          </w:tcPr>
          <w:p w14:paraId="3E017AF8"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59D762BF"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tcBorders>
            <w:vAlign w:val="center"/>
          </w:tcPr>
          <w:p w14:paraId="36F40D62"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4BB233D4" w14:textId="77777777" w:rsidR="002D0AE7" w:rsidRDefault="00333EBB">
            <w:pPr>
              <w:jc w:val="right"/>
              <w:rPr>
                <w:rFonts w:ascii="Arial Narrow" w:hAnsi="Arial Narrow"/>
                <w:sz w:val="15"/>
                <w:szCs w:val="15"/>
              </w:rPr>
            </w:pPr>
            <w:r>
              <w:rPr>
                <w:rFonts w:ascii="Arial Narrow" w:hAnsi="Arial Narrow"/>
                <w:sz w:val="15"/>
                <w:szCs w:val="15"/>
              </w:rPr>
              <w:t>-3,101,880.00</w:t>
            </w:r>
          </w:p>
        </w:tc>
        <w:tc>
          <w:tcPr>
            <w:tcW w:w="1134" w:type="dxa"/>
            <w:vAlign w:val="center"/>
          </w:tcPr>
          <w:p w14:paraId="0E7B33F2" w14:textId="77777777" w:rsidR="002D0AE7" w:rsidRDefault="00333EBB">
            <w:pPr>
              <w:jc w:val="right"/>
              <w:rPr>
                <w:rFonts w:ascii="Arial Narrow" w:hAnsi="Arial Narrow"/>
                <w:sz w:val="15"/>
                <w:szCs w:val="15"/>
              </w:rPr>
            </w:pPr>
            <w:r>
              <w:rPr>
                <w:rFonts w:ascii="Arial Narrow" w:hAnsi="Arial Narrow"/>
                <w:sz w:val="15"/>
                <w:szCs w:val="15"/>
              </w:rPr>
              <w:t>-5,613,300.00</w:t>
            </w:r>
          </w:p>
        </w:tc>
        <w:tc>
          <w:tcPr>
            <w:tcW w:w="1134" w:type="dxa"/>
            <w:vAlign w:val="center"/>
          </w:tcPr>
          <w:p w14:paraId="27847BEB" w14:textId="77777777" w:rsidR="002D0AE7" w:rsidRDefault="00333EBB">
            <w:pPr>
              <w:jc w:val="right"/>
              <w:rPr>
                <w:rFonts w:ascii="Arial Narrow" w:hAnsi="Arial Narrow"/>
                <w:sz w:val="15"/>
                <w:szCs w:val="15"/>
              </w:rPr>
            </w:pPr>
            <w:r>
              <w:rPr>
                <w:rFonts w:ascii="Arial Narrow" w:hAnsi="Arial Narrow"/>
                <w:sz w:val="15"/>
                <w:szCs w:val="15"/>
              </w:rPr>
              <w:t>0.00</w:t>
            </w:r>
          </w:p>
        </w:tc>
        <w:tc>
          <w:tcPr>
            <w:tcW w:w="1058" w:type="dxa"/>
            <w:vAlign w:val="center"/>
          </w:tcPr>
          <w:p w14:paraId="2092B845" w14:textId="77777777" w:rsidR="002D0AE7" w:rsidRDefault="00333EBB">
            <w:pPr>
              <w:jc w:val="right"/>
              <w:rPr>
                <w:rFonts w:ascii="Arial Narrow" w:hAnsi="Arial Narrow"/>
                <w:sz w:val="15"/>
                <w:szCs w:val="15"/>
              </w:rPr>
            </w:pPr>
            <w:r>
              <w:rPr>
                <w:rFonts w:ascii="Arial Narrow" w:hAnsi="Arial Narrow"/>
                <w:sz w:val="15"/>
                <w:szCs w:val="15"/>
              </w:rPr>
              <w:t>0.00</w:t>
            </w:r>
          </w:p>
        </w:tc>
        <w:tc>
          <w:tcPr>
            <w:tcW w:w="1210" w:type="dxa"/>
            <w:vAlign w:val="center"/>
          </w:tcPr>
          <w:p w14:paraId="37B3F700"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0E177CDE" w14:textId="77777777" w:rsidR="002D0AE7" w:rsidRDefault="00333EBB">
            <w:pPr>
              <w:jc w:val="right"/>
              <w:rPr>
                <w:rFonts w:ascii="Arial Narrow" w:hAnsi="Arial Narrow"/>
                <w:sz w:val="15"/>
                <w:szCs w:val="15"/>
              </w:rPr>
            </w:pPr>
            <w:r>
              <w:rPr>
                <w:rFonts w:ascii="Arial Narrow" w:hAnsi="Arial Narrow"/>
                <w:sz w:val="15"/>
                <w:szCs w:val="15"/>
              </w:rPr>
              <w:t>0.00</w:t>
            </w:r>
          </w:p>
        </w:tc>
        <w:tc>
          <w:tcPr>
            <w:tcW w:w="1275" w:type="dxa"/>
            <w:vAlign w:val="center"/>
          </w:tcPr>
          <w:p w14:paraId="361DF72A" w14:textId="77777777" w:rsidR="002D0AE7" w:rsidRDefault="00333EBB">
            <w:pPr>
              <w:jc w:val="right"/>
              <w:rPr>
                <w:rFonts w:ascii="Arial Narrow" w:hAnsi="Arial Narrow"/>
                <w:sz w:val="15"/>
                <w:szCs w:val="15"/>
              </w:rPr>
            </w:pPr>
            <w:r>
              <w:rPr>
                <w:rFonts w:ascii="Arial Narrow" w:hAnsi="Arial Narrow"/>
                <w:sz w:val="15"/>
                <w:szCs w:val="15"/>
              </w:rPr>
              <w:t>81,420.00</w:t>
            </w:r>
          </w:p>
        </w:tc>
      </w:tr>
      <w:tr w:rsidR="002D0AE7" w14:paraId="149F2434" w14:textId="77777777">
        <w:trPr>
          <w:trHeight w:val="20"/>
          <w:jc w:val="center"/>
        </w:trPr>
        <w:tc>
          <w:tcPr>
            <w:tcW w:w="3678" w:type="dxa"/>
          </w:tcPr>
          <w:p w14:paraId="2ABBDAEA" w14:textId="77777777" w:rsidR="002D0AE7" w:rsidRDefault="00333EBB">
            <w:pPr>
              <w:rPr>
                <w:rFonts w:hint="eastAsia"/>
                <w:color w:val="000000" w:themeColor="text1"/>
                <w:sz w:val="18"/>
                <w:szCs w:val="18"/>
              </w:rPr>
            </w:pPr>
            <w:r>
              <w:rPr>
                <w:rFonts w:hint="eastAsia"/>
                <w:color w:val="000000" w:themeColor="text1"/>
                <w:sz w:val="18"/>
                <w:szCs w:val="18"/>
              </w:rPr>
              <w:t>2</w:t>
            </w:r>
            <w:r>
              <w:rPr>
                <w:rFonts w:hint="eastAsia"/>
                <w:color w:val="000000" w:themeColor="text1"/>
                <w:sz w:val="18"/>
                <w:szCs w:val="18"/>
              </w:rPr>
              <w:t>．其他权益工具持有者投入资本</w:t>
            </w:r>
          </w:p>
        </w:tc>
        <w:tc>
          <w:tcPr>
            <w:tcW w:w="1276" w:type="dxa"/>
            <w:tcBorders>
              <w:right w:val="single" w:sz="4" w:space="0" w:color="auto"/>
            </w:tcBorders>
            <w:vAlign w:val="center"/>
          </w:tcPr>
          <w:p w14:paraId="03CA1D27" w14:textId="77777777" w:rsidR="002D0AE7" w:rsidRDefault="002D0AE7">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7BCD01FC" w14:textId="77777777" w:rsidR="002D0AE7" w:rsidRDefault="002D0AE7">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02D20FD2" w14:textId="77777777" w:rsidR="002D0AE7" w:rsidRDefault="002D0AE7">
            <w:pPr>
              <w:jc w:val="right"/>
              <w:rPr>
                <w:rFonts w:ascii="Arial Narrow" w:hAnsi="Arial Narrow"/>
                <w:sz w:val="15"/>
                <w:szCs w:val="15"/>
              </w:rPr>
            </w:pPr>
          </w:p>
        </w:tc>
        <w:tc>
          <w:tcPr>
            <w:tcW w:w="567" w:type="dxa"/>
            <w:tcBorders>
              <w:left w:val="single" w:sz="4" w:space="0" w:color="auto"/>
            </w:tcBorders>
            <w:vAlign w:val="center"/>
          </w:tcPr>
          <w:p w14:paraId="4FB594B9" w14:textId="77777777" w:rsidR="002D0AE7" w:rsidRDefault="002D0AE7">
            <w:pPr>
              <w:jc w:val="right"/>
              <w:rPr>
                <w:rFonts w:ascii="Arial Narrow" w:hAnsi="Arial Narrow"/>
                <w:sz w:val="15"/>
                <w:szCs w:val="15"/>
              </w:rPr>
            </w:pPr>
          </w:p>
        </w:tc>
        <w:tc>
          <w:tcPr>
            <w:tcW w:w="1134" w:type="dxa"/>
            <w:vAlign w:val="center"/>
          </w:tcPr>
          <w:p w14:paraId="04176836" w14:textId="77777777" w:rsidR="002D0AE7" w:rsidRDefault="002D0AE7">
            <w:pPr>
              <w:jc w:val="right"/>
              <w:rPr>
                <w:rFonts w:ascii="Arial Narrow" w:hAnsi="Arial Narrow"/>
                <w:sz w:val="15"/>
                <w:szCs w:val="15"/>
              </w:rPr>
            </w:pPr>
          </w:p>
        </w:tc>
        <w:tc>
          <w:tcPr>
            <w:tcW w:w="1134" w:type="dxa"/>
            <w:vAlign w:val="center"/>
          </w:tcPr>
          <w:p w14:paraId="1105926C" w14:textId="77777777" w:rsidR="002D0AE7" w:rsidRDefault="002D0AE7">
            <w:pPr>
              <w:jc w:val="right"/>
              <w:rPr>
                <w:rFonts w:ascii="Arial Narrow" w:hAnsi="Arial Narrow"/>
                <w:sz w:val="15"/>
                <w:szCs w:val="15"/>
              </w:rPr>
            </w:pPr>
          </w:p>
        </w:tc>
        <w:tc>
          <w:tcPr>
            <w:tcW w:w="1134" w:type="dxa"/>
            <w:vAlign w:val="center"/>
          </w:tcPr>
          <w:p w14:paraId="1DCEF28F" w14:textId="77777777" w:rsidR="002D0AE7" w:rsidRDefault="002D0AE7">
            <w:pPr>
              <w:jc w:val="right"/>
              <w:rPr>
                <w:rFonts w:ascii="Arial Narrow" w:hAnsi="Arial Narrow"/>
                <w:sz w:val="15"/>
                <w:szCs w:val="15"/>
              </w:rPr>
            </w:pPr>
          </w:p>
        </w:tc>
        <w:tc>
          <w:tcPr>
            <w:tcW w:w="1058" w:type="dxa"/>
            <w:vAlign w:val="center"/>
          </w:tcPr>
          <w:p w14:paraId="273C09B4" w14:textId="77777777" w:rsidR="002D0AE7" w:rsidRDefault="002D0AE7">
            <w:pPr>
              <w:jc w:val="right"/>
              <w:rPr>
                <w:rFonts w:ascii="Arial Narrow" w:hAnsi="Arial Narrow"/>
                <w:sz w:val="15"/>
                <w:szCs w:val="15"/>
              </w:rPr>
            </w:pPr>
          </w:p>
        </w:tc>
        <w:tc>
          <w:tcPr>
            <w:tcW w:w="1210" w:type="dxa"/>
            <w:vAlign w:val="center"/>
          </w:tcPr>
          <w:p w14:paraId="454D093E" w14:textId="77777777" w:rsidR="002D0AE7" w:rsidRDefault="002D0AE7">
            <w:pPr>
              <w:jc w:val="right"/>
              <w:rPr>
                <w:rFonts w:ascii="Arial Narrow" w:hAnsi="Arial Narrow"/>
                <w:sz w:val="15"/>
                <w:szCs w:val="15"/>
              </w:rPr>
            </w:pPr>
          </w:p>
        </w:tc>
        <w:tc>
          <w:tcPr>
            <w:tcW w:w="1134" w:type="dxa"/>
            <w:vAlign w:val="center"/>
          </w:tcPr>
          <w:p w14:paraId="37687AF9" w14:textId="77777777" w:rsidR="002D0AE7" w:rsidRDefault="002D0AE7">
            <w:pPr>
              <w:jc w:val="right"/>
              <w:rPr>
                <w:rFonts w:ascii="Arial Narrow" w:hAnsi="Arial Narrow"/>
                <w:sz w:val="15"/>
                <w:szCs w:val="15"/>
              </w:rPr>
            </w:pPr>
          </w:p>
        </w:tc>
        <w:tc>
          <w:tcPr>
            <w:tcW w:w="1275" w:type="dxa"/>
            <w:vAlign w:val="center"/>
          </w:tcPr>
          <w:p w14:paraId="3E426811" w14:textId="77777777" w:rsidR="002D0AE7" w:rsidRDefault="002D0AE7">
            <w:pPr>
              <w:jc w:val="right"/>
              <w:rPr>
                <w:rFonts w:ascii="Arial Narrow" w:hAnsi="Arial Narrow"/>
                <w:sz w:val="15"/>
                <w:szCs w:val="15"/>
              </w:rPr>
            </w:pPr>
          </w:p>
        </w:tc>
      </w:tr>
      <w:tr w:rsidR="002D0AE7" w14:paraId="67A3A8C3" w14:textId="77777777">
        <w:trPr>
          <w:trHeight w:val="20"/>
          <w:jc w:val="center"/>
        </w:trPr>
        <w:tc>
          <w:tcPr>
            <w:tcW w:w="3678" w:type="dxa"/>
          </w:tcPr>
          <w:p w14:paraId="383C9211" w14:textId="77777777" w:rsidR="002D0AE7" w:rsidRDefault="00333EBB">
            <w:pPr>
              <w:rPr>
                <w:rFonts w:hint="eastAsia"/>
                <w:color w:val="000000" w:themeColor="text1"/>
                <w:sz w:val="18"/>
                <w:szCs w:val="18"/>
              </w:rPr>
            </w:pPr>
            <w:r>
              <w:rPr>
                <w:rFonts w:hint="eastAsia"/>
                <w:color w:val="000000" w:themeColor="text1"/>
                <w:sz w:val="18"/>
                <w:szCs w:val="18"/>
              </w:rPr>
              <w:t>3</w:t>
            </w:r>
            <w:r>
              <w:rPr>
                <w:color w:val="000000" w:themeColor="text1"/>
                <w:sz w:val="18"/>
                <w:szCs w:val="18"/>
              </w:rPr>
              <w:t>．股份支付计入所有者权益的金额</w:t>
            </w:r>
          </w:p>
        </w:tc>
        <w:tc>
          <w:tcPr>
            <w:tcW w:w="1276" w:type="dxa"/>
            <w:tcBorders>
              <w:right w:val="single" w:sz="4" w:space="0" w:color="auto"/>
            </w:tcBorders>
            <w:vAlign w:val="center"/>
          </w:tcPr>
          <w:p w14:paraId="06BC7257"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067B371F"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3FFE46A0"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tcBorders>
            <w:vAlign w:val="center"/>
          </w:tcPr>
          <w:p w14:paraId="18E841F7"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21377268" w14:textId="77777777" w:rsidR="002D0AE7" w:rsidRDefault="00333EBB">
            <w:pPr>
              <w:jc w:val="right"/>
              <w:rPr>
                <w:rFonts w:ascii="Arial Narrow" w:hAnsi="Arial Narrow"/>
                <w:sz w:val="15"/>
                <w:szCs w:val="15"/>
              </w:rPr>
            </w:pPr>
            <w:r>
              <w:rPr>
                <w:rFonts w:ascii="Arial Narrow" w:hAnsi="Arial Narrow"/>
                <w:sz w:val="15"/>
                <w:szCs w:val="15"/>
              </w:rPr>
              <w:t>-335,875.50</w:t>
            </w:r>
          </w:p>
        </w:tc>
        <w:tc>
          <w:tcPr>
            <w:tcW w:w="1134" w:type="dxa"/>
            <w:vAlign w:val="center"/>
          </w:tcPr>
          <w:p w14:paraId="672CB2CE"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38D47D6D" w14:textId="77777777" w:rsidR="002D0AE7" w:rsidRDefault="00333EBB">
            <w:pPr>
              <w:jc w:val="right"/>
              <w:rPr>
                <w:rFonts w:ascii="Arial Narrow" w:hAnsi="Arial Narrow"/>
                <w:sz w:val="15"/>
                <w:szCs w:val="15"/>
              </w:rPr>
            </w:pPr>
            <w:r>
              <w:rPr>
                <w:rFonts w:ascii="Arial Narrow" w:hAnsi="Arial Narrow"/>
                <w:sz w:val="15"/>
                <w:szCs w:val="15"/>
              </w:rPr>
              <w:t>0.00</w:t>
            </w:r>
          </w:p>
        </w:tc>
        <w:tc>
          <w:tcPr>
            <w:tcW w:w="1058" w:type="dxa"/>
            <w:vAlign w:val="center"/>
          </w:tcPr>
          <w:p w14:paraId="4ADC8A5A" w14:textId="77777777" w:rsidR="002D0AE7" w:rsidRDefault="00333EBB">
            <w:pPr>
              <w:jc w:val="right"/>
              <w:rPr>
                <w:rFonts w:ascii="Arial Narrow" w:hAnsi="Arial Narrow"/>
                <w:sz w:val="15"/>
                <w:szCs w:val="15"/>
              </w:rPr>
            </w:pPr>
            <w:r>
              <w:rPr>
                <w:rFonts w:ascii="Arial Narrow" w:hAnsi="Arial Narrow"/>
                <w:sz w:val="15"/>
                <w:szCs w:val="15"/>
              </w:rPr>
              <w:t>0.00</w:t>
            </w:r>
          </w:p>
        </w:tc>
        <w:tc>
          <w:tcPr>
            <w:tcW w:w="1210" w:type="dxa"/>
            <w:vAlign w:val="center"/>
          </w:tcPr>
          <w:p w14:paraId="09B46AAD"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696D295D" w14:textId="77777777" w:rsidR="002D0AE7" w:rsidRDefault="00333EBB">
            <w:pPr>
              <w:jc w:val="right"/>
              <w:rPr>
                <w:rFonts w:ascii="Arial Narrow" w:hAnsi="Arial Narrow"/>
                <w:sz w:val="15"/>
                <w:szCs w:val="15"/>
              </w:rPr>
            </w:pPr>
            <w:r>
              <w:rPr>
                <w:rFonts w:ascii="Arial Narrow" w:hAnsi="Arial Narrow"/>
                <w:sz w:val="15"/>
                <w:szCs w:val="15"/>
              </w:rPr>
              <w:t>0.00</w:t>
            </w:r>
          </w:p>
        </w:tc>
        <w:tc>
          <w:tcPr>
            <w:tcW w:w="1275" w:type="dxa"/>
            <w:vAlign w:val="center"/>
          </w:tcPr>
          <w:p w14:paraId="1BD8CFAC" w14:textId="77777777" w:rsidR="002D0AE7" w:rsidRDefault="00333EBB">
            <w:pPr>
              <w:jc w:val="right"/>
              <w:rPr>
                <w:rFonts w:ascii="Arial Narrow" w:hAnsi="Arial Narrow"/>
                <w:sz w:val="15"/>
                <w:szCs w:val="15"/>
              </w:rPr>
            </w:pPr>
            <w:r>
              <w:rPr>
                <w:rFonts w:ascii="Arial Narrow" w:hAnsi="Arial Narrow"/>
                <w:sz w:val="15"/>
                <w:szCs w:val="15"/>
              </w:rPr>
              <w:t>-335,875.50</w:t>
            </w:r>
          </w:p>
        </w:tc>
      </w:tr>
      <w:tr w:rsidR="002D0AE7" w14:paraId="3642B8D7" w14:textId="77777777">
        <w:trPr>
          <w:trHeight w:val="20"/>
          <w:jc w:val="center"/>
        </w:trPr>
        <w:tc>
          <w:tcPr>
            <w:tcW w:w="3678" w:type="dxa"/>
          </w:tcPr>
          <w:p w14:paraId="0C8E3249" w14:textId="77777777" w:rsidR="002D0AE7" w:rsidRDefault="00333EBB">
            <w:pPr>
              <w:rPr>
                <w:rFonts w:hint="eastAsia"/>
                <w:color w:val="000000" w:themeColor="text1"/>
                <w:sz w:val="18"/>
                <w:szCs w:val="18"/>
              </w:rPr>
            </w:pPr>
            <w:r>
              <w:rPr>
                <w:rFonts w:hint="eastAsia"/>
                <w:color w:val="000000" w:themeColor="text1"/>
                <w:sz w:val="18"/>
                <w:szCs w:val="18"/>
              </w:rPr>
              <w:lastRenderedPageBreak/>
              <w:t>4</w:t>
            </w:r>
            <w:r>
              <w:rPr>
                <w:color w:val="000000" w:themeColor="text1"/>
                <w:sz w:val="18"/>
                <w:szCs w:val="18"/>
              </w:rPr>
              <w:t>．其他</w:t>
            </w:r>
          </w:p>
        </w:tc>
        <w:tc>
          <w:tcPr>
            <w:tcW w:w="1276" w:type="dxa"/>
            <w:tcBorders>
              <w:right w:val="single" w:sz="4" w:space="0" w:color="auto"/>
            </w:tcBorders>
            <w:vAlign w:val="center"/>
          </w:tcPr>
          <w:p w14:paraId="462BCE25" w14:textId="77777777" w:rsidR="002D0AE7" w:rsidRDefault="002D0AE7">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1990410D" w14:textId="77777777" w:rsidR="002D0AE7" w:rsidRDefault="002D0AE7">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4E1C60DF" w14:textId="77777777" w:rsidR="002D0AE7" w:rsidRDefault="002D0AE7">
            <w:pPr>
              <w:jc w:val="right"/>
              <w:rPr>
                <w:rFonts w:ascii="Arial Narrow" w:hAnsi="Arial Narrow"/>
                <w:sz w:val="15"/>
                <w:szCs w:val="15"/>
              </w:rPr>
            </w:pPr>
          </w:p>
        </w:tc>
        <w:tc>
          <w:tcPr>
            <w:tcW w:w="567" w:type="dxa"/>
            <w:tcBorders>
              <w:left w:val="single" w:sz="4" w:space="0" w:color="auto"/>
            </w:tcBorders>
            <w:vAlign w:val="center"/>
          </w:tcPr>
          <w:p w14:paraId="31BD19FD" w14:textId="77777777" w:rsidR="002D0AE7" w:rsidRDefault="002D0AE7">
            <w:pPr>
              <w:jc w:val="right"/>
              <w:rPr>
                <w:rFonts w:ascii="Arial Narrow" w:hAnsi="Arial Narrow"/>
                <w:sz w:val="15"/>
                <w:szCs w:val="15"/>
              </w:rPr>
            </w:pPr>
          </w:p>
        </w:tc>
        <w:tc>
          <w:tcPr>
            <w:tcW w:w="1134" w:type="dxa"/>
            <w:vAlign w:val="center"/>
          </w:tcPr>
          <w:p w14:paraId="3E9AC39F" w14:textId="77777777" w:rsidR="002D0AE7" w:rsidRDefault="002D0AE7">
            <w:pPr>
              <w:jc w:val="right"/>
              <w:rPr>
                <w:rFonts w:ascii="Arial Narrow" w:hAnsi="Arial Narrow"/>
                <w:sz w:val="15"/>
                <w:szCs w:val="15"/>
              </w:rPr>
            </w:pPr>
          </w:p>
        </w:tc>
        <w:tc>
          <w:tcPr>
            <w:tcW w:w="1134" w:type="dxa"/>
            <w:vAlign w:val="center"/>
          </w:tcPr>
          <w:p w14:paraId="524F73E4" w14:textId="77777777" w:rsidR="002D0AE7" w:rsidRDefault="002D0AE7">
            <w:pPr>
              <w:jc w:val="right"/>
              <w:rPr>
                <w:rFonts w:ascii="Arial Narrow" w:hAnsi="Arial Narrow"/>
                <w:sz w:val="15"/>
                <w:szCs w:val="15"/>
              </w:rPr>
            </w:pPr>
          </w:p>
        </w:tc>
        <w:tc>
          <w:tcPr>
            <w:tcW w:w="1134" w:type="dxa"/>
            <w:vAlign w:val="center"/>
          </w:tcPr>
          <w:p w14:paraId="4D1DD675" w14:textId="77777777" w:rsidR="002D0AE7" w:rsidRDefault="002D0AE7">
            <w:pPr>
              <w:jc w:val="right"/>
              <w:rPr>
                <w:rFonts w:ascii="Arial Narrow" w:hAnsi="Arial Narrow"/>
                <w:sz w:val="15"/>
                <w:szCs w:val="15"/>
              </w:rPr>
            </w:pPr>
          </w:p>
        </w:tc>
        <w:tc>
          <w:tcPr>
            <w:tcW w:w="1058" w:type="dxa"/>
            <w:vAlign w:val="center"/>
          </w:tcPr>
          <w:p w14:paraId="0CB91E2C" w14:textId="77777777" w:rsidR="002D0AE7" w:rsidRDefault="002D0AE7">
            <w:pPr>
              <w:jc w:val="right"/>
              <w:rPr>
                <w:rFonts w:ascii="Arial Narrow" w:hAnsi="Arial Narrow"/>
                <w:sz w:val="15"/>
                <w:szCs w:val="15"/>
              </w:rPr>
            </w:pPr>
          </w:p>
        </w:tc>
        <w:tc>
          <w:tcPr>
            <w:tcW w:w="1210" w:type="dxa"/>
            <w:vAlign w:val="center"/>
          </w:tcPr>
          <w:p w14:paraId="34C74564" w14:textId="77777777" w:rsidR="002D0AE7" w:rsidRDefault="002D0AE7">
            <w:pPr>
              <w:jc w:val="right"/>
              <w:rPr>
                <w:rFonts w:ascii="Arial Narrow" w:hAnsi="Arial Narrow"/>
                <w:sz w:val="15"/>
                <w:szCs w:val="15"/>
              </w:rPr>
            </w:pPr>
          </w:p>
        </w:tc>
        <w:tc>
          <w:tcPr>
            <w:tcW w:w="1134" w:type="dxa"/>
            <w:vAlign w:val="center"/>
          </w:tcPr>
          <w:p w14:paraId="5BBDEB23" w14:textId="77777777" w:rsidR="002D0AE7" w:rsidRDefault="002D0AE7">
            <w:pPr>
              <w:jc w:val="right"/>
              <w:rPr>
                <w:rFonts w:ascii="Arial Narrow" w:hAnsi="Arial Narrow"/>
                <w:sz w:val="15"/>
                <w:szCs w:val="15"/>
              </w:rPr>
            </w:pPr>
          </w:p>
        </w:tc>
        <w:tc>
          <w:tcPr>
            <w:tcW w:w="1275" w:type="dxa"/>
            <w:vAlign w:val="center"/>
          </w:tcPr>
          <w:p w14:paraId="1FF28771" w14:textId="77777777" w:rsidR="002D0AE7" w:rsidRDefault="002D0AE7">
            <w:pPr>
              <w:jc w:val="right"/>
              <w:rPr>
                <w:rFonts w:ascii="Arial Narrow" w:hAnsi="Arial Narrow"/>
                <w:sz w:val="15"/>
                <w:szCs w:val="15"/>
              </w:rPr>
            </w:pPr>
          </w:p>
        </w:tc>
      </w:tr>
      <w:tr w:rsidR="002D0AE7" w14:paraId="3D7FD1C4" w14:textId="77777777">
        <w:trPr>
          <w:trHeight w:val="20"/>
          <w:jc w:val="center"/>
        </w:trPr>
        <w:tc>
          <w:tcPr>
            <w:tcW w:w="3678" w:type="dxa"/>
          </w:tcPr>
          <w:p w14:paraId="38B9F230" w14:textId="77777777" w:rsidR="002D0AE7" w:rsidRDefault="00333EBB">
            <w:pPr>
              <w:rPr>
                <w:rFonts w:hint="eastAsia"/>
                <w:color w:val="000000" w:themeColor="text1"/>
                <w:sz w:val="18"/>
                <w:szCs w:val="18"/>
              </w:rPr>
            </w:pPr>
            <w:r>
              <w:rPr>
                <w:color w:val="000000" w:themeColor="text1"/>
                <w:sz w:val="18"/>
                <w:szCs w:val="18"/>
              </w:rPr>
              <w:t>（</w:t>
            </w:r>
            <w:r>
              <w:rPr>
                <w:rFonts w:hint="eastAsia"/>
                <w:color w:val="000000" w:themeColor="text1"/>
                <w:sz w:val="18"/>
                <w:szCs w:val="18"/>
              </w:rPr>
              <w:t>三</w:t>
            </w:r>
            <w:r>
              <w:rPr>
                <w:color w:val="000000" w:themeColor="text1"/>
                <w:sz w:val="18"/>
                <w:szCs w:val="18"/>
              </w:rPr>
              <w:t>）利润分配</w:t>
            </w:r>
          </w:p>
        </w:tc>
        <w:tc>
          <w:tcPr>
            <w:tcW w:w="1276" w:type="dxa"/>
            <w:tcBorders>
              <w:right w:val="single" w:sz="4" w:space="0" w:color="auto"/>
            </w:tcBorders>
            <w:vAlign w:val="center"/>
          </w:tcPr>
          <w:p w14:paraId="508CEC5C"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495465DB"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45D453A2"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tcBorders>
            <w:vAlign w:val="center"/>
          </w:tcPr>
          <w:p w14:paraId="7D9935DB"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79B401C0"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09B411DF"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5C1E59DF" w14:textId="77777777" w:rsidR="002D0AE7" w:rsidRDefault="00333EBB">
            <w:pPr>
              <w:jc w:val="right"/>
              <w:rPr>
                <w:rFonts w:ascii="Arial Narrow" w:hAnsi="Arial Narrow"/>
                <w:sz w:val="15"/>
                <w:szCs w:val="15"/>
              </w:rPr>
            </w:pPr>
            <w:r>
              <w:rPr>
                <w:rFonts w:ascii="Arial Narrow" w:hAnsi="Arial Narrow"/>
                <w:sz w:val="15"/>
                <w:szCs w:val="15"/>
              </w:rPr>
              <w:t>0.00</w:t>
            </w:r>
          </w:p>
        </w:tc>
        <w:tc>
          <w:tcPr>
            <w:tcW w:w="1058" w:type="dxa"/>
            <w:vAlign w:val="center"/>
          </w:tcPr>
          <w:p w14:paraId="136AB341" w14:textId="77777777" w:rsidR="002D0AE7" w:rsidRDefault="00333EBB">
            <w:pPr>
              <w:jc w:val="right"/>
              <w:rPr>
                <w:rFonts w:ascii="Arial Narrow" w:hAnsi="Arial Narrow"/>
                <w:sz w:val="15"/>
                <w:szCs w:val="15"/>
              </w:rPr>
            </w:pPr>
            <w:r>
              <w:rPr>
                <w:rFonts w:ascii="Arial Narrow" w:hAnsi="Arial Narrow"/>
                <w:sz w:val="15"/>
                <w:szCs w:val="15"/>
              </w:rPr>
              <w:t>0.00</w:t>
            </w:r>
          </w:p>
        </w:tc>
        <w:tc>
          <w:tcPr>
            <w:tcW w:w="1210" w:type="dxa"/>
            <w:vAlign w:val="center"/>
          </w:tcPr>
          <w:p w14:paraId="7F6B8606" w14:textId="77777777" w:rsidR="002D0AE7" w:rsidRDefault="00333EBB">
            <w:pPr>
              <w:jc w:val="right"/>
              <w:rPr>
                <w:rFonts w:ascii="Arial Narrow" w:hAnsi="Arial Narrow"/>
                <w:sz w:val="15"/>
                <w:szCs w:val="15"/>
              </w:rPr>
            </w:pPr>
            <w:r>
              <w:rPr>
                <w:rFonts w:ascii="Arial Narrow" w:hAnsi="Arial Narrow"/>
                <w:sz w:val="15"/>
                <w:szCs w:val="15"/>
              </w:rPr>
              <w:t>7,226,323.22</w:t>
            </w:r>
          </w:p>
        </w:tc>
        <w:tc>
          <w:tcPr>
            <w:tcW w:w="1134" w:type="dxa"/>
            <w:vAlign w:val="center"/>
          </w:tcPr>
          <w:p w14:paraId="5B0183F9" w14:textId="77777777" w:rsidR="002D0AE7" w:rsidRDefault="00333EBB">
            <w:pPr>
              <w:jc w:val="right"/>
              <w:rPr>
                <w:rFonts w:ascii="Arial Narrow" w:hAnsi="Arial Narrow"/>
                <w:sz w:val="15"/>
                <w:szCs w:val="15"/>
              </w:rPr>
            </w:pPr>
            <w:r>
              <w:rPr>
                <w:rFonts w:ascii="Arial Narrow" w:hAnsi="Arial Narrow"/>
                <w:sz w:val="15"/>
                <w:szCs w:val="15"/>
              </w:rPr>
              <w:t>-18,108,530.02</w:t>
            </w:r>
          </w:p>
        </w:tc>
        <w:tc>
          <w:tcPr>
            <w:tcW w:w="1275" w:type="dxa"/>
            <w:vAlign w:val="center"/>
          </w:tcPr>
          <w:p w14:paraId="6430C198" w14:textId="77777777" w:rsidR="002D0AE7" w:rsidRDefault="00333EBB">
            <w:pPr>
              <w:jc w:val="right"/>
              <w:rPr>
                <w:rFonts w:ascii="Arial Narrow" w:hAnsi="Arial Narrow"/>
                <w:sz w:val="15"/>
                <w:szCs w:val="15"/>
              </w:rPr>
            </w:pPr>
            <w:r>
              <w:rPr>
                <w:rFonts w:ascii="Arial Narrow" w:hAnsi="Arial Narrow"/>
                <w:sz w:val="15"/>
                <w:szCs w:val="15"/>
              </w:rPr>
              <w:t>-10,882,206.80</w:t>
            </w:r>
          </w:p>
        </w:tc>
      </w:tr>
      <w:tr w:rsidR="002D0AE7" w14:paraId="25D63BF4" w14:textId="77777777">
        <w:trPr>
          <w:trHeight w:val="20"/>
          <w:jc w:val="center"/>
        </w:trPr>
        <w:tc>
          <w:tcPr>
            <w:tcW w:w="3678" w:type="dxa"/>
          </w:tcPr>
          <w:p w14:paraId="6B9F151B" w14:textId="77777777" w:rsidR="002D0AE7" w:rsidRDefault="00333EBB">
            <w:pPr>
              <w:rPr>
                <w:rFonts w:hint="eastAsia"/>
                <w:color w:val="000000" w:themeColor="text1"/>
                <w:sz w:val="18"/>
                <w:szCs w:val="18"/>
              </w:rPr>
            </w:pPr>
            <w:r>
              <w:rPr>
                <w:color w:val="000000" w:themeColor="text1"/>
                <w:sz w:val="18"/>
                <w:szCs w:val="18"/>
              </w:rPr>
              <w:t>1</w:t>
            </w:r>
            <w:r>
              <w:rPr>
                <w:color w:val="000000" w:themeColor="text1"/>
                <w:sz w:val="18"/>
                <w:szCs w:val="18"/>
              </w:rPr>
              <w:t>．提取盈余公积</w:t>
            </w:r>
          </w:p>
        </w:tc>
        <w:tc>
          <w:tcPr>
            <w:tcW w:w="1276" w:type="dxa"/>
            <w:tcBorders>
              <w:right w:val="single" w:sz="4" w:space="0" w:color="auto"/>
            </w:tcBorders>
            <w:vAlign w:val="center"/>
          </w:tcPr>
          <w:p w14:paraId="50F9A2E5"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13EB0F39"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3BB3C3FE"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tcBorders>
            <w:vAlign w:val="center"/>
          </w:tcPr>
          <w:p w14:paraId="7A72A948"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1BD53056"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5CAC0C69"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4F6508B0" w14:textId="77777777" w:rsidR="002D0AE7" w:rsidRDefault="00333EBB">
            <w:pPr>
              <w:jc w:val="right"/>
              <w:rPr>
                <w:rFonts w:ascii="Arial Narrow" w:hAnsi="Arial Narrow"/>
                <w:sz w:val="15"/>
                <w:szCs w:val="15"/>
              </w:rPr>
            </w:pPr>
            <w:r>
              <w:rPr>
                <w:rFonts w:ascii="Arial Narrow" w:hAnsi="Arial Narrow"/>
                <w:sz w:val="15"/>
                <w:szCs w:val="15"/>
              </w:rPr>
              <w:t>0.00</w:t>
            </w:r>
          </w:p>
        </w:tc>
        <w:tc>
          <w:tcPr>
            <w:tcW w:w="1058" w:type="dxa"/>
            <w:vAlign w:val="center"/>
          </w:tcPr>
          <w:p w14:paraId="720B1B08" w14:textId="77777777" w:rsidR="002D0AE7" w:rsidRDefault="00333EBB">
            <w:pPr>
              <w:jc w:val="right"/>
              <w:rPr>
                <w:rFonts w:ascii="Arial Narrow" w:hAnsi="Arial Narrow"/>
                <w:sz w:val="15"/>
                <w:szCs w:val="15"/>
              </w:rPr>
            </w:pPr>
            <w:r>
              <w:rPr>
                <w:rFonts w:ascii="Arial Narrow" w:hAnsi="Arial Narrow"/>
                <w:sz w:val="15"/>
                <w:szCs w:val="15"/>
              </w:rPr>
              <w:t>0.00</w:t>
            </w:r>
          </w:p>
        </w:tc>
        <w:tc>
          <w:tcPr>
            <w:tcW w:w="1210" w:type="dxa"/>
            <w:vAlign w:val="center"/>
          </w:tcPr>
          <w:p w14:paraId="2F18EC9B" w14:textId="77777777" w:rsidR="002D0AE7" w:rsidRDefault="00333EBB">
            <w:pPr>
              <w:jc w:val="right"/>
              <w:rPr>
                <w:rFonts w:ascii="Arial Narrow" w:hAnsi="Arial Narrow"/>
                <w:sz w:val="15"/>
                <w:szCs w:val="15"/>
              </w:rPr>
            </w:pPr>
            <w:r>
              <w:rPr>
                <w:rFonts w:ascii="Arial Narrow" w:hAnsi="Arial Narrow"/>
                <w:sz w:val="15"/>
                <w:szCs w:val="15"/>
              </w:rPr>
              <w:t>7,226,323.22</w:t>
            </w:r>
          </w:p>
        </w:tc>
        <w:tc>
          <w:tcPr>
            <w:tcW w:w="1134" w:type="dxa"/>
            <w:vAlign w:val="center"/>
          </w:tcPr>
          <w:p w14:paraId="6A39C2F5" w14:textId="77777777" w:rsidR="002D0AE7" w:rsidRDefault="00333EBB">
            <w:pPr>
              <w:jc w:val="right"/>
              <w:rPr>
                <w:rFonts w:ascii="Arial Narrow" w:hAnsi="Arial Narrow"/>
                <w:sz w:val="15"/>
                <w:szCs w:val="15"/>
              </w:rPr>
            </w:pPr>
            <w:r>
              <w:rPr>
                <w:rFonts w:ascii="Arial Narrow" w:hAnsi="Arial Narrow"/>
                <w:sz w:val="15"/>
                <w:szCs w:val="15"/>
              </w:rPr>
              <w:t>-7,226,323.22</w:t>
            </w:r>
          </w:p>
        </w:tc>
        <w:tc>
          <w:tcPr>
            <w:tcW w:w="1275" w:type="dxa"/>
            <w:vAlign w:val="center"/>
          </w:tcPr>
          <w:p w14:paraId="44F92A3D" w14:textId="77777777" w:rsidR="002D0AE7" w:rsidRDefault="00333EBB">
            <w:pPr>
              <w:jc w:val="right"/>
              <w:rPr>
                <w:rFonts w:ascii="Arial Narrow" w:hAnsi="Arial Narrow"/>
                <w:sz w:val="15"/>
                <w:szCs w:val="15"/>
              </w:rPr>
            </w:pPr>
            <w:r>
              <w:rPr>
                <w:rFonts w:ascii="Arial Narrow" w:hAnsi="Arial Narrow"/>
                <w:sz w:val="15"/>
                <w:szCs w:val="15"/>
              </w:rPr>
              <w:t>0.00</w:t>
            </w:r>
          </w:p>
        </w:tc>
      </w:tr>
      <w:tr w:rsidR="002D0AE7" w14:paraId="6E1137E3" w14:textId="77777777">
        <w:trPr>
          <w:trHeight w:val="20"/>
          <w:jc w:val="center"/>
        </w:trPr>
        <w:tc>
          <w:tcPr>
            <w:tcW w:w="3678" w:type="dxa"/>
          </w:tcPr>
          <w:p w14:paraId="26C6D8A8" w14:textId="77777777" w:rsidR="002D0AE7" w:rsidRDefault="00333EBB">
            <w:pPr>
              <w:rPr>
                <w:rFonts w:hint="eastAsia"/>
                <w:color w:val="000000" w:themeColor="text1"/>
                <w:sz w:val="18"/>
                <w:szCs w:val="18"/>
              </w:rPr>
            </w:pPr>
            <w:r>
              <w:rPr>
                <w:rFonts w:hint="eastAsia"/>
                <w:color w:val="000000" w:themeColor="text1"/>
                <w:sz w:val="18"/>
                <w:szCs w:val="18"/>
              </w:rPr>
              <w:t>2</w:t>
            </w:r>
            <w:r>
              <w:rPr>
                <w:color w:val="000000" w:themeColor="text1"/>
                <w:sz w:val="18"/>
                <w:szCs w:val="18"/>
              </w:rPr>
              <w:t>．对所有者（或股东）的分配</w:t>
            </w:r>
          </w:p>
        </w:tc>
        <w:tc>
          <w:tcPr>
            <w:tcW w:w="1276" w:type="dxa"/>
            <w:tcBorders>
              <w:right w:val="single" w:sz="4" w:space="0" w:color="auto"/>
            </w:tcBorders>
            <w:vAlign w:val="center"/>
          </w:tcPr>
          <w:p w14:paraId="357276C7"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034390A8"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521120C5"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tcBorders>
            <w:vAlign w:val="center"/>
          </w:tcPr>
          <w:p w14:paraId="7623180E"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3B5ED6E9"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40676C01"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5AA74784" w14:textId="77777777" w:rsidR="002D0AE7" w:rsidRDefault="00333EBB">
            <w:pPr>
              <w:jc w:val="right"/>
              <w:rPr>
                <w:rFonts w:ascii="Arial Narrow" w:hAnsi="Arial Narrow"/>
                <w:sz w:val="15"/>
                <w:szCs w:val="15"/>
              </w:rPr>
            </w:pPr>
            <w:r>
              <w:rPr>
                <w:rFonts w:ascii="Arial Narrow" w:hAnsi="Arial Narrow"/>
                <w:sz w:val="15"/>
                <w:szCs w:val="15"/>
              </w:rPr>
              <w:t>0.00</w:t>
            </w:r>
          </w:p>
        </w:tc>
        <w:tc>
          <w:tcPr>
            <w:tcW w:w="1058" w:type="dxa"/>
            <w:vAlign w:val="center"/>
          </w:tcPr>
          <w:p w14:paraId="5E6F7508" w14:textId="77777777" w:rsidR="002D0AE7" w:rsidRDefault="00333EBB">
            <w:pPr>
              <w:jc w:val="right"/>
              <w:rPr>
                <w:rFonts w:ascii="Arial Narrow" w:hAnsi="Arial Narrow"/>
                <w:sz w:val="15"/>
                <w:szCs w:val="15"/>
              </w:rPr>
            </w:pPr>
            <w:r>
              <w:rPr>
                <w:rFonts w:ascii="Arial Narrow" w:hAnsi="Arial Narrow"/>
                <w:sz w:val="15"/>
                <w:szCs w:val="15"/>
              </w:rPr>
              <w:t>0.00</w:t>
            </w:r>
          </w:p>
        </w:tc>
        <w:tc>
          <w:tcPr>
            <w:tcW w:w="1210" w:type="dxa"/>
            <w:vAlign w:val="center"/>
          </w:tcPr>
          <w:p w14:paraId="74E9AB30"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4359573C" w14:textId="77777777" w:rsidR="002D0AE7" w:rsidRDefault="00333EBB">
            <w:pPr>
              <w:jc w:val="right"/>
              <w:rPr>
                <w:rFonts w:ascii="Arial Narrow" w:hAnsi="Arial Narrow"/>
                <w:sz w:val="15"/>
                <w:szCs w:val="15"/>
              </w:rPr>
            </w:pPr>
            <w:r>
              <w:rPr>
                <w:rFonts w:ascii="Arial Narrow" w:hAnsi="Arial Narrow"/>
                <w:sz w:val="15"/>
                <w:szCs w:val="15"/>
              </w:rPr>
              <w:t>-10,882,206.80</w:t>
            </w:r>
          </w:p>
        </w:tc>
        <w:tc>
          <w:tcPr>
            <w:tcW w:w="1275" w:type="dxa"/>
            <w:vAlign w:val="center"/>
          </w:tcPr>
          <w:p w14:paraId="557469F1" w14:textId="77777777" w:rsidR="002D0AE7" w:rsidRDefault="00333EBB">
            <w:pPr>
              <w:jc w:val="right"/>
              <w:rPr>
                <w:rFonts w:ascii="Arial Narrow" w:hAnsi="Arial Narrow"/>
                <w:sz w:val="15"/>
                <w:szCs w:val="15"/>
              </w:rPr>
            </w:pPr>
            <w:r>
              <w:rPr>
                <w:rFonts w:ascii="Arial Narrow" w:hAnsi="Arial Narrow"/>
                <w:sz w:val="15"/>
                <w:szCs w:val="15"/>
              </w:rPr>
              <w:t>-10,882,206.80</w:t>
            </w:r>
          </w:p>
        </w:tc>
      </w:tr>
      <w:tr w:rsidR="002D0AE7" w14:paraId="3212C47E" w14:textId="77777777">
        <w:trPr>
          <w:trHeight w:val="20"/>
          <w:jc w:val="center"/>
        </w:trPr>
        <w:tc>
          <w:tcPr>
            <w:tcW w:w="3678" w:type="dxa"/>
          </w:tcPr>
          <w:p w14:paraId="2599EA8A" w14:textId="77777777" w:rsidR="002D0AE7" w:rsidRDefault="00333EBB">
            <w:pPr>
              <w:rPr>
                <w:rFonts w:hint="eastAsia"/>
                <w:color w:val="000000" w:themeColor="text1"/>
                <w:sz w:val="18"/>
                <w:szCs w:val="18"/>
              </w:rPr>
            </w:pPr>
            <w:r>
              <w:rPr>
                <w:rFonts w:hint="eastAsia"/>
                <w:color w:val="000000" w:themeColor="text1"/>
                <w:sz w:val="18"/>
                <w:szCs w:val="18"/>
              </w:rPr>
              <w:t>3</w:t>
            </w:r>
            <w:r>
              <w:rPr>
                <w:color w:val="000000" w:themeColor="text1"/>
                <w:sz w:val="18"/>
                <w:szCs w:val="18"/>
              </w:rPr>
              <w:t>．其他</w:t>
            </w:r>
          </w:p>
        </w:tc>
        <w:tc>
          <w:tcPr>
            <w:tcW w:w="1276" w:type="dxa"/>
            <w:tcBorders>
              <w:right w:val="single" w:sz="4" w:space="0" w:color="auto"/>
            </w:tcBorders>
            <w:vAlign w:val="center"/>
          </w:tcPr>
          <w:p w14:paraId="1CC77957" w14:textId="77777777" w:rsidR="002D0AE7" w:rsidRDefault="002D0AE7">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2B86C3D7" w14:textId="77777777" w:rsidR="002D0AE7" w:rsidRDefault="002D0AE7">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6C13E2A6" w14:textId="77777777" w:rsidR="002D0AE7" w:rsidRDefault="002D0AE7">
            <w:pPr>
              <w:jc w:val="right"/>
              <w:rPr>
                <w:rFonts w:ascii="Arial Narrow" w:hAnsi="Arial Narrow"/>
                <w:sz w:val="15"/>
                <w:szCs w:val="15"/>
              </w:rPr>
            </w:pPr>
          </w:p>
        </w:tc>
        <w:tc>
          <w:tcPr>
            <w:tcW w:w="567" w:type="dxa"/>
            <w:tcBorders>
              <w:left w:val="single" w:sz="4" w:space="0" w:color="auto"/>
            </w:tcBorders>
            <w:vAlign w:val="center"/>
          </w:tcPr>
          <w:p w14:paraId="51EAE873" w14:textId="77777777" w:rsidR="002D0AE7" w:rsidRDefault="002D0AE7">
            <w:pPr>
              <w:jc w:val="right"/>
              <w:rPr>
                <w:rFonts w:ascii="Arial Narrow" w:hAnsi="Arial Narrow"/>
                <w:sz w:val="15"/>
                <w:szCs w:val="15"/>
              </w:rPr>
            </w:pPr>
          </w:p>
        </w:tc>
        <w:tc>
          <w:tcPr>
            <w:tcW w:w="1134" w:type="dxa"/>
            <w:vAlign w:val="center"/>
          </w:tcPr>
          <w:p w14:paraId="3BE45E37" w14:textId="77777777" w:rsidR="002D0AE7" w:rsidRDefault="002D0AE7">
            <w:pPr>
              <w:jc w:val="right"/>
              <w:rPr>
                <w:rFonts w:ascii="Arial Narrow" w:hAnsi="Arial Narrow"/>
                <w:sz w:val="15"/>
                <w:szCs w:val="15"/>
              </w:rPr>
            </w:pPr>
          </w:p>
        </w:tc>
        <w:tc>
          <w:tcPr>
            <w:tcW w:w="1134" w:type="dxa"/>
            <w:vAlign w:val="center"/>
          </w:tcPr>
          <w:p w14:paraId="42FF4709" w14:textId="77777777" w:rsidR="002D0AE7" w:rsidRDefault="002D0AE7">
            <w:pPr>
              <w:jc w:val="right"/>
              <w:rPr>
                <w:rFonts w:ascii="Arial Narrow" w:hAnsi="Arial Narrow"/>
                <w:sz w:val="15"/>
                <w:szCs w:val="15"/>
              </w:rPr>
            </w:pPr>
          </w:p>
        </w:tc>
        <w:tc>
          <w:tcPr>
            <w:tcW w:w="1134" w:type="dxa"/>
            <w:vAlign w:val="center"/>
          </w:tcPr>
          <w:p w14:paraId="5655030E" w14:textId="77777777" w:rsidR="002D0AE7" w:rsidRDefault="002D0AE7">
            <w:pPr>
              <w:jc w:val="right"/>
              <w:rPr>
                <w:rFonts w:ascii="Arial Narrow" w:hAnsi="Arial Narrow"/>
                <w:sz w:val="15"/>
                <w:szCs w:val="15"/>
              </w:rPr>
            </w:pPr>
          </w:p>
        </w:tc>
        <w:tc>
          <w:tcPr>
            <w:tcW w:w="1058" w:type="dxa"/>
            <w:vAlign w:val="center"/>
          </w:tcPr>
          <w:p w14:paraId="16630150" w14:textId="77777777" w:rsidR="002D0AE7" w:rsidRDefault="002D0AE7">
            <w:pPr>
              <w:jc w:val="right"/>
              <w:rPr>
                <w:rFonts w:ascii="Arial Narrow" w:hAnsi="Arial Narrow"/>
                <w:sz w:val="15"/>
                <w:szCs w:val="15"/>
              </w:rPr>
            </w:pPr>
          </w:p>
        </w:tc>
        <w:tc>
          <w:tcPr>
            <w:tcW w:w="1210" w:type="dxa"/>
            <w:vAlign w:val="center"/>
          </w:tcPr>
          <w:p w14:paraId="6F3609A4" w14:textId="77777777" w:rsidR="002D0AE7" w:rsidRDefault="002D0AE7">
            <w:pPr>
              <w:jc w:val="right"/>
              <w:rPr>
                <w:rFonts w:ascii="Arial Narrow" w:hAnsi="Arial Narrow"/>
                <w:sz w:val="15"/>
                <w:szCs w:val="15"/>
              </w:rPr>
            </w:pPr>
          </w:p>
        </w:tc>
        <w:tc>
          <w:tcPr>
            <w:tcW w:w="1134" w:type="dxa"/>
            <w:vAlign w:val="center"/>
          </w:tcPr>
          <w:p w14:paraId="071CBF89" w14:textId="77777777" w:rsidR="002D0AE7" w:rsidRDefault="002D0AE7">
            <w:pPr>
              <w:jc w:val="right"/>
              <w:rPr>
                <w:rFonts w:ascii="Arial Narrow" w:hAnsi="Arial Narrow"/>
                <w:sz w:val="15"/>
                <w:szCs w:val="15"/>
              </w:rPr>
            </w:pPr>
          </w:p>
        </w:tc>
        <w:tc>
          <w:tcPr>
            <w:tcW w:w="1275" w:type="dxa"/>
            <w:vAlign w:val="center"/>
          </w:tcPr>
          <w:p w14:paraId="74EC8E0F" w14:textId="77777777" w:rsidR="002D0AE7" w:rsidRDefault="002D0AE7">
            <w:pPr>
              <w:jc w:val="right"/>
              <w:rPr>
                <w:rFonts w:ascii="Arial Narrow" w:hAnsi="Arial Narrow"/>
                <w:sz w:val="15"/>
                <w:szCs w:val="15"/>
              </w:rPr>
            </w:pPr>
          </w:p>
        </w:tc>
      </w:tr>
      <w:tr w:rsidR="002D0AE7" w14:paraId="14D24CB9" w14:textId="77777777">
        <w:trPr>
          <w:trHeight w:val="20"/>
          <w:jc w:val="center"/>
        </w:trPr>
        <w:tc>
          <w:tcPr>
            <w:tcW w:w="3678" w:type="dxa"/>
          </w:tcPr>
          <w:p w14:paraId="1508F71C" w14:textId="77777777" w:rsidR="002D0AE7" w:rsidRDefault="00333EBB">
            <w:pPr>
              <w:rPr>
                <w:rFonts w:hint="eastAsia"/>
                <w:color w:val="000000" w:themeColor="text1"/>
                <w:sz w:val="18"/>
                <w:szCs w:val="18"/>
              </w:rPr>
            </w:pPr>
            <w:r>
              <w:rPr>
                <w:color w:val="000000" w:themeColor="text1"/>
                <w:sz w:val="18"/>
                <w:szCs w:val="18"/>
              </w:rPr>
              <w:t>（</w:t>
            </w:r>
            <w:r>
              <w:rPr>
                <w:rFonts w:hint="eastAsia"/>
                <w:color w:val="000000" w:themeColor="text1"/>
                <w:sz w:val="18"/>
                <w:szCs w:val="18"/>
              </w:rPr>
              <w:t>四</w:t>
            </w:r>
            <w:r>
              <w:rPr>
                <w:color w:val="000000" w:themeColor="text1"/>
                <w:sz w:val="18"/>
                <w:szCs w:val="18"/>
              </w:rPr>
              <w:t>）所有者权益内部结转</w:t>
            </w:r>
          </w:p>
        </w:tc>
        <w:tc>
          <w:tcPr>
            <w:tcW w:w="1276" w:type="dxa"/>
            <w:tcBorders>
              <w:right w:val="single" w:sz="4" w:space="0" w:color="auto"/>
            </w:tcBorders>
            <w:vAlign w:val="center"/>
          </w:tcPr>
          <w:p w14:paraId="13FC9EC7" w14:textId="77777777" w:rsidR="002D0AE7" w:rsidRDefault="002D0AE7">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5D63F535" w14:textId="77777777" w:rsidR="002D0AE7" w:rsidRDefault="002D0AE7">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5EC2E5F1" w14:textId="77777777" w:rsidR="002D0AE7" w:rsidRDefault="002D0AE7">
            <w:pPr>
              <w:jc w:val="right"/>
              <w:rPr>
                <w:rFonts w:ascii="Arial Narrow" w:hAnsi="Arial Narrow"/>
                <w:sz w:val="15"/>
                <w:szCs w:val="15"/>
              </w:rPr>
            </w:pPr>
          </w:p>
        </w:tc>
        <w:tc>
          <w:tcPr>
            <w:tcW w:w="567" w:type="dxa"/>
            <w:tcBorders>
              <w:left w:val="single" w:sz="4" w:space="0" w:color="auto"/>
            </w:tcBorders>
            <w:vAlign w:val="center"/>
          </w:tcPr>
          <w:p w14:paraId="75FC39C5" w14:textId="77777777" w:rsidR="002D0AE7" w:rsidRDefault="002D0AE7">
            <w:pPr>
              <w:jc w:val="right"/>
              <w:rPr>
                <w:rFonts w:ascii="Arial Narrow" w:hAnsi="Arial Narrow"/>
                <w:sz w:val="15"/>
                <w:szCs w:val="15"/>
              </w:rPr>
            </w:pPr>
          </w:p>
        </w:tc>
        <w:tc>
          <w:tcPr>
            <w:tcW w:w="1134" w:type="dxa"/>
            <w:vAlign w:val="center"/>
          </w:tcPr>
          <w:p w14:paraId="684137FF" w14:textId="77777777" w:rsidR="002D0AE7" w:rsidRDefault="002D0AE7">
            <w:pPr>
              <w:jc w:val="right"/>
              <w:rPr>
                <w:rFonts w:ascii="Arial Narrow" w:hAnsi="Arial Narrow"/>
                <w:sz w:val="15"/>
                <w:szCs w:val="15"/>
              </w:rPr>
            </w:pPr>
          </w:p>
        </w:tc>
        <w:tc>
          <w:tcPr>
            <w:tcW w:w="1134" w:type="dxa"/>
            <w:vAlign w:val="center"/>
          </w:tcPr>
          <w:p w14:paraId="290E0E2D" w14:textId="77777777" w:rsidR="002D0AE7" w:rsidRDefault="002D0AE7">
            <w:pPr>
              <w:jc w:val="right"/>
              <w:rPr>
                <w:rFonts w:ascii="Arial Narrow" w:hAnsi="Arial Narrow"/>
                <w:sz w:val="15"/>
                <w:szCs w:val="15"/>
              </w:rPr>
            </w:pPr>
          </w:p>
        </w:tc>
        <w:tc>
          <w:tcPr>
            <w:tcW w:w="1134" w:type="dxa"/>
            <w:vAlign w:val="center"/>
          </w:tcPr>
          <w:p w14:paraId="1B429457" w14:textId="77777777" w:rsidR="002D0AE7" w:rsidRDefault="002D0AE7">
            <w:pPr>
              <w:jc w:val="right"/>
              <w:rPr>
                <w:rFonts w:ascii="Arial Narrow" w:hAnsi="Arial Narrow"/>
                <w:sz w:val="15"/>
                <w:szCs w:val="15"/>
              </w:rPr>
            </w:pPr>
          </w:p>
        </w:tc>
        <w:tc>
          <w:tcPr>
            <w:tcW w:w="1058" w:type="dxa"/>
            <w:vAlign w:val="center"/>
          </w:tcPr>
          <w:p w14:paraId="644185BA" w14:textId="77777777" w:rsidR="002D0AE7" w:rsidRDefault="002D0AE7">
            <w:pPr>
              <w:jc w:val="right"/>
              <w:rPr>
                <w:rFonts w:ascii="Arial Narrow" w:hAnsi="Arial Narrow"/>
                <w:sz w:val="15"/>
                <w:szCs w:val="15"/>
              </w:rPr>
            </w:pPr>
          </w:p>
        </w:tc>
        <w:tc>
          <w:tcPr>
            <w:tcW w:w="1210" w:type="dxa"/>
            <w:vAlign w:val="center"/>
          </w:tcPr>
          <w:p w14:paraId="40B40C48" w14:textId="77777777" w:rsidR="002D0AE7" w:rsidRDefault="002D0AE7">
            <w:pPr>
              <w:jc w:val="right"/>
              <w:rPr>
                <w:rFonts w:ascii="Arial Narrow" w:hAnsi="Arial Narrow"/>
                <w:sz w:val="15"/>
                <w:szCs w:val="15"/>
              </w:rPr>
            </w:pPr>
          </w:p>
        </w:tc>
        <w:tc>
          <w:tcPr>
            <w:tcW w:w="1134" w:type="dxa"/>
            <w:vAlign w:val="center"/>
          </w:tcPr>
          <w:p w14:paraId="56480C95" w14:textId="77777777" w:rsidR="002D0AE7" w:rsidRDefault="002D0AE7">
            <w:pPr>
              <w:jc w:val="right"/>
              <w:rPr>
                <w:rFonts w:ascii="Arial Narrow" w:hAnsi="Arial Narrow"/>
                <w:sz w:val="15"/>
                <w:szCs w:val="15"/>
              </w:rPr>
            </w:pPr>
          </w:p>
        </w:tc>
        <w:tc>
          <w:tcPr>
            <w:tcW w:w="1275" w:type="dxa"/>
            <w:vAlign w:val="center"/>
          </w:tcPr>
          <w:p w14:paraId="25179595" w14:textId="77777777" w:rsidR="002D0AE7" w:rsidRDefault="002D0AE7">
            <w:pPr>
              <w:jc w:val="right"/>
              <w:rPr>
                <w:rFonts w:ascii="Arial Narrow" w:hAnsi="Arial Narrow"/>
                <w:sz w:val="15"/>
                <w:szCs w:val="15"/>
              </w:rPr>
            </w:pPr>
          </w:p>
        </w:tc>
      </w:tr>
      <w:tr w:rsidR="002D0AE7" w14:paraId="5EF71A85" w14:textId="77777777">
        <w:trPr>
          <w:trHeight w:val="20"/>
          <w:jc w:val="center"/>
        </w:trPr>
        <w:tc>
          <w:tcPr>
            <w:tcW w:w="3678" w:type="dxa"/>
          </w:tcPr>
          <w:p w14:paraId="62D615A5" w14:textId="77777777" w:rsidR="002D0AE7" w:rsidRDefault="00333EBB">
            <w:pPr>
              <w:rPr>
                <w:rFonts w:hint="eastAsia"/>
                <w:color w:val="000000" w:themeColor="text1"/>
                <w:sz w:val="18"/>
                <w:szCs w:val="18"/>
              </w:rPr>
            </w:pPr>
            <w:r>
              <w:rPr>
                <w:color w:val="000000" w:themeColor="text1"/>
                <w:sz w:val="18"/>
                <w:szCs w:val="18"/>
              </w:rPr>
              <w:t>1</w:t>
            </w:r>
            <w:r>
              <w:rPr>
                <w:color w:val="000000" w:themeColor="text1"/>
                <w:sz w:val="18"/>
                <w:szCs w:val="18"/>
              </w:rPr>
              <w:t>．资本公积转增资本（或股本）</w:t>
            </w:r>
          </w:p>
        </w:tc>
        <w:tc>
          <w:tcPr>
            <w:tcW w:w="1276" w:type="dxa"/>
            <w:tcBorders>
              <w:right w:val="single" w:sz="4" w:space="0" w:color="auto"/>
            </w:tcBorders>
            <w:vAlign w:val="center"/>
          </w:tcPr>
          <w:p w14:paraId="4A093CDF" w14:textId="77777777" w:rsidR="002D0AE7" w:rsidRDefault="002D0AE7">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5F71205C" w14:textId="77777777" w:rsidR="002D0AE7" w:rsidRDefault="002D0AE7">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11F3521A" w14:textId="77777777" w:rsidR="002D0AE7" w:rsidRDefault="002D0AE7">
            <w:pPr>
              <w:jc w:val="right"/>
              <w:rPr>
                <w:rFonts w:ascii="Arial Narrow" w:hAnsi="Arial Narrow"/>
                <w:sz w:val="15"/>
                <w:szCs w:val="15"/>
              </w:rPr>
            </w:pPr>
          </w:p>
        </w:tc>
        <w:tc>
          <w:tcPr>
            <w:tcW w:w="567" w:type="dxa"/>
            <w:tcBorders>
              <w:left w:val="single" w:sz="4" w:space="0" w:color="auto"/>
            </w:tcBorders>
            <w:vAlign w:val="center"/>
          </w:tcPr>
          <w:p w14:paraId="3EA15968" w14:textId="77777777" w:rsidR="002D0AE7" w:rsidRDefault="002D0AE7">
            <w:pPr>
              <w:jc w:val="right"/>
              <w:rPr>
                <w:rFonts w:ascii="Arial Narrow" w:hAnsi="Arial Narrow"/>
                <w:sz w:val="15"/>
                <w:szCs w:val="15"/>
              </w:rPr>
            </w:pPr>
          </w:p>
        </w:tc>
        <w:tc>
          <w:tcPr>
            <w:tcW w:w="1134" w:type="dxa"/>
            <w:vAlign w:val="center"/>
          </w:tcPr>
          <w:p w14:paraId="4EEFB9D4" w14:textId="77777777" w:rsidR="002D0AE7" w:rsidRDefault="002D0AE7">
            <w:pPr>
              <w:jc w:val="right"/>
              <w:rPr>
                <w:rFonts w:ascii="Arial Narrow" w:hAnsi="Arial Narrow"/>
                <w:sz w:val="15"/>
                <w:szCs w:val="15"/>
              </w:rPr>
            </w:pPr>
          </w:p>
        </w:tc>
        <w:tc>
          <w:tcPr>
            <w:tcW w:w="1134" w:type="dxa"/>
            <w:vAlign w:val="center"/>
          </w:tcPr>
          <w:p w14:paraId="5DB8EC0E" w14:textId="77777777" w:rsidR="002D0AE7" w:rsidRDefault="002D0AE7">
            <w:pPr>
              <w:jc w:val="right"/>
              <w:rPr>
                <w:rFonts w:ascii="Arial Narrow" w:hAnsi="Arial Narrow"/>
                <w:sz w:val="15"/>
                <w:szCs w:val="15"/>
              </w:rPr>
            </w:pPr>
          </w:p>
        </w:tc>
        <w:tc>
          <w:tcPr>
            <w:tcW w:w="1134" w:type="dxa"/>
            <w:vAlign w:val="center"/>
          </w:tcPr>
          <w:p w14:paraId="1A44C076" w14:textId="77777777" w:rsidR="002D0AE7" w:rsidRDefault="002D0AE7">
            <w:pPr>
              <w:jc w:val="right"/>
              <w:rPr>
                <w:rFonts w:ascii="Arial Narrow" w:hAnsi="Arial Narrow"/>
                <w:sz w:val="15"/>
                <w:szCs w:val="15"/>
              </w:rPr>
            </w:pPr>
          </w:p>
        </w:tc>
        <w:tc>
          <w:tcPr>
            <w:tcW w:w="1058" w:type="dxa"/>
            <w:vAlign w:val="center"/>
          </w:tcPr>
          <w:p w14:paraId="5A982D82" w14:textId="77777777" w:rsidR="002D0AE7" w:rsidRDefault="002D0AE7">
            <w:pPr>
              <w:jc w:val="right"/>
              <w:rPr>
                <w:rFonts w:ascii="Arial Narrow" w:hAnsi="Arial Narrow"/>
                <w:sz w:val="15"/>
                <w:szCs w:val="15"/>
              </w:rPr>
            </w:pPr>
          </w:p>
        </w:tc>
        <w:tc>
          <w:tcPr>
            <w:tcW w:w="1210" w:type="dxa"/>
            <w:vAlign w:val="center"/>
          </w:tcPr>
          <w:p w14:paraId="1B16A860" w14:textId="77777777" w:rsidR="002D0AE7" w:rsidRDefault="002D0AE7">
            <w:pPr>
              <w:jc w:val="right"/>
              <w:rPr>
                <w:rFonts w:ascii="Arial Narrow" w:hAnsi="Arial Narrow"/>
                <w:sz w:val="15"/>
                <w:szCs w:val="15"/>
              </w:rPr>
            </w:pPr>
          </w:p>
        </w:tc>
        <w:tc>
          <w:tcPr>
            <w:tcW w:w="1134" w:type="dxa"/>
            <w:vAlign w:val="center"/>
          </w:tcPr>
          <w:p w14:paraId="4F461DAD" w14:textId="77777777" w:rsidR="002D0AE7" w:rsidRDefault="002D0AE7">
            <w:pPr>
              <w:jc w:val="right"/>
              <w:rPr>
                <w:rFonts w:ascii="Arial Narrow" w:hAnsi="Arial Narrow"/>
                <w:sz w:val="15"/>
                <w:szCs w:val="15"/>
              </w:rPr>
            </w:pPr>
          </w:p>
        </w:tc>
        <w:tc>
          <w:tcPr>
            <w:tcW w:w="1275" w:type="dxa"/>
            <w:vAlign w:val="center"/>
          </w:tcPr>
          <w:p w14:paraId="4FED5588" w14:textId="77777777" w:rsidR="002D0AE7" w:rsidRDefault="002D0AE7">
            <w:pPr>
              <w:jc w:val="right"/>
              <w:rPr>
                <w:rFonts w:ascii="Arial Narrow" w:hAnsi="Arial Narrow"/>
                <w:sz w:val="15"/>
                <w:szCs w:val="15"/>
              </w:rPr>
            </w:pPr>
          </w:p>
        </w:tc>
      </w:tr>
      <w:tr w:rsidR="002D0AE7" w14:paraId="04ECC754" w14:textId="77777777">
        <w:trPr>
          <w:trHeight w:val="20"/>
          <w:jc w:val="center"/>
        </w:trPr>
        <w:tc>
          <w:tcPr>
            <w:tcW w:w="3678" w:type="dxa"/>
          </w:tcPr>
          <w:p w14:paraId="48C15188" w14:textId="77777777" w:rsidR="002D0AE7" w:rsidRDefault="00333EBB">
            <w:pPr>
              <w:rPr>
                <w:rFonts w:hint="eastAsia"/>
                <w:color w:val="000000" w:themeColor="text1"/>
                <w:sz w:val="18"/>
                <w:szCs w:val="18"/>
              </w:rPr>
            </w:pPr>
            <w:r>
              <w:rPr>
                <w:color w:val="000000" w:themeColor="text1"/>
                <w:sz w:val="18"/>
                <w:szCs w:val="18"/>
              </w:rPr>
              <w:t>2</w:t>
            </w:r>
            <w:r>
              <w:rPr>
                <w:color w:val="000000" w:themeColor="text1"/>
                <w:sz w:val="18"/>
                <w:szCs w:val="18"/>
              </w:rPr>
              <w:t>．盈余公积转增资本（或股本）</w:t>
            </w:r>
          </w:p>
        </w:tc>
        <w:tc>
          <w:tcPr>
            <w:tcW w:w="1276" w:type="dxa"/>
            <w:tcBorders>
              <w:right w:val="single" w:sz="4" w:space="0" w:color="auto"/>
            </w:tcBorders>
            <w:vAlign w:val="center"/>
          </w:tcPr>
          <w:p w14:paraId="3B61B9DB" w14:textId="77777777" w:rsidR="002D0AE7" w:rsidRDefault="002D0AE7">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2F23CC2B" w14:textId="77777777" w:rsidR="002D0AE7" w:rsidRDefault="002D0AE7">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0B5C5DA6" w14:textId="77777777" w:rsidR="002D0AE7" w:rsidRDefault="002D0AE7">
            <w:pPr>
              <w:jc w:val="right"/>
              <w:rPr>
                <w:rFonts w:ascii="Arial Narrow" w:hAnsi="Arial Narrow"/>
                <w:sz w:val="15"/>
                <w:szCs w:val="15"/>
              </w:rPr>
            </w:pPr>
          </w:p>
        </w:tc>
        <w:tc>
          <w:tcPr>
            <w:tcW w:w="567" w:type="dxa"/>
            <w:tcBorders>
              <w:left w:val="single" w:sz="4" w:space="0" w:color="auto"/>
            </w:tcBorders>
            <w:vAlign w:val="center"/>
          </w:tcPr>
          <w:p w14:paraId="71815C7A" w14:textId="77777777" w:rsidR="002D0AE7" w:rsidRDefault="002D0AE7">
            <w:pPr>
              <w:jc w:val="right"/>
              <w:rPr>
                <w:rFonts w:ascii="Arial Narrow" w:hAnsi="Arial Narrow"/>
                <w:sz w:val="15"/>
                <w:szCs w:val="15"/>
              </w:rPr>
            </w:pPr>
          </w:p>
        </w:tc>
        <w:tc>
          <w:tcPr>
            <w:tcW w:w="1134" w:type="dxa"/>
            <w:vAlign w:val="center"/>
          </w:tcPr>
          <w:p w14:paraId="0AC5B6D9" w14:textId="77777777" w:rsidR="002D0AE7" w:rsidRDefault="002D0AE7">
            <w:pPr>
              <w:jc w:val="right"/>
              <w:rPr>
                <w:rFonts w:ascii="Arial Narrow" w:hAnsi="Arial Narrow"/>
                <w:sz w:val="15"/>
                <w:szCs w:val="15"/>
              </w:rPr>
            </w:pPr>
          </w:p>
        </w:tc>
        <w:tc>
          <w:tcPr>
            <w:tcW w:w="1134" w:type="dxa"/>
            <w:vAlign w:val="center"/>
          </w:tcPr>
          <w:p w14:paraId="5E04667E" w14:textId="77777777" w:rsidR="002D0AE7" w:rsidRDefault="002D0AE7">
            <w:pPr>
              <w:jc w:val="right"/>
              <w:rPr>
                <w:rFonts w:ascii="Arial Narrow" w:hAnsi="Arial Narrow"/>
                <w:sz w:val="15"/>
                <w:szCs w:val="15"/>
              </w:rPr>
            </w:pPr>
          </w:p>
        </w:tc>
        <w:tc>
          <w:tcPr>
            <w:tcW w:w="1134" w:type="dxa"/>
            <w:vAlign w:val="center"/>
          </w:tcPr>
          <w:p w14:paraId="69DCCA6F" w14:textId="77777777" w:rsidR="002D0AE7" w:rsidRDefault="002D0AE7">
            <w:pPr>
              <w:jc w:val="right"/>
              <w:rPr>
                <w:rFonts w:ascii="Arial Narrow" w:hAnsi="Arial Narrow"/>
                <w:sz w:val="15"/>
                <w:szCs w:val="15"/>
              </w:rPr>
            </w:pPr>
          </w:p>
        </w:tc>
        <w:tc>
          <w:tcPr>
            <w:tcW w:w="1058" w:type="dxa"/>
            <w:vAlign w:val="center"/>
          </w:tcPr>
          <w:p w14:paraId="564EFC49" w14:textId="77777777" w:rsidR="002D0AE7" w:rsidRDefault="002D0AE7">
            <w:pPr>
              <w:jc w:val="right"/>
              <w:rPr>
                <w:rFonts w:ascii="Arial Narrow" w:hAnsi="Arial Narrow"/>
                <w:sz w:val="15"/>
                <w:szCs w:val="15"/>
              </w:rPr>
            </w:pPr>
          </w:p>
        </w:tc>
        <w:tc>
          <w:tcPr>
            <w:tcW w:w="1210" w:type="dxa"/>
            <w:vAlign w:val="center"/>
          </w:tcPr>
          <w:p w14:paraId="2F314EF1" w14:textId="77777777" w:rsidR="002D0AE7" w:rsidRDefault="002D0AE7">
            <w:pPr>
              <w:jc w:val="right"/>
              <w:rPr>
                <w:rFonts w:ascii="Arial Narrow" w:hAnsi="Arial Narrow"/>
                <w:sz w:val="15"/>
                <w:szCs w:val="15"/>
              </w:rPr>
            </w:pPr>
          </w:p>
        </w:tc>
        <w:tc>
          <w:tcPr>
            <w:tcW w:w="1134" w:type="dxa"/>
            <w:vAlign w:val="center"/>
          </w:tcPr>
          <w:p w14:paraId="11AE45E6" w14:textId="77777777" w:rsidR="002D0AE7" w:rsidRDefault="002D0AE7">
            <w:pPr>
              <w:jc w:val="right"/>
              <w:rPr>
                <w:rFonts w:ascii="Arial Narrow" w:hAnsi="Arial Narrow"/>
                <w:sz w:val="15"/>
                <w:szCs w:val="15"/>
              </w:rPr>
            </w:pPr>
          </w:p>
        </w:tc>
        <w:tc>
          <w:tcPr>
            <w:tcW w:w="1275" w:type="dxa"/>
            <w:vAlign w:val="center"/>
          </w:tcPr>
          <w:p w14:paraId="65BC53EE" w14:textId="77777777" w:rsidR="002D0AE7" w:rsidRDefault="002D0AE7">
            <w:pPr>
              <w:jc w:val="right"/>
              <w:rPr>
                <w:rFonts w:ascii="Arial Narrow" w:hAnsi="Arial Narrow"/>
                <w:sz w:val="15"/>
                <w:szCs w:val="15"/>
              </w:rPr>
            </w:pPr>
          </w:p>
        </w:tc>
      </w:tr>
      <w:tr w:rsidR="002D0AE7" w14:paraId="6BB31A6C" w14:textId="77777777">
        <w:trPr>
          <w:trHeight w:val="20"/>
          <w:jc w:val="center"/>
        </w:trPr>
        <w:tc>
          <w:tcPr>
            <w:tcW w:w="3678" w:type="dxa"/>
          </w:tcPr>
          <w:p w14:paraId="0AA78A48" w14:textId="77777777" w:rsidR="002D0AE7" w:rsidRDefault="00333EBB">
            <w:pPr>
              <w:rPr>
                <w:rFonts w:hint="eastAsia"/>
                <w:color w:val="000000" w:themeColor="text1"/>
                <w:sz w:val="18"/>
                <w:szCs w:val="18"/>
              </w:rPr>
            </w:pPr>
            <w:r>
              <w:rPr>
                <w:color w:val="000000" w:themeColor="text1"/>
                <w:sz w:val="18"/>
                <w:szCs w:val="18"/>
              </w:rPr>
              <w:t>3</w:t>
            </w:r>
            <w:r>
              <w:rPr>
                <w:color w:val="000000" w:themeColor="text1"/>
                <w:sz w:val="18"/>
                <w:szCs w:val="18"/>
              </w:rPr>
              <w:t>．盈余公积弥补亏损</w:t>
            </w:r>
          </w:p>
        </w:tc>
        <w:tc>
          <w:tcPr>
            <w:tcW w:w="1276" w:type="dxa"/>
            <w:tcBorders>
              <w:right w:val="single" w:sz="4" w:space="0" w:color="auto"/>
            </w:tcBorders>
            <w:vAlign w:val="center"/>
          </w:tcPr>
          <w:p w14:paraId="58709870" w14:textId="77777777" w:rsidR="002D0AE7" w:rsidRDefault="002D0AE7">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7294E7F0" w14:textId="77777777" w:rsidR="002D0AE7" w:rsidRDefault="002D0AE7">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5592C791" w14:textId="77777777" w:rsidR="002D0AE7" w:rsidRDefault="002D0AE7">
            <w:pPr>
              <w:jc w:val="right"/>
              <w:rPr>
                <w:rFonts w:ascii="Arial Narrow" w:hAnsi="Arial Narrow"/>
                <w:sz w:val="15"/>
                <w:szCs w:val="15"/>
              </w:rPr>
            </w:pPr>
          </w:p>
        </w:tc>
        <w:tc>
          <w:tcPr>
            <w:tcW w:w="567" w:type="dxa"/>
            <w:tcBorders>
              <w:left w:val="single" w:sz="4" w:space="0" w:color="auto"/>
            </w:tcBorders>
            <w:vAlign w:val="center"/>
          </w:tcPr>
          <w:p w14:paraId="7AFED65F" w14:textId="77777777" w:rsidR="002D0AE7" w:rsidRDefault="002D0AE7">
            <w:pPr>
              <w:jc w:val="right"/>
              <w:rPr>
                <w:rFonts w:ascii="Arial Narrow" w:hAnsi="Arial Narrow"/>
                <w:sz w:val="15"/>
                <w:szCs w:val="15"/>
              </w:rPr>
            </w:pPr>
          </w:p>
        </w:tc>
        <w:tc>
          <w:tcPr>
            <w:tcW w:w="1134" w:type="dxa"/>
            <w:vAlign w:val="center"/>
          </w:tcPr>
          <w:p w14:paraId="1D72EC68" w14:textId="77777777" w:rsidR="002D0AE7" w:rsidRDefault="002D0AE7">
            <w:pPr>
              <w:jc w:val="right"/>
              <w:rPr>
                <w:rFonts w:ascii="Arial Narrow" w:hAnsi="Arial Narrow"/>
                <w:sz w:val="15"/>
                <w:szCs w:val="15"/>
              </w:rPr>
            </w:pPr>
          </w:p>
        </w:tc>
        <w:tc>
          <w:tcPr>
            <w:tcW w:w="1134" w:type="dxa"/>
            <w:vAlign w:val="center"/>
          </w:tcPr>
          <w:p w14:paraId="5CE408DA" w14:textId="77777777" w:rsidR="002D0AE7" w:rsidRDefault="002D0AE7">
            <w:pPr>
              <w:jc w:val="right"/>
              <w:rPr>
                <w:rFonts w:ascii="Arial Narrow" w:hAnsi="Arial Narrow"/>
                <w:sz w:val="15"/>
                <w:szCs w:val="15"/>
              </w:rPr>
            </w:pPr>
          </w:p>
        </w:tc>
        <w:tc>
          <w:tcPr>
            <w:tcW w:w="1134" w:type="dxa"/>
            <w:vAlign w:val="center"/>
          </w:tcPr>
          <w:p w14:paraId="33348071" w14:textId="77777777" w:rsidR="002D0AE7" w:rsidRDefault="002D0AE7">
            <w:pPr>
              <w:jc w:val="right"/>
              <w:rPr>
                <w:rFonts w:ascii="Arial Narrow" w:hAnsi="Arial Narrow"/>
                <w:sz w:val="15"/>
                <w:szCs w:val="15"/>
              </w:rPr>
            </w:pPr>
          </w:p>
        </w:tc>
        <w:tc>
          <w:tcPr>
            <w:tcW w:w="1058" w:type="dxa"/>
            <w:vAlign w:val="center"/>
          </w:tcPr>
          <w:p w14:paraId="00304273" w14:textId="77777777" w:rsidR="002D0AE7" w:rsidRDefault="002D0AE7">
            <w:pPr>
              <w:jc w:val="right"/>
              <w:rPr>
                <w:rFonts w:ascii="Arial Narrow" w:hAnsi="Arial Narrow"/>
                <w:sz w:val="15"/>
                <w:szCs w:val="15"/>
              </w:rPr>
            </w:pPr>
          </w:p>
        </w:tc>
        <w:tc>
          <w:tcPr>
            <w:tcW w:w="1210" w:type="dxa"/>
            <w:vAlign w:val="center"/>
          </w:tcPr>
          <w:p w14:paraId="5671EF9F" w14:textId="77777777" w:rsidR="002D0AE7" w:rsidRDefault="002D0AE7">
            <w:pPr>
              <w:jc w:val="right"/>
              <w:rPr>
                <w:rFonts w:ascii="Arial Narrow" w:hAnsi="Arial Narrow"/>
                <w:sz w:val="15"/>
                <w:szCs w:val="15"/>
              </w:rPr>
            </w:pPr>
          </w:p>
        </w:tc>
        <w:tc>
          <w:tcPr>
            <w:tcW w:w="1134" w:type="dxa"/>
            <w:vAlign w:val="center"/>
          </w:tcPr>
          <w:p w14:paraId="6C02894B" w14:textId="77777777" w:rsidR="002D0AE7" w:rsidRDefault="002D0AE7">
            <w:pPr>
              <w:jc w:val="right"/>
              <w:rPr>
                <w:rFonts w:ascii="Arial Narrow" w:hAnsi="Arial Narrow"/>
                <w:sz w:val="15"/>
                <w:szCs w:val="15"/>
              </w:rPr>
            </w:pPr>
          </w:p>
        </w:tc>
        <w:tc>
          <w:tcPr>
            <w:tcW w:w="1275" w:type="dxa"/>
            <w:vAlign w:val="center"/>
          </w:tcPr>
          <w:p w14:paraId="3859E501" w14:textId="77777777" w:rsidR="002D0AE7" w:rsidRDefault="002D0AE7">
            <w:pPr>
              <w:jc w:val="right"/>
              <w:rPr>
                <w:rFonts w:ascii="Arial Narrow" w:hAnsi="Arial Narrow"/>
                <w:sz w:val="15"/>
                <w:szCs w:val="15"/>
              </w:rPr>
            </w:pPr>
          </w:p>
        </w:tc>
      </w:tr>
      <w:tr w:rsidR="002D0AE7" w14:paraId="1BE4F4FB" w14:textId="77777777">
        <w:trPr>
          <w:trHeight w:val="20"/>
          <w:jc w:val="center"/>
        </w:trPr>
        <w:tc>
          <w:tcPr>
            <w:tcW w:w="3678" w:type="dxa"/>
          </w:tcPr>
          <w:p w14:paraId="510990E0" w14:textId="77777777" w:rsidR="002D0AE7" w:rsidRDefault="00333EBB">
            <w:pPr>
              <w:rPr>
                <w:rFonts w:hint="eastAsia"/>
                <w:color w:val="000000" w:themeColor="text1"/>
              </w:rPr>
            </w:pPr>
            <w:r>
              <w:rPr>
                <w:color w:val="000000" w:themeColor="text1"/>
                <w:sz w:val="18"/>
                <w:szCs w:val="18"/>
              </w:rPr>
              <w:t>4</w:t>
            </w:r>
            <w:r>
              <w:rPr>
                <w:color w:val="000000" w:themeColor="text1"/>
                <w:sz w:val="18"/>
                <w:szCs w:val="18"/>
              </w:rPr>
              <w:t>．设定受益计划变动额结转留存收益</w:t>
            </w:r>
          </w:p>
        </w:tc>
        <w:tc>
          <w:tcPr>
            <w:tcW w:w="1276" w:type="dxa"/>
            <w:tcBorders>
              <w:right w:val="single" w:sz="4" w:space="0" w:color="auto"/>
            </w:tcBorders>
            <w:vAlign w:val="center"/>
          </w:tcPr>
          <w:p w14:paraId="7707D416" w14:textId="77777777" w:rsidR="002D0AE7" w:rsidRDefault="002D0AE7">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026053B8" w14:textId="77777777" w:rsidR="002D0AE7" w:rsidRDefault="002D0AE7">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447879E8" w14:textId="77777777" w:rsidR="002D0AE7" w:rsidRDefault="002D0AE7">
            <w:pPr>
              <w:jc w:val="right"/>
              <w:rPr>
                <w:rFonts w:ascii="Arial Narrow" w:hAnsi="Arial Narrow"/>
                <w:sz w:val="15"/>
                <w:szCs w:val="15"/>
              </w:rPr>
            </w:pPr>
          </w:p>
        </w:tc>
        <w:tc>
          <w:tcPr>
            <w:tcW w:w="567" w:type="dxa"/>
            <w:tcBorders>
              <w:left w:val="single" w:sz="4" w:space="0" w:color="auto"/>
            </w:tcBorders>
            <w:vAlign w:val="center"/>
          </w:tcPr>
          <w:p w14:paraId="5CE99EBC" w14:textId="77777777" w:rsidR="002D0AE7" w:rsidRDefault="002D0AE7">
            <w:pPr>
              <w:jc w:val="right"/>
              <w:rPr>
                <w:rFonts w:ascii="Arial Narrow" w:hAnsi="Arial Narrow"/>
                <w:sz w:val="15"/>
                <w:szCs w:val="15"/>
              </w:rPr>
            </w:pPr>
          </w:p>
        </w:tc>
        <w:tc>
          <w:tcPr>
            <w:tcW w:w="1134" w:type="dxa"/>
            <w:vAlign w:val="center"/>
          </w:tcPr>
          <w:p w14:paraId="097B80E5" w14:textId="77777777" w:rsidR="002D0AE7" w:rsidRDefault="002D0AE7">
            <w:pPr>
              <w:jc w:val="right"/>
              <w:rPr>
                <w:rFonts w:ascii="Arial Narrow" w:hAnsi="Arial Narrow"/>
                <w:sz w:val="15"/>
                <w:szCs w:val="15"/>
              </w:rPr>
            </w:pPr>
          </w:p>
        </w:tc>
        <w:tc>
          <w:tcPr>
            <w:tcW w:w="1134" w:type="dxa"/>
            <w:vAlign w:val="center"/>
          </w:tcPr>
          <w:p w14:paraId="620C8890" w14:textId="77777777" w:rsidR="002D0AE7" w:rsidRDefault="002D0AE7">
            <w:pPr>
              <w:jc w:val="right"/>
              <w:rPr>
                <w:rFonts w:ascii="Arial Narrow" w:hAnsi="Arial Narrow"/>
                <w:sz w:val="15"/>
                <w:szCs w:val="15"/>
              </w:rPr>
            </w:pPr>
          </w:p>
        </w:tc>
        <w:tc>
          <w:tcPr>
            <w:tcW w:w="1134" w:type="dxa"/>
            <w:vAlign w:val="center"/>
          </w:tcPr>
          <w:p w14:paraId="15DFDF12" w14:textId="77777777" w:rsidR="002D0AE7" w:rsidRDefault="002D0AE7">
            <w:pPr>
              <w:jc w:val="right"/>
              <w:rPr>
                <w:rFonts w:ascii="Arial Narrow" w:hAnsi="Arial Narrow"/>
                <w:sz w:val="15"/>
                <w:szCs w:val="15"/>
              </w:rPr>
            </w:pPr>
          </w:p>
        </w:tc>
        <w:tc>
          <w:tcPr>
            <w:tcW w:w="1058" w:type="dxa"/>
            <w:vAlign w:val="center"/>
          </w:tcPr>
          <w:p w14:paraId="487D7873" w14:textId="77777777" w:rsidR="002D0AE7" w:rsidRDefault="002D0AE7">
            <w:pPr>
              <w:jc w:val="right"/>
              <w:rPr>
                <w:rFonts w:ascii="Arial Narrow" w:hAnsi="Arial Narrow"/>
                <w:sz w:val="15"/>
                <w:szCs w:val="15"/>
              </w:rPr>
            </w:pPr>
          </w:p>
        </w:tc>
        <w:tc>
          <w:tcPr>
            <w:tcW w:w="1210" w:type="dxa"/>
            <w:vAlign w:val="center"/>
          </w:tcPr>
          <w:p w14:paraId="1082B57D" w14:textId="77777777" w:rsidR="002D0AE7" w:rsidRDefault="002D0AE7">
            <w:pPr>
              <w:jc w:val="right"/>
              <w:rPr>
                <w:rFonts w:ascii="Arial Narrow" w:hAnsi="Arial Narrow"/>
                <w:sz w:val="15"/>
                <w:szCs w:val="15"/>
              </w:rPr>
            </w:pPr>
          </w:p>
        </w:tc>
        <w:tc>
          <w:tcPr>
            <w:tcW w:w="1134" w:type="dxa"/>
            <w:vAlign w:val="center"/>
          </w:tcPr>
          <w:p w14:paraId="01792A7F" w14:textId="77777777" w:rsidR="002D0AE7" w:rsidRDefault="002D0AE7">
            <w:pPr>
              <w:jc w:val="right"/>
              <w:rPr>
                <w:rFonts w:ascii="Arial Narrow" w:hAnsi="Arial Narrow"/>
                <w:sz w:val="15"/>
                <w:szCs w:val="15"/>
              </w:rPr>
            </w:pPr>
          </w:p>
        </w:tc>
        <w:tc>
          <w:tcPr>
            <w:tcW w:w="1275" w:type="dxa"/>
            <w:vAlign w:val="center"/>
          </w:tcPr>
          <w:p w14:paraId="205FF273" w14:textId="77777777" w:rsidR="002D0AE7" w:rsidRDefault="002D0AE7">
            <w:pPr>
              <w:jc w:val="right"/>
              <w:rPr>
                <w:rFonts w:ascii="Arial Narrow" w:hAnsi="Arial Narrow"/>
                <w:sz w:val="15"/>
                <w:szCs w:val="15"/>
              </w:rPr>
            </w:pPr>
          </w:p>
        </w:tc>
      </w:tr>
      <w:tr w:rsidR="002D0AE7" w14:paraId="76DC945D" w14:textId="77777777">
        <w:trPr>
          <w:trHeight w:val="20"/>
          <w:jc w:val="center"/>
        </w:trPr>
        <w:tc>
          <w:tcPr>
            <w:tcW w:w="3678" w:type="dxa"/>
          </w:tcPr>
          <w:p w14:paraId="3996FFF0" w14:textId="77777777" w:rsidR="002D0AE7" w:rsidRDefault="00333EBB">
            <w:pPr>
              <w:rPr>
                <w:rFonts w:hint="eastAsia"/>
                <w:color w:val="000000" w:themeColor="text1"/>
                <w:sz w:val="18"/>
                <w:szCs w:val="18"/>
              </w:rPr>
            </w:pPr>
            <w:r>
              <w:rPr>
                <w:color w:val="000000" w:themeColor="text1"/>
                <w:sz w:val="18"/>
                <w:szCs w:val="18"/>
              </w:rPr>
              <w:t>5</w:t>
            </w:r>
            <w:r>
              <w:rPr>
                <w:color w:val="000000" w:themeColor="text1"/>
                <w:sz w:val="18"/>
                <w:szCs w:val="18"/>
              </w:rPr>
              <w:t>．其他综合收益结转留存收益</w:t>
            </w:r>
          </w:p>
        </w:tc>
        <w:tc>
          <w:tcPr>
            <w:tcW w:w="1276" w:type="dxa"/>
            <w:tcBorders>
              <w:right w:val="single" w:sz="4" w:space="0" w:color="auto"/>
            </w:tcBorders>
            <w:vAlign w:val="center"/>
          </w:tcPr>
          <w:p w14:paraId="70E5659A" w14:textId="77777777" w:rsidR="002D0AE7" w:rsidRDefault="002D0AE7">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2B77AB26" w14:textId="77777777" w:rsidR="002D0AE7" w:rsidRDefault="002D0AE7">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28EDA15B" w14:textId="77777777" w:rsidR="002D0AE7" w:rsidRDefault="002D0AE7">
            <w:pPr>
              <w:jc w:val="right"/>
              <w:rPr>
                <w:rFonts w:ascii="Arial Narrow" w:hAnsi="Arial Narrow"/>
                <w:sz w:val="15"/>
                <w:szCs w:val="15"/>
              </w:rPr>
            </w:pPr>
          </w:p>
        </w:tc>
        <w:tc>
          <w:tcPr>
            <w:tcW w:w="567" w:type="dxa"/>
            <w:tcBorders>
              <w:left w:val="single" w:sz="4" w:space="0" w:color="auto"/>
            </w:tcBorders>
            <w:vAlign w:val="center"/>
          </w:tcPr>
          <w:p w14:paraId="3F53DDA6" w14:textId="77777777" w:rsidR="002D0AE7" w:rsidRDefault="002D0AE7">
            <w:pPr>
              <w:jc w:val="right"/>
              <w:rPr>
                <w:rFonts w:ascii="Arial Narrow" w:hAnsi="Arial Narrow"/>
                <w:sz w:val="15"/>
                <w:szCs w:val="15"/>
              </w:rPr>
            </w:pPr>
          </w:p>
        </w:tc>
        <w:tc>
          <w:tcPr>
            <w:tcW w:w="1134" w:type="dxa"/>
            <w:vAlign w:val="center"/>
          </w:tcPr>
          <w:p w14:paraId="0F6B0EFC" w14:textId="77777777" w:rsidR="002D0AE7" w:rsidRDefault="002D0AE7">
            <w:pPr>
              <w:jc w:val="right"/>
              <w:rPr>
                <w:rFonts w:ascii="Arial Narrow" w:hAnsi="Arial Narrow"/>
                <w:sz w:val="15"/>
                <w:szCs w:val="15"/>
              </w:rPr>
            </w:pPr>
          </w:p>
        </w:tc>
        <w:tc>
          <w:tcPr>
            <w:tcW w:w="1134" w:type="dxa"/>
            <w:vAlign w:val="center"/>
          </w:tcPr>
          <w:p w14:paraId="192A9FAF" w14:textId="77777777" w:rsidR="002D0AE7" w:rsidRDefault="002D0AE7">
            <w:pPr>
              <w:jc w:val="right"/>
              <w:rPr>
                <w:rFonts w:ascii="Arial Narrow" w:hAnsi="Arial Narrow"/>
                <w:sz w:val="15"/>
                <w:szCs w:val="15"/>
              </w:rPr>
            </w:pPr>
          </w:p>
        </w:tc>
        <w:tc>
          <w:tcPr>
            <w:tcW w:w="1134" w:type="dxa"/>
            <w:vAlign w:val="center"/>
          </w:tcPr>
          <w:p w14:paraId="133CB0A7" w14:textId="77777777" w:rsidR="002D0AE7" w:rsidRDefault="002D0AE7">
            <w:pPr>
              <w:jc w:val="right"/>
              <w:rPr>
                <w:rFonts w:ascii="Arial Narrow" w:hAnsi="Arial Narrow"/>
                <w:sz w:val="15"/>
                <w:szCs w:val="15"/>
              </w:rPr>
            </w:pPr>
          </w:p>
        </w:tc>
        <w:tc>
          <w:tcPr>
            <w:tcW w:w="1058" w:type="dxa"/>
            <w:vAlign w:val="center"/>
          </w:tcPr>
          <w:p w14:paraId="1A51B35D" w14:textId="77777777" w:rsidR="002D0AE7" w:rsidRDefault="002D0AE7">
            <w:pPr>
              <w:jc w:val="right"/>
              <w:rPr>
                <w:rFonts w:ascii="Arial Narrow" w:hAnsi="Arial Narrow"/>
                <w:sz w:val="15"/>
                <w:szCs w:val="15"/>
              </w:rPr>
            </w:pPr>
          </w:p>
        </w:tc>
        <w:tc>
          <w:tcPr>
            <w:tcW w:w="1210" w:type="dxa"/>
            <w:vAlign w:val="center"/>
          </w:tcPr>
          <w:p w14:paraId="4B5AAF35" w14:textId="77777777" w:rsidR="002D0AE7" w:rsidRDefault="002D0AE7">
            <w:pPr>
              <w:jc w:val="right"/>
              <w:rPr>
                <w:rFonts w:ascii="Arial Narrow" w:hAnsi="Arial Narrow"/>
                <w:sz w:val="15"/>
                <w:szCs w:val="15"/>
              </w:rPr>
            </w:pPr>
          </w:p>
        </w:tc>
        <w:tc>
          <w:tcPr>
            <w:tcW w:w="1134" w:type="dxa"/>
            <w:vAlign w:val="center"/>
          </w:tcPr>
          <w:p w14:paraId="71005579" w14:textId="77777777" w:rsidR="002D0AE7" w:rsidRDefault="002D0AE7">
            <w:pPr>
              <w:jc w:val="right"/>
              <w:rPr>
                <w:rFonts w:ascii="Arial Narrow" w:hAnsi="Arial Narrow"/>
                <w:sz w:val="15"/>
                <w:szCs w:val="15"/>
              </w:rPr>
            </w:pPr>
          </w:p>
        </w:tc>
        <w:tc>
          <w:tcPr>
            <w:tcW w:w="1275" w:type="dxa"/>
            <w:vAlign w:val="center"/>
          </w:tcPr>
          <w:p w14:paraId="34DBFF44" w14:textId="77777777" w:rsidR="002D0AE7" w:rsidRDefault="002D0AE7">
            <w:pPr>
              <w:jc w:val="right"/>
              <w:rPr>
                <w:rFonts w:ascii="Arial Narrow" w:hAnsi="Arial Narrow"/>
                <w:sz w:val="15"/>
                <w:szCs w:val="15"/>
              </w:rPr>
            </w:pPr>
          </w:p>
        </w:tc>
      </w:tr>
      <w:tr w:rsidR="002D0AE7" w14:paraId="76CCBC91" w14:textId="77777777">
        <w:trPr>
          <w:trHeight w:val="20"/>
          <w:jc w:val="center"/>
        </w:trPr>
        <w:tc>
          <w:tcPr>
            <w:tcW w:w="3678" w:type="dxa"/>
          </w:tcPr>
          <w:p w14:paraId="0734AAA0" w14:textId="77777777" w:rsidR="002D0AE7" w:rsidRDefault="00333EBB">
            <w:pPr>
              <w:rPr>
                <w:rFonts w:hint="eastAsia"/>
                <w:color w:val="000000" w:themeColor="text1"/>
              </w:rPr>
            </w:pPr>
            <w:r>
              <w:rPr>
                <w:color w:val="000000" w:themeColor="text1"/>
                <w:sz w:val="18"/>
                <w:szCs w:val="18"/>
              </w:rPr>
              <w:t>6</w:t>
            </w:r>
            <w:r>
              <w:rPr>
                <w:color w:val="000000" w:themeColor="text1"/>
                <w:sz w:val="18"/>
                <w:szCs w:val="18"/>
              </w:rPr>
              <w:t>．其他</w:t>
            </w:r>
          </w:p>
        </w:tc>
        <w:tc>
          <w:tcPr>
            <w:tcW w:w="1276" w:type="dxa"/>
            <w:tcBorders>
              <w:right w:val="single" w:sz="4" w:space="0" w:color="auto"/>
            </w:tcBorders>
            <w:vAlign w:val="center"/>
          </w:tcPr>
          <w:p w14:paraId="0A8272E7" w14:textId="77777777" w:rsidR="002D0AE7" w:rsidRDefault="002D0AE7">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497EB2ED" w14:textId="77777777" w:rsidR="002D0AE7" w:rsidRDefault="002D0AE7">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1CA311FB" w14:textId="77777777" w:rsidR="002D0AE7" w:rsidRDefault="002D0AE7">
            <w:pPr>
              <w:jc w:val="right"/>
              <w:rPr>
                <w:rFonts w:ascii="Arial Narrow" w:hAnsi="Arial Narrow"/>
                <w:sz w:val="15"/>
                <w:szCs w:val="15"/>
              </w:rPr>
            </w:pPr>
          </w:p>
        </w:tc>
        <w:tc>
          <w:tcPr>
            <w:tcW w:w="567" w:type="dxa"/>
            <w:tcBorders>
              <w:left w:val="single" w:sz="4" w:space="0" w:color="auto"/>
            </w:tcBorders>
            <w:vAlign w:val="center"/>
          </w:tcPr>
          <w:p w14:paraId="36F58288" w14:textId="77777777" w:rsidR="002D0AE7" w:rsidRDefault="002D0AE7">
            <w:pPr>
              <w:jc w:val="right"/>
              <w:rPr>
                <w:rFonts w:ascii="Arial Narrow" w:hAnsi="Arial Narrow"/>
                <w:sz w:val="15"/>
                <w:szCs w:val="15"/>
              </w:rPr>
            </w:pPr>
          </w:p>
        </w:tc>
        <w:tc>
          <w:tcPr>
            <w:tcW w:w="1134" w:type="dxa"/>
            <w:vAlign w:val="center"/>
          </w:tcPr>
          <w:p w14:paraId="039D65AA" w14:textId="77777777" w:rsidR="002D0AE7" w:rsidRDefault="002D0AE7">
            <w:pPr>
              <w:jc w:val="right"/>
              <w:rPr>
                <w:rFonts w:ascii="Arial Narrow" w:hAnsi="Arial Narrow"/>
                <w:sz w:val="15"/>
                <w:szCs w:val="15"/>
              </w:rPr>
            </w:pPr>
          </w:p>
        </w:tc>
        <w:tc>
          <w:tcPr>
            <w:tcW w:w="1134" w:type="dxa"/>
            <w:vAlign w:val="center"/>
          </w:tcPr>
          <w:p w14:paraId="4851DE75" w14:textId="77777777" w:rsidR="002D0AE7" w:rsidRDefault="002D0AE7">
            <w:pPr>
              <w:jc w:val="right"/>
              <w:rPr>
                <w:rFonts w:ascii="Arial Narrow" w:hAnsi="Arial Narrow"/>
                <w:sz w:val="15"/>
                <w:szCs w:val="15"/>
              </w:rPr>
            </w:pPr>
          </w:p>
        </w:tc>
        <w:tc>
          <w:tcPr>
            <w:tcW w:w="1134" w:type="dxa"/>
            <w:vAlign w:val="center"/>
          </w:tcPr>
          <w:p w14:paraId="07D01516" w14:textId="77777777" w:rsidR="002D0AE7" w:rsidRDefault="002D0AE7">
            <w:pPr>
              <w:jc w:val="right"/>
              <w:rPr>
                <w:rFonts w:ascii="Arial Narrow" w:hAnsi="Arial Narrow"/>
                <w:sz w:val="15"/>
                <w:szCs w:val="15"/>
              </w:rPr>
            </w:pPr>
          </w:p>
        </w:tc>
        <w:tc>
          <w:tcPr>
            <w:tcW w:w="1058" w:type="dxa"/>
            <w:vAlign w:val="center"/>
          </w:tcPr>
          <w:p w14:paraId="54C593A7" w14:textId="77777777" w:rsidR="002D0AE7" w:rsidRDefault="002D0AE7">
            <w:pPr>
              <w:jc w:val="right"/>
              <w:rPr>
                <w:rFonts w:ascii="Arial Narrow" w:hAnsi="Arial Narrow"/>
                <w:sz w:val="15"/>
                <w:szCs w:val="15"/>
              </w:rPr>
            </w:pPr>
          </w:p>
        </w:tc>
        <w:tc>
          <w:tcPr>
            <w:tcW w:w="1210" w:type="dxa"/>
            <w:vAlign w:val="center"/>
          </w:tcPr>
          <w:p w14:paraId="3ABE6362" w14:textId="77777777" w:rsidR="002D0AE7" w:rsidRDefault="002D0AE7">
            <w:pPr>
              <w:jc w:val="right"/>
              <w:rPr>
                <w:rFonts w:ascii="Arial Narrow" w:hAnsi="Arial Narrow"/>
                <w:sz w:val="15"/>
                <w:szCs w:val="15"/>
              </w:rPr>
            </w:pPr>
          </w:p>
        </w:tc>
        <w:tc>
          <w:tcPr>
            <w:tcW w:w="1134" w:type="dxa"/>
            <w:vAlign w:val="center"/>
          </w:tcPr>
          <w:p w14:paraId="34F767CA" w14:textId="77777777" w:rsidR="002D0AE7" w:rsidRDefault="002D0AE7">
            <w:pPr>
              <w:jc w:val="right"/>
              <w:rPr>
                <w:rFonts w:ascii="Arial Narrow" w:hAnsi="Arial Narrow"/>
                <w:sz w:val="15"/>
                <w:szCs w:val="15"/>
              </w:rPr>
            </w:pPr>
          </w:p>
        </w:tc>
        <w:tc>
          <w:tcPr>
            <w:tcW w:w="1275" w:type="dxa"/>
            <w:vAlign w:val="center"/>
          </w:tcPr>
          <w:p w14:paraId="12558B46" w14:textId="77777777" w:rsidR="002D0AE7" w:rsidRDefault="002D0AE7">
            <w:pPr>
              <w:jc w:val="right"/>
              <w:rPr>
                <w:rFonts w:ascii="Arial Narrow" w:hAnsi="Arial Narrow"/>
                <w:sz w:val="15"/>
                <w:szCs w:val="15"/>
              </w:rPr>
            </w:pPr>
          </w:p>
        </w:tc>
      </w:tr>
      <w:tr w:rsidR="002D0AE7" w14:paraId="532005F7" w14:textId="77777777">
        <w:trPr>
          <w:trHeight w:val="20"/>
          <w:jc w:val="center"/>
        </w:trPr>
        <w:tc>
          <w:tcPr>
            <w:tcW w:w="3678" w:type="dxa"/>
            <w:vAlign w:val="center"/>
          </w:tcPr>
          <w:p w14:paraId="276AF319" w14:textId="77777777" w:rsidR="002D0AE7" w:rsidRDefault="00333EBB">
            <w:pPr>
              <w:rPr>
                <w:rFonts w:hint="eastAsia"/>
                <w:color w:val="000000" w:themeColor="text1"/>
                <w:sz w:val="18"/>
                <w:szCs w:val="18"/>
              </w:rPr>
            </w:pPr>
            <w:r>
              <w:rPr>
                <w:rFonts w:hint="eastAsia"/>
                <w:color w:val="000000" w:themeColor="text1"/>
                <w:sz w:val="18"/>
                <w:szCs w:val="18"/>
              </w:rPr>
              <w:t>（五）专项储备</w:t>
            </w:r>
          </w:p>
        </w:tc>
        <w:tc>
          <w:tcPr>
            <w:tcW w:w="1276" w:type="dxa"/>
            <w:tcBorders>
              <w:right w:val="single" w:sz="4" w:space="0" w:color="auto"/>
            </w:tcBorders>
            <w:vAlign w:val="center"/>
          </w:tcPr>
          <w:p w14:paraId="4CFCD9A0"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1B35BD46"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77AADA5A"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tcBorders>
            <w:vAlign w:val="center"/>
          </w:tcPr>
          <w:p w14:paraId="7087AA2D"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1F986760"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34C29E6D"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29447931" w14:textId="77777777" w:rsidR="002D0AE7" w:rsidRDefault="00333EBB">
            <w:pPr>
              <w:jc w:val="right"/>
              <w:rPr>
                <w:rFonts w:ascii="Arial Narrow" w:hAnsi="Arial Narrow"/>
                <w:sz w:val="15"/>
                <w:szCs w:val="15"/>
              </w:rPr>
            </w:pPr>
            <w:r>
              <w:rPr>
                <w:rFonts w:ascii="Arial Narrow" w:hAnsi="Arial Narrow"/>
                <w:sz w:val="15"/>
                <w:szCs w:val="15"/>
              </w:rPr>
              <w:t>0.00</w:t>
            </w:r>
          </w:p>
        </w:tc>
        <w:tc>
          <w:tcPr>
            <w:tcW w:w="1058" w:type="dxa"/>
            <w:vAlign w:val="center"/>
          </w:tcPr>
          <w:p w14:paraId="42EA0C1E" w14:textId="77777777" w:rsidR="002D0AE7" w:rsidRDefault="00333EBB">
            <w:pPr>
              <w:jc w:val="right"/>
              <w:rPr>
                <w:rFonts w:ascii="Arial Narrow" w:hAnsi="Arial Narrow"/>
                <w:sz w:val="15"/>
                <w:szCs w:val="15"/>
              </w:rPr>
            </w:pPr>
            <w:r>
              <w:rPr>
                <w:rFonts w:ascii="Arial Narrow" w:hAnsi="Arial Narrow"/>
                <w:sz w:val="15"/>
                <w:szCs w:val="15"/>
              </w:rPr>
              <w:t>1,893,155.95</w:t>
            </w:r>
          </w:p>
        </w:tc>
        <w:tc>
          <w:tcPr>
            <w:tcW w:w="1210" w:type="dxa"/>
            <w:vAlign w:val="center"/>
          </w:tcPr>
          <w:p w14:paraId="27DFA108"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49318A58" w14:textId="77777777" w:rsidR="002D0AE7" w:rsidRDefault="00333EBB">
            <w:pPr>
              <w:jc w:val="right"/>
              <w:rPr>
                <w:rFonts w:ascii="Arial Narrow" w:hAnsi="Arial Narrow"/>
                <w:sz w:val="15"/>
                <w:szCs w:val="15"/>
              </w:rPr>
            </w:pPr>
            <w:r>
              <w:rPr>
                <w:rFonts w:ascii="Arial Narrow" w:hAnsi="Arial Narrow"/>
                <w:sz w:val="15"/>
                <w:szCs w:val="15"/>
              </w:rPr>
              <w:t>0.00</w:t>
            </w:r>
          </w:p>
        </w:tc>
        <w:tc>
          <w:tcPr>
            <w:tcW w:w="1275" w:type="dxa"/>
            <w:vAlign w:val="center"/>
          </w:tcPr>
          <w:p w14:paraId="0C953507" w14:textId="77777777" w:rsidR="002D0AE7" w:rsidRDefault="00333EBB">
            <w:pPr>
              <w:jc w:val="right"/>
              <w:rPr>
                <w:rFonts w:ascii="Arial Narrow" w:hAnsi="Arial Narrow"/>
                <w:sz w:val="15"/>
                <w:szCs w:val="15"/>
              </w:rPr>
            </w:pPr>
            <w:r>
              <w:rPr>
                <w:rFonts w:ascii="Arial Narrow" w:hAnsi="Arial Narrow"/>
                <w:sz w:val="15"/>
                <w:szCs w:val="15"/>
              </w:rPr>
              <w:t>1,893,155.95</w:t>
            </w:r>
          </w:p>
        </w:tc>
      </w:tr>
      <w:tr w:rsidR="002D0AE7" w14:paraId="317808FD" w14:textId="77777777">
        <w:trPr>
          <w:trHeight w:val="20"/>
          <w:jc w:val="center"/>
        </w:trPr>
        <w:tc>
          <w:tcPr>
            <w:tcW w:w="3678" w:type="dxa"/>
            <w:vAlign w:val="center"/>
          </w:tcPr>
          <w:p w14:paraId="0E91A5F5" w14:textId="77777777" w:rsidR="002D0AE7" w:rsidRDefault="00333EBB">
            <w:pPr>
              <w:rPr>
                <w:rFonts w:hint="eastAsia"/>
                <w:color w:val="000000" w:themeColor="text1"/>
                <w:sz w:val="18"/>
                <w:szCs w:val="18"/>
              </w:rPr>
            </w:pPr>
            <w:r>
              <w:rPr>
                <w:rFonts w:hint="eastAsia"/>
                <w:color w:val="000000" w:themeColor="text1"/>
                <w:sz w:val="18"/>
                <w:szCs w:val="18"/>
              </w:rPr>
              <w:t>1</w:t>
            </w:r>
            <w:r>
              <w:rPr>
                <w:rFonts w:hint="eastAsia"/>
                <w:color w:val="000000" w:themeColor="text1"/>
                <w:sz w:val="18"/>
                <w:szCs w:val="18"/>
              </w:rPr>
              <w:t>．本期提取</w:t>
            </w:r>
          </w:p>
        </w:tc>
        <w:tc>
          <w:tcPr>
            <w:tcW w:w="1276" w:type="dxa"/>
            <w:tcBorders>
              <w:right w:val="single" w:sz="4" w:space="0" w:color="auto"/>
            </w:tcBorders>
            <w:vAlign w:val="center"/>
          </w:tcPr>
          <w:p w14:paraId="04985796"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6364D614"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2E75AD23"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tcBorders>
            <w:vAlign w:val="center"/>
          </w:tcPr>
          <w:p w14:paraId="737FD275"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09B9BBEF"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356B62D1"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73BABF18" w14:textId="77777777" w:rsidR="002D0AE7" w:rsidRDefault="00333EBB">
            <w:pPr>
              <w:jc w:val="right"/>
              <w:rPr>
                <w:rFonts w:ascii="Arial Narrow" w:hAnsi="Arial Narrow"/>
                <w:sz w:val="15"/>
                <w:szCs w:val="15"/>
              </w:rPr>
            </w:pPr>
            <w:r>
              <w:rPr>
                <w:rFonts w:ascii="Arial Narrow" w:hAnsi="Arial Narrow"/>
                <w:sz w:val="15"/>
                <w:szCs w:val="15"/>
              </w:rPr>
              <w:t>0.00</w:t>
            </w:r>
          </w:p>
        </w:tc>
        <w:tc>
          <w:tcPr>
            <w:tcW w:w="1058" w:type="dxa"/>
            <w:vAlign w:val="center"/>
          </w:tcPr>
          <w:p w14:paraId="5E41ED62" w14:textId="77777777" w:rsidR="002D0AE7" w:rsidRDefault="00333EBB">
            <w:pPr>
              <w:jc w:val="right"/>
              <w:rPr>
                <w:rFonts w:ascii="Arial Narrow" w:hAnsi="Arial Narrow"/>
                <w:sz w:val="15"/>
                <w:szCs w:val="15"/>
              </w:rPr>
            </w:pPr>
            <w:r>
              <w:rPr>
                <w:rFonts w:ascii="Arial Narrow" w:hAnsi="Arial Narrow"/>
                <w:sz w:val="15"/>
                <w:szCs w:val="15"/>
              </w:rPr>
              <w:t>4,212,000.00</w:t>
            </w:r>
          </w:p>
        </w:tc>
        <w:tc>
          <w:tcPr>
            <w:tcW w:w="1210" w:type="dxa"/>
            <w:vAlign w:val="center"/>
          </w:tcPr>
          <w:p w14:paraId="223CB793"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0E5B3642" w14:textId="77777777" w:rsidR="002D0AE7" w:rsidRDefault="00333EBB">
            <w:pPr>
              <w:jc w:val="right"/>
              <w:rPr>
                <w:rFonts w:ascii="Arial Narrow" w:hAnsi="Arial Narrow"/>
                <w:sz w:val="15"/>
                <w:szCs w:val="15"/>
              </w:rPr>
            </w:pPr>
            <w:r>
              <w:rPr>
                <w:rFonts w:ascii="Arial Narrow" w:hAnsi="Arial Narrow"/>
                <w:sz w:val="15"/>
                <w:szCs w:val="15"/>
              </w:rPr>
              <w:t>0.00</w:t>
            </w:r>
          </w:p>
        </w:tc>
        <w:tc>
          <w:tcPr>
            <w:tcW w:w="1275" w:type="dxa"/>
            <w:vAlign w:val="center"/>
          </w:tcPr>
          <w:p w14:paraId="5C3D29C3" w14:textId="77777777" w:rsidR="002D0AE7" w:rsidRDefault="00333EBB">
            <w:pPr>
              <w:jc w:val="right"/>
              <w:rPr>
                <w:rFonts w:ascii="Arial Narrow" w:hAnsi="Arial Narrow"/>
                <w:sz w:val="15"/>
                <w:szCs w:val="15"/>
              </w:rPr>
            </w:pPr>
            <w:r>
              <w:rPr>
                <w:rFonts w:ascii="Arial Narrow" w:hAnsi="Arial Narrow"/>
                <w:sz w:val="15"/>
                <w:szCs w:val="15"/>
              </w:rPr>
              <w:t>4,212,000.00</w:t>
            </w:r>
          </w:p>
        </w:tc>
      </w:tr>
      <w:tr w:rsidR="002D0AE7" w14:paraId="329B8D6D" w14:textId="77777777">
        <w:trPr>
          <w:trHeight w:val="20"/>
          <w:jc w:val="center"/>
        </w:trPr>
        <w:tc>
          <w:tcPr>
            <w:tcW w:w="3678" w:type="dxa"/>
            <w:vAlign w:val="center"/>
          </w:tcPr>
          <w:p w14:paraId="64FDA202" w14:textId="77777777" w:rsidR="002D0AE7" w:rsidRDefault="00333EBB">
            <w:pPr>
              <w:rPr>
                <w:rFonts w:hint="eastAsia"/>
                <w:color w:val="000000" w:themeColor="text1"/>
                <w:sz w:val="18"/>
                <w:szCs w:val="18"/>
              </w:rPr>
            </w:pPr>
            <w:r>
              <w:rPr>
                <w:rFonts w:hint="eastAsia"/>
                <w:color w:val="000000" w:themeColor="text1"/>
                <w:sz w:val="18"/>
                <w:szCs w:val="18"/>
              </w:rPr>
              <w:t>2</w:t>
            </w:r>
            <w:r>
              <w:rPr>
                <w:rFonts w:hint="eastAsia"/>
                <w:color w:val="000000" w:themeColor="text1"/>
                <w:sz w:val="18"/>
                <w:szCs w:val="18"/>
              </w:rPr>
              <w:t>．本期使用</w:t>
            </w:r>
          </w:p>
        </w:tc>
        <w:tc>
          <w:tcPr>
            <w:tcW w:w="1276" w:type="dxa"/>
            <w:tcBorders>
              <w:right w:val="single" w:sz="4" w:space="0" w:color="auto"/>
            </w:tcBorders>
            <w:vAlign w:val="center"/>
          </w:tcPr>
          <w:p w14:paraId="713D073B"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4D4B60D6"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5FCEDC10"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tcBorders>
            <w:vAlign w:val="center"/>
          </w:tcPr>
          <w:p w14:paraId="1DDD485A"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4D2D65CF"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61A78A1E"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736A8B85" w14:textId="77777777" w:rsidR="002D0AE7" w:rsidRDefault="00333EBB">
            <w:pPr>
              <w:jc w:val="right"/>
              <w:rPr>
                <w:rFonts w:ascii="Arial Narrow" w:hAnsi="Arial Narrow"/>
                <w:sz w:val="15"/>
                <w:szCs w:val="15"/>
              </w:rPr>
            </w:pPr>
            <w:r>
              <w:rPr>
                <w:rFonts w:ascii="Arial Narrow" w:hAnsi="Arial Narrow"/>
                <w:sz w:val="15"/>
                <w:szCs w:val="15"/>
              </w:rPr>
              <w:t>0.00</w:t>
            </w:r>
          </w:p>
        </w:tc>
        <w:tc>
          <w:tcPr>
            <w:tcW w:w="1058" w:type="dxa"/>
            <w:vAlign w:val="center"/>
          </w:tcPr>
          <w:p w14:paraId="5977595D" w14:textId="77777777" w:rsidR="002D0AE7" w:rsidRDefault="00333EBB">
            <w:pPr>
              <w:jc w:val="right"/>
              <w:rPr>
                <w:rFonts w:ascii="Arial Narrow" w:hAnsi="Arial Narrow"/>
                <w:sz w:val="15"/>
                <w:szCs w:val="15"/>
              </w:rPr>
            </w:pPr>
            <w:r>
              <w:rPr>
                <w:rFonts w:ascii="Arial Narrow" w:hAnsi="Arial Narrow"/>
                <w:sz w:val="15"/>
                <w:szCs w:val="15"/>
              </w:rPr>
              <w:t>2,318,844.05</w:t>
            </w:r>
          </w:p>
        </w:tc>
        <w:tc>
          <w:tcPr>
            <w:tcW w:w="1210" w:type="dxa"/>
            <w:vAlign w:val="center"/>
          </w:tcPr>
          <w:p w14:paraId="52AC1BED"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2FB83674" w14:textId="77777777" w:rsidR="002D0AE7" w:rsidRDefault="00333EBB">
            <w:pPr>
              <w:jc w:val="right"/>
              <w:rPr>
                <w:rFonts w:ascii="Arial Narrow" w:hAnsi="Arial Narrow"/>
                <w:sz w:val="15"/>
                <w:szCs w:val="15"/>
              </w:rPr>
            </w:pPr>
            <w:r>
              <w:rPr>
                <w:rFonts w:ascii="Arial Narrow" w:hAnsi="Arial Narrow"/>
                <w:sz w:val="15"/>
                <w:szCs w:val="15"/>
              </w:rPr>
              <w:t>0.00</w:t>
            </w:r>
          </w:p>
        </w:tc>
        <w:tc>
          <w:tcPr>
            <w:tcW w:w="1275" w:type="dxa"/>
            <w:vAlign w:val="center"/>
          </w:tcPr>
          <w:p w14:paraId="490DD46F" w14:textId="77777777" w:rsidR="002D0AE7" w:rsidRDefault="00333EBB">
            <w:pPr>
              <w:jc w:val="right"/>
              <w:rPr>
                <w:rFonts w:ascii="Arial Narrow" w:hAnsi="Arial Narrow"/>
                <w:sz w:val="15"/>
                <w:szCs w:val="15"/>
              </w:rPr>
            </w:pPr>
            <w:r>
              <w:rPr>
                <w:rFonts w:ascii="Arial Narrow" w:hAnsi="Arial Narrow"/>
                <w:sz w:val="15"/>
                <w:szCs w:val="15"/>
              </w:rPr>
              <w:t>2,318,844.05</w:t>
            </w:r>
          </w:p>
        </w:tc>
      </w:tr>
      <w:tr w:rsidR="002D0AE7" w14:paraId="53076BAE" w14:textId="77777777">
        <w:trPr>
          <w:trHeight w:val="20"/>
          <w:jc w:val="center"/>
        </w:trPr>
        <w:tc>
          <w:tcPr>
            <w:tcW w:w="3678" w:type="dxa"/>
          </w:tcPr>
          <w:p w14:paraId="148D660B" w14:textId="77777777" w:rsidR="002D0AE7" w:rsidRDefault="00333EBB">
            <w:pPr>
              <w:rPr>
                <w:rFonts w:hint="eastAsia"/>
                <w:color w:val="000000" w:themeColor="text1"/>
                <w:sz w:val="18"/>
                <w:szCs w:val="18"/>
              </w:rPr>
            </w:pPr>
            <w:r>
              <w:rPr>
                <w:rFonts w:hint="eastAsia"/>
                <w:color w:val="000000" w:themeColor="text1"/>
                <w:sz w:val="18"/>
                <w:szCs w:val="18"/>
              </w:rPr>
              <w:t>（六）其他</w:t>
            </w:r>
          </w:p>
        </w:tc>
        <w:tc>
          <w:tcPr>
            <w:tcW w:w="1276" w:type="dxa"/>
            <w:tcBorders>
              <w:right w:val="single" w:sz="4" w:space="0" w:color="auto"/>
            </w:tcBorders>
            <w:vAlign w:val="center"/>
          </w:tcPr>
          <w:p w14:paraId="0F906680" w14:textId="77777777" w:rsidR="002D0AE7" w:rsidRDefault="002D0AE7">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31B90050" w14:textId="77777777" w:rsidR="002D0AE7" w:rsidRDefault="002D0AE7">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214DBF4D" w14:textId="77777777" w:rsidR="002D0AE7" w:rsidRDefault="002D0AE7">
            <w:pPr>
              <w:jc w:val="right"/>
              <w:rPr>
                <w:rFonts w:ascii="Arial Narrow" w:hAnsi="Arial Narrow"/>
                <w:sz w:val="15"/>
                <w:szCs w:val="15"/>
              </w:rPr>
            </w:pPr>
          </w:p>
        </w:tc>
        <w:tc>
          <w:tcPr>
            <w:tcW w:w="567" w:type="dxa"/>
            <w:tcBorders>
              <w:left w:val="single" w:sz="4" w:space="0" w:color="auto"/>
            </w:tcBorders>
            <w:vAlign w:val="center"/>
          </w:tcPr>
          <w:p w14:paraId="3EB0B654" w14:textId="77777777" w:rsidR="002D0AE7" w:rsidRDefault="002D0AE7">
            <w:pPr>
              <w:jc w:val="right"/>
              <w:rPr>
                <w:rFonts w:ascii="Arial Narrow" w:hAnsi="Arial Narrow"/>
                <w:sz w:val="15"/>
                <w:szCs w:val="15"/>
              </w:rPr>
            </w:pPr>
          </w:p>
        </w:tc>
        <w:tc>
          <w:tcPr>
            <w:tcW w:w="1134" w:type="dxa"/>
            <w:vAlign w:val="center"/>
          </w:tcPr>
          <w:p w14:paraId="1C4F87B0" w14:textId="77777777" w:rsidR="002D0AE7" w:rsidRDefault="002D0AE7">
            <w:pPr>
              <w:jc w:val="right"/>
              <w:rPr>
                <w:rFonts w:ascii="Arial Narrow" w:hAnsi="Arial Narrow"/>
                <w:sz w:val="15"/>
                <w:szCs w:val="15"/>
              </w:rPr>
            </w:pPr>
          </w:p>
        </w:tc>
        <w:tc>
          <w:tcPr>
            <w:tcW w:w="1134" w:type="dxa"/>
            <w:vAlign w:val="center"/>
          </w:tcPr>
          <w:p w14:paraId="3215363E" w14:textId="77777777" w:rsidR="002D0AE7" w:rsidRDefault="002D0AE7">
            <w:pPr>
              <w:jc w:val="right"/>
              <w:rPr>
                <w:rFonts w:ascii="Arial Narrow" w:hAnsi="Arial Narrow"/>
                <w:sz w:val="15"/>
                <w:szCs w:val="15"/>
              </w:rPr>
            </w:pPr>
          </w:p>
        </w:tc>
        <w:tc>
          <w:tcPr>
            <w:tcW w:w="1134" w:type="dxa"/>
            <w:vAlign w:val="center"/>
          </w:tcPr>
          <w:p w14:paraId="72CEB10D" w14:textId="77777777" w:rsidR="002D0AE7" w:rsidRDefault="002D0AE7">
            <w:pPr>
              <w:jc w:val="right"/>
              <w:rPr>
                <w:rFonts w:ascii="Arial Narrow" w:hAnsi="Arial Narrow"/>
                <w:sz w:val="15"/>
                <w:szCs w:val="15"/>
              </w:rPr>
            </w:pPr>
          </w:p>
        </w:tc>
        <w:tc>
          <w:tcPr>
            <w:tcW w:w="1058" w:type="dxa"/>
            <w:vAlign w:val="center"/>
          </w:tcPr>
          <w:p w14:paraId="7E6B3954" w14:textId="77777777" w:rsidR="002D0AE7" w:rsidRDefault="002D0AE7">
            <w:pPr>
              <w:jc w:val="right"/>
              <w:rPr>
                <w:rFonts w:ascii="Arial Narrow" w:hAnsi="Arial Narrow"/>
                <w:sz w:val="15"/>
                <w:szCs w:val="15"/>
              </w:rPr>
            </w:pPr>
          </w:p>
        </w:tc>
        <w:tc>
          <w:tcPr>
            <w:tcW w:w="1210" w:type="dxa"/>
            <w:vAlign w:val="center"/>
          </w:tcPr>
          <w:p w14:paraId="72834439" w14:textId="77777777" w:rsidR="002D0AE7" w:rsidRDefault="002D0AE7">
            <w:pPr>
              <w:jc w:val="right"/>
              <w:rPr>
                <w:rFonts w:ascii="Arial Narrow" w:hAnsi="Arial Narrow"/>
                <w:sz w:val="15"/>
                <w:szCs w:val="15"/>
              </w:rPr>
            </w:pPr>
          </w:p>
        </w:tc>
        <w:tc>
          <w:tcPr>
            <w:tcW w:w="1134" w:type="dxa"/>
            <w:vAlign w:val="center"/>
          </w:tcPr>
          <w:p w14:paraId="30DD3086" w14:textId="77777777" w:rsidR="002D0AE7" w:rsidRDefault="002D0AE7">
            <w:pPr>
              <w:jc w:val="right"/>
              <w:rPr>
                <w:rFonts w:ascii="Arial Narrow" w:hAnsi="Arial Narrow"/>
                <w:sz w:val="15"/>
                <w:szCs w:val="15"/>
              </w:rPr>
            </w:pPr>
          </w:p>
        </w:tc>
        <w:tc>
          <w:tcPr>
            <w:tcW w:w="1275" w:type="dxa"/>
            <w:vAlign w:val="center"/>
          </w:tcPr>
          <w:p w14:paraId="309B5B39" w14:textId="77777777" w:rsidR="002D0AE7" w:rsidRDefault="002D0AE7">
            <w:pPr>
              <w:jc w:val="right"/>
              <w:rPr>
                <w:rFonts w:ascii="Arial Narrow" w:hAnsi="Arial Narrow"/>
                <w:sz w:val="15"/>
                <w:szCs w:val="15"/>
              </w:rPr>
            </w:pPr>
          </w:p>
        </w:tc>
      </w:tr>
      <w:tr w:rsidR="002D0AE7" w14:paraId="43B5D128" w14:textId="77777777">
        <w:trPr>
          <w:trHeight w:val="20"/>
          <w:jc w:val="center"/>
        </w:trPr>
        <w:tc>
          <w:tcPr>
            <w:tcW w:w="3678" w:type="dxa"/>
          </w:tcPr>
          <w:p w14:paraId="5EBAC11C" w14:textId="77777777" w:rsidR="002D0AE7" w:rsidRDefault="00333EBB">
            <w:pPr>
              <w:rPr>
                <w:rFonts w:hint="eastAsia"/>
                <w:color w:val="000000" w:themeColor="text1"/>
                <w:sz w:val="18"/>
                <w:szCs w:val="18"/>
              </w:rPr>
            </w:pPr>
            <w:r>
              <w:rPr>
                <w:color w:val="000000" w:themeColor="text1"/>
                <w:sz w:val="18"/>
                <w:szCs w:val="18"/>
              </w:rPr>
              <w:t>四、本期期末余额</w:t>
            </w:r>
          </w:p>
        </w:tc>
        <w:tc>
          <w:tcPr>
            <w:tcW w:w="1276" w:type="dxa"/>
            <w:tcBorders>
              <w:right w:val="single" w:sz="4" w:space="0" w:color="auto"/>
            </w:tcBorders>
            <w:vAlign w:val="center"/>
          </w:tcPr>
          <w:p w14:paraId="3D8F3347" w14:textId="77777777" w:rsidR="002D0AE7" w:rsidRDefault="00333EBB">
            <w:pPr>
              <w:jc w:val="right"/>
              <w:rPr>
                <w:rFonts w:ascii="Arial Narrow" w:hAnsi="Arial Narrow"/>
                <w:sz w:val="15"/>
                <w:szCs w:val="15"/>
              </w:rPr>
            </w:pPr>
            <w:r>
              <w:rPr>
                <w:rFonts w:ascii="Arial Narrow" w:hAnsi="Arial Narrow"/>
                <w:sz w:val="15"/>
                <w:szCs w:val="15"/>
              </w:rPr>
              <w:t>1,093,932,680.00</w:t>
            </w:r>
          </w:p>
        </w:tc>
        <w:tc>
          <w:tcPr>
            <w:tcW w:w="567" w:type="dxa"/>
            <w:tcBorders>
              <w:left w:val="single" w:sz="4" w:space="0" w:color="auto"/>
              <w:right w:val="single" w:sz="4" w:space="0" w:color="auto"/>
            </w:tcBorders>
            <w:vAlign w:val="center"/>
          </w:tcPr>
          <w:p w14:paraId="39AEF80B"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right w:val="single" w:sz="4" w:space="0" w:color="auto"/>
            </w:tcBorders>
            <w:vAlign w:val="center"/>
          </w:tcPr>
          <w:p w14:paraId="086EA241" w14:textId="77777777" w:rsidR="002D0AE7" w:rsidRDefault="00333EBB">
            <w:pPr>
              <w:jc w:val="right"/>
              <w:rPr>
                <w:rFonts w:ascii="Arial Narrow" w:hAnsi="Arial Narrow"/>
                <w:sz w:val="15"/>
                <w:szCs w:val="15"/>
              </w:rPr>
            </w:pPr>
            <w:r>
              <w:rPr>
                <w:rFonts w:ascii="Arial Narrow" w:hAnsi="Arial Narrow"/>
                <w:sz w:val="15"/>
                <w:szCs w:val="15"/>
              </w:rPr>
              <w:t>0.00</w:t>
            </w:r>
          </w:p>
        </w:tc>
        <w:tc>
          <w:tcPr>
            <w:tcW w:w="567" w:type="dxa"/>
            <w:tcBorders>
              <w:left w:val="single" w:sz="4" w:space="0" w:color="auto"/>
            </w:tcBorders>
            <w:vAlign w:val="center"/>
          </w:tcPr>
          <w:p w14:paraId="17534C71" w14:textId="77777777" w:rsidR="002D0AE7" w:rsidRDefault="00333EBB">
            <w:pPr>
              <w:jc w:val="right"/>
              <w:rPr>
                <w:rFonts w:ascii="Arial Narrow" w:hAnsi="Arial Narrow"/>
                <w:sz w:val="15"/>
                <w:szCs w:val="15"/>
              </w:rPr>
            </w:pPr>
            <w:r>
              <w:rPr>
                <w:rFonts w:ascii="Arial Narrow" w:hAnsi="Arial Narrow"/>
                <w:sz w:val="15"/>
                <w:szCs w:val="15"/>
              </w:rPr>
              <w:t>0.00</w:t>
            </w:r>
          </w:p>
        </w:tc>
        <w:tc>
          <w:tcPr>
            <w:tcW w:w="1134" w:type="dxa"/>
            <w:vAlign w:val="center"/>
          </w:tcPr>
          <w:p w14:paraId="71A840B2" w14:textId="77777777" w:rsidR="002D0AE7" w:rsidRDefault="00333EBB">
            <w:pPr>
              <w:jc w:val="right"/>
              <w:rPr>
                <w:rFonts w:ascii="Arial Narrow" w:hAnsi="Arial Narrow"/>
                <w:sz w:val="15"/>
                <w:szCs w:val="15"/>
              </w:rPr>
            </w:pPr>
            <w:r>
              <w:rPr>
                <w:rFonts w:ascii="Arial Narrow" w:hAnsi="Arial Narrow"/>
                <w:sz w:val="15"/>
                <w:szCs w:val="15"/>
              </w:rPr>
              <w:t>790,053,598.37</w:t>
            </w:r>
          </w:p>
        </w:tc>
        <w:tc>
          <w:tcPr>
            <w:tcW w:w="1134" w:type="dxa"/>
            <w:vAlign w:val="center"/>
          </w:tcPr>
          <w:p w14:paraId="5EC6EEF6" w14:textId="77777777" w:rsidR="002D0AE7" w:rsidRDefault="00333EBB">
            <w:pPr>
              <w:jc w:val="right"/>
              <w:rPr>
                <w:rFonts w:ascii="Arial Narrow" w:hAnsi="Arial Narrow"/>
                <w:sz w:val="15"/>
                <w:szCs w:val="15"/>
              </w:rPr>
            </w:pPr>
            <w:r>
              <w:rPr>
                <w:rFonts w:ascii="Arial Narrow" w:hAnsi="Arial Narrow"/>
                <w:sz w:val="15"/>
                <w:szCs w:val="15"/>
              </w:rPr>
              <w:t>4,726,260.00</w:t>
            </w:r>
          </w:p>
        </w:tc>
        <w:tc>
          <w:tcPr>
            <w:tcW w:w="1134" w:type="dxa"/>
            <w:vAlign w:val="center"/>
          </w:tcPr>
          <w:p w14:paraId="10CA4EC7" w14:textId="77777777" w:rsidR="002D0AE7" w:rsidRDefault="00333EBB">
            <w:pPr>
              <w:jc w:val="right"/>
              <w:rPr>
                <w:rFonts w:ascii="Arial Narrow" w:hAnsi="Arial Narrow"/>
                <w:sz w:val="15"/>
                <w:szCs w:val="15"/>
              </w:rPr>
            </w:pPr>
            <w:r>
              <w:rPr>
                <w:rFonts w:ascii="Arial Narrow" w:hAnsi="Arial Narrow"/>
                <w:sz w:val="15"/>
                <w:szCs w:val="15"/>
              </w:rPr>
              <w:t>178,491,593.64</w:t>
            </w:r>
          </w:p>
        </w:tc>
        <w:tc>
          <w:tcPr>
            <w:tcW w:w="1058" w:type="dxa"/>
            <w:vAlign w:val="center"/>
          </w:tcPr>
          <w:p w14:paraId="3C3CE1FD" w14:textId="77777777" w:rsidR="002D0AE7" w:rsidRDefault="00333EBB">
            <w:pPr>
              <w:jc w:val="right"/>
              <w:rPr>
                <w:rFonts w:ascii="Arial Narrow" w:hAnsi="Arial Narrow"/>
                <w:sz w:val="15"/>
                <w:szCs w:val="15"/>
              </w:rPr>
            </w:pPr>
            <w:r>
              <w:rPr>
                <w:rFonts w:ascii="Arial Narrow" w:hAnsi="Arial Narrow"/>
                <w:sz w:val="15"/>
                <w:szCs w:val="15"/>
              </w:rPr>
              <w:t>3,972,061.76</w:t>
            </w:r>
          </w:p>
        </w:tc>
        <w:tc>
          <w:tcPr>
            <w:tcW w:w="1210" w:type="dxa"/>
            <w:vAlign w:val="center"/>
          </w:tcPr>
          <w:p w14:paraId="06B67B82" w14:textId="77777777" w:rsidR="002D0AE7" w:rsidRDefault="00333EBB">
            <w:pPr>
              <w:jc w:val="right"/>
              <w:rPr>
                <w:rFonts w:ascii="Arial Narrow" w:hAnsi="Arial Narrow"/>
                <w:sz w:val="15"/>
                <w:szCs w:val="15"/>
              </w:rPr>
            </w:pPr>
            <w:r>
              <w:rPr>
                <w:rFonts w:ascii="Arial Narrow" w:hAnsi="Arial Narrow"/>
                <w:sz w:val="15"/>
                <w:szCs w:val="15"/>
              </w:rPr>
              <w:t>205,411,032.41</w:t>
            </w:r>
          </w:p>
        </w:tc>
        <w:tc>
          <w:tcPr>
            <w:tcW w:w="1134" w:type="dxa"/>
            <w:vAlign w:val="center"/>
          </w:tcPr>
          <w:p w14:paraId="21ACE07A" w14:textId="77777777" w:rsidR="002D0AE7" w:rsidRDefault="00333EBB">
            <w:pPr>
              <w:jc w:val="right"/>
              <w:rPr>
                <w:rFonts w:ascii="Arial Narrow" w:hAnsi="Arial Narrow"/>
                <w:sz w:val="15"/>
                <w:szCs w:val="15"/>
              </w:rPr>
            </w:pPr>
            <w:r>
              <w:rPr>
                <w:rFonts w:ascii="Arial Narrow" w:hAnsi="Arial Narrow"/>
                <w:sz w:val="15"/>
                <w:szCs w:val="15"/>
              </w:rPr>
              <w:t>910,605,870.65</w:t>
            </w:r>
          </w:p>
        </w:tc>
        <w:tc>
          <w:tcPr>
            <w:tcW w:w="1275" w:type="dxa"/>
            <w:vAlign w:val="center"/>
          </w:tcPr>
          <w:p w14:paraId="002C6F48" w14:textId="77777777" w:rsidR="002D0AE7" w:rsidRDefault="00333EBB">
            <w:pPr>
              <w:jc w:val="right"/>
              <w:rPr>
                <w:rFonts w:ascii="Arial Narrow" w:hAnsi="Arial Narrow"/>
                <w:sz w:val="15"/>
                <w:szCs w:val="15"/>
              </w:rPr>
            </w:pPr>
            <w:r>
              <w:rPr>
                <w:rFonts w:ascii="Arial Narrow" w:hAnsi="Arial Narrow"/>
                <w:sz w:val="15"/>
                <w:szCs w:val="15"/>
              </w:rPr>
              <w:t>3,177,740,576.83</w:t>
            </w:r>
          </w:p>
        </w:tc>
      </w:tr>
    </w:tbl>
    <w:p w14:paraId="3125C79F" w14:textId="77777777" w:rsidR="002D0AE7" w:rsidRDefault="00333EBB">
      <w:pPr>
        <w:snapToGrid w:val="0"/>
        <w:spacing w:line="240" w:lineRule="atLeast"/>
        <w:rPr>
          <w:rFonts w:hint="eastAsia"/>
          <w:b/>
          <w:bCs/>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6042a2c12168484781348969a4da3e4c"/>
          <w:id w:val="87898704"/>
          <w:placeholder>
            <w:docPart w:val="GBC22222222222222222222222222222"/>
          </w:placeholder>
          <w:dataBinding w:prefixMappings="xmlns:clcid-mr='clcid-mr'" w:xpath="/*/clcid-mr:GongSiFuZeRenXingMing[not(@periodRef)]" w:storeItemID="{89EBAB94-44A0-46A2-B712-30D997D04A6D}"/>
          <w:text/>
        </w:sdtPr>
        <w:sdtEndPr/>
        <w:sdtContent>
          <w:r>
            <w:rPr>
              <w:rFonts w:hint="eastAsia"/>
              <w:color w:val="000000" w:themeColor="text1"/>
            </w:rPr>
            <w:t>李书箱</w:t>
          </w:r>
        </w:sdtContent>
      </w:sdt>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3008dab61aca43f0a6d82ef192943e79"/>
          <w:id w:val="1751155403"/>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color w:val="000000" w:themeColor="text1"/>
            </w:rPr>
            <w:t>朱立延</w:t>
          </w:r>
        </w:sdtContent>
      </w:sdt>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e6c21b270080402ca8dbdc0cab514bde"/>
          <w:id w:val="-276944338"/>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color w:val="000000" w:themeColor="text1"/>
            </w:rPr>
            <w:t>王于飞</w:t>
          </w:r>
        </w:sdtContent>
      </w:sdt>
    </w:p>
    <w:p w14:paraId="1167E9B1" w14:textId="77777777" w:rsidR="002D0AE7" w:rsidRDefault="002D0AE7">
      <w:pPr>
        <w:rPr>
          <w:rFonts w:hint="eastAsia"/>
          <w:color w:val="000000" w:themeColor="text1"/>
        </w:rPr>
      </w:pPr>
    </w:p>
    <w:p w14:paraId="5A7CF75A" w14:textId="77777777" w:rsidR="002D0AE7" w:rsidRDefault="002D0AE7">
      <w:pPr>
        <w:snapToGrid w:val="0"/>
        <w:spacing w:line="240" w:lineRule="atLeast"/>
        <w:rPr>
          <w:rFonts w:hint="eastAsia"/>
          <w:color w:val="000000" w:themeColor="text1"/>
        </w:rPr>
        <w:sectPr w:rsidR="002D0AE7">
          <w:pgSz w:w="16838" w:h="11906" w:orient="landscape"/>
          <w:pgMar w:top="1797" w:right="1525" w:bottom="1276" w:left="1440" w:header="851" w:footer="992" w:gutter="0"/>
          <w:cols w:space="425"/>
          <w:docGrid w:linePitch="312"/>
        </w:sectPr>
      </w:pPr>
      <w:bookmarkStart w:id="121" w:name="_Hlk10212138"/>
      <w:bookmarkEnd w:id="120"/>
      <w:bookmarkEnd w:id="121"/>
    </w:p>
    <w:p w14:paraId="072A1F8D" w14:textId="77777777" w:rsidR="002D0AE7" w:rsidRDefault="00333EBB">
      <w:pPr>
        <w:pStyle w:val="2"/>
        <w:numPr>
          <w:ilvl w:val="0"/>
          <w:numId w:val="34"/>
        </w:numPr>
        <w:ind w:left="482" w:hanging="482"/>
        <w:rPr>
          <w:color w:val="000000" w:themeColor="text1"/>
        </w:rPr>
      </w:pPr>
      <w:bookmarkStart w:id="122" w:name="_Hlk168993498"/>
      <w:bookmarkStart w:id="123" w:name="_Hlk168646044"/>
      <w:r>
        <w:rPr>
          <w:color w:val="000000" w:themeColor="text1"/>
        </w:rPr>
        <w:lastRenderedPageBreak/>
        <w:t>公司基本情况</w:t>
      </w:r>
    </w:p>
    <w:p w14:paraId="76090E41" w14:textId="77777777" w:rsidR="002D0AE7" w:rsidRDefault="00333EBB">
      <w:pPr>
        <w:pStyle w:val="3"/>
        <w:numPr>
          <w:ilvl w:val="0"/>
          <w:numId w:val="35"/>
        </w:numPr>
        <w:ind w:left="425" w:hanging="425"/>
        <w:rPr>
          <w:color w:val="000000" w:themeColor="text1"/>
        </w:rPr>
      </w:pPr>
      <w:r>
        <w:rPr>
          <w:rFonts w:hint="eastAsia"/>
          <w:color w:val="000000" w:themeColor="text1"/>
        </w:rPr>
        <w:t>公司概况</w:t>
      </w:r>
    </w:p>
    <w:sdt>
      <w:sdtPr>
        <w:rPr>
          <w:rFonts w:hint="eastAsia"/>
          <w:color w:val="000000" w:themeColor="text1"/>
        </w:rPr>
        <w:alias w:val="是否适用：公司概况[双击切换]"/>
        <w:tag w:val="_GBC_0cae3ba4a5394806810c0303cd783dd4"/>
        <w:id w:val="2102294295"/>
        <w:placeholder>
          <w:docPart w:val="GBC22222222222222222222222222222"/>
        </w:placeholder>
      </w:sdtPr>
      <w:sdtEndPr/>
      <w:sdtContent>
        <w:p w14:paraId="5474CFFE"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公司概况"/>
        <w:tag w:val="_GBC_ae08459ad5fd43f3a92abaa61cf00bfd"/>
        <w:id w:val="-84615342"/>
        <w:placeholder>
          <w:docPart w:val="GBC22222222222222222222222222222"/>
        </w:placeholder>
      </w:sdtPr>
      <w:sdtEndPr/>
      <w:sdtContent>
        <w:p w14:paraId="205C3132" w14:textId="77777777" w:rsidR="002D0AE7" w:rsidRDefault="00333EBB">
          <w:pPr>
            <w:snapToGrid w:val="0"/>
            <w:ind w:firstLineChars="200" w:firstLine="480"/>
            <w:outlineLvl w:val="1"/>
            <w:rPr>
              <w:rFonts w:ascii="Arial Narrow" w:hAnsi="Arial Narrow"/>
              <w:b/>
              <w:sz w:val="21"/>
              <w:szCs w:val="18"/>
            </w:rPr>
          </w:pPr>
          <w:r>
            <w:rPr>
              <w:rFonts w:ascii="Arial Narrow" w:hAnsi="Arial Narrow"/>
              <w:b/>
              <w:sz w:val="21"/>
              <w:szCs w:val="18"/>
            </w:rPr>
            <w:t>（一）公司简介</w:t>
          </w:r>
        </w:p>
        <w:p w14:paraId="0BD8108D" w14:textId="77777777" w:rsidR="002D0AE7" w:rsidRDefault="00333EBB">
          <w:pPr>
            <w:snapToGrid w:val="0"/>
            <w:ind w:firstLineChars="200" w:firstLine="420"/>
            <w:rPr>
              <w:rFonts w:ascii="Arial Narrow" w:hAnsi="Arial Narrow"/>
              <w:b/>
              <w:sz w:val="21"/>
              <w:szCs w:val="18"/>
            </w:rPr>
          </w:pPr>
          <w:r>
            <w:rPr>
              <w:rFonts w:ascii="Arial Narrow" w:hAnsi="Arial Narrow"/>
              <w:sz w:val="21"/>
              <w:szCs w:val="18"/>
            </w:rPr>
            <w:t>公司名称：津药药业股份有限公司</w:t>
          </w:r>
        </w:p>
        <w:p w14:paraId="7AFFAC56" w14:textId="77777777" w:rsidR="002D0AE7" w:rsidRDefault="00333EBB">
          <w:pPr>
            <w:autoSpaceDE w:val="0"/>
            <w:autoSpaceDN w:val="0"/>
            <w:adjustRightInd w:val="0"/>
            <w:snapToGrid w:val="0"/>
            <w:ind w:firstLineChars="200" w:firstLine="420"/>
            <w:rPr>
              <w:rFonts w:ascii="Arial Narrow" w:hAnsi="Arial Narrow"/>
              <w:sz w:val="21"/>
              <w:szCs w:val="18"/>
            </w:rPr>
          </w:pPr>
          <w:r>
            <w:rPr>
              <w:rFonts w:ascii="Arial Narrow" w:hAnsi="Arial Narrow"/>
              <w:sz w:val="21"/>
              <w:szCs w:val="18"/>
            </w:rPr>
            <w:t>注册地址：</w:t>
          </w:r>
          <w:r>
            <w:rPr>
              <w:rFonts w:ascii="Arial Narrow" w:hAnsi="Arial Narrow" w:hint="eastAsia"/>
              <w:sz w:val="21"/>
              <w:szCs w:val="18"/>
            </w:rPr>
            <w:t>天津开发区西区新业九街</w:t>
          </w:r>
          <w:r>
            <w:rPr>
              <w:rFonts w:ascii="Arial Narrow" w:hAnsi="Arial Narrow" w:hint="eastAsia"/>
              <w:sz w:val="21"/>
              <w:szCs w:val="18"/>
            </w:rPr>
            <w:t>19</w:t>
          </w:r>
          <w:r>
            <w:rPr>
              <w:rFonts w:ascii="Arial Narrow" w:hAnsi="Arial Narrow" w:hint="eastAsia"/>
              <w:sz w:val="21"/>
              <w:szCs w:val="18"/>
            </w:rPr>
            <w:t>号</w:t>
          </w:r>
        </w:p>
        <w:p w14:paraId="3D836B82" w14:textId="77777777" w:rsidR="002D0AE7" w:rsidRDefault="00333EBB">
          <w:pPr>
            <w:autoSpaceDE w:val="0"/>
            <w:autoSpaceDN w:val="0"/>
            <w:adjustRightInd w:val="0"/>
            <w:snapToGrid w:val="0"/>
            <w:ind w:firstLineChars="200" w:firstLine="420"/>
            <w:rPr>
              <w:rFonts w:ascii="Arial Narrow" w:hAnsi="Arial Narrow"/>
              <w:sz w:val="21"/>
              <w:szCs w:val="18"/>
            </w:rPr>
          </w:pPr>
          <w:r>
            <w:rPr>
              <w:rFonts w:ascii="Arial Narrow" w:hAnsi="Arial Narrow" w:hint="eastAsia"/>
              <w:sz w:val="21"/>
              <w:szCs w:val="18"/>
            </w:rPr>
            <w:t>营业期限：</w:t>
          </w:r>
          <w:r>
            <w:rPr>
              <w:rFonts w:ascii="Arial Narrow" w:hAnsi="Arial Narrow" w:hint="eastAsia"/>
              <w:sz w:val="21"/>
              <w:szCs w:val="18"/>
            </w:rPr>
            <w:t>1999</w:t>
          </w:r>
          <w:r>
            <w:rPr>
              <w:rFonts w:ascii="Arial Narrow" w:hAnsi="Arial Narrow" w:hint="eastAsia"/>
              <w:sz w:val="21"/>
              <w:szCs w:val="18"/>
            </w:rPr>
            <w:t>年</w:t>
          </w:r>
          <w:r>
            <w:rPr>
              <w:rFonts w:ascii="Arial Narrow" w:hAnsi="Arial Narrow" w:hint="eastAsia"/>
              <w:sz w:val="21"/>
              <w:szCs w:val="18"/>
            </w:rPr>
            <w:t>12</w:t>
          </w:r>
          <w:r>
            <w:rPr>
              <w:rFonts w:ascii="Arial Narrow" w:hAnsi="Arial Narrow" w:hint="eastAsia"/>
              <w:sz w:val="21"/>
              <w:szCs w:val="18"/>
            </w:rPr>
            <w:t>月</w:t>
          </w:r>
          <w:r>
            <w:rPr>
              <w:rFonts w:ascii="Arial Narrow" w:hAnsi="Arial Narrow" w:hint="eastAsia"/>
              <w:sz w:val="21"/>
              <w:szCs w:val="18"/>
            </w:rPr>
            <w:t>1</w:t>
          </w:r>
          <w:r>
            <w:rPr>
              <w:rFonts w:ascii="Arial Narrow" w:hAnsi="Arial Narrow" w:hint="eastAsia"/>
              <w:sz w:val="21"/>
              <w:szCs w:val="18"/>
            </w:rPr>
            <w:t>日至长期</w:t>
          </w:r>
        </w:p>
        <w:p w14:paraId="75C03543" w14:textId="77777777" w:rsidR="002D0AE7" w:rsidRDefault="00333EBB">
          <w:pPr>
            <w:autoSpaceDE w:val="0"/>
            <w:autoSpaceDN w:val="0"/>
            <w:adjustRightInd w:val="0"/>
            <w:snapToGrid w:val="0"/>
            <w:ind w:firstLineChars="200" w:firstLine="420"/>
            <w:rPr>
              <w:rFonts w:ascii="Arial Narrow" w:hAnsi="Arial Narrow"/>
              <w:sz w:val="21"/>
              <w:szCs w:val="18"/>
            </w:rPr>
          </w:pPr>
          <w:r>
            <w:rPr>
              <w:rFonts w:ascii="Arial Narrow" w:hAnsi="Arial Narrow"/>
              <w:sz w:val="21"/>
              <w:szCs w:val="18"/>
            </w:rPr>
            <w:t>股本：人民币</w:t>
          </w:r>
          <w:r>
            <w:rPr>
              <w:rFonts w:ascii="Arial Narrow" w:hAnsi="Arial Narrow"/>
              <w:sz w:val="21"/>
              <w:szCs w:val="18"/>
            </w:rPr>
            <w:t>1,093,932,680</w:t>
          </w:r>
          <w:r>
            <w:rPr>
              <w:rFonts w:ascii="Arial Narrow" w:hAnsi="Arial Narrow"/>
              <w:sz w:val="21"/>
              <w:szCs w:val="18"/>
            </w:rPr>
            <w:t>元</w:t>
          </w:r>
        </w:p>
        <w:p w14:paraId="69C83FC7" w14:textId="77777777" w:rsidR="002D0AE7" w:rsidRDefault="00333EBB">
          <w:pPr>
            <w:autoSpaceDE w:val="0"/>
            <w:autoSpaceDN w:val="0"/>
            <w:adjustRightInd w:val="0"/>
            <w:snapToGrid w:val="0"/>
            <w:ind w:firstLineChars="200" w:firstLine="420"/>
            <w:rPr>
              <w:rFonts w:ascii="Arial Narrow" w:hAnsi="Arial Narrow"/>
              <w:sz w:val="21"/>
              <w:szCs w:val="18"/>
            </w:rPr>
          </w:pPr>
          <w:r>
            <w:rPr>
              <w:rFonts w:ascii="Arial Narrow" w:hAnsi="Arial Narrow"/>
              <w:sz w:val="21"/>
              <w:szCs w:val="18"/>
            </w:rPr>
            <w:t>公司法定代表人</w:t>
          </w:r>
          <w:r>
            <w:rPr>
              <w:rFonts w:ascii="Arial Narrow" w:hAnsi="Arial Narrow" w:hint="eastAsia"/>
              <w:sz w:val="21"/>
              <w:szCs w:val="18"/>
            </w:rPr>
            <w:t>：李书箱</w:t>
          </w:r>
        </w:p>
        <w:p w14:paraId="4243999F" w14:textId="77777777" w:rsidR="002D0AE7" w:rsidRDefault="00333EBB">
          <w:pPr>
            <w:autoSpaceDE w:val="0"/>
            <w:autoSpaceDN w:val="0"/>
            <w:adjustRightInd w:val="0"/>
            <w:snapToGrid w:val="0"/>
            <w:ind w:firstLineChars="200" w:firstLine="422"/>
            <w:outlineLvl w:val="1"/>
            <w:rPr>
              <w:rFonts w:ascii="Arial Narrow" w:hAnsi="Arial Narrow"/>
              <w:b/>
              <w:sz w:val="21"/>
              <w:szCs w:val="18"/>
            </w:rPr>
          </w:pPr>
          <w:r>
            <w:rPr>
              <w:rFonts w:ascii="Arial Narrow" w:hAnsi="Arial Narrow" w:hint="eastAsia"/>
              <w:b/>
              <w:sz w:val="21"/>
              <w:szCs w:val="18"/>
            </w:rPr>
            <w:t>（二）</w:t>
          </w:r>
          <w:r>
            <w:rPr>
              <w:rFonts w:ascii="Arial Narrow" w:hAnsi="Arial Narrow"/>
              <w:b/>
              <w:sz w:val="21"/>
              <w:szCs w:val="18"/>
            </w:rPr>
            <w:t>公司的行业性质、经营范围及主要产品或提供的劳务</w:t>
          </w:r>
        </w:p>
        <w:p w14:paraId="36694AEB" w14:textId="77777777" w:rsidR="002D0AE7" w:rsidRDefault="00333EBB">
          <w:pPr>
            <w:autoSpaceDE w:val="0"/>
            <w:autoSpaceDN w:val="0"/>
            <w:adjustRightInd w:val="0"/>
            <w:snapToGrid w:val="0"/>
            <w:ind w:firstLineChars="200" w:firstLine="420"/>
            <w:rPr>
              <w:rFonts w:ascii="Arial Narrow" w:hAnsi="Arial Narrow"/>
              <w:sz w:val="21"/>
              <w:szCs w:val="18"/>
            </w:rPr>
          </w:pPr>
          <w:r>
            <w:rPr>
              <w:rFonts w:ascii="Arial Narrow" w:hAnsi="Arial Narrow"/>
              <w:sz w:val="21"/>
              <w:szCs w:val="18"/>
            </w:rPr>
            <w:t>公司行业性质</w:t>
          </w:r>
          <w:r>
            <w:rPr>
              <w:rFonts w:ascii="Arial Narrow" w:hAnsi="Arial Narrow" w:hint="eastAsia"/>
              <w:sz w:val="21"/>
              <w:szCs w:val="18"/>
            </w:rPr>
            <w:t>：</w:t>
          </w:r>
          <w:r>
            <w:rPr>
              <w:rFonts w:ascii="Arial Narrow" w:hAnsi="Arial Narrow"/>
              <w:sz w:val="21"/>
              <w:szCs w:val="18"/>
            </w:rPr>
            <w:t>医药制造业</w:t>
          </w:r>
        </w:p>
        <w:p w14:paraId="006BF144" w14:textId="77777777" w:rsidR="002D0AE7" w:rsidRDefault="00333EBB">
          <w:pPr>
            <w:autoSpaceDE w:val="0"/>
            <w:autoSpaceDN w:val="0"/>
            <w:adjustRightInd w:val="0"/>
            <w:snapToGrid w:val="0"/>
            <w:ind w:firstLineChars="200" w:firstLine="420"/>
            <w:rPr>
              <w:rFonts w:ascii="Arial Narrow" w:hAnsi="Arial Narrow"/>
              <w:sz w:val="21"/>
              <w:szCs w:val="18"/>
            </w:rPr>
          </w:pPr>
          <w:r>
            <w:rPr>
              <w:rFonts w:ascii="Arial Narrow" w:hAnsi="Arial Narrow"/>
              <w:sz w:val="21"/>
              <w:szCs w:val="18"/>
            </w:rPr>
            <w:t>公司经营范围：</w:t>
          </w:r>
          <w:r>
            <w:rPr>
              <w:rFonts w:ascii="Arial Narrow" w:hAnsi="Arial Narrow" w:hint="eastAsia"/>
              <w:sz w:val="21"/>
              <w:szCs w:val="18"/>
            </w:rPr>
            <w:t>药品生产；药品委托生产；兽药生产；化妆品生产；食品添加剂生产；饲料添加剂生产；危险化学品经营；特种设备设计。（依法须经批准的项目，经相关部门批准后方可开展经营活动，具体经营项目以相关部门批准文件或许可证件为准）一般项目：以自有资金从事投资活动；技术服务、技术开发、技术咨询、技术交流、技术转让、技术推广；中药提取物生产；专用化学产品制造（不含危险化学品）；专用化学产品销售（不含危险化学品）；基础化学原料制造（不含危险化学品等许可类化学品的制造）；化工产品生产（不含许可类化工产品）；化工产品销售（不含许可类化工产品）；发酵过程优化技术研发；生物化工产品技术研发；第二类非药品类易制毒化学品经营；第三类非药品类易制毒化学品经营；特种设备出租；日用化学产品销售；日用化学产品制造。（除依法须经批准的项目外，凭营业执照依法自主开展经营活动）。</w:t>
          </w:r>
        </w:p>
        <w:p w14:paraId="481373A7" w14:textId="77777777" w:rsidR="002D0AE7" w:rsidRDefault="00333EBB">
          <w:pPr>
            <w:autoSpaceDE w:val="0"/>
            <w:autoSpaceDN w:val="0"/>
            <w:adjustRightInd w:val="0"/>
            <w:snapToGrid w:val="0"/>
            <w:ind w:firstLineChars="200" w:firstLine="422"/>
            <w:outlineLvl w:val="1"/>
            <w:rPr>
              <w:rFonts w:ascii="Arial Narrow" w:hAnsi="Arial Narrow"/>
              <w:b/>
              <w:sz w:val="21"/>
              <w:szCs w:val="18"/>
            </w:rPr>
          </w:pPr>
          <w:r>
            <w:rPr>
              <w:rFonts w:ascii="Arial Narrow" w:hAnsi="Arial Narrow" w:hint="eastAsia"/>
              <w:b/>
              <w:sz w:val="21"/>
              <w:szCs w:val="18"/>
            </w:rPr>
            <w:t>（三）</w:t>
          </w:r>
          <w:r>
            <w:rPr>
              <w:rFonts w:ascii="Arial Narrow" w:hAnsi="Arial Narrow"/>
              <w:b/>
              <w:sz w:val="21"/>
              <w:szCs w:val="18"/>
            </w:rPr>
            <w:t>公司历史沿革</w:t>
          </w:r>
        </w:p>
        <w:p w14:paraId="2D489F1E" w14:textId="77777777" w:rsidR="002D0AE7" w:rsidRDefault="00333EBB">
          <w:pPr>
            <w:ind w:firstLineChars="200" w:firstLine="420"/>
            <w:rPr>
              <w:rFonts w:ascii="Arial Narrow" w:hAnsi="Arial Narrow"/>
              <w:sz w:val="21"/>
              <w:szCs w:val="18"/>
            </w:rPr>
          </w:pPr>
          <w:r>
            <w:rPr>
              <w:rFonts w:ascii="Arial Narrow" w:hAnsi="Arial Narrow" w:hint="eastAsia"/>
              <w:sz w:val="21"/>
              <w:szCs w:val="18"/>
            </w:rPr>
            <w:t>天津天药药业股份有限公司</w:t>
          </w:r>
          <w:r>
            <w:rPr>
              <w:rFonts w:ascii="Arial Narrow" w:hAnsi="Arial Narrow" w:hint="eastAsia"/>
              <w:sz w:val="21"/>
              <w:szCs w:val="18"/>
            </w:rPr>
            <w:t>(</w:t>
          </w:r>
          <w:r>
            <w:rPr>
              <w:rFonts w:ascii="Arial Narrow" w:hAnsi="Arial Narrow" w:hint="eastAsia"/>
              <w:sz w:val="21"/>
              <w:szCs w:val="18"/>
            </w:rPr>
            <w:t>现更名为津药药业股份有限公司</w:t>
          </w:r>
          <w:r>
            <w:rPr>
              <w:rFonts w:ascii="Arial Narrow" w:hAnsi="Arial Narrow" w:hint="eastAsia"/>
              <w:sz w:val="21"/>
              <w:szCs w:val="18"/>
            </w:rPr>
            <w:t>)</w:t>
          </w:r>
          <w:r>
            <w:rPr>
              <w:rFonts w:ascii="Arial Narrow" w:hAnsi="Arial Narrow" w:hint="eastAsia"/>
              <w:sz w:val="21"/>
              <w:szCs w:val="18"/>
            </w:rPr>
            <w:t>（以下简称本公司）是经天津市人民政府津股批（</w:t>
          </w:r>
          <w:r>
            <w:rPr>
              <w:rFonts w:ascii="Arial Narrow" w:hAnsi="Arial Narrow"/>
              <w:sz w:val="21"/>
              <w:szCs w:val="18"/>
            </w:rPr>
            <w:t>1999</w:t>
          </w:r>
          <w:r>
            <w:rPr>
              <w:rFonts w:ascii="Arial Narrow" w:hAnsi="Arial Narrow"/>
              <w:sz w:val="21"/>
              <w:szCs w:val="18"/>
            </w:rPr>
            <w:t>）</w:t>
          </w:r>
          <w:r>
            <w:rPr>
              <w:rFonts w:ascii="Arial Narrow" w:hAnsi="Arial Narrow"/>
              <w:sz w:val="21"/>
              <w:szCs w:val="18"/>
            </w:rPr>
            <w:t>9</w:t>
          </w:r>
          <w:r>
            <w:rPr>
              <w:rFonts w:ascii="Arial Narrow" w:hAnsi="Arial Narrow"/>
              <w:sz w:val="21"/>
              <w:szCs w:val="18"/>
            </w:rPr>
            <w:t>号文件批准，由天津药业有限公司（现更名为天津药业集团有限公司）作为主发起人，联合天津新技术产业园区科技发展有限公司（现更名为天津新技术产业园区海泰科技投资管理有限公司）、天津市中央药业有限公司、天津达仁堂制药厂（</w:t>
          </w:r>
          <w:r>
            <w:rPr>
              <w:rFonts w:ascii="Arial Narrow" w:hAnsi="Arial Narrow" w:hint="eastAsia"/>
              <w:sz w:val="21"/>
              <w:szCs w:val="18"/>
            </w:rPr>
            <w:t>现被津药达仁堂集团股份有限公司兼并</w:t>
          </w:r>
          <w:r>
            <w:rPr>
              <w:rFonts w:ascii="Arial Narrow" w:hAnsi="Arial Narrow"/>
              <w:sz w:val="21"/>
              <w:szCs w:val="18"/>
            </w:rPr>
            <w:t>）、天津市药品包装印刷厂（现更名为天津宜药印务有限公司）共同发起设立的股份有限公司。本公司成立于</w:t>
          </w:r>
          <w:r>
            <w:rPr>
              <w:rFonts w:ascii="Arial Narrow" w:hAnsi="Arial Narrow"/>
              <w:sz w:val="21"/>
              <w:szCs w:val="18"/>
            </w:rPr>
            <w:t>1999</w:t>
          </w:r>
          <w:r>
            <w:rPr>
              <w:rFonts w:ascii="Arial Narrow" w:hAnsi="Arial Narrow"/>
              <w:sz w:val="21"/>
              <w:szCs w:val="18"/>
            </w:rPr>
            <w:t>年</w:t>
          </w:r>
          <w:r>
            <w:rPr>
              <w:rFonts w:ascii="Arial Narrow" w:hAnsi="Arial Narrow"/>
              <w:sz w:val="21"/>
              <w:szCs w:val="18"/>
            </w:rPr>
            <w:t>12</w:t>
          </w:r>
          <w:r>
            <w:rPr>
              <w:rFonts w:ascii="Arial Narrow" w:hAnsi="Arial Narrow"/>
              <w:sz w:val="21"/>
              <w:szCs w:val="18"/>
            </w:rPr>
            <w:t>月</w:t>
          </w:r>
          <w:r>
            <w:rPr>
              <w:rFonts w:ascii="Arial Narrow" w:hAnsi="Arial Narrow"/>
              <w:sz w:val="21"/>
              <w:szCs w:val="18"/>
            </w:rPr>
            <w:t>1</w:t>
          </w:r>
          <w:r>
            <w:rPr>
              <w:rFonts w:ascii="Arial Narrow" w:hAnsi="Arial Narrow"/>
              <w:sz w:val="21"/>
              <w:szCs w:val="18"/>
            </w:rPr>
            <w:t>日，经中国证券监督管理委员会证监发行字</w:t>
          </w:r>
          <w:r>
            <w:rPr>
              <w:rFonts w:ascii="Arial Narrow" w:hAnsi="Arial Narrow"/>
              <w:sz w:val="21"/>
              <w:szCs w:val="18"/>
            </w:rPr>
            <w:t>[2001]29</w:t>
          </w:r>
          <w:r>
            <w:rPr>
              <w:rFonts w:ascii="Arial Narrow" w:hAnsi="Arial Narrow"/>
              <w:sz w:val="21"/>
              <w:szCs w:val="18"/>
            </w:rPr>
            <w:t>号文核准，于</w:t>
          </w:r>
          <w:r>
            <w:rPr>
              <w:rFonts w:ascii="Arial Narrow" w:hAnsi="Arial Narrow"/>
              <w:sz w:val="21"/>
              <w:szCs w:val="18"/>
            </w:rPr>
            <w:t>2001</w:t>
          </w:r>
          <w:r>
            <w:rPr>
              <w:rFonts w:ascii="Arial Narrow" w:hAnsi="Arial Narrow"/>
              <w:sz w:val="21"/>
              <w:szCs w:val="18"/>
            </w:rPr>
            <w:t>年</w:t>
          </w:r>
          <w:r>
            <w:rPr>
              <w:rFonts w:ascii="Arial Narrow" w:hAnsi="Arial Narrow"/>
              <w:sz w:val="21"/>
              <w:szCs w:val="18"/>
            </w:rPr>
            <w:t>5</w:t>
          </w:r>
          <w:r>
            <w:rPr>
              <w:rFonts w:ascii="Arial Narrow" w:hAnsi="Arial Narrow"/>
              <w:sz w:val="21"/>
              <w:szCs w:val="18"/>
            </w:rPr>
            <w:t>月</w:t>
          </w:r>
          <w:r>
            <w:rPr>
              <w:rFonts w:ascii="Arial Narrow" w:hAnsi="Arial Narrow"/>
              <w:sz w:val="21"/>
              <w:szCs w:val="18"/>
            </w:rPr>
            <w:t>24</w:t>
          </w:r>
          <w:r>
            <w:rPr>
              <w:rFonts w:ascii="Arial Narrow" w:hAnsi="Arial Narrow"/>
              <w:sz w:val="21"/>
              <w:szCs w:val="18"/>
            </w:rPr>
            <w:t>日首次向社会公众发行人民币普通股</w:t>
          </w:r>
          <w:r>
            <w:rPr>
              <w:rFonts w:ascii="Arial Narrow" w:hAnsi="Arial Narrow"/>
              <w:sz w:val="21"/>
              <w:szCs w:val="18"/>
            </w:rPr>
            <w:t>4500</w:t>
          </w:r>
          <w:r>
            <w:rPr>
              <w:rFonts w:ascii="Arial Narrow" w:hAnsi="Arial Narrow"/>
              <w:sz w:val="21"/>
              <w:szCs w:val="18"/>
            </w:rPr>
            <w:t>万股（</w:t>
          </w:r>
          <w:r>
            <w:rPr>
              <w:rFonts w:ascii="Arial Narrow" w:hAnsi="Arial Narrow"/>
              <w:sz w:val="21"/>
              <w:szCs w:val="18"/>
            </w:rPr>
            <w:t>A</w:t>
          </w:r>
          <w:r>
            <w:rPr>
              <w:rFonts w:ascii="Arial Narrow" w:hAnsi="Arial Narrow"/>
              <w:sz w:val="21"/>
              <w:szCs w:val="18"/>
            </w:rPr>
            <w:t>股），发行后总股本</w:t>
          </w:r>
          <w:r>
            <w:rPr>
              <w:rFonts w:ascii="Arial Narrow" w:hAnsi="Arial Narrow"/>
              <w:sz w:val="21"/>
              <w:szCs w:val="18"/>
            </w:rPr>
            <w:t>149,008,883</w:t>
          </w:r>
          <w:r>
            <w:rPr>
              <w:rFonts w:ascii="Arial Narrow" w:hAnsi="Arial Narrow"/>
              <w:sz w:val="21"/>
              <w:szCs w:val="18"/>
            </w:rPr>
            <w:t>股。本公司于</w:t>
          </w:r>
          <w:r>
            <w:rPr>
              <w:rFonts w:ascii="Arial Narrow" w:hAnsi="Arial Narrow"/>
              <w:sz w:val="21"/>
              <w:szCs w:val="18"/>
            </w:rPr>
            <w:t>2001</w:t>
          </w:r>
          <w:r>
            <w:rPr>
              <w:rFonts w:ascii="Arial Narrow" w:hAnsi="Arial Narrow"/>
              <w:sz w:val="21"/>
              <w:szCs w:val="18"/>
            </w:rPr>
            <w:t>年</w:t>
          </w:r>
          <w:r>
            <w:rPr>
              <w:rFonts w:ascii="Arial Narrow" w:hAnsi="Arial Narrow"/>
              <w:sz w:val="21"/>
              <w:szCs w:val="18"/>
            </w:rPr>
            <w:t>6</w:t>
          </w:r>
          <w:r>
            <w:rPr>
              <w:rFonts w:ascii="Arial Narrow" w:hAnsi="Arial Narrow"/>
              <w:sz w:val="21"/>
              <w:szCs w:val="18"/>
            </w:rPr>
            <w:t>月</w:t>
          </w:r>
          <w:r>
            <w:rPr>
              <w:rFonts w:ascii="Arial Narrow" w:hAnsi="Arial Narrow"/>
              <w:sz w:val="21"/>
              <w:szCs w:val="18"/>
            </w:rPr>
            <w:t>18</w:t>
          </w:r>
          <w:r>
            <w:rPr>
              <w:rFonts w:ascii="Arial Narrow" w:hAnsi="Arial Narrow"/>
              <w:sz w:val="21"/>
              <w:szCs w:val="18"/>
            </w:rPr>
            <w:t>日在上海证券交易所挂牌上市（股票代码为</w:t>
          </w:r>
          <w:r>
            <w:rPr>
              <w:rFonts w:ascii="Arial Narrow" w:hAnsi="Arial Narrow"/>
              <w:sz w:val="21"/>
              <w:szCs w:val="18"/>
            </w:rPr>
            <w:t>600488</w:t>
          </w:r>
          <w:r>
            <w:rPr>
              <w:rFonts w:ascii="Arial Narrow" w:hAnsi="Arial Narrow"/>
              <w:sz w:val="21"/>
              <w:szCs w:val="18"/>
            </w:rPr>
            <w:t>）。</w:t>
          </w:r>
        </w:p>
        <w:p w14:paraId="560D11D9" w14:textId="77777777" w:rsidR="002D0AE7" w:rsidRDefault="00333EBB">
          <w:pPr>
            <w:ind w:firstLineChars="200" w:firstLine="420"/>
            <w:rPr>
              <w:rFonts w:ascii="Arial Narrow" w:hAnsi="Arial Narrow"/>
              <w:sz w:val="21"/>
              <w:szCs w:val="18"/>
            </w:rPr>
          </w:pPr>
          <w:r>
            <w:rPr>
              <w:rFonts w:ascii="Arial Narrow" w:hAnsi="Arial Narrow"/>
              <w:sz w:val="21"/>
              <w:szCs w:val="18"/>
            </w:rPr>
            <w:t>2002</w:t>
          </w:r>
          <w:r>
            <w:rPr>
              <w:rFonts w:ascii="Arial Narrow" w:hAnsi="Arial Narrow"/>
              <w:sz w:val="21"/>
              <w:szCs w:val="18"/>
            </w:rPr>
            <w:t>年</w:t>
          </w:r>
          <w:r>
            <w:rPr>
              <w:rFonts w:ascii="Arial Narrow" w:hAnsi="Arial Narrow"/>
              <w:sz w:val="21"/>
              <w:szCs w:val="18"/>
            </w:rPr>
            <w:t>4</w:t>
          </w:r>
          <w:r>
            <w:rPr>
              <w:rFonts w:ascii="Arial Narrow" w:hAnsi="Arial Narrow"/>
              <w:sz w:val="21"/>
              <w:szCs w:val="18"/>
            </w:rPr>
            <w:t>月，经</w:t>
          </w:r>
          <w:r>
            <w:rPr>
              <w:rFonts w:ascii="Arial Narrow" w:hAnsi="Arial Narrow"/>
              <w:sz w:val="21"/>
              <w:szCs w:val="18"/>
            </w:rPr>
            <w:t>2001</w:t>
          </w:r>
          <w:r>
            <w:rPr>
              <w:rFonts w:ascii="Arial Narrow" w:hAnsi="Arial Narrow"/>
              <w:sz w:val="21"/>
              <w:szCs w:val="18"/>
            </w:rPr>
            <w:t>年度股东大会批准，向全体股东每</w:t>
          </w:r>
          <w:r>
            <w:rPr>
              <w:rFonts w:ascii="Arial Narrow" w:hAnsi="Arial Narrow"/>
              <w:sz w:val="21"/>
              <w:szCs w:val="18"/>
            </w:rPr>
            <w:t>10</w:t>
          </w:r>
          <w:r>
            <w:rPr>
              <w:rFonts w:ascii="Arial Narrow" w:hAnsi="Arial Narrow"/>
              <w:sz w:val="21"/>
              <w:szCs w:val="18"/>
            </w:rPr>
            <w:t>股派发现金红利</w:t>
          </w:r>
          <w:r>
            <w:rPr>
              <w:rFonts w:ascii="Arial Narrow" w:hAnsi="Arial Narrow"/>
              <w:sz w:val="21"/>
              <w:szCs w:val="18"/>
            </w:rPr>
            <w:t>2</w:t>
          </w:r>
          <w:r>
            <w:rPr>
              <w:rFonts w:ascii="Arial Narrow" w:hAnsi="Arial Narrow"/>
              <w:sz w:val="21"/>
              <w:szCs w:val="18"/>
            </w:rPr>
            <w:t>元（含税），每</w:t>
          </w:r>
          <w:r>
            <w:rPr>
              <w:rFonts w:ascii="Arial Narrow" w:hAnsi="Arial Narrow"/>
              <w:sz w:val="21"/>
              <w:szCs w:val="18"/>
            </w:rPr>
            <w:t>10</w:t>
          </w:r>
          <w:r>
            <w:rPr>
              <w:rFonts w:ascii="Arial Narrow" w:hAnsi="Arial Narrow"/>
              <w:sz w:val="21"/>
              <w:szCs w:val="18"/>
            </w:rPr>
            <w:t>股送红股</w:t>
          </w:r>
          <w:r>
            <w:rPr>
              <w:rFonts w:ascii="Arial Narrow" w:hAnsi="Arial Narrow"/>
              <w:sz w:val="21"/>
              <w:szCs w:val="18"/>
            </w:rPr>
            <w:t>1</w:t>
          </w:r>
          <w:r>
            <w:rPr>
              <w:rFonts w:ascii="Arial Narrow" w:hAnsi="Arial Narrow"/>
              <w:sz w:val="21"/>
              <w:szCs w:val="18"/>
            </w:rPr>
            <w:t>股，利用资本公积每</w:t>
          </w:r>
          <w:r>
            <w:rPr>
              <w:rFonts w:ascii="Arial Narrow" w:hAnsi="Arial Narrow"/>
              <w:sz w:val="21"/>
              <w:szCs w:val="18"/>
            </w:rPr>
            <w:t>10</w:t>
          </w:r>
          <w:r>
            <w:rPr>
              <w:rFonts w:ascii="Arial Narrow" w:hAnsi="Arial Narrow"/>
              <w:sz w:val="21"/>
              <w:szCs w:val="18"/>
            </w:rPr>
            <w:t>股转增股本</w:t>
          </w:r>
          <w:r>
            <w:rPr>
              <w:rFonts w:ascii="Arial Narrow" w:hAnsi="Arial Narrow"/>
              <w:sz w:val="21"/>
              <w:szCs w:val="18"/>
            </w:rPr>
            <w:t>2</w:t>
          </w:r>
          <w:r>
            <w:rPr>
              <w:rFonts w:ascii="Arial Narrow" w:hAnsi="Arial Narrow"/>
              <w:sz w:val="21"/>
              <w:szCs w:val="18"/>
            </w:rPr>
            <w:t>股。转增后，股本总额为</w:t>
          </w:r>
          <w:r>
            <w:rPr>
              <w:rFonts w:ascii="Arial Narrow" w:hAnsi="Arial Narrow"/>
              <w:sz w:val="21"/>
              <w:szCs w:val="18"/>
            </w:rPr>
            <w:t>193,711,548</w:t>
          </w:r>
          <w:r>
            <w:rPr>
              <w:rFonts w:ascii="Arial Narrow" w:hAnsi="Arial Narrow"/>
              <w:sz w:val="21"/>
              <w:szCs w:val="18"/>
            </w:rPr>
            <w:t>股。</w:t>
          </w:r>
          <w:r>
            <w:rPr>
              <w:rFonts w:ascii="Arial Narrow" w:hAnsi="Arial Narrow"/>
              <w:sz w:val="21"/>
              <w:szCs w:val="18"/>
            </w:rPr>
            <w:t>2003</w:t>
          </w:r>
          <w:r>
            <w:rPr>
              <w:rFonts w:ascii="Arial Narrow" w:hAnsi="Arial Narrow"/>
              <w:sz w:val="21"/>
              <w:szCs w:val="18"/>
            </w:rPr>
            <w:t>年</w:t>
          </w:r>
          <w:r>
            <w:rPr>
              <w:rFonts w:ascii="Arial Narrow" w:hAnsi="Arial Narrow"/>
              <w:sz w:val="21"/>
              <w:szCs w:val="18"/>
            </w:rPr>
            <w:t>4</w:t>
          </w:r>
          <w:r>
            <w:rPr>
              <w:rFonts w:ascii="Arial Narrow" w:hAnsi="Arial Narrow"/>
              <w:sz w:val="21"/>
              <w:szCs w:val="18"/>
            </w:rPr>
            <w:t>月，经</w:t>
          </w:r>
          <w:r>
            <w:rPr>
              <w:rFonts w:ascii="Arial Narrow" w:hAnsi="Arial Narrow"/>
              <w:sz w:val="21"/>
              <w:szCs w:val="18"/>
            </w:rPr>
            <w:t>2003</w:t>
          </w:r>
          <w:r>
            <w:rPr>
              <w:rFonts w:ascii="Arial Narrow" w:hAnsi="Arial Narrow"/>
              <w:sz w:val="21"/>
              <w:szCs w:val="18"/>
            </w:rPr>
            <w:t>年第二次临时股东大会批准，由资本公积转增股本</w:t>
          </w:r>
          <w:r>
            <w:rPr>
              <w:rFonts w:ascii="Arial Narrow" w:hAnsi="Arial Narrow"/>
              <w:sz w:val="21"/>
              <w:szCs w:val="18"/>
            </w:rPr>
            <w:t>58,113,464</w:t>
          </w:r>
          <w:r>
            <w:rPr>
              <w:rFonts w:ascii="Arial Narrow" w:hAnsi="Arial Narrow"/>
              <w:sz w:val="21"/>
              <w:szCs w:val="18"/>
            </w:rPr>
            <w:t>股，变更后的股本总额为</w:t>
          </w:r>
          <w:r>
            <w:rPr>
              <w:rFonts w:ascii="Arial Narrow" w:hAnsi="Arial Narrow"/>
              <w:sz w:val="21"/>
              <w:szCs w:val="18"/>
            </w:rPr>
            <w:t>251,825,012</w:t>
          </w:r>
          <w:r>
            <w:rPr>
              <w:rFonts w:ascii="Arial Narrow" w:hAnsi="Arial Narrow"/>
              <w:sz w:val="21"/>
              <w:szCs w:val="18"/>
            </w:rPr>
            <w:t>股。</w:t>
          </w:r>
          <w:r>
            <w:rPr>
              <w:rFonts w:ascii="Arial Narrow" w:hAnsi="Arial Narrow"/>
              <w:sz w:val="21"/>
              <w:szCs w:val="18"/>
            </w:rPr>
            <w:t>2005</w:t>
          </w:r>
          <w:r>
            <w:rPr>
              <w:rFonts w:ascii="Arial Narrow" w:hAnsi="Arial Narrow"/>
              <w:sz w:val="21"/>
              <w:szCs w:val="18"/>
            </w:rPr>
            <w:t>年</w:t>
          </w:r>
          <w:r>
            <w:rPr>
              <w:rFonts w:ascii="Arial Narrow" w:hAnsi="Arial Narrow"/>
              <w:sz w:val="21"/>
              <w:szCs w:val="18"/>
            </w:rPr>
            <w:t>10</w:t>
          </w:r>
          <w:r>
            <w:rPr>
              <w:rFonts w:ascii="Arial Narrow" w:hAnsi="Arial Narrow"/>
              <w:sz w:val="21"/>
              <w:szCs w:val="18"/>
            </w:rPr>
            <w:t>月</w:t>
          </w:r>
          <w:r>
            <w:rPr>
              <w:rFonts w:ascii="Arial Narrow" w:hAnsi="Arial Narrow"/>
              <w:sz w:val="21"/>
              <w:szCs w:val="18"/>
            </w:rPr>
            <w:t>13</w:t>
          </w:r>
          <w:r>
            <w:rPr>
              <w:rFonts w:ascii="Arial Narrow" w:hAnsi="Arial Narrow"/>
              <w:sz w:val="21"/>
              <w:szCs w:val="18"/>
            </w:rPr>
            <w:t>日，本公司关于股权分置改革事项的相关股东会议审议通过了《天津天药药业股份有限公司股权分置改革方案的议案》，流通股股东每持有</w:t>
          </w:r>
          <w:r>
            <w:rPr>
              <w:rFonts w:ascii="Arial Narrow" w:hAnsi="Arial Narrow"/>
              <w:sz w:val="21"/>
              <w:szCs w:val="18"/>
            </w:rPr>
            <w:t>10</w:t>
          </w:r>
          <w:r>
            <w:rPr>
              <w:rFonts w:ascii="Arial Narrow" w:hAnsi="Arial Narrow"/>
              <w:sz w:val="21"/>
              <w:szCs w:val="18"/>
            </w:rPr>
            <w:t>股流通股股票获得非流通股股东支付的</w:t>
          </w:r>
          <w:r>
            <w:rPr>
              <w:rFonts w:ascii="Arial Narrow" w:hAnsi="Arial Narrow"/>
              <w:sz w:val="21"/>
              <w:szCs w:val="18"/>
            </w:rPr>
            <w:t>3.8</w:t>
          </w:r>
          <w:r>
            <w:rPr>
              <w:rFonts w:ascii="Arial Narrow" w:hAnsi="Arial Narrow" w:hint="eastAsia"/>
              <w:sz w:val="21"/>
              <w:szCs w:val="18"/>
            </w:rPr>
            <w:t>股股票对价。</w:t>
          </w:r>
          <w:r>
            <w:rPr>
              <w:rFonts w:ascii="Arial Narrow" w:hAnsi="Arial Narrow"/>
              <w:sz w:val="21"/>
              <w:szCs w:val="18"/>
            </w:rPr>
            <w:t>2005</w:t>
          </w:r>
          <w:r>
            <w:rPr>
              <w:rFonts w:ascii="Arial Narrow" w:hAnsi="Arial Narrow"/>
              <w:sz w:val="21"/>
              <w:szCs w:val="18"/>
            </w:rPr>
            <w:t>年</w:t>
          </w:r>
          <w:r>
            <w:rPr>
              <w:rFonts w:ascii="Arial Narrow" w:hAnsi="Arial Narrow"/>
              <w:sz w:val="21"/>
              <w:szCs w:val="18"/>
            </w:rPr>
            <w:t>10</w:t>
          </w:r>
          <w:r>
            <w:rPr>
              <w:rFonts w:ascii="Arial Narrow" w:hAnsi="Arial Narrow"/>
              <w:sz w:val="21"/>
              <w:szCs w:val="18"/>
            </w:rPr>
            <w:t>月</w:t>
          </w:r>
          <w:r>
            <w:rPr>
              <w:rFonts w:ascii="Arial Narrow" w:hAnsi="Arial Narrow"/>
              <w:sz w:val="21"/>
              <w:szCs w:val="18"/>
            </w:rPr>
            <w:t>24</w:t>
          </w:r>
          <w:r>
            <w:rPr>
              <w:rFonts w:ascii="Arial Narrow" w:hAnsi="Arial Narrow"/>
              <w:sz w:val="21"/>
              <w:szCs w:val="18"/>
            </w:rPr>
            <w:t>日方案实施，本公司股份总数不变。</w:t>
          </w:r>
          <w:r>
            <w:rPr>
              <w:rFonts w:ascii="Arial Narrow" w:hAnsi="Arial Narrow"/>
              <w:sz w:val="21"/>
              <w:szCs w:val="18"/>
            </w:rPr>
            <w:t>2006</w:t>
          </w:r>
          <w:r>
            <w:rPr>
              <w:rFonts w:ascii="Arial Narrow" w:hAnsi="Arial Narrow"/>
              <w:sz w:val="21"/>
              <w:szCs w:val="18"/>
            </w:rPr>
            <w:t>年</w:t>
          </w:r>
          <w:r>
            <w:rPr>
              <w:rFonts w:ascii="Arial Narrow" w:hAnsi="Arial Narrow"/>
              <w:sz w:val="21"/>
              <w:szCs w:val="18"/>
            </w:rPr>
            <w:t>4</w:t>
          </w:r>
          <w:r>
            <w:rPr>
              <w:rFonts w:ascii="Arial Narrow" w:hAnsi="Arial Narrow"/>
              <w:sz w:val="21"/>
              <w:szCs w:val="18"/>
            </w:rPr>
            <w:t>月</w:t>
          </w:r>
          <w:r>
            <w:rPr>
              <w:rFonts w:ascii="Arial Narrow" w:hAnsi="Arial Narrow"/>
              <w:sz w:val="21"/>
              <w:szCs w:val="18"/>
            </w:rPr>
            <w:t>10</w:t>
          </w:r>
          <w:r>
            <w:rPr>
              <w:rFonts w:ascii="Arial Narrow" w:hAnsi="Arial Narrow"/>
              <w:sz w:val="21"/>
              <w:szCs w:val="18"/>
            </w:rPr>
            <w:t>日，经</w:t>
          </w:r>
          <w:r>
            <w:rPr>
              <w:rFonts w:ascii="Arial Narrow" w:hAnsi="Arial Narrow"/>
              <w:sz w:val="21"/>
              <w:szCs w:val="18"/>
            </w:rPr>
            <w:t>2005</w:t>
          </w:r>
          <w:r>
            <w:rPr>
              <w:rFonts w:ascii="Arial Narrow" w:hAnsi="Arial Narrow"/>
              <w:sz w:val="21"/>
              <w:szCs w:val="18"/>
            </w:rPr>
            <w:t>年度股东大会批准，以</w:t>
          </w:r>
          <w:r>
            <w:rPr>
              <w:rFonts w:ascii="Arial Narrow" w:hAnsi="Arial Narrow"/>
              <w:sz w:val="21"/>
              <w:szCs w:val="18"/>
            </w:rPr>
            <w:t>2005</w:t>
          </w:r>
          <w:r>
            <w:rPr>
              <w:rFonts w:ascii="Arial Narrow" w:hAnsi="Arial Narrow"/>
              <w:sz w:val="21"/>
              <w:szCs w:val="18"/>
            </w:rPr>
            <w:t>年末总股本</w:t>
          </w:r>
          <w:r>
            <w:rPr>
              <w:rFonts w:ascii="Arial Narrow" w:hAnsi="Arial Narrow"/>
              <w:sz w:val="21"/>
              <w:szCs w:val="18"/>
            </w:rPr>
            <w:t>251,825,012</w:t>
          </w:r>
          <w:r>
            <w:rPr>
              <w:rFonts w:ascii="Arial Narrow" w:hAnsi="Arial Narrow"/>
              <w:sz w:val="21"/>
              <w:szCs w:val="18"/>
            </w:rPr>
            <w:t>股为基数，向全体股东每</w:t>
          </w:r>
          <w:r>
            <w:rPr>
              <w:rFonts w:ascii="Arial Narrow" w:hAnsi="Arial Narrow"/>
              <w:sz w:val="21"/>
              <w:szCs w:val="18"/>
            </w:rPr>
            <w:t>10</w:t>
          </w:r>
          <w:r>
            <w:rPr>
              <w:rFonts w:ascii="Arial Narrow" w:hAnsi="Arial Narrow"/>
              <w:sz w:val="21"/>
              <w:szCs w:val="18"/>
            </w:rPr>
            <w:t>股派发现金红利</w:t>
          </w:r>
          <w:r>
            <w:rPr>
              <w:rFonts w:ascii="Arial Narrow" w:hAnsi="Arial Narrow"/>
              <w:sz w:val="21"/>
              <w:szCs w:val="18"/>
            </w:rPr>
            <w:t>0.5</w:t>
          </w:r>
          <w:r>
            <w:rPr>
              <w:rFonts w:ascii="Arial Narrow" w:hAnsi="Arial Narrow"/>
              <w:sz w:val="21"/>
              <w:szCs w:val="18"/>
            </w:rPr>
            <w:t>元（含税），利用资本公积每</w:t>
          </w:r>
          <w:r>
            <w:rPr>
              <w:rFonts w:ascii="Arial Narrow" w:hAnsi="Arial Narrow"/>
              <w:sz w:val="21"/>
              <w:szCs w:val="18"/>
            </w:rPr>
            <w:t>10</w:t>
          </w:r>
          <w:r>
            <w:rPr>
              <w:rFonts w:ascii="Arial Narrow" w:hAnsi="Arial Narrow"/>
              <w:sz w:val="21"/>
              <w:szCs w:val="18"/>
            </w:rPr>
            <w:t>股转增股本</w:t>
          </w:r>
          <w:r>
            <w:rPr>
              <w:rFonts w:ascii="Arial Narrow" w:hAnsi="Arial Narrow"/>
              <w:sz w:val="21"/>
              <w:szCs w:val="18"/>
            </w:rPr>
            <w:t>8</w:t>
          </w:r>
          <w:r>
            <w:rPr>
              <w:rFonts w:ascii="Arial Narrow" w:hAnsi="Arial Narrow"/>
              <w:sz w:val="21"/>
              <w:szCs w:val="18"/>
            </w:rPr>
            <w:t>股。转增后，股本总额为</w:t>
          </w:r>
          <w:r>
            <w:rPr>
              <w:rFonts w:ascii="Arial Narrow" w:hAnsi="Arial Narrow"/>
              <w:sz w:val="21"/>
              <w:szCs w:val="18"/>
            </w:rPr>
            <w:t>453,285,022</w:t>
          </w:r>
          <w:r>
            <w:rPr>
              <w:rFonts w:ascii="Arial Narrow" w:hAnsi="Arial Narrow"/>
              <w:sz w:val="21"/>
              <w:szCs w:val="18"/>
            </w:rPr>
            <w:t>股。</w:t>
          </w:r>
          <w:r>
            <w:rPr>
              <w:rFonts w:ascii="Arial Narrow" w:hAnsi="Arial Narrow"/>
              <w:sz w:val="21"/>
              <w:szCs w:val="18"/>
            </w:rPr>
            <w:t>2006</w:t>
          </w:r>
          <w:r>
            <w:rPr>
              <w:rFonts w:ascii="Arial Narrow" w:hAnsi="Arial Narrow"/>
              <w:sz w:val="21"/>
              <w:szCs w:val="18"/>
            </w:rPr>
            <w:t>年</w:t>
          </w:r>
          <w:r>
            <w:rPr>
              <w:rFonts w:ascii="Arial Narrow" w:hAnsi="Arial Narrow"/>
              <w:sz w:val="21"/>
              <w:szCs w:val="18"/>
            </w:rPr>
            <w:t>10</w:t>
          </w:r>
          <w:r>
            <w:rPr>
              <w:rFonts w:ascii="Arial Narrow" w:hAnsi="Arial Narrow"/>
              <w:sz w:val="21"/>
              <w:szCs w:val="18"/>
            </w:rPr>
            <w:t>月</w:t>
          </w:r>
          <w:r>
            <w:rPr>
              <w:rFonts w:ascii="Arial Narrow" w:hAnsi="Arial Narrow"/>
              <w:sz w:val="21"/>
              <w:szCs w:val="18"/>
            </w:rPr>
            <w:t>25</w:t>
          </w:r>
          <w:r>
            <w:rPr>
              <w:rFonts w:ascii="Arial Narrow" w:hAnsi="Arial Narrow"/>
              <w:sz w:val="21"/>
              <w:szCs w:val="18"/>
            </w:rPr>
            <w:t>日发行可转换公司债券</w:t>
          </w:r>
          <w:r>
            <w:rPr>
              <w:rFonts w:ascii="Arial Narrow" w:hAnsi="Arial Narrow"/>
              <w:sz w:val="21"/>
              <w:szCs w:val="18"/>
            </w:rPr>
            <w:t>390,000,000.00</w:t>
          </w:r>
          <w:r>
            <w:rPr>
              <w:rFonts w:ascii="Arial Narrow" w:hAnsi="Arial Narrow"/>
              <w:sz w:val="21"/>
              <w:szCs w:val="18"/>
            </w:rPr>
            <w:t>元，自</w:t>
          </w:r>
          <w:r>
            <w:rPr>
              <w:rFonts w:ascii="Arial Narrow" w:hAnsi="Arial Narrow"/>
              <w:sz w:val="21"/>
              <w:szCs w:val="18"/>
            </w:rPr>
            <w:t>2007</w:t>
          </w:r>
          <w:r>
            <w:rPr>
              <w:rFonts w:ascii="Arial Narrow" w:hAnsi="Arial Narrow"/>
              <w:sz w:val="21"/>
              <w:szCs w:val="18"/>
            </w:rPr>
            <w:t>年</w:t>
          </w:r>
          <w:r>
            <w:rPr>
              <w:rFonts w:ascii="Arial Narrow" w:hAnsi="Arial Narrow"/>
              <w:sz w:val="21"/>
              <w:szCs w:val="18"/>
            </w:rPr>
            <w:t>4</w:t>
          </w:r>
          <w:r>
            <w:rPr>
              <w:rFonts w:ascii="Arial Narrow" w:hAnsi="Arial Narrow"/>
              <w:sz w:val="21"/>
              <w:szCs w:val="18"/>
            </w:rPr>
            <w:t>月</w:t>
          </w:r>
          <w:r>
            <w:rPr>
              <w:rFonts w:ascii="Arial Narrow" w:hAnsi="Arial Narrow"/>
              <w:sz w:val="21"/>
              <w:szCs w:val="18"/>
            </w:rPr>
            <w:t>25</w:t>
          </w:r>
          <w:r>
            <w:rPr>
              <w:rFonts w:ascii="Arial Narrow" w:hAnsi="Arial Narrow"/>
              <w:sz w:val="21"/>
              <w:szCs w:val="18"/>
            </w:rPr>
            <w:t>日起债券持有人可选择转换为股票，至</w:t>
          </w:r>
          <w:r>
            <w:rPr>
              <w:rFonts w:ascii="Arial Narrow" w:hAnsi="Arial Narrow"/>
              <w:sz w:val="21"/>
              <w:szCs w:val="18"/>
            </w:rPr>
            <w:t>2007</w:t>
          </w:r>
          <w:r>
            <w:rPr>
              <w:rFonts w:ascii="Arial Narrow" w:hAnsi="Arial Narrow"/>
              <w:sz w:val="21"/>
              <w:szCs w:val="18"/>
            </w:rPr>
            <w:t>年</w:t>
          </w:r>
          <w:r>
            <w:rPr>
              <w:rFonts w:ascii="Arial Narrow" w:hAnsi="Arial Narrow"/>
              <w:sz w:val="21"/>
              <w:szCs w:val="18"/>
            </w:rPr>
            <w:t>6</w:t>
          </w:r>
          <w:r>
            <w:rPr>
              <w:rFonts w:ascii="Arial Narrow" w:hAnsi="Arial Narrow"/>
              <w:sz w:val="21"/>
              <w:szCs w:val="18"/>
            </w:rPr>
            <w:t>月</w:t>
          </w:r>
          <w:r>
            <w:rPr>
              <w:rFonts w:ascii="Arial Narrow" w:hAnsi="Arial Narrow"/>
              <w:sz w:val="21"/>
              <w:szCs w:val="18"/>
            </w:rPr>
            <w:t>21</w:t>
          </w:r>
          <w:r>
            <w:rPr>
              <w:rFonts w:ascii="Arial Narrow" w:hAnsi="Arial Narrow"/>
              <w:sz w:val="21"/>
              <w:szCs w:val="18"/>
            </w:rPr>
            <w:t>日，本公司发行的可转换公司债券累计转股金额为</w:t>
          </w:r>
          <w:r>
            <w:rPr>
              <w:rFonts w:ascii="Arial Narrow" w:hAnsi="Arial Narrow"/>
              <w:sz w:val="21"/>
              <w:szCs w:val="18"/>
            </w:rPr>
            <w:t>387,993,000.00</w:t>
          </w:r>
          <w:r>
            <w:rPr>
              <w:rFonts w:ascii="Arial Narrow" w:hAnsi="Arial Narrow"/>
              <w:sz w:val="21"/>
              <w:szCs w:val="18"/>
            </w:rPr>
            <w:t>元，</w:t>
          </w:r>
          <w:r>
            <w:rPr>
              <w:rFonts w:ascii="Arial Narrow" w:hAnsi="Arial Narrow" w:hint="eastAsia"/>
              <w:sz w:val="21"/>
              <w:szCs w:val="18"/>
            </w:rPr>
            <w:t>转股后本公</w:t>
          </w:r>
          <w:r>
            <w:rPr>
              <w:rFonts w:ascii="Arial Narrow" w:hAnsi="Arial Narrow" w:hint="eastAsia"/>
              <w:sz w:val="21"/>
              <w:szCs w:val="18"/>
            </w:rPr>
            <w:t>司股本总额为</w:t>
          </w:r>
          <w:r>
            <w:rPr>
              <w:rFonts w:ascii="Arial Narrow" w:hAnsi="Arial Narrow"/>
              <w:sz w:val="21"/>
              <w:szCs w:val="18"/>
            </w:rPr>
            <w:t>542,889,973</w:t>
          </w:r>
          <w:r>
            <w:rPr>
              <w:rFonts w:ascii="Arial Narrow" w:hAnsi="Arial Narrow"/>
              <w:sz w:val="21"/>
              <w:szCs w:val="18"/>
            </w:rPr>
            <w:t>股，剩余可转换债券</w:t>
          </w:r>
          <w:r>
            <w:rPr>
              <w:rFonts w:ascii="Arial Narrow" w:hAnsi="Arial Narrow"/>
              <w:sz w:val="21"/>
              <w:szCs w:val="18"/>
            </w:rPr>
            <w:t>2,007,000.00</w:t>
          </w:r>
          <w:r>
            <w:rPr>
              <w:rFonts w:ascii="Arial Narrow" w:hAnsi="Arial Narrow"/>
              <w:sz w:val="21"/>
              <w:szCs w:val="18"/>
            </w:rPr>
            <w:t>元已被本公司以每张</w:t>
          </w:r>
          <w:r>
            <w:rPr>
              <w:rFonts w:ascii="Arial Narrow" w:hAnsi="Arial Narrow"/>
              <w:sz w:val="21"/>
              <w:szCs w:val="18"/>
            </w:rPr>
            <w:t>103</w:t>
          </w:r>
          <w:r>
            <w:rPr>
              <w:rFonts w:ascii="Arial Narrow" w:hAnsi="Arial Narrow"/>
              <w:sz w:val="21"/>
              <w:szCs w:val="18"/>
            </w:rPr>
            <w:t>元的价格全部赎回。经</w:t>
          </w:r>
          <w:r>
            <w:rPr>
              <w:rFonts w:ascii="Arial Narrow" w:hAnsi="Arial Narrow"/>
              <w:sz w:val="21"/>
              <w:szCs w:val="18"/>
            </w:rPr>
            <w:t>2012</w:t>
          </w:r>
          <w:r>
            <w:rPr>
              <w:rFonts w:ascii="Arial Narrow" w:hAnsi="Arial Narrow"/>
              <w:sz w:val="21"/>
              <w:szCs w:val="18"/>
            </w:rPr>
            <w:t>年度股东大会批准，以</w:t>
          </w:r>
          <w:r>
            <w:rPr>
              <w:rFonts w:ascii="Arial Narrow" w:hAnsi="Arial Narrow"/>
              <w:sz w:val="21"/>
              <w:szCs w:val="18"/>
            </w:rPr>
            <w:t>2012</w:t>
          </w:r>
          <w:r>
            <w:rPr>
              <w:rFonts w:ascii="Arial Narrow" w:hAnsi="Arial Narrow"/>
              <w:sz w:val="21"/>
              <w:szCs w:val="18"/>
            </w:rPr>
            <w:t>年期末总股本</w:t>
          </w:r>
          <w:r>
            <w:rPr>
              <w:rFonts w:ascii="Arial Narrow" w:hAnsi="Arial Narrow"/>
              <w:sz w:val="21"/>
              <w:szCs w:val="18"/>
            </w:rPr>
            <w:t>542,899,973</w:t>
          </w:r>
          <w:r>
            <w:rPr>
              <w:rFonts w:ascii="Arial Narrow" w:hAnsi="Arial Narrow"/>
              <w:sz w:val="21"/>
              <w:szCs w:val="18"/>
            </w:rPr>
            <w:t>股为基数，向全体股东每</w:t>
          </w:r>
          <w:r>
            <w:rPr>
              <w:rFonts w:ascii="Arial Narrow" w:hAnsi="Arial Narrow"/>
              <w:sz w:val="21"/>
              <w:szCs w:val="18"/>
            </w:rPr>
            <w:t>10</w:t>
          </w:r>
          <w:r>
            <w:rPr>
              <w:rFonts w:ascii="Arial Narrow" w:hAnsi="Arial Narrow"/>
              <w:sz w:val="21"/>
              <w:szCs w:val="18"/>
            </w:rPr>
            <w:t>股派发现金股利</w:t>
          </w:r>
          <w:r>
            <w:rPr>
              <w:rFonts w:ascii="Arial Narrow" w:hAnsi="Arial Narrow"/>
              <w:sz w:val="21"/>
              <w:szCs w:val="18"/>
            </w:rPr>
            <w:t>0.2</w:t>
          </w:r>
          <w:r>
            <w:rPr>
              <w:rFonts w:ascii="Arial Narrow" w:hAnsi="Arial Narrow"/>
              <w:sz w:val="21"/>
              <w:szCs w:val="18"/>
            </w:rPr>
            <w:t>元（含税），利用资本公积每</w:t>
          </w:r>
          <w:r>
            <w:rPr>
              <w:rFonts w:ascii="Arial Narrow" w:hAnsi="Arial Narrow"/>
              <w:sz w:val="21"/>
              <w:szCs w:val="18"/>
            </w:rPr>
            <w:t>10</w:t>
          </w:r>
          <w:r>
            <w:rPr>
              <w:rFonts w:ascii="Arial Narrow" w:hAnsi="Arial Narrow"/>
              <w:sz w:val="21"/>
              <w:szCs w:val="18"/>
            </w:rPr>
            <w:t>股转增股本</w:t>
          </w:r>
          <w:r>
            <w:rPr>
              <w:rFonts w:ascii="Arial Narrow" w:hAnsi="Arial Narrow"/>
              <w:sz w:val="21"/>
              <w:szCs w:val="18"/>
            </w:rPr>
            <w:t>5</w:t>
          </w:r>
          <w:r>
            <w:rPr>
              <w:rFonts w:ascii="Arial Narrow" w:hAnsi="Arial Narrow"/>
              <w:sz w:val="21"/>
              <w:szCs w:val="18"/>
            </w:rPr>
            <w:t>股，转增后股本总额</w:t>
          </w:r>
          <w:r>
            <w:rPr>
              <w:rFonts w:ascii="Arial Narrow" w:hAnsi="Arial Narrow"/>
              <w:sz w:val="21"/>
              <w:szCs w:val="18"/>
            </w:rPr>
            <w:t>814,334,960</w:t>
          </w:r>
          <w:r>
            <w:rPr>
              <w:rFonts w:ascii="Arial Narrow" w:hAnsi="Arial Narrow"/>
              <w:sz w:val="21"/>
              <w:szCs w:val="18"/>
            </w:rPr>
            <w:t>股。</w:t>
          </w:r>
          <w:r>
            <w:rPr>
              <w:rFonts w:ascii="Arial Narrow" w:hAnsi="Arial Narrow"/>
              <w:sz w:val="21"/>
              <w:szCs w:val="18"/>
            </w:rPr>
            <w:t>2012</w:t>
          </w:r>
          <w:r>
            <w:rPr>
              <w:rFonts w:ascii="Arial Narrow" w:hAnsi="Arial Narrow"/>
              <w:sz w:val="21"/>
              <w:szCs w:val="18"/>
            </w:rPr>
            <w:t>年</w:t>
          </w:r>
          <w:r>
            <w:rPr>
              <w:rFonts w:ascii="Arial Narrow" w:hAnsi="Arial Narrow"/>
              <w:sz w:val="21"/>
              <w:szCs w:val="18"/>
            </w:rPr>
            <w:t>11</w:t>
          </w:r>
          <w:r>
            <w:rPr>
              <w:rFonts w:ascii="Arial Narrow" w:hAnsi="Arial Narrow"/>
              <w:sz w:val="21"/>
              <w:szCs w:val="18"/>
            </w:rPr>
            <w:t>月</w:t>
          </w:r>
          <w:r>
            <w:rPr>
              <w:rFonts w:ascii="Arial Narrow" w:hAnsi="Arial Narrow"/>
              <w:sz w:val="21"/>
              <w:szCs w:val="18"/>
            </w:rPr>
            <w:t>12</w:t>
          </w:r>
          <w:r>
            <w:rPr>
              <w:rFonts w:ascii="Arial Narrow" w:hAnsi="Arial Narrow"/>
              <w:sz w:val="21"/>
              <w:szCs w:val="18"/>
            </w:rPr>
            <w:t>日，本公司收到中国证券监督管理委员会《关于核准天津天药药业股份有限公司非公开发行股票的批复》（证监许可（</w:t>
          </w:r>
          <w:r>
            <w:rPr>
              <w:rFonts w:ascii="Arial Narrow" w:hAnsi="Arial Narrow"/>
              <w:sz w:val="21"/>
              <w:szCs w:val="18"/>
            </w:rPr>
            <w:t>2012</w:t>
          </w:r>
          <w:r>
            <w:rPr>
              <w:rFonts w:ascii="Arial Narrow" w:hAnsi="Arial Narrow"/>
              <w:sz w:val="21"/>
              <w:szCs w:val="18"/>
            </w:rPr>
            <w:t>）</w:t>
          </w:r>
          <w:r>
            <w:rPr>
              <w:rFonts w:ascii="Arial Narrow" w:hAnsi="Arial Narrow"/>
              <w:sz w:val="21"/>
              <w:szCs w:val="18"/>
            </w:rPr>
            <w:t>1469</w:t>
          </w:r>
          <w:r>
            <w:rPr>
              <w:rFonts w:ascii="Arial Narrow" w:hAnsi="Arial Narrow"/>
              <w:sz w:val="21"/>
              <w:szCs w:val="18"/>
            </w:rPr>
            <w:t>号），核准本公司非公开发行不超过</w:t>
          </w:r>
          <w:r>
            <w:rPr>
              <w:rFonts w:ascii="Arial Narrow" w:hAnsi="Arial Narrow"/>
              <w:sz w:val="21"/>
              <w:szCs w:val="18"/>
            </w:rPr>
            <w:t>10,100</w:t>
          </w:r>
          <w:r>
            <w:rPr>
              <w:rFonts w:ascii="Arial Narrow" w:hAnsi="Arial Narrow"/>
              <w:sz w:val="21"/>
              <w:szCs w:val="18"/>
            </w:rPr>
            <w:t>万股新股，有效期六个月。根据</w:t>
          </w:r>
          <w:r>
            <w:rPr>
              <w:rFonts w:ascii="Arial Narrow" w:hAnsi="Arial Narrow"/>
              <w:sz w:val="21"/>
              <w:szCs w:val="18"/>
            </w:rPr>
            <w:t>2012</w:t>
          </w:r>
          <w:r>
            <w:rPr>
              <w:rFonts w:ascii="Arial Narrow" w:hAnsi="Arial Narrow"/>
              <w:sz w:val="21"/>
              <w:szCs w:val="18"/>
            </w:rPr>
            <w:t>年利润分配方案，</w:t>
          </w:r>
          <w:r>
            <w:rPr>
              <w:rFonts w:ascii="Arial Narrow" w:hAnsi="Arial Narrow"/>
              <w:sz w:val="21"/>
              <w:szCs w:val="18"/>
            </w:rPr>
            <w:t>2013</w:t>
          </w:r>
          <w:r>
            <w:rPr>
              <w:rFonts w:ascii="Arial Narrow" w:hAnsi="Arial Narrow"/>
              <w:sz w:val="21"/>
              <w:szCs w:val="18"/>
            </w:rPr>
            <w:t>年</w:t>
          </w:r>
          <w:r>
            <w:rPr>
              <w:rFonts w:ascii="Arial Narrow" w:hAnsi="Arial Narrow"/>
              <w:sz w:val="21"/>
              <w:szCs w:val="18"/>
            </w:rPr>
            <w:t>3</w:t>
          </w:r>
          <w:r>
            <w:rPr>
              <w:rFonts w:ascii="Arial Narrow" w:hAnsi="Arial Narrow"/>
              <w:sz w:val="21"/>
              <w:szCs w:val="18"/>
            </w:rPr>
            <w:t>月</w:t>
          </w:r>
          <w:r>
            <w:rPr>
              <w:rFonts w:ascii="Arial Narrow" w:hAnsi="Arial Narrow"/>
              <w:sz w:val="21"/>
              <w:szCs w:val="18"/>
            </w:rPr>
            <w:t>13</w:t>
          </w:r>
          <w:r>
            <w:rPr>
              <w:rFonts w:ascii="Arial Narrow" w:hAnsi="Arial Narrow"/>
              <w:sz w:val="21"/>
              <w:szCs w:val="18"/>
            </w:rPr>
            <w:t>日，本公司公告了《关于实施</w:t>
          </w:r>
          <w:r>
            <w:rPr>
              <w:rFonts w:ascii="Arial Narrow" w:hAnsi="Arial Narrow"/>
              <w:sz w:val="21"/>
              <w:szCs w:val="18"/>
            </w:rPr>
            <w:t>2012</w:t>
          </w:r>
          <w:r>
            <w:rPr>
              <w:rFonts w:ascii="Arial Narrow" w:hAnsi="Arial Narrow"/>
              <w:sz w:val="21"/>
              <w:szCs w:val="18"/>
            </w:rPr>
            <w:t>年度利润分配和资本公积金转增股本方案后调整非公开发行股票发行底价和发行数量的公告》，调整后的发行底</w:t>
          </w:r>
          <w:r>
            <w:rPr>
              <w:rFonts w:ascii="Arial Narrow" w:hAnsi="Arial Narrow"/>
              <w:sz w:val="21"/>
              <w:szCs w:val="18"/>
            </w:rPr>
            <w:lastRenderedPageBreak/>
            <w:t>价为</w:t>
          </w:r>
          <w:r>
            <w:rPr>
              <w:rFonts w:ascii="Arial Narrow" w:hAnsi="Arial Narrow"/>
              <w:sz w:val="21"/>
              <w:szCs w:val="18"/>
            </w:rPr>
            <w:t>3.65</w:t>
          </w:r>
          <w:r>
            <w:rPr>
              <w:rFonts w:ascii="Arial Narrow" w:hAnsi="Arial Narrow"/>
              <w:sz w:val="21"/>
              <w:szCs w:val="18"/>
            </w:rPr>
            <w:t>元</w:t>
          </w:r>
          <w:r>
            <w:rPr>
              <w:rFonts w:ascii="Arial Narrow" w:hAnsi="Arial Narrow"/>
              <w:sz w:val="21"/>
              <w:szCs w:val="18"/>
            </w:rPr>
            <w:t>/</w:t>
          </w:r>
          <w:r>
            <w:rPr>
              <w:rFonts w:ascii="Arial Narrow" w:hAnsi="Arial Narrow"/>
              <w:sz w:val="21"/>
              <w:szCs w:val="18"/>
            </w:rPr>
            <w:t>股，发行数量不超过</w:t>
          </w:r>
          <w:r>
            <w:rPr>
              <w:rFonts w:ascii="Arial Narrow" w:hAnsi="Arial Narrow"/>
              <w:sz w:val="21"/>
              <w:szCs w:val="18"/>
            </w:rPr>
            <w:t>15,060</w:t>
          </w:r>
          <w:r>
            <w:rPr>
              <w:rFonts w:ascii="Arial Narrow" w:hAnsi="Arial Narrow"/>
              <w:sz w:val="21"/>
              <w:szCs w:val="18"/>
            </w:rPr>
            <w:t>万股。</w:t>
          </w:r>
          <w:r>
            <w:rPr>
              <w:rFonts w:ascii="Arial Narrow" w:hAnsi="Arial Narrow"/>
              <w:sz w:val="21"/>
              <w:szCs w:val="18"/>
            </w:rPr>
            <w:t>2013</w:t>
          </w:r>
          <w:r>
            <w:rPr>
              <w:rFonts w:ascii="Arial Narrow" w:hAnsi="Arial Narrow"/>
              <w:sz w:val="21"/>
              <w:szCs w:val="18"/>
            </w:rPr>
            <w:t>年</w:t>
          </w:r>
          <w:r>
            <w:rPr>
              <w:rFonts w:ascii="Arial Narrow" w:hAnsi="Arial Narrow"/>
              <w:sz w:val="21"/>
              <w:szCs w:val="18"/>
            </w:rPr>
            <w:t>3</w:t>
          </w:r>
          <w:r>
            <w:rPr>
              <w:rFonts w:ascii="Arial Narrow" w:hAnsi="Arial Narrow"/>
              <w:sz w:val="21"/>
              <w:szCs w:val="18"/>
            </w:rPr>
            <w:t>月</w:t>
          </w:r>
          <w:r>
            <w:rPr>
              <w:rFonts w:ascii="Arial Narrow" w:hAnsi="Arial Narrow"/>
              <w:sz w:val="21"/>
              <w:szCs w:val="18"/>
            </w:rPr>
            <w:t>28</w:t>
          </w:r>
          <w:r>
            <w:rPr>
              <w:rFonts w:ascii="Arial Narrow" w:hAnsi="Arial Narrow"/>
              <w:sz w:val="21"/>
              <w:szCs w:val="18"/>
            </w:rPr>
            <w:t>日非公开发行人民币普通股</w:t>
          </w:r>
          <w:r>
            <w:rPr>
              <w:rFonts w:ascii="Arial Narrow" w:hAnsi="Arial Narrow"/>
              <w:sz w:val="21"/>
              <w:szCs w:val="18"/>
            </w:rPr>
            <w:t>146,520,000</w:t>
          </w:r>
          <w:r>
            <w:rPr>
              <w:rFonts w:ascii="Arial Narrow" w:hAnsi="Arial Narrow"/>
              <w:sz w:val="21"/>
              <w:szCs w:val="18"/>
            </w:rPr>
            <w:t>股，本次非公开发行后股本总额</w:t>
          </w:r>
          <w:r>
            <w:rPr>
              <w:rFonts w:ascii="Arial Narrow" w:hAnsi="Arial Narrow"/>
              <w:sz w:val="21"/>
              <w:szCs w:val="18"/>
            </w:rPr>
            <w:t>960,854,960</w:t>
          </w:r>
          <w:r>
            <w:rPr>
              <w:rFonts w:ascii="Arial Narrow" w:hAnsi="Arial Narrow"/>
              <w:sz w:val="21"/>
              <w:szCs w:val="18"/>
            </w:rPr>
            <w:t>股。</w:t>
          </w:r>
        </w:p>
        <w:p w14:paraId="4E728467" w14:textId="77777777" w:rsidR="002D0AE7" w:rsidRDefault="00333EBB">
          <w:pPr>
            <w:ind w:firstLineChars="200" w:firstLine="420"/>
            <w:rPr>
              <w:rFonts w:ascii="Arial Narrow" w:hAnsi="Arial Narrow"/>
              <w:sz w:val="21"/>
              <w:szCs w:val="18"/>
            </w:rPr>
          </w:pPr>
          <w:r>
            <w:rPr>
              <w:rFonts w:ascii="Arial Narrow" w:hAnsi="Arial Narrow"/>
              <w:sz w:val="21"/>
              <w:szCs w:val="18"/>
            </w:rPr>
            <w:t>2017</w:t>
          </w:r>
          <w:r>
            <w:rPr>
              <w:rFonts w:ascii="Arial Narrow" w:hAnsi="Arial Narrow"/>
              <w:sz w:val="21"/>
              <w:szCs w:val="18"/>
            </w:rPr>
            <w:t>年</w:t>
          </w:r>
          <w:r>
            <w:rPr>
              <w:rFonts w:ascii="Arial Narrow" w:hAnsi="Arial Narrow"/>
              <w:sz w:val="21"/>
              <w:szCs w:val="18"/>
            </w:rPr>
            <w:t>4</w:t>
          </w:r>
          <w:r>
            <w:rPr>
              <w:rFonts w:ascii="Arial Narrow" w:hAnsi="Arial Narrow"/>
              <w:sz w:val="21"/>
              <w:szCs w:val="18"/>
            </w:rPr>
            <w:t>月</w:t>
          </w:r>
          <w:r>
            <w:rPr>
              <w:rFonts w:ascii="Arial Narrow" w:hAnsi="Arial Narrow"/>
              <w:sz w:val="21"/>
              <w:szCs w:val="18"/>
            </w:rPr>
            <w:t>5</w:t>
          </w:r>
          <w:r>
            <w:rPr>
              <w:rFonts w:ascii="Arial Narrow" w:hAnsi="Arial Narrow"/>
              <w:sz w:val="21"/>
              <w:szCs w:val="18"/>
            </w:rPr>
            <w:t>日，中国证券监督管理委员会出具《关于核准天津天药药业股份有限公司向天津药业集团有限公司等发行股份购买资产并募集配套资金的批复》（证监许可</w:t>
          </w:r>
          <w:r>
            <w:rPr>
              <w:rFonts w:ascii="Arial Narrow" w:hAnsi="Arial Narrow"/>
              <w:sz w:val="21"/>
              <w:szCs w:val="18"/>
            </w:rPr>
            <w:t>[2017]456</w:t>
          </w:r>
          <w:r>
            <w:rPr>
              <w:rFonts w:ascii="Arial Narrow" w:hAnsi="Arial Narrow"/>
              <w:sz w:val="21"/>
              <w:szCs w:val="18"/>
            </w:rPr>
            <w:t>号），核准本公司向天津药业集团有限公司发行</w:t>
          </w:r>
          <w:r>
            <w:rPr>
              <w:rFonts w:ascii="Arial Narrow" w:hAnsi="Arial Narrow"/>
              <w:sz w:val="21"/>
              <w:szCs w:val="18"/>
            </w:rPr>
            <w:t>104,447,626</w:t>
          </w:r>
          <w:r>
            <w:rPr>
              <w:rFonts w:ascii="Arial Narrow" w:hAnsi="Arial Narrow"/>
              <w:sz w:val="21"/>
              <w:szCs w:val="18"/>
            </w:rPr>
            <w:t>股股份，向广州德福股权投资基金合伙企业（有限合伙）发行</w:t>
          </w:r>
          <w:r>
            <w:rPr>
              <w:rFonts w:ascii="Arial Narrow" w:hAnsi="Arial Narrow"/>
              <w:sz w:val="21"/>
              <w:szCs w:val="18"/>
            </w:rPr>
            <w:t>26,111,906</w:t>
          </w:r>
          <w:r>
            <w:rPr>
              <w:rFonts w:ascii="Arial Narrow" w:hAnsi="Arial Narrow"/>
              <w:sz w:val="21"/>
              <w:szCs w:val="18"/>
            </w:rPr>
            <w:t>股股份购买相关资产，核准本公司非公开发行不超过</w:t>
          </w:r>
          <w:r>
            <w:rPr>
              <w:rFonts w:ascii="Arial Narrow" w:hAnsi="Arial Narrow"/>
              <w:sz w:val="21"/>
              <w:szCs w:val="18"/>
            </w:rPr>
            <w:t>82,289,803</w:t>
          </w:r>
          <w:r>
            <w:rPr>
              <w:rFonts w:ascii="Arial Narrow" w:hAnsi="Arial Narrow"/>
              <w:sz w:val="21"/>
              <w:szCs w:val="18"/>
            </w:rPr>
            <w:t>股新股募集本次发行股份购买资产的配套资金。根据本公司董事会</w:t>
          </w:r>
          <w:r>
            <w:rPr>
              <w:rFonts w:ascii="Arial Narrow" w:hAnsi="Arial Narrow"/>
              <w:sz w:val="21"/>
              <w:szCs w:val="18"/>
            </w:rPr>
            <w:t>2017</w:t>
          </w:r>
          <w:r>
            <w:rPr>
              <w:rFonts w:ascii="Arial Narrow" w:hAnsi="Arial Narrow"/>
              <w:sz w:val="21"/>
              <w:szCs w:val="18"/>
            </w:rPr>
            <w:t>年</w:t>
          </w:r>
          <w:r>
            <w:rPr>
              <w:rFonts w:ascii="Arial Narrow" w:hAnsi="Arial Narrow"/>
              <w:sz w:val="21"/>
              <w:szCs w:val="18"/>
            </w:rPr>
            <w:t>5</w:t>
          </w:r>
          <w:r>
            <w:rPr>
              <w:rFonts w:ascii="Arial Narrow" w:hAnsi="Arial Narrow"/>
              <w:sz w:val="21"/>
              <w:szCs w:val="18"/>
            </w:rPr>
            <w:t>月</w:t>
          </w:r>
          <w:r>
            <w:rPr>
              <w:rFonts w:ascii="Arial Narrow" w:hAnsi="Arial Narrow"/>
              <w:sz w:val="21"/>
              <w:szCs w:val="18"/>
            </w:rPr>
            <w:t>11</w:t>
          </w:r>
          <w:r>
            <w:rPr>
              <w:rFonts w:ascii="Arial Narrow" w:hAnsi="Arial Narrow"/>
              <w:sz w:val="21"/>
              <w:szCs w:val="18"/>
            </w:rPr>
            <w:t>日《关于实施</w:t>
          </w:r>
          <w:r>
            <w:rPr>
              <w:rFonts w:ascii="Arial Narrow" w:hAnsi="Arial Narrow"/>
              <w:sz w:val="21"/>
              <w:szCs w:val="18"/>
            </w:rPr>
            <w:t>2016</w:t>
          </w:r>
          <w:r>
            <w:rPr>
              <w:rFonts w:ascii="Arial Narrow" w:hAnsi="Arial Narrow"/>
              <w:sz w:val="21"/>
              <w:szCs w:val="18"/>
            </w:rPr>
            <w:t>年年度利润分配后调整发行股份及支付现金购买</w:t>
          </w:r>
          <w:r>
            <w:rPr>
              <w:rFonts w:ascii="Arial Narrow" w:hAnsi="Arial Narrow" w:hint="eastAsia"/>
              <w:sz w:val="21"/>
              <w:szCs w:val="18"/>
            </w:rPr>
            <w:t>资产并募集配套资金的发行价格和发行数量的公告》，向天津药业集团有限公司发行</w:t>
          </w:r>
          <w:r>
            <w:rPr>
              <w:rFonts w:ascii="Arial Narrow" w:hAnsi="Arial Narrow"/>
              <w:sz w:val="21"/>
              <w:szCs w:val="18"/>
            </w:rPr>
            <w:t>104,825,376</w:t>
          </w:r>
          <w:r>
            <w:rPr>
              <w:rFonts w:ascii="Arial Narrow" w:hAnsi="Arial Narrow"/>
              <w:sz w:val="21"/>
              <w:szCs w:val="18"/>
            </w:rPr>
            <w:t>股股份，向广州德福股权投资基金合伙企业（有限合伙）发行</w:t>
          </w:r>
          <w:r>
            <w:rPr>
              <w:rFonts w:ascii="Arial Narrow" w:hAnsi="Arial Narrow"/>
              <w:sz w:val="21"/>
              <w:szCs w:val="18"/>
            </w:rPr>
            <w:t>26,206,344</w:t>
          </w:r>
          <w:r>
            <w:rPr>
              <w:rFonts w:ascii="Arial Narrow" w:hAnsi="Arial Narrow"/>
              <w:sz w:val="21"/>
              <w:szCs w:val="18"/>
            </w:rPr>
            <w:t>股股份。上述发行股份的登记事项于</w:t>
          </w:r>
          <w:r>
            <w:rPr>
              <w:rFonts w:ascii="Arial Narrow" w:hAnsi="Arial Narrow"/>
              <w:sz w:val="21"/>
              <w:szCs w:val="18"/>
            </w:rPr>
            <w:t>2017</w:t>
          </w:r>
          <w:r>
            <w:rPr>
              <w:rFonts w:ascii="Arial Narrow" w:hAnsi="Arial Narrow"/>
              <w:sz w:val="21"/>
              <w:szCs w:val="18"/>
            </w:rPr>
            <w:t>年</w:t>
          </w:r>
          <w:r>
            <w:rPr>
              <w:rFonts w:ascii="Arial Narrow" w:hAnsi="Arial Narrow"/>
              <w:sz w:val="21"/>
              <w:szCs w:val="18"/>
            </w:rPr>
            <w:t>8</w:t>
          </w:r>
          <w:r>
            <w:rPr>
              <w:rFonts w:ascii="Arial Narrow" w:hAnsi="Arial Narrow"/>
              <w:sz w:val="21"/>
              <w:szCs w:val="18"/>
            </w:rPr>
            <w:t>月</w:t>
          </w:r>
          <w:r>
            <w:rPr>
              <w:rFonts w:ascii="Arial Narrow" w:hAnsi="Arial Narrow"/>
              <w:sz w:val="21"/>
              <w:szCs w:val="18"/>
            </w:rPr>
            <w:t>24</w:t>
          </w:r>
          <w:r>
            <w:rPr>
              <w:rFonts w:ascii="Arial Narrow" w:hAnsi="Arial Narrow"/>
              <w:sz w:val="21"/>
              <w:szCs w:val="18"/>
            </w:rPr>
            <w:t>日办理完毕。本次非公开发行后股本总额</w:t>
          </w:r>
          <w:r>
            <w:rPr>
              <w:rFonts w:ascii="Arial Narrow" w:hAnsi="Arial Narrow"/>
              <w:sz w:val="21"/>
              <w:szCs w:val="18"/>
            </w:rPr>
            <w:t>1,091,886,680</w:t>
          </w:r>
          <w:r>
            <w:rPr>
              <w:rFonts w:ascii="Arial Narrow" w:hAnsi="Arial Narrow"/>
              <w:sz w:val="21"/>
              <w:szCs w:val="18"/>
            </w:rPr>
            <w:t>股。</w:t>
          </w:r>
        </w:p>
        <w:p w14:paraId="1A4E43B4" w14:textId="77777777" w:rsidR="002D0AE7" w:rsidRDefault="00333EBB">
          <w:pPr>
            <w:ind w:firstLineChars="200" w:firstLine="420"/>
            <w:rPr>
              <w:rFonts w:ascii="Arial Narrow" w:hAnsi="Arial Narrow"/>
              <w:sz w:val="21"/>
              <w:szCs w:val="18"/>
            </w:rPr>
          </w:pPr>
          <w:r>
            <w:rPr>
              <w:rFonts w:ascii="Arial Narrow" w:hAnsi="Arial Narrow" w:hint="eastAsia"/>
              <w:sz w:val="21"/>
              <w:szCs w:val="18"/>
            </w:rPr>
            <w:t>公司于</w:t>
          </w:r>
          <w:r>
            <w:rPr>
              <w:rFonts w:ascii="Arial Narrow" w:hAnsi="Arial Narrow"/>
              <w:sz w:val="21"/>
              <w:szCs w:val="18"/>
            </w:rPr>
            <w:t>2019</w:t>
          </w:r>
          <w:r>
            <w:rPr>
              <w:rFonts w:ascii="Arial Narrow" w:hAnsi="Arial Narrow"/>
              <w:sz w:val="21"/>
              <w:szCs w:val="18"/>
            </w:rPr>
            <w:t>年</w:t>
          </w:r>
          <w:r>
            <w:rPr>
              <w:rFonts w:ascii="Arial Narrow" w:hAnsi="Arial Narrow"/>
              <w:sz w:val="21"/>
              <w:szCs w:val="18"/>
            </w:rPr>
            <w:t>10</w:t>
          </w:r>
          <w:r>
            <w:rPr>
              <w:rFonts w:ascii="Arial Narrow" w:hAnsi="Arial Narrow"/>
              <w:sz w:val="21"/>
              <w:szCs w:val="18"/>
            </w:rPr>
            <w:t>月</w:t>
          </w:r>
          <w:r>
            <w:rPr>
              <w:rFonts w:ascii="Arial Narrow" w:hAnsi="Arial Narrow"/>
              <w:sz w:val="21"/>
              <w:szCs w:val="18"/>
            </w:rPr>
            <w:t>29</w:t>
          </w:r>
          <w:r>
            <w:rPr>
              <w:rFonts w:ascii="Arial Narrow" w:hAnsi="Arial Narrow"/>
              <w:sz w:val="21"/>
              <w:szCs w:val="18"/>
            </w:rPr>
            <w:t>日召开的第七届董事会第二十五次会议及</w:t>
          </w:r>
          <w:r>
            <w:rPr>
              <w:rFonts w:ascii="Arial Narrow" w:hAnsi="Arial Narrow"/>
              <w:sz w:val="21"/>
              <w:szCs w:val="18"/>
            </w:rPr>
            <w:t>2019</w:t>
          </w:r>
          <w:r>
            <w:rPr>
              <w:rFonts w:ascii="Arial Narrow" w:hAnsi="Arial Narrow"/>
              <w:sz w:val="21"/>
              <w:szCs w:val="18"/>
            </w:rPr>
            <w:t>年</w:t>
          </w:r>
          <w:r>
            <w:rPr>
              <w:rFonts w:ascii="Arial Narrow" w:hAnsi="Arial Narrow"/>
              <w:sz w:val="21"/>
              <w:szCs w:val="18"/>
            </w:rPr>
            <w:t>11</w:t>
          </w:r>
          <w:r>
            <w:rPr>
              <w:rFonts w:ascii="Arial Narrow" w:hAnsi="Arial Narrow"/>
              <w:sz w:val="21"/>
              <w:szCs w:val="18"/>
            </w:rPr>
            <w:t>月</w:t>
          </w:r>
          <w:r>
            <w:rPr>
              <w:rFonts w:ascii="Arial Narrow" w:hAnsi="Arial Narrow"/>
              <w:sz w:val="21"/>
              <w:szCs w:val="18"/>
            </w:rPr>
            <w:t>15</w:t>
          </w:r>
          <w:r>
            <w:rPr>
              <w:rFonts w:ascii="Arial Narrow" w:hAnsi="Arial Narrow"/>
              <w:sz w:val="21"/>
              <w:szCs w:val="18"/>
            </w:rPr>
            <w:t>日召开的</w:t>
          </w:r>
          <w:r>
            <w:rPr>
              <w:rFonts w:ascii="Arial Narrow" w:hAnsi="Arial Narrow"/>
              <w:sz w:val="21"/>
              <w:szCs w:val="18"/>
            </w:rPr>
            <w:t>2019</w:t>
          </w:r>
          <w:r>
            <w:rPr>
              <w:rFonts w:ascii="Arial Narrow" w:hAnsi="Arial Narrow"/>
              <w:sz w:val="21"/>
              <w:szCs w:val="18"/>
            </w:rPr>
            <w:t>年第三次临时股东大会分别审议通过了公司</w:t>
          </w:r>
          <w:r>
            <w:rPr>
              <w:rFonts w:ascii="Arial Narrow" w:hAnsi="Arial Narrow"/>
              <w:sz w:val="21"/>
              <w:szCs w:val="18"/>
            </w:rPr>
            <w:t>2019</w:t>
          </w:r>
          <w:r>
            <w:rPr>
              <w:rFonts w:ascii="Arial Narrow" w:hAnsi="Arial Narrow"/>
              <w:sz w:val="21"/>
              <w:szCs w:val="18"/>
            </w:rPr>
            <w:t>年限制性股票激励计划的相关议案。于</w:t>
          </w:r>
          <w:r>
            <w:rPr>
              <w:rFonts w:ascii="Arial Narrow" w:hAnsi="Arial Narrow"/>
              <w:sz w:val="21"/>
              <w:szCs w:val="18"/>
            </w:rPr>
            <w:t>2020</w:t>
          </w:r>
          <w:r>
            <w:rPr>
              <w:rFonts w:ascii="Arial Narrow" w:hAnsi="Arial Narrow"/>
              <w:sz w:val="21"/>
              <w:szCs w:val="18"/>
            </w:rPr>
            <w:t>年</w:t>
          </w:r>
          <w:r>
            <w:rPr>
              <w:rFonts w:ascii="Arial Narrow" w:hAnsi="Arial Narrow"/>
              <w:sz w:val="21"/>
              <w:szCs w:val="18"/>
            </w:rPr>
            <w:t>5</w:t>
          </w:r>
          <w:r>
            <w:rPr>
              <w:rFonts w:ascii="Arial Narrow" w:hAnsi="Arial Narrow"/>
              <w:sz w:val="21"/>
              <w:szCs w:val="18"/>
            </w:rPr>
            <w:t>月</w:t>
          </w:r>
          <w:r>
            <w:rPr>
              <w:rFonts w:ascii="Arial Narrow" w:hAnsi="Arial Narrow"/>
              <w:sz w:val="21"/>
              <w:szCs w:val="18"/>
            </w:rPr>
            <w:t>15</w:t>
          </w:r>
          <w:r>
            <w:rPr>
              <w:rFonts w:ascii="Arial Narrow" w:hAnsi="Arial Narrow"/>
              <w:sz w:val="21"/>
              <w:szCs w:val="18"/>
            </w:rPr>
            <w:t>日，公司第七届董事会第三十二次会议审议通过了向激励对象授予限制性股票的相关议案，向</w:t>
          </w:r>
          <w:r>
            <w:rPr>
              <w:rFonts w:ascii="Arial Narrow" w:hAnsi="Arial Narrow"/>
              <w:sz w:val="21"/>
              <w:szCs w:val="18"/>
            </w:rPr>
            <w:t>138</w:t>
          </w:r>
          <w:r>
            <w:rPr>
              <w:rFonts w:ascii="Arial Narrow" w:hAnsi="Arial Narrow"/>
              <w:sz w:val="21"/>
              <w:szCs w:val="18"/>
            </w:rPr>
            <w:t>名激励对象授予</w:t>
          </w:r>
          <w:r>
            <w:rPr>
              <w:rFonts w:ascii="Arial Narrow" w:hAnsi="Arial Narrow"/>
              <w:sz w:val="21"/>
              <w:szCs w:val="18"/>
            </w:rPr>
            <w:t>902</w:t>
          </w:r>
          <w:r>
            <w:rPr>
              <w:rFonts w:ascii="Arial Narrow" w:hAnsi="Arial Narrow"/>
              <w:sz w:val="21"/>
              <w:szCs w:val="18"/>
            </w:rPr>
            <w:t>万股限制性股票。公司于</w:t>
          </w:r>
          <w:r>
            <w:rPr>
              <w:rFonts w:ascii="Arial Narrow" w:hAnsi="Arial Narrow"/>
              <w:sz w:val="21"/>
              <w:szCs w:val="18"/>
            </w:rPr>
            <w:t>2020</w:t>
          </w:r>
          <w:r>
            <w:rPr>
              <w:rFonts w:ascii="Arial Narrow" w:hAnsi="Arial Narrow"/>
              <w:sz w:val="21"/>
              <w:szCs w:val="18"/>
            </w:rPr>
            <w:t>年</w:t>
          </w:r>
          <w:r>
            <w:rPr>
              <w:rFonts w:ascii="Arial Narrow" w:hAnsi="Arial Narrow"/>
              <w:sz w:val="21"/>
              <w:szCs w:val="18"/>
            </w:rPr>
            <w:t>6</w:t>
          </w:r>
          <w:r>
            <w:rPr>
              <w:rFonts w:ascii="Arial Narrow" w:hAnsi="Arial Narrow"/>
              <w:sz w:val="21"/>
              <w:szCs w:val="18"/>
            </w:rPr>
            <w:t>月</w:t>
          </w:r>
          <w:r>
            <w:rPr>
              <w:rFonts w:ascii="Arial Narrow" w:hAnsi="Arial Narrow"/>
              <w:sz w:val="21"/>
              <w:szCs w:val="18"/>
            </w:rPr>
            <w:t>2</w:t>
          </w:r>
          <w:r>
            <w:rPr>
              <w:rFonts w:ascii="Arial Narrow" w:hAnsi="Arial Narrow"/>
              <w:sz w:val="21"/>
              <w:szCs w:val="18"/>
            </w:rPr>
            <w:t>日完成限制性股票激励计划首次授予的登记手续，总股本为</w:t>
          </w:r>
          <w:r>
            <w:rPr>
              <w:rFonts w:ascii="Arial Narrow" w:hAnsi="Arial Narrow"/>
              <w:sz w:val="21"/>
              <w:szCs w:val="18"/>
            </w:rPr>
            <w:t>1,100,906,680.00</w:t>
          </w:r>
          <w:r>
            <w:rPr>
              <w:rFonts w:ascii="Arial Narrow" w:hAnsi="Arial Narrow"/>
              <w:sz w:val="21"/>
              <w:szCs w:val="18"/>
            </w:rPr>
            <w:t>元。公司</w:t>
          </w:r>
          <w:r>
            <w:rPr>
              <w:rFonts w:ascii="Arial Narrow" w:hAnsi="Arial Narrow"/>
              <w:sz w:val="21"/>
              <w:szCs w:val="18"/>
            </w:rPr>
            <w:t>2020</w:t>
          </w:r>
          <w:r>
            <w:rPr>
              <w:rFonts w:ascii="Arial Narrow" w:hAnsi="Arial Narrow"/>
              <w:sz w:val="21"/>
              <w:szCs w:val="18"/>
            </w:rPr>
            <w:t>年</w:t>
          </w:r>
          <w:r>
            <w:rPr>
              <w:rFonts w:ascii="Arial Narrow" w:hAnsi="Arial Narrow"/>
              <w:sz w:val="21"/>
              <w:szCs w:val="18"/>
            </w:rPr>
            <w:t>10</w:t>
          </w:r>
          <w:r>
            <w:rPr>
              <w:rFonts w:ascii="Arial Narrow" w:hAnsi="Arial Narrow"/>
              <w:sz w:val="21"/>
              <w:szCs w:val="18"/>
            </w:rPr>
            <w:t>月</w:t>
          </w:r>
          <w:r>
            <w:rPr>
              <w:rFonts w:ascii="Arial Narrow" w:hAnsi="Arial Narrow"/>
              <w:sz w:val="21"/>
              <w:szCs w:val="18"/>
            </w:rPr>
            <w:t>28</w:t>
          </w:r>
          <w:r>
            <w:rPr>
              <w:rFonts w:ascii="Arial Narrow" w:hAnsi="Arial Narrow"/>
              <w:sz w:val="21"/>
              <w:szCs w:val="18"/>
            </w:rPr>
            <w:t>日第七届董事会第三十八次会议审议通过了回购注销</w:t>
          </w:r>
          <w:r>
            <w:rPr>
              <w:rFonts w:ascii="Arial Narrow" w:hAnsi="Arial Narrow" w:hint="eastAsia"/>
              <w:sz w:val="21"/>
              <w:szCs w:val="18"/>
            </w:rPr>
            <w:t>部分激励对象限制性股票的议案，将</w:t>
          </w:r>
          <w:r>
            <w:rPr>
              <w:rFonts w:ascii="Arial Narrow" w:hAnsi="Arial Narrow"/>
              <w:sz w:val="21"/>
              <w:szCs w:val="18"/>
            </w:rPr>
            <w:t>2</w:t>
          </w:r>
          <w:r>
            <w:rPr>
              <w:rFonts w:ascii="Arial Narrow" w:hAnsi="Arial Narrow"/>
              <w:sz w:val="21"/>
              <w:szCs w:val="18"/>
            </w:rPr>
            <w:t>名激励对象的限制性股票</w:t>
          </w:r>
          <w:r>
            <w:rPr>
              <w:rFonts w:ascii="Arial Narrow" w:hAnsi="Arial Narrow"/>
              <w:sz w:val="21"/>
              <w:szCs w:val="18"/>
            </w:rPr>
            <w:t>120,000.00</w:t>
          </w:r>
          <w:r>
            <w:rPr>
              <w:rFonts w:ascii="Arial Narrow" w:hAnsi="Arial Narrow"/>
              <w:sz w:val="21"/>
              <w:szCs w:val="18"/>
            </w:rPr>
            <w:t>股进行回购注销。回购注销完成后，公司总股本为</w:t>
          </w:r>
          <w:r>
            <w:rPr>
              <w:rFonts w:ascii="Arial Narrow" w:hAnsi="Arial Narrow"/>
              <w:sz w:val="21"/>
              <w:szCs w:val="18"/>
            </w:rPr>
            <w:t>1,100,786,680.00</w:t>
          </w:r>
          <w:r>
            <w:rPr>
              <w:rFonts w:ascii="Arial Narrow" w:hAnsi="Arial Narrow"/>
              <w:sz w:val="21"/>
              <w:szCs w:val="18"/>
            </w:rPr>
            <w:t>元。</w:t>
          </w:r>
        </w:p>
        <w:p w14:paraId="47881387" w14:textId="77777777" w:rsidR="002D0AE7" w:rsidRDefault="00333EBB">
          <w:pPr>
            <w:ind w:firstLineChars="200" w:firstLine="420"/>
            <w:rPr>
              <w:rFonts w:ascii="Arial Narrow" w:hAnsi="Arial Narrow"/>
              <w:sz w:val="21"/>
              <w:szCs w:val="18"/>
            </w:rPr>
          </w:pPr>
          <w:r>
            <w:rPr>
              <w:rFonts w:ascii="Arial Narrow" w:hAnsi="Arial Narrow" w:hint="eastAsia"/>
              <w:sz w:val="21"/>
              <w:szCs w:val="18"/>
            </w:rPr>
            <w:t>公司</w:t>
          </w:r>
          <w:r>
            <w:rPr>
              <w:rFonts w:ascii="Arial Narrow" w:hAnsi="Arial Narrow"/>
              <w:sz w:val="21"/>
              <w:szCs w:val="18"/>
            </w:rPr>
            <w:t>2021</w:t>
          </w:r>
          <w:r>
            <w:rPr>
              <w:rFonts w:ascii="Arial Narrow" w:hAnsi="Arial Narrow"/>
              <w:sz w:val="21"/>
              <w:szCs w:val="18"/>
            </w:rPr>
            <w:t>年</w:t>
          </w:r>
          <w:r>
            <w:rPr>
              <w:rFonts w:ascii="Arial Narrow" w:hAnsi="Arial Narrow"/>
              <w:sz w:val="21"/>
              <w:szCs w:val="18"/>
            </w:rPr>
            <w:t>7</w:t>
          </w:r>
          <w:r>
            <w:rPr>
              <w:rFonts w:ascii="Arial Narrow" w:hAnsi="Arial Narrow"/>
              <w:sz w:val="21"/>
              <w:szCs w:val="18"/>
            </w:rPr>
            <w:t>月</w:t>
          </w:r>
          <w:r>
            <w:rPr>
              <w:rFonts w:ascii="Arial Narrow" w:hAnsi="Arial Narrow"/>
              <w:sz w:val="21"/>
              <w:szCs w:val="18"/>
            </w:rPr>
            <w:t>9</w:t>
          </w:r>
          <w:r>
            <w:rPr>
              <w:rFonts w:ascii="Arial Narrow" w:hAnsi="Arial Narrow"/>
              <w:sz w:val="21"/>
              <w:szCs w:val="18"/>
            </w:rPr>
            <w:t>日第八届董事会第十一次会议和第八届监事会第五次会议决议，审议通过了《关于回购注销部分激励对象已获授但尚未解锁的限制性股票及调整回购价格的议案》，将</w:t>
          </w:r>
          <w:r>
            <w:rPr>
              <w:rFonts w:ascii="Arial Narrow" w:hAnsi="Arial Narrow"/>
              <w:sz w:val="21"/>
              <w:szCs w:val="18"/>
            </w:rPr>
            <w:t>4</w:t>
          </w:r>
          <w:r>
            <w:rPr>
              <w:rFonts w:ascii="Arial Narrow" w:hAnsi="Arial Narrow"/>
              <w:sz w:val="21"/>
              <w:szCs w:val="18"/>
            </w:rPr>
            <w:t>名激励对象已获授但尚未解锁的限制性股票</w:t>
          </w:r>
          <w:r>
            <w:rPr>
              <w:rFonts w:ascii="Arial Narrow" w:hAnsi="Arial Narrow"/>
              <w:sz w:val="21"/>
              <w:szCs w:val="18"/>
            </w:rPr>
            <w:t>440,000</w:t>
          </w:r>
          <w:r>
            <w:rPr>
              <w:rFonts w:ascii="Arial Narrow" w:hAnsi="Arial Narrow"/>
              <w:sz w:val="21"/>
              <w:szCs w:val="18"/>
            </w:rPr>
            <w:t>股进行回购注销。本次限制性股票回购价格为</w:t>
          </w:r>
          <w:r>
            <w:rPr>
              <w:rFonts w:ascii="Arial Narrow" w:hAnsi="Arial Narrow"/>
              <w:sz w:val="21"/>
              <w:szCs w:val="18"/>
            </w:rPr>
            <w:t>2.30</w:t>
          </w:r>
          <w:r>
            <w:rPr>
              <w:rFonts w:ascii="Arial Narrow" w:hAnsi="Arial Narrow"/>
              <w:sz w:val="21"/>
              <w:szCs w:val="18"/>
            </w:rPr>
            <w:t>元</w:t>
          </w:r>
          <w:r>
            <w:rPr>
              <w:rFonts w:ascii="Arial Narrow" w:hAnsi="Arial Narrow"/>
              <w:sz w:val="21"/>
              <w:szCs w:val="18"/>
            </w:rPr>
            <w:t>/</w:t>
          </w:r>
          <w:r>
            <w:rPr>
              <w:rFonts w:ascii="Arial Narrow" w:hAnsi="Arial Narrow"/>
              <w:sz w:val="21"/>
              <w:szCs w:val="18"/>
            </w:rPr>
            <w:t>股，回购价款为</w:t>
          </w:r>
          <w:r>
            <w:rPr>
              <w:rFonts w:ascii="Arial Narrow" w:hAnsi="Arial Narrow"/>
              <w:sz w:val="21"/>
              <w:szCs w:val="18"/>
            </w:rPr>
            <w:t>1,012,000</w:t>
          </w:r>
          <w:r>
            <w:rPr>
              <w:rFonts w:ascii="Arial Narrow" w:hAnsi="Arial Narrow"/>
              <w:sz w:val="21"/>
              <w:szCs w:val="18"/>
            </w:rPr>
            <w:t>元加上相应银行同期定期存款利息之和。回购注销完成后，公司总股本从</w:t>
          </w:r>
          <w:r>
            <w:rPr>
              <w:rFonts w:ascii="Arial Narrow" w:hAnsi="Arial Narrow"/>
              <w:sz w:val="21"/>
              <w:szCs w:val="18"/>
            </w:rPr>
            <w:t>1,100,786,680</w:t>
          </w:r>
          <w:r>
            <w:rPr>
              <w:rFonts w:ascii="Arial Narrow" w:hAnsi="Arial Narrow"/>
              <w:sz w:val="21"/>
              <w:szCs w:val="18"/>
            </w:rPr>
            <w:t>元变更为</w:t>
          </w:r>
          <w:r>
            <w:rPr>
              <w:rFonts w:ascii="Arial Narrow" w:hAnsi="Arial Narrow"/>
              <w:sz w:val="21"/>
              <w:szCs w:val="18"/>
            </w:rPr>
            <w:t>1,100,346,680</w:t>
          </w:r>
          <w:r>
            <w:rPr>
              <w:rFonts w:ascii="Arial Narrow" w:hAnsi="Arial Narrow"/>
              <w:sz w:val="21"/>
              <w:szCs w:val="18"/>
            </w:rPr>
            <w:t>元。</w:t>
          </w:r>
        </w:p>
        <w:p w14:paraId="4A61F24A" w14:textId="77777777" w:rsidR="002D0AE7" w:rsidRDefault="00333EBB">
          <w:pPr>
            <w:ind w:firstLineChars="200" w:firstLine="420"/>
            <w:rPr>
              <w:rFonts w:ascii="Arial Narrow" w:hAnsi="Arial Narrow"/>
              <w:sz w:val="21"/>
              <w:szCs w:val="18"/>
            </w:rPr>
          </w:pPr>
          <w:r>
            <w:rPr>
              <w:rFonts w:ascii="Arial Narrow" w:hAnsi="Arial Narrow" w:hint="eastAsia"/>
              <w:sz w:val="21"/>
              <w:szCs w:val="18"/>
            </w:rPr>
            <w:t>公司</w:t>
          </w:r>
          <w:r>
            <w:rPr>
              <w:rFonts w:ascii="Arial Narrow" w:hAnsi="Arial Narrow"/>
              <w:sz w:val="21"/>
              <w:szCs w:val="18"/>
            </w:rPr>
            <w:t>2021</w:t>
          </w:r>
          <w:r>
            <w:rPr>
              <w:rFonts w:ascii="Arial Narrow" w:hAnsi="Arial Narrow"/>
              <w:sz w:val="21"/>
              <w:szCs w:val="18"/>
            </w:rPr>
            <w:t>年</w:t>
          </w:r>
          <w:r>
            <w:rPr>
              <w:rFonts w:ascii="Arial Narrow" w:hAnsi="Arial Narrow"/>
              <w:sz w:val="21"/>
              <w:szCs w:val="18"/>
            </w:rPr>
            <w:t>12</w:t>
          </w:r>
          <w:r>
            <w:rPr>
              <w:rFonts w:ascii="Arial Narrow" w:hAnsi="Arial Narrow"/>
              <w:sz w:val="21"/>
              <w:szCs w:val="18"/>
            </w:rPr>
            <w:t>月</w:t>
          </w:r>
          <w:r>
            <w:rPr>
              <w:rFonts w:ascii="Arial Narrow" w:hAnsi="Arial Narrow"/>
              <w:sz w:val="21"/>
              <w:szCs w:val="18"/>
            </w:rPr>
            <w:t>20</w:t>
          </w:r>
          <w:r>
            <w:rPr>
              <w:rFonts w:ascii="Arial Narrow" w:hAnsi="Arial Narrow"/>
              <w:sz w:val="21"/>
              <w:szCs w:val="18"/>
            </w:rPr>
            <w:t>日第八届董事会第十七次会议和第八届监事会第九次会议决议，审议通过了《关于回购注销部分激励对象已获授但尚未解锁的限制性股票及调整回购价格的议案》，将</w:t>
          </w:r>
          <w:r>
            <w:rPr>
              <w:rFonts w:ascii="Arial Narrow" w:hAnsi="Arial Narrow"/>
              <w:sz w:val="21"/>
              <w:szCs w:val="18"/>
            </w:rPr>
            <w:t>4</w:t>
          </w:r>
          <w:r>
            <w:rPr>
              <w:rFonts w:ascii="Arial Narrow" w:hAnsi="Arial Narrow"/>
              <w:sz w:val="21"/>
              <w:szCs w:val="18"/>
            </w:rPr>
            <w:t>名激励对象已获授但尚未解锁的限制性股票</w:t>
          </w:r>
          <w:r>
            <w:rPr>
              <w:rFonts w:ascii="Arial Narrow" w:hAnsi="Arial Narrow"/>
              <w:sz w:val="21"/>
              <w:szCs w:val="18"/>
            </w:rPr>
            <w:t>300,000</w:t>
          </w:r>
          <w:r>
            <w:rPr>
              <w:rFonts w:ascii="Arial Narrow" w:hAnsi="Arial Narrow"/>
              <w:sz w:val="21"/>
              <w:szCs w:val="18"/>
            </w:rPr>
            <w:t>股进行回购注销。本次限制性股票回购价格为</w:t>
          </w:r>
          <w:r>
            <w:rPr>
              <w:rFonts w:ascii="Arial Narrow" w:hAnsi="Arial Narrow"/>
              <w:sz w:val="21"/>
              <w:szCs w:val="18"/>
            </w:rPr>
            <w:t>2.30</w:t>
          </w:r>
          <w:r>
            <w:rPr>
              <w:rFonts w:ascii="Arial Narrow" w:hAnsi="Arial Narrow"/>
              <w:sz w:val="21"/>
              <w:szCs w:val="18"/>
            </w:rPr>
            <w:t>元</w:t>
          </w:r>
          <w:r>
            <w:rPr>
              <w:rFonts w:ascii="Arial Narrow" w:hAnsi="Arial Narrow"/>
              <w:sz w:val="21"/>
              <w:szCs w:val="18"/>
            </w:rPr>
            <w:t>/</w:t>
          </w:r>
          <w:r>
            <w:rPr>
              <w:rFonts w:ascii="Arial Narrow" w:hAnsi="Arial Narrow"/>
              <w:sz w:val="21"/>
              <w:szCs w:val="18"/>
            </w:rPr>
            <w:t>股，回购价款为</w:t>
          </w:r>
          <w:r>
            <w:rPr>
              <w:rFonts w:ascii="Arial Narrow" w:hAnsi="Arial Narrow"/>
              <w:sz w:val="21"/>
              <w:szCs w:val="18"/>
            </w:rPr>
            <w:t>690,000</w:t>
          </w:r>
          <w:r>
            <w:rPr>
              <w:rFonts w:ascii="Arial Narrow" w:hAnsi="Arial Narrow"/>
              <w:sz w:val="21"/>
              <w:szCs w:val="18"/>
            </w:rPr>
            <w:t>元加上相应银行同期定期存款利息之和。回购注销完成后，公司总股本从</w:t>
          </w:r>
          <w:r>
            <w:rPr>
              <w:rFonts w:ascii="Arial Narrow" w:hAnsi="Arial Narrow"/>
              <w:sz w:val="21"/>
              <w:szCs w:val="18"/>
            </w:rPr>
            <w:t>1,100,346,680</w:t>
          </w:r>
          <w:r>
            <w:rPr>
              <w:rFonts w:ascii="Arial Narrow" w:hAnsi="Arial Narrow"/>
              <w:sz w:val="21"/>
              <w:szCs w:val="18"/>
            </w:rPr>
            <w:t>元变更为</w:t>
          </w:r>
          <w:r>
            <w:rPr>
              <w:rFonts w:ascii="Arial Narrow" w:hAnsi="Arial Narrow"/>
              <w:sz w:val="21"/>
              <w:szCs w:val="18"/>
            </w:rPr>
            <w:t>1,100,046,680</w:t>
          </w:r>
          <w:r>
            <w:rPr>
              <w:rFonts w:ascii="Arial Narrow" w:hAnsi="Arial Narrow"/>
              <w:sz w:val="21"/>
              <w:szCs w:val="18"/>
            </w:rPr>
            <w:t>元。</w:t>
          </w:r>
        </w:p>
        <w:p w14:paraId="2A98EF54" w14:textId="77777777" w:rsidR="002D0AE7" w:rsidRDefault="00333EBB">
          <w:pPr>
            <w:ind w:firstLineChars="200" w:firstLine="420"/>
            <w:rPr>
              <w:rFonts w:ascii="Arial Narrow" w:hAnsi="Arial Narrow"/>
              <w:sz w:val="21"/>
              <w:szCs w:val="18"/>
            </w:rPr>
          </w:pPr>
          <w:r>
            <w:rPr>
              <w:rFonts w:ascii="Arial Narrow" w:hAnsi="Arial Narrow" w:hint="eastAsia"/>
              <w:sz w:val="21"/>
              <w:szCs w:val="18"/>
            </w:rPr>
            <w:t>公司于</w:t>
          </w:r>
          <w:r>
            <w:rPr>
              <w:rFonts w:ascii="Arial Narrow" w:hAnsi="Arial Narrow"/>
              <w:sz w:val="21"/>
              <w:szCs w:val="18"/>
            </w:rPr>
            <w:t>2022</w:t>
          </w:r>
          <w:r>
            <w:rPr>
              <w:rFonts w:ascii="Arial Narrow" w:hAnsi="Arial Narrow"/>
              <w:sz w:val="21"/>
              <w:szCs w:val="18"/>
            </w:rPr>
            <w:t>年</w:t>
          </w:r>
          <w:r>
            <w:rPr>
              <w:rFonts w:ascii="Arial Narrow" w:hAnsi="Arial Narrow"/>
              <w:sz w:val="21"/>
              <w:szCs w:val="18"/>
            </w:rPr>
            <w:t>6</w:t>
          </w:r>
          <w:r>
            <w:rPr>
              <w:rFonts w:ascii="Arial Narrow" w:hAnsi="Arial Narrow"/>
              <w:sz w:val="21"/>
              <w:szCs w:val="18"/>
            </w:rPr>
            <w:t>月</w:t>
          </w:r>
          <w:r>
            <w:rPr>
              <w:rFonts w:ascii="Arial Narrow" w:hAnsi="Arial Narrow"/>
              <w:sz w:val="21"/>
              <w:szCs w:val="18"/>
            </w:rPr>
            <w:t>20</w:t>
          </w:r>
          <w:r>
            <w:rPr>
              <w:rFonts w:ascii="Arial Narrow" w:hAnsi="Arial Narrow"/>
              <w:sz w:val="21"/>
              <w:szCs w:val="18"/>
            </w:rPr>
            <w:t>日第八届董事会第二十一次会议和第八届监事会第十二次会议审议通过了《关于回购注销股权激励计划已获授但尚未解锁的部分限制性股票及调整回购价格的议案》。公司回购注销</w:t>
          </w:r>
          <w:r>
            <w:rPr>
              <w:rFonts w:ascii="Arial Narrow" w:hAnsi="Arial Narrow"/>
              <w:sz w:val="21"/>
              <w:szCs w:val="18"/>
            </w:rPr>
            <w:t>119</w:t>
          </w:r>
          <w:r>
            <w:rPr>
              <w:rFonts w:ascii="Arial Narrow" w:hAnsi="Arial Narrow"/>
              <w:sz w:val="21"/>
              <w:szCs w:val="18"/>
            </w:rPr>
            <w:t>名激励对象持有的第一个解锁期限制性股票</w:t>
          </w:r>
          <w:r>
            <w:rPr>
              <w:rFonts w:ascii="Arial Narrow" w:hAnsi="Arial Narrow"/>
              <w:sz w:val="21"/>
              <w:szCs w:val="18"/>
            </w:rPr>
            <w:t>2,984,000</w:t>
          </w:r>
          <w:r>
            <w:rPr>
              <w:rFonts w:ascii="Arial Narrow" w:hAnsi="Arial Narrow"/>
              <w:sz w:val="21"/>
              <w:szCs w:val="18"/>
            </w:rPr>
            <w:t>股，同时回购注销因工作调整等原因不再符合激励对象资格的</w:t>
          </w:r>
          <w:r>
            <w:rPr>
              <w:rFonts w:ascii="Arial Narrow" w:hAnsi="Arial Narrow"/>
              <w:sz w:val="21"/>
              <w:szCs w:val="18"/>
            </w:rPr>
            <w:t>9</w:t>
          </w:r>
          <w:r>
            <w:rPr>
              <w:rFonts w:ascii="Arial Narrow" w:hAnsi="Arial Narrow"/>
              <w:sz w:val="21"/>
              <w:szCs w:val="18"/>
            </w:rPr>
            <w:t>名激励对象持有的限制性股票</w:t>
          </w:r>
          <w:r>
            <w:rPr>
              <w:rFonts w:ascii="Arial Narrow" w:hAnsi="Arial Narrow"/>
              <w:sz w:val="21"/>
              <w:szCs w:val="18"/>
            </w:rPr>
            <w:t>700,000</w:t>
          </w:r>
          <w:r>
            <w:rPr>
              <w:rFonts w:ascii="Arial Narrow" w:hAnsi="Arial Narrow"/>
              <w:sz w:val="21"/>
              <w:szCs w:val="18"/>
            </w:rPr>
            <w:t>股，以上合计</w:t>
          </w:r>
          <w:r>
            <w:rPr>
              <w:rFonts w:ascii="Arial Narrow" w:hAnsi="Arial Narrow"/>
              <w:sz w:val="21"/>
              <w:szCs w:val="18"/>
            </w:rPr>
            <w:t>3,684,000</w:t>
          </w:r>
          <w:r>
            <w:rPr>
              <w:rFonts w:ascii="Arial Narrow" w:hAnsi="Arial Narrow"/>
              <w:sz w:val="21"/>
              <w:szCs w:val="18"/>
            </w:rPr>
            <w:t>股。本次限制性股票的回购价格为</w:t>
          </w:r>
          <w:r>
            <w:rPr>
              <w:rFonts w:ascii="Arial Narrow" w:hAnsi="Arial Narrow"/>
              <w:sz w:val="21"/>
              <w:szCs w:val="18"/>
            </w:rPr>
            <w:t>2.286</w:t>
          </w:r>
          <w:r>
            <w:rPr>
              <w:rFonts w:ascii="Arial Narrow" w:hAnsi="Arial Narrow"/>
              <w:sz w:val="21"/>
              <w:szCs w:val="18"/>
            </w:rPr>
            <w:t>元</w:t>
          </w:r>
          <w:r>
            <w:rPr>
              <w:rFonts w:ascii="Arial Narrow" w:hAnsi="Arial Narrow"/>
              <w:sz w:val="21"/>
              <w:szCs w:val="18"/>
            </w:rPr>
            <w:t>/</w:t>
          </w:r>
          <w:r>
            <w:rPr>
              <w:rFonts w:ascii="Arial Narrow" w:hAnsi="Arial Narrow"/>
              <w:sz w:val="21"/>
              <w:szCs w:val="18"/>
            </w:rPr>
            <w:t>股，回购价款为</w:t>
          </w:r>
          <w:r>
            <w:rPr>
              <w:rFonts w:ascii="Arial Narrow" w:hAnsi="Arial Narrow"/>
              <w:sz w:val="21"/>
              <w:szCs w:val="18"/>
            </w:rPr>
            <w:t>8,421,624</w:t>
          </w:r>
          <w:r>
            <w:rPr>
              <w:rFonts w:ascii="Arial Narrow" w:hAnsi="Arial Narrow"/>
              <w:sz w:val="21"/>
              <w:szCs w:val="18"/>
            </w:rPr>
            <w:t>元加上相应银行同期定期存款利息之和。回购注销完成后，公司股本从</w:t>
          </w:r>
          <w:r>
            <w:rPr>
              <w:rFonts w:ascii="Arial Narrow" w:hAnsi="Arial Narrow"/>
              <w:sz w:val="21"/>
              <w:szCs w:val="18"/>
            </w:rPr>
            <w:t>1,100,046,680</w:t>
          </w:r>
          <w:r>
            <w:rPr>
              <w:rFonts w:ascii="Arial Narrow" w:hAnsi="Arial Narrow"/>
              <w:sz w:val="21"/>
              <w:szCs w:val="18"/>
            </w:rPr>
            <w:t>元变更为</w:t>
          </w:r>
          <w:r>
            <w:rPr>
              <w:rFonts w:ascii="Arial Narrow" w:hAnsi="Arial Narrow"/>
              <w:sz w:val="21"/>
              <w:szCs w:val="18"/>
            </w:rPr>
            <w:t>1,096,362,680</w:t>
          </w:r>
          <w:r>
            <w:rPr>
              <w:rFonts w:ascii="Arial Narrow" w:hAnsi="Arial Narrow"/>
              <w:sz w:val="21"/>
              <w:szCs w:val="18"/>
            </w:rPr>
            <w:t>元。</w:t>
          </w:r>
        </w:p>
        <w:p w14:paraId="48223950" w14:textId="77777777" w:rsidR="002D0AE7" w:rsidRDefault="00333EBB">
          <w:pPr>
            <w:ind w:firstLineChars="200" w:firstLine="420"/>
            <w:rPr>
              <w:rFonts w:ascii="Arial Narrow" w:hAnsi="Arial Narrow"/>
              <w:sz w:val="21"/>
              <w:szCs w:val="18"/>
            </w:rPr>
          </w:pPr>
          <w:r>
            <w:rPr>
              <w:rFonts w:ascii="Arial Narrow" w:hAnsi="Arial Narrow" w:hint="eastAsia"/>
              <w:sz w:val="21"/>
              <w:szCs w:val="18"/>
            </w:rPr>
            <w:t>经公司</w:t>
          </w:r>
          <w:r>
            <w:rPr>
              <w:rFonts w:ascii="Arial Narrow" w:hAnsi="Arial Narrow"/>
              <w:sz w:val="21"/>
              <w:szCs w:val="18"/>
            </w:rPr>
            <w:t>2022</w:t>
          </w:r>
          <w:r>
            <w:rPr>
              <w:rFonts w:ascii="Arial Narrow" w:hAnsi="Arial Narrow"/>
              <w:sz w:val="21"/>
              <w:szCs w:val="18"/>
            </w:rPr>
            <w:t>年</w:t>
          </w:r>
          <w:r>
            <w:rPr>
              <w:rFonts w:ascii="Arial Narrow" w:hAnsi="Arial Narrow"/>
              <w:sz w:val="21"/>
              <w:szCs w:val="18"/>
            </w:rPr>
            <w:t>9</w:t>
          </w:r>
          <w:r>
            <w:rPr>
              <w:rFonts w:ascii="Arial Narrow" w:hAnsi="Arial Narrow"/>
              <w:sz w:val="21"/>
              <w:szCs w:val="18"/>
            </w:rPr>
            <w:t>月</w:t>
          </w:r>
          <w:r>
            <w:rPr>
              <w:rFonts w:ascii="Arial Narrow" w:hAnsi="Arial Narrow"/>
              <w:sz w:val="21"/>
              <w:szCs w:val="18"/>
            </w:rPr>
            <w:t>16</w:t>
          </w:r>
          <w:r>
            <w:rPr>
              <w:rFonts w:ascii="Arial Narrow" w:hAnsi="Arial Narrow"/>
              <w:sz w:val="21"/>
              <w:szCs w:val="18"/>
            </w:rPr>
            <w:t>日召开的八届董事会第二十四次会议、</w:t>
          </w:r>
          <w:r>
            <w:rPr>
              <w:rFonts w:ascii="Arial Narrow" w:hAnsi="Arial Narrow"/>
              <w:sz w:val="21"/>
              <w:szCs w:val="18"/>
            </w:rPr>
            <w:t>2022</w:t>
          </w:r>
          <w:r>
            <w:rPr>
              <w:rFonts w:ascii="Arial Narrow" w:hAnsi="Arial Narrow"/>
              <w:sz w:val="21"/>
              <w:szCs w:val="18"/>
            </w:rPr>
            <w:t>年</w:t>
          </w:r>
          <w:r>
            <w:rPr>
              <w:rFonts w:ascii="Arial Narrow" w:hAnsi="Arial Narrow"/>
              <w:sz w:val="21"/>
              <w:szCs w:val="18"/>
            </w:rPr>
            <w:t>10</w:t>
          </w:r>
          <w:r>
            <w:rPr>
              <w:rFonts w:ascii="Arial Narrow" w:hAnsi="Arial Narrow"/>
              <w:sz w:val="21"/>
              <w:szCs w:val="18"/>
            </w:rPr>
            <w:t>月</w:t>
          </w:r>
          <w:r>
            <w:rPr>
              <w:rFonts w:ascii="Arial Narrow" w:hAnsi="Arial Narrow"/>
              <w:sz w:val="21"/>
              <w:szCs w:val="18"/>
            </w:rPr>
            <w:t>13</w:t>
          </w:r>
          <w:r>
            <w:rPr>
              <w:rFonts w:ascii="Arial Narrow" w:hAnsi="Arial Narrow"/>
              <w:sz w:val="21"/>
              <w:szCs w:val="18"/>
            </w:rPr>
            <w:t>日召开的</w:t>
          </w:r>
          <w:r>
            <w:rPr>
              <w:rFonts w:ascii="Arial Narrow" w:hAnsi="Arial Narrow"/>
              <w:sz w:val="21"/>
              <w:szCs w:val="18"/>
            </w:rPr>
            <w:t>2022</w:t>
          </w:r>
          <w:r>
            <w:rPr>
              <w:rFonts w:ascii="Arial Narrow" w:hAnsi="Arial Narrow"/>
              <w:sz w:val="21"/>
              <w:szCs w:val="18"/>
            </w:rPr>
            <w:t>年第四次临时股东大会审议通过，为更好地反映公司主营业务和战略定位，发挥品牌价值和聚集效应，提升公司综合竞争力，公司名称由</w:t>
          </w:r>
          <w:r>
            <w:rPr>
              <w:rFonts w:ascii="Arial Narrow" w:hAnsi="Arial Narrow"/>
              <w:sz w:val="21"/>
              <w:szCs w:val="18"/>
            </w:rPr>
            <w:t>“</w:t>
          </w:r>
          <w:r>
            <w:rPr>
              <w:rFonts w:ascii="Arial Narrow" w:hAnsi="Arial Narrow"/>
              <w:sz w:val="21"/>
              <w:szCs w:val="18"/>
            </w:rPr>
            <w:t>天津天药药业股份有限公司</w:t>
          </w:r>
          <w:r>
            <w:rPr>
              <w:rFonts w:ascii="Arial Narrow" w:hAnsi="Arial Narrow"/>
              <w:sz w:val="21"/>
              <w:szCs w:val="18"/>
            </w:rPr>
            <w:t>”</w:t>
          </w:r>
          <w:r>
            <w:rPr>
              <w:rFonts w:ascii="Arial Narrow" w:hAnsi="Arial Narrow"/>
              <w:sz w:val="21"/>
              <w:szCs w:val="18"/>
            </w:rPr>
            <w:t>变更为</w:t>
          </w:r>
          <w:r>
            <w:rPr>
              <w:rFonts w:ascii="Arial Narrow" w:hAnsi="Arial Narrow"/>
              <w:sz w:val="21"/>
              <w:szCs w:val="18"/>
            </w:rPr>
            <w:t>“</w:t>
          </w:r>
          <w:r>
            <w:rPr>
              <w:rFonts w:ascii="Arial Narrow" w:hAnsi="Arial Narrow"/>
              <w:sz w:val="21"/>
              <w:szCs w:val="18"/>
            </w:rPr>
            <w:t>津药药业股份有限公司</w:t>
          </w:r>
          <w:r>
            <w:rPr>
              <w:rFonts w:ascii="Arial Narrow" w:hAnsi="Arial Narrow"/>
              <w:sz w:val="21"/>
              <w:szCs w:val="18"/>
            </w:rPr>
            <w:t>”</w:t>
          </w:r>
          <w:r>
            <w:rPr>
              <w:rFonts w:ascii="Arial Narrow" w:hAnsi="Arial Narrow"/>
              <w:sz w:val="21"/>
              <w:szCs w:val="18"/>
            </w:rPr>
            <w:t>，</w:t>
          </w:r>
          <w:r>
            <w:rPr>
              <w:rFonts w:ascii="Arial Narrow" w:hAnsi="Arial Narrow"/>
              <w:sz w:val="21"/>
              <w:szCs w:val="18"/>
            </w:rPr>
            <w:t>2022</w:t>
          </w:r>
          <w:r>
            <w:rPr>
              <w:rFonts w:ascii="Arial Narrow" w:hAnsi="Arial Narrow"/>
              <w:sz w:val="21"/>
              <w:szCs w:val="18"/>
            </w:rPr>
            <w:t>年</w:t>
          </w:r>
          <w:r>
            <w:rPr>
              <w:rFonts w:ascii="Arial Narrow" w:hAnsi="Arial Narrow"/>
              <w:sz w:val="21"/>
              <w:szCs w:val="18"/>
            </w:rPr>
            <w:t>10</w:t>
          </w:r>
          <w:r>
            <w:rPr>
              <w:rFonts w:ascii="Arial Narrow" w:hAnsi="Arial Narrow"/>
              <w:sz w:val="21"/>
              <w:szCs w:val="18"/>
            </w:rPr>
            <w:t>月</w:t>
          </w:r>
          <w:r>
            <w:rPr>
              <w:rFonts w:ascii="Arial Narrow" w:hAnsi="Arial Narrow"/>
              <w:sz w:val="21"/>
              <w:szCs w:val="18"/>
            </w:rPr>
            <w:t>17</w:t>
          </w:r>
          <w:r>
            <w:rPr>
              <w:rFonts w:ascii="Arial Narrow" w:hAnsi="Arial Narrow"/>
              <w:sz w:val="21"/>
              <w:szCs w:val="18"/>
            </w:rPr>
            <w:t>日取得新的营业执照，公司</w:t>
          </w:r>
          <w:r>
            <w:rPr>
              <w:rFonts w:ascii="Arial Narrow" w:hAnsi="Arial Narrow"/>
              <w:sz w:val="21"/>
              <w:szCs w:val="18"/>
            </w:rPr>
            <w:t>A</w:t>
          </w:r>
          <w:r>
            <w:rPr>
              <w:rFonts w:ascii="Arial Narrow" w:hAnsi="Arial Narrow"/>
              <w:sz w:val="21"/>
              <w:szCs w:val="18"/>
            </w:rPr>
            <w:t>股证券简称自</w:t>
          </w:r>
          <w:r>
            <w:rPr>
              <w:rFonts w:ascii="Arial Narrow" w:hAnsi="Arial Narrow"/>
              <w:sz w:val="21"/>
              <w:szCs w:val="18"/>
            </w:rPr>
            <w:t>2022</w:t>
          </w:r>
          <w:r>
            <w:rPr>
              <w:rFonts w:ascii="Arial Narrow" w:hAnsi="Arial Narrow"/>
              <w:sz w:val="21"/>
              <w:szCs w:val="18"/>
            </w:rPr>
            <w:t>年</w:t>
          </w:r>
          <w:r>
            <w:rPr>
              <w:rFonts w:ascii="Arial Narrow" w:hAnsi="Arial Narrow"/>
              <w:sz w:val="21"/>
              <w:szCs w:val="18"/>
            </w:rPr>
            <w:t>10</w:t>
          </w:r>
          <w:r>
            <w:rPr>
              <w:rFonts w:ascii="Arial Narrow" w:hAnsi="Arial Narrow"/>
              <w:sz w:val="21"/>
              <w:szCs w:val="18"/>
            </w:rPr>
            <w:t>月</w:t>
          </w:r>
          <w:r>
            <w:rPr>
              <w:rFonts w:ascii="Arial Narrow" w:hAnsi="Arial Narrow"/>
              <w:sz w:val="21"/>
              <w:szCs w:val="18"/>
            </w:rPr>
            <w:t>21</w:t>
          </w:r>
          <w:r>
            <w:rPr>
              <w:rFonts w:ascii="Arial Narrow" w:hAnsi="Arial Narrow"/>
              <w:sz w:val="21"/>
              <w:szCs w:val="18"/>
            </w:rPr>
            <w:t>日由</w:t>
          </w:r>
          <w:r>
            <w:rPr>
              <w:rFonts w:ascii="Arial Narrow" w:hAnsi="Arial Narrow"/>
              <w:sz w:val="21"/>
              <w:szCs w:val="18"/>
            </w:rPr>
            <w:t>“</w:t>
          </w:r>
          <w:r>
            <w:rPr>
              <w:rFonts w:ascii="Arial Narrow" w:hAnsi="Arial Narrow"/>
              <w:sz w:val="21"/>
              <w:szCs w:val="18"/>
            </w:rPr>
            <w:t>天药股份</w:t>
          </w:r>
          <w:r>
            <w:rPr>
              <w:rFonts w:ascii="Arial Narrow" w:hAnsi="Arial Narrow"/>
              <w:sz w:val="21"/>
              <w:szCs w:val="18"/>
            </w:rPr>
            <w:t>”</w:t>
          </w:r>
          <w:r>
            <w:rPr>
              <w:rFonts w:ascii="Arial Narrow" w:hAnsi="Arial Narrow"/>
              <w:sz w:val="21"/>
              <w:szCs w:val="18"/>
            </w:rPr>
            <w:t>变更为</w:t>
          </w:r>
          <w:r>
            <w:rPr>
              <w:rFonts w:ascii="Arial Narrow" w:hAnsi="Arial Narrow"/>
              <w:sz w:val="21"/>
              <w:szCs w:val="18"/>
            </w:rPr>
            <w:t>“</w:t>
          </w:r>
          <w:r>
            <w:rPr>
              <w:rFonts w:ascii="Arial Narrow" w:hAnsi="Arial Narrow"/>
              <w:sz w:val="21"/>
              <w:szCs w:val="18"/>
            </w:rPr>
            <w:t>津药药业</w:t>
          </w:r>
          <w:r>
            <w:rPr>
              <w:rFonts w:ascii="Arial Narrow" w:hAnsi="Arial Narrow"/>
              <w:sz w:val="21"/>
              <w:szCs w:val="18"/>
            </w:rPr>
            <w:t>”</w:t>
          </w:r>
          <w:r>
            <w:rPr>
              <w:rFonts w:ascii="Arial Narrow" w:hAnsi="Arial Narrow"/>
              <w:sz w:val="21"/>
              <w:szCs w:val="18"/>
            </w:rPr>
            <w:t>，</w:t>
          </w:r>
          <w:r>
            <w:rPr>
              <w:rFonts w:ascii="Arial Narrow" w:hAnsi="Arial Narrow"/>
              <w:sz w:val="21"/>
              <w:szCs w:val="18"/>
            </w:rPr>
            <w:t>A</w:t>
          </w:r>
          <w:r>
            <w:rPr>
              <w:rFonts w:ascii="Arial Narrow" w:hAnsi="Arial Narrow"/>
              <w:sz w:val="21"/>
              <w:szCs w:val="18"/>
            </w:rPr>
            <w:t>股证券代码</w:t>
          </w:r>
          <w:r>
            <w:rPr>
              <w:rFonts w:ascii="Arial Narrow" w:hAnsi="Arial Narrow"/>
              <w:sz w:val="21"/>
              <w:szCs w:val="18"/>
            </w:rPr>
            <w:t>“600488”</w:t>
          </w:r>
          <w:r>
            <w:rPr>
              <w:rFonts w:ascii="Arial Narrow" w:hAnsi="Arial Narrow"/>
              <w:sz w:val="21"/>
              <w:szCs w:val="18"/>
            </w:rPr>
            <w:t>保持不变</w:t>
          </w:r>
          <w:r>
            <w:rPr>
              <w:rFonts w:ascii="Arial Narrow" w:hAnsi="Arial Narrow" w:hint="eastAsia"/>
              <w:sz w:val="21"/>
              <w:szCs w:val="18"/>
            </w:rPr>
            <w:t>。</w:t>
          </w:r>
        </w:p>
        <w:p w14:paraId="63FD9D0F" w14:textId="77777777" w:rsidR="002D0AE7" w:rsidRDefault="00333EBB">
          <w:pPr>
            <w:ind w:firstLineChars="200" w:firstLine="420"/>
            <w:rPr>
              <w:rFonts w:ascii="Arial Narrow" w:hAnsi="Arial Narrow"/>
              <w:sz w:val="21"/>
              <w:szCs w:val="18"/>
            </w:rPr>
          </w:pPr>
          <w:r>
            <w:rPr>
              <w:rFonts w:ascii="Arial Narrow" w:hAnsi="Arial Narrow" w:hint="eastAsia"/>
              <w:sz w:val="21"/>
              <w:szCs w:val="18"/>
            </w:rPr>
            <w:t>公司</w:t>
          </w:r>
          <w:r>
            <w:rPr>
              <w:rFonts w:ascii="Arial Narrow" w:hAnsi="Arial Narrow"/>
              <w:sz w:val="21"/>
              <w:szCs w:val="18"/>
            </w:rPr>
            <w:t>2023</w:t>
          </w:r>
          <w:r>
            <w:rPr>
              <w:rFonts w:ascii="Arial Narrow" w:hAnsi="Arial Narrow"/>
              <w:sz w:val="21"/>
              <w:szCs w:val="18"/>
            </w:rPr>
            <w:t>年</w:t>
          </w:r>
          <w:r>
            <w:rPr>
              <w:rFonts w:ascii="Arial Narrow" w:hAnsi="Arial Narrow"/>
              <w:sz w:val="21"/>
              <w:szCs w:val="18"/>
            </w:rPr>
            <w:t>2</w:t>
          </w:r>
          <w:r>
            <w:rPr>
              <w:rFonts w:ascii="Arial Narrow" w:hAnsi="Arial Narrow"/>
              <w:sz w:val="21"/>
              <w:szCs w:val="18"/>
            </w:rPr>
            <w:t>月</w:t>
          </w:r>
          <w:r>
            <w:rPr>
              <w:rFonts w:ascii="Arial Narrow" w:hAnsi="Arial Narrow"/>
              <w:sz w:val="21"/>
              <w:szCs w:val="18"/>
            </w:rPr>
            <w:t>10</w:t>
          </w:r>
          <w:r>
            <w:rPr>
              <w:rFonts w:ascii="Arial Narrow" w:hAnsi="Arial Narrow"/>
              <w:sz w:val="21"/>
              <w:szCs w:val="18"/>
            </w:rPr>
            <w:t>日第八届董事会第二十七次会议和第八届监事会第十八次会议</w:t>
          </w:r>
          <w:r>
            <w:rPr>
              <w:rFonts w:ascii="Arial Narrow" w:hAnsi="Arial Narrow" w:hint="eastAsia"/>
              <w:sz w:val="21"/>
              <w:szCs w:val="18"/>
            </w:rPr>
            <w:t>决议，</w:t>
          </w:r>
          <w:r>
            <w:rPr>
              <w:rFonts w:ascii="Arial Narrow" w:hAnsi="Arial Narrow"/>
              <w:sz w:val="21"/>
              <w:szCs w:val="18"/>
            </w:rPr>
            <w:t>审议通过了《关于回购注销部分激励对象已获授但尚未解锁的限制性股票的议案》，回购</w:t>
          </w:r>
          <w:r>
            <w:rPr>
              <w:rFonts w:ascii="Arial Narrow" w:hAnsi="Arial Narrow" w:hint="eastAsia"/>
              <w:sz w:val="21"/>
              <w:szCs w:val="18"/>
            </w:rPr>
            <w:t>注销</w:t>
          </w:r>
          <w:r>
            <w:rPr>
              <w:rFonts w:ascii="Arial Narrow" w:hAnsi="Arial Narrow"/>
              <w:sz w:val="21"/>
              <w:szCs w:val="18"/>
            </w:rPr>
            <w:t>3</w:t>
          </w:r>
          <w:r>
            <w:rPr>
              <w:rFonts w:ascii="Arial Narrow" w:hAnsi="Arial Narrow"/>
              <w:sz w:val="21"/>
              <w:szCs w:val="18"/>
            </w:rPr>
            <w:t>名激励对象已获授但尚未解锁的限制性股票</w:t>
          </w:r>
          <w:r>
            <w:rPr>
              <w:rFonts w:ascii="Arial Narrow" w:hAnsi="Arial Narrow"/>
              <w:sz w:val="21"/>
              <w:szCs w:val="18"/>
            </w:rPr>
            <w:t>120,000</w:t>
          </w:r>
          <w:r>
            <w:rPr>
              <w:rFonts w:ascii="Arial Narrow" w:hAnsi="Arial Narrow"/>
              <w:sz w:val="21"/>
              <w:szCs w:val="18"/>
            </w:rPr>
            <w:t>股，</w:t>
          </w:r>
          <w:r>
            <w:rPr>
              <w:rFonts w:ascii="Arial Narrow" w:hAnsi="Arial Narrow" w:hint="eastAsia"/>
              <w:sz w:val="21"/>
              <w:szCs w:val="18"/>
            </w:rPr>
            <w:t>限制性股票回购价格为</w:t>
          </w:r>
          <w:r>
            <w:rPr>
              <w:rFonts w:ascii="Arial Narrow" w:hAnsi="Arial Narrow"/>
              <w:sz w:val="21"/>
              <w:szCs w:val="18"/>
            </w:rPr>
            <w:t>2.286</w:t>
          </w:r>
          <w:r>
            <w:rPr>
              <w:rFonts w:ascii="Arial Narrow" w:hAnsi="Arial Narrow"/>
              <w:sz w:val="21"/>
              <w:szCs w:val="18"/>
            </w:rPr>
            <w:t>元</w:t>
          </w:r>
          <w:r>
            <w:rPr>
              <w:rFonts w:ascii="Arial Narrow" w:hAnsi="Arial Narrow"/>
              <w:sz w:val="21"/>
              <w:szCs w:val="18"/>
            </w:rPr>
            <w:t>/</w:t>
          </w:r>
          <w:r>
            <w:rPr>
              <w:rFonts w:ascii="Arial Narrow" w:hAnsi="Arial Narrow"/>
              <w:sz w:val="21"/>
              <w:szCs w:val="18"/>
            </w:rPr>
            <w:t>股，回购价款为</w:t>
          </w:r>
          <w:r>
            <w:rPr>
              <w:rFonts w:ascii="Arial Narrow" w:hAnsi="Arial Narrow"/>
              <w:sz w:val="21"/>
              <w:szCs w:val="18"/>
            </w:rPr>
            <w:t>274,320.00</w:t>
          </w:r>
          <w:r>
            <w:rPr>
              <w:rFonts w:ascii="Arial Narrow" w:hAnsi="Arial Narrow"/>
              <w:sz w:val="21"/>
              <w:szCs w:val="18"/>
            </w:rPr>
            <w:t>元。回购注销完成后，</w:t>
          </w:r>
          <w:r>
            <w:rPr>
              <w:rFonts w:ascii="Arial Narrow" w:hAnsi="Arial Narrow" w:hint="eastAsia"/>
              <w:sz w:val="21"/>
              <w:szCs w:val="18"/>
            </w:rPr>
            <w:t>公司股本</w:t>
          </w:r>
          <w:r>
            <w:rPr>
              <w:rFonts w:ascii="Arial Narrow" w:hAnsi="Arial Narrow"/>
              <w:sz w:val="21"/>
              <w:szCs w:val="18"/>
            </w:rPr>
            <w:t>将由</w:t>
          </w:r>
          <w:r>
            <w:rPr>
              <w:rFonts w:ascii="Arial Narrow" w:hAnsi="Arial Narrow" w:hint="eastAsia"/>
              <w:sz w:val="21"/>
              <w:szCs w:val="18"/>
            </w:rPr>
            <w:t>人民币</w:t>
          </w:r>
          <w:r>
            <w:rPr>
              <w:rFonts w:ascii="Arial Narrow" w:hAnsi="Arial Narrow"/>
              <w:sz w:val="21"/>
              <w:szCs w:val="18"/>
            </w:rPr>
            <w:t>1,096,362,680</w:t>
          </w:r>
          <w:r>
            <w:rPr>
              <w:rFonts w:ascii="Arial Narrow" w:hAnsi="Arial Narrow" w:hint="eastAsia"/>
              <w:sz w:val="21"/>
              <w:szCs w:val="18"/>
            </w:rPr>
            <w:t>元</w:t>
          </w:r>
          <w:r>
            <w:rPr>
              <w:rFonts w:ascii="Arial Narrow" w:hAnsi="Arial Narrow"/>
              <w:sz w:val="21"/>
              <w:szCs w:val="18"/>
            </w:rPr>
            <w:t>减少至</w:t>
          </w:r>
          <w:r>
            <w:rPr>
              <w:rFonts w:ascii="Arial Narrow" w:hAnsi="Arial Narrow" w:hint="eastAsia"/>
              <w:sz w:val="21"/>
              <w:szCs w:val="18"/>
            </w:rPr>
            <w:t>人民币</w:t>
          </w:r>
          <w:r>
            <w:rPr>
              <w:rFonts w:ascii="Arial Narrow" w:hAnsi="Arial Narrow"/>
              <w:sz w:val="21"/>
              <w:szCs w:val="18"/>
            </w:rPr>
            <w:t>1,096,242,680</w:t>
          </w:r>
          <w:r>
            <w:rPr>
              <w:rFonts w:ascii="Arial Narrow" w:hAnsi="Arial Narrow" w:hint="eastAsia"/>
              <w:sz w:val="21"/>
              <w:szCs w:val="18"/>
            </w:rPr>
            <w:t>元</w:t>
          </w:r>
          <w:r>
            <w:rPr>
              <w:rFonts w:ascii="Arial Narrow" w:hAnsi="Arial Narrow"/>
              <w:sz w:val="21"/>
              <w:szCs w:val="18"/>
            </w:rPr>
            <w:t>。</w:t>
          </w:r>
        </w:p>
        <w:p w14:paraId="137F30FA" w14:textId="77777777" w:rsidR="002D0AE7" w:rsidRDefault="00333EBB">
          <w:pPr>
            <w:ind w:firstLineChars="200" w:firstLine="420"/>
            <w:rPr>
              <w:rFonts w:hint="eastAsia"/>
              <w:color w:val="000000" w:themeColor="text1"/>
            </w:rPr>
          </w:pPr>
          <w:r>
            <w:rPr>
              <w:rFonts w:ascii="Arial Narrow" w:hAnsi="Arial Narrow"/>
              <w:sz w:val="21"/>
              <w:szCs w:val="18"/>
            </w:rPr>
            <w:t>公司</w:t>
          </w:r>
          <w:r>
            <w:rPr>
              <w:rFonts w:ascii="Arial Narrow" w:hAnsi="Arial Narrow"/>
              <w:sz w:val="21"/>
              <w:szCs w:val="18"/>
            </w:rPr>
            <w:t>2023</w:t>
          </w:r>
          <w:r>
            <w:rPr>
              <w:rFonts w:ascii="Arial Narrow" w:hAnsi="Arial Narrow"/>
              <w:sz w:val="21"/>
              <w:szCs w:val="18"/>
            </w:rPr>
            <w:t>年</w:t>
          </w:r>
          <w:r>
            <w:rPr>
              <w:rFonts w:ascii="Arial Narrow" w:hAnsi="Arial Narrow"/>
              <w:sz w:val="21"/>
              <w:szCs w:val="18"/>
            </w:rPr>
            <w:t>6</w:t>
          </w:r>
          <w:r>
            <w:rPr>
              <w:rFonts w:ascii="Arial Narrow" w:hAnsi="Arial Narrow"/>
              <w:sz w:val="21"/>
              <w:szCs w:val="18"/>
            </w:rPr>
            <w:t>月</w:t>
          </w:r>
          <w:r>
            <w:rPr>
              <w:rFonts w:ascii="Arial Narrow" w:hAnsi="Arial Narrow"/>
              <w:sz w:val="21"/>
              <w:szCs w:val="18"/>
            </w:rPr>
            <w:t>16</w:t>
          </w:r>
          <w:r>
            <w:rPr>
              <w:rFonts w:ascii="Arial Narrow" w:hAnsi="Arial Narrow"/>
              <w:sz w:val="21"/>
              <w:szCs w:val="18"/>
            </w:rPr>
            <w:t>日第八届董事会第三十次会议和第八届监事会第二十一次会议决议，审议通过了《关于回购注销股权激励计划已获授但尚未解锁的部分限制性股票及调整回购价格的议案》，</w:t>
          </w:r>
          <w:r>
            <w:rPr>
              <w:rFonts w:ascii="Arial Narrow" w:hAnsi="Arial Narrow" w:hint="eastAsia"/>
              <w:sz w:val="21"/>
              <w:szCs w:val="18"/>
            </w:rPr>
            <w:t>回购注销</w:t>
          </w:r>
          <w:r>
            <w:rPr>
              <w:rFonts w:ascii="Arial Narrow" w:hAnsi="Arial Narrow"/>
              <w:sz w:val="21"/>
              <w:szCs w:val="18"/>
            </w:rPr>
            <w:t>108</w:t>
          </w:r>
          <w:r>
            <w:rPr>
              <w:rFonts w:ascii="Arial Narrow" w:hAnsi="Arial Narrow"/>
              <w:sz w:val="21"/>
              <w:szCs w:val="18"/>
            </w:rPr>
            <w:t>名激励对象持有的第二个解锁期限制性股票</w:t>
          </w:r>
          <w:r>
            <w:rPr>
              <w:rFonts w:ascii="Arial Narrow" w:hAnsi="Arial Narrow"/>
              <w:sz w:val="21"/>
              <w:szCs w:val="18"/>
            </w:rPr>
            <w:t>2,046,000</w:t>
          </w:r>
          <w:r>
            <w:rPr>
              <w:rFonts w:ascii="Arial Narrow" w:hAnsi="Arial Narrow"/>
              <w:sz w:val="21"/>
              <w:szCs w:val="18"/>
            </w:rPr>
            <w:t>股及因退休等原因不再符合激励对象资格的</w:t>
          </w:r>
          <w:r>
            <w:rPr>
              <w:rFonts w:ascii="Arial Narrow" w:hAnsi="Arial Narrow"/>
              <w:sz w:val="21"/>
              <w:szCs w:val="18"/>
            </w:rPr>
            <w:t>8</w:t>
          </w:r>
          <w:r>
            <w:rPr>
              <w:rFonts w:ascii="Arial Narrow" w:hAnsi="Arial Narrow"/>
              <w:sz w:val="21"/>
              <w:szCs w:val="18"/>
            </w:rPr>
            <w:t>名激励对象持有的限制性股票</w:t>
          </w:r>
          <w:r>
            <w:rPr>
              <w:rFonts w:ascii="Arial Narrow" w:hAnsi="Arial Narrow"/>
              <w:sz w:val="21"/>
              <w:szCs w:val="18"/>
            </w:rPr>
            <w:t>264,000</w:t>
          </w:r>
          <w:r>
            <w:rPr>
              <w:rFonts w:ascii="Arial Narrow" w:hAnsi="Arial Narrow"/>
              <w:sz w:val="21"/>
              <w:szCs w:val="18"/>
            </w:rPr>
            <w:t>股，以上合计已获授但尚未解锁的限制性股票</w:t>
          </w:r>
          <w:r>
            <w:rPr>
              <w:rFonts w:ascii="Arial Narrow" w:hAnsi="Arial Narrow"/>
              <w:sz w:val="21"/>
              <w:szCs w:val="18"/>
            </w:rPr>
            <w:t>2,310,000</w:t>
          </w:r>
          <w:r>
            <w:rPr>
              <w:rFonts w:ascii="Arial Narrow" w:hAnsi="Arial Narrow"/>
              <w:sz w:val="21"/>
              <w:szCs w:val="18"/>
            </w:rPr>
            <w:t>股进行回购注销。限制性股票回购价格为</w:t>
          </w:r>
          <w:r>
            <w:rPr>
              <w:rFonts w:ascii="Arial Narrow" w:hAnsi="Arial Narrow"/>
              <w:sz w:val="21"/>
              <w:szCs w:val="18"/>
            </w:rPr>
            <w:t>2.276</w:t>
          </w:r>
          <w:r>
            <w:rPr>
              <w:rFonts w:ascii="Arial Narrow" w:hAnsi="Arial Narrow"/>
              <w:sz w:val="21"/>
              <w:szCs w:val="18"/>
            </w:rPr>
            <w:t>元</w:t>
          </w:r>
          <w:r>
            <w:rPr>
              <w:rFonts w:ascii="Arial Narrow" w:hAnsi="Arial Narrow"/>
              <w:sz w:val="21"/>
              <w:szCs w:val="18"/>
            </w:rPr>
            <w:t>/</w:t>
          </w:r>
          <w:r>
            <w:rPr>
              <w:rFonts w:ascii="Arial Narrow" w:hAnsi="Arial Narrow"/>
              <w:sz w:val="21"/>
              <w:szCs w:val="18"/>
            </w:rPr>
            <w:t>股，回购价款为</w:t>
          </w:r>
          <w:r>
            <w:rPr>
              <w:rFonts w:ascii="Arial Narrow" w:hAnsi="Arial Narrow"/>
              <w:sz w:val="21"/>
              <w:szCs w:val="18"/>
            </w:rPr>
            <w:lastRenderedPageBreak/>
            <w:t>5,257,560.00</w:t>
          </w:r>
          <w:r>
            <w:rPr>
              <w:rFonts w:ascii="Arial Narrow" w:hAnsi="Arial Narrow"/>
              <w:sz w:val="21"/>
              <w:szCs w:val="18"/>
            </w:rPr>
            <w:t>元。回购注销完成后，</w:t>
          </w:r>
          <w:r>
            <w:rPr>
              <w:rFonts w:ascii="Arial Narrow" w:hAnsi="Arial Narrow" w:hint="eastAsia"/>
              <w:sz w:val="21"/>
              <w:szCs w:val="18"/>
            </w:rPr>
            <w:t>公司股本</w:t>
          </w:r>
          <w:r>
            <w:rPr>
              <w:rFonts w:ascii="Arial Narrow" w:hAnsi="Arial Narrow"/>
              <w:sz w:val="21"/>
              <w:szCs w:val="18"/>
            </w:rPr>
            <w:t>将由</w:t>
          </w:r>
          <w:r>
            <w:rPr>
              <w:rFonts w:ascii="Arial Narrow" w:hAnsi="Arial Narrow" w:hint="eastAsia"/>
              <w:sz w:val="21"/>
              <w:szCs w:val="18"/>
            </w:rPr>
            <w:t>人民币</w:t>
          </w:r>
          <w:r>
            <w:rPr>
              <w:rFonts w:ascii="Arial Narrow" w:hAnsi="Arial Narrow"/>
              <w:sz w:val="21"/>
              <w:szCs w:val="18"/>
            </w:rPr>
            <w:t>1,096,242,680</w:t>
          </w:r>
          <w:r>
            <w:rPr>
              <w:rFonts w:ascii="Arial Narrow" w:hAnsi="Arial Narrow" w:hint="eastAsia"/>
              <w:sz w:val="21"/>
              <w:szCs w:val="18"/>
            </w:rPr>
            <w:t>元</w:t>
          </w:r>
          <w:r>
            <w:rPr>
              <w:rFonts w:ascii="Arial Narrow" w:hAnsi="Arial Narrow"/>
              <w:sz w:val="21"/>
              <w:szCs w:val="18"/>
            </w:rPr>
            <w:t>减少至</w:t>
          </w:r>
          <w:r>
            <w:rPr>
              <w:rFonts w:ascii="Arial Narrow" w:hAnsi="Arial Narrow" w:hint="eastAsia"/>
              <w:sz w:val="21"/>
              <w:szCs w:val="18"/>
            </w:rPr>
            <w:t>人民币</w:t>
          </w:r>
          <w:r>
            <w:rPr>
              <w:rFonts w:ascii="Arial Narrow" w:hAnsi="Arial Narrow"/>
              <w:sz w:val="21"/>
              <w:szCs w:val="18"/>
            </w:rPr>
            <w:t>1,093,932,680</w:t>
          </w:r>
          <w:r>
            <w:rPr>
              <w:rFonts w:ascii="Arial Narrow" w:hAnsi="Arial Narrow" w:hint="eastAsia"/>
              <w:sz w:val="21"/>
              <w:szCs w:val="18"/>
            </w:rPr>
            <w:t>元</w:t>
          </w:r>
          <w:r>
            <w:rPr>
              <w:rFonts w:ascii="Arial Narrow" w:hAnsi="Arial Narrow"/>
              <w:sz w:val="21"/>
              <w:szCs w:val="18"/>
            </w:rPr>
            <w:t>。</w:t>
          </w:r>
        </w:p>
      </w:sdtContent>
    </w:sdt>
    <w:bookmarkEnd w:id="122"/>
    <w:bookmarkEnd w:id="123"/>
    <w:p w14:paraId="1186A936" w14:textId="77777777" w:rsidR="002D0AE7" w:rsidRDefault="00333EBB">
      <w:pPr>
        <w:pStyle w:val="2"/>
        <w:numPr>
          <w:ilvl w:val="0"/>
          <w:numId w:val="34"/>
        </w:numPr>
        <w:ind w:left="482" w:hanging="482"/>
        <w:rPr>
          <w:rFonts w:ascii="宋体" w:hAnsi="宋体" w:hint="eastAsia"/>
          <w:color w:val="000000" w:themeColor="text1"/>
        </w:rPr>
      </w:pPr>
      <w:r>
        <w:rPr>
          <w:rFonts w:ascii="宋体" w:hAnsi="宋体" w:hint="eastAsia"/>
          <w:color w:val="000000" w:themeColor="text1"/>
        </w:rPr>
        <w:t>财务报表的编制基础</w:t>
      </w:r>
    </w:p>
    <w:p w14:paraId="76162D8B" w14:textId="77777777" w:rsidR="002D0AE7" w:rsidRDefault="00333EBB">
      <w:pPr>
        <w:pStyle w:val="3"/>
        <w:numPr>
          <w:ilvl w:val="0"/>
          <w:numId w:val="36"/>
        </w:numPr>
        <w:rPr>
          <w:rFonts w:ascii="宋体" w:hAnsi="宋体" w:hint="eastAsia"/>
          <w:color w:val="000000" w:themeColor="text1"/>
        </w:rPr>
      </w:pPr>
      <w:r>
        <w:rPr>
          <w:rFonts w:ascii="宋体" w:hAnsi="宋体"/>
          <w:color w:val="000000" w:themeColor="text1"/>
        </w:rPr>
        <w:t>编制基础</w:t>
      </w:r>
    </w:p>
    <w:sdt>
      <w:sdtPr>
        <w:rPr>
          <w:rFonts w:hint="eastAsia"/>
          <w:color w:val="000000" w:themeColor="text1"/>
        </w:rPr>
        <w:alias w:val="财务报表的编制基础"/>
        <w:tag w:val="_GBC_1dc2375ed7ab49628f5badf2d5006405"/>
        <w:id w:val="-1012377602"/>
        <w:placeholder>
          <w:docPart w:val="GBC22222222222222222222222222222"/>
        </w:placeholder>
      </w:sdtPr>
      <w:sdtEndPr>
        <w:rPr>
          <w:sz w:val="21"/>
        </w:rPr>
      </w:sdtEndPr>
      <w:sdtContent>
        <w:p w14:paraId="4BDE1ECA" w14:textId="77777777" w:rsidR="002D0AE7" w:rsidRDefault="00333EBB">
          <w:pPr>
            <w:ind w:firstLineChars="200" w:firstLine="480"/>
            <w:rPr>
              <w:rFonts w:ascii="Arial Narrow" w:hAnsi="Arial Narrow"/>
              <w:sz w:val="21"/>
              <w:szCs w:val="18"/>
              <w:lang w:val="zh-CN"/>
            </w:rPr>
          </w:pPr>
          <w:r>
            <w:rPr>
              <w:color w:val="000000" w:themeColor="text1"/>
              <w:sz w:val="21"/>
            </w:rPr>
            <w:t>本公司财务报表以持续经营为编制基础。</w:t>
          </w:r>
          <w:r>
            <w:rPr>
              <w:rFonts w:ascii="Arial Narrow" w:hAnsi="Arial Narrow" w:hint="eastAsia"/>
              <w:sz w:val="21"/>
              <w:szCs w:val="18"/>
              <w:lang w:val="zh-CN"/>
            </w:rPr>
            <w:t>根据实际发生的交易和事项，按照中华人民共和国财政部</w:t>
          </w:r>
          <w:r>
            <w:rPr>
              <w:rFonts w:ascii="Arial Narrow" w:hAnsi="Arial Narrow" w:hint="eastAsia"/>
              <w:sz w:val="21"/>
              <w:szCs w:val="18"/>
              <w:lang w:val="zh-CN"/>
            </w:rPr>
            <w:t>(</w:t>
          </w:r>
          <w:r>
            <w:rPr>
              <w:rFonts w:ascii="Arial Narrow" w:hAnsi="Arial Narrow" w:hint="eastAsia"/>
              <w:sz w:val="21"/>
              <w:szCs w:val="18"/>
              <w:lang w:val="zh-CN"/>
            </w:rPr>
            <w:t>以下简称“财政部”</w:t>
          </w:r>
          <w:r>
            <w:rPr>
              <w:rFonts w:ascii="Arial Narrow" w:hAnsi="Arial Narrow" w:hint="eastAsia"/>
              <w:sz w:val="21"/>
              <w:szCs w:val="18"/>
              <w:lang w:val="zh-CN"/>
            </w:rPr>
            <w:t>)</w:t>
          </w:r>
          <w:r>
            <w:rPr>
              <w:rFonts w:ascii="Arial Narrow" w:hAnsi="Arial Narrow" w:hint="eastAsia"/>
              <w:sz w:val="21"/>
              <w:szCs w:val="18"/>
              <w:lang w:val="zh-CN"/>
            </w:rPr>
            <w:t>颁布的企业会计准则的要求进行编制。</w:t>
          </w:r>
        </w:p>
        <w:p w14:paraId="234FF770" w14:textId="77777777" w:rsidR="002D0AE7" w:rsidRDefault="00333EBB">
          <w:pPr>
            <w:snapToGrid w:val="0"/>
            <w:ind w:firstLineChars="200" w:firstLine="420"/>
            <w:rPr>
              <w:rFonts w:hint="eastAsia"/>
              <w:color w:val="000000" w:themeColor="text1"/>
              <w:sz w:val="21"/>
            </w:rPr>
          </w:pPr>
          <w:r>
            <w:rPr>
              <w:rFonts w:ascii="Arial Narrow" w:hAnsi="Arial Narrow" w:hint="eastAsia"/>
              <w:sz w:val="21"/>
              <w:szCs w:val="18"/>
              <w:lang w:val="zh-CN"/>
            </w:rPr>
            <w:t>此外，本公司的财务报表同时符合中国证券监督管理委员会（以下简称“证监会”）</w:t>
          </w:r>
          <w:r>
            <w:rPr>
              <w:rFonts w:ascii="Arial Narrow" w:hAnsi="Arial Narrow"/>
              <w:sz w:val="21"/>
              <w:szCs w:val="18"/>
              <w:lang w:val="zh-CN"/>
            </w:rPr>
            <w:t>2023</w:t>
          </w:r>
          <w:r>
            <w:rPr>
              <w:rFonts w:ascii="Arial Narrow" w:hAnsi="Arial Narrow" w:hint="eastAsia"/>
              <w:sz w:val="21"/>
              <w:szCs w:val="18"/>
              <w:lang w:val="zh-CN"/>
            </w:rPr>
            <w:t>年修订的《公开发行证券的公司信息披露编报规则第</w:t>
          </w:r>
          <w:r>
            <w:rPr>
              <w:rFonts w:ascii="Arial Narrow" w:hAnsi="Arial Narrow" w:hint="eastAsia"/>
              <w:sz w:val="21"/>
              <w:szCs w:val="18"/>
              <w:lang w:val="zh-CN"/>
            </w:rPr>
            <w:t>15</w:t>
          </w:r>
          <w:r>
            <w:rPr>
              <w:rFonts w:ascii="Arial Narrow" w:hAnsi="Arial Narrow" w:hint="eastAsia"/>
              <w:sz w:val="21"/>
              <w:szCs w:val="18"/>
              <w:lang w:val="zh-CN"/>
            </w:rPr>
            <w:t>号——财务报告的一般规定》有关财务报表及其附注的披露要求。</w:t>
          </w:r>
        </w:p>
      </w:sdtContent>
    </w:sdt>
    <w:p w14:paraId="4DD4452D" w14:textId="77777777" w:rsidR="002D0AE7" w:rsidRDefault="00333EBB">
      <w:pPr>
        <w:pStyle w:val="3"/>
        <w:numPr>
          <w:ilvl w:val="0"/>
          <w:numId w:val="36"/>
        </w:numPr>
        <w:rPr>
          <w:rFonts w:ascii="宋体" w:hAnsi="宋体" w:hint="eastAsia"/>
          <w:color w:val="000000" w:themeColor="text1"/>
        </w:rPr>
      </w:pPr>
      <w:r>
        <w:rPr>
          <w:rFonts w:ascii="宋体" w:hAnsi="宋体" w:hint="eastAsia"/>
          <w:color w:val="000000" w:themeColor="text1"/>
        </w:rPr>
        <w:t>持续经营</w:t>
      </w:r>
    </w:p>
    <w:sdt>
      <w:sdtPr>
        <w:rPr>
          <w:color w:val="000000" w:themeColor="text1"/>
        </w:rPr>
        <w:alias w:val="是否适用：持续经营[双击切换]"/>
        <w:tag w:val="_GBC_7a7bd82392314f508ef1adfe80947192"/>
        <w:id w:val="52899036"/>
        <w:placeholder>
          <w:docPart w:val="GBC22222222222222222222222222222"/>
        </w:placeholder>
      </w:sdtPr>
      <w:sdtEndPr/>
      <w:sdtContent>
        <w:p w14:paraId="636E9FBE"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持续经营"/>
        <w:tag w:val="_GBC_dc876c24006b428987a041949eb554f3"/>
        <w:id w:val="996453964"/>
        <w:placeholder>
          <w:docPart w:val="GBC22222222222222222222222222222"/>
        </w:placeholder>
      </w:sdtPr>
      <w:sdtEndPr>
        <w:rPr>
          <w:color w:val="auto"/>
          <w:sz w:val="21"/>
          <w:szCs w:val="18"/>
        </w:rPr>
      </w:sdtEndPr>
      <w:sdtContent>
        <w:sdt>
          <w:sdtPr>
            <w:alias w:val="持续经营"/>
            <w:tag w:val="_GBC_dc876c24006b428987a041949eb554f3"/>
            <w:id w:val="425929805"/>
            <w:placeholder>
              <w:docPart w:val="CCD7322BDCCD4D1F9A9FE0BE15C584B5"/>
            </w:placeholder>
          </w:sdtPr>
          <w:sdtEndPr>
            <w:rPr>
              <w:sz w:val="21"/>
              <w:szCs w:val="18"/>
            </w:rPr>
          </w:sdtEndPr>
          <w:sdtContent>
            <w:p w14:paraId="25F33868" w14:textId="77777777" w:rsidR="002D0AE7" w:rsidRDefault="00333EBB">
              <w:pPr>
                <w:rPr>
                  <w:rFonts w:hint="eastAsia"/>
                  <w:sz w:val="21"/>
                  <w:szCs w:val="18"/>
                </w:rPr>
              </w:pPr>
              <w:r>
                <w:rPr>
                  <w:rFonts w:ascii="Arial Narrow" w:hAnsi="Arial Narrow" w:hint="eastAsia"/>
                  <w:sz w:val="21"/>
                  <w:szCs w:val="18"/>
                </w:rPr>
                <w:t>公司自本报告期末至少</w:t>
              </w:r>
              <w:r>
                <w:rPr>
                  <w:rFonts w:ascii="Arial Narrow" w:hAnsi="Arial Narrow"/>
                  <w:sz w:val="21"/>
                  <w:szCs w:val="18"/>
                </w:rPr>
                <w:t>12</w:t>
              </w:r>
              <w:r>
                <w:rPr>
                  <w:rFonts w:ascii="Arial Narrow" w:hAnsi="Arial Narrow" w:hint="eastAsia"/>
                  <w:sz w:val="21"/>
                  <w:szCs w:val="18"/>
                </w:rPr>
                <w:t>个月内具备持续经营能力，无影响持续经营能力的重大事项。</w:t>
              </w:r>
            </w:p>
          </w:sdtContent>
        </w:sdt>
      </w:sdtContent>
    </w:sdt>
    <w:p w14:paraId="7EC7B556" w14:textId="77777777" w:rsidR="002D0AE7" w:rsidRDefault="00333EBB">
      <w:pPr>
        <w:pStyle w:val="2"/>
        <w:numPr>
          <w:ilvl w:val="0"/>
          <w:numId w:val="34"/>
        </w:numPr>
        <w:ind w:left="482" w:hanging="482"/>
        <w:rPr>
          <w:rFonts w:ascii="宋体" w:hAnsi="宋体" w:hint="eastAsia"/>
          <w:color w:val="000000" w:themeColor="text1"/>
        </w:rPr>
      </w:pPr>
      <w:r>
        <w:rPr>
          <w:rFonts w:ascii="宋体" w:hAnsi="宋体" w:hint="eastAsia"/>
          <w:color w:val="000000" w:themeColor="text1"/>
        </w:rPr>
        <w:t>重</w:t>
      </w:r>
      <w:r>
        <w:rPr>
          <w:rFonts w:ascii="宋体" w:hAnsi="宋体"/>
          <w:color w:val="000000" w:themeColor="text1"/>
        </w:rPr>
        <w:t>要会计政策</w:t>
      </w:r>
      <w:r>
        <w:rPr>
          <w:rFonts w:ascii="宋体" w:hAnsi="宋体" w:hint="eastAsia"/>
          <w:color w:val="000000" w:themeColor="text1"/>
        </w:rPr>
        <w:t>及</w:t>
      </w:r>
      <w:r>
        <w:rPr>
          <w:rFonts w:ascii="宋体" w:hAnsi="宋体"/>
          <w:color w:val="000000" w:themeColor="text1"/>
        </w:rPr>
        <w:t>会计估计</w:t>
      </w:r>
    </w:p>
    <w:p w14:paraId="4E848FFD" w14:textId="77777777" w:rsidR="002D0AE7" w:rsidRDefault="00333EBB">
      <w:pPr>
        <w:rPr>
          <w:rFonts w:hint="eastAsia"/>
          <w:color w:val="000000" w:themeColor="text1"/>
        </w:rPr>
      </w:pPr>
      <w:r>
        <w:rPr>
          <w:rFonts w:hint="eastAsia"/>
          <w:color w:val="000000" w:themeColor="text1"/>
        </w:rPr>
        <w:t>具体会计政策和会计估计提示：</w:t>
      </w:r>
    </w:p>
    <w:sdt>
      <w:sdtPr>
        <w:rPr>
          <w:color w:val="000000" w:themeColor="text1"/>
        </w:rPr>
        <w:alias w:val="是否适用：具体会计政策和会计估计提示[双击切换]"/>
        <w:tag w:val="_GBC_77c62823e3884e1fbfb236cea1f9f425"/>
        <w:id w:val="-352271639"/>
        <w:placeholder>
          <w:docPart w:val="GBC22222222222222222222222222222"/>
        </w:placeholder>
      </w:sdtPr>
      <w:sdtEndPr/>
      <w:sdtContent>
        <w:p w14:paraId="4E94BE8B"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具体会计政策和会计估计提示"/>
        <w:tag w:val="_GBC_caddaeaf0d1a454ab0bede37f0db7782"/>
        <w:id w:val="-581524263"/>
        <w:placeholder>
          <w:docPart w:val="GBC22222222222222222222222222222"/>
        </w:placeholder>
      </w:sdtPr>
      <w:sdtEndPr/>
      <w:sdtContent>
        <w:p w14:paraId="3B5EA7F9" w14:textId="77777777" w:rsidR="002D0AE7" w:rsidRDefault="00333EBB">
          <w:pPr>
            <w:rPr>
              <w:rFonts w:hint="eastAsia"/>
              <w:color w:val="000000" w:themeColor="text1"/>
            </w:rPr>
          </w:pPr>
          <w:r>
            <w:rPr>
              <w:rFonts w:hint="eastAsia"/>
              <w:color w:val="000000" w:themeColor="text1"/>
              <w:sz w:val="21"/>
            </w:rPr>
            <w:t>无</w:t>
          </w:r>
        </w:p>
      </w:sdtContent>
    </w:sdt>
    <w:p w14:paraId="395ECE41" w14:textId="77777777" w:rsidR="002D0AE7" w:rsidRDefault="00333EBB">
      <w:pPr>
        <w:pStyle w:val="3"/>
        <w:numPr>
          <w:ilvl w:val="0"/>
          <w:numId w:val="37"/>
        </w:numPr>
        <w:rPr>
          <w:rFonts w:ascii="宋体" w:hAnsi="宋体" w:hint="eastAsia"/>
          <w:color w:val="000000" w:themeColor="text1"/>
        </w:rPr>
      </w:pPr>
      <w:r>
        <w:rPr>
          <w:rFonts w:ascii="宋体" w:hAnsi="宋体"/>
          <w:color w:val="000000" w:themeColor="text1"/>
        </w:rPr>
        <w:t>遵循企业会计准则的声明</w:t>
      </w:r>
    </w:p>
    <w:sdt>
      <w:sdtPr>
        <w:rPr>
          <w:rFonts w:hint="eastAsia"/>
          <w:color w:val="000000" w:themeColor="text1"/>
        </w:rPr>
        <w:alias w:val="会计准则和会计制度"/>
        <w:tag w:val="_GBC_a350b889163a4ef3bb500c021e6a6b47"/>
        <w:id w:val="2091039937"/>
        <w:placeholder>
          <w:docPart w:val="GBC22222222222222222222222222222"/>
        </w:placeholder>
      </w:sdtPr>
      <w:sdtEndPr/>
      <w:sdtContent>
        <w:p w14:paraId="051B6271" w14:textId="77777777" w:rsidR="002D0AE7" w:rsidRDefault="00333EBB">
          <w:pPr>
            <w:rPr>
              <w:rFonts w:hint="eastAsia"/>
              <w:color w:val="000000" w:themeColor="text1"/>
            </w:rPr>
          </w:pPr>
          <w:r>
            <w:rPr>
              <w:color w:val="000000" w:themeColor="text1"/>
              <w:sz w:val="21"/>
            </w:rPr>
            <w:t>本公司所编制的财务报表符合企业会计准则的要求，真实、完整地反映了公司的财务状况、经营成果、股东权益变动和现金流量等有关信息。</w:t>
          </w:r>
        </w:p>
      </w:sdtContent>
    </w:sdt>
    <w:p w14:paraId="069C3FD4" w14:textId="77777777" w:rsidR="002D0AE7" w:rsidRDefault="00333EBB">
      <w:pPr>
        <w:pStyle w:val="3"/>
        <w:numPr>
          <w:ilvl w:val="0"/>
          <w:numId w:val="37"/>
        </w:numPr>
        <w:rPr>
          <w:rFonts w:ascii="宋体" w:hAnsi="宋体" w:hint="eastAsia"/>
          <w:color w:val="000000" w:themeColor="text1"/>
        </w:rPr>
      </w:pPr>
      <w:r>
        <w:rPr>
          <w:rFonts w:ascii="宋体" w:hAnsi="宋体"/>
          <w:color w:val="000000" w:themeColor="text1"/>
        </w:rPr>
        <w:t>会计期间</w:t>
      </w:r>
    </w:p>
    <w:sdt>
      <w:sdtPr>
        <w:rPr>
          <w:rFonts w:hint="eastAsia"/>
          <w:color w:val="000000" w:themeColor="text1"/>
          <w:sz w:val="21"/>
        </w:rPr>
        <w:alias w:val="会计年度"/>
        <w:tag w:val="_GBC_fc896fba50b143f8a06984831f5d5600"/>
        <w:id w:val="-1496097670"/>
        <w:placeholder>
          <w:docPart w:val="GBC22222222222222222222222222222"/>
        </w:placeholder>
      </w:sdtPr>
      <w:sdtEndPr/>
      <w:sdtContent>
        <w:p w14:paraId="33495307" w14:textId="77777777" w:rsidR="002D0AE7" w:rsidRDefault="00333EBB">
          <w:pPr>
            <w:rPr>
              <w:rFonts w:hint="eastAsia"/>
              <w:color w:val="000000" w:themeColor="text1"/>
              <w:sz w:val="21"/>
            </w:rPr>
          </w:pPr>
          <w:r>
            <w:rPr>
              <w:color w:val="000000" w:themeColor="text1"/>
              <w:sz w:val="21"/>
            </w:rPr>
            <w:t>本公司会计年度自公历</w:t>
          </w:r>
          <w:r>
            <w:rPr>
              <w:color w:val="000000" w:themeColor="text1"/>
              <w:sz w:val="21"/>
            </w:rPr>
            <w:t>1</w:t>
          </w:r>
          <w:r>
            <w:rPr>
              <w:color w:val="000000" w:themeColor="text1"/>
              <w:sz w:val="21"/>
            </w:rPr>
            <w:t>月</w:t>
          </w:r>
          <w:r>
            <w:rPr>
              <w:color w:val="000000" w:themeColor="text1"/>
              <w:sz w:val="21"/>
            </w:rPr>
            <w:t>1</w:t>
          </w:r>
          <w:r>
            <w:rPr>
              <w:color w:val="000000" w:themeColor="text1"/>
              <w:sz w:val="21"/>
            </w:rPr>
            <w:t>日起至</w:t>
          </w:r>
          <w:r>
            <w:rPr>
              <w:color w:val="000000" w:themeColor="text1"/>
              <w:sz w:val="21"/>
            </w:rPr>
            <w:t>12</w:t>
          </w:r>
          <w:r>
            <w:rPr>
              <w:color w:val="000000" w:themeColor="text1"/>
              <w:sz w:val="21"/>
            </w:rPr>
            <w:t>月</w:t>
          </w:r>
          <w:r>
            <w:rPr>
              <w:color w:val="000000" w:themeColor="text1"/>
              <w:sz w:val="21"/>
            </w:rPr>
            <w:t>31</w:t>
          </w:r>
          <w:r>
            <w:rPr>
              <w:color w:val="000000" w:themeColor="text1"/>
              <w:sz w:val="21"/>
            </w:rPr>
            <w:t>日止。</w:t>
          </w:r>
        </w:p>
      </w:sdtContent>
    </w:sdt>
    <w:p w14:paraId="1F02F110" w14:textId="77777777" w:rsidR="002D0AE7" w:rsidRDefault="00333EBB">
      <w:pPr>
        <w:pStyle w:val="3"/>
        <w:numPr>
          <w:ilvl w:val="0"/>
          <w:numId w:val="37"/>
        </w:numPr>
        <w:rPr>
          <w:rFonts w:ascii="宋体" w:hAnsi="宋体" w:hint="eastAsia"/>
          <w:color w:val="000000" w:themeColor="text1"/>
        </w:rPr>
      </w:pPr>
      <w:r>
        <w:rPr>
          <w:rFonts w:ascii="宋体" w:hAnsi="宋体" w:hint="eastAsia"/>
          <w:color w:val="000000" w:themeColor="text1"/>
        </w:rPr>
        <w:t>营业周期</w:t>
      </w:r>
    </w:p>
    <w:sdt>
      <w:sdtPr>
        <w:rPr>
          <w:color w:val="000000" w:themeColor="text1"/>
        </w:rPr>
        <w:alias w:val="是否适用：营业周期[双击切换]"/>
        <w:tag w:val="_GBC_1668f7f497234cf886206b57711c4c87"/>
        <w:id w:val="284542241"/>
        <w:placeholder>
          <w:docPart w:val="GBC22222222222222222222222222222"/>
        </w:placeholder>
      </w:sdtPr>
      <w:sdtEndPr/>
      <w:sdtContent>
        <w:p w14:paraId="4EE6AB28"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sz w:val="21"/>
        </w:rPr>
        <w:alias w:val="营业周期"/>
        <w:tag w:val="_GBC_e145e43187d9463889884f48e9e0b234"/>
        <w:id w:val="-597090520"/>
        <w:placeholder>
          <w:docPart w:val="GBC22222222222222222222222222222"/>
        </w:placeholder>
      </w:sdtPr>
      <w:sdtEndPr>
        <w:rPr>
          <w:color w:val="auto"/>
          <w:szCs w:val="18"/>
        </w:rPr>
      </w:sdtEndPr>
      <w:sdtContent>
        <w:sdt>
          <w:sdtPr>
            <w:rPr>
              <w:sz w:val="21"/>
            </w:rPr>
            <w:alias w:val="营业周期"/>
            <w:tag w:val="_GBC_e145e43187d9463889884f48e9e0b234"/>
            <w:id w:val="-1839073962"/>
            <w:placeholder>
              <w:docPart w:val="9EC3DD024BBE432C9EBC7C6627288246"/>
            </w:placeholder>
          </w:sdtPr>
          <w:sdtEndPr>
            <w:rPr>
              <w:szCs w:val="18"/>
            </w:rPr>
          </w:sdtEndPr>
          <w:sdtContent>
            <w:p w14:paraId="02410E27" w14:textId="77777777" w:rsidR="002D0AE7" w:rsidRDefault="00333EBB">
              <w:pPr>
                <w:snapToGrid w:val="0"/>
                <w:rPr>
                  <w:rFonts w:hint="eastAsia"/>
                  <w:sz w:val="21"/>
                  <w:szCs w:val="18"/>
                </w:rPr>
              </w:pPr>
              <w:r>
                <w:rPr>
                  <w:rFonts w:ascii="Arial Narrow" w:hAnsi="Arial Narrow" w:hint="eastAsia"/>
                  <w:sz w:val="21"/>
                  <w:szCs w:val="16"/>
                </w:rPr>
                <w:t>正常营业周期是指本公司从购买用于加工的资产起至实现现金或现金等价物的期间。本公司以</w:t>
              </w:r>
              <w:r>
                <w:rPr>
                  <w:rFonts w:ascii="Arial Narrow" w:hAnsi="Arial Narrow" w:hint="eastAsia"/>
                  <w:sz w:val="21"/>
                  <w:szCs w:val="16"/>
                </w:rPr>
                <w:t>12</w:t>
              </w:r>
              <w:r>
                <w:rPr>
                  <w:rFonts w:ascii="Arial Narrow" w:hAnsi="Arial Narrow" w:hint="eastAsia"/>
                  <w:sz w:val="21"/>
                  <w:szCs w:val="16"/>
                </w:rPr>
                <w:t>个月作为一个营业周期，并以其作为资产和负债的流动性划分标准。</w:t>
              </w:r>
            </w:p>
          </w:sdtContent>
        </w:sdt>
      </w:sdtContent>
    </w:sdt>
    <w:p w14:paraId="14C8A1DF" w14:textId="77777777" w:rsidR="002D0AE7" w:rsidRDefault="00333EBB">
      <w:pPr>
        <w:pStyle w:val="3"/>
        <w:numPr>
          <w:ilvl w:val="0"/>
          <w:numId w:val="37"/>
        </w:numPr>
        <w:rPr>
          <w:rFonts w:ascii="宋体" w:hAnsi="宋体" w:hint="eastAsia"/>
          <w:color w:val="000000" w:themeColor="text1"/>
        </w:rPr>
      </w:pPr>
      <w:r>
        <w:rPr>
          <w:rFonts w:ascii="宋体" w:hAnsi="宋体"/>
          <w:color w:val="000000" w:themeColor="text1"/>
        </w:rPr>
        <w:t>记账本位币</w:t>
      </w:r>
    </w:p>
    <w:sdt>
      <w:sdtPr>
        <w:rPr>
          <w:rFonts w:hint="eastAsia"/>
          <w:color w:val="000000" w:themeColor="text1"/>
          <w:sz w:val="21"/>
        </w:rPr>
        <w:alias w:val="记账本位币"/>
        <w:tag w:val="_GBC_3749a2357eba44e8b968cb41cda75ff1"/>
        <w:id w:val="-2058994180"/>
        <w:placeholder>
          <w:docPart w:val="GBC22222222222222222222222222222"/>
        </w:placeholder>
      </w:sdtPr>
      <w:sdtEndPr/>
      <w:sdtContent>
        <w:p w14:paraId="6FF6A83A" w14:textId="77777777" w:rsidR="002D0AE7" w:rsidRDefault="00333EBB">
          <w:pPr>
            <w:rPr>
              <w:rFonts w:hint="eastAsia"/>
              <w:color w:val="000000" w:themeColor="text1"/>
              <w:sz w:val="21"/>
            </w:rPr>
          </w:pPr>
          <w:r>
            <w:rPr>
              <w:color w:val="000000" w:themeColor="text1"/>
              <w:sz w:val="21"/>
            </w:rPr>
            <w:t>本公司的记账本位币为人民币。</w:t>
          </w:r>
        </w:p>
      </w:sdtContent>
    </w:sdt>
    <w:p w14:paraId="64A09D19" w14:textId="77777777" w:rsidR="002D0AE7" w:rsidRDefault="00333EBB">
      <w:pPr>
        <w:pStyle w:val="3"/>
        <w:numPr>
          <w:ilvl w:val="0"/>
          <w:numId w:val="37"/>
        </w:numPr>
        <w:ind w:left="450" w:hanging="450"/>
        <w:rPr>
          <w:color w:val="000000" w:themeColor="text1"/>
        </w:rPr>
      </w:pPr>
      <w:bookmarkStart w:id="124" w:name="_Hlk167809539"/>
      <w:bookmarkStart w:id="125" w:name="_Hlk169007161"/>
      <w:r>
        <w:rPr>
          <w:rFonts w:hint="eastAsia"/>
          <w:color w:val="000000" w:themeColor="text1"/>
        </w:rPr>
        <w:t>重要性标准确定方法和选择依据</w:t>
      </w:r>
    </w:p>
    <w:sdt>
      <w:sdtPr>
        <w:rPr>
          <w:color w:val="000000" w:themeColor="text1"/>
        </w:rPr>
        <w:alias w:val="是否适用：重要性标准确定方法和选择依据[双击切换]"/>
        <w:tag w:val="_GBC_1f44a82433fd445aac6090cd207979fd"/>
        <w:id w:val="880678918"/>
        <w:placeholder>
          <w:docPart w:val="GBC22222222222222222222222222222"/>
        </w:placeholder>
      </w:sdtPr>
      <w:sdtEndPr/>
      <w:sdtContent>
        <w:p w14:paraId="00B7B4CF"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811"/>
      </w:tblGrid>
      <w:tr w:rsidR="002D0AE7" w14:paraId="14E6C3D0" w14:textId="77777777">
        <w:trPr>
          <w:jc w:val="center"/>
        </w:trPr>
        <w:sdt>
          <w:sdtPr>
            <w:rPr>
              <w:rFonts w:hint="eastAsia"/>
              <w:color w:val="000000" w:themeColor="text1"/>
              <w:sz w:val="21"/>
            </w:rPr>
            <w:tag w:val="_PLD_8d2a16b36b194561ae6c2ac9de9d21f1"/>
            <w:id w:val="-1526856367"/>
          </w:sdtPr>
          <w:sdtEndPr/>
          <w:sdtContent>
            <w:tc>
              <w:tcPr>
                <w:tcW w:w="3823" w:type="dxa"/>
                <w:vAlign w:val="center"/>
              </w:tcPr>
              <w:p w14:paraId="22A00BD1" w14:textId="77777777" w:rsidR="002D0AE7" w:rsidRDefault="00333EBB">
                <w:pPr>
                  <w:jc w:val="center"/>
                  <w:rPr>
                    <w:rFonts w:hint="eastAsia"/>
                    <w:color w:val="000000" w:themeColor="text1"/>
                    <w:sz w:val="21"/>
                  </w:rPr>
                </w:pPr>
                <w:r>
                  <w:rPr>
                    <w:rFonts w:hint="eastAsia"/>
                    <w:color w:val="000000" w:themeColor="text1"/>
                    <w:sz w:val="21"/>
                  </w:rPr>
                  <w:t>项目</w:t>
                </w:r>
              </w:p>
            </w:tc>
          </w:sdtContent>
        </w:sdt>
        <w:sdt>
          <w:sdtPr>
            <w:rPr>
              <w:color w:val="000000" w:themeColor="text1"/>
              <w:sz w:val="21"/>
            </w:rPr>
            <w:tag w:val="_PLD_eb4e754207e74cc59df0dce32451d27d"/>
            <w:id w:val="1277445244"/>
          </w:sdtPr>
          <w:sdtEndPr/>
          <w:sdtContent>
            <w:tc>
              <w:tcPr>
                <w:tcW w:w="5811" w:type="dxa"/>
                <w:vAlign w:val="center"/>
              </w:tcPr>
              <w:p w14:paraId="70F2279E" w14:textId="77777777" w:rsidR="002D0AE7" w:rsidRDefault="00333EBB">
                <w:pPr>
                  <w:jc w:val="center"/>
                  <w:rPr>
                    <w:rFonts w:hint="eastAsia"/>
                    <w:color w:val="000000" w:themeColor="text1"/>
                    <w:sz w:val="21"/>
                  </w:rPr>
                </w:pPr>
                <w:r>
                  <w:rPr>
                    <w:color w:val="000000" w:themeColor="text1"/>
                    <w:sz w:val="21"/>
                  </w:rPr>
                  <w:t>重要性标准</w:t>
                </w:r>
              </w:p>
            </w:tc>
          </w:sdtContent>
        </w:sdt>
      </w:tr>
      <w:tr w:rsidR="002D0AE7" w14:paraId="3AC00B70" w14:textId="77777777">
        <w:trPr>
          <w:jc w:val="center"/>
        </w:trPr>
        <w:tc>
          <w:tcPr>
            <w:tcW w:w="3823" w:type="dxa"/>
            <w:vAlign w:val="center"/>
          </w:tcPr>
          <w:p w14:paraId="73F2B18A" w14:textId="77777777" w:rsidR="002D0AE7" w:rsidRDefault="00333EBB">
            <w:pPr>
              <w:rPr>
                <w:rFonts w:hint="eastAsia"/>
                <w:sz w:val="21"/>
              </w:rPr>
            </w:pPr>
            <w:r>
              <w:rPr>
                <w:sz w:val="21"/>
              </w:rPr>
              <w:t>账龄超过</w:t>
            </w:r>
            <w:r>
              <w:rPr>
                <w:sz w:val="21"/>
              </w:rPr>
              <w:t>1</w:t>
            </w:r>
            <w:r>
              <w:rPr>
                <w:sz w:val="21"/>
              </w:rPr>
              <w:t>年且金额重要的预付款项</w:t>
            </w:r>
          </w:p>
        </w:tc>
        <w:tc>
          <w:tcPr>
            <w:tcW w:w="5811" w:type="dxa"/>
            <w:vAlign w:val="center"/>
          </w:tcPr>
          <w:p w14:paraId="4091F711" w14:textId="77777777" w:rsidR="002D0AE7" w:rsidRDefault="00333EBB">
            <w:pPr>
              <w:rPr>
                <w:rFonts w:hint="eastAsia"/>
                <w:sz w:val="21"/>
              </w:rPr>
            </w:pPr>
            <w:r>
              <w:rPr>
                <w:sz w:val="21"/>
              </w:rPr>
              <w:t>期末余额超过</w:t>
            </w:r>
            <w:r>
              <w:rPr>
                <w:sz w:val="21"/>
              </w:rPr>
              <w:t>500</w:t>
            </w:r>
            <w:r>
              <w:rPr>
                <w:sz w:val="21"/>
              </w:rPr>
              <w:t>万</w:t>
            </w:r>
          </w:p>
        </w:tc>
      </w:tr>
      <w:tr w:rsidR="002D0AE7" w14:paraId="462AC65B" w14:textId="77777777">
        <w:trPr>
          <w:jc w:val="center"/>
        </w:trPr>
        <w:tc>
          <w:tcPr>
            <w:tcW w:w="3823" w:type="dxa"/>
            <w:vAlign w:val="center"/>
          </w:tcPr>
          <w:p w14:paraId="74838D5E" w14:textId="77777777" w:rsidR="002D0AE7" w:rsidRDefault="00333EBB">
            <w:pPr>
              <w:rPr>
                <w:rFonts w:hint="eastAsia"/>
                <w:sz w:val="21"/>
              </w:rPr>
            </w:pPr>
            <w:r>
              <w:rPr>
                <w:sz w:val="21"/>
              </w:rPr>
              <w:t>账龄超过</w:t>
            </w:r>
            <w:r>
              <w:rPr>
                <w:sz w:val="21"/>
              </w:rPr>
              <w:t>1</w:t>
            </w:r>
            <w:r>
              <w:rPr>
                <w:sz w:val="21"/>
              </w:rPr>
              <w:t>年或逾期的重要应付账款</w:t>
            </w:r>
          </w:p>
        </w:tc>
        <w:tc>
          <w:tcPr>
            <w:tcW w:w="5811" w:type="dxa"/>
            <w:vAlign w:val="center"/>
          </w:tcPr>
          <w:p w14:paraId="75D34C80" w14:textId="77777777" w:rsidR="002D0AE7" w:rsidRDefault="00333EBB">
            <w:pPr>
              <w:rPr>
                <w:rFonts w:hint="eastAsia"/>
                <w:sz w:val="21"/>
              </w:rPr>
            </w:pPr>
            <w:r>
              <w:rPr>
                <w:sz w:val="21"/>
              </w:rPr>
              <w:t>期末余额超过</w:t>
            </w:r>
            <w:r>
              <w:rPr>
                <w:sz w:val="21"/>
              </w:rPr>
              <w:t>500</w:t>
            </w:r>
            <w:r>
              <w:rPr>
                <w:sz w:val="21"/>
              </w:rPr>
              <w:t>万</w:t>
            </w:r>
          </w:p>
        </w:tc>
      </w:tr>
      <w:tr w:rsidR="002D0AE7" w14:paraId="54B80F3F" w14:textId="77777777">
        <w:trPr>
          <w:jc w:val="center"/>
        </w:trPr>
        <w:tc>
          <w:tcPr>
            <w:tcW w:w="3823" w:type="dxa"/>
            <w:vAlign w:val="center"/>
          </w:tcPr>
          <w:p w14:paraId="720874A3" w14:textId="77777777" w:rsidR="002D0AE7" w:rsidRDefault="00333EBB">
            <w:pPr>
              <w:rPr>
                <w:rFonts w:hint="eastAsia"/>
                <w:sz w:val="21"/>
              </w:rPr>
            </w:pPr>
            <w:r>
              <w:rPr>
                <w:sz w:val="21"/>
              </w:rPr>
              <w:t>账龄超过</w:t>
            </w:r>
            <w:r>
              <w:rPr>
                <w:sz w:val="21"/>
              </w:rPr>
              <w:t>1</w:t>
            </w:r>
            <w:r>
              <w:rPr>
                <w:sz w:val="21"/>
              </w:rPr>
              <w:t>年的重要预收款项</w:t>
            </w:r>
          </w:p>
        </w:tc>
        <w:tc>
          <w:tcPr>
            <w:tcW w:w="5811" w:type="dxa"/>
            <w:vAlign w:val="center"/>
          </w:tcPr>
          <w:p w14:paraId="496F7A6A" w14:textId="77777777" w:rsidR="002D0AE7" w:rsidRDefault="00333EBB">
            <w:pPr>
              <w:rPr>
                <w:rFonts w:hint="eastAsia"/>
                <w:sz w:val="21"/>
              </w:rPr>
            </w:pPr>
            <w:r>
              <w:rPr>
                <w:sz w:val="21"/>
              </w:rPr>
              <w:t>期末余额超过</w:t>
            </w:r>
            <w:r>
              <w:rPr>
                <w:sz w:val="21"/>
              </w:rPr>
              <w:t>500</w:t>
            </w:r>
            <w:r>
              <w:rPr>
                <w:sz w:val="21"/>
              </w:rPr>
              <w:t>万</w:t>
            </w:r>
          </w:p>
        </w:tc>
      </w:tr>
      <w:tr w:rsidR="002D0AE7" w14:paraId="6FE9CDC5" w14:textId="77777777">
        <w:trPr>
          <w:jc w:val="center"/>
        </w:trPr>
        <w:tc>
          <w:tcPr>
            <w:tcW w:w="3823" w:type="dxa"/>
            <w:vAlign w:val="center"/>
          </w:tcPr>
          <w:p w14:paraId="342DBC74" w14:textId="77777777" w:rsidR="002D0AE7" w:rsidRDefault="00333EBB">
            <w:pPr>
              <w:rPr>
                <w:rFonts w:hint="eastAsia"/>
                <w:sz w:val="21"/>
              </w:rPr>
            </w:pPr>
            <w:r>
              <w:rPr>
                <w:sz w:val="21"/>
              </w:rPr>
              <w:t>账龄超过</w:t>
            </w:r>
            <w:r>
              <w:rPr>
                <w:sz w:val="21"/>
              </w:rPr>
              <w:t>1</w:t>
            </w:r>
            <w:r>
              <w:rPr>
                <w:sz w:val="21"/>
              </w:rPr>
              <w:t>年的重要合同负债</w:t>
            </w:r>
          </w:p>
        </w:tc>
        <w:tc>
          <w:tcPr>
            <w:tcW w:w="5811" w:type="dxa"/>
            <w:vAlign w:val="center"/>
          </w:tcPr>
          <w:p w14:paraId="59A37C70" w14:textId="77777777" w:rsidR="002D0AE7" w:rsidRDefault="00333EBB">
            <w:pPr>
              <w:rPr>
                <w:rFonts w:hint="eastAsia"/>
                <w:sz w:val="21"/>
              </w:rPr>
            </w:pPr>
            <w:r>
              <w:rPr>
                <w:sz w:val="21"/>
              </w:rPr>
              <w:t>期末余额超过</w:t>
            </w:r>
            <w:r>
              <w:rPr>
                <w:sz w:val="21"/>
              </w:rPr>
              <w:t>500</w:t>
            </w:r>
            <w:r>
              <w:rPr>
                <w:sz w:val="21"/>
              </w:rPr>
              <w:t>万</w:t>
            </w:r>
          </w:p>
        </w:tc>
      </w:tr>
      <w:tr w:rsidR="002D0AE7" w14:paraId="22ADA0BD" w14:textId="77777777">
        <w:trPr>
          <w:jc w:val="center"/>
        </w:trPr>
        <w:tc>
          <w:tcPr>
            <w:tcW w:w="3823" w:type="dxa"/>
            <w:vAlign w:val="center"/>
          </w:tcPr>
          <w:p w14:paraId="7787ECC8" w14:textId="77777777" w:rsidR="002D0AE7" w:rsidRDefault="00333EBB">
            <w:pPr>
              <w:rPr>
                <w:rFonts w:hint="eastAsia"/>
                <w:sz w:val="21"/>
              </w:rPr>
            </w:pPr>
            <w:r>
              <w:rPr>
                <w:sz w:val="21"/>
              </w:rPr>
              <w:t>账龄超过</w:t>
            </w:r>
            <w:r>
              <w:rPr>
                <w:sz w:val="21"/>
              </w:rPr>
              <w:t>1</w:t>
            </w:r>
            <w:r>
              <w:rPr>
                <w:sz w:val="21"/>
              </w:rPr>
              <w:t>年或逾期的重要其他应付款</w:t>
            </w:r>
          </w:p>
        </w:tc>
        <w:tc>
          <w:tcPr>
            <w:tcW w:w="5811" w:type="dxa"/>
            <w:vAlign w:val="center"/>
          </w:tcPr>
          <w:p w14:paraId="3493BC5A" w14:textId="77777777" w:rsidR="002D0AE7" w:rsidRDefault="00333EBB">
            <w:pPr>
              <w:rPr>
                <w:rFonts w:hint="eastAsia"/>
                <w:sz w:val="21"/>
              </w:rPr>
            </w:pPr>
            <w:r>
              <w:rPr>
                <w:sz w:val="21"/>
              </w:rPr>
              <w:t>期末余额超过</w:t>
            </w:r>
            <w:r>
              <w:rPr>
                <w:sz w:val="21"/>
              </w:rPr>
              <w:t>500</w:t>
            </w:r>
            <w:r>
              <w:rPr>
                <w:sz w:val="21"/>
              </w:rPr>
              <w:t>万</w:t>
            </w:r>
          </w:p>
        </w:tc>
      </w:tr>
      <w:tr w:rsidR="002D0AE7" w14:paraId="3E4FEB7C" w14:textId="77777777">
        <w:trPr>
          <w:jc w:val="center"/>
        </w:trPr>
        <w:tc>
          <w:tcPr>
            <w:tcW w:w="3823" w:type="dxa"/>
            <w:vAlign w:val="center"/>
          </w:tcPr>
          <w:p w14:paraId="79FC368B" w14:textId="77777777" w:rsidR="002D0AE7" w:rsidRDefault="00333EBB">
            <w:pPr>
              <w:rPr>
                <w:rFonts w:hint="eastAsia"/>
                <w:sz w:val="21"/>
              </w:rPr>
            </w:pPr>
            <w:r>
              <w:rPr>
                <w:sz w:val="21"/>
              </w:rPr>
              <w:t>重要的资本化研发项目</w:t>
            </w:r>
          </w:p>
        </w:tc>
        <w:tc>
          <w:tcPr>
            <w:tcW w:w="5811" w:type="dxa"/>
            <w:vAlign w:val="center"/>
          </w:tcPr>
          <w:p w14:paraId="5BC56210" w14:textId="77777777" w:rsidR="002D0AE7" w:rsidRDefault="00333EBB">
            <w:pPr>
              <w:rPr>
                <w:rFonts w:hint="eastAsia"/>
                <w:sz w:val="21"/>
              </w:rPr>
            </w:pPr>
            <w:r>
              <w:rPr>
                <w:sz w:val="21"/>
              </w:rPr>
              <w:t>未上市的创新药和改良型新药，即国内化学药品注册</w:t>
            </w:r>
            <w:r>
              <w:rPr>
                <w:sz w:val="21"/>
              </w:rPr>
              <w:t>1</w:t>
            </w:r>
            <w:r>
              <w:rPr>
                <w:sz w:val="21"/>
              </w:rPr>
              <w:t>类、</w:t>
            </w:r>
            <w:r>
              <w:rPr>
                <w:sz w:val="21"/>
              </w:rPr>
              <w:t>2</w:t>
            </w:r>
            <w:r>
              <w:rPr>
                <w:sz w:val="21"/>
              </w:rPr>
              <w:t>类，美国药品注册</w:t>
            </w:r>
            <w:r>
              <w:rPr>
                <w:sz w:val="21"/>
              </w:rPr>
              <w:t>505</w:t>
            </w:r>
            <w:r>
              <w:rPr>
                <w:sz w:val="21"/>
              </w:rPr>
              <w:t>（</w:t>
            </w:r>
            <w:r>
              <w:rPr>
                <w:sz w:val="21"/>
              </w:rPr>
              <w:t>b</w:t>
            </w:r>
            <w:r>
              <w:rPr>
                <w:sz w:val="21"/>
              </w:rPr>
              <w:t>）（</w:t>
            </w:r>
            <w:r>
              <w:rPr>
                <w:sz w:val="21"/>
              </w:rPr>
              <w:t>1</w:t>
            </w:r>
            <w:r>
              <w:rPr>
                <w:sz w:val="21"/>
              </w:rPr>
              <w:t>）、</w:t>
            </w:r>
            <w:r>
              <w:rPr>
                <w:sz w:val="21"/>
              </w:rPr>
              <w:t>505</w:t>
            </w:r>
            <w:r>
              <w:rPr>
                <w:sz w:val="21"/>
              </w:rPr>
              <w:t>（</w:t>
            </w:r>
            <w:r>
              <w:rPr>
                <w:sz w:val="21"/>
              </w:rPr>
              <w:t>b</w:t>
            </w:r>
            <w:r>
              <w:rPr>
                <w:sz w:val="21"/>
              </w:rPr>
              <w:t>）（</w:t>
            </w:r>
            <w:r>
              <w:rPr>
                <w:sz w:val="21"/>
              </w:rPr>
              <w:t>2</w:t>
            </w:r>
            <w:r>
              <w:rPr>
                <w:sz w:val="21"/>
              </w:rPr>
              <w:t>）。</w:t>
            </w:r>
          </w:p>
        </w:tc>
      </w:tr>
    </w:tbl>
    <w:bookmarkEnd w:id="124"/>
    <w:bookmarkEnd w:id="125"/>
    <w:p w14:paraId="1B09CE90" w14:textId="77777777" w:rsidR="002D0AE7" w:rsidRDefault="00333EBB">
      <w:pPr>
        <w:pStyle w:val="3"/>
        <w:numPr>
          <w:ilvl w:val="0"/>
          <w:numId w:val="37"/>
        </w:numPr>
        <w:rPr>
          <w:rFonts w:ascii="宋体" w:hAnsi="宋体" w:hint="eastAsia"/>
          <w:color w:val="000000" w:themeColor="text1"/>
        </w:rPr>
      </w:pPr>
      <w:r>
        <w:rPr>
          <w:rFonts w:ascii="宋体" w:hAnsi="宋体"/>
          <w:color w:val="000000" w:themeColor="text1"/>
        </w:rPr>
        <w:t>同一控制下和非同一控制下企业合并的会计处理方法</w:t>
      </w:r>
    </w:p>
    <w:sdt>
      <w:sdtPr>
        <w:rPr>
          <w:rFonts w:hint="eastAsia"/>
          <w:color w:val="000000" w:themeColor="text1"/>
        </w:rPr>
        <w:alias w:val="是否适用：同一控制下和非同一控制下企业合并的会计处理方法[双击切换]"/>
        <w:tag w:val="_GBC_15953b39483a4ce1a5c96869e4a0ae9c"/>
        <w:id w:val="-847483352"/>
        <w:placeholder>
          <w:docPart w:val="GBC22222222222222222222222222222"/>
        </w:placeholder>
      </w:sdtPr>
      <w:sdtEndPr/>
      <w:sdtContent>
        <w:p w14:paraId="62462DF9"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rFonts w:hint="eastAsia"/>
          <w:color w:val="000000" w:themeColor="text1"/>
        </w:rPr>
        <w:alias w:val="同一控制下和非同一控制下企业合并的会计处理方法"/>
        <w:tag w:val="_GBC_ef4b9a8d4ac34f45a0f61a23267bcbb8"/>
        <w:id w:val="1472784898"/>
        <w:placeholder>
          <w:docPart w:val="GBC22222222222222222222222222222"/>
        </w:placeholder>
      </w:sdtPr>
      <w:sdtEndPr>
        <w:rPr>
          <w:color w:val="auto"/>
          <w:sz w:val="21"/>
          <w:szCs w:val="18"/>
        </w:rPr>
      </w:sdtEndPr>
      <w:sdtContent>
        <w:sdt>
          <w:sdtPr>
            <w:rPr>
              <w:rFonts w:hint="eastAsia"/>
            </w:rPr>
            <w:alias w:val="同一控制下和非同一控制下企业合并的会计处理方法"/>
            <w:tag w:val="_GBC_ef4b9a8d4ac34f45a0f61a23267bcbb8"/>
            <w:id w:val="-1819805542"/>
            <w:placeholder>
              <w:docPart w:val="A0998634EBF44F40BEDFAE93B93C0697"/>
            </w:placeholder>
          </w:sdtPr>
          <w:sdtEndPr>
            <w:rPr>
              <w:sz w:val="21"/>
              <w:szCs w:val="18"/>
            </w:rPr>
          </w:sdtEndPr>
          <w:sdtContent>
            <w:p w14:paraId="395E841F" w14:textId="77777777" w:rsidR="002D0AE7" w:rsidRDefault="00333EBB">
              <w:pPr>
                <w:snapToGrid w:val="0"/>
                <w:ind w:firstLineChars="200" w:firstLine="480"/>
                <w:rPr>
                  <w:rFonts w:ascii="Arial Narrow" w:hAnsi="Arial Narrow"/>
                  <w:sz w:val="21"/>
                  <w:szCs w:val="18"/>
                </w:rPr>
              </w:pPr>
              <w:r>
                <w:rPr>
                  <w:rFonts w:ascii="Arial Narrow" w:hAnsi="Arial Narrow" w:hint="eastAsia"/>
                  <w:sz w:val="21"/>
                  <w:szCs w:val="18"/>
                </w:rPr>
                <w:t>本公司取得对另一个或多个企业</w:t>
              </w:r>
              <w:r>
                <w:rPr>
                  <w:rFonts w:ascii="Arial Narrow" w:hAnsi="Arial Narrow" w:hint="eastAsia"/>
                  <w:sz w:val="21"/>
                  <w:szCs w:val="18"/>
                </w:rPr>
                <w:t>(</w:t>
              </w:r>
              <w:r>
                <w:rPr>
                  <w:rFonts w:ascii="Arial Narrow" w:hAnsi="Arial Narrow" w:hint="eastAsia"/>
                  <w:sz w:val="21"/>
                  <w:szCs w:val="18"/>
                </w:rPr>
                <w:t>或一组资产或净资产</w:t>
              </w:r>
              <w:r>
                <w:rPr>
                  <w:rFonts w:ascii="Arial Narrow" w:hAnsi="Arial Narrow" w:hint="eastAsia"/>
                  <w:sz w:val="21"/>
                  <w:szCs w:val="18"/>
                </w:rPr>
                <w:t>)</w:t>
              </w:r>
              <w:r>
                <w:rPr>
                  <w:rFonts w:ascii="Arial Narrow" w:hAnsi="Arial Narrow" w:hint="eastAsia"/>
                  <w:sz w:val="21"/>
                  <w:szCs w:val="18"/>
                </w:rPr>
                <w:t>的控制权且其构成业务的，该交易或事项构成企业合并。企业合并分为同一控制下的企业合并和非同一控制下的企业合并。参与合并的企业在合并前后均受同一方或相同的多方最终控制且该控制并非暂时性的，为同一控制下的企</w:t>
              </w:r>
              <w:r>
                <w:rPr>
                  <w:rFonts w:ascii="Arial Narrow" w:hAnsi="Arial Narrow" w:hint="eastAsia"/>
                  <w:sz w:val="21"/>
                  <w:szCs w:val="18"/>
                </w:rPr>
                <w:lastRenderedPageBreak/>
                <w:t>业合并。参与合并的各方在合并前后不受同一方或相同的多方最终控制的，为非同一控制下的企业合并。</w:t>
              </w:r>
            </w:p>
            <w:p w14:paraId="79FF6ADB" w14:textId="77777777" w:rsidR="002D0AE7" w:rsidRDefault="00333EBB">
              <w:pPr>
                <w:snapToGrid w:val="0"/>
                <w:ind w:firstLineChars="200" w:firstLine="420"/>
                <w:rPr>
                  <w:rFonts w:ascii="Arial Narrow" w:hAnsi="Arial Narrow"/>
                  <w:sz w:val="21"/>
                  <w:szCs w:val="18"/>
                </w:rPr>
              </w:pPr>
              <w:r>
                <w:rPr>
                  <w:rFonts w:ascii="Arial Narrow" w:hAnsi="Arial Narrow" w:hint="eastAsia"/>
                  <w:sz w:val="21"/>
                  <w:szCs w:val="18"/>
                </w:rPr>
                <w:t>对于非同一控制下企业合并，购买方在判断取得的生产经营活动或资产的组合是否构成一项业务时，将考虑是否选择采用“集中度测试”的简化判断方式。如果该组合通过集中度测试，则判断为不构成业务。如果该组合未通过集中度测试，仍应按照业务条件进行判断。</w:t>
              </w:r>
            </w:p>
            <w:p w14:paraId="56B34C58" w14:textId="77777777" w:rsidR="002D0AE7" w:rsidRDefault="00333EBB">
              <w:pPr>
                <w:snapToGrid w:val="0"/>
                <w:ind w:firstLineChars="200" w:firstLine="420"/>
                <w:rPr>
                  <w:rFonts w:ascii="Arial Narrow" w:hAnsi="Arial Narrow"/>
                  <w:sz w:val="21"/>
                  <w:szCs w:val="18"/>
                </w:rPr>
              </w:pPr>
              <w:r>
                <w:rPr>
                  <w:rFonts w:ascii="Arial Narrow" w:hAnsi="Arial Narrow" w:hint="eastAsia"/>
                  <w:sz w:val="21"/>
                  <w:szCs w:val="18"/>
                </w:rPr>
                <w:t>当本公司取得了不构成业务的一组资产或净资产时，应将购买成本按购买日所取得各项可辨认资产、负债的相对公允价值基础进行分配，不按照以下企业合并的会计处理方法进行处理。</w:t>
              </w:r>
            </w:p>
            <w:p w14:paraId="37849E51" w14:textId="77777777" w:rsidR="002D0AE7" w:rsidRDefault="00333EBB">
              <w:pPr>
                <w:snapToGrid w:val="0"/>
                <w:ind w:firstLineChars="200" w:firstLine="422"/>
                <w:rPr>
                  <w:rFonts w:ascii="Arial Narrow" w:hAnsi="Arial Narrow"/>
                  <w:b/>
                  <w:sz w:val="21"/>
                  <w:szCs w:val="18"/>
                </w:rPr>
              </w:pPr>
              <w:r>
                <w:rPr>
                  <w:rFonts w:ascii="Arial Narrow" w:hAnsi="Arial Narrow"/>
                  <w:b/>
                  <w:sz w:val="21"/>
                  <w:szCs w:val="18"/>
                </w:rPr>
                <w:t>1</w:t>
              </w:r>
              <w:r>
                <w:rPr>
                  <w:rFonts w:ascii="Arial Narrow" w:hAnsi="Arial Narrow"/>
                  <w:b/>
                  <w:sz w:val="21"/>
                  <w:szCs w:val="18"/>
                </w:rPr>
                <w:t>、同一控制下企业合并</w:t>
              </w:r>
            </w:p>
            <w:p w14:paraId="75BA54CD" w14:textId="77777777" w:rsidR="002D0AE7" w:rsidRDefault="00333EBB">
              <w:pPr>
                <w:snapToGrid w:val="0"/>
                <w:ind w:firstLineChars="200" w:firstLine="420"/>
                <w:rPr>
                  <w:rFonts w:ascii="Arial Narrow" w:hAnsi="Arial Narrow"/>
                  <w:sz w:val="21"/>
                  <w:szCs w:val="18"/>
                </w:rPr>
              </w:pPr>
              <w:r>
                <w:rPr>
                  <w:rFonts w:ascii="Arial Narrow" w:hAnsi="Arial Narrow"/>
                  <w:sz w:val="21"/>
                  <w:szCs w:val="18"/>
                </w:rPr>
                <w:t>公司在企业合并中取得的资产和负债，按照合并日在被合并方最终控制方合并财务报表中的账面价值计量。在合并中本公司取得的净资产账面价值与支付的合并对价账面价值（或发行股份面值总额）的差额，调整资本公积中的股本溢价；资本公积中的股本溢价不足冲减的，调整留存收益。</w:t>
              </w:r>
            </w:p>
            <w:p w14:paraId="08543257" w14:textId="77777777" w:rsidR="002D0AE7" w:rsidRDefault="00333EBB">
              <w:pPr>
                <w:snapToGrid w:val="0"/>
                <w:ind w:firstLineChars="200" w:firstLine="422"/>
                <w:rPr>
                  <w:rFonts w:ascii="Arial Narrow" w:hAnsi="Arial Narrow"/>
                  <w:b/>
                  <w:sz w:val="21"/>
                  <w:szCs w:val="18"/>
                </w:rPr>
              </w:pPr>
              <w:r>
                <w:rPr>
                  <w:rFonts w:ascii="Arial Narrow" w:hAnsi="Arial Narrow"/>
                  <w:b/>
                  <w:sz w:val="21"/>
                  <w:szCs w:val="18"/>
                </w:rPr>
                <w:t>2</w:t>
              </w:r>
              <w:r>
                <w:rPr>
                  <w:rFonts w:ascii="Arial Narrow" w:hAnsi="Arial Narrow"/>
                  <w:b/>
                  <w:sz w:val="21"/>
                  <w:szCs w:val="18"/>
                </w:rPr>
                <w:t>、非同一控制下的企业合并</w:t>
              </w:r>
            </w:p>
            <w:p w14:paraId="211BDC72" w14:textId="77777777" w:rsidR="002D0AE7" w:rsidRDefault="00333EBB">
              <w:pPr>
                <w:snapToGrid w:val="0"/>
                <w:ind w:firstLineChars="200" w:firstLine="420"/>
                <w:rPr>
                  <w:rFonts w:ascii="Arial Narrow" w:hAnsi="Arial Narrow"/>
                  <w:sz w:val="21"/>
                  <w:szCs w:val="18"/>
                </w:rPr>
              </w:pPr>
              <w:r>
                <w:rPr>
                  <w:rFonts w:ascii="Arial Narrow" w:hAnsi="Arial Narrow"/>
                  <w:sz w:val="21"/>
                  <w:szCs w:val="18"/>
                </w:rPr>
                <w:t>本公司在购买日为取得对被购买方的控制权而付出的资产、发生或承担的负债以及发行的权益性证券的公允价值为合并成本，为企业合并发生的审计、法律服务、评估咨询等中介费用以及其他管理费用于发生时计入当期损益。本公司在购买日对作为企业合并对价付出的资产、发生或承担的负债按照公允价值计量，公允价值与其账面价值的差额，计入当期损益。</w:t>
              </w:r>
            </w:p>
            <w:p w14:paraId="44E4B4AA" w14:textId="77777777" w:rsidR="002D0AE7" w:rsidRDefault="00333EBB">
              <w:pPr>
                <w:snapToGrid w:val="0"/>
                <w:ind w:firstLineChars="200" w:firstLine="420"/>
                <w:rPr>
                  <w:rFonts w:ascii="Arial Narrow" w:hAnsi="Arial Narrow"/>
                  <w:sz w:val="21"/>
                  <w:szCs w:val="18"/>
                </w:rPr>
              </w:pPr>
              <w:r>
                <w:rPr>
                  <w:rFonts w:ascii="Arial Narrow" w:hAnsi="Arial Narrow"/>
                  <w:sz w:val="21"/>
                  <w:szCs w:val="18"/>
                </w:rPr>
                <w:t>本公司对合并成本大于合并中取得的被购买方可辨认净资产公允价值份额的差额，确认为商誉；本公司在合并成本小于合并中取得的被购买方可辨认净资产公允价值份额时，对取得的被购买方各项可辨认资产、负债及或有负债的公允价值以及合并成本的计量进行复核；经复核后合并成本仍小于合并中取得的被购买方可辨认净资产公允价值份额的，其差额计入当期损益。</w:t>
              </w:r>
            </w:p>
            <w:p w14:paraId="14F3C0E4" w14:textId="77777777" w:rsidR="002D0AE7" w:rsidRDefault="00333EBB">
              <w:pPr>
                <w:snapToGrid w:val="0"/>
                <w:ind w:firstLineChars="200" w:firstLine="420"/>
                <w:rPr>
                  <w:rFonts w:hint="eastAsia"/>
                  <w:sz w:val="21"/>
                  <w:szCs w:val="18"/>
                </w:rPr>
              </w:pPr>
              <w:r>
                <w:rPr>
                  <w:rFonts w:ascii="Arial Narrow" w:hAnsi="Arial Narrow"/>
                  <w:sz w:val="21"/>
                  <w:szCs w:val="18"/>
                </w:rPr>
                <w:t>企业合并中取得的被合并方除无形资产外的其他各项资产（不仅限于被合并方原已确认的资产），其所带来的经济利益很可能流入本公司且公允价值能够可靠计量的，单独确认并按公允价值计量；公允价值能够可靠计量的无形资产，单独确认为无形资产并按照公允价值计量；取得的被购买方除或有负债以外的其他各项负债，履行有关义务很可能导致经济利益流出本公司且公允价值能够可靠计量的，单独确认并按照公允价值计量；取得的被购买方或有负债，其公允价值能够可靠计量的，单独确认为负债并按照公允价值计量。</w:t>
              </w:r>
            </w:p>
          </w:sdtContent>
        </w:sdt>
      </w:sdtContent>
    </w:sdt>
    <w:p w14:paraId="663BAA37" w14:textId="77777777" w:rsidR="002D0AE7" w:rsidRDefault="00333EBB">
      <w:pPr>
        <w:pStyle w:val="3"/>
        <w:numPr>
          <w:ilvl w:val="0"/>
          <w:numId w:val="37"/>
        </w:numPr>
        <w:rPr>
          <w:rFonts w:ascii="宋体" w:hAnsi="宋体" w:hint="eastAsia"/>
          <w:color w:val="000000" w:themeColor="text1"/>
        </w:rPr>
      </w:pPr>
      <w:bookmarkStart w:id="126" w:name="_Hlk169007307"/>
      <w:r>
        <w:rPr>
          <w:rFonts w:ascii="宋体" w:hAnsi="宋体" w:hint="eastAsia"/>
          <w:color w:val="000000" w:themeColor="text1"/>
        </w:rPr>
        <w:t>控制的判断标准和</w:t>
      </w:r>
      <w:r>
        <w:rPr>
          <w:rFonts w:ascii="宋体" w:hAnsi="宋体"/>
          <w:color w:val="000000" w:themeColor="text1"/>
        </w:rPr>
        <w:t>合并财务报表的编制方法</w:t>
      </w:r>
    </w:p>
    <w:sdt>
      <w:sdtPr>
        <w:rPr>
          <w:rFonts w:hint="eastAsia"/>
          <w:color w:val="000000" w:themeColor="text1"/>
        </w:rPr>
        <w:alias w:val="是否适用：合并财务报表的编制方法[双击切换]"/>
        <w:tag w:val="_GBC_dad2e053cc8c4461a681b3e4926c48a6"/>
        <w:id w:val="-1441680494"/>
        <w:placeholder>
          <w:docPart w:val="GBC22222222222222222222222222222"/>
        </w:placeholder>
      </w:sdtPr>
      <w:sdtEndPr/>
      <w:sdtContent>
        <w:p w14:paraId="19FDF373"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rFonts w:hint="eastAsia"/>
          <w:color w:val="000000" w:themeColor="text1"/>
        </w:rPr>
        <w:alias w:val="企业合并及合并财务报表的说明"/>
        <w:tag w:val="_GBC_5201beca0c0944939b4a0d8d100d6fcf"/>
        <w:id w:val="1107157732"/>
        <w:placeholder>
          <w:docPart w:val="GBC22222222222222222222222222222"/>
        </w:placeholder>
      </w:sdtPr>
      <w:sdtEndPr>
        <w:rPr>
          <w:color w:val="auto"/>
          <w:sz w:val="21"/>
          <w:szCs w:val="18"/>
        </w:rPr>
      </w:sdtEndPr>
      <w:sdtContent>
        <w:sdt>
          <w:sdtPr>
            <w:rPr>
              <w:rFonts w:hint="eastAsia"/>
            </w:rPr>
            <w:alias w:val="控制的判断标准和合并财务报表的编制方法"/>
            <w:tag w:val="_GBC_5201beca0c0944939b4a0d8d100d6fcf"/>
            <w:id w:val="315152006"/>
            <w:placeholder>
              <w:docPart w:val="A553908E4DFE4D5DA5B259BD07B582F7"/>
            </w:placeholder>
          </w:sdtPr>
          <w:sdtEndPr>
            <w:rPr>
              <w:sz w:val="21"/>
              <w:szCs w:val="18"/>
            </w:rPr>
          </w:sdtEndPr>
          <w:sdtContent>
            <w:p w14:paraId="3E7132BB" w14:textId="77777777" w:rsidR="002D0AE7" w:rsidRDefault="00333EBB">
              <w:pPr>
                <w:snapToGrid w:val="0"/>
                <w:ind w:firstLineChars="200" w:firstLine="480"/>
                <w:rPr>
                  <w:rFonts w:ascii="Arial Narrow" w:hAnsi="Arial Narrow"/>
                  <w:sz w:val="21"/>
                  <w:szCs w:val="18"/>
                </w:rPr>
              </w:pPr>
              <w:r>
                <w:rPr>
                  <w:rFonts w:ascii="Arial Narrow" w:hAnsi="Arial Narrow"/>
                  <w:sz w:val="21"/>
                  <w:szCs w:val="18"/>
                </w:rPr>
                <w:t>合并财务报表的合并范围以控制为基础予以确定。母公司应当将其</w:t>
              </w:r>
              <w:r>
                <w:rPr>
                  <w:rFonts w:ascii="Arial Narrow" w:hAnsi="Arial Narrow" w:hint="eastAsia"/>
                  <w:sz w:val="21"/>
                  <w:szCs w:val="18"/>
                </w:rPr>
                <w:t>所控制的</w:t>
              </w:r>
              <w:r>
                <w:rPr>
                  <w:rFonts w:ascii="Arial Narrow" w:hAnsi="Arial Narrow"/>
                  <w:sz w:val="21"/>
                  <w:szCs w:val="18"/>
                </w:rPr>
                <w:t>全部</w:t>
              </w:r>
              <w:r>
                <w:rPr>
                  <w:rFonts w:ascii="Arial Narrow" w:hAnsi="Arial Narrow" w:hint="eastAsia"/>
                  <w:sz w:val="21"/>
                  <w:szCs w:val="18"/>
                </w:rPr>
                <w:t>主体</w:t>
              </w:r>
              <w:r>
                <w:rPr>
                  <w:rFonts w:ascii="Arial Narrow" w:hAnsi="Arial Narrow"/>
                  <w:sz w:val="21"/>
                  <w:szCs w:val="18"/>
                </w:rPr>
                <w:t>（包括</w:t>
              </w:r>
              <w:r>
                <w:rPr>
                  <w:rFonts w:ascii="Arial Narrow" w:hAnsi="Arial Narrow" w:cs="Arial"/>
                  <w:sz w:val="21"/>
                  <w:szCs w:val="18"/>
                </w:rPr>
                <w:t>企业、被投资单位中可分割的部分，以及企业所控制的结构化主体等</w:t>
              </w:r>
              <w:r>
                <w:rPr>
                  <w:rFonts w:ascii="Arial Narrow" w:hAnsi="Arial Narrow"/>
                  <w:sz w:val="21"/>
                  <w:szCs w:val="18"/>
                </w:rPr>
                <w:t>）纳入合并财务报表的合并范围。</w:t>
              </w:r>
            </w:p>
            <w:p w14:paraId="17B4135E" w14:textId="77777777" w:rsidR="002D0AE7" w:rsidRDefault="00333EBB">
              <w:pPr>
                <w:snapToGrid w:val="0"/>
                <w:ind w:firstLineChars="200" w:firstLine="420"/>
                <w:rPr>
                  <w:rFonts w:ascii="Arial Narrow" w:hAnsi="Arial Narrow"/>
                  <w:sz w:val="21"/>
                  <w:szCs w:val="18"/>
                </w:rPr>
              </w:pPr>
              <w:r>
                <w:rPr>
                  <w:rFonts w:ascii="Arial Narrow" w:hAnsi="Arial Narrow" w:hint="eastAsia"/>
                  <w:sz w:val="21"/>
                  <w:szCs w:val="18"/>
                </w:rPr>
                <w:t>企业</w:t>
              </w:r>
              <w:r>
                <w:rPr>
                  <w:rFonts w:ascii="Arial Narrow" w:hAnsi="Arial Narrow"/>
                  <w:sz w:val="21"/>
                  <w:szCs w:val="18"/>
                </w:rPr>
                <w:t>持有被投资方半数或以下的表决权，但综合考虑下列事实和情况后，判断</w:t>
              </w:r>
              <w:r>
                <w:rPr>
                  <w:rFonts w:ascii="Arial Narrow" w:hAnsi="Arial Narrow" w:hint="eastAsia"/>
                  <w:sz w:val="21"/>
                  <w:szCs w:val="18"/>
                </w:rPr>
                <w:t>企业</w:t>
              </w:r>
              <w:r>
                <w:rPr>
                  <w:rFonts w:ascii="Arial Narrow" w:hAnsi="Arial Narrow"/>
                  <w:sz w:val="21"/>
                  <w:szCs w:val="18"/>
                </w:rPr>
                <w:t>持有的表决权足以使其目前有能力主导被投资方相关活动的，视为</w:t>
              </w:r>
              <w:r>
                <w:rPr>
                  <w:rFonts w:ascii="Arial Narrow" w:hAnsi="Arial Narrow" w:hint="eastAsia"/>
                  <w:sz w:val="21"/>
                  <w:szCs w:val="18"/>
                </w:rPr>
                <w:t>企业</w:t>
              </w:r>
              <w:r>
                <w:rPr>
                  <w:rFonts w:ascii="Arial Narrow" w:hAnsi="Arial Narrow"/>
                  <w:sz w:val="21"/>
                  <w:szCs w:val="18"/>
                </w:rPr>
                <w:t>对被投资方拥有权力：</w:t>
              </w:r>
            </w:p>
            <w:p w14:paraId="7257B20C" w14:textId="77777777" w:rsidR="002D0AE7" w:rsidRDefault="00333EBB">
              <w:pPr>
                <w:snapToGrid w:val="0"/>
                <w:ind w:firstLineChars="200" w:firstLine="420"/>
                <w:rPr>
                  <w:rFonts w:ascii="Arial Narrow" w:hAnsi="Arial Narrow"/>
                  <w:sz w:val="21"/>
                  <w:szCs w:val="18"/>
                </w:rPr>
              </w:pPr>
              <w:r>
                <w:rPr>
                  <w:rFonts w:ascii="Arial Narrow" w:hAnsi="Arial Narrow" w:hint="eastAsia"/>
                  <w:sz w:val="21"/>
                  <w:szCs w:val="18"/>
                </w:rPr>
                <w:t>1</w:t>
              </w:r>
              <w:r>
                <w:rPr>
                  <w:rFonts w:ascii="Arial Narrow" w:hAnsi="Arial Narrow" w:hint="eastAsia"/>
                  <w:sz w:val="21"/>
                  <w:szCs w:val="18"/>
                </w:rPr>
                <w:t>、企业</w:t>
              </w:r>
              <w:r>
                <w:rPr>
                  <w:rFonts w:ascii="Arial Narrow" w:hAnsi="Arial Narrow"/>
                  <w:sz w:val="21"/>
                  <w:szCs w:val="18"/>
                </w:rPr>
                <w:t>持有的表决权相对于其他投资方持有的表决权份额的大小，以及其他投资方持有表决权的分散程度。</w:t>
              </w:r>
            </w:p>
            <w:p w14:paraId="29565957" w14:textId="77777777" w:rsidR="002D0AE7" w:rsidRDefault="00333EBB">
              <w:pPr>
                <w:snapToGrid w:val="0"/>
                <w:ind w:firstLineChars="200" w:firstLine="420"/>
                <w:rPr>
                  <w:rFonts w:ascii="Arial Narrow" w:hAnsi="Arial Narrow"/>
                  <w:sz w:val="21"/>
                  <w:szCs w:val="18"/>
                </w:rPr>
              </w:pPr>
              <w:r>
                <w:rPr>
                  <w:rFonts w:ascii="Arial Narrow" w:hAnsi="Arial Narrow" w:hint="eastAsia"/>
                  <w:sz w:val="21"/>
                  <w:szCs w:val="18"/>
                </w:rPr>
                <w:t>2</w:t>
              </w:r>
              <w:r>
                <w:rPr>
                  <w:rFonts w:ascii="Arial Narrow" w:hAnsi="Arial Narrow" w:hint="eastAsia"/>
                  <w:sz w:val="21"/>
                  <w:szCs w:val="18"/>
                </w:rPr>
                <w:t>、企业</w:t>
              </w:r>
              <w:r>
                <w:rPr>
                  <w:rFonts w:ascii="Arial Narrow" w:hAnsi="Arial Narrow"/>
                  <w:sz w:val="21"/>
                  <w:szCs w:val="18"/>
                </w:rPr>
                <w:t>和其他投资方持有的被投资方的潜在表决权，如可转换公司债券、可执行认股权证等。</w:t>
              </w:r>
            </w:p>
            <w:p w14:paraId="70AE367E" w14:textId="77777777" w:rsidR="002D0AE7" w:rsidRDefault="00333EBB">
              <w:pPr>
                <w:snapToGrid w:val="0"/>
                <w:ind w:firstLineChars="200" w:firstLine="420"/>
                <w:rPr>
                  <w:rFonts w:ascii="Arial Narrow" w:hAnsi="Arial Narrow"/>
                  <w:sz w:val="21"/>
                  <w:szCs w:val="18"/>
                </w:rPr>
              </w:pPr>
              <w:r>
                <w:rPr>
                  <w:rFonts w:ascii="Arial Narrow" w:hAnsi="Arial Narrow" w:hint="eastAsia"/>
                  <w:sz w:val="21"/>
                  <w:szCs w:val="18"/>
                </w:rPr>
                <w:t>3</w:t>
              </w:r>
              <w:r>
                <w:rPr>
                  <w:rFonts w:ascii="Arial Narrow" w:hAnsi="Arial Narrow" w:hint="eastAsia"/>
                  <w:sz w:val="21"/>
                  <w:szCs w:val="18"/>
                </w:rPr>
                <w:t>、</w:t>
              </w:r>
              <w:r>
                <w:rPr>
                  <w:rFonts w:ascii="Arial Narrow" w:hAnsi="Arial Narrow"/>
                  <w:sz w:val="21"/>
                  <w:szCs w:val="18"/>
                </w:rPr>
                <w:t>其他合同安排产生的权利。</w:t>
              </w:r>
            </w:p>
            <w:p w14:paraId="666D8272" w14:textId="77777777" w:rsidR="002D0AE7" w:rsidRDefault="00333EBB">
              <w:pPr>
                <w:snapToGrid w:val="0"/>
                <w:ind w:firstLineChars="200" w:firstLine="420"/>
                <w:rPr>
                  <w:rFonts w:ascii="Arial Narrow" w:hAnsi="Arial Narrow"/>
                  <w:sz w:val="21"/>
                  <w:szCs w:val="18"/>
                </w:rPr>
              </w:pPr>
              <w:r>
                <w:rPr>
                  <w:rFonts w:ascii="Arial Narrow" w:hAnsi="Arial Narrow" w:hint="eastAsia"/>
                  <w:sz w:val="21"/>
                  <w:szCs w:val="18"/>
                </w:rPr>
                <w:t>企业应考虑</w:t>
              </w:r>
              <w:r>
                <w:rPr>
                  <w:rFonts w:ascii="Arial Narrow" w:hAnsi="Arial Narrow"/>
                  <w:sz w:val="21"/>
                  <w:szCs w:val="18"/>
                </w:rPr>
                <w:t>被投资方以往的表决权行使情况等其他相关事实和情况。</w:t>
              </w:r>
            </w:p>
            <w:p w14:paraId="1232473A" w14:textId="77777777" w:rsidR="002D0AE7" w:rsidRDefault="00333EBB">
              <w:pPr>
                <w:snapToGrid w:val="0"/>
                <w:ind w:firstLineChars="200" w:firstLine="420"/>
                <w:rPr>
                  <w:rFonts w:ascii="Arial Narrow" w:hAnsi="Arial Narrow"/>
                  <w:sz w:val="21"/>
                  <w:szCs w:val="18"/>
                </w:rPr>
              </w:pPr>
              <w:r>
                <w:rPr>
                  <w:rFonts w:ascii="Arial Narrow" w:hAnsi="Arial Narrow"/>
                  <w:sz w:val="21"/>
                  <w:szCs w:val="18"/>
                </w:rPr>
                <w:t>当表决权不能对被投资方的回报产生重大影响时，如仅与被投资方的日常行政管理活动有关，并且被投资方的相关活动由合同安排所决定，</w:t>
              </w:r>
              <w:r>
                <w:rPr>
                  <w:rFonts w:ascii="Arial Narrow" w:hAnsi="Arial Narrow" w:hint="eastAsia"/>
                  <w:sz w:val="21"/>
                  <w:szCs w:val="18"/>
                </w:rPr>
                <w:t>企业</w:t>
              </w:r>
              <w:r>
                <w:rPr>
                  <w:rFonts w:ascii="Arial Narrow" w:hAnsi="Arial Narrow"/>
                  <w:sz w:val="21"/>
                  <w:szCs w:val="18"/>
                </w:rPr>
                <w:t>需要评估这些合同安排，以评价其享有的权利是否足够使其拥有对被投资方的权力。</w:t>
              </w:r>
            </w:p>
            <w:p w14:paraId="2DE3408E" w14:textId="77777777" w:rsidR="002D0AE7" w:rsidRDefault="00333EBB">
              <w:pPr>
                <w:snapToGrid w:val="0"/>
                <w:ind w:firstLineChars="200" w:firstLine="420"/>
                <w:rPr>
                  <w:rFonts w:ascii="Arial Narrow" w:hAnsi="Arial Narrow"/>
                  <w:sz w:val="21"/>
                  <w:szCs w:val="18"/>
                </w:rPr>
              </w:pPr>
              <w:r>
                <w:rPr>
                  <w:rFonts w:ascii="Arial Narrow" w:hAnsi="Arial Narrow" w:hint="eastAsia"/>
                  <w:sz w:val="21"/>
                  <w:szCs w:val="18"/>
                </w:rPr>
                <w:t>企业</w:t>
              </w:r>
              <w:r>
                <w:rPr>
                  <w:rFonts w:ascii="Arial Narrow" w:hAnsi="Arial Narrow"/>
                  <w:sz w:val="21"/>
                  <w:szCs w:val="18"/>
                </w:rPr>
                <w:t>可能难以判断其享有的权利是否足以使其拥有对被投资方的权力。在这种情况下，</w:t>
              </w:r>
              <w:r>
                <w:rPr>
                  <w:rFonts w:ascii="Arial Narrow" w:hAnsi="Arial Narrow" w:hint="eastAsia"/>
                  <w:sz w:val="21"/>
                  <w:szCs w:val="18"/>
                </w:rPr>
                <w:t>企业</w:t>
              </w:r>
              <w:r>
                <w:rPr>
                  <w:rFonts w:ascii="Arial Narrow" w:hAnsi="Arial Narrow"/>
                  <w:sz w:val="21"/>
                  <w:szCs w:val="18"/>
                </w:rPr>
                <w:t>应当考虑其具有实际能力以单方面主导被投资方相关活动的证据，从而判断其是否拥有对被投资方的权力。</w:t>
              </w:r>
              <w:r>
                <w:rPr>
                  <w:rFonts w:ascii="Arial Narrow" w:hAnsi="Arial Narrow" w:hint="eastAsia"/>
                  <w:sz w:val="21"/>
                  <w:szCs w:val="18"/>
                </w:rPr>
                <w:t>企业</w:t>
              </w:r>
              <w:r>
                <w:rPr>
                  <w:rFonts w:ascii="Arial Narrow" w:hAnsi="Arial Narrow"/>
                  <w:sz w:val="21"/>
                  <w:szCs w:val="18"/>
                </w:rPr>
                <w:t>应考虑的因素包括但不限于下列事项：</w:t>
              </w:r>
            </w:p>
            <w:p w14:paraId="0230622E" w14:textId="77777777" w:rsidR="002D0AE7" w:rsidRDefault="00333EBB">
              <w:pPr>
                <w:snapToGrid w:val="0"/>
                <w:ind w:firstLineChars="200" w:firstLine="420"/>
                <w:rPr>
                  <w:rFonts w:ascii="Arial Narrow" w:hAnsi="Arial Narrow"/>
                  <w:sz w:val="21"/>
                  <w:szCs w:val="18"/>
                </w:rPr>
              </w:pPr>
              <w:r>
                <w:rPr>
                  <w:rFonts w:ascii="Arial Narrow" w:hAnsi="Arial Narrow" w:hint="eastAsia"/>
                  <w:sz w:val="21"/>
                  <w:szCs w:val="18"/>
                </w:rPr>
                <w:t>1</w:t>
              </w:r>
              <w:r>
                <w:rPr>
                  <w:rFonts w:ascii="Arial Narrow" w:hAnsi="Arial Narrow" w:hint="eastAsia"/>
                  <w:sz w:val="21"/>
                  <w:szCs w:val="18"/>
                </w:rPr>
                <w:t>、企业</w:t>
              </w:r>
              <w:r>
                <w:rPr>
                  <w:rFonts w:ascii="Arial Narrow" w:hAnsi="Arial Narrow"/>
                  <w:sz w:val="21"/>
                  <w:szCs w:val="18"/>
                </w:rPr>
                <w:t>能否任命或批准被投资方的关键管理人员。</w:t>
              </w:r>
            </w:p>
            <w:p w14:paraId="153322FB" w14:textId="77777777" w:rsidR="002D0AE7" w:rsidRDefault="00333EBB">
              <w:pPr>
                <w:snapToGrid w:val="0"/>
                <w:ind w:firstLineChars="200" w:firstLine="420"/>
                <w:rPr>
                  <w:rFonts w:ascii="Arial Narrow" w:hAnsi="Arial Narrow"/>
                  <w:sz w:val="21"/>
                  <w:szCs w:val="18"/>
                </w:rPr>
              </w:pPr>
              <w:r>
                <w:rPr>
                  <w:rFonts w:ascii="Arial Narrow" w:hAnsi="Arial Narrow" w:hint="eastAsia"/>
                  <w:sz w:val="21"/>
                  <w:szCs w:val="18"/>
                </w:rPr>
                <w:t>2</w:t>
              </w:r>
              <w:r>
                <w:rPr>
                  <w:rFonts w:ascii="Arial Narrow" w:hAnsi="Arial Narrow" w:hint="eastAsia"/>
                  <w:sz w:val="21"/>
                  <w:szCs w:val="18"/>
                </w:rPr>
                <w:t>、企业</w:t>
              </w:r>
              <w:r>
                <w:rPr>
                  <w:rFonts w:ascii="Arial Narrow" w:hAnsi="Arial Narrow"/>
                  <w:sz w:val="21"/>
                  <w:szCs w:val="18"/>
                </w:rPr>
                <w:t>能否出于其自身利益决定或否决被投资方的重大交易。</w:t>
              </w:r>
            </w:p>
            <w:p w14:paraId="65D1A75D" w14:textId="77777777" w:rsidR="002D0AE7" w:rsidRDefault="00333EBB">
              <w:pPr>
                <w:snapToGrid w:val="0"/>
                <w:ind w:firstLineChars="200" w:firstLine="420"/>
                <w:rPr>
                  <w:rFonts w:ascii="Arial Narrow" w:hAnsi="Arial Narrow"/>
                  <w:sz w:val="21"/>
                  <w:szCs w:val="18"/>
                </w:rPr>
              </w:pPr>
              <w:r>
                <w:rPr>
                  <w:rFonts w:ascii="Arial Narrow" w:hAnsi="Arial Narrow" w:hint="eastAsia"/>
                  <w:sz w:val="21"/>
                  <w:szCs w:val="18"/>
                </w:rPr>
                <w:lastRenderedPageBreak/>
                <w:t>3</w:t>
              </w:r>
              <w:r>
                <w:rPr>
                  <w:rFonts w:ascii="Arial Narrow" w:hAnsi="Arial Narrow" w:hint="eastAsia"/>
                  <w:sz w:val="21"/>
                  <w:szCs w:val="18"/>
                </w:rPr>
                <w:t>、企业</w:t>
              </w:r>
              <w:r>
                <w:rPr>
                  <w:rFonts w:ascii="Arial Narrow" w:hAnsi="Arial Narrow"/>
                  <w:sz w:val="21"/>
                  <w:szCs w:val="18"/>
                </w:rPr>
                <w:t>能否掌控被投资方董事会等类似权力机构成员的任命程序，或者从其他表决权持有人手中获得代理权。</w:t>
              </w:r>
            </w:p>
            <w:p w14:paraId="370E83C3" w14:textId="77777777" w:rsidR="002D0AE7" w:rsidRDefault="00333EBB">
              <w:pPr>
                <w:snapToGrid w:val="0"/>
                <w:ind w:firstLineChars="200" w:firstLine="420"/>
                <w:rPr>
                  <w:rFonts w:ascii="Arial Narrow" w:hAnsi="Arial Narrow"/>
                  <w:sz w:val="21"/>
                  <w:szCs w:val="18"/>
                </w:rPr>
              </w:pPr>
              <w:r>
                <w:rPr>
                  <w:rFonts w:ascii="Arial Narrow" w:hAnsi="Arial Narrow" w:hint="eastAsia"/>
                  <w:sz w:val="21"/>
                  <w:szCs w:val="18"/>
                </w:rPr>
                <w:t>4</w:t>
              </w:r>
              <w:r>
                <w:rPr>
                  <w:rFonts w:ascii="Arial Narrow" w:hAnsi="Arial Narrow" w:hint="eastAsia"/>
                  <w:sz w:val="21"/>
                  <w:szCs w:val="18"/>
                </w:rPr>
                <w:t>、企业</w:t>
              </w:r>
              <w:r>
                <w:rPr>
                  <w:rFonts w:ascii="Arial Narrow" w:hAnsi="Arial Narrow"/>
                  <w:sz w:val="21"/>
                  <w:szCs w:val="18"/>
                </w:rPr>
                <w:t>与被投资方的关键管理人员或董事会等类似权力机构中的多数成员是否存在关联方关系。</w:t>
              </w:r>
            </w:p>
            <w:p w14:paraId="42E195AC" w14:textId="77777777" w:rsidR="002D0AE7" w:rsidRDefault="00333EBB">
              <w:pPr>
                <w:snapToGrid w:val="0"/>
                <w:ind w:firstLineChars="200" w:firstLine="420"/>
                <w:rPr>
                  <w:rFonts w:ascii="Arial Narrow" w:hAnsi="Arial Narrow"/>
                  <w:sz w:val="21"/>
                  <w:szCs w:val="18"/>
                </w:rPr>
              </w:pPr>
              <w:r>
                <w:rPr>
                  <w:rFonts w:ascii="Arial Narrow" w:hAnsi="Arial Narrow" w:hint="eastAsia"/>
                  <w:sz w:val="21"/>
                  <w:szCs w:val="18"/>
                </w:rPr>
                <w:t>企业</w:t>
              </w:r>
              <w:r>
                <w:rPr>
                  <w:rFonts w:ascii="Arial Narrow" w:hAnsi="Arial Narrow"/>
                  <w:sz w:val="21"/>
                  <w:szCs w:val="18"/>
                </w:rPr>
                <w:t>与被投资方之间存在某种特殊关系的，在评价</w:t>
              </w:r>
              <w:r>
                <w:rPr>
                  <w:rFonts w:ascii="Arial Narrow" w:hAnsi="Arial Narrow" w:hint="eastAsia"/>
                  <w:sz w:val="21"/>
                  <w:szCs w:val="18"/>
                </w:rPr>
                <w:t>企业</w:t>
              </w:r>
              <w:r>
                <w:rPr>
                  <w:rFonts w:ascii="Arial Narrow" w:hAnsi="Arial Narrow"/>
                  <w:sz w:val="21"/>
                  <w:szCs w:val="18"/>
                </w:rPr>
                <w:t>是否拥有对被投资方的权力时，应当适当考虑这种特殊关系的影响。特殊关系通常包括：被投资方的关键管理人员是</w:t>
              </w:r>
              <w:r>
                <w:rPr>
                  <w:rFonts w:ascii="Arial Narrow" w:hAnsi="Arial Narrow" w:hint="eastAsia"/>
                  <w:sz w:val="21"/>
                  <w:szCs w:val="18"/>
                </w:rPr>
                <w:t>企业</w:t>
              </w:r>
              <w:r>
                <w:rPr>
                  <w:rFonts w:ascii="Arial Narrow" w:hAnsi="Arial Narrow"/>
                  <w:sz w:val="21"/>
                  <w:szCs w:val="18"/>
                </w:rPr>
                <w:t>的现任或前任职工、被投资方的经营依赖于</w:t>
              </w:r>
              <w:r>
                <w:rPr>
                  <w:rFonts w:ascii="Arial Narrow" w:hAnsi="Arial Narrow" w:hint="eastAsia"/>
                  <w:sz w:val="21"/>
                  <w:szCs w:val="18"/>
                </w:rPr>
                <w:t>企业</w:t>
              </w:r>
              <w:r>
                <w:rPr>
                  <w:rFonts w:ascii="Arial Narrow" w:hAnsi="Arial Narrow"/>
                  <w:sz w:val="21"/>
                  <w:szCs w:val="18"/>
                </w:rPr>
                <w:t>、被投资方活动的重大部分有</w:t>
              </w:r>
              <w:r>
                <w:rPr>
                  <w:rFonts w:ascii="Arial Narrow" w:hAnsi="Arial Narrow" w:hint="eastAsia"/>
                  <w:sz w:val="21"/>
                  <w:szCs w:val="18"/>
                </w:rPr>
                <w:t>企业</w:t>
              </w:r>
              <w:r>
                <w:rPr>
                  <w:rFonts w:ascii="Arial Narrow" w:hAnsi="Arial Narrow"/>
                  <w:sz w:val="21"/>
                  <w:szCs w:val="18"/>
                </w:rPr>
                <w:t>参与其中或者是以</w:t>
              </w:r>
              <w:r>
                <w:rPr>
                  <w:rFonts w:ascii="Arial Narrow" w:hAnsi="Arial Narrow" w:hint="eastAsia"/>
                  <w:sz w:val="21"/>
                  <w:szCs w:val="18"/>
                </w:rPr>
                <w:t>企业</w:t>
              </w:r>
              <w:r>
                <w:rPr>
                  <w:rFonts w:ascii="Arial Narrow" w:hAnsi="Arial Narrow"/>
                  <w:sz w:val="21"/>
                  <w:szCs w:val="18"/>
                </w:rPr>
                <w:t>的名义进行、</w:t>
              </w:r>
              <w:r>
                <w:rPr>
                  <w:rFonts w:ascii="Arial Narrow" w:hAnsi="Arial Narrow" w:hint="eastAsia"/>
                  <w:sz w:val="21"/>
                  <w:szCs w:val="18"/>
                </w:rPr>
                <w:t>企业</w:t>
              </w:r>
              <w:r>
                <w:rPr>
                  <w:rFonts w:ascii="Arial Narrow" w:hAnsi="Arial Narrow"/>
                  <w:sz w:val="21"/>
                  <w:szCs w:val="18"/>
                </w:rPr>
                <w:t>自被投资方承担可变回报的风险或享有可变回报的收益远超过其持有的表决权或其他类似权利的比例等。</w:t>
              </w:r>
            </w:p>
            <w:p w14:paraId="6337CC69" w14:textId="77777777" w:rsidR="002D0AE7" w:rsidRDefault="00333EBB">
              <w:pPr>
                <w:snapToGrid w:val="0"/>
                <w:ind w:firstLineChars="200" w:firstLine="420"/>
                <w:rPr>
                  <w:rFonts w:ascii="Arial Narrow" w:hAnsi="Arial Narrow"/>
                  <w:sz w:val="21"/>
                  <w:szCs w:val="18"/>
                </w:rPr>
              </w:pPr>
              <w:r>
                <w:rPr>
                  <w:rFonts w:ascii="Arial Narrow" w:hAnsi="Arial Narrow" w:hint="eastAsia"/>
                  <w:sz w:val="21"/>
                  <w:szCs w:val="18"/>
                </w:rPr>
                <w:t>企业</w:t>
              </w:r>
              <w:r>
                <w:rPr>
                  <w:rFonts w:ascii="Arial Narrow" w:hAnsi="Arial Narrow"/>
                  <w:sz w:val="21"/>
                  <w:szCs w:val="18"/>
                </w:rPr>
                <w:t>在判断是否控制被投资方时，应当确定其自身是以主要责任人还是代理人的身份行使决策权，在其他方拥有决策权的情况下，还需要确定其他方是否以其代理人的身份代为行使决策权。</w:t>
              </w:r>
            </w:p>
            <w:p w14:paraId="6EA9CBAE" w14:textId="77777777" w:rsidR="002D0AE7" w:rsidRDefault="00333EBB">
              <w:pPr>
                <w:snapToGrid w:val="0"/>
                <w:ind w:firstLineChars="200" w:firstLine="420"/>
                <w:rPr>
                  <w:rFonts w:ascii="Arial Narrow" w:hAnsi="Arial Narrow"/>
                  <w:sz w:val="21"/>
                  <w:szCs w:val="18"/>
                </w:rPr>
              </w:pPr>
              <w:r>
                <w:rPr>
                  <w:rFonts w:ascii="Arial Narrow" w:hAnsi="Arial Narrow" w:hint="eastAsia"/>
                  <w:sz w:val="21"/>
                  <w:szCs w:val="18"/>
                </w:rPr>
                <w:t>企业</w:t>
              </w:r>
              <w:r>
                <w:rPr>
                  <w:rFonts w:ascii="Arial Narrow" w:hAnsi="Arial Narrow"/>
                  <w:sz w:val="21"/>
                  <w:szCs w:val="18"/>
                </w:rPr>
                <w:t>通常应当对是否控制被投资方整体进行判断。但极个别情况下，有确凿证据表明同时满足下列条件并且符合相关法律法规规定的，投资方应当将被投资方的一部分（以下简称</w:t>
              </w:r>
              <w:r>
                <w:rPr>
                  <w:rFonts w:ascii="Arial Narrow" w:hAnsi="Arial Narrow"/>
                  <w:sz w:val="21"/>
                  <w:szCs w:val="18"/>
                </w:rPr>
                <w:t>“</w:t>
              </w:r>
              <w:r>
                <w:rPr>
                  <w:rFonts w:ascii="Arial Narrow" w:hAnsi="Arial Narrow"/>
                  <w:sz w:val="21"/>
                  <w:szCs w:val="18"/>
                </w:rPr>
                <w:t>该部分</w:t>
              </w:r>
              <w:r>
                <w:rPr>
                  <w:rFonts w:ascii="Arial Narrow" w:hAnsi="Arial Narrow"/>
                  <w:sz w:val="21"/>
                  <w:szCs w:val="18"/>
                </w:rPr>
                <w:t>”</w:t>
              </w:r>
              <w:r>
                <w:rPr>
                  <w:rFonts w:ascii="Arial Narrow" w:hAnsi="Arial Narrow"/>
                  <w:sz w:val="21"/>
                  <w:szCs w:val="18"/>
                </w:rPr>
                <w:t>）视为被投资方可分割的部分（单独主体），进而判断是否控制该部分（单独主体）。</w:t>
              </w:r>
            </w:p>
            <w:p w14:paraId="02F7D5DD" w14:textId="77777777" w:rsidR="002D0AE7" w:rsidRDefault="00333EBB">
              <w:pPr>
                <w:snapToGrid w:val="0"/>
                <w:ind w:firstLineChars="200" w:firstLine="420"/>
                <w:rPr>
                  <w:rFonts w:ascii="Arial Narrow" w:hAnsi="Arial Narrow"/>
                  <w:sz w:val="21"/>
                  <w:szCs w:val="18"/>
                </w:rPr>
              </w:pPr>
              <w:r>
                <w:rPr>
                  <w:rFonts w:ascii="Arial Narrow" w:hAnsi="Arial Narrow" w:hint="eastAsia"/>
                  <w:sz w:val="21"/>
                  <w:szCs w:val="18"/>
                </w:rPr>
                <w:t>1</w:t>
              </w:r>
              <w:r>
                <w:rPr>
                  <w:rFonts w:ascii="Arial Narrow" w:hAnsi="Arial Narrow" w:hint="eastAsia"/>
                  <w:sz w:val="21"/>
                  <w:szCs w:val="18"/>
                </w:rPr>
                <w:t>、</w:t>
              </w:r>
              <w:r>
                <w:rPr>
                  <w:rFonts w:ascii="Arial Narrow" w:hAnsi="Arial Narrow"/>
                  <w:sz w:val="21"/>
                  <w:szCs w:val="18"/>
                </w:rPr>
                <w:t>该部分的资产是偿付该部分负债或该部分其他权益的唯一来源，不能用于偿还该部分以外的被投资方的其他负债；</w:t>
              </w:r>
            </w:p>
            <w:p w14:paraId="78D4384D" w14:textId="77777777" w:rsidR="002D0AE7" w:rsidRDefault="00333EBB">
              <w:pPr>
                <w:snapToGrid w:val="0"/>
                <w:ind w:firstLineChars="200" w:firstLine="420"/>
                <w:rPr>
                  <w:rFonts w:ascii="Arial Narrow" w:hAnsi="Arial Narrow"/>
                  <w:sz w:val="21"/>
                  <w:szCs w:val="18"/>
                </w:rPr>
              </w:pPr>
              <w:r>
                <w:rPr>
                  <w:rFonts w:ascii="Arial Narrow" w:hAnsi="Arial Narrow" w:hint="eastAsia"/>
                  <w:sz w:val="21"/>
                  <w:szCs w:val="18"/>
                </w:rPr>
                <w:t>2</w:t>
              </w:r>
              <w:r>
                <w:rPr>
                  <w:rFonts w:ascii="Arial Narrow" w:hAnsi="Arial Narrow" w:hint="eastAsia"/>
                  <w:sz w:val="21"/>
                  <w:szCs w:val="18"/>
                </w:rPr>
                <w:t>、</w:t>
              </w:r>
              <w:r>
                <w:rPr>
                  <w:rFonts w:ascii="Arial Narrow" w:hAnsi="Arial Narrow"/>
                  <w:sz w:val="21"/>
                  <w:szCs w:val="18"/>
                </w:rPr>
                <w:t>除与该部分相关的各方外，其他方不享有与该部分资产相关的权利，也不享有与该部分资产剩余现金流量相关的权利。</w:t>
              </w:r>
            </w:p>
            <w:p w14:paraId="0080EAF3" w14:textId="77777777" w:rsidR="002D0AE7" w:rsidRDefault="00333EBB">
              <w:pPr>
                <w:snapToGrid w:val="0"/>
                <w:ind w:firstLineChars="200" w:firstLine="420"/>
                <w:rPr>
                  <w:rFonts w:ascii="Arial Narrow" w:hAnsi="Arial Narrow"/>
                  <w:sz w:val="21"/>
                  <w:szCs w:val="18"/>
                </w:rPr>
              </w:pPr>
              <w:r>
                <w:rPr>
                  <w:rFonts w:ascii="Arial Narrow" w:hAnsi="Arial Narrow"/>
                  <w:sz w:val="21"/>
                  <w:szCs w:val="18"/>
                </w:rPr>
                <w:t>所有纳入合并财务报表合并范围的子公司所采用的会计政策、会计期间应与本公司一致。如果子公司采用的会计政策、会计期间与本公司不一致的，在编制合并报表时，按本公司的会计政策、会计期间进行必要的调整。合并财务报表以母公司和其子公司的财务报表为基础，根据其他有关资料，在抵销母公司与子公司、子公司相互之间发生的内部交易后，由母公司编制。</w:t>
              </w:r>
            </w:p>
            <w:p w14:paraId="6CC211F7" w14:textId="77777777" w:rsidR="002D0AE7" w:rsidRDefault="00333EBB">
              <w:pPr>
                <w:snapToGrid w:val="0"/>
                <w:ind w:firstLineChars="200" w:firstLine="420"/>
                <w:rPr>
                  <w:rFonts w:ascii="Arial Narrow" w:hAnsi="Arial Narrow"/>
                  <w:sz w:val="21"/>
                  <w:szCs w:val="18"/>
                </w:rPr>
              </w:pPr>
              <w:r>
                <w:rPr>
                  <w:rFonts w:ascii="Arial Narrow" w:hAnsi="Arial Narrow" w:hint="eastAsia"/>
                  <w:sz w:val="21"/>
                  <w:szCs w:val="18"/>
                </w:rPr>
                <w:t>母公司向子公司出售资产所发生的未实现内部交易损益，全额抵销“归属于母公司所有者的净利润”。</w:t>
              </w:r>
            </w:p>
            <w:p w14:paraId="6C381894" w14:textId="77777777" w:rsidR="002D0AE7" w:rsidRDefault="00333EBB">
              <w:pPr>
                <w:snapToGrid w:val="0"/>
                <w:ind w:firstLineChars="200" w:firstLine="420"/>
                <w:rPr>
                  <w:rFonts w:ascii="Arial Narrow" w:hAnsi="Arial Narrow"/>
                  <w:sz w:val="21"/>
                  <w:szCs w:val="18"/>
                </w:rPr>
              </w:pPr>
              <w:r>
                <w:rPr>
                  <w:rFonts w:ascii="Arial Narrow" w:hAnsi="Arial Narrow" w:hint="eastAsia"/>
                  <w:sz w:val="21"/>
                  <w:szCs w:val="18"/>
                </w:rPr>
                <w:t>子公司向母公司出售资产所发生的未实现内部交易损益，按照母公司对该子公司的分配比例在“归属于母公司所有者的净利润”和“少数股东损益”之间分配抵销。</w:t>
              </w:r>
            </w:p>
            <w:p w14:paraId="3F13E811" w14:textId="77777777" w:rsidR="002D0AE7" w:rsidRDefault="00333EBB">
              <w:pPr>
                <w:snapToGrid w:val="0"/>
                <w:ind w:firstLineChars="200" w:firstLine="420"/>
                <w:rPr>
                  <w:rFonts w:ascii="Arial Narrow" w:hAnsi="Arial Narrow"/>
                  <w:sz w:val="21"/>
                  <w:szCs w:val="18"/>
                </w:rPr>
              </w:pPr>
              <w:r>
                <w:rPr>
                  <w:rFonts w:ascii="Arial Narrow" w:hAnsi="Arial Narrow" w:hint="eastAsia"/>
                  <w:sz w:val="21"/>
                  <w:szCs w:val="18"/>
                </w:rPr>
                <w:t>子公司之间出售资产所发生的未实现内部交易损益，按照母公司对出售方子公司的分配比例在“归属于母公司所有者的净利润”和“少数股东损益”之间分配抵销。</w:t>
              </w:r>
            </w:p>
            <w:p w14:paraId="79BAA937" w14:textId="77777777" w:rsidR="002D0AE7" w:rsidRDefault="00333EBB">
              <w:pPr>
                <w:snapToGrid w:val="0"/>
                <w:ind w:firstLineChars="200" w:firstLine="420"/>
                <w:rPr>
                  <w:rFonts w:ascii="Arial Narrow" w:hAnsi="Arial Narrow"/>
                  <w:sz w:val="21"/>
                  <w:szCs w:val="18"/>
                </w:rPr>
              </w:pPr>
              <w:r>
                <w:rPr>
                  <w:rFonts w:ascii="Arial Narrow" w:hAnsi="Arial Narrow" w:hint="eastAsia"/>
                  <w:sz w:val="21"/>
                  <w:szCs w:val="18"/>
                </w:rPr>
                <w:t>子公司持有母公司的长期股权投资，视为企业集团的库存股，作为所有者权益的减项，在合并资产负债表中所有者权益项目下以“减：库存股”项目列示。子公司相互之间持有的长期股权投资，将长期股权投资与其对应的子公司所有者权益中所享有的份额相互抵销。</w:t>
              </w:r>
            </w:p>
            <w:p w14:paraId="08FAA968" w14:textId="77777777" w:rsidR="002D0AE7" w:rsidRDefault="00333EBB">
              <w:pPr>
                <w:snapToGrid w:val="0"/>
                <w:ind w:firstLineChars="200" w:firstLine="420"/>
                <w:rPr>
                  <w:rFonts w:ascii="Arial Narrow" w:hAnsi="Arial Narrow"/>
                  <w:sz w:val="21"/>
                  <w:szCs w:val="18"/>
                </w:rPr>
              </w:pPr>
              <w:r>
                <w:rPr>
                  <w:rFonts w:ascii="Arial Narrow" w:hAnsi="Arial Narrow" w:hint="eastAsia"/>
                  <w:sz w:val="21"/>
                  <w:szCs w:val="18"/>
                </w:rPr>
                <w:t>因抵销未实现内部销售损益导致合并资产负债表中资产、负债的账面价值与其在所属纳税主体的计税基础之间产生暂时性差异的，在合并资产负债表中确认递延所得税资产或递延所得税负债，同时调整合并利润表中的所得税费用，但与直接计入所有者权益的交易或事项及企业合并相关的递延所得税除外。</w:t>
              </w:r>
            </w:p>
            <w:p w14:paraId="1341A92A" w14:textId="77777777" w:rsidR="002D0AE7" w:rsidRDefault="00333EBB">
              <w:pPr>
                <w:snapToGrid w:val="0"/>
                <w:ind w:firstLineChars="200" w:firstLine="420"/>
                <w:rPr>
                  <w:rFonts w:ascii="Arial Narrow" w:hAnsi="Arial Narrow"/>
                  <w:sz w:val="21"/>
                  <w:szCs w:val="18"/>
                </w:rPr>
              </w:pPr>
              <w:r>
                <w:rPr>
                  <w:rFonts w:ascii="Arial Narrow" w:hAnsi="Arial Narrow"/>
                  <w:sz w:val="21"/>
                  <w:szCs w:val="18"/>
                </w:rPr>
                <w:t>少数股东权益，在合并资产负债表中所有者权益项目下以</w:t>
              </w:r>
              <w:r>
                <w:rPr>
                  <w:rFonts w:ascii="Arial Narrow" w:hAnsi="Arial Narrow"/>
                  <w:sz w:val="21"/>
                  <w:szCs w:val="18"/>
                </w:rPr>
                <w:t>“</w:t>
              </w:r>
              <w:r>
                <w:rPr>
                  <w:rFonts w:ascii="Arial Narrow" w:hAnsi="Arial Narrow"/>
                  <w:sz w:val="21"/>
                  <w:szCs w:val="18"/>
                </w:rPr>
                <w:t>少数股东权益</w:t>
              </w:r>
              <w:r>
                <w:rPr>
                  <w:rFonts w:ascii="Arial Narrow" w:hAnsi="Arial Narrow"/>
                  <w:sz w:val="21"/>
                  <w:szCs w:val="18"/>
                </w:rPr>
                <w:t>”</w:t>
              </w:r>
              <w:r>
                <w:rPr>
                  <w:rFonts w:ascii="Arial Narrow" w:hAnsi="Arial Narrow"/>
                  <w:sz w:val="21"/>
                  <w:szCs w:val="18"/>
                </w:rPr>
                <w:t>项目列示。少数股东损益，在合并利润表中净利润项目下以</w:t>
              </w:r>
              <w:r>
                <w:rPr>
                  <w:rFonts w:ascii="Arial Narrow" w:hAnsi="Arial Narrow"/>
                  <w:sz w:val="21"/>
                  <w:szCs w:val="18"/>
                </w:rPr>
                <w:t>“</w:t>
              </w:r>
              <w:r>
                <w:rPr>
                  <w:rFonts w:ascii="Arial Narrow" w:hAnsi="Arial Narrow"/>
                  <w:sz w:val="21"/>
                  <w:szCs w:val="18"/>
                </w:rPr>
                <w:t>少数股东损益</w:t>
              </w:r>
              <w:r>
                <w:rPr>
                  <w:rFonts w:ascii="Arial Narrow" w:hAnsi="Arial Narrow"/>
                  <w:sz w:val="21"/>
                  <w:szCs w:val="18"/>
                </w:rPr>
                <w:t>”</w:t>
              </w:r>
              <w:r>
                <w:rPr>
                  <w:rFonts w:ascii="Arial Narrow" w:hAnsi="Arial Narrow"/>
                  <w:sz w:val="21"/>
                  <w:szCs w:val="18"/>
                </w:rPr>
                <w:t>项目列示。子公司少数股东分担的当期亏损超过了少数股东在该子公司期初所有者权益中所享有份额而形成的余额，冲减少数股东权益。</w:t>
              </w:r>
            </w:p>
            <w:p w14:paraId="59037471" w14:textId="77777777" w:rsidR="002D0AE7" w:rsidRDefault="00333EBB">
              <w:pPr>
                <w:snapToGrid w:val="0"/>
                <w:ind w:firstLineChars="200" w:firstLine="420"/>
                <w:rPr>
                  <w:rFonts w:ascii="Arial Narrow" w:hAnsi="Arial Narrow"/>
                  <w:sz w:val="21"/>
                  <w:szCs w:val="18"/>
                </w:rPr>
              </w:pPr>
              <w:r>
                <w:rPr>
                  <w:rFonts w:ascii="Arial Narrow" w:hAnsi="Arial Narrow"/>
                  <w:sz w:val="21"/>
                  <w:szCs w:val="18"/>
                </w:rPr>
                <w:t>在报告期内因同一控制下企业合并增加的子公司</w:t>
              </w:r>
              <w:r>
                <w:rPr>
                  <w:rFonts w:ascii="Arial Narrow" w:hAnsi="Arial Narrow" w:hint="eastAsia"/>
                  <w:sz w:val="21"/>
                  <w:szCs w:val="18"/>
                </w:rPr>
                <w:t>以及业务</w:t>
              </w:r>
              <w:r>
                <w:rPr>
                  <w:rFonts w:ascii="Arial Narrow" w:hAnsi="Arial Narrow"/>
                  <w:sz w:val="21"/>
                  <w:szCs w:val="18"/>
                </w:rPr>
                <w:t>，调整合并资产负债表的期初数，并将该子公司</w:t>
              </w:r>
              <w:r>
                <w:rPr>
                  <w:rFonts w:ascii="Arial Narrow" w:hAnsi="Arial Narrow" w:hint="eastAsia"/>
                  <w:sz w:val="21"/>
                  <w:szCs w:val="18"/>
                </w:rPr>
                <w:t>以及业务</w:t>
              </w:r>
              <w:r>
                <w:rPr>
                  <w:rFonts w:ascii="Arial Narrow" w:hAnsi="Arial Narrow"/>
                  <w:sz w:val="21"/>
                  <w:szCs w:val="18"/>
                </w:rPr>
                <w:t>合并当期期初至报告期末的收入、费用、利润纳入合并利润表，将该子公司</w:t>
              </w:r>
              <w:r>
                <w:rPr>
                  <w:rFonts w:ascii="Arial Narrow" w:hAnsi="Arial Narrow" w:hint="eastAsia"/>
                  <w:sz w:val="21"/>
                  <w:szCs w:val="18"/>
                </w:rPr>
                <w:t>以及业务</w:t>
              </w:r>
              <w:r>
                <w:rPr>
                  <w:rFonts w:ascii="Arial Narrow" w:hAnsi="Arial Narrow"/>
                  <w:sz w:val="21"/>
                  <w:szCs w:val="18"/>
                </w:rPr>
                <w:t>合并当期期初至报告期末的现金流量纳入合并现金流量表，同时</w:t>
              </w:r>
              <w:r>
                <w:rPr>
                  <w:rFonts w:ascii="Arial Narrow" w:hAnsi="Arial Narrow" w:hint="eastAsia"/>
                  <w:sz w:val="21"/>
                  <w:szCs w:val="18"/>
                </w:rPr>
                <w:t>对比较报表的相关项目进行调整，视同合并后的报告主体自最终控制方开始控制时点起一直存在。</w:t>
              </w:r>
            </w:p>
            <w:p w14:paraId="7496F820" w14:textId="77777777" w:rsidR="002D0AE7" w:rsidRDefault="00333EBB">
              <w:pPr>
                <w:snapToGrid w:val="0"/>
                <w:ind w:firstLineChars="200" w:firstLine="420"/>
                <w:rPr>
                  <w:rFonts w:ascii="Arial Narrow" w:hAnsi="Arial Narrow"/>
                  <w:sz w:val="21"/>
                  <w:szCs w:val="18"/>
                </w:rPr>
              </w:pPr>
              <w:r>
                <w:rPr>
                  <w:rFonts w:ascii="Arial Narrow" w:hAnsi="Arial Narrow"/>
                  <w:sz w:val="21"/>
                  <w:szCs w:val="18"/>
                </w:rPr>
                <w:t>因非同一控制下企业合并</w:t>
              </w:r>
              <w:r>
                <w:rPr>
                  <w:rFonts w:ascii="Arial Narrow" w:hAnsi="Arial Narrow" w:hint="eastAsia"/>
                  <w:sz w:val="21"/>
                  <w:szCs w:val="18"/>
                </w:rPr>
                <w:t>或其他方式</w:t>
              </w:r>
              <w:r>
                <w:rPr>
                  <w:rFonts w:ascii="Arial Narrow" w:hAnsi="Arial Narrow"/>
                  <w:sz w:val="21"/>
                  <w:szCs w:val="18"/>
                </w:rPr>
                <w:t>增加的子公司</w:t>
              </w:r>
              <w:r>
                <w:rPr>
                  <w:rFonts w:ascii="Arial Narrow" w:hAnsi="Arial Narrow" w:hint="eastAsia"/>
                  <w:sz w:val="21"/>
                  <w:szCs w:val="18"/>
                </w:rPr>
                <w:t>以及业务</w:t>
              </w:r>
              <w:r>
                <w:rPr>
                  <w:rFonts w:ascii="Arial Narrow" w:hAnsi="Arial Narrow"/>
                  <w:sz w:val="21"/>
                  <w:szCs w:val="18"/>
                </w:rPr>
                <w:t>，不调整合并资产负债表的期初数，将该子公司</w:t>
              </w:r>
              <w:r>
                <w:rPr>
                  <w:rFonts w:ascii="Arial Narrow" w:hAnsi="Arial Narrow" w:hint="eastAsia"/>
                  <w:sz w:val="21"/>
                  <w:szCs w:val="18"/>
                </w:rPr>
                <w:t>以及业务</w:t>
              </w:r>
              <w:r>
                <w:rPr>
                  <w:rFonts w:ascii="Arial Narrow" w:hAnsi="Arial Narrow"/>
                  <w:sz w:val="21"/>
                  <w:szCs w:val="18"/>
                </w:rPr>
                <w:t>购买日至报告期末的收入、费用、利润纳入合并利润表，将该子公司</w:t>
              </w:r>
              <w:r>
                <w:rPr>
                  <w:rFonts w:ascii="Arial Narrow" w:hAnsi="Arial Narrow" w:hint="eastAsia"/>
                  <w:sz w:val="21"/>
                  <w:szCs w:val="18"/>
                </w:rPr>
                <w:t>以及业务</w:t>
              </w:r>
              <w:r>
                <w:rPr>
                  <w:rFonts w:ascii="Arial Narrow" w:hAnsi="Arial Narrow"/>
                  <w:sz w:val="21"/>
                  <w:szCs w:val="18"/>
                </w:rPr>
                <w:t>购买日至报告期末的现金流量纳入合并现金流量表。通过多次交易分步实现非同一控制下企业合并时，对于购买日之前持有的被购买方股权，本公司按照该股权在购买日的公允价值进行重新计量，公允价值与其账面价值的差额计入当期投资收益。购买日之前持有的被购买方的股权涉及其他综合收益</w:t>
              </w:r>
              <w:r>
                <w:rPr>
                  <w:rFonts w:ascii="Arial Narrow" w:hAnsi="Arial Narrow" w:hint="eastAsia"/>
                  <w:sz w:val="21"/>
                  <w:szCs w:val="18"/>
                </w:rPr>
                <w:t>以及其他所有者权益变动</w:t>
              </w:r>
              <w:r>
                <w:rPr>
                  <w:rFonts w:ascii="Arial Narrow" w:hAnsi="Arial Narrow"/>
                  <w:sz w:val="21"/>
                  <w:szCs w:val="18"/>
                </w:rPr>
                <w:t>的，与其相关的其他综合收益</w:t>
              </w:r>
              <w:r>
                <w:rPr>
                  <w:rFonts w:ascii="Arial Narrow" w:hAnsi="Arial Narrow" w:hint="eastAsia"/>
                  <w:sz w:val="21"/>
                  <w:szCs w:val="18"/>
                </w:rPr>
                <w:t>、其他所有者权益</w:t>
              </w:r>
              <w:r>
                <w:rPr>
                  <w:rFonts w:ascii="Arial Narrow" w:hAnsi="Arial Narrow"/>
                  <w:sz w:val="21"/>
                  <w:szCs w:val="18"/>
                </w:rPr>
                <w:t>转为</w:t>
              </w:r>
              <w:r>
                <w:rPr>
                  <w:rFonts w:ascii="Arial Narrow" w:hAnsi="Arial Narrow"/>
                  <w:sz w:val="21"/>
                  <w:szCs w:val="18"/>
                </w:rPr>
                <w:lastRenderedPageBreak/>
                <w:t>购买日所属当期投资收益</w:t>
              </w:r>
              <w:r>
                <w:rPr>
                  <w:rFonts w:ascii="Arial Narrow" w:hAnsi="Arial Narrow" w:hint="eastAsia"/>
                  <w:sz w:val="21"/>
                  <w:szCs w:val="18"/>
                </w:rPr>
                <w:t>，由于被投资方重新计量设定受益计划净负债或净资产变动而产生的其他综合收益除外</w:t>
              </w:r>
              <w:r>
                <w:rPr>
                  <w:rFonts w:ascii="Arial Narrow" w:hAnsi="Arial Narrow"/>
                  <w:sz w:val="21"/>
                  <w:szCs w:val="18"/>
                </w:rPr>
                <w:t>。</w:t>
              </w:r>
            </w:p>
            <w:p w14:paraId="5EB9E519" w14:textId="77777777" w:rsidR="002D0AE7" w:rsidRDefault="00333EBB">
              <w:pPr>
                <w:snapToGrid w:val="0"/>
                <w:ind w:firstLineChars="200" w:firstLine="420"/>
                <w:rPr>
                  <w:rFonts w:ascii="Arial Narrow" w:hAnsi="Arial Narrow"/>
                  <w:sz w:val="21"/>
                  <w:szCs w:val="18"/>
                </w:rPr>
              </w:pPr>
              <w:r>
                <w:rPr>
                  <w:rFonts w:ascii="Arial Narrow" w:hAnsi="Arial Narrow"/>
                  <w:sz w:val="21"/>
                  <w:szCs w:val="18"/>
                </w:rPr>
                <w:t>本公司在报告期内处置子公司</w:t>
              </w:r>
              <w:r>
                <w:rPr>
                  <w:rFonts w:ascii="Arial Narrow" w:hAnsi="Arial Narrow" w:hint="eastAsia"/>
                  <w:sz w:val="21"/>
                  <w:szCs w:val="18"/>
                </w:rPr>
                <w:t>以及业务</w:t>
              </w:r>
              <w:r>
                <w:rPr>
                  <w:rFonts w:ascii="Arial Narrow" w:hAnsi="Arial Narrow"/>
                  <w:sz w:val="21"/>
                  <w:szCs w:val="18"/>
                </w:rPr>
                <w:t>，不调整合并资产负债表的期初数；将该子公司</w:t>
              </w:r>
              <w:r>
                <w:rPr>
                  <w:rFonts w:ascii="Arial Narrow" w:hAnsi="Arial Narrow" w:hint="eastAsia"/>
                  <w:sz w:val="21"/>
                  <w:szCs w:val="18"/>
                </w:rPr>
                <w:t>以及业务</w:t>
              </w:r>
              <w:r>
                <w:rPr>
                  <w:rFonts w:ascii="Arial Narrow" w:hAnsi="Arial Narrow"/>
                  <w:sz w:val="21"/>
                  <w:szCs w:val="18"/>
                </w:rPr>
                <w:t>期初至处置日的收入、费用、利润纳入合并利润表；将该子公司期初至处置日的现金流量纳入合并现金流量表。因处置部分股权投资或其他原因丧失了对原有子公司控制权</w:t>
              </w:r>
              <w:r>
                <w:rPr>
                  <w:rFonts w:ascii="Arial Narrow" w:hAnsi="Arial Narrow" w:hint="eastAsia"/>
                  <w:sz w:val="21"/>
                  <w:szCs w:val="18"/>
                </w:rPr>
                <w:t>的</w:t>
              </w:r>
              <w:r>
                <w:rPr>
                  <w:rFonts w:ascii="Arial Narrow" w:hAnsi="Arial Narrow"/>
                  <w:sz w:val="21"/>
                  <w:szCs w:val="18"/>
                </w:rPr>
                <w:t>，对于处置后的剩余股权投资，本公司按照其在丧失控制权日的公允价值进行重新计量。处置股权取得的对价与剩余股权公允价值之和，减去按原持股比例计算应享有原有子公司自购买日</w:t>
              </w:r>
              <w:r>
                <w:rPr>
                  <w:rFonts w:ascii="Arial Narrow" w:hAnsi="Arial Narrow" w:hint="eastAsia"/>
                  <w:sz w:val="21"/>
                  <w:szCs w:val="18"/>
                </w:rPr>
                <w:t>或合并日</w:t>
              </w:r>
              <w:r>
                <w:rPr>
                  <w:rFonts w:ascii="Arial Narrow" w:hAnsi="Arial Narrow"/>
                  <w:sz w:val="21"/>
                  <w:szCs w:val="18"/>
                </w:rPr>
                <w:t>开始持续计算的净资产</w:t>
              </w:r>
              <w:r>
                <w:rPr>
                  <w:rFonts w:ascii="Arial Narrow" w:hAnsi="Arial Narrow" w:hint="eastAsia"/>
                  <w:sz w:val="21"/>
                  <w:szCs w:val="18"/>
                </w:rPr>
                <w:t>的</w:t>
              </w:r>
              <w:r>
                <w:rPr>
                  <w:rFonts w:ascii="Arial Narrow" w:hAnsi="Arial Narrow"/>
                  <w:sz w:val="21"/>
                  <w:szCs w:val="18"/>
                </w:rPr>
                <w:t>份额之间的差额，计入丧失控制权当期的投资收益</w:t>
              </w:r>
              <w:r>
                <w:rPr>
                  <w:rFonts w:ascii="Arial Narrow" w:hAnsi="Arial Narrow" w:hint="eastAsia"/>
                  <w:sz w:val="21"/>
                  <w:szCs w:val="18"/>
                </w:rPr>
                <w:t>，同时冲减商誉</w:t>
              </w:r>
              <w:r>
                <w:rPr>
                  <w:rFonts w:ascii="Arial Narrow" w:hAnsi="Arial Narrow"/>
                  <w:sz w:val="21"/>
                  <w:szCs w:val="18"/>
                </w:rPr>
                <w:t>。与原有子公司股权投资相关</w:t>
              </w:r>
              <w:r>
                <w:rPr>
                  <w:rFonts w:ascii="Arial Narrow" w:hAnsi="Arial Narrow" w:hint="eastAsia"/>
                  <w:sz w:val="21"/>
                  <w:szCs w:val="18"/>
                </w:rPr>
                <w:t>的</w:t>
              </w:r>
              <w:r>
                <w:rPr>
                  <w:rFonts w:ascii="Arial Narrow" w:hAnsi="Arial Narrow"/>
                  <w:sz w:val="21"/>
                  <w:szCs w:val="18"/>
                </w:rPr>
                <w:t>其他综合收益</w:t>
              </w:r>
              <w:r>
                <w:rPr>
                  <w:rFonts w:ascii="Arial Narrow" w:hAnsi="Arial Narrow" w:hint="eastAsia"/>
                  <w:sz w:val="21"/>
                  <w:szCs w:val="18"/>
                </w:rPr>
                <w:t>、其他所有者权益等</w:t>
              </w:r>
              <w:r>
                <w:rPr>
                  <w:rFonts w:ascii="Arial Narrow" w:hAnsi="Arial Narrow"/>
                  <w:sz w:val="21"/>
                  <w:szCs w:val="18"/>
                </w:rPr>
                <w:t>，在丧失控制权时转为当期投资收益。</w:t>
              </w:r>
            </w:p>
            <w:p w14:paraId="1C96EB7E" w14:textId="77777777" w:rsidR="002D0AE7" w:rsidRDefault="00333EBB">
              <w:pPr>
                <w:snapToGrid w:val="0"/>
                <w:ind w:firstLineChars="200" w:firstLine="420"/>
                <w:rPr>
                  <w:rFonts w:ascii="Arial Narrow" w:hAnsi="Arial Narrow"/>
                  <w:sz w:val="21"/>
                  <w:szCs w:val="18"/>
                </w:rPr>
              </w:pPr>
              <w:r>
                <w:rPr>
                  <w:rFonts w:ascii="Arial Narrow" w:hAnsi="Arial Narrow" w:hint="eastAsia"/>
                  <w:sz w:val="21"/>
                  <w:szCs w:val="18"/>
                </w:rPr>
                <w:t>本公司通过多次交易分步处置</w:t>
              </w:r>
              <w:r>
                <w:rPr>
                  <w:rFonts w:ascii="Arial Narrow" w:hAnsi="Arial Narrow" w:cs="仿宋_GB2312" w:hint="eastAsia"/>
                  <w:sz w:val="21"/>
                  <w:szCs w:val="18"/>
                </w:rPr>
                <w:t>对子公司股权投资直至丧失控制权的，如果处</w:t>
              </w:r>
              <w:r>
                <w:rPr>
                  <w:rFonts w:ascii="Arial Narrow" w:hAnsi="Arial Narrow" w:hint="eastAsia"/>
                  <w:sz w:val="21"/>
                  <w:szCs w:val="18"/>
                </w:rPr>
                <w:t>置</w:t>
              </w:r>
              <w:r>
                <w:rPr>
                  <w:rFonts w:ascii="Arial Narrow" w:hAnsi="Arial Narrow" w:cs="仿宋_GB2312" w:hint="eastAsia"/>
                  <w:sz w:val="21"/>
                  <w:szCs w:val="18"/>
                </w:rPr>
                <w:t>对子公司股权投资直至丧失控制权的各项交易属于一揽子交易的，则将各项交易作为一项处</w:t>
              </w:r>
              <w:r>
                <w:rPr>
                  <w:rFonts w:ascii="Arial Narrow" w:hAnsi="Arial Narrow" w:hint="eastAsia"/>
                  <w:sz w:val="21"/>
                  <w:szCs w:val="18"/>
                </w:rPr>
                <w:t>置</w:t>
              </w:r>
              <w:r>
                <w:rPr>
                  <w:rFonts w:ascii="Arial Narrow" w:hAnsi="Arial Narrow" w:cs="仿宋_GB2312" w:hint="eastAsia"/>
                  <w:sz w:val="21"/>
                  <w:szCs w:val="18"/>
                </w:rPr>
                <w:t>子公司并丧失控制权的交易进行会计处理；但是，在丧失控制权之前每一次处</w:t>
              </w:r>
              <w:r>
                <w:rPr>
                  <w:rFonts w:ascii="Arial Narrow" w:hAnsi="Arial Narrow" w:hint="eastAsia"/>
                  <w:sz w:val="21"/>
                  <w:szCs w:val="18"/>
                </w:rPr>
                <w:t>置</w:t>
              </w:r>
              <w:r>
                <w:rPr>
                  <w:rFonts w:ascii="Arial Narrow" w:hAnsi="Arial Narrow" w:cs="仿宋_GB2312" w:hint="eastAsia"/>
                  <w:sz w:val="21"/>
                  <w:szCs w:val="18"/>
                </w:rPr>
                <w:t>价款与处</w:t>
              </w:r>
              <w:r>
                <w:rPr>
                  <w:rFonts w:ascii="Arial Narrow" w:hAnsi="Arial Narrow" w:hint="eastAsia"/>
                  <w:sz w:val="21"/>
                  <w:szCs w:val="18"/>
                </w:rPr>
                <w:t>置</w:t>
              </w:r>
              <w:r>
                <w:rPr>
                  <w:rFonts w:ascii="Arial Narrow" w:hAnsi="Arial Narrow" w:cs="仿宋_GB2312" w:hint="eastAsia"/>
                  <w:sz w:val="21"/>
                  <w:szCs w:val="18"/>
                </w:rPr>
                <w:t>投资对应的享有该子公司净资产份额的差额，在合并财务报表中确认为其他综合收益，在丧失</w:t>
              </w:r>
              <w:r>
                <w:rPr>
                  <w:rFonts w:ascii="Arial Narrow" w:hAnsi="Arial Narrow" w:hint="eastAsia"/>
                  <w:sz w:val="21"/>
                  <w:szCs w:val="18"/>
                </w:rPr>
                <w:t>控制权时一并转入丧失控制权当期的损益。</w:t>
              </w:r>
            </w:p>
            <w:p w14:paraId="64D4FA77" w14:textId="77777777" w:rsidR="002D0AE7" w:rsidRDefault="00333EBB">
              <w:pPr>
                <w:snapToGrid w:val="0"/>
                <w:ind w:firstLineChars="200" w:firstLine="420"/>
                <w:rPr>
                  <w:rFonts w:hint="eastAsia"/>
                  <w:sz w:val="21"/>
                  <w:szCs w:val="18"/>
                </w:rPr>
              </w:pPr>
              <w:r>
                <w:rPr>
                  <w:rFonts w:ascii="Arial Narrow" w:hAnsi="Arial Narrow"/>
                  <w:sz w:val="21"/>
                  <w:szCs w:val="18"/>
                </w:rPr>
                <w:t>本公司因购买少数股权新取得的长期股权投资与按照新增持股比例计算应享有子公司的可辨认净资产份额之间的差额，以及在不丧失控制权的情况下因部分处置对子公司的股权投资而取得的处置价款与处置长期股权投资相对应享有子公司净资产份额的差额，均调整合并资产负债表中的资本公积的股本溢价，资本公积中的股本溢价不足冲减的，调整留存收益。</w:t>
              </w:r>
            </w:p>
          </w:sdtContent>
        </w:sdt>
      </w:sdtContent>
    </w:sdt>
    <w:bookmarkEnd w:id="126"/>
    <w:p w14:paraId="5999A230" w14:textId="77777777" w:rsidR="002D0AE7" w:rsidRDefault="00333EBB">
      <w:pPr>
        <w:pStyle w:val="3"/>
        <w:numPr>
          <w:ilvl w:val="0"/>
          <w:numId w:val="37"/>
        </w:numPr>
        <w:rPr>
          <w:rFonts w:ascii="宋体" w:hAnsi="宋体" w:hint="eastAsia"/>
          <w:color w:val="000000" w:themeColor="text1"/>
        </w:rPr>
      </w:pPr>
      <w:r>
        <w:rPr>
          <w:rFonts w:ascii="宋体" w:hAnsi="宋体"/>
          <w:color w:val="000000" w:themeColor="text1"/>
        </w:rPr>
        <w:t>现金及现金等价物的确定标准</w:t>
      </w:r>
    </w:p>
    <w:sdt>
      <w:sdtPr>
        <w:rPr>
          <w:rFonts w:hint="eastAsia"/>
          <w:color w:val="000000" w:themeColor="text1"/>
        </w:rPr>
        <w:alias w:val="现金及现金等价物的确定标准"/>
        <w:tag w:val="_GBC_54f6bc3e44e840bc85cb3872600823b5"/>
        <w:id w:val="-191298326"/>
        <w:placeholder>
          <w:docPart w:val="GBC22222222222222222222222222222"/>
        </w:placeholder>
      </w:sdtPr>
      <w:sdtEndPr/>
      <w:sdtContent>
        <w:p w14:paraId="75EFE80C" w14:textId="77777777" w:rsidR="002D0AE7" w:rsidRDefault="00333EBB">
          <w:pPr>
            <w:ind w:firstLineChars="200" w:firstLine="480"/>
            <w:rPr>
              <w:rFonts w:hint="eastAsia"/>
              <w:color w:val="000000" w:themeColor="text1"/>
            </w:rPr>
          </w:pPr>
          <w:r>
            <w:rPr>
              <w:rFonts w:ascii="Arial Narrow" w:hAnsi="Arial Narrow"/>
              <w:sz w:val="21"/>
              <w:szCs w:val="18"/>
            </w:rPr>
            <w:t>现金为公司库存现金、可以随时用于支付的存款及其他货币资金；</w:t>
          </w:r>
          <w:r>
            <w:rPr>
              <w:color w:val="000000" w:themeColor="text1"/>
              <w:sz w:val="21"/>
            </w:rPr>
            <w:t>现金等价物是指企业持有的期限短（一般指从购买日起三个月内到期）、流动性强、易于转换为已知金额现金、价值变动风险很小的投资。</w:t>
          </w:r>
        </w:p>
      </w:sdtContent>
    </w:sdt>
    <w:p w14:paraId="0FA601AF" w14:textId="77777777" w:rsidR="002D0AE7" w:rsidRDefault="00333EBB">
      <w:pPr>
        <w:pStyle w:val="3"/>
        <w:numPr>
          <w:ilvl w:val="0"/>
          <w:numId w:val="37"/>
        </w:numPr>
        <w:rPr>
          <w:rFonts w:ascii="宋体" w:hAnsi="宋体" w:hint="eastAsia"/>
          <w:color w:val="000000" w:themeColor="text1"/>
        </w:rPr>
      </w:pPr>
      <w:r>
        <w:rPr>
          <w:rFonts w:ascii="宋体" w:hAnsi="宋体"/>
          <w:color w:val="000000" w:themeColor="text1"/>
        </w:rPr>
        <w:t>外币业务和外币报表折算</w:t>
      </w:r>
    </w:p>
    <w:sdt>
      <w:sdtPr>
        <w:rPr>
          <w:rFonts w:hint="eastAsia"/>
          <w:color w:val="000000" w:themeColor="text1"/>
        </w:rPr>
        <w:alias w:val="是否适用：外币业务和外币报表折算[双击切换]"/>
        <w:tag w:val="_GBC_cd1fc5c05f5e49ed9ea2fffe41d0d113"/>
        <w:id w:val="-871608855"/>
        <w:placeholder>
          <w:docPart w:val="GBC22222222222222222222222222222"/>
        </w:placeholder>
      </w:sdtPr>
      <w:sdtEndPr/>
      <w:sdtContent>
        <w:p w14:paraId="6E9B4AA6"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rFonts w:hint="eastAsia"/>
          <w:color w:val="000000" w:themeColor="text1"/>
        </w:rPr>
        <w:alias w:val="外币业务核算方法"/>
        <w:tag w:val="_GBC_1703fe5fc56b42a8972c0906a4ac6d6b"/>
        <w:id w:val="1188259753"/>
        <w:placeholder>
          <w:docPart w:val="GBC22222222222222222222222222222"/>
        </w:placeholder>
      </w:sdtPr>
      <w:sdtEndPr>
        <w:rPr>
          <w:color w:val="auto"/>
          <w:sz w:val="21"/>
          <w:szCs w:val="18"/>
        </w:rPr>
      </w:sdtEndPr>
      <w:sdtContent>
        <w:sdt>
          <w:sdtPr>
            <w:rPr>
              <w:rFonts w:hint="eastAsia"/>
            </w:rPr>
            <w:alias w:val="外币业务核算方法"/>
            <w:tag w:val="_GBC_1703fe5fc56b42a8972c0906a4ac6d6b"/>
            <w:id w:val="888381966"/>
            <w:placeholder>
              <w:docPart w:val="00A67CF8406141A3956365F4BB740FA7"/>
            </w:placeholder>
          </w:sdtPr>
          <w:sdtEndPr>
            <w:rPr>
              <w:sz w:val="21"/>
              <w:szCs w:val="18"/>
            </w:rPr>
          </w:sdtEndPr>
          <w:sdtContent>
            <w:p w14:paraId="568BA55C" w14:textId="77777777" w:rsidR="002D0AE7" w:rsidRDefault="00333EBB">
              <w:pPr>
                <w:snapToGrid w:val="0"/>
                <w:ind w:firstLineChars="200" w:firstLine="480"/>
                <w:rPr>
                  <w:rFonts w:ascii="Arial Narrow" w:hAnsi="Arial Narrow"/>
                  <w:b/>
                  <w:sz w:val="21"/>
                  <w:szCs w:val="18"/>
                  <w:lang w:val="zh-CN"/>
                </w:rPr>
              </w:pPr>
              <w:r>
                <w:rPr>
                  <w:rFonts w:ascii="Arial Narrow" w:hAnsi="Arial Narrow"/>
                  <w:b/>
                  <w:sz w:val="21"/>
                  <w:szCs w:val="18"/>
                  <w:lang w:val="zh-CN"/>
                </w:rPr>
                <w:t>1</w:t>
              </w:r>
              <w:r>
                <w:rPr>
                  <w:rFonts w:ascii="Arial Narrow" w:hAnsi="Arial Narrow"/>
                  <w:b/>
                  <w:sz w:val="21"/>
                  <w:szCs w:val="18"/>
                  <w:lang w:val="zh-CN"/>
                </w:rPr>
                <w:t>、外币业务</w:t>
              </w:r>
            </w:p>
            <w:p w14:paraId="4653995B"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t>外币业务发生时，以当月</w:t>
              </w:r>
              <w:r>
                <w:rPr>
                  <w:rFonts w:ascii="Arial Narrow" w:hAnsi="Arial Narrow"/>
                  <w:sz w:val="21"/>
                  <w:szCs w:val="18"/>
                  <w:lang w:val="zh-CN"/>
                </w:rPr>
                <w:t>1</w:t>
              </w:r>
              <w:r>
                <w:rPr>
                  <w:rFonts w:ascii="Arial Narrow" w:hAnsi="Arial Narrow"/>
                  <w:sz w:val="21"/>
                  <w:szCs w:val="18"/>
                  <w:lang w:val="zh-CN"/>
                </w:rPr>
                <w:t>日公布的人民币市场汇率中间价折合为人民币记账。</w:t>
              </w:r>
            </w:p>
            <w:p w14:paraId="102F1739" w14:textId="77777777" w:rsidR="002D0AE7" w:rsidRDefault="00333EBB">
              <w:pPr>
                <w:snapToGrid w:val="0"/>
                <w:ind w:firstLineChars="200" w:firstLine="420"/>
                <w:rPr>
                  <w:rFonts w:ascii="Arial Narrow" w:hAnsi="Arial Narrow"/>
                  <w:sz w:val="21"/>
                  <w:szCs w:val="18"/>
                  <w:lang w:val="zh-CN"/>
                </w:rPr>
              </w:pPr>
              <w:r>
                <w:rPr>
                  <w:rFonts w:ascii="Arial Narrow" w:hAnsi="Arial Narrow"/>
                  <w:sz w:val="21"/>
                  <w:szCs w:val="18"/>
                  <w:lang w:val="zh-CN"/>
                </w:rPr>
                <w:t>外币货币性项目余额按资产负债表日的基准汇率折算为人民币，所产生的汇兑差额除属于与购建符合资本化条件的资产相关，在购建期间专门外币资金借款产生的汇兑损益按借款费用资本化的原则处理外，其余均直接计入当期损益。以历史成本计量的外币非货币性项目，仍采用交易发生日即期汇率折算，不改变其记账本位币金额。以公允价值计量的外币非货币性项目，采用公允价值确定日的即期汇率折算，由此产生的汇兑差额计入当期损益或其他综合收益。</w:t>
              </w:r>
            </w:p>
            <w:p w14:paraId="799A8D0B" w14:textId="77777777" w:rsidR="002D0AE7" w:rsidRDefault="00333EBB">
              <w:pPr>
                <w:snapToGrid w:val="0"/>
                <w:ind w:firstLineChars="200" w:firstLine="422"/>
                <w:rPr>
                  <w:rFonts w:ascii="Arial Narrow" w:hAnsi="Arial Narrow"/>
                  <w:b/>
                  <w:sz w:val="21"/>
                  <w:szCs w:val="18"/>
                  <w:lang w:val="zh-CN"/>
                </w:rPr>
              </w:pPr>
              <w:r>
                <w:rPr>
                  <w:rFonts w:ascii="Arial Narrow" w:hAnsi="Arial Narrow"/>
                  <w:b/>
                  <w:sz w:val="21"/>
                  <w:szCs w:val="18"/>
                  <w:lang w:val="zh-CN"/>
                </w:rPr>
                <w:t>2</w:t>
              </w:r>
              <w:r>
                <w:rPr>
                  <w:rFonts w:ascii="Arial Narrow" w:hAnsi="Arial Narrow"/>
                  <w:b/>
                  <w:sz w:val="21"/>
                  <w:szCs w:val="18"/>
                  <w:lang w:val="zh-CN"/>
                </w:rPr>
                <w:t>、外币财务报表的折算</w:t>
              </w:r>
            </w:p>
            <w:p w14:paraId="3921C6B3" w14:textId="77777777" w:rsidR="002D0AE7" w:rsidRDefault="00333EBB">
              <w:pPr>
                <w:snapToGrid w:val="0"/>
                <w:ind w:firstLineChars="200" w:firstLine="420"/>
                <w:rPr>
                  <w:rFonts w:cs="Times New Roman" w:hint="eastAsia"/>
                  <w:kern w:val="2"/>
                  <w:sz w:val="21"/>
                  <w:szCs w:val="18"/>
                </w:rPr>
              </w:pPr>
              <w:r>
                <w:rPr>
                  <w:rFonts w:ascii="Arial Narrow" w:hAnsi="Arial Narrow" w:hint="eastAsia"/>
                  <w:sz w:val="21"/>
                  <w:szCs w:val="18"/>
                  <w:lang w:val="zh-CN"/>
                </w:rPr>
                <w:t>将公司境外经营子公司、合营企业、联营企业和分支机构通过合并报表、权益法核算等纳入到公司的财务报表中时，需要将公司境外经营的财务报表折算为以公司记账本位币反映。在对公司境外经营财务报表进行折算前，应当调整境外经营的会计期间和会计政策，使之与公司会计期间和会计政策相一致，根据调整后的会计政策及会计期间编制相应货币（记账本位币以外的货币）的财务报表，再按照以下方法对境外经营财务报表进行折算。资产负债表中的资产和负债项目，采用资产负债表日的即期汇率折算，所有者权益项目除“未分配利润”项目外，其他项目采用发生时的即期汇率折算；利润表中的收入和费用项目，采用交易发生日的即期汇率折算；产生的外币财务报表折算差额，在编制合并财务报表时，在其他综合收益中列示。处置境外经营时，相关的外币财务报表折算差额自其他综合收益转入处置当期损益。</w:t>
              </w:r>
            </w:p>
          </w:sdtContent>
        </w:sdt>
      </w:sdtContent>
    </w:sdt>
    <w:p w14:paraId="5FD0837D" w14:textId="77777777" w:rsidR="002D0AE7" w:rsidRDefault="00333EBB">
      <w:pPr>
        <w:pStyle w:val="3"/>
        <w:numPr>
          <w:ilvl w:val="0"/>
          <w:numId w:val="37"/>
        </w:numPr>
        <w:rPr>
          <w:rFonts w:ascii="宋体" w:hAnsi="宋体" w:hint="eastAsia"/>
          <w:color w:val="000000" w:themeColor="text1"/>
        </w:rPr>
      </w:pPr>
      <w:r>
        <w:rPr>
          <w:rFonts w:ascii="宋体" w:hAnsi="宋体"/>
          <w:color w:val="000000" w:themeColor="text1"/>
        </w:rPr>
        <w:t>金融工具</w:t>
      </w:r>
    </w:p>
    <w:sdt>
      <w:sdtPr>
        <w:rPr>
          <w:rFonts w:hint="eastAsia"/>
          <w:color w:val="000000" w:themeColor="text1"/>
        </w:rPr>
        <w:alias w:val="是否适用：金融工具_重要会计政策和估计[双击切换]"/>
        <w:tag w:val="_GBC_285bdf73a629411f9c5d05731712b876"/>
        <w:id w:val="662442514"/>
        <w:placeholder>
          <w:docPart w:val="GBC22222222222222222222222222222"/>
        </w:placeholder>
      </w:sdtPr>
      <w:sdtEndPr/>
      <w:sdtContent>
        <w:p w14:paraId="5D5130AB"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rFonts w:hint="eastAsia"/>
          <w:color w:val="000000" w:themeColor="text1"/>
        </w:rPr>
        <w:alias w:val="金融资产和金融负债的核算方法"/>
        <w:tag w:val="_GBC_b358067bbe2a49bf880c383a5db50d8a"/>
        <w:id w:val="-1855103943"/>
        <w:placeholder>
          <w:docPart w:val="GBC22222222222222222222222222222"/>
        </w:placeholder>
      </w:sdtPr>
      <w:sdtEndPr>
        <w:rPr>
          <w:color w:val="auto"/>
        </w:rPr>
      </w:sdtEndPr>
      <w:sdtContent>
        <w:sdt>
          <w:sdtPr>
            <w:rPr>
              <w:rFonts w:hint="eastAsia"/>
            </w:rPr>
            <w:alias w:val="金融资产和金融负债的核算方法"/>
            <w:tag w:val="_GBC_b358067bbe2a49bf880c383a5db50d8a"/>
            <w:id w:val="1207913491"/>
            <w:placeholder>
              <w:docPart w:val="DB91367CA4BB45DFBD72F0B85709EEBB"/>
            </w:placeholder>
          </w:sdtPr>
          <w:sdtEndPr/>
          <w:sdtContent>
            <w:p w14:paraId="0EC4FD4C" w14:textId="77777777" w:rsidR="002D0AE7" w:rsidRDefault="00333EBB">
              <w:pPr>
                <w:snapToGrid w:val="0"/>
                <w:ind w:firstLineChars="200" w:firstLine="480"/>
                <w:rPr>
                  <w:rFonts w:ascii="Arial Narrow" w:hAnsi="Arial Narrow"/>
                  <w:sz w:val="21"/>
                  <w:szCs w:val="18"/>
                  <w:lang w:val="zh-CN"/>
                </w:rPr>
              </w:pPr>
              <w:r>
                <w:rPr>
                  <w:rFonts w:ascii="Arial Narrow" w:hAnsi="Arial Narrow" w:hint="eastAsia"/>
                  <w:sz w:val="21"/>
                  <w:szCs w:val="18"/>
                  <w:lang w:val="zh-CN"/>
                </w:rPr>
                <w:t>在本公司成为金融工具合同的一方时确认一项金融资产或金融负债。</w:t>
              </w:r>
            </w:p>
            <w:p w14:paraId="3635F2AD" w14:textId="77777777" w:rsidR="002D0AE7" w:rsidRDefault="00333EBB">
              <w:pPr>
                <w:snapToGrid w:val="0"/>
                <w:ind w:firstLineChars="200" w:firstLine="422"/>
                <w:rPr>
                  <w:rFonts w:ascii="Arial Narrow" w:hAnsi="Arial Narrow"/>
                  <w:b/>
                  <w:bCs/>
                  <w:sz w:val="21"/>
                  <w:szCs w:val="18"/>
                  <w:lang w:val="zh-CN"/>
                </w:rPr>
              </w:pPr>
              <w:r>
                <w:rPr>
                  <w:rFonts w:ascii="Arial Narrow" w:hAnsi="Arial Narrow" w:hint="eastAsia"/>
                  <w:b/>
                  <w:sz w:val="21"/>
                  <w:szCs w:val="18"/>
                  <w:lang w:val="zh-CN"/>
                </w:rPr>
                <w:t>1</w:t>
              </w:r>
              <w:r>
                <w:rPr>
                  <w:rFonts w:ascii="Arial Narrow" w:hAnsi="Arial Narrow" w:hint="eastAsia"/>
                  <w:b/>
                  <w:sz w:val="21"/>
                  <w:szCs w:val="18"/>
                  <w:lang w:val="zh-CN"/>
                </w:rPr>
                <w:t>、金融资产的分类、确认和计量</w:t>
              </w:r>
            </w:p>
            <w:p w14:paraId="4EAB94D0"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lastRenderedPageBreak/>
                <w:t>本公司根据管理金融资产的业务模式和金融资产的合同现金流量特征，将金融资产划分为：以摊余成本计量的金融资产；以公允价值计量且其变动计入其他综合收益的金融资产；以公允价值计量且其变动计入当期损益的金融资产。</w:t>
              </w:r>
            </w:p>
            <w:p w14:paraId="2778D1B8"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t>金融资产在初始确认时以公允价值计量。对于以公允价值计量且其变动计入当期损益的金融资产，相关交易费用直接计入当期损益；对于其他类别的金融资产，相关交易费用计入初始确认金额。</w:t>
              </w:r>
            </w:p>
            <w:p w14:paraId="611257BC"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t>（</w:t>
              </w:r>
              <w:r>
                <w:rPr>
                  <w:rFonts w:ascii="Arial Narrow" w:hAnsi="Arial Narrow" w:hint="eastAsia"/>
                  <w:sz w:val="21"/>
                  <w:szCs w:val="18"/>
                  <w:lang w:val="zh-CN"/>
                </w:rPr>
                <w:t>1</w:t>
              </w:r>
              <w:r>
                <w:rPr>
                  <w:rFonts w:ascii="Arial Narrow" w:hAnsi="Arial Narrow" w:hint="eastAsia"/>
                  <w:sz w:val="21"/>
                  <w:szCs w:val="18"/>
                  <w:lang w:val="zh-CN"/>
                </w:rPr>
                <w:t>）摊余成本计量的金融资产</w:t>
              </w:r>
            </w:p>
            <w:p w14:paraId="17BCA39C"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t>本公司管理以摊余成本计量的金融资产的业务模式为以收取合同现金流量为目标，且此类金融资产的合同现金流量特征与基本借贷安排相一致，即在特定日期产生的现金流量，仅为对本金和以未偿付本金金额为基础的利息的支付。本公司对于此类金融资产，采用实际利率法，按照摊余成本进行后续计量，其摊销或减值产生的利得或损失，计入当期损益。</w:t>
              </w:r>
            </w:p>
            <w:p w14:paraId="3ADD691F"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t>（</w:t>
              </w:r>
              <w:r>
                <w:rPr>
                  <w:rFonts w:ascii="Arial Narrow" w:hAnsi="Arial Narrow" w:hint="eastAsia"/>
                  <w:sz w:val="21"/>
                  <w:szCs w:val="18"/>
                  <w:lang w:val="zh-CN"/>
                </w:rPr>
                <w:t>2</w:t>
              </w:r>
              <w:r>
                <w:rPr>
                  <w:rFonts w:ascii="Arial Narrow" w:hAnsi="Arial Narrow" w:hint="eastAsia"/>
                  <w:sz w:val="21"/>
                  <w:szCs w:val="18"/>
                  <w:lang w:val="zh-CN"/>
                </w:rPr>
                <w:t>）以公允价值计量且其变动计入其他综合收益的金融资产</w:t>
              </w:r>
            </w:p>
            <w:p w14:paraId="5B168EBF"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t>本公司管理此类金融资产的业务模式为既以收取合同现金流量为目标又以出售为目标，且此类金融资产的合同现金流量特征与基本借贷安排相一致。本公司对此类金融资产按照公允价值计量且其变动计入其他综合收益，但减值损失或利得、汇兑损益和按照实际利率法计算的利息收入计入当期损益。</w:t>
              </w:r>
            </w:p>
            <w:p w14:paraId="0B6F0FFB"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t>（</w:t>
              </w:r>
              <w:r>
                <w:rPr>
                  <w:rFonts w:ascii="Arial Narrow" w:hAnsi="Arial Narrow" w:hint="eastAsia"/>
                  <w:sz w:val="21"/>
                  <w:szCs w:val="18"/>
                  <w:lang w:val="zh-CN"/>
                </w:rPr>
                <w:t>3</w:t>
              </w:r>
              <w:r>
                <w:rPr>
                  <w:rFonts w:ascii="Arial Narrow" w:hAnsi="Arial Narrow" w:hint="eastAsia"/>
                  <w:sz w:val="21"/>
                  <w:szCs w:val="18"/>
                  <w:lang w:val="zh-CN"/>
                </w:rPr>
                <w:t>）以公允价值计量且其变动计入当期损益的金融资产</w:t>
              </w:r>
            </w:p>
            <w:p w14:paraId="3EC4B473"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t>本公司将上述以摊余成本计量的金融资产和以公允价值计量且其变动计入其他综合收益的金融资产之外的金融资产，分类为以公允价值计量且其变动计入当期损益的金融资产。此外，在初始确认时，本公司为了消除或显著减少会计错配，将部分金融资产指定为以公允价值计量且其变动计入当期损益的金融资产。对于此类金融资产，本公司采用公允价值进行后续计量，公允价值变动计入当期损益。</w:t>
              </w:r>
            </w:p>
            <w:p w14:paraId="1B4B7652" w14:textId="77777777" w:rsidR="002D0AE7" w:rsidRDefault="00333EBB">
              <w:pPr>
                <w:snapToGrid w:val="0"/>
                <w:ind w:firstLineChars="200" w:firstLine="422"/>
                <w:rPr>
                  <w:rFonts w:ascii="Arial Narrow" w:hAnsi="Arial Narrow"/>
                  <w:b/>
                  <w:bCs/>
                  <w:sz w:val="21"/>
                  <w:szCs w:val="18"/>
                  <w:lang w:val="zh-CN"/>
                </w:rPr>
              </w:pPr>
              <w:r>
                <w:rPr>
                  <w:rFonts w:ascii="Arial Narrow" w:hAnsi="Arial Narrow" w:hint="eastAsia"/>
                  <w:b/>
                  <w:sz w:val="21"/>
                  <w:szCs w:val="18"/>
                  <w:lang w:val="zh-CN"/>
                </w:rPr>
                <w:t>2</w:t>
              </w:r>
              <w:r>
                <w:rPr>
                  <w:rFonts w:ascii="Arial Narrow" w:hAnsi="Arial Narrow" w:hint="eastAsia"/>
                  <w:b/>
                  <w:sz w:val="21"/>
                  <w:szCs w:val="18"/>
                  <w:lang w:val="zh-CN"/>
                </w:rPr>
                <w:t>、金融负债的分类、确认和计量</w:t>
              </w:r>
            </w:p>
            <w:p w14:paraId="3906F9C3"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t>金融负债于初始确认时分类为以公允价值计量且其变动计入当期损益的金融负债和其他金融负债。对于以公允价值计量且其变动计入当期损益的金融负债，相关交易费用直接计入当期损益，其他金融负债的相关交易费用计入其初始确认金额。</w:t>
              </w:r>
            </w:p>
            <w:p w14:paraId="5BA87CBD"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t>（</w:t>
              </w:r>
              <w:r>
                <w:rPr>
                  <w:rFonts w:ascii="Arial Narrow" w:hAnsi="Arial Narrow" w:hint="eastAsia"/>
                  <w:sz w:val="21"/>
                  <w:szCs w:val="18"/>
                  <w:lang w:val="zh-CN"/>
                </w:rPr>
                <w:t>1</w:t>
              </w:r>
              <w:r>
                <w:rPr>
                  <w:rFonts w:ascii="Arial Narrow" w:hAnsi="Arial Narrow" w:hint="eastAsia"/>
                  <w:sz w:val="21"/>
                  <w:szCs w:val="18"/>
                  <w:lang w:val="zh-CN"/>
                </w:rPr>
                <w:t>）以公允价值计量且其变动计入当期损益的金融负债</w:t>
              </w:r>
            </w:p>
            <w:p w14:paraId="69C642C3"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t>以公允价值计量且其变动计入当期损益的金融负债，包括交易性金融负债（含属于金融负债的衍生工具）和初始确认时指定为以公允价值计量且其变动计入当期损益的金融负债。</w:t>
              </w:r>
            </w:p>
            <w:p w14:paraId="75FC2674"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t>交易性金融负债（含属于金融负债的衍生工具），按照公允价值进行后续计量，除与套期会计有关外，公允价值变动计入当期损益。</w:t>
              </w:r>
            </w:p>
            <w:p w14:paraId="655C1465"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t>被指定为以公允价值计量且其变动计入当期损益的金融负债，该负债由本公司自身信用风险变动引起的公允价值变动计入其他综合收益，且终止确认该负债时，计入其他综合收益的自身信用风险变动引起的其公允价值累计变动额转入留存收益。其余公允价值变动计入当期损益。</w:t>
              </w:r>
            </w:p>
            <w:p w14:paraId="18874208"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t>（</w:t>
              </w:r>
              <w:r>
                <w:rPr>
                  <w:rFonts w:ascii="Arial Narrow" w:hAnsi="Arial Narrow" w:hint="eastAsia"/>
                  <w:sz w:val="21"/>
                  <w:szCs w:val="18"/>
                  <w:lang w:val="zh-CN"/>
                </w:rPr>
                <w:t>2</w:t>
              </w:r>
              <w:r>
                <w:rPr>
                  <w:rFonts w:ascii="Arial Narrow" w:hAnsi="Arial Narrow" w:hint="eastAsia"/>
                  <w:sz w:val="21"/>
                  <w:szCs w:val="18"/>
                  <w:lang w:val="zh-CN"/>
                </w:rPr>
                <w:t>）其他金融负债</w:t>
              </w:r>
            </w:p>
            <w:p w14:paraId="17FCF07F"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t>除金融资产转移不符合终止确认条件或继续涉入被转移金融资产所形成的金融负债、财务担保合同外的其他金融负债分类为以摊余成本计量的金融负债，按摊余成本进行后续计量，终止确认或摊销产生的利得或损失计入当期损益。</w:t>
              </w:r>
            </w:p>
            <w:p w14:paraId="5DA2E578" w14:textId="77777777" w:rsidR="002D0AE7" w:rsidRDefault="00333EBB">
              <w:pPr>
                <w:snapToGrid w:val="0"/>
                <w:ind w:firstLineChars="200" w:firstLine="422"/>
                <w:rPr>
                  <w:rFonts w:ascii="Arial Narrow" w:hAnsi="Arial Narrow"/>
                  <w:b/>
                  <w:bCs/>
                  <w:sz w:val="21"/>
                  <w:szCs w:val="18"/>
                  <w:lang w:val="zh-CN"/>
                </w:rPr>
              </w:pPr>
              <w:r>
                <w:rPr>
                  <w:rFonts w:ascii="Arial Narrow" w:hAnsi="Arial Narrow" w:hint="eastAsia"/>
                  <w:b/>
                  <w:sz w:val="21"/>
                  <w:szCs w:val="18"/>
                  <w:lang w:val="zh-CN"/>
                </w:rPr>
                <w:t>3</w:t>
              </w:r>
              <w:r>
                <w:rPr>
                  <w:rFonts w:ascii="Arial Narrow" w:hAnsi="Arial Narrow" w:hint="eastAsia"/>
                  <w:b/>
                  <w:sz w:val="21"/>
                  <w:szCs w:val="18"/>
                  <w:lang w:val="zh-CN"/>
                </w:rPr>
                <w:t>、金融资产转移的确认依据和计量方法</w:t>
              </w:r>
            </w:p>
            <w:p w14:paraId="4D4A0250"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t>满足下列条件之一的金融资产，予以终止确认：①收取该金融资产现金流量的合同权利终止；②该金融资产已转移，且将金融资产所有权上几乎所有的风险和报酬转移给转入方；③该金融资产已转移，虽然企业既没有转移也没有保留金融资产所有权上几乎所有的风险和报酬，但是放弃了对该金融资产的控制。</w:t>
              </w:r>
            </w:p>
            <w:p w14:paraId="2B47891C"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t>若企业既没有转移也没有保留金融资产所有权上几乎所有的风险和报酬，且未放弃对该金融资产的控制的，则按照继续涉入所转移金融资产的程度确认有关金融资产，并相应确认有关负债。继续涉入所转移金融资产的程度，是指该金融资产价值变动使企业面临的风险水平。</w:t>
              </w:r>
            </w:p>
            <w:p w14:paraId="7263CD09"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t>金融资产整体转移满足终止确认条件的，将所转移金融资产的账面价值及因转移而收到的对价与原计入其他综合收益的公允价值变动累计额之和的差额计入当期损益。</w:t>
              </w:r>
            </w:p>
            <w:p w14:paraId="79BDD89D"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lastRenderedPageBreak/>
                <w:t>金融资产部分转移满足终止确认条件的，将所转移金融资产的账面价值在终止确认及未终止确认部分之间按其相对的公允价值进行分摊，并将因转移而收到的对价与应分摊至终止确认部分的原计入其他综合收益的公允价值变动累计额之和与分摊的前述账面金额之差额计入当期损益。</w:t>
              </w:r>
            </w:p>
            <w:p w14:paraId="032BF31A"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t>本公司对采用附追索权方式出售的金融资产，或将持有的金融资产背书转让，需确定该金融资产所有权上几乎所有的风险和报酬是否已经转移。已将该金融资产所有权上几乎所有的风险和报酬转移给转入方的，终止确认该金融资产；保留了金融资产所有权上几乎所有的风险和报酬的，不终止确认该金融资产；既没有转移也没有保留金融资产所有权上几乎所有的风险和报酬的，则继续判断企业是否对该资产保留了控制，并根据前面各段所述的原则进行会计处理。</w:t>
              </w:r>
            </w:p>
            <w:p w14:paraId="4819EDDC" w14:textId="77777777" w:rsidR="002D0AE7" w:rsidRDefault="00333EBB">
              <w:pPr>
                <w:snapToGrid w:val="0"/>
                <w:ind w:firstLineChars="200" w:firstLine="422"/>
                <w:rPr>
                  <w:rFonts w:ascii="Arial Narrow" w:hAnsi="Arial Narrow"/>
                  <w:b/>
                  <w:bCs/>
                  <w:sz w:val="21"/>
                  <w:szCs w:val="18"/>
                  <w:lang w:val="zh-CN"/>
                </w:rPr>
              </w:pPr>
              <w:r>
                <w:rPr>
                  <w:rFonts w:ascii="Arial Narrow" w:hAnsi="Arial Narrow" w:hint="eastAsia"/>
                  <w:b/>
                  <w:sz w:val="21"/>
                  <w:szCs w:val="18"/>
                  <w:lang w:val="zh-CN"/>
                </w:rPr>
                <w:t>4</w:t>
              </w:r>
              <w:r>
                <w:rPr>
                  <w:rFonts w:ascii="Arial Narrow" w:hAnsi="Arial Narrow" w:hint="eastAsia"/>
                  <w:b/>
                  <w:sz w:val="21"/>
                  <w:szCs w:val="18"/>
                  <w:lang w:val="zh-CN"/>
                </w:rPr>
                <w:t>、金融负债的终止确认</w:t>
              </w:r>
            </w:p>
            <w:p w14:paraId="25C6DA5B"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t>金融负债（或其一部分）的现时义务已经解除的，本公司终止确认该金融负债（或该部分金融负债）。本公司（借入方）与借出方签订协议，以承担新金融负债的方式替换原金融负债，且新金融负债与原金融负债的合同条款实质上不同的，终止确认原金融负债，同时确认一项新金融负债。本公司对原金融负债（或其一部分）的合同条款作出实质性修改的，终止确认原金融负债，同时按照修改后的条款确认一项新金融负债。</w:t>
              </w:r>
            </w:p>
            <w:p w14:paraId="58B39FD6"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t>金融负债（或其一部分）终止确认的，本公司将其账面价值与支付的对价（包括转出的非现金资产或承担的负债）之间的差额，计入当期损益。</w:t>
              </w:r>
            </w:p>
            <w:p w14:paraId="7E07B938" w14:textId="77777777" w:rsidR="002D0AE7" w:rsidRDefault="00333EBB">
              <w:pPr>
                <w:snapToGrid w:val="0"/>
                <w:ind w:firstLineChars="200" w:firstLine="422"/>
                <w:rPr>
                  <w:rFonts w:ascii="Arial Narrow" w:hAnsi="Arial Narrow"/>
                  <w:b/>
                  <w:bCs/>
                  <w:sz w:val="21"/>
                  <w:szCs w:val="18"/>
                  <w:lang w:val="zh-CN"/>
                </w:rPr>
              </w:pPr>
              <w:r>
                <w:rPr>
                  <w:rFonts w:ascii="Arial Narrow" w:hAnsi="Arial Narrow" w:hint="eastAsia"/>
                  <w:b/>
                  <w:sz w:val="21"/>
                  <w:szCs w:val="18"/>
                  <w:lang w:val="zh-CN"/>
                </w:rPr>
                <w:t>5</w:t>
              </w:r>
              <w:r>
                <w:rPr>
                  <w:rFonts w:ascii="Arial Narrow" w:hAnsi="Arial Narrow" w:hint="eastAsia"/>
                  <w:b/>
                  <w:sz w:val="21"/>
                  <w:szCs w:val="18"/>
                  <w:lang w:val="zh-CN"/>
                </w:rPr>
                <w:t>、金融资产和金融负债的抵销</w:t>
              </w:r>
            </w:p>
            <w:p w14:paraId="09598971"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t>当本公司具有抵销已确认金额的金融资产和金融负债的法定权利，且该种法定权利是当前可执行的，同时本公司计划以净额结算或同时变现该金融资产和清偿该金融负债时，金融资产和金融负债以相互抵销后的净额在资产负债表内列示。除此以外，金融资产和金融负债在资产负债表内分别列示，不予相互抵销。</w:t>
              </w:r>
            </w:p>
            <w:p w14:paraId="4AFA5D56" w14:textId="77777777" w:rsidR="002D0AE7" w:rsidRDefault="00333EBB">
              <w:pPr>
                <w:snapToGrid w:val="0"/>
                <w:ind w:firstLineChars="200" w:firstLine="422"/>
                <w:rPr>
                  <w:rFonts w:ascii="Arial Narrow" w:hAnsi="Arial Narrow"/>
                  <w:b/>
                  <w:bCs/>
                  <w:sz w:val="21"/>
                  <w:szCs w:val="18"/>
                  <w:lang w:val="zh-CN"/>
                </w:rPr>
              </w:pPr>
              <w:r>
                <w:rPr>
                  <w:rFonts w:ascii="Arial Narrow" w:hAnsi="Arial Narrow" w:hint="eastAsia"/>
                  <w:b/>
                  <w:sz w:val="21"/>
                  <w:szCs w:val="18"/>
                  <w:lang w:val="zh-CN"/>
                </w:rPr>
                <w:t>6</w:t>
              </w:r>
              <w:r>
                <w:rPr>
                  <w:rFonts w:ascii="Arial Narrow" w:hAnsi="Arial Narrow" w:hint="eastAsia"/>
                  <w:b/>
                  <w:sz w:val="21"/>
                  <w:szCs w:val="18"/>
                  <w:lang w:val="zh-CN"/>
                </w:rPr>
                <w:t>、金融资产和金融负债的公允价值确定方法</w:t>
              </w:r>
            </w:p>
            <w:p w14:paraId="01DB894F"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t>公允价值，是指市场参与者在计量日发生的有序交易中，出售一项资产所能收到或者转移一项负债所需支付的价格。金融工具存在活跃市场的，本公司采用活跃市场中的报价确定其公允价值。金融工具不存在活跃市场的，本公司采用估值技术确定其公允价值。在估值时，公司采用在当前情况下适用并且有足够可利用数据和其他信息支持的估值技术，选择与市场参与者在相关资产或负债的交易中所考虑的资产或负债特征相一致的输入值，并尽可能优先使用相关可观察输入值。在相关可观察输入值无法取得或取得不切实可行的情况下，使用不可输入值。</w:t>
              </w:r>
            </w:p>
            <w:p w14:paraId="5E2F3FBD" w14:textId="77777777" w:rsidR="002D0AE7" w:rsidRDefault="00333EBB">
              <w:pPr>
                <w:snapToGrid w:val="0"/>
                <w:ind w:firstLineChars="200" w:firstLine="422"/>
                <w:rPr>
                  <w:rFonts w:ascii="Arial Narrow" w:hAnsi="Arial Narrow"/>
                  <w:b/>
                  <w:bCs/>
                  <w:sz w:val="21"/>
                  <w:szCs w:val="18"/>
                  <w:lang w:val="zh-CN"/>
                </w:rPr>
              </w:pPr>
              <w:r>
                <w:rPr>
                  <w:rFonts w:ascii="Arial Narrow" w:hAnsi="Arial Narrow" w:hint="eastAsia"/>
                  <w:b/>
                  <w:sz w:val="21"/>
                  <w:szCs w:val="18"/>
                  <w:lang w:val="zh-CN"/>
                </w:rPr>
                <w:t>7</w:t>
              </w:r>
              <w:r>
                <w:rPr>
                  <w:rFonts w:ascii="Arial Narrow" w:hAnsi="Arial Narrow" w:hint="eastAsia"/>
                  <w:b/>
                  <w:sz w:val="21"/>
                  <w:szCs w:val="18"/>
                  <w:lang w:val="zh-CN"/>
                </w:rPr>
                <w:t>、权益工具</w:t>
              </w:r>
            </w:p>
            <w:p w14:paraId="55AD1DA9"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t>权益工具是指能证明拥有本公司在扣除所有负债后的资产中的剩余权益的合同。本公司将非交易性权益工具投资指定为以公允价值计量且其变动计入其他综合收益的金融资产，列示为其他权益工具投资。该类金融资产的相关股利收入计入当期损益。</w:t>
              </w:r>
            </w:p>
            <w:p w14:paraId="6D57D1BB" w14:textId="77777777" w:rsidR="002D0AE7" w:rsidRDefault="00333EBB">
              <w:pPr>
                <w:snapToGrid w:val="0"/>
                <w:ind w:firstLineChars="200" w:firstLine="422"/>
                <w:rPr>
                  <w:rFonts w:ascii="Arial Narrow" w:hAnsi="Arial Narrow"/>
                  <w:b/>
                  <w:bCs/>
                  <w:sz w:val="21"/>
                  <w:szCs w:val="18"/>
                </w:rPr>
              </w:pPr>
              <w:r>
                <w:rPr>
                  <w:rFonts w:ascii="Arial Narrow" w:hAnsi="Arial Narrow" w:hint="eastAsia"/>
                  <w:b/>
                  <w:sz w:val="21"/>
                  <w:szCs w:val="18"/>
                </w:rPr>
                <w:t>8</w:t>
              </w:r>
              <w:r>
                <w:rPr>
                  <w:rFonts w:ascii="Arial Narrow" w:hAnsi="Arial Narrow" w:hint="eastAsia"/>
                  <w:b/>
                  <w:sz w:val="21"/>
                  <w:szCs w:val="18"/>
                </w:rPr>
                <w:t>、减值</w:t>
              </w:r>
            </w:p>
            <w:p w14:paraId="5D15DE01" w14:textId="77777777" w:rsidR="002D0AE7" w:rsidRDefault="00333EBB">
              <w:pPr>
                <w:snapToGrid w:val="0"/>
                <w:ind w:firstLineChars="200" w:firstLine="420"/>
                <w:rPr>
                  <w:rFonts w:ascii="Arial Narrow" w:hAnsi="Arial Narrow"/>
                  <w:sz w:val="21"/>
                  <w:szCs w:val="18"/>
                </w:rPr>
              </w:pPr>
              <w:r>
                <w:rPr>
                  <w:rFonts w:ascii="Arial Narrow" w:hAnsi="Arial Narrow" w:hint="eastAsia"/>
                  <w:sz w:val="21"/>
                  <w:szCs w:val="18"/>
                </w:rPr>
                <w:t>本公司对于以摊余成本计量的金融资产、以公允价值计量且其变动计入其他综合收益的债务工具投资、财务担保合同等，以预期信用损失为基础确认损失准备。</w:t>
              </w:r>
            </w:p>
            <w:p w14:paraId="2AF2BBEF" w14:textId="77777777" w:rsidR="002D0AE7" w:rsidRDefault="00333EBB">
              <w:pPr>
                <w:snapToGrid w:val="0"/>
                <w:ind w:firstLineChars="200" w:firstLine="420"/>
                <w:rPr>
                  <w:rFonts w:ascii="Arial Narrow" w:hAnsi="Arial Narrow"/>
                  <w:sz w:val="21"/>
                  <w:szCs w:val="18"/>
                </w:rPr>
              </w:pPr>
              <w:r>
                <w:rPr>
                  <w:rFonts w:ascii="Arial Narrow" w:hAnsi="Arial Narrow" w:hint="eastAsia"/>
                  <w:sz w:val="21"/>
                  <w:szCs w:val="18"/>
                </w:rPr>
                <w:t>本公司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3D20850F" w14:textId="77777777" w:rsidR="002D0AE7" w:rsidRDefault="00333EBB">
              <w:pPr>
                <w:snapToGrid w:val="0"/>
                <w:ind w:firstLineChars="200" w:firstLine="420"/>
                <w:rPr>
                  <w:rFonts w:ascii="Arial Narrow" w:hAnsi="Arial Narrow"/>
                  <w:sz w:val="21"/>
                  <w:szCs w:val="18"/>
                </w:rPr>
              </w:pPr>
              <w:r>
                <w:rPr>
                  <w:rFonts w:ascii="Arial Narrow" w:hAnsi="Arial Narrow" w:hint="eastAsia"/>
                  <w:sz w:val="21"/>
                  <w:szCs w:val="18"/>
                </w:rPr>
                <w:t>于每个资产负债表日，本公司对于处于不同阶段的金融工具的预期信用损失分别进行计量。金融工具自初始确认后信用风险未显著增加的，处于第一阶段，本公司按照未来</w:t>
              </w:r>
              <w:r>
                <w:rPr>
                  <w:rFonts w:ascii="Arial Narrow" w:hAnsi="Arial Narrow" w:hint="eastAsia"/>
                  <w:sz w:val="21"/>
                  <w:szCs w:val="18"/>
                </w:rPr>
                <w:t>12</w:t>
              </w:r>
              <w:r>
                <w:rPr>
                  <w:rFonts w:ascii="Arial Narrow" w:hAnsi="Arial Narrow" w:hint="eastAsia"/>
                  <w:sz w:val="21"/>
                  <w:szCs w:val="18"/>
                </w:rPr>
                <w:t>个月内的预期信用损失计量损失准备；金融工具自初始确认后信用风险已显著增加但尚未发生信用减值的，处于第二阶段，本公司按照该工具整个存续期的预期信用损失计量损失准备；金融工具自初始确认后已经发生信用减值的，处于第三阶段，本公司按照该工具整个存续期的预期信用损失计量损失准备。</w:t>
              </w:r>
            </w:p>
            <w:p w14:paraId="239D63FF" w14:textId="77777777" w:rsidR="002D0AE7" w:rsidRDefault="00333EBB">
              <w:pPr>
                <w:snapToGrid w:val="0"/>
                <w:ind w:firstLineChars="200" w:firstLine="420"/>
                <w:rPr>
                  <w:rFonts w:ascii="Arial Narrow" w:hAnsi="Arial Narrow"/>
                  <w:sz w:val="21"/>
                  <w:szCs w:val="18"/>
                </w:rPr>
              </w:pPr>
              <w:r>
                <w:rPr>
                  <w:rFonts w:ascii="Arial Narrow" w:hAnsi="Arial Narrow" w:hint="eastAsia"/>
                  <w:sz w:val="21"/>
                  <w:szCs w:val="18"/>
                </w:rPr>
                <w:t>对于在资产负债表日具有较低信用风险的金融工具，本公司假设其信用风险自初始确认后并未显著增加，按照未来</w:t>
              </w:r>
              <w:r>
                <w:rPr>
                  <w:rFonts w:ascii="Arial Narrow" w:hAnsi="Arial Narrow" w:hint="eastAsia"/>
                  <w:sz w:val="21"/>
                  <w:szCs w:val="18"/>
                </w:rPr>
                <w:t>12</w:t>
              </w:r>
              <w:r>
                <w:rPr>
                  <w:rFonts w:ascii="Arial Narrow" w:hAnsi="Arial Narrow" w:hint="eastAsia"/>
                  <w:sz w:val="21"/>
                  <w:szCs w:val="18"/>
                </w:rPr>
                <w:t>个月内的预期信用损失计量损失准备。</w:t>
              </w:r>
            </w:p>
            <w:p w14:paraId="6811F56A" w14:textId="77777777" w:rsidR="002D0AE7" w:rsidRDefault="00333EBB">
              <w:pPr>
                <w:snapToGrid w:val="0"/>
                <w:ind w:firstLineChars="200" w:firstLine="420"/>
                <w:rPr>
                  <w:rFonts w:hint="eastAsia"/>
                </w:rPr>
              </w:pPr>
              <w:r>
                <w:rPr>
                  <w:rFonts w:ascii="Arial Narrow" w:hAnsi="Arial Narrow" w:hint="eastAsia"/>
                  <w:sz w:val="21"/>
                  <w:szCs w:val="18"/>
                </w:rPr>
                <w:t>本公司对于处于第一阶段和第二阶段、以及较低信用风险的金融工具，按照其未扣除减值准备的账面余额和实际利率计算利息收入。对于处于第三阶段的金融工具，按照其账面余额减已计提减值准备后的摊余成本和实际利率计算利息收入。</w:t>
              </w:r>
            </w:p>
          </w:sdtContent>
        </w:sdt>
      </w:sdtContent>
    </w:sdt>
    <w:p w14:paraId="1400E42A" w14:textId="77777777" w:rsidR="002D0AE7" w:rsidRDefault="00333EBB">
      <w:pPr>
        <w:pStyle w:val="3"/>
        <w:numPr>
          <w:ilvl w:val="0"/>
          <w:numId w:val="37"/>
        </w:numPr>
        <w:rPr>
          <w:rFonts w:ascii="宋体" w:hAnsi="宋体" w:cs="宋体" w:hint="eastAsia"/>
          <w:color w:val="000000" w:themeColor="text1"/>
          <w:kern w:val="0"/>
          <w:szCs w:val="21"/>
        </w:rPr>
      </w:pPr>
      <w:bookmarkStart w:id="127" w:name="_Hlk533667757"/>
      <w:bookmarkStart w:id="128" w:name="_Hlk167809825"/>
      <w:r>
        <w:rPr>
          <w:rFonts w:ascii="宋体" w:hAnsi="宋体" w:cs="宋体" w:hint="eastAsia"/>
          <w:color w:val="000000" w:themeColor="text1"/>
          <w:kern w:val="0"/>
          <w:szCs w:val="21"/>
        </w:rPr>
        <w:lastRenderedPageBreak/>
        <w:t>应收票据</w:t>
      </w:r>
    </w:p>
    <w:sdt>
      <w:sdtPr>
        <w:rPr>
          <w:color w:val="000000" w:themeColor="text1"/>
        </w:rPr>
        <w:alias w:val="是否适用：应收票据_重要会计政策和估计[双击切换]"/>
        <w:tag w:val="_GBC_aefda35d1a7148f0844e33d721703cda"/>
        <w:id w:val="1272045353"/>
        <w:placeholder>
          <w:docPart w:val="GBC22222222222222222222222222222"/>
        </w:placeholder>
      </w:sdtPr>
      <w:sdtEndPr/>
      <w:sdtContent>
        <w:p w14:paraId="013DCE04"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bookmarkEnd w:id="127"/>
    <w:p w14:paraId="3B15301E" w14:textId="77777777" w:rsidR="002D0AE7" w:rsidRDefault="00333EBB">
      <w:pPr>
        <w:rPr>
          <w:rFonts w:cs="Times New Roman" w:hint="eastAsia"/>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应收票据按照信用风险特征组合计提坏账准备的组合类别及确定依据[双击切换]"/>
        <w:tag w:val="_GBC_6949617b516947f48c32672b1d486a5b"/>
        <w:id w:val="-1791820473"/>
        <w:placeholder>
          <w:docPart w:val="GBC22222222222222222222222222222"/>
        </w:placeholder>
      </w:sdtPr>
      <w:sdtEndPr/>
      <w:sdtContent>
        <w:p w14:paraId="36E3BF60"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sdt>
            <w:sdtPr>
              <w:rPr>
                <w:color w:val="000000" w:themeColor="text1"/>
              </w:rPr>
              <w:alias w:val="应收票据按照信用风险特征组合计提坏账准备的组合类别及确定依据"/>
              <w:tag w:val="_GBC_1062e1c58d3c4ef4bca492c1e513cad2"/>
              <w:id w:val="-294365449"/>
              <w:placeholder>
                <w:docPart w:val="E866DC5378D245D9830401B9B7D39E50"/>
              </w:placeholder>
            </w:sdtPr>
            <w:sdtEndPr/>
            <w:sdtContent>
              <w:r>
                <w:rPr>
                  <w:rFonts w:ascii="Arial Narrow" w:hAnsi="Arial Narrow" w:hint="eastAsia"/>
                  <w:sz w:val="21"/>
                  <w:szCs w:val="18"/>
                  <w:lang w:val="zh-CN"/>
                </w:rPr>
                <w:t>本公司认为所持有的银行承兑汇票的承兑银行信用评级较低，但信用风险自初始确认后未显著增加，不存在重大的信用风险，也未计提损失准备。本公司持有的商业承兑汇票的预期信用损失的确定方法及会计处理方法与应收账款的预期信用损失的确定方法及会计处理方法一致。</w:t>
              </w:r>
            </w:sdtContent>
          </w:sdt>
        </w:p>
      </w:sdtContent>
    </w:sdt>
    <w:p w14:paraId="5A3187F6" w14:textId="77777777" w:rsidR="002D0AE7" w:rsidRDefault="00333EBB">
      <w:pPr>
        <w:pStyle w:val="3"/>
        <w:numPr>
          <w:ilvl w:val="0"/>
          <w:numId w:val="37"/>
        </w:numPr>
        <w:rPr>
          <w:rFonts w:ascii="宋体" w:hAnsi="宋体" w:cs="宋体" w:hint="eastAsia"/>
          <w:color w:val="000000" w:themeColor="text1"/>
          <w:kern w:val="0"/>
          <w:szCs w:val="21"/>
        </w:rPr>
      </w:pPr>
      <w:bookmarkStart w:id="129" w:name="_Hlk152690378"/>
      <w:bookmarkStart w:id="130" w:name="_Hlk533667783"/>
      <w:r>
        <w:rPr>
          <w:rFonts w:ascii="宋体" w:hAnsi="宋体" w:cs="宋体" w:hint="eastAsia"/>
          <w:color w:val="000000" w:themeColor="text1"/>
          <w:kern w:val="0"/>
          <w:szCs w:val="21"/>
        </w:rPr>
        <w:t>应收账款</w:t>
      </w:r>
    </w:p>
    <w:sdt>
      <w:sdtPr>
        <w:rPr>
          <w:rFonts w:hint="eastAsia"/>
          <w:color w:val="000000" w:themeColor="text1"/>
        </w:rPr>
        <w:alias w:val="是否适用：应收账款_重要会计政策和估计[双击切换]"/>
        <w:tag w:val="_GBC_9bb0ad4fd90e4860a048c5c1b42cdc17"/>
        <w:id w:val="1407035596"/>
        <w:placeholder>
          <w:docPart w:val="GBC22222222222222222222222222222"/>
        </w:placeholder>
      </w:sdtPr>
      <w:sdtEndPr/>
      <w:sdtContent>
        <w:p w14:paraId="3939CA26"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bookmarkEnd w:id="129"/>
    <w:bookmarkEnd w:id="130"/>
    <w:p w14:paraId="790CEF37" w14:textId="77777777" w:rsidR="002D0AE7" w:rsidRDefault="00333EBB">
      <w:pPr>
        <w:rPr>
          <w:rFonts w:cs="Times New Roman" w:hint="eastAsia"/>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应收账款按照信用风险特征组合计提坏账准备的组合类别及确定依据[双击切换]"/>
        <w:tag w:val="_GBC_e449a3926afc4ff1a9407716d384d444"/>
        <w:id w:val="221185327"/>
        <w:placeholder>
          <w:docPart w:val="GBC22222222222222222222222222222"/>
        </w:placeholder>
      </w:sdtPr>
      <w:sdtEndPr/>
      <w:sdtContent>
        <w:p w14:paraId="004201E7"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应收账款按照信用风险特征组合计提坏账准备的组合类别及确定依据"/>
        <w:tag w:val="_GBC_16b22a4b7b8c483dac42f07fc6ac4bc2"/>
        <w:id w:val="575012858"/>
        <w:placeholder>
          <w:docPart w:val="GBC22222222222222222222222222222"/>
        </w:placeholder>
      </w:sdtPr>
      <w:sdtEndPr>
        <w:rPr>
          <w:sz w:val="21"/>
        </w:rPr>
      </w:sdtEndPr>
      <w:sdtContent>
        <w:p w14:paraId="7F4FA433" w14:textId="77777777" w:rsidR="002D0AE7" w:rsidRDefault="00333EBB">
          <w:pPr>
            <w:snapToGrid w:val="0"/>
            <w:ind w:firstLineChars="200" w:firstLine="480"/>
            <w:rPr>
              <w:rFonts w:ascii="Arial Narrow" w:hAnsi="Arial Narrow"/>
              <w:sz w:val="21"/>
              <w:szCs w:val="18"/>
            </w:rPr>
          </w:pPr>
          <w:r>
            <w:rPr>
              <w:rFonts w:ascii="Arial Narrow" w:hAnsi="Arial Narrow" w:hint="eastAsia"/>
              <w:sz w:val="21"/>
              <w:szCs w:val="18"/>
            </w:rPr>
            <w:t>本公司对由收入准则规范的交易形成且未包含重大融资成分或不考虑不超过一年的合同中的融资成分的应收账款按照相当于整个存续期内预期信用损失的金额计量损失准备。</w:t>
          </w:r>
        </w:p>
        <w:p w14:paraId="2D5B3BF4" w14:textId="77777777" w:rsidR="002D0AE7" w:rsidRDefault="00333EBB">
          <w:pPr>
            <w:snapToGrid w:val="0"/>
            <w:ind w:firstLineChars="200" w:firstLine="420"/>
            <w:rPr>
              <w:rFonts w:ascii="Arial Narrow" w:hAnsi="Arial Narrow"/>
              <w:sz w:val="21"/>
              <w:szCs w:val="18"/>
            </w:rPr>
          </w:pPr>
          <w:r>
            <w:rPr>
              <w:rFonts w:ascii="Arial Narrow" w:hAnsi="Arial Narrow" w:hint="eastAsia"/>
              <w:sz w:val="21"/>
              <w:szCs w:val="18"/>
            </w:rPr>
            <w:t>（</w:t>
          </w:r>
          <w:r>
            <w:rPr>
              <w:rFonts w:ascii="Arial Narrow" w:hAnsi="Arial Narrow" w:hint="eastAsia"/>
              <w:sz w:val="21"/>
              <w:szCs w:val="18"/>
            </w:rPr>
            <w:t>1</w:t>
          </w:r>
          <w:r>
            <w:rPr>
              <w:rFonts w:ascii="Arial Narrow" w:hAnsi="Arial Narrow" w:hint="eastAsia"/>
              <w:sz w:val="21"/>
              <w:szCs w:val="18"/>
            </w:rPr>
            <w:t>）对于有客观证据表明其已发生信用减值的，本公司将该应收账款作为已发生信用减值的应收款项并按照单项工具整个存续期的预期信用损失计量损失准备。</w:t>
          </w:r>
        </w:p>
        <w:p w14:paraId="2017D86F" w14:textId="77777777" w:rsidR="002D0AE7" w:rsidRDefault="00333EBB">
          <w:pPr>
            <w:snapToGrid w:val="0"/>
            <w:ind w:firstLineChars="200" w:firstLine="420"/>
            <w:rPr>
              <w:rFonts w:ascii="Arial Narrow" w:hAnsi="Arial Narrow"/>
              <w:sz w:val="21"/>
              <w:szCs w:val="18"/>
            </w:rPr>
          </w:pPr>
          <w:r>
            <w:rPr>
              <w:rFonts w:ascii="Arial Narrow" w:hAnsi="Arial Narrow" w:hint="eastAsia"/>
              <w:sz w:val="21"/>
              <w:szCs w:val="18"/>
            </w:rPr>
            <w:t>（</w:t>
          </w:r>
          <w:r>
            <w:rPr>
              <w:rFonts w:ascii="Arial Narrow" w:hAnsi="Arial Narrow" w:hint="eastAsia"/>
              <w:sz w:val="21"/>
              <w:szCs w:val="18"/>
            </w:rPr>
            <w:t>2</w:t>
          </w:r>
          <w:r>
            <w:rPr>
              <w:rFonts w:ascii="Arial Narrow" w:hAnsi="Arial Narrow" w:hint="eastAsia"/>
              <w:sz w:val="21"/>
              <w:szCs w:val="18"/>
            </w:rPr>
            <w:t>）按信用风险特征组合计提坏账准备的应收款项：</w:t>
          </w:r>
        </w:p>
        <w:p w14:paraId="4DD6D72A" w14:textId="77777777" w:rsidR="002D0AE7" w:rsidRDefault="00333EBB">
          <w:pPr>
            <w:snapToGrid w:val="0"/>
            <w:ind w:firstLineChars="200" w:firstLine="420"/>
            <w:rPr>
              <w:rFonts w:ascii="Arial Narrow" w:hAnsi="Arial Narrow"/>
              <w:sz w:val="21"/>
              <w:szCs w:val="18"/>
            </w:rPr>
          </w:pPr>
          <w:r>
            <w:rPr>
              <w:rFonts w:ascii="Arial Narrow" w:hAnsi="Arial Narrow" w:hint="eastAsia"/>
              <w:sz w:val="21"/>
              <w:szCs w:val="18"/>
            </w:rPr>
            <w:t>①账龄组合。本公司以应收账款账龄为基础，结合当前状况以及对未来经济状况的预测来评估各类应收账款的预期信用损失。</w:t>
          </w:r>
        </w:p>
        <w:p w14:paraId="460952FB" w14:textId="77777777" w:rsidR="002D0AE7" w:rsidRDefault="00333EBB">
          <w:pPr>
            <w:snapToGrid w:val="0"/>
            <w:ind w:firstLineChars="200" w:firstLine="420"/>
            <w:rPr>
              <w:rFonts w:ascii="Arial Narrow" w:hAnsi="Arial Narrow"/>
              <w:sz w:val="21"/>
              <w:szCs w:val="18"/>
            </w:rPr>
          </w:pPr>
          <w:r>
            <w:rPr>
              <w:rFonts w:ascii="Arial Narrow" w:hAnsi="Arial Narrow" w:hint="eastAsia"/>
              <w:sz w:val="21"/>
              <w:szCs w:val="18"/>
            </w:rPr>
            <w:t>应收账款的信用风险与预期信用损失率如下：</w:t>
          </w:r>
        </w:p>
        <w:tbl>
          <w:tblPr>
            <w:tblW w:w="0" w:type="auto"/>
            <w:jc w:val="center"/>
            <w:tblBorders>
              <w:top w:val="double" w:sz="4" w:space="0" w:color="auto"/>
              <w:bottom w:val="double"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21"/>
            <w:gridCol w:w="4673"/>
          </w:tblGrid>
          <w:tr w:rsidR="002D0AE7" w14:paraId="2E28F743" w14:textId="77777777">
            <w:trPr>
              <w:trHeight w:val="284"/>
              <w:tblHeader/>
              <w:jc w:val="center"/>
            </w:trPr>
            <w:tc>
              <w:tcPr>
                <w:tcW w:w="3621" w:type="dxa"/>
                <w:noWrap/>
                <w:tcMar>
                  <w:top w:w="12" w:type="dxa"/>
                  <w:left w:w="12" w:type="dxa"/>
                  <w:right w:w="12" w:type="dxa"/>
                </w:tcMar>
                <w:vAlign w:val="center"/>
              </w:tcPr>
              <w:p w14:paraId="6EC13029" w14:textId="77777777" w:rsidR="002D0AE7" w:rsidRDefault="00333EBB">
                <w:pPr>
                  <w:ind w:firstLine="200"/>
                  <w:jc w:val="center"/>
                  <w:textAlignment w:val="center"/>
                  <w:rPr>
                    <w:rFonts w:ascii="Arial Narrow" w:hAnsi="Arial Narrow"/>
                    <w:sz w:val="21"/>
                    <w:szCs w:val="18"/>
                  </w:rPr>
                </w:pPr>
                <w:r>
                  <w:rPr>
                    <w:rFonts w:ascii="Arial Narrow" w:hAnsi="Arial Narrow" w:hint="eastAsia"/>
                    <w:sz w:val="21"/>
                    <w:szCs w:val="18"/>
                  </w:rPr>
                  <w:t>账龄</w:t>
                </w:r>
              </w:p>
            </w:tc>
            <w:tc>
              <w:tcPr>
                <w:tcW w:w="4673" w:type="dxa"/>
                <w:noWrap/>
                <w:tcMar>
                  <w:top w:w="12" w:type="dxa"/>
                  <w:left w:w="12" w:type="dxa"/>
                  <w:right w:w="12" w:type="dxa"/>
                </w:tcMar>
                <w:vAlign w:val="center"/>
              </w:tcPr>
              <w:p w14:paraId="046191F4" w14:textId="77777777" w:rsidR="002D0AE7" w:rsidRDefault="00333EBB">
                <w:pPr>
                  <w:ind w:firstLine="200"/>
                  <w:jc w:val="center"/>
                  <w:textAlignment w:val="center"/>
                  <w:rPr>
                    <w:rFonts w:ascii="Arial Narrow" w:hAnsi="Arial Narrow"/>
                    <w:sz w:val="21"/>
                    <w:szCs w:val="18"/>
                  </w:rPr>
                </w:pPr>
                <w:r>
                  <w:rPr>
                    <w:rFonts w:ascii="Arial Narrow" w:hAnsi="Arial Narrow" w:hint="eastAsia"/>
                    <w:sz w:val="21"/>
                    <w:szCs w:val="18"/>
                  </w:rPr>
                  <w:t>应收账款预期信用损失率（</w:t>
                </w:r>
                <w:r>
                  <w:rPr>
                    <w:rFonts w:ascii="Arial Narrow" w:hAnsi="Arial Narrow" w:hint="eastAsia"/>
                    <w:sz w:val="21"/>
                    <w:szCs w:val="18"/>
                  </w:rPr>
                  <w:t>%</w:t>
                </w:r>
                <w:r>
                  <w:rPr>
                    <w:rFonts w:ascii="Arial Narrow" w:hAnsi="Arial Narrow" w:hint="eastAsia"/>
                    <w:sz w:val="21"/>
                    <w:szCs w:val="18"/>
                  </w:rPr>
                  <w:t>）</w:t>
                </w:r>
              </w:p>
            </w:tc>
          </w:tr>
          <w:tr w:rsidR="002D0AE7" w14:paraId="6B8511E3" w14:textId="77777777">
            <w:trPr>
              <w:trHeight w:val="284"/>
              <w:tblHeader/>
              <w:jc w:val="center"/>
            </w:trPr>
            <w:tc>
              <w:tcPr>
                <w:tcW w:w="3621" w:type="dxa"/>
                <w:noWrap/>
                <w:tcMar>
                  <w:top w:w="12" w:type="dxa"/>
                  <w:left w:w="12" w:type="dxa"/>
                  <w:right w:w="12" w:type="dxa"/>
                </w:tcMar>
                <w:vAlign w:val="center"/>
              </w:tcPr>
              <w:p w14:paraId="74A292F6" w14:textId="77777777" w:rsidR="002D0AE7" w:rsidRDefault="00333EBB">
                <w:pPr>
                  <w:ind w:firstLine="200"/>
                  <w:jc w:val="center"/>
                  <w:textAlignment w:val="center"/>
                  <w:rPr>
                    <w:rFonts w:ascii="Arial Narrow" w:hAnsi="Arial Narrow"/>
                    <w:sz w:val="21"/>
                    <w:szCs w:val="18"/>
                  </w:rPr>
                </w:pPr>
                <w:r>
                  <w:rPr>
                    <w:rFonts w:ascii="Arial Narrow" w:hAnsi="Arial Narrow" w:hint="eastAsia"/>
                    <w:sz w:val="21"/>
                    <w:szCs w:val="18"/>
                  </w:rPr>
                  <w:t>3</w:t>
                </w:r>
                <w:r>
                  <w:rPr>
                    <w:rFonts w:ascii="Arial Narrow" w:hAnsi="Arial Narrow" w:hint="eastAsia"/>
                    <w:sz w:val="21"/>
                    <w:szCs w:val="18"/>
                  </w:rPr>
                  <w:t>个月以内</w:t>
                </w:r>
              </w:p>
            </w:tc>
            <w:tc>
              <w:tcPr>
                <w:tcW w:w="4673" w:type="dxa"/>
                <w:noWrap/>
                <w:tcMar>
                  <w:top w:w="12" w:type="dxa"/>
                  <w:left w:w="12" w:type="dxa"/>
                  <w:right w:w="12" w:type="dxa"/>
                </w:tcMar>
                <w:vAlign w:val="center"/>
              </w:tcPr>
              <w:p w14:paraId="1BECEE77" w14:textId="77777777" w:rsidR="002D0AE7" w:rsidRDefault="00333EBB">
                <w:pPr>
                  <w:ind w:firstLine="200"/>
                  <w:jc w:val="center"/>
                  <w:textAlignment w:val="center"/>
                  <w:rPr>
                    <w:rFonts w:ascii="Arial Narrow" w:hAnsi="Arial Narrow"/>
                    <w:sz w:val="21"/>
                    <w:szCs w:val="18"/>
                  </w:rPr>
                </w:pPr>
                <w:r>
                  <w:rPr>
                    <w:rFonts w:ascii="Arial Narrow" w:hAnsi="Arial Narrow" w:hint="eastAsia"/>
                    <w:sz w:val="21"/>
                    <w:szCs w:val="18"/>
                  </w:rPr>
                  <w:t>0</w:t>
                </w:r>
                <w:r>
                  <w:rPr>
                    <w:rFonts w:ascii="Arial Narrow" w:hAnsi="Arial Narrow"/>
                    <w:sz w:val="21"/>
                    <w:szCs w:val="18"/>
                  </w:rPr>
                  <w:t>.00</w:t>
                </w:r>
              </w:p>
            </w:tc>
          </w:tr>
          <w:tr w:rsidR="002D0AE7" w14:paraId="0E4890DD" w14:textId="77777777">
            <w:trPr>
              <w:trHeight w:val="284"/>
              <w:tblHeader/>
              <w:jc w:val="center"/>
            </w:trPr>
            <w:tc>
              <w:tcPr>
                <w:tcW w:w="3621" w:type="dxa"/>
                <w:noWrap/>
                <w:tcMar>
                  <w:top w:w="12" w:type="dxa"/>
                  <w:left w:w="12" w:type="dxa"/>
                  <w:right w:w="12" w:type="dxa"/>
                </w:tcMar>
                <w:vAlign w:val="center"/>
              </w:tcPr>
              <w:p w14:paraId="6B0C1651" w14:textId="77777777" w:rsidR="002D0AE7" w:rsidRDefault="00333EBB">
                <w:pPr>
                  <w:ind w:firstLine="200"/>
                  <w:jc w:val="center"/>
                  <w:textAlignment w:val="center"/>
                  <w:rPr>
                    <w:rFonts w:ascii="Arial Narrow" w:hAnsi="Arial Narrow"/>
                    <w:sz w:val="21"/>
                    <w:szCs w:val="18"/>
                  </w:rPr>
                </w:pPr>
                <w:r>
                  <w:rPr>
                    <w:rFonts w:ascii="Arial Narrow" w:hAnsi="Arial Narrow"/>
                    <w:sz w:val="21"/>
                  </w:rPr>
                  <w:t>3</w:t>
                </w:r>
                <w:r>
                  <w:rPr>
                    <w:rFonts w:ascii="Arial Narrow" w:hAnsi="Arial Narrow"/>
                    <w:sz w:val="21"/>
                  </w:rPr>
                  <w:t>个月至</w:t>
                </w:r>
                <w:r>
                  <w:rPr>
                    <w:rFonts w:ascii="Arial Narrow" w:hAnsi="Arial Narrow"/>
                    <w:sz w:val="21"/>
                  </w:rPr>
                  <w:t>1</w:t>
                </w:r>
                <w:r>
                  <w:rPr>
                    <w:rFonts w:ascii="Arial Narrow" w:hAnsi="Arial Narrow"/>
                    <w:sz w:val="21"/>
                  </w:rPr>
                  <w:t>年</w:t>
                </w:r>
              </w:p>
            </w:tc>
            <w:tc>
              <w:tcPr>
                <w:tcW w:w="4673" w:type="dxa"/>
                <w:noWrap/>
                <w:tcMar>
                  <w:top w:w="12" w:type="dxa"/>
                  <w:left w:w="12" w:type="dxa"/>
                  <w:right w:w="12" w:type="dxa"/>
                </w:tcMar>
                <w:vAlign w:val="center"/>
              </w:tcPr>
              <w:p w14:paraId="49C10E25" w14:textId="77777777" w:rsidR="002D0AE7" w:rsidRDefault="00333EBB">
                <w:pPr>
                  <w:ind w:firstLine="200"/>
                  <w:jc w:val="center"/>
                  <w:textAlignment w:val="center"/>
                  <w:rPr>
                    <w:rFonts w:ascii="Arial Narrow" w:hAnsi="Arial Narrow"/>
                    <w:sz w:val="21"/>
                    <w:szCs w:val="18"/>
                  </w:rPr>
                </w:pPr>
                <w:r>
                  <w:rPr>
                    <w:rFonts w:ascii="Arial Narrow" w:hAnsi="Arial Narrow"/>
                    <w:sz w:val="21"/>
                  </w:rPr>
                  <w:t>0.50</w:t>
                </w:r>
              </w:p>
            </w:tc>
          </w:tr>
          <w:tr w:rsidR="002D0AE7" w14:paraId="701A1E67" w14:textId="77777777">
            <w:trPr>
              <w:trHeight w:val="284"/>
              <w:tblHeader/>
              <w:jc w:val="center"/>
            </w:trPr>
            <w:tc>
              <w:tcPr>
                <w:tcW w:w="3621" w:type="dxa"/>
                <w:noWrap/>
                <w:tcMar>
                  <w:top w:w="12" w:type="dxa"/>
                  <w:left w:w="12" w:type="dxa"/>
                  <w:right w:w="12" w:type="dxa"/>
                </w:tcMar>
                <w:vAlign w:val="center"/>
              </w:tcPr>
              <w:p w14:paraId="10EA2596" w14:textId="77777777" w:rsidR="002D0AE7" w:rsidRDefault="00333EBB">
                <w:pPr>
                  <w:ind w:firstLine="200"/>
                  <w:jc w:val="center"/>
                  <w:textAlignment w:val="center"/>
                  <w:rPr>
                    <w:rFonts w:ascii="Arial Narrow" w:hAnsi="Arial Narrow"/>
                    <w:sz w:val="21"/>
                    <w:szCs w:val="18"/>
                  </w:rPr>
                </w:pPr>
                <w:r>
                  <w:rPr>
                    <w:rFonts w:ascii="Arial Narrow" w:hAnsi="Arial Narrow"/>
                    <w:sz w:val="21"/>
                  </w:rPr>
                  <w:t>1</w:t>
                </w:r>
                <w:r>
                  <w:rPr>
                    <w:rFonts w:ascii="Arial Narrow" w:hAnsi="Arial Narrow"/>
                    <w:sz w:val="21"/>
                  </w:rPr>
                  <w:t>年至</w:t>
                </w:r>
                <w:r>
                  <w:rPr>
                    <w:rFonts w:ascii="Arial Narrow" w:hAnsi="Arial Narrow"/>
                    <w:sz w:val="21"/>
                  </w:rPr>
                  <w:t>2</w:t>
                </w:r>
                <w:r>
                  <w:rPr>
                    <w:rFonts w:ascii="Arial Narrow" w:hAnsi="Arial Narrow"/>
                    <w:sz w:val="21"/>
                  </w:rPr>
                  <w:t>年</w:t>
                </w:r>
              </w:p>
            </w:tc>
            <w:tc>
              <w:tcPr>
                <w:tcW w:w="4673" w:type="dxa"/>
                <w:noWrap/>
                <w:tcMar>
                  <w:top w:w="12" w:type="dxa"/>
                  <w:left w:w="12" w:type="dxa"/>
                  <w:right w:w="12" w:type="dxa"/>
                </w:tcMar>
                <w:vAlign w:val="center"/>
              </w:tcPr>
              <w:p w14:paraId="01B0A0EC" w14:textId="77777777" w:rsidR="002D0AE7" w:rsidRDefault="00333EBB">
                <w:pPr>
                  <w:ind w:firstLine="200"/>
                  <w:jc w:val="center"/>
                  <w:textAlignment w:val="center"/>
                  <w:rPr>
                    <w:rFonts w:ascii="Arial Narrow" w:hAnsi="Arial Narrow"/>
                    <w:sz w:val="21"/>
                    <w:szCs w:val="18"/>
                  </w:rPr>
                </w:pPr>
                <w:r>
                  <w:rPr>
                    <w:rFonts w:ascii="Arial Narrow" w:hAnsi="Arial Narrow"/>
                    <w:sz w:val="21"/>
                  </w:rPr>
                  <w:t>20</w:t>
                </w:r>
              </w:p>
            </w:tc>
          </w:tr>
          <w:tr w:rsidR="002D0AE7" w14:paraId="5C44370E" w14:textId="77777777">
            <w:trPr>
              <w:trHeight w:val="284"/>
              <w:tblHeader/>
              <w:jc w:val="center"/>
            </w:trPr>
            <w:tc>
              <w:tcPr>
                <w:tcW w:w="3621" w:type="dxa"/>
                <w:noWrap/>
                <w:tcMar>
                  <w:top w:w="12" w:type="dxa"/>
                  <w:left w:w="12" w:type="dxa"/>
                  <w:right w:w="12" w:type="dxa"/>
                </w:tcMar>
                <w:vAlign w:val="center"/>
              </w:tcPr>
              <w:p w14:paraId="350D36C1" w14:textId="77777777" w:rsidR="002D0AE7" w:rsidRDefault="00333EBB">
                <w:pPr>
                  <w:ind w:firstLine="200"/>
                  <w:jc w:val="center"/>
                  <w:textAlignment w:val="center"/>
                  <w:rPr>
                    <w:rFonts w:ascii="Arial Narrow" w:hAnsi="Arial Narrow"/>
                    <w:sz w:val="21"/>
                    <w:szCs w:val="18"/>
                  </w:rPr>
                </w:pPr>
                <w:r>
                  <w:rPr>
                    <w:rFonts w:ascii="Arial Narrow" w:hAnsi="Arial Narrow"/>
                    <w:sz w:val="21"/>
                  </w:rPr>
                  <w:t>2</w:t>
                </w:r>
                <w:r>
                  <w:rPr>
                    <w:rFonts w:ascii="Arial Narrow" w:hAnsi="Arial Narrow"/>
                    <w:sz w:val="21"/>
                  </w:rPr>
                  <w:t>年至</w:t>
                </w:r>
                <w:r>
                  <w:rPr>
                    <w:rFonts w:ascii="Arial Narrow" w:hAnsi="Arial Narrow"/>
                    <w:sz w:val="21"/>
                  </w:rPr>
                  <w:t>3</w:t>
                </w:r>
                <w:r>
                  <w:rPr>
                    <w:rFonts w:ascii="Arial Narrow" w:hAnsi="Arial Narrow"/>
                    <w:sz w:val="21"/>
                  </w:rPr>
                  <w:t>年</w:t>
                </w:r>
              </w:p>
            </w:tc>
            <w:tc>
              <w:tcPr>
                <w:tcW w:w="4673" w:type="dxa"/>
                <w:noWrap/>
                <w:tcMar>
                  <w:top w:w="12" w:type="dxa"/>
                  <w:left w:w="12" w:type="dxa"/>
                  <w:right w:w="12" w:type="dxa"/>
                </w:tcMar>
                <w:vAlign w:val="center"/>
              </w:tcPr>
              <w:p w14:paraId="56FA52B8" w14:textId="77777777" w:rsidR="002D0AE7" w:rsidRDefault="00333EBB">
                <w:pPr>
                  <w:ind w:firstLine="200"/>
                  <w:jc w:val="center"/>
                  <w:textAlignment w:val="center"/>
                  <w:rPr>
                    <w:rFonts w:ascii="Arial Narrow" w:hAnsi="Arial Narrow"/>
                    <w:sz w:val="21"/>
                    <w:szCs w:val="18"/>
                  </w:rPr>
                </w:pPr>
                <w:r>
                  <w:rPr>
                    <w:rFonts w:ascii="Arial Narrow" w:hAnsi="Arial Narrow"/>
                    <w:sz w:val="21"/>
                  </w:rPr>
                  <w:t>50</w:t>
                </w:r>
              </w:p>
            </w:tc>
          </w:tr>
          <w:tr w:rsidR="002D0AE7" w14:paraId="44F59608" w14:textId="77777777">
            <w:trPr>
              <w:trHeight w:val="284"/>
              <w:tblHeader/>
              <w:jc w:val="center"/>
            </w:trPr>
            <w:tc>
              <w:tcPr>
                <w:tcW w:w="3621" w:type="dxa"/>
                <w:noWrap/>
                <w:tcMar>
                  <w:top w:w="12" w:type="dxa"/>
                  <w:left w:w="12" w:type="dxa"/>
                  <w:right w:w="12" w:type="dxa"/>
                </w:tcMar>
                <w:vAlign w:val="center"/>
              </w:tcPr>
              <w:p w14:paraId="4001089A" w14:textId="77777777" w:rsidR="002D0AE7" w:rsidRDefault="00333EBB">
                <w:pPr>
                  <w:ind w:firstLine="200"/>
                  <w:jc w:val="center"/>
                  <w:textAlignment w:val="center"/>
                  <w:rPr>
                    <w:rFonts w:ascii="Arial Narrow" w:hAnsi="Arial Narrow"/>
                    <w:sz w:val="21"/>
                    <w:szCs w:val="18"/>
                  </w:rPr>
                </w:pPr>
                <w:r>
                  <w:rPr>
                    <w:rFonts w:ascii="Arial Narrow" w:hAnsi="Arial Narrow"/>
                    <w:sz w:val="21"/>
                  </w:rPr>
                  <w:t>3</w:t>
                </w:r>
                <w:r>
                  <w:rPr>
                    <w:rFonts w:ascii="Arial Narrow" w:hAnsi="Arial Narrow"/>
                    <w:sz w:val="21"/>
                  </w:rPr>
                  <w:t>年以上</w:t>
                </w:r>
              </w:p>
            </w:tc>
            <w:tc>
              <w:tcPr>
                <w:tcW w:w="4673" w:type="dxa"/>
                <w:noWrap/>
                <w:tcMar>
                  <w:top w:w="12" w:type="dxa"/>
                  <w:left w:w="12" w:type="dxa"/>
                  <w:right w:w="12" w:type="dxa"/>
                </w:tcMar>
                <w:vAlign w:val="center"/>
              </w:tcPr>
              <w:p w14:paraId="02B3C0BC" w14:textId="77777777" w:rsidR="002D0AE7" w:rsidRDefault="00333EBB">
                <w:pPr>
                  <w:ind w:firstLine="200"/>
                  <w:jc w:val="center"/>
                  <w:textAlignment w:val="center"/>
                  <w:rPr>
                    <w:rFonts w:ascii="Arial Narrow" w:hAnsi="Arial Narrow"/>
                    <w:sz w:val="21"/>
                    <w:szCs w:val="18"/>
                  </w:rPr>
                </w:pPr>
                <w:r>
                  <w:rPr>
                    <w:rFonts w:ascii="Arial Narrow" w:hAnsi="Arial Narrow"/>
                    <w:sz w:val="21"/>
                  </w:rPr>
                  <w:t>100</w:t>
                </w:r>
              </w:p>
            </w:tc>
          </w:tr>
        </w:tbl>
        <w:p w14:paraId="1C89916B" w14:textId="77777777" w:rsidR="002D0AE7" w:rsidRDefault="00333EBB">
          <w:pPr>
            <w:snapToGrid w:val="0"/>
            <w:ind w:firstLineChars="200" w:firstLine="420"/>
            <w:rPr>
              <w:rFonts w:hint="eastAsia"/>
              <w:color w:val="000000" w:themeColor="text1"/>
              <w:sz w:val="21"/>
            </w:rPr>
          </w:pPr>
          <w:r>
            <w:rPr>
              <w:rFonts w:ascii="Arial Narrow" w:hAnsi="Arial Narrow" w:hint="eastAsia"/>
              <w:sz w:val="21"/>
              <w:szCs w:val="18"/>
            </w:rPr>
            <w:t>②</w:t>
          </w:r>
          <w:r>
            <w:rPr>
              <w:rFonts w:ascii="Arial Narrow" w:hAnsi="Arial Narrow"/>
              <w:sz w:val="21"/>
              <w:szCs w:val="18"/>
            </w:rPr>
            <w:t>无风险组合</w:t>
          </w:r>
          <w:r>
            <w:rPr>
              <w:rFonts w:ascii="Arial Narrow" w:hAnsi="Arial Narrow" w:hint="eastAsia"/>
              <w:sz w:val="21"/>
              <w:szCs w:val="18"/>
            </w:rPr>
            <w:t>。本公司与纳入合并会计报表范围内的子公司之间发生的应收款项不计提坏账准备。</w:t>
          </w:r>
        </w:p>
      </w:sdtContent>
    </w:sdt>
    <w:p w14:paraId="649C7E8D" w14:textId="77777777" w:rsidR="002D0AE7" w:rsidRDefault="00333EBB">
      <w:pPr>
        <w:pStyle w:val="3"/>
        <w:numPr>
          <w:ilvl w:val="0"/>
          <w:numId w:val="37"/>
        </w:numPr>
        <w:rPr>
          <w:color w:val="000000" w:themeColor="text1"/>
        </w:rPr>
      </w:pPr>
      <w:bookmarkStart w:id="131" w:name="_Hlk24102310"/>
      <w:bookmarkStart w:id="132" w:name="_Hlk152690443"/>
      <w:r>
        <w:rPr>
          <w:rFonts w:hint="eastAsia"/>
          <w:color w:val="000000" w:themeColor="text1"/>
        </w:rPr>
        <w:t>应收款项融资</w:t>
      </w:r>
    </w:p>
    <w:sdt>
      <w:sdtPr>
        <w:rPr>
          <w:color w:val="000000" w:themeColor="text1"/>
        </w:rPr>
        <w:alias w:val="是否适用：应收款项融资_重要会计政策和估计[双击切换]"/>
        <w:tag w:val="_GBC_47906a8d31c54a72891112f417e1058d"/>
        <w:id w:val="-1962874943"/>
        <w:placeholder>
          <w:docPart w:val="GBC22222222222222222222222222222"/>
        </w:placeholder>
      </w:sdtPr>
      <w:sdtEndPr/>
      <w:sdtContent>
        <w:p w14:paraId="62AFC867"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bookmarkEnd w:id="131"/>
    <w:bookmarkEnd w:id="132"/>
    <w:p w14:paraId="0CA807D0" w14:textId="77777777" w:rsidR="002D0AE7" w:rsidRDefault="00333EBB">
      <w:pPr>
        <w:rPr>
          <w:rFonts w:cs="Times New Roman" w:hint="eastAsia"/>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应收款项融资按照信用风险特征组合计提坏账准备的组合类别及确定依据[双击切换]"/>
        <w:tag w:val="_GBC_991c72bbcc9e4545985776851a67e9f5"/>
        <w:id w:val="908272202"/>
        <w:placeholder>
          <w:docPart w:val="GBC22222222222222222222222222222"/>
        </w:placeholder>
      </w:sdtPr>
      <w:sdtEndPr/>
      <w:sdtContent>
        <w:p w14:paraId="25407BB9"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应收款项融资按照信用风险特征组合计提坏账准备的组合类别及确定依据"/>
        <w:tag w:val="_GBC_e001404223de4b32980aa3a5b54f2b74"/>
        <w:id w:val="-1330060310"/>
        <w:placeholder>
          <w:docPart w:val="GBC22222222222222222222222222222"/>
        </w:placeholder>
      </w:sdtPr>
      <w:sdtEndPr>
        <w:rPr>
          <w:sz w:val="21"/>
        </w:rPr>
      </w:sdtEndPr>
      <w:sdtContent>
        <w:p w14:paraId="35D734C9" w14:textId="77777777" w:rsidR="002D0AE7" w:rsidRDefault="00333EBB">
          <w:pPr>
            <w:snapToGrid w:val="0"/>
            <w:ind w:firstLineChars="200" w:firstLine="480"/>
            <w:rPr>
              <w:rFonts w:ascii="Arial Narrow" w:hAnsi="Arial Narrow"/>
              <w:sz w:val="21"/>
              <w:szCs w:val="18"/>
              <w:lang w:val="zh-CN"/>
            </w:rPr>
          </w:pPr>
          <w:r>
            <w:rPr>
              <w:rFonts w:ascii="Arial Narrow" w:hAnsi="Arial Narrow" w:hint="eastAsia"/>
              <w:sz w:val="21"/>
              <w:szCs w:val="18"/>
              <w:lang w:val="zh-CN"/>
            </w:rPr>
            <w:t>金融资产同时符合下列条件的，分类为以公允价值计量且其变动计入其他综合收益的金融资产：本公司管理该金融资产的业务模式是既以收取合同现金流量为目标又以出售金融资产为目标；该金融资产的合同条款规定，在特定日期产生的现金流量，仅为对本金和以未偿付本金金额为基础的利息的支付。</w:t>
          </w:r>
        </w:p>
        <w:p w14:paraId="1C10CEED"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t>本公司将持有的应收票据，以贴现或背书等形式转让，且该类业务较为频繁、涉及金额也较大的，其管理业务模式实质为既收取合同现金流量又出售，按照金融工具准则的相关规定，将其分类至以公允价值计量且其变动计入其他综合收益的金融资产。</w:t>
          </w:r>
        </w:p>
        <w:p w14:paraId="4BDF0DA6" w14:textId="77777777" w:rsidR="002D0AE7" w:rsidRDefault="00333EBB">
          <w:pPr>
            <w:snapToGrid w:val="0"/>
            <w:ind w:firstLineChars="200" w:firstLine="420"/>
            <w:rPr>
              <w:rFonts w:hint="eastAsia"/>
              <w:color w:val="000000" w:themeColor="text1"/>
              <w:sz w:val="21"/>
            </w:rPr>
          </w:pPr>
          <w:r>
            <w:rPr>
              <w:rFonts w:ascii="Arial Narrow" w:hAnsi="Arial Narrow" w:hint="eastAsia"/>
              <w:sz w:val="21"/>
              <w:szCs w:val="18"/>
              <w:lang w:val="zh-CN"/>
            </w:rPr>
            <w:t>公司对于应收款项融资无风险组合的判断方法如下：以支付为目的的高信用等级银行承兑的商业汇票。</w:t>
          </w:r>
        </w:p>
      </w:sdtContent>
    </w:sdt>
    <w:p w14:paraId="471B71F2" w14:textId="77777777" w:rsidR="002D0AE7" w:rsidRDefault="00333EBB">
      <w:pPr>
        <w:pStyle w:val="3"/>
        <w:numPr>
          <w:ilvl w:val="0"/>
          <w:numId w:val="37"/>
        </w:numPr>
        <w:rPr>
          <w:color w:val="000000" w:themeColor="text1"/>
          <w:szCs w:val="21"/>
        </w:rPr>
      </w:pPr>
      <w:bookmarkStart w:id="133" w:name="_Hlk533667836"/>
      <w:r>
        <w:rPr>
          <w:rFonts w:hint="eastAsia"/>
          <w:color w:val="000000" w:themeColor="text1"/>
          <w:szCs w:val="21"/>
        </w:rPr>
        <w:t>其他应收款</w:t>
      </w:r>
    </w:p>
    <w:sdt>
      <w:sdtPr>
        <w:rPr>
          <w:rFonts w:hint="eastAsia"/>
          <w:color w:val="000000" w:themeColor="text1"/>
        </w:rPr>
        <w:alias w:val="是否适用：其他应收款_重要会计政策和估计[双击切换]"/>
        <w:tag w:val="_GBC_dfe58b09048a4951b32b48ce6a3930aa"/>
        <w:id w:val="-242411895"/>
        <w:placeholder>
          <w:docPart w:val="GBC22222222222222222222222222222"/>
        </w:placeholder>
      </w:sdtPr>
      <w:sdtEndPr/>
      <w:sdtContent>
        <w:p w14:paraId="02EF2630"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bookmarkEnd w:id="133"/>
    <w:p w14:paraId="2B98A7AD" w14:textId="77777777" w:rsidR="002D0AE7" w:rsidRDefault="00333EBB">
      <w:pPr>
        <w:rPr>
          <w:rFonts w:cs="Times New Roman" w:hint="eastAsia"/>
          <w:b/>
          <w:color w:val="000000" w:themeColor="text1"/>
          <w:kern w:val="2"/>
          <w:szCs w:val="28"/>
        </w:rPr>
      </w:pPr>
      <w:r>
        <w:rPr>
          <w:rFonts w:cs="Times New Roman"/>
          <w:b/>
          <w:color w:val="000000" w:themeColor="text1"/>
          <w:kern w:val="2"/>
          <w:szCs w:val="28"/>
        </w:rPr>
        <w:t>按照信用风险特征组合计提坏账准备的组合类别及确定依据</w:t>
      </w:r>
    </w:p>
    <w:sdt>
      <w:sdtPr>
        <w:rPr>
          <w:color w:val="000000" w:themeColor="text1"/>
        </w:rPr>
        <w:alias w:val="是否适用：其他应收款按照信用风险特征组合计提坏账准备的组合类别及确定依据[双击切换]"/>
        <w:tag w:val="_GBC_9e16f620387d402e9e85b4fe910b3b32"/>
        <w:id w:val="-1045821636"/>
        <w:placeholder>
          <w:docPart w:val="GBC22222222222222222222222222222"/>
        </w:placeholder>
      </w:sdtPr>
      <w:sdtEndPr/>
      <w:sdtContent>
        <w:p w14:paraId="1A656015"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其他应收款按照信用风险特征组合计提坏账准备的组合类别及确定依据"/>
        <w:tag w:val="_GBC_09d041e587b1414ca6dcd8a2b8f31b9f"/>
        <w:id w:val="-803700117"/>
        <w:placeholder>
          <w:docPart w:val="GBC22222222222222222222222222222"/>
        </w:placeholder>
      </w:sdtPr>
      <w:sdtEndPr>
        <w:rPr>
          <w:sz w:val="21"/>
        </w:rPr>
      </w:sdtEndPr>
      <w:sdtContent>
        <w:p w14:paraId="3E23D401" w14:textId="77777777" w:rsidR="002D0AE7" w:rsidRDefault="00333EBB">
          <w:pPr>
            <w:ind w:firstLineChars="200" w:firstLine="480"/>
            <w:rPr>
              <w:rFonts w:ascii="Arial Narrow" w:hAnsi="Arial Narrow"/>
              <w:sz w:val="21"/>
              <w:szCs w:val="18"/>
            </w:rPr>
          </w:pPr>
          <w:r>
            <w:rPr>
              <w:rFonts w:ascii="Arial Narrow" w:hAnsi="Arial Narrow" w:hint="eastAsia"/>
              <w:sz w:val="21"/>
              <w:szCs w:val="18"/>
            </w:rPr>
            <w:t>本公司对其他应收款按历史经验数据和前瞻性信息，确定预期信用损失。信用损失准备的增加或转回金额，作为减值损失或利得计入当期损益。</w:t>
          </w:r>
        </w:p>
        <w:p w14:paraId="7F89040D" w14:textId="77777777" w:rsidR="002D0AE7" w:rsidRDefault="00333EBB">
          <w:pPr>
            <w:ind w:firstLineChars="200" w:firstLine="420"/>
            <w:rPr>
              <w:rFonts w:ascii="Arial Narrow" w:hAnsi="Arial Narrow"/>
              <w:sz w:val="21"/>
              <w:szCs w:val="18"/>
            </w:rPr>
          </w:pPr>
          <w:r>
            <w:rPr>
              <w:rFonts w:ascii="Arial Narrow" w:hAnsi="Arial Narrow" w:hint="eastAsia"/>
              <w:sz w:val="21"/>
              <w:szCs w:val="18"/>
            </w:rPr>
            <w:t>（</w:t>
          </w:r>
          <w:r>
            <w:rPr>
              <w:rFonts w:ascii="Arial Narrow" w:hAnsi="Arial Narrow" w:hint="eastAsia"/>
              <w:sz w:val="21"/>
              <w:szCs w:val="18"/>
            </w:rPr>
            <w:t>1</w:t>
          </w:r>
          <w:r>
            <w:rPr>
              <w:rFonts w:ascii="Arial Narrow" w:hAnsi="Arial Narrow" w:hint="eastAsia"/>
              <w:sz w:val="21"/>
              <w:szCs w:val="18"/>
            </w:rPr>
            <w:t>）对于有客观证据表明其已发生信用减值的，本公司将该其他应收款作为已发生信用减值的其他应收款并按照单项工具整个存续期的预期信用损失计量损失准备。</w:t>
          </w:r>
        </w:p>
        <w:p w14:paraId="466D50D2" w14:textId="77777777" w:rsidR="002D0AE7" w:rsidRDefault="00333EBB">
          <w:pPr>
            <w:ind w:firstLineChars="200" w:firstLine="420"/>
            <w:rPr>
              <w:rFonts w:ascii="Arial Narrow" w:hAnsi="Arial Narrow"/>
              <w:sz w:val="21"/>
              <w:szCs w:val="18"/>
            </w:rPr>
          </w:pPr>
          <w:r>
            <w:rPr>
              <w:rFonts w:ascii="Arial Narrow" w:hAnsi="Arial Narrow" w:hint="eastAsia"/>
              <w:sz w:val="21"/>
              <w:szCs w:val="18"/>
            </w:rPr>
            <w:t>（</w:t>
          </w:r>
          <w:r>
            <w:rPr>
              <w:rFonts w:ascii="Arial Narrow" w:hAnsi="Arial Narrow" w:hint="eastAsia"/>
              <w:sz w:val="21"/>
              <w:szCs w:val="18"/>
            </w:rPr>
            <w:t>2</w:t>
          </w:r>
          <w:r>
            <w:rPr>
              <w:rFonts w:ascii="Arial Narrow" w:hAnsi="Arial Narrow" w:hint="eastAsia"/>
              <w:sz w:val="21"/>
              <w:szCs w:val="18"/>
            </w:rPr>
            <w:t>）按信用风险特征组合计提坏账准备的其他应收款：</w:t>
          </w:r>
        </w:p>
        <w:p w14:paraId="6AC269EB" w14:textId="77777777" w:rsidR="002D0AE7" w:rsidRDefault="00333EBB">
          <w:pPr>
            <w:ind w:firstLineChars="300" w:firstLine="630"/>
            <w:rPr>
              <w:rFonts w:ascii="Arial Narrow" w:hAnsi="Arial Narrow"/>
              <w:sz w:val="21"/>
              <w:szCs w:val="18"/>
            </w:rPr>
          </w:pPr>
          <w:r>
            <w:rPr>
              <w:rFonts w:ascii="Arial Narrow" w:hAnsi="Arial Narrow" w:hint="eastAsia"/>
              <w:sz w:val="21"/>
              <w:szCs w:val="18"/>
            </w:rPr>
            <w:t>①账龄组合</w:t>
          </w:r>
          <w:r>
            <w:rPr>
              <w:rFonts w:ascii="Arial Narrow" w:hAnsi="Arial Narrow"/>
              <w:sz w:val="21"/>
              <w:szCs w:val="18"/>
            </w:rPr>
            <w:t>，本</w:t>
          </w:r>
          <w:r>
            <w:rPr>
              <w:rFonts w:ascii="Arial Narrow" w:hAnsi="Arial Narrow" w:hint="eastAsia"/>
              <w:sz w:val="21"/>
              <w:szCs w:val="18"/>
            </w:rPr>
            <w:t>公司以其他</w:t>
          </w:r>
          <w:r>
            <w:rPr>
              <w:rFonts w:ascii="Arial Narrow" w:hAnsi="Arial Narrow"/>
              <w:sz w:val="21"/>
              <w:szCs w:val="18"/>
            </w:rPr>
            <w:t>应收款账龄为基础</w:t>
          </w:r>
          <w:r>
            <w:rPr>
              <w:rFonts w:ascii="Arial Narrow" w:hAnsi="Arial Narrow" w:hint="eastAsia"/>
              <w:sz w:val="21"/>
              <w:szCs w:val="18"/>
            </w:rPr>
            <w:t>，基于历史实际信用损失率计算预期信用损失，并考虑历史数据收集期间的经济状况、当前的经济状况与未来经济状况预测。</w:t>
          </w:r>
        </w:p>
        <w:p w14:paraId="3F665036" w14:textId="77777777" w:rsidR="002D0AE7" w:rsidRDefault="00333EBB">
          <w:pPr>
            <w:ind w:firstLineChars="200" w:firstLine="420"/>
            <w:rPr>
              <w:rFonts w:ascii="Arial Narrow" w:hAnsi="Arial Narrow"/>
              <w:sz w:val="21"/>
              <w:szCs w:val="18"/>
            </w:rPr>
          </w:pPr>
          <w:r>
            <w:rPr>
              <w:rFonts w:ascii="Arial Narrow" w:hAnsi="Arial Narrow" w:hint="eastAsia"/>
              <w:sz w:val="21"/>
              <w:szCs w:val="18"/>
            </w:rPr>
            <w:t>其他</w:t>
          </w:r>
          <w:r>
            <w:rPr>
              <w:rFonts w:ascii="Arial Narrow" w:hAnsi="Arial Narrow"/>
              <w:sz w:val="21"/>
              <w:szCs w:val="18"/>
            </w:rPr>
            <w:t>应收款的信用风险与预期信用损失率如下：</w:t>
          </w:r>
        </w:p>
        <w:tbl>
          <w:tblPr>
            <w:tblW w:w="0" w:type="auto"/>
            <w:jc w:val="center"/>
            <w:tblBorders>
              <w:top w:val="double" w:sz="4" w:space="0" w:color="auto"/>
              <w:bottom w:val="double"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556"/>
            <w:gridCol w:w="4536"/>
          </w:tblGrid>
          <w:tr w:rsidR="002D0AE7" w14:paraId="1C793104" w14:textId="77777777">
            <w:trPr>
              <w:trHeight w:val="284"/>
              <w:tblHeader/>
              <w:jc w:val="center"/>
            </w:trPr>
            <w:tc>
              <w:tcPr>
                <w:tcW w:w="3556" w:type="dxa"/>
                <w:noWrap/>
                <w:tcMar>
                  <w:top w:w="12" w:type="dxa"/>
                  <w:left w:w="12" w:type="dxa"/>
                  <w:right w:w="12" w:type="dxa"/>
                </w:tcMar>
                <w:vAlign w:val="center"/>
              </w:tcPr>
              <w:p w14:paraId="531FFA6A" w14:textId="77777777" w:rsidR="002D0AE7" w:rsidRDefault="00333EBB">
                <w:pPr>
                  <w:ind w:firstLine="200"/>
                  <w:jc w:val="center"/>
                  <w:textAlignment w:val="center"/>
                  <w:rPr>
                    <w:rFonts w:ascii="Arial Narrow" w:hAnsi="Arial Narrow"/>
                    <w:sz w:val="21"/>
                    <w:szCs w:val="18"/>
                  </w:rPr>
                </w:pPr>
                <w:r>
                  <w:rPr>
                    <w:rFonts w:ascii="Arial Narrow" w:hAnsi="Arial Narrow" w:hint="eastAsia"/>
                    <w:sz w:val="21"/>
                    <w:szCs w:val="18"/>
                  </w:rPr>
                  <w:t>账龄</w:t>
                </w:r>
              </w:p>
            </w:tc>
            <w:tc>
              <w:tcPr>
                <w:tcW w:w="4536" w:type="dxa"/>
                <w:noWrap/>
                <w:tcMar>
                  <w:top w:w="12" w:type="dxa"/>
                  <w:left w:w="12" w:type="dxa"/>
                  <w:right w:w="12" w:type="dxa"/>
                </w:tcMar>
                <w:vAlign w:val="center"/>
              </w:tcPr>
              <w:p w14:paraId="0CD68356" w14:textId="77777777" w:rsidR="002D0AE7" w:rsidRDefault="00333EBB">
                <w:pPr>
                  <w:ind w:firstLine="200"/>
                  <w:jc w:val="center"/>
                  <w:textAlignment w:val="center"/>
                  <w:rPr>
                    <w:rFonts w:ascii="Arial Narrow" w:hAnsi="Arial Narrow"/>
                    <w:sz w:val="21"/>
                    <w:szCs w:val="16"/>
                  </w:rPr>
                </w:pPr>
                <w:r>
                  <w:rPr>
                    <w:rFonts w:ascii="Arial Narrow" w:hAnsi="Arial Narrow" w:hint="eastAsia"/>
                    <w:sz w:val="21"/>
                    <w:szCs w:val="18"/>
                  </w:rPr>
                  <w:t>其他应收款预期信用损失率（</w:t>
                </w:r>
                <w:r>
                  <w:rPr>
                    <w:rFonts w:ascii="Arial Narrow" w:hAnsi="Arial Narrow" w:hint="eastAsia"/>
                    <w:sz w:val="21"/>
                    <w:szCs w:val="18"/>
                  </w:rPr>
                  <w:t>%</w:t>
                </w:r>
                <w:r>
                  <w:rPr>
                    <w:rFonts w:ascii="Arial Narrow" w:hAnsi="Arial Narrow" w:hint="eastAsia"/>
                    <w:sz w:val="21"/>
                    <w:szCs w:val="18"/>
                  </w:rPr>
                  <w:t>）</w:t>
                </w:r>
              </w:p>
            </w:tc>
          </w:tr>
          <w:tr w:rsidR="002D0AE7" w14:paraId="7008A930" w14:textId="77777777">
            <w:trPr>
              <w:trHeight w:val="284"/>
              <w:jc w:val="center"/>
            </w:trPr>
            <w:tc>
              <w:tcPr>
                <w:tcW w:w="3556" w:type="dxa"/>
                <w:noWrap/>
                <w:tcMar>
                  <w:top w:w="12" w:type="dxa"/>
                  <w:left w:w="12" w:type="dxa"/>
                  <w:right w:w="12" w:type="dxa"/>
                </w:tcMar>
                <w:vAlign w:val="center"/>
              </w:tcPr>
              <w:p w14:paraId="705A37D3" w14:textId="77777777" w:rsidR="002D0AE7" w:rsidRDefault="00333EBB">
                <w:pPr>
                  <w:ind w:firstLine="200"/>
                  <w:jc w:val="center"/>
                  <w:textAlignment w:val="center"/>
                  <w:rPr>
                    <w:rFonts w:ascii="Arial Narrow" w:hAnsi="Arial Narrow"/>
                    <w:sz w:val="21"/>
                    <w:szCs w:val="18"/>
                  </w:rPr>
                </w:pPr>
                <w:r>
                  <w:rPr>
                    <w:rFonts w:ascii="Arial Narrow" w:hAnsi="Arial Narrow" w:hint="eastAsia"/>
                    <w:sz w:val="21"/>
                    <w:szCs w:val="18"/>
                  </w:rPr>
                  <w:t>3</w:t>
                </w:r>
                <w:r>
                  <w:rPr>
                    <w:rFonts w:ascii="Arial Narrow" w:hAnsi="Arial Narrow" w:hint="eastAsia"/>
                    <w:sz w:val="21"/>
                    <w:szCs w:val="18"/>
                  </w:rPr>
                  <w:t>个月以内</w:t>
                </w:r>
              </w:p>
            </w:tc>
            <w:tc>
              <w:tcPr>
                <w:tcW w:w="4536" w:type="dxa"/>
                <w:noWrap/>
                <w:tcMar>
                  <w:top w:w="12" w:type="dxa"/>
                  <w:left w:w="12" w:type="dxa"/>
                  <w:right w:w="12" w:type="dxa"/>
                </w:tcMar>
                <w:vAlign w:val="center"/>
              </w:tcPr>
              <w:p w14:paraId="501C7D88" w14:textId="77777777" w:rsidR="002D0AE7" w:rsidRDefault="00333EBB">
                <w:pPr>
                  <w:ind w:firstLine="200"/>
                  <w:jc w:val="center"/>
                  <w:textAlignment w:val="center"/>
                  <w:rPr>
                    <w:rFonts w:ascii="Arial Narrow" w:hAnsi="Arial Narrow"/>
                    <w:sz w:val="21"/>
                    <w:szCs w:val="18"/>
                  </w:rPr>
                </w:pPr>
                <w:r>
                  <w:rPr>
                    <w:rFonts w:ascii="Arial Narrow" w:hAnsi="Arial Narrow" w:hint="eastAsia"/>
                    <w:sz w:val="21"/>
                    <w:szCs w:val="18"/>
                  </w:rPr>
                  <w:t>0</w:t>
                </w:r>
                <w:r>
                  <w:rPr>
                    <w:rFonts w:ascii="Arial Narrow" w:hAnsi="Arial Narrow"/>
                    <w:sz w:val="21"/>
                    <w:szCs w:val="18"/>
                  </w:rPr>
                  <w:t>.00</w:t>
                </w:r>
              </w:p>
            </w:tc>
          </w:tr>
          <w:tr w:rsidR="002D0AE7" w14:paraId="74435636" w14:textId="77777777">
            <w:trPr>
              <w:trHeight w:val="284"/>
              <w:jc w:val="center"/>
            </w:trPr>
            <w:tc>
              <w:tcPr>
                <w:tcW w:w="3556" w:type="dxa"/>
                <w:noWrap/>
                <w:tcMar>
                  <w:top w:w="12" w:type="dxa"/>
                  <w:left w:w="12" w:type="dxa"/>
                  <w:right w:w="12" w:type="dxa"/>
                </w:tcMar>
              </w:tcPr>
              <w:p w14:paraId="174F8E07" w14:textId="77777777" w:rsidR="002D0AE7" w:rsidRDefault="00333EBB">
                <w:pPr>
                  <w:ind w:firstLine="200"/>
                  <w:jc w:val="center"/>
                  <w:textAlignment w:val="center"/>
                  <w:rPr>
                    <w:rFonts w:ascii="Arial Narrow" w:hAnsi="Arial Narrow"/>
                    <w:sz w:val="21"/>
                    <w:szCs w:val="18"/>
                  </w:rPr>
                </w:pPr>
                <w:r>
                  <w:rPr>
                    <w:rFonts w:ascii="Arial Narrow" w:hAnsi="Arial Narrow"/>
                    <w:sz w:val="21"/>
                  </w:rPr>
                  <w:t>3</w:t>
                </w:r>
                <w:r>
                  <w:rPr>
                    <w:rFonts w:ascii="Arial Narrow" w:hAnsi="Arial Narrow"/>
                    <w:sz w:val="21"/>
                  </w:rPr>
                  <w:t>个月至</w:t>
                </w:r>
                <w:r>
                  <w:rPr>
                    <w:rFonts w:ascii="Arial Narrow" w:hAnsi="Arial Narrow"/>
                    <w:sz w:val="21"/>
                  </w:rPr>
                  <w:t>1</w:t>
                </w:r>
                <w:r>
                  <w:rPr>
                    <w:rFonts w:ascii="Arial Narrow" w:hAnsi="Arial Narrow"/>
                    <w:sz w:val="21"/>
                  </w:rPr>
                  <w:t>年</w:t>
                </w:r>
              </w:p>
            </w:tc>
            <w:tc>
              <w:tcPr>
                <w:tcW w:w="4536" w:type="dxa"/>
                <w:noWrap/>
                <w:tcMar>
                  <w:top w:w="12" w:type="dxa"/>
                  <w:left w:w="12" w:type="dxa"/>
                  <w:right w:w="12" w:type="dxa"/>
                </w:tcMar>
              </w:tcPr>
              <w:p w14:paraId="6208521F" w14:textId="77777777" w:rsidR="002D0AE7" w:rsidRDefault="00333EBB">
                <w:pPr>
                  <w:ind w:firstLine="200"/>
                  <w:jc w:val="center"/>
                  <w:textAlignment w:val="center"/>
                  <w:rPr>
                    <w:rFonts w:ascii="Arial Narrow" w:hAnsi="Arial Narrow"/>
                    <w:sz w:val="21"/>
                    <w:szCs w:val="18"/>
                  </w:rPr>
                </w:pPr>
                <w:r>
                  <w:rPr>
                    <w:rFonts w:ascii="Arial Narrow" w:hAnsi="Arial Narrow"/>
                    <w:sz w:val="21"/>
                  </w:rPr>
                  <w:t>0.50</w:t>
                </w:r>
              </w:p>
            </w:tc>
          </w:tr>
          <w:tr w:rsidR="002D0AE7" w14:paraId="6635AC76" w14:textId="77777777">
            <w:trPr>
              <w:trHeight w:val="284"/>
              <w:jc w:val="center"/>
            </w:trPr>
            <w:tc>
              <w:tcPr>
                <w:tcW w:w="3556" w:type="dxa"/>
                <w:noWrap/>
                <w:tcMar>
                  <w:top w:w="12" w:type="dxa"/>
                  <w:left w:w="12" w:type="dxa"/>
                  <w:right w:w="12" w:type="dxa"/>
                </w:tcMar>
              </w:tcPr>
              <w:p w14:paraId="564F457C" w14:textId="77777777" w:rsidR="002D0AE7" w:rsidRDefault="00333EBB">
                <w:pPr>
                  <w:ind w:firstLine="200"/>
                  <w:jc w:val="center"/>
                  <w:textAlignment w:val="center"/>
                  <w:rPr>
                    <w:rFonts w:ascii="Arial Narrow" w:hAnsi="Arial Narrow"/>
                    <w:sz w:val="21"/>
                    <w:szCs w:val="18"/>
                  </w:rPr>
                </w:pPr>
                <w:r>
                  <w:rPr>
                    <w:rFonts w:ascii="Arial Narrow" w:hAnsi="Arial Narrow"/>
                    <w:sz w:val="21"/>
                  </w:rPr>
                  <w:t>1</w:t>
                </w:r>
                <w:r>
                  <w:rPr>
                    <w:rFonts w:ascii="Arial Narrow" w:hAnsi="Arial Narrow"/>
                    <w:sz w:val="21"/>
                  </w:rPr>
                  <w:t>年至</w:t>
                </w:r>
                <w:r>
                  <w:rPr>
                    <w:rFonts w:ascii="Arial Narrow" w:hAnsi="Arial Narrow"/>
                    <w:sz w:val="21"/>
                  </w:rPr>
                  <w:t>2</w:t>
                </w:r>
                <w:r>
                  <w:rPr>
                    <w:rFonts w:ascii="Arial Narrow" w:hAnsi="Arial Narrow"/>
                    <w:sz w:val="21"/>
                  </w:rPr>
                  <w:t>年</w:t>
                </w:r>
              </w:p>
            </w:tc>
            <w:tc>
              <w:tcPr>
                <w:tcW w:w="4536" w:type="dxa"/>
                <w:noWrap/>
                <w:tcMar>
                  <w:top w:w="12" w:type="dxa"/>
                  <w:left w:w="12" w:type="dxa"/>
                  <w:right w:w="12" w:type="dxa"/>
                </w:tcMar>
              </w:tcPr>
              <w:p w14:paraId="3A29873B" w14:textId="77777777" w:rsidR="002D0AE7" w:rsidRDefault="00333EBB">
                <w:pPr>
                  <w:ind w:firstLine="200"/>
                  <w:jc w:val="center"/>
                  <w:textAlignment w:val="center"/>
                  <w:rPr>
                    <w:rFonts w:ascii="Arial Narrow" w:hAnsi="Arial Narrow"/>
                    <w:sz w:val="21"/>
                    <w:szCs w:val="18"/>
                  </w:rPr>
                </w:pPr>
                <w:r>
                  <w:rPr>
                    <w:rFonts w:ascii="Arial Narrow" w:hAnsi="Arial Narrow"/>
                    <w:sz w:val="21"/>
                  </w:rPr>
                  <w:t>20</w:t>
                </w:r>
              </w:p>
            </w:tc>
          </w:tr>
          <w:tr w:rsidR="002D0AE7" w14:paraId="0E1C7E30" w14:textId="77777777">
            <w:trPr>
              <w:trHeight w:val="284"/>
              <w:jc w:val="center"/>
            </w:trPr>
            <w:tc>
              <w:tcPr>
                <w:tcW w:w="3556" w:type="dxa"/>
                <w:noWrap/>
                <w:tcMar>
                  <w:top w:w="12" w:type="dxa"/>
                  <w:left w:w="12" w:type="dxa"/>
                  <w:right w:w="12" w:type="dxa"/>
                </w:tcMar>
              </w:tcPr>
              <w:p w14:paraId="34261664" w14:textId="77777777" w:rsidR="002D0AE7" w:rsidRDefault="00333EBB">
                <w:pPr>
                  <w:ind w:firstLine="200"/>
                  <w:jc w:val="center"/>
                  <w:textAlignment w:val="center"/>
                  <w:rPr>
                    <w:rFonts w:ascii="Arial Narrow" w:hAnsi="Arial Narrow"/>
                    <w:sz w:val="21"/>
                    <w:szCs w:val="18"/>
                  </w:rPr>
                </w:pPr>
                <w:r>
                  <w:rPr>
                    <w:rFonts w:ascii="Arial Narrow" w:hAnsi="Arial Narrow"/>
                    <w:sz w:val="21"/>
                  </w:rPr>
                  <w:t>2</w:t>
                </w:r>
                <w:r>
                  <w:rPr>
                    <w:rFonts w:ascii="Arial Narrow" w:hAnsi="Arial Narrow"/>
                    <w:sz w:val="21"/>
                  </w:rPr>
                  <w:t>年至</w:t>
                </w:r>
                <w:r>
                  <w:rPr>
                    <w:rFonts w:ascii="Arial Narrow" w:hAnsi="Arial Narrow"/>
                    <w:sz w:val="21"/>
                  </w:rPr>
                  <w:t>3</w:t>
                </w:r>
                <w:r>
                  <w:rPr>
                    <w:rFonts w:ascii="Arial Narrow" w:hAnsi="Arial Narrow"/>
                    <w:sz w:val="21"/>
                  </w:rPr>
                  <w:t>年</w:t>
                </w:r>
              </w:p>
            </w:tc>
            <w:tc>
              <w:tcPr>
                <w:tcW w:w="4536" w:type="dxa"/>
                <w:noWrap/>
                <w:tcMar>
                  <w:top w:w="12" w:type="dxa"/>
                  <w:left w:w="12" w:type="dxa"/>
                  <w:right w:w="12" w:type="dxa"/>
                </w:tcMar>
              </w:tcPr>
              <w:p w14:paraId="3435C6E8" w14:textId="77777777" w:rsidR="002D0AE7" w:rsidRDefault="00333EBB">
                <w:pPr>
                  <w:ind w:firstLine="200"/>
                  <w:jc w:val="center"/>
                  <w:textAlignment w:val="center"/>
                  <w:rPr>
                    <w:rFonts w:ascii="Arial Narrow" w:hAnsi="Arial Narrow"/>
                    <w:sz w:val="21"/>
                    <w:szCs w:val="18"/>
                  </w:rPr>
                </w:pPr>
                <w:r>
                  <w:rPr>
                    <w:rFonts w:ascii="Arial Narrow" w:hAnsi="Arial Narrow"/>
                    <w:sz w:val="21"/>
                  </w:rPr>
                  <w:t>50</w:t>
                </w:r>
              </w:p>
            </w:tc>
          </w:tr>
          <w:tr w:rsidR="002D0AE7" w14:paraId="764EEA90" w14:textId="77777777">
            <w:trPr>
              <w:trHeight w:val="284"/>
              <w:jc w:val="center"/>
            </w:trPr>
            <w:tc>
              <w:tcPr>
                <w:tcW w:w="3556" w:type="dxa"/>
                <w:noWrap/>
                <w:tcMar>
                  <w:top w:w="12" w:type="dxa"/>
                  <w:left w:w="12" w:type="dxa"/>
                  <w:right w:w="12" w:type="dxa"/>
                </w:tcMar>
              </w:tcPr>
              <w:p w14:paraId="7621AAFC" w14:textId="77777777" w:rsidR="002D0AE7" w:rsidRDefault="00333EBB">
                <w:pPr>
                  <w:ind w:firstLine="200"/>
                  <w:jc w:val="center"/>
                  <w:textAlignment w:val="center"/>
                  <w:rPr>
                    <w:rFonts w:ascii="Arial Narrow" w:hAnsi="Arial Narrow"/>
                    <w:sz w:val="21"/>
                    <w:szCs w:val="18"/>
                  </w:rPr>
                </w:pPr>
                <w:r>
                  <w:rPr>
                    <w:rFonts w:ascii="Arial Narrow" w:hAnsi="Arial Narrow"/>
                    <w:sz w:val="21"/>
                  </w:rPr>
                  <w:t>3</w:t>
                </w:r>
                <w:r>
                  <w:rPr>
                    <w:rFonts w:ascii="Arial Narrow" w:hAnsi="Arial Narrow"/>
                    <w:sz w:val="21"/>
                  </w:rPr>
                  <w:t>年以</w:t>
                </w:r>
                <w:r>
                  <w:rPr>
                    <w:rFonts w:ascii="Arial Narrow" w:hAnsi="Arial Narrow" w:hint="eastAsia"/>
                    <w:sz w:val="21"/>
                  </w:rPr>
                  <w:t>上</w:t>
                </w:r>
              </w:p>
            </w:tc>
            <w:tc>
              <w:tcPr>
                <w:tcW w:w="4536" w:type="dxa"/>
                <w:noWrap/>
                <w:tcMar>
                  <w:top w:w="12" w:type="dxa"/>
                  <w:left w:w="12" w:type="dxa"/>
                  <w:right w:w="12" w:type="dxa"/>
                </w:tcMar>
              </w:tcPr>
              <w:p w14:paraId="04A9848E" w14:textId="77777777" w:rsidR="002D0AE7" w:rsidRDefault="00333EBB">
                <w:pPr>
                  <w:ind w:firstLine="200"/>
                  <w:jc w:val="center"/>
                  <w:textAlignment w:val="center"/>
                  <w:rPr>
                    <w:rFonts w:ascii="Arial Narrow" w:hAnsi="Arial Narrow"/>
                    <w:sz w:val="21"/>
                    <w:szCs w:val="18"/>
                  </w:rPr>
                </w:pPr>
                <w:r>
                  <w:rPr>
                    <w:rFonts w:ascii="Arial Narrow" w:hAnsi="Arial Narrow"/>
                    <w:sz w:val="21"/>
                  </w:rPr>
                  <w:t>100</w:t>
                </w:r>
              </w:p>
            </w:tc>
          </w:tr>
        </w:tbl>
        <w:p w14:paraId="4C89923E" w14:textId="77777777" w:rsidR="002D0AE7" w:rsidRDefault="00333EBB">
          <w:pPr>
            <w:snapToGrid w:val="0"/>
            <w:ind w:firstLineChars="200" w:firstLine="420"/>
            <w:rPr>
              <w:rFonts w:hint="eastAsia"/>
              <w:color w:val="000000" w:themeColor="text1"/>
              <w:sz w:val="21"/>
            </w:rPr>
          </w:pPr>
          <w:r>
            <w:rPr>
              <w:rFonts w:ascii="Arial Narrow" w:hAnsi="Arial Narrow" w:hint="eastAsia"/>
              <w:sz w:val="21"/>
              <w:szCs w:val="18"/>
            </w:rPr>
            <w:t>②</w:t>
          </w:r>
          <w:r>
            <w:rPr>
              <w:rFonts w:ascii="Arial Narrow" w:hAnsi="Arial Narrow"/>
              <w:sz w:val="21"/>
              <w:szCs w:val="18"/>
            </w:rPr>
            <w:t>无风险组合</w:t>
          </w:r>
          <w:r>
            <w:rPr>
              <w:rFonts w:ascii="Arial Narrow" w:hAnsi="Arial Narrow" w:hint="eastAsia"/>
              <w:sz w:val="21"/>
              <w:szCs w:val="18"/>
            </w:rPr>
            <w:t>。本公司与纳入合并会计报表范围内的子公司之间发生的应收款项不计提坏账准备。</w:t>
          </w:r>
        </w:p>
      </w:sdtContent>
    </w:sdt>
    <w:p w14:paraId="54BC3F25" w14:textId="77777777" w:rsidR="002D0AE7" w:rsidRDefault="00333EBB">
      <w:pPr>
        <w:pStyle w:val="3"/>
        <w:numPr>
          <w:ilvl w:val="0"/>
          <w:numId w:val="37"/>
        </w:numPr>
        <w:rPr>
          <w:color w:val="000000" w:themeColor="text1"/>
        </w:rPr>
      </w:pPr>
      <w:r>
        <w:rPr>
          <w:color w:val="000000" w:themeColor="text1"/>
        </w:rPr>
        <w:t>存货</w:t>
      </w:r>
    </w:p>
    <w:sdt>
      <w:sdtPr>
        <w:rPr>
          <w:rFonts w:hint="eastAsia"/>
          <w:color w:val="000000" w:themeColor="text1"/>
        </w:rPr>
        <w:alias w:val="是否适用：存货_重要会计政策和估计[双击切换]"/>
        <w:tag w:val="_GBC_517cddca0e1f4d4bb5ef2c4a3d049269"/>
        <w:id w:val="1515184144"/>
        <w:placeholder>
          <w:docPart w:val="GBC22222222222222222222222222222"/>
        </w:placeholder>
      </w:sdtPr>
      <w:sdtEndPr/>
      <w:sdtContent>
        <w:p w14:paraId="54CF5A7D"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31CF4467" w14:textId="77777777" w:rsidR="002D0AE7" w:rsidRDefault="00333EBB">
      <w:pPr>
        <w:rPr>
          <w:rFonts w:cs="Times New Roman" w:hint="eastAsia"/>
          <w:b/>
          <w:color w:val="000000" w:themeColor="text1"/>
          <w:kern w:val="2"/>
          <w:szCs w:val="28"/>
        </w:rPr>
      </w:pPr>
      <w:bookmarkStart w:id="134" w:name="_Hlk152678121"/>
      <w:r>
        <w:rPr>
          <w:rFonts w:cs="Times New Roman"/>
          <w:b/>
          <w:color w:val="000000" w:themeColor="text1"/>
          <w:kern w:val="2"/>
          <w:szCs w:val="28"/>
        </w:rPr>
        <w:t>存货</w:t>
      </w:r>
      <w:r>
        <w:rPr>
          <w:rFonts w:cs="Times New Roman" w:hint="eastAsia"/>
          <w:b/>
          <w:color w:val="000000" w:themeColor="text1"/>
          <w:kern w:val="2"/>
          <w:szCs w:val="28"/>
        </w:rPr>
        <w:t>类别、发出计价方法、盘存制度、低值易耗品和包装物的摊销方法</w:t>
      </w:r>
    </w:p>
    <w:bookmarkEnd w:id="134" w:displacedByCustomXml="next"/>
    <w:sdt>
      <w:sdtPr>
        <w:rPr>
          <w:color w:val="000000" w:themeColor="text1"/>
        </w:rPr>
        <w:alias w:val="是否适用：存货类别、发出计价方法、盘存制度、低值易耗品和包装物的摊销方法[双击切换]"/>
        <w:tag w:val="_GBC_a0dd59db9daa43019390412c5246a774"/>
        <w:id w:val="1071008329"/>
        <w:placeholder>
          <w:docPart w:val="GBC22222222222222222222222222222"/>
        </w:placeholder>
      </w:sdtPr>
      <w:sdtEndPr/>
      <w:sdtContent>
        <w:p w14:paraId="777FF8D5"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存货类别、发出计价方法、盘存制度、低值易耗品和包装物的摊销方法"/>
        <w:tag w:val="_GBC_4c0ac6dfbfb04e56bc0dd3a35b636c52"/>
        <w:id w:val="758953183"/>
        <w:placeholder>
          <w:docPart w:val="GBC22222222222222222222222222222"/>
        </w:placeholder>
      </w:sdtPr>
      <w:sdtEndPr>
        <w:rPr>
          <w:rFonts w:ascii="Arial Narrow" w:hAnsi="Arial Narrow"/>
          <w:color w:val="auto"/>
          <w:sz w:val="21"/>
          <w:szCs w:val="18"/>
          <w:lang w:val="zh-CN"/>
        </w:rPr>
      </w:sdtEndPr>
      <w:sdtContent>
        <w:p w14:paraId="037A0648" w14:textId="77777777" w:rsidR="002D0AE7" w:rsidRDefault="00333EBB">
          <w:pPr>
            <w:snapToGrid w:val="0"/>
            <w:ind w:firstLineChars="200" w:firstLine="480"/>
            <w:rPr>
              <w:rFonts w:ascii="Arial Narrow" w:hAnsi="Arial Narrow"/>
              <w:b/>
              <w:sz w:val="21"/>
              <w:szCs w:val="18"/>
              <w:lang w:val="zh-CN"/>
            </w:rPr>
          </w:pPr>
          <w:r>
            <w:rPr>
              <w:rFonts w:ascii="Arial Narrow" w:hAnsi="Arial Narrow"/>
              <w:b/>
              <w:sz w:val="21"/>
              <w:szCs w:val="18"/>
              <w:lang w:val="zh-CN"/>
            </w:rPr>
            <w:t>1</w:t>
          </w:r>
          <w:r>
            <w:rPr>
              <w:rFonts w:ascii="Arial Narrow" w:hAnsi="Arial Narrow"/>
              <w:b/>
              <w:sz w:val="21"/>
              <w:szCs w:val="18"/>
              <w:lang w:val="zh-CN"/>
            </w:rPr>
            <w:t>、存货的分类：</w:t>
          </w:r>
        </w:p>
        <w:p w14:paraId="7B4FB837" w14:textId="77777777" w:rsidR="002D0AE7" w:rsidRDefault="00333EBB">
          <w:pPr>
            <w:snapToGrid w:val="0"/>
            <w:ind w:firstLineChars="200" w:firstLine="420"/>
            <w:rPr>
              <w:rFonts w:ascii="Arial Narrow" w:hAnsi="Arial Narrow"/>
              <w:sz w:val="21"/>
              <w:szCs w:val="18"/>
              <w:lang w:val="zh-CN"/>
            </w:rPr>
          </w:pPr>
          <w:r>
            <w:rPr>
              <w:rFonts w:ascii="Arial Narrow" w:hAnsi="Arial Narrow"/>
              <w:sz w:val="21"/>
              <w:szCs w:val="18"/>
              <w:lang w:val="zh-CN"/>
            </w:rPr>
            <w:t>本公司存货分为：原材料、辅助材料、委托加工材料、在产品、产成品、修理用备件、包装</w:t>
          </w:r>
          <w:r>
            <w:rPr>
              <w:rFonts w:ascii="Arial Narrow" w:hAnsi="Arial Narrow" w:hint="eastAsia"/>
              <w:sz w:val="21"/>
              <w:szCs w:val="18"/>
              <w:lang w:val="zh-CN"/>
            </w:rPr>
            <w:t>材料</w:t>
          </w:r>
          <w:r>
            <w:rPr>
              <w:rFonts w:ascii="Arial Narrow" w:hAnsi="Arial Narrow"/>
              <w:sz w:val="21"/>
              <w:szCs w:val="18"/>
              <w:lang w:val="zh-CN"/>
            </w:rPr>
            <w:t>以及低值易耗品；</w:t>
          </w:r>
        </w:p>
        <w:p w14:paraId="3C5B21CC" w14:textId="77777777" w:rsidR="002D0AE7" w:rsidRDefault="00333EBB">
          <w:pPr>
            <w:snapToGrid w:val="0"/>
            <w:ind w:firstLineChars="200" w:firstLine="422"/>
            <w:rPr>
              <w:rFonts w:ascii="Arial Narrow" w:hAnsi="Arial Narrow"/>
              <w:b/>
              <w:sz w:val="21"/>
              <w:szCs w:val="18"/>
              <w:lang w:val="zh-CN"/>
            </w:rPr>
          </w:pPr>
          <w:r>
            <w:rPr>
              <w:rFonts w:ascii="Arial Narrow" w:hAnsi="Arial Narrow"/>
              <w:b/>
              <w:sz w:val="21"/>
              <w:szCs w:val="18"/>
              <w:lang w:val="zh-CN"/>
            </w:rPr>
            <w:t>2</w:t>
          </w:r>
          <w:r>
            <w:rPr>
              <w:rFonts w:ascii="Arial Narrow" w:hAnsi="Arial Narrow"/>
              <w:b/>
              <w:sz w:val="21"/>
              <w:szCs w:val="18"/>
              <w:lang w:val="zh-CN"/>
            </w:rPr>
            <w:t>、存货的计价方法：</w:t>
          </w:r>
        </w:p>
        <w:p w14:paraId="0F2C66DB" w14:textId="77777777" w:rsidR="002D0AE7" w:rsidRDefault="00333EBB">
          <w:pPr>
            <w:snapToGrid w:val="0"/>
            <w:ind w:firstLineChars="200" w:firstLine="420"/>
            <w:rPr>
              <w:rFonts w:ascii="Arial Narrow" w:hAnsi="Arial Narrow"/>
              <w:sz w:val="21"/>
              <w:szCs w:val="18"/>
              <w:lang w:val="zh-CN"/>
            </w:rPr>
          </w:pPr>
          <w:r>
            <w:rPr>
              <w:rFonts w:ascii="Arial Narrow" w:hAnsi="Arial Narrow"/>
              <w:sz w:val="21"/>
              <w:szCs w:val="18"/>
              <w:lang w:val="zh-CN"/>
            </w:rPr>
            <w:t>存货取得时按实际成本核算；发出时库存商品及原材料按加权平均法计价，低值易耗品采用</w:t>
          </w:r>
          <w:r>
            <w:rPr>
              <w:rFonts w:ascii="Arial Narrow" w:hAnsi="Arial Narrow" w:hint="eastAsia"/>
              <w:sz w:val="21"/>
              <w:szCs w:val="18"/>
              <w:lang w:val="zh-CN"/>
            </w:rPr>
            <w:t>一次性转销法</w:t>
          </w:r>
          <w:r>
            <w:rPr>
              <w:rFonts w:ascii="Arial Narrow" w:hAnsi="Arial Narrow"/>
              <w:sz w:val="21"/>
              <w:szCs w:val="18"/>
              <w:lang w:val="zh-CN"/>
            </w:rPr>
            <w:t>；</w:t>
          </w:r>
        </w:p>
        <w:p w14:paraId="35728792" w14:textId="77777777" w:rsidR="002D0AE7" w:rsidRDefault="00333EBB">
          <w:pPr>
            <w:snapToGrid w:val="0"/>
            <w:ind w:firstLineChars="200" w:firstLine="422"/>
            <w:rPr>
              <w:rFonts w:ascii="Arial Narrow" w:hAnsi="Arial Narrow"/>
              <w:b/>
              <w:sz w:val="21"/>
              <w:szCs w:val="18"/>
            </w:rPr>
          </w:pPr>
          <w:r>
            <w:rPr>
              <w:rFonts w:ascii="Arial Narrow" w:hAnsi="Arial Narrow" w:hint="eastAsia"/>
              <w:b/>
              <w:sz w:val="21"/>
              <w:szCs w:val="18"/>
            </w:rPr>
            <w:t>3</w:t>
          </w:r>
          <w:r>
            <w:rPr>
              <w:rFonts w:ascii="Arial Narrow" w:hAnsi="Arial Narrow"/>
              <w:b/>
              <w:sz w:val="21"/>
              <w:szCs w:val="18"/>
            </w:rPr>
            <w:t>、存货盘存制度</w:t>
          </w:r>
        </w:p>
        <w:p w14:paraId="05C7C5BB" w14:textId="77777777" w:rsidR="002D0AE7" w:rsidRDefault="00333EBB">
          <w:pPr>
            <w:snapToGrid w:val="0"/>
            <w:ind w:firstLineChars="200" w:firstLine="420"/>
            <w:rPr>
              <w:rFonts w:hint="eastAsia"/>
              <w:sz w:val="21"/>
              <w:szCs w:val="18"/>
            </w:rPr>
          </w:pPr>
          <w:r>
            <w:rPr>
              <w:rFonts w:ascii="Arial Narrow" w:hAnsi="Arial Narrow"/>
              <w:sz w:val="21"/>
              <w:szCs w:val="18"/>
              <w:lang w:val="zh-CN"/>
            </w:rPr>
            <w:t>存货盘存制度采用永续盘存制。</w:t>
          </w:r>
        </w:p>
      </w:sdtContent>
    </w:sdt>
    <w:p w14:paraId="5BF95AAB" w14:textId="77777777" w:rsidR="002D0AE7" w:rsidRDefault="00333EBB">
      <w:pPr>
        <w:rPr>
          <w:rFonts w:cs="Times New Roman" w:hint="eastAsia"/>
          <w:b/>
          <w:color w:val="000000" w:themeColor="text1"/>
          <w:kern w:val="2"/>
          <w:szCs w:val="28"/>
        </w:rPr>
      </w:pPr>
      <w:r>
        <w:rPr>
          <w:rFonts w:cs="Times New Roman"/>
          <w:b/>
          <w:color w:val="000000" w:themeColor="text1"/>
          <w:kern w:val="2"/>
          <w:szCs w:val="28"/>
        </w:rPr>
        <w:t>存货跌价准备的确认标准和计提方法</w:t>
      </w:r>
    </w:p>
    <w:sdt>
      <w:sdtPr>
        <w:rPr>
          <w:color w:val="000000" w:themeColor="text1"/>
        </w:rPr>
        <w:alias w:val="是否适用：存货跌价准备的确认标准和计提方法[双击切换]"/>
        <w:tag w:val="_GBC_193ccfcb63424273902a6a08c94807b7"/>
        <w:id w:val="679934464"/>
        <w:placeholder>
          <w:docPart w:val="GBC22222222222222222222222222222"/>
        </w:placeholder>
      </w:sdtPr>
      <w:sdtEndPr/>
      <w:sdtContent>
        <w:p w14:paraId="081833C2"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存货跌价准备的确认标准和计提方法"/>
        <w:tag w:val="_GBC_d61a6b98d0f44b4a8162d7dd318ee8d8"/>
        <w:id w:val="820466496"/>
        <w:placeholder>
          <w:docPart w:val="GBC22222222222222222222222222222"/>
        </w:placeholder>
      </w:sdtPr>
      <w:sdtEndPr>
        <w:rPr>
          <w:rFonts w:ascii="Arial Narrow" w:hAnsi="Arial Narrow"/>
          <w:color w:val="auto"/>
          <w:szCs w:val="18"/>
        </w:rPr>
      </w:sdtEndPr>
      <w:sdtContent>
        <w:p w14:paraId="23864097" w14:textId="77777777" w:rsidR="002D0AE7" w:rsidRDefault="00333EBB">
          <w:pPr>
            <w:snapToGrid w:val="0"/>
            <w:ind w:firstLineChars="200" w:firstLine="480"/>
            <w:rPr>
              <w:rFonts w:hint="eastAsia"/>
              <w:szCs w:val="18"/>
            </w:rPr>
          </w:pPr>
          <w:r>
            <w:rPr>
              <w:rFonts w:ascii="Arial Narrow" w:hAnsi="Arial Narrow"/>
              <w:sz w:val="21"/>
              <w:szCs w:val="18"/>
            </w:rPr>
            <w:t>由于存货遭受毁损，全部或部分陈旧过时和销售价格低于成本等原因造成的存货成本不可收回的部分，期末采用成本与可变现净值孰低计价原则，按单个存货项目的成本高于可变现净值的差额提取存货跌价准备。</w:t>
          </w:r>
        </w:p>
      </w:sdtContent>
    </w:sdt>
    <w:bookmarkEnd w:id="128"/>
    <w:p w14:paraId="7068B3A6" w14:textId="77777777" w:rsidR="002D0AE7" w:rsidRDefault="00333EBB">
      <w:pPr>
        <w:pStyle w:val="3"/>
        <w:numPr>
          <w:ilvl w:val="0"/>
          <w:numId w:val="37"/>
        </w:numPr>
        <w:rPr>
          <w:rFonts w:ascii="宋体" w:hAnsi="宋体" w:hint="eastAsia"/>
          <w:color w:val="000000" w:themeColor="text1"/>
        </w:rPr>
      </w:pPr>
      <w:r>
        <w:rPr>
          <w:rFonts w:ascii="宋体" w:hAnsi="宋体"/>
          <w:color w:val="000000" w:themeColor="text1"/>
        </w:rPr>
        <w:t>长期股权投资</w:t>
      </w:r>
    </w:p>
    <w:sdt>
      <w:sdtPr>
        <w:rPr>
          <w:color w:val="000000" w:themeColor="text1"/>
        </w:rPr>
        <w:alias w:val="是否适用：长期股权投资_重要会计政策和估计[双击切换]"/>
        <w:tag w:val="_GBC_a2b657853ac547afaaad118dec96d0e1"/>
        <w:id w:val="-2010819207"/>
        <w:placeholder>
          <w:docPart w:val="GBC22222222222222222222222222222"/>
        </w:placeholder>
      </w:sdtPr>
      <w:sdtEndPr/>
      <w:sdtContent>
        <w:p w14:paraId="7BC0DC7D"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长期股权投资的核算方法"/>
        <w:tag w:val="_GBC_3e77074cd50946b1bccdff9bc1c9556f"/>
        <w:id w:val="1730342296"/>
        <w:placeholder>
          <w:docPart w:val="GBC22222222222222222222222222222"/>
        </w:placeholder>
      </w:sdtPr>
      <w:sdtEndPr>
        <w:rPr>
          <w:color w:val="auto"/>
          <w:szCs w:val="18"/>
        </w:rPr>
      </w:sdtEndPr>
      <w:sdtContent>
        <w:sdt>
          <w:sdtPr>
            <w:alias w:val="长期股权投资的核算方法"/>
            <w:tag w:val="_GBC_3e77074cd50946b1bccdff9bc1c9556f"/>
            <w:id w:val="835031590"/>
            <w:placeholder>
              <w:docPart w:val="293774CBF9CC4AC89D2202FBB6840157"/>
            </w:placeholder>
          </w:sdtPr>
          <w:sdtEndPr>
            <w:rPr>
              <w:szCs w:val="18"/>
            </w:rPr>
          </w:sdtEndPr>
          <w:sdtContent>
            <w:p w14:paraId="30D7AAE9" w14:textId="77777777" w:rsidR="002D0AE7" w:rsidRDefault="00333EBB">
              <w:pPr>
                <w:tabs>
                  <w:tab w:val="left" w:pos="0"/>
                </w:tabs>
                <w:snapToGrid w:val="0"/>
                <w:ind w:firstLineChars="200" w:firstLine="480"/>
                <w:rPr>
                  <w:rFonts w:ascii="Arial Narrow" w:hAnsi="Arial Narrow"/>
                  <w:b/>
                  <w:sz w:val="21"/>
                  <w:szCs w:val="18"/>
                </w:rPr>
              </w:pPr>
              <w:r>
                <w:rPr>
                  <w:rFonts w:ascii="Arial Narrow" w:hAnsi="Arial Narrow"/>
                  <w:b/>
                  <w:sz w:val="21"/>
                  <w:szCs w:val="18"/>
                </w:rPr>
                <w:t>1</w:t>
              </w:r>
              <w:r>
                <w:rPr>
                  <w:rFonts w:ascii="Arial Narrow" w:hAnsi="Arial Narrow"/>
                  <w:b/>
                  <w:sz w:val="21"/>
                  <w:szCs w:val="18"/>
                </w:rPr>
                <w:t>、投资成本的初始计量：</w:t>
              </w:r>
            </w:p>
            <w:p w14:paraId="5CC47E17" w14:textId="77777777" w:rsidR="002D0AE7" w:rsidRDefault="00333EBB">
              <w:pPr>
                <w:tabs>
                  <w:tab w:val="left" w:pos="0"/>
                </w:tabs>
                <w:snapToGrid w:val="0"/>
                <w:ind w:firstLineChars="200" w:firstLine="420"/>
                <w:rPr>
                  <w:rFonts w:ascii="Arial Narrow" w:hAnsi="Arial Narrow"/>
                  <w:b/>
                  <w:sz w:val="21"/>
                  <w:szCs w:val="18"/>
                </w:rPr>
              </w:pPr>
              <w:r>
                <w:rPr>
                  <w:rFonts w:ascii="Arial Narrow" w:hAnsi="Arial Narrow" w:hint="eastAsia"/>
                  <w:sz w:val="21"/>
                  <w:szCs w:val="18"/>
                </w:rPr>
                <w:t>（</w:t>
              </w:r>
              <w:r>
                <w:rPr>
                  <w:rFonts w:ascii="Arial Narrow" w:hAnsi="Arial Narrow" w:hint="eastAsia"/>
                  <w:sz w:val="21"/>
                  <w:szCs w:val="18"/>
                </w:rPr>
                <w:t>1</w:t>
              </w:r>
              <w:r>
                <w:rPr>
                  <w:rFonts w:ascii="Arial Narrow" w:hAnsi="Arial Narrow" w:hint="eastAsia"/>
                  <w:sz w:val="21"/>
                  <w:szCs w:val="18"/>
                </w:rPr>
                <w:t>）</w:t>
              </w:r>
              <w:r>
                <w:rPr>
                  <w:rFonts w:ascii="Arial Narrow" w:hAnsi="Arial Narrow"/>
                  <w:sz w:val="21"/>
                  <w:szCs w:val="18"/>
                </w:rPr>
                <w:t>企业合并中形成的长期股权投资</w:t>
              </w:r>
            </w:p>
            <w:p w14:paraId="79262333" w14:textId="77777777" w:rsidR="002D0AE7" w:rsidRDefault="00333EBB">
              <w:pPr>
                <w:tabs>
                  <w:tab w:val="left" w:pos="0"/>
                </w:tabs>
                <w:snapToGrid w:val="0"/>
                <w:ind w:firstLineChars="300" w:firstLine="630"/>
                <w:rPr>
                  <w:rFonts w:ascii="Arial Narrow" w:hAnsi="Arial Narrow"/>
                  <w:b/>
                  <w:sz w:val="21"/>
                  <w:szCs w:val="18"/>
                </w:rPr>
              </w:pPr>
              <w:r>
                <w:rPr>
                  <w:rFonts w:ascii="Arial Narrow" w:hAnsi="Arial Narrow" w:hint="eastAsia"/>
                  <w:sz w:val="21"/>
                  <w:szCs w:val="18"/>
                </w:rPr>
                <w:t>①</w:t>
              </w:r>
              <w:r>
                <w:rPr>
                  <w:rFonts w:ascii="Arial Narrow" w:hAnsi="Arial Narrow"/>
                  <w:sz w:val="21"/>
                  <w:szCs w:val="18"/>
                </w:rPr>
                <w:t>如果是同一控制下的企业合并，公司以支付现金、转让非现金资产或承担债务方式作为合并对价的，在合并日按照取得被合并方所有者权益</w:t>
              </w:r>
              <w:r>
                <w:rPr>
                  <w:rFonts w:ascii="Arial Narrow" w:hAnsi="Arial Narrow" w:hint="eastAsia"/>
                  <w:sz w:val="21"/>
                  <w:szCs w:val="18"/>
                </w:rPr>
                <w:t>在最终控制方合并财务报表中的</w:t>
              </w:r>
              <w:r>
                <w:rPr>
                  <w:rFonts w:ascii="Arial Narrow" w:hAnsi="Arial Narrow"/>
                  <w:sz w:val="21"/>
                  <w:szCs w:val="18"/>
                </w:rPr>
                <w:t>账面价值的份额作为长期股权投资的初始投资成本。长期股权投资初始投资成本与支付的合并对价之间的差额，调整资本公积；资本公积不足冲减的，调整留存收益。</w:t>
              </w:r>
            </w:p>
            <w:p w14:paraId="47215C7B" w14:textId="77777777" w:rsidR="002D0AE7" w:rsidRDefault="00333EBB">
              <w:pPr>
                <w:tabs>
                  <w:tab w:val="left" w:pos="0"/>
                </w:tabs>
                <w:snapToGrid w:val="0"/>
                <w:ind w:firstLineChars="200" w:firstLine="420"/>
                <w:rPr>
                  <w:rFonts w:ascii="Arial Narrow" w:hAnsi="Arial Narrow"/>
                  <w:b/>
                  <w:sz w:val="21"/>
                  <w:szCs w:val="18"/>
                </w:rPr>
              </w:pPr>
              <w:r>
                <w:rPr>
                  <w:rFonts w:ascii="Arial Narrow" w:hAnsi="Arial Narrow"/>
                  <w:sz w:val="21"/>
                  <w:szCs w:val="18"/>
                </w:rPr>
                <w:t>合并方以发行权益性证券作为合并对价的，在合并日按照取得被合并方所有者权益</w:t>
              </w:r>
              <w:r>
                <w:rPr>
                  <w:rFonts w:ascii="Arial Narrow" w:hAnsi="Arial Narrow" w:hint="eastAsia"/>
                  <w:sz w:val="21"/>
                  <w:szCs w:val="18"/>
                </w:rPr>
                <w:t>在最终控制方合并财务报表中的</w:t>
              </w:r>
              <w:r>
                <w:rPr>
                  <w:rFonts w:ascii="Arial Narrow" w:hAnsi="Arial Narrow"/>
                  <w:sz w:val="21"/>
                  <w:szCs w:val="18"/>
                </w:rPr>
                <w:t>账面价值的份额作为长期股权投资的初始投资成本。按照发行股份的面值总额作为股本，长期股权投资初始投资成本与所发行股份面值总额之间的差额，调整资本公积；资本公积不足冲减的，调整留存收益。</w:t>
              </w:r>
            </w:p>
            <w:p w14:paraId="65E5A563" w14:textId="77777777" w:rsidR="002D0AE7" w:rsidRDefault="00333EBB">
              <w:pPr>
                <w:tabs>
                  <w:tab w:val="left" w:pos="0"/>
                </w:tabs>
                <w:snapToGrid w:val="0"/>
                <w:ind w:firstLineChars="200" w:firstLine="420"/>
                <w:rPr>
                  <w:rFonts w:ascii="Arial Narrow" w:hAnsi="Arial Narrow"/>
                  <w:b/>
                  <w:sz w:val="21"/>
                  <w:szCs w:val="18"/>
                </w:rPr>
              </w:pPr>
              <w:r>
                <w:rPr>
                  <w:rFonts w:ascii="Arial Narrow" w:hAnsi="Arial Narrow"/>
                  <w:sz w:val="21"/>
                  <w:szCs w:val="18"/>
                </w:rPr>
                <w:lastRenderedPageBreak/>
                <w:t>合并发生的各项直接相关费用，包括为进行合并而支付的审计费用、评估费用、法律服务费用等，于发生时计入当期损益。</w:t>
              </w:r>
            </w:p>
            <w:p w14:paraId="3606A47A" w14:textId="77777777" w:rsidR="002D0AE7" w:rsidRDefault="00333EBB">
              <w:pPr>
                <w:tabs>
                  <w:tab w:val="left" w:pos="0"/>
                </w:tabs>
                <w:snapToGrid w:val="0"/>
                <w:ind w:firstLineChars="200" w:firstLine="420"/>
                <w:rPr>
                  <w:rFonts w:ascii="Arial Narrow" w:hAnsi="Arial Narrow"/>
                  <w:b/>
                  <w:sz w:val="21"/>
                  <w:szCs w:val="18"/>
                </w:rPr>
              </w:pPr>
              <w:r>
                <w:rPr>
                  <w:rFonts w:ascii="Arial Narrow" w:hAnsi="Arial Narrow" w:hint="eastAsia"/>
                  <w:sz w:val="21"/>
                  <w:szCs w:val="18"/>
                </w:rPr>
                <w:t>②</w:t>
              </w:r>
              <w:r>
                <w:rPr>
                  <w:rFonts w:ascii="Arial Narrow" w:hAnsi="Arial Narrow"/>
                  <w:sz w:val="21"/>
                  <w:szCs w:val="18"/>
                </w:rPr>
                <w:t>非同一控制下企业合并形成的长期股权投资，以企业合并成本作为初始投资成本。企业合并成本包括购买日购买方为取得被购买方的控制权而付出的资产、发生或承担的负债、发行的权益性证券的公允价值之和。</w:t>
              </w:r>
            </w:p>
            <w:p w14:paraId="37E0AA2C" w14:textId="77777777" w:rsidR="002D0AE7" w:rsidRDefault="00333EBB">
              <w:pPr>
                <w:tabs>
                  <w:tab w:val="left" w:pos="0"/>
                </w:tabs>
                <w:snapToGrid w:val="0"/>
                <w:ind w:firstLineChars="200" w:firstLine="420"/>
                <w:rPr>
                  <w:rFonts w:ascii="Arial Narrow" w:hAnsi="Arial Narrow"/>
                  <w:b/>
                  <w:sz w:val="21"/>
                  <w:szCs w:val="18"/>
                </w:rPr>
              </w:pPr>
              <w:r>
                <w:rPr>
                  <w:rFonts w:ascii="Arial Narrow" w:hAnsi="Arial Narrow"/>
                  <w:sz w:val="21"/>
                  <w:szCs w:val="18"/>
                </w:rPr>
                <w:t>购买方为企业合并而发生的审计费用、评估费用、法律服务费用等中介费用以及其他相关管理费用于发生时计入当期损益；购买方作为合并对价发行的权益性证券或债务性证券的交易费用，计入权益性证券或债务性证券的初始确认金额。</w:t>
              </w:r>
            </w:p>
            <w:p w14:paraId="40ED2942" w14:textId="77777777" w:rsidR="002D0AE7" w:rsidRDefault="00333EBB">
              <w:pPr>
                <w:tabs>
                  <w:tab w:val="left" w:pos="0"/>
                </w:tabs>
                <w:snapToGrid w:val="0"/>
                <w:ind w:firstLineChars="200" w:firstLine="420"/>
                <w:rPr>
                  <w:rFonts w:ascii="Arial Narrow" w:hAnsi="Arial Narrow"/>
                  <w:b/>
                  <w:sz w:val="21"/>
                  <w:szCs w:val="18"/>
                </w:rPr>
              </w:pPr>
              <w:r>
                <w:rPr>
                  <w:rFonts w:ascii="Arial Narrow" w:hAnsi="Arial Narrow"/>
                  <w:sz w:val="21"/>
                  <w:szCs w:val="18"/>
                </w:rPr>
                <w:t>通过多次交易分步实现的非同一控制下企业合并，以购买日之前所持被购买方的股权投资的账面价值与购买日新增投资成本之和，作为该项投资的初始投资成本。</w:t>
              </w:r>
            </w:p>
            <w:p w14:paraId="6554A98F" w14:textId="77777777" w:rsidR="002D0AE7" w:rsidRDefault="00333EBB">
              <w:pPr>
                <w:tabs>
                  <w:tab w:val="left" w:pos="0"/>
                </w:tabs>
                <w:snapToGrid w:val="0"/>
                <w:ind w:firstLineChars="200" w:firstLine="420"/>
                <w:rPr>
                  <w:rFonts w:ascii="Arial Narrow" w:hAnsi="Arial Narrow"/>
                  <w:b/>
                  <w:sz w:val="21"/>
                  <w:szCs w:val="18"/>
                </w:rPr>
              </w:pPr>
              <w:r>
                <w:rPr>
                  <w:rFonts w:ascii="Arial Narrow" w:hAnsi="Arial Narrow" w:hint="eastAsia"/>
                  <w:sz w:val="21"/>
                  <w:szCs w:val="18"/>
                </w:rPr>
                <w:t>（</w:t>
              </w:r>
              <w:r>
                <w:rPr>
                  <w:rFonts w:ascii="Arial Narrow" w:hAnsi="Arial Narrow" w:hint="eastAsia"/>
                  <w:sz w:val="21"/>
                  <w:szCs w:val="18"/>
                </w:rPr>
                <w:t>2</w:t>
              </w:r>
              <w:r>
                <w:rPr>
                  <w:rFonts w:ascii="Arial Narrow" w:hAnsi="Arial Narrow" w:hint="eastAsia"/>
                  <w:sz w:val="21"/>
                  <w:szCs w:val="18"/>
                </w:rPr>
                <w:t>）</w:t>
              </w:r>
              <w:r>
                <w:rPr>
                  <w:rFonts w:ascii="Arial Narrow" w:hAnsi="Arial Narrow"/>
                  <w:sz w:val="21"/>
                  <w:szCs w:val="18"/>
                </w:rPr>
                <w:t>其他方式取得的长期股权投资</w:t>
              </w:r>
            </w:p>
            <w:p w14:paraId="7BF9B1F4" w14:textId="77777777" w:rsidR="002D0AE7" w:rsidRDefault="00333EBB">
              <w:pPr>
                <w:tabs>
                  <w:tab w:val="left" w:pos="0"/>
                </w:tabs>
                <w:snapToGrid w:val="0"/>
                <w:ind w:firstLineChars="200" w:firstLine="420"/>
                <w:rPr>
                  <w:rFonts w:ascii="Arial Narrow" w:hAnsi="Arial Narrow"/>
                  <w:b/>
                  <w:sz w:val="21"/>
                  <w:szCs w:val="18"/>
                </w:rPr>
              </w:pPr>
              <w:r>
                <w:rPr>
                  <w:rFonts w:ascii="Arial Narrow" w:hAnsi="Arial Narrow"/>
                  <w:sz w:val="21"/>
                  <w:szCs w:val="18"/>
                </w:rPr>
                <w:t>以支付现金取得的长期股权投资，按照实际支付的购买价款作为初始投资成本。初始投资成本包括与取得长期股权投资直接相关的费用、税金及其他必要支出。</w:t>
              </w:r>
            </w:p>
            <w:p w14:paraId="352CEA22" w14:textId="77777777" w:rsidR="002D0AE7" w:rsidRDefault="00333EBB">
              <w:pPr>
                <w:tabs>
                  <w:tab w:val="left" w:pos="0"/>
                </w:tabs>
                <w:snapToGrid w:val="0"/>
                <w:ind w:firstLineChars="200" w:firstLine="420"/>
                <w:rPr>
                  <w:rFonts w:ascii="Arial Narrow" w:hAnsi="Arial Narrow"/>
                  <w:b/>
                  <w:sz w:val="21"/>
                  <w:szCs w:val="18"/>
                </w:rPr>
              </w:pPr>
              <w:r>
                <w:rPr>
                  <w:rFonts w:ascii="Arial Narrow" w:hAnsi="Arial Narrow"/>
                  <w:sz w:val="21"/>
                  <w:szCs w:val="18"/>
                </w:rPr>
                <w:t>以发行权益性证券取得的长期股权投资，按照发行权益性证券的公允价值作为初始投资成本。</w:t>
              </w:r>
              <w:r>
                <w:rPr>
                  <w:rFonts w:ascii="Arial Narrow" w:hAnsi="Arial Narrow" w:hint="eastAsia"/>
                  <w:sz w:val="21"/>
                  <w:szCs w:val="18"/>
                </w:rPr>
                <w:t>为发行权益性证券支付给有关证券承销机构等的手续费、佣金等与证券发行直接相关的费用，不构成取得长期股权投资的成本。该部分费用应自所发行证券的溢价发行收入中扣除，溢价收入不足冲减的，应依次冲减盈余公积和未分配利润。</w:t>
              </w:r>
            </w:p>
            <w:p w14:paraId="171EE402" w14:textId="77777777" w:rsidR="002D0AE7" w:rsidRDefault="00333EBB">
              <w:pPr>
                <w:tabs>
                  <w:tab w:val="left" w:pos="0"/>
                </w:tabs>
                <w:snapToGrid w:val="0"/>
                <w:ind w:firstLineChars="200" w:firstLine="420"/>
                <w:rPr>
                  <w:rFonts w:ascii="Arial Narrow" w:hAnsi="Arial Narrow"/>
                  <w:b/>
                  <w:sz w:val="21"/>
                  <w:szCs w:val="18"/>
                </w:rPr>
              </w:pPr>
              <w:r>
                <w:rPr>
                  <w:rFonts w:ascii="Arial Narrow" w:hAnsi="Arial Narrow"/>
                  <w:sz w:val="21"/>
                  <w:szCs w:val="18"/>
                </w:rPr>
                <w:t>通过非货币性资产交换取得的长期股权投资，如非货币性资产交换具有商业实质或换出资产的公允价值能够可靠计量的情况下，换入的长期股权投资按照换出资产的公允价值和应支付的相关税费作为初始投资成本；不满足上述前提的非货币性资产交换，换入的长期股权投资以换出资产的账面价值和应支付的相关税费作为初始投资成本。</w:t>
              </w:r>
            </w:p>
            <w:p w14:paraId="171DE969" w14:textId="77777777" w:rsidR="002D0AE7" w:rsidRDefault="00333EBB">
              <w:pPr>
                <w:tabs>
                  <w:tab w:val="left" w:pos="0"/>
                </w:tabs>
                <w:snapToGrid w:val="0"/>
                <w:ind w:firstLineChars="200" w:firstLine="420"/>
                <w:rPr>
                  <w:rFonts w:ascii="Arial Narrow" w:hAnsi="Arial Narrow"/>
                  <w:b/>
                  <w:sz w:val="21"/>
                  <w:szCs w:val="18"/>
                </w:rPr>
              </w:pPr>
              <w:r>
                <w:rPr>
                  <w:rFonts w:ascii="Arial Narrow" w:hAnsi="Arial Narrow" w:hint="eastAsia"/>
                  <w:sz w:val="21"/>
                  <w:szCs w:val="18"/>
                </w:rPr>
                <w:t>通过债务重组取得的长期股权投资，企业</w:t>
              </w:r>
              <w:r>
                <w:rPr>
                  <w:rFonts w:ascii="Arial Narrow" w:hAnsi="Arial Narrow"/>
                  <w:sz w:val="21"/>
                  <w:szCs w:val="18"/>
                </w:rPr>
                <w:t>应当将享有股份的公允价值确认为</w:t>
              </w:r>
              <w:r>
                <w:rPr>
                  <w:rFonts w:ascii="Arial Narrow" w:hAnsi="Arial Narrow" w:hint="eastAsia"/>
                  <w:sz w:val="21"/>
                  <w:szCs w:val="18"/>
                </w:rPr>
                <w:t>投资成本</w:t>
              </w:r>
              <w:r>
                <w:rPr>
                  <w:rFonts w:ascii="Arial Narrow" w:hAnsi="Arial Narrow"/>
                  <w:sz w:val="21"/>
                  <w:szCs w:val="18"/>
                </w:rPr>
                <w:t>，重组债权的账面余额与股份的公允价值之间的差额</w:t>
              </w:r>
              <w:r>
                <w:rPr>
                  <w:rFonts w:ascii="Arial Narrow" w:hAnsi="Arial Narrow" w:hint="eastAsia"/>
                  <w:sz w:val="21"/>
                  <w:szCs w:val="18"/>
                </w:rPr>
                <w:t>，</w:t>
              </w:r>
              <w:r>
                <w:rPr>
                  <w:rFonts w:ascii="Arial Narrow" w:hAnsi="Arial Narrow"/>
                  <w:sz w:val="21"/>
                  <w:szCs w:val="18"/>
                </w:rPr>
                <w:t>计入当期损益。</w:t>
              </w:r>
              <w:r>
                <w:rPr>
                  <w:rFonts w:ascii="Arial Narrow" w:hAnsi="Arial Narrow" w:hint="eastAsia"/>
                  <w:sz w:val="21"/>
                  <w:szCs w:val="18"/>
                </w:rPr>
                <w:t>企业</w:t>
              </w:r>
              <w:r>
                <w:rPr>
                  <w:rFonts w:ascii="Arial Narrow" w:hAnsi="Arial Narrow"/>
                  <w:sz w:val="21"/>
                  <w:szCs w:val="18"/>
                </w:rPr>
                <w:t>已对债权计提减值准备的，应当先将该差额冲减减值准备，减值准备不足以冲减的部分，计入当期损益。</w:t>
              </w:r>
            </w:p>
            <w:p w14:paraId="71901BF6" w14:textId="77777777" w:rsidR="002D0AE7" w:rsidRDefault="00333EBB">
              <w:pPr>
                <w:tabs>
                  <w:tab w:val="left" w:pos="0"/>
                </w:tabs>
                <w:snapToGrid w:val="0"/>
                <w:ind w:firstLineChars="200" w:firstLine="422"/>
                <w:rPr>
                  <w:rFonts w:ascii="Arial Narrow" w:hAnsi="Arial Narrow"/>
                  <w:b/>
                  <w:sz w:val="21"/>
                  <w:szCs w:val="18"/>
                </w:rPr>
              </w:pPr>
              <w:r>
                <w:rPr>
                  <w:rFonts w:ascii="Arial Narrow" w:hAnsi="Arial Narrow"/>
                  <w:b/>
                  <w:sz w:val="21"/>
                  <w:szCs w:val="18"/>
                </w:rPr>
                <w:t>2</w:t>
              </w:r>
              <w:r>
                <w:rPr>
                  <w:rFonts w:ascii="Arial Narrow" w:hAnsi="Arial Narrow"/>
                  <w:b/>
                  <w:sz w:val="21"/>
                  <w:szCs w:val="18"/>
                </w:rPr>
                <w:t>、后续计量及损益确认：</w:t>
              </w:r>
            </w:p>
            <w:p w14:paraId="408D9CC3" w14:textId="77777777" w:rsidR="002D0AE7" w:rsidRDefault="00333EBB">
              <w:pPr>
                <w:tabs>
                  <w:tab w:val="left" w:pos="0"/>
                </w:tabs>
                <w:snapToGrid w:val="0"/>
                <w:ind w:firstLineChars="200" w:firstLine="420"/>
                <w:rPr>
                  <w:rFonts w:ascii="Arial Narrow" w:hAnsi="Arial Narrow"/>
                  <w:b/>
                  <w:sz w:val="21"/>
                  <w:szCs w:val="18"/>
                </w:rPr>
              </w:pPr>
              <w:r>
                <w:rPr>
                  <w:rFonts w:ascii="Arial Narrow" w:hAnsi="Arial Narrow" w:hint="eastAsia"/>
                  <w:sz w:val="21"/>
                  <w:szCs w:val="18"/>
                </w:rPr>
                <w:t>（</w:t>
              </w:r>
              <w:r>
                <w:rPr>
                  <w:rFonts w:ascii="Arial Narrow" w:hAnsi="Arial Narrow" w:hint="eastAsia"/>
                  <w:sz w:val="21"/>
                  <w:szCs w:val="18"/>
                </w:rPr>
                <w:t>1</w:t>
              </w:r>
              <w:r>
                <w:rPr>
                  <w:rFonts w:ascii="Arial Narrow" w:hAnsi="Arial Narrow" w:hint="eastAsia"/>
                  <w:sz w:val="21"/>
                  <w:szCs w:val="18"/>
                </w:rPr>
                <w:t>）</w:t>
              </w:r>
              <w:r>
                <w:rPr>
                  <w:rFonts w:ascii="Arial Narrow" w:hAnsi="Arial Narrow"/>
                  <w:sz w:val="21"/>
                  <w:szCs w:val="18"/>
                </w:rPr>
                <w:t>后续计量</w:t>
              </w:r>
            </w:p>
            <w:p w14:paraId="13C3AA00" w14:textId="77777777" w:rsidR="002D0AE7" w:rsidRDefault="00333EBB">
              <w:pPr>
                <w:tabs>
                  <w:tab w:val="left" w:pos="0"/>
                </w:tabs>
                <w:snapToGrid w:val="0"/>
                <w:ind w:firstLineChars="200" w:firstLine="420"/>
                <w:rPr>
                  <w:rFonts w:ascii="Arial Narrow" w:hAnsi="Arial Narrow"/>
                  <w:b/>
                  <w:sz w:val="21"/>
                  <w:szCs w:val="18"/>
                </w:rPr>
              </w:pPr>
              <w:r>
                <w:rPr>
                  <w:rFonts w:ascii="Arial Narrow" w:hAnsi="Arial Narrow" w:hint="eastAsia"/>
                  <w:sz w:val="21"/>
                  <w:szCs w:val="18"/>
                </w:rPr>
                <w:t>本公司</w:t>
              </w:r>
              <w:r>
                <w:rPr>
                  <w:rFonts w:ascii="Arial Narrow" w:hAnsi="Arial Narrow"/>
                  <w:sz w:val="21"/>
                  <w:szCs w:val="18"/>
                </w:rPr>
                <w:t>对子公司投资采用成本法核算</w:t>
              </w:r>
              <w:r>
                <w:rPr>
                  <w:rFonts w:ascii="Arial Narrow" w:hAnsi="Arial Narrow" w:hint="eastAsia"/>
                  <w:sz w:val="21"/>
                  <w:szCs w:val="18"/>
                </w:rPr>
                <w:t>，按照初始投资成本计价。追加或收回投资时调整长期股权投资的成本。</w:t>
              </w:r>
            </w:p>
            <w:p w14:paraId="545D8E93" w14:textId="77777777" w:rsidR="002D0AE7" w:rsidRDefault="00333EBB">
              <w:pPr>
                <w:tabs>
                  <w:tab w:val="left" w:pos="0"/>
                </w:tabs>
                <w:snapToGrid w:val="0"/>
                <w:ind w:firstLineChars="200" w:firstLine="420"/>
                <w:rPr>
                  <w:rFonts w:ascii="Arial Narrow" w:hAnsi="Arial Narrow"/>
                  <w:b/>
                  <w:sz w:val="21"/>
                  <w:szCs w:val="18"/>
                </w:rPr>
              </w:pPr>
              <w:r>
                <w:rPr>
                  <w:rFonts w:ascii="Arial Narrow" w:hAnsi="Arial Narrow"/>
                  <w:sz w:val="21"/>
                  <w:szCs w:val="18"/>
                </w:rPr>
                <w:t>本公司对被投资单位具有共同控制或重大影响的长期股权投资，采用权益法核算</w:t>
              </w:r>
              <w:r>
                <w:rPr>
                  <w:rFonts w:ascii="Arial Narrow" w:hAnsi="Arial Narrow" w:hint="eastAsia"/>
                  <w:sz w:val="21"/>
                  <w:szCs w:val="18"/>
                </w:rPr>
                <w:t>，除非投资符合持有待售资产的条件</w:t>
              </w:r>
              <w:r>
                <w:rPr>
                  <w:rFonts w:ascii="Arial Narrow" w:hAnsi="Arial Narrow"/>
                  <w:sz w:val="21"/>
                  <w:szCs w:val="18"/>
                </w:rPr>
                <w:t>。长期股权投资的初始投资成本大于投资时应享有被投资单位可辨认净资产公允价值份额的，不调整长期股权投资的初始投资成本；长期股权投资的初始投资成本小于投资时应享有被投资单位可辨认净资产公允价值份额的，其差额计入当期损益，同时调整长期股权投资的成本。</w:t>
              </w:r>
            </w:p>
            <w:p w14:paraId="24338FAC" w14:textId="77777777" w:rsidR="002D0AE7" w:rsidRDefault="00333EBB">
              <w:pPr>
                <w:tabs>
                  <w:tab w:val="left" w:pos="0"/>
                </w:tabs>
                <w:snapToGrid w:val="0"/>
                <w:ind w:firstLineChars="200" w:firstLine="420"/>
                <w:rPr>
                  <w:rFonts w:ascii="Arial Narrow" w:hAnsi="Arial Narrow"/>
                  <w:b/>
                  <w:sz w:val="21"/>
                  <w:szCs w:val="18"/>
                </w:rPr>
              </w:pPr>
              <w:r>
                <w:rPr>
                  <w:rFonts w:ascii="Arial Narrow" w:hAnsi="Arial Narrow" w:hint="eastAsia"/>
                  <w:sz w:val="21"/>
                  <w:szCs w:val="18"/>
                </w:rPr>
                <w:t>本公司因追加投资等原因能够对被投资单位施加重大影响或实施共同控制但不构成控制的，按照《企业会计准则第</w:t>
              </w:r>
              <w:r>
                <w:rPr>
                  <w:rFonts w:ascii="Arial Narrow" w:hAnsi="Arial Narrow" w:hint="eastAsia"/>
                  <w:sz w:val="21"/>
                  <w:szCs w:val="18"/>
                </w:rPr>
                <w:t>22</w:t>
              </w:r>
              <w:r>
                <w:rPr>
                  <w:rFonts w:ascii="Arial Narrow" w:hAnsi="Arial Narrow" w:hint="eastAsia"/>
                  <w:sz w:val="21"/>
                  <w:szCs w:val="18"/>
                </w:rPr>
                <w:t>号——金融工具确认和计量》确定的原持有的股权投资的公允价值加上新增投资成本之和，作为改按权益法核算的初始投资成本。原持有的股权投资分类为可供出售金融资产的，其公允价值与账面价值之间的差额，以及原计入其他综合收益的累计公允价值变动转入改按权益法核算的当期损益。</w:t>
              </w:r>
            </w:p>
            <w:p w14:paraId="691B6D08" w14:textId="77777777" w:rsidR="002D0AE7" w:rsidRDefault="00333EBB">
              <w:pPr>
                <w:tabs>
                  <w:tab w:val="left" w:pos="0"/>
                </w:tabs>
                <w:snapToGrid w:val="0"/>
                <w:ind w:firstLineChars="200" w:firstLine="420"/>
                <w:rPr>
                  <w:rFonts w:ascii="Arial Narrow" w:hAnsi="Arial Narrow"/>
                  <w:b/>
                  <w:sz w:val="21"/>
                  <w:szCs w:val="18"/>
                </w:rPr>
              </w:pPr>
              <w:r>
                <w:rPr>
                  <w:rFonts w:ascii="Arial Narrow" w:hAnsi="Arial Narrow" w:hint="eastAsia"/>
                  <w:sz w:val="21"/>
                  <w:szCs w:val="18"/>
                </w:rPr>
                <w:t>本公司因追加投资等原因能够对非同一控制下的被投资单位实施控制的，在编制个别财务报表时，按照原持有的股权投资账面价值加上新增投资成本之和，作为改按成本法核算的初始投资成本。购买日之前持有的股权投资因采用权益法核算而确认的其他综合收益，应当在处置该项投资时采用与被投资单位直接处置相关资产或负债相同的基础进行会计处理。购买日之前持有的股权投资按照《企业会计准则第</w:t>
              </w:r>
              <w:r>
                <w:rPr>
                  <w:rFonts w:ascii="Arial Narrow" w:hAnsi="Arial Narrow" w:hint="eastAsia"/>
                  <w:sz w:val="21"/>
                  <w:szCs w:val="18"/>
                </w:rPr>
                <w:t>22</w:t>
              </w:r>
              <w:r>
                <w:rPr>
                  <w:rFonts w:ascii="Arial Narrow" w:hAnsi="Arial Narrow" w:hint="eastAsia"/>
                  <w:sz w:val="21"/>
                  <w:szCs w:val="18"/>
                </w:rPr>
                <w:t>号——金融工具确认和计量》的有关规定进行会计处理的，原计入其他综合收益的累计公允价值变动应当在改按成本法核算时转入当期损益。</w:t>
              </w:r>
            </w:p>
            <w:p w14:paraId="5C32CAE9" w14:textId="77777777" w:rsidR="002D0AE7" w:rsidRDefault="00333EBB">
              <w:pPr>
                <w:tabs>
                  <w:tab w:val="left" w:pos="0"/>
                </w:tabs>
                <w:snapToGrid w:val="0"/>
                <w:ind w:firstLineChars="200" w:firstLine="420"/>
                <w:rPr>
                  <w:rFonts w:ascii="Arial Narrow" w:hAnsi="Arial Narrow"/>
                  <w:b/>
                  <w:sz w:val="21"/>
                  <w:szCs w:val="18"/>
                </w:rPr>
              </w:pPr>
              <w:r>
                <w:rPr>
                  <w:rFonts w:ascii="Arial Narrow" w:hAnsi="Arial Narrow" w:hint="eastAsia"/>
                  <w:sz w:val="21"/>
                  <w:szCs w:val="18"/>
                </w:rPr>
                <w:t>本公司因处置部分股权投资等原因丧失了对被投资单位的共同控制或重大影响的，处置后的剩余股权应当改按《企业会计准则第</w:t>
              </w:r>
              <w:r>
                <w:rPr>
                  <w:rFonts w:ascii="Arial Narrow" w:hAnsi="Arial Narrow" w:hint="eastAsia"/>
                  <w:sz w:val="21"/>
                  <w:szCs w:val="18"/>
                </w:rPr>
                <w:t>22</w:t>
              </w:r>
              <w:r>
                <w:rPr>
                  <w:rFonts w:ascii="Arial Narrow" w:hAnsi="Arial Narrow" w:hint="eastAsia"/>
                  <w:sz w:val="21"/>
                  <w:szCs w:val="18"/>
                </w:rPr>
                <w:t>号——金融工具确认和计量》核算，其在丧失共同控制或重大影响之日的公允价值与账面价值之间的差额计入当期损益。原股权投资因采用权益法核算而确认的其他综合收益，应当在终止采用权益法核算时采用与被投资单位直接处置相关资产或负债相同的基础进行会计处理。</w:t>
              </w:r>
            </w:p>
            <w:p w14:paraId="239F21EA" w14:textId="77777777" w:rsidR="002D0AE7" w:rsidRDefault="00333EBB">
              <w:pPr>
                <w:tabs>
                  <w:tab w:val="left" w:pos="0"/>
                </w:tabs>
                <w:snapToGrid w:val="0"/>
                <w:ind w:firstLineChars="200" w:firstLine="420"/>
                <w:rPr>
                  <w:rFonts w:ascii="Arial Narrow" w:hAnsi="Arial Narrow"/>
                  <w:b/>
                  <w:sz w:val="21"/>
                  <w:szCs w:val="18"/>
                </w:rPr>
              </w:pPr>
              <w:r>
                <w:rPr>
                  <w:rFonts w:ascii="Arial Narrow" w:hAnsi="Arial Narrow" w:hint="eastAsia"/>
                  <w:sz w:val="21"/>
                  <w:szCs w:val="18"/>
                </w:rPr>
                <w:lastRenderedPageBreak/>
                <w:t>本公司因处置部分权益性投资等原因丧失了对被投资单位的控制的，在编制个别财务报表时，处置后的剩余股权能够对被投资单位实施共同控制或施加重大影响的，应当改按权益法核算，并对该剩余股权视同自取得时即采用权益法核算进行调整；处置后的剩余股权不能对被投资单位实施共同控制或施加重大影响的，应当改按《企业会计准则第</w:t>
              </w:r>
              <w:r>
                <w:rPr>
                  <w:rFonts w:ascii="Arial Narrow" w:hAnsi="Arial Narrow" w:hint="eastAsia"/>
                  <w:sz w:val="21"/>
                  <w:szCs w:val="18"/>
                </w:rPr>
                <w:t>22</w:t>
              </w:r>
              <w:r>
                <w:rPr>
                  <w:rFonts w:ascii="Arial Narrow" w:hAnsi="Arial Narrow" w:hint="eastAsia"/>
                  <w:sz w:val="21"/>
                  <w:szCs w:val="18"/>
                </w:rPr>
                <w:t>号——金融工具确认和计量》的有关规定进行会计处理，其在丧失控制之日的公允价值与账面价值间的差额计入当期损益。</w:t>
              </w:r>
            </w:p>
            <w:p w14:paraId="2AE4DC9C" w14:textId="77777777" w:rsidR="002D0AE7" w:rsidRDefault="00333EBB">
              <w:pPr>
                <w:tabs>
                  <w:tab w:val="left" w:pos="0"/>
                </w:tabs>
                <w:snapToGrid w:val="0"/>
                <w:ind w:firstLineChars="200" w:firstLine="420"/>
                <w:rPr>
                  <w:rFonts w:ascii="Arial Narrow" w:hAnsi="Arial Narrow"/>
                  <w:sz w:val="21"/>
                  <w:szCs w:val="18"/>
                </w:rPr>
              </w:pPr>
              <w:r>
                <w:rPr>
                  <w:rFonts w:ascii="Arial Narrow" w:hAnsi="Arial Narrow" w:hint="eastAsia"/>
                  <w:sz w:val="21"/>
                  <w:szCs w:val="18"/>
                </w:rPr>
                <w:t>权益法核算的</w:t>
              </w:r>
              <w:r>
                <w:rPr>
                  <w:rFonts w:ascii="Arial Narrow" w:hAnsi="Arial Narrow"/>
                  <w:sz w:val="21"/>
                  <w:szCs w:val="18"/>
                </w:rPr>
                <w:t>被投资单位除净收益</w:t>
              </w:r>
              <w:r>
                <w:rPr>
                  <w:rFonts w:ascii="Arial Narrow" w:hAnsi="Arial Narrow" w:hint="eastAsia"/>
                  <w:sz w:val="21"/>
                  <w:szCs w:val="18"/>
                </w:rPr>
                <w:t>和其他综合收益</w:t>
              </w:r>
              <w:r>
                <w:rPr>
                  <w:rFonts w:ascii="Arial Narrow" w:hAnsi="Arial Narrow"/>
                  <w:sz w:val="21"/>
                  <w:szCs w:val="18"/>
                </w:rPr>
                <w:t>以外所有者权益其他变动的处理：对于被投资单位除净收益</w:t>
              </w:r>
              <w:r>
                <w:rPr>
                  <w:rFonts w:ascii="Arial Narrow" w:hAnsi="Arial Narrow" w:hint="eastAsia"/>
                  <w:sz w:val="21"/>
                  <w:szCs w:val="18"/>
                </w:rPr>
                <w:t>和其他综合收益</w:t>
              </w:r>
              <w:r>
                <w:rPr>
                  <w:rFonts w:ascii="Arial Narrow" w:hAnsi="Arial Narrow"/>
                  <w:sz w:val="21"/>
                  <w:szCs w:val="18"/>
                </w:rPr>
                <w:t>以外所有者权益的其他变动，在持股比例不变的情况下，公司按照持股比例计算应享有或应承担的部分，调整长期股权投资的账面价值，同时增加或减少资本公积（其他资本公积）。</w:t>
              </w:r>
            </w:p>
            <w:p w14:paraId="28F014E8" w14:textId="77777777" w:rsidR="002D0AE7" w:rsidRDefault="00333EBB">
              <w:pPr>
                <w:tabs>
                  <w:tab w:val="left" w:pos="0"/>
                </w:tabs>
                <w:snapToGrid w:val="0"/>
                <w:ind w:firstLineChars="200" w:firstLine="420"/>
                <w:rPr>
                  <w:rFonts w:ascii="Arial Narrow" w:hAnsi="Arial Narrow"/>
                  <w:b/>
                  <w:sz w:val="21"/>
                  <w:szCs w:val="18"/>
                </w:rPr>
              </w:pPr>
              <w:r>
                <w:rPr>
                  <w:rFonts w:ascii="Arial Narrow" w:hAnsi="Arial Narrow" w:hint="eastAsia"/>
                  <w:sz w:val="21"/>
                  <w:szCs w:val="18"/>
                </w:rPr>
                <w:t>（</w:t>
              </w:r>
              <w:r>
                <w:rPr>
                  <w:rFonts w:ascii="Arial Narrow" w:hAnsi="Arial Narrow" w:hint="eastAsia"/>
                  <w:sz w:val="21"/>
                  <w:szCs w:val="18"/>
                </w:rPr>
                <w:t>2</w:t>
              </w:r>
              <w:r>
                <w:rPr>
                  <w:rFonts w:ascii="Arial Narrow" w:hAnsi="Arial Narrow" w:hint="eastAsia"/>
                  <w:sz w:val="21"/>
                  <w:szCs w:val="18"/>
                </w:rPr>
                <w:t>）</w:t>
              </w:r>
              <w:r>
                <w:rPr>
                  <w:rFonts w:ascii="Arial Narrow" w:hAnsi="Arial Narrow"/>
                  <w:sz w:val="21"/>
                  <w:szCs w:val="18"/>
                </w:rPr>
                <w:t>损益调整</w:t>
              </w:r>
            </w:p>
            <w:p w14:paraId="1D5EBFA8" w14:textId="77777777" w:rsidR="002D0AE7" w:rsidRDefault="00333EBB">
              <w:pPr>
                <w:tabs>
                  <w:tab w:val="left" w:pos="0"/>
                </w:tabs>
                <w:snapToGrid w:val="0"/>
                <w:ind w:firstLineChars="200" w:firstLine="420"/>
                <w:rPr>
                  <w:rFonts w:ascii="Arial Narrow" w:hAnsi="Arial Narrow"/>
                  <w:b/>
                  <w:sz w:val="21"/>
                  <w:szCs w:val="18"/>
                </w:rPr>
              </w:pPr>
              <w:r>
                <w:rPr>
                  <w:rFonts w:ascii="Arial Narrow" w:hAnsi="Arial Narrow"/>
                  <w:sz w:val="21"/>
                  <w:szCs w:val="18"/>
                </w:rPr>
                <w:t>成本法下，除取得投资时实际支付的价款或对价中包含的已宣告但尚未发放的现金股利或利润外，本公司按照享有被投资单位宣告发放的现金股利或利润确认投资收益，不管有关利润分配是属于对取得投资前还是取得投资后被投资单位实现净利润的分配。</w:t>
              </w:r>
            </w:p>
            <w:p w14:paraId="56EB4C6C" w14:textId="77777777" w:rsidR="002D0AE7" w:rsidRDefault="00333EBB">
              <w:pPr>
                <w:tabs>
                  <w:tab w:val="left" w:pos="0"/>
                </w:tabs>
                <w:snapToGrid w:val="0"/>
                <w:ind w:firstLineChars="200" w:firstLine="420"/>
                <w:rPr>
                  <w:rFonts w:ascii="Arial Narrow" w:hAnsi="Arial Narrow"/>
                  <w:b/>
                  <w:sz w:val="21"/>
                  <w:szCs w:val="18"/>
                </w:rPr>
              </w:pPr>
              <w:r>
                <w:rPr>
                  <w:rFonts w:ascii="Arial Narrow" w:hAnsi="Arial Narrow"/>
                  <w:sz w:val="21"/>
                  <w:szCs w:val="18"/>
                </w:rPr>
                <w:t>权益法下，本公司</w:t>
              </w:r>
              <w:r>
                <w:rPr>
                  <w:rFonts w:ascii="Arial Narrow" w:hAnsi="Arial Narrow" w:hint="eastAsia"/>
                  <w:sz w:val="21"/>
                  <w:szCs w:val="18"/>
                </w:rPr>
                <w:t>取得长期股权投资后，应当按照应享有或应分担的被投资单位实现的净损益和其他综合收益的份额，分别确认投资收益和其他综合收益，同时调整长期股权投资的账面价值</w:t>
              </w:r>
              <w:r>
                <w:rPr>
                  <w:rFonts w:ascii="Arial Narrow" w:hAnsi="Arial Narrow"/>
                  <w:sz w:val="21"/>
                  <w:szCs w:val="18"/>
                </w:rPr>
                <w:t>。投资企业按照被投资单位宣告分派的利润或现金股利计算应分得的部分，相应减少长期股权投资的账面价值。投资企业确认被投资单位发生的净亏损，以长期股权投资的账面价值以及其他实质上构成对被投资单位净投资的长期权益减记至零为限，投资企业负有承担额外损失义务的除外。被投资单位以后实现净利润的，投资企业在其收益分享额弥补未确认的亏损分担额后，恢复确认收益分享额。</w:t>
              </w:r>
            </w:p>
            <w:p w14:paraId="1BDFB483" w14:textId="77777777" w:rsidR="002D0AE7" w:rsidRDefault="00333EBB">
              <w:pPr>
                <w:tabs>
                  <w:tab w:val="left" w:pos="0"/>
                </w:tabs>
                <w:snapToGrid w:val="0"/>
                <w:ind w:firstLineChars="200" w:firstLine="420"/>
                <w:rPr>
                  <w:rFonts w:ascii="Arial Narrow" w:hAnsi="Arial Narrow"/>
                  <w:b/>
                  <w:sz w:val="21"/>
                  <w:szCs w:val="18"/>
                </w:rPr>
              </w:pPr>
              <w:r>
                <w:rPr>
                  <w:rFonts w:ascii="Arial Narrow" w:hAnsi="Arial Narrow"/>
                  <w:sz w:val="21"/>
                  <w:szCs w:val="18"/>
                </w:rPr>
                <w:t>投资企业在确认应享有被投资单位净损益的份额时，应在被投资单位账面净利润的基础上考虑以下因素：被投资单位与本公司采用的会计政策或会计期间不一致，按本公司会计政策或会计期间对被投资单位的财务报表进行调整；以取得投资时被投资单位各项可辨认资产等的公允价值为基础，对被投资单位的净利润进行调整后确认；对本公司与联营企业及合营企业之间发生的未实现内部交易</w:t>
              </w:r>
              <w:r>
                <w:rPr>
                  <w:rFonts w:ascii="Arial Narrow" w:hAnsi="Arial Narrow" w:hint="eastAsia"/>
                  <w:sz w:val="21"/>
                  <w:szCs w:val="18"/>
                </w:rPr>
                <w:t>损益按照应享有的比例计算归属于本公司的部分</w:t>
              </w:r>
              <w:r>
                <w:rPr>
                  <w:rFonts w:ascii="Arial Narrow" w:hAnsi="Arial Narrow"/>
                  <w:sz w:val="21"/>
                  <w:szCs w:val="18"/>
                </w:rPr>
                <w:t>予以抵销。</w:t>
              </w:r>
              <w:r>
                <w:rPr>
                  <w:rFonts w:ascii="Arial Narrow" w:hAnsi="Arial Narrow" w:hint="eastAsia"/>
                  <w:sz w:val="21"/>
                  <w:szCs w:val="18"/>
                </w:rPr>
                <w:t>本公司与被投资单位发生的未实现内部交易损失，属于资产减值损失的，应当全额确认。</w:t>
              </w:r>
            </w:p>
            <w:p w14:paraId="701CC0EE" w14:textId="77777777" w:rsidR="002D0AE7" w:rsidRDefault="00333EBB">
              <w:pPr>
                <w:tabs>
                  <w:tab w:val="left" w:pos="0"/>
                </w:tabs>
                <w:snapToGrid w:val="0"/>
                <w:ind w:firstLineChars="200" w:firstLine="420"/>
                <w:rPr>
                  <w:rFonts w:ascii="Arial Narrow" w:hAnsi="Arial Narrow"/>
                  <w:b/>
                  <w:sz w:val="21"/>
                  <w:szCs w:val="18"/>
                </w:rPr>
              </w:pPr>
              <w:r>
                <w:rPr>
                  <w:rFonts w:ascii="Arial Narrow" w:hAnsi="Arial Narrow"/>
                  <w:sz w:val="21"/>
                  <w:szCs w:val="18"/>
                </w:rPr>
                <w:t>在持有投资期间，被投资单位能够提供合并财务报表的，应当以合并财务报表中的净利润和其他权益变动为基础核算。</w:t>
              </w:r>
            </w:p>
            <w:p w14:paraId="1A226545" w14:textId="77777777" w:rsidR="002D0AE7" w:rsidRDefault="00333EBB">
              <w:pPr>
                <w:tabs>
                  <w:tab w:val="left" w:pos="0"/>
                </w:tabs>
                <w:snapToGrid w:val="0"/>
                <w:ind w:firstLineChars="200" w:firstLine="420"/>
                <w:rPr>
                  <w:rFonts w:ascii="Arial Narrow" w:hAnsi="Arial Narrow"/>
                  <w:b/>
                  <w:sz w:val="21"/>
                  <w:szCs w:val="18"/>
                </w:rPr>
              </w:pPr>
              <w:r>
                <w:rPr>
                  <w:rFonts w:ascii="Arial Narrow" w:hAnsi="Arial Narrow"/>
                  <w:sz w:val="21"/>
                  <w:szCs w:val="18"/>
                </w:rPr>
                <w:t>处置长期股权投资，其账面价值与实际取得价款的差额，计入当期损益。</w:t>
              </w:r>
              <w:r>
                <w:rPr>
                  <w:rFonts w:ascii="Arial Narrow" w:hAnsi="Arial Narrow" w:hint="eastAsia"/>
                  <w:sz w:val="21"/>
                  <w:szCs w:val="18"/>
                </w:rPr>
                <w:t>采用权益法核算的长期股权投资，在处置该项投资时，采用与被投资单位直接处置相关资产或负债相同的基础，按相应比例对原计入其他综合收益的部分进行会计处理。</w:t>
              </w:r>
            </w:p>
            <w:p w14:paraId="3493D6D1" w14:textId="77777777" w:rsidR="002D0AE7" w:rsidRDefault="00333EBB">
              <w:pPr>
                <w:tabs>
                  <w:tab w:val="left" w:pos="0"/>
                </w:tabs>
                <w:snapToGrid w:val="0"/>
                <w:ind w:firstLineChars="200" w:firstLine="422"/>
                <w:rPr>
                  <w:rFonts w:ascii="Arial Narrow" w:hAnsi="Arial Narrow"/>
                  <w:b/>
                  <w:sz w:val="21"/>
                  <w:szCs w:val="18"/>
                </w:rPr>
              </w:pPr>
              <w:r>
                <w:rPr>
                  <w:rFonts w:ascii="Arial Narrow" w:hAnsi="Arial Narrow"/>
                  <w:b/>
                  <w:sz w:val="21"/>
                  <w:szCs w:val="18"/>
                </w:rPr>
                <w:t>3</w:t>
              </w:r>
              <w:r>
                <w:rPr>
                  <w:rFonts w:ascii="Arial Narrow" w:hAnsi="Arial Narrow"/>
                  <w:b/>
                  <w:sz w:val="21"/>
                  <w:szCs w:val="18"/>
                </w:rPr>
                <w:t>、确定对被投资单位具有共同控制、重大影响的依据</w:t>
              </w:r>
            </w:p>
            <w:p w14:paraId="26A4E618" w14:textId="77777777" w:rsidR="002D0AE7" w:rsidRDefault="00333EBB">
              <w:pPr>
                <w:tabs>
                  <w:tab w:val="left" w:pos="0"/>
                </w:tabs>
                <w:snapToGrid w:val="0"/>
                <w:ind w:firstLineChars="200" w:firstLine="420"/>
                <w:rPr>
                  <w:rFonts w:ascii="Arial Narrow" w:hAnsi="Arial Narrow"/>
                  <w:b/>
                  <w:sz w:val="21"/>
                  <w:szCs w:val="18"/>
                </w:rPr>
              </w:pPr>
              <w:r>
                <w:rPr>
                  <w:rFonts w:ascii="Arial Narrow" w:hAnsi="Arial Narrow"/>
                  <w:sz w:val="21"/>
                  <w:szCs w:val="18"/>
                </w:rPr>
                <w:t>共同控制，是指按照相关约定对某项安排所共有的控制，并且该安排的相关活动必须经过分享控制权的参与方一致同意后才能决策。合营安排，是指一项由两个或两个以上的参与方共同控制的安排。合营安排分为共同经营和合营企业。</w:t>
              </w:r>
            </w:p>
            <w:p w14:paraId="1F1BFC37" w14:textId="77777777" w:rsidR="002D0AE7" w:rsidRDefault="00333EBB">
              <w:pPr>
                <w:tabs>
                  <w:tab w:val="left" w:pos="0"/>
                </w:tabs>
                <w:snapToGrid w:val="0"/>
                <w:ind w:firstLineChars="200" w:firstLine="420"/>
                <w:rPr>
                  <w:rFonts w:ascii="Arial Narrow" w:hAnsi="Arial Narrow"/>
                  <w:b/>
                  <w:sz w:val="21"/>
                  <w:szCs w:val="18"/>
                </w:rPr>
              </w:pPr>
              <w:r>
                <w:rPr>
                  <w:rFonts w:ascii="Arial Narrow" w:hAnsi="Arial Narrow"/>
                  <w:sz w:val="21"/>
                  <w:szCs w:val="18"/>
                </w:rPr>
                <w:t>重大影响，是指对一个企业的财务和经营政策有参与决策的权利，但并不能够控制或者与其他方一起共同控制这些政策的制定。</w:t>
              </w:r>
              <w:r>
                <w:rPr>
                  <w:rFonts w:ascii="Arial Narrow" w:hAnsi="Arial Narrow" w:hint="eastAsia"/>
                  <w:sz w:val="21"/>
                  <w:szCs w:val="18"/>
                </w:rPr>
                <w:t>在确定能否对被投资单位施加重大影响时，应当考虑投资方和其他方持有的被投资单位当期可转换公司债券、当期可执行认股权证等潜在表决权因素。</w:t>
              </w:r>
              <w:r>
                <w:rPr>
                  <w:rFonts w:ascii="Arial Narrow" w:hAnsi="Arial Narrow"/>
                  <w:sz w:val="21"/>
                  <w:szCs w:val="18"/>
                </w:rPr>
                <w:t>投资企业能够对被投资单位施加重大影响的，被投资单位为其联营企业。</w:t>
              </w:r>
            </w:p>
            <w:p w14:paraId="0FA78720" w14:textId="77777777" w:rsidR="002D0AE7" w:rsidRDefault="00333EBB">
              <w:pPr>
                <w:tabs>
                  <w:tab w:val="left" w:pos="0"/>
                </w:tabs>
                <w:snapToGrid w:val="0"/>
                <w:ind w:firstLineChars="200" w:firstLine="422"/>
                <w:rPr>
                  <w:rFonts w:ascii="Arial Narrow" w:hAnsi="Arial Narrow"/>
                  <w:b/>
                  <w:sz w:val="21"/>
                  <w:szCs w:val="18"/>
                </w:rPr>
              </w:pPr>
              <w:r>
                <w:rPr>
                  <w:rFonts w:ascii="Arial Narrow" w:hAnsi="Arial Narrow"/>
                  <w:b/>
                  <w:sz w:val="21"/>
                  <w:szCs w:val="18"/>
                </w:rPr>
                <w:t>4</w:t>
              </w:r>
              <w:r>
                <w:rPr>
                  <w:rFonts w:ascii="Arial Narrow" w:hAnsi="Arial Narrow"/>
                  <w:b/>
                  <w:sz w:val="21"/>
                  <w:szCs w:val="18"/>
                </w:rPr>
                <w:t>、长期股权投资减值测试方法及减值准备计提方法：</w:t>
              </w:r>
            </w:p>
            <w:p w14:paraId="28F7927F" w14:textId="77777777" w:rsidR="002D0AE7" w:rsidRDefault="00333EBB">
              <w:pPr>
                <w:tabs>
                  <w:tab w:val="left" w:pos="0"/>
                </w:tabs>
                <w:snapToGrid w:val="0"/>
                <w:ind w:firstLineChars="200" w:firstLine="420"/>
                <w:rPr>
                  <w:rFonts w:ascii="Arial Narrow" w:hAnsi="Arial Narrow"/>
                  <w:sz w:val="21"/>
                  <w:szCs w:val="18"/>
                </w:rPr>
              </w:pPr>
              <w:r>
                <w:rPr>
                  <w:rFonts w:ascii="Arial Narrow" w:hAnsi="Arial Narrow" w:hint="eastAsia"/>
                  <w:sz w:val="21"/>
                  <w:szCs w:val="18"/>
                </w:rPr>
                <w:t>（</w:t>
              </w:r>
              <w:r>
                <w:rPr>
                  <w:rFonts w:ascii="Arial Narrow" w:hAnsi="Arial Narrow" w:hint="eastAsia"/>
                  <w:sz w:val="21"/>
                  <w:szCs w:val="18"/>
                </w:rPr>
                <w:t>1</w:t>
              </w:r>
              <w:r>
                <w:rPr>
                  <w:rFonts w:ascii="Arial Narrow" w:hAnsi="Arial Narrow" w:hint="eastAsia"/>
                  <w:sz w:val="21"/>
                  <w:szCs w:val="18"/>
                </w:rPr>
                <w:t>）</w:t>
              </w:r>
              <w:r>
                <w:rPr>
                  <w:rFonts w:ascii="Arial Narrow" w:hAnsi="Arial Narrow"/>
                  <w:sz w:val="21"/>
                  <w:szCs w:val="18"/>
                </w:rPr>
                <w:t>在资产负债表日根据内部及外部信息以确定对子公司、合营公司或联营公司的长期股权投资是否存在减值的迹象，对存在减值迹象的长期股权投资进行减值测试，估计其可收回金额。</w:t>
              </w:r>
            </w:p>
            <w:p w14:paraId="3CBBCAA2" w14:textId="77777777" w:rsidR="002D0AE7" w:rsidRDefault="00333EBB">
              <w:pPr>
                <w:tabs>
                  <w:tab w:val="left" w:pos="0"/>
                </w:tabs>
                <w:snapToGrid w:val="0"/>
                <w:ind w:firstLineChars="200" w:firstLine="420"/>
                <w:rPr>
                  <w:rFonts w:ascii="Arial Narrow" w:hAnsi="Arial Narrow"/>
                  <w:sz w:val="21"/>
                  <w:szCs w:val="18"/>
                </w:rPr>
              </w:pPr>
              <w:r>
                <w:rPr>
                  <w:rFonts w:ascii="Arial Narrow" w:hAnsi="Arial Narrow"/>
                  <w:sz w:val="21"/>
                  <w:szCs w:val="18"/>
                </w:rPr>
                <w:t>可收回金额的估计结果表明长期股权投资的可收回金额低于其账面价值的，长期股权投资的账面价值会减记至可收回金额，减记的金额确认为资产减值损失，计入当期损益，同时计提相应的减值准备。</w:t>
              </w:r>
            </w:p>
            <w:p w14:paraId="0B59810C" w14:textId="77777777" w:rsidR="002D0AE7" w:rsidRDefault="00333EBB">
              <w:pPr>
                <w:tabs>
                  <w:tab w:val="left" w:pos="0"/>
                </w:tabs>
                <w:snapToGrid w:val="0"/>
                <w:ind w:firstLineChars="200" w:firstLine="420"/>
                <w:rPr>
                  <w:rFonts w:ascii="Arial Narrow" w:hAnsi="Arial Narrow"/>
                  <w:sz w:val="21"/>
                  <w:szCs w:val="18"/>
                </w:rPr>
              </w:pPr>
              <w:r>
                <w:rPr>
                  <w:rFonts w:ascii="Arial Narrow" w:hAnsi="Arial Narrow"/>
                  <w:sz w:val="21"/>
                  <w:szCs w:val="18"/>
                </w:rPr>
                <w:t>可收回金额是指资产（或资产组、资产组组合，下同）的公允价值减去处置费用后的净额与资产预计未来现金流量的现值两者之间较高者。</w:t>
              </w:r>
            </w:p>
            <w:p w14:paraId="03B854D2" w14:textId="77777777" w:rsidR="002D0AE7" w:rsidRDefault="00333EBB">
              <w:pPr>
                <w:tabs>
                  <w:tab w:val="left" w:pos="0"/>
                </w:tabs>
                <w:snapToGrid w:val="0"/>
                <w:ind w:firstLineChars="200" w:firstLine="420"/>
                <w:rPr>
                  <w:rFonts w:ascii="Arial Narrow" w:hAnsi="Arial Narrow"/>
                  <w:sz w:val="21"/>
                  <w:szCs w:val="18"/>
                </w:rPr>
              </w:pPr>
              <w:r>
                <w:rPr>
                  <w:rFonts w:ascii="Arial Narrow" w:hAnsi="Arial Narrow"/>
                  <w:sz w:val="21"/>
                  <w:szCs w:val="18"/>
                </w:rPr>
                <w:lastRenderedPageBreak/>
                <w:t>资产的公允价值减去处置费用后的净额，是根据公平交易中销售协议价格减去可直接归属于该资产处置费用的金额确定。资产预计未来现金流量的现值，按照资产在持续使用过程中和最终处置时所产生的预计未来现金流量，选择恰当的税前折现率对其进行折现后的金额加以确定。</w:t>
              </w:r>
            </w:p>
            <w:p w14:paraId="519ABD40" w14:textId="77777777" w:rsidR="002D0AE7" w:rsidRDefault="00333EBB">
              <w:pPr>
                <w:tabs>
                  <w:tab w:val="left" w:pos="0"/>
                </w:tabs>
                <w:snapToGrid w:val="0"/>
                <w:ind w:firstLineChars="200" w:firstLine="420"/>
                <w:rPr>
                  <w:rFonts w:hint="eastAsia"/>
                  <w:szCs w:val="18"/>
                </w:rPr>
              </w:pPr>
              <w:r>
                <w:rPr>
                  <w:rFonts w:ascii="Arial Narrow" w:hAnsi="Arial Narrow" w:hint="eastAsia"/>
                  <w:sz w:val="21"/>
                  <w:szCs w:val="18"/>
                </w:rPr>
                <w:t>（</w:t>
              </w:r>
              <w:r>
                <w:rPr>
                  <w:rFonts w:ascii="Arial Narrow" w:hAnsi="Arial Narrow" w:hint="eastAsia"/>
                  <w:sz w:val="21"/>
                  <w:szCs w:val="18"/>
                </w:rPr>
                <w:t>2</w:t>
              </w:r>
              <w:r>
                <w:rPr>
                  <w:rFonts w:ascii="Arial Narrow" w:hAnsi="Arial Narrow" w:hint="eastAsia"/>
                  <w:sz w:val="21"/>
                  <w:szCs w:val="18"/>
                </w:rPr>
                <w:t>）</w:t>
              </w:r>
              <w:r>
                <w:rPr>
                  <w:rFonts w:ascii="Arial Narrow" w:hAnsi="Arial Narrow"/>
                  <w:sz w:val="21"/>
                  <w:szCs w:val="18"/>
                </w:rPr>
                <w:t>长期股权投资减值损失一经确认，在以后会计期间不得转回。</w:t>
              </w:r>
            </w:p>
          </w:sdtContent>
        </w:sdt>
      </w:sdtContent>
    </w:sdt>
    <w:p w14:paraId="385B2C99" w14:textId="77777777" w:rsidR="002D0AE7" w:rsidRDefault="00333EBB">
      <w:pPr>
        <w:pStyle w:val="3"/>
        <w:numPr>
          <w:ilvl w:val="0"/>
          <w:numId w:val="37"/>
        </w:numPr>
        <w:rPr>
          <w:rFonts w:ascii="宋体" w:hAnsi="宋体" w:hint="eastAsia"/>
          <w:color w:val="000000" w:themeColor="text1"/>
        </w:rPr>
      </w:pPr>
      <w:r>
        <w:rPr>
          <w:rFonts w:ascii="宋体" w:hAnsi="宋体"/>
          <w:color w:val="000000" w:themeColor="text1"/>
        </w:rPr>
        <w:t>固定资产</w:t>
      </w:r>
    </w:p>
    <w:p w14:paraId="1CCAB616" w14:textId="77777777" w:rsidR="002D0AE7" w:rsidRDefault="00333EBB">
      <w:pPr>
        <w:pStyle w:val="4"/>
        <w:numPr>
          <w:ilvl w:val="0"/>
          <w:numId w:val="38"/>
        </w:numPr>
        <w:rPr>
          <w:rFonts w:ascii="宋体" w:hAnsi="宋体" w:hint="eastAsia"/>
          <w:color w:val="000000" w:themeColor="text1"/>
        </w:rPr>
      </w:pPr>
      <w:r>
        <w:rPr>
          <w:rFonts w:ascii="宋体" w:hAnsi="宋体" w:hint="eastAsia"/>
          <w:color w:val="000000" w:themeColor="text1"/>
        </w:rPr>
        <w:t>确认条件</w:t>
      </w:r>
    </w:p>
    <w:sdt>
      <w:sdtPr>
        <w:rPr>
          <w:color w:val="000000" w:themeColor="text1"/>
        </w:rPr>
        <w:alias w:val="是否适用：固定资产确认条件[双击切换]"/>
        <w:tag w:val="_GBC_45cce032cd1f43bfad18a80dd94e9cc4"/>
        <w:id w:val="840202560"/>
        <w:placeholder>
          <w:docPart w:val="GBC22222222222222222222222222222"/>
        </w:placeholder>
      </w:sdtPr>
      <w:sdtEndPr/>
      <w:sdtContent>
        <w:p w14:paraId="27B82EEE"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bCs/>
          <w:color w:val="000000" w:themeColor="text1"/>
        </w:rPr>
        <w:alias w:val="固定资产确认条件"/>
        <w:tag w:val="_GBC_3044d53470b143fa9477fa34b85d4ec5"/>
        <w:id w:val="-456491337"/>
        <w:placeholder>
          <w:docPart w:val="GBC22222222222222222222222222222"/>
        </w:placeholder>
      </w:sdtPr>
      <w:sdtEndPr>
        <w:rPr>
          <w:b/>
          <w:color w:val="auto"/>
          <w:sz w:val="21"/>
        </w:rPr>
      </w:sdtEndPr>
      <w:sdtContent>
        <w:sdt>
          <w:sdtPr>
            <w:rPr>
              <w:bCs/>
            </w:rPr>
            <w:alias w:val="固定资产确认条件"/>
            <w:tag w:val="_GBC_3044d53470b143fa9477fa34b85d4ec5"/>
            <w:id w:val="143795786"/>
            <w:placeholder>
              <w:docPart w:val="60CB8780955446CF8BCB5D4742F625DA"/>
            </w:placeholder>
          </w:sdtPr>
          <w:sdtEndPr>
            <w:rPr>
              <w:b/>
              <w:sz w:val="21"/>
            </w:rPr>
          </w:sdtEndPr>
          <w:sdtContent>
            <w:p w14:paraId="5FED1822" w14:textId="77777777" w:rsidR="002D0AE7" w:rsidRDefault="00333EBB">
              <w:pPr>
                <w:snapToGrid w:val="0"/>
                <w:ind w:firstLineChars="200" w:firstLine="480"/>
                <w:rPr>
                  <w:rFonts w:ascii="Arial Narrow" w:hAnsi="Arial Narrow"/>
                  <w:b/>
                  <w:snapToGrid w:val="0"/>
                  <w:sz w:val="21"/>
                  <w:szCs w:val="18"/>
                </w:rPr>
              </w:pPr>
              <w:r>
                <w:rPr>
                  <w:rFonts w:ascii="Arial Narrow" w:hAnsi="Arial Narrow"/>
                  <w:sz w:val="21"/>
                  <w:szCs w:val="18"/>
                </w:rPr>
                <w:t>固定资产指为生产商品、提供劳务、出租或经营管理而持有，并且使用寿命超过一个会计年度的有形资产。固定资产在同时满足下列条件时予以确认：</w:t>
              </w:r>
            </w:p>
            <w:p w14:paraId="25C3A89E" w14:textId="77777777" w:rsidR="002D0AE7" w:rsidRDefault="00333EBB">
              <w:pPr>
                <w:snapToGrid w:val="0"/>
                <w:ind w:firstLineChars="200" w:firstLine="420"/>
                <w:rPr>
                  <w:rFonts w:ascii="Arial Narrow" w:hAnsi="Arial Narrow"/>
                  <w:b/>
                  <w:snapToGrid w:val="0"/>
                  <w:sz w:val="21"/>
                  <w:szCs w:val="18"/>
                </w:rPr>
              </w:pPr>
              <w:r>
                <w:rPr>
                  <w:rFonts w:ascii="Arial Narrow" w:hAnsi="Arial Narrow" w:hint="eastAsia"/>
                  <w:sz w:val="21"/>
                  <w:szCs w:val="18"/>
                </w:rPr>
                <w:t>（</w:t>
              </w:r>
              <w:r>
                <w:rPr>
                  <w:rFonts w:ascii="Arial Narrow" w:hAnsi="Arial Narrow" w:hint="eastAsia"/>
                  <w:sz w:val="21"/>
                  <w:szCs w:val="18"/>
                </w:rPr>
                <w:t>1</w:t>
              </w:r>
              <w:r>
                <w:rPr>
                  <w:rFonts w:ascii="Arial Narrow" w:hAnsi="Arial Narrow" w:hint="eastAsia"/>
                  <w:sz w:val="21"/>
                  <w:szCs w:val="18"/>
                </w:rPr>
                <w:t>）</w:t>
              </w:r>
              <w:r>
                <w:rPr>
                  <w:rFonts w:ascii="Arial Narrow" w:hAnsi="Arial Narrow"/>
                  <w:sz w:val="21"/>
                  <w:szCs w:val="18"/>
                </w:rPr>
                <w:t>与该固定资产有关的经济利益很可能流入公司；</w:t>
              </w:r>
            </w:p>
            <w:p w14:paraId="5E288E30" w14:textId="77777777" w:rsidR="002D0AE7" w:rsidRDefault="00333EBB">
              <w:pPr>
                <w:snapToGrid w:val="0"/>
                <w:ind w:firstLineChars="200" w:firstLine="420"/>
                <w:rPr>
                  <w:rFonts w:hint="eastAsia"/>
                  <w:b/>
                  <w:bCs/>
                  <w:sz w:val="21"/>
                </w:rPr>
              </w:pPr>
              <w:r>
                <w:rPr>
                  <w:rFonts w:ascii="Arial Narrow" w:hAnsi="Arial Narrow" w:hint="eastAsia"/>
                  <w:sz w:val="21"/>
                  <w:szCs w:val="18"/>
                </w:rPr>
                <w:t>（</w:t>
              </w:r>
              <w:r>
                <w:rPr>
                  <w:rFonts w:ascii="Arial Narrow" w:hAnsi="Arial Narrow" w:hint="eastAsia"/>
                  <w:sz w:val="21"/>
                  <w:szCs w:val="18"/>
                </w:rPr>
                <w:t>2</w:t>
              </w:r>
              <w:r>
                <w:rPr>
                  <w:rFonts w:ascii="Arial Narrow" w:hAnsi="Arial Narrow" w:hint="eastAsia"/>
                  <w:sz w:val="21"/>
                  <w:szCs w:val="18"/>
                </w:rPr>
                <w:t>）</w:t>
              </w:r>
              <w:r>
                <w:rPr>
                  <w:rFonts w:ascii="Arial Narrow" w:hAnsi="Arial Narrow"/>
                  <w:sz w:val="21"/>
                  <w:szCs w:val="18"/>
                </w:rPr>
                <w:t>该固定资产的成本能够可靠地计量。</w:t>
              </w:r>
            </w:p>
          </w:sdtContent>
        </w:sdt>
      </w:sdtContent>
    </w:sdt>
    <w:sdt>
      <w:sdtPr>
        <w:rPr>
          <w:rFonts w:ascii="宋体" w:hAnsi="宋体" w:cs="宋体"/>
          <w:b w:val="0"/>
          <w:bCs w:val="0"/>
          <w:color w:val="000000" w:themeColor="text1"/>
          <w:kern w:val="0"/>
          <w:szCs w:val="21"/>
        </w:rPr>
        <w:alias w:val="模块:固定资产折旧方法"/>
        <w:tag w:val="_GBC_7c749a57d4094b3386978c34c3487e2a"/>
        <w:id w:val="697594683"/>
        <w:lock w:val="sdtLocked"/>
        <w:placeholder>
          <w:docPart w:val="DefaultPlaceholder_-1854013440"/>
        </w:placeholder>
      </w:sdtPr>
      <w:sdtEndPr>
        <w:rPr>
          <w:rFonts w:hint="eastAsia"/>
          <w:color w:val="auto"/>
          <w:sz w:val="21"/>
          <w:szCs w:val="24"/>
        </w:rPr>
      </w:sdtEndPr>
      <w:sdtContent>
        <w:p w14:paraId="54E3AAA4" w14:textId="77777777" w:rsidR="002D0AE7" w:rsidRDefault="00333EBB">
          <w:pPr>
            <w:pStyle w:val="4"/>
            <w:numPr>
              <w:ilvl w:val="0"/>
              <w:numId w:val="38"/>
            </w:numPr>
            <w:rPr>
              <w:rFonts w:ascii="宋体" w:hAnsi="宋体" w:hint="eastAsia"/>
              <w:color w:val="000000" w:themeColor="text1"/>
            </w:rPr>
          </w:pPr>
          <w:r>
            <w:rPr>
              <w:rFonts w:ascii="宋体" w:hAnsi="宋体"/>
              <w:color w:val="000000" w:themeColor="text1"/>
            </w:rPr>
            <w:t>折旧方法</w:t>
          </w:r>
        </w:p>
        <w:sdt>
          <w:sdtPr>
            <w:rPr>
              <w:color w:val="000000" w:themeColor="text1"/>
            </w:rPr>
            <w:alias w:val="是否适用：固定资产折旧方法[双击切换]"/>
            <w:tag w:val="_GBC_c221ef38ff6a4242aab725946697311c"/>
            <w:id w:val="-1912228986"/>
            <w:placeholder>
              <w:docPart w:val="GBC22222222222222222222222222222"/>
            </w:placeholder>
          </w:sdtPr>
          <w:sdtEndPr/>
          <w:sdtContent>
            <w:p w14:paraId="3D16424D"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785"/>
            <w:gridCol w:w="1788"/>
            <w:gridCol w:w="1788"/>
            <w:gridCol w:w="1788"/>
          </w:tblGrid>
          <w:tr w:rsidR="002D0AE7" w14:paraId="3888C09E" w14:textId="77777777">
            <w:sdt>
              <w:sdtPr>
                <w:rPr>
                  <w:color w:val="000000" w:themeColor="text1"/>
                  <w:sz w:val="21"/>
                </w:rPr>
                <w:tag w:val="_PLD_d39db65ac15c4d7583d7fe75cb893517"/>
                <w:id w:val="453218759"/>
                <w:placeholder>
                  <w:docPart w:val="DefaultPlaceholder_-1854013440"/>
                </w:placeholder>
              </w:sdtPr>
              <w:sdtEndPr/>
              <w:sdtContent>
                <w:tc>
                  <w:tcPr>
                    <w:tcW w:w="949" w:type="pct"/>
                    <w:vAlign w:val="center"/>
                  </w:tcPr>
                  <w:p w14:paraId="19FA4CF5" w14:textId="77777777" w:rsidR="002D0AE7" w:rsidRDefault="00333EBB">
                    <w:pPr>
                      <w:jc w:val="center"/>
                      <w:rPr>
                        <w:rFonts w:hint="eastAsia"/>
                        <w:color w:val="000000" w:themeColor="text1"/>
                        <w:sz w:val="21"/>
                      </w:rPr>
                    </w:pPr>
                    <w:r>
                      <w:rPr>
                        <w:color w:val="000000" w:themeColor="text1"/>
                        <w:sz w:val="21"/>
                      </w:rPr>
                      <w:t>类别</w:t>
                    </w:r>
                  </w:p>
                </w:tc>
              </w:sdtContent>
            </w:sdt>
            <w:tc>
              <w:tcPr>
                <w:tcW w:w="1012" w:type="pct"/>
                <w:vAlign w:val="center"/>
              </w:tcPr>
              <w:p w14:paraId="32670355" w14:textId="77777777" w:rsidR="002D0AE7" w:rsidRDefault="00333EBB">
                <w:pPr>
                  <w:jc w:val="center"/>
                  <w:rPr>
                    <w:rFonts w:hint="eastAsia"/>
                    <w:color w:val="000000" w:themeColor="text1"/>
                    <w:sz w:val="21"/>
                  </w:rPr>
                </w:pPr>
                <w:r>
                  <w:rPr>
                    <w:rFonts w:hint="eastAsia"/>
                    <w:color w:val="000000" w:themeColor="text1"/>
                    <w:sz w:val="21"/>
                  </w:rPr>
                  <w:t>折旧方法</w:t>
                </w:r>
              </w:p>
            </w:tc>
            <w:tc>
              <w:tcPr>
                <w:tcW w:w="1013" w:type="pct"/>
                <w:vAlign w:val="center"/>
              </w:tcPr>
              <w:p w14:paraId="34F7B3CA" w14:textId="77777777" w:rsidR="002D0AE7" w:rsidRDefault="00333EBB">
                <w:pPr>
                  <w:jc w:val="center"/>
                  <w:rPr>
                    <w:rFonts w:hint="eastAsia"/>
                    <w:color w:val="000000" w:themeColor="text1"/>
                    <w:sz w:val="21"/>
                  </w:rPr>
                </w:pPr>
                <w:r>
                  <w:rPr>
                    <w:color w:val="000000" w:themeColor="text1"/>
                    <w:sz w:val="21"/>
                  </w:rPr>
                  <w:t>折旧年限（年）</w:t>
                </w:r>
              </w:p>
            </w:tc>
            <w:tc>
              <w:tcPr>
                <w:tcW w:w="1013" w:type="pct"/>
                <w:vAlign w:val="center"/>
              </w:tcPr>
              <w:p w14:paraId="1DB9130B" w14:textId="77777777" w:rsidR="002D0AE7" w:rsidRDefault="00333EBB">
                <w:pPr>
                  <w:jc w:val="center"/>
                  <w:rPr>
                    <w:rFonts w:hint="eastAsia"/>
                    <w:color w:val="000000" w:themeColor="text1"/>
                    <w:sz w:val="21"/>
                  </w:rPr>
                </w:pPr>
                <w:r>
                  <w:rPr>
                    <w:color w:val="000000" w:themeColor="text1"/>
                    <w:sz w:val="21"/>
                  </w:rPr>
                  <w:t>残值率</w:t>
                </w:r>
              </w:p>
            </w:tc>
            <w:tc>
              <w:tcPr>
                <w:tcW w:w="1013" w:type="pct"/>
                <w:vAlign w:val="center"/>
              </w:tcPr>
              <w:p w14:paraId="601C4B7C" w14:textId="77777777" w:rsidR="002D0AE7" w:rsidRDefault="00333EBB">
                <w:pPr>
                  <w:jc w:val="center"/>
                  <w:rPr>
                    <w:rFonts w:hint="eastAsia"/>
                    <w:color w:val="000000" w:themeColor="text1"/>
                    <w:sz w:val="21"/>
                  </w:rPr>
                </w:pPr>
                <w:r>
                  <w:rPr>
                    <w:color w:val="000000" w:themeColor="text1"/>
                    <w:sz w:val="21"/>
                  </w:rPr>
                  <w:t>年折旧率</w:t>
                </w:r>
              </w:p>
            </w:tc>
          </w:tr>
          <w:tr w:rsidR="002D0AE7" w14:paraId="1D39D420" w14:textId="77777777">
            <w:tc>
              <w:tcPr>
                <w:tcW w:w="949" w:type="pct"/>
              </w:tcPr>
              <w:p w14:paraId="71524ECD" w14:textId="77777777" w:rsidR="002D0AE7" w:rsidRDefault="00333EBB">
                <w:pPr>
                  <w:rPr>
                    <w:rFonts w:hint="eastAsia"/>
                    <w:sz w:val="21"/>
                  </w:rPr>
                </w:pPr>
                <w:r>
                  <w:rPr>
                    <w:sz w:val="21"/>
                  </w:rPr>
                  <w:t>房屋及建筑物</w:t>
                </w:r>
              </w:p>
            </w:tc>
            <w:tc>
              <w:tcPr>
                <w:tcW w:w="1012" w:type="pct"/>
              </w:tcPr>
              <w:p w14:paraId="7DA613C4" w14:textId="77777777" w:rsidR="002D0AE7" w:rsidRDefault="00333EBB">
                <w:pPr>
                  <w:rPr>
                    <w:rFonts w:hint="eastAsia"/>
                    <w:sz w:val="21"/>
                  </w:rPr>
                </w:pPr>
                <w:r>
                  <w:rPr>
                    <w:sz w:val="21"/>
                  </w:rPr>
                  <w:t>直线法</w:t>
                </w:r>
              </w:p>
            </w:tc>
            <w:tc>
              <w:tcPr>
                <w:tcW w:w="1013" w:type="pct"/>
              </w:tcPr>
              <w:p w14:paraId="67514BCC" w14:textId="77777777" w:rsidR="002D0AE7" w:rsidRDefault="00333EBB">
                <w:pPr>
                  <w:rPr>
                    <w:rFonts w:hint="eastAsia"/>
                    <w:sz w:val="21"/>
                  </w:rPr>
                </w:pPr>
                <w:r>
                  <w:rPr>
                    <w:sz w:val="21"/>
                  </w:rPr>
                  <w:t>15-40</w:t>
                </w:r>
              </w:p>
            </w:tc>
            <w:tc>
              <w:tcPr>
                <w:tcW w:w="1013" w:type="pct"/>
              </w:tcPr>
              <w:p w14:paraId="34D5CC38" w14:textId="77777777" w:rsidR="002D0AE7" w:rsidRDefault="00333EBB">
                <w:pPr>
                  <w:rPr>
                    <w:rFonts w:hint="eastAsia"/>
                    <w:sz w:val="21"/>
                  </w:rPr>
                </w:pPr>
                <w:r>
                  <w:rPr>
                    <w:sz w:val="21"/>
                  </w:rPr>
                  <w:t>5%</w:t>
                </w:r>
              </w:p>
            </w:tc>
            <w:tc>
              <w:tcPr>
                <w:tcW w:w="1013" w:type="pct"/>
              </w:tcPr>
              <w:p w14:paraId="09084488" w14:textId="77777777" w:rsidR="002D0AE7" w:rsidRDefault="00333EBB">
                <w:pPr>
                  <w:rPr>
                    <w:rFonts w:hint="eastAsia"/>
                    <w:sz w:val="21"/>
                  </w:rPr>
                </w:pPr>
                <w:r>
                  <w:rPr>
                    <w:sz w:val="21"/>
                  </w:rPr>
                  <w:t>2.38%-6.33%</w:t>
                </w:r>
              </w:p>
            </w:tc>
          </w:tr>
          <w:tr w:rsidR="002D0AE7" w14:paraId="0D41DD7D" w14:textId="77777777">
            <w:tc>
              <w:tcPr>
                <w:tcW w:w="949" w:type="pct"/>
              </w:tcPr>
              <w:p w14:paraId="4E8B8460" w14:textId="77777777" w:rsidR="002D0AE7" w:rsidRDefault="00333EBB">
                <w:pPr>
                  <w:rPr>
                    <w:rFonts w:hint="eastAsia"/>
                    <w:sz w:val="21"/>
                  </w:rPr>
                </w:pPr>
                <w:r>
                  <w:rPr>
                    <w:sz w:val="21"/>
                  </w:rPr>
                  <w:t>机器设备</w:t>
                </w:r>
              </w:p>
            </w:tc>
            <w:tc>
              <w:tcPr>
                <w:tcW w:w="1012" w:type="pct"/>
              </w:tcPr>
              <w:p w14:paraId="59622BEB" w14:textId="77777777" w:rsidR="002D0AE7" w:rsidRDefault="00333EBB">
                <w:pPr>
                  <w:rPr>
                    <w:rFonts w:hint="eastAsia"/>
                    <w:sz w:val="21"/>
                  </w:rPr>
                </w:pPr>
                <w:r>
                  <w:rPr>
                    <w:sz w:val="21"/>
                  </w:rPr>
                  <w:t>直线法</w:t>
                </w:r>
              </w:p>
            </w:tc>
            <w:tc>
              <w:tcPr>
                <w:tcW w:w="1013" w:type="pct"/>
              </w:tcPr>
              <w:p w14:paraId="263BB66E" w14:textId="77777777" w:rsidR="002D0AE7" w:rsidRDefault="00333EBB">
                <w:pPr>
                  <w:rPr>
                    <w:rFonts w:hint="eastAsia"/>
                    <w:sz w:val="21"/>
                  </w:rPr>
                </w:pPr>
                <w:r>
                  <w:rPr>
                    <w:sz w:val="21"/>
                  </w:rPr>
                  <w:t>7-15</w:t>
                </w:r>
              </w:p>
            </w:tc>
            <w:tc>
              <w:tcPr>
                <w:tcW w:w="1013" w:type="pct"/>
              </w:tcPr>
              <w:p w14:paraId="5BD26E8E" w14:textId="77777777" w:rsidR="002D0AE7" w:rsidRDefault="00333EBB">
                <w:pPr>
                  <w:rPr>
                    <w:rFonts w:hint="eastAsia"/>
                    <w:sz w:val="21"/>
                  </w:rPr>
                </w:pPr>
                <w:r>
                  <w:rPr>
                    <w:sz w:val="21"/>
                  </w:rPr>
                  <w:t>5%</w:t>
                </w:r>
              </w:p>
            </w:tc>
            <w:tc>
              <w:tcPr>
                <w:tcW w:w="1013" w:type="pct"/>
              </w:tcPr>
              <w:p w14:paraId="32E81A33" w14:textId="77777777" w:rsidR="002D0AE7" w:rsidRDefault="00333EBB">
                <w:pPr>
                  <w:rPr>
                    <w:rFonts w:hint="eastAsia"/>
                    <w:sz w:val="21"/>
                  </w:rPr>
                </w:pPr>
                <w:r>
                  <w:rPr>
                    <w:sz w:val="21"/>
                  </w:rPr>
                  <w:t>6.33%-13.57%</w:t>
                </w:r>
              </w:p>
            </w:tc>
          </w:tr>
          <w:tr w:rsidR="002D0AE7" w14:paraId="2AF8BAA7" w14:textId="77777777">
            <w:tc>
              <w:tcPr>
                <w:tcW w:w="949" w:type="pct"/>
              </w:tcPr>
              <w:p w14:paraId="32DAB869" w14:textId="77777777" w:rsidR="002D0AE7" w:rsidRDefault="00333EBB">
                <w:pPr>
                  <w:rPr>
                    <w:rFonts w:hint="eastAsia"/>
                    <w:sz w:val="21"/>
                  </w:rPr>
                </w:pPr>
                <w:r>
                  <w:rPr>
                    <w:sz w:val="21"/>
                  </w:rPr>
                  <w:t>运输设备</w:t>
                </w:r>
              </w:p>
            </w:tc>
            <w:tc>
              <w:tcPr>
                <w:tcW w:w="1012" w:type="pct"/>
              </w:tcPr>
              <w:p w14:paraId="0BE1703C" w14:textId="77777777" w:rsidR="002D0AE7" w:rsidRDefault="00333EBB">
                <w:pPr>
                  <w:rPr>
                    <w:rFonts w:hint="eastAsia"/>
                    <w:sz w:val="21"/>
                  </w:rPr>
                </w:pPr>
                <w:r>
                  <w:rPr>
                    <w:sz w:val="21"/>
                  </w:rPr>
                  <w:t>直线法</w:t>
                </w:r>
              </w:p>
            </w:tc>
            <w:tc>
              <w:tcPr>
                <w:tcW w:w="1013" w:type="pct"/>
              </w:tcPr>
              <w:p w14:paraId="629B6A56" w14:textId="77777777" w:rsidR="002D0AE7" w:rsidRDefault="00333EBB">
                <w:pPr>
                  <w:rPr>
                    <w:rFonts w:hint="eastAsia"/>
                    <w:sz w:val="21"/>
                  </w:rPr>
                </w:pPr>
                <w:r>
                  <w:rPr>
                    <w:sz w:val="21"/>
                  </w:rPr>
                  <w:t>6-10</w:t>
                </w:r>
              </w:p>
            </w:tc>
            <w:tc>
              <w:tcPr>
                <w:tcW w:w="1013" w:type="pct"/>
              </w:tcPr>
              <w:p w14:paraId="7F4B5C73" w14:textId="77777777" w:rsidR="002D0AE7" w:rsidRDefault="00333EBB">
                <w:pPr>
                  <w:rPr>
                    <w:rFonts w:hint="eastAsia"/>
                    <w:sz w:val="21"/>
                  </w:rPr>
                </w:pPr>
                <w:r>
                  <w:rPr>
                    <w:sz w:val="21"/>
                  </w:rPr>
                  <w:t>5%</w:t>
                </w:r>
              </w:p>
            </w:tc>
            <w:tc>
              <w:tcPr>
                <w:tcW w:w="1013" w:type="pct"/>
              </w:tcPr>
              <w:p w14:paraId="0926A79C" w14:textId="77777777" w:rsidR="002D0AE7" w:rsidRDefault="00333EBB">
                <w:pPr>
                  <w:rPr>
                    <w:rFonts w:hint="eastAsia"/>
                    <w:sz w:val="21"/>
                  </w:rPr>
                </w:pPr>
                <w:r>
                  <w:rPr>
                    <w:sz w:val="21"/>
                  </w:rPr>
                  <w:t>9.50%-15.83%</w:t>
                </w:r>
              </w:p>
            </w:tc>
          </w:tr>
          <w:tr w:rsidR="002D0AE7" w14:paraId="374D89B1" w14:textId="77777777">
            <w:tc>
              <w:tcPr>
                <w:tcW w:w="949" w:type="pct"/>
              </w:tcPr>
              <w:p w14:paraId="231D6E3D" w14:textId="77777777" w:rsidR="002D0AE7" w:rsidRDefault="00333EBB">
                <w:pPr>
                  <w:rPr>
                    <w:rFonts w:hint="eastAsia"/>
                    <w:sz w:val="21"/>
                  </w:rPr>
                </w:pPr>
                <w:r>
                  <w:rPr>
                    <w:sz w:val="21"/>
                  </w:rPr>
                  <w:t>办公设备</w:t>
                </w:r>
              </w:p>
            </w:tc>
            <w:tc>
              <w:tcPr>
                <w:tcW w:w="1012" w:type="pct"/>
              </w:tcPr>
              <w:p w14:paraId="3B1ADE45" w14:textId="77777777" w:rsidR="002D0AE7" w:rsidRDefault="00333EBB">
                <w:pPr>
                  <w:rPr>
                    <w:rFonts w:hint="eastAsia"/>
                    <w:sz w:val="21"/>
                  </w:rPr>
                </w:pPr>
                <w:r>
                  <w:rPr>
                    <w:sz w:val="21"/>
                  </w:rPr>
                  <w:t>直线法</w:t>
                </w:r>
              </w:p>
            </w:tc>
            <w:tc>
              <w:tcPr>
                <w:tcW w:w="1013" w:type="pct"/>
              </w:tcPr>
              <w:p w14:paraId="10CDDB2E" w14:textId="77777777" w:rsidR="002D0AE7" w:rsidRDefault="00333EBB">
                <w:pPr>
                  <w:rPr>
                    <w:rFonts w:hint="eastAsia"/>
                    <w:sz w:val="21"/>
                  </w:rPr>
                </w:pPr>
                <w:r>
                  <w:rPr>
                    <w:sz w:val="21"/>
                  </w:rPr>
                  <w:t>5</w:t>
                </w:r>
              </w:p>
            </w:tc>
            <w:tc>
              <w:tcPr>
                <w:tcW w:w="1013" w:type="pct"/>
              </w:tcPr>
              <w:p w14:paraId="445E2C95" w14:textId="77777777" w:rsidR="002D0AE7" w:rsidRDefault="00333EBB">
                <w:pPr>
                  <w:rPr>
                    <w:rFonts w:hint="eastAsia"/>
                    <w:sz w:val="21"/>
                  </w:rPr>
                </w:pPr>
                <w:r>
                  <w:rPr>
                    <w:sz w:val="21"/>
                  </w:rPr>
                  <w:t>5%</w:t>
                </w:r>
              </w:p>
            </w:tc>
            <w:tc>
              <w:tcPr>
                <w:tcW w:w="1013" w:type="pct"/>
              </w:tcPr>
              <w:p w14:paraId="6BE124CC" w14:textId="77777777" w:rsidR="002D0AE7" w:rsidRDefault="00333EBB">
                <w:pPr>
                  <w:rPr>
                    <w:rFonts w:hint="eastAsia"/>
                    <w:sz w:val="21"/>
                  </w:rPr>
                </w:pPr>
                <w:r>
                  <w:rPr>
                    <w:sz w:val="21"/>
                  </w:rPr>
                  <w:t>19.00%</w:t>
                </w:r>
              </w:p>
            </w:tc>
          </w:tr>
          <w:tr w:rsidR="002D0AE7" w14:paraId="708E8DB3" w14:textId="77777777">
            <w:tc>
              <w:tcPr>
                <w:tcW w:w="949" w:type="pct"/>
              </w:tcPr>
              <w:p w14:paraId="34A80E36" w14:textId="77777777" w:rsidR="002D0AE7" w:rsidRDefault="00333EBB">
                <w:pPr>
                  <w:rPr>
                    <w:rFonts w:hint="eastAsia"/>
                    <w:sz w:val="21"/>
                  </w:rPr>
                </w:pPr>
                <w:r>
                  <w:rPr>
                    <w:sz w:val="21"/>
                  </w:rPr>
                  <w:t>电子设备</w:t>
                </w:r>
              </w:p>
            </w:tc>
            <w:tc>
              <w:tcPr>
                <w:tcW w:w="1012" w:type="pct"/>
              </w:tcPr>
              <w:p w14:paraId="2E360F53" w14:textId="77777777" w:rsidR="002D0AE7" w:rsidRDefault="00333EBB">
                <w:pPr>
                  <w:rPr>
                    <w:rFonts w:hint="eastAsia"/>
                    <w:sz w:val="21"/>
                  </w:rPr>
                </w:pPr>
                <w:r>
                  <w:rPr>
                    <w:sz w:val="21"/>
                  </w:rPr>
                  <w:t>直线法</w:t>
                </w:r>
              </w:p>
            </w:tc>
            <w:tc>
              <w:tcPr>
                <w:tcW w:w="1013" w:type="pct"/>
              </w:tcPr>
              <w:p w14:paraId="6AF6B798" w14:textId="77777777" w:rsidR="002D0AE7" w:rsidRDefault="00333EBB">
                <w:pPr>
                  <w:rPr>
                    <w:rFonts w:hint="eastAsia"/>
                    <w:sz w:val="21"/>
                  </w:rPr>
                </w:pPr>
                <w:r>
                  <w:rPr>
                    <w:sz w:val="21"/>
                  </w:rPr>
                  <w:t>5</w:t>
                </w:r>
              </w:p>
            </w:tc>
            <w:tc>
              <w:tcPr>
                <w:tcW w:w="1013" w:type="pct"/>
              </w:tcPr>
              <w:p w14:paraId="15EE3742" w14:textId="77777777" w:rsidR="002D0AE7" w:rsidRDefault="00333EBB">
                <w:pPr>
                  <w:rPr>
                    <w:rFonts w:hint="eastAsia"/>
                    <w:sz w:val="21"/>
                  </w:rPr>
                </w:pPr>
                <w:r>
                  <w:rPr>
                    <w:sz w:val="21"/>
                  </w:rPr>
                  <w:t>5%</w:t>
                </w:r>
              </w:p>
            </w:tc>
            <w:tc>
              <w:tcPr>
                <w:tcW w:w="1013" w:type="pct"/>
              </w:tcPr>
              <w:p w14:paraId="6ECAAE53" w14:textId="77777777" w:rsidR="002D0AE7" w:rsidRDefault="00333EBB">
                <w:pPr>
                  <w:rPr>
                    <w:rFonts w:hint="eastAsia"/>
                    <w:sz w:val="21"/>
                  </w:rPr>
                </w:pPr>
                <w:r>
                  <w:rPr>
                    <w:sz w:val="21"/>
                  </w:rPr>
                  <w:t>19.00%</w:t>
                </w:r>
              </w:p>
            </w:tc>
          </w:tr>
          <w:tr w:rsidR="002D0AE7" w14:paraId="6BF7815E" w14:textId="77777777">
            <w:tc>
              <w:tcPr>
                <w:tcW w:w="949" w:type="pct"/>
              </w:tcPr>
              <w:p w14:paraId="27DF0D6E" w14:textId="77777777" w:rsidR="002D0AE7" w:rsidRDefault="00333EBB">
                <w:pPr>
                  <w:rPr>
                    <w:rFonts w:hint="eastAsia"/>
                    <w:sz w:val="21"/>
                  </w:rPr>
                </w:pPr>
                <w:r>
                  <w:rPr>
                    <w:sz w:val="21"/>
                  </w:rPr>
                  <w:t>其他设备</w:t>
                </w:r>
              </w:p>
            </w:tc>
            <w:tc>
              <w:tcPr>
                <w:tcW w:w="1012" w:type="pct"/>
              </w:tcPr>
              <w:p w14:paraId="3313031D" w14:textId="77777777" w:rsidR="002D0AE7" w:rsidRDefault="00333EBB">
                <w:pPr>
                  <w:rPr>
                    <w:rFonts w:hint="eastAsia"/>
                    <w:sz w:val="21"/>
                  </w:rPr>
                </w:pPr>
                <w:r>
                  <w:rPr>
                    <w:sz w:val="21"/>
                  </w:rPr>
                  <w:t>直线法</w:t>
                </w:r>
              </w:p>
            </w:tc>
            <w:tc>
              <w:tcPr>
                <w:tcW w:w="1013" w:type="pct"/>
              </w:tcPr>
              <w:p w14:paraId="7B6B3451" w14:textId="77777777" w:rsidR="002D0AE7" w:rsidRDefault="00333EBB">
                <w:pPr>
                  <w:rPr>
                    <w:rFonts w:hint="eastAsia"/>
                    <w:sz w:val="21"/>
                  </w:rPr>
                </w:pPr>
                <w:r>
                  <w:rPr>
                    <w:sz w:val="21"/>
                  </w:rPr>
                  <w:t>5</w:t>
                </w:r>
              </w:p>
            </w:tc>
            <w:tc>
              <w:tcPr>
                <w:tcW w:w="1013" w:type="pct"/>
              </w:tcPr>
              <w:p w14:paraId="5AC2FDE3" w14:textId="77777777" w:rsidR="002D0AE7" w:rsidRDefault="00333EBB">
                <w:pPr>
                  <w:rPr>
                    <w:rFonts w:hint="eastAsia"/>
                    <w:sz w:val="21"/>
                  </w:rPr>
                </w:pPr>
                <w:r>
                  <w:rPr>
                    <w:sz w:val="21"/>
                  </w:rPr>
                  <w:t>5%</w:t>
                </w:r>
              </w:p>
            </w:tc>
            <w:tc>
              <w:tcPr>
                <w:tcW w:w="1013" w:type="pct"/>
              </w:tcPr>
              <w:p w14:paraId="0592CE0D" w14:textId="77777777" w:rsidR="002D0AE7" w:rsidRDefault="00333EBB">
                <w:pPr>
                  <w:rPr>
                    <w:rFonts w:hint="eastAsia"/>
                    <w:sz w:val="21"/>
                  </w:rPr>
                </w:pPr>
                <w:r>
                  <w:rPr>
                    <w:sz w:val="21"/>
                  </w:rPr>
                  <w:t>19.00%</w:t>
                </w:r>
              </w:p>
            </w:tc>
          </w:tr>
        </w:tbl>
        <w:p w14:paraId="112AD947" w14:textId="77777777" w:rsidR="002D0AE7" w:rsidRDefault="00333EBB">
          <w:pPr>
            <w:snapToGrid w:val="0"/>
            <w:ind w:firstLineChars="200" w:firstLine="420"/>
            <w:rPr>
              <w:rFonts w:ascii="Arial Narrow" w:hAnsi="Arial Narrow"/>
              <w:b/>
              <w:snapToGrid w:val="0"/>
              <w:sz w:val="21"/>
              <w:szCs w:val="18"/>
            </w:rPr>
          </w:pPr>
          <w:r>
            <w:rPr>
              <w:rFonts w:ascii="Arial Narrow" w:hAnsi="Arial Narrow"/>
              <w:sz w:val="21"/>
              <w:szCs w:val="18"/>
            </w:rPr>
            <w:t>固定资产折旧采用年限平均法分类计提，根据固定资产类别、预计使用寿命和预计净残值率确定折旧率。如固定资产各组成部分的使用寿命不同或者以不同方式为本公司提供经济效益，则选择不同折旧率或折旧方法，分别计提折旧。</w:t>
          </w:r>
        </w:p>
        <w:p w14:paraId="33DE4273" w14:textId="77777777" w:rsidR="002D0AE7" w:rsidRDefault="00333EBB">
          <w:pPr>
            <w:snapToGrid w:val="0"/>
            <w:ind w:firstLineChars="200" w:firstLine="420"/>
            <w:rPr>
              <w:rFonts w:ascii="Arial Narrow" w:hAnsi="Arial Narrow"/>
              <w:b/>
              <w:snapToGrid w:val="0"/>
              <w:sz w:val="21"/>
              <w:szCs w:val="18"/>
            </w:rPr>
          </w:pPr>
          <w:r>
            <w:rPr>
              <w:rFonts w:ascii="Arial Narrow" w:hAnsi="Arial Narrow"/>
              <w:sz w:val="21"/>
              <w:szCs w:val="18"/>
            </w:rPr>
            <w:t>融资租赁方式租入的固定资产，能够合理确定租赁期届满时将会取得租赁资产所有权的，在租赁资产尚可使用年限内计提折旧；无法合理确定租赁期届满时能够取得租赁资产所有权的，在租赁期与租赁资产尚可使用年限两者中较短的期间内计提折旧。</w:t>
          </w:r>
        </w:p>
        <w:p w14:paraId="70A7FE75" w14:textId="77777777" w:rsidR="002D0AE7" w:rsidRDefault="00333EBB">
          <w:pPr>
            <w:snapToGrid w:val="0"/>
            <w:rPr>
              <w:rFonts w:ascii="Arial Narrow" w:hAnsi="Arial Narrow"/>
              <w:b/>
              <w:snapToGrid w:val="0"/>
              <w:sz w:val="21"/>
              <w:szCs w:val="18"/>
            </w:rPr>
          </w:pPr>
          <w:r>
            <w:rPr>
              <w:rFonts w:ascii="Arial Narrow" w:hAnsi="Arial Narrow" w:hint="eastAsia"/>
              <w:b/>
              <w:sz w:val="21"/>
              <w:szCs w:val="18"/>
            </w:rPr>
            <w:t>（</w:t>
          </w:r>
          <w:r>
            <w:rPr>
              <w:rFonts w:ascii="Arial Narrow" w:hAnsi="Arial Narrow" w:hint="eastAsia"/>
              <w:b/>
              <w:sz w:val="21"/>
              <w:szCs w:val="18"/>
            </w:rPr>
            <w:t>3</w:t>
          </w:r>
          <w:r>
            <w:rPr>
              <w:rFonts w:ascii="Arial Narrow" w:hAnsi="Arial Narrow" w:hint="eastAsia"/>
              <w:b/>
              <w:sz w:val="21"/>
              <w:szCs w:val="18"/>
            </w:rPr>
            <w:t>）</w:t>
          </w:r>
          <w:r>
            <w:rPr>
              <w:rFonts w:ascii="Arial Narrow" w:hAnsi="Arial Narrow"/>
              <w:b/>
              <w:sz w:val="21"/>
              <w:szCs w:val="18"/>
            </w:rPr>
            <w:t>固定资产的计价方法：</w:t>
          </w:r>
        </w:p>
        <w:p w14:paraId="77D9AFAF" w14:textId="77777777" w:rsidR="002D0AE7" w:rsidRDefault="00333EBB">
          <w:pPr>
            <w:snapToGrid w:val="0"/>
            <w:ind w:firstLineChars="200" w:firstLine="420"/>
            <w:rPr>
              <w:rFonts w:ascii="Arial Narrow" w:hAnsi="Arial Narrow"/>
              <w:b/>
              <w:snapToGrid w:val="0"/>
              <w:sz w:val="21"/>
              <w:szCs w:val="18"/>
            </w:rPr>
          </w:pPr>
          <w:r>
            <w:rPr>
              <w:rFonts w:ascii="Arial Narrow" w:hAnsi="Arial Narrow" w:hint="eastAsia"/>
              <w:sz w:val="21"/>
              <w:szCs w:val="18"/>
            </w:rPr>
            <w:t>（</w:t>
          </w:r>
          <w:r>
            <w:rPr>
              <w:rFonts w:ascii="Arial Narrow" w:hAnsi="Arial Narrow" w:hint="eastAsia"/>
              <w:sz w:val="21"/>
              <w:szCs w:val="18"/>
            </w:rPr>
            <w:t>1</w:t>
          </w:r>
          <w:r>
            <w:rPr>
              <w:rFonts w:ascii="Arial Narrow" w:hAnsi="Arial Narrow" w:hint="eastAsia"/>
              <w:sz w:val="21"/>
              <w:szCs w:val="18"/>
            </w:rPr>
            <w:t>）</w:t>
          </w:r>
          <w:r>
            <w:rPr>
              <w:rFonts w:ascii="Arial Narrow" w:hAnsi="Arial Narrow"/>
              <w:sz w:val="21"/>
              <w:szCs w:val="18"/>
            </w:rPr>
            <w:t>购入的固定资产，以实际支付的买价、包装费、运输费、安装成本、交纳的有关税金以及为使固定资产达到预定可使用状态前发生的可直接归属于该资产的其他支出计价；</w:t>
          </w:r>
        </w:p>
        <w:p w14:paraId="7535BD0A" w14:textId="77777777" w:rsidR="002D0AE7" w:rsidRDefault="00333EBB">
          <w:pPr>
            <w:snapToGrid w:val="0"/>
            <w:ind w:firstLineChars="200" w:firstLine="420"/>
            <w:rPr>
              <w:rFonts w:ascii="Arial Narrow" w:hAnsi="Arial Narrow"/>
              <w:b/>
              <w:snapToGrid w:val="0"/>
              <w:sz w:val="21"/>
              <w:szCs w:val="18"/>
            </w:rPr>
          </w:pPr>
          <w:r>
            <w:rPr>
              <w:rFonts w:ascii="Arial Narrow" w:hAnsi="Arial Narrow" w:hint="eastAsia"/>
              <w:sz w:val="21"/>
              <w:szCs w:val="18"/>
            </w:rPr>
            <w:t>（</w:t>
          </w:r>
          <w:r>
            <w:rPr>
              <w:rFonts w:ascii="Arial Narrow" w:hAnsi="Arial Narrow"/>
              <w:sz w:val="21"/>
              <w:szCs w:val="18"/>
            </w:rPr>
            <w:t>2</w:t>
          </w:r>
          <w:r>
            <w:rPr>
              <w:rFonts w:ascii="Arial Narrow" w:hAnsi="Arial Narrow" w:hint="eastAsia"/>
              <w:sz w:val="21"/>
              <w:szCs w:val="18"/>
            </w:rPr>
            <w:t>）</w:t>
          </w:r>
          <w:r>
            <w:rPr>
              <w:rFonts w:ascii="Arial Narrow" w:hAnsi="Arial Narrow"/>
              <w:sz w:val="21"/>
              <w:szCs w:val="18"/>
            </w:rPr>
            <w:t>自行建造的固定资产，按建造过程中实际发生的全部支出计价；</w:t>
          </w:r>
        </w:p>
        <w:p w14:paraId="29A21B33" w14:textId="77777777" w:rsidR="002D0AE7" w:rsidRDefault="00333EBB">
          <w:pPr>
            <w:snapToGrid w:val="0"/>
            <w:ind w:firstLineChars="200" w:firstLine="420"/>
            <w:rPr>
              <w:rFonts w:ascii="Arial Narrow" w:hAnsi="Arial Narrow"/>
              <w:b/>
              <w:snapToGrid w:val="0"/>
              <w:sz w:val="21"/>
              <w:szCs w:val="18"/>
            </w:rPr>
          </w:pPr>
          <w:r>
            <w:rPr>
              <w:rFonts w:ascii="Arial Narrow" w:hAnsi="Arial Narrow" w:hint="eastAsia"/>
              <w:sz w:val="21"/>
              <w:szCs w:val="18"/>
            </w:rPr>
            <w:t>（</w:t>
          </w:r>
          <w:r>
            <w:rPr>
              <w:rFonts w:ascii="Arial Narrow" w:hAnsi="Arial Narrow"/>
              <w:sz w:val="21"/>
              <w:szCs w:val="18"/>
            </w:rPr>
            <w:t>3</w:t>
          </w:r>
          <w:r>
            <w:rPr>
              <w:rFonts w:ascii="Arial Narrow" w:hAnsi="Arial Narrow" w:hint="eastAsia"/>
              <w:sz w:val="21"/>
              <w:szCs w:val="18"/>
            </w:rPr>
            <w:t>）</w:t>
          </w:r>
          <w:r>
            <w:rPr>
              <w:rFonts w:ascii="Arial Narrow" w:hAnsi="Arial Narrow"/>
              <w:sz w:val="21"/>
              <w:szCs w:val="18"/>
            </w:rPr>
            <w:t>投资者投入的固定资产，按投资各方确认的价值入账；</w:t>
          </w:r>
        </w:p>
        <w:p w14:paraId="4AFA4307" w14:textId="77777777" w:rsidR="002D0AE7" w:rsidRDefault="00333EBB">
          <w:pPr>
            <w:snapToGrid w:val="0"/>
            <w:ind w:firstLineChars="200" w:firstLine="420"/>
            <w:rPr>
              <w:rFonts w:ascii="Arial Narrow" w:hAnsi="Arial Narrow"/>
              <w:b/>
              <w:snapToGrid w:val="0"/>
              <w:sz w:val="21"/>
              <w:szCs w:val="18"/>
            </w:rPr>
          </w:pPr>
          <w:r>
            <w:rPr>
              <w:rFonts w:ascii="Arial Narrow" w:hAnsi="Arial Narrow" w:hint="eastAsia"/>
              <w:sz w:val="21"/>
              <w:szCs w:val="18"/>
            </w:rPr>
            <w:t>（</w:t>
          </w:r>
          <w:r>
            <w:rPr>
              <w:rFonts w:ascii="Arial Narrow" w:hAnsi="Arial Narrow"/>
              <w:sz w:val="21"/>
              <w:szCs w:val="18"/>
            </w:rPr>
            <w:t>4</w:t>
          </w:r>
          <w:r>
            <w:rPr>
              <w:rFonts w:ascii="Arial Narrow" w:hAnsi="Arial Narrow" w:hint="eastAsia"/>
              <w:sz w:val="21"/>
              <w:szCs w:val="18"/>
            </w:rPr>
            <w:t>）</w:t>
          </w:r>
          <w:r>
            <w:rPr>
              <w:rFonts w:ascii="Arial Narrow" w:hAnsi="Arial Narrow"/>
              <w:sz w:val="21"/>
              <w:szCs w:val="18"/>
            </w:rPr>
            <w:t>固定资产的后续支出，根据这些后续支出是否能够提高相关固定资产原先预计的创利能力，确定是否将其予以资本化；</w:t>
          </w:r>
        </w:p>
        <w:p w14:paraId="7DEA32AA" w14:textId="77777777" w:rsidR="002D0AE7" w:rsidRDefault="00333EBB">
          <w:pPr>
            <w:snapToGrid w:val="0"/>
            <w:ind w:firstLineChars="200" w:firstLine="420"/>
            <w:rPr>
              <w:rFonts w:ascii="Arial Narrow" w:hAnsi="Arial Narrow"/>
              <w:b/>
              <w:snapToGrid w:val="0"/>
              <w:sz w:val="21"/>
              <w:szCs w:val="18"/>
            </w:rPr>
          </w:pPr>
          <w:r>
            <w:rPr>
              <w:rFonts w:ascii="Arial Narrow" w:hAnsi="Arial Narrow" w:hint="eastAsia"/>
              <w:sz w:val="21"/>
              <w:szCs w:val="18"/>
            </w:rPr>
            <w:t>（</w:t>
          </w:r>
          <w:r>
            <w:rPr>
              <w:rFonts w:ascii="Arial Narrow" w:hAnsi="Arial Narrow"/>
              <w:sz w:val="21"/>
              <w:szCs w:val="18"/>
            </w:rPr>
            <w:t>5</w:t>
          </w:r>
          <w:r>
            <w:rPr>
              <w:rFonts w:ascii="Arial Narrow" w:hAnsi="Arial Narrow" w:hint="eastAsia"/>
              <w:sz w:val="21"/>
              <w:szCs w:val="18"/>
            </w:rPr>
            <w:t>）</w:t>
          </w:r>
          <w:r>
            <w:rPr>
              <w:rFonts w:ascii="Arial Narrow" w:hAnsi="Arial Narrow"/>
              <w:sz w:val="21"/>
              <w:szCs w:val="18"/>
            </w:rPr>
            <w:t>盘盈的固定资产，按同类或类似固定资产的市场价格，减去按该项资产的新旧程度估计的价值损耗后的余额，作为入账价值。如果同类或类似固定资产不存在活跃市场的，按该项固定资产的预计未来现金流量现值，作为入账价值；</w:t>
          </w:r>
        </w:p>
        <w:p w14:paraId="1CA69CC5" w14:textId="77777777" w:rsidR="002D0AE7" w:rsidRDefault="00333EBB">
          <w:pPr>
            <w:snapToGrid w:val="0"/>
            <w:ind w:firstLineChars="200" w:firstLine="420"/>
            <w:rPr>
              <w:rFonts w:ascii="Arial Narrow" w:hAnsi="Arial Narrow"/>
              <w:sz w:val="21"/>
              <w:szCs w:val="18"/>
            </w:rPr>
          </w:pPr>
          <w:r>
            <w:rPr>
              <w:rFonts w:ascii="Arial Narrow" w:hAnsi="Arial Narrow" w:hint="eastAsia"/>
              <w:sz w:val="21"/>
              <w:szCs w:val="18"/>
            </w:rPr>
            <w:t>（</w:t>
          </w:r>
          <w:r>
            <w:rPr>
              <w:rFonts w:ascii="Arial Narrow" w:hAnsi="Arial Narrow"/>
              <w:sz w:val="21"/>
              <w:szCs w:val="18"/>
            </w:rPr>
            <w:t>6</w:t>
          </w:r>
          <w:r>
            <w:rPr>
              <w:rFonts w:ascii="Arial Narrow" w:hAnsi="Arial Narrow" w:hint="eastAsia"/>
              <w:sz w:val="21"/>
              <w:szCs w:val="18"/>
            </w:rPr>
            <w:t>）</w:t>
          </w:r>
          <w:r>
            <w:rPr>
              <w:rFonts w:ascii="Arial Narrow" w:hAnsi="Arial Narrow"/>
              <w:sz w:val="21"/>
              <w:szCs w:val="18"/>
            </w:rPr>
            <w:t>接受捐赠的固定资产，按同类资产的市场价格，或根据所提供的有关凭证计价；接受捐赠固定资产时发生的各项费用，计入固定资产价值。</w:t>
          </w:r>
        </w:p>
        <w:p w14:paraId="3ED8F288" w14:textId="77777777" w:rsidR="002D0AE7" w:rsidRDefault="00333EBB">
          <w:pPr>
            <w:snapToGrid w:val="0"/>
            <w:rPr>
              <w:rFonts w:ascii="Arial Narrow" w:hAnsi="Arial Narrow"/>
              <w:b/>
              <w:sz w:val="21"/>
              <w:szCs w:val="18"/>
            </w:rPr>
          </w:pPr>
          <w:r>
            <w:rPr>
              <w:rFonts w:ascii="Arial Narrow" w:hAnsi="Arial Narrow" w:hint="eastAsia"/>
              <w:b/>
              <w:sz w:val="21"/>
              <w:szCs w:val="18"/>
            </w:rPr>
            <w:t>（</w:t>
          </w:r>
          <w:r>
            <w:rPr>
              <w:rFonts w:ascii="Arial Narrow" w:hAnsi="Arial Narrow"/>
              <w:b/>
              <w:sz w:val="21"/>
              <w:szCs w:val="18"/>
            </w:rPr>
            <w:t>4</w:t>
          </w:r>
          <w:r>
            <w:rPr>
              <w:rFonts w:ascii="Arial Narrow" w:hAnsi="Arial Narrow" w:hint="eastAsia"/>
              <w:b/>
              <w:sz w:val="21"/>
              <w:szCs w:val="18"/>
            </w:rPr>
            <w:t>）</w:t>
          </w:r>
          <w:r>
            <w:rPr>
              <w:rFonts w:ascii="Arial Narrow" w:hAnsi="Arial Narrow"/>
              <w:b/>
              <w:sz w:val="21"/>
              <w:szCs w:val="18"/>
            </w:rPr>
            <w:t>固定资产减值测试方法、减值准备计提方法：</w:t>
          </w:r>
        </w:p>
        <w:p w14:paraId="23DD1164" w14:textId="77777777" w:rsidR="002D0AE7" w:rsidRDefault="00333EBB">
          <w:pPr>
            <w:snapToGrid w:val="0"/>
            <w:ind w:firstLineChars="200" w:firstLine="420"/>
            <w:rPr>
              <w:rFonts w:ascii="Arial Narrow" w:hAnsi="Arial Narrow"/>
              <w:sz w:val="21"/>
              <w:szCs w:val="16"/>
            </w:rPr>
          </w:pPr>
          <w:r>
            <w:rPr>
              <w:rFonts w:ascii="Arial Narrow" w:hAnsi="Arial Narrow"/>
              <w:sz w:val="21"/>
              <w:szCs w:val="16"/>
            </w:rPr>
            <w:t>本公司在每期末判断固定资产是否发生可能存在减值的迹象。</w:t>
          </w:r>
        </w:p>
        <w:p w14:paraId="72F0F5D4" w14:textId="77777777" w:rsidR="002D0AE7" w:rsidRDefault="00333EBB">
          <w:pPr>
            <w:snapToGrid w:val="0"/>
            <w:ind w:firstLineChars="200" w:firstLine="420"/>
            <w:rPr>
              <w:rFonts w:ascii="Arial Narrow" w:hAnsi="Arial Narrow"/>
              <w:sz w:val="21"/>
              <w:szCs w:val="16"/>
            </w:rPr>
          </w:pPr>
          <w:r>
            <w:rPr>
              <w:rFonts w:ascii="Arial Narrow" w:hAnsi="Arial Narrow"/>
              <w:sz w:val="21"/>
              <w:szCs w:val="16"/>
            </w:rPr>
            <w:t>固定资产存在减值的，估计其可回收金额。可回收金额根据固定资产的公允价值减去处置费用后的净额与固定资产未来现金流量的现值两者之间较高者确定。</w:t>
          </w:r>
        </w:p>
        <w:p w14:paraId="2113B151" w14:textId="77777777" w:rsidR="002D0AE7" w:rsidRDefault="00333EBB">
          <w:pPr>
            <w:snapToGrid w:val="0"/>
            <w:ind w:firstLineChars="200" w:firstLine="420"/>
            <w:rPr>
              <w:rFonts w:ascii="Arial Narrow" w:hAnsi="Arial Narrow"/>
              <w:b/>
              <w:sz w:val="21"/>
              <w:szCs w:val="18"/>
            </w:rPr>
          </w:pPr>
          <w:r>
            <w:rPr>
              <w:rFonts w:ascii="Arial Narrow" w:hAnsi="Arial Narrow"/>
              <w:sz w:val="21"/>
              <w:szCs w:val="16"/>
            </w:rPr>
            <w:t>当固定资产的可回收金额低于其账面价值的，将固定资产的账面价值减记至可回收金额，减记的金额确认为固定资产减值损失，计入当期损益，同时计提相应的固定资产减值准备。</w:t>
          </w:r>
        </w:p>
        <w:p w14:paraId="0B86281A" w14:textId="77777777" w:rsidR="002D0AE7" w:rsidRDefault="00333EBB">
          <w:pPr>
            <w:snapToGrid w:val="0"/>
            <w:ind w:firstLineChars="200" w:firstLine="420"/>
            <w:rPr>
              <w:rFonts w:ascii="Arial Narrow" w:hAnsi="Arial Narrow"/>
              <w:sz w:val="21"/>
              <w:szCs w:val="16"/>
            </w:rPr>
          </w:pPr>
          <w:r>
            <w:rPr>
              <w:rFonts w:ascii="Arial Narrow" w:hAnsi="Arial Narrow"/>
              <w:sz w:val="21"/>
              <w:szCs w:val="16"/>
            </w:rPr>
            <w:t>固定资产减值损失确认后，减值固定资产的折旧在未来期间做相应的调整，以使该固定资产在剩余使用寿命内，系统地分摊调整后的固定资产账面价值（扣除预计净残值）。</w:t>
          </w:r>
        </w:p>
        <w:p w14:paraId="34BD1F59" w14:textId="77777777" w:rsidR="002D0AE7" w:rsidRDefault="00333EBB">
          <w:pPr>
            <w:rPr>
              <w:rFonts w:hint="eastAsia"/>
              <w:sz w:val="21"/>
            </w:rPr>
          </w:pPr>
          <w:r>
            <w:rPr>
              <w:rFonts w:ascii="Arial Narrow" w:hAnsi="Arial Narrow"/>
              <w:sz w:val="21"/>
              <w:szCs w:val="16"/>
            </w:rPr>
            <w:t>固定资产减值损失一经确认，在以后会计期间不再转回。</w:t>
          </w:r>
        </w:p>
      </w:sdtContent>
    </w:sdt>
    <w:p w14:paraId="5668721F" w14:textId="77777777" w:rsidR="002D0AE7" w:rsidRDefault="00333EBB">
      <w:pPr>
        <w:pStyle w:val="3"/>
        <w:numPr>
          <w:ilvl w:val="0"/>
          <w:numId w:val="37"/>
        </w:numPr>
        <w:rPr>
          <w:rFonts w:ascii="宋体" w:hAnsi="宋体" w:hint="eastAsia"/>
          <w:color w:val="000000" w:themeColor="text1"/>
        </w:rPr>
      </w:pPr>
      <w:r>
        <w:rPr>
          <w:rFonts w:ascii="宋体" w:hAnsi="宋体"/>
          <w:color w:val="000000" w:themeColor="text1"/>
        </w:rPr>
        <w:lastRenderedPageBreak/>
        <w:t>在建工程</w:t>
      </w:r>
    </w:p>
    <w:p w14:paraId="7FEEF277" w14:textId="77777777" w:rsidR="002D0AE7" w:rsidRDefault="00333EBB">
      <w:pPr>
        <w:rPr>
          <w:rFonts w:hint="eastAsia"/>
          <w:color w:val="000000" w:themeColor="text1"/>
        </w:rPr>
      </w:pPr>
      <w:sdt>
        <w:sdtPr>
          <w:rPr>
            <w:rFonts w:hint="eastAsia"/>
            <w:color w:val="000000" w:themeColor="text1"/>
          </w:rPr>
          <w:alias w:val="是否适用：在建工程_重要会计政策和估计[双击切换]"/>
          <w:tag w:val="_GBC_d9803b41f65e4a7fbebb412a259d9bf9"/>
          <w:id w:val="466706606"/>
          <w:placeholder>
            <w:docPart w:val="GBC22222222222222222222222222222"/>
          </w:placeholder>
        </w:sdtPr>
        <w:sdtEndPr/>
        <w:sdtContent>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sdtContent>
      </w:sdt>
    </w:p>
    <w:sdt>
      <w:sdtPr>
        <w:rPr>
          <w:rFonts w:hint="eastAsia"/>
          <w:color w:val="000000" w:themeColor="text1"/>
        </w:rPr>
        <w:alias w:val="在建工程核算方法"/>
        <w:tag w:val="_GBC_ed79f983df814c58add61776fe84c76e"/>
        <w:id w:val="1090130530"/>
        <w:placeholder>
          <w:docPart w:val="GBC22222222222222222222222222222"/>
        </w:placeholder>
      </w:sdtPr>
      <w:sdtEndPr>
        <w:rPr>
          <w:color w:val="auto"/>
          <w:sz w:val="21"/>
          <w:szCs w:val="18"/>
        </w:rPr>
      </w:sdtEndPr>
      <w:sdtContent>
        <w:sdt>
          <w:sdtPr>
            <w:rPr>
              <w:rFonts w:hint="eastAsia"/>
            </w:rPr>
            <w:alias w:val="在建工程核算方法"/>
            <w:tag w:val="_GBC_ed79f983df814c58add61776fe84c76e"/>
            <w:id w:val="-1588924519"/>
            <w:placeholder>
              <w:docPart w:val="31955DEC8D6545179F21432C09D93059"/>
            </w:placeholder>
          </w:sdtPr>
          <w:sdtEndPr>
            <w:rPr>
              <w:sz w:val="21"/>
              <w:szCs w:val="18"/>
            </w:rPr>
          </w:sdtEndPr>
          <w:sdtContent>
            <w:p w14:paraId="0CD8ABF4" w14:textId="77777777" w:rsidR="002D0AE7" w:rsidRDefault="00333EBB">
              <w:pPr>
                <w:snapToGrid w:val="0"/>
                <w:ind w:firstLineChars="200" w:firstLine="480"/>
                <w:rPr>
                  <w:rFonts w:ascii="Arial Narrow" w:hAnsi="Arial Narrow"/>
                  <w:b/>
                  <w:bCs/>
                  <w:sz w:val="21"/>
                  <w:szCs w:val="16"/>
                </w:rPr>
              </w:pPr>
              <w:r>
                <w:rPr>
                  <w:rFonts w:ascii="Arial Narrow" w:hAnsi="Arial Narrow"/>
                  <w:b/>
                  <w:sz w:val="21"/>
                  <w:szCs w:val="16"/>
                </w:rPr>
                <w:t>1</w:t>
              </w:r>
              <w:r>
                <w:rPr>
                  <w:rFonts w:ascii="Arial Narrow" w:hAnsi="Arial Narrow"/>
                  <w:b/>
                  <w:sz w:val="21"/>
                  <w:szCs w:val="16"/>
                </w:rPr>
                <w:t>、在建工程核算原则：</w:t>
              </w:r>
            </w:p>
            <w:p w14:paraId="6F4978B1" w14:textId="77777777" w:rsidR="002D0AE7" w:rsidRDefault="00333EBB">
              <w:pPr>
                <w:snapToGrid w:val="0"/>
                <w:ind w:firstLineChars="200" w:firstLine="420"/>
                <w:rPr>
                  <w:rFonts w:ascii="Arial Narrow" w:hAnsi="Arial Narrow"/>
                  <w:sz w:val="21"/>
                  <w:szCs w:val="16"/>
                </w:rPr>
              </w:pPr>
              <w:r>
                <w:rPr>
                  <w:rFonts w:ascii="Arial Narrow" w:hAnsi="Arial Narrow"/>
                  <w:sz w:val="21"/>
                  <w:szCs w:val="16"/>
                </w:rPr>
                <w:t>在建工程按实际成本核算。在工程达到预定可使用状态时转入固定资产。</w:t>
              </w:r>
            </w:p>
            <w:p w14:paraId="70A82252" w14:textId="77777777" w:rsidR="002D0AE7" w:rsidRDefault="00333EBB">
              <w:pPr>
                <w:snapToGrid w:val="0"/>
                <w:ind w:firstLineChars="200" w:firstLine="422"/>
                <w:rPr>
                  <w:rFonts w:ascii="Arial Narrow" w:hAnsi="Arial Narrow"/>
                  <w:b/>
                  <w:bCs/>
                  <w:sz w:val="21"/>
                  <w:szCs w:val="16"/>
                </w:rPr>
              </w:pPr>
              <w:r>
                <w:rPr>
                  <w:rFonts w:ascii="Arial Narrow" w:hAnsi="Arial Narrow"/>
                  <w:b/>
                  <w:sz w:val="21"/>
                  <w:szCs w:val="16"/>
                </w:rPr>
                <w:t>2</w:t>
              </w:r>
              <w:r>
                <w:rPr>
                  <w:rFonts w:ascii="Arial Narrow" w:hAnsi="Arial Narrow"/>
                  <w:b/>
                  <w:sz w:val="21"/>
                  <w:szCs w:val="16"/>
                </w:rPr>
                <w:t>、在建工程结转固定资产的标准和时点：</w:t>
              </w:r>
            </w:p>
            <w:p w14:paraId="7D39A616" w14:textId="77777777" w:rsidR="002D0AE7" w:rsidRDefault="00333EBB">
              <w:pPr>
                <w:snapToGrid w:val="0"/>
                <w:ind w:firstLineChars="200" w:firstLine="420"/>
                <w:rPr>
                  <w:rFonts w:ascii="Arial Narrow" w:hAnsi="Arial Narrow"/>
                  <w:sz w:val="21"/>
                  <w:szCs w:val="16"/>
                </w:rPr>
              </w:pPr>
              <w:r>
                <w:rPr>
                  <w:rFonts w:ascii="Arial Narrow" w:hAnsi="Arial Narrow"/>
                  <w:sz w:val="21"/>
                  <w:szCs w:val="16"/>
                </w:rPr>
                <w:t>在建工程项目按建造该项资产达到预定可使用状态前所发生的全部支出，作为固定资产的入账价值。所建造的在建工程已达到预定可使用状态，但尚未办理竣工决算的，自达到预定可使用状态之日起，根据工程预算、造价或者工程实际成本等，按照估计的价值转入固定资产，并按照本公司固定资产折旧政策计提折旧，待办理竣工决算后，再按实际成本调整原来的暂估价格，但不调整原已计提的折旧额。</w:t>
              </w:r>
            </w:p>
            <w:p w14:paraId="27A59567" w14:textId="77777777" w:rsidR="002D0AE7" w:rsidRDefault="00333EBB">
              <w:pPr>
                <w:snapToGrid w:val="0"/>
                <w:ind w:firstLineChars="200" w:firstLine="422"/>
                <w:rPr>
                  <w:rFonts w:ascii="Arial Narrow" w:hAnsi="Arial Narrow"/>
                  <w:b/>
                  <w:bCs/>
                  <w:sz w:val="21"/>
                  <w:szCs w:val="16"/>
                </w:rPr>
              </w:pPr>
              <w:r>
                <w:rPr>
                  <w:rFonts w:ascii="Arial Narrow" w:hAnsi="Arial Narrow"/>
                  <w:b/>
                  <w:sz w:val="21"/>
                  <w:szCs w:val="16"/>
                </w:rPr>
                <w:t>3</w:t>
              </w:r>
              <w:r>
                <w:rPr>
                  <w:rFonts w:ascii="Arial Narrow" w:hAnsi="Arial Narrow"/>
                  <w:b/>
                  <w:sz w:val="21"/>
                  <w:szCs w:val="16"/>
                </w:rPr>
                <w:t>、在建工程减值测试以及减值准备的计提方法：</w:t>
              </w:r>
            </w:p>
            <w:p w14:paraId="16614A31" w14:textId="77777777" w:rsidR="002D0AE7" w:rsidRDefault="00333EBB">
              <w:pPr>
                <w:snapToGrid w:val="0"/>
                <w:ind w:firstLineChars="200" w:firstLine="420"/>
                <w:rPr>
                  <w:rFonts w:ascii="Arial Narrow" w:hAnsi="Arial Narrow"/>
                  <w:sz w:val="21"/>
                  <w:szCs w:val="16"/>
                </w:rPr>
              </w:pPr>
              <w:r>
                <w:rPr>
                  <w:rFonts w:ascii="Arial Narrow" w:hAnsi="Arial Narrow"/>
                  <w:sz w:val="21"/>
                  <w:szCs w:val="16"/>
                </w:rPr>
                <w:t>本公司在每期末判断在建工程是否存在可能发生的减值迹象，包括：</w:t>
              </w:r>
            </w:p>
            <w:p w14:paraId="2D67EF00" w14:textId="77777777" w:rsidR="002D0AE7" w:rsidRDefault="00333EBB">
              <w:pPr>
                <w:snapToGrid w:val="0"/>
                <w:ind w:firstLineChars="200" w:firstLine="420"/>
                <w:rPr>
                  <w:rFonts w:ascii="Arial Narrow" w:hAnsi="Arial Narrow"/>
                  <w:sz w:val="21"/>
                  <w:szCs w:val="16"/>
                </w:rPr>
              </w:pPr>
              <w:r>
                <w:rPr>
                  <w:rFonts w:ascii="Arial Narrow" w:hAnsi="Arial Narrow" w:hint="eastAsia"/>
                  <w:sz w:val="21"/>
                  <w:szCs w:val="16"/>
                </w:rPr>
                <w:t>（</w:t>
              </w:r>
              <w:r>
                <w:rPr>
                  <w:rFonts w:ascii="Arial Narrow" w:hAnsi="Arial Narrow" w:hint="eastAsia"/>
                  <w:sz w:val="21"/>
                  <w:szCs w:val="16"/>
                </w:rPr>
                <w:t>1</w:t>
              </w:r>
              <w:r>
                <w:rPr>
                  <w:rFonts w:ascii="Arial Narrow" w:hAnsi="Arial Narrow" w:hint="eastAsia"/>
                  <w:sz w:val="21"/>
                  <w:szCs w:val="16"/>
                </w:rPr>
                <w:t>）</w:t>
              </w:r>
              <w:r>
                <w:rPr>
                  <w:rFonts w:ascii="Arial Narrow" w:hAnsi="Arial Narrow"/>
                  <w:sz w:val="21"/>
                  <w:szCs w:val="16"/>
                </w:rPr>
                <w:t>长期停建并且预计在未来</w:t>
              </w:r>
              <w:r>
                <w:rPr>
                  <w:rFonts w:ascii="Arial Narrow" w:hAnsi="Arial Narrow" w:hint="eastAsia"/>
                  <w:sz w:val="21"/>
                  <w:szCs w:val="16"/>
                </w:rPr>
                <w:t>3</w:t>
              </w:r>
              <w:r>
                <w:rPr>
                  <w:rFonts w:ascii="Arial Narrow" w:hAnsi="Arial Narrow"/>
                  <w:sz w:val="21"/>
                  <w:szCs w:val="16"/>
                </w:rPr>
                <w:t>年内不会重新开工的在建工程；</w:t>
              </w:r>
            </w:p>
            <w:p w14:paraId="0748AB7E" w14:textId="77777777" w:rsidR="002D0AE7" w:rsidRDefault="00333EBB">
              <w:pPr>
                <w:snapToGrid w:val="0"/>
                <w:ind w:firstLineChars="200" w:firstLine="420"/>
                <w:rPr>
                  <w:rFonts w:ascii="Arial Narrow" w:hAnsi="Arial Narrow"/>
                  <w:sz w:val="21"/>
                  <w:szCs w:val="16"/>
                </w:rPr>
              </w:pPr>
              <w:r>
                <w:rPr>
                  <w:rFonts w:ascii="Arial Narrow" w:hAnsi="Arial Narrow" w:hint="eastAsia"/>
                  <w:sz w:val="21"/>
                  <w:szCs w:val="16"/>
                </w:rPr>
                <w:t>（</w:t>
              </w:r>
              <w:r>
                <w:rPr>
                  <w:rFonts w:ascii="Arial Narrow" w:hAnsi="Arial Narrow" w:hint="eastAsia"/>
                  <w:sz w:val="21"/>
                  <w:szCs w:val="16"/>
                </w:rPr>
                <w:t>2</w:t>
              </w:r>
              <w:r>
                <w:rPr>
                  <w:rFonts w:ascii="Arial Narrow" w:hAnsi="Arial Narrow" w:hint="eastAsia"/>
                  <w:sz w:val="21"/>
                  <w:szCs w:val="16"/>
                </w:rPr>
                <w:t>）</w:t>
              </w:r>
              <w:r>
                <w:rPr>
                  <w:rFonts w:ascii="Arial Narrow" w:hAnsi="Arial Narrow"/>
                  <w:sz w:val="21"/>
                  <w:szCs w:val="16"/>
                </w:rPr>
                <w:t>所建项目无论在性能上，还是在技术上已经落后，并且给企业带来的经济利益具有很大的不确定性；</w:t>
              </w:r>
            </w:p>
            <w:p w14:paraId="09E7C81C" w14:textId="77777777" w:rsidR="002D0AE7" w:rsidRDefault="00333EBB">
              <w:pPr>
                <w:snapToGrid w:val="0"/>
                <w:ind w:firstLineChars="200" w:firstLine="420"/>
                <w:rPr>
                  <w:rFonts w:ascii="Arial Narrow" w:hAnsi="Arial Narrow"/>
                  <w:sz w:val="21"/>
                  <w:szCs w:val="16"/>
                </w:rPr>
              </w:pPr>
              <w:r>
                <w:rPr>
                  <w:rFonts w:ascii="Arial Narrow" w:hAnsi="Arial Narrow" w:hint="eastAsia"/>
                  <w:sz w:val="21"/>
                  <w:szCs w:val="16"/>
                </w:rPr>
                <w:t>（</w:t>
              </w:r>
              <w:r>
                <w:rPr>
                  <w:rFonts w:ascii="Arial Narrow" w:hAnsi="Arial Narrow" w:hint="eastAsia"/>
                  <w:sz w:val="21"/>
                  <w:szCs w:val="16"/>
                </w:rPr>
                <w:t>3</w:t>
              </w:r>
              <w:r>
                <w:rPr>
                  <w:rFonts w:ascii="Arial Narrow" w:hAnsi="Arial Narrow" w:hint="eastAsia"/>
                  <w:sz w:val="21"/>
                  <w:szCs w:val="16"/>
                </w:rPr>
                <w:t>）</w:t>
              </w:r>
              <w:r>
                <w:rPr>
                  <w:rFonts w:ascii="Arial Narrow" w:hAnsi="Arial Narrow"/>
                  <w:sz w:val="21"/>
                  <w:szCs w:val="16"/>
                </w:rPr>
                <w:t>其他足以证明在建工程已发生减值的情形；</w:t>
              </w:r>
            </w:p>
            <w:p w14:paraId="1BF48AA7" w14:textId="77777777" w:rsidR="002D0AE7" w:rsidRDefault="00333EBB">
              <w:pPr>
                <w:snapToGrid w:val="0"/>
                <w:ind w:firstLineChars="200" w:firstLine="420"/>
                <w:rPr>
                  <w:rFonts w:hint="eastAsia"/>
                  <w:sz w:val="21"/>
                  <w:szCs w:val="18"/>
                </w:rPr>
              </w:pPr>
              <w:r>
                <w:rPr>
                  <w:rFonts w:ascii="Arial Narrow" w:hAnsi="Arial Narrow"/>
                  <w:sz w:val="21"/>
                  <w:szCs w:val="16"/>
                </w:rPr>
                <w:t>在建工程存在减值迹象的，估计其可回收金额。有迹象表明一项在建工程可能发生减值的，本公司以单项在建工程为基础估计其可回收金额。可回收金额根据在建工程的公允价值减去处置费用后的净额与在建工程未来现金流量的现值两者之间较高者确定。当在建工程的可回收金额低于其账面价值的，将在建工程的账面价值减记至可回收金额，减记的金额确认为在建工程减值损失，计入当期损益，同时计提相应的在建工程减值准备。在建工程减值损失一经确认，在以后会计期间不再转回。</w:t>
              </w:r>
            </w:p>
          </w:sdtContent>
        </w:sdt>
      </w:sdtContent>
    </w:sdt>
    <w:p w14:paraId="0F77F027" w14:textId="77777777" w:rsidR="002D0AE7" w:rsidRDefault="00333EBB">
      <w:pPr>
        <w:pStyle w:val="3"/>
        <w:numPr>
          <w:ilvl w:val="0"/>
          <w:numId w:val="37"/>
        </w:numPr>
        <w:rPr>
          <w:rFonts w:ascii="宋体" w:hAnsi="宋体" w:hint="eastAsia"/>
          <w:color w:val="000000" w:themeColor="text1"/>
        </w:rPr>
      </w:pPr>
      <w:r>
        <w:rPr>
          <w:rFonts w:ascii="宋体" w:hAnsi="宋体"/>
          <w:color w:val="000000" w:themeColor="text1"/>
        </w:rPr>
        <w:t>借款费用</w:t>
      </w:r>
    </w:p>
    <w:sdt>
      <w:sdtPr>
        <w:rPr>
          <w:rFonts w:hint="eastAsia"/>
          <w:color w:val="000000" w:themeColor="text1"/>
        </w:rPr>
        <w:alias w:val="是否适用：借款费用_重要会计政策和估计[双击切换]"/>
        <w:tag w:val="_GBC_3f3db73e5cb247009b3840143b5e6627"/>
        <w:id w:val="-2124446524"/>
        <w:placeholder>
          <w:docPart w:val="GBC22222222222222222222222222222"/>
        </w:placeholder>
      </w:sdtPr>
      <w:sdtEndPr/>
      <w:sdtContent>
        <w:p w14:paraId="0744C696"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rFonts w:hint="eastAsia"/>
          <w:color w:val="000000" w:themeColor="text1"/>
        </w:rPr>
        <w:alias w:val="借款费用的会计处理方法"/>
        <w:tag w:val="_GBC_2101c32d32c64f39a8b8fcd2b72dbb0a"/>
        <w:id w:val="-1568255057"/>
        <w:placeholder>
          <w:docPart w:val="GBC22222222222222222222222222222"/>
        </w:placeholder>
      </w:sdtPr>
      <w:sdtEndPr>
        <w:rPr>
          <w:color w:val="auto"/>
          <w:sz w:val="21"/>
          <w:szCs w:val="18"/>
        </w:rPr>
      </w:sdtEndPr>
      <w:sdtContent>
        <w:sdt>
          <w:sdtPr>
            <w:rPr>
              <w:rFonts w:hint="eastAsia"/>
            </w:rPr>
            <w:alias w:val="借款费用的会计处理方法"/>
            <w:tag w:val="_GBC_2101c32d32c64f39a8b8fcd2b72dbb0a"/>
            <w:id w:val="791020216"/>
            <w:placeholder>
              <w:docPart w:val="FA7C0DB759C24618A5EC811FBD524A26"/>
            </w:placeholder>
          </w:sdtPr>
          <w:sdtEndPr>
            <w:rPr>
              <w:sz w:val="21"/>
              <w:szCs w:val="18"/>
            </w:rPr>
          </w:sdtEndPr>
          <w:sdtContent>
            <w:p w14:paraId="748327BB" w14:textId="77777777" w:rsidR="002D0AE7" w:rsidRDefault="00333EBB">
              <w:pPr>
                <w:snapToGrid w:val="0"/>
                <w:ind w:firstLineChars="200" w:firstLine="480"/>
                <w:rPr>
                  <w:rFonts w:ascii="Arial Narrow" w:hAnsi="Arial Narrow"/>
                  <w:b/>
                  <w:bCs/>
                  <w:sz w:val="21"/>
                  <w:szCs w:val="18"/>
                </w:rPr>
              </w:pPr>
              <w:r>
                <w:rPr>
                  <w:rFonts w:ascii="Arial Narrow" w:hAnsi="Arial Narrow"/>
                  <w:b/>
                  <w:sz w:val="21"/>
                  <w:szCs w:val="18"/>
                </w:rPr>
                <w:t>1</w:t>
              </w:r>
              <w:r>
                <w:rPr>
                  <w:rFonts w:ascii="Arial Narrow" w:hAnsi="Arial Narrow"/>
                  <w:b/>
                  <w:sz w:val="21"/>
                  <w:szCs w:val="18"/>
                </w:rPr>
                <w:t>、借款费用资本化的确认原则</w:t>
              </w:r>
            </w:p>
            <w:p w14:paraId="66981676" w14:textId="77777777" w:rsidR="002D0AE7" w:rsidRDefault="00333EBB">
              <w:pPr>
                <w:snapToGrid w:val="0"/>
                <w:ind w:firstLineChars="200" w:firstLine="420"/>
                <w:rPr>
                  <w:rFonts w:ascii="Arial Narrow" w:hAnsi="Arial Narrow"/>
                  <w:sz w:val="21"/>
                  <w:szCs w:val="18"/>
                </w:rPr>
              </w:pPr>
              <w:r>
                <w:rPr>
                  <w:rFonts w:ascii="Arial Narrow" w:hAnsi="Arial Narrow"/>
                  <w:sz w:val="21"/>
                  <w:szCs w:val="16"/>
                </w:rPr>
                <w:t>借款费用，包括借款利息、折价或者溢价的推销、辅助费用以及因外币借款而发生的汇兑差额等。</w:t>
              </w:r>
            </w:p>
            <w:p w14:paraId="73A28B80" w14:textId="77777777" w:rsidR="002D0AE7" w:rsidRDefault="00333EBB">
              <w:pPr>
                <w:snapToGrid w:val="0"/>
                <w:ind w:firstLineChars="200" w:firstLine="420"/>
                <w:rPr>
                  <w:rFonts w:ascii="Arial Narrow" w:hAnsi="Arial Narrow"/>
                  <w:sz w:val="21"/>
                  <w:szCs w:val="16"/>
                </w:rPr>
              </w:pPr>
              <w:r>
                <w:rPr>
                  <w:rFonts w:ascii="Arial Narrow" w:hAnsi="Arial Narrow"/>
                  <w:sz w:val="21"/>
                  <w:szCs w:val="16"/>
                </w:rPr>
                <w:t>本公司发生的借款费用，可直接归属于符合资本化条件的资产的购建或者生产的，予以资本化，计入相关的资产成本；其他借款费用，在发生时根据其发生额确认为费用，计入当期损益。</w:t>
              </w:r>
            </w:p>
            <w:p w14:paraId="3DCE9726" w14:textId="77777777" w:rsidR="002D0AE7" w:rsidRDefault="00333EBB">
              <w:pPr>
                <w:snapToGrid w:val="0"/>
                <w:ind w:firstLineChars="200" w:firstLine="420"/>
                <w:rPr>
                  <w:rFonts w:ascii="Arial Narrow" w:hAnsi="Arial Narrow"/>
                  <w:sz w:val="21"/>
                  <w:szCs w:val="16"/>
                </w:rPr>
              </w:pPr>
              <w:r>
                <w:rPr>
                  <w:rFonts w:ascii="Arial Narrow" w:hAnsi="Arial Narrow"/>
                  <w:sz w:val="21"/>
                  <w:szCs w:val="16"/>
                </w:rPr>
                <w:t>符合资本化条件的资产，是指需要经过相当长时间的购建或者生产活动才能达到预定可使用或者可销售状态的固定资产、投资性房地产和存货等资产。</w:t>
              </w:r>
            </w:p>
            <w:p w14:paraId="39896B24" w14:textId="77777777" w:rsidR="002D0AE7" w:rsidRDefault="00333EBB">
              <w:pPr>
                <w:snapToGrid w:val="0"/>
                <w:ind w:firstLineChars="200" w:firstLine="420"/>
                <w:rPr>
                  <w:rFonts w:ascii="Arial Narrow" w:hAnsi="Arial Narrow"/>
                  <w:sz w:val="21"/>
                  <w:szCs w:val="16"/>
                </w:rPr>
              </w:pPr>
              <w:r>
                <w:rPr>
                  <w:rFonts w:ascii="Arial Narrow" w:hAnsi="Arial Narrow"/>
                  <w:sz w:val="21"/>
                  <w:szCs w:val="16"/>
                </w:rPr>
                <w:t>借款费用同时满足以下条件时开始资本化：</w:t>
              </w:r>
            </w:p>
            <w:p w14:paraId="67E011DA" w14:textId="77777777" w:rsidR="002D0AE7" w:rsidRDefault="00333EBB">
              <w:pPr>
                <w:snapToGrid w:val="0"/>
                <w:ind w:firstLineChars="200" w:firstLine="420"/>
                <w:rPr>
                  <w:rFonts w:ascii="Arial Narrow" w:hAnsi="Arial Narrow"/>
                  <w:sz w:val="21"/>
                  <w:szCs w:val="16"/>
                </w:rPr>
              </w:pPr>
              <w:r>
                <w:rPr>
                  <w:rFonts w:ascii="Arial Narrow" w:hAnsi="Arial Narrow" w:hint="eastAsia"/>
                  <w:sz w:val="21"/>
                  <w:szCs w:val="16"/>
                </w:rPr>
                <w:t>（</w:t>
              </w:r>
              <w:r>
                <w:rPr>
                  <w:rFonts w:ascii="Arial Narrow" w:hAnsi="Arial Narrow" w:hint="eastAsia"/>
                  <w:sz w:val="21"/>
                  <w:szCs w:val="16"/>
                </w:rPr>
                <w:t>1</w:t>
              </w:r>
              <w:r>
                <w:rPr>
                  <w:rFonts w:ascii="Arial Narrow" w:hAnsi="Arial Narrow" w:hint="eastAsia"/>
                  <w:sz w:val="21"/>
                  <w:szCs w:val="16"/>
                </w:rPr>
                <w:t>）</w:t>
              </w:r>
              <w:r>
                <w:rPr>
                  <w:rFonts w:ascii="Arial Narrow" w:hAnsi="Arial Narrow"/>
                  <w:sz w:val="21"/>
                  <w:szCs w:val="16"/>
                </w:rPr>
                <w:t>资产支出已经发生，资产支出包括为购建或者生产符合资本化条件的资产而支付的现金、转移非现金资产或者承担带息债务形式发生的支出；</w:t>
              </w:r>
            </w:p>
            <w:p w14:paraId="1A19C6DE" w14:textId="77777777" w:rsidR="002D0AE7" w:rsidRDefault="00333EBB">
              <w:pPr>
                <w:snapToGrid w:val="0"/>
                <w:ind w:firstLineChars="200" w:firstLine="420"/>
                <w:rPr>
                  <w:rFonts w:ascii="Arial Narrow" w:hAnsi="Arial Narrow"/>
                  <w:sz w:val="21"/>
                  <w:szCs w:val="16"/>
                </w:rPr>
              </w:pPr>
              <w:r>
                <w:rPr>
                  <w:rFonts w:ascii="Arial Narrow" w:hAnsi="Arial Narrow" w:hint="eastAsia"/>
                  <w:sz w:val="21"/>
                  <w:szCs w:val="16"/>
                </w:rPr>
                <w:t>（</w:t>
              </w:r>
              <w:r>
                <w:rPr>
                  <w:rFonts w:ascii="Arial Narrow" w:hAnsi="Arial Narrow" w:hint="eastAsia"/>
                  <w:sz w:val="21"/>
                  <w:szCs w:val="16"/>
                </w:rPr>
                <w:t>2</w:t>
              </w:r>
              <w:r>
                <w:rPr>
                  <w:rFonts w:ascii="Arial Narrow" w:hAnsi="Arial Narrow" w:hint="eastAsia"/>
                  <w:sz w:val="21"/>
                  <w:szCs w:val="16"/>
                </w:rPr>
                <w:t>）</w:t>
              </w:r>
              <w:r>
                <w:rPr>
                  <w:rFonts w:ascii="Arial Narrow" w:hAnsi="Arial Narrow"/>
                  <w:sz w:val="21"/>
                  <w:szCs w:val="16"/>
                </w:rPr>
                <w:t>借款费用已经发生；</w:t>
              </w:r>
            </w:p>
            <w:p w14:paraId="69EEF0FD" w14:textId="77777777" w:rsidR="002D0AE7" w:rsidRDefault="00333EBB">
              <w:pPr>
                <w:snapToGrid w:val="0"/>
                <w:ind w:firstLineChars="200" w:firstLine="420"/>
                <w:rPr>
                  <w:rFonts w:ascii="Arial Narrow" w:hAnsi="Arial Narrow"/>
                  <w:sz w:val="21"/>
                  <w:szCs w:val="16"/>
                </w:rPr>
              </w:pPr>
              <w:r>
                <w:rPr>
                  <w:rFonts w:ascii="Arial Narrow" w:hAnsi="Arial Narrow" w:hint="eastAsia"/>
                  <w:sz w:val="21"/>
                  <w:szCs w:val="16"/>
                </w:rPr>
                <w:t>（</w:t>
              </w:r>
              <w:r>
                <w:rPr>
                  <w:rFonts w:ascii="Arial Narrow" w:hAnsi="Arial Narrow" w:hint="eastAsia"/>
                  <w:sz w:val="21"/>
                  <w:szCs w:val="16"/>
                </w:rPr>
                <w:t>3</w:t>
              </w:r>
              <w:r>
                <w:rPr>
                  <w:rFonts w:ascii="Arial Narrow" w:hAnsi="Arial Narrow" w:hint="eastAsia"/>
                  <w:sz w:val="21"/>
                  <w:szCs w:val="16"/>
                </w:rPr>
                <w:t>）</w:t>
              </w:r>
              <w:r>
                <w:rPr>
                  <w:rFonts w:ascii="Arial Narrow" w:hAnsi="Arial Narrow"/>
                  <w:sz w:val="21"/>
                  <w:szCs w:val="16"/>
                </w:rPr>
                <w:t>为使资产达到预定可使用或者可销售状态所必要的估计或生产活动已经开始。</w:t>
              </w:r>
            </w:p>
            <w:p w14:paraId="0E9FF88C" w14:textId="77777777" w:rsidR="002D0AE7" w:rsidRDefault="00333EBB">
              <w:pPr>
                <w:snapToGrid w:val="0"/>
                <w:ind w:firstLineChars="200" w:firstLine="422"/>
                <w:rPr>
                  <w:rFonts w:ascii="Arial Narrow" w:hAnsi="Arial Narrow"/>
                  <w:b/>
                  <w:bCs/>
                  <w:sz w:val="21"/>
                  <w:szCs w:val="18"/>
                </w:rPr>
              </w:pPr>
              <w:r>
                <w:rPr>
                  <w:rFonts w:ascii="Arial Narrow" w:hAnsi="Arial Narrow"/>
                  <w:b/>
                  <w:sz w:val="21"/>
                  <w:szCs w:val="18"/>
                </w:rPr>
                <w:t>2</w:t>
              </w:r>
              <w:r>
                <w:rPr>
                  <w:rFonts w:ascii="Arial Narrow" w:hAnsi="Arial Narrow"/>
                  <w:b/>
                  <w:sz w:val="21"/>
                  <w:szCs w:val="18"/>
                </w:rPr>
                <w:t>、借款费用资本化期间</w:t>
              </w:r>
            </w:p>
            <w:p w14:paraId="2A0ED626" w14:textId="77777777" w:rsidR="002D0AE7" w:rsidRDefault="00333EBB">
              <w:pPr>
                <w:snapToGrid w:val="0"/>
                <w:ind w:firstLineChars="200" w:firstLine="420"/>
                <w:rPr>
                  <w:rFonts w:ascii="Arial Narrow" w:hAnsi="Arial Narrow"/>
                  <w:sz w:val="21"/>
                  <w:szCs w:val="16"/>
                </w:rPr>
              </w:pPr>
              <w:r>
                <w:rPr>
                  <w:rFonts w:ascii="Arial Narrow" w:hAnsi="Arial Narrow"/>
                  <w:sz w:val="21"/>
                  <w:szCs w:val="16"/>
                </w:rPr>
                <w:t>资本化期间，指从借款费用开始资本化时点到停止资本化资本化时点的期间，借款费用暂停资本化的期间不包括在内。</w:t>
              </w:r>
            </w:p>
            <w:p w14:paraId="163A27A1" w14:textId="77777777" w:rsidR="002D0AE7" w:rsidRDefault="00333EBB">
              <w:pPr>
                <w:snapToGrid w:val="0"/>
                <w:ind w:firstLineChars="200" w:firstLine="420"/>
                <w:rPr>
                  <w:rFonts w:ascii="Arial Narrow" w:hAnsi="Arial Narrow"/>
                  <w:sz w:val="21"/>
                  <w:szCs w:val="16"/>
                </w:rPr>
              </w:pPr>
              <w:r>
                <w:rPr>
                  <w:rFonts w:ascii="Arial Narrow" w:hAnsi="Arial Narrow"/>
                  <w:sz w:val="21"/>
                  <w:szCs w:val="16"/>
                </w:rPr>
                <w:t>当购建或者生产符合资本化条件的资产达到预定可使用或者可销售状态时，借款费用停止资本化。</w:t>
              </w:r>
            </w:p>
            <w:p w14:paraId="500F0B54" w14:textId="77777777" w:rsidR="002D0AE7" w:rsidRDefault="00333EBB">
              <w:pPr>
                <w:snapToGrid w:val="0"/>
                <w:ind w:firstLineChars="200" w:firstLine="420"/>
                <w:rPr>
                  <w:rFonts w:ascii="Arial Narrow" w:hAnsi="Arial Narrow"/>
                  <w:sz w:val="21"/>
                  <w:szCs w:val="16"/>
                </w:rPr>
              </w:pPr>
              <w:r>
                <w:rPr>
                  <w:rFonts w:ascii="Arial Narrow" w:hAnsi="Arial Narrow"/>
                  <w:sz w:val="21"/>
                  <w:szCs w:val="16"/>
                </w:rPr>
                <w:t>当购建或者生产符合资本化条件的资产中部分项目分别完工且可单独使用时，该部分资产借款费用停止资本化。</w:t>
              </w:r>
            </w:p>
            <w:p w14:paraId="6C326610" w14:textId="77777777" w:rsidR="002D0AE7" w:rsidRDefault="00333EBB">
              <w:pPr>
                <w:snapToGrid w:val="0"/>
                <w:ind w:firstLineChars="200" w:firstLine="420"/>
                <w:rPr>
                  <w:rFonts w:ascii="Arial Narrow" w:hAnsi="Arial Narrow"/>
                  <w:sz w:val="21"/>
                  <w:szCs w:val="16"/>
                </w:rPr>
              </w:pPr>
              <w:r>
                <w:rPr>
                  <w:rFonts w:ascii="Arial Narrow" w:hAnsi="Arial Narrow"/>
                  <w:sz w:val="21"/>
                  <w:szCs w:val="16"/>
                </w:rPr>
                <w:t>购建或者生产的资产各部分分别完工，但必须等到整体完工后才可使用或可对外销售的，在该资产整体完工时停止借款费用资本化。</w:t>
              </w:r>
            </w:p>
            <w:p w14:paraId="648257C4" w14:textId="77777777" w:rsidR="002D0AE7" w:rsidRDefault="00333EBB">
              <w:pPr>
                <w:snapToGrid w:val="0"/>
                <w:ind w:firstLineChars="200" w:firstLine="422"/>
                <w:rPr>
                  <w:rFonts w:ascii="Arial Narrow" w:hAnsi="Arial Narrow"/>
                  <w:b/>
                  <w:bCs/>
                  <w:sz w:val="21"/>
                  <w:szCs w:val="18"/>
                </w:rPr>
              </w:pPr>
              <w:r>
                <w:rPr>
                  <w:rFonts w:ascii="Arial Narrow" w:hAnsi="Arial Narrow"/>
                  <w:b/>
                  <w:sz w:val="21"/>
                  <w:szCs w:val="18"/>
                </w:rPr>
                <w:t>3</w:t>
              </w:r>
              <w:r>
                <w:rPr>
                  <w:rFonts w:ascii="Arial Narrow" w:hAnsi="Arial Narrow"/>
                  <w:b/>
                  <w:sz w:val="21"/>
                  <w:szCs w:val="18"/>
                </w:rPr>
                <w:t>、暂停资本化期间</w:t>
              </w:r>
            </w:p>
            <w:p w14:paraId="776DE007" w14:textId="77777777" w:rsidR="002D0AE7" w:rsidRDefault="00333EBB">
              <w:pPr>
                <w:snapToGrid w:val="0"/>
                <w:ind w:firstLineChars="200" w:firstLine="420"/>
                <w:rPr>
                  <w:rFonts w:ascii="Arial Narrow" w:hAnsi="Arial Narrow"/>
                  <w:sz w:val="21"/>
                  <w:szCs w:val="16"/>
                </w:rPr>
              </w:pPr>
              <w:r>
                <w:rPr>
                  <w:rFonts w:ascii="Arial Narrow" w:hAnsi="Arial Narrow"/>
                  <w:sz w:val="21"/>
                  <w:szCs w:val="16"/>
                </w:rPr>
                <w:t>符合资本化条件的资产在购建或者生产过程中发生的非正常中断、且中断时间连续超过</w:t>
              </w:r>
              <w:r>
                <w:rPr>
                  <w:rFonts w:ascii="Arial Narrow" w:hAnsi="Arial Narrow"/>
                  <w:sz w:val="21"/>
                  <w:szCs w:val="16"/>
                </w:rPr>
                <w:t>3</w:t>
              </w:r>
              <w:r>
                <w:rPr>
                  <w:rFonts w:ascii="Arial Narrow" w:hAnsi="Arial Narrow"/>
                  <w:sz w:val="21"/>
                  <w:szCs w:val="16"/>
                </w:rPr>
                <w:t>个月的，则借款费用暂停资本化；该项中断如果是所购建或生产的符合资本化条件的资产达到预定</w:t>
              </w:r>
              <w:r>
                <w:rPr>
                  <w:rFonts w:ascii="Arial Narrow" w:hAnsi="Arial Narrow"/>
                  <w:sz w:val="21"/>
                  <w:szCs w:val="16"/>
                </w:rPr>
                <w:lastRenderedPageBreak/>
                <w:t>可使用状态或者可销售状态必要的程序，则借款费用继续资本化。在中断期间发生的借款费用确认为当期损益，直至资产的购建或者生产活动重新开始后继续资本化。</w:t>
              </w:r>
            </w:p>
            <w:p w14:paraId="4D3866FA" w14:textId="77777777" w:rsidR="002D0AE7" w:rsidRDefault="00333EBB">
              <w:pPr>
                <w:snapToGrid w:val="0"/>
                <w:ind w:firstLineChars="200" w:firstLine="422"/>
                <w:rPr>
                  <w:rFonts w:ascii="Arial Narrow" w:hAnsi="Arial Narrow"/>
                  <w:b/>
                  <w:bCs/>
                  <w:sz w:val="21"/>
                  <w:szCs w:val="18"/>
                </w:rPr>
              </w:pPr>
              <w:r>
                <w:rPr>
                  <w:rFonts w:ascii="Arial Narrow" w:hAnsi="Arial Narrow"/>
                  <w:b/>
                  <w:sz w:val="21"/>
                  <w:szCs w:val="18"/>
                </w:rPr>
                <w:t>4</w:t>
              </w:r>
              <w:r>
                <w:rPr>
                  <w:rFonts w:ascii="Arial Narrow" w:hAnsi="Arial Narrow"/>
                  <w:b/>
                  <w:sz w:val="21"/>
                  <w:szCs w:val="18"/>
                </w:rPr>
                <w:t>、借款费用资本化金额的计算方法：</w:t>
              </w:r>
            </w:p>
            <w:p w14:paraId="07D3572C" w14:textId="77777777" w:rsidR="002D0AE7" w:rsidRDefault="00333EBB">
              <w:pPr>
                <w:snapToGrid w:val="0"/>
                <w:ind w:firstLineChars="200" w:firstLine="420"/>
                <w:rPr>
                  <w:rFonts w:ascii="Arial Narrow" w:hAnsi="Arial Narrow"/>
                  <w:sz w:val="21"/>
                  <w:szCs w:val="16"/>
                </w:rPr>
              </w:pPr>
              <w:r>
                <w:rPr>
                  <w:rFonts w:ascii="Arial Narrow" w:hAnsi="Arial Narrow"/>
                  <w:sz w:val="21"/>
                  <w:szCs w:val="16"/>
                </w:rPr>
                <w:t>对于为</w:t>
              </w:r>
              <w:r>
                <w:rPr>
                  <w:rFonts w:ascii="Arial Narrow" w:hAnsi="Arial Narrow" w:hint="eastAsia"/>
                  <w:sz w:val="21"/>
                  <w:szCs w:val="16"/>
                </w:rPr>
                <w:t>购建</w:t>
              </w:r>
              <w:r>
                <w:rPr>
                  <w:rFonts w:ascii="Arial Narrow" w:hAnsi="Arial Narrow"/>
                  <w:sz w:val="21"/>
                  <w:szCs w:val="16"/>
                </w:rPr>
                <w:t>或者生产符合资本化条件的资产而借入的专门借款，以专门借款当期实际发生的借款费用，减去尚未动用的借款资金存入银行取得的利息收入或进行暂时性投资取得的投资收益后的金额，来确定借款费用的资本化金额。</w:t>
              </w:r>
            </w:p>
            <w:p w14:paraId="51C3D800" w14:textId="77777777" w:rsidR="002D0AE7" w:rsidRDefault="00333EBB">
              <w:pPr>
                <w:snapToGrid w:val="0"/>
                <w:ind w:firstLineChars="200" w:firstLine="420"/>
                <w:rPr>
                  <w:rFonts w:ascii="Arial Narrow" w:hAnsi="Arial Narrow"/>
                  <w:sz w:val="21"/>
                  <w:szCs w:val="16"/>
                </w:rPr>
              </w:pPr>
              <w:r>
                <w:rPr>
                  <w:rFonts w:ascii="Arial Narrow" w:hAnsi="Arial Narrow"/>
                  <w:sz w:val="21"/>
                  <w:szCs w:val="16"/>
                </w:rPr>
                <w:t>对于为购建或者生产符合资本化条件的资产而占用的一般借款，购建累计资产支出超过专门借款部分的资产支出期初期末加权平均数乘以所占用一般借款的资本化率，计算确定一般借款应予资本化的利息金额，资本化率根据一般借款加权平均利率计算确定。</w:t>
              </w:r>
            </w:p>
            <w:p w14:paraId="6142477F" w14:textId="77777777" w:rsidR="002D0AE7" w:rsidRDefault="00333EBB">
              <w:pPr>
                <w:snapToGrid w:val="0"/>
                <w:ind w:firstLineChars="200" w:firstLine="420"/>
                <w:rPr>
                  <w:rFonts w:cs="Times New Roman" w:hint="eastAsia"/>
                  <w:kern w:val="2"/>
                  <w:sz w:val="21"/>
                  <w:szCs w:val="18"/>
                </w:rPr>
              </w:pPr>
              <w:r>
                <w:rPr>
                  <w:rFonts w:ascii="Arial Narrow" w:hAnsi="Arial Narrow" w:hint="eastAsia"/>
                  <w:sz w:val="21"/>
                  <w:szCs w:val="16"/>
                </w:rPr>
                <w:t>在资本化期间内，外币专门借款本金及其利息的汇兑差额，应当予以资本化，计入符合资本化条件的资产的成本。而除外币专门借款之外的其他外币借款本金及其利息所产生的汇兑差额应当作为财务费用，计入当期损益。</w:t>
              </w:r>
            </w:p>
          </w:sdtContent>
        </w:sdt>
      </w:sdtContent>
    </w:sdt>
    <w:p w14:paraId="46BDC8A0" w14:textId="77777777" w:rsidR="002D0AE7" w:rsidRDefault="00333EBB">
      <w:pPr>
        <w:pStyle w:val="3"/>
        <w:numPr>
          <w:ilvl w:val="0"/>
          <w:numId w:val="37"/>
        </w:numPr>
        <w:rPr>
          <w:rFonts w:ascii="宋体" w:hAnsi="宋体" w:hint="eastAsia"/>
          <w:color w:val="000000" w:themeColor="text1"/>
        </w:rPr>
      </w:pPr>
      <w:bookmarkStart w:id="135" w:name="_Hlk169007443"/>
      <w:r>
        <w:rPr>
          <w:rFonts w:ascii="宋体" w:hAnsi="宋体"/>
          <w:color w:val="000000" w:themeColor="text1"/>
        </w:rPr>
        <w:t>无形资产</w:t>
      </w:r>
    </w:p>
    <w:p w14:paraId="79C674C5" w14:textId="77777777" w:rsidR="002D0AE7" w:rsidRDefault="00333EBB">
      <w:pPr>
        <w:pStyle w:val="4"/>
        <w:numPr>
          <w:ilvl w:val="3"/>
          <w:numId w:val="39"/>
        </w:numPr>
        <w:tabs>
          <w:tab w:val="left" w:pos="448"/>
        </w:tabs>
        <w:rPr>
          <w:rFonts w:ascii="宋体" w:hAnsi="宋体" w:hint="eastAsia"/>
          <w:color w:val="000000" w:themeColor="text1"/>
        </w:rPr>
      </w:pPr>
      <w:r>
        <w:rPr>
          <w:rFonts w:ascii="宋体" w:hAnsi="宋体" w:hint="eastAsia"/>
          <w:color w:val="000000" w:themeColor="text1"/>
        </w:rPr>
        <w:t>使用寿命</w:t>
      </w:r>
      <w:r>
        <w:rPr>
          <w:rFonts w:hint="eastAsia"/>
          <w:color w:val="000000" w:themeColor="text1"/>
        </w:rPr>
        <w:t>及其确定依据、估计情况、摊销方法</w:t>
      </w:r>
      <w:r>
        <w:rPr>
          <w:rFonts w:hint="eastAsia"/>
        </w:rPr>
        <w:t>或复核程序</w:t>
      </w:r>
    </w:p>
    <w:sdt>
      <w:sdtPr>
        <w:rPr>
          <w:rFonts w:hint="eastAsia"/>
          <w:color w:val="000000" w:themeColor="text1"/>
        </w:rPr>
        <w:alias w:val="是否适用：无形资产计价方法、使用寿命、减值测试[双击切换]"/>
        <w:tag w:val="_GBC_a82698fb1ffd4e75b46a9c35938b4cf4"/>
        <w:id w:val="2109690346"/>
        <w:placeholder>
          <w:docPart w:val="GBC22222222222222222222222222222"/>
        </w:placeholder>
      </w:sdtPr>
      <w:sdtEndPr/>
      <w:sdtContent>
        <w:p w14:paraId="4D7A90D1"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无形资产计价方法、使用寿命、减值测试"/>
        <w:tag w:val="_GBC_a9e64b18f452482eb6674ec605618dcc"/>
        <w:id w:val="-799694115"/>
        <w:placeholder>
          <w:docPart w:val="GBC22222222222222222222222222222"/>
        </w:placeholder>
      </w:sdtPr>
      <w:sdtEndPr>
        <w:rPr>
          <w:color w:val="auto"/>
          <w:sz w:val="21"/>
        </w:rPr>
      </w:sdtEndPr>
      <w:sdtContent>
        <w:sdt>
          <w:sdtPr>
            <w:alias w:val="无形资产计价方法、使用寿命、减值测试"/>
            <w:tag w:val="_GBC_a9e64b18f452482eb6674ec605618dcc"/>
            <w:id w:val="-470597226"/>
            <w:placeholder>
              <w:docPart w:val="9C8852BD7F1A495C8C47786C921902BC"/>
            </w:placeholder>
          </w:sdtPr>
          <w:sdtEndPr>
            <w:rPr>
              <w:sz w:val="21"/>
            </w:rPr>
          </w:sdtEndPr>
          <w:sdtContent>
            <w:p w14:paraId="72128773" w14:textId="77777777" w:rsidR="002D0AE7" w:rsidRDefault="00333EBB">
              <w:pPr>
                <w:snapToGrid w:val="0"/>
                <w:ind w:firstLineChars="200" w:firstLine="480"/>
                <w:rPr>
                  <w:rFonts w:ascii="Arial Narrow" w:hAnsi="Arial Narrow"/>
                  <w:b/>
                  <w:bCs/>
                  <w:snapToGrid w:val="0"/>
                  <w:sz w:val="21"/>
                  <w:szCs w:val="18"/>
                </w:rPr>
              </w:pPr>
              <w:r>
                <w:rPr>
                  <w:rFonts w:ascii="Arial Narrow" w:hAnsi="Arial Narrow"/>
                  <w:b/>
                  <w:sz w:val="21"/>
                  <w:szCs w:val="16"/>
                </w:rPr>
                <w:t>1</w:t>
              </w:r>
              <w:r>
                <w:rPr>
                  <w:rFonts w:ascii="Arial Narrow" w:hAnsi="Arial Narrow"/>
                  <w:b/>
                  <w:sz w:val="21"/>
                  <w:szCs w:val="16"/>
                </w:rPr>
                <w:t>、无形资产的计价方法</w:t>
              </w:r>
            </w:p>
            <w:p w14:paraId="4BE34BB3" w14:textId="77777777" w:rsidR="002D0AE7" w:rsidRDefault="00333EBB">
              <w:pPr>
                <w:adjustRightInd w:val="0"/>
                <w:snapToGrid w:val="0"/>
                <w:ind w:firstLineChars="200" w:firstLine="420"/>
                <w:textAlignment w:val="baseline"/>
                <w:rPr>
                  <w:rFonts w:ascii="Arial Narrow" w:hAnsi="Arial Narrow"/>
                  <w:sz w:val="21"/>
                  <w:szCs w:val="18"/>
                  <w:lang w:val="zh-CN"/>
                </w:rPr>
              </w:pPr>
              <w:r>
                <w:rPr>
                  <w:rFonts w:ascii="Arial Narrow" w:hAnsi="Arial Narrow"/>
                  <w:sz w:val="21"/>
                  <w:szCs w:val="18"/>
                  <w:lang w:val="zh-CN"/>
                </w:rPr>
                <w:t>（</w:t>
              </w:r>
              <w:r>
                <w:rPr>
                  <w:rFonts w:ascii="Arial Narrow" w:hAnsi="Arial Narrow"/>
                  <w:sz w:val="21"/>
                  <w:szCs w:val="18"/>
                  <w:lang w:val="zh-CN"/>
                </w:rPr>
                <w:t>1</w:t>
              </w:r>
              <w:r>
                <w:rPr>
                  <w:rFonts w:ascii="Arial Narrow" w:hAnsi="Arial Narrow"/>
                  <w:sz w:val="21"/>
                  <w:szCs w:val="18"/>
                  <w:lang w:val="zh-CN"/>
                </w:rPr>
                <w:t>）初始计量</w:t>
              </w:r>
            </w:p>
            <w:p w14:paraId="69DBF4DB" w14:textId="77777777" w:rsidR="002D0AE7" w:rsidRDefault="00333EBB">
              <w:pPr>
                <w:adjustRightInd w:val="0"/>
                <w:snapToGrid w:val="0"/>
                <w:ind w:firstLineChars="200" w:firstLine="420"/>
                <w:textAlignment w:val="baseline"/>
                <w:rPr>
                  <w:rFonts w:ascii="Arial Narrow" w:hAnsi="Arial Narrow"/>
                  <w:sz w:val="21"/>
                  <w:szCs w:val="18"/>
                  <w:lang w:val="zh-CN"/>
                </w:rPr>
              </w:pPr>
              <w:r>
                <w:rPr>
                  <w:rFonts w:ascii="Arial Narrow" w:hAnsi="Arial Narrow"/>
                  <w:sz w:val="21"/>
                  <w:szCs w:val="18"/>
                  <w:lang w:val="zh-CN"/>
                </w:rPr>
                <w:t>无形资产按取得时的实际成本计量，包括购买价款、相关税费以及直接归属于使该项资产达到预定用途所发生的其他支出。非货币性资产交换具备商业实质且换入资产或换出资产的公允价值能够可靠计量的前提下，非货币性资产交换换入的无形资产以换出资产的公允价值为基础确定其入账价值，除非有确凿证据表明换入资产的公允价值更加可靠；不满足上述前提的非货币性资产交换，以换出资产的账面价值和应支付的相关税费作为换入无形资产的成本，不确认损益。</w:t>
              </w:r>
            </w:p>
            <w:p w14:paraId="364D65CD" w14:textId="77777777" w:rsidR="002D0AE7" w:rsidRDefault="00333EBB">
              <w:pPr>
                <w:adjustRightInd w:val="0"/>
                <w:snapToGrid w:val="0"/>
                <w:ind w:firstLineChars="200" w:firstLine="420"/>
                <w:textAlignment w:val="baseline"/>
                <w:rPr>
                  <w:rFonts w:ascii="Arial Narrow" w:hAnsi="Arial Narrow"/>
                  <w:sz w:val="21"/>
                  <w:szCs w:val="18"/>
                  <w:lang w:val="zh-CN"/>
                </w:rPr>
              </w:pPr>
              <w:r>
                <w:rPr>
                  <w:rFonts w:ascii="Arial Narrow" w:hAnsi="Arial Narrow"/>
                  <w:sz w:val="21"/>
                  <w:szCs w:val="18"/>
                  <w:lang w:val="zh-CN"/>
                </w:rPr>
                <w:t>（</w:t>
              </w:r>
              <w:r>
                <w:rPr>
                  <w:rFonts w:ascii="Arial Narrow" w:hAnsi="Arial Narrow"/>
                  <w:sz w:val="21"/>
                  <w:szCs w:val="18"/>
                  <w:lang w:val="zh-CN"/>
                </w:rPr>
                <w:t>2</w:t>
              </w:r>
              <w:r>
                <w:rPr>
                  <w:rFonts w:ascii="Arial Narrow" w:hAnsi="Arial Narrow"/>
                  <w:sz w:val="21"/>
                  <w:szCs w:val="18"/>
                  <w:lang w:val="zh-CN"/>
                </w:rPr>
                <w:t>）后续计量</w:t>
              </w:r>
            </w:p>
            <w:p w14:paraId="5247470F" w14:textId="77777777" w:rsidR="002D0AE7" w:rsidRDefault="00333EBB">
              <w:pPr>
                <w:adjustRightInd w:val="0"/>
                <w:snapToGrid w:val="0"/>
                <w:ind w:firstLineChars="200" w:firstLine="420"/>
                <w:textAlignment w:val="baseline"/>
                <w:rPr>
                  <w:rFonts w:ascii="Arial Narrow" w:hAnsi="Arial Narrow"/>
                  <w:sz w:val="21"/>
                  <w:szCs w:val="18"/>
                  <w:lang w:val="zh-CN"/>
                </w:rPr>
              </w:pPr>
              <w:r>
                <w:rPr>
                  <w:rFonts w:ascii="Arial Narrow" w:hAnsi="Arial Narrow"/>
                  <w:sz w:val="21"/>
                  <w:szCs w:val="18"/>
                </w:rPr>
                <w:t>取得无形资产时分析判断其使用寿命。</w:t>
              </w:r>
            </w:p>
            <w:p w14:paraId="137DDF45" w14:textId="77777777" w:rsidR="002D0AE7" w:rsidRDefault="00333EBB">
              <w:pPr>
                <w:adjustRightInd w:val="0"/>
                <w:snapToGrid w:val="0"/>
                <w:ind w:firstLineChars="200" w:firstLine="420"/>
                <w:textAlignment w:val="baseline"/>
                <w:rPr>
                  <w:rFonts w:ascii="Arial Narrow" w:hAnsi="Arial Narrow"/>
                  <w:sz w:val="21"/>
                  <w:szCs w:val="18"/>
                  <w:lang w:val="zh-CN"/>
                </w:rPr>
              </w:pPr>
              <w:r>
                <w:rPr>
                  <w:rFonts w:ascii="Arial Narrow" w:hAnsi="Arial Narrow"/>
                  <w:sz w:val="21"/>
                  <w:szCs w:val="18"/>
                </w:rPr>
                <w:t>对于使用寿命有限的无形资产，在为本公司带来经济利益的期限内按直线法摊销；无法预见无形资产为公司带来经济利益期限的，视为使用寿命不确定的有形资产，不予</w:t>
              </w:r>
              <w:r>
                <w:rPr>
                  <w:rFonts w:ascii="Arial Narrow" w:hAnsi="Arial Narrow" w:hint="eastAsia"/>
                  <w:sz w:val="21"/>
                  <w:szCs w:val="18"/>
                </w:rPr>
                <w:t>摊</w:t>
              </w:r>
              <w:r>
                <w:rPr>
                  <w:rFonts w:ascii="Arial Narrow" w:hAnsi="Arial Narrow"/>
                  <w:sz w:val="21"/>
                  <w:szCs w:val="18"/>
                </w:rPr>
                <w:t>销。</w:t>
              </w:r>
            </w:p>
            <w:p w14:paraId="5EEB2538" w14:textId="77777777" w:rsidR="002D0AE7" w:rsidRDefault="00333EBB">
              <w:pPr>
                <w:adjustRightInd w:val="0"/>
                <w:snapToGrid w:val="0"/>
                <w:ind w:firstLineChars="200" w:firstLine="420"/>
                <w:textAlignment w:val="baseline"/>
                <w:rPr>
                  <w:rFonts w:ascii="Arial Narrow" w:hAnsi="Arial Narrow"/>
                  <w:sz w:val="21"/>
                  <w:szCs w:val="18"/>
                  <w:lang w:val="zh-CN"/>
                </w:rPr>
              </w:pPr>
              <w:r>
                <w:rPr>
                  <w:rFonts w:ascii="Arial Narrow" w:hAnsi="Arial Narrow"/>
                  <w:sz w:val="21"/>
                  <w:szCs w:val="18"/>
                </w:rPr>
                <w:t>在每个会计期间对使用寿命不确定的无形资产的使用寿命进行复核。如果有证据表明无形资产的使用寿命是有限的，估计其使用寿命，并在为本公司带来经济利益的期限内按直线法摊销。</w:t>
              </w:r>
            </w:p>
            <w:p w14:paraId="7DFFB64C" w14:textId="77777777" w:rsidR="002D0AE7" w:rsidRDefault="00333EBB">
              <w:pPr>
                <w:snapToGrid w:val="0"/>
                <w:ind w:firstLineChars="200" w:firstLine="422"/>
                <w:rPr>
                  <w:rFonts w:ascii="Arial Narrow" w:hAnsi="Arial Narrow"/>
                  <w:b/>
                  <w:bCs/>
                  <w:sz w:val="21"/>
                  <w:szCs w:val="16"/>
                </w:rPr>
              </w:pPr>
              <w:r>
                <w:rPr>
                  <w:rFonts w:ascii="Arial Narrow" w:hAnsi="Arial Narrow"/>
                  <w:b/>
                  <w:sz w:val="21"/>
                  <w:szCs w:val="16"/>
                </w:rPr>
                <w:t>2</w:t>
              </w:r>
              <w:r>
                <w:rPr>
                  <w:rFonts w:ascii="Arial Narrow" w:hAnsi="Arial Narrow"/>
                  <w:b/>
                  <w:sz w:val="21"/>
                  <w:szCs w:val="16"/>
                </w:rPr>
                <w:t>、对于使用寿命有限的无形资产的使用寿命的估计：</w:t>
              </w:r>
            </w:p>
            <w:tbl>
              <w:tblPr>
                <w:tblW w:w="8364" w:type="dxa"/>
                <w:tblInd w:w="-34" w:type="dxa"/>
                <w:tblBorders>
                  <w:top w:val="double" w:sz="4" w:space="0" w:color="auto"/>
                  <w:bottom w:val="double" w:sz="4" w:space="0" w:color="auto"/>
                  <w:insideH w:val="dotted" w:sz="4" w:space="0" w:color="auto"/>
                  <w:insideV w:val="dotted" w:sz="4" w:space="0" w:color="auto"/>
                </w:tblBorders>
                <w:tblLayout w:type="fixed"/>
                <w:tblLook w:val="04A0" w:firstRow="1" w:lastRow="0" w:firstColumn="1" w:lastColumn="0" w:noHBand="0" w:noVBand="1"/>
              </w:tblPr>
              <w:tblGrid>
                <w:gridCol w:w="2410"/>
                <w:gridCol w:w="2268"/>
                <w:gridCol w:w="3686"/>
              </w:tblGrid>
              <w:tr w:rsidR="002D0AE7" w14:paraId="26E49304" w14:textId="77777777">
                <w:trPr>
                  <w:tblHeader/>
                </w:trPr>
                <w:tc>
                  <w:tcPr>
                    <w:tcW w:w="2410" w:type="dxa"/>
                    <w:vAlign w:val="center"/>
                  </w:tcPr>
                  <w:p w14:paraId="56018376" w14:textId="77777777" w:rsidR="002D0AE7" w:rsidRDefault="00333EBB">
                    <w:pPr>
                      <w:jc w:val="center"/>
                      <w:rPr>
                        <w:rFonts w:ascii="Arial Narrow" w:hAnsi="Arial Narrow"/>
                        <w:sz w:val="21"/>
                        <w:szCs w:val="18"/>
                      </w:rPr>
                    </w:pPr>
                    <w:r>
                      <w:rPr>
                        <w:rFonts w:ascii="Arial Narrow" w:hAnsi="Arial Narrow"/>
                        <w:sz w:val="21"/>
                        <w:szCs w:val="18"/>
                      </w:rPr>
                      <w:t>项目</w:t>
                    </w:r>
                  </w:p>
                </w:tc>
                <w:tc>
                  <w:tcPr>
                    <w:tcW w:w="2268" w:type="dxa"/>
                    <w:vAlign w:val="center"/>
                  </w:tcPr>
                  <w:p w14:paraId="131D1778" w14:textId="77777777" w:rsidR="002D0AE7" w:rsidRDefault="00333EBB">
                    <w:pPr>
                      <w:jc w:val="center"/>
                      <w:rPr>
                        <w:rFonts w:ascii="Arial Narrow" w:hAnsi="Arial Narrow"/>
                        <w:sz w:val="21"/>
                        <w:szCs w:val="18"/>
                      </w:rPr>
                    </w:pPr>
                    <w:r>
                      <w:rPr>
                        <w:rFonts w:ascii="Arial Narrow" w:hAnsi="Arial Narrow"/>
                        <w:sz w:val="21"/>
                        <w:szCs w:val="18"/>
                      </w:rPr>
                      <w:t>预计使用寿命</w:t>
                    </w:r>
                    <w:r>
                      <w:rPr>
                        <w:rFonts w:ascii="Arial Narrow" w:hAnsi="Arial Narrow"/>
                        <w:sz w:val="21"/>
                        <w:szCs w:val="18"/>
                      </w:rPr>
                      <w:t>(</w:t>
                    </w:r>
                    <w:r>
                      <w:rPr>
                        <w:rFonts w:ascii="Arial Narrow" w:hAnsi="Arial Narrow"/>
                        <w:sz w:val="21"/>
                        <w:szCs w:val="18"/>
                      </w:rPr>
                      <w:t>年</w:t>
                    </w:r>
                    <w:r>
                      <w:rPr>
                        <w:rFonts w:ascii="Arial Narrow" w:hAnsi="Arial Narrow"/>
                        <w:sz w:val="21"/>
                        <w:szCs w:val="18"/>
                      </w:rPr>
                      <w:t>)</w:t>
                    </w:r>
                  </w:p>
                </w:tc>
                <w:tc>
                  <w:tcPr>
                    <w:tcW w:w="3686" w:type="dxa"/>
                    <w:vAlign w:val="center"/>
                  </w:tcPr>
                  <w:p w14:paraId="5E1A02A6" w14:textId="77777777" w:rsidR="002D0AE7" w:rsidRDefault="00333EBB">
                    <w:pPr>
                      <w:jc w:val="center"/>
                      <w:rPr>
                        <w:rFonts w:ascii="Arial Narrow" w:hAnsi="Arial Narrow"/>
                        <w:sz w:val="21"/>
                        <w:szCs w:val="18"/>
                      </w:rPr>
                    </w:pPr>
                    <w:r>
                      <w:rPr>
                        <w:rFonts w:ascii="Arial Narrow" w:hAnsi="Arial Narrow"/>
                        <w:sz w:val="21"/>
                        <w:szCs w:val="18"/>
                      </w:rPr>
                      <w:t>依据</w:t>
                    </w:r>
                  </w:p>
                </w:tc>
              </w:tr>
              <w:tr w:rsidR="002D0AE7" w14:paraId="058C9FEF" w14:textId="77777777">
                <w:tc>
                  <w:tcPr>
                    <w:tcW w:w="2410" w:type="dxa"/>
                    <w:vAlign w:val="center"/>
                  </w:tcPr>
                  <w:p w14:paraId="29E8CBD5" w14:textId="77777777" w:rsidR="002D0AE7" w:rsidRDefault="00333EBB">
                    <w:pPr>
                      <w:jc w:val="center"/>
                      <w:rPr>
                        <w:rFonts w:ascii="Arial Narrow" w:hAnsi="Arial Narrow"/>
                        <w:sz w:val="21"/>
                        <w:szCs w:val="18"/>
                      </w:rPr>
                    </w:pPr>
                    <w:r>
                      <w:rPr>
                        <w:rFonts w:ascii="Arial Narrow" w:hAnsi="Arial Narrow" w:hint="eastAsia"/>
                        <w:sz w:val="21"/>
                        <w:szCs w:val="18"/>
                      </w:rPr>
                      <w:t>工业产权</w:t>
                    </w:r>
                  </w:p>
                </w:tc>
                <w:tc>
                  <w:tcPr>
                    <w:tcW w:w="2268" w:type="dxa"/>
                    <w:vAlign w:val="center"/>
                  </w:tcPr>
                  <w:p w14:paraId="62E079E0" w14:textId="77777777" w:rsidR="002D0AE7" w:rsidRDefault="00333EBB">
                    <w:pPr>
                      <w:jc w:val="center"/>
                      <w:rPr>
                        <w:rFonts w:ascii="Arial Narrow" w:hAnsi="Arial Narrow"/>
                        <w:sz w:val="21"/>
                        <w:szCs w:val="18"/>
                      </w:rPr>
                    </w:pPr>
                    <w:r>
                      <w:rPr>
                        <w:rFonts w:ascii="Arial Narrow" w:hAnsi="Arial Narrow" w:hint="eastAsia"/>
                        <w:sz w:val="21"/>
                        <w:szCs w:val="18"/>
                      </w:rPr>
                      <w:t>10</w:t>
                    </w:r>
                  </w:p>
                </w:tc>
                <w:tc>
                  <w:tcPr>
                    <w:tcW w:w="3686" w:type="dxa"/>
                    <w:vAlign w:val="center"/>
                  </w:tcPr>
                  <w:p w14:paraId="58B07BDD" w14:textId="77777777" w:rsidR="002D0AE7" w:rsidRDefault="00333EBB">
                    <w:pPr>
                      <w:jc w:val="center"/>
                      <w:rPr>
                        <w:rFonts w:ascii="Arial Narrow" w:hAnsi="Arial Narrow"/>
                        <w:sz w:val="21"/>
                        <w:szCs w:val="18"/>
                      </w:rPr>
                    </w:pPr>
                    <w:r>
                      <w:rPr>
                        <w:rFonts w:ascii="Arial Narrow" w:hAnsi="Arial Narrow" w:hint="eastAsia"/>
                        <w:sz w:val="21"/>
                        <w:szCs w:val="18"/>
                      </w:rPr>
                      <w:t>法定年限</w:t>
                    </w:r>
                  </w:p>
                </w:tc>
              </w:tr>
              <w:tr w:rsidR="002D0AE7" w14:paraId="3718BC59" w14:textId="77777777">
                <w:tc>
                  <w:tcPr>
                    <w:tcW w:w="2410" w:type="dxa"/>
                    <w:vAlign w:val="center"/>
                  </w:tcPr>
                  <w:p w14:paraId="7EE054B5" w14:textId="77777777" w:rsidR="002D0AE7" w:rsidRDefault="00333EBB">
                    <w:pPr>
                      <w:jc w:val="center"/>
                      <w:rPr>
                        <w:rFonts w:ascii="Arial Narrow" w:hAnsi="Arial Narrow"/>
                        <w:sz w:val="21"/>
                        <w:szCs w:val="18"/>
                      </w:rPr>
                    </w:pPr>
                    <w:r>
                      <w:rPr>
                        <w:rFonts w:ascii="Arial Narrow" w:hAnsi="Arial Narrow" w:hint="eastAsia"/>
                        <w:sz w:val="21"/>
                        <w:szCs w:val="18"/>
                      </w:rPr>
                      <w:t>计算机软件</w:t>
                    </w:r>
                  </w:p>
                </w:tc>
                <w:tc>
                  <w:tcPr>
                    <w:tcW w:w="2268" w:type="dxa"/>
                    <w:vAlign w:val="center"/>
                  </w:tcPr>
                  <w:p w14:paraId="7F1EAF7E" w14:textId="77777777" w:rsidR="002D0AE7" w:rsidRDefault="00333EBB">
                    <w:pPr>
                      <w:jc w:val="center"/>
                      <w:rPr>
                        <w:rFonts w:ascii="Arial Narrow" w:hAnsi="Arial Narrow"/>
                        <w:sz w:val="21"/>
                        <w:szCs w:val="18"/>
                      </w:rPr>
                    </w:pPr>
                    <w:r>
                      <w:rPr>
                        <w:rFonts w:ascii="Arial Narrow" w:hAnsi="Arial Narrow" w:hint="eastAsia"/>
                        <w:sz w:val="21"/>
                        <w:szCs w:val="18"/>
                      </w:rPr>
                      <w:t>10</w:t>
                    </w:r>
                  </w:p>
                </w:tc>
                <w:tc>
                  <w:tcPr>
                    <w:tcW w:w="3686" w:type="dxa"/>
                    <w:vAlign w:val="center"/>
                  </w:tcPr>
                  <w:p w14:paraId="573F6BD5" w14:textId="77777777" w:rsidR="002D0AE7" w:rsidRDefault="00333EBB">
                    <w:pPr>
                      <w:jc w:val="center"/>
                      <w:rPr>
                        <w:rFonts w:ascii="Arial Narrow" w:hAnsi="Arial Narrow"/>
                        <w:sz w:val="21"/>
                        <w:szCs w:val="18"/>
                      </w:rPr>
                    </w:pPr>
                    <w:r>
                      <w:rPr>
                        <w:rFonts w:ascii="Arial Narrow" w:hAnsi="Arial Narrow" w:hint="eastAsia"/>
                        <w:sz w:val="21"/>
                        <w:szCs w:val="18"/>
                      </w:rPr>
                      <w:t>预计能够带来经济利益的年限</w:t>
                    </w:r>
                  </w:p>
                </w:tc>
              </w:tr>
              <w:tr w:rsidR="002D0AE7" w14:paraId="3ED3CD3C" w14:textId="77777777">
                <w:tc>
                  <w:tcPr>
                    <w:tcW w:w="2410" w:type="dxa"/>
                    <w:vAlign w:val="center"/>
                  </w:tcPr>
                  <w:p w14:paraId="4AFE605F" w14:textId="77777777" w:rsidR="002D0AE7" w:rsidRDefault="00333EBB">
                    <w:pPr>
                      <w:jc w:val="center"/>
                      <w:rPr>
                        <w:rFonts w:ascii="Arial Narrow" w:hAnsi="Arial Narrow"/>
                        <w:sz w:val="21"/>
                        <w:szCs w:val="18"/>
                      </w:rPr>
                    </w:pPr>
                    <w:r>
                      <w:rPr>
                        <w:rFonts w:ascii="Arial Narrow" w:hAnsi="Arial Narrow" w:hint="eastAsia"/>
                        <w:sz w:val="21"/>
                        <w:szCs w:val="18"/>
                      </w:rPr>
                      <w:t>药品批准证书</w:t>
                    </w:r>
                  </w:p>
                </w:tc>
                <w:tc>
                  <w:tcPr>
                    <w:tcW w:w="2268" w:type="dxa"/>
                    <w:vAlign w:val="center"/>
                  </w:tcPr>
                  <w:p w14:paraId="1BC405A3" w14:textId="77777777" w:rsidR="002D0AE7" w:rsidRDefault="00333EBB">
                    <w:pPr>
                      <w:jc w:val="center"/>
                      <w:rPr>
                        <w:rFonts w:ascii="Arial Narrow" w:hAnsi="Arial Narrow"/>
                        <w:sz w:val="21"/>
                        <w:szCs w:val="18"/>
                      </w:rPr>
                    </w:pPr>
                    <w:r>
                      <w:rPr>
                        <w:rFonts w:ascii="Arial Narrow" w:hAnsi="Arial Narrow" w:hint="eastAsia"/>
                        <w:sz w:val="21"/>
                        <w:szCs w:val="18"/>
                      </w:rPr>
                      <w:t>10</w:t>
                    </w:r>
                  </w:p>
                </w:tc>
                <w:tc>
                  <w:tcPr>
                    <w:tcW w:w="3686" w:type="dxa"/>
                    <w:vAlign w:val="center"/>
                  </w:tcPr>
                  <w:p w14:paraId="4A1911FC" w14:textId="77777777" w:rsidR="002D0AE7" w:rsidRDefault="00333EBB">
                    <w:pPr>
                      <w:jc w:val="center"/>
                      <w:rPr>
                        <w:rFonts w:ascii="Arial Narrow" w:hAnsi="Arial Narrow"/>
                        <w:sz w:val="21"/>
                        <w:szCs w:val="18"/>
                      </w:rPr>
                    </w:pPr>
                    <w:r>
                      <w:rPr>
                        <w:rFonts w:ascii="Arial Narrow" w:hAnsi="Arial Narrow" w:hint="eastAsia"/>
                        <w:sz w:val="21"/>
                        <w:szCs w:val="18"/>
                      </w:rPr>
                      <w:t>预计能够带来经济利益的年限</w:t>
                    </w:r>
                  </w:p>
                </w:tc>
              </w:tr>
              <w:tr w:rsidR="002D0AE7" w14:paraId="636A568B" w14:textId="77777777">
                <w:tc>
                  <w:tcPr>
                    <w:tcW w:w="2410" w:type="dxa"/>
                    <w:vAlign w:val="center"/>
                  </w:tcPr>
                  <w:p w14:paraId="5E7544B9" w14:textId="77777777" w:rsidR="002D0AE7" w:rsidRDefault="00333EBB">
                    <w:pPr>
                      <w:jc w:val="center"/>
                      <w:rPr>
                        <w:rFonts w:ascii="Arial Narrow" w:hAnsi="Arial Narrow"/>
                        <w:sz w:val="21"/>
                        <w:szCs w:val="18"/>
                      </w:rPr>
                    </w:pPr>
                    <w:r>
                      <w:rPr>
                        <w:rFonts w:ascii="Arial Narrow" w:hAnsi="Arial Narrow" w:hint="eastAsia"/>
                        <w:sz w:val="21"/>
                        <w:szCs w:val="18"/>
                      </w:rPr>
                      <w:t>专有技术</w:t>
                    </w:r>
                  </w:p>
                </w:tc>
                <w:tc>
                  <w:tcPr>
                    <w:tcW w:w="2268" w:type="dxa"/>
                    <w:vAlign w:val="center"/>
                  </w:tcPr>
                  <w:p w14:paraId="53DA4373" w14:textId="77777777" w:rsidR="002D0AE7" w:rsidRDefault="00333EBB">
                    <w:pPr>
                      <w:jc w:val="center"/>
                      <w:rPr>
                        <w:rFonts w:ascii="Arial Narrow" w:hAnsi="Arial Narrow"/>
                        <w:sz w:val="21"/>
                        <w:szCs w:val="18"/>
                      </w:rPr>
                    </w:pPr>
                    <w:r>
                      <w:rPr>
                        <w:rFonts w:ascii="Arial Narrow" w:hAnsi="Arial Narrow"/>
                        <w:sz w:val="21"/>
                        <w:szCs w:val="18"/>
                      </w:rPr>
                      <w:t>10</w:t>
                    </w:r>
                  </w:p>
                </w:tc>
                <w:tc>
                  <w:tcPr>
                    <w:tcW w:w="3686" w:type="dxa"/>
                    <w:vAlign w:val="center"/>
                  </w:tcPr>
                  <w:p w14:paraId="775A6F3C" w14:textId="77777777" w:rsidR="002D0AE7" w:rsidRDefault="00333EBB">
                    <w:pPr>
                      <w:jc w:val="center"/>
                      <w:rPr>
                        <w:rFonts w:ascii="Arial Narrow" w:hAnsi="Arial Narrow"/>
                        <w:sz w:val="21"/>
                        <w:szCs w:val="18"/>
                      </w:rPr>
                    </w:pPr>
                    <w:r>
                      <w:rPr>
                        <w:rFonts w:ascii="Arial Narrow" w:hAnsi="Arial Narrow" w:hint="eastAsia"/>
                        <w:sz w:val="21"/>
                        <w:szCs w:val="18"/>
                      </w:rPr>
                      <w:t>预计能够带来经济利益的年限</w:t>
                    </w:r>
                  </w:p>
                </w:tc>
              </w:tr>
              <w:tr w:rsidR="002D0AE7" w14:paraId="1E820CB6" w14:textId="77777777">
                <w:tc>
                  <w:tcPr>
                    <w:tcW w:w="2410" w:type="dxa"/>
                    <w:vAlign w:val="center"/>
                  </w:tcPr>
                  <w:p w14:paraId="0186F52E" w14:textId="77777777" w:rsidR="002D0AE7" w:rsidRDefault="00333EBB">
                    <w:pPr>
                      <w:jc w:val="center"/>
                      <w:rPr>
                        <w:rFonts w:ascii="Arial Narrow" w:hAnsi="Arial Narrow"/>
                        <w:sz w:val="21"/>
                        <w:szCs w:val="18"/>
                      </w:rPr>
                    </w:pPr>
                    <w:r>
                      <w:rPr>
                        <w:rFonts w:ascii="Arial Narrow" w:hAnsi="Arial Narrow" w:hint="eastAsia"/>
                        <w:sz w:val="21"/>
                        <w:szCs w:val="18"/>
                      </w:rPr>
                      <w:t>土地使用权</w:t>
                    </w:r>
                  </w:p>
                </w:tc>
                <w:tc>
                  <w:tcPr>
                    <w:tcW w:w="2268" w:type="dxa"/>
                    <w:vAlign w:val="center"/>
                  </w:tcPr>
                  <w:p w14:paraId="3178A1A8" w14:textId="77777777" w:rsidR="002D0AE7" w:rsidRDefault="00333EBB">
                    <w:pPr>
                      <w:jc w:val="center"/>
                      <w:rPr>
                        <w:rFonts w:ascii="Arial Narrow" w:hAnsi="Arial Narrow"/>
                        <w:sz w:val="21"/>
                        <w:szCs w:val="18"/>
                      </w:rPr>
                    </w:pPr>
                    <w:r>
                      <w:rPr>
                        <w:rFonts w:ascii="Arial Narrow" w:hAnsi="Arial Narrow" w:hint="eastAsia"/>
                        <w:sz w:val="21"/>
                        <w:szCs w:val="18"/>
                      </w:rPr>
                      <w:t>36-50</w:t>
                    </w:r>
                  </w:p>
                </w:tc>
                <w:tc>
                  <w:tcPr>
                    <w:tcW w:w="3686" w:type="dxa"/>
                    <w:vAlign w:val="center"/>
                  </w:tcPr>
                  <w:p w14:paraId="7BDE697E" w14:textId="77777777" w:rsidR="002D0AE7" w:rsidRDefault="00333EBB">
                    <w:pPr>
                      <w:jc w:val="center"/>
                      <w:rPr>
                        <w:rFonts w:ascii="Arial Narrow" w:hAnsi="Arial Narrow"/>
                        <w:sz w:val="21"/>
                        <w:szCs w:val="18"/>
                      </w:rPr>
                    </w:pPr>
                    <w:r>
                      <w:rPr>
                        <w:rFonts w:ascii="Arial Narrow" w:hAnsi="Arial Narrow" w:hint="eastAsia"/>
                        <w:sz w:val="21"/>
                        <w:szCs w:val="18"/>
                      </w:rPr>
                      <w:t>法定年限（土地证使用期限）</w:t>
                    </w:r>
                  </w:p>
                </w:tc>
              </w:tr>
            </w:tbl>
            <w:p w14:paraId="7E2E5CA2" w14:textId="77777777" w:rsidR="002D0AE7" w:rsidRDefault="00333EBB">
              <w:pPr>
                <w:adjustRightInd w:val="0"/>
                <w:snapToGrid w:val="0"/>
                <w:ind w:firstLineChars="200" w:firstLine="422"/>
                <w:textAlignment w:val="baseline"/>
                <w:rPr>
                  <w:rFonts w:ascii="Arial Narrow" w:hAnsi="Arial Narrow"/>
                  <w:b/>
                  <w:bCs/>
                  <w:sz w:val="21"/>
                  <w:szCs w:val="18"/>
                </w:rPr>
              </w:pPr>
              <w:r>
                <w:rPr>
                  <w:rFonts w:ascii="Arial Narrow" w:hAnsi="Arial Narrow"/>
                  <w:b/>
                  <w:sz w:val="21"/>
                  <w:szCs w:val="18"/>
                  <w:lang w:val="zh-CN"/>
                </w:rPr>
                <w:t>3</w:t>
              </w:r>
              <w:r>
                <w:rPr>
                  <w:rFonts w:ascii="Arial Narrow" w:hAnsi="Arial Narrow"/>
                  <w:b/>
                  <w:sz w:val="21"/>
                  <w:szCs w:val="18"/>
                  <w:lang w:val="zh-CN"/>
                </w:rPr>
                <w:t>、无形资产减值准备原则：</w:t>
              </w:r>
            </w:p>
            <w:p w14:paraId="53A4ADBC" w14:textId="77777777" w:rsidR="002D0AE7" w:rsidRDefault="00333EBB">
              <w:pPr>
                <w:adjustRightInd w:val="0"/>
                <w:snapToGrid w:val="0"/>
                <w:ind w:firstLineChars="200" w:firstLine="420"/>
                <w:textAlignment w:val="baseline"/>
                <w:rPr>
                  <w:rFonts w:ascii="Arial Narrow" w:hAnsi="Arial Narrow"/>
                  <w:sz w:val="21"/>
                  <w:szCs w:val="18"/>
                </w:rPr>
              </w:pPr>
              <w:r>
                <w:rPr>
                  <w:rFonts w:ascii="Arial Narrow" w:hAnsi="Arial Narrow"/>
                  <w:sz w:val="21"/>
                  <w:szCs w:val="18"/>
                </w:rPr>
                <w:t>对于使用寿命有限的无形资产，如果有明显的减值迹象的，期末进行减值测试。减值迹象包括以下情形：</w:t>
              </w:r>
            </w:p>
            <w:p w14:paraId="6FA9DAF0" w14:textId="77777777" w:rsidR="002D0AE7" w:rsidRDefault="00333EBB">
              <w:pPr>
                <w:adjustRightInd w:val="0"/>
                <w:snapToGrid w:val="0"/>
                <w:ind w:firstLineChars="200" w:firstLine="420"/>
                <w:textAlignment w:val="baseline"/>
                <w:rPr>
                  <w:rFonts w:ascii="Arial Narrow" w:hAnsi="Arial Narrow"/>
                  <w:sz w:val="21"/>
                  <w:szCs w:val="18"/>
                </w:rPr>
              </w:pPr>
              <w:r>
                <w:rPr>
                  <w:rFonts w:ascii="Arial Narrow" w:hAnsi="Arial Narrow" w:hint="eastAsia"/>
                  <w:sz w:val="21"/>
                  <w:szCs w:val="18"/>
                </w:rPr>
                <w:t>（</w:t>
              </w:r>
              <w:r>
                <w:rPr>
                  <w:rFonts w:ascii="Arial Narrow" w:hAnsi="Arial Narrow" w:hint="eastAsia"/>
                  <w:sz w:val="21"/>
                  <w:szCs w:val="18"/>
                </w:rPr>
                <w:t>1</w:t>
              </w:r>
              <w:r>
                <w:rPr>
                  <w:rFonts w:ascii="Arial Narrow" w:hAnsi="Arial Narrow" w:hint="eastAsia"/>
                  <w:sz w:val="21"/>
                  <w:szCs w:val="18"/>
                </w:rPr>
                <w:t>）</w:t>
              </w:r>
              <w:r>
                <w:rPr>
                  <w:rFonts w:ascii="Arial Narrow" w:hAnsi="Arial Narrow"/>
                  <w:sz w:val="21"/>
                  <w:szCs w:val="18"/>
                </w:rPr>
                <w:t>某项无形资产已被其他新技术等所替代，使其为企业创造经济利益的能力受到重大不利影响；</w:t>
              </w:r>
            </w:p>
            <w:p w14:paraId="62411AA1" w14:textId="77777777" w:rsidR="002D0AE7" w:rsidRDefault="00333EBB">
              <w:pPr>
                <w:adjustRightInd w:val="0"/>
                <w:snapToGrid w:val="0"/>
                <w:ind w:firstLineChars="200" w:firstLine="420"/>
                <w:textAlignment w:val="baseline"/>
                <w:rPr>
                  <w:rFonts w:ascii="Arial Narrow" w:hAnsi="Arial Narrow"/>
                  <w:sz w:val="21"/>
                  <w:szCs w:val="18"/>
                </w:rPr>
              </w:pPr>
              <w:r>
                <w:rPr>
                  <w:rFonts w:ascii="Arial Narrow" w:hAnsi="Arial Narrow" w:hint="eastAsia"/>
                  <w:sz w:val="21"/>
                  <w:szCs w:val="18"/>
                </w:rPr>
                <w:t>（</w:t>
              </w:r>
              <w:r>
                <w:rPr>
                  <w:rFonts w:ascii="Arial Narrow" w:hAnsi="Arial Narrow" w:hint="eastAsia"/>
                  <w:sz w:val="21"/>
                  <w:szCs w:val="18"/>
                </w:rPr>
                <w:t>2</w:t>
              </w:r>
              <w:r>
                <w:rPr>
                  <w:rFonts w:ascii="Arial Narrow" w:hAnsi="Arial Narrow" w:hint="eastAsia"/>
                  <w:sz w:val="21"/>
                  <w:szCs w:val="18"/>
                </w:rPr>
                <w:t>）</w:t>
              </w:r>
              <w:r>
                <w:rPr>
                  <w:rFonts w:ascii="Arial Narrow" w:hAnsi="Arial Narrow"/>
                  <w:sz w:val="21"/>
                  <w:szCs w:val="18"/>
                </w:rPr>
                <w:t>某项无形资产的市价在当期大幅下跌</w:t>
              </w:r>
              <w:r>
                <w:rPr>
                  <w:rFonts w:ascii="Arial Narrow" w:hAnsi="Arial Narrow"/>
                  <w:sz w:val="21"/>
                  <w:szCs w:val="18"/>
                </w:rPr>
                <w:t>,</w:t>
              </w:r>
              <w:r>
                <w:rPr>
                  <w:rFonts w:ascii="Arial Narrow" w:hAnsi="Arial Narrow"/>
                  <w:sz w:val="21"/>
                  <w:szCs w:val="18"/>
                </w:rPr>
                <w:t>剩余摊销年限内预期不会恢复；</w:t>
              </w:r>
            </w:p>
            <w:p w14:paraId="76A76CA0" w14:textId="77777777" w:rsidR="002D0AE7" w:rsidRDefault="00333EBB">
              <w:pPr>
                <w:adjustRightInd w:val="0"/>
                <w:snapToGrid w:val="0"/>
                <w:ind w:firstLineChars="200" w:firstLine="420"/>
                <w:textAlignment w:val="baseline"/>
                <w:rPr>
                  <w:rFonts w:ascii="Arial Narrow" w:hAnsi="Arial Narrow"/>
                  <w:sz w:val="21"/>
                  <w:szCs w:val="18"/>
                </w:rPr>
              </w:pPr>
              <w:r>
                <w:rPr>
                  <w:rFonts w:ascii="Arial Narrow" w:hAnsi="Arial Narrow" w:hint="eastAsia"/>
                  <w:sz w:val="21"/>
                  <w:szCs w:val="18"/>
                </w:rPr>
                <w:t>（</w:t>
              </w:r>
              <w:r>
                <w:rPr>
                  <w:rFonts w:ascii="Arial Narrow" w:hAnsi="Arial Narrow" w:hint="eastAsia"/>
                  <w:sz w:val="21"/>
                  <w:szCs w:val="18"/>
                </w:rPr>
                <w:t>3</w:t>
              </w:r>
              <w:r>
                <w:rPr>
                  <w:rFonts w:ascii="Arial Narrow" w:hAnsi="Arial Narrow" w:hint="eastAsia"/>
                  <w:sz w:val="21"/>
                  <w:szCs w:val="18"/>
                </w:rPr>
                <w:t>）</w:t>
              </w:r>
              <w:r>
                <w:rPr>
                  <w:rFonts w:ascii="Arial Narrow" w:hAnsi="Arial Narrow"/>
                  <w:sz w:val="21"/>
                  <w:szCs w:val="18"/>
                </w:rPr>
                <w:t>某项无形资产已超过法律保护期限，但仍然具有部分使用价值；</w:t>
              </w:r>
            </w:p>
            <w:p w14:paraId="0FFF23AC" w14:textId="77777777" w:rsidR="002D0AE7" w:rsidRDefault="00333EBB">
              <w:pPr>
                <w:adjustRightInd w:val="0"/>
                <w:snapToGrid w:val="0"/>
                <w:ind w:firstLineChars="200" w:firstLine="420"/>
                <w:textAlignment w:val="baseline"/>
                <w:rPr>
                  <w:rFonts w:ascii="Arial Narrow" w:hAnsi="Arial Narrow"/>
                  <w:sz w:val="21"/>
                  <w:szCs w:val="18"/>
                </w:rPr>
              </w:pPr>
              <w:r>
                <w:rPr>
                  <w:rFonts w:ascii="Arial Narrow" w:hAnsi="Arial Narrow" w:hint="eastAsia"/>
                  <w:sz w:val="21"/>
                  <w:szCs w:val="18"/>
                </w:rPr>
                <w:t>（</w:t>
              </w:r>
              <w:r>
                <w:rPr>
                  <w:rFonts w:ascii="Arial Narrow" w:hAnsi="Arial Narrow" w:hint="eastAsia"/>
                  <w:sz w:val="21"/>
                  <w:szCs w:val="18"/>
                </w:rPr>
                <w:t>4</w:t>
              </w:r>
              <w:r>
                <w:rPr>
                  <w:rFonts w:ascii="Arial Narrow" w:hAnsi="Arial Narrow" w:hint="eastAsia"/>
                  <w:sz w:val="21"/>
                  <w:szCs w:val="18"/>
                </w:rPr>
                <w:t>）</w:t>
              </w:r>
              <w:r>
                <w:rPr>
                  <w:rFonts w:ascii="Arial Narrow" w:hAnsi="Arial Narrow"/>
                  <w:sz w:val="21"/>
                  <w:szCs w:val="18"/>
                </w:rPr>
                <w:t>其他足以证明某项无形资产实质上已经发生了减值的情形。</w:t>
              </w:r>
            </w:p>
            <w:p w14:paraId="4A08468A" w14:textId="77777777" w:rsidR="002D0AE7" w:rsidRDefault="00333EBB">
              <w:pPr>
                <w:adjustRightInd w:val="0"/>
                <w:snapToGrid w:val="0"/>
                <w:ind w:firstLineChars="200" w:firstLine="420"/>
                <w:textAlignment w:val="baseline"/>
                <w:rPr>
                  <w:rFonts w:ascii="Arial Narrow" w:hAnsi="Arial Narrow"/>
                  <w:sz w:val="21"/>
                  <w:szCs w:val="18"/>
                </w:rPr>
              </w:pPr>
              <w:r>
                <w:rPr>
                  <w:rFonts w:ascii="Arial Narrow" w:hAnsi="Arial Narrow"/>
                  <w:sz w:val="21"/>
                  <w:szCs w:val="18"/>
                </w:rPr>
                <w:t>对于使用寿命不确定的无形资产，每期末进行减值测试。</w:t>
              </w:r>
            </w:p>
            <w:p w14:paraId="3A86F9CB" w14:textId="77777777" w:rsidR="002D0AE7" w:rsidRDefault="00333EBB">
              <w:pPr>
                <w:adjustRightInd w:val="0"/>
                <w:snapToGrid w:val="0"/>
                <w:ind w:firstLineChars="200" w:firstLine="420"/>
                <w:textAlignment w:val="baseline"/>
                <w:rPr>
                  <w:rFonts w:ascii="Arial Narrow" w:hAnsi="Arial Narrow"/>
                  <w:sz w:val="21"/>
                  <w:szCs w:val="18"/>
                  <w:lang w:val="zh-CN"/>
                </w:rPr>
              </w:pPr>
              <w:r>
                <w:rPr>
                  <w:rFonts w:ascii="Arial Narrow" w:hAnsi="Arial Narrow"/>
                  <w:sz w:val="21"/>
                  <w:szCs w:val="18"/>
                </w:rPr>
                <w:t>无形资产存在减值的，估计其可收回金额。可收回金额根据无形资产的公允价值减去处置费用后的净额与无形资产未来现金流量的现值两者之间较高者确定。</w:t>
              </w:r>
            </w:p>
            <w:p w14:paraId="6729BC88" w14:textId="77777777" w:rsidR="002D0AE7" w:rsidRDefault="00333EBB">
              <w:pPr>
                <w:adjustRightInd w:val="0"/>
                <w:snapToGrid w:val="0"/>
                <w:ind w:firstLineChars="200" w:firstLine="420"/>
                <w:textAlignment w:val="baseline"/>
                <w:rPr>
                  <w:rFonts w:ascii="Arial Narrow" w:hAnsi="Arial Narrow"/>
                  <w:sz w:val="21"/>
                  <w:szCs w:val="18"/>
                  <w:lang w:val="zh-CN"/>
                </w:rPr>
              </w:pPr>
              <w:r>
                <w:rPr>
                  <w:rFonts w:ascii="Arial Narrow" w:hAnsi="Arial Narrow"/>
                  <w:sz w:val="21"/>
                  <w:szCs w:val="18"/>
                </w:rPr>
                <w:t>当无形资产的可收回金额低于其账面价值的，将无形资产的账面价值减记至可收回金额，减记的金额确认为无形资产减值损失，计入当期损益，同时计提相应的无形资产减值准备。</w:t>
              </w:r>
            </w:p>
            <w:p w14:paraId="47329ACD" w14:textId="77777777" w:rsidR="002D0AE7" w:rsidRDefault="00333EBB">
              <w:pPr>
                <w:adjustRightInd w:val="0"/>
                <w:snapToGrid w:val="0"/>
                <w:ind w:firstLineChars="200" w:firstLine="420"/>
                <w:textAlignment w:val="baseline"/>
                <w:rPr>
                  <w:rFonts w:ascii="Arial Narrow" w:hAnsi="Arial Narrow"/>
                  <w:sz w:val="21"/>
                  <w:szCs w:val="18"/>
                </w:rPr>
              </w:pPr>
              <w:r>
                <w:rPr>
                  <w:rFonts w:ascii="Arial Narrow" w:hAnsi="Arial Narrow"/>
                  <w:sz w:val="21"/>
                  <w:szCs w:val="18"/>
                </w:rPr>
                <w:lastRenderedPageBreak/>
                <w:t>无形资产减值损失确认后，减值无形资产的折耗或者摊销费用在未来期间做相应的调整，以使该无形资产在剩余使用寿命内，系统地分摊调整后的无形资产账面价值（扣除预计净残值）。</w:t>
              </w:r>
            </w:p>
            <w:p w14:paraId="7B698BCD" w14:textId="77777777" w:rsidR="002D0AE7" w:rsidRDefault="00333EBB">
              <w:pPr>
                <w:adjustRightInd w:val="0"/>
                <w:snapToGrid w:val="0"/>
                <w:ind w:firstLineChars="200" w:firstLine="420"/>
                <w:textAlignment w:val="baseline"/>
                <w:rPr>
                  <w:rFonts w:hint="eastAsia"/>
                  <w:sz w:val="21"/>
                </w:rPr>
              </w:pPr>
              <w:r>
                <w:rPr>
                  <w:rFonts w:ascii="Arial Narrow" w:hAnsi="Arial Narrow"/>
                  <w:sz w:val="21"/>
                  <w:szCs w:val="18"/>
                </w:rPr>
                <w:t>无形资产减值损失一经确认，在以后会计期间不得转回。</w:t>
              </w:r>
            </w:p>
          </w:sdtContent>
        </w:sdt>
      </w:sdtContent>
    </w:sdt>
    <w:p w14:paraId="1B2535CE" w14:textId="77777777" w:rsidR="002D0AE7" w:rsidRDefault="00333EBB">
      <w:pPr>
        <w:pStyle w:val="4"/>
        <w:numPr>
          <w:ilvl w:val="3"/>
          <w:numId w:val="39"/>
        </w:numPr>
        <w:tabs>
          <w:tab w:val="left" w:pos="448"/>
        </w:tabs>
        <w:rPr>
          <w:rFonts w:ascii="宋体" w:hAnsi="宋体" w:hint="eastAsia"/>
          <w:color w:val="000000" w:themeColor="text1"/>
        </w:rPr>
      </w:pPr>
      <w:r>
        <w:rPr>
          <w:rFonts w:ascii="宋体" w:hAnsi="宋体" w:hint="eastAsia"/>
          <w:color w:val="000000" w:themeColor="text1"/>
        </w:rPr>
        <w:t>研发支出</w:t>
      </w:r>
      <w:r>
        <w:rPr>
          <w:rFonts w:hint="eastAsia"/>
          <w:color w:val="000000" w:themeColor="text1"/>
        </w:rPr>
        <w:t>的归集范围及相关会计处理方法</w:t>
      </w:r>
    </w:p>
    <w:sdt>
      <w:sdtPr>
        <w:rPr>
          <w:rFonts w:hint="eastAsia"/>
          <w:color w:val="000000" w:themeColor="text1"/>
        </w:rPr>
        <w:alias w:val="是否适用：无形资产内部研究开发支出会计政策[双击切换]"/>
        <w:tag w:val="_GBC_c3cef4c9f19749b8a53b7f49d3b7bac3"/>
        <w:id w:val="1405795857"/>
        <w:placeholder>
          <w:docPart w:val="GBC22222222222222222222222222222"/>
        </w:placeholder>
      </w:sdtPr>
      <w:sdtEndPr/>
      <w:sdtContent>
        <w:p w14:paraId="7D8DDCE6"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无形资产内部研究、开发支出会计政策"/>
        <w:tag w:val="_GBC_af7b1338d88344dfb8cd34ed66bfe672"/>
        <w:id w:val="81658318"/>
        <w:placeholder>
          <w:docPart w:val="GBC22222222222222222222222222222"/>
        </w:placeholder>
      </w:sdtPr>
      <w:sdtEndPr>
        <w:rPr>
          <w:color w:val="auto"/>
          <w:sz w:val="21"/>
          <w:szCs w:val="18"/>
        </w:rPr>
      </w:sdtEndPr>
      <w:sdtContent>
        <w:sdt>
          <w:sdtPr>
            <w:alias w:val="无形资产内部研究、开发支出会计政策"/>
            <w:tag w:val="_GBC_af7b1338d88344dfb8cd34ed66bfe672"/>
            <w:id w:val="1637218676"/>
            <w:placeholder>
              <w:docPart w:val="69BB8AE4043B4D1196AFA2DF3380D647"/>
            </w:placeholder>
          </w:sdtPr>
          <w:sdtEndPr>
            <w:rPr>
              <w:sz w:val="21"/>
              <w:szCs w:val="18"/>
            </w:rPr>
          </w:sdtEndPr>
          <w:sdtContent>
            <w:p w14:paraId="4660652E" w14:textId="77777777" w:rsidR="002D0AE7" w:rsidRDefault="00333EBB">
              <w:pPr>
                <w:adjustRightInd w:val="0"/>
                <w:snapToGrid w:val="0"/>
                <w:ind w:firstLineChars="200" w:firstLine="480"/>
                <w:textAlignment w:val="baseline"/>
                <w:rPr>
                  <w:rFonts w:ascii="Arial Narrow" w:hAnsi="Arial Narrow"/>
                  <w:sz w:val="21"/>
                  <w:szCs w:val="18"/>
                </w:rPr>
              </w:pPr>
              <w:r>
                <w:rPr>
                  <w:rFonts w:ascii="Arial Narrow" w:hAnsi="Arial Narrow" w:hint="eastAsia"/>
                  <w:sz w:val="21"/>
                  <w:szCs w:val="18"/>
                </w:rPr>
                <w:t>本公司内部研究开发项目的支出分为研究阶段支出与开发阶段支出。</w:t>
              </w:r>
            </w:p>
            <w:p w14:paraId="7B1678D6" w14:textId="77777777" w:rsidR="002D0AE7" w:rsidRDefault="00333EBB">
              <w:pPr>
                <w:adjustRightInd w:val="0"/>
                <w:snapToGrid w:val="0"/>
                <w:ind w:firstLineChars="200" w:firstLine="420"/>
                <w:textAlignment w:val="baseline"/>
                <w:rPr>
                  <w:rFonts w:ascii="Arial Narrow" w:hAnsi="Arial Narrow"/>
                  <w:sz w:val="21"/>
                  <w:szCs w:val="18"/>
                </w:rPr>
              </w:pPr>
              <w:r>
                <w:rPr>
                  <w:rFonts w:ascii="Arial Narrow" w:hAnsi="Arial Narrow" w:hint="eastAsia"/>
                  <w:sz w:val="21"/>
                  <w:szCs w:val="18"/>
                </w:rPr>
                <w:t>研究阶段的支出，于发生时计入当期损益。</w:t>
              </w:r>
            </w:p>
            <w:p w14:paraId="2826B5DC" w14:textId="77777777" w:rsidR="002D0AE7" w:rsidRDefault="00333EBB">
              <w:pPr>
                <w:adjustRightInd w:val="0"/>
                <w:snapToGrid w:val="0"/>
                <w:ind w:firstLineChars="200" w:firstLine="420"/>
                <w:textAlignment w:val="baseline"/>
                <w:rPr>
                  <w:rFonts w:ascii="Arial Narrow" w:hAnsi="Arial Narrow"/>
                  <w:sz w:val="21"/>
                  <w:szCs w:val="18"/>
                </w:rPr>
              </w:pPr>
              <w:r>
                <w:rPr>
                  <w:rFonts w:ascii="Arial Narrow" w:hAnsi="Arial Narrow" w:hint="eastAsia"/>
                  <w:sz w:val="21"/>
                  <w:szCs w:val="18"/>
                </w:rPr>
                <w:t>开发阶段的支出同时满足下列条件的，确认为无形资产，不能满足下述条件的开发阶段的支出计入当期损益：</w:t>
              </w:r>
            </w:p>
            <w:p w14:paraId="701B862C" w14:textId="77777777" w:rsidR="002D0AE7" w:rsidRDefault="00333EBB">
              <w:pPr>
                <w:adjustRightInd w:val="0"/>
                <w:snapToGrid w:val="0"/>
                <w:ind w:firstLineChars="200" w:firstLine="420"/>
                <w:textAlignment w:val="baseline"/>
                <w:rPr>
                  <w:rFonts w:ascii="Arial Narrow" w:hAnsi="Arial Narrow"/>
                  <w:sz w:val="21"/>
                  <w:szCs w:val="18"/>
                </w:rPr>
              </w:pPr>
              <w:r>
                <w:rPr>
                  <w:rFonts w:ascii="Arial Narrow" w:hAnsi="Arial Narrow" w:hint="eastAsia"/>
                  <w:sz w:val="21"/>
                  <w:szCs w:val="18"/>
                </w:rPr>
                <w:t>（</w:t>
              </w:r>
              <w:r>
                <w:rPr>
                  <w:rFonts w:ascii="Arial Narrow" w:hAnsi="Arial Narrow" w:hint="eastAsia"/>
                  <w:sz w:val="21"/>
                  <w:szCs w:val="18"/>
                </w:rPr>
                <w:t>1</w:t>
              </w:r>
              <w:r>
                <w:rPr>
                  <w:rFonts w:ascii="Arial Narrow" w:hAnsi="Arial Narrow" w:hint="eastAsia"/>
                  <w:sz w:val="21"/>
                  <w:szCs w:val="18"/>
                </w:rPr>
                <w:t>）完成该无形资产以使其能够使用或出售在技术上具有可行性；</w:t>
              </w:r>
            </w:p>
            <w:p w14:paraId="6AF72A3C" w14:textId="77777777" w:rsidR="002D0AE7" w:rsidRDefault="00333EBB">
              <w:pPr>
                <w:adjustRightInd w:val="0"/>
                <w:snapToGrid w:val="0"/>
                <w:ind w:firstLineChars="200" w:firstLine="420"/>
                <w:textAlignment w:val="baseline"/>
                <w:rPr>
                  <w:rFonts w:ascii="Arial Narrow" w:hAnsi="Arial Narrow"/>
                  <w:sz w:val="21"/>
                  <w:szCs w:val="18"/>
                  <w:lang w:val="zh-CN"/>
                </w:rPr>
              </w:pPr>
              <w:r>
                <w:rPr>
                  <w:rFonts w:ascii="Arial Narrow" w:hAnsi="Arial Narrow" w:hint="eastAsia"/>
                  <w:sz w:val="21"/>
                  <w:szCs w:val="18"/>
                </w:rPr>
                <w:t>（</w:t>
              </w:r>
              <w:r>
                <w:rPr>
                  <w:rFonts w:ascii="Arial Narrow" w:hAnsi="Arial Narrow" w:hint="eastAsia"/>
                  <w:sz w:val="21"/>
                  <w:szCs w:val="18"/>
                </w:rPr>
                <w:t>2</w:t>
              </w:r>
              <w:r>
                <w:rPr>
                  <w:rFonts w:ascii="Arial Narrow" w:hAnsi="Arial Narrow" w:hint="eastAsia"/>
                  <w:sz w:val="21"/>
                  <w:szCs w:val="18"/>
                </w:rPr>
                <w:t>）具有完成该无形资产并使用或出售的意图；</w:t>
              </w:r>
            </w:p>
            <w:p w14:paraId="271C4180" w14:textId="77777777" w:rsidR="002D0AE7" w:rsidRDefault="00333EBB">
              <w:pPr>
                <w:adjustRightInd w:val="0"/>
                <w:snapToGrid w:val="0"/>
                <w:ind w:firstLineChars="200" w:firstLine="420"/>
                <w:textAlignment w:val="baseline"/>
                <w:rPr>
                  <w:rFonts w:ascii="Arial Narrow" w:hAnsi="Arial Narrow"/>
                  <w:sz w:val="21"/>
                  <w:szCs w:val="18"/>
                </w:rPr>
              </w:pPr>
              <w:r>
                <w:rPr>
                  <w:rFonts w:ascii="Arial Narrow" w:hAnsi="Arial Narrow" w:hint="eastAsia"/>
                  <w:sz w:val="21"/>
                  <w:szCs w:val="18"/>
                </w:rPr>
                <w:t>（</w:t>
              </w:r>
              <w:r>
                <w:rPr>
                  <w:rFonts w:ascii="Arial Narrow" w:hAnsi="Arial Narrow" w:hint="eastAsia"/>
                  <w:sz w:val="21"/>
                  <w:szCs w:val="18"/>
                </w:rPr>
                <w:t>3</w:t>
              </w:r>
              <w:r>
                <w:rPr>
                  <w:rFonts w:ascii="Arial Narrow" w:hAnsi="Arial Narrow" w:hint="eastAsia"/>
                  <w:sz w:val="21"/>
                  <w:szCs w:val="18"/>
                </w:rPr>
                <w:t>）无形资产产生经济利益的方式，包括能够证明运用该无形资产生产的产品存在市场或无形资产自身存在市场，无形资产将在内部使用的，能够证明其有用性；</w:t>
              </w:r>
            </w:p>
            <w:p w14:paraId="02098F2A" w14:textId="77777777" w:rsidR="002D0AE7" w:rsidRDefault="00333EBB">
              <w:pPr>
                <w:adjustRightInd w:val="0"/>
                <w:snapToGrid w:val="0"/>
                <w:ind w:firstLineChars="200" w:firstLine="420"/>
                <w:textAlignment w:val="baseline"/>
                <w:rPr>
                  <w:rFonts w:ascii="Arial Narrow" w:hAnsi="Arial Narrow"/>
                  <w:sz w:val="21"/>
                  <w:szCs w:val="18"/>
                </w:rPr>
              </w:pPr>
              <w:r>
                <w:rPr>
                  <w:rFonts w:ascii="Arial Narrow" w:hAnsi="Arial Narrow" w:hint="eastAsia"/>
                  <w:sz w:val="21"/>
                  <w:szCs w:val="18"/>
                </w:rPr>
                <w:t>（</w:t>
              </w:r>
              <w:r>
                <w:rPr>
                  <w:rFonts w:ascii="Arial Narrow" w:hAnsi="Arial Narrow" w:hint="eastAsia"/>
                  <w:sz w:val="21"/>
                  <w:szCs w:val="18"/>
                </w:rPr>
                <w:t>4</w:t>
              </w:r>
              <w:r>
                <w:rPr>
                  <w:rFonts w:ascii="Arial Narrow" w:hAnsi="Arial Narrow" w:hint="eastAsia"/>
                  <w:sz w:val="21"/>
                  <w:szCs w:val="18"/>
                </w:rPr>
                <w:t>）有足够的技术、财务资源和其他资源支持，以完成该无形资产的开发，并有能力使用或出售该无形资产；</w:t>
              </w:r>
            </w:p>
            <w:p w14:paraId="43C5F28F" w14:textId="77777777" w:rsidR="002D0AE7" w:rsidRDefault="00333EBB">
              <w:pPr>
                <w:adjustRightInd w:val="0"/>
                <w:snapToGrid w:val="0"/>
                <w:ind w:firstLineChars="200" w:firstLine="420"/>
                <w:textAlignment w:val="baseline"/>
                <w:rPr>
                  <w:rFonts w:ascii="Arial Narrow" w:hAnsi="Arial Narrow"/>
                  <w:sz w:val="21"/>
                  <w:szCs w:val="18"/>
                </w:rPr>
              </w:pPr>
              <w:r>
                <w:rPr>
                  <w:rFonts w:ascii="Arial Narrow" w:hAnsi="Arial Narrow" w:hint="eastAsia"/>
                  <w:sz w:val="21"/>
                  <w:szCs w:val="18"/>
                </w:rPr>
                <w:t>（</w:t>
              </w:r>
              <w:r>
                <w:rPr>
                  <w:rFonts w:ascii="Arial Narrow" w:hAnsi="Arial Narrow" w:hint="eastAsia"/>
                  <w:sz w:val="21"/>
                  <w:szCs w:val="18"/>
                </w:rPr>
                <w:t>5</w:t>
              </w:r>
              <w:r>
                <w:rPr>
                  <w:rFonts w:ascii="Arial Narrow" w:hAnsi="Arial Narrow" w:hint="eastAsia"/>
                  <w:sz w:val="21"/>
                  <w:szCs w:val="18"/>
                </w:rPr>
                <w:t>）归属于该无形资产开发阶段的支出能够可靠地计量。</w:t>
              </w:r>
            </w:p>
            <w:p w14:paraId="1BF7298D" w14:textId="77777777" w:rsidR="002D0AE7" w:rsidRDefault="00333EBB">
              <w:pPr>
                <w:adjustRightInd w:val="0"/>
                <w:snapToGrid w:val="0"/>
                <w:ind w:firstLineChars="200" w:firstLine="420"/>
                <w:textAlignment w:val="baseline"/>
                <w:rPr>
                  <w:rFonts w:hint="eastAsia"/>
                  <w:sz w:val="21"/>
                  <w:szCs w:val="18"/>
                </w:rPr>
              </w:pPr>
              <w:r>
                <w:rPr>
                  <w:rFonts w:ascii="Arial Narrow" w:hAnsi="Arial Narrow" w:hint="eastAsia"/>
                  <w:sz w:val="21"/>
                  <w:szCs w:val="18"/>
                </w:rPr>
                <w:t>无法区分研究阶段支出和开发阶段支出的，将发生的研发支出全部计入当期损益。</w:t>
              </w:r>
            </w:p>
          </w:sdtContent>
        </w:sdt>
      </w:sdtContent>
    </w:sdt>
    <w:p w14:paraId="7401C948" w14:textId="77777777" w:rsidR="002D0AE7" w:rsidRDefault="00333EBB">
      <w:pPr>
        <w:pStyle w:val="3"/>
        <w:numPr>
          <w:ilvl w:val="0"/>
          <w:numId w:val="37"/>
        </w:numPr>
        <w:rPr>
          <w:rFonts w:ascii="宋体" w:hAnsi="宋体" w:hint="eastAsia"/>
          <w:color w:val="000000" w:themeColor="text1"/>
        </w:rPr>
      </w:pPr>
      <w:bookmarkStart w:id="136" w:name="_Hlk44405475"/>
      <w:bookmarkEnd w:id="135"/>
      <w:r>
        <w:rPr>
          <w:rFonts w:ascii="宋体" w:hAnsi="宋体"/>
          <w:color w:val="000000" w:themeColor="text1"/>
        </w:rPr>
        <w:t>长期待摊费用</w:t>
      </w:r>
    </w:p>
    <w:sdt>
      <w:sdtPr>
        <w:rPr>
          <w:rFonts w:hint="eastAsia"/>
          <w:color w:val="000000" w:themeColor="text1"/>
        </w:rPr>
        <w:alias w:val="是否适用：长期待摊费用_重要会计政策和估计[双击切换]"/>
        <w:tag w:val="_GBC_75739ccc62204f0490525060b33e330f"/>
        <w:id w:val="-1708325301"/>
        <w:placeholder>
          <w:docPart w:val="GBC22222222222222222222222222222"/>
        </w:placeholder>
      </w:sdtPr>
      <w:sdtEndPr/>
      <w:sdtContent>
        <w:p w14:paraId="0393BECE"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rFonts w:hint="eastAsia"/>
          <w:color w:val="000000" w:themeColor="text1"/>
        </w:rPr>
        <w:alias w:val="开办费、长期待摊费用摊销方法"/>
        <w:tag w:val="_GBC_e4e695ce4aea4c878acb6f8ad7190139"/>
        <w:id w:val="-1244949891"/>
        <w:placeholder>
          <w:docPart w:val="GBC22222222222222222222222222222"/>
        </w:placeholder>
      </w:sdtPr>
      <w:sdtEndPr>
        <w:rPr>
          <w:color w:val="auto"/>
          <w:sz w:val="21"/>
          <w:szCs w:val="18"/>
        </w:rPr>
      </w:sdtEndPr>
      <w:sdtContent>
        <w:p w14:paraId="560B8AD3" w14:textId="77777777" w:rsidR="002D0AE7" w:rsidRDefault="00333EBB">
          <w:pPr>
            <w:snapToGrid w:val="0"/>
            <w:ind w:firstLineChars="200" w:firstLine="480"/>
            <w:rPr>
              <w:rFonts w:ascii="Arial Narrow" w:hAnsi="Arial Narrow"/>
              <w:sz w:val="21"/>
              <w:szCs w:val="18"/>
              <w:lang w:val="zh-CN"/>
            </w:rPr>
          </w:pPr>
          <w:r>
            <w:rPr>
              <w:rFonts w:ascii="Arial Narrow" w:hAnsi="Arial Narrow"/>
              <w:sz w:val="21"/>
              <w:szCs w:val="18"/>
              <w:lang w:val="zh-CN"/>
            </w:rPr>
            <w:t>1</w:t>
          </w:r>
          <w:r>
            <w:rPr>
              <w:rFonts w:ascii="Arial Narrow" w:hAnsi="Arial Narrow"/>
              <w:sz w:val="21"/>
              <w:szCs w:val="18"/>
              <w:lang w:val="zh-CN"/>
            </w:rPr>
            <w:t>、长期待摊费用的定义和计价方法：</w:t>
          </w:r>
        </w:p>
        <w:p w14:paraId="13D99E04" w14:textId="77777777" w:rsidR="002D0AE7" w:rsidRDefault="00333EBB">
          <w:pPr>
            <w:snapToGrid w:val="0"/>
            <w:ind w:firstLineChars="200" w:firstLine="420"/>
            <w:rPr>
              <w:rFonts w:ascii="Arial Narrow" w:hAnsi="Arial Narrow"/>
              <w:sz w:val="21"/>
              <w:szCs w:val="18"/>
              <w:lang w:val="zh-CN"/>
            </w:rPr>
          </w:pPr>
          <w:r>
            <w:rPr>
              <w:rFonts w:ascii="Arial Narrow" w:hAnsi="Arial Narrow"/>
              <w:sz w:val="21"/>
              <w:szCs w:val="18"/>
              <w:lang w:val="zh-CN"/>
            </w:rPr>
            <w:t>长期待摊费用是指已经发生但应由本期和以后期间负担的摊销期限在一年以上的各项费用。长期待摊费用按实际成本计价。</w:t>
          </w:r>
        </w:p>
        <w:p w14:paraId="1E8FBF5F" w14:textId="77777777" w:rsidR="002D0AE7" w:rsidRDefault="00333EBB">
          <w:pPr>
            <w:snapToGrid w:val="0"/>
            <w:ind w:firstLineChars="200" w:firstLine="420"/>
            <w:rPr>
              <w:rFonts w:ascii="Arial Narrow" w:hAnsi="Arial Narrow"/>
              <w:sz w:val="21"/>
              <w:szCs w:val="18"/>
              <w:lang w:val="zh-CN"/>
            </w:rPr>
          </w:pPr>
          <w:r>
            <w:rPr>
              <w:rFonts w:ascii="Arial Narrow" w:hAnsi="Arial Narrow"/>
              <w:sz w:val="21"/>
              <w:szCs w:val="18"/>
              <w:lang w:val="zh-CN"/>
            </w:rPr>
            <w:t>2</w:t>
          </w:r>
          <w:r>
            <w:rPr>
              <w:rFonts w:ascii="Arial Narrow" w:hAnsi="Arial Narrow"/>
              <w:sz w:val="21"/>
              <w:szCs w:val="18"/>
              <w:lang w:val="zh-CN"/>
            </w:rPr>
            <w:t>、摊销方法：</w:t>
          </w:r>
        </w:p>
        <w:p w14:paraId="0BAD50AB" w14:textId="77777777" w:rsidR="002D0AE7" w:rsidRDefault="00333EBB">
          <w:pPr>
            <w:snapToGrid w:val="0"/>
            <w:ind w:firstLineChars="200" w:firstLine="420"/>
            <w:rPr>
              <w:rFonts w:hint="eastAsia"/>
              <w:sz w:val="21"/>
              <w:szCs w:val="18"/>
            </w:rPr>
          </w:pPr>
          <w:r>
            <w:rPr>
              <w:rFonts w:ascii="Arial Narrow" w:hAnsi="Arial Narrow"/>
              <w:sz w:val="21"/>
              <w:szCs w:val="18"/>
              <w:lang w:val="zh-CN"/>
            </w:rPr>
            <w:t>长期待摊费用在受益期限内平均摊销。租入固定资产改良支出在租赁期限与租赁资产尚可使用年限两者孰短的期限内平均摊销。子公司筹建费用在子公司开始生产经营当月起一次计入开始生产经营当月的损益。</w:t>
          </w:r>
        </w:p>
      </w:sdtContent>
    </w:sdt>
    <w:p w14:paraId="12FC6998" w14:textId="77777777" w:rsidR="002D0AE7" w:rsidRDefault="00333EBB">
      <w:pPr>
        <w:pStyle w:val="3"/>
        <w:numPr>
          <w:ilvl w:val="0"/>
          <w:numId w:val="37"/>
        </w:numPr>
        <w:rPr>
          <w:rFonts w:ascii="宋体" w:hAnsi="宋体" w:hint="eastAsia"/>
          <w:color w:val="000000" w:themeColor="text1"/>
          <w:szCs w:val="21"/>
        </w:rPr>
      </w:pPr>
      <w:bookmarkStart w:id="137" w:name="_Hlk10465482"/>
      <w:bookmarkEnd w:id="136"/>
      <w:r>
        <w:rPr>
          <w:rFonts w:ascii="宋体" w:hAnsi="宋体" w:hint="eastAsia"/>
          <w:color w:val="000000" w:themeColor="text1"/>
          <w:szCs w:val="21"/>
        </w:rPr>
        <w:t>合同负债</w:t>
      </w:r>
    </w:p>
    <w:sdt>
      <w:sdtPr>
        <w:rPr>
          <w:color w:val="000000" w:themeColor="text1"/>
        </w:rPr>
        <w:alias w:val="是否适用：合同负债的确定方法、摊销方法和减值测试方法[双击切换]"/>
        <w:tag w:val="_GBC_f210968f2ea04a338a3253827b172c25"/>
        <w:id w:val="389926637"/>
        <w:placeholder>
          <w:docPart w:val="GBC22222222222222222222222222222"/>
        </w:placeholder>
      </w:sdtPr>
      <w:sdtEndPr/>
      <w:sdtContent>
        <w:p w14:paraId="786BABE8"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合同负债的确定方法、摊销方法和减值测试方法"/>
        <w:tag w:val="_GBC_adbfb902bae348178906cb42c1932267"/>
        <w:id w:val="-1099409285"/>
        <w:placeholder>
          <w:docPart w:val="GBC22222222222222222222222222222"/>
        </w:placeholder>
      </w:sdtPr>
      <w:sdtEndPr>
        <w:rPr>
          <w:color w:val="auto"/>
          <w:sz w:val="21"/>
        </w:rPr>
      </w:sdtEndPr>
      <w:sdtContent>
        <w:p w14:paraId="55AECC41" w14:textId="77777777" w:rsidR="002D0AE7" w:rsidRDefault="00333EBB">
          <w:pPr>
            <w:ind w:firstLineChars="200" w:firstLine="480"/>
            <w:rPr>
              <w:rFonts w:ascii="Arial Narrow" w:hAnsi="Arial Narrow"/>
              <w:sz w:val="21"/>
            </w:rPr>
          </w:pPr>
          <w:r>
            <w:rPr>
              <w:rFonts w:ascii="Arial Narrow" w:hAnsi="Arial Narrow" w:hint="eastAsia"/>
              <w:sz w:val="21"/>
            </w:rPr>
            <w:t>合同负债，是指本公司已收或应收客户对价而应向客户转让商品或服务的义务。</w:t>
          </w:r>
        </w:p>
        <w:p w14:paraId="2DDEC5E3" w14:textId="77777777" w:rsidR="002D0AE7" w:rsidRDefault="00333EBB">
          <w:pPr>
            <w:snapToGrid w:val="0"/>
            <w:ind w:firstLineChars="200" w:firstLine="420"/>
            <w:rPr>
              <w:rFonts w:hint="eastAsia"/>
              <w:sz w:val="21"/>
            </w:rPr>
          </w:pPr>
          <w:r>
            <w:rPr>
              <w:rFonts w:ascii="Arial Narrow" w:hAnsi="Arial Narrow" w:hint="eastAsia"/>
              <w:sz w:val="21"/>
              <w:lang w:val="zh-CN"/>
            </w:rPr>
            <w:t>同一合同下的合同资产和合同负债以净额列示。</w:t>
          </w:r>
        </w:p>
      </w:sdtContent>
    </w:sdt>
    <w:bookmarkEnd w:id="137"/>
    <w:p w14:paraId="565A5AFF" w14:textId="77777777" w:rsidR="002D0AE7" w:rsidRDefault="00333EBB">
      <w:pPr>
        <w:pStyle w:val="3"/>
        <w:numPr>
          <w:ilvl w:val="0"/>
          <w:numId w:val="37"/>
        </w:numPr>
        <w:rPr>
          <w:rFonts w:ascii="宋体" w:hAnsi="宋体" w:hint="eastAsia"/>
          <w:color w:val="000000" w:themeColor="text1"/>
        </w:rPr>
      </w:pPr>
      <w:r>
        <w:rPr>
          <w:rFonts w:ascii="宋体" w:hAnsi="宋体" w:hint="eastAsia"/>
          <w:color w:val="000000" w:themeColor="text1"/>
        </w:rPr>
        <w:t>职工薪酬</w:t>
      </w:r>
    </w:p>
    <w:p w14:paraId="6361D80E" w14:textId="77777777" w:rsidR="002D0AE7" w:rsidRDefault="00333EBB">
      <w:pPr>
        <w:pStyle w:val="4"/>
        <w:numPr>
          <w:ilvl w:val="0"/>
          <w:numId w:val="40"/>
        </w:numPr>
        <w:rPr>
          <w:rFonts w:ascii="宋体" w:hAnsi="宋体" w:hint="eastAsia"/>
          <w:color w:val="000000" w:themeColor="text1"/>
        </w:rPr>
      </w:pPr>
      <w:r>
        <w:rPr>
          <w:rFonts w:ascii="宋体" w:hAnsi="宋体" w:hint="eastAsia"/>
          <w:color w:val="000000" w:themeColor="text1"/>
        </w:rPr>
        <w:t>短期薪酬的会计处理方法</w:t>
      </w:r>
    </w:p>
    <w:sdt>
      <w:sdtPr>
        <w:rPr>
          <w:color w:val="000000" w:themeColor="text1"/>
        </w:rPr>
        <w:alias w:val="是否适用：短期薪酬的会计处理方法[双击切换]"/>
        <w:tag w:val="_GBC_eefed2a465e349b6a35598930bd9541d"/>
        <w:id w:val="-965582167"/>
        <w:placeholder>
          <w:docPart w:val="GBC22222222222222222222222222222"/>
        </w:placeholder>
      </w:sdtPr>
      <w:sdtEndPr/>
      <w:sdtContent>
        <w:p w14:paraId="3BAA6EBF"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短期薪酬的会计处理方法"/>
        <w:tag w:val="_GBC_8fdf44b194ac45fb945d36b9896df796"/>
        <w:id w:val="1164814295"/>
        <w:placeholder>
          <w:docPart w:val="GBC22222222222222222222222222222"/>
        </w:placeholder>
      </w:sdtPr>
      <w:sdtEndPr>
        <w:rPr>
          <w:color w:val="auto"/>
          <w:sz w:val="21"/>
          <w:szCs w:val="18"/>
        </w:rPr>
      </w:sdtEndPr>
      <w:sdtContent>
        <w:sdt>
          <w:sdtPr>
            <w:alias w:val="短期薪酬的会计处理方法"/>
            <w:tag w:val="_GBC_8fdf44b194ac45fb945d36b9896df796"/>
            <w:id w:val="496006619"/>
            <w:placeholder>
              <w:docPart w:val="21F8EC8989D2481FB71BEE4C690A3195"/>
            </w:placeholder>
          </w:sdtPr>
          <w:sdtEndPr>
            <w:rPr>
              <w:sz w:val="21"/>
              <w:szCs w:val="18"/>
            </w:rPr>
          </w:sdtEndPr>
          <w:sdtContent>
            <w:p w14:paraId="1467712D" w14:textId="77777777" w:rsidR="002D0AE7" w:rsidRDefault="00333EBB">
              <w:pPr>
                <w:snapToGrid w:val="0"/>
                <w:ind w:firstLineChars="200" w:firstLine="480"/>
                <w:rPr>
                  <w:rFonts w:ascii="Arial Narrow" w:hAnsi="Arial Narrow"/>
                  <w:sz w:val="21"/>
                  <w:szCs w:val="18"/>
                  <w:lang w:val="zh-CN"/>
                </w:rPr>
              </w:pPr>
              <w:r>
                <w:rPr>
                  <w:rFonts w:ascii="Arial Narrow" w:hAnsi="Arial Narrow"/>
                  <w:sz w:val="21"/>
                  <w:szCs w:val="18"/>
                  <w:lang w:val="zh-CN"/>
                </w:rPr>
                <w:t>职工薪酬，</w:t>
              </w:r>
              <w:r>
                <w:rPr>
                  <w:rFonts w:ascii="Arial Narrow" w:hAnsi="Arial Narrow" w:hint="eastAsia"/>
                  <w:sz w:val="21"/>
                  <w:szCs w:val="18"/>
                  <w:lang w:val="zh-CN"/>
                </w:rPr>
                <w:t>是指企业为获得职工提供的服务或解除劳动关系而给予的各种形式的报酬或补偿。职工薪酬包括短期薪酬、离职后福利、辞退福利和其他长期职工福利。企业提供给职工配偶、子女、受赡养人、已故员工遗属及其他受益人等的福利，也属于职工薪酬。</w:t>
              </w:r>
            </w:p>
            <w:p w14:paraId="5F6D9261"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t>本公司</w:t>
              </w:r>
              <w:r>
                <w:rPr>
                  <w:rFonts w:ascii="Arial Narrow" w:hAnsi="Arial Narrow"/>
                  <w:sz w:val="21"/>
                  <w:szCs w:val="18"/>
                  <w:lang w:val="zh-CN"/>
                </w:rPr>
                <w:t>在职工提供服务的会计期间，将实际发生的短期薪酬确认为负债，并计入当期损益或相关资产成本，职工福利费为非货币性福利的，按照公允价值计量。</w:t>
              </w:r>
            </w:p>
            <w:p w14:paraId="09957493"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t>本公司</w:t>
              </w:r>
              <w:r>
                <w:rPr>
                  <w:rFonts w:ascii="Arial Narrow" w:hAnsi="Arial Narrow"/>
                  <w:sz w:val="21"/>
                  <w:szCs w:val="18"/>
                  <w:lang w:val="zh-CN"/>
                </w:rPr>
                <w:t>在职工提供服务从而增加了其未来享有的带薪缺勤权利时，确认与累积带薪缺勤相关的职工薪酬，并以累积未行使权利而增加的预期支付金额计量。</w:t>
              </w:r>
              <w:r>
                <w:rPr>
                  <w:rFonts w:ascii="Arial Narrow" w:hAnsi="Arial Narrow" w:hint="eastAsia"/>
                  <w:sz w:val="21"/>
                  <w:szCs w:val="18"/>
                  <w:lang w:val="zh-CN"/>
                </w:rPr>
                <w:t>本公司</w:t>
              </w:r>
              <w:r>
                <w:rPr>
                  <w:rFonts w:ascii="Arial Narrow" w:hAnsi="Arial Narrow"/>
                  <w:sz w:val="21"/>
                  <w:szCs w:val="18"/>
                  <w:lang w:val="zh-CN"/>
                </w:rPr>
                <w:t>在职工实际发生缺勤的会计期间确认与非累积带薪缺勤相关的职工薪酬。</w:t>
              </w:r>
            </w:p>
            <w:p w14:paraId="45A5DD01"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t>本公司在利润分享计划同时满足下列条件时确认相关的应付职工薪酬：</w:t>
              </w:r>
              <w:r>
                <w:rPr>
                  <w:rFonts w:ascii="Arial Narrow" w:hAnsi="Arial Narrow"/>
                  <w:sz w:val="21"/>
                  <w:szCs w:val="18"/>
                  <w:lang w:val="zh-CN"/>
                </w:rPr>
                <w:t>1</w:t>
              </w:r>
              <w:r>
                <w:rPr>
                  <w:rFonts w:ascii="Arial Narrow" w:hAnsi="Arial Narrow" w:hint="eastAsia"/>
                  <w:sz w:val="21"/>
                  <w:szCs w:val="18"/>
                  <w:lang w:val="zh-CN"/>
                </w:rPr>
                <w:t>、因过去事项导致现在具有支付职工薪酬的法定义务或推定义务；</w:t>
              </w:r>
              <w:r>
                <w:rPr>
                  <w:rFonts w:ascii="Arial Narrow" w:hAnsi="Arial Narrow"/>
                  <w:sz w:val="21"/>
                  <w:szCs w:val="18"/>
                  <w:lang w:val="zh-CN"/>
                </w:rPr>
                <w:t>2</w:t>
              </w:r>
              <w:r>
                <w:rPr>
                  <w:rFonts w:ascii="Arial Narrow" w:hAnsi="Arial Narrow" w:hint="eastAsia"/>
                  <w:sz w:val="21"/>
                  <w:szCs w:val="18"/>
                  <w:lang w:val="zh-CN"/>
                </w:rPr>
                <w:t>、因利润分享计划所产生的应付职工薪酬义务金额能够可靠估计。属于下列三种情形之一的，视为义务金额能够可靠估计：（</w:t>
              </w:r>
              <w:r>
                <w:rPr>
                  <w:rFonts w:ascii="Arial Narrow" w:hAnsi="Arial Narrow" w:hint="eastAsia"/>
                  <w:sz w:val="21"/>
                  <w:szCs w:val="18"/>
                  <w:lang w:val="zh-CN"/>
                </w:rPr>
                <w:t>1</w:t>
              </w:r>
              <w:r>
                <w:rPr>
                  <w:rFonts w:ascii="Arial Narrow" w:hAnsi="Arial Narrow" w:hint="eastAsia"/>
                  <w:sz w:val="21"/>
                  <w:szCs w:val="18"/>
                  <w:lang w:val="zh-CN"/>
                </w:rPr>
                <w:t>）在财务报告批准报出之前本公司已确定应支付的薪酬金额。（</w:t>
              </w:r>
              <w:r>
                <w:rPr>
                  <w:rFonts w:ascii="Arial Narrow" w:hAnsi="Arial Narrow" w:hint="eastAsia"/>
                  <w:sz w:val="21"/>
                  <w:szCs w:val="18"/>
                  <w:lang w:val="zh-CN"/>
                </w:rPr>
                <w:t>2</w:t>
              </w:r>
              <w:r>
                <w:rPr>
                  <w:rFonts w:ascii="Arial Narrow" w:hAnsi="Arial Narrow" w:hint="eastAsia"/>
                  <w:sz w:val="21"/>
                  <w:szCs w:val="18"/>
                  <w:lang w:val="zh-CN"/>
                </w:rPr>
                <w:t>）该短期利润分享计划的正式条款中包括确定薪酬金额的方式。（</w:t>
              </w:r>
              <w:r>
                <w:rPr>
                  <w:rFonts w:ascii="Arial Narrow" w:hAnsi="Arial Narrow" w:hint="eastAsia"/>
                  <w:sz w:val="21"/>
                  <w:szCs w:val="18"/>
                  <w:lang w:val="zh-CN"/>
                </w:rPr>
                <w:t>3</w:t>
              </w:r>
              <w:r>
                <w:rPr>
                  <w:rFonts w:ascii="Arial Narrow" w:hAnsi="Arial Narrow" w:hint="eastAsia"/>
                  <w:sz w:val="21"/>
                  <w:szCs w:val="18"/>
                  <w:lang w:val="zh-CN"/>
                </w:rPr>
                <w:t>）过去的惯例为本公司确定推定义务金额提供了明显证据。</w:t>
              </w:r>
            </w:p>
            <w:p w14:paraId="071C52A6"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lastRenderedPageBreak/>
                <w:t>本公司</w:t>
              </w:r>
              <w:r>
                <w:rPr>
                  <w:rFonts w:ascii="Arial Narrow" w:hAnsi="Arial Narrow"/>
                  <w:sz w:val="21"/>
                  <w:szCs w:val="18"/>
                  <w:lang w:val="zh-CN"/>
                </w:rPr>
                <w:t>在职</w:t>
              </w:r>
              <w:r>
                <w:rPr>
                  <w:rFonts w:ascii="Arial Narrow" w:hAnsi="Arial Narrow" w:hint="eastAsia"/>
                  <w:sz w:val="21"/>
                  <w:szCs w:val="18"/>
                  <w:lang w:val="zh-CN"/>
                </w:rPr>
                <w:t>工</w:t>
              </w:r>
              <w:r>
                <w:rPr>
                  <w:rFonts w:ascii="Arial Narrow" w:hAnsi="Arial Narrow"/>
                  <w:sz w:val="21"/>
                  <w:szCs w:val="18"/>
                  <w:lang w:val="zh-CN"/>
                </w:rPr>
                <w:t>提供服务的会计期间，将根据设定提存计划计算的应缴存金额确认为负债，并计入当期损益或相关资产成本。根据设定提存计划，预期不会在职工提供相关服务的年度报告期结束后十二个月内支付全部应缴存金额的，将全部应缴存金额以折现后的金额计量应付职工薪酬。</w:t>
              </w:r>
            </w:p>
            <w:p w14:paraId="649B5144" w14:textId="77777777" w:rsidR="002D0AE7" w:rsidRDefault="00333EBB">
              <w:pPr>
                <w:snapToGrid w:val="0"/>
                <w:ind w:firstLineChars="200" w:firstLine="420"/>
                <w:rPr>
                  <w:rFonts w:hint="eastAsia"/>
                  <w:sz w:val="21"/>
                  <w:szCs w:val="18"/>
                </w:rPr>
              </w:pPr>
              <w:r>
                <w:rPr>
                  <w:rFonts w:ascii="Arial Narrow" w:hAnsi="Arial Narrow" w:hint="eastAsia"/>
                  <w:sz w:val="21"/>
                  <w:szCs w:val="18"/>
                  <w:lang w:val="zh-CN"/>
                </w:rPr>
                <w:t>本公司</w:t>
              </w:r>
              <w:r>
                <w:rPr>
                  <w:rFonts w:ascii="Arial Narrow" w:hAnsi="Arial Narrow"/>
                  <w:sz w:val="21"/>
                  <w:szCs w:val="18"/>
                  <w:lang w:val="zh-CN"/>
                </w:rPr>
                <w:t>按照规定的折现率将设定受益计划所产生的义务予以折现，以确定设定受益计划义务的现值和当期服务成本。折现率根据资产负债表日与设定受益计划义务期限和币种相匹配的国债或活跃市场上的高质量公司债券的市场收益率确定。设定受益计划存在资产的，将设定受益计划义务现值减去设定受益计划资产公允价值所形成的赤字或盈余确认为一项设定受益计划净负债或净资产。设定受益计划产生的福利义务归属于职工提供服务的期间，并计入当期损益或相关资产成本。</w:t>
              </w:r>
              <w:r>
                <w:rPr>
                  <w:rFonts w:ascii="Arial Narrow" w:hAnsi="Arial Narrow" w:hint="eastAsia"/>
                  <w:sz w:val="21"/>
                  <w:szCs w:val="18"/>
                  <w:lang w:val="zh-CN"/>
                </w:rPr>
                <w:t>在设定受益计划下，在下列日期孰早日</w:t>
              </w:r>
              <w:r>
                <w:rPr>
                  <w:rFonts w:ascii="Arial Narrow" w:hAnsi="Arial Narrow"/>
                  <w:sz w:val="21"/>
                  <w:szCs w:val="18"/>
                  <w:lang w:val="zh-CN"/>
                </w:rPr>
                <w:t>将过去服务成本确认为当期费用：</w:t>
              </w:r>
              <w:r>
                <w:rPr>
                  <w:rFonts w:ascii="Arial Narrow" w:hAnsi="Arial Narrow"/>
                  <w:sz w:val="21"/>
                  <w:szCs w:val="18"/>
                  <w:lang w:val="zh-CN"/>
                </w:rPr>
                <w:fldChar w:fldCharType="begin"/>
              </w:r>
              <w:r>
                <w:rPr>
                  <w:rFonts w:ascii="Arial Narrow" w:hAnsi="Arial Narrow"/>
                  <w:sz w:val="21"/>
                  <w:szCs w:val="18"/>
                  <w:lang w:val="zh-CN"/>
                </w:rPr>
                <w:instrText xml:space="preserve"> </w:instrText>
              </w:r>
              <w:r>
                <w:rPr>
                  <w:rFonts w:ascii="Arial Narrow" w:hAnsi="Arial Narrow" w:hint="eastAsia"/>
                  <w:sz w:val="21"/>
                  <w:szCs w:val="18"/>
                  <w:lang w:val="zh-CN"/>
                </w:rPr>
                <w:instrText>= 1 \* GB2</w:instrText>
              </w:r>
              <w:r>
                <w:rPr>
                  <w:rFonts w:ascii="Arial Narrow" w:hAnsi="Arial Narrow"/>
                  <w:sz w:val="21"/>
                  <w:szCs w:val="18"/>
                  <w:lang w:val="zh-CN"/>
                </w:rPr>
                <w:instrText xml:space="preserve"> </w:instrText>
              </w:r>
              <w:r>
                <w:rPr>
                  <w:rFonts w:ascii="Arial Narrow" w:hAnsi="Arial Narrow"/>
                  <w:sz w:val="21"/>
                  <w:szCs w:val="18"/>
                  <w:lang w:val="zh-CN"/>
                </w:rPr>
                <w:fldChar w:fldCharType="separate"/>
              </w:r>
              <w:r>
                <w:rPr>
                  <w:rFonts w:ascii="Arial Narrow" w:hAnsi="Arial Narrow" w:hint="eastAsia"/>
                  <w:sz w:val="21"/>
                  <w:szCs w:val="18"/>
                  <w:lang w:val="zh-CN"/>
                </w:rPr>
                <w:t>⑴</w:t>
              </w:r>
              <w:r>
                <w:rPr>
                  <w:rFonts w:ascii="Arial Narrow" w:hAnsi="Arial Narrow"/>
                  <w:sz w:val="21"/>
                  <w:szCs w:val="18"/>
                  <w:lang w:val="zh-CN"/>
                </w:rPr>
                <w:fldChar w:fldCharType="end"/>
              </w:r>
              <w:r>
                <w:rPr>
                  <w:rFonts w:ascii="Arial Narrow" w:hAnsi="Arial Narrow"/>
                  <w:sz w:val="21"/>
                  <w:szCs w:val="18"/>
                  <w:lang w:val="zh-CN"/>
                </w:rPr>
                <w:t>修改设定受益计划时。</w:t>
              </w:r>
              <w:r>
                <w:rPr>
                  <w:rFonts w:ascii="Arial Narrow" w:hAnsi="Arial Narrow"/>
                  <w:sz w:val="21"/>
                  <w:szCs w:val="18"/>
                  <w:lang w:val="zh-CN"/>
                </w:rPr>
                <w:fldChar w:fldCharType="begin"/>
              </w:r>
              <w:r>
                <w:rPr>
                  <w:rFonts w:ascii="Arial Narrow" w:hAnsi="Arial Narrow"/>
                  <w:sz w:val="21"/>
                  <w:szCs w:val="18"/>
                  <w:lang w:val="zh-CN"/>
                </w:rPr>
                <w:instrText xml:space="preserve"> </w:instrText>
              </w:r>
              <w:r>
                <w:rPr>
                  <w:rFonts w:ascii="Arial Narrow" w:hAnsi="Arial Narrow" w:hint="eastAsia"/>
                  <w:sz w:val="21"/>
                  <w:szCs w:val="18"/>
                  <w:lang w:val="zh-CN"/>
                </w:rPr>
                <w:instrText>= 2 \* GB2</w:instrText>
              </w:r>
              <w:r>
                <w:rPr>
                  <w:rFonts w:ascii="Arial Narrow" w:hAnsi="Arial Narrow"/>
                  <w:sz w:val="21"/>
                  <w:szCs w:val="18"/>
                  <w:lang w:val="zh-CN"/>
                </w:rPr>
                <w:instrText xml:space="preserve"> </w:instrText>
              </w:r>
              <w:r>
                <w:rPr>
                  <w:rFonts w:ascii="Arial Narrow" w:hAnsi="Arial Narrow"/>
                  <w:sz w:val="21"/>
                  <w:szCs w:val="18"/>
                  <w:lang w:val="zh-CN"/>
                </w:rPr>
                <w:fldChar w:fldCharType="separate"/>
              </w:r>
              <w:r>
                <w:rPr>
                  <w:rFonts w:ascii="Arial Narrow" w:hAnsi="Arial Narrow" w:hint="eastAsia"/>
                  <w:sz w:val="21"/>
                  <w:szCs w:val="18"/>
                  <w:lang w:val="zh-CN"/>
                </w:rPr>
                <w:t>⑵</w:t>
              </w:r>
              <w:r>
                <w:rPr>
                  <w:rFonts w:ascii="Arial Narrow" w:hAnsi="Arial Narrow"/>
                  <w:sz w:val="21"/>
                  <w:szCs w:val="18"/>
                  <w:lang w:val="zh-CN"/>
                </w:rPr>
                <w:fldChar w:fldCharType="end"/>
              </w:r>
              <w:r>
                <w:rPr>
                  <w:rFonts w:ascii="Arial Narrow" w:hAnsi="Arial Narrow" w:hint="eastAsia"/>
                  <w:sz w:val="21"/>
                  <w:szCs w:val="18"/>
                  <w:lang w:val="zh-CN"/>
                </w:rPr>
                <w:t>本公司</w:t>
              </w:r>
              <w:r>
                <w:rPr>
                  <w:rFonts w:ascii="Arial Narrow" w:hAnsi="Arial Narrow"/>
                  <w:sz w:val="21"/>
                  <w:szCs w:val="18"/>
                  <w:lang w:val="zh-CN"/>
                </w:rPr>
                <w:t>确认相关重组费用或辞退福利时。在设定受益计划结算时，确认一项结算利得或损失。</w:t>
              </w:r>
            </w:p>
          </w:sdtContent>
        </w:sdt>
      </w:sdtContent>
    </w:sdt>
    <w:p w14:paraId="358988ED" w14:textId="77777777" w:rsidR="002D0AE7" w:rsidRDefault="00333EBB">
      <w:pPr>
        <w:pStyle w:val="4"/>
        <w:numPr>
          <w:ilvl w:val="0"/>
          <w:numId w:val="40"/>
        </w:numPr>
        <w:rPr>
          <w:rFonts w:ascii="宋体" w:hAnsi="宋体" w:hint="eastAsia"/>
          <w:color w:val="000000" w:themeColor="text1"/>
        </w:rPr>
      </w:pPr>
      <w:r>
        <w:rPr>
          <w:rFonts w:ascii="宋体" w:hAnsi="宋体" w:hint="eastAsia"/>
          <w:color w:val="000000" w:themeColor="text1"/>
        </w:rPr>
        <w:t>离职后福利的会计处理方法</w:t>
      </w:r>
    </w:p>
    <w:sdt>
      <w:sdtPr>
        <w:rPr>
          <w:rFonts w:hint="eastAsia"/>
          <w:color w:val="000000" w:themeColor="text1"/>
        </w:rPr>
        <w:alias w:val="是否适用：离职后福利的会计处理方法[双击切换]"/>
        <w:tag w:val="_GBC_35bbae299fda438d9e595058bbecbcdc"/>
        <w:id w:val="1374809131"/>
        <w:placeholder>
          <w:docPart w:val="GBC22222222222222222222222222222"/>
        </w:placeholder>
      </w:sdtPr>
      <w:sdtEndPr/>
      <w:sdtContent>
        <w:p w14:paraId="7856C329"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3389FEA5" w14:textId="77777777" w:rsidR="002D0AE7" w:rsidRDefault="00333EBB">
      <w:pPr>
        <w:pStyle w:val="4"/>
        <w:numPr>
          <w:ilvl w:val="0"/>
          <w:numId w:val="40"/>
        </w:numPr>
        <w:rPr>
          <w:rFonts w:ascii="宋体" w:hAnsi="宋体" w:hint="eastAsia"/>
          <w:color w:val="000000" w:themeColor="text1"/>
        </w:rPr>
      </w:pPr>
      <w:r>
        <w:rPr>
          <w:rFonts w:ascii="宋体" w:hAnsi="宋体" w:hint="eastAsia"/>
          <w:color w:val="000000" w:themeColor="text1"/>
        </w:rPr>
        <w:t>辞退福利的会计处理方法</w:t>
      </w:r>
    </w:p>
    <w:sdt>
      <w:sdtPr>
        <w:rPr>
          <w:rFonts w:hint="eastAsia"/>
          <w:color w:val="000000" w:themeColor="text1"/>
        </w:rPr>
        <w:alias w:val="是否适用：辞退福利的会计处理方法[双击切换]"/>
        <w:tag w:val="_GBC_b6be1c30b6144d54b0e20b3cb9d3a691"/>
        <w:id w:val="-1406524371"/>
        <w:placeholder>
          <w:docPart w:val="GBC22222222222222222222222222222"/>
        </w:placeholder>
      </w:sdtPr>
      <w:sdtEndPr/>
      <w:sdtContent>
        <w:p w14:paraId="4FFAD86E"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辞退福利的会计处理方法"/>
        <w:tag w:val="_GBC_a93705fb60b24bceb25c88a68ed87432"/>
        <w:id w:val="630748660"/>
        <w:placeholder>
          <w:docPart w:val="GBC22222222222222222222222222222"/>
        </w:placeholder>
      </w:sdtPr>
      <w:sdtEndPr>
        <w:rPr>
          <w:color w:val="auto"/>
          <w:sz w:val="21"/>
          <w:szCs w:val="18"/>
        </w:rPr>
      </w:sdtEndPr>
      <w:sdtContent>
        <w:sdt>
          <w:sdtPr>
            <w:alias w:val="辞退福利的会计处理方法"/>
            <w:tag w:val="_GBC_a93705fb60b24bceb25c88a68ed87432"/>
            <w:id w:val="1510564558"/>
            <w:placeholder>
              <w:docPart w:val="48C8D9151FC5430A9664EA477D88647C"/>
            </w:placeholder>
          </w:sdtPr>
          <w:sdtEndPr>
            <w:rPr>
              <w:sz w:val="21"/>
              <w:szCs w:val="18"/>
            </w:rPr>
          </w:sdtEndPr>
          <w:sdtContent>
            <w:p w14:paraId="654DE1A7" w14:textId="77777777" w:rsidR="002D0AE7" w:rsidRDefault="00333EBB">
              <w:pPr>
                <w:snapToGrid w:val="0"/>
                <w:ind w:firstLineChars="200" w:firstLine="480"/>
                <w:rPr>
                  <w:rFonts w:hint="eastAsia"/>
                  <w:sz w:val="21"/>
                  <w:szCs w:val="18"/>
                </w:rPr>
              </w:pPr>
              <w:r>
                <w:rPr>
                  <w:rFonts w:ascii="Arial Narrow" w:hAnsi="Arial Narrow" w:hint="eastAsia"/>
                  <w:sz w:val="21"/>
                  <w:szCs w:val="18"/>
                  <w:lang w:val="zh-CN"/>
                </w:rPr>
                <w:t>本公司</w:t>
              </w:r>
              <w:r>
                <w:rPr>
                  <w:rFonts w:ascii="Arial Narrow" w:hAnsi="Arial Narrow"/>
                  <w:sz w:val="21"/>
                  <w:szCs w:val="18"/>
                  <w:lang w:val="zh-CN"/>
                </w:rPr>
                <w:t>向职工提供辞退福利的，在下列两者孰早日确认辞退福利产生的职工薪酬负债，并计入当期损益：</w:t>
              </w:r>
              <w:r>
                <w:rPr>
                  <w:rFonts w:ascii="Arial Narrow" w:hAnsi="Arial Narrow"/>
                  <w:sz w:val="21"/>
                  <w:szCs w:val="18"/>
                  <w:lang w:val="zh-CN"/>
                </w:rPr>
                <w:fldChar w:fldCharType="begin"/>
              </w:r>
              <w:r>
                <w:rPr>
                  <w:rFonts w:ascii="Arial Narrow" w:hAnsi="Arial Narrow"/>
                  <w:sz w:val="21"/>
                  <w:szCs w:val="18"/>
                  <w:lang w:val="zh-CN"/>
                </w:rPr>
                <w:instrText xml:space="preserve"> </w:instrText>
              </w:r>
              <w:r>
                <w:rPr>
                  <w:rFonts w:ascii="Arial Narrow" w:hAnsi="Arial Narrow" w:hint="eastAsia"/>
                  <w:sz w:val="21"/>
                  <w:szCs w:val="18"/>
                  <w:lang w:val="zh-CN"/>
                </w:rPr>
                <w:instrText>= 1 \* GB2</w:instrText>
              </w:r>
              <w:r>
                <w:rPr>
                  <w:rFonts w:ascii="Arial Narrow" w:hAnsi="Arial Narrow"/>
                  <w:sz w:val="21"/>
                  <w:szCs w:val="18"/>
                  <w:lang w:val="zh-CN"/>
                </w:rPr>
                <w:instrText xml:space="preserve"> </w:instrText>
              </w:r>
              <w:r>
                <w:rPr>
                  <w:rFonts w:ascii="Arial Narrow" w:hAnsi="Arial Narrow"/>
                  <w:sz w:val="21"/>
                  <w:szCs w:val="18"/>
                  <w:lang w:val="zh-CN"/>
                </w:rPr>
                <w:fldChar w:fldCharType="separate"/>
              </w:r>
              <w:r>
                <w:rPr>
                  <w:rFonts w:ascii="Arial Narrow" w:hAnsi="Arial Narrow" w:hint="eastAsia"/>
                  <w:sz w:val="21"/>
                  <w:szCs w:val="18"/>
                  <w:lang w:val="zh-CN"/>
                </w:rPr>
                <w:t>⑴</w:t>
              </w:r>
              <w:r>
                <w:rPr>
                  <w:rFonts w:ascii="Arial Narrow" w:hAnsi="Arial Narrow"/>
                  <w:sz w:val="21"/>
                  <w:szCs w:val="18"/>
                  <w:lang w:val="zh-CN"/>
                </w:rPr>
                <w:fldChar w:fldCharType="end"/>
              </w:r>
              <w:r>
                <w:rPr>
                  <w:rFonts w:ascii="Arial Narrow" w:hAnsi="Arial Narrow" w:hint="eastAsia"/>
                  <w:sz w:val="21"/>
                  <w:szCs w:val="18"/>
                  <w:lang w:val="zh-CN"/>
                </w:rPr>
                <w:t>本公司</w:t>
              </w:r>
              <w:r>
                <w:rPr>
                  <w:rFonts w:ascii="Arial Narrow" w:hAnsi="Arial Narrow"/>
                  <w:sz w:val="21"/>
                  <w:szCs w:val="18"/>
                  <w:lang w:val="zh-CN"/>
                </w:rPr>
                <w:t>不能单方面撤回因解除劳动关系计划或裁减建议所提供的辞退福利时。</w:t>
              </w:r>
              <w:r>
                <w:rPr>
                  <w:rFonts w:ascii="Arial Narrow" w:hAnsi="Arial Narrow"/>
                  <w:sz w:val="21"/>
                  <w:szCs w:val="18"/>
                  <w:lang w:val="zh-CN"/>
                </w:rPr>
                <w:fldChar w:fldCharType="begin"/>
              </w:r>
              <w:r>
                <w:rPr>
                  <w:rFonts w:ascii="Arial Narrow" w:hAnsi="Arial Narrow"/>
                  <w:sz w:val="21"/>
                  <w:szCs w:val="18"/>
                  <w:lang w:val="zh-CN"/>
                </w:rPr>
                <w:instrText xml:space="preserve"> </w:instrText>
              </w:r>
              <w:r>
                <w:rPr>
                  <w:rFonts w:ascii="Arial Narrow" w:hAnsi="Arial Narrow" w:hint="eastAsia"/>
                  <w:sz w:val="21"/>
                  <w:szCs w:val="18"/>
                  <w:lang w:val="zh-CN"/>
                </w:rPr>
                <w:instrText>= 2 \* GB2</w:instrText>
              </w:r>
              <w:r>
                <w:rPr>
                  <w:rFonts w:ascii="Arial Narrow" w:hAnsi="Arial Narrow"/>
                  <w:sz w:val="21"/>
                  <w:szCs w:val="18"/>
                  <w:lang w:val="zh-CN"/>
                </w:rPr>
                <w:instrText xml:space="preserve"> </w:instrText>
              </w:r>
              <w:r>
                <w:rPr>
                  <w:rFonts w:ascii="Arial Narrow" w:hAnsi="Arial Narrow"/>
                  <w:sz w:val="21"/>
                  <w:szCs w:val="18"/>
                  <w:lang w:val="zh-CN"/>
                </w:rPr>
                <w:fldChar w:fldCharType="separate"/>
              </w:r>
              <w:r>
                <w:rPr>
                  <w:rFonts w:ascii="Arial Narrow" w:hAnsi="Arial Narrow" w:hint="eastAsia"/>
                  <w:sz w:val="21"/>
                  <w:szCs w:val="18"/>
                  <w:lang w:val="zh-CN"/>
                </w:rPr>
                <w:t>⑵</w:t>
              </w:r>
              <w:r>
                <w:rPr>
                  <w:rFonts w:ascii="Arial Narrow" w:hAnsi="Arial Narrow"/>
                  <w:sz w:val="21"/>
                  <w:szCs w:val="18"/>
                  <w:lang w:val="zh-CN"/>
                </w:rPr>
                <w:fldChar w:fldCharType="end"/>
              </w:r>
              <w:r>
                <w:rPr>
                  <w:rFonts w:ascii="Arial Narrow" w:hAnsi="Arial Narrow" w:hint="eastAsia"/>
                  <w:sz w:val="21"/>
                  <w:szCs w:val="18"/>
                  <w:lang w:val="zh-CN"/>
                </w:rPr>
                <w:t>本公司</w:t>
              </w:r>
              <w:r>
                <w:rPr>
                  <w:rFonts w:ascii="Arial Narrow" w:hAnsi="Arial Narrow"/>
                  <w:sz w:val="21"/>
                  <w:szCs w:val="18"/>
                  <w:lang w:val="zh-CN"/>
                </w:rPr>
                <w:t>确认与涉及支付辞退福利的重组相关的成本或费用时。</w:t>
              </w:r>
              <w:r>
                <w:rPr>
                  <w:rFonts w:ascii="Arial Narrow" w:hAnsi="Arial Narrow" w:hint="eastAsia"/>
                  <w:sz w:val="21"/>
                  <w:szCs w:val="18"/>
                  <w:lang w:val="zh-CN"/>
                </w:rPr>
                <w:t>本公司</w:t>
              </w:r>
              <w:r>
                <w:rPr>
                  <w:rFonts w:ascii="Arial Narrow" w:hAnsi="Arial Narrow"/>
                  <w:sz w:val="21"/>
                  <w:szCs w:val="18"/>
                  <w:lang w:val="zh-CN"/>
                </w:rPr>
                <w:t>按照辞退计划条款的规定，合理预计并确认辞退福利产生的应付职工薪酬。辞退福利预期在其确认的年度报告期结束后十二个月内完全支付的，适用短期薪酬的相关规定；辞退福利预期在年度报告期结束后十二个月内不能完全支付的，适用其他长期职工福利的有关规定。</w:t>
              </w:r>
            </w:p>
          </w:sdtContent>
        </w:sdt>
      </w:sdtContent>
    </w:sdt>
    <w:p w14:paraId="77D6C0DF" w14:textId="77777777" w:rsidR="002D0AE7" w:rsidRDefault="00333EBB">
      <w:pPr>
        <w:pStyle w:val="4"/>
        <w:numPr>
          <w:ilvl w:val="0"/>
          <w:numId w:val="40"/>
        </w:numPr>
        <w:rPr>
          <w:rFonts w:ascii="宋体" w:hAnsi="宋体" w:hint="eastAsia"/>
          <w:color w:val="000000" w:themeColor="text1"/>
        </w:rPr>
      </w:pPr>
      <w:r>
        <w:rPr>
          <w:rFonts w:ascii="宋体" w:hAnsi="宋体" w:hint="eastAsia"/>
          <w:color w:val="000000" w:themeColor="text1"/>
        </w:rPr>
        <w:t>其他长期职工福利的会计处理方法</w:t>
      </w:r>
    </w:p>
    <w:sdt>
      <w:sdtPr>
        <w:rPr>
          <w:rFonts w:hint="eastAsia"/>
          <w:color w:val="000000" w:themeColor="text1"/>
        </w:rPr>
        <w:alias w:val="是否适用：其他长期职工福利的会计处理方法[双击切换]"/>
        <w:tag w:val="_GBC_6650f3bc6a474b318e05b9d60314cb7f"/>
        <w:id w:val="1835105357"/>
        <w:placeholder>
          <w:docPart w:val="GBC22222222222222222222222222222"/>
        </w:placeholder>
      </w:sdtPr>
      <w:sdtEndPr/>
      <w:sdtContent>
        <w:p w14:paraId="04B218DC"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其他长期职工福利的会计处理方法"/>
        <w:tag w:val="_GBC_0e549e9400284de7b64ddf6ecc255dea"/>
        <w:id w:val="-296602105"/>
        <w:placeholder>
          <w:docPart w:val="GBC22222222222222222222222222222"/>
        </w:placeholder>
      </w:sdtPr>
      <w:sdtEndPr>
        <w:rPr>
          <w:color w:val="auto"/>
          <w:sz w:val="21"/>
          <w:szCs w:val="18"/>
        </w:rPr>
      </w:sdtEndPr>
      <w:sdtContent>
        <w:sdt>
          <w:sdtPr>
            <w:alias w:val="其他长期职工福利的会计处理方法"/>
            <w:tag w:val="_GBC_0e549e9400284de7b64ddf6ecc255dea"/>
            <w:id w:val="-914163475"/>
            <w:placeholder>
              <w:docPart w:val="DD0252535F5C40839816CC3528FFE441"/>
            </w:placeholder>
          </w:sdtPr>
          <w:sdtEndPr>
            <w:rPr>
              <w:sz w:val="21"/>
              <w:szCs w:val="18"/>
            </w:rPr>
          </w:sdtEndPr>
          <w:sdtContent>
            <w:p w14:paraId="3F706E7D" w14:textId="77777777" w:rsidR="002D0AE7" w:rsidRDefault="00333EBB">
              <w:pPr>
                <w:snapToGrid w:val="0"/>
                <w:ind w:firstLineChars="200" w:firstLine="480"/>
                <w:rPr>
                  <w:rFonts w:hint="eastAsia"/>
                  <w:sz w:val="21"/>
                  <w:szCs w:val="18"/>
                </w:rPr>
              </w:pPr>
              <w:r>
                <w:rPr>
                  <w:rFonts w:ascii="Arial Narrow" w:hAnsi="Arial Narrow" w:hint="eastAsia"/>
                  <w:sz w:val="21"/>
                  <w:szCs w:val="18"/>
                  <w:lang w:val="zh-CN"/>
                </w:rPr>
                <w:t>本公司</w:t>
              </w:r>
              <w:r>
                <w:rPr>
                  <w:rFonts w:ascii="Arial Narrow" w:hAnsi="Arial Narrow"/>
                  <w:sz w:val="21"/>
                  <w:szCs w:val="18"/>
                  <w:lang w:val="zh-CN"/>
                </w:rPr>
                <w:t>向职工提供的其他长期职工福利，符合设定提存计划条件的，适用关于设定提存计划的有关规定进行处理。</w:t>
              </w:r>
              <w:r>
                <w:rPr>
                  <w:rFonts w:ascii="Arial Narrow" w:hAnsi="Arial Narrow" w:hint="eastAsia"/>
                  <w:sz w:val="21"/>
                  <w:szCs w:val="18"/>
                  <w:lang w:val="zh-CN"/>
                </w:rPr>
                <w:t>除此</w:t>
              </w:r>
              <w:r>
                <w:rPr>
                  <w:rFonts w:ascii="Arial Narrow" w:hAnsi="Arial Narrow"/>
                  <w:sz w:val="21"/>
                  <w:szCs w:val="18"/>
                  <w:lang w:val="zh-CN"/>
                </w:rPr>
                <w:t>情形外，适用关于设定受益计划的有关规定，确认和计量其他长期职工福利净负债或净资产。在报告期末，将其他长期职工福利产生的职工薪酬成本确认为下列组成部分：</w:t>
              </w:r>
              <w:r>
                <w:rPr>
                  <w:rFonts w:ascii="Arial Narrow" w:hAnsi="Arial Narrow"/>
                  <w:sz w:val="21"/>
                  <w:szCs w:val="18"/>
                  <w:lang w:val="zh-CN"/>
                </w:rPr>
                <w:fldChar w:fldCharType="begin"/>
              </w:r>
              <w:r>
                <w:rPr>
                  <w:rFonts w:ascii="Arial Narrow" w:hAnsi="Arial Narrow"/>
                  <w:sz w:val="21"/>
                  <w:szCs w:val="18"/>
                  <w:lang w:val="zh-CN"/>
                </w:rPr>
                <w:instrText xml:space="preserve"> </w:instrText>
              </w:r>
              <w:r>
                <w:rPr>
                  <w:rFonts w:ascii="Arial Narrow" w:hAnsi="Arial Narrow" w:hint="eastAsia"/>
                  <w:sz w:val="21"/>
                  <w:szCs w:val="18"/>
                  <w:lang w:val="zh-CN"/>
                </w:rPr>
                <w:instrText>= 1 \* GB2</w:instrText>
              </w:r>
              <w:r>
                <w:rPr>
                  <w:rFonts w:ascii="Arial Narrow" w:hAnsi="Arial Narrow"/>
                  <w:sz w:val="21"/>
                  <w:szCs w:val="18"/>
                  <w:lang w:val="zh-CN"/>
                </w:rPr>
                <w:instrText xml:space="preserve"> </w:instrText>
              </w:r>
              <w:r>
                <w:rPr>
                  <w:rFonts w:ascii="Arial Narrow" w:hAnsi="Arial Narrow"/>
                  <w:sz w:val="21"/>
                  <w:szCs w:val="18"/>
                  <w:lang w:val="zh-CN"/>
                </w:rPr>
                <w:fldChar w:fldCharType="separate"/>
              </w:r>
              <w:r>
                <w:rPr>
                  <w:rFonts w:ascii="Arial Narrow" w:hAnsi="Arial Narrow" w:hint="eastAsia"/>
                  <w:sz w:val="21"/>
                  <w:szCs w:val="18"/>
                  <w:lang w:val="zh-CN"/>
                </w:rPr>
                <w:t>⑴</w:t>
              </w:r>
              <w:r>
                <w:rPr>
                  <w:rFonts w:ascii="Arial Narrow" w:hAnsi="Arial Narrow"/>
                  <w:sz w:val="21"/>
                  <w:szCs w:val="18"/>
                  <w:lang w:val="zh-CN"/>
                </w:rPr>
                <w:fldChar w:fldCharType="end"/>
              </w:r>
              <w:r>
                <w:rPr>
                  <w:rFonts w:ascii="Arial Narrow" w:hAnsi="Arial Narrow"/>
                  <w:sz w:val="21"/>
                  <w:szCs w:val="18"/>
                  <w:lang w:val="zh-CN"/>
                </w:rPr>
                <w:t>服务成本。</w:t>
              </w:r>
              <w:r>
                <w:rPr>
                  <w:rFonts w:ascii="Arial Narrow" w:hAnsi="Arial Narrow"/>
                  <w:sz w:val="21"/>
                  <w:szCs w:val="18"/>
                  <w:lang w:val="zh-CN"/>
                </w:rPr>
                <w:fldChar w:fldCharType="begin"/>
              </w:r>
              <w:r>
                <w:rPr>
                  <w:rFonts w:ascii="Arial Narrow" w:hAnsi="Arial Narrow"/>
                  <w:sz w:val="21"/>
                  <w:szCs w:val="18"/>
                  <w:lang w:val="zh-CN"/>
                </w:rPr>
                <w:instrText xml:space="preserve"> </w:instrText>
              </w:r>
              <w:r>
                <w:rPr>
                  <w:rFonts w:ascii="Arial Narrow" w:hAnsi="Arial Narrow" w:hint="eastAsia"/>
                  <w:sz w:val="21"/>
                  <w:szCs w:val="18"/>
                  <w:lang w:val="zh-CN"/>
                </w:rPr>
                <w:instrText>= 2 \* GB2</w:instrText>
              </w:r>
              <w:r>
                <w:rPr>
                  <w:rFonts w:ascii="Arial Narrow" w:hAnsi="Arial Narrow"/>
                  <w:sz w:val="21"/>
                  <w:szCs w:val="18"/>
                  <w:lang w:val="zh-CN"/>
                </w:rPr>
                <w:instrText xml:space="preserve"> </w:instrText>
              </w:r>
              <w:r>
                <w:rPr>
                  <w:rFonts w:ascii="Arial Narrow" w:hAnsi="Arial Narrow"/>
                  <w:sz w:val="21"/>
                  <w:szCs w:val="18"/>
                  <w:lang w:val="zh-CN"/>
                </w:rPr>
                <w:fldChar w:fldCharType="separate"/>
              </w:r>
              <w:r>
                <w:rPr>
                  <w:rFonts w:ascii="Arial Narrow" w:hAnsi="Arial Narrow" w:hint="eastAsia"/>
                  <w:sz w:val="21"/>
                  <w:szCs w:val="18"/>
                  <w:lang w:val="zh-CN"/>
                </w:rPr>
                <w:t>⑵</w:t>
              </w:r>
              <w:r>
                <w:rPr>
                  <w:rFonts w:ascii="Arial Narrow" w:hAnsi="Arial Narrow"/>
                  <w:sz w:val="21"/>
                  <w:szCs w:val="18"/>
                  <w:lang w:val="zh-CN"/>
                </w:rPr>
                <w:fldChar w:fldCharType="end"/>
              </w:r>
              <w:r>
                <w:rPr>
                  <w:rFonts w:ascii="Arial Narrow" w:hAnsi="Arial Narrow"/>
                  <w:sz w:val="21"/>
                  <w:szCs w:val="18"/>
                  <w:lang w:val="zh-CN"/>
                </w:rPr>
                <w:t>其他长期职工福利净负债或净资产的利息净额。</w:t>
              </w:r>
              <w:r>
                <w:rPr>
                  <w:rFonts w:ascii="Arial Narrow" w:hAnsi="Arial Narrow"/>
                  <w:sz w:val="21"/>
                  <w:szCs w:val="18"/>
                  <w:lang w:val="zh-CN"/>
                </w:rPr>
                <w:fldChar w:fldCharType="begin"/>
              </w:r>
              <w:r>
                <w:rPr>
                  <w:rFonts w:ascii="Arial Narrow" w:hAnsi="Arial Narrow"/>
                  <w:sz w:val="21"/>
                  <w:szCs w:val="18"/>
                  <w:lang w:val="zh-CN"/>
                </w:rPr>
                <w:instrText xml:space="preserve"> </w:instrText>
              </w:r>
              <w:r>
                <w:rPr>
                  <w:rFonts w:ascii="Arial Narrow" w:hAnsi="Arial Narrow" w:hint="eastAsia"/>
                  <w:sz w:val="21"/>
                  <w:szCs w:val="18"/>
                  <w:lang w:val="zh-CN"/>
                </w:rPr>
                <w:instrText>= 3 \* GB2</w:instrText>
              </w:r>
              <w:r>
                <w:rPr>
                  <w:rFonts w:ascii="Arial Narrow" w:hAnsi="Arial Narrow"/>
                  <w:sz w:val="21"/>
                  <w:szCs w:val="18"/>
                  <w:lang w:val="zh-CN"/>
                </w:rPr>
                <w:instrText xml:space="preserve"> </w:instrText>
              </w:r>
              <w:r>
                <w:rPr>
                  <w:rFonts w:ascii="Arial Narrow" w:hAnsi="Arial Narrow"/>
                  <w:sz w:val="21"/>
                  <w:szCs w:val="18"/>
                  <w:lang w:val="zh-CN"/>
                </w:rPr>
                <w:fldChar w:fldCharType="separate"/>
              </w:r>
              <w:r>
                <w:rPr>
                  <w:rFonts w:ascii="Arial Narrow" w:hAnsi="Arial Narrow" w:hint="eastAsia"/>
                  <w:sz w:val="21"/>
                  <w:szCs w:val="18"/>
                  <w:lang w:val="zh-CN"/>
                </w:rPr>
                <w:t>⑶</w:t>
              </w:r>
              <w:r>
                <w:rPr>
                  <w:rFonts w:ascii="Arial Narrow" w:hAnsi="Arial Narrow"/>
                  <w:sz w:val="21"/>
                  <w:szCs w:val="18"/>
                  <w:lang w:val="zh-CN"/>
                </w:rPr>
                <w:fldChar w:fldCharType="end"/>
              </w:r>
              <w:r>
                <w:rPr>
                  <w:rFonts w:ascii="Arial Narrow" w:hAnsi="Arial Narrow"/>
                  <w:sz w:val="21"/>
                  <w:szCs w:val="18"/>
                  <w:lang w:val="zh-CN"/>
                </w:rPr>
                <w:t>重新计量其他长期职工福利净负债或净资产所产生的变动。上述项目的总净额应计入当期损益或相关资产成本</w:t>
              </w:r>
              <w:r>
                <w:rPr>
                  <w:rFonts w:ascii="Arial Narrow" w:hAnsi="Arial Narrow" w:hint="eastAsia"/>
                  <w:sz w:val="21"/>
                  <w:szCs w:val="18"/>
                  <w:lang w:val="zh-CN"/>
                </w:rPr>
                <w:t>。</w:t>
              </w:r>
            </w:p>
          </w:sdtContent>
        </w:sdt>
      </w:sdtContent>
    </w:sdt>
    <w:p w14:paraId="574B7E96" w14:textId="77777777" w:rsidR="002D0AE7" w:rsidRDefault="00333EBB">
      <w:pPr>
        <w:pStyle w:val="3"/>
        <w:numPr>
          <w:ilvl w:val="0"/>
          <w:numId w:val="37"/>
        </w:numPr>
        <w:rPr>
          <w:rFonts w:ascii="宋体" w:hAnsi="宋体" w:hint="eastAsia"/>
          <w:color w:val="000000" w:themeColor="text1"/>
        </w:rPr>
      </w:pPr>
      <w:r>
        <w:rPr>
          <w:rFonts w:ascii="宋体" w:hAnsi="宋体"/>
          <w:color w:val="000000" w:themeColor="text1"/>
        </w:rPr>
        <w:t>预计负债</w:t>
      </w:r>
    </w:p>
    <w:sdt>
      <w:sdtPr>
        <w:rPr>
          <w:rFonts w:hint="eastAsia"/>
          <w:color w:val="000000" w:themeColor="text1"/>
        </w:rPr>
        <w:alias w:val="是否适用：预计负债_重要会计政策和估计[双击切换]"/>
        <w:tag w:val="_GBC_60f7f598e5d5458986c0f06775dc38fd"/>
        <w:id w:val="-339935447"/>
        <w:placeholder>
          <w:docPart w:val="GBC22222222222222222222222222222"/>
        </w:placeholder>
      </w:sdtPr>
      <w:sdtEndPr/>
      <w:sdtContent>
        <w:p w14:paraId="06441DC8"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rFonts w:hint="eastAsia"/>
          <w:color w:val="000000" w:themeColor="text1"/>
        </w:rPr>
        <w:alias w:val="预计负债的核算方法"/>
        <w:tag w:val="_GBC_d6934772e41e485d9e00e349486f9d7e"/>
        <w:id w:val="832799041"/>
        <w:placeholder>
          <w:docPart w:val="GBC22222222222222222222222222222"/>
        </w:placeholder>
      </w:sdtPr>
      <w:sdtEndPr>
        <w:rPr>
          <w:color w:val="auto"/>
          <w:szCs w:val="18"/>
        </w:rPr>
      </w:sdtEndPr>
      <w:sdtContent>
        <w:sdt>
          <w:sdtPr>
            <w:rPr>
              <w:rFonts w:hint="eastAsia"/>
            </w:rPr>
            <w:alias w:val="预计负债的核算方法"/>
            <w:tag w:val="_GBC_d6934772e41e485d9e00e349486f9d7e"/>
            <w:id w:val="-1902745436"/>
            <w:placeholder>
              <w:docPart w:val="A7D69C191E844704B932721BB0A01779"/>
            </w:placeholder>
          </w:sdtPr>
          <w:sdtEndPr>
            <w:rPr>
              <w:szCs w:val="18"/>
            </w:rPr>
          </w:sdtEndPr>
          <w:sdtContent>
            <w:p w14:paraId="7E373A99" w14:textId="77777777" w:rsidR="002D0AE7" w:rsidRDefault="00333EBB">
              <w:pPr>
                <w:snapToGrid w:val="0"/>
                <w:ind w:left="1" w:firstLineChars="266" w:firstLine="638"/>
                <w:rPr>
                  <w:rFonts w:ascii="Arial Narrow" w:hAnsi="Arial Narrow"/>
                  <w:sz w:val="21"/>
                  <w:szCs w:val="18"/>
                  <w:lang w:val="zh-CN"/>
                </w:rPr>
              </w:pPr>
              <w:r>
                <w:rPr>
                  <w:rFonts w:ascii="Arial Narrow" w:hAnsi="Arial Narrow"/>
                  <w:sz w:val="21"/>
                  <w:szCs w:val="18"/>
                  <w:lang w:val="zh-CN"/>
                </w:rPr>
                <w:t>本公司涉及诉讼、债务担保等事项时，如果该事项很可能需要未来以交付资产或提供劳务、其金额能够可靠计量的，确认为预计负债。</w:t>
              </w:r>
            </w:p>
            <w:p w14:paraId="27D00196" w14:textId="77777777" w:rsidR="002D0AE7" w:rsidRDefault="00333EBB">
              <w:pPr>
                <w:snapToGrid w:val="0"/>
                <w:ind w:leftChars="100" w:left="240" w:firstLineChars="200" w:firstLine="422"/>
                <w:outlineLvl w:val="2"/>
                <w:rPr>
                  <w:rFonts w:ascii="Arial Narrow" w:hAnsi="Arial Narrow"/>
                  <w:b/>
                  <w:sz w:val="21"/>
                  <w:szCs w:val="18"/>
                  <w:lang w:val="zh-CN"/>
                </w:rPr>
              </w:pPr>
              <w:r>
                <w:rPr>
                  <w:rFonts w:ascii="Arial Narrow" w:hAnsi="Arial Narrow"/>
                  <w:b/>
                  <w:sz w:val="21"/>
                  <w:szCs w:val="18"/>
                  <w:lang w:val="zh-CN"/>
                </w:rPr>
                <w:t>1</w:t>
              </w:r>
              <w:r>
                <w:rPr>
                  <w:rFonts w:ascii="Arial Narrow" w:hAnsi="Arial Narrow"/>
                  <w:b/>
                  <w:sz w:val="21"/>
                  <w:szCs w:val="18"/>
                  <w:lang w:val="zh-CN"/>
                </w:rPr>
                <w:t>、预计负债的确认标准</w:t>
              </w:r>
            </w:p>
            <w:p w14:paraId="71D990A9" w14:textId="77777777" w:rsidR="002D0AE7" w:rsidRDefault="00333EBB">
              <w:pPr>
                <w:snapToGrid w:val="0"/>
                <w:ind w:left="1" w:firstLineChars="200" w:firstLine="420"/>
                <w:rPr>
                  <w:rFonts w:ascii="Arial Narrow" w:hAnsi="Arial Narrow"/>
                  <w:sz w:val="21"/>
                  <w:szCs w:val="18"/>
                  <w:lang w:val="zh-CN"/>
                </w:rPr>
              </w:pPr>
              <w:r>
                <w:rPr>
                  <w:rFonts w:ascii="Arial Narrow" w:hAnsi="Arial Narrow"/>
                  <w:sz w:val="21"/>
                  <w:szCs w:val="18"/>
                  <w:lang w:val="zh-CN"/>
                </w:rPr>
                <w:t>与或有事项相关的义务同时满足下列条件的，应当确认为预计负债：</w:t>
              </w:r>
            </w:p>
            <w:p w14:paraId="428F93F0"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t>（</w:t>
              </w:r>
              <w:r>
                <w:rPr>
                  <w:rFonts w:ascii="Arial Narrow" w:hAnsi="Arial Narrow" w:hint="eastAsia"/>
                  <w:sz w:val="21"/>
                  <w:szCs w:val="18"/>
                  <w:lang w:val="zh-CN"/>
                </w:rPr>
                <w:t>1</w:t>
              </w:r>
              <w:r>
                <w:rPr>
                  <w:rFonts w:ascii="Arial Narrow" w:hAnsi="Arial Narrow" w:hint="eastAsia"/>
                  <w:sz w:val="21"/>
                  <w:szCs w:val="18"/>
                  <w:lang w:val="zh-CN"/>
                </w:rPr>
                <w:t>）</w:t>
              </w:r>
              <w:r>
                <w:rPr>
                  <w:rFonts w:ascii="Arial Narrow" w:hAnsi="Arial Narrow"/>
                  <w:sz w:val="21"/>
                  <w:szCs w:val="18"/>
                  <w:lang w:val="zh-CN"/>
                </w:rPr>
                <w:t>该义务是本公司承担的现时义务；</w:t>
              </w:r>
            </w:p>
            <w:p w14:paraId="192B316F"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t>（</w:t>
              </w:r>
              <w:r>
                <w:rPr>
                  <w:rFonts w:ascii="Arial Narrow" w:hAnsi="Arial Narrow" w:hint="eastAsia"/>
                  <w:sz w:val="21"/>
                  <w:szCs w:val="18"/>
                  <w:lang w:val="zh-CN"/>
                </w:rPr>
                <w:t>2</w:t>
              </w:r>
              <w:r>
                <w:rPr>
                  <w:rFonts w:ascii="Arial Narrow" w:hAnsi="Arial Narrow" w:hint="eastAsia"/>
                  <w:sz w:val="21"/>
                  <w:szCs w:val="18"/>
                  <w:lang w:val="zh-CN"/>
                </w:rPr>
                <w:t>）</w:t>
              </w:r>
              <w:r>
                <w:rPr>
                  <w:rFonts w:ascii="Arial Narrow" w:hAnsi="Arial Narrow"/>
                  <w:sz w:val="21"/>
                  <w:szCs w:val="18"/>
                  <w:lang w:val="zh-CN"/>
                </w:rPr>
                <w:t>履行该义务很可能导致经济利益流出本公司；</w:t>
              </w:r>
            </w:p>
            <w:p w14:paraId="29144199" w14:textId="77777777" w:rsidR="002D0AE7" w:rsidRDefault="00333EBB">
              <w:pPr>
                <w:snapToGrid w:val="0"/>
                <w:ind w:firstLineChars="200" w:firstLine="420"/>
                <w:rPr>
                  <w:rFonts w:ascii="Arial Narrow" w:hAnsi="Arial Narrow"/>
                  <w:sz w:val="21"/>
                  <w:szCs w:val="18"/>
                  <w:lang w:val="zh-CN"/>
                </w:rPr>
              </w:pPr>
              <w:r>
                <w:rPr>
                  <w:rFonts w:ascii="Arial Narrow" w:hAnsi="Arial Narrow" w:hint="eastAsia"/>
                  <w:sz w:val="21"/>
                  <w:szCs w:val="18"/>
                  <w:lang w:val="zh-CN"/>
                </w:rPr>
                <w:t>（</w:t>
              </w:r>
              <w:r>
                <w:rPr>
                  <w:rFonts w:ascii="Arial Narrow" w:hAnsi="Arial Narrow" w:hint="eastAsia"/>
                  <w:sz w:val="21"/>
                  <w:szCs w:val="18"/>
                  <w:lang w:val="zh-CN"/>
                </w:rPr>
                <w:t>3</w:t>
              </w:r>
              <w:r>
                <w:rPr>
                  <w:rFonts w:ascii="Arial Narrow" w:hAnsi="Arial Narrow" w:hint="eastAsia"/>
                  <w:sz w:val="21"/>
                  <w:szCs w:val="18"/>
                  <w:lang w:val="zh-CN"/>
                </w:rPr>
                <w:t>）</w:t>
              </w:r>
              <w:r>
                <w:rPr>
                  <w:rFonts w:ascii="Arial Narrow" w:hAnsi="Arial Narrow"/>
                  <w:sz w:val="21"/>
                  <w:szCs w:val="18"/>
                  <w:lang w:val="zh-CN"/>
                </w:rPr>
                <w:t>该义务的金额能够可靠地计量。</w:t>
              </w:r>
            </w:p>
            <w:p w14:paraId="09254EFF" w14:textId="77777777" w:rsidR="002D0AE7" w:rsidRDefault="00333EBB">
              <w:pPr>
                <w:snapToGrid w:val="0"/>
                <w:ind w:leftChars="100" w:left="240" w:firstLineChars="200" w:firstLine="422"/>
                <w:outlineLvl w:val="2"/>
                <w:rPr>
                  <w:rFonts w:ascii="Arial Narrow" w:hAnsi="Arial Narrow"/>
                  <w:b/>
                  <w:sz w:val="21"/>
                  <w:szCs w:val="18"/>
                  <w:lang w:val="zh-CN"/>
                </w:rPr>
              </w:pPr>
              <w:r>
                <w:rPr>
                  <w:rFonts w:ascii="Arial Narrow" w:hAnsi="Arial Narrow"/>
                  <w:b/>
                  <w:sz w:val="21"/>
                  <w:szCs w:val="18"/>
                  <w:lang w:val="zh-CN"/>
                </w:rPr>
                <w:t>2</w:t>
              </w:r>
              <w:r>
                <w:rPr>
                  <w:rFonts w:ascii="Arial Narrow" w:hAnsi="Arial Narrow"/>
                  <w:b/>
                  <w:sz w:val="21"/>
                  <w:szCs w:val="18"/>
                  <w:lang w:val="zh-CN"/>
                </w:rPr>
                <w:t>、预计负债的计量方法</w:t>
              </w:r>
            </w:p>
            <w:p w14:paraId="775439E4" w14:textId="77777777" w:rsidR="002D0AE7" w:rsidRDefault="00333EBB">
              <w:pPr>
                <w:snapToGrid w:val="0"/>
                <w:ind w:firstLineChars="200" w:firstLine="420"/>
                <w:rPr>
                  <w:rFonts w:hint="eastAsia"/>
                  <w:szCs w:val="18"/>
                </w:rPr>
              </w:pPr>
              <w:r>
                <w:rPr>
                  <w:rFonts w:ascii="Arial Narrow" w:hAnsi="Arial Narrow"/>
                  <w:sz w:val="21"/>
                  <w:szCs w:val="18"/>
                </w:rPr>
                <w:t>公司预计负债按履行相关现时义务所需的支出的最佳估计数进行初始计量。</w:t>
              </w:r>
            </w:p>
          </w:sdtContent>
        </w:sdt>
      </w:sdtContent>
    </w:sdt>
    <w:p w14:paraId="753DD4F0" w14:textId="77777777" w:rsidR="002D0AE7" w:rsidRDefault="00333EBB">
      <w:pPr>
        <w:pStyle w:val="3"/>
        <w:numPr>
          <w:ilvl w:val="0"/>
          <w:numId w:val="37"/>
        </w:numPr>
        <w:rPr>
          <w:rFonts w:ascii="宋体" w:hAnsi="宋体" w:hint="eastAsia"/>
          <w:color w:val="000000" w:themeColor="text1"/>
        </w:rPr>
      </w:pPr>
      <w:r>
        <w:rPr>
          <w:rFonts w:ascii="宋体" w:hAnsi="宋体" w:hint="eastAsia"/>
          <w:color w:val="000000" w:themeColor="text1"/>
        </w:rPr>
        <w:t>股份支付</w:t>
      </w:r>
    </w:p>
    <w:sdt>
      <w:sdtPr>
        <w:rPr>
          <w:rFonts w:hint="eastAsia"/>
          <w:color w:val="000000" w:themeColor="text1"/>
        </w:rPr>
        <w:alias w:val="是否适用：股份支付_重要会计政策和估计[双击切换]"/>
        <w:tag w:val="_GBC_cfe00a6b35f24950855f2412f34bcf7a"/>
        <w:id w:val="-274556529"/>
        <w:placeholder>
          <w:docPart w:val="GBC22222222222222222222222222222"/>
        </w:placeholder>
      </w:sdtPr>
      <w:sdtEndPr/>
      <w:sdtContent>
        <w:p w14:paraId="601EF7CB"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股份支付的核算方法"/>
        <w:tag w:val="_GBC_99e197c555ed4cf8aa00bbd5da2fe98b"/>
        <w:id w:val="1543557390"/>
        <w:placeholder>
          <w:docPart w:val="GBC22222222222222222222222222222"/>
        </w:placeholder>
      </w:sdtPr>
      <w:sdtEndPr>
        <w:rPr>
          <w:color w:val="auto"/>
          <w:sz w:val="21"/>
        </w:rPr>
      </w:sdtEndPr>
      <w:sdtContent>
        <w:sdt>
          <w:sdtPr>
            <w:alias w:val="股份支付的核算方法"/>
            <w:tag w:val="_GBC_99e197c555ed4cf8aa00bbd5da2fe98b"/>
            <w:id w:val="-713584356"/>
            <w:placeholder>
              <w:docPart w:val="CE3D961C7F0C40FBA0C36B3319779001"/>
            </w:placeholder>
          </w:sdtPr>
          <w:sdtEndPr>
            <w:rPr>
              <w:sz w:val="21"/>
            </w:rPr>
          </w:sdtEndPr>
          <w:sdtContent>
            <w:p w14:paraId="1F150349" w14:textId="77777777" w:rsidR="002D0AE7" w:rsidRDefault="00333EBB">
              <w:pPr>
                <w:ind w:firstLineChars="200" w:firstLine="480"/>
                <w:outlineLvl w:val="2"/>
                <w:rPr>
                  <w:rFonts w:ascii="Arial Narrow" w:hAnsi="Arial Narrow"/>
                  <w:b/>
                  <w:sz w:val="21"/>
                </w:rPr>
              </w:pPr>
              <w:r>
                <w:rPr>
                  <w:rFonts w:ascii="Arial Narrow" w:hAnsi="Arial Narrow"/>
                  <w:b/>
                  <w:sz w:val="21"/>
                </w:rPr>
                <w:t>1</w:t>
              </w:r>
              <w:r>
                <w:rPr>
                  <w:rFonts w:ascii="Arial Narrow" w:hAnsi="Arial Narrow"/>
                  <w:b/>
                  <w:sz w:val="21"/>
                </w:rPr>
                <w:t>、股份支付的会计处理方法</w:t>
              </w:r>
            </w:p>
            <w:p w14:paraId="042BC783" w14:textId="77777777" w:rsidR="002D0AE7" w:rsidRDefault="00333EBB">
              <w:pPr>
                <w:ind w:firstLineChars="200" w:firstLine="420"/>
                <w:rPr>
                  <w:rFonts w:ascii="Arial Narrow" w:hAnsi="Arial Narrow"/>
                  <w:sz w:val="21"/>
                </w:rPr>
              </w:pPr>
              <w:r>
                <w:rPr>
                  <w:rFonts w:ascii="Arial Narrow" w:hAnsi="Arial Narrow"/>
                  <w:sz w:val="21"/>
                </w:rPr>
                <w:t>股份支付是为了获取职工或其他方提供服务而授予权益工具或者承担以权益工具为基础确定的负债的交易。股份支付分为以权益结算的股份支付和以现金结算的股份支付。</w:t>
              </w:r>
            </w:p>
            <w:p w14:paraId="1E91A4B7" w14:textId="77777777" w:rsidR="002D0AE7" w:rsidRDefault="00333EBB">
              <w:pPr>
                <w:ind w:firstLineChars="200" w:firstLine="420"/>
                <w:rPr>
                  <w:rFonts w:ascii="Arial Narrow" w:hAnsi="Arial Narrow"/>
                  <w:sz w:val="21"/>
                </w:rPr>
              </w:pPr>
              <w:r>
                <w:rPr>
                  <w:rFonts w:ascii="Arial Narrow" w:hAnsi="Arial Narrow"/>
                  <w:sz w:val="21"/>
                </w:rPr>
                <w:t>（</w:t>
              </w:r>
              <w:r>
                <w:rPr>
                  <w:rFonts w:ascii="Arial Narrow" w:hAnsi="Arial Narrow"/>
                  <w:sz w:val="21"/>
                </w:rPr>
                <w:t>1</w:t>
              </w:r>
              <w:r>
                <w:rPr>
                  <w:rFonts w:ascii="Arial Narrow" w:hAnsi="Arial Narrow"/>
                  <w:sz w:val="21"/>
                </w:rPr>
                <w:t>）以权益结算的股份支付</w:t>
              </w:r>
            </w:p>
            <w:p w14:paraId="5468B5D4" w14:textId="77777777" w:rsidR="002D0AE7" w:rsidRDefault="00333EBB">
              <w:pPr>
                <w:ind w:firstLineChars="200" w:firstLine="420"/>
                <w:rPr>
                  <w:rFonts w:ascii="Arial Narrow" w:hAnsi="Arial Narrow"/>
                  <w:sz w:val="21"/>
                  <w:lang w:val="en-GB"/>
                </w:rPr>
              </w:pPr>
              <w:r>
                <w:rPr>
                  <w:rFonts w:ascii="Arial Narrow" w:hAnsi="Arial Narrow"/>
                  <w:sz w:val="21"/>
                </w:rPr>
                <w:lastRenderedPageBreak/>
                <w:t>用以换取职工提供的服务的权益结算的股份支付，以授予职工权益工具在授予日的公允价值计量。该公允价值的金额在</w:t>
              </w:r>
              <w:r>
                <w:rPr>
                  <w:rFonts w:ascii="Arial Narrow" w:hAnsi="Arial Narrow"/>
                  <w:sz w:val="21"/>
                  <w:lang w:val="en-GB"/>
                </w:rPr>
                <w:t>完成等待期内的服务或达到规定业绩条件才可行权的情况下，在等待期内以对可行权权益工具数量的最佳估计为基础，</w:t>
              </w:r>
              <w:r>
                <w:rPr>
                  <w:rFonts w:ascii="Arial Narrow" w:hAnsi="Arial Narrow"/>
                  <w:sz w:val="21"/>
                </w:rPr>
                <w:t>按直线法计算</w:t>
              </w:r>
              <w:r>
                <w:rPr>
                  <w:rFonts w:ascii="Arial Narrow" w:hAnsi="Arial Narrow"/>
                  <w:sz w:val="21"/>
                  <w:lang w:val="en-GB"/>
                </w:rPr>
                <w:t>计入相关成本或费用</w:t>
              </w:r>
              <w:r>
                <w:rPr>
                  <w:rFonts w:ascii="Arial Narrow" w:hAnsi="Arial Narrow"/>
                  <w:sz w:val="21"/>
                  <w:lang w:val="en-GB"/>
                </w:rPr>
                <w:t>/</w:t>
              </w:r>
              <w:r>
                <w:rPr>
                  <w:rFonts w:ascii="Arial Narrow" w:hAnsi="Arial Narrow"/>
                  <w:sz w:val="21"/>
                </w:rPr>
                <w:t>在</w:t>
              </w:r>
              <w:r>
                <w:rPr>
                  <w:rFonts w:ascii="Arial Narrow" w:hAnsi="Arial Narrow"/>
                  <w:sz w:val="21"/>
                  <w:lang w:val="en-GB"/>
                </w:rPr>
                <w:t>授予后立即可行权时，在授予日计入相关成本或费用，相应增加资本公积。</w:t>
              </w:r>
            </w:p>
            <w:p w14:paraId="50146C71" w14:textId="77777777" w:rsidR="002D0AE7" w:rsidRDefault="00333EBB">
              <w:pPr>
                <w:ind w:firstLineChars="200" w:firstLine="420"/>
                <w:rPr>
                  <w:rFonts w:ascii="Arial Narrow" w:hAnsi="Arial Narrow"/>
                  <w:sz w:val="21"/>
                  <w:lang w:val="en-GB"/>
                </w:rPr>
              </w:pPr>
              <w:r>
                <w:rPr>
                  <w:rFonts w:ascii="Arial Narrow" w:hAnsi="Arial Narrow"/>
                  <w:sz w:val="21"/>
                  <w:lang w:val="en-GB"/>
                </w:rPr>
                <w:t>在等待期内每个资产负债表日，本公司根据最新取得的可行权职工人数变动等后续信息做出最佳估计，修正预计可行权的权益工具数量。上述估计的影响计入当期相关成本或费用，并相应调整资本公积。</w:t>
              </w:r>
            </w:p>
            <w:p w14:paraId="3A911081" w14:textId="77777777" w:rsidR="002D0AE7" w:rsidRDefault="00333EBB">
              <w:pPr>
                <w:ind w:firstLineChars="200" w:firstLine="420"/>
                <w:rPr>
                  <w:rFonts w:ascii="Arial Narrow" w:hAnsi="Arial Narrow"/>
                  <w:sz w:val="21"/>
                  <w:lang w:val="en-GB"/>
                </w:rPr>
              </w:pPr>
              <w:r>
                <w:rPr>
                  <w:rFonts w:ascii="Arial Narrow" w:hAnsi="Arial Narrow"/>
                  <w:sz w:val="21"/>
                </w:rPr>
                <w:t>用以换取其他方服务的权益结算的股份支付，如果其他方服务的公允价值能够可靠计量，按照其他方服务在取得日的公允价值计量，如果其他方服务的公允价值不能可靠计量，但权益工具的公允价值能够可靠计量的，按照权益工具在服务取得日的公允价值计量，计入相关成本或费用，相应增加股东权益。</w:t>
              </w:r>
            </w:p>
            <w:p w14:paraId="6A32FC74" w14:textId="77777777" w:rsidR="002D0AE7" w:rsidRDefault="00333EBB">
              <w:pPr>
                <w:ind w:firstLineChars="200" w:firstLine="420"/>
                <w:rPr>
                  <w:rFonts w:ascii="Arial Narrow" w:hAnsi="Arial Narrow"/>
                  <w:sz w:val="21"/>
                  <w:lang w:val="en-GB"/>
                </w:rPr>
              </w:pPr>
              <w:r>
                <w:rPr>
                  <w:rFonts w:ascii="Arial Narrow" w:hAnsi="Arial Narrow"/>
                  <w:sz w:val="21"/>
                </w:rPr>
                <w:t>（</w:t>
              </w:r>
              <w:r>
                <w:rPr>
                  <w:rFonts w:ascii="Arial Narrow" w:hAnsi="Arial Narrow"/>
                  <w:sz w:val="21"/>
                </w:rPr>
                <w:t>2</w:t>
              </w:r>
              <w:r>
                <w:rPr>
                  <w:rFonts w:ascii="Arial Narrow" w:hAnsi="Arial Narrow"/>
                  <w:sz w:val="21"/>
                </w:rPr>
                <w:t>）以现金结算的股份支付</w:t>
              </w:r>
            </w:p>
            <w:p w14:paraId="410BD4F1" w14:textId="77777777" w:rsidR="002D0AE7" w:rsidRDefault="00333EBB">
              <w:pPr>
                <w:ind w:firstLineChars="200" w:firstLine="420"/>
                <w:rPr>
                  <w:rFonts w:ascii="Arial Narrow" w:hAnsi="Arial Narrow"/>
                  <w:sz w:val="21"/>
                  <w:lang w:val="en-GB"/>
                </w:rPr>
              </w:pPr>
              <w:r>
                <w:rPr>
                  <w:rFonts w:ascii="Arial Narrow" w:hAnsi="Arial Narrow"/>
                  <w:sz w:val="21"/>
                </w:rPr>
                <w:t>以现金结算的股份支付，按照本公司承担的以股份或其他权益工具为基础确定的负债的公允价值计量。如授予后立即可行权，在授予日计入相关成本或费用，相应增加负债；如须完成等待期内的服务或达到规定业绩条件以后才可行权，在等待期的每个资产负债表日，以对可行权情况的最佳估计为基础，按照本公司承担负债的公允价值金额，将当期取得的服务计入成本或费用，相应增加负债。</w:t>
              </w:r>
            </w:p>
            <w:p w14:paraId="7DF5037B" w14:textId="77777777" w:rsidR="002D0AE7" w:rsidRDefault="00333EBB">
              <w:pPr>
                <w:ind w:firstLineChars="200" w:firstLine="420"/>
                <w:rPr>
                  <w:rFonts w:ascii="Arial Narrow" w:hAnsi="Arial Narrow"/>
                  <w:sz w:val="21"/>
                </w:rPr>
              </w:pPr>
              <w:r>
                <w:rPr>
                  <w:rFonts w:ascii="Arial Narrow" w:hAnsi="Arial Narrow"/>
                  <w:sz w:val="21"/>
                </w:rPr>
                <w:t>在相关负债结算前的每个资产负债表日以及结算日，对负债的公允价值重新计量，其变动计入当期损益。</w:t>
              </w:r>
            </w:p>
            <w:p w14:paraId="3B936F09" w14:textId="77777777" w:rsidR="002D0AE7" w:rsidRDefault="00333EBB">
              <w:pPr>
                <w:ind w:firstLineChars="200" w:firstLine="422"/>
                <w:outlineLvl w:val="2"/>
                <w:rPr>
                  <w:rFonts w:ascii="Arial Narrow" w:hAnsi="Arial Narrow"/>
                  <w:b/>
                  <w:sz w:val="21"/>
                </w:rPr>
              </w:pPr>
              <w:r>
                <w:rPr>
                  <w:rFonts w:ascii="Arial Narrow" w:hAnsi="Arial Narrow"/>
                  <w:b/>
                  <w:sz w:val="21"/>
                </w:rPr>
                <w:t>2</w:t>
              </w:r>
              <w:r>
                <w:rPr>
                  <w:rFonts w:ascii="Arial Narrow" w:hAnsi="Arial Narrow"/>
                  <w:b/>
                  <w:sz w:val="21"/>
                </w:rPr>
                <w:t>、修改、终止股份支付计划的相关会计处理</w:t>
              </w:r>
            </w:p>
            <w:p w14:paraId="22176EBC" w14:textId="77777777" w:rsidR="002D0AE7" w:rsidRDefault="00333EBB">
              <w:pPr>
                <w:ind w:firstLineChars="200" w:firstLine="420"/>
                <w:rPr>
                  <w:rFonts w:ascii="Arial Narrow" w:hAnsi="Arial Narrow"/>
                  <w:sz w:val="21"/>
                  <w:lang w:val="en-GB"/>
                </w:rPr>
              </w:pPr>
              <w:r>
                <w:rPr>
                  <w:rFonts w:ascii="Arial Narrow" w:hAnsi="Arial Narrow"/>
                  <w:sz w:val="21"/>
                </w:rPr>
                <w:t>本公司对股份支付计划进行修改时，若修改增加了所授予权益工具的公允价值，按照权益工具公允价值的增加相应确认取得服务的增加。权益工具公允价值的增加是指修改前后的权益工具在修改日的公允价值之间的差额。若修改减少了股份支付公允价值总额或采用了其他不利于职工的方式，则仍继续对取得的服务进行会计处理，视同该变更从未发生，除非本公司取消了部分或全部已授予的权益工具。</w:t>
              </w:r>
            </w:p>
            <w:p w14:paraId="77FFDA31" w14:textId="77777777" w:rsidR="002D0AE7" w:rsidRDefault="00333EBB">
              <w:pPr>
                <w:ind w:firstLineChars="200" w:firstLine="420"/>
                <w:rPr>
                  <w:rFonts w:ascii="Arial Narrow" w:hAnsi="Arial Narrow"/>
                  <w:sz w:val="21"/>
                </w:rPr>
              </w:pPr>
              <w:r>
                <w:rPr>
                  <w:rFonts w:ascii="Arial Narrow" w:hAnsi="Arial Narrow"/>
                  <w:sz w:val="21"/>
                </w:rPr>
                <w:t>在等待期内，如果取消了授予的权益工具，本公司对取消所授予的权益性工具作为加速行权处理，将剩余等待期内应确认的金额立即计入当期损益，同时确认资本公积。职工或其他方能够选择满足非可行权条件但在等待期内未满足的，本公司将其作为授予权益工具的取消处理。</w:t>
              </w:r>
            </w:p>
            <w:p w14:paraId="2D6276F9" w14:textId="77777777" w:rsidR="002D0AE7" w:rsidRDefault="00333EBB">
              <w:pPr>
                <w:ind w:firstLineChars="200" w:firstLine="422"/>
                <w:outlineLvl w:val="2"/>
                <w:rPr>
                  <w:rFonts w:ascii="Arial Narrow" w:hAnsi="Arial Narrow"/>
                  <w:b/>
                  <w:sz w:val="21"/>
                </w:rPr>
              </w:pPr>
              <w:r>
                <w:rPr>
                  <w:rFonts w:ascii="Arial Narrow" w:hAnsi="Arial Narrow"/>
                  <w:b/>
                  <w:sz w:val="21"/>
                </w:rPr>
                <w:t>3</w:t>
              </w:r>
              <w:r>
                <w:rPr>
                  <w:rFonts w:ascii="Arial Narrow" w:hAnsi="Arial Narrow"/>
                  <w:b/>
                  <w:sz w:val="21"/>
                </w:rPr>
                <w:t>、涉及本公司与本公司股东或实际控制人的股份支付交易的会计处理</w:t>
              </w:r>
            </w:p>
            <w:p w14:paraId="357AFAF6" w14:textId="77777777" w:rsidR="002D0AE7" w:rsidRDefault="00333EBB">
              <w:pPr>
                <w:ind w:firstLineChars="200" w:firstLine="420"/>
                <w:rPr>
                  <w:rFonts w:ascii="Arial Narrow" w:hAnsi="Arial Narrow"/>
                  <w:sz w:val="21"/>
                </w:rPr>
              </w:pPr>
              <w:r>
                <w:rPr>
                  <w:rFonts w:ascii="Arial Narrow" w:hAnsi="Arial Narrow"/>
                  <w:sz w:val="21"/>
                </w:rPr>
                <w:t>涉及本公司与本公司股东或实际控制人的股份支付交易，结算企业与接受服务企业中其一在本公司内，另一在本公司外的，在本公司合并财务报表中按照以下规定进行会计处理：</w:t>
              </w:r>
            </w:p>
            <w:p w14:paraId="49FA744D" w14:textId="77777777" w:rsidR="002D0AE7" w:rsidRDefault="00333EBB">
              <w:pPr>
                <w:ind w:firstLineChars="200" w:firstLine="420"/>
                <w:rPr>
                  <w:rFonts w:ascii="Arial Narrow" w:hAnsi="Arial Narrow"/>
                  <w:sz w:val="21"/>
                </w:rPr>
              </w:pPr>
              <w:r>
                <w:rPr>
                  <w:rFonts w:ascii="Arial Narrow" w:hAnsi="Arial Narrow"/>
                  <w:sz w:val="21"/>
                </w:rPr>
                <w:t>（</w:t>
              </w:r>
              <w:r>
                <w:rPr>
                  <w:rFonts w:ascii="Arial Narrow" w:hAnsi="Arial Narrow"/>
                  <w:sz w:val="21"/>
                </w:rPr>
                <w:t>1</w:t>
              </w:r>
              <w:r>
                <w:rPr>
                  <w:rFonts w:ascii="Arial Narrow" w:hAnsi="Arial Narrow"/>
                  <w:sz w:val="21"/>
                </w:rPr>
                <w:t>）结算企业以其本身权益工具结算的，将该股份支付交易作为权益结算的股份支付处理；除此之外，作为现金结算的股份支付处理。</w:t>
              </w:r>
            </w:p>
            <w:p w14:paraId="284C8C02" w14:textId="77777777" w:rsidR="002D0AE7" w:rsidRDefault="00333EBB">
              <w:pPr>
                <w:ind w:firstLineChars="200" w:firstLine="420"/>
                <w:rPr>
                  <w:rFonts w:ascii="Arial Narrow" w:hAnsi="Arial Narrow"/>
                  <w:sz w:val="21"/>
                </w:rPr>
              </w:pPr>
              <w:r>
                <w:rPr>
                  <w:rFonts w:ascii="Arial Narrow" w:hAnsi="Arial Narrow"/>
                  <w:sz w:val="21"/>
                </w:rPr>
                <w:t>结算企业是接受服务企业的投资者的，按照授予日权益工具的公允价值或应承担负债的公允价值确认为对接受服务企业的长期股权投资，同时确认资本公积（其他资本公积）或负债。</w:t>
              </w:r>
            </w:p>
            <w:p w14:paraId="1BA400FF" w14:textId="77777777" w:rsidR="002D0AE7" w:rsidRDefault="00333EBB">
              <w:pPr>
                <w:ind w:firstLineChars="200" w:firstLine="420"/>
                <w:rPr>
                  <w:rFonts w:ascii="Arial Narrow" w:hAnsi="Arial Narrow"/>
                  <w:sz w:val="21"/>
                </w:rPr>
              </w:pPr>
              <w:r>
                <w:rPr>
                  <w:rFonts w:ascii="Arial Narrow" w:hAnsi="Arial Narrow"/>
                  <w:sz w:val="21"/>
                </w:rPr>
                <w:t>（</w:t>
              </w:r>
              <w:r>
                <w:rPr>
                  <w:rFonts w:ascii="Arial Narrow" w:hAnsi="Arial Narrow"/>
                  <w:sz w:val="21"/>
                </w:rPr>
                <w:t>2</w:t>
              </w:r>
              <w:r>
                <w:rPr>
                  <w:rFonts w:ascii="Arial Narrow" w:hAnsi="Arial Narrow"/>
                  <w:sz w:val="21"/>
                </w:rPr>
                <w:t>）接受服务企业没有结算义务或授予本企业职工的是其本身权益工具的，将该股份支付交易作为权益结算的股份支付处理；接受服务企业具有结算义务且授予本企业职工的并非其本身权益工具的，将该股份支付交易作为现金结算的股份支付处理。</w:t>
              </w:r>
            </w:p>
            <w:p w14:paraId="7DC6E90F" w14:textId="77777777" w:rsidR="002D0AE7" w:rsidRDefault="00333EBB">
              <w:pPr>
                <w:snapToGrid w:val="0"/>
                <w:ind w:firstLineChars="200" w:firstLine="420"/>
                <w:rPr>
                  <w:rFonts w:hint="eastAsia"/>
                  <w:sz w:val="21"/>
                </w:rPr>
              </w:pPr>
              <w:r>
                <w:rPr>
                  <w:rFonts w:ascii="Arial Narrow" w:hAnsi="Arial Narrow"/>
                  <w:sz w:val="21"/>
                </w:rPr>
                <w:t>本公司内各企业之间发生的股份支付交易，接受服务企业和结算企业不是同一企业的，在接受服务企业和结算企业各自的个别财务报表中对该股份支付交易的确认和计量，比照上述原则处理。</w:t>
              </w:r>
            </w:p>
          </w:sdtContent>
        </w:sdt>
      </w:sdtContent>
    </w:sdt>
    <w:p w14:paraId="52E7EE04" w14:textId="77777777" w:rsidR="002D0AE7" w:rsidRDefault="00333EBB">
      <w:pPr>
        <w:pStyle w:val="3"/>
        <w:numPr>
          <w:ilvl w:val="0"/>
          <w:numId w:val="37"/>
        </w:numPr>
        <w:rPr>
          <w:rFonts w:ascii="宋体" w:hAnsi="宋体" w:hint="eastAsia"/>
          <w:color w:val="000000" w:themeColor="text1"/>
        </w:rPr>
      </w:pPr>
      <w:bookmarkStart w:id="138" w:name="_Hlk10465559"/>
      <w:r>
        <w:rPr>
          <w:rFonts w:ascii="宋体" w:hAnsi="宋体"/>
          <w:color w:val="000000" w:themeColor="text1"/>
        </w:rPr>
        <w:t>收入</w:t>
      </w:r>
    </w:p>
    <w:p w14:paraId="26A2FC2D" w14:textId="77777777" w:rsidR="002D0AE7" w:rsidRDefault="00333EBB">
      <w:pPr>
        <w:pStyle w:val="4"/>
        <w:numPr>
          <w:ilvl w:val="3"/>
          <w:numId w:val="41"/>
        </w:numPr>
        <w:ind w:left="426" w:hanging="426"/>
        <w:rPr>
          <w:rFonts w:ascii="宋体" w:hAnsi="宋体" w:hint="eastAsia"/>
          <w:color w:val="000000" w:themeColor="text1"/>
          <w:szCs w:val="21"/>
        </w:rPr>
      </w:pPr>
      <w:r>
        <w:rPr>
          <w:rFonts w:ascii="宋体" w:hAnsi="宋体" w:hint="eastAsia"/>
          <w:color w:val="000000" w:themeColor="text1"/>
          <w:szCs w:val="21"/>
        </w:rPr>
        <w:t>按照业务类型披露收入确认和计量所采用的会计政策</w:t>
      </w:r>
    </w:p>
    <w:sdt>
      <w:sdtPr>
        <w:rPr>
          <w:color w:val="000000" w:themeColor="text1"/>
        </w:rPr>
        <w:alias w:val="是否适用：收入确认和计量所采用的会计政策[双击切换]"/>
        <w:tag w:val="_GBC_b6eb71cc057645f3b05fb68d8273c681"/>
        <w:id w:val="-1866205441"/>
        <w:placeholder>
          <w:docPart w:val="GBC22222222222222222222222222222"/>
        </w:placeholder>
      </w:sdtPr>
      <w:sdtEndPr/>
      <w:sdtContent>
        <w:p w14:paraId="55B11354"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收入确认和计量所采用的会计政策"/>
        <w:tag w:val="_GBC_c9c2b3029c08405387c460d2d7eacc7d"/>
        <w:id w:val="41573451"/>
        <w:placeholder>
          <w:docPart w:val="GBC22222222222222222222222222222"/>
        </w:placeholder>
      </w:sdtPr>
      <w:sdtEndPr>
        <w:rPr>
          <w:color w:val="auto"/>
          <w:sz w:val="21"/>
        </w:rPr>
      </w:sdtEndPr>
      <w:sdtContent>
        <w:p w14:paraId="053F5436" w14:textId="77777777" w:rsidR="002D0AE7" w:rsidRDefault="00333EBB">
          <w:pPr>
            <w:snapToGrid w:val="0"/>
            <w:ind w:firstLineChars="200" w:firstLine="480"/>
            <w:rPr>
              <w:rFonts w:ascii="Arial Narrow" w:hAnsi="Arial Narrow"/>
              <w:sz w:val="21"/>
            </w:rPr>
          </w:pPr>
          <w:r>
            <w:rPr>
              <w:rFonts w:ascii="Arial Narrow" w:hAnsi="Arial Narrow" w:hint="eastAsia"/>
              <w:sz w:val="21"/>
            </w:rPr>
            <w:t>本公司在履行了合同中的履约义务，即在客户取得相关商品或服务的控制权时，确认收入。</w:t>
          </w:r>
        </w:p>
        <w:p w14:paraId="698E5529" w14:textId="77777777" w:rsidR="002D0AE7" w:rsidRDefault="00333EBB">
          <w:pPr>
            <w:snapToGrid w:val="0"/>
            <w:ind w:firstLineChars="250" w:firstLine="525"/>
            <w:rPr>
              <w:rFonts w:ascii="Arial Narrow" w:hAnsi="Arial Narrow"/>
              <w:sz w:val="21"/>
            </w:rPr>
          </w:pPr>
          <w:r>
            <w:rPr>
              <w:rFonts w:ascii="Arial Narrow" w:hAnsi="Arial Narrow" w:hint="eastAsia"/>
              <w:sz w:val="21"/>
            </w:rPr>
            <w:t>合同中包含两项或多项履约义务的，本公司在合同开始日，按照各单项履约义务所承诺商品或服务的单独售价的相对比例，将交易价格分摊至各单项履约义务，按照分摊至各单项履约义务的交易价格计量收入。</w:t>
          </w:r>
        </w:p>
        <w:p w14:paraId="1465F2EB" w14:textId="77777777" w:rsidR="002D0AE7" w:rsidRDefault="00333EBB">
          <w:pPr>
            <w:snapToGrid w:val="0"/>
            <w:ind w:firstLineChars="250" w:firstLine="525"/>
            <w:rPr>
              <w:rFonts w:ascii="Arial Narrow" w:hAnsi="Arial Narrow"/>
              <w:sz w:val="21"/>
            </w:rPr>
          </w:pPr>
          <w:r>
            <w:rPr>
              <w:rFonts w:ascii="Arial Narrow" w:hAnsi="Arial Narrow" w:hint="eastAsia"/>
              <w:sz w:val="21"/>
            </w:rPr>
            <w:lastRenderedPageBreak/>
            <w:t>交易价格是本公司因向客户转让商品或服务而预期有权收取的对价金额，不包括代第三方收取的款项。</w:t>
          </w:r>
        </w:p>
        <w:p w14:paraId="2624DFDD" w14:textId="77777777" w:rsidR="002D0AE7" w:rsidRDefault="00333EBB">
          <w:pPr>
            <w:snapToGrid w:val="0"/>
            <w:ind w:firstLineChars="250" w:firstLine="525"/>
            <w:rPr>
              <w:rFonts w:ascii="Arial Narrow" w:hAnsi="Arial Narrow"/>
              <w:sz w:val="21"/>
            </w:rPr>
          </w:pPr>
          <w:r>
            <w:rPr>
              <w:rFonts w:ascii="Arial Narrow" w:hAnsi="Arial Narrow" w:hint="eastAsia"/>
              <w:sz w:val="21"/>
            </w:rPr>
            <w:t>满足下列条件之一时，本公司属于在某一段时间内履行履约义务，否则，属于在某一时点履行履约义务：</w:t>
          </w:r>
        </w:p>
        <w:p w14:paraId="6FACE77E" w14:textId="77777777" w:rsidR="002D0AE7" w:rsidRDefault="00333EBB">
          <w:pPr>
            <w:snapToGrid w:val="0"/>
            <w:ind w:firstLineChars="200" w:firstLine="420"/>
            <w:rPr>
              <w:rFonts w:ascii="Arial Narrow" w:hAnsi="Arial Narrow"/>
              <w:sz w:val="21"/>
            </w:rPr>
          </w:pPr>
          <w:r>
            <w:rPr>
              <w:rFonts w:ascii="Arial Narrow" w:hAnsi="Arial Narrow"/>
              <w:sz w:val="21"/>
            </w:rPr>
            <w:t>1</w:t>
          </w:r>
          <w:r>
            <w:rPr>
              <w:rFonts w:ascii="Arial Narrow" w:hAnsi="Arial Narrow" w:hint="eastAsia"/>
              <w:sz w:val="21"/>
            </w:rPr>
            <w:t>、客户在本公司履约的同时即取得并消耗本公司履约所带来的经济利益；</w:t>
          </w:r>
        </w:p>
        <w:p w14:paraId="5739AE2E" w14:textId="77777777" w:rsidR="002D0AE7" w:rsidRDefault="00333EBB">
          <w:pPr>
            <w:snapToGrid w:val="0"/>
            <w:ind w:firstLineChars="200" w:firstLine="420"/>
            <w:rPr>
              <w:rFonts w:ascii="Arial Narrow" w:hAnsi="Arial Narrow"/>
              <w:sz w:val="21"/>
            </w:rPr>
          </w:pPr>
          <w:r>
            <w:rPr>
              <w:rFonts w:ascii="Arial Narrow" w:hAnsi="Arial Narrow"/>
              <w:sz w:val="21"/>
            </w:rPr>
            <w:t>2</w:t>
          </w:r>
          <w:r>
            <w:rPr>
              <w:rFonts w:ascii="Arial Narrow" w:hAnsi="Arial Narrow" w:hint="eastAsia"/>
              <w:sz w:val="21"/>
            </w:rPr>
            <w:t>、客户能够控制本公司履约过程中在建的商品；</w:t>
          </w:r>
        </w:p>
        <w:p w14:paraId="5ADBF9A5" w14:textId="77777777" w:rsidR="002D0AE7" w:rsidRDefault="00333EBB">
          <w:pPr>
            <w:snapToGrid w:val="0"/>
            <w:ind w:firstLineChars="200" w:firstLine="420"/>
            <w:rPr>
              <w:rFonts w:ascii="Arial Narrow" w:hAnsi="Arial Narrow"/>
              <w:sz w:val="21"/>
            </w:rPr>
          </w:pPr>
          <w:r>
            <w:rPr>
              <w:rFonts w:ascii="Arial Narrow" w:hAnsi="Arial Narrow"/>
              <w:sz w:val="21"/>
            </w:rPr>
            <w:t>3</w:t>
          </w:r>
          <w:r>
            <w:rPr>
              <w:rFonts w:ascii="Arial Narrow" w:hAnsi="Arial Narrow" w:hint="eastAsia"/>
              <w:sz w:val="21"/>
            </w:rPr>
            <w:t>、本公司履约过程中所产出的商品具有不可替代用途，且本公司在整个合同期间内有权就累计至今已完成的履约部分收取款项。</w:t>
          </w:r>
        </w:p>
        <w:p w14:paraId="44050E1A" w14:textId="77777777" w:rsidR="002D0AE7" w:rsidRDefault="00333EBB">
          <w:pPr>
            <w:snapToGrid w:val="0"/>
            <w:ind w:firstLineChars="200" w:firstLine="420"/>
            <w:rPr>
              <w:rFonts w:ascii="Arial Narrow" w:hAnsi="Arial Narrow"/>
              <w:sz w:val="21"/>
            </w:rPr>
          </w:pPr>
          <w:r>
            <w:rPr>
              <w:rFonts w:ascii="Arial Narrow" w:hAnsi="Arial Narrow" w:hint="eastAsia"/>
              <w:sz w:val="21"/>
            </w:rPr>
            <w:t>对于在某一时段内履行的履约义务，本公司在该段时间内按照履约进度确认收入。履约进度不能合理确定时，本公司已经发生的成本预计能够得到补偿的，按照已经发生的成本金额确认收入，直到履约进度能够合理确定为止。</w:t>
          </w:r>
        </w:p>
        <w:p w14:paraId="10FAC926" w14:textId="77777777" w:rsidR="002D0AE7" w:rsidRDefault="00333EBB">
          <w:pPr>
            <w:snapToGrid w:val="0"/>
            <w:ind w:firstLineChars="200" w:firstLine="420"/>
            <w:rPr>
              <w:rFonts w:ascii="Arial Narrow" w:hAnsi="Arial Narrow"/>
              <w:sz w:val="21"/>
            </w:rPr>
          </w:pPr>
          <w:r>
            <w:rPr>
              <w:rFonts w:ascii="Arial Narrow" w:hAnsi="Arial Narrow" w:hint="eastAsia"/>
              <w:sz w:val="21"/>
            </w:rPr>
            <w:t>对于在某一时点履行的履约义务，本公司在客户取得相关商品或服务控制权时点确认收入。在判断客户是否已取得商品或服务控制权时，本公司会考虑下列迹象：</w:t>
          </w:r>
        </w:p>
        <w:p w14:paraId="00037825" w14:textId="77777777" w:rsidR="002D0AE7" w:rsidRDefault="00333EBB">
          <w:pPr>
            <w:snapToGrid w:val="0"/>
            <w:ind w:firstLineChars="200" w:firstLine="420"/>
            <w:rPr>
              <w:rFonts w:ascii="Arial Narrow" w:hAnsi="Arial Narrow"/>
              <w:sz w:val="21"/>
            </w:rPr>
          </w:pPr>
          <w:r>
            <w:rPr>
              <w:rFonts w:ascii="Arial Narrow" w:hAnsi="Arial Narrow"/>
              <w:sz w:val="21"/>
            </w:rPr>
            <w:t>1</w:t>
          </w:r>
          <w:r>
            <w:rPr>
              <w:rFonts w:ascii="Arial Narrow" w:hAnsi="Arial Narrow" w:hint="eastAsia"/>
              <w:sz w:val="21"/>
            </w:rPr>
            <w:t>、本公司就该商品或服务享有现时收款权利；</w:t>
          </w:r>
        </w:p>
        <w:p w14:paraId="2024E5E8" w14:textId="77777777" w:rsidR="002D0AE7" w:rsidRDefault="00333EBB">
          <w:pPr>
            <w:snapToGrid w:val="0"/>
            <w:ind w:firstLineChars="200" w:firstLine="420"/>
            <w:rPr>
              <w:rFonts w:ascii="Arial Narrow" w:hAnsi="Arial Narrow"/>
              <w:sz w:val="21"/>
            </w:rPr>
          </w:pPr>
          <w:r>
            <w:rPr>
              <w:rFonts w:ascii="Arial Narrow" w:hAnsi="Arial Narrow"/>
              <w:sz w:val="21"/>
            </w:rPr>
            <w:t>2</w:t>
          </w:r>
          <w:r>
            <w:rPr>
              <w:rFonts w:ascii="Arial Narrow" w:hAnsi="Arial Narrow" w:hint="eastAsia"/>
              <w:sz w:val="21"/>
            </w:rPr>
            <w:t>、本公司已将该商品的实物转移给客户；</w:t>
          </w:r>
        </w:p>
        <w:p w14:paraId="4294AD2E" w14:textId="77777777" w:rsidR="002D0AE7" w:rsidRDefault="00333EBB">
          <w:pPr>
            <w:snapToGrid w:val="0"/>
            <w:ind w:firstLineChars="200" w:firstLine="420"/>
            <w:rPr>
              <w:rFonts w:ascii="Arial Narrow" w:hAnsi="Arial Narrow"/>
              <w:sz w:val="21"/>
            </w:rPr>
          </w:pPr>
          <w:r>
            <w:rPr>
              <w:rFonts w:ascii="Arial Narrow" w:hAnsi="Arial Narrow"/>
              <w:sz w:val="21"/>
            </w:rPr>
            <w:t>3</w:t>
          </w:r>
          <w:r>
            <w:rPr>
              <w:rFonts w:ascii="Arial Narrow" w:hAnsi="Arial Narrow" w:hint="eastAsia"/>
              <w:sz w:val="21"/>
            </w:rPr>
            <w:t>、本公司已将该商品的法定所有权或所有权上的主要风险和报酬转移给客户；</w:t>
          </w:r>
        </w:p>
        <w:p w14:paraId="5CC49257" w14:textId="77777777" w:rsidR="002D0AE7" w:rsidRDefault="00333EBB">
          <w:pPr>
            <w:snapToGrid w:val="0"/>
            <w:ind w:firstLineChars="200" w:firstLine="420"/>
            <w:rPr>
              <w:rFonts w:ascii="Arial Narrow" w:hAnsi="Arial Narrow"/>
              <w:sz w:val="21"/>
            </w:rPr>
          </w:pPr>
          <w:r>
            <w:rPr>
              <w:rFonts w:ascii="Arial Narrow" w:hAnsi="Arial Narrow"/>
              <w:sz w:val="21"/>
            </w:rPr>
            <w:t>4</w:t>
          </w:r>
          <w:r>
            <w:rPr>
              <w:rFonts w:ascii="Arial Narrow" w:hAnsi="Arial Narrow" w:hint="eastAsia"/>
              <w:sz w:val="21"/>
            </w:rPr>
            <w:t>、客户已接受该商品或服务等。</w:t>
          </w:r>
        </w:p>
        <w:p w14:paraId="7C2F06D8" w14:textId="77777777" w:rsidR="002D0AE7" w:rsidRDefault="00333EBB">
          <w:pPr>
            <w:snapToGrid w:val="0"/>
            <w:ind w:firstLineChars="200" w:firstLine="420"/>
            <w:rPr>
              <w:rFonts w:ascii="Arial Narrow" w:hAnsi="Arial Narrow"/>
              <w:sz w:val="21"/>
            </w:rPr>
          </w:pPr>
          <w:r>
            <w:rPr>
              <w:rFonts w:ascii="Arial Narrow" w:hAnsi="Arial Narrow" w:hint="eastAsia"/>
              <w:sz w:val="21"/>
            </w:rPr>
            <w:t>本公司已向客户转让商品或服务而有权收取对价的权利</w:t>
          </w:r>
          <w:r>
            <w:rPr>
              <w:rFonts w:ascii="Arial Narrow" w:hAnsi="Arial Narrow" w:hint="eastAsia"/>
              <w:sz w:val="21"/>
            </w:rPr>
            <w:t>(</w:t>
          </w:r>
          <w:r>
            <w:rPr>
              <w:rFonts w:ascii="Arial Narrow" w:hAnsi="Arial Narrow" w:hint="eastAsia"/>
              <w:sz w:val="21"/>
            </w:rPr>
            <w:t>且该权利取决于时间流逝之外的其他因素</w:t>
          </w:r>
          <w:r>
            <w:rPr>
              <w:rFonts w:ascii="Arial Narrow" w:hAnsi="Arial Narrow" w:hint="eastAsia"/>
              <w:sz w:val="21"/>
            </w:rPr>
            <w:t>)</w:t>
          </w:r>
          <w:r>
            <w:rPr>
              <w:rFonts w:ascii="Arial Narrow" w:hAnsi="Arial Narrow" w:hint="eastAsia"/>
              <w:sz w:val="21"/>
            </w:rPr>
            <w:t>作为合同资产列示。本公司拥有的、无条件</w:t>
          </w:r>
          <w:r>
            <w:rPr>
              <w:rFonts w:ascii="Arial Narrow" w:hAnsi="Arial Narrow" w:hint="eastAsia"/>
              <w:sz w:val="21"/>
            </w:rPr>
            <w:t>(</w:t>
          </w:r>
          <w:r>
            <w:rPr>
              <w:rFonts w:ascii="Arial Narrow" w:hAnsi="Arial Narrow" w:hint="eastAsia"/>
              <w:sz w:val="21"/>
            </w:rPr>
            <w:t>仅取决于时间流逝</w:t>
          </w:r>
          <w:r>
            <w:rPr>
              <w:rFonts w:ascii="Arial Narrow" w:hAnsi="Arial Narrow" w:hint="eastAsia"/>
              <w:sz w:val="21"/>
            </w:rPr>
            <w:t>)</w:t>
          </w:r>
          <w:r>
            <w:rPr>
              <w:rFonts w:ascii="Arial Narrow" w:hAnsi="Arial Narrow" w:hint="eastAsia"/>
              <w:sz w:val="21"/>
            </w:rPr>
            <w:t>向客户收取对价的权利作为应收款项列示。本公司已收或应收客户对价而应向客户转让商品或服务的义务作为合同负债列示。</w:t>
          </w:r>
        </w:p>
        <w:p w14:paraId="3326743F" w14:textId="77777777" w:rsidR="002D0AE7" w:rsidRDefault="00333EBB">
          <w:pPr>
            <w:snapToGrid w:val="0"/>
            <w:ind w:firstLineChars="200" w:firstLine="422"/>
            <w:outlineLvl w:val="2"/>
            <w:rPr>
              <w:rFonts w:ascii="Arial Narrow" w:hAnsi="Arial Narrow"/>
              <w:b/>
              <w:bCs/>
              <w:sz w:val="21"/>
            </w:rPr>
          </w:pPr>
          <w:r>
            <w:rPr>
              <w:rFonts w:ascii="Arial Narrow" w:hAnsi="Arial Narrow"/>
              <w:b/>
              <w:sz w:val="21"/>
            </w:rPr>
            <w:t>1</w:t>
          </w:r>
          <w:r>
            <w:rPr>
              <w:rFonts w:ascii="Arial Narrow" w:hAnsi="Arial Narrow" w:hint="eastAsia"/>
              <w:b/>
              <w:sz w:val="21"/>
            </w:rPr>
            <w:t>、</w:t>
          </w:r>
          <w:r>
            <w:rPr>
              <w:rFonts w:ascii="Arial Narrow" w:hAnsi="Arial Narrow"/>
              <w:b/>
              <w:sz w:val="21"/>
            </w:rPr>
            <w:t>产品销售收入</w:t>
          </w:r>
        </w:p>
        <w:p w14:paraId="65465E64" w14:textId="77777777" w:rsidR="002D0AE7" w:rsidRDefault="00333EBB">
          <w:pPr>
            <w:snapToGrid w:val="0"/>
            <w:ind w:firstLineChars="200" w:firstLine="420"/>
            <w:rPr>
              <w:rFonts w:ascii="Arial Narrow" w:hAnsi="Arial Narrow"/>
              <w:sz w:val="21"/>
            </w:rPr>
          </w:pPr>
          <w:r>
            <w:rPr>
              <w:rFonts w:ascii="Arial Narrow" w:hAnsi="Arial Narrow"/>
              <w:sz w:val="21"/>
            </w:rPr>
            <w:t>本公司</w:t>
          </w:r>
          <w:r>
            <w:rPr>
              <w:rFonts w:ascii="Arial Narrow" w:hAnsi="Arial Narrow" w:hint="eastAsia"/>
              <w:sz w:val="21"/>
            </w:rPr>
            <w:t>在</w:t>
          </w:r>
          <w:r>
            <w:rPr>
              <w:rFonts w:ascii="Arial Narrow" w:hAnsi="Arial Narrow"/>
              <w:sz w:val="21"/>
            </w:rPr>
            <w:t>以下时点确认收入</w:t>
          </w:r>
          <w:r>
            <w:rPr>
              <w:rFonts w:ascii="Arial Narrow" w:hAnsi="Arial Narrow" w:hint="eastAsia"/>
              <w:sz w:val="21"/>
            </w:rPr>
            <w:t>：</w:t>
          </w:r>
          <w:r>
            <w:rPr>
              <w:rFonts w:ascii="Arial Narrow" w:hAnsi="Arial Narrow"/>
              <w:sz w:val="21"/>
            </w:rPr>
            <w:t>(</w:t>
          </w:r>
          <w:r>
            <w:rPr>
              <w:rFonts w:ascii="Arial Narrow" w:hAnsi="Arial Narrow" w:hint="eastAsia"/>
              <w:sz w:val="21"/>
            </w:rPr>
            <w:t>1)</w:t>
          </w:r>
          <w:r>
            <w:rPr>
              <w:rFonts w:ascii="Arial Narrow" w:hAnsi="Arial Narrow"/>
              <w:sz w:val="21"/>
            </w:rPr>
            <w:t>国内销售业务，</w:t>
          </w:r>
          <w:r>
            <w:rPr>
              <w:rFonts w:ascii="Arial Narrow" w:hAnsi="Arial Narrow" w:hint="eastAsia"/>
              <w:sz w:val="21"/>
            </w:rPr>
            <w:t>公司与客户签订销售合同，在货物发出、并将产品交付至承运商或客户，同时向客户开具销售发票时点确认收入</w:t>
          </w:r>
          <w:r>
            <w:rPr>
              <w:rFonts w:ascii="Arial Narrow" w:hAnsi="Arial Narrow"/>
              <w:sz w:val="21"/>
            </w:rPr>
            <w:t>；</w:t>
          </w:r>
          <w:r>
            <w:rPr>
              <w:rFonts w:ascii="Arial Narrow" w:hAnsi="Arial Narrow"/>
              <w:sz w:val="21"/>
            </w:rPr>
            <w:t>(2</w:t>
          </w:r>
          <w:r>
            <w:rPr>
              <w:rFonts w:ascii="Arial Narrow" w:hAnsi="Arial Narrow" w:hint="eastAsia"/>
              <w:sz w:val="21"/>
            </w:rPr>
            <w:t>)</w:t>
          </w:r>
          <w:r>
            <w:rPr>
              <w:rFonts w:ascii="Arial Narrow" w:hAnsi="Arial Narrow"/>
              <w:sz w:val="21"/>
            </w:rPr>
            <w:t>国外销售业务，</w:t>
          </w:r>
          <w:r>
            <w:rPr>
              <w:rFonts w:ascii="Arial Narrow" w:hAnsi="Arial Narrow" w:hint="eastAsia"/>
              <w:sz w:val="21"/>
            </w:rPr>
            <w:t>公司与客户签订销售合同，在货物发出，同时向客户开具销售发票及办理完毕出口报关手续时确认收入</w:t>
          </w:r>
          <w:r>
            <w:rPr>
              <w:rFonts w:ascii="Arial Narrow" w:hAnsi="Arial Narrow"/>
              <w:sz w:val="21"/>
            </w:rPr>
            <w:t>。</w:t>
          </w:r>
        </w:p>
        <w:p w14:paraId="57A0036F" w14:textId="77777777" w:rsidR="002D0AE7" w:rsidRDefault="00333EBB">
          <w:pPr>
            <w:snapToGrid w:val="0"/>
            <w:ind w:firstLineChars="200" w:firstLine="422"/>
            <w:outlineLvl w:val="2"/>
            <w:rPr>
              <w:rFonts w:ascii="Arial Narrow" w:hAnsi="Arial Narrow"/>
              <w:b/>
              <w:bCs/>
              <w:sz w:val="21"/>
            </w:rPr>
          </w:pPr>
          <w:r>
            <w:rPr>
              <w:rFonts w:ascii="Arial Narrow" w:hAnsi="Arial Narrow"/>
              <w:b/>
              <w:sz w:val="21"/>
            </w:rPr>
            <w:t>2</w:t>
          </w:r>
          <w:r>
            <w:rPr>
              <w:rFonts w:ascii="Arial Narrow" w:hAnsi="Arial Narrow" w:hint="eastAsia"/>
              <w:b/>
              <w:sz w:val="21"/>
            </w:rPr>
            <w:t>、提供劳务收入</w:t>
          </w:r>
        </w:p>
        <w:p w14:paraId="30B0A2C0" w14:textId="77777777" w:rsidR="002D0AE7" w:rsidRDefault="00333EBB">
          <w:pPr>
            <w:snapToGrid w:val="0"/>
            <w:ind w:firstLineChars="200" w:firstLine="420"/>
            <w:rPr>
              <w:rFonts w:ascii="Arial Narrow" w:hAnsi="Arial Narrow"/>
              <w:sz w:val="21"/>
            </w:rPr>
          </w:pPr>
          <w:r>
            <w:rPr>
              <w:rFonts w:ascii="Arial Narrow" w:hAnsi="Arial Narrow" w:hint="eastAsia"/>
              <w:sz w:val="21"/>
            </w:rPr>
            <w:t>本公司对外提供的劳务收入，根据已完成劳务的进度在一段时间内确认收入。</w:t>
          </w:r>
        </w:p>
        <w:p w14:paraId="03606909" w14:textId="77777777" w:rsidR="002D0AE7" w:rsidRDefault="00333EBB">
          <w:pPr>
            <w:snapToGrid w:val="0"/>
            <w:ind w:firstLineChars="200" w:firstLine="422"/>
            <w:outlineLvl w:val="2"/>
            <w:rPr>
              <w:rFonts w:ascii="Arial Narrow" w:hAnsi="Arial Narrow"/>
              <w:b/>
              <w:bCs/>
              <w:sz w:val="21"/>
            </w:rPr>
          </w:pPr>
          <w:r>
            <w:rPr>
              <w:rFonts w:ascii="Arial Narrow" w:hAnsi="Arial Narrow"/>
              <w:b/>
              <w:sz w:val="21"/>
            </w:rPr>
            <w:t>3</w:t>
          </w:r>
          <w:r>
            <w:rPr>
              <w:rFonts w:ascii="Arial Narrow" w:hAnsi="Arial Narrow" w:hint="eastAsia"/>
              <w:b/>
              <w:sz w:val="21"/>
            </w:rPr>
            <w:t>、租赁收入</w:t>
          </w:r>
        </w:p>
        <w:p w14:paraId="24AA241C" w14:textId="77777777" w:rsidR="002D0AE7" w:rsidRDefault="00333EBB">
          <w:pPr>
            <w:snapToGrid w:val="0"/>
            <w:ind w:firstLineChars="200" w:firstLine="420"/>
            <w:rPr>
              <w:rFonts w:hint="eastAsia"/>
              <w:sz w:val="21"/>
            </w:rPr>
          </w:pPr>
          <w:r>
            <w:rPr>
              <w:rFonts w:ascii="Arial Narrow" w:hAnsi="Arial Narrow" w:hint="eastAsia"/>
              <w:sz w:val="21"/>
            </w:rPr>
            <w:t>经营租赁的租金收入在租赁期内各个期间按照直线法确认。</w:t>
          </w:r>
        </w:p>
      </w:sdtContent>
    </w:sdt>
    <w:p w14:paraId="2E381599" w14:textId="77777777" w:rsidR="002D0AE7" w:rsidRDefault="00333EBB">
      <w:pPr>
        <w:pStyle w:val="3"/>
        <w:numPr>
          <w:ilvl w:val="0"/>
          <w:numId w:val="37"/>
        </w:numPr>
        <w:rPr>
          <w:rFonts w:ascii="宋体" w:hAnsi="宋体" w:hint="eastAsia"/>
          <w:color w:val="000000" w:themeColor="text1"/>
        </w:rPr>
      </w:pPr>
      <w:bookmarkStart w:id="139" w:name="_Hlk10465775"/>
      <w:bookmarkEnd w:id="138"/>
      <w:r>
        <w:rPr>
          <w:rFonts w:ascii="宋体" w:hAnsi="宋体"/>
          <w:color w:val="000000" w:themeColor="text1"/>
        </w:rPr>
        <w:t>政府补助</w:t>
      </w:r>
    </w:p>
    <w:sdt>
      <w:sdtPr>
        <w:rPr>
          <w:color w:val="000000" w:themeColor="text1"/>
        </w:rPr>
        <w:alias w:val="是否适用：政府补助_重要会计政策和估计[双击切换]"/>
        <w:tag w:val="_GBC_09d5ec3540ea4d9a8e10c93326c490a0"/>
        <w:id w:val="-1451774461"/>
        <w:placeholder>
          <w:docPart w:val="GBC22222222222222222222222222222"/>
        </w:placeholder>
      </w:sdtPr>
      <w:sdtEndPr/>
      <w:sdtContent>
        <w:p w14:paraId="38A156BD"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政府补助_重要会计政策和估计"/>
        <w:tag w:val="_GBC_f313a7b8b81b4ed0845a3af1ac57e5e8"/>
        <w:id w:val="9418637"/>
        <w:placeholder>
          <w:docPart w:val="GBC22222222222222222222222222222"/>
        </w:placeholder>
      </w:sdtPr>
      <w:sdtEndPr>
        <w:rPr>
          <w:color w:val="auto"/>
          <w:sz w:val="21"/>
        </w:rPr>
      </w:sdtEndPr>
      <w:sdtContent>
        <w:p w14:paraId="2089676E" w14:textId="77777777" w:rsidR="002D0AE7" w:rsidRDefault="00333EBB">
          <w:pPr>
            <w:autoSpaceDE w:val="0"/>
            <w:autoSpaceDN w:val="0"/>
            <w:adjustRightInd w:val="0"/>
            <w:snapToGrid w:val="0"/>
            <w:ind w:firstLineChars="200" w:firstLine="480"/>
            <w:rPr>
              <w:rFonts w:hint="eastAsia"/>
              <w:sz w:val="21"/>
            </w:rPr>
          </w:pPr>
          <w:r>
            <w:rPr>
              <w:rFonts w:ascii="Arial Narrow" w:hAnsi="Arial Narrow" w:hint="eastAsia"/>
              <w:sz w:val="21"/>
            </w:rPr>
            <w:t>政府补助是指本公司从政府无偿取得货币性资产或非货币性资产，但不包括政府作为公司所有者投入的资本。政府补助在能够满足政府补助所附条件，并能够收到时，予以确认。政府补助为货币性资产的，按照收到或应收的金额计量。政府补助为非货币性资产的，按照公允价值计量。政府补助分为与资产相关的政府补助和与收益相关的政府补助。本公司取得的、用于购建或以其他方式形成长期资产的政府补助作为与资产相关的政府补助。本公司取得的与资产相关之外的其他政府补助作为与收益相关的政府补助。与资产相关的政府补助，确认为递延收益，并在相关资产使用寿命内按照合理、系统的方法分期计入其他收益或营业外收入。与收益相关的政府补贴，如果政府补贴用于补偿公司以后期间的相关费用或损失的，确认为递延收益，并在确认相关费用的期间，计入其他收益或营业外收入；如果政府补贴用于补偿公司已发生的相关费用或损失的，直接计入当期损益其他收益或营业外收入。已确认的政府补助需要返还的，当存在相关递延收益时，冲减相关递延收益账面余额，超出部分计入当期损益；不存在递延收益时，直接计入当期损益。</w:t>
          </w:r>
        </w:p>
      </w:sdtContent>
    </w:sdt>
    <w:bookmarkEnd w:id="139"/>
    <w:p w14:paraId="5251A779" w14:textId="77777777" w:rsidR="002D0AE7" w:rsidRDefault="00333EBB">
      <w:pPr>
        <w:pStyle w:val="3"/>
        <w:numPr>
          <w:ilvl w:val="0"/>
          <w:numId w:val="37"/>
        </w:numPr>
        <w:rPr>
          <w:rFonts w:ascii="宋体" w:hAnsi="宋体" w:hint="eastAsia"/>
          <w:color w:val="000000" w:themeColor="text1"/>
        </w:rPr>
      </w:pPr>
      <w:r>
        <w:rPr>
          <w:rFonts w:ascii="宋体" w:hAnsi="宋体"/>
          <w:color w:val="000000" w:themeColor="text1"/>
        </w:rPr>
        <w:t>递延所得税资产</w:t>
      </w:r>
      <w:r>
        <w:rPr>
          <w:rFonts w:ascii="宋体" w:hAnsi="宋体"/>
          <w:color w:val="000000" w:themeColor="text1"/>
        </w:rPr>
        <w:t>/</w:t>
      </w:r>
      <w:r>
        <w:rPr>
          <w:rFonts w:ascii="宋体" w:hAnsi="宋体"/>
          <w:color w:val="000000" w:themeColor="text1"/>
        </w:rPr>
        <w:t>递延所得税负债</w:t>
      </w:r>
    </w:p>
    <w:sdt>
      <w:sdtPr>
        <w:rPr>
          <w:rFonts w:hint="eastAsia"/>
          <w:color w:val="000000" w:themeColor="text1"/>
        </w:rPr>
        <w:alias w:val="是否适用：所得税的会计处理方法[双击切换]"/>
        <w:tag w:val="_GBC_3e4bb828d17944599248216201e65683"/>
        <w:id w:val="132371661"/>
        <w:placeholder>
          <w:docPart w:val="GBC22222222222222222222222222222"/>
        </w:placeholder>
      </w:sdtPr>
      <w:sdtEndPr/>
      <w:sdtContent>
        <w:p w14:paraId="2192B5DC"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rFonts w:hint="eastAsia"/>
          <w:color w:val="000000" w:themeColor="text1"/>
        </w:rPr>
        <w:alias w:val="所得税的会计处理方法"/>
        <w:tag w:val="_GBC_545dd84ed2b9458fa5e2b87aa1e1cc1c"/>
        <w:id w:val="936260992"/>
        <w:placeholder>
          <w:docPart w:val="GBC22222222222222222222222222222"/>
        </w:placeholder>
      </w:sdtPr>
      <w:sdtEndPr>
        <w:rPr>
          <w:color w:val="auto"/>
          <w:sz w:val="21"/>
        </w:rPr>
      </w:sdtEndPr>
      <w:sdtContent>
        <w:sdt>
          <w:sdtPr>
            <w:rPr>
              <w:rFonts w:hint="eastAsia"/>
            </w:rPr>
            <w:alias w:val="所得税的会计处理方法"/>
            <w:tag w:val="_GBC_545dd84ed2b9458fa5e2b87aa1e1cc1c"/>
            <w:id w:val="-285895802"/>
            <w:placeholder>
              <w:docPart w:val="481E40C4C7ED4F2B801923393B0848EE"/>
            </w:placeholder>
          </w:sdtPr>
          <w:sdtEndPr>
            <w:rPr>
              <w:sz w:val="21"/>
            </w:rPr>
          </w:sdtEndPr>
          <w:sdtContent>
            <w:p w14:paraId="145777CA" w14:textId="77777777" w:rsidR="002D0AE7" w:rsidRDefault="00333EBB">
              <w:pPr>
                <w:snapToGrid w:val="0"/>
                <w:ind w:firstLineChars="200" w:firstLine="480"/>
                <w:rPr>
                  <w:rFonts w:ascii="Arial Narrow" w:hAnsi="Arial Narrow"/>
                  <w:b/>
                  <w:snapToGrid w:val="0"/>
                  <w:sz w:val="21"/>
                </w:rPr>
              </w:pPr>
              <w:r>
                <w:rPr>
                  <w:rFonts w:ascii="Arial Narrow" w:hAnsi="Arial Narrow"/>
                  <w:sz w:val="21"/>
                </w:rPr>
                <w:t>递延所得税资产和递延所得税负债根据资产和负债的计税基础与其账面价值的差额</w:t>
              </w:r>
              <w:r>
                <w:rPr>
                  <w:rFonts w:ascii="Arial Narrow" w:hAnsi="Arial Narrow"/>
                  <w:sz w:val="21"/>
                </w:rPr>
                <w:t>(</w:t>
              </w:r>
              <w:r>
                <w:rPr>
                  <w:rFonts w:ascii="Arial Narrow" w:hAnsi="Arial Narrow"/>
                  <w:sz w:val="21"/>
                </w:rPr>
                <w:t>暂时性差异</w:t>
              </w:r>
              <w:r>
                <w:rPr>
                  <w:rFonts w:ascii="Arial Narrow" w:hAnsi="Arial Narrow"/>
                  <w:sz w:val="21"/>
                </w:rPr>
                <w:t>)</w:t>
              </w:r>
              <w:r>
                <w:rPr>
                  <w:rFonts w:ascii="Arial Narrow" w:hAnsi="Arial Narrow"/>
                  <w:sz w:val="21"/>
                </w:rPr>
                <w:t>计算确认。对于按照税法规定能够于以后年度抵减应纳税所得额的可抵扣亏损，视同暂时性差异确认相应的递延所得税资产。</w:t>
              </w:r>
            </w:p>
            <w:p w14:paraId="7A9B4311" w14:textId="77777777" w:rsidR="002D0AE7" w:rsidRDefault="00333EBB">
              <w:pPr>
                <w:snapToGrid w:val="0"/>
                <w:ind w:firstLineChars="200" w:firstLine="420"/>
                <w:rPr>
                  <w:rFonts w:ascii="Arial Narrow" w:hAnsi="Arial Narrow"/>
                  <w:sz w:val="21"/>
                </w:rPr>
              </w:pPr>
              <w:r>
                <w:rPr>
                  <w:rFonts w:ascii="Arial Narrow" w:hAnsi="Arial Narrow"/>
                  <w:sz w:val="21"/>
                </w:rPr>
                <w:t>对于商誉的初始确认产生的暂时性差异，不确认相应的递延所得税负债。对于既不影响会计利润也不影响应纳税所得额</w:t>
              </w:r>
              <w:r>
                <w:rPr>
                  <w:rFonts w:ascii="Arial Narrow" w:hAnsi="Arial Narrow"/>
                  <w:sz w:val="21"/>
                </w:rPr>
                <w:t>(</w:t>
              </w:r>
              <w:r>
                <w:rPr>
                  <w:rFonts w:ascii="Arial Narrow" w:hAnsi="Arial Narrow"/>
                  <w:sz w:val="21"/>
                </w:rPr>
                <w:t>或可抵扣亏损</w:t>
              </w:r>
              <w:r>
                <w:rPr>
                  <w:rFonts w:ascii="Arial Narrow" w:hAnsi="Arial Narrow"/>
                  <w:sz w:val="21"/>
                </w:rPr>
                <w:t>)</w:t>
              </w:r>
              <w:r>
                <w:rPr>
                  <w:rFonts w:ascii="Arial Narrow" w:hAnsi="Arial Narrow"/>
                  <w:sz w:val="21"/>
                </w:rPr>
                <w:t>的非企业合并的交易中产生的资产或负债的初始确认形成的暂时性差异，不确认相应的递延所得税资产和递延所得税负债。在资产负债表日，递延所得税资产和递延所得税负债按照预期收回该资产或清偿该负债期间的适用税率计量。</w:t>
              </w:r>
            </w:p>
            <w:p w14:paraId="3168D657" w14:textId="77777777" w:rsidR="002D0AE7" w:rsidRDefault="00333EBB">
              <w:pPr>
                <w:snapToGrid w:val="0"/>
                <w:ind w:firstLineChars="200" w:firstLine="420"/>
                <w:rPr>
                  <w:rFonts w:hint="eastAsia"/>
                  <w:sz w:val="21"/>
                </w:rPr>
              </w:pPr>
              <w:r>
                <w:rPr>
                  <w:rFonts w:ascii="Arial Narrow" w:hAnsi="Arial Narrow"/>
                  <w:sz w:val="21"/>
                </w:rPr>
                <w:t>递延所得税资产的确认以公司很可能取得用来抵扣可抵扣暂时性差异、可抵扣亏损和税款抵减的应纳税所得额为限。对子公司及联营企业投资相关的暂时性差异产生的递延所得税资产和递延所得税负债，予以确认。但公司能够控制暂时性差异转回的时间且该暂时性差异在可预见的未来很可能不会转回的，不予确认。</w:t>
              </w:r>
            </w:p>
          </w:sdtContent>
        </w:sdt>
      </w:sdtContent>
    </w:sdt>
    <w:p w14:paraId="1DF3A87D" w14:textId="77777777" w:rsidR="002D0AE7" w:rsidRDefault="00333EBB">
      <w:pPr>
        <w:pStyle w:val="3"/>
        <w:numPr>
          <w:ilvl w:val="0"/>
          <w:numId w:val="37"/>
        </w:numPr>
        <w:rPr>
          <w:rFonts w:ascii="宋体" w:hAnsi="宋体" w:cs="宋体" w:hint="eastAsia"/>
          <w:color w:val="000000" w:themeColor="text1"/>
          <w:kern w:val="0"/>
          <w:szCs w:val="22"/>
        </w:rPr>
      </w:pPr>
      <w:bookmarkStart w:id="140" w:name="_Hlk167884177"/>
      <w:bookmarkStart w:id="141" w:name="_Hlk169007779"/>
      <w:r>
        <w:rPr>
          <w:rFonts w:ascii="宋体" w:hAnsi="宋体" w:cs="宋体"/>
          <w:color w:val="000000" w:themeColor="text1"/>
          <w:kern w:val="0"/>
          <w:szCs w:val="22"/>
        </w:rPr>
        <w:t>租赁</w:t>
      </w:r>
    </w:p>
    <w:sdt>
      <w:sdtPr>
        <w:rPr>
          <w:color w:val="000000" w:themeColor="text1"/>
        </w:rPr>
        <w:alias w:val="是否适用：租赁_重要会计政策和估计[双击切换]"/>
        <w:tag w:val="_GBC_7f954ee357264e2c946d2c530d8787c5"/>
        <w:id w:val="-1374605595"/>
        <w:placeholder>
          <w:docPart w:val="GBC22222222222222222222222222222"/>
        </w:placeholder>
      </w:sdtPr>
      <w:sdtEndPr/>
      <w:sdtContent>
        <w:p w14:paraId="279397EE"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64385B1A" w14:textId="77777777" w:rsidR="002D0AE7" w:rsidRDefault="00333EBB">
      <w:pPr>
        <w:rPr>
          <w:rFonts w:ascii="Calibri" w:hAnsi="Calibri" w:cs="Times New Roman"/>
          <w:b/>
          <w:color w:val="000000" w:themeColor="text1"/>
          <w:kern w:val="2"/>
          <w:szCs w:val="32"/>
        </w:rPr>
      </w:pPr>
      <w:r>
        <w:rPr>
          <w:rFonts w:ascii="Calibri" w:hAnsi="Calibri" w:cs="Times New Roman"/>
          <w:b/>
          <w:color w:val="000000" w:themeColor="text1"/>
          <w:kern w:val="2"/>
          <w:szCs w:val="32"/>
        </w:rPr>
        <w:t>作为承租方对短期租赁和低价值资产租赁进行简化处理的判断依据和会计处理方法</w:t>
      </w:r>
    </w:p>
    <w:sdt>
      <w:sdtPr>
        <w:rPr>
          <w:color w:val="000000" w:themeColor="text1"/>
        </w:rPr>
        <w:alias w:val="是否适用：作为承租方对短期租赁和低价值资产租赁进行简化处理的判断依据和会计处理方法[双击切换]"/>
        <w:tag w:val="_GBC_7bcaad3acb7c40ecbe59ad19b127555f"/>
        <w:id w:val="1373654702"/>
        <w:placeholder>
          <w:docPart w:val="GBC22222222222222222222222222222"/>
        </w:placeholder>
      </w:sdtPr>
      <w:sdtEndPr/>
      <w:sdtContent>
        <w:p w14:paraId="610BE5E3"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作为承租方对短期租赁和低价值资产租赁进行简化处理的判断依据和会计处理方法"/>
        <w:tag w:val="_GBC_83c59a0eb4ac4ef2afb783bc5dd4efb6"/>
        <w:id w:val="-800071260"/>
        <w:placeholder>
          <w:docPart w:val="GBC22222222222222222222222222222"/>
        </w:placeholder>
      </w:sdtPr>
      <w:sdtEndPr>
        <w:rPr>
          <w:color w:val="auto"/>
          <w:sz w:val="21"/>
        </w:rPr>
      </w:sdtEndPr>
      <w:sdtContent>
        <w:p w14:paraId="207F0F75" w14:textId="77777777" w:rsidR="002D0AE7" w:rsidRDefault="00333EBB">
          <w:pPr>
            <w:autoSpaceDE w:val="0"/>
            <w:autoSpaceDN w:val="0"/>
            <w:adjustRightInd w:val="0"/>
            <w:snapToGrid w:val="0"/>
            <w:ind w:firstLineChars="200" w:firstLine="480"/>
            <w:rPr>
              <w:rFonts w:ascii="Arial Narrow" w:hAnsi="Arial Narrow"/>
              <w:b/>
              <w:bCs/>
              <w:sz w:val="21"/>
              <w:lang w:val="zh-CN"/>
            </w:rPr>
          </w:pPr>
          <w:r>
            <w:rPr>
              <w:rFonts w:ascii="Arial Narrow" w:hAnsi="Arial Narrow" w:hint="eastAsia"/>
              <w:b/>
              <w:sz w:val="21"/>
              <w:lang w:val="zh-CN"/>
            </w:rPr>
            <w:t>1</w:t>
          </w:r>
          <w:r>
            <w:rPr>
              <w:rFonts w:ascii="Arial Narrow" w:hAnsi="Arial Narrow" w:hint="eastAsia"/>
              <w:b/>
              <w:sz w:val="21"/>
              <w:lang w:val="zh-CN"/>
            </w:rPr>
            <w:t>、租赁的识别</w:t>
          </w:r>
        </w:p>
        <w:p w14:paraId="4580B4C0" w14:textId="77777777" w:rsidR="002D0AE7" w:rsidRDefault="00333EBB">
          <w:pPr>
            <w:autoSpaceDE w:val="0"/>
            <w:autoSpaceDN w:val="0"/>
            <w:adjustRightInd w:val="0"/>
            <w:snapToGrid w:val="0"/>
            <w:ind w:firstLineChars="200" w:firstLine="420"/>
            <w:rPr>
              <w:rFonts w:ascii="Arial Narrow" w:hAnsi="Arial Narrow"/>
              <w:sz w:val="21"/>
              <w:lang w:val="zh-CN"/>
            </w:rPr>
          </w:pPr>
          <w:r>
            <w:rPr>
              <w:rFonts w:ascii="Arial Narrow" w:hAnsi="Arial Narrow" w:hint="eastAsia"/>
              <w:sz w:val="21"/>
              <w:lang w:val="zh-CN"/>
            </w:rPr>
            <w:t>租赁，是指在一定期间内，出租人将资产的使用权让与承租人以获取对价的合同。在合同开</w:t>
          </w:r>
          <w:r>
            <w:rPr>
              <w:rFonts w:ascii="Arial Narrow" w:hAnsi="Arial Narrow"/>
              <w:sz w:val="21"/>
              <w:lang w:val="zh-CN"/>
            </w:rPr>
            <w:t>始日，本公司评估合同是否为租赁或者包含租赁。如果合同一方让渡了在一定期间内控制一项或多项已识别资产使用的权利以换取对价，则该合同为租赁或者包含租赁。为确定合同是否让渡了在一定期间内控制已识别资产使用的权利，本公司评估合同中的客户是否有权获得在使用期间内因使用已识别资产所产生的几乎全部经济利益，并有权在该使用期间主导已识别资产的使用。</w:t>
          </w:r>
        </w:p>
        <w:p w14:paraId="75A2FAE5" w14:textId="77777777" w:rsidR="002D0AE7" w:rsidRDefault="00333EBB">
          <w:pPr>
            <w:autoSpaceDE w:val="0"/>
            <w:autoSpaceDN w:val="0"/>
            <w:adjustRightInd w:val="0"/>
            <w:snapToGrid w:val="0"/>
            <w:ind w:firstLineChars="200" w:firstLine="420"/>
            <w:rPr>
              <w:rFonts w:ascii="Arial Narrow" w:hAnsi="Arial Narrow"/>
              <w:sz w:val="21"/>
              <w:lang w:val="zh-CN"/>
            </w:rPr>
          </w:pPr>
          <w:r>
            <w:rPr>
              <w:rFonts w:ascii="Arial Narrow" w:hAnsi="Arial Narrow" w:hint="eastAsia"/>
              <w:sz w:val="21"/>
              <w:lang w:val="zh-CN"/>
            </w:rPr>
            <w:t>合同中同时包含多项单独租赁的，本公司将合同予以分拆，并分别各项单独租赁进行会计处理。合同中同时包含租赁和非租赁部分的，本公司将租赁和非租赁部分分拆后进行会计处理。</w:t>
          </w:r>
        </w:p>
        <w:p w14:paraId="08801888" w14:textId="77777777" w:rsidR="002D0AE7" w:rsidRDefault="00333EBB">
          <w:pPr>
            <w:autoSpaceDE w:val="0"/>
            <w:autoSpaceDN w:val="0"/>
            <w:adjustRightInd w:val="0"/>
            <w:snapToGrid w:val="0"/>
            <w:ind w:firstLineChars="200" w:firstLine="422"/>
            <w:rPr>
              <w:rFonts w:ascii="Arial Narrow" w:hAnsi="Arial Narrow"/>
              <w:b/>
              <w:bCs/>
              <w:sz w:val="21"/>
              <w:lang w:val="zh-CN"/>
            </w:rPr>
          </w:pPr>
          <w:r>
            <w:rPr>
              <w:rFonts w:ascii="Arial Narrow" w:hAnsi="Arial Narrow" w:hint="eastAsia"/>
              <w:b/>
              <w:sz w:val="21"/>
              <w:lang w:val="zh-CN"/>
            </w:rPr>
            <w:t>2</w:t>
          </w:r>
          <w:r>
            <w:rPr>
              <w:rFonts w:ascii="Arial Narrow" w:hAnsi="Arial Narrow" w:hint="eastAsia"/>
              <w:b/>
              <w:sz w:val="21"/>
              <w:lang w:val="zh-CN"/>
            </w:rPr>
            <w:t>、本公司作为承租人</w:t>
          </w:r>
        </w:p>
        <w:p w14:paraId="3539DE44" w14:textId="77777777" w:rsidR="002D0AE7" w:rsidRDefault="00333EBB">
          <w:pPr>
            <w:autoSpaceDE w:val="0"/>
            <w:autoSpaceDN w:val="0"/>
            <w:adjustRightInd w:val="0"/>
            <w:snapToGrid w:val="0"/>
            <w:ind w:firstLineChars="200" w:firstLine="420"/>
            <w:rPr>
              <w:rFonts w:ascii="Arial Narrow" w:hAnsi="Arial Narrow"/>
              <w:sz w:val="21"/>
              <w:lang w:val="zh-CN"/>
            </w:rPr>
          </w:pPr>
          <w:r>
            <w:rPr>
              <w:rFonts w:ascii="Arial Narrow" w:hAnsi="Arial Narrow" w:hint="eastAsia"/>
              <w:sz w:val="21"/>
              <w:lang w:val="zh-CN"/>
            </w:rPr>
            <w:t>在租赁期开始日，本公司对租赁确认使用权资产和租赁负债。使用权资产按照成本进行初始计量，包括租赁负债的初始计量金额、在租赁期开始日或之前支付的租赁付款额</w:t>
          </w:r>
          <w:r>
            <w:rPr>
              <w:rFonts w:ascii="Arial Narrow" w:hAnsi="Arial Narrow"/>
              <w:sz w:val="21"/>
              <w:lang w:val="zh-CN"/>
            </w:rPr>
            <w:t>(</w:t>
          </w:r>
          <w:r>
            <w:rPr>
              <w:rFonts w:ascii="Arial Narrow" w:hAnsi="Arial Narrow"/>
              <w:sz w:val="21"/>
              <w:lang w:val="zh-CN"/>
            </w:rPr>
            <w:t>扣除已享受的租赁激励相关金额</w:t>
          </w:r>
          <w:r>
            <w:rPr>
              <w:rFonts w:ascii="Arial Narrow" w:hAnsi="Arial Narrow"/>
              <w:sz w:val="21"/>
              <w:lang w:val="zh-CN"/>
            </w:rPr>
            <w:t>)</w:t>
          </w:r>
          <w:r>
            <w:rPr>
              <w:rFonts w:ascii="Arial Narrow" w:hAnsi="Arial Narrow"/>
              <w:sz w:val="21"/>
              <w:lang w:val="zh-CN"/>
            </w:rPr>
            <w:t>，发生的初始直接费用以及为拆卸及移除租赁资产、复原租赁资产所在场地或将租赁资产恢复至租赁条款约定状态预计将发生的成本。</w:t>
          </w:r>
        </w:p>
        <w:p w14:paraId="0810ADC6" w14:textId="77777777" w:rsidR="002D0AE7" w:rsidRDefault="00333EBB">
          <w:pPr>
            <w:autoSpaceDE w:val="0"/>
            <w:autoSpaceDN w:val="0"/>
            <w:adjustRightInd w:val="0"/>
            <w:snapToGrid w:val="0"/>
            <w:ind w:firstLineChars="200" w:firstLine="420"/>
            <w:rPr>
              <w:rFonts w:ascii="Arial Narrow" w:hAnsi="Arial Narrow"/>
              <w:sz w:val="21"/>
              <w:lang w:val="zh-CN"/>
            </w:rPr>
          </w:pPr>
          <w:r>
            <w:rPr>
              <w:rFonts w:ascii="Arial Narrow" w:hAnsi="Arial Narrow" w:hint="eastAsia"/>
              <w:sz w:val="21"/>
              <w:lang w:val="zh-CN"/>
            </w:rPr>
            <w:t>在本公司作为承租人对租赁确认使用权资产和租赁负债。</w:t>
          </w:r>
        </w:p>
        <w:p w14:paraId="02E73AF5" w14:textId="77777777" w:rsidR="002D0AE7" w:rsidRDefault="00333EBB">
          <w:pPr>
            <w:autoSpaceDE w:val="0"/>
            <w:autoSpaceDN w:val="0"/>
            <w:adjustRightInd w:val="0"/>
            <w:snapToGrid w:val="0"/>
            <w:ind w:firstLineChars="200" w:firstLine="420"/>
            <w:rPr>
              <w:rFonts w:ascii="Arial Narrow" w:hAnsi="Arial Narrow"/>
              <w:sz w:val="21"/>
              <w:lang w:val="zh-CN"/>
            </w:rPr>
          </w:pPr>
          <w:r>
            <w:rPr>
              <w:rFonts w:ascii="Arial Narrow" w:hAnsi="Arial Narrow" w:hint="eastAsia"/>
              <w:sz w:val="21"/>
              <w:lang w:val="zh-CN"/>
            </w:rPr>
            <w:t>（</w:t>
          </w:r>
          <w:r>
            <w:rPr>
              <w:rFonts w:ascii="Arial Narrow" w:hAnsi="Arial Narrow" w:hint="eastAsia"/>
              <w:sz w:val="21"/>
              <w:lang w:val="zh-CN"/>
            </w:rPr>
            <w:t>1</w:t>
          </w:r>
          <w:r>
            <w:rPr>
              <w:rFonts w:ascii="Arial Narrow" w:hAnsi="Arial Narrow" w:hint="eastAsia"/>
              <w:sz w:val="21"/>
              <w:lang w:val="zh-CN"/>
            </w:rPr>
            <w:t>）</w:t>
          </w:r>
          <w:r>
            <w:rPr>
              <w:rFonts w:ascii="Arial Narrow" w:hAnsi="Arial Narrow"/>
              <w:sz w:val="21"/>
              <w:lang w:val="zh-CN"/>
            </w:rPr>
            <w:t>租赁变更</w:t>
          </w:r>
        </w:p>
        <w:p w14:paraId="7BCD7B0D" w14:textId="77777777" w:rsidR="002D0AE7" w:rsidRDefault="00333EBB">
          <w:pPr>
            <w:autoSpaceDE w:val="0"/>
            <w:autoSpaceDN w:val="0"/>
            <w:adjustRightInd w:val="0"/>
            <w:snapToGrid w:val="0"/>
            <w:ind w:firstLineChars="200" w:firstLine="420"/>
            <w:rPr>
              <w:rFonts w:ascii="Arial Narrow" w:hAnsi="Arial Narrow"/>
              <w:sz w:val="21"/>
              <w:lang w:val="zh-CN"/>
            </w:rPr>
          </w:pPr>
          <w:r>
            <w:rPr>
              <w:rFonts w:ascii="Arial Narrow" w:hAnsi="Arial Narrow" w:hint="eastAsia"/>
              <w:sz w:val="21"/>
              <w:lang w:val="zh-CN"/>
            </w:rPr>
            <w:t>租赁变更，是指原合同条款之外的租赁范围、租赁对价、租赁期限的变更，包括增加或终止一项或多项租赁资产的使用权，延长或缩短合同规定的租赁期等。租赁变更生效日，是指双方就租赁变更达成一致的日期。</w:t>
          </w:r>
        </w:p>
        <w:p w14:paraId="14F6AED1" w14:textId="77777777" w:rsidR="002D0AE7" w:rsidRDefault="00333EBB">
          <w:pPr>
            <w:autoSpaceDE w:val="0"/>
            <w:autoSpaceDN w:val="0"/>
            <w:adjustRightInd w:val="0"/>
            <w:snapToGrid w:val="0"/>
            <w:ind w:firstLineChars="200" w:firstLine="420"/>
            <w:rPr>
              <w:rFonts w:ascii="Arial Narrow" w:hAnsi="Arial Narrow"/>
              <w:sz w:val="21"/>
              <w:lang w:val="zh-CN"/>
            </w:rPr>
          </w:pPr>
          <w:r>
            <w:rPr>
              <w:rFonts w:ascii="Arial Narrow" w:hAnsi="Arial Narrow" w:hint="eastAsia"/>
              <w:sz w:val="21"/>
              <w:lang w:val="zh-CN"/>
            </w:rPr>
            <w:t>租赁发生变更且同时符合下列条件的，本公司将该租赁变更作为一项单独租赁进行会计处理：①</w:t>
          </w:r>
          <w:r>
            <w:rPr>
              <w:rFonts w:ascii="Arial Narrow" w:hAnsi="Arial Narrow"/>
              <w:sz w:val="21"/>
              <w:lang w:val="zh-CN"/>
            </w:rPr>
            <w:t>该租赁变更通过增加一项或多项租赁资产的使用权而扩大了租赁范围；</w:t>
          </w:r>
          <w:r>
            <w:rPr>
              <w:rFonts w:ascii="Arial Narrow" w:hAnsi="Arial Narrow" w:hint="eastAsia"/>
              <w:sz w:val="21"/>
              <w:lang w:val="zh-CN"/>
            </w:rPr>
            <w:t>②</w:t>
          </w:r>
          <w:r>
            <w:rPr>
              <w:rFonts w:ascii="Arial Narrow" w:hAnsi="Arial Narrow"/>
              <w:sz w:val="21"/>
              <w:lang w:val="zh-CN"/>
            </w:rPr>
            <w:t>增加的对价与租赁范围扩大部分的单独价格按该合同情况调整后的金额相当。</w:t>
          </w:r>
        </w:p>
        <w:p w14:paraId="569D5387" w14:textId="77777777" w:rsidR="002D0AE7" w:rsidRDefault="00333EBB">
          <w:pPr>
            <w:autoSpaceDE w:val="0"/>
            <w:autoSpaceDN w:val="0"/>
            <w:adjustRightInd w:val="0"/>
            <w:snapToGrid w:val="0"/>
            <w:ind w:firstLineChars="200" w:firstLine="420"/>
            <w:rPr>
              <w:rFonts w:ascii="Arial Narrow" w:hAnsi="Arial Narrow"/>
              <w:sz w:val="21"/>
              <w:lang w:val="zh-CN"/>
            </w:rPr>
          </w:pPr>
          <w:r>
            <w:rPr>
              <w:rFonts w:ascii="Arial Narrow" w:hAnsi="Arial Narrow"/>
              <w:sz w:val="21"/>
              <w:lang w:val="zh-CN"/>
            </w:rPr>
            <w:t>租赁变更未作为一项单独租赁进行会计处理的，在租赁变更生效日，本公司按照租赁准则有关规定对变更后合同的对价进行分摊，重新确定变更后的租赁期；并采用修订后的折现率对变更后的租赁付款额进行折现，以重新计量租赁负债。在计算变更后租赁付款额的现值时，本公司采用剩余租赁期间的租赁内含利率作为折现率；无法确定剩余租赁期间的租赁内含利率的，本公司采用租赁变更生效日的承租人增量借款利率作为折现率。就上述租赁负债调整的影响，本公司区分以下情形进行会计处理：</w:t>
          </w:r>
          <w:r>
            <w:rPr>
              <w:rFonts w:hint="eastAsia"/>
              <w:sz w:val="21"/>
              <w:lang w:val="zh-CN"/>
            </w:rPr>
            <w:t>①</w:t>
          </w:r>
          <w:r>
            <w:rPr>
              <w:rFonts w:ascii="Arial Narrow" w:hAnsi="Arial Narrow"/>
              <w:sz w:val="21"/>
              <w:lang w:val="zh-CN"/>
            </w:rPr>
            <w:t>租赁变更导致租赁范围缩小或租赁期缩短的，承租人应当调减使用权资</w:t>
          </w:r>
          <w:r>
            <w:rPr>
              <w:rFonts w:ascii="Arial Narrow" w:hAnsi="Arial Narrow" w:hint="eastAsia"/>
              <w:sz w:val="21"/>
              <w:lang w:val="zh-CN"/>
            </w:rPr>
            <w:t>产的账面价值，并将部分终止或完全终止租赁的相关利得或损失计入当期损益。②其他租赁</w:t>
          </w:r>
          <w:r>
            <w:rPr>
              <w:rFonts w:ascii="Arial Narrow" w:hAnsi="Arial Narrow"/>
              <w:sz w:val="21"/>
              <w:lang w:val="zh-CN"/>
            </w:rPr>
            <w:t>变更导致租赁负债重新计量的，承租人相应调整使用权资产的账面价值。</w:t>
          </w:r>
        </w:p>
        <w:p w14:paraId="6C9A4672" w14:textId="77777777" w:rsidR="002D0AE7" w:rsidRDefault="00333EBB">
          <w:pPr>
            <w:autoSpaceDE w:val="0"/>
            <w:autoSpaceDN w:val="0"/>
            <w:adjustRightInd w:val="0"/>
            <w:snapToGrid w:val="0"/>
            <w:ind w:firstLineChars="200" w:firstLine="420"/>
            <w:rPr>
              <w:rFonts w:ascii="Arial Narrow" w:hAnsi="Arial Narrow"/>
              <w:sz w:val="21"/>
              <w:lang w:val="zh-CN"/>
            </w:rPr>
          </w:pPr>
          <w:r>
            <w:rPr>
              <w:rFonts w:ascii="Arial Narrow" w:hAnsi="Arial Narrow" w:hint="eastAsia"/>
              <w:sz w:val="21"/>
              <w:lang w:val="zh-CN"/>
            </w:rPr>
            <w:t>（</w:t>
          </w:r>
          <w:r>
            <w:rPr>
              <w:rFonts w:ascii="Arial Narrow" w:hAnsi="Arial Narrow" w:hint="eastAsia"/>
              <w:sz w:val="21"/>
              <w:lang w:val="zh-CN"/>
            </w:rPr>
            <w:t>2</w:t>
          </w:r>
          <w:r>
            <w:rPr>
              <w:rFonts w:ascii="Arial Narrow" w:hAnsi="Arial Narrow" w:hint="eastAsia"/>
              <w:sz w:val="21"/>
              <w:lang w:val="zh-CN"/>
            </w:rPr>
            <w:t>）</w:t>
          </w:r>
          <w:r>
            <w:rPr>
              <w:rFonts w:ascii="Arial Narrow" w:hAnsi="Arial Narrow"/>
              <w:sz w:val="21"/>
              <w:lang w:val="zh-CN"/>
            </w:rPr>
            <w:t>短期租赁和低价值资产租赁</w:t>
          </w:r>
        </w:p>
        <w:p w14:paraId="758D6C89" w14:textId="77777777" w:rsidR="002D0AE7" w:rsidRDefault="00333EBB">
          <w:pPr>
            <w:autoSpaceDE w:val="0"/>
            <w:autoSpaceDN w:val="0"/>
            <w:adjustRightInd w:val="0"/>
            <w:snapToGrid w:val="0"/>
            <w:ind w:firstLineChars="200" w:firstLine="420"/>
            <w:rPr>
              <w:rFonts w:ascii="Arial Narrow" w:hAnsi="Arial Narrow"/>
              <w:sz w:val="21"/>
              <w:lang w:val="zh-CN"/>
            </w:rPr>
          </w:pPr>
          <w:r>
            <w:rPr>
              <w:rFonts w:ascii="Arial Narrow" w:hAnsi="Arial Narrow" w:hint="eastAsia"/>
              <w:sz w:val="21"/>
              <w:lang w:val="zh-CN"/>
            </w:rPr>
            <w:t>对于租赁期不超过</w:t>
          </w:r>
          <w:r>
            <w:rPr>
              <w:rFonts w:ascii="Arial Narrow" w:hAnsi="Arial Narrow"/>
              <w:sz w:val="21"/>
              <w:lang w:val="zh-CN"/>
            </w:rPr>
            <w:t>12</w:t>
          </w:r>
          <w:r>
            <w:rPr>
              <w:rFonts w:ascii="Arial Narrow" w:hAnsi="Arial Narrow"/>
              <w:sz w:val="21"/>
              <w:lang w:val="zh-CN"/>
            </w:rPr>
            <w:t>个月的短期租赁和单项租赁资产为全新资产时价值较低的低价值资产租赁，本公司选择不确认使用权资产和租赁负债。本公司将短期租赁和低价值资产租赁的租赁付款额，在租赁期内各个期间按照直线法或其他系统合理的方法计入相关资产成本或当期损益。</w:t>
          </w:r>
        </w:p>
        <w:p w14:paraId="4D89BDFA" w14:textId="77777777" w:rsidR="002D0AE7" w:rsidRDefault="00333EBB">
          <w:pPr>
            <w:autoSpaceDE w:val="0"/>
            <w:autoSpaceDN w:val="0"/>
            <w:adjustRightInd w:val="0"/>
            <w:snapToGrid w:val="0"/>
            <w:ind w:firstLineChars="200" w:firstLine="422"/>
            <w:rPr>
              <w:rFonts w:ascii="Arial Narrow" w:hAnsi="Arial Narrow"/>
              <w:b/>
              <w:bCs/>
              <w:sz w:val="21"/>
              <w:lang w:val="zh-CN"/>
            </w:rPr>
          </w:pPr>
          <w:r>
            <w:rPr>
              <w:rFonts w:ascii="Arial Narrow" w:hAnsi="Arial Narrow" w:hint="eastAsia"/>
              <w:b/>
              <w:sz w:val="21"/>
              <w:lang w:val="zh-CN"/>
            </w:rPr>
            <w:t>3</w:t>
          </w:r>
          <w:r>
            <w:rPr>
              <w:rFonts w:ascii="Arial Narrow" w:hAnsi="Arial Narrow" w:hint="eastAsia"/>
              <w:b/>
              <w:sz w:val="21"/>
              <w:lang w:val="zh-CN"/>
            </w:rPr>
            <w:t>、融资租赁会计处理</w:t>
          </w:r>
        </w:p>
        <w:p w14:paraId="384A038D" w14:textId="77777777" w:rsidR="002D0AE7" w:rsidRDefault="00333EBB">
          <w:pPr>
            <w:autoSpaceDE w:val="0"/>
            <w:autoSpaceDN w:val="0"/>
            <w:adjustRightInd w:val="0"/>
            <w:snapToGrid w:val="0"/>
            <w:ind w:firstLineChars="200" w:firstLine="420"/>
            <w:rPr>
              <w:rFonts w:ascii="Arial Narrow" w:hAnsi="Arial Narrow"/>
              <w:sz w:val="21"/>
              <w:lang w:val="zh-CN"/>
            </w:rPr>
          </w:pPr>
          <w:r>
            <w:rPr>
              <w:rFonts w:ascii="Arial Narrow" w:hAnsi="Arial Narrow" w:hint="eastAsia"/>
              <w:sz w:val="21"/>
              <w:lang w:val="zh-CN"/>
            </w:rPr>
            <w:lastRenderedPageBreak/>
            <w:t>（</w:t>
          </w:r>
          <w:r>
            <w:rPr>
              <w:rFonts w:ascii="Arial Narrow" w:hAnsi="Arial Narrow" w:hint="eastAsia"/>
              <w:sz w:val="21"/>
              <w:lang w:val="zh-CN"/>
            </w:rPr>
            <w:t>1</w:t>
          </w:r>
          <w:r>
            <w:rPr>
              <w:rFonts w:ascii="Arial Narrow" w:hAnsi="Arial Narrow" w:hint="eastAsia"/>
              <w:sz w:val="21"/>
              <w:lang w:val="zh-CN"/>
            </w:rPr>
            <w:t>）</w:t>
          </w:r>
          <w:r>
            <w:rPr>
              <w:rFonts w:ascii="Arial Narrow" w:hAnsi="Arial Narrow"/>
              <w:sz w:val="21"/>
              <w:lang w:val="zh-CN"/>
            </w:rPr>
            <w:t>初始计量</w:t>
          </w:r>
        </w:p>
        <w:p w14:paraId="0A770900" w14:textId="77777777" w:rsidR="002D0AE7" w:rsidRDefault="00333EBB">
          <w:pPr>
            <w:autoSpaceDE w:val="0"/>
            <w:autoSpaceDN w:val="0"/>
            <w:adjustRightInd w:val="0"/>
            <w:snapToGrid w:val="0"/>
            <w:ind w:firstLineChars="200" w:firstLine="420"/>
            <w:rPr>
              <w:rFonts w:ascii="Arial Narrow" w:hAnsi="Arial Narrow"/>
              <w:sz w:val="21"/>
              <w:lang w:val="zh-CN"/>
            </w:rPr>
          </w:pPr>
          <w:r>
            <w:rPr>
              <w:rFonts w:ascii="Arial Narrow" w:hAnsi="Arial Narrow"/>
              <w:sz w:val="21"/>
              <w:lang w:val="zh-CN"/>
            </w:rPr>
            <w:t>在租赁期开始日，本公司对融资租赁确认应收融资租赁款，并终止确认融资租赁资产。本公司对应收融资租赁款进行初始计量时，以租赁投资净额作为应收融资租赁款的入账价值。</w:t>
          </w:r>
        </w:p>
        <w:p w14:paraId="13A0F123" w14:textId="77777777" w:rsidR="002D0AE7" w:rsidRDefault="00333EBB">
          <w:pPr>
            <w:autoSpaceDE w:val="0"/>
            <w:autoSpaceDN w:val="0"/>
            <w:adjustRightInd w:val="0"/>
            <w:snapToGrid w:val="0"/>
            <w:ind w:firstLineChars="200" w:firstLine="420"/>
            <w:rPr>
              <w:rFonts w:ascii="Arial Narrow" w:hAnsi="Arial Narrow"/>
              <w:sz w:val="21"/>
              <w:lang w:val="zh-CN"/>
            </w:rPr>
          </w:pPr>
          <w:r>
            <w:rPr>
              <w:rFonts w:ascii="Arial Narrow" w:hAnsi="Arial Narrow"/>
              <w:sz w:val="21"/>
              <w:lang w:val="zh-CN"/>
            </w:rPr>
            <w:t>租赁投资净额为未担保余值和租赁期开始日尚未收到的租赁收款额按照租赁内含利率折现的现值之和。租赁收款额，是指出租人因让渡在租赁期内使用租赁资产的权利而应向承租人收取的款项，包括：</w:t>
          </w:r>
          <w:r>
            <w:rPr>
              <w:rFonts w:ascii="Arial Narrow" w:hAnsi="Arial Narrow" w:hint="eastAsia"/>
              <w:sz w:val="21"/>
              <w:lang w:val="zh-CN"/>
            </w:rPr>
            <w:t>①</w:t>
          </w:r>
          <w:r>
            <w:rPr>
              <w:rFonts w:ascii="Arial Narrow" w:hAnsi="Arial Narrow"/>
              <w:sz w:val="21"/>
              <w:lang w:val="zh-CN"/>
            </w:rPr>
            <w:t>承租人需支付的固定付款额及实质固定付款额；存在租赁激励的，扣除租赁激励相关金额；</w:t>
          </w:r>
          <w:r>
            <w:rPr>
              <w:rFonts w:ascii="Arial Narrow" w:hAnsi="Arial Narrow" w:hint="eastAsia"/>
              <w:sz w:val="21"/>
              <w:lang w:val="zh-CN"/>
            </w:rPr>
            <w:t>②</w:t>
          </w:r>
          <w:r>
            <w:rPr>
              <w:rFonts w:ascii="Arial Narrow" w:hAnsi="Arial Narrow"/>
              <w:sz w:val="21"/>
              <w:lang w:val="zh-CN"/>
            </w:rPr>
            <w:t>取决于指数或比率的可变租赁付款额，该款项在初始计量时根据租赁期开始日的指数或比率确定；</w:t>
          </w:r>
          <w:r>
            <w:rPr>
              <w:rFonts w:ascii="Arial Narrow" w:hAnsi="Arial Narrow" w:hint="eastAsia"/>
              <w:sz w:val="21"/>
              <w:lang w:val="zh-CN"/>
            </w:rPr>
            <w:t>③</w:t>
          </w:r>
          <w:r>
            <w:rPr>
              <w:rFonts w:ascii="Arial Narrow" w:hAnsi="Arial Narrow"/>
              <w:sz w:val="21"/>
              <w:lang w:val="zh-CN"/>
            </w:rPr>
            <w:t>购买选择权的行权价格，前提是合理确定承租人将行使该选择权；</w:t>
          </w:r>
          <w:r>
            <w:rPr>
              <w:rFonts w:ascii="Arial Narrow" w:hAnsi="Arial Narrow" w:hint="eastAsia"/>
              <w:sz w:val="21"/>
              <w:lang w:val="zh-CN"/>
            </w:rPr>
            <w:t>④</w:t>
          </w:r>
          <w:r>
            <w:rPr>
              <w:rFonts w:ascii="Arial Narrow" w:hAnsi="Arial Narrow"/>
              <w:sz w:val="21"/>
              <w:lang w:val="zh-CN"/>
            </w:rPr>
            <w:t>承租人行使终止租赁选择权需支付的款项，前提是租赁期反映出承租人将行使终止租赁选择权；</w:t>
          </w:r>
          <w:r>
            <w:rPr>
              <w:rFonts w:ascii="Arial Narrow" w:hAnsi="Arial Narrow" w:hint="eastAsia"/>
              <w:sz w:val="21"/>
              <w:lang w:val="zh-CN"/>
            </w:rPr>
            <w:t>⑤</w:t>
          </w:r>
          <w:r>
            <w:rPr>
              <w:rFonts w:ascii="Arial Narrow" w:hAnsi="Arial Narrow"/>
              <w:sz w:val="21"/>
              <w:lang w:val="zh-CN"/>
            </w:rPr>
            <w:t>由承租人</w:t>
          </w:r>
          <w:r>
            <w:rPr>
              <w:rFonts w:ascii="Arial Narrow" w:hAnsi="Arial Narrow" w:hint="eastAsia"/>
              <w:sz w:val="21"/>
              <w:lang w:val="zh-CN"/>
            </w:rPr>
            <w:t>、与承租人有关的一方以及有经济能力履行担保义务的独立第三方向出租人提供的担保余值。</w:t>
          </w:r>
        </w:p>
        <w:p w14:paraId="204F7EAB" w14:textId="77777777" w:rsidR="002D0AE7" w:rsidRDefault="00333EBB">
          <w:pPr>
            <w:autoSpaceDE w:val="0"/>
            <w:autoSpaceDN w:val="0"/>
            <w:adjustRightInd w:val="0"/>
            <w:snapToGrid w:val="0"/>
            <w:ind w:firstLineChars="200" w:firstLine="420"/>
            <w:rPr>
              <w:rFonts w:ascii="Arial Narrow" w:hAnsi="Arial Narrow"/>
              <w:sz w:val="21"/>
              <w:lang w:val="zh-CN"/>
            </w:rPr>
          </w:pPr>
          <w:r>
            <w:rPr>
              <w:rFonts w:ascii="Arial Narrow" w:hAnsi="Arial Narrow" w:hint="eastAsia"/>
              <w:sz w:val="21"/>
              <w:lang w:val="zh-CN"/>
            </w:rPr>
            <w:t>（</w:t>
          </w:r>
          <w:r>
            <w:rPr>
              <w:rFonts w:ascii="Arial Narrow" w:hAnsi="Arial Narrow" w:hint="eastAsia"/>
              <w:sz w:val="21"/>
              <w:lang w:val="zh-CN"/>
            </w:rPr>
            <w:t>2</w:t>
          </w:r>
          <w:r>
            <w:rPr>
              <w:rFonts w:ascii="Arial Narrow" w:hAnsi="Arial Narrow" w:hint="eastAsia"/>
              <w:sz w:val="21"/>
              <w:lang w:val="zh-CN"/>
            </w:rPr>
            <w:t>）</w:t>
          </w:r>
          <w:r>
            <w:rPr>
              <w:rFonts w:ascii="Arial Narrow" w:hAnsi="Arial Narrow"/>
              <w:sz w:val="21"/>
              <w:lang w:val="zh-CN"/>
            </w:rPr>
            <w:t>后续计量</w:t>
          </w:r>
        </w:p>
        <w:p w14:paraId="24BB2D61" w14:textId="77777777" w:rsidR="002D0AE7" w:rsidRDefault="00333EBB">
          <w:pPr>
            <w:autoSpaceDE w:val="0"/>
            <w:autoSpaceDN w:val="0"/>
            <w:adjustRightInd w:val="0"/>
            <w:snapToGrid w:val="0"/>
            <w:ind w:firstLineChars="200" w:firstLine="420"/>
            <w:rPr>
              <w:rFonts w:ascii="Arial Narrow" w:hAnsi="Arial Narrow"/>
              <w:sz w:val="21"/>
              <w:lang w:val="zh-CN"/>
            </w:rPr>
          </w:pPr>
          <w:r>
            <w:rPr>
              <w:rFonts w:ascii="Arial Narrow" w:hAnsi="Arial Narrow" w:hint="eastAsia"/>
              <w:sz w:val="21"/>
              <w:lang w:val="zh-CN"/>
            </w:rPr>
            <w:t>本公司按照固定的周期性利率计算并确认租赁期内各个期间的利息收入。该周期性利率，是指确定租赁投资净额采用内含折现率（转租情况下，若转租的租赁内含利率无法确定，采用原租赁的折现率（根据与转租有关的初始直接费用进行调整）），或者融资租赁的变更未作为一项单独租赁进行会计处理，且满足假如变更在租赁开始日生效，该租赁会被分类为融资租赁条件时按相</w:t>
          </w:r>
          <w:r>
            <w:rPr>
              <w:rFonts w:ascii="Arial Narrow" w:hAnsi="Arial Narrow"/>
              <w:sz w:val="21"/>
              <w:lang w:val="zh-CN"/>
            </w:rPr>
            <w:t>关规定确定的修订后的折现率。</w:t>
          </w:r>
        </w:p>
        <w:p w14:paraId="3BC8B21D" w14:textId="77777777" w:rsidR="002D0AE7" w:rsidRDefault="00333EBB">
          <w:pPr>
            <w:autoSpaceDE w:val="0"/>
            <w:autoSpaceDN w:val="0"/>
            <w:adjustRightInd w:val="0"/>
            <w:snapToGrid w:val="0"/>
            <w:ind w:firstLineChars="200" w:firstLine="420"/>
            <w:rPr>
              <w:rFonts w:ascii="Arial Narrow" w:hAnsi="Arial Narrow"/>
              <w:sz w:val="21"/>
              <w:lang w:val="zh-CN"/>
            </w:rPr>
          </w:pPr>
          <w:r>
            <w:rPr>
              <w:rFonts w:ascii="Arial Narrow" w:hAnsi="Arial Narrow" w:hint="eastAsia"/>
              <w:sz w:val="21"/>
              <w:lang w:val="zh-CN"/>
            </w:rPr>
            <w:t>①</w:t>
          </w:r>
          <w:r>
            <w:rPr>
              <w:rFonts w:ascii="Arial Narrow" w:hAnsi="Arial Narrow"/>
              <w:sz w:val="21"/>
              <w:lang w:val="zh-CN"/>
            </w:rPr>
            <w:t>租赁变更的会计处理融资租赁发生变更且同时符合下列条件的，本公司将该变更作为一项单独租赁进行会计处理：</w:t>
          </w:r>
          <w:r>
            <w:rPr>
              <w:rFonts w:ascii="Arial Narrow" w:hAnsi="Arial Narrow" w:hint="eastAsia"/>
              <w:sz w:val="21"/>
              <w:lang w:val="zh-CN"/>
            </w:rPr>
            <w:t>②</w:t>
          </w:r>
          <w:r>
            <w:rPr>
              <w:rFonts w:ascii="Arial Narrow" w:hAnsi="Arial Narrow"/>
              <w:sz w:val="21"/>
              <w:lang w:val="zh-CN"/>
            </w:rPr>
            <w:t>该变更通过增加一项或多项租赁资产的使用权而扩大了租赁范围；</w:t>
          </w:r>
          <w:r>
            <w:rPr>
              <w:rFonts w:ascii="Arial Narrow" w:hAnsi="Arial Narrow" w:hint="eastAsia"/>
              <w:sz w:val="21"/>
              <w:lang w:val="zh-CN"/>
            </w:rPr>
            <w:t>③</w:t>
          </w:r>
          <w:r>
            <w:rPr>
              <w:rFonts w:ascii="Arial Narrow" w:hAnsi="Arial Narrow"/>
              <w:sz w:val="21"/>
              <w:lang w:val="zh-CN"/>
            </w:rPr>
            <w:t>增加的</w:t>
          </w:r>
          <w:r>
            <w:rPr>
              <w:rFonts w:ascii="Arial Narrow" w:hAnsi="Arial Narrow" w:hint="eastAsia"/>
              <w:sz w:val="21"/>
              <w:lang w:val="zh-CN"/>
            </w:rPr>
            <w:t>对</w:t>
          </w:r>
          <w:r>
            <w:rPr>
              <w:rFonts w:ascii="Arial Narrow" w:hAnsi="Arial Narrow"/>
              <w:sz w:val="21"/>
              <w:lang w:val="zh-CN"/>
            </w:rPr>
            <w:t>价与租赁范围扩大部分的单独价格按该合同情况调整后的金额相当。</w:t>
          </w:r>
        </w:p>
        <w:p w14:paraId="1D65CE24" w14:textId="77777777" w:rsidR="002D0AE7" w:rsidRDefault="00333EBB">
          <w:pPr>
            <w:autoSpaceDE w:val="0"/>
            <w:autoSpaceDN w:val="0"/>
            <w:adjustRightInd w:val="0"/>
            <w:snapToGrid w:val="0"/>
            <w:ind w:firstLineChars="200" w:firstLine="420"/>
            <w:rPr>
              <w:rFonts w:ascii="Arial Narrow" w:hAnsi="Arial Narrow"/>
              <w:sz w:val="21"/>
              <w:lang w:val="zh-CN"/>
            </w:rPr>
          </w:pPr>
          <w:r>
            <w:rPr>
              <w:rFonts w:ascii="Arial Narrow" w:hAnsi="Arial Narrow" w:hint="eastAsia"/>
              <w:sz w:val="21"/>
              <w:lang w:val="zh-CN"/>
            </w:rPr>
            <w:t>如果融资租赁的变更未作为一项单独租赁进行会计处理，且满足假如变更在租赁开始日生效，</w:t>
          </w:r>
          <w:r>
            <w:rPr>
              <w:rFonts w:ascii="Arial Narrow" w:hAnsi="Arial Narrow"/>
              <w:sz w:val="21"/>
              <w:lang w:val="zh-CN"/>
            </w:rPr>
            <w:t>该租赁会被分类为经营租赁条件的，本公司自租赁变更生效日开始将其作为一项新租赁进行会计处理，并以租赁变更生效日前的租赁投资净额作为租赁资产的账面价值。</w:t>
          </w:r>
        </w:p>
        <w:p w14:paraId="65A1F91E" w14:textId="77777777" w:rsidR="002D0AE7" w:rsidRDefault="00333EBB">
          <w:pPr>
            <w:autoSpaceDE w:val="0"/>
            <w:autoSpaceDN w:val="0"/>
            <w:adjustRightInd w:val="0"/>
            <w:snapToGrid w:val="0"/>
            <w:ind w:firstLineChars="200" w:firstLine="422"/>
            <w:rPr>
              <w:rFonts w:ascii="Arial Narrow" w:hAnsi="Arial Narrow"/>
              <w:b/>
              <w:bCs/>
              <w:sz w:val="21"/>
              <w:lang w:val="zh-CN"/>
            </w:rPr>
          </w:pPr>
          <w:r>
            <w:rPr>
              <w:rFonts w:ascii="Arial Narrow" w:hAnsi="Arial Narrow" w:hint="eastAsia"/>
              <w:b/>
              <w:sz w:val="21"/>
              <w:lang w:val="zh-CN"/>
            </w:rPr>
            <w:t>4</w:t>
          </w:r>
          <w:r>
            <w:rPr>
              <w:rFonts w:ascii="Arial Narrow" w:hAnsi="Arial Narrow" w:hint="eastAsia"/>
              <w:b/>
              <w:sz w:val="21"/>
              <w:lang w:val="zh-CN"/>
            </w:rPr>
            <w:t>、</w:t>
          </w:r>
          <w:r>
            <w:rPr>
              <w:rFonts w:ascii="Arial Narrow" w:hAnsi="Arial Narrow"/>
              <w:b/>
              <w:sz w:val="21"/>
              <w:lang w:val="zh-CN"/>
            </w:rPr>
            <w:t>经营租赁的会计处理</w:t>
          </w:r>
        </w:p>
        <w:p w14:paraId="11DEDD07" w14:textId="77777777" w:rsidR="002D0AE7" w:rsidRDefault="00333EBB">
          <w:pPr>
            <w:autoSpaceDE w:val="0"/>
            <w:autoSpaceDN w:val="0"/>
            <w:adjustRightInd w:val="0"/>
            <w:snapToGrid w:val="0"/>
            <w:ind w:firstLineChars="200" w:firstLine="420"/>
            <w:rPr>
              <w:rFonts w:ascii="Arial Narrow" w:hAnsi="Arial Narrow"/>
              <w:sz w:val="21"/>
              <w:lang w:val="zh-CN"/>
            </w:rPr>
          </w:pPr>
          <w:r>
            <w:rPr>
              <w:rFonts w:ascii="Arial Narrow" w:hAnsi="Arial Narrow" w:hint="eastAsia"/>
              <w:sz w:val="21"/>
              <w:lang w:val="zh-CN"/>
            </w:rPr>
            <w:t>（</w:t>
          </w:r>
          <w:r>
            <w:rPr>
              <w:rFonts w:ascii="Arial Narrow" w:hAnsi="Arial Narrow" w:hint="eastAsia"/>
              <w:sz w:val="21"/>
              <w:lang w:val="zh-CN"/>
            </w:rPr>
            <w:t>1</w:t>
          </w:r>
          <w:r>
            <w:rPr>
              <w:rFonts w:ascii="Arial Narrow" w:hAnsi="Arial Narrow" w:hint="eastAsia"/>
              <w:sz w:val="21"/>
              <w:lang w:val="zh-CN"/>
            </w:rPr>
            <w:t>）</w:t>
          </w:r>
          <w:r>
            <w:rPr>
              <w:rFonts w:ascii="Arial Narrow" w:hAnsi="Arial Narrow"/>
              <w:sz w:val="21"/>
              <w:lang w:val="zh-CN"/>
            </w:rPr>
            <w:t>租金的处理</w:t>
          </w:r>
        </w:p>
        <w:p w14:paraId="2DD202F3" w14:textId="77777777" w:rsidR="002D0AE7" w:rsidRDefault="00333EBB">
          <w:pPr>
            <w:autoSpaceDE w:val="0"/>
            <w:autoSpaceDN w:val="0"/>
            <w:adjustRightInd w:val="0"/>
            <w:snapToGrid w:val="0"/>
            <w:ind w:firstLineChars="200" w:firstLine="420"/>
            <w:rPr>
              <w:rFonts w:ascii="Arial Narrow" w:hAnsi="Arial Narrow"/>
              <w:sz w:val="21"/>
              <w:lang w:val="zh-CN"/>
            </w:rPr>
          </w:pPr>
          <w:r>
            <w:rPr>
              <w:rFonts w:ascii="Arial Narrow" w:hAnsi="Arial Narrow" w:hint="eastAsia"/>
              <w:sz w:val="21"/>
              <w:lang w:val="zh-CN"/>
            </w:rPr>
            <w:t>在租赁期内各个期间，本公司采用直线法将经营租赁的租赁收款额确认为租金收入。</w:t>
          </w:r>
        </w:p>
        <w:p w14:paraId="6CC800F6" w14:textId="77777777" w:rsidR="002D0AE7" w:rsidRDefault="00333EBB">
          <w:pPr>
            <w:autoSpaceDE w:val="0"/>
            <w:autoSpaceDN w:val="0"/>
            <w:adjustRightInd w:val="0"/>
            <w:snapToGrid w:val="0"/>
            <w:ind w:firstLineChars="200" w:firstLine="420"/>
            <w:rPr>
              <w:rFonts w:ascii="Arial Narrow" w:hAnsi="Arial Narrow"/>
              <w:sz w:val="21"/>
              <w:lang w:val="zh-CN"/>
            </w:rPr>
          </w:pPr>
          <w:r>
            <w:rPr>
              <w:rFonts w:ascii="Arial Narrow" w:hAnsi="Arial Narrow" w:hint="eastAsia"/>
              <w:sz w:val="21"/>
              <w:lang w:val="zh-CN"/>
            </w:rPr>
            <w:t>（</w:t>
          </w:r>
          <w:r>
            <w:rPr>
              <w:rFonts w:ascii="Arial Narrow" w:hAnsi="Arial Narrow" w:hint="eastAsia"/>
              <w:sz w:val="21"/>
              <w:lang w:val="zh-CN"/>
            </w:rPr>
            <w:t>2</w:t>
          </w:r>
          <w:r>
            <w:rPr>
              <w:rFonts w:ascii="Arial Narrow" w:hAnsi="Arial Narrow" w:hint="eastAsia"/>
              <w:sz w:val="21"/>
              <w:lang w:val="zh-CN"/>
            </w:rPr>
            <w:t>）</w:t>
          </w:r>
          <w:r>
            <w:rPr>
              <w:rFonts w:ascii="Arial Narrow" w:hAnsi="Arial Narrow"/>
              <w:sz w:val="21"/>
              <w:lang w:val="zh-CN"/>
            </w:rPr>
            <w:t>提供的激励措施</w:t>
          </w:r>
        </w:p>
        <w:p w14:paraId="4FD9D1A8" w14:textId="77777777" w:rsidR="002D0AE7" w:rsidRDefault="00333EBB">
          <w:pPr>
            <w:autoSpaceDE w:val="0"/>
            <w:autoSpaceDN w:val="0"/>
            <w:adjustRightInd w:val="0"/>
            <w:snapToGrid w:val="0"/>
            <w:ind w:firstLineChars="200" w:firstLine="420"/>
            <w:rPr>
              <w:rFonts w:ascii="Arial Narrow" w:hAnsi="Arial Narrow"/>
              <w:sz w:val="21"/>
              <w:lang w:val="zh-CN"/>
            </w:rPr>
          </w:pPr>
          <w:r>
            <w:rPr>
              <w:rFonts w:ascii="Arial Narrow" w:hAnsi="Arial Narrow" w:hint="eastAsia"/>
              <w:sz w:val="21"/>
              <w:lang w:val="zh-CN"/>
            </w:rPr>
            <w:t>提供免租期的，本公司将租金总额在不扣除免租期的整个租赁期内，按直线法进行分配，免</w:t>
          </w:r>
          <w:r>
            <w:rPr>
              <w:rFonts w:ascii="Arial Narrow" w:hAnsi="Arial Narrow"/>
              <w:sz w:val="21"/>
              <w:lang w:val="zh-CN"/>
            </w:rPr>
            <w:t>租期内应当确认租金收入。本公司承担了承租人某些费用的，将该费用自租金收入总额中扣除，按扣除后的租金收入余额在租赁期内进行分配。</w:t>
          </w:r>
        </w:p>
        <w:p w14:paraId="724CF045" w14:textId="77777777" w:rsidR="002D0AE7" w:rsidRDefault="00333EBB">
          <w:pPr>
            <w:autoSpaceDE w:val="0"/>
            <w:autoSpaceDN w:val="0"/>
            <w:adjustRightInd w:val="0"/>
            <w:snapToGrid w:val="0"/>
            <w:ind w:firstLineChars="200" w:firstLine="420"/>
            <w:rPr>
              <w:rFonts w:ascii="Arial Narrow" w:hAnsi="Arial Narrow"/>
              <w:sz w:val="21"/>
              <w:lang w:val="zh-CN"/>
            </w:rPr>
          </w:pPr>
          <w:r>
            <w:rPr>
              <w:rFonts w:ascii="Arial Narrow" w:hAnsi="Arial Narrow" w:hint="eastAsia"/>
              <w:sz w:val="21"/>
              <w:lang w:val="zh-CN"/>
            </w:rPr>
            <w:t>（</w:t>
          </w:r>
          <w:r>
            <w:rPr>
              <w:rFonts w:ascii="Arial Narrow" w:hAnsi="Arial Narrow" w:hint="eastAsia"/>
              <w:sz w:val="21"/>
              <w:lang w:val="zh-CN"/>
            </w:rPr>
            <w:t>3</w:t>
          </w:r>
          <w:r>
            <w:rPr>
              <w:rFonts w:ascii="Arial Narrow" w:hAnsi="Arial Narrow" w:hint="eastAsia"/>
              <w:sz w:val="21"/>
              <w:lang w:val="zh-CN"/>
            </w:rPr>
            <w:t>）</w:t>
          </w:r>
          <w:r>
            <w:rPr>
              <w:rFonts w:ascii="Arial Narrow" w:hAnsi="Arial Narrow"/>
              <w:sz w:val="21"/>
              <w:lang w:val="zh-CN"/>
            </w:rPr>
            <w:t>初始直接费用</w:t>
          </w:r>
        </w:p>
        <w:p w14:paraId="0CAA89E5" w14:textId="77777777" w:rsidR="002D0AE7" w:rsidRDefault="00333EBB">
          <w:pPr>
            <w:autoSpaceDE w:val="0"/>
            <w:autoSpaceDN w:val="0"/>
            <w:adjustRightInd w:val="0"/>
            <w:snapToGrid w:val="0"/>
            <w:ind w:firstLineChars="200" w:firstLine="420"/>
            <w:rPr>
              <w:rFonts w:ascii="Arial Narrow" w:hAnsi="Arial Narrow"/>
              <w:sz w:val="21"/>
              <w:lang w:val="zh-CN"/>
            </w:rPr>
          </w:pPr>
          <w:r>
            <w:rPr>
              <w:rFonts w:ascii="Arial Narrow" w:hAnsi="Arial Narrow" w:hint="eastAsia"/>
              <w:sz w:val="21"/>
              <w:lang w:val="zh-CN"/>
            </w:rPr>
            <w:t>本公司发生的与经营租赁有关的初始直接费用应当资本化至租赁标的资产的成本，在租赁期</w:t>
          </w:r>
          <w:r>
            <w:rPr>
              <w:rFonts w:ascii="Arial Narrow" w:hAnsi="Arial Narrow"/>
              <w:sz w:val="21"/>
              <w:lang w:val="zh-CN"/>
            </w:rPr>
            <w:t>内按照与租金收入相同的确认基础分期计入当期损益。</w:t>
          </w:r>
        </w:p>
        <w:p w14:paraId="0578CF5E" w14:textId="77777777" w:rsidR="002D0AE7" w:rsidRDefault="00333EBB">
          <w:pPr>
            <w:autoSpaceDE w:val="0"/>
            <w:autoSpaceDN w:val="0"/>
            <w:adjustRightInd w:val="0"/>
            <w:snapToGrid w:val="0"/>
            <w:ind w:firstLineChars="200" w:firstLine="420"/>
            <w:rPr>
              <w:rFonts w:ascii="Arial Narrow" w:hAnsi="Arial Narrow"/>
              <w:sz w:val="21"/>
              <w:lang w:val="zh-CN"/>
            </w:rPr>
          </w:pPr>
          <w:r>
            <w:rPr>
              <w:rFonts w:ascii="Arial Narrow" w:hAnsi="Arial Narrow" w:hint="eastAsia"/>
              <w:sz w:val="21"/>
              <w:lang w:val="zh-CN"/>
            </w:rPr>
            <w:t>（</w:t>
          </w:r>
          <w:r>
            <w:rPr>
              <w:rFonts w:ascii="Arial Narrow" w:hAnsi="Arial Narrow" w:hint="eastAsia"/>
              <w:sz w:val="21"/>
              <w:lang w:val="zh-CN"/>
            </w:rPr>
            <w:t>4</w:t>
          </w:r>
          <w:r>
            <w:rPr>
              <w:rFonts w:ascii="Arial Narrow" w:hAnsi="Arial Narrow" w:hint="eastAsia"/>
              <w:sz w:val="21"/>
              <w:lang w:val="zh-CN"/>
            </w:rPr>
            <w:t>）</w:t>
          </w:r>
          <w:r>
            <w:rPr>
              <w:rFonts w:ascii="Arial Narrow" w:hAnsi="Arial Narrow"/>
              <w:sz w:val="21"/>
              <w:lang w:val="zh-CN"/>
            </w:rPr>
            <w:t>折旧</w:t>
          </w:r>
        </w:p>
        <w:p w14:paraId="06B7ECF8" w14:textId="77777777" w:rsidR="002D0AE7" w:rsidRDefault="00333EBB">
          <w:pPr>
            <w:autoSpaceDE w:val="0"/>
            <w:autoSpaceDN w:val="0"/>
            <w:adjustRightInd w:val="0"/>
            <w:snapToGrid w:val="0"/>
            <w:ind w:firstLineChars="200" w:firstLine="420"/>
            <w:rPr>
              <w:rFonts w:ascii="Arial Narrow" w:hAnsi="Arial Narrow"/>
              <w:sz w:val="21"/>
              <w:lang w:val="zh-CN"/>
            </w:rPr>
          </w:pPr>
          <w:r>
            <w:rPr>
              <w:rFonts w:ascii="Arial Narrow" w:hAnsi="Arial Narrow" w:hint="eastAsia"/>
              <w:sz w:val="21"/>
              <w:lang w:val="zh-CN"/>
            </w:rPr>
            <w:t>对于经营租赁资产中的固定资产，本公司采用类似资产的折旧政策计提折旧；对于其他经营租赁资产，采用系统合理的方法进行摊销。</w:t>
          </w:r>
        </w:p>
        <w:p w14:paraId="590A92D3" w14:textId="77777777" w:rsidR="002D0AE7" w:rsidRDefault="00333EBB">
          <w:pPr>
            <w:autoSpaceDE w:val="0"/>
            <w:autoSpaceDN w:val="0"/>
            <w:adjustRightInd w:val="0"/>
            <w:snapToGrid w:val="0"/>
            <w:ind w:firstLineChars="200" w:firstLine="420"/>
            <w:rPr>
              <w:rFonts w:ascii="Arial Narrow" w:hAnsi="Arial Narrow"/>
              <w:sz w:val="21"/>
              <w:lang w:val="zh-CN"/>
            </w:rPr>
          </w:pPr>
          <w:r>
            <w:rPr>
              <w:rFonts w:ascii="Arial Narrow" w:hAnsi="Arial Narrow" w:hint="eastAsia"/>
              <w:sz w:val="21"/>
              <w:lang w:val="zh-CN"/>
            </w:rPr>
            <w:t>（</w:t>
          </w:r>
          <w:r>
            <w:rPr>
              <w:rFonts w:ascii="Arial Narrow" w:hAnsi="Arial Narrow" w:hint="eastAsia"/>
              <w:sz w:val="21"/>
              <w:lang w:val="zh-CN"/>
            </w:rPr>
            <w:t>5</w:t>
          </w:r>
          <w:r>
            <w:rPr>
              <w:rFonts w:ascii="Arial Narrow" w:hAnsi="Arial Narrow" w:hint="eastAsia"/>
              <w:sz w:val="21"/>
              <w:lang w:val="zh-CN"/>
            </w:rPr>
            <w:t>）</w:t>
          </w:r>
          <w:r>
            <w:rPr>
              <w:rFonts w:ascii="Arial Narrow" w:hAnsi="Arial Narrow"/>
              <w:sz w:val="21"/>
              <w:lang w:val="zh-CN"/>
            </w:rPr>
            <w:t>可变租赁付款额</w:t>
          </w:r>
        </w:p>
        <w:p w14:paraId="05AF935B" w14:textId="77777777" w:rsidR="002D0AE7" w:rsidRDefault="00333EBB">
          <w:pPr>
            <w:autoSpaceDE w:val="0"/>
            <w:autoSpaceDN w:val="0"/>
            <w:adjustRightInd w:val="0"/>
            <w:snapToGrid w:val="0"/>
            <w:ind w:firstLineChars="200" w:firstLine="420"/>
            <w:rPr>
              <w:rFonts w:ascii="Arial Narrow" w:hAnsi="Arial Narrow"/>
              <w:sz w:val="21"/>
              <w:lang w:val="zh-CN"/>
            </w:rPr>
          </w:pPr>
          <w:r>
            <w:rPr>
              <w:rFonts w:ascii="Arial Narrow" w:hAnsi="Arial Narrow" w:hint="eastAsia"/>
              <w:sz w:val="21"/>
              <w:lang w:val="zh-CN"/>
            </w:rPr>
            <w:t>本公司取得的与经营租赁有关的未计入租赁收款额的可变租赁付款额</w:t>
          </w:r>
          <w:r>
            <w:rPr>
              <w:rFonts w:ascii="Arial Narrow" w:hAnsi="Arial Narrow"/>
              <w:sz w:val="21"/>
              <w:lang w:val="zh-CN"/>
            </w:rPr>
            <w:t>,</w:t>
          </w:r>
          <w:r>
            <w:rPr>
              <w:rFonts w:ascii="Arial Narrow" w:hAnsi="Arial Narrow"/>
              <w:sz w:val="21"/>
              <w:lang w:val="zh-CN"/>
            </w:rPr>
            <w:t>在实际发生时计入当期损益。</w:t>
          </w:r>
        </w:p>
        <w:p w14:paraId="3BB4B059" w14:textId="77777777" w:rsidR="002D0AE7" w:rsidRDefault="00333EBB">
          <w:pPr>
            <w:autoSpaceDE w:val="0"/>
            <w:autoSpaceDN w:val="0"/>
            <w:adjustRightInd w:val="0"/>
            <w:snapToGrid w:val="0"/>
            <w:ind w:firstLineChars="200" w:firstLine="420"/>
            <w:rPr>
              <w:rFonts w:ascii="Arial Narrow" w:hAnsi="Arial Narrow"/>
              <w:sz w:val="21"/>
              <w:lang w:val="zh-CN"/>
            </w:rPr>
          </w:pPr>
          <w:r>
            <w:rPr>
              <w:rFonts w:ascii="Arial Narrow" w:hAnsi="Arial Narrow" w:hint="eastAsia"/>
              <w:sz w:val="21"/>
              <w:lang w:val="zh-CN"/>
            </w:rPr>
            <w:t>（</w:t>
          </w:r>
          <w:r>
            <w:rPr>
              <w:rFonts w:ascii="Arial Narrow" w:hAnsi="Arial Narrow" w:hint="eastAsia"/>
              <w:sz w:val="21"/>
              <w:lang w:val="zh-CN"/>
            </w:rPr>
            <w:t>6</w:t>
          </w:r>
          <w:r>
            <w:rPr>
              <w:rFonts w:ascii="Arial Narrow" w:hAnsi="Arial Narrow" w:hint="eastAsia"/>
              <w:sz w:val="21"/>
              <w:lang w:val="zh-CN"/>
            </w:rPr>
            <w:t>）</w:t>
          </w:r>
          <w:r>
            <w:rPr>
              <w:rFonts w:ascii="Arial Narrow" w:hAnsi="Arial Narrow"/>
              <w:sz w:val="21"/>
              <w:lang w:val="zh-CN"/>
            </w:rPr>
            <w:t>经营租赁的变更</w:t>
          </w:r>
        </w:p>
        <w:p w14:paraId="1DDE1935" w14:textId="77777777" w:rsidR="002D0AE7" w:rsidRDefault="00333EBB">
          <w:pPr>
            <w:autoSpaceDE w:val="0"/>
            <w:autoSpaceDN w:val="0"/>
            <w:adjustRightInd w:val="0"/>
            <w:snapToGrid w:val="0"/>
            <w:ind w:firstLineChars="200" w:firstLine="420"/>
            <w:rPr>
              <w:rFonts w:hint="eastAsia"/>
              <w:sz w:val="21"/>
            </w:rPr>
          </w:pPr>
          <w:r>
            <w:rPr>
              <w:rFonts w:ascii="Arial Narrow" w:hAnsi="Arial Narrow" w:hint="eastAsia"/>
              <w:sz w:val="21"/>
              <w:lang w:val="zh-CN"/>
            </w:rPr>
            <w:t>经营租赁发生变更的，本公司自变更生效日开始，将其作为一项新的租赁进行会计处理，与变更前租赁有关的预收或应收租赁收款额视为新租赁的收款额。</w:t>
          </w:r>
        </w:p>
      </w:sdtContent>
    </w:sdt>
    <w:p w14:paraId="6C79B5AE" w14:textId="77777777" w:rsidR="002D0AE7" w:rsidRDefault="00333EBB">
      <w:pPr>
        <w:rPr>
          <w:rFonts w:ascii="Calibri" w:hAnsi="Calibri" w:cs="Times New Roman"/>
          <w:b/>
          <w:color w:val="000000" w:themeColor="text1"/>
          <w:kern w:val="2"/>
          <w:szCs w:val="32"/>
        </w:rPr>
      </w:pPr>
      <w:r>
        <w:rPr>
          <w:rFonts w:ascii="Calibri" w:hAnsi="Calibri" w:cs="Times New Roman"/>
          <w:b/>
          <w:color w:val="000000" w:themeColor="text1"/>
          <w:kern w:val="2"/>
          <w:szCs w:val="32"/>
        </w:rPr>
        <w:t>作为出租方的租赁分类标准和会计处理方法</w:t>
      </w:r>
    </w:p>
    <w:sdt>
      <w:sdtPr>
        <w:rPr>
          <w:color w:val="000000" w:themeColor="text1"/>
        </w:rPr>
        <w:alias w:val="是否适用：作为出租方的租赁分类标准和会计处理方法[双击切换]"/>
        <w:tag w:val="_GBC_5f67d3c5f08047cab6976824f73e97e9"/>
        <w:id w:val="-1411685489"/>
        <w:placeholder>
          <w:docPart w:val="GBC22222222222222222222222222222"/>
        </w:placeholder>
      </w:sdtPr>
      <w:sdtEndPr/>
      <w:sdtContent>
        <w:p w14:paraId="143BD398"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作为出租方的租赁分类标准和会计处理方法"/>
        <w:tag w:val="_GBC_32ac25e0a5c442ef8da612bad391098d"/>
        <w:id w:val="-1250267104"/>
        <w:placeholder>
          <w:docPart w:val="GBC22222222222222222222222222222"/>
        </w:placeholder>
      </w:sdtPr>
      <w:sdtEndPr>
        <w:rPr>
          <w:color w:val="auto"/>
          <w:sz w:val="21"/>
        </w:rPr>
      </w:sdtEndPr>
      <w:sdtContent>
        <w:p w14:paraId="5631199A" w14:textId="77777777" w:rsidR="002D0AE7" w:rsidRDefault="00333EBB">
          <w:pPr>
            <w:autoSpaceDE w:val="0"/>
            <w:autoSpaceDN w:val="0"/>
            <w:adjustRightInd w:val="0"/>
            <w:snapToGrid w:val="0"/>
            <w:ind w:firstLineChars="200" w:firstLine="480"/>
            <w:rPr>
              <w:rFonts w:ascii="Arial Narrow" w:hAnsi="Arial Narrow"/>
              <w:b/>
              <w:bCs/>
              <w:sz w:val="21"/>
              <w:lang w:val="zh-CN"/>
            </w:rPr>
          </w:pPr>
          <w:r>
            <w:rPr>
              <w:rFonts w:ascii="Arial Narrow" w:hAnsi="Arial Narrow" w:hint="eastAsia"/>
              <w:b/>
              <w:sz w:val="21"/>
              <w:lang w:val="zh-CN"/>
            </w:rPr>
            <w:t>5</w:t>
          </w:r>
          <w:r>
            <w:rPr>
              <w:rFonts w:ascii="Arial Narrow" w:hAnsi="Arial Narrow" w:hint="eastAsia"/>
              <w:b/>
              <w:sz w:val="21"/>
              <w:lang w:val="zh-CN"/>
            </w:rPr>
            <w:t>、本公司为出租人</w:t>
          </w:r>
        </w:p>
        <w:p w14:paraId="34B0094E" w14:textId="77777777" w:rsidR="002D0AE7" w:rsidRDefault="00333EBB">
          <w:pPr>
            <w:autoSpaceDE w:val="0"/>
            <w:autoSpaceDN w:val="0"/>
            <w:adjustRightInd w:val="0"/>
            <w:snapToGrid w:val="0"/>
            <w:ind w:firstLineChars="200" w:firstLine="420"/>
            <w:rPr>
              <w:rFonts w:ascii="Arial Narrow" w:hAnsi="Arial Narrow"/>
              <w:sz w:val="21"/>
              <w:lang w:val="zh-CN"/>
            </w:rPr>
          </w:pPr>
          <w:r>
            <w:rPr>
              <w:rFonts w:ascii="Arial Narrow" w:hAnsi="Arial Narrow" w:hint="eastAsia"/>
              <w:sz w:val="21"/>
              <w:lang w:val="zh-CN"/>
            </w:rPr>
            <w:t>在</w:t>
          </w:r>
          <w:r>
            <w:rPr>
              <w:rFonts w:ascii="Arial Narrow" w:hAnsi="Arial Narrow" w:hint="eastAsia"/>
              <w:sz w:val="21"/>
              <w:lang w:val="zh-CN"/>
            </w:rPr>
            <w:t>2</w:t>
          </w:r>
          <w:r>
            <w:rPr>
              <w:rFonts w:ascii="Arial Narrow" w:hAnsi="Arial Narrow"/>
              <w:sz w:val="21"/>
              <w:lang w:val="zh-CN"/>
            </w:rPr>
            <w:t>9</w:t>
          </w:r>
          <w:r>
            <w:rPr>
              <w:rFonts w:ascii="Arial Narrow" w:hAnsi="Arial Narrow" w:hint="eastAsia"/>
              <w:sz w:val="21"/>
              <w:lang w:val="zh-CN"/>
            </w:rPr>
            <w:t>.1</w:t>
          </w:r>
          <w:r>
            <w:rPr>
              <w:rFonts w:ascii="Arial Narrow" w:hAnsi="Arial Narrow"/>
              <w:sz w:val="21"/>
              <w:lang w:val="zh-CN"/>
            </w:rPr>
            <w:t>评估的该合同为租赁或包含租赁的基础上，本公司作为出租人，在租赁开始日，将租赁分为融资租赁和经营租赁。</w:t>
          </w:r>
        </w:p>
        <w:p w14:paraId="6061BF70" w14:textId="77777777" w:rsidR="002D0AE7" w:rsidRDefault="00333EBB">
          <w:pPr>
            <w:autoSpaceDE w:val="0"/>
            <w:autoSpaceDN w:val="0"/>
            <w:adjustRightInd w:val="0"/>
            <w:snapToGrid w:val="0"/>
            <w:ind w:firstLineChars="200" w:firstLine="420"/>
            <w:rPr>
              <w:rFonts w:ascii="Arial Narrow" w:hAnsi="Arial Narrow"/>
              <w:sz w:val="21"/>
              <w:lang w:val="zh-CN"/>
            </w:rPr>
          </w:pPr>
          <w:r>
            <w:rPr>
              <w:rFonts w:ascii="Arial Narrow" w:hAnsi="Arial Narrow" w:hint="eastAsia"/>
              <w:sz w:val="21"/>
              <w:lang w:val="zh-CN"/>
            </w:rPr>
            <w:t>如果一项租赁实质上转移了与租赁资产所有权有关的几乎全部风险和报酬，出租人将该项租</w:t>
          </w:r>
          <w:r>
            <w:rPr>
              <w:rFonts w:ascii="Arial Narrow" w:hAnsi="Arial Narrow"/>
              <w:sz w:val="21"/>
              <w:lang w:val="zh-CN"/>
            </w:rPr>
            <w:t>赁分类为融资租赁，除融资租赁以外的其他租赁分类为经营租赁。</w:t>
          </w:r>
        </w:p>
        <w:p w14:paraId="20FA1E2E" w14:textId="77777777" w:rsidR="002D0AE7" w:rsidRDefault="00333EBB">
          <w:pPr>
            <w:autoSpaceDE w:val="0"/>
            <w:autoSpaceDN w:val="0"/>
            <w:adjustRightInd w:val="0"/>
            <w:snapToGrid w:val="0"/>
            <w:ind w:firstLineChars="200" w:firstLine="420"/>
            <w:rPr>
              <w:rFonts w:hint="eastAsia"/>
              <w:sz w:val="21"/>
            </w:rPr>
          </w:pPr>
          <w:r>
            <w:rPr>
              <w:rFonts w:ascii="Arial Narrow" w:hAnsi="Arial Narrow"/>
              <w:sz w:val="21"/>
              <w:lang w:val="zh-CN"/>
            </w:rPr>
            <w:t>一项租赁存在下列一种或多种情形的，本公司通常将其分类为融资租赁：</w:t>
          </w:r>
          <w:r>
            <w:rPr>
              <w:rFonts w:ascii="Arial Narrow" w:hAnsi="Arial Narrow" w:hint="eastAsia"/>
              <w:sz w:val="21"/>
              <w:lang w:val="zh-CN"/>
            </w:rPr>
            <w:t>①</w:t>
          </w:r>
          <w:r>
            <w:rPr>
              <w:rFonts w:ascii="Arial Narrow" w:hAnsi="Arial Narrow"/>
              <w:sz w:val="21"/>
              <w:lang w:val="zh-CN"/>
            </w:rPr>
            <w:t>在租赁期届满时，租赁资产的所有权转移给承租人；</w:t>
          </w:r>
          <w:r>
            <w:rPr>
              <w:rFonts w:ascii="Arial Narrow" w:hAnsi="Arial Narrow" w:hint="eastAsia"/>
              <w:sz w:val="21"/>
              <w:lang w:val="zh-CN"/>
            </w:rPr>
            <w:t>②</w:t>
          </w:r>
          <w:r>
            <w:rPr>
              <w:rFonts w:ascii="Arial Narrow" w:hAnsi="Arial Narrow"/>
              <w:sz w:val="21"/>
              <w:lang w:val="zh-CN"/>
            </w:rPr>
            <w:t>承租人有购买租赁资产的选择权，所订立的购买价款与</w:t>
          </w:r>
          <w:r>
            <w:rPr>
              <w:rFonts w:ascii="Arial Narrow" w:hAnsi="Arial Narrow"/>
              <w:sz w:val="21"/>
              <w:lang w:val="zh-CN"/>
            </w:rPr>
            <w:lastRenderedPageBreak/>
            <w:t>预计行使选择权时租赁资产的公允价值相比足够低，因而在租赁开始日就可以合理确定承租人将行使该选择权；</w:t>
          </w:r>
          <w:r>
            <w:rPr>
              <w:rFonts w:ascii="Arial Narrow" w:hAnsi="Arial Narrow" w:hint="eastAsia"/>
              <w:sz w:val="21"/>
              <w:lang w:val="zh-CN"/>
            </w:rPr>
            <w:t>③</w:t>
          </w:r>
          <w:r>
            <w:rPr>
              <w:rFonts w:ascii="Arial Narrow" w:hAnsi="Arial Narrow"/>
              <w:sz w:val="21"/>
              <w:lang w:val="zh-CN"/>
            </w:rPr>
            <w:t>资产的所有权虽然不转移，但租赁期占租赁资产使用寿命的大部分（不低于租赁资产使用寿命的</w:t>
          </w:r>
          <w:r>
            <w:rPr>
              <w:rFonts w:ascii="Arial Narrow" w:hAnsi="Arial Narrow"/>
              <w:sz w:val="21"/>
              <w:lang w:val="zh-CN"/>
            </w:rPr>
            <w:t>75%</w:t>
          </w:r>
          <w:r>
            <w:rPr>
              <w:rFonts w:ascii="Arial Narrow" w:hAnsi="Arial Narrow"/>
              <w:sz w:val="21"/>
              <w:lang w:val="zh-CN"/>
            </w:rPr>
            <w:t>）；</w:t>
          </w:r>
          <w:r>
            <w:rPr>
              <w:rFonts w:ascii="Arial Narrow" w:hAnsi="Arial Narrow" w:hint="eastAsia"/>
              <w:sz w:val="21"/>
              <w:lang w:val="zh-CN"/>
            </w:rPr>
            <w:t>④</w:t>
          </w:r>
          <w:r>
            <w:rPr>
              <w:rFonts w:ascii="Arial Narrow" w:hAnsi="Arial Narrow"/>
              <w:sz w:val="21"/>
              <w:lang w:val="zh-CN"/>
            </w:rPr>
            <w:t>在租赁开始日，租赁收款额的现值几乎相当于租赁资产的公允价值（不低于租赁资产公允价值的</w:t>
          </w:r>
          <w:r>
            <w:rPr>
              <w:rFonts w:ascii="Arial Narrow" w:hAnsi="Arial Narrow"/>
              <w:sz w:val="21"/>
              <w:lang w:val="zh-CN"/>
            </w:rPr>
            <w:t>90%</w:t>
          </w:r>
          <w:r>
            <w:rPr>
              <w:rFonts w:ascii="Arial Narrow" w:hAnsi="Arial Narrow"/>
              <w:sz w:val="21"/>
              <w:lang w:val="zh-CN"/>
            </w:rPr>
            <w:t>）；</w:t>
          </w:r>
          <w:r>
            <w:rPr>
              <w:rFonts w:ascii="Arial Narrow" w:hAnsi="Arial Narrow" w:hint="eastAsia"/>
              <w:sz w:val="21"/>
              <w:lang w:val="zh-CN"/>
            </w:rPr>
            <w:t>⑤</w:t>
          </w:r>
          <w:r>
            <w:rPr>
              <w:rFonts w:ascii="Arial Narrow" w:hAnsi="Arial Narrow"/>
              <w:sz w:val="21"/>
              <w:lang w:val="zh-CN"/>
            </w:rPr>
            <w:t>租赁资产性质特殊，如果不作较大改造，只有承租</w:t>
          </w:r>
          <w:r>
            <w:rPr>
              <w:rFonts w:ascii="Arial Narrow" w:hAnsi="Arial Narrow" w:hint="eastAsia"/>
              <w:sz w:val="21"/>
              <w:lang w:val="zh-CN"/>
            </w:rPr>
            <w:t>人才能使用。</w:t>
          </w:r>
          <w:r>
            <w:rPr>
              <w:rFonts w:ascii="Arial Narrow" w:hAnsi="Arial Narrow"/>
              <w:sz w:val="21"/>
              <w:lang w:val="zh-CN"/>
            </w:rPr>
            <w:t>一项租赁存在下列一项或多项迹象的，本公司也可能将其分类为融资租赁：</w:t>
          </w:r>
          <w:r>
            <w:rPr>
              <w:rFonts w:ascii="Arial Narrow" w:hAnsi="Arial Narrow"/>
              <w:sz w:val="21"/>
              <w:lang w:val="zh-CN"/>
            </w:rPr>
            <w:t>A</w:t>
          </w:r>
          <w:r>
            <w:rPr>
              <w:rFonts w:ascii="Arial Narrow" w:hAnsi="Arial Narrow"/>
              <w:sz w:val="21"/>
              <w:lang w:val="zh-CN"/>
            </w:rPr>
            <w:t>若承租人撤销租赁，撤销租赁对出租人造成的损失由承租人承担；</w:t>
          </w:r>
          <w:r>
            <w:rPr>
              <w:rFonts w:ascii="Arial Narrow" w:hAnsi="Arial Narrow"/>
              <w:sz w:val="21"/>
              <w:lang w:val="zh-CN"/>
            </w:rPr>
            <w:t>B</w:t>
          </w:r>
          <w:r>
            <w:rPr>
              <w:rFonts w:ascii="Arial Narrow" w:hAnsi="Arial Narrow"/>
              <w:sz w:val="21"/>
              <w:lang w:val="zh-CN"/>
            </w:rPr>
            <w:t>资产余值的公允价值波动所产生的利得或损失归属于承租人；</w:t>
          </w:r>
          <w:r>
            <w:rPr>
              <w:rFonts w:ascii="Arial Narrow" w:hAnsi="Arial Narrow"/>
              <w:sz w:val="21"/>
              <w:lang w:val="zh-CN"/>
            </w:rPr>
            <w:t>C</w:t>
          </w:r>
          <w:r>
            <w:rPr>
              <w:rFonts w:ascii="Arial Narrow" w:hAnsi="Arial Narrow"/>
              <w:sz w:val="21"/>
              <w:lang w:val="zh-CN"/>
            </w:rPr>
            <w:t>承租人有能力以远低于市场水平的租金继续租赁至下一期间。</w:t>
          </w:r>
        </w:p>
      </w:sdtContent>
    </w:sdt>
    <w:bookmarkEnd w:id="140"/>
    <w:bookmarkEnd w:id="141"/>
    <w:p w14:paraId="3664932B" w14:textId="77777777" w:rsidR="002D0AE7" w:rsidRDefault="00333EBB">
      <w:pPr>
        <w:pStyle w:val="3"/>
        <w:numPr>
          <w:ilvl w:val="0"/>
          <w:numId w:val="37"/>
        </w:numPr>
        <w:rPr>
          <w:rFonts w:ascii="宋体" w:hAnsi="宋体" w:hint="eastAsia"/>
          <w:color w:val="000000" w:themeColor="text1"/>
        </w:rPr>
      </w:pPr>
      <w:r>
        <w:rPr>
          <w:rFonts w:ascii="宋体" w:hAnsi="宋体" w:hint="eastAsia"/>
          <w:color w:val="000000" w:themeColor="text1"/>
        </w:rPr>
        <w:t>其他重要的会计政策和会计估计</w:t>
      </w:r>
    </w:p>
    <w:sdt>
      <w:sdtPr>
        <w:rPr>
          <w:color w:val="000000" w:themeColor="text1"/>
        </w:rPr>
        <w:alias w:val="是否适用：其他重要的会计政策和会计估计[双击切换]"/>
        <w:tag w:val="_GBC_b4281f4538de4623a036697d3903e1f8"/>
        <w:id w:val="-395435385"/>
        <w:placeholder>
          <w:docPart w:val="GBC22222222222222222222222222222"/>
        </w:placeholder>
      </w:sdtPr>
      <w:sdtEndPr/>
      <w:sdtContent>
        <w:p w14:paraId="4B6EA4E6"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rFonts w:hint="eastAsia"/>
          <w:color w:val="000000" w:themeColor="text1"/>
        </w:rPr>
        <w:alias w:val="其他主要会计政策会计估计和会计报表的编制方法"/>
        <w:tag w:val="_GBC_5cf318d9d3d148c4af010cce77bc955d"/>
        <w:id w:val="-361204196"/>
        <w:placeholder>
          <w:docPart w:val="GBC22222222222222222222222222222"/>
        </w:placeholder>
      </w:sdtPr>
      <w:sdtEndPr>
        <w:rPr>
          <w:color w:val="auto"/>
          <w:sz w:val="21"/>
        </w:rPr>
      </w:sdtEndPr>
      <w:sdtContent>
        <w:sdt>
          <w:sdtPr>
            <w:rPr>
              <w:rFonts w:hint="eastAsia"/>
            </w:rPr>
            <w:alias w:val="其他主要会计政策会计估计和会计报表的编制方法"/>
            <w:tag w:val="_GBC_5cf318d9d3d148c4af010cce77bc955d"/>
            <w:id w:val="2101981048"/>
            <w:placeholder>
              <w:docPart w:val="E41ECA9B3BB44869A334CCBBE4BC3F79"/>
            </w:placeholder>
          </w:sdtPr>
          <w:sdtEndPr>
            <w:rPr>
              <w:sz w:val="21"/>
            </w:rPr>
          </w:sdtEndPr>
          <w:sdtContent>
            <w:p w14:paraId="6EB8E1F2" w14:textId="77777777" w:rsidR="002D0AE7" w:rsidRDefault="00333EBB">
              <w:pPr>
                <w:snapToGrid w:val="0"/>
                <w:ind w:firstLineChars="200" w:firstLine="480"/>
                <w:outlineLvl w:val="1"/>
                <w:rPr>
                  <w:rFonts w:ascii="Arial Narrow" w:hAnsi="Arial Narrow"/>
                  <w:b/>
                  <w:snapToGrid w:val="0"/>
                  <w:sz w:val="21"/>
                </w:rPr>
              </w:pPr>
              <w:r>
                <w:rPr>
                  <w:rFonts w:ascii="Arial Narrow" w:hAnsi="Arial Narrow" w:hint="eastAsia"/>
                  <w:b/>
                  <w:snapToGrid w:val="0"/>
                  <w:sz w:val="21"/>
                </w:rPr>
                <w:t>1</w:t>
              </w:r>
              <w:r>
                <w:rPr>
                  <w:rFonts w:ascii="Arial Narrow" w:hAnsi="Arial Narrow" w:hint="eastAsia"/>
                  <w:b/>
                  <w:snapToGrid w:val="0"/>
                  <w:sz w:val="21"/>
                </w:rPr>
                <w:t>、</w:t>
              </w:r>
              <w:r>
                <w:rPr>
                  <w:rFonts w:ascii="Arial Narrow" w:hAnsi="Arial Narrow"/>
                  <w:b/>
                  <w:snapToGrid w:val="0"/>
                  <w:sz w:val="21"/>
                </w:rPr>
                <w:t>商誉</w:t>
              </w:r>
            </w:p>
            <w:p w14:paraId="45C0EB50" w14:textId="77777777" w:rsidR="002D0AE7" w:rsidRDefault="00333EBB">
              <w:pPr>
                <w:snapToGrid w:val="0"/>
                <w:ind w:firstLineChars="200" w:firstLine="420"/>
                <w:rPr>
                  <w:rFonts w:ascii="Arial Narrow" w:hAnsi="Arial Narrow"/>
                  <w:sz w:val="21"/>
                  <w:lang w:val="zh-CN"/>
                </w:rPr>
              </w:pPr>
              <w:r>
                <w:rPr>
                  <w:rFonts w:ascii="Arial Narrow" w:hAnsi="Arial Narrow" w:hint="eastAsia"/>
                  <w:sz w:val="21"/>
                  <w:lang w:val="zh-CN"/>
                </w:rPr>
                <w:t>（</w:t>
              </w:r>
              <w:r>
                <w:rPr>
                  <w:rFonts w:ascii="Arial Narrow" w:hAnsi="Arial Narrow" w:hint="eastAsia"/>
                  <w:sz w:val="21"/>
                  <w:lang w:val="zh-CN"/>
                </w:rPr>
                <w:t>1</w:t>
              </w:r>
              <w:r>
                <w:rPr>
                  <w:rFonts w:ascii="Arial Narrow" w:hAnsi="Arial Narrow" w:hint="eastAsia"/>
                  <w:sz w:val="21"/>
                  <w:lang w:val="zh-CN"/>
                </w:rPr>
                <w:t>）</w:t>
              </w:r>
              <w:r>
                <w:rPr>
                  <w:rFonts w:ascii="Arial Narrow" w:hAnsi="Arial Narrow"/>
                  <w:sz w:val="21"/>
                  <w:lang w:val="zh-CN"/>
                </w:rPr>
                <w:t>商誉的确认</w:t>
              </w:r>
            </w:p>
            <w:p w14:paraId="15103335" w14:textId="77777777" w:rsidR="002D0AE7" w:rsidRDefault="00333EBB">
              <w:pPr>
                <w:snapToGrid w:val="0"/>
                <w:ind w:firstLineChars="200" w:firstLine="420"/>
                <w:rPr>
                  <w:rFonts w:ascii="Arial Narrow" w:hAnsi="Arial Narrow"/>
                  <w:sz w:val="21"/>
                  <w:lang w:val="zh-CN"/>
                </w:rPr>
              </w:pPr>
              <w:r>
                <w:rPr>
                  <w:rFonts w:ascii="Arial Narrow" w:hAnsi="Arial Narrow"/>
                  <w:sz w:val="21"/>
                  <w:lang w:val="zh-CN"/>
                </w:rPr>
                <w:t>因非同一控制下企业合并形成的商誉，其初始成本是合并成本大于合并中取得的被购买方可辨认净资产公允价值份额的差额。</w:t>
              </w:r>
            </w:p>
            <w:p w14:paraId="2989353F" w14:textId="77777777" w:rsidR="002D0AE7" w:rsidRDefault="00333EBB">
              <w:pPr>
                <w:snapToGrid w:val="0"/>
                <w:ind w:firstLineChars="200" w:firstLine="420"/>
                <w:rPr>
                  <w:rFonts w:ascii="Arial Narrow" w:hAnsi="Arial Narrow"/>
                  <w:sz w:val="21"/>
                  <w:lang w:val="zh-CN"/>
                </w:rPr>
              </w:pPr>
              <w:r>
                <w:rPr>
                  <w:rFonts w:ascii="Arial Narrow" w:hAnsi="Arial Narrow" w:hint="eastAsia"/>
                  <w:sz w:val="21"/>
                  <w:lang w:val="zh-CN"/>
                </w:rPr>
                <w:t>（</w:t>
              </w:r>
              <w:r>
                <w:rPr>
                  <w:rFonts w:ascii="Arial Narrow" w:hAnsi="Arial Narrow"/>
                  <w:sz w:val="21"/>
                  <w:lang w:val="zh-CN"/>
                </w:rPr>
                <w:t>2</w:t>
              </w:r>
              <w:r>
                <w:rPr>
                  <w:rFonts w:ascii="Arial Narrow" w:hAnsi="Arial Narrow" w:hint="eastAsia"/>
                  <w:sz w:val="21"/>
                  <w:lang w:val="zh-CN"/>
                </w:rPr>
                <w:t>）</w:t>
              </w:r>
              <w:r>
                <w:rPr>
                  <w:rFonts w:ascii="Arial Narrow" w:hAnsi="Arial Narrow"/>
                  <w:sz w:val="21"/>
                  <w:lang w:val="zh-CN"/>
                </w:rPr>
                <w:t>商誉的减值测试和减值准备的计提方法：</w:t>
              </w:r>
            </w:p>
            <w:p w14:paraId="0FCC862F" w14:textId="77777777" w:rsidR="002D0AE7" w:rsidRDefault="00333EBB">
              <w:pPr>
                <w:snapToGrid w:val="0"/>
                <w:ind w:firstLineChars="200" w:firstLine="420"/>
                <w:rPr>
                  <w:rFonts w:ascii="Arial Narrow" w:hAnsi="Arial Narrow"/>
                  <w:sz w:val="21"/>
                  <w:lang w:val="zh-CN"/>
                </w:rPr>
              </w:pPr>
              <w:r>
                <w:rPr>
                  <w:rFonts w:ascii="Arial Narrow" w:hAnsi="Arial Narrow"/>
                  <w:sz w:val="21"/>
                  <w:lang w:val="zh-CN"/>
                </w:rPr>
                <w:t>本公司在期末终了时对商誉进行减值测试。对于因企业合并形成的商誉的账面价值，自购买日起按照合理的方法分摊至相关的资产组；难以分摊至相关资产组的，将其分摊至相关的资产组组合。在将商誉的账面价值分摊至相关的资产组或资产组组合时，按照各资产组或资产组组合的公允价值占资产组或资产组组合公允价值总额的比例进行分摊。公允价值难以可靠计量的，按照各资产组或资产组组合的账面价值占资产组或资产组组合账面价值总额的比例进行分摊。</w:t>
              </w:r>
            </w:p>
            <w:p w14:paraId="344479D0" w14:textId="77777777" w:rsidR="002D0AE7" w:rsidRDefault="00333EBB">
              <w:pPr>
                <w:snapToGrid w:val="0"/>
                <w:ind w:firstLineChars="200" w:firstLine="420"/>
                <w:rPr>
                  <w:rFonts w:ascii="Arial Narrow" w:hAnsi="Arial Narrow"/>
                  <w:sz w:val="21"/>
                  <w:lang w:val="zh-CN"/>
                </w:rPr>
              </w:pPr>
              <w:r>
                <w:rPr>
                  <w:rFonts w:ascii="Arial Narrow" w:hAnsi="Arial Narrow"/>
                  <w:sz w:val="21"/>
                  <w:lang w:val="zh-CN"/>
                </w:rPr>
                <w:t>在对包含商誉的相关资产组或资产组组合进行减值测试时，如果与商誉相关的资产组或资产组组合存在减值迹象的，先对不包含商誉的资产组或资产组组合进行减值测试，计算其可回收金额，并与相关账面价值进行比较，确认相应的减值损失。再对包含商誉的资产组或资产组组合进行减值测试，比较这些相关资产组或资产组组合的账面价值（包括所分摊的商誉的账面价值部分）与其可回收金额，如相关资产组或资产组组合的可回收金额低于其账面价值的，确认商誉的减值损失。</w:t>
              </w:r>
            </w:p>
            <w:p w14:paraId="4201F801" w14:textId="77777777" w:rsidR="002D0AE7" w:rsidRDefault="00333EBB">
              <w:pPr>
                <w:snapToGrid w:val="0"/>
                <w:ind w:firstLineChars="200" w:firstLine="420"/>
                <w:rPr>
                  <w:rFonts w:ascii="Arial Narrow" w:hAnsi="Arial Narrow"/>
                  <w:sz w:val="21"/>
                  <w:lang w:val="zh-CN"/>
                </w:rPr>
              </w:pPr>
              <w:r>
                <w:rPr>
                  <w:rFonts w:ascii="Arial Narrow" w:hAnsi="Arial Narrow"/>
                  <w:sz w:val="21"/>
                  <w:lang w:val="zh-CN"/>
                </w:rPr>
                <w:t>商誉减值损失在发生时计入当期损益，在以后会计期间不再转回。</w:t>
              </w:r>
            </w:p>
            <w:p w14:paraId="6094173A" w14:textId="77777777" w:rsidR="002D0AE7" w:rsidRDefault="00333EBB">
              <w:pPr>
                <w:snapToGrid w:val="0"/>
                <w:ind w:firstLineChars="200" w:firstLine="422"/>
                <w:outlineLvl w:val="2"/>
                <w:rPr>
                  <w:rFonts w:ascii="Arial Narrow" w:hAnsi="Arial Narrow"/>
                  <w:b/>
                  <w:snapToGrid w:val="0"/>
                  <w:sz w:val="21"/>
                </w:rPr>
              </w:pPr>
              <w:r>
                <w:rPr>
                  <w:rFonts w:ascii="Arial Narrow" w:hAnsi="Arial Narrow"/>
                  <w:b/>
                  <w:snapToGrid w:val="0"/>
                  <w:sz w:val="21"/>
                </w:rPr>
                <w:t>2</w:t>
              </w:r>
              <w:r>
                <w:rPr>
                  <w:rFonts w:ascii="Arial Narrow" w:hAnsi="Arial Narrow" w:hint="eastAsia"/>
                  <w:b/>
                  <w:snapToGrid w:val="0"/>
                  <w:sz w:val="21"/>
                </w:rPr>
                <w:t>、公允价值计量</w:t>
              </w:r>
            </w:p>
            <w:p w14:paraId="2C4BF63F" w14:textId="77777777" w:rsidR="002D0AE7" w:rsidRDefault="00333EBB">
              <w:pPr>
                <w:snapToGrid w:val="0"/>
                <w:ind w:firstLineChars="200" w:firstLine="420"/>
                <w:rPr>
                  <w:rFonts w:ascii="Arial Narrow" w:hAnsi="Arial Narrow"/>
                  <w:sz w:val="21"/>
                  <w:lang w:val="zh-CN"/>
                </w:rPr>
              </w:pPr>
              <w:r>
                <w:rPr>
                  <w:rFonts w:ascii="Arial Narrow" w:hAnsi="Arial Narrow"/>
                  <w:sz w:val="21"/>
                  <w:lang w:val="zh-CN"/>
                </w:rPr>
                <w:t>本公司根据交易性质和相关资产或负债的特征等，判断初始确认时的公允价值是否与其交易价格相等。</w:t>
              </w:r>
            </w:p>
            <w:p w14:paraId="7932911F" w14:textId="77777777" w:rsidR="002D0AE7" w:rsidRDefault="00333EBB">
              <w:pPr>
                <w:snapToGrid w:val="0"/>
                <w:ind w:firstLineChars="200" w:firstLine="420"/>
                <w:rPr>
                  <w:rFonts w:ascii="Arial Narrow" w:hAnsi="Arial Narrow"/>
                  <w:sz w:val="21"/>
                  <w:lang w:val="zh-CN"/>
                </w:rPr>
              </w:pPr>
              <w:r>
                <w:rPr>
                  <w:rFonts w:ascii="Arial Narrow" w:hAnsi="Arial Narrow"/>
                  <w:sz w:val="21"/>
                  <w:lang w:val="zh-CN"/>
                </w:rPr>
                <w:t>本公司的某些资产和负债在财务报表中按公允价值计量。在对某项资产或负债的公允价值作出估计时，采用在当前情况下适用并且有足够可利用数据和其他信息支持的估值技术。使用的估值技术主要包括市场法、收益法和成本法，本公司选择其中一种或多种估值技术相一致的方法计量公允价值。采用估值技术计量公允价值时，选择与市场参与者在相关资产或负债的交易中所考虑的资产或负债特征相一致的输入值，包括流动性折溢价、控制权溢价或少数股东权益折价等，但不包括准则规定的计量单元不一致的折溢价。不考虑因大量持有相关资产或负债所产生的折价或溢价。</w:t>
              </w:r>
            </w:p>
            <w:p w14:paraId="23F641FB" w14:textId="77777777" w:rsidR="002D0AE7" w:rsidRDefault="00333EBB">
              <w:pPr>
                <w:snapToGrid w:val="0"/>
                <w:ind w:firstLineChars="200" w:firstLine="420"/>
                <w:rPr>
                  <w:rFonts w:ascii="Arial Narrow" w:hAnsi="Arial Narrow"/>
                  <w:sz w:val="21"/>
                  <w:lang w:val="zh-CN"/>
                </w:rPr>
              </w:pPr>
              <w:r>
                <w:rPr>
                  <w:rFonts w:ascii="Arial Narrow" w:hAnsi="Arial Narrow"/>
                  <w:sz w:val="21"/>
                  <w:lang w:val="zh-CN"/>
                </w:rPr>
                <w:t>以公允价值计量的相关资产或负债存在出价和要价的，以在出价和要价之间最能代表当前情况下公允价值的价格确定该资产或负债的公允价值。</w:t>
              </w:r>
            </w:p>
            <w:p w14:paraId="394E0D6E" w14:textId="77777777" w:rsidR="002D0AE7" w:rsidRDefault="00333EBB">
              <w:pPr>
                <w:snapToGrid w:val="0"/>
                <w:ind w:firstLineChars="200" w:firstLine="420"/>
                <w:rPr>
                  <w:rFonts w:ascii="Arial Narrow" w:hAnsi="Arial Narrow"/>
                  <w:b/>
                  <w:sz w:val="21"/>
                </w:rPr>
              </w:pPr>
              <w:r>
                <w:rPr>
                  <w:rFonts w:ascii="Arial Narrow" w:hAnsi="Arial Narrow"/>
                  <w:sz w:val="21"/>
                  <w:lang w:val="zh-CN"/>
                </w:rPr>
                <w:t>本公司将公允价值计量所使用的输入值划分为三个层次，并首先使用第一层次输入值，其次使用第二层次输入值，最后使用第三层次输入值。</w:t>
              </w:r>
            </w:p>
            <w:p w14:paraId="0266073C" w14:textId="77777777" w:rsidR="002D0AE7" w:rsidRDefault="00333EBB">
              <w:pPr>
                <w:snapToGrid w:val="0"/>
                <w:ind w:firstLineChars="200" w:firstLine="422"/>
                <w:outlineLvl w:val="2"/>
                <w:rPr>
                  <w:rFonts w:ascii="Arial Narrow" w:hAnsi="Arial Narrow"/>
                  <w:b/>
                  <w:snapToGrid w:val="0"/>
                  <w:sz w:val="21"/>
                </w:rPr>
              </w:pPr>
              <w:r>
                <w:rPr>
                  <w:rFonts w:ascii="Arial Narrow" w:hAnsi="Arial Narrow"/>
                  <w:b/>
                  <w:snapToGrid w:val="0"/>
                  <w:sz w:val="21"/>
                </w:rPr>
                <w:t>3</w:t>
              </w:r>
              <w:r>
                <w:rPr>
                  <w:rFonts w:ascii="Arial Narrow" w:hAnsi="Arial Narrow" w:hint="eastAsia"/>
                  <w:b/>
                  <w:snapToGrid w:val="0"/>
                  <w:sz w:val="21"/>
                </w:rPr>
                <w:t>、</w:t>
              </w:r>
              <w:r>
                <w:rPr>
                  <w:rFonts w:ascii="Arial Narrow" w:hAnsi="Arial Narrow"/>
                  <w:b/>
                  <w:snapToGrid w:val="0"/>
                  <w:sz w:val="21"/>
                </w:rPr>
                <w:t>关联方</w:t>
              </w:r>
            </w:p>
            <w:p w14:paraId="1F304D35" w14:textId="77777777" w:rsidR="002D0AE7" w:rsidRDefault="00333EBB">
              <w:pPr>
                <w:tabs>
                  <w:tab w:val="left" w:pos="0"/>
                </w:tabs>
                <w:snapToGrid w:val="0"/>
                <w:ind w:firstLineChars="200" w:firstLine="420"/>
                <w:rPr>
                  <w:rFonts w:hint="eastAsia"/>
                  <w:sz w:val="21"/>
                </w:rPr>
              </w:pPr>
              <w:r>
                <w:rPr>
                  <w:rFonts w:ascii="Arial Narrow" w:hAnsi="Arial Narrow" w:hint="eastAsia"/>
                  <w:sz w:val="21"/>
                </w:rPr>
                <w:t>一方控制、共同控制另一方或对另一方施加重大影响，以及两方或两方以上同受一方控制、共同控制的，构成关联方。关联方可为个人或企业。仅仅同受国家控制而不存在其他关联方关系的企业，不构成关联方。此外，本公司同时根据证监会颁布的《上市公司信息披露管理办法》确定本公司的关联方。</w:t>
              </w:r>
            </w:p>
          </w:sdtContent>
        </w:sdt>
      </w:sdtContent>
    </w:sdt>
    <w:p w14:paraId="1B0EBDE1" w14:textId="77777777" w:rsidR="002D0AE7" w:rsidRDefault="00333EBB">
      <w:pPr>
        <w:pStyle w:val="2"/>
        <w:numPr>
          <w:ilvl w:val="0"/>
          <w:numId w:val="34"/>
        </w:numPr>
        <w:ind w:left="482" w:hanging="482"/>
        <w:rPr>
          <w:rFonts w:ascii="宋体" w:hAnsi="宋体" w:hint="eastAsia"/>
          <w:color w:val="000000" w:themeColor="text1"/>
        </w:rPr>
      </w:pPr>
      <w:r>
        <w:rPr>
          <w:rFonts w:ascii="宋体" w:hAnsi="宋体" w:hint="eastAsia"/>
          <w:color w:val="000000" w:themeColor="text1"/>
        </w:rPr>
        <w:t>税项</w:t>
      </w:r>
    </w:p>
    <w:p w14:paraId="1F972021" w14:textId="77777777" w:rsidR="002D0AE7" w:rsidRDefault="00333EBB">
      <w:pPr>
        <w:pStyle w:val="3"/>
        <w:numPr>
          <w:ilvl w:val="0"/>
          <w:numId w:val="42"/>
        </w:numPr>
        <w:tabs>
          <w:tab w:val="left" w:pos="546"/>
        </w:tabs>
        <w:rPr>
          <w:rFonts w:ascii="宋体" w:hAnsi="宋体" w:hint="eastAsia"/>
          <w:color w:val="000000" w:themeColor="text1"/>
        </w:rPr>
      </w:pPr>
      <w:r>
        <w:rPr>
          <w:rFonts w:ascii="宋体" w:hAnsi="宋体"/>
          <w:color w:val="000000" w:themeColor="text1"/>
        </w:rPr>
        <w:t>主要税种及税率</w:t>
      </w:r>
    </w:p>
    <w:p w14:paraId="03B85F18" w14:textId="77777777" w:rsidR="002D0AE7" w:rsidRDefault="00333EBB">
      <w:pPr>
        <w:rPr>
          <w:rFonts w:hint="eastAsia"/>
          <w:color w:val="000000" w:themeColor="text1"/>
        </w:rPr>
      </w:pPr>
      <w:r>
        <w:rPr>
          <w:rFonts w:hint="eastAsia"/>
          <w:color w:val="000000" w:themeColor="text1"/>
        </w:rPr>
        <w:t>主要税种及税率情况</w:t>
      </w:r>
    </w:p>
    <w:sdt>
      <w:sdtPr>
        <w:rPr>
          <w:color w:val="000000" w:themeColor="text1"/>
        </w:rPr>
        <w:alias w:val="是否适用：主要税种及税率情况 [双击切换]"/>
        <w:tag w:val="_GBC_fd47fa4fd9aa499c8903795268a25582"/>
        <w:id w:val="431554344"/>
        <w:placeholder>
          <w:docPart w:val="GBC22222222222222222222222222222"/>
        </w:placeholder>
      </w:sdtPr>
      <w:sdtEndPr/>
      <w:sdtContent>
        <w:p w14:paraId="5324CBAC"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tbl>
      <w:tblPr>
        <w:tblW w:w="5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5523"/>
        <w:gridCol w:w="2975"/>
      </w:tblGrid>
      <w:tr w:rsidR="002D0AE7" w14:paraId="48770A2D" w14:textId="77777777">
        <w:trPr>
          <w:jc w:val="center"/>
        </w:trPr>
        <w:sdt>
          <w:sdtPr>
            <w:rPr>
              <w:color w:val="000000" w:themeColor="text1"/>
              <w:sz w:val="21"/>
            </w:rPr>
            <w:tag w:val="_PLD_e7d49d0412b143bf84fec865b918065a"/>
            <w:id w:val="1694804780"/>
          </w:sdtPr>
          <w:sdtEndPr/>
          <w:sdtContent>
            <w:tc>
              <w:tcPr>
                <w:tcW w:w="915" w:type="pct"/>
                <w:vAlign w:val="center"/>
              </w:tcPr>
              <w:p w14:paraId="45A668EA" w14:textId="77777777" w:rsidR="002D0AE7" w:rsidRDefault="00333EBB">
                <w:pPr>
                  <w:jc w:val="center"/>
                  <w:rPr>
                    <w:rFonts w:hint="eastAsia"/>
                    <w:color w:val="000000" w:themeColor="text1"/>
                    <w:sz w:val="21"/>
                  </w:rPr>
                </w:pPr>
                <w:r>
                  <w:rPr>
                    <w:color w:val="000000" w:themeColor="text1"/>
                    <w:sz w:val="21"/>
                  </w:rPr>
                  <w:t>税种</w:t>
                </w:r>
              </w:p>
            </w:tc>
          </w:sdtContent>
        </w:sdt>
        <w:sdt>
          <w:sdtPr>
            <w:rPr>
              <w:color w:val="000000" w:themeColor="text1"/>
              <w:sz w:val="21"/>
            </w:rPr>
            <w:tag w:val="_PLD_e42202809983483baa812ed26e1b27a2"/>
            <w:id w:val="306901392"/>
          </w:sdtPr>
          <w:sdtEndPr/>
          <w:sdtContent>
            <w:tc>
              <w:tcPr>
                <w:tcW w:w="2764" w:type="pct"/>
                <w:vAlign w:val="center"/>
              </w:tcPr>
              <w:p w14:paraId="1C13B446" w14:textId="77777777" w:rsidR="002D0AE7" w:rsidRDefault="00333EBB">
                <w:pPr>
                  <w:jc w:val="center"/>
                  <w:rPr>
                    <w:rFonts w:hint="eastAsia"/>
                    <w:color w:val="000000" w:themeColor="text1"/>
                    <w:sz w:val="21"/>
                  </w:rPr>
                </w:pPr>
                <w:r>
                  <w:rPr>
                    <w:color w:val="000000" w:themeColor="text1"/>
                    <w:sz w:val="21"/>
                  </w:rPr>
                  <w:t>计税依据</w:t>
                </w:r>
              </w:p>
            </w:tc>
          </w:sdtContent>
        </w:sdt>
        <w:sdt>
          <w:sdtPr>
            <w:rPr>
              <w:color w:val="000000" w:themeColor="text1"/>
              <w:sz w:val="21"/>
            </w:rPr>
            <w:tag w:val="_PLD_0cebc7a4c62844c6b35146cd64cd4277"/>
            <w:id w:val="-1766223373"/>
          </w:sdtPr>
          <w:sdtEndPr/>
          <w:sdtContent>
            <w:tc>
              <w:tcPr>
                <w:tcW w:w="1321" w:type="pct"/>
                <w:vAlign w:val="center"/>
              </w:tcPr>
              <w:p w14:paraId="3AF79E0C" w14:textId="77777777" w:rsidR="002D0AE7" w:rsidRDefault="00333EBB">
                <w:pPr>
                  <w:jc w:val="center"/>
                  <w:rPr>
                    <w:rFonts w:hint="eastAsia"/>
                    <w:color w:val="000000" w:themeColor="text1"/>
                    <w:sz w:val="21"/>
                  </w:rPr>
                </w:pPr>
                <w:r>
                  <w:rPr>
                    <w:color w:val="000000" w:themeColor="text1"/>
                    <w:sz w:val="21"/>
                  </w:rPr>
                  <w:t>税率</w:t>
                </w:r>
              </w:p>
            </w:tc>
          </w:sdtContent>
        </w:sdt>
      </w:tr>
      <w:tr w:rsidR="002D0AE7" w14:paraId="6457125F" w14:textId="77777777">
        <w:trPr>
          <w:jc w:val="center"/>
        </w:trPr>
        <w:tc>
          <w:tcPr>
            <w:tcW w:w="915" w:type="pct"/>
            <w:vAlign w:val="center"/>
          </w:tcPr>
          <w:p w14:paraId="19CE35B2" w14:textId="77777777" w:rsidR="002D0AE7" w:rsidRDefault="00333EBB">
            <w:pPr>
              <w:rPr>
                <w:rFonts w:hint="eastAsia"/>
                <w:color w:val="000000" w:themeColor="text1"/>
                <w:sz w:val="21"/>
              </w:rPr>
            </w:pPr>
            <w:r>
              <w:rPr>
                <w:color w:val="000000" w:themeColor="text1"/>
                <w:sz w:val="21"/>
              </w:rPr>
              <w:t>增值税</w:t>
            </w:r>
          </w:p>
        </w:tc>
        <w:tc>
          <w:tcPr>
            <w:tcW w:w="2764" w:type="pct"/>
            <w:vAlign w:val="center"/>
          </w:tcPr>
          <w:p w14:paraId="16EE9CDF" w14:textId="77777777" w:rsidR="002D0AE7" w:rsidRDefault="00333EBB">
            <w:pPr>
              <w:rPr>
                <w:rFonts w:hint="eastAsia"/>
                <w:sz w:val="21"/>
              </w:rPr>
            </w:pPr>
            <w:r>
              <w:rPr>
                <w:sz w:val="21"/>
              </w:rPr>
              <w:t>按照税法规定计算的销售货物和应税劳务收入为基础计算销项税额，在扣除当期允许抵扣的进项税额后，差额部分为应交增值税</w:t>
            </w:r>
          </w:p>
        </w:tc>
        <w:tc>
          <w:tcPr>
            <w:tcW w:w="1321" w:type="pct"/>
            <w:vAlign w:val="center"/>
          </w:tcPr>
          <w:p w14:paraId="5B04DB1F" w14:textId="77777777" w:rsidR="002D0AE7" w:rsidRDefault="00333EBB">
            <w:pPr>
              <w:rPr>
                <w:rFonts w:ascii="Times New Roman" w:hAnsi="Times New Roman" w:cs="Times New Roman"/>
                <w:sz w:val="21"/>
              </w:rPr>
            </w:pPr>
            <w:r>
              <w:rPr>
                <w:rFonts w:ascii="Times New Roman" w:hAnsi="Times New Roman" w:cs="Times New Roman"/>
                <w:sz w:val="21"/>
              </w:rPr>
              <w:t>13%/9%/6%/3%</w:t>
            </w:r>
          </w:p>
        </w:tc>
      </w:tr>
      <w:tr w:rsidR="002D0AE7" w14:paraId="4C28FBC6" w14:textId="77777777">
        <w:trPr>
          <w:jc w:val="center"/>
        </w:trPr>
        <w:tc>
          <w:tcPr>
            <w:tcW w:w="915" w:type="pct"/>
            <w:vAlign w:val="center"/>
          </w:tcPr>
          <w:p w14:paraId="7B68A5BE" w14:textId="77777777" w:rsidR="002D0AE7" w:rsidRDefault="00333EBB">
            <w:pPr>
              <w:rPr>
                <w:rFonts w:hint="eastAsia"/>
                <w:color w:val="000000" w:themeColor="text1"/>
                <w:sz w:val="21"/>
              </w:rPr>
            </w:pPr>
            <w:r>
              <w:rPr>
                <w:color w:val="000000" w:themeColor="text1"/>
                <w:sz w:val="21"/>
              </w:rPr>
              <w:t>城市维护建设税</w:t>
            </w:r>
          </w:p>
        </w:tc>
        <w:tc>
          <w:tcPr>
            <w:tcW w:w="2764" w:type="pct"/>
            <w:vAlign w:val="center"/>
          </w:tcPr>
          <w:p w14:paraId="78AB650D" w14:textId="77777777" w:rsidR="002D0AE7" w:rsidRDefault="00333EBB">
            <w:pPr>
              <w:rPr>
                <w:rFonts w:hint="eastAsia"/>
                <w:sz w:val="21"/>
              </w:rPr>
            </w:pPr>
            <w:r>
              <w:rPr>
                <w:sz w:val="21"/>
              </w:rPr>
              <w:t>按实际缴纳的增值税、消费税之和计算缴纳</w:t>
            </w:r>
          </w:p>
        </w:tc>
        <w:tc>
          <w:tcPr>
            <w:tcW w:w="1321" w:type="pct"/>
            <w:vAlign w:val="center"/>
          </w:tcPr>
          <w:p w14:paraId="6250ADD0" w14:textId="77777777" w:rsidR="002D0AE7" w:rsidRDefault="00333EBB">
            <w:pPr>
              <w:rPr>
                <w:rFonts w:ascii="Times New Roman" w:hAnsi="Times New Roman" w:cs="Times New Roman"/>
                <w:sz w:val="21"/>
              </w:rPr>
            </w:pPr>
            <w:r>
              <w:rPr>
                <w:rFonts w:ascii="Times New Roman" w:hAnsi="Times New Roman" w:cs="Times New Roman"/>
                <w:sz w:val="21"/>
              </w:rPr>
              <w:t>7%</w:t>
            </w:r>
          </w:p>
        </w:tc>
      </w:tr>
      <w:tr w:rsidR="002D0AE7" w14:paraId="0DD71A70" w14:textId="77777777">
        <w:trPr>
          <w:jc w:val="center"/>
        </w:trPr>
        <w:tc>
          <w:tcPr>
            <w:tcW w:w="915" w:type="pct"/>
            <w:vAlign w:val="center"/>
          </w:tcPr>
          <w:p w14:paraId="5B4FB465" w14:textId="77777777" w:rsidR="002D0AE7" w:rsidRDefault="00333EBB">
            <w:pPr>
              <w:rPr>
                <w:rFonts w:hint="eastAsia"/>
                <w:color w:val="000000" w:themeColor="text1"/>
                <w:sz w:val="21"/>
              </w:rPr>
            </w:pPr>
            <w:r>
              <w:rPr>
                <w:color w:val="000000" w:themeColor="text1"/>
                <w:sz w:val="21"/>
              </w:rPr>
              <w:t>企业所得税</w:t>
            </w:r>
          </w:p>
        </w:tc>
        <w:tc>
          <w:tcPr>
            <w:tcW w:w="2764" w:type="pct"/>
            <w:vAlign w:val="center"/>
          </w:tcPr>
          <w:p w14:paraId="1BC85BE3" w14:textId="77777777" w:rsidR="002D0AE7" w:rsidRDefault="00333EBB">
            <w:pPr>
              <w:rPr>
                <w:rFonts w:hint="eastAsia"/>
                <w:sz w:val="21"/>
              </w:rPr>
            </w:pPr>
            <w:r>
              <w:rPr>
                <w:sz w:val="21"/>
              </w:rPr>
              <w:t>按应纳税所得额计算缴纳</w:t>
            </w:r>
          </w:p>
        </w:tc>
        <w:tc>
          <w:tcPr>
            <w:tcW w:w="1321" w:type="pct"/>
            <w:vAlign w:val="center"/>
          </w:tcPr>
          <w:p w14:paraId="7079DB18" w14:textId="77777777" w:rsidR="002D0AE7" w:rsidRDefault="00333EBB">
            <w:pPr>
              <w:rPr>
                <w:rFonts w:ascii="Times New Roman" w:hAnsi="Times New Roman" w:cs="Times New Roman"/>
                <w:sz w:val="21"/>
              </w:rPr>
            </w:pPr>
            <w:r>
              <w:rPr>
                <w:rFonts w:ascii="Times New Roman" w:hAnsi="Times New Roman" w:cs="Times New Roman"/>
                <w:sz w:val="21"/>
              </w:rPr>
              <w:t>25%/20%/21%/17%/16.5%/15%</w:t>
            </w:r>
          </w:p>
        </w:tc>
      </w:tr>
      <w:tr w:rsidR="002D0AE7" w14:paraId="6BC0BC27" w14:textId="77777777">
        <w:trPr>
          <w:jc w:val="center"/>
        </w:trPr>
        <w:tc>
          <w:tcPr>
            <w:tcW w:w="915" w:type="pct"/>
            <w:vAlign w:val="center"/>
          </w:tcPr>
          <w:p w14:paraId="101DF1C3" w14:textId="77777777" w:rsidR="002D0AE7" w:rsidRDefault="00333EBB">
            <w:pPr>
              <w:rPr>
                <w:rFonts w:hint="eastAsia"/>
                <w:sz w:val="21"/>
              </w:rPr>
            </w:pPr>
            <w:r>
              <w:rPr>
                <w:sz w:val="21"/>
              </w:rPr>
              <w:t>教育费附加</w:t>
            </w:r>
          </w:p>
        </w:tc>
        <w:tc>
          <w:tcPr>
            <w:tcW w:w="2764" w:type="pct"/>
            <w:vAlign w:val="center"/>
          </w:tcPr>
          <w:p w14:paraId="67D08CB8" w14:textId="77777777" w:rsidR="002D0AE7" w:rsidRDefault="00333EBB">
            <w:pPr>
              <w:rPr>
                <w:rFonts w:hint="eastAsia"/>
                <w:sz w:val="21"/>
              </w:rPr>
            </w:pPr>
            <w:r>
              <w:rPr>
                <w:sz w:val="21"/>
              </w:rPr>
              <w:t>按实际缴纳的增值税、消费税之和计算缴纳</w:t>
            </w:r>
          </w:p>
        </w:tc>
        <w:tc>
          <w:tcPr>
            <w:tcW w:w="1321" w:type="pct"/>
            <w:vAlign w:val="center"/>
          </w:tcPr>
          <w:p w14:paraId="46B3689A" w14:textId="77777777" w:rsidR="002D0AE7" w:rsidRDefault="00333EBB">
            <w:pPr>
              <w:rPr>
                <w:rFonts w:ascii="Times New Roman" w:hAnsi="Times New Roman" w:cs="Times New Roman"/>
                <w:sz w:val="21"/>
              </w:rPr>
            </w:pPr>
            <w:r>
              <w:rPr>
                <w:rFonts w:ascii="Times New Roman" w:hAnsi="Times New Roman" w:cs="Times New Roman"/>
                <w:sz w:val="21"/>
              </w:rPr>
              <w:t>3%</w:t>
            </w:r>
          </w:p>
        </w:tc>
      </w:tr>
      <w:tr w:rsidR="002D0AE7" w14:paraId="391A830D" w14:textId="77777777">
        <w:trPr>
          <w:jc w:val="center"/>
        </w:trPr>
        <w:tc>
          <w:tcPr>
            <w:tcW w:w="915" w:type="pct"/>
            <w:vAlign w:val="center"/>
          </w:tcPr>
          <w:p w14:paraId="5BFF06B3" w14:textId="77777777" w:rsidR="002D0AE7" w:rsidRDefault="00333EBB">
            <w:pPr>
              <w:rPr>
                <w:rFonts w:hint="eastAsia"/>
                <w:sz w:val="21"/>
              </w:rPr>
            </w:pPr>
            <w:r>
              <w:rPr>
                <w:sz w:val="21"/>
              </w:rPr>
              <w:t>地方教育费附加</w:t>
            </w:r>
          </w:p>
        </w:tc>
        <w:tc>
          <w:tcPr>
            <w:tcW w:w="2764" w:type="pct"/>
            <w:vAlign w:val="center"/>
          </w:tcPr>
          <w:p w14:paraId="61B0D578" w14:textId="77777777" w:rsidR="002D0AE7" w:rsidRDefault="00333EBB">
            <w:pPr>
              <w:rPr>
                <w:rFonts w:hint="eastAsia"/>
                <w:sz w:val="21"/>
              </w:rPr>
            </w:pPr>
            <w:r>
              <w:rPr>
                <w:sz w:val="21"/>
              </w:rPr>
              <w:t>按实际缴纳的增值税、消费税之和计算缴纳</w:t>
            </w:r>
          </w:p>
        </w:tc>
        <w:tc>
          <w:tcPr>
            <w:tcW w:w="1321" w:type="pct"/>
            <w:vAlign w:val="center"/>
          </w:tcPr>
          <w:p w14:paraId="57FA51A1" w14:textId="77777777" w:rsidR="002D0AE7" w:rsidRDefault="00333EBB">
            <w:pPr>
              <w:rPr>
                <w:rFonts w:ascii="Times New Roman" w:hAnsi="Times New Roman" w:cs="Times New Roman"/>
                <w:sz w:val="21"/>
              </w:rPr>
            </w:pPr>
            <w:r>
              <w:rPr>
                <w:rFonts w:ascii="Times New Roman" w:hAnsi="Times New Roman" w:cs="Times New Roman"/>
                <w:sz w:val="21"/>
              </w:rPr>
              <w:t>2%</w:t>
            </w:r>
          </w:p>
        </w:tc>
      </w:tr>
    </w:tbl>
    <w:p w14:paraId="49226356" w14:textId="77777777" w:rsidR="002D0AE7" w:rsidRDefault="00333EBB">
      <w:pPr>
        <w:rPr>
          <w:rFonts w:hint="eastAsia"/>
          <w:color w:val="000000" w:themeColor="text1"/>
        </w:rPr>
      </w:pPr>
      <w:r>
        <w:rPr>
          <w:rFonts w:hint="eastAsia"/>
          <w:color w:val="000000" w:themeColor="text1"/>
        </w:rPr>
        <w:t>存在不同企业所得税税率纳税主体的，披露情况说明</w:t>
      </w:r>
    </w:p>
    <w:sdt>
      <w:sdtPr>
        <w:rPr>
          <w:color w:val="000000" w:themeColor="text1"/>
        </w:rPr>
        <w:alias w:val="是否适用：存在不同企业所得税税率纳税主体的，披露情况说明[双击切换]"/>
        <w:tag w:val="_GBC_848dc0d1182048ccb5485f3b0d7d1d70"/>
        <w:id w:val="-256983890"/>
        <w:placeholder>
          <w:docPart w:val="GBC22222222222222222222222222222"/>
        </w:placeholder>
      </w:sdtPr>
      <w:sdtEndPr/>
      <w:sdtContent>
        <w:p w14:paraId="4749BD5F"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277"/>
        <w:gridCol w:w="2546"/>
      </w:tblGrid>
      <w:tr w:rsidR="002D0AE7" w14:paraId="5194013A" w14:textId="77777777">
        <w:trPr>
          <w:jc w:val="center"/>
        </w:trPr>
        <w:sdt>
          <w:sdtPr>
            <w:rPr>
              <w:color w:val="000000" w:themeColor="text1"/>
              <w:sz w:val="21"/>
            </w:rPr>
            <w:tag w:val="_PLD_440a50b0d3fa4b22b061006e717665d8"/>
            <w:id w:val="861861586"/>
          </w:sdtPr>
          <w:sdtEndPr/>
          <w:sdtContent>
            <w:tc>
              <w:tcPr>
                <w:tcW w:w="3557" w:type="pct"/>
                <w:shd w:val="clear" w:color="auto" w:fill="auto"/>
                <w:vAlign w:val="center"/>
              </w:tcPr>
              <w:p w14:paraId="72F2CB43" w14:textId="77777777" w:rsidR="002D0AE7" w:rsidRDefault="00333EBB">
                <w:pPr>
                  <w:jc w:val="center"/>
                  <w:rPr>
                    <w:rFonts w:hint="eastAsia"/>
                    <w:color w:val="000000" w:themeColor="text1"/>
                    <w:sz w:val="21"/>
                  </w:rPr>
                </w:pPr>
                <w:r>
                  <w:rPr>
                    <w:rFonts w:hint="eastAsia"/>
                    <w:color w:val="000000" w:themeColor="text1"/>
                    <w:sz w:val="21"/>
                  </w:rPr>
                  <w:t>纳税主体名称</w:t>
                </w:r>
              </w:p>
            </w:tc>
          </w:sdtContent>
        </w:sdt>
        <w:sdt>
          <w:sdtPr>
            <w:rPr>
              <w:color w:val="000000" w:themeColor="text1"/>
              <w:sz w:val="21"/>
            </w:rPr>
            <w:tag w:val="_PLD_5c2541995bc04204a53104c1e5a4c9da"/>
            <w:id w:val="992377773"/>
          </w:sdtPr>
          <w:sdtEndPr/>
          <w:sdtContent>
            <w:tc>
              <w:tcPr>
                <w:tcW w:w="1443" w:type="pct"/>
                <w:shd w:val="clear" w:color="auto" w:fill="auto"/>
                <w:vAlign w:val="center"/>
              </w:tcPr>
              <w:p w14:paraId="676CBCCD" w14:textId="77777777" w:rsidR="002D0AE7" w:rsidRDefault="00333EBB">
                <w:pPr>
                  <w:jc w:val="center"/>
                  <w:rPr>
                    <w:rFonts w:hint="eastAsia"/>
                    <w:color w:val="000000" w:themeColor="text1"/>
                    <w:sz w:val="21"/>
                  </w:rPr>
                </w:pPr>
                <w:r>
                  <w:rPr>
                    <w:rFonts w:hint="eastAsia"/>
                    <w:color w:val="000000" w:themeColor="text1"/>
                    <w:sz w:val="21"/>
                  </w:rPr>
                  <w:t>所得税税率（</w:t>
                </w:r>
                <w:r>
                  <w:rPr>
                    <w:rFonts w:hint="eastAsia"/>
                    <w:color w:val="000000" w:themeColor="text1"/>
                    <w:sz w:val="21"/>
                  </w:rPr>
                  <w:t>%</w:t>
                </w:r>
                <w:r>
                  <w:rPr>
                    <w:rFonts w:hint="eastAsia"/>
                    <w:color w:val="000000" w:themeColor="text1"/>
                    <w:sz w:val="21"/>
                  </w:rPr>
                  <w:t>）</w:t>
                </w:r>
              </w:p>
            </w:tc>
          </w:sdtContent>
        </w:sdt>
      </w:tr>
      <w:tr w:rsidR="002D0AE7" w14:paraId="709911A6" w14:textId="77777777">
        <w:trPr>
          <w:jc w:val="center"/>
        </w:trPr>
        <w:tc>
          <w:tcPr>
            <w:tcW w:w="3557" w:type="pct"/>
            <w:shd w:val="clear" w:color="auto" w:fill="auto"/>
            <w:vAlign w:val="center"/>
          </w:tcPr>
          <w:p w14:paraId="35FFF878" w14:textId="77777777" w:rsidR="002D0AE7" w:rsidRDefault="00333EBB">
            <w:pPr>
              <w:jc w:val="center"/>
              <w:rPr>
                <w:rFonts w:hint="eastAsia"/>
                <w:sz w:val="21"/>
              </w:rPr>
            </w:pPr>
            <w:r>
              <w:rPr>
                <w:sz w:val="21"/>
              </w:rPr>
              <w:t>津药药业股份有限公司</w:t>
            </w:r>
          </w:p>
        </w:tc>
        <w:tc>
          <w:tcPr>
            <w:tcW w:w="1443" w:type="pct"/>
            <w:shd w:val="clear" w:color="auto" w:fill="auto"/>
          </w:tcPr>
          <w:p w14:paraId="37EBEABC" w14:textId="77777777" w:rsidR="002D0AE7" w:rsidRDefault="00333EBB">
            <w:pPr>
              <w:jc w:val="center"/>
              <w:rPr>
                <w:rFonts w:ascii="Times New Roman" w:hAnsi="Times New Roman" w:cs="Times New Roman"/>
                <w:sz w:val="21"/>
              </w:rPr>
            </w:pPr>
            <w:r>
              <w:rPr>
                <w:rFonts w:ascii="Times New Roman" w:hAnsi="Times New Roman" w:cs="Times New Roman"/>
                <w:sz w:val="21"/>
              </w:rPr>
              <w:t>15</w:t>
            </w:r>
          </w:p>
        </w:tc>
      </w:tr>
      <w:tr w:rsidR="002D0AE7" w14:paraId="133D65E9" w14:textId="77777777">
        <w:trPr>
          <w:jc w:val="center"/>
        </w:trPr>
        <w:tc>
          <w:tcPr>
            <w:tcW w:w="3557" w:type="pct"/>
            <w:shd w:val="clear" w:color="auto" w:fill="auto"/>
            <w:vAlign w:val="center"/>
          </w:tcPr>
          <w:p w14:paraId="3B4707F7" w14:textId="77777777" w:rsidR="002D0AE7" w:rsidRDefault="00333EBB">
            <w:pPr>
              <w:jc w:val="center"/>
              <w:rPr>
                <w:rFonts w:hint="eastAsia"/>
                <w:sz w:val="21"/>
              </w:rPr>
            </w:pPr>
            <w:r>
              <w:rPr>
                <w:sz w:val="21"/>
              </w:rPr>
              <w:t>天津市天发药业进出口有限公司</w:t>
            </w:r>
          </w:p>
        </w:tc>
        <w:tc>
          <w:tcPr>
            <w:tcW w:w="1443" w:type="pct"/>
            <w:shd w:val="clear" w:color="auto" w:fill="auto"/>
          </w:tcPr>
          <w:p w14:paraId="2F094F8B" w14:textId="77777777" w:rsidR="002D0AE7" w:rsidRDefault="00333EBB">
            <w:pPr>
              <w:jc w:val="center"/>
              <w:rPr>
                <w:rFonts w:ascii="Times New Roman" w:hAnsi="Times New Roman" w:cs="Times New Roman"/>
                <w:sz w:val="21"/>
              </w:rPr>
            </w:pPr>
            <w:r>
              <w:rPr>
                <w:rFonts w:ascii="Times New Roman" w:hAnsi="Times New Roman" w:cs="Times New Roman"/>
                <w:sz w:val="21"/>
              </w:rPr>
              <w:t>25</w:t>
            </w:r>
          </w:p>
        </w:tc>
      </w:tr>
      <w:tr w:rsidR="002D0AE7" w14:paraId="357C6EA6" w14:textId="77777777">
        <w:trPr>
          <w:jc w:val="center"/>
        </w:trPr>
        <w:tc>
          <w:tcPr>
            <w:tcW w:w="3557" w:type="pct"/>
            <w:shd w:val="clear" w:color="auto" w:fill="auto"/>
            <w:vAlign w:val="center"/>
          </w:tcPr>
          <w:p w14:paraId="357B4A07" w14:textId="77777777" w:rsidR="002D0AE7" w:rsidRDefault="00333EBB">
            <w:pPr>
              <w:jc w:val="center"/>
              <w:rPr>
                <w:rFonts w:hint="eastAsia"/>
                <w:sz w:val="21"/>
              </w:rPr>
            </w:pPr>
            <w:r>
              <w:rPr>
                <w:sz w:val="21"/>
              </w:rPr>
              <w:t>津药和平（天津）制药有限公司</w:t>
            </w:r>
          </w:p>
        </w:tc>
        <w:tc>
          <w:tcPr>
            <w:tcW w:w="1443" w:type="pct"/>
            <w:shd w:val="clear" w:color="auto" w:fill="auto"/>
          </w:tcPr>
          <w:p w14:paraId="55D3B2BA" w14:textId="77777777" w:rsidR="002D0AE7" w:rsidRDefault="00333EBB">
            <w:pPr>
              <w:jc w:val="center"/>
              <w:rPr>
                <w:rFonts w:ascii="Times New Roman" w:hAnsi="Times New Roman" w:cs="Times New Roman"/>
                <w:sz w:val="21"/>
              </w:rPr>
            </w:pPr>
            <w:r>
              <w:rPr>
                <w:rFonts w:ascii="Times New Roman" w:hAnsi="Times New Roman" w:cs="Times New Roman"/>
                <w:sz w:val="21"/>
              </w:rPr>
              <w:t>15</w:t>
            </w:r>
          </w:p>
        </w:tc>
      </w:tr>
      <w:tr w:rsidR="002D0AE7" w14:paraId="59873311" w14:textId="77777777">
        <w:trPr>
          <w:jc w:val="center"/>
        </w:trPr>
        <w:tc>
          <w:tcPr>
            <w:tcW w:w="3557" w:type="pct"/>
            <w:shd w:val="clear" w:color="auto" w:fill="auto"/>
            <w:vAlign w:val="center"/>
          </w:tcPr>
          <w:p w14:paraId="01ADB16C" w14:textId="77777777" w:rsidR="002D0AE7" w:rsidRDefault="00333EBB">
            <w:pPr>
              <w:jc w:val="center"/>
              <w:rPr>
                <w:rFonts w:hint="eastAsia"/>
                <w:sz w:val="21"/>
              </w:rPr>
            </w:pPr>
            <w:r>
              <w:rPr>
                <w:sz w:val="21"/>
              </w:rPr>
              <w:t>津药药业健康科技（天津）有限公司</w:t>
            </w:r>
          </w:p>
        </w:tc>
        <w:tc>
          <w:tcPr>
            <w:tcW w:w="1443" w:type="pct"/>
            <w:shd w:val="clear" w:color="auto" w:fill="auto"/>
          </w:tcPr>
          <w:p w14:paraId="7F7C2AE9" w14:textId="77777777" w:rsidR="002D0AE7" w:rsidRDefault="00333EBB">
            <w:pPr>
              <w:jc w:val="center"/>
              <w:rPr>
                <w:rFonts w:ascii="Times New Roman" w:hAnsi="Times New Roman" w:cs="Times New Roman"/>
                <w:sz w:val="21"/>
              </w:rPr>
            </w:pPr>
            <w:r>
              <w:rPr>
                <w:rFonts w:ascii="Times New Roman" w:hAnsi="Times New Roman" w:cs="Times New Roman"/>
                <w:sz w:val="21"/>
              </w:rPr>
              <w:t>25</w:t>
            </w:r>
          </w:p>
        </w:tc>
      </w:tr>
      <w:tr w:rsidR="002D0AE7" w14:paraId="122B0AFF" w14:textId="77777777">
        <w:trPr>
          <w:jc w:val="center"/>
        </w:trPr>
        <w:tc>
          <w:tcPr>
            <w:tcW w:w="3557" w:type="pct"/>
            <w:shd w:val="clear" w:color="auto" w:fill="auto"/>
            <w:vAlign w:val="center"/>
          </w:tcPr>
          <w:p w14:paraId="32BEFED9" w14:textId="77777777" w:rsidR="002D0AE7" w:rsidRDefault="00333EBB">
            <w:pPr>
              <w:jc w:val="center"/>
              <w:rPr>
                <w:rFonts w:hint="eastAsia"/>
                <w:sz w:val="21"/>
              </w:rPr>
            </w:pPr>
            <w:r>
              <w:rPr>
                <w:sz w:val="21"/>
              </w:rPr>
              <w:t>天津津药环境科技有限公司</w:t>
            </w:r>
          </w:p>
        </w:tc>
        <w:tc>
          <w:tcPr>
            <w:tcW w:w="1443" w:type="pct"/>
            <w:shd w:val="clear" w:color="auto" w:fill="auto"/>
          </w:tcPr>
          <w:p w14:paraId="6443A558" w14:textId="77777777" w:rsidR="002D0AE7" w:rsidRDefault="00333EBB">
            <w:pPr>
              <w:jc w:val="center"/>
              <w:rPr>
                <w:rFonts w:ascii="Times New Roman" w:hAnsi="Times New Roman" w:cs="Times New Roman"/>
                <w:sz w:val="21"/>
              </w:rPr>
            </w:pPr>
            <w:r>
              <w:rPr>
                <w:rFonts w:ascii="Times New Roman" w:hAnsi="Times New Roman" w:cs="Times New Roman"/>
                <w:sz w:val="21"/>
              </w:rPr>
              <w:t>25</w:t>
            </w:r>
          </w:p>
        </w:tc>
      </w:tr>
      <w:tr w:rsidR="002D0AE7" w14:paraId="79F68570" w14:textId="77777777">
        <w:trPr>
          <w:jc w:val="center"/>
        </w:trPr>
        <w:tc>
          <w:tcPr>
            <w:tcW w:w="3557" w:type="pct"/>
            <w:shd w:val="clear" w:color="auto" w:fill="auto"/>
            <w:vAlign w:val="center"/>
          </w:tcPr>
          <w:p w14:paraId="18518CF0" w14:textId="77777777" w:rsidR="002D0AE7" w:rsidRDefault="00333EBB">
            <w:pPr>
              <w:jc w:val="center"/>
              <w:rPr>
                <w:rFonts w:hint="eastAsia"/>
                <w:sz w:val="21"/>
              </w:rPr>
            </w:pPr>
            <w:r>
              <w:rPr>
                <w:sz w:val="21"/>
              </w:rPr>
              <w:t>天津信卓国际贸易有限公司</w:t>
            </w:r>
          </w:p>
        </w:tc>
        <w:tc>
          <w:tcPr>
            <w:tcW w:w="1443" w:type="pct"/>
            <w:shd w:val="clear" w:color="auto" w:fill="auto"/>
          </w:tcPr>
          <w:p w14:paraId="0B98A4CA" w14:textId="77777777" w:rsidR="002D0AE7" w:rsidRDefault="00333EBB">
            <w:pPr>
              <w:jc w:val="center"/>
              <w:rPr>
                <w:rFonts w:ascii="Times New Roman" w:hAnsi="Times New Roman" w:cs="Times New Roman"/>
                <w:sz w:val="21"/>
              </w:rPr>
            </w:pPr>
            <w:r>
              <w:rPr>
                <w:rFonts w:ascii="Times New Roman" w:hAnsi="Times New Roman" w:cs="Times New Roman"/>
                <w:sz w:val="21"/>
              </w:rPr>
              <w:t>20</w:t>
            </w:r>
          </w:p>
        </w:tc>
      </w:tr>
      <w:tr w:rsidR="002D0AE7" w14:paraId="78DDB7B1" w14:textId="77777777">
        <w:trPr>
          <w:jc w:val="center"/>
        </w:trPr>
        <w:tc>
          <w:tcPr>
            <w:tcW w:w="3557" w:type="pct"/>
            <w:shd w:val="clear" w:color="auto" w:fill="auto"/>
            <w:vAlign w:val="center"/>
          </w:tcPr>
          <w:p w14:paraId="016A1267" w14:textId="77777777" w:rsidR="002D0AE7" w:rsidRDefault="00333EBB">
            <w:pPr>
              <w:jc w:val="center"/>
              <w:rPr>
                <w:rFonts w:hint="eastAsia"/>
                <w:sz w:val="21"/>
              </w:rPr>
            </w:pPr>
            <w:r>
              <w:rPr>
                <w:sz w:val="21"/>
              </w:rPr>
              <w:t>湖北津药药业股份有限公司</w:t>
            </w:r>
          </w:p>
        </w:tc>
        <w:tc>
          <w:tcPr>
            <w:tcW w:w="1443" w:type="pct"/>
            <w:shd w:val="clear" w:color="auto" w:fill="auto"/>
          </w:tcPr>
          <w:p w14:paraId="5D509E82" w14:textId="77777777" w:rsidR="002D0AE7" w:rsidRDefault="00333EBB">
            <w:pPr>
              <w:jc w:val="center"/>
              <w:rPr>
                <w:rFonts w:ascii="Times New Roman" w:hAnsi="Times New Roman" w:cs="Times New Roman"/>
                <w:sz w:val="21"/>
              </w:rPr>
            </w:pPr>
            <w:r>
              <w:rPr>
                <w:rFonts w:ascii="Times New Roman" w:hAnsi="Times New Roman" w:cs="Times New Roman"/>
                <w:sz w:val="21"/>
              </w:rPr>
              <w:t>15</w:t>
            </w:r>
          </w:p>
        </w:tc>
      </w:tr>
      <w:tr w:rsidR="002D0AE7" w14:paraId="3B5B1AE5" w14:textId="77777777">
        <w:trPr>
          <w:jc w:val="center"/>
        </w:trPr>
        <w:tc>
          <w:tcPr>
            <w:tcW w:w="3557" w:type="pct"/>
            <w:shd w:val="clear" w:color="auto" w:fill="auto"/>
            <w:vAlign w:val="center"/>
          </w:tcPr>
          <w:p w14:paraId="6CDCFE21" w14:textId="77777777" w:rsidR="002D0AE7" w:rsidRDefault="00333EBB">
            <w:pPr>
              <w:jc w:val="center"/>
              <w:rPr>
                <w:rFonts w:hint="eastAsia"/>
                <w:sz w:val="21"/>
              </w:rPr>
            </w:pPr>
            <w:r>
              <w:rPr>
                <w:sz w:val="21"/>
              </w:rPr>
              <w:t>湖北天药医药有限公司</w:t>
            </w:r>
          </w:p>
        </w:tc>
        <w:tc>
          <w:tcPr>
            <w:tcW w:w="1443" w:type="pct"/>
            <w:shd w:val="clear" w:color="auto" w:fill="auto"/>
          </w:tcPr>
          <w:p w14:paraId="750E2980" w14:textId="77777777" w:rsidR="002D0AE7" w:rsidRDefault="00333EBB">
            <w:pPr>
              <w:jc w:val="center"/>
              <w:rPr>
                <w:rFonts w:ascii="Times New Roman" w:hAnsi="Times New Roman" w:cs="Times New Roman"/>
                <w:sz w:val="21"/>
              </w:rPr>
            </w:pPr>
            <w:r>
              <w:rPr>
                <w:rFonts w:ascii="Times New Roman" w:hAnsi="Times New Roman" w:cs="Times New Roman"/>
                <w:sz w:val="21"/>
              </w:rPr>
              <w:t>25</w:t>
            </w:r>
          </w:p>
        </w:tc>
      </w:tr>
      <w:tr w:rsidR="002D0AE7" w14:paraId="7E99BB78" w14:textId="77777777">
        <w:trPr>
          <w:jc w:val="center"/>
        </w:trPr>
        <w:tc>
          <w:tcPr>
            <w:tcW w:w="3557" w:type="pct"/>
            <w:shd w:val="clear" w:color="auto" w:fill="auto"/>
            <w:vAlign w:val="center"/>
          </w:tcPr>
          <w:p w14:paraId="3123A5B9" w14:textId="77777777" w:rsidR="002D0AE7" w:rsidRDefault="00333EBB">
            <w:pPr>
              <w:jc w:val="center"/>
              <w:rPr>
                <w:rFonts w:hint="eastAsia"/>
                <w:sz w:val="21"/>
              </w:rPr>
            </w:pPr>
            <w:r>
              <w:rPr>
                <w:sz w:val="21"/>
              </w:rPr>
              <w:t>美国大圣贸易技术开发有限公司</w:t>
            </w:r>
          </w:p>
        </w:tc>
        <w:tc>
          <w:tcPr>
            <w:tcW w:w="1443" w:type="pct"/>
            <w:shd w:val="clear" w:color="auto" w:fill="auto"/>
          </w:tcPr>
          <w:p w14:paraId="3F997E94" w14:textId="77777777" w:rsidR="002D0AE7" w:rsidRDefault="00333EBB">
            <w:pPr>
              <w:jc w:val="center"/>
              <w:rPr>
                <w:rFonts w:ascii="Times New Roman" w:hAnsi="Times New Roman" w:cs="Times New Roman"/>
                <w:sz w:val="21"/>
              </w:rPr>
            </w:pPr>
            <w:r>
              <w:rPr>
                <w:rFonts w:ascii="Times New Roman" w:hAnsi="Times New Roman" w:cs="Times New Roman"/>
                <w:sz w:val="21"/>
              </w:rPr>
              <w:t>21</w:t>
            </w:r>
          </w:p>
        </w:tc>
      </w:tr>
      <w:tr w:rsidR="002D0AE7" w14:paraId="146C8690" w14:textId="77777777">
        <w:trPr>
          <w:jc w:val="center"/>
        </w:trPr>
        <w:tc>
          <w:tcPr>
            <w:tcW w:w="3557" w:type="pct"/>
            <w:shd w:val="clear" w:color="auto" w:fill="auto"/>
            <w:vAlign w:val="center"/>
          </w:tcPr>
          <w:p w14:paraId="6AB9E446" w14:textId="77777777" w:rsidR="002D0AE7" w:rsidRDefault="00333EBB">
            <w:pPr>
              <w:jc w:val="center"/>
              <w:rPr>
                <w:rFonts w:hint="eastAsia"/>
                <w:sz w:val="21"/>
              </w:rPr>
            </w:pPr>
            <w:r>
              <w:rPr>
                <w:rFonts w:hint="eastAsia"/>
                <w:sz w:val="21"/>
              </w:rPr>
              <w:t>津药药业（香港）有限公司</w:t>
            </w:r>
          </w:p>
        </w:tc>
        <w:tc>
          <w:tcPr>
            <w:tcW w:w="1443" w:type="pct"/>
            <w:shd w:val="clear" w:color="auto" w:fill="auto"/>
          </w:tcPr>
          <w:p w14:paraId="78775108" w14:textId="77777777" w:rsidR="002D0AE7" w:rsidRDefault="00333EBB">
            <w:pPr>
              <w:jc w:val="center"/>
              <w:rPr>
                <w:rFonts w:ascii="Times New Roman" w:hAnsi="Times New Roman" w:cs="Times New Roman"/>
                <w:sz w:val="21"/>
              </w:rPr>
            </w:pPr>
            <w:r>
              <w:rPr>
                <w:rFonts w:ascii="Times New Roman" w:hAnsi="Times New Roman" w:cs="Times New Roman"/>
                <w:sz w:val="21"/>
              </w:rPr>
              <w:t>16.5</w:t>
            </w:r>
          </w:p>
        </w:tc>
      </w:tr>
      <w:tr w:rsidR="002D0AE7" w14:paraId="585C3AC9" w14:textId="77777777">
        <w:trPr>
          <w:jc w:val="center"/>
        </w:trPr>
        <w:tc>
          <w:tcPr>
            <w:tcW w:w="3557" w:type="pct"/>
            <w:shd w:val="clear" w:color="auto" w:fill="auto"/>
            <w:vAlign w:val="center"/>
          </w:tcPr>
          <w:p w14:paraId="2272F019" w14:textId="77777777" w:rsidR="002D0AE7" w:rsidRDefault="00333EBB">
            <w:pPr>
              <w:jc w:val="center"/>
              <w:rPr>
                <w:rFonts w:hint="eastAsia"/>
                <w:sz w:val="21"/>
              </w:rPr>
            </w:pPr>
            <w:r>
              <w:rPr>
                <w:rFonts w:hint="eastAsia"/>
                <w:sz w:val="21"/>
              </w:rPr>
              <w:t>津药药业（新加坡）有限公司</w:t>
            </w:r>
          </w:p>
        </w:tc>
        <w:tc>
          <w:tcPr>
            <w:tcW w:w="1443" w:type="pct"/>
            <w:shd w:val="clear" w:color="auto" w:fill="auto"/>
          </w:tcPr>
          <w:p w14:paraId="2E71A1E3" w14:textId="77777777" w:rsidR="002D0AE7" w:rsidRDefault="00333EBB">
            <w:pPr>
              <w:jc w:val="center"/>
              <w:rPr>
                <w:rFonts w:ascii="Times New Roman" w:hAnsi="Times New Roman" w:cs="Times New Roman"/>
                <w:sz w:val="21"/>
              </w:rPr>
            </w:pPr>
            <w:r>
              <w:rPr>
                <w:rFonts w:ascii="Times New Roman" w:hAnsi="Times New Roman" w:cs="Times New Roman"/>
                <w:sz w:val="21"/>
              </w:rPr>
              <w:t>17</w:t>
            </w:r>
          </w:p>
        </w:tc>
      </w:tr>
    </w:tbl>
    <w:p w14:paraId="65480922" w14:textId="77777777" w:rsidR="002D0AE7" w:rsidRDefault="00333EBB">
      <w:pPr>
        <w:pStyle w:val="3"/>
        <w:numPr>
          <w:ilvl w:val="0"/>
          <w:numId w:val="42"/>
        </w:numPr>
        <w:tabs>
          <w:tab w:val="left" w:pos="546"/>
        </w:tabs>
        <w:rPr>
          <w:rFonts w:ascii="宋体" w:hAnsi="宋体" w:hint="eastAsia"/>
          <w:color w:val="000000" w:themeColor="text1"/>
        </w:rPr>
      </w:pPr>
      <w:r>
        <w:rPr>
          <w:rFonts w:ascii="宋体" w:hAnsi="宋体"/>
          <w:color w:val="000000" w:themeColor="text1"/>
        </w:rPr>
        <w:t>税收优惠</w:t>
      </w:r>
    </w:p>
    <w:sdt>
      <w:sdtPr>
        <w:rPr>
          <w:rFonts w:hint="eastAsia"/>
          <w:color w:val="000000" w:themeColor="text1"/>
        </w:rPr>
        <w:alias w:val="是否适用：税收优惠[双击切换]"/>
        <w:tag w:val="_GBC_f8eb23e7a2e74e448e4eb46519d87bd6"/>
        <w:id w:val="1652105944"/>
        <w:placeholder>
          <w:docPart w:val="GBC22222222222222222222222222222"/>
        </w:placeholder>
      </w:sdtPr>
      <w:sdtEndPr/>
      <w:sdtContent>
        <w:p w14:paraId="17934E92"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rFonts w:hint="eastAsia"/>
          <w:color w:val="000000" w:themeColor="text1"/>
        </w:rPr>
        <w:alias w:val="优惠税赋及批文"/>
        <w:tag w:val="_GBC_3bbdacdaa3ba421fb8a81b9bda047bb4"/>
        <w:id w:val="59377605"/>
        <w:placeholder>
          <w:docPart w:val="GBC22222222222222222222222222222"/>
        </w:placeholder>
      </w:sdtPr>
      <w:sdtEndPr>
        <w:rPr>
          <w:sz w:val="21"/>
        </w:rPr>
      </w:sdtEndPr>
      <w:sdtContent>
        <w:sdt>
          <w:sdtPr>
            <w:rPr>
              <w:rFonts w:hint="eastAsia"/>
            </w:rPr>
            <w:alias w:val="优惠税赋及批文"/>
            <w:tag w:val="_GBC_3bbdacdaa3ba421fb8a81b9bda047bb4"/>
            <w:id w:val="-1711325921"/>
            <w:placeholder>
              <w:docPart w:val="FED3B0B3AFBD45858BFCF194FC3E6B4B"/>
            </w:placeholder>
          </w:sdtPr>
          <w:sdtEndPr>
            <w:rPr>
              <w:sz w:val="21"/>
            </w:rPr>
          </w:sdtEndPr>
          <w:sdtContent>
            <w:p w14:paraId="0939FC20" w14:textId="77777777" w:rsidR="002D0AE7" w:rsidRDefault="00333EBB">
              <w:pPr>
                <w:ind w:firstLineChars="200" w:firstLine="480"/>
                <w:rPr>
                  <w:rFonts w:hint="eastAsia"/>
                  <w:sz w:val="21"/>
                </w:rPr>
              </w:pPr>
              <w:r>
                <w:rPr>
                  <w:rFonts w:hint="eastAsia"/>
                  <w:sz w:val="21"/>
                </w:rPr>
                <w:t>本公司注册于天津开发区西区新业九街</w:t>
              </w:r>
              <w:r>
                <w:rPr>
                  <w:sz w:val="21"/>
                </w:rPr>
                <w:t>19</w:t>
              </w:r>
              <w:r>
                <w:rPr>
                  <w:sz w:val="21"/>
                </w:rPr>
                <w:t>号，通过国家级高新技术企业认定，企业所得税税率为</w:t>
              </w:r>
              <w:r>
                <w:rPr>
                  <w:sz w:val="21"/>
                </w:rPr>
                <w:t>15%</w:t>
              </w:r>
              <w:r>
                <w:rPr>
                  <w:sz w:val="21"/>
                </w:rPr>
                <w:t>。</w:t>
              </w:r>
            </w:p>
            <w:p w14:paraId="108A1D3D" w14:textId="77777777" w:rsidR="002D0AE7" w:rsidRDefault="00333EBB">
              <w:pPr>
                <w:ind w:firstLineChars="200" w:firstLine="420"/>
                <w:rPr>
                  <w:rFonts w:hint="eastAsia"/>
                  <w:sz w:val="21"/>
                </w:rPr>
              </w:pPr>
              <w:r>
                <w:rPr>
                  <w:rFonts w:hint="eastAsia"/>
                  <w:sz w:val="21"/>
                </w:rPr>
                <w:t>子公司津药和平（天津）制药有限公司注册于天津开发区黄海路</w:t>
              </w:r>
              <w:r>
                <w:rPr>
                  <w:sz w:val="21"/>
                </w:rPr>
                <w:t>221</w:t>
              </w:r>
              <w:r>
                <w:rPr>
                  <w:sz w:val="21"/>
                </w:rPr>
                <w:t>号，通过国家级高新技术企业认定，企业所得税税率为</w:t>
              </w:r>
              <w:r>
                <w:rPr>
                  <w:sz w:val="21"/>
                </w:rPr>
                <w:t>15%</w:t>
              </w:r>
              <w:r>
                <w:rPr>
                  <w:sz w:val="21"/>
                </w:rPr>
                <w:t>。</w:t>
              </w:r>
            </w:p>
            <w:p w14:paraId="1D9056D3" w14:textId="77777777" w:rsidR="002D0AE7" w:rsidRDefault="00333EBB">
              <w:pPr>
                <w:ind w:firstLineChars="200" w:firstLine="420"/>
                <w:rPr>
                  <w:rFonts w:hint="eastAsia"/>
                  <w:sz w:val="21"/>
                </w:rPr>
              </w:pPr>
              <w:r>
                <w:rPr>
                  <w:rFonts w:hint="eastAsia"/>
                  <w:sz w:val="21"/>
                </w:rPr>
                <w:t>子公司天津信卓国际贸易有限公司注册于天津自贸试验区</w:t>
              </w:r>
              <w:r>
                <w:rPr>
                  <w:sz w:val="21"/>
                </w:rPr>
                <w:t>(</w:t>
              </w:r>
              <w:r>
                <w:rPr>
                  <w:sz w:val="21"/>
                </w:rPr>
                <w:t>中心商务区</w:t>
              </w:r>
              <w:r>
                <w:rPr>
                  <w:sz w:val="21"/>
                </w:rPr>
                <w:t>)</w:t>
              </w:r>
              <w:r>
                <w:rPr>
                  <w:sz w:val="21"/>
                </w:rPr>
                <w:t>燕赵大厦，符合小型微利企业条件，应纳税所得额不超过</w:t>
              </w:r>
              <w:r>
                <w:rPr>
                  <w:sz w:val="21"/>
                </w:rPr>
                <w:t>100</w:t>
              </w:r>
              <w:r>
                <w:rPr>
                  <w:sz w:val="21"/>
                </w:rPr>
                <w:t>万元的部分，减按</w:t>
              </w:r>
              <w:r>
                <w:rPr>
                  <w:sz w:val="21"/>
                </w:rPr>
                <w:t>12.5%</w:t>
              </w:r>
              <w:r>
                <w:rPr>
                  <w:sz w:val="21"/>
                </w:rPr>
                <w:t>计入应纳税所得额，按</w:t>
              </w:r>
              <w:r>
                <w:rPr>
                  <w:sz w:val="21"/>
                </w:rPr>
                <w:t>20%</w:t>
              </w:r>
              <w:r>
                <w:rPr>
                  <w:sz w:val="21"/>
                </w:rPr>
                <w:t>的税率缴纳企业所得税；应纳税所得额超过</w:t>
              </w:r>
              <w:r>
                <w:rPr>
                  <w:sz w:val="21"/>
                </w:rPr>
                <w:t>100</w:t>
              </w:r>
              <w:r>
                <w:rPr>
                  <w:sz w:val="21"/>
                </w:rPr>
                <w:t>万元但不超过</w:t>
              </w:r>
              <w:r>
                <w:rPr>
                  <w:sz w:val="21"/>
                </w:rPr>
                <w:t>300</w:t>
              </w:r>
              <w:r>
                <w:rPr>
                  <w:sz w:val="21"/>
                </w:rPr>
                <w:t>万元的部分，减按</w:t>
              </w:r>
              <w:r>
                <w:rPr>
                  <w:sz w:val="21"/>
                </w:rPr>
                <w:t>25%</w:t>
              </w:r>
              <w:r>
                <w:rPr>
                  <w:sz w:val="21"/>
                </w:rPr>
                <w:t>计入应纳税所得额，按</w:t>
              </w:r>
              <w:r>
                <w:rPr>
                  <w:sz w:val="21"/>
                </w:rPr>
                <w:t>20%</w:t>
              </w:r>
              <w:r>
                <w:rPr>
                  <w:sz w:val="21"/>
                </w:rPr>
                <w:t>的税率缴纳企业所得税。</w:t>
              </w:r>
            </w:p>
            <w:p w14:paraId="455F8FD4" w14:textId="77777777" w:rsidR="002D0AE7" w:rsidRDefault="00333EBB">
              <w:pPr>
                <w:ind w:firstLineChars="200" w:firstLine="420"/>
                <w:rPr>
                  <w:rFonts w:hint="eastAsia"/>
                  <w:sz w:val="21"/>
                </w:rPr>
              </w:pPr>
              <w:r>
                <w:rPr>
                  <w:rFonts w:hint="eastAsia"/>
                  <w:sz w:val="21"/>
                </w:rPr>
                <w:t>子公司湖北津药药业股份有限公司注册于湖北襄阳市汉江北路</w:t>
              </w:r>
              <w:r>
                <w:rPr>
                  <w:sz w:val="21"/>
                </w:rPr>
                <w:t>99</w:t>
              </w:r>
              <w:r>
                <w:rPr>
                  <w:sz w:val="21"/>
                </w:rPr>
                <w:t>号，通过国家级高新技术企业认定，企业所得税税率为</w:t>
              </w:r>
              <w:r>
                <w:rPr>
                  <w:sz w:val="21"/>
                </w:rPr>
                <w:t>15%</w:t>
              </w:r>
              <w:r>
                <w:rPr>
                  <w:sz w:val="21"/>
                </w:rPr>
                <w:t>。</w:t>
              </w:r>
            </w:p>
          </w:sdtContent>
        </w:sdt>
      </w:sdtContent>
    </w:sdt>
    <w:p w14:paraId="7E1D942D" w14:textId="77777777" w:rsidR="002D0AE7" w:rsidRDefault="00333EBB">
      <w:pPr>
        <w:pStyle w:val="3"/>
        <w:numPr>
          <w:ilvl w:val="0"/>
          <w:numId w:val="42"/>
        </w:numPr>
        <w:tabs>
          <w:tab w:val="left" w:pos="546"/>
        </w:tabs>
        <w:rPr>
          <w:rFonts w:ascii="宋体" w:hAnsi="宋体" w:hint="eastAsia"/>
          <w:color w:val="000000" w:themeColor="text1"/>
        </w:rPr>
      </w:pPr>
      <w:r>
        <w:rPr>
          <w:rFonts w:ascii="宋体" w:hAnsi="宋体"/>
          <w:color w:val="000000" w:themeColor="text1"/>
        </w:rPr>
        <w:t>其他</w:t>
      </w:r>
    </w:p>
    <w:sdt>
      <w:sdtPr>
        <w:rPr>
          <w:rFonts w:hint="eastAsia"/>
          <w:color w:val="000000" w:themeColor="text1"/>
        </w:rPr>
        <w:alias w:val="是否适用：税项说明[双击切换]"/>
        <w:tag w:val="_GBC_566ef0a7141a4b2ca002ad8d0663c462"/>
        <w:id w:val="1680460050"/>
        <w:placeholder>
          <w:docPart w:val="GBC22222222222222222222222222222"/>
        </w:placeholder>
      </w:sdtPr>
      <w:sdtEndPr/>
      <w:sdtContent>
        <w:p w14:paraId="4FCA6C38"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23A69383" w14:textId="77777777" w:rsidR="002D0AE7" w:rsidRDefault="00333EBB">
      <w:pPr>
        <w:pStyle w:val="2"/>
        <w:numPr>
          <w:ilvl w:val="0"/>
          <w:numId w:val="34"/>
        </w:numPr>
        <w:ind w:left="482" w:hanging="482"/>
        <w:rPr>
          <w:rFonts w:ascii="宋体" w:hAnsi="宋体" w:hint="eastAsia"/>
          <w:color w:val="000000" w:themeColor="text1"/>
        </w:rPr>
      </w:pPr>
      <w:r>
        <w:rPr>
          <w:rFonts w:ascii="宋体" w:hAnsi="宋体" w:hint="eastAsia"/>
          <w:color w:val="000000" w:themeColor="text1"/>
        </w:rPr>
        <w:t>合并财务报表项目注释</w:t>
      </w:r>
    </w:p>
    <w:p w14:paraId="4875C309" w14:textId="77777777" w:rsidR="002D0AE7" w:rsidRDefault="00333EBB">
      <w:pPr>
        <w:pStyle w:val="3"/>
        <w:numPr>
          <w:ilvl w:val="0"/>
          <w:numId w:val="43"/>
        </w:numPr>
        <w:rPr>
          <w:color w:val="000000" w:themeColor="text1"/>
          <w:szCs w:val="21"/>
        </w:rPr>
      </w:pPr>
      <w:bookmarkStart w:id="142" w:name="_Hlk167884561"/>
      <w:r>
        <w:rPr>
          <w:color w:val="000000" w:themeColor="text1"/>
          <w:szCs w:val="21"/>
        </w:rPr>
        <w:t>货币资金</w:t>
      </w:r>
    </w:p>
    <w:sdt>
      <w:sdtPr>
        <w:rPr>
          <w:rFonts w:hint="eastAsia"/>
          <w:color w:val="000000" w:themeColor="text1"/>
        </w:rPr>
        <w:alias w:val="是否适用：货币资金[双击切换]"/>
        <w:tag w:val="_GBC_5f3519836df54c60a57659bf8a9d755e"/>
        <w:id w:val="1165824245"/>
        <w:placeholder>
          <w:docPart w:val="GBC22222222222222222222222222222"/>
        </w:placeholder>
      </w:sdtPr>
      <w:sdtEndPr/>
      <w:sdtContent>
        <w:p w14:paraId="68C7FDD1" w14:textId="77777777" w:rsidR="002D0AE7" w:rsidRDefault="00333EBB">
          <w:pPr>
            <w:snapToGrid w:val="0"/>
            <w:spacing w:line="240" w:lineRule="atLeast"/>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5B613B0D" w14:textId="77777777" w:rsidR="002D0AE7" w:rsidRDefault="00333EBB">
      <w:pPr>
        <w:snapToGrid w:val="0"/>
        <w:spacing w:line="240" w:lineRule="atLeast"/>
        <w:jc w:val="right"/>
        <w:rPr>
          <w:rFonts w:hint="eastAsia"/>
          <w:color w:val="000000" w:themeColor="text1"/>
        </w:rPr>
      </w:pPr>
      <w:r>
        <w:rPr>
          <w:rFonts w:hint="eastAsia"/>
          <w:color w:val="000000" w:themeColor="text1"/>
        </w:rPr>
        <w:t>单位：</w:t>
      </w:r>
      <w:sdt>
        <w:sdtPr>
          <w:rPr>
            <w:rFonts w:hint="eastAsia"/>
            <w:color w:val="000000" w:themeColor="text1"/>
          </w:rPr>
          <w:alias w:val="单位：财务附注：货币资金"/>
          <w:tag w:val="_GBC_fbefd7cb6bcc4b278e8eafe562f64817"/>
          <w:id w:val="-98154645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货币资金"/>
          <w:tag w:val="_GBC_c76577cdfdc64a9abb84903fd74497a4"/>
          <w:id w:val="-111367062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4107"/>
        <w:gridCol w:w="2410"/>
        <w:gridCol w:w="2306"/>
      </w:tblGrid>
      <w:tr w:rsidR="002D0AE7" w14:paraId="5F7F0445" w14:textId="77777777">
        <w:trPr>
          <w:cantSplit/>
        </w:trPr>
        <w:sdt>
          <w:sdtPr>
            <w:rPr>
              <w:color w:val="000000" w:themeColor="text1"/>
              <w:sz w:val="21"/>
            </w:rPr>
            <w:tag w:val="_PLD_c298b96ff42b4ec08ce0bc2e7ff09d9d"/>
            <w:id w:val="2043939150"/>
          </w:sdtPr>
          <w:sdtEndPr/>
          <w:sdtContent>
            <w:tc>
              <w:tcPr>
                <w:tcW w:w="2327" w:type="pct"/>
                <w:shd w:val="clear" w:color="auto" w:fill="auto"/>
                <w:vAlign w:val="center"/>
              </w:tcPr>
              <w:p w14:paraId="3C2352CA" w14:textId="77777777" w:rsidR="002D0AE7" w:rsidRDefault="00333EBB">
                <w:pPr>
                  <w:autoSpaceDE w:val="0"/>
                  <w:autoSpaceDN w:val="0"/>
                  <w:adjustRightInd w:val="0"/>
                  <w:snapToGrid w:val="0"/>
                  <w:spacing w:line="240" w:lineRule="atLeast"/>
                  <w:jc w:val="center"/>
                  <w:rPr>
                    <w:rFonts w:hint="eastAsia"/>
                    <w:color w:val="000000" w:themeColor="text1"/>
                    <w:sz w:val="21"/>
                  </w:rPr>
                </w:pPr>
                <w:r>
                  <w:rPr>
                    <w:rFonts w:hint="eastAsia"/>
                    <w:color w:val="000000" w:themeColor="text1"/>
                    <w:sz w:val="21"/>
                  </w:rPr>
                  <w:t>项目</w:t>
                </w:r>
              </w:p>
            </w:tc>
          </w:sdtContent>
        </w:sdt>
        <w:sdt>
          <w:sdtPr>
            <w:rPr>
              <w:color w:val="000000" w:themeColor="text1"/>
              <w:sz w:val="21"/>
            </w:rPr>
            <w:tag w:val="_PLD_410d387a5f404c958f8ba18c816ca023"/>
            <w:id w:val="23921589"/>
          </w:sdtPr>
          <w:sdtEndPr/>
          <w:sdtContent>
            <w:tc>
              <w:tcPr>
                <w:tcW w:w="1366" w:type="pct"/>
                <w:shd w:val="clear" w:color="auto" w:fill="auto"/>
                <w:vAlign w:val="center"/>
              </w:tcPr>
              <w:p w14:paraId="322BECE5" w14:textId="77777777" w:rsidR="002D0AE7" w:rsidRDefault="00333EBB">
                <w:pPr>
                  <w:autoSpaceDE w:val="0"/>
                  <w:autoSpaceDN w:val="0"/>
                  <w:adjustRightInd w:val="0"/>
                  <w:snapToGrid w:val="0"/>
                  <w:spacing w:line="240" w:lineRule="atLeast"/>
                  <w:jc w:val="center"/>
                  <w:rPr>
                    <w:rFonts w:hint="eastAsia"/>
                    <w:color w:val="000000" w:themeColor="text1"/>
                    <w:sz w:val="21"/>
                  </w:rPr>
                </w:pPr>
                <w:r>
                  <w:rPr>
                    <w:rFonts w:hint="eastAsia"/>
                    <w:color w:val="000000" w:themeColor="text1"/>
                    <w:sz w:val="21"/>
                  </w:rPr>
                  <w:t>期末余额</w:t>
                </w:r>
              </w:p>
            </w:tc>
          </w:sdtContent>
        </w:sdt>
        <w:sdt>
          <w:sdtPr>
            <w:rPr>
              <w:color w:val="000000" w:themeColor="text1"/>
              <w:sz w:val="21"/>
            </w:rPr>
            <w:tag w:val="_PLD_04102c94e9134fa683ae3d0eac53465c"/>
            <w:id w:val="-2068485309"/>
          </w:sdtPr>
          <w:sdtEndPr/>
          <w:sdtContent>
            <w:tc>
              <w:tcPr>
                <w:tcW w:w="1307" w:type="pct"/>
                <w:shd w:val="clear" w:color="auto" w:fill="auto"/>
                <w:vAlign w:val="center"/>
              </w:tcPr>
              <w:p w14:paraId="5A2BDB0A" w14:textId="77777777" w:rsidR="002D0AE7" w:rsidRDefault="00333EBB">
                <w:pPr>
                  <w:autoSpaceDE w:val="0"/>
                  <w:autoSpaceDN w:val="0"/>
                  <w:adjustRightInd w:val="0"/>
                  <w:snapToGrid w:val="0"/>
                  <w:spacing w:line="240" w:lineRule="atLeast"/>
                  <w:jc w:val="center"/>
                  <w:rPr>
                    <w:rFonts w:hint="eastAsia"/>
                    <w:color w:val="000000" w:themeColor="text1"/>
                    <w:sz w:val="21"/>
                  </w:rPr>
                </w:pPr>
                <w:r>
                  <w:rPr>
                    <w:rFonts w:hint="eastAsia"/>
                    <w:color w:val="000000" w:themeColor="text1"/>
                    <w:sz w:val="21"/>
                  </w:rPr>
                  <w:t>期初余额</w:t>
                </w:r>
              </w:p>
            </w:tc>
          </w:sdtContent>
        </w:sdt>
      </w:tr>
      <w:tr w:rsidR="002D0AE7" w14:paraId="6530E661" w14:textId="77777777">
        <w:trPr>
          <w:cantSplit/>
        </w:trPr>
        <w:tc>
          <w:tcPr>
            <w:tcW w:w="2327" w:type="pct"/>
            <w:shd w:val="clear" w:color="auto" w:fill="auto"/>
          </w:tcPr>
          <w:p w14:paraId="26D3ABA7" w14:textId="77777777" w:rsidR="002D0AE7" w:rsidRDefault="00333EBB">
            <w:pPr>
              <w:autoSpaceDE w:val="0"/>
              <w:autoSpaceDN w:val="0"/>
              <w:adjustRightInd w:val="0"/>
              <w:snapToGrid w:val="0"/>
              <w:spacing w:line="240" w:lineRule="atLeast"/>
              <w:rPr>
                <w:rFonts w:hint="eastAsia"/>
                <w:color w:val="000000" w:themeColor="text1"/>
                <w:sz w:val="21"/>
              </w:rPr>
            </w:pPr>
            <w:r>
              <w:rPr>
                <w:rFonts w:hint="eastAsia"/>
                <w:color w:val="000000" w:themeColor="text1"/>
                <w:sz w:val="21"/>
              </w:rPr>
              <w:t>库存现金</w:t>
            </w:r>
          </w:p>
        </w:tc>
        <w:tc>
          <w:tcPr>
            <w:tcW w:w="1366" w:type="pct"/>
            <w:shd w:val="clear" w:color="auto" w:fill="auto"/>
          </w:tcPr>
          <w:p w14:paraId="216CDE51" w14:textId="77777777" w:rsidR="002D0AE7" w:rsidRDefault="00333EBB">
            <w:pPr>
              <w:autoSpaceDE w:val="0"/>
              <w:autoSpaceDN w:val="0"/>
              <w:adjustRightInd w:val="0"/>
              <w:snapToGrid w:val="0"/>
              <w:spacing w:line="240" w:lineRule="atLeast"/>
              <w:jc w:val="right"/>
              <w:rPr>
                <w:rFonts w:ascii="Times New Roman" w:hAnsi="Times New Roman" w:cs="Times New Roman"/>
                <w:sz w:val="21"/>
              </w:rPr>
            </w:pPr>
            <w:r>
              <w:rPr>
                <w:rFonts w:ascii="Times New Roman" w:hAnsi="Times New Roman" w:cs="Times New Roman"/>
                <w:color w:val="000000"/>
                <w:sz w:val="21"/>
              </w:rPr>
              <w:t>2,745.18</w:t>
            </w:r>
          </w:p>
        </w:tc>
        <w:tc>
          <w:tcPr>
            <w:tcW w:w="1307" w:type="pct"/>
            <w:shd w:val="clear" w:color="auto" w:fill="auto"/>
          </w:tcPr>
          <w:p w14:paraId="68998930" w14:textId="77777777" w:rsidR="002D0AE7" w:rsidRDefault="00333EBB">
            <w:pPr>
              <w:autoSpaceDE w:val="0"/>
              <w:autoSpaceDN w:val="0"/>
              <w:adjustRightInd w:val="0"/>
              <w:snapToGrid w:val="0"/>
              <w:spacing w:line="240" w:lineRule="atLeast"/>
              <w:jc w:val="right"/>
              <w:rPr>
                <w:rFonts w:ascii="Times New Roman" w:hAnsi="Times New Roman" w:cs="Times New Roman"/>
                <w:sz w:val="21"/>
              </w:rPr>
            </w:pPr>
            <w:r>
              <w:rPr>
                <w:rFonts w:ascii="Times New Roman" w:hAnsi="Times New Roman" w:cs="Times New Roman"/>
                <w:color w:val="000000"/>
                <w:sz w:val="21"/>
              </w:rPr>
              <w:t>2,757.66</w:t>
            </w:r>
          </w:p>
        </w:tc>
      </w:tr>
      <w:tr w:rsidR="002D0AE7" w14:paraId="58B31784" w14:textId="77777777">
        <w:trPr>
          <w:cantSplit/>
        </w:trPr>
        <w:tc>
          <w:tcPr>
            <w:tcW w:w="2327" w:type="pct"/>
            <w:shd w:val="clear" w:color="auto" w:fill="auto"/>
          </w:tcPr>
          <w:p w14:paraId="2002FF51" w14:textId="77777777" w:rsidR="002D0AE7" w:rsidRDefault="00333EBB">
            <w:pPr>
              <w:autoSpaceDE w:val="0"/>
              <w:autoSpaceDN w:val="0"/>
              <w:adjustRightInd w:val="0"/>
              <w:snapToGrid w:val="0"/>
              <w:spacing w:line="240" w:lineRule="atLeast"/>
              <w:rPr>
                <w:rFonts w:hint="eastAsia"/>
                <w:color w:val="000000" w:themeColor="text1"/>
                <w:sz w:val="21"/>
              </w:rPr>
            </w:pPr>
            <w:r>
              <w:rPr>
                <w:rFonts w:hint="eastAsia"/>
                <w:color w:val="000000" w:themeColor="text1"/>
                <w:sz w:val="21"/>
              </w:rPr>
              <w:t>银行存款</w:t>
            </w:r>
          </w:p>
        </w:tc>
        <w:tc>
          <w:tcPr>
            <w:tcW w:w="1366" w:type="pct"/>
            <w:shd w:val="clear" w:color="auto" w:fill="auto"/>
          </w:tcPr>
          <w:p w14:paraId="2E09855E" w14:textId="77777777" w:rsidR="002D0AE7" w:rsidRDefault="00333EBB">
            <w:pPr>
              <w:autoSpaceDE w:val="0"/>
              <w:autoSpaceDN w:val="0"/>
              <w:adjustRightInd w:val="0"/>
              <w:snapToGrid w:val="0"/>
              <w:spacing w:line="240" w:lineRule="atLeast"/>
              <w:jc w:val="right"/>
              <w:rPr>
                <w:rFonts w:ascii="Times New Roman" w:hAnsi="Times New Roman" w:cs="Times New Roman"/>
                <w:sz w:val="21"/>
              </w:rPr>
            </w:pPr>
            <w:r>
              <w:rPr>
                <w:rFonts w:ascii="Times New Roman" w:hAnsi="Times New Roman" w:cs="Times New Roman"/>
                <w:color w:val="000000"/>
                <w:sz w:val="21"/>
              </w:rPr>
              <w:t>253,712,125.36</w:t>
            </w:r>
          </w:p>
        </w:tc>
        <w:tc>
          <w:tcPr>
            <w:tcW w:w="1307" w:type="pct"/>
            <w:shd w:val="clear" w:color="auto" w:fill="auto"/>
          </w:tcPr>
          <w:p w14:paraId="3E4E30CE" w14:textId="77777777" w:rsidR="002D0AE7" w:rsidRDefault="00333EBB">
            <w:pPr>
              <w:autoSpaceDE w:val="0"/>
              <w:autoSpaceDN w:val="0"/>
              <w:adjustRightInd w:val="0"/>
              <w:snapToGrid w:val="0"/>
              <w:spacing w:line="240" w:lineRule="atLeast"/>
              <w:jc w:val="right"/>
              <w:rPr>
                <w:rFonts w:ascii="Times New Roman" w:hAnsi="Times New Roman" w:cs="Times New Roman"/>
                <w:sz w:val="21"/>
              </w:rPr>
            </w:pPr>
            <w:r>
              <w:rPr>
                <w:rFonts w:ascii="Times New Roman" w:hAnsi="Times New Roman" w:cs="Times New Roman"/>
                <w:color w:val="000000"/>
                <w:sz w:val="21"/>
              </w:rPr>
              <w:t>116,477,411.33</w:t>
            </w:r>
          </w:p>
        </w:tc>
      </w:tr>
      <w:tr w:rsidR="002D0AE7" w14:paraId="5635776F" w14:textId="77777777">
        <w:trPr>
          <w:cantSplit/>
        </w:trPr>
        <w:tc>
          <w:tcPr>
            <w:tcW w:w="2327" w:type="pct"/>
            <w:shd w:val="clear" w:color="auto" w:fill="auto"/>
          </w:tcPr>
          <w:p w14:paraId="699A0422" w14:textId="77777777" w:rsidR="002D0AE7" w:rsidRDefault="00333EBB">
            <w:pPr>
              <w:autoSpaceDE w:val="0"/>
              <w:autoSpaceDN w:val="0"/>
              <w:adjustRightInd w:val="0"/>
              <w:snapToGrid w:val="0"/>
              <w:spacing w:line="240" w:lineRule="atLeast"/>
              <w:rPr>
                <w:rFonts w:hint="eastAsia"/>
                <w:color w:val="000000" w:themeColor="text1"/>
                <w:sz w:val="21"/>
              </w:rPr>
            </w:pPr>
            <w:r>
              <w:rPr>
                <w:rFonts w:hint="eastAsia"/>
                <w:color w:val="000000" w:themeColor="text1"/>
                <w:sz w:val="21"/>
              </w:rPr>
              <w:t>其他货币资金</w:t>
            </w:r>
          </w:p>
        </w:tc>
        <w:tc>
          <w:tcPr>
            <w:tcW w:w="1366" w:type="pct"/>
            <w:shd w:val="clear" w:color="auto" w:fill="auto"/>
          </w:tcPr>
          <w:p w14:paraId="549D7CBE" w14:textId="77777777" w:rsidR="002D0AE7" w:rsidRDefault="00333EBB">
            <w:pPr>
              <w:autoSpaceDE w:val="0"/>
              <w:autoSpaceDN w:val="0"/>
              <w:adjustRightInd w:val="0"/>
              <w:snapToGrid w:val="0"/>
              <w:spacing w:line="240" w:lineRule="atLeast"/>
              <w:jc w:val="right"/>
              <w:rPr>
                <w:rFonts w:ascii="Times New Roman" w:hAnsi="Times New Roman" w:cs="Times New Roman"/>
                <w:sz w:val="21"/>
              </w:rPr>
            </w:pPr>
            <w:r>
              <w:rPr>
                <w:rFonts w:ascii="Times New Roman" w:hAnsi="Times New Roman" w:cs="Times New Roman"/>
                <w:color w:val="000000"/>
                <w:sz w:val="21"/>
              </w:rPr>
              <w:t>31,863,170.14</w:t>
            </w:r>
          </w:p>
        </w:tc>
        <w:tc>
          <w:tcPr>
            <w:tcW w:w="1307" w:type="pct"/>
            <w:shd w:val="clear" w:color="auto" w:fill="auto"/>
          </w:tcPr>
          <w:p w14:paraId="38C7708C" w14:textId="77777777" w:rsidR="002D0AE7" w:rsidRDefault="00333EBB">
            <w:pPr>
              <w:autoSpaceDE w:val="0"/>
              <w:autoSpaceDN w:val="0"/>
              <w:adjustRightInd w:val="0"/>
              <w:snapToGrid w:val="0"/>
              <w:spacing w:line="240" w:lineRule="atLeast"/>
              <w:jc w:val="right"/>
              <w:rPr>
                <w:rFonts w:ascii="Times New Roman" w:hAnsi="Times New Roman" w:cs="Times New Roman"/>
                <w:sz w:val="21"/>
              </w:rPr>
            </w:pPr>
            <w:r>
              <w:rPr>
                <w:rFonts w:ascii="Times New Roman" w:hAnsi="Times New Roman" w:cs="Times New Roman"/>
                <w:color w:val="000000"/>
                <w:sz w:val="21"/>
              </w:rPr>
              <w:t>11,926,821.50</w:t>
            </w:r>
          </w:p>
        </w:tc>
      </w:tr>
      <w:tr w:rsidR="002D0AE7" w14:paraId="2D14C186" w14:textId="77777777">
        <w:trPr>
          <w:cantSplit/>
        </w:trPr>
        <w:tc>
          <w:tcPr>
            <w:tcW w:w="2327" w:type="pct"/>
            <w:shd w:val="clear" w:color="auto" w:fill="auto"/>
          </w:tcPr>
          <w:p w14:paraId="5C33CF97" w14:textId="77777777" w:rsidR="002D0AE7" w:rsidRDefault="00333EBB">
            <w:pPr>
              <w:autoSpaceDE w:val="0"/>
              <w:autoSpaceDN w:val="0"/>
              <w:adjustRightInd w:val="0"/>
              <w:snapToGrid w:val="0"/>
              <w:spacing w:line="240" w:lineRule="atLeast"/>
              <w:rPr>
                <w:rFonts w:hint="eastAsia"/>
                <w:color w:val="000000" w:themeColor="text1"/>
                <w:sz w:val="21"/>
              </w:rPr>
            </w:pPr>
            <w:r>
              <w:rPr>
                <w:rFonts w:hint="eastAsia"/>
                <w:color w:val="000000" w:themeColor="text1"/>
                <w:sz w:val="21"/>
              </w:rPr>
              <w:t>存放财务公司存款</w:t>
            </w:r>
          </w:p>
        </w:tc>
        <w:tc>
          <w:tcPr>
            <w:tcW w:w="1366" w:type="pct"/>
            <w:shd w:val="clear" w:color="auto" w:fill="auto"/>
          </w:tcPr>
          <w:p w14:paraId="4AAFADC5" w14:textId="77777777" w:rsidR="002D0AE7" w:rsidRDefault="00333EBB">
            <w:pPr>
              <w:tabs>
                <w:tab w:val="left" w:pos="2350"/>
              </w:tabs>
              <w:autoSpaceDE w:val="0"/>
              <w:autoSpaceDN w:val="0"/>
              <w:adjustRightInd w:val="0"/>
              <w:snapToGrid w:val="0"/>
              <w:spacing w:line="240" w:lineRule="atLeast"/>
              <w:jc w:val="right"/>
              <w:rPr>
                <w:rFonts w:ascii="Times New Roman" w:hAnsi="Times New Roman" w:cs="Times New Roman"/>
                <w:sz w:val="21"/>
              </w:rPr>
            </w:pPr>
            <w:r>
              <w:rPr>
                <w:rFonts w:ascii="Times New Roman" w:hAnsi="Times New Roman" w:cs="Times New Roman"/>
                <w:color w:val="000000"/>
                <w:sz w:val="21"/>
              </w:rPr>
              <w:t>442,739,396.62</w:t>
            </w:r>
          </w:p>
        </w:tc>
        <w:tc>
          <w:tcPr>
            <w:tcW w:w="1307" w:type="pct"/>
            <w:shd w:val="clear" w:color="auto" w:fill="auto"/>
          </w:tcPr>
          <w:p w14:paraId="50AA3735" w14:textId="77777777" w:rsidR="002D0AE7" w:rsidRDefault="00333EBB">
            <w:pPr>
              <w:autoSpaceDE w:val="0"/>
              <w:autoSpaceDN w:val="0"/>
              <w:adjustRightInd w:val="0"/>
              <w:snapToGrid w:val="0"/>
              <w:spacing w:line="240" w:lineRule="atLeast"/>
              <w:jc w:val="right"/>
              <w:rPr>
                <w:rFonts w:ascii="Times New Roman" w:hAnsi="Times New Roman" w:cs="Times New Roman"/>
                <w:sz w:val="21"/>
              </w:rPr>
            </w:pPr>
            <w:r>
              <w:rPr>
                <w:rFonts w:ascii="Times New Roman" w:hAnsi="Times New Roman" w:cs="Times New Roman"/>
                <w:color w:val="000000"/>
                <w:sz w:val="21"/>
              </w:rPr>
              <w:t>590,449,401.38</w:t>
            </w:r>
          </w:p>
        </w:tc>
      </w:tr>
      <w:tr w:rsidR="002D0AE7" w14:paraId="44AA5EC8" w14:textId="77777777">
        <w:trPr>
          <w:cantSplit/>
        </w:trPr>
        <w:tc>
          <w:tcPr>
            <w:tcW w:w="2327" w:type="pct"/>
            <w:shd w:val="clear" w:color="auto" w:fill="auto"/>
            <w:vAlign w:val="center"/>
          </w:tcPr>
          <w:p w14:paraId="10510048" w14:textId="77777777" w:rsidR="002D0AE7" w:rsidRDefault="00333EBB">
            <w:pPr>
              <w:autoSpaceDE w:val="0"/>
              <w:autoSpaceDN w:val="0"/>
              <w:adjustRightInd w:val="0"/>
              <w:snapToGrid w:val="0"/>
              <w:spacing w:line="240" w:lineRule="atLeast"/>
              <w:rPr>
                <w:rFonts w:hint="eastAsia"/>
                <w:color w:val="000000" w:themeColor="text1"/>
                <w:sz w:val="21"/>
              </w:rPr>
            </w:pPr>
            <w:r>
              <w:rPr>
                <w:rFonts w:hint="eastAsia"/>
                <w:color w:val="000000" w:themeColor="text1"/>
                <w:sz w:val="21"/>
              </w:rPr>
              <w:lastRenderedPageBreak/>
              <w:t>合计</w:t>
            </w:r>
          </w:p>
        </w:tc>
        <w:tc>
          <w:tcPr>
            <w:tcW w:w="1366" w:type="pct"/>
            <w:shd w:val="clear" w:color="auto" w:fill="auto"/>
          </w:tcPr>
          <w:p w14:paraId="0E849264" w14:textId="77777777" w:rsidR="002D0AE7" w:rsidRDefault="00333EBB">
            <w:pPr>
              <w:autoSpaceDE w:val="0"/>
              <w:autoSpaceDN w:val="0"/>
              <w:adjustRightInd w:val="0"/>
              <w:snapToGrid w:val="0"/>
              <w:spacing w:line="240" w:lineRule="atLeast"/>
              <w:jc w:val="right"/>
              <w:rPr>
                <w:rFonts w:ascii="Times New Roman" w:hAnsi="Times New Roman" w:cs="Times New Roman"/>
                <w:sz w:val="21"/>
              </w:rPr>
            </w:pPr>
            <w:r>
              <w:rPr>
                <w:rFonts w:ascii="Times New Roman" w:hAnsi="Times New Roman" w:cs="Times New Roman"/>
                <w:color w:val="000000"/>
                <w:sz w:val="21"/>
              </w:rPr>
              <w:t>728,317,437.30</w:t>
            </w:r>
          </w:p>
        </w:tc>
        <w:tc>
          <w:tcPr>
            <w:tcW w:w="1307" w:type="pct"/>
            <w:shd w:val="clear" w:color="auto" w:fill="auto"/>
          </w:tcPr>
          <w:p w14:paraId="0EF0BDB4" w14:textId="77777777" w:rsidR="002D0AE7" w:rsidRDefault="00333EBB">
            <w:pPr>
              <w:autoSpaceDE w:val="0"/>
              <w:autoSpaceDN w:val="0"/>
              <w:adjustRightInd w:val="0"/>
              <w:snapToGrid w:val="0"/>
              <w:spacing w:line="240" w:lineRule="atLeast"/>
              <w:jc w:val="right"/>
              <w:rPr>
                <w:rFonts w:ascii="Times New Roman" w:hAnsi="Times New Roman" w:cs="Times New Roman"/>
                <w:sz w:val="21"/>
              </w:rPr>
            </w:pPr>
            <w:r>
              <w:rPr>
                <w:rFonts w:ascii="Times New Roman" w:hAnsi="Times New Roman" w:cs="Times New Roman"/>
                <w:color w:val="000000"/>
                <w:sz w:val="21"/>
              </w:rPr>
              <w:t>718,856,391.87</w:t>
            </w:r>
          </w:p>
        </w:tc>
      </w:tr>
      <w:tr w:rsidR="002D0AE7" w14:paraId="4774D7DA" w14:textId="77777777">
        <w:trPr>
          <w:cantSplit/>
        </w:trPr>
        <w:tc>
          <w:tcPr>
            <w:tcW w:w="2327" w:type="pct"/>
            <w:shd w:val="clear" w:color="auto" w:fill="auto"/>
          </w:tcPr>
          <w:p w14:paraId="570307EE" w14:textId="77777777" w:rsidR="002D0AE7" w:rsidRDefault="00333EBB">
            <w:pPr>
              <w:autoSpaceDE w:val="0"/>
              <w:autoSpaceDN w:val="0"/>
              <w:adjustRightInd w:val="0"/>
              <w:snapToGrid w:val="0"/>
              <w:spacing w:line="240" w:lineRule="atLeast"/>
              <w:ind w:firstLineChars="100" w:firstLine="210"/>
              <w:jc w:val="center"/>
              <w:rPr>
                <w:rFonts w:hint="eastAsia"/>
                <w:color w:val="000000" w:themeColor="text1"/>
                <w:sz w:val="21"/>
              </w:rPr>
            </w:pPr>
            <w:r>
              <w:rPr>
                <w:rFonts w:hint="eastAsia"/>
                <w:color w:val="000000" w:themeColor="text1"/>
                <w:sz w:val="21"/>
              </w:rPr>
              <w:t>其中：存放在境外的款项总额</w:t>
            </w:r>
          </w:p>
        </w:tc>
        <w:tc>
          <w:tcPr>
            <w:tcW w:w="1366" w:type="pct"/>
            <w:shd w:val="clear" w:color="auto" w:fill="auto"/>
          </w:tcPr>
          <w:p w14:paraId="2A54172B" w14:textId="77777777" w:rsidR="002D0AE7" w:rsidRDefault="00333EBB">
            <w:pPr>
              <w:autoSpaceDE w:val="0"/>
              <w:autoSpaceDN w:val="0"/>
              <w:adjustRightInd w:val="0"/>
              <w:snapToGrid w:val="0"/>
              <w:spacing w:line="240" w:lineRule="atLeast"/>
              <w:jc w:val="right"/>
              <w:rPr>
                <w:rFonts w:ascii="Times New Roman" w:hAnsi="Times New Roman" w:cs="Times New Roman"/>
                <w:sz w:val="21"/>
              </w:rPr>
            </w:pPr>
            <w:r>
              <w:rPr>
                <w:rFonts w:ascii="Times New Roman" w:hAnsi="Times New Roman" w:cs="Times New Roman"/>
                <w:color w:val="000000"/>
                <w:sz w:val="21"/>
              </w:rPr>
              <w:t>23,284,595.67</w:t>
            </w:r>
          </w:p>
        </w:tc>
        <w:tc>
          <w:tcPr>
            <w:tcW w:w="1307" w:type="pct"/>
            <w:shd w:val="clear" w:color="auto" w:fill="auto"/>
          </w:tcPr>
          <w:p w14:paraId="7709A110" w14:textId="77777777" w:rsidR="002D0AE7" w:rsidRDefault="00333EBB">
            <w:pPr>
              <w:autoSpaceDE w:val="0"/>
              <w:autoSpaceDN w:val="0"/>
              <w:adjustRightInd w:val="0"/>
              <w:snapToGrid w:val="0"/>
              <w:spacing w:line="240" w:lineRule="atLeast"/>
              <w:jc w:val="right"/>
              <w:rPr>
                <w:rFonts w:ascii="Times New Roman" w:hAnsi="Times New Roman" w:cs="Times New Roman"/>
                <w:sz w:val="21"/>
              </w:rPr>
            </w:pPr>
            <w:r>
              <w:rPr>
                <w:rFonts w:ascii="Times New Roman" w:hAnsi="Times New Roman" w:cs="Times New Roman"/>
                <w:color w:val="000000"/>
                <w:sz w:val="21"/>
              </w:rPr>
              <w:t>24,521,343.50</w:t>
            </w:r>
          </w:p>
        </w:tc>
      </w:tr>
    </w:tbl>
    <w:p w14:paraId="6889958B" w14:textId="77777777" w:rsidR="002D0AE7" w:rsidRDefault="00333EBB">
      <w:pPr>
        <w:rPr>
          <w:rFonts w:hint="eastAsia"/>
          <w:color w:val="000000" w:themeColor="text1"/>
        </w:rPr>
      </w:pPr>
      <w:r>
        <w:rPr>
          <w:rFonts w:hint="eastAsia"/>
          <w:color w:val="000000" w:themeColor="text1"/>
        </w:rPr>
        <w:t>其他说明</w:t>
      </w:r>
    </w:p>
    <w:p w14:paraId="013ADD0D" w14:textId="77777777" w:rsidR="002D0AE7" w:rsidRDefault="00333EBB">
      <w:pPr>
        <w:rPr>
          <w:rFonts w:hint="eastAsia"/>
          <w:color w:val="000000" w:themeColor="text1"/>
        </w:rPr>
      </w:pPr>
      <w:sdt>
        <w:sdtPr>
          <w:rPr>
            <w:color w:val="000000" w:themeColor="text1"/>
          </w:rPr>
          <w:alias w:val="货币资金的说明"/>
          <w:tag w:val="_GBC_2938fcf8616141aca7cb2bc277476b5d"/>
          <w:id w:val="1418907067"/>
          <w:placeholder>
            <w:docPart w:val="GBC22222222222222222222222222222"/>
          </w:placeholder>
        </w:sdtPr>
        <w:sdtEndPr/>
        <w:sdtContent>
          <w:r>
            <w:rPr>
              <w:rFonts w:hint="eastAsia"/>
              <w:color w:val="000000" w:themeColor="text1"/>
              <w:sz w:val="21"/>
            </w:rPr>
            <w:t>银行存款中使用受限的金额为</w:t>
          </w:r>
          <w:r>
            <w:rPr>
              <w:rFonts w:ascii="Times New Roman" w:hAnsi="Times New Roman" w:cs="Times New Roman"/>
              <w:color w:val="000000" w:themeColor="text1"/>
              <w:sz w:val="21"/>
            </w:rPr>
            <w:t>3,926,286.34</w:t>
          </w:r>
          <w:r>
            <w:rPr>
              <w:color w:val="000000" w:themeColor="text1"/>
              <w:sz w:val="21"/>
            </w:rPr>
            <w:t>元，包括环保专项资金</w:t>
          </w:r>
          <w:r>
            <w:rPr>
              <w:rFonts w:ascii="Times New Roman" w:hAnsi="Times New Roman" w:cs="Times New Roman"/>
              <w:color w:val="000000" w:themeColor="text1"/>
              <w:sz w:val="21"/>
            </w:rPr>
            <w:t>3,925,686.34</w:t>
          </w:r>
          <w:r>
            <w:rPr>
              <w:color w:val="000000" w:themeColor="text1"/>
              <w:sz w:val="21"/>
            </w:rPr>
            <w:t>元，</w:t>
          </w:r>
          <w:r>
            <w:rPr>
              <w:color w:val="000000" w:themeColor="text1"/>
              <w:sz w:val="21"/>
            </w:rPr>
            <w:t>ETC</w:t>
          </w:r>
          <w:r>
            <w:rPr>
              <w:color w:val="000000" w:themeColor="text1"/>
              <w:sz w:val="21"/>
            </w:rPr>
            <w:t>业务保证金</w:t>
          </w:r>
          <w:r>
            <w:rPr>
              <w:rFonts w:ascii="Times New Roman" w:hAnsi="Times New Roman" w:cs="Times New Roman"/>
              <w:color w:val="000000" w:themeColor="text1"/>
              <w:sz w:val="21"/>
            </w:rPr>
            <w:t>600.00</w:t>
          </w:r>
          <w:r>
            <w:rPr>
              <w:color w:val="000000" w:themeColor="text1"/>
              <w:sz w:val="21"/>
            </w:rPr>
            <w:t>元。其他货币资金中使用受限制的金额合计为</w:t>
          </w:r>
          <w:r>
            <w:rPr>
              <w:rFonts w:ascii="Times New Roman" w:hAnsi="Times New Roman" w:cs="Times New Roman"/>
              <w:color w:val="000000" w:themeColor="text1"/>
              <w:sz w:val="21"/>
            </w:rPr>
            <w:t>31,863,170.14</w:t>
          </w:r>
          <w:r>
            <w:rPr>
              <w:color w:val="000000" w:themeColor="text1"/>
              <w:sz w:val="21"/>
            </w:rPr>
            <w:t>元，包括银行承兑汇票保证金存款</w:t>
          </w:r>
          <w:r>
            <w:rPr>
              <w:rFonts w:ascii="Times New Roman" w:hAnsi="Times New Roman" w:cs="Times New Roman"/>
              <w:color w:val="000000" w:themeColor="text1"/>
              <w:sz w:val="21"/>
            </w:rPr>
            <w:t>29,641,377.54</w:t>
          </w:r>
          <w:r>
            <w:rPr>
              <w:color w:val="000000" w:themeColor="text1"/>
              <w:sz w:val="21"/>
            </w:rPr>
            <w:t>元、信用证保证金存款</w:t>
          </w:r>
          <w:r>
            <w:rPr>
              <w:rFonts w:ascii="Times New Roman" w:hAnsi="Times New Roman" w:cs="Times New Roman"/>
              <w:color w:val="000000" w:themeColor="text1"/>
              <w:sz w:val="21"/>
            </w:rPr>
            <w:t>1,056,315.00</w:t>
          </w:r>
          <w:r>
            <w:rPr>
              <w:color w:val="000000" w:themeColor="text1"/>
              <w:sz w:val="21"/>
            </w:rPr>
            <w:t>元、农民工工资保证金</w:t>
          </w:r>
          <w:r>
            <w:rPr>
              <w:rFonts w:ascii="Times New Roman" w:hAnsi="Times New Roman" w:cs="Times New Roman"/>
              <w:color w:val="000000" w:themeColor="text1"/>
              <w:sz w:val="21"/>
            </w:rPr>
            <w:t>1,165,477.60</w:t>
          </w:r>
          <w:r>
            <w:rPr>
              <w:color w:val="000000" w:themeColor="text1"/>
              <w:sz w:val="21"/>
            </w:rPr>
            <w:t>元。</w:t>
          </w:r>
        </w:sdtContent>
      </w:sdt>
    </w:p>
    <w:bookmarkEnd w:id="142"/>
    <w:p w14:paraId="4A3EF03F" w14:textId="77777777" w:rsidR="002D0AE7" w:rsidRDefault="00333EBB">
      <w:pPr>
        <w:pStyle w:val="3"/>
        <w:numPr>
          <w:ilvl w:val="0"/>
          <w:numId w:val="43"/>
        </w:numPr>
        <w:rPr>
          <w:rFonts w:ascii="宋体" w:hAnsi="宋体" w:hint="eastAsia"/>
          <w:color w:val="000000" w:themeColor="text1"/>
        </w:rPr>
      </w:pPr>
      <w:r>
        <w:rPr>
          <w:rFonts w:ascii="宋体" w:hAnsi="宋体" w:hint="eastAsia"/>
          <w:color w:val="000000" w:themeColor="text1"/>
        </w:rPr>
        <w:t>应收账款</w:t>
      </w:r>
    </w:p>
    <w:p w14:paraId="6B938763" w14:textId="77777777" w:rsidR="002D0AE7" w:rsidRDefault="00333EBB">
      <w:pPr>
        <w:pStyle w:val="4"/>
        <w:numPr>
          <w:ilvl w:val="3"/>
          <w:numId w:val="44"/>
        </w:numPr>
        <w:ind w:left="426" w:hanging="426"/>
        <w:rPr>
          <w:color w:val="000000" w:themeColor="text1"/>
        </w:rPr>
      </w:pPr>
      <w:bookmarkStart w:id="143" w:name="_Hlk167885161"/>
      <w:r>
        <w:rPr>
          <w:rFonts w:hint="eastAsia"/>
          <w:color w:val="000000" w:themeColor="text1"/>
        </w:rPr>
        <w:t>按账龄披露</w:t>
      </w:r>
    </w:p>
    <w:sdt>
      <w:sdtPr>
        <w:rPr>
          <w:rFonts w:hint="eastAsia"/>
          <w:color w:val="000000" w:themeColor="text1"/>
        </w:rPr>
        <w:alias w:val="是否适用：组合中，按账龄分析法计提坏账准备的应收账款[双击切换]"/>
        <w:tag w:val="_GBC_0cb5a49c5db74995bd3018603d9e51bd"/>
        <w:id w:val="128680234"/>
        <w:placeholder>
          <w:docPart w:val="GBC22222222222222222222222222222"/>
        </w:placeholder>
      </w:sdtPr>
      <w:sdtEndPr/>
      <w:sdtContent>
        <w:p w14:paraId="15BDD8DA"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2F34EEA6"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单项金额不重大但按信用风险特征组合后该组合的风险较大的应收账款"/>
          <w:tag w:val="_GBC_265ded289d9549b48b782b655857ce0f"/>
          <w:id w:val="202018838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单项金额不重大但按信用风险特征组合后该组合的风险较大的应收账款"/>
          <w:tag w:val="_GBC_180ea8d33f6444f78eff9694acd980ae"/>
          <w:id w:val="10008275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2975"/>
        <w:gridCol w:w="2975"/>
      </w:tblGrid>
      <w:tr w:rsidR="002D0AE7" w14:paraId="0163FB34" w14:textId="77777777">
        <w:trPr>
          <w:cantSplit/>
        </w:trPr>
        <w:bookmarkEnd w:id="143" w:displacedByCustomXml="next"/>
        <w:bookmarkStart w:id="144" w:name="_Hlk10467162" w:displacedByCustomXml="next"/>
        <w:sdt>
          <w:sdtPr>
            <w:rPr>
              <w:color w:val="000000" w:themeColor="text1"/>
              <w:sz w:val="21"/>
            </w:rPr>
            <w:tag w:val="_PLD_213499a1ef1849a6bacc47a55e2a94f7"/>
            <w:id w:val="-1658455931"/>
          </w:sdtPr>
          <w:sdtEndPr/>
          <w:sdtContent>
            <w:tc>
              <w:tcPr>
                <w:tcW w:w="1628" w:type="pct"/>
                <w:tcBorders>
                  <w:top w:val="single" w:sz="4" w:space="0" w:color="auto"/>
                  <w:left w:val="single" w:sz="4" w:space="0" w:color="auto"/>
                  <w:bottom w:val="single" w:sz="4" w:space="0" w:color="auto"/>
                  <w:right w:val="single" w:sz="4" w:space="0" w:color="auto"/>
                </w:tcBorders>
                <w:vAlign w:val="center"/>
              </w:tcPr>
              <w:p w14:paraId="1CB42CC6" w14:textId="77777777" w:rsidR="002D0AE7" w:rsidRDefault="00333EBB">
                <w:pPr>
                  <w:jc w:val="center"/>
                  <w:rPr>
                    <w:rFonts w:hint="eastAsia"/>
                    <w:color w:val="000000" w:themeColor="text1"/>
                    <w:sz w:val="21"/>
                  </w:rPr>
                </w:pPr>
                <w:r>
                  <w:rPr>
                    <w:rFonts w:hint="eastAsia"/>
                    <w:color w:val="000000" w:themeColor="text1"/>
                    <w:sz w:val="21"/>
                  </w:rPr>
                  <w:t>账龄</w:t>
                </w:r>
              </w:p>
            </w:tc>
          </w:sdtContent>
        </w:sdt>
        <w:sdt>
          <w:sdtPr>
            <w:rPr>
              <w:color w:val="000000" w:themeColor="text1"/>
              <w:sz w:val="21"/>
            </w:rPr>
            <w:tag w:val="_PLD_80e3ddf3d703438d9bc59aba1626c89f"/>
            <w:id w:val="1865325792"/>
          </w:sdtPr>
          <w:sdtEndPr/>
          <w:sdtContent>
            <w:tc>
              <w:tcPr>
                <w:tcW w:w="1686" w:type="pct"/>
                <w:tcBorders>
                  <w:top w:val="single" w:sz="4" w:space="0" w:color="auto"/>
                  <w:left w:val="single" w:sz="4" w:space="0" w:color="auto"/>
                  <w:bottom w:val="single" w:sz="4" w:space="0" w:color="auto"/>
                  <w:right w:val="single" w:sz="4" w:space="0" w:color="auto"/>
                </w:tcBorders>
                <w:vAlign w:val="center"/>
              </w:tcPr>
              <w:p w14:paraId="472672EF" w14:textId="77777777" w:rsidR="002D0AE7" w:rsidRDefault="00333EBB">
                <w:pPr>
                  <w:jc w:val="center"/>
                  <w:rPr>
                    <w:rFonts w:hint="eastAsia"/>
                    <w:color w:val="000000" w:themeColor="text1"/>
                    <w:sz w:val="21"/>
                  </w:rPr>
                </w:pPr>
                <w:r>
                  <w:rPr>
                    <w:rFonts w:hint="eastAsia"/>
                    <w:color w:val="000000" w:themeColor="text1"/>
                    <w:sz w:val="21"/>
                  </w:rPr>
                  <w:t>期末账面余额</w:t>
                </w:r>
              </w:p>
            </w:tc>
          </w:sdtContent>
        </w:sdt>
        <w:sdt>
          <w:sdtPr>
            <w:rPr>
              <w:rFonts w:hint="eastAsia"/>
              <w:color w:val="000000" w:themeColor="text1"/>
              <w:sz w:val="21"/>
            </w:rPr>
            <w:tag w:val="_PLD_4acf836dd5254d2ba9d541e7076daad6"/>
            <w:id w:val="-1521090948"/>
          </w:sdtPr>
          <w:sdtEndPr/>
          <w:sdtContent>
            <w:tc>
              <w:tcPr>
                <w:tcW w:w="1686" w:type="pct"/>
                <w:tcBorders>
                  <w:top w:val="single" w:sz="4" w:space="0" w:color="auto"/>
                  <w:left w:val="single" w:sz="4" w:space="0" w:color="auto"/>
                  <w:bottom w:val="single" w:sz="4" w:space="0" w:color="auto"/>
                  <w:right w:val="single" w:sz="4" w:space="0" w:color="auto"/>
                </w:tcBorders>
              </w:tcPr>
              <w:p w14:paraId="29140DD9" w14:textId="77777777" w:rsidR="002D0AE7" w:rsidRDefault="00333EBB">
                <w:pPr>
                  <w:jc w:val="center"/>
                  <w:rPr>
                    <w:rFonts w:hint="eastAsia"/>
                    <w:color w:val="000000" w:themeColor="text1"/>
                    <w:sz w:val="21"/>
                  </w:rPr>
                </w:pPr>
                <w:r>
                  <w:rPr>
                    <w:rFonts w:hint="eastAsia"/>
                    <w:color w:val="000000" w:themeColor="text1"/>
                    <w:sz w:val="21"/>
                  </w:rPr>
                  <w:t>期初账面余额</w:t>
                </w:r>
              </w:p>
            </w:tc>
          </w:sdtContent>
        </w:sdt>
      </w:tr>
      <w:tr w:rsidR="002D0AE7" w14:paraId="27B3F079" w14:textId="77777777">
        <w:trPr>
          <w:cantSplit/>
        </w:trPr>
        <w:sdt>
          <w:sdtPr>
            <w:rPr>
              <w:color w:val="000000" w:themeColor="text1"/>
              <w:sz w:val="21"/>
            </w:rPr>
            <w:tag w:val="_PLD_37c8ceb117234cbb9f63d89ba7fd1656"/>
            <w:id w:val="1513649434"/>
          </w:sdtPr>
          <w:sdtEndPr/>
          <w:sdtContent>
            <w:tc>
              <w:tcPr>
                <w:tcW w:w="5000" w:type="pct"/>
                <w:gridSpan w:val="3"/>
                <w:tcBorders>
                  <w:top w:val="single" w:sz="4" w:space="0" w:color="auto"/>
                  <w:left w:val="single" w:sz="4" w:space="0" w:color="auto"/>
                  <w:bottom w:val="single" w:sz="4" w:space="0" w:color="auto"/>
                  <w:right w:val="single" w:sz="4" w:space="0" w:color="auto"/>
                </w:tcBorders>
              </w:tcPr>
              <w:p w14:paraId="73A8A44C" w14:textId="77777777" w:rsidR="002D0AE7" w:rsidRDefault="00333EBB">
                <w:pPr>
                  <w:rPr>
                    <w:rFonts w:hint="eastAsia"/>
                    <w:color w:val="000000" w:themeColor="text1"/>
                    <w:sz w:val="21"/>
                  </w:rPr>
                </w:pPr>
                <w:r>
                  <w:rPr>
                    <w:rFonts w:hint="eastAsia"/>
                    <w:color w:val="000000" w:themeColor="text1"/>
                    <w:sz w:val="21"/>
                  </w:rPr>
                  <w:t>1</w:t>
                </w:r>
                <w:r>
                  <w:rPr>
                    <w:rFonts w:hint="eastAsia"/>
                    <w:color w:val="000000" w:themeColor="text1"/>
                    <w:sz w:val="21"/>
                  </w:rPr>
                  <w:t>年以内</w:t>
                </w:r>
              </w:p>
            </w:tc>
          </w:sdtContent>
        </w:sdt>
      </w:tr>
      <w:tr w:rsidR="002D0AE7" w14:paraId="1F0FB1DC" w14:textId="77777777">
        <w:trPr>
          <w:cantSplit/>
        </w:trPr>
        <w:sdt>
          <w:sdtPr>
            <w:rPr>
              <w:color w:val="000000" w:themeColor="text1"/>
              <w:sz w:val="21"/>
            </w:rPr>
            <w:tag w:val="_PLD_5dbb08f253e945cb85c3a63533465ab0"/>
            <w:id w:val="-909616303"/>
          </w:sdtPr>
          <w:sdtEndPr/>
          <w:sdtContent>
            <w:tc>
              <w:tcPr>
                <w:tcW w:w="5000" w:type="pct"/>
                <w:gridSpan w:val="3"/>
                <w:tcBorders>
                  <w:top w:val="single" w:sz="4" w:space="0" w:color="auto"/>
                  <w:left w:val="single" w:sz="4" w:space="0" w:color="auto"/>
                  <w:bottom w:val="single" w:sz="4" w:space="0" w:color="auto"/>
                  <w:right w:val="single" w:sz="4" w:space="0" w:color="auto"/>
                </w:tcBorders>
              </w:tcPr>
              <w:p w14:paraId="3D1D1086" w14:textId="77777777" w:rsidR="002D0AE7" w:rsidRDefault="00333EBB">
                <w:pPr>
                  <w:rPr>
                    <w:rFonts w:hint="eastAsia"/>
                    <w:color w:val="000000" w:themeColor="text1"/>
                    <w:sz w:val="21"/>
                  </w:rPr>
                </w:pPr>
                <w:r>
                  <w:rPr>
                    <w:rFonts w:hint="eastAsia"/>
                    <w:color w:val="000000" w:themeColor="text1"/>
                    <w:sz w:val="21"/>
                  </w:rPr>
                  <w:t>其中：</w:t>
                </w:r>
                <w:r>
                  <w:rPr>
                    <w:rFonts w:hint="eastAsia"/>
                    <w:color w:val="000000" w:themeColor="text1"/>
                    <w:sz w:val="21"/>
                  </w:rPr>
                  <w:t>1</w:t>
                </w:r>
                <w:r>
                  <w:rPr>
                    <w:rFonts w:hint="eastAsia"/>
                    <w:color w:val="000000" w:themeColor="text1"/>
                    <w:sz w:val="21"/>
                  </w:rPr>
                  <w:t>年以内分项</w:t>
                </w:r>
              </w:p>
            </w:tc>
          </w:sdtContent>
        </w:sdt>
      </w:tr>
      <w:tr w:rsidR="002D0AE7" w14:paraId="7CC82EEB" w14:textId="77777777">
        <w:trPr>
          <w:cantSplit/>
        </w:trPr>
        <w:tc>
          <w:tcPr>
            <w:tcW w:w="1628" w:type="pct"/>
            <w:tcBorders>
              <w:top w:val="single" w:sz="4" w:space="0" w:color="auto"/>
              <w:left w:val="single" w:sz="4" w:space="0" w:color="auto"/>
              <w:bottom w:val="single" w:sz="4" w:space="0" w:color="auto"/>
              <w:right w:val="single" w:sz="4" w:space="0" w:color="auto"/>
            </w:tcBorders>
          </w:tcPr>
          <w:p w14:paraId="3826FBD8" w14:textId="77777777" w:rsidR="002D0AE7" w:rsidRDefault="00333EBB">
            <w:pPr>
              <w:rPr>
                <w:rFonts w:hint="eastAsia"/>
                <w:sz w:val="21"/>
              </w:rPr>
            </w:pPr>
            <w:r>
              <w:rPr>
                <w:sz w:val="21"/>
              </w:rPr>
              <w:t>3</w:t>
            </w:r>
            <w:r>
              <w:rPr>
                <w:sz w:val="21"/>
              </w:rPr>
              <w:t>个月以内</w:t>
            </w:r>
          </w:p>
        </w:tc>
        <w:tc>
          <w:tcPr>
            <w:tcW w:w="1686" w:type="pct"/>
            <w:tcBorders>
              <w:top w:val="single" w:sz="4" w:space="0" w:color="auto"/>
              <w:left w:val="single" w:sz="4" w:space="0" w:color="auto"/>
              <w:bottom w:val="single" w:sz="4" w:space="0" w:color="auto"/>
              <w:right w:val="single" w:sz="4" w:space="0" w:color="auto"/>
            </w:tcBorders>
            <w:vAlign w:val="center"/>
          </w:tcPr>
          <w:p w14:paraId="4A986CC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426,930,595.89</w:t>
            </w:r>
          </w:p>
        </w:tc>
        <w:tc>
          <w:tcPr>
            <w:tcW w:w="1686" w:type="pct"/>
            <w:tcBorders>
              <w:top w:val="single" w:sz="4" w:space="0" w:color="auto"/>
              <w:left w:val="single" w:sz="4" w:space="0" w:color="auto"/>
              <w:bottom w:val="single" w:sz="4" w:space="0" w:color="auto"/>
              <w:right w:val="single" w:sz="4" w:space="0" w:color="auto"/>
            </w:tcBorders>
            <w:vAlign w:val="center"/>
          </w:tcPr>
          <w:p w14:paraId="5491E9EE" w14:textId="77777777" w:rsidR="002D0AE7" w:rsidRDefault="00333EBB">
            <w:pPr>
              <w:jc w:val="right"/>
              <w:rPr>
                <w:rFonts w:ascii="Times New Roman" w:hAnsi="Times New Roman" w:cs="Times New Roman"/>
                <w:sz w:val="21"/>
              </w:rPr>
            </w:pPr>
            <w:r>
              <w:rPr>
                <w:rFonts w:ascii="Times New Roman" w:hAnsi="Times New Roman" w:cs="Times New Roman"/>
                <w:sz w:val="21"/>
              </w:rPr>
              <w:t>429,950,533.44</w:t>
            </w:r>
          </w:p>
        </w:tc>
      </w:tr>
      <w:tr w:rsidR="002D0AE7" w14:paraId="6FE18420" w14:textId="77777777">
        <w:trPr>
          <w:cantSplit/>
        </w:trPr>
        <w:tc>
          <w:tcPr>
            <w:tcW w:w="1628" w:type="pct"/>
            <w:tcBorders>
              <w:top w:val="single" w:sz="4" w:space="0" w:color="auto"/>
              <w:left w:val="single" w:sz="4" w:space="0" w:color="auto"/>
              <w:bottom w:val="single" w:sz="4" w:space="0" w:color="auto"/>
              <w:right w:val="single" w:sz="4" w:space="0" w:color="auto"/>
            </w:tcBorders>
          </w:tcPr>
          <w:p w14:paraId="26BCD6F2" w14:textId="77777777" w:rsidR="002D0AE7" w:rsidRDefault="00333EBB">
            <w:pPr>
              <w:rPr>
                <w:rFonts w:hint="eastAsia"/>
                <w:sz w:val="21"/>
              </w:rPr>
            </w:pPr>
            <w:r>
              <w:rPr>
                <w:sz w:val="21"/>
              </w:rPr>
              <w:t>3</w:t>
            </w:r>
            <w:r>
              <w:rPr>
                <w:sz w:val="21"/>
              </w:rPr>
              <w:t>个月至</w:t>
            </w:r>
            <w:r>
              <w:rPr>
                <w:sz w:val="21"/>
              </w:rPr>
              <w:t>1</w:t>
            </w:r>
            <w:r>
              <w:rPr>
                <w:sz w:val="21"/>
              </w:rPr>
              <w:t>年</w:t>
            </w:r>
          </w:p>
        </w:tc>
        <w:tc>
          <w:tcPr>
            <w:tcW w:w="1686" w:type="pct"/>
            <w:tcBorders>
              <w:top w:val="single" w:sz="4" w:space="0" w:color="auto"/>
              <w:left w:val="single" w:sz="4" w:space="0" w:color="auto"/>
              <w:bottom w:val="single" w:sz="4" w:space="0" w:color="auto"/>
              <w:right w:val="single" w:sz="4" w:space="0" w:color="auto"/>
            </w:tcBorders>
            <w:vAlign w:val="center"/>
          </w:tcPr>
          <w:p w14:paraId="358ED93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14,626,832.63</w:t>
            </w:r>
          </w:p>
        </w:tc>
        <w:tc>
          <w:tcPr>
            <w:tcW w:w="1686" w:type="pct"/>
            <w:tcBorders>
              <w:top w:val="single" w:sz="4" w:space="0" w:color="auto"/>
              <w:left w:val="single" w:sz="4" w:space="0" w:color="auto"/>
              <w:bottom w:val="single" w:sz="4" w:space="0" w:color="auto"/>
              <w:right w:val="single" w:sz="4" w:space="0" w:color="auto"/>
            </w:tcBorders>
            <w:vAlign w:val="center"/>
          </w:tcPr>
          <w:p w14:paraId="442F912F"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r>
      <w:tr w:rsidR="002D0AE7" w14:paraId="74639C9F" w14:textId="77777777">
        <w:trPr>
          <w:cantSplit/>
        </w:trPr>
        <w:tc>
          <w:tcPr>
            <w:tcW w:w="1628" w:type="pct"/>
            <w:tcBorders>
              <w:top w:val="single" w:sz="4" w:space="0" w:color="auto"/>
              <w:left w:val="single" w:sz="4" w:space="0" w:color="auto"/>
              <w:bottom w:val="single" w:sz="4" w:space="0" w:color="auto"/>
              <w:right w:val="single" w:sz="4" w:space="0" w:color="auto"/>
            </w:tcBorders>
          </w:tcPr>
          <w:p w14:paraId="3996A77A" w14:textId="77777777" w:rsidR="002D0AE7" w:rsidRDefault="00333EBB">
            <w:pPr>
              <w:rPr>
                <w:rFonts w:hint="eastAsia"/>
                <w:color w:val="000000" w:themeColor="text1"/>
                <w:sz w:val="21"/>
              </w:rPr>
            </w:pPr>
            <w:r>
              <w:rPr>
                <w:rFonts w:hint="eastAsia"/>
                <w:color w:val="000000" w:themeColor="text1"/>
                <w:sz w:val="21"/>
              </w:rPr>
              <w:t>1</w:t>
            </w:r>
            <w:r>
              <w:rPr>
                <w:rFonts w:hint="eastAsia"/>
                <w:color w:val="000000" w:themeColor="text1"/>
                <w:sz w:val="21"/>
              </w:rPr>
              <w:t>年以内小计</w:t>
            </w:r>
          </w:p>
        </w:tc>
        <w:tc>
          <w:tcPr>
            <w:tcW w:w="1686" w:type="pct"/>
            <w:tcBorders>
              <w:top w:val="single" w:sz="4" w:space="0" w:color="auto"/>
              <w:left w:val="single" w:sz="4" w:space="0" w:color="auto"/>
              <w:bottom w:val="single" w:sz="4" w:space="0" w:color="auto"/>
              <w:right w:val="single" w:sz="4" w:space="0" w:color="auto"/>
            </w:tcBorders>
            <w:vAlign w:val="center"/>
          </w:tcPr>
          <w:p w14:paraId="63A3C3DE" w14:textId="77777777" w:rsidR="002D0AE7" w:rsidRDefault="00333EBB">
            <w:pPr>
              <w:jc w:val="right"/>
              <w:rPr>
                <w:rFonts w:ascii="Times New Roman" w:hAnsi="Times New Roman" w:cs="Times New Roman"/>
                <w:sz w:val="21"/>
              </w:rPr>
            </w:pPr>
            <w:r>
              <w:rPr>
                <w:rFonts w:ascii="Times New Roman" w:hAnsi="Times New Roman" w:cs="Times New Roman"/>
                <w:sz w:val="21"/>
              </w:rPr>
              <w:t>441,557,428.52</w:t>
            </w:r>
          </w:p>
        </w:tc>
        <w:tc>
          <w:tcPr>
            <w:tcW w:w="1686" w:type="pct"/>
            <w:tcBorders>
              <w:top w:val="single" w:sz="4" w:space="0" w:color="auto"/>
              <w:left w:val="single" w:sz="4" w:space="0" w:color="auto"/>
              <w:bottom w:val="single" w:sz="4" w:space="0" w:color="auto"/>
              <w:right w:val="single" w:sz="4" w:space="0" w:color="auto"/>
            </w:tcBorders>
            <w:vAlign w:val="center"/>
          </w:tcPr>
          <w:p w14:paraId="1C9DFF9B" w14:textId="77777777" w:rsidR="002D0AE7" w:rsidRDefault="00333EBB">
            <w:pPr>
              <w:jc w:val="right"/>
              <w:rPr>
                <w:rFonts w:ascii="Times New Roman" w:hAnsi="Times New Roman" w:cs="Times New Roman"/>
                <w:sz w:val="21"/>
              </w:rPr>
            </w:pPr>
            <w:r>
              <w:rPr>
                <w:rFonts w:ascii="Times New Roman" w:hAnsi="Times New Roman" w:cs="Times New Roman"/>
                <w:sz w:val="21"/>
              </w:rPr>
              <w:t>429,950,533.44</w:t>
            </w:r>
          </w:p>
        </w:tc>
      </w:tr>
      <w:tr w:rsidR="002D0AE7" w14:paraId="21C34E19" w14:textId="77777777">
        <w:trPr>
          <w:cantSplit/>
        </w:trPr>
        <w:tc>
          <w:tcPr>
            <w:tcW w:w="1628" w:type="pct"/>
            <w:tcBorders>
              <w:top w:val="single" w:sz="4" w:space="0" w:color="auto"/>
              <w:left w:val="single" w:sz="4" w:space="0" w:color="auto"/>
              <w:bottom w:val="single" w:sz="4" w:space="0" w:color="auto"/>
              <w:right w:val="single" w:sz="4" w:space="0" w:color="auto"/>
            </w:tcBorders>
          </w:tcPr>
          <w:p w14:paraId="2C7C6C42" w14:textId="77777777" w:rsidR="002D0AE7" w:rsidRDefault="00333EBB">
            <w:pPr>
              <w:rPr>
                <w:rFonts w:hint="eastAsia"/>
                <w:color w:val="000000" w:themeColor="text1"/>
                <w:sz w:val="21"/>
              </w:rPr>
            </w:pPr>
            <w:r>
              <w:rPr>
                <w:rFonts w:hint="eastAsia"/>
                <w:color w:val="000000" w:themeColor="text1"/>
                <w:sz w:val="21"/>
              </w:rPr>
              <w:t>1</w:t>
            </w:r>
            <w:r>
              <w:rPr>
                <w:rFonts w:hint="eastAsia"/>
                <w:color w:val="000000" w:themeColor="text1"/>
                <w:sz w:val="21"/>
              </w:rPr>
              <w:t>至</w:t>
            </w:r>
            <w:r>
              <w:rPr>
                <w:rFonts w:hint="eastAsia"/>
                <w:color w:val="000000" w:themeColor="text1"/>
                <w:sz w:val="21"/>
              </w:rPr>
              <w:t>2</w:t>
            </w:r>
            <w:r>
              <w:rPr>
                <w:rFonts w:hint="eastAsia"/>
                <w:color w:val="000000" w:themeColor="text1"/>
                <w:sz w:val="21"/>
              </w:rPr>
              <w:t>年</w:t>
            </w:r>
          </w:p>
        </w:tc>
        <w:tc>
          <w:tcPr>
            <w:tcW w:w="1686" w:type="pct"/>
            <w:tcBorders>
              <w:top w:val="single" w:sz="4" w:space="0" w:color="auto"/>
              <w:left w:val="single" w:sz="4" w:space="0" w:color="auto"/>
              <w:bottom w:val="single" w:sz="4" w:space="0" w:color="auto"/>
              <w:right w:val="single" w:sz="4" w:space="0" w:color="auto"/>
            </w:tcBorders>
            <w:vAlign w:val="center"/>
          </w:tcPr>
          <w:p w14:paraId="3C51FA6A"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c>
          <w:tcPr>
            <w:tcW w:w="1686" w:type="pct"/>
            <w:tcBorders>
              <w:top w:val="single" w:sz="4" w:space="0" w:color="auto"/>
              <w:left w:val="single" w:sz="4" w:space="0" w:color="auto"/>
              <w:bottom w:val="single" w:sz="4" w:space="0" w:color="auto"/>
              <w:right w:val="single" w:sz="4" w:space="0" w:color="auto"/>
            </w:tcBorders>
            <w:vAlign w:val="center"/>
          </w:tcPr>
          <w:p w14:paraId="30009790"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r>
      <w:tr w:rsidR="002D0AE7" w14:paraId="59093EE4" w14:textId="77777777">
        <w:trPr>
          <w:cantSplit/>
        </w:trPr>
        <w:tc>
          <w:tcPr>
            <w:tcW w:w="1628" w:type="pct"/>
            <w:tcBorders>
              <w:top w:val="single" w:sz="4" w:space="0" w:color="auto"/>
              <w:left w:val="single" w:sz="4" w:space="0" w:color="auto"/>
              <w:bottom w:val="single" w:sz="4" w:space="0" w:color="auto"/>
              <w:right w:val="single" w:sz="4" w:space="0" w:color="auto"/>
            </w:tcBorders>
          </w:tcPr>
          <w:p w14:paraId="5C97E64E" w14:textId="77777777" w:rsidR="002D0AE7" w:rsidRDefault="00333EBB">
            <w:pPr>
              <w:rPr>
                <w:rFonts w:hint="eastAsia"/>
                <w:color w:val="000000" w:themeColor="text1"/>
                <w:sz w:val="21"/>
              </w:rPr>
            </w:pPr>
            <w:r>
              <w:rPr>
                <w:rFonts w:hint="eastAsia"/>
                <w:color w:val="000000" w:themeColor="text1"/>
                <w:sz w:val="21"/>
              </w:rPr>
              <w:t>2</w:t>
            </w:r>
            <w:r>
              <w:rPr>
                <w:rFonts w:hint="eastAsia"/>
                <w:color w:val="000000" w:themeColor="text1"/>
                <w:sz w:val="21"/>
              </w:rPr>
              <w:t>至</w:t>
            </w:r>
            <w:r>
              <w:rPr>
                <w:rFonts w:hint="eastAsia"/>
                <w:color w:val="000000" w:themeColor="text1"/>
                <w:sz w:val="21"/>
              </w:rPr>
              <w:t>3</w:t>
            </w:r>
            <w:r>
              <w:rPr>
                <w:rFonts w:hint="eastAsia"/>
                <w:color w:val="000000" w:themeColor="text1"/>
                <w:sz w:val="21"/>
              </w:rPr>
              <w:t>年</w:t>
            </w:r>
          </w:p>
        </w:tc>
        <w:tc>
          <w:tcPr>
            <w:tcW w:w="1686" w:type="pct"/>
            <w:tcBorders>
              <w:top w:val="single" w:sz="4" w:space="0" w:color="auto"/>
              <w:left w:val="single" w:sz="4" w:space="0" w:color="auto"/>
              <w:bottom w:val="single" w:sz="4" w:space="0" w:color="auto"/>
              <w:right w:val="single" w:sz="4" w:space="0" w:color="auto"/>
            </w:tcBorders>
            <w:vAlign w:val="center"/>
          </w:tcPr>
          <w:p w14:paraId="4A6B1447"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c>
          <w:tcPr>
            <w:tcW w:w="1686" w:type="pct"/>
            <w:tcBorders>
              <w:top w:val="single" w:sz="4" w:space="0" w:color="auto"/>
              <w:left w:val="single" w:sz="4" w:space="0" w:color="auto"/>
              <w:bottom w:val="single" w:sz="4" w:space="0" w:color="auto"/>
              <w:right w:val="single" w:sz="4" w:space="0" w:color="auto"/>
            </w:tcBorders>
            <w:vAlign w:val="center"/>
          </w:tcPr>
          <w:p w14:paraId="08F5CEC0"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r>
      <w:tr w:rsidR="002D0AE7" w14:paraId="5F16ECC2" w14:textId="77777777">
        <w:trPr>
          <w:cantSplit/>
        </w:trPr>
        <w:tc>
          <w:tcPr>
            <w:tcW w:w="1628" w:type="pct"/>
            <w:tcBorders>
              <w:top w:val="single" w:sz="4" w:space="0" w:color="auto"/>
              <w:left w:val="single" w:sz="4" w:space="0" w:color="auto"/>
              <w:bottom w:val="single" w:sz="4" w:space="0" w:color="auto"/>
              <w:right w:val="single" w:sz="4" w:space="0" w:color="auto"/>
            </w:tcBorders>
          </w:tcPr>
          <w:p w14:paraId="52BE91EF" w14:textId="77777777" w:rsidR="002D0AE7" w:rsidRDefault="00333EBB">
            <w:pPr>
              <w:rPr>
                <w:rFonts w:hint="eastAsia"/>
                <w:color w:val="000000" w:themeColor="text1"/>
                <w:sz w:val="21"/>
              </w:rPr>
            </w:pPr>
            <w:r>
              <w:rPr>
                <w:rFonts w:hint="eastAsia"/>
                <w:color w:val="000000" w:themeColor="text1"/>
                <w:sz w:val="21"/>
              </w:rPr>
              <w:t>3</w:t>
            </w:r>
            <w:r>
              <w:rPr>
                <w:rFonts w:hint="eastAsia"/>
                <w:color w:val="000000" w:themeColor="text1"/>
                <w:sz w:val="21"/>
              </w:rPr>
              <w:t>年以上</w:t>
            </w:r>
          </w:p>
        </w:tc>
        <w:tc>
          <w:tcPr>
            <w:tcW w:w="1686" w:type="pct"/>
            <w:tcBorders>
              <w:top w:val="single" w:sz="4" w:space="0" w:color="auto"/>
              <w:left w:val="single" w:sz="4" w:space="0" w:color="auto"/>
              <w:bottom w:val="single" w:sz="4" w:space="0" w:color="auto"/>
              <w:right w:val="single" w:sz="4" w:space="0" w:color="auto"/>
            </w:tcBorders>
            <w:vAlign w:val="center"/>
          </w:tcPr>
          <w:p w14:paraId="73F1673F" w14:textId="77777777" w:rsidR="002D0AE7" w:rsidRDefault="00333EBB">
            <w:pPr>
              <w:jc w:val="right"/>
              <w:rPr>
                <w:rFonts w:ascii="Times New Roman" w:hAnsi="Times New Roman" w:cs="Times New Roman"/>
                <w:sz w:val="21"/>
              </w:rPr>
            </w:pPr>
            <w:r>
              <w:rPr>
                <w:rFonts w:ascii="Times New Roman" w:hAnsi="Times New Roman" w:cs="Times New Roman"/>
                <w:sz w:val="21"/>
              </w:rPr>
              <w:t>7,652,445.78</w:t>
            </w:r>
          </w:p>
        </w:tc>
        <w:tc>
          <w:tcPr>
            <w:tcW w:w="1686" w:type="pct"/>
            <w:tcBorders>
              <w:top w:val="single" w:sz="4" w:space="0" w:color="auto"/>
              <w:left w:val="single" w:sz="4" w:space="0" w:color="auto"/>
              <w:bottom w:val="single" w:sz="4" w:space="0" w:color="auto"/>
              <w:right w:val="single" w:sz="4" w:space="0" w:color="auto"/>
            </w:tcBorders>
            <w:vAlign w:val="center"/>
          </w:tcPr>
          <w:p w14:paraId="0F12CB88" w14:textId="77777777" w:rsidR="002D0AE7" w:rsidRDefault="00333EBB">
            <w:pPr>
              <w:jc w:val="right"/>
              <w:rPr>
                <w:rFonts w:ascii="Times New Roman" w:hAnsi="Times New Roman" w:cs="Times New Roman"/>
                <w:sz w:val="21"/>
              </w:rPr>
            </w:pPr>
            <w:r>
              <w:rPr>
                <w:rFonts w:ascii="Times New Roman" w:hAnsi="Times New Roman" w:cs="Times New Roman"/>
                <w:sz w:val="21"/>
              </w:rPr>
              <w:t>7,652,445.78</w:t>
            </w:r>
          </w:p>
        </w:tc>
      </w:tr>
      <w:tr w:rsidR="002D0AE7" w14:paraId="270E86B7" w14:textId="77777777">
        <w:trPr>
          <w:cantSplit/>
        </w:trPr>
        <w:tc>
          <w:tcPr>
            <w:tcW w:w="1628" w:type="pct"/>
            <w:tcBorders>
              <w:top w:val="single" w:sz="4" w:space="0" w:color="auto"/>
              <w:left w:val="single" w:sz="4" w:space="0" w:color="auto"/>
              <w:bottom w:val="single" w:sz="4" w:space="0" w:color="auto"/>
              <w:right w:val="single" w:sz="4" w:space="0" w:color="auto"/>
            </w:tcBorders>
            <w:vAlign w:val="center"/>
          </w:tcPr>
          <w:p w14:paraId="0D85ABD7" w14:textId="77777777" w:rsidR="002D0AE7" w:rsidRDefault="00333EBB">
            <w:pPr>
              <w:jc w:val="center"/>
              <w:rPr>
                <w:rFonts w:hint="eastAsia"/>
                <w:color w:val="000000" w:themeColor="text1"/>
                <w:sz w:val="21"/>
              </w:rPr>
            </w:pPr>
            <w:r>
              <w:rPr>
                <w:rFonts w:hint="eastAsia"/>
                <w:color w:val="000000" w:themeColor="text1"/>
                <w:sz w:val="21"/>
              </w:rPr>
              <w:t>合计</w:t>
            </w:r>
          </w:p>
        </w:tc>
        <w:tc>
          <w:tcPr>
            <w:tcW w:w="1686" w:type="pct"/>
            <w:tcBorders>
              <w:top w:val="single" w:sz="4" w:space="0" w:color="auto"/>
              <w:left w:val="single" w:sz="4" w:space="0" w:color="auto"/>
              <w:bottom w:val="single" w:sz="4" w:space="0" w:color="auto"/>
              <w:right w:val="single" w:sz="4" w:space="0" w:color="auto"/>
            </w:tcBorders>
            <w:vAlign w:val="center"/>
          </w:tcPr>
          <w:p w14:paraId="5C1E1705" w14:textId="77777777" w:rsidR="002D0AE7" w:rsidRDefault="00333EBB">
            <w:pPr>
              <w:jc w:val="right"/>
              <w:rPr>
                <w:rFonts w:ascii="Times New Roman" w:hAnsi="Times New Roman" w:cs="Times New Roman"/>
                <w:sz w:val="21"/>
              </w:rPr>
            </w:pPr>
            <w:r>
              <w:rPr>
                <w:rFonts w:ascii="Times New Roman" w:hAnsi="Times New Roman" w:cs="Times New Roman"/>
                <w:sz w:val="21"/>
              </w:rPr>
              <w:t>449,209,874.30</w:t>
            </w:r>
          </w:p>
        </w:tc>
        <w:tc>
          <w:tcPr>
            <w:tcW w:w="1686" w:type="pct"/>
            <w:tcBorders>
              <w:top w:val="single" w:sz="4" w:space="0" w:color="auto"/>
              <w:left w:val="single" w:sz="4" w:space="0" w:color="auto"/>
              <w:bottom w:val="single" w:sz="4" w:space="0" w:color="auto"/>
              <w:right w:val="single" w:sz="4" w:space="0" w:color="auto"/>
            </w:tcBorders>
            <w:vAlign w:val="center"/>
          </w:tcPr>
          <w:p w14:paraId="0965F256" w14:textId="77777777" w:rsidR="002D0AE7" w:rsidRDefault="00333EBB">
            <w:pPr>
              <w:jc w:val="right"/>
              <w:rPr>
                <w:rFonts w:ascii="Times New Roman" w:hAnsi="Times New Roman" w:cs="Times New Roman"/>
                <w:sz w:val="21"/>
              </w:rPr>
            </w:pPr>
            <w:r>
              <w:rPr>
                <w:rFonts w:ascii="Times New Roman" w:hAnsi="Times New Roman" w:cs="Times New Roman"/>
                <w:sz w:val="21"/>
              </w:rPr>
              <w:t>437,602,979.22</w:t>
            </w:r>
          </w:p>
        </w:tc>
      </w:tr>
    </w:tbl>
    <w:p w14:paraId="7352DA2B" w14:textId="77777777" w:rsidR="002D0AE7" w:rsidRDefault="00333EBB">
      <w:pPr>
        <w:pStyle w:val="4"/>
        <w:numPr>
          <w:ilvl w:val="3"/>
          <w:numId w:val="44"/>
        </w:numPr>
        <w:tabs>
          <w:tab w:val="left" w:pos="574"/>
        </w:tabs>
        <w:rPr>
          <w:rFonts w:ascii="宋体" w:hAnsi="宋体" w:hint="eastAsia"/>
          <w:color w:val="000000" w:themeColor="text1"/>
        </w:rPr>
      </w:pPr>
      <w:r>
        <w:rPr>
          <w:rFonts w:ascii="宋体" w:hAnsi="宋体" w:cstheme="minorBidi" w:hint="eastAsia"/>
          <w:color w:val="000000" w:themeColor="text1"/>
          <w:kern w:val="0"/>
          <w:szCs w:val="22"/>
        </w:rPr>
        <w:t>按坏账计提方法分类披露</w:t>
      </w:r>
    </w:p>
    <w:sdt>
      <w:sdtPr>
        <w:rPr>
          <w:color w:val="000000" w:themeColor="text1"/>
        </w:rPr>
        <w:alias w:val="是否适用：应收账款分类披露[双击切换]"/>
        <w:tag w:val="_GBC_fc55e6778e08412caa3e7b9e7a1a0f85"/>
        <w:id w:val="-1145813673"/>
        <w:lock w:val="contentLocked"/>
        <w:placeholder>
          <w:docPart w:val="GBC22222222222222222222222222222"/>
        </w:placeholder>
      </w:sdtPr>
      <w:sdtEndPr/>
      <w:sdtContent>
        <w:p w14:paraId="4C888C98"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2D868F7E" w14:textId="77777777" w:rsidR="002D0AE7" w:rsidRDefault="00333EBB">
      <w:pPr>
        <w:pStyle w:val="11"/>
        <w:rPr>
          <w:rFonts w:hint="eastAsia"/>
        </w:rPr>
      </w:pPr>
      <w:r>
        <w:rPr>
          <w:rFonts w:hint="eastAsia"/>
        </w:rPr>
        <w:t>单位：</w:t>
      </w:r>
      <w:sdt>
        <w:sdtPr>
          <w:rPr>
            <w:rFonts w:hint="eastAsia"/>
          </w:rPr>
          <w:alias w:val="单位：财务附注：应收账款按种类披露"/>
          <w:tag w:val="_GBC_13874a7a2d5642bc9d06df2e53ad133f"/>
          <w:id w:val="213181730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财务附注：应收账款按种类披露"/>
          <w:tag w:val="_GBC_a7c9ba83409d4f5ebb3a7b0903842485"/>
          <w:id w:val="-204743598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62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firstRow="1" w:lastRow="0" w:firstColumn="1" w:lastColumn="0" w:noHBand="0" w:noVBand="1"/>
      </w:tblPr>
      <w:tblGrid>
        <w:gridCol w:w="1980"/>
        <w:gridCol w:w="1133"/>
        <w:gridCol w:w="568"/>
        <w:gridCol w:w="992"/>
        <w:gridCol w:w="568"/>
        <w:gridCol w:w="1278"/>
        <w:gridCol w:w="1276"/>
        <w:gridCol w:w="568"/>
        <w:gridCol w:w="992"/>
        <w:gridCol w:w="570"/>
        <w:gridCol w:w="1167"/>
      </w:tblGrid>
      <w:tr w:rsidR="002D0AE7" w14:paraId="576065DE" w14:textId="77777777">
        <w:trPr>
          <w:cantSplit/>
          <w:trHeight w:val="259"/>
          <w:jc w:val="center"/>
        </w:trPr>
        <w:sdt>
          <w:sdtPr>
            <w:rPr>
              <w:color w:val="000000" w:themeColor="text1"/>
              <w:sz w:val="21"/>
              <w:szCs w:val="21"/>
            </w:rPr>
            <w:tag w:val="_PLD_a2143754c0e847e9a8bbb40d4548066c"/>
            <w:id w:val="764889264"/>
          </w:sdtPr>
          <w:sdtEndPr/>
          <w:sdtContent>
            <w:tc>
              <w:tcPr>
                <w:tcW w:w="893" w:type="pct"/>
                <w:vMerge w:val="restart"/>
                <w:tcBorders>
                  <w:top w:val="single" w:sz="4" w:space="0" w:color="auto"/>
                  <w:left w:val="single" w:sz="4" w:space="0" w:color="auto"/>
                  <w:right w:val="single" w:sz="4" w:space="0" w:color="auto"/>
                </w:tcBorders>
                <w:vAlign w:val="center"/>
              </w:tcPr>
              <w:p w14:paraId="1E3B9A4F" w14:textId="77777777" w:rsidR="002D0AE7" w:rsidRDefault="00333EBB">
                <w:pPr>
                  <w:jc w:val="center"/>
                  <w:rPr>
                    <w:rFonts w:hint="eastAsia"/>
                    <w:color w:val="000000" w:themeColor="text1"/>
                    <w:sz w:val="21"/>
                    <w:szCs w:val="21"/>
                  </w:rPr>
                </w:pPr>
                <w:r>
                  <w:rPr>
                    <w:rFonts w:hint="eastAsia"/>
                    <w:color w:val="000000" w:themeColor="text1"/>
                    <w:sz w:val="21"/>
                    <w:szCs w:val="21"/>
                  </w:rPr>
                  <w:t>类别</w:t>
                </w:r>
              </w:p>
            </w:tc>
          </w:sdtContent>
        </w:sdt>
        <w:sdt>
          <w:sdtPr>
            <w:rPr>
              <w:color w:val="000000" w:themeColor="text1"/>
              <w:sz w:val="21"/>
              <w:szCs w:val="21"/>
            </w:rPr>
            <w:tag w:val="_PLD_25d42b68a0be4b6c9079bb6f0b9688f1"/>
            <w:id w:val="-441995849"/>
          </w:sdtPr>
          <w:sdtEndPr/>
          <w:sdtContent>
            <w:tc>
              <w:tcPr>
                <w:tcW w:w="2046" w:type="pct"/>
                <w:gridSpan w:val="5"/>
                <w:tcBorders>
                  <w:top w:val="single" w:sz="4" w:space="0" w:color="auto"/>
                  <w:left w:val="single" w:sz="4" w:space="0" w:color="auto"/>
                  <w:right w:val="single" w:sz="4" w:space="0" w:color="auto"/>
                </w:tcBorders>
                <w:vAlign w:val="center"/>
              </w:tcPr>
              <w:p w14:paraId="6F9B91C0" w14:textId="77777777" w:rsidR="002D0AE7" w:rsidRDefault="00333EBB">
                <w:pPr>
                  <w:autoSpaceDE w:val="0"/>
                  <w:autoSpaceDN w:val="0"/>
                  <w:adjustRightInd w:val="0"/>
                  <w:snapToGrid w:val="0"/>
                  <w:spacing w:line="240" w:lineRule="atLeast"/>
                  <w:jc w:val="center"/>
                  <w:rPr>
                    <w:rFonts w:hint="eastAsia"/>
                    <w:color w:val="000000" w:themeColor="text1"/>
                    <w:sz w:val="21"/>
                    <w:szCs w:val="21"/>
                  </w:rPr>
                </w:pPr>
                <w:r>
                  <w:rPr>
                    <w:rFonts w:hint="eastAsia"/>
                    <w:color w:val="000000" w:themeColor="text1"/>
                    <w:sz w:val="21"/>
                    <w:szCs w:val="21"/>
                  </w:rPr>
                  <w:t>期末余额</w:t>
                </w:r>
              </w:p>
            </w:tc>
          </w:sdtContent>
        </w:sdt>
        <w:sdt>
          <w:sdtPr>
            <w:rPr>
              <w:color w:val="000000" w:themeColor="text1"/>
              <w:sz w:val="21"/>
              <w:szCs w:val="21"/>
            </w:rPr>
            <w:tag w:val="_PLD_7ebf4817a5864c42bb0897c8ddd0cd9c"/>
            <w:id w:val="-1719502440"/>
          </w:sdtPr>
          <w:sdtEndPr/>
          <w:sdtContent>
            <w:tc>
              <w:tcPr>
                <w:tcW w:w="2061" w:type="pct"/>
                <w:gridSpan w:val="5"/>
                <w:tcBorders>
                  <w:top w:val="single" w:sz="4" w:space="0" w:color="auto"/>
                  <w:left w:val="single" w:sz="4" w:space="0" w:color="auto"/>
                  <w:right w:val="single" w:sz="4" w:space="0" w:color="auto"/>
                </w:tcBorders>
                <w:vAlign w:val="center"/>
              </w:tcPr>
              <w:p w14:paraId="3E3376C6" w14:textId="77777777" w:rsidR="002D0AE7" w:rsidRDefault="00333EBB">
                <w:pPr>
                  <w:autoSpaceDE w:val="0"/>
                  <w:autoSpaceDN w:val="0"/>
                  <w:adjustRightInd w:val="0"/>
                  <w:snapToGrid w:val="0"/>
                  <w:spacing w:line="240" w:lineRule="atLeast"/>
                  <w:jc w:val="center"/>
                  <w:rPr>
                    <w:rFonts w:hint="eastAsia"/>
                    <w:color w:val="000000" w:themeColor="text1"/>
                    <w:sz w:val="21"/>
                    <w:szCs w:val="21"/>
                  </w:rPr>
                </w:pPr>
                <w:r>
                  <w:rPr>
                    <w:rFonts w:hint="eastAsia"/>
                    <w:color w:val="000000" w:themeColor="text1"/>
                    <w:sz w:val="21"/>
                    <w:szCs w:val="21"/>
                  </w:rPr>
                  <w:t>期初余额</w:t>
                </w:r>
              </w:p>
            </w:tc>
          </w:sdtContent>
        </w:sdt>
      </w:tr>
      <w:tr w:rsidR="002D0AE7" w14:paraId="0B75F1D0" w14:textId="77777777">
        <w:trPr>
          <w:cantSplit/>
          <w:trHeight w:val="227"/>
          <w:jc w:val="center"/>
        </w:trPr>
        <w:tc>
          <w:tcPr>
            <w:tcW w:w="893" w:type="pct"/>
            <w:vMerge/>
            <w:tcBorders>
              <w:left w:val="single" w:sz="4" w:space="0" w:color="auto"/>
              <w:right w:val="single" w:sz="4" w:space="0" w:color="auto"/>
            </w:tcBorders>
            <w:vAlign w:val="center"/>
          </w:tcPr>
          <w:p w14:paraId="2830CA9E" w14:textId="77777777" w:rsidR="002D0AE7" w:rsidRDefault="002D0AE7">
            <w:pPr>
              <w:rPr>
                <w:rFonts w:hint="eastAsia"/>
                <w:color w:val="000000" w:themeColor="text1"/>
                <w:sz w:val="21"/>
                <w:szCs w:val="21"/>
              </w:rPr>
            </w:pPr>
          </w:p>
        </w:tc>
        <w:sdt>
          <w:sdtPr>
            <w:rPr>
              <w:color w:val="000000" w:themeColor="text1"/>
              <w:sz w:val="21"/>
              <w:szCs w:val="21"/>
            </w:rPr>
            <w:tag w:val="_PLD_fd64cffe158d4ef48a5ff569de778464"/>
            <w:id w:val="458536255"/>
          </w:sdtPr>
          <w:sdtEndPr/>
          <w:sdtContent>
            <w:tc>
              <w:tcPr>
                <w:tcW w:w="767" w:type="pct"/>
                <w:gridSpan w:val="2"/>
                <w:tcBorders>
                  <w:top w:val="single" w:sz="4" w:space="0" w:color="auto"/>
                  <w:left w:val="single" w:sz="4" w:space="0" w:color="auto"/>
                  <w:bottom w:val="single" w:sz="4" w:space="0" w:color="auto"/>
                  <w:right w:val="single" w:sz="4" w:space="0" w:color="auto"/>
                </w:tcBorders>
                <w:vAlign w:val="center"/>
              </w:tcPr>
              <w:p w14:paraId="72D9E87C" w14:textId="77777777" w:rsidR="002D0AE7" w:rsidRDefault="00333EBB">
                <w:pPr>
                  <w:jc w:val="center"/>
                  <w:rPr>
                    <w:rFonts w:hint="eastAsia"/>
                    <w:color w:val="000000" w:themeColor="text1"/>
                    <w:sz w:val="21"/>
                    <w:szCs w:val="21"/>
                  </w:rPr>
                </w:pPr>
                <w:r>
                  <w:rPr>
                    <w:rFonts w:hint="eastAsia"/>
                    <w:color w:val="000000" w:themeColor="text1"/>
                    <w:sz w:val="21"/>
                    <w:szCs w:val="21"/>
                  </w:rPr>
                  <w:t>账面余额</w:t>
                </w:r>
              </w:p>
            </w:tc>
          </w:sdtContent>
        </w:sdt>
        <w:sdt>
          <w:sdtPr>
            <w:rPr>
              <w:color w:val="000000" w:themeColor="text1"/>
              <w:sz w:val="21"/>
              <w:szCs w:val="21"/>
            </w:rPr>
            <w:tag w:val="_PLD_f0f4adcb95c44cfa884ef7d853d6b134"/>
            <w:id w:val="-1859272008"/>
          </w:sdtPr>
          <w:sdtEndPr/>
          <w:sdtContent>
            <w:tc>
              <w:tcPr>
                <w:tcW w:w="703" w:type="pct"/>
                <w:gridSpan w:val="2"/>
                <w:tcBorders>
                  <w:top w:val="single" w:sz="4" w:space="0" w:color="auto"/>
                  <w:left w:val="single" w:sz="4" w:space="0" w:color="auto"/>
                  <w:bottom w:val="single" w:sz="4" w:space="0" w:color="auto"/>
                  <w:right w:val="single" w:sz="4" w:space="0" w:color="auto"/>
                </w:tcBorders>
                <w:vAlign w:val="center"/>
              </w:tcPr>
              <w:p w14:paraId="2CB8DC20" w14:textId="77777777" w:rsidR="002D0AE7" w:rsidRDefault="00333EBB">
                <w:pPr>
                  <w:jc w:val="center"/>
                  <w:rPr>
                    <w:rFonts w:hint="eastAsia"/>
                    <w:color w:val="000000" w:themeColor="text1"/>
                    <w:sz w:val="21"/>
                    <w:szCs w:val="21"/>
                  </w:rPr>
                </w:pPr>
                <w:r>
                  <w:rPr>
                    <w:rFonts w:hint="eastAsia"/>
                    <w:color w:val="000000" w:themeColor="text1"/>
                    <w:sz w:val="21"/>
                    <w:szCs w:val="21"/>
                  </w:rPr>
                  <w:t>坏账准备</w:t>
                </w:r>
              </w:p>
            </w:tc>
          </w:sdtContent>
        </w:sdt>
        <w:sdt>
          <w:sdtPr>
            <w:rPr>
              <w:color w:val="000000" w:themeColor="text1"/>
              <w:sz w:val="21"/>
              <w:szCs w:val="21"/>
            </w:rPr>
            <w:tag w:val="_PLD_4c122527ed0743b8905d9f19514f4328"/>
            <w:id w:val="1660039210"/>
          </w:sdtPr>
          <w:sdtEndPr/>
          <w:sdtContent>
            <w:tc>
              <w:tcPr>
                <w:tcW w:w="576" w:type="pct"/>
                <w:vMerge w:val="restart"/>
                <w:tcBorders>
                  <w:top w:val="single" w:sz="4" w:space="0" w:color="auto"/>
                  <w:left w:val="single" w:sz="4" w:space="0" w:color="auto"/>
                  <w:right w:val="single" w:sz="4" w:space="0" w:color="auto"/>
                </w:tcBorders>
                <w:vAlign w:val="center"/>
              </w:tcPr>
              <w:p w14:paraId="4AE193DD" w14:textId="77777777" w:rsidR="002D0AE7" w:rsidRDefault="00333EBB">
                <w:pPr>
                  <w:jc w:val="center"/>
                  <w:rPr>
                    <w:rFonts w:hint="eastAsia"/>
                    <w:color w:val="000000" w:themeColor="text1"/>
                    <w:sz w:val="21"/>
                    <w:szCs w:val="21"/>
                  </w:rPr>
                </w:pPr>
                <w:r>
                  <w:rPr>
                    <w:rFonts w:hint="eastAsia"/>
                    <w:color w:val="000000" w:themeColor="text1"/>
                    <w:sz w:val="21"/>
                    <w:szCs w:val="21"/>
                  </w:rPr>
                  <w:t>账面</w:t>
                </w:r>
              </w:p>
              <w:p w14:paraId="4AF24FC3" w14:textId="77777777" w:rsidR="002D0AE7" w:rsidRDefault="00333EBB">
                <w:pPr>
                  <w:jc w:val="center"/>
                  <w:rPr>
                    <w:rFonts w:hint="eastAsia"/>
                    <w:color w:val="000000" w:themeColor="text1"/>
                    <w:sz w:val="21"/>
                    <w:szCs w:val="21"/>
                  </w:rPr>
                </w:pPr>
                <w:r>
                  <w:rPr>
                    <w:rFonts w:hint="eastAsia"/>
                    <w:color w:val="000000" w:themeColor="text1"/>
                    <w:sz w:val="21"/>
                    <w:szCs w:val="21"/>
                  </w:rPr>
                  <w:t>价值</w:t>
                </w:r>
              </w:p>
            </w:tc>
          </w:sdtContent>
        </w:sdt>
        <w:sdt>
          <w:sdtPr>
            <w:rPr>
              <w:color w:val="000000" w:themeColor="text1"/>
              <w:sz w:val="21"/>
              <w:szCs w:val="21"/>
            </w:rPr>
            <w:tag w:val="_PLD_fa758d9eb4ae426faef8e328262241b4"/>
            <w:id w:val="465936278"/>
          </w:sdtPr>
          <w:sdtEndPr/>
          <w:sdtContent>
            <w:tc>
              <w:tcPr>
                <w:tcW w:w="831" w:type="pct"/>
                <w:gridSpan w:val="2"/>
                <w:tcBorders>
                  <w:top w:val="single" w:sz="4" w:space="0" w:color="auto"/>
                  <w:left w:val="single" w:sz="4" w:space="0" w:color="auto"/>
                  <w:right w:val="single" w:sz="4" w:space="0" w:color="auto"/>
                </w:tcBorders>
                <w:vAlign w:val="center"/>
              </w:tcPr>
              <w:p w14:paraId="4CEADACF" w14:textId="77777777" w:rsidR="002D0AE7" w:rsidRDefault="00333EBB">
                <w:pPr>
                  <w:jc w:val="center"/>
                  <w:rPr>
                    <w:rFonts w:hint="eastAsia"/>
                    <w:color w:val="000000" w:themeColor="text1"/>
                    <w:sz w:val="21"/>
                    <w:szCs w:val="21"/>
                  </w:rPr>
                </w:pPr>
                <w:r>
                  <w:rPr>
                    <w:rFonts w:hint="eastAsia"/>
                    <w:color w:val="000000" w:themeColor="text1"/>
                    <w:sz w:val="21"/>
                    <w:szCs w:val="21"/>
                  </w:rPr>
                  <w:t>账面余额</w:t>
                </w:r>
              </w:p>
            </w:tc>
          </w:sdtContent>
        </w:sdt>
        <w:sdt>
          <w:sdtPr>
            <w:rPr>
              <w:color w:val="000000" w:themeColor="text1"/>
              <w:sz w:val="21"/>
              <w:szCs w:val="21"/>
            </w:rPr>
            <w:tag w:val="_PLD_58080bac137d4831ab65bc2f8ca82429"/>
            <w:id w:val="-1613354810"/>
          </w:sdtPr>
          <w:sdtEndPr/>
          <w:sdtContent>
            <w:tc>
              <w:tcPr>
                <w:tcW w:w="704" w:type="pct"/>
                <w:gridSpan w:val="2"/>
                <w:tcBorders>
                  <w:top w:val="single" w:sz="4" w:space="0" w:color="auto"/>
                  <w:left w:val="single" w:sz="4" w:space="0" w:color="auto"/>
                  <w:right w:val="single" w:sz="4" w:space="0" w:color="auto"/>
                </w:tcBorders>
                <w:vAlign w:val="center"/>
              </w:tcPr>
              <w:p w14:paraId="68D91169" w14:textId="77777777" w:rsidR="002D0AE7" w:rsidRDefault="00333EBB">
                <w:pPr>
                  <w:jc w:val="center"/>
                  <w:rPr>
                    <w:rFonts w:hint="eastAsia"/>
                    <w:color w:val="000000" w:themeColor="text1"/>
                    <w:sz w:val="21"/>
                    <w:szCs w:val="21"/>
                  </w:rPr>
                </w:pPr>
                <w:r>
                  <w:rPr>
                    <w:rFonts w:hint="eastAsia"/>
                    <w:color w:val="000000" w:themeColor="text1"/>
                    <w:sz w:val="21"/>
                    <w:szCs w:val="21"/>
                  </w:rPr>
                  <w:t>坏账准备</w:t>
                </w:r>
              </w:p>
            </w:tc>
          </w:sdtContent>
        </w:sdt>
        <w:sdt>
          <w:sdtPr>
            <w:rPr>
              <w:color w:val="000000" w:themeColor="text1"/>
              <w:sz w:val="21"/>
              <w:szCs w:val="21"/>
            </w:rPr>
            <w:tag w:val="_PLD_c015e43e7b384b6ab9bf259155579fa4"/>
            <w:id w:val="-2029403044"/>
          </w:sdtPr>
          <w:sdtEndPr/>
          <w:sdtContent>
            <w:tc>
              <w:tcPr>
                <w:tcW w:w="526" w:type="pct"/>
                <w:vMerge w:val="restart"/>
                <w:tcBorders>
                  <w:top w:val="single" w:sz="4" w:space="0" w:color="auto"/>
                  <w:left w:val="single" w:sz="4" w:space="0" w:color="auto"/>
                  <w:right w:val="single" w:sz="4" w:space="0" w:color="auto"/>
                </w:tcBorders>
                <w:vAlign w:val="center"/>
              </w:tcPr>
              <w:p w14:paraId="6A7DDDA8" w14:textId="77777777" w:rsidR="002D0AE7" w:rsidRDefault="00333EBB">
                <w:pPr>
                  <w:jc w:val="center"/>
                  <w:rPr>
                    <w:rFonts w:hint="eastAsia"/>
                    <w:color w:val="000000" w:themeColor="text1"/>
                    <w:sz w:val="21"/>
                    <w:szCs w:val="21"/>
                  </w:rPr>
                </w:pPr>
                <w:r>
                  <w:rPr>
                    <w:rFonts w:hint="eastAsia"/>
                    <w:color w:val="000000" w:themeColor="text1"/>
                    <w:sz w:val="21"/>
                    <w:szCs w:val="21"/>
                  </w:rPr>
                  <w:t>账面</w:t>
                </w:r>
              </w:p>
              <w:p w14:paraId="79AD612D" w14:textId="77777777" w:rsidR="002D0AE7" w:rsidRDefault="00333EBB">
                <w:pPr>
                  <w:jc w:val="center"/>
                  <w:rPr>
                    <w:rFonts w:hint="eastAsia"/>
                    <w:color w:val="000000" w:themeColor="text1"/>
                    <w:sz w:val="21"/>
                    <w:szCs w:val="21"/>
                  </w:rPr>
                </w:pPr>
                <w:r>
                  <w:rPr>
                    <w:rFonts w:hint="eastAsia"/>
                    <w:color w:val="000000" w:themeColor="text1"/>
                    <w:sz w:val="21"/>
                    <w:szCs w:val="21"/>
                  </w:rPr>
                  <w:t>价值</w:t>
                </w:r>
              </w:p>
            </w:tc>
          </w:sdtContent>
        </w:sdt>
      </w:tr>
      <w:tr w:rsidR="002D0AE7" w14:paraId="7799D6B6" w14:textId="77777777">
        <w:trPr>
          <w:cantSplit/>
          <w:trHeight w:val="375"/>
          <w:jc w:val="center"/>
        </w:trPr>
        <w:tc>
          <w:tcPr>
            <w:tcW w:w="893" w:type="pct"/>
            <w:vMerge/>
            <w:tcBorders>
              <w:left w:val="single" w:sz="4" w:space="0" w:color="auto"/>
              <w:bottom w:val="single" w:sz="4" w:space="0" w:color="auto"/>
              <w:right w:val="single" w:sz="4" w:space="0" w:color="auto"/>
            </w:tcBorders>
            <w:vAlign w:val="center"/>
          </w:tcPr>
          <w:p w14:paraId="46CA72C8" w14:textId="77777777" w:rsidR="002D0AE7" w:rsidRDefault="002D0AE7">
            <w:pPr>
              <w:rPr>
                <w:rFonts w:hint="eastAsia"/>
                <w:color w:val="000000" w:themeColor="text1"/>
                <w:sz w:val="21"/>
                <w:szCs w:val="21"/>
              </w:rPr>
            </w:pPr>
          </w:p>
        </w:tc>
        <w:sdt>
          <w:sdtPr>
            <w:rPr>
              <w:color w:val="000000" w:themeColor="text1"/>
              <w:sz w:val="21"/>
              <w:szCs w:val="21"/>
            </w:rPr>
            <w:tag w:val="_PLD_2a622138bde346ccae812608989b472d"/>
            <w:id w:val="1393073366"/>
          </w:sdtPr>
          <w:sdtEndPr/>
          <w:sdtContent>
            <w:tc>
              <w:tcPr>
                <w:tcW w:w="511" w:type="pct"/>
                <w:tcBorders>
                  <w:left w:val="single" w:sz="4" w:space="0" w:color="auto"/>
                  <w:bottom w:val="single" w:sz="4" w:space="0" w:color="auto"/>
                  <w:right w:val="single" w:sz="4" w:space="0" w:color="auto"/>
                </w:tcBorders>
                <w:vAlign w:val="center"/>
              </w:tcPr>
              <w:p w14:paraId="5FA241AA" w14:textId="77777777" w:rsidR="002D0AE7" w:rsidRDefault="00333EBB">
                <w:pPr>
                  <w:jc w:val="center"/>
                  <w:rPr>
                    <w:rFonts w:hint="eastAsia"/>
                    <w:color w:val="000000" w:themeColor="text1"/>
                    <w:sz w:val="21"/>
                    <w:szCs w:val="21"/>
                  </w:rPr>
                </w:pPr>
                <w:r>
                  <w:rPr>
                    <w:rFonts w:hint="eastAsia"/>
                    <w:color w:val="000000" w:themeColor="text1"/>
                    <w:sz w:val="21"/>
                    <w:szCs w:val="21"/>
                  </w:rPr>
                  <w:t>金额</w:t>
                </w:r>
              </w:p>
            </w:tc>
          </w:sdtContent>
        </w:sdt>
        <w:sdt>
          <w:sdtPr>
            <w:rPr>
              <w:color w:val="000000" w:themeColor="text1"/>
              <w:sz w:val="21"/>
              <w:szCs w:val="21"/>
            </w:rPr>
            <w:tag w:val="_PLD_abd0e3a320c240aeb85b1414af26aa00"/>
            <w:id w:val="613565113"/>
          </w:sdtPr>
          <w:sdtEndPr/>
          <w:sdtContent>
            <w:tc>
              <w:tcPr>
                <w:tcW w:w="256" w:type="pct"/>
                <w:tcBorders>
                  <w:left w:val="single" w:sz="4" w:space="0" w:color="auto"/>
                  <w:bottom w:val="single" w:sz="4" w:space="0" w:color="auto"/>
                  <w:right w:val="single" w:sz="4" w:space="0" w:color="auto"/>
                </w:tcBorders>
                <w:vAlign w:val="center"/>
              </w:tcPr>
              <w:p w14:paraId="6EBDFCE2" w14:textId="77777777" w:rsidR="002D0AE7" w:rsidRDefault="00333EBB">
                <w:pPr>
                  <w:jc w:val="center"/>
                  <w:rPr>
                    <w:rFonts w:hint="eastAsia"/>
                    <w:color w:val="000000" w:themeColor="text1"/>
                    <w:sz w:val="21"/>
                    <w:szCs w:val="21"/>
                  </w:rPr>
                </w:pPr>
                <w:r>
                  <w:rPr>
                    <w:rFonts w:hint="eastAsia"/>
                    <w:color w:val="000000" w:themeColor="text1"/>
                    <w:sz w:val="21"/>
                    <w:szCs w:val="21"/>
                  </w:rPr>
                  <w:t>比例</w:t>
                </w:r>
                <w:r>
                  <w:rPr>
                    <w:color w:val="000000" w:themeColor="text1"/>
                    <w:sz w:val="21"/>
                    <w:szCs w:val="21"/>
                  </w:rPr>
                  <w:t>(%)</w:t>
                </w:r>
              </w:p>
            </w:tc>
          </w:sdtContent>
        </w:sdt>
        <w:sdt>
          <w:sdtPr>
            <w:rPr>
              <w:color w:val="000000" w:themeColor="text1"/>
              <w:sz w:val="21"/>
              <w:szCs w:val="21"/>
            </w:rPr>
            <w:tag w:val="_PLD_d60468b4e5934fb9af3ebf3b3ca06a6b"/>
            <w:id w:val="326645063"/>
          </w:sdtPr>
          <w:sdtEndPr/>
          <w:sdtContent>
            <w:tc>
              <w:tcPr>
                <w:tcW w:w="447" w:type="pct"/>
                <w:tcBorders>
                  <w:left w:val="single" w:sz="4" w:space="0" w:color="auto"/>
                  <w:bottom w:val="single" w:sz="4" w:space="0" w:color="auto"/>
                  <w:right w:val="single" w:sz="4" w:space="0" w:color="auto"/>
                </w:tcBorders>
                <w:vAlign w:val="center"/>
              </w:tcPr>
              <w:p w14:paraId="099B5A0C" w14:textId="77777777" w:rsidR="002D0AE7" w:rsidRDefault="00333EBB">
                <w:pPr>
                  <w:jc w:val="center"/>
                  <w:rPr>
                    <w:rFonts w:hint="eastAsia"/>
                    <w:color w:val="000000" w:themeColor="text1"/>
                    <w:sz w:val="21"/>
                    <w:szCs w:val="21"/>
                  </w:rPr>
                </w:pPr>
                <w:r>
                  <w:rPr>
                    <w:rFonts w:hint="eastAsia"/>
                    <w:color w:val="000000" w:themeColor="text1"/>
                    <w:sz w:val="21"/>
                    <w:szCs w:val="21"/>
                  </w:rPr>
                  <w:t>金额</w:t>
                </w:r>
              </w:p>
            </w:tc>
          </w:sdtContent>
        </w:sdt>
        <w:sdt>
          <w:sdtPr>
            <w:rPr>
              <w:color w:val="000000" w:themeColor="text1"/>
              <w:sz w:val="21"/>
              <w:szCs w:val="21"/>
            </w:rPr>
            <w:tag w:val="_PLD_743ca215156149608b4d9149bc142cc3"/>
            <w:id w:val="948277489"/>
          </w:sdtPr>
          <w:sdtEndPr/>
          <w:sdtContent>
            <w:tc>
              <w:tcPr>
                <w:tcW w:w="256" w:type="pct"/>
                <w:tcBorders>
                  <w:left w:val="single" w:sz="4" w:space="0" w:color="auto"/>
                  <w:bottom w:val="single" w:sz="4" w:space="0" w:color="auto"/>
                  <w:right w:val="single" w:sz="4" w:space="0" w:color="auto"/>
                </w:tcBorders>
                <w:vAlign w:val="center"/>
              </w:tcPr>
              <w:p w14:paraId="27DA4039" w14:textId="77777777" w:rsidR="002D0AE7" w:rsidRDefault="00333EBB">
                <w:pPr>
                  <w:jc w:val="center"/>
                  <w:rPr>
                    <w:rFonts w:hint="eastAsia"/>
                    <w:color w:val="000000" w:themeColor="text1"/>
                    <w:sz w:val="21"/>
                    <w:szCs w:val="21"/>
                  </w:rPr>
                </w:pPr>
                <w:r>
                  <w:rPr>
                    <w:rFonts w:hint="eastAsia"/>
                    <w:color w:val="000000" w:themeColor="text1"/>
                    <w:sz w:val="21"/>
                    <w:szCs w:val="21"/>
                  </w:rPr>
                  <w:t>计提比例</w:t>
                </w:r>
                <w:r>
                  <w:rPr>
                    <w:color w:val="000000" w:themeColor="text1"/>
                    <w:sz w:val="21"/>
                    <w:szCs w:val="21"/>
                  </w:rPr>
                  <w:t>(%)</w:t>
                </w:r>
              </w:p>
            </w:tc>
          </w:sdtContent>
        </w:sdt>
        <w:tc>
          <w:tcPr>
            <w:tcW w:w="576" w:type="pct"/>
            <w:vMerge/>
            <w:tcBorders>
              <w:left w:val="single" w:sz="4" w:space="0" w:color="auto"/>
              <w:bottom w:val="single" w:sz="4" w:space="0" w:color="auto"/>
              <w:right w:val="single" w:sz="4" w:space="0" w:color="auto"/>
            </w:tcBorders>
            <w:vAlign w:val="center"/>
          </w:tcPr>
          <w:p w14:paraId="7ADE9795" w14:textId="77777777" w:rsidR="002D0AE7" w:rsidRDefault="002D0AE7">
            <w:pPr>
              <w:jc w:val="center"/>
              <w:rPr>
                <w:rFonts w:hint="eastAsia"/>
                <w:color w:val="000000" w:themeColor="text1"/>
                <w:sz w:val="21"/>
                <w:szCs w:val="21"/>
              </w:rPr>
            </w:pPr>
          </w:p>
        </w:tc>
        <w:sdt>
          <w:sdtPr>
            <w:rPr>
              <w:color w:val="000000" w:themeColor="text1"/>
              <w:sz w:val="21"/>
              <w:szCs w:val="21"/>
            </w:rPr>
            <w:tag w:val="_PLD_88061469e7574f3d93ff9dc8f7c03e2d"/>
            <w:id w:val="-678116767"/>
          </w:sdtPr>
          <w:sdtEndPr/>
          <w:sdtContent>
            <w:tc>
              <w:tcPr>
                <w:tcW w:w="575" w:type="pct"/>
                <w:tcBorders>
                  <w:left w:val="single" w:sz="4" w:space="0" w:color="auto"/>
                  <w:bottom w:val="single" w:sz="4" w:space="0" w:color="auto"/>
                  <w:right w:val="single" w:sz="4" w:space="0" w:color="auto"/>
                </w:tcBorders>
                <w:vAlign w:val="center"/>
              </w:tcPr>
              <w:p w14:paraId="486A16E8" w14:textId="77777777" w:rsidR="002D0AE7" w:rsidRDefault="00333EBB">
                <w:pPr>
                  <w:jc w:val="center"/>
                  <w:rPr>
                    <w:rFonts w:hint="eastAsia"/>
                    <w:color w:val="000000" w:themeColor="text1"/>
                    <w:sz w:val="21"/>
                    <w:szCs w:val="21"/>
                  </w:rPr>
                </w:pPr>
                <w:r>
                  <w:rPr>
                    <w:rFonts w:hint="eastAsia"/>
                    <w:color w:val="000000" w:themeColor="text1"/>
                    <w:sz w:val="21"/>
                    <w:szCs w:val="21"/>
                  </w:rPr>
                  <w:t>金额</w:t>
                </w:r>
              </w:p>
            </w:tc>
          </w:sdtContent>
        </w:sdt>
        <w:sdt>
          <w:sdtPr>
            <w:rPr>
              <w:color w:val="000000" w:themeColor="text1"/>
              <w:sz w:val="21"/>
              <w:szCs w:val="21"/>
            </w:rPr>
            <w:tag w:val="_PLD_c2b4bd19b5284f3481bdd6a3becafce0"/>
            <w:id w:val="1626503512"/>
          </w:sdtPr>
          <w:sdtEndPr/>
          <w:sdtContent>
            <w:tc>
              <w:tcPr>
                <w:tcW w:w="256" w:type="pct"/>
                <w:tcBorders>
                  <w:left w:val="single" w:sz="4" w:space="0" w:color="auto"/>
                  <w:bottom w:val="single" w:sz="4" w:space="0" w:color="auto"/>
                  <w:right w:val="single" w:sz="4" w:space="0" w:color="auto"/>
                </w:tcBorders>
                <w:vAlign w:val="center"/>
              </w:tcPr>
              <w:p w14:paraId="28FD8BCA" w14:textId="77777777" w:rsidR="002D0AE7" w:rsidRDefault="00333EBB">
                <w:pPr>
                  <w:jc w:val="center"/>
                  <w:rPr>
                    <w:rFonts w:hint="eastAsia"/>
                    <w:color w:val="000000" w:themeColor="text1"/>
                    <w:sz w:val="21"/>
                    <w:szCs w:val="21"/>
                  </w:rPr>
                </w:pPr>
                <w:r>
                  <w:rPr>
                    <w:rFonts w:hint="eastAsia"/>
                    <w:color w:val="000000" w:themeColor="text1"/>
                    <w:sz w:val="21"/>
                    <w:szCs w:val="21"/>
                  </w:rPr>
                  <w:t>比例</w:t>
                </w:r>
                <w:r>
                  <w:rPr>
                    <w:color w:val="000000" w:themeColor="text1"/>
                    <w:sz w:val="21"/>
                    <w:szCs w:val="21"/>
                  </w:rPr>
                  <w:t>(%)</w:t>
                </w:r>
              </w:p>
            </w:tc>
          </w:sdtContent>
        </w:sdt>
        <w:sdt>
          <w:sdtPr>
            <w:rPr>
              <w:color w:val="000000" w:themeColor="text1"/>
              <w:sz w:val="21"/>
              <w:szCs w:val="21"/>
            </w:rPr>
            <w:tag w:val="_PLD_c6874c65e4ac43019002d5903e4b46d6"/>
            <w:id w:val="2139067696"/>
          </w:sdtPr>
          <w:sdtEndPr/>
          <w:sdtContent>
            <w:tc>
              <w:tcPr>
                <w:tcW w:w="447" w:type="pct"/>
                <w:tcBorders>
                  <w:left w:val="single" w:sz="4" w:space="0" w:color="auto"/>
                  <w:bottom w:val="single" w:sz="4" w:space="0" w:color="auto"/>
                  <w:right w:val="single" w:sz="4" w:space="0" w:color="auto"/>
                </w:tcBorders>
                <w:vAlign w:val="center"/>
              </w:tcPr>
              <w:p w14:paraId="21E87F21" w14:textId="77777777" w:rsidR="002D0AE7" w:rsidRDefault="00333EBB">
                <w:pPr>
                  <w:jc w:val="center"/>
                  <w:rPr>
                    <w:rFonts w:hint="eastAsia"/>
                    <w:color w:val="000000" w:themeColor="text1"/>
                    <w:sz w:val="21"/>
                    <w:szCs w:val="21"/>
                  </w:rPr>
                </w:pPr>
                <w:r>
                  <w:rPr>
                    <w:rFonts w:hint="eastAsia"/>
                    <w:color w:val="000000" w:themeColor="text1"/>
                    <w:sz w:val="21"/>
                    <w:szCs w:val="21"/>
                  </w:rPr>
                  <w:t>金额</w:t>
                </w:r>
              </w:p>
            </w:tc>
          </w:sdtContent>
        </w:sdt>
        <w:sdt>
          <w:sdtPr>
            <w:rPr>
              <w:color w:val="000000" w:themeColor="text1"/>
              <w:sz w:val="21"/>
              <w:szCs w:val="21"/>
            </w:rPr>
            <w:tag w:val="_PLD_0596fb5f4bb147b48d9ab2f32535e71f"/>
            <w:id w:val="-1050452221"/>
          </w:sdtPr>
          <w:sdtEndPr/>
          <w:sdtContent>
            <w:tc>
              <w:tcPr>
                <w:tcW w:w="257" w:type="pct"/>
                <w:tcBorders>
                  <w:left w:val="single" w:sz="4" w:space="0" w:color="auto"/>
                  <w:bottom w:val="single" w:sz="4" w:space="0" w:color="auto"/>
                  <w:right w:val="single" w:sz="4" w:space="0" w:color="auto"/>
                </w:tcBorders>
                <w:vAlign w:val="center"/>
              </w:tcPr>
              <w:p w14:paraId="6F61D80C" w14:textId="77777777" w:rsidR="002D0AE7" w:rsidRDefault="00333EBB">
                <w:pPr>
                  <w:jc w:val="center"/>
                  <w:rPr>
                    <w:rFonts w:hint="eastAsia"/>
                    <w:color w:val="000000" w:themeColor="text1"/>
                    <w:sz w:val="21"/>
                    <w:szCs w:val="21"/>
                  </w:rPr>
                </w:pPr>
                <w:r>
                  <w:rPr>
                    <w:rFonts w:hint="eastAsia"/>
                    <w:color w:val="000000" w:themeColor="text1"/>
                    <w:sz w:val="21"/>
                    <w:szCs w:val="21"/>
                  </w:rPr>
                  <w:t>计提比例</w:t>
                </w:r>
                <w:r>
                  <w:rPr>
                    <w:color w:val="000000" w:themeColor="text1"/>
                    <w:sz w:val="21"/>
                    <w:szCs w:val="21"/>
                  </w:rPr>
                  <w:t>(%)</w:t>
                </w:r>
              </w:p>
            </w:tc>
          </w:sdtContent>
        </w:sdt>
        <w:tc>
          <w:tcPr>
            <w:tcW w:w="526" w:type="pct"/>
            <w:vMerge/>
            <w:tcBorders>
              <w:left w:val="single" w:sz="4" w:space="0" w:color="auto"/>
              <w:bottom w:val="single" w:sz="4" w:space="0" w:color="auto"/>
              <w:right w:val="single" w:sz="4" w:space="0" w:color="auto"/>
            </w:tcBorders>
          </w:tcPr>
          <w:p w14:paraId="17AA3401" w14:textId="77777777" w:rsidR="002D0AE7" w:rsidRDefault="002D0AE7">
            <w:pPr>
              <w:jc w:val="center"/>
              <w:rPr>
                <w:rFonts w:hint="eastAsia"/>
                <w:color w:val="000000" w:themeColor="text1"/>
                <w:sz w:val="21"/>
                <w:szCs w:val="21"/>
              </w:rPr>
            </w:pPr>
          </w:p>
        </w:tc>
      </w:tr>
      <w:tr w:rsidR="002D0AE7" w14:paraId="618BC920" w14:textId="77777777">
        <w:trPr>
          <w:cantSplit/>
          <w:jc w:val="center"/>
        </w:trPr>
        <w:tc>
          <w:tcPr>
            <w:tcW w:w="893" w:type="pct"/>
            <w:tcBorders>
              <w:top w:val="single" w:sz="4" w:space="0" w:color="auto"/>
              <w:left w:val="single" w:sz="4" w:space="0" w:color="auto"/>
              <w:bottom w:val="single" w:sz="4" w:space="0" w:color="auto"/>
              <w:right w:val="single" w:sz="4" w:space="0" w:color="auto"/>
            </w:tcBorders>
          </w:tcPr>
          <w:p w14:paraId="63CF07D7" w14:textId="77777777" w:rsidR="002D0AE7" w:rsidRDefault="00333EBB">
            <w:pPr>
              <w:jc w:val="both"/>
              <w:rPr>
                <w:rFonts w:hint="eastAsia"/>
                <w:color w:val="000000" w:themeColor="text1"/>
                <w:sz w:val="21"/>
                <w:szCs w:val="21"/>
              </w:rPr>
            </w:pPr>
            <w:r>
              <w:rPr>
                <w:rFonts w:hint="eastAsia"/>
                <w:color w:val="000000" w:themeColor="text1"/>
                <w:sz w:val="21"/>
                <w:szCs w:val="21"/>
              </w:rPr>
              <w:t>按单项计提坏账准备</w:t>
            </w:r>
          </w:p>
        </w:tc>
        <w:tc>
          <w:tcPr>
            <w:tcW w:w="511" w:type="pct"/>
            <w:tcBorders>
              <w:top w:val="single" w:sz="4" w:space="0" w:color="auto"/>
              <w:left w:val="single" w:sz="4" w:space="0" w:color="auto"/>
              <w:bottom w:val="single" w:sz="4" w:space="0" w:color="auto"/>
              <w:right w:val="single" w:sz="4" w:space="0" w:color="auto"/>
            </w:tcBorders>
            <w:vAlign w:val="center"/>
          </w:tcPr>
          <w:p w14:paraId="186CA989"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7,652,445.78</w:t>
            </w:r>
          </w:p>
        </w:tc>
        <w:tc>
          <w:tcPr>
            <w:tcW w:w="256" w:type="pct"/>
            <w:tcBorders>
              <w:top w:val="single" w:sz="4" w:space="0" w:color="auto"/>
              <w:left w:val="single" w:sz="4" w:space="0" w:color="auto"/>
              <w:bottom w:val="single" w:sz="4" w:space="0" w:color="auto"/>
              <w:right w:val="single" w:sz="4" w:space="0" w:color="auto"/>
            </w:tcBorders>
            <w:vAlign w:val="center"/>
          </w:tcPr>
          <w:p w14:paraId="1BB0ABDD"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1.70</w:t>
            </w:r>
          </w:p>
        </w:tc>
        <w:tc>
          <w:tcPr>
            <w:tcW w:w="447" w:type="pct"/>
            <w:tcBorders>
              <w:top w:val="single" w:sz="4" w:space="0" w:color="auto"/>
              <w:left w:val="single" w:sz="4" w:space="0" w:color="auto"/>
              <w:bottom w:val="single" w:sz="4" w:space="0" w:color="auto"/>
              <w:right w:val="single" w:sz="4" w:space="0" w:color="auto"/>
            </w:tcBorders>
            <w:vAlign w:val="center"/>
          </w:tcPr>
          <w:p w14:paraId="63BDEE83"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7,652,445.78</w:t>
            </w:r>
          </w:p>
        </w:tc>
        <w:tc>
          <w:tcPr>
            <w:tcW w:w="256" w:type="pct"/>
            <w:tcBorders>
              <w:top w:val="single" w:sz="4" w:space="0" w:color="auto"/>
              <w:left w:val="single" w:sz="4" w:space="0" w:color="auto"/>
              <w:bottom w:val="single" w:sz="4" w:space="0" w:color="auto"/>
              <w:right w:val="single" w:sz="4" w:space="0" w:color="auto"/>
            </w:tcBorders>
            <w:vAlign w:val="center"/>
          </w:tcPr>
          <w:p w14:paraId="0873FE65"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100.00</w:t>
            </w:r>
          </w:p>
        </w:tc>
        <w:tc>
          <w:tcPr>
            <w:tcW w:w="576" w:type="pct"/>
            <w:tcBorders>
              <w:top w:val="single" w:sz="4" w:space="0" w:color="auto"/>
              <w:left w:val="single" w:sz="4" w:space="0" w:color="auto"/>
              <w:bottom w:val="single" w:sz="4" w:space="0" w:color="auto"/>
              <w:right w:val="single" w:sz="4" w:space="0" w:color="auto"/>
            </w:tcBorders>
            <w:vAlign w:val="center"/>
          </w:tcPr>
          <w:p w14:paraId="64F32442"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0.00</w:t>
            </w:r>
          </w:p>
        </w:tc>
        <w:tc>
          <w:tcPr>
            <w:tcW w:w="575" w:type="pct"/>
            <w:tcBorders>
              <w:top w:val="single" w:sz="4" w:space="0" w:color="auto"/>
              <w:left w:val="single" w:sz="4" w:space="0" w:color="auto"/>
              <w:bottom w:val="single" w:sz="4" w:space="0" w:color="auto"/>
              <w:right w:val="single" w:sz="4" w:space="0" w:color="auto"/>
            </w:tcBorders>
            <w:vAlign w:val="center"/>
          </w:tcPr>
          <w:p w14:paraId="5EC2E153"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7,652,445.78</w:t>
            </w:r>
          </w:p>
        </w:tc>
        <w:tc>
          <w:tcPr>
            <w:tcW w:w="256" w:type="pct"/>
            <w:tcBorders>
              <w:top w:val="single" w:sz="4" w:space="0" w:color="auto"/>
              <w:left w:val="single" w:sz="4" w:space="0" w:color="auto"/>
              <w:bottom w:val="single" w:sz="4" w:space="0" w:color="auto"/>
              <w:right w:val="single" w:sz="4" w:space="0" w:color="auto"/>
            </w:tcBorders>
            <w:vAlign w:val="center"/>
          </w:tcPr>
          <w:p w14:paraId="754B15D3"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1.75</w:t>
            </w:r>
          </w:p>
        </w:tc>
        <w:tc>
          <w:tcPr>
            <w:tcW w:w="447" w:type="pct"/>
            <w:tcBorders>
              <w:top w:val="single" w:sz="4" w:space="0" w:color="auto"/>
              <w:left w:val="single" w:sz="4" w:space="0" w:color="auto"/>
              <w:bottom w:val="single" w:sz="4" w:space="0" w:color="auto"/>
              <w:right w:val="single" w:sz="4" w:space="0" w:color="auto"/>
            </w:tcBorders>
            <w:vAlign w:val="center"/>
          </w:tcPr>
          <w:p w14:paraId="5C913656"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7,652,445.78</w:t>
            </w:r>
          </w:p>
        </w:tc>
        <w:tc>
          <w:tcPr>
            <w:tcW w:w="257" w:type="pct"/>
            <w:tcBorders>
              <w:top w:val="single" w:sz="4" w:space="0" w:color="auto"/>
              <w:left w:val="single" w:sz="4" w:space="0" w:color="auto"/>
              <w:bottom w:val="single" w:sz="4" w:space="0" w:color="auto"/>
              <w:right w:val="single" w:sz="4" w:space="0" w:color="auto"/>
            </w:tcBorders>
            <w:vAlign w:val="center"/>
          </w:tcPr>
          <w:p w14:paraId="49DE76A8"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100.00</w:t>
            </w:r>
          </w:p>
        </w:tc>
        <w:tc>
          <w:tcPr>
            <w:tcW w:w="526" w:type="pct"/>
            <w:tcBorders>
              <w:top w:val="single" w:sz="4" w:space="0" w:color="auto"/>
              <w:left w:val="single" w:sz="4" w:space="0" w:color="auto"/>
              <w:bottom w:val="single" w:sz="4" w:space="0" w:color="auto"/>
              <w:right w:val="single" w:sz="4" w:space="0" w:color="auto"/>
            </w:tcBorders>
            <w:vAlign w:val="center"/>
          </w:tcPr>
          <w:p w14:paraId="767AD6B5"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0.00</w:t>
            </w:r>
          </w:p>
        </w:tc>
      </w:tr>
      <w:tr w:rsidR="002D0AE7" w14:paraId="51DA9581" w14:textId="77777777">
        <w:trPr>
          <w:cantSplit/>
          <w:jc w:val="center"/>
        </w:trPr>
        <w:sdt>
          <w:sdtPr>
            <w:rPr>
              <w:rFonts w:ascii="Arial Narrow" w:hAnsi="Arial Narrow"/>
              <w:color w:val="000000" w:themeColor="text1"/>
              <w:sz w:val="18"/>
              <w:szCs w:val="21"/>
            </w:rPr>
            <w:tag w:val="_PLD_a3793487a0154f9a85b0e94e01b6ddbe"/>
            <w:id w:val="991678452"/>
          </w:sdtPr>
          <w:sdtEndPr/>
          <w:sdtContent>
            <w:tc>
              <w:tcPr>
                <w:tcW w:w="5000" w:type="pct"/>
                <w:gridSpan w:val="11"/>
                <w:tcBorders>
                  <w:top w:val="single" w:sz="4" w:space="0" w:color="auto"/>
                  <w:left w:val="single" w:sz="4" w:space="0" w:color="auto"/>
                  <w:bottom w:val="single" w:sz="4" w:space="0" w:color="auto"/>
                  <w:right w:val="single" w:sz="4" w:space="0" w:color="auto"/>
                </w:tcBorders>
              </w:tcPr>
              <w:p w14:paraId="4AAFB5B4" w14:textId="77777777" w:rsidR="002D0AE7" w:rsidRDefault="00333EBB">
                <w:pPr>
                  <w:rPr>
                    <w:rFonts w:ascii="Arial Narrow" w:hAnsi="Arial Narrow"/>
                    <w:color w:val="000000" w:themeColor="text1"/>
                    <w:sz w:val="18"/>
                    <w:szCs w:val="21"/>
                  </w:rPr>
                </w:pPr>
                <w:r>
                  <w:rPr>
                    <w:rFonts w:ascii="Arial Narrow" w:hAnsi="Arial Narrow"/>
                    <w:color w:val="000000" w:themeColor="text1"/>
                    <w:sz w:val="18"/>
                    <w:szCs w:val="21"/>
                  </w:rPr>
                  <w:t>其中：</w:t>
                </w:r>
              </w:p>
            </w:tc>
          </w:sdtContent>
        </w:sdt>
      </w:tr>
      <w:tr w:rsidR="002D0AE7" w14:paraId="55D95C56" w14:textId="77777777">
        <w:trPr>
          <w:cantSplit/>
          <w:jc w:val="center"/>
        </w:trPr>
        <w:tc>
          <w:tcPr>
            <w:tcW w:w="893" w:type="pct"/>
            <w:tcBorders>
              <w:top w:val="single" w:sz="4" w:space="0" w:color="auto"/>
              <w:left w:val="single" w:sz="4" w:space="0" w:color="auto"/>
              <w:bottom w:val="single" w:sz="4" w:space="0" w:color="auto"/>
              <w:right w:val="single" w:sz="4" w:space="0" w:color="auto"/>
            </w:tcBorders>
          </w:tcPr>
          <w:p w14:paraId="49A64AE8" w14:textId="77777777" w:rsidR="002D0AE7" w:rsidRDefault="00333EBB">
            <w:pPr>
              <w:jc w:val="both"/>
              <w:rPr>
                <w:rFonts w:hint="eastAsia"/>
                <w:color w:val="000000" w:themeColor="text1"/>
                <w:sz w:val="21"/>
                <w:szCs w:val="21"/>
              </w:rPr>
            </w:pPr>
            <w:r>
              <w:rPr>
                <w:rFonts w:hint="eastAsia"/>
                <w:color w:val="000000" w:themeColor="text1"/>
                <w:sz w:val="21"/>
                <w:szCs w:val="21"/>
              </w:rPr>
              <w:t>按单项计提</w:t>
            </w:r>
          </w:p>
        </w:tc>
        <w:tc>
          <w:tcPr>
            <w:tcW w:w="511" w:type="pct"/>
            <w:tcBorders>
              <w:top w:val="single" w:sz="4" w:space="0" w:color="auto"/>
              <w:left w:val="single" w:sz="4" w:space="0" w:color="auto"/>
              <w:bottom w:val="single" w:sz="4" w:space="0" w:color="auto"/>
              <w:right w:val="single" w:sz="4" w:space="0" w:color="auto"/>
            </w:tcBorders>
            <w:vAlign w:val="center"/>
          </w:tcPr>
          <w:p w14:paraId="0B948658"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7,652,445.78</w:t>
            </w:r>
          </w:p>
        </w:tc>
        <w:tc>
          <w:tcPr>
            <w:tcW w:w="256" w:type="pct"/>
            <w:tcBorders>
              <w:top w:val="single" w:sz="4" w:space="0" w:color="auto"/>
              <w:left w:val="single" w:sz="4" w:space="0" w:color="auto"/>
              <w:bottom w:val="single" w:sz="4" w:space="0" w:color="auto"/>
              <w:right w:val="single" w:sz="4" w:space="0" w:color="auto"/>
            </w:tcBorders>
            <w:vAlign w:val="center"/>
          </w:tcPr>
          <w:p w14:paraId="5BF28C33"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1.70</w:t>
            </w:r>
          </w:p>
        </w:tc>
        <w:tc>
          <w:tcPr>
            <w:tcW w:w="447" w:type="pct"/>
            <w:tcBorders>
              <w:top w:val="single" w:sz="4" w:space="0" w:color="auto"/>
              <w:left w:val="single" w:sz="4" w:space="0" w:color="auto"/>
              <w:bottom w:val="single" w:sz="4" w:space="0" w:color="auto"/>
              <w:right w:val="single" w:sz="4" w:space="0" w:color="auto"/>
            </w:tcBorders>
            <w:vAlign w:val="center"/>
          </w:tcPr>
          <w:p w14:paraId="02F95D25"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7,652,445.78</w:t>
            </w:r>
          </w:p>
        </w:tc>
        <w:tc>
          <w:tcPr>
            <w:tcW w:w="256" w:type="pct"/>
            <w:tcBorders>
              <w:top w:val="single" w:sz="4" w:space="0" w:color="auto"/>
              <w:left w:val="single" w:sz="4" w:space="0" w:color="auto"/>
              <w:bottom w:val="single" w:sz="4" w:space="0" w:color="auto"/>
              <w:right w:val="single" w:sz="4" w:space="0" w:color="auto"/>
            </w:tcBorders>
            <w:vAlign w:val="center"/>
          </w:tcPr>
          <w:p w14:paraId="3376F509"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100.00</w:t>
            </w:r>
          </w:p>
        </w:tc>
        <w:tc>
          <w:tcPr>
            <w:tcW w:w="576" w:type="pct"/>
            <w:tcBorders>
              <w:top w:val="single" w:sz="4" w:space="0" w:color="auto"/>
              <w:left w:val="single" w:sz="4" w:space="0" w:color="auto"/>
              <w:bottom w:val="single" w:sz="4" w:space="0" w:color="auto"/>
              <w:right w:val="single" w:sz="4" w:space="0" w:color="auto"/>
            </w:tcBorders>
            <w:vAlign w:val="center"/>
          </w:tcPr>
          <w:p w14:paraId="75A334A2"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0.00</w:t>
            </w:r>
          </w:p>
        </w:tc>
        <w:tc>
          <w:tcPr>
            <w:tcW w:w="575" w:type="pct"/>
            <w:tcBorders>
              <w:top w:val="single" w:sz="4" w:space="0" w:color="auto"/>
              <w:left w:val="single" w:sz="4" w:space="0" w:color="auto"/>
              <w:bottom w:val="single" w:sz="4" w:space="0" w:color="auto"/>
              <w:right w:val="single" w:sz="4" w:space="0" w:color="auto"/>
            </w:tcBorders>
            <w:vAlign w:val="center"/>
          </w:tcPr>
          <w:p w14:paraId="11271DF2"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7,652,445.78</w:t>
            </w:r>
          </w:p>
        </w:tc>
        <w:tc>
          <w:tcPr>
            <w:tcW w:w="256" w:type="pct"/>
            <w:tcBorders>
              <w:top w:val="single" w:sz="4" w:space="0" w:color="auto"/>
              <w:left w:val="single" w:sz="4" w:space="0" w:color="auto"/>
              <w:bottom w:val="single" w:sz="4" w:space="0" w:color="auto"/>
              <w:right w:val="single" w:sz="4" w:space="0" w:color="auto"/>
            </w:tcBorders>
            <w:vAlign w:val="center"/>
          </w:tcPr>
          <w:p w14:paraId="24B48064"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1.75</w:t>
            </w:r>
          </w:p>
        </w:tc>
        <w:tc>
          <w:tcPr>
            <w:tcW w:w="447" w:type="pct"/>
            <w:tcBorders>
              <w:top w:val="single" w:sz="4" w:space="0" w:color="auto"/>
              <w:left w:val="single" w:sz="4" w:space="0" w:color="auto"/>
              <w:bottom w:val="single" w:sz="4" w:space="0" w:color="auto"/>
              <w:right w:val="single" w:sz="4" w:space="0" w:color="auto"/>
            </w:tcBorders>
            <w:vAlign w:val="center"/>
          </w:tcPr>
          <w:p w14:paraId="3BAE4E00"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7,652,445.78</w:t>
            </w:r>
          </w:p>
        </w:tc>
        <w:tc>
          <w:tcPr>
            <w:tcW w:w="257" w:type="pct"/>
            <w:tcBorders>
              <w:top w:val="single" w:sz="4" w:space="0" w:color="auto"/>
              <w:left w:val="single" w:sz="4" w:space="0" w:color="auto"/>
              <w:bottom w:val="single" w:sz="4" w:space="0" w:color="auto"/>
              <w:right w:val="single" w:sz="4" w:space="0" w:color="auto"/>
            </w:tcBorders>
            <w:vAlign w:val="center"/>
          </w:tcPr>
          <w:p w14:paraId="28F32F64"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100.00</w:t>
            </w:r>
          </w:p>
        </w:tc>
        <w:tc>
          <w:tcPr>
            <w:tcW w:w="526" w:type="pct"/>
            <w:tcBorders>
              <w:top w:val="single" w:sz="4" w:space="0" w:color="auto"/>
              <w:left w:val="single" w:sz="4" w:space="0" w:color="auto"/>
              <w:bottom w:val="single" w:sz="4" w:space="0" w:color="auto"/>
              <w:right w:val="single" w:sz="4" w:space="0" w:color="auto"/>
            </w:tcBorders>
            <w:vAlign w:val="center"/>
          </w:tcPr>
          <w:p w14:paraId="146DDD8E"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0.00</w:t>
            </w:r>
          </w:p>
        </w:tc>
      </w:tr>
      <w:tr w:rsidR="002D0AE7" w14:paraId="5632A122" w14:textId="77777777">
        <w:trPr>
          <w:cantSplit/>
          <w:jc w:val="center"/>
        </w:trPr>
        <w:tc>
          <w:tcPr>
            <w:tcW w:w="893" w:type="pct"/>
            <w:tcBorders>
              <w:top w:val="single" w:sz="4" w:space="0" w:color="auto"/>
              <w:left w:val="single" w:sz="4" w:space="0" w:color="auto"/>
              <w:bottom w:val="single" w:sz="4" w:space="0" w:color="auto"/>
              <w:right w:val="single" w:sz="4" w:space="0" w:color="auto"/>
            </w:tcBorders>
          </w:tcPr>
          <w:p w14:paraId="0EB84196" w14:textId="77777777" w:rsidR="002D0AE7" w:rsidRDefault="00333EBB">
            <w:pPr>
              <w:jc w:val="both"/>
              <w:rPr>
                <w:rFonts w:hint="eastAsia"/>
                <w:color w:val="000000" w:themeColor="text1"/>
                <w:sz w:val="21"/>
                <w:szCs w:val="21"/>
              </w:rPr>
            </w:pPr>
            <w:r>
              <w:rPr>
                <w:rFonts w:hint="eastAsia"/>
                <w:color w:val="000000" w:themeColor="text1"/>
                <w:sz w:val="21"/>
                <w:szCs w:val="21"/>
              </w:rPr>
              <w:t>按组合计提坏账准备</w:t>
            </w:r>
          </w:p>
        </w:tc>
        <w:tc>
          <w:tcPr>
            <w:tcW w:w="511" w:type="pct"/>
            <w:tcBorders>
              <w:top w:val="single" w:sz="4" w:space="0" w:color="auto"/>
              <w:left w:val="single" w:sz="4" w:space="0" w:color="auto"/>
              <w:bottom w:val="single" w:sz="4" w:space="0" w:color="auto"/>
              <w:right w:val="single" w:sz="4" w:space="0" w:color="auto"/>
            </w:tcBorders>
            <w:vAlign w:val="center"/>
          </w:tcPr>
          <w:p w14:paraId="4DB8D203"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441,557,428.52</w:t>
            </w:r>
          </w:p>
        </w:tc>
        <w:tc>
          <w:tcPr>
            <w:tcW w:w="256" w:type="pct"/>
            <w:tcBorders>
              <w:top w:val="single" w:sz="4" w:space="0" w:color="auto"/>
              <w:left w:val="single" w:sz="4" w:space="0" w:color="auto"/>
              <w:bottom w:val="single" w:sz="4" w:space="0" w:color="auto"/>
              <w:right w:val="single" w:sz="4" w:space="0" w:color="auto"/>
            </w:tcBorders>
            <w:vAlign w:val="center"/>
          </w:tcPr>
          <w:p w14:paraId="465D919C"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98.30</w:t>
            </w:r>
          </w:p>
        </w:tc>
        <w:tc>
          <w:tcPr>
            <w:tcW w:w="447" w:type="pct"/>
            <w:tcBorders>
              <w:top w:val="single" w:sz="4" w:space="0" w:color="auto"/>
              <w:left w:val="single" w:sz="4" w:space="0" w:color="auto"/>
              <w:bottom w:val="single" w:sz="4" w:space="0" w:color="auto"/>
              <w:right w:val="single" w:sz="4" w:space="0" w:color="auto"/>
            </w:tcBorders>
            <w:vAlign w:val="center"/>
          </w:tcPr>
          <w:p w14:paraId="0EA7E351"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73,134.17</w:t>
            </w:r>
          </w:p>
        </w:tc>
        <w:tc>
          <w:tcPr>
            <w:tcW w:w="256" w:type="pct"/>
            <w:tcBorders>
              <w:top w:val="single" w:sz="4" w:space="0" w:color="auto"/>
              <w:left w:val="single" w:sz="4" w:space="0" w:color="auto"/>
              <w:bottom w:val="single" w:sz="4" w:space="0" w:color="auto"/>
              <w:right w:val="single" w:sz="4" w:space="0" w:color="auto"/>
            </w:tcBorders>
            <w:vAlign w:val="center"/>
          </w:tcPr>
          <w:p w14:paraId="59C86581"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0.02</w:t>
            </w:r>
          </w:p>
        </w:tc>
        <w:tc>
          <w:tcPr>
            <w:tcW w:w="576" w:type="pct"/>
            <w:tcBorders>
              <w:top w:val="single" w:sz="4" w:space="0" w:color="auto"/>
              <w:left w:val="single" w:sz="4" w:space="0" w:color="auto"/>
              <w:bottom w:val="single" w:sz="4" w:space="0" w:color="auto"/>
              <w:right w:val="single" w:sz="4" w:space="0" w:color="auto"/>
            </w:tcBorders>
            <w:vAlign w:val="center"/>
          </w:tcPr>
          <w:p w14:paraId="77EADFD9"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441,484,294.35</w:t>
            </w:r>
          </w:p>
        </w:tc>
        <w:tc>
          <w:tcPr>
            <w:tcW w:w="575" w:type="pct"/>
            <w:tcBorders>
              <w:top w:val="single" w:sz="4" w:space="0" w:color="auto"/>
              <w:left w:val="single" w:sz="4" w:space="0" w:color="auto"/>
              <w:bottom w:val="single" w:sz="4" w:space="0" w:color="auto"/>
              <w:right w:val="single" w:sz="4" w:space="0" w:color="auto"/>
            </w:tcBorders>
            <w:vAlign w:val="center"/>
          </w:tcPr>
          <w:p w14:paraId="089A8DCF"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429,950,533.44</w:t>
            </w:r>
          </w:p>
        </w:tc>
        <w:tc>
          <w:tcPr>
            <w:tcW w:w="256" w:type="pct"/>
            <w:tcBorders>
              <w:top w:val="single" w:sz="4" w:space="0" w:color="auto"/>
              <w:left w:val="single" w:sz="4" w:space="0" w:color="auto"/>
              <w:bottom w:val="single" w:sz="4" w:space="0" w:color="auto"/>
              <w:right w:val="single" w:sz="4" w:space="0" w:color="auto"/>
            </w:tcBorders>
            <w:vAlign w:val="center"/>
          </w:tcPr>
          <w:p w14:paraId="2C3EE8FC"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98.25</w:t>
            </w:r>
          </w:p>
        </w:tc>
        <w:tc>
          <w:tcPr>
            <w:tcW w:w="447" w:type="pct"/>
            <w:tcBorders>
              <w:top w:val="single" w:sz="4" w:space="0" w:color="auto"/>
              <w:left w:val="single" w:sz="4" w:space="0" w:color="auto"/>
              <w:bottom w:val="single" w:sz="4" w:space="0" w:color="auto"/>
              <w:right w:val="single" w:sz="4" w:space="0" w:color="auto"/>
            </w:tcBorders>
            <w:vAlign w:val="center"/>
          </w:tcPr>
          <w:p w14:paraId="047CDA86"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0.00</w:t>
            </w:r>
          </w:p>
        </w:tc>
        <w:tc>
          <w:tcPr>
            <w:tcW w:w="257" w:type="pct"/>
            <w:tcBorders>
              <w:top w:val="single" w:sz="4" w:space="0" w:color="auto"/>
              <w:left w:val="single" w:sz="4" w:space="0" w:color="auto"/>
              <w:bottom w:val="single" w:sz="4" w:space="0" w:color="auto"/>
              <w:right w:val="single" w:sz="4" w:space="0" w:color="auto"/>
            </w:tcBorders>
            <w:vAlign w:val="center"/>
          </w:tcPr>
          <w:p w14:paraId="44D80B64"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0.00</w:t>
            </w:r>
          </w:p>
        </w:tc>
        <w:tc>
          <w:tcPr>
            <w:tcW w:w="526" w:type="pct"/>
            <w:tcBorders>
              <w:top w:val="single" w:sz="4" w:space="0" w:color="auto"/>
              <w:left w:val="single" w:sz="4" w:space="0" w:color="auto"/>
              <w:bottom w:val="single" w:sz="4" w:space="0" w:color="auto"/>
              <w:right w:val="single" w:sz="4" w:space="0" w:color="auto"/>
            </w:tcBorders>
            <w:vAlign w:val="center"/>
          </w:tcPr>
          <w:p w14:paraId="2F39C476"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429,950,533.44</w:t>
            </w:r>
          </w:p>
        </w:tc>
      </w:tr>
      <w:tr w:rsidR="002D0AE7" w14:paraId="47CF2039" w14:textId="77777777">
        <w:trPr>
          <w:cantSplit/>
          <w:jc w:val="center"/>
        </w:trPr>
        <w:sdt>
          <w:sdtPr>
            <w:rPr>
              <w:rFonts w:ascii="Arial Narrow" w:hAnsi="Arial Narrow"/>
              <w:color w:val="000000" w:themeColor="text1"/>
              <w:sz w:val="18"/>
              <w:szCs w:val="21"/>
            </w:rPr>
            <w:tag w:val="_PLD_55a01fc28b044e40bd4e4399252665c0"/>
            <w:id w:val="-576980411"/>
          </w:sdtPr>
          <w:sdtEndPr/>
          <w:sdtContent>
            <w:tc>
              <w:tcPr>
                <w:tcW w:w="5000" w:type="pct"/>
                <w:gridSpan w:val="11"/>
                <w:tcBorders>
                  <w:top w:val="single" w:sz="4" w:space="0" w:color="auto"/>
                  <w:left w:val="single" w:sz="4" w:space="0" w:color="auto"/>
                  <w:bottom w:val="single" w:sz="4" w:space="0" w:color="auto"/>
                  <w:right w:val="single" w:sz="4" w:space="0" w:color="auto"/>
                </w:tcBorders>
              </w:tcPr>
              <w:p w14:paraId="6F5C6D04" w14:textId="77777777" w:rsidR="002D0AE7" w:rsidRDefault="00333EBB">
                <w:pPr>
                  <w:rPr>
                    <w:rFonts w:ascii="Arial Narrow" w:hAnsi="Arial Narrow"/>
                    <w:color w:val="000000" w:themeColor="text1"/>
                    <w:sz w:val="18"/>
                    <w:szCs w:val="21"/>
                  </w:rPr>
                </w:pPr>
                <w:r>
                  <w:rPr>
                    <w:rFonts w:ascii="Arial Narrow" w:hAnsi="Arial Narrow"/>
                    <w:color w:val="000000" w:themeColor="text1"/>
                    <w:sz w:val="18"/>
                    <w:szCs w:val="21"/>
                  </w:rPr>
                  <w:t>其中：</w:t>
                </w:r>
              </w:p>
            </w:tc>
          </w:sdtContent>
        </w:sdt>
      </w:tr>
      <w:tr w:rsidR="002D0AE7" w14:paraId="345B2E23" w14:textId="77777777">
        <w:trPr>
          <w:cantSplit/>
          <w:jc w:val="center"/>
        </w:trPr>
        <w:tc>
          <w:tcPr>
            <w:tcW w:w="893" w:type="pct"/>
            <w:tcBorders>
              <w:top w:val="single" w:sz="4" w:space="0" w:color="auto"/>
              <w:left w:val="single" w:sz="4" w:space="0" w:color="auto"/>
              <w:bottom w:val="single" w:sz="4" w:space="0" w:color="auto"/>
              <w:right w:val="single" w:sz="4" w:space="0" w:color="auto"/>
            </w:tcBorders>
          </w:tcPr>
          <w:p w14:paraId="70140897" w14:textId="77777777" w:rsidR="002D0AE7" w:rsidRDefault="00333EBB">
            <w:pPr>
              <w:jc w:val="both"/>
              <w:rPr>
                <w:rFonts w:hint="eastAsia"/>
                <w:color w:val="000000" w:themeColor="text1"/>
                <w:sz w:val="21"/>
                <w:szCs w:val="21"/>
              </w:rPr>
            </w:pPr>
            <w:r>
              <w:rPr>
                <w:rFonts w:hint="eastAsia"/>
                <w:color w:val="000000" w:themeColor="text1"/>
                <w:sz w:val="21"/>
                <w:szCs w:val="21"/>
              </w:rPr>
              <w:t>账龄组合</w:t>
            </w:r>
          </w:p>
        </w:tc>
        <w:tc>
          <w:tcPr>
            <w:tcW w:w="511" w:type="pct"/>
            <w:tcBorders>
              <w:top w:val="single" w:sz="4" w:space="0" w:color="auto"/>
              <w:left w:val="single" w:sz="4" w:space="0" w:color="auto"/>
              <w:bottom w:val="single" w:sz="4" w:space="0" w:color="auto"/>
              <w:right w:val="single" w:sz="4" w:space="0" w:color="auto"/>
            </w:tcBorders>
            <w:vAlign w:val="center"/>
          </w:tcPr>
          <w:p w14:paraId="4B9A798C"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441,557,428.52</w:t>
            </w:r>
          </w:p>
        </w:tc>
        <w:tc>
          <w:tcPr>
            <w:tcW w:w="256" w:type="pct"/>
            <w:tcBorders>
              <w:top w:val="single" w:sz="4" w:space="0" w:color="auto"/>
              <w:left w:val="single" w:sz="4" w:space="0" w:color="auto"/>
              <w:bottom w:val="single" w:sz="4" w:space="0" w:color="auto"/>
              <w:right w:val="single" w:sz="4" w:space="0" w:color="auto"/>
            </w:tcBorders>
            <w:vAlign w:val="center"/>
          </w:tcPr>
          <w:p w14:paraId="0035D0E5"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98.30</w:t>
            </w:r>
          </w:p>
        </w:tc>
        <w:tc>
          <w:tcPr>
            <w:tcW w:w="447" w:type="pct"/>
            <w:tcBorders>
              <w:top w:val="single" w:sz="4" w:space="0" w:color="auto"/>
              <w:left w:val="single" w:sz="4" w:space="0" w:color="auto"/>
              <w:bottom w:val="single" w:sz="4" w:space="0" w:color="auto"/>
              <w:right w:val="single" w:sz="4" w:space="0" w:color="auto"/>
            </w:tcBorders>
            <w:vAlign w:val="center"/>
          </w:tcPr>
          <w:p w14:paraId="2B9B9D49"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73,134.17</w:t>
            </w:r>
          </w:p>
        </w:tc>
        <w:tc>
          <w:tcPr>
            <w:tcW w:w="256" w:type="pct"/>
            <w:tcBorders>
              <w:top w:val="single" w:sz="4" w:space="0" w:color="auto"/>
              <w:left w:val="single" w:sz="4" w:space="0" w:color="auto"/>
              <w:bottom w:val="single" w:sz="4" w:space="0" w:color="auto"/>
              <w:right w:val="single" w:sz="4" w:space="0" w:color="auto"/>
            </w:tcBorders>
            <w:vAlign w:val="center"/>
          </w:tcPr>
          <w:p w14:paraId="0BEDC6ED"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0.02</w:t>
            </w:r>
          </w:p>
        </w:tc>
        <w:tc>
          <w:tcPr>
            <w:tcW w:w="576" w:type="pct"/>
            <w:tcBorders>
              <w:top w:val="single" w:sz="4" w:space="0" w:color="auto"/>
              <w:left w:val="single" w:sz="4" w:space="0" w:color="auto"/>
              <w:bottom w:val="single" w:sz="4" w:space="0" w:color="auto"/>
              <w:right w:val="single" w:sz="4" w:space="0" w:color="auto"/>
            </w:tcBorders>
            <w:vAlign w:val="center"/>
          </w:tcPr>
          <w:p w14:paraId="3BF525F3"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441,484,294.35</w:t>
            </w:r>
          </w:p>
        </w:tc>
        <w:tc>
          <w:tcPr>
            <w:tcW w:w="575" w:type="pct"/>
            <w:tcBorders>
              <w:top w:val="single" w:sz="4" w:space="0" w:color="auto"/>
              <w:left w:val="single" w:sz="4" w:space="0" w:color="auto"/>
              <w:bottom w:val="single" w:sz="4" w:space="0" w:color="auto"/>
              <w:right w:val="single" w:sz="4" w:space="0" w:color="auto"/>
            </w:tcBorders>
            <w:vAlign w:val="center"/>
          </w:tcPr>
          <w:p w14:paraId="46BDA96D"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429,950,533.44</w:t>
            </w:r>
          </w:p>
        </w:tc>
        <w:tc>
          <w:tcPr>
            <w:tcW w:w="256" w:type="pct"/>
            <w:tcBorders>
              <w:top w:val="single" w:sz="4" w:space="0" w:color="auto"/>
              <w:left w:val="single" w:sz="4" w:space="0" w:color="auto"/>
              <w:bottom w:val="single" w:sz="4" w:space="0" w:color="auto"/>
              <w:right w:val="single" w:sz="4" w:space="0" w:color="auto"/>
            </w:tcBorders>
            <w:vAlign w:val="center"/>
          </w:tcPr>
          <w:p w14:paraId="7519A5BE"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98.25</w:t>
            </w:r>
          </w:p>
        </w:tc>
        <w:tc>
          <w:tcPr>
            <w:tcW w:w="447" w:type="pct"/>
            <w:tcBorders>
              <w:top w:val="single" w:sz="4" w:space="0" w:color="auto"/>
              <w:left w:val="single" w:sz="4" w:space="0" w:color="auto"/>
              <w:bottom w:val="single" w:sz="4" w:space="0" w:color="auto"/>
              <w:right w:val="single" w:sz="4" w:space="0" w:color="auto"/>
            </w:tcBorders>
            <w:vAlign w:val="center"/>
          </w:tcPr>
          <w:p w14:paraId="73F8607B"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0.00</w:t>
            </w:r>
          </w:p>
        </w:tc>
        <w:tc>
          <w:tcPr>
            <w:tcW w:w="257" w:type="pct"/>
            <w:tcBorders>
              <w:top w:val="single" w:sz="4" w:space="0" w:color="auto"/>
              <w:left w:val="single" w:sz="4" w:space="0" w:color="auto"/>
              <w:bottom w:val="single" w:sz="4" w:space="0" w:color="auto"/>
              <w:right w:val="single" w:sz="4" w:space="0" w:color="auto"/>
            </w:tcBorders>
            <w:vAlign w:val="center"/>
          </w:tcPr>
          <w:p w14:paraId="1A9A55A2"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0.00</w:t>
            </w:r>
          </w:p>
        </w:tc>
        <w:tc>
          <w:tcPr>
            <w:tcW w:w="526" w:type="pct"/>
            <w:tcBorders>
              <w:top w:val="single" w:sz="4" w:space="0" w:color="auto"/>
              <w:left w:val="single" w:sz="4" w:space="0" w:color="auto"/>
              <w:bottom w:val="single" w:sz="4" w:space="0" w:color="auto"/>
              <w:right w:val="single" w:sz="4" w:space="0" w:color="auto"/>
            </w:tcBorders>
            <w:vAlign w:val="center"/>
          </w:tcPr>
          <w:p w14:paraId="2DD3E093"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429,950,533.44</w:t>
            </w:r>
          </w:p>
        </w:tc>
      </w:tr>
      <w:tr w:rsidR="002D0AE7" w14:paraId="060EF1A8" w14:textId="77777777">
        <w:trPr>
          <w:cantSplit/>
          <w:jc w:val="center"/>
        </w:trPr>
        <w:tc>
          <w:tcPr>
            <w:tcW w:w="893" w:type="pct"/>
            <w:tcBorders>
              <w:top w:val="single" w:sz="4" w:space="0" w:color="auto"/>
              <w:left w:val="single" w:sz="4" w:space="0" w:color="auto"/>
              <w:bottom w:val="single" w:sz="4" w:space="0" w:color="auto"/>
              <w:right w:val="single" w:sz="4" w:space="0" w:color="auto"/>
            </w:tcBorders>
            <w:vAlign w:val="center"/>
          </w:tcPr>
          <w:p w14:paraId="2905BA2D" w14:textId="77777777" w:rsidR="002D0AE7" w:rsidRDefault="00333EBB">
            <w:pPr>
              <w:autoSpaceDE w:val="0"/>
              <w:autoSpaceDN w:val="0"/>
              <w:adjustRightInd w:val="0"/>
              <w:jc w:val="center"/>
              <w:rPr>
                <w:rFonts w:hint="eastAsia"/>
                <w:color w:val="000000" w:themeColor="text1"/>
                <w:sz w:val="21"/>
                <w:szCs w:val="21"/>
              </w:rPr>
            </w:pPr>
            <w:r>
              <w:rPr>
                <w:rFonts w:hint="eastAsia"/>
                <w:color w:val="000000" w:themeColor="text1"/>
                <w:sz w:val="21"/>
                <w:szCs w:val="21"/>
              </w:rPr>
              <w:t>合计</w:t>
            </w:r>
          </w:p>
        </w:tc>
        <w:tc>
          <w:tcPr>
            <w:tcW w:w="511" w:type="pct"/>
            <w:tcBorders>
              <w:top w:val="single" w:sz="4" w:space="0" w:color="auto"/>
              <w:left w:val="single" w:sz="4" w:space="0" w:color="auto"/>
              <w:bottom w:val="single" w:sz="4" w:space="0" w:color="auto"/>
              <w:right w:val="single" w:sz="4" w:space="0" w:color="auto"/>
            </w:tcBorders>
            <w:vAlign w:val="center"/>
          </w:tcPr>
          <w:p w14:paraId="5BC4126F"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449,209,874.30</w:t>
            </w:r>
          </w:p>
        </w:tc>
        <w:tc>
          <w:tcPr>
            <w:tcW w:w="256" w:type="pct"/>
            <w:tcBorders>
              <w:top w:val="single" w:sz="4" w:space="0" w:color="auto"/>
              <w:left w:val="single" w:sz="4" w:space="0" w:color="auto"/>
              <w:bottom w:val="single" w:sz="4" w:space="0" w:color="auto"/>
              <w:right w:val="single" w:sz="4" w:space="0" w:color="auto"/>
            </w:tcBorders>
            <w:vAlign w:val="center"/>
          </w:tcPr>
          <w:p w14:paraId="0C040E1C" w14:textId="77777777" w:rsidR="002D0AE7" w:rsidRDefault="00333EBB">
            <w:pPr>
              <w:jc w:val="right"/>
              <w:rPr>
                <w:rFonts w:ascii="Arial Narrow" w:hAnsi="Arial Narrow" w:cs="Times New Roman"/>
                <w:color w:val="000000" w:themeColor="text1"/>
                <w:sz w:val="18"/>
                <w:szCs w:val="21"/>
              </w:rPr>
            </w:pPr>
            <w:r>
              <w:rPr>
                <w:rFonts w:ascii="Arial Narrow" w:hAnsi="Arial Narrow" w:cs="Times New Roman"/>
                <w:sz w:val="18"/>
                <w:szCs w:val="21"/>
              </w:rPr>
              <w:t>100.00</w:t>
            </w:r>
          </w:p>
        </w:tc>
        <w:tc>
          <w:tcPr>
            <w:tcW w:w="447" w:type="pct"/>
            <w:tcBorders>
              <w:top w:val="single" w:sz="4" w:space="0" w:color="auto"/>
              <w:left w:val="single" w:sz="4" w:space="0" w:color="auto"/>
              <w:bottom w:val="single" w:sz="4" w:space="0" w:color="auto"/>
              <w:right w:val="single" w:sz="4" w:space="0" w:color="auto"/>
            </w:tcBorders>
            <w:vAlign w:val="center"/>
          </w:tcPr>
          <w:p w14:paraId="129DFD39"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7,725,579.95</w:t>
            </w:r>
          </w:p>
        </w:tc>
        <w:tc>
          <w:tcPr>
            <w:tcW w:w="256" w:type="pct"/>
            <w:tcBorders>
              <w:top w:val="single" w:sz="4" w:space="0" w:color="auto"/>
              <w:left w:val="single" w:sz="4" w:space="0" w:color="auto"/>
              <w:bottom w:val="single" w:sz="4" w:space="0" w:color="auto"/>
              <w:right w:val="single" w:sz="4" w:space="0" w:color="auto"/>
            </w:tcBorders>
            <w:vAlign w:val="center"/>
          </w:tcPr>
          <w:p w14:paraId="52083E43" w14:textId="77777777" w:rsidR="002D0AE7" w:rsidRDefault="00333EBB">
            <w:pPr>
              <w:jc w:val="right"/>
              <w:rPr>
                <w:rFonts w:ascii="Arial Narrow" w:hAnsi="Arial Narrow" w:cs="Times New Roman"/>
                <w:color w:val="000000" w:themeColor="text1"/>
                <w:sz w:val="18"/>
                <w:szCs w:val="21"/>
              </w:rPr>
            </w:pPr>
            <w:r>
              <w:rPr>
                <w:rFonts w:ascii="Arial Narrow" w:hAnsi="Arial Narrow" w:cs="Times New Roman"/>
                <w:sz w:val="18"/>
                <w:szCs w:val="21"/>
              </w:rPr>
              <w:t>1.72</w:t>
            </w:r>
          </w:p>
        </w:tc>
        <w:tc>
          <w:tcPr>
            <w:tcW w:w="576" w:type="pct"/>
            <w:tcBorders>
              <w:top w:val="single" w:sz="4" w:space="0" w:color="auto"/>
              <w:left w:val="single" w:sz="4" w:space="0" w:color="auto"/>
              <w:bottom w:val="single" w:sz="4" w:space="0" w:color="auto"/>
              <w:right w:val="single" w:sz="4" w:space="0" w:color="auto"/>
            </w:tcBorders>
            <w:vAlign w:val="center"/>
          </w:tcPr>
          <w:p w14:paraId="21495FEA"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441,484,294.35</w:t>
            </w:r>
          </w:p>
        </w:tc>
        <w:tc>
          <w:tcPr>
            <w:tcW w:w="575" w:type="pct"/>
            <w:tcBorders>
              <w:top w:val="single" w:sz="4" w:space="0" w:color="auto"/>
              <w:left w:val="single" w:sz="4" w:space="0" w:color="auto"/>
              <w:bottom w:val="single" w:sz="4" w:space="0" w:color="auto"/>
              <w:right w:val="single" w:sz="4" w:space="0" w:color="auto"/>
            </w:tcBorders>
            <w:vAlign w:val="center"/>
          </w:tcPr>
          <w:p w14:paraId="16F16A1A"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437,602,979.22</w:t>
            </w:r>
          </w:p>
        </w:tc>
        <w:tc>
          <w:tcPr>
            <w:tcW w:w="256" w:type="pct"/>
            <w:tcBorders>
              <w:top w:val="single" w:sz="4" w:space="0" w:color="auto"/>
              <w:left w:val="single" w:sz="4" w:space="0" w:color="auto"/>
              <w:bottom w:val="single" w:sz="4" w:space="0" w:color="auto"/>
              <w:right w:val="single" w:sz="4" w:space="0" w:color="auto"/>
            </w:tcBorders>
            <w:vAlign w:val="center"/>
          </w:tcPr>
          <w:p w14:paraId="468035F8" w14:textId="77777777" w:rsidR="002D0AE7" w:rsidRDefault="00333EBB">
            <w:pPr>
              <w:jc w:val="center"/>
              <w:rPr>
                <w:rFonts w:ascii="Arial Narrow" w:hAnsi="Arial Narrow" w:cs="Times New Roman"/>
                <w:color w:val="000000" w:themeColor="text1"/>
                <w:sz w:val="18"/>
                <w:szCs w:val="21"/>
              </w:rPr>
            </w:pPr>
            <w:r>
              <w:rPr>
                <w:rFonts w:ascii="Arial Narrow" w:hAnsi="Arial Narrow" w:cs="Times New Roman"/>
                <w:sz w:val="18"/>
                <w:szCs w:val="21"/>
              </w:rPr>
              <w:t>100.00</w:t>
            </w:r>
          </w:p>
        </w:tc>
        <w:tc>
          <w:tcPr>
            <w:tcW w:w="447" w:type="pct"/>
            <w:tcBorders>
              <w:top w:val="single" w:sz="4" w:space="0" w:color="auto"/>
              <w:left w:val="single" w:sz="4" w:space="0" w:color="auto"/>
              <w:bottom w:val="single" w:sz="4" w:space="0" w:color="auto"/>
              <w:right w:val="single" w:sz="4" w:space="0" w:color="auto"/>
            </w:tcBorders>
            <w:vAlign w:val="center"/>
          </w:tcPr>
          <w:p w14:paraId="3FA352B8"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7,652,445.78</w:t>
            </w:r>
          </w:p>
        </w:tc>
        <w:tc>
          <w:tcPr>
            <w:tcW w:w="257" w:type="pct"/>
            <w:tcBorders>
              <w:top w:val="single" w:sz="4" w:space="0" w:color="auto"/>
              <w:left w:val="single" w:sz="4" w:space="0" w:color="auto"/>
              <w:bottom w:val="single" w:sz="4" w:space="0" w:color="auto"/>
              <w:right w:val="single" w:sz="4" w:space="0" w:color="auto"/>
            </w:tcBorders>
            <w:vAlign w:val="center"/>
          </w:tcPr>
          <w:p w14:paraId="77A93EB2"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1.75</w:t>
            </w:r>
          </w:p>
        </w:tc>
        <w:tc>
          <w:tcPr>
            <w:tcW w:w="526" w:type="pct"/>
            <w:tcBorders>
              <w:top w:val="single" w:sz="4" w:space="0" w:color="auto"/>
              <w:left w:val="single" w:sz="4" w:space="0" w:color="auto"/>
              <w:bottom w:val="single" w:sz="4" w:space="0" w:color="auto"/>
              <w:right w:val="single" w:sz="4" w:space="0" w:color="auto"/>
            </w:tcBorders>
            <w:vAlign w:val="center"/>
          </w:tcPr>
          <w:p w14:paraId="32D73B69" w14:textId="77777777" w:rsidR="002D0AE7" w:rsidRDefault="00333EBB">
            <w:pPr>
              <w:jc w:val="right"/>
              <w:rPr>
                <w:rFonts w:ascii="Arial Narrow" w:hAnsi="Arial Narrow" w:cs="Times New Roman"/>
                <w:sz w:val="18"/>
                <w:szCs w:val="21"/>
              </w:rPr>
            </w:pPr>
            <w:r>
              <w:rPr>
                <w:rFonts w:ascii="Arial Narrow" w:hAnsi="Arial Narrow" w:cs="Times New Roman"/>
                <w:sz w:val="18"/>
                <w:szCs w:val="21"/>
              </w:rPr>
              <w:t>429,950,533.44</w:t>
            </w:r>
          </w:p>
        </w:tc>
      </w:tr>
    </w:tbl>
    <w:p w14:paraId="06596A97" w14:textId="77777777" w:rsidR="002D0AE7" w:rsidRDefault="00333EBB">
      <w:pPr>
        <w:rPr>
          <w:rFonts w:hint="eastAsia"/>
          <w:color w:val="000000" w:themeColor="text1"/>
        </w:rPr>
      </w:pPr>
      <w:bookmarkStart w:id="145" w:name="_Hlk10467187"/>
      <w:bookmarkStart w:id="146" w:name="_Hlk10467200"/>
      <w:bookmarkEnd w:id="144"/>
      <w:r>
        <w:rPr>
          <w:rFonts w:hint="eastAsia"/>
          <w:color w:val="000000" w:themeColor="text1"/>
        </w:rPr>
        <w:t>按单项计提坏账准备：</w:t>
      </w:r>
      <w:bookmarkEnd w:id="145"/>
    </w:p>
    <w:sdt>
      <w:sdtPr>
        <w:rPr>
          <w:rFonts w:hint="eastAsia"/>
          <w:color w:val="000000" w:themeColor="text1"/>
        </w:rPr>
        <w:alias w:val="是否适用：按单项计提坏账准备的应收账款详细情况[双击切换]"/>
        <w:tag w:val="_GBC_e07c01cfb2fe4b05a2bb603b7f914946"/>
        <w:id w:val="1877282486"/>
        <w:placeholder>
          <w:docPart w:val="GBC22222222222222222222222222222"/>
        </w:placeholder>
      </w:sdtPr>
      <w:sdtEndPr/>
      <w:sdtContent>
        <w:p w14:paraId="2F5ACAF2"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49286035" w14:textId="77777777" w:rsidR="002D0AE7" w:rsidRDefault="00333EBB">
      <w:pPr>
        <w:autoSpaceDE w:val="0"/>
        <w:autoSpaceDN w:val="0"/>
        <w:adjustRightInd w:val="0"/>
        <w:ind w:left="5880" w:right="105"/>
        <w:jc w:val="right"/>
        <w:rPr>
          <w:rFonts w:hint="eastAsia"/>
          <w:color w:val="000000" w:themeColor="text1"/>
        </w:rPr>
      </w:pPr>
      <w:r>
        <w:rPr>
          <w:rFonts w:hint="eastAsia"/>
          <w:color w:val="000000" w:themeColor="text1"/>
        </w:rPr>
        <w:t>单位：</w:t>
      </w:r>
      <w:sdt>
        <w:sdtPr>
          <w:rPr>
            <w:rFonts w:hint="eastAsia"/>
            <w:color w:val="000000" w:themeColor="text1"/>
          </w:rPr>
          <w:alias w:val="单位：按单项计提坏账准备的应收账款详细情况"/>
          <w:tag w:val="_GBC_5737c621553040588c35a299b21bda52"/>
          <w:id w:val="-143659374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按单项计提坏账准备的应收账款详细情况"/>
          <w:tag w:val="_GBC_b6cb9fb35a4a4033912355f7cb997afb"/>
          <w:id w:val="10802205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983"/>
        <w:gridCol w:w="1966"/>
        <w:gridCol w:w="1720"/>
        <w:gridCol w:w="1740"/>
      </w:tblGrid>
      <w:tr w:rsidR="002D0AE7" w14:paraId="53599D01" w14:textId="77777777">
        <w:sdt>
          <w:sdtPr>
            <w:rPr>
              <w:color w:val="000000" w:themeColor="text1"/>
              <w:sz w:val="21"/>
              <w:szCs w:val="21"/>
            </w:rPr>
            <w:tag w:val="_PLD_886503527dee421ca2c31b493a41ab31"/>
            <w:id w:val="86427981"/>
          </w:sdtPr>
          <w:sdtEndPr/>
          <w:sdtContent>
            <w:tc>
              <w:tcPr>
                <w:tcW w:w="801" w:type="pct"/>
                <w:vMerge w:val="restart"/>
                <w:vAlign w:val="center"/>
              </w:tcPr>
              <w:p w14:paraId="2CFFB73C" w14:textId="77777777" w:rsidR="002D0AE7" w:rsidRDefault="00333EBB">
                <w:pPr>
                  <w:jc w:val="center"/>
                  <w:rPr>
                    <w:rFonts w:hint="eastAsia"/>
                    <w:color w:val="000000" w:themeColor="text1"/>
                    <w:sz w:val="21"/>
                    <w:szCs w:val="21"/>
                  </w:rPr>
                </w:pPr>
                <w:r>
                  <w:rPr>
                    <w:rFonts w:hint="eastAsia"/>
                    <w:color w:val="000000" w:themeColor="text1"/>
                    <w:sz w:val="21"/>
                    <w:szCs w:val="21"/>
                  </w:rPr>
                  <w:t>名称</w:t>
                </w:r>
              </w:p>
            </w:tc>
          </w:sdtContent>
        </w:sdt>
        <w:sdt>
          <w:sdtPr>
            <w:rPr>
              <w:color w:val="000000" w:themeColor="text1"/>
              <w:sz w:val="21"/>
              <w:szCs w:val="21"/>
            </w:rPr>
            <w:tag w:val="_PLD_e08f6e696f224538a07af6226cb97b93"/>
            <w:id w:val="-138800725"/>
          </w:sdtPr>
          <w:sdtEndPr/>
          <w:sdtContent>
            <w:tc>
              <w:tcPr>
                <w:tcW w:w="4199" w:type="pct"/>
                <w:gridSpan w:val="4"/>
                <w:vAlign w:val="center"/>
              </w:tcPr>
              <w:p w14:paraId="69253470"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tr>
      <w:tr w:rsidR="002D0AE7" w14:paraId="4155E9A3" w14:textId="77777777">
        <w:tc>
          <w:tcPr>
            <w:tcW w:w="801" w:type="pct"/>
            <w:vMerge/>
          </w:tcPr>
          <w:p w14:paraId="2FE913EB" w14:textId="77777777" w:rsidR="002D0AE7" w:rsidRDefault="002D0AE7">
            <w:pPr>
              <w:jc w:val="center"/>
              <w:rPr>
                <w:rFonts w:hint="eastAsia"/>
                <w:color w:val="000000" w:themeColor="text1"/>
                <w:sz w:val="21"/>
                <w:szCs w:val="21"/>
              </w:rPr>
            </w:pPr>
          </w:p>
        </w:tc>
        <w:sdt>
          <w:sdtPr>
            <w:rPr>
              <w:color w:val="000000" w:themeColor="text1"/>
              <w:sz w:val="21"/>
              <w:szCs w:val="21"/>
            </w:rPr>
            <w:tag w:val="_PLD_464a1be46d05424da4883a8442e8eecd"/>
            <w:id w:val="375825553"/>
          </w:sdtPr>
          <w:sdtEndPr/>
          <w:sdtContent>
            <w:tc>
              <w:tcPr>
                <w:tcW w:w="1124" w:type="pct"/>
                <w:vAlign w:val="center"/>
              </w:tcPr>
              <w:p w14:paraId="1BADEF12" w14:textId="77777777" w:rsidR="002D0AE7" w:rsidRDefault="00333EBB">
                <w:pPr>
                  <w:jc w:val="center"/>
                  <w:rPr>
                    <w:rFonts w:hint="eastAsia"/>
                    <w:color w:val="000000" w:themeColor="text1"/>
                    <w:sz w:val="21"/>
                    <w:szCs w:val="21"/>
                  </w:rPr>
                </w:pPr>
                <w:r>
                  <w:rPr>
                    <w:rFonts w:hint="eastAsia"/>
                    <w:color w:val="000000" w:themeColor="text1"/>
                    <w:sz w:val="21"/>
                    <w:szCs w:val="21"/>
                  </w:rPr>
                  <w:t>账面余额</w:t>
                </w:r>
              </w:p>
            </w:tc>
          </w:sdtContent>
        </w:sdt>
        <w:sdt>
          <w:sdtPr>
            <w:rPr>
              <w:color w:val="000000" w:themeColor="text1"/>
              <w:sz w:val="21"/>
              <w:szCs w:val="21"/>
            </w:rPr>
            <w:tag w:val="_PLD_3d0d70541d9a48beb1c29f819592f107"/>
            <w:id w:val="-1397043332"/>
          </w:sdtPr>
          <w:sdtEndPr/>
          <w:sdtContent>
            <w:tc>
              <w:tcPr>
                <w:tcW w:w="1114" w:type="pct"/>
                <w:vAlign w:val="center"/>
              </w:tcPr>
              <w:p w14:paraId="7AB95110" w14:textId="77777777" w:rsidR="002D0AE7" w:rsidRDefault="00333EBB">
                <w:pPr>
                  <w:jc w:val="center"/>
                  <w:rPr>
                    <w:rFonts w:hint="eastAsia"/>
                    <w:color w:val="000000" w:themeColor="text1"/>
                    <w:sz w:val="21"/>
                    <w:szCs w:val="21"/>
                  </w:rPr>
                </w:pPr>
                <w:r>
                  <w:rPr>
                    <w:rFonts w:hint="eastAsia"/>
                    <w:color w:val="000000" w:themeColor="text1"/>
                    <w:sz w:val="21"/>
                    <w:szCs w:val="21"/>
                  </w:rPr>
                  <w:t>坏账准备</w:t>
                </w:r>
              </w:p>
            </w:tc>
          </w:sdtContent>
        </w:sdt>
        <w:sdt>
          <w:sdtPr>
            <w:rPr>
              <w:color w:val="000000" w:themeColor="text1"/>
              <w:sz w:val="21"/>
              <w:szCs w:val="21"/>
            </w:rPr>
            <w:tag w:val="_PLD_76393245336e41aa891aec8c50271105"/>
            <w:id w:val="1056899686"/>
          </w:sdtPr>
          <w:sdtEndPr/>
          <w:sdtContent>
            <w:tc>
              <w:tcPr>
                <w:tcW w:w="975" w:type="pct"/>
                <w:vAlign w:val="center"/>
              </w:tcPr>
              <w:p w14:paraId="3267D69D" w14:textId="77777777" w:rsidR="002D0AE7" w:rsidRDefault="00333EBB">
                <w:pPr>
                  <w:jc w:val="center"/>
                  <w:rPr>
                    <w:rFonts w:hint="eastAsia"/>
                    <w:color w:val="000000" w:themeColor="text1"/>
                    <w:sz w:val="21"/>
                    <w:szCs w:val="21"/>
                  </w:rPr>
                </w:pPr>
                <w:r>
                  <w:rPr>
                    <w:color w:val="000000" w:themeColor="text1"/>
                    <w:sz w:val="21"/>
                    <w:szCs w:val="21"/>
                  </w:rPr>
                  <w:t>计提比例</w:t>
                </w:r>
                <w:r>
                  <w:rPr>
                    <w:rFonts w:hint="eastAsia"/>
                    <w:color w:val="000000" w:themeColor="text1"/>
                    <w:sz w:val="21"/>
                    <w:szCs w:val="21"/>
                  </w:rPr>
                  <w:t>（</w:t>
                </w:r>
                <w:r>
                  <w:rPr>
                    <w:rFonts w:hint="eastAsia"/>
                    <w:color w:val="000000" w:themeColor="text1"/>
                    <w:sz w:val="21"/>
                    <w:szCs w:val="21"/>
                  </w:rPr>
                  <w:t>%</w:t>
                </w:r>
                <w:r>
                  <w:rPr>
                    <w:rFonts w:hint="eastAsia"/>
                    <w:color w:val="000000" w:themeColor="text1"/>
                    <w:sz w:val="21"/>
                    <w:szCs w:val="21"/>
                  </w:rPr>
                  <w:t>）</w:t>
                </w:r>
              </w:p>
            </w:tc>
          </w:sdtContent>
        </w:sdt>
        <w:sdt>
          <w:sdtPr>
            <w:rPr>
              <w:color w:val="000000" w:themeColor="text1"/>
              <w:sz w:val="21"/>
              <w:szCs w:val="21"/>
            </w:rPr>
            <w:tag w:val="_PLD_950e8014be3245d1a45783884c32208d"/>
            <w:id w:val="1456297931"/>
          </w:sdtPr>
          <w:sdtEndPr/>
          <w:sdtContent>
            <w:tc>
              <w:tcPr>
                <w:tcW w:w="986" w:type="pct"/>
                <w:vAlign w:val="center"/>
              </w:tcPr>
              <w:p w14:paraId="54A10BFE" w14:textId="77777777" w:rsidR="002D0AE7" w:rsidRDefault="00333EBB">
                <w:pPr>
                  <w:jc w:val="center"/>
                  <w:rPr>
                    <w:rFonts w:hint="eastAsia"/>
                    <w:color w:val="000000" w:themeColor="text1"/>
                    <w:sz w:val="21"/>
                    <w:szCs w:val="21"/>
                  </w:rPr>
                </w:pPr>
                <w:r>
                  <w:rPr>
                    <w:rFonts w:hint="eastAsia"/>
                    <w:color w:val="000000" w:themeColor="text1"/>
                    <w:sz w:val="21"/>
                    <w:szCs w:val="21"/>
                  </w:rPr>
                  <w:t>计提理由</w:t>
                </w:r>
              </w:p>
            </w:tc>
          </w:sdtContent>
        </w:sdt>
      </w:tr>
      <w:tr w:rsidR="002D0AE7" w14:paraId="70409D28" w14:textId="77777777">
        <w:tc>
          <w:tcPr>
            <w:tcW w:w="801" w:type="pct"/>
          </w:tcPr>
          <w:p w14:paraId="17F0EE4E" w14:textId="77777777" w:rsidR="002D0AE7" w:rsidRDefault="00333EBB">
            <w:pPr>
              <w:jc w:val="center"/>
              <w:rPr>
                <w:rFonts w:ascii="Times New Roman" w:hAnsi="Times New Roman" w:cs="Times New Roman"/>
                <w:sz w:val="21"/>
                <w:szCs w:val="21"/>
              </w:rPr>
            </w:pPr>
            <w:r>
              <w:rPr>
                <w:rFonts w:ascii="Times New Roman" w:hAnsi="Times New Roman" w:cs="Times New Roman"/>
                <w:sz w:val="21"/>
                <w:szCs w:val="21"/>
              </w:rPr>
              <w:t>1</w:t>
            </w:r>
          </w:p>
        </w:tc>
        <w:tc>
          <w:tcPr>
            <w:tcW w:w="1124" w:type="pct"/>
            <w:vAlign w:val="center"/>
          </w:tcPr>
          <w:p w14:paraId="10F2E2E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4,288,633.81</w:t>
            </w:r>
          </w:p>
        </w:tc>
        <w:tc>
          <w:tcPr>
            <w:tcW w:w="1114" w:type="pct"/>
            <w:vAlign w:val="center"/>
          </w:tcPr>
          <w:p w14:paraId="50F6A29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4,288,633.81</w:t>
            </w:r>
          </w:p>
        </w:tc>
        <w:tc>
          <w:tcPr>
            <w:tcW w:w="975" w:type="pct"/>
            <w:vAlign w:val="center"/>
          </w:tcPr>
          <w:p w14:paraId="20C82DF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100</w:t>
            </w:r>
          </w:p>
        </w:tc>
        <w:tc>
          <w:tcPr>
            <w:tcW w:w="986" w:type="pct"/>
            <w:vAlign w:val="center"/>
          </w:tcPr>
          <w:p w14:paraId="3A97E533" w14:textId="77777777" w:rsidR="002D0AE7" w:rsidRDefault="00333EBB">
            <w:pPr>
              <w:rPr>
                <w:rFonts w:hint="eastAsia"/>
                <w:sz w:val="21"/>
                <w:szCs w:val="21"/>
              </w:rPr>
            </w:pPr>
            <w:r>
              <w:rPr>
                <w:sz w:val="21"/>
                <w:szCs w:val="21"/>
              </w:rPr>
              <w:t>收回困难</w:t>
            </w:r>
          </w:p>
        </w:tc>
      </w:tr>
      <w:tr w:rsidR="002D0AE7" w14:paraId="69B14A76" w14:textId="77777777">
        <w:tc>
          <w:tcPr>
            <w:tcW w:w="801" w:type="pct"/>
          </w:tcPr>
          <w:p w14:paraId="79D9FA3E" w14:textId="77777777" w:rsidR="002D0AE7" w:rsidRDefault="00333EBB">
            <w:pPr>
              <w:jc w:val="center"/>
              <w:rPr>
                <w:rFonts w:ascii="Times New Roman" w:hAnsi="Times New Roman" w:cs="Times New Roman"/>
                <w:sz w:val="21"/>
                <w:szCs w:val="21"/>
              </w:rPr>
            </w:pPr>
            <w:r>
              <w:rPr>
                <w:rFonts w:ascii="Times New Roman" w:hAnsi="Times New Roman" w:cs="Times New Roman"/>
                <w:sz w:val="21"/>
                <w:szCs w:val="21"/>
              </w:rPr>
              <w:t>2</w:t>
            </w:r>
          </w:p>
        </w:tc>
        <w:tc>
          <w:tcPr>
            <w:tcW w:w="1124" w:type="pct"/>
            <w:vAlign w:val="center"/>
          </w:tcPr>
          <w:p w14:paraId="3A62205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588,290.45</w:t>
            </w:r>
          </w:p>
        </w:tc>
        <w:tc>
          <w:tcPr>
            <w:tcW w:w="1114" w:type="pct"/>
            <w:vAlign w:val="center"/>
          </w:tcPr>
          <w:p w14:paraId="617ED71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588,290.45</w:t>
            </w:r>
          </w:p>
        </w:tc>
        <w:tc>
          <w:tcPr>
            <w:tcW w:w="975" w:type="pct"/>
            <w:vAlign w:val="center"/>
          </w:tcPr>
          <w:p w14:paraId="5A0F278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100</w:t>
            </w:r>
          </w:p>
        </w:tc>
        <w:tc>
          <w:tcPr>
            <w:tcW w:w="986" w:type="pct"/>
            <w:vAlign w:val="center"/>
          </w:tcPr>
          <w:p w14:paraId="126C8EDC" w14:textId="77777777" w:rsidR="002D0AE7" w:rsidRDefault="00333EBB">
            <w:pPr>
              <w:rPr>
                <w:rFonts w:hint="eastAsia"/>
                <w:sz w:val="21"/>
                <w:szCs w:val="21"/>
              </w:rPr>
            </w:pPr>
            <w:r>
              <w:rPr>
                <w:sz w:val="21"/>
                <w:szCs w:val="21"/>
              </w:rPr>
              <w:t>收回困难</w:t>
            </w:r>
          </w:p>
        </w:tc>
      </w:tr>
      <w:tr w:rsidR="002D0AE7" w14:paraId="72121DE5" w14:textId="77777777">
        <w:tc>
          <w:tcPr>
            <w:tcW w:w="801" w:type="pct"/>
          </w:tcPr>
          <w:p w14:paraId="51828814" w14:textId="77777777" w:rsidR="002D0AE7" w:rsidRDefault="00333EBB">
            <w:pPr>
              <w:jc w:val="center"/>
              <w:rPr>
                <w:rFonts w:ascii="Times New Roman" w:hAnsi="Times New Roman" w:cs="Times New Roman"/>
                <w:sz w:val="21"/>
                <w:szCs w:val="21"/>
              </w:rPr>
            </w:pPr>
            <w:r>
              <w:rPr>
                <w:rFonts w:ascii="Times New Roman" w:hAnsi="Times New Roman" w:cs="Times New Roman"/>
                <w:sz w:val="21"/>
                <w:szCs w:val="21"/>
              </w:rPr>
              <w:t>3</w:t>
            </w:r>
          </w:p>
        </w:tc>
        <w:tc>
          <w:tcPr>
            <w:tcW w:w="1124" w:type="pct"/>
            <w:vAlign w:val="center"/>
          </w:tcPr>
          <w:p w14:paraId="17AB40B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1,916,324.55</w:t>
            </w:r>
          </w:p>
        </w:tc>
        <w:tc>
          <w:tcPr>
            <w:tcW w:w="1114" w:type="pct"/>
            <w:vAlign w:val="center"/>
          </w:tcPr>
          <w:p w14:paraId="1FDF1B2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1,916,324.55</w:t>
            </w:r>
          </w:p>
        </w:tc>
        <w:tc>
          <w:tcPr>
            <w:tcW w:w="975" w:type="pct"/>
            <w:vAlign w:val="center"/>
          </w:tcPr>
          <w:p w14:paraId="4D20889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100</w:t>
            </w:r>
          </w:p>
        </w:tc>
        <w:tc>
          <w:tcPr>
            <w:tcW w:w="986" w:type="pct"/>
            <w:vAlign w:val="center"/>
          </w:tcPr>
          <w:p w14:paraId="7426081C" w14:textId="77777777" w:rsidR="002D0AE7" w:rsidRDefault="00333EBB">
            <w:pPr>
              <w:rPr>
                <w:rFonts w:hint="eastAsia"/>
                <w:sz w:val="21"/>
                <w:szCs w:val="21"/>
              </w:rPr>
            </w:pPr>
            <w:r>
              <w:rPr>
                <w:sz w:val="21"/>
                <w:szCs w:val="21"/>
              </w:rPr>
              <w:t>收回困难</w:t>
            </w:r>
          </w:p>
        </w:tc>
      </w:tr>
      <w:tr w:rsidR="002D0AE7" w14:paraId="6922400F" w14:textId="77777777">
        <w:tc>
          <w:tcPr>
            <w:tcW w:w="801" w:type="pct"/>
          </w:tcPr>
          <w:p w14:paraId="3C11C09E" w14:textId="77777777" w:rsidR="002D0AE7" w:rsidRDefault="00333EBB">
            <w:pPr>
              <w:jc w:val="center"/>
              <w:rPr>
                <w:rFonts w:ascii="Times New Roman" w:hAnsi="Times New Roman" w:cs="Times New Roman"/>
                <w:sz w:val="21"/>
                <w:szCs w:val="21"/>
              </w:rPr>
            </w:pPr>
            <w:r>
              <w:rPr>
                <w:rFonts w:ascii="Times New Roman" w:hAnsi="Times New Roman" w:cs="Times New Roman"/>
                <w:sz w:val="21"/>
                <w:szCs w:val="21"/>
              </w:rPr>
              <w:t>4</w:t>
            </w:r>
          </w:p>
        </w:tc>
        <w:tc>
          <w:tcPr>
            <w:tcW w:w="1124" w:type="pct"/>
            <w:vAlign w:val="center"/>
          </w:tcPr>
          <w:p w14:paraId="101752E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123,939.82</w:t>
            </w:r>
          </w:p>
        </w:tc>
        <w:tc>
          <w:tcPr>
            <w:tcW w:w="1114" w:type="pct"/>
            <w:vAlign w:val="center"/>
          </w:tcPr>
          <w:p w14:paraId="69D52CA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123,939.82</w:t>
            </w:r>
          </w:p>
        </w:tc>
        <w:tc>
          <w:tcPr>
            <w:tcW w:w="975" w:type="pct"/>
            <w:vAlign w:val="center"/>
          </w:tcPr>
          <w:p w14:paraId="321F0BB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100</w:t>
            </w:r>
          </w:p>
        </w:tc>
        <w:tc>
          <w:tcPr>
            <w:tcW w:w="986" w:type="pct"/>
            <w:vAlign w:val="center"/>
          </w:tcPr>
          <w:p w14:paraId="6C11276C" w14:textId="77777777" w:rsidR="002D0AE7" w:rsidRDefault="00333EBB">
            <w:pPr>
              <w:rPr>
                <w:rFonts w:hint="eastAsia"/>
                <w:sz w:val="21"/>
                <w:szCs w:val="21"/>
              </w:rPr>
            </w:pPr>
            <w:r>
              <w:rPr>
                <w:sz w:val="21"/>
                <w:szCs w:val="21"/>
              </w:rPr>
              <w:t>收回困难</w:t>
            </w:r>
          </w:p>
        </w:tc>
      </w:tr>
      <w:tr w:rsidR="002D0AE7" w14:paraId="21B6E9B9" w14:textId="77777777">
        <w:tc>
          <w:tcPr>
            <w:tcW w:w="801" w:type="pct"/>
          </w:tcPr>
          <w:p w14:paraId="620079F5" w14:textId="77777777" w:rsidR="002D0AE7" w:rsidRDefault="00333EBB">
            <w:pPr>
              <w:jc w:val="center"/>
              <w:rPr>
                <w:rFonts w:ascii="Times New Roman" w:hAnsi="Times New Roman" w:cs="Times New Roman"/>
                <w:sz w:val="21"/>
                <w:szCs w:val="21"/>
              </w:rPr>
            </w:pPr>
            <w:r>
              <w:rPr>
                <w:rFonts w:ascii="Times New Roman" w:hAnsi="Times New Roman" w:cs="Times New Roman"/>
                <w:sz w:val="21"/>
                <w:szCs w:val="21"/>
              </w:rPr>
              <w:t>5</w:t>
            </w:r>
          </w:p>
        </w:tc>
        <w:tc>
          <w:tcPr>
            <w:tcW w:w="1124" w:type="pct"/>
            <w:vAlign w:val="center"/>
          </w:tcPr>
          <w:p w14:paraId="4753852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309,974.38</w:t>
            </w:r>
          </w:p>
        </w:tc>
        <w:tc>
          <w:tcPr>
            <w:tcW w:w="1114" w:type="pct"/>
            <w:vAlign w:val="center"/>
          </w:tcPr>
          <w:p w14:paraId="6A28A24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309,974.38</w:t>
            </w:r>
          </w:p>
        </w:tc>
        <w:tc>
          <w:tcPr>
            <w:tcW w:w="975" w:type="pct"/>
            <w:vAlign w:val="center"/>
          </w:tcPr>
          <w:p w14:paraId="33E7627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100</w:t>
            </w:r>
          </w:p>
        </w:tc>
        <w:tc>
          <w:tcPr>
            <w:tcW w:w="986" w:type="pct"/>
            <w:vAlign w:val="center"/>
          </w:tcPr>
          <w:p w14:paraId="4EB8C6FE" w14:textId="77777777" w:rsidR="002D0AE7" w:rsidRDefault="00333EBB">
            <w:pPr>
              <w:rPr>
                <w:rFonts w:hint="eastAsia"/>
                <w:sz w:val="21"/>
                <w:szCs w:val="21"/>
              </w:rPr>
            </w:pPr>
            <w:r>
              <w:rPr>
                <w:sz w:val="21"/>
                <w:szCs w:val="21"/>
              </w:rPr>
              <w:t>收回困难</w:t>
            </w:r>
          </w:p>
        </w:tc>
      </w:tr>
      <w:tr w:rsidR="002D0AE7" w14:paraId="4D7860A5" w14:textId="77777777">
        <w:tc>
          <w:tcPr>
            <w:tcW w:w="801" w:type="pct"/>
          </w:tcPr>
          <w:p w14:paraId="013123D2" w14:textId="77777777" w:rsidR="002D0AE7" w:rsidRDefault="00333EBB">
            <w:pPr>
              <w:jc w:val="center"/>
              <w:rPr>
                <w:rFonts w:ascii="Times New Roman" w:hAnsi="Times New Roman" w:cs="Times New Roman"/>
                <w:sz w:val="21"/>
                <w:szCs w:val="21"/>
              </w:rPr>
            </w:pPr>
            <w:r>
              <w:rPr>
                <w:rFonts w:ascii="Times New Roman" w:hAnsi="Times New Roman" w:cs="Times New Roman"/>
                <w:sz w:val="21"/>
                <w:szCs w:val="21"/>
              </w:rPr>
              <w:lastRenderedPageBreak/>
              <w:t>6</w:t>
            </w:r>
          </w:p>
        </w:tc>
        <w:tc>
          <w:tcPr>
            <w:tcW w:w="1124" w:type="pct"/>
            <w:vAlign w:val="center"/>
          </w:tcPr>
          <w:p w14:paraId="5537D8F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167,895.20</w:t>
            </w:r>
          </w:p>
        </w:tc>
        <w:tc>
          <w:tcPr>
            <w:tcW w:w="1114" w:type="pct"/>
            <w:vAlign w:val="center"/>
          </w:tcPr>
          <w:p w14:paraId="5A8ABBD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167,895.20</w:t>
            </w:r>
          </w:p>
        </w:tc>
        <w:tc>
          <w:tcPr>
            <w:tcW w:w="975" w:type="pct"/>
            <w:vAlign w:val="center"/>
          </w:tcPr>
          <w:p w14:paraId="1754288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100</w:t>
            </w:r>
          </w:p>
        </w:tc>
        <w:tc>
          <w:tcPr>
            <w:tcW w:w="986" w:type="pct"/>
            <w:vAlign w:val="center"/>
          </w:tcPr>
          <w:p w14:paraId="12A48B15" w14:textId="77777777" w:rsidR="002D0AE7" w:rsidRDefault="00333EBB">
            <w:pPr>
              <w:rPr>
                <w:rFonts w:hint="eastAsia"/>
                <w:sz w:val="21"/>
                <w:szCs w:val="21"/>
              </w:rPr>
            </w:pPr>
            <w:r>
              <w:rPr>
                <w:sz w:val="21"/>
                <w:szCs w:val="21"/>
              </w:rPr>
              <w:t>收回困难</w:t>
            </w:r>
          </w:p>
        </w:tc>
      </w:tr>
      <w:tr w:rsidR="002D0AE7" w14:paraId="1D6E247E" w14:textId="77777777">
        <w:tc>
          <w:tcPr>
            <w:tcW w:w="801" w:type="pct"/>
          </w:tcPr>
          <w:p w14:paraId="1E2086BD" w14:textId="77777777" w:rsidR="002D0AE7" w:rsidRDefault="00333EBB">
            <w:pPr>
              <w:jc w:val="center"/>
              <w:rPr>
                <w:rFonts w:ascii="Times New Roman" w:hAnsi="Times New Roman" w:cs="Times New Roman"/>
                <w:sz w:val="21"/>
                <w:szCs w:val="21"/>
              </w:rPr>
            </w:pPr>
            <w:r>
              <w:rPr>
                <w:rFonts w:ascii="Times New Roman" w:hAnsi="Times New Roman" w:cs="Times New Roman"/>
                <w:sz w:val="21"/>
                <w:szCs w:val="21"/>
              </w:rPr>
              <w:t>7</w:t>
            </w:r>
          </w:p>
        </w:tc>
        <w:tc>
          <w:tcPr>
            <w:tcW w:w="1124" w:type="pct"/>
            <w:vAlign w:val="center"/>
          </w:tcPr>
          <w:p w14:paraId="60DDD09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257,387.57</w:t>
            </w:r>
          </w:p>
        </w:tc>
        <w:tc>
          <w:tcPr>
            <w:tcW w:w="1114" w:type="pct"/>
            <w:vAlign w:val="center"/>
          </w:tcPr>
          <w:p w14:paraId="3898C33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257,387.57</w:t>
            </w:r>
          </w:p>
        </w:tc>
        <w:tc>
          <w:tcPr>
            <w:tcW w:w="975" w:type="pct"/>
            <w:vAlign w:val="center"/>
          </w:tcPr>
          <w:p w14:paraId="578701C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100</w:t>
            </w:r>
          </w:p>
        </w:tc>
        <w:tc>
          <w:tcPr>
            <w:tcW w:w="986" w:type="pct"/>
            <w:vAlign w:val="center"/>
          </w:tcPr>
          <w:p w14:paraId="715D2555" w14:textId="77777777" w:rsidR="002D0AE7" w:rsidRDefault="00333EBB">
            <w:pPr>
              <w:rPr>
                <w:rFonts w:hint="eastAsia"/>
                <w:sz w:val="21"/>
                <w:szCs w:val="21"/>
              </w:rPr>
            </w:pPr>
            <w:r>
              <w:rPr>
                <w:sz w:val="21"/>
                <w:szCs w:val="21"/>
              </w:rPr>
              <w:t>收回困难</w:t>
            </w:r>
          </w:p>
        </w:tc>
      </w:tr>
      <w:tr w:rsidR="002D0AE7" w14:paraId="6A3C3152" w14:textId="77777777">
        <w:tc>
          <w:tcPr>
            <w:tcW w:w="801" w:type="pct"/>
            <w:vAlign w:val="center"/>
          </w:tcPr>
          <w:p w14:paraId="257ABDEE"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1124" w:type="pct"/>
            <w:vAlign w:val="center"/>
          </w:tcPr>
          <w:p w14:paraId="70D52A3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7,652,445.78</w:t>
            </w:r>
          </w:p>
        </w:tc>
        <w:tc>
          <w:tcPr>
            <w:tcW w:w="1114" w:type="pct"/>
            <w:vAlign w:val="center"/>
          </w:tcPr>
          <w:p w14:paraId="3CC1D9F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7,652,445.78</w:t>
            </w:r>
          </w:p>
        </w:tc>
        <w:tc>
          <w:tcPr>
            <w:tcW w:w="975" w:type="pct"/>
            <w:vAlign w:val="center"/>
          </w:tcPr>
          <w:p w14:paraId="73D301E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100</w:t>
            </w:r>
          </w:p>
        </w:tc>
        <w:tc>
          <w:tcPr>
            <w:tcW w:w="986" w:type="pct"/>
            <w:vAlign w:val="center"/>
          </w:tcPr>
          <w:p w14:paraId="00FC4DAA" w14:textId="77777777" w:rsidR="002D0AE7" w:rsidRDefault="00333EBB">
            <w:pPr>
              <w:jc w:val="center"/>
              <w:rPr>
                <w:rFonts w:hint="eastAsia"/>
                <w:color w:val="000000" w:themeColor="text1"/>
                <w:sz w:val="21"/>
                <w:szCs w:val="21"/>
              </w:rPr>
            </w:pPr>
            <w:r>
              <w:rPr>
                <w:sz w:val="21"/>
                <w:szCs w:val="21"/>
              </w:rPr>
              <w:t>/</w:t>
            </w:r>
          </w:p>
        </w:tc>
      </w:tr>
    </w:tbl>
    <w:p w14:paraId="223D0A55" w14:textId="77777777" w:rsidR="002D0AE7" w:rsidRDefault="00333EBB">
      <w:pPr>
        <w:rPr>
          <w:rFonts w:hint="eastAsia"/>
          <w:color w:val="000000" w:themeColor="text1"/>
        </w:rPr>
      </w:pPr>
      <w:r>
        <w:rPr>
          <w:rFonts w:hint="eastAsia"/>
          <w:color w:val="000000" w:themeColor="text1"/>
        </w:rPr>
        <w:t>按单项计提坏账准备的说明：</w:t>
      </w:r>
      <w:sdt>
        <w:sdtPr>
          <w:rPr>
            <w:color w:val="000000" w:themeColor="text1"/>
          </w:rPr>
          <w:alias w:val="是否适用：按单项计提坏账准备的应收账款说明[双击切换]"/>
          <w:tag w:val="_GBC_5058bdcf98524a1ba98e4618d094237d"/>
          <w:id w:val="1955517480"/>
          <w:placeholder>
            <w:docPart w:val="GBC22222222222222222222222222222"/>
          </w:placeholder>
        </w:sdtPr>
        <w:sdtEndPr/>
        <w:sdtContent>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sdtContent>
      </w:sdt>
    </w:p>
    <w:sdt>
      <w:sdtPr>
        <w:rPr>
          <w:color w:val="000000" w:themeColor="text1"/>
        </w:rPr>
        <w:alias w:val="按单项计提坏账准备的应收账款说明"/>
        <w:tag w:val="_GBC_84f1e5fc17da47acbbd35d1f93f7037a"/>
        <w:id w:val="1864637139"/>
        <w:placeholder>
          <w:docPart w:val="GBC22222222222222222222222222222"/>
        </w:placeholder>
      </w:sdtPr>
      <w:sdtEndPr>
        <w:rPr>
          <w:sz w:val="21"/>
        </w:rPr>
      </w:sdtEndPr>
      <w:sdtContent>
        <w:p w14:paraId="1AC22145" w14:textId="77777777" w:rsidR="002D0AE7" w:rsidRDefault="00333EBB">
          <w:pPr>
            <w:rPr>
              <w:rFonts w:hint="eastAsia"/>
              <w:bCs/>
              <w:sz w:val="21"/>
            </w:rPr>
          </w:pPr>
          <w:r>
            <w:rPr>
              <w:rFonts w:hint="eastAsia"/>
              <w:bCs/>
              <w:sz w:val="21"/>
            </w:rPr>
            <w:t>因收回困难，单项计提坏账准备。</w:t>
          </w:r>
        </w:p>
      </w:sdtContent>
    </w:sdt>
    <w:p w14:paraId="248304FF" w14:textId="77777777" w:rsidR="002D0AE7" w:rsidRDefault="00333EBB">
      <w:pPr>
        <w:rPr>
          <w:rFonts w:hint="eastAsia"/>
          <w:color w:val="000000" w:themeColor="text1"/>
        </w:rPr>
      </w:pPr>
      <w:bookmarkStart w:id="147" w:name="_Hlk10467225"/>
      <w:bookmarkEnd w:id="146"/>
      <w:r>
        <w:rPr>
          <w:rFonts w:hint="eastAsia"/>
          <w:color w:val="000000" w:themeColor="text1"/>
        </w:rPr>
        <w:t>按组合计提坏账准备：</w:t>
      </w:r>
    </w:p>
    <w:sdt>
      <w:sdtPr>
        <w:rPr>
          <w:rFonts w:hint="eastAsia"/>
          <w:color w:val="000000" w:themeColor="text1"/>
        </w:rPr>
        <w:alias w:val="是否适用：按组合计提坏账准备的应收账款详细情况[双击切换]"/>
        <w:tag w:val="_GBC_47a07baa9a4f4c5ea6de193ae7b87e74"/>
        <w:id w:val="1301892427"/>
        <w:lock w:val="contentLocked"/>
        <w:placeholder>
          <w:docPart w:val="GBC22222222222222222222222222222"/>
        </w:placeholder>
      </w:sdtPr>
      <w:sdtEndPr/>
      <w:sdtContent>
        <w:p w14:paraId="51637590"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6FA207BA" w14:textId="77777777" w:rsidR="002D0AE7" w:rsidRDefault="00333EBB">
      <w:pPr>
        <w:rPr>
          <w:rFonts w:hint="eastAsia"/>
          <w:color w:val="000000" w:themeColor="text1"/>
        </w:rPr>
      </w:pPr>
      <w:bookmarkStart w:id="148" w:name="_Hlk533607573"/>
      <w:r>
        <w:rPr>
          <w:rFonts w:hint="eastAsia"/>
          <w:color w:val="000000" w:themeColor="text1"/>
        </w:rPr>
        <w:t>组合计提项目：</w:t>
      </w:r>
      <w:sdt>
        <w:sdtPr>
          <w:rPr>
            <w:rFonts w:hint="eastAsia"/>
            <w:color w:val="000000" w:themeColor="text1"/>
          </w:rPr>
          <w:alias w:val="按组合计提坏账准备的应收账款明细-组合名称"/>
          <w:tag w:val="_GBC_fec033684b6e412cabcd0e0ea1c6cb96"/>
          <w:id w:val="-1772612107"/>
          <w:placeholder>
            <w:docPart w:val="GBC22222222222222222222222222222"/>
          </w:placeholder>
          <w:comboBox/>
        </w:sdtPr>
        <w:sdtEndPr/>
        <w:sdtContent>
          <w:r>
            <w:rPr>
              <w:rFonts w:hint="eastAsia"/>
              <w:color w:val="000000" w:themeColor="text1"/>
            </w:rPr>
            <w:t>账龄组合</w:t>
          </w:r>
        </w:sdtContent>
      </w:sdt>
    </w:p>
    <w:p w14:paraId="360F526C" w14:textId="77777777" w:rsidR="002D0AE7" w:rsidRDefault="00333EBB">
      <w:pPr>
        <w:autoSpaceDE w:val="0"/>
        <w:autoSpaceDN w:val="0"/>
        <w:adjustRightInd w:val="0"/>
        <w:ind w:left="5880" w:right="105"/>
        <w:jc w:val="right"/>
        <w:rPr>
          <w:rFonts w:hint="eastAsia"/>
          <w:color w:val="000000" w:themeColor="text1"/>
        </w:rPr>
      </w:pPr>
      <w:r>
        <w:rPr>
          <w:rFonts w:hint="eastAsia"/>
          <w:color w:val="000000" w:themeColor="text1"/>
        </w:rPr>
        <w:t>单位：</w:t>
      </w:r>
      <w:sdt>
        <w:sdtPr>
          <w:rPr>
            <w:rFonts w:hint="eastAsia"/>
            <w:color w:val="000000" w:themeColor="text1"/>
          </w:rPr>
          <w:alias w:val="单位：按组合计提坏账准备的应收账款详细情况"/>
          <w:tag w:val="_GBC_ccac8c131a6748e699800a5f25e5efcf"/>
          <w:id w:val="-171411523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按组合计提坏账准备的应收账款详细情况"/>
          <w:tag w:val="_GBC_f0296899749441bf8c33f5882df60a71"/>
          <w:id w:val="-182180471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2252"/>
        <w:gridCol w:w="2292"/>
        <w:gridCol w:w="2236"/>
      </w:tblGrid>
      <w:tr w:rsidR="002D0AE7" w14:paraId="65C20359" w14:textId="77777777">
        <w:trPr>
          <w:jc w:val="center"/>
        </w:trPr>
        <w:sdt>
          <w:sdtPr>
            <w:rPr>
              <w:color w:val="000000" w:themeColor="text1"/>
              <w:sz w:val="21"/>
            </w:rPr>
            <w:tag w:val="_PLD_331ca2a43a5247699c45fd6309aee7fd"/>
            <w:id w:val="1727106564"/>
          </w:sdtPr>
          <w:sdtEndPr/>
          <w:sdtContent>
            <w:tc>
              <w:tcPr>
                <w:tcW w:w="1158" w:type="pct"/>
                <w:vMerge w:val="restart"/>
                <w:vAlign w:val="center"/>
              </w:tcPr>
              <w:p w14:paraId="04D9C9C9" w14:textId="77777777" w:rsidR="002D0AE7" w:rsidRDefault="00333EBB">
                <w:pPr>
                  <w:jc w:val="center"/>
                  <w:rPr>
                    <w:rFonts w:hint="eastAsia"/>
                    <w:color w:val="000000" w:themeColor="text1"/>
                    <w:sz w:val="21"/>
                  </w:rPr>
                </w:pPr>
                <w:r>
                  <w:rPr>
                    <w:rFonts w:hint="eastAsia"/>
                    <w:color w:val="000000" w:themeColor="text1"/>
                    <w:sz w:val="21"/>
                  </w:rPr>
                  <w:t>名称</w:t>
                </w:r>
              </w:p>
            </w:tc>
          </w:sdtContent>
        </w:sdt>
        <w:sdt>
          <w:sdtPr>
            <w:rPr>
              <w:color w:val="000000" w:themeColor="text1"/>
              <w:sz w:val="21"/>
            </w:rPr>
            <w:tag w:val="_PLD_271f4f470bff48e385b1a5d9080fde35"/>
            <w:id w:val="-1647194860"/>
          </w:sdtPr>
          <w:sdtEndPr/>
          <w:sdtContent>
            <w:tc>
              <w:tcPr>
                <w:tcW w:w="3842" w:type="pct"/>
                <w:gridSpan w:val="3"/>
                <w:vAlign w:val="center"/>
              </w:tcPr>
              <w:p w14:paraId="321EE19D" w14:textId="77777777" w:rsidR="002D0AE7" w:rsidRDefault="00333EBB">
                <w:pPr>
                  <w:jc w:val="center"/>
                  <w:rPr>
                    <w:rFonts w:hint="eastAsia"/>
                    <w:color w:val="000000" w:themeColor="text1"/>
                    <w:sz w:val="21"/>
                  </w:rPr>
                </w:pPr>
                <w:r>
                  <w:rPr>
                    <w:rFonts w:hint="eastAsia"/>
                    <w:color w:val="000000" w:themeColor="text1"/>
                    <w:sz w:val="21"/>
                  </w:rPr>
                  <w:t>期末余额</w:t>
                </w:r>
              </w:p>
            </w:tc>
          </w:sdtContent>
        </w:sdt>
      </w:tr>
      <w:tr w:rsidR="002D0AE7" w14:paraId="30D99880" w14:textId="77777777">
        <w:trPr>
          <w:jc w:val="center"/>
        </w:trPr>
        <w:tc>
          <w:tcPr>
            <w:tcW w:w="1158" w:type="pct"/>
            <w:vMerge/>
          </w:tcPr>
          <w:p w14:paraId="5F0759D4" w14:textId="77777777" w:rsidR="002D0AE7" w:rsidRDefault="002D0AE7">
            <w:pPr>
              <w:jc w:val="center"/>
              <w:rPr>
                <w:rFonts w:hint="eastAsia"/>
                <w:color w:val="000000" w:themeColor="text1"/>
                <w:sz w:val="21"/>
              </w:rPr>
            </w:pPr>
          </w:p>
        </w:tc>
        <w:sdt>
          <w:sdtPr>
            <w:rPr>
              <w:color w:val="000000" w:themeColor="text1"/>
              <w:sz w:val="21"/>
            </w:rPr>
            <w:tag w:val="_PLD_e1c956de9b3b4544a5d0584eaaf6aea2"/>
            <w:id w:val="-556547956"/>
          </w:sdtPr>
          <w:sdtEndPr/>
          <w:sdtContent>
            <w:tc>
              <w:tcPr>
                <w:tcW w:w="1276" w:type="pct"/>
                <w:vAlign w:val="center"/>
              </w:tcPr>
              <w:p w14:paraId="380DF474" w14:textId="77777777" w:rsidR="002D0AE7" w:rsidRDefault="00333EBB">
                <w:pPr>
                  <w:jc w:val="center"/>
                  <w:rPr>
                    <w:rFonts w:hint="eastAsia"/>
                    <w:color w:val="000000" w:themeColor="text1"/>
                    <w:sz w:val="21"/>
                  </w:rPr>
                </w:pPr>
                <w:r>
                  <w:rPr>
                    <w:rFonts w:hint="eastAsia"/>
                    <w:color w:val="000000" w:themeColor="text1"/>
                    <w:sz w:val="21"/>
                  </w:rPr>
                  <w:t>应收账款</w:t>
                </w:r>
              </w:p>
            </w:tc>
          </w:sdtContent>
        </w:sdt>
        <w:sdt>
          <w:sdtPr>
            <w:rPr>
              <w:color w:val="000000" w:themeColor="text1"/>
              <w:sz w:val="21"/>
            </w:rPr>
            <w:tag w:val="_PLD_0098acb8b7f640f29f65a14017e23f02"/>
            <w:id w:val="303589195"/>
          </w:sdtPr>
          <w:sdtEndPr/>
          <w:sdtContent>
            <w:tc>
              <w:tcPr>
                <w:tcW w:w="1299" w:type="pct"/>
                <w:vAlign w:val="center"/>
              </w:tcPr>
              <w:p w14:paraId="0A67E933" w14:textId="77777777" w:rsidR="002D0AE7" w:rsidRDefault="00333EBB">
                <w:pPr>
                  <w:jc w:val="center"/>
                  <w:rPr>
                    <w:rFonts w:hint="eastAsia"/>
                    <w:color w:val="000000" w:themeColor="text1"/>
                    <w:sz w:val="21"/>
                  </w:rPr>
                </w:pPr>
                <w:r>
                  <w:rPr>
                    <w:rFonts w:hint="eastAsia"/>
                    <w:color w:val="000000" w:themeColor="text1"/>
                    <w:sz w:val="21"/>
                  </w:rPr>
                  <w:t>坏账准备</w:t>
                </w:r>
              </w:p>
            </w:tc>
          </w:sdtContent>
        </w:sdt>
        <w:sdt>
          <w:sdtPr>
            <w:rPr>
              <w:color w:val="000000" w:themeColor="text1"/>
              <w:sz w:val="21"/>
            </w:rPr>
            <w:tag w:val="_PLD_290bbc3bde3c43c487996752ceb95160"/>
            <w:id w:val="-125546741"/>
          </w:sdtPr>
          <w:sdtEndPr/>
          <w:sdtContent>
            <w:tc>
              <w:tcPr>
                <w:tcW w:w="1267" w:type="pct"/>
                <w:vAlign w:val="center"/>
              </w:tcPr>
              <w:p w14:paraId="4F6A01F3" w14:textId="77777777" w:rsidR="002D0AE7" w:rsidRDefault="00333EBB">
                <w:pPr>
                  <w:jc w:val="center"/>
                  <w:rPr>
                    <w:rFonts w:hint="eastAsia"/>
                    <w:color w:val="000000" w:themeColor="text1"/>
                    <w:sz w:val="21"/>
                  </w:rPr>
                </w:pPr>
                <w:r>
                  <w:rPr>
                    <w:color w:val="000000" w:themeColor="text1"/>
                    <w:sz w:val="21"/>
                  </w:rPr>
                  <w:t>计提比例</w:t>
                </w:r>
                <w:r>
                  <w:rPr>
                    <w:rFonts w:hint="eastAsia"/>
                    <w:color w:val="000000" w:themeColor="text1"/>
                    <w:sz w:val="21"/>
                  </w:rPr>
                  <w:t>（</w:t>
                </w:r>
                <w:r>
                  <w:rPr>
                    <w:rFonts w:hint="eastAsia"/>
                    <w:color w:val="000000" w:themeColor="text1"/>
                    <w:sz w:val="21"/>
                  </w:rPr>
                  <w:t>%</w:t>
                </w:r>
                <w:r>
                  <w:rPr>
                    <w:rFonts w:hint="eastAsia"/>
                    <w:color w:val="000000" w:themeColor="text1"/>
                    <w:sz w:val="21"/>
                  </w:rPr>
                  <w:t>）</w:t>
                </w:r>
              </w:p>
            </w:tc>
          </w:sdtContent>
        </w:sdt>
      </w:tr>
      <w:tr w:rsidR="002D0AE7" w14:paraId="039C178B" w14:textId="77777777">
        <w:trPr>
          <w:jc w:val="center"/>
        </w:trPr>
        <w:tc>
          <w:tcPr>
            <w:tcW w:w="1158" w:type="pct"/>
          </w:tcPr>
          <w:p w14:paraId="26BC3C72" w14:textId="77777777" w:rsidR="002D0AE7" w:rsidRDefault="00333EBB">
            <w:pPr>
              <w:rPr>
                <w:rFonts w:hint="eastAsia"/>
                <w:sz w:val="21"/>
              </w:rPr>
            </w:pPr>
            <w:r>
              <w:rPr>
                <w:sz w:val="21"/>
              </w:rPr>
              <w:t>3</w:t>
            </w:r>
            <w:r>
              <w:rPr>
                <w:sz w:val="21"/>
              </w:rPr>
              <w:t>个月以内</w:t>
            </w:r>
          </w:p>
        </w:tc>
        <w:tc>
          <w:tcPr>
            <w:tcW w:w="1276" w:type="pct"/>
            <w:vAlign w:val="center"/>
          </w:tcPr>
          <w:p w14:paraId="1E67A20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426,930,595.89</w:t>
            </w:r>
          </w:p>
        </w:tc>
        <w:tc>
          <w:tcPr>
            <w:tcW w:w="1299" w:type="pct"/>
          </w:tcPr>
          <w:p w14:paraId="08BEC9DF"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c>
          <w:tcPr>
            <w:tcW w:w="1267" w:type="pct"/>
          </w:tcPr>
          <w:p w14:paraId="1A532AC2"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r>
      <w:tr w:rsidR="002D0AE7" w14:paraId="7994DE82" w14:textId="77777777">
        <w:trPr>
          <w:jc w:val="center"/>
        </w:trPr>
        <w:tc>
          <w:tcPr>
            <w:tcW w:w="1158" w:type="pct"/>
          </w:tcPr>
          <w:p w14:paraId="163FD26A" w14:textId="77777777" w:rsidR="002D0AE7" w:rsidRDefault="00333EBB">
            <w:pPr>
              <w:rPr>
                <w:rFonts w:hint="eastAsia"/>
                <w:sz w:val="21"/>
              </w:rPr>
            </w:pPr>
            <w:r>
              <w:rPr>
                <w:sz w:val="21"/>
              </w:rPr>
              <w:t>3</w:t>
            </w:r>
            <w:r>
              <w:rPr>
                <w:sz w:val="21"/>
              </w:rPr>
              <w:t>个月至</w:t>
            </w:r>
            <w:r>
              <w:rPr>
                <w:sz w:val="21"/>
              </w:rPr>
              <w:t>1</w:t>
            </w:r>
            <w:r>
              <w:rPr>
                <w:sz w:val="21"/>
              </w:rPr>
              <w:t>年</w:t>
            </w:r>
          </w:p>
        </w:tc>
        <w:tc>
          <w:tcPr>
            <w:tcW w:w="1276" w:type="pct"/>
            <w:vAlign w:val="center"/>
          </w:tcPr>
          <w:p w14:paraId="2977F8B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14,626,832.63</w:t>
            </w:r>
          </w:p>
        </w:tc>
        <w:tc>
          <w:tcPr>
            <w:tcW w:w="1299" w:type="pct"/>
          </w:tcPr>
          <w:p w14:paraId="7A8D2D8A" w14:textId="77777777" w:rsidR="002D0AE7" w:rsidRDefault="00333EBB">
            <w:pPr>
              <w:jc w:val="right"/>
              <w:rPr>
                <w:rFonts w:ascii="Times New Roman" w:hAnsi="Times New Roman" w:cs="Times New Roman"/>
                <w:sz w:val="21"/>
              </w:rPr>
            </w:pPr>
            <w:r>
              <w:rPr>
                <w:rFonts w:ascii="Times New Roman" w:hAnsi="Times New Roman" w:cs="Times New Roman"/>
                <w:sz w:val="21"/>
              </w:rPr>
              <w:t>73,134.17</w:t>
            </w:r>
          </w:p>
        </w:tc>
        <w:tc>
          <w:tcPr>
            <w:tcW w:w="1267" w:type="pct"/>
          </w:tcPr>
          <w:p w14:paraId="1518F5A8" w14:textId="77777777" w:rsidR="002D0AE7" w:rsidRDefault="00333EBB">
            <w:pPr>
              <w:jc w:val="right"/>
              <w:rPr>
                <w:rFonts w:ascii="Times New Roman" w:hAnsi="Times New Roman" w:cs="Times New Roman"/>
                <w:sz w:val="21"/>
              </w:rPr>
            </w:pPr>
            <w:r>
              <w:rPr>
                <w:rFonts w:ascii="Times New Roman" w:hAnsi="Times New Roman" w:cs="Times New Roman"/>
                <w:sz w:val="21"/>
              </w:rPr>
              <w:t>0.50</w:t>
            </w:r>
          </w:p>
        </w:tc>
      </w:tr>
      <w:tr w:rsidR="002D0AE7" w14:paraId="40C65E94" w14:textId="77777777">
        <w:trPr>
          <w:jc w:val="center"/>
        </w:trPr>
        <w:tc>
          <w:tcPr>
            <w:tcW w:w="1158" w:type="pct"/>
            <w:vAlign w:val="center"/>
          </w:tcPr>
          <w:p w14:paraId="5F290F12" w14:textId="77777777" w:rsidR="002D0AE7" w:rsidRDefault="00333EBB">
            <w:pPr>
              <w:jc w:val="center"/>
              <w:rPr>
                <w:rFonts w:hint="eastAsia"/>
                <w:color w:val="000000" w:themeColor="text1"/>
                <w:sz w:val="21"/>
              </w:rPr>
            </w:pPr>
            <w:r>
              <w:rPr>
                <w:rFonts w:hint="eastAsia"/>
                <w:color w:val="000000" w:themeColor="text1"/>
                <w:sz w:val="21"/>
              </w:rPr>
              <w:t>合计</w:t>
            </w:r>
          </w:p>
        </w:tc>
        <w:tc>
          <w:tcPr>
            <w:tcW w:w="1276" w:type="pct"/>
            <w:vAlign w:val="center"/>
          </w:tcPr>
          <w:p w14:paraId="45340A78" w14:textId="77777777" w:rsidR="002D0AE7" w:rsidRDefault="00333EBB">
            <w:pPr>
              <w:jc w:val="right"/>
              <w:rPr>
                <w:rFonts w:ascii="Times New Roman" w:hAnsi="Times New Roman" w:cs="Times New Roman"/>
                <w:sz w:val="21"/>
              </w:rPr>
            </w:pPr>
            <w:r>
              <w:rPr>
                <w:rFonts w:ascii="Times New Roman" w:hAnsi="Times New Roman" w:cs="Times New Roman"/>
                <w:sz w:val="21"/>
              </w:rPr>
              <w:t>441,557,428.52</w:t>
            </w:r>
          </w:p>
        </w:tc>
        <w:tc>
          <w:tcPr>
            <w:tcW w:w="1299" w:type="pct"/>
            <w:vAlign w:val="center"/>
          </w:tcPr>
          <w:p w14:paraId="78826AC4" w14:textId="77777777" w:rsidR="002D0AE7" w:rsidRDefault="00333EBB">
            <w:pPr>
              <w:jc w:val="right"/>
              <w:rPr>
                <w:rFonts w:ascii="Times New Roman" w:hAnsi="Times New Roman" w:cs="Times New Roman"/>
                <w:sz w:val="21"/>
              </w:rPr>
            </w:pPr>
            <w:r>
              <w:rPr>
                <w:rFonts w:ascii="Times New Roman" w:hAnsi="Times New Roman" w:cs="Times New Roman"/>
                <w:sz w:val="21"/>
              </w:rPr>
              <w:t>73,134.17</w:t>
            </w:r>
          </w:p>
        </w:tc>
        <w:tc>
          <w:tcPr>
            <w:tcW w:w="1267" w:type="pct"/>
            <w:vAlign w:val="center"/>
          </w:tcPr>
          <w:p w14:paraId="3E46E4DA" w14:textId="77777777" w:rsidR="002D0AE7" w:rsidRDefault="00333EBB">
            <w:pPr>
              <w:jc w:val="right"/>
              <w:rPr>
                <w:rFonts w:hint="eastAsia"/>
                <w:sz w:val="21"/>
              </w:rPr>
            </w:pPr>
            <w:r>
              <w:rPr>
                <w:sz w:val="21"/>
              </w:rPr>
              <w:t>/</w:t>
            </w:r>
          </w:p>
        </w:tc>
      </w:tr>
    </w:tbl>
    <w:p w14:paraId="15273660" w14:textId="77777777" w:rsidR="002D0AE7" w:rsidRDefault="00333EBB">
      <w:pPr>
        <w:rPr>
          <w:rFonts w:hint="eastAsia"/>
          <w:color w:val="000000" w:themeColor="text1"/>
        </w:rPr>
      </w:pPr>
      <w:r>
        <w:rPr>
          <w:rFonts w:hint="eastAsia"/>
          <w:color w:val="000000" w:themeColor="text1"/>
        </w:rPr>
        <w:t>按组合计提坏账准备的说明：</w:t>
      </w:r>
    </w:p>
    <w:sdt>
      <w:sdtPr>
        <w:rPr>
          <w:color w:val="000000" w:themeColor="text1"/>
        </w:rPr>
        <w:alias w:val="是否适用：按组合计提坏账准备的应收账款确认标准[双击切换]"/>
        <w:tag w:val="_GBC_8361cfeb973b4073b7fdbd49a393b38c"/>
        <w:id w:val="2009552664"/>
        <w:placeholder>
          <w:docPart w:val="GBC22222222222222222222222222222"/>
        </w:placeholder>
      </w:sdtPr>
      <w:sdtEndPr/>
      <w:sdtContent>
        <w:p w14:paraId="1C5DB5DA"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按组合计提坏账准备的应收账款确认标准"/>
        <w:tag w:val="_GBC_0fdd528f57da417a993d3f091b676d12"/>
        <w:id w:val="-2138017515"/>
        <w:placeholder>
          <w:docPart w:val="GBC22222222222222222222222222222"/>
        </w:placeholder>
      </w:sdtPr>
      <w:sdtEndPr>
        <w:rPr>
          <w:sz w:val="21"/>
        </w:rPr>
      </w:sdtEndPr>
      <w:sdtContent>
        <w:p w14:paraId="52162FC8" w14:textId="77777777" w:rsidR="002D0AE7" w:rsidRDefault="00333EBB">
          <w:pPr>
            <w:rPr>
              <w:rFonts w:hint="eastAsia"/>
              <w:bCs/>
              <w:sz w:val="21"/>
            </w:rPr>
          </w:pPr>
          <w:r>
            <w:rPr>
              <w:rFonts w:hint="eastAsia"/>
              <w:bCs/>
              <w:sz w:val="21"/>
            </w:rPr>
            <w:t>账龄组合：</w:t>
          </w:r>
          <w:r>
            <w:rPr>
              <w:rFonts w:hint="eastAsia"/>
              <w:bCs/>
              <w:color w:val="000000"/>
              <w:sz w:val="21"/>
            </w:rPr>
            <w:t>本公司以应收账款账龄为基础，结合当前状况以及对未来经济状况的预测来评估各类应收账款的预期信用损失。</w:t>
          </w:r>
        </w:p>
      </w:sdtContent>
    </w:sdt>
    <w:p w14:paraId="3833DF5A" w14:textId="77777777" w:rsidR="002D0AE7" w:rsidRDefault="00333EBB">
      <w:pPr>
        <w:rPr>
          <w:rFonts w:cstheme="minorBidi" w:hint="eastAsia"/>
          <w:bCs/>
          <w:color w:val="000000" w:themeColor="text1"/>
          <w:szCs w:val="22"/>
        </w:rPr>
      </w:pPr>
      <w:bookmarkStart w:id="149" w:name="_Hlk167885281"/>
      <w:bookmarkStart w:id="150" w:name="_Hlk153357523"/>
      <w:bookmarkStart w:id="151" w:name="_Hlk154134618"/>
      <w:bookmarkEnd w:id="147"/>
      <w:bookmarkEnd w:id="148"/>
      <w:r>
        <w:rPr>
          <w:rFonts w:cstheme="minorBidi" w:hint="eastAsia"/>
          <w:color w:val="000000" w:themeColor="text1"/>
          <w:szCs w:val="22"/>
        </w:rPr>
        <w:t>按预期信用损失一般模型计提坏账准备</w:t>
      </w:r>
    </w:p>
    <w:sdt>
      <w:sdtPr>
        <w:rPr>
          <w:rFonts w:cstheme="minorBidi"/>
          <w:bCs/>
          <w:color w:val="000000" w:themeColor="text1"/>
          <w:szCs w:val="22"/>
        </w:rPr>
        <w:alias w:val="是否适用：按预期信用损失一般模型计提坏账准备[双击切换]"/>
        <w:tag w:val="_GBC_1d19b1b69e8344f18b14e15d329edea7"/>
        <w:id w:val="-1899968750"/>
        <w:placeholder>
          <w:docPart w:val="GBC22222222222222222222222222222"/>
        </w:placeholder>
      </w:sdtPr>
      <w:sdtEndPr/>
      <w:sdtContent>
        <w:p w14:paraId="390C556A" w14:textId="77777777" w:rsidR="002D0AE7" w:rsidRDefault="00333EBB">
          <w:pPr>
            <w:rPr>
              <w:rFonts w:cstheme="minorBidi" w:hint="eastAsia"/>
              <w:bCs/>
              <w:color w:val="000000" w:themeColor="text1"/>
              <w:szCs w:val="22"/>
            </w:rPr>
          </w:pPr>
          <w:r>
            <w:rPr>
              <w:rFonts w:cstheme="minorBidi"/>
              <w:bCs/>
              <w:color w:val="000000" w:themeColor="text1"/>
              <w:szCs w:val="22"/>
            </w:rPr>
            <w:fldChar w:fldCharType="begin"/>
          </w:r>
          <w:r>
            <w:rPr>
              <w:rFonts w:cstheme="minorBidi"/>
              <w:color w:val="000000" w:themeColor="text1"/>
              <w:szCs w:val="22"/>
            </w:rPr>
            <w:instrText xml:space="preserve"> MACROBUTTON  SnrToggleCheckbox √</w:instrText>
          </w:r>
          <w:r>
            <w:rPr>
              <w:rFonts w:cstheme="minorBidi"/>
              <w:color w:val="000000" w:themeColor="text1"/>
              <w:szCs w:val="22"/>
            </w:rPr>
            <w:instrText>适用</w:instrText>
          </w:r>
          <w:r>
            <w:rPr>
              <w:rFonts w:cstheme="minorBidi"/>
              <w:color w:val="000000" w:themeColor="text1"/>
              <w:szCs w:val="22"/>
            </w:rPr>
            <w:instrText xml:space="preserve"> </w:instrText>
          </w:r>
          <w:r>
            <w:rPr>
              <w:rFonts w:cstheme="minorBidi"/>
              <w:bCs/>
              <w:color w:val="000000" w:themeColor="text1"/>
              <w:szCs w:val="22"/>
            </w:rPr>
            <w:fldChar w:fldCharType="end"/>
          </w:r>
          <w:r>
            <w:rPr>
              <w:rFonts w:cstheme="minorBidi"/>
              <w:bCs/>
              <w:color w:val="000000" w:themeColor="text1"/>
              <w:szCs w:val="22"/>
            </w:rPr>
            <w:fldChar w:fldCharType="begin"/>
          </w:r>
          <w:r>
            <w:rPr>
              <w:rFonts w:cstheme="minorBidi"/>
              <w:color w:val="000000" w:themeColor="text1"/>
              <w:szCs w:val="22"/>
            </w:rPr>
            <w:instrText xml:space="preserve"> MACROBUTTON  SnrToggleCheckbox □</w:instrText>
          </w:r>
          <w:r>
            <w:rPr>
              <w:rFonts w:cstheme="minorBidi"/>
              <w:color w:val="000000" w:themeColor="text1"/>
              <w:szCs w:val="22"/>
            </w:rPr>
            <w:instrText>不适用</w:instrText>
          </w:r>
          <w:r>
            <w:rPr>
              <w:rFonts w:cstheme="minorBidi"/>
              <w:color w:val="000000" w:themeColor="text1"/>
              <w:szCs w:val="22"/>
            </w:rPr>
            <w:instrText xml:space="preserve"> </w:instrText>
          </w:r>
          <w:r>
            <w:rPr>
              <w:rFonts w:cstheme="minorBidi"/>
              <w:bCs/>
              <w:color w:val="000000" w:themeColor="text1"/>
              <w:szCs w:val="22"/>
            </w:rPr>
            <w:fldChar w:fldCharType="end"/>
          </w:r>
        </w:p>
      </w:sdtContent>
    </w:sdt>
    <w:p w14:paraId="2935958E" w14:textId="77777777" w:rsidR="002D0AE7" w:rsidRDefault="00333EBB">
      <w:pPr>
        <w:autoSpaceDE w:val="0"/>
        <w:autoSpaceDN w:val="0"/>
        <w:adjustRightInd w:val="0"/>
        <w:ind w:leftChars="86" w:left="206" w:rightChars="50" w:right="120"/>
        <w:jc w:val="right"/>
        <w:rPr>
          <w:rFonts w:hint="eastAsia"/>
          <w:color w:val="000000" w:themeColor="text1"/>
        </w:rPr>
      </w:pPr>
      <w:r>
        <w:rPr>
          <w:rFonts w:hint="eastAsia"/>
          <w:color w:val="000000" w:themeColor="text1"/>
        </w:rPr>
        <w:t>单位：</w:t>
      </w:r>
      <w:sdt>
        <w:sdtPr>
          <w:rPr>
            <w:rFonts w:hint="eastAsia"/>
            <w:color w:val="000000" w:themeColor="text1"/>
          </w:rPr>
          <w:alias w:val="单位：按预期信用损失一般模型计提坏账准备"/>
          <w:tag w:val="_GBC_a26a5f78370449efa1410f7d9c2ff591"/>
          <w:id w:val="1811739819"/>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按预期信用损失一般模型计提坏账准备"/>
          <w:tag w:val="_GBC_0fe09f8caa814ba59cd89d5cd18ab090"/>
          <w:id w:val="-130576773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01"/>
        <w:gridCol w:w="1956"/>
        <w:gridCol w:w="1701"/>
        <w:gridCol w:w="1730"/>
      </w:tblGrid>
      <w:tr w:rsidR="002D0AE7" w14:paraId="6CB6A5DF" w14:textId="77777777">
        <w:sdt>
          <w:sdtPr>
            <w:rPr>
              <w:rFonts w:ascii="宋体" w:hAnsi="宋体" w:cs="宋体" w:hint="eastAsia"/>
              <w:color w:val="000000" w:themeColor="text1"/>
              <w:sz w:val="21"/>
              <w:szCs w:val="21"/>
            </w:rPr>
            <w:tag w:val="_PLD_6e2fe7931512448187454cb0f3ec875f"/>
            <w:id w:val="41409209"/>
          </w:sdtPr>
          <w:sdtEndPr/>
          <w:sdtContent>
            <w:tc>
              <w:tcPr>
                <w:tcW w:w="2835" w:type="dxa"/>
                <w:vMerge w:val="restart"/>
                <w:vAlign w:val="center"/>
              </w:tcPr>
              <w:p w14:paraId="07B73E75" w14:textId="77777777" w:rsidR="002D0AE7" w:rsidRDefault="00333EBB">
                <w:pPr>
                  <w:pStyle w:val="14"/>
                  <w:ind w:leftChars="86" w:left="206"/>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坏账准备</w:t>
                </w:r>
              </w:p>
            </w:tc>
          </w:sdtContent>
        </w:sdt>
        <w:sdt>
          <w:sdtPr>
            <w:rPr>
              <w:rFonts w:ascii="宋体" w:hAnsi="宋体" w:cs="宋体" w:hint="eastAsia"/>
              <w:color w:val="000000" w:themeColor="text1"/>
              <w:sz w:val="21"/>
              <w:szCs w:val="21"/>
            </w:rPr>
            <w:tag w:val="_PLD_b18ac17a817e4e70aa55dfc36a6f0cd4"/>
            <w:id w:val="1442730725"/>
          </w:sdtPr>
          <w:sdtEndPr/>
          <w:sdtContent>
            <w:tc>
              <w:tcPr>
                <w:tcW w:w="1701" w:type="dxa"/>
                <w:vAlign w:val="center"/>
              </w:tcPr>
              <w:p w14:paraId="1BE3C820" w14:textId="77777777" w:rsidR="002D0AE7" w:rsidRDefault="00333EBB">
                <w:pPr>
                  <w:pStyle w:val="14"/>
                  <w:ind w:leftChars="86" w:left="206"/>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第一阶段</w:t>
                </w:r>
              </w:p>
            </w:tc>
          </w:sdtContent>
        </w:sdt>
        <w:sdt>
          <w:sdtPr>
            <w:rPr>
              <w:rFonts w:ascii="宋体" w:hAnsi="宋体" w:cs="宋体" w:hint="eastAsia"/>
              <w:color w:val="000000" w:themeColor="text1"/>
              <w:sz w:val="21"/>
              <w:szCs w:val="21"/>
            </w:rPr>
            <w:tag w:val="_PLD_bc06c925ae4c42ab93c0a1481c8b5f8a"/>
            <w:id w:val="1959677588"/>
          </w:sdtPr>
          <w:sdtEndPr/>
          <w:sdtContent>
            <w:tc>
              <w:tcPr>
                <w:tcW w:w="1956" w:type="dxa"/>
                <w:vAlign w:val="center"/>
              </w:tcPr>
              <w:p w14:paraId="0C814141" w14:textId="77777777" w:rsidR="002D0AE7" w:rsidRDefault="00333EBB">
                <w:pPr>
                  <w:pStyle w:val="14"/>
                  <w:ind w:leftChars="86" w:left="206"/>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第二阶段</w:t>
                </w:r>
              </w:p>
            </w:tc>
          </w:sdtContent>
        </w:sdt>
        <w:sdt>
          <w:sdtPr>
            <w:rPr>
              <w:rFonts w:ascii="宋体" w:hAnsi="宋体" w:cs="宋体" w:hint="eastAsia"/>
              <w:color w:val="000000" w:themeColor="text1"/>
              <w:sz w:val="21"/>
              <w:szCs w:val="21"/>
            </w:rPr>
            <w:tag w:val="_PLD_dddbca4f749d4517be51ff0e1da4a570"/>
            <w:id w:val="-707787766"/>
          </w:sdtPr>
          <w:sdtEndPr/>
          <w:sdtContent>
            <w:tc>
              <w:tcPr>
                <w:tcW w:w="1701" w:type="dxa"/>
                <w:vAlign w:val="center"/>
              </w:tcPr>
              <w:p w14:paraId="55B114FB" w14:textId="77777777" w:rsidR="002D0AE7" w:rsidRDefault="00333EBB">
                <w:pPr>
                  <w:pStyle w:val="14"/>
                  <w:ind w:leftChars="86" w:left="206"/>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第三阶段</w:t>
                </w:r>
              </w:p>
            </w:tc>
          </w:sdtContent>
        </w:sdt>
        <w:sdt>
          <w:sdtPr>
            <w:rPr>
              <w:rFonts w:ascii="宋体" w:hAnsi="宋体" w:cs="宋体" w:hint="eastAsia"/>
              <w:color w:val="000000" w:themeColor="text1"/>
              <w:sz w:val="21"/>
              <w:szCs w:val="21"/>
            </w:rPr>
            <w:tag w:val="_PLD_e8ca4d2bf1ba4e74a8acf360b423b1fc"/>
            <w:id w:val="1030989727"/>
          </w:sdtPr>
          <w:sdtEndPr/>
          <w:sdtContent>
            <w:tc>
              <w:tcPr>
                <w:tcW w:w="1730" w:type="dxa"/>
                <w:vMerge w:val="restart"/>
                <w:vAlign w:val="center"/>
              </w:tcPr>
              <w:p w14:paraId="057ECE22" w14:textId="77777777" w:rsidR="002D0AE7" w:rsidRDefault="00333EBB">
                <w:pPr>
                  <w:pStyle w:val="14"/>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合计</w:t>
                </w:r>
              </w:p>
            </w:tc>
          </w:sdtContent>
        </w:sdt>
      </w:tr>
      <w:tr w:rsidR="002D0AE7" w14:paraId="26A99E4B" w14:textId="77777777">
        <w:tc>
          <w:tcPr>
            <w:tcW w:w="2835" w:type="dxa"/>
            <w:vMerge/>
            <w:vAlign w:val="center"/>
          </w:tcPr>
          <w:p w14:paraId="36064CB4" w14:textId="77777777" w:rsidR="002D0AE7" w:rsidRDefault="002D0AE7">
            <w:pPr>
              <w:ind w:leftChars="86" w:left="206"/>
              <w:jc w:val="center"/>
              <w:rPr>
                <w:rFonts w:hint="eastAsia"/>
                <w:color w:val="000000" w:themeColor="text1"/>
                <w:sz w:val="21"/>
                <w:szCs w:val="21"/>
              </w:rPr>
            </w:pPr>
          </w:p>
        </w:tc>
        <w:sdt>
          <w:sdtPr>
            <w:rPr>
              <w:rFonts w:ascii="宋体" w:hAnsi="宋体" w:cs="宋体" w:hint="eastAsia"/>
              <w:color w:val="000000" w:themeColor="text1"/>
              <w:sz w:val="21"/>
              <w:szCs w:val="21"/>
            </w:rPr>
            <w:tag w:val="_PLD_905a28f24243413fa92f74b6f43e2a16"/>
            <w:id w:val="-260528677"/>
          </w:sdtPr>
          <w:sdtEndPr/>
          <w:sdtContent>
            <w:tc>
              <w:tcPr>
                <w:tcW w:w="1701" w:type="dxa"/>
                <w:vAlign w:val="center"/>
              </w:tcPr>
              <w:p w14:paraId="2AB9766D" w14:textId="77777777" w:rsidR="002D0AE7" w:rsidRDefault="00333EBB">
                <w:pPr>
                  <w:pStyle w:val="14"/>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未来</w:t>
                </w:r>
                <w:r>
                  <w:rPr>
                    <w:rFonts w:ascii="宋体" w:hAnsi="宋体" w:cs="宋体" w:hint="eastAsia"/>
                    <w:color w:val="000000" w:themeColor="text1"/>
                    <w:sz w:val="21"/>
                    <w:szCs w:val="21"/>
                  </w:rPr>
                  <w:t>12</w:t>
                </w:r>
                <w:r>
                  <w:rPr>
                    <w:rFonts w:ascii="宋体" w:hAnsi="宋体" w:cs="宋体" w:hint="eastAsia"/>
                    <w:color w:val="000000" w:themeColor="text1"/>
                    <w:sz w:val="21"/>
                    <w:szCs w:val="21"/>
                  </w:rPr>
                  <w:t>个月预期信用损失</w:t>
                </w:r>
              </w:p>
            </w:tc>
          </w:sdtContent>
        </w:sdt>
        <w:sdt>
          <w:sdtPr>
            <w:rPr>
              <w:rFonts w:ascii="宋体" w:hAnsi="宋体" w:cs="宋体" w:hint="eastAsia"/>
              <w:color w:val="000000" w:themeColor="text1"/>
              <w:sz w:val="21"/>
              <w:szCs w:val="21"/>
            </w:rPr>
            <w:tag w:val="_PLD_81cddee1c0c049c2986a152cf3c90500"/>
            <w:id w:val="486057744"/>
          </w:sdtPr>
          <w:sdtEndPr/>
          <w:sdtContent>
            <w:tc>
              <w:tcPr>
                <w:tcW w:w="1956" w:type="dxa"/>
                <w:vAlign w:val="center"/>
              </w:tcPr>
              <w:p w14:paraId="2800EFB1" w14:textId="77777777" w:rsidR="002D0AE7" w:rsidRDefault="00333EBB">
                <w:pPr>
                  <w:pStyle w:val="14"/>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整个存续期预期信用损失</w:t>
                </w:r>
                <w:r>
                  <w:rPr>
                    <w:rFonts w:ascii="宋体" w:hAnsi="宋体" w:cs="宋体" w:hint="eastAsia"/>
                    <w:color w:val="000000" w:themeColor="text1"/>
                    <w:sz w:val="21"/>
                    <w:szCs w:val="21"/>
                  </w:rPr>
                  <w:t>(</w:t>
                </w:r>
                <w:r>
                  <w:rPr>
                    <w:rFonts w:ascii="宋体" w:hAnsi="宋体" w:cs="宋体" w:hint="eastAsia"/>
                    <w:color w:val="000000" w:themeColor="text1"/>
                    <w:sz w:val="21"/>
                    <w:szCs w:val="21"/>
                  </w:rPr>
                  <w:t>未发生信用减值</w:t>
                </w:r>
                <w:r>
                  <w:rPr>
                    <w:rFonts w:ascii="宋体" w:hAnsi="宋体" w:cs="宋体" w:hint="eastAsia"/>
                    <w:color w:val="000000" w:themeColor="text1"/>
                    <w:sz w:val="21"/>
                    <w:szCs w:val="21"/>
                  </w:rPr>
                  <w:t>)</w:t>
                </w:r>
              </w:p>
            </w:tc>
          </w:sdtContent>
        </w:sdt>
        <w:sdt>
          <w:sdtPr>
            <w:rPr>
              <w:rFonts w:ascii="宋体" w:hAnsi="宋体" w:cs="宋体" w:hint="eastAsia"/>
              <w:color w:val="000000" w:themeColor="text1"/>
              <w:sz w:val="21"/>
              <w:szCs w:val="21"/>
            </w:rPr>
            <w:tag w:val="_PLD_84ac94479e3042509dbe40515b04ec8d"/>
            <w:id w:val="1762796154"/>
          </w:sdtPr>
          <w:sdtEndPr/>
          <w:sdtContent>
            <w:tc>
              <w:tcPr>
                <w:tcW w:w="1701" w:type="dxa"/>
                <w:vAlign w:val="center"/>
              </w:tcPr>
              <w:p w14:paraId="46F826B4" w14:textId="77777777" w:rsidR="002D0AE7" w:rsidRDefault="00333EBB">
                <w:pPr>
                  <w:pStyle w:val="14"/>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整个存续期预期信用损失</w:t>
                </w:r>
                <w:r>
                  <w:rPr>
                    <w:rFonts w:ascii="宋体" w:hAnsi="宋体" w:cs="宋体" w:hint="eastAsia"/>
                    <w:color w:val="000000" w:themeColor="text1"/>
                    <w:sz w:val="21"/>
                    <w:szCs w:val="21"/>
                  </w:rPr>
                  <w:t>(</w:t>
                </w:r>
                <w:r>
                  <w:rPr>
                    <w:rFonts w:ascii="宋体" w:hAnsi="宋体" w:cs="宋体" w:hint="eastAsia"/>
                    <w:color w:val="000000" w:themeColor="text1"/>
                    <w:sz w:val="21"/>
                    <w:szCs w:val="21"/>
                  </w:rPr>
                  <w:t>已发生信用减值</w:t>
                </w:r>
                <w:r>
                  <w:rPr>
                    <w:rFonts w:ascii="宋体" w:hAnsi="宋体" w:cs="宋体" w:hint="eastAsia"/>
                    <w:color w:val="000000" w:themeColor="text1"/>
                    <w:sz w:val="21"/>
                    <w:szCs w:val="21"/>
                  </w:rPr>
                  <w:t>)</w:t>
                </w:r>
              </w:p>
            </w:tc>
          </w:sdtContent>
        </w:sdt>
        <w:tc>
          <w:tcPr>
            <w:tcW w:w="1730" w:type="dxa"/>
            <w:vMerge/>
          </w:tcPr>
          <w:p w14:paraId="38F19338" w14:textId="77777777" w:rsidR="002D0AE7" w:rsidRDefault="002D0AE7">
            <w:pPr>
              <w:ind w:leftChars="86" w:left="206"/>
              <w:jc w:val="center"/>
              <w:rPr>
                <w:rFonts w:hint="eastAsia"/>
                <w:color w:val="000000" w:themeColor="text1"/>
                <w:sz w:val="21"/>
                <w:szCs w:val="21"/>
              </w:rPr>
            </w:pPr>
          </w:p>
        </w:tc>
      </w:tr>
      <w:tr w:rsidR="002D0AE7" w14:paraId="52904BA0" w14:textId="77777777">
        <w:tc>
          <w:tcPr>
            <w:tcW w:w="2835" w:type="dxa"/>
            <w:vAlign w:val="center"/>
          </w:tcPr>
          <w:p w14:paraId="542A59A5" w14:textId="77777777" w:rsidR="002D0AE7" w:rsidRDefault="00333EBB">
            <w:pPr>
              <w:pStyle w:val="14"/>
              <w:ind w:firstLineChars="0" w:firstLine="0"/>
              <w:rPr>
                <w:rFonts w:ascii="宋体" w:hAnsi="宋体" w:cs="宋体" w:hint="eastAsia"/>
                <w:color w:val="000000" w:themeColor="text1"/>
                <w:sz w:val="21"/>
                <w:szCs w:val="21"/>
              </w:rPr>
            </w:pPr>
            <w:r>
              <w:rPr>
                <w:rFonts w:ascii="宋体" w:hAnsi="宋体" w:cs="宋体"/>
                <w:color w:val="000000" w:themeColor="text1"/>
                <w:sz w:val="21"/>
                <w:szCs w:val="21"/>
              </w:rPr>
              <w:t>202</w:t>
            </w:r>
            <w:r>
              <w:rPr>
                <w:rFonts w:ascii="宋体" w:hAnsi="宋体" w:cs="宋体" w:hint="eastAsia"/>
                <w:color w:val="000000" w:themeColor="text1"/>
                <w:sz w:val="21"/>
                <w:szCs w:val="21"/>
              </w:rPr>
              <w:t>4</w:t>
            </w:r>
            <w:r>
              <w:rPr>
                <w:rFonts w:ascii="宋体" w:hAnsi="宋体" w:cs="宋体"/>
                <w:color w:val="000000" w:themeColor="text1"/>
                <w:sz w:val="21"/>
                <w:szCs w:val="21"/>
              </w:rPr>
              <w:t>年</w:t>
            </w:r>
            <w:r>
              <w:rPr>
                <w:rFonts w:ascii="宋体" w:hAnsi="宋体" w:cs="宋体" w:hint="eastAsia"/>
                <w:color w:val="000000" w:themeColor="text1"/>
                <w:sz w:val="21"/>
                <w:szCs w:val="21"/>
              </w:rPr>
              <w:t>1</w:t>
            </w:r>
            <w:r>
              <w:rPr>
                <w:rFonts w:ascii="宋体" w:hAnsi="宋体" w:cs="宋体" w:hint="eastAsia"/>
                <w:color w:val="000000" w:themeColor="text1"/>
                <w:sz w:val="21"/>
                <w:szCs w:val="21"/>
              </w:rPr>
              <w:t>月</w:t>
            </w:r>
            <w:r>
              <w:rPr>
                <w:rFonts w:ascii="宋体" w:hAnsi="宋体" w:cs="宋体" w:hint="eastAsia"/>
                <w:color w:val="000000" w:themeColor="text1"/>
                <w:sz w:val="21"/>
                <w:szCs w:val="21"/>
              </w:rPr>
              <w:t>1</w:t>
            </w:r>
            <w:r>
              <w:rPr>
                <w:rFonts w:ascii="宋体" w:hAnsi="宋体" w:cs="宋体" w:hint="eastAsia"/>
                <w:color w:val="000000" w:themeColor="text1"/>
                <w:sz w:val="21"/>
                <w:szCs w:val="21"/>
              </w:rPr>
              <w:t>日余额</w:t>
            </w:r>
          </w:p>
        </w:tc>
        <w:tc>
          <w:tcPr>
            <w:tcW w:w="1701" w:type="dxa"/>
            <w:vAlign w:val="center"/>
          </w:tcPr>
          <w:p w14:paraId="77BDE3D5"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956" w:type="dxa"/>
            <w:vAlign w:val="center"/>
          </w:tcPr>
          <w:p w14:paraId="4ADA5ADD"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01" w:type="dxa"/>
            <w:vAlign w:val="center"/>
          </w:tcPr>
          <w:p w14:paraId="35DCAD1F"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7,652,445.78</w:t>
            </w:r>
          </w:p>
        </w:tc>
        <w:tc>
          <w:tcPr>
            <w:tcW w:w="1730" w:type="dxa"/>
            <w:vAlign w:val="center"/>
          </w:tcPr>
          <w:p w14:paraId="6DEA5A1F"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7,652,445.78</w:t>
            </w:r>
          </w:p>
        </w:tc>
      </w:tr>
      <w:tr w:rsidR="002D0AE7" w14:paraId="1966ED5F" w14:textId="77777777">
        <w:tc>
          <w:tcPr>
            <w:tcW w:w="2835" w:type="dxa"/>
            <w:vAlign w:val="center"/>
          </w:tcPr>
          <w:p w14:paraId="04B2166A" w14:textId="77777777" w:rsidR="002D0AE7" w:rsidRDefault="00333EBB">
            <w:pPr>
              <w:pStyle w:val="14"/>
              <w:ind w:firstLineChars="0" w:firstLine="0"/>
              <w:rPr>
                <w:rFonts w:ascii="宋体" w:hAnsi="宋体" w:cs="宋体" w:hint="eastAsia"/>
                <w:color w:val="000000" w:themeColor="text1"/>
                <w:sz w:val="21"/>
                <w:szCs w:val="21"/>
              </w:rPr>
            </w:pPr>
            <w:r>
              <w:rPr>
                <w:rFonts w:ascii="宋体" w:hAnsi="宋体" w:cs="宋体" w:hint="eastAsia"/>
                <w:color w:val="000000" w:themeColor="text1"/>
                <w:sz w:val="21"/>
                <w:szCs w:val="21"/>
              </w:rPr>
              <w:t>2024</w:t>
            </w:r>
            <w:r>
              <w:rPr>
                <w:rFonts w:ascii="宋体" w:hAnsi="宋体" w:cs="宋体" w:hint="eastAsia"/>
                <w:color w:val="000000" w:themeColor="text1"/>
                <w:sz w:val="21"/>
                <w:szCs w:val="21"/>
              </w:rPr>
              <w:t>年</w:t>
            </w:r>
            <w:r>
              <w:rPr>
                <w:rFonts w:ascii="宋体" w:hAnsi="宋体" w:cs="宋体" w:hint="eastAsia"/>
                <w:color w:val="000000" w:themeColor="text1"/>
                <w:sz w:val="21"/>
                <w:szCs w:val="21"/>
              </w:rPr>
              <w:t>1</w:t>
            </w:r>
            <w:r>
              <w:rPr>
                <w:rFonts w:ascii="宋体" w:hAnsi="宋体" w:cs="宋体" w:hint="eastAsia"/>
                <w:color w:val="000000" w:themeColor="text1"/>
                <w:sz w:val="21"/>
                <w:szCs w:val="21"/>
              </w:rPr>
              <w:t>月</w:t>
            </w:r>
            <w:r>
              <w:rPr>
                <w:rFonts w:ascii="宋体" w:hAnsi="宋体" w:cs="宋体" w:hint="eastAsia"/>
                <w:color w:val="000000" w:themeColor="text1"/>
                <w:sz w:val="21"/>
                <w:szCs w:val="21"/>
              </w:rPr>
              <w:t>1</w:t>
            </w:r>
            <w:r>
              <w:rPr>
                <w:rFonts w:ascii="宋体" w:hAnsi="宋体" w:cs="宋体" w:hint="eastAsia"/>
                <w:color w:val="000000" w:themeColor="text1"/>
                <w:sz w:val="21"/>
                <w:szCs w:val="21"/>
              </w:rPr>
              <w:t>日余额在本期</w:t>
            </w:r>
          </w:p>
        </w:tc>
        <w:tc>
          <w:tcPr>
            <w:tcW w:w="1701" w:type="dxa"/>
            <w:vAlign w:val="center"/>
          </w:tcPr>
          <w:p w14:paraId="3F129974"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956" w:type="dxa"/>
            <w:vAlign w:val="center"/>
          </w:tcPr>
          <w:p w14:paraId="4795D2C7"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01" w:type="dxa"/>
            <w:vAlign w:val="center"/>
          </w:tcPr>
          <w:p w14:paraId="59C3FBC0"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30" w:type="dxa"/>
            <w:vAlign w:val="center"/>
          </w:tcPr>
          <w:p w14:paraId="4E9DDE53"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0CFE92A6" w14:textId="77777777">
        <w:tc>
          <w:tcPr>
            <w:tcW w:w="2835" w:type="dxa"/>
            <w:vAlign w:val="center"/>
          </w:tcPr>
          <w:p w14:paraId="1CAD1979" w14:textId="77777777" w:rsidR="002D0AE7" w:rsidRDefault="00333EBB">
            <w:pPr>
              <w:pStyle w:val="14"/>
              <w:ind w:leftChars="86" w:left="206"/>
              <w:rPr>
                <w:rFonts w:ascii="宋体" w:hAnsi="宋体" w:cs="宋体" w:hint="eastAsia"/>
                <w:color w:val="000000" w:themeColor="text1"/>
                <w:sz w:val="21"/>
                <w:szCs w:val="21"/>
              </w:rPr>
            </w:pPr>
            <w:r>
              <w:rPr>
                <w:rFonts w:ascii="宋体" w:hAnsi="宋体" w:cs="宋体" w:hint="eastAsia"/>
                <w:color w:val="000000" w:themeColor="text1"/>
                <w:sz w:val="21"/>
                <w:szCs w:val="21"/>
              </w:rPr>
              <w:t>--</w:t>
            </w:r>
            <w:r>
              <w:rPr>
                <w:rFonts w:ascii="宋体" w:hAnsi="宋体" w:cs="宋体" w:hint="eastAsia"/>
                <w:color w:val="000000" w:themeColor="text1"/>
                <w:sz w:val="21"/>
                <w:szCs w:val="21"/>
              </w:rPr>
              <w:t>转入第二阶段</w:t>
            </w:r>
          </w:p>
        </w:tc>
        <w:tc>
          <w:tcPr>
            <w:tcW w:w="1701" w:type="dxa"/>
            <w:vAlign w:val="center"/>
          </w:tcPr>
          <w:p w14:paraId="37B70722"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956" w:type="dxa"/>
            <w:vAlign w:val="center"/>
          </w:tcPr>
          <w:p w14:paraId="03996478"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01" w:type="dxa"/>
            <w:vAlign w:val="center"/>
          </w:tcPr>
          <w:p w14:paraId="2EAFFD27"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30" w:type="dxa"/>
            <w:vAlign w:val="center"/>
          </w:tcPr>
          <w:p w14:paraId="308F856E"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07EAF8B8" w14:textId="77777777">
        <w:tc>
          <w:tcPr>
            <w:tcW w:w="2835" w:type="dxa"/>
            <w:vAlign w:val="center"/>
          </w:tcPr>
          <w:p w14:paraId="1D4C9AF0" w14:textId="77777777" w:rsidR="002D0AE7" w:rsidRDefault="00333EBB">
            <w:pPr>
              <w:pStyle w:val="14"/>
              <w:ind w:leftChars="86" w:left="206"/>
              <w:rPr>
                <w:rFonts w:ascii="宋体" w:hAnsi="宋体" w:cs="宋体" w:hint="eastAsia"/>
                <w:color w:val="000000" w:themeColor="text1"/>
                <w:sz w:val="21"/>
                <w:szCs w:val="21"/>
              </w:rPr>
            </w:pPr>
            <w:r>
              <w:rPr>
                <w:rFonts w:ascii="宋体" w:hAnsi="宋体" w:cs="宋体" w:hint="eastAsia"/>
                <w:color w:val="000000" w:themeColor="text1"/>
                <w:sz w:val="21"/>
                <w:szCs w:val="21"/>
              </w:rPr>
              <w:t>--</w:t>
            </w:r>
            <w:r>
              <w:rPr>
                <w:rFonts w:ascii="宋体" w:hAnsi="宋体" w:cs="宋体" w:hint="eastAsia"/>
                <w:color w:val="000000" w:themeColor="text1"/>
                <w:sz w:val="21"/>
                <w:szCs w:val="21"/>
              </w:rPr>
              <w:t>转入第三阶段</w:t>
            </w:r>
          </w:p>
        </w:tc>
        <w:tc>
          <w:tcPr>
            <w:tcW w:w="1701" w:type="dxa"/>
            <w:vAlign w:val="center"/>
          </w:tcPr>
          <w:p w14:paraId="1EE0983F"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956" w:type="dxa"/>
            <w:vAlign w:val="center"/>
          </w:tcPr>
          <w:p w14:paraId="293D5F10"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01" w:type="dxa"/>
            <w:vAlign w:val="center"/>
          </w:tcPr>
          <w:p w14:paraId="3274A8CD"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30" w:type="dxa"/>
            <w:vAlign w:val="center"/>
          </w:tcPr>
          <w:p w14:paraId="407C9EF5"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3D936734" w14:textId="77777777">
        <w:tc>
          <w:tcPr>
            <w:tcW w:w="2835" w:type="dxa"/>
            <w:vAlign w:val="center"/>
          </w:tcPr>
          <w:p w14:paraId="5C546AE8" w14:textId="77777777" w:rsidR="002D0AE7" w:rsidRDefault="00333EBB">
            <w:pPr>
              <w:pStyle w:val="14"/>
              <w:ind w:leftChars="86" w:left="206"/>
              <w:rPr>
                <w:rFonts w:ascii="宋体" w:hAnsi="宋体" w:cs="宋体" w:hint="eastAsia"/>
                <w:color w:val="000000" w:themeColor="text1"/>
                <w:sz w:val="21"/>
                <w:szCs w:val="21"/>
              </w:rPr>
            </w:pPr>
            <w:r>
              <w:rPr>
                <w:rFonts w:ascii="宋体" w:hAnsi="宋体" w:cs="宋体" w:hint="eastAsia"/>
                <w:color w:val="000000" w:themeColor="text1"/>
                <w:sz w:val="21"/>
                <w:szCs w:val="21"/>
              </w:rPr>
              <w:t>--</w:t>
            </w:r>
            <w:r>
              <w:rPr>
                <w:rFonts w:ascii="宋体" w:hAnsi="宋体" w:cs="宋体" w:hint="eastAsia"/>
                <w:color w:val="000000" w:themeColor="text1"/>
                <w:sz w:val="21"/>
                <w:szCs w:val="21"/>
              </w:rPr>
              <w:t>转回第二阶段</w:t>
            </w:r>
          </w:p>
        </w:tc>
        <w:tc>
          <w:tcPr>
            <w:tcW w:w="1701" w:type="dxa"/>
            <w:vAlign w:val="center"/>
          </w:tcPr>
          <w:p w14:paraId="2D962BBC"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956" w:type="dxa"/>
            <w:vAlign w:val="center"/>
          </w:tcPr>
          <w:p w14:paraId="7518A2E3"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01" w:type="dxa"/>
            <w:vAlign w:val="center"/>
          </w:tcPr>
          <w:p w14:paraId="4D2DC544"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30" w:type="dxa"/>
            <w:vAlign w:val="center"/>
          </w:tcPr>
          <w:p w14:paraId="6FF5A3A2"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1B71C6C4" w14:textId="77777777">
        <w:tc>
          <w:tcPr>
            <w:tcW w:w="2835" w:type="dxa"/>
            <w:vAlign w:val="center"/>
          </w:tcPr>
          <w:p w14:paraId="5AEAF85A" w14:textId="77777777" w:rsidR="002D0AE7" w:rsidRDefault="00333EBB">
            <w:pPr>
              <w:pStyle w:val="14"/>
              <w:ind w:leftChars="86" w:left="206"/>
              <w:rPr>
                <w:rFonts w:ascii="宋体" w:hAnsi="宋体" w:cs="宋体" w:hint="eastAsia"/>
                <w:color w:val="000000" w:themeColor="text1"/>
                <w:sz w:val="21"/>
                <w:szCs w:val="21"/>
              </w:rPr>
            </w:pPr>
            <w:r>
              <w:rPr>
                <w:rFonts w:ascii="宋体" w:hAnsi="宋体" w:cs="宋体" w:hint="eastAsia"/>
                <w:color w:val="000000" w:themeColor="text1"/>
                <w:sz w:val="21"/>
                <w:szCs w:val="21"/>
              </w:rPr>
              <w:t>--</w:t>
            </w:r>
            <w:r>
              <w:rPr>
                <w:rFonts w:ascii="宋体" w:hAnsi="宋体" w:cs="宋体" w:hint="eastAsia"/>
                <w:color w:val="000000" w:themeColor="text1"/>
                <w:sz w:val="21"/>
                <w:szCs w:val="21"/>
              </w:rPr>
              <w:t>转回第一阶段</w:t>
            </w:r>
          </w:p>
        </w:tc>
        <w:tc>
          <w:tcPr>
            <w:tcW w:w="1701" w:type="dxa"/>
            <w:vAlign w:val="center"/>
          </w:tcPr>
          <w:p w14:paraId="034672F6"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956" w:type="dxa"/>
            <w:vAlign w:val="center"/>
          </w:tcPr>
          <w:p w14:paraId="40B4E7D0"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01" w:type="dxa"/>
            <w:vAlign w:val="center"/>
          </w:tcPr>
          <w:p w14:paraId="772DE2FD"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30" w:type="dxa"/>
            <w:vAlign w:val="center"/>
          </w:tcPr>
          <w:p w14:paraId="3669FF3E"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1428C930" w14:textId="77777777">
        <w:tc>
          <w:tcPr>
            <w:tcW w:w="2835" w:type="dxa"/>
            <w:vAlign w:val="center"/>
          </w:tcPr>
          <w:p w14:paraId="76E30D7D" w14:textId="77777777" w:rsidR="002D0AE7" w:rsidRDefault="00333EBB">
            <w:pPr>
              <w:pStyle w:val="14"/>
              <w:rPr>
                <w:rFonts w:ascii="宋体" w:hAnsi="宋体" w:cs="宋体" w:hint="eastAsia"/>
                <w:color w:val="000000" w:themeColor="text1"/>
                <w:sz w:val="21"/>
                <w:szCs w:val="21"/>
              </w:rPr>
            </w:pPr>
            <w:r>
              <w:rPr>
                <w:rFonts w:ascii="宋体" w:hAnsi="宋体" w:cs="宋体" w:hint="eastAsia"/>
                <w:color w:val="000000" w:themeColor="text1"/>
                <w:sz w:val="21"/>
                <w:szCs w:val="21"/>
              </w:rPr>
              <w:t>本期计提</w:t>
            </w:r>
          </w:p>
        </w:tc>
        <w:tc>
          <w:tcPr>
            <w:tcW w:w="1701" w:type="dxa"/>
            <w:vAlign w:val="center"/>
          </w:tcPr>
          <w:p w14:paraId="7F896EC4"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956" w:type="dxa"/>
            <w:vAlign w:val="center"/>
          </w:tcPr>
          <w:p w14:paraId="566B46DE"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73,134.17</w:t>
            </w:r>
          </w:p>
        </w:tc>
        <w:tc>
          <w:tcPr>
            <w:tcW w:w="1701" w:type="dxa"/>
            <w:vAlign w:val="center"/>
          </w:tcPr>
          <w:p w14:paraId="6C8AA19D"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30" w:type="dxa"/>
            <w:vAlign w:val="center"/>
          </w:tcPr>
          <w:p w14:paraId="1D67049D"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73,134.17</w:t>
            </w:r>
          </w:p>
        </w:tc>
      </w:tr>
      <w:tr w:rsidR="002D0AE7" w14:paraId="6BCD0A3A" w14:textId="77777777">
        <w:tc>
          <w:tcPr>
            <w:tcW w:w="2835" w:type="dxa"/>
            <w:vAlign w:val="center"/>
          </w:tcPr>
          <w:p w14:paraId="7BBAFB38" w14:textId="77777777" w:rsidR="002D0AE7" w:rsidRDefault="00333EBB">
            <w:pPr>
              <w:pStyle w:val="14"/>
              <w:rPr>
                <w:rFonts w:ascii="宋体" w:hAnsi="宋体" w:hint="eastAsia"/>
                <w:color w:val="000000" w:themeColor="text1"/>
                <w:sz w:val="21"/>
                <w:szCs w:val="21"/>
              </w:rPr>
            </w:pPr>
            <w:r>
              <w:rPr>
                <w:rFonts w:ascii="宋体" w:hAnsi="宋体" w:hint="eastAsia"/>
                <w:color w:val="000000" w:themeColor="text1"/>
                <w:sz w:val="21"/>
                <w:szCs w:val="21"/>
              </w:rPr>
              <w:t>本期转回</w:t>
            </w:r>
          </w:p>
        </w:tc>
        <w:tc>
          <w:tcPr>
            <w:tcW w:w="1701" w:type="dxa"/>
            <w:vAlign w:val="center"/>
          </w:tcPr>
          <w:p w14:paraId="4F4489CE"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956" w:type="dxa"/>
            <w:vAlign w:val="center"/>
          </w:tcPr>
          <w:p w14:paraId="1367846C"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01" w:type="dxa"/>
            <w:vAlign w:val="center"/>
          </w:tcPr>
          <w:p w14:paraId="054FDBE2"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30" w:type="dxa"/>
            <w:vAlign w:val="center"/>
          </w:tcPr>
          <w:p w14:paraId="63B32CDD"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695B244D" w14:textId="77777777">
        <w:tc>
          <w:tcPr>
            <w:tcW w:w="2835" w:type="dxa"/>
            <w:vAlign w:val="center"/>
          </w:tcPr>
          <w:p w14:paraId="340E3B26" w14:textId="77777777" w:rsidR="002D0AE7" w:rsidRDefault="00333EBB">
            <w:pPr>
              <w:pStyle w:val="14"/>
              <w:rPr>
                <w:rFonts w:ascii="宋体" w:hAnsi="宋体" w:cs="宋体" w:hint="eastAsia"/>
                <w:color w:val="000000" w:themeColor="text1"/>
                <w:sz w:val="21"/>
                <w:szCs w:val="21"/>
              </w:rPr>
            </w:pPr>
            <w:r>
              <w:rPr>
                <w:rFonts w:ascii="宋体" w:hAnsi="宋体" w:cs="宋体" w:hint="eastAsia"/>
                <w:color w:val="000000" w:themeColor="text1"/>
                <w:sz w:val="21"/>
                <w:szCs w:val="21"/>
              </w:rPr>
              <w:t>本期转销</w:t>
            </w:r>
          </w:p>
        </w:tc>
        <w:tc>
          <w:tcPr>
            <w:tcW w:w="1701" w:type="dxa"/>
            <w:vAlign w:val="center"/>
          </w:tcPr>
          <w:p w14:paraId="20FFDFD2"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956" w:type="dxa"/>
            <w:vAlign w:val="center"/>
          </w:tcPr>
          <w:p w14:paraId="133A4BEA"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01" w:type="dxa"/>
            <w:vAlign w:val="center"/>
          </w:tcPr>
          <w:p w14:paraId="3E7F1491"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30" w:type="dxa"/>
            <w:vAlign w:val="center"/>
          </w:tcPr>
          <w:p w14:paraId="2C44E03C"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30421319" w14:textId="77777777">
        <w:tc>
          <w:tcPr>
            <w:tcW w:w="2835" w:type="dxa"/>
            <w:vAlign w:val="center"/>
          </w:tcPr>
          <w:p w14:paraId="688C9B40" w14:textId="77777777" w:rsidR="002D0AE7" w:rsidRDefault="00333EBB">
            <w:pPr>
              <w:pStyle w:val="14"/>
              <w:rPr>
                <w:color w:val="000000" w:themeColor="text1"/>
                <w:sz w:val="21"/>
                <w:szCs w:val="21"/>
              </w:rPr>
            </w:pPr>
            <w:r>
              <w:rPr>
                <w:rFonts w:ascii="宋体" w:hAnsi="宋体" w:cs="宋体" w:hint="eastAsia"/>
                <w:color w:val="000000" w:themeColor="text1"/>
                <w:sz w:val="21"/>
                <w:szCs w:val="21"/>
              </w:rPr>
              <w:t>本期核销</w:t>
            </w:r>
          </w:p>
        </w:tc>
        <w:tc>
          <w:tcPr>
            <w:tcW w:w="1701" w:type="dxa"/>
            <w:vAlign w:val="center"/>
          </w:tcPr>
          <w:p w14:paraId="752CDB0F"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956" w:type="dxa"/>
            <w:vAlign w:val="center"/>
          </w:tcPr>
          <w:p w14:paraId="54DCD578"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01" w:type="dxa"/>
            <w:vAlign w:val="center"/>
          </w:tcPr>
          <w:p w14:paraId="36F642B9"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30" w:type="dxa"/>
            <w:vAlign w:val="center"/>
          </w:tcPr>
          <w:p w14:paraId="206A7CCA"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39372F48" w14:textId="77777777">
        <w:tc>
          <w:tcPr>
            <w:tcW w:w="2835" w:type="dxa"/>
            <w:vAlign w:val="center"/>
          </w:tcPr>
          <w:p w14:paraId="71E36505" w14:textId="77777777" w:rsidR="002D0AE7" w:rsidRDefault="00333EBB">
            <w:pPr>
              <w:pStyle w:val="14"/>
              <w:rPr>
                <w:rFonts w:ascii="宋体" w:hAnsi="宋体" w:cs="宋体" w:hint="eastAsia"/>
                <w:color w:val="000000" w:themeColor="text1"/>
                <w:sz w:val="21"/>
                <w:szCs w:val="21"/>
              </w:rPr>
            </w:pPr>
            <w:r>
              <w:rPr>
                <w:rFonts w:ascii="宋体" w:hAnsi="宋体" w:cs="宋体" w:hint="eastAsia"/>
                <w:color w:val="000000" w:themeColor="text1"/>
                <w:sz w:val="21"/>
                <w:szCs w:val="21"/>
              </w:rPr>
              <w:t>其他变动</w:t>
            </w:r>
          </w:p>
        </w:tc>
        <w:tc>
          <w:tcPr>
            <w:tcW w:w="1701" w:type="dxa"/>
            <w:vAlign w:val="center"/>
          </w:tcPr>
          <w:p w14:paraId="3BA760D6"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956" w:type="dxa"/>
            <w:vAlign w:val="center"/>
          </w:tcPr>
          <w:p w14:paraId="1F3ABA80"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01" w:type="dxa"/>
            <w:vAlign w:val="center"/>
          </w:tcPr>
          <w:p w14:paraId="2B11824A"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30" w:type="dxa"/>
            <w:vAlign w:val="center"/>
          </w:tcPr>
          <w:p w14:paraId="59C016CA"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0319180A" w14:textId="77777777">
        <w:tc>
          <w:tcPr>
            <w:tcW w:w="2835" w:type="dxa"/>
            <w:vAlign w:val="center"/>
          </w:tcPr>
          <w:p w14:paraId="151DA637" w14:textId="77777777" w:rsidR="002D0AE7" w:rsidRDefault="00333EBB">
            <w:pPr>
              <w:pStyle w:val="14"/>
              <w:ind w:firstLineChars="0" w:firstLine="0"/>
              <w:rPr>
                <w:rFonts w:ascii="宋体" w:hAnsi="宋体" w:cs="宋体" w:hint="eastAsia"/>
                <w:color w:val="000000" w:themeColor="text1"/>
                <w:sz w:val="21"/>
                <w:szCs w:val="21"/>
              </w:rPr>
            </w:pPr>
            <w:r>
              <w:rPr>
                <w:rFonts w:ascii="宋体" w:hAnsi="宋体" w:cs="宋体"/>
                <w:color w:val="000000" w:themeColor="text1"/>
                <w:sz w:val="21"/>
                <w:szCs w:val="21"/>
              </w:rPr>
              <w:t>202</w:t>
            </w:r>
            <w:r>
              <w:rPr>
                <w:rFonts w:ascii="宋体" w:hAnsi="宋体" w:cs="宋体" w:hint="eastAsia"/>
                <w:color w:val="000000" w:themeColor="text1"/>
                <w:sz w:val="21"/>
                <w:szCs w:val="21"/>
              </w:rPr>
              <w:t>4</w:t>
            </w:r>
            <w:r>
              <w:rPr>
                <w:rFonts w:ascii="宋体" w:hAnsi="宋体" w:cs="宋体"/>
                <w:color w:val="000000" w:themeColor="text1"/>
                <w:sz w:val="21"/>
                <w:szCs w:val="21"/>
              </w:rPr>
              <w:t>年</w:t>
            </w:r>
            <w:r>
              <w:rPr>
                <w:rFonts w:ascii="宋体" w:hAnsi="宋体" w:cs="宋体" w:hint="eastAsia"/>
                <w:color w:val="000000" w:themeColor="text1"/>
                <w:sz w:val="21"/>
                <w:szCs w:val="21"/>
              </w:rPr>
              <w:t>6</w:t>
            </w:r>
            <w:r>
              <w:rPr>
                <w:rFonts w:ascii="宋体" w:hAnsi="宋体" w:cs="宋体"/>
                <w:color w:val="000000" w:themeColor="text1"/>
                <w:sz w:val="21"/>
                <w:szCs w:val="21"/>
              </w:rPr>
              <w:t>月</w:t>
            </w:r>
            <w:r>
              <w:rPr>
                <w:rFonts w:ascii="宋体" w:hAnsi="宋体" w:cs="宋体"/>
                <w:color w:val="000000" w:themeColor="text1"/>
                <w:sz w:val="21"/>
                <w:szCs w:val="21"/>
              </w:rPr>
              <w:t>3</w:t>
            </w:r>
            <w:r>
              <w:rPr>
                <w:rFonts w:ascii="宋体" w:hAnsi="宋体" w:cs="宋体" w:hint="eastAsia"/>
                <w:color w:val="000000" w:themeColor="text1"/>
                <w:sz w:val="21"/>
                <w:szCs w:val="21"/>
              </w:rPr>
              <w:t>0</w:t>
            </w:r>
            <w:r>
              <w:rPr>
                <w:rFonts w:ascii="宋体" w:hAnsi="宋体" w:cs="宋体"/>
                <w:color w:val="000000" w:themeColor="text1"/>
                <w:sz w:val="21"/>
                <w:szCs w:val="21"/>
              </w:rPr>
              <w:t>日</w:t>
            </w:r>
            <w:r>
              <w:rPr>
                <w:rFonts w:ascii="宋体" w:hAnsi="宋体" w:cs="宋体" w:hint="eastAsia"/>
                <w:color w:val="000000" w:themeColor="text1"/>
                <w:sz w:val="21"/>
                <w:szCs w:val="21"/>
              </w:rPr>
              <w:t>余额</w:t>
            </w:r>
          </w:p>
        </w:tc>
        <w:tc>
          <w:tcPr>
            <w:tcW w:w="1701" w:type="dxa"/>
            <w:vAlign w:val="center"/>
          </w:tcPr>
          <w:p w14:paraId="2D7E4347"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956" w:type="dxa"/>
            <w:vAlign w:val="center"/>
          </w:tcPr>
          <w:p w14:paraId="5FE7D694"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73,134.17</w:t>
            </w:r>
          </w:p>
        </w:tc>
        <w:tc>
          <w:tcPr>
            <w:tcW w:w="1701" w:type="dxa"/>
            <w:vAlign w:val="center"/>
          </w:tcPr>
          <w:p w14:paraId="5C1FD929"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7,652,445.78</w:t>
            </w:r>
          </w:p>
        </w:tc>
        <w:tc>
          <w:tcPr>
            <w:tcW w:w="1730" w:type="dxa"/>
            <w:vAlign w:val="center"/>
          </w:tcPr>
          <w:p w14:paraId="4CDADB3A"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7,725,579.95</w:t>
            </w:r>
          </w:p>
        </w:tc>
      </w:tr>
    </w:tbl>
    <w:p w14:paraId="74BBF48C" w14:textId="77777777" w:rsidR="002D0AE7" w:rsidRDefault="00333EBB">
      <w:pPr>
        <w:autoSpaceDE w:val="0"/>
        <w:autoSpaceDN w:val="0"/>
        <w:adjustRightInd w:val="0"/>
        <w:ind w:rightChars="50" w:right="120"/>
        <w:rPr>
          <w:rFonts w:hint="eastAsia"/>
          <w:bCs/>
          <w:color w:val="000000"/>
        </w:rPr>
      </w:pPr>
      <w:r>
        <w:rPr>
          <w:rFonts w:hint="eastAsia"/>
          <w:color w:val="000000" w:themeColor="text1"/>
        </w:rPr>
        <w:t>各阶段划分依据和坏账准备计提比例</w:t>
      </w:r>
      <w:sdt>
        <w:sdtPr>
          <w:rPr>
            <w:rFonts w:cs="Times New Roman"/>
            <w:bCs/>
            <w:color w:val="000000" w:themeColor="text1"/>
            <w:szCs w:val="22"/>
          </w:rPr>
          <w:alias w:val="各阶段划分依据和坏账准备计提比例"/>
          <w:tag w:val="_GBC_d8e8411c0a8c4c56aa732db88b5aee2e"/>
          <w:id w:val="-223064916"/>
          <w:placeholder>
            <w:docPart w:val="GBC22222222222222222222222222222"/>
          </w:placeholder>
        </w:sdtPr>
        <w:sdtEndPr>
          <w:rPr>
            <w:szCs w:val="24"/>
          </w:rPr>
        </w:sdtEndPr>
        <w:sdtContent>
          <w:r>
            <w:rPr>
              <w:rFonts w:hint="eastAsia"/>
              <w:bCs/>
              <w:color w:val="000000"/>
            </w:rPr>
            <w:t>无</w:t>
          </w:r>
        </w:sdtContent>
      </w:sdt>
    </w:p>
    <w:p w14:paraId="69A1928C" w14:textId="77777777" w:rsidR="002D0AE7" w:rsidRDefault="00333EBB">
      <w:pPr>
        <w:pStyle w:val="4"/>
        <w:numPr>
          <w:ilvl w:val="3"/>
          <w:numId w:val="44"/>
        </w:numPr>
        <w:tabs>
          <w:tab w:val="left" w:pos="574"/>
        </w:tabs>
        <w:rPr>
          <w:rFonts w:ascii="宋体" w:hAnsi="宋体" w:hint="eastAsia"/>
          <w:color w:val="000000" w:themeColor="text1"/>
          <w:szCs w:val="21"/>
        </w:rPr>
      </w:pPr>
      <w:bookmarkStart w:id="152" w:name="_Hlk10467433"/>
      <w:bookmarkEnd w:id="149"/>
      <w:bookmarkEnd w:id="150"/>
      <w:bookmarkEnd w:id="151"/>
      <w:r>
        <w:rPr>
          <w:rFonts w:ascii="宋体" w:hAnsi="宋体" w:hint="eastAsia"/>
          <w:color w:val="000000" w:themeColor="text1"/>
          <w:szCs w:val="21"/>
        </w:rPr>
        <w:t>坏账准备的情况</w:t>
      </w:r>
    </w:p>
    <w:sdt>
      <w:sdtPr>
        <w:rPr>
          <w:color w:val="000000" w:themeColor="text1"/>
        </w:rPr>
        <w:alias w:val="是否适用：应收账款坏账准备[双击切换]"/>
        <w:tag w:val="_GBC_fb482eb90dbc45c4a6420c45e8a46012"/>
        <w:id w:val="-1656913334"/>
        <w:placeholder>
          <w:docPart w:val="GBC22222222222222222222222222222"/>
        </w:placeholder>
      </w:sdtPr>
      <w:sdtEndPr/>
      <w:sdtContent>
        <w:p w14:paraId="76800728"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289F84DD" w14:textId="77777777" w:rsidR="002D0AE7" w:rsidRDefault="00333EBB">
      <w:pPr>
        <w:pStyle w:val="11"/>
        <w:rPr>
          <w:rFonts w:hint="eastAsia"/>
        </w:rPr>
      </w:pPr>
      <w:r>
        <w:rPr>
          <w:rFonts w:hint="eastAsia"/>
        </w:rPr>
        <w:t>单位：</w:t>
      </w:r>
      <w:sdt>
        <w:sdtPr>
          <w:rPr>
            <w:rFonts w:hint="eastAsia"/>
          </w:rPr>
          <w:alias w:val="单位：应收账款坏账准备"/>
          <w:tag w:val="_GBC_f681542ff42f497c9ed44328f301413f"/>
          <w:id w:val="-108036896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应收账款坏账准备"/>
          <w:tag w:val="_GBC_79f82daaad1749fbb117cea0941b8667"/>
          <w:id w:val="14039598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7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393"/>
        <w:gridCol w:w="1329"/>
        <w:gridCol w:w="1127"/>
        <w:gridCol w:w="984"/>
        <w:gridCol w:w="984"/>
        <w:gridCol w:w="843"/>
        <w:gridCol w:w="1405"/>
      </w:tblGrid>
      <w:tr w:rsidR="002D0AE7" w14:paraId="274A19BE" w14:textId="77777777">
        <w:trPr>
          <w:jc w:val="center"/>
        </w:trPr>
        <w:bookmarkEnd w:id="152" w:displacedByCustomXml="next"/>
        <w:bookmarkStart w:id="153" w:name="_Hlk167885446" w:displacedByCustomXml="next"/>
        <w:sdt>
          <w:sdtPr>
            <w:rPr>
              <w:color w:val="000000" w:themeColor="text1"/>
              <w:sz w:val="21"/>
            </w:rPr>
            <w:tag w:val="_PLD_82b0419f5c784cbe8b363ff715cfd4eb"/>
            <w:id w:val="1547870002"/>
          </w:sdtPr>
          <w:sdtEndPr/>
          <w:sdtContent>
            <w:tc>
              <w:tcPr>
                <w:tcW w:w="1690" w:type="pct"/>
                <w:vMerge w:val="restart"/>
                <w:shd w:val="clear" w:color="auto" w:fill="FFFFFF"/>
                <w:vAlign w:val="center"/>
              </w:tcPr>
              <w:p w14:paraId="0AB8EB87" w14:textId="77777777" w:rsidR="002D0AE7" w:rsidRDefault="00333EBB">
                <w:pPr>
                  <w:jc w:val="center"/>
                  <w:rPr>
                    <w:rFonts w:hint="eastAsia"/>
                    <w:color w:val="000000" w:themeColor="text1"/>
                    <w:sz w:val="21"/>
                  </w:rPr>
                </w:pPr>
                <w:r>
                  <w:rPr>
                    <w:color w:val="000000" w:themeColor="text1"/>
                    <w:sz w:val="21"/>
                  </w:rPr>
                  <w:t>类别</w:t>
                </w:r>
              </w:p>
            </w:tc>
          </w:sdtContent>
        </w:sdt>
        <w:sdt>
          <w:sdtPr>
            <w:rPr>
              <w:color w:val="000000" w:themeColor="text1"/>
              <w:sz w:val="21"/>
            </w:rPr>
            <w:tag w:val="_PLD_6cba2c33cb334541980e3e13a6ee357d"/>
            <w:id w:val="-1693679590"/>
          </w:sdtPr>
          <w:sdtEndPr/>
          <w:sdtContent>
            <w:tc>
              <w:tcPr>
                <w:tcW w:w="635" w:type="pct"/>
                <w:vMerge w:val="restart"/>
                <w:shd w:val="clear" w:color="auto" w:fill="FFFFFF"/>
                <w:vAlign w:val="center"/>
              </w:tcPr>
              <w:p w14:paraId="73305A54" w14:textId="77777777" w:rsidR="002D0AE7" w:rsidRDefault="00333EBB">
                <w:pPr>
                  <w:jc w:val="center"/>
                  <w:rPr>
                    <w:rFonts w:hint="eastAsia"/>
                    <w:color w:val="000000" w:themeColor="text1"/>
                    <w:sz w:val="21"/>
                  </w:rPr>
                </w:pPr>
                <w:r>
                  <w:rPr>
                    <w:color w:val="000000" w:themeColor="text1"/>
                    <w:sz w:val="21"/>
                  </w:rPr>
                  <w:t>期初余额</w:t>
                </w:r>
              </w:p>
            </w:tc>
          </w:sdtContent>
        </w:sdt>
        <w:sdt>
          <w:sdtPr>
            <w:rPr>
              <w:color w:val="000000" w:themeColor="text1"/>
              <w:sz w:val="21"/>
            </w:rPr>
            <w:tag w:val="_PLD_ec3d2e2cde2a4ba29c966861f9ca39c7"/>
            <w:id w:val="-1035263726"/>
          </w:sdtPr>
          <w:sdtEndPr/>
          <w:sdtContent>
            <w:tc>
              <w:tcPr>
                <w:tcW w:w="1972" w:type="pct"/>
                <w:gridSpan w:val="4"/>
                <w:shd w:val="clear" w:color="auto" w:fill="FFFFFF"/>
                <w:vAlign w:val="center"/>
              </w:tcPr>
              <w:p w14:paraId="210642E0" w14:textId="77777777" w:rsidR="002D0AE7" w:rsidRDefault="00333EBB">
                <w:pPr>
                  <w:jc w:val="center"/>
                  <w:rPr>
                    <w:rFonts w:hint="eastAsia"/>
                    <w:color w:val="000000" w:themeColor="text1"/>
                    <w:sz w:val="21"/>
                  </w:rPr>
                </w:pPr>
                <w:r>
                  <w:rPr>
                    <w:rFonts w:hint="eastAsia"/>
                    <w:color w:val="000000" w:themeColor="text1"/>
                    <w:sz w:val="21"/>
                  </w:rPr>
                  <w:t>本期变动</w:t>
                </w:r>
                <w:r>
                  <w:rPr>
                    <w:color w:val="000000" w:themeColor="text1"/>
                    <w:sz w:val="21"/>
                  </w:rPr>
                  <w:t>金额</w:t>
                </w:r>
              </w:p>
            </w:tc>
          </w:sdtContent>
        </w:sdt>
        <w:sdt>
          <w:sdtPr>
            <w:rPr>
              <w:color w:val="000000" w:themeColor="text1"/>
              <w:sz w:val="21"/>
            </w:rPr>
            <w:tag w:val="_PLD_9c167d6d72f94e22aecc39ba0e735a78"/>
            <w:id w:val="-280649980"/>
          </w:sdtPr>
          <w:sdtEndPr/>
          <w:sdtContent>
            <w:tc>
              <w:tcPr>
                <w:tcW w:w="703" w:type="pct"/>
                <w:vMerge w:val="restart"/>
                <w:shd w:val="clear" w:color="auto" w:fill="FFFFFF"/>
                <w:vAlign w:val="center"/>
              </w:tcPr>
              <w:p w14:paraId="084056AF" w14:textId="77777777" w:rsidR="002D0AE7" w:rsidRDefault="00333EBB">
                <w:pPr>
                  <w:jc w:val="center"/>
                  <w:rPr>
                    <w:rFonts w:hint="eastAsia"/>
                    <w:color w:val="000000" w:themeColor="text1"/>
                    <w:sz w:val="21"/>
                  </w:rPr>
                </w:pPr>
                <w:r>
                  <w:rPr>
                    <w:color w:val="000000" w:themeColor="text1"/>
                    <w:sz w:val="21"/>
                  </w:rPr>
                  <w:t>期末余额</w:t>
                </w:r>
              </w:p>
            </w:tc>
          </w:sdtContent>
        </w:sdt>
      </w:tr>
      <w:tr w:rsidR="002D0AE7" w14:paraId="46BA341E" w14:textId="77777777">
        <w:trPr>
          <w:jc w:val="center"/>
        </w:trPr>
        <w:tc>
          <w:tcPr>
            <w:tcW w:w="1690" w:type="pct"/>
            <w:vMerge/>
            <w:shd w:val="clear" w:color="auto" w:fill="FFFFFF"/>
            <w:vAlign w:val="center"/>
          </w:tcPr>
          <w:p w14:paraId="60CA6144" w14:textId="77777777" w:rsidR="002D0AE7" w:rsidRDefault="002D0AE7">
            <w:pPr>
              <w:jc w:val="center"/>
              <w:rPr>
                <w:rFonts w:hint="eastAsia"/>
                <w:color w:val="000000" w:themeColor="text1"/>
                <w:sz w:val="21"/>
              </w:rPr>
            </w:pPr>
          </w:p>
        </w:tc>
        <w:tc>
          <w:tcPr>
            <w:tcW w:w="635" w:type="pct"/>
            <w:vMerge/>
            <w:shd w:val="clear" w:color="auto" w:fill="FFFFFF"/>
            <w:vAlign w:val="center"/>
          </w:tcPr>
          <w:p w14:paraId="4F026656" w14:textId="77777777" w:rsidR="002D0AE7" w:rsidRDefault="002D0AE7">
            <w:pPr>
              <w:jc w:val="center"/>
              <w:rPr>
                <w:rFonts w:hint="eastAsia"/>
                <w:color w:val="000000" w:themeColor="text1"/>
                <w:sz w:val="21"/>
              </w:rPr>
            </w:pPr>
          </w:p>
        </w:tc>
        <w:sdt>
          <w:sdtPr>
            <w:rPr>
              <w:color w:val="000000" w:themeColor="text1"/>
              <w:sz w:val="21"/>
            </w:rPr>
            <w:tag w:val="_PLD_6cba23a5661e46c88bed469159b39a72"/>
            <w:id w:val="-1308701230"/>
          </w:sdtPr>
          <w:sdtEndPr/>
          <w:sdtContent>
            <w:tc>
              <w:tcPr>
                <w:tcW w:w="564" w:type="pct"/>
                <w:shd w:val="clear" w:color="auto" w:fill="FFFFFF"/>
                <w:vAlign w:val="center"/>
              </w:tcPr>
              <w:p w14:paraId="2A1CDC04" w14:textId="77777777" w:rsidR="002D0AE7" w:rsidRDefault="00333EBB">
                <w:pPr>
                  <w:jc w:val="center"/>
                  <w:rPr>
                    <w:rFonts w:hint="eastAsia"/>
                    <w:color w:val="000000" w:themeColor="text1"/>
                    <w:sz w:val="21"/>
                  </w:rPr>
                </w:pPr>
                <w:r>
                  <w:rPr>
                    <w:color w:val="000000" w:themeColor="text1"/>
                    <w:sz w:val="21"/>
                  </w:rPr>
                  <w:t>计提</w:t>
                </w:r>
              </w:p>
            </w:tc>
          </w:sdtContent>
        </w:sdt>
        <w:sdt>
          <w:sdtPr>
            <w:rPr>
              <w:color w:val="000000" w:themeColor="text1"/>
              <w:sz w:val="21"/>
            </w:rPr>
            <w:tag w:val="_PLD_eaa82901608843c6947a0e537e8e0700"/>
            <w:id w:val="1810131015"/>
          </w:sdtPr>
          <w:sdtEndPr/>
          <w:sdtContent>
            <w:tc>
              <w:tcPr>
                <w:tcW w:w="493" w:type="pct"/>
                <w:shd w:val="clear" w:color="auto" w:fill="FFFFFF"/>
                <w:vAlign w:val="center"/>
              </w:tcPr>
              <w:p w14:paraId="30315913" w14:textId="77777777" w:rsidR="002D0AE7" w:rsidRDefault="00333EBB">
                <w:pPr>
                  <w:jc w:val="center"/>
                  <w:rPr>
                    <w:rFonts w:hint="eastAsia"/>
                    <w:color w:val="000000" w:themeColor="text1"/>
                    <w:sz w:val="21"/>
                  </w:rPr>
                </w:pPr>
                <w:r>
                  <w:rPr>
                    <w:rFonts w:hint="eastAsia"/>
                    <w:color w:val="000000" w:themeColor="text1"/>
                    <w:sz w:val="21"/>
                  </w:rPr>
                  <w:t>收回或转回</w:t>
                </w:r>
              </w:p>
            </w:tc>
          </w:sdtContent>
        </w:sdt>
        <w:tc>
          <w:tcPr>
            <w:tcW w:w="493" w:type="pct"/>
            <w:shd w:val="clear" w:color="auto" w:fill="FFFFFF"/>
            <w:vAlign w:val="center"/>
          </w:tcPr>
          <w:sdt>
            <w:sdtPr>
              <w:rPr>
                <w:rFonts w:hint="eastAsia"/>
                <w:color w:val="000000" w:themeColor="text1"/>
                <w:sz w:val="21"/>
              </w:rPr>
              <w:tag w:val="_PLD_4232da6e7f4d498bb5fd03aa253dd7d4"/>
              <w:id w:val="-1027633052"/>
            </w:sdtPr>
            <w:sdtEndPr/>
            <w:sdtContent>
              <w:p w14:paraId="7032FCA6" w14:textId="77777777" w:rsidR="002D0AE7" w:rsidRDefault="00333EBB">
                <w:pPr>
                  <w:jc w:val="center"/>
                  <w:rPr>
                    <w:rFonts w:hint="eastAsia"/>
                    <w:color w:val="000000" w:themeColor="text1"/>
                    <w:sz w:val="21"/>
                  </w:rPr>
                </w:pPr>
                <w:r>
                  <w:rPr>
                    <w:rFonts w:hint="eastAsia"/>
                    <w:color w:val="000000" w:themeColor="text1"/>
                    <w:sz w:val="21"/>
                  </w:rPr>
                  <w:t>转销或核销</w:t>
                </w:r>
              </w:p>
            </w:sdtContent>
          </w:sdt>
        </w:tc>
        <w:tc>
          <w:tcPr>
            <w:tcW w:w="423" w:type="pct"/>
            <w:shd w:val="clear" w:color="auto" w:fill="FFFFFF"/>
            <w:vAlign w:val="center"/>
          </w:tcPr>
          <w:sdt>
            <w:sdtPr>
              <w:rPr>
                <w:rFonts w:hint="eastAsia"/>
                <w:color w:val="000000" w:themeColor="text1"/>
                <w:sz w:val="21"/>
              </w:rPr>
              <w:tag w:val="_PLD_6a40df7ca60f4ded8af3453519948166"/>
              <w:id w:val="-1665850455"/>
            </w:sdtPr>
            <w:sdtEndPr/>
            <w:sdtContent>
              <w:p w14:paraId="6F1368D5" w14:textId="77777777" w:rsidR="002D0AE7" w:rsidRDefault="00333EBB">
                <w:pPr>
                  <w:jc w:val="center"/>
                  <w:rPr>
                    <w:rFonts w:hint="eastAsia"/>
                    <w:color w:val="000000" w:themeColor="text1"/>
                    <w:sz w:val="21"/>
                  </w:rPr>
                </w:pPr>
                <w:r>
                  <w:rPr>
                    <w:rFonts w:hint="eastAsia"/>
                    <w:color w:val="000000" w:themeColor="text1"/>
                    <w:sz w:val="21"/>
                  </w:rPr>
                  <w:t>其他变动</w:t>
                </w:r>
              </w:p>
            </w:sdtContent>
          </w:sdt>
        </w:tc>
        <w:tc>
          <w:tcPr>
            <w:tcW w:w="703" w:type="pct"/>
            <w:vMerge/>
            <w:shd w:val="clear" w:color="auto" w:fill="FFFFFF"/>
            <w:vAlign w:val="center"/>
          </w:tcPr>
          <w:p w14:paraId="56A9AF62" w14:textId="77777777" w:rsidR="002D0AE7" w:rsidRDefault="002D0AE7">
            <w:pPr>
              <w:jc w:val="right"/>
              <w:rPr>
                <w:rFonts w:hint="eastAsia"/>
                <w:color w:val="000000" w:themeColor="text1"/>
                <w:sz w:val="21"/>
              </w:rPr>
            </w:pPr>
          </w:p>
        </w:tc>
      </w:tr>
      <w:tr w:rsidR="002D0AE7" w14:paraId="5E70EA82" w14:textId="77777777">
        <w:trPr>
          <w:jc w:val="center"/>
        </w:trPr>
        <w:tc>
          <w:tcPr>
            <w:tcW w:w="1690" w:type="pct"/>
            <w:shd w:val="clear" w:color="auto" w:fill="auto"/>
            <w:vAlign w:val="center"/>
          </w:tcPr>
          <w:p w14:paraId="706E43DA" w14:textId="77777777" w:rsidR="002D0AE7" w:rsidRDefault="00333EBB">
            <w:pPr>
              <w:rPr>
                <w:rFonts w:hint="eastAsia"/>
                <w:sz w:val="21"/>
              </w:rPr>
            </w:pPr>
            <w:r>
              <w:rPr>
                <w:sz w:val="21"/>
              </w:rPr>
              <w:t>按单项计提坏账准备的应收账款</w:t>
            </w:r>
          </w:p>
        </w:tc>
        <w:tc>
          <w:tcPr>
            <w:tcW w:w="635" w:type="pct"/>
            <w:shd w:val="clear" w:color="auto" w:fill="auto"/>
            <w:vAlign w:val="center"/>
          </w:tcPr>
          <w:p w14:paraId="512E040C" w14:textId="77777777" w:rsidR="002D0AE7" w:rsidRDefault="00333EBB">
            <w:pPr>
              <w:jc w:val="right"/>
              <w:rPr>
                <w:rFonts w:ascii="Times New Roman" w:hAnsi="Times New Roman" w:cs="Times New Roman"/>
                <w:sz w:val="21"/>
              </w:rPr>
            </w:pPr>
            <w:r>
              <w:rPr>
                <w:rFonts w:ascii="Times New Roman" w:hAnsi="Times New Roman" w:cs="Times New Roman"/>
                <w:sz w:val="21"/>
              </w:rPr>
              <w:t>7,652,445.78</w:t>
            </w:r>
          </w:p>
        </w:tc>
        <w:tc>
          <w:tcPr>
            <w:tcW w:w="564" w:type="pct"/>
            <w:shd w:val="clear" w:color="auto" w:fill="auto"/>
            <w:vAlign w:val="center"/>
          </w:tcPr>
          <w:p w14:paraId="6D5E11F4"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c>
          <w:tcPr>
            <w:tcW w:w="493" w:type="pct"/>
            <w:shd w:val="clear" w:color="auto" w:fill="auto"/>
            <w:vAlign w:val="center"/>
          </w:tcPr>
          <w:p w14:paraId="4CE3B66D"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c>
          <w:tcPr>
            <w:tcW w:w="493" w:type="pct"/>
            <w:vAlign w:val="center"/>
          </w:tcPr>
          <w:p w14:paraId="56DA45F1"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c>
          <w:tcPr>
            <w:tcW w:w="423" w:type="pct"/>
            <w:vAlign w:val="center"/>
          </w:tcPr>
          <w:p w14:paraId="0EBA204C"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c>
          <w:tcPr>
            <w:tcW w:w="703" w:type="pct"/>
            <w:shd w:val="clear" w:color="auto" w:fill="auto"/>
            <w:vAlign w:val="center"/>
          </w:tcPr>
          <w:p w14:paraId="1575ACBF" w14:textId="77777777" w:rsidR="002D0AE7" w:rsidRDefault="00333EBB">
            <w:pPr>
              <w:jc w:val="right"/>
              <w:rPr>
                <w:rFonts w:ascii="Times New Roman" w:hAnsi="Times New Roman" w:cs="Times New Roman"/>
                <w:sz w:val="21"/>
              </w:rPr>
            </w:pPr>
            <w:r>
              <w:rPr>
                <w:rFonts w:ascii="Times New Roman" w:hAnsi="Times New Roman" w:cs="Times New Roman"/>
                <w:sz w:val="21"/>
              </w:rPr>
              <w:t>7,652,445.78</w:t>
            </w:r>
          </w:p>
        </w:tc>
      </w:tr>
      <w:tr w:rsidR="002D0AE7" w14:paraId="4D4390D0" w14:textId="77777777">
        <w:trPr>
          <w:jc w:val="center"/>
        </w:trPr>
        <w:tc>
          <w:tcPr>
            <w:tcW w:w="1690" w:type="pct"/>
            <w:shd w:val="clear" w:color="auto" w:fill="auto"/>
            <w:vAlign w:val="center"/>
          </w:tcPr>
          <w:p w14:paraId="2CE1763D" w14:textId="77777777" w:rsidR="002D0AE7" w:rsidRDefault="00333EBB">
            <w:pPr>
              <w:rPr>
                <w:rFonts w:hint="eastAsia"/>
                <w:sz w:val="21"/>
              </w:rPr>
            </w:pPr>
            <w:r>
              <w:rPr>
                <w:sz w:val="21"/>
              </w:rPr>
              <w:lastRenderedPageBreak/>
              <w:t>按组合计提坏账准备的应收账款</w:t>
            </w:r>
          </w:p>
        </w:tc>
        <w:tc>
          <w:tcPr>
            <w:tcW w:w="635" w:type="pct"/>
            <w:shd w:val="clear" w:color="auto" w:fill="auto"/>
            <w:vAlign w:val="center"/>
          </w:tcPr>
          <w:p w14:paraId="6081C30C"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c>
          <w:tcPr>
            <w:tcW w:w="564" w:type="pct"/>
            <w:shd w:val="clear" w:color="auto" w:fill="auto"/>
            <w:vAlign w:val="center"/>
          </w:tcPr>
          <w:p w14:paraId="6D2488BC" w14:textId="77777777" w:rsidR="002D0AE7" w:rsidRDefault="00333EBB">
            <w:pPr>
              <w:jc w:val="right"/>
              <w:rPr>
                <w:rFonts w:ascii="Times New Roman" w:hAnsi="Times New Roman" w:cs="Times New Roman"/>
                <w:sz w:val="21"/>
              </w:rPr>
            </w:pPr>
            <w:r>
              <w:rPr>
                <w:rFonts w:ascii="Times New Roman" w:hAnsi="Times New Roman" w:cs="Times New Roman"/>
                <w:sz w:val="21"/>
              </w:rPr>
              <w:t>73,134.17</w:t>
            </w:r>
          </w:p>
        </w:tc>
        <w:tc>
          <w:tcPr>
            <w:tcW w:w="493" w:type="pct"/>
            <w:shd w:val="clear" w:color="auto" w:fill="auto"/>
            <w:vAlign w:val="center"/>
          </w:tcPr>
          <w:p w14:paraId="2D9E8B49"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c>
          <w:tcPr>
            <w:tcW w:w="493" w:type="pct"/>
            <w:vAlign w:val="center"/>
          </w:tcPr>
          <w:p w14:paraId="36523414"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c>
          <w:tcPr>
            <w:tcW w:w="423" w:type="pct"/>
            <w:vAlign w:val="center"/>
          </w:tcPr>
          <w:p w14:paraId="0AA4C4D3"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c>
          <w:tcPr>
            <w:tcW w:w="703" w:type="pct"/>
            <w:shd w:val="clear" w:color="auto" w:fill="auto"/>
            <w:vAlign w:val="center"/>
          </w:tcPr>
          <w:p w14:paraId="6E1F9928" w14:textId="77777777" w:rsidR="002D0AE7" w:rsidRDefault="00333EBB">
            <w:pPr>
              <w:jc w:val="right"/>
              <w:rPr>
                <w:rFonts w:ascii="Times New Roman" w:hAnsi="Times New Roman" w:cs="Times New Roman"/>
                <w:sz w:val="21"/>
              </w:rPr>
            </w:pPr>
            <w:r>
              <w:rPr>
                <w:rFonts w:ascii="Times New Roman" w:hAnsi="Times New Roman" w:cs="Times New Roman"/>
                <w:sz w:val="21"/>
              </w:rPr>
              <w:t>73,134.17</w:t>
            </w:r>
          </w:p>
        </w:tc>
      </w:tr>
      <w:tr w:rsidR="002D0AE7" w14:paraId="7B0722E9" w14:textId="77777777">
        <w:trPr>
          <w:jc w:val="center"/>
        </w:trPr>
        <w:tc>
          <w:tcPr>
            <w:tcW w:w="1690" w:type="pct"/>
            <w:shd w:val="clear" w:color="auto" w:fill="auto"/>
            <w:vAlign w:val="center"/>
          </w:tcPr>
          <w:p w14:paraId="34174A03" w14:textId="77777777" w:rsidR="002D0AE7" w:rsidRDefault="00333EBB">
            <w:pPr>
              <w:jc w:val="center"/>
              <w:rPr>
                <w:rFonts w:hint="eastAsia"/>
                <w:color w:val="000000" w:themeColor="text1"/>
                <w:sz w:val="21"/>
              </w:rPr>
            </w:pPr>
            <w:r>
              <w:rPr>
                <w:rFonts w:hint="eastAsia"/>
                <w:color w:val="000000" w:themeColor="text1"/>
                <w:sz w:val="21"/>
              </w:rPr>
              <w:t>合计</w:t>
            </w:r>
          </w:p>
        </w:tc>
        <w:tc>
          <w:tcPr>
            <w:tcW w:w="635" w:type="pct"/>
            <w:shd w:val="clear" w:color="auto" w:fill="auto"/>
            <w:vAlign w:val="center"/>
          </w:tcPr>
          <w:p w14:paraId="7C7F35BE" w14:textId="77777777" w:rsidR="002D0AE7" w:rsidRDefault="00333EBB">
            <w:pPr>
              <w:jc w:val="right"/>
              <w:rPr>
                <w:rFonts w:ascii="Times New Roman" w:hAnsi="Times New Roman" w:cs="Times New Roman"/>
                <w:sz w:val="21"/>
              </w:rPr>
            </w:pPr>
            <w:r>
              <w:rPr>
                <w:rFonts w:ascii="Times New Roman" w:hAnsi="Times New Roman" w:cs="Times New Roman"/>
                <w:sz w:val="21"/>
              </w:rPr>
              <w:t>7,652,445.78</w:t>
            </w:r>
          </w:p>
        </w:tc>
        <w:tc>
          <w:tcPr>
            <w:tcW w:w="564" w:type="pct"/>
            <w:shd w:val="clear" w:color="auto" w:fill="auto"/>
            <w:vAlign w:val="center"/>
          </w:tcPr>
          <w:p w14:paraId="373DC65D" w14:textId="77777777" w:rsidR="002D0AE7" w:rsidRDefault="00333EBB">
            <w:pPr>
              <w:jc w:val="right"/>
              <w:rPr>
                <w:rFonts w:ascii="Times New Roman" w:hAnsi="Times New Roman" w:cs="Times New Roman"/>
                <w:sz w:val="21"/>
              </w:rPr>
            </w:pPr>
            <w:r>
              <w:rPr>
                <w:rFonts w:ascii="Times New Roman" w:hAnsi="Times New Roman" w:cs="Times New Roman"/>
                <w:sz w:val="21"/>
              </w:rPr>
              <w:t>73,134.17</w:t>
            </w:r>
          </w:p>
        </w:tc>
        <w:tc>
          <w:tcPr>
            <w:tcW w:w="493" w:type="pct"/>
            <w:shd w:val="clear" w:color="auto" w:fill="auto"/>
            <w:vAlign w:val="center"/>
          </w:tcPr>
          <w:p w14:paraId="57EFBFDD"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c>
          <w:tcPr>
            <w:tcW w:w="493" w:type="pct"/>
            <w:vAlign w:val="center"/>
          </w:tcPr>
          <w:p w14:paraId="23A07893"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c>
          <w:tcPr>
            <w:tcW w:w="423" w:type="pct"/>
            <w:vAlign w:val="center"/>
          </w:tcPr>
          <w:p w14:paraId="5E3E5978"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c>
          <w:tcPr>
            <w:tcW w:w="703" w:type="pct"/>
            <w:shd w:val="clear" w:color="auto" w:fill="auto"/>
            <w:vAlign w:val="center"/>
          </w:tcPr>
          <w:p w14:paraId="18FB4808" w14:textId="77777777" w:rsidR="002D0AE7" w:rsidRDefault="00333EBB">
            <w:pPr>
              <w:jc w:val="right"/>
              <w:rPr>
                <w:rFonts w:ascii="Times New Roman" w:hAnsi="Times New Roman" w:cs="Times New Roman"/>
                <w:sz w:val="21"/>
              </w:rPr>
            </w:pPr>
            <w:r>
              <w:rPr>
                <w:rFonts w:ascii="Times New Roman" w:hAnsi="Times New Roman" w:cs="Times New Roman"/>
                <w:sz w:val="21"/>
              </w:rPr>
              <w:t>7,725,579.95</w:t>
            </w:r>
          </w:p>
        </w:tc>
      </w:tr>
    </w:tbl>
    <w:p w14:paraId="5BD333D6" w14:textId="77777777" w:rsidR="002D0AE7" w:rsidRDefault="00333EBB">
      <w:pPr>
        <w:rPr>
          <w:rFonts w:hint="eastAsia"/>
          <w:color w:val="000000" w:themeColor="text1"/>
        </w:rPr>
      </w:pPr>
      <w:r>
        <w:rPr>
          <w:rFonts w:hint="eastAsia"/>
          <w:color w:val="000000" w:themeColor="text1"/>
        </w:rPr>
        <w:t>其他说明：</w:t>
      </w:r>
      <w:sdt>
        <w:sdtPr>
          <w:rPr>
            <w:color w:val="000000" w:themeColor="text1"/>
          </w:rPr>
          <w:alias w:val="应收账款坏账准备情况的说明"/>
          <w:tag w:val="_GBC_112ac8bd16914f4682cf1367c6702f93"/>
          <w:id w:val="1548574130"/>
          <w:placeholder>
            <w:docPart w:val="GBC22222222222222222222222222222"/>
          </w:placeholder>
        </w:sdtPr>
        <w:sdtEndPr/>
        <w:sdtContent>
          <w:r>
            <w:rPr>
              <w:rFonts w:hint="eastAsia"/>
              <w:color w:val="000000" w:themeColor="text1"/>
            </w:rPr>
            <w:t>无</w:t>
          </w:r>
        </w:sdtContent>
      </w:sdt>
    </w:p>
    <w:p w14:paraId="507887DC" w14:textId="77777777" w:rsidR="002D0AE7" w:rsidRDefault="00333EBB">
      <w:pPr>
        <w:pStyle w:val="4"/>
        <w:numPr>
          <w:ilvl w:val="3"/>
          <w:numId w:val="44"/>
        </w:numPr>
        <w:ind w:left="426" w:hanging="426"/>
        <w:rPr>
          <w:color w:val="000000" w:themeColor="text1"/>
        </w:rPr>
      </w:pPr>
      <w:bookmarkStart w:id="154" w:name="_Hlk167885578"/>
      <w:bookmarkEnd w:id="153"/>
      <w:r>
        <w:rPr>
          <w:rFonts w:hint="eastAsia"/>
          <w:color w:val="000000" w:themeColor="text1"/>
        </w:rPr>
        <w:t>按欠款方归集的期末余额前五名的应收账款和合同资产情况</w:t>
      </w:r>
    </w:p>
    <w:sdt>
      <w:sdtPr>
        <w:rPr>
          <w:rFonts w:hint="eastAsia"/>
          <w:color w:val="000000" w:themeColor="text1"/>
        </w:rPr>
        <w:alias w:val="是否适用：按欠款方归集的期末余额前五名的应收账款情况[双击切换]"/>
        <w:tag w:val="_GBC_23de179fe67e4dae836713363b228dc1"/>
        <w:id w:val="1781984093"/>
        <w:placeholder>
          <w:docPart w:val="GBC22222222222222222222222222222"/>
        </w:placeholder>
      </w:sdtPr>
      <w:sdtEndPr/>
      <w:sdtContent>
        <w:p w14:paraId="3B00EB13" w14:textId="77777777" w:rsidR="002D0AE7" w:rsidRDefault="00333EBB">
          <w:pPr>
            <w:snapToGrid w:val="0"/>
            <w:spacing w:line="240" w:lineRule="atLeast"/>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2D46FDD0" w14:textId="77777777" w:rsidR="002D0AE7" w:rsidRDefault="00333EBB">
      <w:pPr>
        <w:snapToGrid w:val="0"/>
        <w:spacing w:line="240" w:lineRule="atLeast"/>
        <w:jc w:val="right"/>
        <w:rPr>
          <w:rFonts w:hint="eastAsia"/>
          <w:color w:val="000000" w:themeColor="text1"/>
        </w:rPr>
      </w:pPr>
      <w:r>
        <w:rPr>
          <w:rFonts w:hint="eastAsia"/>
          <w:color w:val="000000" w:themeColor="text1"/>
        </w:rPr>
        <w:t>单位：</w:t>
      </w:r>
      <w:sdt>
        <w:sdtPr>
          <w:rPr>
            <w:color w:val="000000" w:themeColor="text1"/>
          </w:rPr>
          <w:alias w:val="单位：财务附注：应收账款前五名欠款情况"/>
          <w:tag w:val="_GBC_7b83c21a9ac04b3f9556af0eefbf91af"/>
          <w:id w:val="-944538021"/>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应收账款前五名欠款情况"/>
          <w:tag w:val="_GBC_aeac0acd27084bbe8582a2bdb9097b96"/>
          <w:id w:val="-104389708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613"/>
        <w:gridCol w:w="1417"/>
        <w:gridCol w:w="1542"/>
        <w:gridCol w:w="1417"/>
        <w:gridCol w:w="1417"/>
      </w:tblGrid>
      <w:tr w:rsidR="002D0AE7" w14:paraId="4DF49672" w14:textId="77777777">
        <w:trPr>
          <w:cantSplit/>
        </w:trPr>
        <w:sdt>
          <w:sdtPr>
            <w:rPr>
              <w:rFonts w:hint="eastAsia"/>
              <w:color w:val="000000" w:themeColor="text1"/>
              <w:sz w:val="21"/>
            </w:rPr>
            <w:tag w:val="_PLD_f9c6798381a549c8be592d88dde64345"/>
            <w:id w:val="539709500"/>
          </w:sdtPr>
          <w:sdtEndPr/>
          <w:sdtContent>
            <w:tc>
              <w:tcPr>
                <w:tcW w:w="803" w:type="pct"/>
                <w:vAlign w:val="center"/>
              </w:tcPr>
              <w:p w14:paraId="1783DA19" w14:textId="77777777" w:rsidR="002D0AE7" w:rsidRDefault="00333EBB">
                <w:pPr>
                  <w:ind w:right="105"/>
                  <w:jc w:val="center"/>
                  <w:rPr>
                    <w:rFonts w:hint="eastAsia"/>
                    <w:color w:val="000000" w:themeColor="text1"/>
                    <w:sz w:val="21"/>
                  </w:rPr>
                </w:pPr>
                <w:r>
                  <w:rPr>
                    <w:rFonts w:hint="eastAsia"/>
                    <w:color w:val="000000" w:themeColor="text1"/>
                    <w:sz w:val="21"/>
                  </w:rPr>
                  <w:t>单位名称</w:t>
                </w:r>
              </w:p>
            </w:tc>
          </w:sdtContent>
        </w:sdt>
        <w:sdt>
          <w:sdtPr>
            <w:rPr>
              <w:rFonts w:hint="eastAsia"/>
              <w:color w:val="000000" w:themeColor="text1"/>
              <w:sz w:val="21"/>
            </w:rPr>
            <w:tag w:val="_PLD_cb3675ff5adc4fc5a9134c43edda944a"/>
            <w:id w:val="1805111955"/>
          </w:sdtPr>
          <w:sdtEndPr/>
          <w:sdtContent>
            <w:tc>
              <w:tcPr>
                <w:tcW w:w="914" w:type="pct"/>
                <w:vAlign w:val="center"/>
              </w:tcPr>
              <w:p w14:paraId="3852BA23" w14:textId="77777777" w:rsidR="002D0AE7" w:rsidRDefault="00333EBB">
                <w:pPr>
                  <w:ind w:right="73"/>
                  <w:jc w:val="center"/>
                  <w:rPr>
                    <w:rFonts w:hint="eastAsia"/>
                    <w:color w:val="000000" w:themeColor="text1"/>
                    <w:sz w:val="21"/>
                  </w:rPr>
                </w:pPr>
                <w:r>
                  <w:rPr>
                    <w:rFonts w:hint="eastAsia"/>
                    <w:color w:val="000000" w:themeColor="text1"/>
                    <w:sz w:val="21"/>
                  </w:rPr>
                  <w:t>应收账款期末余额</w:t>
                </w:r>
              </w:p>
            </w:tc>
          </w:sdtContent>
        </w:sdt>
        <w:sdt>
          <w:sdtPr>
            <w:rPr>
              <w:rFonts w:hint="eastAsia"/>
              <w:color w:val="000000" w:themeColor="text1"/>
              <w:sz w:val="21"/>
            </w:rPr>
            <w:tag w:val="_PLD_ef22e7c0e8d749caad8859816f6d3d6d"/>
            <w:id w:val="-992099140"/>
          </w:sdtPr>
          <w:sdtEndPr/>
          <w:sdtContent>
            <w:tc>
              <w:tcPr>
                <w:tcW w:w="803" w:type="pct"/>
                <w:vAlign w:val="center"/>
              </w:tcPr>
              <w:p w14:paraId="58BBAE60" w14:textId="77777777" w:rsidR="002D0AE7" w:rsidRDefault="00333EBB">
                <w:pPr>
                  <w:jc w:val="center"/>
                  <w:rPr>
                    <w:rFonts w:hint="eastAsia"/>
                    <w:color w:val="000000" w:themeColor="text1"/>
                    <w:sz w:val="21"/>
                  </w:rPr>
                </w:pPr>
                <w:r>
                  <w:rPr>
                    <w:rFonts w:hint="eastAsia"/>
                    <w:color w:val="000000" w:themeColor="text1"/>
                    <w:sz w:val="21"/>
                  </w:rPr>
                  <w:t>合同资产期末余额</w:t>
                </w:r>
              </w:p>
            </w:tc>
          </w:sdtContent>
        </w:sdt>
        <w:sdt>
          <w:sdtPr>
            <w:rPr>
              <w:rFonts w:hint="eastAsia"/>
              <w:color w:val="000000" w:themeColor="text1"/>
              <w:sz w:val="21"/>
            </w:rPr>
            <w:tag w:val="_PLD_d4247a30e2224be4b066f9eb3e8b3980"/>
            <w:id w:val="-757370261"/>
          </w:sdtPr>
          <w:sdtEndPr/>
          <w:sdtContent>
            <w:tc>
              <w:tcPr>
                <w:tcW w:w="874" w:type="pct"/>
                <w:vAlign w:val="center"/>
              </w:tcPr>
              <w:p w14:paraId="331D74AA" w14:textId="77777777" w:rsidR="002D0AE7" w:rsidRDefault="00333EBB">
                <w:pPr>
                  <w:jc w:val="center"/>
                  <w:rPr>
                    <w:rFonts w:hint="eastAsia"/>
                    <w:color w:val="000000" w:themeColor="text1"/>
                    <w:sz w:val="21"/>
                  </w:rPr>
                </w:pPr>
                <w:r>
                  <w:rPr>
                    <w:rFonts w:hint="eastAsia"/>
                    <w:color w:val="000000" w:themeColor="text1"/>
                    <w:sz w:val="21"/>
                  </w:rPr>
                  <w:t>应收账款和合同资产期末余额</w:t>
                </w:r>
              </w:p>
            </w:tc>
          </w:sdtContent>
        </w:sdt>
        <w:sdt>
          <w:sdtPr>
            <w:rPr>
              <w:rFonts w:hint="eastAsia"/>
              <w:color w:val="000000" w:themeColor="text1"/>
              <w:sz w:val="21"/>
            </w:rPr>
            <w:tag w:val="_PLD_973a396aab204cf2abdf2f7f405b9071"/>
            <w:id w:val="-802152842"/>
          </w:sdtPr>
          <w:sdtEndPr/>
          <w:sdtContent>
            <w:tc>
              <w:tcPr>
                <w:tcW w:w="803" w:type="pct"/>
                <w:vAlign w:val="center"/>
              </w:tcPr>
              <w:p w14:paraId="0C1164CB" w14:textId="77777777" w:rsidR="002D0AE7" w:rsidRDefault="00333EBB">
                <w:pPr>
                  <w:jc w:val="center"/>
                  <w:rPr>
                    <w:rFonts w:hint="eastAsia"/>
                    <w:color w:val="000000" w:themeColor="text1"/>
                    <w:sz w:val="21"/>
                  </w:rPr>
                </w:pPr>
                <w:r>
                  <w:rPr>
                    <w:rFonts w:hint="eastAsia"/>
                    <w:color w:val="000000" w:themeColor="text1"/>
                    <w:sz w:val="21"/>
                  </w:rPr>
                  <w:t>占应收账款和合同资产期末余额合计数的比例（</w:t>
                </w:r>
                <w:r>
                  <w:rPr>
                    <w:rFonts w:hint="eastAsia"/>
                    <w:color w:val="000000" w:themeColor="text1"/>
                    <w:sz w:val="21"/>
                  </w:rPr>
                  <w:t>%</w:t>
                </w:r>
                <w:r>
                  <w:rPr>
                    <w:rFonts w:hint="eastAsia"/>
                    <w:color w:val="000000" w:themeColor="text1"/>
                    <w:sz w:val="21"/>
                  </w:rPr>
                  <w:t>）</w:t>
                </w:r>
              </w:p>
            </w:tc>
          </w:sdtContent>
        </w:sdt>
        <w:sdt>
          <w:sdtPr>
            <w:rPr>
              <w:rFonts w:hint="eastAsia"/>
              <w:color w:val="000000" w:themeColor="text1"/>
              <w:sz w:val="21"/>
            </w:rPr>
            <w:tag w:val="_PLD_839fe6b484114addbcaeef57270c8a21"/>
            <w:id w:val="-756130705"/>
          </w:sdtPr>
          <w:sdtEndPr/>
          <w:sdtContent>
            <w:tc>
              <w:tcPr>
                <w:tcW w:w="803" w:type="pct"/>
                <w:vAlign w:val="center"/>
              </w:tcPr>
              <w:p w14:paraId="12547AB8" w14:textId="77777777" w:rsidR="002D0AE7" w:rsidRDefault="00333EBB">
                <w:pPr>
                  <w:jc w:val="center"/>
                  <w:rPr>
                    <w:rFonts w:hint="eastAsia"/>
                    <w:color w:val="000000" w:themeColor="text1"/>
                    <w:sz w:val="21"/>
                  </w:rPr>
                </w:pPr>
                <w:r>
                  <w:rPr>
                    <w:rFonts w:hint="eastAsia"/>
                    <w:color w:val="000000" w:themeColor="text1"/>
                    <w:sz w:val="21"/>
                  </w:rPr>
                  <w:t>坏账准备期末余额</w:t>
                </w:r>
              </w:p>
            </w:tc>
          </w:sdtContent>
        </w:sdt>
      </w:tr>
      <w:tr w:rsidR="002D0AE7" w14:paraId="307CF700" w14:textId="77777777">
        <w:trPr>
          <w:cantSplit/>
        </w:trPr>
        <w:tc>
          <w:tcPr>
            <w:tcW w:w="803" w:type="pct"/>
          </w:tcPr>
          <w:p w14:paraId="3B3C76B2" w14:textId="77777777" w:rsidR="002D0AE7" w:rsidRDefault="00333EBB">
            <w:pPr>
              <w:ind w:right="105"/>
              <w:jc w:val="center"/>
              <w:rPr>
                <w:rFonts w:ascii="Times New Roman" w:hAnsi="Times New Roman" w:cs="Times New Roman"/>
                <w:sz w:val="21"/>
              </w:rPr>
            </w:pPr>
            <w:r>
              <w:rPr>
                <w:rFonts w:ascii="Times New Roman" w:hAnsi="Times New Roman" w:cs="Times New Roman"/>
                <w:sz w:val="21"/>
              </w:rPr>
              <w:t>1</w:t>
            </w:r>
          </w:p>
        </w:tc>
        <w:tc>
          <w:tcPr>
            <w:tcW w:w="914" w:type="pct"/>
          </w:tcPr>
          <w:p w14:paraId="19A257FE" w14:textId="77777777" w:rsidR="002D0AE7" w:rsidRDefault="00333EBB">
            <w:pPr>
              <w:ind w:right="73"/>
              <w:jc w:val="right"/>
              <w:rPr>
                <w:rFonts w:ascii="Times New Roman" w:hAnsi="Times New Roman" w:cs="Times New Roman"/>
                <w:sz w:val="21"/>
              </w:rPr>
            </w:pPr>
            <w:r>
              <w:rPr>
                <w:rFonts w:ascii="Times New Roman" w:hAnsi="Times New Roman" w:cs="Times New Roman"/>
                <w:sz w:val="21"/>
              </w:rPr>
              <w:t>12,454,653.14</w:t>
            </w:r>
          </w:p>
        </w:tc>
        <w:tc>
          <w:tcPr>
            <w:tcW w:w="803" w:type="pct"/>
          </w:tcPr>
          <w:p w14:paraId="04167023"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c>
          <w:tcPr>
            <w:tcW w:w="874" w:type="pct"/>
          </w:tcPr>
          <w:p w14:paraId="6BD89F6A" w14:textId="77777777" w:rsidR="002D0AE7" w:rsidRDefault="00333EBB">
            <w:pPr>
              <w:jc w:val="right"/>
              <w:rPr>
                <w:rFonts w:ascii="Times New Roman" w:hAnsi="Times New Roman" w:cs="Times New Roman"/>
                <w:sz w:val="21"/>
              </w:rPr>
            </w:pPr>
            <w:r>
              <w:rPr>
                <w:rFonts w:ascii="Times New Roman" w:hAnsi="Times New Roman" w:cs="Times New Roman"/>
                <w:sz w:val="21"/>
              </w:rPr>
              <w:t>12,454,653.14</w:t>
            </w:r>
          </w:p>
        </w:tc>
        <w:tc>
          <w:tcPr>
            <w:tcW w:w="803" w:type="pct"/>
          </w:tcPr>
          <w:p w14:paraId="7068A841" w14:textId="77777777" w:rsidR="002D0AE7" w:rsidRDefault="00333EBB">
            <w:pPr>
              <w:jc w:val="right"/>
              <w:rPr>
                <w:rFonts w:ascii="Times New Roman" w:hAnsi="Times New Roman" w:cs="Times New Roman"/>
                <w:sz w:val="21"/>
              </w:rPr>
            </w:pPr>
            <w:r>
              <w:rPr>
                <w:rFonts w:ascii="Times New Roman" w:hAnsi="Times New Roman" w:cs="Times New Roman"/>
                <w:sz w:val="21"/>
              </w:rPr>
              <w:t>2.77</w:t>
            </w:r>
          </w:p>
        </w:tc>
        <w:tc>
          <w:tcPr>
            <w:tcW w:w="803" w:type="pct"/>
          </w:tcPr>
          <w:p w14:paraId="7A0BC477"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r>
      <w:tr w:rsidR="002D0AE7" w14:paraId="45F1D987" w14:textId="77777777">
        <w:trPr>
          <w:cantSplit/>
        </w:trPr>
        <w:tc>
          <w:tcPr>
            <w:tcW w:w="803" w:type="pct"/>
          </w:tcPr>
          <w:p w14:paraId="451C98E3" w14:textId="77777777" w:rsidR="002D0AE7" w:rsidRDefault="00333EBB">
            <w:pPr>
              <w:ind w:right="105"/>
              <w:jc w:val="center"/>
              <w:rPr>
                <w:rFonts w:ascii="Times New Roman" w:hAnsi="Times New Roman" w:cs="Times New Roman"/>
                <w:sz w:val="21"/>
              </w:rPr>
            </w:pPr>
            <w:r>
              <w:rPr>
                <w:rFonts w:ascii="Times New Roman" w:hAnsi="Times New Roman" w:cs="Times New Roman"/>
                <w:sz w:val="21"/>
              </w:rPr>
              <w:t>2</w:t>
            </w:r>
          </w:p>
        </w:tc>
        <w:tc>
          <w:tcPr>
            <w:tcW w:w="914" w:type="pct"/>
          </w:tcPr>
          <w:p w14:paraId="752206CA" w14:textId="77777777" w:rsidR="002D0AE7" w:rsidRDefault="00333EBB">
            <w:pPr>
              <w:ind w:right="73"/>
              <w:jc w:val="right"/>
              <w:rPr>
                <w:rFonts w:ascii="Times New Roman" w:hAnsi="Times New Roman" w:cs="Times New Roman"/>
                <w:sz w:val="21"/>
              </w:rPr>
            </w:pPr>
            <w:r>
              <w:rPr>
                <w:rFonts w:ascii="Times New Roman" w:hAnsi="Times New Roman" w:cs="Times New Roman"/>
                <w:sz w:val="21"/>
              </w:rPr>
              <w:t>12,406,696.98</w:t>
            </w:r>
          </w:p>
        </w:tc>
        <w:tc>
          <w:tcPr>
            <w:tcW w:w="803" w:type="pct"/>
          </w:tcPr>
          <w:p w14:paraId="356B7AC7"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c>
          <w:tcPr>
            <w:tcW w:w="874" w:type="pct"/>
          </w:tcPr>
          <w:p w14:paraId="775206D2" w14:textId="77777777" w:rsidR="002D0AE7" w:rsidRDefault="00333EBB">
            <w:pPr>
              <w:jc w:val="right"/>
              <w:rPr>
                <w:rFonts w:ascii="Times New Roman" w:hAnsi="Times New Roman" w:cs="Times New Roman"/>
                <w:sz w:val="21"/>
              </w:rPr>
            </w:pPr>
            <w:r>
              <w:rPr>
                <w:rFonts w:ascii="Times New Roman" w:hAnsi="Times New Roman" w:cs="Times New Roman"/>
                <w:sz w:val="21"/>
              </w:rPr>
              <w:t>12,406,696.98</w:t>
            </w:r>
          </w:p>
        </w:tc>
        <w:tc>
          <w:tcPr>
            <w:tcW w:w="803" w:type="pct"/>
          </w:tcPr>
          <w:p w14:paraId="20DCA106" w14:textId="77777777" w:rsidR="002D0AE7" w:rsidRDefault="00333EBB">
            <w:pPr>
              <w:jc w:val="right"/>
              <w:rPr>
                <w:rFonts w:ascii="Times New Roman" w:hAnsi="Times New Roman" w:cs="Times New Roman"/>
                <w:sz w:val="21"/>
              </w:rPr>
            </w:pPr>
            <w:r>
              <w:rPr>
                <w:rFonts w:ascii="Times New Roman" w:hAnsi="Times New Roman" w:cs="Times New Roman"/>
                <w:sz w:val="21"/>
              </w:rPr>
              <w:t>2.76</w:t>
            </w:r>
          </w:p>
        </w:tc>
        <w:tc>
          <w:tcPr>
            <w:tcW w:w="803" w:type="pct"/>
          </w:tcPr>
          <w:p w14:paraId="4B1A2B09"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r>
      <w:tr w:rsidR="002D0AE7" w14:paraId="47ACED17" w14:textId="77777777">
        <w:trPr>
          <w:cantSplit/>
        </w:trPr>
        <w:tc>
          <w:tcPr>
            <w:tcW w:w="803" w:type="pct"/>
          </w:tcPr>
          <w:p w14:paraId="6A32E10A" w14:textId="77777777" w:rsidR="002D0AE7" w:rsidRDefault="00333EBB">
            <w:pPr>
              <w:ind w:right="105"/>
              <w:jc w:val="center"/>
              <w:rPr>
                <w:rFonts w:ascii="Times New Roman" w:hAnsi="Times New Roman" w:cs="Times New Roman"/>
                <w:sz w:val="21"/>
              </w:rPr>
            </w:pPr>
            <w:r>
              <w:rPr>
                <w:rFonts w:ascii="Times New Roman" w:hAnsi="Times New Roman" w:cs="Times New Roman"/>
                <w:sz w:val="21"/>
              </w:rPr>
              <w:t>3</w:t>
            </w:r>
          </w:p>
        </w:tc>
        <w:tc>
          <w:tcPr>
            <w:tcW w:w="914" w:type="pct"/>
          </w:tcPr>
          <w:p w14:paraId="3CF02409" w14:textId="77777777" w:rsidR="002D0AE7" w:rsidRDefault="00333EBB">
            <w:pPr>
              <w:ind w:right="73"/>
              <w:jc w:val="right"/>
              <w:rPr>
                <w:rFonts w:ascii="Times New Roman" w:hAnsi="Times New Roman" w:cs="Times New Roman"/>
                <w:sz w:val="21"/>
              </w:rPr>
            </w:pPr>
            <w:r>
              <w:rPr>
                <w:rFonts w:ascii="Times New Roman" w:hAnsi="Times New Roman" w:cs="Times New Roman"/>
                <w:sz w:val="21"/>
              </w:rPr>
              <w:t>11,635,585.33</w:t>
            </w:r>
          </w:p>
        </w:tc>
        <w:tc>
          <w:tcPr>
            <w:tcW w:w="803" w:type="pct"/>
          </w:tcPr>
          <w:p w14:paraId="63A33A38"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c>
          <w:tcPr>
            <w:tcW w:w="874" w:type="pct"/>
          </w:tcPr>
          <w:p w14:paraId="07FD6517" w14:textId="77777777" w:rsidR="002D0AE7" w:rsidRDefault="00333EBB">
            <w:pPr>
              <w:jc w:val="right"/>
              <w:rPr>
                <w:rFonts w:ascii="Times New Roman" w:hAnsi="Times New Roman" w:cs="Times New Roman"/>
                <w:sz w:val="21"/>
              </w:rPr>
            </w:pPr>
            <w:r>
              <w:rPr>
                <w:rFonts w:ascii="Times New Roman" w:hAnsi="Times New Roman" w:cs="Times New Roman"/>
                <w:sz w:val="21"/>
              </w:rPr>
              <w:t>11,635,585.33</w:t>
            </w:r>
          </w:p>
        </w:tc>
        <w:tc>
          <w:tcPr>
            <w:tcW w:w="803" w:type="pct"/>
          </w:tcPr>
          <w:p w14:paraId="1F1BE8AB" w14:textId="77777777" w:rsidR="002D0AE7" w:rsidRDefault="00333EBB">
            <w:pPr>
              <w:jc w:val="right"/>
              <w:rPr>
                <w:rFonts w:ascii="Times New Roman" w:hAnsi="Times New Roman" w:cs="Times New Roman"/>
                <w:sz w:val="21"/>
              </w:rPr>
            </w:pPr>
            <w:r>
              <w:rPr>
                <w:rFonts w:ascii="Times New Roman" w:hAnsi="Times New Roman" w:cs="Times New Roman"/>
                <w:sz w:val="21"/>
              </w:rPr>
              <w:t>2.59</w:t>
            </w:r>
          </w:p>
        </w:tc>
        <w:tc>
          <w:tcPr>
            <w:tcW w:w="803" w:type="pct"/>
          </w:tcPr>
          <w:p w14:paraId="0CB99C46"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r>
      <w:tr w:rsidR="002D0AE7" w14:paraId="0483CBD5" w14:textId="77777777">
        <w:trPr>
          <w:cantSplit/>
        </w:trPr>
        <w:tc>
          <w:tcPr>
            <w:tcW w:w="803" w:type="pct"/>
          </w:tcPr>
          <w:p w14:paraId="50106605" w14:textId="77777777" w:rsidR="002D0AE7" w:rsidRDefault="00333EBB">
            <w:pPr>
              <w:ind w:right="105"/>
              <w:jc w:val="center"/>
              <w:rPr>
                <w:rFonts w:ascii="Times New Roman" w:hAnsi="Times New Roman" w:cs="Times New Roman"/>
                <w:sz w:val="21"/>
              </w:rPr>
            </w:pPr>
            <w:r>
              <w:rPr>
                <w:rFonts w:ascii="Times New Roman" w:hAnsi="Times New Roman" w:cs="Times New Roman"/>
                <w:sz w:val="21"/>
              </w:rPr>
              <w:t>4</w:t>
            </w:r>
          </w:p>
        </w:tc>
        <w:tc>
          <w:tcPr>
            <w:tcW w:w="914" w:type="pct"/>
          </w:tcPr>
          <w:p w14:paraId="20269F6A" w14:textId="77777777" w:rsidR="002D0AE7" w:rsidRDefault="00333EBB">
            <w:pPr>
              <w:ind w:right="73"/>
              <w:jc w:val="right"/>
              <w:rPr>
                <w:rFonts w:ascii="Times New Roman" w:hAnsi="Times New Roman" w:cs="Times New Roman"/>
                <w:sz w:val="21"/>
              </w:rPr>
            </w:pPr>
            <w:r>
              <w:rPr>
                <w:rFonts w:ascii="Times New Roman" w:hAnsi="Times New Roman" w:cs="Times New Roman"/>
                <w:sz w:val="21"/>
              </w:rPr>
              <w:t>10,290,639.66</w:t>
            </w:r>
          </w:p>
        </w:tc>
        <w:tc>
          <w:tcPr>
            <w:tcW w:w="803" w:type="pct"/>
          </w:tcPr>
          <w:p w14:paraId="04BE77EF"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c>
          <w:tcPr>
            <w:tcW w:w="874" w:type="pct"/>
          </w:tcPr>
          <w:p w14:paraId="1A0BB7CF" w14:textId="77777777" w:rsidR="002D0AE7" w:rsidRDefault="00333EBB">
            <w:pPr>
              <w:jc w:val="right"/>
              <w:rPr>
                <w:rFonts w:ascii="Times New Roman" w:hAnsi="Times New Roman" w:cs="Times New Roman"/>
                <w:sz w:val="21"/>
              </w:rPr>
            </w:pPr>
            <w:r>
              <w:rPr>
                <w:rFonts w:ascii="Times New Roman" w:hAnsi="Times New Roman" w:cs="Times New Roman"/>
                <w:sz w:val="21"/>
              </w:rPr>
              <w:t>10,290,639.66</w:t>
            </w:r>
          </w:p>
        </w:tc>
        <w:tc>
          <w:tcPr>
            <w:tcW w:w="803" w:type="pct"/>
          </w:tcPr>
          <w:p w14:paraId="4E974B94" w14:textId="77777777" w:rsidR="002D0AE7" w:rsidRDefault="00333EBB">
            <w:pPr>
              <w:jc w:val="right"/>
              <w:rPr>
                <w:rFonts w:ascii="Times New Roman" w:hAnsi="Times New Roman" w:cs="Times New Roman"/>
                <w:sz w:val="21"/>
              </w:rPr>
            </w:pPr>
            <w:r>
              <w:rPr>
                <w:rFonts w:ascii="Times New Roman" w:hAnsi="Times New Roman" w:cs="Times New Roman"/>
                <w:sz w:val="21"/>
              </w:rPr>
              <w:t>2.29</w:t>
            </w:r>
          </w:p>
        </w:tc>
        <w:tc>
          <w:tcPr>
            <w:tcW w:w="803" w:type="pct"/>
          </w:tcPr>
          <w:p w14:paraId="1D3B3C44"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r>
      <w:tr w:rsidR="002D0AE7" w14:paraId="02B413CF" w14:textId="77777777">
        <w:trPr>
          <w:cantSplit/>
        </w:trPr>
        <w:tc>
          <w:tcPr>
            <w:tcW w:w="803" w:type="pct"/>
          </w:tcPr>
          <w:p w14:paraId="4F2F56A9" w14:textId="77777777" w:rsidR="002D0AE7" w:rsidRDefault="00333EBB">
            <w:pPr>
              <w:ind w:right="105"/>
              <w:jc w:val="center"/>
              <w:rPr>
                <w:rFonts w:ascii="Times New Roman" w:hAnsi="Times New Roman" w:cs="Times New Roman"/>
                <w:sz w:val="21"/>
              </w:rPr>
            </w:pPr>
            <w:r>
              <w:rPr>
                <w:rFonts w:ascii="Times New Roman" w:hAnsi="Times New Roman" w:cs="Times New Roman"/>
                <w:sz w:val="21"/>
              </w:rPr>
              <w:t>5</w:t>
            </w:r>
          </w:p>
        </w:tc>
        <w:tc>
          <w:tcPr>
            <w:tcW w:w="914" w:type="pct"/>
          </w:tcPr>
          <w:p w14:paraId="661C78A5" w14:textId="77777777" w:rsidR="002D0AE7" w:rsidRDefault="00333EBB">
            <w:pPr>
              <w:ind w:right="73"/>
              <w:jc w:val="right"/>
              <w:rPr>
                <w:rFonts w:ascii="Times New Roman" w:hAnsi="Times New Roman" w:cs="Times New Roman"/>
                <w:sz w:val="21"/>
              </w:rPr>
            </w:pPr>
            <w:r>
              <w:rPr>
                <w:rFonts w:ascii="Times New Roman" w:hAnsi="Times New Roman" w:cs="Times New Roman"/>
                <w:sz w:val="21"/>
              </w:rPr>
              <w:t>10,240,677.09</w:t>
            </w:r>
          </w:p>
        </w:tc>
        <w:tc>
          <w:tcPr>
            <w:tcW w:w="803" w:type="pct"/>
          </w:tcPr>
          <w:p w14:paraId="6D4D3751"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c>
          <w:tcPr>
            <w:tcW w:w="874" w:type="pct"/>
          </w:tcPr>
          <w:p w14:paraId="46501569" w14:textId="77777777" w:rsidR="002D0AE7" w:rsidRDefault="00333EBB">
            <w:pPr>
              <w:jc w:val="right"/>
              <w:rPr>
                <w:rFonts w:ascii="Times New Roman" w:hAnsi="Times New Roman" w:cs="Times New Roman"/>
                <w:sz w:val="21"/>
              </w:rPr>
            </w:pPr>
            <w:r>
              <w:rPr>
                <w:rFonts w:ascii="Times New Roman" w:hAnsi="Times New Roman" w:cs="Times New Roman"/>
                <w:sz w:val="21"/>
              </w:rPr>
              <w:t>10,240,677.09</w:t>
            </w:r>
          </w:p>
        </w:tc>
        <w:tc>
          <w:tcPr>
            <w:tcW w:w="803" w:type="pct"/>
          </w:tcPr>
          <w:p w14:paraId="09524812" w14:textId="77777777" w:rsidR="002D0AE7" w:rsidRDefault="00333EBB">
            <w:pPr>
              <w:jc w:val="right"/>
              <w:rPr>
                <w:rFonts w:ascii="Times New Roman" w:hAnsi="Times New Roman" w:cs="Times New Roman"/>
                <w:sz w:val="21"/>
              </w:rPr>
            </w:pPr>
            <w:r>
              <w:rPr>
                <w:rFonts w:ascii="Times New Roman" w:hAnsi="Times New Roman" w:cs="Times New Roman"/>
                <w:sz w:val="21"/>
              </w:rPr>
              <w:t>2.28</w:t>
            </w:r>
          </w:p>
        </w:tc>
        <w:tc>
          <w:tcPr>
            <w:tcW w:w="803" w:type="pct"/>
          </w:tcPr>
          <w:p w14:paraId="34A395BC"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r>
      <w:tr w:rsidR="002D0AE7" w14:paraId="2461308D" w14:textId="77777777">
        <w:trPr>
          <w:cantSplit/>
        </w:trPr>
        <w:tc>
          <w:tcPr>
            <w:tcW w:w="803" w:type="pct"/>
          </w:tcPr>
          <w:p w14:paraId="51689CC1" w14:textId="77777777" w:rsidR="002D0AE7" w:rsidRDefault="00333EBB">
            <w:pPr>
              <w:ind w:right="105"/>
              <w:jc w:val="center"/>
              <w:rPr>
                <w:rFonts w:hint="eastAsia"/>
                <w:color w:val="000000" w:themeColor="text1"/>
                <w:sz w:val="21"/>
              </w:rPr>
            </w:pPr>
            <w:r>
              <w:rPr>
                <w:rFonts w:hint="eastAsia"/>
                <w:color w:val="000000" w:themeColor="text1"/>
                <w:sz w:val="21"/>
              </w:rPr>
              <w:t>合计</w:t>
            </w:r>
          </w:p>
        </w:tc>
        <w:tc>
          <w:tcPr>
            <w:tcW w:w="914" w:type="pct"/>
            <w:vAlign w:val="center"/>
          </w:tcPr>
          <w:p w14:paraId="35526691" w14:textId="77777777" w:rsidR="002D0AE7" w:rsidRDefault="00333EBB">
            <w:pPr>
              <w:ind w:right="73"/>
              <w:jc w:val="right"/>
              <w:rPr>
                <w:rFonts w:ascii="Times New Roman" w:hAnsi="Times New Roman" w:cs="Times New Roman"/>
                <w:sz w:val="21"/>
              </w:rPr>
            </w:pPr>
            <w:r>
              <w:rPr>
                <w:rFonts w:ascii="Times New Roman" w:hAnsi="Times New Roman" w:cs="Times New Roman"/>
                <w:sz w:val="21"/>
              </w:rPr>
              <w:t>57,028,252.20</w:t>
            </w:r>
          </w:p>
        </w:tc>
        <w:tc>
          <w:tcPr>
            <w:tcW w:w="803" w:type="pct"/>
            <w:vAlign w:val="center"/>
          </w:tcPr>
          <w:p w14:paraId="353599F9"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c>
          <w:tcPr>
            <w:tcW w:w="874" w:type="pct"/>
            <w:vAlign w:val="center"/>
          </w:tcPr>
          <w:p w14:paraId="6460C25E" w14:textId="77777777" w:rsidR="002D0AE7" w:rsidRDefault="00333EBB">
            <w:pPr>
              <w:jc w:val="right"/>
              <w:rPr>
                <w:rFonts w:ascii="Times New Roman" w:hAnsi="Times New Roman" w:cs="Times New Roman"/>
                <w:sz w:val="21"/>
              </w:rPr>
            </w:pPr>
            <w:r>
              <w:rPr>
                <w:rFonts w:ascii="Times New Roman" w:hAnsi="Times New Roman" w:cs="Times New Roman"/>
                <w:sz w:val="21"/>
              </w:rPr>
              <w:t>57,028,252.20</w:t>
            </w:r>
          </w:p>
        </w:tc>
        <w:tc>
          <w:tcPr>
            <w:tcW w:w="803" w:type="pct"/>
            <w:vAlign w:val="center"/>
          </w:tcPr>
          <w:p w14:paraId="6F0D72FA" w14:textId="77777777" w:rsidR="002D0AE7" w:rsidRDefault="00333EBB">
            <w:pPr>
              <w:jc w:val="right"/>
              <w:rPr>
                <w:rFonts w:ascii="Times New Roman" w:hAnsi="Times New Roman" w:cs="Times New Roman"/>
                <w:sz w:val="21"/>
              </w:rPr>
            </w:pPr>
            <w:r>
              <w:rPr>
                <w:rFonts w:ascii="Times New Roman" w:hAnsi="Times New Roman" w:cs="Times New Roman"/>
                <w:sz w:val="21"/>
              </w:rPr>
              <w:t>12.69</w:t>
            </w:r>
          </w:p>
        </w:tc>
        <w:tc>
          <w:tcPr>
            <w:tcW w:w="803" w:type="pct"/>
            <w:vAlign w:val="center"/>
          </w:tcPr>
          <w:p w14:paraId="7200D10F"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r>
    </w:tbl>
    <w:p w14:paraId="3F904DB1" w14:textId="77777777" w:rsidR="002D0AE7" w:rsidRDefault="00333EBB">
      <w:pPr>
        <w:snapToGrid w:val="0"/>
        <w:spacing w:line="240" w:lineRule="atLeast"/>
        <w:rPr>
          <w:rFonts w:hint="eastAsia"/>
          <w:color w:val="000000" w:themeColor="text1"/>
        </w:rPr>
      </w:pPr>
      <w:r>
        <w:rPr>
          <w:rFonts w:hint="eastAsia"/>
          <w:color w:val="000000" w:themeColor="text1"/>
        </w:rPr>
        <w:t>其他说明</w:t>
      </w:r>
      <w:sdt>
        <w:sdtPr>
          <w:rPr>
            <w:color w:val="000000" w:themeColor="text1"/>
          </w:rPr>
          <w:alias w:val="按欠款方归集的期末余额前五名的应收账款情况的说明"/>
          <w:tag w:val="_GBC_5c27d22f220747b1ae5c245364a28655"/>
          <w:id w:val="1593424741"/>
          <w:placeholder>
            <w:docPart w:val="GBC22222222222222222222222222222"/>
          </w:placeholder>
        </w:sdtPr>
        <w:sdtEndPr/>
        <w:sdtContent>
          <w:r>
            <w:rPr>
              <w:rFonts w:hint="eastAsia"/>
              <w:color w:val="000000" w:themeColor="text1"/>
            </w:rPr>
            <w:t>无</w:t>
          </w:r>
        </w:sdtContent>
      </w:sdt>
    </w:p>
    <w:bookmarkEnd w:id="154"/>
    <w:p w14:paraId="1E01492F" w14:textId="77777777" w:rsidR="002D0AE7" w:rsidRDefault="00333EBB">
      <w:pPr>
        <w:snapToGrid w:val="0"/>
        <w:spacing w:line="240" w:lineRule="atLeast"/>
        <w:rPr>
          <w:rFonts w:hint="eastAsia"/>
          <w:color w:val="000000" w:themeColor="text1"/>
        </w:rPr>
      </w:pPr>
      <w:r>
        <w:rPr>
          <w:rFonts w:hint="eastAsia"/>
          <w:color w:val="000000" w:themeColor="text1"/>
        </w:rPr>
        <w:t>其他</w:t>
      </w:r>
      <w:r>
        <w:rPr>
          <w:color w:val="000000" w:themeColor="text1"/>
        </w:rPr>
        <w:t>说明：</w:t>
      </w:r>
    </w:p>
    <w:sdt>
      <w:sdtPr>
        <w:rPr>
          <w:rFonts w:hint="eastAsia"/>
          <w:color w:val="000000" w:themeColor="text1"/>
        </w:rPr>
        <w:alias w:val="是否适用：应收账款其他说明[双击切换]"/>
        <w:tag w:val="_GBC_c06434ba43c5400a80d620a65b730fd9"/>
        <w:id w:val="-2016140431"/>
        <w:placeholder>
          <w:docPart w:val="GBC22222222222222222222222222222"/>
        </w:placeholder>
      </w:sdtPr>
      <w:sdtEndPr/>
      <w:sdtContent>
        <w:p w14:paraId="3261474C" w14:textId="77777777" w:rsidR="002D0AE7" w:rsidRDefault="00333EBB">
          <w:pPr>
            <w:snapToGrid w:val="0"/>
            <w:spacing w:line="240" w:lineRule="atLeast"/>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应收账款其他说明"/>
        <w:tag w:val="_GBC_fdef34fb2bb94049983408541014eaa4"/>
        <w:id w:val="-173350401"/>
        <w:placeholder>
          <w:docPart w:val="GBC22222222222222222222222222222"/>
        </w:placeholder>
      </w:sdtPr>
      <w:sdtEndPr>
        <w:rPr>
          <w:sz w:val="21"/>
        </w:rPr>
      </w:sdtEndPr>
      <w:sdtContent>
        <w:p w14:paraId="58F9036D" w14:textId="77777777" w:rsidR="002D0AE7" w:rsidRDefault="00333EBB">
          <w:pPr>
            <w:rPr>
              <w:rFonts w:hint="eastAsia"/>
              <w:bCs/>
              <w:color w:val="000000"/>
              <w:sz w:val="21"/>
            </w:rPr>
          </w:pPr>
          <w:r>
            <w:rPr>
              <w:rFonts w:hint="eastAsia"/>
              <w:bCs/>
              <w:color w:val="000000"/>
              <w:sz w:val="21"/>
            </w:rPr>
            <w:t>A</w:t>
          </w:r>
          <w:r>
            <w:rPr>
              <w:rFonts w:hint="eastAsia"/>
              <w:bCs/>
              <w:color w:val="000000"/>
              <w:sz w:val="21"/>
            </w:rPr>
            <w:t>本期无实际核销的应收账款。</w:t>
          </w:r>
        </w:p>
        <w:p w14:paraId="64055E1D" w14:textId="77777777" w:rsidR="002D0AE7" w:rsidRDefault="00333EBB">
          <w:pPr>
            <w:rPr>
              <w:rFonts w:hint="eastAsia"/>
              <w:bCs/>
              <w:color w:val="000000"/>
              <w:sz w:val="21"/>
            </w:rPr>
          </w:pPr>
          <w:r>
            <w:rPr>
              <w:rFonts w:hint="eastAsia"/>
              <w:bCs/>
              <w:color w:val="000000"/>
              <w:sz w:val="21"/>
            </w:rPr>
            <w:t>B</w:t>
          </w:r>
          <w:r>
            <w:rPr>
              <w:rFonts w:hint="eastAsia"/>
              <w:bCs/>
              <w:color w:val="000000"/>
              <w:sz w:val="21"/>
            </w:rPr>
            <w:t>本报告期应收账款中无持本公司</w:t>
          </w:r>
          <w:r>
            <w:rPr>
              <w:rFonts w:ascii="Times New Roman" w:hAnsi="Times New Roman" w:cs="Times New Roman"/>
              <w:bCs/>
              <w:color w:val="000000"/>
              <w:sz w:val="21"/>
            </w:rPr>
            <w:t>5%</w:t>
          </w:r>
          <w:r>
            <w:rPr>
              <w:rFonts w:hint="eastAsia"/>
              <w:bCs/>
              <w:color w:val="000000"/>
              <w:sz w:val="21"/>
            </w:rPr>
            <w:t>(</w:t>
          </w:r>
          <w:r>
            <w:rPr>
              <w:rFonts w:hint="eastAsia"/>
              <w:bCs/>
              <w:color w:val="000000"/>
              <w:sz w:val="21"/>
            </w:rPr>
            <w:t>含</w:t>
          </w:r>
          <w:r>
            <w:rPr>
              <w:rFonts w:ascii="Times New Roman" w:hAnsi="Times New Roman" w:cs="Times New Roman"/>
              <w:bCs/>
              <w:color w:val="000000"/>
              <w:sz w:val="21"/>
            </w:rPr>
            <w:t>5%</w:t>
          </w:r>
          <w:r>
            <w:rPr>
              <w:rFonts w:hint="eastAsia"/>
              <w:bCs/>
              <w:color w:val="000000"/>
              <w:sz w:val="21"/>
            </w:rPr>
            <w:t>)</w:t>
          </w:r>
          <w:r>
            <w:rPr>
              <w:rFonts w:hint="eastAsia"/>
              <w:bCs/>
              <w:color w:val="000000"/>
              <w:sz w:val="21"/>
            </w:rPr>
            <w:t>以上表决权股份的股东欠款，应收其他关联方的余额合计为</w:t>
          </w:r>
          <w:r>
            <w:rPr>
              <w:rFonts w:ascii="Times New Roman" w:hAnsi="Times New Roman" w:cs="Times New Roman"/>
              <w:bCs/>
              <w:color w:val="000000"/>
              <w:sz w:val="21"/>
            </w:rPr>
            <w:t>14,167,757.05</w:t>
          </w:r>
          <w:r>
            <w:rPr>
              <w:rFonts w:hint="eastAsia"/>
              <w:bCs/>
              <w:color w:val="000000"/>
              <w:sz w:val="21"/>
            </w:rPr>
            <w:t>元。</w:t>
          </w:r>
        </w:p>
      </w:sdtContent>
    </w:sdt>
    <w:p w14:paraId="3CF85F7E" w14:textId="77777777" w:rsidR="002D0AE7" w:rsidRDefault="00333EBB">
      <w:pPr>
        <w:pStyle w:val="3"/>
        <w:numPr>
          <w:ilvl w:val="0"/>
          <w:numId w:val="43"/>
        </w:numPr>
        <w:tabs>
          <w:tab w:val="left" w:pos="504"/>
        </w:tabs>
        <w:ind w:left="450" w:hanging="450"/>
        <w:rPr>
          <w:rFonts w:ascii="宋体" w:hAnsi="宋体" w:cs="宋体" w:hint="eastAsia"/>
          <w:color w:val="000000" w:themeColor="text1"/>
          <w:kern w:val="0"/>
          <w:szCs w:val="24"/>
        </w:rPr>
      </w:pPr>
      <w:bookmarkStart w:id="155" w:name="_Hlk24102175"/>
      <w:bookmarkStart w:id="156" w:name="_Hlk167889313"/>
      <w:r>
        <w:rPr>
          <w:rFonts w:ascii="宋体" w:hAnsi="宋体" w:cs="宋体" w:hint="eastAsia"/>
          <w:color w:val="000000" w:themeColor="text1"/>
          <w:kern w:val="0"/>
          <w:szCs w:val="24"/>
        </w:rPr>
        <w:t>应收款项融资</w:t>
      </w:r>
    </w:p>
    <w:p w14:paraId="1F744043" w14:textId="77777777" w:rsidR="002D0AE7" w:rsidRDefault="00333EBB">
      <w:pPr>
        <w:pStyle w:val="4"/>
        <w:numPr>
          <w:ilvl w:val="0"/>
          <w:numId w:val="45"/>
        </w:numPr>
        <w:tabs>
          <w:tab w:val="left" w:pos="360"/>
        </w:tabs>
        <w:ind w:left="0" w:firstLine="0"/>
        <w:rPr>
          <w:color w:val="000000" w:themeColor="text1"/>
        </w:rPr>
      </w:pPr>
      <w:r>
        <w:rPr>
          <w:rFonts w:hint="eastAsia"/>
          <w:color w:val="000000" w:themeColor="text1"/>
        </w:rPr>
        <w:t>应收款项融资分类列示</w:t>
      </w:r>
    </w:p>
    <w:sdt>
      <w:sdtPr>
        <w:rPr>
          <w:color w:val="000000" w:themeColor="text1"/>
        </w:rPr>
        <w:alias w:val="是否适用：应收款项融资[双击切换]"/>
        <w:tag w:val="_GBC_ef490af2ae9646548061648e78d3873a"/>
        <w:id w:val="-785428053"/>
        <w:placeholder>
          <w:docPart w:val="GBC22222222222222222222222222222"/>
        </w:placeholder>
      </w:sdtPr>
      <w:sdtEndPr/>
      <w:sdtContent>
        <w:p w14:paraId="49D21BDD"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1C83B8BE" w14:textId="77777777" w:rsidR="002D0AE7" w:rsidRDefault="00333EBB">
      <w:pPr>
        <w:ind w:left="420" w:right="-98"/>
        <w:jc w:val="right"/>
        <w:rPr>
          <w:rFonts w:hint="eastAsia"/>
          <w:color w:val="000000" w:themeColor="text1"/>
        </w:rPr>
      </w:pPr>
      <w:r>
        <w:rPr>
          <w:rFonts w:hint="eastAsia"/>
          <w:color w:val="000000" w:themeColor="text1"/>
        </w:rPr>
        <w:t>单位：</w:t>
      </w:r>
      <w:sdt>
        <w:sdtPr>
          <w:rPr>
            <w:rFonts w:hint="eastAsia"/>
            <w:color w:val="000000" w:themeColor="text1"/>
          </w:rPr>
          <w:alias w:val="单位：应收款项融资"/>
          <w:tag w:val="_GBC_7cda8ff350bd4c7eba83f28198343ec1"/>
          <w:id w:val="1814750039"/>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应收款项融资"/>
          <w:tag w:val="_GBC_a63c9a5583bd46debcf8ddc8f5c8b5c5"/>
          <w:id w:val="-19354752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2825"/>
        <w:gridCol w:w="2834"/>
      </w:tblGrid>
      <w:tr w:rsidR="002D0AE7" w14:paraId="686638F9" w14:textId="77777777">
        <w:bookmarkStart w:id="157" w:name="_Hlk12969247" w:displacedByCustomXml="next"/>
        <w:bookmarkStart w:id="158" w:name="_Hlk13057555" w:displacedByCustomXml="next"/>
        <w:sdt>
          <w:sdtPr>
            <w:rPr>
              <w:color w:val="000000" w:themeColor="text1"/>
              <w:sz w:val="21"/>
            </w:rPr>
            <w:tag w:val="_PLD_17a5cb5b46ad4341aab7ca7400bbb71f"/>
            <w:id w:val="59219994"/>
          </w:sdtPr>
          <w:sdtEndPr/>
          <w:sdtContent>
            <w:tc>
              <w:tcPr>
                <w:tcW w:w="1793" w:type="pct"/>
                <w:shd w:val="clear" w:color="auto" w:fill="auto"/>
                <w:vAlign w:val="center"/>
              </w:tcPr>
              <w:p w14:paraId="04530122" w14:textId="77777777" w:rsidR="002D0AE7" w:rsidRDefault="00333EBB">
                <w:pPr>
                  <w:jc w:val="center"/>
                  <w:rPr>
                    <w:rFonts w:hint="eastAsia"/>
                    <w:color w:val="000000" w:themeColor="text1"/>
                    <w:sz w:val="21"/>
                  </w:rPr>
                </w:pPr>
                <w:r>
                  <w:rPr>
                    <w:rFonts w:hint="eastAsia"/>
                    <w:color w:val="000000" w:themeColor="text1"/>
                    <w:sz w:val="21"/>
                  </w:rPr>
                  <w:t>项目</w:t>
                </w:r>
              </w:p>
            </w:tc>
          </w:sdtContent>
        </w:sdt>
        <w:sdt>
          <w:sdtPr>
            <w:rPr>
              <w:color w:val="000000" w:themeColor="text1"/>
              <w:sz w:val="21"/>
            </w:rPr>
            <w:tag w:val="_PLD_22382bb64684420586d7f6150fc2ba41"/>
            <w:id w:val="1914109693"/>
          </w:sdtPr>
          <w:sdtEndPr/>
          <w:sdtContent>
            <w:tc>
              <w:tcPr>
                <w:tcW w:w="1601" w:type="pct"/>
                <w:shd w:val="clear" w:color="auto" w:fill="auto"/>
                <w:vAlign w:val="center"/>
              </w:tcPr>
              <w:p w14:paraId="7F5F19FD" w14:textId="77777777" w:rsidR="002D0AE7" w:rsidRDefault="00333EBB">
                <w:pPr>
                  <w:autoSpaceDE w:val="0"/>
                  <w:autoSpaceDN w:val="0"/>
                  <w:adjustRightInd w:val="0"/>
                  <w:snapToGrid w:val="0"/>
                  <w:spacing w:line="240" w:lineRule="atLeast"/>
                  <w:jc w:val="center"/>
                  <w:rPr>
                    <w:rFonts w:hint="eastAsia"/>
                    <w:color w:val="000000" w:themeColor="text1"/>
                    <w:sz w:val="21"/>
                  </w:rPr>
                </w:pPr>
                <w:r>
                  <w:rPr>
                    <w:rFonts w:hint="eastAsia"/>
                    <w:color w:val="000000" w:themeColor="text1"/>
                    <w:sz w:val="21"/>
                  </w:rPr>
                  <w:t>期末余额</w:t>
                </w:r>
              </w:p>
            </w:tc>
          </w:sdtContent>
        </w:sdt>
        <w:sdt>
          <w:sdtPr>
            <w:rPr>
              <w:color w:val="000000" w:themeColor="text1"/>
              <w:sz w:val="21"/>
            </w:rPr>
            <w:tag w:val="_PLD_ea864dd29d6649ad84845cfd97103d69"/>
            <w:id w:val="-1483914972"/>
          </w:sdtPr>
          <w:sdtEndPr/>
          <w:sdtContent>
            <w:tc>
              <w:tcPr>
                <w:tcW w:w="1606" w:type="pct"/>
                <w:shd w:val="clear" w:color="auto" w:fill="auto"/>
                <w:vAlign w:val="center"/>
              </w:tcPr>
              <w:p w14:paraId="7E74F84A" w14:textId="77777777" w:rsidR="002D0AE7" w:rsidRDefault="00333EBB">
                <w:pPr>
                  <w:autoSpaceDE w:val="0"/>
                  <w:autoSpaceDN w:val="0"/>
                  <w:adjustRightInd w:val="0"/>
                  <w:snapToGrid w:val="0"/>
                  <w:spacing w:line="240" w:lineRule="atLeast"/>
                  <w:jc w:val="center"/>
                  <w:rPr>
                    <w:rFonts w:hint="eastAsia"/>
                    <w:color w:val="000000" w:themeColor="text1"/>
                    <w:sz w:val="21"/>
                  </w:rPr>
                </w:pPr>
                <w:r>
                  <w:rPr>
                    <w:rFonts w:hint="eastAsia"/>
                    <w:color w:val="000000" w:themeColor="text1"/>
                    <w:sz w:val="21"/>
                  </w:rPr>
                  <w:t>期初余额</w:t>
                </w:r>
              </w:p>
            </w:tc>
          </w:sdtContent>
        </w:sdt>
      </w:tr>
      <w:tr w:rsidR="002D0AE7" w14:paraId="64ADF691" w14:textId="77777777">
        <w:tc>
          <w:tcPr>
            <w:tcW w:w="1793" w:type="pct"/>
            <w:shd w:val="clear" w:color="auto" w:fill="auto"/>
          </w:tcPr>
          <w:p w14:paraId="34A49FAB" w14:textId="77777777" w:rsidR="002D0AE7" w:rsidRDefault="00333EBB">
            <w:pPr>
              <w:autoSpaceDE w:val="0"/>
              <w:autoSpaceDN w:val="0"/>
              <w:adjustRightInd w:val="0"/>
              <w:rPr>
                <w:rFonts w:hint="eastAsia"/>
                <w:sz w:val="21"/>
              </w:rPr>
            </w:pPr>
            <w:r>
              <w:rPr>
                <w:rFonts w:hint="eastAsia"/>
                <w:sz w:val="21"/>
              </w:rPr>
              <w:t>银行承兑汇票</w:t>
            </w:r>
          </w:p>
        </w:tc>
        <w:tc>
          <w:tcPr>
            <w:tcW w:w="1601" w:type="pct"/>
            <w:shd w:val="clear" w:color="auto" w:fill="auto"/>
          </w:tcPr>
          <w:p w14:paraId="2A8E3C96" w14:textId="77777777" w:rsidR="002D0AE7" w:rsidRDefault="00333EBB">
            <w:pPr>
              <w:jc w:val="right"/>
              <w:rPr>
                <w:rFonts w:ascii="Times New Roman" w:hAnsi="Times New Roman" w:cs="Times New Roman"/>
                <w:sz w:val="21"/>
              </w:rPr>
            </w:pPr>
            <w:r>
              <w:rPr>
                <w:rFonts w:ascii="Times New Roman" w:hAnsi="Times New Roman" w:cs="Times New Roman"/>
                <w:sz w:val="21"/>
              </w:rPr>
              <w:t>137,749,102.75</w:t>
            </w:r>
          </w:p>
        </w:tc>
        <w:tc>
          <w:tcPr>
            <w:tcW w:w="1606" w:type="pct"/>
            <w:shd w:val="clear" w:color="auto" w:fill="auto"/>
          </w:tcPr>
          <w:p w14:paraId="2DB71BB0" w14:textId="77777777" w:rsidR="002D0AE7" w:rsidRDefault="00333EBB">
            <w:pPr>
              <w:jc w:val="right"/>
              <w:rPr>
                <w:rFonts w:ascii="Times New Roman" w:hAnsi="Times New Roman" w:cs="Times New Roman"/>
                <w:sz w:val="21"/>
              </w:rPr>
            </w:pPr>
            <w:r>
              <w:rPr>
                <w:rFonts w:ascii="Times New Roman" w:hAnsi="Times New Roman" w:cs="Times New Roman"/>
                <w:sz w:val="21"/>
              </w:rPr>
              <w:t>148,378,503.93</w:t>
            </w:r>
          </w:p>
        </w:tc>
      </w:tr>
      <w:tr w:rsidR="002D0AE7" w14:paraId="31A52700" w14:textId="77777777">
        <w:tc>
          <w:tcPr>
            <w:tcW w:w="1793" w:type="pct"/>
            <w:shd w:val="clear" w:color="auto" w:fill="auto"/>
            <w:vAlign w:val="center"/>
          </w:tcPr>
          <w:p w14:paraId="00D90B65" w14:textId="77777777" w:rsidR="002D0AE7" w:rsidRDefault="00333EBB">
            <w:pPr>
              <w:jc w:val="center"/>
              <w:rPr>
                <w:rFonts w:hint="eastAsia"/>
                <w:color w:val="000000" w:themeColor="text1"/>
                <w:sz w:val="21"/>
              </w:rPr>
            </w:pPr>
            <w:r>
              <w:rPr>
                <w:rFonts w:hint="eastAsia"/>
                <w:color w:val="000000" w:themeColor="text1"/>
                <w:sz w:val="21"/>
              </w:rPr>
              <w:t>合计</w:t>
            </w:r>
          </w:p>
        </w:tc>
        <w:tc>
          <w:tcPr>
            <w:tcW w:w="1601" w:type="pct"/>
            <w:shd w:val="clear" w:color="auto" w:fill="auto"/>
          </w:tcPr>
          <w:p w14:paraId="2196D8B1" w14:textId="77777777" w:rsidR="002D0AE7" w:rsidRDefault="00333EBB">
            <w:pPr>
              <w:jc w:val="right"/>
              <w:rPr>
                <w:rFonts w:ascii="Times New Roman" w:hAnsi="Times New Roman" w:cs="Times New Roman"/>
                <w:sz w:val="21"/>
              </w:rPr>
            </w:pPr>
            <w:r>
              <w:rPr>
                <w:rFonts w:ascii="Times New Roman" w:hAnsi="Times New Roman" w:cs="Times New Roman"/>
                <w:sz w:val="21"/>
              </w:rPr>
              <w:t>137,749,102.75</w:t>
            </w:r>
          </w:p>
        </w:tc>
        <w:tc>
          <w:tcPr>
            <w:tcW w:w="1606" w:type="pct"/>
            <w:shd w:val="clear" w:color="auto" w:fill="auto"/>
          </w:tcPr>
          <w:p w14:paraId="3303BE38" w14:textId="77777777" w:rsidR="002D0AE7" w:rsidRDefault="00333EBB">
            <w:pPr>
              <w:jc w:val="right"/>
              <w:rPr>
                <w:rFonts w:ascii="Times New Roman" w:hAnsi="Times New Roman" w:cs="Times New Roman"/>
                <w:sz w:val="21"/>
              </w:rPr>
            </w:pPr>
            <w:r>
              <w:rPr>
                <w:rFonts w:ascii="Times New Roman" w:hAnsi="Times New Roman" w:cs="Times New Roman"/>
                <w:sz w:val="21"/>
              </w:rPr>
              <w:t>148,378,503.93</w:t>
            </w:r>
          </w:p>
        </w:tc>
      </w:tr>
    </w:tbl>
    <w:p w14:paraId="27D5F31F" w14:textId="77777777" w:rsidR="002D0AE7" w:rsidRDefault="00333EBB">
      <w:pPr>
        <w:pStyle w:val="4"/>
        <w:numPr>
          <w:ilvl w:val="0"/>
          <w:numId w:val="45"/>
        </w:numPr>
        <w:tabs>
          <w:tab w:val="left" w:pos="360"/>
        </w:tabs>
        <w:ind w:left="0" w:firstLine="0"/>
        <w:rPr>
          <w:color w:val="000000" w:themeColor="text1"/>
        </w:rPr>
      </w:pPr>
      <w:r>
        <w:rPr>
          <w:color w:val="000000" w:themeColor="text1"/>
        </w:rPr>
        <w:t>期末公司已</w:t>
      </w:r>
      <w:r>
        <w:rPr>
          <w:rFonts w:hint="eastAsia"/>
          <w:color w:val="000000" w:themeColor="text1"/>
        </w:rPr>
        <w:t>质押</w:t>
      </w:r>
      <w:r>
        <w:rPr>
          <w:color w:val="000000" w:themeColor="text1"/>
        </w:rPr>
        <w:t>的应收款项融资</w:t>
      </w:r>
    </w:p>
    <w:sdt>
      <w:sdtPr>
        <w:rPr>
          <w:color w:val="000000" w:themeColor="text1"/>
        </w:rPr>
        <w:alias w:val="是否适用：期末公司已质押的应收款项融资[双击切换]"/>
        <w:tag w:val="_GBC_be6effae9a0c46449ee5beec6506abc0"/>
        <w:id w:val="1522586084"/>
        <w:placeholder>
          <w:docPart w:val="GBC22222222222222222222222222222"/>
        </w:placeholder>
      </w:sdtPr>
      <w:sdtEndPr/>
      <w:sdtContent>
        <w:p w14:paraId="55DCAC5D"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0DCD418B" w14:textId="77777777" w:rsidR="002D0AE7" w:rsidRDefault="00333EBB">
      <w:pPr>
        <w:pStyle w:val="4"/>
        <w:numPr>
          <w:ilvl w:val="0"/>
          <w:numId w:val="45"/>
        </w:numPr>
        <w:tabs>
          <w:tab w:val="left" w:pos="360"/>
        </w:tabs>
        <w:ind w:left="0" w:firstLine="0"/>
        <w:rPr>
          <w:color w:val="000000" w:themeColor="text1"/>
        </w:rPr>
      </w:pPr>
      <w:r>
        <w:rPr>
          <w:rFonts w:hint="eastAsia"/>
          <w:color w:val="000000" w:themeColor="text1"/>
        </w:rPr>
        <w:t>期末公司已背书或贴现且在资产负债表日尚未到期的应收款项融资</w:t>
      </w:r>
    </w:p>
    <w:sdt>
      <w:sdtPr>
        <w:rPr>
          <w:color w:val="000000" w:themeColor="text1"/>
        </w:rPr>
        <w:alias w:val="是否适用：期末公司已背书或贴现且在资产负债表日尚未到期的应收款项融资[双击切换]"/>
        <w:tag w:val="_GBC_5aba7034811c436e8fdb090306fae25a"/>
        <w:id w:val="162671627"/>
        <w:placeholder>
          <w:docPart w:val="GBC22222222222222222222222222222"/>
        </w:placeholder>
      </w:sdtPr>
      <w:sdtEndPr/>
      <w:sdtContent>
        <w:p w14:paraId="165833E3"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50CB3C64"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期末公司已背书或贴现且在资产负债表日尚未到期的应收款项融资"/>
          <w:tag w:val="_GBC_5629d3c7de2b430d964f79cd2922bbdd"/>
          <w:id w:val="-79141369"/>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期末公司已背书或贴现且在资产负债表日尚未到期的应收款项融资"/>
          <w:tag w:val="_GBC_842647628955436292dcb5dbd82fc82a"/>
          <w:id w:val="181745687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7"/>
        <w:gridCol w:w="3050"/>
        <w:gridCol w:w="3122"/>
      </w:tblGrid>
      <w:tr w:rsidR="002D0AE7" w14:paraId="69D90DE7" w14:textId="77777777">
        <w:sdt>
          <w:sdtPr>
            <w:rPr>
              <w:rFonts w:hint="eastAsia"/>
              <w:color w:val="000000" w:themeColor="text1"/>
              <w:sz w:val="21"/>
            </w:rPr>
            <w:tag w:val="_PLD_61ee0c7055824e0a8c4e9342c43c1998"/>
            <w:id w:val="-2117586504"/>
          </w:sdtPr>
          <w:sdtEndPr/>
          <w:sdtContent>
            <w:tc>
              <w:tcPr>
                <w:tcW w:w="2877" w:type="dxa"/>
                <w:shd w:val="clear" w:color="auto" w:fill="auto"/>
                <w:vAlign w:val="center"/>
              </w:tcPr>
              <w:p w14:paraId="1FD8B99F" w14:textId="77777777" w:rsidR="002D0AE7" w:rsidRDefault="00333EBB">
                <w:pPr>
                  <w:jc w:val="center"/>
                  <w:rPr>
                    <w:rFonts w:hint="eastAsia"/>
                    <w:color w:val="000000" w:themeColor="text1"/>
                    <w:sz w:val="21"/>
                  </w:rPr>
                </w:pPr>
                <w:r>
                  <w:rPr>
                    <w:rFonts w:hint="eastAsia"/>
                    <w:color w:val="000000" w:themeColor="text1"/>
                    <w:sz w:val="21"/>
                  </w:rPr>
                  <w:t>项目</w:t>
                </w:r>
              </w:p>
            </w:tc>
          </w:sdtContent>
        </w:sdt>
        <w:sdt>
          <w:sdtPr>
            <w:rPr>
              <w:rFonts w:hint="eastAsia"/>
              <w:color w:val="000000" w:themeColor="text1"/>
              <w:sz w:val="21"/>
            </w:rPr>
            <w:tag w:val="_PLD_ee215b5b595d4f9087594da41584b53d"/>
            <w:id w:val="-1472438378"/>
          </w:sdtPr>
          <w:sdtEndPr/>
          <w:sdtContent>
            <w:tc>
              <w:tcPr>
                <w:tcW w:w="3050" w:type="dxa"/>
                <w:shd w:val="clear" w:color="auto" w:fill="auto"/>
                <w:vAlign w:val="center"/>
              </w:tcPr>
              <w:p w14:paraId="5855D4D0" w14:textId="77777777" w:rsidR="002D0AE7" w:rsidRDefault="00333EBB">
                <w:pPr>
                  <w:jc w:val="center"/>
                  <w:rPr>
                    <w:rFonts w:hint="eastAsia"/>
                    <w:color w:val="000000" w:themeColor="text1"/>
                    <w:sz w:val="21"/>
                  </w:rPr>
                </w:pPr>
                <w:r>
                  <w:rPr>
                    <w:rFonts w:hint="eastAsia"/>
                    <w:color w:val="000000" w:themeColor="text1"/>
                    <w:sz w:val="21"/>
                  </w:rPr>
                  <w:t>期末终止确认金额</w:t>
                </w:r>
              </w:p>
            </w:tc>
          </w:sdtContent>
        </w:sdt>
        <w:sdt>
          <w:sdtPr>
            <w:rPr>
              <w:rFonts w:hint="eastAsia"/>
              <w:color w:val="000000" w:themeColor="text1"/>
              <w:sz w:val="21"/>
            </w:rPr>
            <w:tag w:val="_PLD_a58273833d134754b8f63be5a98d3b7b"/>
            <w:id w:val="1193812543"/>
          </w:sdtPr>
          <w:sdtEndPr/>
          <w:sdtContent>
            <w:tc>
              <w:tcPr>
                <w:tcW w:w="3122" w:type="dxa"/>
                <w:shd w:val="clear" w:color="auto" w:fill="auto"/>
                <w:vAlign w:val="center"/>
              </w:tcPr>
              <w:p w14:paraId="6FD21769" w14:textId="77777777" w:rsidR="002D0AE7" w:rsidRDefault="00333EBB">
                <w:pPr>
                  <w:jc w:val="center"/>
                  <w:rPr>
                    <w:rFonts w:hint="eastAsia"/>
                    <w:color w:val="000000" w:themeColor="text1"/>
                    <w:sz w:val="21"/>
                  </w:rPr>
                </w:pPr>
                <w:r>
                  <w:rPr>
                    <w:rFonts w:hint="eastAsia"/>
                    <w:color w:val="000000" w:themeColor="text1"/>
                    <w:sz w:val="21"/>
                  </w:rPr>
                  <w:t>期末未终止确认金额</w:t>
                </w:r>
              </w:p>
            </w:tc>
          </w:sdtContent>
        </w:sdt>
      </w:tr>
      <w:tr w:rsidR="002D0AE7" w14:paraId="12B77D12" w14:textId="77777777">
        <w:tc>
          <w:tcPr>
            <w:tcW w:w="2877" w:type="dxa"/>
            <w:shd w:val="clear" w:color="auto" w:fill="auto"/>
          </w:tcPr>
          <w:p w14:paraId="46F75360" w14:textId="77777777" w:rsidR="002D0AE7" w:rsidRDefault="00333EBB">
            <w:pPr>
              <w:rPr>
                <w:rFonts w:hint="eastAsia"/>
                <w:sz w:val="21"/>
              </w:rPr>
            </w:pPr>
            <w:r>
              <w:rPr>
                <w:rFonts w:hint="eastAsia"/>
                <w:sz w:val="21"/>
              </w:rPr>
              <w:t>银行承兑票据</w:t>
            </w:r>
          </w:p>
        </w:tc>
        <w:tc>
          <w:tcPr>
            <w:tcW w:w="3050" w:type="dxa"/>
            <w:shd w:val="clear" w:color="auto" w:fill="auto"/>
          </w:tcPr>
          <w:p w14:paraId="19465867" w14:textId="77777777" w:rsidR="002D0AE7" w:rsidRDefault="00333EBB">
            <w:pPr>
              <w:jc w:val="right"/>
              <w:rPr>
                <w:rFonts w:ascii="Times New Roman" w:hAnsi="Times New Roman" w:cs="Times New Roman"/>
                <w:sz w:val="21"/>
              </w:rPr>
            </w:pPr>
            <w:r>
              <w:rPr>
                <w:rFonts w:ascii="Times New Roman" w:hAnsi="Times New Roman" w:cs="Times New Roman"/>
                <w:sz w:val="21"/>
              </w:rPr>
              <w:t>189,930,472.16</w:t>
            </w:r>
          </w:p>
        </w:tc>
        <w:tc>
          <w:tcPr>
            <w:tcW w:w="3122" w:type="dxa"/>
            <w:shd w:val="clear" w:color="auto" w:fill="auto"/>
          </w:tcPr>
          <w:p w14:paraId="3ABA28AE"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r>
      <w:tr w:rsidR="002D0AE7" w14:paraId="5D8D1DCB" w14:textId="77777777">
        <w:tc>
          <w:tcPr>
            <w:tcW w:w="2877" w:type="dxa"/>
            <w:shd w:val="clear" w:color="auto" w:fill="auto"/>
          </w:tcPr>
          <w:p w14:paraId="2445D78F" w14:textId="77777777" w:rsidR="002D0AE7" w:rsidRDefault="00333EBB">
            <w:pPr>
              <w:rPr>
                <w:rFonts w:hint="eastAsia"/>
                <w:sz w:val="21"/>
              </w:rPr>
            </w:pPr>
            <w:r>
              <w:rPr>
                <w:rFonts w:hint="eastAsia"/>
                <w:sz w:val="21"/>
              </w:rPr>
              <w:t>商业承兑票据</w:t>
            </w:r>
          </w:p>
        </w:tc>
        <w:tc>
          <w:tcPr>
            <w:tcW w:w="3050" w:type="dxa"/>
            <w:shd w:val="clear" w:color="auto" w:fill="auto"/>
          </w:tcPr>
          <w:p w14:paraId="266B4F62"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c>
          <w:tcPr>
            <w:tcW w:w="3122" w:type="dxa"/>
            <w:shd w:val="clear" w:color="auto" w:fill="auto"/>
          </w:tcPr>
          <w:p w14:paraId="7DD1328C"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r>
      <w:tr w:rsidR="002D0AE7" w14:paraId="7820065F" w14:textId="77777777">
        <w:tc>
          <w:tcPr>
            <w:tcW w:w="2877" w:type="dxa"/>
            <w:shd w:val="clear" w:color="auto" w:fill="auto"/>
            <w:vAlign w:val="center"/>
          </w:tcPr>
          <w:p w14:paraId="09BCD52F" w14:textId="77777777" w:rsidR="002D0AE7" w:rsidRDefault="00333EBB">
            <w:pPr>
              <w:jc w:val="center"/>
              <w:rPr>
                <w:rFonts w:hint="eastAsia"/>
                <w:color w:val="000000" w:themeColor="text1"/>
                <w:sz w:val="21"/>
              </w:rPr>
            </w:pPr>
            <w:r>
              <w:rPr>
                <w:rFonts w:hint="eastAsia"/>
                <w:color w:val="000000" w:themeColor="text1"/>
                <w:sz w:val="21"/>
              </w:rPr>
              <w:t>合计</w:t>
            </w:r>
          </w:p>
        </w:tc>
        <w:tc>
          <w:tcPr>
            <w:tcW w:w="3050" w:type="dxa"/>
            <w:shd w:val="clear" w:color="auto" w:fill="auto"/>
          </w:tcPr>
          <w:p w14:paraId="2C4B16C9" w14:textId="77777777" w:rsidR="002D0AE7" w:rsidRDefault="00333EBB">
            <w:pPr>
              <w:jc w:val="right"/>
              <w:rPr>
                <w:rFonts w:ascii="Times New Roman" w:hAnsi="Times New Roman" w:cs="Times New Roman"/>
                <w:sz w:val="21"/>
              </w:rPr>
            </w:pPr>
            <w:r>
              <w:rPr>
                <w:rFonts w:ascii="Times New Roman" w:hAnsi="Times New Roman" w:cs="Times New Roman"/>
                <w:sz w:val="21"/>
              </w:rPr>
              <w:t>189,930,472.16</w:t>
            </w:r>
          </w:p>
        </w:tc>
        <w:tc>
          <w:tcPr>
            <w:tcW w:w="3122" w:type="dxa"/>
            <w:shd w:val="clear" w:color="auto" w:fill="auto"/>
          </w:tcPr>
          <w:p w14:paraId="57B5E506"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r>
    </w:tbl>
    <w:p w14:paraId="7FA159A0" w14:textId="77777777" w:rsidR="002D0AE7" w:rsidRDefault="00333EBB">
      <w:pPr>
        <w:pStyle w:val="4"/>
        <w:numPr>
          <w:ilvl w:val="0"/>
          <w:numId w:val="45"/>
        </w:numPr>
        <w:tabs>
          <w:tab w:val="left" w:pos="360"/>
        </w:tabs>
        <w:ind w:left="0" w:firstLine="0"/>
        <w:rPr>
          <w:color w:val="000000" w:themeColor="text1"/>
        </w:rPr>
      </w:pPr>
      <w:r>
        <w:rPr>
          <w:rFonts w:hint="eastAsia"/>
          <w:color w:val="000000" w:themeColor="text1"/>
        </w:rPr>
        <w:t>按</w:t>
      </w:r>
      <w:r>
        <w:rPr>
          <w:color w:val="000000" w:themeColor="text1"/>
        </w:rPr>
        <w:t>坏账计提方法分类披露</w:t>
      </w:r>
    </w:p>
    <w:sdt>
      <w:sdtPr>
        <w:rPr>
          <w:color w:val="000000" w:themeColor="text1"/>
        </w:rPr>
        <w:alias w:val="是否适用：按坏账计提方法分类披露[双击切换]"/>
        <w:tag w:val="_GBC_405ca68f760443499c1bd1a1fa1e9e7d"/>
        <w:id w:val="263659491"/>
        <w:placeholder>
          <w:docPart w:val="GBC22222222222222222222222222222"/>
        </w:placeholder>
      </w:sdtPr>
      <w:sdtEndPr/>
      <w:sdtContent>
        <w:p w14:paraId="6BF85DB6"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3230026F" w14:textId="77777777" w:rsidR="002D0AE7" w:rsidRDefault="00333EBB">
      <w:pPr>
        <w:pStyle w:val="11"/>
        <w:rPr>
          <w:rFonts w:hint="eastAsia"/>
        </w:rPr>
      </w:pPr>
      <w:r>
        <w:rPr>
          <w:rFonts w:hint="eastAsia"/>
        </w:rPr>
        <w:t>单位：</w:t>
      </w:r>
      <w:sdt>
        <w:sdtPr>
          <w:rPr>
            <w:rFonts w:hint="eastAsia"/>
          </w:rPr>
          <w:alias w:val="单位：按坏账计提方法分类披露"/>
          <w:tag w:val="_GBC_9f69d0c8249e4b2c8278a4e70e780347"/>
          <w:id w:val="-1699385910"/>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币种：</w:t>
      </w:r>
      <w:sdt>
        <w:sdtPr>
          <w:rPr>
            <w:rFonts w:hint="eastAsia"/>
          </w:rPr>
          <w:alias w:val="币种：按坏账计提方法分类披露"/>
          <w:tag w:val="_GBC_fe7cf8f65c4a417fa30d2a0b1bda0867"/>
          <w:id w:val="104772143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64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529"/>
        <w:gridCol w:w="794"/>
        <w:gridCol w:w="584"/>
        <w:gridCol w:w="584"/>
        <w:gridCol w:w="1529"/>
        <w:gridCol w:w="1529"/>
        <w:gridCol w:w="794"/>
        <w:gridCol w:w="584"/>
        <w:gridCol w:w="584"/>
        <w:gridCol w:w="1529"/>
      </w:tblGrid>
      <w:tr w:rsidR="002D0AE7" w14:paraId="423C2B1F" w14:textId="77777777">
        <w:trPr>
          <w:cantSplit/>
          <w:trHeight w:val="259"/>
          <w:jc w:val="center"/>
        </w:trPr>
        <w:sdt>
          <w:sdtPr>
            <w:rPr>
              <w:rFonts w:hint="eastAsia"/>
              <w:color w:val="000000" w:themeColor="text1"/>
              <w:sz w:val="21"/>
              <w:szCs w:val="21"/>
            </w:rPr>
            <w:tag w:val="_PLD_afc6122750c74a4a8117ff067542864d"/>
            <w:id w:val="112565245"/>
          </w:sdtPr>
          <w:sdtEndPr/>
          <w:sdtContent>
            <w:tc>
              <w:tcPr>
                <w:tcW w:w="568" w:type="pct"/>
                <w:vMerge w:val="restart"/>
                <w:tcBorders>
                  <w:top w:val="single" w:sz="4" w:space="0" w:color="auto"/>
                  <w:left w:val="single" w:sz="4" w:space="0" w:color="auto"/>
                  <w:right w:val="single" w:sz="4" w:space="0" w:color="auto"/>
                </w:tcBorders>
                <w:vAlign w:val="center"/>
              </w:tcPr>
              <w:p w14:paraId="76DA24C7" w14:textId="77777777" w:rsidR="002D0AE7" w:rsidRDefault="00333EBB">
                <w:pPr>
                  <w:jc w:val="center"/>
                  <w:rPr>
                    <w:rFonts w:hint="eastAsia"/>
                    <w:color w:val="000000" w:themeColor="text1"/>
                    <w:sz w:val="21"/>
                    <w:szCs w:val="21"/>
                  </w:rPr>
                </w:pPr>
                <w:r>
                  <w:rPr>
                    <w:rFonts w:hint="eastAsia"/>
                    <w:color w:val="000000" w:themeColor="text1"/>
                    <w:sz w:val="21"/>
                    <w:szCs w:val="21"/>
                  </w:rPr>
                  <w:t>类别</w:t>
                </w:r>
              </w:p>
            </w:tc>
          </w:sdtContent>
        </w:sdt>
        <w:sdt>
          <w:sdtPr>
            <w:rPr>
              <w:rFonts w:hint="eastAsia"/>
              <w:color w:val="000000" w:themeColor="text1"/>
              <w:sz w:val="21"/>
              <w:szCs w:val="21"/>
            </w:rPr>
            <w:tag w:val="_PLD_8d348d82b79742e3a1beed09474847b8"/>
            <w:id w:val="-2021838032"/>
          </w:sdtPr>
          <w:sdtEndPr/>
          <w:sdtContent>
            <w:tc>
              <w:tcPr>
                <w:tcW w:w="2216" w:type="pct"/>
                <w:gridSpan w:val="5"/>
                <w:tcBorders>
                  <w:top w:val="single" w:sz="4" w:space="0" w:color="auto"/>
                  <w:left w:val="single" w:sz="4" w:space="0" w:color="auto"/>
                  <w:right w:val="single" w:sz="4" w:space="0" w:color="auto"/>
                </w:tcBorders>
                <w:vAlign w:val="center"/>
              </w:tcPr>
              <w:p w14:paraId="29C1D8EF" w14:textId="77777777" w:rsidR="002D0AE7" w:rsidRDefault="00333EBB">
                <w:pPr>
                  <w:autoSpaceDE w:val="0"/>
                  <w:autoSpaceDN w:val="0"/>
                  <w:adjustRightInd w:val="0"/>
                  <w:snapToGrid w:val="0"/>
                  <w:spacing w:line="240" w:lineRule="atLeast"/>
                  <w:jc w:val="center"/>
                  <w:rPr>
                    <w:rFonts w:hint="eastAsia"/>
                    <w:color w:val="000000" w:themeColor="text1"/>
                    <w:sz w:val="21"/>
                    <w:szCs w:val="21"/>
                  </w:rPr>
                </w:pPr>
                <w:r>
                  <w:rPr>
                    <w:rFonts w:hint="eastAsia"/>
                    <w:color w:val="000000" w:themeColor="text1"/>
                    <w:sz w:val="21"/>
                    <w:szCs w:val="21"/>
                  </w:rPr>
                  <w:t>期末余额</w:t>
                </w:r>
              </w:p>
            </w:tc>
          </w:sdtContent>
        </w:sdt>
        <w:sdt>
          <w:sdtPr>
            <w:rPr>
              <w:rFonts w:hint="eastAsia"/>
              <w:color w:val="000000" w:themeColor="text1"/>
              <w:sz w:val="21"/>
              <w:szCs w:val="21"/>
            </w:rPr>
            <w:tag w:val="_PLD_5a7985e7bb214c1382175298b409ab82"/>
            <w:id w:val="-16780020"/>
          </w:sdtPr>
          <w:sdtEndPr/>
          <w:sdtContent>
            <w:tc>
              <w:tcPr>
                <w:tcW w:w="2216" w:type="pct"/>
                <w:gridSpan w:val="5"/>
                <w:tcBorders>
                  <w:top w:val="single" w:sz="4" w:space="0" w:color="auto"/>
                  <w:left w:val="single" w:sz="4" w:space="0" w:color="auto"/>
                  <w:right w:val="single" w:sz="4" w:space="0" w:color="auto"/>
                </w:tcBorders>
                <w:vAlign w:val="center"/>
              </w:tcPr>
              <w:p w14:paraId="0CAC1F5F" w14:textId="77777777" w:rsidR="002D0AE7" w:rsidRDefault="00333EBB">
                <w:pPr>
                  <w:autoSpaceDE w:val="0"/>
                  <w:autoSpaceDN w:val="0"/>
                  <w:adjustRightInd w:val="0"/>
                  <w:snapToGrid w:val="0"/>
                  <w:spacing w:line="240" w:lineRule="atLeast"/>
                  <w:jc w:val="center"/>
                  <w:rPr>
                    <w:rFonts w:hint="eastAsia"/>
                    <w:color w:val="000000" w:themeColor="text1"/>
                    <w:sz w:val="21"/>
                    <w:szCs w:val="21"/>
                  </w:rPr>
                </w:pPr>
                <w:r>
                  <w:rPr>
                    <w:rFonts w:hint="eastAsia"/>
                    <w:color w:val="000000" w:themeColor="text1"/>
                    <w:sz w:val="21"/>
                    <w:szCs w:val="21"/>
                  </w:rPr>
                  <w:t>期初余额</w:t>
                </w:r>
              </w:p>
            </w:tc>
          </w:sdtContent>
        </w:sdt>
      </w:tr>
      <w:tr w:rsidR="002D0AE7" w14:paraId="38E2D9F6" w14:textId="77777777">
        <w:trPr>
          <w:cantSplit/>
          <w:trHeight w:val="227"/>
          <w:jc w:val="center"/>
        </w:trPr>
        <w:tc>
          <w:tcPr>
            <w:tcW w:w="568" w:type="pct"/>
            <w:vMerge/>
            <w:tcBorders>
              <w:left w:val="single" w:sz="4" w:space="0" w:color="auto"/>
              <w:right w:val="single" w:sz="4" w:space="0" w:color="auto"/>
            </w:tcBorders>
            <w:vAlign w:val="center"/>
          </w:tcPr>
          <w:p w14:paraId="194F132A" w14:textId="77777777" w:rsidR="002D0AE7" w:rsidRDefault="002D0AE7">
            <w:pPr>
              <w:rPr>
                <w:rFonts w:hint="eastAsia"/>
                <w:color w:val="000000" w:themeColor="text1"/>
                <w:sz w:val="21"/>
                <w:szCs w:val="21"/>
              </w:rPr>
            </w:pPr>
          </w:p>
        </w:tc>
        <w:sdt>
          <w:sdtPr>
            <w:rPr>
              <w:rFonts w:hint="eastAsia"/>
              <w:color w:val="000000" w:themeColor="text1"/>
              <w:sz w:val="21"/>
              <w:szCs w:val="21"/>
            </w:rPr>
            <w:tag w:val="_PLD_33957afafd6e4c78935ecdc01c6fd4a3"/>
            <w:id w:val="1264183068"/>
          </w:sdtPr>
          <w:sdtEndPr/>
          <w:sdtContent>
            <w:tc>
              <w:tcPr>
                <w:tcW w:w="1025" w:type="pct"/>
                <w:gridSpan w:val="2"/>
                <w:tcBorders>
                  <w:top w:val="single" w:sz="4" w:space="0" w:color="auto"/>
                  <w:left w:val="single" w:sz="4" w:space="0" w:color="auto"/>
                  <w:bottom w:val="single" w:sz="4" w:space="0" w:color="auto"/>
                  <w:right w:val="single" w:sz="4" w:space="0" w:color="auto"/>
                </w:tcBorders>
                <w:vAlign w:val="center"/>
              </w:tcPr>
              <w:p w14:paraId="099EF001" w14:textId="77777777" w:rsidR="002D0AE7" w:rsidRDefault="00333EBB">
                <w:pPr>
                  <w:jc w:val="center"/>
                  <w:rPr>
                    <w:rFonts w:hint="eastAsia"/>
                    <w:color w:val="000000" w:themeColor="text1"/>
                    <w:sz w:val="21"/>
                    <w:szCs w:val="21"/>
                  </w:rPr>
                </w:pPr>
                <w:r>
                  <w:rPr>
                    <w:rFonts w:hint="eastAsia"/>
                    <w:color w:val="000000" w:themeColor="text1"/>
                    <w:sz w:val="21"/>
                    <w:szCs w:val="21"/>
                  </w:rPr>
                  <w:t>账面余额</w:t>
                </w:r>
              </w:p>
            </w:tc>
          </w:sdtContent>
        </w:sdt>
        <w:sdt>
          <w:sdtPr>
            <w:rPr>
              <w:rFonts w:hint="eastAsia"/>
              <w:color w:val="000000" w:themeColor="text1"/>
              <w:sz w:val="21"/>
              <w:szCs w:val="21"/>
            </w:rPr>
            <w:tag w:val="_PLD_02b8d4e96b1e4b86b23c730ac1de8231"/>
            <w:id w:val="2033763048"/>
          </w:sdtPr>
          <w:sdtEndPr/>
          <w:sdtContent>
            <w:tc>
              <w:tcPr>
                <w:tcW w:w="516" w:type="pct"/>
                <w:gridSpan w:val="2"/>
                <w:tcBorders>
                  <w:top w:val="single" w:sz="4" w:space="0" w:color="auto"/>
                  <w:left w:val="single" w:sz="4" w:space="0" w:color="auto"/>
                  <w:bottom w:val="single" w:sz="4" w:space="0" w:color="auto"/>
                  <w:right w:val="single" w:sz="4" w:space="0" w:color="auto"/>
                </w:tcBorders>
                <w:vAlign w:val="center"/>
              </w:tcPr>
              <w:p w14:paraId="3169FD41" w14:textId="77777777" w:rsidR="002D0AE7" w:rsidRDefault="00333EBB">
                <w:pPr>
                  <w:jc w:val="center"/>
                  <w:rPr>
                    <w:rFonts w:hint="eastAsia"/>
                    <w:color w:val="000000" w:themeColor="text1"/>
                    <w:sz w:val="21"/>
                    <w:szCs w:val="21"/>
                  </w:rPr>
                </w:pPr>
                <w:r>
                  <w:rPr>
                    <w:rFonts w:hint="eastAsia"/>
                    <w:color w:val="000000" w:themeColor="text1"/>
                    <w:sz w:val="21"/>
                    <w:szCs w:val="21"/>
                  </w:rPr>
                  <w:t>坏账准备</w:t>
                </w:r>
              </w:p>
            </w:tc>
          </w:sdtContent>
        </w:sdt>
        <w:sdt>
          <w:sdtPr>
            <w:rPr>
              <w:rFonts w:hint="eastAsia"/>
              <w:color w:val="000000" w:themeColor="text1"/>
              <w:sz w:val="21"/>
              <w:szCs w:val="21"/>
            </w:rPr>
            <w:tag w:val="_PLD_4c4d5f8d41874515a185b16534d14f49"/>
            <w:id w:val="210613779"/>
          </w:sdtPr>
          <w:sdtEndPr/>
          <w:sdtContent>
            <w:tc>
              <w:tcPr>
                <w:tcW w:w="675" w:type="pct"/>
                <w:vMerge w:val="restart"/>
                <w:tcBorders>
                  <w:top w:val="single" w:sz="4" w:space="0" w:color="auto"/>
                  <w:left w:val="single" w:sz="4" w:space="0" w:color="auto"/>
                  <w:right w:val="single" w:sz="4" w:space="0" w:color="auto"/>
                </w:tcBorders>
                <w:vAlign w:val="center"/>
              </w:tcPr>
              <w:p w14:paraId="4A256481" w14:textId="77777777" w:rsidR="002D0AE7" w:rsidRDefault="00333EBB">
                <w:pPr>
                  <w:jc w:val="center"/>
                  <w:rPr>
                    <w:rFonts w:hint="eastAsia"/>
                    <w:color w:val="000000" w:themeColor="text1"/>
                    <w:sz w:val="21"/>
                    <w:szCs w:val="21"/>
                  </w:rPr>
                </w:pPr>
                <w:r>
                  <w:rPr>
                    <w:rFonts w:hint="eastAsia"/>
                    <w:color w:val="000000" w:themeColor="text1"/>
                    <w:sz w:val="21"/>
                    <w:szCs w:val="21"/>
                  </w:rPr>
                  <w:t>账面</w:t>
                </w:r>
              </w:p>
              <w:p w14:paraId="178D840E" w14:textId="77777777" w:rsidR="002D0AE7" w:rsidRDefault="00333EBB">
                <w:pPr>
                  <w:jc w:val="center"/>
                  <w:rPr>
                    <w:rFonts w:hint="eastAsia"/>
                    <w:color w:val="000000" w:themeColor="text1"/>
                    <w:sz w:val="21"/>
                    <w:szCs w:val="21"/>
                  </w:rPr>
                </w:pPr>
                <w:r>
                  <w:rPr>
                    <w:rFonts w:hint="eastAsia"/>
                    <w:color w:val="000000" w:themeColor="text1"/>
                    <w:sz w:val="21"/>
                    <w:szCs w:val="21"/>
                  </w:rPr>
                  <w:lastRenderedPageBreak/>
                  <w:t>价值</w:t>
                </w:r>
              </w:p>
            </w:tc>
          </w:sdtContent>
        </w:sdt>
        <w:sdt>
          <w:sdtPr>
            <w:rPr>
              <w:rFonts w:hint="eastAsia"/>
              <w:color w:val="000000" w:themeColor="text1"/>
              <w:sz w:val="21"/>
              <w:szCs w:val="21"/>
            </w:rPr>
            <w:tag w:val="_PLD_3ec60523afa948cba0ceb8404106dbc7"/>
            <w:id w:val="1698193997"/>
          </w:sdtPr>
          <w:sdtEndPr/>
          <w:sdtContent>
            <w:tc>
              <w:tcPr>
                <w:tcW w:w="1025" w:type="pct"/>
                <w:gridSpan w:val="2"/>
                <w:tcBorders>
                  <w:top w:val="single" w:sz="4" w:space="0" w:color="auto"/>
                  <w:left w:val="single" w:sz="4" w:space="0" w:color="auto"/>
                  <w:right w:val="single" w:sz="4" w:space="0" w:color="auto"/>
                </w:tcBorders>
                <w:vAlign w:val="center"/>
              </w:tcPr>
              <w:p w14:paraId="2B0FC2BC" w14:textId="77777777" w:rsidR="002D0AE7" w:rsidRDefault="00333EBB">
                <w:pPr>
                  <w:jc w:val="center"/>
                  <w:rPr>
                    <w:rFonts w:hint="eastAsia"/>
                    <w:color w:val="000000" w:themeColor="text1"/>
                    <w:sz w:val="21"/>
                    <w:szCs w:val="21"/>
                  </w:rPr>
                </w:pPr>
                <w:r>
                  <w:rPr>
                    <w:rFonts w:hint="eastAsia"/>
                    <w:color w:val="000000" w:themeColor="text1"/>
                    <w:sz w:val="21"/>
                    <w:szCs w:val="21"/>
                  </w:rPr>
                  <w:t>账面余额</w:t>
                </w:r>
              </w:p>
            </w:tc>
          </w:sdtContent>
        </w:sdt>
        <w:sdt>
          <w:sdtPr>
            <w:rPr>
              <w:rFonts w:hint="eastAsia"/>
              <w:color w:val="000000" w:themeColor="text1"/>
              <w:sz w:val="21"/>
              <w:szCs w:val="21"/>
            </w:rPr>
            <w:tag w:val="_PLD_730fcc4fa8de48cfa2ce9d1237a39e4b"/>
            <w:id w:val="1928764528"/>
          </w:sdtPr>
          <w:sdtEndPr/>
          <w:sdtContent>
            <w:tc>
              <w:tcPr>
                <w:tcW w:w="516" w:type="pct"/>
                <w:gridSpan w:val="2"/>
                <w:tcBorders>
                  <w:top w:val="single" w:sz="4" w:space="0" w:color="auto"/>
                  <w:left w:val="single" w:sz="4" w:space="0" w:color="auto"/>
                  <w:right w:val="single" w:sz="4" w:space="0" w:color="auto"/>
                </w:tcBorders>
                <w:vAlign w:val="center"/>
              </w:tcPr>
              <w:p w14:paraId="16AE823D" w14:textId="77777777" w:rsidR="002D0AE7" w:rsidRDefault="00333EBB">
                <w:pPr>
                  <w:jc w:val="center"/>
                  <w:rPr>
                    <w:rFonts w:hint="eastAsia"/>
                    <w:color w:val="000000" w:themeColor="text1"/>
                    <w:sz w:val="21"/>
                    <w:szCs w:val="21"/>
                  </w:rPr>
                </w:pPr>
                <w:r>
                  <w:rPr>
                    <w:rFonts w:hint="eastAsia"/>
                    <w:color w:val="000000" w:themeColor="text1"/>
                    <w:sz w:val="21"/>
                    <w:szCs w:val="21"/>
                  </w:rPr>
                  <w:t>坏账准备</w:t>
                </w:r>
              </w:p>
            </w:tc>
          </w:sdtContent>
        </w:sdt>
        <w:sdt>
          <w:sdtPr>
            <w:rPr>
              <w:rFonts w:hint="eastAsia"/>
              <w:color w:val="000000" w:themeColor="text1"/>
              <w:sz w:val="21"/>
              <w:szCs w:val="21"/>
            </w:rPr>
            <w:tag w:val="_PLD_c09c2414dd8946b58d2ac98b4f54fcba"/>
            <w:id w:val="-614753297"/>
          </w:sdtPr>
          <w:sdtEndPr/>
          <w:sdtContent>
            <w:tc>
              <w:tcPr>
                <w:tcW w:w="675" w:type="pct"/>
                <w:vMerge w:val="restart"/>
                <w:tcBorders>
                  <w:top w:val="single" w:sz="4" w:space="0" w:color="auto"/>
                  <w:left w:val="single" w:sz="4" w:space="0" w:color="auto"/>
                  <w:right w:val="single" w:sz="4" w:space="0" w:color="auto"/>
                </w:tcBorders>
                <w:vAlign w:val="center"/>
              </w:tcPr>
              <w:p w14:paraId="3FC70CC4" w14:textId="77777777" w:rsidR="002D0AE7" w:rsidRDefault="00333EBB">
                <w:pPr>
                  <w:jc w:val="center"/>
                  <w:rPr>
                    <w:rFonts w:hint="eastAsia"/>
                    <w:color w:val="000000" w:themeColor="text1"/>
                    <w:sz w:val="21"/>
                    <w:szCs w:val="21"/>
                  </w:rPr>
                </w:pPr>
                <w:r>
                  <w:rPr>
                    <w:rFonts w:hint="eastAsia"/>
                    <w:color w:val="000000" w:themeColor="text1"/>
                    <w:sz w:val="21"/>
                    <w:szCs w:val="21"/>
                  </w:rPr>
                  <w:t>账面</w:t>
                </w:r>
              </w:p>
              <w:p w14:paraId="5241944B" w14:textId="77777777" w:rsidR="002D0AE7" w:rsidRDefault="00333EBB">
                <w:pPr>
                  <w:jc w:val="center"/>
                  <w:rPr>
                    <w:rFonts w:hint="eastAsia"/>
                    <w:color w:val="000000" w:themeColor="text1"/>
                    <w:sz w:val="21"/>
                    <w:szCs w:val="21"/>
                  </w:rPr>
                </w:pPr>
                <w:r>
                  <w:rPr>
                    <w:rFonts w:hint="eastAsia"/>
                    <w:color w:val="000000" w:themeColor="text1"/>
                    <w:sz w:val="21"/>
                    <w:szCs w:val="21"/>
                  </w:rPr>
                  <w:lastRenderedPageBreak/>
                  <w:t>价值</w:t>
                </w:r>
              </w:p>
            </w:tc>
          </w:sdtContent>
        </w:sdt>
      </w:tr>
      <w:tr w:rsidR="002D0AE7" w14:paraId="5D9C3944" w14:textId="77777777">
        <w:trPr>
          <w:cantSplit/>
          <w:trHeight w:val="375"/>
          <w:jc w:val="center"/>
        </w:trPr>
        <w:tc>
          <w:tcPr>
            <w:tcW w:w="568" w:type="pct"/>
            <w:vMerge/>
            <w:tcBorders>
              <w:left w:val="single" w:sz="4" w:space="0" w:color="auto"/>
              <w:bottom w:val="single" w:sz="4" w:space="0" w:color="auto"/>
              <w:right w:val="single" w:sz="4" w:space="0" w:color="auto"/>
            </w:tcBorders>
            <w:vAlign w:val="center"/>
          </w:tcPr>
          <w:p w14:paraId="71D08E9A" w14:textId="77777777" w:rsidR="002D0AE7" w:rsidRDefault="002D0AE7">
            <w:pPr>
              <w:rPr>
                <w:rFonts w:hint="eastAsia"/>
                <w:color w:val="000000" w:themeColor="text1"/>
                <w:sz w:val="21"/>
                <w:szCs w:val="21"/>
              </w:rPr>
            </w:pPr>
          </w:p>
        </w:tc>
        <w:sdt>
          <w:sdtPr>
            <w:rPr>
              <w:rFonts w:hint="eastAsia"/>
              <w:color w:val="000000" w:themeColor="text1"/>
              <w:sz w:val="21"/>
              <w:szCs w:val="21"/>
            </w:rPr>
            <w:tag w:val="_PLD_cf02385b9edd4f9092c58b53397050ca"/>
            <w:id w:val="1986429075"/>
          </w:sdtPr>
          <w:sdtEndPr/>
          <w:sdtContent>
            <w:tc>
              <w:tcPr>
                <w:tcW w:w="675" w:type="pct"/>
                <w:tcBorders>
                  <w:left w:val="single" w:sz="4" w:space="0" w:color="auto"/>
                  <w:bottom w:val="single" w:sz="4" w:space="0" w:color="auto"/>
                  <w:right w:val="single" w:sz="4" w:space="0" w:color="auto"/>
                </w:tcBorders>
                <w:vAlign w:val="center"/>
              </w:tcPr>
              <w:p w14:paraId="68FB9AC9" w14:textId="77777777" w:rsidR="002D0AE7" w:rsidRDefault="00333EBB">
                <w:pPr>
                  <w:jc w:val="center"/>
                  <w:rPr>
                    <w:rFonts w:hint="eastAsia"/>
                    <w:color w:val="000000" w:themeColor="text1"/>
                    <w:sz w:val="21"/>
                    <w:szCs w:val="21"/>
                  </w:rPr>
                </w:pPr>
                <w:r>
                  <w:rPr>
                    <w:rFonts w:hint="eastAsia"/>
                    <w:color w:val="000000" w:themeColor="text1"/>
                    <w:sz w:val="21"/>
                    <w:szCs w:val="21"/>
                  </w:rPr>
                  <w:t>金额</w:t>
                </w:r>
              </w:p>
            </w:tc>
          </w:sdtContent>
        </w:sdt>
        <w:sdt>
          <w:sdtPr>
            <w:rPr>
              <w:rFonts w:hint="eastAsia"/>
              <w:color w:val="000000" w:themeColor="text1"/>
              <w:sz w:val="21"/>
              <w:szCs w:val="21"/>
            </w:rPr>
            <w:tag w:val="_PLD_69e455e411e4404d95e7d6ca4ad66fc0"/>
            <w:id w:val="-515148778"/>
          </w:sdtPr>
          <w:sdtEndPr>
            <w:rPr>
              <w:rFonts w:hint="default"/>
            </w:rPr>
          </w:sdtEndPr>
          <w:sdtContent>
            <w:tc>
              <w:tcPr>
                <w:tcW w:w="350" w:type="pct"/>
                <w:tcBorders>
                  <w:left w:val="single" w:sz="4" w:space="0" w:color="auto"/>
                  <w:bottom w:val="single" w:sz="4" w:space="0" w:color="auto"/>
                  <w:right w:val="single" w:sz="4" w:space="0" w:color="auto"/>
                </w:tcBorders>
                <w:vAlign w:val="center"/>
              </w:tcPr>
              <w:p w14:paraId="176E0024" w14:textId="77777777" w:rsidR="002D0AE7" w:rsidRDefault="00333EBB">
                <w:pPr>
                  <w:jc w:val="center"/>
                  <w:rPr>
                    <w:rFonts w:hint="eastAsia"/>
                    <w:color w:val="000000" w:themeColor="text1"/>
                    <w:sz w:val="21"/>
                    <w:szCs w:val="21"/>
                  </w:rPr>
                </w:pPr>
                <w:r>
                  <w:rPr>
                    <w:rFonts w:hint="eastAsia"/>
                    <w:color w:val="000000" w:themeColor="text1"/>
                    <w:sz w:val="21"/>
                    <w:szCs w:val="21"/>
                  </w:rPr>
                  <w:t>比例</w:t>
                </w:r>
                <w:r>
                  <w:rPr>
                    <w:color w:val="000000" w:themeColor="text1"/>
                    <w:sz w:val="21"/>
                    <w:szCs w:val="21"/>
                  </w:rPr>
                  <w:t>(%)</w:t>
                </w:r>
              </w:p>
            </w:tc>
          </w:sdtContent>
        </w:sdt>
        <w:sdt>
          <w:sdtPr>
            <w:rPr>
              <w:rFonts w:hint="eastAsia"/>
              <w:color w:val="000000" w:themeColor="text1"/>
              <w:sz w:val="21"/>
              <w:szCs w:val="21"/>
            </w:rPr>
            <w:tag w:val="_PLD_9c94fe32a1b24e3696cf5acf8740e42d"/>
            <w:id w:val="-1116445353"/>
          </w:sdtPr>
          <w:sdtEndPr/>
          <w:sdtContent>
            <w:tc>
              <w:tcPr>
                <w:tcW w:w="258" w:type="pct"/>
                <w:tcBorders>
                  <w:left w:val="single" w:sz="4" w:space="0" w:color="auto"/>
                  <w:bottom w:val="single" w:sz="4" w:space="0" w:color="auto"/>
                  <w:right w:val="single" w:sz="4" w:space="0" w:color="auto"/>
                </w:tcBorders>
                <w:vAlign w:val="center"/>
              </w:tcPr>
              <w:p w14:paraId="720826DD" w14:textId="77777777" w:rsidR="002D0AE7" w:rsidRDefault="00333EBB">
                <w:pPr>
                  <w:jc w:val="center"/>
                  <w:rPr>
                    <w:rFonts w:hint="eastAsia"/>
                    <w:color w:val="000000" w:themeColor="text1"/>
                    <w:sz w:val="21"/>
                    <w:szCs w:val="21"/>
                  </w:rPr>
                </w:pPr>
                <w:r>
                  <w:rPr>
                    <w:rFonts w:hint="eastAsia"/>
                    <w:color w:val="000000" w:themeColor="text1"/>
                    <w:sz w:val="21"/>
                    <w:szCs w:val="21"/>
                  </w:rPr>
                  <w:t>金额</w:t>
                </w:r>
              </w:p>
            </w:tc>
          </w:sdtContent>
        </w:sdt>
        <w:sdt>
          <w:sdtPr>
            <w:rPr>
              <w:rFonts w:hint="eastAsia"/>
              <w:color w:val="000000" w:themeColor="text1"/>
              <w:sz w:val="21"/>
              <w:szCs w:val="21"/>
            </w:rPr>
            <w:tag w:val="_PLD_b8b01992765645ed98274f40b2920d16"/>
            <w:id w:val="483284675"/>
          </w:sdtPr>
          <w:sdtEndPr>
            <w:rPr>
              <w:rFonts w:hint="default"/>
            </w:rPr>
          </w:sdtEndPr>
          <w:sdtContent>
            <w:tc>
              <w:tcPr>
                <w:tcW w:w="258" w:type="pct"/>
                <w:tcBorders>
                  <w:left w:val="single" w:sz="4" w:space="0" w:color="auto"/>
                  <w:bottom w:val="single" w:sz="4" w:space="0" w:color="auto"/>
                  <w:right w:val="single" w:sz="4" w:space="0" w:color="auto"/>
                </w:tcBorders>
                <w:vAlign w:val="center"/>
              </w:tcPr>
              <w:p w14:paraId="3DC7D88F" w14:textId="77777777" w:rsidR="002D0AE7" w:rsidRDefault="00333EBB">
                <w:pPr>
                  <w:jc w:val="center"/>
                  <w:rPr>
                    <w:rFonts w:hint="eastAsia"/>
                    <w:color w:val="000000" w:themeColor="text1"/>
                    <w:sz w:val="21"/>
                    <w:szCs w:val="21"/>
                  </w:rPr>
                </w:pPr>
                <w:r>
                  <w:rPr>
                    <w:rFonts w:hint="eastAsia"/>
                    <w:color w:val="000000" w:themeColor="text1"/>
                    <w:sz w:val="21"/>
                    <w:szCs w:val="21"/>
                  </w:rPr>
                  <w:t>计提比例</w:t>
                </w:r>
                <w:r>
                  <w:rPr>
                    <w:color w:val="000000" w:themeColor="text1"/>
                    <w:sz w:val="21"/>
                    <w:szCs w:val="21"/>
                  </w:rPr>
                  <w:t>(%)</w:t>
                </w:r>
              </w:p>
            </w:tc>
          </w:sdtContent>
        </w:sdt>
        <w:tc>
          <w:tcPr>
            <w:tcW w:w="675" w:type="pct"/>
            <w:vMerge/>
            <w:tcBorders>
              <w:left w:val="single" w:sz="4" w:space="0" w:color="auto"/>
              <w:bottom w:val="single" w:sz="4" w:space="0" w:color="auto"/>
              <w:right w:val="single" w:sz="4" w:space="0" w:color="auto"/>
            </w:tcBorders>
            <w:vAlign w:val="center"/>
          </w:tcPr>
          <w:p w14:paraId="36CBAB8F" w14:textId="77777777" w:rsidR="002D0AE7" w:rsidRDefault="002D0AE7">
            <w:pPr>
              <w:jc w:val="center"/>
              <w:rPr>
                <w:rFonts w:hint="eastAsia"/>
                <w:color w:val="000000" w:themeColor="text1"/>
                <w:sz w:val="21"/>
                <w:szCs w:val="21"/>
              </w:rPr>
            </w:pPr>
          </w:p>
        </w:tc>
        <w:sdt>
          <w:sdtPr>
            <w:rPr>
              <w:rFonts w:hint="eastAsia"/>
              <w:color w:val="000000" w:themeColor="text1"/>
              <w:sz w:val="21"/>
              <w:szCs w:val="21"/>
            </w:rPr>
            <w:tag w:val="_PLD_2780b50fec7f4a369e2e2c5559b5df81"/>
            <w:id w:val="-761072938"/>
          </w:sdtPr>
          <w:sdtEndPr/>
          <w:sdtContent>
            <w:tc>
              <w:tcPr>
                <w:tcW w:w="675" w:type="pct"/>
                <w:tcBorders>
                  <w:left w:val="single" w:sz="4" w:space="0" w:color="auto"/>
                  <w:bottom w:val="single" w:sz="4" w:space="0" w:color="auto"/>
                  <w:right w:val="single" w:sz="4" w:space="0" w:color="auto"/>
                </w:tcBorders>
                <w:vAlign w:val="center"/>
              </w:tcPr>
              <w:p w14:paraId="3E815CF9" w14:textId="77777777" w:rsidR="002D0AE7" w:rsidRDefault="00333EBB">
                <w:pPr>
                  <w:jc w:val="center"/>
                  <w:rPr>
                    <w:rFonts w:hint="eastAsia"/>
                    <w:color w:val="000000" w:themeColor="text1"/>
                    <w:sz w:val="21"/>
                    <w:szCs w:val="21"/>
                  </w:rPr>
                </w:pPr>
                <w:r>
                  <w:rPr>
                    <w:rFonts w:hint="eastAsia"/>
                    <w:color w:val="000000" w:themeColor="text1"/>
                    <w:sz w:val="21"/>
                    <w:szCs w:val="21"/>
                  </w:rPr>
                  <w:t>金额</w:t>
                </w:r>
              </w:p>
            </w:tc>
          </w:sdtContent>
        </w:sdt>
        <w:sdt>
          <w:sdtPr>
            <w:rPr>
              <w:rFonts w:hint="eastAsia"/>
              <w:color w:val="000000" w:themeColor="text1"/>
              <w:sz w:val="21"/>
              <w:szCs w:val="21"/>
            </w:rPr>
            <w:tag w:val="_PLD_1d1994b5339b478e89c5a437bc3cdacc"/>
            <w:id w:val="1558666020"/>
          </w:sdtPr>
          <w:sdtEndPr>
            <w:rPr>
              <w:rFonts w:hint="default"/>
            </w:rPr>
          </w:sdtEndPr>
          <w:sdtContent>
            <w:tc>
              <w:tcPr>
                <w:tcW w:w="350" w:type="pct"/>
                <w:tcBorders>
                  <w:left w:val="single" w:sz="4" w:space="0" w:color="auto"/>
                  <w:bottom w:val="single" w:sz="4" w:space="0" w:color="auto"/>
                  <w:right w:val="single" w:sz="4" w:space="0" w:color="auto"/>
                </w:tcBorders>
                <w:vAlign w:val="center"/>
              </w:tcPr>
              <w:p w14:paraId="03D89600" w14:textId="77777777" w:rsidR="002D0AE7" w:rsidRDefault="00333EBB">
                <w:pPr>
                  <w:jc w:val="center"/>
                  <w:rPr>
                    <w:rFonts w:hint="eastAsia"/>
                    <w:color w:val="000000" w:themeColor="text1"/>
                    <w:sz w:val="21"/>
                    <w:szCs w:val="21"/>
                  </w:rPr>
                </w:pPr>
                <w:r>
                  <w:rPr>
                    <w:rFonts w:hint="eastAsia"/>
                    <w:color w:val="000000" w:themeColor="text1"/>
                    <w:sz w:val="21"/>
                    <w:szCs w:val="21"/>
                  </w:rPr>
                  <w:t>比例</w:t>
                </w:r>
                <w:r>
                  <w:rPr>
                    <w:color w:val="000000" w:themeColor="text1"/>
                    <w:sz w:val="21"/>
                    <w:szCs w:val="21"/>
                  </w:rPr>
                  <w:t>(%)</w:t>
                </w:r>
              </w:p>
            </w:tc>
          </w:sdtContent>
        </w:sdt>
        <w:sdt>
          <w:sdtPr>
            <w:rPr>
              <w:rFonts w:hint="eastAsia"/>
              <w:color w:val="000000" w:themeColor="text1"/>
              <w:sz w:val="21"/>
              <w:szCs w:val="21"/>
            </w:rPr>
            <w:tag w:val="_PLD_c75ffe4e6f2f483ba18a1afb2bfc443c"/>
            <w:id w:val="-886633263"/>
          </w:sdtPr>
          <w:sdtEndPr/>
          <w:sdtContent>
            <w:tc>
              <w:tcPr>
                <w:tcW w:w="258" w:type="pct"/>
                <w:tcBorders>
                  <w:left w:val="single" w:sz="4" w:space="0" w:color="auto"/>
                  <w:bottom w:val="single" w:sz="4" w:space="0" w:color="auto"/>
                  <w:right w:val="single" w:sz="4" w:space="0" w:color="auto"/>
                </w:tcBorders>
                <w:vAlign w:val="center"/>
              </w:tcPr>
              <w:p w14:paraId="26FF33CD" w14:textId="77777777" w:rsidR="002D0AE7" w:rsidRDefault="00333EBB">
                <w:pPr>
                  <w:jc w:val="center"/>
                  <w:rPr>
                    <w:rFonts w:hint="eastAsia"/>
                    <w:color w:val="000000" w:themeColor="text1"/>
                    <w:sz w:val="21"/>
                    <w:szCs w:val="21"/>
                  </w:rPr>
                </w:pPr>
                <w:r>
                  <w:rPr>
                    <w:rFonts w:hint="eastAsia"/>
                    <w:color w:val="000000" w:themeColor="text1"/>
                    <w:sz w:val="21"/>
                    <w:szCs w:val="21"/>
                  </w:rPr>
                  <w:t>金额</w:t>
                </w:r>
              </w:p>
            </w:tc>
          </w:sdtContent>
        </w:sdt>
        <w:sdt>
          <w:sdtPr>
            <w:rPr>
              <w:rFonts w:hint="eastAsia"/>
              <w:color w:val="000000" w:themeColor="text1"/>
              <w:sz w:val="21"/>
              <w:szCs w:val="21"/>
            </w:rPr>
            <w:tag w:val="_PLD_91788d5458b04774af651219e9dcc425"/>
            <w:id w:val="167922726"/>
          </w:sdtPr>
          <w:sdtEndPr>
            <w:rPr>
              <w:rFonts w:hint="default"/>
            </w:rPr>
          </w:sdtEndPr>
          <w:sdtContent>
            <w:tc>
              <w:tcPr>
                <w:tcW w:w="258" w:type="pct"/>
                <w:tcBorders>
                  <w:left w:val="single" w:sz="4" w:space="0" w:color="auto"/>
                  <w:bottom w:val="single" w:sz="4" w:space="0" w:color="auto"/>
                  <w:right w:val="single" w:sz="4" w:space="0" w:color="auto"/>
                </w:tcBorders>
                <w:vAlign w:val="center"/>
              </w:tcPr>
              <w:p w14:paraId="277302FC" w14:textId="77777777" w:rsidR="002D0AE7" w:rsidRDefault="00333EBB">
                <w:pPr>
                  <w:jc w:val="center"/>
                  <w:rPr>
                    <w:rFonts w:hint="eastAsia"/>
                    <w:color w:val="000000" w:themeColor="text1"/>
                    <w:sz w:val="21"/>
                    <w:szCs w:val="21"/>
                  </w:rPr>
                </w:pPr>
                <w:r>
                  <w:rPr>
                    <w:rFonts w:hint="eastAsia"/>
                    <w:color w:val="000000" w:themeColor="text1"/>
                    <w:sz w:val="21"/>
                    <w:szCs w:val="21"/>
                  </w:rPr>
                  <w:t>计提比例</w:t>
                </w:r>
                <w:r>
                  <w:rPr>
                    <w:color w:val="000000" w:themeColor="text1"/>
                    <w:sz w:val="21"/>
                    <w:szCs w:val="21"/>
                  </w:rPr>
                  <w:t>(%)</w:t>
                </w:r>
              </w:p>
            </w:tc>
          </w:sdtContent>
        </w:sdt>
        <w:tc>
          <w:tcPr>
            <w:tcW w:w="675" w:type="pct"/>
            <w:vMerge/>
            <w:tcBorders>
              <w:left w:val="single" w:sz="4" w:space="0" w:color="auto"/>
              <w:bottom w:val="single" w:sz="4" w:space="0" w:color="auto"/>
              <w:right w:val="single" w:sz="4" w:space="0" w:color="auto"/>
            </w:tcBorders>
            <w:vAlign w:val="center"/>
          </w:tcPr>
          <w:p w14:paraId="02464A47" w14:textId="77777777" w:rsidR="002D0AE7" w:rsidRDefault="002D0AE7">
            <w:pPr>
              <w:jc w:val="center"/>
              <w:rPr>
                <w:rFonts w:hint="eastAsia"/>
                <w:color w:val="000000" w:themeColor="text1"/>
                <w:sz w:val="21"/>
                <w:szCs w:val="21"/>
              </w:rPr>
            </w:pPr>
          </w:p>
        </w:tc>
      </w:tr>
      <w:tr w:rsidR="002D0AE7" w14:paraId="3C2C2E35" w14:textId="77777777">
        <w:trPr>
          <w:cantSplit/>
          <w:jc w:val="center"/>
        </w:trPr>
        <w:tc>
          <w:tcPr>
            <w:tcW w:w="568" w:type="pct"/>
            <w:tcBorders>
              <w:top w:val="single" w:sz="4" w:space="0" w:color="auto"/>
              <w:left w:val="single" w:sz="4" w:space="0" w:color="auto"/>
              <w:bottom w:val="single" w:sz="4" w:space="0" w:color="auto"/>
              <w:right w:val="single" w:sz="4" w:space="0" w:color="auto"/>
            </w:tcBorders>
            <w:vAlign w:val="center"/>
          </w:tcPr>
          <w:p w14:paraId="4D4DDDBD" w14:textId="77777777" w:rsidR="002D0AE7" w:rsidRDefault="00333EBB">
            <w:pPr>
              <w:rPr>
                <w:rFonts w:hint="eastAsia"/>
                <w:color w:val="000000" w:themeColor="text1"/>
                <w:sz w:val="21"/>
                <w:szCs w:val="21"/>
              </w:rPr>
            </w:pPr>
            <w:r>
              <w:rPr>
                <w:rFonts w:hint="eastAsia"/>
                <w:color w:val="000000" w:themeColor="text1"/>
                <w:sz w:val="21"/>
                <w:szCs w:val="21"/>
              </w:rPr>
              <w:t>按单项计提坏账准备</w:t>
            </w:r>
          </w:p>
        </w:tc>
        <w:tc>
          <w:tcPr>
            <w:tcW w:w="675" w:type="pct"/>
            <w:tcBorders>
              <w:top w:val="single" w:sz="4" w:space="0" w:color="auto"/>
              <w:left w:val="single" w:sz="4" w:space="0" w:color="auto"/>
              <w:bottom w:val="single" w:sz="4" w:space="0" w:color="auto"/>
              <w:right w:val="single" w:sz="4" w:space="0" w:color="auto"/>
            </w:tcBorders>
            <w:vAlign w:val="center"/>
          </w:tcPr>
          <w:p w14:paraId="3F408C0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350" w:type="pct"/>
            <w:tcBorders>
              <w:top w:val="single" w:sz="4" w:space="0" w:color="auto"/>
              <w:left w:val="single" w:sz="4" w:space="0" w:color="auto"/>
              <w:bottom w:val="single" w:sz="4" w:space="0" w:color="auto"/>
              <w:right w:val="single" w:sz="4" w:space="0" w:color="auto"/>
            </w:tcBorders>
            <w:vAlign w:val="center"/>
          </w:tcPr>
          <w:p w14:paraId="2A49BA3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258" w:type="pct"/>
            <w:tcBorders>
              <w:top w:val="single" w:sz="4" w:space="0" w:color="auto"/>
              <w:left w:val="single" w:sz="4" w:space="0" w:color="auto"/>
              <w:bottom w:val="single" w:sz="4" w:space="0" w:color="auto"/>
              <w:right w:val="single" w:sz="4" w:space="0" w:color="auto"/>
            </w:tcBorders>
            <w:vAlign w:val="center"/>
          </w:tcPr>
          <w:p w14:paraId="697ACF76" w14:textId="77777777" w:rsidR="002D0AE7" w:rsidRDefault="00333EBB">
            <w:pPr>
              <w:rPr>
                <w:rFonts w:ascii="Times New Roman" w:hAnsi="Times New Roman" w:cs="Times New Roman"/>
                <w:sz w:val="21"/>
                <w:szCs w:val="21"/>
              </w:rPr>
            </w:pPr>
            <w:r>
              <w:rPr>
                <w:rFonts w:ascii="Times New Roman" w:hAnsi="Times New Roman" w:cs="Times New Roman"/>
                <w:sz w:val="21"/>
                <w:szCs w:val="21"/>
              </w:rPr>
              <w:t>0.00</w:t>
            </w:r>
          </w:p>
        </w:tc>
        <w:tc>
          <w:tcPr>
            <w:tcW w:w="258" w:type="pct"/>
            <w:tcBorders>
              <w:top w:val="single" w:sz="4" w:space="0" w:color="auto"/>
              <w:left w:val="single" w:sz="4" w:space="0" w:color="auto"/>
              <w:bottom w:val="single" w:sz="4" w:space="0" w:color="auto"/>
              <w:right w:val="single" w:sz="4" w:space="0" w:color="auto"/>
            </w:tcBorders>
            <w:vAlign w:val="center"/>
          </w:tcPr>
          <w:p w14:paraId="2775D42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75" w:type="pct"/>
            <w:tcBorders>
              <w:top w:val="single" w:sz="4" w:space="0" w:color="auto"/>
              <w:left w:val="single" w:sz="4" w:space="0" w:color="auto"/>
              <w:bottom w:val="single" w:sz="4" w:space="0" w:color="auto"/>
              <w:right w:val="single" w:sz="4" w:space="0" w:color="auto"/>
            </w:tcBorders>
            <w:vAlign w:val="center"/>
          </w:tcPr>
          <w:p w14:paraId="6E57F64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75" w:type="pct"/>
            <w:tcBorders>
              <w:top w:val="single" w:sz="4" w:space="0" w:color="auto"/>
              <w:left w:val="single" w:sz="4" w:space="0" w:color="auto"/>
              <w:bottom w:val="single" w:sz="4" w:space="0" w:color="auto"/>
              <w:right w:val="single" w:sz="4" w:space="0" w:color="auto"/>
            </w:tcBorders>
            <w:vAlign w:val="center"/>
          </w:tcPr>
          <w:p w14:paraId="3F8F675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350" w:type="pct"/>
            <w:tcBorders>
              <w:top w:val="single" w:sz="4" w:space="0" w:color="auto"/>
              <w:left w:val="single" w:sz="4" w:space="0" w:color="auto"/>
              <w:bottom w:val="single" w:sz="4" w:space="0" w:color="auto"/>
              <w:right w:val="single" w:sz="4" w:space="0" w:color="auto"/>
            </w:tcBorders>
            <w:vAlign w:val="center"/>
          </w:tcPr>
          <w:p w14:paraId="7B7C704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258" w:type="pct"/>
            <w:tcBorders>
              <w:top w:val="single" w:sz="4" w:space="0" w:color="auto"/>
              <w:left w:val="single" w:sz="4" w:space="0" w:color="auto"/>
              <w:bottom w:val="single" w:sz="4" w:space="0" w:color="auto"/>
              <w:right w:val="single" w:sz="4" w:space="0" w:color="auto"/>
            </w:tcBorders>
            <w:vAlign w:val="center"/>
          </w:tcPr>
          <w:p w14:paraId="6FED82A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258" w:type="pct"/>
            <w:tcBorders>
              <w:top w:val="single" w:sz="4" w:space="0" w:color="auto"/>
              <w:left w:val="single" w:sz="4" w:space="0" w:color="auto"/>
              <w:bottom w:val="single" w:sz="4" w:space="0" w:color="auto"/>
              <w:right w:val="single" w:sz="4" w:space="0" w:color="auto"/>
            </w:tcBorders>
            <w:vAlign w:val="center"/>
          </w:tcPr>
          <w:p w14:paraId="05B9451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75" w:type="pct"/>
            <w:tcBorders>
              <w:top w:val="single" w:sz="4" w:space="0" w:color="auto"/>
              <w:left w:val="single" w:sz="4" w:space="0" w:color="auto"/>
              <w:bottom w:val="single" w:sz="4" w:space="0" w:color="auto"/>
              <w:right w:val="single" w:sz="4" w:space="0" w:color="auto"/>
            </w:tcBorders>
            <w:vAlign w:val="center"/>
          </w:tcPr>
          <w:p w14:paraId="2F9D2F4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4A9E677F" w14:textId="77777777">
        <w:trPr>
          <w:cantSplit/>
          <w:jc w:val="center"/>
        </w:trPr>
        <w:tc>
          <w:tcPr>
            <w:tcW w:w="568" w:type="pct"/>
            <w:tcBorders>
              <w:top w:val="single" w:sz="4" w:space="0" w:color="auto"/>
              <w:left w:val="single" w:sz="4" w:space="0" w:color="auto"/>
              <w:bottom w:val="single" w:sz="4" w:space="0" w:color="auto"/>
              <w:right w:val="single" w:sz="4" w:space="0" w:color="auto"/>
            </w:tcBorders>
            <w:vAlign w:val="center"/>
          </w:tcPr>
          <w:p w14:paraId="05F5788E" w14:textId="77777777" w:rsidR="002D0AE7" w:rsidRDefault="00333EBB">
            <w:pPr>
              <w:rPr>
                <w:rFonts w:hint="eastAsia"/>
                <w:color w:val="000000" w:themeColor="text1"/>
                <w:sz w:val="21"/>
                <w:szCs w:val="21"/>
              </w:rPr>
            </w:pPr>
            <w:r>
              <w:rPr>
                <w:rFonts w:hint="eastAsia"/>
                <w:color w:val="000000" w:themeColor="text1"/>
                <w:sz w:val="21"/>
                <w:szCs w:val="21"/>
              </w:rPr>
              <w:t>按组合计提坏账准备</w:t>
            </w:r>
          </w:p>
        </w:tc>
        <w:tc>
          <w:tcPr>
            <w:tcW w:w="675" w:type="pct"/>
            <w:tcBorders>
              <w:top w:val="single" w:sz="4" w:space="0" w:color="auto"/>
              <w:left w:val="single" w:sz="4" w:space="0" w:color="auto"/>
              <w:bottom w:val="single" w:sz="4" w:space="0" w:color="auto"/>
              <w:right w:val="single" w:sz="4" w:space="0" w:color="auto"/>
            </w:tcBorders>
            <w:vAlign w:val="center"/>
          </w:tcPr>
          <w:p w14:paraId="351E962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137,749,102.75</w:t>
            </w:r>
          </w:p>
        </w:tc>
        <w:tc>
          <w:tcPr>
            <w:tcW w:w="350" w:type="pct"/>
            <w:tcBorders>
              <w:top w:val="single" w:sz="4" w:space="0" w:color="auto"/>
              <w:left w:val="single" w:sz="4" w:space="0" w:color="auto"/>
              <w:bottom w:val="single" w:sz="4" w:space="0" w:color="auto"/>
              <w:right w:val="single" w:sz="4" w:space="0" w:color="auto"/>
            </w:tcBorders>
            <w:vAlign w:val="center"/>
          </w:tcPr>
          <w:p w14:paraId="7172792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100.00</w:t>
            </w:r>
          </w:p>
        </w:tc>
        <w:tc>
          <w:tcPr>
            <w:tcW w:w="258" w:type="pct"/>
            <w:tcBorders>
              <w:top w:val="single" w:sz="4" w:space="0" w:color="auto"/>
              <w:left w:val="single" w:sz="4" w:space="0" w:color="auto"/>
              <w:bottom w:val="single" w:sz="4" w:space="0" w:color="auto"/>
              <w:right w:val="single" w:sz="4" w:space="0" w:color="auto"/>
            </w:tcBorders>
            <w:vAlign w:val="center"/>
          </w:tcPr>
          <w:p w14:paraId="4F9FC9F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258" w:type="pct"/>
            <w:tcBorders>
              <w:top w:val="single" w:sz="4" w:space="0" w:color="auto"/>
              <w:left w:val="single" w:sz="4" w:space="0" w:color="auto"/>
              <w:bottom w:val="single" w:sz="4" w:space="0" w:color="auto"/>
              <w:right w:val="single" w:sz="4" w:space="0" w:color="auto"/>
            </w:tcBorders>
            <w:vAlign w:val="center"/>
          </w:tcPr>
          <w:p w14:paraId="4013736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75" w:type="pct"/>
            <w:tcBorders>
              <w:top w:val="single" w:sz="4" w:space="0" w:color="auto"/>
              <w:left w:val="single" w:sz="4" w:space="0" w:color="auto"/>
              <w:bottom w:val="single" w:sz="4" w:space="0" w:color="auto"/>
              <w:right w:val="single" w:sz="4" w:space="0" w:color="auto"/>
            </w:tcBorders>
            <w:vAlign w:val="center"/>
          </w:tcPr>
          <w:p w14:paraId="453E0CA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137,749,102.75</w:t>
            </w:r>
          </w:p>
        </w:tc>
        <w:tc>
          <w:tcPr>
            <w:tcW w:w="675" w:type="pct"/>
            <w:tcBorders>
              <w:top w:val="single" w:sz="4" w:space="0" w:color="auto"/>
              <w:left w:val="single" w:sz="4" w:space="0" w:color="auto"/>
              <w:bottom w:val="single" w:sz="4" w:space="0" w:color="auto"/>
              <w:right w:val="single" w:sz="4" w:space="0" w:color="auto"/>
            </w:tcBorders>
            <w:vAlign w:val="center"/>
          </w:tcPr>
          <w:p w14:paraId="787765C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148,378,503.93</w:t>
            </w:r>
          </w:p>
        </w:tc>
        <w:tc>
          <w:tcPr>
            <w:tcW w:w="350" w:type="pct"/>
            <w:tcBorders>
              <w:top w:val="single" w:sz="4" w:space="0" w:color="auto"/>
              <w:left w:val="single" w:sz="4" w:space="0" w:color="auto"/>
              <w:bottom w:val="single" w:sz="4" w:space="0" w:color="auto"/>
              <w:right w:val="single" w:sz="4" w:space="0" w:color="auto"/>
            </w:tcBorders>
            <w:vAlign w:val="center"/>
          </w:tcPr>
          <w:p w14:paraId="1787CB8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100.00</w:t>
            </w:r>
          </w:p>
        </w:tc>
        <w:tc>
          <w:tcPr>
            <w:tcW w:w="258" w:type="pct"/>
            <w:tcBorders>
              <w:top w:val="single" w:sz="4" w:space="0" w:color="auto"/>
              <w:left w:val="single" w:sz="4" w:space="0" w:color="auto"/>
              <w:bottom w:val="single" w:sz="4" w:space="0" w:color="auto"/>
              <w:right w:val="single" w:sz="4" w:space="0" w:color="auto"/>
            </w:tcBorders>
            <w:vAlign w:val="center"/>
          </w:tcPr>
          <w:p w14:paraId="4F988E4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258" w:type="pct"/>
            <w:tcBorders>
              <w:top w:val="single" w:sz="4" w:space="0" w:color="auto"/>
              <w:left w:val="single" w:sz="4" w:space="0" w:color="auto"/>
              <w:bottom w:val="single" w:sz="4" w:space="0" w:color="auto"/>
              <w:right w:val="single" w:sz="4" w:space="0" w:color="auto"/>
            </w:tcBorders>
            <w:vAlign w:val="center"/>
          </w:tcPr>
          <w:p w14:paraId="2A98150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75" w:type="pct"/>
            <w:tcBorders>
              <w:top w:val="single" w:sz="4" w:space="0" w:color="auto"/>
              <w:left w:val="single" w:sz="4" w:space="0" w:color="auto"/>
              <w:bottom w:val="single" w:sz="4" w:space="0" w:color="auto"/>
              <w:right w:val="single" w:sz="4" w:space="0" w:color="auto"/>
            </w:tcBorders>
            <w:vAlign w:val="center"/>
          </w:tcPr>
          <w:p w14:paraId="276AE34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148,378,503.93</w:t>
            </w:r>
          </w:p>
        </w:tc>
      </w:tr>
      <w:tr w:rsidR="002D0AE7" w14:paraId="13FB5475" w14:textId="77777777">
        <w:trPr>
          <w:cantSplit/>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cs="Times New Roman"/>
                <w:color w:val="000000" w:themeColor="text1"/>
                <w:sz w:val="21"/>
                <w:szCs w:val="21"/>
              </w:rPr>
              <w:tag w:val="_PLD_99254941c87b4aef96d5280757eecac3"/>
              <w:id w:val="1130358713"/>
            </w:sdtPr>
            <w:sdtEndPr/>
            <w:sdtContent>
              <w:p w14:paraId="39F55644" w14:textId="77777777" w:rsidR="002D0AE7" w:rsidRDefault="00333EBB">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其中：</w:t>
                </w:r>
              </w:p>
            </w:sdtContent>
          </w:sdt>
        </w:tc>
      </w:tr>
      <w:tr w:rsidR="002D0AE7" w14:paraId="112BA623" w14:textId="77777777">
        <w:trPr>
          <w:cantSplit/>
          <w:jc w:val="center"/>
        </w:trPr>
        <w:sdt>
          <w:sdtPr>
            <w:rPr>
              <w:color w:val="000000" w:themeColor="text1"/>
              <w:sz w:val="21"/>
              <w:szCs w:val="21"/>
            </w:rPr>
            <w:alias w:val="按组合计提坏账准备的明细-类别"/>
            <w:tag w:val="_GBC_e4caba41e5e342bb871455bd3a15bb2f"/>
            <w:id w:val="321237014"/>
          </w:sdtPr>
          <w:sdtEndPr/>
          <w:sdtContent>
            <w:tc>
              <w:tcPr>
                <w:tcW w:w="568" w:type="pct"/>
                <w:tcBorders>
                  <w:top w:val="single" w:sz="4" w:space="0" w:color="auto"/>
                  <w:left w:val="single" w:sz="4" w:space="0" w:color="auto"/>
                  <w:bottom w:val="single" w:sz="4" w:space="0" w:color="auto"/>
                  <w:right w:val="single" w:sz="4" w:space="0" w:color="auto"/>
                </w:tcBorders>
                <w:vAlign w:val="center"/>
              </w:tcPr>
              <w:p w14:paraId="2BE3D99B" w14:textId="77777777" w:rsidR="002D0AE7" w:rsidRDefault="00333EBB">
                <w:pPr>
                  <w:jc w:val="both"/>
                  <w:rPr>
                    <w:rFonts w:hint="eastAsia"/>
                    <w:color w:val="000000" w:themeColor="text1"/>
                    <w:sz w:val="21"/>
                    <w:szCs w:val="21"/>
                  </w:rPr>
                </w:pPr>
                <w:r>
                  <w:rPr>
                    <w:rFonts w:hint="eastAsia"/>
                    <w:color w:val="000000" w:themeColor="text1"/>
                    <w:sz w:val="21"/>
                    <w:szCs w:val="21"/>
                  </w:rPr>
                  <w:t>无风险组合</w:t>
                </w:r>
              </w:p>
            </w:tc>
          </w:sdtContent>
        </w:sdt>
        <w:tc>
          <w:tcPr>
            <w:tcW w:w="675" w:type="pct"/>
            <w:tcBorders>
              <w:top w:val="single" w:sz="4" w:space="0" w:color="auto"/>
              <w:left w:val="single" w:sz="4" w:space="0" w:color="auto"/>
              <w:bottom w:val="single" w:sz="4" w:space="0" w:color="auto"/>
              <w:right w:val="single" w:sz="4" w:space="0" w:color="auto"/>
            </w:tcBorders>
            <w:vAlign w:val="center"/>
          </w:tcPr>
          <w:p w14:paraId="5F1FE5A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137,749,102.75</w:t>
            </w:r>
          </w:p>
        </w:tc>
        <w:tc>
          <w:tcPr>
            <w:tcW w:w="350" w:type="pct"/>
            <w:tcBorders>
              <w:top w:val="single" w:sz="4" w:space="0" w:color="auto"/>
              <w:left w:val="single" w:sz="4" w:space="0" w:color="auto"/>
              <w:bottom w:val="single" w:sz="4" w:space="0" w:color="auto"/>
              <w:right w:val="single" w:sz="4" w:space="0" w:color="auto"/>
            </w:tcBorders>
            <w:vAlign w:val="center"/>
          </w:tcPr>
          <w:p w14:paraId="65B90E8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100.00</w:t>
            </w:r>
          </w:p>
        </w:tc>
        <w:tc>
          <w:tcPr>
            <w:tcW w:w="258" w:type="pct"/>
            <w:tcBorders>
              <w:top w:val="single" w:sz="4" w:space="0" w:color="auto"/>
              <w:left w:val="single" w:sz="4" w:space="0" w:color="auto"/>
              <w:bottom w:val="single" w:sz="4" w:space="0" w:color="auto"/>
              <w:right w:val="single" w:sz="4" w:space="0" w:color="auto"/>
            </w:tcBorders>
            <w:vAlign w:val="center"/>
          </w:tcPr>
          <w:p w14:paraId="077038D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258" w:type="pct"/>
            <w:tcBorders>
              <w:top w:val="single" w:sz="4" w:space="0" w:color="auto"/>
              <w:left w:val="single" w:sz="4" w:space="0" w:color="auto"/>
              <w:bottom w:val="single" w:sz="4" w:space="0" w:color="auto"/>
              <w:right w:val="single" w:sz="4" w:space="0" w:color="auto"/>
            </w:tcBorders>
            <w:vAlign w:val="center"/>
          </w:tcPr>
          <w:p w14:paraId="7741BFC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75" w:type="pct"/>
            <w:tcBorders>
              <w:top w:val="single" w:sz="4" w:space="0" w:color="auto"/>
              <w:left w:val="single" w:sz="4" w:space="0" w:color="auto"/>
              <w:bottom w:val="single" w:sz="4" w:space="0" w:color="auto"/>
              <w:right w:val="single" w:sz="4" w:space="0" w:color="auto"/>
            </w:tcBorders>
            <w:vAlign w:val="center"/>
          </w:tcPr>
          <w:p w14:paraId="3068666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137,749,102.75</w:t>
            </w:r>
          </w:p>
        </w:tc>
        <w:tc>
          <w:tcPr>
            <w:tcW w:w="675" w:type="pct"/>
            <w:tcBorders>
              <w:top w:val="single" w:sz="4" w:space="0" w:color="auto"/>
              <w:left w:val="single" w:sz="4" w:space="0" w:color="auto"/>
              <w:bottom w:val="single" w:sz="4" w:space="0" w:color="auto"/>
              <w:right w:val="single" w:sz="4" w:space="0" w:color="auto"/>
            </w:tcBorders>
            <w:vAlign w:val="center"/>
          </w:tcPr>
          <w:p w14:paraId="302C6C9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148,378,503.93</w:t>
            </w:r>
          </w:p>
        </w:tc>
        <w:tc>
          <w:tcPr>
            <w:tcW w:w="350" w:type="pct"/>
            <w:tcBorders>
              <w:top w:val="single" w:sz="4" w:space="0" w:color="auto"/>
              <w:left w:val="single" w:sz="4" w:space="0" w:color="auto"/>
              <w:bottom w:val="single" w:sz="4" w:space="0" w:color="auto"/>
              <w:right w:val="single" w:sz="4" w:space="0" w:color="auto"/>
            </w:tcBorders>
            <w:vAlign w:val="center"/>
          </w:tcPr>
          <w:p w14:paraId="334E65B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100.00</w:t>
            </w:r>
          </w:p>
        </w:tc>
        <w:tc>
          <w:tcPr>
            <w:tcW w:w="258" w:type="pct"/>
            <w:tcBorders>
              <w:top w:val="single" w:sz="4" w:space="0" w:color="auto"/>
              <w:left w:val="single" w:sz="4" w:space="0" w:color="auto"/>
              <w:bottom w:val="single" w:sz="4" w:space="0" w:color="auto"/>
              <w:right w:val="single" w:sz="4" w:space="0" w:color="auto"/>
            </w:tcBorders>
            <w:vAlign w:val="center"/>
          </w:tcPr>
          <w:p w14:paraId="61A0482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258" w:type="pct"/>
            <w:tcBorders>
              <w:top w:val="single" w:sz="4" w:space="0" w:color="auto"/>
              <w:left w:val="single" w:sz="4" w:space="0" w:color="auto"/>
              <w:bottom w:val="single" w:sz="4" w:space="0" w:color="auto"/>
              <w:right w:val="single" w:sz="4" w:space="0" w:color="auto"/>
            </w:tcBorders>
            <w:vAlign w:val="center"/>
          </w:tcPr>
          <w:p w14:paraId="5CFC44D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75" w:type="pct"/>
            <w:tcBorders>
              <w:top w:val="single" w:sz="4" w:space="0" w:color="auto"/>
              <w:left w:val="single" w:sz="4" w:space="0" w:color="auto"/>
              <w:bottom w:val="single" w:sz="4" w:space="0" w:color="auto"/>
              <w:right w:val="single" w:sz="4" w:space="0" w:color="auto"/>
            </w:tcBorders>
            <w:vAlign w:val="center"/>
          </w:tcPr>
          <w:p w14:paraId="54E931E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148,378,503.93</w:t>
            </w:r>
          </w:p>
        </w:tc>
      </w:tr>
      <w:tr w:rsidR="002D0AE7" w14:paraId="764194F6" w14:textId="77777777">
        <w:trPr>
          <w:cantSplit/>
          <w:jc w:val="center"/>
        </w:trPr>
        <w:tc>
          <w:tcPr>
            <w:tcW w:w="568" w:type="pct"/>
            <w:tcBorders>
              <w:top w:val="single" w:sz="4" w:space="0" w:color="auto"/>
              <w:left w:val="single" w:sz="4" w:space="0" w:color="auto"/>
              <w:bottom w:val="single" w:sz="4" w:space="0" w:color="auto"/>
              <w:right w:val="single" w:sz="4" w:space="0" w:color="auto"/>
            </w:tcBorders>
            <w:vAlign w:val="center"/>
          </w:tcPr>
          <w:p w14:paraId="529149EE" w14:textId="77777777" w:rsidR="002D0AE7" w:rsidRDefault="00333EBB">
            <w:pPr>
              <w:autoSpaceDE w:val="0"/>
              <w:autoSpaceDN w:val="0"/>
              <w:adjustRightInd w:val="0"/>
              <w:jc w:val="center"/>
              <w:rPr>
                <w:rFonts w:hint="eastAsia"/>
                <w:color w:val="000000" w:themeColor="text1"/>
                <w:sz w:val="21"/>
                <w:szCs w:val="21"/>
              </w:rPr>
            </w:pPr>
            <w:r>
              <w:rPr>
                <w:rFonts w:hint="eastAsia"/>
                <w:color w:val="000000" w:themeColor="text1"/>
                <w:sz w:val="21"/>
                <w:szCs w:val="21"/>
              </w:rPr>
              <w:t>合计</w:t>
            </w:r>
          </w:p>
        </w:tc>
        <w:tc>
          <w:tcPr>
            <w:tcW w:w="675" w:type="pct"/>
            <w:tcBorders>
              <w:top w:val="single" w:sz="4" w:space="0" w:color="auto"/>
              <w:left w:val="single" w:sz="4" w:space="0" w:color="auto"/>
              <w:bottom w:val="single" w:sz="4" w:space="0" w:color="auto"/>
              <w:right w:val="single" w:sz="4" w:space="0" w:color="auto"/>
            </w:tcBorders>
            <w:vAlign w:val="center"/>
          </w:tcPr>
          <w:p w14:paraId="2ACE18A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137,749,102.75</w:t>
            </w:r>
          </w:p>
        </w:tc>
        <w:tc>
          <w:tcPr>
            <w:tcW w:w="350" w:type="pct"/>
            <w:tcBorders>
              <w:top w:val="single" w:sz="4" w:space="0" w:color="auto"/>
              <w:left w:val="single" w:sz="4" w:space="0" w:color="auto"/>
              <w:bottom w:val="single" w:sz="4" w:space="0" w:color="auto"/>
              <w:right w:val="single" w:sz="4" w:space="0" w:color="auto"/>
            </w:tcBorders>
            <w:vAlign w:val="center"/>
          </w:tcPr>
          <w:p w14:paraId="3F94E622" w14:textId="77777777" w:rsidR="002D0AE7" w:rsidRDefault="00333EBB">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p>
        </w:tc>
        <w:tc>
          <w:tcPr>
            <w:tcW w:w="258" w:type="pct"/>
            <w:tcBorders>
              <w:top w:val="single" w:sz="4" w:space="0" w:color="auto"/>
              <w:left w:val="single" w:sz="4" w:space="0" w:color="auto"/>
              <w:bottom w:val="single" w:sz="4" w:space="0" w:color="auto"/>
              <w:right w:val="single" w:sz="4" w:space="0" w:color="auto"/>
            </w:tcBorders>
            <w:vAlign w:val="center"/>
          </w:tcPr>
          <w:p w14:paraId="4E4D7EE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258" w:type="pct"/>
            <w:tcBorders>
              <w:top w:val="single" w:sz="4" w:space="0" w:color="auto"/>
              <w:left w:val="single" w:sz="4" w:space="0" w:color="auto"/>
              <w:bottom w:val="single" w:sz="4" w:space="0" w:color="auto"/>
              <w:right w:val="single" w:sz="4" w:space="0" w:color="auto"/>
            </w:tcBorders>
            <w:vAlign w:val="center"/>
          </w:tcPr>
          <w:p w14:paraId="0E0ACBAD" w14:textId="77777777" w:rsidR="002D0AE7" w:rsidRDefault="00333EBB">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p>
        </w:tc>
        <w:tc>
          <w:tcPr>
            <w:tcW w:w="675" w:type="pct"/>
            <w:tcBorders>
              <w:top w:val="single" w:sz="4" w:space="0" w:color="auto"/>
              <w:left w:val="single" w:sz="4" w:space="0" w:color="auto"/>
              <w:bottom w:val="single" w:sz="4" w:space="0" w:color="auto"/>
              <w:right w:val="single" w:sz="4" w:space="0" w:color="auto"/>
            </w:tcBorders>
            <w:vAlign w:val="center"/>
          </w:tcPr>
          <w:p w14:paraId="4F34583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137,749,102.75</w:t>
            </w:r>
          </w:p>
        </w:tc>
        <w:tc>
          <w:tcPr>
            <w:tcW w:w="675" w:type="pct"/>
            <w:tcBorders>
              <w:top w:val="single" w:sz="4" w:space="0" w:color="auto"/>
              <w:left w:val="single" w:sz="4" w:space="0" w:color="auto"/>
              <w:bottom w:val="single" w:sz="4" w:space="0" w:color="auto"/>
              <w:right w:val="single" w:sz="4" w:space="0" w:color="auto"/>
            </w:tcBorders>
            <w:vAlign w:val="center"/>
          </w:tcPr>
          <w:p w14:paraId="2628B11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148,378,503.93</w:t>
            </w:r>
          </w:p>
        </w:tc>
        <w:tc>
          <w:tcPr>
            <w:tcW w:w="350" w:type="pct"/>
            <w:tcBorders>
              <w:top w:val="single" w:sz="4" w:space="0" w:color="auto"/>
              <w:left w:val="single" w:sz="4" w:space="0" w:color="auto"/>
              <w:bottom w:val="single" w:sz="4" w:space="0" w:color="auto"/>
              <w:right w:val="single" w:sz="4" w:space="0" w:color="auto"/>
            </w:tcBorders>
            <w:vAlign w:val="center"/>
          </w:tcPr>
          <w:p w14:paraId="021F606F" w14:textId="77777777" w:rsidR="002D0AE7" w:rsidRDefault="00333EBB">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p>
        </w:tc>
        <w:tc>
          <w:tcPr>
            <w:tcW w:w="258" w:type="pct"/>
            <w:tcBorders>
              <w:top w:val="single" w:sz="4" w:space="0" w:color="auto"/>
              <w:left w:val="single" w:sz="4" w:space="0" w:color="auto"/>
              <w:bottom w:val="single" w:sz="4" w:space="0" w:color="auto"/>
              <w:right w:val="single" w:sz="4" w:space="0" w:color="auto"/>
            </w:tcBorders>
            <w:vAlign w:val="center"/>
          </w:tcPr>
          <w:p w14:paraId="08C32CF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258" w:type="pct"/>
            <w:tcBorders>
              <w:top w:val="single" w:sz="4" w:space="0" w:color="auto"/>
              <w:left w:val="single" w:sz="4" w:space="0" w:color="auto"/>
              <w:bottom w:val="single" w:sz="4" w:space="0" w:color="auto"/>
              <w:right w:val="single" w:sz="4" w:space="0" w:color="auto"/>
            </w:tcBorders>
            <w:vAlign w:val="center"/>
          </w:tcPr>
          <w:p w14:paraId="42A09A68" w14:textId="77777777" w:rsidR="002D0AE7" w:rsidRDefault="00333EBB">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p>
        </w:tc>
        <w:tc>
          <w:tcPr>
            <w:tcW w:w="675" w:type="pct"/>
            <w:tcBorders>
              <w:top w:val="single" w:sz="4" w:space="0" w:color="auto"/>
              <w:left w:val="single" w:sz="4" w:space="0" w:color="auto"/>
              <w:bottom w:val="single" w:sz="4" w:space="0" w:color="auto"/>
              <w:right w:val="single" w:sz="4" w:space="0" w:color="auto"/>
            </w:tcBorders>
            <w:vAlign w:val="center"/>
          </w:tcPr>
          <w:p w14:paraId="26506BB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148,378,503.93</w:t>
            </w:r>
          </w:p>
        </w:tc>
      </w:tr>
    </w:tbl>
    <w:p w14:paraId="4CFC8BC4" w14:textId="77777777" w:rsidR="002D0AE7" w:rsidRDefault="00333EBB">
      <w:pPr>
        <w:rPr>
          <w:rFonts w:ascii="Calibri" w:hAnsi="Calibri" w:cs="Times New Roman"/>
          <w:bCs/>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color w:val="000000" w:themeColor="text1"/>
          <w:szCs w:val="22"/>
        </w:rPr>
        <w:alias w:val="是否适用：按组合计提坏账准备的详细情况[双击切换]"/>
        <w:tag w:val="_GBC_02191f78423f4f4ca97cd31179bf21d5"/>
        <w:id w:val="561072480"/>
        <w:lock w:val="contentLocked"/>
        <w:placeholder>
          <w:docPart w:val="GBC22222222222222222222222222222"/>
        </w:placeholder>
      </w:sdtPr>
      <w:sdtEndPr/>
      <w:sdtContent>
        <w:p w14:paraId="0F8AB559" w14:textId="77777777" w:rsidR="002D0AE7" w:rsidRDefault="00333EBB">
          <w:pPr>
            <w:rPr>
              <w:rFonts w:ascii="Calibri" w:hAnsi="Calibri" w:cs="Times New Roman"/>
              <w:bCs/>
              <w:color w:val="000000" w:themeColor="text1"/>
              <w:szCs w:val="22"/>
            </w:rPr>
          </w:pPr>
          <w:r>
            <w:rPr>
              <w:rFonts w:cs="Times New Roman"/>
              <w:bCs/>
              <w:color w:val="000000" w:themeColor="text1"/>
              <w:szCs w:val="22"/>
            </w:rPr>
            <w:fldChar w:fldCharType="begin"/>
          </w:r>
          <w:r>
            <w:rPr>
              <w:rFonts w:cs="Times New Roman"/>
              <w:color w:val="000000" w:themeColor="text1"/>
              <w:szCs w:val="22"/>
            </w:rPr>
            <w:instrText xml:space="preserve"> MACROBUTTON  SnrToggleCheckbox √</w:instrText>
          </w:r>
          <w:r>
            <w:rPr>
              <w:rFonts w:cs="Times New Roman"/>
              <w:color w:val="000000" w:themeColor="text1"/>
              <w:szCs w:val="22"/>
            </w:rPr>
            <w:instrText>适用</w:instrText>
          </w:r>
          <w:r>
            <w:rPr>
              <w:rFonts w:cs="Times New Roman"/>
              <w:color w:val="000000" w:themeColor="text1"/>
              <w:szCs w:val="22"/>
            </w:rPr>
            <w:instrText xml:space="preserve"> </w:instrText>
          </w:r>
          <w:r>
            <w:rPr>
              <w:rFonts w:cs="Times New Roman"/>
              <w:bCs/>
              <w:color w:val="000000" w:themeColor="text1"/>
              <w:szCs w:val="22"/>
            </w:rPr>
            <w:fldChar w:fldCharType="end"/>
          </w:r>
          <w:r>
            <w:rPr>
              <w:rFonts w:cs="Times New Roman"/>
              <w:bCs/>
              <w:color w:val="000000" w:themeColor="text1"/>
              <w:szCs w:val="22"/>
            </w:rPr>
            <w:fldChar w:fldCharType="begin"/>
          </w:r>
          <w:r>
            <w:rPr>
              <w:rFonts w:cs="Times New Roman"/>
              <w:color w:val="000000" w:themeColor="text1"/>
              <w:szCs w:val="22"/>
            </w:rPr>
            <w:instrText xml:space="preserve"> MACROBUTTON  SnrToggleCheckbox □</w:instrText>
          </w:r>
          <w:r>
            <w:rPr>
              <w:rFonts w:cs="Times New Roman"/>
              <w:color w:val="000000" w:themeColor="text1"/>
              <w:szCs w:val="22"/>
            </w:rPr>
            <w:instrText>不适用</w:instrText>
          </w:r>
          <w:r>
            <w:rPr>
              <w:rFonts w:cs="Times New Roman"/>
              <w:color w:val="000000" w:themeColor="text1"/>
              <w:szCs w:val="22"/>
            </w:rPr>
            <w:instrText xml:space="preserve"> </w:instrText>
          </w:r>
          <w:r>
            <w:rPr>
              <w:rFonts w:cs="Times New Roman"/>
              <w:bCs/>
              <w:color w:val="000000" w:themeColor="text1"/>
              <w:szCs w:val="22"/>
            </w:rPr>
            <w:fldChar w:fldCharType="end"/>
          </w:r>
        </w:p>
      </w:sdtContent>
    </w:sdt>
    <w:p w14:paraId="575BD453" w14:textId="77777777" w:rsidR="002D0AE7" w:rsidRDefault="00333EBB">
      <w:pPr>
        <w:rPr>
          <w:rFonts w:ascii="Calibri" w:hAnsi="Calibri" w:cs="Times New Roman"/>
          <w:bCs/>
          <w:color w:val="000000" w:themeColor="text1"/>
          <w:szCs w:val="22"/>
        </w:rPr>
      </w:pPr>
      <w:r>
        <w:rPr>
          <w:rFonts w:hint="eastAsia"/>
          <w:color w:val="000000" w:themeColor="text1"/>
        </w:rPr>
        <w:t>组合计提项目</w:t>
      </w:r>
      <w:r>
        <w:rPr>
          <w:rFonts w:ascii="Calibri" w:hAnsi="Calibri" w:cs="Times New Roman" w:hint="eastAsia"/>
          <w:color w:val="000000" w:themeColor="text1"/>
          <w:szCs w:val="22"/>
        </w:rPr>
        <w:t>：</w:t>
      </w:r>
      <w:sdt>
        <w:sdtPr>
          <w:rPr>
            <w:rFonts w:ascii="Calibri" w:hAnsi="Calibri" w:cs="Times New Roman" w:hint="eastAsia"/>
            <w:bCs/>
            <w:color w:val="000000" w:themeColor="text1"/>
            <w:sz w:val="21"/>
            <w:szCs w:val="22"/>
          </w:rPr>
          <w:alias w:val="按组合计提坏账准备的明细-类别"/>
          <w:tag w:val="_GBC_598cd6118928494496c5466b6c35d92f"/>
          <w:id w:val="1297723546"/>
          <w:placeholder>
            <w:docPart w:val="GBC22222222222222222222222222222"/>
          </w:placeholder>
          <w:comboBox>
            <w:listItem w:displayText="无风险组合" w:value="无风险组合"/>
          </w:comboBox>
        </w:sdtPr>
        <w:sdtEndPr/>
        <w:sdtContent>
          <w:r>
            <w:rPr>
              <w:rFonts w:ascii="Calibri" w:hAnsi="Calibri" w:cs="Times New Roman" w:hint="eastAsia"/>
              <w:bCs/>
              <w:color w:val="000000" w:themeColor="text1"/>
              <w:sz w:val="21"/>
              <w:szCs w:val="22"/>
            </w:rPr>
            <w:t>无风险组合</w:t>
          </w:r>
        </w:sdtContent>
      </w:sdt>
    </w:p>
    <w:p w14:paraId="78ED4872" w14:textId="77777777" w:rsidR="002D0AE7" w:rsidRDefault="00333EBB">
      <w:pPr>
        <w:autoSpaceDE w:val="0"/>
        <w:autoSpaceDN w:val="0"/>
        <w:adjustRightInd w:val="0"/>
        <w:ind w:left="5880" w:right="105"/>
        <w:jc w:val="right"/>
        <w:rPr>
          <w:rFonts w:hint="eastAsia"/>
          <w:color w:val="000000" w:themeColor="text1"/>
        </w:rPr>
      </w:pPr>
      <w:r>
        <w:rPr>
          <w:rFonts w:hint="eastAsia"/>
          <w:color w:val="000000" w:themeColor="text1"/>
        </w:rPr>
        <w:t>单位：</w:t>
      </w:r>
      <w:sdt>
        <w:sdtPr>
          <w:rPr>
            <w:rFonts w:hint="eastAsia"/>
            <w:color w:val="000000" w:themeColor="text1"/>
          </w:rPr>
          <w:alias w:val="单位：按组合计提坏账准备的详细名称"/>
          <w:tag w:val="_GBC_c00af189ef0f4ce390f3a585228bcce1"/>
          <w:id w:val="1706443217"/>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按组合计提坏账准备的详细名称"/>
          <w:tag w:val="_GBC_b1b76cd7d41e45d1ad9b3fec05025621"/>
          <w:id w:val="102236701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2252"/>
        <w:gridCol w:w="2292"/>
        <w:gridCol w:w="2236"/>
      </w:tblGrid>
      <w:tr w:rsidR="002D0AE7" w14:paraId="5409028E" w14:textId="77777777">
        <w:trPr>
          <w:jc w:val="center"/>
        </w:trPr>
        <w:sdt>
          <w:sdtPr>
            <w:rPr>
              <w:rFonts w:hint="eastAsia"/>
              <w:color w:val="000000" w:themeColor="text1"/>
              <w:sz w:val="21"/>
            </w:rPr>
            <w:tag w:val="_PLD_56eabaf873fa4c159a85e48001393d30"/>
            <w:id w:val="675771734"/>
          </w:sdtPr>
          <w:sdtEndPr/>
          <w:sdtContent>
            <w:tc>
              <w:tcPr>
                <w:tcW w:w="1158" w:type="pct"/>
                <w:vMerge w:val="restart"/>
                <w:vAlign w:val="center"/>
              </w:tcPr>
              <w:p w14:paraId="42012484" w14:textId="77777777" w:rsidR="002D0AE7" w:rsidRDefault="00333EBB">
                <w:pPr>
                  <w:jc w:val="center"/>
                  <w:rPr>
                    <w:rFonts w:hint="eastAsia"/>
                    <w:color w:val="000000" w:themeColor="text1"/>
                    <w:sz w:val="21"/>
                  </w:rPr>
                </w:pPr>
                <w:r>
                  <w:rPr>
                    <w:rFonts w:hint="eastAsia"/>
                    <w:color w:val="000000" w:themeColor="text1"/>
                    <w:sz w:val="21"/>
                  </w:rPr>
                  <w:t>名称</w:t>
                </w:r>
              </w:p>
            </w:tc>
          </w:sdtContent>
        </w:sdt>
        <w:sdt>
          <w:sdtPr>
            <w:rPr>
              <w:rFonts w:hint="eastAsia"/>
              <w:color w:val="000000" w:themeColor="text1"/>
              <w:sz w:val="21"/>
            </w:rPr>
            <w:tag w:val="_PLD_f85ecb3059a1497990b8f0d5c01b3d6a"/>
            <w:id w:val="-1082521397"/>
          </w:sdtPr>
          <w:sdtEndPr/>
          <w:sdtContent>
            <w:tc>
              <w:tcPr>
                <w:tcW w:w="3842" w:type="pct"/>
                <w:gridSpan w:val="3"/>
                <w:vAlign w:val="center"/>
              </w:tcPr>
              <w:p w14:paraId="40E2B365" w14:textId="77777777" w:rsidR="002D0AE7" w:rsidRDefault="00333EBB">
                <w:pPr>
                  <w:jc w:val="center"/>
                  <w:rPr>
                    <w:rFonts w:hint="eastAsia"/>
                    <w:color w:val="000000" w:themeColor="text1"/>
                    <w:sz w:val="21"/>
                  </w:rPr>
                </w:pPr>
                <w:r>
                  <w:rPr>
                    <w:rFonts w:hint="eastAsia"/>
                    <w:color w:val="000000" w:themeColor="text1"/>
                    <w:sz w:val="21"/>
                  </w:rPr>
                  <w:t>期末余额</w:t>
                </w:r>
              </w:p>
            </w:tc>
          </w:sdtContent>
        </w:sdt>
      </w:tr>
      <w:tr w:rsidR="002D0AE7" w14:paraId="098AB421" w14:textId="77777777">
        <w:trPr>
          <w:jc w:val="center"/>
        </w:trPr>
        <w:tc>
          <w:tcPr>
            <w:tcW w:w="1158" w:type="pct"/>
            <w:vMerge/>
          </w:tcPr>
          <w:p w14:paraId="78B3EBC2" w14:textId="77777777" w:rsidR="002D0AE7" w:rsidRDefault="002D0AE7">
            <w:pPr>
              <w:jc w:val="center"/>
              <w:rPr>
                <w:rFonts w:hint="eastAsia"/>
                <w:color w:val="000000" w:themeColor="text1"/>
                <w:sz w:val="21"/>
              </w:rPr>
            </w:pPr>
          </w:p>
        </w:tc>
        <w:sdt>
          <w:sdtPr>
            <w:rPr>
              <w:rFonts w:hint="eastAsia"/>
              <w:color w:val="000000" w:themeColor="text1"/>
              <w:sz w:val="21"/>
            </w:rPr>
            <w:tag w:val="_PLD_b1230d3f7ca543f5b9651da474e07b85"/>
            <w:id w:val="-1890262274"/>
          </w:sdtPr>
          <w:sdtEndPr/>
          <w:sdtContent>
            <w:tc>
              <w:tcPr>
                <w:tcW w:w="1276" w:type="pct"/>
                <w:vAlign w:val="center"/>
              </w:tcPr>
              <w:p w14:paraId="29685A14" w14:textId="77777777" w:rsidR="002D0AE7" w:rsidRDefault="00333EBB">
                <w:pPr>
                  <w:jc w:val="center"/>
                  <w:rPr>
                    <w:rFonts w:hint="eastAsia"/>
                    <w:color w:val="000000" w:themeColor="text1"/>
                    <w:sz w:val="21"/>
                  </w:rPr>
                </w:pPr>
                <w:r>
                  <w:rPr>
                    <w:rFonts w:hint="eastAsia"/>
                    <w:color w:val="000000" w:themeColor="text1"/>
                    <w:sz w:val="21"/>
                  </w:rPr>
                  <w:t>应收融资款项</w:t>
                </w:r>
              </w:p>
            </w:tc>
          </w:sdtContent>
        </w:sdt>
        <w:sdt>
          <w:sdtPr>
            <w:rPr>
              <w:rFonts w:hint="eastAsia"/>
              <w:color w:val="000000" w:themeColor="text1"/>
              <w:sz w:val="21"/>
            </w:rPr>
            <w:tag w:val="_PLD_454915d62090417eadfa941b4e119439"/>
            <w:id w:val="-1672405236"/>
          </w:sdtPr>
          <w:sdtEndPr/>
          <w:sdtContent>
            <w:tc>
              <w:tcPr>
                <w:tcW w:w="1299" w:type="pct"/>
                <w:vAlign w:val="center"/>
              </w:tcPr>
              <w:p w14:paraId="23547A9F" w14:textId="77777777" w:rsidR="002D0AE7" w:rsidRDefault="00333EBB">
                <w:pPr>
                  <w:jc w:val="center"/>
                  <w:rPr>
                    <w:rFonts w:hint="eastAsia"/>
                    <w:color w:val="000000" w:themeColor="text1"/>
                    <w:sz w:val="21"/>
                  </w:rPr>
                </w:pPr>
                <w:r>
                  <w:rPr>
                    <w:rFonts w:hint="eastAsia"/>
                    <w:color w:val="000000" w:themeColor="text1"/>
                    <w:sz w:val="21"/>
                  </w:rPr>
                  <w:t>坏账准备</w:t>
                </w:r>
              </w:p>
            </w:tc>
          </w:sdtContent>
        </w:sdt>
        <w:sdt>
          <w:sdtPr>
            <w:rPr>
              <w:color w:val="000000" w:themeColor="text1"/>
              <w:sz w:val="21"/>
            </w:rPr>
            <w:tag w:val="_PLD_78ce0134255d44aca7a2a314b10b2f3f"/>
            <w:id w:val="1602992318"/>
          </w:sdtPr>
          <w:sdtEndPr>
            <w:rPr>
              <w:rFonts w:hint="eastAsia"/>
            </w:rPr>
          </w:sdtEndPr>
          <w:sdtContent>
            <w:tc>
              <w:tcPr>
                <w:tcW w:w="1267" w:type="pct"/>
                <w:vAlign w:val="center"/>
              </w:tcPr>
              <w:p w14:paraId="7AF0F8EE" w14:textId="77777777" w:rsidR="002D0AE7" w:rsidRDefault="00333EBB">
                <w:pPr>
                  <w:jc w:val="center"/>
                  <w:rPr>
                    <w:rFonts w:hint="eastAsia"/>
                    <w:color w:val="000000" w:themeColor="text1"/>
                    <w:sz w:val="21"/>
                  </w:rPr>
                </w:pPr>
                <w:r>
                  <w:rPr>
                    <w:color w:val="000000" w:themeColor="text1"/>
                    <w:sz w:val="21"/>
                  </w:rPr>
                  <w:t>计提比例</w:t>
                </w:r>
                <w:r>
                  <w:rPr>
                    <w:rFonts w:hint="eastAsia"/>
                    <w:color w:val="000000" w:themeColor="text1"/>
                    <w:sz w:val="21"/>
                  </w:rPr>
                  <w:t>（</w:t>
                </w:r>
                <w:r>
                  <w:rPr>
                    <w:rFonts w:hint="eastAsia"/>
                    <w:color w:val="000000" w:themeColor="text1"/>
                    <w:sz w:val="21"/>
                  </w:rPr>
                  <w:t>%</w:t>
                </w:r>
                <w:r>
                  <w:rPr>
                    <w:rFonts w:hint="eastAsia"/>
                    <w:color w:val="000000" w:themeColor="text1"/>
                    <w:sz w:val="21"/>
                  </w:rPr>
                  <w:t>）</w:t>
                </w:r>
              </w:p>
            </w:tc>
          </w:sdtContent>
        </w:sdt>
      </w:tr>
      <w:tr w:rsidR="002D0AE7" w14:paraId="3C7527E8" w14:textId="77777777">
        <w:trPr>
          <w:jc w:val="center"/>
        </w:trPr>
        <w:tc>
          <w:tcPr>
            <w:tcW w:w="1158" w:type="pct"/>
          </w:tcPr>
          <w:p w14:paraId="292D1E98" w14:textId="77777777" w:rsidR="002D0AE7" w:rsidRDefault="00333EBB">
            <w:pPr>
              <w:rPr>
                <w:rFonts w:hint="eastAsia"/>
                <w:sz w:val="21"/>
              </w:rPr>
            </w:pPr>
            <w:r>
              <w:rPr>
                <w:rFonts w:hint="eastAsia"/>
                <w:sz w:val="21"/>
              </w:rPr>
              <w:t>无风险组合</w:t>
            </w:r>
          </w:p>
        </w:tc>
        <w:tc>
          <w:tcPr>
            <w:tcW w:w="1276" w:type="pct"/>
          </w:tcPr>
          <w:p w14:paraId="42FB876F" w14:textId="77777777" w:rsidR="002D0AE7" w:rsidRDefault="00333EBB">
            <w:pPr>
              <w:jc w:val="right"/>
              <w:rPr>
                <w:rFonts w:ascii="Times New Roman" w:hAnsi="Times New Roman" w:cs="Times New Roman"/>
                <w:sz w:val="21"/>
              </w:rPr>
            </w:pPr>
            <w:r>
              <w:rPr>
                <w:rFonts w:ascii="Times New Roman" w:hAnsi="Times New Roman" w:cs="Times New Roman"/>
                <w:sz w:val="21"/>
              </w:rPr>
              <w:t>137,749,102.75</w:t>
            </w:r>
          </w:p>
        </w:tc>
        <w:tc>
          <w:tcPr>
            <w:tcW w:w="1299" w:type="pct"/>
          </w:tcPr>
          <w:p w14:paraId="46877B79"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c>
          <w:tcPr>
            <w:tcW w:w="1267" w:type="pct"/>
          </w:tcPr>
          <w:p w14:paraId="5698BC1A"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r>
      <w:tr w:rsidR="002D0AE7" w14:paraId="757D43BC" w14:textId="77777777">
        <w:trPr>
          <w:jc w:val="center"/>
        </w:trPr>
        <w:tc>
          <w:tcPr>
            <w:tcW w:w="1158" w:type="pct"/>
            <w:vAlign w:val="center"/>
          </w:tcPr>
          <w:p w14:paraId="7588CFC9" w14:textId="77777777" w:rsidR="002D0AE7" w:rsidRDefault="00333EBB">
            <w:pPr>
              <w:jc w:val="center"/>
              <w:rPr>
                <w:rFonts w:hint="eastAsia"/>
                <w:color w:val="000000" w:themeColor="text1"/>
                <w:sz w:val="21"/>
              </w:rPr>
            </w:pPr>
            <w:r>
              <w:rPr>
                <w:rFonts w:hint="eastAsia"/>
                <w:color w:val="000000" w:themeColor="text1"/>
                <w:sz w:val="21"/>
              </w:rPr>
              <w:t>合计</w:t>
            </w:r>
          </w:p>
        </w:tc>
        <w:tc>
          <w:tcPr>
            <w:tcW w:w="1276" w:type="pct"/>
          </w:tcPr>
          <w:p w14:paraId="1C98506D" w14:textId="77777777" w:rsidR="002D0AE7" w:rsidRDefault="00333EBB">
            <w:pPr>
              <w:jc w:val="right"/>
              <w:rPr>
                <w:rFonts w:ascii="Times New Roman" w:hAnsi="Times New Roman" w:cs="Times New Roman"/>
                <w:sz w:val="21"/>
              </w:rPr>
            </w:pPr>
            <w:r>
              <w:rPr>
                <w:rFonts w:ascii="Times New Roman" w:hAnsi="Times New Roman" w:cs="Times New Roman"/>
                <w:sz w:val="21"/>
              </w:rPr>
              <w:t>137,749,102.75</w:t>
            </w:r>
          </w:p>
        </w:tc>
        <w:tc>
          <w:tcPr>
            <w:tcW w:w="1299" w:type="pct"/>
          </w:tcPr>
          <w:p w14:paraId="1A52298F"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c>
          <w:tcPr>
            <w:tcW w:w="1267" w:type="pct"/>
          </w:tcPr>
          <w:p w14:paraId="5D11231F" w14:textId="77777777" w:rsidR="002D0AE7" w:rsidRDefault="00333EBB">
            <w:pPr>
              <w:jc w:val="right"/>
              <w:rPr>
                <w:rFonts w:ascii="Times New Roman" w:hAnsi="Times New Roman" w:cs="Times New Roman"/>
                <w:sz w:val="21"/>
              </w:rPr>
            </w:pPr>
            <w:r>
              <w:rPr>
                <w:rFonts w:ascii="Times New Roman" w:hAnsi="Times New Roman" w:cs="Times New Roman"/>
                <w:sz w:val="21"/>
              </w:rPr>
              <w:t>/</w:t>
            </w:r>
          </w:p>
        </w:tc>
      </w:tr>
    </w:tbl>
    <w:p w14:paraId="619C7D94" w14:textId="77777777" w:rsidR="002D0AE7" w:rsidRDefault="00333EBB">
      <w:pPr>
        <w:rPr>
          <w:rFonts w:hint="eastAsia"/>
          <w:color w:val="000000" w:themeColor="text1"/>
        </w:rPr>
      </w:pPr>
      <w:r>
        <w:rPr>
          <w:rFonts w:hint="eastAsia"/>
          <w:color w:val="000000" w:themeColor="text1"/>
        </w:rPr>
        <w:t>按组合计提坏账准备的说明</w:t>
      </w:r>
    </w:p>
    <w:sdt>
      <w:sdtPr>
        <w:rPr>
          <w:color w:val="000000" w:themeColor="text1"/>
        </w:rPr>
        <w:alias w:val="是否适用：按组合计提坏账准备的的说明[双击切换]"/>
        <w:tag w:val="_GBC_3b35e5a7dadd47138921433236c760e9"/>
        <w:id w:val="-1343314858"/>
        <w:placeholder>
          <w:docPart w:val="GBC22222222222222222222222222222"/>
        </w:placeholder>
      </w:sdtPr>
      <w:sdtEndPr/>
      <w:sdtContent>
        <w:p w14:paraId="4B8A8163"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按组合计提坏账准备的的说明"/>
        <w:tag w:val="_GBC_ec91bdd2f75943da902d451093681cc3"/>
        <w:id w:val="-721204737"/>
        <w:placeholder>
          <w:docPart w:val="GBC22222222222222222222222222222"/>
        </w:placeholder>
      </w:sdtPr>
      <w:sdtEndPr/>
      <w:sdtContent>
        <w:p w14:paraId="1B929F04" w14:textId="77777777" w:rsidR="002D0AE7" w:rsidRDefault="00333EBB">
          <w:pPr>
            <w:rPr>
              <w:rFonts w:hint="eastAsia"/>
              <w:color w:val="000000" w:themeColor="text1"/>
            </w:rPr>
          </w:pPr>
          <w:r>
            <w:rPr>
              <w:rFonts w:hint="eastAsia"/>
              <w:color w:val="000000" w:themeColor="text1"/>
              <w:sz w:val="21"/>
            </w:rPr>
            <w:t>无风险组合：以支付为目的的高信用等级银行承兑的商业汇票。</w:t>
          </w:r>
        </w:p>
      </w:sdtContent>
    </w:sdt>
    <w:p w14:paraId="62EB0D14" w14:textId="77777777" w:rsidR="002D0AE7" w:rsidRDefault="00333EBB">
      <w:pPr>
        <w:pStyle w:val="4"/>
        <w:numPr>
          <w:ilvl w:val="0"/>
          <w:numId w:val="45"/>
        </w:numPr>
        <w:tabs>
          <w:tab w:val="left" w:pos="360"/>
        </w:tabs>
        <w:ind w:left="0" w:firstLine="0"/>
        <w:rPr>
          <w:color w:val="000000" w:themeColor="text1"/>
        </w:rPr>
      </w:pPr>
      <w:r>
        <w:rPr>
          <w:rFonts w:hint="eastAsia"/>
          <w:color w:val="000000" w:themeColor="text1"/>
        </w:rPr>
        <w:t>坏账准备的情况</w:t>
      </w:r>
    </w:p>
    <w:p w14:paraId="6E61B40B" w14:textId="77777777" w:rsidR="002D0AE7" w:rsidRDefault="00333EBB">
      <w:pPr>
        <w:rPr>
          <w:rFonts w:hint="eastAsia"/>
          <w:color w:val="000000" w:themeColor="text1"/>
        </w:rPr>
      </w:pPr>
      <w:r>
        <w:rPr>
          <w:rFonts w:hint="eastAsia"/>
          <w:color w:val="000000" w:themeColor="text1"/>
        </w:rPr>
        <w:t>其他说明：</w:t>
      </w:r>
      <w:sdt>
        <w:sdtPr>
          <w:rPr>
            <w:color w:val="000000" w:themeColor="text1"/>
          </w:rPr>
          <w:alias w:val="坏账准备情况的说明"/>
          <w:tag w:val="_GBC_61ca0a7cb2a147fba52fe081c3ffe8b1"/>
          <w:id w:val="-638731264"/>
          <w:placeholder>
            <w:docPart w:val="GBC22222222222222222222222222222"/>
          </w:placeholder>
        </w:sdtPr>
        <w:sdtEndPr/>
        <w:sdtContent>
          <w:r>
            <w:rPr>
              <w:rFonts w:hint="eastAsia"/>
              <w:color w:val="000000" w:themeColor="text1"/>
              <w:sz w:val="21"/>
            </w:rPr>
            <w:t>本期无收回或转回金额重要的坏账准备。</w:t>
          </w:r>
        </w:sdtContent>
      </w:sdt>
    </w:p>
    <w:p w14:paraId="35450CE6" w14:textId="77777777" w:rsidR="002D0AE7" w:rsidRDefault="00333EBB">
      <w:pPr>
        <w:pStyle w:val="4"/>
        <w:numPr>
          <w:ilvl w:val="0"/>
          <w:numId w:val="45"/>
        </w:numPr>
        <w:tabs>
          <w:tab w:val="left" w:pos="360"/>
        </w:tabs>
        <w:ind w:left="0" w:firstLine="0"/>
        <w:rPr>
          <w:color w:val="000000" w:themeColor="text1"/>
        </w:rPr>
      </w:pPr>
      <w:r>
        <w:rPr>
          <w:color w:val="000000" w:themeColor="text1"/>
        </w:rPr>
        <w:t>本期实际核销的应收款项融资情况</w:t>
      </w:r>
    </w:p>
    <w:p w14:paraId="350C939F" w14:textId="77777777" w:rsidR="002D0AE7" w:rsidRDefault="00333EBB">
      <w:pPr>
        <w:snapToGrid w:val="0"/>
        <w:spacing w:line="240" w:lineRule="atLeast"/>
        <w:rPr>
          <w:rFonts w:hint="eastAsia"/>
          <w:color w:val="000000" w:themeColor="text1"/>
        </w:rPr>
      </w:pPr>
      <w:r>
        <w:rPr>
          <w:rFonts w:hint="eastAsia"/>
          <w:color w:val="000000" w:themeColor="text1"/>
        </w:rPr>
        <w:t>核销说明：</w:t>
      </w:r>
      <w:sdt>
        <w:sdtPr>
          <w:rPr>
            <w:color w:val="000000" w:themeColor="text1"/>
          </w:rPr>
          <w:alias w:val="是否适用：核销说明[双击切换]"/>
          <w:tag w:val="_GBC_488ea774dd4f4c1d882f56da574ad29c"/>
          <w:id w:val="-2031939808"/>
          <w:placeholder>
            <w:docPart w:val="GBC22222222222222222222222222222"/>
          </w:placeholder>
        </w:sdtPr>
        <w:sdtEndPr/>
        <w:sdtContent>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sdtContent>
      </w:sdt>
    </w:p>
    <w:sdt>
      <w:sdtPr>
        <w:rPr>
          <w:color w:val="000000" w:themeColor="text1"/>
        </w:rPr>
        <w:alias w:val="核销说明"/>
        <w:tag w:val="_GBC_fb04498258db4fe2a4ec7d10d4145a00"/>
        <w:id w:val="-1745640132"/>
        <w:placeholder>
          <w:docPart w:val="7AE524B1A4EF451583A184FAF89E17C1"/>
        </w:placeholder>
      </w:sdtPr>
      <w:sdtEndPr>
        <w:rPr>
          <w:sz w:val="21"/>
        </w:rPr>
      </w:sdtEndPr>
      <w:sdtContent>
        <w:p w14:paraId="3E87F9DA" w14:textId="77777777" w:rsidR="002D0AE7" w:rsidRDefault="00333EBB">
          <w:pPr>
            <w:rPr>
              <w:rFonts w:hint="eastAsia"/>
              <w:sz w:val="21"/>
            </w:rPr>
          </w:pPr>
          <w:r>
            <w:rPr>
              <w:rFonts w:hint="eastAsia"/>
              <w:color w:val="000000" w:themeColor="text1"/>
              <w:sz w:val="21"/>
            </w:rPr>
            <w:t>本期无实际核销的应收款项融资。</w:t>
          </w:r>
        </w:p>
      </w:sdtContent>
    </w:sdt>
    <w:bookmarkEnd w:id="155"/>
    <w:bookmarkEnd w:id="156"/>
    <w:bookmarkEnd w:id="158"/>
    <w:bookmarkEnd w:id="157"/>
    <w:p w14:paraId="0188F7CA" w14:textId="77777777" w:rsidR="002D0AE7" w:rsidRDefault="00333EBB">
      <w:pPr>
        <w:pStyle w:val="3"/>
        <w:numPr>
          <w:ilvl w:val="0"/>
          <w:numId w:val="43"/>
        </w:numPr>
        <w:rPr>
          <w:rFonts w:ascii="宋体" w:hAnsi="宋体" w:hint="eastAsia"/>
          <w:color w:val="000000" w:themeColor="text1"/>
        </w:rPr>
      </w:pPr>
      <w:r>
        <w:rPr>
          <w:rFonts w:ascii="宋体" w:hAnsi="宋体" w:hint="eastAsia"/>
          <w:color w:val="000000" w:themeColor="text1"/>
        </w:rPr>
        <w:t>预付款项</w:t>
      </w:r>
    </w:p>
    <w:p w14:paraId="7E96C0D1" w14:textId="77777777" w:rsidR="002D0AE7" w:rsidRDefault="00333EBB">
      <w:pPr>
        <w:pStyle w:val="4"/>
        <w:numPr>
          <w:ilvl w:val="0"/>
          <w:numId w:val="46"/>
        </w:numPr>
        <w:tabs>
          <w:tab w:val="left" w:pos="616"/>
        </w:tabs>
        <w:rPr>
          <w:rFonts w:ascii="宋体" w:hAnsi="宋体" w:hint="eastAsia"/>
          <w:color w:val="000000" w:themeColor="text1"/>
        </w:rPr>
      </w:pPr>
      <w:r>
        <w:rPr>
          <w:rFonts w:ascii="宋体" w:hAnsi="宋体" w:hint="eastAsia"/>
          <w:color w:val="000000" w:themeColor="text1"/>
        </w:rPr>
        <w:t>预付款项按账龄列示</w:t>
      </w:r>
    </w:p>
    <w:sdt>
      <w:sdtPr>
        <w:rPr>
          <w:color w:val="000000" w:themeColor="text1"/>
        </w:rPr>
        <w:alias w:val="是否适用：预付款项按账龄列示[双击切换]"/>
        <w:tag w:val="_GBC_af3b3e24767e48f7a70a5cfa609407a2"/>
        <w:id w:val="1703663110"/>
        <w:placeholder>
          <w:docPart w:val="GBC22222222222222222222222222222"/>
        </w:placeholder>
      </w:sdtPr>
      <w:sdtEndPr/>
      <w:sdtContent>
        <w:p w14:paraId="78701A38"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7FAACB4E" w14:textId="77777777" w:rsidR="002D0AE7" w:rsidRDefault="00333EBB">
      <w:pPr>
        <w:jc w:val="right"/>
        <w:rPr>
          <w:rFonts w:hint="eastAsia"/>
          <w:b/>
          <w:color w:val="000000" w:themeColor="text1"/>
        </w:rPr>
      </w:pPr>
      <w:r>
        <w:rPr>
          <w:rFonts w:hint="eastAsia"/>
          <w:color w:val="000000" w:themeColor="text1"/>
        </w:rPr>
        <w:t>单位：</w:t>
      </w:r>
      <w:sdt>
        <w:sdtPr>
          <w:rPr>
            <w:rFonts w:hint="eastAsia"/>
            <w:color w:val="000000" w:themeColor="text1"/>
          </w:rPr>
          <w:alias w:val="单位：财务附注：预付账款账龄"/>
          <w:tag w:val="_GBC_9eb28bbf7d374cdf965c7e133b610fb3"/>
          <w:id w:val="-2069936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预付账款账龄"/>
          <w:tag w:val="_GBC_d491347f74764df5af3312ad7a0a92e5"/>
          <w:id w:val="55289491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1349"/>
        <w:gridCol w:w="1876"/>
        <w:gridCol w:w="1862"/>
        <w:gridCol w:w="1860"/>
        <w:gridCol w:w="1876"/>
      </w:tblGrid>
      <w:tr w:rsidR="002D0AE7" w14:paraId="5DF453BD" w14:textId="77777777">
        <w:trPr>
          <w:cantSplit/>
          <w:trHeight w:val="237"/>
        </w:trPr>
        <w:sdt>
          <w:sdtPr>
            <w:rPr>
              <w:color w:val="000000" w:themeColor="text1"/>
              <w:sz w:val="21"/>
            </w:rPr>
            <w:tag w:val="_PLD_159a64f22a4a4b1ab31846b4d6034c4c"/>
            <w:id w:val="-1740932942"/>
          </w:sdtPr>
          <w:sdtEndPr/>
          <w:sdtContent>
            <w:tc>
              <w:tcPr>
                <w:tcW w:w="764" w:type="pct"/>
                <w:vMerge w:val="restart"/>
                <w:vAlign w:val="center"/>
              </w:tcPr>
              <w:p w14:paraId="56465E01" w14:textId="77777777" w:rsidR="002D0AE7" w:rsidRDefault="00333EBB">
                <w:pPr>
                  <w:jc w:val="center"/>
                  <w:rPr>
                    <w:rFonts w:hint="eastAsia"/>
                    <w:color w:val="000000" w:themeColor="text1"/>
                    <w:sz w:val="21"/>
                  </w:rPr>
                </w:pPr>
                <w:r>
                  <w:rPr>
                    <w:rFonts w:hint="eastAsia"/>
                    <w:color w:val="000000" w:themeColor="text1"/>
                    <w:sz w:val="21"/>
                  </w:rPr>
                  <w:t>账龄</w:t>
                </w:r>
              </w:p>
            </w:tc>
          </w:sdtContent>
        </w:sdt>
        <w:sdt>
          <w:sdtPr>
            <w:rPr>
              <w:color w:val="000000" w:themeColor="text1"/>
              <w:sz w:val="21"/>
            </w:rPr>
            <w:tag w:val="_PLD_6ca82cba92a649d08c6ceb86dd951ef3"/>
            <w:id w:val="-1762052048"/>
          </w:sdtPr>
          <w:sdtEndPr/>
          <w:sdtContent>
            <w:tc>
              <w:tcPr>
                <w:tcW w:w="2118" w:type="pct"/>
                <w:gridSpan w:val="2"/>
                <w:vAlign w:val="center"/>
              </w:tcPr>
              <w:p w14:paraId="64913124" w14:textId="77777777" w:rsidR="002D0AE7" w:rsidRDefault="00333EBB">
                <w:pPr>
                  <w:jc w:val="center"/>
                  <w:rPr>
                    <w:rFonts w:hint="eastAsia"/>
                    <w:color w:val="000000" w:themeColor="text1"/>
                    <w:sz w:val="21"/>
                  </w:rPr>
                </w:pPr>
                <w:r>
                  <w:rPr>
                    <w:rFonts w:hint="eastAsia"/>
                    <w:color w:val="000000" w:themeColor="text1"/>
                    <w:sz w:val="21"/>
                  </w:rPr>
                  <w:t>期末余额</w:t>
                </w:r>
              </w:p>
            </w:tc>
          </w:sdtContent>
        </w:sdt>
        <w:sdt>
          <w:sdtPr>
            <w:rPr>
              <w:color w:val="000000" w:themeColor="text1"/>
              <w:sz w:val="21"/>
            </w:rPr>
            <w:tag w:val="_PLD_365dab2f8fd246d79543ed0d2e6dcab7"/>
            <w:id w:val="-765692521"/>
          </w:sdtPr>
          <w:sdtEndPr/>
          <w:sdtContent>
            <w:tc>
              <w:tcPr>
                <w:tcW w:w="2117" w:type="pct"/>
                <w:gridSpan w:val="2"/>
                <w:vAlign w:val="center"/>
              </w:tcPr>
              <w:p w14:paraId="311717AF" w14:textId="77777777" w:rsidR="002D0AE7" w:rsidRDefault="00333EBB">
                <w:pPr>
                  <w:jc w:val="center"/>
                  <w:rPr>
                    <w:rFonts w:hint="eastAsia"/>
                    <w:color w:val="000000" w:themeColor="text1"/>
                    <w:sz w:val="21"/>
                  </w:rPr>
                </w:pPr>
                <w:r>
                  <w:rPr>
                    <w:rFonts w:hint="eastAsia"/>
                    <w:color w:val="000000" w:themeColor="text1"/>
                    <w:sz w:val="21"/>
                  </w:rPr>
                  <w:t>期初余额</w:t>
                </w:r>
              </w:p>
            </w:tc>
          </w:sdtContent>
        </w:sdt>
      </w:tr>
      <w:tr w:rsidR="002D0AE7" w14:paraId="3DD737CA" w14:textId="77777777">
        <w:trPr>
          <w:cantSplit/>
        </w:trPr>
        <w:tc>
          <w:tcPr>
            <w:tcW w:w="764" w:type="pct"/>
            <w:vMerge/>
          </w:tcPr>
          <w:p w14:paraId="013D5839" w14:textId="77777777" w:rsidR="002D0AE7" w:rsidRDefault="002D0AE7">
            <w:pPr>
              <w:rPr>
                <w:rFonts w:hint="eastAsia"/>
                <w:color w:val="000000" w:themeColor="text1"/>
                <w:sz w:val="21"/>
              </w:rPr>
            </w:pPr>
          </w:p>
        </w:tc>
        <w:sdt>
          <w:sdtPr>
            <w:rPr>
              <w:color w:val="000000" w:themeColor="text1"/>
              <w:sz w:val="21"/>
            </w:rPr>
            <w:tag w:val="_PLD_a9d7b721cfa446e9ae31149380da5970"/>
            <w:id w:val="-1376839786"/>
          </w:sdtPr>
          <w:sdtEndPr/>
          <w:sdtContent>
            <w:tc>
              <w:tcPr>
                <w:tcW w:w="1063" w:type="pct"/>
                <w:vAlign w:val="center"/>
              </w:tcPr>
              <w:p w14:paraId="296E3F07" w14:textId="77777777" w:rsidR="002D0AE7" w:rsidRDefault="00333EBB">
                <w:pPr>
                  <w:jc w:val="center"/>
                  <w:rPr>
                    <w:rFonts w:hint="eastAsia"/>
                    <w:color w:val="000000" w:themeColor="text1"/>
                    <w:sz w:val="21"/>
                  </w:rPr>
                </w:pPr>
                <w:r>
                  <w:rPr>
                    <w:rFonts w:hint="eastAsia"/>
                    <w:color w:val="000000" w:themeColor="text1"/>
                    <w:sz w:val="21"/>
                  </w:rPr>
                  <w:t>金额</w:t>
                </w:r>
              </w:p>
            </w:tc>
          </w:sdtContent>
        </w:sdt>
        <w:sdt>
          <w:sdtPr>
            <w:rPr>
              <w:color w:val="000000" w:themeColor="text1"/>
              <w:sz w:val="21"/>
            </w:rPr>
            <w:tag w:val="_PLD_2d8b8f523dcd4c95815b7c8fd528129d"/>
            <w:id w:val="421080351"/>
          </w:sdtPr>
          <w:sdtEndPr/>
          <w:sdtContent>
            <w:tc>
              <w:tcPr>
                <w:tcW w:w="1055" w:type="pct"/>
                <w:vAlign w:val="center"/>
              </w:tcPr>
              <w:p w14:paraId="0574AB7E" w14:textId="77777777" w:rsidR="002D0AE7" w:rsidRDefault="00333EBB">
                <w:pPr>
                  <w:jc w:val="center"/>
                  <w:rPr>
                    <w:rFonts w:hint="eastAsia"/>
                    <w:color w:val="000000" w:themeColor="text1"/>
                    <w:sz w:val="21"/>
                  </w:rPr>
                </w:pPr>
                <w:r>
                  <w:rPr>
                    <w:rFonts w:hint="eastAsia"/>
                    <w:color w:val="000000" w:themeColor="text1"/>
                    <w:sz w:val="21"/>
                  </w:rPr>
                  <w:t>比例</w:t>
                </w:r>
                <w:r>
                  <w:rPr>
                    <w:color w:val="000000" w:themeColor="text1"/>
                    <w:sz w:val="21"/>
                  </w:rPr>
                  <w:t>(%)</w:t>
                </w:r>
              </w:p>
            </w:tc>
          </w:sdtContent>
        </w:sdt>
        <w:sdt>
          <w:sdtPr>
            <w:rPr>
              <w:color w:val="000000" w:themeColor="text1"/>
              <w:sz w:val="21"/>
            </w:rPr>
            <w:tag w:val="_PLD_f01816a56b3f4ec1a7d603d3ac318eb1"/>
            <w:id w:val="1610924335"/>
          </w:sdtPr>
          <w:sdtEndPr/>
          <w:sdtContent>
            <w:tc>
              <w:tcPr>
                <w:tcW w:w="1054" w:type="pct"/>
                <w:vAlign w:val="center"/>
              </w:tcPr>
              <w:p w14:paraId="67E3A560" w14:textId="77777777" w:rsidR="002D0AE7" w:rsidRDefault="00333EBB">
                <w:pPr>
                  <w:jc w:val="center"/>
                  <w:rPr>
                    <w:rFonts w:hint="eastAsia"/>
                    <w:color w:val="000000" w:themeColor="text1"/>
                    <w:sz w:val="21"/>
                  </w:rPr>
                </w:pPr>
                <w:r>
                  <w:rPr>
                    <w:rFonts w:hint="eastAsia"/>
                    <w:color w:val="000000" w:themeColor="text1"/>
                    <w:sz w:val="21"/>
                  </w:rPr>
                  <w:t>金额</w:t>
                </w:r>
              </w:p>
            </w:tc>
          </w:sdtContent>
        </w:sdt>
        <w:sdt>
          <w:sdtPr>
            <w:rPr>
              <w:color w:val="000000" w:themeColor="text1"/>
              <w:sz w:val="21"/>
            </w:rPr>
            <w:tag w:val="_PLD_55adcab5f9be4d24b3d0faaf5403e89a"/>
            <w:id w:val="-1952396152"/>
          </w:sdtPr>
          <w:sdtEndPr/>
          <w:sdtContent>
            <w:tc>
              <w:tcPr>
                <w:tcW w:w="1063" w:type="pct"/>
                <w:vAlign w:val="center"/>
              </w:tcPr>
              <w:p w14:paraId="234C3698" w14:textId="77777777" w:rsidR="002D0AE7" w:rsidRDefault="00333EBB">
                <w:pPr>
                  <w:jc w:val="center"/>
                  <w:rPr>
                    <w:rFonts w:hint="eastAsia"/>
                    <w:color w:val="000000" w:themeColor="text1"/>
                    <w:sz w:val="21"/>
                  </w:rPr>
                </w:pPr>
                <w:r>
                  <w:rPr>
                    <w:rFonts w:hint="eastAsia"/>
                    <w:color w:val="000000" w:themeColor="text1"/>
                    <w:sz w:val="21"/>
                  </w:rPr>
                  <w:t>比例</w:t>
                </w:r>
                <w:r>
                  <w:rPr>
                    <w:color w:val="000000" w:themeColor="text1"/>
                    <w:sz w:val="21"/>
                  </w:rPr>
                  <w:t>(%)</w:t>
                </w:r>
              </w:p>
            </w:tc>
          </w:sdtContent>
        </w:sdt>
      </w:tr>
      <w:tr w:rsidR="002D0AE7" w14:paraId="2D0291BB" w14:textId="77777777">
        <w:trPr>
          <w:cantSplit/>
        </w:trPr>
        <w:tc>
          <w:tcPr>
            <w:tcW w:w="764" w:type="pct"/>
          </w:tcPr>
          <w:p w14:paraId="048420AB" w14:textId="77777777" w:rsidR="002D0AE7" w:rsidRDefault="00333EBB">
            <w:pPr>
              <w:rPr>
                <w:rFonts w:hint="eastAsia"/>
                <w:color w:val="000000" w:themeColor="text1"/>
                <w:sz w:val="21"/>
              </w:rPr>
            </w:pPr>
            <w:r>
              <w:rPr>
                <w:rFonts w:hint="eastAsia"/>
                <w:color w:val="000000" w:themeColor="text1"/>
                <w:sz w:val="21"/>
              </w:rPr>
              <w:t>1</w:t>
            </w:r>
            <w:r>
              <w:rPr>
                <w:rFonts w:hint="eastAsia"/>
                <w:color w:val="000000" w:themeColor="text1"/>
                <w:sz w:val="21"/>
              </w:rPr>
              <w:t>年以内</w:t>
            </w:r>
          </w:p>
        </w:tc>
        <w:tc>
          <w:tcPr>
            <w:tcW w:w="1063" w:type="pct"/>
            <w:vAlign w:val="center"/>
          </w:tcPr>
          <w:p w14:paraId="5BE6034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29,448,737.41</w:t>
            </w:r>
          </w:p>
        </w:tc>
        <w:tc>
          <w:tcPr>
            <w:tcW w:w="1055" w:type="pct"/>
            <w:vAlign w:val="center"/>
          </w:tcPr>
          <w:p w14:paraId="2217CB3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97.74</w:t>
            </w:r>
          </w:p>
        </w:tc>
        <w:tc>
          <w:tcPr>
            <w:tcW w:w="1054" w:type="pct"/>
            <w:vAlign w:val="center"/>
          </w:tcPr>
          <w:p w14:paraId="05DC3828" w14:textId="77777777" w:rsidR="002D0AE7" w:rsidRDefault="00333EBB">
            <w:pPr>
              <w:jc w:val="right"/>
              <w:rPr>
                <w:rFonts w:ascii="Times New Roman" w:hAnsi="Times New Roman" w:cs="Times New Roman"/>
                <w:sz w:val="21"/>
              </w:rPr>
            </w:pPr>
            <w:r>
              <w:rPr>
                <w:rFonts w:ascii="Times New Roman" w:hAnsi="Times New Roman" w:cs="Times New Roman"/>
                <w:sz w:val="21"/>
              </w:rPr>
              <w:t>48,721,240.53</w:t>
            </w:r>
          </w:p>
        </w:tc>
        <w:tc>
          <w:tcPr>
            <w:tcW w:w="1063" w:type="pct"/>
            <w:vAlign w:val="center"/>
          </w:tcPr>
          <w:p w14:paraId="6C62FFF7" w14:textId="77777777" w:rsidR="002D0AE7" w:rsidRDefault="00333EBB">
            <w:pPr>
              <w:jc w:val="right"/>
              <w:rPr>
                <w:rFonts w:ascii="Times New Roman" w:hAnsi="Times New Roman" w:cs="Times New Roman"/>
                <w:sz w:val="21"/>
              </w:rPr>
            </w:pPr>
            <w:r>
              <w:rPr>
                <w:rFonts w:ascii="Times New Roman" w:hAnsi="Times New Roman" w:cs="Times New Roman"/>
                <w:sz w:val="21"/>
              </w:rPr>
              <w:t>99.55</w:t>
            </w:r>
          </w:p>
        </w:tc>
      </w:tr>
      <w:tr w:rsidR="002D0AE7" w14:paraId="453B63A3" w14:textId="77777777">
        <w:trPr>
          <w:cantSplit/>
        </w:trPr>
        <w:tc>
          <w:tcPr>
            <w:tcW w:w="764" w:type="pct"/>
          </w:tcPr>
          <w:p w14:paraId="569D7518" w14:textId="77777777" w:rsidR="002D0AE7" w:rsidRDefault="00333EBB">
            <w:pPr>
              <w:rPr>
                <w:rFonts w:hint="eastAsia"/>
                <w:color w:val="000000" w:themeColor="text1"/>
                <w:sz w:val="21"/>
              </w:rPr>
            </w:pPr>
            <w:r>
              <w:rPr>
                <w:rFonts w:hint="eastAsia"/>
                <w:color w:val="000000" w:themeColor="text1"/>
                <w:sz w:val="21"/>
              </w:rPr>
              <w:t>1</w:t>
            </w:r>
            <w:r>
              <w:rPr>
                <w:rFonts w:hint="eastAsia"/>
                <w:color w:val="000000" w:themeColor="text1"/>
                <w:sz w:val="21"/>
              </w:rPr>
              <w:t>至</w:t>
            </w:r>
            <w:r>
              <w:rPr>
                <w:rFonts w:hint="eastAsia"/>
                <w:color w:val="000000" w:themeColor="text1"/>
                <w:sz w:val="21"/>
              </w:rPr>
              <w:t>2</w:t>
            </w:r>
            <w:r>
              <w:rPr>
                <w:rFonts w:hint="eastAsia"/>
                <w:color w:val="000000" w:themeColor="text1"/>
                <w:sz w:val="21"/>
              </w:rPr>
              <w:t>年</w:t>
            </w:r>
          </w:p>
        </w:tc>
        <w:tc>
          <w:tcPr>
            <w:tcW w:w="1063" w:type="pct"/>
            <w:vAlign w:val="center"/>
          </w:tcPr>
          <w:p w14:paraId="71A2027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490,140.27</w:t>
            </w:r>
          </w:p>
        </w:tc>
        <w:tc>
          <w:tcPr>
            <w:tcW w:w="1055" w:type="pct"/>
            <w:vAlign w:val="center"/>
          </w:tcPr>
          <w:p w14:paraId="6F458CE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1.63</w:t>
            </w:r>
          </w:p>
        </w:tc>
        <w:tc>
          <w:tcPr>
            <w:tcW w:w="1054" w:type="pct"/>
            <w:vAlign w:val="center"/>
          </w:tcPr>
          <w:p w14:paraId="5A3AAB78" w14:textId="77777777" w:rsidR="002D0AE7" w:rsidRDefault="00333EBB">
            <w:pPr>
              <w:jc w:val="right"/>
              <w:rPr>
                <w:rFonts w:ascii="Times New Roman" w:hAnsi="Times New Roman" w:cs="Times New Roman"/>
                <w:sz w:val="21"/>
              </w:rPr>
            </w:pPr>
            <w:r>
              <w:rPr>
                <w:rFonts w:ascii="Times New Roman" w:hAnsi="Times New Roman" w:cs="Times New Roman"/>
                <w:sz w:val="21"/>
              </w:rPr>
              <w:t>28,665.27</w:t>
            </w:r>
          </w:p>
        </w:tc>
        <w:tc>
          <w:tcPr>
            <w:tcW w:w="1063" w:type="pct"/>
            <w:vAlign w:val="center"/>
          </w:tcPr>
          <w:p w14:paraId="17D0EDB1" w14:textId="77777777" w:rsidR="002D0AE7" w:rsidRDefault="00333EBB">
            <w:pPr>
              <w:jc w:val="right"/>
              <w:rPr>
                <w:rFonts w:ascii="Times New Roman" w:hAnsi="Times New Roman" w:cs="Times New Roman"/>
                <w:sz w:val="21"/>
              </w:rPr>
            </w:pPr>
            <w:r>
              <w:rPr>
                <w:rFonts w:ascii="Times New Roman" w:hAnsi="Times New Roman" w:cs="Times New Roman"/>
                <w:sz w:val="21"/>
              </w:rPr>
              <w:t>0.06</w:t>
            </w:r>
          </w:p>
        </w:tc>
      </w:tr>
      <w:tr w:rsidR="002D0AE7" w14:paraId="647FB06E" w14:textId="77777777">
        <w:trPr>
          <w:cantSplit/>
        </w:trPr>
        <w:tc>
          <w:tcPr>
            <w:tcW w:w="764" w:type="pct"/>
          </w:tcPr>
          <w:p w14:paraId="126A30DF" w14:textId="77777777" w:rsidR="002D0AE7" w:rsidRDefault="00333EBB">
            <w:pPr>
              <w:rPr>
                <w:rFonts w:hint="eastAsia"/>
                <w:color w:val="000000" w:themeColor="text1"/>
                <w:sz w:val="21"/>
              </w:rPr>
            </w:pPr>
            <w:r>
              <w:rPr>
                <w:rFonts w:hint="eastAsia"/>
                <w:color w:val="000000" w:themeColor="text1"/>
                <w:sz w:val="21"/>
              </w:rPr>
              <w:t>2</w:t>
            </w:r>
            <w:r>
              <w:rPr>
                <w:rFonts w:hint="eastAsia"/>
                <w:color w:val="000000" w:themeColor="text1"/>
                <w:sz w:val="21"/>
              </w:rPr>
              <w:t>至</w:t>
            </w:r>
            <w:r>
              <w:rPr>
                <w:rFonts w:hint="eastAsia"/>
                <w:color w:val="000000" w:themeColor="text1"/>
                <w:sz w:val="21"/>
              </w:rPr>
              <w:t>3</w:t>
            </w:r>
            <w:r>
              <w:rPr>
                <w:rFonts w:hint="eastAsia"/>
                <w:color w:val="000000" w:themeColor="text1"/>
                <w:sz w:val="21"/>
              </w:rPr>
              <w:t>年</w:t>
            </w:r>
          </w:p>
        </w:tc>
        <w:tc>
          <w:tcPr>
            <w:tcW w:w="1063" w:type="pct"/>
            <w:vAlign w:val="center"/>
          </w:tcPr>
          <w:p w14:paraId="0EE1878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1055" w:type="pct"/>
            <w:vAlign w:val="center"/>
          </w:tcPr>
          <w:p w14:paraId="7D18CF1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1054" w:type="pct"/>
            <w:vAlign w:val="center"/>
          </w:tcPr>
          <w:p w14:paraId="3BCE3E30"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c>
          <w:tcPr>
            <w:tcW w:w="1063" w:type="pct"/>
            <w:vAlign w:val="center"/>
          </w:tcPr>
          <w:p w14:paraId="7234892E"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r>
      <w:tr w:rsidR="002D0AE7" w14:paraId="59C4936C" w14:textId="77777777">
        <w:trPr>
          <w:cantSplit/>
        </w:trPr>
        <w:tc>
          <w:tcPr>
            <w:tcW w:w="764" w:type="pct"/>
          </w:tcPr>
          <w:p w14:paraId="11A05C95" w14:textId="77777777" w:rsidR="002D0AE7" w:rsidRDefault="00333EBB">
            <w:pPr>
              <w:rPr>
                <w:rFonts w:hint="eastAsia"/>
                <w:color w:val="000000" w:themeColor="text1"/>
                <w:sz w:val="21"/>
              </w:rPr>
            </w:pPr>
            <w:r>
              <w:rPr>
                <w:rFonts w:hint="eastAsia"/>
                <w:color w:val="000000" w:themeColor="text1"/>
                <w:sz w:val="21"/>
              </w:rPr>
              <w:t>3</w:t>
            </w:r>
            <w:r>
              <w:rPr>
                <w:rFonts w:hint="eastAsia"/>
                <w:color w:val="000000" w:themeColor="text1"/>
                <w:sz w:val="21"/>
              </w:rPr>
              <w:t>年以上</w:t>
            </w:r>
          </w:p>
        </w:tc>
        <w:tc>
          <w:tcPr>
            <w:tcW w:w="1063" w:type="pct"/>
            <w:vAlign w:val="center"/>
          </w:tcPr>
          <w:p w14:paraId="500C73D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190,909.91</w:t>
            </w:r>
          </w:p>
        </w:tc>
        <w:tc>
          <w:tcPr>
            <w:tcW w:w="1055" w:type="pct"/>
            <w:vAlign w:val="center"/>
          </w:tcPr>
          <w:p w14:paraId="08C4729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0.63</w:t>
            </w:r>
          </w:p>
        </w:tc>
        <w:tc>
          <w:tcPr>
            <w:tcW w:w="1054" w:type="pct"/>
            <w:vAlign w:val="center"/>
          </w:tcPr>
          <w:p w14:paraId="736CFE3E" w14:textId="77777777" w:rsidR="002D0AE7" w:rsidRDefault="00333EBB">
            <w:pPr>
              <w:jc w:val="right"/>
              <w:rPr>
                <w:rFonts w:ascii="Times New Roman" w:hAnsi="Times New Roman" w:cs="Times New Roman"/>
                <w:sz w:val="21"/>
              </w:rPr>
            </w:pPr>
            <w:r>
              <w:rPr>
                <w:rFonts w:ascii="Times New Roman" w:hAnsi="Times New Roman" w:cs="Times New Roman"/>
                <w:sz w:val="21"/>
              </w:rPr>
              <w:t>190,909.91</w:t>
            </w:r>
          </w:p>
        </w:tc>
        <w:tc>
          <w:tcPr>
            <w:tcW w:w="1063" w:type="pct"/>
            <w:vAlign w:val="center"/>
          </w:tcPr>
          <w:p w14:paraId="3762863D" w14:textId="77777777" w:rsidR="002D0AE7" w:rsidRDefault="00333EBB">
            <w:pPr>
              <w:jc w:val="right"/>
              <w:rPr>
                <w:rFonts w:ascii="Times New Roman" w:hAnsi="Times New Roman" w:cs="Times New Roman"/>
                <w:sz w:val="21"/>
              </w:rPr>
            </w:pPr>
            <w:r>
              <w:rPr>
                <w:rFonts w:ascii="Times New Roman" w:hAnsi="Times New Roman" w:cs="Times New Roman"/>
                <w:sz w:val="21"/>
              </w:rPr>
              <w:t>0.39</w:t>
            </w:r>
          </w:p>
        </w:tc>
      </w:tr>
      <w:tr w:rsidR="002D0AE7" w14:paraId="6531A195" w14:textId="77777777">
        <w:trPr>
          <w:cantSplit/>
        </w:trPr>
        <w:tc>
          <w:tcPr>
            <w:tcW w:w="764" w:type="pct"/>
          </w:tcPr>
          <w:p w14:paraId="65587817" w14:textId="77777777" w:rsidR="002D0AE7" w:rsidRDefault="00333EBB">
            <w:pPr>
              <w:jc w:val="center"/>
              <w:rPr>
                <w:rFonts w:hint="eastAsia"/>
                <w:color w:val="000000" w:themeColor="text1"/>
                <w:sz w:val="21"/>
              </w:rPr>
            </w:pPr>
            <w:r>
              <w:rPr>
                <w:rFonts w:hint="eastAsia"/>
                <w:color w:val="000000" w:themeColor="text1"/>
                <w:sz w:val="21"/>
              </w:rPr>
              <w:t>合计</w:t>
            </w:r>
          </w:p>
        </w:tc>
        <w:tc>
          <w:tcPr>
            <w:tcW w:w="1063" w:type="pct"/>
            <w:vAlign w:val="center"/>
          </w:tcPr>
          <w:p w14:paraId="0E03ECBD" w14:textId="77777777" w:rsidR="002D0AE7" w:rsidRDefault="00333EBB">
            <w:pPr>
              <w:jc w:val="right"/>
              <w:rPr>
                <w:rFonts w:ascii="Times New Roman" w:hAnsi="Times New Roman" w:cs="Times New Roman"/>
                <w:sz w:val="21"/>
              </w:rPr>
            </w:pPr>
            <w:r>
              <w:rPr>
                <w:rFonts w:ascii="Times New Roman" w:hAnsi="Times New Roman" w:cs="Times New Roman"/>
                <w:sz w:val="21"/>
              </w:rPr>
              <w:t>30,129,787.59</w:t>
            </w:r>
          </w:p>
        </w:tc>
        <w:tc>
          <w:tcPr>
            <w:tcW w:w="1055" w:type="pct"/>
            <w:vAlign w:val="center"/>
          </w:tcPr>
          <w:p w14:paraId="479DD518" w14:textId="77777777" w:rsidR="002D0AE7" w:rsidRDefault="00333EBB">
            <w:pPr>
              <w:jc w:val="right"/>
              <w:rPr>
                <w:rFonts w:ascii="Times New Roman" w:hAnsi="Times New Roman" w:cs="Times New Roman"/>
                <w:sz w:val="21"/>
              </w:rPr>
            </w:pPr>
            <w:r>
              <w:rPr>
                <w:rFonts w:ascii="Times New Roman" w:hAnsi="Times New Roman" w:cs="Times New Roman"/>
                <w:sz w:val="21"/>
              </w:rPr>
              <w:t>100.00</w:t>
            </w:r>
          </w:p>
        </w:tc>
        <w:tc>
          <w:tcPr>
            <w:tcW w:w="1054" w:type="pct"/>
            <w:vAlign w:val="center"/>
          </w:tcPr>
          <w:p w14:paraId="0D04C9AC" w14:textId="77777777" w:rsidR="002D0AE7" w:rsidRDefault="00333EBB">
            <w:pPr>
              <w:jc w:val="right"/>
              <w:rPr>
                <w:rFonts w:ascii="Times New Roman" w:hAnsi="Times New Roman" w:cs="Times New Roman"/>
                <w:sz w:val="21"/>
              </w:rPr>
            </w:pPr>
            <w:r>
              <w:rPr>
                <w:rFonts w:ascii="Times New Roman" w:hAnsi="Times New Roman" w:cs="Times New Roman"/>
                <w:sz w:val="21"/>
              </w:rPr>
              <w:t>48,940,815.71</w:t>
            </w:r>
          </w:p>
        </w:tc>
        <w:tc>
          <w:tcPr>
            <w:tcW w:w="1063" w:type="pct"/>
            <w:vAlign w:val="center"/>
          </w:tcPr>
          <w:p w14:paraId="0BB977B2" w14:textId="77777777" w:rsidR="002D0AE7" w:rsidRDefault="00333EBB">
            <w:pPr>
              <w:jc w:val="right"/>
              <w:rPr>
                <w:rFonts w:ascii="Times New Roman" w:hAnsi="Times New Roman" w:cs="Times New Roman"/>
                <w:sz w:val="21"/>
              </w:rPr>
            </w:pPr>
            <w:r>
              <w:rPr>
                <w:rFonts w:ascii="Times New Roman" w:hAnsi="Times New Roman" w:cs="Times New Roman"/>
                <w:sz w:val="21"/>
              </w:rPr>
              <w:t>100.00</w:t>
            </w:r>
          </w:p>
        </w:tc>
      </w:tr>
    </w:tbl>
    <w:p w14:paraId="3C10BAA1" w14:textId="77777777" w:rsidR="002D0AE7" w:rsidRDefault="00333EBB">
      <w:pPr>
        <w:rPr>
          <w:rFonts w:hint="eastAsia"/>
          <w:bCs/>
          <w:color w:val="000000"/>
          <w:sz w:val="21"/>
        </w:rPr>
      </w:pPr>
      <w:r>
        <w:rPr>
          <w:rFonts w:hint="eastAsia"/>
          <w:color w:val="000000" w:themeColor="text1"/>
        </w:rPr>
        <w:t>账龄超过</w:t>
      </w:r>
      <w:r>
        <w:rPr>
          <w:rFonts w:hint="eastAsia"/>
          <w:color w:val="000000" w:themeColor="text1"/>
        </w:rPr>
        <w:t>1</w:t>
      </w:r>
      <w:r>
        <w:rPr>
          <w:rFonts w:hint="eastAsia"/>
          <w:color w:val="000000" w:themeColor="text1"/>
        </w:rPr>
        <w:t>年且金额重要的预付款项未及时结算原因</w:t>
      </w:r>
      <w:r>
        <w:rPr>
          <w:color w:val="000000" w:themeColor="text1"/>
        </w:rPr>
        <w:t>的说明：</w:t>
      </w:r>
      <w:sdt>
        <w:sdtPr>
          <w:rPr>
            <w:color w:val="000000" w:themeColor="text1"/>
          </w:rPr>
          <w:alias w:val="账龄超过1年且金额重要的预付款项未及时结算原因的说明"/>
          <w:tag w:val="_GBC_174a9654172e49e09cdbf18d854fdd51"/>
          <w:id w:val="-509987221"/>
          <w:placeholder>
            <w:docPart w:val="GBC22222222222222222222222222222"/>
          </w:placeholder>
        </w:sdtPr>
        <w:sdtEndPr>
          <w:rPr>
            <w:sz w:val="21"/>
          </w:rPr>
        </w:sdtEndPr>
        <w:sdtContent>
          <w:r>
            <w:rPr>
              <w:rFonts w:hint="eastAsia"/>
              <w:bCs/>
              <w:color w:val="000000"/>
              <w:sz w:val="21"/>
            </w:rPr>
            <w:t>报告期内无账龄超过</w:t>
          </w:r>
          <w:r>
            <w:rPr>
              <w:rFonts w:hint="eastAsia"/>
              <w:bCs/>
              <w:color w:val="000000"/>
              <w:sz w:val="21"/>
            </w:rPr>
            <w:t>1</w:t>
          </w:r>
          <w:r>
            <w:rPr>
              <w:rFonts w:hint="eastAsia"/>
              <w:bCs/>
              <w:color w:val="000000"/>
              <w:sz w:val="21"/>
            </w:rPr>
            <w:t>年且金额重要的预付款项。</w:t>
          </w:r>
        </w:sdtContent>
      </w:sdt>
    </w:p>
    <w:p w14:paraId="68D482BC" w14:textId="77777777" w:rsidR="002D0AE7" w:rsidRDefault="00333EBB">
      <w:pPr>
        <w:pStyle w:val="4"/>
        <w:numPr>
          <w:ilvl w:val="0"/>
          <w:numId w:val="46"/>
        </w:numPr>
        <w:tabs>
          <w:tab w:val="left" w:pos="616"/>
        </w:tabs>
        <w:snapToGrid w:val="0"/>
        <w:spacing w:line="240" w:lineRule="atLeast"/>
        <w:jc w:val="left"/>
        <w:rPr>
          <w:rFonts w:ascii="宋体" w:hAnsi="宋体" w:hint="eastAsia"/>
          <w:color w:val="000000" w:themeColor="text1"/>
          <w:szCs w:val="21"/>
        </w:rPr>
      </w:pPr>
      <w:r>
        <w:rPr>
          <w:rFonts w:ascii="宋体" w:hAnsi="宋体" w:hint="eastAsia"/>
          <w:color w:val="000000" w:themeColor="text1"/>
        </w:rPr>
        <w:t>按预付对象归集的期末余额前五名的预付款情况</w:t>
      </w:r>
    </w:p>
    <w:sdt>
      <w:sdtPr>
        <w:rPr>
          <w:rFonts w:hint="eastAsia"/>
          <w:color w:val="000000" w:themeColor="text1"/>
        </w:rPr>
        <w:alias w:val="是否适用：按预付对象归集的期末余额前五名的预付款情况[双击切换]"/>
        <w:tag w:val="_GBC_a1864f04af6d49bdb434d74a7f29f8c3"/>
        <w:id w:val="120112809"/>
        <w:placeholder>
          <w:docPart w:val="GBC22222222222222222222222222222"/>
        </w:placeholder>
      </w:sdtPr>
      <w:sdtEndPr/>
      <w:sdtContent>
        <w:p w14:paraId="3BA854BE" w14:textId="77777777" w:rsidR="002D0AE7" w:rsidRDefault="00333EBB">
          <w:pPr>
            <w:snapToGrid w:val="0"/>
            <w:spacing w:line="240" w:lineRule="atLeast"/>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按预付对象归集的期末余额前五名的预付款情况的说明"/>
        <w:tag w:val="_GBC_e2f1aa285f174786838e4fcd54656fec"/>
        <w:id w:val="-1719893520"/>
        <w:placeholder>
          <w:docPart w:val="GBC22222222222222222222222222222"/>
        </w:placeholder>
      </w:sdtPr>
      <w:sdtEndPr/>
      <w:sdtContent>
        <w:tbl>
          <w:tblPr>
            <w:tblW w:w="8642" w:type="dxa"/>
            <w:tblInd w:w="113" w:type="dxa"/>
            <w:tblLook w:val="04A0" w:firstRow="1" w:lastRow="0" w:firstColumn="1" w:lastColumn="0" w:noHBand="0" w:noVBand="1"/>
          </w:tblPr>
          <w:tblGrid>
            <w:gridCol w:w="1980"/>
            <w:gridCol w:w="2864"/>
            <w:gridCol w:w="3798"/>
          </w:tblGrid>
          <w:tr w:rsidR="002D0AE7" w14:paraId="03261AC0" w14:textId="77777777">
            <w:trPr>
              <w:trHeight w:val="5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3C7CCD2" w14:textId="77777777" w:rsidR="002D0AE7" w:rsidRDefault="00333EBB">
                <w:pPr>
                  <w:jc w:val="center"/>
                  <w:rPr>
                    <w:rFonts w:hint="eastAsia"/>
                    <w:bCs/>
                    <w:color w:val="000000"/>
                    <w:sz w:val="21"/>
                  </w:rPr>
                </w:pPr>
                <w:r>
                  <w:rPr>
                    <w:rFonts w:hint="eastAsia"/>
                    <w:bCs/>
                    <w:color w:val="000000"/>
                    <w:sz w:val="21"/>
                  </w:rPr>
                  <w:t>单位名称</w:t>
                </w:r>
              </w:p>
            </w:tc>
            <w:tc>
              <w:tcPr>
                <w:tcW w:w="2864" w:type="dxa"/>
                <w:tcBorders>
                  <w:top w:val="single" w:sz="4" w:space="0" w:color="auto"/>
                  <w:left w:val="nil"/>
                  <w:bottom w:val="single" w:sz="4" w:space="0" w:color="auto"/>
                  <w:right w:val="single" w:sz="4" w:space="0" w:color="auto"/>
                </w:tcBorders>
                <w:shd w:val="clear" w:color="auto" w:fill="auto"/>
                <w:vAlign w:val="center"/>
              </w:tcPr>
              <w:p w14:paraId="63097F49" w14:textId="77777777" w:rsidR="002D0AE7" w:rsidRDefault="00333EBB">
                <w:pPr>
                  <w:jc w:val="center"/>
                  <w:rPr>
                    <w:rFonts w:hint="eastAsia"/>
                    <w:bCs/>
                    <w:color w:val="000000"/>
                    <w:sz w:val="21"/>
                  </w:rPr>
                </w:pPr>
                <w:r>
                  <w:rPr>
                    <w:rFonts w:hint="eastAsia"/>
                    <w:bCs/>
                    <w:color w:val="000000"/>
                    <w:sz w:val="21"/>
                  </w:rPr>
                  <w:t>期末余额</w:t>
                </w:r>
              </w:p>
            </w:tc>
            <w:tc>
              <w:tcPr>
                <w:tcW w:w="3798" w:type="dxa"/>
                <w:tcBorders>
                  <w:top w:val="single" w:sz="4" w:space="0" w:color="auto"/>
                  <w:left w:val="nil"/>
                  <w:bottom w:val="single" w:sz="4" w:space="0" w:color="auto"/>
                  <w:right w:val="single" w:sz="4" w:space="0" w:color="auto"/>
                </w:tcBorders>
                <w:shd w:val="clear" w:color="auto" w:fill="auto"/>
                <w:vAlign w:val="center"/>
              </w:tcPr>
              <w:p w14:paraId="7E64FC0A" w14:textId="77777777" w:rsidR="002D0AE7" w:rsidRDefault="00333EBB">
                <w:pPr>
                  <w:jc w:val="center"/>
                  <w:rPr>
                    <w:rFonts w:hint="eastAsia"/>
                    <w:bCs/>
                    <w:color w:val="000000"/>
                    <w:sz w:val="21"/>
                  </w:rPr>
                </w:pPr>
                <w:r>
                  <w:rPr>
                    <w:rFonts w:hint="eastAsia"/>
                    <w:bCs/>
                    <w:color w:val="000000"/>
                    <w:sz w:val="21"/>
                  </w:rPr>
                  <w:t>占预付款项期末余额合计数的比例</w:t>
                </w:r>
                <w:r>
                  <w:rPr>
                    <w:rFonts w:hint="eastAsia"/>
                    <w:bCs/>
                    <w:color w:val="000000"/>
                    <w:sz w:val="21"/>
                  </w:rPr>
                  <w:t>(%)</w:t>
                </w:r>
              </w:p>
            </w:tc>
          </w:tr>
          <w:tr w:rsidR="002D0AE7" w14:paraId="27F9958B" w14:textId="77777777">
            <w:trPr>
              <w:trHeight w:val="57"/>
            </w:trPr>
            <w:tc>
              <w:tcPr>
                <w:tcW w:w="1980" w:type="dxa"/>
                <w:tcBorders>
                  <w:top w:val="nil"/>
                  <w:left w:val="single" w:sz="4" w:space="0" w:color="auto"/>
                  <w:bottom w:val="single" w:sz="4" w:space="0" w:color="auto"/>
                  <w:right w:val="single" w:sz="4" w:space="0" w:color="auto"/>
                </w:tcBorders>
                <w:shd w:val="clear" w:color="auto" w:fill="auto"/>
                <w:vAlign w:val="center"/>
              </w:tcPr>
              <w:p w14:paraId="67DCE8D3" w14:textId="77777777" w:rsidR="002D0AE7" w:rsidRDefault="00333EBB">
                <w:pPr>
                  <w:jc w:val="center"/>
                  <w:rPr>
                    <w:rFonts w:ascii="Times New Roman" w:hAnsi="Times New Roman" w:cs="Times New Roman"/>
                    <w:bCs/>
                    <w:color w:val="000000"/>
                    <w:sz w:val="21"/>
                  </w:rPr>
                </w:pPr>
                <w:r>
                  <w:rPr>
                    <w:rFonts w:ascii="Times New Roman" w:hAnsi="Times New Roman" w:cs="Times New Roman"/>
                    <w:bCs/>
                    <w:color w:val="000000"/>
                    <w:sz w:val="21"/>
                  </w:rPr>
                  <w:lastRenderedPageBreak/>
                  <w:t>1</w:t>
                </w:r>
              </w:p>
            </w:tc>
            <w:tc>
              <w:tcPr>
                <w:tcW w:w="2864" w:type="dxa"/>
                <w:tcBorders>
                  <w:top w:val="nil"/>
                  <w:left w:val="nil"/>
                  <w:bottom w:val="single" w:sz="4" w:space="0" w:color="auto"/>
                  <w:right w:val="single" w:sz="4" w:space="0" w:color="auto"/>
                </w:tcBorders>
                <w:shd w:val="clear" w:color="auto" w:fill="auto"/>
                <w:vAlign w:val="center"/>
              </w:tcPr>
              <w:p w14:paraId="20DCE5E3" w14:textId="77777777" w:rsidR="002D0AE7" w:rsidRDefault="00333EBB">
                <w:pPr>
                  <w:jc w:val="right"/>
                  <w:rPr>
                    <w:rFonts w:ascii="Times New Roman" w:hAnsi="Times New Roman" w:cs="Times New Roman"/>
                    <w:bCs/>
                    <w:sz w:val="21"/>
                  </w:rPr>
                </w:pPr>
                <w:r>
                  <w:rPr>
                    <w:rFonts w:ascii="Times New Roman" w:hAnsi="Times New Roman" w:cs="Times New Roman"/>
                    <w:bCs/>
                    <w:sz w:val="21"/>
                  </w:rPr>
                  <w:t>4,989,432.30</w:t>
                </w:r>
              </w:p>
            </w:tc>
            <w:tc>
              <w:tcPr>
                <w:tcW w:w="3798" w:type="dxa"/>
                <w:tcBorders>
                  <w:top w:val="nil"/>
                  <w:left w:val="nil"/>
                  <w:bottom w:val="single" w:sz="4" w:space="0" w:color="auto"/>
                  <w:right w:val="single" w:sz="4" w:space="0" w:color="auto"/>
                </w:tcBorders>
                <w:shd w:val="clear" w:color="auto" w:fill="auto"/>
                <w:vAlign w:val="center"/>
              </w:tcPr>
              <w:p w14:paraId="556BE9EA" w14:textId="77777777" w:rsidR="002D0AE7" w:rsidRDefault="00333EBB">
                <w:pPr>
                  <w:jc w:val="right"/>
                  <w:rPr>
                    <w:rFonts w:ascii="Times New Roman" w:hAnsi="Times New Roman" w:cs="Times New Roman"/>
                    <w:bCs/>
                    <w:sz w:val="21"/>
                  </w:rPr>
                </w:pPr>
                <w:r>
                  <w:rPr>
                    <w:rFonts w:ascii="Times New Roman" w:hAnsi="Times New Roman" w:cs="Times New Roman"/>
                    <w:bCs/>
                    <w:sz w:val="21"/>
                  </w:rPr>
                  <w:t>16.56</w:t>
                </w:r>
              </w:p>
            </w:tc>
          </w:tr>
          <w:tr w:rsidR="002D0AE7" w14:paraId="6352FDE6" w14:textId="77777777">
            <w:trPr>
              <w:trHeight w:val="57"/>
            </w:trPr>
            <w:tc>
              <w:tcPr>
                <w:tcW w:w="1980" w:type="dxa"/>
                <w:tcBorders>
                  <w:top w:val="nil"/>
                  <w:left w:val="single" w:sz="4" w:space="0" w:color="auto"/>
                  <w:bottom w:val="single" w:sz="4" w:space="0" w:color="auto"/>
                  <w:right w:val="single" w:sz="4" w:space="0" w:color="auto"/>
                </w:tcBorders>
                <w:shd w:val="clear" w:color="auto" w:fill="auto"/>
                <w:vAlign w:val="center"/>
              </w:tcPr>
              <w:p w14:paraId="2CEABFAD" w14:textId="77777777" w:rsidR="002D0AE7" w:rsidRDefault="00333EBB">
                <w:pPr>
                  <w:jc w:val="center"/>
                  <w:rPr>
                    <w:rFonts w:ascii="Times New Roman" w:hAnsi="Times New Roman" w:cs="Times New Roman"/>
                    <w:bCs/>
                    <w:color w:val="000000"/>
                    <w:sz w:val="21"/>
                  </w:rPr>
                </w:pPr>
                <w:r>
                  <w:rPr>
                    <w:rFonts w:ascii="Times New Roman" w:hAnsi="Times New Roman" w:cs="Times New Roman"/>
                    <w:bCs/>
                    <w:color w:val="000000"/>
                    <w:sz w:val="21"/>
                  </w:rPr>
                  <w:t>2</w:t>
                </w:r>
              </w:p>
            </w:tc>
            <w:tc>
              <w:tcPr>
                <w:tcW w:w="2864" w:type="dxa"/>
                <w:tcBorders>
                  <w:top w:val="nil"/>
                  <w:left w:val="nil"/>
                  <w:bottom w:val="single" w:sz="4" w:space="0" w:color="auto"/>
                  <w:right w:val="single" w:sz="4" w:space="0" w:color="auto"/>
                </w:tcBorders>
                <w:shd w:val="clear" w:color="auto" w:fill="auto"/>
                <w:vAlign w:val="center"/>
              </w:tcPr>
              <w:p w14:paraId="44C822F1" w14:textId="77777777" w:rsidR="002D0AE7" w:rsidRDefault="00333EBB">
                <w:pPr>
                  <w:jc w:val="right"/>
                  <w:rPr>
                    <w:rFonts w:ascii="Times New Roman" w:hAnsi="Times New Roman" w:cs="Times New Roman"/>
                    <w:bCs/>
                    <w:sz w:val="21"/>
                  </w:rPr>
                </w:pPr>
                <w:r>
                  <w:rPr>
                    <w:rFonts w:ascii="Times New Roman" w:hAnsi="Times New Roman" w:cs="Times New Roman"/>
                    <w:bCs/>
                    <w:sz w:val="21"/>
                  </w:rPr>
                  <w:t>3,608,700.00</w:t>
                </w:r>
              </w:p>
            </w:tc>
            <w:tc>
              <w:tcPr>
                <w:tcW w:w="3798" w:type="dxa"/>
                <w:tcBorders>
                  <w:top w:val="nil"/>
                  <w:left w:val="nil"/>
                  <w:bottom w:val="single" w:sz="4" w:space="0" w:color="auto"/>
                  <w:right w:val="single" w:sz="4" w:space="0" w:color="auto"/>
                </w:tcBorders>
                <w:shd w:val="clear" w:color="auto" w:fill="auto"/>
                <w:vAlign w:val="center"/>
              </w:tcPr>
              <w:p w14:paraId="4CF16240" w14:textId="77777777" w:rsidR="002D0AE7" w:rsidRDefault="00333EBB">
                <w:pPr>
                  <w:jc w:val="right"/>
                  <w:rPr>
                    <w:rFonts w:ascii="Times New Roman" w:hAnsi="Times New Roman" w:cs="Times New Roman"/>
                    <w:bCs/>
                    <w:sz w:val="21"/>
                  </w:rPr>
                </w:pPr>
                <w:r>
                  <w:rPr>
                    <w:rFonts w:ascii="Times New Roman" w:hAnsi="Times New Roman" w:cs="Times New Roman"/>
                    <w:bCs/>
                    <w:sz w:val="21"/>
                  </w:rPr>
                  <w:t>11.98</w:t>
                </w:r>
              </w:p>
            </w:tc>
          </w:tr>
          <w:tr w:rsidR="002D0AE7" w14:paraId="2862A387" w14:textId="77777777">
            <w:trPr>
              <w:trHeight w:val="57"/>
            </w:trPr>
            <w:tc>
              <w:tcPr>
                <w:tcW w:w="1980" w:type="dxa"/>
                <w:tcBorders>
                  <w:top w:val="nil"/>
                  <w:left w:val="single" w:sz="4" w:space="0" w:color="auto"/>
                  <w:bottom w:val="single" w:sz="4" w:space="0" w:color="auto"/>
                  <w:right w:val="single" w:sz="4" w:space="0" w:color="auto"/>
                </w:tcBorders>
                <w:shd w:val="clear" w:color="auto" w:fill="auto"/>
                <w:vAlign w:val="center"/>
              </w:tcPr>
              <w:p w14:paraId="01E359CB" w14:textId="77777777" w:rsidR="002D0AE7" w:rsidRDefault="00333EBB">
                <w:pPr>
                  <w:jc w:val="center"/>
                  <w:rPr>
                    <w:rFonts w:ascii="Times New Roman" w:hAnsi="Times New Roman" w:cs="Times New Roman"/>
                    <w:bCs/>
                    <w:color w:val="000000"/>
                    <w:sz w:val="21"/>
                  </w:rPr>
                </w:pPr>
                <w:r>
                  <w:rPr>
                    <w:rFonts w:ascii="Times New Roman" w:hAnsi="Times New Roman" w:cs="Times New Roman"/>
                    <w:bCs/>
                    <w:color w:val="000000"/>
                    <w:sz w:val="21"/>
                  </w:rPr>
                  <w:t>3</w:t>
                </w:r>
              </w:p>
            </w:tc>
            <w:tc>
              <w:tcPr>
                <w:tcW w:w="2864" w:type="dxa"/>
                <w:tcBorders>
                  <w:top w:val="nil"/>
                  <w:left w:val="nil"/>
                  <w:bottom w:val="single" w:sz="4" w:space="0" w:color="auto"/>
                  <w:right w:val="single" w:sz="4" w:space="0" w:color="auto"/>
                </w:tcBorders>
                <w:shd w:val="clear" w:color="auto" w:fill="auto"/>
                <w:vAlign w:val="center"/>
              </w:tcPr>
              <w:p w14:paraId="09F8702E" w14:textId="77777777" w:rsidR="002D0AE7" w:rsidRDefault="00333EBB">
                <w:pPr>
                  <w:jc w:val="right"/>
                  <w:rPr>
                    <w:rFonts w:ascii="Times New Roman" w:hAnsi="Times New Roman" w:cs="Times New Roman"/>
                    <w:bCs/>
                    <w:sz w:val="21"/>
                  </w:rPr>
                </w:pPr>
                <w:r>
                  <w:rPr>
                    <w:rFonts w:ascii="Times New Roman" w:hAnsi="Times New Roman" w:cs="Times New Roman"/>
                    <w:bCs/>
                    <w:sz w:val="21"/>
                  </w:rPr>
                  <w:t>2,085,000.00</w:t>
                </w:r>
              </w:p>
            </w:tc>
            <w:tc>
              <w:tcPr>
                <w:tcW w:w="3798" w:type="dxa"/>
                <w:tcBorders>
                  <w:top w:val="nil"/>
                  <w:left w:val="nil"/>
                  <w:bottom w:val="single" w:sz="4" w:space="0" w:color="auto"/>
                  <w:right w:val="single" w:sz="4" w:space="0" w:color="auto"/>
                </w:tcBorders>
                <w:shd w:val="clear" w:color="auto" w:fill="auto"/>
                <w:vAlign w:val="center"/>
              </w:tcPr>
              <w:p w14:paraId="1AF4475E" w14:textId="77777777" w:rsidR="002D0AE7" w:rsidRDefault="00333EBB">
                <w:pPr>
                  <w:jc w:val="right"/>
                  <w:rPr>
                    <w:rFonts w:ascii="Times New Roman" w:hAnsi="Times New Roman" w:cs="Times New Roman"/>
                    <w:bCs/>
                    <w:sz w:val="21"/>
                  </w:rPr>
                </w:pPr>
                <w:r>
                  <w:rPr>
                    <w:rFonts w:ascii="Times New Roman" w:hAnsi="Times New Roman" w:cs="Times New Roman"/>
                    <w:bCs/>
                    <w:sz w:val="21"/>
                  </w:rPr>
                  <w:t>6.92</w:t>
                </w:r>
              </w:p>
            </w:tc>
          </w:tr>
          <w:tr w:rsidR="002D0AE7" w14:paraId="3D3D2EAA" w14:textId="77777777">
            <w:trPr>
              <w:trHeight w:val="57"/>
            </w:trPr>
            <w:tc>
              <w:tcPr>
                <w:tcW w:w="1980" w:type="dxa"/>
                <w:tcBorders>
                  <w:top w:val="nil"/>
                  <w:left w:val="single" w:sz="4" w:space="0" w:color="auto"/>
                  <w:bottom w:val="single" w:sz="4" w:space="0" w:color="auto"/>
                  <w:right w:val="single" w:sz="4" w:space="0" w:color="auto"/>
                </w:tcBorders>
                <w:shd w:val="clear" w:color="auto" w:fill="auto"/>
                <w:vAlign w:val="center"/>
              </w:tcPr>
              <w:p w14:paraId="6B283A16" w14:textId="77777777" w:rsidR="002D0AE7" w:rsidRDefault="00333EBB">
                <w:pPr>
                  <w:jc w:val="center"/>
                  <w:rPr>
                    <w:rFonts w:ascii="Times New Roman" w:hAnsi="Times New Roman" w:cs="Times New Roman"/>
                    <w:bCs/>
                    <w:color w:val="000000"/>
                    <w:sz w:val="21"/>
                  </w:rPr>
                </w:pPr>
                <w:r>
                  <w:rPr>
                    <w:rFonts w:ascii="Times New Roman" w:hAnsi="Times New Roman" w:cs="Times New Roman"/>
                    <w:bCs/>
                    <w:color w:val="000000"/>
                    <w:sz w:val="21"/>
                  </w:rPr>
                  <w:t>4</w:t>
                </w:r>
              </w:p>
            </w:tc>
            <w:tc>
              <w:tcPr>
                <w:tcW w:w="2864" w:type="dxa"/>
                <w:tcBorders>
                  <w:top w:val="nil"/>
                  <w:left w:val="nil"/>
                  <w:bottom w:val="single" w:sz="4" w:space="0" w:color="auto"/>
                  <w:right w:val="single" w:sz="4" w:space="0" w:color="auto"/>
                </w:tcBorders>
                <w:shd w:val="clear" w:color="auto" w:fill="auto"/>
                <w:vAlign w:val="center"/>
              </w:tcPr>
              <w:p w14:paraId="01493D7E" w14:textId="77777777" w:rsidR="002D0AE7" w:rsidRDefault="00333EBB">
                <w:pPr>
                  <w:jc w:val="right"/>
                  <w:rPr>
                    <w:rFonts w:ascii="Times New Roman" w:hAnsi="Times New Roman" w:cs="Times New Roman"/>
                    <w:bCs/>
                    <w:sz w:val="21"/>
                  </w:rPr>
                </w:pPr>
                <w:r>
                  <w:rPr>
                    <w:rFonts w:ascii="Times New Roman" w:hAnsi="Times New Roman" w:cs="Times New Roman"/>
                    <w:bCs/>
                    <w:sz w:val="21"/>
                  </w:rPr>
                  <w:t>1,800,000.00</w:t>
                </w:r>
              </w:p>
            </w:tc>
            <w:tc>
              <w:tcPr>
                <w:tcW w:w="3798" w:type="dxa"/>
                <w:tcBorders>
                  <w:top w:val="nil"/>
                  <w:left w:val="nil"/>
                  <w:bottom w:val="single" w:sz="4" w:space="0" w:color="auto"/>
                  <w:right w:val="single" w:sz="4" w:space="0" w:color="auto"/>
                </w:tcBorders>
                <w:shd w:val="clear" w:color="auto" w:fill="auto"/>
                <w:vAlign w:val="center"/>
              </w:tcPr>
              <w:p w14:paraId="71C8BE65" w14:textId="77777777" w:rsidR="002D0AE7" w:rsidRDefault="00333EBB">
                <w:pPr>
                  <w:jc w:val="right"/>
                  <w:rPr>
                    <w:rFonts w:ascii="Times New Roman" w:hAnsi="Times New Roman" w:cs="Times New Roman"/>
                    <w:bCs/>
                    <w:sz w:val="21"/>
                  </w:rPr>
                </w:pPr>
                <w:r>
                  <w:rPr>
                    <w:rFonts w:ascii="Times New Roman" w:hAnsi="Times New Roman" w:cs="Times New Roman"/>
                    <w:bCs/>
                    <w:sz w:val="21"/>
                  </w:rPr>
                  <w:t>5.97</w:t>
                </w:r>
              </w:p>
            </w:tc>
          </w:tr>
          <w:tr w:rsidR="002D0AE7" w14:paraId="3C1FDB4B" w14:textId="77777777">
            <w:trPr>
              <w:trHeight w:val="57"/>
            </w:trPr>
            <w:tc>
              <w:tcPr>
                <w:tcW w:w="1980" w:type="dxa"/>
                <w:tcBorders>
                  <w:top w:val="nil"/>
                  <w:left w:val="single" w:sz="4" w:space="0" w:color="auto"/>
                  <w:bottom w:val="single" w:sz="4" w:space="0" w:color="auto"/>
                  <w:right w:val="single" w:sz="4" w:space="0" w:color="auto"/>
                </w:tcBorders>
                <w:shd w:val="clear" w:color="auto" w:fill="auto"/>
                <w:vAlign w:val="center"/>
              </w:tcPr>
              <w:p w14:paraId="6F340C71" w14:textId="77777777" w:rsidR="002D0AE7" w:rsidRDefault="00333EBB">
                <w:pPr>
                  <w:jc w:val="center"/>
                  <w:rPr>
                    <w:rFonts w:ascii="Times New Roman" w:hAnsi="Times New Roman" w:cs="Times New Roman"/>
                    <w:bCs/>
                    <w:color w:val="000000"/>
                    <w:sz w:val="21"/>
                  </w:rPr>
                </w:pPr>
                <w:r>
                  <w:rPr>
                    <w:rFonts w:ascii="Times New Roman" w:hAnsi="Times New Roman" w:cs="Times New Roman"/>
                    <w:bCs/>
                    <w:color w:val="000000"/>
                    <w:sz w:val="21"/>
                  </w:rPr>
                  <w:t>5</w:t>
                </w:r>
              </w:p>
            </w:tc>
            <w:tc>
              <w:tcPr>
                <w:tcW w:w="2864" w:type="dxa"/>
                <w:tcBorders>
                  <w:top w:val="nil"/>
                  <w:left w:val="nil"/>
                  <w:bottom w:val="single" w:sz="4" w:space="0" w:color="auto"/>
                  <w:right w:val="single" w:sz="4" w:space="0" w:color="auto"/>
                </w:tcBorders>
                <w:shd w:val="clear" w:color="auto" w:fill="auto"/>
                <w:vAlign w:val="center"/>
              </w:tcPr>
              <w:p w14:paraId="3ACE3F57" w14:textId="77777777" w:rsidR="002D0AE7" w:rsidRDefault="00333EBB">
                <w:pPr>
                  <w:jc w:val="right"/>
                  <w:rPr>
                    <w:rFonts w:ascii="Times New Roman" w:hAnsi="Times New Roman" w:cs="Times New Roman"/>
                    <w:bCs/>
                    <w:sz w:val="21"/>
                  </w:rPr>
                </w:pPr>
                <w:r>
                  <w:rPr>
                    <w:rFonts w:ascii="Times New Roman" w:hAnsi="Times New Roman" w:cs="Times New Roman"/>
                    <w:bCs/>
                    <w:sz w:val="21"/>
                  </w:rPr>
                  <w:t>1,780,000.00</w:t>
                </w:r>
              </w:p>
            </w:tc>
            <w:tc>
              <w:tcPr>
                <w:tcW w:w="3798" w:type="dxa"/>
                <w:tcBorders>
                  <w:top w:val="nil"/>
                  <w:left w:val="nil"/>
                  <w:bottom w:val="single" w:sz="4" w:space="0" w:color="auto"/>
                  <w:right w:val="single" w:sz="4" w:space="0" w:color="auto"/>
                </w:tcBorders>
                <w:shd w:val="clear" w:color="auto" w:fill="auto"/>
                <w:vAlign w:val="center"/>
              </w:tcPr>
              <w:p w14:paraId="1560C2DA" w14:textId="77777777" w:rsidR="002D0AE7" w:rsidRDefault="00333EBB">
                <w:pPr>
                  <w:jc w:val="right"/>
                  <w:rPr>
                    <w:rFonts w:ascii="Times New Roman" w:hAnsi="Times New Roman" w:cs="Times New Roman"/>
                    <w:bCs/>
                    <w:sz w:val="21"/>
                  </w:rPr>
                </w:pPr>
                <w:r>
                  <w:rPr>
                    <w:rFonts w:ascii="Times New Roman" w:hAnsi="Times New Roman" w:cs="Times New Roman"/>
                    <w:bCs/>
                    <w:sz w:val="21"/>
                  </w:rPr>
                  <w:t>5.91</w:t>
                </w:r>
              </w:p>
            </w:tc>
          </w:tr>
          <w:tr w:rsidR="002D0AE7" w14:paraId="79FED908" w14:textId="77777777">
            <w:trPr>
              <w:trHeight w:val="57"/>
            </w:trPr>
            <w:tc>
              <w:tcPr>
                <w:tcW w:w="1980" w:type="dxa"/>
                <w:tcBorders>
                  <w:top w:val="nil"/>
                  <w:left w:val="single" w:sz="4" w:space="0" w:color="auto"/>
                  <w:bottom w:val="single" w:sz="4" w:space="0" w:color="auto"/>
                  <w:right w:val="single" w:sz="4" w:space="0" w:color="auto"/>
                </w:tcBorders>
                <w:shd w:val="clear" w:color="auto" w:fill="auto"/>
                <w:vAlign w:val="center"/>
              </w:tcPr>
              <w:p w14:paraId="2D2CABA2" w14:textId="77777777" w:rsidR="002D0AE7" w:rsidRDefault="00333EBB">
                <w:pPr>
                  <w:jc w:val="center"/>
                  <w:rPr>
                    <w:rFonts w:hint="eastAsia"/>
                    <w:bCs/>
                    <w:color w:val="000000"/>
                    <w:sz w:val="21"/>
                  </w:rPr>
                </w:pPr>
                <w:r>
                  <w:rPr>
                    <w:rFonts w:hint="eastAsia"/>
                    <w:bCs/>
                    <w:color w:val="000000"/>
                    <w:sz w:val="21"/>
                  </w:rPr>
                  <w:t>合计</w:t>
                </w:r>
              </w:p>
            </w:tc>
            <w:tc>
              <w:tcPr>
                <w:tcW w:w="2864" w:type="dxa"/>
                <w:tcBorders>
                  <w:top w:val="nil"/>
                  <w:left w:val="nil"/>
                  <w:bottom w:val="single" w:sz="4" w:space="0" w:color="auto"/>
                  <w:right w:val="single" w:sz="4" w:space="0" w:color="auto"/>
                </w:tcBorders>
                <w:shd w:val="clear" w:color="auto" w:fill="auto"/>
                <w:vAlign w:val="center"/>
              </w:tcPr>
              <w:p w14:paraId="25C12219" w14:textId="77777777" w:rsidR="002D0AE7" w:rsidRDefault="00333EBB">
                <w:pPr>
                  <w:jc w:val="right"/>
                  <w:rPr>
                    <w:rFonts w:ascii="Times New Roman" w:hAnsi="Times New Roman" w:cs="Times New Roman"/>
                    <w:bCs/>
                    <w:sz w:val="21"/>
                  </w:rPr>
                </w:pPr>
                <w:r>
                  <w:rPr>
                    <w:rFonts w:ascii="Times New Roman" w:hAnsi="Times New Roman" w:cs="Times New Roman"/>
                    <w:bCs/>
                    <w:sz w:val="21"/>
                  </w:rPr>
                  <w:t>14,263,132.30</w:t>
                </w:r>
              </w:p>
            </w:tc>
            <w:tc>
              <w:tcPr>
                <w:tcW w:w="3798" w:type="dxa"/>
                <w:tcBorders>
                  <w:top w:val="nil"/>
                  <w:left w:val="nil"/>
                  <w:bottom w:val="single" w:sz="4" w:space="0" w:color="auto"/>
                  <w:right w:val="single" w:sz="4" w:space="0" w:color="auto"/>
                </w:tcBorders>
                <w:shd w:val="clear" w:color="auto" w:fill="auto"/>
                <w:vAlign w:val="center"/>
              </w:tcPr>
              <w:p w14:paraId="7D45CE0E" w14:textId="77777777" w:rsidR="002D0AE7" w:rsidRDefault="00333EBB">
                <w:pPr>
                  <w:jc w:val="right"/>
                  <w:rPr>
                    <w:rFonts w:ascii="Times New Roman" w:hAnsi="Times New Roman" w:cs="Times New Roman"/>
                    <w:bCs/>
                    <w:sz w:val="21"/>
                  </w:rPr>
                </w:pPr>
                <w:r>
                  <w:rPr>
                    <w:rFonts w:ascii="Times New Roman" w:hAnsi="Times New Roman" w:cs="Times New Roman"/>
                    <w:bCs/>
                    <w:sz w:val="21"/>
                  </w:rPr>
                  <w:t>47.34</w:t>
                </w:r>
              </w:p>
            </w:tc>
          </w:tr>
        </w:tbl>
      </w:sdtContent>
    </w:sdt>
    <w:p w14:paraId="40D9021D" w14:textId="77777777" w:rsidR="002D0AE7" w:rsidRDefault="00333EBB">
      <w:pPr>
        <w:snapToGrid w:val="0"/>
        <w:spacing w:line="240" w:lineRule="atLeast"/>
        <w:rPr>
          <w:rFonts w:hint="eastAsia"/>
          <w:color w:val="000000" w:themeColor="text1"/>
        </w:rPr>
      </w:pPr>
      <w:r>
        <w:rPr>
          <w:rFonts w:hint="eastAsia"/>
          <w:color w:val="000000" w:themeColor="text1"/>
        </w:rPr>
        <w:t>其他说明</w:t>
      </w:r>
    </w:p>
    <w:sdt>
      <w:sdtPr>
        <w:rPr>
          <w:color w:val="000000" w:themeColor="text1"/>
        </w:rPr>
        <w:alias w:val="是否适用：预付帐款的说明[双击切换]"/>
        <w:tag w:val="_GBC_c712ee6483d44c77b1f563e552689c6d"/>
        <w:id w:val="1022282931"/>
        <w:placeholder>
          <w:docPart w:val="GBC22222222222222222222222222222"/>
        </w:placeholder>
      </w:sdtPr>
      <w:sdtEndPr/>
      <w:sdtContent>
        <w:p w14:paraId="6032F643"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预付帐款的说明"/>
        <w:tag w:val="_GBC_9cd4dbf3da3b458c92ffc167d6c097d5"/>
        <w:id w:val="1251391996"/>
        <w:placeholder>
          <w:docPart w:val="GBC22222222222222222222222222222"/>
        </w:placeholder>
      </w:sdtPr>
      <w:sdtEndPr>
        <w:rPr>
          <w:sz w:val="21"/>
        </w:rPr>
      </w:sdtEndPr>
      <w:sdtContent>
        <w:p w14:paraId="1E1E5F7A" w14:textId="77777777" w:rsidR="002D0AE7" w:rsidRDefault="00333EBB">
          <w:pPr>
            <w:rPr>
              <w:rFonts w:hint="eastAsia"/>
              <w:bCs/>
              <w:color w:val="000000"/>
              <w:sz w:val="21"/>
            </w:rPr>
          </w:pPr>
          <w:r>
            <w:rPr>
              <w:rFonts w:hint="eastAsia"/>
              <w:bCs/>
              <w:color w:val="000000"/>
              <w:sz w:val="21"/>
            </w:rPr>
            <w:t>本报告期预付款项中无持有公司</w:t>
          </w:r>
          <w:r>
            <w:rPr>
              <w:rFonts w:ascii="Times New Roman" w:hAnsi="Times New Roman" w:cs="Times New Roman"/>
              <w:bCs/>
              <w:color w:val="000000"/>
              <w:sz w:val="21"/>
            </w:rPr>
            <w:t>5%</w:t>
          </w:r>
          <w:r>
            <w:rPr>
              <w:rFonts w:hint="eastAsia"/>
              <w:bCs/>
              <w:color w:val="000000"/>
              <w:sz w:val="21"/>
            </w:rPr>
            <w:t>(</w:t>
          </w:r>
          <w:r>
            <w:rPr>
              <w:rFonts w:hint="eastAsia"/>
              <w:bCs/>
              <w:color w:val="000000"/>
              <w:sz w:val="21"/>
            </w:rPr>
            <w:t>含</w:t>
          </w:r>
          <w:r>
            <w:rPr>
              <w:rFonts w:ascii="Times New Roman" w:hAnsi="Times New Roman" w:cs="Times New Roman"/>
              <w:bCs/>
              <w:color w:val="000000"/>
              <w:sz w:val="21"/>
            </w:rPr>
            <w:t>5%</w:t>
          </w:r>
          <w:r>
            <w:rPr>
              <w:rFonts w:hint="eastAsia"/>
              <w:bCs/>
              <w:color w:val="000000"/>
              <w:sz w:val="21"/>
            </w:rPr>
            <w:t>)</w:t>
          </w:r>
          <w:r>
            <w:rPr>
              <w:rFonts w:hint="eastAsia"/>
              <w:bCs/>
              <w:color w:val="000000"/>
              <w:sz w:val="21"/>
            </w:rPr>
            <w:t>以上表决权股份的股东欠款，其他关联方欠款</w:t>
          </w:r>
          <w:r>
            <w:rPr>
              <w:rFonts w:ascii="Times New Roman" w:hAnsi="Times New Roman" w:cs="Times New Roman"/>
              <w:bCs/>
              <w:color w:val="000000"/>
              <w:sz w:val="21"/>
            </w:rPr>
            <w:t>1,004,000.00</w:t>
          </w:r>
          <w:r>
            <w:rPr>
              <w:rFonts w:hint="eastAsia"/>
              <w:bCs/>
              <w:color w:val="000000"/>
              <w:sz w:val="21"/>
            </w:rPr>
            <w:t>元。</w:t>
          </w:r>
        </w:p>
      </w:sdtContent>
    </w:sdt>
    <w:p w14:paraId="0E419DD2" w14:textId="77777777" w:rsidR="002D0AE7" w:rsidRDefault="00333EBB">
      <w:pPr>
        <w:pStyle w:val="3"/>
        <w:numPr>
          <w:ilvl w:val="0"/>
          <w:numId w:val="43"/>
        </w:numPr>
        <w:rPr>
          <w:rFonts w:ascii="宋体" w:hAnsi="宋体" w:hint="eastAsia"/>
          <w:color w:val="000000" w:themeColor="text1"/>
        </w:rPr>
      </w:pPr>
      <w:r>
        <w:rPr>
          <w:rFonts w:ascii="宋体" w:hAnsi="宋体" w:hint="eastAsia"/>
          <w:color w:val="000000" w:themeColor="text1"/>
        </w:rPr>
        <w:t>其他应收款</w:t>
      </w:r>
    </w:p>
    <w:p w14:paraId="0650343F" w14:textId="77777777" w:rsidR="002D0AE7" w:rsidRDefault="00333EBB">
      <w:pPr>
        <w:pStyle w:val="4"/>
        <w:rPr>
          <w:rFonts w:ascii="宋体" w:hAnsi="宋体" w:hint="eastAsia"/>
          <w:color w:val="000000" w:themeColor="text1"/>
        </w:rPr>
      </w:pPr>
      <w:bookmarkStart w:id="159" w:name="_Hlk10467611"/>
      <w:r>
        <w:rPr>
          <w:rFonts w:ascii="宋体" w:hAnsi="宋体" w:hint="eastAsia"/>
          <w:color w:val="000000" w:themeColor="text1"/>
        </w:rPr>
        <w:t>项目列示</w:t>
      </w:r>
    </w:p>
    <w:sdt>
      <w:sdtPr>
        <w:rPr>
          <w:color w:val="000000" w:themeColor="text1"/>
        </w:rPr>
        <w:alias w:val="是否适用：其他应收款分类列示[双击切换]"/>
        <w:tag w:val="_GBC_23e3e9ad53624abaaa00fc7f7c24842a"/>
        <w:id w:val="1673530311"/>
        <w:placeholder>
          <w:docPart w:val="GBC22222222222222222222222222222"/>
        </w:placeholder>
      </w:sdtPr>
      <w:sdtEndPr/>
      <w:sdtContent>
        <w:p w14:paraId="4DF0F5C8"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3011C988"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其他应收款分类列示"/>
          <w:tag w:val="_GBC_b73f89c776a341249ed520fe726b4db9"/>
          <w:id w:val="71870605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其他应收款分类列示"/>
          <w:tag w:val="_GBC_a23554f2403346ea97b8fb1ef551ebe4"/>
          <w:id w:val="153191576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115"/>
        <w:gridCol w:w="2862"/>
        <w:gridCol w:w="2846"/>
      </w:tblGrid>
      <w:tr w:rsidR="002D0AE7" w14:paraId="30CA2E4E" w14:textId="77777777">
        <w:trPr>
          <w:cantSplit/>
        </w:trPr>
        <w:sdt>
          <w:sdtPr>
            <w:rPr>
              <w:color w:val="000000" w:themeColor="text1"/>
              <w:sz w:val="21"/>
            </w:rPr>
            <w:tag w:val="_PLD_3b049b9a7f344665a70a23c402afbda5"/>
            <w:id w:val="598375894"/>
          </w:sdtPr>
          <w:sdtEndPr/>
          <w:sdtContent>
            <w:tc>
              <w:tcPr>
                <w:tcW w:w="1765" w:type="pct"/>
                <w:vAlign w:val="center"/>
              </w:tcPr>
              <w:p w14:paraId="356D3203" w14:textId="77777777" w:rsidR="002D0AE7" w:rsidRDefault="00333EBB">
                <w:pPr>
                  <w:jc w:val="center"/>
                  <w:rPr>
                    <w:rFonts w:hint="eastAsia"/>
                    <w:color w:val="000000" w:themeColor="text1"/>
                    <w:sz w:val="21"/>
                  </w:rPr>
                </w:pPr>
                <w:r>
                  <w:rPr>
                    <w:rFonts w:hint="eastAsia"/>
                    <w:color w:val="000000" w:themeColor="text1"/>
                    <w:sz w:val="21"/>
                  </w:rPr>
                  <w:t>项目</w:t>
                </w:r>
              </w:p>
            </w:tc>
          </w:sdtContent>
        </w:sdt>
        <w:sdt>
          <w:sdtPr>
            <w:rPr>
              <w:color w:val="000000" w:themeColor="text1"/>
              <w:sz w:val="21"/>
            </w:rPr>
            <w:tag w:val="_PLD_550a4ba0fb444ea69297bd36780a7618"/>
            <w:id w:val="-817951748"/>
          </w:sdtPr>
          <w:sdtEndPr/>
          <w:sdtContent>
            <w:tc>
              <w:tcPr>
                <w:tcW w:w="1622" w:type="pct"/>
                <w:vAlign w:val="center"/>
              </w:tcPr>
              <w:p w14:paraId="39245B22" w14:textId="77777777" w:rsidR="002D0AE7" w:rsidRDefault="00333EBB">
                <w:pPr>
                  <w:jc w:val="center"/>
                  <w:rPr>
                    <w:rFonts w:hint="eastAsia"/>
                    <w:color w:val="000000" w:themeColor="text1"/>
                    <w:sz w:val="21"/>
                  </w:rPr>
                </w:pPr>
                <w:r>
                  <w:rPr>
                    <w:rFonts w:hint="eastAsia"/>
                    <w:color w:val="000000" w:themeColor="text1"/>
                    <w:sz w:val="21"/>
                  </w:rPr>
                  <w:t>期末余额</w:t>
                </w:r>
              </w:p>
            </w:tc>
          </w:sdtContent>
        </w:sdt>
        <w:sdt>
          <w:sdtPr>
            <w:rPr>
              <w:color w:val="000000" w:themeColor="text1"/>
              <w:sz w:val="21"/>
            </w:rPr>
            <w:tag w:val="_PLD_d58c3f70487c440b99a9f440a2d57d1e"/>
            <w:id w:val="233745638"/>
          </w:sdtPr>
          <w:sdtEndPr/>
          <w:sdtContent>
            <w:tc>
              <w:tcPr>
                <w:tcW w:w="1613" w:type="pct"/>
                <w:vAlign w:val="center"/>
              </w:tcPr>
              <w:p w14:paraId="42C8EA1D" w14:textId="77777777" w:rsidR="002D0AE7" w:rsidRDefault="00333EBB">
                <w:pPr>
                  <w:jc w:val="center"/>
                  <w:rPr>
                    <w:rFonts w:hint="eastAsia"/>
                    <w:color w:val="000000" w:themeColor="text1"/>
                    <w:sz w:val="21"/>
                  </w:rPr>
                </w:pPr>
                <w:r>
                  <w:rPr>
                    <w:rFonts w:hint="eastAsia"/>
                    <w:color w:val="000000" w:themeColor="text1"/>
                    <w:sz w:val="21"/>
                  </w:rPr>
                  <w:t>期初余额</w:t>
                </w:r>
              </w:p>
            </w:tc>
          </w:sdtContent>
        </w:sdt>
      </w:tr>
      <w:tr w:rsidR="002D0AE7" w14:paraId="73978C42" w14:textId="77777777">
        <w:trPr>
          <w:cantSplit/>
        </w:trPr>
        <w:tc>
          <w:tcPr>
            <w:tcW w:w="1765" w:type="pct"/>
          </w:tcPr>
          <w:p w14:paraId="575F4305" w14:textId="77777777" w:rsidR="002D0AE7" w:rsidRDefault="00333EBB">
            <w:pPr>
              <w:ind w:right="5"/>
              <w:rPr>
                <w:rFonts w:hint="eastAsia"/>
                <w:color w:val="000000" w:themeColor="text1"/>
                <w:sz w:val="21"/>
              </w:rPr>
            </w:pPr>
            <w:r>
              <w:rPr>
                <w:rFonts w:hint="eastAsia"/>
                <w:color w:val="000000" w:themeColor="text1"/>
                <w:sz w:val="21"/>
              </w:rPr>
              <w:t>应收利息</w:t>
            </w:r>
          </w:p>
        </w:tc>
        <w:tc>
          <w:tcPr>
            <w:tcW w:w="1622" w:type="pct"/>
            <w:vAlign w:val="center"/>
          </w:tcPr>
          <w:p w14:paraId="7C9B0B1A" w14:textId="77777777" w:rsidR="002D0AE7" w:rsidRDefault="00333EBB">
            <w:pPr>
              <w:ind w:right="5"/>
              <w:jc w:val="right"/>
              <w:rPr>
                <w:rFonts w:ascii="Times New Roman" w:hAnsi="Times New Roman" w:cs="Times New Roman"/>
                <w:sz w:val="21"/>
              </w:rPr>
            </w:pPr>
            <w:r>
              <w:rPr>
                <w:rFonts w:ascii="Times New Roman" w:hAnsi="Times New Roman" w:cs="Times New Roman"/>
                <w:sz w:val="21"/>
              </w:rPr>
              <w:t>0.00</w:t>
            </w:r>
          </w:p>
        </w:tc>
        <w:tc>
          <w:tcPr>
            <w:tcW w:w="1613" w:type="pct"/>
            <w:vAlign w:val="center"/>
          </w:tcPr>
          <w:p w14:paraId="6305E10D" w14:textId="77777777" w:rsidR="002D0AE7" w:rsidRDefault="00333EBB">
            <w:pPr>
              <w:ind w:right="5"/>
              <w:jc w:val="right"/>
              <w:rPr>
                <w:rFonts w:ascii="Times New Roman" w:hAnsi="Times New Roman" w:cs="Times New Roman"/>
                <w:sz w:val="21"/>
              </w:rPr>
            </w:pPr>
            <w:r>
              <w:rPr>
                <w:rFonts w:ascii="Times New Roman" w:hAnsi="Times New Roman" w:cs="Times New Roman"/>
                <w:sz w:val="21"/>
              </w:rPr>
              <w:t>0.00</w:t>
            </w:r>
          </w:p>
        </w:tc>
      </w:tr>
      <w:tr w:rsidR="002D0AE7" w14:paraId="3C8FAA7A" w14:textId="77777777">
        <w:trPr>
          <w:cantSplit/>
        </w:trPr>
        <w:tc>
          <w:tcPr>
            <w:tcW w:w="1765" w:type="pct"/>
          </w:tcPr>
          <w:p w14:paraId="17ECA655" w14:textId="77777777" w:rsidR="002D0AE7" w:rsidRDefault="00333EBB">
            <w:pPr>
              <w:ind w:right="5"/>
              <w:rPr>
                <w:rFonts w:hint="eastAsia"/>
                <w:color w:val="000000" w:themeColor="text1"/>
                <w:sz w:val="21"/>
              </w:rPr>
            </w:pPr>
            <w:r>
              <w:rPr>
                <w:rFonts w:hint="eastAsia"/>
                <w:color w:val="000000" w:themeColor="text1"/>
                <w:sz w:val="21"/>
              </w:rPr>
              <w:t>应收股利</w:t>
            </w:r>
          </w:p>
        </w:tc>
        <w:tc>
          <w:tcPr>
            <w:tcW w:w="1622" w:type="pct"/>
            <w:vAlign w:val="center"/>
          </w:tcPr>
          <w:p w14:paraId="6CB5C326" w14:textId="77777777" w:rsidR="002D0AE7" w:rsidRDefault="00333EBB">
            <w:pPr>
              <w:ind w:right="5"/>
              <w:jc w:val="right"/>
              <w:rPr>
                <w:rFonts w:ascii="Times New Roman" w:hAnsi="Times New Roman" w:cs="Times New Roman"/>
                <w:sz w:val="21"/>
              </w:rPr>
            </w:pPr>
            <w:r>
              <w:rPr>
                <w:rFonts w:ascii="Times New Roman" w:hAnsi="Times New Roman" w:cs="Times New Roman"/>
                <w:sz w:val="21"/>
              </w:rPr>
              <w:t>0.00</w:t>
            </w:r>
          </w:p>
        </w:tc>
        <w:tc>
          <w:tcPr>
            <w:tcW w:w="1613" w:type="pct"/>
            <w:vAlign w:val="center"/>
          </w:tcPr>
          <w:p w14:paraId="140C7275" w14:textId="77777777" w:rsidR="002D0AE7" w:rsidRDefault="00333EBB">
            <w:pPr>
              <w:ind w:right="5"/>
              <w:jc w:val="right"/>
              <w:rPr>
                <w:rFonts w:ascii="Times New Roman" w:hAnsi="Times New Roman" w:cs="Times New Roman"/>
                <w:sz w:val="21"/>
              </w:rPr>
            </w:pPr>
            <w:r>
              <w:rPr>
                <w:rFonts w:ascii="Times New Roman" w:hAnsi="Times New Roman" w:cs="Times New Roman"/>
                <w:sz w:val="21"/>
              </w:rPr>
              <w:t>0.00</w:t>
            </w:r>
          </w:p>
        </w:tc>
      </w:tr>
      <w:tr w:rsidR="002D0AE7" w14:paraId="2FF827A1" w14:textId="77777777">
        <w:trPr>
          <w:cantSplit/>
        </w:trPr>
        <w:tc>
          <w:tcPr>
            <w:tcW w:w="1765" w:type="pct"/>
          </w:tcPr>
          <w:p w14:paraId="6E8BD818" w14:textId="77777777" w:rsidR="002D0AE7" w:rsidRDefault="00333EBB">
            <w:pPr>
              <w:ind w:right="5"/>
              <w:rPr>
                <w:rFonts w:hint="eastAsia"/>
                <w:color w:val="000000" w:themeColor="text1"/>
                <w:sz w:val="21"/>
              </w:rPr>
            </w:pPr>
            <w:r>
              <w:rPr>
                <w:rFonts w:hint="eastAsia"/>
                <w:color w:val="000000" w:themeColor="text1"/>
                <w:sz w:val="21"/>
              </w:rPr>
              <w:t>其他应收款</w:t>
            </w:r>
          </w:p>
        </w:tc>
        <w:tc>
          <w:tcPr>
            <w:tcW w:w="1622" w:type="pct"/>
          </w:tcPr>
          <w:p w14:paraId="05EDFF64" w14:textId="77777777" w:rsidR="002D0AE7" w:rsidRDefault="00333EBB">
            <w:pPr>
              <w:ind w:right="5"/>
              <w:jc w:val="right"/>
              <w:rPr>
                <w:rFonts w:ascii="Times New Roman" w:hAnsi="Times New Roman" w:cs="Times New Roman"/>
                <w:sz w:val="21"/>
              </w:rPr>
            </w:pPr>
            <w:r>
              <w:rPr>
                <w:rFonts w:ascii="Times New Roman" w:hAnsi="Times New Roman" w:cs="Times New Roman"/>
                <w:sz w:val="21"/>
              </w:rPr>
              <w:t>33,504,005.53</w:t>
            </w:r>
          </w:p>
        </w:tc>
        <w:tc>
          <w:tcPr>
            <w:tcW w:w="1613" w:type="pct"/>
          </w:tcPr>
          <w:p w14:paraId="166B5DBF" w14:textId="77777777" w:rsidR="002D0AE7" w:rsidRDefault="00333EBB">
            <w:pPr>
              <w:ind w:right="5"/>
              <w:jc w:val="right"/>
              <w:rPr>
                <w:rFonts w:ascii="Times New Roman" w:hAnsi="Times New Roman" w:cs="Times New Roman"/>
                <w:sz w:val="21"/>
              </w:rPr>
            </w:pPr>
            <w:r>
              <w:rPr>
                <w:rFonts w:ascii="Times New Roman" w:hAnsi="Times New Roman" w:cs="Times New Roman"/>
                <w:sz w:val="21"/>
              </w:rPr>
              <w:t>29,419,601.28</w:t>
            </w:r>
          </w:p>
        </w:tc>
      </w:tr>
      <w:tr w:rsidR="002D0AE7" w14:paraId="4FDD0E0E" w14:textId="77777777">
        <w:trPr>
          <w:cantSplit/>
        </w:trPr>
        <w:tc>
          <w:tcPr>
            <w:tcW w:w="1765" w:type="pct"/>
          </w:tcPr>
          <w:p w14:paraId="5E150AA7" w14:textId="77777777" w:rsidR="002D0AE7" w:rsidRDefault="00333EBB">
            <w:pPr>
              <w:autoSpaceDE w:val="0"/>
              <w:autoSpaceDN w:val="0"/>
              <w:adjustRightInd w:val="0"/>
              <w:jc w:val="center"/>
              <w:rPr>
                <w:rFonts w:hint="eastAsia"/>
                <w:color w:val="000000" w:themeColor="text1"/>
                <w:sz w:val="21"/>
              </w:rPr>
            </w:pPr>
            <w:r>
              <w:rPr>
                <w:rFonts w:hint="eastAsia"/>
                <w:color w:val="000000" w:themeColor="text1"/>
                <w:sz w:val="21"/>
              </w:rPr>
              <w:t>合计</w:t>
            </w:r>
          </w:p>
        </w:tc>
        <w:tc>
          <w:tcPr>
            <w:tcW w:w="1622" w:type="pct"/>
          </w:tcPr>
          <w:p w14:paraId="6846873A" w14:textId="77777777" w:rsidR="002D0AE7" w:rsidRDefault="00333EBB">
            <w:pPr>
              <w:jc w:val="right"/>
              <w:rPr>
                <w:rFonts w:ascii="Times New Roman" w:hAnsi="Times New Roman" w:cs="Times New Roman"/>
                <w:sz w:val="21"/>
              </w:rPr>
            </w:pPr>
            <w:r>
              <w:rPr>
                <w:rFonts w:ascii="Times New Roman" w:hAnsi="Times New Roman" w:cs="Times New Roman"/>
                <w:sz w:val="21"/>
              </w:rPr>
              <w:t>33,504,005.53</w:t>
            </w:r>
          </w:p>
        </w:tc>
        <w:tc>
          <w:tcPr>
            <w:tcW w:w="1613" w:type="pct"/>
          </w:tcPr>
          <w:p w14:paraId="74BE9EBF" w14:textId="77777777" w:rsidR="002D0AE7" w:rsidRDefault="00333EBB">
            <w:pPr>
              <w:jc w:val="right"/>
              <w:rPr>
                <w:rFonts w:ascii="Times New Roman" w:hAnsi="Times New Roman" w:cs="Times New Roman"/>
                <w:sz w:val="21"/>
              </w:rPr>
            </w:pPr>
            <w:r>
              <w:rPr>
                <w:rFonts w:ascii="Times New Roman" w:hAnsi="Times New Roman" w:cs="Times New Roman"/>
                <w:sz w:val="21"/>
              </w:rPr>
              <w:t>29,419,601.28</w:t>
            </w:r>
          </w:p>
        </w:tc>
      </w:tr>
    </w:tbl>
    <w:bookmarkEnd w:id="159"/>
    <w:p w14:paraId="6E7114E9" w14:textId="77777777" w:rsidR="002D0AE7" w:rsidRDefault="00333EBB">
      <w:pPr>
        <w:pStyle w:val="4"/>
        <w:rPr>
          <w:rFonts w:ascii="宋体" w:hAnsi="宋体" w:hint="eastAsia"/>
          <w:color w:val="000000" w:themeColor="text1"/>
        </w:rPr>
      </w:pPr>
      <w:r>
        <w:rPr>
          <w:rFonts w:ascii="宋体" w:hAnsi="宋体" w:hint="eastAsia"/>
          <w:color w:val="000000" w:themeColor="text1"/>
        </w:rPr>
        <w:t>其他应收款</w:t>
      </w:r>
    </w:p>
    <w:p w14:paraId="033C2915" w14:textId="77777777" w:rsidR="002D0AE7" w:rsidRDefault="00333EBB">
      <w:pPr>
        <w:pStyle w:val="4"/>
        <w:numPr>
          <w:ilvl w:val="3"/>
          <w:numId w:val="47"/>
        </w:numPr>
        <w:tabs>
          <w:tab w:val="left" w:pos="560"/>
        </w:tabs>
        <w:rPr>
          <w:rFonts w:ascii="宋体" w:hAnsi="宋体" w:cs="宋体" w:hint="eastAsia"/>
          <w:color w:val="000000" w:themeColor="text1"/>
          <w:kern w:val="0"/>
          <w:szCs w:val="24"/>
        </w:rPr>
      </w:pPr>
      <w:bookmarkStart w:id="160" w:name="_Hlk533421204"/>
      <w:bookmarkStart w:id="161" w:name="_Hlk167890330"/>
      <w:r>
        <w:rPr>
          <w:rFonts w:ascii="宋体" w:hAnsi="宋体" w:cs="宋体" w:hint="eastAsia"/>
          <w:color w:val="000000" w:themeColor="text1"/>
          <w:kern w:val="0"/>
          <w:szCs w:val="24"/>
        </w:rPr>
        <w:t>按账龄披露</w:t>
      </w:r>
      <w:bookmarkEnd w:id="160"/>
    </w:p>
    <w:sdt>
      <w:sdtPr>
        <w:rPr>
          <w:rFonts w:hint="eastAsia"/>
          <w:color w:val="000000" w:themeColor="text1"/>
        </w:rPr>
        <w:alias w:val="是否适用：组合中，按账龄分析法计提坏账准备的其他应收账款[双击切换]"/>
        <w:tag w:val="_GBC_2dc7496d7daf42fabc670f597f99f9a3"/>
        <w:id w:val="1583185294"/>
        <w:placeholder>
          <w:docPart w:val="GBC22222222222222222222222222222"/>
        </w:placeholder>
      </w:sdtPr>
      <w:sdtEndPr/>
      <w:sdtContent>
        <w:p w14:paraId="3600B69D"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546A706A"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单项金额不重大但按信用风险特征组合后该组合的风险较大的其他应收账款"/>
          <w:tag w:val="_GBC_cdb739275e9048aba4230ed9bd146a45"/>
          <w:id w:val="29719100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单项金额不重大但按信用风险特征组合后该组合的风险较大的其他应收账款"/>
          <w:tag w:val="_GBC_3fef54d9cee94f85a0131be89bc468aa"/>
          <w:id w:val="-59810570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993"/>
        <w:gridCol w:w="2915"/>
        <w:gridCol w:w="2915"/>
      </w:tblGrid>
      <w:tr w:rsidR="002D0AE7" w14:paraId="2593D39C" w14:textId="77777777">
        <w:trPr>
          <w:cantSplit/>
        </w:trPr>
        <w:bookmarkEnd w:id="161" w:displacedByCustomXml="next"/>
        <w:sdt>
          <w:sdtPr>
            <w:rPr>
              <w:color w:val="000000" w:themeColor="text1"/>
              <w:sz w:val="21"/>
              <w:szCs w:val="21"/>
            </w:rPr>
            <w:tag w:val="_PLD_b6e27a2b2e82491eabe1f7ae934a9024"/>
            <w:id w:val="-1313558603"/>
          </w:sdtPr>
          <w:sdtEndPr/>
          <w:sdtContent>
            <w:tc>
              <w:tcPr>
                <w:tcW w:w="1696" w:type="pct"/>
                <w:tcBorders>
                  <w:top w:val="single" w:sz="4" w:space="0" w:color="auto"/>
                  <w:left w:val="single" w:sz="4" w:space="0" w:color="auto"/>
                  <w:bottom w:val="single" w:sz="4" w:space="0" w:color="auto"/>
                  <w:right w:val="single" w:sz="4" w:space="0" w:color="auto"/>
                </w:tcBorders>
                <w:vAlign w:val="center"/>
              </w:tcPr>
              <w:p w14:paraId="12677903" w14:textId="77777777" w:rsidR="002D0AE7" w:rsidRDefault="00333EBB">
                <w:pPr>
                  <w:jc w:val="center"/>
                  <w:rPr>
                    <w:rFonts w:hint="eastAsia"/>
                    <w:color w:val="000000" w:themeColor="text1"/>
                    <w:sz w:val="21"/>
                    <w:szCs w:val="21"/>
                  </w:rPr>
                </w:pPr>
                <w:r>
                  <w:rPr>
                    <w:rFonts w:hint="eastAsia"/>
                    <w:color w:val="000000" w:themeColor="text1"/>
                    <w:sz w:val="21"/>
                    <w:szCs w:val="21"/>
                  </w:rPr>
                  <w:t>账龄</w:t>
                </w:r>
              </w:p>
            </w:tc>
          </w:sdtContent>
        </w:sdt>
        <w:sdt>
          <w:sdtPr>
            <w:rPr>
              <w:color w:val="000000" w:themeColor="text1"/>
              <w:sz w:val="21"/>
              <w:szCs w:val="21"/>
            </w:rPr>
            <w:tag w:val="_PLD_1ec6a999d56e428c86b4b1d15e441db3"/>
            <w:id w:val="644468942"/>
          </w:sdtPr>
          <w:sdtEndPr/>
          <w:sdtContent>
            <w:tc>
              <w:tcPr>
                <w:tcW w:w="1652" w:type="pct"/>
                <w:tcBorders>
                  <w:top w:val="single" w:sz="4" w:space="0" w:color="auto"/>
                  <w:left w:val="single" w:sz="4" w:space="0" w:color="auto"/>
                  <w:bottom w:val="single" w:sz="4" w:space="0" w:color="auto"/>
                  <w:right w:val="single" w:sz="4" w:space="0" w:color="auto"/>
                </w:tcBorders>
                <w:vAlign w:val="center"/>
              </w:tcPr>
              <w:p w14:paraId="269A2E26" w14:textId="77777777" w:rsidR="002D0AE7" w:rsidRDefault="00333EBB">
                <w:pPr>
                  <w:jc w:val="center"/>
                  <w:rPr>
                    <w:rFonts w:hint="eastAsia"/>
                    <w:color w:val="000000" w:themeColor="text1"/>
                    <w:sz w:val="21"/>
                    <w:szCs w:val="21"/>
                  </w:rPr>
                </w:pPr>
                <w:r>
                  <w:rPr>
                    <w:rFonts w:hint="eastAsia"/>
                    <w:color w:val="000000" w:themeColor="text1"/>
                    <w:sz w:val="21"/>
                    <w:szCs w:val="21"/>
                  </w:rPr>
                  <w:t>期末账面余额</w:t>
                </w:r>
              </w:p>
            </w:tc>
          </w:sdtContent>
        </w:sdt>
        <w:tc>
          <w:tcPr>
            <w:tcW w:w="1652" w:type="pct"/>
            <w:tcBorders>
              <w:top w:val="single" w:sz="4" w:space="0" w:color="auto"/>
              <w:left w:val="single" w:sz="4" w:space="0" w:color="auto"/>
              <w:bottom w:val="single" w:sz="4" w:space="0" w:color="auto"/>
              <w:right w:val="single" w:sz="4" w:space="0" w:color="auto"/>
            </w:tcBorders>
          </w:tcPr>
          <w:sdt>
            <w:sdtPr>
              <w:rPr>
                <w:rFonts w:hint="eastAsia"/>
                <w:color w:val="000000" w:themeColor="text1"/>
                <w:sz w:val="21"/>
                <w:szCs w:val="21"/>
              </w:rPr>
              <w:tag w:val="_PLD_7e4dd2ab04c74f9b948d19d48ec6182e"/>
              <w:id w:val="-886488881"/>
            </w:sdtPr>
            <w:sdtEndPr/>
            <w:sdtContent>
              <w:p w14:paraId="03E93B47" w14:textId="77777777" w:rsidR="002D0AE7" w:rsidRDefault="00333EBB">
                <w:pPr>
                  <w:jc w:val="center"/>
                  <w:rPr>
                    <w:rFonts w:hint="eastAsia"/>
                    <w:color w:val="000000" w:themeColor="text1"/>
                    <w:sz w:val="21"/>
                    <w:szCs w:val="21"/>
                  </w:rPr>
                </w:pPr>
                <w:r>
                  <w:rPr>
                    <w:rFonts w:hint="eastAsia"/>
                    <w:color w:val="000000" w:themeColor="text1"/>
                    <w:sz w:val="21"/>
                    <w:szCs w:val="21"/>
                  </w:rPr>
                  <w:t>期初账面余额</w:t>
                </w:r>
              </w:p>
            </w:sdtContent>
          </w:sdt>
        </w:tc>
      </w:tr>
      <w:tr w:rsidR="002D0AE7" w14:paraId="63ACCA96" w14:textId="77777777">
        <w:trPr>
          <w:cantSplit/>
        </w:trPr>
        <w:sdt>
          <w:sdtPr>
            <w:rPr>
              <w:color w:val="000000" w:themeColor="text1"/>
              <w:sz w:val="21"/>
              <w:szCs w:val="21"/>
            </w:rPr>
            <w:tag w:val="_PLD_3f8fab58905040cd95df1aa7dc0d2e48"/>
            <w:id w:val="-1669406625"/>
          </w:sdtPr>
          <w:sdtEndPr/>
          <w:sdtContent>
            <w:tc>
              <w:tcPr>
                <w:tcW w:w="5000" w:type="pct"/>
                <w:gridSpan w:val="3"/>
                <w:tcBorders>
                  <w:top w:val="single" w:sz="4" w:space="0" w:color="auto"/>
                  <w:left w:val="single" w:sz="4" w:space="0" w:color="auto"/>
                  <w:bottom w:val="single" w:sz="4" w:space="0" w:color="auto"/>
                  <w:right w:val="single" w:sz="4" w:space="0" w:color="auto"/>
                </w:tcBorders>
              </w:tcPr>
              <w:p w14:paraId="3329BFB8" w14:textId="77777777" w:rsidR="002D0AE7" w:rsidRDefault="00333EBB">
                <w:pPr>
                  <w:rPr>
                    <w:rFonts w:hint="eastAsia"/>
                    <w:color w:val="000000" w:themeColor="text1"/>
                    <w:sz w:val="21"/>
                    <w:szCs w:val="21"/>
                  </w:rPr>
                </w:pPr>
                <w:r>
                  <w:rPr>
                    <w:rFonts w:hint="eastAsia"/>
                    <w:color w:val="000000" w:themeColor="text1"/>
                    <w:sz w:val="21"/>
                    <w:szCs w:val="21"/>
                  </w:rPr>
                  <w:t>1</w:t>
                </w:r>
                <w:r>
                  <w:rPr>
                    <w:rFonts w:hint="eastAsia"/>
                    <w:color w:val="000000" w:themeColor="text1"/>
                    <w:sz w:val="21"/>
                    <w:szCs w:val="21"/>
                  </w:rPr>
                  <w:t>年以内</w:t>
                </w:r>
              </w:p>
            </w:tc>
          </w:sdtContent>
        </w:sdt>
      </w:tr>
      <w:tr w:rsidR="002D0AE7" w14:paraId="41B4AFB6" w14:textId="77777777">
        <w:trPr>
          <w:cantSplit/>
        </w:trPr>
        <w:sdt>
          <w:sdtPr>
            <w:rPr>
              <w:color w:val="000000" w:themeColor="text1"/>
              <w:sz w:val="21"/>
              <w:szCs w:val="21"/>
            </w:rPr>
            <w:tag w:val="_PLD_3b23f2554c3a45d2ba4989cc2c31489b"/>
            <w:id w:val="-174960043"/>
          </w:sdtPr>
          <w:sdtEndPr/>
          <w:sdtContent>
            <w:tc>
              <w:tcPr>
                <w:tcW w:w="5000" w:type="pct"/>
                <w:gridSpan w:val="3"/>
                <w:tcBorders>
                  <w:top w:val="single" w:sz="4" w:space="0" w:color="auto"/>
                  <w:left w:val="single" w:sz="4" w:space="0" w:color="auto"/>
                  <w:bottom w:val="single" w:sz="4" w:space="0" w:color="auto"/>
                  <w:right w:val="single" w:sz="4" w:space="0" w:color="auto"/>
                </w:tcBorders>
              </w:tcPr>
              <w:p w14:paraId="76E4C70A" w14:textId="77777777" w:rsidR="002D0AE7" w:rsidRDefault="00333EBB">
                <w:pPr>
                  <w:rPr>
                    <w:rFonts w:hint="eastAsia"/>
                    <w:color w:val="000000" w:themeColor="text1"/>
                    <w:sz w:val="21"/>
                    <w:szCs w:val="21"/>
                  </w:rPr>
                </w:pPr>
                <w:r>
                  <w:rPr>
                    <w:rFonts w:hint="eastAsia"/>
                    <w:color w:val="000000" w:themeColor="text1"/>
                    <w:sz w:val="21"/>
                    <w:szCs w:val="21"/>
                  </w:rPr>
                  <w:t>其中：</w:t>
                </w:r>
                <w:r>
                  <w:rPr>
                    <w:rFonts w:hint="eastAsia"/>
                    <w:color w:val="000000" w:themeColor="text1"/>
                    <w:sz w:val="21"/>
                    <w:szCs w:val="21"/>
                  </w:rPr>
                  <w:t>1</w:t>
                </w:r>
                <w:r>
                  <w:rPr>
                    <w:rFonts w:hint="eastAsia"/>
                    <w:color w:val="000000" w:themeColor="text1"/>
                    <w:sz w:val="21"/>
                    <w:szCs w:val="21"/>
                  </w:rPr>
                  <w:t>年以内分项</w:t>
                </w:r>
              </w:p>
            </w:tc>
          </w:sdtContent>
        </w:sdt>
      </w:tr>
      <w:tr w:rsidR="002D0AE7" w14:paraId="7C25C61B" w14:textId="77777777">
        <w:trPr>
          <w:cantSplit/>
        </w:trPr>
        <w:tc>
          <w:tcPr>
            <w:tcW w:w="1696" w:type="pct"/>
            <w:tcBorders>
              <w:top w:val="single" w:sz="4" w:space="0" w:color="auto"/>
              <w:left w:val="single" w:sz="4" w:space="0" w:color="auto"/>
              <w:bottom w:val="single" w:sz="4" w:space="0" w:color="auto"/>
              <w:right w:val="single" w:sz="4" w:space="0" w:color="auto"/>
            </w:tcBorders>
          </w:tcPr>
          <w:p w14:paraId="4BC5B44E" w14:textId="77777777" w:rsidR="002D0AE7" w:rsidRDefault="00333EBB">
            <w:pPr>
              <w:rPr>
                <w:rFonts w:hint="eastAsia"/>
                <w:sz w:val="21"/>
                <w:szCs w:val="21"/>
              </w:rPr>
            </w:pPr>
            <w:r>
              <w:rPr>
                <w:sz w:val="21"/>
                <w:szCs w:val="21"/>
              </w:rPr>
              <w:t>3</w:t>
            </w:r>
            <w:r>
              <w:rPr>
                <w:sz w:val="21"/>
                <w:szCs w:val="21"/>
              </w:rPr>
              <w:t>个月以内</w:t>
            </w:r>
          </w:p>
        </w:tc>
        <w:tc>
          <w:tcPr>
            <w:tcW w:w="1652" w:type="pct"/>
            <w:tcBorders>
              <w:top w:val="single" w:sz="4" w:space="0" w:color="auto"/>
              <w:left w:val="single" w:sz="4" w:space="0" w:color="auto"/>
              <w:bottom w:val="single" w:sz="4" w:space="0" w:color="auto"/>
              <w:right w:val="single" w:sz="4" w:space="0" w:color="auto"/>
            </w:tcBorders>
            <w:vAlign w:val="center"/>
          </w:tcPr>
          <w:p w14:paraId="7AA2F05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29,998,044.26</w:t>
            </w:r>
          </w:p>
        </w:tc>
        <w:tc>
          <w:tcPr>
            <w:tcW w:w="1652" w:type="pct"/>
            <w:tcBorders>
              <w:top w:val="single" w:sz="4" w:space="0" w:color="auto"/>
              <w:left w:val="single" w:sz="4" w:space="0" w:color="auto"/>
              <w:bottom w:val="single" w:sz="4" w:space="0" w:color="auto"/>
              <w:right w:val="single" w:sz="4" w:space="0" w:color="auto"/>
            </w:tcBorders>
            <w:vAlign w:val="center"/>
          </w:tcPr>
          <w:p w14:paraId="57EB624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29,343,976.64</w:t>
            </w:r>
          </w:p>
        </w:tc>
      </w:tr>
      <w:tr w:rsidR="002D0AE7" w14:paraId="75294A44" w14:textId="77777777">
        <w:trPr>
          <w:cantSplit/>
        </w:trPr>
        <w:tc>
          <w:tcPr>
            <w:tcW w:w="1696" w:type="pct"/>
            <w:tcBorders>
              <w:top w:val="single" w:sz="4" w:space="0" w:color="auto"/>
              <w:left w:val="single" w:sz="4" w:space="0" w:color="auto"/>
              <w:bottom w:val="single" w:sz="4" w:space="0" w:color="auto"/>
              <w:right w:val="single" w:sz="4" w:space="0" w:color="auto"/>
            </w:tcBorders>
          </w:tcPr>
          <w:p w14:paraId="502E003B" w14:textId="77777777" w:rsidR="002D0AE7" w:rsidRDefault="00333EBB">
            <w:pPr>
              <w:rPr>
                <w:rFonts w:hint="eastAsia"/>
                <w:sz w:val="21"/>
                <w:szCs w:val="21"/>
              </w:rPr>
            </w:pPr>
            <w:r>
              <w:rPr>
                <w:sz w:val="21"/>
                <w:szCs w:val="21"/>
              </w:rPr>
              <w:t>3</w:t>
            </w:r>
            <w:r>
              <w:rPr>
                <w:sz w:val="21"/>
                <w:szCs w:val="21"/>
              </w:rPr>
              <w:t>个月至</w:t>
            </w:r>
            <w:r>
              <w:rPr>
                <w:sz w:val="21"/>
                <w:szCs w:val="21"/>
              </w:rPr>
              <w:t>1</w:t>
            </w:r>
            <w:r>
              <w:rPr>
                <w:sz w:val="21"/>
                <w:szCs w:val="21"/>
              </w:rPr>
              <w:t>年</w:t>
            </w:r>
          </w:p>
        </w:tc>
        <w:tc>
          <w:tcPr>
            <w:tcW w:w="1652" w:type="pct"/>
            <w:tcBorders>
              <w:top w:val="single" w:sz="4" w:space="0" w:color="auto"/>
              <w:left w:val="single" w:sz="4" w:space="0" w:color="auto"/>
              <w:bottom w:val="single" w:sz="4" w:space="0" w:color="auto"/>
              <w:right w:val="single" w:sz="4" w:space="0" w:color="auto"/>
            </w:tcBorders>
            <w:vAlign w:val="center"/>
          </w:tcPr>
          <w:p w14:paraId="0FCBAC2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3,507,453.57</w:t>
            </w:r>
          </w:p>
        </w:tc>
        <w:tc>
          <w:tcPr>
            <w:tcW w:w="1652" w:type="pct"/>
            <w:tcBorders>
              <w:top w:val="single" w:sz="4" w:space="0" w:color="auto"/>
              <w:left w:val="single" w:sz="4" w:space="0" w:color="auto"/>
              <w:bottom w:val="single" w:sz="4" w:space="0" w:color="auto"/>
              <w:right w:val="single" w:sz="4" w:space="0" w:color="auto"/>
            </w:tcBorders>
            <w:vAlign w:val="center"/>
          </w:tcPr>
          <w:p w14:paraId="139924E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61,858.93</w:t>
            </w:r>
          </w:p>
        </w:tc>
      </w:tr>
      <w:tr w:rsidR="002D0AE7" w14:paraId="669B2D94" w14:textId="77777777">
        <w:trPr>
          <w:cantSplit/>
        </w:trPr>
        <w:tc>
          <w:tcPr>
            <w:tcW w:w="1696" w:type="pct"/>
            <w:tcBorders>
              <w:top w:val="single" w:sz="4" w:space="0" w:color="auto"/>
              <w:left w:val="single" w:sz="4" w:space="0" w:color="auto"/>
              <w:bottom w:val="single" w:sz="4" w:space="0" w:color="auto"/>
              <w:right w:val="single" w:sz="4" w:space="0" w:color="auto"/>
            </w:tcBorders>
          </w:tcPr>
          <w:p w14:paraId="4C13142E" w14:textId="77777777" w:rsidR="002D0AE7" w:rsidRDefault="00333EBB">
            <w:pPr>
              <w:rPr>
                <w:rFonts w:hint="eastAsia"/>
                <w:color w:val="000000" w:themeColor="text1"/>
                <w:sz w:val="21"/>
                <w:szCs w:val="21"/>
              </w:rPr>
            </w:pPr>
            <w:r>
              <w:rPr>
                <w:rFonts w:hint="eastAsia"/>
                <w:color w:val="000000" w:themeColor="text1"/>
                <w:sz w:val="21"/>
                <w:szCs w:val="21"/>
              </w:rPr>
              <w:t>1</w:t>
            </w:r>
            <w:r>
              <w:rPr>
                <w:rFonts w:hint="eastAsia"/>
                <w:color w:val="000000" w:themeColor="text1"/>
                <w:sz w:val="21"/>
                <w:szCs w:val="21"/>
              </w:rPr>
              <w:t>年以内小计</w:t>
            </w:r>
          </w:p>
        </w:tc>
        <w:tc>
          <w:tcPr>
            <w:tcW w:w="1652" w:type="pct"/>
            <w:tcBorders>
              <w:top w:val="single" w:sz="4" w:space="0" w:color="auto"/>
              <w:left w:val="single" w:sz="4" w:space="0" w:color="auto"/>
              <w:bottom w:val="single" w:sz="4" w:space="0" w:color="auto"/>
              <w:right w:val="single" w:sz="4" w:space="0" w:color="auto"/>
            </w:tcBorders>
          </w:tcPr>
          <w:p w14:paraId="12F9FDC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33,505,497.83</w:t>
            </w:r>
          </w:p>
        </w:tc>
        <w:tc>
          <w:tcPr>
            <w:tcW w:w="1652" w:type="pct"/>
            <w:tcBorders>
              <w:top w:val="single" w:sz="4" w:space="0" w:color="auto"/>
              <w:left w:val="single" w:sz="4" w:space="0" w:color="auto"/>
              <w:bottom w:val="single" w:sz="4" w:space="0" w:color="auto"/>
              <w:right w:val="single" w:sz="4" w:space="0" w:color="auto"/>
            </w:tcBorders>
            <w:vAlign w:val="center"/>
          </w:tcPr>
          <w:p w14:paraId="1B88B52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29,405,835.57</w:t>
            </w:r>
          </w:p>
        </w:tc>
      </w:tr>
      <w:tr w:rsidR="002D0AE7" w14:paraId="1260CE22" w14:textId="77777777">
        <w:trPr>
          <w:cantSplit/>
        </w:trPr>
        <w:tc>
          <w:tcPr>
            <w:tcW w:w="1696" w:type="pct"/>
            <w:tcBorders>
              <w:top w:val="single" w:sz="4" w:space="0" w:color="auto"/>
              <w:left w:val="single" w:sz="4" w:space="0" w:color="auto"/>
              <w:bottom w:val="single" w:sz="4" w:space="0" w:color="auto"/>
              <w:right w:val="single" w:sz="4" w:space="0" w:color="auto"/>
            </w:tcBorders>
          </w:tcPr>
          <w:p w14:paraId="6A306360" w14:textId="77777777" w:rsidR="002D0AE7" w:rsidRDefault="00333EBB">
            <w:pPr>
              <w:rPr>
                <w:rFonts w:hint="eastAsia"/>
                <w:color w:val="000000" w:themeColor="text1"/>
                <w:sz w:val="21"/>
                <w:szCs w:val="21"/>
              </w:rPr>
            </w:pPr>
            <w:r>
              <w:rPr>
                <w:rFonts w:hint="eastAsia"/>
                <w:color w:val="000000" w:themeColor="text1"/>
                <w:sz w:val="21"/>
                <w:szCs w:val="21"/>
              </w:rPr>
              <w:t>1</w:t>
            </w:r>
            <w:r>
              <w:rPr>
                <w:rFonts w:hint="eastAsia"/>
                <w:color w:val="000000" w:themeColor="text1"/>
                <w:sz w:val="21"/>
                <w:szCs w:val="21"/>
              </w:rPr>
              <w:t>至</w:t>
            </w:r>
            <w:r>
              <w:rPr>
                <w:rFonts w:hint="eastAsia"/>
                <w:color w:val="000000" w:themeColor="text1"/>
                <w:sz w:val="21"/>
                <w:szCs w:val="21"/>
              </w:rPr>
              <w:t>2</w:t>
            </w:r>
            <w:r>
              <w:rPr>
                <w:rFonts w:hint="eastAsia"/>
                <w:color w:val="000000" w:themeColor="text1"/>
                <w:sz w:val="21"/>
                <w:szCs w:val="21"/>
              </w:rPr>
              <w:t>年</w:t>
            </w:r>
          </w:p>
        </w:tc>
        <w:tc>
          <w:tcPr>
            <w:tcW w:w="1652" w:type="pct"/>
            <w:tcBorders>
              <w:top w:val="single" w:sz="4" w:space="0" w:color="auto"/>
              <w:left w:val="single" w:sz="4" w:space="0" w:color="auto"/>
              <w:bottom w:val="single" w:sz="4" w:space="0" w:color="auto"/>
              <w:right w:val="single" w:sz="4" w:space="0" w:color="auto"/>
            </w:tcBorders>
            <w:vAlign w:val="center"/>
          </w:tcPr>
          <w:p w14:paraId="5D61473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14,900.00</w:t>
            </w:r>
          </w:p>
        </w:tc>
        <w:tc>
          <w:tcPr>
            <w:tcW w:w="1652" w:type="pct"/>
            <w:tcBorders>
              <w:top w:val="single" w:sz="4" w:space="0" w:color="auto"/>
              <w:left w:val="single" w:sz="4" w:space="0" w:color="auto"/>
              <w:bottom w:val="single" w:sz="4" w:space="0" w:color="auto"/>
              <w:right w:val="single" w:sz="4" w:space="0" w:color="auto"/>
            </w:tcBorders>
            <w:vAlign w:val="center"/>
          </w:tcPr>
          <w:p w14:paraId="77F5238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9,000.00</w:t>
            </w:r>
          </w:p>
        </w:tc>
      </w:tr>
      <w:tr w:rsidR="002D0AE7" w14:paraId="7AC83D7A" w14:textId="77777777">
        <w:trPr>
          <w:cantSplit/>
        </w:trPr>
        <w:tc>
          <w:tcPr>
            <w:tcW w:w="1696" w:type="pct"/>
            <w:tcBorders>
              <w:top w:val="single" w:sz="4" w:space="0" w:color="auto"/>
              <w:left w:val="single" w:sz="4" w:space="0" w:color="auto"/>
              <w:bottom w:val="single" w:sz="4" w:space="0" w:color="auto"/>
              <w:right w:val="single" w:sz="4" w:space="0" w:color="auto"/>
            </w:tcBorders>
          </w:tcPr>
          <w:p w14:paraId="26D0AAF8" w14:textId="77777777" w:rsidR="002D0AE7" w:rsidRDefault="00333EBB">
            <w:pPr>
              <w:rPr>
                <w:rFonts w:hint="eastAsia"/>
                <w:color w:val="000000" w:themeColor="text1"/>
                <w:sz w:val="21"/>
                <w:szCs w:val="21"/>
              </w:rPr>
            </w:pPr>
            <w:r>
              <w:rPr>
                <w:rFonts w:hint="eastAsia"/>
                <w:color w:val="000000" w:themeColor="text1"/>
                <w:sz w:val="21"/>
                <w:szCs w:val="21"/>
              </w:rPr>
              <w:t>2</w:t>
            </w:r>
            <w:r>
              <w:rPr>
                <w:rFonts w:hint="eastAsia"/>
                <w:color w:val="000000" w:themeColor="text1"/>
                <w:sz w:val="21"/>
                <w:szCs w:val="21"/>
              </w:rPr>
              <w:t>至</w:t>
            </w:r>
            <w:r>
              <w:rPr>
                <w:rFonts w:hint="eastAsia"/>
                <w:color w:val="000000" w:themeColor="text1"/>
                <w:sz w:val="21"/>
                <w:szCs w:val="21"/>
              </w:rPr>
              <w:t>3</w:t>
            </w:r>
            <w:r>
              <w:rPr>
                <w:rFonts w:hint="eastAsia"/>
                <w:color w:val="000000" w:themeColor="text1"/>
                <w:sz w:val="21"/>
                <w:szCs w:val="21"/>
              </w:rPr>
              <w:t>年</w:t>
            </w:r>
          </w:p>
        </w:tc>
        <w:tc>
          <w:tcPr>
            <w:tcW w:w="1652" w:type="pct"/>
            <w:tcBorders>
              <w:top w:val="single" w:sz="4" w:space="0" w:color="auto"/>
              <w:left w:val="single" w:sz="4" w:space="0" w:color="auto"/>
              <w:bottom w:val="single" w:sz="4" w:space="0" w:color="auto"/>
              <w:right w:val="single" w:sz="4" w:space="0" w:color="auto"/>
            </w:tcBorders>
            <w:vAlign w:val="center"/>
          </w:tcPr>
          <w:p w14:paraId="2E3BC3E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8,250.00</w:t>
            </w:r>
          </w:p>
        </w:tc>
        <w:tc>
          <w:tcPr>
            <w:tcW w:w="1652" w:type="pct"/>
            <w:tcBorders>
              <w:top w:val="single" w:sz="4" w:space="0" w:color="auto"/>
              <w:left w:val="single" w:sz="4" w:space="0" w:color="auto"/>
              <w:bottom w:val="single" w:sz="4" w:space="0" w:color="auto"/>
              <w:right w:val="single" w:sz="4" w:space="0" w:color="auto"/>
            </w:tcBorders>
            <w:vAlign w:val="center"/>
          </w:tcPr>
          <w:p w14:paraId="45D796F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13,750.00</w:t>
            </w:r>
          </w:p>
        </w:tc>
      </w:tr>
      <w:tr w:rsidR="002D0AE7" w14:paraId="7CBF922C" w14:textId="77777777">
        <w:trPr>
          <w:cantSplit/>
        </w:trPr>
        <w:tc>
          <w:tcPr>
            <w:tcW w:w="1696" w:type="pct"/>
            <w:tcBorders>
              <w:top w:val="single" w:sz="4" w:space="0" w:color="auto"/>
              <w:left w:val="single" w:sz="4" w:space="0" w:color="auto"/>
              <w:bottom w:val="single" w:sz="4" w:space="0" w:color="auto"/>
              <w:right w:val="single" w:sz="4" w:space="0" w:color="auto"/>
            </w:tcBorders>
          </w:tcPr>
          <w:p w14:paraId="6EEB5BCA" w14:textId="77777777" w:rsidR="002D0AE7" w:rsidRDefault="00333EBB">
            <w:pPr>
              <w:rPr>
                <w:rFonts w:hint="eastAsia"/>
                <w:color w:val="000000" w:themeColor="text1"/>
                <w:sz w:val="21"/>
                <w:szCs w:val="21"/>
              </w:rPr>
            </w:pPr>
            <w:r>
              <w:rPr>
                <w:rFonts w:hint="eastAsia"/>
                <w:color w:val="000000" w:themeColor="text1"/>
                <w:sz w:val="21"/>
                <w:szCs w:val="21"/>
              </w:rPr>
              <w:t>3</w:t>
            </w:r>
            <w:r>
              <w:rPr>
                <w:rFonts w:hint="eastAsia"/>
                <w:color w:val="000000" w:themeColor="text1"/>
                <w:sz w:val="21"/>
                <w:szCs w:val="21"/>
              </w:rPr>
              <w:t>年以上</w:t>
            </w:r>
          </w:p>
        </w:tc>
        <w:tc>
          <w:tcPr>
            <w:tcW w:w="1652" w:type="pct"/>
            <w:tcBorders>
              <w:top w:val="single" w:sz="4" w:space="0" w:color="auto"/>
              <w:left w:val="single" w:sz="4" w:space="0" w:color="auto"/>
              <w:bottom w:val="single" w:sz="4" w:space="0" w:color="auto"/>
              <w:right w:val="single" w:sz="4" w:space="0" w:color="auto"/>
            </w:tcBorders>
            <w:vAlign w:val="center"/>
          </w:tcPr>
          <w:p w14:paraId="562D58E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351,865.40</w:t>
            </w:r>
          </w:p>
        </w:tc>
        <w:tc>
          <w:tcPr>
            <w:tcW w:w="1652" w:type="pct"/>
            <w:tcBorders>
              <w:top w:val="single" w:sz="4" w:space="0" w:color="auto"/>
              <w:left w:val="single" w:sz="4" w:space="0" w:color="auto"/>
              <w:bottom w:val="single" w:sz="4" w:space="0" w:color="auto"/>
              <w:right w:val="single" w:sz="4" w:space="0" w:color="auto"/>
            </w:tcBorders>
            <w:vAlign w:val="center"/>
          </w:tcPr>
          <w:p w14:paraId="24B988B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347,365.40</w:t>
            </w:r>
          </w:p>
        </w:tc>
      </w:tr>
      <w:tr w:rsidR="002D0AE7" w14:paraId="7E4860A5" w14:textId="77777777">
        <w:trPr>
          <w:cantSplit/>
        </w:trPr>
        <w:tc>
          <w:tcPr>
            <w:tcW w:w="1696" w:type="pct"/>
            <w:tcBorders>
              <w:top w:val="single" w:sz="4" w:space="0" w:color="auto"/>
              <w:left w:val="single" w:sz="4" w:space="0" w:color="auto"/>
              <w:bottom w:val="single" w:sz="4" w:space="0" w:color="auto"/>
              <w:right w:val="single" w:sz="4" w:space="0" w:color="auto"/>
            </w:tcBorders>
            <w:vAlign w:val="center"/>
          </w:tcPr>
          <w:p w14:paraId="5C57A82E"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1652" w:type="pct"/>
            <w:tcBorders>
              <w:top w:val="single" w:sz="4" w:space="0" w:color="auto"/>
              <w:left w:val="single" w:sz="4" w:space="0" w:color="auto"/>
              <w:bottom w:val="single" w:sz="4" w:space="0" w:color="auto"/>
              <w:right w:val="single" w:sz="4" w:space="0" w:color="auto"/>
            </w:tcBorders>
            <w:vAlign w:val="center"/>
          </w:tcPr>
          <w:p w14:paraId="29DBD2D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33,880,513.23</w:t>
            </w:r>
          </w:p>
        </w:tc>
        <w:tc>
          <w:tcPr>
            <w:tcW w:w="1652" w:type="pct"/>
            <w:tcBorders>
              <w:top w:val="single" w:sz="4" w:space="0" w:color="auto"/>
              <w:left w:val="single" w:sz="4" w:space="0" w:color="auto"/>
              <w:bottom w:val="single" w:sz="4" w:space="0" w:color="auto"/>
              <w:right w:val="single" w:sz="4" w:space="0" w:color="auto"/>
            </w:tcBorders>
            <w:vAlign w:val="center"/>
          </w:tcPr>
          <w:p w14:paraId="71344BA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29,775,950.97</w:t>
            </w:r>
          </w:p>
        </w:tc>
      </w:tr>
    </w:tbl>
    <w:p w14:paraId="39B0A5AF" w14:textId="77777777" w:rsidR="002D0AE7" w:rsidRDefault="00333EBB">
      <w:pPr>
        <w:pStyle w:val="4"/>
        <w:numPr>
          <w:ilvl w:val="3"/>
          <w:numId w:val="47"/>
        </w:numPr>
        <w:tabs>
          <w:tab w:val="left" w:pos="560"/>
        </w:tabs>
        <w:rPr>
          <w:rFonts w:ascii="宋体" w:hAnsi="宋体" w:hint="eastAsia"/>
          <w:color w:val="000000" w:themeColor="text1"/>
        </w:rPr>
      </w:pPr>
      <w:r>
        <w:rPr>
          <w:rFonts w:ascii="宋体" w:hAnsi="宋体" w:hint="eastAsia"/>
          <w:color w:val="000000" w:themeColor="text1"/>
        </w:rPr>
        <w:t>按款项性质分类情况</w:t>
      </w:r>
    </w:p>
    <w:sdt>
      <w:sdtPr>
        <w:rPr>
          <w:color w:val="000000" w:themeColor="text1"/>
        </w:rPr>
        <w:alias w:val="是否适用：其他应收款按款项性质分类情况[双击切换]"/>
        <w:tag w:val="_GBC_43f55a27297f4f93b1b4f668134ac6be"/>
        <w:id w:val="-125011239"/>
        <w:placeholder>
          <w:docPart w:val="GBC22222222222222222222222222222"/>
        </w:placeholder>
      </w:sdtPr>
      <w:sdtEndPr/>
      <w:sdtContent>
        <w:p w14:paraId="48D0FB46"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144477F6"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其他应收款按款项性质分类情况"/>
          <w:tag w:val="_GBC_9a3af1171f5640cd83ea2c41e0145167"/>
          <w:id w:val="115889370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其他应收款按款项性质分类情况"/>
          <w:tag w:val="_GBC_0d096e7260294092a6e9a8405d01bc70"/>
          <w:id w:val="154757021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2906"/>
        <w:gridCol w:w="2917"/>
      </w:tblGrid>
      <w:tr w:rsidR="002D0AE7" w14:paraId="2F6B008E" w14:textId="77777777">
        <w:bookmarkStart w:id="162" w:name="_Hlk10469799" w:displacedByCustomXml="next"/>
        <w:sdt>
          <w:sdtPr>
            <w:rPr>
              <w:color w:val="000000" w:themeColor="text1"/>
              <w:sz w:val="21"/>
              <w:szCs w:val="21"/>
            </w:rPr>
            <w:tag w:val="_PLD_1e66a0098cd34ad6a335156852121360"/>
            <w:id w:val="-827128770"/>
          </w:sdtPr>
          <w:sdtEndPr/>
          <w:sdtContent>
            <w:tc>
              <w:tcPr>
                <w:tcW w:w="1700" w:type="pct"/>
                <w:shd w:val="clear" w:color="auto" w:fill="auto"/>
                <w:vAlign w:val="center"/>
              </w:tcPr>
              <w:p w14:paraId="21BACF71" w14:textId="77777777" w:rsidR="002D0AE7" w:rsidRDefault="00333EBB">
                <w:pPr>
                  <w:jc w:val="center"/>
                  <w:rPr>
                    <w:rFonts w:hint="eastAsia"/>
                    <w:color w:val="000000" w:themeColor="text1"/>
                    <w:sz w:val="21"/>
                    <w:szCs w:val="21"/>
                  </w:rPr>
                </w:pPr>
                <w:r>
                  <w:rPr>
                    <w:rFonts w:hint="eastAsia"/>
                    <w:color w:val="000000" w:themeColor="text1"/>
                    <w:sz w:val="21"/>
                    <w:szCs w:val="21"/>
                  </w:rPr>
                  <w:t>款项性质</w:t>
                </w:r>
              </w:p>
            </w:tc>
          </w:sdtContent>
        </w:sdt>
        <w:sdt>
          <w:sdtPr>
            <w:rPr>
              <w:color w:val="000000" w:themeColor="text1"/>
              <w:sz w:val="21"/>
              <w:szCs w:val="21"/>
            </w:rPr>
            <w:tag w:val="_PLD_51fee06f6d3944a9bbc7bac249ed63b6"/>
            <w:id w:val="65619308"/>
          </w:sdtPr>
          <w:sdtEndPr/>
          <w:sdtContent>
            <w:tc>
              <w:tcPr>
                <w:tcW w:w="1647" w:type="pct"/>
                <w:shd w:val="clear" w:color="auto" w:fill="auto"/>
                <w:vAlign w:val="center"/>
              </w:tcPr>
              <w:p w14:paraId="16B4E8F0" w14:textId="77777777" w:rsidR="002D0AE7" w:rsidRDefault="00333EBB">
                <w:pPr>
                  <w:jc w:val="center"/>
                  <w:rPr>
                    <w:rFonts w:hint="eastAsia"/>
                    <w:color w:val="000000" w:themeColor="text1"/>
                    <w:sz w:val="21"/>
                    <w:szCs w:val="21"/>
                  </w:rPr>
                </w:pPr>
                <w:r>
                  <w:rPr>
                    <w:rFonts w:hint="eastAsia"/>
                    <w:color w:val="000000" w:themeColor="text1"/>
                    <w:sz w:val="21"/>
                    <w:szCs w:val="21"/>
                  </w:rPr>
                  <w:t>期末账面余额</w:t>
                </w:r>
              </w:p>
            </w:tc>
          </w:sdtContent>
        </w:sdt>
        <w:sdt>
          <w:sdtPr>
            <w:rPr>
              <w:color w:val="000000" w:themeColor="text1"/>
              <w:sz w:val="21"/>
              <w:szCs w:val="21"/>
            </w:rPr>
            <w:tag w:val="_PLD_0297dadecff24ff8926a98d0267a917b"/>
            <w:id w:val="-1961569890"/>
          </w:sdtPr>
          <w:sdtEndPr/>
          <w:sdtContent>
            <w:tc>
              <w:tcPr>
                <w:tcW w:w="1653" w:type="pct"/>
                <w:shd w:val="clear" w:color="auto" w:fill="auto"/>
                <w:vAlign w:val="center"/>
              </w:tcPr>
              <w:p w14:paraId="3558EC38" w14:textId="77777777" w:rsidR="002D0AE7" w:rsidRDefault="00333EBB">
                <w:pPr>
                  <w:jc w:val="center"/>
                  <w:rPr>
                    <w:rFonts w:hint="eastAsia"/>
                    <w:color w:val="000000" w:themeColor="text1"/>
                    <w:sz w:val="21"/>
                    <w:szCs w:val="21"/>
                  </w:rPr>
                </w:pPr>
                <w:r>
                  <w:rPr>
                    <w:rFonts w:hint="eastAsia"/>
                    <w:color w:val="000000" w:themeColor="text1"/>
                    <w:sz w:val="21"/>
                    <w:szCs w:val="21"/>
                  </w:rPr>
                  <w:t>期初账面余额</w:t>
                </w:r>
              </w:p>
            </w:tc>
          </w:sdtContent>
        </w:sdt>
      </w:tr>
      <w:tr w:rsidR="002D0AE7" w14:paraId="5A1AFA6F" w14:textId="77777777">
        <w:tc>
          <w:tcPr>
            <w:tcW w:w="1700" w:type="pct"/>
            <w:shd w:val="clear" w:color="auto" w:fill="auto"/>
          </w:tcPr>
          <w:p w14:paraId="370103C1" w14:textId="77777777" w:rsidR="002D0AE7" w:rsidRDefault="00333EBB">
            <w:pPr>
              <w:rPr>
                <w:rFonts w:hint="eastAsia"/>
                <w:sz w:val="21"/>
                <w:szCs w:val="21"/>
              </w:rPr>
            </w:pPr>
            <w:r>
              <w:rPr>
                <w:sz w:val="21"/>
                <w:szCs w:val="21"/>
              </w:rPr>
              <w:t>设备转让费</w:t>
            </w:r>
          </w:p>
        </w:tc>
        <w:tc>
          <w:tcPr>
            <w:tcW w:w="1647" w:type="pct"/>
            <w:shd w:val="clear" w:color="auto" w:fill="auto"/>
          </w:tcPr>
          <w:p w14:paraId="3CF9D77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1,990,000.00</w:t>
            </w:r>
          </w:p>
        </w:tc>
        <w:tc>
          <w:tcPr>
            <w:tcW w:w="1653" w:type="pct"/>
            <w:shd w:val="clear" w:color="auto" w:fill="auto"/>
            <w:vAlign w:val="center"/>
          </w:tcPr>
          <w:p w14:paraId="57CC77C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1,990,000.00</w:t>
            </w:r>
          </w:p>
        </w:tc>
      </w:tr>
      <w:tr w:rsidR="002D0AE7" w14:paraId="459910CC" w14:textId="77777777">
        <w:tc>
          <w:tcPr>
            <w:tcW w:w="1700" w:type="pct"/>
            <w:shd w:val="clear" w:color="auto" w:fill="auto"/>
          </w:tcPr>
          <w:p w14:paraId="58064D90" w14:textId="77777777" w:rsidR="002D0AE7" w:rsidRDefault="00333EBB">
            <w:pPr>
              <w:rPr>
                <w:rFonts w:hint="eastAsia"/>
                <w:sz w:val="21"/>
                <w:szCs w:val="21"/>
              </w:rPr>
            </w:pPr>
            <w:r>
              <w:rPr>
                <w:sz w:val="21"/>
                <w:szCs w:val="21"/>
              </w:rPr>
              <w:t>退税款</w:t>
            </w:r>
          </w:p>
        </w:tc>
        <w:tc>
          <w:tcPr>
            <w:tcW w:w="1647" w:type="pct"/>
            <w:shd w:val="clear" w:color="auto" w:fill="auto"/>
          </w:tcPr>
          <w:p w14:paraId="04DA73F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30,023,207.09</w:t>
            </w:r>
          </w:p>
        </w:tc>
        <w:tc>
          <w:tcPr>
            <w:tcW w:w="1653" w:type="pct"/>
            <w:shd w:val="clear" w:color="auto" w:fill="auto"/>
            <w:vAlign w:val="center"/>
          </w:tcPr>
          <w:p w14:paraId="4B9F9EB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24,583,824.91</w:t>
            </w:r>
          </w:p>
        </w:tc>
      </w:tr>
      <w:tr w:rsidR="002D0AE7" w14:paraId="7B162577" w14:textId="77777777">
        <w:tc>
          <w:tcPr>
            <w:tcW w:w="1700" w:type="pct"/>
            <w:shd w:val="clear" w:color="auto" w:fill="auto"/>
          </w:tcPr>
          <w:p w14:paraId="1C264A0A" w14:textId="77777777" w:rsidR="002D0AE7" w:rsidRDefault="00333EBB">
            <w:pPr>
              <w:rPr>
                <w:rFonts w:hint="eastAsia"/>
                <w:sz w:val="21"/>
                <w:szCs w:val="21"/>
              </w:rPr>
            </w:pPr>
            <w:r>
              <w:rPr>
                <w:sz w:val="21"/>
                <w:szCs w:val="21"/>
              </w:rPr>
              <w:t>租押金款</w:t>
            </w:r>
          </w:p>
        </w:tc>
        <w:tc>
          <w:tcPr>
            <w:tcW w:w="1647" w:type="pct"/>
            <w:shd w:val="clear" w:color="auto" w:fill="auto"/>
          </w:tcPr>
          <w:p w14:paraId="03F312A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193,439.97</w:t>
            </w:r>
          </w:p>
        </w:tc>
        <w:tc>
          <w:tcPr>
            <w:tcW w:w="1653" w:type="pct"/>
            <w:shd w:val="clear" w:color="auto" w:fill="auto"/>
            <w:vAlign w:val="center"/>
          </w:tcPr>
          <w:p w14:paraId="1F1EC91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1,047,997.71</w:t>
            </w:r>
          </w:p>
        </w:tc>
      </w:tr>
      <w:tr w:rsidR="002D0AE7" w14:paraId="67DC7CC5" w14:textId="77777777">
        <w:tc>
          <w:tcPr>
            <w:tcW w:w="1700" w:type="pct"/>
            <w:shd w:val="clear" w:color="auto" w:fill="auto"/>
          </w:tcPr>
          <w:p w14:paraId="1BA82E75" w14:textId="77777777" w:rsidR="002D0AE7" w:rsidRDefault="00333EBB">
            <w:pPr>
              <w:rPr>
                <w:rFonts w:hint="eastAsia"/>
                <w:sz w:val="21"/>
                <w:szCs w:val="21"/>
              </w:rPr>
            </w:pPr>
            <w:r>
              <w:rPr>
                <w:sz w:val="21"/>
                <w:szCs w:val="21"/>
              </w:rPr>
              <w:t>单位往来款</w:t>
            </w:r>
          </w:p>
        </w:tc>
        <w:tc>
          <w:tcPr>
            <w:tcW w:w="1647" w:type="pct"/>
            <w:shd w:val="clear" w:color="auto" w:fill="auto"/>
          </w:tcPr>
          <w:p w14:paraId="1E0B0B7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632,604.23</w:t>
            </w:r>
          </w:p>
        </w:tc>
        <w:tc>
          <w:tcPr>
            <w:tcW w:w="1653" w:type="pct"/>
            <w:shd w:val="clear" w:color="auto" w:fill="auto"/>
            <w:vAlign w:val="center"/>
          </w:tcPr>
          <w:p w14:paraId="28C34FE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258,225.40</w:t>
            </w:r>
          </w:p>
        </w:tc>
      </w:tr>
      <w:tr w:rsidR="002D0AE7" w14:paraId="3276CE46" w14:textId="77777777">
        <w:tc>
          <w:tcPr>
            <w:tcW w:w="1700" w:type="pct"/>
            <w:shd w:val="clear" w:color="auto" w:fill="auto"/>
          </w:tcPr>
          <w:p w14:paraId="10AB9272" w14:textId="77777777" w:rsidR="002D0AE7" w:rsidRDefault="00333EBB">
            <w:pPr>
              <w:rPr>
                <w:rFonts w:hint="eastAsia"/>
                <w:sz w:val="21"/>
                <w:szCs w:val="21"/>
              </w:rPr>
            </w:pPr>
            <w:r>
              <w:rPr>
                <w:sz w:val="21"/>
                <w:szCs w:val="21"/>
              </w:rPr>
              <w:t>混改预留费</w:t>
            </w:r>
          </w:p>
        </w:tc>
        <w:tc>
          <w:tcPr>
            <w:tcW w:w="1647" w:type="pct"/>
            <w:shd w:val="clear" w:color="auto" w:fill="auto"/>
          </w:tcPr>
          <w:p w14:paraId="211DE31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419,057.72</w:t>
            </w:r>
          </w:p>
        </w:tc>
        <w:tc>
          <w:tcPr>
            <w:tcW w:w="1653" w:type="pct"/>
            <w:shd w:val="clear" w:color="auto" w:fill="auto"/>
            <w:vAlign w:val="center"/>
          </w:tcPr>
          <w:p w14:paraId="129D2A9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17,950.00</w:t>
            </w:r>
          </w:p>
        </w:tc>
      </w:tr>
      <w:tr w:rsidR="002D0AE7" w14:paraId="3D0C0206" w14:textId="77777777">
        <w:tc>
          <w:tcPr>
            <w:tcW w:w="1700" w:type="pct"/>
            <w:shd w:val="clear" w:color="auto" w:fill="auto"/>
          </w:tcPr>
          <w:p w14:paraId="12D425DB" w14:textId="77777777" w:rsidR="002D0AE7" w:rsidRDefault="00333EBB">
            <w:pPr>
              <w:rPr>
                <w:rFonts w:hint="eastAsia"/>
                <w:sz w:val="21"/>
                <w:szCs w:val="21"/>
              </w:rPr>
            </w:pPr>
            <w:r>
              <w:rPr>
                <w:sz w:val="21"/>
                <w:szCs w:val="21"/>
              </w:rPr>
              <w:t>服务费</w:t>
            </w:r>
          </w:p>
        </w:tc>
        <w:tc>
          <w:tcPr>
            <w:tcW w:w="1647" w:type="pct"/>
            <w:shd w:val="clear" w:color="auto" w:fill="auto"/>
          </w:tcPr>
          <w:p w14:paraId="6FBCEE8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538,596.03</w:t>
            </w:r>
          </w:p>
        </w:tc>
        <w:tc>
          <w:tcPr>
            <w:tcW w:w="1653" w:type="pct"/>
            <w:shd w:val="clear" w:color="auto" w:fill="auto"/>
            <w:vAlign w:val="center"/>
          </w:tcPr>
          <w:p w14:paraId="3E1815E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1,818,418.63</w:t>
            </w:r>
          </w:p>
        </w:tc>
      </w:tr>
      <w:tr w:rsidR="002D0AE7" w14:paraId="1501FE6B" w14:textId="77777777">
        <w:tc>
          <w:tcPr>
            <w:tcW w:w="1700" w:type="pct"/>
            <w:shd w:val="clear" w:color="auto" w:fill="auto"/>
          </w:tcPr>
          <w:p w14:paraId="10B67D3E" w14:textId="77777777" w:rsidR="002D0AE7" w:rsidRDefault="00333EBB">
            <w:pPr>
              <w:rPr>
                <w:rFonts w:hint="eastAsia"/>
                <w:sz w:val="21"/>
                <w:szCs w:val="21"/>
              </w:rPr>
            </w:pPr>
            <w:r>
              <w:rPr>
                <w:sz w:val="21"/>
                <w:szCs w:val="21"/>
              </w:rPr>
              <w:t>其他</w:t>
            </w:r>
          </w:p>
        </w:tc>
        <w:tc>
          <w:tcPr>
            <w:tcW w:w="1647" w:type="pct"/>
            <w:shd w:val="clear" w:color="auto" w:fill="auto"/>
          </w:tcPr>
          <w:p w14:paraId="43EF7DE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83,608.19</w:t>
            </w:r>
          </w:p>
        </w:tc>
        <w:tc>
          <w:tcPr>
            <w:tcW w:w="1653" w:type="pct"/>
            <w:shd w:val="clear" w:color="auto" w:fill="auto"/>
            <w:vAlign w:val="center"/>
          </w:tcPr>
          <w:p w14:paraId="55BED51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59,534.32</w:t>
            </w:r>
          </w:p>
        </w:tc>
      </w:tr>
      <w:tr w:rsidR="002D0AE7" w14:paraId="73B1C682" w14:textId="77777777">
        <w:tc>
          <w:tcPr>
            <w:tcW w:w="1700" w:type="pct"/>
            <w:shd w:val="clear" w:color="auto" w:fill="auto"/>
          </w:tcPr>
          <w:p w14:paraId="088A1CA6" w14:textId="77777777" w:rsidR="002D0AE7" w:rsidRDefault="00333EBB">
            <w:pPr>
              <w:jc w:val="center"/>
              <w:rPr>
                <w:rFonts w:hint="eastAsia"/>
                <w:color w:val="000000" w:themeColor="text1"/>
                <w:sz w:val="21"/>
                <w:szCs w:val="21"/>
              </w:rPr>
            </w:pPr>
            <w:r>
              <w:rPr>
                <w:color w:val="000000" w:themeColor="text1"/>
                <w:sz w:val="21"/>
                <w:szCs w:val="21"/>
              </w:rPr>
              <w:t>合计</w:t>
            </w:r>
          </w:p>
        </w:tc>
        <w:tc>
          <w:tcPr>
            <w:tcW w:w="1647" w:type="pct"/>
            <w:shd w:val="clear" w:color="auto" w:fill="auto"/>
          </w:tcPr>
          <w:p w14:paraId="3579D49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33,880,513.23</w:t>
            </w:r>
          </w:p>
        </w:tc>
        <w:tc>
          <w:tcPr>
            <w:tcW w:w="1653" w:type="pct"/>
            <w:shd w:val="clear" w:color="auto" w:fill="auto"/>
            <w:vAlign w:val="center"/>
          </w:tcPr>
          <w:p w14:paraId="1DDE496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29,775,950.97</w:t>
            </w:r>
          </w:p>
        </w:tc>
      </w:tr>
    </w:tbl>
    <w:p w14:paraId="061952E1" w14:textId="77777777" w:rsidR="002D0AE7" w:rsidRDefault="00333EBB">
      <w:pPr>
        <w:pStyle w:val="4"/>
        <w:numPr>
          <w:ilvl w:val="3"/>
          <w:numId w:val="47"/>
        </w:numPr>
        <w:tabs>
          <w:tab w:val="left" w:pos="560"/>
        </w:tabs>
        <w:rPr>
          <w:rFonts w:ascii="宋体" w:hAnsi="宋体" w:hint="eastAsia"/>
          <w:color w:val="000000" w:themeColor="text1"/>
        </w:rPr>
      </w:pPr>
      <w:r>
        <w:rPr>
          <w:rFonts w:ascii="宋体" w:hAnsi="宋体" w:hint="eastAsia"/>
          <w:color w:val="000000" w:themeColor="text1"/>
        </w:rPr>
        <w:lastRenderedPageBreak/>
        <w:t>坏账准备计提情况</w:t>
      </w:r>
    </w:p>
    <w:sdt>
      <w:sdtPr>
        <w:rPr>
          <w:color w:val="000000" w:themeColor="text1"/>
        </w:rPr>
        <w:alias w:val="是否适用：其他应收款坏账准备调节表[双击切换]"/>
        <w:tag w:val="_GBC_29d0c5a1588a4f6589b1f8148c9ef180"/>
        <w:id w:val="380605879"/>
        <w:placeholder>
          <w:docPart w:val="GBC22222222222222222222222222222"/>
        </w:placeholder>
      </w:sdtPr>
      <w:sdtEndPr/>
      <w:sdtContent>
        <w:p w14:paraId="148D39B6"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08EBC8E5" w14:textId="77777777" w:rsidR="002D0AE7" w:rsidRDefault="00333EBB">
      <w:pPr>
        <w:autoSpaceDE w:val="0"/>
        <w:autoSpaceDN w:val="0"/>
        <w:adjustRightInd w:val="0"/>
        <w:ind w:rightChars="50" w:right="120"/>
        <w:jc w:val="right"/>
        <w:rPr>
          <w:rFonts w:hint="eastAsia"/>
          <w:color w:val="000000" w:themeColor="text1"/>
        </w:rPr>
      </w:pPr>
      <w:r>
        <w:rPr>
          <w:rFonts w:hint="eastAsia"/>
          <w:color w:val="000000" w:themeColor="text1"/>
        </w:rPr>
        <w:t>单位：</w:t>
      </w:r>
      <w:sdt>
        <w:sdtPr>
          <w:rPr>
            <w:rFonts w:hint="eastAsia"/>
            <w:color w:val="000000" w:themeColor="text1"/>
          </w:rPr>
          <w:alias w:val="单位：其他应收款坏账准备调节表"/>
          <w:tag w:val="_GBC_c65b82e3cfaf4fde8d75eac8c9a6e9f9"/>
          <w:id w:val="-5716836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其他应收款坏账准备调节表"/>
          <w:tag w:val="_GBC_08cd78a434cc441cbfff10030c5a8719"/>
          <w:id w:val="51180741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1135"/>
        <w:gridCol w:w="1417"/>
        <w:gridCol w:w="1701"/>
        <w:gridCol w:w="1315"/>
      </w:tblGrid>
      <w:tr w:rsidR="002D0AE7" w14:paraId="1F1E0B4E" w14:textId="77777777">
        <w:sdt>
          <w:sdtPr>
            <w:rPr>
              <w:rFonts w:ascii="宋体" w:hAnsi="宋体"/>
              <w:color w:val="000000" w:themeColor="text1"/>
              <w:sz w:val="21"/>
              <w:szCs w:val="21"/>
            </w:rPr>
            <w:tag w:val="_PLD_0df16deeb9614db49d9aa88a31229d9a"/>
            <w:id w:val="1494765668"/>
          </w:sdtPr>
          <w:sdtEndPr/>
          <w:sdtContent>
            <w:tc>
              <w:tcPr>
                <w:tcW w:w="1845" w:type="pct"/>
                <w:vMerge w:val="restart"/>
                <w:vAlign w:val="center"/>
              </w:tcPr>
              <w:p w14:paraId="5886C17F" w14:textId="77777777" w:rsidR="002D0AE7" w:rsidRDefault="00333EBB">
                <w:pPr>
                  <w:pStyle w:val="14"/>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坏账准备</w:t>
                </w:r>
              </w:p>
            </w:tc>
          </w:sdtContent>
        </w:sdt>
        <w:sdt>
          <w:sdtPr>
            <w:rPr>
              <w:rFonts w:ascii="宋体" w:hAnsi="宋体"/>
              <w:color w:val="000000" w:themeColor="text1"/>
              <w:sz w:val="21"/>
              <w:szCs w:val="21"/>
            </w:rPr>
            <w:tag w:val="_PLD_f47baed0f5d14c0486b4530b2aa1cb4c"/>
            <w:id w:val="1602228303"/>
          </w:sdtPr>
          <w:sdtEndPr/>
          <w:sdtContent>
            <w:tc>
              <w:tcPr>
                <w:tcW w:w="643" w:type="pct"/>
                <w:vAlign w:val="center"/>
              </w:tcPr>
              <w:p w14:paraId="44BA09D7" w14:textId="77777777" w:rsidR="002D0AE7" w:rsidRDefault="00333EBB">
                <w:pPr>
                  <w:pStyle w:val="14"/>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第一阶段</w:t>
                </w:r>
              </w:p>
            </w:tc>
          </w:sdtContent>
        </w:sdt>
        <w:sdt>
          <w:sdtPr>
            <w:rPr>
              <w:rFonts w:ascii="宋体" w:hAnsi="宋体"/>
              <w:color w:val="000000" w:themeColor="text1"/>
              <w:sz w:val="21"/>
              <w:szCs w:val="21"/>
            </w:rPr>
            <w:tag w:val="_PLD_a29dd4725bec4eb78b246b92252a24df"/>
            <w:id w:val="-244885755"/>
          </w:sdtPr>
          <w:sdtEndPr/>
          <w:sdtContent>
            <w:tc>
              <w:tcPr>
                <w:tcW w:w="803" w:type="pct"/>
                <w:vAlign w:val="center"/>
              </w:tcPr>
              <w:p w14:paraId="30185BBE" w14:textId="77777777" w:rsidR="002D0AE7" w:rsidRDefault="00333EBB">
                <w:pPr>
                  <w:pStyle w:val="14"/>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第二阶段</w:t>
                </w:r>
              </w:p>
            </w:tc>
          </w:sdtContent>
        </w:sdt>
        <w:sdt>
          <w:sdtPr>
            <w:rPr>
              <w:rFonts w:ascii="宋体" w:hAnsi="宋体"/>
              <w:color w:val="000000" w:themeColor="text1"/>
              <w:sz w:val="21"/>
              <w:szCs w:val="21"/>
            </w:rPr>
            <w:tag w:val="_PLD_c495a5d3c56f4cb9a0bd5cc9cc9b5410"/>
            <w:id w:val="-1101564683"/>
          </w:sdtPr>
          <w:sdtEndPr/>
          <w:sdtContent>
            <w:tc>
              <w:tcPr>
                <w:tcW w:w="964" w:type="pct"/>
                <w:vAlign w:val="center"/>
              </w:tcPr>
              <w:p w14:paraId="31844B4F" w14:textId="77777777" w:rsidR="002D0AE7" w:rsidRDefault="00333EBB">
                <w:pPr>
                  <w:pStyle w:val="14"/>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第三阶段</w:t>
                </w:r>
              </w:p>
            </w:tc>
          </w:sdtContent>
        </w:sdt>
        <w:sdt>
          <w:sdtPr>
            <w:rPr>
              <w:rFonts w:ascii="宋体" w:hAnsi="宋体"/>
              <w:color w:val="000000" w:themeColor="text1"/>
              <w:sz w:val="21"/>
              <w:szCs w:val="21"/>
            </w:rPr>
            <w:tag w:val="_PLD_0dc8bab0b7424c1295b83fcc97ca7554"/>
            <w:id w:val="1076174121"/>
          </w:sdtPr>
          <w:sdtEndPr/>
          <w:sdtContent>
            <w:tc>
              <w:tcPr>
                <w:tcW w:w="745" w:type="pct"/>
                <w:vMerge w:val="restart"/>
                <w:vAlign w:val="center"/>
              </w:tcPr>
              <w:p w14:paraId="3B49F3E2" w14:textId="77777777" w:rsidR="002D0AE7" w:rsidRDefault="00333EBB">
                <w:pPr>
                  <w:pStyle w:val="14"/>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合计</w:t>
                </w:r>
              </w:p>
            </w:tc>
          </w:sdtContent>
        </w:sdt>
      </w:tr>
      <w:tr w:rsidR="002D0AE7" w14:paraId="68799744" w14:textId="77777777">
        <w:tc>
          <w:tcPr>
            <w:tcW w:w="1845" w:type="pct"/>
            <w:vMerge/>
            <w:vAlign w:val="center"/>
          </w:tcPr>
          <w:p w14:paraId="5EA47FE2" w14:textId="77777777" w:rsidR="002D0AE7" w:rsidRDefault="002D0AE7">
            <w:pPr>
              <w:jc w:val="center"/>
              <w:rPr>
                <w:rFonts w:hint="eastAsia"/>
                <w:color w:val="000000" w:themeColor="text1"/>
                <w:sz w:val="21"/>
                <w:szCs w:val="21"/>
              </w:rPr>
            </w:pPr>
          </w:p>
        </w:tc>
        <w:sdt>
          <w:sdtPr>
            <w:rPr>
              <w:rFonts w:ascii="宋体" w:hAnsi="宋体"/>
              <w:color w:val="000000" w:themeColor="text1"/>
              <w:sz w:val="21"/>
              <w:szCs w:val="21"/>
            </w:rPr>
            <w:tag w:val="_PLD_08f8b6a1fd974f0d8ae0c04f27849740"/>
            <w:id w:val="204375404"/>
          </w:sdtPr>
          <w:sdtEndPr/>
          <w:sdtContent>
            <w:tc>
              <w:tcPr>
                <w:tcW w:w="643" w:type="pct"/>
                <w:vAlign w:val="center"/>
              </w:tcPr>
              <w:p w14:paraId="67CAE50E" w14:textId="77777777" w:rsidR="002D0AE7" w:rsidRDefault="00333EBB">
                <w:pPr>
                  <w:pStyle w:val="14"/>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未来</w:t>
                </w:r>
                <w:r>
                  <w:rPr>
                    <w:rFonts w:ascii="宋体" w:hAnsi="宋体" w:cs="宋体" w:hint="eastAsia"/>
                    <w:color w:val="000000" w:themeColor="text1"/>
                    <w:sz w:val="21"/>
                    <w:szCs w:val="21"/>
                  </w:rPr>
                  <w:t>12</w:t>
                </w:r>
                <w:r>
                  <w:rPr>
                    <w:rFonts w:ascii="宋体" w:hAnsi="宋体" w:cs="宋体" w:hint="eastAsia"/>
                    <w:color w:val="000000" w:themeColor="text1"/>
                    <w:sz w:val="21"/>
                    <w:szCs w:val="21"/>
                  </w:rPr>
                  <w:t>个月预期信用损失</w:t>
                </w:r>
              </w:p>
            </w:tc>
          </w:sdtContent>
        </w:sdt>
        <w:sdt>
          <w:sdtPr>
            <w:rPr>
              <w:rFonts w:ascii="宋体" w:hAnsi="宋体"/>
              <w:color w:val="000000" w:themeColor="text1"/>
              <w:sz w:val="21"/>
              <w:szCs w:val="21"/>
            </w:rPr>
            <w:tag w:val="_PLD_c85cfe8f6d6a4ab0af13d30e76cd7800"/>
            <w:id w:val="-428509608"/>
          </w:sdtPr>
          <w:sdtEndPr/>
          <w:sdtContent>
            <w:tc>
              <w:tcPr>
                <w:tcW w:w="803" w:type="pct"/>
                <w:vAlign w:val="center"/>
              </w:tcPr>
              <w:p w14:paraId="6DC22FC3" w14:textId="77777777" w:rsidR="002D0AE7" w:rsidRDefault="00333EBB">
                <w:pPr>
                  <w:pStyle w:val="14"/>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整个存续期预期信用损失</w:t>
                </w:r>
                <w:r>
                  <w:rPr>
                    <w:rFonts w:ascii="宋体" w:hAnsi="宋体" w:cs="宋体" w:hint="eastAsia"/>
                    <w:color w:val="000000" w:themeColor="text1"/>
                    <w:sz w:val="21"/>
                    <w:szCs w:val="21"/>
                  </w:rPr>
                  <w:t>(</w:t>
                </w:r>
                <w:r>
                  <w:rPr>
                    <w:rFonts w:ascii="宋体" w:hAnsi="宋体" w:cs="宋体" w:hint="eastAsia"/>
                    <w:color w:val="000000" w:themeColor="text1"/>
                    <w:sz w:val="21"/>
                    <w:szCs w:val="21"/>
                  </w:rPr>
                  <w:t>未发生信用减值</w:t>
                </w:r>
                <w:r>
                  <w:rPr>
                    <w:rFonts w:ascii="宋体" w:hAnsi="宋体" w:cs="宋体" w:hint="eastAsia"/>
                    <w:color w:val="000000" w:themeColor="text1"/>
                    <w:sz w:val="21"/>
                    <w:szCs w:val="21"/>
                  </w:rPr>
                  <w:t>)</w:t>
                </w:r>
              </w:p>
            </w:tc>
          </w:sdtContent>
        </w:sdt>
        <w:sdt>
          <w:sdtPr>
            <w:rPr>
              <w:rFonts w:ascii="宋体" w:hAnsi="宋体"/>
              <w:color w:val="000000" w:themeColor="text1"/>
              <w:sz w:val="21"/>
              <w:szCs w:val="21"/>
            </w:rPr>
            <w:tag w:val="_PLD_2df6c7466f224906aa04a411975e6f79"/>
            <w:id w:val="1986047664"/>
          </w:sdtPr>
          <w:sdtEndPr/>
          <w:sdtContent>
            <w:tc>
              <w:tcPr>
                <w:tcW w:w="964" w:type="pct"/>
                <w:vAlign w:val="center"/>
              </w:tcPr>
              <w:p w14:paraId="4DAF3856" w14:textId="77777777" w:rsidR="002D0AE7" w:rsidRDefault="00333EBB">
                <w:pPr>
                  <w:pStyle w:val="14"/>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整个存续期预期信用损失</w:t>
                </w:r>
                <w:r>
                  <w:rPr>
                    <w:rFonts w:ascii="宋体" w:hAnsi="宋体" w:cs="宋体" w:hint="eastAsia"/>
                    <w:color w:val="000000" w:themeColor="text1"/>
                    <w:sz w:val="21"/>
                    <w:szCs w:val="21"/>
                  </w:rPr>
                  <w:t>(</w:t>
                </w:r>
                <w:r>
                  <w:rPr>
                    <w:rFonts w:ascii="宋体" w:hAnsi="宋体" w:cs="宋体" w:hint="eastAsia"/>
                    <w:color w:val="000000" w:themeColor="text1"/>
                    <w:sz w:val="21"/>
                    <w:szCs w:val="21"/>
                  </w:rPr>
                  <w:t>已发生信用减值</w:t>
                </w:r>
                <w:r>
                  <w:rPr>
                    <w:rFonts w:ascii="宋体" w:hAnsi="宋体" w:cs="宋体" w:hint="eastAsia"/>
                    <w:color w:val="000000" w:themeColor="text1"/>
                    <w:sz w:val="21"/>
                    <w:szCs w:val="21"/>
                  </w:rPr>
                  <w:t>)</w:t>
                </w:r>
              </w:p>
            </w:tc>
          </w:sdtContent>
        </w:sdt>
        <w:tc>
          <w:tcPr>
            <w:tcW w:w="745" w:type="pct"/>
            <w:vMerge/>
            <w:vAlign w:val="center"/>
          </w:tcPr>
          <w:p w14:paraId="561115AE" w14:textId="77777777" w:rsidR="002D0AE7" w:rsidRDefault="002D0AE7">
            <w:pPr>
              <w:jc w:val="center"/>
              <w:rPr>
                <w:rFonts w:hint="eastAsia"/>
                <w:color w:val="000000" w:themeColor="text1"/>
                <w:sz w:val="21"/>
                <w:szCs w:val="21"/>
              </w:rPr>
            </w:pPr>
          </w:p>
        </w:tc>
      </w:tr>
      <w:tr w:rsidR="002D0AE7" w14:paraId="6ED5CA83" w14:textId="77777777">
        <w:tc>
          <w:tcPr>
            <w:tcW w:w="1845" w:type="pct"/>
            <w:vAlign w:val="center"/>
          </w:tcPr>
          <w:p w14:paraId="1BACEA7D" w14:textId="77777777" w:rsidR="002D0AE7" w:rsidRDefault="00333EBB">
            <w:pPr>
              <w:pStyle w:val="14"/>
              <w:rPr>
                <w:rFonts w:ascii="宋体" w:hAnsi="宋体" w:cs="宋体" w:hint="eastAsia"/>
                <w:color w:val="000000" w:themeColor="text1"/>
                <w:sz w:val="21"/>
                <w:szCs w:val="21"/>
              </w:rPr>
            </w:pPr>
            <w:r>
              <w:rPr>
                <w:rFonts w:ascii="宋体" w:hAnsi="宋体" w:cs="宋体"/>
                <w:color w:val="000000" w:themeColor="text1"/>
                <w:sz w:val="21"/>
                <w:szCs w:val="21"/>
              </w:rPr>
              <w:t>2024</w:t>
            </w:r>
            <w:r>
              <w:rPr>
                <w:rFonts w:ascii="宋体" w:hAnsi="宋体" w:cs="宋体"/>
                <w:color w:val="000000" w:themeColor="text1"/>
                <w:sz w:val="21"/>
                <w:szCs w:val="21"/>
              </w:rPr>
              <w:t>年</w:t>
            </w:r>
            <w:r>
              <w:rPr>
                <w:rFonts w:ascii="宋体" w:hAnsi="宋体" w:cs="宋体" w:hint="eastAsia"/>
                <w:color w:val="000000" w:themeColor="text1"/>
                <w:sz w:val="21"/>
                <w:szCs w:val="21"/>
              </w:rPr>
              <w:t>1</w:t>
            </w:r>
            <w:r>
              <w:rPr>
                <w:rFonts w:ascii="宋体" w:hAnsi="宋体" w:cs="宋体" w:hint="eastAsia"/>
                <w:color w:val="000000" w:themeColor="text1"/>
                <w:sz w:val="21"/>
                <w:szCs w:val="21"/>
              </w:rPr>
              <w:t>月</w:t>
            </w:r>
            <w:r>
              <w:rPr>
                <w:rFonts w:ascii="宋体" w:hAnsi="宋体" w:cs="宋体" w:hint="eastAsia"/>
                <w:color w:val="000000" w:themeColor="text1"/>
                <w:sz w:val="21"/>
                <w:szCs w:val="21"/>
              </w:rPr>
              <w:t>1</w:t>
            </w:r>
            <w:r>
              <w:rPr>
                <w:rFonts w:ascii="宋体" w:hAnsi="宋体" w:cs="宋体" w:hint="eastAsia"/>
                <w:color w:val="000000" w:themeColor="text1"/>
                <w:sz w:val="21"/>
                <w:szCs w:val="21"/>
              </w:rPr>
              <w:t>日余额</w:t>
            </w:r>
          </w:p>
        </w:tc>
        <w:tc>
          <w:tcPr>
            <w:tcW w:w="643" w:type="pct"/>
            <w:vAlign w:val="center"/>
          </w:tcPr>
          <w:p w14:paraId="53AC8EA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03" w:type="pct"/>
            <w:vAlign w:val="center"/>
          </w:tcPr>
          <w:p w14:paraId="1DE8B2C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98,124.29</w:t>
            </w:r>
          </w:p>
        </w:tc>
        <w:tc>
          <w:tcPr>
            <w:tcW w:w="964" w:type="pct"/>
            <w:vAlign w:val="center"/>
          </w:tcPr>
          <w:p w14:paraId="031FFCB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258,225.40</w:t>
            </w:r>
          </w:p>
        </w:tc>
        <w:tc>
          <w:tcPr>
            <w:tcW w:w="745" w:type="pct"/>
            <w:vAlign w:val="center"/>
          </w:tcPr>
          <w:p w14:paraId="7D2E288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356,349.69</w:t>
            </w:r>
          </w:p>
        </w:tc>
      </w:tr>
      <w:tr w:rsidR="002D0AE7" w14:paraId="15976EF0" w14:textId="77777777">
        <w:tc>
          <w:tcPr>
            <w:tcW w:w="1845" w:type="pct"/>
            <w:vAlign w:val="center"/>
          </w:tcPr>
          <w:p w14:paraId="1AC70418" w14:textId="77777777" w:rsidR="002D0AE7" w:rsidRDefault="00333EBB">
            <w:pPr>
              <w:pStyle w:val="14"/>
              <w:rPr>
                <w:rFonts w:ascii="宋体" w:hAnsi="宋体" w:cs="宋体" w:hint="eastAsia"/>
                <w:color w:val="000000" w:themeColor="text1"/>
                <w:sz w:val="21"/>
                <w:szCs w:val="21"/>
              </w:rPr>
            </w:pPr>
            <w:r>
              <w:rPr>
                <w:rFonts w:ascii="宋体" w:hAnsi="宋体" w:cs="宋体" w:hint="eastAsia"/>
                <w:color w:val="000000" w:themeColor="text1"/>
                <w:sz w:val="21"/>
                <w:szCs w:val="21"/>
              </w:rPr>
              <w:t>2024</w:t>
            </w:r>
            <w:r>
              <w:rPr>
                <w:rFonts w:ascii="宋体" w:hAnsi="宋体" w:cs="宋体" w:hint="eastAsia"/>
                <w:color w:val="000000" w:themeColor="text1"/>
                <w:sz w:val="21"/>
                <w:szCs w:val="21"/>
              </w:rPr>
              <w:t>年</w:t>
            </w:r>
            <w:r>
              <w:rPr>
                <w:rFonts w:ascii="宋体" w:hAnsi="宋体" w:cs="宋体" w:hint="eastAsia"/>
                <w:color w:val="000000" w:themeColor="text1"/>
                <w:sz w:val="21"/>
                <w:szCs w:val="21"/>
              </w:rPr>
              <w:t>1</w:t>
            </w:r>
            <w:r>
              <w:rPr>
                <w:rFonts w:ascii="宋体" w:hAnsi="宋体" w:cs="宋体" w:hint="eastAsia"/>
                <w:color w:val="000000" w:themeColor="text1"/>
                <w:sz w:val="21"/>
                <w:szCs w:val="21"/>
              </w:rPr>
              <w:t>月</w:t>
            </w:r>
            <w:r>
              <w:rPr>
                <w:rFonts w:ascii="宋体" w:hAnsi="宋体" w:cs="宋体" w:hint="eastAsia"/>
                <w:color w:val="000000" w:themeColor="text1"/>
                <w:sz w:val="21"/>
                <w:szCs w:val="21"/>
              </w:rPr>
              <w:t>1</w:t>
            </w:r>
            <w:r>
              <w:rPr>
                <w:rFonts w:ascii="宋体" w:hAnsi="宋体" w:cs="宋体" w:hint="eastAsia"/>
                <w:color w:val="000000" w:themeColor="text1"/>
                <w:sz w:val="21"/>
                <w:szCs w:val="21"/>
              </w:rPr>
              <w:t>日余额在本期</w:t>
            </w:r>
          </w:p>
        </w:tc>
        <w:tc>
          <w:tcPr>
            <w:tcW w:w="643" w:type="pct"/>
            <w:vAlign w:val="center"/>
          </w:tcPr>
          <w:p w14:paraId="5FF4D3F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03" w:type="pct"/>
            <w:vAlign w:val="center"/>
          </w:tcPr>
          <w:p w14:paraId="4E74EDB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64" w:type="pct"/>
            <w:vAlign w:val="center"/>
          </w:tcPr>
          <w:p w14:paraId="76CF914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45" w:type="pct"/>
            <w:vAlign w:val="center"/>
          </w:tcPr>
          <w:p w14:paraId="1404C21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5665AF2B" w14:textId="77777777">
        <w:tc>
          <w:tcPr>
            <w:tcW w:w="1845" w:type="pct"/>
            <w:vAlign w:val="center"/>
          </w:tcPr>
          <w:p w14:paraId="6D879A97" w14:textId="77777777" w:rsidR="002D0AE7" w:rsidRDefault="00333EBB">
            <w:pPr>
              <w:pStyle w:val="14"/>
              <w:rPr>
                <w:rFonts w:ascii="宋体" w:hAnsi="宋体" w:cs="宋体" w:hint="eastAsia"/>
                <w:color w:val="000000" w:themeColor="text1"/>
                <w:sz w:val="21"/>
                <w:szCs w:val="21"/>
              </w:rPr>
            </w:pPr>
            <w:r>
              <w:rPr>
                <w:rFonts w:ascii="宋体" w:hAnsi="宋体" w:cs="宋体" w:hint="eastAsia"/>
                <w:color w:val="000000" w:themeColor="text1"/>
                <w:sz w:val="21"/>
                <w:szCs w:val="21"/>
              </w:rPr>
              <w:t>--</w:t>
            </w:r>
            <w:r>
              <w:rPr>
                <w:rFonts w:ascii="宋体" w:hAnsi="宋体" w:cs="宋体" w:hint="eastAsia"/>
                <w:color w:val="000000" w:themeColor="text1"/>
                <w:sz w:val="21"/>
                <w:szCs w:val="21"/>
              </w:rPr>
              <w:t>转入第二阶段</w:t>
            </w:r>
          </w:p>
        </w:tc>
        <w:tc>
          <w:tcPr>
            <w:tcW w:w="643" w:type="pct"/>
            <w:vAlign w:val="center"/>
          </w:tcPr>
          <w:p w14:paraId="064295E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03" w:type="pct"/>
            <w:vAlign w:val="center"/>
          </w:tcPr>
          <w:p w14:paraId="437DB34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64" w:type="pct"/>
            <w:vAlign w:val="center"/>
          </w:tcPr>
          <w:p w14:paraId="4853AE5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45" w:type="pct"/>
            <w:vAlign w:val="center"/>
          </w:tcPr>
          <w:p w14:paraId="4D55247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1EF19B71" w14:textId="77777777">
        <w:tc>
          <w:tcPr>
            <w:tcW w:w="1845" w:type="pct"/>
            <w:vAlign w:val="center"/>
          </w:tcPr>
          <w:p w14:paraId="15FDE3B5" w14:textId="77777777" w:rsidR="002D0AE7" w:rsidRDefault="00333EBB">
            <w:pPr>
              <w:pStyle w:val="14"/>
              <w:rPr>
                <w:rFonts w:ascii="宋体" w:hAnsi="宋体" w:cs="宋体" w:hint="eastAsia"/>
                <w:color w:val="000000" w:themeColor="text1"/>
                <w:sz w:val="21"/>
                <w:szCs w:val="21"/>
              </w:rPr>
            </w:pPr>
            <w:r>
              <w:rPr>
                <w:rFonts w:ascii="宋体" w:hAnsi="宋体" w:cs="宋体" w:hint="eastAsia"/>
                <w:color w:val="000000" w:themeColor="text1"/>
                <w:sz w:val="21"/>
                <w:szCs w:val="21"/>
              </w:rPr>
              <w:t>--</w:t>
            </w:r>
            <w:r>
              <w:rPr>
                <w:rFonts w:ascii="宋体" w:hAnsi="宋体" w:cs="宋体" w:hint="eastAsia"/>
                <w:color w:val="000000" w:themeColor="text1"/>
                <w:sz w:val="21"/>
                <w:szCs w:val="21"/>
              </w:rPr>
              <w:t>转入第三阶段</w:t>
            </w:r>
          </w:p>
        </w:tc>
        <w:tc>
          <w:tcPr>
            <w:tcW w:w="643" w:type="pct"/>
            <w:vAlign w:val="center"/>
          </w:tcPr>
          <w:p w14:paraId="48155D7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03" w:type="pct"/>
            <w:vAlign w:val="center"/>
          </w:tcPr>
          <w:p w14:paraId="76B049D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64" w:type="pct"/>
            <w:vAlign w:val="center"/>
          </w:tcPr>
          <w:p w14:paraId="640EB21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45" w:type="pct"/>
            <w:vAlign w:val="center"/>
          </w:tcPr>
          <w:p w14:paraId="22D34B0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53887276" w14:textId="77777777">
        <w:tc>
          <w:tcPr>
            <w:tcW w:w="1845" w:type="pct"/>
            <w:vAlign w:val="center"/>
          </w:tcPr>
          <w:p w14:paraId="35E5005D" w14:textId="77777777" w:rsidR="002D0AE7" w:rsidRDefault="00333EBB">
            <w:pPr>
              <w:pStyle w:val="14"/>
              <w:rPr>
                <w:rFonts w:ascii="宋体" w:hAnsi="宋体" w:cs="宋体" w:hint="eastAsia"/>
                <w:color w:val="000000" w:themeColor="text1"/>
                <w:sz w:val="21"/>
                <w:szCs w:val="21"/>
              </w:rPr>
            </w:pPr>
            <w:r>
              <w:rPr>
                <w:rFonts w:ascii="宋体" w:hAnsi="宋体" w:cs="宋体" w:hint="eastAsia"/>
                <w:color w:val="000000" w:themeColor="text1"/>
                <w:sz w:val="21"/>
                <w:szCs w:val="21"/>
              </w:rPr>
              <w:t>--</w:t>
            </w:r>
            <w:r>
              <w:rPr>
                <w:rFonts w:ascii="宋体" w:hAnsi="宋体" w:cs="宋体" w:hint="eastAsia"/>
                <w:color w:val="000000" w:themeColor="text1"/>
                <w:sz w:val="21"/>
                <w:szCs w:val="21"/>
              </w:rPr>
              <w:t>转回第二阶段</w:t>
            </w:r>
          </w:p>
        </w:tc>
        <w:tc>
          <w:tcPr>
            <w:tcW w:w="643" w:type="pct"/>
            <w:vAlign w:val="center"/>
          </w:tcPr>
          <w:p w14:paraId="2D4BC01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03" w:type="pct"/>
            <w:vAlign w:val="center"/>
          </w:tcPr>
          <w:p w14:paraId="4E15C13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64" w:type="pct"/>
            <w:vAlign w:val="center"/>
          </w:tcPr>
          <w:p w14:paraId="33A2736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45" w:type="pct"/>
            <w:vAlign w:val="center"/>
          </w:tcPr>
          <w:p w14:paraId="7A3161F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05A2B5AF" w14:textId="77777777">
        <w:tc>
          <w:tcPr>
            <w:tcW w:w="1845" w:type="pct"/>
            <w:vAlign w:val="center"/>
          </w:tcPr>
          <w:p w14:paraId="349BED03" w14:textId="77777777" w:rsidR="002D0AE7" w:rsidRDefault="00333EBB">
            <w:pPr>
              <w:pStyle w:val="14"/>
              <w:rPr>
                <w:rFonts w:ascii="宋体" w:hAnsi="宋体" w:cs="宋体" w:hint="eastAsia"/>
                <w:color w:val="000000" w:themeColor="text1"/>
                <w:sz w:val="21"/>
                <w:szCs w:val="21"/>
              </w:rPr>
            </w:pPr>
            <w:r>
              <w:rPr>
                <w:rFonts w:ascii="宋体" w:hAnsi="宋体" w:cs="宋体" w:hint="eastAsia"/>
                <w:color w:val="000000" w:themeColor="text1"/>
                <w:sz w:val="21"/>
                <w:szCs w:val="21"/>
              </w:rPr>
              <w:t>--</w:t>
            </w:r>
            <w:r>
              <w:rPr>
                <w:rFonts w:ascii="宋体" w:hAnsi="宋体" w:cs="宋体" w:hint="eastAsia"/>
                <w:color w:val="000000" w:themeColor="text1"/>
                <w:sz w:val="21"/>
                <w:szCs w:val="21"/>
              </w:rPr>
              <w:t>转回第一阶段</w:t>
            </w:r>
          </w:p>
        </w:tc>
        <w:tc>
          <w:tcPr>
            <w:tcW w:w="643" w:type="pct"/>
            <w:vAlign w:val="center"/>
          </w:tcPr>
          <w:p w14:paraId="5CE0654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03" w:type="pct"/>
            <w:vAlign w:val="center"/>
          </w:tcPr>
          <w:p w14:paraId="27994E4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64" w:type="pct"/>
            <w:vAlign w:val="center"/>
          </w:tcPr>
          <w:p w14:paraId="3F5D91B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45" w:type="pct"/>
            <w:vAlign w:val="center"/>
          </w:tcPr>
          <w:p w14:paraId="03AC576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3BEFE266" w14:textId="77777777">
        <w:tc>
          <w:tcPr>
            <w:tcW w:w="1845" w:type="pct"/>
            <w:vAlign w:val="center"/>
          </w:tcPr>
          <w:p w14:paraId="4E20C02F" w14:textId="77777777" w:rsidR="002D0AE7" w:rsidRDefault="00333EBB">
            <w:pPr>
              <w:pStyle w:val="14"/>
              <w:rPr>
                <w:rFonts w:ascii="宋体" w:hAnsi="宋体" w:cs="宋体" w:hint="eastAsia"/>
                <w:color w:val="000000" w:themeColor="text1"/>
                <w:sz w:val="21"/>
                <w:szCs w:val="21"/>
              </w:rPr>
            </w:pPr>
            <w:r>
              <w:rPr>
                <w:rFonts w:ascii="宋体" w:hAnsi="宋体" w:cs="宋体" w:hint="eastAsia"/>
                <w:color w:val="000000" w:themeColor="text1"/>
                <w:sz w:val="21"/>
                <w:szCs w:val="21"/>
              </w:rPr>
              <w:t>本期计提</w:t>
            </w:r>
          </w:p>
        </w:tc>
        <w:tc>
          <w:tcPr>
            <w:tcW w:w="643" w:type="pct"/>
            <w:vAlign w:val="center"/>
          </w:tcPr>
          <w:p w14:paraId="59799B1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03" w:type="pct"/>
            <w:vAlign w:val="center"/>
          </w:tcPr>
          <w:p w14:paraId="293FE7A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20,847.54</w:t>
            </w:r>
          </w:p>
        </w:tc>
        <w:tc>
          <w:tcPr>
            <w:tcW w:w="964" w:type="pct"/>
            <w:vAlign w:val="center"/>
          </w:tcPr>
          <w:p w14:paraId="13A59AE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60.47</w:t>
            </w:r>
          </w:p>
        </w:tc>
        <w:tc>
          <w:tcPr>
            <w:tcW w:w="745" w:type="pct"/>
            <w:vAlign w:val="center"/>
          </w:tcPr>
          <w:p w14:paraId="5335399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20,908.01</w:t>
            </w:r>
          </w:p>
        </w:tc>
      </w:tr>
      <w:tr w:rsidR="002D0AE7" w14:paraId="2F54216A" w14:textId="77777777">
        <w:tc>
          <w:tcPr>
            <w:tcW w:w="1845" w:type="pct"/>
            <w:vAlign w:val="center"/>
          </w:tcPr>
          <w:p w14:paraId="7CCD3CE4" w14:textId="77777777" w:rsidR="002D0AE7" w:rsidRDefault="00333EBB">
            <w:pPr>
              <w:pStyle w:val="14"/>
              <w:rPr>
                <w:rFonts w:ascii="宋体" w:hAnsi="宋体" w:hint="eastAsia"/>
                <w:color w:val="000000" w:themeColor="text1"/>
                <w:sz w:val="21"/>
                <w:szCs w:val="21"/>
              </w:rPr>
            </w:pPr>
            <w:r>
              <w:rPr>
                <w:rFonts w:ascii="宋体" w:hAnsi="宋体" w:hint="eastAsia"/>
                <w:color w:val="000000" w:themeColor="text1"/>
                <w:sz w:val="21"/>
                <w:szCs w:val="21"/>
              </w:rPr>
              <w:t>本期转回</w:t>
            </w:r>
          </w:p>
        </w:tc>
        <w:tc>
          <w:tcPr>
            <w:tcW w:w="643" w:type="pct"/>
            <w:vAlign w:val="center"/>
          </w:tcPr>
          <w:p w14:paraId="68A5EED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03" w:type="pct"/>
            <w:vAlign w:val="center"/>
          </w:tcPr>
          <w:p w14:paraId="40C96DD3" w14:textId="77777777" w:rsidR="002D0AE7" w:rsidRDefault="00333EBB">
            <w:pPr>
              <w:jc w:val="right"/>
              <w:rPr>
                <w:rFonts w:ascii="Times New Roman" w:hAnsi="Times New Roman" w:cs="Times New Roman"/>
                <w:sz w:val="21"/>
                <w:szCs w:val="21"/>
              </w:rPr>
            </w:pPr>
            <w:r>
              <w:rPr>
                <w:rFonts w:ascii="Times New Roman" w:hAnsi="Times New Roman" w:cs="Times New Roman" w:hint="eastAsia"/>
                <w:sz w:val="21"/>
                <w:szCs w:val="21"/>
              </w:rPr>
              <w:t>7</w:t>
            </w:r>
            <w:r>
              <w:rPr>
                <w:rFonts w:ascii="Times New Roman" w:hAnsi="Times New Roman" w:cs="Times New Roman"/>
                <w:sz w:val="21"/>
                <w:szCs w:val="21"/>
              </w:rPr>
              <w:t>50.00</w:t>
            </w:r>
          </w:p>
        </w:tc>
        <w:tc>
          <w:tcPr>
            <w:tcW w:w="964" w:type="pct"/>
            <w:vAlign w:val="center"/>
          </w:tcPr>
          <w:p w14:paraId="0A8713D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45" w:type="pct"/>
            <w:vAlign w:val="center"/>
          </w:tcPr>
          <w:p w14:paraId="7B0FFC6F" w14:textId="77777777" w:rsidR="002D0AE7" w:rsidRDefault="00333EBB">
            <w:pPr>
              <w:jc w:val="right"/>
              <w:rPr>
                <w:rFonts w:ascii="Times New Roman" w:hAnsi="Times New Roman" w:cs="Times New Roman"/>
                <w:sz w:val="21"/>
                <w:szCs w:val="21"/>
              </w:rPr>
            </w:pPr>
            <w:r>
              <w:rPr>
                <w:rFonts w:ascii="Times New Roman" w:hAnsi="Times New Roman" w:cs="Times New Roman" w:hint="eastAsia"/>
                <w:sz w:val="21"/>
                <w:szCs w:val="21"/>
              </w:rPr>
              <w:t>7</w:t>
            </w:r>
            <w:r>
              <w:rPr>
                <w:rFonts w:ascii="Times New Roman" w:hAnsi="Times New Roman" w:cs="Times New Roman"/>
                <w:sz w:val="21"/>
                <w:szCs w:val="21"/>
              </w:rPr>
              <w:t>50.00</w:t>
            </w:r>
          </w:p>
        </w:tc>
      </w:tr>
      <w:tr w:rsidR="002D0AE7" w14:paraId="4DCCE866" w14:textId="77777777">
        <w:tc>
          <w:tcPr>
            <w:tcW w:w="1845" w:type="pct"/>
            <w:vAlign w:val="center"/>
          </w:tcPr>
          <w:p w14:paraId="4992B959" w14:textId="77777777" w:rsidR="002D0AE7" w:rsidRDefault="00333EBB">
            <w:pPr>
              <w:pStyle w:val="14"/>
              <w:rPr>
                <w:rFonts w:ascii="宋体" w:hAnsi="宋体" w:cs="宋体" w:hint="eastAsia"/>
                <w:color w:val="000000" w:themeColor="text1"/>
                <w:sz w:val="21"/>
                <w:szCs w:val="21"/>
              </w:rPr>
            </w:pPr>
            <w:r>
              <w:rPr>
                <w:rFonts w:ascii="宋体" w:hAnsi="宋体" w:cs="宋体" w:hint="eastAsia"/>
                <w:color w:val="000000" w:themeColor="text1"/>
                <w:sz w:val="21"/>
                <w:szCs w:val="21"/>
              </w:rPr>
              <w:t>本期转销</w:t>
            </w:r>
          </w:p>
        </w:tc>
        <w:tc>
          <w:tcPr>
            <w:tcW w:w="643" w:type="pct"/>
            <w:vAlign w:val="center"/>
          </w:tcPr>
          <w:p w14:paraId="1CDD5D0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03" w:type="pct"/>
            <w:vAlign w:val="center"/>
          </w:tcPr>
          <w:p w14:paraId="7345C8C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64" w:type="pct"/>
            <w:vAlign w:val="center"/>
          </w:tcPr>
          <w:p w14:paraId="5733625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45" w:type="pct"/>
            <w:vAlign w:val="center"/>
          </w:tcPr>
          <w:p w14:paraId="69506F5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2FBDA837" w14:textId="77777777">
        <w:tc>
          <w:tcPr>
            <w:tcW w:w="1845" w:type="pct"/>
            <w:vAlign w:val="center"/>
          </w:tcPr>
          <w:p w14:paraId="48FC71F0" w14:textId="77777777" w:rsidR="002D0AE7" w:rsidRDefault="00333EBB">
            <w:pPr>
              <w:pStyle w:val="14"/>
              <w:rPr>
                <w:rFonts w:ascii="宋体" w:hAnsi="宋体" w:hint="eastAsia"/>
                <w:color w:val="000000" w:themeColor="text1"/>
                <w:sz w:val="21"/>
                <w:szCs w:val="21"/>
              </w:rPr>
            </w:pPr>
            <w:r>
              <w:rPr>
                <w:rFonts w:ascii="宋体" w:hAnsi="宋体" w:hint="eastAsia"/>
                <w:color w:val="000000" w:themeColor="text1"/>
                <w:sz w:val="21"/>
                <w:szCs w:val="21"/>
              </w:rPr>
              <w:t>本期核销</w:t>
            </w:r>
          </w:p>
        </w:tc>
        <w:tc>
          <w:tcPr>
            <w:tcW w:w="643" w:type="pct"/>
            <w:vAlign w:val="center"/>
          </w:tcPr>
          <w:p w14:paraId="17ABD8B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03" w:type="pct"/>
            <w:vAlign w:val="center"/>
          </w:tcPr>
          <w:p w14:paraId="36A56D6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64" w:type="pct"/>
            <w:vAlign w:val="center"/>
          </w:tcPr>
          <w:p w14:paraId="0362AD2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45" w:type="pct"/>
            <w:vAlign w:val="center"/>
          </w:tcPr>
          <w:p w14:paraId="7B98CB5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1A12BB2A" w14:textId="77777777">
        <w:tc>
          <w:tcPr>
            <w:tcW w:w="1845" w:type="pct"/>
            <w:vAlign w:val="center"/>
          </w:tcPr>
          <w:p w14:paraId="19EB1721" w14:textId="77777777" w:rsidR="002D0AE7" w:rsidRDefault="00333EBB">
            <w:pPr>
              <w:pStyle w:val="14"/>
              <w:rPr>
                <w:rFonts w:ascii="宋体" w:hAnsi="宋体" w:cs="宋体" w:hint="eastAsia"/>
                <w:color w:val="000000" w:themeColor="text1"/>
                <w:sz w:val="21"/>
                <w:szCs w:val="21"/>
              </w:rPr>
            </w:pPr>
            <w:r>
              <w:rPr>
                <w:rFonts w:ascii="宋体" w:hAnsi="宋体" w:cs="宋体" w:hint="eastAsia"/>
                <w:color w:val="000000" w:themeColor="text1"/>
                <w:sz w:val="21"/>
                <w:szCs w:val="21"/>
              </w:rPr>
              <w:t>其他变动</w:t>
            </w:r>
          </w:p>
        </w:tc>
        <w:tc>
          <w:tcPr>
            <w:tcW w:w="643" w:type="pct"/>
            <w:vAlign w:val="center"/>
          </w:tcPr>
          <w:p w14:paraId="6AE31BF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03" w:type="pct"/>
            <w:vAlign w:val="center"/>
          </w:tcPr>
          <w:p w14:paraId="25B4977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64" w:type="pct"/>
            <w:vAlign w:val="center"/>
          </w:tcPr>
          <w:p w14:paraId="1C22934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45" w:type="pct"/>
            <w:vAlign w:val="center"/>
          </w:tcPr>
          <w:p w14:paraId="7578103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1837329B" w14:textId="77777777">
        <w:tc>
          <w:tcPr>
            <w:tcW w:w="1845" w:type="pct"/>
            <w:vAlign w:val="center"/>
          </w:tcPr>
          <w:p w14:paraId="5BA3021D" w14:textId="77777777" w:rsidR="002D0AE7" w:rsidRDefault="00333EBB">
            <w:pPr>
              <w:pStyle w:val="14"/>
              <w:rPr>
                <w:rFonts w:ascii="宋体" w:hAnsi="宋体" w:cs="宋体" w:hint="eastAsia"/>
                <w:color w:val="000000" w:themeColor="text1"/>
                <w:sz w:val="21"/>
                <w:szCs w:val="21"/>
              </w:rPr>
            </w:pPr>
            <w:r>
              <w:rPr>
                <w:rFonts w:ascii="宋体" w:hAnsi="宋体" w:cs="宋体"/>
                <w:color w:val="000000" w:themeColor="text1"/>
                <w:sz w:val="21"/>
                <w:szCs w:val="21"/>
              </w:rPr>
              <w:t>2024</w:t>
            </w:r>
            <w:r>
              <w:rPr>
                <w:rFonts w:ascii="宋体" w:hAnsi="宋体" w:cs="宋体"/>
                <w:color w:val="000000" w:themeColor="text1"/>
                <w:sz w:val="21"/>
                <w:szCs w:val="21"/>
              </w:rPr>
              <w:t>年</w:t>
            </w:r>
            <w:r>
              <w:rPr>
                <w:rFonts w:ascii="宋体" w:hAnsi="宋体" w:cs="宋体"/>
                <w:color w:val="000000" w:themeColor="text1"/>
                <w:sz w:val="21"/>
                <w:szCs w:val="21"/>
              </w:rPr>
              <w:t>6</w:t>
            </w:r>
            <w:r>
              <w:rPr>
                <w:rFonts w:ascii="宋体" w:hAnsi="宋体" w:cs="宋体"/>
                <w:color w:val="000000" w:themeColor="text1"/>
                <w:sz w:val="21"/>
                <w:szCs w:val="21"/>
              </w:rPr>
              <w:t>月</w:t>
            </w:r>
            <w:r>
              <w:rPr>
                <w:rFonts w:ascii="宋体" w:hAnsi="宋体" w:cs="宋体"/>
                <w:color w:val="000000" w:themeColor="text1"/>
                <w:sz w:val="21"/>
                <w:szCs w:val="21"/>
              </w:rPr>
              <w:t>30</w:t>
            </w:r>
            <w:r>
              <w:rPr>
                <w:rFonts w:ascii="宋体" w:hAnsi="宋体" w:cs="宋体"/>
                <w:color w:val="000000" w:themeColor="text1"/>
                <w:sz w:val="21"/>
                <w:szCs w:val="21"/>
              </w:rPr>
              <w:t>日</w:t>
            </w:r>
            <w:r>
              <w:rPr>
                <w:rFonts w:ascii="宋体" w:hAnsi="宋体" w:cs="宋体" w:hint="eastAsia"/>
                <w:color w:val="000000" w:themeColor="text1"/>
                <w:sz w:val="21"/>
                <w:szCs w:val="21"/>
              </w:rPr>
              <w:t>余额</w:t>
            </w:r>
          </w:p>
        </w:tc>
        <w:tc>
          <w:tcPr>
            <w:tcW w:w="643" w:type="pct"/>
            <w:vAlign w:val="center"/>
          </w:tcPr>
          <w:p w14:paraId="1794F3C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03" w:type="pct"/>
            <w:vAlign w:val="center"/>
          </w:tcPr>
          <w:p w14:paraId="485983B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118,221.83</w:t>
            </w:r>
          </w:p>
        </w:tc>
        <w:tc>
          <w:tcPr>
            <w:tcW w:w="964" w:type="pct"/>
            <w:vAlign w:val="center"/>
          </w:tcPr>
          <w:p w14:paraId="2D1FF76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258,285.87</w:t>
            </w:r>
          </w:p>
        </w:tc>
        <w:tc>
          <w:tcPr>
            <w:tcW w:w="745" w:type="pct"/>
            <w:vAlign w:val="center"/>
          </w:tcPr>
          <w:p w14:paraId="3E63DD8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376,507.70</w:t>
            </w:r>
          </w:p>
        </w:tc>
      </w:tr>
    </w:tbl>
    <w:p w14:paraId="189D299F" w14:textId="77777777" w:rsidR="002D0AE7" w:rsidRDefault="00333EBB">
      <w:pPr>
        <w:autoSpaceDE w:val="0"/>
        <w:autoSpaceDN w:val="0"/>
        <w:adjustRightInd w:val="0"/>
        <w:ind w:rightChars="50" w:right="120"/>
        <w:rPr>
          <w:rFonts w:hint="eastAsia"/>
          <w:color w:val="000000" w:themeColor="text1"/>
        </w:rPr>
      </w:pPr>
      <w:r>
        <w:rPr>
          <w:rFonts w:hint="eastAsia"/>
          <w:color w:val="000000" w:themeColor="text1"/>
        </w:rPr>
        <w:t>各阶段划分依据和坏账准备计提比例</w:t>
      </w:r>
    </w:p>
    <w:sdt>
      <w:sdtPr>
        <w:rPr>
          <w:rFonts w:cs="Times New Roman"/>
          <w:bCs/>
          <w:color w:val="000000" w:themeColor="text1"/>
          <w:szCs w:val="22"/>
        </w:rPr>
        <w:alias w:val="其他应收款各阶段划分依据和坏账准备计提比例"/>
        <w:tag w:val="_GBC_db1ccc25244541ad82774f0488b4825b"/>
        <w:id w:val="-2050272"/>
        <w:placeholder>
          <w:docPart w:val="GBC22222222222222222222222222222"/>
        </w:placeholder>
      </w:sdtPr>
      <w:sdtEndPr/>
      <w:sdtContent>
        <w:p w14:paraId="60526CE9" w14:textId="77777777" w:rsidR="002D0AE7" w:rsidRDefault="00333EBB">
          <w:pPr>
            <w:rPr>
              <w:rFonts w:cs="Times New Roman" w:hint="eastAsia"/>
              <w:bCs/>
              <w:sz w:val="21"/>
              <w:szCs w:val="20"/>
            </w:rPr>
          </w:pPr>
          <w:r>
            <w:rPr>
              <w:rFonts w:cs="Times New Roman" w:hint="eastAsia"/>
              <w:bCs/>
              <w:sz w:val="21"/>
              <w:szCs w:val="20"/>
            </w:rPr>
            <w:t>第一阶段：基于以无风险组合计提的其他应收款坏账准备。</w:t>
          </w:r>
        </w:p>
        <w:p w14:paraId="552910AB" w14:textId="77777777" w:rsidR="002D0AE7" w:rsidRDefault="00333EBB">
          <w:pPr>
            <w:rPr>
              <w:rFonts w:cs="Times New Roman" w:hint="eastAsia"/>
              <w:bCs/>
              <w:sz w:val="21"/>
              <w:szCs w:val="20"/>
            </w:rPr>
          </w:pPr>
          <w:r>
            <w:rPr>
              <w:rFonts w:cs="Times New Roman" w:hint="eastAsia"/>
              <w:bCs/>
              <w:sz w:val="21"/>
              <w:szCs w:val="20"/>
            </w:rPr>
            <w:t>第二阶段：基于以账龄组合计提的其他应收款坏账准备。计提比例详见五、重要会计政策及会计估计、</w:t>
          </w:r>
          <w:r>
            <w:rPr>
              <w:rFonts w:cs="Times New Roman" w:hint="eastAsia"/>
              <w:bCs/>
              <w:sz w:val="21"/>
              <w:szCs w:val="20"/>
            </w:rPr>
            <w:t>1</w:t>
          </w:r>
          <w:r>
            <w:rPr>
              <w:rFonts w:cs="Times New Roman"/>
              <w:bCs/>
              <w:sz w:val="21"/>
              <w:szCs w:val="20"/>
            </w:rPr>
            <w:t>4</w:t>
          </w:r>
          <w:r>
            <w:rPr>
              <w:rFonts w:cs="Times New Roman" w:hint="eastAsia"/>
              <w:bCs/>
              <w:sz w:val="21"/>
              <w:szCs w:val="20"/>
            </w:rPr>
            <w:t>、其他应收款。</w:t>
          </w:r>
        </w:p>
        <w:p w14:paraId="23714AC9" w14:textId="77777777" w:rsidR="002D0AE7" w:rsidRDefault="00333EBB">
          <w:pPr>
            <w:rPr>
              <w:rFonts w:cs="Times New Roman" w:hint="eastAsia"/>
              <w:bCs/>
              <w:color w:val="000000" w:themeColor="text1"/>
              <w:szCs w:val="22"/>
            </w:rPr>
          </w:pPr>
          <w:r>
            <w:rPr>
              <w:rFonts w:cs="Times New Roman" w:hint="eastAsia"/>
              <w:bCs/>
              <w:sz w:val="21"/>
              <w:szCs w:val="20"/>
            </w:rPr>
            <w:t>第三阶段：对于有客观证据表明其已发生信用减值的，本公司将该其他应收款作为已发生信用减值的其他应收款并按照单项工具整个存续期的预期信用损失计量损失准备</w:t>
          </w:r>
        </w:p>
      </w:sdtContent>
    </w:sdt>
    <w:p w14:paraId="4C4ED29E" w14:textId="77777777" w:rsidR="002D0AE7" w:rsidRDefault="00333EBB">
      <w:pPr>
        <w:pStyle w:val="4"/>
        <w:numPr>
          <w:ilvl w:val="3"/>
          <w:numId w:val="47"/>
        </w:numPr>
        <w:tabs>
          <w:tab w:val="left" w:pos="560"/>
        </w:tabs>
        <w:rPr>
          <w:rFonts w:ascii="宋体" w:hAnsi="宋体" w:hint="eastAsia"/>
          <w:color w:val="000000" w:themeColor="text1"/>
        </w:rPr>
      </w:pPr>
      <w:bookmarkStart w:id="163" w:name="_Hlk10469877"/>
      <w:bookmarkEnd w:id="162"/>
      <w:r>
        <w:rPr>
          <w:rFonts w:ascii="宋体" w:hAnsi="宋体" w:hint="eastAsia"/>
          <w:color w:val="000000" w:themeColor="text1"/>
        </w:rPr>
        <w:t>坏账准备的情况</w:t>
      </w:r>
    </w:p>
    <w:sdt>
      <w:sdtPr>
        <w:rPr>
          <w:color w:val="000000" w:themeColor="text1"/>
        </w:rPr>
        <w:alias w:val="是否适用：其他应收款坏账准备[双击切换]"/>
        <w:tag w:val="_GBC_b3f4f88802a54b1da539ba2563000c5c"/>
        <w:id w:val="1436398314"/>
        <w:placeholder>
          <w:docPart w:val="GBC22222222222222222222222222222"/>
        </w:placeholder>
      </w:sdtPr>
      <w:sdtEndPr/>
      <w:sdtContent>
        <w:p w14:paraId="06F2C9D3"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2B354FA3" w14:textId="77777777" w:rsidR="002D0AE7" w:rsidRDefault="00333EBB">
      <w:pPr>
        <w:pStyle w:val="11"/>
        <w:rPr>
          <w:rFonts w:hint="eastAsia"/>
        </w:rPr>
      </w:pPr>
      <w:r>
        <w:rPr>
          <w:rFonts w:hint="eastAsia"/>
        </w:rPr>
        <w:t>单位：</w:t>
      </w:r>
      <w:sdt>
        <w:sdtPr>
          <w:rPr>
            <w:rFonts w:hint="eastAsia"/>
          </w:rPr>
          <w:alias w:val="单位：其他应收款坏账准备"/>
          <w:tag w:val="_GBC_1cb0ccc9627340bb9775e68ec1d11af7"/>
          <w:id w:val="41975214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其他应收款坏账准备"/>
          <w:tag w:val="_GBC_14d59c8ccaef434da24604201125f1f0"/>
          <w:id w:val="33150178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428"/>
        <w:gridCol w:w="1389"/>
        <w:gridCol w:w="1272"/>
        <w:gridCol w:w="1156"/>
        <w:gridCol w:w="1061"/>
        <w:gridCol w:w="1128"/>
        <w:gridCol w:w="1389"/>
      </w:tblGrid>
      <w:tr w:rsidR="002D0AE7" w14:paraId="5B35B7FC" w14:textId="77777777">
        <w:bookmarkStart w:id="164" w:name="_Hlk154157836" w:displacedByCustomXml="next"/>
        <w:bookmarkStart w:id="165" w:name="_Hlk167890685" w:displacedByCustomXml="next"/>
        <w:sdt>
          <w:sdtPr>
            <w:rPr>
              <w:color w:val="000000" w:themeColor="text1"/>
              <w:sz w:val="21"/>
              <w:szCs w:val="21"/>
            </w:rPr>
            <w:tag w:val="_PLD_31bfbbc8809c484e8788c004875b73f7"/>
            <w:id w:val="-264310874"/>
          </w:sdtPr>
          <w:sdtEndPr/>
          <w:sdtContent>
            <w:tc>
              <w:tcPr>
                <w:tcW w:w="810" w:type="pct"/>
                <w:vMerge w:val="restart"/>
                <w:shd w:val="clear" w:color="auto" w:fill="FFFFFF"/>
                <w:vAlign w:val="center"/>
              </w:tcPr>
              <w:p w14:paraId="373CEB98" w14:textId="77777777" w:rsidR="002D0AE7" w:rsidRDefault="00333EBB">
                <w:pPr>
                  <w:jc w:val="center"/>
                  <w:rPr>
                    <w:rFonts w:hint="eastAsia"/>
                    <w:color w:val="000000" w:themeColor="text1"/>
                    <w:sz w:val="21"/>
                    <w:szCs w:val="21"/>
                  </w:rPr>
                </w:pPr>
                <w:r>
                  <w:rPr>
                    <w:color w:val="000000" w:themeColor="text1"/>
                    <w:sz w:val="21"/>
                    <w:szCs w:val="21"/>
                  </w:rPr>
                  <w:t>类别</w:t>
                </w:r>
              </w:p>
            </w:tc>
          </w:sdtContent>
        </w:sdt>
        <w:sdt>
          <w:sdtPr>
            <w:rPr>
              <w:color w:val="000000" w:themeColor="text1"/>
              <w:sz w:val="21"/>
              <w:szCs w:val="21"/>
            </w:rPr>
            <w:tag w:val="_PLD_8a84de1ffd5c434f9fdf644972838511"/>
            <w:id w:val="370962468"/>
          </w:sdtPr>
          <w:sdtEndPr/>
          <w:sdtContent>
            <w:tc>
              <w:tcPr>
                <w:tcW w:w="787" w:type="pct"/>
                <w:vMerge w:val="restart"/>
                <w:shd w:val="clear" w:color="auto" w:fill="FFFFFF"/>
                <w:vAlign w:val="center"/>
              </w:tcPr>
              <w:p w14:paraId="3726F5B8" w14:textId="77777777" w:rsidR="002D0AE7" w:rsidRDefault="00333EBB">
                <w:pPr>
                  <w:jc w:val="center"/>
                  <w:rPr>
                    <w:rFonts w:hint="eastAsia"/>
                    <w:color w:val="000000" w:themeColor="text1"/>
                    <w:sz w:val="21"/>
                    <w:szCs w:val="21"/>
                  </w:rPr>
                </w:pPr>
                <w:r>
                  <w:rPr>
                    <w:color w:val="000000" w:themeColor="text1"/>
                    <w:sz w:val="21"/>
                    <w:szCs w:val="21"/>
                  </w:rPr>
                  <w:t>期初余额</w:t>
                </w:r>
              </w:p>
            </w:tc>
          </w:sdtContent>
        </w:sdt>
        <w:sdt>
          <w:sdtPr>
            <w:rPr>
              <w:color w:val="000000" w:themeColor="text1"/>
              <w:sz w:val="21"/>
              <w:szCs w:val="21"/>
            </w:rPr>
            <w:tag w:val="_PLD_98e8a6b913f14f6ca45be028ca7fe9b3"/>
            <w:id w:val="1577935483"/>
          </w:sdtPr>
          <w:sdtEndPr/>
          <w:sdtContent>
            <w:tc>
              <w:tcPr>
                <w:tcW w:w="2616" w:type="pct"/>
                <w:gridSpan w:val="4"/>
                <w:shd w:val="clear" w:color="auto" w:fill="FFFFFF"/>
                <w:vAlign w:val="center"/>
              </w:tcPr>
              <w:p w14:paraId="6CAD62F7" w14:textId="77777777" w:rsidR="002D0AE7" w:rsidRDefault="00333EBB">
                <w:pPr>
                  <w:jc w:val="center"/>
                  <w:rPr>
                    <w:rFonts w:hint="eastAsia"/>
                    <w:color w:val="000000" w:themeColor="text1"/>
                    <w:sz w:val="21"/>
                    <w:szCs w:val="21"/>
                  </w:rPr>
                </w:pPr>
                <w:r>
                  <w:rPr>
                    <w:rFonts w:hint="eastAsia"/>
                    <w:color w:val="000000" w:themeColor="text1"/>
                    <w:sz w:val="21"/>
                    <w:szCs w:val="21"/>
                  </w:rPr>
                  <w:t>本期变动</w:t>
                </w:r>
                <w:r>
                  <w:rPr>
                    <w:color w:val="000000" w:themeColor="text1"/>
                    <w:sz w:val="21"/>
                    <w:szCs w:val="21"/>
                  </w:rPr>
                  <w:t>金额</w:t>
                </w:r>
              </w:p>
            </w:tc>
          </w:sdtContent>
        </w:sdt>
        <w:sdt>
          <w:sdtPr>
            <w:rPr>
              <w:color w:val="000000" w:themeColor="text1"/>
              <w:sz w:val="21"/>
              <w:szCs w:val="21"/>
            </w:rPr>
            <w:tag w:val="_PLD_79cbcdb53d6946aa8890a6614ae8fa7c"/>
            <w:id w:val="1895081748"/>
          </w:sdtPr>
          <w:sdtEndPr/>
          <w:sdtContent>
            <w:tc>
              <w:tcPr>
                <w:tcW w:w="787" w:type="pct"/>
                <w:vMerge w:val="restart"/>
                <w:shd w:val="clear" w:color="auto" w:fill="FFFFFF"/>
                <w:vAlign w:val="center"/>
              </w:tcPr>
              <w:p w14:paraId="52BA96BD" w14:textId="77777777" w:rsidR="002D0AE7" w:rsidRDefault="00333EBB">
                <w:pPr>
                  <w:jc w:val="center"/>
                  <w:rPr>
                    <w:rFonts w:hint="eastAsia"/>
                    <w:color w:val="000000" w:themeColor="text1"/>
                    <w:sz w:val="21"/>
                    <w:szCs w:val="21"/>
                  </w:rPr>
                </w:pPr>
                <w:r>
                  <w:rPr>
                    <w:color w:val="000000" w:themeColor="text1"/>
                    <w:sz w:val="21"/>
                    <w:szCs w:val="21"/>
                  </w:rPr>
                  <w:t>期末余额</w:t>
                </w:r>
              </w:p>
            </w:tc>
          </w:sdtContent>
        </w:sdt>
      </w:tr>
      <w:tr w:rsidR="002D0AE7" w14:paraId="7A78A989" w14:textId="77777777">
        <w:tc>
          <w:tcPr>
            <w:tcW w:w="810" w:type="pct"/>
            <w:vMerge/>
            <w:shd w:val="clear" w:color="auto" w:fill="FFFFFF"/>
          </w:tcPr>
          <w:p w14:paraId="36E02AE5" w14:textId="77777777" w:rsidR="002D0AE7" w:rsidRDefault="002D0AE7">
            <w:pPr>
              <w:jc w:val="center"/>
              <w:rPr>
                <w:rFonts w:hint="eastAsia"/>
                <w:color w:val="000000" w:themeColor="text1"/>
                <w:sz w:val="21"/>
                <w:szCs w:val="21"/>
              </w:rPr>
            </w:pPr>
          </w:p>
        </w:tc>
        <w:tc>
          <w:tcPr>
            <w:tcW w:w="787" w:type="pct"/>
            <w:vMerge/>
            <w:shd w:val="clear" w:color="auto" w:fill="FFFFFF"/>
          </w:tcPr>
          <w:p w14:paraId="50DA5FB1" w14:textId="77777777" w:rsidR="002D0AE7" w:rsidRDefault="002D0AE7">
            <w:pPr>
              <w:jc w:val="center"/>
              <w:rPr>
                <w:rFonts w:hint="eastAsia"/>
                <w:color w:val="000000" w:themeColor="text1"/>
                <w:sz w:val="21"/>
                <w:szCs w:val="21"/>
              </w:rPr>
            </w:pPr>
          </w:p>
        </w:tc>
        <w:sdt>
          <w:sdtPr>
            <w:rPr>
              <w:color w:val="000000" w:themeColor="text1"/>
              <w:sz w:val="21"/>
              <w:szCs w:val="21"/>
            </w:rPr>
            <w:tag w:val="_PLD_e690235010e24ffc8796adbde1bb559c"/>
            <w:id w:val="11962342"/>
          </w:sdtPr>
          <w:sdtEndPr/>
          <w:sdtContent>
            <w:tc>
              <w:tcPr>
                <w:tcW w:w="721" w:type="pct"/>
                <w:shd w:val="clear" w:color="auto" w:fill="FFFFFF"/>
                <w:vAlign w:val="center"/>
              </w:tcPr>
              <w:p w14:paraId="6495F499" w14:textId="77777777" w:rsidR="002D0AE7" w:rsidRDefault="00333EBB">
                <w:pPr>
                  <w:jc w:val="center"/>
                  <w:rPr>
                    <w:rFonts w:hint="eastAsia"/>
                    <w:color w:val="000000" w:themeColor="text1"/>
                    <w:sz w:val="21"/>
                    <w:szCs w:val="21"/>
                  </w:rPr>
                </w:pPr>
                <w:r>
                  <w:rPr>
                    <w:color w:val="000000" w:themeColor="text1"/>
                    <w:sz w:val="21"/>
                    <w:szCs w:val="21"/>
                  </w:rPr>
                  <w:t>计提</w:t>
                </w:r>
              </w:p>
            </w:tc>
          </w:sdtContent>
        </w:sdt>
        <w:sdt>
          <w:sdtPr>
            <w:rPr>
              <w:color w:val="000000" w:themeColor="text1"/>
              <w:sz w:val="21"/>
              <w:szCs w:val="21"/>
            </w:rPr>
            <w:tag w:val="_PLD_d059ae406aed4a3a8f46c2d712ef508e"/>
            <w:id w:val="-740710895"/>
          </w:sdtPr>
          <w:sdtEndPr/>
          <w:sdtContent>
            <w:tc>
              <w:tcPr>
                <w:tcW w:w="655" w:type="pct"/>
                <w:shd w:val="clear" w:color="auto" w:fill="FFFFFF"/>
                <w:vAlign w:val="center"/>
              </w:tcPr>
              <w:p w14:paraId="67D56F9D" w14:textId="77777777" w:rsidR="002D0AE7" w:rsidRDefault="00333EBB">
                <w:pPr>
                  <w:jc w:val="center"/>
                  <w:rPr>
                    <w:rFonts w:hint="eastAsia"/>
                    <w:color w:val="000000" w:themeColor="text1"/>
                    <w:sz w:val="21"/>
                    <w:szCs w:val="21"/>
                  </w:rPr>
                </w:pPr>
                <w:r>
                  <w:rPr>
                    <w:rFonts w:hint="eastAsia"/>
                    <w:color w:val="000000" w:themeColor="text1"/>
                    <w:sz w:val="21"/>
                    <w:szCs w:val="21"/>
                  </w:rPr>
                  <w:t>收回或转回</w:t>
                </w:r>
              </w:p>
            </w:tc>
          </w:sdtContent>
        </w:sdt>
        <w:sdt>
          <w:sdtPr>
            <w:rPr>
              <w:color w:val="000000" w:themeColor="text1"/>
              <w:sz w:val="21"/>
              <w:szCs w:val="21"/>
            </w:rPr>
            <w:tag w:val="_PLD_da780fd6da3646febcd85bf9dbd8b64e"/>
            <w:id w:val="1154337520"/>
          </w:sdtPr>
          <w:sdtEndPr/>
          <w:sdtContent>
            <w:tc>
              <w:tcPr>
                <w:tcW w:w="601" w:type="pct"/>
                <w:shd w:val="clear" w:color="auto" w:fill="FFFFFF"/>
                <w:vAlign w:val="center"/>
              </w:tcPr>
              <w:p w14:paraId="0227D8AB" w14:textId="77777777" w:rsidR="002D0AE7" w:rsidRDefault="00333EBB">
                <w:pPr>
                  <w:jc w:val="center"/>
                  <w:rPr>
                    <w:rFonts w:hint="eastAsia"/>
                    <w:color w:val="000000" w:themeColor="text1"/>
                    <w:sz w:val="21"/>
                    <w:szCs w:val="21"/>
                  </w:rPr>
                </w:pPr>
                <w:r>
                  <w:rPr>
                    <w:rFonts w:hint="eastAsia"/>
                    <w:color w:val="000000" w:themeColor="text1"/>
                    <w:sz w:val="21"/>
                    <w:szCs w:val="21"/>
                  </w:rPr>
                  <w:t>转销或核销</w:t>
                </w:r>
              </w:p>
            </w:tc>
          </w:sdtContent>
        </w:sdt>
        <w:tc>
          <w:tcPr>
            <w:tcW w:w="639" w:type="pct"/>
            <w:shd w:val="clear" w:color="auto" w:fill="FFFFFF"/>
            <w:vAlign w:val="center"/>
          </w:tcPr>
          <w:sdt>
            <w:sdtPr>
              <w:rPr>
                <w:rFonts w:hint="eastAsia"/>
                <w:color w:val="000000" w:themeColor="text1"/>
                <w:sz w:val="21"/>
                <w:szCs w:val="21"/>
              </w:rPr>
              <w:tag w:val="_PLD_d6a9b9888c1a49429189a2a72159c309"/>
              <w:id w:val="-1294663211"/>
            </w:sdtPr>
            <w:sdtEndPr/>
            <w:sdtContent>
              <w:p w14:paraId="4DAFCA8C" w14:textId="77777777" w:rsidR="002D0AE7" w:rsidRDefault="00333EBB">
                <w:pPr>
                  <w:jc w:val="right"/>
                  <w:rPr>
                    <w:rFonts w:hint="eastAsia"/>
                    <w:color w:val="000000" w:themeColor="text1"/>
                    <w:sz w:val="21"/>
                    <w:szCs w:val="21"/>
                  </w:rPr>
                </w:pPr>
                <w:r>
                  <w:rPr>
                    <w:rFonts w:hint="eastAsia"/>
                    <w:color w:val="000000" w:themeColor="text1"/>
                    <w:sz w:val="21"/>
                    <w:szCs w:val="21"/>
                  </w:rPr>
                  <w:t>其他变动</w:t>
                </w:r>
              </w:p>
            </w:sdtContent>
          </w:sdt>
        </w:tc>
        <w:tc>
          <w:tcPr>
            <w:tcW w:w="787" w:type="pct"/>
            <w:vMerge/>
            <w:shd w:val="clear" w:color="auto" w:fill="FFFFFF"/>
          </w:tcPr>
          <w:p w14:paraId="6BFA4010" w14:textId="77777777" w:rsidR="002D0AE7" w:rsidRDefault="002D0AE7">
            <w:pPr>
              <w:jc w:val="right"/>
              <w:rPr>
                <w:rFonts w:hint="eastAsia"/>
                <w:color w:val="000000" w:themeColor="text1"/>
                <w:sz w:val="21"/>
                <w:szCs w:val="21"/>
              </w:rPr>
            </w:pPr>
          </w:p>
        </w:tc>
      </w:tr>
      <w:tr w:rsidR="002D0AE7" w14:paraId="5ECD879C" w14:textId="77777777">
        <w:tc>
          <w:tcPr>
            <w:tcW w:w="810" w:type="pct"/>
            <w:shd w:val="clear" w:color="auto" w:fill="auto"/>
          </w:tcPr>
          <w:p w14:paraId="020CD333" w14:textId="77777777" w:rsidR="002D0AE7" w:rsidRDefault="00333EBB">
            <w:pPr>
              <w:rPr>
                <w:rFonts w:hint="eastAsia"/>
                <w:sz w:val="21"/>
                <w:szCs w:val="21"/>
              </w:rPr>
            </w:pPr>
            <w:r>
              <w:rPr>
                <w:sz w:val="21"/>
                <w:szCs w:val="21"/>
              </w:rPr>
              <w:t>其他应收款</w:t>
            </w:r>
          </w:p>
        </w:tc>
        <w:tc>
          <w:tcPr>
            <w:tcW w:w="787" w:type="pct"/>
            <w:shd w:val="clear" w:color="auto" w:fill="auto"/>
          </w:tcPr>
          <w:p w14:paraId="410F0AB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356,349.69</w:t>
            </w:r>
          </w:p>
        </w:tc>
        <w:tc>
          <w:tcPr>
            <w:tcW w:w="721" w:type="pct"/>
            <w:shd w:val="clear" w:color="auto" w:fill="auto"/>
          </w:tcPr>
          <w:p w14:paraId="791A06D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20,908.01</w:t>
            </w:r>
          </w:p>
        </w:tc>
        <w:tc>
          <w:tcPr>
            <w:tcW w:w="655" w:type="pct"/>
            <w:shd w:val="clear" w:color="auto" w:fill="auto"/>
          </w:tcPr>
          <w:p w14:paraId="76861F9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750.00</w:t>
            </w:r>
          </w:p>
        </w:tc>
        <w:tc>
          <w:tcPr>
            <w:tcW w:w="601" w:type="pct"/>
          </w:tcPr>
          <w:p w14:paraId="1277568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39" w:type="pct"/>
          </w:tcPr>
          <w:p w14:paraId="07401F9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87" w:type="pct"/>
            <w:shd w:val="clear" w:color="auto" w:fill="auto"/>
          </w:tcPr>
          <w:p w14:paraId="4208987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376,507.70</w:t>
            </w:r>
          </w:p>
        </w:tc>
      </w:tr>
      <w:tr w:rsidR="002D0AE7" w14:paraId="7F056667" w14:textId="77777777">
        <w:tc>
          <w:tcPr>
            <w:tcW w:w="810" w:type="pct"/>
            <w:shd w:val="clear" w:color="auto" w:fill="auto"/>
          </w:tcPr>
          <w:p w14:paraId="0DD853FA"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787" w:type="pct"/>
            <w:shd w:val="clear" w:color="auto" w:fill="auto"/>
            <w:vAlign w:val="center"/>
          </w:tcPr>
          <w:p w14:paraId="3F1A4B4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356,349.69</w:t>
            </w:r>
          </w:p>
        </w:tc>
        <w:tc>
          <w:tcPr>
            <w:tcW w:w="721" w:type="pct"/>
            <w:shd w:val="clear" w:color="auto" w:fill="auto"/>
            <w:vAlign w:val="center"/>
          </w:tcPr>
          <w:p w14:paraId="6EC7ACA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20,908.01</w:t>
            </w:r>
          </w:p>
        </w:tc>
        <w:tc>
          <w:tcPr>
            <w:tcW w:w="655" w:type="pct"/>
            <w:shd w:val="clear" w:color="auto" w:fill="auto"/>
            <w:vAlign w:val="center"/>
          </w:tcPr>
          <w:p w14:paraId="7D36664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750.00</w:t>
            </w:r>
          </w:p>
        </w:tc>
        <w:tc>
          <w:tcPr>
            <w:tcW w:w="601" w:type="pct"/>
            <w:vAlign w:val="center"/>
          </w:tcPr>
          <w:p w14:paraId="2AFF21F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39" w:type="pct"/>
            <w:vAlign w:val="center"/>
          </w:tcPr>
          <w:p w14:paraId="18C5D42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87" w:type="pct"/>
            <w:shd w:val="clear" w:color="auto" w:fill="auto"/>
            <w:vAlign w:val="center"/>
          </w:tcPr>
          <w:p w14:paraId="7869699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376,507.70</w:t>
            </w:r>
          </w:p>
        </w:tc>
      </w:tr>
    </w:tbl>
    <w:bookmarkEnd w:id="163"/>
    <w:bookmarkEnd w:id="165"/>
    <w:bookmarkEnd w:id="164"/>
    <w:p w14:paraId="0D366A71" w14:textId="77777777" w:rsidR="002D0AE7" w:rsidRDefault="00333EBB">
      <w:pPr>
        <w:pStyle w:val="4"/>
        <w:numPr>
          <w:ilvl w:val="3"/>
          <w:numId w:val="47"/>
        </w:numPr>
        <w:tabs>
          <w:tab w:val="left" w:pos="560"/>
        </w:tabs>
        <w:rPr>
          <w:rFonts w:ascii="宋体" w:hAnsi="宋体" w:hint="eastAsia"/>
          <w:color w:val="000000" w:themeColor="text1"/>
        </w:rPr>
      </w:pPr>
      <w:r>
        <w:rPr>
          <w:rFonts w:ascii="宋体" w:hAnsi="宋体" w:hint="eastAsia"/>
          <w:color w:val="000000" w:themeColor="text1"/>
        </w:rPr>
        <w:t>按欠款方归集的期末余额前五名的其他应收款情况</w:t>
      </w:r>
    </w:p>
    <w:sdt>
      <w:sdtPr>
        <w:rPr>
          <w:color w:val="000000" w:themeColor="text1"/>
        </w:rPr>
        <w:alias w:val="是否适用：按欠款方归集的期末余额前五名的其他应收款情况[双击切换]"/>
        <w:tag w:val="_GBC_1ad831584f90441b93cce7d9b7baa3c9"/>
        <w:id w:val="-1199694129"/>
        <w:placeholder>
          <w:docPart w:val="GBC22222222222222222222222222222"/>
        </w:placeholder>
      </w:sdtPr>
      <w:sdtEndPr/>
      <w:sdtContent>
        <w:p w14:paraId="7B9E2F9D"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7E958D92"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其他应收账款前五名欠款情况"/>
          <w:tag w:val="_GBC_1f85b3036b0644cbaf6c33311b7f159d"/>
          <w:id w:val="1170982408"/>
          <w:placeholder>
            <w:docPart w:val="ADD233EC90D04F42B6FB45133267550A"/>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其他应收账款前五名欠款情况"/>
          <w:tag w:val="_GBC_bc5cf48306144a92af62fef51b293c5a"/>
          <w:id w:val="-2118121860"/>
          <w:placeholder>
            <w:docPart w:val="ADD233EC90D04F42B6FB45133267550A"/>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708"/>
        <w:gridCol w:w="1558"/>
        <w:gridCol w:w="1133"/>
        <w:gridCol w:w="1699"/>
        <w:gridCol w:w="2156"/>
        <w:gridCol w:w="1569"/>
      </w:tblGrid>
      <w:tr w:rsidR="002D0AE7" w14:paraId="4259B9F5" w14:textId="77777777">
        <w:trPr>
          <w:cantSplit/>
          <w:jc w:val="center"/>
        </w:trPr>
        <w:sdt>
          <w:sdtPr>
            <w:rPr>
              <w:color w:val="000000" w:themeColor="text1"/>
              <w:sz w:val="21"/>
              <w:szCs w:val="21"/>
            </w:rPr>
            <w:tag w:val="_PLD_6d371f7abd044db6abe05c7f74810d89"/>
            <w:id w:val="812990567"/>
          </w:sdtPr>
          <w:sdtEndPr/>
          <w:sdtContent>
            <w:tc>
              <w:tcPr>
                <w:tcW w:w="401" w:type="pct"/>
                <w:vAlign w:val="center"/>
              </w:tcPr>
              <w:p w14:paraId="4A651DD6" w14:textId="77777777" w:rsidR="002D0AE7" w:rsidRDefault="00333EBB">
                <w:pPr>
                  <w:ind w:right="105"/>
                  <w:jc w:val="center"/>
                  <w:rPr>
                    <w:rFonts w:hint="eastAsia"/>
                    <w:color w:val="000000" w:themeColor="text1"/>
                    <w:sz w:val="21"/>
                    <w:szCs w:val="21"/>
                  </w:rPr>
                </w:pPr>
                <w:r>
                  <w:rPr>
                    <w:rFonts w:hint="eastAsia"/>
                    <w:color w:val="000000" w:themeColor="text1"/>
                    <w:sz w:val="21"/>
                    <w:szCs w:val="21"/>
                  </w:rPr>
                  <w:t>单位名称</w:t>
                </w:r>
              </w:p>
            </w:tc>
          </w:sdtContent>
        </w:sdt>
        <w:sdt>
          <w:sdtPr>
            <w:rPr>
              <w:color w:val="000000" w:themeColor="text1"/>
              <w:sz w:val="21"/>
              <w:szCs w:val="21"/>
            </w:rPr>
            <w:tag w:val="_PLD_9561b3d624ee40c28568fb322a981ebc"/>
            <w:id w:val="197749729"/>
          </w:sdtPr>
          <w:sdtEndPr/>
          <w:sdtContent>
            <w:tc>
              <w:tcPr>
                <w:tcW w:w="883" w:type="pct"/>
                <w:vAlign w:val="center"/>
              </w:tcPr>
              <w:p w14:paraId="24368811" w14:textId="77777777" w:rsidR="002D0AE7" w:rsidRDefault="00333EBB">
                <w:pPr>
                  <w:ind w:right="73"/>
                  <w:jc w:val="center"/>
                  <w:rPr>
                    <w:rFonts w:hint="eastAsia"/>
                    <w:color w:val="000000" w:themeColor="text1"/>
                    <w:sz w:val="21"/>
                    <w:szCs w:val="21"/>
                  </w:rPr>
                </w:pPr>
                <w:r>
                  <w:rPr>
                    <w:rFonts w:hint="eastAsia"/>
                    <w:color w:val="000000" w:themeColor="text1"/>
                    <w:sz w:val="21"/>
                    <w:szCs w:val="21"/>
                  </w:rPr>
                  <w:t>期末余额</w:t>
                </w:r>
              </w:p>
            </w:tc>
          </w:sdtContent>
        </w:sdt>
        <w:sdt>
          <w:sdtPr>
            <w:rPr>
              <w:color w:val="000000" w:themeColor="text1"/>
              <w:sz w:val="21"/>
              <w:szCs w:val="21"/>
            </w:rPr>
            <w:tag w:val="_PLD_e2774c827e314521821234a0e399c2c1"/>
            <w:id w:val="-17468166"/>
          </w:sdtPr>
          <w:sdtEndPr/>
          <w:sdtContent>
            <w:tc>
              <w:tcPr>
                <w:tcW w:w="642" w:type="pct"/>
                <w:vAlign w:val="center"/>
              </w:tcPr>
              <w:p w14:paraId="5B0EA82D" w14:textId="77777777" w:rsidR="002D0AE7" w:rsidRDefault="00333EBB">
                <w:pPr>
                  <w:jc w:val="center"/>
                  <w:rPr>
                    <w:rFonts w:hint="eastAsia"/>
                    <w:color w:val="000000" w:themeColor="text1"/>
                    <w:sz w:val="21"/>
                    <w:szCs w:val="21"/>
                  </w:rPr>
                </w:pPr>
                <w:r>
                  <w:rPr>
                    <w:rFonts w:hint="eastAsia"/>
                    <w:color w:val="000000" w:themeColor="text1"/>
                    <w:sz w:val="21"/>
                    <w:szCs w:val="21"/>
                  </w:rPr>
                  <w:t>占其他应收款期末余额合计数的比例</w:t>
                </w:r>
                <w:r>
                  <w:rPr>
                    <w:rFonts w:hint="eastAsia"/>
                    <w:color w:val="000000" w:themeColor="text1"/>
                    <w:sz w:val="21"/>
                    <w:szCs w:val="21"/>
                  </w:rPr>
                  <w:t>(</w:t>
                </w:r>
                <w:r>
                  <w:rPr>
                    <w:color w:val="000000" w:themeColor="text1"/>
                    <w:sz w:val="21"/>
                    <w:szCs w:val="21"/>
                  </w:rPr>
                  <w:t>%)</w:t>
                </w:r>
              </w:p>
            </w:tc>
          </w:sdtContent>
        </w:sdt>
        <w:sdt>
          <w:sdtPr>
            <w:rPr>
              <w:color w:val="000000" w:themeColor="text1"/>
              <w:sz w:val="21"/>
              <w:szCs w:val="21"/>
            </w:rPr>
            <w:tag w:val="_PLD_538171446ab849ca976672ecf5055c60"/>
            <w:id w:val="9577842"/>
          </w:sdtPr>
          <w:sdtEndPr/>
          <w:sdtContent>
            <w:tc>
              <w:tcPr>
                <w:tcW w:w="963" w:type="pct"/>
                <w:vAlign w:val="center"/>
              </w:tcPr>
              <w:p w14:paraId="5C56A26F" w14:textId="77777777" w:rsidR="002D0AE7" w:rsidRDefault="00333EBB">
                <w:pPr>
                  <w:ind w:right="73"/>
                  <w:jc w:val="center"/>
                  <w:rPr>
                    <w:rFonts w:hint="eastAsia"/>
                    <w:color w:val="000000" w:themeColor="text1"/>
                    <w:sz w:val="21"/>
                    <w:szCs w:val="21"/>
                  </w:rPr>
                </w:pPr>
                <w:r>
                  <w:rPr>
                    <w:rFonts w:hint="eastAsia"/>
                    <w:color w:val="000000" w:themeColor="text1"/>
                    <w:sz w:val="21"/>
                    <w:szCs w:val="21"/>
                  </w:rPr>
                  <w:t>款项的性质</w:t>
                </w:r>
              </w:p>
            </w:tc>
          </w:sdtContent>
        </w:sdt>
        <w:sdt>
          <w:sdtPr>
            <w:rPr>
              <w:color w:val="000000" w:themeColor="text1"/>
              <w:sz w:val="21"/>
              <w:szCs w:val="21"/>
            </w:rPr>
            <w:tag w:val="_PLD_a97392b37d5d4c709a23cfdece48161b"/>
            <w:id w:val="-558636381"/>
          </w:sdtPr>
          <w:sdtEndPr/>
          <w:sdtContent>
            <w:tc>
              <w:tcPr>
                <w:tcW w:w="1222" w:type="pct"/>
                <w:vAlign w:val="center"/>
              </w:tcPr>
              <w:p w14:paraId="02A25F3C" w14:textId="77777777" w:rsidR="002D0AE7" w:rsidRDefault="00333EBB">
                <w:pPr>
                  <w:ind w:right="73"/>
                  <w:jc w:val="center"/>
                  <w:rPr>
                    <w:rFonts w:hint="eastAsia"/>
                    <w:color w:val="000000" w:themeColor="text1"/>
                    <w:sz w:val="21"/>
                    <w:szCs w:val="21"/>
                  </w:rPr>
                </w:pPr>
                <w:r>
                  <w:rPr>
                    <w:rFonts w:hint="eastAsia"/>
                    <w:color w:val="000000" w:themeColor="text1"/>
                    <w:sz w:val="21"/>
                    <w:szCs w:val="21"/>
                  </w:rPr>
                  <w:t>账龄</w:t>
                </w:r>
              </w:p>
            </w:tc>
          </w:sdtContent>
        </w:sdt>
        <w:sdt>
          <w:sdtPr>
            <w:rPr>
              <w:color w:val="000000" w:themeColor="text1"/>
              <w:sz w:val="21"/>
              <w:szCs w:val="21"/>
            </w:rPr>
            <w:tag w:val="_PLD_ac7ac1a39d1a46eb9269fc6979d54f6f"/>
            <w:id w:val="-259298579"/>
          </w:sdtPr>
          <w:sdtEndPr/>
          <w:sdtContent>
            <w:tc>
              <w:tcPr>
                <w:tcW w:w="889" w:type="pct"/>
                <w:vAlign w:val="center"/>
              </w:tcPr>
              <w:p w14:paraId="2A2C2B48" w14:textId="77777777" w:rsidR="002D0AE7" w:rsidRDefault="00333EBB">
                <w:pPr>
                  <w:jc w:val="center"/>
                  <w:rPr>
                    <w:rFonts w:hint="eastAsia"/>
                    <w:color w:val="000000" w:themeColor="text1"/>
                    <w:sz w:val="21"/>
                    <w:szCs w:val="21"/>
                  </w:rPr>
                </w:pPr>
                <w:r>
                  <w:rPr>
                    <w:rFonts w:hint="eastAsia"/>
                    <w:color w:val="000000" w:themeColor="text1"/>
                    <w:sz w:val="21"/>
                    <w:szCs w:val="21"/>
                  </w:rPr>
                  <w:t>坏账准备</w:t>
                </w:r>
              </w:p>
              <w:p w14:paraId="7B85429F"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tr>
      <w:tr w:rsidR="002D0AE7" w14:paraId="4303F159" w14:textId="77777777">
        <w:trPr>
          <w:cantSplit/>
          <w:jc w:val="center"/>
        </w:trPr>
        <w:tc>
          <w:tcPr>
            <w:tcW w:w="401" w:type="pct"/>
            <w:vAlign w:val="center"/>
          </w:tcPr>
          <w:p w14:paraId="073FD0F0" w14:textId="77777777" w:rsidR="002D0AE7" w:rsidRDefault="00333EBB">
            <w:pPr>
              <w:ind w:right="105"/>
              <w:jc w:val="center"/>
              <w:rPr>
                <w:rFonts w:hint="eastAsia"/>
                <w:sz w:val="21"/>
                <w:szCs w:val="21"/>
              </w:rPr>
            </w:pPr>
            <w:r>
              <w:rPr>
                <w:rFonts w:hint="eastAsia"/>
                <w:sz w:val="21"/>
                <w:szCs w:val="21"/>
              </w:rPr>
              <w:t>1</w:t>
            </w:r>
          </w:p>
        </w:tc>
        <w:tc>
          <w:tcPr>
            <w:tcW w:w="883" w:type="pct"/>
            <w:vAlign w:val="center"/>
          </w:tcPr>
          <w:p w14:paraId="363F2E00" w14:textId="77777777" w:rsidR="002D0AE7" w:rsidRDefault="00333EBB">
            <w:pPr>
              <w:ind w:right="73"/>
              <w:jc w:val="right"/>
              <w:rPr>
                <w:rFonts w:ascii="Times New Roman" w:hAnsi="Times New Roman" w:cs="Times New Roman"/>
                <w:color w:val="000000"/>
                <w:sz w:val="21"/>
                <w:szCs w:val="21"/>
              </w:rPr>
            </w:pPr>
            <w:r>
              <w:rPr>
                <w:rFonts w:ascii="Times New Roman" w:hAnsi="Times New Roman" w:cs="Times New Roman" w:hint="eastAsia"/>
                <w:color w:val="000000"/>
                <w:sz w:val="21"/>
                <w:szCs w:val="21"/>
              </w:rPr>
              <w:t>26,213,175.96</w:t>
            </w:r>
          </w:p>
        </w:tc>
        <w:tc>
          <w:tcPr>
            <w:tcW w:w="642" w:type="pct"/>
            <w:vAlign w:val="center"/>
          </w:tcPr>
          <w:p w14:paraId="30D49349" w14:textId="77777777" w:rsidR="002D0AE7" w:rsidRDefault="00333EBB">
            <w:pPr>
              <w:ind w:right="73"/>
              <w:jc w:val="right"/>
              <w:rPr>
                <w:rFonts w:ascii="Times New Roman" w:hAnsi="Times New Roman" w:cs="Times New Roman"/>
                <w:color w:val="000000"/>
                <w:sz w:val="21"/>
                <w:szCs w:val="21"/>
              </w:rPr>
            </w:pPr>
            <w:r>
              <w:rPr>
                <w:rFonts w:ascii="Times New Roman" w:hAnsi="Times New Roman" w:cs="Times New Roman"/>
                <w:color w:val="000000"/>
                <w:sz w:val="21"/>
                <w:szCs w:val="21"/>
              </w:rPr>
              <w:t>77.37</w:t>
            </w:r>
          </w:p>
        </w:tc>
        <w:tc>
          <w:tcPr>
            <w:tcW w:w="963" w:type="pct"/>
            <w:vAlign w:val="center"/>
          </w:tcPr>
          <w:p w14:paraId="662336D4" w14:textId="77777777" w:rsidR="002D0AE7" w:rsidRDefault="00333EBB">
            <w:pPr>
              <w:ind w:right="73"/>
              <w:jc w:val="center"/>
              <w:rPr>
                <w:rFonts w:hint="eastAsia"/>
                <w:color w:val="000000"/>
                <w:sz w:val="21"/>
                <w:szCs w:val="21"/>
              </w:rPr>
            </w:pPr>
            <w:r>
              <w:rPr>
                <w:rFonts w:hint="eastAsia"/>
                <w:color w:val="000000"/>
                <w:sz w:val="21"/>
                <w:szCs w:val="21"/>
              </w:rPr>
              <w:t>退税款</w:t>
            </w:r>
          </w:p>
        </w:tc>
        <w:tc>
          <w:tcPr>
            <w:tcW w:w="1222" w:type="pct"/>
            <w:vAlign w:val="center"/>
          </w:tcPr>
          <w:p w14:paraId="6FFB3EA6" w14:textId="77777777" w:rsidR="002D0AE7" w:rsidRDefault="00333EBB">
            <w:pPr>
              <w:ind w:right="73"/>
              <w:rPr>
                <w:rFonts w:hint="eastAsia"/>
                <w:color w:val="000000"/>
                <w:sz w:val="21"/>
                <w:szCs w:val="21"/>
              </w:rPr>
            </w:pPr>
            <w:r>
              <w:rPr>
                <w:color w:val="000000"/>
                <w:sz w:val="21"/>
                <w:szCs w:val="21"/>
              </w:rPr>
              <w:t>3</w:t>
            </w:r>
            <w:r>
              <w:rPr>
                <w:rFonts w:hint="eastAsia"/>
                <w:color w:val="000000"/>
                <w:sz w:val="21"/>
                <w:szCs w:val="21"/>
              </w:rPr>
              <w:t>个月以内</w:t>
            </w:r>
          </w:p>
        </w:tc>
        <w:tc>
          <w:tcPr>
            <w:tcW w:w="889" w:type="pct"/>
            <w:vAlign w:val="center"/>
          </w:tcPr>
          <w:p w14:paraId="149F6C21" w14:textId="77777777" w:rsidR="002D0AE7" w:rsidRDefault="00333EBB">
            <w:pPr>
              <w:ind w:right="73"/>
              <w:jc w:val="right"/>
              <w:rPr>
                <w:rFonts w:ascii="Times New Roman" w:hAnsi="Times New Roman" w:cs="Times New Roman"/>
                <w:color w:val="000000"/>
                <w:sz w:val="21"/>
                <w:szCs w:val="21"/>
              </w:rPr>
            </w:pPr>
            <w:r>
              <w:rPr>
                <w:rFonts w:ascii="Times New Roman" w:hAnsi="Times New Roman" w:cs="Times New Roman"/>
                <w:color w:val="000000"/>
                <w:sz w:val="21"/>
                <w:szCs w:val="21"/>
              </w:rPr>
              <w:t>0.00</w:t>
            </w:r>
          </w:p>
        </w:tc>
      </w:tr>
      <w:tr w:rsidR="002D0AE7" w14:paraId="7F56589A" w14:textId="77777777">
        <w:trPr>
          <w:cantSplit/>
          <w:jc w:val="center"/>
        </w:trPr>
        <w:tc>
          <w:tcPr>
            <w:tcW w:w="401" w:type="pct"/>
            <w:vMerge w:val="restart"/>
            <w:vAlign w:val="center"/>
          </w:tcPr>
          <w:p w14:paraId="094EC87D" w14:textId="77777777" w:rsidR="002D0AE7" w:rsidRDefault="00333EBB">
            <w:pPr>
              <w:ind w:right="105"/>
              <w:jc w:val="center"/>
              <w:rPr>
                <w:rFonts w:hint="eastAsia"/>
                <w:sz w:val="21"/>
                <w:szCs w:val="21"/>
              </w:rPr>
            </w:pPr>
            <w:r>
              <w:rPr>
                <w:rFonts w:hint="eastAsia"/>
                <w:sz w:val="21"/>
                <w:szCs w:val="21"/>
              </w:rPr>
              <w:t>2</w:t>
            </w:r>
          </w:p>
        </w:tc>
        <w:tc>
          <w:tcPr>
            <w:tcW w:w="883" w:type="pct"/>
            <w:vAlign w:val="center"/>
          </w:tcPr>
          <w:p w14:paraId="2E6E1F21" w14:textId="77777777" w:rsidR="002D0AE7" w:rsidRDefault="00333EBB">
            <w:pPr>
              <w:ind w:right="73"/>
              <w:jc w:val="right"/>
              <w:rPr>
                <w:rFonts w:ascii="Times New Roman" w:hAnsi="Times New Roman" w:cs="Times New Roman"/>
                <w:color w:val="000000"/>
                <w:sz w:val="21"/>
                <w:szCs w:val="21"/>
              </w:rPr>
            </w:pPr>
            <w:r>
              <w:rPr>
                <w:rFonts w:ascii="Times New Roman" w:hAnsi="Times New Roman" w:cs="Times New Roman" w:hint="eastAsia"/>
                <w:color w:val="000000"/>
                <w:sz w:val="21"/>
                <w:szCs w:val="21"/>
              </w:rPr>
              <w:t>3,203,342.63</w:t>
            </w:r>
          </w:p>
        </w:tc>
        <w:tc>
          <w:tcPr>
            <w:tcW w:w="642" w:type="pct"/>
            <w:vAlign w:val="center"/>
          </w:tcPr>
          <w:p w14:paraId="51AD05E9" w14:textId="77777777" w:rsidR="002D0AE7" w:rsidRDefault="00333EBB">
            <w:pPr>
              <w:ind w:right="73"/>
              <w:jc w:val="right"/>
              <w:rPr>
                <w:rFonts w:ascii="Times New Roman" w:hAnsi="Times New Roman" w:cs="Times New Roman"/>
                <w:color w:val="000000"/>
                <w:sz w:val="21"/>
                <w:szCs w:val="21"/>
              </w:rPr>
            </w:pPr>
            <w:r>
              <w:rPr>
                <w:rFonts w:ascii="Times New Roman" w:hAnsi="Times New Roman" w:cs="Times New Roman"/>
                <w:color w:val="000000"/>
                <w:sz w:val="21"/>
                <w:szCs w:val="21"/>
              </w:rPr>
              <w:t>9.45</w:t>
            </w:r>
          </w:p>
        </w:tc>
        <w:tc>
          <w:tcPr>
            <w:tcW w:w="963" w:type="pct"/>
            <w:vMerge w:val="restart"/>
            <w:vAlign w:val="center"/>
          </w:tcPr>
          <w:p w14:paraId="75C89C13" w14:textId="77777777" w:rsidR="002D0AE7" w:rsidRDefault="00333EBB">
            <w:pPr>
              <w:ind w:right="73"/>
              <w:jc w:val="center"/>
              <w:rPr>
                <w:rFonts w:hint="eastAsia"/>
                <w:color w:val="000000"/>
                <w:sz w:val="21"/>
                <w:szCs w:val="21"/>
              </w:rPr>
            </w:pPr>
            <w:r>
              <w:rPr>
                <w:color w:val="000000"/>
                <w:sz w:val="21"/>
                <w:szCs w:val="21"/>
              </w:rPr>
              <w:t>退税款</w:t>
            </w:r>
          </w:p>
        </w:tc>
        <w:tc>
          <w:tcPr>
            <w:tcW w:w="1222" w:type="pct"/>
            <w:vAlign w:val="center"/>
          </w:tcPr>
          <w:p w14:paraId="2C187C57" w14:textId="77777777" w:rsidR="002D0AE7" w:rsidRDefault="00333EBB">
            <w:pPr>
              <w:rPr>
                <w:rFonts w:hint="eastAsia"/>
                <w:color w:val="000000"/>
                <w:sz w:val="21"/>
                <w:szCs w:val="21"/>
              </w:rPr>
            </w:pPr>
            <w:r>
              <w:rPr>
                <w:color w:val="000000"/>
                <w:sz w:val="21"/>
                <w:szCs w:val="21"/>
              </w:rPr>
              <w:t>3</w:t>
            </w:r>
            <w:r>
              <w:rPr>
                <w:rFonts w:hint="eastAsia"/>
                <w:color w:val="000000"/>
                <w:sz w:val="21"/>
                <w:szCs w:val="21"/>
              </w:rPr>
              <w:t>个月以内</w:t>
            </w:r>
          </w:p>
        </w:tc>
        <w:tc>
          <w:tcPr>
            <w:tcW w:w="889" w:type="pct"/>
            <w:vAlign w:val="center"/>
          </w:tcPr>
          <w:p w14:paraId="4266DDC3" w14:textId="77777777" w:rsidR="002D0AE7" w:rsidRDefault="00333EBB">
            <w:pPr>
              <w:ind w:right="73"/>
              <w:jc w:val="right"/>
              <w:rPr>
                <w:rFonts w:ascii="Times New Roman" w:hAnsi="Times New Roman" w:cs="Times New Roman"/>
                <w:color w:val="000000"/>
                <w:sz w:val="21"/>
                <w:szCs w:val="21"/>
              </w:rPr>
            </w:pPr>
            <w:r>
              <w:rPr>
                <w:rFonts w:ascii="Times New Roman" w:hAnsi="Times New Roman" w:cs="Times New Roman"/>
                <w:color w:val="000000"/>
                <w:sz w:val="21"/>
                <w:szCs w:val="21"/>
              </w:rPr>
              <w:t>0.00</w:t>
            </w:r>
          </w:p>
        </w:tc>
      </w:tr>
      <w:tr w:rsidR="002D0AE7" w14:paraId="587A5FA1" w14:textId="77777777">
        <w:trPr>
          <w:cantSplit/>
          <w:jc w:val="center"/>
        </w:trPr>
        <w:tc>
          <w:tcPr>
            <w:tcW w:w="401" w:type="pct"/>
            <w:vMerge/>
            <w:vAlign w:val="center"/>
          </w:tcPr>
          <w:p w14:paraId="2E921930" w14:textId="77777777" w:rsidR="002D0AE7" w:rsidRDefault="002D0AE7">
            <w:pPr>
              <w:ind w:right="105"/>
              <w:jc w:val="center"/>
              <w:rPr>
                <w:rFonts w:hint="eastAsia"/>
                <w:sz w:val="21"/>
                <w:szCs w:val="21"/>
              </w:rPr>
            </w:pPr>
          </w:p>
        </w:tc>
        <w:tc>
          <w:tcPr>
            <w:tcW w:w="883" w:type="pct"/>
            <w:vAlign w:val="center"/>
          </w:tcPr>
          <w:p w14:paraId="35DD090D" w14:textId="77777777" w:rsidR="002D0AE7" w:rsidRDefault="00333EBB">
            <w:pPr>
              <w:ind w:right="73"/>
              <w:jc w:val="right"/>
              <w:rPr>
                <w:rFonts w:ascii="Times New Roman" w:hAnsi="Times New Roman" w:cs="Times New Roman"/>
                <w:color w:val="000000"/>
                <w:sz w:val="21"/>
                <w:szCs w:val="21"/>
              </w:rPr>
            </w:pPr>
            <w:r>
              <w:rPr>
                <w:rFonts w:ascii="Times New Roman" w:hAnsi="Times New Roman" w:cs="Times New Roman" w:hint="eastAsia"/>
                <w:color w:val="000000"/>
                <w:sz w:val="21"/>
                <w:szCs w:val="21"/>
              </w:rPr>
              <w:t>606,688.50</w:t>
            </w:r>
          </w:p>
        </w:tc>
        <w:tc>
          <w:tcPr>
            <w:tcW w:w="642" w:type="pct"/>
            <w:vAlign w:val="center"/>
          </w:tcPr>
          <w:p w14:paraId="7BB0FD8D" w14:textId="77777777" w:rsidR="002D0AE7" w:rsidRDefault="00333EBB">
            <w:pPr>
              <w:ind w:right="73"/>
              <w:jc w:val="right"/>
              <w:rPr>
                <w:rFonts w:ascii="Times New Roman" w:hAnsi="Times New Roman" w:cs="Times New Roman"/>
                <w:color w:val="000000"/>
                <w:sz w:val="21"/>
                <w:szCs w:val="21"/>
              </w:rPr>
            </w:pPr>
            <w:r>
              <w:rPr>
                <w:rFonts w:ascii="Times New Roman" w:hAnsi="Times New Roman" w:cs="Times New Roman"/>
                <w:color w:val="000000"/>
                <w:sz w:val="21"/>
                <w:szCs w:val="21"/>
              </w:rPr>
              <w:t>1.79</w:t>
            </w:r>
          </w:p>
        </w:tc>
        <w:tc>
          <w:tcPr>
            <w:tcW w:w="963" w:type="pct"/>
            <w:vMerge/>
            <w:vAlign w:val="center"/>
          </w:tcPr>
          <w:p w14:paraId="4FFC1584" w14:textId="77777777" w:rsidR="002D0AE7" w:rsidRDefault="002D0AE7">
            <w:pPr>
              <w:ind w:right="73"/>
              <w:jc w:val="center"/>
              <w:rPr>
                <w:rFonts w:hint="eastAsia"/>
                <w:color w:val="000000"/>
                <w:sz w:val="21"/>
                <w:szCs w:val="21"/>
              </w:rPr>
            </w:pPr>
          </w:p>
        </w:tc>
        <w:tc>
          <w:tcPr>
            <w:tcW w:w="1222" w:type="pct"/>
            <w:vAlign w:val="center"/>
          </w:tcPr>
          <w:p w14:paraId="14D23635" w14:textId="77777777" w:rsidR="002D0AE7" w:rsidRDefault="00333EBB">
            <w:pPr>
              <w:rPr>
                <w:rFonts w:hint="eastAsia"/>
                <w:color w:val="000000"/>
                <w:sz w:val="21"/>
                <w:szCs w:val="21"/>
              </w:rPr>
            </w:pPr>
            <w:r>
              <w:rPr>
                <w:color w:val="000000"/>
                <w:sz w:val="21"/>
                <w:szCs w:val="21"/>
              </w:rPr>
              <w:t>3</w:t>
            </w:r>
            <w:r>
              <w:rPr>
                <w:rFonts w:hint="eastAsia"/>
                <w:color w:val="000000"/>
                <w:sz w:val="21"/>
                <w:szCs w:val="21"/>
              </w:rPr>
              <w:t>个月至</w:t>
            </w:r>
            <w:r>
              <w:rPr>
                <w:color w:val="000000"/>
                <w:sz w:val="21"/>
                <w:szCs w:val="21"/>
              </w:rPr>
              <w:t>1</w:t>
            </w:r>
            <w:r>
              <w:rPr>
                <w:rFonts w:hint="eastAsia"/>
                <w:color w:val="000000"/>
                <w:sz w:val="21"/>
                <w:szCs w:val="21"/>
              </w:rPr>
              <w:t>年</w:t>
            </w:r>
          </w:p>
        </w:tc>
        <w:tc>
          <w:tcPr>
            <w:tcW w:w="889" w:type="pct"/>
            <w:vAlign w:val="center"/>
          </w:tcPr>
          <w:p w14:paraId="5F764D25" w14:textId="77777777" w:rsidR="002D0AE7" w:rsidRDefault="00333EBB">
            <w:pPr>
              <w:ind w:right="73"/>
              <w:jc w:val="right"/>
              <w:rPr>
                <w:rFonts w:ascii="Times New Roman" w:hAnsi="Times New Roman" w:cs="Times New Roman"/>
                <w:color w:val="000000"/>
                <w:sz w:val="21"/>
                <w:szCs w:val="21"/>
              </w:rPr>
            </w:pPr>
            <w:r>
              <w:rPr>
                <w:rFonts w:ascii="Times New Roman" w:hAnsi="Times New Roman" w:cs="Times New Roman"/>
                <w:color w:val="000000"/>
                <w:sz w:val="21"/>
                <w:szCs w:val="21"/>
              </w:rPr>
              <w:t>3,033.44</w:t>
            </w:r>
          </w:p>
        </w:tc>
      </w:tr>
      <w:tr w:rsidR="002D0AE7" w14:paraId="4072B3D2" w14:textId="77777777">
        <w:trPr>
          <w:cantSplit/>
          <w:jc w:val="center"/>
        </w:trPr>
        <w:tc>
          <w:tcPr>
            <w:tcW w:w="401" w:type="pct"/>
            <w:vAlign w:val="center"/>
          </w:tcPr>
          <w:p w14:paraId="69B37F7F" w14:textId="77777777" w:rsidR="002D0AE7" w:rsidRDefault="00333EBB">
            <w:pPr>
              <w:ind w:right="105"/>
              <w:jc w:val="center"/>
              <w:rPr>
                <w:rFonts w:hint="eastAsia"/>
                <w:sz w:val="21"/>
                <w:szCs w:val="21"/>
              </w:rPr>
            </w:pPr>
            <w:r>
              <w:rPr>
                <w:rFonts w:hint="eastAsia"/>
                <w:sz w:val="21"/>
                <w:szCs w:val="21"/>
              </w:rPr>
              <w:t>3</w:t>
            </w:r>
          </w:p>
        </w:tc>
        <w:tc>
          <w:tcPr>
            <w:tcW w:w="883" w:type="pct"/>
            <w:vAlign w:val="center"/>
          </w:tcPr>
          <w:p w14:paraId="262F2D70" w14:textId="77777777" w:rsidR="002D0AE7" w:rsidRDefault="00333EBB">
            <w:pPr>
              <w:ind w:right="73"/>
              <w:jc w:val="right"/>
              <w:rPr>
                <w:rFonts w:ascii="Times New Roman" w:hAnsi="Times New Roman" w:cs="Times New Roman"/>
                <w:color w:val="000000"/>
                <w:sz w:val="21"/>
                <w:szCs w:val="21"/>
              </w:rPr>
            </w:pPr>
            <w:r>
              <w:rPr>
                <w:rFonts w:ascii="Times New Roman" w:hAnsi="Times New Roman" w:cs="Times New Roman" w:hint="eastAsia"/>
                <w:color w:val="000000"/>
                <w:sz w:val="21"/>
                <w:szCs w:val="21"/>
              </w:rPr>
              <w:t>1,990,000.00</w:t>
            </w:r>
          </w:p>
        </w:tc>
        <w:tc>
          <w:tcPr>
            <w:tcW w:w="642" w:type="pct"/>
            <w:vAlign w:val="center"/>
          </w:tcPr>
          <w:p w14:paraId="7AEEF6A7" w14:textId="77777777" w:rsidR="002D0AE7" w:rsidRDefault="00333EBB">
            <w:pPr>
              <w:ind w:right="73"/>
              <w:jc w:val="right"/>
              <w:rPr>
                <w:rFonts w:ascii="Times New Roman" w:hAnsi="Times New Roman" w:cs="Times New Roman"/>
                <w:color w:val="000000"/>
                <w:sz w:val="21"/>
                <w:szCs w:val="21"/>
              </w:rPr>
            </w:pPr>
            <w:r>
              <w:rPr>
                <w:rFonts w:ascii="Times New Roman" w:hAnsi="Times New Roman" w:cs="Times New Roman"/>
                <w:color w:val="000000"/>
                <w:sz w:val="21"/>
                <w:szCs w:val="21"/>
              </w:rPr>
              <w:t>5.87</w:t>
            </w:r>
          </w:p>
        </w:tc>
        <w:tc>
          <w:tcPr>
            <w:tcW w:w="963" w:type="pct"/>
            <w:vAlign w:val="center"/>
          </w:tcPr>
          <w:p w14:paraId="3C79641F" w14:textId="77777777" w:rsidR="002D0AE7" w:rsidRDefault="00333EBB">
            <w:pPr>
              <w:ind w:right="73"/>
              <w:jc w:val="center"/>
              <w:rPr>
                <w:rFonts w:hint="eastAsia"/>
                <w:color w:val="000000"/>
                <w:sz w:val="21"/>
                <w:szCs w:val="21"/>
              </w:rPr>
            </w:pPr>
            <w:r>
              <w:rPr>
                <w:rFonts w:hint="eastAsia"/>
                <w:color w:val="000000"/>
                <w:sz w:val="21"/>
                <w:szCs w:val="21"/>
              </w:rPr>
              <w:t>设备转让费</w:t>
            </w:r>
          </w:p>
        </w:tc>
        <w:tc>
          <w:tcPr>
            <w:tcW w:w="1222" w:type="pct"/>
            <w:vAlign w:val="center"/>
          </w:tcPr>
          <w:p w14:paraId="1802D20E" w14:textId="77777777" w:rsidR="002D0AE7" w:rsidRDefault="00333EBB">
            <w:pPr>
              <w:ind w:right="73"/>
              <w:rPr>
                <w:rFonts w:hint="eastAsia"/>
                <w:color w:val="000000"/>
                <w:sz w:val="21"/>
                <w:szCs w:val="21"/>
              </w:rPr>
            </w:pPr>
            <w:r>
              <w:rPr>
                <w:color w:val="000000"/>
                <w:sz w:val="21"/>
                <w:szCs w:val="21"/>
              </w:rPr>
              <w:t>3</w:t>
            </w:r>
            <w:r>
              <w:rPr>
                <w:rFonts w:hint="eastAsia"/>
                <w:color w:val="000000"/>
                <w:sz w:val="21"/>
                <w:szCs w:val="21"/>
              </w:rPr>
              <w:t>个月至</w:t>
            </w:r>
            <w:r>
              <w:rPr>
                <w:color w:val="000000"/>
                <w:sz w:val="21"/>
                <w:szCs w:val="21"/>
              </w:rPr>
              <w:t>1</w:t>
            </w:r>
            <w:r>
              <w:rPr>
                <w:rFonts w:hint="eastAsia"/>
                <w:color w:val="000000"/>
                <w:sz w:val="21"/>
                <w:szCs w:val="21"/>
              </w:rPr>
              <w:t>年</w:t>
            </w:r>
          </w:p>
        </w:tc>
        <w:tc>
          <w:tcPr>
            <w:tcW w:w="889" w:type="pct"/>
            <w:vAlign w:val="center"/>
          </w:tcPr>
          <w:p w14:paraId="3F411FEE" w14:textId="77777777" w:rsidR="002D0AE7" w:rsidRDefault="00333EBB">
            <w:pPr>
              <w:ind w:right="73"/>
              <w:jc w:val="right"/>
              <w:rPr>
                <w:rFonts w:ascii="Times New Roman" w:hAnsi="Times New Roman" w:cs="Times New Roman"/>
                <w:color w:val="000000"/>
                <w:sz w:val="21"/>
                <w:szCs w:val="21"/>
              </w:rPr>
            </w:pPr>
            <w:r>
              <w:rPr>
                <w:rFonts w:ascii="Times New Roman" w:hAnsi="Times New Roman" w:cs="Times New Roman"/>
                <w:color w:val="000000"/>
                <w:sz w:val="21"/>
                <w:szCs w:val="21"/>
              </w:rPr>
              <w:t>9,950.00</w:t>
            </w:r>
          </w:p>
        </w:tc>
      </w:tr>
      <w:tr w:rsidR="002D0AE7" w14:paraId="4E756975" w14:textId="77777777">
        <w:trPr>
          <w:cantSplit/>
          <w:jc w:val="center"/>
        </w:trPr>
        <w:tc>
          <w:tcPr>
            <w:tcW w:w="401" w:type="pct"/>
            <w:vMerge w:val="restart"/>
            <w:vAlign w:val="center"/>
          </w:tcPr>
          <w:p w14:paraId="0B694846" w14:textId="77777777" w:rsidR="002D0AE7" w:rsidRDefault="00333EBB">
            <w:pPr>
              <w:ind w:right="105"/>
              <w:jc w:val="center"/>
              <w:rPr>
                <w:rFonts w:hint="eastAsia"/>
                <w:sz w:val="21"/>
                <w:szCs w:val="21"/>
              </w:rPr>
            </w:pPr>
            <w:r>
              <w:rPr>
                <w:rFonts w:hint="eastAsia"/>
                <w:sz w:val="21"/>
                <w:szCs w:val="21"/>
              </w:rPr>
              <w:lastRenderedPageBreak/>
              <w:t>4</w:t>
            </w:r>
          </w:p>
        </w:tc>
        <w:tc>
          <w:tcPr>
            <w:tcW w:w="883" w:type="pct"/>
            <w:vAlign w:val="center"/>
          </w:tcPr>
          <w:p w14:paraId="610655C2" w14:textId="77777777" w:rsidR="002D0AE7" w:rsidRDefault="00333EBB">
            <w:pPr>
              <w:ind w:right="73"/>
              <w:jc w:val="right"/>
              <w:rPr>
                <w:rFonts w:ascii="Times New Roman" w:hAnsi="Times New Roman" w:cs="Times New Roman"/>
                <w:color w:val="000000"/>
                <w:sz w:val="21"/>
                <w:szCs w:val="21"/>
              </w:rPr>
            </w:pPr>
            <w:r>
              <w:rPr>
                <w:rFonts w:ascii="Times New Roman" w:hAnsi="Times New Roman" w:cs="Times New Roman" w:hint="eastAsia"/>
                <w:color w:val="000000"/>
                <w:sz w:val="21"/>
                <w:szCs w:val="21"/>
              </w:rPr>
              <w:t>104,696.91</w:t>
            </w:r>
          </w:p>
        </w:tc>
        <w:tc>
          <w:tcPr>
            <w:tcW w:w="642" w:type="pct"/>
            <w:vAlign w:val="center"/>
          </w:tcPr>
          <w:p w14:paraId="4B14D362" w14:textId="77777777" w:rsidR="002D0AE7" w:rsidRDefault="00333EBB">
            <w:pPr>
              <w:ind w:right="73"/>
              <w:jc w:val="right"/>
              <w:rPr>
                <w:rFonts w:ascii="Times New Roman" w:hAnsi="Times New Roman" w:cs="Times New Roman"/>
                <w:color w:val="000000"/>
                <w:sz w:val="21"/>
                <w:szCs w:val="21"/>
              </w:rPr>
            </w:pPr>
            <w:r>
              <w:rPr>
                <w:rFonts w:ascii="Times New Roman" w:hAnsi="Times New Roman" w:cs="Times New Roman"/>
                <w:color w:val="000000"/>
                <w:sz w:val="21"/>
                <w:szCs w:val="21"/>
              </w:rPr>
              <w:t>0.31</w:t>
            </w:r>
          </w:p>
        </w:tc>
        <w:tc>
          <w:tcPr>
            <w:tcW w:w="963" w:type="pct"/>
            <w:vMerge w:val="restart"/>
            <w:vAlign w:val="center"/>
          </w:tcPr>
          <w:p w14:paraId="78FE439E" w14:textId="77777777" w:rsidR="002D0AE7" w:rsidRDefault="00333EBB">
            <w:pPr>
              <w:ind w:right="73"/>
              <w:jc w:val="center"/>
              <w:rPr>
                <w:rFonts w:hint="eastAsia"/>
                <w:color w:val="000000"/>
                <w:sz w:val="21"/>
                <w:szCs w:val="21"/>
              </w:rPr>
            </w:pPr>
            <w:r>
              <w:rPr>
                <w:color w:val="000000"/>
                <w:sz w:val="21"/>
                <w:szCs w:val="21"/>
              </w:rPr>
              <w:t>混改预留费</w:t>
            </w:r>
          </w:p>
        </w:tc>
        <w:tc>
          <w:tcPr>
            <w:tcW w:w="1222" w:type="pct"/>
            <w:vAlign w:val="center"/>
          </w:tcPr>
          <w:p w14:paraId="4D750F9D" w14:textId="77777777" w:rsidR="002D0AE7" w:rsidRDefault="00333EBB">
            <w:pPr>
              <w:rPr>
                <w:rFonts w:hint="eastAsia"/>
                <w:color w:val="000000"/>
                <w:sz w:val="21"/>
                <w:szCs w:val="21"/>
              </w:rPr>
            </w:pPr>
            <w:r>
              <w:rPr>
                <w:color w:val="000000"/>
                <w:sz w:val="21"/>
                <w:szCs w:val="21"/>
              </w:rPr>
              <w:t>3</w:t>
            </w:r>
            <w:r>
              <w:rPr>
                <w:rFonts w:hint="eastAsia"/>
                <w:color w:val="000000"/>
                <w:sz w:val="21"/>
                <w:szCs w:val="21"/>
              </w:rPr>
              <w:t>个月以内</w:t>
            </w:r>
          </w:p>
        </w:tc>
        <w:tc>
          <w:tcPr>
            <w:tcW w:w="889" w:type="pct"/>
            <w:vAlign w:val="center"/>
          </w:tcPr>
          <w:p w14:paraId="1EE4E6C2" w14:textId="77777777" w:rsidR="002D0AE7" w:rsidRDefault="00333EBB">
            <w:pPr>
              <w:ind w:right="73"/>
              <w:jc w:val="right"/>
              <w:rPr>
                <w:rFonts w:ascii="Times New Roman" w:hAnsi="Times New Roman" w:cs="Times New Roman"/>
                <w:color w:val="000000"/>
                <w:sz w:val="21"/>
                <w:szCs w:val="21"/>
              </w:rPr>
            </w:pPr>
            <w:r>
              <w:rPr>
                <w:rFonts w:ascii="Times New Roman" w:hAnsi="Times New Roman" w:cs="Times New Roman"/>
                <w:color w:val="000000"/>
                <w:sz w:val="21"/>
                <w:szCs w:val="21"/>
              </w:rPr>
              <w:t>0.00</w:t>
            </w:r>
          </w:p>
        </w:tc>
      </w:tr>
      <w:tr w:rsidR="002D0AE7" w14:paraId="330B395A" w14:textId="77777777">
        <w:trPr>
          <w:cantSplit/>
          <w:jc w:val="center"/>
        </w:trPr>
        <w:tc>
          <w:tcPr>
            <w:tcW w:w="401" w:type="pct"/>
            <w:vMerge/>
            <w:vAlign w:val="center"/>
          </w:tcPr>
          <w:p w14:paraId="095B8433" w14:textId="77777777" w:rsidR="002D0AE7" w:rsidRDefault="002D0AE7">
            <w:pPr>
              <w:ind w:right="105"/>
              <w:jc w:val="center"/>
              <w:rPr>
                <w:rFonts w:hint="eastAsia"/>
                <w:sz w:val="21"/>
                <w:szCs w:val="21"/>
              </w:rPr>
            </w:pPr>
          </w:p>
        </w:tc>
        <w:tc>
          <w:tcPr>
            <w:tcW w:w="883" w:type="pct"/>
            <w:vAlign w:val="center"/>
          </w:tcPr>
          <w:p w14:paraId="16EB5213" w14:textId="77777777" w:rsidR="002D0AE7" w:rsidRDefault="00333EBB">
            <w:pPr>
              <w:ind w:right="73"/>
              <w:jc w:val="right"/>
              <w:rPr>
                <w:rFonts w:ascii="Times New Roman" w:hAnsi="Times New Roman" w:cs="Times New Roman"/>
                <w:color w:val="000000"/>
                <w:sz w:val="21"/>
                <w:szCs w:val="21"/>
              </w:rPr>
            </w:pPr>
            <w:r>
              <w:rPr>
                <w:rFonts w:ascii="Times New Roman" w:hAnsi="Times New Roman" w:cs="Times New Roman" w:hint="eastAsia"/>
                <w:color w:val="000000"/>
                <w:sz w:val="21"/>
                <w:szCs w:val="21"/>
              </w:rPr>
              <w:t>314,360.81</w:t>
            </w:r>
          </w:p>
        </w:tc>
        <w:tc>
          <w:tcPr>
            <w:tcW w:w="642" w:type="pct"/>
            <w:vAlign w:val="center"/>
          </w:tcPr>
          <w:p w14:paraId="5CB8698F" w14:textId="77777777" w:rsidR="002D0AE7" w:rsidRDefault="00333EBB">
            <w:pPr>
              <w:ind w:right="73"/>
              <w:jc w:val="right"/>
              <w:rPr>
                <w:rFonts w:ascii="Times New Roman" w:hAnsi="Times New Roman" w:cs="Times New Roman"/>
                <w:color w:val="000000"/>
                <w:sz w:val="21"/>
                <w:szCs w:val="21"/>
              </w:rPr>
            </w:pPr>
            <w:r>
              <w:rPr>
                <w:rFonts w:ascii="Times New Roman" w:hAnsi="Times New Roman" w:cs="Times New Roman"/>
                <w:color w:val="000000"/>
                <w:sz w:val="21"/>
                <w:szCs w:val="21"/>
              </w:rPr>
              <w:t>0.93</w:t>
            </w:r>
          </w:p>
        </w:tc>
        <w:tc>
          <w:tcPr>
            <w:tcW w:w="963" w:type="pct"/>
            <w:vMerge/>
            <w:vAlign w:val="center"/>
          </w:tcPr>
          <w:p w14:paraId="29B677CE" w14:textId="77777777" w:rsidR="002D0AE7" w:rsidRDefault="002D0AE7">
            <w:pPr>
              <w:ind w:right="73"/>
              <w:jc w:val="center"/>
              <w:rPr>
                <w:rFonts w:hint="eastAsia"/>
                <w:color w:val="000000"/>
                <w:sz w:val="21"/>
                <w:szCs w:val="21"/>
              </w:rPr>
            </w:pPr>
          </w:p>
        </w:tc>
        <w:tc>
          <w:tcPr>
            <w:tcW w:w="1222" w:type="pct"/>
            <w:vAlign w:val="center"/>
          </w:tcPr>
          <w:p w14:paraId="581EE00B" w14:textId="77777777" w:rsidR="002D0AE7" w:rsidRDefault="00333EBB">
            <w:pPr>
              <w:rPr>
                <w:rFonts w:hint="eastAsia"/>
                <w:color w:val="000000"/>
                <w:sz w:val="21"/>
                <w:szCs w:val="21"/>
              </w:rPr>
            </w:pPr>
            <w:r>
              <w:rPr>
                <w:color w:val="000000"/>
                <w:sz w:val="21"/>
                <w:szCs w:val="21"/>
              </w:rPr>
              <w:t>3</w:t>
            </w:r>
            <w:r>
              <w:rPr>
                <w:rFonts w:hint="eastAsia"/>
                <w:color w:val="000000"/>
                <w:sz w:val="21"/>
                <w:szCs w:val="21"/>
              </w:rPr>
              <w:t>个月至</w:t>
            </w:r>
            <w:r>
              <w:rPr>
                <w:color w:val="000000"/>
                <w:sz w:val="21"/>
                <w:szCs w:val="21"/>
              </w:rPr>
              <w:t>1</w:t>
            </w:r>
            <w:r>
              <w:rPr>
                <w:rFonts w:hint="eastAsia"/>
                <w:color w:val="000000"/>
                <w:sz w:val="21"/>
                <w:szCs w:val="21"/>
              </w:rPr>
              <w:t>年</w:t>
            </w:r>
          </w:p>
        </w:tc>
        <w:tc>
          <w:tcPr>
            <w:tcW w:w="889" w:type="pct"/>
            <w:vAlign w:val="center"/>
          </w:tcPr>
          <w:p w14:paraId="3385E767" w14:textId="77777777" w:rsidR="002D0AE7" w:rsidRDefault="00333EBB">
            <w:pPr>
              <w:ind w:right="73"/>
              <w:jc w:val="right"/>
              <w:rPr>
                <w:rFonts w:ascii="Times New Roman" w:hAnsi="Times New Roman" w:cs="Times New Roman"/>
                <w:color w:val="000000"/>
                <w:sz w:val="21"/>
                <w:szCs w:val="21"/>
              </w:rPr>
            </w:pPr>
            <w:r>
              <w:rPr>
                <w:rFonts w:ascii="Times New Roman" w:hAnsi="Times New Roman" w:cs="Times New Roman"/>
                <w:color w:val="000000"/>
                <w:sz w:val="21"/>
                <w:szCs w:val="21"/>
              </w:rPr>
              <w:t>1,571.81</w:t>
            </w:r>
          </w:p>
        </w:tc>
      </w:tr>
      <w:tr w:rsidR="002D0AE7" w14:paraId="2225C398" w14:textId="77777777">
        <w:trPr>
          <w:cantSplit/>
          <w:jc w:val="center"/>
        </w:trPr>
        <w:tc>
          <w:tcPr>
            <w:tcW w:w="401" w:type="pct"/>
            <w:vAlign w:val="center"/>
          </w:tcPr>
          <w:p w14:paraId="50A410DB" w14:textId="77777777" w:rsidR="002D0AE7" w:rsidRDefault="00333EBB">
            <w:pPr>
              <w:ind w:right="105"/>
              <w:jc w:val="center"/>
              <w:rPr>
                <w:rFonts w:hint="eastAsia"/>
                <w:sz w:val="21"/>
                <w:szCs w:val="21"/>
              </w:rPr>
            </w:pPr>
            <w:r>
              <w:rPr>
                <w:rFonts w:hint="eastAsia"/>
                <w:sz w:val="21"/>
                <w:szCs w:val="21"/>
              </w:rPr>
              <w:t>5</w:t>
            </w:r>
          </w:p>
        </w:tc>
        <w:tc>
          <w:tcPr>
            <w:tcW w:w="883" w:type="pct"/>
            <w:vAlign w:val="center"/>
          </w:tcPr>
          <w:p w14:paraId="41276F42" w14:textId="77777777" w:rsidR="002D0AE7" w:rsidRDefault="00333EBB">
            <w:pPr>
              <w:ind w:right="73"/>
              <w:jc w:val="right"/>
              <w:rPr>
                <w:rFonts w:ascii="Times New Roman" w:hAnsi="Times New Roman" w:cs="Times New Roman"/>
                <w:color w:val="000000"/>
                <w:sz w:val="21"/>
                <w:szCs w:val="21"/>
              </w:rPr>
            </w:pPr>
            <w:r>
              <w:rPr>
                <w:rFonts w:ascii="Times New Roman" w:hAnsi="Times New Roman" w:cs="Times New Roman" w:hint="eastAsia"/>
                <w:color w:val="000000"/>
                <w:sz w:val="21"/>
                <w:szCs w:val="21"/>
              </w:rPr>
              <w:t>395,259.72</w:t>
            </w:r>
          </w:p>
        </w:tc>
        <w:tc>
          <w:tcPr>
            <w:tcW w:w="642" w:type="pct"/>
            <w:vAlign w:val="center"/>
          </w:tcPr>
          <w:p w14:paraId="20E41EAE" w14:textId="77777777" w:rsidR="002D0AE7" w:rsidRDefault="00333EBB">
            <w:pPr>
              <w:ind w:right="73"/>
              <w:jc w:val="right"/>
              <w:rPr>
                <w:rFonts w:ascii="Times New Roman" w:hAnsi="Times New Roman" w:cs="Times New Roman"/>
                <w:color w:val="000000"/>
                <w:sz w:val="21"/>
                <w:szCs w:val="21"/>
              </w:rPr>
            </w:pPr>
            <w:r>
              <w:rPr>
                <w:rFonts w:ascii="Times New Roman" w:hAnsi="Times New Roman" w:cs="Times New Roman"/>
                <w:color w:val="000000"/>
                <w:sz w:val="21"/>
                <w:szCs w:val="21"/>
              </w:rPr>
              <w:t>1.17</w:t>
            </w:r>
          </w:p>
        </w:tc>
        <w:tc>
          <w:tcPr>
            <w:tcW w:w="963" w:type="pct"/>
            <w:vAlign w:val="center"/>
          </w:tcPr>
          <w:p w14:paraId="6A79BBAC" w14:textId="77777777" w:rsidR="002D0AE7" w:rsidRDefault="00333EBB">
            <w:pPr>
              <w:ind w:right="73"/>
              <w:jc w:val="center"/>
              <w:rPr>
                <w:rFonts w:hint="eastAsia"/>
                <w:color w:val="000000"/>
                <w:sz w:val="21"/>
                <w:szCs w:val="21"/>
              </w:rPr>
            </w:pPr>
            <w:r>
              <w:rPr>
                <w:rFonts w:hint="eastAsia"/>
                <w:color w:val="000000"/>
                <w:sz w:val="21"/>
                <w:szCs w:val="21"/>
              </w:rPr>
              <w:t>服务费</w:t>
            </w:r>
          </w:p>
        </w:tc>
        <w:tc>
          <w:tcPr>
            <w:tcW w:w="1222" w:type="pct"/>
            <w:vAlign w:val="center"/>
          </w:tcPr>
          <w:p w14:paraId="5B2193BE" w14:textId="77777777" w:rsidR="002D0AE7" w:rsidRDefault="00333EBB">
            <w:pPr>
              <w:ind w:right="73"/>
              <w:rPr>
                <w:rFonts w:hint="eastAsia"/>
                <w:color w:val="000000"/>
                <w:sz w:val="21"/>
                <w:szCs w:val="21"/>
              </w:rPr>
            </w:pPr>
            <w:r>
              <w:rPr>
                <w:color w:val="000000"/>
                <w:sz w:val="21"/>
                <w:szCs w:val="21"/>
              </w:rPr>
              <w:t>3</w:t>
            </w:r>
            <w:r>
              <w:rPr>
                <w:rFonts w:hint="eastAsia"/>
                <w:color w:val="000000"/>
                <w:sz w:val="21"/>
                <w:szCs w:val="21"/>
              </w:rPr>
              <w:t>个月至</w:t>
            </w:r>
            <w:r>
              <w:rPr>
                <w:color w:val="000000"/>
                <w:sz w:val="21"/>
                <w:szCs w:val="21"/>
              </w:rPr>
              <w:t>1</w:t>
            </w:r>
            <w:r>
              <w:rPr>
                <w:rFonts w:hint="eastAsia"/>
                <w:color w:val="000000"/>
                <w:sz w:val="21"/>
                <w:szCs w:val="21"/>
              </w:rPr>
              <w:t>年</w:t>
            </w:r>
          </w:p>
        </w:tc>
        <w:tc>
          <w:tcPr>
            <w:tcW w:w="889" w:type="pct"/>
            <w:vAlign w:val="center"/>
          </w:tcPr>
          <w:p w14:paraId="322DCD32" w14:textId="77777777" w:rsidR="002D0AE7" w:rsidRDefault="00333EBB">
            <w:pPr>
              <w:ind w:right="73"/>
              <w:jc w:val="right"/>
              <w:rPr>
                <w:rFonts w:ascii="Times New Roman" w:hAnsi="Times New Roman" w:cs="Times New Roman"/>
                <w:color w:val="000000"/>
                <w:sz w:val="21"/>
                <w:szCs w:val="21"/>
              </w:rPr>
            </w:pPr>
            <w:r>
              <w:rPr>
                <w:rFonts w:ascii="Times New Roman" w:hAnsi="Times New Roman" w:cs="Times New Roman"/>
                <w:color w:val="000000"/>
                <w:sz w:val="21"/>
                <w:szCs w:val="21"/>
              </w:rPr>
              <w:t>1,976.30</w:t>
            </w:r>
          </w:p>
        </w:tc>
      </w:tr>
      <w:tr w:rsidR="002D0AE7" w14:paraId="0013B868" w14:textId="77777777">
        <w:trPr>
          <w:cantSplit/>
          <w:jc w:val="center"/>
        </w:trPr>
        <w:tc>
          <w:tcPr>
            <w:tcW w:w="401" w:type="pct"/>
            <w:vAlign w:val="center"/>
          </w:tcPr>
          <w:p w14:paraId="1DCD5C30" w14:textId="77777777" w:rsidR="002D0AE7" w:rsidRDefault="00333EBB">
            <w:pPr>
              <w:ind w:right="105"/>
              <w:jc w:val="center"/>
              <w:rPr>
                <w:rFonts w:hint="eastAsia"/>
                <w:color w:val="000000" w:themeColor="text1"/>
                <w:sz w:val="21"/>
                <w:szCs w:val="21"/>
              </w:rPr>
            </w:pPr>
            <w:r>
              <w:rPr>
                <w:rFonts w:hint="eastAsia"/>
                <w:color w:val="000000" w:themeColor="text1"/>
                <w:sz w:val="21"/>
                <w:szCs w:val="21"/>
              </w:rPr>
              <w:t>合计</w:t>
            </w:r>
          </w:p>
        </w:tc>
        <w:tc>
          <w:tcPr>
            <w:tcW w:w="883" w:type="pct"/>
            <w:vAlign w:val="center"/>
          </w:tcPr>
          <w:p w14:paraId="6A56593A" w14:textId="77777777" w:rsidR="002D0AE7" w:rsidRDefault="00333EBB">
            <w:pPr>
              <w:ind w:right="73"/>
              <w:jc w:val="right"/>
              <w:rPr>
                <w:rFonts w:ascii="Times New Roman" w:hAnsi="Times New Roman" w:cs="Times New Roman"/>
                <w:color w:val="000000"/>
                <w:sz w:val="21"/>
                <w:szCs w:val="21"/>
              </w:rPr>
            </w:pPr>
            <w:r>
              <w:rPr>
                <w:rFonts w:ascii="Times New Roman" w:hAnsi="Times New Roman" w:cs="Times New Roman"/>
                <w:color w:val="000000"/>
                <w:sz w:val="21"/>
                <w:szCs w:val="21"/>
              </w:rPr>
              <w:t>32,827,524.53</w:t>
            </w:r>
          </w:p>
        </w:tc>
        <w:tc>
          <w:tcPr>
            <w:tcW w:w="642" w:type="pct"/>
            <w:vAlign w:val="center"/>
          </w:tcPr>
          <w:p w14:paraId="0DAA0454" w14:textId="77777777" w:rsidR="002D0AE7" w:rsidRDefault="00333EBB">
            <w:pPr>
              <w:ind w:right="73"/>
              <w:jc w:val="right"/>
              <w:rPr>
                <w:rFonts w:ascii="Times New Roman" w:hAnsi="Times New Roman" w:cs="Times New Roman"/>
                <w:color w:val="000000"/>
                <w:sz w:val="21"/>
                <w:szCs w:val="21"/>
              </w:rPr>
            </w:pPr>
            <w:r>
              <w:rPr>
                <w:rFonts w:ascii="Times New Roman" w:hAnsi="Times New Roman" w:cs="Times New Roman"/>
                <w:color w:val="000000"/>
                <w:sz w:val="21"/>
                <w:szCs w:val="21"/>
              </w:rPr>
              <w:t>96.89</w:t>
            </w:r>
          </w:p>
        </w:tc>
        <w:tc>
          <w:tcPr>
            <w:tcW w:w="963" w:type="pct"/>
            <w:vAlign w:val="center"/>
          </w:tcPr>
          <w:p w14:paraId="4E74C077" w14:textId="77777777" w:rsidR="002D0AE7" w:rsidRDefault="00333EBB">
            <w:pPr>
              <w:ind w:right="73"/>
              <w:jc w:val="center"/>
              <w:rPr>
                <w:rFonts w:hint="eastAsia"/>
                <w:color w:val="000000" w:themeColor="text1"/>
                <w:sz w:val="21"/>
                <w:szCs w:val="21"/>
              </w:rPr>
            </w:pPr>
            <w:r>
              <w:rPr>
                <w:color w:val="000000" w:themeColor="text1"/>
                <w:sz w:val="21"/>
                <w:szCs w:val="21"/>
              </w:rPr>
              <w:t>/</w:t>
            </w:r>
          </w:p>
        </w:tc>
        <w:tc>
          <w:tcPr>
            <w:tcW w:w="1222" w:type="pct"/>
            <w:vAlign w:val="center"/>
          </w:tcPr>
          <w:p w14:paraId="700866AD" w14:textId="77777777" w:rsidR="002D0AE7" w:rsidRDefault="00333EBB">
            <w:pPr>
              <w:ind w:right="73"/>
              <w:jc w:val="center"/>
              <w:rPr>
                <w:rFonts w:hint="eastAsia"/>
                <w:color w:val="000000" w:themeColor="text1"/>
                <w:sz w:val="21"/>
                <w:szCs w:val="21"/>
              </w:rPr>
            </w:pPr>
            <w:r>
              <w:rPr>
                <w:color w:val="000000" w:themeColor="text1"/>
                <w:sz w:val="21"/>
                <w:szCs w:val="21"/>
              </w:rPr>
              <w:t>/</w:t>
            </w:r>
          </w:p>
        </w:tc>
        <w:tc>
          <w:tcPr>
            <w:tcW w:w="889" w:type="pct"/>
            <w:vAlign w:val="center"/>
          </w:tcPr>
          <w:p w14:paraId="0D57E5B3" w14:textId="77777777" w:rsidR="002D0AE7" w:rsidRDefault="00333EBB">
            <w:pPr>
              <w:ind w:right="73"/>
              <w:jc w:val="right"/>
              <w:rPr>
                <w:rFonts w:ascii="Times New Roman" w:hAnsi="Times New Roman" w:cs="Times New Roman"/>
                <w:color w:val="000000"/>
                <w:sz w:val="21"/>
                <w:szCs w:val="21"/>
              </w:rPr>
            </w:pPr>
            <w:r>
              <w:rPr>
                <w:rFonts w:ascii="Times New Roman" w:hAnsi="Times New Roman" w:cs="Times New Roman"/>
                <w:color w:val="000000"/>
                <w:sz w:val="21"/>
                <w:szCs w:val="21"/>
              </w:rPr>
              <w:t>16,531.55</w:t>
            </w:r>
          </w:p>
        </w:tc>
      </w:tr>
    </w:tbl>
    <w:p w14:paraId="0F961FFD" w14:textId="77777777" w:rsidR="002D0AE7" w:rsidRDefault="00333EBB">
      <w:pPr>
        <w:pStyle w:val="4"/>
        <w:numPr>
          <w:ilvl w:val="3"/>
          <w:numId w:val="47"/>
        </w:numPr>
        <w:tabs>
          <w:tab w:val="left" w:pos="560"/>
        </w:tabs>
        <w:rPr>
          <w:rFonts w:ascii="宋体" w:hAnsi="宋体" w:cs="宋体" w:hint="eastAsia"/>
          <w:color w:val="000000" w:themeColor="text1"/>
          <w:kern w:val="0"/>
          <w:szCs w:val="24"/>
        </w:rPr>
      </w:pPr>
      <w:bookmarkStart w:id="166" w:name="_Hlk167891115"/>
      <w:r>
        <w:rPr>
          <w:rFonts w:ascii="宋体" w:hAnsi="宋体" w:cs="宋体"/>
          <w:color w:val="000000" w:themeColor="text1"/>
          <w:kern w:val="0"/>
          <w:szCs w:val="24"/>
        </w:rPr>
        <w:t>因资金集中管理而列报于其他应收款</w:t>
      </w:r>
    </w:p>
    <w:sdt>
      <w:sdtPr>
        <w:rPr>
          <w:color w:val="000000" w:themeColor="text1"/>
        </w:rPr>
        <w:alias w:val="是否适用：因资金集中管理而列报于其他应收款[双击切换]"/>
        <w:tag w:val="_GBC_4dd617ad43cc44e08e5603fa324c6566"/>
        <w:id w:val="-1357653956"/>
        <w:placeholder>
          <w:docPart w:val="GBC22222222222222222222222222222"/>
        </w:placeholder>
      </w:sdtPr>
      <w:sdtEndPr/>
      <w:sdtContent>
        <w:p w14:paraId="0D55D4DA" w14:textId="77777777" w:rsidR="002D0AE7" w:rsidRDefault="00333EBB">
          <w:pPr>
            <w:snapToGrid w:val="0"/>
            <w:spacing w:line="240" w:lineRule="atLeast"/>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bookmarkEnd w:id="166"/>
    <w:p w14:paraId="30D36936" w14:textId="77777777" w:rsidR="002D0AE7" w:rsidRDefault="00333EBB">
      <w:pPr>
        <w:rPr>
          <w:rFonts w:hint="eastAsia"/>
          <w:color w:val="000000" w:themeColor="text1"/>
        </w:rPr>
      </w:pPr>
      <w:r>
        <w:rPr>
          <w:rFonts w:hint="eastAsia"/>
          <w:color w:val="000000" w:themeColor="text1"/>
        </w:rPr>
        <w:t>其他</w:t>
      </w:r>
      <w:r>
        <w:rPr>
          <w:color w:val="000000" w:themeColor="text1"/>
        </w:rPr>
        <w:t>说明：</w:t>
      </w:r>
      <w:sdt>
        <w:sdtPr>
          <w:rPr>
            <w:color w:val="000000" w:themeColor="text1"/>
          </w:rPr>
          <w:alias w:val="是否适用：其他应收款的其他说明[双击切换]"/>
          <w:tag w:val="_GBC_55d570440c184744bd13a4938ba488d1"/>
          <w:id w:val="2024052504"/>
          <w:placeholder>
            <w:docPart w:val="GBC22222222222222222222222222222"/>
          </w:placeholder>
        </w:sdtPr>
        <w:sdtEndPr/>
        <w:sdtContent>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sdtContent>
      </w:sdt>
    </w:p>
    <w:sdt>
      <w:sdtPr>
        <w:rPr>
          <w:color w:val="000000" w:themeColor="text1"/>
        </w:rPr>
        <w:alias w:val="其他应收款的其他说明"/>
        <w:tag w:val="_GBC_40e60fff300549cfb19532b4da820b49"/>
        <w:id w:val="-913474050"/>
        <w:placeholder>
          <w:docPart w:val="GBC22222222222222222222222222222"/>
        </w:placeholder>
      </w:sdtPr>
      <w:sdtEndPr/>
      <w:sdtContent>
        <w:p w14:paraId="3977FEE0" w14:textId="77777777" w:rsidR="002D0AE7" w:rsidRDefault="00333EBB">
          <w:pPr>
            <w:rPr>
              <w:rFonts w:hint="eastAsia"/>
              <w:color w:val="000000" w:themeColor="text1"/>
            </w:rPr>
          </w:pPr>
          <w:sdt>
            <w:sdtPr>
              <w:rPr>
                <w:color w:val="000000" w:themeColor="text1"/>
              </w:rPr>
              <w:alias w:val="其他应收款坏账准备情况的说明"/>
              <w:tag w:val="_GBC_11748f5205eb4dda805c8e59fe7ff0df"/>
              <w:id w:val="1918588135"/>
              <w:placeholder>
                <w:docPart w:val="C6FB429BB0424CC2A29497699E2CA3C2"/>
              </w:placeholder>
            </w:sdtPr>
            <w:sdtEndPr>
              <w:rPr>
                <w:rFonts w:hint="eastAsia"/>
                <w:color w:val="auto"/>
                <w:sz w:val="21"/>
                <w:szCs w:val="21"/>
              </w:rPr>
            </w:sdtEndPr>
            <w:sdtContent>
              <w:sdt>
                <w:sdtPr>
                  <w:alias w:val="其他应收款的其他说明"/>
                  <w:tag w:val="_GBC_40e60fff300549cfb19532b4da820b49"/>
                  <w:id w:val="-2129844048"/>
                </w:sdtPr>
                <w:sdtEndPr>
                  <w:rPr>
                    <w:sz w:val="21"/>
                    <w:szCs w:val="21"/>
                  </w:rPr>
                </w:sdtEndPr>
                <w:sdtContent>
                  <w:r>
                    <w:rPr>
                      <w:rFonts w:hint="eastAsia"/>
                      <w:sz w:val="21"/>
                      <w:szCs w:val="21"/>
                    </w:rPr>
                    <w:t>其他应收款中持本公司</w:t>
                  </w:r>
                  <w:r>
                    <w:rPr>
                      <w:rFonts w:hint="eastAsia"/>
                      <w:sz w:val="21"/>
                      <w:szCs w:val="21"/>
                    </w:rPr>
                    <w:t>5%</w:t>
                  </w:r>
                  <w:r>
                    <w:rPr>
                      <w:rFonts w:hint="eastAsia"/>
                      <w:sz w:val="21"/>
                      <w:szCs w:val="21"/>
                    </w:rPr>
                    <w:t>（含</w:t>
                  </w:r>
                  <w:r>
                    <w:rPr>
                      <w:rFonts w:hint="eastAsia"/>
                      <w:sz w:val="21"/>
                      <w:szCs w:val="21"/>
                    </w:rPr>
                    <w:t>5%</w:t>
                  </w:r>
                  <w:r>
                    <w:rPr>
                      <w:rFonts w:hint="eastAsia"/>
                      <w:sz w:val="21"/>
                      <w:szCs w:val="21"/>
                    </w:rPr>
                    <w:t>）以上股份的股东欠款</w:t>
                  </w:r>
                </w:sdtContent>
              </w:sdt>
              <w:r>
                <w:rPr>
                  <w:rFonts w:ascii="Times New Roman" w:hAnsi="Times New Roman" w:cs="Times New Roman"/>
                  <w:sz w:val="21"/>
                  <w:szCs w:val="21"/>
                </w:rPr>
                <w:t>419,057.72</w:t>
              </w:r>
              <w:r>
                <w:rPr>
                  <w:sz w:val="21"/>
                  <w:szCs w:val="21"/>
                </w:rPr>
                <w:t>元</w:t>
              </w:r>
              <w:r>
                <w:rPr>
                  <w:rFonts w:hint="eastAsia"/>
                  <w:sz w:val="21"/>
                  <w:szCs w:val="21"/>
                </w:rPr>
                <w:t>,</w:t>
              </w:r>
              <w:r>
                <w:rPr>
                  <w:sz w:val="21"/>
                  <w:szCs w:val="21"/>
                </w:rPr>
                <w:t>应收其他关联方的余额合计为</w:t>
              </w:r>
              <w:r>
                <w:rPr>
                  <w:rFonts w:ascii="Times New Roman" w:hAnsi="Times New Roman" w:cs="Times New Roman"/>
                  <w:sz w:val="21"/>
                  <w:szCs w:val="21"/>
                </w:rPr>
                <w:t>1,990,000.00</w:t>
              </w:r>
              <w:r>
                <w:rPr>
                  <w:sz w:val="21"/>
                  <w:szCs w:val="21"/>
                </w:rPr>
                <w:t>元</w:t>
              </w:r>
              <w:r>
                <w:rPr>
                  <w:rFonts w:hint="eastAsia"/>
                  <w:sz w:val="21"/>
                  <w:szCs w:val="21"/>
                </w:rPr>
                <w:t>。</w:t>
              </w:r>
            </w:sdtContent>
          </w:sdt>
        </w:p>
      </w:sdtContent>
    </w:sdt>
    <w:p w14:paraId="4B7998DD" w14:textId="77777777" w:rsidR="002D0AE7" w:rsidRDefault="00333EBB">
      <w:pPr>
        <w:pStyle w:val="3"/>
        <w:numPr>
          <w:ilvl w:val="0"/>
          <w:numId w:val="43"/>
        </w:numPr>
        <w:tabs>
          <w:tab w:val="left" w:pos="504"/>
        </w:tabs>
        <w:rPr>
          <w:rFonts w:ascii="宋体" w:hAnsi="宋体" w:cs="宋体" w:hint="eastAsia"/>
          <w:color w:val="000000" w:themeColor="text1"/>
          <w:kern w:val="0"/>
          <w:szCs w:val="24"/>
        </w:rPr>
      </w:pPr>
      <w:r>
        <w:rPr>
          <w:rFonts w:ascii="宋体" w:hAnsi="宋体" w:cs="宋体" w:hint="eastAsia"/>
          <w:color w:val="000000" w:themeColor="text1"/>
          <w:kern w:val="0"/>
          <w:szCs w:val="24"/>
        </w:rPr>
        <w:t>存货</w:t>
      </w:r>
    </w:p>
    <w:p w14:paraId="12EA26B0" w14:textId="77777777" w:rsidR="002D0AE7" w:rsidRDefault="00333EBB">
      <w:pPr>
        <w:pStyle w:val="4"/>
        <w:numPr>
          <w:ilvl w:val="0"/>
          <w:numId w:val="48"/>
        </w:numPr>
        <w:tabs>
          <w:tab w:val="left" w:pos="630"/>
        </w:tabs>
        <w:rPr>
          <w:rFonts w:ascii="宋体" w:hAnsi="宋体" w:hint="eastAsia"/>
          <w:color w:val="000000" w:themeColor="text1"/>
        </w:rPr>
      </w:pPr>
      <w:bookmarkStart w:id="167" w:name="_Hlk10470159"/>
      <w:r>
        <w:rPr>
          <w:rFonts w:ascii="宋体" w:hAnsi="宋体" w:hint="eastAsia"/>
          <w:color w:val="000000" w:themeColor="text1"/>
        </w:rPr>
        <w:t>存货分类</w:t>
      </w:r>
    </w:p>
    <w:sdt>
      <w:sdtPr>
        <w:rPr>
          <w:color w:val="000000" w:themeColor="text1"/>
        </w:rPr>
        <w:alias w:val="是否适用：存货分类[双击切换]"/>
        <w:tag w:val="_GBC_06c46a03a226418fb8e5e84326c47750"/>
        <w:id w:val="-901525753"/>
        <w:placeholder>
          <w:docPart w:val="GBC22222222222222222222222222222"/>
        </w:placeholder>
      </w:sdtPr>
      <w:sdtEndPr/>
      <w:sdtContent>
        <w:p w14:paraId="3BDADD98"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5673D7C6"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存货分类"/>
          <w:tag w:val="_GBC_cc6e1ec3be0141cbb25cf999a897b29b"/>
          <w:id w:val="-171372545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存货分类"/>
          <w:tag w:val="_GBC_d85b2ad6790d4fa2ace1d773934cd4b3"/>
          <w:id w:val="-47113892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1704"/>
        <w:gridCol w:w="1458"/>
        <w:gridCol w:w="1359"/>
        <w:gridCol w:w="1458"/>
        <w:gridCol w:w="1458"/>
        <w:gridCol w:w="1359"/>
        <w:gridCol w:w="1456"/>
      </w:tblGrid>
      <w:tr w:rsidR="002D0AE7" w14:paraId="383527E9" w14:textId="77777777">
        <w:trPr>
          <w:cantSplit/>
          <w:jc w:val="center"/>
        </w:trPr>
        <w:bookmarkEnd w:id="167" w:displacedByCustomXml="next"/>
        <w:sdt>
          <w:sdtPr>
            <w:rPr>
              <w:color w:val="000000" w:themeColor="text1"/>
              <w:sz w:val="21"/>
              <w:szCs w:val="21"/>
            </w:rPr>
            <w:tag w:val="_PLD_48d855cd658044389f8d1cbe0016be78"/>
            <w:id w:val="-1777013680"/>
          </w:sdtPr>
          <w:sdtEndPr/>
          <w:sdtContent>
            <w:tc>
              <w:tcPr>
                <w:tcW w:w="831" w:type="pct"/>
                <w:vMerge w:val="restart"/>
                <w:vAlign w:val="center"/>
              </w:tcPr>
              <w:p w14:paraId="3529B2AD"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586606f595aa4fff8214f9b6209260b6"/>
            <w:id w:val="658198840"/>
          </w:sdtPr>
          <w:sdtEndPr/>
          <w:sdtContent>
            <w:tc>
              <w:tcPr>
                <w:tcW w:w="2085" w:type="pct"/>
                <w:gridSpan w:val="3"/>
                <w:vAlign w:val="center"/>
              </w:tcPr>
              <w:p w14:paraId="1BB87855"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sdt>
          <w:sdtPr>
            <w:rPr>
              <w:color w:val="000000" w:themeColor="text1"/>
              <w:sz w:val="21"/>
              <w:szCs w:val="21"/>
            </w:rPr>
            <w:tag w:val="_PLD_a1bbc97888494137a790328386c2b9d8"/>
            <w:id w:val="546104669"/>
          </w:sdtPr>
          <w:sdtEndPr/>
          <w:sdtContent>
            <w:tc>
              <w:tcPr>
                <w:tcW w:w="2084" w:type="pct"/>
                <w:gridSpan w:val="3"/>
                <w:vAlign w:val="center"/>
              </w:tcPr>
              <w:p w14:paraId="0EED146C" w14:textId="77777777" w:rsidR="002D0AE7" w:rsidRDefault="00333EBB">
                <w:pPr>
                  <w:jc w:val="center"/>
                  <w:rPr>
                    <w:rFonts w:hint="eastAsia"/>
                    <w:color w:val="000000" w:themeColor="text1"/>
                    <w:sz w:val="21"/>
                    <w:szCs w:val="21"/>
                  </w:rPr>
                </w:pPr>
                <w:r>
                  <w:rPr>
                    <w:rFonts w:hint="eastAsia"/>
                    <w:color w:val="000000" w:themeColor="text1"/>
                    <w:sz w:val="21"/>
                    <w:szCs w:val="21"/>
                  </w:rPr>
                  <w:t>期初余额</w:t>
                </w:r>
              </w:p>
            </w:tc>
          </w:sdtContent>
        </w:sdt>
      </w:tr>
      <w:tr w:rsidR="002D0AE7" w14:paraId="2538E986" w14:textId="77777777">
        <w:trPr>
          <w:cantSplit/>
          <w:jc w:val="center"/>
        </w:trPr>
        <w:tc>
          <w:tcPr>
            <w:tcW w:w="831" w:type="pct"/>
            <w:vMerge/>
          </w:tcPr>
          <w:p w14:paraId="6A48E3B8" w14:textId="77777777" w:rsidR="002D0AE7" w:rsidRDefault="002D0AE7">
            <w:pPr>
              <w:ind w:right="5"/>
              <w:jc w:val="center"/>
              <w:rPr>
                <w:rFonts w:hint="eastAsia"/>
                <w:color w:val="000000" w:themeColor="text1"/>
                <w:sz w:val="21"/>
                <w:szCs w:val="21"/>
              </w:rPr>
            </w:pPr>
          </w:p>
        </w:tc>
        <w:sdt>
          <w:sdtPr>
            <w:rPr>
              <w:color w:val="000000" w:themeColor="text1"/>
              <w:sz w:val="21"/>
              <w:szCs w:val="21"/>
            </w:rPr>
            <w:tag w:val="_PLD_60368d835c2843d99b5061f4c84f8d8e"/>
            <w:id w:val="-1993014549"/>
          </w:sdtPr>
          <w:sdtEndPr/>
          <w:sdtContent>
            <w:tc>
              <w:tcPr>
                <w:tcW w:w="711" w:type="pct"/>
                <w:vAlign w:val="center"/>
              </w:tcPr>
              <w:p w14:paraId="0954EE07" w14:textId="77777777" w:rsidR="002D0AE7" w:rsidRDefault="00333EBB">
                <w:pPr>
                  <w:ind w:right="5"/>
                  <w:jc w:val="center"/>
                  <w:rPr>
                    <w:rFonts w:hint="eastAsia"/>
                    <w:color w:val="000000" w:themeColor="text1"/>
                    <w:sz w:val="21"/>
                    <w:szCs w:val="21"/>
                  </w:rPr>
                </w:pPr>
                <w:r>
                  <w:rPr>
                    <w:rFonts w:hint="eastAsia"/>
                    <w:color w:val="000000" w:themeColor="text1"/>
                    <w:sz w:val="21"/>
                    <w:szCs w:val="21"/>
                  </w:rPr>
                  <w:t>账面余额</w:t>
                </w:r>
              </w:p>
            </w:tc>
          </w:sdtContent>
        </w:sdt>
        <w:tc>
          <w:tcPr>
            <w:tcW w:w="663" w:type="pct"/>
            <w:vAlign w:val="center"/>
          </w:tcPr>
          <w:p w14:paraId="1A3C3067" w14:textId="77777777" w:rsidR="002D0AE7" w:rsidRDefault="00333EBB">
            <w:pPr>
              <w:ind w:right="5"/>
              <w:jc w:val="center"/>
              <w:rPr>
                <w:rFonts w:hint="eastAsia"/>
                <w:color w:val="000000" w:themeColor="text1"/>
                <w:sz w:val="21"/>
                <w:szCs w:val="21"/>
              </w:rPr>
            </w:pPr>
            <w:sdt>
              <w:sdtPr>
                <w:rPr>
                  <w:color w:val="000000" w:themeColor="text1"/>
                  <w:sz w:val="21"/>
                  <w:szCs w:val="21"/>
                </w:rPr>
                <w:tag w:val="_PLD_b5c53ce2a5004db988af9e72594f6b6a"/>
                <w:id w:val="1105618186"/>
              </w:sdtPr>
              <w:sdtEndPr/>
              <w:sdtContent>
                <w:r>
                  <w:rPr>
                    <w:rFonts w:hint="eastAsia"/>
                    <w:color w:val="000000" w:themeColor="text1"/>
                    <w:sz w:val="21"/>
                    <w:szCs w:val="21"/>
                  </w:rPr>
                  <w:t>存货跌价准备</w:t>
                </w:r>
                <w:r>
                  <w:rPr>
                    <w:color w:val="000000" w:themeColor="text1"/>
                    <w:sz w:val="21"/>
                    <w:szCs w:val="21"/>
                  </w:rPr>
                  <w:t>/</w:t>
                </w:r>
                <w:r>
                  <w:rPr>
                    <w:color w:val="000000" w:themeColor="text1"/>
                    <w:sz w:val="21"/>
                    <w:szCs w:val="21"/>
                  </w:rPr>
                  <w:t>合同履约成本减值准备</w:t>
                </w:r>
              </w:sdtContent>
            </w:sdt>
          </w:p>
        </w:tc>
        <w:sdt>
          <w:sdtPr>
            <w:rPr>
              <w:color w:val="000000" w:themeColor="text1"/>
              <w:sz w:val="21"/>
              <w:szCs w:val="21"/>
            </w:rPr>
            <w:tag w:val="_PLD_f2691cf723784fbcbc9a900f61c6e250"/>
            <w:id w:val="-1972590730"/>
          </w:sdtPr>
          <w:sdtEndPr/>
          <w:sdtContent>
            <w:tc>
              <w:tcPr>
                <w:tcW w:w="711" w:type="pct"/>
                <w:vAlign w:val="center"/>
              </w:tcPr>
              <w:p w14:paraId="12199931" w14:textId="77777777" w:rsidR="002D0AE7" w:rsidRDefault="00333EBB">
                <w:pPr>
                  <w:ind w:right="5"/>
                  <w:jc w:val="center"/>
                  <w:rPr>
                    <w:rFonts w:hint="eastAsia"/>
                    <w:color w:val="000000" w:themeColor="text1"/>
                    <w:sz w:val="21"/>
                    <w:szCs w:val="21"/>
                  </w:rPr>
                </w:pPr>
                <w:r>
                  <w:rPr>
                    <w:rFonts w:hint="eastAsia"/>
                    <w:color w:val="000000" w:themeColor="text1"/>
                    <w:sz w:val="21"/>
                    <w:szCs w:val="21"/>
                  </w:rPr>
                  <w:t>账面价值</w:t>
                </w:r>
              </w:p>
            </w:tc>
          </w:sdtContent>
        </w:sdt>
        <w:sdt>
          <w:sdtPr>
            <w:rPr>
              <w:color w:val="000000" w:themeColor="text1"/>
              <w:sz w:val="21"/>
              <w:szCs w:val="21"/>
            </w:rPr>
            <w:tag w:val="_PLD_df34ec94af0b441bab962cb42fe65b1a"/>
            <w:id w:val="-938672006"/>
          </w:sdtPr>
          <w:sdtEndPr/>
          <w:sdtContent>
            <w:tc>
              <w:tcPr>
                <w:tcW w:w="711" w:type="pct"/>
                <w:vAlign w:val="center"/>
              </w:tcPr>
              <w:p w14:paraId="7B16A1FF" w14:textId="77777777" w:rsidR="002D0AE7" w:rsidRDefault="00333EBB">
                <w:pPr>
                  <w:ind w:right="5"/>
                  <w:jc w:val="center"/>
                  <w:rPr>
                    <w:rFonts w:hint="eastAsia"/>
                    <w:color w:val="000000" w:themeColor="text1"/>
                    <w:sz w:val="21"/>
                    <w:szCs w:val="21"/>
                  </w:rPr>
                </w:pPr>
                <w:r>
                  <w:rPr>
                    <w:rFonts w:hint="eastAsia"/>
                    <w:color w:val="000000" w:themeColor="text1"/>
                    <w:sz w:val="21"/>
                    <w:szCs w:val="21"/>
                  </w:rPr>
                  <w:t>账面余额</w:t>
                </w:r>
              </w:p>
            </w:tc>
          </w:sdtContent>
        </w:sdt>
        <w:tc>
          <w:tcPr>
            <w:tcW w:w="663" w:type="pct"/>
            <w:vAlign w:val="center"/>
          </w:tcPr>
          <w:p w14:paraId="2E51B27E" w14:textId="77777777" w:rsidR="002D0AE7" w:rsidRDefault="00333EBB">
            <w:pPr>
              <w:ind w:right="5"/>
              <w:jc w:val="center"/>
              <w:rPr>
                <w:rFonts w:hint="eastAsia"/>
                <w:color w:val="000000" w:themeColor="text1"/>
                <w:sz w:val="21"/>
                <w:szCs w:val="21"/>
              </w:rPr>
            </w:pPr>
            <w:sdt>
              <w:sdtPr>
                <w:rPr>
                  <w:color w:val="000000" w:themeColor="text1"/>
                  <w:sz w:val="21"/>
                  <w:szCs w:val="21"/>
                </w:rPr>
                <w:tag w:val="_PLD_7a42c47b54924b47b9e161d8fd9fb840"/>
                <w:id w:val="-1712560866"/>
              </w:sdtPr>
              <w:sdtEndPr/>
              <w:sdtContent>
                <w:r>
                  <w:rPr>
                    <w:rFonts w:hint="eastAsia"/>
                    <w:color w:val="000000" w:themeColor="text1"/>
                    <w:sz w:val="21"/>
                    <w:szCs w:val="21"/>
                  </w:rPr>
                  <w:t>存货跌价准备</w:t>
                </w:r>
                <w:r>
                  <w:rPr>
                    <w:color w:val="000000" w:themeColor="text1"/>
                    <w:sz w:val="21"/>
                    <w:szCs w:val="21"/>
                  </w:rPr>
                  <w:t>/</w:t>
                </w:r>
                <w:r>
                  <w:rPr>
                    <w:color w:val="000000" w:themeColor="text1"/>
                    <w:sz w:val="21"/>
                    <w:szCs w:val="21"/>
                  </w:rPr>
                  <w:t>合同履约成本减值准备</w:t>
                </w:r>
              </w:sdtContent>
            </w:sdt>
          </w:p>
        </w:tc>
        <w:sdt>
          <w:sdtPr>
            <w:rPr>
              <w:color w:val="000000" w:themeColor="text1"/>
              <w:sz w:val="21"/>
              <w:szCs w:val="21"/>
            </w:rPr>
            <w:tag w:val="_PLD_0db3a7f82db34583bb111dc2a8e88f8c"/>
            <w:id w:val="-2096778693"/>
          </w:sdtPr>
          <w:sdtEndPr/>
          <w:sdtContent>
            <w:tc>
              <w:tcPr>
                <w:tcW w:w="710" w:type="pct"/>
                <w:vAlign w:val="center"/>
              </w:tcPr>
              <w:p w14:paraId="0F39532F" w14:textId="77777777" w:rsidR="002D0AE7" w:rsidRDefault="00333EBB">
                <w:pPr>
                  <w:ind w:right="5"/>
                  <w:jc w:val="center"/>
                  <w:rPr>
                    <w:rFonts w:hint="eastAsia"/>
                    <w:color w:val="000000" w:themeColor="text1"/>
                    <w:sz w:val="21"/>
                    <w:szCs w:val="21"/>
                  </w:rPr>
                </w:pPr>
                <w:r>
                  <w:rPr>
                    <w:rFonts w:hint="eastAsia"/>
                    <w:color w:val="000000" w:themeColor="text1"/>
                    <w:sz w:val="21"/>
                    <w:szCs w:val="21"/>
                  </w:rPr>
                  <w:t>账面价值</w:t>
                </w:r>
              </w:p>
            </w:tc>
          </w:sdtContent>
        </w:sdt>
      </w:tr>
      <w:tr w:rsidR="002D0AE7" w14:paraId="0967AA50" w14:textId="77777777">
        <w:trPr>
          <w:cantSplit/>
          <w:jc w:val="center"/>
        </w:trPr>
        <w:tc>
          <w:tcPr>
            <w:tcW w:w="831" w:type="pct"/>
          </w:tcPr>
          <w:p w14:paraId="13637D0B" w14:textId="77777777" w:rsidR="002D0AE7" w:rsidRDefault="00333EBB">
            <w:pPr>
              <w:ind w:right="5"/>
              <w:rPr>
                <w:rFonts w:hint="eastAsia"/>
                <w:sz w:val="21"/>
                <w:szCs w:val="21"/>
              </w:rPr>
            </w:pPr>
            <w:r>
              <w:rPr>
                <w:rFonts w:hint="eastAsia"/>
                <w:sz w:val="21"/>
                <w:szCs w:val="21"/>
              </w:rPr>
              <w:t>原材料</w:t>
            </w:r>
          </w:p>
        </w:tc>
        <w:tc>
          <w:tcPr>
            <w:tcW w:w="711" w:type="pct"/>
          </w:tcPr>
          <w:p w14:paraId="6AC0CDC9"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150,845,948.48</w:t>
            </w:r>
          </w:p>
        </w:tc>
        <w:tc>
          <w:tcPr>
            <w:tcW w:w="663" w:type="pct"/>
          </w:tcPr>
          <w:p w14:paraId="01A37A1B"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5,887,305.20</w:t>
            </w:r>
          </w:p>
        </w:tc>
        <w:tc>
          <w:tcPr>
            <w:tcW w:w="711" w:type="pct"/>
          </w:tcPr>
          <w:p w14:paraId="7790085D"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144,958,643.28</w:t>
            </w:r>
          </w:p>
        </w:tc>
        <w:tc>
          <w:tcPr>
            <w:tcW w:w="711" w:type="pct"/>
          </w:tcPr>
          <w:p w14:paraId="6B9DDE94"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144,634,502.24</w:t>
            </w:r>
          </w:p>
        </w:tc>
        <w:tc>
          <w:tcPr>
            <w:tcW w:w="663" w:type="pct"/>
          </w:tcPr>
          <w:p w14:paraId="2270D6D1"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7,725,330.48</w:t>
            </w:r>
          </w:p>
        </w:tc>
        <w:tc>
          <w:tcPr>
            <w:tcW w:w="710" w:type="pct"/>
          </w:tcPr>
          <w:p w14:paraId="5DEDDDED"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136,909,171.76</w:t>
            </w:r>
          </w:p>
        </w:tc>
      </w:tr>
      <w:tr w:rsidR="002D0AE7" w14:paraId="324C1E90" w14:textId="77777777">
        <w:trPr>
          <w:cantSplit/>
          <w:jc w:val="center"/>
        </w:trPr>
        <w:tc>
          <w:tcPr>
            <w:tcW w:w="831" w:type="pct"/>
          </w:tcPr>
          <w:p w14:paraId="68FD710A" w14:textId="77777777" w:rsidR="002D0AE7" w:rsidRDefault="00333EBB">
            <w:pPr>
              <w:ind w:right="5"/>
              <w:rPr>
                <w:rFonts w:hint="eastAsia"/>
                <w:sz w:val="21"/>
                <w:szCs w:val="21"/>
              </w:rPr>
            </w:pPr>
            <w:r>
              <w:rPr>
                <w:rFonts w:hint="eastAsia"/>
                <w:sz w:val="21"/>
                <w:szCs w:val="21"/>
              </w:rPr>
              <w:t>在产品</w:t>
            </w:r>
          </w:p>
        </w:tc>
        <w:tc>
          <w:tcPr>
            <w:tcW w:w="711" w:type="pct"/>
          </w:tcPr>
          <w:p w14:paraId="5DE66C64"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288,069,088.81</w:t>
            </w:r>
          </w:p>
        </w:tc>
        <w:tc>
          <w:tcPr>
            <w:tcW w:w="663" w:type="pct"/>
          </w:tcPr>
          <w:p w14:paraId="6BD91769"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18,241,874.48</w:t>
            </w:r>
          </w:p>
        </w:tc>
        <w:tc>
          <w:tcPr>
            <w:tcW w:w="711" w:type="pct"/>
          </w:tcPr>
          <w:p w14:paraId="0264043F"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269,827,214.33</w:t>
            </w:r>
          </w:p>
        </w:tc>
        <w:tc>
          <w:tcPr>
            <w:tcW w:w="711" w:type="pct"/>
          </w:tcPr>
          <w:p w14:paraId="520383FB"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288,391,413.98</w:t>
            </w:r>
          </w:p>
        </w:tc>
        <w:tc>
          <w:tcPr>
            <w:tcW w:w="663" w:type="pct"/>
          </w:tcPr>
          <w:p w14:paraId="6BEB1CA2"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35,887,108.25</w:t>
            </w:r>
          </w:p>
        </w:tc>
        <w:tc>
          <w:tcPr>
            <w:tcW w:w="710" w:type="pct"/>
          </w:tcPr>
          <w:p w14:paraId="35B66BA3"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252,504,305.73</w:t>
            </w:r>
          </w:p>
        </w:tc>
      </w:tr>
      <w:tr w:rsidR="002D0AE7" w14:paraId="38A19F51" w14:textId="77777777">
        <w:trPr>
          <w:cantSplit/>
          <w:jc w:val="center"/>
        </w:trPr>
        <w:tc>
          <w:tcPr>
            <w:tcW w:w="831" w:type="pct"/>
          </w:tcPr>
          <w:p w14:paraId="2D3D45B1" w14:textId="77777777" w:rsidR="002D0AE7" w:rsidRDefault="00333EBB">
            <w:pPr>
              <w:ind w:right="5"/>
              <w:rPr>
                <w:rFonts w:hint="eastAsia"/>
                <w:sz w:val="21"/>
                <w:szCs w:val="21"/>
              </w:rPr>
            </w:pPr>
            <w:r>
              <w:rPr>
                <w:rFonts w:hint="eastAsia"/>
                <w:sz w:val="21"/>
                <w:szCs w:val="21"/>
              </w:rPr>
              <w:t>库存商品</w:t>
            </w:r>
          </w:p>
        </w:tc>
        <w:tc>
          <w:tcPr>
            <w:tcW w:w="711" w:type="pct"/>
          </w:tcPr>
          <w:p w14:paraId="22A766CD"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349,262,017.58</w:t>
            </w:r>
          </w:p>
        </w:tc>
        <w:tc>
          <w:tcPr>
            <w:tcW w:w="663" w:type="pct"/>
          </w:tcPr>
          <w:p w14:paraId="0B1F959A"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36,705,192.40</w:t>
            </w:r>
          </w:p>
        </w:tc>
        <w:tc>
          <w:tcPr>
            <w:tcW w:w="711" w:type="pct"/>
          </w:tcPr>
          <w:p w14:paraId="55BAE13A"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312,556,825.18</w:t>
            </w:r>
          </w:p>
        </w:tc>
        <w:tc>
          <w:tcPr>
            <w:tcW w:w="711" w:type="pct"/>
          </w:tcPr>
          <w:p w14:paraId="7D5F5551"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345,067,149.74</w:t>
            </w:r>
          </w:p>
        </w:tc>
        <w:tc>
          <w:tcPr>
            <w:tcW w:w="663" w:type="pct"/>
          </w:tcPr>
          <w:p w14:paraId="4D59102B"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39,727,769.18</w:t>
            </w:r>
          </w:p>
        </w:tc>
        <w:tc>
          <w:tcPr>
            <w:tcW w:w="710" w:type="pct"/>
          </w:tcPr>
          <w:p w14:paraId="6CCE1251"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305,339,380.56</w:t>
            </w:r>
          </w:p>
        </w:tc>
      </w:tr>
      <w:tr w:rsidR="002D0AE7" w14:paraId="24E25B4B" w14:textId="77777777">
        <w:trPr>
          <w:cantSplit/>
          <w:jc w:val="center"/>
        </w:trPr>
        <w:tc>
          <w:tcPr>
            <w:tcW w:w="831" w:type="pct"/>
          </w:tcPr>
          <w:p w14:paraId="2B69C3DD" w14:textId="77777777" w:rsidR="002D0AE7" w:rsidRDefault="00333EBB">
            <w:pPr>
              <w:autoSpaceDE w:val="0"/>
              <w:autoSpaceDN w:val="0"/>
              <w:adjustRightInd w:val="0"/>
              <w:rPr>
                <w:rFonts w:hint="eastAsia"/>
                <w:sz w:val="21"/>
                <w:szCs w:val="21"/>
              </w:rPr>
            </w:pPr>
            <w:r>
              <w:rPr>
                <w:rFonts w:hint="eastAsia"/>
                <w:sz w:val="21"/>
                <w:szCs w:val="21"/>
              </w:rPr>
              <w:t>辅助材料</w:t>
            </w:r>
          </w:p>
        </w:tc>
        <w:tc>
          <w:tcPr>
            <w:tcW w:w="711" w:type="pct"/>
          </w:tcPr>
          <w:p w14:paraId="138BBC2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6,882,592.93</w:t>
            </w:r>
          </w:p>
        </w:tc>
        <w:tc>
          <w:tcPr>
            <w:tcW w:w="663" w:type="pct"/>
          </w:tcPr>
          <w:p w14:paraId="72BE910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70,168.01</w:t>
            </w:r>
          </w:p>
        </w:tc>
        <w:tc>
          <w:tcPr>
            <w:tcW w:w="711" w:type="pct"/>
          </w:tcPr>
          <w:p w14:paraId="13CE26A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6,812,424.92</w:t>
            </w:r>
          </w:p>
        </w:tc>
        <w:tc>
          <w:tcPr>
            <w:tcW w:w="711" w:type="pct"/>
          </w:tcPr>
          <w:p w14:paraId="66AE03EC"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3,658,594.65</w:t>
            </w:r>
          </w:p>
        </w:tc>
        <w:tc>
          <w:tcPr>
            <w:tcW w:w="663" w:type="pct"/>
          </w:tcPr>
          <w:p w14:paraId="3CD96F78"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71,664.46</w:t>
            </w:r>
          </w:p>
        </w:tc>
        <w:tc>
          <w:tcPr>
            <w:tcW w:w="710" w:type="pct"/>
          </w:tcPr>
          <w:p w14:paraId="7C96164C"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3,586,930.19</w:t>
            </w:r>
          </w:p>
        </w:tc>
      </w:tr>
      <w:tr w:rsidR="002D0AE7" w14:paraId="13536712" w14:textId="77777777">
        <w:trPr>
          <w:cantSplit/>
          <w:jc w:val="center"/>
        </w:trPr>
        <w:tc>
          <w:tcPr>
            <w:tcW w:w="831" w:type="pct"/>
          </w:tcPr>
          <w:p w14:paraId="1AD5257D" w14:textId="77777777" w:rsidR="002D0AE7" w:rsidRDefault="00333EBB">
            <w:pPr>
              <w:autoSpaceDE w:val="0"/>
              <w:autoSpaceDN w:val="0"/>
              <w:adjustRightInd w:val="0"/>
              <w:rPr>
                <w:rFonts w:hint="eastAsia"/>
                <w:sz w:val="21"/>
                <w:szCs w:val="21"/>
              </w:rPr>
            </w:pPr>
            <w:r>
              <w:rPr>
                <w:rFonts w:hint="eastAsia"/>
                <w:sz w:val="21"/>
                <w:szCs w:val="21"/>
              </w:rPr>
              <w:t>包装材料</w:t>
            </w:r>
          </w:p>
        </w:tc>
        <w:tc>
          <w:tcPr>
            <w:tcW w:w="711" w:type="pct"/>
          </w:tcPr>
          <w:p w14:paraId="7E0BECB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37,161,613.73</w:t>
            </w:r>
          </w:p>
        </w:tc>
        <w:tc>
          <w:tcPr>
            <w:tcW w:w="663" w:type="pct"/>
          </w:tcPr>
          <w:p w14:paraId="2A84630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643,331.56</w:t>
            </w:r>
          </w:p>
        </w:tc>
        <w:tc>
          <w:tcPr>
            <w:tcW w:w="711" w:type="pct"/>
          </w:tcPr>
          <w:p w14:paraId="33D7A87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36,518,282.17</w:t>
            </w:r>
          </w:p>
        </w:tc>
        <w:tc>
          <w:tcPr>
            <w:tcW w:w="711" w:type="pct"/>
          </w:tcPr>
          <w:p w14:paraId="73676593"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23,233,948.23</w:t>
            </w:r>
          </w:p>
        </w:tc>
        <w:tc>
          <w:tcPr>
            <w:tcW w:w="663" w:type="pct"/>
          </w:tcPr>
          <w:p w14:paraId="60B0B202"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636,408.51</w:t>
            </w:r>
          </w:p>
        </w:tc>
        <w:tc>
          <w:tcPr>
            <w:tcW w:w="710" w:type="pct"/>
          </w:tcPr>
          <w:p w14:paraId="75A9EF6F"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22,597,539.72</w:t>
            </w:r>
          </w:p>
        </w:tc>
      </w:tr>
      <w:tr w:rsidR="002D0AE7" w14:paraId="6723B8D9" w14:textId="77777777">
        <w:trPr>
          <w:cantSplit/>
          <w:jc w:val="center"/>
        </w:trPr>
        <w:tc>
          <w:tcPr>
            <w:tcW w:w="831" w:type="pct"/>
          </w:tcPr>
          <w:p w14:paraId="01A5C6D4" w14:textId="77777777" w:rsidR="002D0AE7" w:rsidRDefault="00333EBB">
            <w:pPr>
              <w:autoSpaceDE w:val="0"/>
              <w:autoSpaceDN w:val="0"/>
              <w:adjustRightInd w:val="0"/>
              <w:rPr>
                <w:rFonts w:hint="eastAsia"/>
                <w:sz w:val="21"/>
                <w:szCs w:val="21"/>
              </w:rPr>
            </w:pPr>
            <w:r>
              <w:rPr>
                <w:rFonts w:hint="eastAsia"/>
                <w:sz w:val="21"/>
                <w:szCs w:val="21"/>
              </w:rPr>
              <w:t>低值易耗品</w:t>
            </w:r>
          </w:p>
        </w:tc>
        <w:tc>
          <w:tcPr>
            <w:tcW w:w="711" w:type="pct"/>
          </w:tcPr>
          <w:p w14:paraId="4FC969B6"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2,215.48</w:t>
            </w:r>
          </w:p>
        </w:tc>
        <w:tc>
          <w:tcPr>
            <w:tcW w:w="663" w:type="pct"/>
          </w:tcPr>
          <w:p w14:paraId="7CE95BE2"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0.00</w:t>
            </w:r>
          </w:p>
        </w:tc>
        <w:tc>
          <w:tcPr>
            <w:tcW w:w="711" w:type="pct"/>
          </w:tcPr>
          <w:p w14:paraId="1F76E092"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2,215.48</w:t>
            </w:r>
          </w:p>
        </w:tc>
        <w:tc>
          <w:tcPr>
            <w:tcW w:w="711" w:type="pct"/>
          </w:tcPr>
          <w:p w14:paraId="2E91F112"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431.86</w:t>
            </w:r>
          </w:p>
        </w:tc>
        <w:tc>
          <w:tcPr>
            <w:tcW w:w="663" w:type="pct"/>
          </w:tcPr>
          <w:p w14:paraId="2FDA0393"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0.00</w:t>
            </w:r>
          </w:p>
        </w:tc>
        <w:tc>
          <w:tcPr>
            <w:tcW w:w="710" w:type="pct"/>
          </w:tcPr>
          <w:p w14:paraId="59C7F58B"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431.86</w:t>
            </w:r>
          </w:p>
        </w:tc>
      </w:tr>
      <w:tr w:rsidR="002D0AE7" w14:paraId="5C6899E8" w14:textId="77777777">
        <w:trPr>
          <w:cantSplit/>
          <w:jc w:val="center"/>
        </w:trPr>
        <w:tc>
          <w:tcPr>
            <w:tcW w:w="831" w:type="pct"/>
          </w:tcPr>
          <w:p w14:paraId="6077577D" w14:textId="77777777" w:rsidR="002D0AE7" w:rsidRDefault="00333EBB">
            <w:pPr>
              <w:ind w:right="5"/>
              <w:rPr>
                <w:rFonts w:hint="eastAsia"/>
                <w:sz w:val="21"/>
                <w:szCs w:val="21"/>
              </w:rPr>
            </w:pPr>
            <w:r>
              <w:rPr>
                <w:sz w:val="21"/>
                <w:szCs w:val="21"/>
              </w:rPr>
              <w:t>修理用备件</w:t>
            </w:r>
          </w:p>
        </w:tc>
        <w:tc>
          <w:tcPr>
            <w:tcW w:w="711" w:type="pct"/>
          </w:tcPr>
          <w:p w14:paraId="5D643D83"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6,744,920.51</w:t>
            </w:r>
          </w:p>
        </w:tc>
        <w:tc>
          <w:tcPr>
            <w:tcW w:w="663" w:type="pct"/>
          </w:tcPr>
          <w:p w14:paraId="6998A207"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451.12</w:t>
            </w:r>
          </w:p>
        </w:tc>
        <w:tc>
          <w:tcPr>
            <w:tcW w:w="711" w:type="pct"/>
          </w:tcPr>
          <w:p w14:paraId="1F8CE5C6"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6,744,469.39</w:t>
            </w:r>
          </w:p>
        </w:tc>
        <w:tc>
          <w:tcPr>
            <w:tcW w:w="711" w:type="pct"/>
          </w:tcPr>
          <w:p w14:paraId="7B57A0BD"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3,218,724.40</w:t>
            </w:r>
          </w:p>
        </w:tc>
        <w:tc>
          <w:tcPr>
            <w:tcW w:w="663" w:type="pct"/>
          </w:tcPr>
          <w:p w14:paraId="6BBE5B42"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4,164.72</w:t>
            </w:r>
          </w:p>
        </w:tc>
        <w:tc>
          <w:tcPr>
            <w:tcW w:w="710" w:type="pct"/>
          </w:tcPr>
          <w:p w14:paraId="00BFE2B3"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3,214,559.68</w:t>
            </w:r>
          </w:p>
        </w:tc>
      </w:tr>
      <w:tr w:rsidR="002D0AE7" w14:paraId="75363E7E" w14:textId="77777777">
        <w:trPr>
          <w:cantSplit/>
          <w:jc w:val="center"/>
        </w:trPr>
        <w:tc>
          <w:tcPr>
            <w:tcW w:w="831" w:type="pct"/>
          </w:tcPr>
          <w:p w14:paraId="33E551EB" w14:textId="77777777" w:rsidR="002D0AE7" w:rsidRDefault="00333EBB">
            <w:pPr>
              <w:ind w:right="5"/>
              <w:rPr>
                <w:rFonts w:hint="eastAsia"/>
                <w:sz w:val="21"/>
                <w:szCs w:val="21"/>
              </w:rPr>
            </w:pPr>
            <w:r>
              <w:rPr>
                <w:sz w:val="21"/>
                <w:szCs w:val="21"/>
              </w:rPr>
              <w:t>委托加工材料</w:t>
            </w:r>
          </w:p>
        </w:tc>
        <w:tc>
          <w:tcPr>
            <w:tcW w:w="711" w:type="pct"/>
          </w:tcPr>
          <w:p w14:paraId="7F84743E"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5,802,352.31</w:t>
            </w:r>
          </w:p>
        </w:tc>
        <w:tc>
          <w:tcPr>
            <w:tcW w:w="663" w:type="pct"/>
          </w:tcPr>
          <w:p w14:paraId="176C607E"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0.00</w:t>
            </w:r>
          </w:p>
        </w:tc>
        <w:tc>
          <w:tcPr>
            <w:tcW w:w="711" w:type="pct"/>
          </w:tcPr>
          <w:p w14:paraId="33BE7FE4"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5,802,352.31</w:t>
            </w:r>
          </w:p>
        </w:tc>
        <w:tc>
          <w:tcPr>
            <w:tcW w:w="711" w:type="pct"/>
          </w:tcPr>
          <w:p w14:paraId="2E3D178F"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1,428,861.93</w:t>
            </w:r>
          </w:p>
        </w:tc>
        <w:tc>
          <w:tcPr>
            <w:tcW w:w="663" w:type="pct"/>
          </w:tcPr>
          <w:p w14:paraId="78BD9898"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0.00</w:t>
            </w:r>
          </w:p>
        </w:tc>
        <w:tc>
          <w:tcPr>
            <w:tcW w:w="710" w:type="pct"/>
          </w:tcPr>
          <w:p w14:paraId="1C9402A5"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1,428,861.93</w:t>
            </w:r>
          </w:p>
        </w:tc>
      </w:tr>
      <w:tr w:rsidR="002D0AE7" w14:paraId="457CD0E8" w14:textId="77777777">
        <w:trPr>
          <w:cantSplit/>
          <w:jc w:val="center"/>
        </w:trPr>
        <w:tc>
          <w:tcPr>
            <w:tcW w:w="831" w:type="pct"/>
          </w:tcPr>
          <w:p w14:paraId="3D085DB6" w14:textId="77777777" w:rsidR="002D0AE7" w:rsidRDefault="00333EBB">
            <w:pPr>
              <w:ind w:right="5"/>
              <w:rPr>
                <w:rFonts w:hint="eastAsia"/>
                <w:sz w:val="21"/>
                <w:szCs w:val="21"/>
              </w:rPr>
            </w:pPr>
            <w:r>
              <w:rPr>
                <w:sz w:val="21"/>
                <w:szCs w:val="21"/>
              </w:rPr>
              <w:t>合同履约成本</w:t>
            </w:r>
          </w:p>
        </w:tc>
        <w:tc>
          <w:tcPr>
            <w:tcW w:w="711" w:type="pct"/>
          </w:tcPr>
          <w:p w14:paraId="04FFE55D"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12,367,066.00</w:t>
            </w:r>
          </w:p>
        </w:tc>
        <w:tc>
          <w:tcPr>
            <w:tcW w:w="663" w:type="pct"/>
          </w:tcPr>
          <w:p w14:paraId="680ED6E2"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0.00</w:t>
            </w:r>
          </w:p>
        </w:tc>
        <w:tc>
          <w:tcPr>
            <w:tcW w:w="711" w:type="pct"/>
          </w:tcPr>
          <w:p w14:paraId="1C567B7D"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12,367,066.00</w:t>
            </w:r>
          </w:p>
        </w:tc>
        <w:tc>
          <w:tcPr>
            <w:tcW w:w="711" w:type="pct"/>
          </w:tcPr>
          <w:p w14:paraId="3CCC26A7"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0.00</w:t>
            </w:r>
          </w:p>
        </w:tc>
        <w:tc>
          <w:tcPr>
            <w:tcW w:w="663" w:type="pct"/>
          </w:tcPr>
          <w:p w14:paraId="7EF3B001"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0.00</w:t>
            </w:r>
          </w:p>
        </w:tc>
        <w:tc>
          <w:tcPr>
            <w:tcW w:w="710" w:type="pct"/>
          </w:tcPr>
          <w:p w14:paraId="65B4004F"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65B7B786" w14:textId="77777777">
        <w:trPr>
          <w:cantSplit/>
          <w:jc w:val="center"/>
        </w:trPr>
        <w:tc>
          <w:tcPr>
            <w:tcW w:w="831" w:type="pct"/>
          </w:tcPr>
          <w:p w14:paraId="606737EF" w14:textId="77777777" w:rsidR="002D0AE7" w:rsidRDefault="00333EBB">
            <w:pPr>
              <w:ind w:right="5"/>
              <w:jc w:val="center"/>
              <w:rPr>
                <w:rFonts w:hint="eastAsia"/>
                <w:color w:val="000000" w:themeColor="text1"/>
                <w:sz w:val="21"/>
                <w:szCs w:val="21"/>
              </w:rPr>
            </w:pPr>
            <w:r>
              <w:rPr>
                <w:rFonts w:hint="eastAsia"/>
                <w:color w:val="000000" w:themeColor="text1"/>
                <w:sz w:val="21"/>
                <w:szCs w:val="21"/>
              </w:rPr>
              <w:t>合计</w:t>
            </w:r>
          </w:p>
        </w:tc>
        <w:tc>
          <w:tcPr>
            <w:tcW w:w="711" w:type="pct"/>
            <w:vAlign w:val="center"/>
          </w:tcPr>
          <w:p w14:paraId="72D9BBFD"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857,137,815.83</w:t>
            </w:r>
          </w:p>
        </w:tc>
        <w:tc>
          <w:tcPr>
            <w:tcW w:w="663" w:type="pct"/>
            <w:vAlign w:val="center"/>
          </w:tcPr>
          <w:p w14:paraId="260DD5E4"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61,548,322.77</w:t>
            </w:r>
          </w:p>
        </w:tc>
        <w:tc>
          <w:tcPr>
            <w:tcW w:w="711" w:type="pct"/>
            <w:vAlign w:val="center"/>
          </w:tcPr>
          <w:p w14:paraId="7BD364C4"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795,589,493.06</w:t>
            </w:r>
          </w:p>
        </w:tc>
        <w:tc>
          <w:tcPr>
            <w:tcW w:w="711" w:type="pct"/>
            <w:vAlign w:val="center"/>
          </w:tcPr>
          <w:p w14:paraId="77CDA457"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809,633,627.03</w:t>
            </w:r>
          </w:p>
        </w:tc>
        <w:tc>
          <w:tcPr>
            <w:tcW w:w="663" w:type="pct"/>
            <w:vAlign w:val="center"/>
          </w:tcPr>
          <w:p w14:paraId="2726A899"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84,052,445.60</w:t>
            </w:r>
          </w:p>
        </w:tc>
        <w:tc>
          <w:tcPr>
            <w:tcW w:w="710" w:type="pct"/>
            <w:vAlign w:val="center"/>
          </w:tcPr>
          <w:p w14:paraId="111ECD54"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725,581,181.43</w:t>
            </w:r>
          </w:p>
        </w:tc>
      </w:tr>
    </w:tbl>
    <w:p w14:paraId="54088FBB" w14:textId="77777777" w:rsidR="002D0AE7" w:rsidRDefault="00333EBB">
      <w:pPr>
        <w:pStyle w:val="4"/>
        <w:numPr>
          <w:ilvl w:val="0"/>
          <w:numId w:val="48"/>
        </w:numPr>
        <w:tabs>
          <w:tab w:val="left" w:pos="630"/>
        </w:tabs>
        <w:rPr>
          <w:rFonts w:ascii="宋体" w:hAnsi="宋体" w:hint="eastAsia"/>
          <w:color w:val="000000" w:themeColor="text1"/>
        </w:rPr>
      </w:pPr>
      <w:bookmarkStart w:id="168" w:name="_Hlk10470459"/>
      <w:r>
        <w:rPr>
          <w:rFonts w:ascii="宋体" w:hAnsi="宋体" w:hint="eastAsia"/>
          <w:color w:val="000000" w:themeColor="text1"/>
        </w:rPr>
        <w:t>存货跌价准备及合同履约成本减值准备</w:t>
      </w:r>
    </w:p>
    <w:sdt>
      <w:sdtPr>
        <w:rPr>
          <w:color w:val="000000" w:themeColor="text1"/>
        </w:rPr>
        <w:alias w:val="是否适用：存货跌价准备[双击切换]"/>
        <w:tag w:val="_GBC_b9bd4a0fa089468ebded8bb61a86fbae"/>
        <w:id w:val="578483425"/>
        <w:placeholder>
          <w:docPart w:val="GBC22222222222222222222222222222"/>
        </w:placeholder>
      </w:sdtPr>
      <w:sdtEndPr/>
      <w:sdtContent>
        <w:p w14:paraId="677EE308"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09D88B8B"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存货跌价准备"/>
          <w:tag w:val="_GBC_42225a9505da4f598594afea08f9738b"/>
          <w:id w:val="-79252693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存货跌价准备"/>
          <w:tag w:val="_GBC_4de434e29d00482b8b3175d1e7874ff2"/>
          <w:id w:val="-186835790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559"/>
        <w:gridCol w:w="1424"/>
        <w:gridCol w:w="675"/>
        <w:gridCol w:w="1319"/>
        <w:gridCol w:w="1424"/>
        <w:gridCol w:w="702"/>
        <w:gridCol w:w="1552"/>
      </w:tblGrid>
      <w:tr w:rsidR="002D0AE7" w14:paraId="33AC25F6" w14:textId="77777777">
        <w:trPr>
          <w:trHeight w:val="238"/>
          <w:jc w:val="center"/>
        </w:trPr>
        <w:bookmarkEnd w:id="168" w:displacedByCustomXml="next"/>
        <w:bookmarkStart w:id="169" w:name="_Hlk167891635" w:displacedByCustomXml="next"/>
        <w:sdt>
          <w:sdtPr>
            <w:rPr>
              <w:color w:val="000000" w:themeColor="text1"/>
              <w:sz w:val="21"/>
              <w:szCs w:val="21"/>
            </w:rPr>
            <w:tag w:val="_PLD_08d27e088675483b81e6b09cfaf565b8"/>
            <w:id w:val="-1378849273"/>
          </w:sdtPr>
          <w:sdtEndPr/>
          <w:sdtContent>
            <w:tc>
              <w:tcPr>
                <w:tcW w:w="819" w:type="pct"/>
                <w:vMerge w:val="restart"/>
                <w:tcBorders>
                  <w:top w:val="single" w:sz="4" w:space="0" w:color="auto"/>
                  <w:left w:val="single" w:sz="4" w:space="0" w:color="auto"/>
                  <w:bottom w:val="single" w:sz="4" w:space="0" w:color="auto"/>
                  <w:right w:val="single" w:sz="4" w:space="0" w:color="auto"/>
                </w:tcBorders>
                <w:vAlign w:val="center"/>
              </w:tcPr>
              <w:p w14:paraId="536DFA9C"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631ae60526c9437f842913d632c47f24"/>
            <w:id w:val="1316766446"/>
          </w:sdtPr>
          <w:sdtEndPr/>
          <w:sdtContent>
            <w:tc>
              <w:tcPr>
                <w:tcW w:w="753" w:type="pct"/>
                <w:vMerge w:val="restart"/>
                <w:tcBorders>
                  <w:top w:val="single" w:sz="4" w:space="0" w:color="auto"/>
                  <w:left w:val="single" w:sz="4" w:space="0" w:color="auto"/>
                  <w:bottom w:val="single" w:sz="4" w:space="0" w:color="auto"/>
                  <w:right w:val="single" w:sz="4" w:space="0" w:color="auto"/>
                </w:tcBorders>
                <w:vAlign w:val="center"/>
              </w:tcPr>
              <w:p w14:paraId="3D340578" w14:textId="77777777" w:rsidR="002D0AE7" w:rsidRDefault="00333EBB">
                <w:pPr>
                  <w:jc w:val="center"/>
                  <w:rPr>
                    <w:rFonts w:hint="eastAsia"/>
                    <w:color w:val="000000" w:themeColor="text1"/>
                    <w:sz w:val="21"/>
                    <w:szCs w:val="21"/>
                  </w:rPr>
                </w:pPr>
                <w:r>
                  <w:rPr>
                    <w:rFonts w:hint="eastAsia"/>
                    <w:color w:val="000000" w:themeColor="text1"/>
                    <w:sz w:val="21"/>
                    <w:szCs w:val="21"/>
                  </w:rPr>
                  <w:t>期初余额</w:t>
                </w:r>
              </w:p>
            </w:tc>
          </w:sdtContent>
        </w:sdt>
        <w:sdt>
          <w:sdtPr>
            <w:rPr>
              <w:color w:val="000000" w:themeColor="text1"/>
              <w:sz w:val="21"/>
              <w:szCs w:val="21"/>
            </w:rPr>
            <w:tag w:val="_PLD_bc39054479074b8ab34cb8519780a5f1"/>
            <w:id w:val="-199544956"/>
          </w:sdtPr>
          <w:sdtEndPr/>
          <w:sdtContent>
            <w:tc>
              <w:tcPr>
                <w:tcW w:w="1014" w:type="pct"/>
                <w:gridSpan w:val="2"/>
                <w:tcBorders>
                  <w:top w:val="single" w:sz="4" w:space="0" w:color="auto"/>
                  <w:left w:val="single" w:sz="4" w:space="0" w:color="auto"/>
                  <w:right w:val="single" w:sz="4" w:space="0" w:color="auto"/>
                </w:tcBorders>
                <w:vAlign w:val="center"/>
              </w:tcPr>
              <w:p w14:paraId="0FC29B6C" w14:textId="77777777" w:rsidR="002D0AE7" w:rsidRDefault="00333EBB">
                <w:pPr>
                  <w:jc w:val="center"/>
                  <w:rPr>
                    <w:rFonts w:hint="eastAsia"/>
                    <w:color w:val="000000" w:themeColor="text1"/>
                    <w:sz w:val="21"/>
                    <w:szCs w:val="21"/>
                  </w:rPr>
                </w:pPr>
                <w:r>
                  <w:rPr>
                    <w:rFonts w:hint="eastAsia"/>
                    <w:color w:val="000000" w:themeColor="text1"/>
                    <w:sz w:val="21"/>
                    <w:szCs w:val="21"/>
                  </w:rPr>
                  <w:t>本期增加金额</w:t>
                </w:r>
              </w:p>
            </w:tc>
          </w:sdtContent>
        </w:sdt>
        <w:sdt>
          <w:sdtPr>
            <w:rPr>
              <w:color w:val="000000" w:themeColor="text1"/>
              <w:sz w:val="21"/>
              <w:szCs w:val="21"/>
            </w:rPr>
            <w:tag w:val="_PLD_a4a235b43e524c0c98a604df05693747"/>
            <w:id w:val="1013809584"/>
          </w:sdtPr>
          <w:sdtEndPr/>
          <w:sdtContent>
            <w:tc>
              <w:tcPr>
                <w:tcW w:w="1664" w:type="pct"/>
                <w:gridSpan w:val="3"/>
                <w:tcBorders>
                  <w:top w:val="single" w:sz="4" w:space="0" w:color="auto"/>
                  <w:left w:val="single" w:sz="4" w:space="0" w:color="auto"/>
                  <w:right w:val="single" w:sz="4" w:space="0" w:color="auto"/>
                </w:tcBorders>
                <w:vAlign w:val="center"/>
              </w:tcPr>
              <w:p w14:paraId="37D13502" w14:textId="77777777" w:rsidR="002D0AE7" w:rsidRDefault="00333EBB">
                <w:pPr>
                  <w:jc w:val="center"/>
                  <w:rPr>
                    <w:rFonts w:hint="eastAsia"/>
                    <w:color w:val="000000" w:themeColor="text1"/>
                    <w:sz w:val="21"/>
                    <w:szCs w:val="21"/>
                  </w:rPr>
                </w:pPr>
                <w:r>
                  <w:rPr>
                    <w:rFonts w:hint="eastAsia"/>
                    <w:color w:val="000000" w:themeColor="text1"/>
                    <w:sz w:val="21"/>
                    <w:szCs w:val="21"/>
                  </w:rPr>
                  <w:t>本期减少金额</w:t>
                </w:r>
              </w:p>
            </w:tc>
          </w:sdtContent>
        </w:sdt>
        <w:sdt>
          <w:sdtPr>
            <w:rPr>
              <w:color w:val="000000" w:themeColor="text1"/>
              <w:sz w:val="21"/>
              <w:szCs w:val="21"/>
            </w:rPr>
            <w:tag w:val="_PLD_fcea706dd57f438c8205de888401e160"/>
            <w:id w:val="-1971969599"/>
          </w:sdtPr>
          <w:sdtEndPr/>
          <w:sdtContent>
            <w:tc>
              <w:tcPr>
                <w:tcW w:w="750" w:type="pct"/>
                <w:vMerge w:val="restart"/>
                <w:tcBorders>
                  <w:top w:val="single" w:sz="4" w:space="0" w:color="auto"/>
                  <w:left w:val="single" w:sz="4" w:space="0" w:color="auto"/>
                  <w:bottom w:val="single" w:sz="4" w:space="0" w:color="auto"/>
                  <w:right w:val="single" w:sz="4" w:space="0" w:color="auto"/>
                </w:tcBorders>
                <w:vAlign w:val="center"/>
              </w:tcPr>
              <w:p w14:paraId="6FEB5F19"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tr>
      <w:tr w:rsidR="002D0AE7" w14:paraId="274A046A" w14:textId="77777777">
        <w:trPr>
          <w:trHeight w:val="301"/>
          <w:jc w:val="center"/>
        </w:trPr>
        <w:tc>
          <w:tcPr>
            <w:tcW w:w="819" w:type="pct"/>
            <w:vMerge/>
            <w:tcBorders>
              <w:top w:val="single" w:sz="4" w:space="0" w:color="auto"/>
              <w:left w:val="single" w:sz="4" w:space="0" w:color="auto"/>
              <w:bottom w:val="single" w:sz="4" w:space="0" w:color="auto"/>
              <w:right w:val="single" w:sz="4" w:space="0" w:color="auto"/>
            </w:tcBorders>
            <w:vAlign w:val="center"/>
          </w:tcPr>
          <w:p w14:paraId="6E392D26" w14:textId="77777777" w:rsidR="002D0AE7" w:rsidRDefault="002D0AE7">
            <w:pPr>
              <w:jc w:val="center"/>
              <w:rPr>
                <w:rFonts w:hint="eastAsia"/>
                <w:color w:val="000000" w:themeColor="text1"/>
                <w:sz w:val="21"/>
                <w:szCs w:val="21"/>
              </w:rPr>
            </w:pPr>
          </w:p>
        </w:tc>
        <w:tc>
          <w:tcPr>
            <w:tcW w:w="753" w:type="pct"/>
            <w:vMerge/>
            <w:tcBorders>
              <w:top w:val="single" w:sz="4" w:space="0" w:color="auto"/>
              <w:left w:val="single" w:sz="4" w:space="0" w:color="auto"/>
              <w:bottom w:val="single" w:sz="4" w:space="0" w:color="auto"/>
              <w:right w:val="single" w:sz="4" w:space="0" w:color="auto"/>
            </w:tcBorders>
            <w:vAlign w:val="center"/>
          </w:tcPr>
          <w:p w14:paraId="22860264" w14:textId="77777777" w:rsidR="002D0AE7" w:rsidRDefault="002D0AE7">
            <w:pPr>
              <w:jc w:val="center"/>
              <w:rPr>
                <w:rFonts w:hint="eastAsia"/>
                <w:color w:val="000000" w:themeColor="text1"/>
                <w:sz w:val="21"/>
                <w:szCs w:val="21"/>
              </w:rPr>
            </w:pPr>
          </w:p>
        </w:tc>
        <w:sdt>
          <w:sdtPr>
            <w:rPr>
              <w:color w:val="000000" w:themeColor="text1"/>
              <w:sz w:val="21"/>
              <w:szCs w:val="21"/>
            </w:rPr>
            <w:tag w:val="_PLD_9355443eafab4f4a862c075a55d7e279"/>
            <w:id w:val="815070191"/>
          </w:sdtPr>
          <w:sdtEndPr/>
          <w:sdtContent>
            <w:tc>
              <w:tcPr>
                <w:tcW w:w="688" w:type="pct"/>
                <w:tcBorders>
                  <w:left w:val="single" w:sz="4" w:space="0" w:color="auto"/>
                  <w:bottom w:val="single" w:sz="4" w:space="0" w:color="auto"/>
                  <w:right w:val="single" w:sz="4" w:space="0" w:color="auto"/>
                </w:tcBorders>
                <w:vAlign w:val="center"/>
              </w:tcPr>
              <w:p w14:paraId="0A168C46" w14:textId="77777777" w:rsidR="002D0AE7" w:rsidRDefault="00333EBB">
                <w:pPr>
                  <w:jc w:val="center"/>
                  <w:rPr>
                    <w:rFonts w:hint="eastAsia"/>
                    <w:color w:val="000000" w:themeColor="text1"/>
                    <w:sz w:val="21"/>
                    <w:szCs w:val="21"/>
                  </w:rPr>
                </w:pPr>
                <w:r>
                  <w:rPr>
                    <w:rFonts w:hint="eastAsia"/>
                    <w:color w:val="000000" w:themeColor="text1"/>
                    <w:sz w:val="21"/>
                    <w:szCs w:val="21"/>
                  </w:rPr>
                  <w:t>计提</w:t>
                </w:r>
              </w:p>
            </w:tc>
          </w:sdtContent>
        </w:sdt>
        <w:sdt>
          <w:sdtPr>
            <w:rPr>
              <w:color w:val="000000" w:themeColor="text1"/>
              <w:sz w:val="21"/>
              <w:szCs w:val="21"/>
            </w:rPr>
            <w:tag w:val="_PLD_e67cdd42c79245c980edb6a9d839ecd0"/>
            <w:id w:val="1788921886"/>
          </w:sdtPr>
          <w:sdtEndPr/>
          <w:sdtContent>
            <w:tc>
              <w:tcPr>
                <w:tcW w:w="326" w:type="pct"/>
                <w:tcBorders>
                  <w:left w:val="single" w:sz="4" w:space="0" w:color="auto"/>
                  <w:bottom w:val="single" w:sz="4" w:space="0" w:color="auto"/>
                  <w:right w:val="single" w:sz="4" w:space="0" w:color="auto"/>
                </w:tcBorders>
                <w:vAlign w:val="center"/>
              </w:tcPr>
              <w:p w14:paraId="1E101A05" w14:textId="77777777" w:rsidR="002D0AE7" w:rsidRDefault="00333EBB">
                <w:pPr>
                  <w:jc w:val="center"/>
                  <w:rPr>
                    <w:rFonts w:hint="eastAsia"/>
                    <w:color w:val="000000" w:themeColor="text1"/>
                    <w:sz w:val="21"/>
                    <w:szCs w:val="21"/>
                  </w:rPr>
                </w:pPr>
                <w:r>
                  <w:rPr>
                    <w:rFonts w:hint="eastAsia"/>
                    <w:color w:val="000000" w:themeColor="text1"/>
                    <w:sz w:val="21"/>
                    <w:szCs w:val="21"/>
                  </w:rPr>
                  <w:t>其他</w:t>
                </w:r>
              </w:p>
            </w:tc>
          </w:sdtContent>
        </w:sdt>
        <w:tc>
          <w:tcPr>
            <w:tcW w:w="637" w:type="pct"/>
            <w:tcBorders>
              <w:top w:val="single" w:sz="4" w:space="0" w:color="auto"/>
              <w:left w:val="single" w:sz="4" w:space="0" w:color="auto"/>
              <w:bottom w:val="single" w:sz="4" w:space="0" w:color="auto"/>
              <w:right w:val="single" w:sz="4" w:space="0" w:color="auto"/>
            </w:tcBorders>
            <w:vAlign w:val="center"/>
          </w:tcPr>
          <w:p w14:paraId="6AC2FB52" w14:textId="77777777" w:rsidR="002D0AE7" w:rsidRDefault="00333EBB">
            <w:pPr>
              <w:jc w:val="center"/>
              <w:rPr>
                <w:rFonts w:hint="eastAsia"/>
                <w:sz w:val="21"/>
                <w:szCs w:val="21"/>
              </w:rPr>
            </w:pPr>
            <w:r>
              <w:rPr>
                <w:sz w:val="21"/>
                <w:szCs w:val="21"/>
              </w:rPr>
              <w:t>转回</w:t>
            </w:r>
          </w:p>
        </w:tc>
        <w:tc>
          <w:tcPr>
            <w:tcW w:w="688" w:type="pct"/>
            <w:tcBorders>
              <w:top w:val="single" w:sz="4" w:space="0" w:color="auto"/>
              <w:left w:val="single" w:sz="4" w:space="0" w:color="auto"/>
              <w:bottom w:val="single" w:sz="4" w:space="0" w:color="auto"/>
              <w:right w:val="single" w:sz="4" w:space="0" w:color="auto"/>
            </w:tcBorders>
            <w:vAlign w:val="center"/>
          </w:tcPr>
          <w:p w14:paraId="553059E5" w14:textId="77777777" w:rsidR="002D0AE7" w:rsidRDefault="00333EBB">
            <w:pPr>
              <w:jc w:val="center"/>
              <w:rPr>
                <w:rFonts w:hint="eastAsia"/>
                <w:sz w:val="21"/>
                <w:szCs w:val="21"/>
              </w:rPr>
            </w:pPr>
            <w:r>
              <w:rPr>
                <w:sz w:val="21"/>
                <w:szCs w:val="21"/>
              </w:rPr>
              <w:t>转销</w:t>
            </w:r>
          </w:p>
        </w:tc>
        <w:sdt>
          <w:sdtPr>
            <w:rPr>
              <w:color w:val="000000" w:themeColor="text1"/>
              <w:sz w:val="21"/>
              <w:szCs w:val="21"/>
            </w:rPr>
            <w:tag w:val="_PLD_a0a39eeb19a049d18a777b0dc41ab25e"/>
            <w:id w:val="-1873225204"/>
          </w:sdtPr>
          <w:sdtEndPr/>
          <w:sdtContent>
            <w:tc>
              <w:tcPr>
                <w:tcW w:w="339" w:type="pct"/>
                <w:tcBorders>
                  <w:top w:val="single" w:sz="4" w:space="0" w:color="auto"/>
                  <w:left w:val="single" w:sz="4" w:space="0" w:color="auto"/>
                  <w:bottom w:val="single" w:sz="4" w:space="0" w:color="auto"/>
                  <w:right w:val="single" w:sz="4" w:space="0" w:color="auto"/>
                </w:tcBorders>
                <w:vAlign w:val="center"/>
              </w:tcPr>
              <w:p w14:paraId="3AF58F9E" w14:textId="77777777" w:rsidR="002D0AE7" w:rsidRDefault="00333EBB">
                <w:pPr>
                  <w:jc w:val="center"/>
                  <w:rPr>
                    <w:rFonts w:hint="eastAsia"/>
                    <w:color w:val="000000" w:themeColor="text1"/>
                    <w:sz w:val="21"/>
                    <w:szCs w:val="21"/>
                  </w:rPr>
                </w:pPr>
                <w:r>
                  <w:rPr>
                    <w:rFonts w:hint="eastAsia"/>
                    <w:color w:val="000000" w:themeColor="text1"/>
                    <w:sz w:val="21"/>
                    <w:szCs w:val="21"/>
                  </w:rPr>
                  <w:t>其他</w:t>
                </w:r>
              </w:p>
            </w:tc>
          </w:sdtContent>
        </w:sdt>
        <w:tc>
          <w:tcPr>
            <w:tcW w:w="750" w:type="pct"/>
            <w:vMerge/>
            <w:tcBorders>
              <w:top w:val="single" w:sz="4" w:space="0" w:color="auto"/>
              <w:left w:val="single" w:sz="4" w:space="0" w:color="auto"/>
              <w:bottom w:val="single" w:sz="4" w:space="0" w:color="auto"/>
              <w:right w:val="single" w:sz="4" w:space="0" w:color="auto"/>
            </w:tcBorders>
            <w:vAlign w:val="center"/>
          </w:tcPr>
          <w:p w14:paraId="799369AD" w14:textId="77777777" w:rsidR="002D0AE7" w:rsidRDefault="002D0AE7">
            <w:pPr>
              <w:jc w:val="center"/>
              <w:rPr>
                <w:rFonts w:hint="eastAsia"/>
                <w:color w:val="000000" w:themeColor="text1"/>
                <w:sz w:val="21"/>
                <w:szCs w:val="21"/>
              </w:rPr>
            </w:pPr>
          </w:p>
        </w:tc>
      </w:tr>
      <w:tr w:rsidR="002D0AE7" w14:paraId="2769644C" w14:textId="77777777">
        <w:trPr>
          <w:trHeight w:val="20"/>
          <w:jc w:val="center"/>
        </w:trPr>
        <w:tc>
          <w:tcPr>
            <w:tcW w:w="819" w:type="pct"/>
            <w:tcBorders>
              <w:top w:val="single" w:sz="4" w:space="0" w:color="auto"/>
              <w:left w:val="single" w:sz="4" w:space="0" w:color="auto"/>
              <w:bottom w:val="single" w:sz="4" w:space="0" w:color="auto"/>
              <w:right w:val="single" w:sz="4" w:space="0" w:color="auto"/>
            </w:tcBorders>
            <w:vAlign w:val="center"/>
          </w:tcPr>
          <w:p w14:paraId="5D982601" w14:textId="77777777" w:rsidR="002D0AE7" w:rsidRDefault="00333EBB">
            <w:pPr>
              <w:rPr>
                <w:rFonts w:hint="eastAsia"/>
                <w:sz w:val="21"/>
                <w:szCs w:val="21"/>
              </w:rPr>
            </w:pPr>
            <w:r>
              <w:rPr>
                <w:sz w:val="21"/>
                <w:szCs w:val="21"/>
              </w:rPr>
              <w:t>原材料</w:t>
            </w:r>
          </w:p>
        </w:tc>
        <w:tc>
          <w:tcPr>
            <w:tcW w:w="753" w:type="pct"/>
            <w:tcBorders>
              <w:top w:val="single" w:sz="4" w:space="0" w:color="auto"/>
              <w:left w:val="single" w:sz="4" w:space="0" w:color="auto"/>
              <w:bottom w:val="single" w:sz="4" w:space="0" w:color="auto"/>
              <w:right w:val="single" w:sz="4" w:space="0" w:color="auto"/>
            </w:tcBorders>
            <w:vAlign w:val="center"/>
          </w:tcPr>
          <w:p w14:paraId="30F6E9DA"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7,725,330.48</w:t>
            </w:r>
          </w:p>
        </w:tc>
        <w:tc>
          <w:tcPr>
            <w:tcW w:w="688" w:type="pct"/>
            <w:tcBorders>
              <w:top w:val="single" w:sz="4" w:space="0" w:color="auto"/>
              <w:left w:val="single" w:sz="4" w:space="0" w:color="auto"/>
              <w:bottom w:val="single" w:sz="4" w:space="0" w:color="auto"/>
              <w:right w:val="single" w:sz="4" w:space="0" w:color="auto"/>
            </w:tcBorders>
            <w:vAlign w:val="center"/>
          </w:tcPr>
          <w:p w14:paraId="0B7622D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2,493,038.15</w:t>
            </w:r>
          </w:p>
        </w:tc>
        <w:tc>
          <w:tcPr>
            <w:tcW w:w="326" w:type="pct"/>
            <w:tcBorders>
              <w:top w:val="single" w:sz="4" w:space="0" w:color="auto"/>
              <w:left w:val="single" w:sz="4" w:space="0" w:color="auto"/>
              <w:bottom w:val="single" w:sz="4" w:space="0" w:color="auto"/>
              <w:right w:val="single" w:sz="4" w:space="0" w:color="auto"/>
            </w:tcBorders>
            <w:vAlign w:val="center"/>
          </w:tcPr>
          <w:p w14:paraId="4E23795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37" w:type="pct"/>
            <w:tcBorders>
              <w:top w:val="single" w:sz="4" w:space="0" w:color="auto"/>
              <w:left w:val="single" w:sz="4" w:space="0" w:color="auto"/>
              <w:bottom w:val="single" w:sz="4" w:space="0" w:color="auto"/>
              <w:right w:val="single" w:sz="4" w:space="0" w:color="auto"/>
            </w:tcBorders>
            <w:vAlign w:val="center"/>
          </w:tcPr>
          <w:p w14:paraId="41F37D7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775,721.85</w:t>
            </w:r>
          </w:p>
        </w:tc>
        <w:tc>
          <w:tcPr>
            <w:tcW w:w="688" w:type="pct"/>
            <w:tcBorders>
              <w:top w:val="single" w:sz="4" w:space="0" w:color="auto"/>
              <w:left w:val="single" w:sz="4" w:space="0" w:color="auto"/>
              <w:bottom w:val="single" w:sz="4" w:space="0" w:color="auto"/>
              <w:right w:val="single" w:sz="4" w:space="0" w:color="auto"/>
            </w:tcBorders>
            <w:vAlign w:val="center"/>
          </w:tcPr>
          <w:p w14:paraId="3520025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3,555,341.58</w:t>
            </w:r>
          </w:p>
        </w:tc>
        <w:tc>
          <w:tcPr>
            <w:tcW w:w="339" w:type="pct"/>
            <w:tcBorders>
              <w:top w:val="single" w:sz="4" w:space="0" w:color="auto"/>
              <w:left w:val="single" w:sz="4" w:space="0" w:color="auto"/>
              <w:bottom w:val="single" w:sz="4" w:space="0" w:color="auto"/>
              <w:right w:val="single" w:sz="4" w:space="0" w:color="auto"/>
            </w:tcBorders>
            <w:vAlign w:val="center"/>
          </w:tcPr>
          <w:p w14:paraId="28057BA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50" w:type="pct"/>
            <w:tcBorders>
              <w:top w:val="single" w:sz="4" w:space="0" w:color="auto"/>
              <w:left w:val="single" w:sz="4" w:space="0" w:color="auto"/>
              <w:bottom w:val="single" w:sz="4" w:space="0" w:color="auto"/>
              <w:right w:val="single" w:sz="4" w:space="0" w:color="auto"/>
            </w:tcBorders>
            <w:vAlign w:val="center"/>
          </w:tcPr>
          <w:p w14:paraId="75646451"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5,887,305.20</w:t>
            </w:r>
          </w:p>
        </w:tc>
      </w:tr>
      <w:tr w:rsidR="002D0AE7" w14:paraId="397579A2" w14:textId="77777777">
        <w:trPr>
          <w:trHeight w:val="20"/>
          <w:jc w:val="center"/>
        </w:trPr>
        <w:tc>
          <w:tcPr>
            <w:tcW w:w="819" w:type="pct"/>
            <w:tcBorders>
              <w:top w:val="single" w:sz="4" w:space="0" w:color="auto"/>
              <w:left w:val="single" w:sz="4" w:space="0" w:color="auto"/>
              <w:bottom w:val="single" w:sz="4" w:space="0" w:color="auto"/>
              <w:right w:val="single" w:sz="4" w:space="0" w:color="auto"/>
            </w:tcBorders>
            <w:vAlign w:val="center"/>
          </w:tcPr>
          <w:p w14:paraId="11398E9B" w14:textId="77777777" w:rsidR="002D0AE7" w:rsidRDefault="00333EBB">
            <w:pPr>
              <w:rPr>
                <w:rFonts w:hint="eastAsia"/>
                <w:sz w:val="21"/>
                <w:szCs w:val="21"/>
              </w:rPr>
            </w:pPr>
            <w:r>
              <w:rPr>
                <w:sz w:val="21"/>
                <w:szCs w:val="21"/>
              </w:rPr>
              <w:t>在产品</w:t>
            </w:r>
          </w:p>
        </w:tc>
        <w:tc>
          <w:tcPr>
            <w:tcW w:w="753" w:type="pct"/>
            <w:tcBorders>
              <w:top w:val="single" w:sz="4" w:space="0" w:color="auto"/>
              <w:left w:val="single" w:sz="4" w:space="0" w:color="auto"/>
              <w:bottom w:val="single" w:sz="4" w:space="0" w:color="auto"/>
              <w:right w:val="single" w:sz="4" w:space="0" w:color="auto"/>
            </w:tcBorders>
            <w:vAlign w:val="center"/>
          </w:tcPr>
          <w:p w14:paraId="68207F5D"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35,887,108.25</w:t>
            </w:r>
          </w:p>
        </w:tc>
        <w:tc>
          <w:tcPr>
            <w:tcW w:w="688" w:type="pct"/>
            <w:tcBorders>
              <w:top w:val="single" w:sz="4" w:space="0" w:color="auto"/>
              <w:left w:val="single" w:sz="4" w:space="0" w:color="auto"/>
              <w:bottom w:val="single" w:sz="4" w:space="0" w:color="auto"/>
              <w:right w:val="single" w:sz="4" w:space="0" w:color="auto"/>
            </w:tcBorders>
            <w:vAlign w:val="center"/>
          </w:tcPr>
          <w:p w14:paraId="41C2EF5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7,848,157.39</w:t>
            </w:r>
          </w:p>
        </w:tc>
        <w:tc>
          <w:tcPr>
            <w:tcW w:w="326" w:type="pct"/>
            <w:tcBorders>
              <w:top w:val="single" w:sz="4" w:space="0" w:color="auto"/>
              <w:left w:val="single" w:sz="4" w:space="0" w:color="auto"/>
              <w:bottom w:val="single" w:sz="4" w:space="0" w:color="auto"/>
              <w:right w:val="single" w:sz="4" w:space="0" w:color="auto"/>
            </w:tcBorders>
            <w:vAlign w:val="center"/>
          </w:tcPr>
          <w:p w14:paraId="6E64032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37" w:type="pct"/>
            <w:tcBorders>
              <w:top w:val="single" w:sz="4" w:space="0" w:color="auto"/>
              <w:left w:val="single" w:sz="4" w:space="0" w:color="auto"/>
              <w:right w:val="single" w:sz="4" w:space="0" w:color="auto"/>
            </w:tcBorders>
            <w:vAlign w:val="center"/>
          </w:tcPr>
          <w:p w14:paraId="0DD95A9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231,281.71</w:t>
            </w:r>
          </w:p>
        </w:tc>
        <w:tc>
          <w:tcPr>
            <w:tcW w:w="688" w:type="pct"/>
            <w:tcBorders>
              <w:top w:val="single" w:sz="4" w:space="0" w:color="auto"/>
              <w:left w:val="single" w:sz="4" w:space="0" w:color="auto"/>
              <w:right w:val="single" w:sz="4" w:space="0" w:color="auto"/>
            </w:tcBorders>
            <w:vAlign w:val="center"/>
          </w:tcPr>
          <w:p w14:paraId="6674221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25,262,109.45</w:t>
            </w:r>
          </w:p>
        </w:tc>
        <w:tc>
          <w:tcPr>
            <w:tcW w:w="339" w:type="pct"/>
            <w:tcBorders>
              <w:top w:val="single" w:sz="4" w:space="0" w:color="auto"/>
              <w:left w:val="single" w:sz="4" w:space="0" w:color="auto"/>
              <w:right w:val="single" w:sz="4" w:space="0" w:color="auto"/>
            </w:tcBorders>
            <w:vAlign w:val="center"/>
          </w:tcPr>
          <w:p w14:paraId="104D067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50" w:type="pct"/>
            <w:tcBorders>
              <w:top w:val="single" w:sz="4" w:space="0" w:color="auto"/>
              <w:left w:val="single" w:sz="4" w:space="0" w:color="auto"/>
              <w:bottom w:val="single" w:sz="4" w:space="0" w:color="auto"/>
              <w:right w:val="single" w:sz="4" w:space="0" w:color="auto"/>
            </w:tcBorders>
            <w:vAlign w:val="center"/>
          </w:tcPr>
          <w:p w14:paraId="75FE57A6"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18,241,874.48</w:t>
            </w:r>
          </w:p>
        </w:tc>
      </w:tr>
      <w:tr w:rsidR="002D0AE7" w14:paraId="0653272D" w14:textId="77777777">
        <w:trPr>
          <w:trHeight w:val="20"/>
          <w:jc w:val="center"/>
        </w:trPr>
        <w:tc>
          <w:tcPr>
            <w:tcW w:w="819" w:type="pct"/>
            <w:tcBorders>
              <w:top w:val="single" w:sz="4" w:space="0" w:color="auto"/>
              <w:left w:val="single" w:sz="4" w:space="0" w:color="auto"/>
              <w:bottom w:val="single" w:sz="4" w:space="0" w:color="auto"/>
              <w:right w:val="single" w:sz="4" w:space="0" w:color="auto"/>
            </w:tcBorders>
            <w:vAlign w:val="center"/>
          </w:tcPr>
          <w:p w14:paraId="6AC81F47" w14:textId="77777777" w:rsidR="002D0AE7" w:rsidRDefault="00333EBB">
            <w:pPr>
              <w:rPr>
                <w:rFonts w:hint="eastAsia"/>
                <w:sz w:val="21"/>
                <w:szCs w:val="21"/>
              </w:rPr>
            </w:pPr>
            <w:r>
              <w:rPr>
                <w:sz w:val="21"/>
                <w:szCs w:val="21"/>
              </w:rPr>
              <w:t>库存商品</w:t>
            </w:r>
          </w:p>
        </w:tc>
        <w:tc>
          <w:tcPr>
            <w:tcW w:w="753" w:type="pct"/>
            <w:tcBorders>
              <w:top w:val="single" w:sz="4" w:space="0" w:color="auto"/>
              <w:left w:val="single" w:sz="4" w:space="0" w:color="auto"/>
              <w:bottom w:val="single" w:sz="4" w:space="0" w:color="auto"/>
              <w:right w:val="single" w:sz="4" w:space="0" w:color="auto"/>
            </w:tcBorders>
            <w:vAlign w:val="center"/>
          </w:tcPr>
          <w:p w14:paraId="1A64E86C"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39,727,769.18</w:t>
            </w:r>
          </w:p>
        </w:tc>
        <w:tc>
          <w:tcPr>
            <w:tcW w:w="688" w:type="pct"/>
            <w:tcBorders>
              <w:top w:val="single" w:sz="4" w:space="0" w:color="auto"/>
              <w:left w:val="single" w:sz="4" w:space="0" w:color="auto"/>
              <w:bottom w:val="single" w:sz="4" w:space="0" w:color="auto"/>
              <w:right w:val="single" w:sz="4" w:space="0" w:color="auto"/>
            </w:tcBorders>
            <w:vAlign w:val="center"/>
          </w:tcPr>
          <w:p w14:paraId="2C35340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31,040,906.57</w:t>
            </w:r>
          </w:p>
        </w:tc>
        <w:tc>
          <w:tcPr>
            <w:tcW w:w="326" w:type="pct"/>
            <w:tcBorders>
              <w:top w:val="single" w:sz="4" w:space="0" w:color="auto"/>
              <w:left w:val="single" w:sz="4" w:space="0" w:color="auto"/>
              <w:bottom w:val="single" w:sz="4" w:space="0" w:color="auto"/>
              <w:right w:val="single" w:sz="4" w:space="0" w:color="auto"/>
            </w:tcBorders>
            <w:vAlign w:val="center"/>
          </w:tcPr>
          <w:p w14:paraId="1018C9C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37" w:type="pct"/>
            <w:tcBorders>
              <w:left w:val="single" w:sz="4" w:space="0" w:color="auto"/>
              <w:right w:val="single" w:sz="4" w:space="0" w:color="auto"/>
            </w:tcBorders>
            <w:vAlign w:val="center"/>
          </w:tcPr>
          <w:p w14:paraId="2200BE3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5,232,156.81</w:t>
            </w:r>
          </w:p>
        </w:tc>
        <w:tc>
          <w:tcPr>
            <w:tcW w:w="688" w:type="pct"/>
            <w:tcBorders>
              <w:left w:val="single" w:sz="4" w:space="0" w:color="auto"/>
              <w:right w:val="single" w:sz="4" w:space="0" w:color="auto"/>
            </w:tcBorders>
            <w:vAlign w:val="center"/>
          </w:tcPr>
          <w:p w14:paraId="118E1A4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28,831,326.54</w:t>
            </w:r>
          </w:p>
        </w:tc>
        <w:tc>
          <w:tcPr>
            <w:tcW w:w="339" w:type="pct"/>
            <w:tcBorders>
              <w:left w:val="single" w:sz="4" w:space="0" w:color="auto"/>
              <w:right w:val="single" w:sz="4" w:space="0" w:color="auto"/>
            </w:tcBorders>
            <w:vAlign w:val="center"/>
          </w:tcPr>
          <w:p w14:paraId="1393B90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50" w:type="pct"/>
            <w:tcBorders>
              <w:top w:val="single" w:sz="4" w:space="0" w:color="auto"/>
              <w:left w:val="single" w:sz="4" w:space="0" w:color="auto"/>
              <w:bottom w:val="single" w:sz="4" w:space="0" w:color="auto"/>
              <w:right w:val="single" w:sz="4" w:space="0" w:color="auto"/>
            </w:tcBorders>
            <w:vAlign w:val="center"/>
          </w:tcPr>
          <w:p w14:paraId="252E8FE6"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36,705,192.40</w:t>
            </w:r>
          </w:p>
        </w:tc>
      </w:tr>
      <w:tr w:rsidR="002D0AE7" w14:paraId="4DA5F053" w14:textId="77777777">
        <w:trPr>
          <w:trHeight w:val="20"/>
          <w:jc w:val="center"/>
        </w:trPr>
        <w:tc>
          <w:tcPr>
            <w:tcW w:w="819" w:type="pct"/>
            <w:tcBorders>
              <w:top w:val="single" w:sz="4" w:space="0" w:color="auto"/>
              <w:left w:val="single" w:sz="4" w:space="0" w:color="auto"/>
              <w:bottom w:val="single" w:sz="4" w:space="0" w:color="auto"/>
              <w:right w:val="single" w:sz="4" w:space="0" w:color="auto"/>
            </w:tcBorders>
            <w:vAlign w:val="center"/>
          </w:tcPr>
          <w:p w14:paraId="3F129ACD" w14:textId="77777777" w:rsidR="002D0AE7" w:rsidRDefault="00333EBB">
            <w:pPr>
              <w:rPr>
                <w:rFonts w:hint="eastAsia"/>
                <w:sz w:val="21"/>
                <w:szCs w:val="21"/>
              </w:rPr>
            </w:pPr>
            <w:r>
              <w:rPr>
                <w:sz w:val="21"/>
                <w:szCs w:val="21"/>
              </w:rPr>
              <w:t>辅助材料</w:t>
            </w:r>
          </w:p>
        </w:tc>
        <w:tc>
          <w:tcPr>
            <w:tcW w:w="753" w:type="pct"/>
            <w:tcBorders>
              <w:top w:val="single" w:sz="4" w:space="0" w:color="auto"/>
              <w:left w:val="single" w:sz="4" w:space="0" w:color="auto"/>
              <w:bottom w:val="single" w:sz="4" w:space="0" w:color="auto"/>
              <w:right w:val="single" w:sz="4" w:space="0" w:color="auto"/>
            </w:tcBorders>
            <w:vAlign w:val="center"/>
          </w:tcPr>
          <w:p w14:paraId="47C97FD1"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71,664.46</w:t>
            </w:r>
          </w:p>
        </w:tc>
        <w:tc>
          <w:tcPr>
            <w:tcW w:w="688" w:type="pct"/>
            <w:tcBorders>
              <w:top w:val="single" w:sz="4" w:space="0" w:color="auto"/>
              <w:left w:val="single" w:sz="4" w:space="0" w:color="auto"/>
              <w:bottom w:val="single" w:sz="4" w:space="0" w:color="auto"/>
              <w:right w:val="single" w:sz="4" w:space="0" w:color="auto"/>
            </w:tcBorders>
            <w:vAlign w:val="center"/>
          </w:tcPr>
          <w:p w14:paraId="18394A7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436.31</w:t>
            </w:r>
          </w:p>
        </w:tc>
        <w:tc>
          <w:tcPr>
            <w:tcW w:w="326" w:type="pct"/>
            <w:tcBorders>
              <w:top w:val="single" w:sz="4" w:space="0" w:color="auto"/>
              <w:left w:val="single" w:sz="4" w:space="0" w:color="auto"/>
              <w:bottom w:val="single" w:sz="4" w:space="0" w:color="auto"/>
              <w:right w:val="single" w:sz="4" w:space="0" w:color="auto"/>
            </w:tcBorders>
            <w:vAlign w:val="center"/>
          </w:tcPr>
          <w:p w14:paraId="68EBAE3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37" w:type="pct"/>
            <w:tcBorders>
              <w:left w:val="single" w:sz="4" w:space="0" w:color="auto"/>
              <w:right w:val="single" w:sz="4" w:space="0" w:color="auto"/>
            </w:tcBorders>
            <w:vAlign w:val="center"/>
          </w:tcPr>
          <w:p w14:paraId="348884F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1,852.76</w:t>
            </w:r>
          </w:p>
        </w:tc>
        <w:tc>
          <w:tcPr>
            <w:tcW w:w="688" w:type="pct"/>
            <w:tcBorders>
              <w:left w:val="single" w:sz="4" w:space="0" w:color="auto"/>
              <w:right w:val="single" w:sz="4" w:space="0" w:color="auto"/>
            </w:tcBorders>
            <w:vAlign w:val="center"/>
          </w:tcPr>
          <w:p w14:paraId="746309D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80.00</w:t>
            </w:r>
          </w:p>
        </w:tc>
        <w:tc>
          <w:tcPr>
            <w:tcW w:w="339" w:type="pct"/>
            <w:tcBorders>
              <w:left w:val="single" w:sz="4" w:space="0" w:color="auto"/>
              <w:right w:val="single" w:sz="4" w:space="0" w:color="auto"/>
            </w:tcBorders>
            <w:vAlign w:val="center"/>
          </w:tcPr>
          <w:p w14:paraId="167E84A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50" w:type="pct"/>
            <w:tcBorders>
              <w:top w:val="single" w:sz="4" w:space="0" w:color="auto"/>
              <w:left w:val="single" w:sz="4" w:space="0" w:color="auto"/>
              <w:bottom w:val="single" w:sz="4" w:space="0" w:color="auto"/>
              <w:right w:val="single" w:sz="4" w:space="0" w:color="auto"/>
            </w:tcBorders>
            <w:vAlign w:val="center"/>
          </w:tcPr>
          <w:p w14:paraId="0EB4EAF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70,168.01</w:t>
            </w:r>
          </w:p>
        </w:tc>
      </w:tr>
      <w:tr w:rsidR="002D0AE7" w14:paraId="37A4D4FB" w14:textId="77777777">
        <w:trPr>
          <w:trHeight w:val="20"/>
          <w:jc w:val="center"/>
        </w:trPr>
        <w:tc>
          <w:tcPr>
            <w:tcW w:w="819" w:type="pct"/>
            <w:tcBorders>
              <w:top w:val="single" w:sz="4" w:space="0" w:color="auto"/>
              <w:left w:val="single" w:sz="4" w:space="0" w:color="auto"/>
              <w:bottom w:val="single" w:sz="4" w:space="0" w:color="auto"/>
              <w:right w:val="single" w:sz="4" w:space="0" w:color="auto"/>
            </w:tcBorders>
            <w:vAlign w:val="center"/>
          </w:tcPr>
          <w:p w14:paraId="720172A5" w14:textId="77777777" w:rsidR="002D0AE7" w:rsidRDefault="00333EBB">
            <w:pPr>
              <w:rPr>
                <w:rFonts w:hint="eastAsia"/>
                <w:sz w:val="21"/>
                <w:szCs w:val="21"/>
              </w:rPr>
            </w:pPr>
            <w:r>
              <w:rPr>
                <w:sz w:val="21"/>
                <w:szCs w:val="21"/>
              </w:rPr>
              <w:t>包装材料</w:t>
            </w:r>
          </w:p>
        </w:tc>
        <w:tc>
          <w:tcPr>
            <w:tcW w:w="753" w:type="pct"/>
            <w:tcBorders>
              <w:top w:val="single" w:sz="4" w:space="0" w:color="auto"/>
              <w:left w:val="single" w:sz="4" w:space="0" w:color="auto"/>
              <w:bottom w:val="single" w:sz="4" w:space="0" w:color="auto"/>
              <w:right w:val="single" w:sz="4" w:space="0" w:color="auto"/>
            </w:tcBorders>
            <w:vAlign w:val="center"/>
          </w:tcPr>
          <w:p w14:paraId="3C98239F"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636,408.51</w:t>
            </w:r>
          </w:p>
        </w:tc>
        <w:tc>
          <w:tcPr>
            <w:tcW w:w="688" w:type="pct"/>
            <w:tcBorders>
              <w:top w:val="single" w:sz="4" w:space="0" w:color="auto"/>
              <w:left w:val="single" w:sz="4" w:space="0" w:color="auto"/>
              <w:bottom w:val="single" w:sz="4" w:space="0" w:color="auto"/>
              <w:right w:val="single" w:sz="4" w:space="0" w:color="auto"/>
            </w:tcBorders>
            <w:vAlign w:val="center"/>
          </w:tcPr>
          <w:p w14:paraId="339B520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14,857.14</w:t>
            </w:r>
          </w:p>
        </w:tc>
        <w:tc>
          <w:tcPr>
            <w:tcW w:w="326" w:type="pct"/>
            <w:tcBorders>
              <w:top w:val="single" w:sz="4" w:space="0" w:color="auto"/>
              <w:left w:val="single" w:sz="4" w:space="0" w:color="auto"/>
              <w:bottom w:val="single" w:sz="4" w:space="0" w:color="auto"/>
              <w:right w:val="single" w:sz="4" w:space="0" w:color="auto"/>
            </w:tcBorders>
            <w:vAlign w:val="center"/>
          </w:tcPr>
          <w:p w14:paraId="68A659B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37" w:type="pct"/>
            <w:tcBorders>
              <w:left w:val="single" w:sz="4" w:space="0" w:color="auto"/>
              <w:right w:val="single" w:sz="4" w:space="0" w:color="auto"/>
            </w:tcBorders>
            <w:vAlign w:val="center"/>
          </w:tcPr>
          <w:p w14:paraId="50CBA6E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1,999.16</w:t>
            </w:r>
          </w:p>
        </w:tc>
        <w:tc>
          <w:tcPr>
            <w:tcW w:w="688" w:type="pct"/>
            <w:tcBorders>
              <w:left w:val="single" w:sz="4" w:space="0" w:color="auto"/>
              <w:right w:val="single" w:sz="4" w:space="0" w:color="auto"/>
            </w:tcBorders>
            <w:vAlign w:val="center"/>
          </w:tcPr>
          <w:p w14:paraId="2FCED05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5,934.93</w:t>
            </w:r>
          </w:p>
        </w:tc>
        <w:tc>
          <w:tcPr>
            <w:tcW w:w="339" w:type="pct"/>
            <w:tcBorders>
              <w:left w:val="single" w:sz="4" w:space="0" w:color="auto"/>
              <w:right w:val="single" w:sz="4" w:space="0" w:color="auto"/>
            </w:tcBorders>
            <w:vAlign w:val="center"/>
          </w:tcPr>
          <w:p w14:paraId="2C1AC2E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50" w:type="pct"/>
            <w:tcBorders>
              <w:top w:val="single" w:sz="4" w:space="0" w:color="auto"/>
              <w:left w:val="single" w:sz="4" w:space="0" w:color="auto"/>
              <w:bottom w:val="single" w:sz="4" w:space="0" w:color="auto"/>
              <w:right w:val="single" w:sz="4" w:space="0" w:color="auto"/>
            </w:tcBorders>
            <w:vAlign w:val="center"/>
          </w:tcPr>
          <w:p w14:paraId="19B45EC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643,331.56</w:t>
            </w:r>
          </w:p>
        </w:tc>
      </w:tr>
      <w:tr w:rsidR="002D0AE7" w14:paraId="429450B6" w14:textId="77777777">
        <w:trPr>
          <w:trHeight w:val="20"/>
          <w:jc w:val="center"/>
        </w:trPr>
        <w:tc>
          <w:tcPr>
            <w:tcW w:w="819" w:type="pct"/>
            <w:tcBorders>
              <w:top w:val="single" w:sz="4" w:space="0" w:color="auto"/>
              <w:left w:val="single" w:sz="4" w:space="0" w:color="auto"/>
              <w:bottom w:val="single" w:sz="4" w:space="0" w:color="auto"/>
              <w:right w:val="single" w:sz="4" w:space="0" w:color="auto"/>
            </w:tcBorders>
            <w:vAlign w:val="center"/>
          </w:tcPr>
          <w:p w14:paraId="498B6F1C" w14:textId="77777777" w:rsidR="002D0AE7" w:rsidRDefault="00333EBB">
            <w:pPr>
              <w:rPr>
                <w:rFonts w:hint="eastAsia"/>
                <w:sz w:val="21"/>
                <w:szCs w:val="21"/>
              </w:rPr>
            </w:pPr>
            <w:r>
              <w:rPr>
                <w:sz w:val="21"/>
                <w:szCs w:val="21"/>
              </w:rPr>
              <w:t>修理用备件</w:t>
            </w:r>
          </w:p>
        </w:tc>
        <w:tc>
          <w:tcPr>
            <w:tcW w:w="753" w:type="pct"/>
            <w:tcBorders>
              <w:top w:val="single" w:sz="4" w:space="0" w:color="auto"/>
              <w:left w:val="single" w:sz="4" w:space="0" w:color="auto"/>
              <w:bottom w:val="single" w:sz="4" w:space="0" w:color="auto"/>
              <w:right w:val="single" w:sz="4" w:space="0" w:color="auto"/>
            </w:tcBorders>
            <w:vAlign w:val="center"/>
          </w:tcPr>
          <w:p w14:paraId="05325B6B"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4,164.72</w:t>
            </w:r>
          </w:p>
        </w:tc>
        <w:tc>
          <w:tcPr>
            <w:tcW w:w="688" w:type="pct"/>
            <w:tcBorders>
              <w:top w:val="single" w:sz="4" w:space="0" w:color="auto"/>
              <w:left w:val="single" w:sz="4" w:space="0" w:color="auto"/>
              <w:bottom w:val="single" w:sz="4" w:space="0" w:color="auto"/>
              <w:right w:val="single" w:sz="4" w:space="0" w:color="auto"/>
            </w:tcBorders>
            <w:vAlign w:val="center"/>
          </w:tcPr>
          <w:p w14:paraId="77E9CDF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451.12</w:t>
            </w:r>
          </w:p>
        </w:tc>
        <w:tc>
          <w:tcPr>
            <w:tcW w:w="326" w:type="pct"/>
            <w:tcBorders>
              <w:top w:val="single" w:sz="4" w:space="0" w:color="auto"/>
              <w:left w:val="single" w:sz="4" w:space="0" w:color="auto"/>
              <w:bottom w:val="single" w:sz="4" w:space="0" w:color="auto"/>
              <w:right w:val="single" w:sz="4" w:space="0" w:color="auto"/>
            </w:tcBorders>
            <w:vAlign w:val="center"/>
          </w:tcPr>
          <w:p w14:paraId="5F8F827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37" w:type="pct"/>
            <w:tcBorders>
              <w:left w:val="single" w:sz="4" w:space="0" w:color="auto"/>
              <w:right w:val="single" w:sz="4" w:space="0" w:color="auto"/>
            </w:tcBorders>
            <w:vAlign w:val="center"/>
          </w:tcPr>
          <w:p w14:paraId="1F8D650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4,164.72</w:t>
            </w:r>
          </w:p>
        </w:tc>
        <w:tc>
          <w:tcPr>
            <w:tcW w:w="688" w:type="pct"/>
            <w:tcBorders>
              <w:left w:val="single" w:sz="4" w:space="0" w:color="auto"/>
              <w:right w:val="single" w:sz="4" w:space="0" w:color="auto"/>
            </w:tcBorders>
            <w:vAlign w:val="center"/>
          </w:tcPr>
          <w:p w14:paraId="0E68934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339" w:type="pct"/>
            <w:tcBorders>
              <w:left w:val="single" w:sz="4" w:space="0" w:color="auto"/>
              <w:right w:val="single" w:sz="4" w:space="0" w:color="auto"/>
            </w:tcBorders>
            <w:vAlign w:val="center"/>
          </w:tcPr>
          <w:p w14:paraId="5CE7FD2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50" w:type="pct"/>
            <w:tcBorders>
              <w:top w:val="single" w:sz="4" w:space="0" w:color="auto"/>
              <w:left w:val="single" w:sz="4" w:space="0" w:color="auto"/>
              <w:bottom w:val="single" w:sz="4" w:space="0" w:color="auto"/>
              <w:right w:val="single" w:sz="4" w:space="0" w:color="auto"/>
            </w:tcBorders>
            <w:vAlign w:val="center"/>
          </w:tcPr>
          <w:p w14:paraId="4AE8085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451.12</w:t>
            </w:r>
          </w:p>
        </w:tc>
      </w:tr>
      <w:tr w:rsidR="002D0AE7" w14:paraId="4E9908B1" w14:textId="77777777">
        <w:trPr>
          <w:trHeight w:val="20"/>
          <w:jc w:val="center"/>
        </w:trPr>
        <w:tc>
          <w:tcPr>
            <w:tcW w:w="819" w:type="pct"/>
            <w:tcBorders>
              <w:top w:val="single" w:sz="4" w:space="0" w:color="auto"/>
              <w:left w:val="single" w:sz="4" w:space="0" w:color="auto"/>
              <w:bottom w:val="single" w:sz="4" w:space="0" w:color="auto"/>
              <w:right w:val="single" w:sz="4" w:space="0" w:color="auto"/>
            </w:tcBorders>
            <w:vAlign w:val="center"/>
          </w:tcPr>
          <w:p w14:paraId="4EE939EC"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753" w:type="pct"/>
            <w:tcBorders>
              <w:top w:val="single" w:sz="4" w:space="0" w:color="auto"/>
              <w:left w:val="single" w:sz="4" w:space="0" w:color="auto"/>
              <w:bottom w:val="single" w:sz="4" w:space="0" w:color="auto"/>
              <w:right w:val="single" w:sz="4" w:space="0" w:color="auto"/>
            </w:tcBorders>
            <w:vAlign w:val="center"/>
          </w:tcPr>
          <w:p w14:paraId="645FEA79"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84,052,445.60</w:t>
            </w:r>
          </w:p>
        </w:tc>
        <w:tc>
          <w:tcPr>
            <w:tcW w:w="688" w:type="pct"/>
            <w:tcBorders>
              <w:top w:val="single" w:sz="4" w:space="0" w:color="auto"/>
              <w:left w:val="single" w:sz="4" w:space="0" w:color="auto"/>
              <w:bottom w:val="single" w:sz="4" w:space="0" w:color="auto"/>
              <w:right w:val="single" w:sz="4" w:space="0" w:color="auto"/>
            </w:tcBorders>
            <w:vAlign w:val="center"/>
          </w:tcPr>
          <w:p w14:paraId="4EB318B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41,397,846.68</w:t>
            </w:r>
          </w:p>
        </w:tc>
        <w:tc>
          <w:tcPr>
            <w:tcW w:w="326" w:type="pct"/>
            <w:tcBorders>
              <w:top w:val="single" w:sz="4" w:space="0" w:color="auto"/>
              <w:left w:val="single" w:sz="4" w:space="0" w:color="auto"/>
              <w:bottom w:val="single" w:sz="4" w:space="0" w:color="auto"/>
              <w:right w:val="single" w:sz="4" w:space="0" w:color="auto"/>
            </w:tcBorders>
            <w:vAlign w:val="center"/>
          </w:tcPr>
          <w:p w14:paraId="47C73E5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37" w:type="pct"/>
            <w:tcBorders>
              <w:left w:val="single" w:sz="4" w:space="0" w:color="auto"/>
              <w:bottom w:val="single" w:sz="4" w:space="0" w:color="auto"/>
              <w:right w:val="single" w:sz="4" w:space="0" w:color="auto"/>
            </w:tcBorders>
            <w:vAlign w:val="center"/>
          </w:tcPr>
          <w:p w14:paraId="41AFECC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6,247,177.01</w:t>
            </w:r>
          </w:p>
        </w:tc>
        <w:tc>
          <w:tcPr>
            <w:tcW w:w="688" w:type="pct"/>
            <w:tcBorders>
              <w:left w:val="single" w:sz="4" w:space="0" w:color="auto"/>
              <w:bottom w:val="single" w:sz="4" w:space="0" w:color="auto"/>
              <w:right w:val="single" w:sz="4" w:space="0" w:color="auto"/>
            </w:tcBorders>
            <w:vAlign w:val="center"/>
          </w:tcPr>
          <w:p w14:paraId="151C096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57,654,792.50</w:t>
            </w:r>
          </w:p>
        </w:tc>
        <w:tc>
          <w:tcPr>
            <w:tcW w:w="339" w:type="pct"/>
            <w:tcBorders>
              <w:left w:val="single" w:sz="4" w:space="0" w:color="auto"/>
              <w:bottom w:val="single" w:sz="4" w:space="0" w:color="auto"/>
              <w:right w:val="single" w:sz="4" w:space="0" w:color="auto"/>
            </w:tcBorders>
            <w:vAlign w:val="center"/>
          </w:tcPr>
          <w:p w14:paraId="6FA09BB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50" w:type="pct"/>
            <w:tcBorders>
              <w:top w:val="single" w:sz="4" w:space="0" w:color="auto"/>
              <w:left w:val="single" w:sz="4" w:space="0" w:color="auto"/>
              <w:bottom w:val="single" w:sz="4" w:space="0" w:color="auto"/>
              <w:right w:val="single" w:sz="4" w:space="0" w:color="auto"/>
            </w:tcBorders>
            <w:vAlign w:val="center"/>
          </w:tcPr>
          <w:p w14:paraId="7F828E46"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61,548,322.77</w:t>
            </w:r>
          </w:p>
        </w:tc>
      </w:tr>
    </w:tbl>
    <w:p w14:paraId="5FEF527A" w14:textId="77777777" w:rsidR="002D0AE7" w:rsidRDefault="00333EBB">
      <w:pPr>
        <w:rPr>
          <w:rFonts w:hint="eastAsia"/>
          <w:color w:val="000000" w:themeColor="text1"/>
        </w:rPr>
      </w:pPr>
      <w:r>
        <w:rPr>
          <w:color w:val="000000" w:themeColor="text1"/>
        </w:rPr>
        <w:t>本期转回或转销存货跌价准备的原因</w:t>
      </w:r>
      <w:sdt>
        <w:sdtPr>
          <w:rPr>
            <w:color w:val="000000" w:themeColor="text1"/>
          </w:rPr>
          <w:alias w:val="是否适用：本期转回或转销存货跌价准备的原因[双击切换]"/>
          <w:tag w:val="_GBC_e27c6ef344f148c18ae56422278eafd6"/>
          <w:id w:val="419068393"/>
          <w:placeholder>
            <w:docPart w:val="GBC22222222222222222222222222222"/>
          </w:placeholder>
        </w:sdtPr>
        <w:sdtEndPr/>
        <w:sdtContent>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sdtContent>
      </w:sdt>
    </w:p>
    <w:sdt>
      <w:sdtPr>
        <w:rPr>
          <w:color w:val="000000" w:themeColor="text1"/>
        </w:rPr>
        <w:alias w:val="本期转回或转销存货跌价准备的原因"/>
        <w:tag w:val="_GBC_b6115b54c210477298ccbc4d1a5a3bfc"/>
        <w:id w:val="1042558967"/>
        <w:placeholder>
          <w:docPart w:val="GBC22222222222222222222222222222"/>
        </w:placeholder>
      </w:sdtPr>
      <w:sdtEndPr/>
      <w:sdtContent>
        <w:p w14:paraId="7B3C0CE6" w14:textId="77777777" w:rsidR="002D0AE7" w:rsidRDefault="00333EBB">
          <w:pPr>
            <w:rPr>
              <w:rFonts w:hint="eastAsia"/>
              <w:bCs/>
              <w:color w:val="000000"/>
            </w:rPr>
          </w:pPr>
          <w:r>
            <w:rPr>
              <w:rFonts w:hint="eastAsia"/>
              <w:bCs/>
              <w:color w:val="000000"/>
              <w:sz w:val="21"/>
              <w:szCs w:val="21"/>
            </w:rPr>
            <w:t>转回存货跌价准备是减记存货价值的影响因素已经消失，转销存货跌价准备是减记存货已出售。</w:t>
          </w:r>
        </w:p>
      </w:sdtContent>
    </w:sdt>
    <w:p w14:paraId="49C7DA0D" w14:textId="77777777" w:rsidR="002D0AE7" w:rsidRDefault="00333EBB">
      <w:pPr>
        <w:pStyle w:val="3"/>
        <w:numPr>
          <w:ilvl w:val="0"/>
          <w:numId w:val="43"/>
        </w:numPr>
        <w:tabs>
          <w:tab w:val="left" w:pos="504"/>
        </w:tabs>
        <w:rPr>
          <w:rFonts w:ascii="宋体" w:hAnsi="宋体" w:hint="eastAsia"/>
          <w:color w:val="000000" w:themeColor="text1"/>
        </w:rPr>
      </w:pPr>
      <w:bookmarkStart w:id="170" w:name="_Hlk10471163"/>
      <w:bookmarkEnd w:id="169"/>
      <w:r>
        <w:rPr>
          <w:rFonts w:ascii="宋体" w:hAnsi="宋体" w:hint="eastAsia"/>
          <w:color w:val="000000" w:themeColor="text1"/>
        </w:rPr>
        <w:t>其他流动资产</w:t>
      </w:r>
    </w:p>
    <w:sdt>
      <w:sdtPr>
        <w:rPr>
          <w:color w:val="000000" w:themeColor="text1"/>
        </w:rPr>
        <w:alias w:val="是否适用：其他流动资产[双击切换]"/>
        <w:tag w:val="_GBC_7733d50365e24328b41020152f88028d"/>
        <w:id w:val="1517726743"/>
        <w:placeholder>
          <w:docPart w:val="GBC22222222222222222222222222222"/>
        </w:placeholder>
      </w:sdtPr>
      <w:sdtEndPr/>
      <w:sdtContent>
        <w:p w14:paraId="1305005D"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41EBA8E1"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其他流动资产"/>
          <w:tag w:val="_GBC_d0c62fc75d164678ad203d9ddb106538"/>
          <w:id w:val="166342577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其他流动资产"/>
          <w:tag w:val="_GBC_9196143d56d24a9ea7f7e31ce8a09024"/>
          <w:id w:val="-17712186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2845"/>
        <w:gridCol w:w="2774"/>
      </w:tblGrid>
      <w:tr w:rsidR="002D0AE7" w14:paraId="0363A627" w14:textId="77777777">
        <w:sdt>
          <w:sdtPr>
            <w:rPr>
              <w:color w:val="000000" w:themeColor="text1"/>
              <w:sz w:val="21"/>
            </w:rPr>
            <w:tag w:val="_PLD_15bbfc7d41df4300abcae2e424cc6572"/>
            <w:id w:val="400873458"/>
          </w:sdtPr>
          <w:sdtEndPr/>
          <w:sdtContent>
            <w:tc>
              <w:tcPr>
                <w:tcW w:w="1816" w:type="pct"/>
                <w:shd w:val="clear" w:color="auto" w:fill="auto"/>
                <w:vAlign w:val="center"/>
              </w:tcPr>
              <w:p w14:paraId="08BAA951" w14:textId="77777777" w:rsidR="002D0AE7" w:rsidRDefault="00333EBB">
                <w:pPr>
                  <w:jc w:val="center"/>
                  <w:rPr>
                    <w:rFonts w:hint="eastAsia"/>
                    <w:color w:val="000000" w:themeColor="text1"/>
                    <w:sz w:val="21"/>
                  </w:rPr>
                </w:pPr>
                <w:r>
                  <w:rPr>
                    <w:rFonts w:hint="eastAsia"/>
                    <w:color w:val="000000" w:themeColor="text1"/>
                    <w:sz w:val="21"/>
                  </w:rPr>
                  <w:t>项目</w:t>
                </w:r>
              </w:p>
            </w:tc>
          </w:sdtContent>
        </w:sdt>
        <w:sdt>
          <w:sdtPr>
            <w:rPr>
              <w:color w:val="000000" w:themeColor="text1"/>
              <w:sz w:val="21"/>
            </w:rPr>
            <w:tag w:val="_PLD_d2a222194eae4e958db2401139170ea2"/>
            <w:id w:val="-701249835"/>
          </w:sdtPr>
          <w:sdtEndPr/>
          <w:sdtContent>
            <w:tc>
              <w:tcPr>
                <w:tcW w:w="1612" w:type="pct"/>
                <w:shd w:val="clear" w:color="auto" w:fill="auto"/>
                <w:vAlign w:val="center"/>
              </w:tcPr>
              <w:p w14:paraId="7BFE3947" w14:textId="77777777" w:rsidR="002D0AE7" w:rsidRDefault="00333EBB">
                <w:pPr>
                  <w:jc w:val="center"/>
                  <w:rPr>
                    <w:rFonts w:hint="eastAsia"/>
                    <w:color w:val="000000" w:themeColor="text1"/>
                    <w:sz w:val="21"/>
                  </w:rPr>
                </w:pPr>
                <w:r>
                  <w:rPr>
                    <w:rFonts w:hint="eastAsia"/>
                    <w:color w:val="000000" w:themeColor="text1"/>
                    <w:sz w:val="21"/>
                  </w:rPr>
                  <w:t>期末余额</w:t>
                </w:r>
              </w:p>
            </w:tc>
          </w:sdtContent>
        </w:sdt>
        <w:sdt>
          <w:sdtPr>
            <w:rPr>
              <w:color w:val="000000" w:themeColor="text1"/>
              <w:sz w:val="21"/>
            </w:rPr>
            <w:tag w:val="_PLD_0f3815799e9d4216b9506517d8e9b90c"/>
            <w:id w:val="1201673038"/>
          </w:sdtPr>
          <w:sdtEndPr/>
          <w:sdtContent>
            <w:tc>
              <w:tcPr>
                <w:tcW w:w="1572" w:type="pct"/>
                <w:shd w:val="clear" w:color="auto" w:fill="auto"/>
                <w:vAlign w:val="center"/>
              </w:tcPr>
              <w:p w14:paraId="62E8431D" w14:textId="77777777" w:rsidR="002D0AE7" w:rsidRDefault="00333EBB">
                <w:pPr>
                  <w:jc w:val="center"/>
                  <w:rPr>
                    <w:rFonts w:hint="eastAsia"/>
                    <w:color w:val="000000" w:themeColor="text1"/>
                    <w:sz w:val="21"/>
                  </w:rPr>
                </w:pPr>
                <w:r>
                  <w:rPr>
                    <w:rFonts w:hint="eastAsia"/>
                    <w:color w:val="000000" w:themeColor="text1"/>
                    <w:sz w:val="21"/>
                  </w:rPr>
                  <w:t>期初余额</w:t>
                </w:r>
              </w:p>
            </w:tc>
          </w:sdtContent>
        </w:sdt>
      </w:tr>
      <w:tr w:rsidR="002D0AE7" w14:paraId="3E2023C5" w14:textId="77777777">
        <w:tc>
          <w:tcPr>
            <w:tcW w:w="1816" w:type="pct"/>
            <w:shd w:val="clear" w:color="auto" w:fill="auto"/>
          </w:tcPr>
          <w:p w14:paraId="20E9C7E3" w14:textId="77777777" w:rsidR="002D0AE7" w:rsidRDefault="00333EBB">
            <w:pPr>
              <w:snapToGrid w:val="0"/>
              <w:ind w:leftChars="-51" w:left="-122"/>
              <w:rPr>
                <w:rFonts w:hint="eastAsia"/>
                <w:sz w:val="21"/>
              </w:rPr>
            </w:pPr>
            <w:r>
              <w:rPr>
                <w:sz w:val="21"/>
              </w:rPr>
              <w:t>待抵扣进项税额</w:t>
            </w:r>
          </w:p>
        </w:tc>
        <w:tc>
          <w:tcPr>
            <w:tcW w:w="1612" w:type="pct"/>
            <w:shd w:val="clear" w:color="auto" w:fill="auto"/>
            <w:vAlign w:val="center"/>
          </w:tcPr>
          <w:p w14:paraId="43A61F43" w14:textId="77777777" w:rsidR="002D0AE7" w:rsidRDefault="00333EBB">
            <w:pPr>
              <w:snapToGrid w:val="0"/>
              <w:jc w:val="right"/>
              <w:rPr>
                <w:rFonts w:ascii="Times New Roman" w:hAnsi="Times New Roman" w:cs="Times New Roman"/>
                <w:sz w:val="21"/>
              </w:rPr>
            </w:pPr>
            <w:r>
              <w:rPr>
                <w:rFonts w:ascii="Times New Roman" w:hAnsi="Times New Roman" w:cs="Times New Roman"/>
                <w:sz w:val="21"/>
              </w:rPr>
              <w:t>5,726.86</w:t>
            </w:r>
          </w:p>
        </w:tc>
        <w:tc>
          <w:tcPr>
            <w:tcW w:w="1572" w:type="pct"/>
            <w:shd w:val="clear" w:color="auto" w:fill="auto"/>
            <w:vAlign w:val="center"/>
          </w:tcPr>
          <w:p w14:paraId="570A3856" w14:textId="77777777" w:rsidR="002D0AE7" w:rsidRDefault="00333EBB">
            <w:pPr>
              <w:snapToGrid w:val="0"/>
              <w:jc w:val="right"/>
              <w:rPr>
                <w:rFonts w:ascii="Times New Roman" w:hAnsi="Times New Roman" w:cs="Times New Roman"/>
                <w:sz w:val="21"/>
              </w:rPr>
            </w:pPr>
            <w:r>
              <w:rPr>
                <w:rFonts w:ascii="Times New Roman" w:hAnsi="Times New Roman" w:cs="Times New Roman"/>
                <w:sz w:val="21"/>
              </w:rPr>
              <w:t>246,262.18</w:t>
            </w:r>
          </w:p>
        </w:tc>
      </w:tr>
      <w:tr w:rsidR="002D0AE7" w14:paraId="7948BC08" w14:textId="77777777">
        <w:tc>
          <w:tcPr>
            <w:tcW w:w="1816" w:type="pct"/>
            <w:shd w:val="clear" w:color="auto" w:fill="auto"/>
          </w:tcPr>
          <w:p w14:paraId="7208FEF3" w14:textId="77777777" w:rsidR="002D0AE7" w:rsidRDefault="00333EBB">
            <w:pPr>
              <w:snapToGrid w:val="0"/>
              <w:ind w:leftChars="-51" w:left="-122"/>
              <w:rPr>
                <w:rFonts w:hint="eastAsia"/>
                <w:sz w:val="21"/>
              </w:rPr>
            </w:pPr>
            <w:r>
              <w:rPr>
                <w:sz w:val="21"/>
              </w:rPr>
              <w:t>预缴所得税</w:t>
            </w:r>
          </w:p>
        </w:tc>
        <w:tc>
          <w:tcPr>
            <w:tcW w:w="1612" w:type="pct"/>
            <w:shd w:val="clear" w:color="auto" w:fill="auto"/>
            <w:vAlign w:val="center"/>
          </w:tcPr>
          <w:p w14:paraId="5E29ADEE" w14:textId="77777777" w:rsidR="002D0AE7" w:rsidRDefault="00333EBB">
            <w:pPr>
              <w:snapToGrid w:val="0"/>
              <w:jc w:val="right"/>
              <w:rPr>
                <w:rFonts w:ascii="Times New Roman" w:hAnsi="Times New Roman" w:cs="Times New Roman"/>
                <w:sz w:val="21"/>
              </w:rPr>
            </w:pPr>
            <w:r>
              <w:rPr>
                <w:rFonts w:ascii="Times New Roman" w:hAnsi="Times New Roman" w:cs="Times New Roman"/>
                <w:sz w:val="21"/>
              </w:rPr>
              <w:t>3,601,577.87</w:t>
            </w:r>
          </w:p>
        </w:tc>
        <w:tc>
          <w:tcPr>
            <w:tcW w:w="1572" w:type="pct"/>
            <w:shd w:val="clear" w:color="auto" w:fill="auto"/>
            <w:vAlign w:val="center"/>
          </w:tcPr>
          <w:p w14:paraId="000274D5" w14:textId="77777777" w:rsidR="002D0AE7" w:rsidRDefault="00333EBB">
            <w:pPr>
              <w:snapToGrid w:val="0"/>
              <w:jc w:val="right"/>
              <w:rPr>
                <w:rFonts w:ascii="Times New Roman" w:hAnsi="Times New Roman" w:cs="Times New Roman"/>
                <w:sz w:val="21"/>
              </w:rPr>
            </w:pPr>
            <w:r>
              <w:rPr>
                <w:rFonts w:ascii="Times New Roman" w:hAnsi="Times New Roman" w:cs="Times New Roman"/>
                <w:sz w:val="21"/>
              </w:rPr>
              <w:t>5,135,830.27</w:t>
            </w:r>
          </w:p>
        </w:tc>
      </w:tr>
      <w:tr w:rsidR="002D0AE7" w14:paraId="11BA578F" w14:textId="77777777">
        <w:tc>
          <w:tcPr>
            <w:tcW w:w="1816" w:type="pct"/>
            <w:shd w:val="clear" w:color="auto" w:fill="auto"/>
          </w:tcPr>
          <w:p w14:paraId="766288FF" w14:textId="77777777" w:rsidR="002D0AE7" w:rsidRDefault="00333EBB">
            <w:pPr>
              <w:snapToGrid w:val="0"/>
              <w:ind w:leftChars="-51" w:left="-122"/>
              <w:rPr>
                <w:rFonts w:hint="eastAsia"/>
                <w:sz w:val="21"/>
              </w:rPr>
            </w:pPr>
            <w:r>
              <w:rPr>
                <w:sz w:val="21"/>
              </w:rPr>
              <w:t>存款利息</w:t>
            </w:r>
          </w:p>
        </w:tc>
        <w:tc>
          <w:tcPr>
            <w:tcW w:w="1612" w:type="pct"/>
            <w:shd w:val="clear" w:color="auto" w:fill="auto"/>
          </w:tcPr>
          <w:p w14:paraId="3D2EA3A3" w14:textId="77777777" w:rsidR="002D0AE7" w:rsidRDefault="00333EBB">
            <w:pPr>
              <w:snapToGrid w:val="0"/>
              <w:jc w:val="right"/>
              <w:rPr>
                <w:rFonts w:ascii="Times New Roman" w:hAnsi="Times New Roman" w:cs="Times New Roman"/>
                <w:sz w:val="21"/>
              </w:rPr>
            </w:pPr>
            <w:r>
              <w:rPr>
                <w:rFonts w:ascii="Times New Roman" w:hAnsi="Times New Roman" w:cs="Times New Roman"/>
                <w:sz w:val="21"/>
              </w:rPr>
              <w:t>946,797.90</w:t>
            </w:r>
          </w:p>
        </w:tc>
        <w:tc>
          <w:tcPr>
            <w:tcW w:w="1572" w:type="pct"/>
            <w:shd w:val="clear" w:color="auto" w:fill="auto"/>
            <w:vAlign w:val="center"/>
          </w:tcPr>
          <w:p w14:paraId="41486793" w14:textId="77777777" w:rsidR="002D0AE7" w:rsidRDefault="00333EBB">
            <w:pPr>
              <w:snapToGrid w:val="0"/>
              <w:jc w:val="right"/>
              <w:rPr>
                <w:rFonts w:ascii="Times New Roman" w:hAnsi="Times New Roman" w:cs="Times New Roman"/>
                <w:sz w:val="21"/>
              </w:rPr>
            </w:pPr>
            <w:r>
              <w:rPr>
                <w:rFonts w:ascii="Times New Roman" w:hAnsi="Times New Roman" w:cs="Times New Roman"/>
                <w:sz w:val="21"/>
              </w:rPr>
              <w:t>1,384,228.21</w:t>
            </w:r>
          </w:p>
        </w:tc>
      </w:tr>
      <w:tr w:rsidR="002D0AE7" w14:paraId="6DB8881B" w14:textId="77777777">
        <w:tc>
          <w:tcPr>
            <w:tcW w:w="1816" w:type="pct"/>
            <w:shd w:val="clear" w:color="auto" w:fill="auto"/>
          </w:tcPr>
          <w:p w14:paraId="34BDC4AB" w14:textId="77777777" w:rsidR="002D0AE7" w:rsidRDefault="00333EBB">
            <w:pPr>
              <w:snapToGrid w:val="0"/>
              <w:ind w:leftChars="-51" w:left="-122"/>
              <w:rPr>
                <w:rFonts w:hint="eastAsia"/>
                <w:sz w:val="21"/>
              </w:rPr>
            </w:pPr>
            <w:r>
              <w:rPr>
                <w:sz w:val="21"/>
              </w:rPr>
              <w:t>待摊费用</w:t>
            </w:r>
          </w:p>
        </w:tc>
        <w:tc>
          <w:tcPr>
            <w:tcW w:w="1612" w:type="pct"/>
            <w:shd w:val="clear" w:color="auto" w:fill="auto"/>
          </w:tcPr>
          <w:p w14:paraId="6F2EA50B" w14:textId="77777777" w:rsidR="002D0AE7" w:rsidRDefault="00333EBB">
            <w:pPr>
              <w:snapToGrid w:val="0"/>
              <w:jc w:val="right"/>
              <w:rPr>
                <w:rFonts w:ascii="Times New Roman" w:hAnsi="Times New Roman" w:cs="Times New Roman"/>
                <w:sz w:val="21"/>
              </w:rPr>
            </w:pPr>
            <w:r>
              <w:rPr>
                <w:rFonts w:ascii="Times New Roman" w:hAnsi="Times New Roman" w:cs="Times New Roman"/>
                <w:sz w:val="21"/>
              </w:rPr>
              <w:t>0.00</w:t>
            </w:r>
          </w:p>
        </w:tc>
        <w:tc>
          <w:tcPr>
            <w:tcW w:w="1572" w:type="pct"/>
            <w:shd w:val="clear" w:color="auto" w:fill="auto"/>
            <w:vAlign w:val="center"/>
          </w:tcPr>
          <w:p w14:paraId="6B7E776D" w14:textId="77777777" w:rsidR="002D0AE7" w:rsidRDefault="00333EBB">
            <w:pPr>
              <w:snapToGrid w:val="0"/>
              <w:jc w:val="right"/>
              <w:rPr>
                <w:rFonts w:ascii="Times New Roman" w:hAnsi="Times New Roman" w:cs="Times New Roman"/>
                <w:sz w:val="21"/>
              </w:rPr>
            </w:pPr>
            <w:r>
              <w:rPr>
                <w:rFonts w:ascii="Times New Roman" w:hAnsi="Times New Roman" w:cs="Times New Roman"/>
                <w:sz w:val="21"/>
              </w:rPr>
              <w:t>174,869.33</w:t>
            </w:r>
          </w:p>
        </w:tc>
      </w:tr>
      <w:tr w:rsidR="002D0AE7" w14:paraId="1F16245A" w14:textId="77777777">
        <w:tc>
          <w:tcPr>
            <w:tcW w:w="1816" w:type="pct"/>
            <w:shd w:val="clear" w:color="auto" w:fill="auto"/>
            <w:vAlign w:val="center"/>
          </w:tcPr>
          <w:p w14:paraId="5B4A6938" w14:textId="77777777" w:rsidR="002D0AE7" w:rsidRDefault="00333EBB">
            <w:pPr>
              <w:snapToGrid w:val="0"/>
              <w:ind w:leftChars="-51" w:left="-122"/>
              <w:jc w:val="center"/>
              <w:rPr>
                <w:rFonts w:hint="eastAsia"/>
                <w:color w:val="000000" w:themeColor="text1"/>
                <w:sz w:val="21"/>
              </w:rPr>
            </w:pPr>
            <w:r>
              <w:rPr>
                <w:rFonts w:hint="eastAsia"/>
                <w:color w:val="000000" w:themeColor="text1"/>
                <w:sz w:val="21"/>
              </w:rPr>
              <w:t>合计</w:t>
            </w:r>
          </w:p>
        </w:tc>
        <w:tc>
          <w:tcPr>
            <w:tcW w:w="1612" w:type="pct"/>
            <w:shd w:val="clear" w:color="auto" w:fill="auto"/>
          </w:tcPr>
          <w:p w14:paraId="50B37B75" w14:textId="77777777" w:rsidR="002D0AE7" w:rsidRDefault="00333EBB">
            <w:pPr>
              <w:snapToGrid w:val="0"/>
              <w:jc w:val="right"/>
              <w:rPr>
                <w:rFonts w:ascii="Times New Roman" w:hAnsi="Times New Roman" w:cs="Times New Roman"/>
                <w:sz w:val="21"/>
              </w:rPr>
            </w:pPr>
            <w:r>
              <w:rPr>
                <w:rFonts w:ascii="Times New Roman" w:hAnsi="Times New Roman" w:cs="Times New Roman"/>
                <w:sz w:val="21"/>
              </w:rPr>
              <w:t>4,554,102.63</w:t>
            </w:r>
          </w:p>
        </w:tc>
        <w:tc>
          <w:tcPr>
            <w:tcW w:w="1572" w:type="pct"/>
            <w:shd w:val="clear" w:color="auto" w:fill="auto"/>
          </w:tcPr>
          <w:p w14:paraId="109429D9" w14:textId="77777777" w:rsidR="002D0AE7" w:rsidRDefault="00333EBB">
            <w:pPr>
              <w:snapToGrid w:val="0"/>
              <w:jc w:val="right"/>
              <w:rPr>
                <w:rFonts w:ascii="Times New Roman" w:hAnsi="Times New Roman" w:cs="Times New Roman"/>
                <w:sz w:val="21"/>
              </w:rPr>
            </w:pPr>
            <w:r>
              <w:rPr>
                <w:rFonts w:ascii="Times New Roman" w:hAnsi="Times New Roman" w:cs="Times New Roman"/>
                <w:sz w:val="21"/>
              </w:rPr>
              <w:t>6,941,189.99</w:t>
            </w:r>
          </w:p>
        </w:tc>
      </w:tr>
    </w:tbl>
    <w:p w14:paraId="2F7D6537" w14:textId="77777777" w:rsidR="002D0AE7" w:rsidRDefault="00333EBB">
      <w:pPr>
        <w:rPr>
          <w:rFonts w:hint="eastAsia"/>
          <w:color w:val="000000" w:themeColor="text1"/>
        </w:rPr>
        <w:sectPr w:rsidR="002D0AE7">
          <w:pgSz w:w="11906" w:h="16838"/>
          <w:pgMar w:top="1525" w:right="1276" w:bottom="1440" w:left="1797" w:header="856" w:footer="992" w:gutter="0"/>
          <w:cols w:space="425"/>
          <w:docGrid w:linePitch="312"/>
        </w:sectPr>
      </w:pPr>
      <w:r>
        <w:rPr>
          <w:rFonts w:hint="eastAsia"/>
          <w:color w:val="000000" w:themeColor="text1"/>
        </w:rPr>
        <w:t>其他说明：</w:t>
      </w:r>
      <w:sdt>
        <w:sdtPr>
          <w:rPr>
            <w:rFonts w:hint="eastAsia"/>
            <w:color w:val="000000" w:themeColor="text1"/>
          </w:rPr>
          <w:alias w:val="其他流动资产说明"/>
          <w:tag w:val="_GBC_7955e529151148f394eed0e26977270b"/>
          <w:id w:val="1147866184"/>
          <w:placeholder>
            <w:docPart w:val="GBC22222222222222222222222222222"/>
          </w:placeholder>
        </w:sdtPr>
        <w:sdtEndPr/>
        <w:sdtContent>
          <w:r>
            <w:rPr>
              <w:rFonts w:hint="eastAsia"/>
              <w:color w:val="000000" w:themeColor="text1"/>
            </w:rPr>
            <w:t>无</w:t>
          </w:r>
        </w:sdtContent>
      </w:sdt>
    </w:p>
    <w:bookmarkEnd w:id="170"/>
    <w:p w14:paraId="78A0C49F"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szCs w:val="21"/>
        </w:rPr>
        <w:lastRenderedPageBreak/>
        <w:t>长期股权投资</w:t>
      </w:r>
    </w:p>
    <w:p w14:paraId="4AA3F934" w14:textId="77777777" w:rsidR="002D0AE7" w:rsidRDefault="00333EBB">
      <w:pPr>
        <w:pStyle w:val="4"/>
        <w:numPr>
          <w:ilvl w:val="0"/>
          <w:numId w:val="49"/>
        </w:numPr>
        <w:ind w:left="425" w:hanging="425"/>
        <w:rPr>
          <w:color w:val="000000" w:themeColor="text1"/>
        </w:rPr>
      </w:pPr>
      <w:r>
        <w:rPr>
          <w:rFonts w:hint="eastAsia"/>
          <w:color w:val="000000" w:themeColor="text1"/>
        </w:rPr>
        <w:t>长期股权投资情况</w:t>
      </w:r>
    </w:p>
    <w:p w14:paraId="0F9C1A08" w14:textId="77777777" w:rsidR="002D0AE7" w:rsidRDefault="00333EBB">
      <w:pPr>
        <w:rPr>
          <w:rFonts w:hint="eastAsia"/>
          <w:color w:val="000000" w:themeColor="text1"/>
        </w:rPr>
      </w:pPr>
      <w:sdt>
        <w:sdtPr>
          <w:rPr>
            <w:rFonts w:hint="eastAsia"/>
            <w:color w:val="000000" w:themeColor="text1"/>
          </w:rPr>
          <w:alias w:val="是否适用：长期股权投资[双击切换]"/>
          <w:tag w:val="_GBC_bafa2cb2262c4c4ebc4eed8f4e4a81c6"/>
          <w:id w:val="699749025"/>
          <w:lock w:val="contentLocked"/>
          <w:placeholder>
            <w:docPart w:val="GBC22222222222222222222222222222"/>
          </w:placeholder>
        </w:sdtPr>
        <w:sdtEndPr/>
        <w:sdtContent>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sdtContent>
      </w:sdt>
    </w:p>
    <w:p w14:paraId="729F6C16" w14:textId="77777777" w:rsidR="002D0AE7" w:rsidRDefault="00333EBB">
      <w:pPr>
        <w:jc w:val="right"/>
        <w:rPr>
          <w:rFonts w:hint="eastAsia"/>
          <w:color w:val="000000" w:themeColor="text1"/>
        </w:rPr>
      </w:pPr>
      <w:bookmarkStart w:id="171" w:name="_Hlk106375234"/>
      <w:r>
        <w:rPr>
          <w:rFonts w:hint="eastAsia"/>
          <w:color w:val="000000" w:themeColor="text1"/>
        </w:rPr>
        <w:t>单位：</w:t>
      </w:r>
      <w:sdt>
        <w:sdtPr>
          <w:rPr>
            <w:rFonts w:hint="eastAsia"/>
            <w:color w:val="000000" w:themeColor="text1"/>
          </w:rPr>
          <w:alias w:val="单位：财务附注：长期股权投资"/>
          <w:tag w:val="_GBC_63e30834d38e49658bec9056bc38e4e2"/>
          <w:id w:val="131414174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长期股权投资"/>
          <w:tag w:val="_GBC_f72bca6b250e484887289a819bc62e7d"/>
          <w:id w:val="180865588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1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9"/>
        <w:gridCol w:w="1558"/>
        <w:gridCol w:w="708"/>
        <w:gridCol w:w="708"/>
        <w:gridCol w:w="1417"/>
        <w:gridCol w:w="852"/>
        <w:gridCol w:w="852"/>
        <w:gridCol w:w="991"/>
        <w:gridCol w:w="708"/>
        <w:gridCol w:w="1284"/>
        <w:gridCol w:w="1555"/>
        <w:gridCol w:w="786"/>
      </w:tblGrid>
      <w:tr w:rsidR="002D0AE7" w14:paraId="6DF7B2D2" w14:textId="77777777">
        <w:trPr>
          <w:jc w:val="center"/>
        </w:trPr>
        <w:bookmarkEnd w:id="171" w:displacedByCustomXml="next"/>
        <w:bookmarkStart w:id="172" w:name="_Hlk169008665" w:displacedByCustomXml="next"/>
        <w:bookmarkStart w:id="173" w:name="_Hlk167893542" w:displacedByCustomXml="next"/>
        <w:sdt>
          <w:sdtPr>
            <w:rPr>
              <w:color w:val="000000" w:themeColor="text1"/>
              <w:sz w:val="21"/>
              <w:szCs w:val="21"/>
            </w:rPr>
            <w:tag w:val="_PLD_9e3ff129c80540828097585bec2a274a"/>
            <w:id w:val="-1359502559"/>
          </w:sdtPr>
          <w:sdtEndPr/>
          <w:sdtContent>
            <w:tc>
              <w:tcPr>
                <w:tcW w:w="1034" w:type="pct"/>
                <w:vMerge w:val="restart"/>
                <w:tcBorders>
                  <w:top w:val="single" w:sz="4" w:space="0" w:color="auto"/>
                  <w:left w:val="single" w:sz="4" w:space="0" w:color="auto"/>
                  <w:right w:val="single" w:sz="4" w:space="0" w:color="auto"/>
                </w:tcBorders>
                <w:shd w:val="clear" w:color="auto" w:fill="auto"/>
                <w:vAlign w:val="center"/>
              </w:tcPr>
              <w:p w14:paraId="69027742" w14:textId="77777777" w:rsidR="002D0AE7" w:rsidRDefault="00333EBB">
                <w:pPr>
                  <w:jc w:val="center"/>
                  <w:rPr>
                    <w:rFonts w:hint="eastAsia"/>
                    <w:color w:val="000000" w:themeColor="text1"/>
                    <w:sz w:val="21"/>
                    <w:szCs w:val="21"/>
                  </w:rPr>
                </w:pPr>
                <w:r>
                  <w:rPr>
                    <w:rFonts w:hint="eastAsia"/>
                    <w:color w:val="000000" w:themeColor="text1"/>
                    <w:sz w:val="21"/>
                    <w:szCs w:val="21"/>
                  </w:rPr>
                  <w:t>被投资单位</w:t>
                </w:r>
              </w:p>
            </w:tc>
          </w:sdtContent>
        </w:sdt>
        <w:sdt>
          <w:sdtPr>
            <w:rPr>
              <w:color w:val="000000" w:themeColor="text1"/>
              <w:sz w:val="21"/>
              <w:szCs w:val="21"/>
            </w:rPr>
            <w:tag w:val="_PLD_1d8637e24bf6498db71869cd552b60a2"/>
            <w:id w:val="-1694530182"/>
          </w:sdtPr>
          <w:sdtEndPr/>
          <w:sdtContent>
            <w:tc>
              <w:tcPr>
                <w:tcW w:w="541" w:type="pct"/>
                <w:vMerge w:val="restart"/>
                <w:tcBorders>
                  <w:top w:val="single" w:sz="4" w:space="0" w:color="auto"/>
                  <w:left w:val="single" w:sz="4" w:space="0" w:color="auto"/>
                  <w:right w:val="single" w:sz="4" w:space="0" w:color="auto"/>
                </w:tcBorders>
                <w:shd w:val="clear" w:color="auto" w:fill="auto"/>
                <w:vAlign w:val="center"/>
              </w:tcPr>
              <w:p w14:paraId="1EA61524" w14:textId="77777777" w:rsidR="002D0AE7" w:rsidRDefault="00333EBB">
                <w:pPr>
                  <w:jc w:val="center"/>
                  <w:rPr>
                    <w:rFonts w:hint="eastAsia"/>
                    <w:color w:val="000000" w:themeColor="text1"/>
                    <w:sz w:val="21"/>
                    <w:szCs w:val="21"/>
                  </w:rPr>
                </w:pPr>
                <w:r>
                  <w:rPr>
                    <w:rFonts w:hint="eastAsia"/>
                    <w:color w:val="000000" w:themeColor="text1"/>
                    <w:sz w:val="21"/>
                    <w:szCs w:val="21"/>
                  </w:rPr>
                  <w:t>期初</w:t>
                </w:r>
              </w:p>
              <w:p w14:paraId="6485CAB6" w14:textId="77777777" w:rsidR="002D0AE7" w:rsidRDefault="00333EBB">
                <w:pPr>
                  <w:jc w:val="center"/>
                  <w:rPr>
                    <w:rFonts w:hint="eastAsia"/>
                    <w:color w:val="000000" w:themeColor="text1"/>
                    <w:sz w:val="21"/>
                    <w:szCs w:val="21"/>
                  </w:rPr>
                </w:pPr>
                <w:r>
                  <w:rPr>
                    <w:rFonts w:hint="eastAsia"/>
                    <w:color w:val="000000" w:themeColor="text1"/>
                    <w:sz w:val="21"/>
                    <w:szCs w:val="21"/>
                  </w:rPr>
                  <w:t>余额</w:t>
                </w:r>
              </w:p>
            </w:tc>
          </w:sdtContent>
        </w:sdt>
        <w:sdt>
          <w:sdtPr>
            <w:rPr>
              <w:color w:val="000000" w:themeColor="text1"/>
              <w:sz w:val="21"/>
              <w:szCs w:val="21"/>
            </w:rPr>
            <w:tag w:val="_PLD_edc952101e7b4fa483f7289f9b74dfdf"/>
            <w:id w:val="-95104413"/>
          </w:sdtPr>
          <w:sdtEndPr/>
          <w:sdtContent>
            <w:tc>
              <w:tcPr>
                <w:tcW w:w="2612"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7BBE90A4" w14:textId="77777777" w:rsidR="002D0AE7" w:rsidRDefault="00333EBB">
                <w:pPr>
                  <w:jc w:val="center"/>
                  <w:rPr>
                    <w:rFonts w:hint="eastAsia"/>
                    <w:color w:val="000000" w:themeColor="text1"/>
                    <w:sz w:val="21"/>
                    <w:szCs w:val="21"/>
                  </w:rPr>
                </w:pPr>
                <w:r>
                  <w:rPr>
                    <w:rFonts w:hint="eastAsia"/>
                    <w:color w:val="000000" w:themeColor="text1"/>
                    <w:sz w:val="21"/>
                    <w:szCs w:val="21"/>
                  </w:rPr>
                  <w:t>本期增减变动</w:t>
                </w:r>
              </w:p>
            </w:tc>
          </w:sdtContent>
        </w:sdt>
        <w:sdt>
          <w:sdtPr>
            <w:rPr>
              <w:color w:val="000000" w:themeColor="text1"/>
              <w:sz w:val="21"/>
              <w:szCs w:val="21"/>
            </w:rPr>
            <w:tag w:val="_PLD_44cfcec128d9419fba83c50966e49235"/>
            <w:id w:val="-1844542014"/>
          </w:sdtPr>
          <w:sdtEndPr/>
          <w:sdtContent>
            <w:tc>
              <w:tcPr>
                <w:tcW w:w="540" w:type="pct"/>
                <w:vMerge w:val="restart"/>
                <w:tcBorders>
                  <w:top w:val="single" w:sz="4" w:space="0" w:color="auto"/>
                  <w:left w:val="single" w:sz="4" w:space="0" w:color="auto"/>
                  <w:right w:val="single" w:sz="4" w:space="0" w:color="auto"/>
                </w:tcBorders>
                <w:shd w:val="clear" w:color="auto" w:fill="auto"/>
                <w:vAlign w:val="center"/>
              </w:tcPr>
              <w:p w14:paraId="58BFCC54" w14:textId="77777777" w:rsidR="002D0AE7" w:rsidRDefault="00333EBB">
                <w:pPr>
                  <w:jc w:val="center"/>
                  <w:rPr>
                    <w:rFonts w:hint="eastAsia"/>
                    <w:color w:val="000000" w:themeColor="text1"/>
                    <w:sz w:val="21"/>
                    <w:szCs w:val="21"/>
                  </w:rPr>
                </w:pPr>
                <w:r>
                  <w:rPr>
                    <w:rFonts w:hint="eastAsia"/>
                    <w:color w:val="000000" w:themeColor="text1"/>
                    <w:sz w:val="21"/>
                    <w:szCs w:val="21"/>
                  </w:rPr>
                  <w:t>期末</w:t>
                </w:r>
              </w:p>
              <w:p w14:paraId="510E89F5" w14:textId="77777777" w:rsidR="002D0AE7" w:rsidRDefault="00333EBB">
                <w:pPr>
                  <w:jc w:val="center"/>
                  <w:rPr>
                    <w:rFonts w:hint="eastAsia"/>
                    <w:color w:val="000000" w:themeColor="text1"/>
                    <w:sz w:val="21"/>
                    <w:szCs w:val="21"/>
                  </w:rPr>
                </w:pPr>
                <w:r>
                  <w:rPr>
                    <w:rFonts w:hint="eastAsia"/>
                    <w:color w:val="000000" w:themeColor="text1"/>
                    <w:sz w:val="21"/>
                    <w:szCs w:val="21"/>
                  </w:rPr>
                  <w:t>余额</w:t>
                </w:r>
              </w:p>
            </w:tc>
          </w:sdtContent>
        </w:sdt>
        <w:sdt>
          <w:sdtPr>
            <w:rPr>
              <w:color w:val="000000" w:themeColor="text1"/>
              <w:sz w:val="21"/>
              <w:szCs w:val="21"/>
            </w:rPr>
            <w:tag w:val="_PLD_34a3cc0844264226a50c84165c09bb9a"/>
            <w:id w:val="-1003814841"/>
          </w:sdtPr>
          <w:sdtEndPr/>
          <w:sdtContent>
            <w:tc>
              <w:tcPr>
                <w:tcW w:w="272" w:type="pct"/>
                <w:vMerge w:val="restart"/>
                <w:tcBorders>
                  <w:top w:val="single" w:sz="4" w:space="0" w:color="auto"/>
                  <w:left w:val="single" w:sz="4" w:space="0" w:color="auto"/>
                  <w:right w:val="single" w:sz="4" w:space="0" w:color="auto"/>
                </w:tcBorders>
                <w:shd w:val="clear" w:color="auto" w:fill="auto"/>
                <w:vAlign w:val="center"/>
              </w:tcPr>
              <w:p w14:paraId="35CF54DF" w14:textId="77777777" w:rsidR="002D0AE7" w:rsidRDefault="00333EBB">
                <w:pPr>
                  <w:jc w:val="center"/>
                  <w:rPr>
                    <w:rFonts w:hint="eastAsia"/>
                    <w:color w:val="000000" w:themeColor="text1"/>
                    <w:sz w:val="21"/>
                    <w:szCs w:val="21"/>
                  </w:rPr>
                </w:pPr>
                <w:r>
                  <w:rPr>
                    <w:rFonts w:hint="eastAsia"/>
                    <w:color w:val="000000" w:themeColor="text1"/>
                    <w:sz w:val="21"/>
                    <w:szCs w:val="21"/>
                  </w:rPr>
                  <w:t>减值准备期末余额</w:t>
                </w:r>
              </w:p>
            </w:tc>
          </w:sdtContent>
        </w:sdt>
      </w:tr>
      <w:tr w:rsidR="002D0AE7" w14:paraId="19EB6673" w14:textId="77777777">
        <w:trPr>
          <w:jc w:val="center"/>
        </w:trPr>
        <w:tc>
          <w:tcPr>
            <w:tcW w:w="1034" w:type="pct"/>
            <w:vMerge/>
            <w:tcBorders>
              <w:left w:val="single" w:sz="4" w:space="0" w:color="auto"/>
              <w:bottom w:val="single" w:sz="4" w:space="0" w:color="auto"/>
              <w:right w:val="single" w:sz="4" w:space="0" w:color="auto"/>
            </w:tcBorders>
            <w:shd w:val="clear" w:color="auto" w:fill="auto"/>
          </w:tcPr>
          <w:p w14:paraId="52940AE3" w14:textId="77777777" w:rsidR="002D0AE7" w:rsidRDefault="002D0AE7">
            <w:pPr>
              <w:jc w:val="center"/>
              <w:rPr>
                <w:rFonts w:hint="eastAsia"/>
                <w:color w:val="000000" w:themeColor="text1"/>
                <w:sz w:val="21"/>
                <w:szCs w:val="21"/>
              </w:rPr>
            </w:pPr>
          </w:p>
        </w:tc>
        <w:tc>
          <w:tcPr>
            <w:tcW w:w="541" w:type="pct"/>
            <w:vMerge/>
            <w:tcBorders>
              <w:left w:val="single" w:sz="4" w:space="0" w:color="auto"/>
              <w:bottom w:val="single" w:sz="4" w:space="0" w:color="auto"/>
              <w:right w:val="single" w:sz="4" w:space="0" w:color="auto"/>
            </w:tcBorders>
            <w:shd w:val="clear" w:color="auto" w:fill="auto"/>
          </w:tcPr>
          <w:p w14:paraId="14729630" w14:textId="77777777" w:rsidR="002D0AE7" w:rsidRDefault="002D0AE7">
            <w:pPr>
              <w:jc w:val="center"/>
              <w:rPr>
                <w:rFonts w:hint="eastAsia"/>
                <w:color w:val="000000" w:themeColor="text1"/>
                <w:sz w:val="21"/>
                <w:szCs w:val="21"/>
              </w:rPr>
            </w:pPr>
          </w:p>
        </w:tc>
        <w:sdt>
          <w:sdtPr>
            <w:rPr>
              <w:color w:val="000000" w:themeColor="text1"/>
              <w:sz w:val="21"/>
              <w:szCs w:val="21"/>
            </w:rPr>
            <w:tag w:val="_PLD_f88446e104b7482db6830a46769bd8f6"/>
            <w:id w:val="-282663112"/>
          </w:sdtPr>
          <w:sdtEndPr/>
          <w:sdtContent>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0AF85C40" w14:textId="77777777" w:rsidR="002D0AE7" w:rsidRDefault="00333EBB">
                <w:pPr>
                  <w:jc w:val="center"/>
                  <w:rPr>
                    <w:rFonts w:hint="eastAsia"/>
                    <w:color w:val="000000" w:themeColor="text1"/>
                    <w:sz w:val="21"/>
                    <w:szCs w:val="21"/>
                  </w:rPr>
                </w:pPr>
                <w:r>
                  <w:rPr>
                    <w:rFonts w:hint="eastAsia"/>
                    <w:color w:val="000000" w:themeColor="text1"/>
                    <w:sz w:val="21"/>
                    <w:szCs w:val="21"/>
                  </w:rPr>
                  <w:t>追加投资</w:t>
                </w:r>
              </w:p>
            </w:tc>
          </w:sdtContent>
        </w:sdt>
        <w:sdt>
          <w:sdtPr>
            <w:rPr>
              <w:color w:val="000000" w:themeColor="text1"/>
              <w:sz w:val="21"/>
              <w:szCs w:val="21"/>
            </w:rPr>
            <w:tag w:val="_PLD_dc0d6646fb2e45ba8e5e07f2c6954c9f"/>
            <w:id w:val="-1353650934"/>
          </w:sdtPr>
          <w:sdtEndPr/>
          <w:sdtContent>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74F7A830" w14:textId="77777777" w:rsidR="002D0AE7" w:rsidRDefault="00333EBB">
                <w:pPr>
                  <w:jc w:val="center"/>
                  <w:rPr>
                    <w:rFonts w:hint="eastAsia"/>
                    <w:color w:val="000000" w:themeColor="text1"/>
                    <w:sz w:val="21"/>
                    <w:szCs w:val="21"/>
                  </w:rPr>
                </w:pPr>
                <w:r>
                  <w:rPr>
                    <w:rFonts w:hint="eastAsia"/>
                    <w:color w:val="000000" w:themeColor="text1"/>
                    <w:sz w:val="21"/>
                    <w:szCs w:val="21"/>
                  </w:rPr>
                  <w:t>减少投资</w:t>
                </w:r>
              </w:p>
            </w:tc>
          </w:sdtContent>
        </w:sdt>
        <w:sdt>
          <w:sdtPr>
            <w:rPr>
              <w:color w:val="000000" w:themeColor="text1"/>
              <w:sz w:val="21"/>
              <w:szCs w:val="21"/>
            </w:rPr>
            <w:tag w:val="_PLD_098d9fcf9d5341879d534aa385508f23"/>
            <w:id w:val="305750325"/>
          </w:sdtPr>
          <w:sdtEndPr/>
          <w:sdtContent>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5BFC2854" w14:textId="77777777" w:rsidR="002D0AE7" w:rsidRDefault="00333EBB">
                <w:pPr>
                  <w:jc w:val="center"/>
                  <w:rPr>
                    <w:rFonts w:hint="eastAsia"/>
                    <w:color w:val="000000" w:themeColor="text1"/>
                    <w:sz w:val="21"/>
                    <w:szCs w:val="21"/>
                  </w:rPr>
                </w:pPr>
                <w:r>
                  <w:rPr>
                    <w:rFonts w:hint="eastAsia"/>
                    <w:color w:val="000000" w:themeColor="text1"/>
                    <w:sz w:val="21"/>
                    <w:szCs w:val="21"/>
                  </w:rPr>
                  <w:t>权益法下确认的投资损益</w:t>
                </w:r>
              </w:p>
            </w:tc>
          </w:sdtContent>
        </w:sdt>
        <w:sdt>
          <w:sdtPr>
            <w:rPr>
              <w:color w:val="000000" w:themeColor="text1"/>
              <w:sz w:val="21"/>
              <w:szCs w:val="21"/>
            </w:rPr>
            <w:tag w:val="_PLD_b66787b3a51d435899d94dbab1edade7"/>
            <w:id w:val="-2001885409"/>
          </w:sdtPr>
          <w:sdtEndPr/>
          <w:sdtContent>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73A4181F" w14:textId="77777777" w:rsidR="002D0AE7" w:rsidRDefault="00333EBB">
                <w:pPr>
                  <w:jc w:val="center"/>
                  <w:rPr>
                    <w:rFonts w:hint="eastAsia"/>
                    <w:color w:val="000000" w:themeColor="text1"/>
                    <w:sz w:val="21"/>
                    <w:szCs w:val="21"/>
                  </w:rPr>
                </w:pPr>
                <w:r>
                  <w:rPr>
                    <w:rFonts w:hint="eastAsia"/>
                    <w:color w:val="000000" w:themeColor="text1"/>
                    <w:sz w:val="21"/>
                    <w:szCs w:val="21"/>
                  </w:rPr>
                  <w:t>其他综合收益调整</w:t>
                </w:r>
              </w:p>
            </w:tc>
          </w:sdtContent>
        </w:sdt>
        <w:sdt>
          <w:sdtPr>
            <w:rPr>
              <w:color w:val="000000" w:themeColor="text1"/>
              <w:sz w:val="21"/>
              <w:szCs w:val="21"/>
            </w:rPr>
            <w:tag w:val="_PLD_59166394bf7143a6a5ce0d447326b1ac"/>
            <w:id w:val="-1459103477"/>
          </w:sdtPr>
          <w:sdtEndPr/>
          <w:sdtContent>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793E55E5" w14:textId="77777777" w:rsidR="002D0AE7" w:rsidRDefault="00333EBB">
                <w:pPr>
                  <w:jc w:val="center"/>
                  <w:rPr>
                    <w:rFonts w:hint="eastAsia"/>
                    <w:color w:val="000000" w:themeColor="text1"/>
                    <w:sz w:val="21"/>
                    <w:szCs w:val="21"/>
                  </w:rPr>
                </w:pPr>
                <w:r>
                  <w:rPr>
                    <w:rFonts w:hint="eastAsia"/>
                    <w:color w:val="000000" w:themeColor="text1"/>
                    <w:sz w:val="21"/>
                    <w:szCs w:val="21"/>
                  </w:rPr>
                  <w:t>其他权益变动</w:t>
                </w:r>
              </w:p>
            </w:tc>
          </w:sdtContent>
        </w:sdt>
        <w:sdt>
          <w:sdtPr>
            <w:rPr>
              <w:color w:val="000000" w:themeColor="text1"/>
              <w:sz w:val="21"/>
              <w:szCs w:val="21"/>
            </w:rPr>
            <w:tag w:val="_PLD_cbd4cf48730a4934a58b86d2c27b6b08"/>
            <w:id w:val="-505981633"/>
          </w:sdtPr>
          <w:sdtEndPr/>
          <w:sdtContent>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67721D1D" w14:textId="77777777" w:rsidR="002D0AE7" w:rsidRDefault="00333EBB">
                <w:pPr>
                  <w:jc w:val="center"/>
                  <w:rPr>
                    <w:rFonts w:hint="eastAsia"/>
                    <w:color w:val="000000" w:themeColor="text1"/>
                    <w:sz w:val="21"/>
                    <w:szCs w:val="21"/>
                  </w:rPr>
                </w:pPr>
                <w:r>
                  <w:rPr>
                    <w:rFonts w:hint="eastAsia"/>
                    <w:color w:val="000000" w:themeColor="text1"/>
                    <w:sz w:val="21"/>
                    <w:szCs w:val="21"/>
                  </w:rPr>
                  <w:t>宣告发放现金股利或利润</w:t>
                </w:r>
              </w:p>
            </w:tc>
          </w:sdtContent>
        </w:sdt>
        <w:sdt>
          <w:sdtPr>
            <w:rPr>
              <w:color w:val="000000" w:themeColor="text1"/>
              <w:sz w:val="21"/>
              <w:szCs w:val="21"/>
            </w:rPr>
            <w:tag w:val="_PLD_4c0a72e8e14d4b319998bc5bde635ef0"/>
            <w:id w:val="-1617058160"/>
          </w:sdtPr>
          <w:sdtEndPr/>
          <w:sdtContent>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1FD3C32B" w14:textId="77777777" w:rsidR="002D0AE7" w:rsidRDefault="00333EBB">
                <w:pPr>
                  <w:jc w:val="center"/>
                  <w:rPr>
                    <w:rFonts w:hint="eastAsia"/>
                    <w:color w:val="000000" w:themeColor="text1"/>
                    <w:sz w:val="21"/>
                    <w:szCs w:val="21"/>
                  </w:rPr>
                </w:pPr>
                <w:r>
                  <w:rPr>
                    <w:rFonts w:hint="eastAsia"/>
                    <w:color w:val="000000" w:themeColor="text1"/>
                    <w:sz w:val="21"/>
                    <w:szCs w:val="21"/>
                  </w:rPr>
                  <w:t>计提减值准备</w:t>
                </w:r>
              </w:p>
            </w:tc>
          </w:sdtContent>
        </w:sdt>
        <w:sdt>
          <w:sdtPr>
            <w:rPr>
              <w:color w:val="000000" w:themeColor="text1"/>
              <w:sz w:val="21"/>
              <w:szCs w:val="21"/>
            </w:rPr>
            <w:tag w:val="_PLD_ea8213b5ee1442f98996b6dfc1f9a9a4"/>
            <w:id w:val="845444848"/>
          </w:sdtPr>
          <w:sdtEndPr/>
          <w:sdtContent>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9F31619" w14:textId="77777777" w:rsidR="002D0AE7" w:rsidRDefault="00333EBB">
                <w:pPr>
                  <w:jc w:val="center"/>
                  <w:rPr>
                    <w:rFonts w:hint="eastAsia"/>
                    <w:color w:val="000000" w:themeColor="text1"/>
                    <w:sz w:val="21"/>
                    <w:szCs w:val="21"/>
                  </w:rPr>
                </w:pPr>
                <w:r>
                  <w:rPr>
                    <w:rFonts w:hint="eastAsia"/>
                    <w:color w:val="000000" w:themeColor="text1"/>
                    <w:sz w:val="21"/>
                    <w:szCs w:val="21"/>
                  </w:rPr>
                  <w:t>其他</w:t>
                </w:r>
              </w:p>
            </w:tc>
          </w:sdtContent>
        </w:sdt>
        <w:tc>
          <w:tcPr>
            <w:tcW w:w="540" w:type="pct"/>
            <w:vMerge/>
            <w:tcBorders>
              <w:left w:val="single" w:sz="4" w:space="0" w:color="auto"/>
              <w:bottom w:val="single" w:sz="4" w:space="0" w:color="auto"/>
              <w:right w:val="single" w:sz="4" w:space="0" w:color="auto"/>
            </w:tcBorders>
            <w:shd w:val="clear" w:color="auto" w:fill="auto"/>
            <w:vAlign w:val="center"/>
          </w:tcPr>
          <w:p w14:paraId="1DA38FE1" w14:textId="77777777" w:rsidR="002D0AE7" w:rsidRDefault="002D0AE7">
            <w:pPr>
              <w:jc w:val="center"/>
              <w:rPr>
                <w:rFonts w:hint="eastAsia"/>
                <w:color w:val="000000" w:themeColor="text1"/>
                <w:sz w:val="21"/>
                <w:szCs w:val="21"/>
              </w:rPr>
            </w:pPr>
          </w:p>
        </w:tc>
        <w:tc>
          <w:tcPr>
            <w:tcW w:w="272" w:type="pct"/>
            <w:vMerge/>
            <w:tcBorders>
              <w:left w:val="single" w:sz="4" w:space="0" w:color="auto"/>
              <w:bottom w:val="single" w:sz="4" w:space="0" w:color="auto"/>
              <w:right w:val="single" w:sz="4" w:space="0" w:color="auto"/>
            </w:tcBorders>
            <w:shd w:val="clear" w:color="auto" w:fill="auto"/>
            <w:vAlign w:val="center"/>
          </w:tcPr>
          <w:p w14:paraId="26D37991" w14:textId="77777777" w:rsidR="002D0AE7" w:rsidRDefault="002D0AE7">
            <w:pPr>
              <w:jc w:val="center"/>
              <w:rPr>
                <w:rFonts w:hint="eastAsia"/>
                <w:color w:val="000000" w:themeColor="text1"/>
                <w:sz w:val="21"/>
                <w:szCs w:val="21"/>
              </w:rPr>
            </w:pPr>
          </w:p>
        </w:tc>
      </w:tr>
      <w:tr w:rsidR="002D0AE7" w14:paraId="290C64B0" w14:textId="77777777">
        <w:trPr>
          <w:jc w:val="center"/>
        </w:trPr>
        <w:sdt>
          <w:sdtPr>
            <w:rPr>
              <w:color w:val="000000" w:themeColor="text1"/>
              <w:sz w:val="21"/>
              <w:szCs w:val="21"/>
            </w:rPr>
            <w:tag w:val="_PLD_0b6a8ff5b8594d3fa9d53755249b815f"/>
            <w:id w:val="616945741"/>
          </w:sdtPr>
          <w:sdtEnd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76C61B25" w14:textId="77777777" w:rsidR="002D0AE7" w:rsidRDefault="00333EBB">
                <w:pPr>
                  <w:rPr>
                    <w:rFonts w:hint="eastAsia"/>
                    <w:color w:val="000000" w:themeColor="text1"/>
                    <w:sz w:val="21"/>
                    <w:szCs w:val="21"/>
                  </w:rPr>
                </w:pPr>
                <w:r>
                  <w:rPr>
                    <w:rFonts w:hint="eastAsia"/>
                    <w:color w:val="000000" w:themeColor="text1"/>
                    <w:sz w:val="21"/>
                    <w:szCs w:val="21"/>
                  </w:rPr>
                  <w:t>二、联营企业</w:t>
                </w:r>
              </w:p>
            </w:tc>
          </w:sdtContent>
        </w:sdt>
      </w:tr>
      <w:tr w:rsidR="002D0AE7" w14:paraId="10552CA1" w14:textId="77777777">
        <w:trPr>
          <w:jc w:val="center"/>
        </w:trPr>
        <w:tc>
          <w:tcPr>
            <w:tcW w:w="1034" w:type="pct"/>
            <w:tcBorders>
              <w:top w:val="single" w:sz="4" w:space="0" w:color="auto"/>
              <w:left w:val="single" w:sz="4" w:space="0" w:color="auto"/>
              <w:bottom w:val="single" w:sz="4" w:space="0" w:color="auto"/>
              <w:right w:val="single" w:sz="4" w:space="0" w:color="auto"/>
            </w:tcBorders>
            <w:shd w:val="clear" w:color="auto" w:fill="auto"/>
          </w:tcPr>
          <w:p w14:paraId="5B7F6C5B" w14:textId="77777777" w:rsidR="002D0AE7" w:rsidRDefault="00333EBB">
            <w:pPr>
              <w:rPr>
                <w:rFonts w:hint="eastAsia"/>
                <w:sz w:val="21"/>
                <w:szCs w:val="21"/>
              </w:rPr>
            </w:pPr>
            <w:r>
              <w:rPr>
                <w:sz w:val="21"/>
                <w:szCs w:val="21"/>
              </w:rPr>
              <w:t>天津药业研究院有限公司</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426CD6A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13,149,063.97</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64734DE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367FBE0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5DAAE89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5,117.88</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00A9C9F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0CB5CBC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3557F40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0A39884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5C2CB6F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176,961.59</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3A73C3F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13,331,143.44</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063091C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75B2789C" w14:textId="77777777">
        <w:trPr>
          <w:jc w:val="center"/>
        </w:trPr>
        <w:tc>
          <w:tcPr>
            <w:tcW w:w="1034" w:type="pct"/>
            <w:tcBorders>
              <w:top w:val="single" w:sz="4" w:space="0" w:color="auto"/>
              <w:left w:val="single" w:sz="4" w:space="0" w:color="auto"/>
              <w:bottom w:val="single" w:sz="4" w:space="0" w:color="auto"/>
              <w:right w:val="single" w:sz="4" w:space="0" w:color="auto"/>
            </w:tcBorders>
            <w:shd w:val="clear" w:color="auto" w:fill="auto"/>
          </w:tcPr>
          <w:p w14:paraId="2E9DCBD8" w14:textId="77777777" w:rsidR="002D0AE7" w:rsidRDefault="00333EBB">
            <w:pPr>
              <w:rPr>
                <w:rFonts w:hint="eastAsia"/>
                <w:sz w:val="21"/>
                <w:szCs w:val="21"/>
              </w:rPr>
            </w:pPr>
            <w:r>
              <w:rPr>
                <w:sz w:val="21"/>
                <w:szCs w:val="21"/>
              </w:rPr>
              <w:t>江西百思康瑞药业有限公司</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76A1EF8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9,168,136.84</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3D6E70D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50EB086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63AEF2C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1,031,830.23</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49A5549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66AB5F4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5772FDA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71791DB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4E751A7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7D8446B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10,199,967.07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569A3A1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57C7E826" w14:textId="77777777">
        <w:trPr>
          <w:jc w:val="center"/>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5ACA0217"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14:paraId="12BF0B4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22,317,200.81</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4620F50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796574B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14:paraId="443AB85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1,036,948.11</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1BBFB09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23E72EE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77004DA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61AF0C4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376E42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176,961.59</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531A5B6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23,531,110.51</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531EFC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bl>
    <w:p w14:paraId="2B21F19E" w14:textId="77777777" w:rsidR="002D0AE7" w:rsidRDefault="00333EBB">
      <w:pPr>
        <w:snapToGrid w:val="0"/>
        <w:spacing w:line="240" w:lineRule="atLeast"/>
        <w:rPr>
          <w:rFonts w:hint="eastAsia"/>
          <w:color w:val="000000" w:themeColor="text1"/>
        </w:rPr>
      </w:pPr>
      <w:bookmarkStart w:id="174" w:name="_Hlk167893618"/>
      <w:bookmarkEnd w:id="173"/>
      <w:r>
        <w:rPr>
          <w:rFonts w:hint="eastAsia"/>
          <w:color w:val="000000" w:themeColor="text1"/>
        </w:rPr>
        <w:t>其他说明</w:t>
      </w:r>
      <w:sdt>
        <w:sdtPr>
          <w:rPr>
            <w:color w:val="000000" w:themeColor="text1"/>
          </w:rPr>
          <w:alias w:val="长期股票投资的说明"/>
          <w:tag w:val="_GBC_de8cfc4ca45d42b88f7513c93a853186"/>
          <w:id w:val="-61715953"/>
          <w:placeholder>
            <w:docPart w:val="GBC22222222222222222222222222222"/>
          </w:placeholder>
        </w:sdtPr>
        <w:sdtEndPr/>
        <w:sdtContent>
          <w:r>
            <w:rPr>
              <w:rFonts w:hint="eastAsia"/>
              <w:color w:val="000000" w:themeColor="text1"/>
            </w:rPr>
            <w:t>无</w:t>
          </w:r>
        </w:sdtContent>
      </w:sdt>
    </w:p>
    <w:p w14:paraId="503EFEE2" w14:textId="77777777" w:rsidR="002D0AE7" w:rsidRDefault="00333EBB">
      <w:pPr>
        <w:pStyle w:val="3"/>
        <w:numPr>
          <w:ilvl w:val="0"/>
          <w:numId w:val="43"/>
        </w:numPr>
        <w:tabs>
          <w:tab w:val="left" w:pos="504"/>
        </w:tabs>
        <w:rPr>
          <w:color w:val="000000" w:themeColor="text1"/>
          <w:szCs w:val="21"/>
        </w:rPr>
      </w:pPr>
      <w:bookmarkStart w:id="175" w:name="_Hlk533409702"/>
      <w:bookmarkStart w:id="176" w:name="_Hlk152858292"/>
      <w:bookmarkStart w:id="177" w:name="_Hlk167895169"/>
      <w:bookmarkEnd w:id="172"/>
      <w:bookmarkEnd w:id="174"/>
      <w:r>
        <w:rPr>
          <w:rFonts w:hint="eastAsia"/>
          <w:color w:val="000000" w:themeColor="text1"/>
          <w:szCs w:val="21"/>
        </w:rPr>
        <w:t>其他权益工具投资</w:t>
      </w:r>
    </w:p>
    <w:p w14:paraId="1BC4FEB1" w14:textId="77777777" w:rsidR="002D0AE7" w:rsidRDefault="00333EBB">
      <w:pPr>
        <w:pStyle w:val="4"/>
        <w:numPr>
          <w:ilvl w:val="3"/>
          <w:numId w:val="50"/>
        </w:numPr>
        <w:ind w:left="426" w:hanging="426"/>
        <w:rPr>
          <w:color w:val="000000" w:themeColor="text1"/>
        </w:rPr>
      </w:pPr>
      <w:bookmarkStart w:id="178" w:name="_Hlk532994936"/>
      <w:r>
        <w:rPr>
          <w:rFonts w:hint="eastAsia"/>
          <w:color w:val="000000" w:themeColor="text1"/>
        </w:rPr>
        <w:t>其他权益工具投资情况</w:t>
      </w:r>
    </w:p>
    <w:sdt>
      <w:sdtPr>
        <w:rPr>
          <w:color w:val="000000" w:themeColor="text1"/>
        </w:rPr>
        <w:alias w:val="是否适用：其他权益工具投资情况[双击切换]"/>
        <w:tag w:val="_GBC_ac87b47cf70d4820a1189b53bf53af73"/>
        <w:id w:val="1874348283"/>
        <w:placeholder>
          <w:docPart w:val="GBC22222222222222222222222222222"/>
        </w:placeholder>
      </w:sdtPr>
      <w:sdtEndPr/>
      <w:sdtContent>
        <w:p w14:paraId="6F6B96ED"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0D89FF02" w14:textId="77777777" w:rsidR="002D0AE7" w:rsidRDefault="00333EBB">
      <w:pPr>
        <w:autoSpaceDE w:val="0"/>
        <w:autoSpaceDN w:val="0"/>
        <w:adjustRightInd w:val="0"/>
        <w:ind w:left="5880" w:right="105"/>
        <w:jc w:val="right"/>
        <w:rPr>
          <w:rFonts w:hint="eastAsia"/>
          <w:color w:val="000000" w:themeColor="text1"/>
        </w:rPr>
      </w:pPr>
      <w:r>
        <w:rPr>
          <w:rFonts w:hint="eastAsia"/>
          <w:color w:val="000000" w:themeColor="text1"/>
        </w:rPr>
        <w:t>单位：</w:t>
      </w:r>
      <w:sdt>
        <w:sdtPr>
          <w:rPr>
            <w:rFonts w:hint="eastAsia"/>
            <w:color w:val="000000" w:themeColor="text1"/>
          </w:rPr>
          <w:alias w:val="单位：其他权益工具投资情况"/>
          <w:tag w:val="_GBC_9bbc2bc262694a308c04bf4f25e3f1bb"/>
          <w:id w:val="22117927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其他权益工具投资情况"/>
          <w:tag w:val="_GBC_c944479021b54a639f17a7b9d298ba98"/>
          <w:id w:val="-18560064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540"/>
        <w:gridCol w:w="695"/>
        <w:gridCol w:w="692"/>
        <w:gridCol w:w="1399"/>
        <w:gridCol w:w="1262"/>
        <w:gridCol w:w="426"/>
        <w:gridCol w:w="1529"/>
        <w:gridCol w:w="977"/>
        <w:gridCol w:w="1460"/>
        <w:gridCol w:w="1425"/>
        <w:gridCol w:w="1367"/>
      </w:tblGrid>
      <w:tr w:rsidR="002D0AE7" w14:paraId="1589A54A" w14:textId="77777777">
        <w:trPr>
          <w:jc w:val="center"/>
        </w:trPr>
        <w:bookmarkEnd w:id="178" w:displacedByCustomXml="next"/>
        <w:bookmarkEnd w:id="176" w:displacedByCustomXml="next"/>
        <w:bookmarkEnd w:id="175" w:displacedByCustomXml="next"/>
        <w:sdt>
          <w:sdtPr>
            <w:rPr>
              <w:rFonts w:hint="eastAsia"/>
              <w:color w:val="000000" w:themeColor="text1"/>
              <w:sz w:val="21"/>
              <w:szCs w:val="21"/>
            </w:rPr>
            <w:tag w:val="_PLD_3daf209c1b064e4980c71e7ae45806a6"/>
            <w:id w:val="1839260421"/>
          </w:sdtPr>
          <w:sdtEndPr/>
          <w:sdtContent>
            <w:tc>
              <w:tcPr>
                <w:tcW w:w="1012" w:type="pct"/>
                <w:vMerge w:val="restart"/>
                <w:tcBorders>
                  <w:top w:val="single" w:sz="4" w:space="0" w:color="auto"/>
                  <w:left w:val="single" w:sz="4" w:space="0" w:color="auto"/>
                  <w:right w:val="single" w:sz="4" w:space="0" w:color="auto"/>
                </w:tcBorders>
                <w:shd w:val="clear" w:color="auto" w:fill="auto"/>
                <w:vAlign w:val="center"/>
              </w:tcPr>
              <w:p w14:paraId="02089B6A"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rFonts w:hint="eastAsia"/>
              <w:color w:val="000000" w:themeColor="text1"/>
              <w:sz w:val="21"/>
              <w:szCs w:val="21"/>
            </w:rPr>
            <w:tag w:val="_PLD_1d20fa0d77b4406390305b87a75671b0"/>
            <w:id w:val="-1802770103"/>
          </w:sdtPr>
          <w:sdtEndPr/>
          <w:sdtContent>
            <w:tc>
              <w:tcPr>
                <w:tcW w:w="481" w:type="pct"/>
                <w:vMerge w:val="restart"/>
                <w:tcBorders>
                  <w:top w:val="single" w:sz="4" w:space="0" w:color="auto"/>
                  <w:left w:val="single" w:sz="4" w:space="0" w:color="auto"/>
                  <w:right w:val="single" w:sz="4" w:space="0" w:color="auto"/>
                </w:tcBorders>
                <w:shd w:val="clear" w:color="auto" w:fill="auto"/>
                <w:vAlign w:val="center"/>
              </w:tcPr>
              <w:p w14:paraId="1F3EE104" w14:textId="77777777" w:rsidR="002D0AE7" w:rsidRDefault="00333EBB">
                <w:pPr>
                  <w:jc w:val="center"/>
                  <w:rPr>
                    <w:rFonts w:hint="eastAsia"/>
                    <w:color w:val="000000" w:themeColor="text1"/>
                    <w:sz w:val="21"/>
                    <w:szCs w:val="21"/>
                  </w:rPr>
                </w:pPr>
                <w:r>
                  <w:rPr>
                    <w:rFonts w:hint="eastAsia"/>
                    <w:color w:val="000000" w:themeColor="text1"/>
                    <w:sz w:val="21"/>
                    <w:szCs w:val="21"/>
                  </w:rPr>
                  <w:t>期初</w:t>
                </w:r>
              </w:p>
              <w:p w14:paraId="4A4B1013" w14:textId="77777777" w:rsidR="002D0AE7" w:rsidRDefault="00333EBB">
                <w:pPr>
                  <w:jc w:val="center"/>
                  <w:rPr>
                    <w:rFonts w:hint="eastAsia"/>
                    <w:color w:val="000000" w:themeColor="text1"/>
                    <w:sz w:val="21"/>
                    <w:szCs w:val="21"/>
                  </w:rPr>
                </w:pPr>
                <w:r>
                  <w:rPr>
                    <w:rFonts w:hint="eastAsia"/>
                    <w:color w:val="000000" w:themeColor="text1"/>
                    <w:sz w:val="21"/>
                    <w:szCs w:val="21"/>
                  </w:rPr>
                  <w:t>余额</w:t>
                </w:r>
              </w:p>
            </w:tc>
          </w:sdtContent>
        </w:sdt>
        <w:sdt>
          <w:sdtPr>
            <w:rPr>
              <w:rFonts w:hint="eastAsia"/>
              <w:color w:val="000000" w:themeColor="text1"/>
              <w:sz w:val="21"/>
              <w:szCs w:val="21"/>
            </w:rPr>
            <w:tag w:val="_PLD_6a633ba000d144cb8770931370381fa1"/>
            <w:id w:val="266580861"/>
          </w:sdtPr>
          <w:sdtEndPr/>
          <w:sdtContent>
            <w:tc>
              <w:tcPr>
                <w:tcW w:w="139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B48D88" w14:textId="77777777" w:rsidR="002D0AE7" w:rsidRDefault="00333EBB">
                <w:pPr>
                  <w:jc w:val="center"/>
                  <w:rPr>
                    <w:rFonts w:hint="eastAsia"/>
                    <w:color w:val="000000" w:themeColor="text1"/>
                    <w:sz w:val="21"/>
                    <w:szCs w:val="21"/>
                  </w:rPr>
                </w:pPr>
                <w:r>
                  <w:rPr>
                    <w:rFonts w:hint="eastAsia"/>
                    <w:color w:val="000000" w:themeColor="text1"/>
                    <w:sz w:val="21"/>
                    <w:szCs w:val="21"/>
                  </w:rPr>
                  <w:t>本期增减变动</w:t>
                </w:r>
              </w:p>
            </w:tc>
          </w:sdtContent>
        </w:sdt>
        <w:sdt>
          <w:sdtPr>
            <w:rPr>
              <w:rFonts w:hint="eastAsia"/>
              <w:color w:val="000000" w:themeColor="text1"/>
              <w:sz w:val="21"/>
              <w:szCs w:val="21"/>
            </w:rPr>
            <w:tag w:val="_PLD_d9fc41afb57d40a5826584d39a74e53d"/>
            <w:id w:val="335353245"/>
          </w:sdtPr>
          <w:sdtEndPr/>
          <w:sdtContent>
            <w:tc>
              <w:tcPr>
                <w:tcW w:w="477" w:type="pct"/>
                <w:vMerge w:val="restart"/>
                <w:tcBorders>
                  <w:top w:val="single" w:sz="4" w:space="0" w:color="auto"/>
                  <w:left w:val="single" w:sz="4" w:space="0" w:color="auto"/>
                  <w:right w:val="single" w:sz="4" w:space="0" w:color="auto"/>
                </w:tcBorders>
                <w:shd w:val="clear" w:color="auto" w:fill="auto"/>
                <w:vAlign w:val="center"/>
              </w:tcPr>
              <w:p w14:paraId="75A67212" w14:textId="77777777" w:rsidR="002D0AE7" w:rsidRDefault="00333EBB">
                <w:pPr>
                  <w:jc w:val="center"/>
                  <w:rPr>
                    <w:rFonts w:hint="eastAsia"/>
                    <w:color w:val="000000" w:themeColor="text1"/>
                    <w:sz w:val="21"/>
                    <w:szCs w:val="21"/>
                  </w:rPr>
                </w:pPr>
                <w:r>
                  <w:rPr>
                    <w:rFonts w:hint="eastAsia"/>
                    <w:color w:val="000000" w:themeColor="text1"/>
                    <w:sz w:val="21"/>
                    <w:szCs w:val="21"/>
                  </w:rPr>
                  <w:t>期末</w:t>
                </w:r>
              </w:p>
              <w:p w14:paraId="0D730A50" w14:textId="77777777" w:rsidR="002D0AE7" w:rsidRDefault="00333EBB">
                <w:pPr>
                  <w:jc w:val="center"/>
                  <w:rPr>
                    <w:rFonts w:hint="eastAsia"/>
                    <w:color w:val="000000" w:themeColor="text1"/>
                    <w:sz w:val="21"/>
                    <w:szCs w:val="21"/>
                  </w:rPr>
                </w:pPr>
                <w:r>
                  <w:rPr>
                    <w:rFonts w:hint="eastAsia"/>
                    <w:color w:val="000000" w:themeColor="text1"/>
                    <w:sz w:val="21"/>
                    <w:szCs w:val="21"/>
                  </w:rPr>
                  <w:t>余额</w:t>
                </w:r>
              </w:p>
            </w:tc>
          </w:sdtContent>
        </w:sdt>
        <w:sdt>
          <w:sdtPr>
            <w:rPr>
              <w:rFonts w:hint="eastAsia"/>
              <w:color w:val="000000" w:themeColor="text1"/>
              <w:sz w:val="21"/>
              <w:szCs w:val="21"/>
            </w:rPr>
            <w:tag w:val="_PLD_b3500e3451724262a7eb38ac2709c54a"/>
            <w:id w:val="1687323821"/>
          </w:sdtPr>
          <w:sdtEndPr/>
          <w:sdtContent>
            <w:tc>
              <w:tcPr>
                <w:tcW w:w="305" w:type="pct"/>
                <w:vMerge w:val="restart"/>
                <w:tcBorders>
                  <w:top w:val="single" w:sz="4" w:space="0" w:color="auto"/>
                  <w:left w:val="single" w:sz="4" w:space="0" w:color="auto"/>
                  <w:right w:val="single" w:sz="4" w:space="0" w:color="auto"/>
                </w:tcBorders>
                <w:vAlign w:val="center"/>
              </w:tcPr>
              <w:p w14:paraId="115F5696" w14:textId="77777777" w:rsidR="002D0AE7" w:rsidRDefault="00333EBB">
                <w:pPr>
                  <w:jc w:val="center"/>
                  <w:rPr>
                    <w:rFonts w:hint="eastAsia"/>
                    <w:color w:val="000000" w:themeColor="text1"/>
                    <w:sz w:val="21"/>
                    <w:szCs w:val="21"/>
                  </w:rPr>
                </w:pPr>
                <w:r>
                  <w:rPr>
                    <w:rFonts w:hint="eastAsia"/>
                    <w:color w:val="000000" w:themeColor="text1"/>
                    <w:sz w:val="21"/>
                    <w:szCs w:val="21"/>
                  </w:rPr>
                  <w:t>本期确认的股利收入</w:t>
                </w:r>
              </w:p>
            </w:tc>
          </w:sdtContent>
        </w:sdt>
        <w:sdt>
          <w:sdtPr>
            <w:rPr>
              <w:rFonts w:hint="eastAsia"/>
              <w:color w:val="000000" w:themeColor="text1"/>
              <w:sz w:val="21"/>
              <w:szCs w:val="21"/>
            </w:rPr>
            <w:tag w:val="_PLD_d94045f5a1cb4092aa594c265a146180"/>
            <w:id w:val="1101061995"/>
          </w:sdtPr>
          <w:sdtEndPr/>
          <w:sdtContent>
            <w:tc>
              <w:tcPr>
                <w:tcW w:w="456" w:type="pct"/>
                <w:vMerge w:val="restart"/>
                <w:tcBorders>
                  <w:top w:val="single" w:sz="4" w:space="0" w:color="auto"/>
                  <w:left w:val="single" w:sz="4" w:space="0" w:color="auto"/>
                  <w:right w:val="single" w:sz="4" w:space="0" w:color="auto"/>
                </w:tcBorders>
                <w:vAlign w:val="center"/>
              </w:tcPr>
              <w:p w14:paraId="118982D3" w14:textId="77777777" w:rsidR="002D0AE7" w:rsidRDefault="00333EBB">
                <w:pPr>
                  <w:jc w:val="center"/>
                  <w:rPr>
                    <w:rFonts w:hint="eastAsia"/>
                    <w:color w:val="000000" w:themeColor="text1"/>
                    <w:sz w:val="21"/>
                    <w:szCs w:val="21"/>
                  </w:rPr>
                </w:pPr>
                <w:r>
                  <w:rPr>
                    <w:rFonts w:hint="eastAsia"/>
                    <w:color w:val="000000" w:themeColor="text1"/>
                    <w:sz w:val="21"/>
                    <w:szCs w:val="21"/>
                  </w:rPr>
                  <w:t>累计计入其他综合收益的利得</w:t>
                </w:r>
              </w:p>
            </w:tc>
          </w:sdtContent>
        </w:sdt>
        <w:sdt>
          <w:sdtPr>
            <w:rPr>
              <w:rFonts w:hint="eastAsia"/>
              <w:color w:val="000000" w:themeColor="text1"/>
              <w:sz w:val="21"/>
              <w:szCs w:val="21"/>
            </w:rPr>
            <w:tag w:val="_PLD_5f0ce8d1a2e4468abbf27c5755f10b41"/>
            <w:id w:val="1852366663"/>
          </w:sdtPr>
          <w:sdtEndPr/>
          <w:sdtContent>
            <w:tc>
              <w:tcPr>
                <w:tcW w:w="445" w:type="pct"/>
                <w:vMerge w:val="restart"/>
                <w:tcBorders>
                  <w:top w:val="single" w:sz="4" w:space="0" w:color="auto"/>
                  <w:left w:val="single" w:sz="4" w:space="0" w:color="auto"/>
                  <w:right w:val="single" w:sz="4" w:space="0" w:color="auto"/>
                </w:tcBorders>
                <w:vAlign w:val="center"/>
              </w:tcPr>
              <w:p w14:paraId="636C9352" w14:textId="77777777" w:rsidR="002D0AE7" w:rsidRDefault="00333EBB">
                <w:pPr>
                  <w:jc w:val="center"/>
                  <w:rPr>
                    <w:rFonts w:hint="eastAsia"/>
                    <w:color w:val="000000" w:themeColor="text1"/>
                    <w:sz w:val="21"/>
                    <w:szCs w:val="21"/>
                  </w:rPr>
                </w:pPr>
                <w:r>
                  <w:rPr>
                    <w:rFonts w:hint="eastAsia"/>
                    <w:color w:val="000000" w:themeColor="text1"/>
                    <w:sz w:val="21"/>
                    <w:szCs w:val="21"/>
                  </w:rPr>
                  <w:t>累计计入其他综合收益的损失</w:t>
                </w:r>
              </w:p>
            </w:tc>
          </w:sdtContent>
        </w:sdt>
        <w:sdt>
          <w:sdtPr>
            <w:rPr>
              <w:rFonts w:hint="eastAsia"/>
              <w:color w:val="000000" w:themeColor="text1"/>
              <w:sz w:val="21"/>
              <w:szCs w:val="21"/>
            </w:rPr>
            <w:tag w:val="_PLD_30dbafaa8a8b420cb3406f22958c59c0"/>
            <w:id w:val="348375515"/>
          </w:sdtPr>
          <w:sdtEndPr/>
          <w:sdtContent>
            <w:tc>
              <w:tcPr>
                <w:tcW w:w="427" w:type="pct"/>
                <w:vMerge w:val="restart"/>
                <w:tcBorders>
                  <w:top w:val="single" w:sz="4" w:space="0" w:color="auto"/>
                  <w:left w:val="single" w:sz="4" w:space="0" w:color="auto"/>
                  <w:right w:val="single" w:sz="4" w:space="0" w:color="auto"/>
                </w:tcBorders>
                <w:shd w:val="clear" w:color="auto" w:fill="auto"/>
                <w:vAlign w:val="center"/>
              </w:tcPr>
              <w:p w14:paraId="575C933E" w14:textId="77777777" w:rsidR="002D0AE7" w:rsidRDefault="00333EBB">
                <w:pPr>
                  <w:jc w:val="center"/>
                  <w:rPr>
                    <w:rFonts w:hint="eastAsia"/>
                    <w:color w:val="000000" w:themeColor="text1"/>
                    <w:sz w:val="21"/>
                    <w:szCs w:val="21"/>
                  </w:rPr>
                </w:pPr>
                <w:r>
                  <w:rPr>
                    <w:rFonts w:hint="eastAsia"/>
                    <w:color w:val="000000" w:themeColor="text1"/>
                    <w:sz w:val="21"/>
                    <w:szCs w:val="21"/>
                  </w:rPr>
                  <w:t>指定为以公允价值计量且其变动计入其他综合收益的原因</w:t>
                </w:r>
              </w:p>
            </w:tc>
          </w:sdtContent>
        </w:sdt>
      </w:tr>
      <w:tr w:rsidR="002D0AE7" w14:paraId="76983741" w14:textId="77777777">
        <w:trPr>
          <w:jc w:val="center"/>
        </w:trPr>
        <w:tc>
          <w:tcPr>
            <w:tcW w:w="1012" w:type="pct"/>
            <w:vMerge/>
            <w:tcBorders>
              <w:left w:val="single" w:sz="4" w:space="0" w:color="auto"/>
              <w:bottom w:val="single" w:sz="4" w:space="0" w:color="auto"/>
              <w:right w:val="single" w:sz="4" w:space="0" w:color="auto"/>
            </w:tcBorders>
            <w:shd w:val="clear" w:color="auto" w:fill="auto"/>
          </w:tcPr>
          <w:p w14:paraId="5C96D3B5" w14:textId="77777777" w:rsidR="002D0AE7" w:rsidRDefault="002D0AE7">
            <w:pPr>
              <w:jc w:val="center"/>
              <w:rPr>
                <w:rFonts w:hint="eastAsia"/>
                <w:color w:val="000000" w:themeColor="text1"/>
                <w:sz w:val="21"/>
                <w:szCs w:val="21"/>
              </w:rPr>
            </w:pPr>
          </w:p>
        </w:tc>
        <w:tc>
          <w:tcPr>
            <w:tcW w:w="481" w:type="pct"/>
            <w:vMerge/>
            <w:tcBorders>
              <w:left w:val="single" w:sz="4" w:space="0" w:color="auto"/>
              <w:bottom w:val="single" w:sz="4" w:space="0" w:color="auto"/>
              <w:right w:val="single" w:sz="4" w:space="0" w:color="auto"/>
            </w:tcBorders>
            <w:shd w:val="clear" w:color="auto" w:fill="auto"/>
          </w:tcPr>
          <w:p w14:paraId="2144C011" w14:textId="77777777" w:rsidR="002D0AE7" w:rsidRDefault="002D0AE7">
            <w:pPr>
              <w:jc w:val="center"/>
              <w:rPr>
                <w:rFonts w:hint="eastAsia"/>
                <w:color w:val="000000" w:themeColor="text1"/>
                <w:sz w:val="21"/>
                <w:szCs w:val="21"/>
              </w:rPr>
            </w:pPr>
          </w:p>
        </w:tc>
        <w:sdt>
          <w:sdtPr>
            <w:rPr>
              <w:rFonts w:hint="eastAsia"/>
              <w:color w:val="000000" w:themeColor="text1"/>
              <w:sz w:val="21"/>
              <w:szCs w:val="21"/>
            </w:rPr>
            <w:tag w:val="_PLD_7fb134b102ea4ac69df08b1a4af24780"/>
            <w:id w:val="1023900031"/>
          </w:sdtPr>
          <w:sdtEndPr/>
          <w:sdtContent>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14:paraId="65890292" w14:textId="77777777" w:rsidR="002D0AE7" w:rsidRDefault="00333EBB">
                <w:pPr>
                  <w:jc w:val="center"/>
                  <w:rPr>
                    <w:rFonts w:hint="eastAsia"/>
                    <w:color w:val="000000" w:themeColor="text1"/>
                    <w:sz w:val="21"/>
                    <w:szCs w:val="21"/>
                  </w:rPr>
                </w:pPr>
                <w:r>
                  <w:rPr>
                    <w:rFonts w:hint="eastAsia"/>
                    <w:color w:val="000000" w:themeColor="text1"/>
                    <w:sz w:val="21"/>
                    <w:szCs w:val="21"/>
                  </w:rPr>
                  <w:t>追加投资</w:t>
                </w:r>
              </w:p>
            </w:tc>
          </w:sdtContent>
        </w:sdt>
        <w:sdt>
          <w:sdtPr>
            <w:rPr>
              <w:rFonts w:hint="eastAsia"/>
              <w:color w:val="000000" w:themeColor="text1"/>
              <w:sz w:val="21"/>
              <w:szCs w:val="21"/>
            </w:rPr>
            <w:tag w:val="_PLD_a5097fcdb0644572a784e139d5bc86f5"/>
            <w:id w:val="1231963240"/>
          </w:sdtPr>
          <w:sdtEndPr/>
          <w:sdtContent>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5434964C" w14:textId="77777777" w:rsidR="002D0AE7" w:rsidRDefault="00333EBB">
                <w:pPr>
                  <w:jc w:val="center"/>
                  <w:rPr>
                    <w:rFonts w:hint="eastAsia"/>
                    <w:color w:val="000000" w:themeColor="text1"/>
                    <w:sz w:val="21"/>
                    <w:szCs w:val="21"/>
                  </w:rPr>
                </w:pPr>
                <w:r>
                  <w:rPr>
                    <w:rFonts w:hint="eastAsia"/>
                    <w:color w:val="000000" w:themeColor="text1"/>
                    <w:sz w:val="21"/>
                    <w:szCs w:val="21"/>
                  </w:rPr>
                  <w:t>减少投资</w:t>
                </w:r>
              </w:p>
            </w:tc>
          </w:sdtContent>
        </w:sdt>
        <w:sdt>
          <w:sdtPr>
            <w:rPr>
              <w:rFonts w:hint="eastAsia"/>
              <w:color w:val="000000" w:themeColor="text1"/>
              <w:sz w:val="21"/>
              <w:szCs w:val="21"/>
            </w:rPr>
            <w:tag w:val="_PLD_500aaf3ba85d422e91cb8bed768593ce"/>
            <w:id w:val="-1508514935"/>
          </w:sdtPr>
          <w:sdtEndPr/>
          <w:sdtContent>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0076B3BC" w14:textId="77777777" w:rsidR="002D0AE7" w:rsidRDefault="00333EBB">
                <w:pPr>
                  <w:jc w:val="center"/>
                  <w:rPr>
                    <w:rFonts w:hint="eastAsia"/>
                    <w:color w:val="000000" w:themeColor="text1"/>
                    <w:sz w:val="21"/>
                    <w:szCs w:val="21"/>
                  </w:rPr>
                </w:pPr>
                <w:r>
                  <w:rPr>
                    <w:rFonts w:hint="eastAsia"/>
                    <w:color w:val="000000" w:themeColor="text1"/>
                    <w:sz w:val="21"/>
                    <w:szCs w:val="21"/>
                  </w:rPr>
                  <w:t>本期计入其他综合收益的利得</w:t>
                </w:r>
              </w:p>
            </w:tc>
          </w:sdtContent>
        </w:sdt>
        <w:sdt>
          <w:sdtPr>
            <w:rPr>
              <w:rFonts w:hint="eastAsia"/>
              <w:color w:val="000000" w:themeColor="text1"/>
              <w:sz w:val="21"/>
              <w:szCs w:val="21"/>
            </w:rPr>
            <w:tag w:val="_PLD_9451af532fa54486a8ab06976fcedd26"/>
            <w:id w:val="1766647924"/>
          </w:sdtPr>
          <w:sdtEndPr/>
          <w:sdtContent>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64D9E9C5" w14:textId="77777777" w:rsidR="002D0AE7" w:rsidRDefault="00333EBB">
                <w:pPr>
                  <w:jc w:val="center"/>
                  <w:rPr>
                    <w:rFonts w:hint="eastAsia"/>
                    <w:color w:val="000000" w:themeColor="text1"/>
                    <w:sz w:val="21"/>
                    <w:szCs w:val="21"/>
                  </w:rPr>
                </w:pPr>
                <w:r>
                  <w:rPr>
                    <w:rFonts w:hint="eastAsia"/>
                    <w:color w:val="000000" w:themeColor="text1"/>
                    <w:sz w:val="21"/>
                    <w:szCs w:val="21"/>
                  </w:rPr>
                  <w:t>本期计入其他综合收益的损失</w:t>
                </w:r>
              </w:p>
            </w:tc>
          </w:sdtContent>
        </w:sdt>
        <w:sdt>
          <w:sdtPr>
            <w:rPr>
              <w:rFonts w:hint="eastAsia"/>
              <w:color w:val="000000" w:themeColor="text1"/>
              <w:sz w:val="21"/>
              <w:szCs w:val="21"/>
            </w:rPr>
            <w:tag w:val="_PLD_99beff4095cd487eb9318f7cff078d10"/>
            <w:id w:val="441885531"/>
          </w:sdtPr>
          <w:sdtEndPr/>
          <w:sdtContent>
            <w:tc>
              <w:tcPr>
                <w:tcW w:w="133" w:type="pct"/>
                <w:tcBorders>
                  <w:left w:val="single" w:sz="4" w:space="0" w:color="auto"/>
                  <w:bottom w:val="single" w:sz="4" w:space="0" w:color="auto"/>
                  <w:right w:val="single" w:sz="4" w:space="0" w:color="auto"/>
                </w:tcBorders>
                <w:vAlign w:val="center"/>
              </w:tcPr>
              <w:p w14:paraId="16EA066F" w14:textId="77777777" w:rsidR="002D0AE7" w:rsidRDefault="00333EBB">
                <w:pPr>
                  <w:jc w:val="center"/>
                  <w:rPr>
                    <w:rFonts w:hint="eastAsia"/>
                    <w:color w:val="000000" w:themeColor="text1"/>
                    <w:sz w:val="21"/>
                    <w:szCs w:val="21"/>
                  </w:rPr>
                </w:pPr>
                <w:r>
                  <w:rPr>
                    <w:rFonts w:hint="eastAsia"/>
                    <w:color w:val="000000" w:themeColor="text1"/>
                    <w:sz w:val="21"/>
                    <w:szCs w:val="21"/>
                  </w:rPr>
                  <w:t>其他</w:t>
                </w:r>
              </w:p>
            </w:tc>
          </w:sdtContent>
        </w:sdt>
        <w:tc>
          <w:tcPr>
            <w:tcW w:w="477" w:type="pct"/>
            <w:vMerge/>
            <w:tcBorders>
              <w:left w:val="single" w:sz="4" w:space="0" w:color="auto"/>
              <w:bottom w:val="single" w:sz="4" w:space="0" w:color="auto"/>
              <w:right w:val="single" w:sz="4" w:space="0" w:color="auto"/>
            </w:tcBorders>
            <w:shd w:val="clear" w:color="auto" w:fill="auto"/>
            <w:vAlign w:val="center"/>
          </w:tcPr>
          <w:p w14:paraId="2B05836D" w14:textId="77777777" w:rsidR="002D0AE7" w:rsidRDefault="002D0AE7">
            <w:pPr>
              <w:jc w:val="center"/>
              <w:rPr>
                <w:rFonts w:hint="eastAsia"/>
                <w:color w:val="000000" w:themeColor="text1"/>
                <w:sz w:val="21"/>
                <w:szCs w:val="21"/>
              </w:rPr>
            </w:pPr>
          </w:p>
        </w:tc>
        <w:tc>
          <w:tcPr>
            <w:tcW w:w="305" w:type="pct"/>
            <w:vMerge/>
            <w:tcBorders>
              <w:left w:val="single" w:sz="4" w:space="0" w:color="auto"/>
              <w:bottom w:val="single" w:sz="4" w:space="0" w:color="auto"/>
              <w:right w:val="single" w:sz="4" w:space="0" w:color="auto"/>
            </w:tcBorders>
          </w:tcPr>
          <w:p w14:paraId="0D8FC1CB" w14:textId="77777777" w:rsidR="002D0AE7" w:rsidRDefault="002D0AE7">
            <w:pPr>
              <w:jc w:val="center"/>
              <w:rPr>
                <w:rFonts w:hint="eastAsia"/>
                <w:color w:val="000000" w:themeColor="text1"/>
                <w:sz w:val="21"/>
                <w:szCs w:val="21"/>
              </w:rPr>
            </w:pPr>
          </w:p>
        </w:tc>
        <w:tc>
          <w:tcPr>
            <w:tcW w:w="456" w:type="pct"/>
            <w:vMerge/>
            <w:tcBorders>
              <w:left w:val="single" w:sz="4" w:space="0" w:color="auto"/>
              <w:bottom w:val="single" w:sz="4" w:space="0" w:color="auto"/>
              <w:right w:val="single" w:sz="4" w:space="0" w:color="auto"/>
            </w:tcBorders>
          </w:tcPr>
          <w:p w14:paraId="5F0A5060" w14:textId="77777777" w:rsidR="002D0AE7" w:rsidRDefault="002D0AE7">
            <w:pPr>
              <w:jc w:val="center"/>
              <w:rPr>
                <w:rFonts w:hint="eastAsia"/>
                <w:color w:val="000000" w:themeColor="text1"/>
                <w:sz w:val="21"/>
                <w:szCs w:val="21"/>
              </w:rPr>
            </w:pPr>
          </w:p>
        </w:tc>
        <w:tc>
          <w:tcPr>
            <w:tcW w:w="445" w:type="pct"/>
            <w:vMerge/>
            <w:tcBorders>
              <w:left w:val="single" w:sz="4" w:space="0" w:color="auto"/>
              <w:bottom w:val="single" w:sz="4" w:space="0" w:color="auto"/>
              <w:right w:val="single" w:sz="4" w:space="0" w:color="auto"/>
            </w:tcBorders>
          </w:tcPr>
          <w:p w14:paraId="29BA6598" w14:textId="77777777" w:rsidR="002D0AE7" w:rsidRDefault="002D0AE7">
            <w:pPr>
              <w:jc w:val="center"/>
              <w:rPr>
                <w:rFonts w:hint="eastAsia"/>
                <w:color w:val="000000" w:themeColor="text1"/>
                <w:sz w:val="21"/>
                <w:szCs w:val="21"/>
              </w:rPr>
            </w:pPr>
          </w:p>
        </w:tc>
        <w:tc>
          <w:tcPr>
            <w:tcW w:w="427" w:type="pct"/>
            <w:vMerge/>
            <w:tcBorders>
              <w:left w:val="single" w:sz="4" w:space="0" w:color="auto"/>
              <w:bottom w:val="single" w:sz="4" w:space="0" w:color="auto"/>
              <w:right w:val="single" w:sz="4" w:space="0" w:color="auto"/>
            </w:tcBorders>
            <w:shd w:val="clear" w:color="auto" w:fill="auto"/>
            <w:vAlign w:val="center"/>
          </w:tcPr>
          <w:p w14:paraId="6ED82F37" w14:textId="77777777" w:rsidR="002D0AE7" w:rsidRDefault="002D0AE7">
            <w:pPr>
              <w:jc w:val="center"/>
              <w:rPr>
                <w:rFonts w:hint="eastAsia"/>
                <w:color w:val="000000" w:themeColor="text1"/>
                <w:sz w:val="21"/>
                <w:szCs w:val="21"/>
              </w:rPr>
            </w:pPr>
          </w:p>
        </w:tc>
      </w:tr>
      <w:tr w:rsidR="002D0AE7" w14:paraId="0AE0F1A3" w14:textId="77777777">
        <w:trPr>
          <w:jc w:val="center"/>
        </w:trPr>
        <w:tc>
          <w:tcPr>
            <w:tcW w:w="1012" w:type="pct"/>
            <w:tcBorders>
              <w:top w:val="single" w:sz="4" w:space="0" w:color="auto"/>
              <w:left w:val="single" w:sz="4" w:space="0" w:color="auto"/>
              <w:bottom w:val="single" w:sz="4" w:space="0" w:color="auto"/>
              <w:right w:val="single" w:sz="4" w:space="0" w:color="auto"/>
            </w:tcBorders>
            <w:shd w:val="clear" w:color="auto" w:fill="auto"/>
          </w:tcPr>
          <w:p w14:paraId="488CB691" w14:textId="77777777" w:rsidR="002D0AE7" w:rsidRDefault="00333EBB">
            <w:pPr>
              <w:rPr>
                <w:rFonts w:hint="eastAsia"/>
                <w:sz w:val="21"/>
                <w:szCs w:val="21"/>
              </w:rPr>
            </w:pPr>
            <w:r>
              <w:rPr>
                <w:sz w:val="21"/>
                <w:szCs w:val="21"/>
              </w:rPr>
              <w:t>天津国展中心股份有限公司</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5944BF8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18,300,190.95</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14:paraId="3D756D1F" w14:textId="77777777" w:rsidR="002D0AE7" w:rsidRDefault="002D0AE7">
            <w:pPr>
              <w:jc w:val="right"/>
              <w:rPr>
                <w:rFonts w:ascii="Times New Roman" w:hAnsi="Times New Roman" w:cs="Times New Roman"/>
                <w:sz w:val="21"/>
                <w:szCs w:val="21"/>
              </w:rPr>
            </w:pP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5CE8237D" w14:textId="77777777" w:rsidR="002D0AE7" w:rsidRDefault="002D0AE7">
            <w:pPr>
              <w:jc w:val="right"/>
              <w:rPr>
                <w:rFonts w:ascii="Times New Roman" w:hAnsi="Times New Roman" w:cs="Times New Roman"/>
                <w:sz w:val="21"/>
                <w:szCs w:val="21"/>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50A65B7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60,972.14</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190F8AA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133" w:type="pct"/>
            <w:tcBorders>
              <w:top w:val="single" w:sz="4" w:space="0" w:color="auto"/>
              <w:left w:val="single" w:sz="4" w:space="0" w:color="auto"/>
              <w:bottom w:val="single" w:sz="4" w:space="0" w:color="auto"/>
              <w:right w:val="single" w:sz="4" w:space="0" w:color="auto"/>
            </w:tcBorders>
            <w:vAlign w:val="center"/>
          </w:tcPr>
          <w:p w14:paraId="0447A2EF" w14:textId="77777777" w:rsidR="002D0AE7" w:rsidRDefault="002D0AE7">
            <w:pPr>
              <w:jc w:val="right"/>
              <w:rPr>
                <w:rFonts w:ascii="Times New Roman" w:hAnsi="Times New Roman" w:cs="Times New Roman"/>
                <w:sz w:val="21"/>
                <w:szCs w:val="21"/>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4B42520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18,361,163.09</w:t>
            </w:r>
          </w:p>
        </w:tc>
        <w:tc>
          <w:tcPr>
            <w:tcW w:w="305" w:type="pct"/>
            <w:tcBorders>
              <w:top w:val="single" w:sz="4" w:space="0" w:color="auto"/>
              <w:left w:val="single" w:sz="4" w:space="0" w:color="auto"/>
              <w:bottom w:val="single" w:sz="4" w:space="0" w:color="auto"/>
              <w:right w:val="single" w:sz="4" w:space="0" w:color="auto"/>
            </w:tcBorders>
            <w:vAlign w:val="center"/>
          </w:tcPr>
          <w:p w14:paraId="4A5116DB" w14:textId="77777777" w:rsidR="002D0AE7" w:rsidRDefault="002D0AE7">
            <w:pPr>
              <w:jc w:val="right"/>
              <w:rPr>
                <w:rFonts w:ascii="Times New Roman" w:hAnsi="Times New Roman" w:cs="Times New Roman"/>
                <w:sz w:val="21"/>
                <w:szCs w:val="21"/>
              </w:rPr>
            </w:pPr>
          </w:p>
        </w:tc>
        <w:tc>
          <w:tcPr>
            <w:tcW w:w="456" w:type="pct"/>
            <w:tcBorders>
              <w:top w:val="single" w:sz="4" w:space="0" w:color="auto"/>
              <w:left w:val="single" w:sz="4" w:space="0" w:color="auto"/>
              <w:bottom w:val="single" w:sz="4" w:space="0" w:color="auto"/>
              <w:right w:val="single" w:sz="4" w:space="0" w:color="auto"/>
            </w:tcBorders>
            <w:vAlign w:val="center"/>
          </w:tcPr>
          <w:p w14:paraId="23E69A4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445" w:type="pct"/>
            <w:tcBorders>
              <w:top w:val="single" w:sz="4" w:space="0" w:color="auto"/>
              <w:left w:val="single" w:sz="4" w:space="0" w:color="auto"/>
              <w:bottom w:val="single" w:sz="4" w:space="0" w:color="auto"/>
              <w:right w:val="single" w:sz="4" w:space="0" w:color="auto"/>
            </w:tcBorders>
            <w:vAlign w:val="center"/>
          </w:tcPr>
          <w:p w14:paraId="60B8D9D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7,792,604.79</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2E8A4E0C" w14:textId="77777777" w:rsidR="002D0AE7" w:rsidRDefault="002D0AE7">
            <w:pPr>
              <w:rPr>
                <w:rFonts w:hint="eastAsia"/>
                <w:sz w:val="21"/>
                <w:szCs w:val="21"/>
              </w:rPr>
            </w:pPr>
          </w:p>
        </w:tc>
      </w:tr>
      <w:tr w:rsidR="002D0AE7" w14:paraId="53DAC22F" w14:textId="77777777">
        <w:trPr>
          <w:jc w:val="center"/>
        </w:trPr>
        <w:tc>
          <w:tcPr>
            <w:tcW w:w="1012" w:type="pct"/>
            <w:tcBorders>
              <w:top w:val="single" w:sz="4" w:space="0" w:color="auto"/>
              <w:left w:val="single" w:sz="4" w:space="0" w:color="auto"/>
              <w:bottom w:val="single" w:sz="4" w:space="0" w:color="auto"/>
              <w:right w:val="single" w:sz="4" w:space="0" w:color="auto"/>
            </w:tcBorders>
            <w:shd w:val="clear" w:color="auto" w:fill="auto"/>
          </w:tcPr>
          <w:p w14:paraId="72A2B46E" w14:textId="77777777" w:rsidR="002D0AE7" w:rsidRDefault="00333EBB">
            <w:pPr>
              <w:rPr>
                <w:rFonts w:hint="eastAsia"/>
                <w:sz w:val="21"/>
                <w:szCs w:val="21"/>
              </w:rPr>
            </w:pPr>
            <w:r>
              <w:rPr>
                <w:sz w:val="21"/>
                <w:szCs w:val="21"/>
              </w:rPr>
              <w:t>北方国际信托股份有限公司</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66F0E55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115,578,797.58</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14:paraId="429AD402" w14:textId="77777777" w:rsidR="002D0AE7" w:rsidRDefault="002D0AE7">
            <w:pPr>
              <w:jc w:val="right"/>
              <w:rPr>
                <w:rFonts w:ascii="Times New Roman" w:hAnsi="Times New Roman" w:cs="Times New Roman"/>
                <w:sz w:val="21"/>
                <w:szCs w:val="21"/>
              </w:rPr>
            </w:pP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48C41A4E" w14:textId="77777777" w:rsidR="002D0AE7" w:rsidRDefault="002D0AE7">
            <w:pPr>
              <w:jc w:val="right"/>
              <w:rPr>
                <w:rFonts w:ascii="Times New Roman" w:hAnsi="Times New Roman" w:cs="Times New Roman"/>
                <w:sz w:val="21"/>
                <w:szCs w:val="21"/>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26320A6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2,932,786.35</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68C6437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133" w:type="pct"/>
            <w:tcBorders>
              <w:top w:val="single" w:sz="4" w:space="0" w:color="auto"/>
              <w:left w:val="single" w:sz="4" w:space="0" w:color="auto"/>
              <w:bottom w:val="single" w:sz="4" w:space="0" w:color="auto"/>
              <w:right w:val="single" w:sz="4" w:space="0" w:color="auto"/>
            </w:tcBorders>
            <w:vAlign w:val="center"/>
          </w:tcPr>
          <w:p w14:paraId="19165C6F" w14:textId="77777777" w:rsidR="002D0AE7" w:rsidRDefault="002D0AE7">
            <w:pPr>
              <w:jc w:val="right"/>
              <w:rPr>
                <w:rFonts w:ascii="Times New Roman" w:hAnsi="Times New Roman" w:cs="Times New Roman"/>
                <w:sz w:val="21"/>
                <w:szCs w:val="21"/>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09E4D70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118,511,583.93</w:t>
            </w:r>
          </w:p>
        </w:tc>
        <w:tc>
          <w:tcPr>
            <w:tcW w:w="305" w:type="pct"/>
            <w:tcBorders>
              <w:top w:val="single" w:sz="4" w:space="0" w:color="auto"/>
              <w:left w:val="single" w:sz="4" w:space="0" w:color="auto"/>
              <w:bottom w:val="single" w:sz="4" w:space="0" w:color="auto"/>
              <w:right w:val="single" w:sz="4" w:space="0" w:color="auto"/>
            </w:tcBorders>
            <w:vAlign w:val="center"/>
          </w:tcPr>
          <w:p w14:paraId="2B19228C" w14:textId="77777777" w:rsidR="002D0AE7" w:rsidRDefault="002D0AE7">
            <w:pPr>
              <w:jc w:val="right"/>
              <w:rPr>
                <w:rFonts w:ascii="Times New Roman" w:hAnsi="Times New Roman" w:cs="Times New Roman"/>
                <w:sz w:val="21"/>
                <w:szCs w:val="21"/>
              </w:rPr>
            </w:pPr>
          </w:p>
        </w:tc>
        <w:tc>
          <w:tcPr>
            <w:tcW w:w="456" w:type="pct"/>
            <w:tcBorders>
              <w:top w:val="single" w:sz="4" w:space="0" w:color="auto"/>
              <w:left w:val="single" w:sz="4" w:space="0" w:color="auto"/>
              <w:bottom w:val="single" w:sz="4" w:space="0" w:color="auto"/>
              <w:right w:val="single" w:sz="4" w:space="0" w:color="auto"/>
            </w:tcBorders>
            <w:vAlign w:val="center"/>
          </w:tcPr>
          <w:p w14:paraId="7E4F1EE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84,809,186.93</w:t>
            </w:r>
          </w:p>
        </w:tc>
        <w:tc>
          <w:tcPr>
            <w:tcW w:w="445" w:type="pct"/>
            <w:tcBorders>
              <w:top w:val="single" w:sz="4" w:space="0" w:color="auto"/>
              <w:left w:val="single" w:sz="4" w:space="0" w:color="auto"/>
              <w:bottom w:val="single" w:sz="4" w:space="0" w:color="auto"/>
              <w:right w:val="single" w:sz="4" w:space="0" w:color="auto"/>
            </w:tcBorders>
            <w:vAlign w:val="center"/>
          </w:tcPr>
          <w:p w14:paraId="3C60D5F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9FE178F" w14:textId="77777777" w:rsidR="002D0AE7" w:rsidRDefault="002D0AE7">
            <w:pPr>
              <w:rPr>
                <w:rFonts w:hint="eastAsia"/>
                <w:sz w:val="21"/>
                <w:szCs w:val="21"/>
              </w:rPr>
            </w:pPr>
          </w:p>
        </w:tc>
      </w:tr>
      <w:tr w:rsidR="002D0AE7" w14:paraId="5035BD34" w14:textId="77777777">
        <w:trPr>
          <w:jc w:val="center"/>
        </w:trPr>
        <w:tc>
          <w:tcPr>
            <w:tcW w:w="1012" w:type="pct"/>
            <w:tcBorders>
              <w:top w:val="single" w:sz="4" w:space="0" w:color="auto"/>
              <w:left w:val="single" w:sz="4" w:space="0" w:color="auto"/>
              <w:bottom w:val="single" w:sz="4" w:space="0" w:color="auto"/>
              <w:right w:val="single" w:sz="4" w:space="0" w:color="auto"/>
            </w:tcBorders>
            <w:shd w:val="clear" w:color="auto" w:fill="auto"/>
          </w:tcPr>
          <w:p w14:paraId="0A585ADF" w14:textId="77777777" w:rsidR="002D0AE7" w:rsidRDefault="00333EBB">
            <w:pPr>
              <w:rPr>
                <w:rFonts w:hint="eastAsia"/>
                <w:sz w:val="21"/>
                <w:szCs w:val="21"/>
              </w:rPr>
            </w:pPr>
            <w:r>
              <w:rPr>
                <w:sz w:val="21"/>
                <w:szCs w:val="21"/>
              </w:rPr>
              <w:t>天津泰信资产管理有限责任公司</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7AA2CFA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7,075,405.03</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14:paraId="53057E81" w14:textId="77777777" w:rsidR="002D0AE7" w:rsidRDefault="002D0AE7">
            <w:pPr>
              <w:jc w:val="right"/>
              <w:rPr>
                <w:rFonts w:ascii="Times New Roman" w:hAnsi="Times New Roman" w:cs="Times New Roman"/>
                <w:sz w:val="21"/>
                <w:szCs w:val="21"/>
              </w:rPr>
            </w:pP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14D2FB4D" w14:textId="77777777" w:rsidR="002D0AE7" w:rsidRDefault="002D0AE7">
            <w:pPr>
              <w:jc w:val="right"/>
              <w:rPr>
                <w:rFonts w:ascii="Times New Roman" w:hAnsi="Times New Roman" w:cs="Times New Roman"/>
                <w:sz w:val="21"/>
                <w:szCs w:val="21"/>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CFF63A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10,236.94</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6C9FF89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133" w:type="pct"/>
            <w:tcBorders>
              <w:top w:val="single" w:sz="4" w:space="0" w:color="auto"/>
              <w:left w:val="single" w:sz="4" w:space="0" w:color="auto"/>
              <w:bottom w:val="single" w:sz="4" w:space="0" w:color="auto"/>
              <w:right w:val="single" w:sz="4" w:space="0" w:color="auto"/>
            </w:tcBorders>
            <w:vAlign w:val="center"/>
          </w:tcPr>
          <w:p w14:paraId="50103509" w14:textId="77777777" w:rsidR="002D0AE7" w:rsidRDefault="002D0AE7">
            <w:pPr>
              <w:jc w:val="right"/>
              <w:rPr>
                <w:rFonts w:ascii="Times New Roman" w:hAnsi="Times New Roman" w:cs="Times New Roman"/>
                <w:sz w:val="21"/>
                <w:szCs w:val="21"/>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18CF6A1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7,085,641.97</w:t>
            </w:r>
          </w:p>
        </w:tc>
        <w:tc>
          <w:tcPr>
            <w:tcW w:w="305" w:type="pct"/>
            <w:tcBorders>
              <w:top w:val="single" w:sz="4" w:space="0" w:color="auto"/>
              <w:left w:val="single" w:sz="4" w:space="0" w:color="auto"/>
              <w:bottom w:val="single" w:sz="4" w:space="0" w:color="auto"/>
              <w:right w:val="single" w:sz="4" w:space="0" w:color="auto"/>
            </w:tcBorders>
            <w:vAlign w:val="center"/>
          </w:tcPr>
          <w:p w14:paraId="6824F92C" w14:textId="77777777" w:rsidR="002D0AE7" w:rsidRDefault="002D0AE7">
            <w:pPr>
              <w:jc w:val="right"/>
              <w:rPr>
                <w:rFonts w:ascii="Times New Roman" w:hAnsi="Times New Roman" w:cs="Times New Roman"/>
                <w:sz w:val="21"/>
                <w:szCs w:val="21"/>
              </w:rPr>
            </w:pPr>
          </w:p>
        </w:tc>
        <w:tc>
          <w:tcPr>
            <w:tcW w:w="456" w:type="pct"/>
            <w:tcBorders>
              <w:top w:val="single" w:sz="4" w:space="0" w:color="auto"/>
              <w:left w:val="single" w:sz="4" w:space="0" w:color="auto"/>
              <w:bottom w:val="single" w:sz="4" w:space="0" w:color="auto"/>
              <w:right w:val="single" w:sz="4" w:space="0" w:color="auto"/>
            </w:tcBorders>
            <w:vAlign w:val="center"/>
          </w:tcPr>
          <w:p w14:paraId="6D77F58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445" w:type="pct"/>
            <w:tcBorders>
              <w:top w:val="single" w:sz="4" w:space="0" w:color="auto"/>
              <w:left w:val="single" w:sz="4" w:space="0" w:color="auto"/>
              <w:bottom w:val="single" w:sz="4" w:space="0" w:color="auto"/>
              <w:right w:val="single" w:sz="4" w:space="0" w:color="auto"/>
            </w:tcBorders>
            <w:vAlign w:val="center"/>
          </w:tcPr>
          <w:p w14:paraId="2E1264F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9,211,961.03</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12B8A244" w14:textId="77777777" w:rsidR="002D0AE7" w:rsidRDefault="002D0AE7">
            <w:pPr>
              <w:rPr>
                <w:rFonts w:hint="eastAsia"/>
                <w:sz w:val="21"/>
                <w:szCs w:val="21"/>
              </w:rPr>
            </w:pPr>
          </w:p>
        </w:tc>
      </w:tr>
      <w:tr w:rsidR="002D0AE7" w14:paraId="62DA4CFD" w14:textId="77777777">
        <w:trPr>
          <w:jc w:val="center"/>
        </w:trPr>
        <w:tc>
          <w:tcPr>
            <w:tcW w:w="1012" w:type="pct"/>
            <w:tcBorders>
              <w:top w:val="single" w:sz="4" w:space="0" w:color="auto"/>
              <w:left w:val="single" w:sz="4" w:space="0" w:color="auto"/>
              <w:bottom w:val="single" w:sz="4" w:space="0" w:color="auto"/>
              <w:right w:val="single" w:sz="4" w:space="0" w:color="auto"/>
            </w:tcBorders>
            <w:shd w:val="clear" w:color="auto" w:fill="auto"/>
          </w:tcPr>
          <w:p w14:paraId="38A85E11" w14:textId="77777777" w:rsidR="002D0AE7" w:rsidRDefault="00333EBB">
            <w:pPr>
              <w:rPr>
                <w:rFonts w:hint="eastAsia"/>
                <w:sz w:val="21"/>
                <w:szCs w:val="21"/>
              </w:rPr>
            </w:pPr>
            <w:r>
              <w:rPr>
                <w:sz w:val="21"/>
                <w:szCs w:val="21"/>
              </w:rPr>
              <w:t>保定北瑞甾体生物有限公司</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2E2D746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930,535.27</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14:paraId="20D7CFDD" w14:textId="77777777" w:rsidR="002D0AE7" w:rsidRDefault="002D0AE7">
            <w:pPr>
              <w:jc w:val="right"/>
              <w:rPr>
                <w:rFonts w:ascii="Times New Roman" w:hAnsi="Times New Roman" w:cs="Times New Roman"/>
                <w:sz w:val="21"/>
                <w:szCs w:val="21"/>
              </w:rPr>
            </w:pP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124E2475" w14:textId="77777777" w:rsidR="002D0AE7" w:rsidRDefault="002D0AE7">
            <w:pPr>
              <w:jc w:val="right"/>
              <w:rPr>
                <w:rFonts w:ascii="Times New Roman" w:hAnsi="Times New Roman" w:cs="Times New Roman"/>
                <w:sz w:val="21"/>
                <w:szCs w:val="21"/>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5AD967C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617038B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68,132.88</w:t>
            </w:r>
          </w:p>
        </w:tc>
        <w:tc>
          <w:tcPr>
            <w:tcW w:w="133" w:type="pct"/>
            <w:tcBorders>
              <w:top w:val="single" w:sz="4" w:space="0" w:color="auto"/>
              <w:left w:val="single" w:sz="4" w:space="0" w:color="auto"/>
              <w:bottom w:val="single" w:sz="4" w:space="0" w:color="auto"/>
              <w:right w:val="single" w:sz="4" w:space="0" w:color="auto"/>
            </w:tcBorders>
            <w:vAlign w:val="center"/>
          </w:tcPr>
          <w:p w14:paraId="293D312E" w14:textId="77777777" w:rsidR="002D0AE7" w:rsidRDefault="002D0AE7">
            <w:pPr>
              <w:jc w:val="right"/>
              <w:rPr>
                <w:rFonts w:ascii="Times New Roman" w:hAnsi="Times New Roman" w:cs="Times New Roman"/>
                <w:sz w:val="21"/>
                <w:szCs w:val="21"/>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2B9483F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862,402.39</w:t>
            </w:r>
          </w:p>
        </w:tc>
        <w:tc>
          <w:tcPr>
            <w:tcW w:w="305" w:type="pct"/>
            <w:tcBorders>
              <w:top w:val="single" w:sz="4" w:space="0" w:color="auto"/>
              <w:left w:val="single" w:sz="4" w:space="0" w:color="auto"/>
              <w:bottom w:val="single" w:sz="4" w:space="0" w:color="auto"/>
              <w:right w:val="single" w:sz="4" w:space="0" w:color="auto"/>
            </w:tcBorders>
            <w:vAlign w:val="center"/>
          </w:tcPr>
          <w:p w14:paraId="7B981EF4" w14:textId="77777777" w:rsidR="002D0AE7" w:rsidRDefault="002D0AE7">
            <w:pPr>
              <w:jc w:val="right"/>
              <w:rPr>
                <w:rFonts w:ascii="Times New Roman" w:hAnsi="Times New Roman" w:cs="Times New Roman"/>
                <w:sz w:val="21"/>
                <w:szCs w:val="21"/>
              </w:rPr>
            </w:pPr>
          </w:p>
        </w:tc>
        <w:tc>
          <w:tcPr>
            <w:tcW w:w="456" w:type="pct"/>
            <w:tcBorders>
              <w:top w:val="single" w:sz="4" w:space="0" w:color="auto"/>
              <w:left w:val="single" w:sz="4" w:space="0" w:color="auto"/>
              <w:bottom w:val="single" w:sz="4" w:space="0" w:color="auto"/>
              <w:right w:val="single" w:sz="4" w:space="0" w:color="auto"/>
            </w:tcBorders>
            <w:vAlign w:val="center"/>
          </w:tcPr>
          <w:p w14:paraId="15E870A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445" w:type="pct"/>
            <w:tcBorders>
              <w:top w:val="single" w:sz="4" w:space="0" w:color="auto"/>
              <w:left w:val="single" w:sz="4" w:space="0" w:color="auto"/>
              <w:bottom w:val="single" w:sz="4" w:space="0" w:color="auto"/>
              <w:right w:val="single" w:sz="4" w:space="0" w:color="auto"/>
            </w:tcBorders>
            <w:vAlign w:val="center"/>
          </w:tcPr>
          <w:p w14:paraId="113578E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4,137,597.61</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4B6AFF8B" w14:textId="77777777" w:rsidR="002D0AE7" w:rsidRDefault="002D0AE7">
            <w:pPr>
              <w:rPr>
                <w:rFonts w:hint="eastAsia"/>
                <w:sz w:val="21"/>
                <w:szCs w:val="21"/>
              </w:rPr>
            </w:pPr>
          </w:p>
        </w:tc>
      </w:tr>
      <w:tr w:rsidR="002D0AE7" w14:paraId="042BF0B1" w14:textId="77777777">
        <w:trPr>
          <w:jc w:val="center"/>
        </w:trPr>
        <w:tc>
          <w:tcPr>
            <w:tcW w:w="1012" w:type="pct"/>
            <w:tcBorders>
              <w:top w:val="single" w:sz="4" w:space="0" w:color="auto"/>
              <w:left w:val="single" w:sz="4" w:space="0" w:color="auto"/>
              <w:bottom w:val="single" w:sz="4" w:space="0" w:color="auto"/>
              <w:right w:val="single" w:sz="4" w:space="0" w:color="auto"/>
            </w:tcBorders>
            <w:shd w:val="clear" w:color="auto" w:fill="auto"/>
          </w:tcPr>
          <w:p w14:paraId="6BC8696A" w14:textId="77777777" w:rsidR="002D0AE7" w:rsidRDefault="00333EBB">
            <w:pPr>
              <w:rPr>
                <w:rFonts w:hint="eastAsia"/>
                <w:sz w:val="21"/>
                <w:szCs w:val="21"/>
              </w:rPr>
            </w:pPr>
            <w:r>
              <w:rPr>
                <w:sz w:val="21"/>
                <w:szCs w:val="21"/>
              </w:rPr>
              <w:t>天津万宁保健品有限公司</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0280E9BE" w14:textId="77777777" w:rsidR="002D0AE7" w:rsidRDefault="00333EBB">
            <w:pPr>
              <w:jc w:val="right"/>
              <w:rPr>
                <w:rFonts w:ascii="Times New Roman" w:hAnsi="Times New Roman" w:cs="Times New Roman"/>
                <w:sz w:val="21"/>
                <w:szCs w:val="21"/>
              </w:rPr>
            </w:pPr>
            <w:r>
              <w:rPr>
                <w:rFonts w:ascii="Times New Roman" w:hAnsi="Times New Roman" w:cs="Times New Roman" w:hint="eastAsia"/>
                <w:sz w:val="21"/>
                <w:szCs w:val="21"/>
              </w:rPr>
              <w:t>0</w:t>
            </w:r>
            <w:r>
              <w:rPr>
                <w:rFonts w:ascii="Times New Roman" w:hAnsi="Times New Roman" w:cs="Times New Roman"/>
                <w:sz w:val="21"/>
                <w:szCs w:val="21"/>
              </w:rPr>
              <w:t>.00</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14:paraId="2693D699" w14:textId="77777777" w:rsidR="002D0AE7" w:rsidRDefault="002D0AE7">
            <w:pPr>
              <w:jc w:val="right"/>
              <w:rPr>
                <w:rFonts w:ascii="Times New Roman" w:hAnsi="Times New Roman" w:cs="Times New Roman"/>
                <w:sz w:val="21"/>
                <w:szCs w:val="21"/>
              </w:rPr>
            </w:pP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109C6462" w14:textId="77777777" w:rsidR="002D0AE7" w:rsidRDefault="002D0AE7">
            <w:pPr>
              <w:jc w:val="right"/>
              <w:rPr>
                <w:rFonts w:ascii="Times New Roman" w:hAnsi="Times New Roman" w:cs="Times New Roman"/>
                <w:sz w:val="21"/>
                <w:szCs w:val="21"/>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5AC3C1F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22F4193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133" w:type="pct"/>
            <w:tcBorders>
              <w:top w:val="single" w:sz="4" w:space="0" w:color="auto"/>
              <w:left w:val="single" w:sz="4" w:space="0" w:color="auto"/>
              <w:bottom w:val="single" w:sz="4" w:space="0" w:color="auto"/>
              <w:right w:val="single" w:sz="4" w:space="0" w:color="auto"/>
            </w:tcBorders>
            <w:vAlign w:val="center"/>
          </w:tcPr>
          <w:p w14:paraId="097709BA" w14:textId="77777777" w:rsidR="002D0AE7" w:rsidRDefault="002D0AE7">
            <w:pPr>
              <w:jc w:val="right"/>
              <w:rPr>
                <w:rFonts w:ascii="Times New Roman" w:hAnsi="Times New Roman" w:cs="Times New Roman"/>
                <w:sz w:val="21"/>
                <w:szCs w:val="21"/>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36BCDC65" w14:textId="77777777" w:rsidR="002D0AE7" w:rsidRDefault="00333EBB">
            <w:pPr>
              <w:jc w:val="right"/>
              <w:rPr>
                <w:rFonts w:ascii="Times New Roman" w:hAnsi="Times New Roman" w:cs="Times New Roman"/>
                <w:sz w:val="21"/>
                <w:szCs w:val="21"/>
              </w:rPr>
            </w:pPr>
            <w:r>
              <w:rPr>
                <w:rFonts w:ascii="Times New Roman" w:hAnsi="Times New Roman" w:cs="Times New Roman" w:hint="eastAsia"/>
                <w:sz w:val="21"/>
                <w:szCs w:val="21"/>
              </w:rPr>
              <w:t>0</w:t>
            </w:r>
            <w:r>
              <w:rPr>
                <w:rFonts w:ascii="Times New Roman" w:hAnsi="Times New Roman" w:cs="Times New Roman"/>
                <w:sz w:val="21"/>
                <w:szCs w:val="21"/>
              </w:rPr>
              <w:t>.00</w:t>
            </w:r>
          </w:p>
        </w:tc>
        <w:tc>
          <w:tcPr>
            <w:tcW w:w="305" w:type="pct"/>
            <w:tcBorders>
              <w:top w:val="single" w:sz="4" w:space="0" w:color="auto"/>
              <w:left w:val="single" w:sz="4" w:space="0" w:color="auto"/>
              <w:bottom w:val="single" w:sz="4" w:space="0" w:color="auto"/>
              <w:right w:val="single" w:sz="4" w:space="0" w:color="auto"/>
            </w:tcBorders>
            <w:vAlign w:val="center"/>
          </w:tcPr>
          <w:p w14:paraId="065FCE89" w14:textId="77777777" w:rsidR="002D0AE7" w:rsidRDefault="002D0AE7">
            <w:pPr>
              <w:jc w:val="right"/>
              <w:rPr>
                <w:rFonts w:ascii="Times New Roman" w:hAnsi="Times New Roman" w:cs="Times New Roman"/>
                <w:sz w:val="21"/>
                <w:szCs w:val="21"/>
              </w:rPr>
            </w:pPr>
          </w:p>
        </w:tc>
        <w:tc>
          <w:tcPr>
            <w:tcW w:w="456" w:type="pct"/>
            <w:tcBorders>
              <w:top w:val="single" w:sz="4" w:space="0" w:color="auto"/>
              <w:left w:val="single" w:sz="4" w:space="0" w:color="auto"/>
              <w:bottom w:val="single" w:sz="4" w:space="0" w:color="auto"/>
              <w:right w:val="single" w:sz="4" w:space="0" w:color="auto"/>
            </w:tcBorders>
            <w:vAlign w:val="center"/>
          </w:tcPr>
          <w:p w14:paraId="248307F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445" w:type="pct"/>
            <w:tcBorders>
              <w:top w:val="single" w:sz="4" w:space="0" w:color="auto"/>
              <w:left w:val="single" w:sz="4" w:space="0" w:color="auto"/>
              <w:bottom w:val="single" w:sz="4" w:space="0" w:color="auto"/>
              <w:right w:val="single" w:sz="4" w:space="0" w:color="auto"/>
            </w:tcBorders>
            <w:vAlign w:val="center"/>
          </w:tcPr>
          <w:p w14:paraId="51D4FF9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4,606,823.03</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735E4FE5" w14:textId="77777777" w:rsidR="002D0AE7" w:rsidRDefault="002D0AE7">
            <w:pPr>
              <w:rPr>
                <w:rFonts w:hint="eastAsia"/>
                <w:sz w:val="21"/>
                <w:szCs w:val="21"/>
              </w:rPr>
            </w:pPr>
          </w:p>
        </w:tc>
      </w:tr>
      <w:tr w:rsidR="002D0AE7" w14:paraId="161614EC" w14:textId="77777777">
        <w:trPr>
          <w:jc w:val="center"/>
        </w:trPr>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14:paraId="24BD6A61"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11A6C7E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141,884,928.83</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14:paraId="4650D43F" w14:textId="77777777" w:rsidR="002D0AE7" w:rsidRDefault="002D0AE7">
            <w:pPr>
              <w:jc w:val="right"/>
              <w:rPr>
                <w:rFonts w:ascii="Times New Roman" w:hAnsi="Times New Roman" w:cs="Times New Roman"/>
                <w:sz w:val="21"/>
                <w:szCs w:val="21"/>
              </w:rPr>
            </w:pP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25EB461C" w14:textId="77777777" w:rsidR="002D0AE7" w:rsidRDefault="002D0AE7">
            <w:pPr>
              <w:jc w:val="right"/>
              <w:rPr>
                <w:rFonts w:ascii="Times New Roman" w:hAnsi="Times New Roman" w:cs="Times New Roman"/>
                <w:sz w:val="21"/>
                <w:szCs w:val="21"/>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4DED761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3,003,995.43</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29D91D7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68,132.88</w:t>
            </w:r>
          </w:p>
        </w:tc>
        <w:tc>
          <w:tcPr>
            <w:tcW w:w="133" w:type="pct"/>
            <w:tcBorders>
              <w:top w:val="single" w:sz="4" w:space="0" w:color="auto"/>
              <w:left w:val="single" w:sz="4" w:space="0" w:color="auto"/>
              <w:bottom w:val="single" w:sz="4" w:space="0" w:color="auto"/>
              <w:right w:val="single" w:sz="4" w:space="0" w:color="auto"/>
            </w:tcBorders>
            <w:vAlign w:val="center"/>
          </w:tcPr>
          <w:p w14:paraId="094D0DEB" w14:textId="77777777" w:rsidR="002D0AE7" w:rsidRDefault="002D0AE7">
            <w:pPr>
              <w:jc w:val="right"/>
              <w:rPr>
                <w:rFonts w:ascii="Times New Roman" w:hAnsi="Times New Roman" w:cs="Times New Roman"/>
                <w:sz w:val="21"/>
                <w:szCs w:val="21"/>
              </w:rPr>
            </w:pP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6C1BAB1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144,820,791.38</w:t>
            </w:r>
          </w:p>
        </w:tc>
        <w:tc>
          <w:tcPr>
            <w:tcW w:w="305" w:type="pct"/>
            <w:tcBorders>
              <w:top w:val="single" w:sz="4" w:space="0" w:color="auto"/>
              <w:left w:val="single" w:sz="4" w:space="0" w:color="auto"/>
              <w:bottom w:val="single" w:sz="4" w:space="0" w:color="auto"/>
              <w:right w:val="single" w:sz="4" w:space="0" w:color="auto"/>
            </w:tcBorders>
            <w:vAlign w:val="center"/>
          </w:tcPr>
          <w:p w14:paraId="7C8060F5" w14:textId="77777777" w:rsidR="002D0AE7" w:rsidRDefault="002D0AE7">
            <w:pPr>
              <w:jc w:val="right"/>
              <w:rPr>
                <w:rFonts w:ascii="Times New Roman" w:hAnsi="Times New Roman" w:cs="Times New Roman"/>
                <w:sz w:val="21"/>
                <w:szCs w:val="21"/>
              </w:rPr>
            </w:pPr>
          </w:p>
        </w:tc>
        <w:tc>
          <w:tcPr>
            <w:tcW w:w="456" w:type="pct"/>
            <w:tcBorders>
              <w:top w:val="single" w:sz="4" w:space="0" w:color="auto"/>
              <w:left w:val="single" w:sz="4" w:space="0" w:color="auto"/>
              <w:bottom w:val="single" w:sz="4" w:space="0" w:color="auto"/>
              <w:right w:val="single" w:sz="4" w:space="0" w:color="auto"/>
            </w:tcBorders>
            <w:vAlign w:val="center"/>
          </w:tcPr>
          <w:p w14:paraId="641486B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84,809,186.93</w:t>
            </w:r>
          </w:p>
        </w:tc>
        <w:tc>
          <w:tcPr>
            <w:tcW w:w="445" w:type="pct"/>
            <w:tcBorders>
              <w:top w:val="single" w:sz="4" w:space="0" w:color="auto"/>
              <w:left w:val="single" w:sz="4" w:space="0" w:color="auto"/>
              <w:bottom w:val="single" w:sz="4" w:space="0" w:color="auto"/>
              <w:right w:val="single" w:sz="4" w:space="0" w:color="auto"/>
            </w:tcBorders>
            <w:vAlign w:val="center"/>
          </w:tcPr>
          <w:p w14:paraId="02813A7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25,748,986.46</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32AC466A" w14:textId="77777777" w:rsidR="002D0AE7" w:rsidRDefault="00333EBB">
            <w:pPr>
              <w:rPr>
                <w:rFonts w:hint="eastAsia"/>
                <w:color w:val="000000" w:themeColor="text1"/>
                <w:sz w:val="21"/>
                <w:szCs w:val="21"/>
              </w:rPr>
            </w:pPr>
            <w:r>
              <w:rPr>
                <w:rFonts w:hint="eastAsia"/>
                <w:color w:val="000000" w:themeColor="text1"/>
                <w:sz w:val="21"/>
                <w:szCs w:val="21"/>
              </w:rPr>
              <w:t>/</w:t>
            </w:r>
          </w:p>
        </w:tc>
      </w:tr>
    </w:tbl>
    <w:bookmarkEnd w:id="177"/>
    <w:p w14:paraId="682D65FE"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szCs w:val="21"/>
        </w:rPr>
        <w:lastRenderedPageBreak/>
        <w:t>固定资产</w:t>
      </w:r>
    </w:p>
    <w:p w14:paraId="30AEAD52" w14:textId="77777777" w:rsidR="002D0AE7" w:rsidRDefault="00333EBB">
      <w:pPr>
        <w:pStyle w:val="4"/>
        <w:tabs>
          <w:tab w:val="left" w:pos="588"/>
        </w:tabs>
        <w:rPr>
          <w:rFonts w:ascii="宋体" w:hAnsi="宋体" w:hint="eastAsia"/>
          <w:color w:val="000000" w:themeColor="text1"/>
        </w:rPr>
      </w:pPr>
      <w:bookmarkStart w:id="179" w:name="_Hlk10472369"/>
      <w:r>
        <w:rPr>
          <w:rFonts w:ascii="宋体" w:hAnsi="宋体" w:hint="eastAsia"/>
          <w:color w:val="000000" w:themeColor="text1"/>
        </w:rPr>
        <w:t>项目列示</w:t>
      </w:r>
    </w:p>
    <w:sdt>
      <w:sdtPr>
        <w:rPr>
          <w:color w:val="000000" w:themeColor="text1"/>
        </w:rPr>
        <w:alias w:val="是否适用：固定资产分类列示[双击切换]"/>
        <w:tag w:val="_GBC_73d82e583dcc4330bebfeb83abd5f5bb"/>
        <w:id w:val="1325779422"/>
        <w:placeholder>
          <w:docPart w:val="GBC22222222222222222222222222222"/>
        </w:placeholder>
      </w:sdtPr>
      <w:sdtEndPr/>
      <w:sdtContent>
        <w:p w14:paraId="383BF9C8"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6FEA4312"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固定资产分类列示"/>
          <w:tag w:val="_GBC_1ddbfde119544f109a3b12a48ffde12d"/>
          <w:id w:val="-128149279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固定资产分类列示"/>
          <w:tag w:val="_GBC_fcb83ec59024431d9f3167f55c1ae7c0"/>
          <w:id w:val="182530526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44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970"/>
        <w:gridCol w:w="3967"/>
      </w:tblGrid>
      <w:tr w:rsidR="002D0AE7" w14:paraId="3FF18D80" w14:textId="77777777">
        <w:trPr>
          <w:jc w:val="center"/>
        </w:trPr>
        <w:sdt>
          <w:sdtPr>
            <w:rPr>
              <w:color w:val="000000" w:themeColor="text1"/>
              <w:sz w:val="21"/>
            </w:rPr>
            <w:tag w:val="_PLD_8242dd3761084b5fa8943b910dbdbe45"/>
            <w:id w:val="-2081590679"/>
          </w:sdtPr>
          <w:sdtEndPr/>
          <w:sdtContent>
            <w:tc>
              <w:tcPr>
                <w:tcW w:w="1817" w:type="pct"/>
                <w:shd w:val="clear" w:color="auto" w:fill="auto"/>
                <w:vAlign w:val="center"/>
              </w:tcPr>
              <w:p w14:paraId="091C0C71" w14:textId="77777777" w:rsidR="002D0AE7" w:rsidRDefault="00333EBB">
                <w:pPr>
                  <w:tabs>
                    <w:tab w:val="right" w:pos="3690"/>
                    <w:tab w:val="right" w:pos="5130"/>
                    <w:tab w:val="right" w:pos="6030"/>
                    <w:tab w:val="right" w:pos="7650"/>
                    <w:tab w:val="right" w:pos="9270"/>
                  </w:tabs>
                  <w:adjustRightInd w:val="0"/>
                  <w:snapToGrid w:val="0"/>
                  <w:jc w:val="center"/>
                  <w:rPr>
                    <w:rFonts w:hint="eastAsia"/>
                    <w:color w:val="000000" w:themeColor="text1"/>
                    <w:sz w:val="21"/>
                  </w:rPr>
                </w:pPr>
                <w:r>
                  <w:rPr>
                    <w:rFonts w:hint="eastAsia"/>
                    <w:color w:val="000000" w:themeColor="text1"/>
                    <w:sz w:val="21"/>
                  </w:rPr>
                  <w:t>项目</w:t>
                </w:r>
              </w:p>
            </w:tc>
          </w:sdtContent>
        </w:sdt>
        <w:sdt>
          <w:sdtPr>
            <w:rPr>
              <w:color w:val="000000" w:themeColor="text1"/>
              <w:sz w:val="21"/>
            </w:rPr>
            <w:tag w:val="_PLD_666df388ce2f4405af4694ebf5c112ca"/>
            <w:id w:val="1944952293"/>
          </w:sdtPr>
          <w:sdtEndPr/>
          <w:sdtContent>
            <w:tc>
              <w:tcPr>
                <w:tcW w:w="1592" w:type="pct"/>
                <w:shd w:val="clear" w:color="auto" w:fill="auto"/>
                <w:vAlign w:val="center"/>
              </w:tcPr>
              <w:p w14:paraId="14160B1E" w14:textId="77777777" w:rsidR="002D0AE7" w:rsidRDefault="00333EBB">
                <w:pPr>
                  <w:jc w:val="center"/>
                  <w:rPr>
                    <w:rFonts w:hint="eastAsia"/>
                    <w:color w:val="000000" w:themeColor="text1"/>
                    <w:sz w:val="21"/>
                  </w:rPr>
                </w:pPr>
                <w:r>
                  <w:rPr>
                    <w:rFonts w:hint="eastAsia"/>
                    <w:color w:val="000000" w:themeColor="text1"/>
                    <w:sz w:val="21"/>
                  </w:rPr>
                  <w:t>期末余额</w:t>
                </w:r>
              </w:p>
            </w:tc>
          </w:sdtContent>
        </w:sdt>
        <w:sdt>
          <w:sdtPr>
            <w:rPr>
              <w:color w:val="000000" w:themeColor="text1"/>
              <w:sz w:val="21"/>
            </w:rPr>
            <w:tag w:val="_PLD_ca4fd9ec8b6a43259f78c36475f04e58"/>
            <w:id w:val="-1101250884"/>
          </w:sdtPr>
          <w:sdtEndPr/>
          <w:sdtContent>
            <w:tc>
              <w:tcPr>
                <w:tcW w:w="1591" w:type="pct"/>
                <w:shd w:val="clear" w:color="auto" w:fill="auto"/>
                <w:vAlign w:val="center"/>
              </w:tcPr>
              <w:p w14:paraId="2CB53CFD" w14:textId="77777777" w:rsidR="002D0AE7" w:rsidRDefault="00333EBB">
                <w:pPr>
                  <w:jc w:val="center"/>
                  <w:rPr>
                    <w:rFonts w:hint="eastAsia"/>
                    <w:color w:val="000000" w:themeColor="text1"/>
                    <w:sz w:val="21"/>
                  </w:rPr>
                </w:pPr>
                <w:r>
                  <w:rPr>
                    <w:rFonts w:hint="eastAsia"/>
                    <w:color w:val="000000" w:themeColor="text1"/>
                    <w:sz w:val="21"/>
                  </w:rPr>
                  <w:t>期初余额</w:t>
                </w:r>
              </w:p>
            </w:tc>
          </w:sdtContent>
        </w:sdt>
      </w:tr>
      <w:tr w:rsidR="002D0AE7" w14:paraId="1687AD88" w14:textId="77777777">
        <w:trPr>
          <w:jc w:val="center"/>
        </w:trPr>
        <w:tc>
          <w:tcPr>
            <w:tcW w:w="1817" w:type="pct"/>
            <w:shd w:val="clear" w:color="auto" w:fill="auto"/>
          </w:tcPr>
          <w:p w14:paraId="30CE4E4E" w14:textId="77777777" w:rsidR="002D0AE7" w:rsidRDefault="00333EBB">
            <w:pPr>
              <w:tabs>
                <w:tab w:val="right" w:pos="3690"/>
                <w:tab w:val="right" w:pos="5130"/>
                <w:tab w:val="right" w:pos="6030"/>
                <w:tab w:val="right" w:pos="7650"/>
                <w:tab w:val="right" w:pos="9270"/>
              </w:tabs>
              <w:adjustRightInd w:val="0"/>
              <w:snapToGrid w:val="0"/>
              <w:rPr>
                <w:rFonts w:hint="eastAsia"/>
                <w:color w:val="000000" w:themeColor="text1"/>
                <w:sz w:val="21"/>
              </w:rPr>
            </w:pPr>
            <w:r>
              <w:rPr>
                <w:rFonts w:hint="eastAsia"/>
                <w:color w:val="000000" w:themeColor="text1"/>
                <w:sz w:val="21"/>
              </w:rPr>
              <w:t>固定资产</w:t>
            </w:r>
          </w:p>
        </w:tc>
        <w:tc>
          <w:tcPr>
            <w:tcW w:w="1592" w:type="pct"/>
            <w:shd w:val="clear" w:color="auto" w:fill="auto"/>
          </w:tcPr>
          <w:p w14:paraId="759EC1E7" w14:textId="77777777" w:rsidR="002D0AE7" w:rsidRDefault="00333EBB">
            <w:pPr>
              <w:tabs>
                <w:tab w:val="right" w:pos="3690"/>
                <w:tab w:val="right" w:pos="5130"/>
                <w:tab w:val="right" w:pos="6030"/>
                <w:tab w:val="right" w:pos="7650"/>
                <w:tab w:val="right" w:pos="9270"/>
              </w:tabs>
              <w:adjustRightInd w:val="0"/>
              <w:snapToGrid w:val="0"/>
              <w:jc w:val="right"/>
              <w:rPr>
                <w:rFonts w:ascii="Times New Roman" w:hAnsi="Times New Roman" w:cs="Times New Roman"/>
                <w:sz w:val="21"/>
              </w:rPr>
            </w:pPr>
            <w:r>
              <w:rPr>
                <w:rFonts w:ascii="Times New Roman" w:hAnsi="Times New Roman" w:cs="Times New Roman"/>
                <w:sz w:val="21"/>
              </w:rPr>
              <w:t>2,915,911,896.21</w:t>
            </w:r>
          </w:p>
        </w:tc>
        <w:tc>
          <w:tcPr>
            <w:tcW w:w="1591" w:type="pct"/>
            <w:shd w:val="clear" w:color="auto" w:fill="auto"/>
          </w:tcPr>
          <w:p w14:paraId="6681A444" w14:textId="77777777" w:rsidR="002D0AE7" w:rsidRDefault="00333EBB">
            <w:pPr>
              <w:tabs>
                <w:tab w:val="right" w:pos="3690"/>
                <w:tab w:val="right" w:pos="5130"/>
                <w:tab w:val="right" w:pos="6030"/>
                <w:tab w:val="right" w:pos="7650"/>
                <w:tab w:val="right" w:pos="9270"/>
              </w:tabs>
              <w:adjustRightInd w:val="0"/>
              <w:snapToGrid w:val="0"/>
              <w:jc w:val="right"/>
              <w:rPr>
                <w:rFonts w:ascii="Times New Roman" w:hAnsi="Times New Roman" w:cs="Times New Roman"/>
                <w:sz w:val="21"/>
              </w:rPr>
            </w:pPr>
            <w:r>
              <w:rPr>
                <w:rFonts w:ascii="Times New Roman" w:hAnsi="Times New Roman" w:cs="Times New Roman"/>
                <w:sz w:val="21"/>
              </w:rPr>
              <w:t>3,034,612,195.93</w:t>
            </w:r>
          </w:p>
        </w:tc>
      </w:tr>
      <w:tr w:rsidR="002D0AE7" w14:paraId="6261CCD9" w14:textId="77777777">
        <w:trPr>
          <w:jc w:val="center"/>
        </w:trPr>
        <w:tc>
          <w:tcPr>
            <w:tcW w:w="1817" w:type="pct"/>
            <w:shd w:val="clear" w:color="auto" w:fill="auto"/>
          </w:tcPr>
          <w:p w14:paraId="6E18F24D" w14:textId="77777777" w:rsidR="002D0AE7" w:rsidRDefault="00333EBB">
            <w:pPr>
              <w:tabs>
                <w:tab w:val="right" w:pos="3690"/>
                <w:tab w:val="right" w:pos="5130"/>
                <w:tab w:val="right" w:pos="6030"/>
                <w:tab w:val="right" w:pos="7650"/>
                <w:tab w:val="right" w:pos="9270"/>
              </w:tabs>
              <w:adjustRightInd w:val="0"/>
              <w:snapToGrid w:val="0"/>
              <w:rPr>
                <w:rFonts w:hint="eastAsia"/>
                <w:color w:val="000000" w:themeColor="text1"/>
                <w:sz w:val="21"/>
              </w:rPr>
            </w:pPr>
            <w:r>
              <w:rPr>
                <w:rFonts w:hint="eastAsia"/>
                <w:color w:val="000000" w:themeColor="text1"/>
                <w:sz w:val="21"/>
              </w:rPr>
              <w:t>固定资产清理</w:t>
            </w:r>
          </w:p>
        </w:tc>
        <w:tc>
          <w:tcPr>
            <w:tcW w:w="1592" w:type="pct"/>
            <w:shd w:val="clear" w:color="auto" w:fill="auto"/>
          </w:tcPr>
          <w:p w14:paraId="4E146125" w14:textId="77777777" w:rsidR="002D0AE7" w:rsidRDefault="00333EBB">
            <w:pPr>
              <w:tabs>
                <w:tab w:val="right" w:pos="3690"/>
                <w:tab w:val="right" w:pos="5130"/>
                <w:tab w:val="right" w:pos="6030"/>
                <w:tab w:val="right" w:pos="7650"/>
                <w:tab w:val="right" w:pos="9270"/>
              </w:tabs>
              <w:adjustRightInd w:val="0"/>
              <w:snapToGrid w:val="0"/>
              <w:jc w:val="right"/>
              <w:rPr>
                <w:rFonts w:ascii="Times New Roman" w:hAnsi="Times New Roman" w:cs="Times New Roman"/>
                <w:sz w:val="21"/>
              </w:rPr>
            </w:pPr>
            <w:r>
              <w:rPr>
                <w:rFonts w:ascii="Times New Roman" w:hAnsi="Times New Roman" w:cs="Times New Roman"/>
                <w:sz w:val="21"/>
              </w:rPr>
              <w:t>0.00</w:t>
            </w:r>
          </w:p>
        </w:tc>
        <w:tc>
          <w:tcPr>
            <w:tcW w:w="1591" w:type="pct"/>
            <w:shd w:val="clear" w:color="auto" w:fill="auto"/>
          </w:tcPr>
          <w:p w14:paraId="7EDF94F1" w14:textId="77777777" w:rsidR="002D0AE7" w:rsidRDefault="00333EBB">
            <w:pPr>
              <w:tabs>
                <w:tab w:val="right" w:pos="3690"/>
                <w:tab w:val="right" w:pos="5130"/>
                <w:tab w:val="right" w:pos="6030"/>
                <w:tab w:val="right" w:pos="7650"/>
                <w:tab w:val="right" w:pos="9270"/>
              </w:tabs>
              <w:adjustRightInd w:val="0"/>
              <w:snapToGrid w:val="0"/>
              <w:jc w:val="right"/>
              <w:rPr>
                <w:rFonts w:ascii="Times New Roman" w:hAnsi="Times New Roman" w:cs="Times New Roman"/>
                <w:sz w:val="21"/>
              </w:rPr>
            </w:pPr>
            <w:r>
              <w:rPr>
                <w:rFonts w:ascii="Times New Roman" w:hAnsi="Times New Roman" w:cs="Times New Roman"/>
                <w:sz w:val="21"/>
              </w:rPr>
              <w:t>0.00</w:t>
            </w:r>
          </w:p>
        </w:tc>
      </w:tr>
      <w:tr w:rsidR="002D0AE7" w14:paraId="4B678C50" w14:textId="77777777">
        <w:trPr>
          <w:jc w:val="center"/>
        </w:trPr>
        <w:tc>
          <w:tcPr>
            <w:tcW w:w="1817" w:type="pct"/>
            <w:shd w:val="clear" w:color="auto" w:fill="auto"/>
            <w:vAlign w:val="center"/>
          </w:tcPr>
          <w:p w14:paraId="5CFC7EDE" w14:textId="77777777" w:rsidR="002D0AE7" w:rsidRDefault="00333EBB">
            <w:pPr>
              <w:tabs>
                <w:tab w:val="right" w:pos="3690"/>
                <w:tab w:val="right" w:pos="5130"/>
                <w:tab w:val="right" w:pos="6030"/>
                <w:tab w:val="right" w:pos="7650"/>
                <w:tab w:val="right" w:pos="9270"/>
              </w:tabs>
              <w:adjustRightInd w:val="0"/>
              <w:snapToGrid w:val="0"/>
              <w:jc w:val="center"/>
              <w:rPr>
                <w:rFonts w:hint="eastAsia"/>
                <w:color w:val="000000" w:themeColor="text1"/>
                <w:sz w:val="21"/>
              </w:rPr>
            </w:pPr>
            <w:r>
              <w:rPr>
                <w:rFonts w:hint="eastAsia"/>
                <w:color w:val="000000" w:themeColor="text1"/>
                <w:sz w:val="21"/>
              </w:rPr>
              <w:t>合计</w:t>
            </w:r>
          </w:p>
        </w:tc>
        <w:tc>
          <w:tcPr>
            <w:tcW w:w="1592" w:type="pct"/>
            <w:shd w:val="clear" w:color="auto" w:fill="auto"/>
            <w:vAlign w:val="center"/>
          </w:tcPr>
          <w:p w14:paraId="5D9BE2EA" w14:textId="77777777" w:rsidR="002D0AE7" w:rsidRDefault="00333EBB">
            <w:pPr>
              <w:tabs>
                <w:tab w:val="right" w:pos="3690"/>
                <w:tab w:val="right" w:pos="5130"/>
                <w:tab w:val="right" w:pos="6030"/>
                <w:tab w:val="right" w:pos="7650"/>
                <w:tab w:val="right" w:pos="9270"/>
              </w:tabs>
              <w:adjustRightInd w:val="0"/>
              <w:snapToGrid w:val="0"/>
              <w:jc w:val="right"/>
              <w:rPr>
                <w:rFonts w:ascii="Times New Roman" w:hAnsi="Times New Roman" w:cs="Times New Roman"/>
                <w:sz w:val="21"/>
              </w:rPr>
            </w:pPr>
            <w:r>
              <w:rPr>
                <w:rFonts w:ascii="Times New Roman" w:hAnsi="Times New Roman" w:cs="Times New Roman"/>
                <w:sz w:val="21"/>
              </w:rPr>
              <w:t>2,915,911,896.21</w:t>
            </w:r>
          </w:p>
        </w:tc>
        <w:tc>
          <w:tcPr>
            <w:tcW w:w="1591" w:type="pct"/>
            <w:shd w:val="clear" w:color="auto" w:fill="auto"/>
            <w:vAlign w:val="center"/>
          </w:tcPr>
          <w:p w14:paraId="405D03CC" w14:textId="77777777" w:rsidR="002D0AE7" w:rsidRDefault="00333EBB">
            <w:pPr>
              <w:tabs>
                <w:tab w:val="right" w:pos="3690"/>
                <w:tab w:val="right" w:pos="5130"/>
                <w:tab w:val="right" w:pos="6030"/>
                <w:tab w:val="right" w:pos="7650"/>
                <w:tab w:val="right" w:pos="9270"/>
              </w:tabs>
              <w:adjustRightInd w:val="0"/>
              <w:snapToGrid w:val="0"/>
              <w:jc w:val="right"/>
              <w:rPr>
                <w:rFonts w:ascii="Times New Roman" w:hAnsi="Times New Roman" w:cs="Times New Roman"/>
                <w:sz w:val="21"/>
              </w:rPr>
            </w:pPr>
            <w:r>
              <w:rPr>
                <w:rFonts w:ascii="Times New Roman" w:hAnsi="Times New Roman" w:cs="Times New Roman"/>
                <w:sz w:val="21"/>
              </w:rPr>
              <w:t>3,034,612,195.93</w:t>
            </w:r>
          </w:p>
        </w:tc>
      </w:tr>
    </w:tbl>
    <w:p w14:paraId="5E7EC5C8" w14:textId="77777777" w:rsidR="002D0AE7" w:rsidRDefault="00333EBB">
      <w:pPr>
        <w:rPr>
          <w:rFonts w:hint="eastAsia"/>
          <w:color w:val="000000" w:themeColor="text1"/>
        </w:rPr>
      </w:pPr>
      <w:bookmarkStart w:id="180" w:name="_Hlk10472389"/>
      <w:bookmarkStart w:id="181" w:name="_Hlk10472397"/>
      <w:bookmarkEnd w:id="179"/>
      <w:r>
        <w:rPr>
          <w:rFonts w:hint="eastAsia"/>
          <w:color w:val="000000" w:themeColor="text1"/>
        </w:rPr>
        <w:t>其他说明：</w:t>
      </w:r>
      <w:bookmarkEnd w:id="180"/>
      <w:sdt>
        <w:sdtPr>
          <w:rPr>
            <w:color w:val="000000" w:themeColor="text1"/>
          </w:rPr>
          <w:alias w:val="固定资产分类列示其他说明"/>
          <w:tag w:val="_GBC_9028bab58a12485bb8ef4d316280f591"/>
          <w:id w:val="79645278"/>
          <w:placeholder>
            <w:docPart w:val="GBC22222222222222222222222222222"/>
          </w:placeholder>
        </w:sdtPr>
        <w:sdtEndPr/>
        <w:sdtContent>
          <w:r>
            <w:rPr>
              <w:rFonts w:hint="eastAsia"/>
              <w:color w:val="000000" w:themeColor="text1"/>
            </w:rPr>
            <w:t>无</w:t>
          </w:r>
        </w:sdtContent>
      </w:sdt>
    </w:p>
    <w:bookmarkEnd w:id="181"/>
    <w:p w14:paraId="40767900" w14:textId="77777777" w:rsidR="002D0AE7" w:rsidRDefault="00333EBB">
      <w:pPr>
        <w:pStyle w:val="4"/>
        <w:tabs>
          <w:tab w:val="left" w:pos="588"/>
        </w:tabs>
        <w:rPr>
          <w:rFonts w:ascii="宋体" w:hAnsi="宋体" w:hint="eastAsia"/>
          <w:color w:val="000000" w:themeColor="text1"/>
        </w:rPr>
      </w:pPr>
      <w:r>
        <w:rPr>
          <w:rFonts w:ascii="宋体" w:hAnsi="宋体" w:hint="eastAsia"/>
          <w:color w:val="000000" w:themeColor="text1"/>
        </w:rPr>
        <w:t>固定资产</w:t>
      </w:r>
    </w:p>
    <w:p w14:paraId="1C0CCBB2" w14:textId="77777777" w:rsidR="002D0AE7" w:rsidRDefault="00333EBB">
      <w:pPr>
        <w:pStyle w:val="4"/>
        <w:numPr>
          <w:ilvl w:val="0"/>
          <w:numId w:val="51"/>
        </w:numPr>
        <w:tabs>
          <w:tab w:val="left" w:pos="588"/>
        </w:tabs>
        <w:rPr>
          <w:rFonts w:ascii="宋体" w:hAnsi="宋体" w:hint="eastAsia"/>
          <w:color w:val="000000" w:themeColor="text1"/>
          <w:szCs w:val="21"/>
        </w:rPr>
      </w:pPr>
      <w:r>
        <w:rPr>
          <w:rFonts w:ascii="宋体" w:hAnsi="宋体" w:hint="eastAsia"/>
          <w:color w:val="000000" w:themeColor="text1"/>
          <w:szCs w:val="21"/>
        </w:rPr>
        <w:t>固定资产情况</w:t>
      </w:r>
    </w:p>
    <w:sdt>
      <w:sdtPr>
        <w:rPr>
          <w:color w:val="000000" w:themeColor="text1"/>
        </w:rPr>
        <w:alias w:val="是否适用：固定资产情况[双击切换]"/>
        <w:tag w:val="_GBC_dea1f620aab74d63b1372d831b5b450f"/>
        <w:id w:val="1347520999"/>
        <w:placeholder>
          <w:docPart w:val="GBC22222222222222222222222222222"/>
        </w:placeholder>
      </w:sdtPr>
      <w:sdtEndPr/>
      <w:sdtContent>
        <w:p w14:paraId="31EF2536"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3E734F46" w14:textId="77777777" w:rsidR="002D0AE7" w:rsidRDefault="00333EBB">
      <w:pPr>
        <w:autoSpaceDE w:val="0"/>
        <w:autoSpaceDN w:val="0"/>
        <w:adjustRightInd w:val="0"/>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固定资产情况"/>
          <w:tag w:val="_GBC_563afa3e91c048118558af0713b1a1af"/>
          <w:id w:val="-89519885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固定资产情况"/>
          <w:tag w:val="_GBC_c5ecae448dd948eca54add973afbe77b"/>
          <w:id w:val="11887664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689"/>
        <w:gridCol w:w="1669"/>
        <w:gridCol w:w="1530"/>
        <w:gridCol w:w="1268"/>
        <w:gridCol w:w="1373"/>
        <w:gridCol w:w="1268"/>
        <w:gridCol w:w="1268"/>
        <w:gridCol w:w="1268"/>
        <w:gridCol w:w="1530"/>
      </w:tblGrid>
      <w:tr w:rsidR="002D0AE7" w14:paraId="658D9A1F" w14:textId="77777777">
        <w:trPr>
          <w:jc w:val="center"/>
        </w:trPr>
        <w:sdt>
          <w:sdtPr>
            <w:rPr>
              <w:color w:val="000000" w:themeColor="text1"/>
              <w:sz w:val="21"/>
              <w:szCs w:val="21"/>
            </w:rPr>
            <w:tag w:val="_PLD_1741958de41447b7ac4cbd15ce893c6c"/>
            <w:id w:val="-677426449"/>
          </w:sdtPr>
          <w:sdtEndPr/>
          <w:sdtContent>
            <w:tc>
              <w:tcPr>
                <w:tcW w:w="2689" w:type="dxa"/>
                <w:shd w:val="clear" w:color="auto" w:fill="auto"/>
                <w:vAlign w:val="center"/>
              </w:tcPr>
              <w:p w14:paraId="68B51548"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rFonts w:hint="eastAsia"/>
              <w:color w:val="000000" w:themeColor="text1"/>
              <w:sz w:val="21"/>
              <w:szCs w:val="21"/>
            </w:rPr>
            <w:alias w:val="固定资产情况明细-项目名称"/>
            <w:tag w:val="_GBC_936a8499167f477aab1a2942b2fdbdaf"/>
            <w:id w:val="163435883"/>
            <w:text/>
          </w:sdtPr>
          <w:sdtEndPr/>
          <w:sdtContent>
            <w:tc>
              <w:tcPr>
                <w:tcW w:w="1669" w:type="dxa"/>
                <w:shd w:val="clear" w:color="auto" w:fill="auto"/>
                <w:vAlign w:val="center"/>
              </w:tcPr>
              <w:p w14:paraId="05FE57BB" w14:textId="77777777" w:rsidR="002D0AE7" w:rsidRDefault="00333EBB">
                <w:pPr>
                  <w:jc w:val="center"/>
                  <w:rPr>
                    <w:rFonts w:hint="eastAsia"/>
                    <w:color w:val="000000" w:themeColor="text1"/>
                    <w:sz w:val="21"/>
                    <w:szCs w:val="21"/>
                  </w:rPr>
                </w:pPr>
                <w:r>
                  <w:rPr>
                    <w:rFonts w:hint="eastAsia"/>
                    <w:color w:val="000000" w:themeColor="text1"/>
                    <w:sz w:val="21"/>
                    <w:szCs w:val="21"/>
                  </w:rPr>
                  <w:t>房屋及建筑物</w:t>
                </w:r>
              </w:p>
            </w:tc>
          </w:sdtContent>
        </w:sdt>
        <w:sdt>
          <w:sdtPr>
            <w:rPr>
              <w:rFonts w:hint="eastAsia"/>
              <w:sz w:val="21"/>
              <w:szCs w:val="21"/>
            </w:rPr>
            <w:alias w:val="固定资产情况明细-项目名称"/>
            <w:tag w:val="_GBC_936a8499167f477aab1a2942b2fdbdaf"/>
            <w:id w:val="-632492477"/>
            <w:text/>
          </w:sdtPr>
          <w:sdtEndPr/>
          <w:sdtContent>
            <w:tc>
              <w:tcPr>
                <w:tcW w:w="0" w:type="auto"/>
                <w:shd w:val="clear" w:color="auto" w:fill="auto"/>
                <w:vAlign w:val="center"/>
              </w:tcPr>
              <w:p w14:paraId="09785BFB" w14:textId="77777777" w:rsidR="002D0AE7" w:rsidRDefault="00333EBB">
                <w:pPr>
                  <w:jc w:val="center"/>
                  <w:rPr>
                    <w:rFonts w:hint="eastAsia"/>
                    <w:sz w:val="21"/>
                    <w:szCs w:val="21"/>
                  </w:rPr>
                </w:pPr>
                <w:r>
                  <w:rPr>
                    <w:rFonts w:hint="eastAsia"/>
                    <w:sz w:val="21"/>
                    <w:szCs w:val="21"/>
                  </w:rPr>
                  <w:t>机器设备</w:t>
                </w:r>
              </w:p>
            </w:tc>
          </w:sdtContent>
        </w:sdt>
        <w:sdt>
          <w:sdtPr>
            <w:rPr>
              <w:rFonts w:hint="eastAsia"/>
              <w:sz w:val="21"/>
              <w:szCs w:val="21"/>
            </w:rPr>
            <w:alias w:val="固定资产情况明细-项目名称"/>
            <w:tag w:val="_GBC_936a8499167f477aab1a2942b2fdbdaf"/>
            <w:id w:val="-374926988"/>
            <w:text/>
          </w:sdtPr>
          <w:sdtEndPr/>
          <w:sdtContent>
            <w:tc>
              <w:tcPr>
                <w:tcW w:w="0" w:type="auto"/>
                <w:shd w:val="clear" w:color="auto" w:fill="auto"/>
                <w:vAlign w:val="center"/>
              </w:tcPr>
              <w:p w14:paraId="696D64C1" w14:textId="77777777" w:rsidR="002D0AE7" w:rsidRDefault="00333EBB">
                <w:pPr>
                  <w:jc w:val="center"/>
                  <w:rPr>
                    <w:rFonts w:hint="eastAsia"/>
                    <w:sz w:val="21"/>
                    <w:szCs w:val="21"/>
                  </w:rPr>
                </w:pPr>
                <w:r>
                  <w:rPr>
                    <w:rFonts w:hint="eastAsia"/>
                    <w:sz w:val="21"/>
                    <w:szCs w:val="21"/>
                  </w:rPr>
                  <w:t>运输工具</w:t>
                </w:r>
              </w:p>
            </w:tc>
          </w:sdtContent>
        </w:sdt>
        <w:sdt>
          <w:sdtPr>
            <w:rPr>
              <w:rFonts w:hint="eastAsia"/>
              <w:sz w:val="21"/>
              <w:szCs w:val="21"/>
            </w:rPr>
            <w:alias w:val="固定资产情况明细-项目名称"/>
            <w:tag w:val="_GBC_936a8499167f477aab1a2942b2fdbdaf"/>
            <w:id w:val="-804080967"/>
            <w:text/>
          </w:sdtPr>
          <w:sdtEndPr/>
          <w:sdtContent>
            <w:tc>
              <w:tcPr>
                <w:tcW w:w="0" w:type="auto"/>
                <w:shd w:val="clear" w:color="auto" w:fill="auto"/>
                <w:vAlign w:val="center"/>
              </w:tcPr>
              <w:p w14:paraId="24BF1F46" w14:textId="77777777" w:rsidR="002D0AE7" w:rsidRDefault="00333EBB">
                <w:pPr>
                  <w:jc w:val="center"/>
                  <w:rPr>
                    <w:rFonts w:hint="eastAsia"/>
                    <w:sz w:val="21"/>
                    <w:szCs w:val="21"/>
                  </w:rPr>
                </w:pPr>
                <w:r>
                  <w:rPr>
                    <w:rFonts w:hint="eastAsia"/>
                    <w:sz w:val="21"/>
                    <w:szCs w:val="21"/>
                  </w:rPr>
                  <w:t>仪器、计量器具</w:t>
                </w:r>
              </w:p>
            </w:tc>
          </w:sdtContent>
        </w:sdt>
        <w:sdt>
          <w:sdtPr>
            <w:rPr>
              <w:rFonts w:hint="eastAsia"/>
              <w:sz w:val="21"/>
              <w:szCs w:val="21"/>
            </w:rPr>
            <w:alias w:val="固定资产情况明细-项目名称"/>
            <w:tag w:val="_GBC_936a8499167f477aab1a2942b2fdbdaf"/>
            <w:id w:val="-980604920"/>
            <w:text/>
          </w:sdtPr>
          <w:sdtEndPr/>
          <w:sdtContent>
            <w:tc>
              <w:tcPr>
                <w:tcW w:w="0" w:type="auto"/>
                <w:shd w:val="clear" w:color="auto" w:fill="auto"/>
                <w:vAlign w:val="center"/>
              </w:tcPr>
              <w:p w14:paraId="531F8E21" w14:textId="77777777" w:rsidR="002D0AE7" w:rsidRDefault="00333EBB">
                <w:pPr>
                  <w:jc w:val="center"/>
                  <w:rPr>
                    <w:rFonts w:hint="eastAsia"/>
                    <w:sz w:val="21"/>
                    <w:szCs w:val="21"/>
                  </w:rPr>
                </w:pPr>
                <w:r>
                  <w:rPr>
                    <w:rFonts w:hint="eastAsia"/>
                    <w:sz w:val="21"/>
                    <w:szCs w:val="21"/>
                  </w:rPr>
                  <w:t>办公设备</w:t>
                </w:r>
              </w:p>
            </w:tc>
          </w:sdtContent>
        </w:sdt>
        <w:sdt>
          <w:sdtPr>
            <w:rPr>
              <w:rFonts w:hint="eastAsia"/>
              <w:sz w:val="21"/>
              <w:szCs w:val="21"/>
            </w:rPr>
            <w:alias w:val="固定资产情况明细-项目名称"/>
            <w:tag w:val="_GBC_936a8499167f477aab1a2942b2fdbdaf"/>
            <w:id w:val="-99337827"/>
            <w:text/>
          </w:sdtPr>
          <w:sdtEndPr/>
          <w:sdtContent>
            <w:tc>
              <w:tcPr>
                <w:tcW w:w="0" w:type="auto"/>
                <w:shd w:val="clear" w:color="auto" w:fill="auto"/>
                <w:vAlign w:val="center"/>
              </w:tcPr>
              <w:p w14:paraId="7C9C6FB0" w14:textId="77777777" w:rsidR="002D0AE7" w:rsidRDefault="00333EBB">
                <w:pPr>
                  <w:jc w:val="center"/>
                  <w:rPr>
                    <w:rFonts w:hint="eastAsia"/>
                    <w:sz w:val="21"/>
                    <w:szCs w:val="21"/>
                  </w:rPr>
                </w:pPr>
                <w:r>
                  <w:rPr>
                    <w:rFonts w:hint="eastAsia"/>
                    <w:sz w:val="21"/>
                    <w:szCs w:val="21"/>
                  </w:rPr>
                  <w:t>电子设备</w:t>
                </w:r>
              </w:p>
            </w:tc>
          </w:sdtContent>
        </w:sdt>
        <w:sdt>
          <w:sdtPr>
            <w:rPr>
              <w:rFonts w:hint="eastAsia"/>
              <w:sz w:val="21"/>
              <w:szCs w:val="21"/>
            </w:rPr>
            <w:alias w:val="固定资产情况明细-项目名称"/>
            <w:tag w:val="_GBC_936a8499167f477aab1a2942b2fdbdaf"/>
            <w:id w:val="-1605264161"/>
            <w:text/>
          </w:sdtPr>
          <w:sdtEndPr/>
          <w:sdtContent>
            <w:tc>
              <w:tcPr>
                <w:tcW w:w="0" w:type="auto"/>
                <w:shd w:val="clear" w:color="auto" w:fill="auto"/>
                <w:vAlign w:val="center"/>
              </w:tcPr>
              <w:p w14:paraId="18759BC4" w14:textId="77777777" w:rsidR="002D0AE7" w:rsidRDefault="00333EBB">
                <w:pPr>
                  <w:jc w:val="center"/>
                  <w:rPr>
                    <w:rFonts w:hint="eastAsia"/>
                    <w:sz w:val="21"/>
                    <w:szCs w:val="21"/>
                  </w:rPr>
                </w:pPr>
                <w:r>
                  <w:rPr>
                    <w:rFonts w:hint="eastAsia"/>
                    <w:sz w:val="21"/>
                    <w:szCs w:val="21"/>
                  </w:rPr>
                  <w:t>其他</w:t>
                </w:r>
              </w:p>
            </w:tc>
          </w:sdtContent>
        </w:sdt>
        <w:sdt>
          <w:sdtPr>
            <w:rPr>
              <w:color w:val="000000" w:themeColor="text1"/>
              <w:sz w:val="21"/>
              <w:szCs w:val="21"/>
            </w:rPr>
            <w:tag w:val="_PLD_0b635f975b4949dbb798f88c3dcf1d8d"/>
            <w:id w:val="1885133085"/>
          </w:sdtPr>
          <w:sdtEndPr/>
          <w:sdtContent>
            <w:tc>
              <w:tcPr>
                <w:tcW w:w="0" w:type="auto"/>
                <w:shd w:val="clear" w:color="auto" w:fill="auto"/>
                <w:vAlign w:val="center"/>
              </w:tcPr>
              <w:p w14:paraId="72E5662C"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sdtContent>
        </w:sdt>
      </w:tr>
      <w:tr w:rsidR="002D0AE7" w14:paraId="394A9FE8" w14:textId="77777777">
        <w:trPr>
          <w:jc w:val="center"/>
        </w:trPr>
        <w:sdt>
          <w:sdtPr>
            <w:rPr>
              <w:color w:val="000000" w:themeColor="text1"/>
              <w:sz w:val="21"/>
              <w:szCs w:val="21"/>
            </w:rPr>
            <w:tag w:val="_PLD_e1d4e79d72fd45cc925f8729ecef795c"/>
            <w:id w:val="-1851867171"/>
          </w:sdtPr>
          <w:sdtEndPr/>
          <w:sdtContent>
            <w:tc>
              <w:tcPr>
                <w:tcW w:w="13863" w:type="dxa"/>
                <w:gridSpan w:val="9"/>
                <w:shd w:val="clear" w:color="auto" w:fill="auto"/>
              </w:tcPr>
              <w:p w14:paraId="045E8616" w14:textId="77777777" w:rsidR="002D0AE7" w:rsidRDefault="00333EBB">
                <w:pPr>
                  <w:rPr>
                    <w:rFonts w:hint="eastAsia"/>
                    <w:color w:val="000000" w:themeColor="text1"/>
                    <w:sz w:val="21"/>
                    <w:szCs w:val="21"/>
                  </w:rPr>
                </w:pPr>
                <w:r>
                  <w:rPr>
                    <w:rFonts w:hint="eastAsia"/>
                    <w:color w:val="000000" w:themeColor="text1"/>
                    <w:sz w:val="21"/>
                    <w:szCs w:val="21"/>
                  </w:rPr>
                  <w:t>一、账面原值：</w:t>
                </w:r>
              </w:p>
            </w:tc>
          </w:sdtContent>
        </w:sdt>
      </w:tr>
      <w:tr w:rsidR="002D0AE7" w14:paraId="58CC9284" w14:textId="77777777">
        <w:trPr>
          <w:jc w:val="center"/>
        </w:trPr>
        <w:tc>
          <w:tcPr>
            <w:tcW w:w="2689" w:type="dxa"/>
            <w:shd w:val="clear" w:color="auto" w:fill="auto"/>
          </w:tcPr>
          <w:p w14:paraId="7EE55DAC" w14:textId="77777777" w:rsidR="002D0AE7" w:rsidRDefault="00333EBB">
            <w:pPr>
              <w:ind w:firstLineChars="200" w:firstLine="420"/>
              <w:rPr>
                <w:rFonts w:hint="eastAsia"/>
                <w:color w:val="000000" w:themeColor="text1"/>
                <w:sz w:val="21"/>
                <w:szCs w:val="21"/>
              </w:rPr>
            </w:pPr>
            <w:r>
              <w:rPr>
                <w:color w:val="000000" w:themeColor="text1"/>
                <w:sz w:val="21"/>
                <w:szCs w:val="21"/>
              </w:rPr>
              <w:t>1.</w:t>
            </w:r>
            <w:r>
              <w:rPr>
                <w:rFonts w:hint="eastAsia"/>
                <w:color w:val="000000" w:themeColor="text1"/>
                <w:sz w:val="21"/>
                <w:szCs w:val="21"/>
              </w:rPr>
              <w:t>期初余额</w:t>
            </w:r>
          </w:p>
        </w:tc>
        <w:tc>
          <w:tcPr>
            <w:tcW w:w="1669" w:type="dxa"/>
            <w:shd w:val="clear" w:color="auto" w:fill="auto"/>
            <w:vAlign w:val="center"/>
          </w:tcPr>
          <w:p w14:paraId="404779E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2,285,745,880.26</w:t>
            </w:r>
          </w:p>
        </w:tc>
        <w:tc>
          <w:tcPr>
            <w:tcW w:w="0" w:type="auto"/>
            <w:shd w:val="clear" w:color="auto" w:fill="auto"/>
            <w:vAlign w:val="center"/>
          </w:tcPr>
          <w:p w14:paraId="111BAA3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2,428,409,865.38</w:t>
            </w:r>
          </w:p>
        </w:tc>
        <w:tc>
          <w:tcPr>
            <w:tcW w:w="0" w:type="auto"/>
            <w:shd w:val="clear" w:color="auto" w:fill="auto"/>
            <w:vAlign w:val="center"/>
          </w:tcPr>
          <w:p w14:paraId="6D5EEFE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11,989,779.67</w:t>
            </w:r>
          </w:p>
        </w:tc>
        <w:tc>
          <w:tcPr>
            <w:tcW w:w="0" w:type="auto"/>
            <w:shd w:val="clear" w:color="auto" w:fill="auto"/>
            <w:vAlign w:val="center"/>
          </w:tcPr>
          <w:p w14:paraId="6E255F0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128,237,409.96</w:t>
            </w:r>
          </w:p>
        </w:tc>
        <w:tc>
          <w:tcPr>
            <w:tcW w:w="0" w:type="auto"/>
            <w:shd w:val="clear" w:color="auto" w:fill="auto"/>
            <w:vAlign w:val="center"/>
          </w:tcPr>
          <w:p w14:paraId="2ABB9D1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20,107,561.98</w:t>
            </w:r>
          </w:p>
        </w:tc>
        <w:tc>
          <w:tcPr>
            <w:tcW w:w="0" w:type="auto"/>
            <w:shd w:val="clear" w:color="auto" w:fill="auto"/>
            <w:vAlign w:val="center"/>
          </w:tcPr>
          <w:p w14:paraId="7A860D1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23,863,827.15</w:t>
            </w:r>
          </w:p>
        </w:tc>
        <w:tc>
          <w:tcPr>
            <w:tcW w:w="0" w:type="auto"/>
            <w:shd w:val="clear" w:color="auto" w:fill="auto"/>
            <w:vAlign w:val="center"/>
          </w:tcPr>
          <w:p w14:paraId="03B1ED4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12,196,190.50</w:t>
            </w:r>
          </w:p>
        </w:tc>
        <w:tc>
          <w:tcPr>
            <w:tcW w:w="0" w:type="auto"/>
            <w:shd w:val="clear" w:color="auto" w:fill="auto"/>
            <w:vAlign w:val="center"/>
          </w:tcPr>
          <w:p w14:paraId="5BE7705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4,910,550,514.90</w:t>
            </w:r>
          </w:p>
        </w:tc>
      </w:tr>
      <w:tr w:rsidR="002D0AE7" w14:paraId="6133D8F7" w14:textId="77777777">
        <w:trPr>
          <w:jc w:val="center"/>
        </w:trPr>
        <w:tc>
          <w:tcPr>
            <w:tcW w:w="2689" w:type="dxa"/>
            <w:shd w:val="clear" w:color="auto" w:fill="auto"/>
          </w:tcPr>
          <w:p w14:paraId="3B1DA98C" w14:textId="77777777" w:rsidR="002D0AE7" w:rsidRDefault="00333EBB">
            <w:pPr>
              <w:ind w:firstLineChars="200" w:firstLine="420"/>
              <w:rPr>
                <w:rFonts w:hint="eastAsia"/>
                <w:color w:val="000000" w:themeColor="text1"/>
                <w:sz w:val="21"/>
                <w:szCs w:val="21"/>
              </w:rPr>
            </w:pPr>
            <w:r>
              <w:rPr>
                <w:color w:val="000000" w:themeColor="text1"/>
                <w:sz w:val="21"/>
                <w:szCs w:val="21"/>
              </w:rPr>
              <w:t>2.</w:t>
            </w:r>
            <w:r>
              <w:rPr>
                <w:rFonts w:hint="eastAsia"/>
                <w:color w:val="000000" w:themeColor="text1"/>
                <w:sz w:val="21"/>
                <w:szCs w:val="21"/>
              </w:rPr>
              <w:t>本期增加金额</w:t>
            </w:r>
          </w:p>
        </w:tc>
        <w:tc>
          <w:tcPr>
            <w:tcW w:w="1669" w:type="dxa"/>
            <w:shd w:val="clear" w:color="auto" w:fill="auto"/>
            <w:vAlign w:val="center"/>
          </w:tcPr>
          <w:p w14:paraId="7BFE204B"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37,118,453.88</w:t>
            </w:r>
          </w:p>
        </w:tc>
        <w:tc>
          <w:tcPr>
            <w:tcW w:w="0" w:type="auto"/>
            <w:shd w:val="clear" w:color="auto" w:fill="auto"/>
            <w:vAlign w:val="center"/>
          </w:tcPr>
          <w:p w14:paraId="5F29E58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125,928,112.43</w:t>
            </w:r>
          </w:p>
        </w:tc>
        <w:tc>
          <w:tcPr>
            <w:tcW w:w="0" w:type="auto"/>
            <w:shd w:val="clear" w:color="auto" w:fill="auto"/>
            <w:vAlign w:val="center"/>
          </w:tcPr>
          <w:p w14:paraId="6557C88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537,684.77</w:t>
            </w:r>
          </w:p>
        </w:tc>
        <w:tc>
          <w:tcPr>
            <w:tcW w:w="0" w:type="auto"/>
            <w:shd w:val="clear" w:color="auto" w:fill="auto"/>
            <w:vAlign w:val="center"/>
          </w:tcPr>
          <w:p w14:paraId="73B5DF3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54,123.61</w:t>
            </w:r>
          </w:p>
        </w:tc>
        <w:tc>
          <w:tcPr>
            <w:tcW w:w="0" w:type="auto"/>
            <w:shd w:val="clear" w:color="auto" w:fill="auto"/>
            <w:vAlign w:val="center"/>
          </w:tcPr>
          <w:p w14:paraId="2341A6A3"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282,467.32</w:t>
            </w:r>
          </w:p>
        </w:tc>
        <w:tc>
          <w:tcPr>
            <w:tcW w:w="0" w:type="auto"/>
            <w:shd w:val="clear" w:color="auto" w:fill="auto"/>
            <w:vAlign w:val="center"/>
          </w:tcPr>
          <w:p w14:paraId="28A28AB7"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9,719,382.31</w:t>
            </w:r>
          </w:p>
        </w:tc>
        <w:tc>
          <w:tcPr>
            <w:tcW w:w="0" w:type="auto"/>
            <w:shd w:val="clear" w:color="auto" w:fill="auto"/>
            <w:vAlign w:val="center"/>
          </w:tcPr>
          <w:p w14:paraId="7EB05D9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2,970,777.23</w:t>
            </w:r>
          </w:p>
        </w:tc>
        <w:tc>
          <w:tcPr>
            <w:tcW w:w="0" w:type="auto"/>
            <w:shd w:val="clear" w:color="auto" w:fill="auto"/>
            <w:vAlign w:val="center"/>
          </w:tcPr>
          <w:p w14:paraId="4F03D5F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176,611,001.55</w:t>
            </w:r>
          </w:p>
        </w:tc>
      </w:tr>
      <w:tr w:rsidR="002D0AE7" w14:paraId="7B90594B" w14:textId="77777777">
        <w:trPr>
          <w:jc w:val="center"/>
        </w:trPr>
        <w:tc>
          <w:tcPr>
            <w:tcW w:w="2689" w:type="dxa"/>
            <w:shd w:val="clear" w:color="auto" w:fill="auto"/>
          </w:tcPr>
          <w:p w14:paraId="1D176814"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w:t>
            </w:r>
            <w:r>
              <w:rPr>
                <w:rFonts w:hint="eastAsia"/>
                <w:color w:val="000000" w:themeColor="text1"/>
                <w:sz w:val="21"/>
                <w:szCs w:val="21"/>
              </w:rPr>
              <w:t>1</w:t>
            </w:r>
            <w:r>
              <w:rPr>
                <w:rFonts w:hint="eastAsia"/>
                <w:color w:val="000000" w:themeColor="text1"/>
                <w:sz w:val="21"/>
                <w:szCs w:val="21"/>
              </w:rPr>
              <w:t>）购置</w:t>
            </w:r>
          </w:p>
        </w:tc>
        <w:tc>
          <w:tcPr>
            <w:tcW w:w="1669" w:type="dxa"/>
            <w:shd w:val="clear" w:color="auto" w:fill="auto"/>
            <w:vAlign w:val="center"/>
          </w:tcPr>
          <w:p w14:paraId="260093C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926,594.53</w:t>
            </w:r>
          </w:p>
        </w:tc>
        <w:tc>
          <w:tcPr>
            <w:tcW w:w="0" w:type="auto"/>
            <w:shd w:val="clear" w:color="auto" w:fill="auto"/>
            <w:vAlign w:val="center"/>
          </w:tcPr>
          <w:p w14:paraId="7F31B17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883,071.33</w:t>
            </w:r>
          </w:p>
        </w:tc>
        <w:tc>
          <w:tcPr>
            <w:tcW w:w="0" w:type="auto"/>
            <w:shd w:val="clear" w:color="auto" w:fill="auto"/>
            <w:vAlign w:val="center"/>
          </w:tcPr>
          <w:p w14:paraId="3073598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537,684.77</w:t>
            </w:r>
          </w:p>
        </w:tc>
        <w:tc>
          <w:tcPr>
            <w:tcW w:w="0" w:type="auto"/>
            <w:shd w:val="clear" w:color="auto" w:fill="auto"/>
            <w:vAlign w:val="center"/>
          </w:tcPr>
          <w:p w14:paraId="543EB51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04B6D2E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74C6D38B"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199,988.78</w:t>
            </w:r>
          </w:p>
        </w:tc>
        <w:tc>
          <w:tcPr>
            <w:tcW w:w="0" w:type="auto"/>
            <w:shd w:val="clear" w:color="auto" w:fill="auto"/>
            <w:vAlign w:val="center"/>
          </w:tcPr>
          <w:p w14:paraId="0AAE689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2,074,008.91</w:t>
            </w:r>
          </w:p>
        </w:tc>
        <w:tc>
          <w:tcPr>
            <w:tcW w:w="0" w:type="auto"/>
            <w:shd w:val="clear" w:color="auto" w:fill="auto"/>
            <w:vAlign w:val="center"/>
          </w:tcPr>
          <w:p w14:paraId="5FEF54A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4,621,348.32</w:t>
            </w:r>
          </w:p>
        </w:tc>
      </w:tr>
      <w:tr w:rsidR="002D0AE7" w14:paraId="69C05C04" w14:textId="77777777">
        <w:trPr>
          <w:jc w:val="center"/>
        </w:trPr>
        <w:tc>
          <w:tcPr>
            <w:tcW w:w="2689" w:type="dxa"/>
            <w:shd w:val="clear" w:color="auto" w:fill="auto"/>
          </w:tcPr>
          <w:p w14:paraId="6BBE9A63"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w:t>
            </w:r>
            <w:r>
              <w:rPr>
                <w:rFonts w:hint="eastAsia"/>
                <w:color w:val="000000" w:themeColor="text1"/>
                <w:sz w:val="21"/>
                <w:szCs w:val="21"/>
              </w:rPr>
              <w:t>2</w:t>
            </w:r>
            <w:r>
              <w:rPr>
                <w:rFonts w:hint="eastAsia"/>
                <w:color w:val="000000" w:themeColor="text1"/>
                <w:sz w:val="21"/>
                <w:szCs w:val="21"/>
              </w:rPr>
              <w:t>）在建工程转入</w:t>
            </w:r>
          </w:p>
        </w:tc>
        <w:tc>
          <w:tcPr>
            <w:tcW w:w="1669" w:type="dxa"/>
            <w:shd w:val="clear" w:color="auto" w:fill="auto"/>
            <w:vAlign w:val="center"/>
          </w:tcPr>
          <w:p w14:paraId="0A35C9D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5,103,236.76</w:t>
            </w:r>
          </w:p>
        </w:tc>
        <w:tc>
          <w:tcPr>
            <w:tcW w:w="0" w:type="auto"/>
            <w:shd w:val="clear" w:color="auto" w:fill="auto"/>
            <w:vAlign w:val="center"/>
          </w:tcPr>
          <w:p w14:paraId="4C8C288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14,667,083.14</w:t>
            </w:r>
          </w:p>
        </w:tc>
        <w:tc>
          <w:tcPr>
            <w:tcW w:w="0" w:type="auto"/>
            <w:shd w:val="clear" w:color="auto" w:fill="auto"/>
            <w:vAlign w:val="center"/>
          </w:tcPr>
          <w:p w14:paraId="37FB6F1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43E20ACB"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51C4D92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07CA7021"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2,096,111.21</w:t>
            </w:r>
          </w:p>
        </w:tc>
        <w:tc>
          <w:tcPr>
            <w:tcW w:w="0" w:type="auto"/>
            <w:shd w:val="clear" w:color="auto" w:fill="auto"/>
            <w:vAlign w:val="center"/>
          </w:tcPr>
          <w:p w14:paraId="7C3C4AB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584,271.37</w:t>
            </w:r>
          </w:p>
        </w:tc>
        <w:tc>
          <w:tcPr>
            <w:tcW w:w="0" w:type="auto"/>
            <w:shd w:val="clear" w:color="auto" w:fill="auto"/>
            <w:vAlign w:val="center"/>
          </w:tcPr>
          <w:p w14:paraId="300C7A66" w14:textId="77777777" w:rsidR="002D0AE7" w:rsidRDefault="00333EBB">
            <w:pPr>
              <w:jc w:val="right"/>
              <w:rPr>
                <w:rFonts w:ascii="Times New Roman" w:hAnsi="Times New Roman" w:cs="Times New Roman"/>
                <w:color w:val="000000"/>
                <w:sz w:val="21"/>
                <w:szCs w:val="21"/>
              </w:rPr>
            </w:pPr>
            <w:r>
              <w:rPr>
                <w:rFonts w:ascii="Times New Roman" w:hAnsi="Times New Roman" w:cs="Times New Roman"/>
                <w:color w:val="000000"/>
                <w:sz w:val="21"/>
                <w:szCs w:val="21"/>
              </w:rPr>
              <w:t>22,450,702.48</w:t>
            </w:r>
          </w:p>
        </w:tc>
      </w:tr>
      <w:tr w:rsidR="002D0AE7" w14:paraId="2FE92DB9" w14:textId="77777777">
        <w:trPr>
          <w:jc w:val="center"/>
        </w:trPr>
        <w:tc>
          <w:tcPr>
            <w:tcW w:w="2689" w:type="dxa"/>
            <w:shd w:val="clear" w:color="auto" w:fill="auto"/>
          </w:tcPr>
          <w:p w14:paraId="1396F1CD"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w:t>
            </w:r>
            <w:r>
              <w:rPr>
                <w:rFonts w:hint="eastAsia"/>
                <w:color w:val="000000" w:themeColor="text1"/>
                <w:sz w:val="21"/>
                <w:szCs w:val="21"/>
              </w:rPr>
              <w:t>3</w:t>
            </w:r>
            <w:r>
              <w:rPr>
                <w:rFonts w:hint="eastAsia"/>
                <w:color w:val="000000" w:themeColor="text1"/>
                <w:sz w:val="21"/>
                <w:szCs w:val="21"/>
              </w:rPr>
              <w:t>）企业合并增加</w:t>
            </w:r>
          </w:p>
        </w:tc>
        <w:tc>
          <w:tcPr>
            <w:tcW w:w="1669" w:type="dxa"/>
            <w:shd w:val="clear" w:color="auto" w:fill="auto"/>
            <w:vAlign w:val="center"/>
          </w:tcPr>
          <w:p w14:paraId="20C711F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100968C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5404922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4E67941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76A84F53"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31F82CB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18D87B91"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440932A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r>
      <w:tr w:rsidR="002D0AE7" w14:paraId="5EF3B93F" w14:textId="77777777">
        <w:trPr>
          <w:jc w:val="center"/>
        </w:trPr>
        <w:tc>
          <w:tcPr>
            <w:tcW w:w="2689" w:type="dxa"/>
            <w:shd w:val="clear" w:color="auto" w:fill="auto"/>
          </w:tcPr>
          <w:p w14:paraId="1F8BF21E" w14:textId="77777777" w:rsidR="002D0AE7" w:rsidRDefault="00333EBB">
            <w:pPr>
              <w:ind w:firstLineChars="300" w:firstLine="630"/>
              <w:rPr>
                <w:rFonts w:hint="eastAsia"/>
                <w:sz w:val="21"/>
                <w:szCs w:val="21"/>
              </w:rPr>
            </w:pPr>
            <w:r>
              <w:rPr>
                <w:rFonts w:hint="eastAsia"/>
                <w:sz w:val="21"/>
                <w:szCs w:val="21"/>
              </w:rPr>
              <w:t>（</w:t>
            </w:r>
            <w:r>
              <w:rPr>
                <w:rFonts w:hint="eastAsia"/>
                <w:sz w:val="21"/>
                <w:szCs w:val="21"/>
              </w:rPr>
              <w:t>4</w:t>
            </w:r>
            <w:r>
              <w:rPr>
                <w:rFonts w:hint="eastAsia"/>
                <w:sz w:val="21"/>
                <w:szCs w:val="21"/>
              </w:rPr>
              <w:t>）外币折算</w:t>
            </w:r>
          </w:p>
        </w:tc>
        <w:tc>
          <w:tcPr>
            <w:tcW w:w="1669" w:type="dxa"/>
            <w:shd w:val="clear" w:color="auto" w:fill="auto"/>
            <w:vAlign w:val="center"/>
          </w:tcPr>
          <w:p w14:paraId="56D42F8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25313F71"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6D5B984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6DECFD6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37C1778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1,658.60</w:t>
            </w:r>
          </w:p>
        </w:tc>
        <w:tc>
          <w:tcPr>
            <w:tcW w:w="0" w:type="auto"/>
            <w:shd w:val="clear" w:color="auto" w:fill="auto"/>
            <w:vAlign w:val="center"/>
          </w:tcPr>
          <w:p w14:paraId="1413A20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503AD50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7C0B777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1,658.60</w:t>
            </w:r>
          </w:p>
        </w:tc>
      </w:tr>
      <w:tr w:rsidR="002D0AE7" w14:paraId="275D8F92" w14:textId="77777777">
        <w:trPr>
          <w:jc w:val="center"/>
        </w:trPr>
        <w:tc>
          <w:tcPr>
            <w:tcW w:w="2689" w:type="dxa"/>
            <w:shd w:val="clear" w:color="auto" w:fill="auto"/>
          </w:tcPr>
          <w:p w14:paraId="471680A0" w14:textId="77777777" w:rsidR="002D0AE7" w:rsidRDefault="00333EBB">
            <w:pPr>
              <w:ind w:firstLineChars="300" w:firstLine="630"/>
              <w:rPr>
                <w:rFonts w:hint="eastAsia"/>
                <w:sz w:val="21"/>
                <w:szCs w:val="21"/>
              </w:rPr>
            </w:pPr>
            <w:r>
              <w:rPr>
                <w:rFonts w:hint="eastAsia"/>
                <w:sz w:val="21"/>
                <w:szCs w:val="21"/>
              </w:rPr>
              <w:t>（</w:t>
            </w:r>
            <w:r>
              <w:rPr>
                <w:rFonts w:hint="eastAsia"/>
                <w:sz w:val="21"/>
                <w:szCs w:val="21"/>
              </w:rPr>
              <w:t>5</w:t>
            </w:r>
            <w:r>
              <w:rPr>
                <w:rFonts w:hint="eastAsia"/>
                <w:sz w:val="21"/>
                <w:szCs w:val="21"/>
              </w:rPr>
              <w:t>）其他</w:t>
            </w:r>
          </w:p>
        </w:tc>
        <w:tc>
          <w:tcPr>
            <w:tcW w:w="1669" w:type="dxa"/>
            <w:shd w:val="clear" w:color="auto" w:fill="auto"/>
            <w:vAlign w:val="center"/>
          </w:tcPr>
          <w:p w14:paraId="455152B1"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31,088,622.59</w:t>
            </w:r>
          </w:p>
        </w:tc>
        <w:tc>
          <w:tcPr>
            <w:tcW w:w="0" w:type="auto"/>
            <w:shd w:val="clear" w:color="auto" w:fill="auto"/>
            <w:vAlign w:val="center"/>
          </w:tcPr>
          <w:p w14:paraId="5BDE1E9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110,377,957.96</w:t>
            </w:r>
          </w:p>
        </w:tc>
        <w:tc>
          <w:tcPr>
            <w:tcW w:w="0" w:type="auto"/>
            <w:shd w:val="clear" w:color="auto" w:fill="auto"/>
            <w:vAlign w:val="center"/>
          </w:tcPr>
          <w:p w14:paraId="7348CCA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4AE083F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54,123.61</w:t>
            </w:r>
          </w:p>
        </w:tc>
        <w:tc>
          <w:tcPr>
            <w:tcW w:w="0" w:type="auto"/>
            <w:shd w:val="clear" w:color="auto" w:fill="auto"/>
            <w:vAlign w:val="center"/>
          </w:tcPr>
          <w:p w14:paraId="2233EF2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280,808.72</w:t>
            </w:r>
          </w:p>
        </w:tc>
        <w:tc>
          <w:tcPr>
            <w:tcW w:w="0" w:type="auto"/>
            <w:shd w:val="clear" w:color="auto" w:fill="auto"/>
            <w:vAlign w:val="center"/>
          </w:tcPr>
          <w:p w14:paraId="3D6A832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7,423,282.32</w:t>
            </w:r>
          </w:p>
        </w:tc>
        <w:tc>
          <w:tcPr>
            <w:tcW w:w="0" w:type="auto"/>
            <w:shd w:val="clear" w:color="auto" w:fill="auto"/>
            <w:vAlign w:val="center"/>
          </w:tcPr>
          <w:p w14:paraId="3A3592A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312,496.95</w:t>
            </w:r>
          </w:p>
        </w:tc>
        <w:tc>
          <w:tcPr>
            <w:tcW w:w="0" w:type="auto"/>
            <w:shd w:val="clear" w:color="auto" w:fill="auto"/>
            <w:vAlign w:val="center"/>
          </w:tcPr>
          <w:p w14:paraId="34471E2E"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149,537,292.15</w:t>
            </w:r>
          </w:p>
        </w:tc>
      </w:tr>
      <w:tr w:rsidR="002D0AE7" w14:paraId="03CC45F4" w14:textId="77777777">
        <w:trPr>
          <w:jc w:val="center"/>
        </w:trPr>
        <w:tc>
          <w:tcPr>
            <w:tcW w:w="2689" w:type="dxa"/>
            <w:shd w:val="clear" w:color="auto" w:fill="auto"/>
          </w:tcPr>
          <w:p w14:paraId="4B59AB1B" w14:textId="77777777" w:rsidR="002D0AE7" w:rsidRDefault="00333EBB">
            <w:pPr>
              <w:ind w:firstLineChars="250" w:firstLine="525"/>
              <w:rPr>
                <w:rFonts w:hint="eastAsia"/>
                <w:color w:val="000000" w:themeColor="text1"/>
                <w:sz w:val="21"/>
                <w:szCs w:val="21"/>
              </w:rPr>
            </w:pPr>
            <w:r>
              <w:rPr>
                <w:rFonts w:hint="eastAsia"/>
                <w:color w:val="000000" w:themeColor="text1"/>
                <w:sz w:val="21"/>
                <w:szCs w:val="21"/>
              </w:rPr>
              <w:t>3.</w:t>
            </w:r>
            <w:r>
              <w:rPr>
                <w:rFonts w:hint="eastAsia"/>
                <w:color w:val="000000" w:themeColor="text1"/>
                <w:sz w:val="21"/>
                <w:szCs w:val="21"/>
              </w:rPr>
              <w:t>本期减少金额</w:t>
            </w:r>
          </w:p>
        </w:tc>
        <w:tc>
          <w:tcPr>
            <w:tcW w:w="1669" w:type="dxa"/>
            <w:shd w:val="clear" w:color="auto" w:fill="auto"/>
            <w:vAlign w:val="center"/>
          </w:tcPr>
          <w:p w14:paraId="4A06073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8,000,787.80</w:t>
            </w:r>
          </w:p>
        </w:tc>
        <w:tc>
          <w:tcPr>
            <w:tcW w:w="0" w:type="auto"/>
            <w:shd w:val="clear" w:color="auto" w:fill="auto"/>
            <w:vAlign w:val="center"/>
          </w:tcPr>
          <w:p w14:paraId="644EE19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145,765,616.45</w:t>
            </w:r>
          </w:p>
        </w:tc>
        <w:tc>
          <w:tcPr>
            <w:tcW w:w="0" w:type="auto"/>
            <w:shd w:val="clear" w:color="auto" w:fill="auto"/>
            <w:vAlign w:val="center"/>
          </w:tcPr>
          <w:p w14:paraId="4130D17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314,283.73</w:t>
            </w:r>
          </w:p>
        </w:tc>
        <w:tc>
          <w:tcPr>
            <w:tcW w:w="0" w:type="auto"/>
            <w:shd w:val="clear" w:color="auto" w:fill="auto"/>
            <w:vAlign w:val="center"/>
          </w:tcPr>
          <w:p w14:paraId="08E1A9B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3,623,095.98</w:t>
            </w:r>
          </w:p>
        </w:tc>
        <w:tc>
          <w:tcPr>
            <w:tcW w:w="0" w:type="auto"/>
            <w:shd w:val="clear" w:color="auto" w:fill="auto"/>
            <w:vAlign w:val="center"/>
          </w:tcPr>
          <w:p w14:paraId="54397EC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230,272.02</w:t>
            </w:r>
          </w:p>
        </w:tc>
        <w:tc>
          <w:tcPr>
            <w:tcW w:w="0" w:type="auto"/>
            <w:shd w:val="clear" w:color="auto" w:fill="auto"/>
            <w:vAlign w:val="center"/>
          </w:tcPr>
          <w:p w14:paraId="3CC10D81"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1,459,192.89</w:t>
            </w:r>
          </w:p>
        </w:tc>
        <w:tc>
          <w:tcPr>
            <w:tcW w:w="0" w:type="auto"/>
            <w:shd w:val="clear" w:color="auto" w:fill="auto"/>
            <w:vAlign w:val="center"/>
          </w:tcPr>
          <w:p w14:paraId="552FE1B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383,363.93</w:t>
            </w:r>
          </w:p>
        </w:tc>
        <w:tc>
          <w:tcPr>
            <w:tcW w:w="0" w:type="auto"/>
            <w:shd w:val="clear" w:color="auto" w:fill="auto"/>
            <w:vAlign w:val="center"/>
          </w:tcPr>
          <w:p w14:paraId="28F2C06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159,776,612.80</w:t>
            </w:r>
          </w:p>
        </w:tc>
      </w:tr>
      <w:tr w:rsidR="002D0AE7" w14:paraId="162A9ECA" w14:textId="77777777">
        <w:trPr>
          <w:jc w:val="center"/>
        </w:trPr>
        <w:tc>
          <w:tcPr>
            <w:tcW w:w="2689" w:type="dxa"/>
            <w:shd w:val="clear" w:color="auto" w:fill="auto"/>
          </w:tcPr>
          <w:p w14:paraId="4EA451E5"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w:t>
            </w:r>
            <w:r>
              <w:rPr>
                <w:rFonts w:hint="eastAsia"/>
                <w:color w:val="000000" w:themeColor="text1"/>
                <w:sz w:val="21"/>
                <w:szCs w:val="21"/>
              </w:rPr>
              <w:t>1</w:t>
            </w:r>
            <w:r>
              <w:rPr>
                <w:rFonts w:hint="eastAsia"/>
                <w:color w:val="000000" w:themeColor="text1"/>
                <w:sz w:val="21"/>
                <w:szCs w:val="21"/>
              </w:rPr>
              <w:t>）处置或报废</w:t>
            </w:r>
          </w:p>
        </w:tc>
        <w:tc>
          <w:tcPr>
            <w:tcW w:w="1669" w:type="dxa"/>
            <w:shd w:val="clear" w:color="auto" w:fill="auto"/>
            <w:vAlign w:val="center"/>
          </w:tcPr>
          <w:p w14:paraId="10E6972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7940BE2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1,350,819.52</w:t>
            </w:r>
          </w:p>
        </w:tc>
        <w:tc>
          <w:tcPr>
            <w:tcW w:w="0" w:type="auto"/>
            <w:shd w:val="clear" w:color="auto" w:fill="auto"/>
            <w:vAlign w:val="center"/>
          </w:tcPr>
          <w:p w14:paraId="43CADC7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314,283.73</w:t>
            </w:r>
          </w:p>
        </w:tc>
        <w:tc>
          <w:tcPr>
            <w:tcW w:w="0" w:type="auto"/>
            <w:shd w:val="clear" w:color="auto" w:fill="auto"/>
            <w:vAlign w:val="center"/>
          </w:tcPr>
          <w:p w14:paraId="5878B16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3,623,095.98</w:t>
            </w:r>
          </w:p>
        </w:tc>
        <w:tc>
          <w:tcPr>
            <w:tcW w:w="0" w:type="auto"/>
            <w:shd w:val="clear" w:color="auto" w:fill="auto"/>
            <w:vAlign w:val="center"/>
          </w:tcPr>
          <w:p w14:paraId="293A6CA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220,587.95</w:t>
            </w:r>
          </w:p>
        </w:tc>
        <w:tc>
          <w:tcPr>
            <w:tcW w:w="0" w:type="auto"/>
            <w:shd w:val="clear" w:color="auto" w:fill="auto"/>
            <w:vAlign w:val="center"/>
          </w:tcPr>
          <w:p w14:paraId="4167DB6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4859AF6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70,866.98</w:t>
            </w:r>
          </w:p>
        </w:tc>
        <w:tc>
          <w:tcPr>
            <w:tcW w:w="0" w:type="auto"/>
            <w:shd w:val="clear" w:color="auto" w:fill="auto"/>
            <w:vAlign w:val="center"/>
          </w:tcPr>
          <w:p w14:paraId="33A9DA5B"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5,579,654.16</w:t>
            </w:r>
          </w:p>
        </w:tc>
      </w:tr>
      <w:tr w:rsidR="002D0AE7" w14:paraId="64B8F2B2" w14:textId="77777777">
        <w:trPr>
          <w:jc w:val="center"/>
        </w:trPr>
        <w:tc>
          <w:tcPr>
            <w:tcW w:w="2689" w:type="dxa"/>
            <w:shd w:val="clear" w:color="auto" w:fill="auto"/>
            <w:vAlign w:val="center"/>
          </w:tcPr>
          <w:p w14:paraId="7C1A7B07" w14:textId="77777777" w:rsidR="002D0AE7" w:rsidRDefault="00333EBB">
            <w:pPr>
              <w:ind w:firstLineChars="300" w:firstLine="630"/>
              <w:rPr>
                <w:rFonts w:hint="eastAsia"/>
                <w:sz w:val="21"/>
                <w:szCs w:val="21"/>
              </w:rPr>
            </w:pPr>
            <w:r>
              <w:rPr>
                <w:rFonts w:hint="eastAsia"/>
                <w:sz w:val="21"/>
                <w:szCs w:val="21"/>
              </w:rPr>
              <w:t>（</w:t>
            </w:r>
            <w:r>
              <w:rPr>
                <w:sz w:val="21"/>
                <w:szCs w:val="21"/>
              </w:rPr>
              <w:t>2</w:t>
            </w:r>
            <w:r>
              <w:rPr>
                <w:sz w:val="21"/>
                <w:szCs w:val="21"/>
              </w:rPr>
              <w:t>）转入在建工程</w:t>
            </w:r>
          </w:p>
        </w:tc>
        <w:tc>
          <w:tcPr>
            <w:tcW w:w="1669" w:type="dxa"/>
            <w:shd w:val="clear" w:color="auto" w:fill="auto"/>
            <w:vAlign w:val="center"/>
          </w:tcPr>
          <w:p w14:paraId="1EEEBEF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4,659,666.49</w:t>
            </w:r>
          </w:p>
        </w:tc>
        <w:tc>
          <w:tcPr>
            <w:tcW w:w="0" w:type="auto"/>
            <w:shd w:val="clear" w:color="auto" w:fill="auto"/>
            <w:vAlign w:val="center"/>
          </w:tcPr>
          <w:p w14:paraId="4820FAA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343C81E1"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104F6AD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51C23BE7"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2380F48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25325A5B"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17C1111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4,659,666.49</w:t>
            </w:r>
          </w:p>
        </w:tc>
      </w:tr>
      <w:tr w:rsidR="002D0AE7" w14:paraId="19C173D7" w14:textId="77777777">
        <w:trPr>
          <w:jc w:val="center"/>
        </w:trPr>
        <w:tc>
          <w:tcPr>
            <w:tcW w:w="2689" w:type="dxa"/>
            <w:shd w:val="clear" w:color="auto" w:fill="auto"/>
            <w:vAlign w:val="center"/>
          </w:tcPr>
          <w:p w14:paraId="26438CFA" w14:textId="77777777" w:rsidR="002D0AE7" w:rsidRDefault="00333EBB">
            <w:pPr>
              <w:ind w:firstLineChars="300" w:firstLine="630"/>
              <w:rPr>
                <w:rFonts w:hint="eastAsia"/>
                <w:sz w:val="21"/>
                <w:szCs w:val="21"/>
              </w:rPr>
            </w:pPr>
            <w:r>
              <w:rPr>
                <w:rFonts w:hint="eastAsia"/>
                <w:sz w:val="21"/>
                <w:szCs w:val="21"/>
              </w:rPr>
              <w:t>（</w:t>
            </w:r>
            <w:r>
              <w:rPr>
                <w:sz w:val="21"/>
                <w:szCs w:val="21"/>
              </w:rPr>
              <w:t>3</w:t>
            </w:r>
            <w:r>
              <w:rPr>
                <w:sz w:val="21"/>
                <w:szCs w:val="21"/>
              </w:rPr>
              <w:t>）外币折算</w:t>
            </w:r>
            <w:r>
              <w:rPr>
                <w:rFonts w:hint="eastAsia"/>
                <w:sz w:val="21"/>
                <w:szCs w:val="21"/>
              </w:rPr>
              <w:t xml:space="preserve">　</w:t>
            </w:r>
          </w:p>
        </w:tc>
        <w:tc>
          <w:tcPr>
            <w:tcW w:w="1669" w:type="dxa"/>
            <w:shd w:val="clear" w:color="auto" w:fill="auto"/>
            <w:vAlign w:val="center"/>
          </w:tcPr>
          <w:p w14:paraId="0884256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509B4D9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70FD432B"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3F06BF3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00E328F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25A6EF6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103B4FA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4E6BD46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r>
      <w:tr w:rsidR="002D0AE7" w14:paraId="1897B202" w14:textId="77777777">
        <w:trPr>
          <w:jc w:val="center"/>
        </w:trPr>
        <w:tc>
          <w:tcPr>
            <w:tcW w:w="2689" w:type="dxa"/>
            <w:shd w:val="clear" w:color="auto" w:fill="auto"/>
            <w:vAlign w:val="center"/>
          </w:tcPr>
          <w:p w14:paraId="2D85C23E" w14:textId="77777777" w:rsidR="002D0AE7" w:rsidRDefault="00333EBB">
            <w:pPr>
              <w:ind w:firstLineChars="300" w:firstLine="630"/>
              <w:rPr>
                <w:rFonts w:hint="eastAsia"/>
                <w:sz w:val="21"/>
                <w:szCs w:val="21"/>
              </w:rPr>
            </w:pPr>
            <w:r>
              <w:rPr>
                <w:rFonts w:hint="eastAsia"/>
                <w:sz w:val="21"/>
                <w:szCs w:val="21"/>
              </w:rPr>
              <w:t>（</w:t>
            </w:r>
            <w:r>
              <w:rPr>
                <w:sz w:val="21"/>
                <w:szCs w:val="21"/>
              </w:rPr>
              <w:t>4</w:t>
            </w:r>
            <w:r>
              <w:rPr>
                <w:sz w:val="21"/>
                <w:szCs w:val="21"/>
              </w:rPr>
              <w:t xml:space="preserve">）其他　</w:t>
            </w:r>
          </w:p>
        </w:tc>
        <w:tc>
          <w:tcPr>
            <w:tcW w:w="1669" w:type="dxa"/>
            <w:shd w:val="clear" w:color="auto" w:fill="auto"/>
            <w:vAlign w:val="center"/>
          </w:tcPr>
          <w:p w14:paraId="7F7994C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3,341,121.31</w:t>
            </w:r>
          </w:p>
        </w:tc>
        <w:tc>
          <w:tcPr>
            <w:tcW w:w="0" w:type="auto"/>
            <w:shd w:val="clear" w:color="auto" w:fill="auto"/>
            <w:vAlign w:val="center"/>
          </w:tcPr>
          <w:p w14:paraId="764D380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144,414,796.93</w:t>
            </w:r>
          </w:p>
        </w:tc>
        <w:tc>
          <w:tcPr>
            <w:tcW w:w="0" w:type="auto"/>
            <w:shd w:val="clear" w:color="auto" w:fill="auto"/>
            <w:vAlign w:val="center"/>
          </w:tcPr>
          <w:p w14:paraId="0B6A9B0B"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13CAA14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5F9A080B"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9,684.07</w:t>
            </w:r>
          </w:p>
        </w:tc>
        <w:tc>
          <w:tcPr>
            <w:tcW w:w="0" w:type="auto"/>
            <w:shd w:val="clear" w:color="auto" w:fill="auto"/>
            <w:vAlign w:val="center"/>
          </w:tcPr>
          <w:p w14:paraId="3333736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1,459,192.89</w:t>
            </w:r>
          </w:p>
        </w:tc>
        <w:tc>
          <w:tcPr>
            <w:tcW w:w="0" w:type="auto"/>
            <w:shd w:val="clear" w:color="auto" w:fill="auto"/>
            <w:vAlign w:val="center"/>
          </w:tcPr>
          <w:p w14:paraId="57DDFA7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312,496.95</w:t>
            </w:r>
          </w:p>
        </w:tc>
        <w:tc>
          <w:tcPr>
            <w:tcW w:w="0" w:type="auto"/>
            <w:shd w:val="clear" w:color="auto" w:fill="auto"/>
            <w:vAlign w:val="center"/>
          </w:tcPr>
          <w:p w14:paraId="79DFC50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149,537,292.15</w:t>
            </w:r>
          </w:p>
        </w:tc>
      </w:tr>
      <w:tr w:rsidR="002D0AE7" w14:paraId="73E189EC" w14:textId="77777777">
        <w:trPr>
          <w:jc w:val="center"/>
        </w:trPr>
        <w:tc>
          <w:tcPr>
            <w:tcW w:w="2689" w:type="dxa"/>
            <w:shd w:val="clear" w:color="auto" w:fill="auto"/>
          </w:tcPr>
          <w:p w14:paraId="0E94BD63"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4.</w:t>
            </w:r>
            <w:r>
              <w:rPr>
                <w:rFonts w:hint="eastAsia"/>
                <w:color w:val="000000" w:themeColor="text1"/>
                <w:sz w:val="21"/>
                <w:szCs w:val="21"/>
              </w:rPr>
              <w:t>期末余额</w:t>
            </w:r>
          </w:p>
        </w:tc>
        <w:tc>
          <w:tcPr>
            <w:tcW w:w="1669" w:type="dxa"/>
            <w:shd w:val="clear" w:color="auto" w:fill="auto"/>
            <w:vAlign w:val="center"/>
          </w:tcPr>
          <w:p w14:paraId="7B323D7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2,314,863,546.34</w:t>
            </w:r>
          </w:p>
        </w:tc>
        <w:tc>
          <w:tcPr>
            <w:tcW w:w="0" w:type="auto"/>
            <w:shd w:val="clear" w:color="auto" w:fill="auto"/>
            <w:vAlign w:val="center"/>
          </w:tcPr>
          <w:p w14:paraId="516C77B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2,408,572,361.36</w:t>
            </w:r>
          </w:p>
        </w:tc>
        <w:tc>
          <w:tcPr>
            <w:tcW w:w="0" w:type="auto"/>
            <w:shd w:val="clear" w:color="auto" w:fill="auto"/>
            <w:vAlign w:val="center"/>
          </w:tcPr>
          <w:p w14:paraId="4939629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12,213,180.71</w:t>
            </w:r>
          </w:p>
        </w:tc>
        <w:tc>
          <w:tcPr>
            <w:tcW w:w="0" w:type="auto"/>
            <w:shd w:val="clear" w:color="auto" w:fill="auto"/>
            <w:vAlign w:val="center"/>
          </w:tcPr>
          <w:p w14:paraId="39886D7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124,668,437.59</w:t>
            </w:r>
          </w:p>
        </w:tc>
        <w:tc>
          <w:tcPr>
            <w:tcW w:w="0" w:type="auto"/>
            <w:shd w:val="clear" w:color="auto" w:fill="auto"/>
            <w:vAlign w:val="center"/>
          </w:tcPr>
          <w:p w14:paraId="41DD091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20,159,757.28</w:t>
            </w:r>
          </w:p>
        </w:tc>
        <w:tc>
          <w:tcPr>
            <w:tcW w:w="0" w:type="auto"/>
            <w:shd w:val="clear" w:color="auto" w:fill="auto"/>
            <w:vAlign w:val="center"/>
          </w:tcPr>
          <w:p w14:paraId="57B25F11"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32,124,016.57</w:t>
            </w:r>
          </w:p>
        </w:tc>
        <w:tc>
          <w:tcPr>
            <w:tcW w:w="0" w:type="auto"/>
            <w:shd w:val="clear" w:color="auto" w:fill="auto"/>
            <w:vAlign w:val="center"/>
          </w:tcPr>
          <w:p w14:paraId="70F5F35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14,783,603.80</w:t>
            </w:r>
          </w:p>
        </w:tc>
        <w:tc>
          <w:tcPr>
            <w:tcW w:w="0" w:type="auto"/>
            <w:shd w:val="clear" w:color="auto" w:fill="auto"/>
            <w:vAlign w:val="center"/>
          </w:tcPr>
          <w:p w14:paraId="2685BE4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4,927,384,903.65</w:t>
            </w:r>
          </w:p>
        </w:tc>
      </w:tr>
      <w:tr w:rsidR="002D0AE7" w14:paraId="5F0C4008" w14:textId="77777777">
        <w:trPr>
          <w:jc w:val="center"/>
        </w:trPr>
        <w:sdt>
          <w:sdtPr>
            <w:rPr>
              <w:color w:val="000000" w:themeColor="text1"/>
              <w:sz w:val="21"/>
              <w:szCs w:val="21"/>
            </w:rPr>
            <w:tag w:val="_PLD_3b9a984e6e834331844252acd1c6a321"/>
            <w:id w:val="-314417765"/>
          </w:sdtPr>
          <w:sdtEndPr/>
          <w:sdtContent>
            <w:tc>
              <w:tcPr>
                <w:tcW w:w="13863" w:type="dxa"/>
                <w:gridSpan w:val="9"/>
                <w:shd w:val="clear" w:color="auto" w:fill="auto"/>
              </w:tcPr>
              <w:p w14:paraId="2E7524A9" w14:textId="77777777" w:rsidR="002D0AE7" w:rsidRDefault="00333EBB">
                <w:pPr>
                  <w:rPr>
                    <w:rFonts w:hint="eastAsia"/>
                    <w:color w:val="000000" w:themeColor="text1"/>
                    <w:sz w:val="21"/>
                    <w:szCs w:val="21"/>
                  </w:rPr>
                </w:pPr>
                <w:r>
                  <w:rPr>
                    <w:rFonts w:hint="eastAsia"/>
                    <w:color w:val="000000" w:themeColor="text1"/>
                    <w:sz w:val="21"/>
                    <w:szCs w:val="21"/>
                  </w:rPr>
                  <w:t>二、累计折旧</w:t>
                </w:r>
              </w:p>
            </w:tc>
          </w:sdtContent>
        </w:sdt>
      </w:tr>
      <w:tr w:rsidR="002D0AE7" w14:paraId="6D24E8E3" w14:textId="77777777">
        <w:trPr>
          <w:jc w:val="center"/>
        </w:trPr>
        <w:tc>
          <w:tcPr>
            <w:tcW w:w="2689" w:type="dxa"/>
            <w:shd w:val="clear" w:color="auto" w:fill="auto"/>
          </w:tcPr>
          <w:p w14:paraId="74016E89" w14:textId="77777777" w:rsidR="002D0AE7" w:rsidRDefault="00333EBB">
            <w:pPr>
              <w:ind w:firstLineChars="200" w:firstLine="420"/>
              <w:rPr>
                <w:rFonts w:hint="eastAsia"/>
                <w:color w:val="000000" w:themeColor="text1"/>
                <w:sz w:val="21"/>
                <w:szCs w:val="21"/>
              </w:rPr>
            </w:pPr>
            <w:r>
              <w:rPr>
                <w:color w:val="000000" w:themeColor="text1"/>
                <w:sz w:val="21"/>
                <w:szCs w:val="21"/>
              </w:rPr>
              <w:t>1.</w:t>
            </w:r>
            <w:r>
              <w:rPr>
                <w:rFonts w:hint="eastAsia"/>
                <w:color w:val="000000" w:themeColor="text1"/>
                <w:sz w:val="21"/>
                <w:szCs w:val="21"/>
              </w:rPr>
              <w:t>期初余额</w:t>
            </w:r>
          </w:p>
        </w:tc>
        <w:tc>
          <w:tcPr>
            <w:tcW w:w="1669" w:type="dxa"/>
            <w:shd w:val="clear" w:color="auto" w:fill="auto"/>
            <w:vAlign w:val="center"/>
          </w:tcPr>
          <w:p w14:paraId="75FA72BB"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576,598,186.39</w:t>
            </w:r>
          </w:p>
        </w:tc>
        <w:tc>
          <w:tcPr>
            <w:tcW w:w="0" w:type="auto"/>
            <w:shd w:val="clear" w:color="auto" w:fill="auto"/>
            <w:vAlign w:val="center"/>
          </w:tcPr>
          <w:p w14:paraId="24105E9B"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1,118,819,356.88</w:t>
            </w:r>
          </w:p>
        </w:tc>
        <w:tc>
          <w:tcPr>
            <w:tcW w:w="0" w:type="auto"/>
            <w:shd w:val="clear" w:color="auto" w:fill="auto"/>
            <w:vAlign w:val="center"/>
          </w:tcPr>
          <w:p w14:paraId="230A1EB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7,779,958.45</w:t>
            </w:r>
          </w:p>
        </w:tc>
        <w:tc>
          <w:tcPr>
            <w:tcW w:w="0" w:type="auto"/>
            <w:shd w:val="clear" w:color="auto" w:fill="auto"/>
            <w:vAlign w:val="center"/>
          </w:tcPr>
          <w:p w14:paraId="564984C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64,503,273.57</w:t>
            </w:r>
          </w:p>
        </w:tc>
        <w:tc>
          <w:tcPr>
            <w:tcW w:w="0" w:type="auto"/>
            <w:shd w:val="clear" w:color="auto" w:fill="auto"/>
            <w:vAlign w:val="center"/>
          </w:tcPr>
          <w:p w14:paraId="5D78DEB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12,562,920.75</w:t>
            </w:r>
          </w:p>
        </w:tc>
        <w:tc>
          <w:tcPr>
            <w:tcW w:w="0" w:type="auto"/>
            <w:shd w:val="clear" w:color="auto" w:fill="auto"/>
            <w:vAlign w:val="center"/>
          </w:tcPr>
          <w:p w14:paraId="0105642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8,234,756.11</w:t>
            </w:r>
          </w:p>
        </w:tc>
        <w:tc>
          <w:tcPr>
            <w:tcW w:w="0" w:type="auto"/>
            <w:shd w:val="clear" w:color="auto" w:fill="auto"/>
            <w:vAlign w:val="center"/>
          </w:tcPr>
          <w:p w14:paraId="46DF28AB"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7,721,789.76</w:t>
            </w:r>
          </w:p>
        </w:tc>
        <w:tc>
          <w:tcPr>
            <w:tcW w:w="0" w:type="auto"/>
            <w:shd w:val="clear" w:color="auto" w:fill="auto"/>
            <w:vAlign w:val="center"/>
          </w:tcPr>
          <w:p w14:paraId="7A280A6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1,796,220,241.91</w:t>
            </w:r>
          </w:p>
        </w:tc>
      </w:tr>
      <w:tr w:rsidR="002D0AE7" w14:paraId="079A698B" w14:textId="77777777">
        <w:trPr>
          <w:jc w:val="center"/>
        </w:trPr>
        <w:tc>
          <w:tcPr>
            <w:tcW w:w="2689" w:type="dxa"/>
            <w:shd w:val="clear" w:color="auto" w:fill="auto"/>
          </w:tcPr>
          <w:p w14:paraId="3C073EE2" w14:textId="77777777" w:rsidR="002D0AE7" w:rsidRDefault="00333EBB">
            <w:pPr>
              <w:ind w:firstLineChars="200" w:firstLine="420"/>
              <w:rPr>
                <w:rFonts w:hint="eastAsia"/>
                <w:color w:val="000000" w:themeColor="text1"/>
                <w:sz w:val="21"/>
                <w:szCs w:val="21"/>
              </w:rPr>
            </w:pPr>
            <w:r>
              <w:rPr>
                <w:color w:val="000000" w:themeColor="text1"/>
                <w:sz w:val="21"/>
                <w:szCs w:val="21"/>
              </w:rPr>
              <w:t>2.</w:t>
            </w:r>
            <w:r>
              <w:rPr>
                <w:rFonts w:hint="eastAsia"/>
                <w:color w:val="000000" w:themeColor="text1"/>
                <w:sz w:val="21"/>
                <w:szCs w:val="21"/>
              </w:rPr>
              <w:t>本期增加金额</w:t>
            </w:r>
          </w:p>
        </w:tc>
        <w:tc>
          <w:tcPr>
            <w:tcW w:w="1669" w:type="dxa"/>
            <w:shd w:val="clear" w:color="auto" w:fill="auto"/>
            <w:vAlign w:val="center"/>
          </w:tcPr>
          <w:p w14:paraId="7D0425A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38,064,431.03</w:t>
            </w:r>
          </w:p>
        </w:tc>
        <w:tc>
          <w:tcPr>
            <w:tcW w:w="0" w:type="auto"/>
            <w:shd w:val="clear" w:color="auto" w:fill="auto"/>
            <w:vAlign w:val="center"/>
          </w:tcPr>
          <w:p w14:paraId="2325C22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116,949,363.64</w:t>
            </w:r>
          </w:p>
        </w:tc>
        <w:tc>
          <w:tcPr>
            <w:tcW w:w="0" w:type="auto"/>
            <w:shd w:val="clear" w:color="auto" w:fill="auto"/>
            <w:vAlign w:val="center"/>
          </w:tcPr>
          <w:p w14:paraId="7A9517AB"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440,919.62</w:t>
            </w:r>
          </w:p>
        </w:tc>
        <w:tc>
          <w:tcPr>
            <w:tcW w:w="0" w:type="auto"/>
            <w:shd w:val="clear" w:color="auto" w:fill="auto"/>
            <w:vAlign w:val="center"/>
          </w:tcPr>
          <w:p w14:paraId="44B9F75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4,964,626.17</w:t>
            </w:r>
          </w:p>
        </w:tc>
        <w:tc>
          <w:tcPr>
            <w:tcW w:w="0" w:type="auto"/>
            <w:shd w:val="clear" w:color="auto" w:fill="auto"/>
            <w:vAlign w:val="center"/>
          </w:tcPr>
          <w:p w14:paraId="2D5317D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1,233,371.17</w:t>
            </w:r>
          </w:p>
        </w:tc>
        <w:tc>
          <w:tcPr>
            <w:tcW w:w="0" w:type="auto"/>
            <w:shd w:val="clear" w:color="auto" w:fill="auto"/>
            <w:vAlign w:val="center"/>
          </w:tcPr>
          <w:p w14:paraId="67C5FB93"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5,466,091.10</w:t>
            </w:r>
          </w:p>
        </w:tc>
        <w:tc>
          <w:tcPr>
            <w:tcW w:w="0" w:type="auto"/>
            <w:shd w:val="clear" w:color="auto" w:fill="auto"/>
            <w:vAlign w:val="center"/>
          </w:tcPr>
          <w:p w14:paraId="3151354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876,869.91</w:t>
            </w:r>
          </w:p>
        </w:tc>
        <w:tc>
          <w:tcPr>
            <w:tcW w:w="0" w:type="auto"/>
            <w:shd w:val="clear" w:color="auto" w:fill="auto"/>
            <w:vAlign w:val="center"/>
          </w:tcPr>
          <w:p w14:paraId="1374EC5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167,995,672.64</w:t>
            </w:r>
          </w:p>
        </w:tc>
      </w:tr>
      <w:tr w:rsidR="002D0AE7" w14:paraId="0B5D5D7E" w14:textId="77777777">
        <w:trPr>
          <w:jc w:val="center"/>
        </w:trPr>
        <w:tc>
          <w:tcPr>
            <w:tcW w:w="2689" w:type="dxa"/>
            <w:shd w:val="clear" w:color="auto" w:fill="auto"/>
          </w:tcPr>
          <w:p w14:paraId="49CFC0FA"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w:t>
            </w:r>
            <w:r>
              <w:rPr>
                <w:rFonts w:hint="eastAsia"/>
                <w:color w:val="000000" w:themeColor="text1"/>
                <w:sz w:val="21"/>
                <w:szCs w:val="21"/>
              </w:rPr>
              <w:t>1</w:t>
            </w:r>
            <w:r>
              <w:rPr>
                <w:rFonts w:hint="eastAsia"/>
                <w:color w:val="000000" w:themeColor="text1"/>
                <w:sz w:val="21"/>
                <w:szCs w:val="21"/>
              </w:rPr>
              <w:t>）计提</w:t>
            </w:r>
          </w:p>
        </w:tc>
        <w:tc>
          <w:tcPr>
            <w:tcW w:w="1669" w:type="dxa"/>
            <w:shd w:val="clear" w:color="auto" w:fill="auto"/>
            <w:vAlign w:val="center"/>
          </w:tcPr>
          <w:p w14:paraId="422B1B9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29,804,864.68</w:t>
            </w:r>
          </w:p>
        </w:tc>
        <w:tc>
          <w:tcPr>
            <w:tcW w:w="0" w:type="auto"/>
            <w:shd w:val="clear" w:color="auto" w:fill="auto"/>
            <w:vAlign w:val="center"/>
          </w:tcPr>
          <w:p w14:paraId="0ACEA23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82,124,999.90</w:t>
            </w:r>
          </w:p>
        </w:tc>
        <w:tc>
          <w:tcPr>
            <w:tcW w:w="0" w:type="auto"/>
            <w:shd w:val="clear" w:color="auto" w:fill="auto"/>
            <w:vAlign w:val="center"/>
          </w:tcPr>
          <w:p w14:paraId="3430CA9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440,919.62</w:t>
            </w:r>
          </w:p>
        </w:tc>
        <w:tc>
          <w:tcPr>
            <w:tcW w:w="0" w:type="auto"/>
            <w:shd w:val="clear" w:color="auto" w:fill="auto"/>
            <w:vAlign w:val="center"/>
          </w:tcPr>
          <w:p w14:paraId="4ED95481"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4,945,770.82</w:t>
            </w:r>
          </w:p>
        </w:tc>
        <w:tc>
          <w:tcPr>
            <w:tcW w:w="0" w:type="auto"/>
            <w:shd w:val="clear" w:color="auto" w:fill="auto"/>
            <w:vAlign w:val="center"/>
          </w:tcPr>
          <w:p w14:paraId="028BBB8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1,149,982.99</w:t>
            </w:r>
          </w:p>
        </w:tc>
        <w:tc>
          <w:tcPr>
            <w:tcW w:w="0" w:type="auto"/>
            <w:shd w:val="clear" w:color="auto" w:fill="auto"/>
            <w:vAlign w:val="center"/>
          </w:tcPr>
          <w:p w14:paraId="45A6A5C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3,497,524.83</w:t>
            </w:r>
          </w:p>
        </w:tc>
        <w:tc>
          <w:tcPr>
            <w:tcW w:w="0" w:type="auto"/>
            <w:shd w:val="clear" w:color="auto" w:fill="auto"/>
            <w:vAlign w:val="center"/>
          </w:tcPr>
          <w:p w14:paraId="25338F4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836,596.20</w:t>
            </w:r>
          </w:p>
        </w:tc>
        <w:tc>
          <w:tcPr>
            <w:tcW w:w="0" w:type="auto"/>
            <w:shd w:val="clear" w:color="auto" w:fill="auto"/>
            <w:vAlign w:val="center"/>
          </w:tcPr>
          <w:p w14:paraId="460D680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122,800,659.04</w:t>
            </w:r>
          </w:p>
        </w:tc>
      </w:tr>
      <w:tr w:rsidR="002D0AE7" w14:paraId="731D5E62" w14:textId="77777777">
        <w:trPr>
          <w:jc w:val="center"/>
        </w:trPr>
        <w:tc>
          <w:tcPr>
            <w:tcW w:w="2689" w:type="dxa"/>
            <w:shd w:val="clear" w:color="auto" w:fill="auto"/>
          </w:tcPr>
          <w:p w14:paraId="17D8690B" w14:textId="77777777" w:rsidR="002D0AE7" w:rsidRDefault="00333EBB">
            <w:pPr>
              <w:ind w:firstLineChars="300" w:firstLine="630"/>
              <w:rPr>
                <w:rFonts w:hint="eastAsia"/>
                <w:sz w:val="21"/>
                <w:szCs w:val="21"/>
              </w:rPr>
            </w:pPr>
            <w:r>
              <w:rPr>
                <w:rFonts w:hint="eastAsia"/>
                <w:sz w:val="21"/>
                <w:szCs w:val="21"/>
              </w:rPr>
              <w:t>（</w:t>
            </w:r>
            <w:r>
              <w:rPr>
                <w:rFonts w:hint="eastAsia"/>
                <w:sz w:val="21"/>
                <w:szCs w:val="21"/>
              </w:rPr>
              <w:t>2</w:t>
            </w:r>
            <w:r>
              <w:rPr>
                <w:rFonts w:hint="eastAsia"/>
                <w:sz w:val="21"/>
                <w:szCs w:val="21"/>
              </w:rPr>
              <w:t>）外币折算</w:t>
            </w:r>
          </w:p>
        </w:tc>
        <w:tc>
          <w:tcPr>
            <w:tcW w:w="1669" w:type="dxa"/>
            <w:shd w:val="clear" w:color="auto" w:fill="auto"/>
            <w:vAlign w:val="center"/>
          </w:tcPr>
          <w:p w14:paraId="64427C4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65A75D61"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60B6300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485E261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5EE7D8C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831.24</w:t>
            </w:r>
          </w:p>
        </w:tc>
        <w:tc>
          <w:tcPr>
            <w:tcW w:w="0" w:type="auto"/>
            <w:shd w:val="clear" w:color="auto" w:fill="auto"/>
            <w:vAlign w:val="center"/>
          </w:tcPr>
          <w:p w14:paraId="7F7452B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2C96ED9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35254D9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831.24</w:t>
            </w:r>
          </w:p>
        </w:tc>
      </w:tr>
      <w:tr w:rsidR="002D0AE7" w14:paraId="5B37D5ED" w14:textId="77777777">
        <w:trPr>
          <w:jc w:val="center"/>
        </w:trPr>
        <w:tc>
          <w:tcPr>
            <w:tcW w:w="2689" w:type="dxa"/>
            <w:shd w:val="clear" w:color="auto" w:fill="auto"/>
          </w:tcPr>
          <w:p w14:paraId="48BAC3F9" w14:textId="77777777" w:rsidR="002D0AE7" w:rsidRDefault="00333EBB">
            <w:pPr>
              <w:ind w:firstLineChars="300" w:firstLine="630"/>
              <w:rPr>
                <w:rFonts w:hint="eastAsia"/>
                <w:sz w:val="21"/>
                <w:szCs w:val="21"/>
              </w:rPr>
            </w:pPr>
            <w:r>
              <w:rPr>
                <w:rFonts w:hint="eastAsia"/>
                <w:sz w:val="21"/>
                <w:szCs w:val="21"/>
              </w:rPr>
              <w:t>（</w:t>
            </w:r>
            <w:r>
              <w:rPr>
                <w:rFonts w:hint="eastAsia"/>
                <w:sz w:val="21"/>
                <w:szCs w:val="21"/>
              </w:rPr>
              <w:t>3</w:t>
            </w:r>
            <w:r>
              <w:rPr>
                <w:rFonts w:hint="eastAsia"/>
                <w:sz w:val="21"/>
                <w:szCs w:val="21"/>
              </w:rPr>
              <w:t>）其他</w:t>
            </w:r>
          </w:p>
        </w:tc>
        <w:tc>
          <w:tcPr>
            <w:tcW w:w="1669" w:type="dxa"/>
            <w:shd w:val="clear" w:color="auto" w:fill="auto"/>
            <w:vAlign w:val="center"/>
          </w:tcPr>
          <w:p w14:paraId="3FFCF05D"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8,259,566.35</w:t>
            </w:r>
          </w:p>
        </w:tc>
        <w:tc>
          <w:tcPr>
            <w:tcW w:w="0" w:type="auto"/>
            <w:shd w:val="clear" w:color="auto" w:fill="auto"/>
            <w:vAlign w:val="center"/>
          </w:tcPr>
          <w:p w14:paraId="659DEF8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34,824,363.74</w:t>
            </w:r>
          </w:p>
        </w:tc>
        <w:tc>
          <w:tcPr>
            <w:tcW w:w="0" w:type="auto"/>
            <w:shd w:val="clear" w:color="auto" w:fill="auto"/>
            <w:vAlign w:val="center"/>
          </w:tcPr>
          <w:p w14:paraId="76FA3241"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7766D44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18,855.35</w:t>
            </w:r>
          </w:p>
        </w:tc>
        <w:tc>
          <w:tcPr>
            <w:tcW w:w="0" w:type="auto"/>
            <w:shd w:val="clear" w:color="auto" w:fill="auto"/>
            <w:vAlign w:val="center"/>
          </w:tcPr>
          <w:p w14:paraId="3EE9D08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82,556.94</w:t>
            </w:r>
          </w:p>
        </w:tc>
        <w:tc>
          <w:tcPr>
            <w:tcW w:w="0" w:type="auto"/>
            <w:shd w:val="clear" w:color="auto" w:fill="auto"/>
            <w:vAlign w:val="center"/>
          </w:tcPr>
          <w:p w14:paraId="2AF0A75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1,968,566.27</w:t>
            </w:r>
          </w:p>
        </w:tc>
        <w:tc>
          <w:tcPr>
            <w:tcW w:w="0" w:type="auto"/>
            <w:shd w:val="clear" w:color="auto" w:fill="auto"/>
            <w:vAlign w:val="center"/>
          </w:tcPr>
          <w:p w14:paraId="6D4FF96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40,273.71</w:t>
            </w:r>
          </w:p>
        </w:tc>
        <w:tc>
          <w:tcPr>
            <w:tcW w:w="0" w:type="auto"/>
            <w:shd w:val="clear" w:color="auto" w:fill="auto"/>
            <w:vAlign w:val="center"/>
          </w:tcPr>
          <w:p w14:paraId="30201E51"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45,194,182.36</w:t>
            </w:r>
          </w:p>
        </w:tc>
      </w:tr>
      <w:tr w:rsidR="002D0AE7" w14:paraId="5C84EDD9" w14:textId="77777777">
        <w:trPr>
          <w:jc w:val="center"/>
        </w:trPr>
        <w:tc>
          <w:tcPr>
            <w:tcW w:w="2689" w:type="dxa"/>
            <w:shd w:val="clear" w:color="auto" w:fill="auto"/>
          </w:tcPr>
          <w:p w14:paraId="0816D066"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3.</w:t>
            </w:r>
            <w:r>
              <w:rPr>
                <w:rFonts w:hint="eastAsia"/>
                <w:color w:val="000000" w:themeColor="text1"/>
                <w:sz w:val="21"/>
                <w:szCs w:val="21"/>
              </w:rPr>
              <w:t>本期减少金额</w:t>
            </w:r>
          </w:p>
        </w:tc>
        <w:tc>
          <w:tcPr>
            <w:tcW w:w="1669" w:type="dxa"/>
            <w:shd w:val="clear" w:color="auto" w:fill="auto"/>
            <w:vAlign w:val="center"/>
          </w:tcPr>
          <w:p w14:paraId="6E4590B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1,123,254.14</w:t>
            </w:r>
          </w:p>
        </w:tc>
        <w:tc>
          <w:tcPr>
            <w:tcW w:w="0" w:type="auto"/>
            <w:shd w:val="clear" w:color="auto" w:fill="auto"/>
            <w:vAlign w:val="center"/>
          </w:tcPr>
          <w:p w14:paraId="7DCE07D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45,691,875.41</w:t>
            </w:r>
          </w:p>
        </w:tc>
        <w:tc>
          <w:tcPr>
            <w:tcW w:w="0" w:type="auto"/>
            <w:shd w:val="clear" w:color="auto" w:fill="auto"/>
            <w:vAlign w:val="center"/>
          </w:tcPr>
          <w:p w14:paraId="640F75A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155,090.87</w:t>
            </w:r>
          </w:p>
        </w:tc>
        <w:tc>
          <w:tcPr>
            <w:tcW w:w="0" w:type="auto"/>
            <w:shd w:val="clear" w:color="auto" w:fill="auto"/>
            <w:vAlign w:val="center"/>
          </w:tcPr>
          <w:p w14:paraId="4022856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3,557,385.48</w:t>
            </w:r>
          </w:p>
        </w:tc>
        <w:tc>
          <w:tcPr>
            <w:tcW w:w="0" w:type="auto"/>
            <w:shd w:val="clear" w:color="auto" w:fill="auto"/>
            <w:vAlign w:val="center"/>
          </w:tcPr>
          <w:p w14:paraId="0765920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117,891.90</w:t>
            </w:r>
          </w:p>
        </w:tc>
        <w:tc>
          <w:tcPr>
            <w:tcW w:w="0" w:type="auto"/>
            <w:shd w:val="clear" w:color="auto" w:fill="auto"/>
            <w:vAlign w:val="center"/>
          </w:tcPr>
          <w:p w14:paraId="5EA09BF7"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305,172.01</w:t>
            </w:r>
          </w:p>
        </w:tc>
        <w:tc>
          <w:tcPr>
            <w:tcW w:w="0" w:type="auto"/>
            <w:shd w:val="clear" w:color="auto" w:fill="auto"/>
            <w:vAlign w:val="center"/>
          </w:tcPr>
          <w:p w14:paraId="528C491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107,597.35</w:t>
            </w:r>
          </w:p>
        </w:tc>
        <w:tc>
          <w:tcPr>
            <w:tcW w:w="0" w:type="auto"/>
            <w:shd w:val="clear" w:color="auto" w:fill="auto"/>
            <w:vAlign w:val="center"/>
          </w:tcPr>
          <w:p w14:paraId="6ADDDD6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51,058,267.16</w:t>
            </w:r>
          </w:p>
        </w:tc>
      </w:tr>
      <w:tr w:rsidR="002D0AE7" w14:paraId="70F583EF" w14:textId="77777777">
        <w:trPr>
          <w:jc w:val="center"/>
        </w:trPr>
        <w:tc>
          <w:tcPr>
            <w:tcW w:w="2689" w:type="dxa"/>
            <w:shd w:val="clear" w:color="auto" w:fill="auto"/>
          </w:tcPr>
          <w:p w14:paraId="72A587DA"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w:t>
            </w:r>
            <w:r>
              <w:rPr>
                <w:rFonts w:hint="eastAsia"/>
                <w:color w:val="000000" w:themeColor="text1"/>
                <w:sz w:val="21"/>
                <w:szCs w:val="21"/>
              </w:rPr>
              <w:t>1</w:t>
            </w:r>
            <w:r>
              <w:rPr>
                <w:rFonts w:hint="eastAsia"/>
                <w:color w:val="000000" w:themeColor="text1"/>
                <w:sz w:val="21"/>
                <w:szCs w:val="21"/>
              </w:rPr>
              <w:t>）处置或报废</w:t>
            </w:r>
          </w:p>
        </w:tc>
        <w:tc>
          <w:tcPr>
            <w:tcW w:w="1669" w:type="dxa"/>
            <w:shd w:val="clear" w:color="auto" w:fill="auto"/>
            <w:vAlign w:val="center"/>
          </w:tcPr>
          <w:p w14:paraId="5359B73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33D6D77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1,276,020.74</w:t>
            </w:r>
          </w:p>
        </w:tc>
        <w:tc>
          <w:tcPr>
            <w:tcW w:w="0" w:type="auto"/>
            <w:shd w:val="clear" w:color="auto" w:fill="auto"/>
            <w:vAlign w:val="center"/>
          </w:tcPr>
          <w:p w14:paraId="54145D7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155,090.87</w:t>
            </w:r>
          </w:p>
        </w:tc>
        <w:tc>
          <w:tcPr>
            <w:tcW w:w="0" w:type="auto"/>
            <w:shd w:val="clear" w:color="auto" w:fill="auto"/>
            <w:vAlign w:val="center"/>
          </w:tcPr>
          <w:p w14:paraId="2C53C19B"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3,557,385.48</w:t>
            </w:r>
          </w:p>
        </w:tc>
        <w:tc>
          <w:tcPr>
            <w:tcW w:w="0" w:type="auto"/>
            <w:shd w:val="clear" w:color="auto" w:fill="auto"/>
            <w:vAlign w:val="center"/>
          </w:tcPr>
          <w:p w14:paraId="2437237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117,815.45</w:t>
            </w:r>
          </w:p>
        </w:tc>
        <w:tc>
          <w:tcPr>
            <w:tcW w:w="0" w:type="auto"/>
            <w:shd w:val="clear" w:color="auto" w:fill="auto"/>
            <w:vAlign w:val="center"/>
          </w:tcPr>
          <w:p w14:paraId="7257482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19777FB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67,323.64</w:t>
            </w:r>
          </w:p>
        </w:tc>
        <w:tc>
          <w:tcPr>
            <w:tcW w:w="0" w:type="auto"/>
            <w:shd w:val="clear" w:color="auto" w:fill="auto"/>
            <w:vAlign w:val="center"/>
          </w:tcPr>
          <w:p w14:paraId="186B8C63"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5,173,636.18</w:t>
            </w:r>
          </w:p>
        </w:tc>
      </w:tr>
      <w:tr w:rsidR="002D0AE7" w14:paraId="0DAB907C" w14:textId="77777777">
        <w:trPr>
          <w:jc w:val="center"/>
        </w:trPr>
        <w:tc>
          <w:tcPr>
            <w:tcW w:w="2689" w:type="dxa"/>
            <w:shd w:val="clear" w:color="auto" w:fill="auto"/>
          </w:tcPr>
          <w:p w14:paraId="15D35D17" w14:textId="77777777" w:rsidR="002D0AE7" w:rsidRDefault="00333EBB">
            <w:pPr>
              <w:ind w:firstLineChars="300" w:firstLine="630"/>
              <w:rPr>
                <w:rFonts w:hint="eastAsia"/>
                <w:sz w:val="21"/>
                <w:szCs w:val="21"/>
              </w:rPr>
            </w:pPr>
            <w:r>
              <w:rPr>
                <w:rFonts w:hint="eastAsia"/>
                <w:sz w:val="21"/>
                <w:szCs w:val="21"/>
              </w:rPr>
              <w:t>（</w:t>
            </w:r>
            <w:r>
              <w:rPr>
                <w:sz w:val="21"/>
                <w:szCs w:val="21"/>
              </w:rPr>
              <w:t>2</w:t>
            </w:r>
            <w:r>
              <w:rPr>
                <w:sz w:val="21"/>
                <w:szCs w:val="21"/>
              </w:rPr>
              <w:t>）转入在建工程</w:t>
            </w:r>
            <w:r>
              <w:rPr>
                <w:rFonts w:hint="eastAsia"/>
                <w:sz w:val="21"/>
                <w:szCs w:val="21"/>
              </w:rPr>
              <w:t xml:space="preserve">　</w:t>
            </w:r>
          </w:p>
        </w:tc>
        <w:tc>
          <w:tcPr>
            <w:tcW w:w="1669" w:type="dxa"/>
            <w:shd w:val="clear" w:color="auto" w:fill="auto"/>
            <w:vAlign w:val="center"/>
          </w:tcPr>
          <w:p w14:paraId="68A6F92B"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690,448.62</w:t>
            </w:r>
          </w:p>
        </w:tc>
        <w:tc>
          <w:tcPr>
            <w:tcW w:w="0" w:type="auto"/>
            <w:shd w:val="clear" w:color="auto" w:fill="auto"/>
            <w:vAlign w:val="center"/>
          </w:tcPr>
          <w:p w14:paraId="68B1E13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0B196807"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68B889B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0A89168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48318D4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3006005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7148B74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690,448.62</w:t>
            </w:r>
          </w:p>
        </w:tc>
      </w:tr>
      <w:tr w:rsidR="002D0AE7" w14:paraId="2F942053" w14:textId="77777777">
        <w:trPr>
          <w:jc w:val="center"/>
        </w:trPr>
        <w:tc>
          <w:tcPr>
            <w:tcW w:w="2689" w:type="dxa"/>
            <w:shd w:val="clear" w:color="auto" w:fill="auto"/>
          </w:tcPr>
          <w:p w14:paraId="09D2A45D" w14:textId="77777777" w:rsidR="002D0AE7" w:rsidRDefault="00333EBB">
            <w:pPr>
              <w:ind w:firstLineChars="300" w:firstLine="630"/>
              <w:rPr>
                <w:rFonts w:hint="eastAsia"/>
                <w:sz w:val="21"/>
                <w:szCs w:val="21"/>
              </w:rPr>
            </w:pPr>
            <w:r>
              <w:rPr>
                <w:rFonts w:hint="eastAsia"/>
                <w:sz w:val="21"/>
                <w:szCs w:val="21"/>
              </w:rPr>
              <w:t>（</w:t>
            </w:r>
            <w:r>
              <w:rPr>
                <w:sz w:val="21"/>
                <w:szCs w:val="21"/>
              </w:rPr>
              <w:t>3</w:t>
            </w:r>
            <w:r>
              <w:rPr>
                <w:sz w:val="21"/>
                <w:szCs w:val="21"/>
              </w:rPr>
              <w:t>）其他</w:t>
            </w:r>
            <w:r>
              <w:rPr>
                <w:rFonts w:hint="eastAsia"/>
                <w:sz w:val="21"/>
                <w:szCs w:val="21"/>
              </w:rPr>
              <w:t xml:space="preserve">　</w:t>
            </w:r>
          </w:p>
        </w:tc>
        <w:tc>
          <w:tcPr>
            <w:tcW w:w="1669" w:type="dxa"/>
            <w:shd w:val="clear" w:color="auto" w:fill="auto"/>
            <w:vAlign w:val="center"/>
          </w:tcPr>
          <w:p w14:paraId="70F849E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432,805.52</w:t>
            </w:r>
          </w:p>
        </w:tc>
        <w:tc>
          <w:tcPr>
            <w:tcW w:w="0" w:type="auto"/>
            <w:shd w:val="clear" w:color="auto" w:fill="auto"/>
            <w:vAlign w:val="center"/>
          </w:tcPr>
          <w:p w14:paraId="003896D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44,415,854.67</w:t>
            </w:r>
          </w:p>
        </w:tc>
        <w:tc>
          <w:tcPr>
            <w:tcW w:w="0" w:type="auto"/>
            <w:shd w:val="clear" w:color="auto" w:fill="auto"/>
            <w:vAlign w:val="center"/>
          </w:tcPr>
          <w:p w14:paraId="15FE665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5BA88A4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6BCD548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76.45</w:t>
            </w:r>
          </w:p>
        </w:tc>
        <w:tc>
          <w:tcPr>
            <w:tcW w:w="0" w:type="auto"/>
            <w:shd w:val="clear" w:color="auto" w:fill="auto"/>
            <w:vAlign w:val="center"/>
          </w:tcPr>
          <w:p w14:paraId="3F30E52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305,172.01</w:t>
            </w:r>
          </w:p>
        </w:tc>
        <w:tc>
          <w:tcPr>
            <w:tcW w:w="0" w:type="auto"/>
            <w:shd w:val="clear" w:color="auto" w:fill="auto"/>
            <w:vAlign w:val="center"/>
          </w:tcPr>
          <w:p w14:paraId="51D4243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40,273.71</w:t>
            </w:r>
          </w:p>
        </w:tc>
        <w:tc>
          <w:tcPr>
            <w:tcW w:w="0" w:type="auto"/>
            <w:shd w:val="clear" w:color="auto" w:fill="auto"/>
            <w:vAlign w:val="center"/>
          </w:tcPr>
          <w:p w14:paraId="527D64E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45,194,182.36</w:t>
            </w:r>
          </w:p>
        </w:tc>
      </w:tr>
      <w:tr w:rsidR="002D0AE7" w14:paraId="6C588581" w14:textId="77777777">
        <w:trPr>
          <w:jc w:val="center"/>
        </w:trPr>
        <w:tc>
          <w:tcPr>
            <w:tcW w:w="2689" w:type="dxa"/>
            <w:shd w:val="clear" w:color="auto" w:fill="auto"/>
          </w:tcPr>
          <w:p w14:paraId="60A8CB0B"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4.</w:t>
            </w:r>
            <w:r>
              <w:rPr>
                <w:rFonts w:hint="eastAsia"/>
                <w:color w:val="000000" w:themeColor="text1"/>
                <w:sz w:val="21"/>
                <w:szCs w:val="21"/>
              </w:rPr>
              <w:t>期末余额</w:t>
            </w:r>
          </w:p>
        </w:tc>
        <w:tc>
          <w:tcPr>
            <w:tcW w:w="1669" w:type="dxa"/>
            <w:shd w:val="clear" w:color="auto" w:fill="auto"/>
            <w:vAlign w:val="center"/>
          </w:tcPr>
          <w:p w14:paraId="46825C5B"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613,539,363.28</w:t>
            </w:r>
          </w:p>
        </w:tc>
        <w:tc>
          <w:tcPr>
            <w:tcW w:w="0" w:type="auto"/>
            <w:shd w:val="clear" w:color="auto" w:fill="auto"/>
            <w:vAlign w:val="center"/>
          </w:tcPr>
          <w:p w14:paraId="121DF67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1,190,076,845.11</w:t>
            </w:r>
          </w:p>
        </w:tc>
        <w:tc>
          <w:tcPr>
            <w:tcW w:w="0" w:type="auto"/>
            <w:shd w:val="clear" w:color="auto" w:fill="auto"/>
            <w:vAlign w:val="center"/>
          </w:tcPr>
          <w:p w14:paraId="2284D9D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8,065,787.20</w:t>
            </w:r>
          </w:p>
        </w:tc>
        <w:tc>
          <w:tcPr>
            <w:tcW w:w="0" w:type="auto"/>
            <w:shd w:val="clear" w:color="auto" w:fill="auto"/>
            <w:vAlign w:val="center"/>
          </w:tcPr>
          <w:p w14:paraId="5DA515AB"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65,910,514.26</w:t>
            </w:r>
          </w:p>
        </w:tc>
        <w:tc>
          <w:tcPr>
            <w:tcW w:w="0" w:type="auto"/>
            <w:shd w:val="clear" w:color="auto" w:fill="auto"/>
            <w:vAlign w:val="center"/>
          </w:tcPr>
          <w:p w14:paraId="213D2CC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13,678,400.02</w:t>
            </w:r>
          </w:p>
        </w:tc>
        <w:tc>
          <w:tcPr>
            <w:tcW w:w="0" w:type="auto"/>
            <w:shd w:val="clear" w:color="auto" w:fill="auto"/>
            <w:vAlign w:val="center"/>
          </w:tcPr>
          <w:p w14:paraId="42EC424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13,395,675.20</w:t>
            </w:r>
          </w:p>
        </w:tc>
        <w:tc>
          <w:tcPr>
            <w:tcW w:w="0" w:type="auto"/>
            <w:shd w:val="clear" w:color="auto" w:fill="auto"/>
            <w:vAlign w:val="center"/>
          </w:tcPr>
          <w:p w14:paraId="7CB6C7F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8,491,062.32</w:t>
            </w:r>
          </w:p>
        </w:tc>
        <w:tc>
          <w:tcPr>
            <w:tcW w:w="0" w:type="auto"/>
            <w:shd w:val="clear" w:color="auto" w:fill="auto"/>
            <w:vAlign w:val="center"/>
          </w:tcPr>
          <w:p w14:paraId="0B2382AB"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1,913,157,647.39</w:t>
            </w:r>
          </w:p>
        </w:tc>
      </w:tr>
      <w:tr w:rsidR="002D0AE7" w14:paraId="645802F6" w14:textId="77777777">
        <w:trPr>
          <w:jc w:val="center"/>
        </w:trPr>
        <w:sdt>
          <w:sdtPr>
            <w:rPr>
              <w:color w:val="000000" w:themeColor="text1"/>
              <w:sz w:val="21"/>
              <w:szCs w:val="21"/>
            </w:rPr>
            <w:tag w:val="_PLD_662c84047b6d41648e46d047cc9b134a"/>
            <w:id w:val="1839032329"/>
          </w:sdtPr>
          <w:sdtEndPr/>
          <w:sdtContent>
            <w:tc>
              <w:tcPr>
                <w:tcW w:w="13863" w:type="dxa"/>
                <w:gridSpan w:val="9"/>
                <w:shd w:val="clear" w:color="auto" w:fill="auto"/>
              </w:tcPr>
              <w:p w14:paraId="1B068639" w14:textId="77777777" w:rsidR="002D0AE7" w:rsidRDefault="00333EBB">
                <w:pPr>
                  <w:rPr>
                    <w:rFonts w:hint="eastAsia"/>
                    <w:color w:val="000000" w:themeColor="text1"/>
                    <w:sz w:val="21"/>
                    <w:szCs w:val="21"/>
                  </w:rPr>
                </w:pPr>
                <w:r>
                  <w:rPr>
                    <w:rFonts w:hint="eastAsia"/>
                    <w:color w:val="000000" w:themeColor="text1"/>
                    <w:sz w:val="21"/>
                    <w:szCs w:val="21"/>
                  </w:rPr>
                  <w:t>三、减值准备</w:t>
                </w:r>
              </w:p>
            </w:tc>
          </w:sdtContent>
        </w:sdt>
      </w:tr>
      <w:tr w:rsidR="002D0AE7" w14:paraId="5BC858ED" w14:textId="77777777">
        <w:trPr>
          <w:jc w:val="center"/>
        </w:trPr>
        <w:tc>
          <w:tcPr>
            <w:tcW w:w="2689" w:type="dxa"/>
            <w:shd w:val="clear" w:color="auto" w:fill="auto"/>
          </w:tcPr>
          <w:p w14:paraId="1F76716F" w14:textId="77777777" w:rsidR="002D0AE7" w:rsidRDefault="00333EBB">
            <w:pPr>
              <w:ind w:firstLineChars="200" w:firstLine="420"/>
              <w:rPr>
                <w:rFonts w:hint="eastAsia"/>
                <w:color w:val="000000" w:themeColor="text1"/>
                <w:sz w:val="21"/>
                <w:szCs w:val="21"/>
              </w:rPr>
            </w:pPr>
            <w:r>
              <w:rPr>
                <w:color w:val="000000" w:themeColor="text1"/>
                <w:sz w:val="21"/>
                <w:szCs w:val="21"/>
              </w:rPr>
              <w:t>1.</w:t>
            </w:r>
            <w:r>
              <w:rPr>
                <w:rFonts w:hint="eastAsia"/>
                <w:color w:val="000000" w:themeColor="text1"/>
                <w:sz w:val="21"/>
                <w:szCs w:val="21"/>
              </w:rPr>
              <w:t>期初余额</w:t>
            </w:r>
          </w:p>
        </w:tc>
        <w:tc>
          <w:tcPr>
            <w:tcW w:w="1669" w:type="dxa"/>
            <w:shd w:val="clear" w:color="auto" w:fill="auto"/>
            <w:vAlign w:val="center"/>
          </w:tcPr>
          <w:p w14:paraId="1DEA6F8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8,366,939.96</w:t>
            </w:r>
          </w:p>
        </w:tc>
        <w:tc>
          <w:tcPr>
            <w:tcW w:w="0" w:type="auto"/>
            <w:shd w:val="clear" w:color="auto" w:fill="auto"/>
            <w:vAlign w:val="center"/>
          </w:tcPr>
          <w:p w14:paraId="45C5CE2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69,798,803.36</w:t>
            </w:r>
          </w:p>
        </w:tc>
        <w:tc>
          <w:tcPr>
            <w:tcW w:w="0" w:type="auto"/>
            <w:shd w:val="clear" w:color="auto" w:fill="auto"/>
            <w:vAlign w:val="center"/>
          </w:tcPr>
          <w:p w14:paraId="5082CA3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10,842.15</w:t>
            </w:r>
          </w:p>
        </w:tc>
        <w:tc>
          <w:tcPr>
            <w:tcW w:w="0" w:type="auto"/>
            <w:shd w:val="clear" w:color="auto" w:fill="auto"/>
            <w:vAlign w:val="center"/>
          </w:tcPr>
          <w:p w14:paraId="44959413"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1,511,077.27</w:t>
            </w:r>
          </w:p>
        </w:tc>
        <w:tc>
          <w:tcPr>
            <w:tcW w:w="0" w:type="auto"/>
            <w:shd w:val="clear" w:color="auto" w:fill="auto"/>
            <w:vAlign w:val="center"/>
          </w:tcPr>
          <w:p w14:paraId="395E77CB"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28,903.07</w:t>
            </w:r>
          </w:p>
        </w:tc>
        <w:tc>
          <w:tcPr>
            <w:tcW w:w="0" w:type="auto"/>
            <w:shd w:val="clear" w:color="auto" w:fill="auto"/>
            <w:vAlign w:val="center"/>
          </w:tcPr>
          <w:p w14:paraId="782666E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7445D88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1,511.25</w:t>
            </w:r>
          </w:p>
        </w:tc>
        <w:tc>
          <w:tcPr>
            <w:tcW w:w="0" w:type="auto"/>
            <w:shd w:val="clear" w:color="auto" w:fill="auto"/>
            <w:vAlign w:val="center"/>
          </w:tcPr>
          <w:p w14:paraId="3690603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79,718,077.06</w:t>
            </w:r>
          </w:p>
        </w:tc>
      </w:tr>
      <w:tr w:rsidR="002D0AE7" w14:paraId="0BD32E23" w14:textId="77777777">
        <w:trPr>
          <w:jc w:val="center"/>
        </w:trPr>
        <w:tc>
          <w:tcPr>
            <w:tcW w:w="2689" w:type="dxa"/>
            <w:shd w:val="clear" w:color="auto" w:fill="auto"/>
          </w:tcPr>
          <w:p w14:paraId="30085D5B" w14:textId="77777777" w:rsidR="002D0AE7" w:rsidRDefault="00333EBB">
            <w:pPr>
              <w:ind w:firstLineChars="200" w:firstLine="420"/>
              <w:rPr>
                <w:rFonts w:hint="eastAsia"/>
                <w:color w:val="000000" w:themeColor="text1"/>
                <w:sz w:val="21"/>
                <w:szCs w:val="21"/>
              </w:rPr>
            </w:pPr>
            <w:r>
              <w:rPr>
                <w:color w:val="000000" w:themeColor="text1"/>
                <w:sz w:val="21"/>
                <w:szCs w:val="21"/>
              </w:rPr>
              <w:t>2.</w:t>
            </w:r>
            <w:r>
              <w:rPr>
                <w:rFonts w:hint="eastAsia"/>
                <w:color w:val="000000" w:themeColor="text1"/>
                <w:sz w:val="21"/>
                <w:szCs w:val="21"/>
              </w:rPr>
              <w:t>本期增加金额</w:t>
            </w:r>
          </w:p>
        </w:tc>
        <w:tc>
          <w:tcPr>
            <w:tcW w:w="1669" w:type="dxa"/>
            <w:shd w:val="clear" w:color="auto" w:fill="auto"/>
            <w:vAlign w:val="center"/>
          </w:tcPr>
          <w:p w14:paraId="4BF23D0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17,230,621.73</w:t>
            </w:r>
          </w:p>
        </w:tc>
        <w:tc>
          <w:tcPr>
            <w:tcW w:w="0" w:type="auto"/>
            <w:shd w:val="clear" w:color="auto" w:fill="auto"/>
            <w:vAlign w:val="center"/>
          </w:tcPr>
          <w:p w14:paraId="271D297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1,378,744.13</w:t>
            </w:r>
          </w:p>
        </w:tc>
        <w:tc>
          <w:tcPr>
            <w:tcW w:w="0" w:type="auto"/>
            <w:shd w:val="clear" w:color="auto" w:fill="auto"/>
            <w:vAlign w:val="center"/>
          </w:tcPr>
          <w:p w14:paraId="24CD6D5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77E9512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7,439.53</w:t>
            </w:r>
          </w:p>
        </w:tc>
        <w:tc>
          <w:tcPr>
            <w:tcW w:w="0" w:type="auto"/>
            <w:shd w:val="clear" w:color="auto" w:fill="auto"/>
            <w:vAlign w:val="center"/>
          </w:tcPr>
          <w:p w14:paraId="4CDBA3E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1,206.19</w:t>
            </w:r>
          </w:p>
        </w:tc>
        <w:tc>
          <w:tcPr>
            <w:tcW w:w="0" w:type="auto"/>
            <w:shd w:val="clear" w:color="auto" w:fill="auto"/>
            <w:vAlign w:val="center"/>
          </w:tcPr>
          <w:p w14:paraId="212CBC0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4C37095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766E983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18,618,011.58</w:t>
            </w:r>
          </w:p>
        </w:tc>
      </w:tr>
      <w:tr w:rsidR="002D0AE7" w14:paraId="7CC7289F" w14:textId="77777777">
        <w:trPr>
          <w:jc w:val="center"/>
        </w:trPr>
        <w:tc>
          <w:tcPr>
            <w:tcW w:w="2689" w:type="dxa"/>
            <w:shd w:val="clear" w:color="auto" w:fill="auto"/>
          </w:tcPr>
          <w:p w14:paraId="3F9D9D67"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w:t>
            </w:r>
            <w:r>
              <w:rPr>
                <w:rFonts w:hint="eastAsia"/>
                <w:color w:val="000000" w:themeColor="text1"/>
                <w:sz w:val="21"/>
                <w:szCs w:val="21"/>
              </w:rPr>
              <w:t>1</w:t>
            </w:r>
            <w:r>
              <w:rPr>
                <w:rFonts w:hint="eastAsia"/>
                <w:color w:val="000000" w:themeColor="text1"/>
                <w:sz w:val="21"/>
                <w:szCs w:val="21"/>
              </w:rPr>
              <w:t>）计提</w:t>
            </w:r>
          </w:p>
        </w:tc>
        <w:tc>
          <w:tcPr>
            <w:tcW w:w="1669" w:type="dxa"/>
            <w:shd w:val="clear" w:color="auto" w:fill="auto"/>
            <w:vAlign w:val="center"/>
          </w:tcPr>
          <w:p w14:paraId="1CAC441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17,209,893.14</w:t>
            </w:r>
          </w:p>
        </w:tc>
        <w:tc>
          <w:tcPr>
            <w:tcW w:w="0" w:type="auto"/>
            <w:shd w:val="clear" w:color="auto" w:fill="auto"/>
            <w:vAlign w:val="center"/>
          </w:tcPr>
          <w:p w14:paraId="17BD381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1,378,744.13</w:t>
            </w:r>
          </w:p>
        </w:tc>
        <w:tc>
          <w:tcPr>
            <w:tcW w:w="0" w:type="auto"/>
            <w:shd w:val="clear" w:color="auto" w:fill="auto"/>
            <w:vAlign w:val="center"/>
          </w:tcPr>
          <w:p w14:paraId="511DAF5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7ADD309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7,439.53</w:t>
            </w:r>
          </w:p>
        </w:tc>
        <w:tc>
          <w:tcPr>
            <w:tcW w:w="0" w:type="auto"/>
            <w:shd w:val="clear" w:color="auto" w:fill="auto"/>
            <w:vAlign w:val="center"/>
          </w:tcPr>
          <w:p w14:paraId="129D03D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1,206.19</w:t>
            </w:r>
          </w:p>
        </w:tc>
        <w:tc>
          <w:tcPr>
            <w:tcW w:w="0" w:type="auto"/>
            <w:shd w:val="clear" w:color="auto" w:fill="auto"/>
            <w:vAlign w:val="center"/>
          </w:tcPr>
          <w:p w14:paraId="2CA92EF1"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717A933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066F7423"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18,597,282.99</w:t>
            </w:r>
          </w:p>
        </w:tc>
      </w:tr>
      <w:tr w:rsidR="002D0AE7" w14:paraId="357BF3BD" w14:textId="77777777">
        <w:trPr>
          <w:jc w:val="center"/>
        </w:trPr>
        <w:tc>
          <w:tcPr>
            <w:tcW w:w="2689" w:type="dxa"/>
            <w:shd w:val="clear" w:color="auto" w:fill="auto"/>
          </w:tcPr>
          <w:p w14:paraId="7F6E47A8"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w:t>
            </w:r>
            <w:r>
              <w:rPr>
                <w:color w:val="000000" w:themeColor="text1"/>
                <w:sz w:val="21"/>
                <w:szCs w:val="21"/>
              </w:rPr>
              <w:t>2</w:t>
            </w:r>
            <w:r>
              <w:rPr>
                <w:color w:val="000000" w:themeColor="text1"/>
                <w:sz w:val="21"/>
                <w:szCs w:val="21"/>
              </w:rPr>
              <w:t>）其他</w:t>
            </w:r>
          </w:p>
        </w:tc>
        <w:tc>
          <w:tcPr>
            <w:tcW w:w="1669" w:type="dxa"/>
            <w:shd w:val="clear" w:color="auto" w:fill="auto"/>
            <w:vAlign w:val="center"/>
          </w:tcPr>
          <w:p w14:paraId="44BFE773"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20,728.59</w:t>
            </w:r>
          </w:p>
        </w:tc>
        <w:tc>
          <w:tcPr>
            <w:tcW w:w="0" w:type="auto"/>
            <w:shd w:val="clear" w:color="auto" w:fill="auto"/>
            <w:vAlign w:val="center"/>
          </w:tcPr>
          <w:p w14:paraId="111F048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6DFCF85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1CD0313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79FDF94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1F5200C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27F3904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45F3CFE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20,728.59</w:t>
            </w:r>
          </w:p>
        </w:tc>
      </w:tr>
      <w:tr w:rsidR="002D0AE7" w14:paraId="1F581513" w14:textId="77777777">
        <w:trPr>
          <w:jc w:val="center"/>
        </w:trPr>
        <w:tc>
          <w:tcPr>
            <w:tcW w:w="2689" w:type="dxa"/>
            <w:shd w:val="clear" w:color="auto" w:fill="auto"/>
          </w:tcPr>
          <w:p w14:paraId="6F42682F"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3.</w:t>
            </w:r>
            <w:r>
              <w:rPr>
                <w:rFonts w:hint="eastAsia"/>
                <w:color w:val="000000" w:themeColor="text1"/>
                <w:sz w:val="21"/>
                <w:szCs w:val="21"/>
              </w:rPr>
              <w:t>本期减少金额</w:t>
            </w:r>
          </w:p>
        </w:tc>
        <w:tc>
          <w:tcPr>
            <w:tcW w:w="1669" w:type="dxa"/>
            <w:shd w:val="clear" w:color="auto" w:fill="auto"/>
            <w:vAlign w:val="center"/>
          </w:tcPr>
          <w:p w14:paraId="61A3BAB3"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613E46F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20,728.59</w:t>
            </w:r>
          </w:p>
        </w:tc>
        <w:tc>
          <w:tcPr>
            <w:tcW w:w="0" w:type="auto"/>
            <w:shd w:val="clear" w:color="auto" w:fill="auto"/>
            <w:vAlign w:val="center"/>
          </w:tcPr>
          <w:p w14:paraId="2D350E5B"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67747B5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7AADBBD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760BCFC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3E2F6A8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3C157C8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20,728.59</w:t>
            </w:r>
          </w:p>
        </w:tc>
      </w:tr>
      <w:tr w:rsidR="002D0AE7" w14:paraId="0A747B8E" w14:textId="77777777">
        <w:trPr>
          <w:jc w:val="center"/>
        </w:trPr>
        <w:tc>
          <w:tcPr>
            <w:tcW w:w="2689" w:type="dxa"/>
            <w:shd w:val="clear" w:color="auto" w:fill="auto"/>
          </w:tcPr>
          <w:p w14:paraId="112D4A4E"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w:t>
            </w:r>
            <w:r>
              <w:rPr>
                <w:rFonts w:hint="eastAsia"/>
                <w:color w:val="000000" w:themeColor="text1"/>
                <w:sz w:val="21"/>
                <w:szCs w:val="21"/>
              </w:rPr>
              <w:t>1</w:t>
            </w:r>
            <w:r>
              <w:rPr>
                <w:rFonts w:hint="eastAsia"/>
                <w:color w:val="000000" w:themeColor="text1"/>
                <w:sz w:val="21"/>
                <w:szCs w:val="21"/>
              </w:rPr>
              <w:t>）处置或报废</w:t>
            </w:r>
          </w:p>
        </w:tc>
        <w:tc>
          <w:tcPr>
            <w:tcW w:w="1669" w:type="dxa"/>
            <w:shd w:val="clear" w:color="auto" w:fill="auto"/>
            <w:vAlign w:val="center"/>
          </w:tcPr>
          <w:p w14:paraId="118841F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335874D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6386D4C3"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469D1E5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14A115B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02CA025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1AC891A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1B89A46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r>
      <w:tr w:rsidR="002D0AE7" w14:paraId="3CA093E1" w14:textId="77777777">
        <w:trPr>
          <w:jc w:val="center"/>
        </w:trPr>
        <w:tc>
          <w:tcPr>
            <w:tcW w:w="2689" w:type="dxa"/>
            <w:shd w:val="clear" w:color="auto" w:fill="auto"/>
          </w:tcPr>
          <w:p w14:paraId="31B4A74A"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w:t>
            </w:r>
            <w:r>
              <w:rPr>
                <w:color w:val="000000" w:themeColor="text1"/>
                <w:sz w:val="21"/>
                <w:szCs w:val="21"/>
              </w:rPr>
              <w:t>2</w:t>
            </w:r>
            <w:r>
              <w:rPr>
                <w:color w:val="000000" w:themeColor="text1"/>
                <w:sz w:val="21"/>
                <w:szCs w:val="21"/>
              </w:rPr>
              <w:t>）其他</w:t>
            </w:r>
          </w:p>
        </w:tc>
        <w:tc>
          <w:tcPr>
            <w:tcW w:w="1669" w:type="dxa"/>
            <w:shd w:val="clear" w:color="auto" w:fill="auto"/>
            <w:vAlign w:val="center"/>
          </w:tcPr>
          <w:p w14:paraId="7A829E4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7FFE957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20,728.59</w:t>
            </w:r>
          </w:p>
        </w:tc>
        <w:tc>
          <w:tcPr>
            <w:tcW w:w="0" w:type="auto"/>
            <w:shd w:val="clear" w:color="auto" w:fill="auto"/>
            <w:vAlign w:val="center"/>
          </w:tcPr>
          <w:p w14:paraId="64B9766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3A00752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3E9C5A2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0F3B47F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704562C3"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30EAD95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20,728.59</w:t>
            </w:r>
          </w:p>
        </w:tc>
      </w:tr>
      <w:tr w:rsidR="002D0AE7" w14:paraId="5C812998" w14:textId="77777777">
        <w:trPr>
          <w:jc w:val="center"/>
        </w:trPr>
        <w:tc>
          <w:tcPr>
            <w:tcW w:w="2689" w:type="dxa"/>
            <w:shd w:val="clear" w:color="auto" w:fill="auto"/>
          </w:tcPr>
          <w:p w14:paraId="7755FE32"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4.</w:t>
            </w:r>
            <w:r>
              <w:rPr>
                <w:rFonts w:hint="eastAsia"/>
                <w:color w:val="000000" w:themeColor="text1"/>
                <w:sz w:val="21"/>
                <w:szCs w:val="21"/>
              </w:rPr>
              <w:t>期末余额</w:t>
            </w:r>
          </w:p>
        </w:tc>
        <w:tc>
          <w:tcPr>
            <w:tcW w:w="1669" w:type="dxa"/>
            <w:shd w:val="clear" w:color="auto" w:fill="auto"/>
            <w:vAlign w:val="center"/>
          </w:tcPr>
          <w:p w14:paraId="3905ADB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25,597,561.69</w:t>
            </w:r>
          </w:p>
        </w:tc>
        <w:tc>
          <w:tcPr>
            <w:tcW w:w="0" w:type="auto"/>
            <w:shd w:val="clear" w:color="auto" w:fill="auto"/>
            <w:vAlign w:val="center"/>
          </w:tcPr>
          <w:p w14:paraId="29E702F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71,156,818.90</w:t>
            </w:r>
          </w:p>
        </w:tc>
        <w:tc>
          <w:tcPr>
            <w:tcW w:w="0" w:type="auto"/>
            <w:shd w:val="clear" w:color="auto" w:fill="auto"/>
            <w:vAlign w:val="center"/>
          </w:tcPr>
          <w:p w14:paraId="1E69159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10,842.15</w:t>
            </w:r>
          </w:p>
        </w:tc>
        <w:tc>
          <w:tcPr>
            <w:tcW w:w="0" w:type="auto"/>
            <w:shd w:val="clear" w:color="auto" w:fill="auto"/>
            <w:vAlign w:val="center"/>
          </w:tcPr>
          <w:p w14:paraId="406D4E17"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1,518,516.80</w:t>
            </w:r>
          </w:p>
        </w:tc>
        <w:tc>
          <w:tcPr>
            <w:tcW w:w="0" w:type="auto"/>
            <w:shd w:val="clear" w:color="auto" w:fill="auto"/>
            <w:vAlign w:val="center"/>
          </w:tcPr>
          <w:p w14:paraId="3C59B03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30,109.26</w:t>
            </w:r>
          </w:p>
        </w:tc>
        <w:tc>
          <w:tcPr>
            <w:tcW w:w="0" w:type="auto"/>
            <w:shd w:val="clear" w:color="auto" w:fill="auto"/>
            <w:vAlign w:val="center"/>
          </w:tcPr>
          <w:p w14:paraId="57C9B1A7"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0" w:type="auto"/>
            <w:shd w:val="clear" w:color="auto" w:fill="auto"/>
            <w:vAlign w:val="center"/>
          </w:tcPr>
          <w:p w14:paraId="6FB129A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1,511.25</w:t>
            </w:r>
          </w:p>
        </w:tc>
        <w:tc>
          <w:tcPr>
            <w:tcW w:w="0" w:type="auto"/>
            <w:shd w:val="clear" w:color="auto" w:fill="auto"/>
            <w:vAlign w:val="center"/>
          </w:tcPr>
          <w:p w14:paraId="7A990C7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98,315,360.05</w:t>
            </w:r>
          </w:p>
        </w:tc>
      </w:tr>
      <w:tr w:rsidR="002D0AE7" w14:paraId="56C825C6" w14:textId="77777777">
        <w:trPr>
          <w:jc w:val="center"/>
        </w:trPr>
        <w:sdt>
          <w:sdtPr>
            <w:rPr>
              <w:color w:val="000000" w:themeColor="text1"/>
              <w:sz w:val="21"/>
              <w:szCs w:val="21"/>
            </w:rPr>
            <w:tag w:val="_PLD_bea29c32f5204124a483fa6e274ca7df"/>
            <w:id w:val="1808743473"/>
          </w:sdtPr>
          <w:sdtEndPr/>
          <w:sdtContent>
            <w:tc>
              <w:tcPr>
                <w:tcW w:w="13863" w:type="dxa"/>
                <w:gridSpan w:val="9"/>
                <w:shd w:val="clear" w:color="auto" w:fill="auto"/>
              </w:tcPr>
              <w:p w14:paraId="622594BE" w14:textId="77777777" w:rsidR="002D0AE7" w:rsidRDefault="00333EBB">
                <w:pPr>
                  <w:rPr>
                    <w:rFonts w:hint="eastAsia"/>
                    <w:color w:val="000000" w:themeColor="text1"/>
                    <w:sz w:val="21"/>
                    <w:szCs w:val="21"/>
                  </w:rPr>
                </w:pPr>
                <w:r>
                  <w:rPr>
                    <w:rFonts w:hint="eastAsia"/>
                    <w:color w:val="000000" w:themeColor="text1"/>
                    <w:sz w:val="21"/>
                    <w:szCs w:val="21"/>
                  </w:rPr>
                  <w:t>四、账面价值</w:t>
                </w:r>
              </w:p>
            </w:tc>
          </w:sdtContent>
        </w:sdt>
      </w:tr>
      <w:tr w:rsidR="002D0AE7" w14:paraId="698AA2C7" w14:textId="77777777">
        <w:trPr>
          <w:jc w:val="center"/>
        </w:trPr>
        <w:tc>
          <w:tcPr>
            <w:tcW w:w="2689" w:type="dxa"/>
            <w:shd w:val="clear" w:color="auto" w:fill="auto"/>
          </w:tcPr>
          <w:p w14:paraId="575DF438"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1.</w:t>
            </w:r>
            <w:r>
              <w:rPr>
                <w:rFonts w:hint="eastAsia"/>
                <w:color w:val="000000" w:themeColor="text1"/>
                <w:sz w:val="21"/>
                <w:szCs w:val="21"/>
              </w:rPr>
              <w:t>期末账面价值</w:t>
            </w:r>
          </w:p>
        </w:tc>
        <w:tc>
          <w:tcPr>
            <w:tcW w:w="1669" w:type="dxa"/>
            <w:shd w:val="clear" w:color="auto" w:fill="auto"/>
            <w:vAlign w:val="center"/>
          </w:tcPr>
          <w:p w14:paraId="4A6EF9A3"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1,675,726,621.37</w:t>
            </w:r>
          </w:p>
        </w:tc>
        <w:tc>
          <w:tcPr>
            <w:tcW w:w="0" w:type="auto"/>
            <w:shd w:val="clear" w:color="auto" w:fill="auto"/>
            <w:vAlign w:val="center"/>
          </w:tcPr>
          <w:p w14:paraId="1E6BAE4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1,147,338,697.35</w:t>
            </w:r>
          </w:p>
        </w:tc>
        <w:tc>
          <w:tcPr>
            <w:tcW w:w="0" w:type="auto"/>
            <w:shd w:val="clear" w:color="auto" w:fill="auto"/>
            <w:vAlign w:val="center"/>
          </w:tcPr>
          <w:p w14:paraId="24094E8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4,136,551.36</w:t>
            </w:r>
          </w:p>
        </w:tc>
        <w:tc>
          <w:tcPr>
            <w:tcW w:w="0" w:type="auto"/>
            <w:shd w:val="clear" w:color="auto" w:fill="auto"/>
            <w:vAlign w:val="center"/>
          </w:tcPr>
          <w:p w14:paraId="14176DF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57,239,406.53</w:t>
            </w:r>
          </w:p>
        </w:tc>
        <w:tc>
          <w:tcPr>
            <w:tcW w:w="0" w:type="auto"/>
            <w:shd w:val="clear" w:color="auto" w:fill="auto"/>
            <w:vAlign w:val="center"/>
          </w:tcPr>
          <w:p w14:paraId="61E3329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6,451,248.00</w:t>
            </w:r>
          </w:p>
        </w:tc>
        <w:tc>
          <w:tcPr>
            <w:tcW w:w="0" w:type="auto"/>
            <w:shd w:val="clear" w:color="auto" w:fill="auto"/>
            <w:vAlign w:val="center"/>
          </w:tcPr>
          <w:p w14:paraId="6417AC3B"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18,728,341.37</w:t>
            </w:r>
          </w:p>
        </w:tc>
        <w:tc>
          <w:tcPr>
            <w:tcW w:w="0" w:type="auto"/>
            <w:shd w:val="clear" w:color="auto" w:fill="auto"/>
            <w:vAlign w:val="center"/>
          </w:tcPr>
          <w:p w14:paraId="7B373F2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6,291,030.23</w:t>
            </w:r>
          </w:p>
        </w:tc>
        <w:tc>
          <w:tcPr>
            <w:tcW w:w="0" w:type="auto"/>
            <w:shd w:val="clear" w:color="auto" w:fill="auto"/>
            <w:vAlign w:val="center"/>
          </w:tcPr>
          <w:p w14:paraId="117FA93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2,915,911,896.21</w:t>
            </w:r>
          </w:p>
        </w:tc>
      </w:tr>
      <w:tr w:rsidR="002D0AE7" w14:paraId="0BE3E6E2" w14:textId="77777777">
        <w:trPr>
          <w:jc w:val="center"/>
        </w:trPr>
        <w:tc>
          <w:tcPr>
            <w:tcW w:w="2689" w:type="dxa"/>
            <w:shd w:val="clear" w:color="auto" w:fill="auto"/>
          </w:tcPr>
          <w:p w14:paraId="06938E4E"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2.</w:t>
            </w:r>
            <w:r>
              <w:rPr>
                <w:rFonts w:hint="eastAsia"/>
                <w:color w:val="000000" w:themeColor="text1"/>
                <w:sz w:val="21"/>
                <w:szCs w:val="21"/>
              </w:rPr>
              <w:t>期初账面价值</w:t>
            </w:r>
          </w:p>
        </w:tc>
        <w:tc>
          <w:tcPr>
            <w:tcW w:w="1669" w:type="dxa"/>
            <w:shd w:val="clear" w:color="auto" w:fill="auto"/>
            <w:vAlign w:val="center"/>
          </w:tcPr>
          <w:p w14:paraId="65C6E9E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1,700,780,753.91</w:t>
            </w:r>
          </w:p>
        </w:tc>
        <w:tc>
          <w:tcPr>
            <w:tcW w:w="0" w:type="auto"/>
            <w:shd w:val="clear" w:color="auto" w:fill="auto"/>
            <w:vAlign w:val="center"/>
          </w:tcPr>
          <w:p w14:paraId="1B090DA7"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1,239,791,705.14</w:t>
            </w:r>
          </w:p>
        </w:tc>
        <w:tc>
          <w:tcPr>
            <w:tcW w:w="0" w:type="auto"/>
            <w:shd w:val="clear" w:color="auto" w:fill="auto"/>
            <w:vAlign w:val="center"/>
          </w:tcPr>
          <w:p w14:paraId="455D905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4,198,979.07</w:t>
            </w:r>
          </w:p>
        </w:tc>
        <w:tc>
          <w:tcPr>
            <w:tcW w:w="0" w:type="auto"/>
            <w:shd w:val="clear" w:color="auto" w:fill="auto"/>
            <w:vAlign w:val="center"/>
          </w:tcPr>
          <w:p w14:paraId="317831A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62,223,059.12</w:t>
            </w:r>
          </w:p>
        </w:tc>
        <w:tc>
          <w:tcPr>
            <w:tcW w:w="0" w:type="auto"/>
            <w:shd w:val="clear" w:color="auto" w:fill="auto"/>
            <w:vAlign w:val="center"/>
          </w:tcPr>
          <w:p w14:paraId="6B16974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7,515,738.16</w:t>
            </w:r>
          </w:p>
        </w:tc>
        <w:tc>
          <w:tcPr>
            <w:tcW w:w="0" w:type="auto"/>
            <w:shd w:val="clear" w:color="auto" w:fill="auto"/>
            <w:vAlign w:val="center"/>
          </w:tcPr>
          <w:p w14:paraId="5CB6926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15,629,071.04</w:t>
            </w:r>
          </w:p>
        </w:tc>
        <w:tc>
          <w:tcPr>
            <w:tcW w:w="0" w:type="auto"/>
            <w:shd w:val="clear" w:color="auto" w:fill="auto"/>
            <w:vAlign w:val="center"/>
          </w:tcPr>
          <w:p w14:paraId="631B4CF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4,472,889.49</w:t>
            </w:r>
          </w:p>
        </w:tc>
        <w:tc>
          <w:tcPr>
            <w:tcW w:w="0" w:type="auto"/>
            <w:shd w:val="clear" w:color="auto" w:fill="auto"/>
            <w:vAlign w:val="center"/>
          </w:tcPr>
          <w:p w14:paraId="29646783"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3,034,612,195.93</w:t>
            </w:r>
          </w:p>
        </w:tc>
      </w:tr>
    </w:tbl>
    <w:p w14:paraId="411D1ADB" w14:textId="77777777" w:rsidR="002D0AE7" w:rsidRDefault="00333EBB">
      <w:pPr>
        <w:pStyle w:val="4"/>
        <w:numPr>
          <w:ilvl w:val="0"/>
          <w:numId w:val="51"/>
        </w:numPr>
        <w:tabs>
          <w:tab w:val="left" w:pos="588"/>
        </w:tabs>
        <w:rPr>
          <w:rFonts w:ascii="宋体" w:hAnsi="宋体" w:hint="eastAsia"/>
          <w:color w:val="000000" w:themeColor="text1"/>
          <w:kern w:val="0"/>
          <w:szCs w:val="21"/>
        </w:rPr>
      </w:pPr>
      <w:r>
        <w:rPr>
          <w:rFonts w:ascii="宋体" w:hAnsi="宋体" w:hint="eastAsia"/>
          <w:color w:val="000000" w:themeColor="text1"/>
          <w:szCs w:val="21"/>
        </w:rPr>
        <w:t>暂时</w:t>
      </w:r>
      <w:r>
        <w:rPr>
          <w:rFonts w:ascii="宋体" w:hAnsi="宋体" w:hint="eastAsia"/>
          <w:color w:val="000000" w:themeColor="text1"/>
          <w:kern w:val="0"/>
          <w:szCs w:val="21"/>
        </w:rPr>
        <w:t>闲置的固定资产情况</w:t>
      </w:r>
    </w:p>
    <w:sdt>
      <w:sdtPr>
        <w:rPr>
          <w:color w:val="000000" w:themeColor="text1"/>
        </w:rPr>
        <w:alias w:val="是否适用：暂时闲置的固定资产情况[双击切换]"/>
        <w:tag w:val="_GBC_ca31f29118c7481f95f99a2655f8c1e1"/>
        <w:id w:val="1109554294"/>
        <w:placeholder>
          <w:docPart w:val="GBC22222222222222222222222222222"/>
        </w:placeholder>
      </w:sdtPr>
      <w:sdtEndPr/>
      <w:sdtContent>
        <w:p w14:paraId="149C2A97"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461A8CF7"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暂时闲置的固定资产情况"/>
          <w:tag w:val="_GBC_c0d208db81a447e9b9949f2b175cba30"/>
          <w:id w:val="57802906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暂时闲置的固定资产情况"/>
          <w:tag w:val="_GBC_fbf07452daf745ea899de2cbc824ee75"/>
          <w:id w:val="-131618159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12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10"/>
        <w:gridCol w:w="1984"/>
        <w:gridCol w:w="1418"/>
        <w:gridCol w:w="2115"/>
        <w:gridCol w:w="2137"/>
      </w:tblGrid>
      <w:tr w:rsidR="002D0AE7" w14:paraId="72A79E31" w14:textId="77777777">
        <w:trPr>
          <w:jc w:val="center"/>
        </w:trPr>
        <w:sdt>
          <w:sdtPr>
            <w:rPr>
              <w:color w:val="000000" w:themeColor="text1"/>
              <w:sz w:val="21"/>
            </w:rPr>
            <w:tag w:val="_PLD_e479b4fdefbf45068660c7df7422a5de"/>
            <w:id w:val="1056128123"/>
          </w:sdtPr>
          <w:sdtEndPr/>
          <w:sdtContent>
            <w:tc>
              <w:tcPr>
                <w:tcW w:w="2405" w:type="dxa"/>
                <w:tcBorders>
                  <w:top w:val="single" w:sz="4" w:space="0" w:color="auto"/>
                  <w:left w:val="single" w:sz="4" w:space="0" w:color="auto"/>
                  <w:bottom w:val="single" w:sz="4" w:space="0" w:color="auto"/>
                  <w:right w:val="single" w:sz="4" w:space="0" w:color="auto"/>
                </w:tcBorders>
                <w:vAlign w:val="center"/>
              </w:tcPr>
              <w:p w14:paraId="039EBCB8" w14:textId="77777777" w:rsidR="002D0AE7" w:rsidRDefault="00333EBB">
                <w:pPr>
                  <w:jc w:val="center"/>
                  <w:rPr>
                    <w:rFonts w:hint="eastAsia"/>
                    <w:color w:val="000000" w:themeColor="text1"/>
                    <w:sz w:val="21"/>
                  </w:rPr>
                </w:pPr>
                <w:r>
                  <w:rPr>
                    <w:rFonts w:hint="eastAsia"/>
                    <w:color w:val="000000" w:themeColor="text1"/>
                    <w:sz w:val="21"/>
                  </w:rPr>
                  <w:t>项目</w:t>
                </w:r>
              </w:p>
            </w:tc>
          </w:sdtContent>
        </w:sdt>
        <w:sdt>
          <w:sdtPr>
            <w:rPr>
              <w:color w:val="000000" w:themeColor="text1"/>
              <w:sz w:val="21"/>
            </w:rPr>
            <w:tag w:val="_PLD_36daf085717e46eeb45863dfb97acc67"/>
            <w:id w:val="-1996106262"/>
          </w:sdtPr>
          <w:sdtEndPr/>
          <w:sdtContent>
            <w:tc>
              <w:tcPr>
                <w:tcW w:w="2410" w:type="dxa"/>
                <w:tcBorders>
                  <w:top w:val="single" w:sz="4" w:space="0" w:color="auto"/>
                  <w:left w:val="single" w:sz="4" w:space="0" w:color="auto"/>
                  <w:bottom w:val="single" w:sz="4" w:space="0" w:color="auto"/>
                  <w:right w:val="single" w:sz="4" w:space="0" w:color="auto"/>
                </w:tcBorders>
                <w:vAlign w:val="center"/>
              </w:tcPr>
              <w:p w14:paraId="7BBAA247" w14:textId="77777777" w:rsidR="002D0AE7" w:rsidRDefault="00333EBB">
                <w:pPr>
                  <w:jc w:val="center"/>
                  <w:rPr>
                    <w:rFonts w:hint="eastAsia"/>
                    <w:color w:val="000000" w:themeColor="text1"/>
                    <w:sz w:val="21"/>
                  </w:rPr>
                </w:pPr>
                <w:r>
                  <w:rPr>
                    <w:rFonts w:hint="eastAsia"/>
                    <w:color w:val="000000" w:themeColor="text1"/>
                    <w:sz w:val="21"/>
                  </w:rPr>
                  <w:t>账面原值</w:t>
                </w:r>
              </w:p>
            </w:tc>
          </w:sdtContent>
        </w:sdt>
        <w:sdt>
          <w:sdtPr>
            <w:rPr>
              <w:color w:val="000000" w:themeColor="text1"/>
              <w:sz w:val="21"/>
            </w:rPr>
            <w:tag w:val="_PLD_c01cccda6baa4a75a8e3f067e68a603e"/>
            <w:id w:val="-550313182"/>
          </w:sdtPr>
          <w:sdtEndPr/>
          <w:sdtContent>
            <w:tc>
              <w:tcPr>
                <w:tcW w:w="1984" w:type="dxa"/>
                <w:tcBorders>
                  <w:top w:val="single" w:sz="4" w:space="0" w:color="auto"/>
                  <w:left w:val="single" w:sz="4" w:space="0" w:color="auto"/>
                  <w:bottom w:val="single" w:sz="4" w:space="0" w:color="auto"/>
                  <w:right w:val="single" w:sz="4" w:space="0" w:color="auto"/>
                </w:tcBorders>
                <w:vAlign w:val="center"/>
              </w:tcPr>
              <w:p w14:paraId="41F069EA" w14:textId="77777777" w:rsidR="002D0AE7" w:rsidRDefault="00333EBB">
                <w:pPr>
                  <w:jc w:val="center"/>
                  <w:rPr>
                    <w:rFonts w:hint="eastAsia"/>
                    <w:color w:val="000000" w:themeColor="text1"/>
                    <w:sz w:val="21"/>
                  </w:rPr>
                </w:pPr>
                <w:r>
                  <w:rPr>
                    <w:rFonts w:hint="eastAsia"/>
                    <w:color w:val="000000" w:themeColor="text1"/>
                    <w:sz w:val="21"/>
                  </w:rPr>
                  <w:t>累计折旧</w:t>
                </w:r>
              </w:p>
            </w:tc>
          </w:sdtContent>
        </w:sdt>
        <w:sdt>
          <w:sdtPr>
            <w:rPr>
              <w:color w:val="000000" w:themeColor="text1"/>
              <w:sz w:val="21"/>
            </w:rPr>
            <w:tag w:val="_PLD_3bce2223595140b489f9e15ef462c5ba"/>
            <w:id w:val="-167100819"/>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3F1C140B" w14:textId="77777777" w:rsidR="002D0AE7" w:rsidRDefault="00333EBB">
                <w:pPr>
                  <w:jc w:val="center"/>
                  <w:rPr>
                    <w:rFonts w:hint="eastAsia"/>
                    <w:color w:val="000000" w:themeColor="text1"/>
                    <w:sz w:val="21"/>
                  </w:rPr>
                </w:pPr>
                <w:r>
                  <w:rPr>
                    <w:rFonts w:hint="eastAsia"/>
                    <w:color w:val="000000" w:themeColor="text1"/>
                    <w:sz w:val="21"/>
                  </w:rPr>
                  <w:t>减值准备</w:t>
                </w:r>
              </w:p>
            </w:tc>
          </w:sdtContent>
        </w:sdt>
        <w:sdt>
          <w:sdtPr>
            <w:rPr>
              <w:color w:val="000000" w:themeColor="text1"/>
              <w:sz w:val="21"/>
            </w:rPr>
            <w:tag w:val="_PLD_363b3c8e5d5d43a580d7bab508a70591"/>
            <w:id w:val="538860468"/>
          </w:sdtPr>
          <w:sdtEndPr/>
          <w:sdtContent>
            <w:tc>
              <w:tcPr>
                <w:tcW w:w="2115" w:type="dxa"/>
                <w:tcBorders>
                  <w:top w:val="single" w:sz="4" w:space="0" w:color="auto"/>
                  <w:left w:val="single" w:sz="4" w:space="0" w:color="auto"/>
                  <w:bottom w:val="single" w:sz="4" w:space="0" w:color="auto"/>
                  <w:right w:val="single" w:sz="4" w:space="0" w:color="auto"/>
                </w:tcBorders>
                <w:vAlign w:val="center"/>
              </w:tcPr>
              <w:p w14:paraId="3339C243" w14:textId="77777777" w:rsidR="002D0AE7" w:rsidRDefault="00333EBB">
                <w:pPr>
                  <w:jc w:val="center"/>
                  <w:rPr>
                    <w:rFonts w:hint="eastAsia"/>
                    <w:color w:val="000000" w:themeColor="text1"/>
                    <w:sz w:val="21"/>
                  </w:rPr>
                </w:pPr>
                <w:r>
                  <w:rPr>
                    <w:rFonts w:hint="eastAsia"/>
                    <w:color w:val="000000" w:themeColor="text1"/>
                    <w:sz w:val="21"/>
                  </w:rPr>
                  <w:t>账面价值</w:t>
                </w:r>
              </w:p>
            </w:tc>
          </w:sdtContent>
        </w:sdt>
        <w:sdt>
          <w:sdtPr>
            <w:rPr>
              <w:color w:val="000000" w:themeColor="text1"/>
              <w:sz w:val="21"/>
            </w:rPr>
            <w:tag w:val="_PLD_4a9bf932f0004f76987b4db5cef576e2"/>
            <w:id w:val="1869249923"/>
          </w:sdtPr>
          <w:sdtEndPr/>
          <w:sdtContent>
            <w:tc>
              <w:tcPr>
                <w:tcW w:w="2137" w:type="dxa"/>
                <w:tcBorders>
                  <w:top w:val="single" w:sz="4" w:space="0" w:color="auto"/>
                  <w:left w:val="single" w:sz="4" w:space="0" w:color="auto"/>
                  <w:bottom w:val="single" w:sz="4" w:space="0" w:color="auto"/>
                  <w:right w:val="single" w:sz="4" w:space="0" w:color="auto"/>
                </w:tcBorders>
                <w:vAlign w:val="center"/>
              </w:tcPr>
              <w:p w14:paraId="49DE5D21" w14:textId="77777777" w:rsidR="002D0AE7" w:rsidRDefault="00333EBB">
                <w:pPr>
                  <w:jc w:val="center"/>
                  <w:rPr>
                    <w:rFonts w:hint="eastAsia"/>
                    <w:color w:val="000000" w:themeColor="text1"/>
                    <w:sz w:val="21"/>
                  </w:rPr>
                </w:pPr>
                <w:r>
                  <w:rPr>
                    <w:rFonts w:hint="eastAsia"/>
                    <w:color w:val="000000" w:themeColor="text1"/>
                    <w:sz w:val="21"/>
                  </w:rPr>
                  <w:t>备注</w:t>
                </w:r>
              </w:p>
            </w:tc>
          </w:sdtContent>
        </w:sdt>
      </w:tr>
      <w:tr w:rsidR="002D0AE7" w14:paraId="45AA812A" w14:textId="77777777">
        <w:trPr>
          <w:jc w:val="center"/>
        </w:trPr>
        <w:tc>
          <w:tcPr>
            <w:tcW w:w="2405" w:type="dxa"/>
            <w:tcBorders>
              <w:top w:val="single" w:sz="4" w:space="0" w:color="auto"/>
              <w:left w:val="single" w:sz="4" w:space="0" w:color="auto"/>
              <w:bottom w:val="single" w:sz="4" w:space="0" w:color="auto"/>
              <w:right w:val="single" w:sz="4" w:space="0" w:color="auto"/>
            </w:tcBorders>
          </w:tcPr>
          <w:p w14:paraId="236CAA86" w14:textId="77777777" w:rsidR="002D0AE7" w:rsidRDefault="00333EBB">
            <w:pPr>
              <w:rPr>
                <w:rFonts w:hint="eastAsia"/>
                <w:sz w:val="21"/>
              </w:rPr>
            </w:pPr>
            <w:r>
              <w:rPr>
                <w:rFonts w:hint="eastAsia"/>
                <w:sz w:val="21"/>
              </w:rPr>
              <w:t>大输液生产联动线</w:t>
            </w:r>
          </w:p>
        </w:tc>
        <w:tc>
          <w:tcPr>
            <w:tcW w:w="2410" w:type="dxa"/>
            <w:tcBorders>
              <w:top w:val="single" w:sz="4" w:space="0" w:color="auto"/>
              <w:left w:val="single" w:sz="4" w:space="0" w:color="auto"/>
              <w:bottom w:val="single" w:sz="4" w:space="0" w:color="auto"/>
              <w:right w:val="single" w:sz="4" w:space="0" w:color="auto"/>
            </w:tcBorders>
          </w:tcPr>
          <w:p w14:paraId="1AD69FBD" w14:textId="77777777" w:rsidR="002D0AE7" w:rsidRDefault="00333EBB">
            <w:pPr>
              <w:jc w:val="right"/>
              <w:rPr>
                <w:rFonts w:ascii="Times New Roman" w:hAnsi="Times New Roman" w:cs="Times New Roman"/>
                <w:sz w:val="21"/>
              </w:rPr>
            </w:pPr>
            <w:r>
              <w:rPr>
                <w:rFonts w:ascii="Times New Roman" w:hAnsi="Times New Roman" w:cs="Times New Roman"/>
                <w:sz w:val="21"/>
              </w:rPr>
              <w:t>27,370,725.10</w:t>
            </w:r>
          </w:p>
        </w:tc>
        <w:tc>
          <w:tcPr>
            <w:tcW w:w="1984" w:type="dxa"/>
            <w:tcBorders>
              <w:top w:val="single" w:sz="4" w:space="0" w:color="auto"/>
              <w:left w:val="single" w:sz="4" w:space="0" w:color="auto"/>
              <w:bottom w:val="single" w:sz="4" w:space="0" w:color="auto"/>
              <w:right w:val="single" w:sz="4" w:space="0" w:color="auto"/>
            </w:tcBorders>
          </w:tcPr>
          <w:p w14:paraId="36BACCF5" w14:textId="77777777" w:rsidR="002D0AE7" w:rsidRDefault="00333EBB">
            <w:pPr>
              <w:jc w:val="right"/>
              <w:rPr>
                <w:rFonts w:ascii="Times New Roman" w:hAnsi="Times New Roman" w:cs="Times New Roman"/>
                <w:sz w:val="21"/>
              </w:rPr>
            </w:pPr>
            <w:r>
              <w:rPr>
                <w:rFonts w:ascii="Times New Roman" w:hAnsi="Times New Roman" w:cs="Times New Roman"/>
                <w:sz w:val="21"/>
              </w:rPr>
              <w:t>5,200,437.84</w:t>
            </w:r>
          </w:p>
        </w:tc>
        <w:tc>
          <w:tcPr>
            <w:tcW w:w="1418" w:type="dxa"/>
            <w:tcBorders>
              <w:top w:val="single" w:sz="4" w:space="0" w:color="auto"/>
              <w:left w:val="single" w:sz="4" w:space="0" w:color="auto"/>
              <w:bottom w:val="single" w:sz="4" w:space="0" w:color="auto"/>
              <w:right w:val="single" w:sz="4" w:space="0" w:color="auto"/>
            </w:tcBorders>
          </w:tcPr>
          <w:p w14:paraId="3755AECB"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c>
          <w:tcPr>
            <w:tcW w:w="2115" w:type="dxa"/>
            <w:tcBorders>
              <w:top w:val="single" w:sz="4" w:space="0" w:color="auto"/>
              <w:left w:val="single" w:sz="4" w:space="0" w:color="auto"/>
              <w:bottom w:val="single" w:sz="4" w:space="0" w:color="auto"/>
              <w:right w:val="single" w:sz="4" w:space="0" w:color="auto"/>
            </w:tcBorders>
          </w:tcPr>
          <w:p w14:paraId="6D1F68C7" w14:textId="77777777" w:rsidR="002D0AE7" w:rsidRDefault="00333EBB">
            <w:pPr>
              <w:jc w:val="right"/>
              <w:rPr>
                <w:rFonts w:ascii="Times New Roman" w:hAnsi="Times New Roman" w:cs="Times New Roman"/>
                <w:sz w:val="21"/>
              </w:rPr>
            </w:pPr>
            <w:r>
              <w:rPr>
                <w:rFonts w:ascii="Times New Roman" w:hAnsi="Times New Roman" w:cs="Times New Roman"/>
                <w:sz w:val="21"/>
              </w:rPr>
              <w:t>22,170,287.26</w:t>
            </w:r>
          </w:p>
        </w:tc>
        <w:tc>
          <w:tcPr>
            <w:tcW w:w="2137" w:type="dxa"/>
            <w:tcBorders>
              <w:top w:val="single" w:sz="4" w:space="0" w:color="auto"/>
              <w:left w:val="single" w:sz="4" w:space="0" w:color="auto"/>
              <w:bottom w:val="single" w:sz="4" w:space="0" w:color="auto"/>
              <w:right w:val="single" w:sz="4" w:space="0" w:color="auto"/>
            </w:tcBorders>
          </w:tcPr>
          <w:p w14:paraId="69037B9F" w14:textId="77777777" w:rsidR="002D0AE7" w:rsidRDefault="00333EBB">
            <w:pPr>
              <w:jc w:val="center"/>
              <w:rPr>
                <w:rFonts w:hint="eastAsia"/>
                <w:sz w:val="21"/>
              </w:rPr>
            </w:pPr>
            <w:r>
              <w:rPr>
                <w:rFonts w:hint="eastAsia"/>
                <w:sz w:val="21"/>
              </w:rPr>
              <w:t>暂未使用</w:t>
            </w:r>
          </w:p>
        </w:tc>
      </w:tr>
    </w:tbl>
    <w:p w14:paraId="392A1282" w14:textId="77777777" w:rsidR="002D0AE7" w:rsidRDefault="00333EBB">
      <w:pPr>
        <w:pStyle w:val="4"/>
        <w:numPr>
          <w:ilvl w:val="0"/>
          <w:numId w:val="51"/>
        </w:numPr>
        <w:tabs>
          <w:tab w:val="left" w:pos="588"/>
        </w:tabs>
        <w:rPr>
          <w:rFonts w:ascii="宋体" w:hAnsi="宋体" w:hint="eastAsia"/>
          <w:color w:val="000000" w:themeColor="text1"/>
          <w:kern w:val="0"/>
          <w:szCs w:val="21"/>
        </w:rPr>
      </w:pPr>
      <w:r>
        <w:rPr>
          <w:rFonts w:ascii="宋体" w:hAnsi="宋体" w:hint="eastAsia"/>
          <w:color w:val="000000" w:themeColor="text1"/>
          <w:kern w:val="0"/>
          <w:szCs w:val="21"/>
        </w:rPr>
        <w:lastRenderedPageBreak/>
        <w:t>未</w:t>
      </w:r>
      <w:r>
        <w:rPr>
          <w:rFonts w:ascii="宋体" w:hAnsi="宋体" w:hint="eastAsia"/>
          <w:color w:val="000000" w:themeColor="text1"/>
          <w:szCs w:val="21"/>
        </w:rPr>
        <w:t>办妥</w:t>
      </w:r>
      <w:r>
        <w:rPr>
          <w:rFonts w:ascii="宋体" w:hAnsi="宋体" w:hint="eastAsia"/>
          <w:color w:val="000000" w:themeColor="text1"/>
          <w:kern w:val="0"/>
          <w:szCs w:val="21"/>
        </w:rPr>
        <w:t>产权证书的固定资产情况</w:t>
      </w:r>
    </w:p>
    <w:sdt>
      <w:sdtPr>
        <w:rPr>
          <w:color w:val="000000" w:themeColor="text1"/>
        </w:rPr>
        <w:alias w:val="是否适用：未办妥产权证书的固定资产情况[双击切换]"/>
        <w:tag w:val="_GBC_a26aa363313e4c8fbedf9041cd41bfc9"/>
        <w:id w:val="18057196"/>
        <w:placeholder>
          <w:docPart w:val="GBC22222222222222222222222222222"/>
        </w:placeholder>
      </w:sdtPr>
      <w:sdtEndPr/>
      <w:sdtContent>
        <w:p w14:paraId="1E14CE6F"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1F403D8F"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未办妥产权证书的固定资产情况"/>
          <w:tag w:val="_GBC_b7780eb99c5c47be9731dc6ebe1dea77"/>
          <w:id w:val="-10317957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未办妥产权证书的固定资产情况"/>
          <w:tag w:val="_GBC_07d37ddbabe745a3b375a7706f9047dc"/>
          <w:id w:val="123481665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3116"/>
        <w:gridCol w:w="8057"/>
      </w:tblGrid>
      <w:tr w:rsidR="002D0AE7" w14:paraId="3064AE41" w14:textId="77777777">
        <w:trPr>
          <w:jc w:val="center"/>
        </w:trPr>
        <w:sdt>
          <w:sdtPr>
            <w:rPr>
              <w:color w:val="000000" w:themeColor="text1"/>
              <w:sz w:val="21"/>
            </w:rPr>
            <w:tag w:val="_PLD_1347e8d2222c4d13aa7c3569cd05e439"/>
            <w:id w:val="519743541"/>
          </w:sdtPr>
          <w:sdtEndPr/>
          <w:sdtContent>
            <w:tc>
              <w:tcPr>
                <w:tcW w:w="970" w:type="pct"/>
                <w:vAlign w:val="center"/>
              </w:tcPr>
              <w:p w14:paraId="7E866A7E" w14:textId="77777777" w:rsidR="002D0AE7" w:rsidRDefault="00333EBB">
                <w:pPr>
                  <w:jc w:val="center"/>
                  <w:rPr>
                    <w:rFonts w:hint="eastAsia"/>
                    <w:color w:val="000000" w:themeColor="text1"/>
                    <w:sz w:val="21"/>
                  </w:rPr>
                </w:pPr>
                <w:r>
                  <w:rPr>
                    <w:rFonts w:hint="eastAsia"/>
                    <w:color w:val="000000" w:themeColor="text1"/>
                    <w:sz w:val="21"/>
                  </w:rPr>
                  <w:t>项目</w:t>
                </w:r>
              </w:p>
            </w:tc>
          </w:sdtContent>
        </w:sdt>
        <w:sdt>
          <w:sdtPr>
            <w:rPr>
              <w:color w:val="000000" w:themeColor="text1"/>
              <w:sz w:val="21"/>
            </w:rPr>
            <w:tag w:val="_PLD_e14c4b6f9d874d4c86e835843a896497"/>
            <w:id w:val="1611698786"/>
          </w:sdtPr>
          <w:sdtEndPr/>
          <w:sdtContent>
            <w:tc>
              <w:tcPr>
                <w:tcW w:w="1124" w:type="pct"/>
                <w:vAlign w:val="center"/>
              </w:tcPr>
              <w:p w14:paraId="05B051EC" w14:textId="77777777" w:rsidR="002D0AE7" w:rsidRDefault="00333EBB">
                <w:pPr>
                  <w:jc w:val="center"/>
                  <w:rPr>
                    <w:rFonts w:hint="eastAsia"/>
                    <w:color w:val="000000" w:themeColor="text1"/>
                    <w:sz w:val="21"/>
                  </w:rPr>
                </w:pPr>
                <w:r>
                  <w:rPr>
                    <w:rFonts w:hint="eastAsia"/>
                    <w:color w:val="000000" w:themeColor="text1"/>
                    <w:sz w:val="21"/>
                  </w:rPr>
                  <w:t>账面价值</w:t>
                </w:r>
              </w:p>
            </w:tc>
          </w:sdtContent>
        </w:sdt>
        <w:sdt>
          <w:sdtPr>
            <w:rPr>
              <w:color w:val="000000" w:themeColor="text1"/>
              <w:sz w:val="21"/>
            </w:rPr>
            <w:tag w:val="_PLD_0735ea1c6b5c4a2395fde5f63b614530"/>
            <w:id w:val="710695655"/>
          </w:sdtPr>
          <w:sdtEndPr/>
          <w:sdtContent>
            <w:tc>
              <w:tcPr>
                <w:tcW w:w="2906" w:type="pct"/>
                <w:vAlign w:val="center"/>
              </w:tcPr>
              <w:p w14:paraId="58437ECF" w14:textId="77777777" w:rsidR="002D0AE7" w:rsidRDefault="00333EBB">
                <w:pPr>
                  <w:jc w:val="center"/>
                  <w:rPr>
                    <w:rFonts w:hint="eastAsia"/>
                    <w:color w:val="000000" w:themeColor="text1"/>
                    <w:sz w:val="21"/>
                  </w:rPr>
                </w:pPr>
                <w:r>
                  <w:rPr>
                    <w:rFonts w:hint="eastAsia"/>
                    <w:color w:val="000000" w:themeColor="text1"/>
                    <w:sz w:val="21"/>
                  </w:rPr>
                  <w:t>未办妥产权证书的原因</w:t>
                </w:r>
              </w:p>
            </w:tc>
          </w:sdtContent>
        </w:sdt>
      </w:tr>
      <w:tr w:rsidR="002D0AE7" w14:paraId="666D8C52" w14:textId="77777777">
        <w:trPr>
          <w:jc w:val="center"/>
        </w:trPr>
        <w:tc>
          <w:tcPr>
            <w:tcW w:w="970" w:type="pct"/>
          </w:tcPr>
          <w:p w14:paraId="217DD266" w14:textId="77777777" w:rsidR="002D0AE7" w:rsidRDefault="00333EBB">
            <w:pPr>
              <w:rPr>
                <w:rFonts w:hint="eastAsia"/>
                <w:sz w:val="21"/>
              </w:rPr>
            </w:pPr>
            <w:r>
              <w:rPr>
                <w:rFonts w:hint="eastAsia"/>
                <w:sz w:val="21"/>
              </w:rPr>
              <w:t>西区生物园项目</w:t>
            </w:r>
          </w:p>
        </w:tc>
        <w:tc>
          <w:tcPr>
            <w:tcW w:w="1124" w:type="pct"/>
          </w:tcPr>
          <w:p w14:paraId="72FD6446" w14:textId="77777777" w:rsidR="002D0AE7" w:rsidRDefault="00333EBB">
            <w:pPr>
              <w:jc w:val="right"/>
              <w:rPr>
                <w:rFonts w:ascii="Times New Roman" w:hAnsi="Times New Roman" w:cs="Times New Roman"/>
                <w:sz w:val="21"/>
              </w:rPr>
            </w:pPr>
            <w:r>
              <w:rPr>
                <w:rFonts w:ascii="Times New Roman" w:hAnsi="Times New Roman" w:cs="Times New Roman"/>
                <w:sz w:val="21"/>
              </w:rPr>
              <w:t>415,631,425.18</w:t>
            </w:r>
          </w:p>
        </w:tc>
        <w:tc>
          <w:tcPr>
            <w:tcW w:w="2906" w:type="pct"/>
          </w:tcPr>
          <w:p w14:paraId="7DFCCDBB" w14:textId="77777777" w:rsidR="002D0AE7" w:rsidRDefault="00333EBB">
            <w:pPr>
              <w:rPr>
                <w:rFonts w:hint="eastAsia"/>
                <w:sz w:val="21"/>
              </w:rPr>
            </w:pPr>
            <w:r>
              <w:rPr>
                <w:rFonts w:hint="eastAsia"/>
                <w:sz w:val="21"/>
              </w:rPr>
              <w:t>部分厂房已完成竣工验收和消防验收，正在做规划验收、联合验收。</w:t>
            </w:r>
          </w:p>
        </w:tc>
      </w:tr>
    </w:tbl>
    <w:p w14:paraId="13AD1CB4" w14:textId="77777777" w:rsidR="002D0AE7" w:rsidRDefault="00333EBB">
      <w:pPr>
        <w:pStyle w:val="4"/>
        <w:numPr>
          <w:ilvl w:val="0"/>
          <w:numId w:val="51"/>
        </w:numPr>
        <w:tabs>
          <w:tab w:val="left" w:pos="588"/>
        </w:tabs>
        <w:rPr>
          <w:rFonts w:ascii="宋体" w:hAnsi="宋体" w:cs="宋体" w:hint="eastAsia"/>
          <w:color w:val="000000" w:themeColor="text1"/>
          <w:kern w:val="0"/>
          <w:szCs w:val="21"/>
        </w:rPr>
      </w:pPr>
      <w:bookmarkStart w:id="182" w:name="_Hlk153460880"/>
      <w:bookmarkStart w:id="183" w:name="_Hlk167957241"/>
      <w:r>
        <w:rPr>
          <w:rFonts w:ascii="宋体" w:hAnsi="宋体" w:cs="宋体" w:hint="eastAsia"/>
          <w:color w:val="000000" w:themeColor="text1"/>
          <w:kern w:val="0"/>
          <w:szCs w:val="21"/>
        </w:rPr>
        <w:t>固定资产的减值测试情况</w:t>
      </w:r>
    </w:p>
    <w:sdt>
      <w:sdtPr>
        <w:rPr>
          <w:color w:val="000000" w:themeColor="text1"/>
        </w:rPr>
        <w:alias w:val="是否适用：减值测试情况[双击切换]"/>
        <w:tag w:val="_GBC_9a66caee6756422c9cb01da54631670e"/>
        <w:id w:val="-1539269190"/>
        <w:placeholder>
          <w:docPart w:val="GBC22222222222222222222222222222"/>
        </w:placeholder>
      </w:sdtPr>
      <w:sdtEndPr/>
      <w:sdtContent>
        <w:p w14:paraId="7332E2FB"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bookmarkEnd w:id="182"/>
    <w:bookmarkEnd w:id="183"/>
    <w:p w14:paraId="023A9CDE" w14:textId="77777777" w:rsidR="002D0AE7" w:rsidRDefault="00333EBB">
      <w:pPr>
        <w:rPr>
          <w:rFonts w:hint="eastAsia"/>
          <w:color w:val="000000" w:themeColor="text1"/>
        </w:rPr>
      </w:pPr>
      <w:r>
        <w:rPr>
          <w:rFonts w:hint="eastAsia"/>
          <w:color w:val="000000" w:themeColor="text1"/>
        </w:rPr>
        <w:t>其他说明：</w:t>
      </w:r>
      <w:sdt>
        <w:sdtPr>
          <w:rPr>
            <w:color w:val="000000" w:themeColor="text1"/>
          </w:rPr>
          <w:alias w:val="是否适用：固定资产的说明[双击切换]"/>
          <w:tag w:val="_GBC_e2fd7087594d4949ada40807334de5fb"/>
          <w:id w:val="-1699994087"/>
          <w:placeholder>
            <w:docPart w:val="GBC22222222222222222222222222222"/>
          </w:placeholder>
        </w:sdtPr>
        <w:sdtEndPr/>
        <w:sdtContent>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sdtContent>
      </w:sdt>
    </w:p>
    <w:sdt>
      <w:sdtPr>
        <w:rPr>
          <w:color w:val="000000" w:themeColor="text1"/>
        </w:rPr>
        <w:alias w:val="固定资产的说明"/>
        <w:tag w:val="_GBC_1cd9f478e6f24b25af00fb54ff820976"/>
        <w:id w:val="-705095699"/>
        <w:placeholder>
          <w:docPart w:val="GBC22222222222222222222222222222"/>
        </w:placeholder>
      </w:sdtPr>
      <w:sdtEndPr>
        <w:rPr>
          <w:rFonts w:asciiTheme="minorEastAsia" w:eastAsiaTheme="minorEastAsia" w:hAnsiTheme="minorEastAsia"/>
        </w:rPr>
      </w:sdtEndPr>
      <w:sdtContent>
        <w:p w14:paraId="1DA0907F" w14:textId="77777777" w:rsidR="002D0AE7" w:rsidRDefault="00333EBB">
          <w:pPr>
            <w:rPr>
              <w:rFonts w:asciiTheme="minorEastAsia" w:eastAsiaTheme="minorEastAsia" w:hAnsiTheme="minorEastAsia" w:hint="eastAsia"/>
              <w:sz w:val="21"/>
              <w:szCs w:val="18"/>
            </w:rPr>
          </w:pPr>
          <w:r>
            <w:rPr>
              <w:rFonts w:asciiTheme="minorEastAsia" w:eastAsiaTheme="minorEastAsia" w:hAnsiTheme="minorEastAsia"/>
              <w:sz w:val="21"/>
              <w:szCs w:val="18"/>
            </w:rPr>
            <w:t>A.</w:t>
          </w:r>
          <w:r>
            <w:rPr>
              <w:rFonts w:asciiTheme="minorEastAsia" w:eastAsiaTheme="minorEastAsia" w:hAnsiTheme="minorEastAsia"/>
              <w:sz w:val="21"/>
              <w:szCs w:val="18"/>
            </w:rPr>
            <w:t>本报告期末固定资产抵押情况：</w:t>
          </w:r>
          <w:r>
            <w:rPr>
              <w:rFonts w:asciiTheme="minorEastAsia" w:eastAsiaTheme="minorEastAsia" w:hAnsiTheme="minorEastAsia" w:hint="eastAsia"/>
              <w:sz w:val="21"/>
              <w:szCs w:val="18"/>
            </w:rPr>
            <w:t>本报告期内存在抵押房屋及建筑物，截止</w:t>
          </w:r>
          <w:r>
            <w:rPr>
              <w:rFonts w:asciiTheme="minorEastAsia" w:eastAsiaTheme="minorEastAsia" w:hAnsiTheme="minorEastAsia"/>
              <w:sz w:val="21"/>
              <w:szCs w:val="18"/>
            </w:rPr>
            <w:t>2024</w:t>
          </w:r>
          <w:r>
            <w:rPr>
              <w:rFonts w:asciiTheme="minorEastAsia" w:eastAsiaTheme="minorEastAsia" w:hAnsiTheme="minorEastAsia"/>
              <w:sz w:val="21"/>
              <w:szCs w:val="18"/>
            </w:rPr>
            <w:t>年</w:t>
          </w:r>
          <w:r>
            <w:rPr>
              <w:rFonts w:asciiTheme="minorEastAsia" w:eastAsiaTheme="minorEastAsia" w:hAnsiTheme="minorEastAsia"/>
              <w:sz w:val="21"/>
              <w:szCs w:val="18"/>
            </w:rPr>
            <w:t>6</w:t>
          </w:r>
          <w:r>
            <w:rPr>
              <w:rFonts w:asciiTheme="minorEastAsia" w:eastAsiaTheme="minorEastAsia" w:hAnsiTheme="minorEastAsia"/>
              <w:sz w:val="21"/>
              <w:szCs w:val="18"/>
            </w:rPr>
            <w:t>月</w:t>
          </w:r>
          <w:r>
            <w:rPr>
              <w:rFonts w:asciiTheme="minorEastAsia" w:eastAsiaTheme="minorEastAsia" w:hAnsiTheme="minorEastAsia"/>
              <w:sz w:val="21"/>
              <w:szCs w:val="18"/>
            </w:rPr>
            <w:t>30</w:t>
          </w:r>
          <w:r>
            <w:rPr>
              <w:rFonts w:asciiTheme="minorEastAsia" w:eastAsiaTheme="minorEastAsia" w:hAnsiTheme="minorEastAsia"/>
              <w:sz w:val="21"/>
              <w:szCs w:val="18"/>
            </w:rPr>
            <w:t>日原值为</w:t>
          </w:r>
          <w:r>
            <w:rPr>
              <w:rFonts w:ascii="Times New Roman" w:eastAsiaTheme="minorEastAsia" w:hAnsi="Times New Roman" w:cs="Times New Roman"/>
              <w:sz w:val="21"/>
              <w:szCs w:val="18"/>
            </w:rPr>
            <w:t>384,961,455.18</w:t>
          </w:r>
          <w:r>
            <w:rPr>
              <w:rFonts w:asciiTheme="minorEastAsia" w:eastAsiaTheme="minorEastAsia" w:hAnsiTheme="minorEastAsia"/>
              <w:sz w:val="21"/>
              <w:szCs w:val="18"/>
            </w:rPr>
            <w:t>元，账面价值为</w:t>
          </w:r>
          <w:r>
            <w:rPr>
              <w:rFonts w:ascii="Times New Roman" w:eastAsiaTheme="minorEastAsia" w:hAnsi="Times New Roman" w:cs="Times New Roman"/>
              <w:sz w:val="21"/>
              <w:szCs w:val="18"/>
            </w:rPr>
            <w:t>326,234,598.05</w:t>
          </w:r>
          <w:r>
            <w:rPr>
              <w:rFonts w:asciiTheme="minorEastAsia" w:eastAsiaTheme="minorEastAsia" w:hAnsiTheme="minorEastAsia"/>
              <w:sz w:val="21"/>
              <w:szCs w:val="18"/>
            </w:rPr>
            <w:t>元。</w:t>
          </w:r>
        </w:p>
        <w:p w14:paraId="33D4132F" w14:textId="77777777" w:rsidR="002D0AE7" w:rsidRDefault="00333EBB">
          <w:pPr>
            <w:rPr>
              <w:rFonts w:asciiTheme="minorEastAsia" w:eastAsiaTheme="minorEastAsia" w:hAnsiTheme="minorEastAsia" w:hint="eastAsia"/>
              <w:sz w:val="21"/>
              <w:szCs w:val="18"/>
            </w:rPr>
          </w:pPr>
          <w:r>
            <w:rPr>
              <w:rFonts w:asciiTheme="minorEastAsia" w:eastAsiaTheme="minorEastAsia" w:hAnsiTheme="minorEastAsia"/>
              <w:sz w:val="21"/>
              <w:szCs w:val="18"/>
            </w:rPr>
            <w:t>B.</w:t>
          </w:r>
          <w:r>
            <w:rPr>
              <w:rFonts w:asciiTheme="minorEastAsia" w:eastAsiaTheme="minorEastAsia" w:hAnsiTheme="minorEastAsia"/>
              <w:sz w:val="21"/>
              <w:szCs w:val="18"/>
            </w:rPr>
            <w:t>截止</w:t>
          </w:r>
          <w:r>
            <w:rPr>
              <w:rFonts w:asciiTheme="minorEastAsia" w:eastAsiaTheme="minorEastAsia" w:hAnsiTheme="minorEastAsia"/>
              <w:sz w:val="21"/>
              <w:szCs w:val="18"/>
            </w:rPr>
            <w:t>2024</w:t>
          </w:r>
          <w:r>
            <w:rPr>
              <w:rFonts w:asciiTheme="minorEastAsia" w:eastAsiaTheme="minorEastAsia" w:hAnsiTheme="minorEastAsia"/>
              <w:sz w:val="21"/>
              <w:szCs w:val="18"/>
            </w:rPr>
            <w:t>年</w:t>
          </w:r>
          <w:r>
            <w:rPr>
              <w:rFonts w:asciiTheme="minorEastAsia" w:eastAsiaTheme="minorEastAsia" w:hAnsiTheme="minorEastAsia"/>
              <w:sz w:val="21"/>
              <w:szCs w:val="18"/>
            </w:rPr>
            <w:t>6</w:t>
          </w:r>
          <w:r>
            <w:rPr>
              <w:rFonts w:asciiTheme="minorEastAsia" w:eastAsiaTheme="minorEastAsia" w:hAnsiTheme="minorEastAsia"/>
              <w:sz w:val="21"/>
              <w:szCs w:val="18"/>
            </w:rPr>
            <w:t>月</w:t>
          </w:r>
          <w:r>
            <w:rPr>
              <w:rFonts w:asciiTheme="minorEastAsia" w:eastAsiaTheme="minorEastAsia" w:hAnsiTheme="minorEastAsia"/>
              <w:sz w:val="21"/>
              <w:szCs w:val="18"/>
            </w:rPr>
            <w:t>30</w:t>
          </w:r>
          <w:r>
            <w:rPr>
              <w:rFonts w:asciiTheme="minorEastAsia" w:eastAsiaTheme="minorEastAsia" w:hAnsiTheme="minorEastAsia"/>
              <w:sz w:val="21"/>
              <w:szCs w:val="18"/>
            </w:rPr>
            <w:t>日，存在无使用价值的固定资产计提减值准备金额</w:t>
          </w:r>
          <w:r>
            <w:rPr>
              <w:rFonts w:ascii="Times New Roman" w:eastAsiaTheme="minorEastAsia" w:hAnsi="Times New Roman" w:cs="Times New Roman"/>
              <w:sz w:val="21"/>
              <w:szCs w:val="18"/>
            </w:rPr>
            <w:t>98,315,360.05</w:t>
          </w:r>
          <w:r>
            <w:rPr>
              <w:rFonts w:asciiTheme="minorEastAsia" w:eastAsiaTheme="minorEastAsia" w:hAnsiTheme="minorEastAsia"/>
              <w:sz w:val="21"/>
              <w:szCs w:val="18"/>
            </w:rPr>
            <w:t>元。</w:t>
          </w:r>
        </w:p>
      </w:sdtContent>
    </w:sdt>
    <w:p w14:paraId="69F0C1A5"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szCs w:val="21"/>
        </w:rPr>
        <w:t>在建工程</w:t>
      </w:r>
    </w:p>
    <w:p w14:paraId="5441D365" w14:textId="77777777" w:rsidR="002D0AE7" w:rsidRDefault="00333EBB">
      <w:pPr>
        <w:pStyle w:val="4"/>
        <w:rPr>
          <w:rFonts w:ascii="宋体" w:hAnsi="宋体" w:hint="eastAsia"/>
          <w:color w:val="000000" w:themeColor="text1"/>
        </w:rPr>
      </w:pPr>
      <w:bookmarkStart w:id="184" w:name="_Hlk10472757"/>
      <w:r>
        <w:rPr>
          <w:rFonts w:ascii="宋体" w:hAnsi="宋体" w:hint="eastAsia"/>
          <w:color w:val="000000" w:themeColor="text1"/>
        </w:rPr>
        <w:t>项目列示</w:t>
      </w:r>
    </w:p>
    <w:sdt>
      <w:sdtPr>
        <w:rPr>
          <w:color w:val="000000" w:themeColor="text1"/>
        </w:rPr>
        <w:alias w:val="是否适用：在建工程分类列示[双击切换]"/>
        <w:tag w:val="_GBC_bcbd4315343844fc923825dd150041e5"/>
        <w:id w:val="-2004658369"/>
        <w:placeholder>
          <w:docPart w:val="GBC22222222222222222222222222222"/>
        </w:placeholder>
      </w:sdtPr>
      <w:sdtEndPr/>
      <w:sdtContent>
        <w:p w14:paraId="7C57BE94"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4D371B64"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在建工程分类列示"/>
          <w:tag w:val="_GBC_9df8e16a6fb54a76b384d11e7a6dd52d"/>
          <w:id w:val="168902339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在建工程分类列示"/>
          <w:tag w:val="_GBC_17b0bdb7b5f24e599fcea2e90510306a"/>
          <w:id w:val="35924237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4891"/>
        <w:gridCol w:w="4497"/>
        <w:gridCol w:w="4475"/>
      </w:tblGrid>
      <w:tr w:rsidR="002D0AE7" w14:paraId="2086E357" w14:textId="77777777">
        <w:trPr>
          <w:cantSplit/>
        </w:trPr>
        <w:sdt>
          <w:sdtPr>
            <w:rPr>
              <w:color w:val="000000" w:themeColor="text1"/>
              <w:sz w:val="21"/>
            </w:rPr>
            <w:tag w:val="_PLD_3a34a6496ee4454093b17b19ba9b805d"/>
            <w:id w:val="1587653019"/>
          </w:sdtPr>
          <w:sdtEndPr/>
          <w:sdtContent>
            <w:tc>
              <w:tcPr>
                <w:tcW w:w="1764" w:type="pct"/>
                <w:vAlign w:val="center"/>
              </w:tcPr>
              <w:p w14:paraId="5622AD42" w14:textId="77777777" w:rsidR="002D0AE7" w:rsidRDefault="00333EBB">
                <w:pPr>
                  <w:jc w:val="center"/>
                  <w:rPr>
                    <w:rFonts w:hint="eastAsia"/>
                    <w:color w:val="000000" w:themeColor="text1"/>
                    <w:sz w:val="21"/>
                  </w:rPr>
                </w:pPr>
                <w:r>
                  <w:rPr>
                    <w:rFonts w:hint="eastAsia"/>
                    <w:color w:val="000000" w:themeColor="text1"/>
                    <w:sz w:val="21"/>
                  </w:rPr>
                  <w:t>项目</w:t>
                </w:r>
              </w:p>
            </w:tc>
          </w:sdtContent>
        </w:sdt>
        <w:sdt>
          <w:sdtPr>
            <w:rPr>
              <w:color w:val="000000" w:themeColor="text1"/>
              <w:sz w:val="21"/>
            </w:rPr>
            <w:tag w:val="_PLD_88973d2835334cdbb31181ad26b55912"/>
            <w:id w:val="-263391829"/>
          </w:sdtPr>
          <w:sdtEndPr/>
          <w:sdtContent>
            <w:tc>
              <w:tcPr>
                <w:tcW w:w="1622" w:type="pct"/>
                <w:vAlign w:val="center"/>
              </w:tcPr>
              <w:p w14:paraId="0B5DA654" w14:textId="77777777" w:rsidR="002D0AE7" w:rsidRDefault="00333EBB">
                <w:pPr>
                  <w:jc w:val="center"/>
                  <w:rPr>
                    <w:rFonts w:hint="eastAsia"/>
                    <w:color w:val="000000" w:themeColor="text1"/>
                    <w:sz w:val="21"/>
                  </w:rPr>
                </w:pPr>
                <w:r>
                  <w:rPr>
                    <w:rFonts w:hint="eastAsia"/>
                    <w:color w:val="000000" w:themeColor="text1"/>
                    <w:sz w:val="21"/>
                  </w:rPr>
                  <w:t>期末余额</w:t>
                </w:r>
              </w:p>
            </w:tc>
          </w:sdtContent>
        </w:sdt>
        <w:sdt>
          <w:sdtPr>
            <w:rPr>
              <w:color w:val="000000" w:themeColor="text1"/>
              <w:sz w:val="21"/>
            </w:rPr>
            <w:tag w:val="_PLD_55f5bd8851c54b7897a165bee2df0273"/>
            <w:id w:val="-58479242"/>
          </w:sdtPr>
          <w:sdtEndPr/>
          <w:sdtContent>
            <w:tc>
              <w:tcPr>
                <w:tcW w:w="1614" w:type="pct"/>
                <w:vAlign w:val="center"/>
              </w:tcPr>
              <w:p w14:paraId="22C2A6D4" w14:textId="77777777" w:rsidR="002D0AE7" w:rsidRDefault="00333EBB">
                <w:pPr>
                  <w:jc w:val="center"/>
                  <w:rPr>
                    <w:rFonts w:hint="eastAsia"/>
                    <w:color w:val="000000" w:themeColor="text1"/>
                    <w:sz w:val="21"/>
                  </w:rPr>
                </w:pPr>
                <w:r>
                  <w:rPr>
                    <w:rFonts w:hint="eastAsia"/>
                    <w:color w:val="000000" w:themeColor="text1"/>
                    <w:sz w:val="21"/>
                  </w:rPr>
                  <w:t>期初余额</w:t>
                </w:r>
              </w:p>
            </w:tc>
          </w:sdtContent>
        </w:sdt>
      </w:tr>
      <w:tr w:rsidR="002D0AE7" w14:paraId="3EE2B25F" w14:textId="77777777">
        <w:trPr>
          <w:cantSplit/>
        </w:trPr>
        <w:tc>
          <w:tcPr>
            <w:tcW w:w="1764" w:type="pct"/>
          </w:tcPr>
          <w:p w14:paraId="71CC4FA7" w14:textId="77777777" w:rsidR="002D0AE7" w:rsidRDefault="00333EBB">
            <w:pPr>
              <w:tabs>
                <w:tab w:val="right" w:pos="3690"/>
                <w:tab w:val="right" w:pos="5130"/>
                <w:tab w:val="right" w:pos="6030"/>
                <w:tab w:val="right" w:pos="7650"/>
                <w:tab w:val="right" w:pos="9270"/>
              </w:tabs>
              <w:adjustRightInd w:val="0"/>
              <w:snapToGrid w:val="0"/>
              <w:rPr>
                <w:rFonts w:hint="eastAsia"/>
                <w:color w:val="000000" w:themeColor="text1"/>
                <w:sz w:val="21"/>
              </w:rPr>
            </w:pPr>
            <w:r>
              <w:rPr>
                <w:rFonts w:hint="eastAsia"/>
                <w:color w:val="000000" w:themeColor="text1"/>
                <w:sz w:val="21"/>
              </w:rPr>
              <w:t>在建工程</w:t>
            </w:r>
          </w:p>
        </w:tc>
        <w:tc>
          <w:tcPr>
            <w:tcW w:w="1622" w:type="pct"/>
            <w:tcBorders>
              <w:top w:val="nil"/>
              <w:left w:val="nil"/>
              <w:bottom w:val="single" w:sz="8" w:space="0" w:color="auto"/>
              <w:right w:val="single" w:sz="8" w:space="0" w:color="auto"/>
            </w:tcBorders>
            <w:shd w:val="clear" w:color="auto" w:fill="auto"/>
            <w:vAlign w:val="center"/>
          </w:tcPr>
          <w:p w14:paraId="4618ABB5" w14:textId="77777777" w:rsidR="002D0AE7" w:rsidRDefault="00333EBB">
            <w:pPr>
              <w:ind w:right="5"/>
              <w:jc w:val="right"/>
              <w:rPr>
                <w:rFonts w:hint="eastAsia"/>
                <w:sz w:val="21"/>
              </w:rPr>
            </w:pPr>
            <w:r>
              <w:rPr>
                <w:rFonts w:ascii="Times New Roman" w:hAnsi="Times New Roman" w:cs="Times New Roman"/>
                <w:color w:val="000000"/>
                <w:sz w:val="21"/>
              </w:rPr>
              <w:t>30,369,333.31</w:t>
            </w:r>
          </w:p>
        </w:tc>
        <w:tc>
          <w:tcPr>
            <w:tcW w:w="1614" w:type="pct"/>
            <w:tcBorders>
              <w:top w:val="nil"/>
              <w:left w:val="nil"/>
              <w:bottom w:val="single" w:sz="8" w:space="0" w:color="auto"/>
              <w:right w:val="single" w:sz="8" w:space="0" w:color="auto"/>
            </w:tcBorders>
            <w:shd w:val="clear" w:color="auto" w:fill="auto"/>
            <w:vAlign w:val="center"/>
          </w:tcPr>
          <w:p w14:paraId="3B802A47" w14:textId="77777777" w:rsidR="002D0AE7" w:rsidRDefault="00333EBB">
            <w:pPr>
              <w:ind w:right="5"/>
              <w:jc w:val="right"/>
              <w:rPr>
                <w:rFonts w:hint="eastAsia"/>
                <w:sz w:val="21"/>
              </w:rPr>
            </w:pPr>
            <w:r>
              <w:rPr>
                <w:rFonts w:ascii="Times New Roman" w:hAnsi="Times New Roman" w:cs="Times New Roman"/>
                <w:color w:val="000000"/>
                <w:sz w:val="21"/>
              </w:rPr>
              <w:t>30,163,716.36</w:t>
            </w:r>
          </w:p>
        </w:tc>
      </w:tr>
      <w:tr w:rsidR="002D0AE7" w14:paraId="129807A6" w14:textId="77777777">
        <w:trPr>
          <w:cantSplit/>
        </w:trPr>
        <w:tc>
          <w:tcPr>
            <w:tcW w:w="1764" w:type="pct"/>
          </w:tcPr>
          <w:p w14:paraId="19E1B26B" w14:textId="77777777" w:rsidR="002D0AE7" w:rsidRDefault="00333EBB">
            <w:pPr>
              <w:tabs>
                <w:tab w:val="right" w:pos="3690"/>
                <w:tab w:val="right" w:pos="5130"/>
                <w:tab w:val="right" w:pos="6030"/>
                <w:tab w:val="right" w:pos="7650"/>
                <w:tab w:val="right" w:pos="9270"/>
              </w:tabs>
              <w:adjustRightInd w:val="0"/>
              <w:snapToGrid w:val="0"/>
              <w:rPr>
                <w:rFonts w:hint="eastAsia"/>
                <w:color w:val="000000" w:themeColor="text1"/>
                <w:sz w:val="21"/>
              </w:rPr>
            </w:pPr>
            <w:r>
              <w:rPr>
                <w:rFonts w:hint="eastAsia"/>
                <w:color w:val="000000" w:themeColor="text1"/>
                <w:sz w:val="21"/>
              </w:rPr>
              <w:t>工程物资</w:t>
            </w:r>
          </w:p>
        </w:tc>
        <w:tc>
          <w:tcPr>
            <w:tcW w:w="1622" w:type="pct"/>
            <w:tcBorders>
              <w:top w:val="nil"/>
              <w:left w:val="nil"/>
              <w:bottom w:val="single" w:sz="8" w:space="0" w:color="auto"/>
              <w:right w:val="single" w:sz="8" w:space="0" w:color="auto"/>
            </w:tcBorders>
            <w:shd w:val="clear" w:color="auto" w:fill="auto"/>
            <w:vAlign w:val="center"/>
          </w:tcPr>
          <w:p w14:paraId="0286666D" w14:textId="77777777" w:rsidR="002D0AE7" w:rsidRDefault="00333EBB">
            <w:pPr>
              <w:ind w:right="5"/>
              <w:jc w:val="right"/>
              <w:rPr>
                <w:rFonts w:hint="eastAsia"/>
                <w:sz w:val="21"/>
              </w:rPr>
            </w:pPr>
            <w:r>
              <w:rPr>
                <w:rFonts w:ascii="Times New Roman" w:hAnsi="Times New Roman" w:cs="Times New Roman"/>
                <w:color w:val="000000"/>
                <w:sz w:val="21"/>
              </w:rPr>
              <w:t>4,998,730.48</w:t>
            </w:r>
          </w:p>
        </w:tc>
        <w:tc>
          <w:tcPr>
            <w:tcW w:w="1614" w:type="pct"/>
            <w:tcBorders>
              <w:top w:val="nil"/>
              <w:left w:val="nil"/>
              <w:bottom w:val="single" w:sz="8" w:space="0" w:color="auto"/>
              <w:right w:val="single" w:sz="8" w:space="0" w:color="auto"/>
            </w:tcBorders>
            <w:shd w:val="clear" w:color="auto" w:fill="auto"/>
            <w:vAlign w:val="center"/>
          </w:tcPr>
          <w:p w14:paraId="791415DF" w14:textId="77777777" w:rsidR="002D0AE7" w:rsidRDefault="00333EBB">
            <w:pPr>
              <w:ind w:right="5"/>
              <w:jc w:val="right"/>
              <w:rPr>
                <w:rFonts w:hint="eastAsia"/>
                <w:sz w:val="21"/>
              </w:rPr>
            </w:pPr>
            <w:r>
              <w:rPr>
                <w:rFonts w:ascii="Times New Roman" w:hAnsi="Times New Roman" w:cs="Times New Roman"/>
                <w:color w:val="000000"/>
                <w:sz w:val="21"/>
              </w:rPr>
              <w:t>4,276,315.48</w:t>
            </w:r>
          </w:p>
        </w:tc>
      </w:tr>
      <w:tr w:rsidR="002D0AE7" w14:paraId="293D958C" w14:textId="77777777">
        <w:trPr>
          <w:cantSplit/>
        </w:trPr>
        <w:tc>
          <w:tcPr>
            <w:tcW w:w="1764" w:type="pct"/>
            <w:vAlign w:val="center"/>
          </w:tcPr>
          <w:p w14:paraId="6D6A2A9E" w14:textId="77777777" w:rsidR="002D0AE7" w:rsidRDefault="00333EBB">
            <w:pPr>
              <w:autoSpaceDE w:val="0"/>
              <w:autoSpaceDN w:val="0"/>
              <w:adjustRightInd w:val="0"/>
              <w:jc w:val="center"/>
              <w:rPr>
                <w:rFonts w:hint="eastAsia"/>
                <w:color w:val="000000" w:themeColor="text1"/>
                <w:sz w:val="21"/>
              </w:rPr>
            </w:pPr>
            <w:r>
              <w:rPr>
                <w:rFonts w:hint="eastAsia"/>
                <w:color w:val="000000" w:themeColor="text1"/>
                <w:sz w:val="21"/>
              </w:rPr>
              <w:t>合计</w:t>
            </w:r>
          </w:p>
        </w:tc>
        <w:tc>
          <w:tcPr>
            <w:tcW w:w="1622" w:type="pct"/>
            <w:tcBorders>
              <w:top w:val="nil"/>
              <w:left w:val="nil"/>
              <w:bottom w:val="single" w:sz="8" w:space="0" w:color="auto"/>
              <w:right w:val="single" w:sz="8" w:space="0" w:color="auto"/>
            </w:tcBorders>
            <w:shd w:val="clear" w:color="auto" w:fill="auto"/>
            <w:vAlign w:val="center"/>
          </w:tcPr>
          <w:p w14:paraId="1CF1DBE6" w14:textId="77777777" w:rsidR="002D0AE7" w:rsidRDefault="00333EBB">
            <w:pPr>
              <w:jc w:val="right"/>
              <w:rPr>
                <w:rFonts w:hint="eastAsia"/>
                <w:sz w:val="21"/>
              </w:rPr>
            </w:pPr>
            <w:r>
              <w:rPr>
                <w:rFonts w:ascii="Times New Roman" w:hAnsi="Times New Roman" w:cs="Times New Roman"/>
                <w:color w:val="000000"/>
                <w:sz w:val="21"/>
              </w:rPr>
              <w:t>35,368,063.79</w:t>
            </w:r>
          </w:p>
        </w:tc>
        <w:tc>
          <w:tcPr>
            <w:tcW w:w="1614" w:type="pct"/>
            <w:tcBorders>
              <w:top w:val="nil"/>
              <w:left w:val="nil"/>
              <w:bottom w:val="single" w:sz="8" w:space="0" w:color="auto"/>
              <w:right w:val="single" w:sz="8" w:space="0" w:color="auto"/>
            </w:tcBorders>
            <w:shd w:val="clear" w:color="auto" w:fill="auto"/>
            <w:vAlign w:val="center"/>
          </w:tcPr>
          <w:p w14:paraId="058DBAA2" w14:textId="77777777" w:rsidR="002D0AE7" w:rsidRDefault="00333EBB">
            <w:pPr>
              <w:ind w:right="5"/>
              <w:jc w:val="right"/>
              <w:rPr>
                <w:rFonts w:hint="eastAsia"/>
                <w:sz w:val="21"/>
              </w:rPr>
            </w:pPr>
            <w:r>
              <w:rPr>
                <w:rFonts w:ascii="Times New Roman" w:hAnsi="Times New Roman" w:cs="Times New Roman"/>
                <w:color w:val="000000"/>
                <w:sz w:val="21"/>
              </w:rPr>
              <w:t>34,440,031.84</w:t>
            </w:r>
          </w:p>
        </w:tc>
      </w:tr>
    </w:tbl>
    <w:p w14:paraId="3A9ED448" w14:textId="77777777" w:rsidR="002D0AE7" w:rsidRDefault="00333EBB">
      <w:pPr>
        <w:rPr>
          <w:rFonts w:hint="eastAsia"/>
          <w:color w:val="000000" w:themeColor="text1"/>
        </w:rPr>
      </w:pPr>
      <w:bookmarkStart w:id="185" w:name="_Hlk10472837"/>
      <w:bookmarkStart w:id="186" w:name="_Hlk10472848"/>
      <w:bookmarkEnd w:id="184"/>
      <w:r>
        <w:rPr>
          <w:rFonts w:hint="eastAsia"/>
          <w:color w:val="000000" w:themeColor="text1"/>
          <w:sz w:val="21"/>
        </w:rPr>
        <w:t>其他说明：</w:t>
      </w:r>
      <w:bookmarkEnd w:id="185"/>
      <w:sdt>
        <w:sdtPr>
          <w:rPr>
            <w:color w:val="000000" w:themeColor="text1"/>
            <w:sz w:val="21"/>
          </w:rPr>
          <w:alias w:val="在建工程分类列示其他说明"/>
          <w:tag w:val="_GBC_ebe1a06b82914095a2c469c32c78af71"/>
          <w:id w:val="-106439499"/>
          <w:placeholder>
            <w:docPart w:val="GBC22222222222222222222222222222"/>
          </w:placeholder>
        </w:sdtPr>
        <w:sdtEndPr>
          <w:rPr>
            <w:sz w:val="24"/>
          </w:rPr>
        </w:sdtEndPr>
        <w:sdtContent>
          <w:r>
            <w:rPr>
              <w:rFonts w:hint="eastAsia"/>
              <w:color w:val="000000" w:themeColor="text1"/>
              <w:sz w:val="21"/>
            </w:rPr>
            <w:t>无</w:t>
          </w:r>
        </w:sdtContent>
      </w:sdt>
    </w:p>
    <w:bookmarkEnd w:id="186"/>
    <w:p w14:paraId="7A429F60" w14:textId="77777777" w:rsidR="002D0AE7" w:rsidRDefault="00333EBB">
      <w:pPr>
        <w:pStyle w:val="4"/>
        <w:rPr>
          <w:rFonts w:ascii="宋体" w:hAnsi="宋体" w:hint="eastAsia"/>
          <w:color w:val="000000" w:themeColor="text1"/>
        </w:rPr>
      </w:pPr>
      <w:r>
        <w:rPr>
          <w:rFonts w:ascii="宋体" w:hAnsi="宋体" w:hint="eastAsia"/>
          <w:color w:val="000000" w:themeColor="text1"/>
        </w:rPr>
        <w:t>在建工程</w:t>
      </w:r>
    </w:p>
    <w:p w14:paraId="68E9222E" w14:textId="77777777" w:rsidR="002D0AE7" w:rsidRDefault="00333EBB">
      <w:pPr>
        <w:pStyle w:val="4"/>
        <w:numPr>
          <w:ilvl w:val="0"/>
          <w:numId w:val="52"/>
        </w:numPr>
        <w:tabs>
          <w:tab w:val="left" w:pos="588"/>
        </w:tabs>
        <w:rPr>
          <w:rFonts w:ascii="宋体" w:hAnsi="宋体" w:hint="eastAsia"/>
          <w:color w:val="000000" w:themeColor="text1"/>
          <w:szCs w:val="21"/>
        </w:rPr>
      </w:pPr>
      <w:r>
        <w:rPr>
          <w:rFonts w:ascii="宋体" w:hAnsi="宋体" w:hint="eastAsia"/>
          <w:color w:val="000000" w:themeColor="text1"/>
          <w:szCs w:val="21"/>
        </w:rPr>
        <w:t>在建工程情况</w:t>
      </w:r>
    </w:p>
    <w:sdt>
      <w:sdtPr>
        <w:rPr>
          <w:color w:val="000000" w:themeColor="text1"/>
        </w:rPr>
        <w:alias w:val="是否适用：在建工程情况[双击切换]"/>
        <w:tag w:val="_GBC_d9828cc7ad534f26902e1979f9d67530"/>
        <w:id w:val="-2024385851"/>
        <w:placeholder>
          <w:docPart w:val="GBC22222222222222222222222222222"/>
        </w:placeholder>
      </w:sdtPr>
      <w:sdtEndPr/>
      <w:sdtContent>
        <w:p w14:paraId="52D125BD"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3CA19422"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在建工程"/>
          <w:tag w:val="_GBC_d20598ce3f5b4d21a9055de674936a9a"/>
          <w:id w:val="-149972013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在建工程"/>
          <w:tag w:val="_GBC_9e96d736daa247dd96af144329fff105"/>
          <w:id w:val="14987661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3116"/>
        <w:gridCol w:w="1699"/>
        <w:gridCol w:w="1844"/>
        <w:gridCol w:w="1844"/>
        <w:gridCol w:w="1701"/>
        <w:gridCol w:w="1564"/>
        <w:gridCol w:w="1693"/>
      </w:tblGrid>
      <w:tr w:rsidR="002D0AE7" w14:paraId="5A1B3B26" w14:textId="77777777">
        <w:trPr>
          <w:cantSplit/>
          <w:jc w:val="center"/>
        </w:trPr>
        <w:sdt>
          <w:sdtPr>
            <w:rPr>
              <w:color w:val="000000" w:themeColor="text1"/>
              <w:sz w:val="21"/>
            </w:rPr>
            <w:tag w:val="_PLD_27b31695edfd49cb9cafa333777d18c3"/>
            <w:id w:val="-280649147"/>
          </w:sdtPr>
          <w:sdtEndPr/>
          <w:sdtContent>
            <w:tc>
              <w:tcPr>
                <w:tcW w:w="1157" w:type="pct"/>
                <w:vMerge w:val="restart"/>
                <w:vAlign w:val="center"/>
              </w:tcPr>
              <w:p w14:paraId="1DBCB957" w14:textId="77777777" w:rsidR="002D0AE7" w:rsidRDefault="00333EBB">
                <w:pPr>
                  <w:jc w:val="center"/>
                  <w:rPr>
                    <w:rFonts w:hint="eastAsia"/>
                    <w:color w:val="000000" w:themeColor="text1"/>
                    <w:sz w:val="21"/>
                  </w:rPr>
                </w:pPr>
                <w:r>
                  <w:rPr>
                    <w:rFonts w:hint="eastAsia"/>
                    <w:color w:val="000000" w:themeColor="text1"/>
                    <w:sz w:val="21"/>
                  </w:rPr>
                  <w:t>项目</w:t>
                </w:r>
              </w:p>
            </w:tc>
          </w:sdtContent>
        </w:sdt>
        <w:sdt>
          <w:sdtPr>
            <w:rPr>
              <w:color w:val="000000" w:themeColor="text1"/>
              <w:sz w:val="21"/>
            </w:rPr>
            <w:tag w:val="_PLD_a5273bde7b2f4c6c8fbe3ea2d7a7eb84"/>
            <w:id w:val="-1856111977"/>
          </w:sdtPr>
          <w:sdtEndPr/>
          <w:sdtContent>
            <w:tc>
              <w:tcPr>
                <w:tcW w:w="2000" w:type="pct"/>
                <w:gridSpan w:val="3"/>
                <w:vAlign w:val="center"/>
              </w:tcPr>
              <w:p w14:paraId="6C1F020A" w14:textId="77777777" w:rsidR="002D0AE7" w:rsidRDefault="00333EBB">
                <w:pPr>
                  <w:jc w:val="center"/>
                  <w:rPr>
                    <w:rFonts w:hint="eastAsia"/>
                    <w:color w:val="000000" w:themeColor="text1"/>
                    <w:sz w:val="21"/>
                  </w:rPr>
                </w:pPr>
                <w:r>
                  <w:rPr>
                    <w:rFonts w:hint="eastAsia"/>
                    <w:color w:val="000000" w:themeColor="text1"/>
                    <w:sz w:val="21"/>
                  </w:rPr>
                  <w:t>期末余额</w:t>
                </w:r>
              </w:p>
            </w:tc>
          </w:sdtContent>
        </w:sdt>
        <w:sdt>
          <w:sdtPr>
            <w:rPr>
              <w:color w:val="000000" w:themeColor="text1"/>
              <w:sz w:val="21"/>
            </w:rPr>
            <w:tag w:val="_PLD_ac57490b080449c8b91be5a872e19f79"/>
            <w:id w:val="-663629851"/>
          </w:sdtPr>
          <w:sdtEndPr/>
          <w:sdtContent>
            <w:tc>
              <w:tcPr>
                <w:tcW w:w="1843" w:type="pct"/>
                <w:gridSpan w:val="3"/>
                <w:vAlign w:val="center"/>
              </w:tcPr>
              <w:p w14:paraId="7C9E25C0" w14:textId="77777777" w:rsidR="002D0AE7" w:rsidRDefault="00333EBB">
                <w:pPr>
                  <w:jc w:val="center"/>
                  <w:rPr>
                    <w:rFonts w:hint="eastAsia"/>
                    <w:color w:val="000000" w:themeColor="text1"/>
                    <w:sz w:val="21"/>
                  </w:rPr>
                </w:pPr>
                <w:r>
                  <w:rPr>
                    <w:rFonts w:hint="eastAsia"/>
                    <w:color w:val="000000" w:themeColor="text1"/>
                    <w:sz w:val="21"/>
                  </w:rPr>
                  <w:t>期初余额</w:t>
                </w:r>
              </w:p>
            </w:tc>
          </w:sdtContent>
        </w:sdt>
      </w:tr>
      <w:tr w:rsidR="002D0AE7" w14:paraId="55C1E538" w14:textId="77777777">
        <w:trPr>
          <w:cantSplit/>
          <w:jc w:val="center"/>
        </w:trPr>
        <w:tc>
          <w:tcPr>
            <w:tcW w:w="1157" w:type="pct"/>
            <w:vMerge/>
            <w:vAlign w:val="center"/>
          </w:tcPr>
          <w:p w14:paraId="61B8F925" w14:textId="77777777" w:rsidR="002D0AE7" w:rsidRDefault="002D0AE7">
            <w:pPr>
              <w:tabs>
                <w:tab w:val="left" w:pos="420"/>
              </w:tabs>
              <w:ind w:left="420" w:hanging="420"/>
              <w:jc w:val="center"/>
              <w:rPr>
                <w:rFonts w:hint="eastAsia"/>
                <w:color w:val="000000" w:themeColor="text1"/>
                <w:sz w:val="21"/>
              </w:rPr>
            </w:pPr>
          </w:p>
        </w:tc>
        <w:sdt>
          <w:sdtPr>
            <w:rPr>
              <w:color w:val="000000" w:themeColor="text1"/>
              <w:sz w:val="21"/>
            </w:rPr>
            <w:tag w:val="_PLD_1d60491359e245e7bc54655c8c8c15fd"/>
            <w:id w:val="-368829841"/>
          </w:sdtPr>
          <w:sdtEndPr/>
          <w:sdtContent>
            <w:tc>
              <w:tcPr>
                <w:tcW w:w="631" w:type="pct"/>
                <w:vAlign w:val="center"/>
              </w:tcPr>
              <w:p w14:paraId="103AE034" w14:textId="77777777" w:rsidR="002D0AE7" w:rsidRDefault="00333EBB">
                <w:pPr>
                  <w:tabs>
                    <w:tab w:val="left" w:pos="420"/>
                  </w:tabs>
                  <w:ind w:left="420" w:hanging="420"/>
                  <w:jc w:val="center"/>
                  <w:rPr>
                    <w:rFonts w:hint="eastAsia"/>
                    <w:color w:val="000000" w:themeColor="text1"/>
                    <w:sz w:val="21"/>
                  </w:rPr>
                </w:pPr>
                <w:r>
                  <w:rPr>
                    <w:rFonts w:hint="eastAsia"/>
                    <w:color w:val="000000" w:themeColor="text1"/>
                    <w:sz w:val="21"/>
                  </w:rPr>
                  <w:t>账面余额</w:t>
                </w:r>
              </w:p>
            </w:tc>
          </w:sdtContent>
        </w:sdt>
        <w:sdt>
          <w:sdtPr>
            <w:rPr>
              <w:color w:val="000000" w:themeColor="text1"/>
              <w:sz w:val="21"/>
            </w:rPr>
            <w:tag w:val="_PLD_d5d8fa5186d44c82b146ad7151830389"/>
            <w:id w:val="1867722690"/>
          </w:sdtPr>
          <w:sdtEndPr/>
          <w:sdtContent>
            <w:tc>
              <w:tcPr>
                <w:tcW w:w="685" w:type="pct"/>
                <w:vAlign w:val="center"/>
              </w:tcPr>
              <w:p w14:paraId="3DB7E39D" w14:textId="77777777" w:rsidR="002D0AE7" w:rsidRDefault="00333EBB">
                <w:pPr>
                  <w:tabs>
                    <w:tab w:val="left" w:pos="420"/>
                  </w:tabs>
                  <w:ind w:left="420" w:hanging="420"/>
                  <w:jc w:val="center"/>
                  <w:rPr>
                    <w:rFonts w:hint="eastAsia"/>
                    <w:color w:val="000000" w:themeColor="text1"/>
                    <w:sz w:val="21"/>
                  </w:rPr>
                </w:pPr>
                <w:r>
                  <w:rPr>
                    <w:rFonts w:hint="eastAsia"/>
                    <w:color w:val="000000" w:themeColor="text1"/>
                    <w:sz w:val="21"/>
                  </w:rPr>
                  <w:t>减值准备</w:t>
                </w:r>
              </w:p>
            </w:tc>
          </w:sdtContent>
        </w:sdt>
        <w:sdt>
          <w:sdtPr>
            <w:rPr>
              <w:color w:val="000000" w:themeColor="text1"/>
              <w:sz w:val="21"/>
            </w:rPr>
            <w:tag w:val="_PLD_49aa1c2d25814b789479d76afb6fc844"/>
            <w:id w:val="-2101012433"/>
          </w:sdtPr>
          <w:sdtEndPr/>
          <w:sdtContent>
            <w:tc>
              <w:tcPr>
                <w:tcW w:w="685" w:type="pct"/>
                <w:vAlign w:val="center"/>
              </w:tcPr>
              <w:p w14:paraId="52A3C4C4" w14:textId="77777777" w:rsidR="002D0AE7" w:rsidRDefault="00333EBB">
                <w:pPr>
                  <w:tabs>
                    <w:tab w:val="left" w:pos="420"/>
                  </w:tabs>
                  <w:ind w:left="420" w:hanging="420"/>
                  <w:jc w:val="center"/>
                  <w:rPr>
                    <w:rFonts w:hint="eastAsia"/>
                    <w:color w:val="000000" w:themeColor="text1"/>
                    <w:sz w:val="21"/>
                  </w:rPr>
                </w:pPr>
                <w:r>
                  <w:rPr>
                    <w:rFonts w:hint="eastAsia"/>
                    <w:color w:val="000000" w:themeColor="text1"/>
                    <w:sz w:val="21"/>
                  </w:rPr>
                  <w:t>账面价值</w:t>
                </w:r>
              </w:p>
            </w:tc>
          </w:sdtContent>
        </w:sdt>
        <w:sdt>
          <w:sdtPr>
            <w:rPr>
              <w:color w:val="000000" w:themeColor="text1"/>
              <w:sz w:val="21"/>
            </w:rPr>
            <w:tag w:val="_PLD_4bba2db5e5a549ecafbf4e94a7af2e35"/>
            <w:id w:val="54053268"/>
          </w:sdtPr>
          <w:sdtEndPr/>
          <w:sdtContent>
            <w:tc>
              <w:tcPr>
                <w:tcW w:w="632" w:type="pct"/>
                <w:vAlign w:val="center"/>
              </w:tcPr>
              <w:p w14:paraId="6FC07F06" w14:textId="77777777" w:rsidR="002D0AE7" w:rsidRDefault="00333EBB">
                <w:pPr>
                  <w:tabs>
                    <w:tab w:val="left" w:pos="420"/>
                  </w:tabs>
                  <w:ind w:left="420" w:hanging="420"/>
                  <w:jc w:val="center"/>
                  <w:rPr>
                    <w:rFonts w:hint="eastAsia"/>
                    <w:color w:val="000000" w:themeColor="text1"/>
                    <w:sz w:val="21"/>
                  </w:rPr>
                </w:pPr>
                <w:r>
                  <w:rPr>
                    <w:rFonts w:hint="eastAsia"/>
                    <w:color w:val="000000" w:themeColor="text1"/>
                    <w:sz w:val="21"/>
                  </w:rPr>
                  <w:t>账面余额</w:t>
                </w:r>
              </w:p>
            </w:tc>
          </w:sdtContent>
        </w:sdt>
        <w:sdt>
          <w:sdtPr>
            <w:rPr>
              <w:color w:val="000000" w:themeColor="text1"/>
              <w:sz w:val="21"/>
            </w:rPr>
            <w:tag w:val="_PLD_e054d8cd1e1b4672ae08a495b587bdce"/>
            <w:id w:val="-1502113006"/>
          </w:sdtPr>
          <w:sdtEndPr/>
          <w:sdtContent>
            <w:tc>
              <w:tcPr>
                <w:tcW w:w="581" w:type="pct"/>
                <w:vAlign w:val="center"/>
              </w:tcPr>
              <w:p w14:paraId="46D5F1A1" w14:textId="77777777" w:rsidR="002D0AE7" w:rsidRDefault="00333EBB">
                <w:pPr>
                  <w:tabs>
                    <w:tab w:val="left" w:pos="420"/>
                  </w:tabs>
                  <w:ind w:left="420" w:hanging="420"/>
                  <w:jc w:val="center"/>
                  <w:rPr>
                    <w:rFonts w:hint="eastAsia"/>
                    <w:color w:val="000000" w:themeColor="text1"/>
                    <w:sz w:val="21"/>
                  </w:rPr>
                </w:pPr>
                <w:r>
                  <w:rPr>
                    <w:rFonts w:hint="eastAsia"/>
                    <w:color w:val="000000" w:themeColor="text1"/>
                    <w:sz w:val="21"/>
                  </w:rPr>
                  <w:t>减值准备</w:t>
                </w:r>
              </w:p>
            </w:tc>
          </w:sdtContent>
        </w:sdt>
        <w:sdt>
          <w:sdtPr>
            <w:rPr>
              <w:color w:val="000000" w:themeColor="text1"/>
              <w:sz w:val="21"/>
            </w:rPr>
            <w:tag w:val="_PLD_bd3055c2713a44fa9cbd3fd973d34c6a"/>
            <w:id w:val="1978029980"/>
          </w:sdtPr>
          <w:sdtEndPr/>
          <w:sdtContent>
            <w:tc>
              <w:tcPr>
                <w:tcW w:w="631" w:type="pct"/>
                <w:vAlign w:val="center"/>
              </w:tcPr>
              <w:p w14:paraId="18A38F6C" w14:textId="77777777" w:rsidR="002D0AE7" w:rsidRDefault="00333EBB">
                <w:pPr>
                  <w:tabs>
                    <w:tab w:val="left" w:pos="420"/>
                  </w:tabs>
                  <w:ind w:left="420" w:hanging="420"/>
                  <w:jc w:val="center"/>
                  <w:rPr>
                    <w:rFonts w:hint="eastAsia"/>
                    <w:color w:val="000000" w:themeColor="text1"/>
                    <w:sz w:val="21"/>
                  </w:rPr>
                </w:pPr>
                <w:r>
                  <w:rPr>
                    <w:rFonts w:hint="eastAsia"/>
                    <w:color w:val="000000" w:themeColor="text1"/>
                    <w:sz w:val="21"/>
                  </w:rPr>
                  <w:t>账面价值</w:t>
                </w:r>
              </w:p>
            </w:tc>
          </w:sdtContent>
        </w:sdt>
      </w:tr>
      <w:tr w:rsidR="002D0AE7" w14:paraId="79486367" w14:textId="77777777">
        <w:trPr>
          <w:cantSplit/>
          <w:jc w:val="center"/>
        </w:trPr>
        <w:tc>
          <w:tcPr>
            <w:tcW w:w="1157" w:type="pct"/>
          </w:tcPr>
          <w:p w14:paraId="0A837E06" w14:textId="77777777" w:rsidR="002D0AE7" w:rsidRDefault="00333EBB">
            <w:pPr>
              <w:rPr>
                <w:rFonts w:hint="eastAsia"/>
                <w:sz w:val="21"/>
              </w:rPr>
            </w:pPr>
            <w:r>
              <w:rPr>
                <w:rFonts w:hint="eastAsia"/>
                <w:sz w:val="21"/>
              </w:rPr>
              <w:t>激素小产品和无菌原料药车间</w:t>
            </w:r>
          </w:p>
        </w:tc>
        <w:tc>
          <w:tcPr>
            <w:tcW w:w="631" w:type="pct"/>
          </w:tcPr>
          <w:p w14:paraId="71865623" w14:textId="77777777" w:rsidR="002D0AE7" w:rsidRDefault="00333EBB">
            <w:pPr>
              <w:ind w:right="105"/>
              <w:jc w:val="right"/>
              <w:rPr>
                <w:rFonts w:hint="eastAsia"/>
                <w:sz w:val="21"/>
              </w:rPr>
            </w:pPr>
            <w:r>
              <w:rPr>
                <w:rFonts w:ascii="Times New Roman" w:hAnsi="Times New Roman" w:cs="Times New Roman"/>
                <w:sz w:val="21"/>
              </w:rPr>
              <w:t>12,969,711.53</w:t>
            </w:r>
          </w:p>
        </w:tc>
        <w:tc>
          <w:tcPr>
            <w:tcW w:w="685" w:type="pct"/>
          </w:tcPr>
          <w:p w14:paraId="49A37221" w14:textId="77777777" w:rsidR="002D0AE7" w:rsidRDefault="00333EBB">
            <w:pPr>
              <w:ind w:right="73"/>
              <w:jc w:val="right"/>
              <w:rPr>
                <w:rFonts w:hint="eastAsia"/>
                <w:sz w:val="21"/>
              </w:rPr>
            </w:pPr>
            <w:r>
              <w:rPr>
                <w:rFonts w:ascii="Times New Roman" w:hAnsi="Times New Roman" w:cs="Times New Roman" w:hint="eastAsia"/>
                <w:sz w:val="21"/>
              </w:rPr>
              <w:t>0.00</w:t>
            </w:r>
          </w:p>
        </w:tc>
        <w:tc>
          <w:tcPr>
            <w:tcW w:w="685" w:type="pct"/>
          </w:tcPr>
          <w:p w14:paraId="1E5E27BE" w14:textId="77777777" w:rsidR="002D0AE7" w:rsidRDefault="00333EBB">
            <w:pPr>
              <w:ind w:right="73"/>
              <w:jc w:val="right"/>
              <w:rPr>
                <w:rFonts w:hint="eastAsia"/>
                <w:sz w:val="21"/>
              </w:rPr>
            </w:pPr>
            <w:r>
              <w:rPr>
                <w:rFonts w:ascii="Times New Roman" w:hAnsi="Times New Roman" w:cs="Times New Roman"/>
                <w:sz w:val="21"/>
              </w:rPr>
              <w:t>12,969,711.53</w:t>
            </w:r>
          </w:p>
        </w:tc>
        <w:tc>
          <w:tcPr>
            <w:tcW w:w="632" w:type="pct"/>
          </w:tcPr>
          <w:p w14:paraId="1D277001" w14:textId="77777777" w:rsidR="002D0AE7" w:rsidRDefault="00333EBB">
            <w:pPr>
              <w:jc w:val="right"/>
              <w:rPr>
                <w:rFonts w:hint="eastAsia"/>
                <w:sz w:val="21"/>
              </w:rPr>
            </w:pPr>
            <w:r>
              <w:rPr>
                <w:rFonts w:ascii="Times New Roman" w:hAnsi="Times New Roman" w:cs="Times New Roman"/>
                <w:sz w:val="21"/>
              </w:rPr>
              <w:t>12,969,711.53</w:t>
            </w:r>
          </w:p>
        </w:tc>
        <w:tc>
          <w:tcPr>
            <w:tcW w:w="581" w:type="pct"/>
          </w:tcPr>
          <w:p w14:paraId="0D0090E3" w14:textId="77777777" w:rsidR="002D0AE7" w:rsidRDefault="00333EBB">
            <w:pPr>
              <w:jc w:val="right"/>
              <w:rPr>
                <w:rFonts w:hint="eastAsia"/>
                <w:sz w:val="21"/>
              </w:rPr>
            </w:pPr>
            <w:r>
              <w:rPr>
                <w:rFonts w:ascii="Times New Roman" w:hAnsi="Times New Roman" w:cs="Times New Roman" w:hint="eastAsia"/>
                <w:sz w:val="21"/>
              </w:rPr>
              <w:t>0.00</w:t>
            </w:r>
          </w:p>
        </w:tc>
        <w:tc>
          <w:tcPr>
            <w:tcW w:w="631" w:type="pct"/>
          </w:tcPr>
          <w:p w14:paraId="69C3029E" w14:textId="77777777" w:rsidR="002D0AE7" w:rsidRDefault="00333EBB">
            <w:pPr>
              <w:jc w:val="right"/>
              <w:rPr>
                <w:rFonts w:hint="eastAsia"/>
                <w:sz w:val="21"/>
              </w:rPr>
            </w:pPr>
            <w:r>
              <w:rPr>
                <w:rFonts w:ascii="Times New Roman" w:hAnsi="Times New Roman" w:cs="Times New Roman"/>
                <w:sz w:val="21"/>
              </w:rPr>
              <w:t>12,969,711.53</w:t>
            </w:r>
          </w:p>
        </w:tc>
      </w:tr>
      <w:tr w:rsidR="002D0AE7" w14:paraId="185F17E9" w14:textId="77777777">
        <w:trPr>
          <w:cantSplit/>
          <w:jc w:val="center"/>
        </w:trPr>
        <w:tc>
          <w:tcPr>
            <w:tcW w:w="1157" w:type="pct"/>
          </w:tcPr>
          <w:p w14:paraId="691A57DB" w14:textId="77777777" w:rsidR="002D0AE7" w:rsidRDefault="00333EBB">
            <w:pPr>
              <w:rPr>
                <w:rFonts w:hint="eastAsia"/>
                <w:sz w:val="21"/>
              </w:rPr>
            </w:pPr>
            <w:r>
              <w:rPr>
                <w:rFonts w:hint="eastAsia"/>
                <w:sz w:val="21"/>
              </w:rPr>
              <w:lastRenderedPageBreak/>
              <w:t>氨冷冻站改造项目</w:t>
            </w:r>
          </w:p>
        </w:tc>
        <w:tc>
          <w:tcPr>
            <w:tcW w:w="631" w:type="pct"/>
          </w:tcPr>
          <w:p w14:paraId="32A96D10" w14:textId="77777777" w:rsidR="002D0AE7" w:rsidRDefault="00333EBB">
            <w:pPr>
              <w:ind w:right="105"/>
              <w:jc w:val="right"/>
              <w:rPr>
                <w:rFonts w:hint="eastAsia"/>
                <w:sz w:val="21"/>
              </w:rPr>
            </w:pPr>
            <w:r>
              <w:rPr>
                <w:rFonts w:ascii="Times New Roman" w:hAnsi="Times New Roman" w:cs="Times New Roman" w:hint="eastAsia"/>
                <w:sz w:val="21"/>
              </w:rPr>
              <w:t>0.00</w:t>
            </w:r>
          </w:p>
        </w:tc>
        <w:tc>
          <w:tcPr>
            <w:tcW w:w="685" w:type="pct"/>
          </w:tcPr>
          <w:p w14:paraId="28C9C5FF" w14:textId="77777777" w:rsidR="002D0AE7" w:rsidRDefault="00333EBB">
            <w:pPr>
              <w:ind w:right="73"/>
              <w:jc w:val="right"/>
              <w:rPr>
                <w:rFonts w:hint="eastAsia"/>
                <w:sz w:val="21"/>
              </w:rPr>
            </w:pPr>
            <w:r>
              <w:rPr>
                <w:rFonts w:ascii="Times New Roman" w:hAnsi="Times New Roman" w:cs="Times New Roman" w:hint="eastAsia"/>
                <w:sz w:val="21"/>
              </w:rPr>
              <w:t>0.00</w:t>
            </w:r>
          </w:p>
        </w:tc>
        <w:tc>
          <w:tcPr>
            <w:tcW w:w="685" w:type="pct"/>
          </w:tcPr>
          <w:p w14:paraId="5FBD908A" w14:textId="77777777" w:rsidR="002D0AE7" w:rsidRDefault="00333EBB">
            <w:pPr>
              <w:ind w:right="73"/>
              <w:jc w:val="right"/>
              <w:rPr>
                <w:rFonts w:hint="eastAsia"/>
                <w:sz w:val="21"/>
              </w:rPr>
            </w:pPr>
            <w:r>
              <w:rPr>
                <w:rFonts w:ascii="Times New Roman" w:hAnsi="Times New Roman" w:cs="Times New Roman" w:hint="eastAsia"/>
                <w:sz w:val="21"/>
              </w:rPr>
              <w:t>0.00</w:t>
            </w:r>
          </w:p>
        </w:tc>
        <w:tc>
          <w:tcPr>
            <w:tcW w:w="632" w:type="pct"/>
          </w:tcPr>
          <w:p w14:paraId="065EF439" w14:textId="77777777" w:rsidR="002D0AE7" w:rsidRDefault="00333EBB">
            <w:pPr>
              <w:jc w:val="right"/>
              <w:rPr>
                <w:rFonts w:hint="eastAsia"/>
                <w:sz w:val="21"/>
              </w:rPr>
            </w:pPr>
            <w:r>
              <w:rPr>
                <w:rFonts w:ascii="Times New Roman" w:hAnsi="Times New Roman" w:cs="Times New Roman"/>
                <w:sz w:val="21"/>
              </w:rPr>
              <w:t>1,053,388.94</w:t>
            </w:r>
          </w:p>
        </w:tc>
        <w:tc>
          <w:tcPr>
            <w:tcW w:w="581" w:type="pct"/>
          </w:tcPr>
          <w:p w14:paraId="03CBEC61" w14:textId="77777777" w:rsidR="002D0AE7" w:rsidRDefault="00333EBB">
            <w:pPr>
              <w:jc w:val="right"/>
              <w:rPr>
                <w:rFonts w:hint="eastAsia"/>
                <w:sz w:val="21"/>
              </w:rPr>
            </w:pPr>
            <w:r>
              <w:rPr>
                <w:rFonts w:ascii="Times New Roman" w:hAnsi="Times New Roman" w:cs="Times New Roman" w:hint="eastAsia"/>
                <w:sz w:val="21"/>
              </w:rPr>
              <w:t>0.00</w:t>
            </w:r>
          </w:p>
        </w:tc>
        <w:tc>
          <w:tcPr>
            <w:tcW w:w="631" w:type="pct"/>
          </w:tcPr>
          <w:p w14:paraId="4137E528" w14:textId="77777777" w:rsidR="002D0AE7" w:rsidRDefault="00333EBB">
            <w:pPr>
              <w:jc w:val="right"/>
              <w:rPr>
                <w:rFonts w:hint="eastAsia"/>
                <w:sz w:val="21"/>
              </w:rPr>
            </w:pPr>
            <w:r>
              <w:rPr>
                <w:rFonts w:ascii="Times New Roman" w:hAnsi="Times New Roman" w:cs="Times New Roman"/>
                <w:sz w:val="21"/>
              </w:rPr>
              <w:t>1,053,388.94</w:t>
            </w:r>
          </w:p>
        </w:tc>
      </w:tr>
      <w:tr w:rsidR="002D0AE7" w14:paraId="2B24F5F3" w14:textId="77777777">
        <w:trPr>
          <w:cantSplit/>
          <w:jc w:val="center"/>
        </w:trPr>
        <w:tc>
          <w:tcPr>
            <w:tcW w:w="1157" w:type="pct"/>
          </w:tcPr>
          <w:p w14:paraId="1324FA19" w14:textId="77777777" w:rsidR="002D0AE7" w:rsidRDefault="00333EBB">
            <w:pPr>
              <w:rPr>
                <w:rFonts w:hint="eastAsia"/>
                <w:sz w:val="21"/>
              </w:rPr>
            </w:pPr>
            <w:r>
              <w:rPr>
                <w:rFonts w:hint="eastAsia"/>
                <w:sz w:val="21"/>
              </w:rPr>
              <w:t>其他</w:t>
            </w:r>
          </w:p>
        </w:tc>
        <w:tc>
          <w:tcPr>
            <w:tcW w:w="631" w:type="pct"/>
          </w:tcPr>
          <w:p w14:paraId="0C9B4A41" w14:textId="77777777" w:rsidR="002D0AE7" w:rsidRDefault="00333EBB">
            <w:pPr>
              <w:ind w:right="105"/>
              <w:jc w:val="right"/>
              <w:rPr>
                <w:rFonts w:hint="eastAsia"/>
                <w:sz w:val="21"/>
              </w:rPr>
            </w:pPr>
            <w:r>
              <w:rPr>
                <w:rFonts w:ascii="Times New Roman" w:hAnsi="Times New Roman" w:cs="Times New Roman"/>
                <w:sz w:val="21"/>
              </w:rPr>
              <w:t>17,536,035.05</w:t>
            </w:r>
          </w:p>
        </w:tc>
        <w:tc>
          <w:tcPr>
            <w:tcW w:w="685" w:type="pct"/>
          </w:tcPr>
          <w:p w14:paraId="3C7C69CB" w14:textId="77777777" w:rsidR="002D0AE7" w:rsidRDefault="00333EBB">
            <w:pPr>
              <w:ind w:right="73"/>
              <w:jc w:val="right"/>
              <w:rPr>
                <w:rFonts w:hint="eastAsia"/>
                <w:sz w:val="21"/>
              </w:rPr>
            </w:pPr>
            <w:r>
              <w:rPr>
                <w:rFonts w:ascii="Times New Roman" w:hAnsi="Times New Roman" w:cs="Times New Roman"/>
                <w:sz w:val="21"/>
              </w:rPr>
              <w:t>136,413.27</w:t>
            </w:r>
          </w:p>
        </w:tc>
        <w:tc>
          <w:tcPr>
            <w:tcW w:w="685" w:type="pct"/>
          </w:tcPr>
          <w:p w14:paraId="0BF363D8" w14:textId="77777777" w:rsidR="002D0AE7" w:rsidRDefault="00333EBB">
            <w:pPr>
              <w:ind w:right="73"/>
              <w:jc w:val="right"/>
              <w:rPr>
                <w:rFonts w:hint="eastAsia"/>
                <w:sz w:val="21"/>
              </w:rPr>
            </w:pPr>
            <w:r>
              <w:rPr>
                <w:rFonts w:ascii="Times New Roman" w:hAnsi="Times New Roman" w:cs="Times New Roman"/>
                <w:sz w:val="21"/>
              </w:rPr>
              <w:t>17,399,621.78</w:t>
            </w:r>
          </w:p>
        </w:tc>
        <w:tc>
          <w:tcPr>
            <w:tcW w:w="632" w:type="pct"/>
          </w:tcPr>
          <w:p w14:paraId="134A19CE" w14:textId="77777777" w:rsidR="002D0AE7" w:rsidRDefault="00333EBB">
            <w:pPr>
              <w:jc w:val="right"/>
              <w:rPr>
                <w:rFonts w:hint="eastAsia"/>
                <w:sz w:val="21"/>
              </w:rPr>
            </w:pPr>
            <w:r>
              <w:rPr>
                <w:rFonts w:ascii="Times New Roman" w:hAnsi="Times New Roman" w:cs="Times New Roman"/>
                <w:sz w:val="21"/>
              </w:rPr>
              <w:t>16,277,029.16</w:t>
            </w:r>
          </w:p>
        </w:tc>
        <w:tc>
          <w:tcPr>
            <w:tcW w:w="581" w:type="pct"/>
          </w:tcPr>
          <w:p w14:paraId="1CCCC07D" w14:textId="77777777" w:rsidR="002D0AE7" w:rsidRDefault="00333EBB">
            <w:pPr>
              <w:jc w:val="right"/>
              <w:rPr>
                <w:rFonts w:hint="eastAsia"/>
                <w:sz w:val="21"/>
              </w:rPr>
            </w:pPr>
            <w:r>
              <w:rPr>
                <w:rFonts w:ascii="Times New Roman" w:hAnsi="Times New Roman" w:cs="Times New Roman"/>
                <w:sz w:val="21"/>
              </w:rPr>
              <w:t>136,413.27</w:t>
            </w:r>
          </w:p>
        </w:tc>
        <w:tc>
          <w:tcPr>
            <w:tcW w:w="631" w:type="pct"/>
          </w:tcPr>
          <w:p w14:paraId="76014E47" w14:textId="77777777" w:rsidR="002D0AE7" w:rsidRDefault="00333EBB">
            <w:pPr>
              <w:jc w:val="right"/>
              <w:rPr>
                <w:rFonts w:hint="eastAsia"/>
                <w:sz w:val="21"/>
              </w:rPr>
            </w:pPr>
            <w:r>
              <w:rPr>
                <w:rFonts w:ascii="Times New Roman" w:hAnsi="Times New Roman" w:cs="Times New Roman"/>
                <w:sz w:val="21"/>
              </w:rPr>
              <w:t>16,140,615.89</w:t>
            </w:r>
          </w:p>
        </w:tc>
      </w:tr>
      <w:tr w:rsidR="002D0AE7" w14:paraId="239FC387" w14:textId="77777777">
        <w:trPr>
          <w:cantSplit/>
          <w:jc w:val="center"/>
        </w:trPr>
        <w:tc>
          <w:tcPr>
            <w:tcW w:w="1157" w:type="pct"/>
            <w:vAlign w:val="center"/>
          </w:tcPr>
          <w:p w14:paraId="43FC445E" w14:textId="77777777" w:rsidR="002D0AE7" w:rsidRDefault="00333EBB">
            <w:pPr>
              <w:jc w:val="center"/>
              <w:rPr>
                <w:rFonts w:hint="eastAsia"/>
                <w:color w:val="000000" w:themeColor="text1"/>
                <w:sz w:val="21"/>
              </w:rPr>
            </w:pPr>
            <w:r>
              <w:rPr>
                <w:rFonts w:hint="eastAsia"/>
                <w:color w:val="000000" w:themeColor="text1"/>
                <w:sz w:val="21"/>
              </w:rPr>
              <w:t>合计</w:t>
            </w:r>
          </w:p>
        </w:tc>
        <w:tc>
          <w:tcPr>
            <w:tcW w:w="631" w:type="pct"/>
            <w:shd w:val="clear" w:color="auto" w:fill="auto"/>
            <w:vAlign w:val="center"/>
          </w:tcPr>
          <w:p w14:paraId="3FD7A2DD" w14:textId="77777777" w:rsidR="002D0AE7" w:rsidRDefault="00333EBB">
            <w:pPr>
              <w:ind w:right="105"/>
              <w:jc w:val="right"/>
              <w:rPr>
                <w:rFonts w:hint="eastAsia"/>
                <w:sz w:val="21"/>
              </w:rPr>
            </w:pPr>
            <w:r>
              <w:rPr>
                <w:rFonts w:ascii="Times New Roman" w:hAnsi="Times New Roman" w:cs="Times New Roman"/>
                <w:sz w:val="21"/>
              </w:rPr>
              <w:t>30,505,746.58</w:t>
            </w:r>
          </w:p>
        </w:tc>
        <w:tc>
          <w:tcPr>
            <w:tcW w:w="685" w:type="pct"/>
            <w:shd w:val="clear" w:color="auto" w:fill="auto"/>
            <w:vAlign w:val="center"/>
          </w:tcPr>
          <w:p w14:paraId="4E8FD485" w14:textId="77777777" w:rsidR="002D0AE7" w:rsidRDefault="00333EBB">
            <w:pPr>
              <w:ind w:right="73"/>
              <w:jc w:val="right"/>
              <w:rPr>
                <w:rFonts w:hint="eastAsia"/>
                <w:sz w:val="21"/>
              </w:rPr>
            </w:pPr>
            <w:r>
              <w:rPr>
                <w:rFonts w:ascii="Times New Roman" w:hAnsi="Times New Roman" w:cs="Times New Roman"/>
                <w:sz w:val="21"/>
              </w:rPr>
              <w:t>136,413.27</w:t>
            </w:r>
          </w:p>
        </w:tc>
        <w:tc>
          <w:tcPr>
            <w:tcW w:w="685" w:type="pct"/>
            <w:shd w:val="clear" w:color="auto" w:fill="auto"/>
            <w:vAlign w:val="center"/>
          </w:tcPr>
          <w:p w14:paraId="7ED8E328" w14:textId="77777777" w:rsidR="002D0AE7" w:rsidRDefault="00333EBB">
            <w:pPr>
              <w:ind w:right="73"/>
              <w:jc w:val="right"/>
              <w:rPr>
                <w:rFonts w:hint="eastAsia"/>
                <w:sz w:val="21"/>
              </w:rPr>
            </w:pPr>
            <w:r>
              <w:rPr>
                <w:rFonts w:ascii="Times New Roman" w:hAnsi="Times New Roman" w:cs="Times New Roman"/>
                <w:sz w:val="21"/>
              </w:rPr>
              <w:t>30,369,333.31</w:t>
            </w:r>
          </w:p>
        </w:tc>
        <w:tc>
          <w:tcPr>
            <w:tcW w:w="632" w:type="pct"/>
            <w:shd w:val="clear" w:color="auto" w:fill="auto"/>
            <w:vAlign w:val="center"/>
          </w:tcPr>
          <w:p w14:paraId="618F6480" w14:textId="77777777" w:rsidR="002D0AE7" w:rsidRDefault="00333EBB">
            <w:pPr>
              <w:jc w:val="right"/>
              <w:rPr>
                <w:rFonts w:hint="eastAsia"/>
                <w:sz w:val="21"/>
              </w:rPr>
            </w:pPr>
            <w:r>
              <w:rPr>
                <w:rFonts w:ascii="Times New Roman" w:hAnsi="Times New Roman" w:cs="Times New Roman"/>
                <w:sz w:val="21"/>
              </w:rPr>
              <w:t>30,300,129.63</w:t>
            </w:r>
          </w:p>
        </w:tc>
        <w:tc>
          <w:tcPr>
            <w:tcW w:w="581" w:type="pct"/>
            <w:shd w:val="clear" w:color="auto" w:fill="auto"/>
            <w:vAlign w:val="center"/>
          </w:tcPr>
          <w:p w14:paraId="550F5CCA" w14:textId="77777777" w:rsidR="002D0AE7" w:rsidRDefault="00333EBB">
            <w:pPr>
              <w:jc w:val="right"/>
              <w:rPr>
                <w:rFonts w:hint="eastAsia"/>
                <w:sz w:val="21"/>
              </w:rPr>
            </w:pPr>
            <w:r>
              <w:rPr>
                <w:rFonts w:ascii="Times New Roman" w:hAnsi="Times New Roman" w:cs="Times New Roman"/>
                <w:sz w:val="21"/>
              </w:rPr>
              <w:t>136,413.27</w:t>
            </w:r>
          </w:p>
        </w:tc>
        <w:tc>
          <w:tcPr>
            <w:tcW w:w="631" w:type="pct"/>
            <w:shd w:val="clear" w:color="auto" w:fill="auto"/>
            <w:vAlign w:val="center"/>
          </w:tcPr>
          <w:p w14:paraId="49678680" w14:textId="77777777" w:rsidR="002D0AE7" w:rsidRDefault="00333EBB">
            <w:pPr>
              <w:jc w:val="right"/>
              <w:rPr>
                <w:rFonts w:hint="eastAsia"/>
                <w:sz w:val="21"/>
              </w:rPr>
            </w:pPr>
            <w:r>
              <w:rPr>
                <w:rFonts w:ascii="Times New Roman" w:hAnsi="Times New Roman" w:cs="Times New Roman"/>
                <w:sz w:val="21"/>
              </w:rPr>
              <w:t>30,163,716.36</w:t>
            </w:r>
          </w:p>
        </w:tc>
      </w:tr>
    </w:tbl>
    <w:p w14:paraId="431CE284" w14:textId="77777777" w:rsidR="002D0AE7" w:rsidRDefault="00333EBB">
      <w:pPr>
        <w:pStyle w:val="4"/>
        <w:numPr>
          <w:ilvl w:val="0"/>
          <w:numId w:val="52"/>
        </w:numPr>
        <w:tabs>
          <w:tab w:val="left" w:pos="588"/>
        </w:tabs>
        <w:rPr>
          <w:rFonts w:ascii="宋体" w:hAnsi="宋体" w:hint="eastAsia"/>
          <w:color w:val="000000" w:themeColor="text1"/>
          <w:szCs w:val="21"/>
        </w:rPr>
      </w:pPr>
      <w:r>
        <w:rPr>
          <w:rFonts w:ascii="宋体" w:hAnsi="宋体" w:hint="eastAsia"/>
          <w:color w:val="000000" w:themeColor="text1"/>
          <w:szCs w:val="21"/>
        </w:rPr>
        <w:t>重要在建工程项目本期变动情况</w:t>
      </w:r>
    </w:p>
    <w:sdt>
      <w:sdtPr>
        <w:rPr>
          <w:color w:val="000000" w:themeColor="text1"/>
        </w:rPr>
        <w:alias w:val="是否适用：重要在建工程项目本期变动情况[双击切换]"/>
        <w:tag w:val="_GBC_ec2dd768673145d4bb9d3c31a6fa701a"/>
        <w:id w:val="1308127504"/>
        <w:placeholder>
          <w:docPart w:val="GBC22222222222222222222222222222"/>
        </w:placeholder>
      </w:sdtPr>
      <w:sdtEndPr/>
      <w:sdtContent>
        <w:p w14:paraId="462ABEF0"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70EBE6FC"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在建工程项目变动情况"/>
          <w:tag w:val="_GBC_29f36690ce0d4e8bbec5f76711e80456"/>
          <w:id w:val="-70957818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在建工程项目变动情况"/>
          <w:tag w:val="_GBC_6fab639954e742c1bd6f75b3c51ecaf8"/>
          <w:id w:val="127451585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1985"/>
        <w:gridCol w:w="1418"/>
        <w:gridCol w:w="1417"/>
        <w:gridCol w:w="1418"/>
        <w:gridCol w:w="1417"/>
        <w:gridCol w:w="1276"/>
        <w:gridCol w:w="1507"/>
        <w:gridCol w:w="722"/>
        <w:gridCol w:w="663"/>
        <w:gridCol w:w="562"/>
        <w:gridCol w:w="664"/>
        <w:gridCol w:w="571"/>
        <w:gridCol w:w="697"/>
      </w:tblGrid>
      <w:tr w:rsidR="002D0AE7" w14:paraId="0C85972E" w14:textId="77777777">
        <w:trPr>
          <w:cantSplit/>
          <w:jc w:val="center"/>
        </w:trPr>
        <w:sdt>
          <w:sdtPr>
            <w:rPr>
              <w:color w:val="000000" w:themeColor="text1"/>
              <w:sz w:val="21"/>
              <w:szCs w:val="21"/>
            </w:rPr>
            <w:tag w:val="_PLD_911d5911af294d4f9d2b6b16b5f6c08b"/>
            <w:id w:val="441109992"/>
          </w:sdtPr>
          <w:sdtEndPr/>
          <w:sdtContent>
            <w:tc>
              <w:tcPr>
                <w:tcW w:w="1985" w:type="dxa"/>
                <w:shd w:val="clear" w:color="auto" w:fill="auto"/>
                <w:vAlign w:val="center"/>
              </w:tcPr>
              <w:p w14:paraId="25093DAC" w14:textId="77777777" w:rsidR="002D0AE7" w:rsidRDefault="00333EBB">
                <w:pPr>
                  <w:ind w:right="105"/>
                  <w:jc w:val="center"/>
                  <w:rPr>
                    <w:rFonts w:hint="eastAsia"/>
                    <w:color w:val="000000" w:themeColor="text1"/>
                    <w:sz w:val="21"/>
                    <w:szCs w:val="21"/>
                  </w:rPr>
                </w:pPr>
                <w:r>
                  <w:rPr>
                    <w:rFonts w:hint="eastAsia"/>
                    <w:color w:val="000000" w:themeColor="text1"/>
                    <w:sz w:val="21"/>
                    <w:szCs w:val="21"/>
                  </w:rPr>
                  <w:t>项目名称</w:t>
                </w:r>
              </w:p>
            </w:tc>
          </w:sdtContent>
        </w:sdt>
        <w:sdt>
          <w:sdtPr>
            <w:rPr>
              <w:color w:val="000000" w:themeColor="text1"/>
              <w:sz w:val="21"/>
              <w:szCs w:val="21"/>
            </w:rPr>
            <w:tag w:val="_PLD_667404be40294d63b853abf58a9d185f"/>
            <w:id w:val="-1212022567"/>
          </w:sdtPr>
          <w:sdtEndPr/>
          <w:sdtContent>
            <w:tc>
              <w:tcPr>
                <w:tcW w:w="1418" w:type="dxa"/>
                <w:shd w:val="clear" w:color="auto" w:fill="auto"/>
                <w:vAlign w:val="center"/>
              </w:tcPr>
              <w:p w14:paraId="6E8FA727" w14:textId="77777777" w:rsidR="002D0AE7" w:rsidRDefault="00333EBB">
                <w:pPr>
                  <w:ind w:right="105"/>
                  <w:jc w:val="center"/>
                  <w:rPr>
                    <w:rFonts w:hint="eastAsia"/>
                    <w:color w:val="000000" w:themeColor="text1"/>
                    <w:sz w:val="21"/>
                    <w:szCs w:val="21"/>
                  </w:rPr>
                </w:pPr>
                <w:r>
                  <w:rPr>
                    <w:rFonts w:hint="eastAsia"/>
                    <w:color w:val="000000" w:themeColor="text1"/>
                    <w:sz w:val="21"/>
                    <w:szCs w:val="21"/>
                  </w:rPr>
                  <w:t>预算数</w:t>
                </w:r>
              </w:p>
            </w:tc>
          </w:sdtContent>
        </w:sdt>
        <w:sdt>
          <w:sdtPr>
            <w:rPr>
              <w:color w:val="000000" w:themeColor="text1"/>
              <w:sz w:val="21"/>
              <w:szCs w:val="21"/>
            </w:rPr>
            <w:tag w:val="_PLD_25c75ebdcb434964b5f5e8b512151b0b"/>
            <w:id w:val="-742263740"/>
          </w:sdtPr>
          <w:sdtEndPr/>
          <w:sdtContent>
            <w:tc>
              <w:tcPr>
                <w:tcW w:w="1417" w:type="dxa"/>
                <w:shd w:val="clear" w:color="auto" w:fill="auto"/>
                <w:vAlign w:val="center"/>
              </w:tcPr>
              <w:p w14:paraId="180C81CD" w14:textId="77777777" w:rsidR="002D0AE7" w:rsidRDefault="00333EBB">
                <w:pPr>
                  <w:ind w:right="105"/>
                  <w:jc w:val="center"/>
                  <w:rPr>
                    <w:rFonts w:hint="eastAsia"/>
                    <w:color w:val="000000" w:themeColor="text1"/>
                    <w:sz w:val="21"/>
                    <w:szCs w:val="21"/>
                  </w:rPr>
                </w:pPr>
                <w:r>
                  <w:rPr>
                    <w:rFonts w:hint="eastAsia"/>
                    <w:color w:val="000000" w:themeColor="text1"/>
                    <w:sz w:val="21"/>
                    <w:szCs w:val="21"/>
                  </w:rPr>
                  <w:t>期初</w:t>
                </w:r>
              </w:p>
              <w:p w14:paraId="32DC480D" w14:textId="77777777" w:rsidR="002D0AE7" w:rsidRDefault="00333EBB">
                <w:pPr>
                  <w:ind w:right="105"/>
                  <w:jc w:val="center"/>
                  <w:rPr>
                    <w:rFonts w:hint="eastAsia"/>
                    <w:color w:val="000000" w:themeColor="text1"/>
                    <w:sz w:val="21"/>
                    <w:szCs w:val="21"/>
                  </w:rPr>
                </w:pPr>
                <w:r>
                  <w:rPr>
                    <w:rFonts w:hint="eastAsia"/>
                    <w:color w:val="000000" w:themeColor="text1"/>
                    <w:sz w:val="21"/>
                    <w:szCs w:val="21"/>
                  </w:rPr>
                  <w:t>余额</w:t>
                </w:r>
              </w:p>
            </w:tc>
          </w:sdtContent>
        </w:sdt>
        <w:sdt>
          <w:sdtPr>
            <w:rPr>
              <w:color w:val="000000" w:themeColor="text1"/>
              <w:sz w:val="21"/>
              <w:szCs w:val="21"/>
            </w:rPr>
            <w:tag w:val="_PLD_0117182ae7e24536a0996423ddcfa5f0"/>
            <w:id w:val="1349056574"/>
          </w:sdtPr>
          <w:sdtEndPr/>
          <w:sdtContent>
            <w:tc>
              <w:tcPr>
                <w:tcW w:w="1418" w:type="dxa"/>
                <w:shd w:val="clear" w:color="auto" w:fill="auto"/>
                <w:vAlign w:val="center"/>
              </w:tcPr>
              <w:p w14:paraId="47C4E580" w14:textId="77777777" w:rsidR="002D0AE7" w:rsidRDefault="00333EBB">
                <w:pPr>
                  <w:ind w:right="105"/>
                  <w:jc w:val="center"/>
                  <w:rPr>
                    <w:rFonts w:hint="eastAsia"/>
                    <w:color w:val="000000" w:themeColor="text1"/>
                    <w:sz w:val="21"/>
                    <w:szCs w:val="21"/>
                  </w:rPr>
                </w:pPr>
                <w:r>
                  <w:rPr>
                    <w:rFonts w:hint="eastAsia"/>
                    <w:color w:val="000000" w:themeColor="text1"/>
                    <w:sz w:val="21"/>
                    <w:szCs w:val="21"/>
                  </w:rPr>
                  <w:t>本期增加金额</w:t>
                </w:r>
              </w:p>
            </w:tc>
          </w:sdtContent>
        </w:sdt>
        <w:sdt>
          <w:sdtPr>
            <w:rPr>
              <w:color w:val="000000" w:themeColor="text1"/>
              <w:sz w:val="21"/>
              <w:szCs w:val="21"/>
            </w:rPr>
            <w:tag w:val="_PLD_6db4feaec90f4eeeb4ed5fb04d298657"/>
            <w:id w:val="-501822998"/>
          </w:sdtPr>
          <w:sdtEndPr/>
          <w:sdtContent>
            <w:tc>
              <w:tcPr>
                <w:tcW w:w="1417" w:type="dxa"/>
                <w:shd w:val="clear" w:color="auto" w:fill="auto"/>
                <w:vAlign w:val="center"/>
              </w:tcPr>
              <w:p w14:paraId="67A543FA" w14:textId="77777777" w:rsidR="002D0AE7" w:rsidRDefault="00333EBB">
                <w:pPr>
                  <w:ind w:right="73"/>
                  <w:jc w:val="center"/>
                  <w:rPr>
                    <w:rFonts w:hint="eastAsia"/>
                    <w:color w:val="000000" w:themeColor="text1"/>
                    <w:sz w:val="21"/>
                    <w:szCs w:val="21"/>
                  </w:rPr>
                </w:pPr>
                <w:r>
                  <w:rPr>
                    <w:rFonts w:hint="eastAsia"/>
                    <w:color w:val="000000" w:themeColor="text1"/>
                    <w:sz w:val="21"/>
                    <w:szCs w:val="21"/>
                  </w:rPr>
                  <w:t>本期转入固定资产金额</w:t>
                </w:r>
              </w:p>
            </w:tc>
          </w:sdtContent>
        </w:sdt>
        <w:sdt>
          <w:sdtPr>
            <w:rPr>
              <w:color w:val="000000" w:themeColor="text1"/>
              <w:sz w:val="21"/>
              <w:szCs w:val="21"/>
            </w:rPr>
            <w:tag w:val="_PLD_1fe85c3ed6f84f6f85209149a9931055"/>
            <w:id w:val="2144070215"/>
          </w:sdtPr>
          <w:sdtEndPr/>
          <w:sdtContent>
            <w:tc>
              <w:tcPr>
                <w:tcW w:w="1276" w:type="dxa"/>
                <w:shd w:val="clear" w:color="auto" w:fill="auto"/>
                <w:vAlign w:val="center"/>
              </w:tcPr>
              <w:p w14:paraId="4A2DBDEA" w14:textId="77777777" w:rsidR="002D0AE7" w:rsidRDefault="00333EBB">
                <w:pPr>
                  <w:ind w:right="73"/>
                  <w:jc w:val="center"/>
                  <w:rPr>
                    <w:rFonts w:hint="eastAsia"/>
                    <w:color w:val="000000" w:themeColor="text1"/>
                    <w:sz w:val="21"/>
                    <w:szCs w:val="21"/>
                  </w:rPr>
                </w:pPr>
                <w:r>
                  <w:rPr>
                    <w:rFonts w:hint="eastAsia"/>
                    <w:color w:val="000000" w:themeColor="text1"/>
                    <w:sz w:val="21"/>
                    <w:szCs w:val="21"/>
                  </w:rPr>
                  <w:t>本期其他减少金额</w:t>
                </w:r>
              </w:p>
            </w:tc>
          </w:sdtContent>
        </w:sdt>
        <w:sdt>
          <w:sdtPr>
            <w:rPr>
              <w:color w:val="000000" w:themeColor="text1"/>
              <w:sz w:val="21"/>
              <w:szCs w:val="21"/>
            </w:rPr>
            <w:tag w:val="_PLD_7954fe4b89f644d29865af249dfe8c3f"/>
            <w:id w:val="615489293"/>
          </w:sdtPr>
          <w:sdtEndPr/>
          <w:sdtContent>
            <w:tc>
              <w:tcPr>
                <w:tcW w:w="1507" w:type="dxa"/>
                <w:vAlign w:val="center"/>
              </w:tcPr>
              <w:p w14:paraId="57DB89A8" w14:textId="77777777" w:rsidR="002D0AE7" w:rsidRDefault="00333EBB">
                <w:pPr>
                  <w:jc w:val="center"/>
                  <w:rPr>
                    <w:rFonts w:hint="eastAsia"/>
                    <w:color w:val="000000" w:themeColor="text1"/>
                    <w:sz w:val="21"/>
                    <w:szCs w:val="21"/>
                  </w:rPr>
                </w:pPr>
                <w:r>
                  <w:rPr>
                    <w:rFonts w:hint="eastAsia"/>
                    <w:color w:val="000000" w:themeColor="text1"/>
                    <w:sz w:val="21"/>
                    <w:szCs w:val="21"/>
                  </w:rPr>
                  <w:t>期末</w:t>
                </w:r>
              </w:p>
              <w:p w14:paraId="1C3CCF18" w14:textId="77777777" w:rsidR="002D0AE7" w:rsidRDefault="00333EBB">
                <w:pPr>
                  <w:jc w:val="center"/>
                  <w:rPr>
                    <w:rFonts w:hint="eastAsia"/>
                    <w:color w:val="000000" w:themeColor="text1"/>
                    <w:sz w:val="21"/>
                    <w:szCs w:val="21"/>
                  </w:rPr>
                </w:pPr>
                <w:r>
                  <w:rPr>
                    <w:rFonts w:hint="eastAsia"/>
                    <w:color w:val="000000" w:themeColor="text1"/>
                    <w:sz w:val="21"/>
                    <w:szCs w:val="21"/>
                  </w:rPr>
                  <w:t>余额</w:t>
                </w:r>
              </w:p>
            </w:tc>
          </w:sdtContent>
        </w:sdt>
        <w:sdt>
          <w:sdtPr>
            <w:rPr>
              <w:color w:val="000000" w:themeColor="text1"/>
              <w:sz w:val="21"/>
              <w:szCs w:val="21"/>
            </w:rPr>
            <w:tag w:val="_PLD_d9aa12b28eda4362b90372032218ea1a"/>
            <w:id w:val="496777992"/>
          </w:sdtPr>
          <w:sdtEndPr/>
          <w:sdtContent>
            <w:tc>
              <w:tcPr>
                <w:tcW w:w="0" w:type="auto"/>
                <w:shd w:val="clear" w:color="auto" w:fill="auto"/>
                <w:vAlign w:val="center"/>
              </w:tcPr>
              <w:p w14:paraId="63E1961F" w14:textId="77777777" w:rsidR="002D0AE7" w:rsidRDefault="00333EBB">
                <w:pPr>
                  <w:jc w:val="center"/>
                  <w:rPr>
                    <w:rFonts w:hint="eastAsia"/>
                    <w:color w:val="000000" w:themeColor="text1"/>
                    <w:sz w:val="21"/>
                    <w:szCs w:val="21"/>
                  </w:rPr>
                </w:pPr>
                <w:r>
                  <w:rPr>
                    <w:rFonts w:hint="eastAsia"/>
                    <w:color w:val="000000" w:themeColor="text1"/>
                    <w:sz w:val="21"/>
                    <w:szCs w:val="21"/>
                  </w:rPr>
                  <w:t>工程累计投入占预算比例</w:t>
                </w:r>
                <w:r>
                  <w:rPr>
                    <w:rFonts w:hint="eastAsia"/>
                    <w:color w:val="000000" w:themeColor="text1"/>
                    <w:sz w:val="21"/>
                    <w:szCs w:val="21"/>
                  </w:rPr>
                  <w:t>(%)</w:t>
                </w:r>
              </w:p>
            </w:tc>
          </w:sdtContent>
        </w:sdt>
        <w:sdt>
          <w:sdtPr>
            <w:rPr>
              <w:color w:val="000000" w:themeColor="text1"/>
              <w:sz w:val="21"/>
              <w:szCs w:val="21"/>
            </w:rPr>
            <w:tag w:val="_PLD_9e610c25eba14177abc9b359511cb935"/>
            <w:id w:val="-66656759"/>
          </w:sdtPr>
          <w:sdtEndPr/>
          <w:sdtContent>
            <w:tc>
              <w:tcPr>
                <w:tcW w:w="0" w:type="auto"/>
                <w:shd w:val="clear" w:color="auto" w:fill="auto"/>
                <w:vAlign w:val="center"/>
              </w:tcPr>
              <w:p w14:paraId="60490B43" w14:textId="77777777" w:rsidR="002D0AE7" w:rsidRDefault="00333EBB">
                <w:pPr>
                  <w:jc w:val="center"/>
                  <w:rPr>
                    <w:rFonts w:hint="eastAsia"/>
                    <w:color w:val="000000" w:themeColor="text1"/>
                    <w:sz w:val="21"/>
                    <w:szCs w:val="21"/>
                  </w:rPr>
                </w:pPr>
                <w:r>
                  <w:rPr>
                    <w:rFonts w:hint="eastAsia"/>
                    <w:color w:val="000000" w:themeColor="text1"/>
                    <w:sz w:val="21"/>
                    <w:szCs w:val="21"/>
                  </w:rPr>
                  <w:t>工程进度</w:t>
                </w:r>
              </w:p>
            </w:tc>
          </w:sdtContent>
        </w:sdt>
        <w:sdt>
          <w:sdtPr>
            <w:rPr>
              <w:color w:val="000000" w:themeColor="text1"/>
              <w:sz w:val="21"/>
              <w:szCs w:val="21"/>
            </w:rPr>
            <w:tag w:val="_PLD_e89a95ddf6ab4a6abe2d40f64c95699a"/>
            <w:id w:val="1149553946"/>
          </w:sdtPr>
          <w:sdtEndPr/>
          <w:sdtContent>
            <w:tc>
              <w:tcPr>
                <w:tcW w:w="0" w:type="auto"/>
                <w:shd w:val="clear" w:color="auto" w:fill="auto"/>
                <w:vAlign w:val="center"/>
              </w:tcPr>
              <w:p w14:paraId="6D41E7AC" w14:textId="77777777" w:rsidR="002D0AE7" w:rsidRDefault="00333EBB">
                <w:pPr>
                  <w:jc w:val="center"/>
                  <w:rPr>
                    <w:rFonts w:hint="eastAsia"/>
                    <w:color w:val="000000" w:themeColor="text1"/>
                    <w:sz w:val="21"/>
                    <w:szCs w:val="21"/>
                  </w:rPr>
                </w:pPr>
                <w:r>
                  <w:rPr>
                    <w:rFonts w:hint="eastAsia"/>
                    <w:color w:val="000000" w:themeColor="text1"/>
                    <w:sz w:val="21"/>
                    <w:szCs w:val="21"/>
                  </w:rPr>
                  <w:t>利息资本化累计金额</w:t>
                </w:r>
              </w:p>
            </w:tc>
          </w:sdtContent>
        </w:sdt>
        <w:sdt>
          <w:sdtPr>
            <w:rPr>
              <w:color w:val="000000" w:themeColor="text1"/>
              <w:sz w:val="21"/>
              <w:szCs w:val="21"/>
            </w:rPr>
            <w:tag w:val="_PLD_211048c05b944d8f9bfd1d37edfd2f6d"/>
            <w:id w:val="-959560932"/>
          </w:sdtPr>
          <w:sdtEndPr/>
          <w:sdtContent>
            <w:tc>
              <w:tcPr>
                <w:tcW w:w="0" w:type="auto"/>
                <w:shd w:val="clear" w:color="auto" w:fill="auto"/>
                <w:vAlign w:val="center"/>
              </w:tcPr>
              <w:p w14:paraId="1461A5A0" w14:textId="77777777" w:rsidR="002D0AE7" w:rsidRDefault="00333EBB">
                <w:pPr>
                  <w:jc w:val="center"/>
                  <w:rPr>
                    <w:rFonts w:hint="eastAsia"/>
                    <w:color w:val="000000" w:themeColor="text1"/>
                    <w:sz w:val="21"/>
                    <w:szCs w:val="21"/>
                  </w:rPr>
                </w:pPr>
                <w:r>
                  <w:rPr>
                    <w:rFonts w:hint="eastAsia"/>
                    <w:color w:val="000000" w:themeColor="text1"/>
                    <w:sz w:val="21"/>
                    <w:szCs w:val="21"/>
                  </w:rPr>
                  <w:t>其中：本期利息资本化金额</w:t>
                </w:r>
              </w:p>
            </w:tc>
          </w:sdtContent>
        </w:sdt>
        <w:sdt>
          <w:sdtPr>
            <w:rPr>
              <w:color w:val="000000" w:themeColor="text1"/>
              <w:sz w:val="21"/>
              <w:szCs w:val="21"/>
            </w:rPr>
            <w:tag w:val="_PLD_2cbfddfcd5e6493ba68633d99551c05f"/>
            <w:id w:val="-807396806"/>
          </w:sdtPr>
          <w:sdtEndPr/>
          <w:sdtContent>
            <w:tc>
              <w:tcPr>
                <w:tcW w:w="0" w:type="auto"/>
                <w:shd w:val="clear" w:color="auto" w:fill="auto"/>
                <w:vAlign w:val="center"/>
              </w:tcPr>
              <w:p w14:paraId="011BB396" w14:textId="77777777" w:rsidR="002D0AE7" w:rsidRDefault="00333EBB">
                <w:pPr>
                  <w:jc w:val="center"/>
                  <w:rPr>
                    <w:rFonts w:hint="eastAsia"/>
                    <w:color w:val="000000" w:themeColor="text1"/>
                    <w:sz w:val="21"/>
                    <w:szCs w:val="21"/>
                  </w:rPr>
                </w:pPr>
                <w:r>
                  <w:rPr>
                    <w:rFonts w:hint="eastAsia"/>
                    <w:color w:val="000000" w:themeColor="text1"/>
                    <w:sz w:val="21"/>
                    <w:szCs w:val="21"/>
                  </w:rPr>
                  <w:t>本期利息资本化率</w:t>
                </w:r>
                <w:r>
                  <w:rPr>
                    <w:rFonts w:hint="eastAsia"/>
                    <w:color w:val="000000" w:themeColor="text1"/>
                    <w:sz w:val="21"/>
                    <w:szCs w:val="21"/>
                  </w:rPr>
                  <w:t>(%)</w:t>
                </w:r>
              </w:p>
            </w:tc>
          </w:sdtContent>
        </w:sdt>
        <w:sdt>
          <w:sdtPr>
            <w:rPr>
              <w:color w:val="000000" w:themeColor="text1"/>
              <w:sz w:val="21"/>
              <w:szCs w:val="21"/>
            </w:rPr>
            <w:tag w:val="_PLD_39440674746d4382a4f99328187752a9"/>
            <w:id w:val="1861079314"/>
          </w:sdtPr>
          <w:sdtEndPr/>
          <w:sdtContent>
            <w:tc>
              <w:tcPr>
                <w:tcW w:w="697" w:type="dxa"/>
                <w:shd w:val="clear" w:color="auto" w:fill="auto"/>
                <w:vAlign w:val="center"/>
              </w:tcPr>
              <w:p w14:paraId="1EC52769" w14:textId="77777777" w:rsidR="002D0AE7" w:rsidRDefault="00333EBB">
                <w:pPr>
                  <w:jc w:val="center"/>
                  <w:rPr>
                    <w:rFonts w:hint="eastAsia"/>
                    <w:color w:val="000000" w:themeColor="text1"/>
                    <w:sz w:val="21"/>
                    <w:szCs w:val="21"/>
                  </w:rPr>
                </w:pPr>
                <w:r>
                  <w:rPr>
                    <w:rFonts w:hint="eastAsia"/>
                    <w:color w:val="000000" w:themeColor="text1"/>
                    <w:sz w:val="21"/>
                    <w:szCs w:val="21"/>
                  </w:rPr>
                  <w:t>资金来源</w:t>
                </w:r>
              </w:p>
            </w:tc>
          </w:sdtContent>
        </w:sdt>
      </w:tr>
      <w:tr w:rsidR="002D0AE7" w14:paraId="0489C5E6" w14:textId="77777777">
        <w:trPr>
          <w:cantSplit/>
          <w:jc w:val="center"/>
        </w:trPr>
        <w:tc>
          <w:tcPr>
            <w:tcW w:w="1985" w:type="dxa"/>
            <w:shd w:val="clear" w:color="auto" w:fill="auto"/>
            <w:vAlign w:val="center"/>
          </w:tcPr>
          <w:p w14:paraId="7C0568E1" w14:textId="77777777" w:rsidR="002D0AE7" w:rsidRDefault="00333EBB">
            <w:pPr>
              <w:ind w:right="105"/>
              <w:rPr>
                <w:rFonts w:hint="eastAsia"/>
                <w:sz w:val="21"/>
                <w:szCs w:val="21"/>
              </w:rPr>
            </w:pPr>
            <w:r>
              <w:rPr>
                <w:rFonts w:hint="eastAsia"/>
                <w:sz w:val="21"/>
                <w:szCs w:val="21"/>
              </w:rPr>
              <w:t>激素小产品和无菌原料药车间</w:t>
            </w:r>
          </w:p>
        </w:tc>
        <w:tc>
          <w:tcPr>
            <w:tcW w:w="1418" w:type="dxa"/>
            <w:shd w:val="clear" w:color="auto" w:fill="auto"/>
            <w:vAlign w:val="center"/>
          </w:tcPr>
          <w:p w14:paraId="76958BE3" w14:textId="77777777" w:rsidR="002D0AE7" w:rsidRDefault="00333EBB">
            <w:pPr>
              <w:ind w:right="105"/>
              <w:jc w:val="right"/>
              <w:rPr>
                <w:rFonts w:ascii="Times New Roman" w:hAnsi="Times New Roman" w:cs="Times New Roman"/>
                <w:sz w:val="21"/>
                <w:szCs w:val="21"/>
              </w:rPr>
            </w:pPr>
            <w:r>
              <w:rPr>
                <w:rFonts w:ascii="Times New Roman" w:hAnsi="Times New Roman" w:cs="Times New Roman"/>
                <w:sz w:val="21"/>
                <w:szCs w:val="21"/>
              </w:rPr>
              <w:t>80,000,000.00</w:t>
            </w:r>
          </w:p>
        </w:tc>
        <w:tc>
          <w:tcPr>
            <w:tcW w:w="1417" w:type="dxa"/>
            <w:shd w:val="clear" w:color="auto" w:fill="auto"/>
            <w:vAlign w:val="center"/>
          </w:tcPr>
          <w:p w14:paraId="62248DB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12,969,711.53</w:t>
            </w:r>
          </w:p>
        </w:tc>
        <w:tc>
          <w:tcPr>
            <w:tcW w:w="1418" w:type="dxa"/>
            <w:shd w:val="clear" w:color="auto" w:fill="auto"/>
            <w:vAlign w:val="center"/>
          </w:tcPr>
          <w:p w14:paraId="2F5D378A" w14:textId="77777777" w:rsidR="002D0AE7" w:rsidRDefault="00333EBB">
            <w:pPr>
              <w:ind w:right="73"/>
              <w:jc w:val="right"/>
              <w:rPr>
                <w:rFonts w:ascii="Times New Roman" w:hAnsi="Times New Roman" w:cs="Times New Roman"/>
                <w:sz w:val="21"/>
                <w:szCs w:val="21"/>
              </w:rPr>
            </w:pPr>
            <w:r>
              <w:rPr>
                <w:rFonts w:ascii="Times New Roman" w:hAnsi="Times New Roman" w:cs="Times New Roman"/>
                <w:sz w:val="21"/>
                <w:szCs w:val="21"/>
              </w:rPr>
              <w:t>0.00</w:t>
            </w:r>
          </w:p>
        </w:tc>
        <w:tc>
          <w:tcPr>
            <w:tcW w:w="1417" w:type="dxa"/>
            <w:shd w:val="clear" w:color="auto" w:fill="auto"/>
            <w:vAlign w:val="center"/>
          </w:tcPr>
          <w:p w14:paraId="26287A5B" w14:textId="77777777" w:rsidR="002D0AE7" w:rsidRDefault="00333EBB">
            <w:pPr>
              <w:ind w:right="73"/>
              <w:jc w:val="right"/>
              <w:rPr>
                <w:rFonts w:ascii="Times New Roman" w:hAnsi="Times New Roman" w:cs="Times New Roman"/>
                <w:sz w:val="21"/>
                <w:szCs w:val="21"/>
              </w:rPr>
            </w:pPr>
            <w:r>
              <w:rPr>
                <w:rFonts w:ascii="Times New Roman" w:hAnsi="Times New Roman" w:cs="Times New Roman"/>
                <w:sz w:val="21"/>
                <w:szCs w:val="21"/>
              </w:rPr>
              <w:t>0.00</w:t>
            </w:r>
          </w:p>
        </w:tc>
        <w:tc>
          <w:tcPr>
            <w:tcW w:w="1276" w:type="dxa"/>
            <w:shd w:val="clear" w:color="auto" w:fill="auto"/>
            <w:vAlign w:val="center"/>
          </w:tcPr>
          <w:p w14:paraId="79EACB0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1507" w:type="dxa"/>
            <w:vAlign w:val="center"/>
          </w:tcPr>
          <w:p w14:paraId="3F7AA5F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12,969,711.53</w:t>
            </w:r>
          </w:p>
        </w:tc>
        <w:tc>
          <w:tcPr>
            <w:tcW w:w="0" w:type="auto"/>
            <w:shd w:val="clear" w:color="auto" w:fill="auto"/>
            <w:vAlign w:val="center"/>
          </w:tcPr>
          <w:p w14:paraId="5F3D4B4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16.21</w:t>
            </w:r>
          </w:p>
        </w:tc>
        <w:tc>
          <w:tcPr>
            <w:tcW w:w="0" w:type="auto"/>
            <w:shd w:val="clear" w:color="auto" w:fill="auto"/>
            <w:vAlign w:val="center"/>
          </w:tcPr>
          <w:p w14:paraId="4D7E6B4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8.00</w:t>
            </w:r>
          </w:p>
        </w:tc>
        <w:tc>
          <w:tcPr>
            <w:tcW w:w="0" w:type="auto"/>
            <w:shd w:val="clear" w:color="auto" w:fill="auto"/>
            <w:vAlign w:val="center"/>
          </w:tcPr>
          <w:p w14:paraId="05E6D71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0" w:type="auto"/>
            <w:shd w:val="clear" w:color="auto" w:fill="auto"/>
            <w:vAlign w:val="center"/>
          </w:tcPr>
          <w:p w14:paraId="03D5713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0" w:type="auto"/>
            <w:shd w:val="clear" w:color="auto" w:fill="auto"/>
            <w:vAlign w:val="center"/>
          </w:tcPr>
          <w:p w14:paraId="2E64C36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97" w:type="dxa"/>
            <w:shd w:val="clear" w:color="auto" w:fill="auto"/>
            <w:vAlign w:val="center"/>
          </w:tcPr>
          <w:p w14:paraId="6AA98615" w14:textId="77777777" w:rsidR="002D0AE7" w:rsidRDefault="00333EBB">
            <w:pPr>
              <w:jc w:val="center"/>
              <w:rPr>
                <w:rFonts w:hint="eastAsia"/>
                <w:sz w:val="21"/>
                <w:szCs w:val="21"/>
              </w:rPr>
            </w:pPr>
            <w:r>
              <w:rPr>
                <w:rFonts w:hint="eastAsia"/>
                <w:sz w:val="21"/>
                <w:szCs w:val="21"/>
              </w:rPr>
              <w:t>自筹</w:t>
            </w:r>
          </w:p>
        </w:tc>
      </w:tr>
      <w:tr w:rsidR="002D0AE7" w14:paraId="3BD8BD03" w14:textId="77777777">
        <w:trPr>
          <w:cantSplit/>
          <w:jc w:val="center"/>
        </w:trPr>
        <w:tc>
          <w:tcPr>
            <w:tcW w:w="1985" w:type="dxa"/>
            <w:shd w:val="clear" w:color="auto" w:fill="auto"/>
            <w:vAlign w:val="center"/>
          </w:tcPr>
          <w:p w14:paraId="3479BC1B" w14:textId="77777777" w:rsidR="002D0AE7" w:rsidRDefault="00333EBB">
            <w:pPr>
              <w:ind w:right="105"/>
              <w:rPr>
                <w:rFonts w:hint="eastAsia"/>
                <w:sz w:val="21"/>
                <w:szCs w:val="21"/>
              </w:rPr>
            </w:pPr>
            <w:r>
              <w:rPr>
                <w:rFonts w:hint="eastAsia"/>
                <w:sz w:val="21"/>
                <w:szCs w:val="21"/>
              </w:rPr>
              <w:t>氨冷冻站改造项目</w:t>
            </w:r>
          </w:p>
        </w:tc>
        <w:tc>
          <w:tcPr>
            <w:tcW w:w="1418" w:type="dxa"/>
            <w:shd w:val="clear" w:color="auto" w:fill="auto"/>
            <w:vAlign w:val="center"/>
          </w:tcPr>
          <w:p w14:paraId="3D323073" w14:textId="77777777" w:rsidR="002D0AE7" w:rsidRDefault="00333EBB">
            <w:pPr>
              <w:ind w:right="105"/>
              <w:jc w:val="right"/>
              <w:rPr>
                <w:rFonts w:ascii="Times New Roman" w:hAnsi="Times New Roman" w:cs="Times New Roman"/>
                <w:sz w:val="21"/>
                <w:szCs w:val="21"/>
              </w:rPr>
            </w:pPr>
            <w:r>
              <w:rPr>
                <w:rFonts w:ascii="Times New Roman" w:hAnsi="Times New Roman" w:cs="Times New Roman"/>
                <w:sz w:val="21"/>
                <w:szCs w:val="21"/>
              </w:rPr>
              <w:t>14,832,200.00</w:t>
            </w:r>
          </w:p>
        </w:tc>
        <w:tc>
          <w:tcPr>
            <w:tcW w:w="1417" w:type="dxa"/>
            <w:shd w:val="clear" w:color="auto" w:fill="auto"/>
            <w:vAlign w:val="center"/>
          </w:tcPr>
          <w:p w14:paraId="4979810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1,053,388.94</w:t>
            </w:r>
          </w:p>
        </w:tc>
        <w:tc>
          <w:tcPr>
            <w:tcW w:w="1418" w:type="dxa"/>
            <w:shd w:val="clear" w:color="auto" w:fill="auto"/>
            <w:vAlign w:val="center"/>
          </w:tcPr>
          <w:p w14:paraId="555877F5" w14:textId="77777777" w:rsidR="002D0AE7" w:rsidRDefault="00333EBB">
            <w:pPr>
              <w:ind w:right="73"/>
              <w:jc w:val="right"/>
              <w:rPr>
                <w:rFonts w:ascii="Times New Roman" w:hAnsi="Times New Roman" w:cs="Times New Roman"/>
                <w:sz w:val="21"/>
                <w:szCs w:val="21"/>
              </w:rPr>
            </w:pPr>
            <w:r>
              <w:rPr>
                <w:rFonts w:ascii="Times New Roman" w:hAnsi="Times New Roman" w:cs="Times New Roman"/>
                <w:sz w:val="21"/>
                <w:szCs w:val="21"/>
              </w:rPr>
              <w:t>8,226,155.70</w:t>
            </w:r>
          </w:p>
        </w:tc>
        <w:tc>
          <w:tcPr>
            <w:tcW w:w="1417" w:type="dxa"/>
            <w:shd w:val="clear" w:color="auto" w:fill="auto"/>
            <w:vAlign w:val="center"/>
          </w:tcPr>
          <w:p w14:paraId="3DFEE099" w14:textId="77777777" w:rsidR="002D0AE7" w:rsidRDefault="00333EBB">
            <w:pPr>
              <w:ind w:right="73"/>
              <w:jc w:val="right"/>
              <w:rPr>
                <w:rFonts w:ascii="Times New Roman" w:hAnsi="Times New Roman" w:cs="Times New Roman"/>
                <w:sz w:val="21"/>
                <w:szCs w:val="21"/>
              </w:rPr>
            </w:pPr>
            <w:r>
              <w:rPr>
                <w:rFonts w:ascii="Times New Roman" w:hAnsi="Times New Roman" w:cs="Times New Roman"/>
                <w:sz w:val="21"/>
                <w:szCs w:val="21"/>
              </w:rPr>
              <w:t>9,279,544.64</w:t>
            </w:r>
          </w:p>
        </w:tc>
        <w:tc>
          <w:tcPr>
            <w:tcW w:w="1276" w:type="dxa"/>
            <w:shd w:val="clear" w:color="auto" w:fill="auto"/>
            <w:vAlign w:val="center"/>
          </w:tcPr>
          <w:p w14:paraId="75FB2B5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1507" w:type="dxa"/>
            <w:vAlign w:val="center"/>
          </w:tcPr>
          <w:p w14:paraId="3FB9A52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0" w:type="auto"/>
            <w:shd w:val="clear" w:color="auto" w:fill="auto"/>
            <w:vAlign w:val="center"/>
          </w:tcPr>
          <w:p w14:paraId="5002BF2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62.56</w:t>
            </w:r>
          </w:p>
        </w:tc>
        <w:tc>
          <w:tcPr>
            <w:tcW w:w="0" w:type="auto"/>
            <w:shd w:val="clear" w:color="auto" w:fill="auto"/>
            <w:vAlign w:val="center"/>
          </w:tcPr>
          <w:p w14:paraId="146B6AF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100.00</w:t>
            </w:r>
          </w:p>
        </w:tc>
        <w:tc>
          <w:tcPr>
            <w:tcW w:w="0" w:type="auto"/>
            <w:shd w:val="clear" w:color="auto" w:fill="auto"/>
            <w:vAlign w:val="center"/>
          </w:tcPr>
          <w:p w14:paraId="77F484D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0" w:type="auto"/>
            <w:shd w:val="clear" w:color="auto" w:fill="auto"/>
            <w:vAlign w:val="center"/>
          </w:tcPr>
          <w:p w14:paraId="7A98FB8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0" w:type="auto"/>
            <w:shd w:val="clear" w:color="auto" w:fill="auto"/>
            <w:vAlign w:val="center"/>
          </w:tcPr>
          <w:p w14:paraId="59F6589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97" w:type="dxa"/>
            <w:shd w:val="clear" w:color="auto" w:fill="auto"/>
            <w:vAlign w:val="center"/>
          </w:tcPr>
          <w:p w14:paraId="5AB06327" w14:textId="77777777" w:rsidR="002D0AE7" w:rsidRDefault="00333EBB">
            <w:pPr>
              <w:jc w:val="center"/>
              <w:rPr>
                <w:rFonts w:hint="eastAsia"/>
                <w:sz w:val="21"/>
                <w:szCs w:val="21"/>
              </w:rPr>
            </w:pPr>
            <w:r>
              <w:rPr>
                <w:rFonts w:hint="eastAsia"/>
                <w:sz w:val="21"/>
                <w:szCs w:val="21"/>
              </w:rPr>
              <w:t>自筹</w:t>
            </w:r>
          </w:p>
        </w:tc>
      </w:tr>
      <w:tr w:rsidR="002D0AE7" w14:paraId="582EE12C" w14:textId="77777777">
        <w:trPr>
          <w:cantSplit/>
          <w:jc w:val="center"/>
        </w:trPr>
        <w:tc>
          <w:tcPr>
            <w:tcW w:w="1985" w:type="dxa"/>
            <w:shd w:val="clear" w:color="auto" w:fill="auto"/>
            <w:vAlign w:val="center"/>
          </w:tcPr>
          <w:p w14:paraId="04D800DF" w14:textId="77777777" w:rsidR="002D0AE7" w:rsidRDefault="00333EBB">
            <w:pPr>
              <w:ind w:right="105"/>
              <w:rPr>
                <w:rFonts w:hint="eastAsia"/>
                <w:sz w:val="21"/>
                <w:szCs w:val="21"/>
              </w:rPr>
            </w:pPr>
            <w:r>
              <w:rPr>
                <w:rFonts w:hint="eastAsia"/>
                <w:sz w:val="21"/>
                <w:szCs w:val="21"/>
              </w:rPr>
              <w:t>其他</w:t>
            </w:r>
          </w:p>
        </w:tc>
        <w:tc>
          <w:tcPr>
            <w:tcW w:w="1418" w:type="dxa"/>
            <w:shd w:val="clear" w:color="auto" w:fill="auto"/>
            <w:vAlign w:val="center"/>
          </w:tcPr>
          <w:p w14:paraId="6DA62A40" w14:textId="77777777" w:rsidR="002D0AE7" w:rsidRDefault="00333EBB">
            <w:pPr>
              <w:ind w:right="105"/>
              <w:jc w:val="right"/>
              <w:rPr>
                <w:rFonts w:ascii="Times New Roman" w:hAnsi="Times New Roman" w:cs="Times New Roman"/>
                <w:sz w:val="21"/>
                <w:szCs w:val="21"/>
              </w:rPr>
            </w:pPr>
            <w:r>
              <w:rPr>
                <w:rFonts w:ascii="Times New Roman" w:hAnsi="Times New Roman" w:cs="Times New Roman"/>
                <w:sz w:val="21"/>
                <w:szCs w:val="21"/>
              </w:rPr>
              <w:t>/</w:t>
            </w:r>
          </w:p>
        </w:tc>
        <w:tc>
          <w:tcPr>
            <w:tcW w:w="1417" w:type="dxa"/>
            <w:shd w:val="clear" w:color="auto" w:fill="auto"/>
            <w:vAlign w:val="center"/>
          </w:tcPr>
          <w:p w14:paraId="1AAFBEC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16,277,029.16</w:t>
            </w:r>
          </w:p>
        </w:tc>
        <w:tc>
          <w:tcPr>
            <w:tcW w:w="1418" w:type="dxa"/>
            <w:shd w:val="clear" w:color="auto" w:fill="auto"/>
            <w:vAlign w:val="center"/>
          </w:tcPr>
          <w:p w14:paraId="6336B6ED" w14:textId="77777777" w:rsidR="002D0AE7" w:rsidRDefault="00333EBB">
            <w:pPr>
              <w:ind w:right="73"/>
              <w:jc w:val="right"/>
              <w:rPr>
                <w:rFonts w:ascii="Times New Roman" w:hAnsi="Times New Roman" w:cs="Times New Roman"/>
                <w:sz w:val="21"/>
                <w:szCs w:val="21"/>
              </w:rPr>
            </w:pPr>
            <w:r>
              <w:rPr>
                <w:rFonts w:ascii="Times New Roman" w:hAnsi="Times New Roman" w:cs="Times New Roman"/>
                <w:sz w:val="21"/>
                <w:szCs w:val="21"/>
              </w:rPr>
              <w:t>17,979,575.07</w:t>
            </w:r>
          </w:p>
        </w:tc>
        <w:tc>
          <w:tcPr>
            <w:tcW w:w="1417" w:type="dxa"/>
            <w:shd w:val="clear" w:color="auto" w:fill="auto"/>
            <w:vAlign w:val="center"/>
          </w:tcPr>
          <w:p w14:paraId="45148BBF" w14:textId="77777777" w:rsidR="002D0AE7" w:rsidRDefault="00333EBB">
            <w:pPr>
              <w:ind w:right="73"/>
              <w:jc w:val="right"/>
              <w:rPr>
                <w:rFonts w:ascii="Times New Roman" w:hAnsi="Times New Roman" w:cs="Times New Roman"/>
                <w:sz w:val="21"/>
                <w:szCs w:val="21"/>
              </w:rPr>
            </w:pPr>
            <w:r>
              <w:rPr>
                <w:rFonts w:ascii="Times New Roman" w:hAnsi="Times New Roman" w:cs="Times New Roman"/>
                <w:sz w:val="21"/>
                <w:szCs w:val="21"/>
              </w:rPr>
              <w:t>13,171,157.84</w:t>
            </w:r>
          </w:p>
        </w:tc>
        <w:tc>
          <w:tcPr>
            <w:tcW w:w="1276" w:type="dxa"/>
            <w:shd w:val="clear" w:color="auto" w:fill="auto"/>
            <w:vAlign w:val="center"/>
          </w:tcPr>
          <w:p w14:paraId="4041FC9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3,549,411.34</w:t>
            </w:r>
          </w:p>
        </w:tc>
        <w:tc>
          <w:tcPr>
            <w:tcW w:w="1507" w:type="dxa"/>
            <w:vAlign w:val="center"/>
          </w:tcPr>
          <w:p w14:paraId="3E83533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17,536,035.05</w:t>
            </w:r>
          </w:p>
        </w:tc>
        <w:tc>
          <w:tcPr>
            <w:tcW w:w="0" w:type="auto"/>
            <w:shd w:val="clear" w:color="auto" w:fill="auto"/>
            <w:vAlign w:val="center"/>
          </w:tcPr>
          <w:p w14:paraId="4F1D421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w:t>
            </w:r>
          </w:p>
        </w:tc>
        <w:tc>
          <w:tcPr>
            <w:tcW w:w="0" w:type="auto"/>
            <w:shd w:val="clear" w:color="auto" w:fill="auto"/>
            <w:vAlign w:val="center"/>
          </w:tcPr>
          <w:p w14:paraId="307C907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w:t>
            </w:r>
          </w:p>
        </w:tc>
        <w:tc>
          <w:tcPr>
            <w:tcW w:w="0" w:type="auto"/>
            <w:shd w:val="clear" w:color="auto" w:fill="auto"/>
            <w:vAlign w:val="center"/>
          </w:tcPr>
          <w:p w14:paraId="35C0177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0" w:type="auto"/>
            <w:shd w:val="clear" w:color="auto" w:fill="auto"/>
            <w:vAlign w:val="center"/>
          </w:tcPr>
          <w:p w14:paraId="2550834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0" w:type="auto"/>
            <w:shd w:val="clear" w:color="auto" w:fill="auto"/>
            <w:vAlign w:val="center"/>
          </w:tcPr>
          <w:p w14:paraId="1CC8EED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97" w:type="dxa"/>
            <w:shd w:val="clear" w:color="auto" w:fill="auto"/>
            <w:vAlign w:val="center"/>
          </w:tcPr>
          <w:p w14:paraId="63809DB4" w14:textId="77777777" w:rsidR="002D0AE7" w:rsidRDefault="00333EBB">
            <w:pPr>
              <w:jc w:val="center"/>
              <w:rPr>
                <w:rFonts w:hint="eastAsia"/>
                <w:sz w:val="21"/>
                <w:szCs w:val="21"/>
              </w:rPr>
            </w:pPr>
            <w:r>
              <w:rPr>
                <w:rFonts w:hint="eastAsia"/>
                <w:sz w:val="21"/>
                <w:szCs w:val="21"/>
              </w:rPr>
              <w:t>自筹</w:t>
            </w:r>
          </w:p>
        </w:tc>
      </w:tr>
      <w:tr w:rsidR="002D0AE7" w14:paraId="6F8FBC03" w14:textId="77777777">
        <w:trPr>
          <w:cantSplit/>
          <w:jc w:val="center"/>
        </w:trPr>
        <w:tc>
          <w:tcPr>
            <w:tcW w:w="1985" w:type="dxa"/>
            <w:shd w:val="clear" w:color="auto" w:fill="auto"/>
            <w:vAlign w:val="center"/>
          </w:tcPr>
          <w:p w14:paraId="19814C93" w14:textId="77777777" w:rsidR="002D0AE7" w:rsidRDefault="00333EBB">
            <w:pPr>
              <w:ind w:right="105"/>
              <w:jc w:val="center"/>
              <w:rPr>
                <w:rFonts w:hint="eastAsia"/>
                <w:color w:val="000000" w:themeColor="text1"/>
                <w:sz w:val="21"/>
                <w:szCs w:val="21"/>
              </w:rPr>
            </w:pPr>
            <w:r>
              <w:rPr>
                <w:rFonts w:hint="eastAsia"/>
                <w:color w:val="000000" w:themeColor="text1"/>
                <w:sz w:val="21"/>
                <w:szCs w:val="21"/>
              </w:rPr>
              <w:t>合计</w:t>
            </w:r>
          </w:p>
        </w:tc>
        <w:tc>
          <w:tcPr>
            <w:tcW w:w="1418" w:type="dxa"/>
            <w:shd w:val="clear" w:color="auto" w:fill="auto"/>
            <w:vAlign w:val="center"/>
          </w:tcPr>
          <w:p w14:paraId="106352FC" w14:textId="77777777" w:rsidR="002D0AE7" w:rsidRDefault="00333EBB">
            <w:pPr>
              <w:ind w:right="105"/>
              <w:jc w:val="right"/>
              <w:rPr>
                <w:rFonts w:ascii="Times New Roman" w:hAnsi="Times New Roman" w:cs="Times New Roman"/>
                <w:sz w:val="21"/>
                <w:szCs w:val="21"/>
              </w:rPr>
            </w:pPr>
            <w:r>
              <w:rPr>
                <w:rFonts w:ascii="Times New Roman" w:hAnsi="Times New Roman" w:cs="Times New Roman"/>
                <w:sz w:val="21"/>
                <w:szCs w:val="21"/>
              </w:rPr>
              <w:t>94,832,200.00</w:t>
            </w:r>
          </w:p>
        </w:tc>
        <w:tc>
          <w:tcPr>
            <w:tcW w:w="1417" w:type="dxa"/>
            <w:shd w:val="clear" w:color="auto" w:fill="auto"/>
            <w:vAlign w:val="center"/>
          </w:tcPr>
          <w:p w14:paraId="4D734E2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30,300,129.63</w:t>
            </w:r>
          </w:p>
        </w:tc>
        <w:tc>
          <w:tcPr>
            <w:tcW w:w="1418" w:type="dxa"/>
            <w:shd w:val="clear" w:color="auto" w:fill="auto"/>
            <w:vAlign w:val="center"/>
          </w:tcPr>
          <w:p w14:paraId="5B895E38" w14:textId="77777777" w:rsidR="002D0AE7" w:rsidRDefault="00333EBB">
            <w:pPr>
              <w:ind w:right="73"/>
              <w:jc w:val="right"/>
              <w:rPr>
                <w:rFonts w:ascii="Times New Roman" w:hAnsi="Times New Roman" w:cs="Times New Roman"/>
                <w:sz w:val="21"/>
                <w:szCs w:val="21"/>
              </w:rPr>
            </w:pPr>
            <w:r>
              <w:rPr>
                <w:rFonts w:ascii="Times New Roman" w:hAnsi="Times New Roman" w:cs="Times New Roman"/>
                <w:sz w:val="21"/>
                <w:szCs w:val="21"/>
              </w:rPr>
              <w:t>26,205,730.77</w:t>
            </w:r>
          </w:p>
        </w:tc>
        <w:tc>
          <w:tcPr>
            <w:tcW w:w="1417" w:type="dxa"/>
            <w:shd w:val="clear" w:color="auto" w:fill="auto"/>
            <w:vAlign w:val="center"/>
          </w:tcPr>
          <w:p w14:paraId="3FF06B73" w14:textId="77777777" w:rsidR="002D0AE7" w:rsidRDefault="00333EBB">
            <w:pPr>
              <w:ind w:right="73"/>
              <w:jc w:val="right"/>
              <w:rPr>
                <w:rFonts w:ascii="Times New Roman" w:hAnsi="Times New Roman" w:cs="Times New Roman"/>
                <w:sz w:val="21"/>
                <w:szCs w:val="21"/>
              </w:rPr>
            </w:pPr>
            <w:r>
              <w:rPr>
                <w:rFonts w:ascii="Times New Roman" w:hAnsi="Times New Roman" w:cs="Times New Roman"/>
                <w:sz w:val="21"/>
                <w:szCs w:val="21"/>
              </w:rPr>
              <w:t>22,450,702.48</w:t>
            </w:r>
          </w:p>
        </w:tc>
        <w:tc>
          <w:tcPr>
            <w:tcW w:w="1276" w:type="dxa"/>
            <w:shd w:val="clear" w:color="auto" w:fill="auto"/>
            <w:vAlign w:val="center"/>
          </w:tcPr>
          <w:p w14:paraId="0557043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3,549,411.34</w:t>
            </w:r>
          </w:p>
        </w:tc>
        <w:tc>
          <w:tcPr>
            <w:tcW w:w="1507" w:type="dxa"/>
            <w:vAlign w:val="center"/>
          </w:tcPr>
          <w:p w14:paraId="7649082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30,505,746.58</w:t>
            </w:r>
          </w:p>
        </w:tc>
        <w:tc>
          <w:tcPr>
            <w:tcW w:w="0" w:type="auto"/>
            <w:shd w:val="clear" w:color="auto" w:fill="auto"/>
            <w:vAlign w:val="center"/>
          </w:tcPr>
          <w:p w14:paraId="6ACB4C2F" w14:textId="77777777" w:rsidR="002D0AE7" w:rsidRDefault="00333EBB">
            <w:pPr>
              <w:ind w:right="174"/>
              <w:jc w:val="righ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p>
        </w:tc>
        <w:tc>
          <w:tcPr>
            <w:tcW w:w="0" w:type="auto"/>
            <w:shd w:val="clear" w:color="auto" w:fill="auto"/>
            <w:vAlign w:val="center"/>
          </w:tcPr>
          <w:p w14:paraId="14369CF0" w14:textId="77777777" w:rsidR="002D0AE7" w:rsidRDefault="00333EBB">
            <w:pPr>
              <w:ind w:right="174"/>
              <w:jc w:val="righ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p>
        </w:tc>
        <w:tc>
          <w:tcPr>
            <w:tcW w:w="0" w:type="auto"/>
            <w:shd w:val="clear" w:color="auto" w:fill="auto"/>
            <w:vAlign w:val="center"/>
          </w:tcPr>
          <w:p w14:paraId="0E2F726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0" w:type="auto"/>
            <w:shd w:val="clear" w:color="auto" w:fill="auto"/>
            <w:vAlign w:val="center"/>
          </w:tcPr>
          <w:p w14:paraId="4D44199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0" w:type="auto"/>
            <w:shd w:val="clear" w:color="auto" w:fill="auto"/>
            <w:vAlign w:val="center"/>
          </w:tcPr>
          <w:p w14:paraId="489625E5" w14:textId="77777777" w:rsidR="002D0AE7" w:rsidRDefault="00333EBB">
            <w:pPr>
              <w:ind w:right="174"/>
              <w:jc w:val="righ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p>
        </w:tc>
        <w:tc>
          <w:tcPr>
            <w:tcW w:w="697" w:type="dxa"/>
            <w:shd w:val="clear" w:color="auto" w:fill="auto"/>
            <w:vAlign w:val="center"/>
          </w:tcPr>
          <w:p w14:paraId="4338A7F2" w14:textId="77777777" w:rsidR="002D0AE7" w:rsidRDefault="00333EBB">
            <w:pPr>
              <w:ind w:right="174"/>
              <w:jc w:val="center"/>
              <w:rPr>
                <w:rFonts w:hint="eastAsia"/>
                <w:color w:val="000000" w:themeColor="text1"/>
                <w:sz w:val="21"/>
                <w:szCs w:val="21"/>
              </w:rPr>
            </w:pPr>
            <w:r>
              <w:rPr>
                <w:color w:val="000000" w:themeColor="text1"/>
                <w:sz w:val="21"/>
                <w:szCs w:val="21"/>
              </w:rPr>
              <w:t>/</w:t>
            </w:r>
          </w:p>
        </w:tc>
      </w:tr>
    </w:tbl>
    <w:p w14:paraId="782CBBC4" w14:textId="77777777" w:rsidR="002D0AE7" w:rsidRDefault="00333EBB">
      <w:pPr>
        <w:snapToGrid w:val="0"/>
        <w:spacing w:line="240" w:lineRule="atLeast"/>
        <w:rPr>
          <w:rFonts w:hint="eastAsia"/>
          <w:color w:val="000000" w:themeColor="text1"/>
          <w:sz w:val="21"/>
        </w:rPr>
      </w:pPr>
      <w:r>
        <w:rPr>
          <w:rFonts w:hint="eastAsia"/>
          <w:color w:val="000000" w:themeColor="text1"/>
          <w:sz w:val="21"/>
        </w:rPr>
        <w:t>注：在建工程其他减少中</w:t>
      </w:r>
      <w:r>
        <w:rPr>
          <w:rFonts w:ascii="Times New Roman" w:hAnsi="Times New Roman" w:cs="Times New Roman"/>
          <w:color w:val="000000" w:themeColor="text1"/>
          <w:sz w:val="21"/>
        </w:rPr>
        <w:t>3,549,411.34</w:t>
      </w:r>
      <w:r>
        <w:rPr>
          <w:color w:val="000000" w:themeColor="text1"/>
          <w:sz w:val="21"/>
        </w:rPr>
        <w:t>元转入无形资产。</w:t>
      </w:r>
    </w:p>
    <w:p w14:paraId="672C57FF" w14:textId="77777777" w:rsidR="002D0AE7" w:rsidRDefault="00333EBB">
      <w:pPr>
        <w:pStyle w:val="4"/>
        <w:rPr>
          <w:rFonts w:ascii="宋体" w:hAnsi="宋体" w:hint="eastAsia"/>
          <w:color w:val="000000" w:themeColor="text1"/>
        </w:rPr>
      </w:pPr>
      <w:bookmarkStart w:id="187" w:name="_Hlk11683481"/>
      <w:r>
        <w:rPr>
          <w:rFonts w:ascii="宋体" w:hAnsi="宋体" w:hint="eastAsia"/>
          <w:color w:val="000000" w:themeColor="text1"/>
        </w:rPr>
        <w:t>工程物资</w:t>
      </w:r>
    </w:p>
    <w:sdt>
      <w:sdtPr>
        <w:rPr>
          <w:color w:val="000000" w:themeColor="text1"/>
        </w:rPr>
        <w:alias w:val="是否适用：工程物资[双击切换]"/>
        <w:tag w:val="_GBC_0d711628566c4b08b883151766986b20"/>
        <w:id w:val="12959022"/>
        <w:placeholder>
          <w:docPart w:val="GBC22222222222222222222222222222"/>
        </w:placeholder>
      </w:sdtPr>
      <w:sdtEndPr/>
      <w:sdtContent>
        <w:p w14:paraId="2B38ACFA"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3850B668" w14:textId="77777777" w:rsidR="002D0AE7" w:rsidRDefault="00333EBB">
      <w:pPr>
        <w:snapToGrid w:val="0"/>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工程物资"/>
          <w:tag w:val="_GBC_9e438118345a414ebb42540883d9d901"/>
          <w:id w:val="-44447029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工程物资"/>
          <w:tag w:val="_GBC_e98a8ba0f9c641038d6bc5d4e3b304b0"/>
          <w:id w:val="99876469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840"/>
        <w:gridCol w:w="1669"/>
        <w:gridCol w:w="1669"/>
        <w:gridCol w:w="1669"/>
        <w:gridCol w:w="1672"/>
        <w:gridCol w:w="1672"/>
        <w:gridCol w:w="1672"/>
      </w:tblGrid>
      <w:tr w:rsidR="002D0AE7" w14:paraId="2DA98715" w14:textId="77777777">
        <w:sdt>
          <w:sdtPr>
            <w:rPr>
              <w:color w:val="000000" w:themeColor="text1"/>
              <w:sz w:val="21"/>
            </w:rPr>
            <w:tag w:val="_PLD_47bf651b1b034a418fb1db38150aa4b4"/>
            <w:id w:val="-2074809209"/>
          </w:sdtPr>
          <w:sdtEndPr/>
          <w:sdtContent>
            <w:tc>
              <w:tcPr>
                <w:tcW w:w="1385" w:type="pct"/>
                <w:vMerge w:val="restart"/>
                <w:vAlign w:val="center"/>
              </w:tcPr>
              <w:p w14:paraId="0B72877B" w14:textId="77777777" w:rsidR="002D0AE7" w:rsidRDefault="00333EBB">
                <w:pPr>
                  <w:autoSpaceDE w:val="0"/>
                  <w:autoSpaceDN w:val="0"/>
                  <w:adjustRightInd w:val="0"/>
                  <w:snapToGrid w:val="0"/>
                  <w:spacing w:line="240" w:lineRule="atLeast"/>
                  <w:jc w:val="center"/>
                  <w:rPr>
                    <w:rFonts w:hint="eastAsia"/>
                    <w:color w:val="000000" w:themeColor="text1"/>
                    <w:sz w:val="21"/>
                  </w:rPr>
                </w:pPr>
                <w:r>
                  <w:rPr>
                    <w:rFonts w:hint="eastAsia"/>
                    <w:color w:val="000000" w:themeColor="text1"/>
                    <w:sz w:val="21"/>
                  </w:rPr>
                  <w:t>项目</w:t>
                </w:r>
              </w:p>
            </w:tc>
          </w:sdtContent>
        </w:sdt>
        <w:sdt>
          <w:sdtPr>
            <w:rPr>
              <w:color w:val="000000" w:themeColor="text1"/>
              <w:sz w:val="21"/>
            </w:rPr>
            <w:tag w:val="_PLD_48ff352fed3842f39a85665d17954846"/>
            <w:id w:val="1839578916"/>
          </w:sdtPr>
          <w:sdtEndPr/>
          <w:sdtContent>
            <w:tc>
              <w:tcPr>
                <w:tcW w:w="1806" w:type="pct"/>
                <w:gridSpan w:val="3"/>
                <w:vAlign w:val="center"/>
              </w:tcPr>
              <w:p w14:paraId="43C4290A" w14:textId="77777777" w:rsidR="002D0AE7" w:rsidRDefault="00333EBB">
                <w:pPr>
                  <w:autoSpaceDE w:val="0"/>
                  <w:autoSpaceDN w:val="0"/>
                  <w:adjustRightInd w:val="0"/>
                  <w:snapToGrid w:val="0"/>
                  <w:spacing w:line="240" w:lineRule="atLeast"/>
                  <w:jc w:val="center"/>
                  <w:rPr>
                    <w:rFonts w:hint="eastAsia"/>
                    <w:color w:val="000000" w:themeColor="text1"/>
                    <w:sz w:val="21"/>
                  </w:rPr>
                </w:pPr>
                <w:r>
                  <w:rPr>
                    <w:rFonts w:hint="eastAsia"/>
                    <w:color w:val="000000" w:themeColor="text1"/>
                    <w:sz w:val="21"/>
                  </w:rPr>
                  <w:t>期末余额</w:t>
                </w:r>
              </w:p>
            </w:tc>
          </w:sdtContent>
        </w:sdt>
        <w:sdt>
          <w:sdtPr>
            <w:rPr>
              <w:color w:val="000000" w:themeColor="text1"/>
              <w:sz w:val="21"/>
            </w:rPr>
            <w:tag w:val="_PLD_c9bc4b861b7e44ed860c437763dc3d4e"/>
            <w:id w:val="875811143"/>
          </w:sdtPr>
          <w:sdtEndPr/>
          <w:sdtContent>
            <w:tc>
              <w:tcPr>
                <w:tcW w:w="1809" w:type="pct"/>
                <w:gridSpan w:val="3"/>
                <w:vAlign w:val="center"/>
              </w:tcPr>
              <w:p w14:paraId="576736AE" w14:textId="77777777" w:rsidR="002D0AE7" w:rsidRDefault="00333EBB">
                <w:pPr>
                  <w:autoSpaceDE w:val="0"/>
                  <w:autoSpaceDN w:val="0"/>
                  <w:adjustRightInd w:val="0"/>
                  <w:snapToGrid w:val="0"/>
                  <w:spacing w:line="240" w:lineRule="atLeast"/>
                  <w:jc w:val="center"/>
                  <w:rPr>
                    <w:rFonts w:hint="eastAsia"/>
                    <w:color w:val="000000" w:themeColor="text1"/>
                    <w:sz w:val="21"/>
                  </w:rPr>
                </w:pPr>
                <w:r>
                  <w:rPr>
                    <w:rFonts w:hint="eastAsia"/>
                    <w:color w:val="000000" w:themeColor="text1"/>
                    <w:sz w:val="21"/>
                  </w:rPr>
                  <w:t>期初余额</w:t>
                </w:r>
              </w:p>
            </w:tc>
          </w:sdtContent>
        </w:sdt>
      </w:tr>
      <w:tr w:rsidR="002D0AE7" w14:paraId="12479C52" w14:textId="77777777">
        <w:tc>
          <w:tcPr>
            <w:tcW w:w="1385" w:type="pct"/>
            <w:vMerge/>
            <w:vAlign w:val="center"/>
          </w:tcPr>
          <w:p w14:paraId="5BAFEA3F" w14:textId="77777777" w:rsidR="002D0AE7" w:rsidRDefault="002D0AE7">
            <w:pPr>
              <w:autoSpaceDE w:val="0"/>
              <w:autoSpaceDN w:val="0"/>
              <w:adjustRightInd w:val="0"/>
              <w:snapToGrid w:val="0"/>
              <w:spacing w:line="240" w:lineRule="atLeast"/>
              <w:jc w:val="center"/>
              <w:rPr>
                <w:rFonts w:hint="eastAsia"/>
                <w:color w:val="000000" w:themeColor="text1"/>
                <w:sz w:val="21"/>
              </w:rPr>
            </w:pPr>
          </w:p>
        </w:tc>
        <w:sdt>
          <w:sdtPr>
            <w:rPr>
              <w:color w:val="000000" w:themeColor="text1"/>
              <w:sz w:val="21"/>
            </w:rPr>
            <w:tag w:val="_PLD_8f94fed53e7d4891bdfe09802cfa0368"/>
            <w:id w:val="-412705181"/>
          </w:sdtPr>
          <w:sdtEndPr/>
          <w:sdtContent>
            <w:tc>
              <w:tcPr>
                <w:tcW w:w="602" w:type="pct"/>
                <w:vAlign w:val="center"/>
              </w:tcPr>
              <w:p w14:paraId="06BA66E1" w14:textId="77777777" w:rsidR="002D0AE7" w:rsidRDefault="00333EBB">
                <w:pPr>
                  <w:autoSpaceDE w:val="0"/>
                  <w:autoSpaceDN w:val="0"/>
                  <w:adjustRightInd w:val="0"/>
                  <w:snapToGrid w:val="0"/>
                  <w:spacing w:line="240" w:lineRule="atLeast"/>
                  <w:jc w:val="center"/>
                  <w:rPr>
                    <w:rFonts w:hint="eastAsia"/>
                    <w:color w:val="000000" w:themeColor="text1"/>
                    <w:sz w:val="21"/>
                  </w:rPr>
                </w:pPr>
                <w:r>
                  <w:rPr>
                    <w:rFonts w:hint="eastAsia"/>
                    <w:color w:val="000000" w:themeColor="text1"/>
                    <w:sz w:val="21"/>
                  </w:rPr>
                  <w:t>账面余额</w:t>
                </w:r>
              </w:p>
            </w:tc>
          </w:sdtContent>
        </w:sdt>
        <w:sdt>
          <w:sdtPr>
            <w:rPr>
              <w:color w:val="000000" w:themeColor="text1"/>
              <w:sz w:val="21"/>
            </w:rPr>
            <w:tag w:val="_PLD_19c2095293fa4d6a9f54d246020cfdfd"/>
            <w:id w:val="-1982999261"/>
          </w:sdtPr>
          <w:sdtEndPr/>
          <w:sdtContent>
            <w:tc>
              <w:tcPr>
                <w:tcW w:w="602" w:type="pct"/>
                <w:vAlign w:val="center"/>
              </w:tcPr>
              <w:p w14:paraId="3809801C" w14:textId="77777777" w:rsidR="002D0AE7" w:rsidRDefault="00333EBB">
                <w:pPr>
                  <w:autoSpaceDE w:val="0"/>
                  <w:autoSpaceDN w:val="0"/>
                  <w:adjustRightInd w:val="0"/>
                  <w:snapToGrid w:val="0"/>
                  <w:spacing w:line="240" w:lineRule="atLeast"/>
                  <w:jc w:val="center"/>
                  <w:rPr>
                    <w:rFonts w:hint="eastAsia"/>
                    <w:color w:val="000000" w:themeColor="text1"/>
                    <w:sz w:val="21"/>
                  </w:rPr>
                </w:pPr>
                <w:r>
                  <w:rPr>
                    <w:rFonts w:hint="eastAsia"/>
                    <w:color w:val="000000" w:themeColor="text1"/>
                    <w:sz w:val="21"/>
                  </w:rPr>
                  <w:t>减值准备</w:t>
                </w:r>
              </w:p>
            </w:tc>
          </w:sdtContent>
        </w:sdt>
        <w:sdt>
          <w:sdtPr>
            <w:rPr>
              <w:color w:val="000000" w:themeColor="text1"/>
              <w:sz w:val="21"/>
            </w:rPr>
            <w:tag w:val="_PLD_4fd09ced029a4cbf99f63c809ae7a8b5"/>
            <w:id w:val="301436383"/>
          </w:sdtPr>
          <w:sdtEndPr/>
          <w:sdtContent>
            <w:tc>
              <w:tcPr>
                <w:tcW w:w="602" w:type="pct"/>
                <w:vAlign w:val="center"/>
              </w:tcPr>
              <w:p w14:paraId="5F8478C1" w14:textId="77777777" w:rsidR="002D0AE7" w:rsidRDefault="00333EBB">
                <w:pPr>
                  <w:autoSpaceDE w:val="0"/>
                  <w:autoSpaceDN w:val="0"/>
                  <w:adjustRightInd w:val="0"/>
                  <w:snapToGrid w:val="0"/>
                  <w:spacing w:line="240" w:lineRule="atLeast"/>
                  <w:jc w:val="center"/>
                  <w:rPr>
                    <w:rFonts w:hint="eastAsia"/>
                    <w:color w:val="000000" w:themeColor="text1"/>
                    <w:sz w:val="21"/>
                  </w:rPr>
                </w:pPr>
                <w:r>
                  <w:rPr>
                    <w:rFonts w:hint="eastAsia"/>
                    <w:color w:val="000000" w:themeColor="text1"/>
                    <w:sz w:val="21"/>
                  </w:rPr>
                  <w:t>账面价值</w:t>
                </w:r>
              </w:p>
            </w:tc>
          </w:sdtContent>
        </w:sdt>
        <w:sdt>
          <w:sdtPr>
            <w:rPr>
              <w:color w:val="000000" w:themeColor="text1"/>
              <w:sz w:val="21"/>
            </w:rPr>
            <w:tag w:val="_PLD_4195ac1a320648fa9510729303ab773b"/>
            <w:id w:val="68081162"/>
          </w:sdtPr>
          <w:sdtEndPr/>
          <w:sdtContent>
            <w:tc>
              <w:tcPr>
                <w:tcW w:w="603" w:type="pct"/>
                <w:vAlign w:val="center"/>
              </w:tcPr>
              <w:p w14:paraId="781961FF" w14:textId="77777777" w:rsidR="002D0AE7" w:rsidRDefault="00333EBB">
                <w:pPr>
                  <w:autoSpaceDE w:val="0"/>
                  <w:autoSpaceDN w:val="0"/>
                  <w:adjustRightInd w:val="0"/>
                  <w:snapToGrid w:val="0"/>
                  <w:spacing w:line="240" w:lineRule="atLeast"/>
                  <w:jc w:val="center"/>
                  <w:rPr>
                    <w:rFonts w:hint="eastAsia"/>
                    <w:color w:val="000000" w:themeColor="text1"/>
                    <w:sz w:val="21"/>
                  </w:rPr>
                </w:pPr>
                <w:r>
                  <w:rPr>
                    <w:rFonts w:hint="eastAsia"/>
                    <w:color w:val="000000" w:themeColor="text1"/>
                    <w:sz w:val="21"/>
                  </w:rPr>
                  <w:t>账面余额</w:t>
                </w:r>
              </w:p>
            </w:tc>
          </w:sdtContent>
        </w:sdt>
        <w:sdt>
          <w:sdtPr>
            <w:rPr>
              <w:color w:val="000000" w:themeColor="text1"/>
              <w:sz w:val="21"/>
            </w:rPr>
            <w:tag w:val="_PLD_abb3aec78259484caf3e737ff1d5aeae"/>
            <w:id w:val="-1474356334"/>
          </w:sdtPr>
          <w:sdtEndPr/>
          <w:sdtContent>
            <w:tc>
              <w:tcPr>
                <w:tcW w:w="603" w:type="pct"/>
                <w:vAlign w:val="center"/>
              </w:tcPr>
              <w:p w14:paraId="00D16455" w14:textId="77777777" w:rsidR="002D0AE7" w:rsidRDefault="00333EBB">
                <w:pPr>
                  <w:autoSpaceDE w:val="0"/>
                  <w:autoSpaceDN w:val="0"/>
                  <w:adjustRightInd w:val="0"/>
                  <w:snapToGrid w:val="0"/>
                  <w:spacing w:line="240" w:lineRule="atLeast"/>
                  <w:jc w:val="center"/>
                  <w:rPr>
                    <w:rFonts w:hint="eastAsia"/>
                    <w:color w:val="000000" w:themeColor="text1"/>
                    <w:sz w:val="21"/>
                  </w:rPr>
                </w:pPr>
                <w:r>
                  <w:rPr>
                    <w:rFonts w:hint="eastAsia"/>
                    <w:color w:val="000000" w:themeColor="text1"/>
                    <w:sz w:val="21"/>
                  </w:rPr>
                  <w:t>减值准备</w:t>
                </w:r>
              </w:p>
            </w:tc>
          </w:sdtContent>
        </w:sdt>
        <w:sdt>
          <w:sdtPr>
            <w:rPr>
              <w:color w:val="000000" w:themeColor="text1"/>
              <w:sz w:val="21"/>
            </w:rPr>
            <w:tag w:val="_PLD_58b22922dcb74a3689b431da73c3c35b"/>
            <w:id w:val="-1027863027"/>
          </w:sdtPr>
          <w:sdtEndPr/>
          <w:sdtContent>
            <w:tc>
              <w:tcPr>
                <w:tcW w:w="602" w:type="pct"/>
                <w:vAlign w:val="center"/>
              </w:tcPr>
              <w:p w14:paraId="7C02CB8B" w14:textId="77777777" w:rsidR="002D0AE7" w:rsidRDefault="00333EBB">
                <w:pPr>
                  <w:autoSpaceDE w:val="0"/>
                  <w:autoSpaceDN w:val="0"/>
                  <w:adjustRightInd w:val="0"/>
                  <w:snapToGrid w:val="0"/>
                  <w:spacing w:line="240" w:lineRule="atLeast"/>
                  <w:jc w:val="center"/>
                  <w:rPr>
                    <w:rFonts w:hint="eastAsia"/>
                    <w:color w:val="000000" w:themeColor="text1"/>
                    <w:sz w:val="21"/>
                  </w:rPr>
                </w:pPr>
                <w:r>
                  <w:rPr>
                    <w:rFonts w:hint="eastAsia"/>
                    <w:color w:val="000000" w:themeColor="text1"/>
                    <w:sz w:val="21"/>
                  </w:rPr>
                  <w:t>账面价值</w:t>
                </w:r>
              </w:p>
            </w:tc>
          </w:sdtContent>
        </w:sdt>
      </w:tr>
      <w:tr w:rsidR="002D0AE7" w14:paraId="7111F0E7" w14:textId="77777777">
        <w:tc>
          <w:tcPr>
            <w:tcW w:w="1385" w:type="pct"/>
          </w:tcPr>
          <w:p w14:paraId="6044A85D" w14:textId="77777777" w:rsidR="002D0AE7" w:rsidRDefault="00333EBB">
            <w:pPr>
              <w:autoSpaceDE w:val="0"/>
              <w:autoSpaceDN w:val="0"/>
              <w:adjustRightInd w:val="0"/>
              <w:snapToGrid w:val="0"/>
              <w:spacing w:line="240" w:lineRule="atLeast"/>
              <w:rPr>
                <w:rFonts w:hint="eastAsia"/>
                <w:sz w:val="21"/>
              </w:rPr>
            </w:pPr>
            <w:r>
              <w:rPr>
                <w:rFonts w:hint="eastAsia"/>
                <w:sz w:val="21"/>
              </w:rPr>
              <w:t>材料</w:t>
            </w:r>
          </w:p>
        </w:tc>
        <w:tc>
          <w:tcPr>
            <w:tcW w:w="602" w:type="pct"/>
            <w:shd w:val="clear" w:color="auto" w:fill="auto"/>
            <w:vAlign w:val="bottom"/>
          </w:tcPr>
          <w:p w14:paraId="44FBE8E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4,099,134.82</w:t>
            </w:r>
          </w:p>
        </w:tc>
        <w:tc>
          <w:tcPr>
            <w:tcW w:w="602" w:type="pct"/>
          </w:tcPr>
          <w:p w14:paraId="0F23B09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02" w:type="pct"/>
            <w:shd w:val="clear" w:color="auto" w:fill="auto"/>
            <w:vAlign w:val="bottom"/>
          </w:tcPr>
          <w:p w14:paraId="6739E77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4,099,134.82</w:t>
            </w:r>
          </w:p>
        </w:tc>
        <w:tc>
          <w:tcPr>
            <w:tcW w:w="603" w:type="pct"/>
            <w:shd w:val="clear" w:color="auto" w:fill="auto"/>
            <w:vAlign w:val="bottom"/>
          </w:tcPr>
          <w:p w14:paraId="3372C2C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4,182,612.04</w:t>
            </w:r>
          </w:p>
        </w:tc>
        <w:tc>
          <w:tcPr>
            <w:tcW w:w="603" w:type="pct"/>
          </w:tcPr>
          <w:p w14:paraId="54A7761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02" w:type="pct"/>
            <w:shd w:val="clear" w:color="auto" w:fill="auto"/>
            <w:vAlign w:val="bottom"/>
          </w:tcPr>
          <w:p w14:paraId="3769CE0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4,182,612.04</w:t>
            </w:r>
          </w:p>
        </w:tc>
      </w:tr>
      <w:tr w:rsidR="002D0AE7" w14:paraId="0EACEE7E" w14:textId="77777777">
        <w:tc>
          <w:tcPr>
            <w:tcW w:w="1385" w:type="pct"/>
          </w:tcPr>
          <w:p w14:paraId="5853D29D" w14:textId="77777777" w:rsidR="002D0AE7" w:rsidRDefault="00333EBB">
            <w:pPr>
              <w:autoSpaceDE w:val="0"/>
              <w:autoSpaceDN w:val="0"/>
              <w:adjustRightInd w:val="0"/>
              <w:snapToGrid w:val="0"/>
              <w:spacing w:line="240" w:lineRule="atLeast"/>
              <w:rPr>
                <w:rFonts w:hint="eastAsia"/>
                <w:sz w:val="21"/>
              </w:rPr>
            </w:pPr>
            <w:r>
              <w:rPr>
                <w:rFonts w:hint="eastAsia"/>
                <w:sz w:val="21"/>
              </w:rPr>
              <w:t>设备</w:t>
            </w:r>
          </w:p>
        </w:tc>
        <w:tc>
          <w:tcPr>
            <w:tcW w:w="602" w:type="pct"/>
            <w:shd w:val="clear" w:color="auto" w:fill="auto"/>
            <w:vAlign w:val="bottom"/>
          </w:tcPr>
          <w:p w14:paraId="22C3C54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899,595.66</w:t>
            </w:r>
          </w:p>
        </w:tc>
        <w:tc>
          <w:tcPr>
            <w:tcW w:w="602" w:type="pct"/>
          </w:tcPr>
          <w:p w14:paraId="4B72F78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02" w:type="pct"/>
            <w:shd w:val="clear" w:color="auto" w:fill="auto"/>
            <w:vAlign w:val="bottom"/>
          </w:tcPr>
          <w:p w14:paraId="148EB04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899,595.66</w:t>
            </w:r>
          </w:p>
        </w:tc>
        <w:tc>
          <w:tcPr>
            <w:tcW w:w="603" w:type="pct"/>
            <w:shd w:val="clear" w:color="auto" w:fill="auto"/>
            <w:vAlign w:val="bottom"/>
          </w:tcPr>
          <w:p w14:paraId="410CD95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93,703.44</w:t>
            </w:r>
          </w:p>
        </w:tc>
        <w:tc>
          <w:tcPr>
            <w:tcW w:w="603" w:type="pct"/>
          </w:tcPr>
          <w:p w14:paraId="24FB117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02" w:type="pct"/>
            <w:shd w:val="clear" w:color="auto" w:fill="auto"/>
            <w:vAlign w:val="bottom"/>
          </w:tcPr>
          <w:p w14:paraId="4ED9A57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93,703.44</w:t>
            </w:r>
          </w:p>
        </w:tc>
      </w:tr>
      <w:tr w:rsidR="002D0AE7" w14:paraId="3C38DE10" w14:textId="77777777">
        <w:tc>
          <w:tcPr>
            <w:tcW w:w="1385" w:type="pct"/>
            <w:vAlign w:val="center"/>
          </w:tcPr>
          <w:p w14:paraId="1B4616B7" w14:textId="77777777" w:rsidR="002D0AE7" w:rsidRDefault="00333EBB">
            <w:pPr>
              <w:autoSpaceDE w:val="0"/>
              <w:autoSpaceDN w:val="0"/>
              <w:adjustRightInd w:val="0"/>
              <w:snapToGrid w:val="0"/>
              <w:spacing w:line="240" w:lineRule="atLeast"/>
              <w:jc w:val="center"/>
              <w:rPr>
                <w:rFonts w:hint="eastAsia"/>
                <w:color w:val="000000" w:themeColor="text1"/>
                <w:sz w:val="21"/>
              </w:rPr>
            </w:pPr>
            <w:r>
              <w:rPr>
                <w:rFonts w:hint="eastAsia"/>
                <w:color w:val="000000" w:themeColor="text1"/>
                <w:sz w:val="21"/>
              </w:rPr>
              <w:t>合计</w:t>
            </w:r>
          </w:p>
        </w:tc>
        <w:tc>
          <w:tcPr>
            <w:tcW w:w="602" w:type="pct"/>
            <w:shd w:val="clear" w:color="auto" w:fill="auto"/>
            <w:vAlign w:val="bottom"/>
          </w:tcPr>
          <w:p w14:paraId="6AE2342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4,998,730.48</w:t>
            </w:r>
          </w:p>
        </w:tc>
        <w:tc>
          <w:tcPr>
            <w:tcW w:w="602" w:type="pct"/>
          </w:tcPr>
          <w:p w14:paraId="02F6EB6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02" w:type="pct"/>
            <w:shd w:val="clear" w:color="auto" w:fill="auto"/>
            <w:vAlign w:val="bottom"/>
          </w:tcPr>
          <w:p w14:paraId="55B1630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4,998,730.48</w:t>
            </w:r>
          </w:p>
        </w:tc>
        <w:tc>
          <w:tcPr>
            <w:tcW w:w="603" w:type="pct"/>
            <w:shd w:val="clear" w:color="auto" w:fill="auto"/>
            <w:vAlign w:val="bottom"/>
          </w:tcPr>
          <w:p w14:paraId="1130B527"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4,276,315.48</w:t>
            </w:r>
          </w:p>
        </w:tc>
        <w:tc>
          <w:tcPr>
            <w:tcW w:w="603" w:type="pct"/>
          </w:tcPr>
          <w:p w14:paraId="14A246B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02" w:type="pct"/>
            <w:shd w:val="clear" w:color="auto" w:fill="auto"/>
            <w:vAlign w:val="bottom"/>
          </w:tcPr>
          <w:p w14:paraId="308011D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4,276,315.48</w:t>
            </w:r>
          </w:p>
        </w:tc>
      </w:tr>
    </w:tbl>
    <w:p w14:paraId="6CABE2CD" w14:textId="77777777" w:rsidR="002D0AE7" w:rsidRDefault="00333EBB">
      <w:pPr>
        <w:rPr>
          <w:rFonts w:hint="eastAsia"/>
          <w:color w:val="000000" w:themeColor="text1"/>
          <w:sz w:val="21"/>
        </w:rPr>
        <w:sectPr w:rsidR="002D0AE7">
          <w:pgSz w:w="16838" w:h="11906" w:orient="landscape"/>
          <w:pgMar w:top="1276" w:right="1440" w:bottom="1797" w:left="1525" w:header="856" w:footer="992" w:gutter="0"/>
          <w:cols w:space="425"/>
          <w:docGrid w:linePitch="312"/>
        </w:sectPr>
      </w:pPr>
      <w:r>
        <w:rPr>
          <w:rFonts w:hint="eastAsia"/>
          <w:color w:val="000000" w:themeColor="text1"/>
          <w:sz w:val="21"/>
        </w:rPr>
        <w:t>其他说明：</w:t>
      </w:r>
      <w:sdt>
        <w:sdtPr>
          <w:rPr>
            <w:color w:val="000000" w:themeColor="text1"/>
            <w:sz w:val="21"/>
          </w:rPr>
          <w:alias w:val="工程物资的说明"/>
          <w:tag w:val="_GBC_6e6a056654d34f4baea4f3cf22bcb183"/>
          <w:id w:val="1487289331"/>
          <w:placeholder>
            <w:docPart w:val="GBC22222222222222222222222222222"/>
          </w:placeholder>
        </w:sdtPr>
        <w:sdtEndPr/>
        <w:sdtContent>
          <w:r>
            <w:rPr>
              <w:rFonts w:hint="eastAsia"/>
              <w:color w:val="000000" w:themeColor="text1"/>
              <w:sz w:val="21"/>
            </w:rPr>
            <w:t>无</w:t>
          </w:r>
        </w:sdtContent>
      </w:sdt>
    </w:p>
    <w:bookmarkEnd w:id="187" w:displacedByCustomXml="next"/>
    <w:sdt>
      <w:sdtPr>
        <w:rPr>
          <w:rFonts w:ascii="宋体" w:hAnsi="宋体" w:cs="宋体" w:hint="eastAsia"/>
          <w:b w:val="0"/>
          <w:bCs w:val="0"/>
          <w:color w:val="000000" w:themeColor="text1"/>
          <w:kern w:val="0"/>
          <w:szCs w:val="21"/>
        </w:rPr>
        <w:alias w:val="模块:使用权资产"/>
        <w:tag w:val="_SEC_42126bf96c7241e38ff33aae0d98dae2"/>
        <w:id w:val="2023737044"/>
        <w:placeholder>
          <w:docPart w:val="GBC22222222222222222222222222222"/>
        </w:placeholder>
      </w:sdtPr>
      <w:sdtEndPr>
        <w:rPr>
          <w:rFonts w:ascii="Times New Roman" w:hAnsi="Times New Roman" w:cs="Times New Roman" w:hint="default"/>
          <w:sz w:val="21"/>
        </w:rPr>
      </w:sdtEndPr>
      <w:sdtContent>
        <w:p w14:paraId="1928CE42"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szCs w:val="21"/>
            </w:rPr>
            <w:t>使用权资产</w:t>
          </w:r>
        </w:p>
        <w:p w14:paraId="4D7D7026" w14:textId="77777777" w:rsidR="002D0AE7" w:rsidRDefault="00333EBB">
          <w:pPr>
            <w:pStyle w:val="4"/>
            <w:numPr>
              <w:ilvl w:val="0"/>
              <w:numId w:val="53"/>
            </w:numPr>
            <w:rPr>
              <w:color w:val="000000" w:themeColor="text1"/>
            </w:rPr>
          </w:pPr>
          <w:r>
            <w:rPr>
              <w:rFonts w:hint="eastAsia"/>
              <w:color w:val="000000" w:themeColor="text1"/>
            </w:rPr>
            <w:t>使用权资产情况</w:t>
          </w:r>
        </w:p>
        <w:bookmarkStart w:id="188" w:name="_Hlk11679747" w:displacedByCustomXml="next"/>
        <w:sdt>
          <w:sdtPr>
            <w:rPr>
              <w:color w:val="000000" w:themeColor="text1"/>
            </w:rPr>
            <w:alias w:val="是否适用：使用权资产[双击切换]"/>
            <w:tag w:val="_GBC_3ac132175b304712af4889ae3914ef7d"/>
            <w:id w:val="-912010123"/>
            <w:placeholder>
              <w:docPart w:val="GBC22222222222222222222222222222"/>
            </w:placeholder>
          </w:sdtPr>
          <w:sdtEndPr/>
          <w:sdtContent>
            <w:p w14:paraId="60444828"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36910504" w14:textId="77777777" w:rsidR="002D0AE7" w:rsidRDefault="00333EBB">
          <w:pPr>
            <w:autoSpaceDE w:val="0"/>
            <w:autoSpaceDN w:val="0"/>
            <w:adjustRightInd w:val="0"/>
            <w:jc w:val="right"/>
            <w:rPr>
              <w:rFonts w:hint="eastAsia"/>
              <w:color w:val="000000" w:themeColor="text1"/>
            </w:rPr>
          </w:pPr>
          <w:r>
            <w:rPr>
              <w:rFonts w:hint="eastAsia"/>
              <w:color w:val="000000" w:themeColor="text1"/>
            </w:rPr>
            <w:t>单位：</w:t>
          </w:r>
          <w:sdt>
            <w:sdtPr>
              <w:rPr>
                <w:rFonts w:hint="eastAsia"/>
                <w:color w:val="000000" w:themeColor="text1"/>
              </w:rPr>
              <w:alias w:val="单位：使用权资产"/>
              <w:tag w:val="_GBC_126de13c7c92490d95bdebd7efe2d59b"/>
              <w:id w:val="-115764845"/>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使用权资产"/>
              <w:tag w:val="_GBC_bb9e8b7096ab49fc95311a6c81431e95"/>
              <w:id w:val="32718434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2654"/>
            <w:gridCol w:w="2855"/>
          </w:tblGrid>
          <w:tr w:rsidR="002D0AE7" w14:paraId="4232DE01" w14:textId="77777777">
            <w:trPr>
              <w:trHeight w:val="284"/>
            </w:trPr>
            <w:sdt>
              <w:sdtPr>
                <w:rPr>
                  <w:color w:val="000000" w:themeColor="text1"/>
                  <w:sz w:val="21"/>
                  <w:szCs w:val="21"/>
                </w:rPr>
                <w:tag w:val="_PLD_e7cc7a86c52f4dc596615cce534e6d6a"/>
                <w:id w:val="1375499808"/>
              </w:sdtPr>
              <w:sdtEndPr/>
              <w:sdtContent>
                <w:tc>
                  <w:tcPr>
                    <w:tcW w:w="1878" w:type="pct"/>
                    <w:shd w:val="clear" w:color="auto" w:fill="auto"/>
                    <w:vAlign w:val="center"/>
                  </w:tcPr>
                  <w:p w14:paraId="747A462A" w14:textId="77777777" w:rsidR="002D0AE7" w:rsidRDefault="00333EBB">
                    <w:pPr>
                      <w:spacing w:line="240" w:lineRule="atLeast"/>
                      <w:jc w:val="center"/>
                      <w:rPr>
                        <w:rFonts w:hint="eastAsia"/>
                        <w:color w:val="000000" w:themeColor="text1"/>
                        <w:sz w:val="21"/>
                        <w:szCs w:val="21"/>
                      </w:rPr>
                    </w:pPr>
                    <w:r>
                      <w:rPr>
                        <w:rFonts w:hint="eastAsia"/>
                        <w:color w:val="000000" w:themeColor="text1"/>
                        <w:sz w:val="21"/>
                        <w:szCs w:val="21"/>
                      </w:rPr>
                      <w:t>项目</w:t>
                    </w:r>
                  </w:p>
                </w:tc>
              </w:sdtContent>
            </w:sdt>
            <w:tc>
              <w:tcPr>
                <w:tcW w:w="1504" w:type="pct"/>
                <w:shd w:val="clear" w:color="auto" w:fill="auto"/>
                <w:vAlign w:val="center"/>
              </w:tcPr>
              <w:p w14:paraId="11E29FB0" w14:textId="77777777" w:rsidR="002D0AE7" w:rsidRDefault="00333EBB">
                <w:pPr>
                  <w:spacing w:line="240" w:lineRule="atLeast"/>
                  <w:jc w:val="center"/>
                  <w:rPr>
                    <w:rFonts w:hint="eastAsia"/>
                    <w:color w:val="000000" w:themeColor="text1"/>
                    <w:sz w:val="21"/>
                    <w:szCs w:val="21"/>
                  </w:rPr>
                </w:pPr>
                <w:sdt>
                  <w:sdtPr>
                    <w:rPr>
                      <w:color w:val="000000" w:themeColor="text1"/>
                      <w:sz w:val="21"/>
                      <w:szCs w:val="21"/>
                    </w:rPr>
                    <w:alias w:val="使用权资产明细-项目"/>
                    <w:tag w:val="_GBC_ea9ffc7b81304e04ad88fe7fcccf7ec1"/>
                    <w:id w:val="79573790"/>
                    <w:showingPlcHdr/>
                  </w:sdtPr>
                  <w:sdtEndPr/>
                  <w:sdtContent>
                    <w:r>
                      <w:rPr>
                        <w:rFonts w:hint="eastAsia"/>
                        <w:color w:val="000000" w:themeColor="text1"/>
                        <w:sz w:val="21"/>
                        <w:szCs w:val="21"/>
                      </w:rPr>
                      <w:t xml:space="preserve">　</w:t>
                    </w:r>
                  </w:sdtContent>
                </w:sdt>
                <w:r>
                  <w:rPr>
                    <w:color w:val="000000" w:themeColor="text1"/>
                    <w:sz w:val="21"/>
                    <w:szCs w:val="21"/>
                  </w:rPr>
                  <w:t>房屋及建筑物</w:t>
                </w:r>
              </w:p>
            </w:tc>
            <w:sdt>
              <w:sdtPr>
                <w:rPr>
                  <w:color w:val="000000" w:themeColor="text1"/>
                  <w:sz w:val="21"/>
                  <w:szCs w:val="21"/>
                </w:rPr>
                <w:tag w:val="_PLD_8404013d36434d0f94f9d2e0e06379db"/>
                <w:id w:val="1312062141"/>
              </w:sdtPr>
              <w:sdtEndPr/>
              <w:sdtContent>
                <w:tc>
                  <w:tcPr>
                    <w:tcW w:w="1618" w:type="pct"/>
                    <w:shd w:val="clear" w:color="auto" w:fill="auto"/>
                    <w:vAlign w:val="center"/>
                  </w:tcPr>
                  <w:p w14:paraId="3E14E21A" w14:textId="77777777" w:rsidR="002D0AE7" w:rsidRDefault="00333EBB">
                    <w:pPr>
                      <w:spacing w:line="240" w:lineRule="atLeast"/>
                      <w:jc w:val="center"/>
                      <w:rPr>
                        <w:rFonts w:hint="eastAsia"/>
                        <w:color w:val="000000" w:themeColor="text1"/>
                        <w:sz w:val="21"/>
                        <w:szCs w:val="21"/>
                      </w:rPr>
                    </w:pPr>
                    <w:r>
                      <w:rPr>
                        <w:color w:val="000000" w:themeColor="text1"/>
                        <w:sz w:val="21"/>
                        <w:szCs w:val="21"/>
                      </w:rPr>
                      <w:t>合计</w:t>
                    </w:r>
                  </w:p>
                </w:tc>
              </w:sdtContent>
            </w:sdt>
          </w:tr>
          <w:tr w:rsidR="002D0AE7" w14:paraId="07F71B4E" w14:textId="77777777">
            <w:trPr>
              <w:trHeight w:val="284"/>
            </w:trPr>
            <w:sdt>
              <w:sdtPr>
                <w:rPr>
                  <w:color w:val="000000" w:themeColor="text1"/>
                  <w:sz w:val="21"/>
                  <w:szCs w:val="21"/>
                </w:rPr>
                <w:tag w:val="_PLD_8a1172a4974b4db489d9ace1c9b06ff9"/>
                <w:id w:val="-200638389"/>
              </w:sdtPr>
              <w:sdtEndPr/>
              <w:sdtContent>
                <w:tc>
                  <w:tcPr>
                    <w:tcW w:w="5000" w:type="pct"/>
                    <w:gridSpan w:val="3"/>
                    <w:shd w:val="clear" w:color="auto" w:fill="auto"/>
                    <w:vAlign w:val="center"/>
                  </w:tcPr>
                  <w:p w14:paraId="347BAF0B" w14:textId="77777777" w:rsidR="002D0AE7" w:rsidRDefault="00333EBB">
                    <w:pPr>
                      <w:spacing w:line="240" w:lineRule="atLeast"/>
                      <w:rPr>
                        <w:rFonts w:hint="eastAsia"/>
                        <w:color w:val="000000" w:themeColor="text1"/>
                        <w:sz w:val="21"/>
                        <w:szCs w:val="21"/>
                      </w:rPr>
                    </w:pPr>
                    <w:r>
                      <w:rPr>
                        <w:color w:val="000000" w:themeColor="text1"/>
                        <w:sz w:val="21"/>
                        <w:szCs w:val="21"/>
                      </w:rPr>
                      <w:t>一、</w:t>
                    </w:r>
                    <w:r>
                      <w:rPr>
                        <w:rFonts w:hint="eastAsia"/>
                        <w:color w:val="000000" w:themeColor="text1"/>
                        <w:sz w:val="21"/>
                        <w:szCs w:val="21"/>
                      </w:rPr>
                      <w:t>账面</w:t>
                    </w:r>
                    <w:r>
                      <w:rPr>
                        <w:color w:val="000000" w:themeColor="text1"/>
                        <w:sz w:val="21"/>
                        <w:szCs w:val="21"/>
                      </w:rPr>
                      <w:t>原</w:t>
                    </w:r>
                    <w:r>
                      <w:rPr>
                        <w:rFonts w:hint="eastAsia"/>
                        <w:color w:val="000000" w:themeColor="text1"/>
                        <w:sz w:val="21"/>
                        <w:szCs w:val="21"/>
                      </w:rPr>
                      <w:t>值</w:t>
                    </w:r>
                  </w:p>
                </w:tc>
              </w:sdtContent>
            </w:sdt>
          </w:tr>
          <w:tr w:rsidR="002D0AE7" w14:paraId="4C5DDA1B" w14:textId="77777777">
            <w:trPr>
              <w:trHeight w:val="284"/>
            </w:trPr>
            <w:tc>
              <w:tcPr>
                <w:tcW w:w="1878" w:type="pct"/>
                <w:shd w:val="clear" w:color="auto" w:fill="auto"/>
                <w:vAlign w:val="center"/>
              </w:tcPr>
              <w:p w14:paraId="2DDF3ECD" w14:textId="77777777" w:rsidR="002D0AE7" w:rsidRDefault="00333EBB">
                <w:pPr>
                  <w:spacing w:line="240" w:lineRule="atLeast"/>
                  <w:rPr>
                    <w:rFonts w:hint="eastAsia"/>
                    <w:color w:val="000000" w:themeColor="text1"/>
                    <w:sz w:val="21"/>
                    <w:szCs w:val="21"/>
                  </w:rPr>
                </w:pPr>
                <w:r>
                  <w:rPr>
                    <w:color w:val="000000" w:themeColor="text1"/>
                    <w:sz w:val="21"/>
                    <w:szCs w:val="21"/>
                  </w:rPr>
                  <w:t>1.</w:t>
                </w:r>
                <w:r>
                  <w:rPr>
                    <w:rFonts w:hint="eastAsia"/>
                    <w:color w:val="000000" w:themeColor="text1"/>
                    <w:sz w:val="21"/>
                    <w:szCs w:val="21"/>
                  </w:rPr>
                  <w:t>期</w:t>
                </w:r>
                <w:r>
                  <w:rPr>
                    <w:color w:val="000000" w:themeColor="text1"/>
                    <w:sz w:val="21"/>
                    <w:szCs w:val="21"/>
                  </w:rPr>
                  <w:t>初余额</w:t>
                </w:r>
              </w:p>
            </w:tc>
            <w:tc>
              <w:tcPr>
                <w:tcW w:w="1504" w:type="pct"/>
                <w:shd w:val="clear" w:color="auto" w:fill="auto"/>
              </w:tcPr>
              <w:p w14:paraId="6879128A" w14:textId="77777777" w:rsidR="002D0AE7" w:rsidRDefault="00333EBB">
                <w:pPr>
                  <w:spacing w:line="240" w:lineRule="atLeast"/>
                  <w:ind w:firstLineChars="200" w:firstLine="420"/>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325,659.99</w:t>
                </w:r>
                <w:r>
                  <w:rPr>
                    <w:rStyle w:val="aff9"/>
                    <w:rFonts w:ascii="Times New Roman" w:hAnsi="Times New Roman" w:cs="Times New Roman"/>
                    <w:color w:val="000000" w:themeColor="text1"/>
                    <w:sz w:val="21"/>
                    <w:szCs w:val="21"/>
                  </w:rPr>
                  <w:t xml:space="preserve">　</w:t>
                </w:r>
              </w:p>
            </w:tc>
            <w:tc>
              <w:tcPr>
                <w:tcW w:w="1618" w:type="pct"/>
                <w:shd w:val="clear" w:color="auto" w:fill="auto"/>
              </w:tcPr>
              <w:p w14:paraId="07C930B2"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325,659.99</w:t>
                </w:r>
                <w:r>
                  <w:rPr>
                    <w:rStyle w:val="aff9"/>
                    <w:rFonts w:ascii="Times New Roman" w:hAnsi="Times New Roman" w:cs="Times New Roman"/>
                    <w:color w:val="000000" w:themeColor="text1"/>
                    <w:sz w:val="21"/>
                    <w:szCs w:val="21"/>
                  </w:rPr>
                  <w:t xml:space="preserve">　</w:t>
                </w:r>
              </w:p>
            </w:tc>
          </w:tr>
          <w:tr w:rsidR="002D0AE7" w14:paraId="1FB99C2B" w14:textId="77777777">
            <w:trPr>
              <w:trHeight w:val="284"/>
            </w:trPr>
            <w:tc>
              <w:tcPr>
                <w:tcW w:w="1878" w:type="pct"/>
                <w:shd w:val="clear" w:color="auto" w:fill="auto"/>
                <w:vAlign w:val="center"/>
              </w:tcPr>
              <w:p w14:paraId="4785158D" w14:textId="77777777" w:rsidR="002D0AE7" w:rsidRDefault="00333EBB">
                <w:pPr>
                  <w:spacing w:line="240" w:lineRule="atLeast"/>
                  <w:ind w:firstLineChars="200" w:firstLine="420"/>
                  <w:rPr>
                    <w:rFonts w:hint="eastAsia"/>
                    <w:color w:val="000000" w:themeColor="text1"/>
                    <w:sz w:val="21"/>
                    <w:szCs w:val="21"/>
                  </w:rPr>
                </w:pPr>
                <w:r>
                  <w:rPr>
                    <w:color w:val="000000" w:themeColor="text1"/>
                    <w:sz w:val="21"/>
                    <w:szCs w:val="21"/>
                  </w:rPr>
                  <w:t>2.</w:t>
                </w:r>
                <w:r>
                  <w:rPr>
                    <w:color w:val="000000" w:themeColor="text1"/>
                    <w:sz w:val="21"/>
                    <w:szCs w:val="21"/>
                  </w:rPr>
                  <w:t>本期增加</w:t>
                </w:r>
                <w:r>
                  <w:rPr>
                    <w:rFonts w:hint="eastAsia"/>
                    <w:color w:val="000000" w:themeColor="text1"/>
                    <w:sz w:val="21"/>
                    <w:szCs w:val="21"/>
                  </w:rPr>
                  <w:t>金额</w:t>
                </w:r>
              </w:p>
            </w:tc>
            <w:tc>
              <w:tcPr>
                <w:tcW w:w="1504" w:type="pct"/>
                <w:shd w:val="clear" w:color="auto" w:fill="auto"/>
              </w:tcPr>
              <w:p w14:paraId="57989099"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0.00</w:t>
                </w:r>
                <w:r>
                  <w:rPr>
                    <w:rStyle w:val="aff9"/>
                    <w:rFonts w:ascii="Times New Roman" w:hAnsi="Times New Roman" w:cs="Times New Roman"/>
                    <w:color w:val="000000" w:themeColor="text1"/>
                    <w:sz w:val="21"/>
                    <w:szCs w:val="21"/>
                  </w:rPr>
                  <w:t xml:space="preserve">　</w:t>
                </w:r>
              </w:p>
            </w:tc>
            <w:tc>
              <w:tcPr>
                <w:tcW w:w="1618" w:type="pct"/>
                <w:shd w:val="clear" w:color="auto" w:fill="auto"/>
              </w:tcPr>
              <w:p w14:paraId="12F01746"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0.00</w:t>
                </w:r>
              </w:p>
            </w:tc>
          </w:tr>
          <w:tr w:rsidR="002D0AE7" w14:paraId="7D706E2C" w14:textId="77777777">
            <w:trPr>
              <w:trHeight w:val="284"/>
            </w:trPr>
            <w:tc>
              <w:tcPr>
                <w:tcW w:w="1878" w:type="pct"/>
                <w:shd w:val="clear" w:color="auto" w:fill="auto"/>
              </w:tcPr>
              <w:p w14:paraId="2EA8D8E4" w14:textId="77777777" w:rsidR="002D0AE7" w:rsidRDefault="00333EBB">
                <w:pPr>
                  <w:spacing w:line="240" w:lineRule="atLeast"/>
                  <w:ind w:firstLineChars="300" w:firstLine="630"/>
                  <w:rPr>
                    <w:rFonts w:hint="eastAsia"/>
                    <w:sz w:val="21"/>
                    <w:szCs w:val="21"/>
                  </w:rPr>
                </w:pPr>
                <w:r>
                  <w:rPr>
                    <w:sz w:val="21"/>
                    <w:szCs w:val="21"/>
                  </w:rPr>
                  <w:t>(</w:t>
                </w:r>
                <w:r>
                  <w:rPr>
                    <w:rFonts w:hint="eastAsia"/>
                    <w:sz w:val="21"/>
                    <w:szCs w:val="21"/>
                  </w:rPr>
                  <w:t>1</w:t>
                </w:r>
                <w:r>
                  <w:rPr>
                    <w:sz w:val="21"/>
                    <w:szCs w:val="21"/>
                  </w:rPr>
                  <w:t>)</w:t>
                </w:r>
                <w:r>
                  <w:rPr>
                    <w:rFonts w:hint="eastAsia"/>
                    <w:sz w:val="21"/>
                    <w:szCs w:val="21"/>
                  </w:rPr>
                  <w:t>新增</w:t>
                </w:r>
              </w:p>
            </w:tc>
            <w:tc>
              <w:tcPr>
                <w:tcW w:w="1504" w:type="pct"/>
                <w:shd w:val="clear" w:color="auto" w:fill="auto"/>
              </w:tcPr>
              <w:p w14:paraId="1E95704E" w14:textId="77777777" w:rsidR="002D0AE7" w:rsidRDefault="00333EBB">
                <w:pPr>
                  <w:spacing w:line="240" w:lineRule="atLeast"/>
                  <w:jc w:val="right"/>
                  <w:rPr>
                    <w:rFonts w:ascii="Times New Roman" w:hAnsi="Times New Roman" w:cs="Times New Roman"/>
                    <w:sz w:val="21"/>
                    <w:szCs w:val="21"/>
                  </w:rPr>
                </w:pPr>
                <w:r>
                  <w:rPr>
                    <w:rStyle w:val="aff9"/>
                    <w:rFonts w:ascii="Times New Roman" w:hAnsi="Times New Roman" w:cs="Times New Roman"/>
                    <w:color w:val="000000" w:themeColor="text1"/>
                    <w:sz w:val="21"/>
                    <w:szCs w:val="21"/>
                  </w:rPr>
                  <w:t>0.00</w:t>
                </w:r>
              </w:p>
            </w:tc>
            <w:tc>
              <w:tcPr>
                <w:tcW w:w="1618" w:type="pct"/>
                <w:shd w:val="clear" w:color="auto" w:fill="auto"/>
              </w:tcPr>
              <w:p w14:paraId="66023321" w14:textId="77777777" w:rsidR="002D0AE7" w:rsidRDefault="00333EBB">
                <w:pPr>
                  <w:spacing w:line="240" w:lineRule="atLeast"/>
                  <w:jc w:val="right"/>
                  <w:rPr>
                    <w:rFonts w:ascii="Times New Roman" w:hAnsi="Times New Roman" w:cs="Times New Roman"/>
                    <w:sz w:val="21"/>
                    <w:szCs w:val="21"/>
                  </w:rPr>
                </w:pPr>
                <w:r>
                  <w:rPr>
                    <w:rStyle w:val="aff9"/>
                    <w:rFonts w:ascii="Times New Roman" w:hAnsi="Times New Roman" w:cs="Times New Roman"/>
                    <w:color w:val="000000" w:themeColor="text1"/>
                    <w:sz w:val="21"/>
                    <w:szCs w:val="21"/>
                  </w:rPr>
                  <w:t>0.00</w:t>
                </w:r>
              </w:p>
            </w:tc>
          </w:tr>
          <w:tr w:rsidR="002D0AE7" w14:paraId="4074B55A" w14:textId="77777777">
            <w:trPr>
              <w:trHeight w:val="284"/>
            </w:trPr>
            <w:tc>
              <w:tcPr>
                <w:tcW w:w="1878" w:type="pct"/>
                <w:shd w:val="clear" w:color="auto" w:fill="auto"/>
              </w:tcPr>
              <w:p w14:paraId="5D3F917B" w14:textId="77777777" w:rsidR="002D0AE7" w:rsidRDefault="00333EBB">
                <w:pPr>
                  <w:spacing w:line="240" w:lineRule="atLeast"/>
                  <w:ind w:firstLineChars="300" w:firstLine="630"/>
                  <w:rPr>
                    <w:rFonts w:hint="eastAsia"/>
                    <w:color w:val="000000" w:themeColor="text1"/>
                    <w:sz w:val="21"/>
                    <w:szCs w:val="21"/>
                  </w:rPr>
                </w:pPr>
                <w:r>
                  <w:rPr>
                    <w:sz w:val="21"/>
                    <w:szCs w:val="21"/>
                  </w:rPr>
                  <w:t>(</w:t>
                </w:r>
                <w:r>
                  <w:rPr>
                    <w:rFonts w:hint="eastAsia"/>
                    <w:sz w:val="21"/>
                    <w:szCs w:val="21"/>
                  </w:rPr>
                  <w:t>2</w:t>
                </w:r>
                <w:r>
                  <w:rPr>
                    <w:sz w:val="21"/>
                    <w:szCs w:val="21"/>
                  </w:rPr>
                  <w:t>)</w:t>
                </w:r>
                <w:r>
                  <w:rPr>
                    <w:rFonts w:hint="eastAsia"/>
                    <w:sz w:val="21"/>
                    <w:szCs w:val="21"/>
                  </w:rPr>
                  <w:t>变更</w:t>
                </w:r>
              </w:p>
            </w:tc>
            <w:tc>
              <w:tcPr>
                <w:tcW w:w="1504" w:type="pct"/>
                <w:shd w:val="clear" w:color="auto" w:fill="auto"/>
              </w:tcPr>
              <w:p w14:paraId="6ABD137E"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0.00</w:t>
                </w:r>
              </w:p>
            </w:tc>
            <w:tc>
              <w:tcPr>
                <w:tcW w:w="1618" w:type="pct"/>
                <w:shd w:val="clear" w:color="auto" w:fill="auto"/>
              </w:tcPr>
              <w:p w14:paraId="72A1B39E"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0.00</w:t>
                </w:r>
              </w:p>
            </w:tc>
          </w:tr>
          <w:tr w:rsidR="002D0AE7" w14:paraId="4A1A7051" w14:textId="77777777">
            <w:trPr>
              <w:trHeight w:val="284"/>
            </w:trPr>
            <w:tc>
              <w:tcPr>
                <w:tcW w:w="1878" w:type="pct"/>
                <w:shd w:val="clear" w:color="auto" w:fill="auto"/>
                <w:vAlign w:val="center"/>
              </w:tcPr>
              <w:p w14:paraId="585E0866" w14:textId="77777777" w:rsidR="002D0AE7" w:rsidRDefault="00333EBB">
                <w:pPr>
                  <w:spacing w:line="240" w:lineRule="atLeast"/>
                  <w:ind w:firstLineChars="200" w:firstLine="420"/>
                  <w:rPr>
                    <w:rFonts w:hint="eastAsia"/>
                    <w:color w:val="000000" w:themeColor="text1"/>
                    <w:sz w:val="21"/>
                    <w:szCs w:val="21"/>
                  </w:rPr>
                </w:pPr>
                <w:r>
                  <w:rPr>
                    <w:color w:val="000000" w:themeColor="text1"/>
                    <w:sz w:val="21"/>
                    <w:szCs w:val="21"/>
                  </w:rPr>
                  <w:t>3.</w:t>
                </w:r>
                <w:r>
                  <w:rPr>
                    <w:color w:val="000000" w:themeColor="text1"/>
                    <w:sz w:val="21"/>
                    <w:szCs w:val="21"/>
                  </w:rPr>
                  <w:t>本期减少</w:t>
                </w:r>
                <w:r>
                  <w:rPr>
                    <w:rFonts w:hint="eastAsia"/>
                    <w:color w:val="000000" w:themeColor="text1"/>
                    <w:sz w:val="21"/>
                    <w:szCs w:val="21"/>
                  </w:rPr>
                  <w:t>金额</w:t>
                </w:r>
              </w:p>
            </w:tc>
            <w:tc>
              <w:tcPr>
                <w:tcW w:w="1504" w:type="pct"/>
                <w:shd w:val="clear" w:color="auto" w:fill="auto"/>
              </w:tcPr>
              <w:p w14:paraId="2A750E91"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0.00</w:t>
                </w:r>
              </w:p>
            </w:tc>
            <w:tc>
              <w:tcPr>
                <w:tcW w:w="1618" w:type="pct"/>
                <w:shd w:val="clear" w:color="auto" w:fill="auto"/>
              </w:tcPr>
              <w:p w14:paraId="67BC9E86"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0.00</w:t>
                </w:r>
              </w:p>
            </w:tc>
          </w:tr>
          <w:tr w:rsidR="002D0AE7" w14:paraId="1E0CF041" w14:textId="77777777">
            <w:trPr>
              <w:trHeight w:val="284"/>
            </w:trPr>
            <w:tc>
              <w:tcPr>
                <w:tcW w:w="1878" w:type="pct"/>
                <w:shd w:val="clear" w:color="auto" w:fill="auto"/>
              </w:tcPr>
              <w:p w14:paraId="7353B401" w14:textId="77777777" w:rsidR="002D0AE7" w:rsidRDefault="00333EBB">
                <w:pPr>
                  <w:spacing w:line="240" w:lineRule="atLeast"/>
                  <w:ind w:firstLineChars="300" w:firstLine="630"/>
                  <w:rPr>
                    <w:rFonts w:hint="eastAsia"/>
                    <w:sz w:val="21"/>
                    <w:szCs w:val="21"/>
                  </w:rPr>
                </w:pPr>
                <w:r>
                  <w:rPr>
                    <w:sz w:val="21"/>
                    <w:szCs w:val="21"/>
                  </w:rPr>
                  <w:t>(</w:t>
                </w:r>
                <w:r>
                  <w:rPr>
                    <w:rFonts w:hint="eastAsia"/>
                    <w:sz w:val="21"/>
                    <w:szCs w:val="21"/>
                  </w:rPr>
                  <w:t>1</w:t>
                </w:r>
                <w:r>
                  <w:rPr>
                    <w:sz w:val="21"/>
                    <w:szCs w:val="21"/>
                  </w:rPr>
                  <w:t>)</w:t>
                </w:r>
                <w:r>
                  <w:rPr>
                    <w:rFonts w:hint="eastAsia"/>
                    <w:sz w:val="21"/>
                    <w:szCs w:val="21"/>
                  </w:rPr>
                  <w:t>处置</w:t>
                </w:r>
              </w:p>
            </w:tc>
            <w:tc>
              <w:tcPr>
                <w:tcW w:w="1504" w:type="pct"/>
                <w:shd w:val="clear" w:color="auto" w:fill="auto"/>
              </w:tcPr>
              <w:p w14:paraId="6D2D8FBC" w14:textId="77777777" w:rsidR="002D0AE7" w:rsidRDefault="00333EBB">
                <w:pPr>
                  <w:spacing w:line="240" w:lineRule="atLeast"/>
                  <w:jc w:val="right"/>
                  <w:rPr>
                    <w:rFonts w:ascii="Times New Roman" w:hAnsi="Times New Roman" w:cs="Times New Roman"/>
                    <w:sz w:val="21"/>
                    <w:szCs w:val="21"/>
                  </w:rPr>
                </w:pPr>
                <w:r>
                  <w:rPr>
                    <w:rStyle w:val="aff9"/>
                    <w:rFonts w:ascii="Times New Roman" w:hAnsi="Times New Roman" w:cs="Times New Roman"/>
                    <w:color w:val="000000" w:themeColor="text1"/>
                    <w:sz w:val="21"/>
                    <w:szCs w:val="21"/>
                  </w:rPr>
                  <w:t>0.00</w:t>
                </w:r>
              </w:p>
            </w:tc>
            <w:tc>
              <w:tcPr>
                <w:tcW w:w="1618" w:type="pct"/>
                <w:shd w:val="clear" w:color="auto" w:fill="auto"/>
              </w:tcPr>
              <w:p w14:paraId="07F0056E" w14:textId="77777777" w:rsidR="002D0AE7" w:rsidRDefault="00333EBB">
                <w:pPr>
                  <w:spacing w:line="240" w:lineRule="atLeast"/>
                  <w:jc w:val="right"/>
                  <w:rPr>
                    <w:rFonts w:ascii="Times New Roman" w:hAnsi="Times New Roman" w:cs="Times New Roman"/>
                    <w:sz w:val="21"/>
                    <w:szCs w:val="21"/>
                  </w:rPr>
                </w:pPr>
                <w:r>
                  <w:rPr>
                    <w:rStyle w:val="aff9"/>
                    <w:rFonts w:ascii="Times New Roman" w:hAnsi="Times New Roman" w:cs="Times New Roman"/>
                    <w:color w:val="000000" w:themeColor="text1"/>
                    <w:sz w:val="21"/>
                    <w:szCs w:val="21"/>
                  </w:rPr>
                  <w:t>0.00</w:t>
                </w:r>
              </w:p>
            </w:tc>
          </w:tr>
          <w:tr w:rsidR="002D0AE7" w14:paraId="126BE262" w14:textId="77777777">
            <w:trPr>
              <w:trHeight w:val="284"/>
            </w:trPr>
            <w:tc>
              <w:tcPr>
                <w:tcW w:w="1878" w:type="pct"/>
                <w:shd w:val="clear" w:color="auto" w:fill="auto"/>
              </w:tcPr>
              <w:p w14:paraId="7169B64B" w14:textId="77777777" w:rsidR="002D0AE7" w:rsidRDefault="00333EBB">
                <w:pPr>
                  <w:spacing w:line="240" w:lineRule="atLeast"/>
                  <w:ind w:firstLineChars="300" w:firstLine="630"/>
                  <w:rPr>
                    <w:rFonts w:hint="eastAsia"/>
                    <w:color w:val="000000" w:themeColor="text1"/>
                    <w:sz w:val="21"/>
                    <w:szCs w:val="21"/>
                  </w:rPr>
                </w:pPr>
                <w:r>
                  <w:rPr>
                    <w:sz w:val="21"/>
                    <w:szCs w:val="21"/>
                  </w:rPr>
                  <w:t>(</w:t>
                </w:r>
                <w:r>
                  <w:rPr>
                    <w:rFonts w:hint="eastAsia"/>
                    <w:sz w:val="21"/>
                    <w:szCs w:val="21"/>
                  </w:rPr>
                  <w:t>2</w:t>
                </w:r>
                <w:r>
                  <w:rPr>
                    <w:sz w:val="21"/>
                    <w:szCs w:val="21"/>
                  </w:rPr>
                  <w:t>)</w:t>
                </w:r>
                <w:r>
                  <w:rPr>
                    <w:rFonts w:hint="eastAsia"/>
                    <w:sz w:val="21"/>
                    <w:szCs w:val="21"/>
                  </w:rPr>
                  <w:t>变更</w:t>
                </w:r>
              </w:p>
            </w:tc>
            <w:tc>
              <w:tcPr>
                <w:tcW w:w="1504" w:type="pct"/>
                <w:shd w:val="clear" w:color="auto" w:fill="auto"/>
              </w:tcPr>
              <w:p w14:paraId="7F833C6D"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0.00</w:t>
                </w:r>
              </w:p>
            </w:tc>
            <w:tc>
              <w:tcPr>
                <w:tcW w:w="1618" w:type="pct"/>
                <w:shd w:val="clear" w:color="auto" w:fill="auto"/>
              </w:tcPr>
              <w:p w14:paraId="68B21210"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0.00</w:t>
                </w:r>
              </w:p>
            </w:tc>
          </w:tr>
          <w:tr w:rsidR="002D0AE7" w14:paraId="442BC0CE" w14:textId="77777777">
            <w:trPr>
              <w:trHeight w:val="284"/>
            </w:trPr>
            <w:tc>
              <w:tcPr>
                <w:tcW w:w="1878" w:type="pct"/>
                <w:shd w:val="clear" w:color="auto" w:fill="auto"/>
                <w:vAlign w:val="center"/>
              </w:tcPr>
              <w:p w14:paraId="4FD872A9" w14:textId="77777777" w:rsidR="002D0AE7" w:rsidRDefault="00333EBB">
                <w:pPr>
                  <w:spacing w:line="240" w:lineRule="atLeast"/>
                  <w:ind w:firstLineChars="200" w:firstLine="420"/>
                  <w:rPr>
                    <w:rFonts w:hint="eastAsia"/>
                    <w:color w:val="000000" w:themeColor="text1"/>
                    <w:sz w:val="21"/>
                    <w:szCs w:val="21"/>
                  </w:rPr>
                </w:pPr>
                <w:r>
                  <w:rPr>
                    <w:color w:val="000000" w:themeColor="text1"/>
                    <w:sz w:val="21"/>
                    <w:szCs w:val="21"/>
                  </w:rPr>
                  <w:t>4.</w:t>
                </w:r>
                <w:r>
                  <w:rPr>
                    <w:color w:val="000000" w:themeColor="text1"/>
                    <w:sz w:val="21"/>
                    <w:szCs w:val="21"/>
                  </w:rPr>
                  <w:t>期末余额</w:t>
                </w:r>
              </w:p>
            </w:tc>
            <w:tc>
              <w:tcPr>
                <w:tcW w:w="1504" w:type="pct"/>
                <w:shd w:val="clear" w:color="auto" w:fill="auto"/>
              </w:tcPr>
              <w:p w14:paraId="3DB3ABEA"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325,659.99</w:t>
                </w:r>
                <w:r>
                  <w:rPr>
                    <w:rStyle w:val="aff9"/>
                    <w:rFonts w:ascii="Times New Roman" w:hAnsi="Times New Roman" w:cs="Times New Roman"/>
                    <w:color w:val="000000" w:themeColor="text1"/>
                    <w:sz w:val="21"/>
                    <w:szCs w:val="21"/>
                  </w:rPr>
                  <w:t xml:space="preserve">　</w:t>
                </w:r>
              </w:p>
            </w:tc>
            <w:tc>
              <w:tcPr>
                <w:tcW w:w="1618" w:type="pct"/>
                <w:shd w:val="clear" w:color="auto" w:fill="auto"/>
              </w:tcPr>
              <w:p w14:paraId="30D706C7"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325,659.99</w:t>
                </w:r>
                <w:r>
                  <w:rPr>
                    <w:rStyle w:val="aff9"/>
                    <w:rFonts w:ascii="Times New Roman" w:hAnsi="Times New Roman" w:cs="Times New Roman"/>
                    <w:color w:val="000000" w:themeColor="text1"/>
                    <w:sz w:val="21"/>
                    <w:szCs w:val="21"/>
                  </w:rPr>
                  <w:t xml:space="preserve">　</w:t>
                </w:r>
              </w:p>
            </w:tc>
          </w:tr>
          <w:tr w:rsidR="002D0AE7" w14:paraId="0CB41C87" w14:textId="77777777">
            <w:trPr>
              <w:trHeight w:val="284"/>
            </w:trPr>
            <w:sdt>
              <w:sdtPr>
                <w:rPr>
                  <w:color w:val="000000" w:themeColor="text1"/>
                  <w:sz w:val="21"/>
                  <w:szCs w:val="21"/>
                </w:rPr>
                <w:tag w:val="_PLD_c5fd254e7ed54ab8b2346f3d57a1cc54"/>
                <w:id w:val="640549208"/>
              </w:sdtPr>
              <w:sdtEndPr/>
              <w:sdtContent>
                <w:tc>
                  <w:tcPr>
                    <w:tcW w:w="5000" w:type="pct"/>
                    <w:gridSpan w:val="3"/>
                    <w:shd w:val="clear" w:color="auto" w:fill="auto"/>
                    <w:vAlign w:val="center"/>
                  </w:tcPr>
                  <w:p w14:paraId="5D9087BC" w14:textId="77777777" w:rsidR="002D0AE7" w:rsidRDefault="00333EBB">
                    <w:pPr>
                      <w:spacing w:line="240" w:lineRule="atLeast"/>
                      <w:rPr>
                        <w:rFonts w:hint="eastAsia"/>
                        <w:color w:val="000000" w:themeColor="text1"/>
                        <w:sz w:val="21"/>
                        <w:szCs w:val="21"/>
                      </w:rPr>
                    </w:pPr>
                    <w:r>
                      <w:rPr>
                        <w:color w:val="000000" w:themeColor="text1"/>
                        <w:sz w:val="21"/>
                        <w:szCs w:val="21"/>
                      </w:rPr>
                      <w:t>二、累计折旧</w:t>
                    </w:r>
                  </w:p>
                </w:tc>
              </w:sdtContent>
            </w:sdt>
          </w:tr>
          <w:tr w:rsidR="002D0AE7" w14:paraId="5F9E213A" w14:textId="77777777">
            <w:trPr>
              <w:trHeight w:val="284"/>
            </w:trPr>
            <w:tc>
              <w:tcPr>
                <w:tcW w:w="1878" w:type="pct"/>
                <w:shd w:val="clear" w:color="auto" w:fill="auto"/>
                <w:vAlign w:val="center"/>
              </w:tcPr>
              <w:p w14:paraId="74B729BA" w14:textId="77777777" w:rsidR="002D0AE7" w:rsidRDefault="00333EBB">
                <w:pPr>
                  <w:spacing w:line="240" w:lineRule="atLeast"/>
                  <w:ind w:firstLineChars="200" w:firstLine="420"/>
                  <w:rPr>
                    <w:rFonts w:hint="eastAsia"/>
                    <w:color w:val="000000" w:themeColor="text1"/>
                    <w:sz w:val="21"/>
                    <w:szCs w:val="21"/>
                  </w:rPr>
                </w:pPr>
                <w:r>
                  <w:rPr>
                    <w:rFonts w:hint="eastAsia"/>
                    <w:color w:val="000000" w:themeColor="text1"/>
                    <w:sz w:val="21"/>
                    <w:szCs w:val="21"/>
                  </w:rPr>
                  <w:t>1.</w:t>
                </w:r>
                <w:r>
                  <w:rPr>
                    <w:rFonts w:hint="eastAsia"/>
                    <w:color w:val="000000" w:themeColor="text1"/>
                    <w:sz w:val="21"/>
                    <w:szCs w:val="21"/>
                  </w:rPr>
                  <w:t>期</w:t>
                </w:r>
                <w:r>
                  <w:rPr>
                    <w:color w:val="000000" w:themeColor="text1"/>
                    <w:sz w:val="21"/>
                    <w:szCs w:val="21"/>
                  </w:rPr>
                  <w:t>初余额</w:t>
                </w:r>
              </w:p>
            </w:tc>
            <w:tc>
              <w:tcPr>
                <w:tcW w:w="1504" w:type="pct"/>
                <w:shd w:val="clear" w:color="auto" w:fill="auto"/>
              </w:tcPr>
              <w:p w14:paraId="31C8B7BC"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198,803.14</w:t>
                </w:r>
                <w:r>
                  <w:rPr>
                    <w:rStyle w:val="aff9"/>
                    <w:rFonts w:ascii="Times New Roman" w:hAnsi="Times New Roman" w:cs="Times New Roman"/>
                    <w:color w:val="000000" w:themeColor="text1"/>
                    <w:sz w:val="21"/>
                    <w:szCs w:val="21"/>
                  </w:rPr>
                  <w:t xml:space="preserve">　</w:t>
                </w:r>
              </w:p>
            </w:tc>
            <w:tc>
              <w:tcPr>
                <w:tcW w:w="1618" w:type="pct"/>
                <w:shd w:val="clear" w:color="auto" w:fill="auto"/>
              </w:tcPr>
              <w:p w14:paraId="7C3D882D"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198,803.14</w:t>
                </w:r>
                <w:r>
                  <w:rPr>
                    <w:rStyle w:val="aff9"/>
                    <w:rFonts w:ascii="Times New Roman" w:hAnsi="Times New Roman" w:cs="Times New Roman"/>
                    <w:color w:val="000000" w:themeColor="text1"/>
                    <w:sz w:val="21"/>
                    <w:szCs w:val="21"/>
                  </w:rPr>
                  <w:t xml:space="preserve">　</w:t>
                </w:r>
              </w:p>
            </w:tc>
          </w:tr>
          <w:tr w:rsidR="002D0AE7" w14:paraId="4B78C79D" w14:textId="77777777">
            <w:trPr>
              <w:trHeight w:val="284"/>
            </w:trPr>
            <w:tc>
              <w:tcPr>
                <w:tcW w:w="1878" w:type="pct"/>
                <w:shd w:val="clear" w:color="auto" w:fill="auto"/>
                <w:vAlign w:val="center"/>
              </w:tcPr>
              <w:p w14:paraId="506DAA13" w14:textId="77777777" w:rsidR="002D0AE7" w:rsidRDefault="00333EBB">
                <w:pPr>
                  <w:spacing w:line="240" w:lineRule="atLeast"/>
                  <w:ind w:firstLineChars="200" w:firstLine="420"/>
                  <w:rPr>
                    <w:rFonts w:hint="eastAsia"/>
                    <w:color w:val="000000" w:themeColor="text1"/>
                    <w:sz w:val="21"/>
                    <w:szCs w:val="21"/>
                  </w:rPr>
                </w:pPr>
                <w:r>
                  <w:rPr>
                    <w:color w:val="000000" w:themeColor="text1"/>
                    <w:sz w:val="21"/>
                    <w:szCs w:val="21"/>
                  </w:rPr>
                  <w:t>2.</w:t>
                </w:r>
                <w:r>
                  <w:rPr>
                    <w:color w:val="000000" w:themeColor="text1"/>
                    <w:sz w:val="21"/>
                    <w:szCs w:val="21"/>
                  </w:rPr>
                  <w:t>本期增加</w:t>
                </w:r>
                <w:r>
                  <w:rPr>
                    <w:rFonts w:hint="eastAsia"/>
                    <w:color w:val="000000" w:themeColor="text1"/>
                    <w:sz w:val="21"/>
                    <w:szCs w:val="21"/>
                  </w:rPr>
                  <w:t>金额</w:t>
                </w:r>
              </w:p>
            </w:tc>
            <w:tc>
              <w:tcPr>
                <w:tcW w:w="1504" w:type="pct"/>
                <w:shd w:val="clear" w:color="auto" w:fill="auto"/>
              </w:tcPr>
              <w:p w14:paraId="1A228C59"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84,571.24</w:t>
                </w:r>
                <w:r>
                  <w:rPr>
                    <w:rStyle w:val="aff9"/>
                    <w:rFonts w:ascii="Times New Roman" w:hAnsi="Times New Roman" w:cs="Times New Roman"/>
                    <w:color w:val="000000" w:themeColor="text1"/>
                    <w:sz w:val="21"/>
                    <w:szCs w:val="21"/>
                  </w:rPr>
                  <w:t xml:space="preserve">　</w:t>
                </w:r>
              </w:p>
            </w:tc>
            <w:tc>
              <w:tcPr>
                <w:tcW w:w="1618" w:type="pct"/>
                <w:shd w:val="clear" w:color="auto" w:fill="auto"/>
              </w:tcPr>
              <w:p w14:paraId="3A6EE5F5"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84,571.24</w:t>
                </w:r>
                <w:r>
                  <w:rPr>
                    <w:rStyle w:val="aff9"/>
                    <w:rFonts w:ascii="Times New Roman" w:hAnsi="Times New Roman" w:cs="Times New Roman"/>
                    <w:color w:val="000000" w:themeColor="text1"/>
                    <w:sz w:val="21"/>
                    <w:szCs w:val="21"/>
                  </w:rPr>
                  <w:t xml:space="preserve">　</w:t>
                </w:r>
              </w:p>
            </w:tc>
          </w:tr>
          <w:tr w:rsidR="002D0AE7" w14:paraId="394EFF32" w14:textId="77777777">
            <w:trPr>
              <w:trHeight w:val="284"/>
            </w:trPr>
            <w:tc>
              <w:tcPr>
                <w:tcW w:w="1878" w:type="pct"/>
                <w:shd w:val="clear" w:color="auto" w:fill="auto"/>
                <w:vAlign w:val="center"/>
              </w:tcPr>
              <w:p w14:paraId="738EA32E" w14:textId="77777777" w:rsidR="002D0AE7" w:rsidRDefault="00333EBB">
                <w:pPr>
                  <w:spacing w:line="240" w:lineRule="atLeast"/>
                  <w:ind w:firstLineChars="300" w:firstLine="630"/>
                  <w:rPr>
                    <w:rFonts w:hint="eastAsia"/>
                    <w:color w:val="000000" w:themeColor="text1"/>
                    <w:sz w:val="21"/>
                    <w:szCs w:val="21"/>
                  </w:rPr>
                </w:pPr>
                <w:r>
                  <w:rPr>
                    <w:color w:val="000000" w:themeColor="text1"/>
                    <w:sz w:val="21"/>
                    <w:szCs w:val="21"/>
                  </w:rPr>
                  <w:t>(1)</w:t>
                </w:r>
                <w:r>
                  <w:rPr>
                    <w:color w:val="000000" w:themeColor="text1"/>
                    <w:sz w:val="21"/>
                    <w:szCs w:val="21"/>
                  </w:rPr>
                  <w:t>计提</w:t>
                </w:r>
              </w:p>
            </w:tc>
            <w:tc>
              <w:tcPr>
                <w:tcW w:w="1504" w:type="pct"/>
                <w:shd w:val="clear" w:color="auto" w:fill="auto"/>
              </w:tcPr>
              <w:p w14:paraId="4217110D"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84,571.24</w:t>
                </w:r>
                <w:r>
                  <w:rPr>
                    <w:rStyle w:val="aff9"/>
                    <w:rFonts w:ascii="Times New Roman" w:hAnsi="Times New Roman" w:cs="Times New Roman"/>
                    <w:color w:val="000000" w:themeColor="text1"/>
                    <w:sz w:val="21"/>
                    <w:szCs w:val="21"/>
                  </w:rPr>
                  <w:t xml:space="preserve">　</w:t>
                </w:r>
              </w:p>
            </w:tc>
            <w:tc>
              <w:tcPr>
                <w:tcW w:w="1618" w:type="pct"/>
                <w:shd w:val="clear" w:color="auto" w:fill="auto"/>
              </w:tcPr>
              <w:p w14:paraId="09F5E496"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84,571.24</w:t>
                </w:r>
                <w:r>
                  <w:rPr>
                    <w:rStyle w:val="aff9"/>
                    <w:rFonts w:ascii="Times New Roman" w:hAnsi="Times New Roman" w:cs="Times New Roman"/>
                    <w:color w:val="000000" w:themeColor="text1"/>
                    <w:sz w:val="21"/>
                    <w:szCs w:val="21"/>
                  </w:rPr>
                  <w:t xml:space="preserve">　</w:t>
                </w:r>
              </w:p>
            </w:tc>
          </w:tr>
          <w:tr w:rsidR="002D0AE7" w14:paraId="39609184" w14:textId="77777777">
            <w:trPr>
              <w:trHeight w:val="284"/>
            </w:trPr>
            <w:tc>
              <w:tcPr>
                <w:tcW w:w="1878" w:type="pct"/>
                <w:shd w:val="clear" w:color="auto" w:fill="auto"/>
              </w:tcPr>
              <w:p w14:paraId="26A0FD8D" w14:textId="77777777" w:rsidR="002D0AE7" w:rsidRDefault="00333EBB">
                <w:pPr>
                  <w:spacing w:line="240" w:lineRule="atLeast"/>
                  <w:ind w:firstLineChars="300" w:firstLine="630"/>
                  <w:rPr>
                    <w:rFonts w:hint="eastAsia"/>
                    <w:sz w:val="21"/>
                    <w:szCs w:val="21"/>
                  </w:rPr>
                </w:pPr>
                <w:r>
                  <w:rPr>
                    <w:sz w:val="21"/>
                    <w:szCs w:val="21"/>
                  </w:rPr>
                  <w:t>(2)</w:t>
                </w:r>
                <w:r>
                  <w:rPr>
                    <w:sz w:val="21"/>
                    <w:szCs w:val="21"/>
                  </w:rPr>
                  <w:t>变更</w:t>
                </w:r>
              </w:p>
            </w:tc>
            <w:tc>
              <w:tcPr>
                <w:tcW w:w="1504" w:type="pct"/>
                <w:shd w:val="clear" w:color="auto" w:fill="auto"/>
              </w:tcPr>
              <w:p w14:paraId="092BE2A4" w14:textId="77777777" w:rsidR="002D0AE7" w:rsidRDefault="00333EBB">
                <w:pPr>
                  <w:spacing w:line="240" w:lineRule="atLeast"/>
                  <w:jc w:val="right"/>
                  <w:rPr>
                    <w:rFonts w:ascii="Times New Roman" w:hAnsi="Times New Roman" w:cs="Times New Roman"/>
                    <w:sz w:val="21"/>
                    <w:szCs w:val="21"/>
                  </w:rPr>
                </w:pPr>
                <w:r>
                  <w:rPr>
                    <w:rStyle w:val="aff9"/>
                    <w:rFonts w:ascii="Times New Roman" w:hAnsi="Times New Roman" w:cs="Times New Roman"/>
                    <w:color w:val="000000" w:themeColor="text1"/>
                    <w:sz w:val="21"/>
                    <w:szCs w:val="21"/>
                  </w:rPr>
                  <w:t>0.00</w:t>
                </w:r>
              </w:p>
            </w:tc>
            <w:tc>
              <w:tcPr>
                <w:tcW w:w="1618" w:type="pct"/>
                <w:shd w:val="clear" w:color="auto" w:fill="auto"/>
              </w:tcPr>
              <w:p w14:paraId="73A26DF0" w14:textId="77777777" w:rsidR="002D0AE7" w:rsidRDefault="00333EBB">
                <w:pPr>
                  <w:spacing w:line="240" w:lineRule="atLeast"/>
                  <w:jc w:val="right"/>
                  <w:rPr>
                    <w:rFonts w:ascii="Times New Roman" w:hAnsi="Times New Roman" w:cs="Times New Roman"/>
                    <w:sz w:val="21"/>
                    <w:szCs w:val="21"/>
                  </w:rPr>
                </w:pPr>
                <w:r>
                  <w:rPr>
                    <w:rStyle w:val="aff9"/>
                    <w:rFonts w:ascii="Times New Roman" w:hAnsi="Times New Roman" w:cs="Times New Roman"/>
                    <w:color w:val="000000" w:themeColor="text1"/>
                    <w:sz w:val="21"/>
                    <w:szCs w:val="21"/>
                  </w:rPr>
                  <w:t>0.00</w:t>
                </w:r>
              </w:p>
            </w:tc>
          </w:tr>
          <w:tr w:rsidR="002D0AE7" w14:paraId="5AC7AB47" w14:textId="77777777">
            <w:trPr>
              <w:trHeight w:val="284"/>
            </w:trPr>
            <w:tc>
              <w:tcPr>
                <w:tcW w:w="1878" w:type="pct"/>
                <w:shd w:val="clear" w:color="auto" w:fill="auto"/>
                <w:vAlign w:val="center"/>
              </w:tcPr>
              <w:p w14:paraId="48BB3C36" w14:textId="77777777" w:rsidR="002D0AE7" w:rsidRDefault="00333EBB">
                <w:pPr>
                  <w:spacing w:line="240" w:lineRule="atLeast"/>
                  <w:ind w:firstLineChars="200" w:firstLine="420"/>
                  <w:rPr>
                    <w:rFonts w:hint="eastAsia"/>
                    <w:color w:val="000000" w:themeColor="text1"/>
                    <w:sz w:val="21"/>
                    <w:szCs w:val="21"/>
                  </w:rPr>
                </w:pPr>
                <w:r>
                  <w:rPr>
                    <w:rFonts w:hint="eastAsia"/>
                    <w:color w:val="000000" w:themeColor="text1"/>
                    <w:sz w:val="21"/>
                    <w:szCs w:val="21"/>
                  </w:rPr>
                  <w:t>3.</w:t>
                </w:r>
                <w:r>
                  <w:rPr>
                    <w:color w:val="000000" w:themeColor="text1"/>
                    <w:sz w:val="21"/>
                    <w:szCs w:val="21"/>
                  </w:rPr>
                  <w:t>本期减少</w:t>
                </w:r>
                <w:r>
                  <w:rPr>
                    <w:rFonts w:hint="eastAsia"/>
                    <w:color w:val="000000" w:themeColor="text1"/>
                    <w:sz w:val="21"/>
                    <w:szCs w:val="21"/>
                  </w:rPr>
                  <w:t>金额</w:t>
                </w:r>
              </w:p>
            </w:tc>
            <w:tc>
              <w:tcPr>
                <w:tcW w:w="1504" w:type="pct"/>
                <w:shd w:val="clear" w:color="auto" w:fill="auto"/>
              </w:tcPr>
              <w:p w14:paraId="5201B37D"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0.00</w:t>
                </w:r>
              </w:p>
            </w:tc>
            <w:tc>
              <w:tcPr>
                <w:tcW w:w="1618" w:type="pct"/>
                <w:shd w:val="clear" w:color="auto" w:fill="auto"/>
              </w:tcPr>
              <w:p w14:paraId="264FB461"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0.00</w:t>
                </w:r>
              </w:p>
            </w:tc>
          </w:tr>
          <w:tr w:rsidR="002D0AE7" w14:paraId="4FEEC421" w14:textId="77777777">
            <w:trPr>
              <w:trHeight w:val="284"/>
            </w:trPr>
            <w:tc>
              <w:tcPr>
                <w:tcW w:w="1878" w:type="pct"/>
                <w:shd w:val="clear" w:color="auto" w:fill="auto"/>
                <w:vAlign w:val="center"/>
              </w:tcPr>
              <w:p w14:paraId="3902ABEB" w14:textId="77777777" w:rsidR="002D0AE7" w:rsidRDefault="00333EBB">
                <w:pPr>
                  <w:spacing w:line="240" w:lineRule="atLeast"/>
                  <w:ind w:firstLineChars="300" w:firstLine="630"/>
                  <w:rPr>
                    <w:rFonts w:hint="eastAsia"/>
                    <w:color w:val="000000" w:themeColor="text1"/>
                    <w:sz w:val="21"/>
                    <w:szCs w:val="21"/>
                  </w:rPr>
                </w:pPr>
                <w:r>
                  <w:rPr>
                    <w:color w:val="000000" w:themeColor="text1"/>
                    <w:sz w:val="21"/>
                    <w:szCs w:val="21"/>
                  </w:rPr>
                  <w:t>(1)</w:t>
                </w:r>
                <w:r>
                  <w:rPr>
                    <w:rFonts w:hint="eastAsia"/>
                    <w:color w:val="000000" w:themeColor="text1"/>
                    <w:sz w:val="21"/>
                    <w:szCs w:val="21"/>
                  </w:rPr>
                  <w:t>处置</w:t>
                </w:r>
              </w:p>
            </w:tc>
            <w:tc>
              <w:tcPr>
                <w:tcW w:w="1504" w:type="pct"/>
                <w:shd w:val="clear" w:color="auto" w:fill="auto"/>
              </w:tcPr>
              <w:p w14:paraId="368A2A24"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0.00</w:t>
                </w:r>
              </w:p>
            </w:tc>
            <w:tc>
              <w:tcPr>
                <w:tcW w:w="1618" w:type="pct"/>
                <w:shd w:val="clear" w:color="auto" w:fill="auto"/>
              </w:tcPr>
              <w:p w14:paraId="6D7F83C3"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0.00</w:t>
                </w:r>
              </w:p>
            </w:tc>
          </w:tr>
          <w:tr w:rsidR="002D0AE7" w14:paraId="68FAD101" w14:textId="77777777">
            <w:trPr>
              <w:trHeight w:val="284"/>
            </w:trPr>
            <w:tc>
              <w:tcPr>
                <w:tcW w:w="1878" w:type="pct"/>
                <w:shd w:val="clear" w:color="auto" w:fill="auto"/>
              </w:tcPr>
              <w:p w14:paraId="15E6FC3C" w14:textId="77777777" w:rsidR="002D0AE7" w:rsidRDefault="00333EBB">
                <w:pPr>
                  <w:spacing w:line="240" w:lineRule="atLeast"/>
                  <w:rPr>
                    <w:rFonts w:hint="eastAsia"/>
                    <w:sz w:val="21"/>
                    <w:szCs w:val="21"/>
                  </w:rPr>
                </w:pPr>
                <w:r>
                  <w:rPr>
                    <w:rFonts w:hint="eastAsia"/>
                    <w:sz w:val="21"/>
                    <w:szCs w:val="21"/>
                  </w:rPr>
                  <w:t xml:space="preserve">　</w:t>
                </w:r>
                <w:r>
                  <w:rPr>
                    <w:sz w:val="21"/>
                    <w:szCs w:val="21"/>
                  </w:rPr>
                  <w:t>(2)</w:t>
                </w:r>
                <w:r>
                  <w:rPr>
                    <w:sz w:val="21"/>
                    <w:szCs w:val="21"/>
                  </w:rPr>
                  <w:t>变更</w:t>
                </w:r>
              </w:p>
            </w:tc>
            <w:tc>
              <w:tcPr>
                <w:tcW w:w="1504" w:type="pct"/>
                <w:shd w:val="clear" w:color="auto" w:fill="auto"/>
              </w:tcPr>
              <w:p w14:paraId="59673FE5" w14:textId="77777777" w:rsidR="002D0AE7" w:rsidRDefault="00333EBB">
                <w:pPr>
                  <w:spacing w:line="240" w:lineRule="atLeast"/>
                  <w:jc w:val="right"/>
                  <w:rPr>
                    <w:rFonts w:ascii="Times New Roman" w:hAnsi="Times New Roman" w:cs="Times New Roman"/>
                    <w:sz w:val="21"/>
                    <w:szCs w:val="21"/>
                  </w:rPr>
                </w:pPr>
                <w:r>
                  <w:rPr>
                    <w:rStyle w:val="aff9"/>
                    <w:rFonts w:ascii="Times New Roman" w:hAnsi="Times New Roman" w:cs="Times New Roman"/>
                    <w:color w:val="000000" w:themeColor="text1"/>
                    <w:sz w:val="21"/>
                    <w:szCs w:val="21"/>
                  </w:rPr>
                  <w:t>0.00</w:t>
                </w:r>
              </w:p>
            </w:tc>
            <w:tc>
              <w:tcPr>
                <w:tcW w:w="1618" w:type="pct"/>
                <w:shd w:val="clear" w:color="auto" w:fill="auto"/>
              </w:tcPr>
              <w:p w14:paraId="690B1393" w14:textId="77777777" w:rsidR="002D0AE7" w:rsidRDefault="00333EBB">
                <w:pPr>
                  <w:spacing w:line="240" w:lineRule="atLeast"/>
                  <w:jc w:val="right"/>
                  <w:rPr>
                    <w:rFonts w:ascii="Times New Roman" w:hAnsi="Times New Roman" w:cs="Times New Roman"/>
                    <w:sz w:val="21"/>
                    <w:szCs w:val="21"/>
                  </w:rPr>
                </w:pPr>
                <w:r>
                  <w:rPr>
                    <w:rStyle w:val="aff9"/>
                    <w:rFonts w:ascii="Times New Roman" w:hAnsi="Times New Roman" w:cs="Times New Roman"/>
                    <w:color w:val="000000" w:themeColor="text1"/>
                    <w:sz w:val="21"/>
                    <w:szCs w:val="21"/>
                  </w:rPr>
                  <w:t>0.00</w:t>
                </w:r>
              </w:p>
            </w:tc>
          </w:tr>
          <w:tr w:rsidR="002D0AE7" w14:paraId="39EAE94E" w14:textId="77777777">
            <w:trPr>
              <w:trHeight w:val="284"/>
            </w:trPr>
            <w:tc>
              <w:tcPr>
                <w:tcW w:w="1878" w:type="pct"/>
                <w:shd w:val="clear" w:color="auto" w:fill="auto"/>
                <w:vAlign w:val="center"/>
              </w:tcPr>
              <w:p w14:paraId="79311510" w14:textId="77777777" w:rsidR="002D0AE7" w:rsidRDefault="00333EBB">
                <w:pPr>
                  <w:spacing w:line="240" w:lineRule="atLeast"/>
                  <w:ind w:firstLineChars="200" w:firstLine="420"/>
                  <w:rPr>
                    <w:rFonts w:hint="eastAsia"/>
                    <w:color w:val="000000" w:themeColor="text1"/>
                    <w:sz w:val="21"/>
                    <w:szCs w:val="21"/>
                  </w:rPr>
                </w:pPr>
                <w:r>
                  <w:rPr>
                    <w:rFonts w:hint="eastAsia"/>
                    <w:color w:val="000000" w:themeColor="text1"/>
                    <w:sz w:val="21"/>
                    <w:szCs w:val="21"/>
                  </w:rPr>
                  <w:t>4.</w:t>
                </w:r>
                <w:r>
                  <w:rPr>
                    <w:color w:val="000000" w:themeColor="text1"/>
                    <w:sz w:val="21"/>
                    <w:szCs w:val="21"/>
                  </w:rPr>
                  <w:t>期末余额</w:t>
                </w:r>
              </w:p>
            </w:tc>
            <w:tc>
              <w:tcPr>
                <w:tcW w:w="1504" w:type="pct"/>
                <w:shd w:val="clear" w:color="auto" w:fill="auto"/>
              </w:tcPr>
              <w:p w14:paraId="6B01F0C2"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283,374.38</w:t>
                </w:r>
                <w:r>
                  <w:rPr>
                    <w:rStyle w:val="aff9"/>
                    <w:rFonts w:ascii="Times New Roman" w:hAnsi="Times New Roman" w:cs="Times New Roman"/>
                    <w:color w:val="000000" w:themeColor="text1"/>
                    <w:sz w:val="21"/>
                    <w:szCs w:val="21"/>
                  </w:rPr>
                  <w:t xml:space="preserve">　</w:t>
                </w:r>
              </w:p>
            </w:tc>
            <w:tc>
              <w:tcPr>
                <w:tcW w:w="1618" w:type="pct"/>
                <w:shd w:val="clear" w:color="auto" w:fill="auto"/>
              </w:tcPr>
              <w:p w14:paraId="447E3CAF"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283,374.38</w:t>
                </w:r>
                <w:r>
                  <w:rPr>
                    <w:rStyle w:val="aff9"/>
                    <w:rFonts w:ascii="Times New Roman" w:hAnsi="Times New Roman" w:cs="Times New Roman"/>
                    <w:color w:val="000000" w:themeColor="text1"/>
                    <w:sz w:val="21"/>
                    <w:szCs w:val="21"/>
                  </w:rPr>
                  <w:t xml:space="preserve">　</w:t>
                </w:r>
              </w:p>
            </w:tc>
          </w:tr>
          <w:tr w:rsidR="002D0AE7" w14:paraId="5493D2AB" w14:textId="77777777">
            <w:trPr>
              <w:trHeight w:val="284"/>
            </w:trPr>
            <w:sdt>
              <w:sdtPr>
                <w:rPr>
                  <w:color w:val="000000" w:themeColor="text1"/>
                  <w:sz w:val="21"/>
                  <w:szCs w:val="21"/>
                </w:rPr>
                <w:tag w:val="_PLD_977579b288954e92aacbdc72b4e58579"/>
                <w:id w:val="-307631926"/>
              </w:sdtPr>
              <w:sdtEndPr/>
              <w:sdtContent>
                <w:tc>
                  <w:tcPr>
                    <w:tcW w:w="5000" w:type="pct"/>
                    <w:gridSpan w:val="3"/>
                    <w:shd w:val="clear" w:color="auto" w:fill="auto"/>
                    <w:vAlign w:val="center"/>
                  </w:tcPr>
                  <w:p w14:paraId="0405261D" w14:textId="77777777" w:rsidR="002D0AE7" w:rsidRDefault="00333EBB">
                    <w:pPr>
                      <w:spacing w:line="240" w:lineRule="atLeast"/>
                      <w:rPr>
                        <w:rFonts w:hint="eastAsia"/>
                        <w:color w:val="000000" w:themeColor="text1"/>
                        <w:sz w:val="21"/>
                        <w:szCs w:val="21"/>
                      </w:rPr>
                    </w:pPr>
                    <w:r>
                      <w:rPr>
                        <w:color w:val="000000" w:themeColor="text1"/>
                        <w:sz w:val="21"/>
                        <w:szCs w:val="21"/>
                      </w:rPr>
                      <w:t>三、减值准备</w:t>
                    </w:r>
                  </w:p>
                </w:tc>
              </w:sdtContent>
            </w:sdt>
          </w:tr>
          <w:tr w:rsidR="002D0AE7" w14:paraId="2A0E0DFD" w14:textId="77777777">
            <w:trPr>
              <w:trHeight w:val="284"/>
            </w:trPr>
            <w:tc>
              <w:tcPr>
                <w:tcW w:w="1878" w:type="pct"/>
                <w:shd w:val="clear" w:color="auto" w:fill="auto"/>
                <w:vAlign w:val="center"/>
              </w:tcPr>
              <w:p w14:paraId="4605C370" w14:textId="77777777" w:rsidR="002D0AE7" w:rsidRDefault="00333EBB">
                <w:pPr>
                  <w:spacing w:line="240" w:lineRule="atLeast"/>
                  <w:ind w:firstLineChars="200" w:firstLine="420"/>
                  <w:rPr>
                    <w:rFonts w:hint="eastAsia"/>
                    <w:color w:val="000000" w:themeColor="text1"/>
                    <w:sz w:val="21"/>
                    <w:szCs w:val="21"/>
                  </w:rPr>
                </w:pPr>
                <w:r>
                  <w:rPr>
                    <w:rFonts w:hint="eastAsia"/>
                    <w:color w:val="000000" w:themeColor="text1"/>
                    <w:sz w:val="21"/>
                    <w:szCs w:val="21"/>
                  </w:rPr>
                  <w:t>1.</w:t>
                </w:r>
                <w:r>
                  <w:rPr>
                    <w:rFonts w:hint="eastAsia"/>
                    <w:color w:val="000000" w:themeColor="text1"/>
                    <w:sz w:val="21"/>
                    <w:szCs w:val="21"/>
                  </w:rPr>
                  <w:t>期</w:t>
                </w:r>
                <w:r>
                  <w:rPr>
                    <w:color w:val="000000" w:themeColor="text1"/>
                    <w:sz w:val="21"/>
                    <w:szCs w:val="21"/>
                  </w:rPr>
                  <w:t>初余额</w:t>
                </w:r>
              </w:p>
            </w:tc>
            <w:tc>
              <w:tcPr>
                <w:tcW w:w="1504" w:type="pct"/>
                <w:shd w:val="clear" w:color="auto" w:fill="auto"/>
              </w:tcPr>
              <w:p w14:paraId="662766F1"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0.00</w:t>
                </w:r>
              </w:p>
            </w:tc>
            <w:tc>
              <w:tcPr>
                <w:tcW w:w="1618" w:type="pct"/>
                <w:shd w:val="clear" w:color="auto" w:fill="auto"/>
              </w:tcPr>
              <w:p w14:paraId="10A521CA"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0.00</w:t>
                </w:r>
              </w:p>
            </w:tc>
          </w:tr>
          <w:tr w:rsidR="002D0AE7" w14:paraId="33774FFF" w14:textId="77777777">
            <w:trPr>
              <w:trHeight w:val="284"/>
            </w:trPr>
            <w:tc>
              <w:tcPr>
                <w:tcW w:w="1878" w:type="pct"/>
                <w:shd w:val="clear" w:color="auto" w:fill="auto"/>
                <w:vAlign w:val="center"/>
              </w:tcPr>
              <w:p w14:paraId="783B60F3" w14:textId="77777777" w:rsidR="002D0AE7" w:rsidRDefault="00333EBB">
                <w:pPr>
                  <w:spacing w:line="240" w:lineRule="atLeast"/>
                  <w:ind w:firstLineChars="200" w:firstLine="420"/>
                  <w:rPr>
                    <w:rFonts w:hint="eastAsia"/>
                    <w:color w:val="000000" w:themeColor="text1"/>
                    <w:sz w:val="21"/>
                    <w:szCs w:val="21"/>
                  </w:rPr>
                </w:pPr>
                <w:r>
                  <w:rPr>
                    <w:color w:val="000000" w:themeColor="text1"/>
                    <w:sz w:val="21"/>
                    <w:szCs w:val="21"/>
                  </w:rPr>
                  <w:t>2.</w:t>
                </w:r>
                <w:r>
                  <w:rPr>
                    <w:color w:val="000000" w:themeColor="text1"/>
                    <w:sz w:val="21"/>
                    <w:szCs w:val="21"/>
                  </w:rPr>
                  <w:t>本期增加</w:t>
                </w:r>
                <w:r>
                  <w:rPr>
                    <w:rFonts w:hint="eastAsia"/>
                    <w:color w:val="000000" w:themeColor="text1"/>
                    <w:sz w:val="21"/>
                    <w:szCs w:val="21"/>
                  </w:rPr>
                  <w:t>金额</w:t>
                </w:r>
              </w:p>
            </w:tc>
            <w:tc>
              <w:tcPr>
                <w:tcW w:w="1504" w:type="pct"/>
                <w:shd w:val="clear" w:color="auto" w:fill="auto"/>
              </w:tcPr>
              <w:p w14:paraId="19033368"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0.00</w:t>
                </w:r>
              </w:p>
            </w:tc>
            <w:tc>
              <w:tcPr>
                <w:tcW w:w="1618" w:type="pct"/>
                <w:shd w:val="clear" w:color="auto" w:fill="auto"/>
              </w:tcPr>
              <w:p w14:paraId="2AD7CA44"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0.00</w:t>
                </w:r>
              </w:p>
            </w:tc>
          </w:tr>
          <w:tr w:rsidR="002D0AE7" w14:paraId="32FF6898" w14:textId="77777777">
            <w:trPr>
              <w:trHeight w:val="284"/>
            </w:trPr>
            <w:tc>
              <w:tcPr>
                <w:tcW w:w="1878" w:type="pct"/>
                <w:shd w:val="clear" w:color="auto" w:fill="auto"/>
                <w:vAlign w:val="center"/>
              </w:tcPr>
              <w:p w14:paraId="0344B372" w14:textId="77777777" w:rsidR="002D0AE7" w:rsidRDefault="00333EBB">
                <w:pPr>
                  <w:spacing w:line="240" w:lineRule="atLeast"/>
                  <w:ind w:firstLineChars="300" w:firstLine="630"/>
                  <w:rPr>
                    <w:rFonts w:hint="eastAsia"/>
                    <w:color w:val="000000" w:themeColor="text1"/>
                    <w:sz w:val="21"/>
                    <w:szCs w:val="21"/>
                  </w:rPr>
                </w:pPr>
                <w:r>
                  <w:rPr>
                    <w:color w:val="000000" w:themeColor="text1"/>
                    <w:sz w:val="21"/>
                    <w:szCs w:val="21"/>
                  </w:rPr>
                  <w:t>(1)</w:t>
                </w:r>
                <w:r>
                  <w:rPr>
                    <w:color w:val="000000" w:themeColor="text1"/>
                    <w:sz w:val="21"/>
                    <w:szCs w:val="21"/>
                  </w:rPr>
                  <w:t>计提</w:t>
                </w:r>
              </w:p>
            </w:tc>
            <w:tc>
              <w:tcPr>
                <w:tcW w:w="1504" w:type="pct"/>
                <w:shd w:val="clear" w:color="auto" w:fill="auto"/>
              </w:tcPr>
              <w:p w14:paraId="7DA4CCAA"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0.00</w:t>
                </w:r>
              </w:p>
            </w:tc>
            <w:tc>
              <w:tcPr>
                <w:tcW w:w="1618" w:type="pct"/>
                <w:shd w:val="clear" w:color="auto" w:fill="auto"/>
              </w:tcPr>
              <w:p w14:paraId="364C9510"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0.00</w:t>
                </w:r>
              </w:p>
            </w:tc>
          </w:tr>
          <w:tr w:rsidR="002D0AE7" w14:paraId="51AE954D" w14:textId="77777777">
            <w:trPr>
              <w:trHeight w:val="284"/>
            </w:trPr>
            <w:tc>
              <w:tcPr>
                <w:tcW w:w="1878" w:type="pct"/>
                <w:shd w:val="clear" w:color="auto" w:fill="auto"/>
                <w:vAlign w:val="center"/>
              </w:tcPr>
              <w:p w14:paraId="0B5C6AA3" w14:textId="77777777" w:rsidR="002D0AE7" w:rsidRDefault="00333EBB">
                <w:pPr>
                  <w:spacing w:line="240" w:lineRule="atLeast"/>
                  <w:ind w:firstLineChars="200" w:firstLine="420"/>
                  <w:rPr>
                    <w:rFonts w:hint="eastAsia"/>
                    <w:color w:val="000000" w:themeColor="text1"/>
                    <w:sz w:val="21"/>
                    <w:szCs w:val="21"/>
                  </w:rPr>
                </w:pPr>
                <w:r>
                  <w:rPr>
                    <w:rFonts w:hint="eastAsia"/>
                    <w:color w:val="000000" w:themeColor="text1"/>
                    <w:sz w:val="21"/>
                    <w:szCs w:val="21"/>
                  </w:rPr>
                  <w:t>3.</w:t>
                </w:r>
                <w:r>
                  <w:rPr>
                    <w:color w:val="000000" w:themeColor="text1"/>
                    <w:sz w:val="21"/>
                    <w:szCs w:val="21"/>
                  </w:rPr>
                  <w:t>本期减少</w:t>
                </w:r>
                <w:r>
                  <w:rPr>
                    <w:rFonts w:hint="eastAsia"/>
                    <w:color w:val="000000" w:themeColor="text1"/>
                    <w:sz w:val="21"/>
                    <w:szCs w:val="21"/>
                  </w:rPr>
                  <w:t>金额</w:t>
                </w:r>
              </w:p>
            </w:tc>
            <w:tc>
              <w:tcPr>
                <w:tcW w:w="1504" w:type="pct"/>
                <w:shd w:val="clear" w:color="auto" w:fill="auto"/>
              </w:tcPr>
              <w:p w14:paraId="73739367"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0.00</w:t>
                </w:r>
              </w:p>
            </w:tc>
            <w:tc>
              <w:tcPr>
                <w:tcW w:w="1618" w:type="pct"/>
                <w:shd w:val="clear" w:color="auto" w:fill="auto"/>
              </w:tcPr>
              <w:p w14:paraId="33EACC5B"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0.00</w:t>
                </w:r>
              </w:p>
            </w:tc>
          </w:tr>
          <w:tr w:rsidR="002D0AE7" w14:paraId="70FB4AC2" w14:textId="77777777">
            <w:trPr>
              <w:trHeight w:val="284"/>
            </w:trPr>
            <w:tc>
              <w:tcPr>
                <w:tcW w:w="1878" w:type="pct"/>
                <w:shd w:val="clear" w:color="auto" w:fill="auto"/>
                <w:vAlign w:val="center"/>
              </w:tcPr>
              <w:p w14:paraId="31A2876F" w14:textId="77777777" w:rsidR="002D0AE7" w:rsidRDefault="00333EBB">
                <w:pPr>
                  <w:spacing w:line="240" w:lineRule="atLeast"/>
                  <w:ind w:firstLineChars="300" w:firstLine="630"/>
                  <w:rPr>
                    <w:rFonts w:hint="eastAsia"/>
                    <w:color w:val="000000" w:themeColor="text1"/>
                    <w:sz w:val="21"/>
                    <w:szCs w:val="21"/>
                  </w:rPr>
                </w:pPr>
                <w:r>
                  <w:rPr>
                    <w:color w:val="000000" w:themeColor="text1"/>
                    <w:sz w:val="21"/>
                    <w:szCs w:val="21"/>
                  </w:rPr>
                  <w:t>(1)</w:t>
                </w:r>
                <w:r>
                  <w:rPr>
                    <w:rFonts w:hint="eastAsia"/>
                    <w:color w:val="000000" w:themeColor="text1"/>
                    <w:sz w:val="21"/>
                    <w:szCs w:val="21"/>
                  </w:rPr>
                  <w:t>处置</w:t>
                </w:r>
              </w:p>
            </w:tc>
            <w:tc>
              <w:tcPr>
                <w:tcW w:w="1504" w:type="pct"/>
                <w:shd w:val="clear" w:color="auto" w:fill="auto"/>
              </w:tcPr>
              <w:p w14:paraId="43328CB5"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0.00</w:t>
                </w:r>
              </w:p>
            </w:tc>
            <w:tc>
              <w:tcPr>
                <w:tcW w:w="1618" w:type="pct"/>
                <w:shd w:val="clear" w:color="auto" w:fill="auto"/>
              </w:tcPr>
              <w:p w14:paraId="054CDE5D"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0.00</w:t>
                </w:r>
              </w:p>
            </w:tc>
          </w:tr>
          <w:tr w:rsidR="002D0AE7" w14:paraId="6AF59A6D" w14:textId="77777777">
            <w:trPr>
              <w:trHeight w:val="284"/>
            </w:trPr>
            <w:tc>
              <w:tcPr>
                <w:tcW w:w="1878" w:type="pct"/>
                <w:shd w:val="clear" w:color="auto" w:fill="auto"/>
                <w:vAlign w:val="center"/>
              </w:tcPr>
              <w:p w14:paraId="736FDE6C" w14:textId="77777777" w:rsidR="002D0AE7" w:rsidRDefault="00333EBB">
                <w:pPr>
                  <w:spacing w:line="240" w:lineRule="atLeast"/>
                  <w:ind w:firstLineChars="200" w:firstLine="420"/>
                  <w:rPr>
                    <w:rFonts w:hint="eastAsia"/>
                    <w:color w:val="000000" w:themeColor="text1"/>
                    <w:sz w:val="21"/>
                    <w:szCs w:val="21"/>
                  </w:rPr>
                </w:pPr>
                <w:r>
                  <w:rPr>
                    <w:rFonts w:hint="eastAsia"/>
                    <w:color w:val="000000" w:themeColor="text1"/>
                    <w:sz w:val="21"/>
                    <w:szCs w:val="21"/>
                  </w:rPr>
                  <w:t>4.</w:t>
                </w:r>
                <w:r>
                  <w:rPr>
                    <w:color w:val="000000" w:themeColor="text1"/>
                    <w:sz w:val="21"/>
                    <w:szCs w:val="21"/>
                  </w:rPr>
                  <w:t>期末余额</w:t>
                </w:r>
              </w:p>
            </w:tc>
            <w:tc>
              <w:tcPr>
                <w:tcW w:w="1504" w:type="pct"/>
                <w:shd w:val="clear" w:color="auto" w:fill="auto"/>
              </w:tcPr>
              <w:p w14:paraId="25B4CF72"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0.00</w:t>
                </w:r>
              </w:p>
            </w:tc>
            <w:tc>
              <w:tcPr>
                <w:tcW w:w="1618" w:type="pct"/>
                <w:shd w:val="clear" w:color="auto" w:fill="auto"/>
              </w:tcPr>
              <w:p w14:paraId="248705C8" w14:textId="77777777" w:rsidR="002D0AE7" w:rsidRDefault="00333EBB">
                <w:pPr>
                  <w:spacing w:line="240" w:lineRule="atLeast"/>
                  <w:jc w:val="right"/>
                  <w:rPr>
                    <w:rFonts w:ascii="Times New Roman" w:hAnsi="Times New Roman" w:cs="Times New Roman"/>
                    <w:color w:val="000000" w:themeColor="text1"/>
                    <w:sz w:val="21"/>
                    <w:szCs w:val="21"/>
                  </w:rPr>
                </w:pPr>
                <w:r>
                  <w:rPr>
                    <w:rStyle w:val="aff9"/>
                    <w:rFonts w:ascii="Times New Roman" w:hAnsi="Times New Roman" w:cs="Times New Roman"/>
                    <w:color w:val="000000" w:themeColor="text1"/>
                    <w:sz w:val="21"/>
                    <w:szCs w:val="21"/>
                  </w:rPr>
                  <w:t>0.00</w:t>
                </w:r>
              </w:p>
            </w:tc>
          </w:tr>
          <w:tr w:rsidR="002D0AE7" w14:paraId="01DFA1E6" w14:textId="77777777">
            <w:trPr>
              <w:trHeight w:val="284"/>
            </w:trPr>
            <w:sdt>
              <w:sdtPr>
                <w:rPr>
                  <w:color w:val="000000" w:themeColor="text1"/>
                  <w:sz w:val="21"/>
                  <w:szCs w:val="21"/>
                </w:rPr>
                <w:tag w:val="_PLD_a609076f16da4fedb37d9fc1d72dfd8f"/>
                <w:id w:val="-426109479"/>
              </w:sdtPr>
              <w:sdtEndPr/>
              <w:sdtContent>
                <w:tc>
                  <w:tcPr>
                    <w:tcW w:w="5000" w:type="pct"/>
                    <w:gridSpan w:val="3"/>
                    <w:shd w:val="clear" w:color="auto" w:fill="auto"/>
                    <w:vAlign w:val="center"/>
                  </w:tcPr>
                  <w:p w14:paraId="6B324074" w14:textId="77777777" w:rsidR="002D0AE7" w:rsidRDefault="00333EBB">
                    <w:pPr>
                      <w:spacing w:line="240" w:lineRule="atLeast"/>
                      <w:rPr>
                        <w:rFonts w:hint="eastAsia"/>
                        <w:color w:val="000000" w:themeColor="text1"/>
                        <w:sz w:val="21"/>
                        <w:szCs w:val="21"/>
                      </w:rPr>
                    </w:pPr>
                    <w:r>
                      <w:rPr>
                        <w:color w:val="000000" w:themeColor="text1"/>
                        <w:sz w:val="21"/>
                        <w:szCs w:val="21"/>
                      </w:rPr>
                      <w:t>四、账面价值</w:t>
                    </w:r>
                  </w:p>
                </w:tc>
              </w:sdtContent>
            </w:sdt>
          </w:tr>
          <w:tr w:rsidR="002D0AE7" w14:paraId="3835DCB3" w14:textId="77777777">
            <w:trPr>
              <w:trHeight w:val="284"/>
            </w:trPr>
            <w:tc>
              <w:tcPr>
                <w:tcW w:w="1878" w:type="pct"/>
                <w:shd w:val="clear" w:color="auto" w:fill="auto"/>
                <w:vAlign w:val="center"/>
              </w:tcPr>
              <w:p w14:paraId="7B529C7D" w14:textId="77777777" w:rsidR="002D0AE7" w:rsidRDefault="00333EBB">
                <w:pPr>
                  <w:spacing w:line="240" w:lineRule="atLeast"/>
                  <w:rPr>
                    <w:rFonts w:hint="eastAsia"/>
                    <w:color w:val="000000" w:themeColor="text1"/>
                    <w:sz w:val="21"/>
                    <w:szCs w:val="21"/>
                  </w:rPr>
                </w:pPr>
                <w:r>
                  <w:rPr>
                    <w:color w:val="000000" w:themeColor="text1"/>
                    <w:sz w:val="21"/>
                    <w:szCs w:val="21"/>
                  </w:rPr>
                  <w:t>1.</w:t>
                </w:r>
                <w:r>
                  <w:rPr>
                    <w:color w:val="000000" w:themeColor="text1"/>
                    <w:sz w:val="21"/>
                    <w:szCs w:val="21"/>
                  </w:rPr>
                  <w:t>期末账面价值</w:t>
                </w:r>
              </w:p>
            </w:tc>
            <w:tc>
              <w:tcPr>
                <w:tcW w:w="1504" w:type="pct"/>
                <w:shd w:val="clear" w:color="auto" w:fill="auto"/>
              </w:tcPr>
              <w:p w14:paraId="2B4A6080" w14:textId="77777777" w:rsidR="002D0AE7" w:rsidRDefault="00333EBB">
                <w:pPr>
                  <w:spacing w:line="240" w:lineRule="atLeast"/>
                  <w:jc w:val="righ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42,285.61</w:t>
                </w:r>
                <w:r>
                  <w:rPr>
                    <w:rFonts w:ascii="Times New Roman" w:hAnsi="Times New Roman" w:cs="Times New Roman"/>
                    <w:color w:val="000000" w:themeColor="text1"/>
                    <w:sz w:val="21"/>
                    <w:szCs w:val="21"/>
                  </w:rPr>
                  <w:t xml:space="preserve">　</w:t>
                </w:r>
              </w:p>
            </w:tc>
            <w:tc>
              <w:tcPr>
                <w:tcW w:w="1618" w:type="pct"/>
                <w:shd w:val="clear" w:color="auto" w:fill="auto"/>
              </w:tcPr>
              <w:p w14:paraId="5F64C712" w14:textId="77777777" w:rsidR="002D0AE7" w:rsidRDefault="00333EBB">
                <w:pPr>
                  <w:spacing w:line="240" w:lineRule="atLeast"/>
                  <w:jc w:val="righ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42,285.61</w:t>
                </w:r>
                <w:r>
                  <w:rPr>
                    <w:rFonts w:ascii="Times New Roman" w:hAnsi="Times New Roman" w:cs="Times New Roman"/>
                    <w:color w:val="000000" w:themeColor="text1"/>
                    <w:sz w:val="21"/>
                    <w:szCs w:val="21"/>
                  </w:rPr>
                  <w:t xml:space="preserve">　</w:t>
                </w:r>
              </w:p>
            </w:tc>
          </w:tr>
          <w:tr w:rsidR="002D0AE7" w14:paraId="392CE717" w14:textId="77777777">
            <w:trPr>
              <w:trHeight w:val="284"/>
            </w:trPr>
            <w:tc>
              <w:tcPr>
                <w:tcW w:w="1878" w:type="pct"/>
                <w:shd w:val="clear" w:color="auto" w:fill="auto"/>
                <w:vAlign w:val="center"/>
              </w:tcPr>
              <w:p w14:paraId="05608CBB" w14:textId="77777777" w:rsidR="002D0AE7" w:rsidRDefault="00333EBB">
                <w:pPr>
                  <w:spacing w:line="240" w:lineRule="atLeast"/>
                  <w:rPr>
                    <w:rFonts w:hint="eastAsia"/>
                    <w:color w:val="000000" w:themeColor="text1"/>
                    <w:sz w:val="21"/>
                    <w:szCs w:val="21"/>
                  </w:rPr>
                </w:pPr>
                <w:r>
                  <w:rPr>
                    <w:color w:val="000000" w:themeColor="text1"/>
                    <w:sz w:val="21"/>
                    <w:szCs w:val="21"/>
                  </w:rPr>
                  <w:t>2.</w:t>
                </w:r>
                <w:r>
                  <w:rPr>
                    <w:color w:val="000000" w:themeColor="text1"/>
                    <w:sz w:val="21"/>
                    <w:szCs w:val="21"/>
                  </w:rPr>
                  <w:t>期初账面价值</w:t>
                </w:r>
              </w:p>
            </w:tc>
            <w:tc>
              <w:tcPr>
                <w:tcW w:w="1504" w:type="pct"/>
                <w:shd w:val="clear" w:color="auto" w:fill="auto"/>
              </w:tcPr>
              <w:p w14:paraId="6403A345" w14:textId="77777777" w:rsidR="002D0AE7" w:rsidRDefault="00333EBB">
                <w:pPr>
                  <w:spacing w:line="240" w:lineRule="atLeast"/>
                  <w:jc w:val="righ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126,856.85</w:t>
                </w:r>
                <w:r>
                  <w:rPr>
                    <w:rFonts w:ascii="Times New Roman" w:hAnsi="Times New Roman" w:cs="Times New Roman"/>
                    <w:color w:val="000000" w:themeColor="text1"/>
                    <w:sz w:val="21"/>
                    <w:szCs w:val="21"/>
                  </w:rPr>
                  <w:t xml:space="preserve">　</w:t>
                </w:r>
              </w:p>
            </w:tc>
            <w:tc>
              <w:tcPr>
                <w:tcW w:w="1618" w:type="pct"/>
                <w:shd w:val="clear" w:color="auto" w:fill="auto"/>
              </w:tcPr>
              <w:p w14:paraId="7A9B76E3" w14:textId="77777777" w:rsidR="002D0AE7" w:rsidRDefault="00333EBB">
                <w:pPr>
                  <w:spacing w:line="240" w:lineRule="atLeast"/>
                  <w:jc w:val="righ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126,856.85</w:t>
                </w:r>
              </w:p>
            </w:tc>
          </w:tr>
        </w:tbl>
      </w:sdtContent>
    </w:sdt>
    <w:p w14:paraId="0AAA2451" w14:textId="77777777" w:rsidR="002D0AE7" w:rsidRDefault="00333EBB">
      <w:pPr>
        <w:autoSpaceDE w:val="0"/>
        <w:autoSpaceDN w:val="0"/>
        <w:adjustRightInd w:val="0"/>
        <w:rPr>
          <w:rFonts w:hint="eastAsia"/>
          <w:color w:val="000000" w:themeColor="text1"/>
          <w:sz w:val="21"/>
        </w:rPr>
      </w:pPr>
      <w:bookmarkStart w:id="189" w:name="_Hlk167959640"/>
      <w:bookmarkEnd w:id="188"/>
      <w:r>
        <w:rPr>
          <w:rFonts w:hint="eastAsia"/>
          <w:color w:val="000000" w:themeColor="text1"/>
          <w:sz w:val="21"/>
        </w:rPr>
        <w:t>其他说明：</w:t>
      </w:r>
      <w:sdt>
        <w:sdtPr>
          <w:rPr>
            <w:color w:val="000000" w:themeColor="text1"/>
            <w:sz w:val="21"/>
          </w:rPr>
          <w:alias w:val="使用权资产其他说明"/>
          <w:tag w:val="_GBC_30439a7674b44ef39168f8672c6df2c9"/>
          <w:id w:val="-985158756"/>
          <w:placeholder>
            <w:docPart w:val="GBC22222222222222222222222222222"/>
          </w:placeholder>
        </w:sdtPr>
        <w:sdtEndPr/>
        <w:sdtContent>
          <w:r>
            <w:rPr>
              <w:rFonts w:hint="eastAsia"/>
              <w:color w:val="000000" w:themeColor="text1"/>
              <w:sz w:val="21"/>
            </w:rPr>
            <w:t>无</w:t>
          </w:r>
        </w:sdtContent>
      </w:sdt>
    </w:p>
    <w:bookmarkEnd w:id="189"/>
    <w:p w14:paraId="3C3FEB6D"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szCs w:val="21"/>
        </w:rPr>
        <w:t>无形资产</w:t>
      </w:r>
    </w:p>
    <w:p w14:paraId="7B3790AE" w14:textId="77777777" w:rsidR="002D0AE7" w:rsidRDefault="00333EBB">
      <w:pPr>
        <w:pStyle w:val="4"/>
        <w:numPr>
          <w:ilvl w:val="0"/>
          <w:numId w:val="54"/>
        </w:numPr>
        <w:tabs>
          <w:tab w:val="left" w:pos="602"/>
        </w:tabs>
        <w:rPr>
          <w:rFonts w:ascii="宋体" w:hAnsi="宋体" w:hint="eastAsia"/>
          <w:color w:val="000000" w:themeColor="text1"/>
          <w:szCs w:val="21"/>
        </w:rPr>
      </w:pPr>
      <w:r>
        <w:rPr>
          <w:rFonts w:ascii="宋体" w:hAnsi="宋体" w:hint="eastAsia"/>
          <w:color w:val="000000" w:themeColor="text1"/>
          <w:szCs w:val="21"/>
        </w:rPr>
        <w:t>无形资产情况</w:t>
      </w:r>
    </w:p>
    <w:p w14:paraId="1DB66C7B" w14:textId="77777777" w:rsidR="002D0AE7" w:rsidRDefault="00333EBB">
      <w:pPr>
        <w:rPr>
          <w:rFonts w:hint="eastAsia"/>
          <w:color w:val="000000" w:themeColor="text1"/>
        </w:rPr>
      </w:pPr>
      <w:sdt>
        <w:sdtPr>
          <w:rPr>
            <w:rFonts w:hint="eastAsia"/>
            <w:color w:val="000000" w:themeColor="text1"/>
          </w:rPr>
          <w:alias w:val="是否适用：无形资产情况[双击切换]"/>
          <w:tag w:val="_GBC_0882d05501f84259b91efc5f2eae98cf"/>
          <w:id w:val="-561257601"/>
          <w:lock w:val="contentLocked"/>
          <w:placeholder>
            <w:docPart w:val="GBC22222222222222222222222222222"/>
          </w:placeholder>
        </w:sdtPr>
        <w:sdtEndPr/>
        <w:sdtContent>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sdtContent>
      </w:sdt>
    </w:p>
    <w:p w14:paraId="7A6C7B87" w14:textId="77777777" w:rsidR="002D0AE7" w:rsidRDefault="00333EBB">
      <w:pPr>
        <w:snapToGrid w:val="0"/>
        <w:spacing w:line="240" w:lineRule="atLeast"/>
        <w:jc w:val="right"/>
        <w:rPr>
          <w:rFonts w:hint="eastAsia"/>
          <w:color w:val="000000" w:themeColor="text1"/>
        </w:rPr>
      </w:pPr>
      <w:r>
        <w:rPr>
          <w:rFonts w:hint="eastAsia"/>
          <w:color w:val="000000" w:themeColor="text1"/>
        </w:rPr>
        <w:t>单位：</w:t>
      </w:r>
      <w:sdt>
        <w:sdtPr>
          <w:rPr>
            <w:rFonts w:hint="eastAsia"/>
            <w:color w:val="000000" w:themeColor="text1"/>
          </w:rPr>
          <w:alias w:val="单位：财务附注：无形资产情况"/>
          <w:tag w:val="_GBC_e04514c8858e489490302ba7c2e1448a"/>
          <w:id w:val="-30663133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无形资产情况"/>
          <w:tag w:val="_GBC_5ac7324577934f838e3655199c980c1c"/>
          <w:id w:val="-173700183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62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1424"/>
        <w:gridCol w:w="1424"/>
        <w:gridCol w:w="1529"/>
        <w:gridCol w:w="1529"/>
        <w:gridCol w:w="1424"/>
        <w:gridCol w:w="1530"/>
      </w:tblGrid>
      <w:tr w:rsidR="002D0AE7" w14:paraId="569B4578" w14:textId="77777777">
        <w:trPr>
          <w:trHeight w:val="284"/>
          <w:jc w:val="center"/>
        </w:trPr>
        <w:sdt>
          <w:sdtPr>
            <w:rPr>
              <w:color w:val="000000" w:themeColor="text1"/>
              <w:sz w:val="21"/>
              <w:szCs w:val="21"/>
            </w:rPr>
            <w:tag w:val="_PLD_16e062da10ef4301a1526b8633f88a31"/>
            <w:id w:val="1308755630"/>
          </w:sdtPr>
          <w:sdtEndPr/>
          <w:sdtContent>
            <w:tc>
              <w:tcPr>
                <w:tcW w:w="1004" w:type="pct"/>
                <w:shd w:val="clear" w:color="auto" w:fill="auto"/>
                <w:vAlign w:val="center"/>
              </w:tcPr>
              <w:p w14:paraId="2ECBE9DF"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sz w:val="21"/>
              <w:szCs w:val="21"/>
            </w:rPr>
            <w:alias w:val="无形资产明细－项目"/>
            <w:tag w:val="_GBC_ee2531f58c0a420e83919cd1efe46139"/>
            <w:id w:val="-1995556758"/>
          </w:sdtPr>
          <w:sdtEndPr>
            <w:rPr>
              <w:rFonts w:hint="eastAsia"/>
            </w:rPr>
          </w:sdtEndPr>
          <w:sdtContent>
            <w:tc>
              <w:tcPr>
                <w:tcW w:w="642" w:type="pct"/>
                <w:shd w:val="clear" w:color="auto" w:fill="auto"/>
                <w:vAlign w:val="center"/>
              </w:tcPr>
              <w:p w14:paraId="5FD7E55A" w14:textId="77777777" w:rsidR="002D0AE7" w:rsidRDefault="00333EBB">
                <w:pPr>
                  <w:jc w:val="center"/>
                  <w:rPr>
                    <w:rFonts w:hint="eastAsia"/>
                    <w:sz w:val="21"/>
                    <w:szCs w:val="21"/>
                  </w:rPr>
                </w:pPr>
                <w:r>
                  <w:rPr>
                    <w:rFonts w:hint="eastAsia"/>
                    <w:sz w:val="21"/>
                    <w:szCs w:val="21"/>
                  </w:rPr>
                  <w:t>工业产权</w:t>
                </w:r>
              </w:p>
            </w:tc>
          </w:sdtContent>
        </w:sdt>
        <w:sdt>
          <w:sdtPr>
            <w:rPr>
              <w:sz w:val="21"/>
              <w:szCs w:val="21"/>
            </w:rPr>
            <w:alias w:val="无形资产明细－项目"/>
            <w:tag w:val="_GBC_ee2531f58c0a420e83919cd1efe46139"/>
            <w:id w:val="-2003419243"/>
          </w:sdtPr>
          <w:sdtEndPr>
            <w:rPr>
              <w:rFonts w:hint="eastAsia"/>
            </w:rPr>
          </w:sdtEndPr>
          <w:sdtContent>
            <w:tc>
              <w:tcPr>
                <w:tcW w:w="642" w:type="pct"/>
                <w:shd w:val="clear" w:color="auto" w:fill="auto"/>
                <w:vAlign w:val="center"/>
              </w:tcPr>
              <w:p w14:paraId="7886A9A0" w14:textId="77777777" w:rsidR="002D0AE7" w:rsidRDefault="00333EBB">
                <w:pPr>
                  <w:jc w:val="center"/>
                  <w:rPr>
                    <w:rFonts w:hint="eastAsia"/>
                    <w:sz w:val="21"/>
                    <w:szCs w:val="21"/>
                  </w:rPr>
                </w:pPr>
                <w:r>
                  <w:rPr>
                    <w:rFonts w:hint="eastAsia"/>
                    <w:sz w:val="21"/>
                    <w:szCs w:val="21"/>
                  </w:rPr>
                  <w:t>计算机软件</w:t>
                </w:r>
              </w:p>
            </w:tc>
          </w:sdtContent>
        </w:sdt>
        <w:sdt>
          <w:sdtPr>
            <w:rPr>
              <w:sz w:val="21"/>
              <w:szCs w:val="21"/>
            </w:rPr>
            <w:alias w:val="无形资产明细－项目"/>
            <w:tag w:val="_GBC_ee2531f58c0a420e83919cd1efe46139"/>
            <w:id w:val="2033606794"/>
          </w:sdtPr>
          <w:sdtEndPr>
            <w:rPr>
              <w:rFonts w:hint="eastAsia"/>
            </w:rPr>
          </w:sdtEndPr>
          <w:sdtContent>
            <w:tc>
              <w:tcPr>
                <w:tcW w:w="690" w:type="pct"/>
                <w:shd w:val="clear" w:color="auto" w:fill="auto"/>
                <w:vAlign w:val="center"/>
              </w:tcPr>
              <w:p w14:paraId="61264999" w14:textId="77777777" w:rsidR="002D0AE7" w:rsidRDefault="00333EBB">
                <w:pPr>
                  <w:jc w:val="center"/>
                  <w:rPr>
                    <w:rFonts w:hint="eastAsia"/>
                    <w:sz w:val="21"/>
                    <w:szCs w:val="21"/>
                  </w:rPr>
                </w:pPr>
                <w:r>
                  <w:rPr>
                    <w:rFonts w:hint="eastAsia"/>
                    <w:sz w:val="21"/>
                    <w:szCs w:val="21"/>
                  </w:rPr>
                  <w:t>药品批准证书</w:t>
                </w:r>
              </w:p>
            </w:tc>
          </w:sdtContent>
        </w:sdt>
        <w:sdt>
          <w:sdtPr>
            <w:rPr>
              <w:sz w:val="21"/>
              <w:szCs w:val="21"/>
            </w:rPr>
            <w:alias w:val="无形资产明细－项目"/>
            <w:tag w:val="_GBC_ee2531f58c0a420e83919cd1efe46139"/>
            <w:id w:val="-515925366"/>
          </w:sdtPr>
          <w:sdtEndPr>
            <w:rPr>
              <w:rFonts w:hint="eastAsia"/>
            </w:rPr>
          </w:sdtEndPr>
          <w:sdtContent>
            <w:tc>
              <w:tcPr>
                <w:tcW w:w="690" w:type="pct"/>
                <w:shd w:val="clear" w:color="auto" w:fill="auto"/>
                <w:vAlign w:val="center"/>
              </w:tcPr>
              <w:p w14:paraId="14E250C5" w14:textId="77777777" w:rsidR="002D0AE7" w:rsidRDefault="00333EBB">
                <w:pPr>
                  <w:jc w:val="center"/>
                  <w:rPr>
                    <w:rFonts w:hint="eastAsia"/>
                    <w:sz w:val="21"/>
                    <w:szCs w:val="21"/>
                  </w:rPr>
                </w:pPr>
                <w:r>
                  <w:rPr>
                    <w:rFonts w:hint="eastAsia"/>
                    <w:sz w:val="21"/>
                    <w:szCs w:val="21"/>
                  </w:rPr>
                  <w:t>专有技术</w:t>
                </w:r>
              </w:p>
            </w:tc>
          </w:sdtContent>
        </w:sdt>
        <w:sdt>
          <w:sdtPr>
            <w:rPr>
              <w:sz w:val="21"/>
              <w:szCs w:val="21"/>
            </w:rPr>
            <w:alias w:val="无形资产明细－项目"/>
            <w:tag w:val="_GBC_ee2531f58c0a420e83919cd1efe46139"/>
            <w:id w:val="1918980673"/>
          </w:sdtPr>
          <w:sdtEndPr>
            <w:rPr>
              <w:rFonts w:hint="eastAsia"/>
            </w:rPr>
          </w:sdtEndPr>
          <w:sdtContent>
            <w:tc>
              <w:tcPr>
                <w:tcW w:w="642" w:type="pct"/>
                <w:shd w:val="clear" w:color="auto" w:fill="auto"/>
                <w:vAlign w:val="center"/>
              </w:tcPr>
              <w:p w14:paraId="49415568" w14:textId="77777777" w:rsidR="002D0AE7" w:rsidRDefault="00333EBB">
                <w:pPr>
                  <w:jc w:val="center"/>
                  <w:rPr>
                    <w:rFonts w:hint="eastAsia"/>
                    <w:sz w:val="21"/>
                    <w:szCs w:val="21"/>
                  </w:rPr>
                </w:pPr>
                <w:r>
                  <w:rPr>
                    <w:rFonts w:hint="eastAsia"/>
                    <w:sz w:val="21"/>
                    <w:szCs w:val="21"/>
                  </w:rPr>
                  <w:t>土地使用权</w:t>
                </w:r>
              </w:p>
            </w:tc>
          </w:sdtContent>
        </w:sdt>
        <w:sdt>
          <w:sdtPr>
            <w:rPr>
              <w:color w:val="000000" w:themeColor="text1"/>
              <w:sz w:val="21"/>
              <w:szCs w:val="21"/>
            </w:rPr>
            <w:tag w:val="_PLD_57620ddc57e34012a99d49f2280a99e2"/>
            <w:id w:val="-359126342"/>
          </w:sdtPr>
          <w:sdtEndPr/>
          <w:sdtContent>
            <w:tc>
              <w:tcPr>
                <w:tcW w:w="690" w:type="pct"/>
                <w:shd w:val="clear" w:color="auto" w:fill="auto"/>
                <w:vAlign w:val="center"/>
              </w:tcPr>
              <w:p w14:paraId="6A764754" w14:textId="77777777" w:rsidR="002D0AE7" w:rsidRDefault="00333EBB">
                <w:pPr>
                  <w:jc w:val="center"/>
                  <w:rPr>
                    <w:rFonts w:hint="eastAsia"/>
                    <w:color w:val="000000" w:themeColor="text1"/>
                    <w:sz w:val="21"/>
                    <w:szCs w:val="21"/>
                  </w:rPr>
                </w:pPr>
                <w:r>
                  <w:rPr>
                    <w:color w:val="000000" w:themeColor="text1"/>
                    <w:sz w:val="21"/>
                    <w:szCs w:val="21"/>
                  </w:rPr>
                  <w:t>合计</w:t>
                </w:r>
              </w:p>
            </w:tc>
          </w:sdtContent>
        </w:sdt>
      </w:tr>
      <w:tr w:rsidR="002D0AE7" w14:paraId="278F2D90" w14:textId="77777777">
        <w:trPr>
          <w:trHeight w:val="284"/>
          <w:jc w:val="center"/>
        </w:trPr>
        <w:sdt>
          <w:sdtPr>
            <w:rPr>
              <w:color w:val="000000" w:themeColor="text1"/>
              <w:sz w:val="21"/>
              <w:szCs w:val="21"/>
            </w:rPr>
            <w:tag w:val="_PLD_97ce5956782c457c89e9607c943b01d4"/>
            <w:id w:val="1833017271"/>
          </w:sdtPr>
          <w:sdtEndPr/>
          <w:sdtContent>
            <w:tc>
              <w:tcPr>
                <w:tcW w:w="5000" w:type="pct"/>
                <w:gridSpan w:val="7"/>
                <w:shd w:val="clear" w:color="auto" w:fill="auto"/>
                <w:vAlign w:val="center"/>
              </w:tcPr>
              <w:p w14:paraId="1DC4F246" w14:textId="77777777" w:rsidR="002D0AE7" w:rsidRDefault="00333EBB">
                <w:pPr>
                  <w:tabs>
                    <w:tab w:val="left" w:pos="13080"/>
                  </w:tabs>
                  <w:rPr>
                    <w:rFonts w:hint="eastAsia"/>
                    <w:color w:val="000000" w:themeColor="text1"/>
                    <w:sz w:val="21"/>
                    <w:szCs w:val="21"/>
                  </w:rPr>
                </w:pPr>
                <w:r>
                  <w:rPr>
                    <w:color w:val="000000" w:themeColor="text1"/>
                    <w:sz w:val="21"/>
                    <w:szCs w:val="21"/>
                  </w:rPr>
                  <w:t>一、</w:t>
                </w:r>
                <w:r>
                  <w:rPr>
                    <w:rFonts w:hint="eastAsia"/>
                    <w:color w:val="000000" w:themeColor="text1"/>
                    <w:sz w:val="21"/>
                    <w:szCs w:val="21"/>
                  </w:rPr>
                  <w:t>账面原值</w:t>
                </w:r>
              </w:p>
            </w:tc>
          </w:sdtContent>
        </w:sdt>
      </w:tr>
      <w:tr w:rsidR="002D0AE7" w14:paraId="32C1F3FE" w14:textId="77777777">
        <w:trPr>
          <w:trHeight w:val="284"/>
          <w:jc w:val="center"/>
        </w:trPr>
        <w:tc>
          <w:tcPr>
            <w:tcW w:w="1004" w:type="pct"/>
            <w:shd w:val="clear" w:color="auto" w:fill="auto"/>
            <w:vAlign w:val="center"/>
          </w:tcPr>
          <w:p w14:paraId="3AD3C7C0" w14:textId="77777777" w:rsidR="002D0AE7" w:rsidRDefault="00333EBB">
            <w:pPr>
              <w:rPr>
                <w:rFonts w:hint="eastAsia"/>
                <w:color w:val="000000" w:themeColor="text1"/>
                <w:sz w:val="21"/>
                <w:szCs w:val="21"/>
              </w:rPr>
            </w:pPr>
            <w:r>
              <w:rPr>
                <w:color w:val="000000" w:themeColor="text1"/>
                <w:sz w:val="21"/>
                <w:szCs w:val="21"/>
              </w:rPr>
              <w:t>1.</w:t>
            </w:r>
            <w:r>
              <w:rPr>
                <w:rFonts w:hint="eastAsia"/>
                <w:color w:val="000000" w:themeColor="text1"/>
                <w:sz w:val="21"/>
                <w:szCs w:val="21"/>
              </w:rPr>
              <w:t>期</w:t>
            </w:r>
            <w:r>
              <w:rPr>
                <w:color w:val="000000" w:themeColor="text1"/>
                <w:sz w:val="21"/>
                <w:szCs w:val="21"/>
              </w:rPr>
              <w:t>初余额</w:t>
            </w:r>
          </w:p>
        </w:tc>
        <w:tc>
          <w:tcPr>
            <w:tcW w:w="642" w:type="pct"/>
            <w:shd w:val="clear" w:color="auto" w:fill="auto"/>
            <w:vAlign w:val="center"/>
          </w:tcPr>
          <w:p w14:paraId="69A2F3CE"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24,020,000.00</w:t>
            </w:r>
          </w:p>
        </w:tc>
        <w:tc>
          <w:tcPr>
            <w:tcW w:w="642" w:type="pct"/>
            <w:shd w:val="clear" w:color="auto" w:fill="auto"/>
            <w:vAlign w:val="center"/>
          </w:tcPr>
          <w:p w14:paraId="2B70049F"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25,006,935.42</w:t>
            </w:r>
          </w:p>
        </w:tc>
        <w:tc>
          <w:tcPr>
            <w:tcW w:w="690" w:type="pct"/>
            <w:shd w:val="clear" w:color="auto" w:fill="auto"/>
            <w:vAlign w:val="center"/>
          </w:tcPr>
          <w:p w14:paraId="036E18FD"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285,472,159.79</w:t>
            </w:r>
          </w:p>
        </w:tc>
        <w:tc>
          <w:tcPr>
            <w:tcW w:w="690" w:type="pct"/>
            <w:shd w:val="clear" w:color="auto" w:fill="auto"/>
            <w:vAlign w:val="center"/>
          </w:tcPr>
          <w:p w14:paraId="31C1517E"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106,238,824.25</w:t>
            </w:r>
          </w:p>
        </w:tc>
        <w:tc>
          <w:tcPr>
            <w:tcW w:w="642" w:type="pct"/>
            <w:shd w:val="clear" w:color="auto" w:fill="auto"/>
            <w:vAlign w:val="center"/>
          </w:tcPr>
          <w:p w14:paraId="60600F5C"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66,267,280.38</w:t>
            </w:r>
          </w:p>
        </w:tc>
        <w:tc>
          <w:tcPr>
            <w:tcW w:w="690" w:type="pct"/>
            <w:shd w:val="clear" w:color="auto" w:fill="auto"/>
            <w:vAlign w:val="center"/>
          </w:tcPr>
          <w:p w14:paraId="603A2C4A"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507,005,199.84</w:t>
            </w:r>
          </w:p>
        </w:tc>
      </w:tr>
      <w:tr w:rsidR="002D0AE7" w14:paraId="6840CF29" w14:textId="77777777">
        <w:trPr>
          <w:trHeight w:val="284"/>
          <w:jc w:val="center"/>
        </w:trPr>
        <w:tc>
          <w:tcPr>
            <w:tcW w:w="1004" w:type="pct"/>
            <w:shd w:val="clear" w:color="auto" w:fill="auto"/>
            <w:vAlign w:val="center"/>
          </w:tcPr>
          <w:p w14:paraId="55BA1A55" w14:textId="77777777" w:rsidR="002D0AE7" w:rsidRDefault="00333EBB">
            <w:pPr>
              <w:ind w:firstLineChars="200" w:firstLine="420"/>
              <w:rPr>
                <w:rFonts w:hint="eastAsia"/>
                <w:color w:val="000000" w:themeColor="text1"/>
                <w:sz w:val="21"/>
                <w:szCs w:val="21"/>
              </w:rPr>
            </w:pPr>
            <w:r>
              <w:rPr>
                <w:color w:val="000000" w:themeColor="text1"/>
                <w:sz w:val="21"/>
                <w:szCs w:val="21"/>
              </w:rPr>
              <w:t>2.</w:t>
            </w:r>
            <w:r>
              <w:rPr>
                <w:color w:val="000000" w:themeColor="text1"/>
                <w:sz w:val="21"/>
                <w:szCs w:val="21"/>
              </w:rPr>
              <w:t>本期增加</w:t>
            </w:r>
            <w:r>
              <w:rPr>
                <w:rFonts w:hint="eastAsia"/>
                <w:color w:val="000000" w:themeColor="text1"/>
                <w:sz w:val="21"/>
                <w:szCs w:val="21"/>
              </w:rPr>
              <w:t>金额</w:t>
            </w:r>
          </w:p>
        </w:tc>
        <w:tc>
          <w:tcPr>
            <w:tcW w:w="642" w:type="pct"/>
            <w:shd w:val="clear" w:color="auto" w:fill="auto"/>
            <w:vAlign w:val="center"/>
          </w:tcPr>
          <w:p w14:paraId="5F911E85"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5D4CC6E1"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3,549,411.34</w:t>
            </w:r>
          </w:p>
        </w:tc>
        <w:tc>
          <w:tcPr>
            <w:tcW w:w="690" w:type="pct"/>
            <w:shd w:val="clear" w:color="auto" w:fill="auto"/>
            <w:vAlign w:val="center"/>
          </w:tcPr>
          <w:p w14:paraId="65769B86"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24,711,382.60</w:t>
            </w:r>
          </w:p>
        </w:tc>
        <w:tc>
          <w:tcPr>
            <w:tcW w:w="690" w:type="pct"/>
            <w:shd w:val="clear" w:color="auto" w:fill="auto"/>
            <w:vAlign w:val="center"/>
          </w:tcPr>
          <w:p w14:paraId="12395234"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3C13454B"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4A56351F"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28,260,793.94</w:t>
            </w:r>
          </w:p>
        </w:tc>
      </w:tr>
      <w:tr w:rsidR="002D0AE7" w14:paraId="1F1D3BE7" w14:textId="77777777">
        <w:trPr>
          <w:trHeight w:val="284"/>
          <w:jc w:val="center"/>
        </w:trPr>
        <w:tc>
          <w:tcPr>
            <w:tcW w:w="1004" w:type="pct"/>
            <w:shd w:val="clear" w:color="auto" w:fill="auto"/>
            <w:vAlign w:val="center"/>
          </w:tcPr>
          <w:p w14:paraId="19583D20" w14:textId="77777777" w:rsidR="002D0AE7" w:rsidRDefault="00333EBB">
            <w:pPr>
              <w:ind w:firstLineChars="300" w:firstLine="630"/>
              <w:rPr>
                <w:rFonts w:hint="eastAsia"/>
                <w:color w:val="000000" w:themeColor="text1"/>
                <w:sz w:val="21"/>
                <w:szCs w:val="21"/>
              </w:rPr>
            </w:pPr>
            <w:r>
              <w:rPr>
                <w:color w:val="000000" w:themeColor="text1"/>
                <w:sz w:val="21"/>
                <w:szCs w:val="21"/>
              </w:rPr>
              <w:t>(1)</w:t>
            </w:r>
            <w:r>
              <w:rPr>
                <w:rFonts w:hint="eastAsia"/>
                <w:color w:val="000000" w:themeColor="text1"/>
                <w:sz w:val="21"/>
                <w:szCs w:val="21"/>
              </w:rPr>
              <w:t>购置</w:t>
            </w:r>
          </w:p>
        </w:tc>
        <w:tc>
          <w:tcPr>
            <w:tcW w:w="642" w:type="pct"/>
            <w:shd w:val="clear" w:color="auto" w:fill="auto"/>
            <w:vAlign w:val="center"/>
          </w:tcPr>
          <w:p w14:paraId="692DB74F"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19DE44DE"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7F04B317"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12,368,927.54</w:t>
            </w:r>
          </w:p>
        </w:tc>
        <w:tc>
          <w:tcPr>
            <w:tcW w:w="690" w:type="pct"/>
            <w:shd w:val="clear" w:color="auto" w:fill="auto"/>
            <w:vAlign w:val="center"/>
          </w:tcPr>
          <w:p w14:paraId="72576D44"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1F07C9E8"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08D99B08"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12,368,927.54</w:t>
            </w:r>
          </w:p>
        </w:tc>
      </w:tr>
      <w:tr w:rsidR="002D0AE7" w14:paraId="5FB0BFDF" w14:textId="77777777">
        <w:trPr>
          <w:trHeight w:val="284"/>
          <w:jc w:val="center"/>
        </w:trPr>
        <w:tc>
          <w:tcPr>
            <w:tcW w:w="1004" w:type="pct"/>
            <w:shd w:val="clear" w:color="auto" w:fill="auto"/>
            <w:vAlign w:val="center"/>
          </w:tcPr>
          <w:p w14:paraId="3F8FD706"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w:t>
            </w:r>
            <w:r>
              <w:rPr>
                <w:color w:val="000000" w:themeColor="text1"/>
                <w:sz w:val="21"/>
                <w:szCs w:val="21"/>
              </w:rPr>
              <w:t>2)</w:t>
            </w:r>
            <w:r>
              <w:rPr>
                <w:rFonts w:hint="eastAsia"/>
                <w:color w:val="000000" w:themeColor="text1"/>
                <w:sz w:val="21"/>
                <w:szCs w:val="21"/>
              </w:rPr>
              <w:t>内部研发</w:t>
            </w:r>
          </w:p>
        </w:tc>
        <w:tc>
          <w:tcPr>
            <w:tcW w:w="642" w:type="pct"/>
            <w:shd w:val="clear" w:color="auto" w:fill="auto"/>
            <w:vAlign w:val="center"/>
          </w:tcPr>
          <w:p w14:paraId="0C38CD4F"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7A291827"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159082D0"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12,342,455.06</w:t>
            </w:r>
          </w:p>
        </w:tc>
        <w:tc>
          <w:tcPr>
            <w:tcW w:w="690" w:type="pct"/>
            <w:shd w:val="clear" w:color="auto" w:fill="auto"/>
            <w:vAlign w:val="center"/>
          </w:tcPr>
          <w:p w14:paraId="63F715BD"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1909EBFF"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2CAF648A" w14:textId="77777777" w:rsidR="002D0AE7" w:rsidRDefault="00333EBB">
            <w:pPr>
              <w:jc w:val="center"/>
              <w:rPr>
                <w:rFonts w:ascii="Times New Roman" w:hAnsi="Times New Roman" w:cs="Times New Roman"/>
                <w:sz w:val="21"/>
                <w:szCs w:val="21"/>
              </w:rPr>
            </w:pPr>
            <w:r>
              <w:rPr>
                <w:rFonts w:ascii="Times New Roman" w:eastAsia="等线" w:hAnsi="Times New Roman" w:cs="Times New Roman"/>
                <w:color w:val="000000"/>
                <w:sz w:val="21"/>
                <w:szCs w:val="21"/>
              </w:rPr>
              <w:t>12,342,455.06</w:t>
            </w:r>
          </w:p>
        </w:tc>
      </w:tr>
      <w:tr w:rsidR="002D0AE7" w14:paraId="4CFC6D34" w14:textId="77777777">
        <w:trPr>
          <w:trHeight w:val="284"/>
          <w:jc w:val="center"/>
        </w:trPr>
        <w:tc>
          <w:tcPr>
            <w:tcW w:w="1004" w:type="pct"/>
            <w:shd w:val="clear" w:color="auto" w:fill="auto"/>
          </w:tcPr>
          <w:p w14:paraId="1ABDC1A1"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lastRenderedPageBreak/>
              <w:t>(</w:t>
            </w:r>
            <w:r>
              <w:rPr>
                <w:color w:val="000000" w:themeColor="text1"/>
                <w:sz w:val="21"/>
                <w:szCs w:val="21"/>
              </w:rPr>
              <w:t>3</w:t>
            </w:r>
            <w:r>
              <w:rPr>
                <w:rFonts w:hint="eastAsia"/>
                <w:color w:val="000000" w:themeColor="text1"/>
                <w:sz w:val="21"/>
                <w:szCs w:val="21"/>
              </w:rPr>
              <w:t>)</w:t>
            </w:r>
            <w:r>
              <w:rPr>
                <w:rFonts w:hint="eastAsia"/>
                <w:color w:val="000000" w:themeColor="text1"/>
                <w:sz w:val="21"/>
                <w:szCs w:val="21"/>
              </w:rPr>
              <w:t>企</w:t>
            </w:r>
            <w:r>
              <w:rPr>
                <w:color w:val="000000" w:themeColor="text1"/>
                <w:sz w:val="21"/>
                <w:szCs w:val="21"/>
              </w:rPr>
              <w:t>业合并增加</w:t>
            </w:r>
          </w:p>
        </w:tc>
        <w:tc>
          <w:tcPr>
            <w:tcW w:w="642" w:type="pct"/>
            <w:shd w:val="clear" w:color="auto" w:fill="auto"/>
            <w:vAlign w:val="center"/>
          </w:tcPr>
          <w:p w14:paraId="7CB9FB60"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05ED936E"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063D98B0"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0417547C"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0E10C389"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342A11DF"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r>
      <w:tr w:rsidR="002D0AE7" w14:paraId="6D28A70F" w14:textId="77777777">
        <w:trPr>
          <w:trHeight w:val="284"/>
          <w:jc w:val="center"/>
        </w:trPr>
        <w:tc>
          <w:tcPr>
            <w:tcW w:w="1004" w:type="pct"/>
            <w:shd w:val="clear" w:color="auto" w:fill="auto"/>
          </w:tcPr>
          <w:p w14:paraId="0AF651E4" w14:textId="77777777" w:rsidR="002D0AE7" w:rsidRDefault="00333EBB">
            <w:pPr>
              <w:ind w:firstLineChars="300" w:firstLine="630"/>
              <w:rPr>
                <w:rFonts w:hint="eastAsia"/>
                <w:sz w:val="21"/>
                <w:szCs w:val="21"/>
              </w:rPr>
            </w:pPr>
            <w:r>
              <w:rPr>
                <w:sz w:val="21"/>
                <w:szCs w:val="21"/>
              </w:rPr>
              <w:t>(4)</w:t>
            </w:r>
            <w:r>
              <w:rPr>
                <w:sz w:val="21"/>
                <w:szCs w:val="21"/>
              </w:rPr>
              <w:t>在建工程转入</w:t>
            </w:r>
          </w:p>
        </w:tc>
        <w:tc>
          <w:tcPr>
            <w:tcW w:w="642" w:type="pct"/>
            <w:shd w:val="clear" w:color="auto" w:fill="auto"/>
            <w:vAlign w:val="center"/>
          </w:tcPr>
          <w:p w14:paraId="26B03DD2"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52405849"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3,549,411.34</w:t>
            </w:r>
          </w:p>
        </w:tc>
        <w:tc>
          <w:tcPr>
            <w:tcW w:w="690" w:type="pct"/>
            <w:shd w:val="clear" w:color="auto" w:fill="auto"/>
            <w:vAlign w:val="center"/>
          </w:tcPr>
          <w:p w14:paraId="0987CECD"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3A153FA0"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5C36BCF5"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3AFBE90F"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3,549,411.34</w:t>
            </w:r>
          </w:p>
        </w:tc>
      </w:tr>
      <w:tr w:rsidR="002D0AE7" w14:paraId="03D9E7B6" w14:textId="77777777">
        <w:trPr>
          <w:trHeight w:val="284"/>
          <w:jc w:val="center"/>
        </w:trPr>
        <w:tc>
          <w:tcPr>
            <w:tcW w:w="1004" w:type="pct"/>
            <w:shd w:val="clear" w:color="auto" w:fill="auto"/>
            <w:vAlign w:val="center"/>
          </w:tcPr>
          <w:p w14:paraId="4B9DD6A5" w14:textId="77777777" w:rsidR="002D0AE7" w:rsidRDefault="00333EBB">
            <w:pPr>
              <w:rPr>
                <w:rFonts w:hint="eastAsia"/>
                <w:color w:val="000000" w:themeColor="text1"/>
                <w:sz w:val="21"/>
                <w:szCs w:val="21"/>
              </w:rPr>
            </w:pPr>
            <w:r>
              <w:rPr>
                <w:color w:val="000000" w:themeColor="text1"/>
                <w:sz w:val="21"/>
                <w:szCs w:val="21"/>
              </w:rPr>
              <w:t>3.</w:t>
            </w:r>
            <w:r>
              <w:rPr>
                <w:color w:val="000000" w:themeColor="text1"/>
                <w:sz w:val="21"/>
                <w:szCs w:val="21"/>
              </w:rPr>
              <w:t>本期减少</w:t>
            </w:r>
            <w:r>
              <w:rPr>
                <w:rFonts w:hint="eastAsia"/>
                <w:color w:val="000000" w:themeColor="text1"/>
                <w:sz w:val="21"/>
                <w:szCs w:val="21"/>
              </w:rPr>
              <w:t>金额</w:t>
            </w:r>
          </w:p>
        </w:tc>
        <w:tc>
          <w:tcPr>
            <w:tcW w:w="642" w:type="pct"/>
            <w:shd w:val="clear" w:color="auto" w:fill="auto"/>
            <w:vAlign w:val="center"/>
          </w:tcPr>
          <w:p w14:paraId="01405CE0"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1D37A431"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7AA2A2B9"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4C497E04"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3A7449C7"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1A3F2778"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r>
      <w:tr w:rsidR="002D0AE7" w14:paraId="7A5978F2" w14:textId="77777777">
        <w:trPr>
          <w:trHeight w:val="284"/>
          <w:jc w:val="center"/>
        </w:trPr>
        <w:tc>
          <w:tcPr>
            <w:tcW w:w="1004" w:type="pct"/>
            <w:shd w:val="clear" w:color="auto" w:fill="auto"/>
            <w:vAlign w:val="center"/>
          </w:tcPr>
          <w:p w14:paraId="599ADEAC" w14:textId="77777777" w:rsidR="002D0AE7" w:rsidRDefault="00333EBB">
            <w:pPr>
              <w:ind w:firstLineChars="300" w:firstLine="630"/>
              <w:rPr>
                <w:rFonts w:hint="eastAsia"/>
                <w:color w:val="000000" w:themeColor="text1"/>
                <w:sz w:val="21"/>
                <w:szCs w:val="21"/>
              </w:rPr>
            </w:pPr>
            <w:r>
              <w:rPr>
                <w:color w:val="000000" w:themeColor="text1"/>
                <w:sz w:val="21"/>
                <w:szCs w:val="21"/>
              </w:rPr>
              <w:t>(</w:t>
            </w:r>
            <w:r>
              <w:rPr>
                <w:rFonts w:hint="eastAsia"/>
                <w:color w:val="000000" w:themeColor="text1"/>
                <w:sz w:val="21"/>
                <w:szCs w:val="21"/>
              </w:rPr>
              <w:t>1</w:t>
            </w:r>
            <w:r>
              <w:rPr>
                <w:color w:val="000000" w:themeColor="text1"/>
                <w:sz w:val="21"/>
                <w:szCs w:val="21"/>
              </w:rPr>
              <w:t>)</w:t>
            </w:r>
            <w:r>
              <w:rPr>
                <w:rFonts w:hint="eastAsia"/>
                <w:color w:val="000000" w:themeColor="text1"/>
                <w:sz w:val="21"/>
                <w:szCs w:val="21"/>
              </w:rPr>
              <w:t>处置</w:t>
            </w:r>
          </w:p>
        </w:tc>
        <w:tc>
          <w:tcPr>
            <w:tcW w:w="642" w:type="pct"/>
            <w:shd w:val="clear" w:color="auto" w:fill="auto"/>
            <w:vAlign w:val="center"/>
          </w:tcPr>
          <w:p w14:paraId="255D571C"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08E392DC"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1D85B28E"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2D1FA0A4"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3162901E"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2D3F8EE4"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r>
      <w:tr w:rsidR="002D0AE7" w14:paraId="329A5FE3" w14:textId="77777777">
        <w:trPr>
          <w:trHeight w:val="284"/>
          <w:jc w:val="center"/>
        </w:trPr>
        <w:tc>
          <w:tcPr>
            <w:tcW w:w="1004" w:type="pct"/>
            <w:shd w:val="clear" w:color="auto" w:fill="auto"/>
          </w:tcPr>
          <w:p w14:paraId="5581DDFD" w14:textId="77777777" w:rsidR="002D0AE7" w:rsidRDefault="00333EBB">
            <w:pPr>
              <w:ind w:firstLineChars="300" w:firstLine="630"/>
              <w:rPr>
                <w:rFonts w:hint="eastAsia"/>
                <w:sz w:val="21"/>
                <w:szCs w:val="21"/>
              </w:rPr>
            </w:pPr>
            <w:r>
              <w:rPr>
                <w:sz w:val="21"/>
                <w:szCs w:val="21"/>
              </w:rPr>
              <w:t>(2)</w:t>
            </w:r>
            <w:r>
              <w:rPr>
                <w:rFonts w:hint="eastAsia"/>
                <w:sz w:val="21"/>
                <w:szCs w:val="21"/>
              </w:rPr>
              <w:t>其他</w:t>
            </w:r>
          </w:p>
        </w:tc>
        <w:tc>
          <w:tcPr>
            <w:tcW w:w="642" w:type="pct"/>
            <w:shd w:val="clear" w:color="auto" w:fill="auto"/>
            <w:vAlign w:val="center"/>
          </w:tcPr>
          <w:p w14:paraId="722E1956"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6D8EDDB1"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1CDBCD68"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3763DD3B"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0D2B0118"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45D5B555"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r>
      <w:tr w:rsidR="002D0AE7" w14:paraId="72B60922" w14:textId="77777777">
        <w:trPr>
          <w:trHeight w:val="284"/>
          <w:jc w:val="center"/>
        </w:trPr>
        <w:tc>
          <w:tcPr>
            <w:tcW w:w="1004" w:type="pct"/>
            <w:shd w:val="clear" w:color="auto" w:fill="auto"/>
            <w:vAlign w:val="center"/>
          </w:tcPr>
          <w:p w14:paraId="675D516B" w14:textId="77777777" w:rsidR="002D0AE7" w:rsidRDefault="00333EBB">
            <w:pPr>
              <w:rPr>
                <w:rFonts w:hint="eastAsia"/>
                <w:color w:val="000000" w:themeColor="text1"/>
                <w:sz w:val="21"/>
                <w:szCs w:val="21"/>
              </w:rPr>
            </w:pPr>
            <w:r>
              <w:rPr>
                <w:color w:val="000000" w:themeColor="text1"/>
                <w:sz w:val="21"/>
                <w:szCs w:val="21"/>
              </w:rPr>
              <w:t>4.</w:t>
            </w:r>
            <w:r>
              <w:rPr>
                <w:color w:val="000000" w:themeColor="text1"/>
                <w:sz w:val="21"/>
                <w:szCs w:val="21"/>
              </w:rPr>
              <w:t>期末余额</w:t>
            </w:r>
          </w:p>
        </w:tc>
        <w:tc>
          <w:tcPr>
            <w:tcW w:w="642" w:type="pct"/>
            <w:shd w:val="clear" w:color="auto" w:fill="auto"/>
            <w:vAlign w:val="center"/>
          </w:tcPr>
          <w:p w14:paraId="02095A6E"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24,020,000.00</w:t>
            </w:r>
          </w:p>
        </w:tc>
        <w:tc>
          <w:tcPr>
            <w:tcW w:w="642" w:type="pct"/>
            <w:shd w:val="clear" w:color="auto" w:fill="auto"/>
            <w:vAlign w:val="center"/>
          </w:tcPr>
          <w:p w14:paraId="3BDED84C"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28,556,346.76</w:t>
            </w:r>
          </w:p>
        </w:tc>
        <w:tc>
          <w:tcPr>
            <w:tcW w:w="690" w:type="pct"/>
            <w:shd w:val="clear" w:color="auto" w:fill="auto"/>
            <w:vAlign w:val="center"/>
          </w:tcPr>
          <w:p w14:paraId="6F1CA723"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310,183,542.39</w:t>
            </w:r>
          </w:p>
        </w:tc>
        <w:tc>
          <w:tcPr>
            <w:tcW w:w="690" w:type="pct"/>
            <w:shd w:val="clear" w:color="auto" w:fill="auto"/>
            <w:vAlign w:val="center"/>
          </w:tcPr>
          <w:p w14:paraId="3944DE27"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106,238,824.25</w:t>
            </w:r>
          </w:p>
        </w:tc>
        <w:tc>
          <w:tcPr>
            <w:tcW w:w="642" w:type="pct"/>
            <w:shd w:val="clear" w:color="auto" w:fill="auto"/>
            <w:vAlign w:val="center"/>
          </w:tcPr>
          <w:p w14:paraId="220B6280"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66,267,280.38</w:t>
            </w:r>
          </w:p>
        </w:tc>
        <w:tc>
          <w:tcPr>
            <w:tcW w:w="690" w:type="pct"/>
            <w:shd w:val="clear" w:color="auto" w:fill="auto"/>
            <w:vAlign w:val="center"/>
          </w:tcPr>
          <w:p w14:paraId="29CE844B"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535,265,993.78</w:t>
            </w:r>
          </w:p>
        </w:tc>
      </w:tr>
      <w:tr w:rsidR="002D0AE7" w14:paraId="4D35BDFD" w14:textId="77777777">
        <w:trPr>
          <w:trHeight w:val="284"/>
          <w:jc w:val="center"/>
        </w:trPr>
        <w:sdt>
          <w:sdtPr>
            <w:rPr>
              <w:color w:val="000000" w:themeColor="text1"/>
              <w:sz w:val="21"/>
              <w:szCs w:val="21"/>
            </w:rPr>
            <w:tag w:val="_PLD_3d92ef615d3b41e5abb58e018e2db72b"/>
            <w:id w:val="1476564061"/>
          </w:sdtPr>
          <w:sdtEndPr/>
          <w:sdtContent>
            <w:tc>
              <w:tcPr>
                <w:tcW w:w="5000" w:type="pct"/>
                <w:gridSpan w:val="7"/>
                <w:shd w:val="clear" w:color="auto" w:fill="auto"/>
                <w:vAlign w:val="center"/>
              </w:tcPr>
              <w:p w14:paraId="4C896007" w14:textId="77777777" w:rsidR="002D0AE7" w:rsidRDefault="00333EBB">
                <w:pPr>
                  <w:rPr>
                    <w:rFonts w:hint="eastAsia"/>
                    <w:color w:val="000000" w:themeColor="text1"/>
                    <w:sz w:val="21"/>
                    <w:szCs w:val="21"/>
                  </w:rPr>
                </w:pPr>
                <w:r>
                  <w:rPr>
                    <w:color w:val="000000" w:themeColor="text1"/>
                    <w:sz w:val="21"/>
                    <w:szCs w:val="21"/>
                  </w:rPr>
                  <w:t>二、累计</w:t>
                </w:r>
                <w:r>
                  <w:rPr>
                    <w:rFonts w:hint="eastAsia"/>
                    <w:color w:val="000000" w:themeColor="text1"/>
                    <w:sz w:val="21"/>
                    <w:szCs w:val="21"/>
                  </w:rPr>
                  <w:t>摊销</w:t>
                </w:r>
              </w:p>
            </w:tc>
          </w:sdtContent>
        </w:sdt>
      </w:tr>
      <w:tr w:rsidR="002D0AE7" w14:paraId="09ACAEB4" w14:textId="77777777">
        <w:trPr>
          <w:trHeight w:val="284"/>
          <w:jc w:val="center"/>
        </w:trPr>
        <w:tc>
          <w:tcPr>
            <w:tcW w:w="1004" w:type="pct"/>
            <w:shd w:val="clear" w:color="auto" w:fill="auto"/>
            <w:vAlign w:val="center"/>
          </w:tcPr>
          <w:p w14:paraId="21C67DC3"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1.</w:t>
            </w:r>
            <w:r>
              <w:rPr>
                <w:rFonts w:hint="eastAsia"/>
                <w:color w:val="000000" w:themeColor="text1"/>
                <w:sz w:val="21"/>
                <w:szCs w:val="21"/>
              </w:rPr>
              <w:t>期</w:t>
            </w:r>
            <w:r>
              <w:rPr>
                <w:color w:val="000000" w:themeColor="text1"/>
                <w:sz w:val="21"/>
                <w:szCs w:val="21"/>
              </w:rPr>
              <w:t>初余额</w:t>
            </w:r>
          </w:p>
        </w:tc>
        <w:tc>
          <w:tcPr>
            <w:tcW w:w="642" w:type="pct"/>
            <w:shd w:val="clear" w:color="auto" w:fill="auto"/>
            <w:vAlign w:val="center"/>
          </w:tcPr>
          <w:p w14:paraId="56D35610"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24,020,000.00</w:t>
            </w:r>
          </w:p>
        </w:tc>
        <w:tc>
          <w:tcPr>
            <w:tcW w:w="642" w:type="pct"/>
            <w:shd w:val="clear" w:color="auto" w:fill="auto"/>
            <w:vAlign w:val="center"/>
          </w:tcPr>
          <w:p w14:paraId="049994CF"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5,811,287.12</w:t>
            </w:r>
          </w:p>
        </w:tc>
        <w:tc>
          <w:tcPr>
            <w:tcW w:w="690" w:type="pct"/>
            <w:shd w:val="clear" w:color="auto" w:fill="auto"/>
            <w:vAlign w:val="center"/>
          </w:tcPr>
          <w:p w14:paraId="12EE7962"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63,441,358.09</w:t>
            </w:r>
          </w:p>
        </w:tc>
        <w:tc>
          <w:tcPr>
            <w:tcW w:w="690" w:type="pct"/>
            <w:shd w:val="clear" w:color="auto" w:fill="auto"/>
            <w:vAlign w:val="center"/>
          </w:tcPr>
          <w:p w14:paraId="61B35035"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94,185,571.96</w:t>
            </w:r>
          </w:p>
        </w:tc>
        <w:tc>
          <w:tcPr>
            <w:tcW w:w="642" w:type="pct"/>
            <w:shd w:val="clear" w:color="auto" w:fill="auto"/>
            <w:vAlign w:val="center"/>
          </w:tcPr>
          <w:p w14:paraId="3718F684"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15,889,416.43</w:t>
            </w:r>
          </w:p>
        </w:tc>
        <w:tc>
          <w:tcPr>
            <w:tcW w:w="690" w:type="pct"/>
            <w:shd w:val="clear" w:color="auto" w:fill="auto"/>
            <w:vAlign w:val="center"/>
          </w:tcPr>
          <w:p w14:paraId="53B60A0E"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203,347,633.60</w:t>
            </w:r>
          </w:p>
        </w:tc>
      </w:tr>
      <w:tr w:rsidR="002D0AE7" w14:paraId="57762FED" w14:textId="77777777">
        <w:trPr>
          <w:trHeight w:val="284"/>
          <w:jc w:val="center"/>
        </w:trPr>
        <w:tc>
          <w:tcPr>
            <w:tcW w:w="1004" w:type="pct"/>
            <w:shd w:val="clear" w:color="auto" w:fill="auto"/>
            <w:vAlign w:val="center"/>
          </w:tcPr>
          <w:p w14:paraId="40B6ED48" w14:textId="77777777" w:rsidR="002D0AE7" w:rsidRDefault="00333EBB">
            <w:pPr>
              <w:ind w:firstLineChars="200" w:firstLine="420"/>
              <w:rPr>
                <w:rFonts w:hint="eastAsia"/>
                <w:color w:val="000000" w:themeColor="text1"/>
                <w:sz w:val="21"/>
                <w:szCs w:val="21"/>
              </w:rPr>
            </w:pPr>
            <w:r>
              <w:rPr>
                <w:color w:val="000000" w:themeColor="text1"/>
                <w:sz w:val="21"/>
                <w:szCs w:val="21"/>
              </w:rPr>
              <w:t>2.</w:t>
            </w:r>
            <w:r>
              <w:rPr>
                <w:color w:val="000000" w:themeColor="text1"/>
                <w:sz w:val="21"/>
                <w:szCs w:val="21"/>
              </w:rPr>
              <w:t>本期增加</w:t>
            </w:r>
            <w:r>
              <w:rPr>
                <w:rFonts w:hint="eastAsia"/>
                <w:color w:val="000000" w:themeColor="text1"/>
                <w:sz w:val="21"/>
                <w:szCs w:val="21"/>
              </w:rPr>
              <w:t>金额</w:t>
            </w:r>
          </w:p>
        </w:tc>
        <w:tc>
          <w:tcPr>
            <w:tcW w:w="642" w:type="pct"/>
            <w:shd w:val="clear" w:color="auto" w:fill="auto"/>
            <w:vAlign w:val="center"/>
          </w:tcPr>
          <w:p w14:paraId="44B9BE58"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24C811FC"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1,337,081.85</w:t>
            </w:r>
          </w:p>
        </w:tc>
        <w:tc>
          <w:tcPr>
            <w:tcW w:w="690" w:type="pct"/>
            <w:shd w:val="clear" w:color="auto" w:fill="auto"/>
            <w:vAlign w:val="center"/>
          </w:tcPr>
          <w:p w14:paraId="2A66A61F"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15,092,016.06</w:t>
            </w:r>
          </w:p>
        </w:tc>
        <w:tc>
          <w:tcPr>
            <w:tcW w:w="690" w:type="pct"/>
            <w:shd w:val="clear" w:color="auto" w:fill="auto"/>
            <w:vAlign w:val="center"/>
          </w:tcPr>
          <w:p w14:paraId="3EFFC83B"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2,730,284.58</w:t>
            </w:r>
          </w:p>
        </w:tc>
        <w:tc>
          <w:tcPr>
            <w:tcW w:w="642" w:type="pct"/>
            <w:shd w:val="clear" w:color="auto" w:fill="auto"/>
            <w:vAlign w:val="center"/>
          </w:tcPr>
          <w:p w14:paraId="75B15885"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765,444.60</w:t>
            </w:r>
          </w:p>
        </w:tc>
        <w:tc>
          <w:tcPr>
            <w:tcW w:w="690" w:type="pct"/>
            <w:shd w:val="clear" w:color="auto" w:fill="auto"/>
            <w:vAlign w:val="center"/>
          </w:tcPr>
          <w:p w14:paraId="2F9DE565"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19,924,827.09</w:t>
            </w:r>
          </w:p>
        </w:tc>
      </w:tr>
      <w:tr w:rsidR="002D0AE7" w14:paraId="46132364" w14:textId="77777777">
        <w:trPr>
          <w:trHeight w:val="284"/>
          <w:jc w:val="center"/>
        </w:trPr>
        <w:tc>
          <w:tcPr>
            <w:tcW w:w="1004" w:type="pct"/>
            <w:shd w:val="clear" w:color="auto" w:fill="auto"/>
            <w:vAlign w:val="center"/>
          </w:tcPr>
          <w:p w14:paraId="6C1987F0"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w:t>
            </w:r>
            <w:r>
              <w:rPr>
                <w:rFonts w:hint="eastAsia"/>
                <w:color w:val="000000" w:themeColor="text1"/>
                <w:sz w:val="21"/>
                <w:szCs w:val="21"/>
              </w:rPr>
              <w:t>1</w:t>
            </w:r>
            <w:r>
              <w:rPr>
                <w:rFonts w:hint="eastAsia"/>
                <w:color w:val="000000" w:themeColor="text1"/>
                <w:sz w:val="21"/>
                <w:szCs w:val="21"/>
              </w:rPr>
              <w:t>）</w:t>
            </w:r>
            <w:r>
              <w:rPr>
                <w:color w:val="000000" w:themeColor="text1"/>
                <w:sz w:val="21"/>
                <w:szCs w:val="21"/>
              </w:rPr>
              <w:t>计提</w:t>
            </w:r>
          </w:p>
        </w:tc>
        <w:tc>
          <w:tcPr>
            <w:tcW w:w="642" w:type="pct"/>
            <w:shd w:val="clear" w:color="auto" w:fill="auto"/>
            <w:vAlign w:val="center"/>
          </w:tcPr>
          <w:p w14:paraId="2A80F128"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2FB065D2"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1,337,081.85</w:t>
            </w:r>
          </w:p>
        </w:tc>
        <w:tc>
          <w:tcPr>
            <w:tcW w:w="690" w:type="pct"/>
            <w:shd w:val="clear" w:color="auto" w:fill="auto"/>
            <w:vAlign w:val="center"/>
          </w:tcPr>
          <w:p w14:paraId="1D3EFE69"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15,092,016.06</w:t>
            </w:r>
          </w:p>
        </w:tc>
        <w:tc>
          <w:tcPr>
            <w:tcW w:w="690" w:type="pct"/>
            <w:shd w:val="clear" w:color="auto" w:fill="auto"/>
            <w:vAlign w:val="center"/>
          </w:tcPr>
          <w:p w14:paraId="14B2C2D0"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2,730,284.58</w:t>
            </w:r>
          </w:p>
        </w:tc>
        <w:tc>
          <w:tcPr>
            <w:tcW w:w="642" w:type="pct"/>
            <w:shd w:val="clear" w:color="auto" w:fill="auto"/>
            <w:vAlign w:val="center"/>
          </w:tcPr>
          <w:p w14:paraId="28E84FAD"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765,444.60</w:t>
            </w:r>
          </w:p>
        </w:tc>
        <w:tc>
          <w:tcPr>
            <w:tcW w:w="690" w:type="pct"/>
            <w:shd w:val="clear" w:color="auto" w:fill="auto"/>
            <w:vAlign w:val="center"/>
          </w:tcPr>
          <w:p w14:paraId="73455678"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19,924,827.09</w:t>
            </w:r>
          </w:p>
        </w:tc>
      </w:tr>
      <w:tr w:rsidR="002D0AE7" w14:paraId="1051D840" w14:textId="77777777">
        <w:trPr>
          <w:trHeight w:val="284"/>
          <w:jc w:val="center"/>
        </w:trPr>
        <w:tc>
          <w:tcPr>
            <w:tcW w:w="1004" w:type="pct"/>
            <w:shd w:val="clear" w:color="auto" w:fill="auto"/>
            <w:vAlign w:val="center"/>
          </w:tcPr>
          <w:p w14:paraId="67419F73"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3.</w:t>
            </w:r>
            <w:r>
              <w:rPr>
                <w:color w:val="000000" w:themeColor="text1"/>
                <w:sz w:val="21"/>
                <w:szCs w:val="21"/>
              </w:rPr>
              <w:t>本期减少</w:t>
            </w:r>
            <w:r>
              <w:rPr>
                <w:rFonts w:hint="eastAsia"/>
                <w:color w:val="000000" w:themeColor="text1"/>
                <w:sz w:val="21"/>
                <w:szCs w:val="21"/>
              </w:rPr>
              <w:t>金额</w:t>
            </w:r>
          </w:p>
        </w:tc>
        <w:tc>
          <w:tcPr>
            <w:tcW w:w="642" w:type="pct"/>
            <w:shd w:val="clear" w:color="auto" w:fill="auto"/>
            <w:vAlign w:val="center"/>
          </w:tcPr>
          <w:p w14:paraId="5B8EDCBC"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12B70FF6"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13EC06EB"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60D221D6"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7868FEFB"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6F0AE721"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r>
      <w:tr w:rsidR="002D0AE7" w14:paraId="1C4DA682" w14:textId="77777777">
        <w:trPr>
          <w:trHeight w:val="284"/>
          <w:jc w:val="center"/>
        </w:trPr>
        <w:tc>
          <w:tcPr>
            <w:tcW w:w="1004" w:type="pct"/>
            <w:shd w:val="clear" w:color="auto" w:fill="auto"/>
            <w:vAlign w:val="center"/>
          </w:tcPr>
          <w:p w14:paraId="2EE1BB16" w14:textId="77777777" w:rsidR="002D0AE7" w:rsidRDefault="00333EBB">
            <w:pPr>
              <w:ind w:firstLineChars="300" w:firstLine="630"/>
              <w:rPr>
                <w:rFonts w:hint="eastAsia"/>
                <w:color w:val="000000" w:themeColor="text1"/>
                <w:sz w:val="21"/>
                <w:szCs w:val="21"/>
              </w:rPr>
            </w:pPr>
            <w:r>
              <w:rPr>
                <w:color w:val="000000" w:themeColor="text1"/>
                <w:sz w:val="21"/>
                <w:szCs w:val="21"/>
              </w:rPr>
              <w:t>(</w:t>
            </w:r>
            <w:r>
              <w:rPr>
                <w:rFonts w:hint="eastAsia"/>
                <w:color w:val="000000" w:themeColor="text1"/>
                <w:sz w:val="21"/>
                <w:szCs w:val="21"/>
              </w:rPr>
              <w:t>1</w:t>
            </w:r>
            <w:r>
              <w:rPr>
                <w:color w:val="000000" w:themeColor="text1"/>
                <w:sz w:val="21"/>
                <w:szCs w:val="21"/>
              </w:rPr>
              <w:t>)</w:t>
            </w:r>
            <w:r>
              <w:rPr>
                <w:rFonts w:hint="eastAsia"/>
                <w:color w:val="000000" w:themeColor="text1"/>
                <w:sz w:val="21"/>
                <w:szCs w:val="21"/>
              </w:rPr>
              <w:t>处置</w:t>
            </w:r>
          </w:p>
        </w:tc>
        <w:tc>
          <w:tcPr>
            <w:tcW w:w="642" w:type="pct"/>
            <w:shd w:val="clear" w:color="auto" w:fill="auto"/>
            <w:vAlign w:val="center"/>
          </w:tcPr>
          <w:p w14:paraId="24D2F86F"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4C919211"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079D648E"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3C274EEA"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4B0B2ABE"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06739CA9"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r>
      <w:tr w:rsidR="002D0AE7" w14:paraId="34C1B7EC" w14:textId="77777777">
        <w:trPr>
          <w:trHeight w:val="284"/>
          <w:jc w:val="center"/>
        </w:trPr>
        <w:tc>
          <w:tcPr>
            <w:tcW w:w="1004" w:type="pct"/>
            <w:shd w:val="clear" w:color="auto" w:fill="auto"/>
            <w:vAlign w:val="center"/>
          </w:tcPr>
          <w:p w14:paraId="69F99C05"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4.</w:t>
            </w:r>
            <w:r>
              <w:rPr>
                <w:color w:val="000000" w:themeColor="text1"/>
                <w:sz w:val="21"/>
                <w:szCs w:val="21"/>
              </w:rPr>
              <w:t>期末余额</w:t>
            </w:r>
          </w:p>
        </w:tc>
        <w:tc>
          <w:tcPr>
            <w:tcW w:w="642" w:type="pct"/>
            <w:shd w:val="clear" w:color="auto" w:fill="auto"/>
            <w:vAlign w:val="center"/>
          </w:tcPr>
          <w:p w14:paraId="27E36102"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24,020,000.00</w:t>
            </w:r>
          </w:p>
        </w:tc>
        <w:tc>
          <w:tcPr>
            <w:tcW w:w="642" w:type="pct"/>
            <w:shd w:val="clear" w:color="auto" w:fill="auto"/>
            <w:vAlign w:val="center"/>
          </w:tcPr>
          <w:p w14:paraId="590D407F"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7,148,368.97</w:t>
            </w:r>
          </w:p>
        </w:tc>
        <w:tc>
          <w:tcPr>
            <w:tcW w:w="690" w:type="pct"/>
            <w:shd w:val="clear" w:color="auto" w:fill="auto"/>
            <w:vAlign w:val="center"/>
          </w:tcPr>
          <w:p w14:paraId="6C703FDF"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78,533,374.15</w:t>
            </w:r>
          </w:p>
        </w:tc>
        <w:tc>
          <w:tcPr>
            <w:tcW w:w="690" w:type="pct"/>
            <w:shd w:val="clear" w:color="auto" w:fill="auto"/>
            <w:vAlign w:val="center"/>
          </w:tcPr>
          <w:p w14:paraId="294F31E5"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96,915,856.54</w:t>
            </w:r>
          </w:p>
        </w:tc>
        <w:tc>
          <w:tcPr>
            <w:tcW w:w="642" w:type="pct"/>
            <w:shd w:val="clear" w:color="auto" w:fill="auto"/>
            <w:vAlign w:val="center"/>
          </w:tcPr>
          <w:p w14:paraId="5E39D69C"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16,654,861.03</w:t>
            </w:r>
          </w:p>
        </w:tc>
        <w:tc>
          <w:tcPr>
            <w:tcW w:w="690" w:type="pct"/>
            <w:shd w:val="clear" w:color="auto" w:fill="auto"/>
            <w:vAlign w:val="center"/>
          </w:tcPr>
          <w:p w14:paraId="6BEB1641"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223,272,460.69</w:t>
            </w:r>
          </w:p>
        </w:tc>
      </w:tr>
      <w:tr w:rsidR="002D0AE7" w14:paraId="193EAE88" w14:textId="77777777">
        <w:trPr>
          <w:trHeight w:val="284"/>
          <w:jc w:val="center"/>
        </w:trPr>
        <w:sdt>
          <w:sdtPr>
            <w:rPr>
              <w:color w:val="000000" w:themeColor="text1"/>
              <w:sz w:val="21"/>
              <w:szCs w:val="21"/>
            </w:rPr>
            <w:tag w:val="_PLD_100d3bc56cc142c1b30c3998528f8af2"/>
            <w:id w:val="1260949680"/>
          </w:sdtPr>
          <w:sdtEndPr/>
          <w:sdtContent>
            <w:tc>
              <w:tcPr>
                <w:tcW w:w="5000" w:type="pct"/>
                <w:gridSpan w:val="7"/>
                <w:shd w:val="clear" w:color="auto" w:fill="auto"/>
                <w:vAlign w:val="center"/>
              </w:tcPr>
              <w:p w14:paraId="06B99967" w14:textId="77777777" w:rsidR="002D0AE7" w:rsidRDefault="00333EBB">
                <w:pPr>
                  <w:rPr>
                    <w:rFonts w:hint="eastAsia"/>
                    <w:color w:val="000000" w:themeColor="text1"/>
                    <w:sz w:val="21"/>
                    <w:szCs w:val="21"/>
                  </w:rPr>
                </w:pPr>
                <w:r>
                  <w:rPr>
                    <w:color w:val="000000" w:themeColor="text1"/>
                    <w:sz w:val="21"/>
                    <w:szCs w:val="21"/>
                  </w:rPr>
                  <w:t>三、减值准备</w:t>
                </w:r>
              </w:p>
            </w:tc>
          </w:sdtContent>
        </w:sdt>
      </w:tr>
      <w:tr w:rsidR="002D0AE7" w14:paraId="7DE66EB6" w14:textId="77777777">
        <w:trPr>
          <w:trHeight w:val="284"/>
          <w:jc w:val="center"/>
        </w:trPr>
        <w:tc>
          <w:tcPr>
            <w:tcW w:w="1004" w:type="pct"/>
            <w:shd w:val="clear" w:color="auto" w:fill="auto"/>
            <w:vAlign w:val="center"/>
          </w:tcPr>
          <w:p w14:paraId="14BA4E08"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1.</w:t>
            </w:r>
            <w:r>
              <w:rPr>
                <w:rFonts w:hint="eastAsia"/>
                <w:color w:val="000000" w:themeColor="text1"/>
                <w:sz w:val="21"/>
                <w:szCs w:val="21"/>
              </w:rPr>
              <w:t>期</w:t>
            </w:r>
            <w:r>
              <w:rPr>
                <w:color w:val="000000" w:themeColor="text1"/>
                <w:sz w:val="21"/>
                <w:szCs w:val="21"/>
              </w:rPr>
              <w:t>初余额</w:t>
            </w:r>
          </w:p>
        </w:tc>
        <w:tc>
          <w:tcPr>
            <w:tcW w:w="642" w:type="pct"/>
            <w:shd w:val="clear" w:color="auto" w:fill="auto"/>
            <w:vAlign w:val="center"/>
          </w:tcPr>
          <w:p w14:paraId="4A504C57"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058D91BB"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231C6A88"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142FB4B5"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05343A4E"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3FAD7ECE"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r>
      <w:tr w:rsidR="002D0AE7" w14:paraId="2660A819" w14:textId="77777777">
        <w:trPr>
          <w:trHeight w:val="284"/>
          <w:jc w:val="center"/>
        </w:trPr>
        <w:tc>
          <w:tcPr>
            <w:tcW w:w="1004" w:type="pct"/>
            <w:shd w:val="clear" w:color="auto" w:fill="auto"/>
            <w:vAlign w:val="center"/>
          </w:tcPr>
          <w:p w14:paraId="0C324012" w14:textId="77777777" w:rsidR="002D0AE7" w:rsidRDefault="00333EBB">
            <w:pPr>
              <w:ind w:firstLineChars="200" w:firstLine="420"/>
              <w:rPr>
                <w:rFonts w:hint="eastAsia"/>
                <w:color w:val="000000" w:themeColor="text1"/>
                <w:sz w:val="21"/>
                <w:szCs w:val="21"/>
              </w:rPr>
            </w:pPr>
            <w:r>
              <w:rPr>
                <w:color w:val="000000" w:themeColor="text1"/>
                <w:sz w:val="21"/>
                <w:szCs w:val="21"/>
              </w:rPr>
              <w:t>2.</w:t>
            </w:r>
            <w:r>
              <w:rPr>
                <w:color w:val="000000" w:themeColor="text1"/>
                <w:sz w:val="21"/>
                <w:szCs w:val="21"/>
              </w:rPr>
              <w:t>本期增加</w:t>
            </w:r>
            <w:r>
              <w:rPr>
                <w:rFonts w:hint="eastAsia"/>
                <w:color w:val="000000" w:themeColor="text1"/>
                <w:sz w:val="21"/>
                <w:szCs w:val="21"/>
              </w:rPr>
              <w:t>金额</w:t>
            </w:r>
          </w:p>
        </w:tc>
        <w:tc>
          <w:tcPr>
            <w:tcW w:w="642" w:type="pct"/>
            <w:shd w:val="clear" w:color="auto" w:fill="auto"/>
            <w:vAlign w:val="center"/>
          </w:tcPr>
          <w:p w14:paraId="7ED0A111"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24C001AA"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750C8D3A"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7D92EC4B"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087FEDC3"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2ED116B3"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r>
      <w:tr w:rsidR="002D0AE7" w14:paraId="530B9D48" w14:textId="77777777">
        <w:trPr>
          <w:trHeight w:val="284"/>
          <w:jc w:val="center"/>
        </w:trPr>
        <w:tc>
          <w:tcPr>
            <w:tcW w:w="1004" w:type="pct"/>
            <w:shd w:val="clear" w:color="auto" w:fill="auto"/>
            <w:vAlign w:val="center"/>
          </w:tcPr>
          <w:p w14:paraId="651D7D1A"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w:t>
            </w:r>
            <w:r>
              <w:rPr>
                <w:rFonts w:hint="eastAsia"/>
                <w:color w:val="000000" w:themeColor="text1"/>
                <w:sz w:val="21"/>
                <w:szCs w:val="21"/>
              </w:rPr>
              <w:t>1</w:t>
            </w:r>
            <w:r>
              <w:rPr>
                <w:rFonts w:hint="eastAsia"/>
                <w:color w:val="000000" w:themeColor="text1"/>
                <w:sz w:val="21"/>
                <w:szCs w:val="21"/>
              </w:rPr>
              <w:t>）</w:t>
            </w:r>
            <w:r>
              <w:rPr>
                <w:color w:val="000000" w:themeColor="text1"/>
                <w:sz w:val="21"/>
                <w:szCs w:val="21"/>
              </w:rPr>
              <w:t>计提</w:t>
            </w:r>
          </w:p>
        </w:tc>
        <w:tc>
          <w:tcPr>
            <w:tcW w:w="642" w:type="pct"/>
            <w:shd w:val="clear" w:color="auto" w:fill="auto"/>
            <w:vAlign w:val="center"/>
          </w:tcPr>
          <w:p w14:paraId="37554D3A"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5E806A6F"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7F7FFF49"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6C7180FD"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596E5249"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78579568"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r>
      <w:tr w:rsidR="002D0AE7" w14:paraId="18BE1A12" w14:textId="77777777">
        <w:trPr>
          <w:trHeight w:val="284"/>
          <w:jc w:val="center"/>
        </w:trPr>
        <w:tc>
          <w:tcPr>
            <w:tcW w:w="1004" w:type="pct"/>
            <w:shd w:val="clear" w:color="auto" w:fill="auto"/>
            <w:vAlign w:val="center"/>
          </w:tcPr>
          <w:p w14:paraId="7F9DBF93"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3.</w:t>
            </w:r>
            <w:r>
              <w:rPr>
                <w:color w:val="000000" w:themeColor="text1"/>
                <w:sz w:val="21"/>
                <w:szCs w:val="21"/>
              </w:rPr>
              <w:t>本期减少</w:t>
            </w:r>
            <w:r>
              <w:rPr>
                <w:rFonts w:hint="eastAsia"/>
                <w:color w:val="000000" w:themeColor="text1"/>
                <w:sz w:val="21"/>
                <w:szCs w:val="21"/>
              </w:rPr>
              <w:t>金额</w:t>
            </w:r>
          </w:p>
        </w:tc>
        <w:tc>
          <w:tcPr>
            <w:tcW w:w="642" w:type="pct"/>
            <w:shd w:val="clear" w:color="auto" w:fill="auto"/>
            <w:vAlign w:val="center"/>
          </w:tcPr>
          <w:p w14:paraId="61CB643C"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52D1391F"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3F89469C"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10669B2D"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4B5BD248"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1C9EF232"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r>
      <w:tr w:rsidR="002D0AE7" w14:paraId="4B9816B4" w14:textId="77777777">
        <w:trPr>
          <w:trHeight w:val="284"/>
          <w:jc w:val="center"/>
        </w:trPr>
        <w:tc>
          <w:tcPr>
            <w:tcW w:w="1004" w:type="pct"/>
            <w:shd w:val="clear" w:color="auto" w:fill="auto"/>
            <w:vAlign w:val="center"/>
          </w:tcPr>
          <w:p w14:paraId="4FFAD6F7" w14:textId="77777777" w:rsidR="002D0AE7" w:rsidRDefault="00333EBB">
            <w:pPr>
              <w:ind w:firstLineChars="300" w:firstLine="630"/>
              <w:rPr>
                <w:rFonts w:hint="eastAsia"/>
                <w:color w:val="000000" w:themeColor="text1"/>
                <w:sz w:val="21"/>
                <w:szCs w:val="21"/>
              </w:rPr>
            </w:pPr>
            <w:r>
              <w:rPr>
                <w:color w:val="000000" w:themeColor="text1"/>
                <w:sz w:val="21"/>
                <w:szCs w:val="21"/>
              </w:rPr>
              <w:t>(</w:t>
            </w:r>
            <w:r>
              <w:rPr>
                <w:rFonts w:hint="eastAsia"/>
                <w:color w:val="000000" w:themeColor="text1"/>
                <w:sz w:val="21"/>
                <w:szCs w:val="21"/>
              </w:rPr>
              <w:t>1</w:t>
            </w:r>
            <w:r>
              <w:rPr>
                <w:color w:val="000000" w:themeColor="text1"/>
                <w:sz w:val="21"/>
                <w:szCs w:val="21"/>
              </w:rPr>
              <w:t>)</w:t>
            </w:r>
            <w:r>
              <w:rPr>
                <w:rFonts w:hint="eastAsia"/>
                <w:color w:val="000000" w:themeColor="text1"/>
                <w:sz w:val="21"/>
                <w:szCs w:val="21"/>
              </w:rPr>
              <w:t>处置</w:t>
            </w:r>
          </w:p>
        </w:tc>
        <w:tc>
          <w:tcPr>
            <w:tcW w:w="642" w:type="pct"/>
            <w:shd w:val="clear" w:color="auto" w:fill="auto"/>
            <w:vAlign w:val="center"/>
          </w:tcPr>
          <w:p w14:paraId="6515A4EF"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0A65518C"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6BF630D6"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5EBC7ECC"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00593819"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79C9BE57"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r>
      <w:tr w:rsidR="002D0AE7" w14:paraId="34CF2889" w14:textId="77777777">
        <w:trPr>
          <w:trHeight w:val="284"/>
          <w:jc w:val="center"/>
        </w:trPr>
        <w:tc>
          <w:tcPr>
            <w:tcW w:w="1004" w:type="pct"/>
            <w:shd w:val="clear" w:color="auto" w:fill="auto"/>
            <w:vAlign w:val="center"/>
          </w:tcPr>
          <w:p w14:paraId="24ABCC70" w14:textId="77777777" w:rsidR="002D0AE7" w:rsidRDefault="00333EBB">
            <w:pPr>
              <w:ind w:firstLineChars="200" w:firstLine="420"/>
              <w:rPr>
                <w:rFonts w:hint="eastAsia"/>
                <w:color w:val="000000" w:themeColor="text1"/>
                <w:sz w:val="21"/>
                <w:szCs w:val="21"/>
              </w:rPr>
            </w:pPr>
            <w:r>
              <w:rPr>
                <w:rFonts w:hint="eastAsia"/>
                <w:color w:val="000000" w:themeColor="text1"/>
                <w:sz w:val="21"/>
                <w:szCs w:val="21"/>
              </w:rPr>
              <w:t>4.</w:t>
            </w:r>
            <w:r>
              <w:rPr>
                <w:color w:val="000000" w:themeColor="text1"/>
                <w:sz w:val="21"/>
                <w:szCs w:val="21"/>
              </w:rPr>
              <w:t>期末余额</w:t>
            </w:r>
          </w:p>
        </w:tc>
        <w:tc>
          <w:tcPr>
            <w:tcW w:w="642" w:type="pct"/>
            <w:shd w:val="clear" w:color="auto" w:fill="auto"/>
            <w:vAlign w:val="center"/>
          </w:tcPr>
          <w:p w14:paraId="6DCE9E61"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2A9EEA32"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2D8B5CDA"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5675E51F"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03E3AC82"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90" w:type="pct"/>
            <w:shd w:val="clear" w:color="auto" w:fill="auto"/>
            <w:vAlign w:val="center"/>
          </w:tcPr>
          <w:p w14:paraId="505DAD53"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r>
      <w:tr w:rsidR="002D0AE7" w14:paraId="2B292837" w14:textId="77777777">
        <w:trPr>
          <w:trHeight w:val="284"/>
          <w:jc w:val="center"/>
        </w:trPr>
        <w:sdt>
          <w:sdtPr>
            <w:rPr>
              <w:color w:val="000000" w:themeColor="text1"/>
              <w:sz w:val="21"/>
              <w:szCs w:val="21"/>
            </w:rPr>
            <w:tag w:val="_PLD_77aceef1b70d43c0846f7e8f529b7784"/>
            <w:id w:val="-924569720"/>
          </w:sdtPr>
          <w:sdtEndPr/>
          <w:sdtContent>
            <w:tc>
              <w:tcPr>
                <w:tcW w:w="5000" w:type="pct"/>
                <w:gridSpan w:val="7"/>
                <w:shd w:val="clear" w:color="auto" w:fill="auto"/>
                <w:vAlign w:val="center"/>
              </w:tcPr>
              <w:p w14:paraId="0A52F261" w14:textId="77777777" w:rsidR="002D0AE7" w:rsidRDefault="00333EBB">
                <w:pPr>
                  <w:rPr>
                    <w:rFonts w:hint="eastAsia"/>
                    <w:color w:val="000000" w:themeColor="text1"/>
                    <w:sz w:val="21"/>
                    <w:szCs w:val="21"/>
                  </w:rPr>
                </w:pPr>
                <w:r>
                  <w:rPr>
                    <w:color w:val="000000" w:themeColor="text1"/>
                    <w:sz w:val="21"/>
                    <w:szCs w:val="21"/>
                  </w:rPr>
                  <w:t>四、账面价值</w:t>
                </w:r>
              </w:p>
            </w:tc>
          </w:sdtContent>
        </w:sdt>
      </w:tr>
      <w:tr w:rsidR="002D0AE7" w14:paraId="517A5957" w14:textId="77777777">
        <w:trPr>
          <w:trHeight w:val="284"/>
          <w:jc w:val="center"/>
        </w:trPr>
        <w:tc>
          <w:tcPr>
            <w:tcW w:w="1004" w:type="pct"/>
            <w:shd w:val="clear" w:color="auto" w:fill="auto"/>
            <w:vAlign w:val="center"/>
          </w:tcPr>
          <w:p w14:paraId="64F88990" w14:textId="77777777" w:rsidR="002D0AE7" w:rsidRDefault="00333EBB">
            <w:pPr>
              <w:rPr>
                <w:rFonts w:hint="eastAsia"/>
                <w:color w:val="000000" w:themeColor="text1"/>
                <w:sz w:val="21"/>
                <w:szCs w:val="21"/>
              </w:rPr>
            </w:pPr>
            <w:r>
              <w:rPr>
                <w:color w:val="000000" w:themeColor="text1"/>
                <w:sz w:val="21"/>
                <w:szCs w:val="21"/>
              </w:rPr>
              <w:t>1.</w:t>
            </w:r>
            <w:r>
              <w:rPr>
                <w:color w:val="000000" w:themeColor="text1"/>
                <w:sz w:val="21"/>
                <w:szCs w:val="21"/>
              </w:rPr>
              <w:t>期末账面价值</w:t>
            </w:r>
          </w:p>
        </w:tc>
        <w:tc>
          <w:tcPr>
            <w:tcW w:w="642" w:type="pct"/>
            <w:shd w:val="clear" w:color="auto" w:fill="auto"/>
            <w:vAlign w:val="center"/>
          </w:tcPr>
          <w:p w14:paraId="2DC2535F"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1305393C"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21,407,977.79</w:t>
            </w:r>
          </w:p>
        </w:tc>
        <w:tc>
          <w:tcPr>
            <w:tcW w:w="690" w:type="pct"/>
            <w:shd w:val="clear" w:color="auto" w:fill="auto"/>
            <w:vAlign w:val="center"/>
          </w:tcPr>
          <w:p w14:paraId="4A715E7B"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231,650,168.24</w:t>
            </w:r>
          </w:p>
        </w:tc>
        <w:tc>
          <w:tcPr>
            <w:tcW w:w="690" w:type="pct"/>
            <w:shd w:val="clear" w:color="auto" w:fill="auto"/>
            <w:vAlign w:val="center"/>
          </w:tcPr>
          <w:p w14:paraId="7A426A8C"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9,322,967.71</w:t>
            </w:r>
          </w:p>
        </w:tc>
        <w:tc>
          <w:tcPr>
            <w:tcW w:w="642" w:type="pct"/>
            <w:shd w:val="clear" w:color="auto" w:fill="auto"/>
            <w:vAlign w:val="center"/>
          </w:tcPr>
          <w:p w14:paraId="60FE8334"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49,612,419.35</w:t>
            </w:r>
          </w:p>
        </w:tc>
        <w:tc>
          <w:tcPr>
            <w:tcW w:w="690" w:type="pct"/>
            <w:shd w:val="clear" w:color="auto" w:fill="auto"/>
            <w:vAlign w:val="center"/>
          </w:tcPr>
          <w:p w14:paraId="1EFC55F5"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311,993,533.09</w:t>
            </w:r>
          </w:p>
        </w:tc>
      </w:tr>
      <w:tr w:rsidR="002D0AE7" w14:paraId="1227E446" w14:textId="77777777">
        <w:trPr>
          <w:trHeight w:val="284"/>
          <w:jc w:val="center"/>
        </w:trPr>
        <w:tc>
          <w:tcPr>
            <w:tcW w:w="1004" w:type="pct"/>
            <w:shd w:val="clear" w:color="auto" w:fill="auto"/>
            <w:vAlign w:val="center"/>
          </w:tcPr>
          <w:p w14:paraId="5DC2476E" w14:textId="77777777" w:rsidR="002D0AE7" w:rsidRDefault="00333EBB">
            <w:pPr>
              <w:rPr>
                <w:rFonts w:hint="eastAsia"/>
                <w:color w:val="000000" w:themeColor="text1"/>
                <w:sz w:val="21"/>
                <w:szCs w:val="21"/>
              </w:rPr>
            </w:pPr>
            <w:r>
              <w:rPr>
                <w:color w:val="000000" w:themeColor="text1"/>
                <w:sz w:val="21"/>
                <w:szCs w:val="21"/>
              </w:rPr>
              <w:t>2.</w:t>
            </w:r>
            <w:r>
              <w:rPr>
                <w:rFonts w:hint="eastAsia"/>
                <w:color w:val="000000" w:themeColor="text1"/>
                <w:sz w:val="21"/>
                <w:szCs w:val="21"/>
              </w:rPr>
              <w:t>期初</w:t>
            </w:r>
            <w:r>
              <w:rPr>
                <w:color w:val="000000" w:themeColor="text1"/>
                <w:sz w:val="21"/>
                <w:szCs w:val="21"/>
              </w:rPr>
              <w:t>账面价值</w:t>
            </w:r>
          </w:p>
        </w:tc>
        <w:tc>
          <w:tcPr>
            <w:tcW w:w="642" w:type="pct"/>
            <w:shd w:val="clear" w:color="auto" w:fill="auto"/>
            <w:vAlign w:val="center"/>
          </w:tcPr>
          <w:p w14:paraId="013B253A"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0.00</w:t>
            </w:r>
          </w:p>
        </w:tc>
        <w:tc>
          <w:tcPr>
            <w:tcW w:w="642" w:type="pct"/>
            <w:shd w:val="clear" w:color="auto" w:fill="auto"/>
            <w:vAlign w:val="center"/>
          </w:tcPr>
          <w:p w14:paraId="550FC283"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19,195,648.30</w:t>
            </w:r>
          </w:p>
        </w:tc>
        <w:tc>
          <w:tcPr>
            <w:tcW w:w="690" w:type="pct"/>
            <w:shd w:val="clear" w:color="auto" w:fill="auto"/>
            <w:vAlign w:val="center"/>
          </w:tcPr>
          <w:p w14:paraId="58A60E61"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222,030,801.70</w:t>
            </w:r>
          </w:p>
        </w:tc>
        <w:tc>
          <w:tcPr>
            <w:tcW w:w="690" w:type="pct"/>
            <w:shd w:val="clear" w:color="auto" w:fill="auto"/>
            <w:vAlign w:val="center"/>
          </w:tcPr>
          <w:p w14:paraId="75828F07"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12,053,252.29</w:t>
            </w:r>
          </w:p>
        </w:tc>
        <w:tc>
          <w:tcPr>
            <w:tcW w:w="642" w:type="pct"/>
            <w:shd w:val="clear" w:color="auto" w:fill="auto"/>
            <w:vAlign w:val="center"/>
          </w:tcPr>
          <w:p w14:paraId="2CB6000C"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50,377,863.95</w:t>
            </w:r>
          </w:p>
        </w:tc>
        <w:tc>
          <w:tcPr>
            <w:tcW w:w="690" w:type="pct"/>
            <w:shd w:val="clear" w:color="auto" w:fill="auto"/>
            <w:vAlign w:val="center"/>
          </w:tcPr>
          <w:p w14:paraId="5D2C939D" w14:textId="77777777" w:rsidR="002D0AE7" w:rsidRDefault="00333EBB">
            <w:pPr>
              <w:jc w:val="right"/>
              <w:rPr>
                <w:rFonts w:ascii="Times New Roman" w:hAnsi="Times New Roman" w:cs="Times New Roman"/>
                <w:sz w:val="21"/>
                <w:szCs w:val="21"/>
              </w:rPr>
            </w:pPr>
            <w:r>
              <w:rPr>
                <w:rFonts w:ascii="Times New Roman" w:eastAsia="等线" w:hAnsi="Times New Roman" w:cs="Times New Roman"/>
                <w:color w:val="000000"/>
                <w:sz w:val="21"/>
                <w:szCs w:val="21"/>
              </w:rPr>
              <w:t>303,657,566.24</w:t>
            </w:r>
          </w:p>
        </w:tc>
      </w:tr>
    </w:tbl>
    <w:p w14:paraId="1F6D1D09" w14:textId="77777777" w:rsidR="002D0AE7" w:rsidRDefault="00333EBB">
      <w:pPr>
        <w:snapToGrid w:val="0"/>
        <w:spacing w:line="240" w:lineRule="atLeast"/>
        <w:rPr>
          <w:rFonts w:hint="eastAsia"/>
          <w:color w:val="000000" w:themeColor="text1"/>
          <w:sz w:val="21"/>
        </w:rPr>
      </w:pPr>
      <w:r>
        <w:rPr>
          <w:rFonts w:hint="eastAsia"/>
          <w:color w:val="000000" w:themeColor="text1"/>
          <w:sz w:val="21"/>
        </w:rPr>
        <w:t>本期末通过公司内部研发形成的无形资产占无形资产余额的比例</w:t>
      </w:r>
      <w:sdt>
        <w:sdtPr>
          <w:rPr>
            <w:color w:val="000000" w:themeColor="text1"/>
            <w:sz w:val="21"/>
          </w:rPr>
          <w:alias w:val="通过公司内部研发形成的无形资产占无形资产账面价值的比例"/>
          <w:tag w:val="_GBC_4eb0f3140a674bd1899e2bd836d51bbb"/>
          <w:id w:val="824248160"/>
          <w:placeholder>
            <w:docPart w:val="GBC22222222222222222222222222222"/>
          </w:placeholder>
        </w:sdtPr>
        <w:sdtEndPr/>
        <w:sdtContent>
          <w:r>
            <w:rPr>
              <w:color w:val="000000" w:themeColor="text1"/>
              <w:sz w:val="21"/>
            </w:rPr>
            <w:t>23.19</w:t>
          </w:r>
        </w:sdtContent>
      </w:sdt>
      <w:r>
        <w:rPr>
          <w:rFonts w:hint="eastAsia"/>
          <w:color w:val="000000" w:themeColor="text1"/>
          <w:sz w:val="21"/>
        </w:rPr>
        <w:t>%</w:t>
      </w:r>
      <w:r>
        <w:rPr>
          <w:rFonts w:hint="eastAsia"/>
          <w:color w:val="000000" w:themeColor="text1"/>
          <w:sz w:val="21"/>
        </w:rPr>
        <w:t>。</w:t>
      </w:r>
    </w:p>
    <w:p w14:paraId="37FFA050" w14:textId="77777777" w:rsidR="002D0AE7" w:rsidRDefault="00333EBB">
      <w:pPr>
        <w:rPr>
          <w:rFonts w:hint="eastAsia"/>
          <w:color w:val="000000" w:themeColor="text1"/>
          <w:sz w:val="21"/>
        </w:rPr>
      </w:pPr>
      <w:r>
        <w:rPr>
          <w:rFonts w:hint="eastAsia"/>
          <w:color w:val="000000" w:themeColor="text1"/>
          <w:sz w:val="21"/>
        </w:rPr>
        <w:t>其他说明：</w:t>
      </w:r>
    </w:p>
    <w:sdt>
      <w:sdtPr>
        <w:rPr>
          <w:color w:val="000000" w:themeColor="text1"/>
          <w:sz w:val="21"/>
        </w:rPr>
        <w:alias w:val="是否适用：无形资产的说明[双击切换]"/>
        <w:tag w:val="_GBC_dc3c687f3c2c457e9024304c14129458"/>
        <w:id w:val="-28638312"/>
        <w:placeholder>
          <w:docPart w:val="GBC22222222222222222222222222222"/>
        </w:placeholder>
      </w:sdtPr>
      <w:sdtEndPr/>
      <w:sdtContent>
        <w:p w14:paraId="64B5DFD2" w14:textId="77777777" w:rsidR="002D0AE7" w:rsidRDefault="00333EBB">
          <w:pPr>
            <w:rPr>
              <w:rFonts w:hint="eastAsia"/>
              <w:color w:val="000000" w:themeColor="text1"/>
              <w:sz w:val="21"/>
            </w:rPr>
          </w:pPr>
          <w:r>
            <w:rPr>
              <w:color w:val="000000" w:themeColor="text1"/>
              <w:sz w:val="21"/>
            </w:rPr>
            <w:fldChar w:fldCharType="begin"/>
          </w:r>
          <w:r>
            <w:rPr>
              <w:color w:val="000000" w:themeColor="text1"/>
              <w:sz w:val="21"/>
            </w:rPr>
            <w:instrText xml:space="preserve"> MACROBUTTON  SnrToggleCheckbox √</w:instrText>
          </w:r>
          <w:r>
            <w:rPr>
              <w:color w:val="000000" w:themeColor="text1"/>
              <w:sz w:val="21"/>
            </w:rPr>
            <w:instrText>适用</w:instrText>
          </w:r>
          <w:r>
            <w:rPr>
              <w:color w:val="000000" w:themeColor="text1"/>
              <w:sz w:val="21"/>
            </w:rPr>
            <w:instrText xml:space="preserve"> </w:instrText>
          </w:r>
          <w:r>
            <w:rPr>
              <w:color w:val="000000" w:themeColor="text1"/>
              <w:sz w:val="21"/>
            </w:rPr>
            <w:fldChar w:fldCharType="end"/>
          </w:r>
          <w:r>
            <w:rPr>
              <w:color w:val="000000" w:themeColor="text1"/>
              <w:sz w:val="21"/>
            </w:rPr>
            <w:fldChar w:fldCharType="begin"/>
          </w:r>
          <w:r>
            <w:rPr>
              <w:color w:val="000000" w:themeColor="text1"/>
              <w:sz w:val="21"/>
            </w:rPr>
            <w:instrText xml:space="preserve"> MACROBUTTON  SnrToggleCheckbox □</w:instrText>
          </w:r>
          <w:r>
            <w:rPr>
              <w:color w:val="000000" w:themeColor="text1"/>
              <w:sz w:val="21"/>
            </w:rPr>
            <w:instrText>不适用</w:instrText>
          </w:r>
          <w:r>
            <w:rPr>
              <w:color w:val="000000" w:themeColor="text1"/>
              <w:sz w:val="21"/>
            </w:rPr>
            <w:instrText xml:space="preserve"> </w:instrText>
          </w:r>
          <w:r>
            <w:rPr>
              <w:color w:val="000000" w:themeColor="text1"/>
              <w:sz w:val="21"/>
            </w:rPr>
            <w:fldChar w:fldCharType="end"/>
          </w:r>
        </w:p>
      </w:sdtContent>
    </w:sdt>
    <w:sdt>
      <w:sdtPr>
        <w:rPr>
          <w:color w:val="000000" w:themeColor="text1"/>
          <w:sz w:val="21"/>
        </w:rPr>
        <w:alias w:val="无形资产的说明"/>
        <w:tag w:val="_GBC_1f281f7116944d4bacd2204d25895376"/>
        <w:id w:val="412275766"/>
        <w:placeholder>
          <w:docPart w:val="GBC22222222222222222222222222222"/>
        </w:placeholder>
      </w:sdtPr>
      <w:sdtEndPr/>
      <w:sdtContent>
        <w:p w14:paraId="3058756C" w14:textId="77777777" w:rsidR="002D0AE7" w:rsidRDefault="00333EBB">
          <w:pPr>
            <w:rPr>
              <w:rFonts w:hint="eastAsia"/>
              <w:sz w:val="21"/>
              <w:szCs w:val="21"/>
            </w:rPr>
          </w:pPr>
          <w:r>
            <w:rPr>
              <w:sz w:val="21"/>
              <w:szCs w:val="21"/>
            </w:rPr>
            <w:t>A.</w:t>
          </w:r>
          <w:r>
            <w:rPr>
              <w:sz w:val="21"/>
              <w:szCs w:val="21"/>
            </w:rPr>
            <w:tab/>
          </w:r>
          <w:r>
            <w:rPr>
              <w:sz w:val="21"/>
              <w:szCs w:val="21"/>
            </w:rPr>
            <w:t>截止</w:t>
          </w:r>
          <w:r>
            <w:rPr>
              <w:sz w:val="21"/>
              <w:szCs w:val="21"/>
            </w:rPr>
            <w:t>2024</w:t>
          </w:r>
          <w:r>
            <w:rPr>
              <w:sz w:val="21"/>
              <w:szCs w:val="21"/>
            </w:rPr>
            <w:t>年</w:t>
          </w:r>
          <w:r>
            <w:rPr>
              <w:sz w:val="21"/>
              <w:szCs w:val="21"/>
            </w:rPr>
            <w:t>6</w:t>
          </w:r>
          <w:r>
            <w:rPr>
              <w:sz w:val="21"/>
              <w:szCs w:val="21"/>
            </w:rPr>
            <w:t>月</w:t>
          </w:r>
          <w:r>
            <w:rPr>
              <w:sz w:val="21"/>
              <w:szCs w:val="21"/>
            </w:rPr>
            <w:t>30</w:t>
          </w:r>
          <w:r>
            <w:rPr>
              <w:sz w:val="21"/>
              <w:szCs w:val="21"/>
            </w:rPr>
            <w:t>日，无形资产不存在可收回金额低于账面价值的情况，故未计提减值准备。</w:t>
          </w:r>
        </w:p>
        <w:p w14:paraId="4C9D8CEC" w14:textId="77777777" w:rsidR="002D0AE7" w:rsidRDefault="00333EBB">
          <w:pPr>
            <w:rPr>
              <w:rFonts w:hint="eastAsia"/>
              <w:sz w:val="21"/>
              <w:szCs w:val="21"/>
            </w:rPr>
          </w:pPr>
          <w:r>
            <w:rPr>
              <w:sz w:val="21"/>
              <w:szCs w:val="21"/>
            </w:rPr>
            <w:t>B.</w:t>
          </w:r>
          <w:r>
            <w:rPr>
              <w:sz w:val="21"/>
              <w:szCs w:val="21"/>
            </w:rPr>
            <w:tab/>
          </w:r>
          <w:r>
            <w:rPr>
              <w:sz w:val="21"/>
              <w:szCs w:val="21"/>
            </w:rPr>
            <w:t>本公司土地使用权均已办妥产权证书。</w:t>
          </w:r>
        </w:p>
        <w:p w14:paraId="533407A9" w14:textId="77777777" w:rsidR="002D0AE7" w:rsidRDefault="00333EBB">
          <w:pPr>
            <w:rPr>
              <w:rFonts w:hint="eastAsia"/>
              <w:color w:val="000000" w:themeColor="text1"/>
              <w:sz w:val="21"/>
            </w:rPr>
          </w:pPr>
          <w:r>
            <w:rPr>
              <w:color w:val="000000" w:themeColor="text1"/>
              <w:sz w:val="21"/>
            </w:rPr>
            <w:t>C.</w:t>
          </w:r>
          <w:r>
            <w:rPr>
              <w:rFonts w:hint="eastAsia"/>
              <w:color w:val="000000" w:themeColor="text1"/>
              <w:sz w:val="21"/>
            </w:rPr>
            <w:t>本报告期末无形资产抵押情况：本报告期内存在抵押土地使用权，截止</w:t>
          </w:r>
          <w:r>
            <w:rPr>
              <w:color w:val="000000" w:themeColor="text1"/>
              <w:sz w:val="21"/>
            </w:rPr>
            <w:t>2024</w:t>
          </w:r>
          <w:r>
            <w:rPr>
              <w:color w:val="000000" w:themeColor="text1"/>
              <w:sz w:val="21"/>
            </w:rPr>
            <w:t>年</w:t>
          </w:r>
          <w:r>
            <w:rPr>
              <w:color w:val="000000" w:themeColor="text1"/>
              <w:sz w:val="21"/>
            </w:rPr>
            <w:t>6</w:t>
          </w:r>
          <w:r>
            <w:rPr>
              <w:color w:val="000000" w:themeColor="text1"/>
              <w:sz w:val="21"/>
            </w:rPr>
            <w:t>月</w:t>
          </w:r>
          <w:r>
            <w:rPr>
              <w:color w:val="000000" w:themeColor="text1"/>
              <w:sz w:val="21"/>
            </w:rPr>
            <w:t>30</w:t>
          </w:r>
          <w:r>
            <w:rPr>
              <w:color w:val="000000" w:themeColor="text1"/>
              <w:sz w:val="21"/>
            </w:rPr>
            <w:t>日资产原值为</w:t>
          </w:r>
          <w:r>
            <w:rPr>
              <w:color w:val="000000" w:themeColor="text1"/>
              <w:sz w:val="21"/>
            </w:rPr>
            <w:t>3,713,022.06</w:t>
          </w:r>
          <w:r>
            <w:rPr>
              <w:color w:val="000000" w:themeColor="text1"/>
              <w:sz w:val="21"/>
            </w:rPr>
            <w:t>元，账面价值为</w:t>
          </w:r>
          <w:r>
            <w:rPr>
              <w:color w:val="000000" w:themeColor="text1"/>
              <w:sz w:val="21"/>
            </w:rPr>
            <w:t>2,593,446.39</w:t>
          </w:r>
          <w:r>
            <w:rPr>
              <w:color w:val="000000" w:themeColor="text1"/>
              <w:sz w:val="21"/>
            </w:rPr>
            <w:t>元。</w:t>
          </w:r>
        </w:p>
      </w:sdtContent>
    </w:sdt>
    <w:p w14:paraId="0E16B4A4"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szCs w:val="21"/>
        </w:rPr>
        <w:t>商誉</w:t>
      </w:r>
    </w:p>
    <w:p w14:paraId="181CADAE" w14:textId="77777777" w:rsidR="002D0AE7" w:rsidRDefault="00333EBB">
      <w:pPr>
        <w:pStyle w:val="4"/>
        <w:numPr>
          <w:ilvl w:val="0"/>
          <w:numId w:val="55"/>
        </w:numPr>
        <w:tabs>
          <w:tab w:val="left" w:pos="588"/>
        </w:tabs>
        <w:rPr>
          <w:rFonts w:ascii="宋体" w:hAnsi="宋体" w:hint="eastAsia"/>
          <w:color w:val="000000" w:themeColor="text1"/>
        </w:rPr>
      </w:pPr>
      <w:r>
        <w:rPr>
          <w:rFonts w:ascii="宋体" w:hAnsi="宋体" w:hint="eastAsia"/>
          <w:color w:val="000000" w:themeColor="text1"/>
        </w:rPr>
        <w:t>商誉账面原值</w:t>
      </w:r>
    </w:p>
    <w:sdt>
      <w:sdtPr>
        <w:rPr>
          <w:color w:val="000000" w:themeColor="text1"/>
        </w:rPr>
        <w:alias w:val="是否适用：商誉账面原值[双击切换]"/>
        <w:tag w:val="_GBC_e2a869d440cf4b7f9f592f3e22cea85d"/>
        <w:id w:val="-1884858583"/>
        <w:placeholder>
          <w:docPart w:val="GBC22222222222222222222222222222"/>
        </w:placeholder>
      </w:sdtPr>
      <w:sdtEndPr/>
      <w:sdtContent>
        <w:p w14:paraId="1F3FA53C"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67B2AB0A"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商誉"/>
          <w:tag w:val="_GBC_4797b6084eb24fe79f24d181640f3283"/>
          <w:id w:val="6873305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商誉"/>
          <w:tag w:val="_GBC_7cd9149d9bea4da8974b80b14b1c0e44"/>
          <w:id w:val="-23369551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843"/>
        <w:gridCol w:w="1419"/>
        <w:gridCol w:w="706"/>
        <w:gridCol w:w="731"/>
        <w:gridCol w:w="688"/>
        <w:gridCol w:w="1604"/>
      </w:tblGrid>
      <w:tr w:rsidR="002D0AE7" w14:paraId="3540DCEA" w14:textId="77777777">
        <w:trPr>
          <w:trHeight w:val="284"/>
          <w:jc w:val="center"/>
        </w:trPr>
        <w:sdt>
          <w:sdtPr>
            <w:rPr>
              <w:color w:val="000000" w:themeColor="text1"/>
              <w:sz w:val="21"/>
            </w:rPr>
            <w:tag w:val="_PLD_b248be5460bf4bb299c4579815256238"/>
            <w:id w:val="772980215"/>
          </w:sdtPr>
          <w:sdtEndPr/>
          <w:sdtContent>
            <w:tc>
              <w:tcPr>
                <w:tcW w:w="1635" w:type="pct"/>
                <w:vMerge w:val="restart"/>
                <w:shd w:val="clear" w:color="auto" w:fill="auto"/>
                <w:vAlign w:val="center"/>
              </w:tcPr>
              <w:p w14:paraId="4C5879F8" w14:textId="77777777" w:rsidR="002D0AE7" w:rsidRDefault="00333EBB">
                <w:pPr>
                  <w:autoSpaceDE w:val="0"/>
                  <w:autoSpaceDN w:val="0"/>
                  <w:adjustRightInd w:val="0"/>
                  <w:snapToGrid w:val="0"/>
                  <w:jc w:val="center"/>
                  <w:rPr>
                    <w:rFonts w:hint="eastAsia"/>
                    <w:color w:val="000000" w:themeColor="text1"/>
                    <w:sz w:val="21"/>
                  </w:rPr>
                </w:pPr>
                <w:r>
                  <w:rPr>
                    <w:rFonts w:hint="eastAsia"/>
                    <w:color w:val="000000" w:themeColor="text1"/>
                    <w:sz w:val="21"/>
                  </w:rPr>
                  <w:t>被投资单位名称或形成商誉的事项</w:t>
                </w:r>
              </w:p>
            </w:tc>
          </w:sdtContent>
        </w:sdt>
        <w:sdt>
          <w:sdtPr>
            <w:rPr>
              <w:color w:val="000000" w:themeColor="text1"/>
              <w:sz w:val="21"/>
            </w:rPr>
            <w:tag w:val="_PLD_a25f69a57b624da887f74ab27a20ba0b"/>
            <w:id w:val="306593993"/>
          </w:sdtPr>
          <w:sdtEndPr/>
          <w:sdtContent>
            <w:tc>
              <w:tcPr>
                <w:tcW w:w="887" w:type="pct"/>
                <w:vMerge w:val="restart"/>
                <w:shd w:val="clear" w:color="auto" w:fill="auto"/>
                <w:vAlign w:val="center"/>
              </w:tcPr>
              <w:p w14:paraId="794C090A" w14:textId="77777777" w:rsidR="002D0AE7" w:rsidRDefault="00333EBB">
                <w:pPr>
                  <w:autoSpaceDE w:val="0"/>
                  <w:autoSpaceDN w:val="0"/>
                  <w:adjustRightInd w:val="0"/>
                  <w:snapToGrid w:val="0"/>
                  <w:jc w:val="center"/>
                  <w:rPr>
                    <w:rFonts w:hint="eastAsia"/>
                    <w:color w:val="000000" w:themeColor="text1"/>
                    <w:sz w:val="21"/>
                  </w:rPr>
                </w:pPr>
                <w:r>
                  <w:rPr>
                    <w:rFonts w:hint="eastAsia"/>
                    <w:color w:val="000000" w:themeColor="text1"/>
                    <w:sz w:val="21"/>
                  </w:rPr>
                  <w:t>期初余额</w:t>
                </w:r>
              </w:p>
            </w:tc>
          </w:sdtContent>
        </w:sdt>
        <w:sdt>
          <w:sdtPr>
            <w:rPr>
              <w:color w:val="000000" w:themeColor="text1"/>
              <w:sz w:val="21"/>
            </w:rPr>
            <w:tag w:val="_PLD_c348d952dc8b438289897d2014b7d310"/>
            <w:id w:val="-1235700959"/>
          </w:sdtPr>
          <w:sdtEndPr/>
          <w:sdtContent>
            <w:tc>
              <w:tcPr>
                <w:tcW w:w="1023" w:type="pct"/>
                <w:gridSpan w:val="2"/>
                <w:shd w:val="clear" w:color="auto" w:fill="auto"/>
                <w:vAlign w:val="center"/>
              </w:tcPr>
              <w:p w14:paraId="7503BEB0" w14:textId="77777777" w:rsidR="002D0AE7" w:rsidRDefault="00333EBB">
                <w:pPr>
                  <w:autoSpaceDE w:val="0"/>
                  <w:autoSpaceDN w:val="0"/>
                  <w:adjustRightInd w:val="0"/>
                  <w:snapToGrid w:val="0"/>
                  <w:jc w:val="center"/>
                  <w:rPr>
                    <w:rFonts w:hint="eastAsia"/>
                    <w:color w:val="000000" w:themeColor="text1"/>
                    <w:sz w:val="21"/>
                  </w:rPr>
                </w:pPr>
                <w:r>
                  <w:rPr>
                    <w:rFonts w:hint="eastAsia"/>
                    <w:color w:val="000000" w:themeColor="text1"/>
                    <w:sz w:val="21"/>
                  </w:rPr>
                  <w:t>本期增加</w:t>
                </w:r>
              </w:p>
            </w:tc>
          </w:sdtContent>
        </w:sdt>
        <w:sdt>
          <w:sdtPr>
            <w:rPr>
              <w:color w:val="000000" w:themeColor="text1"/>
              <w:sz w:val="21"/>
            </w:rPr>
            <w:tag w:val="_PLD_5560c6ea7650430a8c304ee861d4bc25"/>
            <w:id w:val="1445351968"/>
          </w:sdtPr>
          <w:sdtEndPr/>
          <w:sdtContent>
            <w:tc>
              <w:tcPr>
                <w:tcW w:w="683" w:type="pct"/>
                <w:gridSpan w:val="2"/>
                <w:shd w:val="clear" w:color="auto" w:fill="auto"/>
                <w:vAlign w:val="center"/>
              </w:tcPr>
              <w:p w14:paraId="2BB76218" w14:textId="77777777" w:rsidR="002D0AE7" w:rsidRDefault="00333EBB">
                <w:pPr>
                  <w:autoSpaceDE w:val="0"/>
                  <w:autoSpaceDN w:val="0"/>
                  <w:adjustRightInd w:val="0"/>
                  <w:snapToGrid w:val="0"/>
                  <w:jc w:val="center"/>
                  <w:rPr>
                    <w:rFonts w:hint="eastAsia"/>
                    <w:color w:val="000000" w:themeColor="text1"/>
                    <w:sz w:val="21"/>
                  </w:rPr>
                </w:pPr>
                <w:r>
                  <w:rPr>
                    <w:rFonts w:hint="eastAsia"/>
                    <w:color w:val="000000" w:themeColor="text1"/>
                    <w:sz w:val="21"/>
                  </w:rPr>
                  <w:t>本期减少</w:t>
                </w:r>
              </w:p>
            </w:tc>
          </w:sdtContent>
        </w:sdt>
        <w:sdt>
          <w:sdtPr>
            <w:rPr>
              <w:color w:val="000000" w:themeColor="text1"/>
            </w:rPr>
            <w:tag w:val="_PLD_075635973edd4d94a997d2ed78e56d8b"/>
            <w:id w:val="-227617703"/>
          </w:sdtPr>
          <w:sdtEndPr/>
          <w:sdtContent>
            <w:tc>
              <w:tcPr>
                <w:tcW w:w="772" w:type="pct"/>
                <w:vMerge w:val="restart"/>
                <w:shd w:val="clear" w:color="auto" w:fill="auto"/>
                <w:vAlign w:val="center"/>
              </w:tcPr>
              <w:p w14:paraId="353B0BCF" w14:textId="77777777" w:rsidR="002D0AE7" w:rsidRDefault="00333EBB">
                <w:pPr>
                  <w:autoSpaceDE w:val="0"/>
                  <w:autoSpaceDN w:val="0"/>
                  <w:adjustRightInd w:val="0"/>
                  <w:snapToGrid w:val="0"/>
                  <w:jc w:val="center"/>
                  <w:rPr>
                    <w:rFonts w:hint="eastAsia"/>
                    <w:color w:val="000000" w:themeColor="text1"/>
                  </w:rPr>
                </w:pPr>
                <w:r>
                  <w:rPr>
                    <w:rFonts w:hint="eastAsia"/>
                    <w:color w:val="000000" w:themeColor="text1"/>
                    <w:sz w:val="21"/>
                  </w:rPr>
                  <w:t>期末余额</w:t>
                </w:r>
              </w:p>
            </w:tc>
          </w:sdtContent>
        </w:sdt>
      </w:tr>
      <w:tr w:rsidR="002D0AE7" w14:paraId="27D8391E" w14:textId="77777777">
        <w:trPr>
          <w:trHeight w:val="535"/>
          <w:jc w:val="center"/>
        </w:trPr>
        <w:tc>
          <w:tcPr>
            <w:tcW w:w="1635" w:type="pct"/>
            <w:vMerge/>
            <w:shd w:val="clear" w:color="auto" w:fill="auto"/>
          </w:tcPr>
          <w:p w14:paraId="1467D93F" w14:textId="77777777" w:rsidR="002D0AE7" w:rsidRDefault="002D0AE7">
            <w:pPr>
              <w:autoSpaceDE w:val="0"/>
              <w:autoSpaceDN w:val="0"/>
              <w:adjustRightInd w:val="0"/>
              <w:snapToGrid w:val="0"/>
              <w:jc w:val="center"/>
              <w:rPr>
                <w:rFonts w:hint="eastAsia"/>
                <w:color w:val="000000" w:themeColor="text1"/>
                <w:sz w:val="21"/>
              </w:rPr>
            </w:pPr>
          </w:p>
        </w:tc>
        <w:tc>
          <w:tcPr>
            <w:tcW w:w="887" w:type="pct"/>
            <w:vMerge/>
            <w:shd w:val="clear" w:color="auto" w:fill="auto"/>
          </w:tcPr>
          <w:p w14:paraId="6F06105D" w14:textId="77777777" w:rsidR="002D0AE7" w:rsidRDefault="002D0AE7">
            <w:pPr>
              <w:autoSpaceDE w:val="0"/>
              <w:autoSpaceDN w:val="0"/>
              <w:adjustRightInd w:val="0"/>
              <w:snapToGrid w:val="0"/>
              <w:jc w:val="center"/>
              <w:rPr>
                <w:rFonts w:hint="eastAsia"/>
                <w:color w:val="000000" w:themeColor="text1"/>
                <w:sz w:val="21"/>
              </w:rPr>
            </w:pPr>
          </w:p>
        </w:tc>
        <w:tc>
          <w:tcPr>
            <w:tcW w:w="683" w:type="pct"/>
            <w:shd w:val="clear" w:color="auto" w:fill="auto"/>
            <w:vAlign w:val="center"/>
          </w:tcPr>
          <w:p w14:paraId="56AEAEC1" w14:textId="77777777" w:rsidR="002D0AE7" w:rsidRDefault="00333EBB">
            <w:pPr>
              <w:autoSpaceDE w:val="0"/>
              <w:autoSpaceDN w:val="0"/>
              <w:adjustRightInd w:val="0"/>
              <w:snapToGrid w:val="0"/>
              <w:jc w:val="center"/>
              <w:rPr>
                <w:rFonts w:hint="eastAsia"/>
                <w:color w:val="000000" w:themeColor="text1"/>
                <w:sz w:val="21"/>
              </w:rPr>
            </w:pPr>
            <w:r>
              <w:rPr>
                <w:rFonts w:hint="eastAsia"/>
                <w:color w:val="000000" w:themeColor="text1"/>
                <w:sz w:val="21"/>
              </w:rPr>
              <w:t>企业合并形成的</w:t>
            </w:r>
          </w:p>
        </w:tc>
        <w:tc>
          <w:tcPr>
            <w:tcW w:w="340" w:type="pct"/>
            <w:shd w:val="clear" w:color="auto" w:fill="auto"/>
            <w:vAlign w:val="center"/>
          </w:tcPr>
          <w:p w14:paraId="0672FC68" w14:textId="77777777" w:rsidR="002D0AE7" w:rsidRDefault="00333EBB">
            <w:pPr>
              <w:autoSpaceDE w:val="0"/>
              <w:autoSpaceDN w:val="0"/>
              <w:adjustRightInd w:val="0"/>
              <w:snapToGrid w:val="0"/>
              <w:jc w:val="center"/>
              <w:rPr>
                <w:rFonts w:hint="eastAsia"/>
                <w:color w:val="000000" w:themeColor="text1"/>
                <w:sz w:val="21"/>
              </w:rPr>
            </w:pPr>
            <w:r>
              <w:rPr>
                <w:rFonts w:hint="eastAsia"/>
                <w:color w:val="000000" w:themeColor="text1"/>
                <w:sz w:val="21"/>
              </w:rPr>
              <w:t xml:space="preserve">　</w:t>
            </w:r>
          </w:p>
        </w:tc>
        <w:tc>
          <w:tcPr>
            <w:tcW w:w="352" w:type="pct"/>
            <w:shd w:val="clear" w:color="auto" w:fill="auto"/>
            <w:vAlign w:val="center"/>
          </w:tcPr>
          <w:p w14:paraId="0449D08A" w14:textId="77777777" w:rsidR="002D0AE7" w:rsidRDefault="00333EBB">
            <w:pPr>
              <w:autoSpaceDE w:val="0"/>
              <w:autoSpaceDN w:val="0"/>
              <w:adjustRightInd w:val="0"/>
              <w:snapToGrid w:val="0"/>
              <w:jc w:val="center"/>
              <w:rPr>
                <w:rFonts w:hint="eastAsia"/>
                <w:color w:val="000000" w:themeColor="text1"/>
                <w:sz w:val="21"/>
              </w:rPr>
            </w:pPr>
            <w:r>
              <w:rPr>
                <w:rFonts w:hint="eastAsia"/>
                <w:color w:val="000000" w:themeColor="text1"/>
                <w:sz w:val="21"/>
              </w:rPr>
              <w:t>处置</w:t>
            </w:r>
          </w:p>
        </w:tc>
        <w:tc>
          <w:tcPr>
            <w:tcW w:w="331" w:type="pct"/>
            <w:shd w:val="clear" w:color="auto" w:fill="auto"/>
            <w:vAlign w:val="center"/>
          </w:tcPr>
          <w:p w14:paraId="1ED1FECC" w14:textId="77777777" w:rsidR="002D0AE7" w:rsidRDefault="00333EBB">
            <w:pPr>
              <w:autoSpaceDE w:val="0"/>
              <w:autoSpaceDN w:val="0"/>
              <w:adjustRightInd w:val="0"/>
              <w:snapToGrid w:val="0"/>
              <w:jc w:val="center"/>
              <w:rPr>
                <w:rFonts w:hint="eastAsia"/>
                <w:color w:val="000000" w:themeColor="text1"/>
                <w:sz w:val="21"/>
              </w:rPr>
            </w:pPr>
            <w:r>
              <w:rPr>
                <w:rFonts w:hint="eastAsia"/>
                <w:color w:val="000000" w:themeColor="text1"/>
                <w:sz w:val="21"/>
              </w:rPr>
              <w:t xml:space="preserve">　</w:t>
            </w:r>
          </w:p>
        </w:tc>
        <w:tc>
          <w:tcPr>
            <w:tcW w:w="772" w:type="pct"/>
            <w:vMerge/>
            <w:shd w:val="clear" w:color="auto" w:fill="auto"/>
          </w:tcPr>
          <w:p w14:paraId="7928A894" w14:textId="77777777" w:rsidR="002D0AE7" w:rsidRDefault="002D0AE7">
            <w:pPr>
              <w:autoSpaceDE w:val="0"/>
              <w:autoSpaceDN w:val="0"/>
              <w:adjustRightInd w:val="0"/>
              <w:snapToGrid w:val="0"/>
              <w:jc w:val="center"/>
              <w:rPr>
                <w:rFonts w:hint="eastAsia"/>
                <w:color w:val="000000" w:themeColor="text1"/>
              </w:rPr>
            </w:pPr>
          </w:p>
        </w:tc>
      </w:tr>
      <w:tr w:rsidR="002D0AE7" w14:paraId="06B42D33" w14:textId="77777777">
        <w:trPr>
          <w:trHeight w:val="338"/>
          <w:jc w:val="center"/>
        </w:trPr>
        <w:tc>
          <w:tcPr>
            <w:tcW w:w="1635" w:type="pct"/>
            <w:shd w:val="clear" w:color="auto" w:fill="auto"/>
          </w:tcPr>
          <w:p w14:paraId="2D13F769" w14:textId="77777777" w:rsidR="002D0AE7" w:rsidRDefault="00333EBB">
            <w:pPr>
              <w:autoSpaceDE w:val="0"/>
              <w:autoSpaceDN w:val="0"/>
              <w:adjustRightInd w:val="0"/>
              <w:snapToGrid w:val="0"/>
              <w:jc w:val="both"/>
              <w:rPr>
                <w:rFonts w:hint="eastAsia"/>
                <w:sz w:val="21"/>
              </w:rPr>
            </w:pPr>
            <w:r>
              <w:rPr>
                <w:rFonts w:hint="eastAsia"/>
                <w:sz w:val="21"/>
              </w:rPr>
              <w:t>津药药业（香港）有限公司</w:t>
            </w:r>
          </w:p>
        </w:tc>
        <w:tc>
          <w:tcPr>
            <w:tcW w:w="887" w:type="pct"/>
            <w:shd w:val="clear" w:color="auto" w:fill="auto"/>
          </w:tcPr>
          <w:p w14:paraId="720743DE" w14:textId="77777777" w:rsidR="002D0AE7" w:rsidRDefault="00333EBB">
            <w:pPr>
              <w:autoSpaceDE w:val="0"/>
              <w:autoSpaceDN w:val="0"/>
              <w:adjustRightInd w:val="0"/>
              <w:snapToGrid w:val="0"/>
              <w:jc w:val="right"/>
              <w:rPr>
                <w:rFonts w:hint="eastAsia"/>
              </w:rPr>
            </w:pPr>
            <w:r>
              <w:rPr>
                <w:rFonts w:ascii="Times New Roman" w:hAnsi="Times New Roman" w:cs="Times New Roman"/>
                <w:sz w:val="21"/>
                <w:szCs w:val="21"/>
              </w:rPr>
              <w:t>11,500,619.89</w:t>
            </w:r>
          </w:p>
        </w:tc>
        <w:tc>
          <w:tcPr>
            <w:tcW w:w="683" w:type="pct"/>
            <w:shd w:val="clear" w:color="auto" w:fill="auto"/>
          </w:tcPr>
          <w:p w14:paraId="1BC39BDA" w14:textId="77777777" w:rsidR="002D0AE7" w:rsidRDefault="00333EBB">
            <w:pPr>
              <w:autoSpaceDE w:val="0"/>
              <w:autoSpaceDN w:val="0"/>
              <w:adjustRightInd w:val="0"/>
              <w:snapToGrid w:val="0"/>
              <w:jc w:val="right"/>
              <w:rPr>
                <w:rFonts w:hint="eastAsia"/>
              </w:rPr>
            </w:pPr>
            <w:r>
              <w:rPr>
                <w:rFonts w:ascii="Times New Roman" w:hAnsi="Times New Roman" w:cs="Times New Roman"/>
                <w:sz w:val="21"/>
                <w:szCs w:val="21"/>
              </w:rPr>
              <w:t>0.00</w:t>
            </w:r>
          </w:p>
        </w:tc>
        <w:tc>
          <w:tcPr>
            <w:tcW w:w="340" w:type="pct"/>
            <w:shd w:val="clear" w:color="auto" w:fill="auto"/>
          </w:tcPr>
          <w:p w14:paraId="3A3ECBF1" w14:textId="77777777" w:rsidR="002D0AE7" w:rsidRDefault="00333EBB">
            <w:pPr>
              <w:autoSpaceDE w:val="0"/>
              <w:autoSpaceDN w:val="0"/>
              <w:adjustRightInd w:val="0"/>
              <w:snapToGrid w:val="0"/>
              <w:jc w:val="right"/>
              <w:rPr>
                <w:rFonts w:hint="eastAsia"/>
              </w:rPr>
            </w:pPr>
            <w:r>
              <w:rPr>
                <w:rFonts w:ascii="Times New Roman" w:hAnsi="Times New Roman" w:cs="Times New Roman"/>
                <w:sz w:val="21"/>
                <w:szCs w:val="21"/>
              </w:rPr>
              <w:t>0.00</w:t>
            </w:r>
          </w:p>
        </w:tc>
        <w:tc>
          <w:tcPr>
            <w:tcW w:w="352" w:type="pct"/>
            <w:shd w:val="clear" w:color="auto" w:fill="auto"/>
          </w:tcPr>
          <w:p w14:paraId="1622BCE9" w14:textId="77777777" w:rsidR="002D0AE7" w:rsidRDefault="00333EBB">
            <w:pPr>
              <w:autoSpaceDE w:val="0"/>
              <w:autoSpaceDN w:val="0"/>
              <w:adjustRightInd w:val="0"/>
              <w:snapToGrid w:val="0"/>
              <w:jc w:val="right"/>
              <w:rPr>
                <w:rFonts w:hint="eastAsia"/>
              </w:rPr>
            </w:pPr>
            <w:r>
              <w:rPr>
                <w:rFonts w:ascii="Times New Roman" w:hAnsi="Times New Roman" w:cs="Times New Roman"/>
                <w:sz w:val="21"/>
                <w:szCs w:val="21"/>
              </w:rPr>
              <w:t>0.00</w:t>
            </w:r>
          </w:p>
        </w:tc>
        <w:tc>
          <w:tcPr>
            <w:tcW w:w="331" w:type="pct"/>
            <w:shd w:val="clear" w:color="auto" w:fill="auto"/>
          </w:tcPr>
          <w:p w14:paraId="4DB600C0" w14:textId="77777777" w:rsidR="002D0AE7" w:rsidRDefault="00333EBB">
            <w:pPr>
              <w:autoSpaceDE w:val="0"/>
              <w:autoSpaceDN w:val="0"/>
              <w:adjustRightInd w:val="0"/>
              <w:snapToGrid w:val="0"/>
              <w:jc w:val="right"/>
              <w:rPr>
                <w:rFonts w:hint="eastAsia"/>
              </w:rPr>
            </w:pPr>
            <w:r>
              <w:rPr>
                <w:rFonts w:ascii="Times New Roman" w:hAnsi="Times New Roman" w:cs="Times New Roman"/>
                <w:sz w:val="21"/>
                <w:szCs w:val="21"/>
              </w:rPr>
              <w:t>0.00</w:t>
            </w:r>
          </w:p>
        </w:tc>
        <w:tc>
          <w:tcPr>
            <w:tcW w:w="772" w:type="pct"/>
            <w:shd w:val="clear" w:color="auto" w:fill="auto"/>
          </w:tcPr>
          <w:p w14:paraId="5A4791E0" w14:textId="77777777" w:rsidR="002D0AE7" w:rsidRDefault="00333EBB">
            <w:pPr>
              <w:autoSpaceDE w:val="0"/>
              <w:autoSpaceDN w:val="0"/>
              <w:adjustRightInd w:val="0"/>
              <w:snapToGrid w:val="0"/>
              <w:jc w:val="right"/>
              <w:rPr>
                <w:rFonts w:hint="eastAsia"/>
              </w:rPr>
            </w:pPr>
            <w:r>
              <w:rPr>
                <w:rFonts w:ascii="Times New Roman" w:hAnsi="Times New Roman" w:cs="Times New Roman"/>
                <w:sz w:val="21"/>
                <w:szCs w:val="21"/>
              </w:rPr>
              <w:t>11,500,619.89</w:t>
            </w:r>
          </w:p>
        </w:tc>
      </w:tr>
      <w:tr w:rsidR="002D0AE7" w14:paraId="53799E47" w14:textId="77777777">
        <w:trPr>
          <w:trHeight w:val="296"/>
          <w:jc w:val="center"/>
        </w:trPr>
        <w:tc>
          <w:tcPr>
            <w:tcW w:w="1635" w:type="pct"/>
            <w:shd w:val="clear" w:color="auto" w:fill="auto"/>
            <w:vAlign w:val="center"/>
          </w:tcPr>
          <w:p w14:paraId="4936A371" w14:textId="77777777" w:rsidR="002D0AE7" w:rsidRDefault="00333EBB">
            <w:pPr>
              <w:autoSpaceDE w:val="0"/>
              <w:autoSpaceDN w:val="0"/>
              <w:adjustRightInd w:val="0"/>
              <w:snapToGrid w:val="0"/>
              <w:jc w:val="center"/>
              <w:rPr>
                <w:rFonts w:hint="eastAsia"/>
                <w:color w:val="000000" w:themeColor="text1"/>
                <w:sz w:val="21"/>
                <w:u w:val="double"/>
              </w:rPr>
            </w:pPr>
            <w:r>
              <w:rPr>
                <w:rFonts w:hint="eastAsia"/>
                <w:color w:val="000000" w:themeColor="text1"/>
                <w:sz w:val="21"/>
              </w:rPr>
              <w:t>合计</w:t>
            </w:r>
          </w:p>
        </w:tc>
        <w:tc>
          <w:tcPr>
            <w:tcW w:w="887" w:type="pct"/>
            <w:shd w:val="clear" w:color="auto" w:fill="auto"/>
          </w:tcPr>
          <w:p w14:paraId="5028FC71" w14:textId="77777777" w:rsidR="002D0AE7" w:rsidRDefault="00333EBB">
            <w:pPr>
              <w:jc w:val="right"/>
              <w:rPr>
                <w:rFonts w:hint="eastAsia"/>
              </w:rPr>
            </w:pPr>
            <w:r>
              <w:rPr>
                <w:rFonts w:ascii="Times New Roman" w:hAnsi="Times New Roman" w:cs="Times New Roman"/>
                <w:sz w:val="21"/>
                <w:szCs w:val="21"/>
              </w:rPr>
              <w:t>11,500,619.89</w:t>
            </w:r>
          </w:p>
        </w:tc>
        <w:tc>
          <w:tcPr>
            <w:tcW w:w="683" w:type="pct"/>
            <w:shd w:val="clear" w:color="auto" w:fill="auto"/>
          </w:tcPr>
          <w:p w14:paraId="4F696573" w14:textId="77777777" w:rsidR="002D0AE7" w:rsidRDefault="00333EBB">
            <w:pPr>
              <w:jc w:val="right"/>
              <w:rPr>
                <w:rFonts w:hint="eastAsia"/>
              </w:rPr>
            </w:pPr>
            <w:r>
              <w:rPr>
                <w:rFonts w:ascii="Times New Roman" w:hAnsi="Times New Roman" w:cs="Times New Roman"/>
                <w:sz w:val="21"/>
                <w:szCs w:val="21"/>
              </w:rPr>
              <w:t>0.00</w:t>
            </w:r>
          </w:p>
        </w:tc>
        <w:tc>
          <w:tcPr>
            <w:tcW w:w="340" w:type="pct"/>
            <w:shd w:val="clear" w:color="auto" w:fill="auto"/>
          </w:tcPr>
          <w:p w14:paraId="1965C3EC" w14:textId="77777777" w:rsidR="002D0AE7" w:rsidRDefault="00333EBB">
            <w:pPr>
              <w:jc w:val="right"/>
              <w:rPr>
                <w:rFonts w:hint="eastAsia"/>
              </w:rPr>
            </w:pPr>
            <w:r>
              <w:rPr>
                <w:rFonts w:ascii="Times New Roman" w:hAnsi="Times New Roman" w:cs="Times New Roman"/>
                <w:sz w:val="21"/>
                <w:szCs w:val="21"/>
              </w:rPr>
              <w:t>0.00</w:t>
            </w:r>
          </w:p>
        </w:tc>
        <w:tc>
          <w:tcPr>
            <w:tcW w:w="352" w:type="pct"/>
            <w:shd w:val="clear" w:color="auto" w:fill="auto"/>
          </w:tcPr>
          <w:p w14:paraId="7019F1B9" w14:textId="77777777" w:rsidR="002D0AE7" w:rsidRDefault="00333EBB">
            <w:pPr>
              <w:jc w:val="right"/>
              <w:rPr>
                <w:rFonts w:hint="eastAsia"/>
              </w:rPr>
            </w:pPr>
            <w:r>
              <w:rPr>
                <w:rFonts w:ascii="Times New Roman" w:hAnsi="Times New Roman" w:cs="Times New Roman"/>
                <w:sz w:val="21"/>
                <w:szCs w:val="21"/>
              </w:rPr>
              <w:t>0.00</w:t>
            </w:r>
          </w:p>
        </w:tc>
        <w:tc>
          <w:tcPr>
            <w:tcW w:w="331" w:type="pct"/>
            <w:shd w:val="clear" w:color="auto" w:fill="auto"/>
          </w:tcPr>
          <w:p w14:paraId="2E5B40DE" w14:textId="77777777" w:rsidR="002D0AE7" w:rsidRDefault="00333EBB">
            <w:pPr>
              <w:jc w:val="right"/>
              <w:rPr>
                <w:rFonts w:hint="eastAsia"/>
              </w:rPr>
            </w:pPr>
            <w:r>
              <w:rPr>
                <w:rFonts w:ascii="Times New Roman" w:hAnsi="Times New Roman" w:cs="Times New Roman"/>
                <w:sz w:val="21"/>
                <w:szCs w:val="21"/>
              </w:rPr>
              <w:t>0.00</w:t>
            </w:r>
          </w:p>
        </w:tc>
        <w:tc>
          <w:tcPr>
            <w:tcW w:w="772" w:type="pct"/>
            <w:shd w:val="clear" w:color="auto" w:fill="auto"/>
          </w:tcPr>
          <w:p w14:paraId="7DD44575" w14:textId="77777777" w:rsidR="002D0AE7" w:rsidRDefault="00333EBB">
            <w:pPr>
              <w:jc w:val="right"/>
              <w:rPr>
                <w:rFonts w:hint="eastAsia"/>
              </w:rPr>
            </w:pPr>
            <w:r>
              <w:rPr>
                <w:rFonts w:ascii="Times New Roman" w:hAnsi="Times New Roman" w:cs="Times New Roman"/>
                <w:sz w:val="21"/>
                <w:szCs w:val="21"/>
              </w:rPr>
              <w:t>11,500,619.89</w:t>
            </w:r>
          </w:p>
        </w:tc>
      </w:tr>
    </w:tbl>
    <w:p w14:paraId="7BB9DE89" w14:textId="77777777" w:rsidR="002D0AE7" w:rsidRDefault="00333EBB">
      <w:pPr>
        <w:pStyle w:val="4"/>
        <w:numPr>
          <w:ilvl w:val="0"/>
          <w:numId w:val="55"/>
        </w:numPr>
        <w:tabs>
          <w:tab w:val="left" w:pos="588"/>
        </w:tabs>
        <w:rPr>
          <w:rFonts w:ascii="宋体" w:hAnsi="宋体" w:hint="eastAsia"/>
          <w:color w:val="000000" w:themeColor="text1"/>
        </w:rPr>
      </w:pPr>
      <w:r>
        <w:rPr>
          <w:rFonts w:ascii="宋体" w:hAnsi="宋体" w:hint="eastAsia"/>
          <w:color w:val="000000" w:themeColor="text1"/>
        </w:rPr>
        <w:t>商誉减值准备</w:t>
      </w:r>
    </w:p>
    <w:sdt>
      <w:sdtPr>
        <w:rPr>
          <w:color w:val="000000" w:themeColor="text1"/>
        </w:rPr>
        <w:alias w:val="是否适用：商誉减值准备[双击切换]"/>
        <w:tag w:val="_GBC_743c9a20b5c043668f28664eb36decf8"/>
        <w:id w:val="-1207792181"/>
        <w:placeholder>
          <w:docPart w:val="GBC22222222222222222222222222222"/>
        </w:placeholder>
      </w:sdtPr>
      <w:sdtEndPr/>
      <w:sdtContent>
        <w:p w14:paraId="249B1852"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□不适用</w:instrText>
          </w:r>
          <w:r>
            <w:rPr>
              <w:rFonts w:hint="eastAsia"/>
              <w:color w:val="000000" w:themeColor="text1"/>
            </w:rPr>
            <w:instrText xml:space="preserve"> </w:instrText>
          </w:r>
          <w:r>
            <w:rPr>
              <w:color w:val="000000" w:themeColor="text1"/>
            </w:rPr>
            <w:fldChar w:fldCharType="end"/>
          </w:r>
        </w:p>
      </w:sdtContent>
    </w:sdt>
    <w:p w14:paraId="6D00C0A7"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商誉减值准备"/>
          <w:tag w:val="_GBC_81f58baed09c46a3bf97830ea3adfd98"/>
          <w:id w:val="-353655937"/>
          <w:placeholder>
            <w:docPart w:val="A4A0C661F8D64B0BB0F7CB641F58CA7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商誉减值准备"/>
          <w:tag w:val="_GBC_67c9edd209fb4492bdb662edf79314f5"/>
          <w:id w:val="-794984793"/>
          <w:placeholder>
            <w:docPart w:val="A4A0C661F8D64B0BB0F7CB641F58CA7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6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1703"/>
        <w:gridCol w:w="996"/>
        <w:gridCol w:w="970"/>
        <w:gridCol w:w="980"/>
        <w:gridCol w:w="1032"/>
        <w:gridCol w:w="1424"/>
      </w:tblGrid>
      <w:tr w:rsidR="002D0AE7" w14:paraId="3EA095E2" w14:textId="77777777">
        <w:trPr>
          <w:trHeight w:val="255"/>
          <w:jc w:val="center"/>
        </w:trPr>
        <w:sdt>
          <w:sdtPr>
            <w:rPr>
              <w:color w:val="000000" w:themeColor="text1"/>
              <w:sz w:val="21"/>
              <w:szCs w:val="21"/>
            </w:rPr>
            <w:tag w:val="_PLD_d1a517071536478f9f7187c625e93763"/>
            <w:id w:val="1578329664"/>
          </w:sdtPr>
          <w:sdtEndPr/>
          <w:sdtContent>
            <w:tc>
              <w:tcPr>
                <w:tcW w:w="1434" w:type="pct"/>
                <w:vMerge w:val="restart"/>
                <w:shd w:val="clear" w:color="auto" w:fill="auto"/>
                <w:vAlign w:val="center"/>
              </w:tcPr>
              <w:p w14:paraId="50EBAFB7"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被投资单位名称或形成商誉的事项</w:t>
                </w:r>
              </w:p>
            </w:tc>
          </w:sdtContent>
        </w:sdt>
        <w:sdt>
          <w:sdtPr>
            <w:rPr>
              <w:color w:val="000000" w:themeColor="text1"/>
              <w:sz w:val="21"/>
              <w:szCs w:val="21"/>
            </w:rPr>
            <w:tag w:val="_PLD_a1ccc5eef6a041ffadb4dd09605c43f5"/>
            <w:id w:val="163290732"/>
          </w:sdtPr>
          <w:sdtEndPr/>
          <w:sdtContent>
            <w:tc>
              <w:tcPr>
                <w:tcW w:w="855" w:type="pct"/>
                <w:vMerge w:val="restart"/>
                <w:shd w:val="clear" w:color="auto" w:fill="auto"/>
                <w:vAlign w:val="center"/>
              </w:tcPr>
              <w:p w14:paraId="7CC0F2CB"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期初余额</w:t>
                </w:r>
              </w:p>
            </w:tc>
          </w:sdtContent>
        </w:sdt>
        <w:sdt>
          <w:sdtPr>
            <w:rPr>
              <w:color w:val="000000" w:themeColor="text1"/>
              <w:sz w:val="21"/>
              <w:szCs w:val="21"/>
            </w:rPr>
            <w:tag w:val="_PLD_3dc4c2fbed8640a6acf5f19dd5073967"/>
            <w:id w:val="-458038344"/>
          </w:sdtPr>
          <w:sdtEndPr/>
          <w:sdtContent>
            <w:tc>
              <w:tcPr>
                <w:tcW w:w="987" w:type="pct"/>
                <w:gridSpan w:val="2"/>
                <w:shd w:val="clear" w:color="auto" w:fill="auto"/>
                <w:vAlign w:val="center"/>
              </w:tcPr>
              <w:p w14:paraId="112F447E"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本期增加</w:t>
                </w:r>
              </w:p>
            </w:tc>
          </w:sdtContent>
        </w:sdt>
        <w:sdt>
          <w:sdtPr>
            <w:rPr>
              <w:color w:val="000000" w:themeColor="text1"/>
              <w:sz w:val="21"/>
              <w:szCs w:val="21"/>
            </w:rPr>
            <w:tag w:val="_PLD_36789e440c5d4e70969760ec1adf11d6"/>
            <w:id w:val="1743141925"/>
          </w:sdtPr>
          <w:sdtEndPr/>
          <w:sdtContent>
            <w:tc>
              <w:tcPr>
                <w:tcW w:w="1010" w:type="pct"/>
                <w:gridSpan w:val="2"/>
                <w:shd w:val="clear" w:color="auto" w:fill="auto"/>
                <w:vAlign w:val="center"/>
              </w:tcPr>
              <w:p w14:paraId="5D635B3B"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本期减少</w:t>
                </w:r>
              </w:p>
            </w:tc>
          </w:sdtContent>
        </w:sdt>
        <w:sdt>
          <w:sdtPr>
            <w:rPr>
              <w:color w:val="000000" w:themeColor="text1"/>
              <w:sz w:val="21"/>
              <w:szCs w:val="21"/>
            </w:rPr>
            <w:tag w:val="_PLD_b4bf3be5aa6c45bea85b5ae1c027be47"/>
            <w:id w:val="-1180504487"/>
          </w:sdtPr>
          <w:sdtEndPr/>
          <w:sdtContent>
            <w:tc>
              <w:tcPr>
                <w:tcW w:w="715" w:type="pct"/>
                <w:vMerge w:val="restart"/>
                <w:shd w:val="clear" w:color="auto" w:fill="auto"/>
                <w:vAlign w:val="center"/>
              </w:tcPr>
              <w:p w14:paraId="47AFCEE2"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期末余额</w:t>
                </w:r>
              </w:p>
            </w:tc>
          </w:sdtContent>
        </w:sdt>
      </w:tr>
      <w:tr w:rsidR="002D0AE7" w14:paraId="670787B5" w14:textId="77777777">
        <w:trPr>
          <w:trHeight w:val="296"/>
          <w:jc w:val="center"/>
        </w:trPr>
        <w:tc>
          <w:tcPr>
            <w:tcW w:w="1434" w:type="pct"/>
            <w:vMerge/>
            <w:shd w:val="clear" w:color="auto" w:fill="auto"/>
          </w:tcPr>
          <w:p w14:paraId="31A2DA84" w14:textId="77777777" w:rsidR="002D0AE7" w:rsidRDefault="002D0AE7">
            <w:pPr>
              <w:autoSpaceDE w:val="0"/>
              <w:autoSpaceDN w:val="0"/>
              <w:adjustRightInd w:val="0"/>
              <w:snapToGrid w:val="0"/>
              <w:rPr>
                <w:rFonts w:hint="eastAsia"/>
                <w:color w:val="000000" w:themeColor="text1"/>
                <w:sz w:val="21"/>
                <w:szCs w:val="21"/>
              </w:rPr>
            </w:pPr>
          </w:p>
        </w:tc>
        <w:tc>
          <w:tcPr>
            <w:tcW w:w="855" w:type="pct"/>
            <w:vMerge/>
            <w:shd w:val="clear" w:color="auto" w:fill="auto"/>
            <w:vAlign w:val="center"/>
          </w:tcPr>
          <w:p w14:paraId="4FA5C482" w14:textId="77777777" w:rsidR="002D0AE7" w:rsidRDefault="002D0AE7">
            <w:pPr>
              <w:autoSpaceDE w:val="0"/>
              <w:autoSpaceDN w:val="0"/>
              <w:adjustRightInd w:val="0"/>
              <w:snapToGrid w:val="0"/>
              <w:jc w:val="right"/>
              <w:rPr>
                <w:rFonts w:hint="eastAsia"/>
                <w:color w:val="000000" w:themeColor="text1"/>
                <w:sz w:val="21"/>
                <w:szCs w:val="21"/>
              </w:rPr>
            </w:pPr>
          </w:p>
        </w:tc>
        <w:tc>
          <w:tcPr>
            <w:tcW w:w="500" w:type="pct"/>
            <w:shd w:val="clear" w:color="auto" w:fill="auto"/>
            <w:vAlign w:val="center"/>
          </w:tcPr>
          <w:p w14:paraId="25707ECD"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计提</w:t>
            </w:r>
          </w:p>
        </w:tc>
        <w:tc>
          <w:tcPr>
            <w:tcW w:w="487" w:type="pct"/>
            <w:shd w:val="clear" w:color="auto" w:fill="auto"/>
            <w:vAlign w:val="center"/>
          </w:tcPr>
          <w:p w14:paraId="67BD5490"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 xml:space="preserve">　</w:t>
            </w:r>
          </w:p>
        </w:tc>
        <w:tc>
          <w:tcPr>
            <w:tcW w:w="492" w:type="pct"/>
            <w:shd w:val="clear" w:color="auto" w:fill="auto"/>
            <w:vAlign w:val="center"/>
          </w:tcPr>
          <w:p w14:paraId="65620D33"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处置</w:t>
            </w:r>
          </w:p>
        </w:tc>
        <w:tc>
          <w:tcPr>
            <w:tcW w:w="518" w:type="pct"/>
            <w:shd w:val="clear" w:color="auto" w:fill="auto"/>
            <w:vAlign w:val="center"/>
          </w:tcPr>
          <w:p w14:paraId="7DA14526"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 xml:space="preserve">　</w:t>
            </w:r>
          </w:p>
        </w:tc>
        <w:tc>
          <w:tcPr>
            <w:tcW w:w="715" w:type="pct"/>
            <w:vMerge/>
            <w:shd w:val="clear" w:color="auto" w:fill="auto"/>
          </w:tcPr>
          <w:p w14:paraId="2EE6CB07" w14:textId="77777777" w:rsidR="002D0AE7" w:rsidRDefault="002D0AE7">
            <w:pPr>
              <w:autoSpaceDE w:val="0"/>
              <w:autoSpaceDN w:val="0"/>
              <w:adjustRightInd w:val="0"/>
              <w:snapToGrid w:val="0"/>
              <w:jc w:val="center"/>
              <w:rPr>
                <w:rFonts w:hint="eastAsia"/>
                <w:color w:val="000000" w:themeColor="text1"/>
                <w:sz w:val="21"/>
                <w:szCs w:val="21"/>
              </w:rPr>
            </w:pPr>
          </w:p>
        </w:tc>
      </w:tr>
      <w:tr w:rsidR="002D0AE7" w14:paraId="5AC2FF1E" w14:textId="77777777">
        <w:trPr>
          <w:trHeight w:val="323"/>
          <w:jc w:val="center"/>
        </w:trPr>
        <w:tc>
          <w:tcPr>
            <w:tcW w:w="1434" w:type="pct"/>
            <w:shd w:val="clear" w:color="auto" w:fill="auto"/>
          </w:tcPr>
          <w:p w14:paraId="26EE257D" w14:textId="77777777" w:rsidR="002D0AE7" w:rsidRDefault="00333EBB">
            <w:pPr>
              <w:autoSpaceDE w:val="0"/>
              <w:autoSpaceDN w:val="0"/>
              <w:adjustRightInd w:val="0"/>
              <w:snapToGrid w:val="0"/>
              <w:rPr>
                <w:rFonts w:hint="eastAsia"/>
                <w:sz w:val="21"/>
                <w:szCs w:val="21"/>
              </w:rPr>
            </w:pPr>
            <w:r>
              <w:rPr>
                <w:sz w:val="21"/>
                <w:szCs w:val="21"/>
              </w:rPr>
              <w:t>津药药业（香港）有限公司</w:t>
            </w:r>
          </w:p>
        </w:tc>
        <w:tc>
          <w:tcPr>
            <w:tcW w:w="855" w:type="pct"/>
            <w:shd w:val="clear" w:color="auto" w:fill="auto"/>
          </w:tcPr>
          <w:p w14:paraId="1920F41F" w14:textId="77777777" w:rsidR="002D0AE7" w:rsidRDefault="00333EBB">
            <w:pPr>
              <w:jc w:val="right"/>
              <w:rPr>
                <w:rFonts w:hint="eastAsia"/>
                <w:sz w:val="21"/>
                <w:szCs w:val="21"/>
              </w:rPr>
            </w:pPr>
            <w:r>
              <w:rPr>
                <w:rFonts w:ascii="Times New Roman" w:hAnsi="Times New Roman" w:cs="Times New Roman"/>
                <w:sz w:val="21"/>
                <w:szCs w:val="21"/>
              </w:rPr>
              <w:t>11,500,619.89</w:t>
            </w:r>
          </w:p>
        </w:tc>
        <w:tc>
          <w:tcPr>
            <w:tcW w:w="500" w:type="pct"/>
            <w:shd w:val="clear" w:color="auto" w:fill="auto"/>
          </w:tcPr>
          <w:p w14:paraId="2041F639" w14:textId="77777777" w:rsidR="002D0AE7" w:rsidRDefault="00333EBB">
            <w:pPr>
              <w:jc w:val="right"/>
              <w:rPr>
                <w:rFonts w:hint="eastAsia"/>
                <w:sz w:val="21"/>
                <w:szCs w:val="21"/>
              </w:rPr>
            </w:pPr>
            <w:r>
              <w:rPr>
                <w:rFonts w:ascii="Times New Roman" w:hAnsi="Times New Roman" w:cs="Times New Roman"/>
                <w:sz w:val="21"/>
                <w:szCs w:val="21"/>
              </w:rPr>
              <w:t>0.00</w:t>
            </w:r>
          </w:p>
        </w:tc>
        <w:tc>
          <w:tcPr>
            <w:tcW w:w="487" w:type="pct"/>
            <w:shd w:val="clear" w:color="auto" w:fill="auto"/>
          </w:tcPr>
          <w:p w14:paraId="1D8F9B96" w14:textId="77777777" w:rsidR="002D0AE7" w:rsidRDefault="00333EBB">
            <w:pPr>
              <w:jc w:val="right"/>
              <w:rPr>
                <w:rFonts w:hint="eastAsia"/>
                <w:sz w:val="21"/>
                <w:szCs w:val="21"/>
              </w:rPr>
            </w:pPr>
            <w:r>
              <w:rPr>
                <w:rFonts w:ascii="Times New Roman" w:hAnsi="Times New Roman" w:cs="Times New Roman"/>
                <w:sz w:val="21"/>
                <w:szCs w:val="21"/>
              </w:rPr>
              <w:t>0.00</w:t>
            </w:r>
          </w:p>
        </w:tc>
        <w:tc>
          <w:tcPr>
            <w:tcW w:w="492" w:type="pct"/>
            <w:shd w:val="clear" w:color="auto" w:fill="auto"/>
          </w:tcPr>
          <w:p w14:paraId="295089C8" w14:textId="77777777" w:rsidR="002D0AE7" w:rsidRDefault="00333EBB">
            <w:pPr>
              <w:jc w:val="right"/>
              <w:rPr>
                <w:rFonts w:hint="eastAsia"/>
                <w:sz w:val="21"/>
                <w:szCs w:val="21"/>
              </w:rPr>
            </w:pPr>
            <w:r>
              <w:rPr>
                <w:rFonts w:ascii="Times New Roman" w:hAnsi="Times New Roman" w:cs="Times New Roman"/>
                <w:sz w:val="21"/>
                <w:szCs w:val="21"/>
              </w:rPr>
              <w:t>0.00</w:t>
            </w:r>
          </w:p>
        </w:tc>
        <w:tc>
          <w:tcPr>
            <w:tcW w:w="518" w:type="pct"/>
            <w:shd w:val="clear" w:color="auto" w:fill="auto"/>
          </w:tcPr>
          <w:p w14:paraId="11C291A7" w14:textId="77777777" w:rsidR="002D0AE7" w:rsidRDefault="00333EBB">
            <w:pPr>
              <w:jc w:val="right"/>
              <w:rPr>
                <w:rFonts w:hint="eastAsia"/>
                <w:sz w:val="21"/>
                <w:szCs w:val="21"/>
              </w:rPr>
            </w:pPr>
            <w:r>
              <w:rPr>
                <w:rFonts w:ascii="Times New Roman" w:hAnsi="Times New Roman" w:cs="Times New Roman"/>
                <w:sz w:val="21"/>
                <w:szCs w:val="21"/>
              </w:rPr>
              <w:t>0.00</w:t>
            </w:r>
          </w:p>
        </w:tc>
        <w:tc>
          <w:tcPr>
            <w:tcW w:w="715" w:type="pct"/>
            <w:shd w:val="clear" w:color="auto" w:fill="auto"/>
          </w:tcPr>
          <w:p w14:paraId="705A7EE5" w14:textId="77777777" w:rsidR="002D0AE7" w:rsidRDefault="00333EBB">
            <w:pPr>
              <w:jc w:val="right"/>
              <w:rPr>
                <w:rFonts w:hint="eastAsia"/>
                <w:sz w:val="21"/>
                <w:szCs w:val="21"/>
              </w:rPr>
            </w:pPr>
            <w:r>
              <w:rPr>
                <w:rFonts w:ascii="Times New Roman" w:hAnsi="Times New Roman" w:cs="Times New Roman"/>
                <w:sz w:val="21"/>
                <w:szCs w:val="21"/>
              </w:rPr>
              <w:t>11,500,619.89</w:t>
            </w:r>
          </w:p>
        </w:tc>
      </w:tr>
      <w:tr w:rsidR="002D0AE7" w14:paraId="77B460BD" w14:textId="77777777">
        <w:trPr>
          <w:trHeight w:val="282"/>
          <w:jc w:val="center"/>
        </w:trPr>
        <w:tc>
          <w:tcPr>
            <w:tcW w:w="1434" w:type="pct"/>
            <w:shd w:val="clear" w:color="auto" w:fill="auto"/>
            <w:vAlign w:val="center"/>
          </w:tcPr>
          <w:p w14:paraId="05C1F958" w14:textId="77777777" w:rsidR="002D0AE7" w:rsidRDefault="00333EBB">
            <w:pPr>
              <w:autoSpaceDE w:val="0"/>
              <w:autoSpaceDN w:val="0"/>
              <w:adjustRightInd w:val="0"/>
              <w:snapToGrid w:val="0"/>
              <w:jc w:val="center"/>
              <w:rPr>
                <w:rFonts w:hint="eastAsia"/>
                <w:color w:val="000000" w:themeColor="text1"/>
                <w:sz w:val="21"/>
                <w:szCs w:val="21"/>
                <w:u w:val="double"/>
              </w:rPr>
            </w:pPr>
            <w:r>
              <w:rPr>
                <w:rFonts w:hint="eastAsia"/>
                <w:color w:val="000000" w:themeColor="text1"/>
                <w:sz w:val="21"/>
                <w:szCs w:val="21"/>
              </w:rPr>
              <w:t>合计</w:t>
            </w:r>
          </w:p>
        </w:tc>
        <w:tc>
          <w:tcPr>
            <w:tcW w:w="855" w:type="pct"/>
            <w:shd w:val="clear" w:color="auto" w:fill="auto"/>
          </w:tcPr>
          <w:p w14:paraId="7D875778" w14:textId="77777777" w:rsidR="002D0AE7" w:rsidRDefault="00333EBB">
            <w:pPr>
              <w:jc w:val="right"/>
              <w:rPr>
                <w:rFonts w:hint="eastAsia"/>
                <w:sz w:val="21"/>
                <w:szCs w:val="21"/>
              </w:rPr>
            </w:pPr>
            <w:r>
              <w:rPr>
                <w:rFonts w:ascii="Times New Roman" w:hAnsi="Times New Roman" w:cs="Times New Roman"/>
                <w:sz w:val="21"/>
                <w:szCs w:val="21"/>
              </w:rPr>
              <w:t>11,500,619.89</w:t>
            </w:r>
          </w:p>
        </w:tc>
        <w:tc>
          <w:tcPr>
            <w:tcW w:w="500" w:type="pct"/>
            <w:shd w:val="clear" w:color="auto" w:fill="auto"/>
          </w:tcPr>
          <w:p w14:paraId="4C3380C4" w14:textId="77777777" w:rsidR="002D0AE7" w:rsidRDefault="00333EBB">
            <w:pPr>
              <w:jc w:val="right"/>
              <w:rPr>
                <w:rFonts w:hint="eastAsia"/>
                <w:sz w:val="21"/>
                <w:szCs w:val="21"/>
              </w:rPr>
            </w:pPr>
            <w:r>
              <w:rPr>
                <w:rFonts w:ascii="Times New Roman" w:hAnsi="Times New Roman" w:cs="Times New Roman"/>
                <w:sz w:val="21"/>
                <w:szCs w:val="21"/>
              </w:rPr>
              <w:t>0.00</w:t>
            </w:r>
          </w:p>
        </w:tc>
        <w:tc>
          <w:tcPr>
            <w:tcW w:w="487" w:type="pct"/>
            <w:shd w:val="clear" w:color="auto" w:fill="auto"/>
          </w:tcPr>
          <w:p w14:paraId="6EDFC7E0" w14:textId="77777777" w:rsidR="002D0AE7" w:rsidRDefault="00333EBB">
            <w:pPr>
              <w:jc w:val="right"/>
              <w:rPr>
                <w:rFonts w:hint="eastAsia"/>
                <w:sz w:val="21"/>
                <w:szCs w:val="21"/>
              </w:rPr>
            </w:pPr>
            <w:r>
              <w:rPr>
                <w:rFonts w:ascii="Times New Roman" w:hAnsi="Times New Roman" w:cs="Times New Roman"/>
                <w:sz w:val="21"/>
                <w:szCs w:val="21"/>
              </w:rPr>
              <w:t>0.00</w:t>
            </w:r>
          </w:p>
        </w:tc>
        <w:tc>
          <w:tcPr>
            <w:tcW w:w="492" w:type="pct"/>
            <w:shd w:val="clear" w:color="auto" w:fill="auto"/>
          </w:tcPr>
          <w:p w14:paraId="1A03D310" w14:textId="77777777" w:rsidR="002D0AE7" w:rsidRDefault="00333EBB">
            <w:pPr>
              <w:jc w:val="right"/>
              <w:rPr>
                <w:rFonts w:hint="eastAsia"/>
                <w:sz w:val="21"/>
                <w:szCs w:val="21"/>
              </w:rPr>
            </w:pPr>
            <w:r>
              <w:rPr>
                <w:rFonts w:ascii="Times New Roman" w:hAnsi="Times New Roman" w:cs="Times New Roman"/>
                <w:sz w:val="21"/>
                <w:szCs w:val="21"/>
              </w:rPr>
              <w:t>0.00</w:t>
            </w:r>
          </w:p>
        </w:tc>
        <w:tc>
          <w:tcPr>
            <w:tcW w:w="518" w:type="pct"/>
            <w:shd w:val="clear" w:color="auto" w:fill="auto"/>
          </w:tcPr>
          <w:p w14:paraId="1FC4DBDD" w14:textId="77777777" w:rsidR="002D0AE7" w:rsidRDefault="00333EBB">
            <w:pPr>
              <w:jc w:val="right"/>
              <w:rPr>
                <w:rFonts w:hint="eastAsia"/>
                <w:sz w:val="21"/>
                <w:szCs w:val="21"/>
              </w:rPr>
            </w:pPr>
            <w:r>
              <w:rPr>
                <w:rFonts w:ascii="Times New Roman" w:hAnsi="Times New Roman" w:cs="Times New Roman"/>
                <w:sz w:val="21"/>
                <w:szCs w:val="21"/>
              </w:rPr>
              <w:t>0.00</w:t>
            </w:r>
          </w:p>
        </w:tc>
        <w:tc>
          <w:tcPr>
            <w:tcW w:w="715" w:type="pct"/>
            <w:shd w:val="clear" w:color="auto" w:fill="auto"/>
          </w:tcPr>
          <w:p w14:paraId="5E3378F6" w14:textId="77777777" w:rsidR="002D0AE7" w:rsidRDefault="00333EBB">
            <w:pPr>
              <w:jc w:val="right"/>
              <w:rPr>
                <w:rFonts w:hint="eastAsia"/>
                <w:sz w:val="21"/>
                <w:szCs w:val="21"/>
              </w:rPr>
            </w:pPr>
            <w:r>
              <w:rPr>
                <w:rFonts w:ascii="Times New Roman" w:hAnsi="Times New Roman" w:cs="Times New Roman"/>
                <w:sz w:val="21"/>
                <w:szCs w:val="21"/>
              </w:rPr>
              <w:t>11,500,619.89</w:t>
            </w:r>
          </w:p>
        </w:tc>
      </w:tr>
    </w:tbl>
    <w:p w14:paraId="5DF017A9" w14:textId="77777777" w:rsidR="002D0AE7" w:rsidRDefault="00333EBB">
      <w:pPr>
        <w:rPr>
          <w:rFonts w:hint="eastAsia"/>
          <w:color w:val="000000" w:themeColor="text1"/>
          <w:sz w:val="21"/>
        </w:rPr>
      </w:pPr>
      <w:r>
        <w:rPr>
          <w:rFonts w:hint="eastAsia"/>
          <w:color w:val="000000" w:themeColor="text1"/>
          <w:sz w:val="21"/>
        </w:rPr>
        <w:t>（</w:t>
      </w:r>
      <w:r>
        <w:rPr>
          <w:color w:val="000000" w:themeColor="text1"/>
          <w:sz w:val="21"/>
        </w:rPr>
        <w:t>1</w:t>
      </w:r>
      <w:r>
        <w:rPr>
          <w:color w:val="000000" w:themeColor="text1"/>
          <w:sz w:val="21"/>
        </w:rPr>
        <w:t>）本公司于</w:t>
      </w:r>
      <w:r>
        <w:rPr>
          <w:color w:val="000000" w:themeColor="text1"/>
          <w:sz w:val="21"/>
        </w:rPr>
        <w:t>2008</w:t>
      </w:r>
      <w:r>
        <w:rPr>
          <w:color w:val="000000" w:themeColor="text1"/>
          <w:sz w:val="21"/>
        </w:rPr>
        <w:t>年</w:t>
      </w:r>
      <w:r>
        <w:rPr>
          <w:color w:val="000000" w:themeColor="text1"/>
          <w:sz w:val="21"/>
        </w:rPr>
        <w:t>1</w:t>
      </w:r>
      <w:r>
        <w:rPr>
          <w:color w:val="000000" w:themeColor="text1"/>
          <w:sz w:val="21"/>
        </w:rPr>
        <w:t>月收购</w:t>
      </w:r>
      <w:r>
        <w:rPr>
          <w:rFonts w:hint="eastAsia"/>
          <w:color w:val="000000" w:themeColor="text1"/>
          <w:sz w:val="21"/>
        </w:rPr>
        <w:t>津药药业（香港）有限公司</w:t>
      </w:r>
      <w:r>
        <w:rPr>
          <w:color w:val="000000" w:themeColor="text1"/>
          <w:sz w:val="21"/>
        </w:rPr>
        <w:t>60%</w:t>
      </w:r>
      <w:r>
        <w:rPr>
          <w:color w:val="000000" w:themeColor="text1"/>
          <w:sz w:val="21"/>
        </w:rPr>
        <w:t>股权，持股比例由</w:t>
      </w:r>
      <w:r>
        <w:rPr>
          <w:color w:val="000000" w:themeColor="text1"/>
          <w:sz w:val="21"/>
        </w:rPr>
        <w:t>40%</w:t>
      </w:r>
      <w:r>
        <w:rPr>
          <w:color w:val="000000" w:themeColor="text1"/>
          <w:sz w:val="21"/>
        </w:rPr>
        <w:t>增加到</w:t>
      </w:r>
      <w:r>
        <w:rPr>
          <w:color w:val="000000" w:themeColor="text1"/>
          <w:sz w:val="21"/>
        </w:rPr>
        <w:t>100%</w:t>
      </w:r>
      <w:r>
        <w:rPr>
          <w:color w:val="000000" w:themeColor="text1"/>
          <w:sz w:val="21"/>
        </w:rPr>
        <w:t>，形成非同一控制下企业合并，合并报表确认的商誉为</w:t>
      </w:r>
      <w:r>
        <w:rPr>
          <w:color w:val="000000" w:themeColor="text1"/>
          <w:sz w:val="21"/>
        </w:rPr>
        <w:t>11,500,619.89</w:t>
      </w:r>
      <w:r>
        <w:rPr>
          <w:color w:val="000000" w:themeColor="text1"/>
          <w:sz w:val="21"/>
        </w:rPr>
        <w:t>元。</w:t>
      </w:r>
    </w:p>
    <w:p w14:paraId="5EC8A8E7" w14:textId="77777777" w:rsidR="002D0AE7" w:rsidRDefault="00333EBB">
      <w:pPr>
        <w:rPr>
          <w:rFonts w:hint="eastAsia"/>
        </w:rPr>
      </w:pPr>
      <w:r>
        <w:rPr>
          <w:rFonts w:hint="eastAsia"/>
          <w:color w:val="000000" w:themeColor="text1"/>
          <w:sz w:val="21"/>
        </w:rPr>
        <w:t>（</w:t>
      </w:r>
      <w:r>
        <w:rPr>
          <w:color w:val="000000" w:themeColor="text1"/>
          <w:sz w:val="21"/>
        </w:rPr>
        <w:t>2</w:t>
      </w:r>
      <w:r>
        <w:rPr>
          <w:color w:val="000000" w:themeColor="text1"/>
          <w:sz w:val="21"/>
        </w:rPr>
        <w:t>）对</w:t>
      </w:r>
      <w:r>
        <w:rPr>
          <w:rFonts w:hint="eastAsia"/>
          <w:color w:val="000000" w:themeColor="text1"/>
          <w:sz w:val="21"/>
        </w:rPr>
        <w:t>津药药业（香港）有限公司</w:t>
      </w:r>
      <w:r>
        <w:rPr>
          <w:color w:val="000000" w:themeColor="text1"/>
          <w:sz w:val="21"/>
        </w:rPr>
        <w:t>合并报表确认的商誉</w:t>
      </w:r>
      <w:r>
        <w:rPr>
          <w:color w:val="000000" w:themeColor="text1"/>
          <w:sz w:val="21"/>
        </w:rPr>
        <w:t>11,500,619.89</w:t>
      </w:r>
      <w:r>
        <w:rPr>
          <w:color w:val="000000" w:themeColor="text1"/>
          <w:sz w:val="21"/>
        </w:rPr>
        <w:t>元已于</w:t>
      </w:r>
      <w:r>
        <w:rPr>
          <w:color w:val="000000" w:themeColor="text1"/>
          <w:sz w:val="21"/>
        </w:rPr>
        <w:t>2013</w:t>
      </w:r>
      <w:r>
        <w:rPr>
          <w:color w:val="000000" w:themeColor="text1"/>
          <w:sz w:val="21"/>
        </w:rPr>
        <w:t>年全额计提减值。</w:t>
      </w:r>
    </w:p>
    <w:p w14:paraId="53047F15"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szCs w:val="21"/>
        </w:rPr>
        <w:t>递延所得税资产</w:t>
      </w:r>
      <w:r>
        <w:rPr>
          <w:rFonts w:ascii="宋体" w:hAnsi="宋体" w:hint="eastAsia"/>
          <w:color w:val="000000" w:themeColor="text1"/>
          <w:szCs w:val="21"/>
        </w:rPr>
        <w:t>/</w:t>
      </w:r>
      <w:r>
        <w:rPr>
          <w:rFonts w:ascii="宋体" w:hAnsi="宋体" w:hint="eastAsia"/>
          <w:color w:val="000000" w:themeColor="text1"/>
          <w:szCs w:val="21"/>
        </w:rPr>
        <w:t>递延所得税负债</w:t>
      </w:r>
    </w:p>
    <w:p w14:paraId="6E8C284F" w14:textId="77777777" w:rsidR="002D0AE7" w:rsidRDefault="00333EBB">
      <w:pPr>
        <w:pStyle w:val="4"/>
        <w:numPr>
          <w:ilvl w:val="0"/>
          <w:numId w:val="56"/>
        </w:numPr>
        <w:tabs>
          <w:tab w:val="left" w:pos="588"/>
          <w:tab w:val="left" w:pos="616"/>
        </w:tabs>
        <w:rPr>
          <w:rFonts w:ascii="宋体" w:hAnsi="宋体" w:hint="eastAsia"/>
          <w:color w:val="000000" w:themeColor="text1"/>
        </w:rPr>
      </w:pPr>
      <w:bookmarkStart w:id="190" w:name="_Toc215903151"/>
      <w:r>
        <w:rPr>
          <w:rFonts w:ascii="宋体" w:hAnsi="宋体" w:hint="eastAsia"/>
          <w:color w:val="000000" w:themeColor="text1"/>
        </w:rPr>
        <w:t>未经抵销的递延所得税资产</w:t>
      </w:r>
    </w:p>
    <w:sdt>
      <w:sdtPr>
        <w:rPr>
          <w:color w:val="000000" w:themeColor="text1"/>
        </w:rPr>
        <w:alias w:val="是否适用：未经抵销的递延所得税资产[双击切换]"/>
        <w:tag w:val="_GBC_fc6e77974a404dc3bef5fc386ae4e1e7"/>
        <w:id w:val="-343008970"/>
        <w:placeholder>
          <w:docPart w:val="GBC22222222222222222222222222222"/>
        </w:placeholder>
      </w:sdtPr>
      <w:sdtEndPr/>
      <w:sdtContent>
        <w:p w14:paraId="11F35D2E"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404A7891"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已确认的递延所得税资产和递延所得税负债"/>
          <w:tag w:val="_GBC_7be724d3c6f14974914db7d02bb734f9"/>
          <w:id w:val="185461690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bookmarkEnd w:id="190"/>
      <w:sdt>
        <w:sdtPr>
          <w:rPr>
            <w:rFonts w:hint="eastAsia"/>
            <w:color w:val="000000" w:themeColor="text1"/>
          </w:rPr>
          <w:alias w:val="币种：财务附注：已确认的递延所得税资产和递延所得税负债"/>
          <w:tag w:val="_GBC_a48237f045494aa9a0ea8c2cb35b1c0f"/>
          <w:id w:val="126711335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5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1806"/>
        <w:gridCol w:w="1603"/>
        <w:gridCol w:w="1645"/>
        <w:gridCol w:w="1598"/>
      </w:tblGrid>
      <w:tr w:rsidR="002D0AE7" w14:paraId="5C2E7203" w14:textId="77777777">
        <w:trPr>
          <w:trHeight w:val="285"/>
          <w:jc w:val="center"/>
        </w:trPr>
        <w:bookmarkStart w:id="191" w:name="_Hlk11160621" w:displacedByCustomXml="next"/>
        <w:sdt>
          <w:sdtPr>
            <w:rPr>
              <w:color w:val="000000" w:themeColor="text1"/>
              <w:sz w:val="21"/>
              <w:szCs w:val="21"/>
            </w:rPr>
            <w:tag w:val="_PLD_e45101b3a01946f19f22657bb959574e"/>
            <w:id w:val="-1610040653"/>
          </w:sdtPr>
          <w:sdtEndPr/>
          <w:sdtContent>
            <w:tc>
              <w:tcPr>
                <w:tcW w:w="1615" w:type="pct"/>
                <w:vMerge w:val="restart"/>
                <w:shd w:val="clear" w:color="auto" w:fill="auto"/>
                <w:vAlign w:val="center"/>
              </w:tcPr>
              <w:p w14:paraId="040017C3"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dd892ffecd234c819059bf10f71b1910"/>
            <w:id w:val="-842705978"/>
          </w:sdtPr>
          <w:sdtEndPr/>
          <w:sdtContent>
            <w:tc>
              <w:tcPr>
                <w:tcW w:w="1735" w:type="pct"/>
                <w:gridSpan w:val="2"/>
                <w:shd w:val="clear" w:color="auto" w:fill="auto"/>
                <w:vAlign w:val="center"/>
              </w:tcPr>
              <w:p w14:paraId="129C5974"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sdt>
          <w:sdtPr>
            <w:rPr>
              <w:color w:val="000000" w:themeColor="text1"/>
              <w:sz w:val="21"/>
              <w:szCs w:val="21"/>
            </w:rPr>
            <w:tag w:val="_PLD_be855fcb002344d6ae2c74083e90b1c1"/>
            <w:id w:val="488068803"/>
          </w:sdtPr>
          <w:sdtEndPr/>
          <w:sdtContent>
            <w:tc>
              <w:tcPr>
                <w:tcW w:w="1650" w:type="pct"/>
                <w:gridSpan w:val="2"/>
                <w:shd w:val="clear" w:color="auto" w:fill="auto"/>
                <w:vAlign w:val="center"/>
              </w:tcPr>
              <w:p w14:paraId="132060CE" w14:textId="77777777" w:rsidR="002D0AE7" w:rsidRDefault="00333EBB">
                <w:pPr>
                  <w:jc w:val="center"/>
                  <w:rPr>
                    <w:rFonts w:hint="eastAsia"/>
                    <w:color w:val="000000" w:themeColor="text1"/>
                    <w:sz w:val="21"/>
                    <w:szCs w:val="21"/>
                  </w:rPr>
                </w:pPr>
                <w:r>
                  <w:rPr>
                    <w:rFonts w:hint="eastAsia"/>
                    <w:color w:val="000000" w:themeColor="text1"/>
                    <w:sz w:val="21"/>
                    <w:szCs w:val="21"/>
                  </w:rPr>
                  <w:t>期初余额</w:t>
                </w:r>
              </w:p>
            </w:tc>
          </w:sdtContent>
        </w:sdt>
      </w:tr>
      <w:tr w:rsidR="002D0AE7" w14:paraId="6C76D473" w14:textId="77777777">
        <w:trPr>
          <w:trHeight w:val="285"/>
          <w:jc w:val="center"/>
        </w:trPr>
        <w:tc>
          <w:tcPr>
            <w:tcW w:w="1615" w:type="pct"/>
            <w:vMerge/>
            <w:shd w:val="clear" w:color="auto" w:fill="auto"/>
            <w:vAlign w:val="center"/>
          </w:tcPr>
          <w:p w14:paraId="7CD8B940" w14:textId="77777777" w:rsidR="002D0AE7" w:rsidRDefault="002D0AE7">
            <w:pPr>
              <w:jc w:val="center"/>
              <w:rPr>
                <w:rFonts w:hint="eastAsia"/>
                <w:b/>
                <w:color w:val="000000" w:themeColor="text1"/>
                <w:sz w:val="21"/>
                <w:szCs w:val="21"/>
              </w:rPr>
            </w:pPr>
          </w:p>
        </w:tc>
        <w:sdt>
          <w:sdtPr>
            <w:rPr>
              <w:color w:val="000000" w:themeColor="text1"/>
              <w:sz w:val="21"/>
              <w:szCs w:val="21"/>
            </w:rPr>
            <w:tag w:val="_PLD_c82eb64547054aa39a1b7bfe7c532e2e"/>
            <w:id w:val="-1032257006"/>
          </w:sdtPr>
          <w:sdtEndPr/>
          <w:sdtContent>
            <w:tc>
              <w:tcPr>
                <w:tcW w:w="919" w:type="pct"/>
                <w:shd w:val="clear" w:color="auto" w:fill="auto"/>
                <w:vAlign w:val="center"/>
              </w:tcPr>
              <w:p w14:paraId="2147B620" w14:textId="77777777" w:rsidR="002D0AE7" w:rsidRDefault="00333EBB">
                <w:pPr>
                  <w:jc w:val="center"/>
                  <w:rPr>
                    <w:rFonts w:hint="eastAsia"/>
                    <w:color w:val="000000" w:themeColor="text1"/>
                    <w:sz w:val="21"/>
                    <w:szCs w:val="21"/>
                  </w:rPr>
                </w:pPr>
                <w:r>
                  <w:rPr>
                    <w:rFonts w:hint="eastAsia"/>
                    <w:color w:val="000000" w:themeColor="text1"/>
                    <w:sz w:val="21"/>
                    <w:szCs w:val="21"/>
                  </w:rPr>
                  <w:t>可抵扣暂时性差异</w:t>
                </w:r>
              </w:p>
            </w:tc>
          </w:sdtContent>
        </w:sdt>
        <w:sdt>
          <w:sdtPr>
            <w:rPr>
              <w:color w:val="000000" w:themeColor="text1"/>
              <w:sz w:val="21"/>
              <w:szCs w:val="21"/>
            </w:rPr>
            <w:tag w:val="_PLD_ad2e47975c52486d8bfc7fec079252de"/>
            <w:id w:val="-1000352116"/>
          </w:sdtPr>
          <w:sdtEndPr/>
          <w:sdtContent>
            <w:tc>
              <w:tcPr>
                <w:tcW w:w="816" w:type="pct"/>
                <w:shd w:val="clear" w:color="auto" w:fill="auto"/>
                <w:vAlign w:val="center"/>
              </w:tcPr>
              <w:p w14:paraId="5722B66D" w14:textId="77777777" w:rsidR="002D0AE7" w:rsidRDefault="00333EBB">
                <w:pPr>
                  <w:jc w:val="center"/>
                  <w:rPr>
                    <w:rFonts w:hint="eastAsia"/>
                    <w:color w:val="000000" w:themeColor="text1"/>
                    <w:sz w:val="21"/>
                    <w:szCs w:val="21"/>
                  </w:rPr>
                </w:pPr>
                <w:r>
                  <w:rPr>
                    <w:rFonts w:hint="eastAsia"/>
                    <w:color w:val="000000" w:themeColor="text1"/>
                    <w:sz w:val="21"/>
                    <w:szCs w:val="21"/>
                  </w:rPr>
                  <w:t>递延所得税</w:t>
                </w:r>
              </w:p>
              <w:p w14:paraId="69BD5467" w14:textId="77777777" w:rsidR="002D0AE7" w:rsidRDefault="00333EBB">
                <w:pPr>
                  <w:jc w:val="center"/>
                  <w:rPr>
                    <w:rFonts w:hint="eastAsia"/>
                    <w:color w:val="000000" w:themeColor="text1"/>
                    <w:sz w:val="21"/>
                    <w:szCs w:val="21"/>
                  </w:rPr>
                </w:pPr>
                <w:r>
                  <w:rPr>
                    <w:rFonts w:hint="eastAsia"/>
                    <w:color w:val="000000" w:themeColor="text1"/>
                    <w:sz w:val="21"/>
                    <w:szCs w:val="21"/>
                  </w:rPr>
                  <w:t>资产</w:t>
                </w:r>
              </w:p>
            </w:tc>
          </w:sdtContent>
        </w:sdt>
        <w:sdt>
          <w:sdtPr>
            <w:rPr>
              <w:color w:val="000000" w:themeColor="text1"/>
              <w:sz w:val="21"/>
              <w:szCs w:val="21"/>
            </w:rPr>
            <w:tag w:val="_PLD_0e0e7aabb5f8432ea9da8b4066b2e897"/>
            <w:id w:val="421769056"/>
          </w:sdtPr>
          <w:sdtEndPr/>
          <w:sdtContent>
            <w:tc>
              <w:tcPr>
                <w:tcW w:w="837" w:type="pct"/>
                <w:shd w:val="clear" w:color="auto" w:fill="auto"/>
                <w:vAlign w:val="center"/>
              </w:tcPr>
              <w:p w14:paraId="1F5BE756" w14:textId="77777777" w:rsidR="002D0AE7" w:rsidRDefault="00333EBB">
                <w:pPr>
                  <w:jc w:val="center"/>
                  <w:rPr>
                    <w:rFonts w:hint="eastAsia"/>
                    <w:color w:val="000000" w:themeColor="text1"/>
                    <w:sz w:val="21"/>
                    <w:szCs w:val="21"/>
                  </w:rPr>
                </w:pPr>
                <w:r>
                  <w:rPr>
                    <w:rFonts w:hint="eastAsia"/>
                    <w:color w:val="000000" w:themeColor="text1"/>
                    <w:sz w:val="21"/>
                    <w:szCs w:val="21"/>
                  </w:rPr>
                  <w:t>可抵扣暂时性差异</w:t>
                </w:r>
              </w:p>
            </w:tc>
          </w:sdtContent>
        </w:sdt>
        <w:sdt>
          <w:sdtPr>
            <w:rPr>
              <w:color w:val="000000" w:themeColor="text1"/>
              <w:sz w:val="21"/>
              <w:szCs w:val="21"/>
            </w:rPr>
            <w:tag w:val="_PLD_34147e3346eb4b24b314e0dadaab6983"/>
            <w:id w:val="1520123034"/>
          </w:sdtPr>
          <w:sdtEndPr/>
          <w:sdtContent>
            <w:tc>
              <w:tcPr>
                <w:tcW w:w="813" w:type="pct"/>
                <w:shd w:val="clear" w:color="auto" w:fill="auto"/>
                <w:vAlign w:val="center"/>
              </w:tcPr>
              <w:p w14:paraId="23C681A5" w14:textId="77777777" w:rsidR="002D0AE7" w:rsidRDefault="00333EBB">
                <w:pPr>
                  <w:jc w:val="center"/>
                  <w:rPr>
                    <w:rFonts w:hint="eastAsia"/>
                    <w:color w:val="000000" w:themeColor="text1"/>
                    <w:sz w:val="21"/>
                    <w:szCs w:val="21"/>
                  </w:rPr>
                </w:pPr>
                <w:r>
                  <w:rPr>
                    <w:rFonts w:hint="eastAsia"/>
                    <w:color w:val="000000" w:themeColor="text1"/>
                    <w:sz w:val="21"/>
                    <w:szCs w:val="21"/>
                  </w:rPr>
                  <w:t>递延所得税</w:t>
                </w:r>
              </w:p>
              <w:p w14:paraId="116861A6" w14:textId="77777777" w:rsidR="002D0AE7" w:rsidRDefault="00333EBB">
                <w:pPr>
                  <w:jc w:val="center"/>
                  <w:rPr>
                    <w:rFonts w:hint="eastAsia"/>
                    <w:color w:val="000000" w:themeColor="text1"/>
                    <w:sz w:val="21"/>
                    <w:szCs w:val="21"/>
                  </w:rPr>
                </w:pPr>
                <w:r>
                  <w:rPr>
                    <w:rFonts w:hint="eastAsia"/>
                    <w:color w:val="000000" w:themeColor="text1"/>
                    <w:sz w:val="21"/>
                    <w:szCs w:val="21"/>
                  </w:rPr>
                  <w:t>资产</w:t>
                </w:r>
              </w:p>
            </w:tc>
          </w:sdtContent>
        </w:sdt>
      </w:tr>
      <w:tr w:rsidR="002D0AE7" w14:paraId="171E5EA6" w14:textId="77777777">
        <w:trPr>
          <w:trHeight w:val="285"/>
          <w:jc w:val="center"/>
        </w:trPr>
        <w:tc>
          <w:tcPr>
            <w:tcW w:w="1615" w:type="pct"/>
            <w:shd w:val="clear" w:color="auto" w:fill="auto"/>
            <w:vAlign w:val="center"/>
          </w:tcPr>
          <w:p w14:paraId="25C133FE" w14:textId="77777777" w:rsidR="002D0AE7" w:rsidRDefault="00333EBB">
            <w:pPr>
              <w:rPr>
                <w:rFonts w:hint="eastAsia"/>
                <w:color w:val="000000" w:themeColor="text1"/>
                <w:sz w:val="21"/>
                <w:szCs w:val="21"/>
              </w:rPr>
            </w:pPr>
            <w:r>
              <w:rPr>
                <w:rFonts w:hint="eastAsia"/>
                <w:color w:val="000000" w:themeColor="text1"/>
                <w:sz w:val="21"/>
                <w:szCs w:val="21"/>
              </w:rPr>
              <w:t>资产减值准备</w:t>
            </w:r>
          </w:p>
        </w:tc>
        <w:tc>
          <w:tcPr>
            <w:tcW w:w="919" w:type="pct"/>
            <w:shd w:val="clear" w:color="auto" w:fill="auto"/>
            <w:vAlign w:val="center"/>
          </w:tcPr>
          <w:p w14:paraId="7FF4669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107,481,925.68</w:t>
            </w:r>
          </w:p>
        </w:tc>
        <w:tc>
          <w:tcPr>
            <w:tcW w:w="816" w:type="pct"/>
            <w:shd w:val="clear" w:color="auto" w:fill="auto"/>
            <w:vAlign w:val="center"/>
          </w:tcPr>
          <w:p w14:paraId="5E11C95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16,124,743.86</w:t>
            </w:r>
          </w:p>
        </w:tc>
        <w:tc>
          <w:tcPr>
            <w:tcW w:w="837" w:type="pct"/>
            <w:shd w:val="clear" w:color="auto" w:fill="auto"/>
            <w:vAlign w:val="center"/>
          </w:tcPr>
          <w:p w14:paraId="6B64DD1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105,924,196.01</w:t>
            </w:r>
          </w:p>
        </w:tc>
        <w:tc>
          <w:tcPr>
            <w:tcW w:w="813" w:type="pct"/>
            <w:shd w:val="clear" w:color="auto" w:fill="auto"/>
            <w:vAlign w:val="center"/>
          </w:tcPr>
          <w:p w14:paraId="1782FC8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15,888,629.40</w:t>
            </w:r>
          </w:p>
        </w:tc>
      </w:tr>
      <w:tr w:rsidR="002D0AE7" w14:paraId="38BBD236" w14:textId="77777777">
        <w:trPr>
          <w:trHeight w:val="285"/>
          <w:jc w:val="center"/>
        </w:trPr>
        <w:tc>
          <w:tcPr>
            <w:tcW w:w="1615" w:type="pct"/>
            <w:shd w:val="clear" w:color="auto" w:fill="auto"/>
            <w:vAlign w:val="center"/>
          </w:tcPr>
          <w:p w14:paraId="0321C21A" w14:textId="77777777" w:rsidR="002D0AE7" w:rsidRDefault="00333EBB">
            <w:pPr>
              <w:rPr>
                <w:rFonts w:hint="eastAsia"/>
                <w:sz w:val="21"/>
                <w:szCs w:val="21"/>
              </w:rPr>
            </w:pPr>
            <w:r>
              <w:rPr>
                <w:sz w:val="21"/>
                <w:szCs w:val="21"/>
              </w:rPr>
              <w:t>固定资产账面价值小于计税基础</w:t>
            </w:r>
          </w:p>
        </w:tc>
        <w:tc>
          <w:tcPr>
            <w:tcW w:w="919" w:type="pct"/>
            <w:shd w:val="clear" w:color="auto" w:fill="auto"/>
            <w:vAlign w:val="center"/>
          </w:tcPr>
          <w:p w14:paraId="412010F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711,520.75</w:t>
            </w:r>
          </w:p>
        </w:tc>
        <w:tc>
          <w:tcPr>
            <w:tcW w:w="816" w:type="pct"/>
            <w:shd w:val="clear" w:color="auto" w:fill="auto"/>
            <w:vAlign w:val="center"/>
          </w:tcPr>
          <w:p w14:paraId="0637FCC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106,728.12</w:t>
            </w:r>
          </w:p>
        </w:tc>
        <w:tc>
          <w:tcPr>
            <w:tcW w:w="837" w:type="pct"/>
            <w:shd w:val="clear" w:color="auto" w:fill="auto"/>
            <w:vAlign w:val="center"/>
          </w:tcPr>
          <w:p w14:paraId="2CE8FA0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784,894.95</w:t>
            </w:r>
          </w:p>
        </w:tc>
        <w:tc>
          <w:tcPr>
            <w:tcW w:w="813" w:type="pct"/>
            <w:shd w:val="clear" w:color="auto" w:fill="auto"/>
            <w:vAlign w:val="center"/>
          </w:tcPr>
          <w:p w14:paraId="00CC4D3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117,734.25</w:t>
            </w:r>
          </w:p>
        </w:tc>
      </w:tr>
      <w:tr w:rsidR="002D0AE7" w14:paraId="03BF26A6" w14:textId="77777777">
        <w:trPr>
          <w:trHeight w:val="285"/>
          <w:jc w:val="center"/>
        </w:trPr>
        <w:tc>
          <w:tcPr>
            <w:tcW w:w="1615" w:type="pct"/>
            <w:shd w:val="clear" w:color="auto" w:fill="auto"/>
            <w:vAlign w:val="center"/>
          </w:tcPr>
          <w:p w14:paraId="187C2C2D" w14:textId="77777777" w:rsidR="002D0AE7" w:rsidRDefault="00333EBB">
            <w:pPr>
              <w:rPr>
                <w:rFonts w:hint="eastAsia"/>
                <w:sz w:val="21"/>
                <w:szCs w:val="21"/>
              </w:rPr>
            </w:pPr>
            <w:r>
              <w:rPr>
                <w:sz w:val="21"/>
                <w:szCs w:val="21"/>
              </w:rPr>
              <w:t>内部交易未实现利润</w:t>
            </w:r>
          </w:p>
        </w:tc>
        <w:tc>
          <w:tcPr>
            <w:tcW w:w="919" w:type="pct"/>
            <w:shd w:val="clear" w:color="auto" w:fill="auto"/>
            <w:vAlign w:val="center"/>
          </w:tcPr>
          <w:p w14:paraId="6EB76F0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25,531,790.10</w:t>
            </w:r>
          </w:p>
        </w:tc>
        <w:tc>
          <w:tcPr>
            <w:tcW w:w="816" w:type="pct"/>
            <w:shd w:val="clear" w:color="auto" w:fill="auto"/>
            <w:vAlign w:val="center"/>
          </w:tcPr>
          <w:p w14:paraId="0E2B074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3,829,768.51</w:t>
            </w:r>
          </w:p>
        </w:tc>
        <w:tc>
          <w:tcPr>
            <w:tcW w:w="837" w:type="pct"/>
            <w:shd w:val="clear" w:color="auto" w:fill="auto"/>
            <w:vAlign w:val="center"/>
          </w:tcPr>
          <w:p w14:paraId="23C22CF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11,407,824.09</w:t>
            </w:r>
          </w:p>
        </w:tc>
        <w:tc>
          <w:tcPr>
            <w:tcW w:w="813" w:type="pct"/>
            <w:shd w:val="clear" w:color="auto" w:fill="auto"/>
            <w:vAlign w:val="center"/>
          </w:tcPr>
          <w:p w14:paraId="6B42FBB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1,711,173.62</w:t>
            </w:r>
          </w:p>
        </w:tc>
      </w:tr>
      <w:tr w:rsidR="002D0AE7" w14:paraId="480587BE" w14:textId="77777777">
        <w:trPr>
          <w:trHeight w:val="285"/>
          <w:jc w:val="center"/>
        </w:trPr>
        <w:tc>
          <w:tcPr>
            <w:tcW w:w="1615" w:type="pct"/>
            <w:shd w:val="clear" w:color="auto" w:fill="auto"/>
            <w:vAlign w:val="center"/>
          </w:tcPr>
          <w:p w14:paraId="573A6454" w14:textId="77777777" w:rsidR="002D0AE7" w:rsidRDefault="00333EBB">
            <w:pPr>
              <w:rPr>
                <w:rFonts w:hint="eastAsia"/>
                <w:sz w:val="21"/>
                <w:szCs w:val="21"/>
              </w:rPr>
            </w:pPr>
            <w:r>
              <w:rPr>
                <w:sz w:val="21"/>
                <w:szCs w:val="21"/>
              </w:rPr>
              <w:t>递延收益</w:t>
            </w:r>
          </w:p>
        </w:tc>
        <w:tc>
          <w:tcPr>
            <w:tcW w:w="919" w:type="pct"/>
            <w:shd w:val="clear" w:color="auto" w:fill="auto"/>
            <w:vAlign w:val="center"/>
          </w:tcPr>
          <w:p w14:paraId="7627C2E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100,524,784.82</w:t>
            </w:r>
          </w:p>
        </w:tc>
        <w:tc>
          <w:tcPr>
            <w:tcW w:w="816" w:type="pct"/>
            <w:shd w:val="clear" w:color="auto" w:fill="auto"/>
            <w:vAlign w:val="center"/>
          </w:tcPr>
          <w:p w14:paraId="6E6E0B2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15,078,717.71</w:t>
            </w:r>
          </w:p>
        </w:tc>
        <w:tc>
          <w:tcPr>
            <w:tcW w:w="837" w:type="pct"/>
            <w:shd w:val="clear" w:color="auto" w:fill="auto"/>
            <w:vAlign w:val="center"/>
          </w:tcPr>
          <w:p w14:paraId="0EB00B7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103,528,811.19</w:t>
            </w:r>
          </w:p>
        </w:tc>
        <w:tc>
          <w:tcPr>
            <w:tcW w:w="813" w:type="pct"/>
            <w:shd w:val="clear" w:color="auto" w:fill="auto"/>
            <w:vAlign w:val="center"/>
          </w:tcPr>
          <w:p w14:paraId="12B5157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15,529,321.66</w:t>
            </w:r>
          </w:p>
        </w:tc>
      </w:tr>
      <w:tr w:rsidR="002D0AE7" w14:paraId="1E4096A8" w14:textId="77777777">
        <w:trPr>
          <w:trHeight w:val="285"/>
          <w:jc w:val="center"/>
        </w:trPr>
        <w:tc>
          <w:tcPr>
            <w:tcW w:w="1615" w:type="pct"/>
            <w:shd w:val="clear" w:color="auto" w:fill="auto"/>
            <w:vAlign w:val="center"/>
          </w:tcPr>
          <w:p w14:paraId="17355420" w14:textId="77777777" w:rsidR="002D0AE7" w:rsidRDefault="00333EBB">
            <w:pPr>
              <w:rPr>
                <w:rFonts w:hint="eastAsia"/>
                <w:sz w:val="21"/>
                <w:szCs w:val="21"/>
              </w:rPr>
            </w:pPr>
            <w:r>
              <w:rPr>
                <w:sz w:val="21"/>
                <w:szCs w:val="21"/>
              </w:rPr>
              <w:t>其他权益工具投资公允价值变动</w:t>
            </w:r>
          </w:p>
        </w:tc>
        <w:tc>
          <w:tcPr>
            <w:tcW w:w="919" w:type="pct"/>
            <w:shd w:val="clear" w:color="auto" w:fill="auto"/>
            <w:vAlign w:val="center"/>
          </w:tcPr>
          <w:p w14:paraId="73E909C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21,142,163.40</w:t>
            </w:r>
          </w:p>
        </w:tc>
        <w:tc>
          <w:tcPr>
            <w:tcW w:w="816" w:type="pct"/>
            <w:shd w:val="clear" w:color="auto" w:fill="auto"/>
            <w:vAlign w:val="center"/>
          </w:tcPr>
          <w:p w14:paraId="4E28A29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3,171,324.51</w:t>
            </w:r>
          </w:p>
        </w:tc>
        <w:tc>
          <w:tcPr>
            <w:tcW w:w="837" w:type="pct"/>
            <w:shd w:val="clear" w:color="auto" w:fill="auto"/>
            <w:vAlign w:val="center"/>
          </w:tcPr>
          <w:p w14:paraId="07F2FEA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21,145,239.63</w:t>
            </w:r>
          </w:p>
        </w:tc>
        <w:tc>
          <w:tcPr>
            <w:tcW w:w="813" w:type="pct"/>
            <w:shd w:val="clear" w:color="auto" w:fill="auto"/>
            <w:vAlign w:val="center"/>
          </w:tcPr>
          <w:p w14:paraId="101F5D0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3,171,785.94</w:t>
            </w:r>
          </w:p>
        </w:tc>
      </w:tr>
      <w:tr w:rsidR="002D0AE7" w14:paraId="185AE9A1" w14:textId="77777777">
        <w:trPr>
          <w:trHeight w:val="285"/>
          <w:jc w:val="center"/>
        </w:trPr>
        <w:tc>
          <w:tcPr>
            <w:tcW w:w="1615" w:type="pct"/>
            <w:shd w:val="clear" w:color="auto" w:fill="auto"/>
            <w:vAlign w:val="center"/>
          </w:tcPr>
          <w:p w14:paraId="2EE07EF4" w14:textId="77777777" w:rsidR="002D0AE7" w:rsidRDefault="00333EBB">
            <w:pPr>
              <w:rPr>
                <w:rFonts w:hint="eastAsia"/>
                <w:sz w:val="21"/>
                <w:szCs w:val="21"/>
              </w:rPr>
            </w:pPr>
            <w:r>
              <w:rPr>
                <w:sz w:val="21"/>
                <w:szCs w:val="21"/>
              </w:rPr>
              <w:t>可抵扣亏损</w:t>
            </w:r>
          </w:p>
        </w:tc>
        <w:tc>
          <w:tcPr>
            <w:tcW w:w="919" w:type="pct"/>
            <w:shd w:val="clear" w:color="auto" w:fill="auto"/>
          </w:tcPr>
          <w:p w14:paraId="75731AE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16" w:type="pct"/>
            <w:shd w:val="clear" w:color="auto" w:fill="auto"/>
          </w:tcPr>
          <w:p w14:paraId="5BDBD59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37" w:type="pct"/>
            <w:shd w:val="clear" w:color="auto" w:fill="auto"/>
            <w:vAlign w:val="center"/>
          </w:tcPr>
          <w:p w14:paraId="1B9E4C1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35,933,731.27</w:t>
            </w:r>
          </w:p>
        </w:tc>
        <w:tc>
          <w:tcPr>
            <w:tcW w:w="813" w:type="pct"/>
            <w:shd w:val="clear" w:color="auto" w:fill="auto"/>
            <w:vAlign w:val="center"/>
          </w:tcPr>
          <w:p w14:paraId="22D9CB5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5,390,059.69</w:t>
            </w:r>
          </w:p>
        </w:tc>
      </w:tr>
      <w:tr w:rsidR="002D0AE7" w14:paraId="3030E851" w14:textId="77777777">
        <w:trPr>
          <w:trHeight w:val="285"/>
          <w:jc w:val="center"/>
        </w:trPr>
        <w:tc>
          <w:tcPr>
            <w:tcW w:w="1615" w:type="pct"/>
            <w:shd w:val="clear" w:color="auto" w:fill="auto"/>
            <w:vAlign w:val="center"/>
          </w:tcPr>
          <w:p w14:paraId="72C18639"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919" w:type="pct"/>
            <w:shd w:val="clear" w:color="auto" w:fill="auto"/>
            <w:vAlign w:val="center"/>
          </w:tcPr>
          <w:p w14:paraId="0547368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255,392,184.75</w:t>
            </w:r>
          </w:p>
        </w:tc>
        <w:tc>
          <w:tcPr>
            <w:tcW w:w="816" w:type="pct"/>
            <w:shd w:val="clear" w:color="auto" w:fill="auto"/>
            <w:vAlign w:val="center"/>
          </w:tcPr>
          <w:p w14:paraId="1803188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38,311,282.71</w:t>
            </w:r>
          </w:p>
        </w:tc>
        <w:tc>
          <w:tcPr>
            <w:tcW w:w="837" w:type="pct"/>
            <w:shd w:val="clear" w:color="auto" w:fill="auto"/>
            <w:vAlign w:val="center"/>
          </w:tcPr>
          <w:p w14:paraId="49D0E42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278,724,697.14</w:t>
            </w:r>
          </w:p>
        </w:tc>
        <w:tc>
          <w:tcPr>
            <w:tcW w:w="813" w:type="pct"/>
            <w:shd w:val="clear" w:color="auto" w:fill="auto"/>
            <w:vAlign w:val="center"/>
          </w:tcPr>
          <w:p w14:paraId="6DCEC38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41,808,704.56</w:t>
            </w:r>
          </w:p>
        </w:tc>
      </w:tr>
    </w:tbl>
    <w:p w14:paraId="5F4D3B13" w14:textId="77777777" w:rsidR="002D0AE7" w:rsidRDefault="00333EBB">
      <w:pPr>
        <w:pStyle w:val="4"/>
        <w:numPr>
          <w:ilvl w:val="0"/>
          <w:numId w:val="56"/>
        </w:numPr>
        <w:tabs>
          <w:tab w:val="left" w:pos="588"/>
          <w:tab w:val="left" w:pos="616"/>
        </w:tabs>
        <w:rPr>
          <w:rFonts w:ascii="宋体" w:hAnsi="宋体" w:hint="eastAsia"/>
          <w:color w:val="000000" w:themeColor="text1"/>
        </w:rPr>
      </w:pPr>
      <w:r>
        <w:rPr>
          <w:rFonts w:ascii="宋体" w:hAnsi="宋体" w:hint="eastAsia"/>
          <w:color w:val="000000" w:themeColor="text1"/>
        </w:rPr>
        <w:t>未经抵销的递延所得税负债</w:t>
      </w:r>
    </w:p>
    <w:sdt>
      <w:sdtPr>
        <w:rPr>
          <w:color w:val="000000" w:themeColor="text1"/>
        </w:rPr>
        <w:alias w:val="是否适用：未经抵销的递延所得税负债[双击切换]"/>
        <w:tag w:val="_GBC_e9cf2825b61d4a9ca57e90c2ed017173"/>
        <w:id w:val="-1622067984"/>
        <w:placeholder>
          <w:docPart w:val="GBC22222222222222222222222222222"/>
        </w:placeholder>
      </w:sdtPr>
      <w:sdtEndPr/>
      <w:sdtContent>
        <w:p w14:paraId="30E024F7"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21F6E223"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未经抵销的递延所得税负债"/>
          <w:tag w:val="_GBC_7fa4a7048e284eb79ceb0dee5165516f"/>
          <w:id w:val="78015390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未经抵销的递延所得税负债"/>
          <w:tag w:val="_GBC_85beae3a7d624858bfe37a33da15472b"/>
          <w:id w:val="-12809035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7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701"/>
        <w:gridCol w:w="1560"/>
        <w:gridCol w:w="1703"/>
        <w:gridCol w:w="1556"/>
      </w:tblGrid>
      <w:tr w:rsidR="002D0AE7" w14:paraId="0BF3F6E2" w14:textId="77777777">
        <w:trPr>
          <w:trHeight w:val="285"/>
          <w:jc w:val="center"/>
        </w:trPr>
        <w:bookmarkEnd w:id="191" w:displacedByCustomXml="next"/>
        <w:bookmarkStart w:id="192" w:name="_Hlk11160645" w:displacedByCustomXml="next"/>
        <w:sdt>
          <w:sdtPr>
            <w:rPr>
              <w:color w:val="000000" w:themeColor="text1"/>
              <w:sz w:val="21"/>
              <w:szCs w:val="21"/>
            </w:rPr>
            <w:tag w:val="_PLD_66ef6111bb2d4b3792b581d6ff38c8d2"/>
            <w:id w:val="-799914652"/>
          </w:sdtPr>
          <w:sdtEndPr/>
          <w:sdtContent>
            <w:tc>
              <w:tcPr>
                <w:tcW w:w="1761" w:type="pct"/>
                <w:vMerge w:val="restart"/>
                <w:shd w:val="clear" w:color="auto" w:fill="auto"/>
                <w:vAlign w:val="center"/>
              </w:tcPr>
              <w:p w14:paraId="174E1A5B"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b850d4f63866495f80e69799c9ea1b37"/>
            <w:id w:val="1688323933"/>
          </w:sdtPr>
          <w:sdtEndPr/>
          <w:sdtContent>
            <w:tc>
              <w:tcPr>
                <w:tcW w:w="1620" w:type="pct"/>
                <w:gridSpan w:val="2"/>
                <w:shd w:val="clear" w:color="auto" w:fill="auto"/>
                <w:vAlign w:val="center"/>
              </w:tcPr>
              <w:p w14:paraId="2A55CD08"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sdt>
          <w:sdtPr>
            <w:rPr>
              <w:color w:val="000000" w:themeColor="text1"/>
              <w:sz w:val="21"/>
              <w:szCs w:val="21"/>
            </w:rPr>
            <w:tag w:val="_PLD_951c3eee882c4aaa862f620814f6ce4e"/>
            <w:id w:val="-1630773929"/>
          </w:sdtPr>
          <w:sdtEndPr/>
          <w:sdtContent>
            <w:tc>
              <w:tcPr>
                <w:tcW w:w="1619" w:type="pct"/>
                <w:gridSpan w:val="2"/>
                <w:shd w:val="clear" w:color="auto" w:fill="auto"/>
                <w:vAlign w:val="center"/>
              </w:tcPr>
              <w:p w14:paraId="38A779AF" w14:textId="77777777" w:rsidR="002D0AE7" w:rsidRDefault="00333EBB">
                <w:pPr>
                  <w:jc w:val="center"/>
                  <w:rPr>
                    <w:rFonts w:hint="eastAsia"/>
                    <w:color w:val="000000" w:themeColor="text1"/>
                    <w:sz w:val="21"/>
                    <w:szCs w:val="21"/>
                  </w:rPr>
                </w:pPr>
                <w:r>
                  <w:rPr>
                    <w:rFonts w:hint="eastAsia"/>
                    <w:color w:val="000000" w:themeColor="text1"/>
                    <w:sz w:val="21"/>
                    <w:szCs w:val="21"/>
                  </w:rPr>
                  <w:t>期初余额</w:t>
                </w:r>
              </w:p>
            </w:tc>
          </w:sdtContent>
        </w:sdt>
      </w:tr>
      <w:tr w:rsidR="002D0AE7" w14:paraId="64CF2122" w14:textId="77777777">
        <w:trPr>
          <w:trHeight w:val="285"/>
          <w:jc w:val="center"/>
        </w:trPr>
        <w:tc>
          <w:tcPr>
            <w:tcW w:w="1761" w:type="pct"/>
            <w:vMerge/>
            <w:shd w:val="clear" w:color="auto" w:fill="auto"/>
            <w:vAlign w:val="center"/>
          </w:tcPr>
          <w:p w14:paraId="2952FA72" w14:textId="77777777" w:rsidR="002D0AE7" w:rsidRDefault="002D0AE7">
            <w:pPr>
              <w:jc w:val="center"/>
              <w:rPr>
                <w:rFonts w:hint="eastAsia"/>
                <w:b/>
                <w:color w:val="000000" w:themeColor="text1"/>
                <w:sz w:val="21"/>
                <w:szCs w:val="21"/>
              </w:rPr>
            </w:pPr>
          </w:p>
        </w:tc>
        <w:sdt>
          <w:sdtPr>
            <w:rPr>
              <w:color w:val="000000" w:themeColor="text1"/>
              <w:sz w:val="21"/>
              <w:szCs w:val="21"/>
            </w:rPr>
            <w:tag w:val="_PLD_f33e3c528ff14a2bac81ec99970641f6"/>
            <w:id w:val="456536133"/>
          </w:sdtPr>
          <w:sdtEndPr/>
          <w:sdtContent>
            <w:tc>
              <w:tcPr>
                <w:tcW w:w="845" w:type="pct"/>
                <w:shd w:val="clear" w:color="auto" w:fill="auto"/>
                <w:vAlign w:val="center"/>
              </w:tcPr>
              <w:p w14:paraId="6F5E9FAF" w14:textId="77777777" w:rsidR="002D0AE7" w:rsidRDefault="00333EBB">
                <w:pPr>
                  <w:jc w:val="center"/>
                  <w:rPr>
                    <w:rFonts w:hint="eastAsia"/>
                    <w:color w:val="000000" w:themeColor="text1"/>
                    <w:sz w:val="21"/>
                    <w:szCs w:val="21"/>
                  </w:rPr>
                </w:pPr>
                <w:r>
                  <w:rPr>
                    <w:rFonts w:hint="eastAsia"/>
                    <w:color w:val="000000" w:themeColor="text1"/>
                    <w:sz w:val="21"/>
                    <w:szCs w:val="21"/>
                  </w:rPr>
                  <w:t>应纳税暂时性差异</w:t>
                </w:r>
              </w:p>
            </w:tc>
          </w:sdtContent>
        </w:sdt>
        <w:sdt>
          <w:sdtPr>
            <w:rPr>
              <w:color w:val="000000" w:themeColor="text1"/>
              <w:sz w:val="21"/>
              <w:szCs w:val="21"/>
            </w:rPr>
            <w:tag w:val="_PLD_0cb734f9904e4a57a5107d601b9b38d1"/>
            <w:id w:val="471343187"/>
          </w:sdtPr>
          <w:sdtEndPr/>
          <w:sdtContent>
            <w:tc>
              <w:tcPr>
                <w:tcW w:w="775" w:type="pct"/>
                <w:shd w:val="clear" w:color="auto" w:fill="auto"/>
                <w:vAlign w:val="center"/>
              </w:tcPr>
              <w:p w14:paraId="1C20E63A" w14:textId="77777777" w:rsidR="002D0AE7" w:rsidRDefault="00333EBB">
                <w:pPr>
                  <w:jc w:val="center"/>
                  <w:rPr>
                    <w:rFonts w:hint="eastAsia"/>
                    <w:color w:val="000000" w:themeColor="text1"/>
                    <w:sz w:val="21"/>
                    <w:szCs w:val="21"/>
                  </w:rPr>
                </w:pPr>
                <w:r>
                  <w:rPr>
                    <w:rFonts w:hint="eastAsia"/>
                    <w:color w:val="000000" w:themeColor="text1"/>
                    <w:sz w:val="21"/>
                    <w:szCs w:val="21"/>
                  </w:rPr>
                  <w:t>递延所得税</w:t>
                </w:r>
              </w:p>
              <w:p w14:paraId="352CF70B" w14:textId="77777777" w:rsidR="002D0AE7" w:rsidRDefault="00333EBB">
                <w:pPr>
                  <w:jc w:val="center"/>
                  <w:rPr>
                    <w:rFonts w:hint="eastAsia"/>
                    <w:color w:val="000000" w:themeColor="text1"/>
                    <w:sz w:val="21"/>
                    <w:szCs w:val="21"/>
                  </w:rPr>
                </w:pPr>
                <w:r>
                  <w:rPr>
                    <w:rFonts w:hint="eastAsia"/>
                    <w:color w:val="000000" w:themeColor="text1"/>
                    <w:sz w:val="21"/>
                    <w:szCs w:val="21"/>
                  </w:rPr>
                  <w:t>负债</w:t>
                </w:r>
              </w:p>
            </w:tc>
          </w:sdtContent>
        </w:sdt>
        <w:sdt>
          <w:sdtPr>
            <w:rPr>
              <w:color w:val="000000" w:themeColor="text1"/>
              <w:sz w:val="21"/>
              <w:szCs w:val="21"/>
            </w:rPr>
            <w:tag w:val="_PLD_ddf3980c66a840e782386c14bb078052"/>
            <w:id w:val="1715071953"/>
          </w:sdtPr>
          <w:sdtEndPr/>
          <w:sdtContent>
            <w:tc>
              <w:tcPr>
                <w:tcW w:w="846" w:type="pct"/>
                <w:shd w:val="clear" w:color="auto" w:fill="auto"/>
                <w:vAlign w:val="center"/>
              </w:tcPr>
              <w:p w14:paraId="190E2EC6" w14:textId="77777777" w:rsidR="002D0AE7" w:rsidRDefault="00333EBB">
                <w:pPr>
                  <w:jc w:val="center"/>
                  <w:rPr>
                    <w:rFonts w:hint="eastAsia"/>
                    <w:color w:val="000000" w:themeColor="text1"/>
                    <w:sz w:val="21"/>
                    <w:szCs w:val="21"/>
                  </w:rPr>
                </w:pPr>
                <w:r>
                  <w:rPr>
                    <w:rFonts w:hint="eastAsia"/>
                    <w:color w:val="000000" w:themeColor="text1"/>
                    <w:sz w:val="21"/>
                    <w:szCs w:val="21"/>
                  </w:rPr>
                  <w:t>应纳税暂时性差异</w:t>
                </w:r>
              </w:p>
            </w:tc>
          </w:sdtContent>
        </w:sdt>
        <w:sdt>
          <w:sdtPr>
            <w:rPr>
              <w:color w:val="000000" w:themeColor="text1"/>
              <w:sz w:val="21"/>
              <w:szCs w:val="21"/>
            </w:rPr>
            <w:tag w:val="_PLD_590dc17e8304449fbff47c3b3cd45eb5"/>
            <w:id w:val="787628838"/>
          </w:sdtPr>
          <w:sdtEndPr/>
          <w:sdtContent>
            <w:tc>
              <w:tcPr>
                <w:tcW w:w="773" w:type="pct"/>
                <w:shd w:val="clear" w:color="auto" w:fill="auto"/>
                <w:vAlign w:val="center"/>
              </w:tcPr>
              <w:p w14:paraId="50252A3C" w14:textId="77777777" w:rsidR="002D0AE7" w:rsidRDefault="00333EBB">
                <w:pPr>
                  <w:jc w:val="center"/>
                  <w:rPr>
                    <w:rFonts w:hint="eastAsia"/>
                    <w:color w:val="000000" w:themeColor="text1"/>
                    <w:sz w:val="21"/>
                    <w:szCs w:val="21"/>
                  </w:rPr>
                </w:pPr>
                <w:r>
                  <w:rPr>
                    <w:rFonts w:hint="eastAsia"/>
                    <w:color w:val="000000" w:themeColor="text1"/>
                    <w:sz w:val="21"/>
                    <w:szCs w:val="21"/>
                  </w:rPr>
                  <w:t>递延所得税</w:t>
                </w:r>
              </w:p>
              <w:p w14:paraId="3CD22480" w14:textId="77777777" w:rsidR="002D0AE7" w:rsidRDefault="00333EBB">
                <w:pPr>
                  <w:jc w:val="center"/>
                  <w:rPr>
                    <w:rFonts w:hint="eastAsia"/>
                    <w:color w:val="000000" w:themeColor="text1"/>
                    <w:sz w:val="21"/>
                    <w:szCs w:val="21"/>
                  </w:rPr>
                </w:pPr>
                <w:r>
                  <w:rPr>
                    <w:rFonts w:hint="eastAsia"/>
                    <w:color w:val="000000" w:themeColor="text1"/>
                    <w:sz w:val="21"/>
                    <w:szCs w:val="21"/>
                  </w:rPr>
                  <w:t>负债</w:t>
                </w:r>
              </w:p>
            </w:tc>
          </w:sdtContent>
        </w:sdt>
      </w:tr>
      <w:tr w:rsidR="002D0AE7" w14:paraId="20C2D6D5" w14:textId="77777777">
        <w:trPr>
          <w:trHeight w:val="285"/>
          <w:jc w:val="center"/>
        </w:trPr>
        <w:tc>
          <w:tcPr>
            <w:tcW w:w="1761" w:type="pct"/>
            <w:shd w:val="clear" w:color="auto" w:fill="auto"/>
          </w:tcPr>
          <w:p w14:paraId="7936FEFF" w14:textId="77777777" w:rsidR="002D0AE7" w:rsidRDefault="00333EBB">
            <w:pPr>
              <w:rPr>
                <w:rFonts w:hint="eastAsia"/>
                <w:color w:val="000000" w:themeColor="text1"/>
                <w:sz w:val="21"/>
                <w:szCs w:val="21"/>
              </w:rPr>
            </w:pPr>
            <w:r>
              <w:rPr>
                <w:rFonts w:hint="eastAsia"/>
                <w:color w:val="000000" w:themeColor="text1"/>
                <w:sz w:val="21"/>
                <w:szCs w:val="21"/>
              </w:rPr>
              <w:t>其他权益工具投资公允价值变动</w:t>
            </w:r>
          </w:p>
        </w:tc>
        <w:tc>
          <w:tcPr>
            <w:tcW w:w="845" w:type="pct"/>
            <w:shd w:val="clear" w:color="auto" w:fill="auto"/>
            <w:vAlign w:val="center"/>
          </w:tcPr>
          <w:p w14:paraId="4DE1812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84,809,186.93</w:t>
            </w:r>
          </w:p>
        </w:tc>
        <w:tc>
          <w:tcPr>
            <w:tcW w:w="775" w:type="pct"/>
            <w:shd w:val="clear" w:color="auto" w:fill="auto"/>
            <w:vAlign w:val="center"/>
          </w:tcPr>
          <w:p w14:paraId="5F25CE5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12,721,378.04</w:t>
            </w:r>
          </w:p>
        </w:tc>
        <w:tc>
          <w:tcPr>
            <w:tcW w:w="846" w:type="pct"/>
            <w:shd w:val="clear" w:color="auto" w:fill="auto"/>
            <w:vAlign w:val="center"/>
          </w:tcPr>
          <w:p w14:paraId="486A2A3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81,876,400.58</w:t>
            </w:r>
          </w:p>
        </w:tc>
        <w:tc>
          <w:tcPr>
            <w:tcW w:w="773" w:type="pct"/>
            <w:shd w:val="clear" w:color="auto" w:fill="auto"/>
            <w:vAlign w:val="center"/>
          </w:tcPr>
          <w:p w14:paraId="2BE2397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12,281,460.09</w:t>
            </w:r>
          </w:p>
        </w:tc>
      </w:tr>
      <w:tr w:rsidR="002D0AE7" w14:paraId="2DC58ADA" w14:textId="77777777">
        <w:trPr>
          <w:trHeight w:val="285"/>
          <w:jc w:val="center"/>
        </w:trPr>
        <w:tc>
          <w:tcPr>
            <w:tcW w:w="1761" w:type="pct"/>
            <w:shd w:val="clear" w:color="auto" w:fill="auto"/>
            <w:vAlign w:val="center"/>
          </w:tcPr>
          <w:p w14:paraId="6DB86BFD" w14:textId="77777777" w:rsidR="002D0AE7" w:rsidRDefault="00333EBB">
            <w:pPr>
              <w:rPr>
                <w:rFonts w:hint="eastAsia"/>
                <w:sz w:val="21"/>
                <w:szCs w:val="21"/>
              </w:rPr>
            </w:pPr>
            <w:r>
              <w:rPr>
                <w:sz w:val="21"/>
                <w:szCs w:val="21"/>
              </w:rPr>
              <w:t>低于</w:t>
            </w:r>
            <w:r>
              <w:rPr>
                <w:sz w:val="21"/>
                <w:szCs w:val="21"/>
              </w:rPr>
              <w:t>500</w:t>
            </w:r>
            <w:r>
              <w:rPr>
                <w:sz w:val="21"/>
                <w:szCs w:val="21"/>
              </w:rPr>
              <w:t>万元设备税前一次性扣除</w:t>
            </w:r>
          </w:p>
        </w:tc>
        <w:tc>
          <w:tcPr>
            <w:tcW w:w="845" w:type="pct"/>
            <w:shd w:val="clear" w:color="auto" w:fill="auto"/>
            <w:vAlign w:val="center"/>
          </w:tcPr>
          <w:p w14:paraId="5713B51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34,529,180.11</w:t>
            </w:r>
          </w:p>
        </w:tc>
        <w:tc>
          <w:tcPr>
            <w:tcW w:w="775" w:type="pct"/>
            <w:shd w:val="clear" w:color="auto" w:fill="auto"/>
            <w:vAlign w:val="center"/>
          </w:tcPr>
          <w:p w14:paraId="2A17B1B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5,179,377.01</w:t>
            </w:r>
          </w:p>
        </w:tc>
        <w:tc>
          <w:tcPr>
            <w:tcW w:w="846" w:type="pct"/>
            <w:shd w:val="clear" w:color="auto" w:fill="auto"/>
            <w:vAlign w:val="center"/>
          </w:tcPr>
          <w:p w14:paraId="6A0A6CD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38,462,448.66</w:t>
            </w:r>
          </w:p>
        </w:tc>
        <w:tc>
          <w:tcPr>
            <w:tcW w:w="773" w:type="pct"/>
            <w:shd w:val="clear" w:color="auto" w:fill="auto"/>
            <w:vAlign w:val="center"/>
          </w:tcPr>
          <w:p w14:paraId="2CFE2B0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5,769,367.30</w:t>
            </w:r>
          </w:p>
        </w:tc>
      </w:tr>
      <w:tr w:rsidR="002D0AE7" w14:paraId="0B97E3FC" w14:textId="77777777">
        <w:trPr>
          <w:trHeight w:val="285"/>
          <w:jc w:val="center"/>
        </w:trPr>
        <w:tc>
          <w:tcPr>
            <w:tcW w:w="1761" w:type="pct"/>
            <w:shd w:val="clear" w:color="auto" w:fill="auto"/>
            <w:vAlign w:val="center"/>
          </w:tcPr>
          <w:p w14:paraId="0E6CA8D6" w14:textId="77777777" w:rsidR="002D0AE7" w:rsidRDefault="00333EBB">
            <w:pPr>
              <w:rPr>
                <w:rFonts w:hint="eastAsia"/>
                <w:sz w:val="21"/>
                <w:szCs w:val="21"/>
              </w:rPr>
            </w:pPr>
            <w:r>
              <w:rPr>
                <w:sz w:val="21"/>
                <w:szCs w:val="21"/>
              </w:rPr>
              <w:t>不满足收入确认条件的资产转让</w:t>
            </w:r>
          </w:p>
        </w:tc>
        <w:tc>
          <w:tcPr>
            <w:tcW w:w="845" w:type="pct"/>
            <w:shd w:val="clear" w:color="auto" w:fill="auto"/>
            <w:vAlign w:val="center"/>
          </w:tcPr>
          <w:p w14:paraId="7995D2D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413,982.89</w:t>
            </w:r>
          </w:p>
        </w:tc>
        <w:tc>
          <w:tcPr>
            <w:tcW w:w="775" w:type="pct"/>
            <w:shd w:val="clear" w:color="auto" w:fill="auto"/>
            <w:vAlign w:val="center"/>
          </w:tcPr>
          <w:p w14:paraId="03C6455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62,097.44</w:t>
            </w:r>
          </w:p>
        </w:tc>
        <w:tc>
          <w:tcPr>
            <w:tcW w:w="846" w:type="pct"/>
            <w:shd w:val="clear" w:color="auto" w:fill="auto"/>
            <w:vAlign w:val="center"/>
          </w:tcPr>
          <w:p w14:paraId="685E0BB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441,581.75</w:t>
            </w:r>
          </w:p>
        </w:tc>
        <w:tc>
          <w:tcPr>
            <w:tcW w:w="773" w:type="pct"/>
            <w:shd w:val="clear" w:color="auto" w:fill="auto"/>
            <w:vAlign w:val="center"/>
          </w:tcPr>
          <w:p w14:paraId="7AF45CC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66,237.26</w:t>
            </w:r>
          </w:p>
        </w:tc>
      </w:tr>
      <w:tr w:rsidR="002D0AE7" w14:paraId="2AEEDAF9" w14:textId="77777777">
        <w:trPr>
          <w:trHeight w:val="285"/>
          <w:jc w:val="center"/>
        </w:trPr>
        <w:tc>
          <w:tcPr>
            <w:tcW w:w="1761" w:type="pct"/>
            <w:shd w:val="clear" w:color="auto" w:fill="auto"/>
            <w:vAlign w:val="center"/>
          </w:tcPr>
          <w:p w14:paraId="5D11FC1C"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845" w:type="pct"/>
            <w:shd w:val="clear" w:color="auto" w:fill="auto"/>
            <w:vAlign w:val="center"/>
          </w:tcPr>
          <w:p w14:paraId="1601958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119,752,349.93</w:t>
            </w:r>
          </w:p>
        </w:tc>
        <w:tc>
          <w:tcPr>
            <w:tcW w:w="775" w:type="pct"/>
            <w:shd w:val="clear" w:color="auto" w:fill="auto"/>
            <w:vAlign w:val="center"/>
          </w:tcPr>
          <w:p w14:paraId="55D2A10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17,962,852.49</w:t>
            </w:r>
          </w:p>
        </w:tc>
        <w:tc>
          <w:tcPr>
            <w:tcW w:w="846" w:type="pct"/>
            <w:shd w:val="clear" w:color="auto" w:fill="auto"/>
            <w:vAlign w:val="center"/>
          </w:tcPr>
          <w:p w14:paraId="0C7877D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120,780,430.99</w:t>
            </w:r>
          </w:p>
        </w:tc>
        <w:tc>
          <w:tcPr>
            <w:tcW w:w="773" w:type="pct"/>
            <w:shd w:val="clear" w:color="auto" w:fill="auto"/>
            <w:vAlign w:val="center"/>
          </w:tcPr>
          <w:p w14:paraId="049A34F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18,117,064.65</w:t>
            </w:r>
          </w:p>
        </w:tc>
      </w:tr>
    </w:tbl>
    <w:p w14:paraId="285343DF" w14:textId="77777777" w:rsidR="002D0AE7" w:rsidRDefault="00333EBB">
      <w:pPr>
        <w:pStyle w:val="4"/>
        <w:numPr>
          <w:ilvl w:val="0"/>
          <w:numId w:val="56"/>
        </w:numPr>
        <w:tabs>
          <w:tab w:val="left" w:pos="588"/>
          <w:tab w:val="left" w:pos="616"/>
        </w:tabs>
        <w:rPr>
          <w:rFonts w:ascii="宋体" w:hAnsi="宋体" w:hint="eastAsia"/>
          <w:color w:val="000000" w:themeColor="text1"/>
          <w:szCs w:val="21"/>
        </w:rPr>
      </w:pPr>
      <w:bookmarkStart w:id="193" w:name="_Hlk11160660"/>
      <w:bookmarkEnd w:id="192"/>
      <w:r>
        <w:rPr>
          <w:rFonts w:ascii="宋体" w:hAnsi="宋体" w:hint="eastAsia"/>
          <w:color w:val="000000" w:themeColor="text1"/>
          <w:szCs w:val="21"/>
        </w:rPr>
        <w:t>未确认递延</w:t>
      </w:r>
      <w:r>
        <w:rPr>
          <w:rFonts w:ascii="宋体" w:hAnsi="宋体" w:hint="eastAsia"/>
          <w:color w:val="000000" w:themeColor="text1"/>
        </w:rPr>
        <w:t>所得税</w:t>
      </w:r>
      <w:r>
        <w:rPr>
          <w:rFonts w:ascii="宋体" w:hAnsi="宋体" w:hint="eastAsia"/>
          <w:color w:val="000000" w:themeColor="text1"/>
          <w:szCs w:val="21"/>
        </w:rPr>
        <w:t>资产明细</w:t>
      </w:r>
    </w:p>
    <w:sdt>
      <w:sdtPr>
        <w:rPr>
          <w:color w:val="000000" w:themeColor="text1"/>
        </w:rPr>
        <w:alias w:val="是否适用：未确认递延所得税资产明细[双击切换]"/>
        <w:tag w:val="_GBC_f210878b05204277b5f70ed9ae786ea7"/>
        <w:id w:val="1083881621"/>
        <w:placeholder>
          <w:docPart w:val="GBC22222222222222222222222222222"/>
        </w:placeholder>
      </w:sdtPr>
      <w:sdtEndPr/>
      <w:sdtContent>
        <w:p w14:paraId="1D5F8B72"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75754830"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未确认递延所得税资产明细"/>
          <w:tag w:val="_GBC_ce13c0c07be34b60aa76bbbf1260928d"/>
          <w:id w:val="-158613753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未确认递延所得税资产明细"/>
          <w:tag w:val="_GBC_8f1c08c0092d44718e258d0b64b7bf6f"/>
          <w:id w:val="150864282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2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0"/>
        <w:gridCol w:w="2000"/>
        <w:gridCol w:w="1602"/>
      </w:tblGrid>
      <w:tr w:rsidR="002D0AE7" w14:paraId="7A90ED3E" w14:textId="77777777">
        <w:trPr>
          <w:trHeight w:val="285"/>
          <w:jc w:val="center"/>
        </w:trPr>
        <w:bookmarkEnd w:id="193" w:displacedByCustomXml="next"/>
        <w:bookmarkStart w:id="194" w:name="_Hlk11160672" w:displacedByCustomXml="next"/>
        <w:sdt>
          <w:sdtPr>
            <w:rPr>
              <w:color w:val="000000" w:themeColor="text1"/>
              <w:sz w:val="21"/>
              <w:szCs w:val="21"/>
            </w:rPr>
            <w:tag w:val="_PLD_bfd226eac09b4e2fb1cc66684c879c9b"/>
            <w:id w:val="1238206730"/>
          </w:sdtPr>
          <w:sdtEndPr/>
          <w:sdtContent>
            <w:tc>
              <w:tcPr>
                <w:tcW w:w="3053" w:type="pct"/>
                <w:tcBorders>
                  <w:top w:val="single" w:sz="4" w:space="0" w:color="auto"/>
                  <w:left w:val="single" w:sz="4" w:space="0" w:color="auto"/>
                  <w:bottom w:val="single" w:sz="4" w:space="0" w:color="auto"/>
                  <w:right w:val="single" w:sz="4" w:space="0" w:color="auto"/>
                </w:tcBorders>
                <w:vAlign w:val="center"/>
              </w:tcPr>
              <w:p w14:paraId="2F5F46FC"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bba7988c74a34dcf950349beb6df1c0b"/>
            <w:id w:val="-1802845218"/>
          </w:sdtPr>
          <w:sdtEndPr/>
          <w:sdtContent>
            <w:tc>
              <w:tcPr>
                <w:tcW w:w="1081" w:type="pct"/>
                <w:tcBorders>
                  <w:top w:val="single" w:sz="4" w:space="0" w:color="auto"/>
                  <w:left w:val="single" w:sz="4" w:space="0" w:color="auto"/>
                  <w:bottom w:val="single" w:sz="4" w:space="0" w:color="auto"/>
                  <w:right w:val="single" w:sz="4" w:space="0" w:color="auto"/>
                </w:tcBorders>
                <w:vAlign w:val="center"/>
              </w:tcPr>
              <w:p w14:paraId="7532FA99"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sdt>
          <w:sdtPr>
            <w:rPr>
              <w:color w:val="000000" w:themeColor="text1"/>
              <w:sz w:val="21"/>
              <w:szCs w:val="21"/>
            </w:rPr>
            <w:tag w:val="_PLD_36004da9855d4469bf16ab328077f444"/>
            <w:id w:val="-2082053499"/>
          </w:sdtPr>
          <w:sdtEndPr/>
          <w:sdtContent>
            <w:tc>
              <w:tcPr>
                <w:tcW w:w="866" w:type="pct"/>
                <w:tcBorders>
                  <w:top w:val="single" w:sz="4" w:space="0" w:color="auto"/>
                  <w:left w:val="single" w:sz="4" w:space="0" w:color="auto"/>
                  <w:bottom w:val="single" w:sz="4" w:space="0" w:color="auto"/>
                  <w:right w:val="single" w:sz="4" w:space="0" w:color="auto"/>
                </w:tcBorders>
                <w:vAlign w:val="center"/>
              </w:tcPr>
              <w:p w14:paraId="3FC4C39B" w14:textId="77777777" w:rsidR="002D0AE7" w:rsidRDefault="00333EBB">
                <w:pPr>
                  <w:jc w:val="center"/>
                  <w:rPr>
                    <w:rFonts w:hint="eastAsia"/>
                    <w:color w:val="000000" w:themeColor="text1"/>
                    <w:sz w:val="21"/>
                    <w:szCs w:val="21"/>
                  </w:rPr>
                </w:pPr>
                <w:r>
                  <w:rPr>
                    <w:rFonts w:hint="eastAsia"/>
                    <w:color w:val="000000" w:themeColor="text1"/>
                    <w:sz w:val="21"/>
                    <w:szCs w:val="21"/>
                  </w:rPr>
                  <w:t>期初余额</w:t>
                </w:r>
              </w:p>
            </w:tc>
          </w:sdtContent>
        </w:sdt>
      </w:tr>
      <w:tr w:rsidR="002D0AE7" w14:paraId="1D24F4D6" w14:textId="77777777">
        <w:trPr>
          <w:trHeight w:val="285"/>
          <w:jc w:val="center"/>
        </w:trPr>
        <w:tc>
          <w:tcPr>
            <w:tcW w:w="3053" w:type="pct"/>
            <w:tcBorders>
              <w:top w:val="single" w:sz="4" w:space="0" w:color="auto"/>
              <w:left w:val="single" w:sz="4" w:space="0" w:color="auto"/>
              <w:bottom w:val="single" w:sz="4" w:space="0" w:color="auto"/>
              <w:right w:val="single" w:sz="4" w:space="0" w:color="auto"/>
            </w:tcBorders>
            <w:vAlign w:val="center"/>
          </w:tcPr>
          <w:p w14:paraId="24EA5EDB" w14:textId="77777777" w:rsidR="002D0AE7" w:rsidRDefault="00333EBB">
            <w:pPr>
              <w:rPr>
                <w:rFonts w:hint="eastAsia"/>
                <w:color w:val="000000" w:themeColor="text1"/>
                <w:sz w:val="21"/>
                <w:szCs w:val="21"/>
              </w:rPr>
            </w:pPr>
            <w:r>
              <w:rPr>
                <w:rFonts w:hint="eastAsia"/>
                <w:color w:val="000000" w:themeColor="text1"/>
                <w:sz w:val="21"/>
                <w:szCs w:val="21"/>
              </w:rPr>
              <w:t>可抵扣暂时性差异</w:t>
            </w:r>
          </w:p>
        </w:tc>
        <w:tc>
          <w:tcPr>
            <w:tcW w:w="1081" w:type="pct"/>
            <w:tcBorders>
              <w:top w:val="single" w:sz="4" w:space="0" w:color="auto"/>
              <w:left w:val="single" w:sz="4" w:space="0" w:color="auto"/>
              <w:bottom w:val="single" w:sz="4" w:space="0" w:color="auto"/>
              <w:right w:val="single" w:sz="4" w:space="0" w:color="auto"/>
            </w:tcBorders>
          </w:tcPr>
          <w:p w14:paraId="4E45D0CC" w14:textId="77777777" w:rsidR="002D0AE7" w:rsidRDefault="002D0AE7">
            <w:pPr>
              <w:jc w:val="right"/>
              <w:rPr>
                <w:rFonts w:ascii="Times New Roman" w:hAnsi="Times New Roman" w:cs="Times New Roman"/>
                <w:sz w:val="21"/>
                <w:szCs w:val="21"/>
              </w:rPr>
            </w:pPr>
          </w:p>
        </w:tc>
        <w:tc>
          <w:tcPr>
            <w:tcW w:w="866" w:type="pct"/>
            <w:tcBorders>
              <w:top w:val="single" w:sz="4" w:space="0" w:color="auto"/>
              <w:left w:val="single" w:sz="4" w:space="0" w:color="auto"/>
              <w:bottom w:val="single" w:sz="4" w:space="0" w:color="auto"/>
              <w:right w:val="single" w:sz="4" w:space="0" w:color="auto"/>
            </w:tcBorders>
          </w:tcPr>
          <w:p w14:paraId="676808C2" w14:textId="77777777" w:rsidR="002D0AE7" w:rsidRDefault="002D0AE7">
            <w:pPr>
              <w:jc w:val="right"/>
              <w:rPr>
                <w:rFonts w:ascii="Times New Roman" w:hAnsi="Times New Roman" w:cs="Times New Roman"/>
                <w:sz w:val="21"/>
                <w:szCs w:val="21"/>
              </w:rPr>
            </w:pPr>
          </w:p>
        </w:tc>
      </w:tr>
      <w:tr w:rsidR="002D0AE7" w14:paraId="441F59F9" w14:textId="77777777">
        <w:trPr>
          <w:trHeight w:val="285"/>
          <w:jc w:val="center"/>
        </w:trPr>
        <w:tc>
          <w:tcPr>
            <w:tcW w:w="3053" w:type="pct"/>
            <w:tcBorders>
              <w:top w:val="single" w:sz="4" w:space="0" w:color="auto"/>
              <w:left w:val="single" w:sz="4" w:space="0" w:color="auto"/>
              <w:bottom w:val="single" w:sz="4" w:space="0" w:color="auto"/>
              <w:right w:val="single" w:sz="4" w:space="0" w:color="auto"/>
            </w:tcBorders>
          </w:tcPr>
          <w:p w14:paraId="2DD180F9" w14:textId="77777777" w:rsidR="002D0AE7" w:rsidRDefault="00333EBB">
            <w:pPr>
              <w:rPr>
                <w:rFonts w:hint="eastAsia"/>
                <w:sz w:val="21"/>
                <w:szCs w:val="21"/>
              </w:rPr>
            </w:pPr>
            <w:r>
              <w:rPr>
                <w:sz w:val="21"/>
                <w:szCs w:val="21"/>
              </w:rPr>
              <w:t>其中：坏账准备引起的可抵扣暂时性差异</w:t>
            </w:r>
          </w:p>
        </w:tc>
        <w:tc>
          <w:tcPr>
            <w:tcW w:w="1081" w:type="pct"/>
            <w:tcBorders>
              <w:top w:val="single" w:sz="4" w:space="0" w:color="auto"/>
              <w:left w:val="single" w:sz="4" w:space="0" w:color="auto"/>
              <w:bottom w:val="single" w:sz="4" w:space="0" w:color="auto"/>
              <w:right w:val="single" w:sz="4" w:space="0" w:color="auto"/>
            </w:tcBorders>
            <w:vAlign w:val="center"/>
          </w:tcPr>
          <w:p w14:paraId="594D920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7,321,558.58</w:t>
            </w:r>
          </w:p>
        </w:tc>
        <w:tc>
          <w:tcPr>
            <w:tcW w:w="866" w:type="pct"/>
            <w:tcBorders>
              <w:top w:val="single" w:sz="4" w:space="0" w:color="auto"/>
              <w:left w:val="single" w:sz="4" w:space="0" w:color="auto"/>
              <w:bottom w:val="single" w:sz="4" w:space="0" w:color="auto"/>
              <w:right w:val="single" w:sz="4" w:space="0" w:color="auto"/>
            </w:tcBorders>
            <w:vAlign w:val="center"/>
          </w:tcPr>
          <w:p w14:paraId="0FE7A13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6,959,688.63</w:t>
            </w:r>
          </w:p>
        </w:tc>
      </w:tr>
      <w:tr w:rsidR="002D0AE7" w14:paraId="41FF4EB4" w14:textId="77777777">
        <w:trPr>
          <w:trHeight w:val="285"/>
          <w:jc w:val="center"/>
        </w:trPr>
        <w:tc>
          <w:tcPr>
            <w:tcW w:w="3053" w:type="pct"/>
            <w:tcBorders>
              <w:top w:val="single" w:sz="4" w:space="0" w:color="auto"/>
              <w:left w:val="single" w:sz="4" w:space="0" w:color="auto"/>
              <w:bottom w:val="single" w:sz="4" w:space="0" w:color="auto"/>
              <w:right w:val="single" w:sz="4" w:space="0" w:color="auto"/>
            </w:tcBorders>
          </w:tcPr>
          <w:p w14:paraId="01CB6D64" w14:textId="77777777" w:rsidR="002D0AE7" w:rsidRDefault="00333EBB">
            <w:pPr>
              <w:rPr>
                <w:rFonts w:hint="eastAsia"/>
                <w:sz w:val="21"/>
                <w:szCs w:val="21"/>
              </w:rPr>
            </w:pPr>
            <w:r>
              <w:rPr>
                <w:sz w:val="21"/>
                <w:szCs w:val="21"/>
              </w:rPr>
              <w:t>存货跌价引起的可抵扣暂时性差异</w:t>
            </w:r>
          </w:p>
        </w:tc>
        <w:tc>
          <w:tcPr>
            <w:tcW w:w="1081" w:type="pct"/>
            <w:tcBorders>
              <w:top w:val="single" w:sz="4" w:space="0" w:color="auto"/>
              <w:left w:val="single" w:sz="4" w:space="0" w:color="auto"/>
              <w:bottom w:val="single" w:sz="4" w:space="0" w:color="auto"/>
              <w:right w:val="single" w:sz="4" w:space="0" w:color="auto"/>
            </w:tcBorders>
            <w:vAlign w:val="center"/>
          </w:tcPr>
          <w:p w14:paraId="7430573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25,471,078.64</w:t>
            </w:r>
          </w:p>
        </w:tc>
        <w:tc>
          <w:tcPr>
            <w:tcW w:w="866" w:type="pct"/>
            <w:tcBorders>
              <w:top w:val="single" w:sz="4" w:space="0" w:color="auto"/>
              <w:left w:val="single" w:sz="4" w:space="0" w:color="auto"/>
              <w:bottom w:val="single" w:sz="4" w:space="0" w:color="auto"/>
              <w:right w:val="single" w:sz="4" w:space="0" w:color="auto"/>
            </w:tcBorders>
            <w:vAlign w:val="center"/>
          </w:tcPr>
          <w:p w14:paraId="7D8DBFA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24,421,759.12</w:t>
            </w:r>
          </w:p>
        </w:tc>
      </w:tr>
      <w:tr w:rsidR="002D0AE7" w14:paraId="07170FE0" w14:textId="77777777">
        <w:trPr>
          <w:trHeight w:val="285"/>
          <w:jc w:val="center"/>
        </w:trPr>
        <w:tc>
          <w:tcPr>
            <w:tcW w:w="3053" w:type="pct"/>
            <w:tcBorders>
              <w:top w:val="single" w:sz="4" w:space="0" w:color="auto"/>
              <w:left w:val="single" w:sz="4" w:space="0" w:color="auto"/>
              <w:bottom w:val="single" w:sz="4" w:space="0" w:color="auto"/>
              <w:right w:val="single" w:sz="4" w:space="0" w:color="auto"/>
            </w:tcBorders>
          </w:tcPr>
          <w:p w14:paraId="7A7B16CB" w14:textId="77777777" w:rsidR="002D0AE7" w:rsidRDefault="00333EBB">
            <w:pPr>
              <w:rPr>
                <w:rFonts w:hint="eastAsia"/>
                <w:sz w:val="21"/>
                <w:szCs w:val="21"/>
              </w:rPr>
            </w:pPr>
            <w:r>
              <w:rPr>
                <w:sz w:val="21"/>
                <w:szCs w:val="21"/>
              </w:rPr>
              <w:t>固定资产、在建工程减值准备引起的可抵扣暂时性差异</w:t>
            </w:r>
          </w:p>
        </w:tc>
        <w:tc>
          <w:tcPr>
            <w:tcW w:w="1081" w:type="pct"/>
            <w:tcBorders>
              <w:top w:val="single" w:sz="4" w:space="0" w:color="auto"/>
              <w:left w:val="single" w:sz="4" w:space="0" w:color="auto"/>
              <w:bottom w:val="single" w:sz="4" w:space="0" w:color="auto"/>
              <w:right w:val="single" w:sz="4" w:space="0" w:color="auto"/>
            </w:tcBorders>
          </w:tcPr>
          <w:p w14:paraId="5F266DE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64,862,995.31</w:t>
            </w:r>
          </w:p>
        </w:tc>
        <w:tc>
          <w:tcPr>
            <w:tcW w:w="866" w:type="pct"/>
            <w:tcBorders>
              <w:top w:val="single" w:sz="4" w:space="0" w:color="auto"/>
              <w:left w:val="single" w:sz="4" w:space="0" w:color="auto"/>
              <w:bottom w:val="single" w:sz="4" w:space="0" w:color="auto"/>
              <w:right w:val="single" w:sz="4" w:space="0" w:color="auto"/>
            </w:tcBorders>
            <w:vAlign w:val="center"/>
          </w:tcPr>
          <w:p w14:paraId="6053BA1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64,857,807.53</w:t>
            </w:r>
          </w:p>
        </w:tc>
      </w:tr>
      <w:tr w:rsidR="002D0AE7" w14:paraId="57339929" w14:textId="77777777">
        <w:trPr>
          <w:trHeight w:val="285"/>
          <w:jc w:val="center"/>
        </w:trPr>
        <w:tc>
          <w:tcPr>
            <w:tcW w:w="3053" w:type="pct"/>
            <w:tcBorders>
              <w:top w:val="single" w:sz="4" w:space="0" w:color="auto"/>
              <w:left w:val="single" w:sz="4" w:space="0" w:color="auto"/>
              <w:bottom w:val="single" w:sz="4" w:space="0" w:color="auto"/>
              <w:right w:val="single" w:sz="4" w:space="0" w:color="auto"/>
            </w:tcBorders>
          </w:tcPr>
          <w:p w14:paraId="1AC8C018" w14:textId="77777777" w:rsidR="002D0AE7" w:rsidRDefault="00333EBB">
            <w:pPr>
              <w:rPr>
                <w:rFonts w:hint="eastAsia"/>
                <w:sz w:val="21"/>
                <w:szCs w:val="21"/>
              </w:rPr>
            </w:pPr>
            <w:r>
              <w:rPr>
                <w:sz w:val="21"/>
                <w:szCs w:val="21"/>
              </w:rPr>
              <w:t>递延收益</w:t>
            </w:r>
          </w:p>
        </w:tc>
        <w:tc>
          <w:tcPr>
            <w:tcW w:w="1081" w:type="pct"/>
            <w:tcBorders>
              <w:top w:val="single" w:sz="4" w:space="0" w:color="auto"/>
              <w:left w:val="single" w:sz="4" w:space="0" w:color="auto"/>
              <w:bottom w:val="single" w:sz="4" w:space="0" w:color="auto"/>
              <w:right w:val="single" w:sz="4" w:space="0" w:color="auto"/>
            </w:tcBorders>
            <w:vAlign w:val="center"/>
          </w:tcPr>
          <w:p w14:paraId="227E29A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44,350,260.22</w:t>
            </w:r>
          </w:p>
        </w:tc>
        <w:tc>
          <w:tcPr>
            <w:tcW w:w="866" w:type="pct"/>
            <w:tcBorders>
              <w:top w:val="single" w:sz="4" w:space="0" w:color="auto"/>
              <w:left w:val="single" w:sz="4" w:space="0" w:color="auto"/>
              <w:bottom w:val="single" w:sz="4" w:space="0" w:color="auto"/>
              <w:right w:val="single" w:sz="4" w:space="0" w:color="auto"/>
            </w:tcBorders>
            <w:vAlign w:val="center"/>
          </w:tcPr>
          <w:p w14:paraId="5D10590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41,460,070.01</w:t>
            </w:r>
          </w:p>
        </w:tc>
      </w:tr>
      <w:tr w:rsidR="002D0AE7" w14:paraId="14DFD5E8" w14:textId="77777777">
        <w:trPr>
          <w:trHeight w:val="285"/>
          <w:jc w:val="center"/>
        </w:trPr>
        <w:tc>
          <w:tcPr>
            <w:tcW w:w="3053" w:type="pct"/>
            <w:tcBorders>
              <w:top w:val="single" w:sz="4" w:space="0" w:color="auto"/>
              <w:left w:val="single" w:sz="4" w:space="0" w:color="auto"/>
              <w:bottom w:val="single" w:sz="4" w:space="0" w:color="auto"/>
              <w:right w:val="single" w:sz="4" w:space="0" w:color="auto"/>
            </w:tcBorders>
          </w:tcPr>
          <w:p w14:paraId="7187A843" w14:textId="77777777" w:rsidR="002D0AE7" w:rsidRDefault="00333EBB">
            <w:pPr>
              <w:rPr>
                <w:rFonts w:hint="eastAsia"/>
                <w:sz w:val="21"/>
                <w:szCs w:val="21"/>
              </w:rPr>
            </w:pPr>
            <w:r>
              <w:rPr>
                <w:sz w:val="21"/>
                <w:szCs w:val="21"/>
              </w:rPr>
              <w:t>可抵扣亏损</w:t>
            </w:r>
          </w:p>
        </w:tc>
        <w:tc>
          <w:tcPr>
            <w:tcW w:w="1081" w:type="pct"/>
            <w:tcBorders>
              <w:top w:val="single" w:sz="4" w:space="0" w:color="auto"/>
              <w:left w:val="single" w:sz="4" w:space="0" w:color="auto"/>
              <w:bottom w:val="single" w:sz="4" w:space="0" w:color="auto"/>
              <w:right w:val="single" w:sz="4" w:space="0" w:color="auto"/>
            </w:tcBorders>
            <w:vAlign w:val="center"/>
          </w:tcPr>
          <w:p w14:paraId="7C4F018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70,085,714.48</w:t>
            </w:r>
          </w:p>
        </w:tc>
        <w:tc>
          <w:tcPr>
            <w:tcW w:w="866" w:type="pct"/>
            <w:tcBorders>
              <w:top w:val="single" w:sz="4" w:space="0" w:color="auto"/>
              <w:left w:val="single" w:sz="4" w:space="0" w:color="auto"/>
              <w:bottom w:val="single" w:sz="4" w:space="0" w:color="auto"/>
              <w:right w:val="single" w:sz="4" w:space="0" w:color="auto"/>
            </w:tcBorders>
            <w:vAlign w:val="center"/>
          </w:tcPr>
          <w:p w14:paraId="7DFAAD8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168,568,886.02</w:t>
            </w:r>
          </w:p>
        </w:tc>
      </w:tr>
      <w:tr w:rsidR="002D0AE7" w14:paraId="5B5A8C54" w14:textId="77777777">
        <w:trPr>
          <w:trHeight w:val="285"/>
          <w:jc w:val="center"/>
        </w:trPr>
        <w:tc>
          <w:tcPr>
            <w:tcW w:w="3053" w:type="pct"/>
            <w:tcBorders>
              <w:top w:val="single" w:sz="4" w:space="0" w:color="auto"/>
              <w:left w:val="single" w:sz="4" w:space="0" w:color="auto"/>
              <w:bottom w:val="single" w:sz="4" w:space="0" w:color="auto"/>
              <w:right w:val="single" w:sz="4" w:space="0" w:color="auto"/>
            </w:tcBorders>
          </w:tcPr>
          <w:p w14:paraId="6A1DF23B" w14:textId="77777777" w:rsidR="002D0AE7" w:rsidRDefault="00333EBB">
            <w:pPr>
              <w:rPr>
                <w:rFonts w:hint="eastAsia"/>
                <w:sz w:val="21"/>
                <w:szCs w:val="21"/>
              </w:rPr>
            </w:pPr>
            <w:r>
              <w:rPr>
                <w:sz w:val="21"/>
                <w:szCs w:val="21"/>
              </w:rPr>
              <w:t>其他权益工具投资公允价值变动</w:t>
            </w:r>
          </w:p>
        </w:tc>
        <w:tc>
          <w:tcPr>
            <w:tcW w:w="1081" w:type="pct"/>
            <w:tcBorders>
              <w:top w:val="single" w:sz="4" w:space="0" w:color="auto"/>
              <w:left w:val="single" w:sz="4" w:space="0" w:color="auto"/>
              <w:bottom w:val="single" w:sz="4" w:space="0" w:color="auto"/>
              <w:right w:val="single" w:sz="4" w:space="0" w:color="auto"/>
            </w:tcBorders>
            <w:vAlign w:val="center"/>
          </w:tcPr>
          <w:p w14:paraId="19E2B02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4,606,823.03</w:t>
            </w:r>
          </w:p>
        </w:tc>
        <w:tc>
          <w:tcPr>
            <w:tcW w:w="866" w:type="pct"/>
            <w:tcBorders>
              <w:top w:val="single" w:sz="4" w:space="0" w:color="auto"/>
              <w:left w:val="single" w:sz="4" w:space="0" w:color="auto"/>
              <w:bottom w:val="single" w:sz="4" w:space="0" w:color="auto"/>
              <w:right w:val="single" w:sz="4" w:space="0" w:color="auto"/>
            </w:tcBorders>
            <w:vAlign w:val="center"/>
          </w:tcPr>
          <w:p w14:paraId="288D9A0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4,578,316.42</w:t>
            </w:r>
          </w:p>
        </w:tc>
      </w:tr>
      <w:tr w:rsidR="002D0AE7" w14:paraId="68187D2C" w14:textId="77777777">
        <w:trPr>
          <w:trHeight w:val="285"/>
          <w:jc w:val="center"/>
        </w:trPr>
        <w:tc>
          <w:tcPr>
            <w:tcW w:w="3053" w:type="pct"/>
            <w:tcBorders>
              <w:top w:val="single" w:sz="4" w:space="0" w:color="auto"/>
              <w:left w:val="single" w:sz="4" w:space="0" w:color="auto"/>
              <w:bottom w:val="single" w:sz="4" w:space="0" w:color="auto"/>
              <w:right w:val="single" w:sz="4" w:space="0" w:color="auto"/>
            </w:tcBorders>
            <w:vAlign w:val="center"/>
          </w:tcPr>
          <w:p w14:paraId="3BC65C8A"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1081" w:type="pct"/>
            <w:tcBorders>
              <w:top w:val="single" w:sz="4" w:space="0" w:color="auto"/>
              <w:left w:val="single" w:sz="4" w:space="0" w:color="auto"/>
              <w:bottom w:val="single" w:sz="4" w:space="0" w:color="auto"/>
              <w:right w:val="single" w:sz="4" w:space="0" w:color="auto"/>
            </w:tcBorders>
          </w:tcPr>
          <w:p w14:paraId="43D8F4C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216,698,430.26</w:t>
            </w:r>
          </w:p>
        </w:tc>
        <w:tc>
          <w:tcPr>
            <w:tcW w:w="866" w:type="pct"/>
            <w:tcBorders>
              <w:top w:val="single" w:sz="4" w:space="0" w:color="auto"/>
              <w:left w:val="single" w:sz="4" w:space="0" w:color="auto"/>
              <w:bottom w:val="single" w:sz="4" w:space="0" w:color="auto"/>
              <w:right w:val="single" w:sz="4" w:space="0" w:color="auto"/>
            </w:tcBorders>
            <w:vAlign w:val="center"/>
          </w:tcPr>
          <w:p w14:paraId="753407B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310,846,527.73</w:t>
            </w:r>
          </w:p>
        </w:tc>
      </w:tr>
    </w:tbl>
    <w:p w14:paraId="0E86F9B2" w14:textId="77777777" w:rsidR="002D0AE7" w:rsidRDefault="00333EBB">
      <w:pPr>
        <w:pStyle w:val="4"/>
        <w:numPr>
          <w:ilvl w:val="0"/>
          <w:numId w:val="56"/>
        </w:numPr>
        <w:tabs>
          <w:tab w:val="left" w:pos="588"/>
          <w:tab w:val="left" w:pos="616"/>
        </w:tabs>
        <w:rPr>
          <w:rFonts w:ascii="宋体" w:hAnsi="宋体" w:hint="eastAsia"/>
          <w:color w:val="000000" w:themeColor="text1"/>
          <w:szCs w:val="21"/>
        </w:rPr>
      </w:pPr>
      <w:r>
        <w:rPr>
          <w:rFonts w:ascii="宋体" w:hAnsi="宋体" w:hint="eastAsia"/>
          <w:color w:val="000000" w:themeColor="text1"/>
          <w:szCs w:val="21"/>
        </w:rPr>
        <w:lastRenderedPageBreak/>
        <w:t>未确认递延所得税资产的可抵扣亏损将于以下年度到期</w:t>
      </w:r>
    </w:p>
    <w:sdt>
      <w:sdtPr>
        <w:rPr>
          <w:color w:val="000000" w:themeColor="text1"/>
        </w:rPr>
        <w:alias w:val="是否适用：未确认递延所得税资产的可抵扣亏损将于以下年度到期[双击切换]"/>
        <w:tag w:val="_GBC_10d31911cedc4147b90ab71d35742bf4"/>
        <w:id w:val="12959458"/>
        <w:placeholder>
          <w:docPart w:val="GBC22222222222222222222222222222"/>
        </w:placeholder>
      </w:sdtPr>
      <w:sdtEndPr/>
      <w:sdtContent>
        <w:p w14:paraId="6B25ED0A"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29038E7F" w14:textId="77777777" w:rsidR="002D0AE7" w:rsidRDefault="00333EBB">
      <w:pPr>
        <w:ind w:right="57"/>
        <w:jc w:val="right"/>
        <w:rPr>
          <w:rFonts w:hint="eastAsia"/>
          <w:color w:val="000000" w:themeColor="text1"/>
        </w:rPr>
      </w:pPr>
      <w:r>
        <w:rPr>
          <w:rFonts w:hint="eastAsia"/>
          <w:color w:val="000000" w:themeColor="text1"/>
        </w:rPr>
        <w:t>单位：</w:t>
      </w:r>
      <w:sdt>
        <w:sdtPr>
          <w:rPr>
            <w:rFonts w:hint="eastAsia"/>
            <w:color w:val="000000" w:themeColor="text1"/>
          </w:rPr>
          <w:alias w:val="单位：财务附注：未确认递延所得税资产的可抵扣亏损将于以下年度到期"/>
          <w:tag w:val="_GBC_e5ae9be2f02b49aa93ff11e0e7a11cca"/>
          <w:id w:val="151619793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未确认递延所得税资产的可抵扣亏损将于以下年度到期"/>
          <w:tag w:val="_GBC_83b0fc2196304484aa53ef2b9e2e191a"/>
          <w:id w:val="214515938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3349"/>
        <w:gridCol w:w="2126"/>
        <w:gridCol w:w="1315"/>
      </w:tblGrid>
      <w:tr w:rsidR="002D0AE7" w14:paraId="30E54146" w14:textId="77777777">
        <w:trPr>
          <w:trHeight w:val="285"/>
          <w:jc w:val="center"/>
        </w:trPr>
        <w:bookmarkEnd w:id="194" w:displacedByCustomXml="next"/>
        <w:sdt>
          <w:sdtPr>
            <w:rPr>
              <w:color w:val="000000" w:themeColor="text1"/>
              <w:sz w:val="21"/>
              <w:szCs w:val="21"/>
            </w:rPr>
            <w:tag w:val="_PLD_710a470de2b84ef593de891faad46b6b"/>
            <w:id w:val="-1059705977"/>
          </w:sdtPr>
          <w:sdtEndPr/>
          <w:sdtContent>
            <w:tc>
              <w:tcPr>
                <w:tcW w:w="1152" w:type="pct"/>
                <w:tcBorders>
                  <w:top w:val="single" w:sz="4" w:space="0" w:color="auto"/>
                  <w:left w:val="single" w:sz="4" w:space="0" w:color="auto"/>
                  <w:bottom w:val="single" w:sz="4" w:space="0" w:color="auto"/>
                  <w:right w:val="single" w:sz="4" w:space="0" w:color="auto"/>
                </w:tcBorders>
                <w:vAlign w:val="center"/>
              </w:tcPr>
              <w:p w14:paraId="087E6D57" w14:textId="77777777" w:rsidR="002D0AE7" w:rsidRDefault="00333EBB">
                <w:pPr>
                  <w:jc w:val="center"/>
                  <w:rPr>
                    <w:rFonts w:hint="eastAsia"/>
                    <w:color w:val="000000" w:themeColor="text1"/>
                    <w:sz w:val="21"/>
                    <w:szCs w:val="21"/>
                  </w:rPr>
                </w:pPr>
                <w:r>
                  <w:rPr>
                    <w:rFonts w:hint="eastAsia"/>
                    <w:color w:val="000000" w:themeColor="text1"/>
                    <w:sz w:val="21"/>
                    <w:szCs w:val="21"/>
                  </w:rPr>
                  <w:t>年份</w:t>
                </w:r>
              </w:p>
            </w:tc>
          </w:sdtContent>
        </w:sdt>
        <w:sdt>
          <w:sdtPr>
            <w:rPr>
              <w:color w:val="000000" w:themeColor="text1"/>
              <w:sz w:val="21"/>
              <w:szCs w:val="21"/>
            </w:rPr>
            <w:tag w:val="_PLD_a6335ab4fba14ab8946b823c64f03503"/>
            <w:id w:val="641846229"/>
          </w:sdtPr>
          <w:sdtEndPr/>
          <w:sdtContent>
            <w:tc>
              <w:tcPr>
                <w:tcW w:w="1898" w:type="pct"/>
                <w:tcBorders>
                  <w:top w:val="single" w:sz="4" w:space="0" w:color="auto"/>
                  <w:left w:val="single" w:sz="4" w:space="0" w:color="auto"/>
                  <w:bottom w:val="single" w:sz="4" w:space="0" w:color="auto"/>
                  <w:right w:val="single" w:sz="4" w:space="0" w:color="auto"/>
                </w:tcBorders>
                <w:vAlign w:val="center"/>
              </w:tcPr>
              <w:p w14:paraId="753555DA" w14:textId="77777777" w:rsidR="002D0AE7" w:rsidRDefault="00333EBB">
                <w:pPr>
                  <w:jc w:val="center"/>
                  <w:rPr>
                    <w:rFonts w:hint="eastAsia"/>
                    <w:color w:val="000000" w:themeColor="text1"/>
                    <w:sz w:val="21"/>
                    <w:szCs w:val="21"/>
                  </w:rPr>
                </w:pPr>
                <w:r>
                  <w:rPr>
                    <w:rFonts w:hint="eastAsia"/>
                    <w:color w:val="000000" w:themeColor="text1"/>
                    <w:sz w:val="21"/>
                    <w:szCs w:val="21"/>
                  </w:rPr>
                  <w:t>期末金额</w:t>
                </w:r>
              </w:p>
            </w:tc>
          </w:sdtContent>
        </w:sdt>
        <w:sdt>
          <w:sdtPr>
            <w:rPr>
              <w:color w:val="000000" w:themeColor="text1"/>
              <w:sz w:val="21"/>
              <w:szCs w:val="21"/>
            </w:rPr>
            <w:tag w:val="_PLD_7582e6645cec4513a5606c104f2d83f1"/>
            <w:id w:val="42034745"/>
          </w:sdtPr>
          <w:sdtEndPr/>
          <w:sdtContent>
            <w:tc>
              <w:tcPr>
                <w:tcW w:w="1205" w:type="pct"/>
                <w:tcBorders>
                  <w:top w:val="single" w:sz="4" w:space="0" w:color="auto"/>
                  <w:left w:val="single" w:sz="4" w:space="0" w:color="auto"/>
                  <w:bottom w:val="single" w:sz="4" w:space="0" w:color="auto"/>
                  <w:right w:val="single" w:sz="4" w:space="0" w:color="auto"/>
                </w:tcBorders>
                <w:vAlign w:val="center"/>
              </w:tcPr>
              <w:p w14:paraId="1A2B95B1" w14:textId="77777777" w:rsidR="002D0AE7" w:rsidRDefault="00333EBB">
                <w:pPr>
                  <w:jc w:val="center"/>
                  <w:rPr>
                    <w:rFonts w:hint="eastAsia"/>
                    <w:color w:val="000000" w:themeColor="text1"/>
                    <w:sz w:val="21"/>
                    <w:szCs w:val="21"/>
                  </w:rPr>
                </w:pPr>
                <w:r>
                  <w:rPr>
                    <w:rFonts w:hint="eastAsia"/>
                    <w:color w:val="000000" w:themeColor="text1"/>
                    <w:sz w:val="21"/>
                    <w:szCs w:val="21"/>
                  </w:rPr>
                  <w:t>期初金额</w:t>
                </w:r>
              </w:p>
            </w:tc>
          </w:sdtContent>
        </w:sdt>
        <w:sdt>
          <w:sdtPr>
            <w:rPr>
              <w:color w:val="000000" w:themeColor="text1"/>
              <w:sz w:val="21"/>
              <w:szCs w:val="21"/>
            </w:rPr>
            <w:tag w:val="_PLD_1a030fe5a0564bed845b9b81b2eda8b8"/>
            <w:id w:val="-143047718"/>
          </w:sdtPr>
          <w:sdtEndPr/>
          <w:sdtContent>
            <w:tc>
              <w:tcPr>
                <w:tcW w:w="745" w:type="pct"/>
                <w:tcBorders>
                  <w:top w:val="single" w:sz="4" w:space="0" w:color="auto"/>
                  <w:left w:val="single" w:sz="4" w:space="0" w:color="auto"/>
                  <w:bottom w:val="single" w:sz="4" w:space="0" w:color="auto"/>
                  <w:right w:val="single" w:sz="4" w:space="0" w:color="auto"/>
                </w:tcBorders>
                <w:vAlign w:val="center"/>
              </w:tcPr>
              <w:p w14:paraId="151A66C5" w14:textId="77777777" w:rsidR="002D0AE7" w:rsidRDefault="00333EBB">
                <w:pPr>
                  <w:jc w:val="center"/>
                  <w:rPr>
                    <w:rFonts w:hint="eastAsia"/>
                    <w:color w:val="000000" w:themeColor="text1"/>
                    <w:sz w:val="21"/>
                    <w:szCs w:val="21"/>
                  </w:rPr>
                </w:pPr>
                <w:r>
                  <w:rPr>
                    <w:rFonts w:hint="eastAsia"/>
                    <w:color w:val="000000" w:themeColor="text1"/>
                    <w:sz w:val="21"/>
                    <w:szCs w:val="21"/>
                  </w:rPr>
                  <w:t>备注</w:t>
                </w:r>
              </w:p>
            </w:tc>
          </w:sdtContent>
        </w:sdt>
      </w:tr>
      <w:tr w:rsidR="002D0AE7" w14:paraId="4F82AE8B" w14:textId="77777777">
        <w:trPr>
          <w:trHeight w:val="285"/>
          <w:jc w:val="center"/>
        </w:trPr>
        <w:tc>
          <w:tcPr>
            <w:tcW w:w="1152" w:type="pct"/>
            <w:tcBorders>
              <w:top w:val="single" w:sz="4" w:space="0" w:color="auto"/>
              <w:left w:val="single" w:sz="4" w:space="0" w:color="auto"/>
              <w:bottom w:val="single" w:sz="4" w:space="0" w:color="auto"/>
              <w:right w:val="single" w:sz="4" w:space="0" w:color="auto"/>
            </w:tcBorders>
          </w:tcPr>
          <w:p w14:paraId="6605ECA0" w14:textId="77777777" w:rsidR="002D0AE7" w:rsidRDefault="00333EBB">
            <w:pPr>
              <w:rPr>
                <w:rFonts w:hint="eastAsia"/>
                <w:sz w:val="21"/>
                <w:szCs w:val="21"/>
              </w:rPr>
            </w:pPr>
            <w:r>
              <w:rPr>
                <w:sz w:val="21"/>
                <w:szCs w:val="21"/>
              </w:rPr>
              <w:t>2024</w:t>
            </w:r>
            <w:r>
              <w:rPr>
                <w:sz w:val="21"/>
                <w:szCs w:val="21"/>
              </w:rPr>
              <w:t>年度</w:t>
            </w:r>
          </w:p>
        </w:tc>
        <w:tc>
          <w:tcPr>
            <w:tcW w:w="1898" w:type="pct"/>
            <w:tcBorders>
              <w:top w:val="single" w:sz="4" w:space="0" w:color="auto"/>
              <w:left w:val="single" w:sz="4" w:space="0" w:color="auto"/>
              <w:bottom w:val="single" w:sz="4" w:space="0" w:color="auto"/>
              <w:right w:val="single" w:sz="4" w:space="0" w:color="auto"/>
            </w:tcBorders>
            <w:vAlign w:val="center"/>
          </w:tcPr>
          <w:p w14:paraId="0C5399E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9,018.43</w:t>
            </w:r>
          </w:p>
        </w:tc>
        <w:tc>
          <w:tcPr>
            <w:tcW w:w="1205" w:type="pct"/>
            <w:tcBorders>
              <w:top w:val="single" w:sz="4" w:space="0" w:color="auto"/>
              <w:left w:val="single" w:sz="4" w:space="0" w:color="auto"/>
              <w:bottom w:val="single" w:sz="4" w:space="0" w:color="auto"/>
              <w:right w:val="single" w:sz="4" w:space="0" w:color="auto"/>
            </w:tcBorders>
            <w:vAlign w:val="center"/>
          </w:tcPr>
          <w:p w14:paraId="7E45173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9,018.43</w:t>
            </w:r>
          </w:p>
        </w:tc>
        <w:tc>
          <w:tcPr>
            <w:tcW w:w="745" w:type="pct"/>
            <w:tcBorders>
              <w:top w:val="single" w:sz="4" w:space="0" w:color="auto"/>
              <w:left w:val="single" w:sz="4" w:space="0" w:color="auto"/>
              <w:bottom w:val="single" w:sz="4" w:space="0" w:color="auto"/>
              <w:right w:val="single" w:sz="4" w:space="0" w:color="auto"/>
            </w:tcBorders>
          </w:tcPr>
          <w:p w14:paraId="3B97F444" w14:textId="77777777" w:rsidR="002D0AE7" w:rsidRDefault="002D0AE7">
            <w:pPr>
              <w:rPr>
                <w:rFonts w:hint="eastAsia"/>
                <w:sz w:val="21"/>
                <w:szCs w:val="21"/>
              </w:rPr>
            </w:pPr>
          </w:p>
        </w:tc>
      </w:tr>
      <w:tr w:rsidR="002D0AE7" w14:paraId="5EFF9FB0" w14:textId="77777777">
        <w:trPr>
          <w:trHeight w:val="285"/>
          <w:jc w:val="center"/>
        </w:trPr>
        <w:tc>
          <w:tcPr>
            <w:tcW w:w="1152" w:type="pct"/>
            <w:tcBorders>
              <w:top w:val="single" w:sz="4" w:space="0" w:color="auto"/>
              <w:left w:val="single" w:sz="4" w:space="0" w:color="auto"/>
              <w:bottom w:val="single" w:sz="4" w:space="0" w:color="auto"/>
              <w:right w:val="single" w:sz="4" w:space="0" w:color="auto"/>
            </w:tcBorders>
          </w:tcPr>
          <w:p w14:paraId="636EDC2B" w14:textId="77777777" w:rsidR="002D0AE7" w:rsidRDefault="00333EBB">
            <w:pPr>
              <w:rPr>
                <w:rFonts w:hint="eastAsia"/>
                <w:sz w:val="21"/>
                <w:szCs w:val="21"/>
              </w:rPr>
            </w:pPr>
            <w:r>
              <w:rPr>
                <w:sz w:val="21"/>
                <w:szCs w:val="21"/>
              </w:rPr>
              <w:t>2025</w:t>
            </w:r>
            <w:r>
              <w:rPr>
                <w:sz w:val="21"/>
                <w:szCs w:val="21"/>
              </w:rPr>
              <w:t>年度</w:t>
            </w:r>
          </w:p>
        </w:tc>
        <w:tc>
          <w:tcPr>
            <w:tcW w:w="1898" w:type="pct"/>
            <w:tcBorders>
              <w:top w:val="single" w:sz="4" w:space="0" w:color="auto"/>
              <w:left w:val="single" w:sz="4" w:space="0" w:color="auto"/>
              <w:bottom w:val="single" w:sz="4" w:space="0" w:color="auto"/>
              <w:right w:val="single" w:sz="4" w:space="0" w:color="auto"/>
            </w:tcBorders>
            <w:vAlign w:val="center"/>
          </w:tcPr>
          <w:p w14:paraId="2F01370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4,957.79</w:t>
            </w:r>
          </w:p>
        </w:tc>
        <w:tc>
          <w:tcPr>
            <w:tcW w:w="1205" w:type="pct"/>
            <w:tcBorders>
              <w:top w:val="single" w:sz="4" w:space="0" w:color="auto"/>
              <w:left w:val="single" w:sz="4" w:space="0" w:color="auto"/>
              <w:bottom w:val="single" w:sz="4" w:space="0" w:color="auto"/>
              <w:right w:val="single" w:sz="4" w:space="0" w:color="auto"/>
            </w:tcBorders>
            <w:vAlign w:val="center"/>
          </w:tcPr>
          <w:p w14:paraId="5CA83C5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4,957.79</w:t>
            </w:r>
          </w:p>
        </w:tc>
        <w:tc>
          <w:tcPr>
            <w:tcW w:w="745" w:type="pct"/>
            <w:tcBorders>
              <w:top w:val="single" w:sz="4" w:space="0" w:color="auto"/>
              <w:left w:val="single" w:sz="4" w:space="0" w:color="auto"/>
              <w:bottom w:val="single" w:sz="4" w:space="0" w:color="auto"/>
              <w:right w:val="single" w:sz="4" w:space="0" w:color="auto"/>
            </w:tcBorders>
          </w:tcPr>
          <w:p w14:paraId="3D1EBB2E" w14:textId="77777777" w:rsidR="002D0AE7" w:rsidRDefault="002D0AE7">
            <w:pPr>
              <w:rPr>
                <w:rFonts w:hint="eastAsia"/>
                <w:sz w:val="21"/>
                <w:szCs w:val="21"/>
              </w:rPr>
            </w:pPr>
          </w:p>
        </w:tc>
      </w:tr>
      <w:tr w:rsidR="002D0AE7" w14:paraId="0472D2DA" w14:textId="77777777">
        <w:trPr>
          <w:trHeight w:val="285"/>
          <w:jc w:val="center"/>
        </w:trPr>
        <w:tc>
          <w:tcPr>
            <w:tcW w:w="1152" w:type="pct"/>
            <w:tcBorders>
              <w:top w:val="single" w:sz="4" w:space="0" w:color="auto"/>
              <w:left w:val="single" w:sz="4" w:space="0" w:color="auto"/>
              <w:bottom w:val="single" w:sz="4" w:space="0" w:color="auto"/>
              <w:right w:val="single" w:sz="4" w:space="0" w:color="auto"/>
            </w:tcBorders>
          </w:tcPr>
          <w:p w14:paraId="0F9E03D3" w14:textId="77777777" w:rsidR="002D0AE7" w:rsidRDefault="00333EBB">
            <w:pPr>
              <w:rPr>
                <w:rFonts w:hint="eastAsia"/>
                <w:sz w:val="21"/>
                <w:szCs w:val="21"/>
              </w:rPr>
            </w:pPr>
            <w:r>
              <w:rPr>
                <w:sz w:val="21"/>
                <w:szCs w:val="21"/>
              </w:rPr>
              <w:t>2026</w:t>
            </w:r>
            <w:r>
              <w:rPr>
                <w:sz w:val="21"/>
                <w:szCs w:val="21"/>
              </w:rPr>
              <w:t>年度</w:t>
            </w:r>
          </w:p>
        </w:tc>
        <w:tc>
          <w:tcPr>
            <w:tcW w:w="1898" w:type="pct"/>
            <w:tcBorders>
              <w:top w:val="single" w:sz="4" w:space="0" w:color="auto"/>
              <w:left w:val="single" w:sz="4" w:space="0" w:color="auto"/>
              <w:bottom w:val="single" w:sz="4" w:space="0" w:color="auto"/>
              <w:right w:val="single" w:sz="4" w:space="0" w:color="auto"/>
            </w:tcBorders>
            <w:vAlign w:val="center"/>
          </w:tcPr>
          <w:p w14:paraId="3C0563C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10,228,465.12</w:t>
            </w:r>
          </w:p>
        </w:tc>
        <w:tc>
          <w:tcPr>
            <w:tcW w:w="1205" w:type="pct"/>
            <w:tcBorders>
              <w:top w:val="single" w:sz="4" w:space="0" w:color="auto"/>
              <w:left w:val="single" w:sz="4" w:space="0" w:color="auto"/>
              <w:bottom w:val="single" w:sz="4" w:space="0" w:color="auto"/>
              <w:right w:val="single" w:sz="4" w:space="0" w:color="auto"/>
            </w:tcBorders>
            <w:vAlign w:val="center"/>
          </w:tcPr>
          <w:p w14:paraId="35D2D1D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72,101,839.95</w:t>
            </w:r>
          </w:p>
        </w:tc>
        <w:tc>
          <w:tcPr>
            <w:tcW w:w="745" w:type="pct"/>
            <w:tcBorders>
              <w:top w:val="single" w:sz="4" w:space="0" w:color="auto"/>
              <w:left w:val="single" w:sz="4" w:space="0" w:color="auto"/>
              <w:bottom w:val="single" w:sz="4" w:space="0" w:color="auto"/>
              <w:right w:val="single" w:sz="4" w:space="0" w:color="auto"/>
            </w:tcBorders>
          </w:tcPr>
          <w:p w14:paraId="73C9168B" w14:textId="77777777" w:rsidR="002D0AE7" w:rsidRDefault="002D0AE7">
            <w:pPr>
              <w:rPr>
                <w:rFonts w:hint="eastAsia"/>
                <w:sz w:val="21"/>
                <w:szCs w:val="21"/>
              </w:rPr>
            </w:pPr>
          </w:p>
        </w:tc>
      </w:tr>
      <w:tr w:rsidR="002D0AE7" w14:paraId="0E7BD5E8" w14:textId="77777777">
        <w:trPr>
          <w:trHeight w:val="285"/>
          <w:jc w:val="center"/>
        </w:trPr>
        <w:tc>
          <w:tcPr>
            <w:tcW w:w="1152" w:type="pct"/>
            <w:tcBorders>
              <w:top w:val="single" w:sz="4" w:space="0" w:color="auto"/>
              <w:left w:val="single" w:sz="4" w:space="0" w:color="auto"/>
              <w:bottom w:val="single" w:sz="4" w:space="0" w:color="auto"/>
              <w:right w:val="single" w:sz="4" w:space="0" w:color="auto"/>
            </w:tcBorders>
          </w:tcPr>
          <w:p w14:paraId="440FAE84" w14:textId="77777777" w:rsidR="002D0AE7" w:rsidRDefault="00333EBB">
            <w:pPr>
              <w:rPr>
                <w:rFonts w:hint="eastAsia"/>
                <w:sz w:val="21"/>
                <w:szCs w:val="21"/>
              </w:rPr>
            </w:pPr>
            <w:r>
              <w:rPr>
                <w:sz w:val="21"/>
                <w:szCs w:val="21"/>
              </w:rPr>
              <w:t>2027</w:t>
            </w:r>
            <w:r>
              <w:rPr>
                <w:sz w:val="21"/>
                <w:szCs w:val="21"/>
              </w:rPr>
              <w:t>年度</w:t>
            </w:r>
          </w:p>
        </w:tc>
        <w:tc>
          <w:tcPr>
            <w:tcW w:w="1898" w:type="pct"/>
            <w:tcBorders>
              <w:top w:val="single" w:sz="4" w:space="0" w:color="auto"/>
              <w:left w:val="single" w:sz="4" w:space="0" w:color="auto"/>
              <w:bottom w:val="single" w:sz="4" w:space="0" w:color="auto"/>
              <w:right w:val="single" w:sz="4" w:space="0" w:color="auto"/>
            </w:tcBorders>
            <w:vAlign w:val="center"/>
          </w:tcPr>
          <w:p w14:paraId="28A6D61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224,024.34</w:t>
            </w:r>
          </w:p>
        </w:tc>
        <w:tc>
          <w:tcPr>
            <w:tcW w:w="1205" w:type="pct"/>
            <w:tcBorders>
              <w:top w:val="single" w:sz="4" w:space="0" w:color="auto"/>
              <w:left w:val="single" w:sz="4" w:space="0" w:color="auto"/>
              <w:bottom w:val="single" w:sz="4" w:space="0" w:color="auto"/>
              <w:right w:val="single" w:sz="4" w:space="0" w:color="auto"/>
            </w:tcBorders>
            <w:vAlign w:val="center"/>
          </w:tcPr>
          <w:p w14:paraId="236F3B6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2,541,463.13</w:t>
            </w:r>
          </w:p>
        </w:tc>
        <w:tc>
          <w:tcPr>
            <w:tcW w:w="745" w:type="pct"/>
            <w:tcBorders>
              <w:top w:val="single" w:sz="4" w:space="0" w:color="auto"/>
              <w:left w:val="single" w:sz="4" w:space="0" w:color="auto"/>
              <w:bottom w:val="single" w:sz="4" w:space="0" w:color="auto"/>
              <w:right w:val="single" w:sz="4" w:space="0" w:color="auto"/>
            </w:tcBorders>
          </w:tcPr>
          <w:p w14:paraId="7D4656C6" w14:textId="77777777" w:rsidR="002D0AE7" w:rsidRDefault="002D0AE7">
            <w:pPr>
              <w:rPr>
                <w:rFonts w:hint="eastAsia"/>
                <w:sz w:val="21"/>
                <w:szCs w:val="21"/>
              </w:rPr>
            </w:pPr>
          </w:p>
        </w:tc>
      </w:tr>
      <w:tr w:rsidR="002D0AE7" w14:paraId="35E6F543" w14:textId="77777777">
        <w:trPr>
          <w:trHeight w:val="285"/>
          <w:jc w:val="center"/>
        </w:trPr>
        <w:tc>
          <w:tcPr>
            <w:tcW w:w="1152" w:type="pct"/>
            <w:tcBorders>
              <w:top w:val="single" w:sz="4" w:space="0" w:color="auto"/>
              <w:left w:val="single" w:sz="4" w:space="0" w:color="auto"/>
              <w:bottom w:val="single" w:sz="4" w:space="0" w:color="auto"/>
              <w:right w:val="single" w:sz="4" w:space="0" w:color="auto"/>
            </w:tcBorders>
          </w:tcPr>
          <w:p w14:paraId="3FC9CF04" w14:textId="77777777" w:rsidR="002D0AE7" w:rsidRDefault="00333EBB">
            <w:pPr>
              <w:rPr>
                <w:rFonts w:hint="eastAsia"/>
                <w:sz w:val="21"/>
                <w:szCs w:val="21"/>
              </w:rPr>
            </w:pPr>
            <w:r>
              <w:rPr>
                <w:sz w:val="21"/>
                <w:szCs w:val="21"/>
              </w:rPr>
              <w:t>2028</w:t>
            </w:r>
            <w:r>
              <w:rPr>
                <w:sz w:val="21"/>
                <w:szCs w:val="21"/>
              </w:rPr>
              <w:t>年度</w:t>
            </w:r>
          </w:p>
        </w:tc>
        <w:tc>
          <w:tcPr>
            <w:tcW w:w="1898" w:type="pct"/>
            <w:tcBorders>
              <w:top w:val="single" w:sz="4" w:space="0" w:color="auto"/>
              <w:left w:val="single" w:sz="4" w:space="0" w:color="auto"/>
              <w:bottom w:val="single" w:sz="4" w:space="0" w:color="auto"/>
              <w:right w:val="single" w:sz="4" w:space="0" w:color="auto"/>
            </w:tcBorders>
            <w:vAlign w:val="center"/>
          </w:tcPr>
          <w:p w14:paraId="3C17ACF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8,774.26</w:t>
            </w:r>
          </w:p>
        </w:tc>
        <w:tc>
          <w:tcPr>
            <w:tcW w:w="1205" w:type="pct"/>
            <w:tcBorders>
              <w:top w:val="single" w:sz="4" w:space="0" w:color="auto"/>
              <w:left w:val="single" w:sz="4" w:space="0" w:color="auto"/>
              <w:bottom w:val="single" w:sz="4" w:space="0" w:color="auto"/>
              <w:right w:val="single" w:sz="4" w:space="0" w:color="auto"/>
            </w:tcBorders>
            <w:vAlign w:val="center"/>
          </w:tcPr>
          <w:p w14:paraId="7353316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48,936.59</w:t>
            </w:r>
          </w:p>
        </w:tc>
        <w:tc>
          <w:tcPr>
            <w:tcW w:w="745" w:type="pct"/>
            <w:tcBorders>
              <w:top w:val="single" w:sz="4" w:space="0" w:color="auto"/>
              <w:left w:val="single" w:sz="4" w:space="0" w:color="auto"/>
              <w:bottom w:val="single" w:sz="4" w:space="0" w:color="auto"/>
              <w:right w:val="single" w:sz="4" w:space="0" w:color="auto"/>
            </w:tcBorders>
          </w:tcPr>
          <w:p w14:paraId="599B4D07" w14:textId="77777777" w:rsidR="002D0AE7" w:rsidRDefault="002D0AE7">
            <w:pPr>
              <w:rPr>
                <w:rFonts w:hint="eastAsia"/>
                <w:sz w:val="21"/>
                <w:szCs w:val="21"/>
              </w:rPr>
            </w:pPr>
          </w:p>
        </w:tc>
      </w:tr>
      <w:tr w:rsidR="002D0AE7" w14:paraId="09AE552D" w14:textId="77777777">
        <w:trPr>
          <w:trHeight w:val="285"/>
          <w:jc w:val="center"/>
        </w:trPr>
        <w:tc>
          <w:tcPr>
            <w:tcW w:w="1152" w:type="pct"/>
            <w:tcBorders>
              <w:top w:val="single" w:sz="4" w:space="0" w:color="auto"/>
              <w:left w:val="single" w:sz="4" w:space="0" w:color="auto"/>
              <w:bottom w:val="single" w:sz="4" w:space="0" w:color="auto"/>
              <w:right w:val="single" w:sz="4" w:space="0" w:color="auto"/>
            </w:tcBorders>
          </w:tcPr>
          <w:p w14:paraId="785BDE82" w14:textId="77777777" w:rsidR="002D0AE7" w:rsidRDefault="00333EBB">
            <w:pPr>
              <w:rPr>
                <w:rFonts w:hint="eastAsia"/>
                <w:sz w:val="21"/>
                <w:szCs w:val="21"/>
              </w:rPr>
            </w:pPr>
            <w:r>
              <w:rPr>
                <w:sz w:val="21"/>
                <w:szCs w:val="21"/>
              </w:rPr>
              <w:t>2029</w:t>
            </w:r>
            <w:r>
              <w:rPr>
                <w:sz w:val="21"/>
                <w:szCs w:val="21"/>
              </w:rPr>
              <w:t>年度</w:t>
            </w:r>
          </w:p>
        </w:tc>
        <w:tc>
          <w:tcPr>
            <w:tcW w:w="1898" w:type="pct"/>
            <w:tcBorders>
              <w:top w:val="single" w:sz="4" w:space="0" w:color="auto"/>
              <w:left w:val="single" w:sz="4" w:space="0" w:color="auto"/>
              <w:bottom w:val="single" w:sz="4" w:space="0" w:color="auto"/>
              <w:right w:val="single" w:sz="4" w:space="0" w:color="auto"/>
            </w:tcBorders>
            <w:vAlign w:val="center"/>
          </w:tcPr>
          <w:p w14:paraId="777412E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8,380.35</w:t>
            </w:r>
          </w:p>
        </w:tc>
        <w:tc>
          <w:tcPr>
            <w:tcW w:w="1205" w:type="pct"/>
            <w:tcBorders>
              <w:top w:val="single" w:sz="4" w:space="0" w:color="auto"/>
              <w:left w:val="single" w:sz="4" w:space="0" w:color="auto"/>
              <w:bottom w:val="single" w:sz="4" w:space="0" w:color="auto"/>
              <w:right w:val="single" w:sz="4" w:space="0" w:color="auto"/>
            </w:tcBorders>
            <w:vAlign w:val="center"/>
          </w:tcPr>
          <w:p w14:paraId="3B05A3CC" w14:textId="77777777" w:rsidR="002D0AE7" w:rsidRDefault="00333EBB">
            <w:pPr>
              <w:jc w:val="right"/>
              <w:rPr>
                <w:rFonts w:ascii="Times New Roman" w:hAnsi="Times New Roman" w:cs="Times New Roman"/>
                <w:sz w:val="21"/>
                <w:szCs w:val="21"/>
              </w:rPr>
            </w:pPr>
            <w:r>
              <w:rPr>
                <w:rFonts w:ascii="Times New Roman" w:hAnsi="Times New Roman" w:cs="Times New Roman" w:hint="eastAsia"/>
                <w:sz w:val="21"/>
                <w:szCs w:val="21"/>
              </w:rPr>
              <w:t>0.00</w:t>
            </w:r>
          </w:p>
        </w:tc>
        <w:tc>
          <w:tcPr>
            <w:tcW w:w="745" w:type="pct"/>
            <w:tcBorders>
              <w:top w:val="single" w:sz="4" w:space="0" w:color="auto"/>
              <w:left w:val="single" w:sz="4" w:space="0" w:color="auto"/>
              <w:bottom w:val="single" w:sz="4" w:space="0" w:color="auto"/>
              <w:right w:val="single" w:sz="4" w:space="0" w:color="auto"/>
            </w:tcBorders>
          </w:tcPr>
          <w:p w14:paraId="6269A365" w14:textId="77777777" w:rsidR="002D0AE7" w:rsidRDefault="002D0AE7">
            <w:pPr>
              <w:rPr>
                <w:rFonts w:hint="eastAsia"/>
                <w:sz w:val="21"/>
                <w:szCs w:val="21"/>
              </w:rPr>
            </w:pPr>
          </w:p>
        </w:tc>
      </w:tr>
      <w:tr w:rsidR="002D0AE7" w14:paraId="4D50C350" w14:textId="77777777">
        <w:trPr>
          <w:trHeight w:val="285"/>
          <w:jc w:val="center"/>
        </w:trPr>
        <w:tc>
          <w:tcPr>
            <w:tcW w:w="1152" w:type="pct"/>
            <w:tcBorders>
              <w:top w:val="single" w:sz="4" w:space="0" w:color="auto"/>
              <w:left w:val="single" w:sz="4" w:space="0" w:color="auto"/>
              <w:bottom w:val="single" w:sz="4" w:space="0" w:color="auto"/>
              <w:right w:val="single" w:sz="4" w:space="0" w:color="auto"/>
            </w:tcBorders>
          </w:tcPr>
          <w:p w14:paraId="00066004" w14:textId="77777777" w:rsidR="002D0AE7" w:rsidRDefault="00333EBB">
            <w:pPr>
              <w:rPr>
                <w:rFonts w:hint="eastAsia"/>
                <w:sz w:val="21"/>
                <w:szCs w:val="21"/>
              </w:rPr>
            </w:pPr>
            <w:r>
              <w:rPr>
                <w:sz w:val="21"/>
                <w:szCs w:val="21"/>
              </w:rPr>
              <w:t>2030</w:t>
            </w:r>
            <w:r>
              <w:rPr>
                <w:sz w:val="21"/>
                <w:szCs w:val="21"/>
              </w:rPr>
              <w:t>年度</w:t>
            </w:r>
          </w:p>
        </w:tc>
        <w:tc>
          <w:tcPr>
            <w:tcW w:w="1898" w:type="pct"/>
            <w:tcBorders>
              <w:top w:val="single" w:sz="4" w:space="0" w:color="auto"/>
              <w:left w:val="single" w:sz="4" w:space="0" w:color="auto"/>
              <w:bottom w:val="single" w:sz="4" w:space="0" w:color="auto"/>
              <w:right w:val="single" w:sz="4" w:space="0" w:color="auto"/>
            </w:tcBorders>
            <w:vAlign w:val="center"/>
          </w:tcPr>
          <w:p w14:paraId="0F9E2391" w14:textId="77777777" w:rsidR="002D0AE7" w:rsidRDefault="002D0AE7">
            <w:pPr>
              <w:jc w:val="right"/>
              <w:rPr>
                <w:rFonts w:ascii="Times New Roman" w:hAnsi="Times New Roman" w:cs="Times New Roman"/>
                <w:sz w:val="21"/>
                <w:szCs w:val="21"/>
              </w:rPr>
            </w:pPr>
          </w:p>
        </w:tc>
        <w:tc>
          <w:tcPr>
            <w:tcW w:w="1205" w:type="pct"/>
            <w:tcBorders>
              <w:top w:val="single" w:sz="4" w:space="0" w:color="auto"/>
              <w:left w:val="single" w:sz="4" w:space="0" w:color="auto"/>
              <w:bottom w:val="single" w:sz="4" w:space="0" w:color="auto"/>
              <w:right w:val="single" w:sz="4" w:space="0" w:color="auto"/>
            </w:tcBorders>
            <w:vAlign w:val="center"/>
          </w:tcPr>
          <w:p w14:paraId="40C7284D" w14:textId="77777777" w:rsidR="002D0AE7" w:rsidRDefault="002D0AE7">
            <w:pPr>
              <w:jc w:val="right"/>
              <w:rPr>
                <w:rFonts w:ascii="Times New Roman" w:hAnsi="Times New Roman" w:cs="Times New Roman"/>
                <w:sz w:val="21"/>
                <w:szCs w:val="21"/>
              </w:rPr>
            </w:pPr>
          </w:p>
        </w:tc>
        <w:tc>
          <w:tcPr>
            <w:tcW w:w="745" w:type="pct"/>
            <w:tcBorders>
              <w:top w:val="single" w:sz="4" w:space="0" w:color="auto"/>
              <w:left w:val="single" w:sz="4" w:space="0" w:color="auto"/>
              <w:bottom w:val="single" w:sz="4" w:space="0" w:color="auto"/>
              <w:right w:val="single" w:sz="4" w:space="0" w:color="auto"/>
            </w:tcBorders>
          </w:tcPr>
          <w:p w14:paraId="3361E311" w14:textId="77777777" w:rsidR="002D0AE7" w:rsidRDefault="002D0AE7">
            <w:pPr>
              <w:rPr>
                <w:rFonts w:hint="eastAsia"/>
                <w:sz w:val="21"/>
                <w:szCs w:val="21"/>
              </w:rPr>
            </w:pPr>
          </w:p>
        </w:tc>
      </w:tr>
      <w:tr w:rsidR="002D0AE7" w14:paraId="0F3EBCBF" w14:textId="77777777">
        <w:trPr>
          <w:trHeight w:val="285"/>
          <w:jc w:val="center"/>
        </w:trPr>
        <w:tc>
          <w:tcPr>
            <w:tcW w:w="1152" w:type="pct"/>
            <w:tcBorders>
              <w:top w:val="single" w:sz="4" w:space="0" w:color="auto"/>
              <w:left w:val="single" w:sz="4" w:space="0" w:color="auto"/>
              <w:bottom w:val="single" w:sz="4" w:space="0" w:color="auto"/>
              <w:right w:val="single" w:sz="4" w:space="0" w:color="auto"/>
            </w:tcBorders>
          </w:tcPr>
          <w:p w14:paraId="2E61C07C" w14:textId="77777777" w:rsidR="002D0AE7" w:rsidRDefault="00333EBB">
            <w:pPr>
              <w:rPr>
                <w:rFonts w:hint="eastAsia"/>
                <w:sz w:val="21"/>
                <w:szCs w:val="21"/>
              </w:rPr>
            </w:pPr>
            <w:r>
              <w:rPr>
                <w:sz w:val="21"/>
                <w:szCs w:val="21"/>
              </w:rPr>
              <w:t>2031</w:t>
            </w:r>
            <w:r>
              <w:rPr>
                <w:sz w:val="21"/>
                <w:szCs w:val="21"/>
              </w:rPr>
              <w:t>年度</w:t>
            </w:r>
          </w:p>
        </w:tc>
        <w:tc>
          <w:tcPr>
            <w:tcW w:w="1898" w:type="pct"/>
            <w:tcBorders>
              <w:top w:val="single" w:sz="4" w:space="0" w:color="auto"/>
              <w:left w:val="single" w:sz="4" w:space="0" w:color="auto"/>
              <w:bottom w:val="single" w:sz="4" w:space="0" w:color="auto"/>
              <w:right w:val="single" w:sz="4" w:space="0" w:color="auto"/>
            </w:tcBorders>
            <w:vAlign w:val="center"/>
          </w:tcPr>
          <w:p w14:paraId="77222884" w14:textId="77777777" w:rsidR="002D0AE7" w:rsidRDefault="002D0AE7">
            <w:pPr>
              <w:jc w:val="right"/>
              <w:rPr>
                <w:rFonts w:ascii="Times New Roman" w:hAnsi="Times New Roman" w:cs="Times New Roman"/>
                <w:sz w:val="21"/>
                <w:szCs w:val="21"/>
              </w:rPr>
            </w:pPr>
          </w:p>
        </w:tc>
        <w:tc>
          <w:tcPr>
            <w:tcW w:w="1205" w:type="pct"/>
            <w:tcBorders>
              <w:top w:val="single" w:sz="4" w:space="0" w:color="auto"/>
              <w:left w:val="single" w:sz="4" w:space="0" w:color="auto"/>
              <w:bottom w:val="single" w:sz="4" w:space="0" w:color="auto"/>
              <w:right w:val="single" w:sz="4" w:space="0" w:color="auto"/>
            </w:tcBorders>
            <w:vAlign w:val="center"/>
          </w:tcPr>
          <w:p w14:paraId="74793720" w14:textId="77777777" w:rsidR="002D0AE7" w:rsidRDefault="002D0AE7">
            <w:pPr>
              <w:jc w:val="right"/>
              <w:rPr>
                <w:rFonts w:ascii="Times New Roman" w:hAnsi="Times New Roman" w:cs="Times New Roman"/>
                <w:sz w:val="21"/>
                <w:szCs w:val="21"/>
              </w:rPr>
            </w:pPr>
          </w:p>
        </w:tc>
        <w:tc>
          <w:tcPr>
            <w:tcW w:w="745" w:type="pct"/>
            <w:tcBorders>
              <w:top w:val="single" w:sz="4" w:space="0" w:color="auto"/>
              <w:left w:val="single" w:sz="4" w:space="0" w:color="auto"/>
              <w:bottom w:val="single" w:sz="4" w:space="0" w:color="auto"/>
              <w:right w:val="single" w:sz="4" w:space="0" w:color="auto"/>
            </w:tcBorders>
          </w:tcPr>
          <w:p w14:paraId="6944CB78" w14:textId="77777777" w:rsidR="002D0AE7" w:rsidRDefault="002D0AE7">
            <w:pPr>
              <w:rPr>
                <w:rFonts w:hint="eastAsia"/>
                <w:sz w:val="21"/>
                <w:szCs w:val="21"/>
              </w:rPr>
            </w:pPr>
          </w:p>
        </w:tc>
      </w:tr>
      <w:tr w:rsidR="002D0AE7" w14:paraId="16EDE954" w14:textId="77777777">
        <w:trPr>
          <w:trHeight w:val="285"/>
          <w:jc w:val="center"/>
        </w:trPr>
        <w:tc>
          <w:tcPr>
            <w:tcW w:w="1152" w:type="pct"/>
            <w:tcBorders>
              <w:top w:val="single" w:sz="4" w:space="0" w:color="auto"/>
              <w:left w:val="single" w:sz="4" w:space="0" w:color="auto"/>
              <w:bottom w:val="single" w:sz="4" w:space="0" w:color="auto"/>
              <w:right w:val="single" w:sz="4" w:space="0" w:color="auto"/>
            </w:tcBorders>
          </w:tcPr>
          <w:p w14:paraId="74DBB26A" w14:textId="77777777" w:rsidR="002D0AE7" w:rsidRDefault="00333EBB">
            <w:pPr>
              <w:rPr>
                <w:rFonts w:hint="eastAsia"/>
                <w:sz w:val="21"/>
                <w:szCs w:val="21"/>
              </w:rPr>
            </w:pPr>
            <w:r>
              <w:rPr>
                <w:sz w:val="21"/>
                <w:szCs w:val="21"/>
              </w:rPr>
              <w:t>2032</w:t>
            </w:r>
            <w:r>
              <w:rPr>
                <w:sz w:val="21"/>
                <w:szCs w:val="21"/>
              </w:rPr>
              <w:t>年度</w:t>
            </w:r>
          </w:p>
        </w:tc>
        <w:tc>
          <w:tcPr>
            <w:tcW w:w="1898" w:type="pct"/>
            <w:tcBorders>
              <w:top w:val="single" w:sz="4" w:space="0" w:color="auto"/>
              <w:left w:val="single" w:sz="4" w:space="0" w:color="auto"/>
              <w:bottom w:val="single" w:sz="4" w:space="0" w:color="auto"/>
              <w:right w:val="single" w:sz="4" w:space="0" w:color="auto"/>
            </w:tcBorders>
            <w:vAlign w:val="center"/>
          </w:tcPr>
          <w:p w14:paraId="2B58943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23,216,862.67</w:t>
            </w:r>
          </w:p>
        </w:tc>
        <w:tc>
          <w:tcPr>
            <w:tcW w:w="1205" w:type="pct"/>
            <w:tcBorders>
              <w:top w:val="single" w:sz="4" w:space="0" w:color="auto"/>
              <w:left w:val="single" w:sz="4" w:space="0" w:color="auto"/>
              <w:bottom w:val="single" w:sz="4" w:space="0" w:color="auto"/>
              <w:right w:val="single" w:sz="4" w:space="0" w:color="auto"/>
            </w:tcBorders>
            <w:vAlign w:val="center"/>
          </w:tcPr>
          <w:p w14:paraId="003A66F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57,477,438.61</w:t>
            </w:r>
          </w:p>
        </w:tc>
        <w:tc>
          <w:tcPr>
            <w:tcW w:w="745" w:type="pct"/>
            <w:tcBorders>
              <w:top w:val="single" w:sz="4" w:space="0" w:color="auto"/>
              <w:left w:val="single" w:sz="4" w:space="0" w:color="auto"/>
              <w:bottom w:val="single" w:sz="4" w:space="0" w:color="auto"/>
              <w:right w:val="single" w:sz="4" w:space="0" w:color="auto"/>
            </w:tcBorders>
          </w:tcPr>
          <w:p w14:paraId="5B8BA2B5" w14:textId="77777777" w:rsidR="002D0AE7" w:rsidRDefault="002D0AE7">
            <w:pPr>
              <w:rPr>
                <w:rFonts w:hint="eastAsia"/>
                <w:sz w:val="21"/>
                <w:szCs w:val="21"/>
              </w:rPr>
            </w:pPr>
          </w:p>
        </w:tc>
      </w:tr>
      <w:tr w:rsidR="002D0AE7" w14:paraId="24B5CA71" w14:textId="77777777">
        <w:trPr>
          <w:trHeight w:val="285"/>
          <w:jc w:val="center"/>
        </w:trPr>
        <w:tc>
          <w:tcPr>
            <w:tcW w:w="1152" w:type="pct"/>
            <w:tcBorders>
              <w:top w:val="single" w:sz="4" w:space="0" w:color="auto"/>
              <w:left w:val="single" w:sz="4" w:space="0" w:color="auto"/>
              <w:bottom w:val="single" w:sz="4" w:space="0" w:color="auto"/>
              <w:right w:val="single" w:sz="4" w:space="0" w:color="auto"/>
            </w:tcBorders>
          </w:tcPr>
          <w:p w14:paraId="401CE8C6" w14:textId="77777777" w:rsidR="002D0AE7" w:rsidRDefault="00333EBB">
            <w:pPr>
              <w:rPr>
                <w:rFonts w:hint="eastAsia"/>
                <w:sz w:val="21"/>
                <w:szCs w:val="21"/>
              </w:rPr>
            </w:pPr>
            <w:r>
              <w:rPr>
                <w:sz w:val="21"/>
                <w:szCs w:val="21"/>
              </w:rPr>
              <w:t>2033</w:t>
            </w:r>
            <w:r>
              <w:rPr>
                <w:sz w:val="21"/>
                <w:szCs w:val="21"/>
              </w:rPr>
              <w:t>年度</w:t>
            </w:r>
          </w:p>
        </w:tc>
        <w:tc>
          <w:tcPr>
            <w:tcW w:w="1898" w:type="pct"/>
            <w:tcBorders>
              <w:top w:val="single" w:sz="4" w:space="0" w:color="auto"/>
              <w:left w:val="single" w:sz="4" w:space="0" w:color="auto"/>
              <w:bottom w:val="single" w:sz="4" w:space="0" w:color="auto"/>
              <w:right w:val="single" w:sz="4" w:space="0" w:color="auto"/>
            </w:tcBorders>
            <w:vAlign w:val="center"/>
          </w:tcPr>
          <w:p w14:paraId="301AC2A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36,385,231.52</w:t>
            </w:r>
          </w:p>
        </w:tc>
        <w:tc>
          <w:tcPr>
            <w:tcW w:w="1205" w:type="pct"/>
            <w:tcBorders>
              <w:top w:val="single" w:sz="4" w:space="0" w:color="auto"/>
              <w:left w:val="single" w:sz="4" w:space="0" w:color="auto"/>
              <w:bottom w:val="single" w:sz="4" w:space="0" w:color="auto"/>
              <w:right w:val="single" w:sz="4" w:space="0" w:color="auto"/>
            </w:tcBorders>
            <w:vAlign w:val="center"/>
          </w:tcPr>
          <w:p w14:paraId="0DAB636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36,385,231.52</w:t>
            </w:r>
          </w:p>
        </w:tc>
        <w:tc>
          <w:tcPr>
            <w:tcW w:w="745" w:type="pct"/>
            <w:tcBorders>
              <w:top w:val="single" w:sz="4" w:space="0" w:color="auto"/>
              <w:left w:val="single" w:sz="4" w:space="0" w:color="auto"/>
              <w:bottom w:val="single" w:sz="4" w:space="0" w:color="auto"/>
              <w:right w:val="single" w:sz="4" w:space="0" w:color="auto"/>
            </w:tcBorders>
          </w:tcPr>
          <w:p w14:paraId="031055BC" w14:textId="77777777" w:rsidR="002D0AE7" w:rsidRDefault="002D0AE7">
            <w:pPr>
              <w:rPr>
                <w:rFonts w:hint="eastAsia"/>
                <w:sz w:val="21"/>
                <w:szCs w:val="21"/>
              </w:rPr>
            </w:pPr>
          </w:p>
        </w:tc>
      </w:tr>
      <w:tr w:rsidR="002D0AE7" w14:paraId="7E172360" w14:textId="77777777">
        <w:trPr>
          <w:trHeight w:val="285"/>
          <w:jc w:val="center"/>
        </w:trPr>
        <w:tc>
          <w:tcPr>
            <w:tcW w:w="1152" w:type="pct"/>
            <w:tcBorders>
              <w:top w:val="single" w:sz="4" w:space="0" w:color="auto"/>
              <w:left w:val="single" w:sz="4" w:space="0" w:color="auto"/>
              <w:bottom w:val="single" w:sz="4" w:space="0" w:color="auto"/>
              <w:right w:val="single" w:sz="4" w:space="0" w:color="auto"/>
            </w:tcBorders>
            <w:vAlign w:val="bottom"/>
          </w:tcPr>
          <w:p w14:paraId="6D240CEB"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1898" w:type="pct"/>
            <w:tcBorders>
              <w:top w:val="single" w:sz="4" w:space="0" w:color="auto"/>
              <w:left w:val="single" w:sz="4" w:space="0" w:color="auto"/>
              <w:bottom w:val="single" w:sz="4" w:space="0" w:color="auto"/>
              <w:right w:val="single" w:sz="4" w:space="0" w:color="auto"/>
            </w:tcBorders>
          </w:tcPr>
          <w:p w14:paraId="1B10893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70,085,714.48</w:t>
            </w:r>
          </w:p>
        </w:tc>
        <w:tc>
          <w:tcPr>
            <w:tcW w:w="1205" w:type="pct"/>
            <w:tcBorders>
              <w:top w:val="single" w:sz="4" w:space="0" w:color="auto"/>
              <w:left w:val="single" w:sz="4" w:space="0" w:color="auto"/>
              <w:bottom w:val="single" w:sz="4" w:space="0" w:color="auto"/>
              <w:right w:val="single" w:sz="4" w:space="0" w:color="auto"/>
            </w:tcBorders>
          </w:tcPr>
          <w:p w14:paraId="646D91F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168,568,886.02</w:t>
            </w:r>
          </w:p>
        </w:tc>
        <w:tc>
          <w:tcPr>
            <w:tcW w:w="745" w:type="pct"/>
            <w:tcBorders>
              <w:top w:val="single" w:sz="4" w:space="0" w:color="auto"/>
              <w:left w:val="single" w:sz="4" w:space="0" w:color="auto"/>
              <w:bottom w:val="single" w:sz="4" w:space="0" w:color="auto"/>
              <w:right w:val="single" w:sz="4" w:space="0" w:color="auto"/>
            </w:tcBorders>
          </w:tcPr>
          <w:p w14:paraId="5A86BD40" w14:textId="77777777" w:rsidR="002D0AE7" w:rsidRDefault="00333EBB">
            <w:pPr>
              <w:jc w:val="center"/>
              <w:rPr>
                <w:rFonts w:hint="eastAsia"/>
                <w:color w:val="000000" w:themeColor="text1"/>
                <w:sz w:val="21"/>
                <w:szCs w:val="21"/>
              </w:rPr>
            </w:pPr>
            <w:r>
              <w:rPr>
                <w:rFonts w:hint="eastAsia"/>
                <w:color w:val="000000" w:themeColor="text1"/>
                <w:sz w:val="21"/>
                <w:szCs w:val="21"/>
              </w:rPr>
              <w:t>/</w:t>
            </w:r>
          </w:p>
        </w:tc>
      </w:tr>
    </w:tbl>
    <w:p w14:paraId="58B525FD" w14:textId="77777777" w:rsidR="002D0AE7" w:rsidRDefault="00333EBB">
      <w:pPr>
        <w:pStyle w:val="3"/>
        <w:numPr>
          <w:ilvl w:val="0"/>
          <w:numId w:val="43"/>
        </w:numPr>
        <w:tabs>
          <w:tab w:val="left" w:pos="504"/>
        </w:tabs>
        <w:rPr>
          <w:rFonts w:ascii="宋体" w:hAnsi="宋体" w:hint="eastAsia"/>
          <w:color w:val="000000" w:themeColor="text1"/>
          <w:szCs w:val="21"/>
        </w:rPr>
      </w:pPr>
      <w:bookmarkStart w:id="195" w:name="_Hlk10535308"/>
      <w:r>
        <w:rPr>
          <w:rFonts w:ascii="宋体" w:hAnsi="宋体" w:hint="eastAsia"/>
          <w:color w:val="000000" w:themeColor="text1"/>
          <w:szCs w:val="21"/>
        </w:rPr>
        <w:t>其他非流动资产</w:t>
      </w:r>
    </w:p>
    <w:sdt>
      <w:sdtPr>
        <w:rPr>
          <w:color w:val="000000" w:themeColor="text1"/>
        </w:rPr>
        <w:alias w:val="是否适用：其他非流动资产[双击切换]"/>
        <w:tag w:val="_GBC_227882aeaa9b4aa98d6af8bcac2af7a5"/>
        <w:id w:val="235594965"/>
        <w:placeholder>
          <w:docPart w:val="GBC22222222222222222222222222222"/>
        </w:placeholder>
      </w:sdtPr>
      <w:sdtEndPr/>
      <w:sdtContent>
        <w:p w14:paraId="387F4E86"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06F44EF0" w14:textId="77777777" w:rsidR="002D0AE7" w:rsidRDefault="00333EBB">
      <w:pPr>
        <w:jc w:val="right"/>
        <w:rPr>
          <w:rFonts w:hint="eastAsia"/>
          <w:color w:val="000000" w:themeColor="text1"/>
        </w:rPr>
      </w:pPr>
      <w:r>
        <w:rPr>
          <w:rFonts w:hint="eastAsia"/>
          <w:color w:val="000000" w:themeColor="text1"/>
        </w:rPr>
        <w:t>单位：</w:t>
      </w:r>
      <w:sdt>
        <w:sdtPr>
          <w:rPr>
            <w:color w:val="000000" w:themeColor="text1"/>
          </w:rPr>
          <w:alias w:val="单位：财务附注：其他非流动资产"/>
          <w:tag w:val="_GBC_5fd172528c7e4c4c8619b250ae90cdb4"/>
          <w:id w:val="51034609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其他非流动资产"/>
          <w:tag w:val="_GBC_4cd5c26035ba4f7384dee597c98f0cb6"/>
          <w:id w:val="-180631316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250"/>
        <w:gridCol w:w="1713"/>
        <w:gridCol w:w="687"/>
        <w:gridCol w:w="1543"/>
        <w:gridCol w:w="1739"/>
        <w:gridCol w:w="663"/>
        <w:gridCol w:w="1541"/>
      </w:tblGrid>
      <w:tr w:rsidR="002D0AE7" w14:paraId="79C6B291" w14:textId="77777777">
        <w:trPr>
          <w:jc w:val="center"/>
        </w:trPr>
        <w:sdt>
          <w:sdtPr>
            <w:rPr>
              <w:color w:val="000000" w:themeColor="text1"/>
              <w:sz w:val="21"/>
              <w:szCs w:val="21"/>
            </w:rPr>
            <w:tag w:val="_PLD_a0072e7adb6c49bb95cec91e0b7ec491"/>
            <w:id w:val="-1442217565"/>
          </w:sdtPr>
          <w:sdtEndPr/>
          <w:sdtContent>
            <w:tc>
              <w:tcPr>
                <w:tcW w:w="1110" w:type="pct"/>
                <w:vMerge w:val="restart"/>
                <w:shd w:val="clear" w:color="auto" w:fill="auto"/>
                <w:vAlign w:val="center"/>
              </w:tcPr>
              <w:p w14:paraId="65850203"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9557fd4b49c84b3db8c9ae69c7346562"/>
            <w:id w:val="-1222283075"/>
          </w:sdtPr>
          <w:sdtEndPr/>
          <w:sdtContent>
            <w:tc>
              <w:tcPr>
                <w:tcW w:w="1945" w:type="pct"/>
                <w:gridSpan w:val="3"/>
                <w:vAlign w:val="center"/>
              </w:tcPr>
              <w:p w14:paraId="3AAB091A"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sdt>
          <w:sdtPr>
            <w:rPr>
              <w:color w:val="000000" w:themeColor="text1"/>
              <w:sz w:val="21"/>
              <w:szCs w:val="21"/>
            </w:rPr>
            <w:tag w:val="_PLD_dad73a13c6c344aaa0bec642175f96c3"/>
            <w:id w:val="1632597501"/>
          </w:sdtPr>
          <w:sdtEndPr/>
          <w:sdtContent>
            <w:tc>
              <w:tcPr>
                <w:tcW w:w="1945" w:type="pct"/>
                <w:gridSpan w:val="3"/>
                <w:vAlign w:val="center"/>
              </w:tcPr>
              <w:p w14:paraId="4E890662" w14:textId="77777777" w:rsidR="002D0AE7" w:rsidRDefault="00333EBB">
                <w:pPr>
                  <w:jc w:val="center"/>
                  <w:rPr>
                    <w:rFonts w:hint="eastAsia"/>
                    <w:color w:val="000000" w:themeColor="text1"/>
                    <w:sz w:val="21"/>
                    <w:szCs w:val="21"/>
                  </w:rPr>
                </w:pPr>
                <w:r>
                  <w:rPr>
                    <w:rFonts w:hint="eastAsia"/>
                    <w:color w:val="000000" w:themeColor="text1"/>
                    <w:sz w:val="21"/>
                    <w:szCs w:val="21"/>
                  </w:rPr>
                  <w:t>期初余额</w:t>
                </w:r>
              </w:p>
            </w:tc>
          </w:sdtContent>
        </w:sdt>
      </w:tr>
      <w:tr w:rsidR="002D0AE7" w14:paraId="4C1FB591" w14:textId="77777777">
        <w:trPr>
          <w:jc w:val="center"/>
        </w:trPr>
        <w:tc>
          <w:tcPr>
            <w:tcW w:w="1110" w:type="pct"/>
            <w:vMerge/>
            <w:shd w:val="clear" w:color="auto" w:fill="auto"/>
            <w:vAlign w:val="center"/>
          </w:tcPr>
          <w:p w14:paraId="56BD6421" w14:textId="77777777" w:rsidR="002D0AE7" w:rsidRDefault="002D0AE7">
            <w:pPr>
              <w:jc w:val="center"/>
              <w:rPr>
                <w:rFonts w:hint="eastAsia"/>
                <w:color w:val="000000" w:themeColor="text1"/>
                <w:sz w:val="21"/>
                <w:szCs w:val="21"/>
              </w:rPr>
            </w:pPr>
          </w:p>
        </w:tc>
        <w:tc>
          <w:tcPr>
            <w:tcW w:w="845" w:type="pct"/>
            <w:vAlign w:val="center"/>
          </w:tcPr>
          <w:sdt>
            <w:sdtPr>
              <w:rPr>
                <w:rFonts w:hint="eastAsia"/>
                <w:color w:val="000000" w:themeColor="text1"/>
                <w:sz w:val="21"/>
                <w:szCs w:val="21"/>
              </w:rPr>
              <w:tag w:val="_PLD_93d316b5ed8d45ea95cfce051b0f999d"/>
              <w:id w:val="-849560456"/>
            </w:sdtPr>
            <w:sdtEndPr/>
            <w:sdtContent>
              <w:p w14:paraId="3AB71EC7" w14:textId="77777777" w:rsidR="002D0AE7" w:rsidRDefault="00333EBB">
                <w:pPr>
                  <w:jc w:val="center"/>
                  <w:rPr>
                    <w:rFonts w:hint="eastAsia"/>
                    <w:color w:val="000000" w:themeColor="text1"/>
                    <w:sz w:val="21"/>
                    <w:szCs w:val="21"/>
                  </w:rPr>
                </w:pPr>
                <w:r>
                  <w:rPr>
                    <w:rFonts w:hint="eastAsia"/>
                    <w:color w:val="000000" w:themeColor="text1"/>
                    <w:sz w:val="21"/>
                    <w:szCs w:val="21"/>
                  </w:rPr>
                  <w:t>账面余额</w:t>
                </w:r>
              </w:p>
            </w:sdtContent>
          </w:sdt>
        </w:tc>
        <w:tc>
          <w:tcPr>
            <w:tcW w:w="339" w:type="pct"/>
            <w:vAlign w:val="center"/>
          </w:tcPr>
          <w:sdt>
            <w:sdtPr>
              <w:rPr>
                <w:color w:val="000000" w:themeColor="text1"/>
                <w:sz w:val="21"/>
                <w:szCs w:val="21"/>
              </w:rPr>
              <w:tag w:val="_PLD_ce9573e9b47f4859912e77c530974f87"/>
              <w:id w:val="-1417784876"/>
            </w:sdtPr>
            <w:sdtEndPr/>
            <w:sdtContent>
              <w:p w14:paraId="1E249B80" w14:textId="77777777" w:rsidR="002D0AE7" w:rsidRDefault="00333EBB">
                <w:pPr>
                  <w:jc w:val="center"/>
                  <w:rPr>
                    <w:rFonts w:hint="eastAsia"/>
                    <w:color w:val="000000" w:themeColor="text1"/>
                    <w:sz w:val="21"/>
                    <w:szCs w:val="21"/>
                  </w:rPr>
                </w:pPr>
                <w:r>
                  <w:rPr>
                    <w:color w:val="000000" w:themeColor="text1"/>
                    <w:sz w:val="21"/>
                    <w:szCs w:val="21"/>
                  </w:rPr>
                  <w:t>减值准备</w:t>
                </w:r>
              </w:p>
            </w:sdtContent>
          </w:sdt>
        </w:tc>
        <w:tc>
          <w:tcPr>
            <w:tcW w:w="761" w:type="pct"/>
            <w:shd w:val="clear" w:color="auto" w:fill="auto"/>
            <w:vAlign w:val="center"/>
          </w:tcPr>
          <w:sdt>
            <w:sdtPr>
              <w:rPr>
                <w:color w:val="000000" w:themeColor="text1"/>
                <w:sz w:val="21"/>
                <w:szCs w:val="21"/>
              </w:rPr>
              <w:tag w:val="_PLD_4b72c2cb7df84a3a9384f2eaa1acaf3a"/>
              <w:id w:val="-1779792204"/>
            </w:sdtPr>
            <w:sdtEndPr/>
            <w:sdtContent>
              <w:p w14:paraId="7D6E43DB" w14:textId="77777777" w:rsidR="002D0AE7" w:rsidRDefault="00333EBB">
                <w:pPr>
                  <w:jc w:val="center"/>
                  <w:rPr>
                    <w:rFonts w:hint="eastAsia"/>
                    <w:color w:val="000000" w:themeColor="text1"/>
                    <w:sz w:val="21"/>
                    <w:szCs w:val="21"/>
                  </w:rPr>
                </w:pPr>
                <w:r>
                  <w:rPr>
                    <w:color w:val="000000" w:themeColor="text1"/>
                    <w:sz w:val="21"/>
                    <w:szCs w:val="21"/>
                  </w:rPr>
                  <w:t>账面价值</w:t>
                </w:r>
              </w:p>
            </w:sdtContent>
          </w:sdt>
        </w:tc>
        <w:tc>
          <w:tcPr>
            <w:tcW w:w="858" w:type="pct"/>
            <w:vAlign w:val="center"/>
          </w:tcPr>
          <w:sdt>
            <w:sdtPr>
              <w:rPr>
                <w:color w:val="000000" w:themeColor="text1"/>
                <w:sz w:val="21"/>
                <w:szCs w:val="21"/>
              </w:rPr>
              <w:tag w:val="_PLD_31abd03025c54702bba8f28fbcd435be"/>
              <w:id w:val="-237787291"/>
            </w:sdtPr>
            <w:sdtEndPr/>
            <w:sdtContent>
              <w:p w14:paraId="0A2E17E8" w14:textId="77777777" w:rsidR="002D0AE7" w:rsidRDefault="00333EBB">
                <w:pPr>
                  <w:jc w:val="center"/>
                  <w:rPr>
                    <w:rFonts w:hint="eastAsia"/>
                    <w:color w:val="000000" w:themeColor="text1"/>
                    <w:sz w:val="21"/>
                    <w:szCs w:val="21"/>
                  </w:rPr>
                </w:pPr>
                <w:r>
                  <w:rPr>
                    <w:color w:val="000000" w:themeColor="text1"/>
                    <w:sz w:val="21"/>
                    <w:szCs w:val="21"/>
                  </w:rPr>
                  <w:t>账面余额</w:t>
                </w:r>
              </w:p>
            </w:sdtContent>
          </w:sdt>
        </w:tc>
        <w:tc>
          <w:tcPr>
            <w:tcW w:w="327" w:type="pct"/>
            <w:vAlign w:val="center"/>
          </w:tcPr>
          <w:sdt>
            <w:sdtPr>
              <w:rPr>
                <w:color w:val="000000" w:themeColor="text1"/>
                <w:sz w:val="21"/>
                <w:szCs w:val="21"/>
              </w:rPr>
              <w:tag w:val="_PLD_5650816a035d4b9d999e9f87d1506d3b"/>
              <w:id w:val="730963667"/>
            </w:sdtPr>
            <w:sdtEndPr/>
            <w:sdtContent>
              <w:p w14:paraId="2557CFC3" w14:textId="77777777" w:rsidR="002D0AE7" w:rsidRDefault="00333EBB">
                <w:pPr>
                  <w:jc w:val="center"/>
                  <w:rPr>
                    <w:rFonts w:hint="eastAsia"/>
                    <w:color w:val="000000" w:themeColor="text1"/>
                    <w:sz w:val="21"/>
                    <w:szCs w:val="21"/>
                  </w:rPr>
                </w:pPr>
                <w:r>
                  <w:rPr>
                    <w:color w:val="000000" w:themeColor="text1"/>
                    <w:sz w:val="21"/>
                    <w:szCs w:val="21"/>
                  </w:rPr>
                  <w:t>减值准备</w:t>
                </w:r>
              </w:p>
            </w:sdtContent>
          </w:sdt>
        </w:tc>
        <w:tc>
          <w:tcPr>
            <w:tcW w:w="760" w:type="pct"/>
            <w:shd w:val="clear" w:color="auto" w:fill="auto"/>
            <w:vAlign w:val="center"/>
          </w:tcPr>
          <w:sdt>
            <w:sdtPr>
              <w:rPr>
                <w:color w:val="000000" w:themeColor="text1"/>
                <w:sz w:val="21"/>
                <w:szCs w:val="21"/>
              </w:rPr>
              <w:tag w:val="_PLD_76b67d2d1c1543c0b22ec33e5ae8e28a"/>
              <w:id w:val="1928082457"/>
            </w:sdtPr>
            <w:sdtEndPr/>
            <w:sdtContent>
              <w:p w14:paraId="34CA3353" w14:textId="77777777" w:rsidR="002D0AE7" w:rsidRDefault="00333EBB">
                <w:pPr>
                  <w:jc w:val="center"/>
                  <w:rPr>
                    <w:rFonts w:hint="eastAsia"/>
                    <w:color w:val="000000" w:themeColor="text1"/>
                    <w:sz w:val="21"/>
                    <w:szCs w:val="21"/>
                  </w:rPr>
                </w:pPr>
                <w:r>
                  <w:rPr>
                    <w:color w:val="000000" w:themeColor="text1"/>
                    <w:sz w:val="21"/>
                    <w:szCs w:val="21"/>
                  </w:rPr>
                  <w:t>账面价值</w:t>
                </w:r>
              </w:p>
            </w:sdtContent>
          </w:sdt>
        </w:tc>
      </w:tr>
      <w:tr w:rsidR="002D0AE7" w14:paraId="04473D26" w14:textId="77777777">
        <w:trPr>
          <w:jc w:val="center"/>
        </w:trPr>
        <w:tc>
          <w:tcPr>
            <w:tcW w:w="1110" w:type="pct"/>
            <w:shd w:val="clear" w:color="auto" w:fill="auto"/>
            <w:vAlign w:val="center"/>
          </w:tcPr>
          <w:p w14:paraId="77856147" w14:textId="77777777" w:rsidR="002D0AE7" w:rsidRDefault="00333EBB">
            <w:pPr>
              <w:jc w:val="both"/>
              <w:rPr>
                <w:rFonts w:hint="eastAsia"/>
                <w:sz w:val="21"/>
                <w:szCs w:val="21"/>
              </w:rPr>
            </w:pPr>
            <w:r>
              <w:rPr>
                <w:rFonts w:hint="eastAsia"/>
                <w:sz w:val="21"/>
                <w:szCs w:val="21"/>
              </w:rPr>
              <w:t>预付工程款及设备款</w:t>
            </w:r>
          </w:p>
        </w:tc>
        <w:tc>
          <w:tcPr>
            <w:tcW w:w="845" w:type="pct"/>
            <w:vAlign w:val="center"/>
          </w:tcPr>
          <w:p w14:paraId="52F1C65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22,618,277.01</w:t>
            </w:r>
          </w:p>
        </w:tc>
        <w:tc>
          <w:tcPr>
            <w:tcW w:w="339" w:type="pct"/>
            <w:vAlign w:val="center"/>
          </w:tcPr>
          <w:p w14:paraId="2052166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61" w:type="pct"/>
            <w:shd w:val="clear" w:color="auto" w:fill="auto"/>
            <w:vAlign w:val="center"/>
          </w:tcPr>
          <w:p w14:paraId="083316E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22,618,277.01</w:t>
            </w:r>
          </w:p>
        </w:tc>
        <w:tc>
          <w:tcPr>
            <w:tcW w:w="858" w:type="pct"/>
            <w:vAlign w:val="center"/>
          </w:tcPr>
          <w:p w14:paraId="2B01BA4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14,323,043.71</w:t>
            </w:r>
          </w:p>
        </w:tc>
        <w:tc>
          <w:tcPr>
            <w:tcW w:w="327" w:type="pct"/>
            <w:vAlign w:val="center"/>
          </w:tcPr>
          <w:p w14:paraId="7C5468B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60" w:type="pct"/>
            <w:shd w:val="clear" w:color="auto" w:fill="auto"/>
            <w:vAlign w:val="center"/>
          </w:tcPr>
          <w:p w14:paraId="4D4251C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14,323,043.71</w:t>
            </w:r>
          </w:p>
        </w:tc>
      </w:tr>
      <w:tr w:rsidR="002D0AE7" w14:paraId="69703CAD" w14:textId="77777777">
        <w:trPr>
          <w:jc w:val="center"/>
        </w:trPr>
        <w:tc>
          <w:tcPr>
            <w:tcW w:w="1110" w:type="pct"/>
            <w:shd w:val="clear" w:color="auto" w:fill="auto"/>
            <w:vAlign w:val="center"/>
          </w:tcPr>
          <w:p w14:paraId="3C017ABA" w14:textId="77777777" w:rsidR="002D0AE7" w:rsidRDefault="00333EBB">
            <w:pPr>
              <w:jc w:val="both"/>
              <w:rPr>
                <w:rFonts w:hint="eastAsia"/>
                <w:sz w:val="21"/>
                <w:szCs w:val="21"/>
              </w:rPr>
            </w:pPr>
            <w:r>
              <w:rPr>
                <w:rFonts w:hint="eastAsia"/>
                <w:sz w:val="21"/>
                <w:szCs w:val="21"/>
              </w:rPr>
              <w:t>预付技术项目款</w:t>
            </w:r>
          </w:p>
        </w:tc>
        <w:tc>
          <w:tcPr>
            <w:tcW w:w="845" w:type="pct"/>
            <w:vAlign w:val="center"/>
          </w:tcPr>
          <w:p w14:paraId="1FCDF39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266,811,163.67</w:t>
            </w:r>
          </w:p>
        </w:tc>
        <w:tc>
          <w:tcPr>
            <w:tcW w:w="339" w:type="pct"/>
            <w:vAlign w:val="center"/>
          </w:tcPr>
          <w:p w14:paraId="3B0675F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61" w:type="pct"/>
            <w:shd w:val="clear" w:color="auto" w:fill="auto"/>
            <w:vAlign w:val="center"/>
          </w:tcPr>
          <w:p w14:paraId="01E77E1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266,811,163.67</w:t>
            </w:r>
          </w:p>
        </w:tc>
        <w:tc>
          <w:tcPr>
            <w:tcW w:w="858" w:type="pct"/>
            <w:vAlign w:val="center"/>
          </w:tcPr>
          <w:p w14:paraId="28DCDC2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272,829,028.08</w:t>
            </w:r>
          </w:p>
        </w:tc>
        <w:tc>
          <w:tcPr>
            <w:tcW w:w="327" w:type="pct"/>
            <w:vAlign w:val="center"/>
          </w:tcPr>
          <w:p w14:paraId="3BF7571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60" w:type="pct"/>
            <w:shd w:val="clear" w:color="auto" w:fill="auto"/>
            <w:vAlign w:val="center"/>
          </w:tcPr>
          <w:p w14:paraId="1AD49BF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272,829,028.08</w:t>
            </w:r>
          </w:p>
        </w:tc>
      </w:tr>
      <w:tr w:rsidR="002D0AE7" w14:paraId="743F64AA" w14:textId="77777777">
        <w:trPr>
          <w:jc w:val="center"/>
        </w:trPr>
        <w:tc>
          <w:tcPr>
            <w:tcW w:w="1110" w:type="pct"/>
            <w:shd w:val="clear" w:color="auto" w:fill="auto"/>
            <w:vAlign w:val="center"/>
          </w:tcPr>
          <w:p w14:paraId="11D4B2E9"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845" w:type="pct"/>
            <w:vAlign w:val="center"/>
          </w:tcPr>
          <w:p w14:paraId="27E0440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289,429,440.68</w:t>
            </w:r>
          </w:p>
        </w:tc>
        <w:tc>
          <w:tcPr>
            <w:tcW w:w="339" w:type="pct"/>
            <w:vAlign w:val="center"/>
          </w:tcPr>
          <w:p w14:paraId="619D860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61" w:type="pct"/>
            <w:shd w:val="clear" w:color="auto" w:fill="auto"/>
            <w:vAlign w:val="center"/>
          </w:tcPr>
          <w:p w14:paraId="732C503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289,429,440.68</w:t>
            </w:r>
          </w:p>
        </w:tc>
        <w:tc>
          <w:tcPr>
            <w:tcW w:w="858" w:type="pct"/>
            <w:vAlign w:val="center"/>
          </w:tcPr>
          <w:p w14:paraId="060EA10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287,152,071.79</w:t>
            </w:r>
          </w:p>
        </w:tc>
        <w:tc>
          <w:tcPr>
            <w:tcW w:w="327" w:type="pct"/>
            <w:vAlign w:val="center"/>
          </w:tcPr>
          <w:p w14:paraId="7A4563C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60" w:type="pct"/>
            <w:shd w:val="clear" w:color="auto" w:fill="auto"/>
            <w:vAlign w:val="center"/>
          </w:tcPr>
          <w:p w14:paraId="5311FDB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287,152,071.79</w:t>
            </w:r>
          </w:p>
        </w:tc>
      </w:tr>
    </w:tbl>
    <w:p w14:paraId="3F05D262" w14:textId="77777777" w:rsidR="002D0AE7" w:rsidRDefault="00333EBB">
      <w:pPr>
        <w:rPr>
          <w:rFonts w:hint="eastAsia"/>
          <w:color w:val="000000" w:themeColor="text1"/>
          <w:sz w:val="21"/>
          <w:szCs w:val="21"/>
        </w:rPr>
      </w:pPr>
      <w:r>
        <w:rPr>
          <w:rFonts w:hint="eastAsia"/>
          <w:color w:val="000000" w:themeColor="text1"/>
          <w:sz w:val="21"/>
          <w:szCs w:val="21"/>
        </w:rPr>
        <w:t>其他说明：</w:t>
      </w:r>
    </w:p>
    <w:p w14:paraId="5D64C08F" w14:textId="77777777" w:rsidR="002D0AE7" w:rsidRDefault="00333EBB">
      <w:pPr>
        <w:rPr>
          <w:rFonts w:hint="eastAsia"/>
          <w:color w:val="000000" w:themeColor="text1"/>
          <w:sz w:val="21"/>
        </w:rPr>
      </w:pPr>
      <w:sdt>
        <w:sdtPr>
          <w:rPr>
            <w:color w:val="000000" w:themeColor="text1"/>
          </w:rPr>
          <w:alias w:val="其他长期资产的说明"/>
          <w:tag w:val="_GBC_c90d49970b64411f909938927f41ebe5"/>
          <w:id w:val="119650104"/>
          <w:placeholder>
            <w:docPart w:val="GBC22222222222222222222222222222"/>
          </w:placeholder>
        </w:sdtPr>
        <w:sdtEndPr>
          <w:rPr>
            <w:sz w:val="21"/>
          </w:rPr>
        </w:sdtEndPr>
        <w:sdtContent>
          <w:r>
            <w:rPr>
              <w:rFonts w:hint="eastAsia"/>
              <w:color w:val="000000" w:themeColor="text1"/>
              <w:sz w:val="21"/>
            </w:rPr>
            <w:t>本报告期其他非流动资产中无持有公司</w:t>
          </w:r>
          <w:r>
            <w:rPr>
              <w:color w:val="000000" w:themeColor="text1"/>
              <w:sz w:val="21"/>
            </w:rPr>
            <w:t>5%(</w:t>
          </w:r>
          <w:r>
            <w:rPr>
              <w:color w:val="000000" w:themeColor="text1"/>
              <w:sz w:val="21"/>
            </w:rPr>
            <w:t>含</w:t>
          </w:r>
          <w:r>
            <w:rPr>
              <w:color w:val="000000" w:themeColor="text1"/>
              <w:sz w:val="21"/>
            </w:rPr>
            <w:t>5%)</w:t>
          </w:r>
          <w:r>
            <w:rPr>
              <w:color w:val="000000" w:themeColor="text1"/>
              <w:sz w:val="21"/>
            </w:rPr>
            <w:t>以上表决权股份的股东欠款；预付其他关联方余额合计</w:t>
          </w:r>
          <w:r>
            <w:rPr>
              <w:rFonts w:ascii="Times New Roman" w:hAnsi="Times New Roman" w:cs="Times New Roman"/>
              <w:color w:val="000000" w:themeColor="text1"/>
              <w:sz w:val="21"/>
            </w:rPr>
            <w:t>203,200,925.15</w:t>
          </w:r>
          <w:r>
            <w:rPr>
              <w:color w:val="000000" w:themeColor="text1"/>
              <w:sz w:val="21"/>
            </w:rPr>
            <w:t>元为预付技术项目款。</w:t>
          </w:r>
        </w:sdtContent>
      </w:sdt>
    </w:p>
    <w:p w14:paraId="7D3C084F" w14:textId="77777777" w:rsidR="002D0AE7" w:rsidRDefault="00333EBB">
      <w:pPr>
        <w:pStyle w:val="3"/>
        <w:numPr>
          <w:ilvl w:val="0"/>
          <w:numId w:val="43"/>
        </w:numPr>
        <w:tabs>
          <w:tab w:val="left" w:pos="504"/>
        </w:tabs>
        <w:rPr>
          <w:rFonts w:ascii="宋体" w:hAnsi="宋体" w:cs="宋体" w:hint="eastAsia"/>
          <w:color w:val="000000" w:themeColor="text1"/>
          <w:kern w:val="0"/>
          <w:szCs w:val="21"/>
        </w:rPr>
      </w:pPr>
      <w:bookmarkStart w:id="196" w:name="_Hlk167960140"/>
      <w:bookmarkEnd w:id="195"/>
      <w:r>
        <w:rPr>
          <w:rFonts w:ascii="宋体" w:hAnsi="宋体" w:cs="宋体" w:hint="eastAsia"/>
          <w:color w:val="000000" w:themeColor="text1"/>
          <w:kern w:val="0"/>
          <w:szCs w:val="21"/>
        </w:rPr>
        <w:t>所有权或使用权受限资产</w:t>
      </w:r>
    </w:p>
    <w:sdt>
      <w:sdtPr>
        <w:rPr>
          <w:color w:val="000000" w:themeColor="text1"/>
        </w:rPr>
        <w:alias w:val="是否适用：所有权或使用权受到限制的资产[双击切换]"/>
        <w:tag w:val="_GBC_006357d26b6d46ec8496596e5de014f0"/>
        <w:id w:val="928082579"/>
        <w:placeholder>
          <w:docPart w:val="GBC22222222222222222222222222222"/>
        </w:placeholder>
      </w:sdtPr>
      <w:sdtEndPr/>
      <w:sdtContent>
        <w:p w14:paraId="0317C127"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4159B1C9" w14:textId="77777777" w:rsidR="002D0AE7" w:rsidRDefault="00333EBB">
      <w:pPr>
        <w:pStyle w:val="11"/>
        <w:rPr>
          <w:rFonts w:hint="eastAsia"/>
        </w:rPr>
      </w:pPr>
      <w:r>
        <w:rPr>
          <w:rFonts w:hint="eastAsia"/>
        </w:rPr>
        <w:t>单位：</w:t>
      </w:r>
      <w:sdt>
        <w:sdtPr>
          <w:rPr>
            <w:rFonts w:hint="eastAsia"/>
          </w:rPr>
          <w:alias w:val="单位：财务附注：所有权或使用权受到限制的资产"/>
          <w:tag w:val="_GBC_a7102ff3db4e4d8a94bd9f34e41fd91f"/>
          <w:id w:val="-67765859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财务附注：所有权或使用权受到限制的资产"/>
          <w:tag w:val="_GBC_95c4fec9be7647a5baa402b14dcb9f69"/>
          <w:id w:val="33050380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aff2"/>
        <w:tblW w:w="11210" w:type="dxa"/>
        <w:tblInd w:w="-938" w:type="dxa"/>
        <w:tblLook w:val="04A0" w:firstRow="1" w:lastRow="0" w:firstColumn="1" w:lastColumn="0" w:noHBand="0" w:noVBand="1"/>
      </w:tblPr>
      <w:tblGrid>
        <w:gridCol w:w="1052"/>
        <w:gridCol w:w="1529"/>
        <w:gridCol w:w="1529"/>
        <w:gridCol w:w="840"/>
        <w:gridCol w:w="1411"/>
        <w:gridCol w:w="1424"/>
        <w:gridCol w:w="1424"/>
        <w:gridCol w:w="426"/>
        <w:gridCol w:w="1575"/>
      </w:tblGrid>
      <w:tr w:rsidR="002D0AE7" w14:paraId="5398FFEE" w14:textId="77777777">
        <w:sdt>
          <w:sdtPr>
            <w:rPr>
              <w:rFonts w:ascii="Times New Roman" w:hAnsi="Times New Roman" w:hint="eastAsia"/>
              <w:color w:val="000000" w:themeColor="text1"/>
              <w:sz w:val="21"/>
              <w:szCs w:val="21"/>
            </w:rPr>
            <w:tag w:val="_PLD_1faeb04f4bf14b349ad8c59d6667b0fb"/>
            <w:id w:val="-2003034454"/>
          </w:sdtPr>
          <w:sdtEndPr/>
          <w:sdtContent>
            <w:tc>
              <w:tcPr>
                <w:tcW w:w="1052" w:type="dxa"/>
                <w:vMerge w:val="restart"/>
                <w:vAlign w:val="center"/>
              </w:tcPr>
              <w:p w14:paraId="290643D7" w14:textId="77777777" w:rsidR="002D0AE7" w:rsidRDefault="00333EBB">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项目</w:t>
                </w:r>
              </w:p>
            </w:tc>
          </w:sdtContent>
        </w:sdt>
        <w:sdt>
          <w:sdtPr>
            <w:rPr>
              <w:rFonts w:ascii="Times New Roman" w:hAnsi="Times New Roman" w:hint="eastAsia"/>
              <w:color w:val="000000" w:themeColor="text1"/>
              <w:sz w:val="21"/>
              <w:szCs w:val="21"/>
            </w:rPr>
            <w:tag w:val="_PLD_c2f91c04994b44019d90769d6b563b17"/>
            <w:id w:val="-1661308653"/>
          </w:sdtPr>
          <w:sdtEndPr/>
          <w:sdtContent>
            <w:tc>
              <w:tcPr>
                <w:tcW w:w="5309" w:type="dxa"/>
                <w:gridSpan w:val="4"/>
                <w:vAlign w:val="center"/>
              </w:tcPr>
              <w:p w14:paraId="70655516" w14:textId="77777777" w:rsidR="002D0AE7" w:rsidRDefault="00333EBB">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期末</w:t>
                </w:r>
              </w:p>
            </w:tc>
          </w:sdtContent>
        </w:sdt>
        <w:sdt>
          <w:sdtPr>
            <w:rPr>
              <w:rFonts w:ascii="Times New Roman" w:hAnsi="Times New Roman" w:hint="eastAsia"/>
              <w:color w:val="000000" w:themeColor="text1"/>
              <w:sz w:val="21"/>
              <w:szCs w:val="21"/>
            </w:rPr>
            <w:tag w:val="_PLD_a4db33e8a01e48af856e896d9a21aa2b"/>
            <w:id w:val="1355077152"/>
          </w:sdtPr>
          <w:sdtEndPr/>
          <w:sdtContent>
            <w:tc>
              <w:tcPr>
                <w:tcW w:w="4849" w:type="dxa"/>
                <w:gridSpan w:val="4"/>
                <w:vAlign w:val="center"/>
              </w:tcPr>
              <w:p w14:paraId="7A7E1FDB" w14:textId="77777777" w:rsidR="002D0AE7" w:rsidRDefault="00333EBB">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期初</w:t>
                </w:r>
              </w:p>
            </w:tc>
          </w:sdtContent>
        </w:sdt>
      </w:tr>
      <w:tr w:rsidR="002D0AE7" w14:paraId="40030C96" w14:textId="77777777">
        <w:trPr>
          <w:trHeight w:val="70"/>
        </w:trPr>
        <w:tc>
          <w:tcPr>
            <w:tcW w:w="1052" w:type="dxa"/>
            <w:vMerge/>
            <w:vAlign w:val="center"/>
          </w:tcPr>
          <w:p w14:paraId="2F9F328A" w14:textId="77777777" w:rsidR="002D0AE7" w:rsidRDefault="002D0AE7">
            <w:pPr>
              <w:rPr>
                <w:rFonts w:ascii="Times New Roman" w:hAnsi="Times New Roman"/>
                <w:color w:val="000000" w:themeColor="text1"/>
                <w:sz w:val="21"/>
                <w:szCs w:val="21"/>
              </w:rPr>
            </w:pPr>
          </w:p>
        </w:tc>
        <w:sdt>
          <w:sdtPr>
            <w:rPr>
              <w:rFonts w:ascii="Times New Roman" w:hAnsi="Times New Roman"/>
              <w:color w:val="000000" w:themeColor="text1"/>
              <w:sz w:val="21"/>
              <w:szCs w:val="21"/>
            </w:rPr>
            <w:tag w:val="_PLD_4ba4c960e2ab4b31a1704a41594547f5"/>
            <w:id w:val="-106346855"/>
          </w:sdtPr>
          <w:sdtEndPr/>
          <w:sdtContent>
            <w:tc>
              <w:tcPr>
                <w:tcW w:w="1529" w:type="dxa"/>
                <w:vAlign w:val="center"/>
              </w:tcPr>
              <w:p w14:paraId="0962B340" w14:textId="77777777" w:rsidR="002D0AE7" w:rsidRDefault="00333EBB">
                <w:pPr>
                  <w:jc w:val="center"/>
                  <w:rPr>
                    <w:rFonts w:ascii="Times New Roman" w:hAnsi="Times New Roman"/>
                    <w:color w:val="000000" w:themeColor="text1"/>
                    <w:sz w:val="21"/>
                    <w:szCs w:val="21"/>
                  </w:rPr>
                </w:pPr>
                <w:r>
                  <w:rPr>
                    <w:rFonts w:ascii="Times New Roman" w:hAnsi="Times New Roman"/>
                    <w:color w:val="000000" w:themeColor="text1"/>
                    <w:sz w:val="21"/>
                    <w:szCs w:val="21"/>
                  </w:rPr>
                  <w:t>账面余额</w:t>
                </w:r>
              </w:p>
            </w:tc>
          </w:sdtContent>
        </w:sdt>
        <w:sdt>
          <w:sdtPr>
            <w:rPr>
              <w:rFonts w:ascii="Times New Roman" w:hAnsi="Times New Roman"/>
              <w:color w:val="000000" w:themeColor="text1"/>
              <w:sz w:val="21"/>
              <w:szCs w:val="21"/>
            </w:rPr>
            <w:tag w:val="_PLD_73e1cd74d6d14f48b88c0ac46580634a"/>
            <w:id w:val="-1370833613"/>
          </w:sdtPr>
          <w:sdtEndPr/>
          <w:sdtContent>
            <w:tc>
              <w:tcPr>
                <w:tcW w:w="1529" w:type="dxa"/>
                <w:vAlign w:val="center"/>
              </w:tcPr>
              <w:p w14:paraId="2A834CEF" w14:textId="77777777" w:rsidR="002D0AE7" w:rsidRDefault="00333EBB">
                <w:pPr>
                  <w:jc w:val="center"/>
                  <w:rPr>
                    <w:rFonts w:ascii="Times New Roman" w:hAnsi="Times New Roman"/>
                    <w:color w:val="000000" w:themeColor="text1"/>
                    <w:sz w:val="21"/>
                    <w:szCs w:val="21"/>
                  </w:rPr>
                </w:pPr>
                <w:r>
                  <w:rPr>
                    <w:rFonts w:ascii="Times New Roman" w:hAnsi="Times New Roman"/>
                    <w:color w:val="000000" w:themeColor="text1"/>
                    <w:sz w:val="21"/>
                    <w:szCs w:val="21"/>
                  </w:rPr>
                  <w:t>账面价值</w:t>
                </w:r>
              </w:p>
            </w:tc>
          </w:sdtContent>
        </w:sdt>
        <w:sdt>
          <w:sdtPr>
            <w:rPr>
              <w:rFonts w:ascii="Times New Roman" w:hAnsi="Times New Roman"/>
              <w:color w:val="000000" w:themeColor="text1"/>
              <w:sz w:val="21"/>
              <w:szCs w:val="21"/>
            </w:rPr>
            <w:tag w:val="_PLD_7e2b8d1452f04530979fb1795878387b"/>
            <w:id w:val="-1351105406"/>
          </w:sdtPr>
          <w:sdtEndPr/>
          <w:sdtContent>
            <w:tc>
              <w:tcPr>
                <w:tcW w:w="840" w:type="dxa"/>
                <w:vAlign w:val="center"/>
              </w:tcPr>
              <w:p w14:paraId="0A2B2686" w14:textId="77777777" w:rsidR="002D0AE7" w:rsidRDefault="00333EBB">
                <w:pPr>
                  <w:jc w:val="center"/>
                  <w:rPr>
                    <w:rFonts w:ascii="Times New Roman" w:hAnsi="Times New Roman"/>
                    <w:color w:val="000000" w:themeColor="text1"/>
                    <w:sz w:val="21"/>
                    <w:szCs w:val="21"/>
                  </w:rPr>
                </w:pPr>
                <w:r>
                  <w:rPr>
                    <w:rFonts w:ascii="Times New Roman" w:hAnsi="Times New Roman"/>
                    <w:color w:val="000000" w:themeColor="text1"/>
                    <w:sz w:val="21"/>
                    <w:szCs w:val="21"/>
                  </w:rPr>
                  <w:t>受限类型</w:t>
                </w:r>
              </w:p>
            </w:tc>
          </w:sdtContent>
        </w:sdt>
        <w:sdt>
          <w:sdtPr>
            <w:rPr>
              <w:rFonts w:ascii="Times New Roman" w:hAnsi="Times New Roman"/>
              <w:color w:val="000000" w:themeColor="text1"/>
              <w:sz w:val="21"/>
              <w:szCs w:val="21"/>
            </w:rPr>
            <w:tag w:val="_PLD_85649273a58f4daebca471b337c689b7"/>
            <w:id w:val="124507414"/>
          </w:sdtPr>
          <w:sdtEndPr/>
          <w:sdtContent>
            <w:tc>
              <w:tcPr>
                <w:tcW w:w="1411" w:type="dxa"/>
                <w:vAlign w:val="center"/>
              </w:tcPr>
              <w:p w14:paraId="347190E9" w14:textId="77777777" w:rsidR="002D0AE7" w:rsidRDefault="00333EBB">
                <w:pPr>
                  <w:jc w:val="center"/>
                  <w:rPr>
                    <w:rFonts w:ascii="Times New Roman" w:hAnsi="Times New Roman"/>
                    <w:color w:val="000000" w:themeColor="text1"/>
                    <w:sz w:val="21"/>
                    <w:szCs w:val="21"/>
                  </w:rPr>
                </w:pPr>
                <w:r>
                  <w:rPr>
                    <w:rFonts w:ascii="Times New Roman" w:hAnsi="Times New Roman"/>
                    <w:color w:val="000000" w:themeColor="text1"/>
                    <w:sz w:val="21"/>
                    <w:szCs w:val="21"/>
                  </w:rPr>
                  <w:t>受限情况</w:t>
                </w:r>
              </w:p>
            </w:tc>
          </w:sdtContent>
        </w:sdt>
        <w:sdt>
          <w:sdtPr>
            <w:rPr>
              <w:rFonts w:ascii="Times New Roman" w:hAnsi="Times New Roman"/>
              <w:color w:val="000000" w:themeColor="text1"/>
              <w:sz w:val="21"/>
              <w:szCs w:val="21"/>
            </w:rPr>
            <w:tag w:val="_PLD_185f68e2333346e5b0c53a9ec276e404"/>
            <w:id w:val="135840873"/>
          </w:sdtPr>
          <w:sdtEndPr/>
          <w:sdtContent>
            <w:tc>
              <w:tcPr>
                <w:tcW w:w="1424" w:type="dxa"/>
                <w:vAlign w:val="center"/>
              </w:tcPr>
              <w:p w14:paraId="03D11743" w14:textId="77777777" w:rsidR="002D0AE7" w:rsidRDefault="00333EBB">
                <w:pPr>
                  <w:jc w:val="center"/>
                  <w:rPr>
                    <w:rFonts w:ascii="Times New Roman" w:hAnsi="Times New Roman"/>
                    <w:color w:val="000000" w:themeColor="text1"/>
                    <w:sz w:val="21"/>
                    <w:szCs w:val="21"/>
                  </w:rPr>
                </w:pPr>
                <w:r>
                  <w:rPr>
                    <w:rFonts w:ascii="Times New Roman" w:hAnsi="Times New Roman"/>
                    <w:color w:val="000000" w:themeColor="text1"/>
                    <w:sz w:val="21"/>
                    <w:szCs w:val="21"/>
                  </w:rPr>
                  <w:t>账面余额</w:t>
                </w:r>
              </w:p>
            </w:tc>
          </w:sdtContent>
        </w:sdt>
        <w:sdt>
          <w:sdtPr>
            <w:rPr>
              <w:rFonts w:ascii="Times New Roman" w:hAnsi="Times New Roman"/>
              <w:color w:val="000000" w:themeColor="text1"/>
              <w:sz w:val="21"/>
              <w:szCs w:val="21"/>
            </w:rPr>
            <w:tag w:val="_PLD_c92ffe9b652b42a095b39310603e580a"/>
            <w:id w:val="1598368246"/>
          </w:sdtPr>
          <w:sdtEndPr/>
          <w:sdtContent>
            <w:tc>
              <w:tcPr>
                <w:tcW w:w="1424" w:type="dxa"/>
                <w:vAlign w:val="center"/>
              </w:tcPr>
              <w:p w14:paraId="077605F0" w14:textId="77777777" w:rsidR="002D0AE7" w:rsidRDefault="00333EBB">
                <w:pPr>
                  <w:jc w:val="center"/>
                  <w:rPr>
                    <w:rFonts w:ascii="Times New Roman" w:hAnsi="Times New Roman"/>
                    <w:color w:val="000000" w:themeColor="text1"/>
                    <w:sz w:val="21"/>
                    <w:szCs w:val="21"/>
                  </w:rPr>
                </w:pPr>
                <w:r>
                  <w:rPr>
                    <w:rFonts w:ascii="Times New Roman" w:hAnsi="Times New Roman"/>
                    <w:color w:val="000000" w:themeColor="text1"/>
                    <w:sz w:val="21"/>
                    <w:szCs w:val="21"/>
                  </w:rPr>
                  <w:t>账面价值</w:t>
                </w:r>
              </w:p>
            </w:tc>
          </w:sdtContent>
        </w:sdt>
        <w:sdt>
          <w:sdtPr>
            <w:rPr>
              <w:rFonts w:ascii="Times New Roman" w:hAnsi="Times New Roman"/>
              <w:color w:val="000000" w:themeColor="text1"/>
              <w:sz w:val="21"/>
              <w:szCs w:val="21"/>
            </w:rPr>
            <w:tag w:val="_PLD_8acb0a1b50e14924933495ec38dd30e1"/>
            <w:id w:val="507953396"/>
          </w:sdtPr>
          <w:sdtEndPr/>
          <w:sdtContent>
            <w:tc>
              <w:tcPr>
                <w:tcW w:w="426" w:type="dxa"/>
                <w:vAlign w:val="center"/>
              </w:tcPr>
              <w:p w14:paraId="55CE7C30" w14:textId="77777777" w:rsidR="002D0AE7" w:rsidRDefault="00333EBB">
                <w:pPr>
                  <w:jc w:val="center"/>
                  <w:rPr>
                    <w:rFonts w:ascii="Times New Roman" w:hAnsi="Times New Roman"/>
                    <w:color w:val="000000" w:themeColor="text1"/>
                    <w:sz w:val="21"/>
                    <w:szCs w:val="21"/>
                  </w:rPr>
                </w:pPr>
                <w:r>
                  <w:rPr>
                    <w:rFonts w:ascii="Times New Roman" w:hAnsi="Times New Roman"/>
                    <w:color w:val="000000" w:themeColor="text1"/>
                    <w:sz w:val="21"/>
                    <w:szCs w:val="21"/>
                  </w:rPr>
                  <w:t>受限类型</w:t>
                </w:r>
              </w:p>
            </w:tc>
          </w:sdtContent>
        </w:sdt>
        <w:sdt>
          <w:sdtPr>
            <w:rPr>
              <w:rFonts w:ascii="Times New Roman" w:hAnsi="Times New Roman"/>
              <w:color w:val="000000" w:themeColor="text1"/>
              <w:sz w:val="21"/>
              <w:szCs w:val="21"/>
            </w:rPr>
            <w:tag w:val="_PLD_6297a0a81c884eab9519ec385b0b6dbe"/>
            <w:id w:val="-1539200420"/>
          </w:sdtPr>
          <w:sdtEndPr/>
          <w:sdtContent>
            <w:tc>
              <w:tcPr>
                <w:tcW w:w="1575" w:type="dxa"/>
                <w:vAlign w:val="center"/>
              </w:tcPr>
              <w:p w14:paraId="6D7F1986" w14:textId="77777777" w:rsidR="002D0AE7" w:rsidRDefault="00333EBB">
                <w:pPr>
                  <w:jc w:val="center"/>
                  <w:rPr>
                    <w:rFonts w:ascii="Times New Roman" w:hAnsi="Times New Roman"/>
                    <w:color w:val="000000" w:themeColor="text1"/>
                    <w:sz w:val="21"/>
                    <w:szCs w:val="21"/>
                  </w:rPr>
                </w:pPr>
                <w:r>
                  <w:rPr>
                    <w:rFonts w:ascii="Times New Roman" w:hAnsi="Times New Roman"/>
                    <w:color w:val="000000" w:themeColor="text1"/>
                    <w:sz w:val="21"/>
                    <w:szCs w:val="21"/>
                  </w:rPr>
                  <w:t>受限情况</w:t>
                </w:r>
              </w:p>
            </w:tc>
          </w:sdtContent>
        </w:sdt>
      </w:tr>
      <w:tr w:rsidR="002D0AE7" w14:paraId="2B740D22" w14:textId="77777777">
        <w:tc>
          <w:tcPr>
            <w:tcW w:w="1052" w:type="dxa"/>
            <w:vAlign w:val="center"/>
          </w:tcPr>
          <w:p w14:paraId="5006A757" w14:textId="77777777" w:rsidR="002D0AE7" w:rsidRDefault="00333EBB">
            <w:pPr>
              <w:rPr>
                <w:rFonts w:ascii="Times New Roman" w:hAnsi="Times New Roman"/>
                <w:color w:val="000000" w:themeColor="text1"/>
                <w:sz w:val="21"/>
                <w:szCs w:val="21"/>
              </w:rPr>
            </w:pPr>
            <w:r>
              <w:rPr>
                <w:rFonts w:ascii="Times New Roman" w:hAnsi="Times New Roman"/>
                <w:color w:val="000000" w:themeColor="text1"/>
                <w:sz w:val="21"/>
                <w:szCs w:val="21"/>
              </w:rPr>
              <w:t>货币资金</w:t>
            </w:r>
            <w:r>
              <w:rPr>
                <w:rFonts w:ascii="Times New Roman" w:hAnsi="Times New Roman"/>
                <w:color w:val="000000" w:themeColor="text1"/>
                <w:sz w:val="21"/>
                <w:szCs w:val="21"/>
              </w:rPr>
              <w:t>-</w:t>
            </w:r>
            <w:r>
              <w:rPr>
                <w:rFonts w:ascii="Times New Roman" w:hAnsi="Times New Roman" w:hint="eastAsia"/>
                <w:color w:val="000000" w:themeColor="text1"/>
                <w:sz w:val="21"/>
                <w:szCs w:val="21"/>
              </w:rPr>
              <w:t>质押</w:t>
            </w:r>
          </w:p>
        </w:tc>
        <w:tc>
          <w:tcPr>
            <w:tcW w:w="1529" w:type="dxa"/>
            <w:vAlign w:val="center"/>
          </w:tcPr>
          <w:p w14:paraId="2A4E8E1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30,697,692.54</w:t>
            </w:r>
          </w:p>
        </w:tc>
        <w:tc>
          <w:tcPr>
            <w:tcW w:w="1529" w:type="dxa"/>
            <w:vAlign w:val="center"/>
          </w:tcPr>
          <w:p w14:paraId="22AD1DB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30,697,692.54</w:t>
            </w:r>
          </w:p>
        </w:tc>
        <w:tc>
          <w:tcPr>
            <w:tcW w:w="840" w:type="dxa"/>
            <w:vAlign w:val="center"/>
          </w:tcPr>
          <w:p w14:paraId="665A7CED" w14:textId="77777777" w:rsidR="002D0AE7" w:rsidRDefault="00333EBB">
            <w:pPr>
              <w:rPr>
                <w:rFonts w:ascii="Times New Roman" w:hAnsi="Times New Roman"/>
                <w:color w:val="000000" w:themeColor="text1"/>
                <w:sz w:val="21"/>
                <w:szCs w:val="21"/>
              </w:rPr>
            </w:pPr>
            <w:r>
              <w:rPr>
                <w:rFonts w:hint="eastAsia"/>
                <w:color w:val="000000"/>
                <w:sz w:val="21"/>
                <w:szCs w:val="21"/>
              </w:rPr>
              <w:t>质押</w:t>
            </w:r>
          </w:p>
        </w:tc>
        <w:tc>
          <w:tcPr>
            <w:tcW w:w="1411" w:type="dxa"/>
            <w:vAlign w:val="center"/>
          </w:tcPr>
          <w:p w14:paraId="387782D0" w14:textId="77777777" w:rsidR="002D0AE7" w:rsidRDefault="00333EBB">
            <w:pPr>
              <w:rPr>
                <w:rFonts w:ascii="Times New Roman" w:hAnsi="Times New Roman"/>
                <w:sz w:val="21"/>
                <w:szCs w:val="21"/>
              </w:rPr>
            </w:pPr>
            <w:r>
              <w:rPr>
                <w:rFonts w:hint="eastAsia"/>
                <w:color w:val="000000"/>
                <w:sz w:val="21"/>
                <w:szCs w:val="21"/>
              </w:rPr>
              <w:t>票据及信用证保证金</w:t>
            </w:r>
          </w:p>
        </w:tc>
        <w:tc>
          <w:tcPr>
            <w:tcW w:w="1424" w:type="dxa"/>
            <w:vAlign w:val="center"/>
          </w:tcPr>
          <w:p w14:paraId="5BE242E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10,761,343.90</w:t>
            </w:r>
          </w:p>
        </w:tc>
        <w:tc>
          <w:tcPr>
            <w:tcW w:w="1424" w:type="dxa"/>
            <w:vAlign w:val="center"/>
          </w:tcPr>
          <w:p w14:paraId="122E3E0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10,761,343.90</w:t>
            </w:r>
          </w:p>
        </w:tc>
        <w:tc>
          <w:tcPr>
            <w:tcW w:w="426" w:type="dxa"/>
            <w:vAlign w:val="center"/>
          </w:tcPr>
          <w:p w14:paraId="130DD09C" w14:textId="77777777" w:rsidR="002D0AE7" w:rsidRDefault="00333EBB">
            <w:pPr>
              <w:rPr>
                <w:rFonts w:ascii="Times New Roman" w:hAnsi="Times New Roman"/>
                <w:color w:val="000000" w:themeColor="text1"/>
                <w:sz w:val="21"/>
                <w:szCs w:val="21"/>
              </w:rPr>
            </w:pPr>
            <w:r>
              <w:rPr>
                <w:rFonts w:hint="eastAsia"/>
                <w:color w:val="000000"/>
                <w:sz w:val="21"/>
                <w:szCs w:val="21"/>
              </w:rPr>
              <w:t>质押</w:t>
            </w:r>
          </w:p>
        </w:tc>
        <w:tc>
          <w:tcPr>
            <w:tcW w:w="1575" w:type="dxa"/>
            <w:vAlign w:val="center"/>
          </w:tcPr>
          <w:p w14:paraId="1408AA25" w14:textId="77777777" w:rsidR="002D0AE7" w:rsidRDefault="00333EBB">
            <w:pPr>
              <w:rPr>
                <w:rFonts w:ascii="Times New Roman" w:hAnsi="Times New Roman"/>
                <w:sz w:val="21"/>
                <w:szCs w:val="21"/>
              </w:rPr>
            </w:pPr>
            <w:r>
              <w:rPr>
                <w:rFonts w:hint="eastAsia"/>
                <w:color w:val="000000"/>
                <w:sz w:val="21"/>
                <w:szCs w:val="21"/>
              </w:rPr>
              <w:t>票据及信用证保证金</w:t>
            </w:r>
          </w:p>
        </w:tc>
      </w:tr>
      <w:tr w:rsidR="002D0AE7" w14:paraId="4A50684D" w14:textId="77777777">
        <w:tc>
          <w:tcPr>
            <w:tcW w:w="1052" w:type="dxa"/>
            <w:vAlign w:val="center"/>
          </w:tcPr>
          <w:p w14:paraId="1E2893F7" w14:textId="77777777" w:rsidR="002D0AE7" w:rsidRDefault="00333EBB">
            <w:pPr>
              <w:rPr>
                <w:rFonts w:ascii="Times New Roman" w:hAnsi="Times New Roman"/>
                <w:color w:val="000000" w:themeColor="text1"/>
                <w:sz w:val="21"/>
                <w:szCs w:val="21"/>
              </w:rPr>
            </w:pPr>
            <w:r>
              <w:rPr>
                <w:rFonts w:ascii="Times New Roman" w:hAnsi="Times New Roman" w:hint="eastAsia"/>
                <w:color w:val="000000" w:themeColor="text1"/>
                <w:sz w:val="21"/>
                <w:szCs w:val="21"/>
              </w:rPr>
              <w:t>货币资金</w:t>
            </w:r>
            <w:r>
              <w:rPr>
                <w:rFonts w:ascii="Times New Roman" w:hAnsi="Times New Roman" w:hint="eastAsia"/>
                <w:color w:val="000000" w:themeColor="text1"/>
                <w:sz w:val="21"/>
                <w:szCs w:val="21"/>
              </w:rPr>
              <w:t>-</w:t>
            </w:r>
            <w:r>
              <w:rPr>
                <w:rFonts w:ascii="Times New Roman" w:hAnsi="Times New Roman" w:hint="eastAsia"/>
                <w:color w:val="000000" w:themeColor="text1"/>
                <w:sz w:val="21"/>
                <w:szCs w:val="21"/>
              </w:rPr>
              <w:t>其他</w:t>
            </w:r>
          </w:p>
        </w:tc>
        <w:tc>
          <w:tcPr>
            <w:tcW w:w="1529" w:type="dxa"/>
            <w:vAlign w:val="center"/>
          </w:tcPr>
          <w:p w14:paraId="15C13091"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5,091,763.94</w:t>
            </w:r>
          </w:p>
        </w:tc>
        <w:tc>
          <w:tcPr>
            <w:tcW w:w="1529" w:type="dxa"/>
            <w:vAlign w:val="center"/>
          </w:tcPr>
          <w:p w14:paraId="2F70E93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5,091,763.94</w:t>
            </w:r>
          </w:p>
        </w:tc>
        <w:tc>
          <w:tcPr>
            <w:tcW w:w="840" w:type="dxa"/>
            <w:vAlign w:val="center"/>
          </w:tcPr>
          <w:p w14:paraId="19B0BCB4" w14:textId="77777777" w:rsidR="002D0AE7" w:rsidRDefault="00333EBB">
            <w:pPr>
              <w:rPr>
                <w:rFonts w:ascii="Times New Roman" w:hAnsi="Times New Roman"/>
                <w:color w:val="000000" w:themeColor="text1"/>
                <w:sz w:val="21"/>
                <w:szCs w:val="21"/>
              </w:rPr>
            </w:pPr>
            <w:r>
              <w:rPr>
                <w:rFonts w:hint="eastAsia"/>
                <w:color w:val="000000"/>
                <w:sz w:val="21"/>
                <w:szCs w:val="21"/>
              </w:rPr>
              <w:t>其他</w:t>
            </w:r>
          </w:p>
        </w:tc>
        <w:tc>
          <w:tcPr>
            <w:tcW w:w="1411" w:type="dxa"/>
            <w:vAlign w:val="center"/>
          </w:tcPr>
          <w:p w14:paraId="2C43FC51" w14:textId="77777777" w:rsidR="002D0AE7" w:rsidRDefault="00333EBB">
            <w:pPr>
              <w:rPr>
                <w:rFonts w:ascii="Times New Roman" w:hAnsi="Times New Roman"/>
                <w:sz w:val="21"/>
                <w:szCs w:val="21"/>
              </w:rPr>
            </w:pPr>
            <w:r>
              <w:rPr>
                <w:rFonts w:hint="eastAsia"/>
                <w:color w:val="000000"/>
                <w:sz w:val="21"/>
                <w:szCs w:val="21"/>
              </w:rPr>
              <w:t>农民工工资保证金、环保专项资金、</w:t>
            </w:r>
            <w:r>
              <w:rPr>
                <w:rFonts w:hint="eastAsia"/>
                <w:color w:val="000000"/>
                <w:sz w:val="21"/>
                <w:szCs w:val="21"/>
              </w:rPr>
              <w:t>ETC</w:t>
            </w:r>
            <w:r>
              <w:rPr>
                <w:rFonts w:hint="eastAsia"/>
                <w:color w:val="000000"/>
                <w:sz w:val="21"/>
                <w:szCs w:val="21"/>
              </w:rPr>
              <w:t>业务保证金</w:t>
            </w:r>
          </w:p>
        </w:tc>
        <w:tc>
          <w:tcPr>
            <w:tcW w:w="1424" w:type="dxa"/>
            <w:vAlign w:val="center"/>
          </w:tcPr>
          <w:p w14:paraId="4733685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5,087,805.85</w:t>
            </w:r>
          </w:p>
        </w:tc>
        <w:tc>
          <w:tcPr>
            <w:tcW w:w="1424" w:type="dxa"/>
            <w:vAlign w:val="center"/>
          </w:tcPr>
          <w:p w14:paraId="1A37E027"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5,087,805.85</w:t>
            </w:r>
          </w:p>
        </w:tc>
        <w:tc>
          <w:tcPr>
            <w:tcW w:w="426" w:type="dxa"/>
            <w:vAlign w:val="center"/>
          </w:tcPr>
          <w:p w14:paraId="6C9EF143" w14:textId="77777777" w:rsidR="002D0AE7" w:rsidRDefault="00333EBB">
            <w:pPr>
              <w:rPr>
                <w:rFonts w:ascii="Times New Roman" w:hAnsi="Times New Roman"/>
                <w:color w:val="000000" w:themeColor="text1"/>
                <w:sz w:val="21"/>
                <w:szCs w:val="21"/>
              </w:rPr>
            </w:pPr>
            <w:r>
              <w:rPr>
                <w:rFonts w:hint="eastAsia"/>
                <w:color w:val="000000"/>
                <w:sz w:val="21"/>
                <w:szCs w:val="21"/>
              </w:rPr>
              <w:t>其他</w:t>
            </w:r>
          </w:p>
        </w:tc>
        <w:tc>
          <w:tcPr>
            <w:tcW w:w="1575" w:type="dxa"/>
            <w:vAlign w:val="center"/>
          </w:tcPr>
          <w:p w14:paraId="289A80EA" w14:textId="77777777" w:rsidR="002D0AE7" w:rsidRDefault="00333EBB">
            <w:pPr>
              <w:rPr>
                <w:rFonts w:ascii="Times New Roman" w:hAnsi="Times New Roman"/>
                <w:sz w:val="21"/>
                <w:szCs w:val="21"/>
              </w:rPr>
            </w:pPr>
            <w:r>
              <w:rPr>
                <w:rFonts w:hint="eastAsia"/>
                <w:color w:val="000000"/>
                <w:sz w:val="21"/>
                <w:szCs w:val="21"/>
              </w:rPr>
              <w:t>农民工工资保证金、环保专项资金、</w:t>
            </w:r>
            <w:r>
              <w:rPr>
                <w:rFonts w:hint="eastAsia"/>
                <w:color w:val="000000"/>
                <w:sz w:val="21"/>
                <w:szCs w:val="21"/>
              </w:rPr>
              <w:t>ETC</w:t>
            </w:r>
            <w:r>
              <w:rPr>
                <w:rFonts w:hint="eastAsia"/>
                <w:color w:val="000000"/>
                <w:sz w:val="21"/>
                <w:szCs w:val="21"/>
              </w:rPr>
              <w:t>业务保证金</w:t>
            </w:r>
          </w:p>
        </w:tc>
      </w:tr>
      <w:tr w:rsidR="002D0AE7" w14:paraId="08142682" w14:textId="77777777">
        <w:tc>
          <w:tcPr>
            <w:tcW w:w="1052" w:type="dxa"/>
            <w:vAlign w:val="center"/>
          </w:tcPr>
          <w:p w14:paraId="09BE1CE8" w14:textId="77777777" w:rsidR="002D0AE7" w:rsidRDefault="00333EBB">
            <w:pPr>
              <w:rPr>
                <w:rFonts w:ascii="Times New Roman" w:hAnsi="Times New Roman"/>
                <w:color w:val="000000" w:themeColor="text1"/>
                <w:sz w:val="21"/>
                <w:szCs w:val="21"/>
              </w:rPr>
            </w:pPr>
            <w:r>
              <w:rPr>
                <w:rFonts w:ascii="Times New Roman" w:hAnsi="Times New Roman"/>
                <w:color w:val="000000" w:themeColor="text1"/>
                <w:sz w:val="21"/>
                <w:szCs w:val="21"/>
              </w:rPr>
              <w:t>固定资产</w:t>
            </w:r>
          </w:p>
        </w:tc>
        <w:tc>
          <w:tcPr>
            <w:tcW w:w="1529" w:type="dxa"/>
            <w:vAlign w:val="center"/>
          </w:tcPr>
          <w:p w14:paraId="5D6795F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384,961,455.18</w:t>
            </w:r>
          </w:p>
        </w:tc>
        <w:tc>
          <w:tcPr>
            <w:tcW w:w="1529" w:type="dxa"/>
            <w:vAlign w:val="center"/>
          </w:tcPr>
          <w:p w14:paraId="69F132F1"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326,234,598.05</w:t>
            </w:r>
          </w:p>
        </w:tc>
        <w:tc>
          <w:tcPr>
            <w:tcW w:w="840" w:type="dxa"/>
            <w:vAlign w:val="center"/>
          </w:tcPr>
          <w:p w14:paraId="653C3E4F" w14:textId="77777777" w:rsidR="002D0AE7" w:rsidRDefault="00333EBB">
            <w:pPr>
              <w:rPr>
                <w:rFonts w:ascii="Times New Roman" w:hAnsi="Times New Roman"/>
                <w:color w:val="000000" w:themeColor="text1"/>
                <w:sz w:val="21"/>
                <w:szCs w:val="21"/>
              </w:rPr>
            </w:pPr>
            <w:r>
              <w:rPr>
                <w:rFonts w:hint="eastAsia"/>
                <w:color w:val="000000"/>
                <w:sz w:val="21"/>
                <w:szCs w:val="21"/>
              </w:rPr>
              <w:t>抵押</w:t>
            </w:r>
          </w:p>
        </w:tc>
        <w:tc>
          <w:tcPr>
            <w:tcW w:w="1411" w:type="dxa"/>
            <w:vAlign w:val="center"/>
          </w:tcPr>
          <w:p w14:paraId="532F5914" w14:textId="77777777" w:rsidR="002D0AE7" w:rsidRDefault="00333EBB">
            <w:pPr>
              <w:rPr>
                <w:rFonts w:ascii="Times New Roman" w:hAnsi="Times New Roman"/>
                <w:sz w:val="21"/>
                <w:szCs w:val="21"/>
              </w:rPr>
            </w:pPr>
            <w:r>
              <w:rPr>
                <w:rFonts w:ascii="Times New Roman" w:hAnsi="Times New Roman" w:hint="eastAsia"/>
                <w:sz w:val="21"/>
                <w:szCs w:val="21"/>
              </w:rPr>
              <w:t>抵押的房屋建筑物</w:t>
            </w:r>
          </w:p>
        </w:tc>
        <w:tc>
          <w:tcPr>
            <w:tcW w:w="1424" w:type="dxa"/>
            <w:vAlign w:val="center"/>
          </w:tcPr>
          <w:p w14:paraId="5A79422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1424" w:type="dxa"/>
            <w:vAlign w:val="center"/>
          </w:tcPr>
          <w:p w14:paraId="78ECF0D1"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26" w:type="dxa"/>
            <w:vAlign w:val="center"/>
          </w:tcPr>
          <w:p w14:paraId="34DF89C6" w14:textId="77777777" w:rsidR="002D0AE7" w:rsidRDefault="00333EBB">
            <w:pPr>
              <w:jc w:val="center"/>
              <w:rPr>
                <w:rFonts w:ascii="Times New Roman" w:hAnsi="Times New Roman"/>
                <w:color w:val="000000" w:themeColor="text1"/>
                <w:sz w:val="21"/>
                <w:szCs w:val="21"/>
              </w:rPr>
            </w:pPr>
            <w:r>
              <w:rPr>
                <w:rFonts w:ascii="Times New Roman" w:hAnsi="Times New Roman"/>
                <w:color w:val="000000" w:themeColor="text1"/>
                <w:sz w:val="21"/>
                <w:szCs w:val="21"/>
              </w:rPr>
              <w:t>/</w:t>
            </w:r>
          </w:p>
        </w:tc>
        <w:tc>
          <w:tcPr>
            <w:tcW w:w="1575" w:type="dxa"/>
            <w:vAlign w:val="center"/>
          </w:tcPr>
          <w:p w14:paraId="7EB5308A" w14:textId="77777777" w:rsidR="002D0AE7" w:rsidRDefault="00333EBB">
            <w:pPr>
              <w:jc w:val="center"/>
              <w:rPr>
                <w:rFonts w:ascii="Times New Roman" w:hAnsi="Times New Roman"/>
                <w:sz w:val="21"/>
                <w:szCs w:val="21"/>
              </w:rPr>
            </w:pPr>
            <w:r>
              <w:rPr>
                <w:rFonts w:ascii="Times New Roman" w:hAnsi="Times New Roman"/>
                <w:color w:val="000000" w:themeColor="text1"/>
                <w:sz w:val="21"/>
                <w:szCs w:val="21"/>
              </w:rPr>
              <w:t>/</w:t>
            </w:r>
          </w:p>
        </w:tc>
      </w:tr>
      <w:tr w:rsidR="002D0AE7" w14:paraId="75557FF6" w14:textId="77777777">
        <w:tc>
          <w:tcPr>
            <w:tcW w:w="1052" w:type="dxa"/>
            <w:vAlign w:val="center"/>
          </w:tcPr>
          <w:p w14:paraId="0815ECD2" w14:textId="77777777" w:rsidR="002D0AE7" w:rsidRDefault="00333EBB">
            <w:pPr>
              <w:rPr>
                <w:rFonts w:ascii="Times New Roman" w:hAnsi="Times New Roman"/>
                <w:color w:val="000000" w:themeColor="text1"/>
                <w:sz w:val="21"/>
                <w:szCs w:val="21"/>
              </w:rPr>
            </w:pPr>
            <w:r>
              <w:rPr>
                <w:rFonts w:ascii="Times New Roman" w:hAnsi="Times New Roman"/>
                <w:color w:val="000000" w:themeColor="text1"/>
                <w:sz w:val="21"/>
                <w:szCs w:val="21"/>
              </w:rPr>
              <w:t>无形资产</w:t>
            </w:r>
          </w:p>
        </w:tc>
        <w:tc>
          <w:tcPr>
            <w:tcW w:w="1529" w:type="dxa"/>
            <w:vAlign w:val="center"/>
          </w:tcPr>
          <w:p w14:paraId="4C2AF27B"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3,713,022.06</w:t>
            </w:r>
          </w:p>
        </w:tc>
        <w:tc>
          <w:tcPr>
            <w:tcW w:w="1529" w:type="dxa"/>
            <w:vAlign w:val="center"/>
          </w:tcPr>
          <w:p w14:paraId="26A5296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2,593,446.39</w:t>
            </w:r>
          </w:p>
        </w:tc>
        <w:tc>
          <w:tcPr>
            <w:tcW w:w="840" w:type="dxa"/>
            <w:vAlign w:val="center"/>
          </w:tcPr>
          <w:p w14:paraId="29316022" w14:textId="77777777" w:rsidR="002D0AE7" w:rsidRDefault="00333EBB">
            <w:pPr>
              <w:rPr>
                <w:rFonts w:ascii="Times New Roman" w:hAnsi="Times New Roman"/>
                <w:color w:val="000000" w:themeColor="text1"/>
                <w:sz w:val="21"/>
                <w:szCs w:val="21"/>
              </w:rPr>
            </w:pPr>
            <w:r>
              <w:rPr>
                <w:rFonts w:hint="eastAsia"/>
                <w:color w:val="000000"/>
                <w:sz w:val="21"/>
                <w:szCs w:val="21"/>
              </w:rPr>
              <w:t>抵押</w:t>
            </w:r>
          </w:p>
        </w:tc>
        <w:tc>
          <w:tcPr>
            <w:tcW w:w="1411" w:type="dxa"/>
            <w:vAlign w:val="center"/>
          </w:tcPr>
          <w:p w14:paraId="6641AF6C" w14:textId="77777777" w:rsidR="002D0AE7" w:rsidRDefault="00333EBB">
            <w:pPr>
              <w:rPr>
                <w:rFonts w:ascii="Times New Roman" w:hAnsi="Times New Roman"/>
                <w:sz w:val="21"/>
                <w:szCs w:val="21"/>
              </w:rPr>
            </w:pPr>
            <w:r>
              <w:rPr>
                <w:rFonts w:hint="eastAsia"/>
                <w:color w:val="000000"/>
                <w:sz w:val="21"/>
                <w:szCs w:val="21"/>
              </w:rPr>
              <w:t>抵押的土地使用权</w:t>
            </w:r>
          </w:p>
        </w:tc>
        <w:tc>
          <w:tcPr>
            <w:tcW w:w="1424" w:type="dxa"/>
            <w:vAlign w:val="center"/>
          </w:tcPr>
          <w:p w14:paraId="00F3AF7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1424" w:type="dxa"/>
            <w:vAlign w:val="center"/>
          </w:tcPr>
          <w:p w14:paraId="1F9FD51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26" w:type="dxa"/>
            <w:vAlign w:val="center"/>
          </w:tcPr>
          <w:p w14:paraId="51BE4079" w14:textId="77777777" w:rsidR="002D0AE7" w:rsidRDefault="00333EBB">
            <w:pPr>
              <w:jc w:val="center"/>
              <w:rPr>
                <w:rFonts w:ascii="Times New Roman" w:hAnsi="Times New Roman"/>
                <w:color w:val="000000" w:themeColor="text1"/>
                <w:sz w:val="21"/>
                <w:szCs w:val="21"/>
              </w:rPr>
            </w:pPr>
            <w:r>
              <w:rPr>
                <w:rFonts w:ascii="Times New Roman" w:hAnsi="Times New Roman"/>
                <w:color w:val="000000" w:themeColor="text1"/>
                <w:sz w:val="21"/>
                <w:szCs w:val="21"/>
              </w:rPr>
              <w:t>/</w:t>
            </w:r>
          </w:p>
        </w:tc>
        <w:tc>
          <w:tcPr>
            <w:tcW w:w="1575" w:type="dxa"/>
            <w:vAlign w:val="center"/>
          </w:tcPr>
          <w:p w14:paraId="0ABC4FFE" w14:textId="77777777" w:rsidR="002D0AE7" w:rsidRDefault="00333EBB">
            <w:pPr>
              <w:jc w:val="center"/>
              <w:rPr>
                <w:rFonts w:ascii="Times New Roman" w:hAnsi="Times New Roman"/>
                <w:sz w:val="21"/>
                <w:szCs w:val="21"/>
              </w:rPr>
            </w:pPr>
            <w:r>
              <w:rPr>
                <w:rFonts w:ascii="Times New Roman" w:hAnsi="Times New Roman"/>
                <w:color w:val="000000" w:themeColor="text1"/>
                <w:sz w:val="21"/>
                <w:szCs w:val="21"/>
              </w:rPr>
              <w:t>/</w:t>
            </w:r>
          </w:p>
        </w:tc>
      </w:tr>
      <w:tr w:rsidR="002D0AE7" w14:paraId="0C60A05D" w14:textId="77777777">
        <w:tc>
          <w:tcPr>
            <w:tcW w:w="1052" w:type="dxa"/>
            <w:vAlign w:val="center"/>
          </w:tcPr>
          <w:p w14:paraId="6C1B0583" w14:textId="77777777" w:rsidR="002D0AE7" w:rsidRDefault="00333EBB">
            <w:pPr>
              <w:jc w:val="center"/>
              <w:rPr>
                <w:rFonts w:ascii="Times New Roman" w:hAnsi="Times New Roman"/>
                <w:color w:val="000000" w:themeColor="text1"/>
                <w:sz w:val="21"/>
                <w:szCs w:val="21"/>
              </w:rPr>
            </w:pPr>
            <w:r>
              <w:rPr>
                <w:rFonts w:ascii="Times New Roman" w:hAnsi="Times New Roman"/>
                <w:color w:val="000000" w:themeColor="text1"/>
                <w:sz w:val="21"/>
                <w:szCs w:val="21"/>
              </w:rPr>
              <w:lastRenderedPageBreak/>
              <w:t>合计</w:t>
            </w:r>
          </w:p>
        </w:tc>
        <w:tc>
          <w:tcPr>
            <w:tcW w:w="1529" w:type="dxa"/>
            <w:vAlign w:val="center"/>
          </w:tcPr>
          <w:p w14:paraId="63AF6A4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424,463,933.72</w:t>
            </w:r>
          </w:p>
        </w:tc>
        <w:tc>
          <w:tcPr>
            <w:tcW w:w="1529" w:type="dxa"/>
            <w:vAlign w:val="center"/>
          </w:tcPr>
          <w:p w14:paraId="5B8BF63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364,617,500.92</w:t>
            </w:r>
          </w:p>
        </w:tc>
        <w:tc>
          <w:tcPr>
            <w:tcW w:w="840" w:type="dxa"/>
            <w:vAlign w:val="center"/>
          </w:tcPr>
          <w:p w14:paraId="23724599" w14:textId="77777777" w:rsidR="002D0AE7" w:rsidRDefault="00333EBB">
            <w:pPr>
              <w:jc w:val="center"/>
              <w:rPr>
                <w:rFonts w:ascii="Times New Roman" w:hAnsi="Times New Roman"/>
                <w:color w:val="000000" w:themeColor="text1"/>
                <w:sz w:val="21"/>
                <w:szCs w:val="21"/>
              </w:rPr>
            </w:pPr>
            <w:r>
              <w:rPr>
                <w:rFonts w:ascii="Times New Roman" w:hAnsi="Times New Roman"/>
                <w:color w:val="000000" w:themeColor="text1"/>
                <w:sz w:val="21"/>
                <w:szCs w:val="21"/>
              </w:rPr>
              <w:t>/</w:t>
            </w:r>
          </w:p>
        </w:tc>
        <w:tc>
          <w:tcPr>
            <w:tcW w:w="1411" w:type="dxa"/>
            <w:vAlign w:val="center"/>
          </w:tcPr>
          <w:p w14:paraId="71E4C456" w14:textId="77777777" w:rsidR="002D0AE7" w:rsidRDefault="00333EBB">
            <w:pPr>
              <w:jc w:val="center"/>
              <w:rPr>
                <w:rFonts w:ascii="Times New Roman" w:hAnsi="Times New Roman"/>
                <w:color w:val="000000" w:themeColor="text1"/>
                <w:sz w:val="21"/>
                <w:szCs w:val="21"/>
              </w:rPr>
            </w:pPr>
            <w:r>
              <w:rPr>
                <w:rFonts w:ascii="Times New Roman" w:hAnsi="Times New Roman"/>
                <w:color w:val="000000" w:themeColor="text1"/>
                <w:sz w:val="21"/>
                <w:szCs w:val="21"/>
              </w:rPr>
              <w:t>/</w:t>
            </w:r>
          </w:p>
        </w:tc>
        <w:tc>
          <w:tcPr>
            <w:tcW w:w="1424" w:type="dxa"/>
            <w:vAlign w:val="center"/>
          </w:tcPr>
          <w:p w14:paraId="704D1B9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15,849,149.75</w:t>
            </w:r>
          </w:p>
        </w:tc>
        <w:tc>
          <w:tcPr>
            <w:tcW w:w="1424" w:type="dxa"/>
            <w:vAlign w:val="center"/>
          </w:tcPr>
          <w:p w14:paraId="59275B1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15,849,149.75</w:t>
            </w:r>
          </w:p>
        </w:tc>
        <w:tc>
          <w:tcPr>
            <w:tcW w:w="426" w:type="dxa"/>
            <w:vAlign w:val="center"/>
          </w:tcPr>
          <w:p w14:paraId="55DF9F2F" w14:textId="77777777" w:rsidR="002D0AE7" w:rsidRDefault="00333EBB">
            <w:pPr>
              <w:jc w:val="center"/>
              <w:rPr>
                <w:rFonts w:ascii="Times New Roman" w:hAnsi="Times New Roman"/>
                <w:color w:val="000000" w:themeColor="text1"/>
                <w:sz w:val="21"/>
                <w:szCs w:val="21"/>
              </w:rPr>
            </w:pPr>
            <w:r>
              <w:rPr>
                <w:rFonts w:ascii="Times New Roman" w:hAnsi="Times New Roman"/>
                <w:color w:val="000000" w:themeColor="text1"/>
                <w:sz w:val="21"/>
                <w:szCs w:val="21"/>
              </w:rPr>
              <w:t>/</w:t>
            </w:r>
          </w:p>
        </w:tc>
        <w:tc>
          <w:tcPr>
            <w:tcW w:w="1575" w:type="dxa"/>
            <w:vAlign w:val="center"/>
          </w:tcPr>
          <w:p w14:paraId="7EEAAFA1" w14:textId="77777777" w:rsidR="002D0AE7" w:rsidRDefault="00333EBB">
            <w:pPr>
              <w:jc w:val="center"/>
              <w:rPr>
                <w:rFonts w:ascii="Times New Roman" w:hAnsi="Times New Roman"/>
                <w:color w:val="000000" w:themeColor="text1"/>
                <w:sz w:val="21"/>
                <w:szCs w:val="21"/>
              </w:rPr>
            </w:pPr>
            <w:r>
              <w:rPr>
                <w:rFonts w:ascii="Times New Roman" w:hAnsi="Times New Roman"/>
                <w:color w:val="000000" w:themeColor="text1"/>
                <w:sz w:val="21"/>
                <w:szCs w:val="21"/>
              </w:rPr>
              <w:t>/</w:t>
            </w:r>
          </w:p>
        </w:tc>
      </w:tr>
    </w:tbl>
    <w:bookmarkEnd w:id="196"/>
    <w:p w14:paraId="71F4C069"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szCs w:val="21"/>
        </w:rPr>
        <w:t>短期借款</w:t>
      </w:r>
    </w:p>
    <w:p w14:paraId="558677ED" w14:textId="77777777" w:rsidR="002D0AE7" w:rsidRDefault="00333EBB">
      <w:pPr>
        <w:pStyle w:val="4"/>
        <w:numPr>
          <w:ilvl w:val="0"/>
          <w:numId w:val="57"/>
        </w:numPr>
        <w:tabs>
          <w:tab w:val="left" w:pos="630"/>
        </w:tabs>
        <w:rPr>
          <w:rFonts w:ascii="宋体" w:hAnsi="宋体" w:hint="eastAsia"/>
          <w:color w:val="000000" w:themeColor="text1"/>
          <w:szCs w:val="21"/>
        </w:rPr>
      </w:pPr>
      <w:r>
        <w:rPr>
          <w:rFonts w:ascii="宋体" w:hAnsi="宋体" w:hint="eastAsia"/>
          <w:color w:val="000000" w:themeColor="text1"/>
          <w:szCs w:val="21"/>
        </w:rPr>
        <w:t>短期借款分类</w:t>
      </w:r>
    </w:p>
    <w:sdt>
      <w:sdtPr>
        <w:rPr>
          <w:color w:val="000000" w:themeColor="text1"/>
        </w:rPr>
        <w:alias w:val="是否适用：短期借款分类[双击切换]"/>
        <w:tag w:val="_GBC_1074387a68b64f6b9270b522de53ad85"/>
        <w:id w:val="1417828292"/>
        <w:placeholder>
          <w:docPart w:val="GBC22222222222222222222222222222"/>
        </w:placeholder>
      </w:sdtPr>
      <w:sdtEndPr/>
      <w:sdtContent>
        <w:p w14:paraId="22B39BA3"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5F667C34"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短期借款分类"/>
          <w:tag w:val="_GBC_f3353209b65c4921b63143340e11aac9"/>
          <w:id w:val="148643438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短期借款分类"/>
          <w:tag w:val="_GBC_b3a1802faad14eae96cfab316b25f639"/>
          <w:id w:val="127775938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848"/>
        <w:gridCol w:w="2979"/>
        <w:gridCol w:w="2996"/>
      </w:tblGrid>
      <w:tr w:rsidR="002D0AE7" w14:paraId="737233D2" w14:textId="77777777">
        <w:trPr>
          <w:cantSplit/>
        </w:trPr>
        <w:sdt>
          <w:sdtPr>
            <w:rPr>
              <w:color w:val="000000" w:themeColor="text1"/>
              <w:sz w:val="21"/>
              <w:szCs w:val="21"/>
            </w:rPr>
            <w:tag w:val="_PLD_3476605067da474199aa03dc83e3d88c"/>
            <w:id w:val="1648706694"/>
          </w:sdtPr>
          <w:sdtEndPr/>
          <w:sdtContent>
            <w:tc>
              <w:tcPr>
                <w:tcW w:w="1614" w:type="pct"/>
                <w:vAlign w:val="center"/>
              </w:tcPr>
              <w:p w14:paraId="79B7B55F" w14:textId="77777777" w:rsidR="002D0AE7" w:rsidRDefault="00333EBB">
                <w:pPr>
                  <w:autoSpaceDE w:val="0"/>
                  <w:autoSpaceDN w:val="0"/>
                  <w:adjustRightInd w:val="0"/>
                  <w:snapToGrid w:val="0"/>
                  <w:spacing w:line="240" w:lineRule="atLeast"/>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ccd6dc2751cc421e8a2f26f78a44b4c5"/>
            <w:id w:val="661818184"/>
          </w:sdtPr>
          <w:sdtEndPr/>
          <w:sdtContent>
            <w:tc>
              <w:tcPr>
                <w:tcW w:w="1688" w:type="pct"/>
                <w:vAlign w:val="center"/>
              </w:tcPr>
              <w:p w14:paraId="17B5FF97"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sdt>
          <w:sdtPr>
            <w:rPr>
              <w:color w:val="000000" w:themeColor="text1"/>
              <w:sz w:val="21"/>
              <w:szCs w:val="21"/>
            </w:rPr>
            <w:tag w:val="_PLD_c16f582c583d4324abc605c4bc563081"/>
            <w:id w:val="-1561320636"/>
          </w:sdtPr>
          <w:sdtEndPr/>
          <w:sdtContent>
            <w:tc>
              <w:tcPr>
                <w:tcW w:w="1698" w:type="pct"/>
                <w:vAlign w:val="center"/>
              </w:tcPr>
              <w:p w14:paraId="3C1B03EB" w14:textId="77777777" w:rsidR="002D0AE7" w:rsidRDefault="00333EBB">
                <w:pPr>
                  <w:jc w:val="center"/>
                  <w:rPr>
                    <w:rFonts w:hint="eastAsia"/>
                    <w:color w:val="000000" w:themeColor="text1"/>
                    <w:sz w:val="21"/>
                    <w:szCs w:val="21"/>
                  </w:rPr>
                </w:pPr>
                <w:r>
                  <w:rPr>
                    <w:rFonts w:hint="eastAsia"/>
                    <w:color w:val="000000" w:themeColor="text1"/>
                    <w:sz w:val="21"/>
                    <w:szCs w:val="21"/>
                  </w:rPr>
                  <w:t>期初余额</w:t>
                </w:r>
              </w:p>
            </w:tc>
          </w:sdtContent>
        </w:sdt>
      </w:tr>
      <w:tr w:rsidR="002D0AE7" w14:paraId="72208CBD" w14:textId="77777777">
        <w:trPr>
          <w:cantSplit/>
        </w:trPr>
        <w:tc>
          <w:tcPr>
            <w:tcW w:w="1614" w:type="pct"/>
            <w:shd w:val="clear" w:color="auto" w:fill="auto"/>
          </w:tcPr>
          <w:p w14:paraId="7F3AFD3D" w14:textId="77777777" w:rsidR="002D0AE7" w:rsidRDefault="00333EBB">
            <w:pPr>
              <w:autoSpaceDE w:val="0"/>
              <w:autoSpaceDN w:val="0"/>
              <w:adjustRightInd w:val="0"/>
              <w:snapToGrid w:val="0"/>
              <w:spacing w:line="240" w:lineRule="atLeast"/>
              <w:jc w:val="both"/>
              <w:rPr>
                <w:rFonts w:hint="eastAsia"/>
                <w:color w:val="000000" w:themeColor="text1"/>
                <w:sz w:val="21"/>
                <w:szCs w:val="21"/>
              </w:rPr>
            </w:pPr>
            <w:r>
              <w:rPr>
                <w:rFonts w:hint="eastAsia"/>
                <w:color w:val="000000" w:themeColor="text1"/>
                <w:sz w:val="21"/>
                <w:szCs w:val="21"/>
              </w:rPr>
              <w:t>抵押借款</w:t>
            </w:r>
          </w:p>
        </w:tc>
        <w:tc>
          <w:tcPr>
            <w:tcW w:w="1688" w:type="pct"/>
            <w:shd w:val="clear" w:color="auto" w:fill="auto"/>
          </w:tcPr>
          <w:p w14:paraId="15121A67" w14:textId="77777777" w:rsidR="002D0AE7" w:rsidRDefault="00333EBB">
            <w:pPr>
              <w:autoSpaceDE w:val="0"/>
              <w:autoSpaceDN w:val="0"/>
              <w:adjustRightInd w:val="0"/>
              <w:snapToGrid w:val="0"/>
              <w:spacing w:line="240" w:lineRule="atLeast"/>
              <w:ind w:right="180"/>
              <w:jc w:val="right"/>
              <w:rPr>
                <w:rFonts w:ascii="Times New Roman" w:hAnsi="Times New Roman" w:cs="Times New Roman"/>
                <w:sz w:val="21"/>
                <w:szCs w:val="21"/>
              </w:rPr>
            </w:pPr>
            <w:r>
              <w:rPr>
                <w:rFonts w:ascii="Times New Roman" w:hAnsi="Times New Roman" w:cs="Times New Roman"/>
                <w:sz w:val="21"/>
                <w:szCs w:val="21"/>
              </w:rPr>
              <w:t>681,395.35</w:t>
            </w:r>
          </w:p>
        </w:tc>
        <w:tc>
          <w:tcPr>
            <w:tcW w:w="1698" w:type="pct"/>
            <w:shd w:val="clear" w:color="auto" w:fill="auto"/>
          </w:tcPr>
          <w:p w14:paraId="728BA407" w14:textId="77777777" w:rsidR="002D0AE7" w:rsidRDefault="00333EBB">
            <w:pPr>
              <w:autoSpaceDE w:val="0"/>
              <w:autoSpaceDN w:val="0"/>
              <w:adjustRightInd w:val="0"/>
              <w:snapToGrid w:val="0"/>
              <w:spacing w:line="240" w:lineRule="atLeast"/>
              <w:ind w:right="180"/>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518A2E00" w14:textId="77777777">
        <w:trPr>
          <w:cantSplit/>
          <w:trHeight w:val="237"/>
        </w:trPr>
        <w:tc>
          <w:tcPr>
            <w:tcW w:w="1614" w:type="pct"/>
            <w:shd w:val="clear" w:color="auto" w:fill="auto"/>
          </w:tcPr>
          <w:p w14:paraId="65C41396" w14:textId="77777777" w:rsidR="002D0AE7" w:rsidRDefault="00333EBB">
            <w:pPr>
              <w:autoSpaceDE w:val="0"/>
              <w:autoSpaceDN w:val="0"/>
              <w:adjustRightInd w:val="0"/>
              <w:snapToGrid w:val="0"/>
              <w:spacing w:line="240" w:lineRule="atLeast"/>
              <w:jc w:val="both"/>
              <w:rPr>
                <w:rFonts w:hint="eastAsia"/>
                <w:color w:val="000000" w:themeColor="text1"/>
                <w:sz w:val="21"/>
                <w:szCs w:val="21"/>
              </w:rPr>
            </w:pPr>
            <w:r>
              <w:rPr>
                <w:rFonts w:hint="eastAsia"/>
                <w:color w:val="000000" w:themeColor="text1"/>
                <w:sz w:val="21"/>
                <w:szCs w:val="21"/>
              </w:rPr>
              <w:t>信用借款</w:t>
            </w:r>
          </w:p>
        </w:tc>
        <w:tc>
          <w:tcPr>
            <w:tcW w:w="1688" w:type="pct"/>
            <w:shd w:val="clear" w:color="auto" w:fill="auto"/>
          </w:tcPr>
          <w:p w14:paraId="2E30551C" w14:textId="77777777" w:rsidR="002D0AE7" w:rsidRDefault="00333EBB">
            <w:pPr>
              <w:autoSpaceDE w:val="0"/>
              <w:autoSpaceDN w:val="0"/>
              <w:adjustRightInd w:val="0"/>
              <w:snapToGrid w:val="0"/>
              <w:spacing w:line="240" w:lineRule="atLeast"/>
              <w:ind w:right="180"/>
              <w:jc w:val="right"/>
              <w:rPr>
                <w:rFonts w:ascii="Times New Roman" w:hAnsi="Times New Roman" w:cs="Times New Roman"/>
                <w:sz w:val="21"/>
                <w:szCs w:val="21"/>
              </w:rPr>
            </w:pPr>
            <w:r>
              <w:rPr>
                <w:rFonts w:ascii="Times New Roman" w:hAnsi="Times New Roman" w:cs="Times New Roman"/>
                <w:sz w:val="21"/>
                <w:szCs w:val="21"/>
              </w:rPr>
              <w:t>81,000,000.00</w:t>
            </w:r>
          </w:p>
        </w:tc>
        <w:tc>
          <w:tcPr>
            <w:tcW w:w="1698" w:type="pct"/>
            <w:shd w:val="clear" w:color="auto" w:fill="auto"/>
          </w:tcPr>
          <w:p w14:paraId="0F3DD111" w14:textId="77777777" w:rsidR="002D0AE7" w:rsidRDefault="00333EBB">
            <w:pPr>
              <w:autoSpaceDE w:val="0"/>
              <w:autoSpaceDN w:val="0"/>
              <w:adjustRightInd w:val="0"/>
              <w:snapToGrid w:val="0"/>
              <w:spacing w:line="240" w:lineRule="atLeast"/>
              <w:ind w:right="180"/>
              <w:jc w:val="right"/>
              <w:rPr>
                <w:rFonts w:ascii="Times New Roman" w:hAnsi="Times New Roman" w:cs="Times New Roman"/>
                <w:sz w:val="21"/>
                <w:szCs w:val="21"/>
              </w:rPr>
            </w:pPr>
            <w:r>
              <w:rPr>
                <w:rFonts w:ascii="Times New Roman" w:hAnsi="Times New Roman" w:cs="Times New Roman"/>
                <w:sz w:val="21"/>
                <w:szCs w:val="21"/>
              </w:rPr>
              <w:t>270,000,000.00</w:t>
            </w:r>
          </w:p>
        </w:tc>
      </w:tr>
      <w:tr w:rsidR="002D0AE7" w14:paraId="51C918AE" w14:textId="77777777">
        <w:trPr>
          <w:cantSplit/>
        </w:trPr>
        <w:tc>
          <w:tcPr>
            <w:tcW w:w="1614" w:type="pct"/>
          </w:tcPr>
          <w:p w14:paraId="3D139203" w14:textId="77777777" w:rsidR="002D0AE7" w:rsidRDefault="00333EBB">
            <w:pPr>
              <w:autoSpaceDE w:val="0"/>
              <w:autoSpaceDN w:val="0"/>
              <w:adjustRightInd w:val="0"/>
              <w:snapToGrid w:val="0"/>
              <w:spacing w:line="240" w:lineRule="atLeast"/>
              <w:rPr>
                <w:rFonts w:hint="eastAsia"/>
                <w:sz w:val="21"/>
                <w:szCs w:val="21"/>
              </w:rPr>
            </w:pPr>
            <w:r>
              <w:rPr>
                <w:rFonts w:ascii="Times New Roman" w:hAnsi="Times New Roman" w:cs="Times New Roman"/>
                <w:sz w:val="21"/>
                <w:szCs w:val="21"/>
              </w:rPr>
              <w:t>未到期应付利息</w:t>
            </w:r>
          </w:p>
        </w:tc>
        <w:tc>
          <w:tcPr>
            <w:tcW w:w="1688" w:type="pct"/>
          </w:tcPr>
          <w:p w14:paraId="32D55907" w14:textId="77777777" w:rsidR="002D0AE7" w:rsidRDefault="00333EBB">
            <w:pPr>
              <w:autoSpaceDE w:val="0"/>
              <w:autoSpaceDN w:val="0"/>
              <w:adjustRightInd w:val="0"/>
              <w:snapToGrid w:val="0"/>
              <w:spacing w:line="240" w:lineRule="atLeast"/>
              <w:ind w:right="180"/>
              <w:jc w:val="right"/>
              <w:rPr>
                <w:rFonts w:ascii="Times New Roman" w:hAnsi="Times New Roman" w:cs="Times New Roman"/>
                <w:sz w:val="21"/>
                <w:szCs w:val="21"/>
              </w:rPr>
            </w:pPr>
            <w:r>
              <w:rPr>
                <w:rFonts w:ascii="Times New Roman" w:hAnsi="Times New Roman" w:cs="Times New Roman"/>
                <w:sz w:val="21"/>
                <w:szCs w:val="21"/>
              </w:rPr>
              <w:t>54,064.02</w:t>
            </w:r>
          </w:p>
        </w:tc>
        <w:tc>
          <w:tcPr>
            <w:tcW w:w="1698" w:type="pct"/>
            <w:vAlign w:val="center"/>
          </w:tcPr>
          <w:p w14:paraId="3DC53683" w14:textId="77777777" w:rsidR="002D0AE7" w:rsidRDefault="00333EBB">
            <w:pPr>
              <w:autoSpaceDE w:val="0"/>
              <w:autoSpaceDN w:val="0"/>
              <w:adjustRightInd w:val="0"/>
              <w:snapToGrid w:val="0"/>
              <w:spacing w:line="240" w:lineRule="atLeast"/>
              <w:ind w:right="180"/>
              <w:jc w:val="right"/>
              <w:rPr>
                <w:rFonts w:ascii="Times New Roman" w:hAnsi="Times New Roman" w:cs="Times New Roman"/>
                <w:sz w:val="21"/>
                <w:szCs w:val="21"/>
              </w:rPr>
            </w:pPr>
            <w:r>
              <w:rPr>
                <w:rFonts w:ascii="Times New Roman" w:hAnsi="Times New Roman" w:cs="Times New Roman"/>
                <w:sz w:val="21"/>
                <w:szCs w:val="21"/>
              </w:rPr>
              <w:t>252,772.21</w:t>
            </w:r>
          </w:p>
        </w:tc>
      </w:tr>
      <w:tr w:rsidR="002D0AE7" w14:paraId="4134E9D0" w14:textId="77777777">
        <w:trPr>
          <w:cantSplit/>
        </w:trPr>
        <w:tc>
          <w:tcPr>
            <w:tcW w:w="1614" w:type="pct"/>
            <w:vAlign w:val="center"/>
          </w:tcPr>
          <w:p w14:paraId="2AC4A3ED" w14:textId="77777777" w:rsidR="002D0AE7" w:rsidRDefault="00333EBB">
            <w:pPr>
              <w:autoSpaceDE w:val="0"/>
              <w:autoSpaceDN w:val="0"/>
              <w:adjustRightInd w:val="0"/>
              <w:snapToGrid w:val="0"/>
              <w:spacing w:line="240" w:lineRule="atLeast"/>
              <w:jc w:val="center"/>
              <w:rPr>
                <w:rFonts w:hint="eastAsia"/>
                <w:color w:val="000000" w:themeColor="text1"/>
                <w:sz w:val="21"/>
                <w:szCs w:val="21"/>
              </w:rPr>
            </w:pPr>
            <w:r>
              <w:rPr>
                <w:rFonts w:hint="eastAsia"/>
                <w:color w:val="000000" w:themeColor="text1"/>
                <w:sz w:val="21"/>
                <w:szCs w:val="21"/>
              </w:rPr>
              <w:t>合计</w:t>
            </w:r>
          </w:p>
        </w:tc>
        <w:tc>
          <w:tcPr>
            <w:tcW w:w="1688" w:type="pct"/>
          </w:tcPr>
          <w:p w14:paraId="54D19755" w14:textId="77777777" w:rsidR="002D0AE7" w:rsidRDefault="00333EBB">
            <w:pPr>
              <w:autoSpaceDE w:val="0"/>
              <w:autoSpaceDN w:val="0"/>
              <w:adjustRightInd w:val="0"/>
              <w:snapToGrid w:val="0"/>
              <w:spacing w:line="240" w:lineRule="atLeast"/>
              <w:ind w:right="180"/>
              <w:jc w:val="right"/>
              <w:rPr>
                <w:rFonts w:ascii="Times New Roman" w:hAnsi="Times New Roman" w:cs="Times New Roman"/>
                <w:sz w:val="21"/>
                <w:szCs w:val="21"/>
              </w:rPr>
            </w:pPr>
            <w:r>
              <w:rPr>
                <w:rFonts w:ascii="Times New Roman" w:hAnsi="Times New Roman" w:cs="Times New Roman"/>
                <w:sz w:val="21"/>
                <w:szCs w:val="21"/>
              </w:rPr>
              <w:t>81,735,459.37</w:t>
            </w:r>
          </w:p>
        </w:tc>
        <w:tc>
          <w:tcPr>
            <w:tcW w:w="1698" w:type="pct"/>
            <w:vAlign w:val="center"/>
          </w:tcPr>
          <w:p w14:paraId="07A788BA" w14:textId="77777777" w:rsidR="002D0AE7" w:rsidRDefault="00333EBB">
            <w:pPr>
              <w:autoSpaceDE w:val="0"/>
              <w:autoSpaceDN w:val="0"/>
              <w:adjustRightInd w:val="0"/>
              <w:snapToGrid w:val="0"/>
              <w:spacing w:line="240" w:lineRule="atLeast"/>
              <w:ind w:right="180"/>
              <w:jc w:val="right"/>
              <w:rPr>
                <w:rFonts w:ascii="Times New Roman" w:hAnsi="Times New Roman" w:cs="Times New Roman"/>
                <w:sz w:val="21"/>
                <w:szCs w:val="21"/>
              </w:rPr>
            </w:pPr>
            <w:r>
              <w:rPr>
                <w:rFonts w:ascii="Times New Roman" w:hAnsi="Times New Roman" w:cs="Times New Roman"/>
                <w:sz w:val="21"/>
                <w:szCs w:val="21"/>
              </w:rPr>
              <w:t>270,252,772.21</w:t>
            </w:r>
          </w:p>
        </w:tc>
      </w:tr>
    </w:tbl>
    <w:p w14:paraId="25FAAAC7" w14:textId="77777777" w:rsidR="002D0AE7" w:rsidRDefault="00333EBB">
      <w:pPr>
        <w:snapToGrid w:val="0"/>
        <w:spacing w:line="240" w:lineRule="atLeast"/>
        <w:rPr>
          <w:rFonts w:hint="eastAsia"/>
          <w:color w:val="000000" w:themeColor="text1"/>
        </w:rPr>
      </w:pPr>
      <w:r>
        <w:rPr>
          <w:rFonts w:hint="eastAsia"/>
          <w:color w:val="000000" w:themeColor="text1"/>
        </w:rPr>
        <w:t>短期借款分类的说明：</w:t>
      </w:r>
    </w:p>
    <w:sdt>
      <w:sdtPr>
        <w:rPr>
          <w:color w:val="000000" w:themeColor="text1"/>
        </w:rPr>
        <w:alias w:val="短期借款分类的说明"/>
        <w:tag w:val="_GBC_fc19e133dd4f4dbdb9d583e76175b714"/>
        <w:id w:val="806280928"/>
        <w:placeholder>
          <w:docPart w:val="GBC22222222222222222222222222222"/>
        </w:placeholder>
      </w:sdtPr>
      <w:sdtEndPr/>
      <w:sdtContent>
        <w:p w14:paraId="1C766272" w14:textId="77777777" w:rsidR="002D0AE7" w:rsidRDefault="00333EBB">
          <w:pPr>
            <w:snapToGrid w:val="0"/>
            <w:spacing w:line="240" w:lineRule="atLeast"/>
            <w:rPr>
              <w:rFonts w:hint="eastAsia"/>
            </w:rPr>
          </w:pPr>
          <w:r>
            <w:rPr>
              <w:sz w:val="21"/>
              <w:szCs w:val="21"/>
            </w:rPr>
            <w:t>A.</w:t>
          </w:r>
          <w:r>
            <w:rPr>
              <w:sz w:val="21"/>
              <w:szCs w:val="21"/>
            </w:rPr>
            <w:t>截止</w:t>
          </w:r>
          <w:r>
            <w:rPr>
              <w:sz w:val="21"/>
              <w:szCs w:val="21"/>
            </w:rPr>
            <w:t>2024</w:t>
          </w:r>
          <w:r>
            <w:rPr>
              <w:sz w:val="21"/>
              <w:szCs w:val="21"/>
            </w:rPr>
            <w:t>年</w:t>
          </w:r>
          <w:r>
            <w:rPr>
              <w:sz w:val="21"/>
              <w:szCs w:val="21"/>
            </w:rPr>
            <w:t>6</w:t>
          </w:r>
          <w:r>
            <w:rPr>
              <w:sz w:val="21"/>
              <w:szCs w:val="21"/>
            </w:rPr>
            <w:t>月</w:t>
          </w:r>
          <w:r>
            <w:rPr>
              <w:sz w:val="21"/>
              <w:szCs w:val="21"/>
            </w:rPr>
            <w:t>30</w:t>
          </w:r>
          <w:r>
            <w:rPr>
              <w:sz w:val="21"/>
              <w:szCs w:val="21"/>
            </w:rPr>
            <w:t>日本公司无已到期但尚未偿还的借款。</w:t>
          </w:r>
        </w:p>
      </w:sdtContent>
    </w:sdt>
    <w:p w14:paraId="04AB7434" w14:textId="77777777" w:rsidR="002D0AE7" w:rsidRDefault="00333EBB">
      <w:pPr>
        <w:pStyle w:val="3"/>
        <w:numPr>
          <w:ilvl w:val="0"/>
          <w:numId w:val="43"/>
        </w:numPr>
        <w:tabs>
          <w:tab w:val="left" w:pos="504"/>
        </w:tabs>
        <w:rPr>
          <w:rFonts w:ascii="宋体" w:hAnsi="宋体" w:hint="eastAsia"/>
          <w:color w:val="000000" w:themeColor="text1"/>
        </w:rPr>
      </w:pPr>
      <w:r>
        <w:rPr>
          <w:rFonts w:ascii="宋体" w:hAnsi="宋体" w:hint="eastAsia"/>
          <w:color w:val="000000" w:themeColor="text1"/>
        </w:rPr>
        <w:t>应付票据</w:t>
      </w:r>
    </w:p>
    <w:sdt>
      <w:sdtPr>
        <w:rPr>
          <w:color w:val="000000" w:themeColor="text1"/>
        </w:rPr>
        <w:alias w:val="是否适用：应付票据[双击切换]"/>
        <w:tag w:val="_GBC_57c67181b34944e782b23a48b1843e8f"/>
        <w:id w:val="-1671713359"/>
        <w:lock w:val="contentLocked"/>
        <w:placeholder>
          <w:docPart w:val="GBC22222222222222222222222222222"/>
        </w:placeholder>
      </w:sdtPr>
      <w:sdtEndPr/>
      <w:sdtContent>
        <w:p w14:paraId="409598A0"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460D12A2" w14:textId="77777777" w:rsidR="002D0AE7" w:rsidRDefault="00333EBB">
      <w:pPr>
        <w:jc w:val="right"/>
        <w:rPr>
          <w:rFonts w:hint="eastAsia"/>
          <w:color w:val="000000" w:themeColor="text1"/>
        </w:rPr>
      </w:pPr>
      <w:bookmarkStart w:id="197" w:name="_Hlk167960344"/>
      <w:r>
        <w:rPr>
          <w:rFonts w:hint="eastAsia"/>
          <w:color w:val="000000" w:themeColor="text1"/>
        </w:rPr>
        <w:t>单位：</w:t>
      </w:r>
      <w:sdt>
        <w:sdtPr>
          <w:rPr>
            <w:rFonts w:hint="eastAsia"/>
            <w:color w:val="000000" w:themeColor="text1"/>
          </w:rPr>
          <w:alias w:val="单位：财务附注：应付票据"/>
          <w:tag w:val="_GBC_db69c246a0d14735805df636930e34ba"/>
          <w:id w:val="-84987897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应付票据"/>
          <w:tag w:val="_GBC_f734b21fc72c43feb20eaf84762dfd7f"/>
          <w:id w:val="141697530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291"/>
        <w:gridCol w:w="3310"/>
        <w:gridCol w:w="3216"/>
      </w:tblGrid>
      <w:tr w:rsidR="002D0AE7" w14:paraId="011C13F0" w14:textId="77777777">
        <w:trPr>
          <w:cantSplit/>
        </w:trPr>
        <w:sdt>
          <w:sdtPr>
            <w:rPr>
              <w:color w:val="000000" w:themeColor="text1"/>
              <w:sz w:val="21"/>
              <w:szCs w:val="21"/>
            </w:rPr>
            <w:tag w:val="_PLD_faa4f5cfe5ae4b0a9c786ca922191e7e"/>
            <w:id w:val="-484620932"/>
          </w:sdtPr>
          <w:sdtEndPr/>
          <w:sdtContent>
            <w:tc>
              <w:tcPr>
                <w:tcW w:w="1299" w:type="pct"/>
                <w:tcBorders>
                  <w:top w:val="single" w:sz="6" w:space="0" w:color="auto"/>
                  <w:left w:val="single" w:sz="6" w:space="0" w:color="auto"/>
                  <w:bottom w:val="single" w:sz="6" w:space="0" w:color="auto"/>
                  <w:right w:val="single" w:sz="6" w:space="0" w:color="auto"/>
                </w:tcBorders>
                <w:vAlign w:val="center"/>
              </w:tcPr>
              <w:p w14:paraId="7E90A8E4" w14:textId="77777777" w:rsidR="002D0AE7" w:rsidRDefault="00333EBB">
                <w:pPr>
                  <w:autoSpaceDE w:val="0"/>
                  <w:autoSpaceDN w:val="0"/>
                  <w:adjustRightInd w:val="0"/>
                  <w:snapToGrid w:val="0"/>
                  <w:spacing w:line="240" w:lineRule="atLeast"/>
                  <w:jc w:val="center"/>
                  <w:rPr>
                    <w:rFonts w:hint="eastAsia"/>
                    <w:color w:val="000000" w:themeColor="text1"/>
                    <w:sz w:val="21"/>
                    <w:szCs w:val="21"/>
                  </w:rPr>
                </w:pPr>
                <w:r>
                  <w:rPr>
                    <w:rFonts w:hint="eastAsia"/>
                    <w:color w:val="000000" w:themeColor="text1"/>
                    <w:sz w:val="21"/>
                    <w:szCs w:val="21"/>
                  </w:rPr>
                  <w:t>种类</w:t>
                </w:r>
              </w:p>
            </w:tc>
          </w:sdtContent>
        </w:sdt>
        <w:sdt>
          <w:sdtPr>
            <w:rPr>
              <w:color w:val="000000" w:themeColor="text1"/>
              <w:sz w:val="21"/>
              <w:szCs w:val="21"/>
            </w:rPr>
            <w:tag w:val="_PLD_b51f0f25994640289becfaca28eb1d5c"/>
            <w:id w:val="48895921"/>
          </w:sdtPr>
          <w:sdtEndPr/>
          <w:sdtContent>
            <w:tc>
              <w:tcPr>
                <w:tcW w:w="1877" w:type="pct"/>
                <w:tcBorders>
                  <w:top w:val="single" w:sz="6" w:space="0" w:color="auto"/>
                  <w:left w:val="single" w:sz="6" w:space="0" w:color="auto"/>
                  <w:bottom w:val="single" w:sz="6" w:space="0" w:color="auto"/>
                  <w:right w:val="single" w:sz="6" w:space="0" w:color="auto"/>
                </w:tcBorders>
                <w:vAlign w:val="center"/>
              </w:tcPr>
              <w:p w14:paraId="0EAC1D14" w14:textId="77777777" w:rsidR="002D0AE7" w:rsidRDefault="00333EBB">
                <w:pPr>
                  <w:autoSpaceDE w:val="0"/>
                  <w:autoSpaceDN w:val="0"/>
                  <w:adjustRightInd w:val="0"/>
                  <w:snapToGrid w:val="0"/>
                  <w:spacing w:line="240" w:lineRule="atLeast"/>
                  <w:jc w:val="center"/>
                  <w:rPr>
                    <w:rFonts w:hint="eastAsia"/>
                    <w:color w:val="000000" w:themeColor="text1"/>
                    <w:sz w:val="21"/>
                    <w:szCs w:val="21"/>
                  </w:rPr>
                </w:pPr>
                <w:r>
                  <w:rPr>
                    <w:rFonts w:hint="eastAsia"/>
                    <w:color w:val="000000" w:themeColor="text1"/>
                    <w:sz w:val="21"/>
                    <w:szCs w:val="21"/>
                  </w:rPr>
                  <w:t>期末余额</w:t>
                </w:r>
              </w:p>
            </w:tc>
          </w:sdtContent>
        </w:sdt>
        <w:sdt>
          <w:sdtPr>
            <w:rPr>
              <w:color w:val="000000" w:themeColor="text1"/>
              <w:sz w:val="21"/>
              <w:szCs w:val="21"/>
            </w:rPr>
            <w:tag w:val="_PLD_996d96c1a15e479289fa9e0699e2822e"/>
            <w:id w:val="992598241"/>
          </w:sdtPr>
          <w:sdtEndPr/>
          <w:sdtContent>
            <w:tc>
              <w:tcPr>
                <w:tcW w:w="1824" w:type="pct"/>
                <w:tcBorders>
                  <w:top w:val="single" w:sz="6" w:space="0" w:color="auto"/>
                  <w:left w:val="single" w:sz="6" w:space="0" w:color="auto"/>
                  <w:bottom w:val="single" w:sz="6" w:space="0" w:color="auto"/>
                  <w:right w:val="single" w:sz="6" w:space="0" w:color="auto"/>
                </w:tcBorders>
                <w:vAlign w:val="center"/>
              </w:tcPr>
              <w:p w14:paraId="7BE4519E" w14:textId="77777777" w:rsidR="002D0AE7" w:rsidRDefault="00333EBB">
                <w:pPr>
                  <w:autoSpaceDE w:val="0"/>
                  <w:autoSpaceDN w:val="0"/>
                  <w:adjustRightInd w:val="0"/>
                  <w:snapToGrid w:val="0"/>
                  <w:spacing w:line="240" w:lineRule="atLeast"/>
                  <w:jc w:val="center"/>
                  <w:rPr>
                    <w:rFonts w:hint="eastAsia"/>
                    <w:color w:val="000000" w:themeColor="text1"/>
                    <w:sz w:val="21"/>
                    <w:szCs w:val="21"/>
                  </w:rPr>
                </w:pPr>
                <w:r>
                  <w:rPr>
                    <w:rFonts w:hint="eastAsia"/>
                    <w:color w:val="000000" w:themeColor="text1"/>
                    <w:sz w:val="21"/>
                    <w:szCs w:val="21"/>
                  </w:rPr>
                  <w:t>期初余额</w:t>
                </w:r>
              </w:p>
            </w:tc>
          </w:sdtContent>
        </w:sdt>
      </w:tr>
      <w:tr w:rsidR="002D0AE7" w14:paraId="21A0F941" w14:textId="77777777">
        <w:trPr>
          <w:cantSplit/>
        </w:trPr>
        <w:tc>
          <w:tcPr>
            <w:tcW w:w="1299" w:type="pct"/>
            <w:tcBorders>
              <w:top w:val="single" w:sz="6" w:space="0" w:color="auto"/>
              <w:left w:val="single" w:sz="6" w:space="0" w:color="auto"/>
              <w:bottom w:val="single" w:sz="6" w:space="0" w:color="auto"/>
              <w:right w:val="single" w:sz="6" w:space="0" w:color="auto"/>
            </w:tcBorders>
            <w:shd w:val="clear" w:color="auto" w:fill="auto"/>
          </w:tcPr>
          <w:p w14:paraId="2D358347" w14:textId="77777777" w:rsidR="002D0AE7" w:rsidRDefault="00333EBB">
            <w:pPr>
              <w:autoSpaceDE w:val="0"/>
              <w:autoSpaceDN w:val="0"/>
              <w:adjustRightInd w:val="0"/>
              <w:snapToGrid w:val="0"/>
              <w:spacing w:line="240" w:lineRule="atLeast"/>
              <w:rPr>
                <w:rFonts w:hint="eastAsia"/>
                <w:color w:val="000000" w:themeColor="text1"/>
                <w:sz w:val="21"/>
                <w:szCs w:val="21"/>
              </w:rPr>
            </w:pPr>
            <w:r>
              <w:rPr>
                <w:rFonts w:hint="eastAsia"/>
                <w:color w:val="000000" w:themeColor="text1"/>
                <w:sz w:val="21"/>
                <w:szCs w:val="21"/>
              </w:rPr>
              <w:t>商业承兑汇票</w:t>
            </w:r>
          </w:p>
        </w:tc>
        <w:tc>
          <w:tcPr>
            <w:tcW w:w="1877" w:type="pct"/>
            <w:tcBorders>
              <w:top w:val="single" w:sz="6" w:space="0" w:color="auto"/>
              <w:left w:val="single" w:sz="6" w:space="0" w:color="auto"/>
              <w:bottom w:val="single" w:sz="6" w:space="0" w:color="auto"/>
              <w:right w:val="single" w:sz="6" w:space="0" w:color="auto"/>
            </w:tcBorders>
            <w:shd w:val="clear" w:color="auto" w:fill="auto"/>
          </w:tcPr>
          <w:p w14:paraId="78FA1142" w14:textId="77777777" w:rsidR="002D0AE7" w:rsidRDefault="00333EBB">
            <w:pPr>
              <w:ind w:right="13"/>
              <w:jc w:val="right"/>
              <w:rPr>
                <w:rFonts w:ascii="Times New Roman" w:hAnsi="Times New Roman" w:cs="Times New Roman"/>
                <w:sz w:val="21"/>
                <w:szCs w:val="21"/>
              </w:rPr>
            </w:pPr>
            <w:r>
              <w:rPr>
                <w:rFonts w:ascii="Times New Roman" w:hAnsi="Times New Roman" w:cs="Times New Roman"/>
                <w:sz w:val="21"/>
                <w:szCs w:val="21"/>
              </w:rPr>
              <w:t>0.00</w:t>
            </w:r>
          </w:p>
        </w:tc>
        <w:tc>
          <w:tcPr>
            <w:tcW w:w="1824" w:type="pct"/>
            <w:tcBorders>
              <w:top w:val="single" w:sz="6" w:space="0" w:color="auto"/>
              <w:left w:val="single" w:sz="6" w:space="0" w:color="auto"/>
              <w:bottom w:val="single" w:sz="6" w:space="0" w:color="auto"/>
              <w:right w:val="single" w:sz="6" w:space="0" w:color="auto"/>
            </w:tcBorders>
            <w:shd w:val="clear" w:color="auto" w:fill="auto"/>
          </w:tcPr>
          <w:p w14:paraId="2C750DD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4DC9464F" w14:textId="77777777">
        <w:trPr>
          <w:cantSplit/>
        </w:trPr>
        <w:tc>
          <w:tcPr>
            <w:tcW w:w="1299" w:type="pct"/>
            <w:tcBorders>
              <w:top w:val="single" w:sz="6" w:space="0" w:color="auto"/>
              <w:left w:val="single" w:sz="6" w:space="0" w:color="auto"/>
              <w:bottom w:val="single" w:sz="6" w:space="0" w:color="auto"/>
              <w:right w:val="single" w:sz="6" w:space="0" w:color="auto"/>
            </w:tcBorders>
            <w:shd w:val="clear" w:color="auto" w:fill="auto"/>
          </w:tcPr>
          <w:p w14:paraId="3786E7AA" w14:textId="77777777" w:rsidR="002D0AE7" w:rsidRDefault="00333EBB">
            <w:pPr>
              <w:autoSpaceDE w:val="0"/>
              <w:autoSpaceDN w:val="0"/>
              <w:adjustRightInd w:val="0"/>
              <w:snapToGrid w:val="0"/>
              <w:spacing w:line="240" w:lineRule="atLeast"/>
              <w:rPr>
                <w:rFonts w:hint="eastAsia"/>
                <w:color w:val="000000" w:themeColor="text1"/>
                <w:sz w:val="21"/>
                <w:szCs w:val="21"/>
              </w:rPr>
            </w:pPr>
            <w:r>
              <w:rPr>
                <w:rFonts w:hint="eastAsia"/>
                <w:color w:val="000000" w:themeColor="text1"/>
                <w:sz w:val="21"/>
                <w:szCs w:val="21"/>
              </w:rPr>
              <w:t>银行承兑汇票</w:t>
            </w:r>
          </w:p>
        </w:tc>
        <w:tc>
          <w:tcPr>
            <w:tcW w:w="1877" w:type="pct"/>
            <w:tcBorders>
              <w:top w:val="single" w:sz="6" w:space="0" w:color="auto"/>
              <w:left w:val="single" w:sz="6" w:space="0" w:color="auto"/>
              <w:bottom w:val="single" w:sz="6" w:space="0" w:color="auto"/>
              <w:right w:val="single" w:sz="6" w:space="0" w:color="auto"/>
            </w:tcBorders>
            <w:shd w:val="clear" w:color="auto" w:fill="auto"/>
          </w:tcPr>
          <w:p w14:paraId="4D722F50" w14:textId="77777777" w:rsidR="002D0AE7" w:rsidRDefault="00333EBB">
            <w:pPr>
              <w:ind w:right="13"/>
              <w:jc w:val="right"/>
              <w:rPr>
                <w:rFonts w:ascii="Times New Roman" w:hAnsi="Times New Roman" w:cs="Times New Roman"/>
                <w:sz w:val="21"/>
                <w:szCs w:val="21"/>
              </w:rPr>
            </w:pPr>
            <w:r>
              <w:rPr>
                <w:rFonts w:ascii="Times New Roman" w:hAnsi="Times New Roman" w:cs="Times New Roman"/>
                <w:sz w:val="21"/>
                <w:szCs w:val="21"/>
              </w:rPr>
              <w:t>141,656,665.22</w:t>
            </w:r>
          </w:p>
        </w:tc>
        <w:tc>
          <w:tcPr>
            <w:tcW w:w="1824" w:type="pct"/>
            <w:tcBorders>
              <w:top w:val="single" w:sz="6" w:space="0" w:color="auto"/>
              <w:left w:val="single" w:sz="6" w:space="0" w:color="auto"/>
              <w:bottom w:val="single" w:sz="6" w:space="0" w:color="auto"/>
              <w:right w:val="single" w:sz="6" w:space="0" w:color="auto"/>
            </w:tcBorders>
            <w:shd w:val="clear" w:color="auto" w:fill="auto"/>
          </w:tcPr>
          <w:p w14:paraId="308DDFA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38,560,000.00</w:t>
            </w:r>
          </w:p>
        </w:tc>
      </w:tr>
      <w:tr w:rsidR="002D0AE7" w14:paraId="6BCB55AD" w14:textId="77777777">
        <w:trPr>
          <w:cantSplit/>
        </w:trPr>
        <w:tc>
          <w:tcPr>
            <w:tcW w:w="1299" w:type="pct"/>
            <w:tcBorders>
              <w:top w:val="single" w:sz="6" w:space="0" w:color="auto"/>
              <w:left w:val="single" w:sz="6" w:space="0" w:color="auto"/>
              <w:bottom w:val="single" w:sz="6" w:space="0" w:color="auto"/>
              <w:right w:val="single" w:sz="6" w:space="0" w:color="auto"/>
            </w:tcBorders>
            <w:vAlign w:val="center"/>
          </w:tcPr>
          <w:p w14:paraId="3D9B1339" w14:textId="77777777" w:rsidR="002D0AE7" w:rsidRDefault="00333EBB">
            <w:pPr>
              <w:autoSpaceDE w:val="0"/>
              <w:autoSpaceDN w:val="0"/>
              <w:adjustRightInd w:val="0"/>
              <w:snapToGrid w:val="0"/>
              <w:spacing w:line="240" w:lineRule="atLeast"/>
              <w:jc w:val="center"/>
              <w:rPr>
                <w:rFonts w:hint="eastAsia"/>
                <w:color w:val="000000" w:themeColor="text1"/>
                <w:sz w:val="21"/>
                <w:szCs w:val="21"/>
              </w:rPr>
            </w:pPr>
            <w:r>
              <w:rPr>
                <w:rFonts w:hint="eastAsia"/>
                <w:color w:val="000000" w:themeColor="text1"/>
                <w:sz w:val="21"/>
                <w:szCs w:val="21"/>
              </w:rPr>
              <w:t>合计</w:t>
            </w:r>
          </w:p>
        </w:tc>
        <w:tc>
          <w:tcPr>
            <w:tcW w:w="1877" w:type="pct"/>
            <w:tcBorders>
              <w:top w:val="single" w:sz="6" w:space="0" w:color="auto"/>
              <w:left w:val="single" w:sz="6" w:space="0" w:color="auto"/>
              <w:bottom w:val="single" w:sz="6" w:space="0" w:color="auto"/>
              <w:right w:val="single" w:sz="6" w:space="0" w:color="auto"/>
            </w:tcBorders>
          </w:tcPr>
          <w:p w14:paraId="013D595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141,656,665.22</w:t>
            </w:r>
          </w:p>
        </w:tc>
        <w:tc>
          <w:tcPr>
            <w:tcW w:w="1824" w:type="pct"/>
            <w:tcBorders>
              <w:top w:val="single" w:sz="6" w:space="0" w:color="auto"/>
              <w:left w:val="single" w:sz="6" w:space="0" w:color="auto"/>
              <w:bottom w:val="single" w:sz="6" w:space="0" w:color="auto"/>
              <w:right w:val="single" w:sz="6" w:space="0" w:color="auto"/>
            </w:tcBorders>
          </w:tcPr>
          <w:p w14:paraId="2998F3B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38,560,000.00</w:t>
            </w:r>
          </w:p>
        </w:tc>
      </w:tr>
    </w:tbl>
    <w:p w14:paraId="72A2C624" w14:textId="77777777" w:rsidR="002D0AE7" w:rsidRDefault="00333EBB">
      <w:pPr>
        <w:snapToGrid w:val="0"/>
        <w:spacing w:line="240" w:lineRule="atLeast"/>
        <w:rPr>
          <w:rFonts w:hint="eastAsia"/>
          <w:color w:val="000000" w:themeColor="text1"/>
        </w:rPr>
      </w:pPr>
      <w:r>
        <w:rPr>
          <w:rFonts w:hint="eastAsia"/>
          <w:color w:val="000000" w:themeColor="text1"/>
          <w:sz w:val="21"/>
          <w:szCs w:val="21"/>
        </w:rPr>
        <w:t>本期末已到期未支付的应付票据总额为</w:t>
      </w:r>
      <w:sdt>
        <w:sdtPr>
          <w:rPr>
            <w:rFonts w:hint="eastAsia"/>
            <w:color w:val="000000" w:themeColor="text1"/>
            <w:sz w:val="21"/>
            <w:szCs w:val="21"/>
          </w:rPr>
          <w:alias w:val="已到期未支付的应付票据总额"/>
          <w:tag w:val="_GBC_c9651441e218453780f22db83f133e6a"/>
          <w:id w:val="-2016915931"/>
          <w:placeholder>
            <w:docPart w:val="GBC22222222222222222222222222222"/>
          </w:placeholder>
        </w:sdtPr>
        <w:sdtEndPr/>
        <w:sdtContent>
          <w:r>
            <w:rPr>
              <w:color w:val="000000" w:themeColor="text1"/>
              <w:sz w:val="21"/>
              <w:szCs w:val="21"/>
            </w:rPr>
            <w:t>0.00</w:t>
          </w:r>
        </w:sdtContent>
      </w:sdt>
      <w:r>
        <w:rPr>
          <w:rFonts w:hint="eastAsia"/>
          <w:color w:val="000000" w:themeColor="text1"/>
          <w:sz w:val="21"/>
          <w:szCs w:val="21"/>
        </w:rPr>
        <w:t>元。到期未付的原因是</w:t>
      </w:r>
      <w:sdt>
        <w:sdtPr>
          <w:rPr>
            <w:rFonts w:hint="eastAsia"/>
            <w:color w:val="000000" w:themeColor="text1"/>
            <w:sz w:val="21"/>
            <w:szCs w:val="21"/>
          </w:rPr>
          <w:alias w:val="应付票据到期未付的原因"/>
          <w:tag w:val="_GBC_73acd2fa7a344753a71cf43e98373b73"/>
          <w:id w:val="884763280"/>
          <w:placeholder>
            <w:docPart w:val="GBC22222222222222222222222222222"/>
          </w:placeholder>
        </w:sdtPr>
        <w:sdtEndPr>
          <w:rPr>
            <w:sz w:val="24"/>
            <w:szCs w:val="24"/>
          </w:rPr>
        </w:sdtEndPr>
        <w:sdtContent>
          <w:r>
            <w:rPr>
              <w:rFonts w:hint="eastAsia"/>
              <w:color w:val="000000" w:themeColor="text1"/>
              <w:sz w:val="21"/>
              <w:szCs w:val="21"/>
            </w:rPr>
            <w:t>无</w:t>
          </w:r>
        </w:sdtContent>
      </w:sdt>
    </w:p>
    <w:bookmarkEnd w:id="197"/>
    <w:p w14:paraId="69985813"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rPr>
        <w:t>应付</w:t>
      </w:r>
      <w:r>
        <w:rPr>
          <w:rFonts w:ascii="宋体" w:hAnsi="宋体" w:hint="eastAsia"/>
          <w:color w:val="000000" w:themeColor="text1"/>
          <w:szCs w:val="21"/>
        </w:rPr>
        <w:t>账款</w:t>
      </w:r>
    </w:p>
    <w:sdt>
      <w:sdtPr>
        <w:rPr>
          <w:rFonts w:ascii="宋体" w:hAnsi="宋体" w:cs="宋体" w:hint="eastAsia"/>
          <w:b w:val="0"/>
          <w:bCs w:val="0"/>
          <w:color w:val="000000" w:themeColor="text1"/>
          <w:kern w:val="0"/>
          <w:szCs w:val="21"/>
        </w:rPr>
        <w:alias w:val="模块:应付账款情况"/>
        <w:tag w:val="_GBC_0f1b98b90c3845e1a1ad65786460f84b"/>
        <w:id w:val="-141969137"/>
        <w:lock w:val="sdtLocked"/>
        <w:placeholder>
          <w:docPart w:val="DefaultPlaceholder_-1854013440"/>
        </w:placeholder>
      </w:sdtPr>
      <w:sdtEndPr>
        <w:rPr>
          <w:color w:val="auto"/>
          <w:sz w:val="21"/>
        </w:rPr>
      </w:sdtEndPr>
      <w:sdtContent>
        <w:p w14:paraId="1477BAA1" w14:textId="77777777" w:rsidR="002D0AE7" w:rsidRDefault="00333EBB">
          <w:pPr>
            <w:pStyle w:val="4"/>
            <w:numPr>
              <w:ilvl w:val="0"/>
              <w:numId w:val="58"/>
            </w:numPr>
            <w:tabs>
              <w:tab w:val="left" w:pos="588"/>
            </w:tabs>
            <w:rPr>
              <w:rFonts w:ascii="宋体" w:hAnsi="宋体" w:hint="eastAsia"/>
              <w:color w:val="000000" w:themeColor="text1"/>
              <w:szCs w:val="21"/>
            </w:rPr>
          </w:pPr>
          <w:r>
            <w:rPr>
              <w:rFonts w:ascii="宋体" w:hAnsi="宋体" w:hint="eastAsia"/>
              <w:color w:val="000000" w:themeColor="text1"/>
              <w:szCs w:val="21"/>
            </w:rPr>
            <w:t>应付账款列示</w:t>
          </w:r>
        </w:p>
        <w:sdt>
          <w:sdtPr>
            <w:rPr>
              <w:color w:val="000000" w:themeColor="text1"/>
            </w:rPr>
            <w:alias w:val="是否适用：应付账款列示[双击切换]"/>
            <w:tag w:val="_GBC_8531771c226a4fb0b98e3cdaf7271c71"/>
            <w:id w:val="1594586878"/>
            <w:placeholder>
              <w:docPart w:val="GBC22222222222222222222222222222"/>
            </w:placeholder>
          </w:sdtPr>
          <w:sdtEndPr/>
          <w:sdtContent>
            <w:p w14:paraId="503F7147"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2CE992E0"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应付账款情况"/>
              <w:tag w:val="_GBC_53c05e3ea1bb4f08bbe5cf204a0947b9"/>
              <w:id w:val="101504605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应付账款情况"/>
              <w:tag w:val="_GBC_e10cb0a664ca4400817c8a2bcf9247fc"/>
              <w:id w:val="124668573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795"/>
            <w:gridCol w:w="3257"/>
          </w:tblGrid>
          <w:tr w:rsidR="002D0AE7" w14:paraId="702235B1" w14:textId="77777777">
            <w:sdt>
              <w:sdtPr>
                <w:rPr>
                  <w:color w:val="000000" w:themeColor="text1"/>
                  <w:sz w:val="21"/>
                  <w:szCs w:val="21"/>
                </w:rPr>
                <w:tag w:val="_PLD_7dae27caeee34d74add24cd985083c75"/>
                <w:id w:val="-221824927"/>
              </w:sdtPr>
              <w:sdtEndPr/>
              <w:sdtContent>
                <w:tc>
                  <w:tcPr>
                    <w:tcW w:w="1570" w:type="pct"/>
                    <w:shd w:val="clear" w:color="auto" w:fill="auto"/>
                  </w:tcPr>
                  <w:p w14:paraId="17B46C4D"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136ba417561e421ea02da8004fdf8b33"/>
                <w:id w:val="1147631342"/>
              </w:sdtPr>
              <w:sdtEndPr/>
              <w:sdtContent>
                <w:tc>
                  <w:tcPr>
                    <w:tcW w:w="1584" w:type="pct"/>
                    <w:shd w:val="clear" w:color="auto" w:fill="auto"/>
                  </w:tcPr>
                  <w:p w14:paraId="7FAB800A"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sdt>
              <w:sdtPr>
                <w:rPr>
                  <w:color w:val="000000" w:themeColor="text1"/>
                  <w:sz w:val="21"/>
                  <w:szCs w:val="21"/>
                </w:rPr>
                <w:tag w:val="_PLD_bc4b311c1ee54bd48b7b2ba2ab79c364"/>
                <w:id w:val="-248112361"/>
              </w:sdtPr>
              <w:sdtEndPr/>
              <w:sdtContent>
                <w:tc>
                  <w:tcPr>
                    <w:tcW w:w="1846" w:type="pct"/>
                    <w:shd w:val="clear" w:color="auto" w:fill="auto"/>
                  </w:tcPr>
                  <w:p w14:paraId="715BF711" w14:textId="77777777" w:rsidR="002D0AE7" w:rsidRDefault="00333EBB">
                    <w:pPr>
                      <w:jc w:val="center"/>
                      <w:rPr>
                        <w:rFonts w:hint="eastAsia"/>
                        <w:color w:val="000000" w:themeColor="text1"/>
                        <w:sz w:val="21"/>
                        <w:szCs w:val="21"/>
                      </w:rPr>
                    </w:pPr>
                    <w:r>
                      <w:rPr>
                        <w:rFonts w:hint="eastAsia"/>
                        <w:color w:val="000000" w:themeColor="text1"/>
                        <w:sz w:val="21"/>
                        <w:szCs w:val="21"/>
                      </w:rPr>
                      <w:t>期初余额</w:t>
                    </w:r>
                  </w:p>
                </w:tc>
              </w:sdtContent>
            </w:sdt>
          </w:tr>
          <w:tr w:rsidR="002D0AE7" w14:paraId="00F7AAC6" w14:textId="77777777">
            <w:tc>
              <w:tcPr>
                <w:tcW w:w="1570" w:type="pct"/>
                <w:shd w:val="clear" w:color="auto" w:fill="auto"/>
              </w:tcPr>
              <w:p w14:paraId="6B72C481" w14:textId="77777777" w:rsidR="002D0AE7" w:rsidRDefault="00333EBB">
                <w:pPr>
                  <w:rPr>
                    <w:rFonts w:hint="eastAsia"/>
                    <w:sz w:val="21"/>
                    <w:szCs w:val="21"/>
                  </w:rPr>
                </w:pPr>
                <w:r>
                  <w:rPr>
                    <w:sz w:val="21"/>
                    <w:szCs w:val="21"/>
                  </w:rPr>
                  <w:t>应付账款</w:t>
                </w:r>
              </w:p>
            </w:tc>
            <w:tc>
              <w:tcPr>
                <w:tcW w:w="1584" w:type="pct"/>
                <w:shd w:val="clear" w:color="auto" w:fill="auto"/>
              </w:tcPr>
              <w:p w14:paraId="2CE976C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708,563,610.53</w:t>
                </w:r>
              </w:p>
            </w:tc>
            <w:tc>
              <w:tcPr>
                <w:tcW w:w="1846" w:type="pct"/>
                <w:shd w:val="clear" w:color="auto" w:fill="auto"/>
              </w:tcPr>
              <w:p w14:paraId="137EC27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680,991,520.54</w:t>
                </w:r>
              </w:p>
            </w:tc>
          </w:tr>
          <w:tr w:rsidR="002D0AE7" w14:paraId="0A2B2457" w14:textId="77777777">
            <w:tc>
              <w:tcPr>
                <w:tcW w:w="1570" w:type="pct"/>
                <w:shd w:val="clear" w:color="auto" w:fill="auto"/>
              </w:tcPr>
              <w:p w14:paraId="385F2959"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1584" w:type="pct"/>
                <w:shd w:val="clear" w:color="auto" w:fill="auto"/>
                <w:vAlign w:val="center"/>
              </w:tcPr>
              <w:p w14:paraId="35C216B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708,563,610.53</w:t>
                </w:r>
              </w:p>
            </w:tc>
            <w:tc>
              <w:tcPr>
                <w:tcW w:w="1846" w:type="pct"/>
                <w:shd w:val="clear" w:color="auto" w:fill="auto"/>
                <w:vAlign w:val="center"/>
              </w:tcPr>
              <w:p w14:paraId="71EF736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680,991,520.54</w:t>
                </w:r>
              </w:p>
            </w:tc>
          </w:tr>
        </w:tbl>
        <w:p w14:paraId="341DE311" w14:textId="77777777" w:rsidR="002D0AE7" w:rsidRDefault="00333EBB">
          <w:pPr>
            <w:rPr>
              <w:rFonts w:hint="eastAsia"/>
              <w:sz w:val="21"/>
              <w:szCs w:val="21"/>
            </w:rPr>
          </w:pPr>
          <w:r>
            <w:rPr>
              <w:rFonts w:hint="eastAsia"/>
              <w:sz w:val="21"/>
              <w:szCs w:val="21"/>
            </w:rPr>
            <w:t>本账户期末余额中应付持本公司</w:t>
          </w:r>
          <w:r>
            <w:rPr>
              <w:rFonts w:ascii="Times New Roman" w:hAnsi="Times New Roman" w:cs="Times New Roman"/>
              <w:sz w:val="21"/>
              <w:szCs w:val="21"/>
            </w:rPr>
            <w:t>5%</w:t>
          </w:r>
          <w:r>
            <w:rPr>
              <w:sz w:val="21"/>
              <w:szCs w:val="21"/>
            </w:rPr>
            <w:t>以上（含</w:t>
          </w:r>
          <w:r>
            <w:rPr>
              <w:rFonts w:ascii="Times New Roman" w:hAnsi="Times New Roman" w:cs="Times New Roman"/>
              <w:sz w:val="21"/>
              <w:szCs w:val="21"/>
            </w:rPr>
            <w:t>5%</w:t>
          </w:r>
          <w:r>
            <w:rPr>
              <w:sz w:val="21"/>
              <w:szCs w:val="21"/>
            </w:rPr>
            <w:t>）表决权股份的股东单位款项</w:t>
          </w:r>
          <w:r>
            <w:rPr>
              <w:rFonts w:ascii="Times New Roman" w:hAnsi="Times New Roman" w:cs="Times New Roman"/>
              <w:sz w:val="21"/>
              <w:szCs w:val="21"/>
            </w:rPr>
            <w:t>1,533,568.95</w:t>
          </w:r>
          <w:r>
            <w:rPr>
              <w:sz w:val="21"/>
              <w:szCs w:val="21"/>
            </w:rPr>
            <w:t>元，应付其他关联方余额合计</w:t>
          </w:r>
          <w:r>
            <w:rPr>
              <w:rFonts w:ascii="Times New Roman" w:hAnsi="Times New Roman" w:cs="Times New Roman"/>
              <w:sz w:val="21"/>
              <w:szCs w:val="21"/>
            </w:rPr>
            <w:t>27,779,766.72</w:t>
          </w:r>
          <w:r>
            <w:rPr>
              <w:sz w:val="21"/>
              <w:szCs w:val="21"/>
            </w:rPr>
            <w:t>元。</w:t>
          </w:r>
        </w:p>
      </w:sdtContent>
    </w:sdt>
    <w:p w14:paraId="799CC542" w14:textId="77777777" w:rsidR="002D0AE7" w:rsidRDefault="00333EBB">
      <w:pPr>
        <w:pStyle w:val="4"/>
        <w:numPr>
          <w:ilvl w:val="0"/>
          <w:numId w:val="58"/>
        </w:numPr>
        <w:tabs>
          <w:tab w:val="left" w:pos="588"/>
        </w:tabs>
        <w:rPr>
          <w:rFonts w:ascii="宋体" w:hAnsi="宋体" w:hint="eastAsia"/>
          <w:color w:val="000000" w:themeColor="text1"/>
          <w:kern w:val="0"/>
        </w:rPr>
      </w:pPr>
      <w:r>
        <w:rPr>
          <w:rFonts w:ascii="宋体" w:hAnsi="宋体" w:hint="eastAsia"/>
          <w:color w:val="000000" w:themeColor="text1"/>
          <w:kern w:val="0"/>
        </w:rPr>
        <w:t>账龄超过</w:t>
      </w:r>
      <w:r>
        <w:rPr>
          <w:rFonts w:ascii="宋体" w:hAnsi="宋体"/>
          <w:color w:val="000000" w:themeColor="text1"/>
          <w:kern w:val="0"/>
        </w:rPr>
        <w:t>1</w:t>
      </w:r>
      <w:r>
        <w:rPr>
          <w:rFonts w:ascii="宋体" w:hAnsi="宋体"/>
          <w:color w:val="000000" w:themeColor="text1"/>
          <w:kern w:val="0"/>
        </w:rPr>
        <w:t>年</w:t>
      </w:r>
      <w:r>
        <w:rPr>
          <w:rFonts w:ascii="宋体" w:hAnsi="宋体" w:hint="eastAsia"/>
          <w:color w:val="000000" w:themeColor="text1"/>
          <w:kern w:val="0"/>
        </w:rPr>
        <w:t>或逾期</w:t>
      </w:r>
      <w:r>
        <w:rPr>
          <w:rFonts w:ascii="宋体" w:hAnsi="宋体"/>
          <w:color w:val="000000" w:themeColor="text1"/>
          <w:kern w:val="0"/>
        </w:rPr>
        <w:t>的重要应付账款</w:t>
      </w:r>
    </w:p>
    <w:sdt>
      <w:sdtPr>
        <w:rPr>
          <w:color w:val="000000" w:themeColor="text1"/>
        </w:rPr>
        <w:alias w:val="是否适用：账龄超过1年的重要应付账款[双击切换]"/>
        <w:tag w:val="_GBC_02c6e7ed8ae149e8a09f5b80217deb89"/>
        <w:id w:val="278614905"/>
        <w:placeholder>
          <w:docPart w:val="GBC22222222222222222222222222222"/>
        </w:placeholder>
      </w:sdtPr>
      <w:sdtEndPr/>
      <w:sdtContent>
        <w:p w14:paraId="0E487D20"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0DF4E9C1"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重要的账龄超过1年的应付账款"/>
          <w:tag w:val="_GBC_4828fbb06386477f83dfc0c7b55875e7"/>
          <w:id w:val="-171657175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重要的账龄超过1年的应付账款"/>
          <w:tag w:val="_GBC_56837a7d36f94902b75d8fe132af82b6"/>
          <w:id w:val="150940168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2756"/>
        <w:gridCol w:w="2866"/>
      </w:tblGrid>
      <w:tr w:rsidR="002D0AE7" w14:paraId="20BAC40B" w14:textId="77777777">
        <w:sdt>
          <w:sdtPr>
            <w:rPr>
              <w:color w:val="000000" w:themeColor="text1"/>
              <w:sz w:val="21"/>
              <w:szCs w:val="21"/>
            </w:rPr>
            <w:tag w:val="_PLD_31272c72b1bc41e2a47d7fbfb0839e2b"/>
            <w:id w:val="1339807421"/>
          </w:sdtPr>
          <w:sdtEndPr/>
          <w:sdtContent>
            <w:tc>
              <w:tcPr>
                <w:tcW w:w="1814" w:type="pct"/>
                <w:shd w:val="clear" w:color="auto" w:fill="auto"/>
                <w:vAlign w:val="center"/>
              </w:tcPr>
              <w:p w14:paraId="07B83C47"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41b9d7d7e0c84d6c9f8c3a0a59e37c14"/>
            <w:id w:val="-2006574663"/>
          </w:sdtPr>
          <w:sdtEndPr/>
          <w:sdtContent>
            <w:tc>
              <w:tcPr>
                <w:tcW w:w="1562" w:type="pct"/>
                <w:shd w:val="clear" w:color="auto" w:fill="auto"/>
                <w:vAlign w:val="center"/>
              </w:tcPr>
              <w:p w14:paraId="41ED14E2"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sdt>
          <w:sdtPr>
            <w:rPr>
              <w:color w:val="000000" w:themeColor="text1"/>
              <w:sz w:val="21"/>
              <w:szCs w:val="21"/>
            </w:rPr>
            <w:tag w:val="_PLD_49e0f43ba09d42649fabb4ecc22986ca"/>
            <w:id w:val="588044653"/>
          </w:sdtPr>
          <w:sdtEndPr/>
          <w:sdtContent>
            <w:tc>
              <w:tcPr>
                <w:tcW w:w="1624" w:type="pct"/>
                <w:shd w:val="clear" w:color="auto" w:fill="auto"/>
                <w:vAlign w:val="center"/>
              </w:tcPr>
              <w:p w14:paraId="3F46F892" w14:textId="77777777" w:rsidR="002D0AE7" w:rsidRDefault="00333EBB">
                <w:pPr>
                  <w:jc w:val="center"/>
                  <w:rPr>
                    <w:rFonts w:hint="eastAsia"/>
                    <w:color w:val="000000" w:themeColor="text1"/>
                    <w:sz w:val="21"/>
                    <w:szCs w:val="21"/>
                  </w:rPr>
                </w:pPr>
                <w:r>
                  <w:rPr>
                    <w:rFonts w:hint="eastAsia"/>
                    <w:color w:val="000000" w:themeColor="text1"/>
                    <w:sz w:val="21"/>
                    <w:szCs w:val="21"/>
                  </w:rPr>
                  <w:t>未偿还或结转的原因</w:t>
                </w:r>
              </w:p>
            </w:tc>
          </w:sdtContent>
        </w:sdt>
      </w:tr>
      <w:tr w:rsidR="002D0AE7" w14:paraId="47EC6C54" w14:textId="77777777">
        <w:tc>
          <w:tcPr>
            <w:tcW w:w="1814" w:type="pct"/>
            <w:tcBorders>
              <w:bottom w:val="single" w:sz="4" w:space="0" w:color="auto"/>
            </w:tcBorders>
            <w:shd w:val="clear" w:color="auto" w:fill="auto"/>
          </w:tcPr>
          <w:p w14:paraId="37FFAD04" w14:textId="77777777" w:rsidR="002D0AE7" w:rsidRDefault="00333EBB">
            <w:pPr>
              <w:jc w:val="center"/>
              <w:rPr>
                <w:rFonts w:ascii="Times New Roman" w:hAnsi="Times New Roman" w:cs="Times New Roman"/>
                <w:sz w:val="21"/>
                <w:szCs w:val="21"/>
              </w:rPr>
            </w:pPr>
            <w:r>
              <w:rPr>
                <w:rFonts w:ascii="Times New Roman" w:hAnsi="Times New Roman" w:cs="Times New Roman"/>
                <w:sz w:val="21"/>
                <w:szCs w:val="21"/>
              </w:rPr>
              <w:t>1</w:t>
            </w:r>
          </w:p>
        </w:tc>
        <w:tc>
          <w:tcPr>
            <w:tcW w:w="1562" w:type="pct"/>
            <w:shd w:val="clear" w:color="auto" w:fill="auto"/>
          </w:tcPr>
          <w:p w14:paraId="669D562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5,126,957.00</w:t>
            </w:r>
          </w:p>
        </w:tc>
        <w:tc>
          <w:tcPr>
            <w:tcW w:w="1624" w:type="pct"/>
            <w:shd w:val="clear" w:color="auto" w:fill="auto"/>
          </w:tcPr>
          <w:p w14:paraId="3D0019D9" w14:textId="77777777" w:rsidR="002D0AE7" w:rsidRDefault="00333EBB">
            <w:pPr>
              <w:jc w:val="center"/>
              <w:rPr>
                <w:rFonts w:hint="eastAsia"/>
                <w:sz w:val="21"/>
                <w:szCs w:val="21"/>
              </w:rPr>
            </w:pPr>
            <w:r>
              <w:rPr>
                <w:sz w:val="21"/>
                <w:szCs w:val="21"/>
              </w:rPr>
              <w:t>尚未结算</w:t>
            </w:r>
          </w:p>
        </w:tc>
      </w:tr>
      <w:tr w:rsidR="002D0AE7" w14:paraId="5CD67FF5" w14:textId="77777777">
        <w:tc>
          <w:tcPr>
            <w:tcW w:w="1814" w:type="pct"/>
            <w:shd w:val="clear" w:color="auto" w:fill="auto"/>
            <w:vAlign w:val="center"/>
          </w:tcPr>
          <w:p w14:paraId="5404ABD4"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1562" w:type="pct"/>
            <w:shd w:val="clear" w:color="auto" w:fill="auto"/>
          </w:tcPr>
          <w:p w14:paraId="5240D1A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5,126,957.00</w:t>
            </w:r>
          </w:p>
        </w:tc>
        <w:tc>
          <w:tcPr>
            <w:tcW w:w="1624" w:type="pct"/>
            <w:shd w:val="clear" w:color="auto" w:fill="auto"/>
          </w:tcPr>
          <w:p w14:paraId="1BB72A17" w14:textId="77777777" w:rsidR="002D0AE7" w:rsidRDefault="00333EBB">
            <w:pPr>
              <w:jc w:val="center"/>
              <w:rPr>
                <w:rFonts w:hint="eastAsia"/>
                <w:color w:val="000000" w:themeColor="text1"/>
                <w:sz w:val="21"/>
                <w:szCs w:val="21"/>
              </w:rPr>
            </w:pPr>
            <w:r>
              <w:rPr>
                <w:rFonts w:hint="eastAsia"/>
                <w:color w:val="000000" w:themeColor="text1"/>
                <w:sz w:val="21"/>
                <w:szCs w:val="21"/>
              </w:rPr>
              <w:t>/</w:t>
            </w:r>
          </w:p>
        </w:tc>
      </w:tr>
    </w:tbl>
    <w:p w14:paraId="2BF7BE69"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szCs w:val="21"/>
        </w:rPr>
        <w:t>预收款项</w:t>
      </w:r>
    </w:p>
    <w:p w14:paraId="5A5084E8" w14:textId="77777777" w:rsidR="002D0AE7" w:rsidRDefault="00333EBB">
      <w:pPr>
        <w:pStyle w:val="4"/>
        <w:numPr>
          <w:ilvl w:val="0"/>
          <w:numId w:val="59"/>
        </w:numPr>
        <w:rPr>
          <w:rFonts w:ascii="宋体" w:hAnsi="宋体" w:hint="eastAsia"/>
          <w:color w:val="000000" w:themeColor="text1"/>
          <w:szCs w:val="21"/>
        </w:rPr>
      </w:pPr>
      <w:r>
        <w:rPr>
          <w:rFonts w:ascii="宋体" w:hAnsi="宋体" w:hint="eastAsia"/>
          <w:color w:val="000000" w:themeColor="text1"/>
          <w:szCs w:val="21"/>
        </w:rPr>
        <w:t>预收账款项列示</w:t>
      </w:r>
    </w:p>
    <w:sdt>
      <w:sdtPr>
        <w:rPr>
          <w:color w:val="000000" w:themeColor="text1"/>
        </w:rPr>
        <w:alias w:val="是否适用：预收账款项列示[双击切换]"/>
        <w:tag w:val="_GBC_cf9ab7f5f12c4f788a9bbb6e3ef9c9de"/>
        <w:id w:val="1111621315"/>
        <w:placeholder>
          <w:docPart w:val="GBC22222222222222222222222222222"/>
        </w:placeholder>
      </w:sdtPr>
      <w:sdtEndPr/>
      <w:sdtContent>
        <w:p w14:paraId="5E078C0D"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6294AB68"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预收账款情况"/>
          <w:tag w:val="_GBC_f4564e0d7a8a4a9589aae9168c4c8fdb"/>
          <w:id w:val="-48593888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预收账款情况"/>
          <w:tag w:val="_GBC_e993db46bf3641c59c10bd3e14a930d9"/>
          <w:id w:val="160044601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3002"/>
        <w:gridCol w:w="2996"/>
      </w:tblGrid>
      <w:tr w:rsidR="002D0AE7" w14:paraId="4166B43A" w14:textId="77777777">
        <w:sdt>
          <w:sdtPr>
            <w:rPr>
              <w:color w:val="000000" w:themeColor="text1"/>
              <w:sz w:val="21"/>
              <w:szCs w:val="21"/>
            </w:rPr>
            <w:tag w:val="_PLD_d5dd98b095374d108e2df93a96e434bb"/>
            <w:id w:val="-1388872417"/>
          </w:sdtPr>
          <w:sdtEndPr/>
          <w:sdtContent>
            <w:tc>
              <w:tcPr>
                <w:tcW w:w="1601" w:type="pct"/>
                <w:shd w:val="clear" w:color="auto" w:fill="auto"/>
              </w:tcPr>
              <w:p w14:paraId="7C80A911"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9fc077db74354318b54c7ec24cd1ce0c"/>
            <w:id w:val="1542941270"/>
          </w:sdtPr>
          <w:sdtEndPr/>
          <w:sdtContent>
            <w:tc>
              <w:tcPr>
                <w:tcW w:w="1701" w:type="pct"/>
                <w:shd w:val="clear" w:color="auto" w:fill="auto"/>
              </w:tcPr>
              <w:p w14:paraId="6EE2EDC7"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sdt>
          <w:sdtPr>
            <w:rPr>
              <w:color w:val="000000" w:themeColor="text1"/>
              <w:sz w:val="21"/>
              <w:szCs w:val="21"/>
            </w:rPr>
            <w:tag w:val="_PLD_aa9447699c054ad4b698586b835a3180"/>
            <w:id w:val="-1363974856"/>
          </w:sdtPr>
          <w:sdtEndPr/>
          <w:sdtContent>
            <w:tc>
              <w:tcPr>
                <w:tcW w:w="1698" w:type="pct"/>
                <w:shd w:val="clear" w:color="auto" w:fill="auto"/>
              </w:tcPr>
              <w:p w14:paraId="12C8EE32" w14:textId="77777777" w:rsidR="002D0AE7" w:rsidRDefault="00333EBB">
                <w:pPr>
                  <w:jc w:val="center"/>
                  <w:rPr>
                    <w:rFonts w:hint="eastAsia"/>
                    <w:color w:val="000000" w:themeColor="text1"/>
                    <w:sz w:val="21"/>
                    <w:szCs w:val="21"/>
                  </w:rPr>
                </w:pPr>
                <w:r>
                  <w:rPr>
                    <w:rFonts w:hint="eastAsia"/>
                    <w:color w:val="000000" w:themeColor="text1"/>
                    <w:sz w:val="21"/>
                    <w:szCs w:val="21"/>
                  </w:rPr>
                  <w:t>期初余额</w:t>
                </w:r>
              </w:p>
            </w:tc>
          </w:sdtContent>
        </w:sdt>
      </w:tr>
      <w:tr w:rsidR="002D0AE7" w14:paraId="52A37D94" w14:textId="77777777">
        <w:tc>
          <w:tcPr>
            <w:tcW w:w="1601" w:type="pct"/>
            <w:shd w:val="clear" w:color="auto" w:fill="auto"/>
          </w:tcPr>
          <w:p w14:paraId="1C1CFA87" w14:textId="77777777" w:rsidR="002D0AE7" w:rsidRDefault="00333EBB">
            <w:pPr>
              <w:jc w:val="center"/>
              <w:rPr>
                <w:rFonts w:hint="eastAsia"/>
                <w:sz w:val="21"/>
                <w:szCs w:val="21"/>
              </w:rPr>
            </w:pPr>
            <w:r>
              <w:rPr>
                <w:sz w:val="21"/>
                <w:szCs w:val="21"/>
              </w:rPr>
              <w:t>预收账款</w:t>
            </w:r>
          </w:p>
        </w:tc>
        <w:tc>
          <w:tcPr>
            <w:tcW w:w="1701" w:type="pct"/>
            <w:shd w:val="clear" w:color="auto" w:fill="auto"/>
          </w:tcPr>
          <w:p w14:paraId="1EC3BE4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477,823.16</w:t>
            </w:r>
          </w:p>
        </w:tc>
        <w:tc>
          <w:tcPr>
            <w:tcW w:w="1698" w:type="pct"/>
            <w:shd w:val="clear" w:color="auto" w:fill="auto"/>
          </w:tcPr>
          <w:p w14:paraId="566743D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475,900.16</w:t>
            </w:r>
          </w:p>
        </w:tc>
      </w:tr>
      <w:tr w:rsidR="002D0AE7" w14:paraId="4E076099" w14:textId="77777777">
        <w:tc>
          <w:tcPr>
            <w:tcW w:w="1601" w:type="pct"/>
            <w:shd w:val="clear" w:color="auto" w:fill="auto"/>
          </w:tcPr>
          <w:p w14:paraId="6515801D"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1701" w:type="pct"/>
            <w:shd w:val="clear" w:color="auto" w:fill="auto"/>
            <w:vAlign w:val="center"/>
          </w:tcPr>
          <w:p w14:paraId="04E0C13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477,823.16</w:t>
            </w:r>
          </w:p>
        </w:tc>
        <w:tc>
          <w:tcPr>
            <w:tcW w:w="1698" w:type="pct"/>
            <w:shd w:val="clear" w:color="auto" w:fill="auto"/>
            <w:vAlign w:val="center"/>
          </w:tcPr>
          <w:p w14:paraId="3D6104F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475,900.16</w:t>
            </w:r>
          </w:p>
        </w:tc>
      </w:tr>
    </w:tbl>
    <w:p w14:paraId="0C11BFA0" w14:textId="77777777" w:rsidR="002D0AE7" w:rsidRDefault="00333EBB">
      <w:pPr>
        <w:rPr>
          <w:rFonts w:hint="eastAsia"/>
          <w:color w:val="000000" w:themeColor="text1"/>
        </w:rPr>
      </w:pPr>
      <w:r>
        <w:rPr>
          <w:rFonts w:hint="eastAsia"/>
          <w:color w:val="000000" w:themeColor="text1"/>
        </w:rPr>
        <w:t>其他说明：</w:t>
      </w:r>
    </w:p>
    <w:sdt>
      <w:sdtPr>
        <w:rPr>
          <w:color w:val="000000" w:themeColor="text1"/>
        </w:rPr>
        <w:alias w:val="是否适用：预收账款的其他说明[双击切换]"/>
        <w:tag w:val="_GBC_f473b6b28a104ffc812e6da4cf5177e5"/>
        <w:id w:val="-157237864"/>
        <w:placeholder>
          <w:docPart w:val="GBC22222222222222222222222222222"/>
        </w:placeholder>
      </w:sdtPr>
      <w:sdtEndPr/>
      <w:sdtContent>
        <w:p w14:paraId="1FF12223"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预收账款的其他说明"/>
        <w:tag w:val="_GBC_b8db95ae8fdb4ee6b08199edc79a282c"/>
        <w:id w:val="-787738266"/>
        <w:placeholder>
          <w:docPart w:val="BED05D58EE43485891CB82125E777414"/>
        </w:placeholder>
      </w:sdtPr>
      <w:sdtEndPr/>
      <w:sdtContent>
        <w:p w14:paraId="00B7575C" w14:textId="77777777" w:rsidR="002D0AE7" w:rsidRDefault="00333EBB">
          <w:pPr>
            <w:rPr>
              <w:rFonts w:hint="eastAsia"/>
            </w:rPr>
          </w:pPr>
          <w:r>
            <w:rPr>
              <w:rFonts w:hint="eastAsia"/>
              <w:color w:val="000000" w:themeColor="text1"/>
              <w:sz w:val="21"/>
              <w:szCs w:val="21"/>
            </w:rPr>
            <w:t>本账户期末余额中无预收持本公司</w:t>
          </w:r>
          <w:r>
            <w:rPr>
              <w:rFonts w:ascii="Times New Roman" w:hAnsi="Times New Roman" w:cs="Times New Roman"/>
              <w:color w:val="000000" w:themeColor="text1"/>
              <w:sz w:val="21"/>
              <w:szCs w:val="21"/>
            </w:rPr>
            <w:t>5%</w:t>
          </w:r>
          <w:r>
            <w:rPr>
              <w:color w:val="000000" w:themeColor="text1"/>
              <w:sz w:val="21"/>
              <w:szCs w:val="21"/>
            </w:rPr>
            <w:t>以上（含</w:t>
          </w:r>
          <w:r>
            <w:rPr>
              <w:rFonts w:ascii="Times New Roman" w:hAnsi="Times New Roman" w:cs="Times New Roman"/>
              <w:color w:val="000000" w:themeColor="text1"/>
              <w:sz w:val="21"/>
              <w:szCs w:val="21"/>
            </w:rPr>
            <w:t>5%</w:t>
          </w:r>
          <w:r>
            <w:rPr>
              <w:color w:val="000000" w:themeColor="text1"/>
              <w:sz w:val="21"/>
              <w:szCs w:val="21"/>
            </w:rPr>
            <w:t>）表决权股份的股东单位款项；预收其他关联方款项余额</w:t>
          </w:r>
          <w:r>
            <w:rPr>
              <w:rFonts w:ascii="Times New Roman" w:hAnsi="Times New Roman" w:cs="Times New Roman"/>
              <w:color w:val="000000" w:themeColor="text1"/>
              <w:sz w:val="21"/>
              <w:szCs w:val="21"/>
            </w:rPr>
            <w:t>424,413.41</w:t>
          </w:r>
          <w:r>
            <w:rPr>
              <w:color w:val="000000" w:themeColor="text1"/>
              <w:sz w:val="21"/>
              <w:szCs w:val="21"/>
            </w:rPr>
            <w:t>元。</w:t>
          </w:r>
        </w:p>
      </w:sdtContent>
    </w:sdt>
    <w:p w14:paraId="149F1235" w14:textId="77777777" w:rsidR="002D0AE7" w:rsidRDefault="00333EBB">
      <w:pPr>
        <w:pStyle w:val="3"/>
        <w:numPr>
          <w:ilvl w:val="0"/>
          <w:numId w:val="43"/>
        </w:numPr>
        <w:tabs>
          <w:tab w:val="left" w:pos="504"/>
        </w:tabs>
        <w:rPr>
          <w:rFonts w:ascii="宋体" w:hAnsi="宋体" w:hint="eastAsia"/>
          <w:color w:val="000000" w:themeColor="text1"/>
          <w:szCs w:val="21"/>
        </w:rPr>
      </w:pPr>
      <w:bookmarkStart w:id="198" w:name="_Hlk10535609"/>
      <w:r>
        <w:rPr>
          <w:rFonts w:ascii="宋体" w:hAnsi="宋体" w:hint="eastAsia"/>
          <w:color w:val="000000" w:themeColor="text1"/>
          <w:szCs w:val="21"/>
        </w:rPr>
        <w:t>合同负债</w:t>
      </w:r>
    </w:p>
    <w:p w14:paraId="358A2E0F" w14:textId="77777777" w:rsidR="002D0AE7" w:rsidRDefault="00333EBB">
      <w:pPr>
        <w:pStyle w:val="4"/>
        <w:numPr>
          <w:ilvl w:val="0"/>
          <w:numId w:val="60"/>
        </w:numPr>
        <w:rPr>
          <w:rFonts w:ascii="宋体" w:hAnsi="宋体" w:hint="eastAsia"/>
          <w:color w:val="000000" w:themeColor="text1"/>
        </w:rPr>
      </w:pPr>
      <w:r>
        <w:rPr>
          <w:rFonts w:ascii="宋体" w:hAnsi="宋体" w:hint="eastAsia"/>
          <w:color w:val="000000" w:themeColor="text1"/>
        </w:rPr>
        <w:t>合同负债情况</w:t>
      </w:r>
    </w:p>
    <w:sdt>
      <w:sdtPr>
        <w:rPr>
          <w:color w:val="000000" w:themeColor="text1"/>
        </w:rPr>
        <w:alias w:val="是否适用：合同负债情况[双击切换]"/>
        <w:tag w:val="_GBC_2b6238a8ea00438eab947f83a5f6451d"/>
        <w:id w:val="-916312979"/>
        <w:placeholder>
          <w:docPart w:val="GBC22222222222222222222222222222"/>
        </w:placeholder>
      </w:sdtPr>
      <w:sdtEndPr/>
      <w:sdtContent>
        <w:p w14:paraId="1115BA46"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0997CFDF" w14:textId="77777777" w:rsidR="002D0AE7" w:rsidRDefault="00333EBB">
      <w:pPr>
        <w:ind w:left="360"/>
        <w:jc w:val="right"/>
        <w:rPr>
          <w:rFonts w:hint="eastAsia"/>
          <w:color w:val="000000" w:themeColor="text1"/>
        </w:rPr>
      </w:pPr>
      <w:r>
        <w:rPr>
          <w:rFonts w:hint="eastAsia"/>
          <w:color w:val="000000" w:themeColor="text1"/>
        </w:rPr>
        <w:t>单位：</w:t>
      </w:r>
      <w:sdt>
        <w:sdtPr>
          <w:rPr>
            <w:rFonts w:hint="eastAsia"/>
            <w:color w:val="000000" w:themeColor="text1"/>
          </w:rPr>
          <w:alias w:val="单位：合同负债情况"/>
          <w:tag w:val="_GBC_0024c0ddc3514b009e8166b63dc10ae9"/>
          <w:id w:val="-145731809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合同负债情况"/>
          <w:tag w:val="_GBC_154d9411b9764a4f8e1412d0a22c8375"/>
          <w:id w:val="22026847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3002"/>
        <w:gridCol w:w="2996"/>
      </w:tblGrid>
      <w:tr w:rsidR="002D0AE7" w14:paraId="105750F2" w14:textId="77777777">
        <w:bookmarkEnd w:id="198" w:displacedByCustomXml="next"/>
        <w:bookmarkStart w:id="199" w:name="_Hlk167960548" w:displacedByCustomXml="next"/>
        <w:sdt>
          <w:sdtPr>
            <w:rPr>
              <w:color w:val="000000" w:themeColor="text1"/>
              <w:sz w:val="21"/>
              <w:szCs w:val="21"/>
            </w:rPr>
            <w:tag w:val="_PLD_c5e783ac966e416184ff57e436f98be2"/>
            <w:id w:val="-678505979"/>
          </w:sdtPr>
          <w:sdtEndPr/>
          <w:sdtContent>
            <w:tc>
              <w:tcPr>
                <w:tcW w:w="1601" w:type="pct"/>
                <w:shd w:val="clear" w:color="auto" w:fill="auto"/>
              </w:tcPr>
              <w:p w14:paraId="200E5995"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a4f8a9567271447e9f7bc01f59c6eed6"/>
            <w:id w:val="-2107797021"/>
          </w:sdtPr>
          <w:sdtEndPr/>
          <w:sdtContent>
            <w:tc>
              <w:tcPr>
                <w:tcW w:w="1701" w:type="pct"/>
                <w:shd w:val="clear" w:color="auto" w:fill="auto"/>
                <w:vAlign w:val="center"/>
              </w:tcPr>
              <w:p w14:paraId="618F6C1D" w14:textId="77777777" w:rsidR="002D0AE7" w:rsidRDefault="00333EBB">
                <w:pPr>
                  <w:autoSpaceDE w:val="0"/>
                  <w:autoSpaceDN w:val="0"/>
                  <w:adjustRightInd w:val="0"/>
                  <w:snapToGrid w:val="0"/>
                  <w:spacing w:line="240" w:lineRule="atLeast"/>
                  <w:jc w:val="center"/>
                  <w:rPr>
                    <w:rFonts w:hint="eastAsia"/>
                    <w:color w:val="000000" w:themeColor="text1"/>
                    <w:sz w:val="21"/>
                    <w:szCs w:val="21"/>
                  </w:rPr>
                </w:pPr>
                <w:r>
                  <w:rPr>
                    <w:rFonts w:hint="eastAsia"/>
                    <w:color w:val="000000" w:themeColor="text1"/>
                    <w:sz w:val="21"/>
                    <w:szCs w:val="21"/>
                  </w:rPr>
                  <w:t>期末余额</w:t>
                </w:r>
              </w:p>
            </w:tc>
          </w:sdtContent>
        </w:sdt>
        <w:sdt>
          <w:sdtPr>
            <w:rPr>
              <w:color w:val="000000" w:themeColor="text1"/>
              <w:sz w:val="21"/>
              <w:szCs w:val="21"/>
            </w:rPr>
            <w:tag w:val="_PLD_b8f751ec83834a96b0e87c862d2ae80b"/>
            <w:id w:val="424003713"/>
          </w:sdtPr>
          <w:sdtEndPr/>
          <w:sdtContent>
            <w:tc>
              <w:tcPr>
                <w:tcW w:w="1698" w:type="pct"/>
                <w:shd w:val="clear" w:color="auto" w:fill="auto"/>
                <w:vAlign w:val="center"/>
              </w:tcPr>
              <w:p w14:paraId="56337D35" w14:textId="77777777" w:rsidR="002D0AE7" w:rsidRDefault="00333EBB">
                <w:pPr>
                  <w:autoSpaceDE w:val="0"/>
                  <w:autoSpaceDN w:val="0"/>
                  <w:adjustRightInd w:val="0"/>
                  <w:snapToGrid w:val="0"/>
                  <w:spacing w:line="240" w:lineRule="atLeast"/>
                  <w:jc w:val="center"/>
                  <w:rPr>
                    <w:rFonts w:hint="eastAsia"/>
                    <w:color w:val="000000" w:themeColor="text1"/>
                    <w:sz w:val="21"/>
                    <w:szCs w:val="21"/>
                  </w:rPr>
                </w:pPr>
                <w:r>
                  <w:rPr>
                    <w:rFonts w:hint="eastAsia"/>
                    <w:color w:val="000000" w:themeColor="text1"/>
                    <w:sz w:val="21"/>
                    <w:szCs w:val="21"/>
                  </w:rPr>
                  <w:t>期初余额</w:t>
                </w:r>
              </w:p>
            </w:tc>
          </w:sdtContent>
        </w:sdt>
      </w:tr>
      <w:tr w:rsidR="002D0AE7" w14:paraId="545F6ED1" w14:textId="77777777">
        <w:tc>
          <w:tcPr>
            <w:tcW w:w="1601" w:type="pct"/>
            <w:shd w:val="clear" w:color="auto" w:fill="auto"/>
          </w:tcPr>
          <w:p w14:paraId="00C8FC9B" w14:textId="77777777" w:rsidR="002D0AE7" w:rsidRDefault="00333EBB">
            <w:pPr>
              <w:jc w:val="center"/>
              <w:rPr>
                <w:rFonts w:hint="eastAsia"/>
                <w:sz w:val="21"/>
                <w:szCs w:val="21"/>
              </w:rPr>
            </w:pPr>
            <w:r>
              <w:rPr>
                <w:sz w:val="21"/>
                <w:szCs w:val="21"/>
              </w:rPr>
              <w:t>预收商品销售款</w:t>
            </w:r>
          </w:p>
        </w:tc>
        <w:tc>
          <w:tcPr>
            <w:tcW w:w="1701" w:type="pct"/>
            <w:shd w:val="clear" w:color="auto" w:fill="auto"/>
          </w:tcPr>
          <w:p w14:paraId="398F6BA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90,202,823.48</w:t>
            </w:r>
          </w:p>
        </w:tc>
        <w:tc>
          <w:tcPr>
            <w:tcW w:w="1698" w:type="pct"/>
            <w:shd w:val="clear" w:color="auto" w:fill="auto"/>
          </w:tcPr>
          <w:p w14:paraId="4E209E2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137,185,487.05</w:t>
            </w:r>
          </w:p>
        </w:tc>
      </w:tr>
      <w:tr w:rsidR="002D0AE7" w14:paraId="6707F702" w14:textId="77777777">
        <w:tc>
          <w:tcPr>
            <w:tcW w:w="1601" w:type="pct"/>
            <w:shd w:val="clear" w:color="auto" w:fill="auto"/>
          </w:tcPr>
          <w:p w14:paraId="6C2B3A6A"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1701" w:type="pct"/>
            <w:shd w:val="clear" w:color="auto" w:fill="auto"/>
            <w:vAlign w:val="center"/>
          </w:tcPr>
          <w:p w14:paraId="516CE35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90,202,823.48</w:t>
            </w:r>
          </w:p>
        </w:tc>
        <w:tc>
          <w:tcPr>
            <w:tcW w:w="1698" w:type="pct"/>
            <w:shd w:val="clear" w:color="auto" w:fill="auto"/>
            <w:vAlign w:val="center"/>
          </w:tcPr>
          <w:p w14:paraId="5959D9D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137,185,487.05</w:t>
            </w:r>
          </w:p>
        </w:tc>
      </w:tr>
    </w:tbl>
    <w:p w14:paraId="379BEE01" w14:textId="77777777" w:rsidR="002D0AE7" w:rsidRDefault="00333EBB">
      <w:pPr>
        <w:rPr>
          <w:rFonts w:hint="eastAsia"/>
          <w:color w:val="000000" w:themeColor="text1"/>
        </w:rPr>
      </w:pPr>
      <w:bookmarkStart w:id="200" w:name="_Hlk10535687"/>
      <w:bookmarkStart w:id="201" w:name="_Hlk10535696"/>
      <w:bookmarkEnd w:id="199"/>
      <w:r>
        <w:rPr>
          <w:rFonts w:hint="eastAsia"/>
          <w:color w:val="000000" w:themeColor="text1"/>
        </w:rPr>
        <w:t>其他说明：</w:t>
      </w:r>
      <w:bookmarkEnd w:id="200"/>
    </w:p>
    <w:sdt>
      <w:sdtPr>
        <w:rPr>
          <w:color w:val="000000" w:themeColor="text1"/>
        </w:rPr>
        <w:alias w:val="是否适用：合同负债其他说明[双击切换]"/>
        <w:tag w:val="_GBC_f73cf097b72042508657c656d4dc0c08"/>
        <w:id w:val="486521927"/>
        <w:placeholder>
          <w:docPart w:val="GBC22222222222222222222222222222"/>
        </w:placeholder>
      </w:sdtPr>
      <w:sdtEndPr/>
      <w:sdtContent>
        <w:p w14:paraId="740673E0"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合同负债其他说明"/>
        <w:tag w:val="_GBC_0797daeaea704437a372be9b93f1c1d4"/>
        <w:id w:val="1604685302"/>
        <w:placeholder>
          <w:docPart w:val="GBC22222222222222222222222222222"/>
        </w:placeholder>
      </w:sdtPr>
      <w:sdtEndPr>
        <w:rPr>
          <w:sz w:val="21"/>
          <w:szCs w:val="21"/>
        </w:rPr>
      </w:sdtEndPr>
      <w:sdtContent>
        <w:p w14:paraId="36985E93" w14:textId="77777777" w:rsidR="002D0AE7" w:rsidRDefault="00333EBB">
          <w:pPr>
            <w:rPr>
              <w:rFonts w:hint="eastAsia"/>
              <w:color w:val="000000" w:themeColor="text1"/>
              <w:sz w:val="21"/>
              <w:szCs w:val="21"/>
            </w:rPr>
          </w:pPr>
          <w:r>
            <w:rPr>
              <w:rFonts w:hint="eastAsia"/>
              <w:color w:val="000000" w:themeColor="text1"/>
              <w:sz w:val="21"/>
              <w:szCs w:val="21"/>
            </w:rPr>
            <w:t>本账户期末余额中持本公司</w:t>
          </w:r>
          <w:r>
            <w:rPr>
              <w:rFonts w:ascii="Times New Roman" w:hAnsi="Times New Roman" w:cs="Times New Roman"/>
              <w:color w:val="000000" w:themeColor="text1"/>
              <w:sz w:val="21"/>
              <w:szCs w:val="21"/>
            </w:rPr>
            <w:t>5%</w:t>
          </w:r>
          <w:r>
            <w:rPr>
              <w:color w:val="000000" w:themeColor="text1"/>
              <w:sz w:val="21"/>
              <w:szCs w:val="21"/>
            </w:rPr>
            <w:t>以上</w:t>
          </w:r>
          <w:r>
            <w:rPr>
              <w:color w:val="000000" w:themeColor="text1"/>
              <w:sz w:val="21"/>
              <w:szCs w:val="21"/>
            </w:rPr>
            <w:t>(</w:t>
          </w:r>
          <w:r>
            <w:rPr>
              <w:color w:val="000000" w:themeColor="text1"/>
              <w:sz w:val="21"/>
              <w:szCs w:val="21"/>
            </w:rPr>
            <w:t>含</w:t>
          </w:r>
          <w:r>
            <w:rPr>
              <w:rFonts w:ascii="Times New Roman" w:hAnsi="Times New Roman" w:cs="Times New Roman"/>
              <w:color w:val="000000" w:themeColor="text1"/>
              <w:sz w:val="21"/>
              <w:szCs w:val="21"/>
            </w:rPr>
            <w:t>5%</w:t>
          </w:r>
          <w:r>
            <w:rPr>
              <w:color w:val="000000" w:themeColor="text1"/>
              <w:sz w:val="21"/>
              <w:szCs w:val="21"/>
            </w:rPr>
            <w:t>)</w:t>
          </w:r>
          <w:r>
            <w:rPr>
              <w:color w:val="000000" w:themeColor="text1"/>
              <w:sz w:val="21"/>
              <w:szCs w:val="21"/>
            </w:rPr>
            <w:t>表决权股份的股东单位合同负债</w:t>
          </w:r>
          <w:r>
            <w:rPr>
              <w:rFonts w:ascii="Times New Roman" w:hAnsi="Times New Roman" w:cs="Times New Roman"/>
              <w:color w:val="000000" w:themeColor="text1"/>
              <w:sz w:val="21"/>
              <w:szCs w:val="21"/>
            </w:rPr>
            <w:t>247,787.61</w:t>
          </w:r>
          <w:r>
            <w:rPr>
              <w:color w:val="000000" w:themeColor="text1"/>
              <w:sz w:val="21"/>
              <w:szCs w:val="21"/>
            </w:rPr>
            <w:t>元，其他关联方合同负债余额</w:t>
          </w:r>
          <w:r>
            <w:rPr>
              <w:rFonts w:ascii="Times New Roman" w:hAnsi="Times New Roman" w:cs="Times New Roman"/>
              <w:color w:val="000000" w:themeColor="text1"/>
              <w:sz w:val="21"/>
              <w:szCs w:val="21"/>
            </w:rPr>
            <w:t>1,679,219.38</w:t>
          </w:r>
          <w:r>
            <w:rPr>
              <w:color w:val="000000" w:themeColor="text1"/>
              <w:sz w:val="21"/>
              <w:szCs w:val="21"/>
            </w:rPr>
            <w:t>元。</w:t>
          </w:r>
        </w:p>
      </w:sdtContent>
    </w:sdt>
    <w:bookmarkEnd w:id="201"/>
    <w:p w14:paraId="0E70ED2B"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szCs w:val="21"/>
        </w:rPr>
        <w:t>应付职工薪酬</w:t>
      </w:r>
    </w:p>
    <w:p w14:paraId="1D475434" w14:textId="77777777" w:rsidR="002D0AE7" w:rsidRDefault="00333EBB">
      <w:pPr>
        <w:pStyle w:val="4"/>
        <w:numPr>
          <w:ilvl w:val="0"/>
          <w:numId w:val="61"/>
        </w:numPr>
        <w:rPr>
          <w:rFonts w:ascii="宋体" w:hAnsi="宋体" w:hint="eastAsia"/>
          <w:color w:val="000000" w:themeColor="text1"/>
        </w:rPr>
      </w:pPr>
      <w:r>
        <w:rPr>
          <w:rFonts w:ascii="宋体" w:hAnsi="宋体" w:hint="eastAsia"/>
          <w:color w:val="000000" w:themeColor="text1"/>
        </w:rPr>
        <w:t>应付职工薪酬列示</w:t>
      </w:r>
    </w:p>
    <w:sdt>
      <w:sdtPr>
        <w:rPr>
          <w:color w:val="000000" w:themeColor="text1"/>
        </w:rPr>
        <w:alias w:val="是否适用：应付职工薪酬列示[双击切换]"/>
        <w:tag w:val="_GBC_88faccc480a843dca589c1af0d3fee37"/>
        <w:id w:val="-2111121610"/>
        <w:placeholder>
          <w:docPart w:val="GBC22222222222222222222222222222"/>
        </w:placeholder>
      </w:sdtPr>
      <w:sdtEndPr/>
      <w:sdtContent>
        <w:p w14:paraId="5476109A"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5067C93F"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应付职工薪酬"/>
          <w:tag w:val="_GBC_5c4cdcd7cd924c4ca8e87f806bc459b0"/>
          <w:id w:val="-161073510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应付职工薪酬"/>
          <w:tag w:val="_GBC_1b7f0fd0ca54470ca12f1037c092be9a"/>
          <w:id w:val="55821058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4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1"/>
        <w:gridCol w:w="1570"/>
        <w:gridCol w:w="1568"/>
        <w:gridCol w:w="1570"/>
        <w:gridCol w:w="1579"/>
      </w:tblGrid>
      <w:tr w:rsidR="002D0AE7" w14:paraId="13422266" w14:textId="77777777">
        <w:trPr>
          <w:jc w:val="center"/>
        </w:trPr>
        <w:sdt>
          <w:sdtPr>
            <w:rPr>
              <w:color w:val="000000" w:themeColor="text1"/>
              <w:sz w:val="21"/>
              <w:szCs w:val="21"/>
            </w:rPr>
            <w:tag w:val="_PLD_481bea2acb8f49ac9b4cfc92cd4a426e"/>
            <w:id w:val="397865642"/>
          </w:sdtPr>
          <w:sdtEndPr/>
          <w:sdtContent>
            <w:tc>
              <w:tcPr>
                <w:tcW w:w="1704" w:type="pct"/>
                <w:shd w:val="clear" w:color="auto" w:fill="auto"/>
                <w:vAlign w:val="center"/>
              </w:tcPr>
              <w:p w14:paraId="38A065E8"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ff27c0f5bcb94d9b932762b91edf2ff1"/>
            <w:id w:val="-729694545"/>
          </w:sdtPr>
          <w:sdtEndPr/>
          <w:sdtContent>
            <w:tc>
              <w:tcPr>
                <w:tcW w:w="823" w:type="pct"/>
                <w:shd w:val="clear" w:color="auto" w:fill="auto"/>
                <w:vAlign w:val="center"/>
              </w:tcPr>
              <w:p w14:paraId="7C723DF5" w14:textId="77777777" w:rsidR="002D0AE7" w:rsidRDefault="00333EBB">
                <w:pPr>
                  <w:jc w:val="center"/>
                  <w:rPr>
                    <w:rFonts w:hint="eastAsia"/>
                    <w:color w:val="000000" w:themeColor="text1"/>
                    <w:sz w:val="21"/>
                    <w:szCs w:val="21"/>
                  </w:rPr>
                </w:pPr>
                <w:r>
                  <w:rPr>
                    <w:rFonts w:hint="eastAsia"/>
                    <w:color w:val="000000" w:themeColor="text1"/>
                    <w:sz w:val="21"/>
                    <w:szCs w:val="21"/>
                  </w:rPr>
                  <w:t>期初余额</w:t>
                </w:r>
              </w:p>
            </w:tc>
          </w:sdtContent>
        </w:sdt>
        <w:sdt>
          <w:sdtPr>
            <w:rPr>
              <w:color w:val="000000" w:themeColor="text1"/>
              <w:sz w:val="21"/>
              <w:szCs w:val="21"/>
            </w:rPr>
            <w:tag w:val="_PLD_7274636f27ae4e048ade60bfddaa8164"/>
            <w:id w:val="-1380399562"/>
          </w:sdtPr>
          <w:sdtEndPr/>
          <w:sdtContent>
            <w:tc>
              <w:tcPr>
                <w:tcW w:w="822" w:type="pct"/>
                <w:shd w:val="clear" w:color="auto" w:fill="auto"/>
                <w:vAlign w:val="center"/>
              </w:tcPr>
              <w:p w14:paraId="45BFE78D" w14:textId="77777777" w:rsidR="002D0AE7" w:rsidRDefault="00333EBB">
                <w:pPr>
                  <w:jc w:val="center"/>
                  <w:rPr>
                    <w:rFonts w:hint="eastAsia"/>
                    <w:color w:val="000000" w:themeColor="text1"/>
                    <w:sz w:val="21"/>
                    <w:szCs w:val="21"/>
                  </w:rPr>
                </w:pPr>
                <w:r>
                  <w:rPr>
                    <w:rFonts w:hint="eastAsia"/>
                    <w:color w:val="000000" w:themeColor="text1"/>
                    <w:sz w:val="21"/>
                    <w:szCs w:val="21"/>
                  </w:rPr>
                  <w:t>本期增加</w:t>
                </w:r>
              </w:p>
            </w:tc>
          </w:sdtContent>
        </w:sdt>
        <w:sdt>
          <w:sdtPr>
            <w:rPr>
              <w:color w:val="000000" w:themeColor="text1"/>
              <w:sz w:val="21"/>
              <w:szCs w:val="21"/>
            </w:rPr>
            <w:tag w:val="_PLD_07ae572963de436aa2308d649a28c23b"/>
            <w:id w:val="1638534794"/>
          </w:sdtPr>
          <w:sdtEndPr/>
          <w:sdtContent>
            <w:tc>
              <w:tcPr>
                <w:tcW w:w="823" w:type="pct"/>
                <w:shd w:val="clear" w:color="auto" w:fill="auto"/>
                <w:vAlign w:val="center"/>
              </w:tcPr>
              <w:p w14:paraId="6E22D653" w14:textId="77777777" w:rsidR="002D0AE7" w:rsidRDefault="00333EBB">
                <w:pPr>
                  <w:jc w:val="center"/>
                  <w:rPr>
                    <w:rFonts w:hint="eastAsia"/>
                    <w:color w:val="000000" w:themeColor="text1"/>
                    <w:sz w:val="21"/>
                    <w:szCs w:val="21"/>
                  </w:rPr>
                </w:pPr>
                <w:r>
                  <w:rPr>
                    <w:rFonts w:hint="eastAsia"/>
                    <w:color w:val="000000" w:themeColor="text1"/>
                    <w:sz w:val="21"/>
                    <w:szCs w:val="21"/>
                  </w:rPr>
                  <w:t>本期减少</w:t>
                </w:r>
              </w:p>
            </w:tc>
          </w:sdtContent>
        </w:sdt>
        <w:sdt>
          <w:sdtPr>
            <w:rPr>
              <w:color w:val="000000" w:themeColor="text1"/>
              <w:sz w:val="21"/>
              <w:szCs w:val="21"/>
            </w:rPr>
            <w:tag w:val="_PLD_27069329d7654e34bc45ca7dee532204"/>
            <w:id w:val="-5374583"/>
          </w:sdtPr>
          <w:sdtEndPr/>
          <w:sdtContent>
            <w:tc>
              <w:tcPr>
                <w:tcW w:w="828" w:type="pct"/>
                <w:shd w:val="clear" w:color="auto" w:fill="auto"/>
                <w:vAlign w:val="center"/>
              </w:tcPr>
              <w:p w14:paraId="498520A4"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tr>
      <w:tr w:rsidR="002D0AE7" w14:paraId="050C0CE9" w14:textId="77777777">
        <w:trPr>
          <w:jc w:val="center"/>
        </w:trPr>
        <w:tc>
          <w:tcPr>
            <w:tcW w:w="1704" w:type="pct"/>
            <w:shd w:val="clear" w:color="auto" w:fill="auto"/>
          </w:tcPr>
          <w:p w14:paraId="6B2E6F54" w14:textId="77777777" w:rsidR="002D0AE7" w:rsidRDefault="00333EBB">
            <w:pPr>
              <w:rPr>
                <w:rFonts w:hint="eastAsia"/>
                <w:color w:val="000000" w:themeColor="text1"/>
                <w:sz w:val="21"/>
                <w:szCs w:val="21"/>
              </w:rPr>
            </w:pPr>
            <w:r>
              <w:rPr>
                <w:rFonts w:hint="eastAsia"/>
                <w:color w:val="000000" w:themeColor="text1"/>
                <w:sz w:val="21"/>
                <w:szCs w:val="21"/>
              </w:rPr>
              <w:t>一、短期薪酬</w:t>
            </w:r>
          </w:p>
        </w:tc>
        <w:tc>
          <w:tcPr>
            <w:tcW w:w="823" w:type="pct"/>
            <w:shd w:val="clear" w:color="auto" w:fill="auto"/>
          </w:tcPr>
          <w:p w14:paraId="6F71E64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98,984,773.38</w:t>
            </w:r>
          </w:p>
        </w:tc>
        <w:tc>
          <w:tcPr>
            <w:tcW w:w="822" w:type="pct"/>
            <w:shd w:val="clear" w:color="auto" w:fill="auto"/>
          </w:tcPr>
          <w:p w14:paraId="7F9BCF8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238,058,219.95</w:t>
            </w:r>
          </w:p>
        </w:tc>
        <w:tc>
          <w:tcPr>
            <w:tcW w:w="823" w:type="pct"/>
            <w:shd w:val="clear" w:color="auto" w:fill="auto"/>
          </w:tcPr>
          <w:p w14:paraId="1775BF5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257,998,553.30</w:t>
            </w:r>
          </w:p>
        </w:tc>
        <w:tc>
          <w:tcPr>
            <w:tcW w:w="828" w:type="pct"/>
            <w:shd w:val="clear" w:color="auto" w:fill="auto"/>
          </w:tcPr>
          <w:p w14:paraId="1B396CB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79,044,440.03</w:t>
            </w:r>
          </w:p>
        </w:tc>
      </w:tr>
      <w:tr w:rsidR="002D0AE7" w14:paraId="7C843037" w14:textId="77777777">
        <w:trPr>
          <w:jc w:val="center"/>
        </w:trPr>
        <w:tc>
          <w:tcPr>
            <w:tcW w:w="1704" w:type="pct"/>
            <w:shd w:val="clear" w:color="auto" w:fill="auto"/>
          </w:tcPr>
          <w:p w14:paraId="3A58001D" w14:textId="77777777" w:rsidR="002D0AE7" w:rsidRDefault="00333EBB">
            <w:pPr>
              <w:rPr>
                <w:rFonts w:hint="eastAsia"/>
                <w:color w:val="000000" w:themeColor="text1"/>
                <w:sz w:val="21"/>
                <w:szCs w:val="21"/>
              </w:rPr>
            </w:pPr>
            <w:r>
              <w:rPr>
                <w:rFonts w:hint="eastAsia"/>
                <w:color w:val="000000" w:themeColor="text1"/>
                <w:sz w:val="21"/>
                <w:szCs w:val="21"/>
              </w:rPr>
              <w:t>二、离职后福利</w:t>
            </w:r>
            <w:r>
              <w:rPr>
                <w:rFonts w:hint="eastAsia"/>
                <w:color w:val="000000" w:themeColor="text1"/>
                <w:sz w:val="21"/>
                <w:szCs w:val="21"/>
              </w:rPr>
              <w:t>-</w:t>
            </w:r>
            <w:r>
              <w:rPr>
                <w:rFonts w:hint="eastAsia"/>
                <w:color w:val="000000" w:themeColor="text1"/>
                <w:sz w:val="21"/>
                <w:szCs w:val="21"/>
              </w:rPr>
              <w:t>设定提存计划</w:t>
            </w:r>
          </w:p>
        </w:tc>
        <w:tc>
          <w:tcPr>
            <w:tcW w:w="823" w:type="pct"/>
            <w:shd w:val="clear" w:color="auto" w:fill="auto"/>
          </w:tcPr>
          <w:p w14:paraId="5D093E9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22" w:type="pct"/>
            <w:shd w:val="clear" w:color="auto" w:fill="auto"/>
          </w:tcPr>
          <w:p w14:paraId="46B2E97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25,729,997.32</w:t>
            </w:r>
          </w:p>
        </w:tc>
        <w:tc>
          <w:tcPr>
            <w:tcW w:w="823" w:type="pct"/>
            <w:shd w:val="clear" w:color="auto" w:fill="auto"/>
          </w:tcPr>
          <w:p w14:paraId="58B3666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25,544,402.08</w:t>
            </w:r>
          </w:p>
        </w:tc>
        <w:tc>
          <w:tcPr>
            <w:tcW w:w="828" w:type="pct"/>
            <w:shd w:val="clear" w:color="auto" w:fill="auto"/>
          </w:tcPr>
          <w:p w14:paraId="756D488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185,595.24</w:t>
            </w:r>
          </w:p>
        </w:tc>
      </w:tr>
      <w:tr w:rsidR="002D0AE7" w14:paraId="59A56D99" w14:textId="77777777">
        <w:trPr>
          <w:jc w:val="center"/>
        </w:trPr>
        <w:tc>
          <w:tcPr>
            <w:tcW w:w="1704" w:type="pct"/>
            <w:shd w:val="clear" w:color="auto" w:fill="auto"/>
          </w:tcPr>
          <w:p w14:paraId="763AB1C7" w14:textId="77777777" w:rsidR="002D0AE7" w:rsidRDefault="00333EBB">
            <w:pPr>
              <w:rPr>
                <w:rFonts w:hint="eastAsia"/>
                <w:color w:val="000000" w:themeColor="text1"/>
                <w:sz w:val="21"/>
                <w:szCs w:val="21"/>
              </w:rPr>
            </w:pPr>
            <w:r>
              <w:rPr>
                <w:rFonts w:hint="eastAsia"/>
                <w:color w:val="000000" w:themeColor="text1"/>
                <w:sz w:val="21"/>
                <w:szCs w:val="21"/>
              </w:rPr>
              <w:t>三、辞退福利</w:t>
            </w:r>
          </w:p>
        </w:tc>
        <w:tc>
          <w:tcPr>
            <w:tcW w:w="823" w:type="pct"/>
            <w:shd w:val="clear" w:color="auto" w:fill="auto"/>
          </w:tcPr>
          <w:p w14:paraId="44C30C9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100,000.00</w:t>
            </w:r>
          </w:p>
        </w:tc>
        <w:tc>
          <w:tcPr>
            <w:tcW w:w="822" w:type="pct"/>
            <w:shd w:val="clear" w:color="auto" w:fill="auto"/>
          </w:tcPr>
          <w:p w14:paraId="09C7BD7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311,607.00</w:t>
            </w:r>
          </w:p>
        </w:tc>
        <w:tc>
          <w:tcPr>
            <w:tcW w:w="823" w:type="pct"/>
            <w:shd w:val="clear" w:color="auto" w:fill="auto"/>
          </w:tcPr>
          <w:p w14:paraId="4EBCAE0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311,607.00</w:t>
            </w:r>
          </w:p>
        </w:tc>
        <w:tc>
          <w:tcPr>
            <w:tcW w:w="828" w:type="pct"/>
            <w:shd w:val="clear" w:color="auto" w:fill="auto"/>
          </w:tcPr>
          <w:p w14:paraId="376C87E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100,000.00</w:t>
            </w:r>
          </w:p>
        </w:tc>
      </w:tr>
      <w:tr w:rsidR="002D0AE7" w14:paraId="5148F1EE" w14:textId="77777777">
        <w:trPr>
          <w:jc w:val="center"/>
        </w:trPr>
        <w:tc>
          <w:tcPr>
            <w:tcW w:w="1704" w:type="pct"/>
            <w:shd w:val="clear" w:color="auto" w:fill="auto"/>
          </w:tcPr>
          <w:p w14:paraId="3A6A5C87" w14:textId="77777777" w:rsidR="002D0AE7" w:rsidRDefault="00333EBB">
            <w:pPr>
              <w:rPr>
                <w:rFonts w:hint="eastAsia"/>
                <w:color w:val="000000" w:themeColor="text1"/>
                <w:sz w:val="21"/>
                <w:szCs w:val="21"/>
              </w:rPr>
            </w:pPr>
            <w:r>
              <w:rPr>
                <w:rFonts w:hint="eastAsia"/>
                <w:color w:val="000000" w:themeColor="text1"/>
                <w:sz w:val="21"/>
                <w:szCs w:val="21"/>
              </w:rPr>
              <w:t>四、一年内到期的其他福利</w:t>
            </w:r>
          </w:p>
        </w:tc>
        <w:tc>
          <w:tcPr>
            <w:tcW w:w="823" w:type="pct"/>
            <w:shd w:val="clear" w:color="auto" w:fill="auto"/>
          </w:tcPr>
          <w:p w14:paraId="1D6C67A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22" w:type="pct"/>
            <w:shd w:val="clear" w:color="auto" w:fill="auto"/>
          </w:tcPr>
          <w:p w14:paraId="62D07B5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23" w:type="pct"/>
            <w:shd w:val="clear" w:color="auto" w:fill="auto"/>
          </w:tcPr>
          <w:p w14:paraId="7319332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28" w:type="pct"/>
            <w:shd w:val="clear" w:color="auto" w:fill="auto"/>
          </w:tcPr>
          <w:p w14:paraId="28CCBBA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647392D1" w14:textId="77777777">
        <w:trPr>
          <w:jc w:val="center"/>
        </w:trPr>
        <w:tc>
          <w:tcPr>
            <w:tcW w:w="1704" w:type="pct"/>
            <w:shd w:val="clear" w:color="auto" w:fill="auto"/>
            <w:vAlign w:val="center"/>
          </w:tcPr>
          <w:p w14:paraId="76760AA1"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823" w:type="pct"/>
            <w:shd w:val="clear" w:color="auto" w:fill="auto"/>
          </w:tcPr>
          <w:p w14:paraId="2982B42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99,084,773.38</w:t>
            </w:r>
          </w:p>
        </w:tc>
        <w:tc>
          <w:tcPr>
            <w:tcW w:w="822" w:type="pct"/>
            <w:shd w:val="clear" w:color="auto" w:fill="auto"/>
          </w:tcPr>
          <w:p w14:paraId="16462B2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264,099,824.27</w:t>
            </w:r>
          </w:p>
        </w:tc>
        <w:tc>
          <w:tcPr>
            <w:tcW w:w="823" w:type="pct"/>
            <w:shd w:val="clear" w:color="auto" w:fill="auto"/>
          </w:tcPr>
          <w:p w14:paraId="1CF1B7E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283,854,562.38</w:t>
            </w:r>
          </w:p>
        </w:tc>
        <w:tc>
          <w:tcPr>
            <w:tcW w:w="828" w:type="pct"/>
            <w:shd w:val="clear" w:color="auto" w:fill="auto"/>
          </w:tcPr>
          <w:p w14:paraId="0029F39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79,330,035.27</w:t>
            </w:r>
          </w:p>
        </w:tc>
      </w:tr>
    </w:tbl>
    <w:p w14:paraId="40D45264" w14:textId="77777777" w:rsidR="002D0AE7" w:rsidRDefault="00333EBB">
      <w:pPr>
        <w:pStyle w:val="4"/>
        <w:numPr>
          <w:ilvl w:val="0"/>
          <w:numId w:val="61"/>
        </w:numPr>
        <w:rPr>
          <w:rFonts w:ascii="宋体" w:hAnsi="宋体" w:hint="eastAsia"/>
          <w:color w:val="000000" w:themeColor="text1"/>
        </w:rPr>
      </w:pPr>
      <w:r>
        <w:rPr>
          <w:rFonts w:ascii="宋体" w:hAnsi="宋体" w:hint="eastAsia"/>
          <w:color w:val="000000" w:themeColor="text1"/>
        </w:rPr>
        <w:t>短期薪酬列示</w:t>
      </w:r>
    </w:p>
    <w:sdt>
      <w:sdtPr>
        <w:rPr>
          <w:color w:val="000000" w:themeColor="text1"/>
        </w:rPr>
        <w:alias w:val="是否适用：短期薪酬列示[双击切换]"/>
        <w:tag w:val="_GBC_fe9cc4ffdf524f4695448b31c76167ce"/>
        <w:id w:val="-424890692"/>
        <w:placeholder>
          <w:docPart w:val="GBC22222222222222222222222222222"/>
        </w:placeholder>
      </w:sdtPr>
      <w:sdtEndPr/>
      <w:sdtContent>
        <w:p w14:paraId="2C698EDC"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689A612A"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短期薪酬"/>
          <w:tag w:val="_GBC_f5a2a934147944d68f11ca2bcce4d80f"/>
          <w:id w:val="-82535676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短期薪酬"/>
          <w:tag w:val="_GBC_ded097d86a7d48b8a8b1d9689a73bd5d"/>
          <w:id w:val="-37060377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574"/>
        <w:gridCol w:w="1557"/>
        <w:gridCol w:w="1682"/>
        <w:gridCol w:w="1561"/>
      </w:tblGrid>
      <w:tr w:rsidR="002D0AE7" w14:paraId="54628CB2" w14:textId="77777777">
        <w:trPr>
          <w:jc w:val="center"/>
        </w:trPr>
        <w:sdt>
          <w:sdtPr>
            <w:rPr>
              <w:color w:val="000000" w:themeColor="text1"/>
              <w:sz w:val="21"/>
              <w:szCs w:val="21"/>
            </w:rPr>
            <w:tag w:val="_PLD_7b5378bc64e24511ae79d643c80f9c98"/>
            <w:id w:val="-575897032"/>
          </w:sdtPr>
          <w:sdtEndPr/>
          <w:sdtContent>
            <w:tc>
              <w:tcPr>
                <w:tcW w:w="1643" w:type="pct"/>
                <w:tcBorders>
                  <w:top w:val="single" w:sz="4" w:space="0" w:color="auto"/>
                  <w:left w:val="single" w:sz="4" w:space="0" w:color="auto"/>
                  <w:bottom w:val="single" w:sz="4" w:space="0" w:color="auto"/>
                  <w:right w:val="single" w:sz="4" w:space="0" w:color="auto"/>
                </w:tcBorders>
                <w:vAlign w:val="center"/>
              </w:tcPr>
              <w:p w14:paraId="058E80E5" w14:textId="77777777" w:rsidR="002D0AE7" w:rsidRDefault="00333EBB">
                <w:pPr>
                  <w:autoSpaceDE w:val="0"/>
                  <w:autoSpaceDN w:val="0"/>
                  <w:adjustRightInd w:val="0"/>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0144fa4bad154236aa75e1dcc0a89e56"/>
            <w:id w:val="-259684650"/>
          </w:sdtPr>
          <w:sdtEndPr/>
          <w:sdtContent>
            <w:tc>
              <w:tcPr>
                <w:tcW w:w="829" w:type="pct"/>
                <w:tcBorders>
                  <w:top w:val="single" w:sz="4" w:space="0" w:color="auto"/>
                  <w:left w:val="single" w:sz="4" w:space="0" w:color="auto"/>
                  <w:bottom w:val="single" w:sz="4" w:space="0" w:color="auto"/>
                  <w:right w:val="single" w:sz="4" w:space="0" w:color="auto"/>
                </w:tcBorders>
                <w:vAlign w:val="center"/>
              </w:tcPr>
              <w:p w14:paraId="46F3959A" w14:textId="77777777" w:rsidR="002D0AE7" w:rsidRDefault="00333EBB">
                <w:pPr>
                  <w:autoSpaceDE w:val="0"/>
                  <w:autoSpaceDN w:val="0"/>
                  <w:adjustRightInd w:val="0"/>
                  <w:jc w:val="center"/>
                  <w:rPr>
                    <w:rFonts w:hint="eastAsia"/>
                    <w:color w:val="000000" w:themeColor="text1"/>
                    <w:sz w:val="21"/>
                    <w:szCs w:val="21"/>
                  </w:rPr>
                </w:pPr>
                <w:r>
                  <w:rPr>
                    <w:rFonts w:hint="eastAsia"/>
                    <w:color w:val="000000" w:themeColor="text1"/>
                    <w:sz w:val="21"/>
                    <w:szCs w:val="21"/>
                  </w:rPr>
                  <w:t>期初余额</w:t>
                </w:r>
              </w:p>
            </w:tc>
          </w:sdtContent>
        </w:sdt>
        <w:sdt>
          <w:sdtPr>
            <w:rPr>
              <w:color w:val="000000" w:themeColor="text1"/>
              <w:sz w:val="21"/>
              <w:szCs w:val="21"/>
            </w:rPr>
            <w:tag w:val="_PLD_2d15a4a9e10b4386a7ed67bc2137e04a"/>
            <w:id w:val="620507518"/>
          </w:sdtPr>
          <w:sdtEndPr/>
          <w:sdtContent>
            <w:tc>
              <w:tcPr>
                <w:tcW w:w="820" w:type="pct"/>
                <w:tcBorders>
                  <w:top w:val="single" w:sz="4" w:space="0" w:color="auto"/>
                  <w:left w:val="single" w:sz="4" w:space="0" w:color="auto"/>
                  <w:bottom w:val="single" w:sz="4" w:space="0" w:color="auto"/>
                  <w:right w:val="single" w:sz="4" w:space="0" w:color="auto"/>
                </w:tcBorders>
                <w:vAlign w:val="center"/>
              </w:tcPr>
              <w:p w14:paraId="09BF0892" w14:textId="77777777" w:rsidR="002D0AE7" w:rsidRDefault="00333EBB">
                <w:pPr>
                  <w:jc w:val="center"/>
                  <w:rPr>
                    <w:rFonts w:hint="eastAsia"/>
                    <w:color w:val="000000" w:themeColor="text1"/>
                    <w:sz w:val="21"/>
                    <w:szCs w:val="21"/>
                  </w:rPr>
                </w:pPr>
                <w:r>
                  <w:rPr>
                    <w:rFonts w:hint="eastAsia"/>
                    <w:color w:val="000000" w:themeColor="text1"/>
                    <w:sz w:val="21"/>
                    <w:szCs w:val="21"/>
                  </w:rPr>
                  <w:t>本期增加</w:t>
                </w:r>
              </w:p>
            </w:tc>
          </w:sdtContent>
        </w:sdt>
        <w:sdt>
          <w:sdtPr>
            <w:rPr>
              <w:color w:val="000000" w:themeColor="text1"/>
              <w:sz w:val="21"/>
              <w:szCs w:val="21"/>
            </w:rPr>
            <w:tag w:val="_PLD_12a2bbefe0874cde83fdb77f4a4158a1"/>
            <w:id w:val="-260996087"/>
          </w:sdtPr>
          <w:sdtEndPr/>
          <w:sdtContent>
            <w:tc>
              <w:tcPr>
                <w:tcW w:w="886" w:type="pct"/>
                <w:tcBorders>
                  <w:top w:val="single" w:sz="4" w:space="0" w:color="auto"/>
                  <w:left w:val="single" w:sz="4" w:space="0" w:color="auto"/>
                  <w:bottom w:val="single" w:sz="4" w:space="0" w:color="auto"/>
                  <w:right w:val="single" w:sz="4" w:space="0" w:color="auto"/>
                </w:tcBorders>
                <w:vAlign w:val="center"/>
              </w:tcPr>
              <w:p w14:paraId="00B8716E" w14:textId="77777777" w:rsidR="002D0AE7" w:rsidRDefault="00333EBB">
                <w:pPr>
                  <w:jc w:val="center"/>
                  <w:rPr>
                    <w:rFonts w:hint="eastAsia"/>
                    <w:color w:val="000000" w:themeColor="text1"/>
                    <w:sz w:val="21"/>
                    <w:szCs w:val="21"/>
                  </w:rPr>
                </w:pPr>
                <w:r>
                  <w:rPr>
                    <w:color w:val="000000" w:themeColor="text1"/>
                    <w:sz w:val="21"/>
                    <w:szCs w:val="21"/>
                  </w:rPr>
                  <w:t>本期减少</w:t>
                </w:r>
              </w:p>
            </w:tc>
          </w:sdtContent>
        </w:sdt>
        <w:sdt>
          <w:sdtPr>
            <w:rPr>
              <w:color w:val="000000" w:themeColor="text1"/>
              <w:sz w:val="21"/>
              <w:szCs w:val="21"/>
            </w:rPr>
            <w:tag w:val="_PLD_190d6bcbbde148ffb48f230c6d9d7186"/>
            <w:id w:val="-1483233687"/>
          </w:sdtPr>
          <w:sdtEndPr/>
          <w:sdtContent>
            <w:tc>
              <w:tcPr>
                <w:tcW w:w="822" w:type="pct"/>
                <w:tcBorders>
                  <w:top w:val="single" w:sz="4" w:space="0" w:color="auto"/>
                  <w:left w:val="single" w:sz="4" w:space="0" w:color="auto"/>
                  <w:bottom w:val="single" w:sz="4" w:space="0" w:color="auto"/>
                  <w:right w:val="single" w:sz="4" w:space="0" w:color="auto"/>
                </w:tcBorders>
                <w:vAlign w:val="center"/>
              </w:tcPr>
              <w:p w14:paraId="3EE438C4" w14:textId="77777777" w:rsidR="002D0AE7" w:rsidRDefault="00333EBB">
                <w:pPr>
                  <w:autoSpaceDE w:val="0"/>
                  <w:autoSpaceDN w:val="0"/>
                  <w:adjustRightInd w:val="0"/>
                  <w:jc w:val="center"/>
                  <w:rPr>
                    <w:rFonts w:hint="eastAsia"/>
                    <w:color w:val="000000" w:themeColor="text1"/>
                    <w:sz w:val="21"/>
                    <w:szCs w:val="21"/>
                  </w:rPr>
                </w:pPr>
                <w:r>
                  <w:rPr>
                    <w:rFonts w:hint="eastAsia"/>
                    <w:color w:val="000000" w:themeColor="text1"/>
                    <w:sz w:val="21"/>
                    <w:szCs w:val="21"/>
                  </w:rPr>
                  <w:t>期末余额</w:t>
                </w:r>
              </w:p>
            </w:tc>
          </w:sdtContent>
        </w:sdt>
      </w:tr>
      <w:tr w:rsidR="002D0AE7" w14:paraId="006D960D" w14:textId="77777777">
        <w:trPr>
          <w:jc w:val="center"/>
        </w:trPr>
        <w:tc>
          <w:tcPr>
            <w:tcW w:w="1643" w:type="pct"/>
            <w:tcBorders>
              <w:top w:val="single" w:sz="4" w:space="0" w:color="auto"/>
              <w:left w:val="single" w:sz="4" w:space="0" w:color="auto"/>
              <w:bottom w:val="single" w:sz="4" w:space="0" w:color="auto"/>
              <w:right w:val="single" w:sz="4" w:space="0" w:color="auto"/>
            </w:tcBorders>
          </w:tcPr>
          <w:p w14:paraId="63BC77A2" w14:textId="77777777" w:rsidR="002D0AE7" w:rsidRDefault="00333EBB">
            <w:pPr>
              <w:autoSpaceDE w:val="0"/>
              <w:autoSpaceDN w:val="0"/>
              <w:adjustRightInd w:val="0"/>
              <w:rPr>
                <w:rFonts w:hint="eastAsia"/>
                <w:color w:val="000000" w:themeColor="text1"/>
                <w:sz w:val="21"/>
                <w:szCs w:val="21"/>
              </w:rPr>
            </w:pPr>
            <w:r>
              <w:rPr>
                <w:rFonts w:hint="eastAsia"/>
                <w:color w:val="000000" w:themeColor="text1"/>
                <w:sz w:val="21"/>
                <w:szCs w:val="21"/>
              </w:rPr>
              <w:t>一、工资、奖金、津贴和补贴</w:t>
            </w:r>
          </w:p>
        </w:tc>
        <w:tc>
          <w:tcPr>
            <w:tcW w:w="829" w:type="pct"/>
            <w:tcBorders>
              <w:top w:val="single" w:sz="4" w:space="0" w:color="auto"/>
              <w:left w:val="single" w:sz="4" w:space="0" w:color="auto"/>
              <w:bottom w:val="single" w:sz="4" w:space="0" w:color="auto"/>
              <w:right w:val="single" w:sz="4" w:space="0" w:color="auto"/>
            </w:tcBorders>
          </w:tcPr>
          <w:p w14:paraId="50465C1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84,439,345.18</w:t>
            </w:r>
          </w:p>
        </w:tc>
        <w:tc>
          <w:tcPr>
            <w:tcW w:w="820" w:type="pct"/>
            <w:tcBorders>
              <w:top w:val="single" w:sz="4" w:space="0" w:color="auto"/>
              <w:left w:val="single" w:sz="4" w:space="0" w:color="auto"/>
              <w:bottom w:val="single" w:sz="4" w:space="0" w:color="auto"/>
              <w:right w:val="single" w:sz="4" w:space="0" w:color="auto"/>
            </w:tcBorders>
          </w:tcPr>
          <w:p w14:paraId="3646C65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175,297,191.51</w:t>
            </w:r>
          </w:p>
        </w:tc>
        <w:tc>
          <w:tcPr>
            <w:tcW w:w="886" w:type="pct"/>
            <w:tcBorders>
              <w:top w:val="single" w:sz="4" w:space="0" w:color="auto"/>
              <w:left w:val="single" w:sz="4" w:space="0" w:color="auto"/>
              <w:bottom w:val="single" w:sz="4" w:space="0" w:color="auto"/>
              <w:right w:val="single" w:sz="4" w:space="0" w:color="auto"/>
            </w:tcBorders>
          </w:tcPr>
          <w:p w14:paraId="5433494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195,530,564.77</w:t>
            </w:r>
          </w:p>
        </w:tc>
        <w:tc>
          <w:tcPr>
            <w:tcW w:w="822" w:type="pct"/>
            <w:tcBorders>
              <w:top w:val="single" w:sz="4" w:space="0" w:color="auto"/>
              <w:left w:val="single" w:sz="4" w:space="0" w:color="auto"/>
              <w:bottom w:val="single" w:sz="4" w:space="0" w:color="auto"/>
              <w:right w:val="single" w:sz="4" w:space="0" w:color="auto"/>
            </w:tcBorders>
          </w:tcPr>
          <w:p w14:paraId="4E8FDF1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64,205,971.92</w:t>
            </w:r>
          </w:p>
        </w:tc>
      </w:tr>
      <w:tr w:rsidR="002D0AE7" w14:paraId="4005F289" w14:textId="77777777">
        <w:trPr>
          <w:jc w:val="center"/>
        </w:trPr>
        <w:tc>
          <w:tcPr>
            <w:tcW w:w="1643" w:type="pct"/>
            <w:tcBorders>
              <w:top w:val="single" w:sz="4" w:space="0" w:color="auto"/>
              <w:left w:val="single" w:sz="4" w:space="0" w:color="auto"/>
              <w:bottom w:val="single" w:sz="4" w:space="0" w:color="auto"/>
              <w:right w:val="single" w:sz="4" w:space="0" w:color="auto"/>
            </w:tcBorders>
          </w:tcPr>
          <w:p w14:paraId="07222267" w14:textId="77777777" w:rsidR="002D0AE7" w:rsidRDefault="00333EBB">
            <w:pPr>
              <w:autoSpaceDE w:val="0"/>
              <w:autoSpaceDN w:val="0"/>
              <w:adjustRightInd w:val="0"/>
              <w:rPr>
                <w:rFonts w:hint="eastAsia"/>
                <w:color w:val="000000" w:themeColor="text1"/>
                <w:sz w:val="21"/>
                <w:szCs w:val="21"/>
              </w:rPr>
            </w:pPr>
            <w:r>
              <w:rPr>
                <w:rFonts w:hint="eastAsia"/>
                <w:color w:val="000000" w:themeColor="text1"/>
                <w:sz w:val="21"/>
                <w:szCs w:val="21"/>
              </w:rPr>
              <w:t>二、职工福利费</w:t>
            </w:r>
          </w:p>
        </w:tc>
        <w:tc>
          <w:tcPr>
            <w:tcW w:w="829" w:type="pct"/>
            <w:tcBorders>
              <w:top w:val="single" w:sz="4" w:space="0" w:color="auto"/>
              <w:left w:val="single" w:sz="4" w:space="0" w:color="auto"/>
              <w:bottom w:val="single" w:sz="4" w:space="0" w:color="auto"/>
              <w:right w:val="single" w:sz="4" w:space="0" w:color="auto"/>
            </w:tcBorders>
          </w:tcPr>
          <w:p w14:paraId="438E8D4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12,177,548.71</w:t>
            </w:r>
          </w:p>
        </w:tc>
        <w:tc>
          <w:tcPr>
            <w:tcW w:w="820" w:type="pct"/>
            <w:tcBorders>
              <w:top w:val="single" w:sz="4" w:space="0" w:color="auto"/>
              <w:left w:val="single" w:sz="4" w:space="0" w:color="auto"/>
              <w:bottom w:val="single" w:sz="4" w:space="0" w:color="auto"/>
              <w:right w:val="single" w:sz="4" w:space="0" w:color="auto"/>
            </w:tcBorders>
          </w:tcPr>
          <w:p w14:paraId="4ECFBE0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7,597,855.41</w:t>
            </w:r>
          </w:p>
        </w:tc>
        <w:tc>
          <w:tcPr>
            <w:tcW w:w="886" w:type="pct"/>
            <w:tcBorders>
              <w:top w:val="single" w:sz="4" w:space="0" w:color="auto"/>
              <w:left w:val="single" w:sz="4" w:space="0" w:color="auto"/>
              <w:bottom w:val="single" w:sz="4" w:space="0" w:color="auto"/>
              <w:right w:val="single" w:sz="4" w:space="0" w:color="auto"/>
            </w:tcBorders>
          </w:tcPr>
          <w:p w14:paraId="12BA7FE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7,597,855.41</w:t>
            </w:r>
          </w:p>
        </w:tc>
        <w:tc>
          <w:tcPr>
            <w:tcW w:w="822" w:type="pct"/>
            <w:tcBorders>
              <w:top w:val="single" w:sz="4" w:space="0" w:color="auto"/>
              <w:left w:val="single" w:sz="4" w:space="0" w:color="auto"/>
              <w:bottom w:val="single" w:sz="4" w:space="0" w:color="auto"/>
              <w:right w:val="single" w:sz="4" w:space="0" w:color="auto"/>
            </w:tcBorders>
          </w:tcPr>
          <w:p w14:paraId="17CA1EA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12,177,548.71</w:t>
            </w:r>
          </w:p>
        </w:tc>
      </w:tr>
      <w:tr w:rsidR="002D0AE7" w14:paraId="030095FC" w14:textId="77777777">
        <w:trPr>
          <w:jc w:val="center"/>
        </w:trPr>
        <w:tc>
          <w:tcPr>
            <w:tcW w:w="1643" w:type="pct"/>
            <w:tcBorders>
              <w:top w:val="single" w:sz="4" w:space="0" w:color="auto"/>
              <w:left w:val="single" w:sz="4" w:space="0" w:color="auto"/>
              <w:bottom w:val="single" w:sz="4" w:space="0" w:color="auto"/>
              <w:right w:val="single" w:sz="4" w:space="0" w:color="auto"/>
            </w:tcBorders>
          </w:tcPr>
          <w:p w14:paraId="3F3648C3" w14:textId="77777777" w:rsidR="002D0AE7" w:rsidRDefault="00333EBB">
            <w:pPr>
              <w:autoSpaceDE w:val="0"/>
              <w:autoSpaceDN w:val="0"/>
              <w:adjustRightInd w:val="0"/>
              <w:rPr>
                <w:rFonts w:hint="eastAsia"/>
                <w:color w:val="000000" w:themeColor="text1"/>
                <w:sz w:val="21"/>
                <w:szCs w:val="21"/>
              </w:rPr>
            </w:pPr>
            <w:r>
              <w:rPr>
                <w:rFonts w:hint="eastAsia"/>
                <w:color w:val="000000" w:themeColor="text1"/>
                <w:sz w:val="21"/>
                <w:szCs w:val="21"/>
              </w:rPr>
              <w:t>三、社会保险费</w:t>
            </w:r>
          </w:p>
        </w:tc>
        <w:tc>
          <w:tcPr>
            <w:tcW w:w="829" w:type="pct"/>
            <w:tcBorders>
              <w:top w:val="single" w:sz="4" w:space="0" w:color="auto"/>
              <w:left w:val="single" w:sz="4" w:space="0" w:color="auto"/>
              <w:bottom w:val="single" w:sz="4" w:space="0" w:color="auto"/>
              <w:right w:val="single" w:sz="4" w:space="0" w:color="auto"/>
            </w:tcBorders>
          </w:tcPr>
          <w:p w14:paraId="2092364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20" w:type="pct"/>
            <w:tcBorders>
              <w:top w:val="single" w:sz="4" w:space="0" w:color="auto"/>
              <w:left w:val="single" w:sz="4" w:space="0" w:color="auto"/>
              <w:bottom w:val="single" w:sz="4" w:space="0" w:color="auto"/>
              <w:right w:val="single" w:sz="4" w:space="0" w:color="auto"/>
            </w:tcBorders>
          </w:tcPr>
          <w:p w14:paraId="24385E8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19,733,971.15</w:t>
            </w:r>
          </w:p>
        </w:tc>
        <w:tc>
          <w:tcPr>
            <w:tcW w:w="886" w:type="pct"/>
            <w:tcBorders>
              <w:top w:val="single" w:sz="4" w:space="0" w:color="auto"/>
              <w:left w:val="single" w:sz="4" w:space="0" w:color="auto"/>
              <w:bottom w:val="single" w:sz="4" w:space="0" w:color="auto"/>
              <w:right w:val="single" w:sz="4" w:space="0" w:color="auto"/>
            </w:tcBorders>
          </w:tcPr>
          <w:p w14:paraId="218EADF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19,609,222.71</w:t>
            </w:r>
          </w:p>
        </w:tc>
        <w:tc>
          <w:tcPr>
            <w:tcW w:w="822" w:type="pct"/>
            <w:tcBorders>
              <w:top w:val="single" w:sz="4" w:space="0" w:color="auto"/>
              <w:left w:val="single" w:sz="4" w:space="0" w:color="auto"/>
              <w:bottom w:val="single" w:sz="4" w:space="0" w:color="auto"/>
              <w:right w:val="single" w:sz="4" w:space="0" w:color="auto"/>
            </w:tcBorders>
          </w:tcPr>
          <w:p w14:paraId="79B3D50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124,748.44</w:t>
            </w:r>
          </w:p>
        </w:tc>
      </w:tr>
      <w:tr w:rsidR="002D0AE7" w14:paraId="2B4F3118" w14:textId="77777777">
        <w:trPr>
          <w:jc w:val="center"/>
        </w:trPr>
        <w:tc>
          <w:tcPr>
            <w:tcW w:w="1643" w:type="pct"/>
            <w:tcBorders>
              <w:top w:val="single" w:sz="4" w:space="0" w:color="auto"/>
              <w:left w:val="single" w:sz="4" w:space="0" w:color="auto"/>
              <w:bottom w:val="single" w:sz="4" w:space="0" w:color="auto"/>
              <w:right w:val="single" w:sz="4" w:space="0" w:color="auto"/>
            </w:tcBorders>
          </w:tcPr>
          <w:p w14:paraId="4886A49C" w14:textId="77777777" w:rsidR="002D0AE7" w:rsidRDefault="00333EBB">
            <w:pPr>
              <w:rPr>
                <w:rFonts w:hint="eastAsia"/>
                <w:color w:val="000000" w:themeColor="text1"/>
                <w:sz w:val="21"/>
                <w:szCs w:val="21"/>
              </w:rPr>
            </w:pPr>
            <w:r>
              <w:rPr>
                <w:rFonts w:hint="eastAsia"/>
                <w:color w:val="000000" w:themeColor="text1"/>
                <w:sz w:val="21"/>
                <w:szCs w:val="21"/>
              </w:rPr>
              <w:t>其中：</w:t>
            </w:r>
            <w:r>
              <w:rPr>
                <w:color w:val="000000" w:themeColor="text1"/>
                <w:sz w:val="21"/>
                <w:szCs w:val="21"/>
              </w:rPr>
              <w:t>医疗保险费</w:t>
            </w:r>
          </w:p>
        </w:tc>
        <w:tc>
          <w:tcPr>
            <w:tcW w:w="829" w:type="pct"/>
            <w:tcBorders>
              <w:top w:val="single" w:sz="4" w:space="0" w:color="auto"/>
              <w:left w:val="single" w:sz="4" w:space="0" w:color="auto"/>
              <w:bottom w:val="single" w:sz="4" w:space="0" w:color="auto"/>
              <w:right w:val="single" w:sz="4" w:space="0" w:color="auto"/>
            </w:tcBorders>
          </w:tcPr>
          <w:p w14:paraId="7065DA2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20" w:type="pct"/>
            <w:tcBorders>
              <w:top w:val="single" w:sz="4" w:space="0" w:color="auto"/>
              <w:left w:val="single" w:sz="4" w:space="0" w:color="auto"/>
              <w:bottom w:val="single" w:sz="4" w:space="0" w:color="auto"/>
              <w:right w:val="single" w:sz="4" w:space="0" w:color="auto"/>
            </w:tcBorders>
          </w:tcPr>
          <w:p w14:paraId="0E6DEC3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18,049,334.26</w:t>
            </w:r>
          </w:p>
        </w:tc>
        <w:tc>
          <w:tcPr>
            <w:tcW w:w="886" w:type="pct"/>
            <w:tcBorders>
              <w:top w:val="single" w:sz="4" w:space="0" w:color="auto"/>
              <w:left w:val="single" w:sz="4" w:space="0" w:color="auto"/>
              <w:bottom w:val="single" w:sz="4" w:space="0" w:color="auto"/>
              <w:right w:val="single" w:sz="4" w:space="0" w:color="auto"/>
            </w:tcBorders>
          </w:tcPr>
          <w:p w14:paraId="2A0BFE1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17,939,854.64</w:t>
            </w:r>
          </w:p>
        </w:tc>
        <w:tc>
          <w:tcPr>
            <w:tcW w:w="822" w:type="pct"/>
            <w:tcBorders>
              <w:top w:val="single" w:sz="4" w:space="0" w:color="auto"/>
              <w:left w:val="single" w:sz="4" w:space="0" w:color="auto"/>
              <w:bottom w:val="single" w:sz="4" w:space="0" w:color="auto"/>
              <w:right w:val="single" w:sz="4" w:space="0" w:color="auto"/>
            </w:tcBorders>
          </w:tcPr>
          <w:p w14:paraId="291F280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109,479.62</w:t>
            </w:r>
          </w:p>
        </w:tc>
      </w:tr>
      <w:tr w:rsidR="002D0AE7" w14:paraId="18E07179" w14:textId="77777777">
        <w:trPr>
          <w:jc w:val="center"/>
        </w:trPr>
        <w:tc>
          <w:tcPr>
            <w:tcW w:w="1643" w:type="pct"/>
            <w:tcBorders>
              <w:top w:val="single" w:sz="4" w:space="0" w:color="auto"/>
              <w:left w:val="single" w:sz="4" w:space="0" w:color="auto"/>
              <w:bottom w:val="single" w:sz="4" w:space="0" w:color="auto"/>
              <w:right w:val="single" w:sz="4" w:space="0" w:color="auto"/>
            </w:tcBorders>
          </w:tcPr>
          <w:p w14:paraId="181B2111"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工伤保险费</w:t>
            </w:r>
          </w:p>
        </w:tc>
        <w:tc>
          <w:tcPr>
            <w:tcW w:w="829" w:type="pct"/>
            <w:tcBorders>
              <w:top w:val="single" w:sz="4" w:space="0" w:color="auto"/>
              <w:left w:val="single" w:sz="4" w:space="0" w:color="auto"/>
              <w:bottom w:val="single" w:sz="4" w:space="0" w:color="auto"/>
              <w:right w:val="single" w:sz="4" w:space="0" w:color="auto"/>
            </w:tcBorders>
          </w:tcPr>
          <w:p w14:paraId="63D0374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20" w:type="pct"/>
            <w:tcBorders>
              <w:top w:val="single" w:sz="4" w:space="0" w:color="auto"/>
              <w:left w:val="single" w:sz="4" w:space="0" w:color="auto"/>
              <w:bottom w:val="single" w:sz="4" w:space="0" w:color="auto"/>
              <w:right w:val="single" w:sz="4" w:space="0" w:color="auto"/>
            </w:tcBorders>
          </w:tcPr>
          <w:p w14:paraId="45E4ADA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1,005,864.11</w:t>
            </w:r>
          </w:p>
        </w:tc>
        <w:tc>
          <w:tcPr>
            <w:tcW w:w="886" w:type="pct"/>
            <w:tcBorders>
              <w:top w:val="single" w:sz="4" w:space="0" w:color="auto"/>
              <w:left w:val="single" w:sz="4" w:space="0" w:color="auto"/>
              <w:bottom w:val="single" w:sz="4" w:space="0" w:color="auto"/>
              <w:right w:val="single" w:sz="4" w:space="0" w:color="auto"/>
            </w:tcBorders>
          </w:tcPr>
          <w:p w14:paraId="70E6AED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996,048.43</w:t>
            </w:r>
          </w:p>
        </w:tc>
        <w:tc>
          <w:tcPr>
            <w:tcW w:w="822" w:type="pct"/>
            <w:tcBorders>
              <w:top w:val="single" w:sz="4" w:space="0" w:color="auto"/>
              <w:left w:val="single" w:sz="4" w:space="0" w:color="auto"/>
              <w:bottom w:val="single" w:sz="4" w:space="0" w:color="auto"/>
              <w:right w:val="single" w:sz="4" w:space="0" w:color="auto"/>
            </w:tcBorders>
          </w:tcPr>
          <w:p w14:paraId="5CCF544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9,815.68</w:t>
            </w:r>
          </w:p>
        </w:tc>
      </w:tr>
      <w:tr w:rsidR="002D0AE7" w14:paraId="57A1F818" w14:textId="77777777">
        <w:trPr>
          <w:jc w:val="center"/>
        </w:trPr>
        <w:tc>
          <w:tcPr>
            <w:tcW w:w="1643" w:type="pct"/>
            <w:tcBorders>
              <w:top w:val="single" w:sz="4" w:space="0" w:color="auto"/>
              <w:left w:val="single" w:sz="4" w:space="0" w:color="auto"/>
              <w:bottom w:val="single" w:sz="4" w:space="0" w:color="auto"/>
              <w:right w:val="single" w:sz="4" w:space="0" w:color="auto"/>
            </w:tcBorders>
          </w:tcPr>
          <w:p w14:paraId="756DEE58"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生育保险费</w:t>
            </w:r>
          </w:p>
        </w:tc>
        <w:tc>
          <w:tcPr>
            <w:tcW w:w="829" w:type="pct"/>
            <w:tcBorders>
              <w:top w:val="single" w:sz="4" w:space="0" w:color="auto"/>
              <w:left w:val="single" w:sz="4" w:space="0" w:color="auto"/>
              <w:bottom w:val="single" w:sz="4" w:space="0" w:color="auto"/>
              <w:right w:val="single" w:sz="4" w:space="0" w:color="auto"/>
            </w:tcBorders>
          </w:tcPr>
          <w:p w14:paraId="155D997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20" w:type="pct"/>
            <w:tcBorders>
              <w:top w:val="single" w:sz="4" w:space="0" w:color="auto"/>
              <w:left w:val="single" w:sz="4" w:space="0" w:color="auto"/>
              <w:bottom w:val="single" w:sz="4" w:space="0" w:color="auto"/>
              <w:right w:val="single" w:sz="4" w:space="0" w:color="auto"/>
            </w:tcBorders>
          </w:tcPr>
          <w:p w14:paraId="42D40DB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678,772.78</w:t>
            </w:r>
          </w:p>
        </w:tc>
        <w:tc>
          <w:tcPr>
            <w:tcW w:w="886" w:type="pct"/>
            <w:tcBorders>
              <w:top w:val="single" w:sz="4" w:space="0" w:color="auto"/>
              <w:left w:val="single" w:sz="4" w:space="0" w:color="auto"/>
              <w:bottom w:val="single" w:sz="4" w:space="0" w:color="auto"/>
              <w:right w:val="single" w:sz="4" w:space="0" w:color="auto"/>
            </w:tcBorders>
          </w:tcPr>
          <w:p w14:paraId="5C1F0FE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673,319.64</w:t>
            </w:r>
          </w:p>
        </w:tc>
        <w:tc>
          <w:tcPr>
            <w:tcW w:w="822" w:type="pct"/>
            <w:tcBorders>
              <w:top w:val="single" w:sz="4" w:space="0" w:color="auto"/>
              <w:left w:val="single" w:sz="4" w:space="0" w:color="auto"/>
              <w:bottom w:val="single" w:sz="4" w:space="0" w:color="auto"/>
              <w:right w:val="single" w:sz="4" w:space="0" w:color="auto"/>
            </w:tcBorders>
          </w:tcPr>
          <w:p w14:paraId="2EB101E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5,453.14</w:t>
            </w:r>
          </w:p>
        </w:tc>
      </w:tr>
      <w:tr w:rsidR="002D0AE7" w14:paraId="3EAAE851" w14:textId="77777777">
        <w:trPr>
          <w:jc w:val="center"/>
        </w:trPr>
        <w:tc>
          <w:tcPr>
            <w:tcW w:w="1643" w:type="pct"/>
            <w:tcBorders>
              <w:top w:val="single" w:sz="4" w:space="0" w:color="auto"/>
              <w:left w:val="single" w:sz="4" w:space="0" w:color="auto"/>
              <w:bottom w:val="single" w:sz="4" w:space="0" w:color="auto"/>
              <w:right w:val="single" w:sz="4" w:space="0" w:color="auto"/>
            </w:tcBorders>
          </w:tcPr>
          <w:p w14:paraId="7BB78502" w14:textId="77777777" w:rsidR="002D0AE7" w:rsidRDefault="00333EBB">
            <w:pPr>
              <w:autoSpaceDE w:val="0"/>
              <w:autoSpaceDN w:val="0"/>
              <w:adjustRightInd w:val="0"/>
              <w:rPr>
                <w:rFonts w:hint="eastAsia"/>
                <w:color w:val="000000" w:themeColor="text1"/>
                <w:sz w:val="21"/>
                <w:szCs w:val="21"/>
              </w:rPr>
            </w:pPr>
            <w:r>
              <w:rPr>
                <w:rFonts w:hint="eastAsia"/>
                <w:color w:val="000000" w:themeColor="text1"/>
                <w:sz w:val="21"/>
                <w:szCs w:val="21"/>
              </w:rPr>
              <w:t>四、住房公积金</w:t>
            </w:r>
          </w:p>
        </w:tc>
        <w:tc>
          <w:tcPr>
            <w:tcW w:w="829" w:type="pct"/>
            <w:tcBorders>
              <w:top w:val="single" w:sz="4" w:space="0" w:color="auto"/>
              <w:left w:val="single" w:sz="4" w:space="0" w:color="auto"/>
              <w:bottom w:val="single" w:sz="4" w:space="0" w:color="auto"/>
              <w:right w:val="single" w:sz="4" w:space="0" w:color="auto"/>
            </w:tcBorders>
          </w:tcPr>
          <w:p w14:paraId="4A76AB3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20" w:type="pct"/>
            <w:tcBorders>
              <w:top w:val="single" w:sz="4" w:space="0" w:color="auto"/>
              <w:left w:val="single" w:sz="4" w:space="0" w:color="auto"/>
              <w:bottom w:val="single" w:sz="4" w:space="0" w:color="auto"/>
              <w:right w:val="single" w:sz="4" w:space="0" w:color="auto"/>
            </w:tcBorders>
          </w:tcPr>
          <w:p w14:paraId="45924E3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16,602,692.40</w:t>
            </w:r>
          </w:p>
        </w:tc>
        <w:tc>
          <w:tcPr>
            <w:tcW w:w="886" w:type="pct"/>
            <w:tcBorders>
              <w:top w:val="single" w:sz="4" w:space="0" w:color="auto"/>
              <w:left w:val="single" w:sz="4" w:space="0" w:color="auto"/>
              <w:bottom w:val="single" w:sz="4" w:space="0" w:color="auto"/>
              <w:right w:val="single" w:sz="4" w:space="0" w:color="auto"/>
            </w:tcBorders>
          </w:tcPr>
          <w:p w14:paraId="18D0796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16,477,812.48</w:t>
            </w:r>
          </w:p>
        </w:tc>
        <w:tc>
          <w:tcPr>
            <w:tcW w:w="822" w:type="pct"/>
            <w:tcBorders>
              <w:top w:val="single" w:sz="4" w:space="0" w:color="auto"/>
              <w:left w:val="single" w:sz="4" w:space="0" w:color="auto"/>
              <w:bottom w:val="single" w:sz="4" w:space="0" w:color="auto"/>
              <w:right w:val="single" w:sz="4" w:space="0" w:color="auto"/>
            </w:tcBorders>
          </w:tcPr>
          <w:p w14:paraId="10CDB52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124,879.92</w:t>
            </w:r>
          </w:p>
        </w:tc>
      </w:tr>
      <w:tr w:rsidR="002D0AE7" w14:paraId="0103858C" w14:textId="77777777">
        <w:trPr>
          <w:jc w:val="center"/>
        </w:trPr>
        <w:tc>
          <w:tcPr>
            <w:tcW w:w="1643" w:type="pct"/>
            <w:tcBorders>
              <w:top w:val="single" w:sz="4" w:space="0" w:color="auto"/>
              <w:left w:val="single" w:sz="4" w:space="0" w:color="auto"/>
              <w:bottom w:val="single" w:sz="4" w:space="0" w:color="auto"/>
              <w:right w:val="single" w:sz="4" w:space="0" w:color="auto"/>
            </w:tcBorders>
          </w:tcPr>
          <w:p w14:paraId="3D9F34C8" w14:textId="77777777" w:rsidR="002D0AE7" w:rsidRDefault="00333EBB">
            <w:pPr>
              <w:autoSpaceDE w:val="0"/>
              <w:autoSpaceDN w:val="0"/>
              <w:adjustRightInd w:val="0"/>
              <w:rPr>
                <w:rFonts w:hint="eastAsia"/>
                <w:color w:val="000000" w:themeColor="text1"/>
                <w:sz w:val="21"/>
                <w:szCs w:val="21"/>
              </w:rPr>
            </w:pPr>
            <w:r>
              <w:rPr>
                <w:rFonts w:hint="eastAsia"/>
                <w:color w:val="000000" w:themeColor="text1"/>
                <w:sz w:val="21"/>
                <w:szCs w:val="21"/>
              </w:rPr>
              <w:t>五、工会经费和职工教育经费</w:t>
            </w:r>
          </w:p>
        </w:tc>
        <w:tc>
          <w:tcPr>
            <w:tcW w:w="829" w:type="pct"/>
            <w:tcBorders>
              <w:top w:val="single" w:sz="4" w:space="0" w:color="auto"/>
              <w:left w:val="single" w:sz="4" w:space="0" w:color="auto"/>
              <w:bottom w:val="single" w:sz="4" w:space="0" w:color="auto"/>
              <w:right w:val="single" w:sz="4" w:space="0" w:color="auto"/>
            </w:tcBorders>
          </w:tcPr>
          <w:p w14:paraId="1FB8AFD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1,189,976.51</w:t>
            </w:r>
          </w:p>
        </w:tc>
        <w:tc>
          <w:tcPr>
            <w:tcW w:w="820" w:type="pct"/>
            <w:tcBorders>
              <w:top w:val="single" w:sz="4" w:space="0" w:color="auto"/>
              <w:left w:val="single" w:sz="4" w:space="0" w:color="auto"/>
              <w:bottom w:val="single" w:sz="4" w:space="0" w:color="auto"/>
              <w:right w:val="single" w:sz="4" w:space="0" w:color="auto"/>
            </w:tcBorders>
          </w:tcPr>
          <w:p w14:paraId="0B3E235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5,438,431.73</w:t>
            </w:r>
          </w:p>
        </w:tc>
        <w:tc>
          <w:tcPr>
            <w:tcW w:w="886" w:type="pct"/>
            <w:tcBorders>
              <w:top w:val="single" w:sz="4" w:space="0" w:color="auto"/>
              <w:left w:val="single" w:sz="4" w:space="0" w:color="auto"/>
              <w:bottom w:val="single" w:sz="4" w:space="0" w:color="auto"/>
              <w:right w:val="single" w:sz="4" w:space="0" w:color="auto"/>
            </w:tcBorders>
          </w:tcPr>
          <w:p w14:paraId="69DDC95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5,436,039.81</w:t>
            </w:r>
          </w:p>
        </w:tc>
        <w:tc>
          <w:tcPr>
            <w:tcW w:w="822" w:type="pct"/>
            <w:tcBorders>
              <w:top w:val="single" w:sz="4" w:space="0" w:color="auto"/>
              <w:left w:val="single" w:sz="4" w:space="0" w:color="auto"/>
              <w:bottom w:val="single" w:sz="4" w:space="0" w:color="auto"/>
              <w:right w:val="single" w:sz="4" w:space="0" w:color="auto"/>
            </w:tcBorders>
          </w:tcPr>
          <w:p w14:paraId="7C81220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1,192,368.43</w:t>
            </w:r>
          </w:p>
        </w:tc>
      </w:tr>
      <w:tr w:rsidR="002D0AE7" w14:paraId="44E3856B" w14:textId="77777777">
        <w:trPr>
          <w:jc w:val="center"/>
        </w:trPr>
        <w:tc>
          <w:tcPr>
            <w:tcW w:w="1643" w:type="pct"/>
            <w:tcBorders>
              <w:top w:val="single" w:sz="4" w:space="0" w:color="auto"/>
              <w:left w:val="single" w:sz="4" w:space="0" w:color="auto"/>
              <w:bottom w:val="single" w:sz="4" w:space="0" w:color="auto"/>
              <w:right w:val="single" w:sz="4" w:space="0" w:color="auto"/>
            </w:tcBorders>
          </w:tcPr>
          <w:p w14:paraId="7F26EA0D" w14:textId="77777777" w:rsidR="002D0AE7" w:rsidRDefault="00333EBB">
            <w:pPr>
              <w:autoSpaceDE w:val="0"/>
              <w:autoSpaceDN w:val="0"/>
              <w:adjustRightInd w:val="0"/>
              <w:rPr>
                <w:rFonts w:hint="eastAsia"/>
                <w:color w:val="000000" w:themeColor="text1"/>
                <w:sz w:val="21"/>
                <w:szCs w:val="21"/>
              </w:rPr>
            </w:pPr>
            <w:r>
              <w:rPr>
                <w:rFonts w:hint="eastAsia"/>
                <w:color w:val="000000" w:themeColor="text1"/>
                <w:sz w:val="21"/>
                <w:szCs w:val="21"/>
              </w:rPr>
              <w:t>六、非货币性福利</w:t>
            </w:r>
          </w:p>
        </w:tc>
        <w:tc>
          <w:tcPr>
            <w:tcW w:w="829" w:type="pct"/>
            <w:tcBorders>
              <w:top w:val="single" w:sz="4" w:space="0" w:color="auto"/>
              <w:left w:val="single" w:sz="4" w:space="0" w:color="auto"/>
              <w:bottom w:val="single" w:sz="4" w:space="0" w:color="auto"/>
              <w:right w:val="single" w:sz="4" w:space="0" w:color="auto"/>
            </w:tcBorders>
          </w:tcPr>
          <w:p w14:paraId="12EDFCA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20" w:type="pct"/>
            <w:tcBorders>
              <w:top w:val="single" w:sz="4" w:space="0" w:color="auto"/>
              <w:left w:val="single" w:sz="4" w:space="0" w:color="auto"/>
              <w:bottom w:val="single" w:sz="4" w:space="0" w:color="auto"/>
              <w:right w:val="single" w:sz="4" w:space="0" w:color="auto"/>
            </w:tcBorders>
          </w:tcPr>
          <w:p w14:paraId="4F0217F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118,656.80</w:t>
            </w:r>
          </w:p>
        </w:tc>
        <w:tc>
          <w:tcPr>
            <w:tcW w:w="886" w:type="pct"/>
            <w:tcBorders>
              <w:top w:val="single" w:sz="4" w:space="0" w:color="auto"/>
              <w:left w:val="single" w:sz="4" w:space="0" w:color="auto"/>
              <w:bottom w:val="single" w:sz="4" w:space="0" w:color="auto"/>
              <w:right w:val="single" w:sz="4" w:space="0" w:color="auto"/>
            </w:tcBorders>
          </w:tcPr>
          <w:p w14:paraId="1E5F1AC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118,656.80</w:t>
            </w:r>
          </w:p>
        </w:tc>
        <w:tc>
          <w:tcPr>
            <w:tcW w:w="822" w:type="pct"/>
            <w:tcBorders>
              <w:top w:val="single" w:sz="4" w:space="0" w:color="auto"/>
              <w:left w:val="single" w:sz="4" w:space="0" w:color="auto"/>
              <w:bottom w:val="single" w:sz="4" w:space="0" w:color="auto"/>
              <w:right w:val="single" w:sz="4" w:space="0" w:color="auto"/>
            </w:tcBorders>
          </w:tcPr>
          <w:p w14:paraId="4193244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2F5387E4" w14:textId="77777777">
        <w:trPr>
          <w:jc w:val="center"/>
        </w:trPr>
        <w:tc>
          <w:tcPr>
            <w:tcW w:w="1643" w:type="pct"/>
            <w:tcBorders>
              <w:top w:val="single" w:sz="4" w:space="0" w:color="auto"/>
              <w:left w:val="single" w:sz="4" w:space="0" w:color="auto"/>
              <w:bottom w:val="single" w:sz="4" w:space="0" w:color="auto"/>
              <w:right w:val="single" w:sz="4" w:space="0" w:color="auto"/>
            </w:tcBorders>
          </w:tcPr>
          <w:p w14:paraId="67823A9A" w14:textId="77777777" w:rsidR="002D0AE7" w:rsidRDefault="00333EBB">
            <w:pPr>
              <w:autoSpaceDE w:val="0"/>
              <w:autoSpaceDN w:val="0"/>
              <w:adjustRightInd w:val="0"/>
              <w:rPr>
                <w:rFonts w:hint="eastAsia"/>
                <w:color w:val="000000" w:themeColor="text1"/>
                <w:sz w:val="21"/>
                <w:szCs w:val="21"/>
              </w:rPr>
            </w:pPr>
            <w:r>
              <w:rPr>
                <w:rFonts w:hint="eastAsia"/>
                <w:color w:val="000000" w:themeColor="text1"/>
                <w:sz w:val="21"/>
                <w:szCs w:val="21"/>
              </w:rPr>
              <w:t>七、短期带薪缺勤</w:t>
            </w:r>
          </w:p>
        </w:tc>
        <w:tc>
          <w:tcPr>
            <w:tcW w:w="829" w:type="pct"/>
            <w:tcBorders>
              <w:top w:val="single" w:sz="4" w:space="0" w:color="auto"/>
              <w:left w:val="single" w:sz="4" w:space="0" w:color="auto"/>
              <w:bottom w:val="single" w:sz="4" w:space="0" w:color="auto"/>
              <w:right w:val="single" w:sz="4" w:space="0" w:color="auto"/>
            </w:tcBorders>
          </w:tcPr>
          <w:p w14:paraId="0A0F12E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20" w:type="pct"/>
            <w:tcBorders>
              <w:top w:val="single" w:sz="4" w:space="0" w:color="auto"/>
              <w:left w:val="single" w:sz="4" w:space="0" w:color="auto"/>
              <w:bottom w:val="single" w:sz="4" w:space="0" w:color="auto"/>
              <w:right w:val="single" w:sz="4" w:space="0" w:color="auto"/>
            </w:tcBorders>
          </w:tcPr>
          <w:p w14:paraId="7F5492B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86" w:type="pct"/>
            <w:tcBorders>
              <w:top w:val="single" w:sz="4" w:space="0" w:color="auto"/>
              <w:left w:val="single" w:sz="4" w:space="0" w:color="auto"/>
              <w:bottom w:val="single" w:sz="4" w:space="0" w:color="auto"/>
              <w:right w:val="single" w:sz="4" w:space="0" w:color="auto"/>
            </w:tcBorders>
          </w:tcPr>
          <w:p w14:paraId="6A8D40C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22" w:type="pct"/>
            <w:tcBorders>
              <w:top w:val="single" w:sz="4" w:space="0" w:color="auto"/>
              <w:left w:val="single" w:sz="4" w:space="0" w:color="auto"/>
              <w:bottom w:val="single" w:sz="4" w:space="0" w:color="auto"/>
              <w:right w:val="single" w:sz="4" w:space="0" w:color="auto"/>
            </w:tcBorders>
          </w:tcPr>
          <w:p w14:paraId="47FC263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563B8F16" w14:textId="77777777">
        <w:trPr>
          <w:jc w:val="center"/>
        </w:trPr>
        <w:tc>
          <w:tcPr>
            <w:tcW w:w="1643" w:type="pct"/>
            <w:tcBorders>
              <w:top w:val="single" w:sz="4" w:space="0" w:color="auto"/>
              <w:left w:val="single" w:sz="4" w:space="0" w:color="auto"/>
              <w:bottom w:val="single" w:sz="4" w:space="0" w:color="auto"/>
              <w:right w:val="single" w:sz="4" w:space="0" w:color="auto"/>
            </w:tcBorders>
          </w:tcPr>
          <w:p w14:paraId="3291033B" w14:textId="77777777" w:rsidR="002D0AE7" w:rsidRDefault="00333EBB">
            <w:pPr>
              <w:rPr>
                <w:rFonts w:hint="eastAsia"/>
                <w:sz w:val="21"/>
                <w:szCs w:val="21"/>
              </w:rPr>
            </w:pPr>
            <w:r>
              <w:rPr>
                <w:rFonts w:hint="eastAsia"/>
                <w:sz w:val="21"/>
                <w:szCs w:val="21"/>
              </w:rPr>
              <w:t>八、短期利润分享计划</w:t>
            </w:r>
          </w:p>
        </w:tc>
        <w:tc>
          <w:tcPr>
            <w:tcW w:w="829" w:type="pct"/>
            <w:tcBorders>
              <w:top w:val="single" w:sz="4" w:space="0" w:color="auto"/>
              <w:left w:val="single" w:sz="4" w:space="0" w:color="auto"/>
              <w:bottom w:val="single" w:sz="4" w:space="0" w:color="auto"/>
              <w:right w:val="single" w:sz="4" w:space="0" w:color="auto"/>
            </w:tcBorders>
          </w:tcPr>
          <w:p w14:paraId="0035BA4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20" w:type="pct"/>
            <w:tcBorders>
              <w:top w:val="single" w:sz="4" w:space="0" w:color="auto"/>
              <w:left w:val="single" w:sz="4" w:space="0" w:color="auto"/>
              <w:bottom w:val="single" w:sz="4" w:space="0" w:color="auto"/>
              <w:right w:val="single" w:sz="4" w:space="0" w:color="auto"/>
            </w:tcBorders>
          </w:tcPr>
          <w:p w14:paraId="28376F4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86" w:type="pct"/>
            <w:tcBorders>
              <w:top w:val="single" w:sz="4" w:space="0" w:color="auto"/>
              <w:left w:val="single" w:sz="4" w:space="0" w:color="auto"/>
              <w:bottom w:val="single" w:sz="4" w:space="0" w:color="auto"/>
              <w:right w:val="single" w:sz="4" w:space="0" w:color="auto"/>
            </w:tcBorders>
          </w:tcPr>
          <w:p w14:paraId="71B5204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22" w:type="pct"/>
            <w:tcBorders>
              <w:top w:val="single" w:sz="4" w:space="0" w:color="auto"/>
              <w:left w:val="single" w:sz="4" w:space="0" w:color="auto"/>
              <w:bottom w:val="single" w:sz="4" w:space="0" w:color="auto"/>
              <w:right w:val="single" w:sz="4" w:space="0" w:color="auto"/>
            </w:tcBorders>
          </w:tcPr>
          <w:p w14:paraId="4CA44D7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17B42EAA" w14:textId="77777777">
        <w:trPr>
          <w:jc w:val="center"/>
        </w:trPr>
        <w:tc>
          <w:tcPr>
            <w:tcW w:w="1643" w:type="pct"/>
            <w:tcBorders>
              <w:top w:val="single" w:sz="4" w:space="0" w:color="auto"/>
              <w:left w:val="single" w:sz="4" w:space="0" w:color="auto"/>
              <w:bottom w:val="single" w:sz="4" w:space="0" w:color="auto"/>
              <w:right w:val="single" w:sz="4" w:space="0" w:color="auto"/>
            </w:tcBorders>
          </w:tcPr>
          <w:p w14:paraId="45ED312F" w14:textId="77777777" w:rsidR="002D0AE7" w:rsidRDefault="00333EBB">
            <w:pPr>
              <w:rPr>
                <w:rFonts w:hint="eastAsia"/>
                <w:sz w:val="21"/>
                <w:szCs w:val="21"/>
              </w:rPr>
            </w:pPr>
            <w:r>
              <w:rPr>
                <w:rFonts w:hint="eastAsia"/>
                <w:sz w:val="21"/>
                <w:szCs w:val="21"/>
              </w:rPr>
              <w:t>九、其他短期薪酬</w:t>
            </w:r>
          </w:p>
        </w:tc>
        <w:tc>
          <w:tcPr>
            <w:tcW w:w="829" w:type="pct"/>
            <w:tcBorders>
              <w:top w:val="single" w:sz="4" w:space="0" w:color="auto"/>
              <w:left w:val="single" w:sz="4" w:space="0" w:color="auto"/>
              <w:bottom w:val="single" w:sz="4" w:space="0" w:color="auto"/>
              <w:right w:val="single" w:sz="4" w:space="0" w:color="auto"/>
            </w:tcBorders>
          </w:tcPr>
          <w:p w14:paraId="3784AB0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1,177,902.98</w:t>
            </w:r>
          </w:p>
        </w:tc>
        <w:tc>
          <w:tcPr>
            <w:tcW w:w="820" w:type="pct"/>
            <w:tcBorders>
              <w:top w:val="single" w:sz="4" w:space="0" w:color="auto"/>
              <w:left w:val="single" w:sz="4" w:space="0" w:color="auto"/>
              <w:bottom w:val="single" w:sz="4" w:space="0" w:color="auto"/>
              <w:right w:val="single" w:sz="4" w:space="0" w:color="auto"/>
            </w:tcBorders>
          </w:tcPr>
          <w:p w14:paraId="77A1BB9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13,269,420.95</w:t>
            </w:r>
          </w:p>
        </w:tc>
        <w:tc>
          <w:tcPr>
            <w:tcW w:w="886" w:type="pct"/>
            <w:tcBorders>
              <w:top w:val="single" w:sz="4" w:space="0" w:color="auto"/>
              <w:left w:val="single" w:sz="4" w:space="0" w:color="auto"/>
              <w:bottom w:val="single" w:sz="4" w:space="0" w:color="auto"/>
              <w:right w:val="single" w:sz="4" w:space="0" w:color="auto"/>
            </w:tcBorders>
          </w:tcPr>
          <w:p w14:paraId="12A5F1A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13,228,401.32</w:t>
            </w:r>
          </w:p>
        </w:tc>
        <w:tc>
          <w:tcPr>
            <w:tcW w:w="822" w:type="pct"/>
            <w:tcBorders>
              <w:top w:val="single" w:sz="4" w:space="0" w:color="auto"/>
              <w:left w:val="single" w:sz="4" w:space="0" w:color="auto"/>
              <w:bottom w:val="single" w:sz="4" w:space="0" w:color="auto"/>
              <w:right w:val="single" w:sz="4" w:space="0" w:color="auto"/>
            </w:tcBorders>
          </w:tcPr>
          <w:p w14:paraId="0334B29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1,218,922.61</w:t>
            </w:r>
          </w:p>
        </w:tc>
      </w:tr>
      <w:tr w:rsidR="002D0AE7" w14:paraId="2AABA8A8" w14:textId="77777777">
        <w:trPr>
          <w:jc w:val="center"/>
        </w:trPr>
        <w:tc>
          <w:tcPr>
            <w:tcW w:w="1643" w:type="pct"/>
            <w:tcBorders>
              <w:top w:val="single" w:sz="4" w:space="0" w:color="auto"/>
              <w:left w:val="single" w:sz="4" w:space="0" w:color="auto"/>
              <w:bottom w:val="single" w:sz="4" w:space="0" w:color="auto"/>
              <w:right w:val="single" w:sz="4" w:space="0" w:color="auto"/>
            </w:tcBorders>
          </w:tcPr>
          <w:p w14:paraId="766EE123" w14:textId="77777777" w:rsidR="002D0AE7" w:rsidRDefault="00333EBB">
            <w:pPr>
              <w:rPr>
                <w:rFonts w:hint="eastAsia"/>
                <w:sz w:val="21"/>
                <w:szCs w:val="21"/>
              </w:rPr>
            </w:pPr>
            <w:r>
              <w:rPr>
                <w:rFonts w:hint="eastAsia"/>
                <w:sz w:val="21"/>
                <w:szCs w:val="21"/>
              </w:rPr>
              <w:t>其中：以现金结算的股份支付</w:t>
            </w:r>
          </w:p>
        </w:tc>
        <w:tc>
          <w:tcPr>
            <w:tcW w:w="829" w:type="pct"/>
            <w:tcBorders>
              <w:top w:val="single" w:sz="4" w:space="0" w:color="auto"/>
              <w:left w:val="single" w:sz="4" w:space="0" w:color="auto"/>
              <w:bottom w:val="single" w:sz="4" w:space="0" w:color="auto"/>
              <w:right w:val="single" w:sz="4" w:space="0" w:color="auto"/>
            </w:tcBorders>
          </w:tcPr>
          <w:p w14:paraId="16BFE11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20" w:type="pct"/>
            <w:tcBorders>
              <w:top w:val="single" w:sz="4" w:space="0" w:color="auto"/>
              <w:left w:val="single" w:sz="4" w:space="0" w:color="auto"/>
              <w:bottom w:val="single" w:sz="4" w:space="0" w:color="auto"/>
              <w:right w:val="single" w:sz="4" w:space="0" w:color="auto"/>
            </w:tcBorders>
          </w:tcPr>
          <w:p w14:paraId="5A2B266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86" w:type="pct"/>
            <w:tcBorders>
              <w:top w:val="single" w:sz="4" w:space="0" w:color="auto"/>
              <w:left w:val="single" w:sz="4" w:space="0" w:color="auto"/>
              <w:bottom w:val="single" w:sz="4" w:space="0" w:color="auto"/>
              <w:right w:val="single" w:sz="4" w:space="0" w:color="auto"/>
            </w:tcBorders>
          </w:tcPr>
          <w:p w14:paraId="446DA26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22" w:type="pct"/>
            <w:tcBorders>
              <w:top w:val="single" w:sz="4" w:space="0" w:color="auto"/>
              <w:left w:val="single" w:sz="4" w:space="0" w:color="auto"/>
              <w:bottom w:val="single" w:sz="4" w:space="0" w:color="auto"/>
              <w:right w:val="single" w:sz="4" w:space="0" w:color="auto"/>
            </w:tcBorders>
          </w:tcPr>
          <w:p w14:paraId="3CFC007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50170393" w14:textId="77777777">
        <w:trPr>
          <w:jc w:val="center"/>
        </w:trPr>
        <w:tc>
          <w:tcPr>
            <w:tcW w:w="1643" w:type="pct"/>
            <w:tcBorders>
              <w:top w:val="single" w:sz="4" w:space="0" w:color="auto"/>
              <w:left w:val="single" w:sz="4" w:space="0" w:color="auto"/>
              <w:bottom w:val="single" w:sz="4" w:space="0" w:color="auto"/>
              <w:right w:val="single" w:sz="4" w:space="0" w:color="auto"/>
            </w:tcBorders>
            <w:vAlign w:val="center"/>
          </w:tcPr>
          <w:p w14:paraId="1672086E" w14:textId="77777777" w:rsidR="002D0AE7" w:rsidRDefault="00333EBB">
            <w:pPr>
              <w:autoSpaceDE w:val="0"/>
              <w:autoSpaceDN w:val="0"/>
              <w:adjustRightInd w:val="0"/>
              <w:jc w:val="center"/>
              <w:rPr>
                <w:rFonts w:hint="eastAsia"/>
                <w:color w:val="000000" w:themeColor="text1"/>
                <w:sz w:val="21"/>
                <w:szCs w:val="21"/>
              </w:rPr>
            </w:pPr>
            <w:r>
              <w:rPr>
                <w:rFonts w:hint="eastAsia"/>
                <w:color w:val="000000" w:themeColor="text1"/>
                <w:sz w:val="21"/>
                <w:szCs w:val="21"/>
              </w:rPr>
              <w:t>合计</w:t>
            </w:r>
          </w:p>
        </w:tc>
        <w:tc>
          <w:tcPr>
            <w:tcW w:w="829" w:type="pct"/>
            <w:tcBorders>
              <w:top w:val="single" w:sz="4" w:space="0" w:color="auto"/>
              <w:left w:val="single" w:sz="4" w:space="0" w:color="auto"/>
              <w:bottom w:val="single" w:sz="4" w:space="0" w:color="auto"/>
              <w:right w:val="single" w:sz="4" w:space="0" w:color="auto"/>
            </w:tcBorders>
          </w:tcPr>
          <w:p w14:paraId="2FBA1DC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98,984,773.38</w:t>
            </w:r>
          </w:p>
        </w:tc>
        <w:tc>
          <w:tcPr>
            <w:tcW w:w="820" w:type="pct"/>
            <w:tcBorders>
              <w:top w:val="single" w:sz="4" w:space="0" w:color="auto"/>
              <w:left w:val="single" w:sz="4" w:space="0" w:color="auto"/>
              <w:bottom w:val="single" w:sz="4" w:space="0" w:color="auto"/>
              <w:right w:val="single" w:sz="4" w:space="0" w:color="auto"/>
            </w:tcBorders>
          </w:tcPr>
          <w:p w14:paraId="12164A5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238,058,219.95</w:t>
            </w:r>
          </w:p>
        </w:tc>
        <w:tc>
          <w:tcPr>
            <w:tcW w:w="886" w:type="pct"/>
            <w:tcBorders>
              <w:top w:val="single" w:sz="4" w:space="0" w:color="auto"/>
              <w:left w:val="single" w:sz="4" w:space="0" w:color="auto"/>
              <w:bottom w:val="single" w:sz="4" w:space="0" w:color="auto"/>
              <w:right w:val="single" w:sz="4" w:space="0" w:color="auto"/>
            </w:tcBorders>
          </w:tcPr>
          <w:p w14:paraId="7C2FCC8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257,998,553.30</w:t>
            </w:r>
          </w:p>
        </w:tc>
        <w:tc>
          <w:tcPr>
            <w:tcW w:w="822" w:type="pct"/>
            <w:tcBorders>
              <w:top w:val="single" w:sz="4" w:space="0" w:color="auto"/>
              <w:left w:val="single" w:sz="4" w:space="0" w:color="auto"/>
              <w:bottom w:val="single" w:sz="4" w:space="0" w:color="auto"/>
              <w:right w:val="single" w:sz="4" w:space="0" w:color="auto"/>
            </w:tcBorders>
          </w:tcPr>
          <w:p w14:paraId="50C5D20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79,044,440.03</w:t>
            </w:r>
          </w:p>
        </w:tc>
      </w:tr>
    </w:tbl>
    <w:p w14:paraId="1DF0FE9D" w14:textId="77777777" w:rsidR="002D0AE7" w:rsidRDefault="00333EBB">
      <w:pPr>
        <w:pStyle w:val="4"/>
        <w:numPr>
          <w:ilvl w:val="0"/>
          <w:numId w:val="61"/>
        </w:numPr>
        <w:rPr>
          <w:rFonts w:ascii="宋体" w:hAnsi="宋体" w:hint="eastAsia"/>
          <w:color w:val="000000" w:themeColor="text1"/>
          <w:szCs w:val="21"/>
        </w:rPr>
      </w:pPr>
      <w:r>
        <w:rPr>
          <w:rFonts w:ascii="宋体" w:hAnsi="宋体" w:hint="eastAsia"/>
          <w:color w:val="000000" w:themeColor="text1"/>
          <w:szCs w:val="21"/>
        </w:rPr>
        <w:t>设定提存计划列示</w:t>
      </w:r>
    </w:p>
    <w:sdt>
      <w:sdtPr>
        <w:rPr>
          <w:color w:val="000000" w:themeColor="text1"/>
        </w:rPr>
        <w:alias w:val="是否适用：设定提存计划列示[双击切换]"/>
        <w:tag w:val="_GBC_107b7eec6d75473e8809e93d01e00021"/>
        <w:id w:val="1822532968"/>
        <w:placeholder>
          <w:docPart w:val="GBC22222222222222222222222222222"/>
        </w:placeholder>
      </w:sdtPr>
      <w:sdtEndPr/>
      <w:sdtContent>
        <w:p w14:paraId="41648934"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48F06442" w14:textId="77777777" w:rsidR="002D0AE7" w:rsidRDefault="00333EBB">
      <w:pPr>
        <w:jc w:val="right"/>
        <w:rPr>
          <w:rFonts w:hint="eastAsia"/>
          <w:color w:val="000000" w:themeColor="text1"/>
        </w:rPr>
      </w:pPr>
      <w:r>
        <w:rPr>
          <w:rFonts w:hint="eastAsia"/>
          <w:color w:val="000000" w:themeColor="text1"/>
        </w:rPr>
        <w:lastRenderedPageBreak/>
        <w:t>单位：</w:t>
      </w:r>
      <w:sdt>
        <w:sdtPr>
          <w:rPr>
            <w:rFonts w:hint="eastAsia"/>
            <w:color w:val="000000" w:themeColor="text1"/>
          </w:rPr>
          <w:alias w:val="单位：财务附注：设定提存计划列示"/>
          <w:tag w:val="_GBC_744d8f829e6040c78616ef1951ef7e59"/>
          <w:id w:val="-40507236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设定提存计划列示"/>
          <w:tag w:val="_GBC_433e4a4ae9d648a2973673cbec959f23"/>
          <w:id w:val="-173940106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1582"/>
        <w:gridCol w:w="1568"/>
        <w:gridCol w:w="1596"/>
        <w:gridCol w:w="1552"/>
      </w:tblGrid>
      <w:tr w:rsidR="002D0AE7" w14:paraId="7A71803B" w14:textId="77777777">
        <w:trPr>
          <w:jc w:val="center"/>
        </w:trPr>
        <w:sdt>
          <w:sdtPr>
            <w:rPr>
              <w:color w:val="000000" w:themeColor="text1"/>
              <w:sz w:val="21"/>
              <w:szCs w:val="21"/>
            </w:rPr>
            <w:tag w:val="_PLD_f8a9011ca6bd4cc895a50279da6547e9"/>
            <w:id w:val="865491316"/>
          </w:sdtPr>
          <w:sdtEnd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14:paraId="4943260C"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db9ecea0e08e4c1bb5fe2474183a8480"/>
            <w:id w:val="-42450004"/>
          </w:sdtPr>
          <w:sdtEndPr/>
          <w:sdtContent>
            <w:tc>
              <w:tcPr>
                <w:tcW w:w="897" w:type="pct"/>
                <w:tcBorders>
                  <w:top w:val="single" w:sz="6" w:space="0" w:color="auto"/>
                  <w:left w:val="single" w:sz="6" w:space="0" w:color="auto"/>
                  <w:bottom w:val="single" w:sz="6" w:space="0" w:color="auto"/>
                  <w:right w:val="single" w:sz="6" w:space="0" w:color="auto"/>
                </w:tcBorders>
                <w:shd w:val="clear" w:color="auto" w:fill="auto"/>
                <w:vAlign w:val="center"/>
              </w:tcPr>
              <w:p w14:paraId="30176DAE" w14:textId="77777777" w:rsidR="002D0AE7" w:rsidRDefault="00333EBB">
                <w:pPr>
                  <w:jc w:val="center"/>
                  <w:rPr>
                    <w:rFonts w:hint="eastAsia"/>
                    <w:color w:val="000000" w:themeColor="text1"/>
                    <w:sz w:val="21"/>
                    <w:szCs w:val="21"/>
                  </w:rPr>
                </w:pPr>
                <w:r>
                  <w:rPr>
                    <w:rFonts w:hint="eastAsia"/>
                    <w:color w:val="000000" w:themeColor="text1"/>
                    <w:sz w:val="21"/>
                    <w:szCs w:val="21"/>
                  </w:rPr>
                  <w:t>期初余额</w:t>
                </w:r>
              </w:p>
            </w:tc>
          </w:sdtContent>
        </w:sdt>
        <w:sdt>
          <w:sdtPr>
            <w:rPr>
              <w:color w:val="000000" w:themeColor="text1"/>
              <w:sz w:val="21"/>
              <w:szCs w:val="21"/>
            </w:rPr>
            <w:tag w:val="_PLD_11b6b53867b44c92b19ef791cad0c8c4"/>
            <w:id w:val="1626042716"/>
          </w:sdtPr>
          <w:sdtEndPr/>
          <w:sdtContent>
            <w:tc>
              <w:tcPr>
                <w:tcW w:w="889" w:type="pct"/>
                <w:tcBorders>
                  <w:top w:val="single" w:sz="6" w:space="0" w:color="auto"/>
                  <w:left w:val="single" w:sz="6" w:space="0" w:color="auto"/>
                  <w:bottom w:val="single" w:sz="6" w:space="0" w:color="auto"/>
                  <w:right w:val="single" w:sz="6" w:space="0" w:color="auto"/>
                </w:tcBorders>
                <w:shd w:val="clear" w:color="auto" w:fill="auto"/>
                <w:vAlign w:val="center"/>
              </w:tcPr>
              <w:p w14:paraId="0DD78574" w14:textId="77777777" w:rsidR="002D0AE7" w:rsidRDefault="00333EBB">
                <w:pPr>
                  <w:jc w:val="center"/>
                  <w:rPr>
                    <w:rFonts w:hint="eastAsia"/>
                    <w:color w:val="000000" w:themeColor="text1"/>
                    <w:sz w:val="21"/>
                    <w:szCs w:val="21"/>
                  </w:rPr>
                </w:pPr>
                <w:r>
                  <w:rPr>
                    <w:rFonts w:hint="eastAsia"/>
                    <w:color w:val="000000" w:themeColor="text1"/>
                    <w:sz w:val="21"/>
                    <w:szCs w:val="21"/>
                  </w:rPr>
                  <w:t>本期增加</w:t>
                </w:r>
              </w:p>
            </w:tc>
          </w:sdtContent>
        </w:sdt>
        <w:sdt>
          <w:sdtPr>
            <w:rPr>
              <w:color w:val="000000" w:themeColor="text1"/>
              <w:sz w:val="21"/>
              <w:szCs w:val="21"/>
            </w:rPr>
            <w:tag w:val="_PLD_c2cbd009dd4248ceb9040da5fc326084"/>
            <w:id w:val="718009086"/>
          </w:sdtPr>
          <w:sdtEndPr/>
          <w:sdtContent>
            <w:tc>
              <w:tcPr>
                <w:tcW w:w="905" w:type="pct"/>
                <w:tcBorders>
                  <w:top w:val="single" w:sz="6" w:space="0" w:color="auto"/>
                  <w:left w:val="single" w:sz="6" w:space="0" w:color="auto"/>
                  <w:bottom w:val="single" w:sz="6" w:space="0" w:color="auto"/>
                  <w:right w:val="single" w:sz="6" w:space="0" w:color="auto"/>
                </w:tcBorders>
                <w:shd w:val="clear" w:color="auto" w:fill="auto"/>
                <w:vAlign w:val="center"/>
              </w:tcPr>
              <w:p w14:paraId="2027736E" w14:textId="77777777" w:rsidR="002D0AE7" w:rsidRDefault="00333EBB">
                <w:pPr>
                  <w:jc w:val="center"/>
                  <w:rPr>
                    <w:rFonts w:hint="eastAsia"/>
                    <w:color w:val="000000" w:themeColor="text1"/>
                    <w:sz w:val="21"/>
                    <w:szCs w:val="21"/>
                  </w:rPr>
                </w:pPr>
                <w:r>
                  <w:rPr>
                    <w:rFonts w:hint="eastAsia"/>
                    <w:color w:val="000000" w:themeColor="text1"/>
                    <w:sz w:val="21"/>
                    <w:szCs w:val="21"/>
                  </w:rPr>
                  <w:t>本期减少</w:t>
                </w:r>
              </w:p>
            </w:tc>
          </w:sdtContent>
        </w:sdt>
        <w:sdt>
          <w:sdtPr>
            <w:rPr>
              <w:color w:val="000000" w:themeColor="text1"/>
              <w:sz w:val="21"/>
              <w:szCs w:val="21"/>
            </w:rPr>
            <w:tag w:val="_PLD_0ded00fbf217420ebfe8ace86c12086d"/>
            <w:id w:val="1652480423"/>
          </w:sdtPr>
          <w:sdtEndPr/>
          <w:sdtContent>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14:paraId="248416F5"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tr>
      <w:tr w:rsidR="002D0AE7" w14:paraId="045044CC" w14:textId="77777777">
        <w:trPr>
          <w:jc w:val="center"/>
        </w:trPr>
        <w:tc>
          <w:tcPr>
            <w:tcW w:w="1429" w:type="pct"/>
            <w:tcBorders>
              <w:top w:val="single" w:sz="6" w:space="0" w:color="auto"/>
              <w:left w:val="single" w:sz="6" w:space="0" w:color="auto"/>
              <w:bottom w:val="single" w:sz="6" w:space="0" w:color="auto"/>
              <w:right w:val="single" w:sz="6" w:space="0" w:color="auto"/>
            </w:tcBorders>
            <w:shd w:val="clear" w:color="auto" w:fill="auto"/>
          </w:tcPr>
          <w:p w14:paraId="6F513F5B" w14:textId="77777777" w:rsidR="002D0AE7" w:rsidRDefault="00333EBB">
            <w:pPr>
              <w:rPr>
                <w:rFonts w:hint="eastAsia"/>
                <w:color w:val="000000" w:themeColor="text1"/>
                <w:sz w:val="21"/>
                <w:szCs w:val="21"/>
              </w:rPr>
            </w:pPr>
            <w:r>
              <w:rPr>
                <w:rFonts w:hint="eastAsia"/>
                <w:color w:val="000000" w:themeColor="text1"/>
                <w:sz w:val="21"/>
                <w:szCs w:val="21"/>
              </w:rPr>
              <w:t>1</w:t>
            </w:r>
            <w:r>
              <w:rPr>
                <w:rFonts w:hint="eastAsia"/>
                <w:color w:val="000000" w:themeColor="text1"/>
                <w:sz w:val="21"/>
                <w:szCs w:val="21"/>
              </w:rPr>
              <w:t>、基本养老保险</w:t>
            </w:r>
          </w:p>
        </w:tc>
        <w:tc>
          <w:tcPr>
            <w:tcW w:w="897" w:type="pct"/>
            <w:tcBorders>
              <w:top w:val="single" w:sz="4" w:space="0" w:color="auto"/>
              <w:left w:val="single" w:sz="6" w:space="0" w:color="auto"/>
              <w:bottom w:val="single" w:sz="4" w:space="0" w:color="auto"/>
              <w:right w:val="single" w:sz="4" w:space="0" w:color="auto"/>
            </w:tcBorders>
            <w:shd w:val="clear" w:color="auto" w:fill="auto"/>
          </w:tcPr>
          <w:p w14:paraId="1AF883D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4AE78E3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24,513,239.45</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304811D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24,338,737.73</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57E1964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174,501.72</w:t>
            </w:r>
          </w:p>
        </w:tc>
      </w:tr>
      <w:tr w:rsidR="002D0AE7" w14:paraId="2E3CA199" w14:textId="77777777">
        <w:trPr>
          <w:jc w:val="center"/>
        </w:trPr>
        <w:tc>
          <w:tcPr>
            <w:tcW w:w="1429" w:type="pct"/>
            <w:tcBorders>
              <w:top w:val="single" w:sz="6" w:space="0" w:color="auto"/>
              <w:left w:val="single" w:sz="6" w:space="0" w:color="auto"/>
              <w:bottom w:val="single" w:sz="6" w:space="0" w:color="auto"/>
              <w:right w:val="single" w:sz="6" w:space="0" w:color="auto"/>
            </w:tcBorders>
            <w:shd w:val="clear" w:color="auto" w:fill="auto"/>
          </w:tcPr>
          <w:p w14:paraId="166BEF66" w14:textId="77777777" w:rsidR="002D0AE7" w:rsidRDefault="00333EBB">
            <w:pPr>
              <w:rPr>
                <w:rFonts w:hint="eastAsia"/>
                <w:color w:val="000000" w:themeColor="text1"/>
                <w:sz w:val="21"/>
                <w:szCs w:val="21"/>
              </w:rPr>
            </w:pPr>
            <w:r>
              <w:rPr>
                <w:rFonts w:hint="eastAsia"/>
                <w:color w:val="000000" w:themeColor="text1"/>
                <w:sz w:val="21"/>
                <w:szCs w:val="21"/>
              </w:rPr>
              <w:t>2</w:t>
            </w:r>
            <w:r>
              <w:rPr>
                <w:rFonts w:hint="eastAsia"/>
                <w:color w:val="000000" w:themeColor="text1"/>
                <w:sz w:val="21"/>
                <w:szCs w:val="21"/>
              </w:rPr>
              <w:t>、失业保险费</w:t>
            </w:r>
          </w:p>
        </w:tc>
        <w:tc>
          <w:tcPr>
            <w:tcW w:w="897" w:type="pct"/>
            <w:tcBorders>
              <w:top w:val="single" w:sz="4" w:space="0" w:color="auto"/>
              <w:left w:val="single" w:sz="6" w:space="0" w:color="auto"/>
              <w:bottom w:val="single" w:sz="4" w:space="0" w:color="auto"/>
              <w:right w:val="single" w:sz="4" w:space="0" w:color="auto"/>
            </w:tcBorders>
            <w:shd w:val="clear" w:color="auto" w:fill="auto"/>
          </w:tcPr>
          <w:p w14:paraId="45CBD2C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3761008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1,216,757.87</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1F5DAFF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1,205,664.35</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683401F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11,093.52</w:t>
            </w:r>
          </w:p>
        </w:tc>
      </w:tr>
      <w:tr w:rsidR="002D0AE7" w14:paraId="67DFDEC6" w14:textId="77777777">
        <w:trPr>
          <w:jc w:val="center"/>
        </w:trPr>
        <w:tc>
          <w:tcPr>
            <w:tcW w:w="1429" w:type="pct"/>
            <w:tcBorders>
              <w:top w:val="single" w:sz="6" w:space="0" w:color="auto"/>
              <w:left w:val="single" w:sz="6" w:space="0" w:color="auto"/>
              <w:bottom w:val="single" w:sz="6" w:space="0" w:color="auto"/>
              <w:right w:val="single" w:sz="6" w:space="0" w:color="auto"/>
            </w:tcBorders>
            <w:shd w:val="clear" w:color="auto" w:fill="auto"/>
          </w:tcPr>
          <w:p w14:paraId="671032E3" w14:textId="77777777" w:rsidR="002D0AE7" w:rsidRDefault="00333EBB">
            <w:pPr>
              <w:rPr>
                <w:rFonts w:hint="eastAsia"/>
                <w:color w:val="000000" w:themeColor="text1"/>
                <w:sz w:val="21"/>
                <w:szCs w:val="21"/>
              </w:rPr>
            </w:pPr>
            <w:r>
              <w:rPr>
                <w:rFonts w:hint="eastAsia"/>
                <w:color w:val="000000" w:themeColor="text1"/>
                <w:sz w:val="21"/>
                <w:szCs w:val="21"/>
              </w:rPr>
              <w:t>3</w:t>
            </w:r>
            <w:r>
              <w:rPr>
                <w:rFonts w:hint="eastAsia"/>
                <w:color w:val="000000" w:themeColor="text1"/>
                <w:sz w:val="21"/>
                <w:szCs w:val="21"/>
              </w:rPr>
              <w:t>、企业年金缴费</w:t>
            </w:r>
          </w:p>
        </w:tc>
        <w:tc>
          <w:tcPr>
            <w:tcW w:w="897" w:type="pct"/>
            <w:tcBorders>
              <w:top w:val="single" w:sz="4" w:space="0" w:color="auto"/>
              <w:left w:val="single" w:sz="6" w:space="0" w:color="auto"/>
              <w:bottom w:val="single" w:sz="4" w:space="0" w:color="auto"/>
              <w:right w:val="single" w:sz="4" w:space="0" w:color="auto"/>
            </w:tcBorders>
            <w:shd w:val="clear" w:color="auto" w:fill="auto"/>
          </w:tcPr>
          <w:p w14:paraId="737D132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2055374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0035A25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24A1A26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33423A8E" w14:textId="77777777">
        <w:trPr>
          <w:jc w:val="center"/>
        </w:trPr>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14:paraId="1272313E"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897" w:type="pct"/>
            <w:tcBorders>
              <w:top w:val="single" w:sz="4" w:space="0" w:color="auto"/>
              <w:left w:val="single" w:sz="6" w:space="0" w:color="auto"/>
              <w:bottom w:val="single" w:sz="4" w:space="0" w:color="auto"/>
              <w:right w:val="single" w:sz="4" w:space="0" w:color="auto"/>
            </w:tcBorders>
            <w:shd w:val="clear" w:color="auto" w:fill="auto"/>
          </w:tcPr>
          <w:p w14:paraId="41D7CCC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0ED88D9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25,729,997.32</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24BBDD4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25,544,402.08</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5623B77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185,595.24</w:t>
            </w:r>
          </w:p>
        </w:tc>
      </w:tr>
    </w:tbl>
    <w:p w14:paraId="0ECD29C3"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szCs w:val="21"/>
        </w:rPr>
        <w:t>应交税费</w:t>
      </w:r>
    </w:p>
    <w:sdt>
      <w:sdtPr>
        <w:rPr>
          <w:color w:val="000000" w:themeColor="text1"/>
        </w:rPr>
        <w:alias w:val="是否适用：应交税费[双击切换]"/>
        <w:tag w:val="_GBC_e7e2664720b9408384c5d3cd6d97c132"/>
        <w:id w:val="977031174"/>
        <w:placeholder>
          <w:docPart w:val="GBC22222222222222222222222222222"/>
        </w:placeholder>
      </w:sdtPr>
      <w:sdtEndPr/>
      <w:sdtContent>
        <w:p w14:paraId="6FC7DEF3"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61C10A8F"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应交税费"/>
          <w:tag w:val="_GBC_a6162c9f021640929018406be611b834"/>
          <w:id w:val="143940634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应交税费"/>
          <w:tag w:val="_GBC_d787fa1c70604797889c69c4c364e711"/>
          <w:id w:val="-46751555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2956"/>
        <w:gridCol w:w="2931"/>
        <w:gridCol w:w="2936"/>
      </w:tblGrid>
      <w:tr w:rsidR="002D0AE7" w14:paraId="65D1C9F7" w14:textId="77777777">
        <w:trPr>
          <w:cantSplit/>
        </w:trPr>
        <w:sdt>
          <w:sdtPr>
            <w:rPr>
              <w:color w:val="000000" w:themeColor="text1"/>
              <w:sz w:val="21"/>
              <w:szCs w:val="21"/>
            </w:rPr>
            <w:tag w:val="_PLD_ab0019be2d10489d885d15626d85168f"/>
            <w:id w:val="335971436"/>
          </w:sdtPr>
          <w:sdtEndPr/>
          <w:sdtContent>
            <w:tc>
              <w:tcPr>
                <w:tcW w:w="1675" w:type="pct"/>
                <w:vAlign w:val="center"/>
              </w:tcPr>
              <w:p w14:paraId="45BEFA92" w14:textId="77777777" w:rsidR="002D0AE7" w:rsidRDefault="00333EBB">
                <w:pPr>
                  <w:ind w:right="105"/>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4d086e8f4e004ee3aa116a5d10a7ecbd"/>
            <w:id w:val="2035458088"/>
          </w:sdtPr>
          <w:sdtEndPr/>
          <w:sdtContent>
            <w:tc>
              <w:tcPr>
                <w:tcW w:w="1661" w:type="pct"/>
                <w:vAlign w:val="center"/>
              </w:tcPr>
              <w:p w14:paraId="4A9F9F16"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sdt>
          <w:sdtPr>
            <w:rPr>
              <w:color w:val="000000" w:themeColor="text1"/>
              <w:sz w:val="21"/>
              <w:szCs w:val="21"/>
            </w:rPr>
            <w:tag w:val="_PLD_8b866f731e474c6ebfb67cd903ab95c8"/>
            <w:id w:val="-2019461386"/>
          </w:sdtPr>
          <w:sdtEndPr/>
          <w:sdtContent>
            <w:tc>
              <w:tcPr>
                <w:tcW w:w="1664" w:type="pct"/>
                <w:vAlign w:val="center"/>
              </w:tcPr>
              <w:p w14:paraId="68A6E5FB" w14:textId="77777777" w:rsidR="002D0AE7" w:rsidRDefault="00333EBB">
                <w:pPr>
                  <w:jc w:val="center"/>
                  <w:rPr>
                    <w:rFonts w:hint="eastAsia"/>
                    <w:color w:val="000000" w:themeColor="text1"/>
                    <w:sz w:val="21"/>
                    <w:szCs w:val="21"/>
                  </w:rPr>
                </w:pPr>
                <w:r>
                  <w:rPr>
                    <w:rFonts w:hint="eastAsia"/>
                    <w:color w:val="000000" w:themeColor="text1"/>
                    <w:sz w:val="21"/>
                    <w:szCs w:val="21"/>
                  </w:rPr>
                  <w:t>期初余额</w:t>
                </w:r>
              </w:p>
            </w:tc>
          </w:sdtContent>
        </w:sdt>
      </w:tr>
      <w:tr w:rsidR="002D0AE7" w14:paraId="6975FFC0" w14:textId="77777777">
        <w:trPr>
          <w:cantSplit/>
        </w:trPr>
        <w:tc>
          <w:tcPr>
            <w:tcW w:w="1675" w:type="pct"/>
            <w:shd w:val="clear" w:color="auto" w:fill="auto"/>
          </w:tcPr>
          <w:p w14:paraId="3C3DE544" w14:textId="77777777" w:rsidR="002D0AE7" w:rsidRDefault="00333EBB">
            <w:pPr>
              <w:ind w:right="105"/>
              <w:rPr>
                <w:rFonts w:hint="eastAsia"/>
                <w:color w:val="000000" w:themeColor="text1"/>
                <w:sz w:val="21"/>
                <w:szCs w:val="21"/>
              </w:rPr>
            </w:pPr>
            <w:r>
              <w:rPr>
                <w:rFonts w:hint="eastAsia"/>
                <w:color w:val="000000" w:themeColor="text1"/>
                <w:sz w:val="21"/>
                <w:szCs w:val="21"/>
              </w:rPr>
              <w:t>增值税</w:t>
            </w:r>
          </w:p>
        </w:tc>
        <w:tc>
          <w:tcPr>
            <w:tcW w:w="1661" w:type="pct"/>
            <w:shd w:val="clear" w:color="auto" w:fill="auto"/>
          </w:tcPr>
          <w:p w14:paraId="2D91480E" w14:textId="77777777" w:rsidR="002D0AE7" w:rsidRDefault="00333EBB">
            <w:pPr>
              <w:ind w:right="73"/>
              <w:jc w:val="right"/>
              <w:rPr>
                <w:rFonts w:ascii="Times New Roman" w:hAnsi="Times New Roman" w:cs="Times New Roman"/>
                <w:sz w:val="21"/>
                <w:szCs w:val="21"/>
              </w:rPr>
            </w:pPr>
            <w:r>
              <w:rPr>
                <w:rFonts w:ascii="Times New Roman" w:hAnsi="Times New Roman" w:cs="Times New Roman"/>
                <w:sz w:val="21"/>
                <w:szCs w:val="21"/>
              </w:rPr>
              <w:t>19,869,112.86</w:t>
            </w:r>
          </w:p>
        </w:tc>
        <w:tc>
          <w:tcPr>
            <w:tcW w:w="1664" w:type="pct"/>
            <w:shd w:val="clear" w:color="auto" w:fill="auto"/>
            <w:vAlign w:val="center"/>
          </w:tcPr>
          <w:p w14:paraId="39861F9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36,315,128.29</w:t>
            </w:r>
          </w:p>
        </w:tc>
      </w:tr>
      <w:tr w:rsidR="002D0AE7" w14:paraId="1D28E25C" w14:textId="77777777">
        <w:trPr>
          <w:cantSplit/>
        </w:trPr>
        <w:tc>
          <w:tcPr>
            <w:tcW w:w="1675" w:type="pct"/>
            <w:shd w:val="clear" w:color="auto" w:fill="auto"/>
          </w:tcPr>
          <w:p w14:paraId="6EE14F2D" w14:textId="77777777" w:rsidR="002D0AE7" w:rsidRDefault="00333EBB">
            <w:pPr>
              <w:ind w:right="105"/>
              <w:rPr>
                <w:rFonts w:hint="eastAsia"/>
                <w:color w:val="000000" w:themeColor="text1"/>
                <w:sz w:val="21"/>
                <w:szCs w:val="21"/>
              </w:rPr>
            </w:pPr>
            <w:r>
              <w:rPr>
                <w:rFonts w:hint="eastAsia"/>
                <w:color w:val="000000" w:themeColor="text1"/>
                <w:sz w:val="21"/>
                <w:szCs w:val="21"/>
              </w:rPr>
              <w:t>企业所得税</w:t>
            </w:r>
          </w:p>
        </w:tc>
        <w:tc>
          <w:tcPr>
            <w:tcW w:w="1661" w:type="pct"/>
            <w:shd w:val="clear" w:color="auto" w:fill="auto"/>
          </w:tcPr>
          <w:p w14:paraId="54A756CD" w14:textId="77777777" w:rsidR="002D0AE7" w:rsidRDefault="00333EBB">
            <w:pPr>
              <w:ind w:right="73"/>
              <w:jc w:val="right"/>
              <w:rPr>
                <w:rFonts w:ascii="Times New Roman" w:hAnsi="Times New Roman" w:cs="Times New Roman"/>
                <w:sz w:val="21"/>
                <w:szCs w:val="21"/>
              </w:rPr>
            </w:pPr>
            <w:r>
              <w:rPr>
                <w:rFonts w:ascii="Times New Roman" w:hAnsi="Times New Roman" w:cs="Times New Roman"/>
                <w:sz w:val="21"/>
                <w:szCs w:val="21"/>
              </w:rPr>
              <w:t>10,516,233.67</w:t>
            </w:r>
          </w:p>
        </w:tc>
        <w:tc>
          <w:tcPr>
            <w:tcW w:w="1664" w:type="pct"/>
            <w:shd w:val="clear" w:color="auto" w:fill="auto"/>
            <w:vAlign w:val="center"/>
          </w:tcPr>
          <w:p w14:paraId="32B9CE3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848,258.35</w:t>
            </w:r>
          </w:p>
        </w:tc>
      </w:tr>
      <w:tr w:rsidR="002D0AE7" w14:paraId="438D3DB0" w14:textId="77777777">
        <w:trPr>
          <w:cantSplit/>
        </w:trPr>
        <w:tc>
          <w:tcPr>
            <w:tcW w:w="1675" w:type="pct"/>
            <w:shd w:val="clear" w:color="auto" w:fill="auto"/>
          </w:tcPr>
          <w:p w14:paraId="448096BF" w14:textId="77777777" w:rsidR="002D0AE7" w:rsidRDefault="00333EBB">
            <w:pPr>
              <w:ind w:right="105"/>
              <w:rPr>
                <w:rFonts w:hint="eastAsia"/>
                <w:color w:val="000000" w:themeColor="text1"/>
                <w:sz w:val="21"/>
                <w:szCs w:val="21"/>
              </w:rPr>
            </w:pPr>
            <w:r>
              <w:rPr>
                <w:rFonts w:hint="eastAsia"/>
                <w:color w:val="000000" w:themeColor="text1"/>
                <w:sz w:val="21"/>
                <w:szCs w:val="21"/>
              </w:rPr>
              <w:t>个人所得税</w:t>
            </w:r>
          </w:p>
        </w:tc>
        <w:tc>
          <w:tcPr>
            <w:tcW w:w="1661" w:type="pct"/>
            <w:shd w:val="clear" w:color="auto" w:fill="auto"/>
          </w:tcPr>
          <w:p w14:paraId="1424077D" w14:textId="77777777" w:rsidR="002D0AE7" w:rsidRDefault="00333EBB">
            <w:pPr>
              <w:ind w:right="73"/>
              <w:jc w:val="right"/>
              <w:rPr>
                <w:rFonts w:ascii="Times New Roman" w:hAnsi="Times New Roman" w:cs="Times New Roman"/>
                <w:sz w:val="21"/>
                <w:szCs w:val="21"/>
              </w:rPr>
            </w:pPr>
            <w:r>
              <w:rPr>
                <w:rFonts w:ascii="Times New Roman" w:hAnsi="Times New Roman" w:cs="Times New Roman"/>
                <w:sz w:val="21"/>
                <w:szCs w:val="21"/>
              </w:rPr>
              <w:t>355,456.34</w:t>
            </w:r>
          </w:p>
        </w:tc>
        <w:tc>
          <w:tcPr>
            <w:tcW w:w="1664" w:type="pct"/>
            <w:shd w:val="clear" w:color="auto" w:fill="auto"/>
            <w:vAlign w:val="center"/>
          </w:tcPr>
          <w:p w14:paraId="454001A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663,638.48</w:t>
            </w:r>
          </w:p>
        </w:tc>
      </w:tr>
      <w:tr w:rsidR="002D0AE7" w14:paraId="59EE2E6D" w14:textId="77777777">
        <w:trPr>
          <w:cantSplit/>
        </w:trPr>
        <w:tc>
          <w:tcPr>
            <w:tcW w:w="1675" w:type="pct"/>
            <w:shd w:val="clear" w:color="auto" w:fill="auto"/>
          </w:tcPr>
          <w:p w14:paraId="1C845BBC" w14:textId="77777777" w:rsidR="002D0AE7" w:rsidRDefault="00333EBB">
            <w:pPr>
              <w:ind w:right="105"/>
              <w:rPr>
                <w:rFonts w:hint="eastAsia"/>
                <w:color w:val="000000" w:themeColor="text1"/>
                <w:sz w:val="21"/>
                <w:szCs w:val="21"/>
              </w:rPr>
            </w:pPr>
            <w:r>
              <w:rPr>
                <w:rFonts w:hint="eastAsia"/>
                <w:color w:val="000000" w:themeColor="text1"/>
                <w:sz w:val="21"/>
                <w:szCs w:val="21"/>
              </w:rPr>
              <w:t>城市维护建设税</w:t>
            </w:r>
          </w:p>
        </w:tc>
        <w:tc>
          <w:tcPr>
            <w:tcW w:w="1661" w:type="pct"/>
            <w:shd w:val="clear" w:color="auto" w:fill="auto"/>
          </w:tcPr>
          <w:p w14:paraId="1CC00A20" w14:textId="77777777" w:rsidR="002D0AE7" w:rsidRDefault="00333EBB">
            <w:pPr>
              <w:ind w:right="73"/>
              <w:jc w:val="right"/>
              <w:rPr>
                <w:rFonts w:ascii="Times New Roman" w:hAnsi="Times New Roman" w:cs="Times New Roman"/>
                <w:sz w:val="21"/>
                <w:szCs w:val="21"/>
              </w:rPr>
            </w:pPr>
            <w:r>
              <w:rPr>
                <w:rFonts w:ascii="Times New Roman" w:hAnsi="Times New Roman" w:cs="Times New Roman"/>
                <w:sz w:val="21"/>
                <w:szCs w:val="21"/>
              </w:rPr>
              <w:t>1,345,774.78</w:t>
            </w:r>
          </w:p>
        </w:tc>
        <w:tc>
          <w:tcPr>
            <w:tcW w:w="1664" w:type="pct"/>
            <w:shd w:val="clear" w:color="auto" w:fill="auto"/>
            <w:vAlign w:val="center"/>
          </w:tcPr>
          <w:p w14:paraId="0E51246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2,542,058.98</w:t>
            </w:r>
          </w:p>
        </w:tc>
      </w:tr>
      <w:tr w:rsidR="002D0AE7" w14:paraId="3E0631F5" w14:textId="77777777">
        <w:trPr>
          <w:cantSplit/>
        </w:trPr>
        <w:tc>
          <w:tcPr>
            <w:tcW w:w="1675" w:type="pct"/>
          </w:tcPr>
          <w:p w14:paraId="2177EF7B" w14:textId="77777777" w:rsidR="002D0AE7" w:rsidRDefault="00333EBB">
            <w:pPr>
              <w:ind w:right="105"/>
              <w:rPr>
                <w:rFonts w:hint="eastAsia"/>
                <w:sz w:val="21"/>
                <w:szCs w:val="21"/>
              </w:rPr>
            </w:pPr>
            <w:r>
              <w:rPr>
                <w:sz w:val="21"/>
                <w:szCs w:val="21"/>
              </w:rPr>
              <w:t>教育费附加</w:t>
            </w:r>
          </w:p>
        </w:tc>
        <w:tc>
          <w:tcPr>
            <w:tcW w:w="1661" w:type="pct"/>
          </w:tcPr>
          <w:p w14:paraId="112AFA08" w14:textId="77777777" w:rsidR="002D0AE7" w:rsidRDefault="00333EBB">
            <w:pPr>
              <w:ind w:right="73"/>
              <w:jc w:val="right"/>
              <w:rPr>
                <w:rFonts w:ascii="Times New Roman" w:hAnsi="Times New Roman" w:cs="Times New Roman"/>
                <w:sz w:val="21"/>
                <w:szCs w:val="21"/>
              </w:rPr>
            </w:pPr>
            <w:r>
              <w:rPr>
                <w:rFonts w:ascii="Times New Roman" w:hAnsi="Times New Roman" w:cs="Times New Roman"/>
                <w:sz w:val="21"/>
                <w:szCs w:val="21"/>
              </w:rPr>
              <w:t>961,267.70</w:t>
            </w:r>
          </w:p>
        </w:tc>
        <w:tc>
          <w:tcPr>
            <w:tcW w:w="1664" w:type="pct"/>
            <w:vAlign w:val="center"/>
          </w:tcPr>
          <w:p w14:paraId="38C6CF2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1,815,756.42</w:t>
            </w:r>
          </w:p>
        </w:tc>
      </w:tr>
      <w:tr w:rsidR="002D0AE7" w14:paraId="0AC8134B" w14:textId="77777777">
        <w:trPr>
          <w:cantSplit/>
        </w:trPr>
        <w:tc>
          <w:tcPr>
            <w:tcW w:w="1675" w:type="pct"/>
          </w:tcPr>
          <w:p w14:paraId="0EB76A96" w14:textId="77777777" w:rsidR="002D0AE7" w:rsidRDefault="00333EBB">
            <w:pPr>
              <w:ind w:right="105"/>
              <w:rPr>
                <w:rFonts w:hint="eastAsia"/>
                <w:sz w:val="21"/>
                <w:szCs w:val="21"/>
              </w:rPr>
            </w:pPr>
            <w:r>
              <w:rPr>
                <w:sz w:val="21"/>
                <w:szCs w:val="21"/>
              </w:rPr>
              <w:t>房产税</w:t>
            </w:r>
          </w:p>
        </w:tc>
        <w:tc>
          <w:tcPr>
            <w:tcW w:w="1661" w:type="pct"/>
          </w:tcPr>
          <w:p w14:paraId="2D80A328" w14:textId="77777777" w:rsidR="002D0AE7" w:rsidRDefault="00333EBB">
            <w:pPr>
              <w:ind w:right="73"/>
              <w:jc w:val="right"/>
              <w:rPr>
                <w:rFonts w:ascii="Times New Roman" w:hAnsi="Times New Roman" w:cs="Times New Roman"/>
                <w:sz w:val="21"/>
                <w:szCs w:val="21"/>
              </w:rPr>
            </w:pPr>
            <w:r>
              <w:rPr>
                <w:rFonts w:ascii="Times New Roman" w:hAnsi="Times New Roman" w:cs="Times New Roman"/>
                <w:sz w:val="21"/>
                <w:szCs w:val="21"/>
              </w:rPr>
              <w:t>289,336.15</w:t>
            </w:r>
          </w:p>
        </w:tc>
        <w:tc>
          <w:tcPr>
            <w:tcW w:w="1664" w:type="pct"/>
            <w:vAlign w:val="center"/>
          </w:tcPr>
          <w:p w14:paraId="3B0004E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289,336.15</w:t>
            </w:r>
          </w:p>
        </w:tc>
      </w:tr>
      <w:tr w:rsidR="002D0AE7" w14:paraId="01595D0E" w14:textId="77777777">
        <w:trPr>
          <w:cantSplit/>
        </w:trPr>
        <w:tc>
          <w:tcPr>
            <w:tcW w:w="1675" w:type="pct"/>
          </w:tcPr>
          <w:p w14:paraId="3898D8C6" w14:textId="77777777" w:rsidR="002D0AE7" w:rsidRDefault="00333EBB">
            <w:pPr>
              <w:ind w:right="105"/>
              <w:rPr>
                <w:rFonts w:hint="eastAsia"/>
                <w:sz w:val="21"/>
                <w:szCs w:val="21"/>
              </w:rPr>
            </w:pPr>
            <w:r>
              <w:rPr>
                <w:sz w:val="21"/>
                <w:szCs w:val="21"/>
              </w:rPr>
              <w:t>土地使用税</w:t>
            </w:r>
          </w:p>
        </w:tc>
        <w:tc>
          <w:tcPr>
            <w:tcW w:w="1661" w:type="pct"/>
            <w:vAlign w:val="center"/>
          </w:tcPr>
          <w:p w14:paraId="5AC0E411" w14:textId="77777777" w:rsidR="002D0AE7" w:rsidRDefault="00333EBB">
            <w:pPr>
              <w:ind w:right="73"/>
              <w:jc w:val="right"/>
              <w:rPr>
                <w:rFonts w:ascii="Times New Roman" w:hAnsi="Times New Roman" w:cs="Times New Roman"/>
                <w:sz w:val="21"/>
                <w:szCs w:val="21"/>
              </w:rPr>
            </w:pPr>
            <w:r>
              <w:rPr>
                <w:rFonts w:ascii="Times New Roman" w:hAnsi="Times New Roman" w:cs="Times New Roman"/>
                <w:sz w:val="21"/>
                <w:szCs w:val="21"/>
              </w:rPr>
              <w:t>116,500.93</w:t>
            </w:r>
          </w:p>
        </w:tc>
        <w:tc>
          <w:tcPr>
            <w:tcW w:w="1664" w:type="pct"/>
            <w:vAlign w:val="center"/>
          </w:tcPr>
          <w:p w14:paraId="34FA4C9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116,500.93</w:t>
            </w:r>
          </w:p>
        </w:tc>
      </w:tr>
      <w:tr w:rsidR="002D0AE7" w14:paraId="431F37B8" w14:textId="77777777">
        <w:trPr>
          <w:cantSplit/>
        </w:trPr>
        <w:tc>
          <w:tcPr>
            <w:tcW w:w="1675" w:type="pct"/>
          </w:tcPr>
          <w:p w14:paraId="5C53A2E6" w14:textId="77777777" w:rsidR="002D0AE7" w:rsidRDefault="00333EBB">
            <w:pPr>
              <w:ind w:right="105"/>
              <w:rPr>
                <w:rFonts w:hint="eastAsia"/>
                <w:sz w:val="21"/>
                <w:szCs w:val="21"/>
              </w:rPr>
            </w:pPr>
            <w:r>
              <w:rPr>
                <w:sz w:val="21"/>
                <w:szCs w:val="21"/>
              </w:rPr>
              <w:t>印花税</w:t>
            </w:r>
          </w:p>
        </w:tc>
        <w:tc>
          <w:tcPr>
            <w:tcW w:w="1661" w:type="pct"/>
            <w:vAlign w:val="center"/>
          </w:tcPr>
          <w:p w14:paraId="0F9D2FF8" w14:textId="77777777" w:rsidR="002D0AE7" w:rsidRDefault="00333EBB">
            <w:pPr>
              <w:ind w:right="73"/>
              <w:jc w:val="right"/>
              <w:rPr>
                <w:rFonts w:ascii="Times New Roman" w:hAnsi="Times New Roman" w:cs="Times New Roman"/>
                <w:sz w:val="21"/>
                <w:szCs w:val="21"/>
              </w:rPr>
            </w:pPr>
            <w:r>
              <w:rPr>
                <w:rFonts w:ascii="Times New Roman" w:hAnsi="Times New Roman" w:cs="Times New Roman"/>
                <w:sz w:val="21"/>
                <w:szCs w:val="21"/>
              </w:rPr>
              <w:t>76,787.51</w:t>
            </w:r>
          </w:p>
        </w:tc>
        <w:tc>
          <w:tcPr>
            <w:tcW w:w="1664" w:type="pct"/>
            <w:vAlign w:val="center"/>
          </w:tcPr>
          <w:p w14:paraId="1C45F6F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236,184.92</w:t>
            </w:r>
          </w:p>
        </w:tc>
      </w:tr>
      <w:tr w:rsidR="002D0AE7" w14:paraId="05F71B38" w14:textId="77777777">
        <w:trPr>
          <w:cantSplit/>
        </w:trPr>
        <w:tc>
          <w:tcPr>
            <w:tcW w:w="1675" w:type="pct"/>
            <w:vAlign w:val="center"/>
          </w:tcPr>
          <w:p w14:paraId="1FA96237" w14:textId="77777777" w:rsidR="002D0AE7" w:rsidRDefault="00333EBB">
            <w:pPr>
              <w:ind w:right="105"/>
              <w:jc w:val="center"/>
              <w:rPr>
                <w:rFonts w:hint="eastAsia"/>
                <w:color w:val="000000" w:themeColor="text1"/>
                <w:sz w:val="21"/>
                <w:szCs w:val="21"/>
              </w:rPr>
            </w:pPr>
            <w:r>
              <w:rPr>
                <w:rFonts w:hint="eastAsia"/>
                <w:color w:val="000000" w:themeColor="text1"/>
                <w:sz w:val="21"/>
                <w:szCs w:val="21"/>
              </w:rPr>
              <w:t>合计</w:t>
            </w:r>
          </w:p>
        </w:tc>
        <w:tc>
          <w:tcPr>
            <w:tcW w:w="1661" w:type="pct"/>
          </w:tcPr>
          <w:p w14:paraId="40299FB0" w14:textId="77777777" w:rsidR="002D0AE7" w:rsidRDefault="00333EBB">
            <w:pPr>
              <w:ind w:right="73"/>
              <w:jc w:val="right"/>
              <w:rPr>
                <w:rFonts w:ascii="Times New Roman" w:hAnsi="Times New Roman" w:cs="Times New Roman"/>
                <w:sz w:val="21"/>
                <w:szCs w:val="21"/>
              </w:rPr>
            </w:pPr>
            <w:r>
              <w:rPr>
                <w:rFonts w:ascii="Times New Roman" w:hAnsi="Times New Roman" w:cs="Times New Roman"/>
                <w:sz w:val="21"/>
                <w:szCs w:val="21"/>
              </w:rPr>
              <w:t>33,530,469.94</w:t>
            </w:r>
          </w:p>
        </w:tc>
        <w:tc>
          <w:tcPr>
            <w:tcW w:w="1664" w:type="pct"/>
            <w:vAlign w:val="center"/>
          </w:tcPr>
          <w:p w14:paraId="17DFF64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42,826,862.52</w:t>
            </w:r>
          </w:p>
        </w:tc>
      </w:tr>
    </w:tbl>
    <w:p w14:paraId="73DBF3A1" w14:textId="77777777" w:rsidR="002D0AE7" w:rsidRDefault="00333EBB">
      <w:pPr>
        <w:rPr>
          <w:rFonts w:hint="eastAsia"/>
          <w:color w:val="000000" w:themeColor="text1"/>
        </w:rPr>
      </w:pPr>
      <w:r>
        <w:rPr>
          <w:rFonts w:hint="eastAsia"/>
          <w:color w:val="000000" w:themeColor="text1"/>
        </w:rPr>
        <w:t>其他说明：</w:t>
      </w:r>
      <w:sdt>
        <w:sdtPr>
          <w:rPr>
            <w:color w:val="000000" w:themeColor="text1"/>
          </w:rPr>
          <w:alias w:val="应交税金的说明"/>
          <w:tag w:val="_GBC_fb59f8f9de2d41c3aaf0dc3b0970dd91"/>
          <w:id w:val="939106317"/>
          <w:placeholder>
            <w:docPart w:val="GBC22222222222222222222222222222"/>
          </w:placeholder>
        </w:sdtPr>
        <w:sdtEndPr/>
        <w:sdtContent>
          <w:r>
            <w:rPr>
              <w:rFonts w:hint="eastAsia"/>
              <w:color w:val="000000" w:themeColor="text1"/>
            </w:rPr>
            <w:t>无</w:t>
          </w:r>
        </w:sdtContent>
      </w:sdt>
    </w:p>
    <w:p w14:paraId="581E61D8"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szCs w:val="21"/>
        </w:rPr>
        <w:t>其他应付款</w:t>
      </w:r>
    </w:p>
    <w:p w14:paraId="209C8D23" w14:textId="77777777" w:rsidR="002D0AE7" w:rsidRDefault="00333EBB">
      <w:pPr>
        <w:pStyle w:val="4"/>
        <w:numPr>
          <w:ilvl w:val="0"/>
          <w:numId w:val="62"/>
        </w:numPr>
        <w:ind w:left="425" w:hanging="425"/>
        <w:rPr>
          <w:color w:val="000000" w:themeColor="text1"/>
        </w:rPr>
      </w:pPr>
      <w:bookmarkStart w:id="202" w:name="_Hlk167960650"/>
      <w:r>
        <w:rPr>
          <w:rFonts w:hint="eastAsia"/>
          <w:color w:val="000000" w:themeColor="text1"/>
        </w:rPr>
        <w:t>项目列示</w:t>
      </w:r>
    </w:p>
    <w:sdt>
      <w:sdtPr>
        <w:rPr>
          <w:color w:val="000000" w:themeColor="text1"/>
        </w:rPr>
        <w:alias w:val="是否适用：其他应付款分类列示[双击切换]"/>
        <w:tag w:val="_GBC_5827d75493f041f68356cdf43e4b0e52"/>
        <w:id w:val="-2052756480"/>
        <w:placeholder>
          <w:docPart w:val="GBC22222222222222222222222222222"/>
        </w:placeholder>
      </w:sdtPr>
      <w:sdtEndPr/>
      <w:sdtContent>
        <w:p w14:paraId="30DF403F"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7FB08421"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其他应付款分类列示"/>
          <w:tag w:val="_GBC_2c430d2cae634c2e8376192a2b4c05d5"/>
          <w:id w:val="-202932112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其他应付款分类列示"/>
          <w:tag w:val="_GBC_ac9f03788d1745f8afc5195f61ce7b16"/>
          <w:id w:val="-84563160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2792"/>
        <w:gridCol w:w="2806"/>
      </w:tblGrid>
      <w:tr w:rsidR="002D0AE7" w14:paraId="20C931DC" w14:textId="77777777">
        <w:sdt>
          <w:sdtPr>
            <w:rPr>
              <w:color w:val="000000" w:themeColor="text1"/>
              <w:sz w:val="21"/>
              <w:szCs w:val="21"/>
            </w:rPr>
            <w:tag w:val="_PLD_547406e2caa94b57a871517659cf9c0e"/>
            <w:id w:val="-1665697868"/>
          </w:sdtPr>
          <w:sdtEndPr/>
          <w:sdtContent>
            <w:tc>
              <w:tcPr>
                <w:tcW w:w="1828" w:type="pct"/>
                <w:shd w:val="clear" w:color="auto" w:fill="auto"/>
                <w:vAlign w:val="center"/>
              </w:tcPr>
              <w:p w14:paraId="31C9DEA0" w14:textId="77777777" w:rsidR="002D0AE7" w:rsidRDefault="00333EBB">
                <w:pPr>
                  <w:tabs>
                    <w:tab w:val="right" w:pos="3690"/>
                    <w:tab w:val="right" w:pos="5130"/>
                    <w:tab w:val="right" w:pos="6030"/>
                    <w:tab w:val="right" w:pos="7650"/>
                    <w:tab w:val="right" w:pos="9270"/>
                  </w:tabs>
                  <w:adjustRightInd w:val="0"/>
                  <w:snapToGrid w:val="0"/>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d719b36c588443f38353aada8839625f"/>
            <w:id w:val="231271989"/>
          </w:sdtPr>
          <w:sdtEndPr/>
          <w:sdtContent>
            <w:tc>
              <w:tcPr>
                <w:tcW w:w="1582" w:type="pct"/>
                <w:shd w:val="clear" w:color="auto" w:fill="auto"/>
                <w:vAlign w:val="center"/>
              </w:tcPr>
              <w:p w14:paraId="286E64B0"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sdt>
          <w:sdtPr>
            <w:rPr>
              <w:color w:val="000000" w:themeColor="text1"/>
              <w:sz w:val="21"/>
              <w:szCs w:val="21"/>
            </w:rPr>
            <w:tag w:val="_PLD_bc6045ff64f3481da65c0cff41edd1d0"/>
            <w:id w:val="-555557612"/>
          </w:sdtPr>
          <w:sdtEndPr/>
          <w:sdtContent>
            <w:tc>
              <w:tcPr>
                <w:tcW w:w="1590" w:type="pct"/>
                <w:shd w:val="clear" w:color="auto" w:fill="auto"/>
                <w:vAlign w:val="center"/>
              </w:tcPr>
              <w:p w14:paraId="2E196F22" w14:textId="77777777" w:rsidR="002D0AE7" w:rsidRDefault="00333EBB">
                <w:pPr>
                  <w:jc w:val="center"/>
                  <w:rPr>
                    <w:rFonts w:hint="eastAsia"/>
                    <w:color w:val="000000" w:themeColor="text1"/>
                    <w:sz w:val="21"/>
                    <w:szCs w:val="21"/>
                  </w:rPr>
                </w:pPr>
                <w:r>
                  <w:rPr>
                    <w:rFonts w:hint="eastAsia"/>
                    <w:color w:val="000000" w:themeColor="text1"/>
                    <w:sz w:val="21"/>
                    <w:szCs w:val="21"/>
                  </w:rPr>
                  <w:t>期初余额</w:t>
                </w:r>
              </w:p>
            </w:tc>
          </w:sdtContent>
        </w:sdt>
      </w:tr>
      <w:tr w:rsidR="002D0AE7" w14:paraId="08037581" w14:textId="77777777">
        <w:tc>
          <w:tcPr>
            <w:tcW w:w="1828" w:type="pct"/>
            <w:shd w:val="clear" w:color="auto" w:fill="auto"/>
          </w:tcPr>
          <w:p w14:paraId="618A9BD6" w14:textId="77777777" w:rsidR="002D0AE7" w:rsidRDefault="00333EBB">
            <w:pPr>
              <w:tabs>
                <w:tab w:val="right" w:pos="3690"/>
                <w:tab w:val="right" w:pos="5130"/>
                <w:tab w:val="right" w:pos="6030"/>
                <w:tab w:val="right" w:pos="7650"/>
                <w:tab w:val="right" w:pos="9270"/>
              </w:tabs>
              <w:adjustRightInd w:val="0"/>
              <w:snapToGrid w:val="0"/>
              <w:rPr>
                <w:rFonts w:hint="eastAsia"/>
                <w:color w:val="000000" w:themeColor="text1"/>
                <w:sz w:val="21"/>
                <w:szCs w:val="21"/>
              </w:rPr>
            </w:pPr>
            <w:r>
              <w:rPr>
                <w:rFonts w:hint="eastAsia"/>
                <w:color w:val="000000" w:themeColor="text1"/>
                <w:sz w:val="21"/>
                <w:szCs w:val="21"/>
              </w:rPr>
              <w:t>应付利息</w:t>
            </w:r>
          </w:p>
        </w:tc>
        <w:tc>
          <w:tcPr>
            <w:tcW w:w="1582" w:type="pct"/>
            <w:shd w:val="clear" w:color="auto" w:fill="auto"/>
          </w:tcPr>
          <w:p w14:paraId="1D89558F" w14:textId="77777777" w:rsidR="002D0AE7" w:rsidRDefault="00333EBB">
            <w:pPr>
              <w:tabs>
                <w:tab w:val="right" w:pos="3690"/>
                <w:tab w:val="right" w:pos="5130"/>
                <w:tab w:val="right" w:pos="6030"/>
                <w:tab w:val="right" w:pos="7650"/>
                <w:tab w:val="right" w:pos="9270"/>
              </w:tabs>
              <w:adjustRightInd w:val="0"/>
              <w:snapToGrid w:val="0"/>
              <w:jc w:val="right"/>
              <w:rPr>
                <w:rFonts w:ascii="Times New Roman" w:hAnsi="Times New Roman" w:cs="Times New Roman"/>
                <w:sz w:val="21"/>
                <w:szCs w:val="21"/>
              </w:rPr>
            </w:pPr>
            <w:r>
              <w:rPr>
                <w:rFonts w:ascii="Times New Roman" w:hAnsi="Times New Roman" w:cs="Times New Roman" w:hint="eastAsia"/>
                <w:sz w:val="21"/>
                <w:szCs w:val="21"/>
              </w:rPr>
              <w:t>0.00</w:t>
            </w:r>
          </w:p>
        </w:tc>
        <w:tc>
          <w:tcPr>
            <w:tcW w:w="1590" w:type="pct"/>
            <w:shd w:val="clear" w:color="auto" w:fill="auto"/>
            <w:vAlign w:val="center"/>
          </w:tcPr>
          <w:p w14:paraId="38A4093F" w14:textId="77777777" w:rsidR="002D0AE7" w:rsidRDefault="00333EBB">
            <w:pPr>
              <w:tabs>
                <w:tab w:val="right" w:pos="3690"/>
                <w:tab w:val="right" w:pos="5130"/>
                <w:tab w:val="right" w:pos="6030"/>
                <w:tab w:val="right" w:pos="7650"/>
                <w:tab w:val="right" w:pos="9270"/>
              </w:tabs>
              <w:adjustRightInd w:val="0"/>
              <w:snapToGrid w:val="0"/>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4E6A0866" w14:textId="77777777">
        <w:tc>
          <w:tcPr>
            <w:tcW w:w="1828" w:type="pct"/>
            <w:shd w:val="clear" w:color="auto" w:fill="auto"/>
          </w:tcPr>
          <w:p w14:paraId="07BF9183" w14:textId="77777777" w:rsidR="002D0AE7" w:rsidRDefault="00333EBB">
            <w:pPr>
              <w:tabs>
                <w:tab w:val="right" w:pos="3690"/>
                <w:tab w:val="right" w:pos="5130"/>
                <w:tab w:val="right" w:pos="6030"/>
                <w:tab w:val="right" w:pos="7650"/>
                <w:tab w:val="right" w:pos="9270"/>
              </w:tabs>
              <w:adjustRightInd w:val="0"/>
              <w:snapToGrid w:val="0"/>
              <w:rPr>
                <w:rFonts w:hint="eastAsia"/>
                <w:color w:val="000000" w:themeColor="text1"/>
                <w:sz w:val="21"/>
                <w:szCs w:val="21"/>
              </w:rPr>
            </w:pPr>
            <w:r>
              <w:rPr>
                <w:rFonts w:hint="eastAsia"/>
                <w:color w:val="000000" w:themeColor="text1"/>
                <w:sz w:val="21"/>
                <w:szCs w:val="21"/>
              </w:rPr>
              <w:t>应付股利</w:t>
            </w:r>
          </w:p>
        </w:tc>
        <w:tc>
          <w:tcPr>
            <w:tcW w:w="1582" w:type="pct"/>
            <w:shd w:val="clear" w:color="auto" w:fill="auto"/>
          </w:tcPr>
          <w:p w14:paraId="5B3DF22E" w14:textId="77777777" w:rsidR="002D0AE7" w:rsidRDefault="00333EBB">
            <w:pPr>
              <w:tabs>
                <w:tab w:val="right" w:pos="3690"/>
                <w:tab w:val="right" w:pos="5130"/>
                <w:tab w:val="right" w:pos="6030"/>
                <w:tab w:val="right" w:pos="7650"/>
                <w:tab w:val="right" w:pos="9270"/>
              </w:tabs>
              <w:adjustRightInd w:val="0"/>
              <w:snapToGrid w:val="0"/>
              <w:jc w:val="right"/>
              <w:rPr>
                <w:rFonts w:ascii="Times New Roman" w:hAnsi="Times New Roman" w:cs="Times New Roman"/>
                <w:sz w:val="21"/>
                <w:szCs w:val="21"/>
              </w:rPr>
            </w:pPr>
            <w:r>
              <w:rPr>
                <w:rFonts w:ascii="Times New Roman" w:hAnsi="Times New Roman" w:cs="Times New Roman"/>
                <w:sz w:val="21"/>
                <w:szCs w:val="21"/>
              </w:rPr>
              <w:t>283,563.61</w:t>
            </w:r>
          </w:p>
        </w:tc>
        <w:tc>
          <w:tcPr>
            <w:tcW w:w="1590" w:type="pct"/>
            <w:shd w:val="clear" w:color="auto" w:fill="auto"/>
            <w:vAlign w:val="center"/>
          </w:tcPr>
          <w:p w14:paraId="7280B343" w14:textId="77777777" w:rsidR="002D0AE7" w:rsidRDefault="00333EBB">
            <w:pPr>
              <w:tabs>
                <w:tab w:val="right" w:pos="3690"/>
                <w:tab w:val="right" w:pos="5130"/>
                <w:tab w:val="right" w:pos="6030"/>
                <w:tab w:val="right" w:pos="7650"/>
                <w:tab w:val="right" w:pos="9270"/>
              </w:tabs>
              <w:adjustRightInd w:val="0"/>
              <w:snapToGrid w:val="0"/>
              <w:jc w:val="right"/>
              <w:rPr>
                <w:rFonts w:ascii="Times New Roman" w:hAnsi="Times New Roman" w:cs="Times New Roman"/>
                <w:sz w:val="21"/>
                <w:szCs w:val="21"/>
              </w:rPr>
            </w:pPr>
            <w:r>
              <w:rPr>
                <w:rFonts w:ascii="Times New Roman" w:hAnsi="Times New Roman" w:cs="Times New Roman"/>
                <w:sz w:val="21"/>
                <w:szCs w:val="21"/>
              </w:rPr>
              <w:t>134,743.73</w:t>
            </w:r>
          </w:p>
        </w:tc>
      </w:tr>
      <w:tr w:rsidR="002D0AE7" w14:paraId="2B813B71" w14:textId="77777777">
        <w:tc>
          <w:tcPr>
            <w:tcW w:w="1828" w:type="pct"/>
            <w:shd w:val="clear" w:color="auto" w:fill="auto"/>
          </w:tcPr>
          <w:p w14:paraId="54D12305" w14:textId="77777777" w:rsidR="002D0AE7" w:rsidRDefault="00333EBB">
            <w:pPr>
              <w:tabs>
                <w:tab w:val="right" w:pos="3690"/>
                <w:tab w:val="right" w:pos="5130"/>
                <w:tab w:val="right" w:pos="6030"/>
                <w:tab w:val="right" w:pos="7650"/>
                <w:tab w:val="right" w:pos="9270"/>
              </w:tabs>
              <w:adjustRightInd w:val="0"/>
              <w:snapToGrid w:val="0"/>
              <w:rPr>
                <w:rFonts w:hint="eastAsia"/>
                <w:color w:val="000000" w:themeColor="text1"/>
                <w:sz w:val="21"/>
                <w:szCs w:val="21"/>
              </w:rPr>
            </w:pPr>
            <w:r>
              <w:rPr>
                <w:rFonts w:hint="eastAsia"/>
                <w:color w:val="000000" w:themeColor="text1"/>
                <w:sz w:val="21"/>
                <w:szCs w:val="21"/>
              </w:rPr>
              <w:t>其他应付款</w:t>
            </w:r>
          </w:p>
        </w:tc>
        <w:tc>
          <w:tcPr>
            <w:tcW w:w="1582" w:type="pct"/>
            <w:shd w:val="clear" w:color="auto" w:fill="auto"/>
          </w:tcPr>
          <w:p w14:paraId="76395B38" w14:textId="77777777" w:rsidR="002D0AE7" w:rsidRDefault="00333EBB">
            <w:pPr>
              <w:tabs>
                <w:tab w:val="right" w:pos="3690"/>
                <w:tab w:val="right" w:pos="5130"/>
                <w:tab w:val="right" w:pos="6030"/>
                <w:tab w:val="right" w:pos="7650"/>
                <w:tab w:val="right" w:pos="9270"/>
              </w:tabs>
              <w:adjustRightInd w:val="0"/>
              <w:snapToGrid w:val="0"/>
              <w:jc w:val="right"/>
              <w:rPr>
                <w:rFonts w:ascii="Times New Roman" w:hAnsi="Times New Roman" w:cs="Times New Roman"/>
                <w:sz w:val="21"/>
                <w:szCs w:val="21"/>
              </w:rPr>
            </w:pPr>
            <w:r>
              <w:rPr>
                <w:rFonts w:ascii="Times New Roman" w:hAnsi="Times New Roman" w:cs="Times New Roman"/>
                <w:sz w:val="21"/>
                <w:szCs w:val="21"/>
              </w:rPr>
              <w:t>266,759,576.32</w:t>
            </w:r>
          </w:p>
        </w:tc>
        <w:tc>
          <w:tcPr>
            <w:tcW w:w="1590" w:type="pct"/>
            <w:shd w:val="clear" w:color="auto" w:fill="auto"/>
            <w:vAlign w:val="center"/>
          </w:tcPr>
          <w:p w14:paraId="116D5C79" w14:textId="77777777" w:rsidR="002D0AE7" w:rsidRDefault="00333EBB">
            <w:pPr>
              <w:tabs>
                <w:tab w:val="right" w:pos="3690"/>
                <w:tab w:val="right" w:pos="5130"/>
                <w:tab w:val="right" w:pos="6030"/>
                <w:tab w:val="right" w:pos="7650"/>
                <w:tab w:val="right" w:pos="9270"/>
              </w:tabs>
              <w:adjustRightInd w:val="0"/>
              <w:snapToGrid w:val="0"/>
              <w:jc w:val="right"/>
              <w:rPr>
                <w:rFonts w:ascii="Times New Roman" w:hAnsi="Times New Roman" w:cs="Times New Roman"/>
                <w:sz w:val="21"/>
                <w:szCs w:val="21"/>
              </w:rPr>
            </w:pPr>
            <w:r>
              <w:rPr>
                <w:rFonts w:ascii="Times New Roman" w:hAnsi="Times New Roman" w:cs="Times New Roman"/>
                <w:sz w:val="21"/>
                <w:szCs w:val="21"/>
              </w:rPr>
              <w:t>249,686,668.55</w:t>
            </w:r>
          </w:p>
        </w:tc>
      </w:tr>
      <w:tr w:rsidR="002D0AE7" w14:paraId="614B15CC" w14:textId="77777777">
        <w:tc>
          <w:tcPr>
            <w:tcW w:w="1828" w:type="pct"/>
            <w:shd w:val="clear" w:color="auto" w:fill="auto"/>
          </w:tcPr>
          <w:p w14:paraId="17D21B58" w14:textId="77777777" w:rsidR="002D0AE7" w:rsidRDefault="00333EBB">
            <w:pPr>
              <w:tabs>
                <w:tab w:val="right" w:pos="3690"/>
                <w:tab w:val="right" w:pos="5130"/>
                <w:tab w:val="right" w:pos="6030"/>
                <w:tab w:val="right" w:pos="7650"/>
                <w:tab w:val="right" w:pos="9270"/>
              </w:tabs>
              <w:adjustRightInd w:val="0"/>
              <w:snapToGrid w:val="0"/>
              <w:rPr>
                <w:rFonts w:hint="eastAsia"/>
                <w:color w:val="000000" w:themeColor="text1"/>
                <w:sz w:val="21"/>
                <w:szCs w:val="21"/>
              </w:rPr>
            </w:pPr>
            <w:r>
              <w:rPr>
                <w:rFonts w:hint="eastAsia"/>
                <w:color w:val="000000" w:themeColor="text1"/>
                <w:sz w:val="21"/>
                <w:szCs w:val="21"/>
              </w:rPr>
              <w:t>合计</w:t>
            </w:r>
          </w:p>
        </w:tc>
        <w:tc>
          <w:tcPr>
            <w:tcW w:w="1582" w:type="pct"/>
            <w:shd w:val="clear" w:color="auto" w:fill="auto"/>
          </w:tcPr>
          <w:p w14:paraId="726FC8C5" w14:textId="77777777" w:rsidR="002D0AE7" w:rsidRDefault="00333EBB">
            <w:pPr>
              <w:tabs>
                <w:tab w:val="right" w:pos="3690"/>
                <w:tab w:val="right" w:pos="5130"/>
                <w:tab w:val="right" w:pos="6030"/>
                <w:tab w:val="right" w:pos="7650"/>
                <w:tab w:val="right" w:pos="9270"/>
              </w:tabs>
              <w:adjustRightInd w:val="0"/>
              <w:snapToGrid w:val="0"/>
              <w:jc w:val="right"/>
              <w:rPr>
                <w:rFonts w:ascii="Times New Roman" w:hAnsi="Times New Roman" w:cs="Times New Roman"/>
                <w:sz w:val="21"/>
                <w:szCs w:val="21"/>
              </w:rPr>
            </w:pPr>
            <w:r>
              <w:rPr>
                <w:rFonts w:ascii="Times New Roman" w:hAnsi="Times New Roman" w:cs="Times New Roman"/>
                <w:sz w:val="21"/>
                <w:szCs w:val="21"/>
              </w:rPr>
              <w:t>267,043,139.93</w:t>
            </w:r>
          </w:p>
        </w:tc>
        <w:tc>
          <w:tcPr>
            <w:tcW w:w="1590" w:type="pct"/>
            <w:shd w:val="clear" w:color="auto" w:fill="auto"/>
            <w:vAlign w:val="center"/>
          </w:tcPr>
          <w:p w14:paraId="45762A8C" w14:textId="77777777" w:rsidR="002D0AE7" w:rsidRDefault="00333EBB">
            <w:pPr>
              <w:tabs>
                <w:tab w:val="right" w:pos="3690"/>
                <w:tab w:val="right" w:pos="5130"/>
                <w:tab w:val="right" w:pos="6030"/>
                <w:tab w:val="right" w:pos="7650"/>
                <w:tab w:val="right" w:pos="9270"/>
              </w:tabs>
              <w:adjustRightInd w:val="0"/>
              <w:snapToGrid w:val="0"/>
              <w:jc w:val="right"/>
              <w:rPr>
                <w:rFonts w:ascii="Times New Roman" w:hAnsi="Times New Roman" w:cs="Times New Roman"/>
                <w:sz w:val="21"/>
                <w:szCs w:val="21"/>
              </w:rPr>
            </w:pPr>
            <w:r>
              <w:rPr>
                <w:rFonts w:ascii="Times New Roman" w:hAnsi="Times New Roman" w:cs="Times New Roman"/>
                <w:sz w:val="21"/>
                <w:szCs w:val="21"/>
              </w:rPr>
              <w:t>249,821,412.28</w:t>
            </w:r>
          </w:p>
        </w:tc>
      </w:tr>
    </w:tbl>
    <w:p w14:paraId="18902441" w14:textId="77777777" w:rsidR="002D0AE7" w:rsidRDefault="00333EBB">
      <w:pPr>
        <w:pStyle w:val="4"/>
        <w:numPr>
          <w:ilvl w:val="0"/>
          <w:numId w:val="62"/>
        </w:numPr>
        <w:ind w:left="425" w:hanging="425"/>
        <w:rPr>
          <w:rFonts w:ascii="宋体" w:hAnsi="宋体" w:cs="宋体" w:hint="eastAsia"/>
          <w:color w:val="000000" w:themeColor="text1"/>
          <w:kern w:val="0"/>
          <w:szCs w:val="24"/>
        </w:rPr>
      </w:pPr>
      <w:bookmarkStart w:id="203" w:name="_Hlk10536047"/>
      <w:bookmarkEnd w:id="202"/>
      <w:r>
        <w:rPr>
          <w:rFonts w:ascii="宋体" w:hAnsi="宋体" w:cs="宋体" w:hint="eastAsia"/>
          <w:color w:val="000000" w:themeColor="text1"/>
          <w:kern w:val="0"/>
          <w:szCs w:val="24"/>
        </w:rPr>
        <w:t>应付利息</w:t>
      </w:r>
    </w:p>
    <w:sdt>
      <w:sdtPr>
        <w:rPr>
          <w:color w:val="000000" w:themeColor="text1"/>
        </w:rPr>
        <w:alias w:val="是否适用：应付利息[双击切换]"/>
        <w:tag w:val="_GBC_9058c1c6b0a94f6a8c531ec2dbd35706"/>
        <w:id w:val="-1154371865"/>
        <w:placeholder>
          <w:docPart w:val="GBC22222222222222222222222222222"/>
        </w:placeholder>
      </w:sdtPr>
      <w:sdtEndPr/>
      <w:sdtContent>
        <w:p w14:paraId="6CCB8FBA" w14:textId="77777777" w:rsidR="002D0AE7" w:rsidRDefault="00333EBB">
          <w:pPr>
            <w:rPr>
              <w:rFonts w:hint="eastAsia"/>
              <w:color w:val="000000" w:themeColor="text1"/>
            </w:rPr>
          </w:pPr>
          <w:r>
            <w:rPr>
              <w:color w:val="000000" w:themeColor="text1"/>
            </w:rPr>
            <w:fldChar w:fldCharType="begin"/>
          </w:r>
          <w:r>
            <w:rPr>
              <w:color w:val="000000" w:themeColor="text1"/>
            </w:rPr>
            <w:instrText>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5855C2A9" w14:textId="77777777" w:rsidR="002D0AE7" w:rsidRDefault="00333EBB">
      <w:pPr>
        <w:pStyle w:val="4"/>
        <w:rPr>
          <w:rFonts w:ascii="宋体" w:hAnsi="宋体" w:hint="eastAsia"/>
          <w:color w:val="000000" w:themeColor="text1"/>
        </w:rPr>
      </w:pPr>
      <w:bookmarkStart w:id="204" w:name="_Hlk10536068"/>
      <w:bookmarkStart w:id="205" w:name="_Hlk10536082"/>
      <w:bookmarkEnd w:id="203"/>
      <w:r>
        <w:rPr>
          <w:rFonts w:ascii="宋体" w:hAnsi="宋体" w:hint="eastAsia"/>
          <w:color w:val="000000" w:themeColor="text1"/>
        </w:rPr>
        <w:t>应付股利</w:t>
      </w:r>
      <w:bookmarkEnd w:id="204"/>
    </w:p>
    <w:sdt>
      <w:sdtPr>
        <w:rPr>
          <w:color w:val="000000" w:themeColor="text1"/>
        </w:rPr>
        <w:alias w:val="是否适用：应付股利[双击切换]"/>
        <w:tag w:val="_GBC_09dc75ba10d44acfb18b03320a40e4c5"/>
        <w:id w:val="1878579672"/>
        <w:placeholder>
          <w:docPart w:val="GBC22222222222222222222222222222"/>
        </w:placeholder>
      </w:sdtPr>
      <w:sdtEndPr/>
      <w:sdtContent>
        <w:p w14:paraId="6D19C367"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106A49D8"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应付股利"/>
          <w:tag w:val="_GBC_794436f63bf446c4b4d5d09922a87476"/>
          <w:id w:val="-180583980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应付股利"/>
          <w:tag w:val="_GBC_3ac9f6019d6040e79214de869765e7c9"/>
          <w:id w:val="47287667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2835"/>
        <w:gridCol w:w="2993"/>
        <w:gridCol w:w="2995"/>
      </w:tblGrid>
      <w:tr w:rsidR="002D0AE7" w14:paraId="787EBCC7" w14:textId="77777777">
        <w:trPr>
          <w:cantSplit/>
        </w:trPr>
        <w:sdt>
          <w:sdtPr>
            <w:rPr>
              <w:color w:val="000000" w:themeColor="text1"/>
              <w:sz w:val="21"/>
              <w:szCs w:val="21"/>
            </w:rPr>
            <w:tag w:val="_PLD_9d58938574b04fdbb97abe896d2ae73a"/>
            <w:id w:val="-1950388907"/>
          </w:sdtPr>
          <w:sdtEndPr/>
          <w:sdtContent>
            <w:tc>
              <w:tcPr>
                <w:tcW w:w="1607" w:type="pct"/>
              </w:tcPr>
              <w:p w14:paraId="589FAE05" w14:textId="77777777" w:rsidR="002D0AE7" w:rsidRDefault="00333EBB">
                <w:pPr>
                  <w:ind w:right="105"/>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464a3e2801194be5b8f549044d634880"/>
            <w:id w:val="-1582749238"/>
          </w:sdtPr>
          <w:sdtEndPr/>
          <w:sdtContent>
            <w:tc>
              <w:tcPr>
                <w:tcW w:w="1696" w:type="pct"/>
              </w:tcPr>
              <w:p w14:paraId="00E3EBC2"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sdt>
          <w:sdtPr>
            <w:rPr>
              <w:color w:val="000000" w:themeColor="text1"/>
              <w:sz w:val="21"/>
              <w:szCs w:val="21"/>
            </w:rPr>
            <w:tag w:val="_PLD_b96a666c25174aeab9bab423f51ae94f"/>
            <w:id w:val="2013727863"/>
          </w:sdtPr>
          <w:sdtEndPr/>
          <w:sdtContent>
            <w:tc>
              <w:tcPr>
                <w:tcW w:w="1697" w:type="pct"/>
              </w:tcPr>
              <w:p w14:paraId="42D82135" w14:textId="77777777" w:rsidR="002D0AE7" w:rsidRDefault="00333EBB">
                <w:pPr>
                  <w:jc w:val="center"/>
                  <w:rPr>
                    <w:rFonts w:hint="eastAsia"/>
                    <w:color w:val="000000" w:themeColor="text1"/>
                    <w:sz w:val="21"/>
                    <w:szCs w:val="21"/>
                  </w:rPr>
                </w:pPr>
                <w:r>
                  <w:rPr>
                    <w:rFonts w:hint="eastAsia"/>
                    <w:color w:val="000000" w:themeColor="text1"/>
                    <w:sz w:val="21"/>
                    <w:szCs w:val="21"/>
                  </w:rPr>
                  <w:t>期初余额</w:t>
                </w:r>
              </w:p>
            </w:tc>
          </w:sdtContent>
        </w:sdt>
      </w:tr>
      <w:tr w:rsidR="002D0AE7" w14:paraId="61143898" w14:textId="77777777">
        <w:trPr>
          <w:cantSplit/>
        </w:trPr>
        <w:tc>
          <w:tcPr>
            <w:tcW w:w="1607" w:type="pct"/>
          </w:tcPr>
          <w:p w14:paraId="311D1162" w14:textId="77777777" w:rsidR="002D0AE7" w:rsidRDefault="00333EBB">
            <w:pPr>
              <w:ind w:right="105"/>
              <w:rPr>
                <w:rFonts w:hint="eastAsia"/>
                <w:color w:val="000000" w:themeColor="text1"/>
                <w:sz w:val="21"/>
                <w:szCs w:val="21"/>
              </w:rPr>
            </w:pPr>
            <w:r>
              <w:rPr>
                <w:rFonts w:hint="eastAsia"/>
                <w:color w:val="000000" w:themeColor="text1"/>
                <w:sz w:val="21"/>
                <w:szCs w:val="21"/>
              </w:rPr>
              <w:t>普通股股利</w:t>
            </w:r>
          </w:p>
        </w:tc>
        <w:tc>
          <w:tcPr>
            <w:tcW w:w="1696" w:type="pct"/>
            <w:shd w:val="clear" w:color="auto" w:fill="auto"/>
            <w:vAlign w:val="center"/>
          </w:tcPr>
          <w:p w14:paraId="4330B671" w14:textId="77777777" w:rsidR="002D0AE7" w:rsidRDefault="00333EBB">
            <w:pPr>
              <w:ind w:right="73"/>
              <w:jc w:val="right"/>
              <w:rPr>
                <w:rFonts w:ascii="Times New Roman" w:hAnsi="Times New Roman" w:cs="Times New Roman"/>
                <w:sz w:val="21"/>
                <w:szCs w:val="21"/>
              </w:rPr>
            </w:pPr>
            <w:r>
              <w:rPr>
                <w:rFonts w:ascii="Times New Roman" w:hAnsi="Times New Roman" w:cs="Times New Roman"/>
                <w:color w:val="000000"/>
                <w:sz w:val="21"/>
                <w:szCs w:val="21"/>
              </w:rPr>
              <w:t>34,797.61</w:t>
            </w:r>
          </w:p>
        </w:tc>
        <w:tc>
          <w:tcPr>
            <w:tcW w:w="1697" w:type="pct"/>
            <w:shd w:val="clear" w:color="auto" w:fill="auto"/>
            <w:vAlign w:val="center"/>
          </w:tcPr>
          <w:p w14:paraId="3ED3DEB9" w14:textId="77777777" w:rsidR="002D0AE7" w:rsidRDefault="00333EBB">
            <w:pPr>
              <w:ind w:right="73"/>
              <w:jc w:val="right"/>
              <w:rPr>
                <w:rFonts w:ascii="Times New Roman" w:hAnsi="Times New Roman" w:cs="Times New Roman"/>
                <w:sz w:val="21"/>
                <w:szCs w:val="21"/>
              </w:rPr>
            </w:pPr>
            <w:r>
              <w:rPr>
                <w:rFonts w:ascii="Times New Roman" w:hAnsi="Times New Roman" w:cs="Times New Roman"/>
                <w:color w:val="000000"/>
                <w:sz w:val="21"/>
                <w:szCs w:val="21"/>
              </w:rPr>
              <w:t>63,979.73</w:t>
            </w:r>
          </w:p>
        </w:tc>
      </w:tr>
      <w:tr w:rsidR="002D0AE7" w14:paraId="2485A948" w14:textId="77777777">
        <w:trPr>
          <w:cantSplit/>
        </w:trPr>
        <w:tc>
          <w:tcPr>
            <w:tcW w:w="1607" w:type="pct"/>
          </w:tcPr>
          <w:p w14:paraId="5FCC13CE" w14:textId="77777777" w:rsidR="002D0AE7" w:rsidRDefault="00333EBB">
            <w:pPr>
              <w:jc w:val="both"/>
              <w:rPr>
                <w:rFonts w:hint="eastAsia"/>
                <w:sz w:val="21"/>
                <w:szCs w:val="21"/>
              </w:rPr>
            </w:pPr>
            <w:r>
              <w:rPr>
                <w:rFonts w:hint="eastAsia"/>
                <w:sz w:val="21"/>
                <w:szCs w:val="21"/>
              </w:rPr>
              <w:t>应付股利</w:t>
            </w:r>
            <w:r>
              <w:rPr>
                <w:sz w:val="21"/>
                <w:szCs w:val="21"/>
              </w:rPr>
              <w:t>-</w:t>
            </w:r>
            <w:r>
              <w:rPr>
                <w:rFonts w:hint="eastAsia"/>
                <w:sz w:val="21"/>
                <w:szCs w:val="21"/>
              </w:rPr>
              <w:t>其他限售流通股</w:t>
            </w:r>
          </w:p>
        </w:tc>
        <w:tc>
          <w:tcPr>
            <w:tcW w:w="1696" w:type="pct"/>
            <w:shd w:val="clear" w:color="auto" w:fill="auto"/>
            <w:vAlign w:val="center"/>
          </w:tcPr>
          <w:p w14:paraId="3320B7F4" w14:textId="77777777" w:rsidR="002D0AE7" w:rsidRDefault="00333EBB">
            <w:pPr>
              <w:ind w:right="73"/>
              <w:jc w:val="right"/>
              <w:rPr>
                <w:rFonts w:ascii="Times New Roman" w:hAnsi="Times New Roman" w:cs="Times New Roman"/>
                <w:sz w:val="21"/>
                <w:szCs w:val="21"/>
              </w:rPr>
            </w:pPr>
            <w:r>
              <w:rPr>
                <w:rFonts w:ascii="Times New Roman" w:hAnsi="Times New Roman" w:cs="Times New Roman"/>
                <w:color w:val="000000"/>
                <w:sz w:val="21"/>
                <w:szCs w:val="21"/>
              </w:rPr>
              <w:t>248,766.00</w:t>
            </w:r>
          </w:p>
        </w:tc>
        <w:tc>
          <w:tcPr>
            <w:tcW w:w="1697" w:type="pct"/>
            <w:shd w:val="clear" w:color="auto" w:fill="auto"/>
            <w:vAlign w:val="center"/>
          </w:tcPr>
          <w:p w14:paraId="093DD79F" w14:textId="77777777" w:rsidR="002D0AE7" w:rsidRDefault="00333EBB">
            <w:pPr>
              <w:ind w:right="73"/>
              <w:jc w:val="right"/>
              <w:rPr>
                <w:rFonts w:ascii="Times New Roman" w:hAnsi="Times New Roman" w:cs="Times New Roman"/>
                <w:sz w:val="21"/>
                <w:szCs w:val="21"/>
              </w:rPr>
            </w:pPr>
            <w:r>
              <w:rPr>
                <w:rFonts w:ascii="Times New Roman" w:hAnsi="Times New Roman" w:cs="Times New Roman"/>
                <w:color w:val="000000"/>
                <w:sz w:val="21"/>
                <w:szCs w:val="21"/>
              </w:rPr>
              <w:t>70,764.00</w:t>
            </w:r>
          </w:p>
        </w:tc>
      </w:tr>
      <w:tr w:rsidR="002D0AE7" w14:paraId="42E3622F" w14:textId="77777777">
        <w:trPr>
          <w:cantSplit/>
        </w:trPr>
        <w:tc>
          <w:tcPr>
            <w:tcW w:w="1607" w:type="pct"/>
          </w:tcPr>
          <w:p w14:paraId="36BC03AD" w14:textId="77777777" w:rsidR="002D0AE7" w:rsidRDefault="00333EBB">
            <w:pPr>
              <w:ind w:right="105"/>
              <w:jc w:val="center"/>
              <w:rPr>
                <w:rFonts w:hint="eastAsia"/>
                <w:color w:val="000000" w:themeColor="text1"/>
                <w:sz w:val="21"/>
                <w:szCs w:val="21"/>
              </w:rPr>
            </w:pPr>
            <w:r>
              <w:rPr>
                <w:rFonts w:hint="eastAsia"/>
                <w:color w:val="000000" w:themeColor="text1"/>
                <w:sz w:val="21"/>
                <w:szCs w:val="21"/>
              </w:rPr>
              <w:t>合计</w:t>
            </w:r>
          </w:p>
        </w:tc>
        <w:tc>
          <w:tcPr>
            <w:tcW w:w="1696" w:type="pct"/>
            <w:shd w:val="clear" w:color="auto" w:fill="auto"/>
            <w:vAlign w:val="center"/>
          </w:tcPr>
          <w:p w14:paraId="65E5D97D" w14:textId="77777777" w:rsidR="002D0AE7" w:rsidRDefault="00333EBB">
            <w:pPr>
              <w:ind w:right="73"/>
              <w:jc w:val="right"/>
              <w:rPr>
                <w:rFonts w:ascii="Times New Roman" w:hAnsi="Times New Roman" w:cs="Times New Roman"/>
                <w:sz w:val="21"/>
                <w:szCs w:val="21"/>
              </w:rPr>
            </w:pPr>
            <w:r>
              <w:rPr>
                <w:rFonts w:ascii="Times New Roman" w:hAnsi="Times New Roman" w:cs="Times New Roman"/>
                <w:color w:val="000000"/>
                <w:sz w:val="21"/>
                <w:szCs w:val="21"/>
              </w:rPr>
              <w:t>283,563.61</w:t>
            </w:r>
          </w:p>
        </w:tc>
        <w:tc>
          <w:tcPr>
            <w:tcW w:w="1697" w:type="pct"/>
            <w:shd w:val="clear" w:color="auto" w:fill="auto"/>
            <w:vAlign w:val="center"/>
          </w:tcPr>
          <w:p w14:paraId="3DD581DA" w14:textId="77777777" w:rsidR="002D0AE7" w:rsidRDefault="00333EBB">
            <w:pPr>
              <w:ind w:right="73"/>
              <w:jc w:val="right"/>
              <w:rPr>
                <w:rFonts w:ascii="Times New Roman" w:hAnsi="Times New Roman" w:cs="Times New Roman"/>
                <w:sz w:val="21"/>
                <w:szCs w:val="21"/>
              </w:rPr>
            </w:pPr>
            <w:r>
              <w:rPr>
                <w:rFonts w:ascii="Times New Roman" w:hAnsi="Times New Roman" w:cs="Times New Roman"/>
                <w:color w:val="000000"/>
                <w:sz w:val="21"/>
                <w:szCs w:val="21"/>
              </w:rPr>
              <w:t>134,743.73</w:t>
            </w:r>
          </w:p>
        </w:tc>
      </w:tr>
    </w:tbl>
    <w:p w14:paraId="283A84AF" w14:textId="77777777" w:rsidR="002D0AE7" w:rsidRDefault="00333EBB">
      <w:pPr>
        <w:snapToGrid w:val="0"/>
        <w:rPr>
          <w:rFonts w:hint="eastAsia"/>
          <w:color w:val="000000" w:themeColor="text1"/>
          <w:sz w:val="21"/>
          <w:szCs w:val="21"/>
        </w:rPr>
      </w:pPr>
      <w:r>
        <w:rPr>
          <w:rFonts w:hint="eastAsia"/>
          <w:color w:val="000000" w:themeColor="text1"/>
          <w:sz w:val="21"/>
          <w:szCs w:val="21"/>
        </w:rPr>
        <w:t>其他说明，包括重要的超过</w:t>
      </w:r>
      <w:r>
        <w:rPr>
          <w:color w:val="000000" w:themeColor="text1"/>
          <w:sz w:val="21"/>
          <w:szCs w:val="21"/>
        </w:rPr>
        <w:t>1</w:t>
      </w:r>
      <w:r>
        <w:rPr>
          <w:color w:val="000000" w:themeColor="text1"/>
          <w:sz w:val="21"/>
          <w:szCs w:val="21"/>
        </w:rPr>
        <w:t>年未支付的应付股利，应披露未支付原因：</w:t>
      </w:r>
      <w:sdt>
        <w:sdtPr>
          <w:rPr>
            <w:color w:val="000000" w:themeColor="text1"/>
            <w:sz w:val="21"/>
            <w:szCs w:val="21"/>
          </w:rPr>
          <w:alias w:val="应付股利的说明"/>
          <w:tag w:val="_GBC_44da1c5f7ab647d2891e8b1c5f5bd521"/>
          <w:id w:val="1836949938"/>
          <w:placeholder>
            <w:docPart w:val="GBC22222222222222222222222222222"/>
          </w:placeholder>
        </w:sdtPr>
        <w:sdtEndPr/>
        <w:sdtContent>
          <w:r>
            <w:rPr>
              <w:color w:val="000000" w:themeColor="text1"/>
              <w:sz w:val="21"/>
              <w:szCs w:val="21"/>
            </w:rPr>
            <w:t>部分个人股东股利无法支付。</w:t>
          </w:r>
        </w:sdtContent>
      </w:sdt>
    </w:p>
    <w:p w14:paraId="6800FEB8" w14:textId="77777777" w:rsidR="002D0AE7" w:rsidRDefault="00333EBB">
      <w:pPr>
        <w:pStyle w:val="4"/>
        <w:rPr>
          <w:rFonts w:ascii="宋体" w:hAnsi="宋体" w:hint="eastAsia"/>
          <w:color w:val="000000" w:themeColor="text1"/>
        </w:rPr>
      </w:pPr>
      <w:bookmarkStart w:id="206" w:name="_Hlk10536163"/>
      <w:bookmarkEnd w:id="205"/>
      <w:r>
        <w:rPr>
          <w:rFonts w:ascii="宋体" w:hAnsi="宋体" w:hint="eastAsia"/>
          <w:color w:val="000000" w:themeColor="text1"/>
        </w:rPr>
        <w:t>其他应付款</w:t>
      </w:r>
    </w:p>
    <w:p w14:paraId="0938CE2F" w14:textId="77777777" w:rsidR="002D0AE7" w:rsidRDefault="00333EBB">
      <w:pPr>
        <w:pStyle w:val="4"/>
        <w:numPr>
          <w:ilvl w:val="3"/>
          <w:numId w:val="63"/>
        </w:numPr>
        <w:rPr>
          <w:rFonts w:ascii="宋体" w:hAnsi="宋体" w:hint="eastAsia"/>
          <w:color w:val="000000" w:themeColor="text1"/>
        </w:rPr>
      </w:pPr>
      <w:r>
        <w:rPr>
          <w:rFonts w:ascii="宋体" w:hAnsi="宋体" w:hint="eastAsia"/>
          <w:color w:val="000000" w:themeColor="text1"/>
        </w:rPr>
        <w:t>按款项性质列示其他应付款</w:t>
      </w:r>
    </w:p>
    <w:sdt>
      <w:sdtPr>
        <w:rPr>
          <w:color w:val="000000" w:themeColor="text1"/>
        </w:rPr>
        <w:alias w:val="是否适用：按款项性质列示其他应付款[双击切换]"/>
        <w:tag w:val="_GBC_a099ebd596de4984814ff6b49af92e86"/>
        <w:id w:val="-1874838890"/>
        <w:placeholder>
          <w:docPart w:val="GBC22222222222222222222222222222"/>
        </w:placeholder>
      </w:sdtPr>
      <w:sdtEndPr/>
      <w:sdtContent>
        <w:p w14:paraId="634AA5C8"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41C6D926"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其他应付款情况"/>
          <w:tag w:val="_GBC_781a05c0c742470b88557fa8878adf9c"/>
          <w:id w:val="-63995011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其他应付款情况"/>
          <w:tag w:val="_GBC_19bba6af93f1445cbfdc13ddfb71a0ea"/>
          <w:id w:val="-135950476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2924"/>
        <w:gridCol w:w="3049"/>
      </w:tblGrid>
      <w:tr w:rsidR="002D0AE7" w14:paraId="5F352405" w14:textId="77777777">
        <w:sdt>
          <w:sdtPr>
            <w:rPr>
              <w:color w:val="000000" w:themeColor="text1"/>
              <w:sz w:val="21"/>
              <w:szCs w:val="21"/>
            </w:rPr>
            <w:tag w:val="_PLD_3991c4118c8d4069811e5f758978143f"/>
            <w:id w:val="-736395855"/>
          </w:sdtPr>
          <w:sdtEndPr/>
          <w:sdtContent>
            <w:tc>
              <w:tcPr>
                <w:tcW w:w="1615" w:type="pct"/>
                <w:shd w:val="clear" w:color="auto" w:fill="auto"/>
              </w:tcPr>
              <w:p w14:paraId="04856B70"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c1bcea3523f040f08da3a1bd0d135ad5"/>
            <w:id w:val="949353254"/>
          </w:sdtPr>
          <w:sdtEndPr/>
          <w:sdtContent>
            <w:tc>
              <w:tcPr>
                <w:tcW w:w="1657" w:type="pct"/>
                <w:shd w:val="clear" w:color="auto" w:fill="auto"/>
              </w:tcPr>
              <w:p w14:paraId="0D7758FE"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sdt>
          <w:sdtPr>
            <w:rPr>
              <w:color w:val="000000" w:themeColor="text1"/>
              <w:sz w:val="21"/>
              <w:szCs w:val="21"/>
            </w:rPr>
            <w:tag w:val="_PLD_b89663858245498c995c58e2bab384aa"/>
            <w:id w:val="1167904292"/>
          </w:sdtPr>
          <w:sdtEndPr/>
          <w:sdtContent>
            <w:tc>
              <w:tcPr>
                <w:tcW w:w="1728" w:type="pct"/>
                <w:shd w:val="clear" w:color="auto" w:fill="auto"/>
              </w:tcPr>
              <w:p w14:paraId="369DCFAE" w14:textId="77777777" w:rsidR="002D0AE7" w:rsidRDefault="00333EBB">
                <w:pPr>
                  <w:jc w:val="center"/>
                  <w:rPr>
                    <w:rFonts w:hint="eastAsia"/>
                    <w:color w:val="000000" w:themeColor="text1"/>
                    <w:sz w:val="21"/>
                    <w:szCs w:val="21"/>
                  </w:rPr>
                </w:pPr>
                <w:r>
                  <w:rPr>
                    <w:rFonts w:hint="eastAsia"/>
                    <w:color w:val="000000" w:themeColor="text1"/>
                    <w:sz w:val="21"/>
                    <w:szCs w:val="21"/>
                  </w:rPr>
                  <w:t>期初余额</w:t>
                </w:r>
              </w:p>
            </w:tc>
          </w:sdtContent>
        </w:sdt>
      </w:tr>
      <w:tr w:rsidR="002D0AE7" w14:paraId="5A054ADE" w14:textId="77777777">
        <w:tc>
          <w:tcPr>
            <w:tcW w:w="1615" w:type="pct"/>
            <w:shd w:val="clear" w:color="auto" w:fill="auto"/>
          </w:tcPr>
          <w:p w14:paraId="14B3BD8B" w14:textId="77777777" w:rsidR="002D0AE7" w:rsidRDefault="00333EBB">
            <w:pPr>
              <w:rPr>
                <w:rFonts w:hint="eastAsia"/>
                <w:sz w:val="21"/>
                <w:szCs w:val="21"/>
              </w:rPr>
            </w:pPr>
            <w:r>
              <w:rPr>
                <w:sz w:val="21"/>
                <w:szCs w:val="21"/>
              </w:rPr>
              <w:t>单位往来</w:t>
            </w:r>
          </w:p>
        </w:tc>
        <w:tc>
          <w:tcPr>
            <w:tcW w:w="1657" w:type="pct"/>
            <w:shd w:val="clear" w:color="auto" w:fill="auto"/>
          </w:tcPr>
          <w:p w14:paraId="4E7B3C4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182,980,000.00</w:t>
            </w:r>
          </w:p>
        </w:tc>
        <w:tc>
          <w:tcPr>
            <w:tcW w:w="1728" w:type="pct"/>
            <w:shd w:val="clear" w:color="auto" w:fill="auto"/>
            <w:vAlign w:val="center"/>
          </w:tcPr>
          <w:p w14:paraId="68C49E9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183,670,485.88</w:t>
            </w:r>
          </w:p>
        </w:tc>
      </w:tr>
      <w:tr w:rsidR="002D0AE7" w14:paraId="643F77E2" w14:textId="77777777">
        <w:tc>
          <w:tcPr>
            <w:tcW w:w="1615" w:type="pct"/>
            <w:shd w:val="clear" w:color="auto" w:fill="auto"/>
          </w:tcPr>
          <w:p w14:paraId="18160715" w14:textId="77777777" w:rsidR="002D0AE7" w:rsidRDefault="00333EBB">
            <w:pPr>
              <w:rPr>
                <w:rFonts w:hint="eastAsia"/>
                <w:sz w:val="21"/>
                <w:szCs w:val="21"/>
              </w:rPr>
            </w:pPr>
            <w:r>
              <w:rPr>
                <w:sz w:val="21"/>
                <w:szCs w:val="21"/>
              </w:rPr>
              <w:t>押金</w:t>
            </w:r>
          </w:p>
        </w:tc>
        <w:tc>
          <w:tcPr>
            <w:tcW w:w="1657" w:type="pct"/>
            <w:shd w:val="clear" w:color="auto" w:fill="auto"/>
          </w:tcPr>
          <w:p w14:paraId="201A81B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40,927,929.95</w:t>
            </w:r>
          </w:p>
        </w:tc>
        <w:tc>
          <w:tcPr>
            <w:tcW w:w="1728" w:type="pct"/>
            <w:shd w:val="clear" w:color="auto" w:fill="auto"/>
            <w:vAlign w:val="center"/>
          </w:tcPr>
          <w:p w14:paraId="33EE9E6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39,439,702.31</w:t>
            </w:r>
          </w:p>
        </w:tc>
      </w:tr>
      <w:tr w:rsidR="002D0AE7" w14:paraId="2ECDFBA3" w14:textId="77777777">
        <w:tc>
          <w:tcPr>
            <w:tcW w:w="1615" w:type="pct"/>
            <w:shd w:val="clear" w:color="auto" w:fill="auto"/>
          </w:tcPr>
          <w:p w14:paraId="71E70838" w14:textId="77777777" w:rsidR="002D0AE7" w:rsidRDefault="00333EBB">
            <w:pPr>
              <w:rPr>
                <w:rFonts w:hint="eastAsia"/>
                <w:sz w:val="21"/>
                <w:szCs w:val="21"/>
              </w:rPr>
            </w:pPr>
            <w:r>
              <w:rPr>
                <w:sz w:val="21"/>
                <w:szCs w:val="21"/>
              </w:rPr>
              <w:t>佣金</w:t>
            </w:r>
          </w:p>
        </w:tc>
        <w:tc>
          <w:tcPr>
            <w:tcW w:w="1657" w:type="pct"/>
            <w:shd w:val="clear" w:color="auto" w:fill="auto"/>
          </w:tcPr>
          <w:p w14:paraId="4733347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11,404,713.17</w:t>
            </w:r>
          </w:p>
        </w:tc>
        <w:tc>
          <w:tcPr>
            <w:tcW w:w="1728" w:type="pct"/>
            <w:shd w:val="clear" w:color="auto" w:fill="auto"/>
            <w:vAlign w:val="center"/>
          </w:tcPr>
          <w:p w14:paraId="1271B23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9,637,872.28</w:t>
            </w:r>
          </w:p>
        </w:tc>
      </w:tr>
      <w:tr w:rsidR="002D0AE7" w14:paraId="5E8AD626" w14:textId="77777777">
        <w:tc>
          <w:tcPr>
            <w:tcW w:w="1615" w:type="pct"/>
            <w:shd w:val="clear" w:color="auto" w:fill="auto"/>
          </w:tcPr>
          <w:p w14:paraId="2F3B5D07" w14:textId="77777777" w:rsidR="002D0AE7" w:rsidRDefault="00333EBB">
            <w:pPr>
              <w:rPr>
                <w:rFonts w:hint="eastAsia"/>
                <w:sz w:val="21"/>
                <w:szCs w:val="21"/>
              </w:rPr>
            </w:pPr>
            <w:r>
              <w:rPr>
                <w:sz w:val="21"/>
                <w:szCs w:val="21"/>
              </w:rPr>
              <w:t>待付费用</w:t>
            </w:r>
          </w:p>
        </w:tc>
        <w:tc>
          <w:tcPr>
            <w:tcW w:w="1657" w:type="pct"/>
            <w:shd w:val="clear" w:color="auto" w:fill="auto"/>
          </w:tcPr>
          <w:p w14:paraId="136CB3F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18,178,502.74</w:t>
            </w:r>
          </w:p>
        </w:tc>
        <w:tc>
          <w:tcPr>
            <w:tcW w:w="1728" w:type="pct"/>
            <w:shd w:val="clear" w:color="auto" w:fill="auto"/>
            <w:vAlign w:val="center"/>
          </w:tcPr>
          <w:p w14:paraId="4C406C6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8,336,751.11</w:t>
            </w:r>
          </w:p>
        </w:tc>
      </w:tr>
      <w:tr w:rsidR="002D0AE7" w14:paraId="69CB923C" w14:textId="77777777">
        <w:tc>
          <w:tcPr>
            <w:tcW w:w="1615" w:type="pct"/>
            <w:shd w:val="clear" w:color="auto" w:fill="auto"/>
          </w:tcPr>
          <w:p w14:paraId="0F4654E3" w14:textId="77777777" w:rsidR="002D0AE7" w:rsidRDefault="00333EBB">
            <w:pPr>
              <w:rPr>
                <w:rFonts w:hint="eastAsia"/>
                <w:sz w:val="21"/>
                <w:szCs w:val="21"/>
              </w:rPr>
            </w:pPr>
            <w:r>
              <w:rPr>
                <w:sz w:val="21"/>
                <w:szCs w:val="21"/>
              </w:rPr>
              <w:t>限制性股票回购义务</w:t>
            </w:r>
          </w:p>
        </w:tc>
        <w:tc>
          <w:tcPr>
            <w:tcW w:w="1657" w:type="pct"/>
            <w:shd w:val="clear" w:color="auto" w:fill="auto"/>
          </w:tcPr>
          <w:p w14:paraId="18333D3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4,726,260.00</w:t>
            </w:r>
          </w:p>
        </w:tc>
        <w:tc>
          <w:tcPr>
            <w:tcW w:w="1728" w:type="pct"/>
            <w:shd w:val="clear" w:color="auto" w:fill="auto"/>
            <w:vAlign w:val="center"/>
          </w:tcPr>
          <w:p w14:paraId="00C03C0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4,726,260.00</w:t>
            </w:r>
          </w:p>
        </w:tc>
      </w:tr>
      <w:tr w:rsidR="002D0AE7" w14:paraId="6E32BEAD" w14:textId="77777777">
        <w:tc>
          <w:tcPr>
            <w:tcW w:w="1615" w:type="pct"/>
            <w:shd w:val="clear" w:color="auto" w:fill="auto"/>
          </w:tcPr>
          <w:p w14:paraId="41B602C1" w14:textId="77777777" w:rsidR="002D0AE7" w:rsidRDefault="00333EBB">
            <w:pPr>
              <w:rPr>
                <w:rFonts w:hint="eastAsia"/>
                <w:sz w:val="21"/>
                <w:szCs w:val="21"/>
              </w:rPr>
            </w:pPr>
            <w:r>
              <w:rPr>
                <w:sz w:val="21"/>
                <w:szCs w:val="21"/>
              </w:rPr>
              <w:t>维修费</w:t>
            </w:r>
          </w:p>
        </w:tc>
        <w:tc>
          <w:tcPr>
            <w:tcW w:w="1657" w:type="pct"/>
            <w:shd w:val="clear" w:color="auto" w:fill="auto"/>
          </w:tcPr>
          <w:p w14:paraId="7E948E2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7,446,767.86</w:t>
            </w:r>
          </w:p>
        </w:tc>
        <w:tc>
          <w:tcPr>
            <w:tcW w:w="1728" w:type="pct"/>
            <w:shd w:val="clear" w:color="auto" w:fill="auto"/>
            <w:vAlign w:val="center"/>
          </w:tcPr>
          <w:p w14:paraId="241FACB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2,779,469.23</w:t>
            </w:r>
          </w:p>
        </w:tc>
      </w:tr>
      <w:tr w:rsidR="002D0AE7" w14:paraId="5001385A" w14:textId="77777777">
        <w:tc>
          <w:tcPr>
            <w:tcW w:w="1615" w:type="pct"/>
            <w:shd w:val="clear" w:color="auto" w:fill="auto"/>
          </w:tcPr>
          <w:p w14:paraId="2BC9E1E5" w14:textId="77777777" w:rsidR="002D0AE7" w:rsidRDefault="00333EBB">
            <w:pPr>
              <w:rPr>
                <w:rFonts w:hint="eastAsia"/>
                <w:sz w:val="21"/>
                <w:szCs w:val="21"/>
              </w:rPr>
            </w:pPr>
            <w:r>
              <w:rPr>
                <w:sz w:val="21"/>
                <w:szCs w:val="21"/>
              </w:rPr>
              <w:t>代理进口设备款</w:t>
            </w:r>
          </w:p>
        </w:tc>
        <w:tc>
          <w:tcPr>
            <w:tcW w:w="1657" w:type="pct"/>
            <w:shd w:val="clear" w:color="auto" w:fill="auto"/>
          </w:tcPr>
          <w:p w14:paraId="7AEBC92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937,417.78</w:t>
            </w:r>
          </w:p>
        </w:tc>
        <w:tc>
          <w:tcPr>
            <w:tcW w:w="1728" w:type="pct"/>
            <w:shd w:val="clear" w:color="auto" w:fill="auto"/>
            <w:vAlign w:val="center"/>
          </w:tcPr>
          <w:p w14:paraId="429101D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937,417.78</w:t>
            </w:r>
          </w:p>
        </w:tc>
      </w:tr>
      <w:tr w:rsidR="002D0AE7" w14:paraId="3D67A021" w14:textId="77777777">
        <w:tc>
          <w:tcPr>
            <w:tcW w:w="1615" w:type="pct"/>
            <w:shd w:val="clear" w:color="auto" w:fill="auto"/>
          </w:tcPr>
          <w:p w14:paraId="59DBAFF5" w14:textId="77777777" w:rsidR="002D0AE7" w:rsidRDefault="00333EBB">
            <w:pPr>
              <w:rPr>
                <w:rFonts w:hint="eastAsia"/>
                <w:sz w:val="21"/>
                <w:szCs w:val="21"/>
              </w:rPr>
            </w:pPr>
            <w:r>
              <w:rPr>
                <w:sz w:val="21"/>
                <w:szCs w:val="21"/>
              </w:rPr>
              <w:t>待付社保退费</w:t>
            </w:r>
          </w:p>
        </w:tc>
        <w:tc>
          <w:tcPr>
            <w:tcW w:w="1657" w:type="pct"/>
            <w:shd w:val="clear" w:color="auto" w:fill="auto"/>
          </w:tcPr>
          <w:p w14:paraId="5BFA2CF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133,978.82</w:t>
            </w:r>
          </w:p>
        </w:tc>
        <w:tc>
          <w:tcPr>
            <w:tcW w:w="1728" w:type="pct"/>
            <w:shd w:val="clear" w:color="auto" w:fill="auto"/>
            <w:vAlign w:val="center"/>
          </w:tcPr>
          <w:p w14:paraId="279C975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158,709.96</w:t>
            </w:r>
          </w:p>
        </w:tc>
      </w:tr>
      <w:tr w:rsidR="002D0AE7" w14:paraId="4B7B9B2F" w14:textId="77777777">
        <w:tc>
          <w:tcPr>
            <w:tcW w:w="1615" w:type="pct"/>
            <w:shd w:val="clear" w:color="auto" w:fill="auto"/>
          </w:tcPr>
          <w:p w14:paraId="4B76E78E" w14:textId="77777777" w:rsidR="002D0AE7" w:rsidRDefault="00333EBB">
            <w:pPr>
              <w:rPr>
                <w:rFonts w:hint="eastAsia"/>
                <w:sz w:val="21"/>
                <w:szCs w:val="21"/>
              </w:rPr>
            </w:pPr>
            <w:r>
              <w:rPr>
                <w:sz w:val="21"/>
                <w:szCs w:val="21"/>
              </w:rPr>
              <w:t>运费</w:t>
            </w:r>
          </w:p>
        </w:tc>
        <w:tc>
          <w:tcPr>
            <w:tcW w:w="1657" w:type="pct"/>
            <w:shd w:val="clear" w:color="auto" w:fill="auto"/>
          </w:tcPr>
          <w:p w14:paraId="2B9E1D1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24,006.00</w:t>
            </w:r>
          </w:p>
        </w:tc>
        <w:tc>
          <w:tcPr>
            <w:tcW w:w="1728" w:type="pct"/>
            <w:shd w:val="clear" w:color="auto" w:fill="auto"/>
            <w:vAlign w:val="center"/>
          </w:tcPr>
          <w:p w14:paraId="6BCDA68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6846C161" w14:textId="77777777">
        <w:tc>
          <w:tcPr>
            <w:tcW w:w="1615" w:type="pct"/>
            <w:shd w:val="clear" w:color="auto" w:fill="auto"/>
          </w:tcPr>
          <w:p w14:paraId="5FFD2ED1"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1657" w:type="pct"/>
            <w:shd w:val="clear" w:color="auto" w:fill="auto"/>
          </w:tcPr>
          <w:p w14:paraId="0EF9F27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266,759,576.32</w:t>
            </w:r>
          </w:p>
        </w:tc>
        <w:tc>
          <w:tcPr>
            <w:tcW w:w="1728" w:type="pct"/>
            <w:shd w:val="clear" w:color="auto" w:fill="auto"/>
          </w:tcPr>
          <w:p w14:paraId="25D7F10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249,686,668.55</w:t>
            </w:r>
          </w:p>
        </w:tc>
      </w:tr>
    </w:tbl>
    <w:p w14:paraId="7D75A1A4" w14:textId="77777777" w:rsidR="002D0AE7" w:rsidRDefault="00333EBB">
      <w:pPr>
        <w:pStyle w:val="4"/>
        <w:numPr>
          <w:ilvl w:val="3"/>
          <w:numId w:val="63"/>
        </w:numPr>
        <w:rPr>
          <w:rFonts w:ascii="宋体" w:hAnsi="宋体" w:hint="eastAsia"/>
          <w:color w:val="000000" w:themeColor="text1"/>
        </w:rPr>
      </w:pPr>
      <w:r>
        <w:rPr>
          <w:rFonts w:ascii="宋体" w:hAnsi="宋体" w:hint="eastAsia"/>
          <w:color w:val="000000" w:themeColor="text1"/>
        </w:rPr>
        <w:t>账龄超过</w:t>
      </w:r>
      <w:r>
        <w:rPr>
          <w:rFonts w:ascii="宋体" w:hAnsi="宋体"/>
          <w:color w:val="000000" w:themeColor="text1"/>
        </w:rPr>
        <w:t>1</w:t>
      </w:r>
      <w:r>
        <w:rPr>
          <w:rFonts w:ascii="宋体" w:hAnsi="宋体"/>
          <w:color w:val="000000" w:themeColor="text1"/>
        </w:rPr>
        <w:t>年</w:t>
      </w:r>
      <w:r>
        <w:rPr>
          <w:rFonts w:ascii="宋体" w:hAnsi="宋体" w:hint="eastAsia"/>
          <w:color w:val="000000" w:themeColor="text1"/>
        </w:rPr>
        <w:t>或逾期</w:t>
      </w:r>
      <w:r>
        <w:rPr>
          <w:rFonts w:ascii="宋体" w:hAnsi="宋体"/>
          <w:color w:val="000000" w:themeColor="text1"/>
        </w:rPr>
        <w:t>的重要其他应付款</w:t>
      </w:r>
    </w:p>
    <w:p w14:paraId="24C71700" w14:textId="77777777" w:rsidR="002D0AE7" w:rsidRDefault="00333EBB">
      <w:pPr>
        <w:rPr>
          <w:rFonts w:hint="eastAsia"/>
          <w:color w:val="000000" w:themeColor="text1"/>
        </w:rPr>
      </w:pPr>
      <w:sdt>
        <w:sdtPr>
          <w:rPr>
            <w:color w:val="000000" w:themeColor="text1"/>
          </w:rPr>
          <w:alias w:val="是否适用：账龄超过1年的重要其他应付款[双击切换]"/>
          <w:tag w:val="_GBC_484cd63ee8b54a41978c822ae4ec5689"/>
          <w:id w:val="1375652461"/>
          <w:placeholder>
            <w:docPart w:val="GBC22222222222222222222222222222"/>
          </w:placeholder>
        </w:sdtPr>
        <w:sdtEndPr/>
        <w:sdtContent>
          <w:r>
            <w:rPr>
              <w:color w:val="000000" w:themeColor="text1"/>
            </w:rPr>
            <w:fldChar w:fldCharType="begin"/>
          </w:r>
          <w:r>
            <w:rPr>
              <w:rFonts w:hint="eastAsia"/>
              <w:color w:val="000000" w:themeColor="text1"/>
            </w:rPr>
            <w:instrText xml:space="preserve">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sdtContent>
      </w:sdt>
    </w:p>
    <w:p w14:paraId="04CA2FBF"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账龄超过1年的重要其他应付款"/>
          <w:tag w:val="_GBC_70627db7610a4aaf857bc90322d6cdfe"/>
          <w:id w:val="61464261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账龄超过1年的重要其他应付款"/>
          <w:tag w:val="_GBC_8ef8bcf4c1a64fecb8d1bc26dcf905d1"/>
          <w:id w:val="58619255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952"/>
        <w:gridCol w:w="3035"/>
      </w:tblGrid>
      <w:tr w:rsidR="002D0AE7" w14:paraId="5052BE22" w14:textId="77777777">
        <w:trPr>
          <w:trHeight w:val="269"/>
        </w:trPr>
        <w:sdt>
          <w:sdtPr>
            <w:rPr>
              <w:color w:val="000000" w:themeColor="text1"/>
              <w:sz w:val="21"/>
              <w:szCs w:val="21"/>
            </w:rPr>
            <w:tag w:val="_PLD_a2b3ff41455140df9be8564e6380c550"/>
            <w:id w:val="1859389629"/>
          </w:sdtPr>
          <w:sdtEndPr/>
          <w:sdtContent>
            <w:tc>
              <w:tcPr>
                <w:tcW w:w="1607" w:type="pct"/>
                <w:shd w:val="clear" w:color="auto" w:fill="auto"/>
                <w:vAlign w:val="center"/>
              </w:tcPr>
              <w:p w14:paraId="5B967692"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e96da55b57ef4b128b17e8730df5f38e"/>
            <w:id w:val="-2097463393"/>
          </w:sdtPr>
          <w:sdtEndPr/>
          <w:sdtContent>
            <w:tc>
              <w:tcPr>
                <w:tcW w:w="1673" w:type="pct"/>
                <w:shd w:val="clear" w:color="auto" w:fill="auto"/>
                <w:vAlign w:val="center"/>
              </w:tcPr>
              <w:p w14:paraId="364FA41E"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sdt>
          <w:sdtPr>
            <w:rPr>
              <w:color w:val="000000" w:themeColor="text1"/>
              <w:sz w:val="21"/>
              <w:szCs w:val="21"/>
            </w:rPr>
            <w:tag w:val="_PLD_a0a7c81595d2416d898e57939ff78dd7"/>
            <w:id w:val="431174289"/>
          </w:sdtPr>
          <w:sdtEndPr/>
          <w:sdtContent>
            <w:tc>
              <w:tcPr>
                <w:tcW w:w="1720" w:type="pct"/>
                <w:shd w:val="clear" w:color="auto" w:fill="auto"/>
                <w:vAlign w:val="center"/>
              </w:tcPr>
              <w:p w14:paraId="2857EE03" w14:textId="77777777" w:rsidR="002D0AE7" w:rsidRDefault="00333EBB">
                <w:pPr>
                  <w:jc w:val="center"/>
                  <w:rPr>
                    <w:rFonts w:hint="eastAsia"/>
                    <w:color w:val="000000" w:themeColor="text1"/>
                    <w:sz w:val="21"/>
                    <w:szCs w:val="21"/>
                  </w:rPr>
                </w:pPr>
                <w:r>
                  <w:rPr>
                    <w:rFonts w:hint="eastAsia"/>
                    <w:color w:val="000000" w:themeColor="text1"/>
                    <w:sz w:val="21"/>
                    <w:szCs w:val="21"/>
                  </w:rPr>
                  <w:t>未偿还或结转的原因</w:t>
                </w:r>
              </w:p>
            </w:tc>
          </w:sdtContent>
        </w:sdt>
      </w:tr>
      <w:tr w:rsidR="002D0AE7" w14:paraId="7CDD5D62" w14:textId="77777777">
        <w:tc>
          <w:tcPr>
            <w:tcW w:w="1607" w:type="pct"/>
            <w:tcBorders>
              <w:bottom w:val="single" w:sz="4" w:space="0" w:color="auto"/>
            </w:tcBorders>
            <w:shd w:val="clear" w:color="auto" w:fill="auto"/>
          </w:tcPr>
          <w:p w14:paraId="1154FE6A" w14:textId="77777777" w:rsidR="002D0AE7" w:rsidRDefault="00333EBB">
            <w:pPr>
              <w:rPr>
                <w:rFonts w:hint="eastAsia"/>
                <w:sz w:val="21"/>
                <w:szCs w:val="21"/>
              </w:rPr>
            </w:pPr>
            <w:r>
              <w:rPr>
                <w:sz w:val="21"/>
                <w:szCs w:val="21"/>
              </w:rPr>
              <w:t>天津药业集团有限公司</w:t>
            </w:r>
          </w:p>
        </w:tc>
        <w:tc>
          <w:tcPr>
            <w:tcW w:w="1673" w:type="pct"/>
            <w:shd w:val="clear" w:color="auto" w:fill="auto"/>
          </w:tcPr>
          <w:p w14:paraId="04B0D6B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183,151,991.05</w:t>
            </w:r>
          </w:p>
        </w:tc>
        <w:tc>
          <w:tcPr>
            <w:tcW w:w="1720" w:type="pct"/>
            <w:shd w:val="clear" w:color="auto" w:fill="auto"/>
          </w:tcPr>
          <w:p w14:paraId="0F2AED46" w14:textId="77777777" w:rsidR="002D0AE7" w:rsidRDefault="00333EBB">
            <w:pPr>
              <w:rPr>
                <w:rFonts w:hint="eastAsia"/>
                <w:sz w:val="21"/>
                <w:szCs w:val="21"/>
              </w:rPr>
            </w:pPr>
            <w:r>
              <w:rPr>
                <w:sz w:val="21"/>
                <w:szCs w:val="21"/>
              </w:rPr>
              <w:t>尚未结算</w:t>
            </w:r>
          </w:p>
        </w:tc>
      </w:tr>
      <w:tr w:rsidR="002D0AE7" w14:paraId="22A18CD4" w14:textId="77777777">
        <w:tc>
          <w:tcPr>
            <w:tcW w:w="1607" w:type="pct"/>
            <w:shd w:val="clear" w:color="auto" w:fill="auto"/>
            <w:vAlign w:val="center"/>
          </w:tcPr>
          <w:p w14:paraId="53547954"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1673" w:type="pct"/>
            <w:shd w:val="clear" w:color="auto" w:fill="auto"/>
          </w:tcPr>
          <w:p w14:paraId="6ABF67C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183,151,991.05</w:t>
            </w:r>
          </w:p>
        </w:tc>
        <w:tc>
          <w:tcPr>
            <w:tcW w:w="1720" w:type="pct"/>
            <w:shd w:val="clear" w:color="auto" w:fill="auto"/>
          </w:tcPr>
          <w:p w14:paraId="4BFC2197" w14:textId="77777777" w:rsidR="002D0AE7" w:rsidRDefault="00333EBB">
            <w:pPr>
              <w:jc w:val="center"/>
              <w:rPr>
                <w:rFonts w:hint="eastAsia"/>
                <w:color w:val="000000" w:themeColor="text1"/>
                <w:sz w:val="21"/>
                <w:szCs w:val="21"/>
              </w:rPr>
            </w:pPr>
            <w:r>
              <w:rPr>
                <w:rFonts w:hint="eastAsia"/>
                <w:color w:val="000000" w:themeColor="text1"/>
                <w:sz w:val="21"/>
                <w:szCs w:val="21"/>
              </w:rPr>
              <w:t>/</w:t>
            </w:r>
          </w:p>
        </w:tc>
      </w:tr>
    </w:tbl>
    <w:p w14:paraId="2AA454DE" w14:textId="77777777" w:rsidR="002D0AE7" w:rsidRDefault="00333EBB">
      <w:pPr>
        <w:rPr>
          <w:rFonts w:hint="eastAsia"/>
          <w:color w:val="000000" w:themeColor="text1"/>
        </w:rPr>
      </w:pPr>
      <w:r>
        <w:rPr>
          <w:rFonts w:hint="eastAsia"/>
          <w:color w:val="000000" w:themeColor="text1"/>
        </w:rPr>
        <w:t>其他说明：</w:t>
      </w:r>
    </w:p>
    <w:sdt>
      <w:sdtPr>
        <w:rPr>
          <w:color w:val="000000" w:themeColor="text1"/>
        </w:rPr>
        <w:alias w:val="是否适用：其他应付款的其他说明[双击切换]"/>
        <w:tag w:val="_GBC_c968ec386e144657884a6b5b483acbfd"/>
        <w:id w:val="-1910217705"/>
        <w:placeholder>
          <w:docPart w:val="GBC22222222222222222222222222222"/>
        </w:placeholder>
      </w:sdtPr>
      <w:sdtEndPr/>
      <w:sdtContent>
        <w:p w14:paraId="7D5896CC"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其他应付款的其他说明"/>
        <w:tag w:val="_GBC_873f35ab785048d7ad0b90c5775691ba"/>
        <w:id w:val="639302400"/>
        <w:placeholder>
          <w:docPart w:val="GBC22222222222222222222222222222"/>
        </w:placeholder>
      </w:sdtPr>
      <w:sdtEndPr>
        <w:rPr>
          <w:sz w:val="21"/>
          <w:szCs w:val="21"/>
        </w:rPr>
      </w:sdtEndPr>
      <w:sdtContent>
        <w:p w14:paraId="4A9DFB42" w14:textId="77777777" w:rsidR="002D0AE7" w:rsidRDefault="00333EBB">
          <w:pPr>
            <w:rPr>
              <w:rFonts w:hint="eastAsia"/>
              <w:sz w:val="21"/>
              <w:szCs w:val="21"/>
            </w:rPr>
          </w:pPr>
          <w:sdt>
            <w:sdtPr>
              <w:alias w:val="其他应付款的其他说明"/>
              <w:tag w:val="_GBC_873f35ab785048d7ad0b90c5775691ba"/>
              <w:id w:val="2034921339"/>
              <w:placeholder>
                <w:docPart w:val="52026F2849AB4C97B32161367751E413"/>
              </w:placeholder>
            </w:sdtPr>
            <w:sdtEndPr>
              <w:rPr>
                <w:rFonts w:ascii="Times New Roman" w:hAnsi="Times New Roman" w:cs="Times New Roman"/>
                <w:sz w:val="21"/>
                <w:szCs w:val="21"/>
              </w:rPr>
            </w:sdtEndPr>
            <w:sdtContent>
              <w:r>
                <w:rPr>
                  <w:rFonts w:hint="eastAsia"/>
                  <w:sz w:val="21"/>
                  <w:szCs w:val="21"/>
                </w:rPr>
                <w:t>本账户期末余额中应付持本公司</w:t>
              </w:r>
              <w:r>
                <w:rPr>
                  <w:sz w:val="21"/>
                  <w:szCs w:val="21"/>
                </w:rPr>
                <w:t>5%</w:t>
              </w:r>
              <w:r>
                <w:rPr>
                  <w:sz w:val="21"/>
                  <w:szCs w:val="21"/>
                </w:rPr>
                <w:t>以上（含</w:t>
              </w:r>
              <w:r>
                <w:rPr>
                  <w:sz w:val="21"/>
                  <w:szCs w:val="21"/>
                </w:rPr>
                <w:t>5%</w:t>
              </w:r>
              <w:r>
                <w:rPr>
                  <w:sz w:val="21"/>
                  <w:szCs w:val="21"/>
                </w:rPr>
                <w:t>）表决权股份的股东单位款项为</w:t>
              </w:r>
            </w:sdtContent>
          </w:sdt>
          <w:r>
            <w:rPr>
              <w:rFonts w:ascii="Times New Roman" w:hAnsi="Times New Roman" w:cs="Times New Roman"/>
              <w:sz w:val="21"/>
              <w:szCs w:val="21"/>
            </w:rPr>
            <w:t>183,151,991.05</w:t>
          </w:r>
          <w:r>
            <w:rPr>
              <w:sz w:val="21"/>
              <w:szCs w:val="21"/>
            </w:rPr>
            <w:t>元，应付其他关联方余额合计</w:t>
          </w:r>
          <w:r>
            <w:rPr>
              <w:rFonts w:ascii="Times New Roman" w:hAnsi="Times New Roman" w:cs="Times New Roman"/>
              <w:sz w:val="21"/>
              <w:szCs w:val="21"/>
            </w:rPr>
            <w:t>15,043.67</w:t>
          </w:r>
          <w:r>
            <w:rPr>
              <w:sz w:val="21"/>
              <w:szCs w:val="21"/>
            </w:rPr>
            <w:t>元。</w:t>
          </w:r>
        </w:p>
      </w:sdtContent>
    </w:sdt>
    <w:bookmarkEnd w:id="206"/>
    <w:p w14:paraId="29BCE33A"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年内到期的非流动负债</w:t>
      </w:r>
    </w:p>
    <w:sdt>
      <w:sdtPr>
        <w:rPr>
          <w:color w:val="000000" w:themeColor="text1"/>
        </w:rPr>
        <w:alias w:val="是否适用：1年内到期的非流动负债[双击切换]"/>
        <w:tag w:val="_GBC_9b606bc3f0cf4f77be9b0f299d212c73"/>
        <w:id w:val="942724668"/>
        <w:placeholder>
          <w:docPart w:val="GBC22222222222222222222222222222"/>
        </w:placeholder>
      </w:sdtPr>
      <w:sdtEndPr/>
      <w:sdtContent>
        <w:p w14:paraId="4E65F027"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37BAD7F8"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1年内到期的非流动负债情况"/>
          <w:tag w:val="_GBC_7bad01766fa0485ea9c16109704ff32e"/>
          <w:id w:val="83704308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1年内到期的非流动负债情况"/>
          <w:tag w:val="_GBC_25aa805434d340a6ade79870522c9640"/>
          <w:id w:val="23738097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961"/>
        <w:gridCol w:w="3026"/>
      </w:tblGrid>
      <w:tr w:rsidR="002D0AE7" w14:paraId="49E4E4E3" w14:textId="77777777">
        <w:sdt>
          <w:sdtPr>
            <w:rPr>
              <w:color w:val="000000" w:themeColor="text1"/>
              <w:sz w:val="21"/>
              <w:szCs w:val="21"/>
            </w:rPr>
            <w:tag w:val="_PLD_bf2815b84ebe4a1e94909ee96ec31ac1"/>
            <w:id w:val="1107169772"/>
          </w:sdtPr>
          <w:sdtEndPr/>
          <w:sdtContent>
            <w:tc>
              <w:tcPr>
                <w:tcW w:w="1607" w:type="pct"/>
                <w:shd w:val="clear" w:color="auto" w:fill="auto"/>
              </w:tcPr>
              <w:p w14:paraId="15FC09BB"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db7abcf611bc4296ad7bd9c8177202e0"/>
            <w:id w:val="-447941155"/>
          </w:sdtPr>
          <w:sdtEndPr/>
          <w:sdtContent>
            <w:tc>
              <w:tcPr>
                <w:tcW w:w="1678" w:type="pct"/>
                <w:shd w:val="clear" w:color="auto" w:fill="auto"/>
              </w:tcPr>
              <w:p w14:paraId="010E0D19"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sdt>
          <w:sdtPr>
            <w:rPr>
              <w:color w:val="000000" w:themeColor="text1"/>
              <w:sz w:val="21"/>
              <w:szCs w:val="21"/>
            </w:rPr>
            <w:tag w:val="_PLD_371959274ef4493ca1fe426c930e0bf2"/>
            <w:id w:val="-1836676432"/>
          </w:sdtPr>
          <w:sdtEndPr/>
          <w:sdtContent>
            <w:tc>
              <w:tcPr>
                <w:tcW w:w="1715" w:type="pct"/>
                <w:shd w:val="clear" w:color="auto" w:fill="auto"/>
              </w:tcPr>
              <w:p w14:paraId="13193A79" w14:textId="77777777" w:rsidR="002D0AE7" w:rsidRDefault="00333EBB">
                <w:pPr>
                  <w:jc w:val="center"/>
                  <w:rPr>
                    <w:rFonts w:hint="eastAsia"/>
                    <w:color w:val="000000" w:themeColor="text1"/>
                    <w:sz w:val="21"/>
                    <w:szCs w:val="21"/>
                  </w:rPr>
                </w:pPr>
                <w:r>
                  <w:rPr>
                    <w:rFonts w:hint="eastAsia"/>
                    <w:color w:val="000000" w:themeColor="text1"/>
                    <w:sz w:val="21"/>
                    <w:szCs w:val="21"/>
                  </w:rPr>
                  <w:t>期初余额</w:t>
                </w:r>
              </w:p>
            </w:tc>
          </w:sdtContent>
        </w:sdt>
      </w:tr>
      <w:tr w:rsidR="002D0AE7" w14:paraId="3C7AF0B2" w14:textId="77777777">
        <w:tc>
          <w:tcPr>
            <w:tcW w:w="1607" w:type="pct"/>
            <w:shd w:val="clear" w:color="auto" w:fill="auto"/>
          </w:tcPr>
          <w:p w14:paraId="6D2DAEE4" w14:textId="77777777" w:rsidR="002D0AE7" w:rsidRDefault="00333EBB">
            <w:pPr>
              <w:rPr>
                <w:rFonts w:hint="eastAsia"/>
                <w:color w:val="000000" w:themeColor="text1"/>
                <w:sz w:val="21"/>
                <w:szCs w:val="21"/>
              </w:rPr>
            </w:pPr>
            <w:r>
              <w:rPr>
                <w:rFonts w:hint="eastAsia"/>
                <w:color w:val="000000" w:themeColor="text1"/>
                <w:sz w:val="21"/>
                <w:szCs w:val="21"/>
              </w:rPr>
              <w:t>1</w:t>
            </w:r>
            <w:r>
              <w:rPr>
                <w:rFonts w:hint="eastAsia"/>
                <w:color w:val="000000" w:themeColor="text1"/>
                <w:sz w:val="21"/>
                <w:szCs w:val="21"/>
              </w:rPr>
              <w:t>年内到期的长期借款</w:t>
            </w:r>
          </w:p>
        </w:tc>
        <w:tc>
          <w:tcPr>
            <w:tcW w:w="1678" w:type="pct"/>
            <w:shd w:val="clear" w:color="auto" w:fill="auto"/>
          </w:tcPr>
          <w:p w14:paraId="0C9B61D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306,200,000.00</w:t>
            </w:r>
          </w:p>
        </w:tc>
        <w:tc>
          <w:tcPr>
            <w:tcW w:w="1715" w:type="pct"/>
            <w:shd w:val="clear" w:color="auto" w:fill="auto"/>
            <w:vAlign w:val="center"/>
          </w:tcPr>
          <w:p w14:paraId="4005E04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404,000,000.00</w:t>
            </w:r>
          </w:p>
        </w:tc>
      </w:tr>
      <w:tr w:rsidR="002D0AE7" w14:paraId="49AEC98A" w14:textId="77777777">
        <w:tc>
          <w:tcPr>
            <w:tcW w:w="1607" w:type="pct"/>
            <w:shd w:val="clear" w:color="auto" w:fill="auto"/>
          </w:tcPr>
          <w:p w14:paraId="5370A6C4" w14:textId="77777777" w:rsidR="002D0AE7" w:rsidRDefault="00333EBB">
            <w:pPr>
              <w:rPr>
                <w:rFonts w:hint="eastAsia"/>
                <w:color w:val="000000" w:themeColor="text1"/>
                <w:sz w:val="21"/>
                <w:szCs w:val="21"/>
              </w:rPr>
            </w:pPr>
            <w:r>
              <w:rPr>
                <w:rFonts w:hint="eastAsia"/>
                <w:color w:val="000000" w:themeColor="text1"/>
                <w:sz w:val="21"/>
                <w:szCs w:val="21"/>
              </w:rPr>
              <w:t>1</w:t>
            </w:r>
            <w:r>
              <w:rPr>
                <w:rFonts w:hint="eastAsia"/>
                <w:color w:val="000000" w:themeColor="text1"/>
                <w:sz w:val="21"/>
                <w:szCs w:val="21"/>
              </w:rPr>
              <w:t>年内到期的租赁负债</w:t>
            </w:r>
          </w:p>
        </w:tc>
        <w:tc>
          <w:tcPr>
            <w:tcW w:w="1678" w:type="pct"/>
            <w:shd w:val="clear" w:color="auto" w:fill="auto"/>
            <w:vAlign w:val="center"/>
          </w:tcPr>
          <w:p w14:paraId="23BA9FB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28,423.53</w:t>
            </w:r>
          </w:p>
        </w:tc>
        <w:tc>
          <w:tcPr>
            <w:tcW w:w="1715" w:type="pct"/>
            <w:shd w:val="clear" w:color="auto" w:fill="auto"/>
            <w:vAlign w:val="center"/>
          </w:tcPr>
          <w:p w14:paraId="498D381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112,457.62</w:t>
            </w:r>
          </w:p>
        </w:tc>
      </w:tr>
      <w:tr w:rsidR="002D0AE7" w14:paraId="51251B23" w14:textId="77777777">
        <w:tc>
          <w:tcPr>
            <w:tcW w:w="1607" w:type="pct"/>
            <w:shd w:val="clear" w:color="auto" w:fill="auto"/>
          </w:tcPr>
          <w:p w14:paraId="51768986" w14:textId="77777777" w:rsidR="002D0AE7" w:rsidRDefault="00333EBB">
            <w:pPr>
              <w:rPr>
                <w:rFonts w:hint="eastAsia"/>
                <w:sz w:val="21"/>
                <w:szCs w:val="21"/>
              </w:rPr>
            </w:pPr>
            <w:r>
              <w:rPr>
                <w:rFonts w:hint="eastAsia"/>
                <w:sz w:val="21"/>
                <w:szCs w:val="21"/>
              </w:rPr>
              <w:t>未到期应付利息</w:t>
            </w:r>
          </w:p>
        </w:tc>
        <w:tc>
          <w:tcPr>
            <w:tcW w:w="1678" w:type="pct"/>
            <w:shd w:val="clear" w:color="auto" w:fill="auto"/>
            <w:vAlign w:val="center"/>
          </w:tcPr>
          <w:p w14:paraId="4B86C41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507,771.01</w:t>
            </w:r>
          </w:p>
        </w:tc>
        <w:tc>
          <w:tcPr>
            <w:tcW w:w="1715" w:type="pct"/>
            <w:shd w:val="clear" w:color="auto" w:fill="auto"/>
            <w:vAlign w:val="center"/>
          </w:tcPr>
          <w:p w14:paraId="0C1D0A6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592,151.39</w:t>
            </w:r>
          </w:p>
        </w:tc>
      </w:tr>
      <w:tr w:rsidR="002D0AE7" w14:paraId="7ED9825E" w14:textId="77777777">
        <w:tc>
          <w:tcPr>
            <w:tcW w:w="1607" w:type="pct"/>
            <w:shd w:val="clear" w:color="auto" w:fill="auto"/>
          </w:tcPr>
          <w:p w14:paraId="178EE203"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1678" w:type="pct"/>
            <w:shd w:val="clear" w:color="auto" w:fill="auto"/>
          </w:tcPr>
          <w:p w14:paraId="5F814DD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306,736,194.54</w:t>
            </w:r>
          </w:p>
        </w:tc>
        <w:tc>
          <w:tcPr>
            <w:tcW w:w="1715" w:type="pct"/>
            <w:shd w:val="clear" w:color="auto" w:fill="auto"/>
            <w:vAlign w:val="center"/>
          </w:tcPr>
          <w:p w14:paraId="7E93957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404,704,609.01</w:t>
            </w:r>
          </w:p>
        </w:tc>
      </w:tr>
    </w:tbl>
    <w:p w14:paraId="796B3A78" w14:textId="77777777" w:rsidR="002D0AE7" w:rsidRDefault="00333EBB">
      <w:pPr>
        <w:rPr>
          <w:rFonts w:hint="eastAsia"/>
          <w:color w:val="000000" w:themeColor="text1"/>
        </w:rPr>
      </w:pPr>
      <w:r>
        <w:rPr>
          <w:rFonts w:hint="eastAsia"/>
          <w:color w:val="000000" w:themeColor="text1"/>
        </w:rPr>
        <w:t>其他说明：</w:t>
      </w:r>
    </w:p>
    <w:sdt>
      <w:sdtPr>
        <w:rPr>
          <w:color w:val="000000" w:themeColor="text1"/>
        </w:rPr>
        <w:alias w:val="1年内到期的非流动负债说明"/>
        <w:tag w:val="_GBC_ae2cc1bff1994660ac9e57279493bfe6"/>
        <w:id w:val="-403993670"/>
        <w:placeholder>
          <w:docPart w:val="GBC22222222222222222222222222222"/>
        </w:placeholder>
      </w:sdtPr>
      <w:sdtEndPr>
        <w:rPr>
          <w:sz w:val="21"/>
          <w:szCs w:val="21"/>
        </w:rPr>
      </w:sdtEndPr>
      <w:sdtContent>
        <w:p w14:paraId="21AF0435" w14:textId="77777777" w:rsidR="002D0AE7" w:rsidRDefault="00333EBB">
          <w:pPr>
            <w:rPr>
              <w:rFonts w:hint="eastAsia"/>
              <w:sz w:val="21"/>
              <w:szCs w:val="21"/>
            </w:rPr>
          </w:pPr>
          <w:r>
            <w:rPr>
              <w:sz w:val="21"/>
              <w:szCs w:val="21"/>
            </w:rPr>
            <w:t>A.</w:t>
          </w:r>
          <w:r>
            <w:rPr>
              <w:sz w:val="21"/>
              <w:szCs w:val="21"/>
            </w:rPr>
            <w:t>截止</w:t>
          </w:r>
          <w:r>
            <w:rPr>
              <w:sz w:val="21"/>
              <w:szCs w:val="21"/>
            </w:rPr>
            <w:t>2024</w:t>
          </w:r>
          <w:r>
            <w:rPr>
              <w:sz w:val="21"/>
              <w:szCs w:val="21"/>
            </w:rPr>
            <w:t>年</w:t>
          </w:r>
          <w:r>
            <w:rPr>
              <w:sz w:val="21"/>
              <w:szCs w:val="21"/>
            </w:rPr>
            <w:t>6</w:t>
          </w:r>
          <w:r>
            <w:rPr>
              <w:sz w:val="21"/>
              <w:szCs w:val="21"/>
            </w:rPr>
            <w:t>月</w:t>
          </w:r>
          <w:r>
            <w:rPr>
              <w:sz w:val="21"/>
              <w:szCs w:val="21"/>
            </w:rPr>
            <w:t>30</w:t>
          </w:r>
          <w:r>
            <w:rPr>
              <w:sz w:val="21"/>
              <w:szCs w:val="21"/>
            </w:rPr>
            <w:t>日本公司无已到期但尚未偿还的借款。</w:t>
          </w:r>
        </w:p>
        <w:p w14:paraId="52412D69" w14:textId="77777777" w:rsidR="002D0AE7" w:rsidRDefault="00333EBB">
          <w:pPr>
            <w:rPr>
              <w:rFonts w:hint="eastAsia"/>
              <w:bCs/>
              <w:color w:val="000000"/>
              <w:sz w:val="21"/>
              <w:szCs w:val="21"/>
            </w:rPr>
          </w:pPr>
          <w:r>
            <w:rPr>
              <w:sz w:val="21"/>
              <w:szCs w:val="21"/>
            </w:rPr>
            <w:t>B.</w:t>
          </w:r>
          <w:r>
            <w:rPr>
              <w:sz w:val="21"/>
              <w:szCs w:val="21"/>
            </w:rPr>
            <w:t>天津药业集团有限公司为本公司一年内到期的长期借款</w:t>
          </w:r>
          <w:r>
            <w:rPr>
              <w:rFonts w:ascii="Times New Roman" w:hAnsi="Times New Roman" w:cs="Times New Roman"/>
              <w:bCs/>
              <w:color w:val="000000"/>
              <w:sz w:val="21"/>
              <w:szCs w:val="21"/>
            </w:rPr>
            <w:t>264</w:t>
          </w:r>
          <w:r>
            <w:rPr>
              <w:rFonts w:ascii="Times New Roman" w:hAnsi="Times New Roman" w:cs="Times New Roman"/>
              <w:sz w:val="21"/>
              <w:szCs w:val="21"/>
            </w:rPr>
            <w:t>,</w:t>
          </w:r>
          <w:r>
            <w:rPr>
              <w:rFonts w:ascii="Times New Roman" w:hAnsi="Times New Roman" w:cs="Times New Roman"/>
              <w:bCs/>
              <w:color w:val="000000"/>
              <w:sz w:val="21"/>
              <w:szCs w:val="21"/>
            </w:rPr>
            <w:t>000</w:t>
          </w:r>
          <w:r>
            <w:rPr>
              <w:rFonts w:ascii="Times New Roman" w:hAnsi="Times New Roman" w:cs="Times New Roman"/>
              <w:sz w:val="21"/>
              <w:szCs w:val="21"/>
            </w:rPr>
            <w:t>,</w:t>
          </w:r>
          <w:r>
            <w:rPr>
              <w:rFonts w:ascii="Times New Roman" w:hAnsi="Times New Roman" w:cs="Times New Roman"/>
              <w:bCs/>
              <w:color w:val="000000"/>
              <w:sz w:val="21"/>
              <w:szCs w:val="21"/>
            </w:rPr>
            <w:t>000.00</w:t>
          </w:r>
          <w:r>
            <w:rPr>
              <w:sz w:val="21"/>
              <w:szCs w:val="21"/>
            </w:rPr>
            <w:t>元提供保证担保。</w:t>
          </w:r>
        </w:p>
        <w:p w14:paraId="2977EBEA" w14:textId="77777777" w:rsidR="002D0AE7" w:rsidRDefault="00333EBB">
          <w:pPr>
            <w:rPr>
              <w:rFonts w:hint="eastAsia"/>
              <w:sz w:val="21"/>
              <w:szCs w:val="21"/>
            </w:rPr>
          </w:pPr>
          <w:r>
            <w:rPr>
              <w:sz w:val="21"/>
              <w:szCs w:val="21"/>
            </w:rPr>
            <w:t>C.</w:t>
          </w:r>
          <w:r>
            <w:rPr>
              <w:sz w:val="21"/>
              <w:szCs w:val="21"/>
            </w:rPr>
            <w:t>租赁负债重分类到一年内到期的租赁负债金额是</w:t>
          </w:r>
          <w:r>
            <w:rPr>
              <w:rFonts w:ascii="Times New Roman" w:hAnsi="Times New Roman" w:cs="Times New Roman"/>
              <w:sz w:val="21"/>
              <w:szCs w:val="21"/>
            </w:rPr>
            <w:t>28,423.53</w:t>
          </w:r>
          <w:r>
            <w:rPr>
              <w:sz w:val="21"/>
              <w:szCs w:val="21"/>
            </w:rPr>
            <w:t>元。</w:t>
          </w:r>
        </w:p>
      </w:sdtContent>
    </w:sdt>
    <w:p w14:paraId="78A23085"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szCs w:val="21"/>
        </w:rPr>
        <w:t>其他流动负债</w:t>
      </w:r>
      <w:bookmarkStart w:id="207" w:name="_Hlk10536328"/>
    </w:p>
    <w:sdt>
      <w:sdtPr>
        <w:rPr>
          <w:rFonts w:hint="eastAsia"/>
          <w:color w:val="000000" w:themeColor="text1"/>
        </w:rPr>
        <w:alias w:val="是否适用：其他流动负债情况 [双击切换]"/>
        <w:tag w:val="_GBC_80907e3e53c44260b850f42646eb3d63"/>
        <w:id w:val="-1385482305"/>
        <w:lock w:val="contentLocked"/>
        <w:placeholder>
          <w:docPart w:val="GBC22222222222222222222222222222"/>
        </w:placeholder>
      </w:sdtPr>
      <w:sdtEndPr/>
      <w:sdtContent>
        <w:p w14:paraId="012C4738"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1AB4EE36"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其他流动负债"/>
          <w:tag w:val="_GBC_6d31349460124941a4929421727aab0e"/>
          <w:id w:val="-7906231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其他流动负债"/>
          <w:tag w:val="_GBC_7d8c93066ac541859a45d371953d3cdc"/>
          <w:id w:val="39586109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3040"/>
        <w:gridCol w:w="3051"/>
      </w:tblGrid>
      <w:tr w:rsidR="002D0AE7" w14:paraId="373C5873" w14:textId="77777777">
        <w:trPr>
          <w:jc w:val="center"/>
        </w:trPr>
        <w:bookmarkEnd w:id="207" w:displacedByCustomXml="next"/>
        <w:bookmarkStart w:id="208" w:name="_Hlk167968687" w:displacedByCustomXml="next"/>
        <w:sdt>
          <w:sdtPr>
            <w:rPr>
              <w:color w:val="000000" w:themeColor="text1"/>
              <w:sz w:val="21"/>
              <w:szCs w:val="21"/>
            </w:rPr>
            <w:tag w:val="_PLD_8fb682e3d6ad4a60b648ec38137fbf9d"/>
            <w:id w:val="1354145335"/>
          </w:sdtPr>
          <w:sdtEndPr/>
          <w:sdtContent>
            <w:tc>
              <w:tcPr>
                <w:tcW w:w="1548" w:type="pct"/>
                <w:tcBorders>
                  <w:top w:val="single" w:sz="4" w:space="0" w:color="auto"/>
                  <w:left w:val="single" w:sz="4" w:space="0" w:color="auto"/>
                  <w:bottom w:val="single" w:sz="4" w:space="0" w:color="auto"/>
                  <w:right w:val="single" w:sz="4" w:space="0" w:color="auto"/>
                </w:tcBorders>
                <w:vAlign w:val="bottom"/>
              </w:tcPr>
              <w:p w14:paraId="2A23504E" w14:textId="77777777" w:rsidR="002D0AE7" w:rsidRDefault="00333EBB">
                <w:pPr>
                  <w:tabs>
                    <w:tab w:val="right" w:pos="3690"/>
                    <w:tab w:val="right" w:pos="5130"/>
                    <w:tab w:val="right" w:pos="6030"/>
                    <w:tab w:val="right" w:pos="7650"/>
                    <w:tab w:val="right" w:pos="9270"/>
                  </w:tabs>
                  <w:snapToGrid w:val="0"/>
                  <w:ind w:leftChars="-52" w:left="-125"/>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0c0b762dc58f486f9f736b7ace21e9a0"/>
            <w:id w:val="-44062857"/>
          </w:sdtPr>
          <w:sdtEndPr/>
          <w:sdtContent>
            <w:tc>
              <w:tcPr>
                <w:tcW w:w="1723" w:type="pct"/>
                <w:tcBorders>
                  <w:top w:val="single" w:sz="4" w:space="0" w:color="auto"/>
                  <w:left w:val="single" w:sz="4" w:space="0" w:color="auto"/>
                  <w:bottom w:val="single" w:sz="4" w:space="0" w:color="auto"/>
                  <w:right w:val="single" w:sz="4" w:space="0" w:color="auto"/>
                </w:tcBorders>
              </w:tcPr>
              <w:p w14:paraId="27CC98A4" w14:textId="77777777" w:rsidR="002D0AE7" w:rsidRDefault="00333EBB">
                <w:pPr>
                  <w:adjustRightInd w:val="0"/>
                  <w:snapToGrid w:val="0"/>
                  <w:jc w:val="center"/>
                  <w:rPr>
                    <w:rFonts w:hint="eastAsia"/>
                    <w:color w:val="000000" w:themeColor="text1"/>
                    <w:sz w:val="21"/>
                    <w:szCs w:val="21"/>
                  </w:rPr>
                </w:pPr>
                <w:r>
                  <w:rPr>
                    <w:rFonts w:hint="eastAsia"/>
                    <w:color w:val="000000" w:themeColor="text1"/>
                    <w:sz w:val="21"/>
                    <w:szCs w:val="21"/>
                  </w:rPr>
                  <w:t>期末余额</w:t>
                </w:r>
              </w:p>
            </w:tc>
          </w:sdtContent>
        </w:sdt>
        <w:sdt>
          <w:sdtPr>
            <w:rPr>
              <w:color w:val="000000" w:themeColor="text1"/>
              <w:sz w:val="21"/>
              <w:szCs w:val="21"/>
            </w:rPr>
            <w:tag w:val="_PLD_942d693f41424f82b813e282a8210643"/>
            <w:id w:val="-321273939"/>
          </w:sdtPr>
          <w:sdtEndPr/>
          <w:sdtContent>
            <w:tc>
              <w:tcPr>
                <w:tcW w:w="1729" w:type="pct"/>
                <w:tcBorders>
                  <w:top w:val="single" w:sz="4" w:space="0" w:color="auto"/>
                  <w:left w:val="single" w:sz="4" w:space="0" w:color="auto"/>
                  <w:bottom w:val="single" w:sz="4" w:space="0" w:color="auto"/>
                  <w:right w:val="single" w:sz="4" w:space="0" w:color="auto"/>
                </w:tcBorders>
              </w:tcPr>
              <w:p w14:paraId="6F0894AB" w14:textId="77777777" w:rsidR="002D0AE7" w:rsidRDefault="00333EBB">
                <w:pPr>
                  <w:adjustRightInd w:val="0"/>
                  <w:snapToGrid w:val="0"/>
                  <w:jc w:val="center"/>
                  <w:rPr>
                    <w:rFonts w:hint="eastAsia"/>
                    <w:color w:val="000000" w:themeColor="text1"/>
                    <w:sz w:val="21"/>
                    <w:szCs w:val="21"/>
                  </w:rPr>
                </w:pPr>
                <w:r>
                  <w:rPr>
                    <w:rFonts w:hint="eastAsia"/>
                    <w:color w:val="000000" w:themeColor="text1"/>
                    <w:sz w:val="21"/>
                    <w:szCs w:val="21"/>
                  </w:rPr>
                  <w:t>期初余额</w:t>
                </w:r>
              </w:p>
            </w:tc>
          </w:sdtContent>
        </w:sdt>
      </w:tr>
      <w:tr w:rsidR="002D0AE7" w14:paraId="2B3CBBDB" w14:textId="77777777">
        <w:trPr>
          <w:jc w:val="center"/>
        </w:trPr>
        <w:tc>
          <w:tcPr>
            <w:tcW w:w="1548" w:type="pct"/>
            <w:tcBorders>
              <w:top w:val="single" w:sz="4" w:space="0" w:color="auto"/>
              <w:left w:val="single" w:sz="4" w:space="0" w:color="auto"/>
              <w:bottom w:val="single" w:sz="4" w:space="0" w:color="auto"/>
              <w:right w:val="single" w:sz="4" w:space="0" w:color="auto"/>
            </w:tcBorders>
          </w:tcPr>
          <w:p w14:paraId="2119FA70" w14:textId="77777777" w:rsidR="002D0AE7" w:rsidRDefault="00333EBB">
            <w:pPr>
              <w:jc w:val="center"/>
              <w:rPr>
                <w:rFonts w:hint="eastAsia"/>
                <w:sz w:val="21"/>
                <w:szCs w:val="21"/>
              </w:rPr>
            </w:pPr>
            <w:r>
              <w:rPr>
                <w:rFonts w:hint="eastAsia"/>
                <w:sz w:val="21"/>
                <w:szCs w:val="21"/>
              </w:rPr>
              <w:t>待转销项税额</w:t>
            </w:r>
          </w:p>
        </w:tc>
        <w:tc>
          <w:tcPr>
            <w:tcW w:w="1723" w:type="pct"/>
            <w:tcBorders>
              <w:top w:val="single" w:sz="4" w:space="0" w:color="auto"/>
              <w:left w:val="single" w:sz="4" w:space="0" w:color="auto"/>
              <w:bottom w:val="single" w:sz="4" w:space="0" w:color="auto"/>
              <w:right w:val="single" w:sz="4" w:space="0" w:color="auto"/>
            </w:tcBorders>
          </w:tcPr>
          <w:p w14:paraId="7CA9592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9,974,315.38</w:t>
            </w:r>
          </w:p>
        </w:tc>
        <w:tc>
          <w:tcPr>
            <w:tcW w:w="1729" w:type="pct"/>
            <w:tcBorders>
              <w:top w:val="single" w:sz="4" w:space="0" w:color="auto"/>
              <w:left w:val="single" w:sz="4" w:space="0" w:color="auto"/>
              <w:bottom w:val="single" w:sz="4" w:space="0" w:color="auto"/>
              <w:right w:val="single" w:sz="4" w:space="0" w:color="auto"/>
            </w:tcBorders>
          </w:tcPr>
          <w:p w14:paraId="07CEFFE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16,395,611.38</w:t>
            </w:r>
          </w:p>
        </w:tc>
      </w:tr>
      <w:tr w:rsidR="002D0AE7" w14:paraId="2F3AF86C" w14:textId="77777777">
        <w:trPr>
          <w:jc w:val="center"/>
        </w:trPr>
        <w:tc>
          <w:tcPr>
            <w:tcW w:w="1548" w:type="pct"/>
            <w:tcBorders>
              <w:top w:val="single" w:sz="4" w:space="0" w:color="auto"/>
              <w:left w:val="single" w:sz="4" w:space="0" w:color="auto"/>
              <w:bottom w:val="single" w:sz="4" w:space="0" w:color="auto"/>
              <w:right w:val="single" w:sz="4" w:space="0" w:color="auto"/>
            </w:tcBorders>
          </w:tcPr>
          <w:p w14:paraId="53FF8019"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1723" w:type="pct"/>
            <w:tcBorders>
              <w:top w:val="single" w:sz="4" w:space="0" w:color="auto"/>
              <w:left w:val="single" w:sz="4" w:space="0" w:color="auto"/>
              <w:bottom w:val="single" w:sz="4" w:space="0" w:color="auto"/>
              <w:right w:val="single" w:sz="4" w:space="0" w:color="auto"/>
            </w:tcBorders>
            <w:vAlign w:val="center"/>
          </w:tcPr>
          <w:p w14:paraId="0BE21A2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9,974,315.38</w:t>
            </w:r>
          </w:p>
        </w:tc>
        <w:tc>
          <w:tcPr>
            <w:tcW w:w="1729" w:type="pct"/>
            <w:tcBorders>
              <w:top w:val="single" w:sz="4" w:space="0" w:color="auto"/>
              <w:left w:val="single" w:sz="4" w:space="0" w:color="auto"/>
              <w:bottom w:val="single" w:sz="4" w:space="0" w:color="auto"/>
              <w:right w:val="single" w:sz="4" w:space="0" w:color="auto"/>
            </w:tcBorders>
            <w:vAlign w:val="center"/>
          </w:tcPr>
          <w:p w14:paraId="7C10E55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16,395,611.38</w:t>
            </w:r>
          </w:p>
        </w:tc>
      </w:tr>
    </w:tbl>
    <w:bookmarkEnd w:id="208"/>
    <w:p w14:paraId="04591B88"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szCs w:val="21"/>
        </w:rPr>
        <w:t>长期借款</w:t>
      </w:r>
    </w:p>
    <w:p w14:paraId="6981F124" w14:textId="77777777" w:rsidR="002D0AE7" w:rsidRDefault="00333EBB">
      <w:pPr>
        <w:pStyle w:val="4"/>
        <w:numPr>
          <w:ilvl w:val="0"/>
          <w:numId w:val="64"/>
        </w:numPr>
        <w:tabs>
          <w:tab w:val="left" w:pos="630"/>
        </w:tabs>
        <w:ind w:left="420"/>
        <w:rPr>
          <w:rFonts w:ascii="宋体" w:hAnsi="宋体" w:hint="eastAsia"/>
          <w:color w:val="000000" w:themeColor="text1"/>
          <w:szCs w:val="21"/>
        </w:rPr>
      </w:pPr>
      <w:r>
        <w:rPr>
          <w:rFonts w:ascii="宋体" w:hAnsi="宋体" w:hint="eastAsia"/>
          <w:color w:val="000000" w:themeColor="text1"/>
          <w:szCs w:val="21"/>
        </w:rPr>
        <w:t>长期借款分类</w:t>
      </w:r>
    </w:p>
    <w:sdt>
      <w:sdtPr>
        <w:rPr>
          <w:color w:val="000000" w:themeColor="text1"/>
        </w:rPr>
        <w:alias w:val="是否适用：长期借款分类[双击切换]"/>
        <w:tag w:val="_GBC_6ef43a5268e7491db189883a31952469"/>
        <w:id w:val="79963143"/>
        <w:placeholder>
          <w:docPart w:val="GBC22222222222222222222222222222"/>
        </w:placeholder>
      </w:sdtPr>
      <w:sdtEndPr/>
      <w:sdtContent>
        <w:p w14:paraId="390CEFE2"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405B89F8"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长期借款分类"/>
          <w:tag w:val="_GBC_146f044f7fd14a45bf9247f0af389a14"/>
          <w:id w:val="180974131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长期借款分类"/>
          <w:tag w:val="_GBC_7570ad6f1fd04c3d939be649ce4cfc30"/>
          <w:id w:val="-70672142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975"/>
        <w:gridCol w:w="2975"/>
        <w:gridCol w:w="2873"/>
      </w:tblGrid>
      <w:tr w:rsidR="002D0AE7" w14:paraId="186CC4A8" w14:textId="77777777">
        <w:trPr>
          <w:cantSplit/>
        </w:trPr>
        <w:sdt>
          <w:sdtPr>
            <w:rPr>
              <w:color w:val="000000" w:themeColor="text1"/>
              <w:sz w:val="21"/>
              <w:szCs w:val="21"/>
            </w:rPr>
            <w:tag w:val="_PLD_3ee60507a6384334b819485e73faa1f4"/>
            <w:id w:val="-141048697"/>
          </w:sdtPr>
          <w:sdtEndPr/>
          <w:sdtContent>
            <w:tc>
              <w:tcPr>
                <w:tcW w:w="1686" w:type="pct"/>
              </w:tcPr>
              <w:p w14:paraId="12C8B2E8"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d2a4fabfb296457384b1523a60233642"/>
            <w:id w:val="-997032432"/>
          </w:sdtPr>
          <w:sdtEndPr/>
          <w:sdtContent>
            <w:tc>
              <w:tcPr>
                <w:tcW w:w="1686" w:type="pct"/>
              </w:tcPr>
              <w:p w14:paraId="38843085"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sdt>
          <w:sdtPr>
            <w:rPr>
              <w:color w:val="000000" w:themeColor="text1"/>
              <w:sz w:val="21"/>
              <w:szCs w:val="21"/>
            </w:rPr>
            <w:tag w:val="_PLD_aab598d4b37f4953a2ee9b7475cb43e6"/>
            <w:id w:val="-1814163971"/>
          </w:sdtPr>
          <w:sdtEndPr/>
          <w:sdtContent>
            <w:tc>
              <w:tcPr>
                <w:tcW w:w="1628" w:type="pct"/>
              </w:tcPr>
              <w:p w14:paraId="424627AC" w14:textId="77777777" w:rsidR="002D0AE7" w:rsidRDefault="00333EBB">
                <w:pPr>
                  <w:jc w:val="center"/>
                  <w:rPr>
                    <w:rFonts w:hint="eastAsia"/>
                    <w:color w:val="000000" w:themeColor="text1"/>
                    <w:sz w:val="21"/>
                    <w:szCs w:val="21"/>
                  </w:rPr>
                </w:pPr>
                <w:r>
                  <w:rPr>
                    <w:rFonts w:hint="eastAsia"/>
                    <w:color w:val="000000" w:themeColor="text1"/>
                    <w:sz w:val="21"/>
                    <w:szCs w:val="21"/>
                  </w:rPr>
                  <w:t>期初余额</w:t>
                </w:r>
              </w:p>
            </w:tc>
          </w:sdtContent>
        </w:sdt>
      </w:tr>
      <w:tr w:rsidR="002D0AE7" w14:paraId="64E9D29E" w14:textId="77777777">
        <w:trPr>
          <w:cantSplit/>
        </w:trPr>
        <w:tc>
          <w:tcPr>
            <w:tcW w:w="1686" w:type="pct"/>
            <w:shd w:val="clear" w:color="auto" w:fill="auto"/>
          </w:tcPr>
          <w:p w14:paraId="1FC12C56" w14:textId="77777777" w:rsidR="002D0AE7" w:rsidRDefault="00333EBB">
            <w:pPr>
              <w:autoSpaceDE w:val="0"/>
              <w:autoSpaceDN w:val="0"/>
              <w:adjustRightInd w:val="0"/>
              <w:snapToGrid w:val="0"/>
              <w:jc w:val="both"/>
              <w:rPr>
                <w:rFonts w:hint="eastAsia"/>
                <w:color w:val="000000" w:themeColor="text1"/>
                <w:sz w:val="21"/>
                <w:szCs w:val="21"/>
              </w:rPr>
            </w:pPr>
            <w:r>
              <w:rPr>
                <w:rFonts w:hint="eastAsia"/>
                <w:color w:val="000000" w:themeColor="text1"/>
                <w:sz w:val="21"/>
                <w:szCs w:val="21"/>
              </w:rPr>
              <w:t>保证借款</w:t>
            </w:r>
          </w:p>
        </w:tc>
        <w:tc>
          <w:tcPr>
            <w:tcW w:w="1686" w:type="pct"/>
            <w:shd w:val="clear" w:color="auto" w:fill="auto"/>
            <w:vAlign w:val="center"/>
          </w:tcPr>
          <w:p w14:paraId="50CEA7C6" w14:textId="77777777" w:rsidR="002D0AE7" w:rsidRDefault="00333EBB">
            <w:pPr>
              <w:autoSpaceDE w:val="0"/>
              <w:autoSpaceDN w:val="0"/>
              <w:adjustRightInd w:val="0"/>
              <w:snapToGrid w:val="0"/>
              <w:ind w:right="180"/>
              <w:jc w:val="right"/>
              <w:rPr>
                <w:rFonts w:ascii="Times New Roman" w:hAnsi="Times New Roman" w:cs="Times New Roman"/>
                <w:sz w:val="21"/>
                <w:szCs w:val="21"/>
              </w:rPr>
            </w:pPr>
            <w:r>
              <w:rPr>
                <w:rFonts w:ascii="Times New Roman" w:hAnsi="Times New Roman" w:cs="Times New Roman"/>
                <w:sz w:val="21"/>
                <w:szCs w:val="21"/>
              </w:rPr>
              <w:t>95,000,000.00</w:t>
            </w:r>
          </w:p>
        </w:tc>
        <w:tc>
          <w:tcPr>
            <w:tcW w:w="1628" w:type="pct"/>
            <w:shd w:val="clear" w:color="auto" w:fill="auto"/>
            <w:vAlign w:val="center"/>
          </w:tcPr>
          <w:p w14:paraId="23072A2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183,500,000.00</w:t>
            </w:r>
          </w:p>
        </w:tc>
      </w:tr>
      <w:tr w:rsidR="002D0AE7" w14:paraId="5A93C7B1" w14:textId="77777777">
        <w:trPr>
          <w:cantSplit/>
        </w:trPr>
        <w:tc>
          <w:tcPr>
            <w:tcW w:w="1686" w:type="pct"/>
            <w:shd w:val="clear" w:color="auto" w:fill="auto"/>
          </w:tcPr>
          <w:p w14:paraId="7941E22B" w14:textId="77777777" w:rsidR="002D0AE7" w:rsidRDefault="00333EBB">
            <w:pPr>
              <w:autoSpaceDE w:val="0"/>
              <w:autoSpaceDN w:val="0"/>
              <w:adjustRightInd w:val="0"/>
              <w:snapToGrid w:val="0"/>
              <w:jc w:val="both"/>
              <w:rPr>
                <w:rFonts w:hint="eastAsia"/>
                <w:color w:val="000000" w:themeColor="text1"/>
                <w:sz w:val="21"/>
                <w:szCs w:val="21"/>
              </w:rPr>
            </w:pPr>
            <w:r>
              <w:rPr>
                <w:rFonts w:hint="eastAsia"/>
                <w:color w:val="000000" w:themeColor="text1"/>
                <w:sz w:val="21"/>
                <w:szCs w:val="21"/>
              </w:rPr>
              <w:lastRenderedPageBreak/>
              <w:t>信用借款</w:t>
            </w:r>
          </w:p>
        </w:tc>
        <w:tc>
          <w:tcPr>
            <w:tcW w:w="1686" w:type="pct"/>
            <w:shd w:val="clear" w:color="auto" w:fill="auto"/>
            <w:vAlign w:val="center"/>
          </w:tcPr>
          <w:p w14:paraId="6F8E859A" w14:textId="77777777" w:rsidR="002D0AE7" w:rsidRDefault="00333EBB">
            <w:pPr>
              <w:autoSpaceDE w:val="0"/>
              <w:autoSpaceDN w:val="0"/>
              <w:adjustRightInd w:val="0"/>
              <w:snapToGrid w:val="0"/>
              <w:ind w:right="180"/>
              <w:jc w:val="right"/>
              <w:rPr>
                <w:rFonts w:ascii="Times New Roman" w:hAnsi="Times New Roman" w:cs="Times New Roman"/>
                <w:sz w:val="21"/>
                <w:szCs w:val="21"/>
              </w:rPr>
            </w:pPr>
            <w:r>
              <w:rPr>
                <w:rFonts w:ascii="Times New Roman" w:hAnsi="Times New Roman" w:cs="Times New Roman"/>
                <w:sz w:val="21"/>
                <w:szCs w:val="21"/>
              </w:rPr>
              <w:t>278,469,443.00</w:t>
            </w:r>
          </w:p>
        </w:tc>
        <w:tc>
          <w:tcPr>
            <w:tcW w:w="1628" w:type="pct"/>
            <w:shd w:val="clear" w:color="auto" w:fill="auto"/>
            <w:vAlign w:val="center"/>
          </w:tcPr>
          <w:p w14:paraId="49A85A0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93,500,000.00</w:t>
            </w:r>
          </w:p>
        </w:tc>
      </w:tr>
      <w:tr w:rsidR="002D0AE7" w14:paraId="49E28A46" w14:textId="77777777">
        <w:trPr>
          <w:cantSplit/>
        </w:trPr>
        <w:tc>
          <w:tcPr>
            <w:tcW w:w="1686" w:type="pct"/>
            <w:vAlign w:val="center"/>
          </w:tcPr>
          <w:p w14:paraId="7260ADC2"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合计</w:t>
            </w:r>
          </w:p>
        </w:tc>
        <w:tc>
          <w:tcPr>
            <w:tcW w:w="1686" w:type="pct"/>
          </w:tcPr>
          <w:p w14:paraId="01F6F13A" w14:textId="77777777" w:rsidR="002D0AE7" w:rsidRDefault="00333EBB">
            <w:pPr>
              <w:autoSpaceDE w:val="0"/>
              <w:autoSpaceDN w:val="0"/>
              <w:adjustRightInd w:val="0"/>
              <w:snapToGrid w:val="0"/>
              <w:ind w:right="180"/>
              <w:jc w:val="right"/>
              <w:rPr>
                <w:rFonts w:ascii="Times New Roman" w:hAnsi="Times New Roman" w:cs="Times New Roman"/>
                <w:sz w:val="21"/>
                <w:szCs w:val="21"/>
              </w:rPr>
            </w:pPr>
            <w:r>
              <w:rPr>
                <w:rFonts w:ascii="Times New Roman" w:hAnsi="Times New Roman" w:cs="Times New Roman"/>
                <w:sz w:val="21"/>
                <w:szCs w:val="21"/>
              </w:rPr>
              <w:t>373,469,443.00</w:t>
            </w:r>
          </w:p>
        </w:tc>
        <w:tc>
          <w:tcPr>
            <w:tcW w:w="1628" w:type="pct"/>
            <w:vAlign w:val="center"/>
          </w:tcPr>
          <w:p w14:paraId="7990FA6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277,000,000.00</w:t>
            </w:r>
          </w:p>
        </w:tc>
      </w:tr>
    </w:tbl>
    <w:p w14:paraId="12DF75FA" w14:textId="77777777" w:rsidR="002D0AE7" w:rsidRDefault="00333EBB">
      <w:pPr>
        <w:snapToGrid w:val="0"/>
        <w:rPr>
          <w:rFonts w:hint="eastAsia"/>
          <w:color w:val="000000" w:themeColor="text1"/>
        </w:rPr>
      </w:pPr>
      <w:r>
        <w:rPr>
          <w:rFonts w:hint="eastAsia"/>
          <w:color w:val="000000" w:themeColor="text1"/>
        </w:rPr>
        <w:t>其他说明</w:t>
      </w:r>
    </w:p>
    <w:sdt>
      <w:sdtPr>
        <w:rPr>
          <w:color w:val="000000" w:themeColor="text1"/>
        </w:rPr>
        <w:alias w:val="是否适用：长期借款的说明[双击切换]"/>
        <w:tag w:val="_GBC_1dc67be6516c4de3956a80023674c75a"/>
        <w:id w:val="-263229841"/>
        <w:placeholder>
          <w:docPart w:val="GBC22222222222222222222222222222"/>
        </w:placeholder>
      </w:sdtPr>
      <w:sdtEndPr/>
      <w:sdtContent>
        <w:p w14:paraId="21BDA36E" w14:textId="77777777" w:rsidR="002D0AE7" w:rsidRDefault="00333EBB">
          <w:pPr>
            <w:snapToGrid w:val="0"/>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长期借款的说明"/>
        <w:tag w:val="_GBC_05c1a5b23bdb44ee812f7f625a395fd0"/>
        <w:id w:val="-393354098"/>
        <w:placeholder>
          <w:docPart w:val="GBC22222222222222222222222222222"/>
        </w:placeholder>
      </w:sdtPr>
      <w:sdtEndPr/>
      <w:sdtContent>
        <w:sdt>
          <w:sdtPr>
            <w:rPr>
              <w:color w:val="000000" w:themeColor="text1"/>
            </w:rPr>
            <w:alias w:val="长期借款分类的说明"/>
            <w:tag w:val="_GBC_c93626a5eade42f48eca926da85f3afb"/>
            <w:id w:val="-295911816"/>
            <w:placeholder>
              <w:docPart w:val="2724D6D422A745AE8CDC5868F21874FD"/>
            </w:placeholder>
          </w:sdtPr>
          <w:sdtEndPr/>
          <w:sdtContent>
            <w:p w14:paraId="033381DD" w14:textId="77777777" w:rsidR="002D0AE7" w:rsidRDefault="00333EBB">
              <w:pPr>
                <w:snapToGrid w:val="0"/>
                <w:rPr>
                  <w:rFonts w:hint="eastAsia"/>
                  <w:sz w:val="21"/>
                  <w:szCs w:val="15"/>
                </w:rPr>
              </w:pPr>
              <w:r>
                <w:rPr>
                  <w:sz w:val="21"/>
                  <w:szCs w:val="15"/>
                </w:rPr>
                <w:t>A.</w:t>
              </w:r>
              <w:r>
                <w:rPr>
                  <w:sz w:val="21"/>
                  <w:szCs w:val="15"/>
                </w:rPr>
                <w:t>截止</w:t>
              </w:r>
              <w:r>
                <w:rPr>
                  <w:sz w:val="21"/>
                  <w:szCs w:val="15"/>
                </w:rPr>
                <w:t>2024</w:t>
              </w:r>
              <w:r>
                <w:rPr>
                  <w:sz w:val="21"/>
                  <w:szCs w:val="15"/>
                </w:rPr>
                <w:t>年</w:t>
              </w:r>
              <w:r>
                <w:rPr>
                  <w:sz w:val="21"/>
                  <w:szCs w:val="15"/>
                </w:rPr>
                <w:t>6</w:t>
              </w:r>
              <w:r>
                <w:rPr>
                  <w:sz w:val="21"/>
                  <w:szCs w:val="15"/>
                </w:rPr>
                <w:t>月</w:t>
              </w:r>
              <w:r>
                <w:rPr>
                  <w:sz w:val="21"/>
                  <w:szCs w:val="15"/>
                </w:rPr>
                <w:t>30</w:t>
              </w:r>
              <w:r>
                <w:rPr>
                  <w:sz w:val="21"/>
                  <w:szCs w:val="15"/>
                </w:rPr>
                <w:t>日本公司无已到期但尚未偿还的借款。</w:t>
              </w:r>
            </w:p>
            <w:p w14:paraId="6A09B906" w14:textId="77777777" w:rsidR="002D0AE7" w:rsidRDefault="00333EBB">
              <w:pPr>
                <w:snapToGrid w:val="0"/>
                <w:rPr>
                  <w:rFonts w:hint="eastAsia"/>
                  <w:sz w:val="21"/>
                  <w:szCs w:val="15"/>
                </w:rPr>
              </w:pPr>
              <w:r>
                <w:rPr>
                  <w:sz w:val="21"/>
                  <w:szCs w:val="15"/>
                </w:rPr>
                <w:t>B.</w:t>
              </w:r>
              <w:r>
                <w:rPr>
                  <w:sz w:val="21"/>
                  <w:szCs w:val="15"/>
                </w:rPr>
                <w:t>天津药业集团有限公司为本公司长期借款</w:t>
              </w:r>
              <w:r>
                <w:rPr>
                  <w:rFonts w:ascii="Times New Roman" w:hAnsi="Times New Roman" w:cs="Times New Roman"/>
                  <w:sz w:val="21"/>
                  <w:szCs w:val="21"/>
                </w:rPr>
                <w:t>95,000,000.00</w:t>
              </w:r>
              <w:r>
                <w:rPr>
                  <w:sz w:val="21"/>
                  <w:szCs w:val="15"/>
                </w:rPr>
                <w:t>元提供保证担保。</w:t>
              </w:r>
            </w:p>
            <w:p w14:paraId="120C0ECD" w14:textId="77777777" w:rsidR="002D0AE7" w:rsidRDefault="00333EBB">
              <w:pPr>
                <w:snapToGrid w:val="0"/>
                <w:rPr>
                  <w:rFonts w:hint="eastAsia"/>
                  <w:szCs w:val="18"/>
                </w:rPr>
              </w:pPr>
              <w:r>
                <w:rPr>
                  <w:sz w:val="21"/>
                  <w:szCs w:val="15"/>
                </w:rPr>
                <w:t>C.</w:t>
              </w:r>
              <w:r>
                <w:rPr>
                  <w:sz w:val="21"/>
                  <w:szCs w:val="15"/>
                </w:rPr>
                <w:t>截止</w:t>
              </w:r>
              <w:r>
                <w:rPr>
                  <w:sz w:val="21"/>
                  <w:szCs w:val="15"/>
                </w:rPr>
                <w:t>202</w:t>
              </w:r>
              <w:r>
                <w:rPr>
                  <w:rFonts w:hint="eastAsia"/>
                  <w:sz w:val="21"/>
                  <w:szCs w:val="15"/>
                </w:rPr>
                <w:t>4</w:t>
              </w:r>
              <w:r>
                <w:rPr>
                  <w:sz w:val="21"/>
                  <w:szCs w:val="15"/>
                </w:rPr>
                <w:t>年</w:t>
              </w:r>
              <w:r>
                <w:rPr>
                  <w:rFonts w:hint="eastAsia"/>
                  <w:sz w:val="21"/>
                  <w:szCs w:val="15"/>
                </w:rPr>
                <w:t>6</w:t>
              </w:r>
              <w:r>
                <w:rPr>
                  <w:sz w:val="21"/>
                  <w:szCs w:val="15"/>
                </w:rPr>
                <w:t>月</w:t>
              </w:r>
              <w:r>
                <w:rPr>
                  <w:rFonts w:hint="eastAsia"/>
                  <w:sz w:val="21"/>
                  <w:szCs w:val="15"/>
                </w:rPr>
                <w:t>30</w:t>
              </w:r>
              <w:r>
                <w:rPr>
                  <w:sz w:val="21"/>
                  <w:szCs w:val="15"/>
                </w:rPr>
                <w:t>日结存的长期借款利率区间为</w:t>
              </w:r>
              <w:r>
                <w:rPr>
                  <w:rFonts w:ascii="Times New Roman" w:hAnsi="Times New Roman" w:cs="Times New Roman"/>
                  <w:sz w:val="21"/>
                  <w:szCs w:val="15"/>
                </w:rPr>
                <w:t>2.60%-3.30%</w:t>
              </w:r>
              <w:r>
                <w:rPr>
                  <w:sz w:val="21"/>
                  <w:szCs w:val="15"/>
                </w:rPr>
                <w:t>。</w:t>
              </w:r>
            </w:p>
          </w:sdtContent>
        </w:sdt>
      </w:sdtContent>
    </w:sdt>
    <w:p w14:paraId="73A07D00"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szCs w:val="21"/>
        </w:rPr>
        <w:t>长期应付职工薪酬</w:t>
      </w:r>
    </w:p>
    <w:sdt>
      <w:sdtPr>
        <w:rPr>
          <w:color w:val="000000" w:themeColor="text1"/>
        </w:rPr>
        <w:alias w:val="是否适用：长期应付职工薪酬[双击切换]"/>
        <w:tag w:val="_GBC_077559b601814bb38f16734f98e8c045"/>
        <w:id w:val="1761416406"/>
        <w:placeholder>
          <w:docPart w:val="GBC22222222222222222222222222222"/>
        </w:placeholder>
      </w:sdtPr>
      <w:sdtEndPr/>
      <w:sdtContent>
        <w:p w14:paraId="6EE8617B"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63F0AEE2" w14:textId="77777777" w:rsidR="002D0AE7" w:rsidRDefault="00333EBB">
      <w:pPr>
        <w:pStyle w:val="4"/>
        <w:numPr>
          <w:ilvl w:val="0"/>
          <w:numId w:val="65"/>
        </w:numPr>
        <w:rPr>
          <w:rFonts w:ascii="宋体" w:hAnsi="宋体" w:hint="eastAsia"/>
          <w:color w:val="000000" w:themeColor="text1"/>
        </w:rPr>
      </w:pPr>
      <w:r>
        <w:rPr>
          <w:rFonts w:ascii="宋体" w:hAnsi="宋体" w:hint="eastAsia"/>
          <w:color w:val="000000" w:themeColor="text1"/>
        </w:rPr>
        <w:t>长期应付职工薪酬表</w:t>
      </w:r>
    </w:p>
    <w:sdt>
      <w:sdtPr>
        <w:rPr>
          <w:color w:val="000000" w:themeColor="text1"/>
        </w:rPr>
        <w:alias w:val="是否适用：长期应付职工薪酬表[双击切换]"/>
        <w:tag w:val="_GBC_7391cd215aaf4a7595c44b639646aa7a"/>
        <w:id w:val="-1532799350"/>
        <w:placeholder>
          <w:docPart w:val="GBC22222222222222222222222222222"/>
        </w:placeholder>
      </w:sdtPr>
      <w:sdtEndPr/>
      <w:sdtContent>
        <w:p w14:paraId="2371F00A"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65128499"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长期应付职工薪酬"/>
          <w:tag w:val="_GBC_9da16ecedc40480a9563f61db11afc75"/>
          <w:id w:val="101111394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长期应付职工薪酬"/>
          <w:tag w:val="_GBC_4b18e9847cbc49689b57ca163e3c5f6f"/>
          <w:id w:val="-62353665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164"/>
        <w:gridCol w:w="2693"/>
      </w:tblGrid>
      <w:tr w:rsidR="002D0AE7" w14:paraId="2E8F8A80" w14:textId="77777777">
        <w:trPr>
          <w:jc w:val="center"/>
        </w:trPr>
        <w:sdt>
          <w:sdtPr>
            <w:rPr>
              <w:color w:val="000000" w:themeColor="text1"/>
              <w:sz w:val="21"/>
              <w:szCs w:val="21"/>
            </w:rPr>
            <w:tag w:val="_PLD_cd74fa482412415587e08c0e74b1531a"/>
            <w:id w:val="339823127"/>
          </w:sdtPr>
          <w:sdtEndPr/>
          <w:sdtContent>
            <w:tc>
              <w:tcPr>
                <w:tcW w:w="2246" w:type="pct"/>
                <w:tcBorders>
                  <w:top w:val="single" w:sz="6" w:space="0" w:color="auto"/>
                  <w:left w:val="single" w:sz="6" w:space="0" w:color="auto"/>
                  <w:bottom w:val="single" w:sz="6" w:space="0" w:color="auto"/>
                  <w:right w:val="single" w:sz="6" w:space="0" w:color="auto"/>
                </w:tcBorders>
                <w:shd w:val="clear" w:color="auto" w:fill="auto"/>
                <w:vAlign w:val="center"/>
              </w:tcPr>
              <w:p w14:paraId="1275E10A"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d4b575d8eb6648c09575eeeca2ce8fae"/>
            <w:id w:val="-1642952548"/>
          </w:sdtPr>
          <w:sdtEndPr/>
          <w:sdtContent>
            <w:tc>
              <w:tcPr>
                <w:tcW w:w="1227" w:type="pct"/>
                <w:tcBorders>
                  <w:top w:val="single" w:sz="6" w:space="0" w:color="auto"/>
                  <w:left w:val="single" w:sz="6" w:space="0" w:color="auto"/>
                  <w:bottom w:val="single" w:sz="6" w:space="0" w:color="auto"/>
                  <w:right w:val="single" w:sz="6" w:space="0" w:color="auto"/>
                </w:tcBorders>
                <w:shd w:val="clear" w:color="auto" w:fill="auto"/>
                <w:vAlign w:val="center"/>
              </w:tcPr>
              <w:p w14:paraId="4F46EEFC"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sdt>
          <w:sdtPr>
            <w:rPr>
              <w:color w:val="000000" w:themeColor="text1"/>
              <w:sz w:val="21"/>
              <w:szCs w:val="21"/>
            </w:rPr>
            <w:tag w:val="_PLD_686b97eea8314637bed99bbd2be9e3af"/>
            <w:id w:val="555515547"/>
          </w:sdtPr>
          <w:sdtEndPr/>
          <w:sdtContent>
            <w:tc>
              <w:tcPr>
                <w:tcW w:w="1527" w:type="pct"/>
                <w:tcBorders>
                  <w:top w:val="single" w:sz="6" w:space="0" w:color="auto"/>
                  <w:left w:val="single" w:sz="6" w:space="0" w:color="auto"/>
                  <w:bottom w:val="single" w:sz="6" w:space="0" w:color="auto"/>
                  <w:right w:val="single" w:sz="6" w:space="0" w:color="auto"/>
                </w:tcBorders>
                <w:shd w:val="clear" w:color="auto" w:fill="auto"/>
                <w:vAlign w:val="center"/>
              </w:tcPr>
              <w:p w14:paraId="6F4B15C8" w14:textId="77777777" w:rsidR="002D0AE7" w:rsidRDefault="00333EBB">
                <w:pPr>
                  <w:jc w:val="center"/>
                  <w:rPr>
                    <w:rFonts w:hint="eastAsia"/>
                    <w:color w:val="000000" w:themeColor="text1"/>
                    <w:sz w:val="21"/>
                    <w:szCs w:val="21"/>
                  </w:rPr>
                </w:pPr>
                <w:r>
                  <w:rPr>
                    <w:rFonts w:hint="eastAsia"/>
                    <w:color w:val="000000" w:themeColor="text1"/>
                    <w:sz w:val="21"/>
                    <w:szCs w:val="21"/>
                  </w:rPr>
                  <w:t>期初余额</w:t>
                </w:r>
              </w:p>
            </w:tc>
          </w:sdtContent>
        </w:sdt>
      </w:tr>
      <w:tr w:rsidR="002D0AE7" w14:paraId="6BC49911" w14:textId="77777777">
        <w:trPr>
          <w:jc w:val="center"/>
        </w:trPr>
        <w:tc>
          <w:tcPr>
            <w:tcW w:w="2246" w:type="pct"/>
            <w:tcBorders>
              <w:top w:val="single" w:sz="6" w:space="0" w:color="auto"/>
              <w:left w:val="single" w:sz="6" w:space="0" w:color="auto"/>
              <w:bottom w:val="single" w:sz="6" w:space="0" w:color="auto"/>
              <w:right w:val="single" w:sz="6" w:space="0" w:color="auto"/>
            </w:tcBorders>
            <w:shd w:val="clear" w:color="auto" w:fill="auto"/>
          </w:tcPr>
          <w:p w14:paraId="53C11941" w14:textId="77777777" w:rsidR="002D0AE7" w:rsidRDefault="00333EBB">
            <w:pPr>
              <w:rPr>
                <w:rFonts w:hint="eastAsia"/>
                <w:color w:val="000000" w:themeColor="text1"/>
                <w:sz w:val="21"/>
                <w:szCs w:val="21"/>
              </w:rPr>
            </w:pPr>
            <w:r>
              <w:rPr>
                <w:rFonts w:hint="eastAsia"/>
                <w:color w:val="000000" w:themeColor="text1"/>
                <w:sz w:val="21"/>
                <w:szCs w:val="21"/>
              </w:rPr>
              <w:t>一、离职后福利</w:t>
            </w:r>
            <w:r>
              <w:rPr>
                <w:rFonts w:hint="eastAsia"/>
                <w:color w:val="000000" w:themeColor="text1"/>
                <w:sz w:val="21"/>
                <w:szCs w:val="21"/>
              </w:rPr>
              <w:t>-</w:t>
            </w:r>
            <w:r>
              <w:rPr>
                <w:rFonts w:hint="eastAsia"/>
                <w:color w:val="000000" w:themeColor="text1"/>
                <w:sz w:val="21"/>
                <w:szCs w:val="21"/>
              </w:rPr>
              <w:t>设定受益计划净负债</w:t>
            </w:r>
          </w:p>
        </w:tc>
        <w:tc>
          <w:tcPr>
            <w:tcW w:w="1227" w:type="pct"/>
            <w:tcBorders>
              <w:top w:val="single" w:sz="6" w:space="0" w:color="auto"/>
              <w:left w:val="single" w:sz="6" w:space="0" w:color="auto"/>
              <w:bottom w:val="single" w:sz="4" w:space="0" w:color="auto"/>
              <w:right w:val="single" w:sz="4" w:space="0" w:color="auto"/>
            </w:tcBorders>
            <w:shd w:val="clear" w:color="auto" w:fill="auto"/>
          </w:tcPr>
          <w:p w14:paraId="31F2BAC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1527" w:type="pct"/>
            <w:tcBorders>
              <w:top w:val="single" w:sz="6" w:space="0" w:color="auto"/>
              <w:left w:val="single" w:sz="4" w:space="0" w:color="auto"/>
              <w:bottom w:val="single" w:sz="4" w:space="0" w:color="auto"/>
              <w:right w:val="single" w:sz="4" w:space="0" w:color="auto"/>
            </w:tcBorders>
            <w:shd w:val="clear" w:color="auto" w:fill="auto"/>
          </w:tcPr>
          <w:p w14:paraId="47F3B71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03ACC6D7" w14:textId="77777777">
        <w:trPr>
          <w:jc w:val="center"/>
        </w:trPr>
        <w:tc>
          <w:tcPr>
            <w:tcW w:w="2246" w:type="pct"/>
            <w:tcBorders>
              <w:top w:val="single" w:sz="6" w:space="0" w:color="auto"/>
              <w:left w:val="single" w:sz="6" w:space="0" w:color="auto"/>
              <w:bottom w:val="single" w:sz="6" w:space="0" w:color="auto"/>
              <w:right w:val="single" w:sz="6" w:space="0" w:color="auto"/>
            </w:tcBorders>
            <w:shd w:val="clear" w:color="auto" w:fill="auto"/>
          </w:tcPr>
          <w:p w14:paraId="70311097" w14:textId="77777777" w:rsidR="002D0AE7" w:rsidRDefault="00333EBB">
            <w:pPr>
              <w:rPr>
                <w:rFonts w:hint="eastAsia"/>
                <w:color w:val="000000" w:themeColor="text1"/>
                <w:sz w:val="21"/>
                <w:szCs w:val="21"/>
              </w:rPr>
            </w:pPr>
            <w:r>
              <w:rPr>
                <w:rFonts w:hint="eastAsia"/>
                <w:color w:val="000000" w:themeColor="text1"/>
                <w:sz w:val="21"/>
                <w:szCs w:val="21"/>
              </w:rPr>
              <w:t>二、辞退福利</w:t>
            </w:r>
          </w:p>
        </w:tc>
        <w:tc>
          <w:tcPr>
            <w:tcW w:w="1227" w:type="pct"/>
            <w:tcBorders>
              <w:top w:val="single" w:sz="6" w:space="0" w:color="auto"/>
              <w:left w:val="single" w:sz="6" w:space="0" w:color="auto"/>
              <w:bottom w:val="single" w:sz="4" w:space="0" w:color="auto"/>
              <w:right w:val="single" w:sz="4" w:space="0" w:color="auto"/>
            </w:tcBorders>
            <w:shd w:val="clear" w:color="auto" w:fill="auto"/>
          </w:tcPr>
          <w:p w14:paraId="255674F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1527" w:type="pct"/>
            <w:tcBorders>
              <w:top w:val="single" w:sz="6" w:space="0" w:color="auto"/>
              <w:left w:val="single" w:sz="4" w:space="0" w:color="auto"/>
              <w:bottom w:val="single" w:sz="4" w:space="0" w:color="auto"/>
              <w:right w:val="single" w:sz="4" w:space="0" w:color="auto"/>
            </w:tcBorders>
            <w:shd w:val="clear" w:color="auto" w:fill="auto"/>
          </w:tcPr>
          <w:p w14:paraId="00D1977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1EDCD343" w14:textId="77777777">
        <w:trPr>
          <w:jc w:val="center"/>
        </w:trPr>
        <w:tc>
          <w:tcPr>
            <w:tcW w:w="2246" w:type="pct"/>
            <w:tcBorders>
              <w:top w:val="single" w:sz="6" w:space="0" w:color="auto"/>
              <w:left w:val="single" w:sz="6" w:space="0" w:color="auto"/>
              <w:bottom w:val="single" w:sz="6" w:space="0" w:color="auto"/>
              <w:right w:val="single" w:sz="6" w:space="0" w:color="auto"/>
            </w:tcBorders>
            <w:shd w:val="clear" w:color="auto" w:fill="auto"/>
          </w:tcPr>
          <w:p w14:paraId="1654DD55" w14:textId="77777777" w:rsidR="002D0AE7" w:rsidRDefault="00333EBB">
            <w:pPr>
              <w:rPr>
                <w:rFonts w:hint="eastAsia"/>
                <w:color w:val="000000" w:themeColor="text1"/>
                <w:sz w:val="21"/>
                <w:szCs w:val="21"/>
              </w:rPr>
            </w:pPr>
            <w:r>
              <w:rPr>
                <w:rFonts w:hint="eastAsia"/>
                <w:color w:val="000000" w:themeColor="text1"/>
                <w:sz w:val="21"/>
                <w:szCs w:val="21"/>
              </w:rPr>
              <w:t>三、其他长期福利</w:t>
            </w:r>
          </w:p>
        </w:tc>
        <w:tc>
          <w:tcPr>
            <w:tcW w:w="1227" w:type="pct"/>
            <w:tcBorders>
              <w:top w:val="single" w:sz="4" w:space="0" w:color="auto"/>
              <w:left w:val="single" w:sz="6" w:space="0" w:color="auto"/>
              <w:bottom w:val="single" w:sz="4" w:space="0" w:color="auto"/>
              <w:right w:val="single" w:sz="4" w:space="0" w:color="auto"/>
            </w:tcBorders>
            <w:shd w:val="clear" w:color="auto" w:fill="auto"/>
          </w:tcPr>
          <w:p w14:paraId="50BBBFD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DBB208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6A094D82" w14:textId="77777777">
        <w:trPr>
          <w:jc w:val="center"/>
        </w:trPr>
        <w:tc>
          <w:tcPr>
            <w:tcW w:w="2246" w:type="pct"/>
            <w:tcBorders>
              <w:top w:val="single" w:sz="4" w:space="0" w:color="auto"/>
              <w:left w:val="single" w:sz="4" w:space="0" w:color="auto"/>
              <w:bottom w:val="single" w:sz="6" w:space="0" w:color="auto"/>
              <w:right w:val="single" w:sz="4" w:space="0" w:color="auto"/>
            </w:tcBorders>
            <w:shd w:val="clear" w:color="auto" w:fill="auto"/>
          </w:tcPr>
          <w:p w14:paraId="18A1657E" w14:textId="77777777" w:rsidR="002D0AE7" w:rsidRDefault="00333EBB">
            <w:pPr>
              <w:rPr>
                <w:rFonts w:hint="eastAsia"/>
                <w:sz w:val="21"/>
                <w:szCs w:val="21"/>
              </w:rPr>
            </w:pPr>
            <w:r>
              <w:rPr>
                <w:rFonts w:hint="eastAsia"/>
                <w:sz w:val="21"/>
                <w:szCs w:val="21"/>
              </w:rPr>
              <w:t>四、待支付薪酬</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02BF567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8,060,000.00</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163BAF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8,060,000.00</w:t>
            </w:r>
          </w:p>
        </w:tc>
      </w:tr>
      <w:tr w:rsidR="002D0AE7" w14:paraId="41E408F9" w14:textId="77777777">
        <w:trPr>
          <w:jc w:val="center"/>
        </w:trPr>
        <w:tc>
          <w:tcPr>
            <w:tcW w:w="2246" w:type="pct"/>
            <w:tcBorders>
              <w:top w:val="single" w:sz="6" w:space="0" w:color="auto"/>
              <w:left w:val="single" w:sz="6" w:space="0" w:color="auto"/>
              <w:bottom w:val="single" w:sz="6" w:space="0" w:color="auto"/>
              <w:right w:val="single" w:sz="6" w:space="0" w:color="auto"/>
            </w:tcBorders>
            <w:shd w:val="clear" w:color="auto" w:fill="auto"/>
            <w:vAlign w:val="center"/>
          </w:tcPr>
          <w:p w14:paraId="01EF5DA6"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1227" w:type="pct"/>
            <w:tcBorders>
              <w:top w:val="single" w:sz="4" w:space="0" w:color="auto"/>
              <w:left w:val="single" w:sz="6" w:space="0" w:color="auto"/>
              <w:bottom w:val="single" w:sz="4" w:space="0" w:color="auto"/>
              <w:right w:val="single" w:sz="4" w:space="0" w:color="auto"/>
            </w:tcBorders>
            <w:shd w:val="clear" w:color="auto" w:fill="auto"/>
          </w:tcPr>
          <w:p w14:paraId="56E85F7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8,060,000.00</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BA3B1A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8,060,000.00</w:t>
            </w:r>
          </w:p>
        </w:tc>
      </w:tr>
    </w:tbl>
    <w:p w14:paraId="64390B1A"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szCs w:val="21"/>
        </w:rPr>
        <w:t>递延收益</w:t>
      </w:r>
    </w:p>
    <w:p w14:paraId="7B6BCBB1" w14:textId="77777777" w:rsidR="002D0AE7" w:rsidRDefault="00333EBB">
      <w:pPr>
        <w:pStyle w:val="11"/>
        <w:rPr>
          <w:rFonts w:hint="eastAsia"/>
        </w:rPr>
      </w:pPr>
      <w:r>
        <w:rPr>
          <w:rFonts w:hint="eastAsia"/>
        </w:rPr>
        <w:t>递延收益情况</w:t>
      </w:r>
    </w:p>
    <w:sdt>
      <w:sdtPr>
        <w:alias w:val="是否适用：递延收益情况 [双击切换]"/>
        <w:tag w:val="_GBC_2c1393684e764245824b2390014e92f1"/>
        <w:id w:val="-93023048"/>
        <w:placeholder>
          <w:docPart w:val="GBC22222222222222222222222222222"/>
        </w:placeholder>
      </w:sdtPr>
      <w:sdtEndPr/>
      <w:sdtContent>
        <w:p w14:paraId="7172510A" w14:textId="77777777" w:rsidR="002D0AE7" w:rsidRDefault="00333EBB">
          <w:pPr>
            <w:pStyle w:val="11"/>
            <w:rPr>
              <w:rFonts w:hint="eastAsia"/>
            </w:rPr>
          </w:pPr>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14:paraId="499BE3B2" w14:textId="77777777" w:rsidR="002D0AE7" w:rsidRDefault="00333EBB">
      <w:pPr>
        <w:pStyle w:val="11"/>
        <w:rPr>
          <w:rFonts w:hint="eastAsia"/>
        </w:rPr>
      </w:pPr>
      <w:r>
        <w:rPr>
          <w:rFonts w:hint="eastAsia"/>
        </w:rPr>
        <w:t>单位：</w:t>
      </w:r>
      <w:sdt>
        <w:sdtPr>
          <w:rPr>
            <w:rFonts w:hint="eastAsia"/>
          </w:rPr>
          <w:alias w:val="单位：财务附注：递延收益"/>
          <w:tag w:val="_GBC_cf9505178ef64cd8b1a42757a7aaf77d"/>
          <w:id w:val="-134200193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财务附注：递延收益"/>
          <w:tag w:val="_GBC_b7ba9c3d835b413e83140a438bc5c413"/>
          <w:id w:val="116913487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4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645"/>
        <w:gridCol w:w="1440"/>
        <w:gridCol w:w="1440"/>
        <w:gridCol w:w="1645"/>
        <w:gridCol w:w="1293"/>
      </w:tblGrid>
      <w:tr w:rsidR="002D0AE7" w14:paraId="686CFC7F" w14:textId="77777777">
        <w:trPr>
          <w:cantSplit/>
          <w:trHeight w:val="335"/>
          <w:jc w:val="center"/>
        </w:trPr>
        <w:sdt>
          <w:sdtPr>
            <w:rPr>
              <w:color w:val="000000" w:themeColor="text1"/>
              <w:sz w:val="21"/>
              <w:szCs w:val="21"/>
            </w:rPr>
            <w:tag w:val="_PLD_eeb45564af314089916105a5217e0ff6"/>
            <w:id w:val="667131960"/>
          </w:sdtPr>
          <w:sdtEndPr/>
          <w:sdtContent>
            <w:tc>
              <w:tcPr>
                <w:tcW w:w="1144" w:type="pct"/>
                <w:shd w:val="clear" w:color="auto" w:fill="auto"/>
                <w:vAlign w:val="center"/>
              </w:tcPr>
              <w:p w14:paraId="7C7AEF43"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e0613743f99d4af58a75406a4e2ba5a1"/>
            <w:id w:val="-436365396"/>
          </w:sdtPr>
          <w:sdtEndPr/>
          <w:sdtContent>
            <w:tc>
              <w:tcPr>
                <w:tcW w:w="850" w:type="pct"/>
                <w:shd w:val="clear" w:color="auto" w:fill="auto"/>
                <w:vAlign w:val="center"/>
              </w:tcPr>
              <w:p w14:paraId="1339E81C" w14:textId="77777777" w:rsidR="002D0AE7" w:rsidRDefault="00333EBB">
                <w:pPr>
                  <w:jc w:val="center"/>
                  <w:rPr>
                    <w:rFonts w:hint="eastAsia"/>
                    <w:color w:val="000000" w:themeColor="text1"/>
                    <w:sz w:val="21"/>
                    <w:szCs w:val="21"/>
                  </w:rPr>
                </w:pPr>
                <w:r>
                  <w:rPr>
                    <w:rFonts w:hint="eastAsia"/>
                    <w:color w:val="000000" w:themeColor="text1"/>
                    <w:sz w:val="21"/>
                    <w:szCs w:val="21"/>
                  </w:rPr>
                  <w:t>期初余额</w:t>
                </w:r>
              </w:p>
            </w:tc>
          </w:sdtContent>
        </w:sdt>
        <w:sdt>
          <w:sdtPr>
            <w:rPr>
              <w:color w:val="000000" w:themeColor="text1"/>
              <w:sz w:val="21"/>
              <w:szCs w:val="21"/>
            </w:rPr>
            <w:tag w:val="_PLD_a27f928ad4574fe594e5f995d7a37059"/>
            <w:id w:val="-113822914"/>
          </w:sdtPr>
          <w:sdtEndPr/>
          <w:sdtContent>
            <w:tc>
              <w:tcPr>
                <w:tcW w:w="744" w:type="pct"/>
                <w:shd w:val="clear" w:color="auto" w:fill="auto"/>
                <w:vAlign w:val="center"/>
              </w:tcPr>
              <w:p w14:paraId="2F8A3CEF" w14:textId="77777777" w:rsidR="002D0AE7" w:rsidRDefault="00333EBB">
                <w:pPr>
                  <w:jc w:val="center"/>
                  <w:rPr>
                    <w:rFonts w:hint="eastAsia"/>
                    <w:color w:val="000000" w:themeColor="text1"/>
                    <w:sz w:val="21"/>
                    <w:szCs w:val="21"/>
                  </w:rPr>
                </w:pPr>
                <w:r>
                  <w:rPr>
                    <w:rFonts w:hint="eastAsia"/>
                    <w:color w:val="000000" w:themeColor="text1"/>
                    <w:sz w:val="21"/>
                    <w:szCs w:val="21"/>
                  </w:rPr>
                  <w:t>本期增加</w:t>
                </w:r>
              </w:p>
            </w:tc>
          </w:sdtContent>
        </w:sdt>
        <w:sdt>
          <w:sdtPr>
            <w:rPr>
              <w:color w:val="000000" w:themeColor="text1"/>
              <w:sz w:val="21"/>
              <w:szCs w:val="21"/>
            </w:rPr>
            <w:tag w:val="_PLD_ed95bef3663d40fb90dd15d113f7f2c1"/>
            <w:id w:val="639855708"/>
          </w:sdtPr>
          <w:sdtEndPr/>
          <w:sdtContent>
            <w:tc>
              <w:tcPr>
                <w:tcW w:w="744" w:type="pct"/>
                <w:shd w:val="clear" w:color="auto" w:fill="auto"/>
                <w:vAlign w:val="center"/>
              </w:tcPr>
              <w:p w14:paraId="65507098" w14:textId="77777777" w:rsidR="002D0AE7" w:rsidRDefault="00333EBB">
                <w:pPr>
                  <w:jc w:val="center"/>
                  <w:rPr>
                    <w:rFonts w:hint="eastAsia"/>
                    <w:color w:val="000000" w:themeColor="text1"/>
                    <w:sz w:val="21"/>
                    <w:szCs w:val="21"/>
                  </w:rPr>
                </w:pPr>
                <w:r>
                  <w:rPr>
                    <w:rFonts w:hint="eastAsia"/>
                    <w:color w:val="000000" w:themeColor="text1"/>
                    <w:sz w:val="21"/>
                    <w:szCs w:val="21"/>
                  </w:rPr>
                  <w:t>本期减少</w:t>
                </w:r>
              </w:p>
            </w:tc>
          </w:sdtContent>
        </w:sdt>
        <w:bookmarkStart w:id="209" w:name="OLE_LINK67" w:displacedByCustomXml="next"/>
        <w:bookmarkStart w:id="210" w:name="OLE_LINK66" w:displacedByCustomXml="next"/>
        <w:sdt>
          <w:sdtPr>
            <w:rPr>
              <w:color w:val="000000" w:themeColor="text1"/>
              <w:sz w:val="21"/>
              <w:szCs w:val="21"/>
            </w:rPr>
            <w:tag w:val="_PLD_367cd0591009413e93857494eaf8170a"/>
            <w:id w:val="1389454326"/>
          </w:sdtPr>
          <w:sdtEndPr/>
          <w:sdtContent>
            <w:tc>
              <w:tcPr>
                <w:tcW w:w="850" w:type="pct"/>
                <w:shd w:val="clear" w:color="auto" w:fill="auto"/>
                <w:vAlign w:val="center"/>
              </w:tcPr>
              <w:p w14:paraId="59FC53E7"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bookmarkEnd w:id="209" w:displacedByCustomXml="next"/>
        <w:bookmarkEnd w:id="210" w:displacedByCustomXml="next"/>
        <w:sdt>
          <w:sdtPr>
            <w:rPr>
              <w:color w:val="000000" w:themeColor="text1"/>
              <w:sz w:val="21"/>
              <w:szCs w:val="21"/>
            </w:rPr>
            <w:tag w:val="_PLD_d61ffc61194047d79611cccd8488aece"/>
            <w:id w:val="696127850"/>
          </w:sdtPr>
          <w:sdtEndPr/>
          <w:sdtContent>
            <w:tc>
              <w:tcPr>
                <w:tcW w:w="669" w:type="pct"/>
                <w:shd w:val="clear" w:color="auto" w:fill="auto"/>
                <w:vAlign w:val="center"/>
              </w:tcPr>
              <w:p w14:paraId="402BB935" w14:textId="77777777" w:rsidR="002D0AE7" w:rsidRDefault="00333EBB">
                <w:pPr>
                  <w:jc w:val="center"/>
                  <w:rPr>
                    <w:rFonts w:hint="eastAsia"/>
                    <w:color w:val="000000" w:themeColor="text1"/>
                    <w:sz w:val="21"/>
                    <w:szCs w:val="21"/>
                  </w:rPr>
                </w:pPr>
                <w:r>
                  <w:rPr>
                    <w:rFonts w:hint="eastAsia"/>
                    <w:color w:val="000000" w:themeColor="text1"/>
                    <w:sz w:val="21"/>
                    <w:szCs w:val="21"/>
                  </w:rPr>
                  <w:t>形成原因</w:t>
                </w:r>
              </w:p>
            </w:tc>
          </w:sdtContent>
        </w:sdt>
      </w:tr>
      <w:tr w:rsidR="002D0AE7" w14:paraId="5EF82B10" w14:textId="77777777">
        <w:trPr>
          <w:cantSplit/>
          <w:jc w:val="center"/>
        </w:trPr>
        <w:tc>
          <w:tcPr>
            <w:tcW w:w="1144" w:type="pct"/>
            <w:shd w:val="clear" w:color="auto" w:fill="auto"/>
            <w:vAlign w:val="center"/>
          </w:tcPr>
          <w:p w14:paraId="381F7099" w14:textId="77777777" w:rsidR="002D0AE7" w:rsidRDefault="00333EBB">
            <w:pPr>
              <w:rPr>
                <w:rFonts w:hint="eastAsia"/>
                <w:color w:val="000000" w:themeColor="text1"/>
                <w:sz w:val="21"/>
                <w:szCs w:val="21"/>
              </w:rPr>
            </w:pPr>
            <w:r>
              <w:rPr>
                <w:rFonts w:hint="eastAsia"/>
                <w:sz w:val="21"/>
                <w:szCs w:val="21"/>
              </w:rPr>
              <w:t>政府补助</w:t>
            </w:r>
            <w:r>
              <w:rPr>
                <w:rFonts w:hint="eastAsia"/>
                <w:sz w:val="21"/>
                <w:szCs w:val="21"/>
              </w:rPr>
              <w:t>-</w:t>
            </w:r>
            <w:r>
              <w:rPr>
                <w:rFonts w:hint="eastAsia"/>
                <w:sz w:val="21"/>
                <w:szCs w:val="21"/>
              </w:rPr>
              <w:t>与资产相关</w:t>
            </w:r>
          </w:p>
        </w:tc>
        <w:tc>
          <w:tcPr>
            <w:tcW w:w="850" w:type="pct"/>
            <w:shd w:val="clear" w:color="auto" w:fill="auto"/>
          </w:tcPr>
          <w:p w14:paraId="292F7CF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144,988,881.20</w:t>
            </w:r>
          </w:p>
        </w:tc>
        <w:tc>
          <w:tcPr>
            <w:tcW w:w="744" w:type="pct"/>
            <w:shd w:val="clear" w:color="auto" w:fill="auto"/>
          </w:tcPr>
          <w:p w14:paraId="1DD9F25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5,350,034.44</w:t>
            </w:r>
          </w:p>
        </w:tc>
        <w:tc>
          <w:tcPr>
            <w:tcW w:w="744" w:type="pct"/>
            <w:shd w:val="clear" w:color="auto" w:fill="auto"/>
          </w:tcPr>
          <w:p w14:paraId="4D32A89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5,463,870.80</w:t>
            </w:r>
          </w:p>
        </w:tc>
        <w:tc>
          <w:tcPr>
            <w:tcW w:w="850" w:type="pct"/>
            <w:shd w:val="clear" w:color="auto" w:fill="auto"/>
          </w:tcPr>
          <w:p w14:paraId="2B7A1FB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144,875,044.84</w:t>
            </w:r>
          </w:p>
        </w:tc>
        <w:tc>
          <w:tcPr>
            <w:tcW w:w="669" w:type="pct"/>
            <w:shd w:val="clear" w:color="auto" w:fill="auto"/>
          </w:tcPr>
          <w:p w14:paraId="071F832E" w14:textId="77777777" w:rsidR="002D0AE7" w:rsidRDefault="00333EBB">
            <w:pPr>
              <w:rPr>
                <w:rFonts w:hint="eastAsia"/>
                <w:sz w:val="21"/>
                <w:szCs w:val="21"/>
              </w:rPr>
            </w:pPr>
            <w:r>
              <w:rPr>
                <w:rFonts w:hint="eastAsia"/>
                <w:sz w:val="21"/>
                <w:szCs w:val="21"/>
              </w:rPr>
              <w:t>与资产相关</w:t>
            </w:r>
          </w:p>
        </w:tc>
      </w:tr>
      <w:tr w:rsidR="002D0AE7" w14:paraId="6FBF644F" w14:textId="77777777">
        <w:trPr>
          <w:cantSplit/>
          <w:jc w:val="center"/>
        </w:trPr>
        <w:tc>
          <w:tcPr>
            <w:tcW w:w="1144" w:type="pct"/>
            <w:shd w:val="clear" w:color="auto" w:fill="auto"/>
          </w:tcPr>
          <w:p w14:paraId="7198FD38" w14:textId="77777777" w:rsidR="002D0AE7" w:rsidRDefault="00333EBB">
            <w:pPr>
              <w:rPr>
                <w:rFonts w:hint="eastAsia"/>
                <w:sz w:val="21"/>
                <w:szCs w:val="21"/>
              </w:rPr>
            </w:pPr>
            <w:r>
              <w:rPr>
                <w:sz w:val="21"/>
                <w:szCs w:val="21"/>
              </w:rPr>
              <w:t>政府补助</w:t>
            </w:r>
            <w:r>
              <w:rPr>
                <w:rFonts w:hint="eastAsia"/>
                <w:sz w:val="21"/>
                <w:szCs w:val="21"/>
              </w:rPr>
              <w:t>-</w:t>
            </w:r>
            <w:r>
              <w:rPr>
                <w:rFonts w:hint="eastAsia"/>
                <w:sz w:val="21"/>
                <w:szCs w:val="21"/>
              </w:rPr>
              <w:t>与收益相关</w:t>
            </w:r>
          </w:p>
        </w:tc>
        <w:tc>
          <w:tcPr>
            <w:tcW w:w="850" w:type="pct"/>
            <w:shd w:val="clear" w:color="auto" w:fill="auto"/>
          </w:tcPr>
          <w:p w14:paraId="1537499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44" w:type="pct"/>
            <w:shd w:val="clear" w:color="auto" w:fill="auto"/>
          </w:tcPr>
          <w:p w14:paraId="050E6C8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631,265.56</w:t>
            </w:r>
          </w:p>
        </w:tc>
        <w:tc>
          <w:tcPr>
            <w:tcW w:w="744" w:type="pct"/>
            <w:shd w:val="clear" w:color="auto" w:fill="auto"/>
          </w:tcPr>
          <w:p w14:paraId="15669F5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631,265.56</w:t>
            </w:r>
          </w:p>
        </w:tc>
        <w:tc>
          <w:tcPr>
            <w:tcW w:w="850" w:type="pct"/>
            <w:shd w:val="clear" w:color="auto" w:fill="auto"/>
          </w:tcPr>
          <w:p w14:paraId="1CFB585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69" w:type="pct"/>
            <w:shd w:val="clear" w:color="auto" w:fill="auto"/>
          </w:tcPr>
          <w:p w14:paraId="7179FBD7" w14:textId="77777777" w:rsidR="002D0AE7" w:rsidRDefault="00333EBB">
            <w:pPr>
              <w:rPr>
                <w:rFonts w:hint="eastAsia"/>
                <w:sz w:val="21"/>
                <w:szCs w:val="21"/>
              </w:rPr>
            </w:pPr>
            <w:r>
              <w:rPr>
                <w:rFonts w:hint="eastAsia"/>
                <w:sz w:val="21"/>
                <w:szCs w:val="21"/>
              </w:rPr>
              <w:t>与收益相关</w:t>
            </w:r>
          </w:p>
        </w:tc>
      </w:tr>
      <w:tr w:rsidR="002D0AE7" w14:paraId="6D0D0605" w14:textId="77777777">
        <w:trPr>
          <w:cantSplit/>
          <w:jc w:val="center"/>
        </w:trPr>
        <w:tc>
          <w:tcPr>
            <w:tcW w:w="1144" w:type="pct"/>
            <w:shd w:val="clear" w:color="auto" w:fill="auto"/>
            <w:vAlign w:val="center"/>
          </w:tcPr>
          <w:p w14:paraId="1C78189F"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850" w:type="pct"/>
            <w:shd w:val="clear" w:color="auto" w:fill="auto"/>
          </w:tcPr>
          <w:p w14:paraId="4655513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144,988,881.20</w:t>
            </w:r>
          </w:p>
        </w:tc>
        <w:tc>
          <w:tcPr>
            <w:tcW w:w="744" w:type="pct"/>
            <w:shd w:val="clear" w:color="auto" w:fill="auto"/>
          </w:tcPr>
          <w:p w14:paraId="5219B9C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5,981,300.00</w:t>
            </w:r>
          </w:p>
        </w:tc>
        <w:tc>
          <w:tcPr>
            <w:tcW w:w="744" w:type="pct"/>
            <w:shd w:val="clear" w:color="auto" w:fill="auto"/>
          </w:tcPr>
          <w:p w14:paraId="3FF9828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6,095,136.36</w:t>
            </w:r>
          </w:p>
        </w:tc>
        <w:tc>
          <w:tcPr>
            <w:tcW w:w="850" w:type="pct"/>
            <w:shd w:val="clear" w:color="auto" w:fill="auto"/>
          </w:tcPr>
          <w:p w14:paraId="6211507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144,875,044.84</w:t>
            </w:r>
          </w:p>
        </w:tc>
        <w:tc>
          <w:tcPr>
            <w:tcW w:w="669" w:type="pct"/>
            <w:shd w:val="clear" w:color="auto" w:fill="auto"/>
          </w:tcPr>
          <w:p w14:paraId="4D48630F" w14:textId="77777777" w:rsidR="002D0AE7" w:rsidRDefault="00333EBB">
            <w:pPr>
              <w:jc w:val="center"/>
              <w:rPr>
                <w:rFonts w:hint="eastAsia"/>
                <w:color w:val="000000" w:themeColor="text1"/>
                <w:sz w:val="21"/>
                <w:szCs w:val="21"/>
              </w:rPr>
            </w:pPr>
            <w:r>
              <w:rPr>
                <w:rFonts w:hint="eastAsia"/>
                <w:color w:val="000000" w:themeColor="text1"/>
                <w:sz w:val="21"/>
                <w:szCs w:val="21"/>
              </w:rPr>
              <w:t>/</w:t>
            </w:r>
          </w:p>
        </w:tc>
      </w:tr>
    </w:tbl>
    <w:p w14:paraId="27ACEA46" w14:textId="77777777" w:rsidR="002D0AE7" w:rsidRDefault="00333EBB">
      <w:pPr>
        <w:pStyle w:val="3"/>
        <w:numPr>
          <w:ilvl w:val="0"/>
          <w:numId w:val="43"/>
        </w:numPr>
        <w:tabs>
          <w:tab w:val="left" w:pos="504"/>
        </w:tabs>
        <w:rPr>
          <w:rFonts w:ascii="宋体" w:hAnsi="宋体" w:hint="eastAsia"/>
          <w:color w:val="000000" w:themeColor="text1"/>
          <w:szCs w:val="21"/>
        </w:rPr>
      </w:pPr>
      <w:bookmarkStart w:id="211" w:name="_Hlk10537331"/>
      <w:bookmarkStart w:id="212" w:name="_Hlk10537430"/>
      <w:bookmarkEnd w:id="211"/>
      <w:r>
        <w:rPr>
          <w:rFonts w:ascii="宋体" w:hAnsi="宋体" w:hint="eastAsia"/>
          <w:color w:val="000000" w:themeColor="text1"/>
          <w:szCs w:val="21"/>
        </w:rPr>
        <w:t>其他非流动负债</w:t>
      </w:r>
    </w:p>
    <w:sdt>
      <w:sdtPr>
        <w:rPr>
          <w:color w:val="000000" w:themeColor="text1"/>
        </w:rPr>
        <w:alias w:val="是否适用：其他非流动负债[双击切换]"/>
        <w:tag w:val="_GBC_bb8a5c7236564ec0823cbced5ea78e62"/>
        <w:id w:val="357245242"/>
        <w:placeholder>
          <w:docPart w:val="GBC22222222222222222222222222222"/>
        </w:placeholder>
      </w:sdtPr>
      <w:sdtEndPr/>
      <w:sdtContent>
        <w:p w14:paraId="2FA44E08"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4D525123"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其他非流动负债"/>
          <w:tag w:val="_GBC_56e598e0f2684388ba1e16051e8df70a"/>
          <w:id w:val="8543322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其他非流动负债"/>
          <w:tag w:val="_GBC_ae4dfd619eb84b209c018d043a83dfcf"/>
          <w:id w:val="-124480342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2825"/>
        <w:gridCol w:w="2823"/>
      </w:tblGrid>
      <w:tr w:rsidR="002D0AE7" w14:paraId="700C11EA" w14:textId="77777777">
        <w:trPr>
          <w:jc w:val="center"/>
        </w:trPr>
        <w:sdt>
          <w:sdtPr>
            <w:rPr>
              <w:color w:val="000000" w:themeColor="text1"/>
              <w:sz w:val="21"/>
              <w:szCs w:val="21"/>
            </w:rPr>
            <w:tag w:val="_PLD_a28f7f3041514231843ad3ee7ffea03b"/>
            <w:id w:val="-1592849536"/>
          </w:sdtPr>
          <w:sdtEndPr/>
          <w:sdtContent>
            <w:tc>
              <w:tcPr>
                <w:tcW w:w="1799" w:type="pct"/>
                <w:tcBorders>
                  <w:top w:val="single" w:sz="4" w:space="0" w:color="auto"/>
                  <w:left w:val="single" w:sz="4" w:space="0" w:color="auto"/>
                  <w:bottom w:val="single" w:sz="4" w:space="0" w:color="auto"/>
                  <w:right w:val="single" w:sz="4" w:space="0" w:color="auto"/>
                </w:tcBorders>
                <w:vAlign w:val="bottom"/>
              </w:tcPr>
              <w:p w14:paraId="69FF8973"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57665fafbbe043c5bf52499c94bca1a1"/>
            <w:id w:val="1849818972"/>
          </w:sdtPr>
          <w:sdtEndPr/>
          <w:sdtContent>
            <w:tc>
              <w:tcPr>
                <w:tcW w:w="1601" w:type="pct"/>
                <w:tcBorders>
                  <w:top w:val="single" w:sz="4" w:space="0" w:color="auto"/>
                  <w:left w:val="single" w:sz="4" w:space="0" w:color="auto"/>
                  <w:bottom w:val="single" w:sz="4" w:space="0" w:color="auto"/>
                  <w:right w:val="single" w:sz="4" w:space="0" w:color="auto"/>
                </w:tcBorders>
              </w:tcPr>
              <w:p w14:paraId="0B48E389"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sdt>
          <w:sdtPr>
            <w:rPr>
              <w:color w:val="000000" w:themeColor="text1"/>
              <w:sz w:val="21"/>
              <w:szCs w:val="21"/>
            </w:rPr>
            <w:tag w:val="_PLD_dcebd4f9b4a649088465ddfef12fdcb8"/>
            <w:id w:val="-627011405"/>
          </w:sdtPr>
          <w:sdtEndPr/>
          <w:sdtContent>
            <w:tc>
              <w:tcPr>
                <w:tcW w:w="1600" w:type="pct"/>
                <w:tcBorders>
                  <w:top w:val="single" w:sz="4" w:space="0" w:color="auto"/>
                  <w:left w:val="single" w:sz="4" w:space="0" w:color="auto"/>
                  <w:bottom w:val="single" w:sz="4" w:space="0" w:color="auto"/>
                  <w:right w:val="single" w:sz="4" w:space="0" w:color="auto"/>
                </w:tcBorders>
              </w:tcPr>
              <w:p w14:paraId="064DC1AF" w14:textId="77777777" w:rsidR="002D0AE7" w:rsidRDefault="00333EBB">
                <w:pPr>
                  <w:jc w:val="center"/>
                  <w:rPr>
                    <w:rFonts w:hint="eastAsia"/>
                    <w:color w:val="000000" w:themeColor="text1"/>
                    <w:sz w:val="21"/>
                    <w:szCs w:val="21"/>
                  </w:rPr>
                </w:pPr>
                <w:r>
                  <w:rPr>
                    <w:rFonts w:hint="eastAsia"/>
                    <w:color w:val="000000" w:themeColor="text1"/>
                    <w:sz w:val="21"/>
                    <w:szCs w:val="21"/>
                  </w:rPr>
                  <w:t>期初余额</w:t>
                </w:r>
              </w:p>
            </w:tc>
          </w:sdtContent>
        </w:sdt>
      </w:tr>
      <w:tr w:rsidR="002D0AE7" w14:paraId="18927DF3" w14:textId="77777777">
        <w:trPr>
          <w:jc w:val="center"/>
        </w:trPr>
        <w:tc>
          <w:tcPr>
            <w:tcW w:w="1799" w:type="pct"/>
            <w:tcBorders>
              <w:top w:val="single" w:sz="4" w:space="0" w:color="auto"/>
              <w:left w:val="single" w:sz="4" w:space="0" w:color="auto"/>
              <w:bottom w:val="single" w:sz="4" w:space="0" w:color="auto"/>
              <w:right w:val="single" w:sz="4" w:space="0" w:color="auto"/>
            </w:tcBorders>
            <w:vAlign w:val="bottom"/>
          </w:tcPr>
          <w:p w14:paraId="1A1838D1" w14:textId="77777777" w:rsidR="002D0AE7" w:rsidRDefault="00333EBB">
            <w:pPr>
              <w:jc w:val="center"/>
              <w:rPr>
                <w:rFonts w:hint="eastAsia"/>
                <w:sz w:val="21"/>
                <w:szCs w:val="21"/>
              </w:rPr>
            </w:pPr>
            <w:r>
              <w:rPr>
                <w:rFonts w:hint="eastAsia"/>
                <w:sz w:val="21"/>
                <w:szCs w:val="21"/>
              </w:rPr>
              <w:t>预收代理授权款</w:t>
            </w:r>
          </w:p>
        </w:tc>
        <w:tc>
          <w:tcPr>
            <w:tcW w:w="1601" w:type="pct"/>
            <w:tcBorders>
              <w:top w:val="single" w:sz="4" w:space="0" w:color="auto"/>
              <w:left w:val="single" w:sz="4" w:space="0" w:color="auto"/>
              <w:bottom w:val="single" w:sz="4" w:space="0" w:color="auto"/>
              <w:right w:val="single" w:sz="4" w:space="0" w:color="auto"/>
            </w:tcBorders>
          </w:tcPr>
          <w:p w14:paraId="2E4878A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713,366.04</w:t>
            </w:r>
          </w:p>
        </w:tc>
        <w:tc>
          <w:tcPr>
            <w:tcW w:w="1600" w:type="pct"/>
            <w:tcBorders>
              <w:top w:val="single" w:sz="4" w:space="0" w:color="auto"/>
              <w:left w:val="single" w:sz="4" w:space="0" w:color="auto"/>
              <w:bottom w:val="single" w:sz="4" w:space="0" w:color="auto"/>
              <w:right w:val="single" w:sz="4" w:space="0" w:color="auto"/>
            </w:tcBorders>
          </w:tcPr>
          <w:p w14:paraId="2D4A5B0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713,366.04</w:t>
            </w:r>
          </w:p>
        </w:tc>
      </w:tr>
      <w:tr w:rsidR="002D0AE7" w14:paraId="18CC0FAE" w14:textId="77777777">
        <w:trPr>
          <w:jc w:val="center"/>
        </w:trPr>
        <w:tc>
          <w:tcPr>
            <w:tcW w:w="1799" w:type="pct"/>
            <w:tcBorders>
              <w:top w:val="single" w:sz="4" w:space="0" w:color="auto"/>
              <w:left w:val="single" w:sz="4" w:space="0" w:color="auto"/>
              <w:bottom w:val="single" w:sz="4" w:space="0" w:color="auto"/>
              <w:right w:val="single" w:sz="4" w:space="0" w:color="auto"/>
            </w:tcBorders>
          </w:tcPr>
          <w:p w14:paraId="46F6906B"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1601" w:type="pct"/>
            <w:tcBorders>
              <w:top w:val="single" w:sz="4" w:space="0" w:color="auto"/>
              <w:left w:val="single" w:sz="4" w:space="0" w:color="auto"/>
              <w:bottom w:val="single" w:sz="4" w:space="0" w:color="auto"/>
              <w:right w:val="single" w:sz="4" w:space="0" w:color="auto"/>
            </w:tcBorders>
            <w:vAlign w:val="center"/>
          </w:tcPr>
          <w:p w14:paraId="7C0F3B1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713,366.04</w:t>
            </w:r>
          </w:p>
        </w:tc>
        <w:tc>
          <w:tcPr>
            <w:tcW w:w="1600" w:type="pct"/>
            <w:tcBorders>
              <w:top w:val="single" w:sz="4" w:space="0" w:color="auto"/>
              <w:left w:val="single" w:sz="4" w:space="0" w:color="auto"/>
              <w:bottom w:val="single" w:sz="4" w:space="0" w:color="auto"/>
              <w:right w:val="single" w:sz="4" w:space="0" w:color="auto"/>
            </w:tcBorders>
            <w:vAlign w:val="center"/>
          </w:tcPr>
          <w:p w14:paraId="6F5B334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713,366.04</w:t>
            </w:r>
          </w:p>
        </w:tc>
      </w:tr>
    </w:tbl>
    <w:bookmarkEnd w:id="212"/>
    <w:p w14:paraId="67823FAE"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szCs w:val="21"/>
        </w:rPr>
        <w:t>股本</w:t>
      </w:r>
    </w:p>
    <w:sdt>
      <w:sdtPr>
        <w:rPr>
          <w:color w:val="000000" w:themeColor="text1"/>
        </w:rPr>
        <w:alias w:val="是否适用：股本[双击切换]"/>
        <w:tag w:val="_GBC_a88b08589cbb4302b29839808faa8a3b"/>
        <w:id w:val="-1173333873"/>
        <w:placeholder>
          <w:docPart w:val="4C5E045A22BC4B39ACE1F36B48CDEDAF"/>
        </w:placeholder>
      </w:sdtPr>
      <w:sdtEndPr/>
      <w:sdtContent>
        <w:p w14:paraId="0AD1DC44"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2FFBDF51"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股本"/>
          <w:tag w:val="_GBC_cf915ea45a234de2a2455824dedc3c82"/>
          <w:id w:val="-1035740742"/>
          <w:placeholder>
            <w:docPart w:val="4C5E045A22BC4B39ACE1F36B48CDEDAF"/>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股本"/>
          <w:tag w:val="_GBC_2dcc7ff328cf480296bdddce64b88cf1"/>
          <w:id w:val="531541171"/>
          <w:placeholder>
            <w:docPart w:val="4C5E045A22BC4B39ACE1F36B48CDEDAF"/>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60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1686"/>
        <w:gridCol w:w="846"/>
        <w:gridCol w:w="848"/>
        <w:gridCol w:w="917"/>
        <w:gridCol w:w="932"/>
        <w:gridCol w:w="910"/>
        <w:gridCol w:w="1686"/>
      </w:tblGrid>
      <w:tr w:rsidR="002D0AE7" w14:paraId="7298AC94" w14:textId="77777777">
        <w:trPr>
          <w:cantSplit/>
          <w:trHeight w:val="270"/>
          <w:jc w:val="center"/>
        </w:trPr>
        <w:tc>
          <w:tcPr>
            <w:tcW w:w="1338" w:type="pct"/>
            <w:vMerge w:val="restart"/>
            <w:tcBorders>
              <w:top w:val="single" w:sz="4" w:space="0" w:color="auto"/>
              <w:left w:val="single" w:sz="4" w:space="0" w:color="auto"/>
              <w:bottom w:val="single" w:sz="4" w:space="0" w:color="auto"/>
              <w:right w:val="single" w:sz="4" w:space="0" w:color="auto"/>
            </w:tcBorders>
          </w:tcPr>
          <w:p w14:paraId="6CB2EC42" w14:textId="77777777" w:rsidR="002D0AE7" w:rsidRDefault="002D0AE7">
            <w:pPr>
              <w:jc w:val="center"/>
              <w:rPr>
                <w:rFonts w:hint="eastAsia"/>
                <w:color w:val="000000" w:themeColor="text1"/>
                <w:sz w:val="21"/>
                <w:szCs w:val="21"/>
              </w:rPr>
            </w:pPr>
          </w:p>
        </w:tc>
        <w:sdt>
          <w:sdtPr>
            <w:rPr>
              <w:color w:val="000000" w:themeColor="text1"/>
              <w:sz w:val="21"/>
              <w:szCs w:val="21"/>
            </w:rPr>
            <w:tag w:val="_PLD_7ad9a0911e364e48bc565dc3ed809692"/>
            <w:id w:val="-1570956776"/>
          </w:sdtPr>
          <w:sdtEndPr/>
          <w:sdtContent>
            <w:tc>
              <w:tcPr>
                <w:tcW w:w="789" w:type="pct"/>
                <w:vMerge w:val="restart"/>
                <w:tcBorders>
                  <w:top w:val="single" w:sz="4" w:space="0" w:color="auto"/>
                  <w:left w:val="single" w:sz="4" w:space="0" w:color="auto"/>
                  <w:right w:val="single" w:sz="4" w:space="0" w:color="auto"/>
                </w:tcBorders>
                <w:vAlign w:val="center"/>
              </w:tcPr>
              <w:p w14:paraId="271E84E8" w14:textId="77777777" w:rsidR="002D0AE7" w:rsidRDefault="00333EBB">
                <w:pPr>
                  <w:jc w:val="center"/>
                  <w:rPr>
                    <w:rFonts w:hint="eastAsia"/>
                    <w:color w:val="000000" w:themeColor="text1"/>
                    <w:sz w:val="21"/>
                    <w:szCs w:val="21"/>
                  </w:rPr>
                </w:pPr>
                <w:r>
                  <w:rPr>
                    <w:rFonts w:hint="eastAsia"/>
                    <w:color w:val="000000" w:themeColor="text1"/>
                    <w:sz w:val="21"/>
                    <w:szCs w:val="21"/>
                  </w:rPr>
                  <w:t>期初余额</w:t>
                </w:r>
              </w:p>
            </w:tc>
          </w:sdtContent>
        </w:sdt>
        <w:sdt>
          <w:sdtPr>
            <w:rPr>
              <w:color w:val="000000" w:themeColor="text1"/>
              <w:sz w:val="21"/>
              <w:szCs w:val="21"/>
            </w:rPr>
            <w:tag w:val="_PLD_33945fdb28e344edaa7d118a9aa07d7d"/>
            <w:id w:val="1697353204"/>
          </w:sdtPr>
          <w:sdtEndPr/>
          <w:sdtContent>
            <w:tc>
              <w:tcPr>
                <w:tcW w:w="2084" w:type="pct"/>
                <w:gridSpan w:val="5"/>
                <w:tcBorders>
                  <w:top w:val="single" w:sz="4" w:space="0" w:color="auto"/>
                  <w:left w:val="single" w:sz="4" w:space="0" w:color="auto"/>
                  <w:bottom w:val="single" w:sz="4" w:space="0" w:color="auto"/>
                  <w:right w:val="single" w:sz="4" w:space="0" w:color="auto"/>
                </w:tcBorders>
                <w:vAlign w:val="center"/>
              </w:tcPr>
              <w:p w14:paraId="58DD8588" w14:textId="77777777" w:rsidR="002D0AE7" w:rsidRDefault="00333EBB">
                <w:pPr>
                  <w:jc w:val="center"/>
                  <w:rPr>
                    <w:rFonts w:hint="eastAsia"/>
                    <w:color w:val="000000" w:themeColor="text1"/>
                    <w:sz w:val="21"/>
                    <w:szCs w:val="21"/>
                  </w:rPr>
                </w:pPr>
                <w:r>
                  <w:rPr>
                    <w:rFonts w:hint="eastAsia"/>
                    <w:color w:val="000000" w:themeColor="text1"/>
                    <w:sz w:val="21"/>
                    <w:szCs w:val="21"/>
                  </w:rPr>
                  <w:t>本次变动增减（</w:t>
                </w:r>
                <w:r>
                  <w:rPr>
                    <w:rFonts w:hint="eastAsia"/>
                    <w:color w:val="000000" w:themeColor="text1"/>
                    <w:sz w:val="21"/>
                    <w:szCs w:val="21"/>
                  </w:rPr>
                  <w:t>+</w:t>
                </w:r>
                <w:r>
                  <w:rPr>
                    <w:rFonts w:hint="eastAsia"/>
                    <w:color w:val="000000" w:themeColor="text1"/>
                    <w:sz w:val="21"/>
                    <w:szCs w:val="21"/>
                  </w:rPr>
                  <w:t>、一）</w:t>
                </w:r>
              </w:p>
            </w:tc>
          </w:sdtContent>
        </w:sdt>
        <w:sdt>
          <w:sdtPr>
            <w:rPr>
              <w:color w:val="000000" w:themeColor="text1"/>
              <w:sz w:val="21"/>
              <w:szCs w:val="21"/>
            </w:rPr>
            <w:tag w:val="_PLD_a0390714e323429ab6e793f9a610df70"/>
            <w:id w:val="764345870"/>
          </w:sdtPr>
          <w:sdtEndPr/>
          <w:sdtContent>
            <w:tc>
              <w:tcPr>
                <w:tcW w:w="789" w:type="pct"/>
                <w:vMerge w:val="restart"/>
                <w:tcBorders>
                  <w:top w:val="single" w:sz="4" w:space="0" w:color="auto"/>
                  <w:left w:val="single" w:sz="4" w:space="0" w:color="auto"/>
                  <w:right w:val="single" w:sz="4" w:space="0" w:color="auto"/>
                </w:tcBorders>
                <w:vAlign w:val="center"/>
              </w:tcPr>
              <w:p w14:paraId="455896A9"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tr>
      <w:tr w:rsidR="002D0AE7" w14:paraId="58D97ECF" w14:textId="77777777">
        <w:trPr>
          <w:cantSplit/>
          <w:trHeight w:val="312"/>
          <w:jc w:val="center"/>
        </w:trPr>
        <w:tc>
          <w:tcPr>
            <w:tcW w:w="1338" w:type="pct"/>
            <w:vMerge/>
            <w:tcBorders>
              <w:top w:val="single" w:sz="4" w:space="0" w:color="auto"/>
              <w:left w:val="single" w:sz="4" w:space="0" w:color="auto"/>
              <w:bottom w:val="single" w:sz="4" w:space="0" w:color="auto"/>
              <w:right w:val="single" w:sz="4" w:space="0" w:color="auto"/>
            </w:tcBorders>
          </w:tcPr>
          <w:p w14:paraId="6621AC24" w14:textId="77777777" w:rsidR="002D0AE7" w:rsidRDefault="002D0AE7">
            <w:pPr>
              <w:rPr>
                <w:rFonts w:hint="eastAsia"/>
                <w:color w:val="000000" w:themeColor="text1"/>
                <w:sz w:val="21"/>
                <w:szCs w:val="21"/>
              </w:rPr>
            </w:pPr>
          </w:p>
        </w:tc>
        <w:tc>
          <w:tcPr>
            <w:tcW w:w="789" w:type="pct"/>
            <w:vMerge/>
            <w:tcBorders>
              <w:left w:val="single" w:sz="4" w:space="0" w:color="auto"/>
              <w:bottom w:val="single" w:sz="4" w:space="0" w:color="auto"/>
              <w:right w:val="single" w:sz="4" w:space="0" w:color="auto"/>
            </w:tcBorders>
          </w:tcPr>
          <w:p w14:paraId="34D5BD04" w14:textId="77777777" w:rsidR="002D0AE7" w:rsidRDefault="002D0AE7">
            <w:pPr>
              <w:ind w:leftChars="-119" w:left="-286" w:firstLineChars="119" w:firstLine="250"/>
              <w:rPr>
                <w:rFonts w:hint="eastAsia"/>
                <w:color w:val="000000" w:themeColor="text1"/>
                <w:sz w:val="21"/>
                <w:szCs w:val="21"/>
              </w:rPr>
            </w:pPr>
          </w:p>
        </w:tc>
        <w:sdt>
          <w:sdtPr>
            <w:rPr>
              <w:color w:val="000000" w:themeColor="text1"/>
              <w:sz w:val="21"/>
              <w:szCs w:val="21"/>
            </w:rPr>
            <w:tag w:val="_PLD_fe0b182c33854e5bb51d2d2a3cd1dd7f"/>
            <w:id w:val="-999505805"/>
          </w:sdtPr>
          <w:sdtEndPr/>
          <w:sdtContent>
            <w:tc>
              <w:tcPr>
                <w:tcW w:w="396" w:type="pct"/>
                <w:tcBorders>
                  <w:top w:val="single" w:sz="4" w:space="0" w:color="auto"/>
                  <w:left w:val="single" w:sz="4" w:space="0" w:color="auto"/>
                  <w:bottom w:val="single" w:sz="4" w:space="0" w:color="auto"/>
                  <w:right w:val="single" w:sz="4" w:space="0" w:color="auto"/>
                </w:tcBorders>
                <w:vAlign w:val="center"/>
              </w:tcPr>
              <w:p w14:paraId="06C1176D" w14:textId="77777777" w:rsidR="002D0AE7" w:rsidRDefault="00333EBB">
                <w:pPr>
                  <w:jc w:val="center"/>
                  <w:rPr>
                    <w:rFonts w:hint="eastAsia"/>
                    <w:color w:val="000000" w:themeColor="text1"/>
                    <w:sz w:val="21"/>
                    <w:szCs w:val="21"/>
                  </w:rPr>
                </w:pPr>
                <w:r>
                  <w:rPr>
                    <w:rFonts w:hint="eastAsia"/>
                    <w:color w:val="000000" w:themeColor="text1"/>
                    <w:sz w:val="21"/>
                    <w:szCs w:val="21"/>
                  </w:rPr>
                  <w:t>发行</w:t>
                </w:r>
              </w:p>
              <w:p w14:paraId="38AC6353" w14:textId="77777777" w:rsidR="002D0AE7" w:rsidRDefault="00333EBB">
                <w:pPr>
                  <w:jc w:val="center"/>
                  <w:rPr>
                    <w:rFonts w:hint="eastAsia"/>
                    <w:color w:val="000000" w:themeColor="text1"/>
                    <w:sz w:val="21"/>
                    <w:szCs w:val="21"/>
                  </w:rPr>
                </w:pPr>
                <w:r>
                  <w:rPr>
                    <w:rFonts w:hint="eastAsia"/>
                    <w:color w:val="000000" w:themeColor="text1"/>
                    <w:sz w:val="21"/>
                    <w:szCs w:val="21"/>
                  </w:rPr>
                  <w:t>新股</w:t>
                </w:r>
              </w:p>
            </w:tc>
          </w:sdtContent>
        </w:sdt>
        <w:sdt>
          <w:sdtPr>
            <w:rPr>
              <w:color w:val="000000" w:themeColor="text1"/>
              <w:sz w:val="21"/>
              <w:szCs w:val="21"/>
            </w:rPr>
            <w:tag w:val="_PLD_80e7c94a1831488d89d22be722443897"/>
            <w:id w:val="1789626702"/>
          </w:sdtPr>
          <w:sdtEndPr/>
          <w:sdtContent>
            <w:tc>
              <w:tcPr>
                <w:tcW w:w="397" w:type="pct"/>
                <w:tcBorders>
                  <w:top w:val="single" w:sz="4" w:space="0" w:color="auto"/>
                  <w:left w:val="single" w:sz="4" w:space="0" w:color="auto"/>
                  <w:bottom w:val="single" w:sz="4" w:space="0" w:color="auto"/>
                  <w:right w:val="single" w:sz="4" w:space="0" w:color="auto"/>
                </w:tcBorders>
                <w:vAlign w:val="center"/>
              </w:tcPr>
              <w:p w14:paraId="486B3FDE" w14:textId="77777777" w:rsidR="002D0AE7" w:rsidRDefault="00333EBB">
                <w:pPr>
                  <w:jc w:val="center"/>
                  <w:rPr>
                    <w:rFonts w:hint="eastAsia"/>
                    <w:color w:val="000000" w:themeColor="text1"/>
                    <w:sz w:val="21"/>
                    <w:szCs w:val="21"/>
                  </w:rPr>
                </w:pPr>
                <w:r>
                  <w:rPr>
                    <w:rFonts w:hint="eastAsia"/>
                    <w:color w:val="000000" w:themeColor="text1"/>
                    <w:sz w:val="21"/>
                    <w:szCs w:val="21"/>
                  </w:rPr>
                  <w:t>送股</w:t>
                </w:r>
              </w:p>
            </w:tc>
          </w:sdtContent>
        </w:sdt>
        <w:sdt>
          <w:sdtPr>
            <w:rPr>
              <w:color w:val="000000" w:themeColor="text1"/>
              <w:sz w:val="21"/>
              <w:szCs w:val="21"/>
            </w:rPr>
            <w:tag w:val="_PLD_c1d7f04883eb4aaa9c52067f145ec081"/>
            <w:id w:val="-937672112"/>
          </w:sdtPr>
          <w:sdtEndPr/>
          <w:sdtContent>
            <w:tc>
              <w:tcPr>
                <w:tcW w:w="429" w:type="pct"/>
                <w:tcBorders>
                  <w:top w:val="single" w:sz="4" w:space="0" w:color="auto"/>
                  <w:left w:val="single" w:sz="4" w:space="0" w:color="auto"/>
                  <w:bottom w:val="single" w:sz="4" w:space="0" w:color="auto"/>
                  <w:right w:val="single" w:sz="4" w:space="0" w:color="auto"/>
                </w:tcBorders>
                <w:vAlign w:val="center"/>
              </w:tcPr>
              <w:p w14:paraId="557E03E2" w14:textId="77777777" w:rsidR="002D0AE7" w:rsidRDefault="00333EBB">
                <w:pPr>
                  <w:jc w:val="center"/>
                  <w:rPr>
                    <w:rFonts w:hint="eastAsia"/>
                    <w:color w:val="000000" w:themeColor="text1"/>
                    <w:sz w:val="21"/>
                    <w:szCs w:val="21"/>
                  </w:rPr>
                </w:pPr>
                <w:r>
                  <w:rPr>
                    <w:rFonts w:hint="eastAsia"/>
                    <w:color w:val="000000" w:themeColor="text1"/>
                    <w:sz w:val="21"/>
                    <w:szCs w:val="21"/>
                  </w:rPr>
                  <w:t>公积金</w:t>
                </w:r>
              </w:p>
              <w:p w14:paraId="5E67E5F1" w14:textId="77777777" w:rsidR="002D0AE7" w:rsidRDefault="00333EBB">
                <w:pPr>
                  <w:jc w:val="center"/>
                  <w:rPr>
                    <w:rFonts w:hint="eastAsia"/>
                    <w:color w:val="000000" w:themeColor="text1"/>
                    <w:sz w:val="21"/>
                    <w:szCs w:val="21"/>
                  </w:rPr>
                </w:pPr>
                <w:r>
                  <w:rPr>
                    <w:rFonts w:hint="eastAsia"/>
                    <w:color w:val="000000" w:themeColor="text1"/>
                    <w:sz w:val="21"/>
                    <w:szCs w:val="21"/>
                  </w:rPr>
                  <w:t>转股</w:t>
                </w:r>
              </w:p>
            </w:tc>
          </w:sdtContent>
        </w:sdt>
        <w:sdt>
          <w:sdtPr>
            <w:rPr>
              <w:color w:val="000000" w:themeColor="text1"/>
              <w:sz w:val="21"/>
              <w:szCs w:val="21"/>
            </w:rPr>
            <w:tag w:val="_PLD_6e44c9cf090243e19b20f1e88e8231ef"/>
            <w:id w:val="1349055599"/>
          </w:sdtPr>
          <w:sdtEndPr/>
          <w:sdtContent>
            <w:tc>
              <w:tcPr>
                <w:tcW w:w="436" w:type="pct"/>
                <w:tcBorders>
                  <w:top w:val="single" w:sz="4" w:space="0" w:color="auto"/>
                  <w:left w:val="single" w:sz="4" w:space="0" w:color="auto"/>
                  <w:bottom w:val="single" w:sz="4" w:space="0" w:color="auto"/>
                  <w:right w:val="single" w:sz="4" w:space="0" w:color="auto"/>
                </w:tcBorders>
                <w:vAlign w:val="center"/>
              </w:tcPr>
              <w:p w14:paraId="52ED3D85" w14:textId="77777777" w:rsidR="002D0AE7" w:rsidRDefault="00333EBB">
                <w:pPr>
                  <w:jc w:val="center"/>
                  <w:rPr>
                    <w:rFonts w:hint="eastAsia"/>
                    <w:color w:val="000000" w:themeColor="text1"/>
                    <w:sz w:val="21"/>
                    <w:szCs w:val="21"/>
                  </w:rPr>
                </w:pPr>
                <w:r>
                  <w:rPr>
                    <w:rFonts w:hint="eastAsia"/>
                    <w:color w:val="000000" w:themeColor="text1"/>
                    <w:sz w:val="21"/>
                    <w:szCs w:val="21"/>
                  </w:rPr>
                  <w:t>其他</w:t>
                </w:r>
              </w:p>
            </w:tc>
          </w:sdtContent>
        </w:sdt>
        <w:sdt>
          <w:sdtPr>
            <w:rPr>
              <w:color w:val="000000" w:themeColor="text1"/>
              <w:sz w:val="21"/>
              <w:szCs w:val="21"/>
            </w:rPr>
            <w:tag w:val="_PLD_0cee72421f954c94ba296c709c84ef52"/>
            <w:id w:val="-1279871156"/>
          </w:sdtPr>
          <w:sdtEndPr/>
          <w:sdtContent>
            <w:tc>
              <w:tcPr>
                <w:tcW w:w="425" w:type="pct"/>
                <w:tcBorders>
                  <w:top w:val="single" w:sz="4" w:space="0" w:color="auto"/>
                  <w:left w:val="single" w:sz="4" w:space="0" w:color="auto"/>
                  <w:bottom w:val="single" w:sz="4" w:space="0" w:color="auto"/>
                  <w:right w:val="single" w:sz="4" w:space="0" w:color="auto"/>
                </w:tcBorders>
                <w:vAlign w:val="center"/>
              </w:tcPr>
              <w:p w14:paraId="725DF187" w14:textId="77777777" w:rsidR="002D0AE7" w:rsidRDefault="00333EBB">
                <w:pPr>
                  <w:jc w:val="center"/>
                  <w:rPr>
                    <w:rFonts w:hint="eastAsia"/>
                    <w:color w:val="000000" w:themeColor="text1"/>
                    <w:sz w:val="21"/>
                    <w:szCs w:val="21"/>
                  </w:rPr>
                </w:pPr>
                <w:r>
                  <w:rPr>
                    <w:rFonts w:hint="eastAsia"/>
                    <w:color w:val="000000" w:themeColor="text1"/>
                    <w:sz w:val="21"/>
                    <w:szCs w:val="21"/>
                  </w:rPr>
                  <w:t>小计</w:t>
                </w:r>
              </w:p>
            </w:tc>
          </w:sdtContent>
        </w:sdt>
        <w:tc>
          <w:tcPr>
            <w:tcW w:w="789" w:type="pct"/>
            <w:vMerge/>
            <w:tcBorders>
              <w:left w:val="single" w:sz="4" w:space="0" w:color="auto"/>
              <w:bottom w:val="single" w:sz="4" w:space="0" w:color="auto"/>
              <w:right w:val="single" w:sz="4" w:space="0" w:color="auto"/>
            </w:tcBorders>
          </w:tcPr>
          <w:p w14:paraId="1907BC8F" w14:textId="77777777" w:rsidR="002D0AE7" w:rsidRDefault="002D0AE7">
            <w:pPr>
              <w:rPr>
                <w:rFonts w:hint="eastAsia"/>
                <w:color w:val="000000" w:themeColor="text1"/>
                <w:sz w:val="21"/>
                <w:szCs w:val="21"/>
              </w:rPr>
            </w:pPr>
          </w:p>
        </w:tc>
      </w:tr>
      <w:tr w:rsidR="002D0AE7" w14:paraId="21283316" w14:textId="77777777">
        <w:trPr>
          <w:cantSplit/>
          <w:jc w:val="center"/>
        </w:trPr>
        <w:tc>
          <w:tcPr>
            <w:tcW w:w="1338" w:type="pct"/>
            <w:tcBorders>
              <w:top w:val="single" w:sz="4" w:space="0" w:color="auto"/>
              <w:left w:val="single" w:sz="4" w:space="0" w:color="auto"/>
              <w:bottom w:val="single" w:sz="4" w:space="0" w:color="auto"/>
              <w:right w:val="single" w:sz="4" w:space="0" w:color="auto"/>
            </w:tcBorders>
          </w:tcPr>
          <w:p w14:paraId="2AE2A244" w14:textId="77777777" w:rsidR="002D0AE7" w:rsidRDefault="00333EBB">
            <w:pPr>
              <w:jc w:val="center"/>
              <w:rPr>
                <w:rFonts w:hint="eastAsia"/>
                <w:color w:val="000000" w:themeColor="text1"/>
                <w:sz w:val="21"/>
                <w:szCs w:val="21"/>
              </w:rPr>
            </w:pPr>
            <w:r>
              <w:rPr>
                <w:rFonts w:hint="eastAsia"/>
                <w:color w:val="000000" w:themeColor="text1"/>
                <w:sz w:val="21"/>
                <w:szCs w:val="21"/>
              </w:rPr>
              <w:t>一、有限售条件股份</w:t>
            </w:r>
          </w:p>
        </w:tc>
        <w:tc>
          <w:tcPr>
            <w:tcW w:w="789" w:type="pct"/>
            <w:tcBorders>
              <w:top w:val="nil"/>
              <w:left w:val="nil"/>
              <w:bottom w:val="single" w:sz="8" w:space="0" w:color="auto"/>
              <w:right w:val="single" w:sz="8" w:space="0" w:color="auto"/>
            </w:tcBorders>
            <w:shd w:val="clear" w:color="auto" w:fill="auto"/>
            <w:vAlign w:val="center"/>
          </w:tcPr>
          <w:p w14:paraId="5377E717"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 xml:space="preserve">　</w:t>
            </w:r>
          </w:p>
        </w:tc>
        <w:tc>
          <w:tcPr>
            <w:tcW w:w="396" w:type="pct"/>
            <w:tcBorders>
              <w:top w:val="nil"/>
              <w:left w:val="nil"/>
              <w:bottom w:val="single" w:sz="8" w:space="0" w:color="auto"/>
              <w:right w:val="single" w:sz="8" w:space="0" w:color="auto"/>
            </w:tcBorders>
            <w:shd w:val="clear" w:color="auto" w:fill="auto"/>
            <w:vAlign w:val="center"/>
          </w:tcPr>
          <w:p w14:paraId="39E935C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 xml:space="preserve">　</w:t>
            </w:r>
          </w:p>
        </w:tc>
        <w:tc>
          <w:tcPr>
            <w:tcW w:w="397" w:type="pct"/>
            <w:tcBorders>
              <w:top w:val="nil"/>
              <w:left w:val="nil"/>
              <w:bottom w:val="single" w:sz="8" w:space="0" w:color="auto"/>
              <w:right w:val="single" w:sz="8" w:space="0" w:color="auto"/>
            </w:tcBorders>
            <w:shd w:val="clear" w:color="auto" w:fill="auto"/>
            <w:vAlign w:val="center"/>
          </w:tcPr>
          <w:p w14:paraId="42C0AD4B"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 xml:space="preserve">　</w:t>
            </w:r>
          </w:p>
        </w:tc>
        <w:tc>
          <w:tcPr>
            <w:tcW w:w="429" w:type="pct"/>
            <w:tcBorders>
              <w:top w:val="nil"/>
              <w:left w:val="nil"/>
              <w:bottom w:val="single" w:sz="8" w:space="0" w:color="auto"/>
              <w:right w:val="single" w:sz="8" w:space="0" w:color="auto"/>
            </w:tcBorders>
            <w:shd w:val="clear" w:color="auto" w:fill="auto"/>
            <w:vAlign w:val="center"/>
          </w:tcPr>
          <w:p w14:paraId="74C4F13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 xml:space="preserve">　</w:t>
            </w:r>
          </w:p>
        </w:tc>
        <w:tc>
          <w:tcPr>
            <w:tcW w:w="436" w:type="pct"/>
            <w:tcBorders>
              <w:top w:val="nil"/>
              <w:left w:val="nil"/>
              <w:bottom w:val="single" w:sz="8" w:space="0" w:color="auto"/>
              <w:right w:val="single" w:sz="8" w:space="0" w:color="auto"/>
            </w:tcBorders>
            <w:shd w:val="clear" w:color="auto" w:fill="auto"/>
            <w:vAlign w:val="center"/>
          </w:tcPr>
          <w:p w14:paraId="42666BB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 xml:space="preserve">　</w:t>
            </w:r>
          </w:p>
        </w:tc>
        <w:tc>
          <w:tcPr>
            <w:tcW w:w="425" w:type="pct"/>
            <w:tcBorders>
              <w:top w:val="nil"/>
              <w:left w:val="nil"/>
              <w:bottom w:val="single" w:sz="8" w:space="0" w:color="auto"/>
              <w:right w:val="single" w:sz="8" w:space="0" w:color="auto"/>
            </w:tcBorders>
            <w:shd w:val="clear" w:color="auto" w:fill="auto"/>
            <w:vAlign w:val="center"/>
          </w:tcPr>
          <w:p w14:paraId="6E3F809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 xml:space="preserve">　</w:t>
            </w:r>
          </w:p>
        </w:tc>
        <w:tc>
          <w:tcPr>
            <w:tcW w:w="789" w:type="pct"/>
            <w:tcBorders>
              <w:top w:val="nil"/>
              <w:left w:val="nil"/>
              <w:bottom w:val="single" w:sz="8" w:space="0" w:color="auto"/>
              <w:right w:val="single" w:sz="8" w:space="0" w:color="auto"/>
            </w:tcBorders>
            <w:shd w:val="clear" w:color="auto" w:fill="auto"/>
            <w:vAlign w:val="center"/>
          </w:tcPr>
          <w:p w14:paraId="1534AEF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 xml:space="preserve">　</w:t>
            </w:r>
          </w:p>
        </w:tc>
      </w:tr>
      <w:tr w:rsidR="002D0AE7" w14:paraId="27DD6A02" w14:textId="77777777">
        <w:trPr>
          <w:cantSplit/>
          <w:jc w:val="center"/>
        </w:trPr>
        <w:tc>
          <w:tcPr>
            <w:tcW w:w="1338" w:type="pct"/>
            <w:tcBorders>
              <w:top w:val="single" w:sz="4" w:space="0" w:color="auto"/>
              <w:left w:val="single" w:sz="4" w:space="0" w:color="auto"/>
              <w:bottom w:val="single" w:sz="4" w:space="0" w:color="auto"/>
              <w:right w:val="single" w:sz="4" w:space="0" w:color="auto"/>
            </w:tcBorders>
          </w:tcPr>
          <w:p w14:paraId="1E3C9D2C" w14:textId="77777777" w:rsidR="002D0AE7" w:rsidRDefault="00333EBB">
            <w:pPr>
              <w:jc w:val="center"/>
              <w:rPr>
                <w:rFonts w:hint="eastAsia"/>
                <w:color w:val="000000" w:themeColor="text1"/>
                <w:sz w:val="21"/>
                <w:szCs w:val="21"/>
              </w:rPr>
            </w:pPr>
            <w:r>
              <w:rPr>
                <w:color w:val="000000" w:themeColor="text1"/>
                <w:sz w:val="21"/>
                <w:szCs w:val="21"/>
              </w:rPr>
              <w:t>1</w:t>
            </w:r>
            <w:r>
              <w:rPr>
                <w:color w:val="000000" w:themeColor="text1"/>
                <w:sz w:val="21"/>
                <w:szCs w:val="21"/>
              </w:rPr>
              <w:t>、国家持股</w:t>
            </w:r>
          </w:p>
        </w:tc>
        <w:tc>
          <w:tcPr>
            <w:tcW w:w="789" w:type="pct"/>
            <w:tcBorders>
              <w:top w:val="nil"/>
              <w:left w:val="nil"/>
              <w:bottom w:val="single" w:sz="8" w:space="0" w:color="auto"/>
              <w:right w:val="single" w:sz="8" w:space="0" w:color="auto"/>
            </w:tcBorders>
            <w:shd w:val="clear" w:color="auto" w:fill="auto"/>
            <w:vAlign w:val="center"/>
          </w:tcPr>
          <w:p w14:paraId="1666741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396" w:type="pct"/>
            <w:tcBorders>
              <w:top w:val="nil"/>
              <w:left w:val="nil"/>
              <w:bottom w:val="single" w:sz="8" w:space="0" w:color="auto"/>
              <w:right w:val="single" w:sz="8" w:space="0" w:color="auto"/>
            </w:tcBorders>
            <w:shd w:val="clear" w:color="auto" w:fill="auto"/>
            <w:vAlign w:val="center"/>
          </w:tcPr>
          <w:p w14:paraId="73800DF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397" w:type="pct"/>
            <w:tcBorders>
              <w:top w:val="nil"/>
              <w:left w:val="nil"/>
              <w:bottom w:val="single" w:sz="8" w:space="0" w:color="auto"/>
              <w:right w:val="single" w:sz="8" w:space="0" w:color="auto"/>
            </w:tcBorders>
            <w:shd w:val="clear" w:color="auto" w:fill="auto"/>
            <w:vAlign w:val="center"/>
          </w:tcPr>
          <w:p w14:paraId="12A48963"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29" w:type="pct"/>
            <w:tcBorders>
              <w:top w:val="nil"/>
              <w:left w:val="nil"/>
              <w:bottom w:val="single" w:sz="8" w:space="0" w:color="auto"/>
              <w:right w:val="single" w:sz="8" w:space="0" w:color="auto"/>
            </w:tcBorders>
            <w:shd w:val="clear" w:color="auto" w:fill="auto"/>
            <w:vAlign w:val="center"/>
          </w:tcPr>
          <w:p w14:paraId="4D37478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36" w:type="pct"/>
            <w:tcBorders>
              <w:top w:val="nil"/>
              <w:left w:val="nil"/>
              <w:bottom w:val="single" w:sz="8" w:space="0" w:color="auto"/>
              <w:right w:val="single" w:sz="8" w:space="0" w:color="auto"/>
            </w:tcBorders>
            <w:shd w:val="clear" w:color="auto" w:fill="auto"/>
            <w:vAlign w:val="center"/>
          </w:tcPr>
          <w:p w14:paraId="5CC0A29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25" w:type="pct"/>
            <w:tcBorders>
              <w:top w:val="nil"/>
              <w:left w:val="nil"/>
              <w:bottom w:val="single" w:sz="8" w:space="0" w:color="auto"/>
              <w:right w:val="single" w:sz="8" w:space="0" w:color="auto"/>
            </w:tcBorders>
            <w:shd w:val="clear" w:color="auto" w:fill="auto"/>
            <w:vAlign w:val="center"/>
          </w:tcPr>
          <w:p w14:paraId="652B82A7"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789" w:type="pct"/>
            <w:tcBorders>
              <w:top w:val="nil"/>
              <w:left w:val="nil"/>
              <w:bottom w:val="single" w:sz="8" w:space="0" w:color="auto"/>
              <w:right w:val="single" w:sz="8" w:space="0" w:color="auto"/>
            </w:tcBorders>
            <w:shd w:val="clear" w:color="auto" w:fill="auto"/>
            <w:vAlign w:val="center"/>
          </w:tcPr>
          <w:p w14:paraId="51403927"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r>
      <w:tr w:rsidR="002D0AE7" w14:paraId="506583D3" w14:textId="77777777">
        <w:trPr>
          <w:cantSplit/>
          <w:jc w:val="center"/>
        </w:trPr>
        <w:tc>
          <w:tcPr>
            <w:tcW w:w="1338" w:type="pct"/>
            <w:tcBorders>
              <w:top w:val="single" w:sz="4" w:space="0" w:color="auto"/>
              <w:left w:val="single" w:sz="4" w:space="0" w:color="auto"/>
              <w:bottom w:val="single" w:sz="4" w:space="0" w:color="auto"/>
              <w:right w:val="single" w:sz="4" w:space="0" w:color="auto"/>
            </w:tcBorders>
          </w:tcPr>
          <w:p w14:paraId="74388439" w14:textId="77777777" w:rsidR="002D0AE7" w:rsidRDefault="00333EBB">
            <w:pPr>
              <w:jc w:val="center"/>
              <w:rPr>
                <w:rFonts w:hint="eastAsia"/>
                <w:color w:val="000000" w:themeColor="text1"/>
                <w:sz w:val="21"/>
                <w:szCs w:val="21"/>
              </w:rPr>
            </w:pPr>
            <w:r>
              <w:rPr>
                <w:color w:val="000000" w:themeColor="text1"/>
                <w:sz w:val="21"/>
                <w:szCs w:val="21"/>
              </w:rPr>
              <w:t>2</w:t>
            </w:r>
            <w:r>
              <w:rPr>
                <w:color w:val="000000" w:themeColor="text1"/>
                <w:sz w:val="21"/>
                <w:szCs w:val="21"/>
              </w:rPr>
              <w:t>、国有法人持股</w:t>
            </w:r>
          </w:p>
        </w:tc>
        <w:tc>
          <w:tcPr>
            <w:tcW w:w="789" w:type="pct"/>
            <w:tcBorders>
              <w:top w:val="nil"/>
              <w:left w:val="nil"/>
              <w:bottom w:val="single" w:sz="8" w:space="0" w:color="auto"/>
              <w:right w:val="single" w:sz="8" w:space="0" w:color="auto"/>
            </w:tcBorders>
            <w:shd w:val="clear" w:color="auto" w:fill="auto"/>
            <w:vAlign w:val="center"/>
          </w:tcPr>
          <w:p w14:paraId="3735731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396" w:type="pct"/>
            <w:tcBorders>
              <w:top w:val="nil"/>
              <w:left w:val="nil"/>
              <w:bottom w:val="single" w:sz="8" w:space="0" w:color="auto"/>
              <w:right w:val="single" w:sz="8" w:space="0" w:color="auto"/>
            </w:tcBorders>
            <w:shd w:val="clear" w:color="auto" w:fill="auto"/>
            <w:vAlign w:val="center"/>
          </w:tcPr>
          <w:p w14:paraId="188C56D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397" w:type="pct"/>
            <w:tcBorders>
              <w:top w:val="nil"/>
              <w:left w:val="nil"/>
              <w:bottom w:val="single" w:sz="8" w:space="0" w:color="auto"/>
              <w:right w:val="single" w:sz="8" w:space="0" w:color="auto"/>
            </w:tcBorders>
            <w:shd w:val="clear" w:color="auto" w:fill="auto"/>
            <w:vAlign w:val="center"/>
          </w:tcPr>
          <w:p w14:paraId="5AEBBBF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29" w:type="pct"/>
            <w:tcBorders>
              <w:top w:val="nil"/>
              <w:left w:val="nil"/>
              <w:bottom w:val="single" w:sz="8" w:space="0" w:color="auto"/>
              <w:right w:val="single" w:sz="8" w:space="0" w:color="auto"/>
            </w:tcBorders>
            <w:shd w:val="clear" w:color="auto" w:fill="auto"/>
            <w:vAlign w:val="center"/>
          </w:tcPr>
          <w:p w14:paraId="2096A80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36" w:type="pct"/>
            <w:tcBorders>
              <w:top w:val="nil"/>
              <w:left w:val="nil"/>
              <w:bottom w:val="single" w:sz="8" w:space="0" w:color="auto"/>
              <w:right w:val="single" w:sz="8" w:space="0" w:color="auto"/>
            </w:tcBorders>
            <w:shd w:val="clear" w:color="auto" w:fill="auto"/>
            <w:vAlign w:val="center"/>
          </w:tcPr>
          <w:p w14:paraId="4EB80DD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25" w:type="pct"/>
            <w:tcBorders>
              <w:top w:val="nil"/>
              <w:left w:val="nil"/>
              <w:bottom w:val="single" w:sz="8" w:space="0" w:color="auto"/>
              <w:right w:val="single" w:sz="8" w:space="0" w:color="auto"/>
            </w:tcBorders>
            <w:shd w:val="clear" w:color="auto" w:fill="auto"/>
            <w:vAlign w:val="center"/>
          </w:tcPr>
          <w:p w14:paraId="05F71AD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789" w:type="pct"/>
            <w:tcBorders>
              <w:top w:val="nil"/>
              <w:left w:val="nil"/>
              <w:bottom w:val="single" w:sz="8" w:space="0" w:color="auto"/>
              <w:right w:val="single" w:sz="8" w:space="0" w:color="auto"/>
            </w:tcBorders>
            <w:shd w:val="clear" w:color="auto" w:fill="auto"/>
            <w:vAlign w:val="center"/>
          </w:tcPr>
          <w:p w14:paraId="73CE678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r>
      <w:tr w:rsidR="002D0AE7" w14:paraId="6A60EC8B" w14:textId="77777777">
        <w:trPr>
          <w:cantSplit/>
          <w:jc w:val="center"/>
        </w:trPr>
        <w:tc>
          <w:tcPr>
            <w:tcW w:w="1338" w:type="pct"/>
            <w:tcBorders>
              <w:top w:val="single" w:sz="4" w:space="0" w:color="auto"/>
              <w:left w:val="single" w:sz="4" w:space="0" w:color="auto"/>
              <w:bottom w:val="single" w:sz="4" w:space="0" w:color="auto"/>
              <w:right w:val="single" w:sz="4" w:space="0" w:color="auto"/>
            </w:tcBorders>
          </w:tcPr>
          <w:p w14:paraId="617F05E6" w14:textId="77777777" w:rsidR="002D0AE7" w:rsidRDefault="00333EBB">
            <w:pPr>
              <w:jc w:val="center"/>
              <w:rPr>
                <w:rFonts w:hint="eastAsia"/>
                <w:color w:val="000000" w:themeColor="text1"/>
                <w:sz w:val="21"/>
                <w:szCs w:val="21"/>
              </w:rPr>
            </w:pPr>
            <w:r>
              <w:rPr>
                <w:color w:val="000000" w:themeColor="text1"/>
                <w:sz w:val="21"/>
                <w:szCs w:val="21"/>
              </w:rPr>
              <w:t>3</w:t>
            </w:r>
            <w:r>
              <w:rPr>
                <w:color w:val="000000" w:themeColor="text1"/>
                <w:sz w:val="21"/>
                <w:szCs w:val="21"/>
              </w:rPr>
              <w:t>、其他内资持股</w:t>
            </w:r>
          </w:p>
        </w:tc>
        <w:tc>
          <w:tcPr>
            <w:tcW w:w="789" w:type="pct"/>
            <w:tcBorders>
              <w:top w:val="nil"/>
              <w:left w:val="nil"/>
              <w:bottom w:val="single" w:sz="8" w:space="0" w:color="auto"/>
              <w:right w:val="single" w:sz="8" w:space="0" w:color="auto"/>
            </w:tcBorders>
            <w:shd w:val="clear" w:color="auto" w:fill="auto"/>
            <w:vAlign w:val="center"/>
          </w:tcPr>
          <w:p w14:paraId="611236F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2,046,000.00</w:t>
            </w:r>
          </w:p>
        </w:tc>
        <w:tc>
          <w:tcPr>
            <w:tcW w:w="396" w:type="pct"/>
            <w:tcBorders>
              <w:top w:val="nil"/>
              <w:left w:val="nil"/>
              <w:bottom w:val="single" w:sz="8" w:space="0" w:color="auto"/>
              <w:right w:val="single" w:sz="8" w:space="0" w:color="auto"/>
            </w:tcBorders>
            <w:shd w:val="clear" w:color="auto" w:fill="auto"/>
            <w:vAlign w:val="center"/>
          </w:tcPr>
          <w:p w14:paraId="12D4CAC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397" w:type="pct"/>
            <w:tcBorders>
              <w:top w:val="nil"/>
              <w:left w:val="nil"/>
              <w:bottom w:val="single" w:sz="8" w:space="0" w:color="auto"/>
              <w:right w:val="single" w:sz="8" w:space="0" w:color="auto"/>
            </w:tcBorders>
            <w:shd w:val="clear" w:color="auto" w:fill="auto"/>
            <w:vAlign w:val="center"/>
          </w:tcPr>
          <w:p w14:paraId="0874DF1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29" w:type="pct"/>
            <w:tcBorders>
              <w:top w:val="nil"/>
              <w:left w:val="nil"/>
              <w:bottom w:val="single" w:sz="8" w:space="0" w:color="auto"/>
              <w:right w:val="single" w:sz="8" w:space="0" w:color="auto"/>
            </w:tcBorders>
            <w:shd w:val="clear" w:color="auto" w:fill="auto"/>
            <w:vAlign w:val="center"/>
          </w:tcPr>
          <w:p w14:paraId="069FF75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36" w:type="pct"/>
            <w:tcBorders>
              <w:top w:val="nil"/>
              <w:left w:val="nil"/>
              <w:bottom w:val="single" w:sz="8" w:space="0" w:color="auto"/>
              <w:right w:val="single" w:sz="8" w:space="0" w:color="auto"/>
            </w:tcBorders>
            <w:shd w:val="clear" w:color="auto" w:fill="auto"/>
            <w:vAlign w:val="center"/>
          </w:tcPr>
          <w:p w14:paraId="41E060A1"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25" w:type="pct"/>
            <w:tcBorders>
              <w:top w:val="nil"/>
              <w:left w:val="nil"/>
              <w:bottom w:val="single" w:sz="8" w:space="0" w:color="auto"/>
              <w:right w:val="single" w:sz="8" w:space="0" w:color="auto"/>
            </w:tcBorders>
            <w:shd w:val="clear" w:color="auto" w:fill="auto"/>
            <w:vAlign w:val="center"/>
          </w:tcPr>
          <w:p w14:paraId="57E7D7C7"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789" w:type="pct"/>
            <w:tcBorders>
              <w:top w:val="nil"/>
              <w:left w:val="nil"/>
              <w:bottom w:val="single" w:sz="8" w:space="0" w:color="auto"/>
              <w:right w:val="single" w:sz="8" w:space="0" w:color="auto"/>
            </w:tcBorders>
            <w:shd w:val="clear" w:color="auto" w:fill="auto"/>
            <w:vAlign w:val="center"/>
          </w:tcPr>
          <w:p w14:paraId="744DDE9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2,046,000.00</w:t>
            </w:r>
          </w:p>
        </w:tc>
      </w:tr>
      <w:tr w:rsidR="002D0AE7" w14:paraId="74E6D65F" w14:textId="77777777">
        <w:trPr>
          <w:cantSplit/>
          <w:jc w:val="center"/>
        </w:trPr>
        <w:tc>
          <w:tcPr>
            <w:tcW w:w="1338" w:type="pct"/>
            <w:tcBorders>
              <w:top w:val="single" w:sz="4" w:space="0" w:color="auto"/>
              <w:left w:val="single" w:sz="4" w:space="0" w:color="auto"/>
              <w:bottom w:val="single" w:sz="4" w:space="0" w:color="auto"/>
              <w:right w:val="single" w:sz="4" w:space="0" w:color="auto"/>
            </w:tcBorders>
          </w:tcPr>
          <w:p w14:paraId="235F786C" w14:textId="77777777" w:rsidR="002D0AE7" w:rsidRDefault="00333EBB">
            <w:pPr>
              <w:jc w:val="center"/>
              <w:rPr>
                <w:rFonts w:hint="eastAsia"/>
                <w:color w:val="000000" w:themeColor="text1"/>
                <w:sz w:val="21"/>
                <w:szCs w:val="21"/>
              </w:rPr>
            </w:pPr>
            <w:r>
              <w:rPr>
                <w:rFonts w:hint="eastAsia"/>
                <w:color w:val="000000" w:themeColor="text1"/>
                <w:sz w:val="21"/>
                <w:szCs w:val="21"/>
              </w:rPr>
              <w:t>其中：境内非国有法人持股</w:t>
            </w:r>
          </w:p>
        </w:tc>
        <w:tc>
          <w:tcPr>
            <w:tcW w:w="789" w:type="pct"/>
            <w:tcBorders>
              <w:top w:val="nil"/>
              <w:left w:val="nil"/>
              <w:bottom w:val="single" w:sz="8" w:space="0" w:color="auto"/>
              <w:right w:val="single" w:sz="8" w:space="0" w:color="auto"/>
            </w:tcBorders>
            <w:shd w:val="clear" w:color="auto" w:fill="auto"/>
            <w:vAlign w:val="center"/>
          </w:tcPr>
          <w:p w14:paraId="209B9E9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396" w:type="pct"/>
            <w:tcBorders>
              <w:top w:val="nil"/>
              <w:left w:val="nil"/>
              <w:bottom w:val="single" w:sz="8" w:space="0" w:color="auto"/>
              <w:right w:val="single" w:sz="8" w:space="0" w:color="auto"/>
            </w:tcBorders>
            <w:shd w:val="clear" w:color="auto" w:fill="auto"/>
            <w:vAlign w:val="center"/>
          </w:tcPr>
          <w:p w14:paraId="0D204BD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397" w:type="pct"/>
            <w:tcBorders>
              <w:top w:val="nil"/>
              <w:left w:val="nil"/>
              <w:bottom w:val="single" w:sz="8" w:space="0" w:color="auto"/>
              <w:right w:val="single" w:sz="8" w:space="0" w:color="auto"/>
            </w:tcBorders>
            <w:shd w:val="clear" w:color="auto" w:fill="auto"/>
            <w:vAlign w:val="center"/>
          </w:tcPr>
          <w:p w14:paraId="2B0A6567"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29" w:type="pct"/>
            <w:tcBorders>
              <w:top w:val="nil"/>
              <w:left w:val="nil"/>
              <w:bottom w:val="single" w:sz="8" w:space="0" w:color="auto"/>
              <w:right w:val="single" w:sz="8" w:space="0" w:color="auto"/>
            </w:tcBorders>
            <w:shd w:val="clear" w:color="auto" w:fill="auto"/>
            <w:vAlign w:val="center"/>
          </w:tcPr>
          <w:p w14:paraId="48E0E24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36" w:type="pct"/>
            <w:tcBorders>
              <w:top w:val="nil"/>
              <w:left w:val="nil"/>
              <w:bottom w:val="single" w:sz="8" w:space="0" w:color="auto"/>
              <w:right w:val="single" w:sz="8" w:space="0" w:color="auto"/>
            </w:tcBorders>
            <w:shd w:val="clear" w:color="auto" w:fill="auto"/>
            <w:vAlign w:val="center"/>
          </w:tcPr>
          <w:p w14:paraId="7655B10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25" w:type="pct"/>
            <w:tcBorders>
              <w:top w:val="nil"/>
              <w:left w:val="nil"/>
              <w:bottom w:val="single" w:sz="8" w:space="0" w:color="auto"/>
              <w:right w:val="single" w:sz="8" w:space="0" w:color="auto"/>
            </w:tcBorders>
            <w:shd w:val="clear" w:color="auto" w:fill="auto"/>
            <w:vAlign w:val="center"/>
          </w:tcPr>
          <w:p w14:paraId="507567A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789" w:type="pct"/>
            <w:tcBorders>
              <w:top w:val="nil"/>
              <w:left w:val="nil"/>
              <w:bottom w:val="single" w:sz="8" w:space="0" w:color="auto"/>
              <w:right w:val="single" w:sz="8" w:space="0" w:color="auto"/>
            </w:tcBorders>
            <w:shd w:val="clear" w:color="auto" w:fill="auto"/>
            <w:vAlign w:val="center"/>
          </w:tcPr>
          <w:p w14:paraId="43176E1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r>
      <w:tr w:rsidR="002D0AE7" w14:paraId="6C8AA3E5" w14:textId="77777777">
        <w:trPr>
          <w:cantSplit/>
          <w:jc w:val="center"/>
        </w:trPr>
        <w:tc>
          <w:tcPr>
            <w:tcW w:w="1338" w:type="pct"/>
            <w:tcBorders>
              <w:top w:val="single" w:sz="4" w:space="0" w:color="auto"/>
              <w:left w:val="single" w:sz="4" w:space="0" w:color="auto"/>
              <w:bottom w:val="single" w:sz="4" w:space="0" w:color="auto"/>
              <w:right w:val="single" w:sz="4" w:space="0" w:color="auto"/>
            </w:tcBorders>
          </w:tcPr>
          <w:p w14:paraId="56BAE3EF" w14:textId="77777777" w:rsidR="002D0AE7" w:rsidRDefault="00333EBB">
            <w:pPr>
              <w:jc w:val="center"/>
              <w:rPr>
                <w:rFonts w:hint="eastAsia"/>
                <w:color w:val="000000" w:themeColor="text1"/>
                <w:sz w:val="21"/>
                <w:szCs w:val="21"/>
              </w:rPr>
            </w:pPr>
            <w:r>
              <w:rPr>
                <w:rFonts w:hint="eastAsia"/>
                <w:color w:val="000000" w:themeColor="text1"/>
                <w:sz w:val="21"/>
                <w:szCs w:val="21"/>
              </w:rPr>
              <w:t>境内自然人持股</w:t>
            </w:r>
          </w:p>
        </w:tc>
        <w:tc>
          <w:tcPr>
            <w:tcW w:w="789" w:type="pct"/>
            <w:tcBorders>
              <w:top w:val="nil"/>
              <w:left w:val="nil"/>
              <w:bottom w:val="single" w:sz="8" w:space="0" w:color="auto"/>
              <w:right w:val="single" w:sz="8" w:space="0" w:color="auto"/>
            </w:tcBorders>
            <w:shd w:val="clear" w:color="auto" w:fill="auto"/>
            <w:vAlign w:val="center"/>
          </w:tcPr>
          <w:p w14:paraId="5AC7378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2,046,000.00</w:t>
            </w:r>
          </w:p>
        </w:tc>
        <w:tc>
          <w:tcPr>
            <w:tcW w:w="396" w:type="pct"/>
            <w:tcBorders>
              <w:top w:val="nil"/>
              <w:left w:val="nil"/>
              <w:bottom w:val="single" w:sz="8" w:space="0" w:color="auto"/>
              <w:right w:val="single" w:sz="8" w:space="0" w:color="auto"/>
            </w:tcBorders>
            <w:shd w:val="clear" w:color="auto" w:fill="auto"/>
            <w:vAlign w:val="center"/>
          </w:tcPr>
          <w:p w14:paraId="27AAA2AB"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397" w:type="pct"/>
            <w:tcBorders>
              <w:top w:val="nil"/>
              <w:left w:val="nil"/>
              <w:bottom w:val="single" w:sz="8" w:space="0" w:color="auto"/>
              <w:right w:val="single" w:sz="8" w:space="0" w:color="auto"/>
            </w:tcBorders>
            <w:shd w:val="clear" w:color="auto" w:fill="auto"/>
            <w:vAlign w:val="center"/>
          </w:tcPr>
          <w:p w14:paraId="582F456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29" w:type="pct"/>
            <w:tcBorders>
              <w:top w:val="nil"/>
              <w:left w:val="nil"/>
              <w:bottom w:val="single" w:sz="8" w:space="0" w:color="auto"/>
              <w:right w:val="single" w:sz="8" w:space="0" w:color="auto"/>
            </w:tcBorders>
            <w:shd w:val="clear" w:color="auto" w:fill="auto"/>
            <w:vAlign w:val="center"/>
          </w:tcPr>
          <w:p w14:paraId="28872F21"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36" w:type="pct"/>
            <w:tcBorders>
              <w:top w:val="nil"/>
              <w:left w:val="nil"/>
              <w:bottom w:val="single" w:sz="8" w:space="0" w:color="auto"/>
              <w:right w:val="single" w:sz="8" w:space="0" w:color="auto"/>
            </w:tcBorders>
            <w:shd w:val="clear" w:color="auto" w:fill="auto"/>
            <w:vAlign w:val="center"/>
          </w:tcPr>
          <w:p w14:paraId="6527D83B"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25" w:type="pct"/>
            <w:tcBorders>
              <w:top w:val="nil"/>
              <w:left w:val="nil"/>
              <w:bottom w:val="single" w:sz="8" w:space="0" w:color="auto"/>
              <w:right w:val="single" w:sz="8" w:space="0" w:color="auto"/>
            </w:tcBorders>
            <w:shd w:val="clear" w:color="auto" w:fill="auto"/>
            <w:vAlign w:val="center"/>
          </w:tcPr>
          <w:p w14:paraId="449F4811"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789" w:type="pct"/>
            <w:tcBorders>
              <w:top w:val="nil"/>
              <w:left w:val="nil"/>
              <w:bottom w:val="single" w:sz="8" w:space="0" w:color="auto"/>
              <w:right w:val="single" w:sz="8" w:space="0" w:color="auto"/>
            </w:tcBorders>
            <w:shd w:val="clear" w:color="auto" w:fill="auto"/>
            <w:vAlign w:val="center"/>
          </w:tcPr>
          <w:p w14:paraId="2D9C9EF3"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2,046,000.00</w:t>
            </w:r>
          </w:p>
        </w:tc>
      </w:tr>
      <w:tr w:rsidR="002D0AE7" w14:paraId="2FB200AE" w14:textId="77777777">
        <w:trPr>
          <w:cantSplit/>
          <w:jc w:val="center"/>
        </w:trPr>
        <w:tc>
          <w:tcPr>
            <w:tcW w:w="1338" w:type="pct"/>
            <w:tcBorders>
              <w:top w:val="single" w:sz="4" w:space="0" w:color="auto"/>
              <w:left w:val="single" w:sz="4" w:space="0" w:color="auto"/>
              <w:bottom w:val="single" w:sz="4" w:space="0" w:color="auto"/>
              <w:right w:val="single" w:sz="4" w:space="0" w:color="auto"/>
            </w:tcBorders>
          </w:tcPr>
          <w:p w14:paraId="1DBE7D4F" w14:textId="77777777" w:rsidR="002D0AE7" w:rsidRDefault="00333EBB">
            <w:pPr>
              <w:jc w:val="center"/>
              <w:rPr>
                <w:rFonts w:hint="eastAsia"/>
                <w:color w:val="000000" w:themeColor="text1"/>
                <w:sz w:val="21"/>
                <w:szCs w:val="21"/>
              </w:rPr>
            </w:pPr>
            <w:r>
              <w:rPr>
                <w:color w:val="000000" w:themeColor="text1"/>
                <w:sz w:val="21"/>
                <w:szCs w:val="21"/>
              </w:rPr>
              <w:lastRenderedPageBreak/>
              <w:t>4</w:t>
            </w:r>
            <w:r>
              <w:rPr>
                <w:color w:val="000000" w:themeColor="text1"/>
                <w:sz w:val="21"/>
                <w:szCs w:val="21"/>
              </w:rPr>
              <w:t>、外资持股</w:t>
            </w:r>
          </w:p>
        </w:tc>
        <w:tc>
          <w:tcPr>
            <w:tcW w:w="789" w:type="pct"/>
            <w:tcBorders>
              <w:top w:val="nil"/>
              <w:left w:val="nil"/>
              <w:bottom w:val="single" w:sz="8" w:space="0" w:color="auto"/>
              <w:right w:val="single" w:sz="8" w:space="0" w:color="auto"/>
            </w:tcBorders>
            <w:shd w:val="clear" w:color="auto" w:fill="auto"/>
            <w:vAlign w:val="center"/>
          </w:tcPr>
          <w:p w14:paraId="2FD9EF9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396" w:type="pct"/>
            <w:tcBorders>
              <w:top w:val="nil"/>
              <w:left w:val="nil"/>
              <w:bottom w:val="single" w:sz="8" w:space="0" w:color="auto"/>
              <w:right w:val="single" w:sz="8" w:space="0" w:color="auto"/>
            </w:tcBorders>
            <w:shd w:val="clear" w:color="auto" w:fill="auto"/>
            <w:vAlign w:val="center"/>
          </w:tcPr>
          <w:p w14:paraId="56C8DD3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397" w:type="pct"/>
            <w:tcBorders>
              <w:top w:val="nil"/>
              <w:left w:val="nil"/>
              <w:bottom w:val="single" w:sz="8" w:space="0" w:color="auto"/>
              <w:right w:val="single" w:sz="8" w:space="0" w:color="auto"/>
            </w:tcBorders>
            <w:shd w:val="clear" w:color="auto" w:fill="auto"/>
            <w:vAlign w:val="center"/>
          </w:tcPr>
          <w:p w14:paraId="72DBD97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29" w:type="pct"/>
            <w:tcBorders>
              <w:top w:val="nil"/>
              <w:left w:val="nil"/>
              <w:bottom w:val="single" w:sz="8" w:space="0" w:color="auto"/>
              <w:right w:val="single" w:sz="8" w:space="0" w:color="auto"/>
            </w:tcBorders>
            <w:shd w:val="clear" w:color="auto" w:fill="auto"/>
            <w:vAlign w:val="center"/>
          </w:tcPr>
          <w:p w14:paraId="773219B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36" w:type="pct"/>
            <w:tcBorders>
              <w:top w:val="nil"/>
              <w:left w:val="nil"/>
              <w:bottom w:val="single" w:sz="8" w:space="0" w:color="auto"/>
              <w:right w:val="single" w:sz="8" w:space="0" w:color="auto"/>
            </w:tcBorders>
            <w:shd w:val="clear" w:color="auto" w:fill="auto"/>
            <w:vAlign w:val="center"/>
          </w:tcPr>
          <w:p w14:paraId="58128FB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25" w:type="pct"/>
            <w:tcBorders>
              <w:top w:val="nil"/>
              <w:left w:val="nil"/>
              <w:bottom w:val="single" w:sz="8" w:space="0" w:color="auto"/>
              <w:right w:val="single" w:sz="8" w:space="0" w:color="auto"/>
            </w:tcBorders>
            <w:shd w:val="clear" w:color="auto" w:fill="auto"/>
            <w:vAlign w:val="center"/>
          </w:tcPr>
          <w:p w14:paraId="5B20963B"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789" w:type="pct"/>
            <w:tcBorders>
              <w:top w:val="nil"/>
              <w:left w:val="nil"/>
              <w:bottom w:val="single" w:sz="8" w:space="0" w:color="auto"/>
              <w:right w:val="single" w:sz="8" w:space="0" w:color="auto"/>
            </w:tcBorders>
            <w:shd w:val="clear" w:color="auto" w:fill="auto"/>
            <w:vAlign w:val="center"/>
          </w:tcPr>
          <w:p w14:paraId="0C30301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r>
      <w:tr w:rsidR="002D0AE7" w14:paraId="640AF39D" w14:textId="77777777">
        <w:trPr>
          <w:cantSplit/>
          <w:jc w:val="center"/>
        </w:trPr>
        <w:tc>
          <w:tcPr>
            <w:tcW w:w="1338" w:type="pct"/>
            <w:tcBorders>
              <w:top w:val="single" w:sz="4" w:space="0" w:color="auto"/>
              <w:left w:val="single" w:sz="4" w:space="0" w:color="auto"/>
              <w:bottom w:val="single" w:sz="4" w:space="0" w:color="auto"/>
              <w:right w:val="single" w:sz="4" w:space="0" w:color="auto"/>
            </w:tcBorders>
          </w:tcPr>
          <w:p w14:paraId="5AD0E5A1" w14:textId="77777777" w:rsidR="002D0AE7" w:rsidRDefault="00333EBB">
            <w:pPr>
              <w:jc w:val="center"/>
              <w:rPr>
                <w:rFonts w:hint="eastAsia"/>
                <w:color w:val="000000" w:themeColor="text1"/>
                <w:sz w:val="21"/>
                <w:szCs w:val="21"/>
              </w:rPr>
            </w:pPr>
            <w:r>
              <w:rPr>
                <w:rFonts w:hint="eastAsia"/>
                <w:color w:val="000000" w:themeColor="text1"/>
                <w:sz w:val="21"/>
                <w:szCs w:val="21"/>
              </w:rPr>
              <w:t>其中：境外法人持股</w:t>
            </w:r>
          </w:p>
        </w:tc>
        <w:tc>
          <w:tcPr>
            <w:tcW w:w="789" w:type="pct"/>
            <w:tcBorders>
              <w:top w:val="nil"/>
              <w:left w:val="nil"/>
              <w:bottom w:val="single" w:sz="8" w:space="0" w:color="auto"/>
              <w:right w:val="single" w:sz="8" w:space="0" w:color="auto"/>
            </w:tcBorders>
            <w:shd w:val="clear" w:color="auto" w:fill="auto"/>
            <w:vAlign w:val="center"/>
          </w:tcPr>
          <w:p w14:paraId="1B064A33"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396" w:type="pct"/>
            <w:tcBorders>
              <w:top w:val="nil"/>
              <w:left w:val="nil"/>
              <w:bottom w:val="single" w:sz="8" w:space="0" w:color="auto"/>
              <w:right w:val="single" w:sz="8" w:space="0" w:color="auto"/>
            </w:tcBorders>
            <w:shd w:val="clear" w:color="auto" w:fill="auto"/>
            <w:vAlign w:val="center"/>
          </w:tcPr>
          <w:p w14:paraId="5B5951E7"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397" w:type="pct"/>
            <w:tcBorders>
              <w:top w:val="nil"/>
              <w:left w:val="nil"/>
              <w:bottom w:val="single" w:sz="8" w:space="0" w:color="auto"/>
              <w:right w:val="single" w:sz="8" w:space="0" w:color="auto"/>
            </w:tcBorders>
            <w:shd w:val="clear" w:color="auto" w:fill="auto"/>
            <w:vAlign w:val="center"/>
          </w:tcPr>
          <w:p w14:paraId="0CA800C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29" w:type="pct"/>
            <w:tcBorders>
              <w:top w:val="nil"/>
              <w:left w:val="nil"/>
              <w:bottom w:val="single" w:sz="8" w:space="0" w:color="auto"/>
              <w:right w:val="single" w:sz="8" w:space="0" w:color="auto"/>
            </w:tcBorders>
            <w:shd w:val="clear" w:color="auto" w:fill="auto"/>
            <w:vAlign w:val="center"/>
          </w:tcPr>
          <w:p w14:paraId="2432C7C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36" w:type="pct"/>
            <w:tcBorders>
              <w:top w:val="nil"/>
              <w:left w:val="nil"/>
              <w:bottom w:val="single" w:sz="8" w:space="0" w:color="auto"/>
              <w:right w:val="single" w:sz="8" w:space="0" w:color="auto"/>
            </w:tcBorders>
            <w:shd w:val="clear" w:color="auto" w:fill="auto"/>
            <w:vAlign w:val="center"/>
          </w:tcPr>
          <w:p w14:paraId="4B27164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25" w:type="pct"/>
            <w:tcBorders>
              <w:top w:val="nil"/>
              <w:left w:val="nil"/>
              <w:bottom w:val="single" w:sz="8" w:space="0" w:color="auto"/>
              <w:right w:val="single" w:sz="8" w:space="0" w:color="auto"/>
            </w:tcBorders>
            <w:shd w:val="clear" w:color="auto" w:fill="auto"/>
            <w:vAlign w:val="center"/>
          </w:tcPr>
          <w:p w14:paraId="358F6F3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789" w:type="pct"/>
            <w:tcBorders>
              <w:top w:val="nil"/>
              <w:left w:val="nil"/>
              <w:bottom w:val="single" w:sz="8" w:space="0" w:color="auto"/>
              <w:right w:val="single" w:sz="8" w:space="0" w:color="auto"/>
            </w:tcBorders>
            <w:shd w:val="clear" w:color="auto" w:fill="auto"/>
            <w:vAlign w:val="center"/>
          </w:tcPr>
          <w:p w14:paraId="5AAAC31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r>
      <w:tr w:rsidR="002D0AE7" w14:paraId="3CE60234" w14:textId="77777777">
        <w:trPr>
          <w:cantSplit/>
          <w:jc w:val="center"/>
        </w:trPr>
        <w:tc>
          <w:tcPr>
            <w:tcW w:w="1338" w:type="pct"/>
            <w:tcBorders>
              <w:top w:val="single" w:sz="4" w:space="0" w:color="auto"/>
              <w:left w:val="single" w:sz="4" w:space="0" w:color="auto"/>
              <w:bottom w:val="single" w:sz="4" w:space="0" w:color="auto"/>
              <w:right w:val="single" w:sz="4" w:space="0" w:color="auto"/>
            </w:tcBorders>
          </w:tcPr>
          <w:p w14:paraId="1330B8F6" w14:textId="77777777" w:rsidR="002D0AE7" w:rsidRDefault="00333EBB">
            <w:pPr>
              <w:jc w:val="center"/>
              <w:rPr>
                <w:rFonts w:hint="eastAsia"/>
                <w:color w:val="000000" w:themeColor="text1"/>
                <w:sz w:val="21"/>
                <w:szCs w:val="21"/>
              </w:rPr>
            </w:pPr>
            <w:r>
              <w:rPr>
                <w:rFonts w:hint="eastAsia"/>
                <w:color w:val="000000" w:themeColor="text1"/>
                <w:sz w:val="21"/>
                <w:szCs w:val="21"/>
              </w:rPr>
              <w:t>境外自然人持股</w:t>
            </w:r>
          </w:p>
        </w:tc>
        <w:tc>
          <w:tcPr>
            <w:tcW w:w="789" w:type="pct"/>
            <w:tcBorders>
              <w:top w:val="nil"/>
              <w:left w:val="nil"/>
              <w:bottom w:val="single" w:sz="8" w:space="0" w:color="auto"/>
              <w:right w:val="single" w:sz="8" w:space="0" w:color="auto"/>
            </w:tcBorders>
            <w:shd w:val="clear" w:color="auto" w:fill="auto"/>
            <w:vAlign w:val="center"/>
          </w:tcPr>
          <w:p w14:paraId="4F34708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396" w:type="pct"/>
            <w:tcBorders>
              <w:top w:val="nil"/>
              <w:left w:val="nil"/>
              <w:bottom w:val="single" w:sz="8" w:space="0" w:color="auto"/>
              <w:right w:val="single" w:sz="8" w:space="0" w:color="auto"/>
            </w:tcBorders>
            <w:shd w:val="clear" w:color="auto" w:fill="auto"/>
            <w:vAlign w:val="center"/>
          </w:tcPr>
          <w:p w14:paraId="29CF0AD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397" w:type="pct"/>
            <w:tcBorders>
              <w:top w:val="nil"/>
              <w:left w:val="nil"/>
              <w:bottom w:val="single" w:sz="8" w:space="0" w:color="auto"/>
              <w:right w:val="single" w:sz="8" w:space="0" w:color="auto"/>
            </w:tcBorders>
            <w:shd w:val="clear" w:color="auto" w:fill="auto"/>
            <w:vAlign w:val="center"/>
          </w:tcPr>
          <w:p w14:paraId="06DEF13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29" w:type="pct"/>
            <w:tcBorders>
              <w:top w:val="nil"/>
              <w:left w:val="nil"/>
              <w:bottom w:val="single" w:sz="8" w:space="0" w:color="auto"/>
              <w:right w:val="single" w:sz="8" w:space="0" w:color="auto"/>
            </w:tcBorders>
            <w:shd w:val="clear" w:color="auto" w:fill="auto"/>
            <w:vAlign w:val="center"/>
          </w:tcPr>
          <w:p w14:paraId="31D84CB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36" w:type="pct"/>
            <w:tcBorders>
              <w:top w:val="nil"/>
              <w:left w:val="nil"/>
              <w:bottom w:val="single" w:sz="8" w:space="0" w:color="auto"/>
              <w:right w:val="single" w:sz="8" w:space="0" w:color="auto"/>
            </w:tcBorders>
            <w:shd w:val="clear" w:color="auto" w:fill="auto"/>
            <w:vAlign w:val="center"/>
          </w:tcPr>
          <w:p w14:paraId="5203760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25" w:type="pct"/>
            <w:tcBorders>
              <w:top w:val="nil"/>
              <w:left w:val="nil"/>
              <w:bottom w:val="single" w:sz="8" w:space="0" w:color="auto"/>
              <w:right w:val="single" w:sz="8" w:space="0" w:color="auto"/>
            </w:tcBorders>
            <w:shd w:val="clear" w:color="auto" w:fill="auto"/>
            <w:vAlign w:val="center"/>
          </w:tcPr>
          <w:p w14:paraId="69D4905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789" w:type="pct"/>
            <w:tcBorders>
              <w:top w:val="nil"/>
              <w:left w:val="nil"/>
              <w:bottom w:val="single" w:sz="8" w:space="0" w:color="auto"/>
              <w:right w:val="single" w:sz="8" w:space="0" w:color="auto"/>
            </w:tcBorders>
            <w:shd w:val="clear" w:color="auto" w:fill="auto"/>
            <w:vAlign w:val="center"/>
          </w:tcPr>
          <w:p w14:paraId="1AB2154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r>
      <w:tr w:rsidR="002D0AE7" w14:paraId="4A6A7D1E" w14:textId="77777777">
        <w:trPr>
          <w:cantSplit/>
          <w:jc w:val="center"/>
        </w:trPr>
        <w:tc>
          <w:tcPr>
            <w:tcW w:w="1338" w:type="pct"/>
            <w:tcBorders>
              <w:top w:val="single" w:sz="4" w:space="0" w:color="auto"/>
              <w:left w:val="single" w:sz="4" w:space="0" w:color="auto"/>
              <w:bottom w:val="single" w:sz="4" w:space="0" w:color="auto"/>
              <w:right w:val="single" w:sz="4" w:space="0" w:color="auto"/>
            </w:tcBorders>
          </w:tcPr>
          <w:p w14:paraId="5EEF6971" w14:textId="77777777" w:rsidR="002D0AE7" w:rsidRDefault="00333EBB">
            <w:pPr>
              <w:jc w:val="center"/>
              <w:rPr>
                <w:rFonts w:hint="eastAsia"/>
                <w:color w:val="000000" w:themeColor="text1"/>
                <w:sz w:val="21"/>
                <w:szCs w:val="21"/>
              </w:rPr>
            </w:pPr>
            <w:r>
              <w:rPr>
                <w:rFonts w:hint="eastAsia"/>
                <w:color w:val="000000" w:themeColor="text1"/>
                <w:sz w:val="21"/>
                <w:szCs w:val="21"/>
              </w:rPr>
              <w:t>有限售条件股份合计</w:t>
            </w:r>
          </w:p>
        </w:tc>
        <w:tc>
          <w:tcPr>
            <w:tcW w:w="789" w:type="pct"/>
            <w:tcBorders>
              <w:top w:val="nil"/>
              <w:left w:val="nil"/>
              <w:bottom w:val="single" w:sz="8" w:space="0" w:color="auto"/>
              <w:right w:val="single" w:sz="8" w:space="0" w:color="auto"/>
            </w:tcBorders>
            <w:shd w:val="clear" w:color="auto" w:fill="auto"/>
            <w:vAlign w:val="center"/>
          </w:tcPr>
          <w:p w14:paraId="21AD0B1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2,046,000.00</w:t>
            </w:r>
          </w:p>
        </w:tc>
        <w:tc>
          <w:tcPr>
            <w:tcW w:w="396" w:type="pct"/>
            <w:tcBorders>
              <w:top w:val="nil"/>
              <w:left w:val="nil"/>
              <w:bottom w:val="single" w:sz="8" w:space="0" w:color="auto"/>
              <w:right w:val="single" w:sz="8" w:space="0" w:color="auto"/>
            </w:tcBorders>
            <w:shd w:val="clear" w:color="auto" w:fill="auto"/>
            <w:vAlign w:val="center"/>
          </w:tcPr>
          <w:p w14:paraId="06902311"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397" w:type="pct"/>
            <w:tcBorders>
              <w:top w:val="nil"/>
              <w:left w:val="nil"/>
              <w:bottom w:val="single" w:sz="8" w:space="0" w:color="auto"/>
              <w:right w:val="single" w:sz="8" w:space="0" w:color="auto"/>
            </w:tcBorders>
            <w:shd w:val="clear" w:color="auto" w:fill="auto"/>
            <w:vAlign w:val="center"/>
          </w:tcPr>
          <w:p w14:paraId="629DFA3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29" w:type="pct"/>
            <w:tcBorders>
              <w:top w:val="nil"/>
              <w:left w:val="nil"/>
              <w:bottom w:val="single" w:sz="8" w:space="0" w:color="auto"/>
              <w:right w:val="single" w:sz="8" w:space="0" w:color="auto"/>
            </w:tcBorders>
            <w:shd w:val="clear" w:color="auto" w:fill="auto"/>
            <w:vAlign w:val="center"/>
          </w:tcPr>
          <w:p w14:paraId="61963021"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36" w:type="pct"/>
            <w:tcBorders>
              <w:top w:val="nil"/>
              <w:left w:val="nil"/>
              <w:bottom w:val="single" w:sz="8" w:space="0" w:color="auto"/>
              <w:right w:val="single" w:sz="8" w:space="0" w:color="auto"/>
            </w:tcBorders>
            <w:shd w:val="clear" w:color="auto" w:fill="auto"/>
            <w:vAlign w:val="center"/>
          </w:tcPr>
          <w:p w14:paraId="59C15BB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25" w:type="pct"/>
            <w:tcBorders>
              <w:top w:val="nil"/>
              <w:left w:val="nil"/>
              <w:bottom w:val="single" w:sz="8" w:space="0" w:color="auto"/>
              <w:right w:val="single" w:sz="8" w:space="0" w:color="auto"/>
            </w:tcBorders>
            <w:shd w:val="clear" w:color="auto" w:fill="auto"/>
            <w:vAlign w:val="center"/>
          </w:tcPr>
          <w:p w14:paraId="69E98E9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789" w:type="pct"/>
            <w:tcBorders>
              <w:top w:val="nil"/>
              <w:left w:val="nil"/>
              <w:bottom w:val="single" w:sz="8" w:space="0" w:color="auto"/>
              <w:right w:val="single" w:sz="8" w:space="0" w:color="auto"/>
            </w:tcBorders>
            <w:shd w:val="clear" w:color="auto" w:fill="auto"/>
            <w:vAlign w:val="center"/>
          </w:tcPr>
          <w:p w14:paraId="40103FC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2,046,000.00</w:t>
            </w:r>
          </w:p>
        </w:tc>
      </w:tr>
      <w:tr w:rsidR="002D0AE7" w14:paraId="34B971B4" w14:textId="77777777">
        <w:trPr>
          <w:cantSplit/>
          <w:jc w:val="center"/>
        </w:trPr>
        <w:tc>
          <w:tcPr>
            <w:tcW w:w="1338" w:type="pct"/>
            <w:tcBorders>
              <w:top w:val="single" w:sz="4" w:space="0" w:color="auto"/>
              <w:left w:val="single" w:sz="4" w:space="0" w:color="auto"/>
              <w:bottom w:val="single" w:sz="4" w:space="0" w:color="auto"/>
              <w:right w:val="single" w:sz="4" w:space="0" w:color="auto"/>
            </w:tcBorders>
          </w:tcPr>
          <w:p w14:paraId="724ED5F7" w14:textId="77777777" w:rsidR="002D0AE7" w:rsidRDefault="00333EBB">
            <w:pPr>
              <w:jc w:val="center"/>
              <w:rPr>
                <w:rFonts w:hint="eastAsia"/>
                <w:color w:val="000000" w:themeColor="text1"/>
                <w:sz w:val="21"/>
                <w:szCs w:val="21"/>
              </w:rPr>
            </w:pPr>
            <w:r>
              <w:rPr>
                <w:rFonts w:hint="eastAsia"/>
                <w:color w:val="000000" w:themeColor="text1"/>
                <w:sz w:val="21"/>
                <w:szCs w:val="21"/>
              </w:rPr>
              <w:t>二、无限售条件股份</w:t>
            </w:r>
          </w:p>
        </w:tc>
        <w:tc>
          <w:tcPr>
            <w:tcW w:w="789" w:type="pct"/>
            <w:tcBorders>
              <w:top w:val="nil"/>
              <w:left w:val="nil"/>
              <w:bottom w:val="single" w:sz="8" w:space="0" w:color="auto"/>
              <w:right w:val="single" w:sz="8" w:space="0" w:color="auto"/>
            </w:tcBorders>
            <w:shd w:val="clear" w:color="auto" w:fill="auto"/>
            <w:vAlign w:val="center"/>
          </w:tcPr>
          <w:p w14:paraId="55735E6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 xml:space="preserve">　</w:t>
            </w:r>
          </w:p>
        </w:tc>
        <w:tc>
          <w:tcPr>
            <w:tcW w:w="396" w:type="pct"/>
            <w:tcBorders>
              <w:top w:val="nil"/>
              <w:left w:val="nil"/>
              <w:bottom w:val="single" w:sz="8" w:space="0" w:color="auto"/>
              <w:right w:val="single" w:sz="8" w:space="0" w:color="auto"/>
            </w:tcBorders>
            <w:shd w:val="clear" w:color="auto" w:fill="auto"/>
            <w:vAlign w:val="center"/>
          </w:tcPr>
          <w:p w14:paraId="45F9E1B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 xml:space="preserve">　</w:t>
            </w:r>
          </w:p>
        </w:tc>
        <w:tc>
          <w:tcPr>
            <w:tcW w:w="397" w:type="pct"/>
            <w:tcBorders>
              <w:top w:val="nil"/>
              <w:left w:val="nil"/>
              <w:bottom w:val="single" w:sz="8" w:space="0" w:color="auto"/>
              <w:right w:val="single" w:sz="8" w:space="0" w:color="auto"/>
            </w:tcBorders>
            <w:shd w:val="clear" w:color="auto" w:fill="auto"/>
            <w:vAlign w:val="center"/>
          </w:tcPr>
          <w:p w14:paraId="1E56430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 xml:space="preserve">　</w:t>
            </w:r>
          </w:p>
        </w:tc>
        <w:tc>
          <w:tcPr>
            <w:tcW w:w="429" w:type="pct"/>
            <w:tcBorders>
              <w:top w:val="nil"/>
              <w:left w:val="nil"/>
              <w:bottom w:val="single" w:sz="8" w:space="0" w:color="auto"/>
              <w:right w:val="single" w:sz="8" w:space="0" w:color="auto"/>
            </w:tcBorders>
            <w:shd w:val="clear" w:color="auto" w:fill="auto"/>
            <w:vAlign w:val="center"/>
          </w:tcPr>
          <w:p w14:paraId="6E56AAA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 xml:space="preserve">　</w:t>
            </w:r>
          </w:p>
        </w:tc>
        <w:tc>
          <w:tcPr>
            <w:tcW w:w="436" w:type="pct"/>
            <w:tcBorders>
              <w:top w:val="nil"/>
              <w:left w:val="nil"/>
              <w:bottom w:val="single" w:sz="8" w:space="0" w:color="auto"/>
              <w:right w:val="single" w:sz="8" w:space="0" w:color="auto"/>
            </w:tcBorders>
            <w:shd w:val="clear" w:color="auto" w:fill="auto"/>
            <w:vAlign w:val="center"/>
          </w:tcPr>
          <w:p w14:paraId="0DDCADB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 xml:space="preserve">　</w:t>
            </w:r>
          </w:p>
        </w:tc>
        <w:tc>
          <w:tcPr>
            <w:tcW w:w="425" w:type="pct"/>
            <w:tcBorders>
              <w:top w:val="nil"/>
              <w:left w:val="nil"/>
              <w:bottom w:val="single" w:sz="8" w:space="0" w:color="auto"/>
              <w:right w:val="single" w:sz="8" w:space="0" w:color="auto"/>
            </w:tcBorders>
            <w:shd w:val="clear" w:color="auto" w:fill="auto"/>
            <w:vAlign w:val="center"/>
          </w:tcPr>
          <w:p w14:paraId="66012D67"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 xml:space="preserve">　</w:t>
            </w:r>
          </w:p>
        </w:tc>
        <w:tc>
          <w:tcPr>
            <w:tcW w:w="789" w:type="pct"/>
            <w:tcBorders>
              <w:top w:val="nil"/>
              <w:left w:val="nil"/>
              <w:bottom w:val="single" w:sz="8" w:space="0" w:color="auto"/>
              <w:right w:val="single" w:sz="8" w:space="0" w:color="auto"/>
            </w:tcBorders>
            <w:shd w:val="clear" w:color="auto" w:fill="auto"/>
            <w:vAlign w:val="center"/>
          </w:tcPr>
          <w:p w14:paraId="5637C62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 xml:space="preserve">　</w:t>
            </w:r>
          </w:p>
        </w:tc>
      </w:tr>
      <w:tr w:rsidR="002D0AE7" w14:paraId="65CFF78D" w14:textId="77777777">
        <w:trPr>
          <w:cantSplit/>
          <w:jc w:val="center"/>
        </w:trPr>
        <w:tc>
          <w:tcPr>
            <w:tcW w:w="1338" w:type="pct"/>
            <w:tcBorders>
              <w:top w:val="single" w:sz="4" w:space="0" w:color="auto"/>
              <w:left w:val="single" w:sz="4" w:space="0" w:color="auto"/>
              <w:bottom w:val="single" w:sz="4" w:space="0" w:color="auto"/>
              <w:right w:val="single" w:sz="4" w:space="0" w:color="auto"/>
            </w:tcBorders>
          </w:tcPr>
          <w:p w14:paraId="494BCE52" w14:textId="77777777" w:rsidR="002D0AE7" w:rsidRDefault="00333EBB">
            <w:pPr>
              <w:jc w:val="center"/>
              <w:rPr>
                <w:rFonts w:hint="eastAsia"/>
                <w:color w:val="000000" w:themeColor="text1"/>
                <w:sz w:val="21"/>
                <w:szCs w:val="21"/>
              </w:rPr>
            </w:pPr>
            <w:r>
              <w:rPr>
                <w:color w:val="000000" w:themeColor="text1"/>
                <w:sz w:val="21"/>
                <w:szCs w:val="21"/>
              </w:rPr>
              <w:t>1</w:t>
            </w:r>
            <w:r>
              <w:rPr>
                <w:color w:val="000000" w:themeColor="text1"/>
                <w:sz w:val="21"/>
                <w:szCs w:val="21"/>
              </w:rPr>
              <w:t>、人民币普通股</w:t>
            </w:r>
          </w:p>
        </w:tc>
        <w:tc>
          <w:tcPr>
            <w:tcW w:w="789" w:type="pct"/>
            <w:tcBorders>
              <w:top w:val="nil"/>
              <w:left w:val="nil"/>
              <w:bottom w:val="single" w:sz="8" w:space="0" w:color="auto"/>
              <w:right w:val="single" w:sz="8" w:space="0" w:color="auto"/>
            </w:tcBorders>
            <w:shd w:val="clear" w:color="auto" w:fill="auto"/>
            <w:vAlign w:val="center"/>
          </w:tcPr>
          <w:p w14:paraId="7C370803"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1,091,886,680.00</w:t>
            </w:r>
          </w:p>
        </w:tc>
        <w:tc>
          <w:tcPr>
            <w:tcW w:w="396" w:type="pct"/>
            <w:tcBorders>
              <w:top w:val="nil"/>
              <w:left w:val="nil"/>
              <w:bottom w:val="single" w:sz="8" w:space="0" w:color="auto"/>
              <w:right w:val="single" w:sz="8" w:space="0" w:color="auto"/>
            </w:tcBorders>
            <w:shd w:val="clear" w:color="auto" w:fill="auto"/>
            <w:vAlign w:val="center"/>
          </w:tcPr>
          <w:p w14:paraId="663B4E5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397" w:type="pct"/>
            <w:tcBorders>
              <w:top w:val="nil"/>
              <w:left w:val="nil"/>
              <w:bottom w:val="single" w:sz="8" w:space="0" w:color="auto"/>
              <w:right w:val="single" w:sz="8" w:space="0" w:color="auto"/>
            </w:tcBorders>
            <w:shd w:val="clear" w:color="auto" w:fill="auto"/>
            <w:vAlign w:val="center"/>
          </w:tcPr>
          <w:p w14:paraId="0C38D47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29" w:type="pct"/>
            <w:tcBorders>
              <w:top w:val="nil"/>
              <w:left w:val="nil"/>
              <w:bottom w:val="single" w:sz="8" w:space="0" w:color="auto"/>
              <w:right w:val="single" w:sz="8" w:space="0" w:color="auto"/>
            </w:tcBorders>
            <w:shd w:val="clear" w:color="auto" w:fill="auto"/>
            <w:vAlign w:val="center"/>
          </w:tcPr>
          <w:p w14:paraId="7B3ACA6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36" w:type="pct"/>
            <w:tcBorders>
              <w:top w:val="nil"/>
              <w:left w:val="nil"/>
              <w:bottom w:val="single" w:sz="8" w:space="0" w:color="auto"/>
              <w:right w:val="single" w:sz="8" w:space="0" w:color="auto"/>
            </w:tcBorders>
            <w:shd w:val="clear" w:color="auto" w:fill="auto"/>
            <w:vAlign w:val="center"/>
          </w:tcPr>
          <w:p w14:paraId="19743CC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25" w:type="pct"/>
            <w:tcBorders>
              <w:top w:val="nil"/>
              <w:left w:val="nil"/>
              <w:bottom w:val="single" w:sz="8" w:space="0" w:color="auto"/>
              <w:right w:val="single" w:sz="8" w:space="0" w:color="auto"/>
            </w:tcBorders>
            <w:shd w:val="clear" w:color="auto" w:fill="auto"/>
            <w:vAlign w:val="center"/>
          </w:tcPr>
          <w:p w14:paraId="1B4C1993"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789" w:type="pct"/>
            <w:tcBorders>
              <w:top w:val="nil"/>
              <w:left w:val="nil"/>
              <w:bottom w:val="single" w:sz="8" w:space="0" w:color="auto"/>
              <w:right w:val="single" w:sz="8" w:space="0" w:color="auto"/>
            </w:tcBorders>
            <w:shd w:val="clear" w:color="auto" w:fill="auto"/>
            <w:vAlign w:val="center"/>
          </w:tcPr>
          <w:p w14:paraId="517DE53B"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1,091,886,680.00</w:t>
            </w:r>
          </w:p>
        </w:tc>
      </w:tr>
      <w:tr w:rsidR="002D0AE7" w14:paraId="1966F807" w14:textId="77777777">
        <w:trPr>
          <w:cantSplit/>
          <w:jc w:val="center"/>
        </w:trPr>
        <w:tc>
          <w:tcPr>
            <w:tcW w:w="1338" w:type="pct"/>
            <w:tcBorders>
              <w:top w:val="single" w:sz="4" w:space="0" w:color="auto"/>
              <w:left w:val="single" w:sz="4" w:space="0" w:color="auto"/>
              <w:bottom w:val="single" w:sz="4" w:space="0" w:color="auto"/>
              <w:right w:val="single" w:sz="4" w:space="0" w:color="auto"/>
            </w:tcBorders>
          </w:tcPr>
          <w:p w14:paraId="7658C45F" w14:textId="77777777" w:rsidR="002D0AE7" w:rsidRDefault="00333EBB">
            <w:pPr>
              <w:jc w:val="center"/>
              <w:rPr>
                <w:rFonts w:hint="eastAsia"/>
                <w:color w:val="000000" w:themeColor="text1"/>
                <w:sz w:val="21"/>
                <w:szCs w:val="21"/>
              </w:rPr>
            </w:pPr>
            <w:r>
              <w:rPr>
                <w:color w:val="000000" w:themeColor="text1"/>
                <w:sz w:val="21"/>
                <w:szCs w:val="21"/>
              </w:rPr>
              <w:t>2</w:t>
            </w:r>
            <w:r>
              <w:rPr>
                <w:color w:val="000000" w:themeColor="text1"/>
                <w:sz w:val="21"/>
                <w:szCs w:val="21"/>
              </w:rPr>
              <w:t>、境内上市外资股</w:t>
            </w:r>
          </w:p>
        </w:tc>
        <w:tc>
          <w:tcPr>
            <w:tcW w:w="789" w:type="pct"/>
            <w:tcBorders>
              <w:top w:val="nil"/>
              <w:left w:val="nil"/>
              <w:bottom w:val="single" w:sz="8" w:space="0" w:color="auto"/>
              <w:right w:val="single" w:sz="8" w:space="0" w:color="auto"/>
            </w:tcBorders>
            <w:shd w:val="clear" w:color="auto" w:fill="auto"/>
            <w:vAlign w:val="center"/>
          </w:tcPr>
          <w:p w14:paraId="46725CC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396" w:type="pct"/>
            <w:tcBorders>
              <w:top w:val="nil"/>
              <w:left w:val="nil"/>
              <w:bottom w:val="single" w:sz="8" w:space="0" w:color="auto"/>
              <w:right w:val="single" w:sz="8" w:space="0" w:color="auto"/>
            </w:tcBorders>
            <w:shd w:val="clear" w:color="auto" w:fill="auto"/>
            <w:vAlign w:val="center"/>
          </w:tcPr>
          <w:p w14:paraId="2C5E50A1"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397" w:type="pct"/>
            <w:tcBorders>
              <w:top w:val="nil"/>
              <w:left w:val="nil"/>
              <w:bottom w:val="single" w:sz="8" w:space="0" w:color="auto"/>
              <w:right w:val="single" w:sz="8" w:space="0" w:color="auto"/>
            </w:tcBorders>
            <w:shd w:val="clear" w:color="auto" w:fill="auto"/>
            <w:vAlign w:val="center"/>
          </w:tcPr>
          <w:p w14:paraId="39480083"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29" w:type="pct"/>
            <w:tcBorders>
              <w:top w:val="nil"/>
              <w:left w:val="nil"/>
              <w:bottom w:val="single" w:sz="8" w:space="0" w:color="auto"/>
              <w:right w:val="single" w:sz="8" w:space="0" w:color="auto"/>
            </w:tcBorders>
            <w:shd w:val="clear" w:color="auto" w:fill="auto"/>
            <w:vAlign w:val="center"/>
          </w:tcPr>
          <w:p w14:paraId="1A487B2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36" w:type="pct"/>
            <w:tcBorders>
              <w:top w:val="nil"/>
              <w:left w:val="nil"/>
              <w:bottom w:val="single" w:sz="8" w:space="0" w:color="auto"/>
              <w:right w:val="single" w:sz="8" w:space="0" w:color="auto"/>
            </w:tcBorders>
            <w:shd w:val="clear" w:color="auto" w:fill="auto"/>
            <w:vAlign w:val="center"/>
          </w:tcPr>
          <w:p w14:paraId="69A87D2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25" w:type="pct"/>
            <w:tcBorders>
              <w:top w:val="nil"/>
              <w:left w:val="nil"/>
              <w:bottom w:val="single" w:sz="8" w:space="0" w:color="auto"/>
              <w:right w:val="single" w:sz="8" w:space="0" w:color="auto"/>
            </w:tcBorders>
            <w:shd w:val="clear" w:color="auto" w:fill="auto"/>
            <w:vAlign w:val="center"/>
          </w:tcPr>
          <w:p w14:paraId="7FD604A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789" w:type="pct"/>
            <w:tcBorders>
              <w:top w:val="nil"/>
              <w:left w:val="nil"/>
              <w:bottom w:val="single" w:sz="8" w:space="0" w:color="auto"/>
              <w:right w:val="single" w:sz="8" w:space="0" w:color="auto"/>
            </w:tcBorders>
            <w:shd w:val="clear" w:color="auto" w:fill="auto"/>
            <w:vAlign w:val="center"/>
          </w:tcPr>
          <w:p w14:paraId="507E53F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r>
      <w:tr w:rsidR="002D0AE7" w14:paraId="7BCF387F" w14:textId="77777777">
        <w:trPr>
          <w:cantSplit/>
          <w:jc w:val="center"/>
        </w:trPr>
        <w:tc>
          <w:tcPr>
            <w:tcW w:w="1338" w:type="pct"/>
            <w:tcBorders>
              <w:top w:val="single" w:sz="4" w:space="0" w:color="auto"/>
              <w:left w:val="single" w:sz="4" w:space="0" w:color="auto"/>
              <w:bottom w:val="single" w:sz="4" w:space="0" w:color="auto"/>
              <w:right w:val="single" w:sz="4" w:space="0" w:color="auto"/>
            </w:tcBorders>
          </w:tcPr>
          <w:p w14:paraId="1E45F638" w14:textId="77777777" w:rsidR="002D0AE7" w:rsidRDefault="00333EBB">
            <w:pPr>
              <w:jc w:val="center"/>
              <w:rPr>
                <w:rFonts w:hint="eastAsia"/>
                <w:color w:val="000000" w:themeColor="text1"/>
                <w:sz w:val="21"/>
                <w:szCs w:val="21"/>
              </w:rPr>
            </w:pPr>
            <w:r>
              <w:rPr>
                <w:color w:val="000000" w:themeColor="text1"/>
                <w:sz w:val="21"/>
                <w:szCs w:val="21"/>
              </w:rPr>
              <w:t>3</w:t>
            </w:r>
            <w:r>
              <w:rPr>
                <w:color w:val="000000" w:themeColor="text1"/>
                <w:sz w:val="21"/>
                <w:szCs w:val="21"/>
              </w:rPr>
              <w:t>、境外上市外资股</w:t>
            </w:r>
          </w:p>
        </w:tc>
        <w:tc>
          <w:tcPr>
            <w:tcW w:w="789" w:type="pct"/>
            <w:tcBorders>
              <w:top w:val="nil"/>
              <w:left w:val="nil"/>
              <w:bottom w:val="single" w:sz="8" w:space="0" w:color="auto"/>
              <w:right w:val="single" w:sz="8" w:space="0" w:color="auto"/>
            </w:tcBorders>
            <w:shd w:val="clear" w:color="auto" w:fill="auto"/>
            <w:vAlign w:val="center"/>
          </w:tcPr>
          <w:p w14:paraId="7D03755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396" w:type="pct"/>
            <w:tcBorders>
              <w:top w:val="nil"/>
              <w:left w:val="nil"/>
              <w:bottom w:val="single" w:sz="8" w:space="0" w:color="auto"/>
              <w:right w:val="single" w:sz="8" w:space="0" w:color="auto"/>
            </w:tcBorders>
            <w:shd w:val="clear" w:color="auto" w:fill="auto"/>
            <w:vAlign w:val="center"/>
          </w:tcPr>
          <w:p w14:paraId="08BA8BB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397" w:type="pct"/>
            <w:tcBorders>
              <w:top w:val="nil"/>
              <w:left w:val="nil"/>
              <w:bottom w:val="single" w:sz="8" w:space="0" w:color="auto"/>
              <w:right w:val="single" w:sz="8" w:space="0" w:color="auto"/>
            </w:tcBorders>
            <w:shd w:val="clear" w:color="auto" w:fill="auto"/>
            <w:vAlign w:val="center"/>
          </w:tcPr>
          <w:p w14:paraId="778F9D6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29" w:type="pct"/>
            <w:tcBorders>
              <w:top w:val="nil"/>
              <w:left w:val="nil"/>
              <w:bottom w:val="single" w:sz="8" w:space="0" w:color="auto"/>
              <w:right w:val="single" w:sz="8" w:space="0" w:color="auto"/>
            </w:tcBorders>
            <w:shd w:val="clear" w:color="auto" w:fill="auto"/>
            <w:vAlign w:val="center"/>
          </w:tcPr>
          <w:p w14:paraId="5B96B77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36" w:type="pct"/>
            <w:tcBorders>
              <w:top w:val="nil"/>
              <w:left w:val="nil"/>
              <w:bottom w:val="single" w:sz="8" w:space="0" w:color="auto"/>
              <w:right w:val="single" w:sz="8" w:space="0" w:color="auto"/>
            </w:tcBorders>
            <w:shd w:val="clear" w:color="auto" w:fill="auto"/>
            <w:vAlign w:val="center"/>
          </w:tcPr>
          <w:p w14:paraId="4009F11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25" w:type="pct"/>
            <w:tcBorders>
              <w:top w:val="nil"/>
              <w:left w:val="nil"/>
              <w:bottom w:val="single" w:sz="8" w:space="0" w:color="auto"/>
              <w:right w:val="single" w:sz="8" w:space="0" w:color="auto"/>
            </w:tcBorders>
            <w:shd w:val="clear" w:color="auto" w:fill="auto"/>
            <w:vAlign w:val="center"/>
          </w:tcPr>
          <w:p w14:paraId="58726EB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789" w:type="pct"/>
            <w:tcBorders>
              <w:top w:val="nil"/>
              <w:left w:val="nil"/>
              <w:bottom w:val="single" w:sz="8" w:space="0" w:color="auto"/>
              <w:right w:val="single" w:sz="8" w:space="0" w:color="auto"/>
            </w:tcBorders>
            <w:shd w:val="clear" w:color="auto" w:fill="auto"/>
            <w:vAlign w:val="center"/>
          </w:tcPr>
          <w:p w14:paraId="390E7C9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r>
      <w:tr w:rsidR="002D0AE7" w14:paraId="6293DAA9" w14:textId="77777777">
        <w:trPr>
          <w:cantSplit/>
          <w:jc w:val="center"/>
        </w:trPr>
        <w:tc>
          <w:tcPr>
            <w:tcW w:w="1338" w:type="pct"/>
            <w:tcBorders>
              <w:top w:val="single" w:sz="4" w:space="0" w:color="auto"/>
              <w:left w:val="single" w:sz="4" w:space="0" w:color="auto"/>
              <w:bottom w:val="single" w:sz="4" w:space="0" w:color="auto"/>
              <w:right w:val="single" w:sz="4" w:space="0" w:color="auto"/>
            </w:tcBorders>
          </w:tcPr>
          <w:p w14:paraId="57B75972" w14:textId="77777777" w:rsidR="002D0AE7" w:rsidRDefault="00333EBB">
            <w:pPr>
              <w:jc w:val="center"/>
              <w:rPr>
                <w:rFonts w:hint="eastAsia"/>
                <w:color w:val="000000" w:themeColor="text1"/>
                <w:sz w:val="21"/>
                <w:szCs w:val="21"/>
              </w:rPr>
            </w:pPr>
            <w:r>
              <w:rPr>
                <w:color w:val="000000" w:themeColor="text1"/>
                <w:sz w:val="21"/>
                <w:szCs w:val="21"/>
              </w:rPr>
              <w:t>4</w:t>
            </w:r>
            <w:r>
              <w:rPr>
                <w:color w:val="000000" w:themeColor="text1"/>
                <w:sz w:val="21"/>
                <w:szCs w:val="21"/>
              </w:rPr>
              <w:t>、其他</w:t>
            </w:r>
          </w:p>
        </w:tc>
        <w:tc>
          <w:tcPr>
            <w:tcW w:w="789" w:type="pct"/>
            <w:tcBorders>
              <w:top w:val="nil"/>
              <w:left w:val="nil"/>
              <w:bottom w:val="single" w:sz="4" w:space="0" w:color="auto"/>
              <w:right w:val="single" w:sz="8" w:space="0" w:color="auto"/>
            </w:tcBorders>
            <w:shd w:val="clear" w:color="auto" w:fill="auto"/>
            <w:vAlign w:val="center"/>
          </w:tcPr>
          <w:p w14:paraId="2FEF474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396" w:type="pct"/>
            <w:tcBorders>
              <w:top w:val="nil"/>
              <w:left w:val="nil"/>
              <w:bottom w:val="single" w:sz="4" w:space="0" w:color="auto"/>
              <w:right w:val="single" w:sz="8" w:space="0" w:color="auto"/>
            </w:tcBorders>
            <w:shd w:val="clear" w:color="auto" w:fill="auto"/>
            <w:vAlign w:val="center"/>
          </w:tcPr>
          <w:p w14:paraId="098D3E1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397" w:type="pct"/>
            <w:tcBorders>
              <w:top w:val="nil"/>
              <w:left w:val="nil"/>
              <w:bottom w:val="single" w:sz="4" w:space="0" w:color="auto"/>
              <w:right w:val="single" w:sz="8" w:space="0" w:color="auto"/>
            </w:tcBorders>
            <w:shd w:val="clear" w:color="auto" w:fill="auto"/>
            <w:vAlign w:val="center"/>
          </w:tcPr>
          <w:p w14:paraId="0A94AC8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29" w:type="pct"/>
            <w:tcBorders>
              <w:top w:val="nil"/>
              <w:left w:val="nil"/>
              <w:bottom w:val="single" w:sz="4" w:space="0" w:color="auto"/>
              <w:right w:val="single" w:sz="8" w:space="0" w:color="auto"/>
            </w:tcBorders>
            <w:shd w:val="clear" w:color="auto" w:fill="auto"/>
            <w:vAlign w:val="center"/>
          </w:tcPr>
          <w:p w14:paraId="04ABE0F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36" w:type="pct"/>
            <w:tcBorders>
              <w:top w:val="nil"/>
              <w:left w:val="nil"/>
              <w:bottom w:val="single" w:sz="4" w:space="0" w:color="auto"/>
              <w:right w:val="single" w:sz="8" w:space="0" w:color="auto"/>
            </w:tcBorders>
            <w:shd w:val="clear" w:color="auto" w:fill="auto"/>
            <w:vAlign w:val="center"/>
          </w:tcPr>
          <w:p w14:paraId="50E2D58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25" w:type="pct"/>
            <w:tcBorders>
              <w:top w:val="nil"/>
              <w:left w:val="nil"/>
              <w:bottom w:val="single" w:sz="4" w:space="0" w:color="auto"/>
              <w:right w:val="single" w:sz="8" w:space="0" w:color="auto"/>
            </w:tcBorders>
            <w:shd w:val="clear" w:color="auto" w:fill="auto"/>
            <w:vAlign w:val="center"/>
          </w:tcPr>
          <w:p w14:paraId="29265571"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789" w:type="pct"/>
            <w:tcBorders>
              <w:top w:val="nil"/>
              <w:left w:val="nil"/>
              <w:bottom w:val="single" w:sz="4" w:space="0" w:color="auto"/>
              <w:right w:val="single" w:sz="8" w:space="0" w:color="auto"/>
            </w:tcBorders>
            <w:shd w:val="clear" w:color="auto" w:fill="auto"/>
            <w:vAlign w:val="center"/>
          </w:tcPr>
          <w:p w14:paraId="3EA888C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r>
      <w:tr w:rsidR="002D0AE7" w14:paraId="55CCB8A3" w14:textId="77777777">
        <w:trPr>
          <w:cantSplit/>
          <w:jc w:val="center"/>
        </w:trPr>
        <w:tc>
          <w:tcPr>
            <w:tcW w:w="1338" w:type="pct"/>
            <w:tcBorders>
              <w:top w:val="single" w:sz="4" w:space="0" w:color="auto"/>
              <w:left w:val="single" w:sz="4" w:space="0" w:color="auto"/>
              <w:bottom w:val="single" w:sz="4" w:space="0" w:color="auto"/>
              <w:right w:val="single" w:sz="4" w:space="0" w:color="auto"/>
            </w:tcBorders>
          </w:tcPr>
          <w:p w14:paraId="5D387137" w14:textId="77777777" w:rsidR="002D0AE7" w:rsidRDefault="00333EBB">
            <w:pPr>
              <w:jc w:val="center"/>
              <w:rPr>
                <w:rFonts w:hint="eastAsia"/>
                <w:color w:val="000000" w:themeColor="text1"/>
                <w:sz w:val="21"/>
                <w:szCs w:val="21"/>
              </w:rPr>
            </w:pPr>
            <w:r>
              <w:rPr>
                <w:rFonts w:hint="eastAsia"/>
                <w:color w:val="000000" w:themeColor="text1"/>
                <w:sz w:val="21"/>
                <w:szCs w:val="21"/>
              </w:rPr>
              <w:t>无限售条件股份合计</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595C336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1,091,886,680.00</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412DE4B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8AD287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45F51B3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6722E91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tcPr>
          <w:p w14:paraId="41553A2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7DA59ED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1,091,886,680.00</w:t>
            </w:r>
          </w:p>
        </w:tc>
      </w:tr>
      <w:tr w:rsidR="002D0AE7" w14:paraId="7BB50E64" w14:textId="77777777">
        <w:trPr>
          <w:cantSplit/>
          <w:jc w:val="center"/>
        </w:trPr>
        <w:tc>
          <w:tcPr>
            <w:tcW w:w="1338" w:type="pct"/>
            <w:tcBorders>
              <w:top w:val="single" w:sz="4" w:space="0" w:color="auto"/>
              <w:left w:val="single" w:sz="4" w:space="0" w:color="auto"/>
              <w:bottom w:val="single" w:sz="4" w:space="0" w:color="auto"/>
              <w:right w:val="single" w:sz="4" w:space="0" w:color="auto"/>
            </w:tcBorders>
          </w:tcPr>
          <w:p w14:paraId="29D42726" w14:textId="77777777" w:rsidR="002D0AE7" w:rsidRDefault="00333EBB">
            <w:pPr>
              <w:jc w:val="center"/>
              <w:rPr>
                <w:rFonts w:hint="eastAsia"/>
                <w:color w:val="000000" w:themeColor="text1"/>
                <w:sz w:val="21"/>
                <w:szCs w:val="21"/>
              </w:rPr>
            </w:pPr>
            <w:r>
              <w:rPr>
                <w:rFonts w:hint="eastAsia"/>
                <w:color w:val="000000" w:themeColor="text1"/>
                <w:sz w:val="21"/>
                <w:szCs w:val="21"/>
              </w:rPr>
              <w:t>三、股份总数</w:t>
            </w:r>
          </w:p>
        </w:tc>
        <w:tc>
          <w:tcPr>
            <w:tcW w:w="789" w:type="pct"/>
            <w:tcBorders>
              <w:top w:val="single" w:sz="4" w:space="0" w:color="auto"/>
              <w:left w:val="single" w:sz="4" w:space="0" w:color="auto"/>
              <w:bottom w:val="single" w:sz="4" w:space="0" w:color="auto"/>
              <w:right w:val="single" w:sz="4" w:space="0" w:color="auto"/>
            </w:tcBorders>
          </w:tcPr>
          <w:p w14:paraId="4AEE9FC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1,093,932,680.00</w:t>
            </w:r>
          </w:p>
        </w:tc>
        <w:tc>
          <w:tcPr>
            <w:tcW w:w="396" w:type="pct"/>
            <w:tcBorders>
              <w:top w:val="single" w:sz="4" w:space="0" w:color="auto"/>
              <w:left w:val="single" w:sz="4" w:space="0" w:color="auto"/>
              <w:bottom w:val="single" w:sz="4" w:space="0" w:color="auto"/>
              <w:right w:val="single" w:sz="4" w:space="0" w:color="auto"/>
            </w:tcBorders>
          </w:tcPr>
          <w:p w14:paraId="3F74F10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397" w:type="pct"/>
            <w:tcBorders>
              <w:top w:val="single" w:sz="4" w:space="0" w:color="auto"/>
              <w:left w:val="single" w:sz="4" w:space="0" w:color="auto"/>
              <w:bottom w:val="single" w:sz="4" w:space="0" w:color="auto"/>
              <w:right w:val="single" w:sz="4" w:space="0" w:color="auto"/>
            </w:tcBorders>
          </w:tcPr>
          <w:p w14:paraId="04509CC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429" w:type="pct"/>
            <w:tcBorders>
              <w:top w:val="single" w:sz="4" w:space="0" w:color="auto"/>
              <w:left w:val="single" w:sz="4" w:space="0" w:color="auto"/>
              <w:bottom w:val="single" w:sz="4" w:space="0" w:color="auto"/>
              <w:right w:val="single" w:sz="4" w:space="0" w:color="auto"/>
            </w:tcBorders>
          </w:tcPr>
          <w:p w14:paraId="239B26F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436" w:type="pct"/>
            <w:tcBorders>
              <w:top w:val="single" w:sz="4" w:space="0" w:color="auto"/>
              <w:left w:val="single" w:sz="4" w:space="0" w:color="auto"/>
              <w:bottom w:val="single" w:sz="4" w:space="0" w:color="auto"/>
              <w:right w:val="single" w:sz="4" w:space="0" w:color="auto"/>
            </w:tcBorders>
          </w:tcPr>
          <w:p w14:paraId="123336D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425" w:type="pct"/>
            <w:tcBorders>
              <w:top w:val="single" w:sz="4" w:space="0" w:color="auto"/>
              <w:left w:val="single" w:sz="4" w:space="0" w:color="auto"/>
              <w:bottom w:val="single" w:sz="4" w:space="0" w:color="auto"/>
              <w:right w:val="single" w:sz="4" w:space="0" w:color="auto"/>
            </w:tcBorders>
          </w:tcPr>
          <w:p w14:paraId="51CC814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89" w:type="pct"/>
            <w:tcBorders>
              <w:top w:val="single" w:sz="4" w:space="0" w:color="auto"/>
              <w:left w:val="single" w:sz="4" w:space="0" w:color="auto"/>
              <w:bottom w:val="single" w:sz="4" w:space="0" w:color="auto"/>
              <w:right w:val="single" w:sz="4" w:space="0" w:color="auto"/>
            </w:tcBorders>
          </w:tcPr>
          <w:p w14:paraId="2D88FF4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1,093,932,680.00</w:t>
            </w:r>
          </w:p>
        </w:tc>
      </w:tr>
    </w:tbl>
    <w:p w14:paraId="6BF611DB" w14:textId="77777777" w:rsidR="002D0AE7" w:rsidRDefault="00333EBB">
      <w:pPr>
        <w:spacing w:before="60" w:after="60"/>
        <w:rPr>
          <w:rFonts w:hint="eastAsia"/>
          <w:color w:val="000000" w:themeColor="text1"/>
        </w:rPr>
      </w:pPr>
      <w:r>
        <w:rPr>
          <w:rFonts w:hint="eastAsia"/>
          <w:color w:val="000000" w:themeColor="text1"/>
          <w:sz w:val="21"/>
          <w:szCs w:val="21"/>
        </w:rPr>
        <w:t>其他说明：</w:t>
      </w:r>
      <w:sdt>
        <w:sdtPr>
          <w:rPr>
            <w:color w:val="000000" w:themeColor="text1"/>
          </w:rPr>
          <w:alias w:val="股本变动情况说明"/>
          <w:tag w:val="_GBC_752687f835754470ad7a125ef32391e4"/>
          <w:id w:val="1390614058"/>
          <w:placeholder>
            <w:docPart w:val="4C5E045A22BC4B39ACE1F36B48CDEDAF"/>
          </w:placeholder>
        </w:sdtPr>
        <w:sdtEndPr/>
        <w:sdtContent>
          <w:r>
            <w:rPr>
              <w:rFonts w:hint="eastAsia"/>
              <w:color w:val="000000" w:themeColor="text1"/>
            </w:rPr>
            <w:t>无</w:t>
          </w:r>
        </w:sdtContent>
      </w:sdt>
    </w:p>
    <w:p w14:paraId="5A17DE64"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szCs w:val="21"/>
        </w:rPr>
        <w:t>资本公积</w:t>
      </w:r>
    </w:p>
    <w:sdt>
      <w:sdtPr>
        <w:rPr>
          <w:color w:val="000000" w:themeColor="text1"/>
        </w:rPr>
        <w:alias w:val="是否适用：资本公积[双击切换]"/>
        <w:tag w:val="_GBC_70f32b67ce344a03adfc93d4ed72949a"/>
        <w:id w:val="428706109"/>
        <w:placeholder>
          <w:docPart w:val="GBC22222222222222222222222222222"/>
        </w:placeholder>
      </w:sdtPr>
      <w:sdtEndPr/>
      <w:sdtContent>
        <w:p w14:paraId="60BB8874"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156EBA16"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资本公积"/>
          <w:tag w:val="_GBC_88633009fdc64f4e8238c38541b33615"/>
          <w:id w:val="127259763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资本公积"/>
          <w:tag w:val="_GBC_636aa96d47cb426abc64fc00b61c9353"/>
          <w:id w:val="-63317131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1842"/>
        <w:gridCol w:w="1135"/>
        <w:gridCol w:w="1226"/>
        <w:gridCol w:w="1789"/>
      </w:tblGrid>
      <w:tr w:rsidR="002D0AE7" w14:paraId="332D6953" w14:textId="77777777">
        <w:sdt>
          <w:sdtPr>
            <w:rPr>
              <w:color w:val="000000" w:themeColor="text1"/>
              <w:sz w:val="21"/>
              <w:szCs w:val="21"/>
            </w:rPr>
            <w:tag w:val="_PLD_177c011500e64862903c4c16dbb2f31f"/>
            <w:id w:val="1150792697"/>
          </w:sdtPr>
          <w:sdtEndPr/>
          <w:sdtContent>
            <w:tc>
              <w:tcPr>
                <w:tcW w:w="1604" w:type="pct"/>
                <w:vAlign w:val="center"/>
              </w:tcPr>
              <w:p w14:paraId="53E59FB4"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1519f0add67f49df9173f37c00215eef"/>
            <w:id w:val="-1293905427"/>
          </w:sdtPr>
          <w:sdtEndPr/>
          <w:sdtContent>
            <w:tc>
              <w:tcPr>
                <w:tcW w:w="1044" w:type="pct"/>
                <w:vAlign w:val="center"/>
              </w:tcPr>
              <w:p w14:paraId="2B2CA1B2"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期初余额</w:t>
                </w:r>
              </w:p>
            </w:tc>
          </w:sdtContent>
        </w:sdt>
        <w:sdt>
          <w:sdtPr>
            <w:rPr>
              <w:color w:val="000000" w:themeColor="text1"/>
              <w:sz w:val="21"/>
              <w:szCs w:val="21"/>
            </w:rPr>
            <w:tag w:val="_PLD_dcbf1fd9bcaa41fc8ff4def2d0e55143"/>
            <w:id w:val="-2027785179"/>
          </w:sdtPr>
          <w:sdtEndPr/>
          <w:sdtContent>
            <w:tc>
              <w:tcPr>
                <w:tcW w:w="643" w:type="pct"/>
                <w:vAlign w:val="center"/>
              </w:tcPr>
              <w:p w14:paraId="6A43F351"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本期增加</w:t>
                </w:r>
              </w:p>
            </w:tc>
          </w:sdtContent>
        </w:sdt>
        <w:sdt>
          <w:sdtPr>
            <w:rPr>
              <w:color w:val="000000" w:themeColor="text1"/>
              <w:sz w:val="21"/>
              <w:szCs w:val="21"/>
            </w:rPr>
            <w:tag w:val="_PLD_9d88d0ce99474d389c660c414306497d"/>
            <w:id w:val="208087022"/>
          </w:sdtPr>
          <w:sdtEndPr/>
          <w:sdtContent>
            <w:tc>
              <w:tcPr>
                <w:tcW w:w="695" w:type="pct"/>
                <w:vAlign w:val="center"/>
              </w:tcPr>
              <w:p w14:paraId="4BDA5978"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本期减少</w:t>
                </w:r>
              </w:p>
            </w:tc>
          </w:sdtContent>
        </w:sdt>
        <w:sdt>
          <w:sdtPr>
            <w:rPr>
              <w:color w:val="000000" w:themeColor="text1"/>
              <w:sz w:val="21"/>
              <w:szCs w:val="21"/>
            </w:rPr>
            <w:tag w:val="_PLD_4c3f2255a4a24c1cae63eb0cc7781f12"/>
            <w:id w:val="706379693"/>
          </w:sdtPr>
          <w:sdtEndPr/>
          <w:sdtContent>
            <w:tc>
              <w:tcPr>
                <w:tcW w:w="1014" w:type="pct"/>
                <w:vAlign w:val="center"/>
              </w:tcPr>
              <w:p w14:paraId="12A731C7"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期末余额</w:t>
                </w:r>
              </w:p>
            </w:tc>
          </w:sdtContent>
        </w:sdt>
      </w:tr>
      <w:tr w:rsidR="002D0AE7" w14:paraId="38D7BC62" w14:textId="77777777">
        <w:tc>
          <w:tcPr>
            <w:tcW w:w="1604" w:type="pct"/>
            <w:shd w:val="clear" w:color="auto" w:fill="auto"/>
          </w:tcPr>
          <w:p w14:paraId="702E5A4F" w14:textId="77777777" w:rsidR="002D0AE7" w:rsidRDefault="00333EBB">
            <w:pPr>
              <w:autoSpaceDE w:val="0"/>
              <w:autoSpaceDN w:val="0"/>
              <w:adjustRightInd w:val="0"/>
              <w:snapToGrid w:val="0"/>
              <w:rPr>
                <w:rFonts w:hint="eastAsia"/>
                <w:color w:val="000000" w:themeColor="text1"/>
                <w:sz w:val="21"/>
                <w:szCs w:val="21"/>
              </w:rPr>
            </w:pPr>
            <w:r>
              <w:rPr>
                <w:rFonts w:hint="eastAsia"/>
                <w:color w:val="000000" w:themeColor="text1"/>
                <w:sz w:val="21"/>
                <w:szCs w:val="21"/>
              </w:rPr>
              <w:t>资本溢价（股本溢价）</w:t>
            </w:r>
          </w:p>
        </w:tc>
        <w:tc>
          <w:tcPr>
            <w:tcW w:w="1044" w:type="pct"/>
            <w:tcBorders>
              <w:top w:val="nil"/>
              <w:left w:val="nil"/>
              <w:bottom w:val="single" w:sz="8" w:space="0" w:color="auto"/>
              <w:right w:val="single" w:sz="8" w:space="0" w:color="auto"/>
            </w:tcBorders>
            <w:shd w:val="clear" w:color="auto" w:fill="auto"/>
            <w:vAlign w:val="center"/>
          </w:tcPr>
          <w:p w14:paraId="3D4B7BA4" w14:textId="77777777" w:rsidR="002D0AE7" w:rsidRDefault="00333EBB">
            <w:pPr>
              <w:autoSpaceDE w:val="0"/>
              <w:autoSpaceDN w:val="0"/>
              <w:adjustRightInd w:val="0"/>
              <w:snapToGrid w:val="0"/>
              <w:jc w:val="right"/>
              <w:rPr>
                <w:rFonts w:hint="eastAsia"/>
              </w:rPr>
            </w:pPr>
            <w:r>
              <w:rPr>
                <w:rFonts w:ascii="Times New Roman" w:hAnsi="Times New Roman" w:cs="Times New Roman"/>
                <w:color w:val="000000"/>
                <w:sz w:val="21"/>
                <w:szCs w:val="21"/>
              </w:rPr>
              <w:t>319,807,999.46</w:t>
            </w:r>
          </w:p>
        </w:tc>
        <w:tc>
          <w:tcPr>
            <w:tcW w:w="643" w:type="pct"/>
            <w:tcBorders>
              <w:top w:val="nil"/>
              <w:left w:val="nil"/>
              <w:bottom w:val="single" w:sz="8" w:space="0" w:color="auto"/>
              <w:right w:val="single" w:sz="8" w:space="0" w:color="auto"/>
            </w:tcBorders>
            <w:shd w:val="clear" w:color="auto" w:fill="auto"/>
            <w:vAlign w:val="center"/>
          </w:tcPr>
          <w:p w14:paraId="13D30EA2" w14:textId="77777777" w:rsidR="002D0AE7" w:rsidRDefault="00333EBB">
            <w:pPr>
              <w:autoSpaceDE w:val="0"/>
              <w:autoSpaceDN w:val="0"/>
              <w:adjustRightInd w:val="0"/>
              <w:snapToGrid w:val="0"/>
              <w:jc w:val="right"/>
              <w:rPr>
                <w:rFonts w:hint="eastAsia"/>
              </w:rPr>
            </w:pPr>
            <w:r>
              <w:rPr>
                <w:rFonts w:ascii="Times New Roman" w:hAnsi="Times New Roman" w:cs="Times New Roman"/>
                <w:color w:val="000000"/>
                <w:sz w:val="21"/>
                <w:szCs w:val="21"/>
              </w:rPr>
              <w:t>0.00</w:t>
            </w:r>
          </w:p>
        </w:tc>
        <w:tc>
          <w:tcPr>
            <w:tcW w:w="695" w:type="pct"/>
            <w:tcBorders>
              <w:top w:val="nil"/>
              <w:left w:val="nil"/>
              <w:bottom w:val="single" w:sz="8" w:space="0" w:color="auto"/>
              <w:right w:val="single" w:sz="8" w:space="0" w:color="auto"/>
            </w:tcBorders>
            <w:shd w:val="clear" w:color="auto" w:fill="auto"/>
            <w:vAlign w:val="center"/>
          </w:tcPr>
          <w:p w14:paraId="22E51E57" w14:textId="77777777" w:rsidR="002D0AE7" w:rsidRDefault="00333EBB">
            <w:pPr>
              <w:autoSpaceDE w:val="0"/>
              <w:autoSpaceDN w:val="0"/>
              <w:adjustRightInd w:val="0"/>
              <w:snapToGrid w:val="0"/>
              <w:jc w:val="right"/>
              <w:rPr>
                <w:rFonts w:hint="eastAsia"/>
              </w:rPr>
            </w:pPr>
            <w:r>
              <w:rPr>
                <w:rFonts w:ascii="Times New Roman" w:hAnsi="Times New Roman" w:cs="Times New Roman"/>
                <w:color w:val="000000"/>
                <w:sz w:val="21"/>
                <w:szCs w:val="21"/>
              </w:rPr>
              <w:t>0.00</w:t>
            </w:r>
          </w:p>
        </w:tc>
        <w:tc>
          <w:tcPr>
            <w:tcW w:w="1014" w:type="pct"/>
            <w:tcBorders>
              <w:top w:val="nil"/>
              <w:left w:val="nil"/>
              <w:bottom w:val="single" w:sz="8" w:space="0" w:color="auto"/>
              <w:right w:val="single" w:sz="8" w:space="0" w:color="auto"/>
            </w:tcBorders>
            <w:shd w:val="clear" w:color="auto" w:fill="auto"/>
            <w:vAlign w:val="center"/>
          </w:tcPr>
          <w:p w14:paraId="4AC9C001" w14:textId="77777777" w:rsidR="002D0AE7" w:rsidRDefault="00333EBB">
            <w:pPr>
              <w:autoSpaceDE w:val="0"/>
              <w:autoSpaceDN w:val="0"/>
              <w:adjustRightInd w:val="0"/>
              <w:snapToGrid w:val="0"/>
              <w:jc w:val="right"/>
              <w:rPr>
                <w:rFonts w:hint="eastAsia"/>
              </w:rPr>
            </w:pPr>
            <w:r>
              <w:rPr>
                <w:rFonts w:ascii="Times New Roman" w:hAnsi="Times New Roman" w:cs="Times New Roman"/>
                <w:color w:val="000000"/>
                <w:sz w:val="21"/>
                <w:szCs w:val="21"/>
              </w:rPr>
              <w:t>319,807,999.46</w:t>
            </w:r>
          </w:p>
        </w:tc>
      </w:tr>
      <w:tr w:rsidR="002D0AE7" w14:paraId="4AF0C572" w14:textId="77777777">
        <w:tc>
          <w:tcPr>
            <w:tcW w:w="1604" w:type="pct"/>
            <w:shd w:val="clear" w:color="auto" w:fill="auto"/>
          </w:tcPr>
          <w:p w14:paraId="4762C328" w14:textId="77777777" w:rsidR="002D0AE7" w:rsidRDefault="00333EBB">
            <w:pPr>
              <w:autoSpaceDE w:val="0"/>
              <w:autoSpaceDN w:val="0"/>
              <w:adjustRightInd w:val="0"/>
              <w:snapToGrid w:val="0"/>
              <w:rPr>
                <w:rFonts w:hint="eastAsia"/>
                <w:color w:val="000000" w:themeColor="text1"/>
                <w:sz w:val="21"/>
                <w:szCs w:val="21"/>
              </w:rPr>
            </w:pPr>
            <w:r>
              <w:rPr>
                <w:rFonts w:hint="eastAsia"/>
                <w:color w:val="000000" w:themeColor="text1"/>
                <w:sz w:val="21"/>
                <w:szCs w:val="21"/>
              </w:rPr>
              <w:t>其他资本公积</w:t>
            </w:r>
          </w:p>
        </w:tc>
        <w:tc>
          <w:tcPr>
            <w:tcW w:w="1044" w:type="pct"/>
            <w:tcBorders>
              <w:top w:val="nil"/>
              <w:left w:val="nil"/>
              <w:bottom w:val="single" w:sz="8" w:space="0" w:color="auto"/>
              <w:right w:val="single" w:sz="8" w:space="0" w:color="auto"/>
            </w:tcBorders>
            <w:shd w:val="clear" w:color="auto" w:fill="auto"/>
            <w:vAlign w:val="center"/>
          </w:tcPr>
          <w:p w14:paraId="32E5C147" w14:textId="77777777" w:rsidR="002D0AE7" w:rsidRDefault="00333EBB">
            <w:pPr>
              <w:autoSpaceDE w:val="0"/>
              <w:autoSpaceDN w:val="0"/>
              <w:adjustRightInd w:val="0"/>
              <w:snapToGrid w:val="0"/>
              <w:jc w:val="right"/>
              <w:rPr>
                <w:rFonts w:hint="eastAsia"/>
              </w:rPr>
            </w:pPr>
            <w:r>
              <w:rPr>
                <w:rFonts w:ascii="Times New Roman" w:hAnsi="Times New Roman" w:cs="Times New Roman"/>
                <w:color w:val="000000"/>
                <w:sz w:val="21"/>
                <w:szCs w:val="21"/>
              </w:rPr>
              <w:t>2,382,216.06</w:t>
            </w:r>
          </w:p>
        </w:tc>
        <w:tc>
          <w:tcPr>
            <w:tcW w:w="643" w:type="pct"/>
            <w:tcBorders>
              <w:top w:val="nil"/>
              <w:left w:val="nil"/>
              <w:bottom w:val="single" w:sz="8" w:space="0" w:color="auto"/>
              <w:right w:val="single" w:sz="8" w:space="0" w:color="auto"/>
            </w:tcBorders>
            <w:shd w:val="clear" w:color="auto" w:fill="auto"/>
            <w:vAlign w:val="center"/>
          </w:tcPr>
          <w:p w14:paraId="3334A247" w14:textId="77777777" w:rsidR="002D0AE7" w:rsidRDefault="00333EBB">
            <w:pPr>
              <w:autoSpaceDE w:val="0"/>
              <w:autoSpaceDN w:val="0"/>
              <w:adjustRightInd w:val="0"/>
              <w:snapToGrid w:val="0"/>
              <w:jc w:val="right"/>
              <w:rPr>
                <w:rFonts w:hint="eastAsia"/>
              </w:rPr>
            </w:pPr>
            <w:r>
              <w:rPr>
                <w:rFonts w:ascii="Times New Roman" w:hAnsi="Times New Roman" w:cs="Times New Roman"/>
                <w:color w:val="000000"/>
                <w:sz w:val="21"/>
                <w:szCs w:val="21"/>
              </w:rPr>
              <w:t>0.00</w:t>
            </w:r>
          </w:p>
        </w:tc>
        <w:tc>
          <w:tcPr>
            <w:tcW w:w="695" w:type="pct"/>
            <w:tcBorders>
              <w:top w:val="nil"/>
              <w:left w:val="nil"/>
              <w:bottom w:val="single" w:sz="8" w:space="0" w:color="auto"/>
              <w:right w:val="single" w:sz="8" w:space="0" w:color="auto"/>
            </w:tcBorders>
            <w:shd w:val="clear" w:color="auto" w:fill="auto"/>
            <w:vAlign w:val="center"/>
          </w:tcPr>
          <w:p w14:paraId="05423D56" w14:textId="77777777" w:rsidR="002D0AE7" w:rsidRDefault="00333EBB">
            <w:pPr>
              <w:autoSpaceDE w:val="0"/>
              <w:autoSpaceDN w:val="0"/>
              <w:adjustRightInd w:val="0"/>
              <w:snapToGrid w:val="0"/>
              <w:jc w:val="right"/>
              <w:rPr>
                <w:rFonts w:hint="eastAsia"/>
              </w:rPr>
            </w:pPr>
            <w:r>
              <w:rPr>
                <w:rFonts w:ascii="Times New Roman" w:hAnsi="Times New Roman" w:cs="Times New Roman"/>
                <w:color w:val="000000"/>
                <w:sz w:val="21"/>
                <w:szCs w:val="21"/>
              </w:rPr>
              <w:t>0.00</w:t>
            </w:r>
          </w:p>
        </w:tc>
        <w:tc>
          <w:tcPr>
            <w:tcW w:w="1014" w:type="pct"/>
            <w:tcBorders>
              <w:top w:val="nil"/>
              <w:left w:val="nil"/>
              <w:bottom w:val="single" w:sz="8" w:space="0" w:color="auto"/>
              <w:right w:val="single" w:sz="8" w:space="0" w:color="auto"/>
            </w:tcBorders>
            <w:shd w:val="clear" w:color="auto" w:fill="auto"/>
            <w:vAlign w:val="center"/>
          </w:tcPr>
          <w:p w14:paraId="5937C0EA" w14:textId="77777777" w:rsidR="002D0AE7" w:rsidRDefault="00333EBB">
            <w:pPr>
              <w:autoSpaceDE w:val="0"/>
              <w:autoSpaceDN w:val="0"/>
              <w:adjustRightInd w:val="0"/>
              <w:snapToGrid w:val="0"/>
              <w:jc w:val="right"/>
              <w:rPr>
                <w:rFonts w:hint="eastAsia"/>
              </w:rPr>
            </w:pPr>
            <w:r>
              <w:rPr>
                <w:rFonts w:ascii="Times New Roman" w:hAnsi="Times New Roman" w:cs="Times New Roman"/>
                <w:color w:val="000000"/>
                <w:sz w:val="21"/>
                <w:szCs w:val="21"/>
              </w:rPr>
              <w:t>2,382,216.06</w:t>
            </w:r>
          </w:p>
        </w:tc>
      </w:tr>
      <w:tr w:rsidR="002D0AE7" w14:paraId="52EDE84F" w14:textId="77777777">
        <w:tc>
          <w:tcPr>
            <w:tcW w:w="1604" w:type="pct"/>
            <w:vAlign w:val="center"/>
          </w:tcPr>
          <w:p w14:paraId="11D38A99"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合计</w:t>
            </w:r>
          </w:p>
        </w:tc>
        <w:tc>
          <w:tcPr>
            <w:tcW w:w="1044" w:type="pct"/>
            <w:tcBorders>
              <w:top w:val="nil"/>
              <w:left w:val="nil"/>
              <w:bottom w:val="single" w:sz="8" w:space="0" w:color="auto"/>
              <w:right w:val="single" w:sz="8" w:space="0" w:color="auto"/>
            </w:tcBorders>
            <w:shd w:val="clear" w:color="auto" w:fill="auto"/>
            <w:vAlign w:val="center"/>
          </w:tcPr>
          <w:p w14:paraId="7B78BD6F" w14:textId="77777777" w:rsidR="002D0AE7" w:rsidRDefault="00333EBB">
            <w:pPr>
              <w:autoSpaceDE w:val="0"/>
              <w:autoSpaceDN w:val="0"/>
              <w:adjustRightInd w:val="0"/>
              <w:snapToGrid w:val="0"/>
              <w:jc w:val="right"/>
              <w:rPr>
                <w:rFonts w:hint="eastAsia"/>
              </w:rPr>
            </w:pPr>
            <w:r>
              <w:rPr>
                <w:rFonts w:ascii="Times New Roman" w:hAnsi="Times New Roman" w:cs="Times New Roman"/>
                <w:color w:val="000000"/>
                <w:sz w:val="21"/>
                <w:szCs w:val="21"/>
              </w:rPr>
              <w:t>322,190,215.52</w:t>
            </w:r>
          </w:p>
        </w:tc>
        <w:tc>
          <w:tcPr>
            <w:tcW w:w="643" w:type="pct"/>
            <w:tcBorders>
              <w:top w:val="nil"/>
              <w:left w:val="nil"/>
              <w:bottom w:val="single" w:sz="8" w:space="0" w:color="auto"/>
              <w:right w:val="single" w:sz="8" w:space="0" w:color="auto"/>
            </w:tcBorders>
            <w:shd w:val="clear" w:color="auto" w:fill="auto"/>
            <w:vAlign w:val="center"/>
          </w:tcPr>
          <w:p w14:paraId="620851D2" w14:textId="77777777" w:rsidR="002D0AE7" w:rsidRDefault="00333EBB">
            <w:pPr>
              <w:autoSpaceDE w:val="0"/>
              <w:autoSpaceDN w:val="0"/>
              <w:adjustRightInd w:val="0"/>
              <w:snapToGrid w:val="0"/>
              <w:jc w:val="right"/>
              <w:rPr>
                <w:rFonts w:hint="eastAsia"/>
              </w:rPr>
            </w:pPr>
            <w:r>
              <w:rPr>
                <w:rFonts w:ascii="Times New Roman" w:hAnsi="Times New Roman" w:cs="Times New Roman"/>
                <w:color w:val="000000"/>
                <w:sz w:val="21"/>
                <w:szCs w:val="21"/>
              </w:rPr>
              <w:t>0.00</w:t>
            </w:r>
          </w:p>
        </w:tc>
        <w:tc>
          <w:tcPr>
            <w:tcW w:w="695" w:type="pct"/>
            <w:tcBorders>
              <w:top w:val="nil"/>
              <w:left w:val="nil"/>
              <w:bottom w:val="single" w:sz="8" w:space="0" w:color="auto"/>
              <w:right w:val="single" w:sz="8" w:space="0" w:color="auto"/>
            </w:tcBorders>
            <w:shd w:val="clear" w:color="auto" w:fill="auto"/>
            <w:vAlign w:val="center"/>
          </w:tcPr>
          <w:p w14:paraId="7437C0EC" w14:textId="77777777" w:rsidR="002D0AE7" w:rsidRDefault="00333EBB">
            <w:pPr>
              <w:autoSpaceDE w:val="0"/>
              <w:autoSpaceDN w:val="0"/>
              <w:adjustRightInd w:val="0"/>
              <w:snapToGrid w:val="0"/>
              <w:jc w:val="right"/>
              <w:rPr>
                <w:rFonts w:hint="eastAsia"/>
              </w:rPr>
            </w:pPr>
            <w:r>
              <w:rPr>
                <w:rFonts w:ascii="Times New Roman" w:hAnsi="Times New Roman" w:cs="Times New Roman"/>
                <w:color w:val="000000"/>
                <w:sz w:val="21"/>
                <w:szCs w:val="21"/>
              </w:rPr>
              <w:t>0.00</w:t>
            </w:r>
          </w:p>
        </w:tc>
        <w:tc>
          <w:tcPr>
            <w:tcW w:w="1014" w:type="pct"/>
            <w:tcBorders>
              <w:top w:val="nil"/>
              <w:left w:val="nil"/>
              <w:bottom w:val="single" w:sz="8" w:space="0" w:color="auto"/>
              <w:right w:val="single" w:sz="8" w:space="0" w:color="auto"/>
            </w:tcBorders>
            <w:shd w:val="clear" w:color="auto" w:fill="auto"/>
            <w:vAlign w:val="center"/>
          </w:tcPr>
          <w:p w14:paraId="19F1238F" w14:textId="77777777" w:rsidR="002D0AE7" w:rsidRDefault="00333EBB">
            <w:pPr>
              <w:autoSpaceDE w:val="0"/>
              <w:autoSpaceDN w:val="0"/>
              <w:adjustRightInd w:val="0"/>
              <w:snapToGrid w:val="0"/>
              <w:jc w:val="right"/>
              <w:rPr>
                <w:rFonts w:hint="eastAsia"/>
              </w:rPr>
            </w:pPr>
            <w:r>
              <w:rPr>
                <w:rFonts w:ascii="Times New Roman" w:hAnsi="Times New Roman" w:cs="Times New Roman"/>
                <w:color w:val="000000"/>
                <w:sz w:val="21"/>
                <w:szCs w:val="21"/>
              </w:rPr>
              <w:t>322,190,215.52</w:t>
            </w:r>
          </w:p>
        </w:tc>
      </w:tr>
    </w:tbl>
    <w:p w14:paraId="0BF603DB" w14:textId="77777777" w:rsidR="002D0AE7" w:rsidRDefault="00333EBB">
      <w:pPr>
        <w:rPr>
          <w:rFonts w:hint="eastAsia"/>
          <w:color w:val="000000" w:themeColor="text1"/>
        </w:rPr>
      </w:pPr>
      <w:r>
        <w:rPr>
          <w:rFonts w:hint="eastAsia"/>
          <w:color w:val="000000" w:themeColor="text1"/>
          <w:sz w:val="21"/>
          <w:szCs w:val="21"/>
        </w:rPr>
        <w:t>其他说明，包括本期增减变动情况、变动原因说明：</w:t>
      </w:r>
      <w:sdt>
        <w:sdtPr>
          <w:rPr>
            <w:color w:val="000000" w:themeColor="text1"/>
          </w:rPr>
          <w:alias w:val="资本公积说明"/>
          <w:tag w:val="_GBC_014f0762b4274266bec2aa5231aa0981"/>
          <w:id w:val="1726256188"/>
          <w:placeholder>
            <w:docPart w:val="GBC22222222222222222222222222222"/>
          </w:placeholder>
        </w:sdtPr>
        <w:sdtEndPr>
          <w:rPr>
            <w:rFonts w:hint="eastAsia"/>
          </w:rPr>
        </w:sdtEndPr>
        <w:sdtContent>
          <w:r>
            <w:rPr>
              <w:rFonts w:hint="eastAsia"/>
              <w:color w:val="000000" w:themeColor="text1"/>
            </w:rPr>
            <w:t>无</w:t>
          </w:r>
        </w:sdtContent>
      </w:sdt>
    </w:p>
    <w:p w14:paraId="77FEA446"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szCs w:val="21"/>
        </w:rPr>
        <w:t>库存股</w:t>
      </w:r>
    </w:p>
    <w:sdt>
      <w:sdtPr>
        <w:rPr>
          <w:color w:val="000000" w:themeColor="text1"/>
        </w:rPr>
        <w:alias w:val="是否适用：库存股[双击切换]"/>
        <w:tag w:val="_GBC_4aa47a6d9b1044aa8a049146d42c3e9c"/>
        <w:id w:val="333119592"/>
        <w:placeholder>
          <w:docPart w:val="GBC22222222222222222222222222222"/>
        </w:placeholder>
      </w:sdtPr>
      <w:sdtEndPr/>
      <w:sdtContent>
        <w:p w14:paraId="7EF108B6"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7FE834E9" w14:textId="77777777" w:rsidR="002D0AE7" w:rsidRDefault="00333EBB">
      <w:pPr>
        <w:pStyle w:val="11"/>
        <w:rPr>
          <w:rFonts w:hint="eastAsia"/>
        </w:rPr>
      </w:pPr>
      <w:r>
        <w:rPr>
          <w:rFonts w:hint="eastAsia"/>
        </w:rPr>
        <w:t>单位：</w:t>
      </w:r>
      <w:sdt>
        <w:sdtPr>
          <w:rPr>
            <w:rFonts w:hint="eastAsia"/>
          </w:rPr>
          <w:alias w:val="单位：财务附注：库存股"/>
          <w:tag w:val="_GBC_2ec7280618184a6dbf8764020927134a"/>
          <w:id w:val="-56626260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财务附注：库存股"/>
          <w:tag w:val="_GBC_bcf1b0dc9f44435981af64b6d69d6045"/>
          <w:id w:val="-156624398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61"/>
        <w:gridCol w:w="1789"/>
        <w:gridCol w:w="1802"/>
        <w:gridCol w:w="1803"/>
      </w:tblGrid>
      <w:tr w:rsidR="002D0AE7" w14:paraId="55E5561F" w14:textId="77777777">
        <w:sdt>
          <w:sdtPr>
            <w:rPr>
              <w:color w:val="000000" w:themeColor="text1"/>
              <w:sz w:val="21"/>
              <w:szCs w:val="21"/>
            </w:rPr>
            <w:tag w:val="_PLD_b46e14f0143b428d91ebe5e1885be6ac"/>
            <w:id w:val="217560427"/>
          </w:sdtPr>
          <w:sdtEndPr/>
          <w:sdtContent>
            <w:tc>
              <w:tcPr>
                <w:tcW w:w="945" w:type="pct"/>
                <w:shd w:val="clear" w:color="auto" w:fill="auto"/>
                <w:vAlign w:val="center"/>
              </w:tcPr>
              <w:p w14:paraId="0A42C629"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6db0262d3f8842b4a7eba04e09be9d8a"/>
            <w:id w:val="854229749"/>
          </w:sdtPr>
          <w:sdtEndPr/>
          <w:sdtContent>
            <w:tc>
              <w:tcPr>
                <w:tcW w:w="998" w:type="pct"/>
                <w:shd w:val="clear" w:color="auto" w:fill="auto"/>
                <w:vAlign w:val="center"/>
              </w:tcPr>
              <w:p w14:paraId="3EB8BB95" w14:textId="77777777" w:rsidR="002D0AE7" w:rsidRDefault="00333EBB">
                <w:pPr>
                  <w:jc w:val="center"/>
                  <w:rPr>
                    <w:rFonts w:hint="eastAsia"/>
                    <w:color w:val="000000" w:themeColor="text1"/>
                    <w:sz w:val="21"/>
                    <w:szCs w:val="21"/>
                  </w:rPr>
                </w:pPr>
                <w:r>
                  <w:rPr>
                    <w:rFonts w:hint="eastAsia"/>
                    <w:color w:val="000000" w:themeColor="text1"/>
                    <w:sz w:val="21"/>
                    <w:szCs w:val="21"/>
                  </w:rPr>
                  <w:t>期初余额</w:t>
                </w:r>
              </w:p>
            </w:tc>
          </w:sdtContent>
        </w:sdt>
        <w:sdt>
          <w:sdtPr>
            <w:rPr>
              <w:color w:val="000000" w:themeColor="text1"/>
              <w:sz w:val="21"/>
              <w:szCs w:val="21"/>
            </w:rPr>
            <w:tag w:val="_PLD_6f585f2d8d254ed6a108b145b56ff7cc"/>
            <w:id w:val="1459761390"/>
          </w:sdtPr>
          <w:sdtEndPr/>
          <w:sdtContent>
            <w:tc>
              <w:tcPr>
                <w:tcW w:w="1014" w:type="pct"/>
                <w:shd w:val="clear" w:color="auto" w:fill="auto"/>
                <w:vAlign w:val="center"/>
              </w:tcPr>
              <w:p w14:paraId="50010ECE" w14:textId="77777777" w:rsidR="002D0AE7" w:rsidRDefault="00333EBB">
                <w:pPr>
                  <w:jc w:val="center"/>
                  <w:rPr>
                    <w:rFonts w:hint="eastAsia"/>
                    <w:color w:val="000000" w:themeColor="text1"/>
                    <w:sz w:val="21"/>
                    <w:szCs w:val="21"/>
                  </w:rPr>
                </w:pPr>
                <w:r>
                  <w:rPr>
                    <w:rFonts w:hint="eastAsia"/>
                    <w:color w:val="000000" w:themeColor="text1"/>
                    <w:sz w:val="21"/>
                    <w:szCs w:val="21"/>
                  </w:rPr>
                  <w:t>本期增加</w:t>
                </w:r>
              </w:p>
            </w:tc>
          </w:sdtContent>
        </w:sdt>
        <w:sdt>
          <w:sdtPr>
            <w:rPr>
              <w:color w:val="000000" w:themeColor="text1"/>
              <w:sz w:val="21"/>
              <w:szCs w:val="21"/>
            </w:rPr>
            <w:tag w:val="_PLD_20354e1f567449a9b9021901b2252d15"/>
            <w:id w:val="1503387731"/>
          </w:sdtPr>
          <w:sdtEndPr/>
          <w:sdtContent>
            <w:tc>
              <w:tcPr>
                <w:tcW w:w="1021" w:type="pct"/>
                <w:shd w:val="clear" w:color="auto" w:fill="auto"/>
                <w:vAlign w:val="center"/>
              </w:tcPr>
              <w:p w14:paraId="53A1E035" w14:textId="77777777" w:rsidR="002D0AE7" w:rsidRDefault="00333EBB">
                <w:pPr>
                  <w:jc w:val="center"/>
                  <w:rPr>
                    <w:rFonts w:hint="eastAsia"/>
                    <w:color w:val="000000" w:themeColor="text1"/>
                    <w:sz w:val="21"/>
                    <w:szCs w:val="21"/>
                  </w:rPr>
                </w:pPr>
                <w:r>
                  <w:rPr>
                    <w:rFonts w:hint="eastAsia"/>
                    <w:color w:val="000000" w:themeColor="text1"/>
                    <w:sz w:val="21"/>
                    <w:szCs w:val="21"/>
                  </w:rPr>
                  <w:t>本期减少</w:t>
                </w:r>
              </w:p>
            </w:tc>
          </w:sdtContent>
        </w:sdt>
        <w:sdt>
          <w:sdtPr>
            <w:rPr>
              <w:color w:val="000000" w:themeColor="text1"/>
              <w:sz w:val="21"/>
              <w:szCs w:val="21"/>
            </w:rPr>
            <w:tag w:val="_PLD_94daf05bbefc4d829f1bc3b83d11b6ca"/>
            <w:id w:val="1125353426"/>
          </w:sdtPr>
          <w:sdtEndPr/>
          <w:sdtContent>
            <w:tc>
              <w:tcPr>
                <w:tcW w:w="1022" w:type="pct"/>
                <w:shd w:val="clear" w:color="auto" w:fill="auto"/>
                <w:vAlign w:val="center"/>
              </w:tcPr>
              <w:p w14:paraId="04233643"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tr>
      <w:tr w:rsidR="002D0AE7" w14:paraId="1F3EC3EB" w14:textId="77777777">
        <w:tc>
          <w:tcPr>
            <w:tcW w:w="945" w:type="pct"/>
            <w:shd w:val="clear" w:color="auto" w:fill="auto"/>
          </w:tcPr>
          <w:p w14:paraId="5A25BC6D" w14:textId="77777777" w:rsidR="002D0AE7" w:rsidRDefault="00333EBB">
            <w:pPr>
              <w:rPr>
                <w:rFonts w:hint="eastAsia"/>
                <w:sz w:val="21"/>
                <w:szCs w:val="21"/>
              </w:rPr>
            </w:pPr>
            <w:r>
              <w:rPr>
                <w:rFonts w:hint="eastAsia"/>
                <w:sz w:val="21"/>
                <w:szCs w:val="21"/>
              </w:rPr>
              <w:t>库存股</w:t>
            </w:r>
          </w:p>
        </w:tc>
        <w:tc>
          <w:tcPr>
            <w:tcW w:w="998" w:type="pct"/>
            <w:shd w:val="clear" w:color="auto" w:fill="auto"/>
            <w:vAlign w:val="center"/>
          </w:tcPr>
          <w:p w14:paraId="74BA8147" w14:textId="77777777" w:rsidR="002D0AE7" w:rsidRDefault="00333EBB">
            <w:pPr>
              <w:jc w:val="right"/>
              <w:rPr>
                <w:rFonts w:hint="eastAsia"/>
                <w:sz w:val="21"/>
                <w:szCs w:val="21"/>
              </w:rPr>
            </w:pPr>
            <w:r>
              <w:rPr>
                <w:rFonts w:ascii="Times New Roman" w:hAnsi="Times New Roman" w:cs="Times New Roman"/>
                <w:color w:val="000000"/>
                <w:sz w:val="21"/>
                <w:szCs w:val="21"/>
              </w:rPr>
              <w:t>4,726,260.00</w:t>
            </w:r>
          </w:p>
        </w:tc>
        <w:tc>
          <w:tcPr>
            <w:tcW w:w="1014" w:type="pct"/>
            <w:shd w:val="clear" w:color="auto" w:fill="auto"/>
            <w:vAlign w:val="center"/>
          </w:tcPr>
          <w:p w14:paraId="31FE7F46" w14:textId="77777777" w:rsidR="002D0AE7" w:rsidRDefault="00333EBB">
            <w:pPr>
              <w:jc w:val="right"/>
              <w:rPr>
                <w:rFonts w:hint="eastAsia"/>
                <w:sz w:val="21"/>
                <w:szCs w:val="21"/>
              </w:rPr>
            </w:pPr>
            <w:r>
              <w:rPr>
                <w:rFonts w:ascii="Times New Roman" w:hAnsi="Times New Roman" w:cs="Times New Roman"/>
                <w:color w:val="000000"/>
                <w:sz w:val="21"/>
                <w:szCs w:val="21"/>
              </w:rPr>
              <w:t>0.00</w:t>
            </w:r>
          </w:p>
        </w:tc>
        <w:tc>
          <w:tcPr>
            <w:tcW w:w="1021" w:type="pct"/>
            <w:shd w:val="clear" w:color="auto" w:fill="auto"/>
            <w:vAlign w:val="center"/>
          </w:tcPr>
          <w:p w14:paraId="0B656B49" w14:textId="77777777" w:rsidR="002D0AE7" w:rsidRDefault="00333EBB">
            <w:pPr>
              <w:jc w:val="right"/>
              <w:rPr>
                <w:rFonts w:hint="eastAsia"/>
                <w:sz w:val="21"/>
                <w:szCs w:val="21"/>
              </w:rPr>
            </w:pPr>
            <w:r>
              <w:rPr>
                <w:rFonts w:ascii="Times New Roman" w:hAnsi="Times New Roman" w:cs="Times New Roman"/>
                <w:color w:val="000000"/>
                <w:sz w:val="21"/>
                <w:szCs w:val="21"/>
              </w:rPr>
              <w:t>0.00</w:t>
            </w:r>
          </w:p>
        </w:tc>
        <w:tc>
          <w:tcPr>
            <w:tcW w:w="1022" w:type="pct"/>
            <w:shd w:val="clear" w:color="auto" w:fill="auto"/>
            <w:vAlign w:val="center"/>
          </w:tcPr>
          <w:p w14:paraId="4CD1949A" w14:textId="77777777" w:rsidR="002D0AE7" w:rsidRDefault="00333EBB">
            <w:pPr>
              <w:jc w:val="right"/>
              <w:rPr>
                <w:rFonts w:hint="eastAsia"/>
                <w:sz w:val="21"/>
                <w:szCs w:val="21"/>
              </w:rPr>
            </w:pPr>
            <w:r>
              <w:rPr>
                <w:rFonts w:ascii="Times New Roman" w:hAnsi="Times New Roman" w:cs="Times New Roman"/>
                <w:color w:val="000000"/>
                <w:sz w:val="21"/>
                <w:szCs w:val="21"/>
              </w:rPr>
              <w:t>4,726,260.00</w:t>
            </w:r>
          </w:p>
        </w:tc>
      </w:tr>
      <w:tr w:rsidR="002D0AE7" w14:paraId="68FD3C66" w14:textId="77777777">
        <w:tc>
          <w:tcPr>
            <w:tcW w:w="945" w:type="pct"/>
            <w:shd w:val="clear" w:color="auto" w:fill="auto"/>
            <w:vAlign w:val="center"/>
          </w:tcPr>
          <w:p w14:paraId="45EEDE65"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998" w:type="pct"/>
            <w:shd w:val="clear" w:color="auto" w:fill="auto"/>
            <w:vAlign w:val="center"/>
          </w:tcPr>
          <w:p w14:paraId="77D6A23A" w14:textId="77777777" w:rsidR="002D0AE7" w:rsidRDefault="00333EBB">
            <w:pPr>
              <w:jc w:val="right"/>
              <w:rPr>
                <w:rFonts w:hint="eastAsia"/>
                <w:sz w:val="21"/>
                <w:szCs w:val="21"/>
              </w:rPr>
            </w:pPr>
            <w:r>
              <w:rPr>
                <w:rFonts w:ascii="Times New Roman" w:hAnsi="Times New Roman" w:cs="Times New Roman"/>
                <w:color w:val="000000"/>
                <w:sz w:val="21"/>
                <w:szCs w:val="21"/>
              </w:rPr>
              <w:t>4,726,260.00</w:t>
            </w:r>
          </w:p>
        </w:tc>
        <w:tc>
          <w:tcPr>
            <w:tcW w:w="1014" w:type="pct"/>
            <w:shd w:val="clear" w:color="auto" w:fill="auto"/>
            <w:vAlign w:val="center"/>
          </w:tcPr>
          <w:p w14:paraId="001A8D9A" w14:textId="77777777" w:rsidR="002D0AE7" w:rsidRDefault="00333EBB">
            <w:pPr>
              <w:jc w:val="right"/>
              <w:rPr>
                <w:rFonts w:hint="eastAsia"/>
                <w:sz w:val="21"/>
                <w:szCs w:val="21"/>
              </w:rPr>
            </w:pPr>
            <w:r>
              <w:rPr>
                <w:rFonts w:ascii="Times New Roman" w:hAnsi="Times New Roman" w:cs="Times New Roman"/>
                <w:color w:val="000000"/>
                <w:sz w:val="21"/>
                <w:szCs w:val="21"/>
              </w:rPr>
              <w:t>0.00</w:t>
            </w:r>
          </w:p>
        </w:tc>
        <w:tc>
          <w:tcPr>
            <w:tcW w:w="1021" w:type="pct"/>
            <w:shd w:val="clear" w:color="auto" w:fill="auto"/>
            <w:vAlign w:val="center"/>
          </w:tcPr>
          <w:p w14:paraId="15B6EA3F" w14:textId="77777777" w:rsidR="002D0AE7" w:rsidRDefault="00333EBB">
            <w:pPr>
              <w:jc w:val="right"/>
              <w:rPr>
                <w:rFonts w:hint="eastAsia"/>
                <w:sz w:val="21"/>
                <w:szCs w:val="21"/>
              </w:rPr>
            </w:pPr>
            <w:r>
              <w:rPr>
                <w:rFonts w:ascii="Times New Roman" w:hAnsi="Times New Roman" w:cs="Times New Roman"/>
                <w:color w:val="000000"/>
                <w:sz w:val="21"/>
                <w:szCs w:val="21"/>
              </w:rPr>
              <w:t>0.00</w:t>
            </w:r>
          </w:p>
        </w:tc>
        <w:tc>
          <w:tcPr>
            <w:tcW w:w="1022" w:type="pct"/>
            <w:shd w:val="clear" w:color="auto" w:fill="auto"/>
            <w:vAlign w:val="center"/>
          </w:tcPr>
          <w:p w14:paraId="25452731" w14:textId="77777777" w:rsidR="002D0AE7" w:rsidRDefault="00333EBB">
            <w:pPr>
              <w:jc w:val="right"/>
              <w:rPr>
                <w:rFonts w:hint="eastAsia"/>
                <w:sz w:val="21"/>
                <w:szCs w:val="21"/>
              </w:rPr>
            </w:pPr>
            <w:r>
              <w:rPr>
                <w:rFonts w:ascii="Times New Roman" w:hAnsi="Times New Roman" w:cs="Times New Roman"/>
                <w:color w:val="000000"/>
                <w:sz w:val="21"/>
                <w:szCs w:val="21"/>
              </w:rPr>
              <w:t>4,726,260.00</w:t>
            </w:r>
          </w:p>
        </w:tc>
      </w:tr>
    </w:tbl>
    <w:p w14:paraId="560310E9" w14:textId="77777777" w:rsidR="002D0AE7" w:rsidRDefault="00333EBB">
      <w:pPr>
        <w:rPr>
          <w:rFonts w:hint="eastAsia"/>
          <w:b/>
          <w:color w:val="000000" w:themeColor="text1"/>
        </w:rPr>
      </w:pPr>
      <w:r>
        <w:rPr>
          <w:rFonts w:hint="eastAsia"/>
          <w:color w:val="000000" w:themeColor="text1"/>
          <w:sz w:val="21"/>
          <w:szCs w:val="21"/>
        </w:rPr>
        <w:t>其他说明，包括本期增减变动情况、变动原因说明：</w:t>
      </w:r>
      <w:sdt>
        <w:sdtPr>
          <w:rPr>
            <w:color w:val="000000" w:themeColor="text1"/>
          </w:rPr>
          <w:alias w:val="库存股情况说明"/>
          <w:tag w:val="_GBC_aeb361adcbde44daaa852df07259812c"/>
          <w:id w:val="-729535779"/>
          <w:placeholder>
            <w:docPart w:val="GBC22222222222222222222222222222"/>
          </w:placeholder>
        </w:sdtPr>
        <w:sdtEndPr/>
        <w:sdtContent>
          <w:r>
            <w:rPr>
              <w:rFonts w:hint="eastAsia"/>
              <w:color w:val="000000" w:themeColor="text1"/>
            </w:rPr>
            <w:t>无</w:t>
          </w:r>
        </w:sdtContent>
      </w:sdt>
    </w:p>
    <w:p w14:paraId="4EAC9E26" w14:textId="77777777" w:rsidR="002D0AE7" w:rsidRDefault="00333EBB">
      <w:pPr>
        <w:pStyle w:val="3"/>
        <w:numPr>
          <w:ilvl w:val="0"/>
          <w:numId w:val="43"/>
        </w:numPr>
        <w:tabs>
          <w:tab w:val="left" w:pos="504"/>
        </w:tabs>
        <w:rPr>
          <w:rFonts w:ascii="宋体" w:hAnsi="宋体" w:hint="eastAsia"/>
          <w:color w:val="000000" w:themeColor="text1"/>
          <w:szCs w:val="21"/>
        </w:rPr>
      </w:pPr>
      <w:bookmarkStart w:id="213" w:name="_Hlk10537776"/>
      <w:r>
        <w:rPr>
          <w:rFonts w:ascii="宋体" w:hAnsi="宋体" w:hint="eastAsia"/>
          <w:color w:val="000000" w:themeColor="text1"/>
          <w:szCs w:val="21"/>
        </w:rPr>
        <w:t>其他综合收益</w:t>
      </w:r>
    </w:p>
    <w:sdt>
      <w:sdtPr>
        <w:rPr>
          <w:color w:val="000000" w:themeColor="text1"/>
        </w:rPr>
        <w:alias w:val="是否适用：其他综合收益[双击切换]"/>
        <w:tag w:val="_GBC_a53cc67f2be24dfbbe3af1b633d9bd6d"/>
        <w:id w:val="-1560633026"/>
        <w:placeholder>
          <w:docPart w:val="GBC22222222222222222222222222222"/>
        </w:placeholder>
      </w:sdtPr>
      <w:sdtEndPr/>
      <w:sdtContent>
        <w:p w14:paraId="4F3BFA09"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4AF40A21"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其他综合收益情况"/>
          <w:tag w:val="_GBC_3fcad98da74248809a759048ca194814"/>
          <w:id w:val="54488294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其他综合收益情况"/>
          <w:tag w:val="_GBC_3909f37aa0cc4eda82ff1503a6abe503"/>
          <w:id w:val="-166069579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1251"/>
        <w:gridCol w:w="1161"/>
        <w:gridCol w:w="576"/>
        <w:gridCol w:w="577"/>
        <w:gridCol w:w="1026"/>
        <w:gridCol w:w="1161"/>
        <w:gridCol w:w="531"/>
        <w:gridCol w:w="1251"/>
      </w:tblGrid>
      <w:tr w:rsidR="002D0AE7" w14:paraId="7CA27E8C" w14:textId="77777777">
        <w:trPr>
          <w:trHeight w:val="215"/>
          <w:jc w:val="center"/>
        </w:trPr>
        <w:sdt>
          <w:sdtPr>
            <w:rPr>
              <w:color w:val="000000" w:themeColor="text1"/>
              <w:sz w:val="18"/>
              <w:szCs w:val="18"/>
            </w:rPr>
            <w:tag w:val="_PLD_965475dfd86e41c29d1b9f1fdff70ee0"/>
            <w:id w:val="-379780924"/>
          </w:sdtPr>
          <w:sdtEndPr/>
          <w:sdtContent>
            <w:tc>
              <w:tcPr>
                <w:tcW w:w="1410" w:type="pct"/>
                <w:vMerge w:val="restart"/>
                <w:shd w:val="clear" w:color="auto" w:fill="auto"/>
                <w:vAlign w:val="center"/>
              </w:tcPr>
              <w:p w14:paraId="0F356C2F" w14:textId="77777777" w:rsidR="002D0AE7" w:rsidRDefault="00333EBB">
                <w:pPr>
                  <w:jc w:val="center"/>
                  <w:rPr>
                    <w:rFonts w:hint="eastAsia"/>
                    <w:color w:val="000000" w:themeColor="text1"/>
                    <w:sz w:val="18"/>
                    <w:szCs w:val="18"/>
                  </w:rPr>
                </w:pPr>
                <w:r>
                  <w:rPr>
                    <w:rFonts w:hint="eastAsia"/>
                    <w:color w:val="000000" w:themeColor="text1"/>
                    <w:sz w:val="18"/>
                    <w:szCs w:val="18"/>
                  </w:rPr>
                  <w:t>项目</w:t>
                </w:r>
              </w:p>
            </w:tc>
          </w:sdtContent>
        </w:sdt>
        <w:sdt>
          <w:sdtPr>
            <w:rPr>
              <w:color w:val="000000" w:themeColor="text1"/>
              <w:sz w:val="18"/>
              <w:szCs w:val="18"/>
            </w:rPr>
            <w:tag w:val="_PLD_8a675a3cac5041d29cfb92203b87e9a6"/>
            <w:id w:val="-1673875359"/>
          </w:sdtPr>
          <w:sdtEndPr/>
          <w:sdtContent>
            <w:tc>
              <w:tcPr>
                <w:tcW w:w="596" w:type="pct"/>
                <w:vMerge w:val="restart"/>
                <w:shd w:val="clear" w:color="auto" w:fill="auto"/>
                <w:vAlign w:val="center"/>
              </w:tcPr>
              <w:p w14:paraId="0F83F289" w14:textId="77777777" w:rsidR="002D0AE7" w:rsidRDefault="00333EBB">
                <w:pPr>
                  <w:jc w:val="center"/>
                  <w:rPr>
                    <w:rFonts w:hint="eastAsia"/>
                    <w:color w:val="000000" w:themeColor="text1"/>
                    <w:sz w:val="18"/>
                    <w:szCs w:val="18"/>
                  </w:rPr>
                </w:pPr>
                <w:r>
                  <w:rPr>
                    <w:rFonts w:hint="eastAsia"/>
                    <w:color w:val="000000" w:themeColor="text1"/>
                    <w:sz w:val="18"/>
                    <w:szCs w:val="18"/>
                  </w:rPr>
                  <w:t>期初</w:t>
                </w:r>
              </w:p>
              <w:p w14:paraId="53FC32BB" w14:textId="77777777" w:rsidR="002D0AE7" w:rsidRDefault="00333EBB">
                <w:pPr>
                  <w:jc w:val="center"/>
                  <w:rPr>
                    <w:rFonts w:hint="eastAsia"/>
                    <w:color w:val="000000" w:themeColor="text1"/>
                    <w:sz w:val="18"/>
                    <w:szCs w:val="18"/>
                  </w:rPr>
                </w:pPr>
                <w:r>
                  <w:rPr>
                    <w:rFonts w:hint="eastAsia"/>
                    <w:color w:val="000000" w:themeColor="text1"/>
                    <w:sz w:val="18"/>
                    <w:szCs w:val="18"/>
                  </w:rPr>
                  <w:t>余额</w:t>
                </w:r>
              </w:p>
            </w:tc>
          </w:sdtContent>
        </w:sdt>
        <w:sdt>
          <w:sdtPr>
            <w:rPr>
              <w:color w:val="000000" w:themeColor="text1"/>
              <w:sz w:val="18"/>
              <w:szCs w:val="18"/>
            </w:rPr>
            <w:tag w:val="_PLD_5ff455f3c2164019b5e694c1e00e4104"/>
            <w:id w:val="-743187049"/>
          </w:sdtPr>
          <w:sdtEndPr/>
          <w:sdtContent>
            <w:tc>
              <w:tcPr>
                <w:tcW w:w="2398" w:type="pct"/>
                <w:gridSpan w:val="6"/>
                <w:shd w:val="clear" w:color="auto" w:fill="auto"/>
                <w:vAlign w:val="center"/>
              </w:tcPr>
              <w:p w14:paraId="0D331C49" w14:textId="77777777" w:rsidR="002D0AE7" w:rsidRDefault="00333EBB">
                <w:pPr>
                  <w:jc w:val="center"/>
                  <w:rPr>
                    <w:rFonts w:hint="eastAsia"/>
                    <w:color w:val="000000" w:themeColor="text1"/>
                    <w:sz w:val="18"/>
                    <w:szCs w:val="18"/>
                  </w:rPr>
                </w:pPr>
                <w:r>
                  <w:rPr>
                    <w:rFonts w:hint="eastAsia"/>
                    <w:color w:val="000000" w:themeColor="text1"/>
                    <w:sz w:val="18"/>
                    <w:szCs w:val="18"/>
                  </w:rPr>
                  <w:t>本期发生金额</w:t>
                </w:r>
              </w:p>
            </w:tc>
          </w:sdtContent>
        </w:sdt>
        <w:sdt>
          <w:sdtPr>
            <w:rPr>
              <w:color w:val="000000" w:themeColor="text1"/>
              <w:sz w:val="18"/>
              <w:szCs w:val="18"/>
            </w:rPr>
            <w:tag w:val="_PLD_e74e1b8e6f7d453b8d88ebfc65c302f4"/>
            <w:id w:val="1576088034"/>
          </w:sdtPr>
          <w:sdtEndPr/>
          <w:sdtContent>
            <w:tc>
              <w:tcPr>
                <w:tcW w:w="596" w:type="pct"/>
                <w:vMerge w:val="restart"/>
                <w:shd w:val="clear" w:color="auto" w:fill="auto"/>
                <w:vAlign w:val="center"/>
              </w:tcPr>
              <w:p w14:paraId="7CD0C2A8" w14:textId="77777777" w:rsidR="002D0AE7" w:rsidRDefault="00333EBB">
                <w:pPr>
                  <w:jc w:val="center"/>
                  <w:rPr>
                    <w:rFonts w:hint="eastAsia"/>
                    <w:color w:val="000000" w:themeColor="text1"/>
                    <w:sz w:val="18"/>
                    <w:szCs w:val="18"/>
                  </w:rPr>
                </w:pPr>
                <w:r>
                  <w:rPr>
                    <w:rFonts w:hint="eastAsia"/>
                    <w:color w:val="000000" w:themeColor="text1"/>
                    <w:sz w:val="18"/>
                    <w:szCs w:val="18"/>
                  </w:rPr>
                  <w:t>期末</w:t>
                </w:r>
              </w:p>
              <w:p w14:paraId="6FC89253" w14:textId="77777777" w:rsidR="002D0AE7" w:rsidRDefault="00333EBB">
                <w:pPr>
                  <w:jc w:val="center"/>
                  <w:rPr>
                    <w:rFonts w:hint="eastAsia"/>
                    <w:color w:val="000000" w:themeColor="text1"/>
                    <w:sz w:val="18"/>
                    <w:szCs w:val="18"/>
                  </w:rPr>
                </w:pPr>
                <w:r>
                  <w:rPr>
                    <w:rFonts w:hint="eastAsia"/>
                    <w:color w:val="000000" w:themeColor="text1"/>
                    <w:sz w:val="18"/>
                    <w:szCs w:val="18"/>
                  </w:rPr>
                  <w:t>余额</w:t>
                </w:r>
              </w:p>
            </w:tc>
          </w:sdtContent>
        </w:sdt>
      </w:tr>
      <w:tr w:rsidR="002D0AE7" w14:paraId="581B6339" w14:textId="77777777">
        <w:trPr>
          <w:jc w:val="center"/>
        </w:trPr>
        <w:tc>
          <w:tcPr>
            <w:tcW w:w="1410" w:type="pct"/>
            <w:vMerge/>
            <w:shd w:val="clear" w:color="auto" w:fill="auto"/>
          </w:tcPr>
          <w:p w14:paraId="00DDBF91" w14:textId="77777777" w:rsidR="002D0AE7" w:rsidRDefault="002D0AE7">
            <w:pPr>
              <w:jc w:val="center"/>
              <w:rPr>
                <w:rFonts w:hint="eastAsia"/>
                <w:color w:val="000000" w:themeColor="text1"/>
                <w:sz w:val="18"/>
                <w:szCs w:val="18"/>
              </w:rPr>
            </w:pPr>
          </w:p>
        </w:tc>
        <w:tc>
          <w:tcPr>
            <w:tcW w:w="596" w:type="pct"/>
            <w:vMerge/>
            <w:shd w:val="clear" w:color="auto" w:fill="auto"/>
          </w:tcPr>
          <w:p w14:paraId="560AD725" w14:textId="77777777" w:rsidR="002D0AE7" w:rsidRDefault="002D0AE7">
            <w:pPr>
              <w:jc w:val="center"/>
              <w:rPr>
                <w:rFonts w:hint="eastAsia"/>
                <w:color w:val="000000" w:themeColor="text1"/>
                <w:sz w:val="18"/>
                <w:szCs w:val="18"/>
              </w:rPr>
            </w:pPr>
          </w:p>
        </w:tc>
        <w:sdt>
          <w:sdtPr>
            <w:rPr>
              <w:color w:val="000000" w:themeColor="text1"/>
              <w:sz w:val="18"/>
              <w:szCs w:val="18"/>
            </w:rPr>
            <w:tag w:val="_PLD_17c016c4311444368218ab16d2bc7a4c"/>
            <w:id w:val="-80759769"/>
          </w:sdtPr>
          <w:sdtEndPr/>
          <w:sdtContent>
            <w:tc>
              <w:tcPr>
                <w:tcW w:w="553" w:type="pct"/>
                <w:shd w:val="clear" w:color="auto" w:fill="auto"/>
                <w:vAlign w:val="center"/>
              </w:tcPr>
              <w:p w14:paraId="78EC8C7E" w14:textId="77777777" w:rsidR="002D0AE7" w:rsidRDefault="00333EBB">
                <w:pPr>
                  <w:jc w:val="center"/>
                  <w:rPr>
                    <w:rFonts w:hint="eastAsia"/>
                    <w:color w:val="000000" w:themeColor="text1"/>
                    <w:sz w:val="18"/>
                    <w:szCs w:val="18"/>
                  </w:rPr>
                </w:pPr>
                <w:r>
                  <w:rPr>
                    <w:rFonts w:hint="eastAsia"/>
                    <w:color w:val="000000" w:themeColor="text1"/>
                    <w:sz w:val="18"/>
                    <w:szCs w:val="18"/>
                  </w:rPr>
                  <w:t>本期所得税前发生额</w:t>
                </w:r>
              </w:p>
            </w:tc>
          </w:sdtContent>
        </w:sdt>
        <w:sdt>
          <w:sdtPr>
            <w:rPr>
              <w:color w:val="000000" w:themeColor="text1"/>
              <w:sz w:val="18"/>
              <w:szCs w:val="18"/>
            </w:rPr>
            <w:tag w:val="_PLD_8f95da21a802457ea1d7d10d5c90efb0"/>
            <w:id w:val="-1526780479"/>
          </w:sdtPr>
          <w:sdtEndPr/>
          <w:sdtContent>
            <w:tc>
              <w:tcPr>
                <w:tcW w:w="275" w:type="pct"/>
                <w:shd w:val="clear" w:color="auto" w:fill="auto"/>
                <w:vAlign w:val="center"/>
              </w:tcPr>
              <w:p w14:paraId="25D6B237" w14:textId="77777777" w:rsidR="002D0AE7" w:rsidRDefault="00333EBB">
                <w:pPr>
                  <w:jc w:val="center"/>
                  <w:rPr>
                    <w:rFonts w:hint="eastAsia"/>
                    <w:color w:val="000000" w:themeColor="text1"/>
                    <w:sz w:val="18"/>
                    <w:szCs w:val="18"/>
                  </w:rPr>
                </w:pPr>
                <w:r>
                  <w:rPr>
                    <w:rFonts w:hint="eastAsia"/>
                    <w:color w:val="000000" w:themeColor="text1"/>
                    <w:sz w:val="18"/>
                    <w:szCs w:val="18"/>
                  </w:rPr>
                  <w:t>减：前期计入其他综合收益当期转入损益</w:t>
                </w:r>
              </w:p>
            </w:tc>
          </w:sdtContent>
        </w:sdt>
        <w:tc>
          <w:tcPr>
            <w:tcW w:w="275" w:type="pct"/>
          </w:tcPr>
          <w:sdt>
            <w:sdtPr>
              <w:rPr>
                <w:rFonts w:hint="eastAsia"/>
                <w:color w:val="000000" w:themeColor="text1"/>
                <w:sz w:val="18"/>
                <w:szCs w:val="18"/>
              </w:rPr>
              <w:tag w:val="_PLD_7f99e647a5874f909c48e6c0bbc8d50a"/>
              <w:id w:val="-1954087321"/>
            </w:sdtPr>
            <w:sdtEndPr/>
            <w:sdtContent>
              <w:p w14:paraId="387FA5F2" w14:textId="77777777" w:rsidR="002D0AE7" w:rsidRDefault="00333EBB">
                <w:pPr>
                  <w:jc w:val="center"/>
                  <w:rPr>
                    <w:rFonts w:hint="eastAsia"/>
                    <w:color w:val="000000" w:themeColor="text1"/>
                    <w:sz w:val="18"/>
                    <w:szCs w:val="18"/>
                  </w:rPr>
                </w:pPr>
                <w:r>
                  <w:rPr>
                    <w:rFonts w:hint="eastAsia"/>
                    <w:color w:val="000000" w:themeColor="text1"/>
                    <w:sz w:val="18"/>
                    <w:szCs w:val="18"/>
                  </w:rPr>
                  <w:t>减：前期计入其他综合收益当期转入留存收益</w:t>
                </w:r>
              </w:p>
            </w:sdtContent>
          </w:sdt>
        </w:tc>
        <w:sdt>
          <w:sdtPr>
            <w:rPr>
              <w:color w:val="000000" w:themeColor="text1"/>
              <w:sz w:val="18"/>
              <w:szCs w:val="18"/>
            </w:rPr>
            <w:tag w:val="_PLD_6ee499a1144a462687fb064cc4588343"/>
            <w:id w:val="510883486"/>
          </w:sdtPr>
          <w:sdtEndPr/>
          <w:sdtContent>
            <w:tc>
              <w:tcPr>
                <w:tcW w:w="489" w:type="pct"/>
                <w:shd w:val="clear" w:color="auto" w:fill="auto"/>
                <w:vAlign w:val="center"/>
              </w:tcPr>
              <w:p w14:paraId="140E1713" w14:textId="77777777" w:rsidR="002D0AE7" w:rsidRDefault="00333EBB">
                <w:pPr>
                  <w:jc w:val="center"/>
                  <w:rPr>
                    <w:rFonts w:hint="eastAsia"/>
                    <w:color w:val="000000" w:themeColor="text1"/>
                    <w:sz w:val="18"/>
                    <w:szCs w:val="18"/>
                  </w:rPr>
                </w:pPr>
                <w:r>
                  <w:rPr>
                    <w:rFonts w:hint="eastAsia"/>
                    <w:color w:val="000000" w:themeColor="text1"/>
                    <w:sz w:val="18"/>
                    <w:szCs w:val="18"/>
                  </w:rPr>
                  <w:t>减：所得税费用</w:t>
                </w:r>
              </w:p>
            </w:tc>
          </w:sdtContent>
        </w:sdt>
        <w:sdt>
          <w:sdtPr>
            <w:rPr>
              <w:color w:val="000000" w:themeColor="text1"/>
              <w:sz w:val="18"/>
              <w:szCs w:val="18"/>
            </w:rPr>
            <w:tag w:val="_PLD_97d686c5a0f042d49d097afc52b9ab56"/>
            <w:id w:val="-201410702"/>
          </w:sdtPr>
          <w:sdtEndPr/>
          <w:sdtContent>
            <w:tc>
              <w:tcPr>
                <w:tcW w:w="553" w:type="pct"/>
                <w:shd w:val="clear" w:color="auto" w:fill="auto"/>
                <w:vAlign w:val="center"/>
              </w:tcPr>
              <w:p w14:paraId="7B97E56D" w14:textId="77777777" w:rsidR="002D0AE7" w:rsidRDefault="00333EBB">
                <w:pPr>
                  <w:jc w:val="center"/>
                  <w:rPr>
                    <w:rFonts w:hint="eastAsia"/>
                    <w:color w:val="000000" w:themeColor="text1"/>
                    <w:sz w:val="18"/>
                    <w:szCs w:val="18"/>
                  </w:rPr>
                </w:pPr>
                <w:r>
                  <w:rPr>
                    <w:rFonts w:hint="eastAsia"/>
                    <w:color w:val="000000" w:themeColor="text1"/>
                    <w:sz w:val="18"/>
                    <w:szCs w:val="18"/>
                  </w:rPr>
                  <w:t>税后归属于母公司</w:t>
                </w:r>
              </w:p>
            </w:tc>
          </w:sdtContent>
        </w:sdt>
        <w:sdt>
          <w:sdtPr>
            <w:rPr>
              <w:color w:val="000000" w:themeColor="text1"/>
              <w:sz w:val="18"/>
              <w:szCs w:val="18"/>
            </w:rPr>
            <w:tag w:val="_PLD_dc8c642f883f4ca1b1bbacf56198209b"/>
            <w:id w:val="-84459157"/>
          </w:sdtPr>
          <w:sdtEndPr/>
          <w:sdtContent>
            <w:tc>
              <w:tcPr>
                <w:tcW w:w="253" w:type="pct"/>
                <w:shd w:val="clear" w:color="auto" w:fill="auto"/>
                <w:vAlign w:val="center"/>
              </w:tcPr>
              <w:p w14:paraId="0D498947" w14:textId="77777777" w:rsidR="002D0AE7" w:rsidRDefault="00333EBB">
                <w:pPr>
                  <w:jc w:val="center"/>
                  <w:rPr>
                    <w:rFonts w:hint="eastAsia"/>
                    <w:color w:val="000000" w:themeColor="text1"/>
                    <w:sz w:val="18"/>
                    <w:szCs w:val="18"/>
                  </w:rPr>
                </w:pPr>
                <w:r>
                  <w:rPr>
                    <w:rFonts w:hint="eastAsia"/>
                    <w:color w:val="000000" w:themeColor="text1"/>
                    <w:sz w:val="18"/>
                    <w:szCs w:val="18"/>
                  </w:rPr>
                  <w:t>税后归属于少数股东</w:t>
                </w:r>
              </w:p>
            </w:tc>
          </w:sdtContent>
        </w:sdt>
        <w:tc>
          <w:tcPr>
            <w:tcW w:w="596" w:type="pct"/>
            <w:vMerge/>
            <w:shd w:val="clear" w:color="auto" w:fill="auto"/>
          </w:tcPr>
          <w:p w14:paraId="592413E0" w14:textId="77777777" w:rsidR="002D0AE7" w:rsidRDefault="002D0AE7">
            <w:pPr>
              <w:jc w:val="center"/>
              <w:rPr>
                <w:rFonts w:hint="eastAsia"/>
                <w:color w:val="000000" w:themeColor="text1"/>
                <w:sz w:val="18"/>
                <w:szCs w:val="18"/>
              </w:rPr>
            </w:pPr>
          </w:p>
        </w:tc>
      </w:tr>
      <w:tr w:rsidR="002D0AE7" w14:paraId="59B5DC07" w14:textId="77777777">
        <w:trPr>
          <w:jc w:val="center"/>
        </w:trPr>
        <w:tc>
          <w:tcPr>
            <w:tcW w:w="1410" w:type="pct"/>
            <w:shd w:val="clear" w:color="auto" w:fill="auto"/>
            <w:vAlign w:val="center"/>
          </w:tcPr>
          <w:p w14:paraId="2DBA5C4C" w14:textId="77777777" w:rsidR="002D0AE7" w:rsidRDefault="00333EBB">
            <w:pPr>
              <w:rPr>
                <w:rFonts w:hint="eastAsia"/>
                <w:color w:val="000000" w:themeColor="text1"/>
                <w:sz w:val="18"/>
                <w:szCs w:val="18"/>
              </w:rPr>
            </w:pPr>
            <w:r>
              <w:rPr>
                <w:rFonts w:hint="eastAsia"/>
                <w:color w:val="000000" w:themeColor="text1"/>
                <w:sz w:val="18"/>
                <w:szCs w:val="18"/>
              </w:rPr>
              <w:t>一、不能重分类进损益的其他综合收益</w:t>
            </w:r>
          </w:p>
        </w:tc>
        <w:tc>
          <w:tcPr>
            <w:tcW w:w="596" w:type="pct"/>
            <w:shd w:val="clear" w:color="auto" w:fill="auto"/>
            <w:vAlign w:val="center"/>
          </w:tcPr>
          <w:p w14:paraId="61739A3C" w14:textId="77777777" w:rsidR="002D0AE7" w:rsidRDefault="00333EBB">
            <w:pPr>
              <w:jc w:val="right"/>
              <w:rPr>
                <w:rFonts w:hint="eastAsia"/>
                <w:sz w:val="18"/>
                <w:szCs w:val="18"/>
              </w:rPr>
            </w:pPr>
            <w:r>
              <w:rPr>
                <w:rFonts w:ascii="Times New Roman" w:hAnsi="Times New Roman" w:cs="Times New Roman"/>
                <w:color w:val="000000"/>
                <w:sz w:val="18"/>
                <w:szCs w:val="18"/>
              </w:rPr>
              <w:t>47,301,440.99</w:t>
            </w:r>
          </w:p>
        </w:tc>
        <w:tc>
          <w:tcPr>
            <w:tcW w:w="553" w:type="pct"/>
            <w:shd w:val="clear" w:color="auto" w:fill="auto"/>
            <w:vAlign w:val="center"/>
          </w:tcPr>
          <w:p w14:paraId="2AF0ECB4" w14:textId="77777777" w:rsidR="002D0AE7" w:rsidRDefault="00333EBB">
            <w:pPr>
              <w:jc w:val="right"/>
              <w:rPr>
                <w:rFonts w:hint="eastAsia"/>
                <w:sz w:val="18"/>
                <w:szCs w:val="18"/>
              </w:rPr>
            </w:pPr>
            <w:r>
              <w:rPr>
                <w:rFonts w:ascii="Times New Roman" w:hAnsi="Times New Roman" w:cs="Times New Roman"/>
                <w:color w:val="000000"/>
                <w:sz w:val="18"/>
                <w:szCs w:val="18"/>
              </w:rPr>
              <w:t>2,935,862.55</w:t>
            </w:r>
          </w:p>
        </w:tc>
        <w:tc>
          <w:tcPr>
            <w:tcW w:w="275" w:type="pct"/>
            <w:shd w:val="clear" w:color="auto" w:fill="auto"/>
            <w:vAlign w:val="center"/>
          </w:tcPr>
          <w:p w14:paraId="77B5875C"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275" w:type="pct"/>
            <w:shd w:val="clear" w:color="auto" w:fill="auto"/>
            <w:vAlign w:val="center"/>
          </w:tcPr>
          <w:p w14:paraId="0A16C9B0"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489" w:type="pct"/>
            <w:shd w:val="clear" w:color="auto" w:fill="auto"/>
            <w:vAlign w:val="center"/>
          </w:tcPr>
          <w:p w14:paraId="274422C1" w14:textId="77777777" w:rsidR="002D0AE7" w:rsidRDefault="00333EBB">
            <w:pPr>
              <w:jc w:val="right"/>
              <w:rPr>
                <w:rFonts w:hint="eastAsia"/>
                <w:sz w:val="18"/>
                <w:szCs w:val="18"/>
              </w:rPr>
            </w:pPr>
            <w:r>
              <w:rPr>
                <w:rFonts w:ascii="Times New Roman" w:hAnsi="Times New Roman" w:cs="Times New Roman"/>
                <w:color w:val="000000"/>
                <w:sz w:val="18"/>
                <w:szCs w:val="18"/>
              </w:rPr>
              <w:t>440,379.38</w:t>
            </w:r>
          </w:p>
        </w:tc>
        <w:tc>
          <w:tcPr>
            <w:tcW w:w="553" w:type="pct"/>
            <w:shd w:val="clear" w:color="auto" w:fill="auto"/>
            <w:vAlign w:val="center"/>
          </w:tcPr>
          <w:p w14:paraId="7BF61A54" w14:textId="77777777" w:rsidR="002D0AE7" w:rsidRDefault="00333EBB">
            <w:pPr>
              <w:jc w:val="right"/>
              <w:rPr>
                <w:rFonts w:hint="eastAsia"/>
                <w:sz w:val="18"/>
                <w:szCs w:val="18"/>
              </w:rPr>
            </w:pPr>
            <w:r>
              <w:rPr>
                <w:rFonts w:ascii="Times New Roman" w:hAnsi="Times New Roman" w:cs="Times New Roman"/>
                <w:color w:val="000000"/>
                <w:sz w:val="18"/>
                <w:szCs w:val="18"/>
              </w:rPr>
              <w:t>2,495,483.17</w:t>
            </w:r>
          </w:p>
        </w:tc>
        <w:tc>
          <w:tcPr>
            <w:tcW w:w="253" w:type="pct"/>
            <w:shd w:val="clear" w:color="auto" w:fill="auto"/>
            <w:vAlign w:val="center"/>
          </w:tcPr>
          <w:p w14:paraId="2B5D0F03"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96" w:type="pct"/>
            <w:shd w:val="clear" w:color="auto" w:fill="auto"/>
            <w:vAlign w:val="center"/>
          </w:tcPr>
          <w:p w14:paraId="2C15C1BB" w14:textId="77777777" w:rsidR="002D0AE7" w:rsidRDefault="00333EBB">
            <w:pPr>
              <w:jc w:val="right"/>
              <w:rPr>
                <w:rFonts w:hint="eastAsia"/>
                <w:sz w:val="18"/>
                <w:szCs w:val="18"/>
              </w:rPr>
            </w:pPr>
            <w:r>
              <w:rPr>
                <w:rFonts w:ascii="Times New Roman" w:hAnsi="Times New Roman" w:cs="Times New Roman"/>
                <w:color w:val="000000"/>
                <w:sz w:val="18"/>
                <w:szCs w:val="18"/>
              </w:rPr>
              <w:t>49,796,924.16</w:t>
            </w:r>
          </w:p>
        </w:tc>
      </w:tr>
      <w:tr w:rsidR="002D0AE7" w14:paraId="1C20FA5E" w14:textId="77777777">
        <w:trPr>
          <w:jc w:val="center"/>
        </w:trPr>
        <w:tc>
          <w:tcPr>
            <w:tcW w:w="1410" w:type="pct"/>
            <w:shd w:val="clear" w:color="auto" w:fill="auto"/>
            <w:vAlign w:val="center"/>
          </w:tcPr>
          <w:p w14:paraId="30C6E21E" w14:textId="77777777" w:rsidR="002D0AE7" w:rsidRDefault="00333EBB">
            <w:pPr>
              <w:rPr>
                <w:rFonts w:hint="eastAsia"/>
                <w:color w:val="000000" w:themeColor="text1"/>
                <w:sz w:val="18"/>
                <w:szCs w:val="18"/>
              </w:rPr>
            </w:pPr>
            <w:r>
              <w:rPr>
                <w:rFonts w:hint="eastAsia"/>
                <w:color w:val="000000" w:themeColor="text1"/>
                <w:sz w:val="18"/>
                <w:szCs w:val="18"/>
              </w:rPr>
              <w:t>其中：重新计量设定受益计划变动额</w:t>
            </w:r>
          </w:p>
        </w:tc>
        <w:tc>
          <w:tcPr>
            <w:tcW w:w="596" w:type="pct"/>
            <w:shd w:val="clear" w:color="auto" w:fill="auto"/>
            <w:vAlign w:val="center"/>
          </w:tcPr>
          <w:p w14:paraId="58DD701D"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53" w:type="pct"/>
            <w:shd w:val="clear" w:color="auto" w:fill="auto"/>
            <w:vAlign w:val="center"/>
          </w:tcPr>
          <w:p w14:paraId="4222F2DC"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275" w:type="pct"/>
            <w:shd w:val="clear" w:color="auto" w:fill="auto"/>
            <w:vAlign w:val="center"/>
          </w:tcPr>
          <w:p w14:paraId="51CBB218"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275" w:type="pct"/>
            <w:shd w:val="clear" w:color="auto" w:fill="auto"/>
            <w:vAlign w:val="center"/>
          </w:tcPr>
          <w:p w14:paraId="0E7C2A33"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489" w:type="pct"/>
            <w:shd w:val="clear" w:color="auto" w:fill="auto"/>
            <w:vAlign w:val="center"/>
          </w:tcPr>
          <w:p w14:paraId="4C6B9415"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53" w:type="pct"/>
            <w:shd w:val="clear" w:color="auto" w:fill="auto"/>
            <w:vAlign w:val="center"/>
          </w:tcPr>
          <w:p w14:paraId="561CD440"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253" w:type="pct"/>
            <w:shd w:val="clear" w:color="auto" w:fill="auto"/>
            <w:vAlign w:val="center"/>
          </w:tcPr>
          <w:p w14:paraId="2B07874C"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96" w:type="pct"/>
            <w:shd w:val="clear" w:color="auto" w:fill="auto"/>
            <w:vAlign w:val="center"/>
          </w:tcPr>
          <w:p w14:paraId="5ADE459A"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r>
      <w:tr w:rsidR="002D0AE7" w14:paraId="2C27EA49" w14:textId="77777777">
        <w:trPr>
          <w:jc w:val="center"/>
        </w:trPr>
        <w:tc>
          <w:tcPr>
            <w:tcW w:w="1410" w:type="pct"/>
            <w:shd w:val="clear" w:color="auto" w:fill="auto"/>
            <w:vAlign w:val="center"/>
          </w:tcPr>
          <w:p w14:paraId="38319E53" w14:textId="77777777" w:rsidR="002D0AE7" w:rsidRDefault="00333EBB">
            <w:pPr>
              <w:rPr>
                <w:rFonts w:hint="eastAsia"/>
                <w:color w:val="000000" w:themeColor="text1"/>
                <w:sz w:val="18"/>
                <w:szCs w:val="18"/>
              </w:rPr>
            </w:pPr>
            <w:r>
              <w:rPr>
                <w:rFonts w:hint="eastAsia"/>
                <w:color w:val="000000" w:themeColor="text1"/>
                <w:sz w:val="18"/>
                <w:szCs w:val="18"/>
              </w:rPr>
              <w:t>权益法下不能转损益的其他综合收益</w:t>
            </w:r>
          </w:p>
        </w:tc>
        <w:tc>
          <w:tcPr>
            <w:tcW w:w="596" w:type="pct"/>
            <w:shd w:val="clear" w:color="auto" w:fill="auto"/>
            <w:vAlign w:val="center"/>
          </w:tcPr>
          <w:p w14:paraId="62939624"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53" w:type="pct"/>
            <w:shd w:val="clear" w:color="auto" w:fill="auto"/>
            <w:vAlign w:val="center"/>
          </w:tcPr>
          <w:p w14:paraId="52F3C190"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275" w:type="pct"/>
            <w:shd w:val="clear" w:color="auto" w:fill="auto"/>
            <w:vAlign w:val="center"/>
          </w:tcPr>
          <w:p w14:paraId="6C558D06"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275" w:type="pct"/>
            <w:shd w:val="clear" w:color="auto" w:fill="auto"/>
            <w:vAlign w:val="center"/>
          </w:tcPr>
          <w:p w14:paraId="2910059C"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489" w:type="pct"/>
            <w:shd w:val="clear" w:color="auto" w:fill="auto"/>
            <w:vAlign w:val="center"/>
          </w:tcPr>
          <w:p w14:paraId="66B3F0D6"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53" w:type="pct"/>
            <w:shd w:val="clear" w:color="auto" w:fill="auto"/>
            <w:vAlign w:val="center"/>
          </w:tcPr>
          <w:p w14:paraId="202B204E"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253" w:type="pct"/>
            <w:shd w:val="clear" w:color="auto" w:fill="auto"/>
            <w:vAlign w:val="center"/>
          </w:tcPr>
          <w:p w14:paraId="31830CA8"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96" w:type="pct"/>
            <w:shd w:val="clear" w:color="auto" w:fill="auto"/>
            <w:vAlign w:val="center"/>
          </w:tcPr>
          <w:p w14:paraId="0B8944FA"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r>
      <w:tr w:rsidR="002D0AE7" w14:paraId="2F7902BC" w14:textId="77777777">
        <w:trPr>
          <w:jc w:val="center"/>
        </w:trPr>
        <w:tc>
          <w:tcPr>
            <w:tcW w:w="1410" w:type="pct"/>
            <w:shd w:val="clear" w:color="auto" w:fill="auto"/>
            <w:vAlign w:val="center"/>
          </w:tcPr>
          <w:p w14:paraId="1253C698" w14:textId="77777777" w:rsidR="002D0AE7" w:rsidRDefault="00333EBB">
            <w:pPr>
              <w:ind w:firstLineChars="100" w:firstLine="180"/>
              <w:rPr>
                <w:rFonts w:hint="eastAsia"/>
                <w:color w:val="000000" w:themeColor="text1"/>
                <w:sz w:val="18"/>
                <w:szCs w:val="18"/>
              </w:rPr>
            </w:pPr>
            <w:r>
              <w:rPr>
                <w:rFonts w:hint="eastAsia"/>
                <w:color w:val="000000" w:themeColor="text1"/>
                <w:sz w:val="18"/>
                <w:szCs w:val="18"/>
              </w:rPr>
              <w:t>其他权益工具投资公允价值变动</w:t>
            </w:r>
          </w:p>
        </w:tc>
        <w:tc>
          <w:tcPr>
            <w:tcW w:w="596" w:type="pct"/>
            <w:shd w:val="clear" w:color="auto" w:fill="auto"/>
            <w:vAlign w:val="center"/>
          </w:tcPr>
          <w:p w14:paraId="32F6610E" w14:textId="77777777" w:rsidR="002D0AE7" w:rsidRDefault="00333EBB">
            <w:pPr>
              <w:jc w:val="right"/>
              <w:rPr>
                <w:rFonts w:hint="eastAsia"/>
                <w:sz w:val="18"/>
                <w:szCs w:val="18"/>
              </w:rPr>
            </w:pPr>
            <w:r>
              <w:rPr>
                <w:rFonts w:ascii="Times New Roman" w:hAnsi="Times New Roman" w:cs="Times New Roman"/>
                <w:color w:val="000000"/>
                <w:sz w:val="18"/>
                <w:szCs w:val="18"/>
              </w:rPr>
              <w:t>47,301,440.99</w:t>
            </w:r>
          </w:p>
        </w:tc>
        <w:tc>
          <w:tcPr>
            <w:tcW w:w="553" w:type="pct"/>
            <w:shd w:val="clear" w:color="auto" w:fill="auto"/>
            <w:vAlign w:val="center"/>
          </w:tcPr>
          <w:p w14:paraId="30F61387" w14:textId="77777777" w:rsidR="002D0AE7" w:rsidRDefault="00333EBB">
            <w:pPr>
              <w:jc w:val="right"/>
              <w:rPr>
                <w:rFonts w:hint="eastAsia"/>
                <w:sz w:val="18"/>
                <w:szCs w:val="18"/>
              </w:rPr>
            </w:pPr>
            <w:r>
              <w:rPr>
                <w:rFonts w:ascii="Times New Roman" w:hAnsi="Times New Roman" w:cs="Times New Roman"/>
                <w:color w:val="000000"/>
                <w:sz w:val="18"/>
                <w:szCs w:val="18"/>
              </w:rPr>
              <w:t>2,935,862.55</w:t>
            </w:r>
          </w:p>
        </w:tc>
        <w:tc>
          <w:tcPr>
            <w:tcW w:w="275" w:type="pct"/>
            <w:shd w:val="clear" w:color="auto" w:fill="auto"/>
            <w:vAlign w:val="center"/>
          </w:tcPr>
          <w:p w14:paraId="6B57F9C8"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275" w:type="pct"/>
            <w:shd w:val="clear" w:color="auto" w:fill="auto"/>
            <w:vAlign w:val="center"/>
          </w:tcPr>
          <w:p w14:paraId="29166265"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489" w:type="pct"/>
            <w:shd w:val="clear" w:color="auto" w:fill="auto"/>
            <w:vAlign w:val="center"/>
          </w:tcPr>
          <w:p w14:paraId="5AC99687" w14:textId="77777777" w:rsidR="002D0AE7" w:rsidRDefault="00333EBB">
            <w:pPr>
              <w:jc w:val="right"/>
              <w:rPr>
                <w:rFonts w:hint="eastAsia"/>
                <w:sz w:val="18"/>
                <w:szCs w:val="18"/>
              </w:rPr>
            </w:pPr>
            <w:r>
              <w:rPr>
                <w:rFonts w:ascii="Times New Roman" w:hAnsi="Times New Roman" w:cs="Times New Roman"/>
                <w:color w:val="000000"/>
                <w:sz w:val="18"/>
                <w:szCs w:val="18"/>
              </w:rPr>
              <w:t>440,379.38</w:t>
            </w:r>
          </w:p>
        </w:tc>
        <w:tc>
          <w:tcPr>
            <w:tcW w:w="553" w:type="pct"/>
            <w:shd w:val="clear" w:color="auto" w:fill="auto"/>
            <w:vAlign w:val="center"/>
          </w:tcPr>
          <w:p w14:paraId="02A0B115" w14:textId="77777777" w:rsidR="002D0AE7" w:rsidRDefault="00333EBB">
            <w:pPr>
              <w:jc w:val="right"/>
              <w:rPr>
                <w:rFonts w:hint="eastAsia"/>
                <w:sz w:val="18"/>
                <w:szCs w:val="18"/>
              </w:rPr>
            </w:pPr>
            <w:r>
              <w:rPr>
                <w:rFonts w:ascii="Times New Roman" w:hAnsi="Times New Roman" w:cs="Times New Roman"/>
                <w:color w:val="000000"/>
                <w:sz w:val="18"/>
                <w:szCs w:val="18"/>
              </w:rPr>
              <w:t>2,495,483.17</w:t>
            </w:r>
          </w:p>
        </w:tc>
        <w:tc>
          <w:tcPr>
            <w:tcW w:w="253" w:type="pct"/>
            <w:shd w:val="clear" w:color="auto" w:fill="auto"/>
            <w:vAlign w:val="center"/>
          </w:tcPr>
          <w:p w14:paraId="69B625A7"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96" w:type="pct"/>
            <w:shd w:val="clear" w:color="auto" w:fill="auto"/>
            <w:vAlign w:val="center"/>
          </w:tcPr>
          <w:p w14:paraId="0BCF6C43" w14:textId="77777777" w:rsidR="002D0AE7" w:rsidRDefault="00333EBB">
            <w:pPr>
              <w:jc w:val="right"/>
              <w:rPr>
                <w:rFonts w:hint="eastAsia"/>
                <w:sz w:val="18"/>
                <w:szCs w:val="18"/>
              </w:rPr>
            </w:pPr>
            <w:r>
              <w:rPr>
                <w:rFonts w:ascii="Times New Roman" w:hAnsi="Times New Roman" w:cs="Times New Roman"/>
                <w:color w:val="000000"/>
                <w:sz w:val="18"/>
                <w:szCs w:val="18"/>
              </w:rPr>
              <w:t>49,796,924.16</w:t>
            </w:r>
          </w:p>
        </w:tc>
      </w:tr>
      <w:tr w:rsidR="002D0AE7" w14:paraId="113BCA93" w14:textId="77777777">
        <w:trPr>
          <w:jc w:val="center"/>
        </w:trPr>
        <w:tc>
          <w:tcPr>
            <w:tcW w:w="1410" w:type="pct"/>
            <w:shd w:val="clear" w:color="auto" w:fill="auto"/>
            <w:vAlign w:val="center"/>
          </w:tcPr>
          <w:p w14:paraId="506AA935" w14:textId="77777777" w:rsidR="002D0AE7" w:rsidRDefault="00333EBB">
            <w:pPr>
              <w:ind w:firstLineChars="100" w:firstLine="180"/>
              <w:rPr>
                <w:rFonts w:hint="eastAsia"/>
                <w:color w:val="000000" w:themeColor="text1"/>
                <w:sz w:val="18"/>
                <w:szCs w:val="18"/>
              </w:rPr>
            </w:pPr>
            <w:r>
              <w:rPr>
                <w:rFonts w:hint="eastAsia"/>
                <w:color w:val="000000" w:themeColor="text1"/>
                <w:sz w:val="18"/>
                <w:szCs w:val="18"/>
              </w:rPr>
              <w:t>企业自身信用风险公允价值变动</w:t>
            </w:r>
          </w:p>
        </w:tc>
        <w:tc>
          <w:tcPr>
            <w:tcW w:w="596" w:type="pct"/>
            <w:shd w:val="clear" w:color="auto" w:fill="auto"/>
            <w:vAlign w:val="center"/>
          </w:tcPr>
          <w:p w14:paraId="26EA37F6"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53" w:type="pct"/>
            <w:shd w:val="clear" w:color="auto" w:fill="auto"/>
            <w:vAlign w:val="center"/>
          </w:tcPr>
          <w:p w14:paraId="0271ACD1"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275" w:type="pct"/>
            <w:shd w:val="clear" w:color="auto" w:fill="auto"/>
            <w:vAlign w:val="center"/>
          </w:tcPr>
          <w:p w14:paraId="5DFF763C"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275" w:type="pct"/>
            <w:shd w:val="clear" w:color="auto" w:fill="auto"/>
            <w:vAlign w:val="center"/>
          </w:tcPr>
          <w:p w14:paraId="2C67D15D"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489" w:type="pct"/>
            <w:shd w:val="clear" w:color="auto" w:fill="auto"/>
            <w:vAlign w:val="center"/>
          </w:tcPr>
          <w:p w14:paraId="25D7A70B"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53" w:type="pct"/>
            <w:shd w:val="clear" w:color="auto" w:fill="auto"/>
            <w:vAlign w:val="center"/>
          </w:tcPr>
          <w:p w14:paraId="5D3004B2"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253" w:type="pct"/>
            <w:shd w:val="clear" w:color="auto" w:fill="auto"/>
            <w:vAlign w:val="center"/>
          </w:tcPr>
          <w:p w14:paraId="1631073E"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96" w:type="pct"/>
            <w:shd w:val="clear" w:color="auto" w:fill="auto"/>
            <w:vAlign w:val="center"/>
          </w:tcPr>
          <w:p w14:paraId="71EFA28C"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r>
      <w:tr w:rsidR="002D0AE7" w14:paraId="31581A2A" w14:textId="77777777">
        <w:trPr>
          <w:jc w:val="center"/>
        </w:trPr>
        <w:tc>
          <w:tcPr>
            <w:tcW w:w="1410" w:type="pct"/>
            <w:shd w:val="clear" w:color="auto" w:fill="auto"/>
          </w:tcPr>
          <w:p w14:paraId="3DD72AAA" w14:textId="77777777" w:rsidR="002D0AE7" w:rsidRDefault="00333EBB">
            <w:pPr>
              <w:rPr>
                <w:rFonts w:hint="eastAsia"/>
                <w:color w:val="000000" w:themeColor="text1"/>
                <w:sz w:val="18"/>
                <w:szCs w:val="18"/>
              </w:rPr>
            </w:pPr>
            <w:r>
              <w:rPr>
                <w:rFonts w:hint="eastAsia"/>
                <w:color w:val="000000" w:themeColor="text1"/>
                <w:sz w:val="18"/>
                <w:szCs w:val="18"/>
              </w:rPr>
              <w:lastRenderedPageBreak/>
              <w:t>二、将重分类进损益的其他综合收益</w:t>
            </w:r>
          </w:p>
        </w:tc>
        <w:tc>
          <w:tcPr>
            <w:tcW w:w="596" w:type="pct"/>
            <w:shd w:val="clear" w:color="auto" w:fill="auto"/>
            <w:vAlign w:val="center"/>
          </w:tcPr>
          <w:p w14:paraId="028C9D9E" w14:textId="77777777" w:rsidR="002D0AE7" w:rsidRDefault="00333EBB">
            <w:pPr>
              <w:jc w:val="right"/>
              <w:rPr>
                <w:rFonts w:hint="eastAsia"/>
                <w:sz w:val="18"/>
                <w:szCs w:val="18"/>
              </w:rPr>
            </w:pPr>
            <w:r>
              <w:rPr>
                <w:rFonts w:ascii="Times New Roman" w:hAnsi="Times New Roman" w:cs="Times New Roman"/>
                <w:color w:val="000000"/>
                <w:sz w:val="18"/>
                <w:szCs w:val="18"/>
              </w:rPr>
              <w:t>-348,060.75</w:t>
            </w:r>
          </w:p>
        </w:tc>
        <w:tc>
          <w:tcPr>
            <w:tcW w:w="553" w:type="pct"/>
            <w:shd w:val="clear" w:color="auto" w:fill="auto"/>
            <w:vAlign w:val="center"/>
          </w:tcPr>
          <w:p w14:paraId="6787726A" w14:textId="77777777" w:rsidR="002D0AE7" w:rsidRDefault="00333EBB">
            <w:pPr>
              <w:jc w:val="right"/>
              <w:rPr>
                <w:rFonts w:hint="eastAsia"/>
                <w:sz w:val="18"/>
                <w:szCs w:val="18"/>
              </w:rPr>
            </w:pPr>
            <w:r>
              <w:rPr>
                <w:rFonts w:ascii="Times New Roman" w:hAnsi="Times New Roman" w:cs="Times New Roman"/>
                <w:color w:val="000000"/>
                <w:sz w:val="18"/>
                <w:szCs w:val="18"/>
              </w:rPr>
              <w:t>209,506.73</w:t>
            </w:r>
          </w:p>
        </w:tc>
        <w:tc>
          <w:tcPr>
            <w:tcW w:w="275" w:type="pct"/>
            <w:shd w:val="clear" w:color="auto" w:fill="auto"/>
            <w:vAlign w:val="center"/>
          </w:tcPr>
          <w:p w14:paraId="523D394E"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275" w:type="pct"/>
            <w:shd w:val="clear" w:color="auto" w:fill="auto"/>
            <w:vAlign w:val="center"/>
          </w:tcPr>
          <w:p w14:paraId="11CC4C4A"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489" w:type="pct"/>
            <w:shd w:val="clear" w:color="auto" w:fill="auto"/>
            <w:vAlign w:val="center"/>
          </w:tcPr>
          <w:p w14:paraId="65977C63"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53" w:type="pct"/>
            <w:shd w:val="clear" w:color="auto" w:fill="auto"/>
            <w:vAlign w:val="center"/>
          </w:tcPr>
          <w:p w14:paraId="7F8BC311" w14:textId="77777777" w:rsidR="002D0AE7" w:rsidRDefault="00333EBB">
            <w:pPr>
              <w:jc w:val="right"/>
              <w:rPr>
                <w:rFonts w:hint="eastAsia"/>
                <w:sz w:val="18"/>
                <w:szCs w:val="18"/>
              </w:rPr>
            </w:pPr>
            <w:r>
              <w:rPr>
                <w:rFonts w:ascii="Times New Roman" w:hAnsi="Times New Roman" w:cs="Times New Roman"/>
                <w:color w:val="000000"/>
                <w:sz w:val="18"/>
                <w:szCs w:val="18"/>
              </w:rPr>
              <w:t>209,506.73</w:t>
            </w:r>
          </w:p>
        </w:tc>
        <w:tc>
          <w:tcPr>
            <w:tcW w:w="253" w:type="pct"/>
            <w:shd w:val="clear" w:color="auto" w:fill="auto"/>
            <w:vAlign w:val="center"/>
          </w:tcPr>
          <w:p w14:paraId="2FC772F7"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96" w:type="pct"/>
            <w:shd w:val="clear" w:color="auto" w:fill="auto"/>
            <w:vAlign w:val="center"/>
          </w:tcPr>
          <w:p w14:paraId="11923717" w14:textId="77777777" w:rsidR="002D0AE7" w:rsidRDefault="00333EBB">
            <w:pPr>
              <w:jc w:val="right"/>
              <w:rPr>
                <w:rFonts w:hint="eastAsia"/>
                <w:sz w:val="18"/>
                <w:szCs w:val="18"/>
              </w:rPr>
            </w:pPr>
            <w:r>
              <w:rPr>
                <w:rFonts w:ascii="Times New Roman" w:hAnsi="Times New Roman" w:cs="Times New Roman"/>
                <w:color w:val="000000"/>
                <w:sz w:val="18"/>
                <w:szCs w:val="18"/>
              </w:rPr>
              <w:t>-138,554.02</w:t>
            </w:r>
          </w:p>
        </w:tc>
      </w:tr>
      <w:tr w:rsidR="002D0AE7" w14:paraId="5FF21002" w14:textId="77777777">
        <w:trPr>
          <w:jc w:val="center"/>
        </w:trPr>
        <w:tc>
          <w:tcPr>
            <w:tcW w:w="1410" w:type="pct"/>
            <w:shd w:val="clear" w:color="auto" w:fill="auto"/>
          </w:tcPr>
          <w:p w14:paraId="1BF08890" w14:textId="77777777" w:rsidR="002D0AE7" w:rsidRDefault="00333EBB">
            <w:pPr>
              <w:rPr>
                <w:rFonts w:hint="eastAsia"/>
                <w:color w:val="000000" w:themeColor="text1"/>
                <w:sz w:val="18"/>
                <w:szCs w:val="18"/>
              </w:rPr>
            </w:pPr>
            <w:r>
              <w:rPr>
                <w:rFonts w:hint="eastAsia"/>
                <w:color w:val="000000" w:themeColor="text1"/>
                <w:sz w:val="18"/>
                <w:szCs w:val="18"/>
              </w:rPr>
              <w:t>其中：权益法下可转损益的其他综合收益</w:t>
            </w:r>
          </w:p>
        </w:tc>
        <w:tc>
          <w:tcPr>
            <w:tcW w:w="596" w:type="pct"/>
            <w:shd w:val="clear" w:color="auto" w:fill="auto"/>
            <w:vAlign w:val="center"/>
          </w:tcPr>
          <w:p w14:paraId="75B3C4D7"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53" w:type="pct"/>
            <w:shd w:val="clear" w:color="auto" w:fill="auto"/>
            <w:vAlign w:val="center"/>
          </w:tcPr>
          <w:p w14:paraId="0C9365B8"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275" w:type="pct"/>
            <w:shd w:val="clear" w:color="auto" w:fill="auto"/>
            <w:vAlign w:val="center"/>
          </w:tcPr>
          <w:p w14:paraId="0DB1EFD4"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275" w:type="pct"/>
            <w:shd w:val="clear" w:color="auto" w:fill="auto"/>
            <w:vAlign w:val="center"/>
          </w:tcPr>
          <w:p w14:paraId="7E4A6364"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489" w:type="pct"/>
            <w:shd w:val="clear" w:color="auto" w:fill="auto"/>
            <w:vAlign w:val="center"/>
          </w:tcPr>
          <w:p w14:paraId="06D3E932"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53" w:type="pct"/>
            <w:shd w:val="clear" w:color="auto" w:fill="auto"/>
            <w:vAlign w:val="center"/>
          </w:tcPr>
          <w:p w14:paraId="0AA5CC01"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253" w:type="pct"/>
            <w:shd w:val="clear" w:color="auto" w:fill="auto"/>
            <w:vAlign w:val="center"/>
          </w:tcPr>
          <w:p w14:paraId="158FF59E"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96" w:type="pct"/>
            <w:shd w:val="clear" w:color="auto" w:fill="auto"/>
            <w:vAlign w:val="center"/>
          </w:tcPr>
          <w:p w14:paraId="4ECE6B2A"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r>
      <w:tr w:rsidR="002D0AE7" w14:paraId="1786FC12" w14:textId="77777777">
        <w:trPr>
          <w:jc w:val="center"/>
        </w:trPr>
        <w:tc>
          <w:tcPr>
            <w:tcW w:w="1410" w:type="pct"/>
            <w:shd w:val="clear" w:color="auto" w:fill="auto"/>
          </w:tcPr>
          <w:p w14:paraId="645D1030" w14:textId="77777777" w:rsidR="002D0AE7" w:rsidRDefault="00333EBB">
            <w:pPr>
              <w:ind w:firstLineChars="100" w:firstLine="180"/>
              <w:rPr>
                <w:rFonts w:hint="eastAsia"/>
                <w:color w:val="000000" w:themeColor="text1"/>
                <w:sz w:val="18"/>
                <w:szCs w:val="18"/>
              </w:rPr>
            </w:pPr>
            <w:r>
              <w:rPr>
                <w:rFonts w:hint="eastAsia"/>
                <w:color w:val="000000" w:themeColor="text1"/>
                <w:sz w:val="18"/>
                <w:szCs w:val="18"/>
              </w:rPr>
              <w:t>其他债权投资公允价值变动</w:t>
            </w:r>
          </w:p>
        </w:tc>
        <w:tc>
          <w:tcPr>
            <w:tcW w:w="596" w:type="pct"/>
            <w:shd w:val="clear" w:color="auto" w:fill="auto"/>
            <w:vAlign w:val="center"/>
          </w:tcPr>
          <w:p w14:paraId="6142FE1E"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53" w:type="pct"/>
            <w:shd w:val="clear" w:color="auto" w:fill="auto"/>
            <w:vAlign w:val="center"/>
          </w:tcPr>
          <w:p w14:paraId="621BA854"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275" w:type="pct"/>
            <w:shd w:val="clear" w:color="auto" w:fill="auto"/>
            <w:vAlign w:val="center"/>
          </w:tcPr>
          <w:p w14:paraId="5A1579C7"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275" w:type="pct"/>
            <w:shd w:val="clear" w:color="auto" w:fill="auto"/>
            <w:vAlign w:val="center"/>
          </w:tcPr>
          <w:p w14:paraId="04EDAA47"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489" w:type="pct"/>
            <w:shd w:val="clear" w:color="auto" w:fill="auto"/>
            <w:vAlign w:val="center"/>
          </w:tcPr>
          <w:p w14:paraId="2CAA173F"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53" w:type="pct"/>
            <w:shd w:val="clear" w:color="auto" w:fill="auto"/>
            <w:vAlign w:val="center"/>
          </w:tcPr>
          <w:p w14:paraId="144AA13C"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253" w:type="pct"/>
            <w:shd w:val="clear" w:color="auto" w:fill="auto"/>
            <w:vAlign w:val="center"/>
          </w:tcPr>
          <w:p w14:paraId="0E182A01"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96" w:type="pct"/>
            <w:shd w:val="clear" w:color="auto" w:fill="auto"/>
            <w:vAlign w:val="center"/>
          </w:tcPr>
          <w:p w14:paraId="50102C79"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r>
      <w:tr w:rsidR="002D0AE7" w14:paraId="4FC462DC" w14:textId="77777777">
        <w:trPr>
          <w:jc w:val="center"/>
        </w:trPr>
        <w:tc>
          <w:tcPr>
            <w:tcW w:w="1410" w:type="pct"/>
            <w:shd w:val="clear" w:color="auto" w:fill="auto"/>
          </w:tcPr>
          <w:p w14:paraId="3080F769" w14:textId="77777777" w:rsidR="002D0AE7" w:rsidRDefault="00333EBB">
            <w:pPr>
              <w:ind w:firstLineChars="100" w:firstLine="180"/>
              <w:rPr>
                <w:rFonts w:hint="eastAsia"/>
                <w:color w:val="000000" w:themeColor="text1"/>
                <w:sz w:val="18"/>
                <w:szCs w:val="18"/>
              </w:rPr>
            </w:pPr>
            <w:r>
              <w:rPr>
                <w:rFonts w:hint="eastAsia"/>
                <w:color w:val="000000" w:themeColor="text1"/>
                <w:sz w:val="18"/>
                <w:szCs w:val="18"/>
              </w:rPr>
              <w:t>金融资产重分类计入其他综合收益的金额</w:t>
            </w:r>
          </w:p>
        </w:tc>
        <w:tc>
          <w:tcPr>
            <w:tcW w:w="596" w:type="pct"/>
            <w:shd w:val="clear" w:color="auto" w:fill="auto"/>
            <w:vAlign w:val="center"/>
          </w:tcPr>
          <w:p w14:paraId="5EA04BD0"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53" w:type="pct"/>
            <w:shd w:val="clear" w:color="auto" w:fill="auto"/>
            <w:vAlign w:val="center"/>
          </w:tcPr>
          <w:p w14:paraId="46894E24"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275" w:type="pct"/>
            <w:shd w:val="clear" w:color="auto" w:fill="auto"/>
            <w:vAlign w:val="center"/>
          </w:tcPr>
          <w:p w14:paraId="1C87A448"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275" w:type="pct"/>
            <w:shd w:val="clear" w:color="auto" w:fill="auto"/>
            <w:vAlign w:val="center"/>
          </w:tcPr>
          <w:p w14:paraId="1AB61289"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489" w:type="pct"/>
            <w:shd w:val="clear" w:color="auto" w:fill="auto"/>
            <w:vAlign w:val="center"/>
          </w:tcPr>
          <w:p w14:paraId="55F1C3F8"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53" w:type="pct"/>
            <w:shd w:val="clear" w:color="auto" w:fill="auto"/>
            <w:vAlign w:val="center"/>
          </w:tcPr>
          <w:p w14:paraId="36F7F5C2"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253" w:type="pct"/>
            <w:shd w:val="clear" w:color="auto" w:fill="auto"/>
            <w:vAlign w:val="center"/>
          </w:tcPr>
          <w:p w14:paraId="619BE632"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96" w:type="pct"/>
            <w:shd w:val="clear" w:color="auto" w:fill="auto"/>
            <w:vAlign w:val="center"/>
          </w:tcPr>
          <w:p w14:paraId="34DAFA62"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r>
      <w:tr w:rsidR="002D0AE7" w14:paraId="048EB713" w14:textId="77777777">
        <w:trPr>
          <w:jc w:val="center"/>
        </w:trPr>
        <w:tc>
          <w:tcPr>
            <w:tcW w:w="1410" w:type="pct"/>
            <w:shd w:val="clear" w:color="auto" w:fill="auto"/>
          </w:tcPr>
          <w:p w14:paraId="3C1162EC" w14:textId="77777777" w:rsidR="002D0AE7" w:rsidRDefault="00333EBB">
            <w:pPr>
              <w:ind w:firstLineChars="100" w:firstLine="180"/>
              <w:rPr>
                <w:rFonts w:hint="eastAsia"/>
                <w:color w:val="000000" w:themeColor="text1"/>
                <w:sz w:val="18"/>
                <w:szCs w:val="18"/>
              </w:rPr>
            </w:pPr>
            <w:r>
              <w:rPr>
                <w:rFonts w:hint="eastAsia"/>
                <w:color w:val="000000" w:themeColor="text1"/>
                <w:sz w:val="18"/>
                <w:szCs w:val="18"/>
              </w:rPr>
              <w:t>其他债权投资信用减值准备</w:t>
            </w:r>
          </w:p>
        </w:tc>
        <w:tc>
          <w:tcPr>
            <w:tcW w:w="596" w:type="pct"/>
            <w:shd w:val="clear" w:color="auto" w:fill="auto"/>
            <w:vAlign w:val="center"/>
          </w:tcPr>
          <w:p w14:paraId="020CB8C7"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53" w:type="pct"/>
            <w:shd w:val="clear" w:color="auto" w:fill="auto"/>
            <w:vAlign w:val="center"/>
          </w:tcPr>
          <w:p w14:paraId="3D1950E2"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275" w:type="pct"/>
            <w:shd w:val="clear" w:color="auto" w:fill="auto"/>
            <w:vAlign w:val="center"/>
          </w:tcPr>
          <w:p w14:paraId="0F40B67D"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275" w:type="pct"/>
            <w:shd w:val="clear" w:color="auto" w:fill="auto"/>
            <w:vAlign w:val="center"/>
          </w:tcPr>
          <w:p w14:paraId="40A58F5C"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489" w:type="pct"/>
            <w:shd w:val="clear" w:color="auto" w:fill="auto"/>
            <w:vAlign w:val="center"/>
          </w:tcPr>
          <w:p w14:paraId="2A798DDF"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53" w:type="pct"/>
            <w:shd w:val="clear" w:color="auto" w:fill="auto"/>
            <w:vAlign w:val="center"/>
          </w:tcPr>
          <w:p w14:paraId="14446880"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253" w:type="pct"/>
            <w:shd w:val="clear" w:color="auto" w:fill="auto"/>
            <w:vAlign w:val="center"/>
          </w:tcPr>
          <w:p w14:paraId="1F69AABA"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96" w:type="pct"/>
            <w:shd w:val="clear" w:color="auto" w:fill="auto"/>
            <w:vAlign w:val="center"/>
          </w:tcPr>
          <w:p w14:paraId="33C76C33"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r>
      <w:tr w:rsidR="002D0AE7" w14:paraId="280E7DB1" w14:textId="77777777">
        <w:trPr>
          <w:jc w:val="center"/>
        </w:trPr>
        <w:tc>
          <w:tcPr>
            <w:tcW w:w="1410" w:type="pct"/>
            <w:shd w:val="clear" w:color="auto" w:fill="auto"/>
          </w:tcPr>
          <w:p w14:paraId="7211FF82" w14:textId="77777777" w:rsidR="002D0AE7" w:rsidRDefault="00333EBB">
            <w:pPr>
              <w:rPr>
                <w:rFonts w:hint="eastAsia"/>
                <w:color w:val="000000" w:themeColor="text1"/>
                <w:sz w:val="18"/>
                <w:szCs w:val="18"/>
              </w:rPr>
            </w:pPr>
            <w:r>
              <w:rPr>
                <w:color w:val="000000" w:themeColor="text1"/>
                <w:sz w:val="18"/>
                <w:szCs w:val="18"/>
              </w:rPr>
              <w:t>现金流量套期储备</w:t>
            </w:r>
          </w:p>
        </w:tc>
        <w:tc>
          <w:tcPr>
            <w:tcW w:w="596" w:type="pct"/>
            <w:shd w:val="clear" w:color="auto" w:fill="auto"/>
            <w:vAlign w:val="center"/>
          </w:tcPr>
          <w:p w14:paraId="3784137D"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53" w:type="pct"/>
            <w:shd w:val="clear" w:color="auto" w:fill="auto"/>
            <w:vAlign w:val="center"/>
          </w:tcPr>
          <w:p w14:paraId="60EC8696"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275" w:type="pct"/>
            <w:shd w:val="clear" w:color="auto" w:fill="auto"/>
            <w:vAlign w:val="center"/>
          </w:tcPr>
          <w:p w14:paraId="6CF42313"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275" w:type="pct"/>
            <w:shd w:val="clear" w:color="auto" w:fill="auto"/>
            <w:vAlign w:val="center"/>
          </w:tcPr>
          <w:p w14:paraId="6CF27008"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489" w:type="pct"/>
            <w:shd w:val="clear" w:color="auto" w:fill="auto"/>
            <w:vAlign w:val="center"/>
          </w:tcPr>
          <w:p w14:paraId="2BC0E4E9"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53" w:type="pct"/>
            <w:shd w:val="clear" w:color="auto" w:fill="auto"/>
            <w:vAlign w:val="center"/>
          </w:tcPr>
          <w:p w14:paraId="221A77D1"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253" w:type="pct"/>
            <w:shd w:val="clear" w:color="auto" w:fill="auto"/>
            <w:vAlign w:val="center"/>
          </w:tcPr>
          <w:p w14:paraId="6C73571A"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96" w:type="pct"/>
            <w:shd w:val="clear" w:color="auto" w:fill="auto"/>
            <w:vAlign w:val="center"/>
          </w:tcPr>
          <w:p w14:paraId="1FE179E8"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r>
      <w:tr w:rsidR="002D0AE7" w14:paraId="584E9FCB" w14:textId="77777777">
        <w:trPr>
          <w:jc w:val="center"/>
        </w:trPr>
        <w:tc>
          <w:tcPr>
            <w:tcW w:w="1410" w:type="pct"/>
            <w:shd w:val="clear" w:color="auto" w:fill="auto"/>
          </w:tcPr>
          <w:p w14:paraId="4EF8C2EC" w14:textId="77777777" w:rsidR="002D0AE7" w:rsidRDefault="00333EBB">
            <w:pPr>
              <w:rPr>
                <w:rFonts w:hint="eastAsia"/>
                <w:color w:val="000000" w:themeColor="text1"/>
                <w:sz w:val="18"/>
                <w:szCs w:val="18"/>
              </w:rPr>
            </w:pPr>
            <w:r>
              <w:rPr>
                <w:rFonts w:hint="eastAsia"/>
                <w:color w:val="000000" w:themeColor="text1"/>
                <w:sz w:val="18"/>
                <w:szCs w:val="18"/>
              </w:rPr>
              <w:t>外币财务报表折算差额</w:t>
            </w:r>
          </w:p>
        </w:tc>
        <w:tc>
          <w:tcPr>
            <w:tcW w:w="596" w:type="pct"/>
            <w:shd w:val="clear" w:color="auto" w:fill="auto"/>
            <w:vAlign w:val="center"/>
          </w:tcPr>
          <w:p w14:paraId="385AA67C" w14:textId="77777777" w:rsidR="002D0AE7" w:rsidRDefault="00333EBB">
            <w:pPr>
              <w:jc w:val="right"/>
              <w:rPr>
                <w:rFonts w:hint="eastAsia"/>
                <w:sz w:val="18"/>
                <w:szCs w:val="18"/>
              </w:rPr>
            </w:pPr>
            <w:r>
              <w:rPr>
                <w:rFonts w:ascii="Times New Roman" w:hAnsi="Times New Roman" w:cs="Times New Roman"/>
                <w:color w:val="000000"/>
                <w:sz w:val="18"/>
                <w:szCs w:val="18"/>
              </w:rPr>
              <w:t>-348,060.75</w:t>
            </w:r>
          </w:p>
        </w:tc>
        <w:tc>
          <w:tcPr>
            <w:tcW w:w="553" w:type="pct"/>
            <w:shd w:val="clear" w:color="auto" w:fill="auto"/>
            <w:vAlign w:val="center"/>
          </w:tcPr>
          <w:p w14:paraId="08B1B938" w14:textId="77777777" w:rsidR="002D0AE7" w:rsidRDefault="00333EBB">
            <w:pPr>
              <w:jc w:val="right"/>
              <w:rPr>
                <w:rFonts w:hint="eastAsia"/>
                <w:sz w:val="18"/>
                <w:szCs w:val="18"/>
              </w:rPr>
            </w:pPr>
            <w:r>
              <w:rPr>
                <w:rFonts w:ascii="Times New Roman" w:hAnsi="Times New Roman" w:cs="Times New Roman"/>
                <w:color w:val="000000"/>
                <w:sz w:val="18"/>
                <w:szCs w:val="18"/>
              </w:rPr>
              <w:t>209,506.73</w:t>
            </w:r>
          </w:p>
        </w:tc>
        <w:tc>
          <w:tcPr>
            <w:tcW w:w="275" w:type="pct"/>
            <w:shd w:val="clear" w:color="auto" w:fill="auto"/>
            <w:vAlign w:val="center"/>
          </w:tcPr>
          <w:p w14:paraId="251B487A"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275" w:type="pct"/>
            <w:shd w:val="clear" w:color="auto" w:fill="auto"/>
            <w:vAlign w:val="center"/>
          </w:tcPr>
          <w:p w14:paraId="22B82D77"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489" w:type="pct"/>
            <w:shd w:val="clear" w:color="auto" w:fill="auto"/>
            <w:vAlign w:val="center"/>
          </w:tcPr>
          <w:p w14:paraId="0EB4EA1A"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53" w:type="pct"/>
            <w:shd w:val="clear" w:color="auto" w:fill="auto"/>
            <w:vAlign w:val="center"/>
          </w:tcPr>
          <w:p w14:paraId="4D859FF1" w14:textId="77777777" w:rsidR="002D0AE7" w:rsidRDefault="00333EBB">
            <w:pPr>
              <w:jc w:val="right"/>
              <w:rPr>
                <w:rFonts w:hint="eastAsia"/>
                <w:sz w:val="18"/>
                <w:szCs w:val="18"/>
              </w:rPr>
            </w:pPr>
            <w:r>
              <w:rPr>
                <w:rFonts w:ascii="Times New Roman" w:hAnsi="Times New Roman" w:cs="Times New Roman"/>
                <w:color w:val="000000"/>
                <w:sz w:val="18"/>
                <w:szCs w:val="18"/>
              </w:rPr>
              <w:t>209,506.73</w:t>
            </w:r>
          </w:p>
        </w:tc>
        <w:tc>
          <w:tcPr>
            <w:tcW w:w="253" w:type="pct"/>
            <w:shd w:val="clear" w:color="auto" w:fill="auto"/>
            <w:vAlign w:val="center"/>
          </w:tcPr>
          <w:p w14:paraId="1A55B8BE"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96" w:type="pct"/>
            <w:shd w:val="clear" w:color="auto" w:fill="auto"/>
            <w:vAlign w:val="center"/>
          </w:tcPr>
          <w:p w14:paraId="659D22D8" w14:textId="77777777" w:rsidR="002D0AE7" w:rsidRDefault="00333EBB">
            <w:pPr>
              <w:jc w:val="right"/>
              <w:rPr>
                <w:rFonts w:hint="eastAsia"/>
                <w:sz w:val="18"/>
                <w:szCs w:val="18"/>
              </w:rPr>
            </w:pPr>
            <w:r>
              <w:rPr>
                <w:rFonts w:ascii="Times New Roman" w:hAnsi="Times New Roman" w:cs="Times New Roman"/>
                <w:color w:val="000000"/>
                <w:sz w:val="18"/>
                <w:szCs w:val="18"/>
              </w:rPr>
              <w:t>-138,554.02</w:t>
            </w:r>
          </w:p>
        </w:tc>
      </w:tr>
      <w:tr w:rsidR="002D0AE7" w14:paraId="11C3BF38" w14:textId="77777777">
        <w:trPr>
          <w:jc w:val="center"/>
        </w:trPr>
        <w:tc>
          <w:tcPr>
            <w:tcW w:w="1410" w:type="pct"/>
            <w:shd w:val="clear" w:color="auto" w:fill="auto"/>
          </w:tcPr>
          <w:p w14:paraId="5B551B17" w14:textId="77777777" w:rsidR="002D0AE7" w:rsidRDefault="00333EBB">
            <w:pPr>
              <w:rPr>
                <w:rFonts w:hint="eastAsia"/>
                <w:sz w:val="18"/>
                <w:szCs w:val="18"/>
              </w:rPr>
            </w:pPr>
            <w:r>
              <w:rPr>
                <w:rFonts w:hint="eastAsia"/>
                <w:sz w:val="18"/>
                <w:szCs w:val="18"/>
              </w:rPr>
              <w:t>其他</w:t>
            </w:r>
          </w:p>
        </w:tc>
        <w:tc>
          <w:tcPr>
            <w:tcW w:w="596" w:type="pct"/>
            <w:shd w:val="clear" w:color="auto" w:fill="auto"/>
            <w:vAlign w:val="center"/>
          </w:tcPr>
          <w:p w14:paraId="6AFD3438"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53" w:type="pct"/>
            <w:shd w:val="clear" w:color="auto" w:fill="auto"/>
            <w:vAlign w:val="center"/>
          </w:tcPr>
          <w:p w14:paraId="0EC933A5"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275" w:type="pct"/>
            <w:shd w:val="clear" w:color="auto" w:fill="auto"/>
            <w:vAlign w:val="center"/>
          </w:tcPr>
          <w:p w14:paraId="57CEF89D"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275" w:type="pct"/>
            <w:shd w:val="clear" w:color="auto" w:fill="auto"/>
            <w:vAlign w:val="center"/>
          </w:tcPr>
          <w:p w14:paraId="3A24774D"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489" w:type="pct"/>
            <w:shd w:val="clear" w:color="auto" w:fill="auto"/>
            <w:vAlign w:val="center"/>
          </w:tcPr>
          <w:p w14:paraId="24019DC4"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53" w:type="pct"/>
            <w:shd w:val="clear" w:color="auto" w:fill="auto"/>
            <w:vAlign w:val="center"/>
          </w:tcPr>
          <w:p w14:paraId="6D0E250B"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253" w:type="pct"/>
            <w:shd w:val="clear" w:color="auto" w:fill="auto"/>
            <w:vAlign w:val="center"/>
          </w:tcPr>
          <w:p w14:paraId="52B003B7"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96" w:type="pct"/>
            <w:shd w:val="clear" w:color="auto" w:fill="auto"/>
            <w:vAlign w:val="center"/>
          </w:tcPr>
          <w:p w14:paraId="458B72E6"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r>
      <w:tr w:rsidR="002D0AE7" w14:paraId="4E63E7CC" w14:textId="77777777">
        <w:trPr>
          <w:jc w:val="center"/>
        </w:trPr>
        <w:tc>
          <w:tcPr>
            <w:tcW w:w="1410" w:type="pct"/>
            <w:shd w:val="clear" w:color="auto" w:fill="auto"/>
            <w:vAlign w:val="center"/>
          </w:tcPr>
          <w:p w14:paraId="1D8B7CC5" w14:textId="77777777" w:rsidR="002D0AE7" w:rsidRDefault="00333EBB">
            <w:pPr>
              <w:rPr>
                <w:rFonts w:hint="eastAsia"/>
                <w:color w:val="000000" w:themeColor="text1"/>
                <w:sz w:val="18"/>
                <w:szCs w:val="18"/>
              </w:rPr>
            </w:pPr>
            <w:r>
              <w:rPr>
                <w:rFonts w:hint="eastAsia"/>
                <w:color w:val="000000" w:themeColor="text1"/>
                <w:sz w:val="18"/>
                <w:szCs w:val="18"/>
              </w:rPr>
              <w:t>其他综合收益合计</w:t>
            </w:r>
          </w:p>
        </w:tc>
        <w:tc>
          <w:tcPr>
            <w:tcW w:w="596" w:type="pct"/>
            <w:shd w:val="clear" w:color="auto" w:fill="auto"/>
            <w:vAlign w:val="center"/>
          </w:tcPr>
          <w:p w14:paraId="0B3E589A" w14:textId="77777777" w:rsidR="002D0AE7" w:rsidRDefault="00333EBB">
            <w:pPr>
              <w:jc w:val="right"/>
              <w:rPr>
                <w:rFonts w:hint="eastAsia"/>
                <w:sz w:val="18"/>
                <w:szCs w:val="18"/>
              </w:rPr>
            </w:pPr>
            <w:r>
              <w:rPr>
                <w:rFonts w:ascii="Times New Roman" w:hAnsi="Times New Roman" w:cs="Times New Roman"/>
                <w:color w:val="000000"/>
                <w:sz w:val="18"/>
                <w:szCs w:val="18"/>
              </w:rPr>
              <w:t>46,953,380.24</w:t>
            </w:r>
          </w:p>
        </w:tc>
        <w:tc>
          <w:tcPr>
            <w:tcW w:w="553" w:type="pct"/>
            <w:shd w:val="clear" w:color="auto" w:fill="auto"/>
            <w:vAlign w:val="center"/>
          </w:tcPr>
          <w:p w14:paraId="71D9C6E9" w14:textId="77777777" w:rsidR="002D0AE7" w:rsidRDefault="00333EBB">
            <w:pPr>
              <w:jc w:val="right"/>
              <w:rPr>
                <w:rFonts w:hint="eastAsia"/>
                <w:sz w:val="18"/>
                <w:szCs w:val="18"/>
              </w:rPr>
            </w:pPr>
            <w:r>
              <w:rPr>
                <w:rFonts w:ascii="Times New Roman" w:hAnsi="Times New Roman" w:cs="Times New Roman"/>
                <w:color w:val="000000"/>
                <w:sz w:val="18"/>
                <w:szCs w:val="18"/>
              </w:rPr>
              <w:t>3,145,369.28</w:t>
            </w:r>
          </w:p>
        </w:tc>
        <w:tc>
          <w:tcPr>
            <w:tcW w:w="275" w:type="pct"/>
            <w:shd w:val="clear" w:color="auto" w:fill="auto"/>
            <w:vAlign w:val="center"/>
          </w:tcPr>
          <w:p w14:paraId="4AB0D6F9"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275" w:type="pct"/>
            <w:shd w:val="clear" w:color="auto" w:fill="auto"/>
            <w:vAlign w:val="center"/>
          </w:tcPr>
          <w:p w14:paraId="7D33F1E2"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489" w:type="pct"/>
            <w:shd w:val="clear" w:color="auto" w:fill="auto"/>
            <w:vAlign w:val="center"/>
          </w:tcPr>
          <w:p w14:paraId="4CD36CBA" w14:textId="77777777" w:rsidR="002D0AE7" w:rsidRDefault="00333EBB">
            <w:pPr>
              <w:jc w:val="right"/>
              <w:rPr>
                <w:rFonts w:hint="eastAsia"/>
                <w:sz w:val="18"/>
                <w:szCs w:val="18"/>
              </w:rPr>
            </w:pPr>
            <w:r>
              <w:rPr>
                <w:rFonts w:ascii="Times New Roman" w:hAnsi="Times New Roman" w:cs="Times New Roman"/>
                <w:color w:val="000000"/>
                <w:sz w:val="18"/>
                <w:szCs w:val="18"/>
              </w:rPr>
              <w:t>440,379.38</w:t>
            </w:r>
          </w:p>
        </w:tc>
        <w:tc>
          <w:tcPr>
            <w:tcW w:w="553" w:type="pct"/>
            <w:shd w:val="clear" w:color="auto" w:fill="auto"/>
            <w:vAlign w:val="center"/>
          </w:tcPr>
          <w:p w14:paraId="65FEFEB3" w14:textId="77777777" w:rsidR="002D0AE7" w:rsidRDefault="00333EBB">
            <w:pPr>
              <w:jc w:val="right"/>
              <w:rPr>
                <w:rFonts w:hint="eastAsia"/>
                <w:sz w:val="18"/>
                <w:szCs w:val="18"/>
              </w:rPr>
            </w:pPr>
            <w:r>
              <w:rPr>
                <w:rFonts w:ascii="Times New Roman" w:hAnsi="Times New Roman" w:cs="Times New Roman"/>
                <w:color w:val="000000"/>
                <w:sz w:val="18"/>
                <w:szCs w:val="18"/>
              </w:rPr>
              <w:t>2,704,989.90</w:t>
            </w:r>
          </w:p>
        </w:tc>
        <w:tc>
          <w:tcPr>
            <w:tcW w:w="253" w:type="pct"/>
            <w:shd w:val="clear" w:color="auto" w:fill="auto"/>
            <w:vAlign w:val="center"/>
          </w:tcPr>
          <w:p w14:paraId="027DFEC9" w14:textId="77777777" w:rsidR="002D0AE7" w:rsidRDefault="00333EBB">
            <w:pPr>
              <w:jc w:val="right"/>
              <w:rPr>
                <w:rFonts w:hint="eastAsia"/>
                <w:sz w:val="18"/>
                <w:szCs w:val="18"/>
              </w:rPr>
            </w:pPr>
            <w:r>
              <w:rPr>
                <w:rFonts w:ascii="Times New Roman" w:hAnsi="Times New Roman" w:cs="Times New Roman"/>
                <w:color w:val="000000"/>
                <w:sz w:val="18"/>
                <w:szCs w:val="18"/>
              </w:rPr>
              <w:t>0.00</w:t>
            </w:r>
          </w:p>
        </w:tc>
        <w:tc>
          <w:tcPr>
            <w:tcW w:w="596" w:type="pct"/>
            <w:shd w:val="clear" w:color="auto" w:fill="auto"/>
            <w:vAlign w:val="center"/>
          </w:tcPr>
          <w:p w14:paraId="36A40BC2" w14:textId="77777777" w:rsidR="002D0AE7" w:rsidRDefault="00333EBB">
            <w:pPr>
              <w:jc w:val="right"/>
              <w:rPr>
                <w:rFonts w:hint="eastAsia"/>
                <w:sz w:val="18"/>
                <w:szCs w:val="18"/>
              </w:rPr>
            </w:pPr>
            <w:r>
              <w:rPr>
                <w:rFonts w:ascii="Times New Roman" w:hAnsi="Times New Roman" w:cs="Times New Roman"/>
                <w:color w:val="000000"/>
                <w:sz w:val="18"/>
                <w:szCs w:val="18"/>
              </w:rPr>
              <w:t>49,658,370.14</w:t>
            </w:r>
          </w:p>
        </w:tc>
      </w:tr>
    </w:tbl>
    <w:p w14:paraId="69C0512D" w14:textId="77777777" w:rsidR="002D0AE7" w:rsidRDefault="00333EBB">
      <w:pPr>
        <w:spacing w:before="60" w:after="60"/>
        <w:rPr>
          <w:rFonts w:hint="eastAsia"/>
          <w:color w:val="000000" w:themeColor="text1"/>
        </w:rPr>
      </w:pPr>
      <w:r>
        <w:rPr>
          <w:rFonts w:hint="eastAsia"/>
          <w:color w:val="000000" w:themeColor="text1"/>
          <w:sz w:val="21"/>
          <w:szCs w:val="21"/>
        </w:rPr>
        <w:t>其他说明，包括对现金流量套期损益的有效部分转为被套期项目初始确认金额调整：</w:t>
      </w:r>
      <w:sdt>
        <w:sdtPr>
          <w:rPr>
            <w:rFonts w:hint="eastAsia"/>
            <w:color w:val="000000" w:themeColor="text1"/>
          </w:rPr>
          <w:alias w:val="综合收益情况"/>
          <w:tag w:val="_GBC_c389c92b3ef04746a88c157ed2e05698"/>
          <w:id w:val="-362671410"/>
          <w:placeholder>
            <w:docPart w:val="GBC22222222222222222222222222222"/>
          </w:placeholder>
        </w:sdtPr>
        <w:sdtEndPr/>
        <w:sdtContent>
          <w:r>
            <w:rPr>
              <w:rFonts w:hint="eastAsia"/>
              <w:color w:val="000000" w:themeColor="text1"/>
            </w:rPr>
            <w:t>无</w:t>
          </w:r>
        </w:sdtContent>
      </w:sdt>
    </w:p>
    <w:bookmarkEnd w:id="213"/>
    <w:p w14:paraId="11F723E9"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szCs w:val="21"/>
        </w:rPr>
        <w:t>专项储备</w:t>
      </w:r>
    </w:p>
    <w:sdt>
      <w:sdtPr>
        <w:rPr>
          <w:color w:val="000000" w:themeColor="text1"/>
        </w:rPr>
        <w:alias w:val="是否适用：专项储备[双击切换]"/>
        <w:tag w:val="_GBC_291ec3c1c38144a3ac0bde67edb318cc"/>
        <w:id w:val="-1570579930"/>
        <w:placeholder>
          <w:docPart w:val="GBC22222222222222222222222222222"/>
        </w:placeholder>
      </w:sdtPr>
      <w:sdtEndPr/>
      <w:sdtContent>
        <w:p w14:paraId="51295F16"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3B31A6BC" w14:textId="77777777" w:rsidR="002D0AE7" w:rsidRDefault="00333EBB">
      <w:pPr>
        <w:pStyle w:val="11"/>
        <w:rPr>
          <w:rFonts w:hint="eastAsia"/>
        </w:rPr>
      </w:pPr>
      <w:r>
        <w:rPr>
          <w:rFonts w:hint="eastAsia"/>
        </w:rPr>
        <w:t>单位：</w:t>
      </w:r>
      <w:sdt>
        <w:sdtPr>
          <w:rPr>
            <w:rFonts w:hint="eastAsia"/>
          </w:rPr>
          <w:alias w:val="单位：财务附注：专项储备"/>
          <w:tag w:val="_GBC_98a0a00169d7461b91b431ef8a517eb1"/>
          <w:id w:val="153383962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财务附注：专项储备"/>
          <w:tag w:val="_GBC_95059903151b47a0a2c8b7569f80df5e"/>
          <w:id w:val="-133398786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75"/>
        <w:gridCol w:w="1775"/>
        <w:gridCol w:w="1816"/>
        <w:gridCol w:w="1789"/>
      </w:tblGrid>
      <w:tr w:rsidR="002D0AE7" w14:paraId="4C89E0ED" w14:textId="77777777">
        <w:sdt>
          <w:sdtPr>
            <w:rPr>
              <w:color w:val="000000" w:themeColor="text1"/>
              <w:sz w:val="21"/>
              <w:szCs w:val="21"/>
            </w:rPr>
            <w:tag w:val="_PLD_10185f3f00484e34ab2fc5b633938a01"/>
            <w:id w:val="-1388650761"/>
          </w:sdtPr>
          <w:sdtEndPr/>
          <w:sdtContent>
            <w:tc>
              <w:tcPr>
                <w:tcW w:w="945" w:type="pct"/>
                <w:shd w:val="clear" w:color="auto" w:fill="auto"/>
                <w:vAlign w:val="center"/>
              </w:tcPr>
              <w:p w14:paraId="7AD648AB"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3a7d7c052d7c403a8ae004d68db8fa4c"/>
            <w:id w:val="88899231"/>
          </w:sdtPr>
          <w:sdtEndPr/>
          <w:sdtContent>
            <w:tc>
              <w:tcPr>
                <w:tcW w:w="1006" w:type="pct"/>
                <w:shd w:val="clear" w:color="auto" w:fill="auto"/>
                <w:vAlign w:val="center"/>
              </w:tcPr>
              <w:p w14:paraId="09AEC82D" w14:textId="77777777" w:rsidR="002D0AE7" w:rsidRDefault="00333EBB">
                <w:pPr>
                  <w:jc w:val="center"/>
                  <w:rPr>
                    <w:rFonts w:hint="eastAsia"/>
                    <w:color w:val="000000" w:themeColor="text1"/>
                    <w:sz w:val="21"/>
                    <w:szCs w:val="21"/>
                  </w:rPr>
                </w:pPr>
                <w:r>
                  <w:rPr>
                    <w:rFonts w:hint="eastAsia"/>
                    <w:color w:val="000000" w:themeColor="text1"/>
                    <w:sz w:val="21"/>
                    <w:szCs w:val="21"/>
                  </w:rPr>
                  <w:t>期初余额</w:t>
                </w:r>
              </w:p>
            </w:tc>
          </w:sdtContent>
        </w:sdt>
        <w:sdt>
          <w:sdtPr>
            <w:rPr>
              <w:color w:val="000000" w:themeColor="text1"/>
              <w:sz w:val="21"/>
              <w:szCs w:val="21"/>
            </w:rPr>
            <w:tag w:val="_PLD_e06fab4ca3b8451eb31df81e9b4922ec"/>
            <w:id w:val="-447236070"/>
          </w:sdtPr>
          <w:sdtEndPr/>
          <w:sdtContent>
            <w:tc>
              <w:tcPr>
                <w:tcW w:w="1006" w:type="pct"/>
                <w:shd w:val="clear" w:color="auto" w:fill="auto"/>
                <w:vAlign w:val="center"/>
              </w:tcPr>
              <w:p w14:paraId="11422A29" w14:textId="77777777" w:rsidR="002D0AE7" w:rsidRDefault="00333EBB">
                <w:pPr>
                  <w:jc w:val="center"/>
                  <w:rPr>
                    <w:rFonts w:hint="eastAsia"/>
                    <w:color w:val="000000" w:themeColor="text1"/>
                    <w:sz w:val="21"/>
                    <w:szCs w:val="21"/>
                  </w:rPr>
                </w:pPr>
                <w:r>
                  <w:rPr>
                    <w:rFonts w:hint="eastAsia"/>
                    <w:color w:val="000000" w:themeColor="text1"/>
                    <w:sz w:val="21"/>
                    <w:szCs w:val="21"/>
                  </w:rPr>
                  <w:t>本期增加</w:t>
                </w:r>
              </w:p>
            </w:tc>
          </w:sdtContent>
        </w:sdt>
        <w:sdt>
          <w:sdtPr>
            <w:rPr>
              <w:color w:val="000000" w:themeColor="text1"/>
              <w:sz w:val="21"/>
              <w:szCs w:val="21"/>
            </w:rPr>
            <w:tag w:val="_PLD_2900f17d2ba041e9a7331e5ca367f7b9"/>
            <w:id w:val="383908356"/>
          </w:sdtPr>
          <w:sdtEndPr/>
          <w:sdtContent>
            <w:tc>
              <w:tcPr>
                <w:tcW w:w="1029" w:type="pct"/>
                <w:shd w:val="clear" w:color="auto" w:fill="auto"/>
                <w:vAlign w:val="center"/>
              </w:tcPr>
              <w:p w14:paraId="32582922" w14:textId="77777777" w:rsidR="002D0AE7" w:rsidRDefault="00333EBB">
                <w:pPr>
                  <w:jc w:val="center"/>
                  <w:rPr>
                    <w:rFonts w:hint="eastAsia"/>
                    <w:color w:val="000000" w:themeColor="text1"/>
                    <w:sz w:val="21"/>
                    <w:szCs w:val="21"/>
                  </w:rPr>
                </w:pPr>
                <w:r>
                  <w:rPr>
                    <w:rFonts w:hint="eastAsia"/>
                    <w:color w:val="000000" w:themeColor="text1"/>
                    <w:sz w:val="21"/>
                    <w:szCs w:val="21"/>
                  </w:rPr>
                  <w:t>本期减少</w:t>
                </w:r>
              </w:p>
            </w:tc>
          </w:sdtContent>
        </w:sdt>
        <w:sdt>
          <w:sdtPr>
            <w:rPr>
              <w:color w:val="000000" w:themeColor="text1"/>
              <w:sz w:val="21"/>
              <w:szCs w:val="21"/>
            </w:rPr>
            <w:tag w:val="_PLD_7fcbcb783b95484a87e1a335f06dfcc3"/>
            <w:id w:val="-1740476942"/>
          </w:sdtPr>
          <w:sdtEndPr/>
          <w:sdtContent>
            <w:tc>
              <w:tcPr>
                <w:tcW w:w="1014" w:type="pct"/>
                <w:shd w:val="clear" w:color="auto" w:fill="auto"/>
                <w:vAlign w:val="center"/>
              </w:tcPr>
              <w:p w14:paraId="7B2EC6B4"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tr>
      <w:tr w:rsidR="002D0AE7" w14:paraId="6A03DE27" w14:textId="77777777">
        <w:tc>
          <w:tcPr>
            <w:tcW w:w="945" w:type="pct"/>
            <w:shd w:val="clear" w:color="auto" w:fill="auto"/>
          </w:tcPr>
          <w:p w14:paraId="6086AF8C" w14:textId="77777777" w:rsidR="002D0AE7" w:rsidRDefault="00333EBB">
            <w:pPr>
              <w:rPr>
                <w:rFonts w:hint="eastAsia"/>
                <w:color w:val="000000" w:themeColor="text1"/>
                <w:sz w:val="21"/>
                <w:szCs w:val="21"/>
              </w:rPr>
            </w:pPr>
            <w:r>
              <w:rPr>
                <w:rFonts w:hint="eastAsia"/>
                <w:color w:val="000000" w:themeColor="text1"/>
                <w:sz w:val="21"/>
                <w:szCs w:val="21"/>
              </w:rPr>
              <w:t>安全生产费</w:t>
            </w:r>
          </w:p>
        </w:tc>
        <w:tc>
          <w:tcPr>
            <w:tcW w:w="1006" w:type="pct"/>
            <w:shd w:val="clear" w:color="auto" w:fill="auto"/>
            <w:vAlign w:val="center"/>
          </w:tcPr>
          <w:p w14:paraId="2A098AB1" w14:textId="77777777" w:rsidR="002D0AE7" w:rsidRDefault="00333EBB">
            <w:pPr>
              <w:jc w:val="right"/>
              <w:rPr>
                <w:rFonts w:hint="eastAsia"/>
                <w:sz w:val="21"/>
                <w:szCs w:val="21"/>
              </w:rPr>
            </w:pPr>
            <w:r>
              <w:rPr>
                <w:rFonts w:ascii="Times New Roman" w:hAnsi="Times New Roman" w:cs="Times New Roman"/>
                <w:sz w:val="21"/>
                <w:szCs w:val="21"/>
              </w:rPr>
              <w:t>0.00</w:t>
            </w:r>
          </w:p>
        </w:tc>
        <w:tc>
          <w:tcPr>
            <w:tcW w:w="1006" w:type="pct"/>
            <w:shd w:val="clear" w:color="auto" w:fill="auto"/>
            <w:vAlign w:val="center"/>
          </w:tcPr>
          <w:p w14:paraId="4B1A734E" w14:textId="77777777" w:rsidR="002D0AE7" w:rsidRDefault="00333EBB">
            <w:pPr>
              <w:jc w:val="right"/>
              <w:rPr>
                <w:rFonts w:hint="eastAsia"/>
                <w:sz w:val="21"/>
                <w:szCs w:val="21"/>
              </w:rPr>
            </w:pPr>
            <w:r>
              <w:rPr>
                <w:rFonts w:ascii="Times New Roman" w:hAnsi="Times New Roman" w:cs="Times New Roman"/>
                <w:sz w:val="21"/>
                <w:szCs w:val="21"/>
              </w:rPr>
              <w:t>4,380,000.00</w:t>
            </w:r>
          </w:p>
        </w:tc>
        <w:tc>
          <w:tcPr>
            <w:tcW w:w="1029" w:type="pct"/>
            <w:shd w:val="clear" w:color="auto" w:fill="auto"/>
            <w:vAlign w:val="center"/>
          </w:tcPr>
          <w:p w14:paraId="50C64A5B" w14:textId="77777777" w:rsidR="002D0AE7" w:rsidRDefault="00333EBB">
            <w:pPr>
              <w:jc w:val="right"/>
              <w:rPr>
                <w:rFonts w:hint="eastAsia"/>
                <w:sz w:val="21"/>
                <w:szCs w:val="21"/>
              </w:rPr>
            </w:pPr>
            <w:r>
              <w:rPr>
                <w:rFonts w:ascii="Times New Roman" w:hAnsi="Times New Roman" w:cs="Times New Roman"/>
                <w:sz w:val="21"/>
                <w:szCs w:val="21"/>
              </w:rPr>
              <w:t>3,180,061.95</w:t>
            </w:r>
          </w:p>
        </w:tc>
        <w:tc>
          <w:tcPr>
            <w:tcW w:w="1014" w:type="pct"/>
            <w:shd w:val="clear" w:color="auto" w:fill="auto"/>
            <w:vAlign w:val="center"/>
          </w:tcPr>
          <w:p w14:paraId="621F68C9" w14:textId="77777777" w:rsidR="002D0AE7" w:rsidRDefault="00333EBB">
            <w:pPr>
              <w:jc w:val="right"/>
              <w:rPr>
                <w:rFonts w:hint="eastAsia"/>
                <w:sz w:val="21"/>
                <w:szCs w:val="21"/>
              </w:rPr>
            </w:pPr>
            <w:r>
              <w:rPr>
                <w:rFonts w:ascii="Times New Roman" w:hAnsi="Times New Roman" w:cs="Times New Roman"/>
                <w:sz w:val="21"/>
                <w:szCs w:val="21"/>
              </w:rPr>
              <w:t>1,199,938.05</w:t>
            </w:r>
          </w:p>
        </w:tc>
      </w:tr>
      <w:tr w:rsidR="002D0AE7" w14:paraId="0027842B" w14:textId="77777777">
        <w:tc>
          <w:tcPr>
            <w:tcW w:w="945" w:type="pct"/>
            <w:shd w:val="clear" w:color="auto" w:fill="auto"/>
            <w:vAlign w:val="center"/>
          </w:tcPr>
          <w:p w14:paraId="316E7707"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1006" w:type="pct"/>
            <w:shd w:val="clear" w:color="auto" w:fill="auto"/>
            <w:vAlign w:val="center"/>
          </w:tcPr>
          <w:p w14:paraId="75D920DB" w14:textId="77777777" w:rsidR="002D0AE7" w:rsidRDefault="00333EBB">
            <w:pPr>
              <w:jc w:val="right"/>
              <w:rPr>
                <w:rFonts w:hint="eastAsia"/>
                <w:sz w:val="21"/>
                <w:szCs w:val="21"/>
              </w:rPr>
            </w:pPr>
            <w:r>
              <w:rPr>
                <w:rFonts w:ascii="Times New Roman" w:hAnsi="Times New Roman" w:cs="Times New Roman"/>
                <w:sz w:val="21"/>
                <w:szCs w:val="21"/>
              </w:rPr>
              <w:t>0.00</w:t>
            </w:r>
          </w:p>
        </w:tc>
        <w:tc>
          <w:tcPr>
            <w:tcW w:w="1006" w:type="pct"/>
            <w:shd w:val="clear" w:color="auto" w:fill="auto"/>
            <w:vAlign w:val="center"/>
          </w:tcPr>
          <w:p w14:paraId="25CE5F2E" w14:textId="77777777" w:rsidR="002D0AE7" w:rsidRDefault="00333EBB">
            <w:pPr>
              <w:jc w:val="right"/>
              <w:rPr>
                <w:rFonts w:hint="eastAsia"/>
                <w:sz w:val="21"/>
                <w:szCs w:val="21"/>
              </w:rPr>
            </w:pPr>
            <w:r>
              <w:rPr>
                <w:rFonts w:ascii="Times New Roman" w:hAnsi="Times New Roman" w:cs="Times New Roman"/>
                <w:sz w:val="21"/>
                <w:szCs w:val="21"/>
              </w:rPr>
              <w:t>4,380,000.00</w:t>
            </w:r>
          </w:p>
        </w:tc>
        <w:tc>
          <w:tcPr>
            <w:tcW w:w="1029" w:type="pct"/>
            <w:shd w:val="clear" w:color="auto" w:fill="auto"/>
            <w:vAlign w:val="center"/>
          </w:tcPr>
          <w:p w14:paraId="792637A8" w14:textId="77777777" w:rsidR="002D0AE7" w:rsidRDefault="00333EBB">
            <w:pPr>
              <w:jc w:val="right"/>
              <w:rPr>
                <w:rFonts w:hint="eastAsia"/>
                <w:sz w:val="21"/>
                <w:szCs w:val="21"/>
              </w:rPr>
            </w:pPr>
            <w:r>
              <w:rPr>
                <w:rFonts w:ascii="Times New Roman" w:hAnsi="Times New Roman" w:cs="Times New Roman"/>
                <w:sz w:val="21"/>
                <w:szCs w:val="21"/>
              </w:rPr>
              <w:t>3,180,061.95</w:t>
            </w:r>
          </w:p>
        </w:tc>
        <w:tc>
          <w:tcPr>
            <w:tcW w:w="1014" w:type="pct"/>
            <w:shd w:val="clear" w:color="auto" w:fill="auto"/>
            <w:vAlign w:val="center"/>
          </w:tcPr>
          <w:p w14:paraId="4A3220F7" w14:textId="77777777" w:rsidR="002D0AE7" w:rsidRDefault="00333EBB">
            <w:pPr>
              <w:jc w:val="right"/>
              <w:rPr>
                <w:rFonts w:hint="eastAsia"/>
                <w:sz w:val="21"/>
                <w:szCs w:val="21"/>
              </w:rPr>
            </w:pPr>
            <w:r>
              <w:rPr>
                <w:rFonts w:ascii="Times New Roman" w:hAnsi="Times New Roman" w:cs="Times New Roman"/>
                <w:sz w:val="21"/>
                <w:szCs w:val="21"/>
              </w:rPr>
              <w:t>1,199,938.05</w:t>
            </w:r>
          </w:p>
        </w:tc>
      </w:tr>
    </w:tbl>
    <w:p w14:paraId="07061056" w14:textId="77777777" w:rsidR="002D0AE7" w:rsidRDefault="00333EBB">
      <w:pPr>
        <w:rPr>
          <w:rFonts w:hint="eastAsia"/>
          <w:color w:val="000000" w:themeColor="text1"/>
        </w:rPr>
      </w:pPr>
      <w:r>
        <w:rPr>
          <w:rFonts w:hint="eastAsia"/>
          <w:color w:val="000000" w:themeColor="text1"/>
        </w:rPr>
        <w:t>其他说明，包括本期增减变动情况、变动原因说明：</w:t>
      </w:r>
    </w:p>
    <w:p w14:paraId="0EAD54E4" w14:textId="77777777" w:rsidR="002D0AE7" w:rsidRDefault="00333EBB">
      <w:pPr>
        <w:rPr>
          <w:rFonts w:hint="eastAsia"/>
          <w:color w:val="000000" w:themeColor="text1"/>
        </w:rPr>
      </w:pPr>
      <w:sdt>
        <w:sdtPr>
          <w:rPr>
            <w:color w:val="000000" w:themeColor="text1"/>
          </w:rPr>
          <w:alias w:val="专项储备情况说明"/>
          <w:tag w:val="_GBC_758f99495b434b96aea70b74014caac7"/>
          <w:id w:val="712463323"/>
          <w:placeholder>
            <w:docPart w:val="GBC22222222222222222222222222222"/>
          </w:placeholder>
        </w:sdtPr>
        <w:sdtEndPr/>
        <w:sdtContent>
          <w:r>
            <w:rPr>
              <w:rFonts w:hint="eastAsia"/>
              <w:color w:val="000000" w:themeColor="text1"/>
              <w:sz w:val="21"/>
              <w:szCs w:val="21"/>
            </w:rPr>
            <w:t>根据财资〔</w:t>
          </w:r>
          <w:r>
            <w:rPr>
              <w:color w:val="000000" w:themeColor="text1"/>
              <w:sz w:val="21"/>
              <w:szCs w:val="21"/>
            </w:rPr>
            <w:t>2022</w:t>
          </w:r>
          <w:r>
            <w:rPr>
              <w:color w:val="000000" w:themeColor="text1"/>
              <w:sz w:val="21"/>
              <w:szCs w:val="21"/>
            </w:rPr>
            <w:t>〕</w:t>
          </w:r>
          <w:r>
            <w:rPr>
              <w:color w:val="000000" w:themeColor="text1"/>
              <w:sz w:val="21"/>
              <w:szCs w:val="21"/>
            </w:rPr>
            <w:t>136</w:t>
          </w:r>
          <w:r>
            <w:rPr>
              <w:color w:val="000000" w:themeColor="text1"/>
              <w:sz w:val="21"/>
              <w:szCs w:val="21"/>
            </w:rPr>
            <w:t>号文件《企业安全生产费用提取和使用管理办法》：第二十一条危险品生产与储存企业以上一年度营业收入为依据，采取超额累退方式确定本年度应计提金额，并逐月平均提取。</w:t>
          </w:r>
        </w:sdtContent>
      </w:sdt>
    </w:p>
    <w:p w14:paraId="2A9E5FAC"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szCs w:val="21"/>
        </w:rPr>
        <w:t>盈余公积</w:t>
      </w:r>
    </w:p>
    <w:sdt>
      <w:sdtPr>
        <w:rPr>
          <w:color w:val="000000" w:themeColor="text1"/>
        </w:rPr>
        <w:alias w:val="是否适用：盈余公积[双击切换]"/>
        <w:tag w:val="_GBC_52b9917fb423490bb32a9d6648a07db9"/>
        <w:id w:val="1608010593"/>
        <w:placeholder>
          <w:docPart w:val="GBC22222222222222222222222222222"/>
        </w:placeholder>
      </w:sdtPr>
      <w:sdtEndPr/>
      <w:sdtContent>
        <w:p w14:paraId="18C92490"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778C66B0"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盈余公积"/>
          <w:tag w:val="_GBC_ea3204141ce3498eaccd14c833f64973"/>
          <w:id w:val="54348886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盈余公积"/>
          <w:tag w:val="_GBC_f5c6664d47b9454d919a38095dd3c48d"/>
          <w:id w:val="188027212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659"/>
        <w:gridCol w:w="1784"/>
        <w:gridCol w:w="1789"/>
        <w:gridCol w:w="1802"/>
        <w:gridCol w:w="1789"/>
      </w:tblGrid>
      <w:tr w:rsidR="002D0AE7" w14:paraId="5F36950F" w14:textId="77777777">
        <w:sdt>
          <w:sdtPr>
            <w:rPr>
              <w:color w:val="000000" w:themeColor="text1"/>
              <w:sz w:val="21"/>
              <w:szCs w:val="21"/>
            </w:rPr>
            <w:tag w:val="_PLD_70f0cea3df9b4646bf8f9454719b4599"/>
            <w:id w:val="867407911"/>
          </w:sdtPr>
          <w:sdtEndPr/>
          <w:sdtContent>
            <w:tc>
              <w:tcPr>
                <w:tcW w:w="940" w:type="pct"/>
              </w:tcPr>
              <w:p w14:paraId="604C633C"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5466d5e3c2b64aeb9abc2e1a21f2e6c0"/>
            <w:id w:val="1882743590"/>
          </w:sdtPr>
          <w:sdtEndPr/>
          <w:sdtContent>
            <w:tc>
              <w:tcPr>
                <w:tcW w:w="1011" w:type="pct"/>
              </w:tcPr>
              <w:p w14:paraId="6D87EF9A"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期初余额</w:t>
                </w:r>
              </w:p>
            </w:tc>
          </w:sdtContent>
        </w:sdt>
        <w:sdt>
          <w:sdtPr>
            <w:rPr>
              <w:color w:val="000000" w:themeColor="text1"/>
              <w:sz w:val="21"/>
              <w:szCs w:val="21"/>
            </w:rPr>
            <w:tag w:val="_PLD_44b0c825c55949b98cff671f8777dd39"/>
            <w:id w:val="-297453934"/>
          </w:sdtPr>
          <w:sdtEndPr/>
          <w:sdtContent>
            <w:tc>
              <w:tcPr>
                <w:tcW w:w="1014" w:type="pct"/>
              </w:tcPr>
              <w:p w14:paraId="12FFDBFD"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本期增加</w:t>
                </w:r>
              </w:p>
            </w:tc>
          </w:sdtContent>
        </w:sdt>
        <w:sdt>
          <w:sdtPr>
            <w:rPr>
              <w:color w:val="000000" w:themeColor="text1"/>
              <w:sz w:val="21"/>
              <w:szCs w:val="21"/>
            </w:rPr>
            <w:tag w:val="_PLD_111b02bee52f4f1a879468aa2243106f"/>
            <w:id w:val="-725992076"/>
          </w:sdtPr>
          <w:sdtEndPr/>
          <w:sdtContent>
            <w:tc>
              <w:tcPr>
                <w:tcW w:w="1021" w:type="pct"/>
              </w:tcPr>
              <w:p w14:paraId="7CA721E4"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本期减少</w:t>
                </w:r>
              </w:p>
            </w:tc>
          </w:sdtContent>
        </w:sdt>
        <w:sdt>
          <w:sdtPr>
            <w:rPr>
              <w:color w:val="000000" w:themeColor="text1"/>
              <w:sz w:val="21"/>
              <w:szCs w:val="21"/>
            </w:rPr>
            <w:tag w:val="_PLD_e6d9dff1341d44c99d9c3f51d8fd2c2f"/>
            <w:id w:val="-591010353"/>
          </w:sdtPr>
          <w:sdtEndPr/>
          <w:sdtContent>
            <w:tc>
              <w:tcPr>
                <w:tcW w:w="1014" w:type="pct"/>
              </w:tcPr>
              <w:p w14:paraId="32CC35BE"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期末余额</w:t>
                </w:r>
              </w:p>
            </w:tc>
          </w:sdtContent>
        </w:sdt>
      </w:tr>
      <w:tr w:rsidR="002D0AE7" w14:paraId="6F680B4C" w14:textId="77777777">
        <w:tc>
          <w:tcPr>
            <w:tcW w:w="940" w:type="pct"/>
            <w:shd w:val="clear" w:color="auto" w:fill="auto"/>
            <w:vAlign w:val="center"/>
          </w:tcPr>
          <w:p w14:paraId="4C0154E3" w14:textId="77777777" w:rsidR="002D0AE7" w:rsidRDefault="00333EBB">
            <w:pPr>
              <w:autoSpaceDE w:val="0"/>
              <w:autoSpaceDN w:val="0"/>
              <w:adjustRightInd w:val="0"/>
              <w:snapToGrid w:val="0"/>
              <w:jc w:val="both"/>
              <w:rPr>
                <w:rFonts w:hint="eastAsia"/>
                <w:color w:val="000000" w:themeColor="text1"/>
                <w:sz w:val="21"/>
                <w:szCs w:val="21"/>
              </w:rPr>
            </w:pPr>
            <w:r>
              <w:rPr>
                <w:rFonts w:hint="eastAsia"/>
                <w:color w:val="000000" w:themeColor="text1"/>
                <w:sz w:val="21"/>
                <w:szCs w:val="21"/>
              </w:rPr>
              <w:t>法定盈余公积</w:t>
            </w:r>
          </w:p>
        </w:tc>
        <w:tc>
          <w:tcPr>
            <w:tcW w:w="1011" w:type="pct"/>
            <w:tcBorders>
              <w:top w:val="nil"/>
              <w:left w:val="nil"/>
              <w:bottom w:val="single" w:sz="8" w:space="0" w:color="auto"/>
              <w:right w:val="single" w:sz="8" w:space="0" w:color="auto"/>
            </w:tcBorders>
            <w:shd w:val="clear" w:color="auto" w:fill="auto"/>
            <w:vAlign w:val="center"/>
          </w:tcPr>
          <w:p w14:paraId="6A226CA4" w14:textId="77777777" w:rsidR="002D0AE7" w:rsidRDefault="00333EBB">
            <w:pPr>
              <w:autoSpaceDE w:val="0"/>
              <w:autoSpaceDN w:val="0"/>
              <w:adjustRightInd w:val="0"/>
              <w:snapToGrid w:val="0"/>
              <w:ind w:right="180"/>
              <w:jc w:val="right"/>
              <w:rPr>
                <w:rFonts w:hint="eastAsia"/>
              </w:rPr>
            </w:pPr>
            <w:r>
              <w:rPr>
                <w:rFonts w:ascii="Times New Roman" w:hAnsi="Times New Roman" w:cs="Times New Roman"/>
                <w:color w:val="000000"/>
                <w:sz w:val="21"/>
                <w:szCs w:val="21"/>
              </w:rPr>
              <w:t>220,599,581.55</w:t>
            </w:r>
          </w:p>
        </w:tc>
        <w:tc>
          <w:tcPr>
            <w:tcW w:w="1014" w:type="pct"/>
            <w:tcBorders>
              <w:top w:val="nil"/>
              <w:left w:val="nil"/>
              <w:bottom w:val="single" w:sz="8" w:space="0" w:color="auto"/>
              <w:right w:val="single" w:sz="8" w:space="0" w:color="auto"/>
            </w:tcBorders>
            <w:shd w:val="clear" w:color="auto" w:fill="auto"/>
            <w:vAlign w:val="center"/>
          </w:tcPr>
          <w:p w14:paraId="45AECA29" w14:textId="77777777" w:rsidR="002D0AE7" w:rsidRDefault="00333EBB">
            <w:pPr>
              <w:autoSpaceDE w:val="0"/>
              <w:autoSpaceDN w:val="0"/>
              <w:adjustRightInd w:val="0"/>
              <w:snapToGrid w:val="0"/>
              <w:ind w:right="180"/>
              <w:jc w:val="right"/>
              <w:rPr>
                <w:rFonts w:hint="eastAsia"/>
              </w:rPr>
            </w:pPr>
            <w:r>
              <w:rPr>
                <w:rFonts w:ascii="Times New Roman" w:hAnsi="Times New Roman" w:cs="Times New Roman"/>
                <w:color w:val="000000"/>
                <w:sz w:val="21"/>
                <w:szCs w:val="21"/>
              </w:rPr>
              <w:t>10,934,856.45</w:t>
            </w:r>
          </w:p>
        </w:tc>
        <w:tc>
          <w:tcPr>
            <w:tcW w:w="1021" w:type="pct"/>
            <w:tcBorders>
              <w:top w:val="nil"/>
              <w:left w:val="nil"/>
              <w:bottom w:val="single" w:sz="8" w:space="0" w:color="auto"/>
              <w:right w:val="single" w:sz="8" w:space="0" w:color="auto"/>
            </w:tcBorders>
            <w:shd w:val="clear" w:color="auto" w:fill="auto"/>
            <w:vAlign w:val="center"/>
          </w:tcPr>
          <w:p w14:paraId="5D8E6707" w14:textId="77777777" w:rsidR="002D0AE7" w:rsidRDefault="00333EBB">
            <w:pPr>
              <w:autoSpaceDE w:val="0"/>
              <w:autoSpaceDN w:val="0"/>
              <w:adjustRightInd w:val="0"/>
              <w:snapToGrid w:val="0"/>
              <w:ind w:right="180"/>
              <w:jc w:val="right"/>
              <w:rPr>
                <w:rFonts w:hint="eastAsia"/>
              </w:rPr>
            </w:pPr>
            <w:r>
              <w:rPr>
                <w:rFonts w:ascii="Times New Roman" w:hAnsi="Times New Roman" w:cs="Times New Roman"/>
                <w:color w:val="000000"/>
                <w:sz w:val="21"/>
                <w:szCs w:val="21"/>
              </w:rPr>
              <w:t>0.00</w:t>
            </w:r>
          </w:p>
        </w:tc>
        <w:tc>
          <w:tcPr>
            <w:tcW w:w="1014" w:type="pct"/>
            <w:tcBorders>
              <w:top w:val="nil"/>
              <w:left w:val="nil"/>
              <w:bottom w:val="single" w:sz="8" w:space="0" w:color="auto"/>
              <w:right w:val="single" w:sz="8" w:space="0" w:color="auto"/>
            </w:tcBorders>
            <w:shd w:val="clear" w:color="auto" w:fill="auto"/>
            <w:vAlign w:val="center"/>
          </w:tcPr>
          <w:p w14:paraId="3B13531B" w14:textId="77777777" w:rsidR="002D0AE7" w:rsidRDefault="00333EBB">
            <w:pPr>
              <w:autoSpaceDE w:val="0"/>
              <w:autoSpaceDN w:val="0"/>
              <w:adjustRightInd w:val="0"/>
              <w:snapToGrid w:val="0"/>
              <w:ind w:right="180"/>
              <w:jc w:val="right"/>
              <w:rPr>
                <w:rFonts w:hint="eastAsia"/>
              </w:rPr>
            </w:pPr>
            <w:r>
              <w:rPr>
                <w:rFonts w:ascii="Times New Roman" w:hAnsi="Times New Roman" w:cs="Times New Roman"/>
                <w:color w:val="000000"/>
                <w:sz w:val="21"/>
                <w:szCs w:val="21"/>
              </w:rPr>
              <w:t>231,534,438.00</w:t>
            </w:r>
          </w:p>
        </w:tc>
      </w:tr>
      <w:tr w:rsidR="002D0AE7" w14:paraId="4A0BA1AD" w14:textId="77777777">
        <w:tc>
          <w:tcPr>
            <w:tcW w:w="940" w:type="pct"/>
            <w:shd w:val="clear" w:color="auto" w:fill="auto"/>
            <w:vAlign w:val="center"/>
          </w:tcPr>
          <w:p w14:paraId="0586504F" w14:textId="77777777" w:rsidR="002D0AE7" w:rsidRDefault="00333EBB">
            <w:pPr>
              <w:autoSpaceDE w:val="0"/>
              <w:autoSpaceDN w:val="0"/>
              <w:adjustRightInd w:val="0"/>
              <w:snapToGrid w:val="0"/>
              <w:jc w:val="both"/>
              <w:rPr>
                <w:rFonts w:hint="eastAsia"/>
                <w:color w:val="000000" w:themeColor="text1"/>
                <w:sz w:val="21"/>
                <w:szCs w:val="21"/>
              </w:rPr>
            </w:pPr>
            <w:r>
              <w:rPr>
                <w:rFonts w:hint="eastAsia"/>
                <w:color w:val="000000" w:themeColor="text1"/>
                <w:sz w:val="21"/>
                <w:szCs w:val="21"/>
              </w:rPr>
              <w:t>任意盈余公积</w:t>
            </w:r>
          </w:p>
        </w:tc>
        <w:tc>
          <w:tcPr>
            <w:tcW w:w="1011" w:type="pct"/>
            <w:tcBorders>
              <w:top w:val="nil"/>
              <w:left w:val="nil"/>
              <w:bottom w:val="single" w:sz="8" w:space="0" w:color="auto"/>
              <w:right w:val="single" w:sz="8" w:space="0" w:color="auto"/>
            </w:tcBorders>
            <w:shd w:val="clear" w:color="auto" w:fill="auto"/>
            <w:vAlign w:val="center"/>
          </w:tcPr>
          <w:p w14:paraId="0CC3972E" w14:textId="77777777" w:rsidR="002D0AE7" w:rsidRDefault="00333EBB">
            <w:pPr>
              <w:autoSpaceDE w:val="0"/>
              <w:autoSpaceDN w:val="0"/>
              <w:adjustRightInd w:val="0"/>
              <w:snapToGrid w:val="0"/>
              <w:ind w:right="180"/>
              <w:jc w:val="right"/>
              <w:rPr>
                <w:rFonts w:hint="eastAsia"/>
              </w:rPr>
            </w:pPr>
            <w:r>
              <w:rPr>
                <w:rFonts w:ascii="Times New Roman" w:hAnsi="Times New Roman" w:cs="Times New Roman"/>
                <w:color w:val="000000"/>
                <w:sz w:val="21"/>
                <w:szCs w:val="21"/>
              </w:rPr>
              <w:t>16,883,505.85</w:t>
            </w:r>
          </w:p>
        </w:tc>
        <w:tc>
          <w:tcPr>
            <w:tcW w:w="1014" w:type="pct"/>
            <w:tcBorders>
              <w:top w:val="nil"/>
              <w:left w:val="nil"/>
              <w:bottom w:val="single" w:sz="8" w:space="0" w:color="auto"/>
              <w:right w:val="single" w:sz="8" w:space="0" w:color="auto"/>
            </w:tcBorders>
            <w:shd w:val="clear" w:color="auto" w:fill="auto"/>
            <w:vAlign w:val="center"/>
          </w:tcPr>
          <w:p w14:paraId="468B8731" w14:textId="77777777" w:rsidR="002D0AE7" w:rsidRDefault="00333EBB">
            <w:pPr>
              <w:autoSpaceDE w:val="0"/>
              <w:autoSpaceDN w:val="0"/>
              <w:adjustRightInd w:val="0"/>
              <w:snapToGrid w:val="0"/>
              <w:ind w:right="180"/>
              <w:jc w:val="right"/>
              <w:rPr>
                <w:rFonts w:hint="eastAsia"/>
              </w:rPr>
            </w:pPr>
            <w:r>
              <w:rPr>
                <w:rFonts w:ascii="Times New Roman" w:hAnsi="Times New Roman" w:cs="Times New Roman"/>
                <w:color w:val="000000"/>
                <w:sz w:val="21"/>
                <w:szCs w:val="21"/>
              </w:rPr>
              <w:t>0.00</w:t>
            </w:r>
          </w:p>
        </w:tc>
        <w:tc>
          <w:tcPr>
            <w:tcW w:w="1021" w:type="pct"/>
            <w:tcBorders>
              <w:top w:val="nil"/>
              <w:left w:val="nil"/>
              <w:bottom w:val="single" w:sz="8" w:space="0" w:color="auto"/>
              <w:right w:val="single" w:sz="8" w:space="0" w:color="auto"/>
            </w:tcBorders>
            <w:shd w:val="clear" w:color="auto" w:fill="auto"/>
            <w:vAlign w:val="center"/>
          </w:tcPr>
          <w:p w14:paraId="71CE4794" w14:textId="77777777" w:rsidR="002D0AE7" w:rsidRDefault="00333EBB">
            <w:pPr>
              <w:autoSpaceDE w:val="0"/>
              <w:autoSpaceDN w:val="0"/>
              <w:adjustRightInd w:val="0"/>
              <w:snapToGrid w:val="0"/>
              <w:ind w:right="180"/>
              <w:jc w:val="right"/>
              <w:rPr>
                <w:rFonts w:hint="eastAsia"/>
              </w:rPr>
            </w:pPr>
            <w:r>
              <w:rPr>
                <w:rFonts w:ascii="Times New Roman" w:hAnsi="Times New Roman" w:cs="Times New Roman"/>
                <w:color w:val="000000"/>
                <w:sz w:val="21"/>
                <w:szCs w:val="21"/>
              </w:rPr>
              <w:t>0.00</w:t>
            </w:r>
          </w:p>
        </w:tc>
        <w:tc>
          <w:tcPr>
            <w:tcW w:w="1014" w:type="pct"/>
            <w:tcBorders>
              <w:top w:val="nil"/>
              <w:left w:val="nil"/>
              <w:bottom w:val="single" w:sz="8" w:space="0" w:color="auto"/>
              <w:right w:val="single" w:sz="8" w:space="0" w:color="auto"/>
            </w:tcBorders>
            <w:shd w:val="clear" w:color="auto" w:fill="auto"/>
            <w:vAlign w:val="center"/>
          </w:tcPr>
          <w:p w14:paraId="119CDE5F" w14:textId="77777777" w:rsidR="002D0AE7" w:rsidRDefault="00333EBB">
            <w:pPr>
              <w:autoSpaceDE w:val="0"/>
              <w:autoSpaceDN w:val="0"/>
              <w:adjustRightInd w:val="0"/>
              <w:snapToGrid w:val="0"/>
              <w:ind w:right="180"/>
              <w:jc w:val="right"/>
              <w:rPr>
                <w:rFonts w:hint="eastAsia"/>
              </w:rPr>
            </w:pPr>
            <w:r>
              <w:rPr>
                <w:rFonts w:ascii="Times New Roman" w:hAnsi="Times New Roman" w:cs="Times New Roman"/>
                <w:color w:val="000000"/>
                <w:sz w:val="21"/>
                <w:szCs w:val="21"/>
              </w:rPr>
              <w:t>16,883,505.85</w:t>
            </w:r>
          </w:p>
        </w:tc>
      </w:tr>
      <w:tr w:rsidR="002D0AE7" w14:paraId="59E8560C" w14:textId="77777777">
        <w:tc>
          <w:tcPr>
            <w:tcW w:w="940" w:type="pct"/>
          </w:tcPr>
          <w:p w14:paraId="3B464868"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合计</w:t>
            </w:r>
          </w:p>
        </w:tc>
        <w:tc>
          <w:tcPr>
            <w:tcW w:w="1011" w:type="pct"/>
            <w:tcBorders>
              <w:top w:val="nil"/>
              <w:left w:val="nil"/>
              <w:bottom w:val="single" w:sz="8" w:space="0" w:color="auto"/>
              <w:right w:val="single" w:sz="8" w:space="0" w:color="auto"/>
            </w:tcBorders>
            <w:shd w:val="clear" w:color="auto" w:fill="auto"/>
            <w:vAlign w:val="center"/>
          </w:tcPr>
          <w:p w14:paraId="1254A077" w14:textId="77777777" w:rsidR="002D0AE7" w:rsidRDefault="00333EBB">
            <w:pPr>
              <w:autoSpaceDE w:val="0"/>
              <w:autoSpaceDN w:val="0"/>
              <w:adjustRightInd w:val="0"/>
              <w:snapToGrid w:val="0"/>
              <w:ind w:right="180"/>
              <w:jc w:val="right"/>
              <w:rPr>
                <w:rFonts w:hint="eastAsia"/>
              </w:rPr>
            </w:pPr>
            <w:r>
              <w:rPr>
                <w:rFonts w:ascii="Times New Roman" w:hAnsi="Times New Roman" w:cs="Times New Roman"/>
                <w:color w:val="000000"/>
                <w:sz w:val="21"/>
                <w:szCs w:val="21"/>
              </w:rPr>
              <w:t>237,483,087.40</w:t>
            </w:r>
          </w:p>
        </w:tc>
        <w:tc>
          <w:tcPr>
            <w:tcW w:w="1014" w:type="pct"/>
            <w:tcBorders>
              <w:top w:val="nil"/>
              <w:left w:val="nil"/>
              <w:bottom w:val="single" w:sz="8" w:space="0" w:color="auto"/>
              <w:right w:val="single" w:sz="8" w:space="0" w:color="auto"/>
            </w:tcBorders>
            <w:shd w:val="clear" w:color="auto" w:fill="auto"/>
            <w:vAlign w:val="center"/>
          </w:tcPr>
          <w:p w14:paraId="539CB12C" w14:textId="77777777" w:rsidR="002D0AE7" w:rsidRDefault="00333EBB">
            <w:pPr>
              <w:autoSpaceDE w:val="0"/>
              <w:autoSpaceDN w:val="0"/>
              <w:adjustRightInd w:val="0"/>
              <w:snapToGrid w:val="0"/>
              <w:ind w:right="180"/>
              <w:jc w:val="right"/>
              <w:rPr>
                <w:rFonts w:hint="eastAsia"/>
              </w:rPr>
            </w:pPr>
            <w:r>
              <w:rPr>
                <w:rFonts w:ascii="Times New Roman" w:hAnsi="Times New Roman" w:cs="Times New Roman"/>
                <w:color w:val="000000"/>
                <w:sz w:val="21"/>
                <w:szCs w:val="21"/>
              </w:rPr>
              <w:t>10,934,856.45</w:t>
            </w:r>
          </w:p>
        </w:tc>
        <w:tc>
          <w:tcPr>
            <w:tcW w:w="1021" w:type="pct"/>
            <w:tcBorders>
              <w:top w:val="nil"/>
              <w:left w:val="nil"/>
              <w:bottom w:val="single" w:sz="8" w:space="0" w:color="auto"/>
              <w:right w:val="single" w:sz="8" w:space="0" w:color="auto"/>
            </w:tcBorders>
            <w:shd w:val="clear" w:color="auto" w:fill="auto"/>
            <w:vAlign w:val="center"/>
          </w:tcPr>
          <w:p w14:paraId="3D45CAD0" w14:textId="77777777" w:rsidR="002D0AE7" w:rsidRDefault="00333EBB">
            <w:pPr>
              <w:autoSpaceDE w:val="0"/>
              <w:autoSpaceDN w:val="0"/>
              <w:adjustRightInd w:val="0"/>
              <w:snapToGrid w:val="0"/>
              <w:ind w:right="180"/>
              <w:jc w:val="right"/>
              <w:rPr>
                <w:rFonts w:hint="eastAsia"/>
              </w:rPr>
            </w:pPr>
            <w:r>
              <w:rPr>
                <w:rFonts w:ascii="Times New Roman" w:hAnsi="Times New Roman" w:cs="Times New Roman"/>
                <w:color w:val="000000"/>
                <w:sz w:val="21"/>
                <w:szCs w:val="21"/>
              </w:rPr>
              <w:t>0.00</w:t>
            </w:r>
          </w:p>
        </w:tc>
        <w:tc>
          <w:tcPr>
            <w:tcW w:w="1014" w:type="pct"/>
            <w:tcBorders>
              <w:top w:val="nil"/>
              <w:left w:val="nil"/>
              <w:bottom w:val="single" w:sz="8" w:space="0" w:color="auto"/>
              <w:right w:val="single" w:sz="8" w:space="0" w:color="auto"/>
            </w:tcBorders>
            <w:shd w:val="clear" w:color="auto" w:fill="auto"/>
            <w:vAlign w:val="center"/>
          </w:tcPr>
          <w:p w14:paraId="398261A2" w14:textId="77777777" w:rsidR="002D0AE7" w:rsidRDefault="00333EBB">
            <w:pPr>
              <w:autoSpaceDE w:val="0"/>
              <w:autoSpaceDN w:val="0"/>
              <w:adjustRightInd w:val="0"/>
              <w:snapToGrid w:val="0"/>
              <w:ind w:right="180"/>
              <w:jc w:val="right"/>
              <w:rPr>
                <w:rFonts w:hint="eastAsia"/>
              </w:rPr>
            </w:pPr>
            <w:r>
              <w:rPr>
                <w:rFonts w:ascii="Times New Roman" w:hAnsi="Times New Roman" w:cs="Times New Roman"/>
                <w:color w:val="000000"/>
                <w:sz w:val="21"/>
                <w:szCs w:val="21"/>
              </w:rPr>
              <w:t>248,417,943.85</w:t>
            </w:r>
          </w:p>
        </w:tc>
      </w:tr>
    </w:tbl>
    <w:p w14:paraId="4139EE2A" w14:textId="77777777" w:rsidR="002D0AE7" w:rsidRDefault="00333EBB">
      <w:pPr>
        <w:spacing w:before="60" w:after="60"/>
        <w:rPr>
          <w:rFonts w:hint="eastAsia"/>
          <w:color w:val="000000" w:themeColor="text1"/>
        </w:rPr>
      </w:pPr>
      <w:r>
        <w:rPr>
          <w:rFonts w:hint="eastAsia"/>
          <w:color w:val="000000" w:themeColor="text1"/>
          <w:sz w:val="21"/>
          <w:szCs w:val="21"/>
        </w:rPr>
        <w:t>盈余公积说明，包括本期增减变动情况、变动原因说明：</w:t>
      </w:r>
      <w:sdt>
        <w:sdtPr>
          <w:rPr>
            <w:color w:val="000000" w:themeColor="text1"/>
          </w:rPr>
          <w:alias w:val="盈余公积说明"/>
          <w:tag w:val="_GBC_33c5d1ed862f4b36950b5ea2188f5b09"/>
          <w:id w:val="-1615049503"/>
          <w:placeholder>
            <w:docPart w:val="GBC22222222222222222222222222222"/>
          </w:placeholder>
        </w:sdtPr>
        <w:sdtEndPr/>
        <w:sdtContent>
          <w:r>
            <w:rPr>
              <w:rFonts w:hint="eastAsia"/>
              <w:color w:val="000000" w:themeColor="text1"/>
            </w:rPr>
            <w:t>无</w:t>
          </w:r>
        </w:sdtContent>
      </w:sdt>
    </w:p>
    <w:p w14:paraId="667298FF"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szCs w:val="21"/>
        </w:rPr>
        <w:t>未分配利润</w:t>
      </w:r>
    </w:p>
    <w:p w14:paraId="55646360" w14:textId="77777777" w:rsidR="002D0AE7" w:rsidRDefault="00333EBB">
      <w:pPr>
        <w:rPr>
          <w:rFonts w:hint="eastAsia"/>
          <w:color w:val="000000" w:themeColor="text1"/>
        </w:rPr>
      </w:pPr>
      <w:sdt>
        <w:sdtPr>
          <w:rPr>
            <w:color w:val="000000" w:themeColor="text1"/>
          </w:rPr>
          <w:alias w:val="是否适用：未分配利润[双击切换]"/>
          <w:tag w:val="_GBC_32c558bdbb77445cabeee783e5ff910e"/>
          <w:id w:val="-1165317137"/>
          <w:lock w:val="contentLocked"/>
          <w:placeholder>
            <w:docPart w:val="GBC22222222222222222222222222222"/>
          </w:placeholder>
        </w:sdtPr>
        <w:sdtEndPr/>
        <w:sdtContent>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sdtContent>
      </w:sdt>
    </w:p>
    <w:p w14:paraId="07453391"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未分配利润"/>
          <w:tag w:val="_GBC_cfb07ff3eded4b49916cfc42d821bab6"/>
          <w:id w:val="132886001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未分配利润"/>
          <w:tag w:val="_GBC_55c70fe731be4b84be72ea88afd989b8"/>
          <w:id w:val="210845693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2126"/>
        <w:gridCol w:w="2165"/>
      </w:tblGrid>
      <w:tr w:rsidR="002D0AE7" w14:paraId="54C07983" w14:textId="77777777">
        <w:trPr>
          <w:cantSplit/>
          <w:jc w:val="center"/>
        </w:trPr>
        <w:sdt>
          <w:sdtPr>
            <w:rPr>
              <w:color w:val="000000" w:themeColor="text1"/>
              <w:sz w:val="21"/>
            </w:rPr>
            <w:tag w:val="_PLD_b6dc2bd7eebb4e6d9f1ccea8d86e6f47"/>
            <w:id w:val="-1370372329"/>
          </w:sdtPr>
          <w:sdtEndPr/>
          <w:sdtContent>
            <w:tc>
              <w:tcPr>
                <w:tcW w:w="2568" w:type="pct"/>
                <w:vAlign w:val="center"/>
              </w:tcPr>
              <w:p w14:paraId="04D8056A" w14:textId="77777777" w:rsidR="002D0AE7" w:rsidRDefault="00333EBB">
                <w:pPr>
                  <w:jc w:val="center"/>
                  <w:rPr>
                    <w:rFonts w:hint="eastAsia"/>
                    <w:color w:val="000000" w:themeColor="text1"/>
                    <w:sz w:val="21"/>
                  </w:rPr>
                </w:pPr>
                <w:r>
                  <w:rPr>
                    <w:rFonts w:hint="eastAsia"/>
                    <w:color w:val="000000" w:themeColor="text1"/>
                    <w:sz w:val="21"/>
                  </w:rPr>
                  <w:t>项目</w:t>
                </w:r>
              </w:p>
            </w:tc>
          </w:sdtContent>
        </w:sdt>
        <w:sdt>
          <w:sdtPr>
            <w:rPr>
              <w:color w:val="000000" w:themeColor="text1"/>
              <w:sz w:val="21"/>
            </w:rPr>
            <w:tag w:val="_PLD_6e60054e3c3747d1a0ffc87edacae2b6"/>
            <w:id w:val="350605716"/>
          </w:sdtPr>
          <w:sdtEndPr/>
          <w:sdtContent>
            <w:tc>
              <w:tcPr>
                <w:tcW w:w="1205" w:type="pct"/>
                <w:vAlign w:val="center"/>
              </w:tcPr>
              <w:p w14:paraId="6E546EC6" w14:textId="77777777" w:rsidR="002D0AE7" w:rsidRDefault="00333EBB">
                <w:pPr>
                  <w:jc w:val="center"/>
                  <w:rPr>
                    <w:rFonts w:hint="eastAsia"/>
                    <w:color w:val="000000" w:themeColor="text1"/>
                    <w:sz w:val="21"/>
                  </w:rPr>
                </w:pPr>
                <w:r>
                  <w:rPr>
                    <w:rFonts w:hint="eastAsia"/>
                    <w:color w:val="000000" w:themeColor="text1"/>
                    <w:sz w:val="21"/>
                  </w:rPr>
                  <w:t>本期</w:t>
                </w:r>
              </w:p>
            </w:tc>
          </w:sdtContent>
        </w:sdt>
        <w:sdt>
          <w:sdtPr>
            <w:rPr>
              <w:color w:val="000000" w:themeColor="text1"/>
              <w:sz w:val="21"/>
            </w:rPr>
            <w:tag w:val="_PLD_9afd54e9959d4b22b00bfe92596a2a16"/>
            <w:id w:val="-1861583348"/>
          </w:sdtPr>
          <w:sdtEndPr/>
          <w:sdtContent>
            <w:tc>
              <w:tcPr>
                <w:tcW w:w="1227" w:type="pct"/>
                <w:vAlign w:val="center"/>
              </w:tcPr>
              <w:p w14:paraId="382A95C5" w14:textId="77777777" w:rsidR="002D0AE7" w:rsidRDefault="00333EBB">
                <w:pPr>
                  <w:jc w:val="center"/>
                  <w:rPr>
                    <w:rFonts w:hint="eastAsia"/>
                    <w:color w:val="000000" w:themeColor="text1"/>
                    <w:sz w:val="21"/>
                  </w:rPr>
                </w:pPr>
                <w:r>
                  <w:rPr>
                    <w:rFonts w:hint="eastAsia"/>
                    <w:color w:val="000000" w:themeColor="text1"/>
                    <w:sz w:val="21"/>
                  </w:rPr>
                  <w:t>上年度</w:t>
                </w:r>
              </w:p>
            </w:tc>
          </w:sdtContent>
        </w:sdt>
      </w:tr>
      <w:tr w:rsidR="002D0AE7" w14:paraId="645C7586" w14:textId="77777777">
        <w:trPr>
          <w:cantSplit/>
          <w:jc w:val="center"/>
        </w:trPr>
        <w:tc>
          <w:tcPr>
            <w:tcW w:w="2568" w:type="pct"/>
          </w:tcPr>
          <w:p w14:paraId="77027359" w14:textId="77777777" w:rsidR="002D0AE7" w:rsidRDefault="00333EBB">
            <w:pPr>
              <w:rPr>
                <w:rFonts w:hint="eastAsia"/>
                <w:color w:val="000000" w:themeColor="text1"/>
                <w:sz w:val="21"/>
              </w:rPr>
            </w:pPr>
            <w:r>
              <w:rPr>
                <w:rFonts w:hint="eastAsia"/>
                <w:color w:val="000000" w:themeColor="text1"/>
                <w:sz w:val="21"/>
              </w:rPr>
              <w:t>调整前上期末未分配利润</w:t>
            </w:r>
          </w:p>
        </w:tc>
        <w:tc>
          <w:tcPr>
            <w:tcW w:w="1205" w:type="pct"/>
            <w:shd w:val="clear" w:color="auto" w:fill="auto"/>
            <w:vAlign w:val="center"/>
          </w:tcPr>
          <w:p w14:paraId="34101897" w14:textId="77777777" w:rsidR="002D0AE7" w:rsidRDefault="00333EBB">
            <w:pPr>
              <w:ind w:right="6"/>
              <w:jc w:val="right"/>
              <w:rPr>
                <w:rFonts w:hint="eastAsia"/>
              </w:rPr>
            </w:pPr>
            <w:r>
              <w:rPr>
                <w:rFonts w:ascii="Times New Roman" w:hAnsi="Times New Roman" w:cs="Times New Roman"/>
                <w:color w:val="000000"/>
                <w:sz w:val="21"/>
                <w:szCs w:val="21"/>
              </w:rPr>
              <w:t>1,257,721,088.14</w:t>
            </w:r>
          </w:p>
        </w:tc>
        <w:tc>
          <w:tcPr>
            <w:tcW w:w="1227" w:type="pct"/>
            <w:shd w:val="clear" w:color="auto" w:fill="auto"/>
            <w:vAlign w:val="center"/>
          </w:tcPr>
          <w:p w14:paraId="688C2B0D" w14:textId="77777777" w:rsidR="002D0AE7" w:rsidRDefault="00333EBB">
            <w:pPr>
              <w:jc w:val="right"/>
              <w:rPr>
                <w:rFonts w:hint="eastAsia"/>
              </w:rPr>
            </w:pPr>
            <w:r>
              <w:rPr>
                <w:rFonts w:ascii="Times New Roman" w:hAnsi="Times New Roman" w:cs="Times New Roman"/>
                <w:color w:val="000000"/>
                <w:sz w:val="21"/>
                <w:szCs w:val="21"/>
              </w:rPr>
              <w:t>1,159,795,320.02</w:t>
            </w:r>
          </w:p>
        </w:tc>
      </w:tr>
      <w:tr w:rsidR="002D0AE7" w14:paraId="6A9EF356" w14:textId="77777777">
        <w:trPr>
          <w:cantSplit/>
          <w:jc w:val="center"/>
        </w:trPr>
        <w:tc>
          <w:tcPr>
            <w:tcW w:w="2568" w:type="pct"/>
          </w:tcPr>
          <w:p w14:paraId="4A1593C9" w14:textId="77777777" w:rsidR="002D0AE7" w:rsidRDefault="00333EBB">
            <w:pPr>
              <w:rPr>
                <w:rFonts w:hint="eastAsia"/>
                <w:color w:val="000000" w:themeColor="text1"/>
                <w:sz w:val="21"/>
              </w:rPr>
            </w:pPr>
            <w:r>
              <w:rPr>
                <w:rFonts w:hint="eastAsia"/>
                <w:color w:val="000000" w:themeColor="text1"/>
                <w:sz w:val="21"/>
              </w:rPr>
              <w:t>调整期初未分配利润合计数（调增</w:t>
            </w:r>
            <w:r>
              <w:rPr>
                <w:color w:val="000000" w:themeColor="text1"/>
                <w:sz w:val="21"/>
              </w:rPr>
              <w:t>+</w:t>
            </w:r>
            <w:r>
              <w:rPr>
                <w:rFonts w:hint="eastAsia"/>
                <w:color w:val="000000" w:themeColor="text1"/>
                <w:sz w:val="21"/>
              </w:rPr>
              <w:t>，调减－）</w:t>
            </w:r>
          </w:p>
        </w:tc>
        <w:tc>
          <w:tcPr>
            <w:tcW w:w="1205" w:type="pct"/>
            <w:shd w:val="clear" w:color="auto" w:fill="auto"/>
            <w:vAlign w:val="center"/>
          </w:tcPr>
          <w:p w14:paraId="38D35465" w14:textId="77777777" w:rsidR="002D0AE7" w:rsidRDefault="00333EBB">
            <w:pPr>
              <w:ind w:right="6"/>
              <w:jc w:val="right"/>
              <w:rPr>
                <w:rFonts w:hint="eastAsia"/>
              </w:rPr>
            </w:pPr>
            <w:r>
              <w:rPr>
                <w:rFonts w:ascii="Times New Roman" w:hAnsi="Times New Roman" w:cs="Times New Roman"/>
                <w:color w:val="000000"/>
                <w:sz w:val="21"/>
                <w:szCs w:val="21"/>
              </w:rPr>
              <w:t>0.00</w:t>
            </w:r>
          </w:p>
        </w:tc>
        <w:tc>
          <w:tcPr>
            <w:tcW w:w="1227" w:type="pct"/>
            <w:shd w:val="clear" w:color="auto" w:fill="auto"/>
            <w:vAlign w:val="center"/>
          </w:tcPr>
          <w:p w14:paraId="1E598062" w14:textId="77777777" w:rsidR="002D0AE7" w:rsidRDefault="00333EBB">
            <w:pPr>
              <w:ind w:right="6"/>
              <w:jc w:val="right"/>
              <w:rPr>
                <w:rFonts w:hint="eastAsia"/>
              </w:rPr>
            </w:pPr>
            <w:r>
              <w:rPr>
                <w:rFonts w:ascii="Times New Roman" w:hAnsi="Times New Roman" w:cs="Times New Roman"/>
                <w:color w:val="000000"/>
                <w:sz w:val="21"/>
                <w:szCs w:val="21"/>
              </w:rPr>
              <w:t>0.00</w:t>
            </w:r>
          </w:p>
        </w:tc>
      </w:tr>
      <w:tr w:rsidR="002D0AE7" w14:paraId="04450CD8" w14:textId="77777777">
        <w:trPr>
          <w:cantSplit/>
          <w:jc w:val="center"/>
        </w:trPr>
        <w:tc>
          <w:tcPr>
            <w:tcW w:w="2568" w:type="pct"/>
          </w:tcPr>
          <w:p w14:paraId="6EEA0BDF" w14:textId="77777777" w:rsidR="002D0AE7" w:rsidRDefault="00333EBB">
            <w:pPr>
              <w:rPr>
                <w:rFonts w:hint="eastAsia"/>
                <w:color w:val="000000" w:themeColor="text1"/>
                <w:sz w:val="21"/>
              </w:rPr>
            </w:pPr>
            <w:r>
              <w:rPr>
                <w:rFonts w:hint="eastAsia"/>
                <w:color w:val="000000" w:themeColor="text1"/>
                <w:sz w:val="21"/>
              </w:rPr>
              <w:t>调整后期初未分配利润</w:t>
            </w:r>
          </w:p>
        </w:tc>
        <w:tc>
          <w:tcPr>
            <w:tcW w:w="1205" w:type="pct"/>
            <w:shd w:val="clear" w:color="auto" w:fill="auto"/>
            <w:vAlign w:val="center"/>
          </w:tcPr>
          <w:p w14:paraId="23D65DDA" w14:textId="77777777" w:rsidR="002D0AE7" w:rsidRDefault="00333EBB">
            <w:pPr>
              <w:ind w:right="6"/>
              <w:jc w:val="right"/>
              <w:rPr>
                <w:rFonts w:hint="eastAsia"/>
              </w:rPr>
            </w:pPr>
            <w:r>
              <w:rPr>
                <w:rFonts w:ascii="Times New Roman" w:hAnsi="Times New Roman" w:cs="Times New Roman"/>
                <w:color w:val="000000"/>
                <w:sz w:val="21"/>
                <w:szCs w:val="21"/>
              </w:rPr>
              <w:t>1,257,721,088.14</w:t>
            </w:r>
          </w:p>
        </w:tc>
        <w:tc>
          <w:tcPr>
            <w:tcW w:w="1227" w:type="pct"/>
            <w:shd w:val="clear" w:color="auto" w:fill="auto"/>
            <w:vAlign w:val="center"/>
          </w:tcPr>
          <w:p w14:paraId="71DB4723" w14:textId="77777777" w:rsidR="002D0AE7" w:rsidRDefault="00333EBB">
            <w:pPr>
              <w:ind w:right="6"/>
              <w:jc w:val="right"/>
              <w:rPr>
                <w:rFonts w:hint="eastAsia"/>
              </w:rPr>
            </w:pPr>
            <w:r>
              <w:rPr>
                <w:rFonts w:ascii="Times New Roman" w:hAnsi="Times New Roman" w:cs="Times New Roman"/>
                <w:color w:val="000000"/>
                <w:sz w:val="21"/>
                <w:szCs w:val="21"/>
              </w:rPr>
              <w:t>1,159,795,320.02</w:t>
            </w:r>
          </w:p>
        </w:tc>
      </w:tr>
      <w:tr w:rsidR="002D0AE7" w14:paraId="27A8646D" w14:textId="77777777">
        <w:trPr>
          <w:cantSplit/>
          <w:jc w:val="center"/>
        </w:trPr>
        <w:tc>
          <w:tcPr>
            <w:tcW w:w="2568" w:type="pct"/>
          </w:tcPr>
          <w:p w14:paraId="680A6926" w14:textId="77777777" w:rsidR="002D0AE7" w:rsidRDefault="00333EBB">
            <w:pPr>
              <w:ind w:right="6"/>
              <w:rPr>
                <w:rFonts w:hint="eastAsia"/>
                <w:color w:val="000000" w:themeColor="text1"/>
                <w:sz w:val="21"/>
              </w:rPr>
            </w:pPr>
            <w:r>
              <w:rPr>
                <w:rFonts w:hint="eastAsia"/>
                <w:color w:val="000000" w:themeColor="text1"/>
                <w:sz w:val="21"/>
              </w:rPr>
              <w:t>加：本期归属于母公司所有者的净利润</w:t>
            </w:r>
          </w:p>
        </w:tc>
        <w:tc>
          <w:tcPr>
            <w:tcW w:w="1205" w:type="pct"/>
            <w:shd w:val="clear" w:color="auto" w:fill="auto"/>
            <w:vAlign w:val="center"/>
          </w:tcPr>
          <w:p w14:paraId="7270B6DC" w14:textId="77777777" w:rsidR="002D0AE7" w:rsidRDefault="00333EBB">
            <w:pPr>
              <w:ind w:right="6"/>
              <w:jc w:val="right"/>
              <w:rPr>
                <w:rFonts w:hint="eastAsia"/>
              </w:rPr>
            </w:pPr>
            <w:r>
              <w:rPr>
                <w:rFonts w:ascii="Times New Roman" w:hAnsi="Times New Roman" w:cs="Times New Roman"/>
                <w:color w:val="000000"/>
                <w:sz w:val="21"/>
                <w:szCs w:val="21"/>
              </w:rPr>
              <w:t>142,020,246.39</w:t>
            </w:r>
          </w:p>
        </w:tc>
        <w:tc>
          <w:tcPr>
            <w:tcW w:w="1227" w:type="pct"/>
            <w:shd w:val="clear" w:color="auto" w:fill="auto"/>
            <w:vAlign w:val="center"/>
          </w:tcPr>
          <w:p w14:paraId="692410E1" w14:textId="77777777" w:rsidR="002D0AE7" w:rsidRDefault="00333EBB">
            <w:pPr>
              <w:ind w:right="6"/>
              <w:jc w:val="right"/>
              <w:rPr>
                <w:rFonts w:hint="eastAsia"/>
              </w:rPr>
            </w:pPr>
            <w:r>
              <w:rPr>
                <w:rFonts w:ascii="Times New Roman" w:hAnsi="Times New Roman" w:cs="Times New Roman"/>
                <w:color w:val="000000"/>
                <w:sz w:val="21"/>
                <w:szCs w:val="21"/>
              </w:rPr>
              <w:t>117,052,520.50</w:t>
            </w:r>
          </w:p>
        </w:tc>
      </w:tr>
      <w:tr w:rsidR="002D0AE7" w14:paraId="186E938E" w14:textId="77777777">
        <w:trPr>
          <w:cantSplit/>
          <w:jc w:val="center"/>
        </w:trPr>
        <w:tc>
          <w:tcPr>
            <w:tcW w:w="2568" w:type="pct"/>
          </w:tcPr>
          <w:p w14:paraId="02217787" w14:textId="77777777" w:rsidR="002D0AE7" w:rsidRDefault="00333EBB">
            <w:pPr>
              <w:autoSpaceDE w:val="0"/>
              <w:autoSpaceDN w:val="0"/>
              <w:adjustRightInd w:val="0"/>
              <w:rPr>
                <w:rFonts w:hint="eastAsia"/>
                <w:color w:val="000000" w:themeColor="text1"/>
                <w:sz w:val="21"/>
              </w:rPr>
            </w:pPr>
            <w:r>
              <w:rPr>
                <w:rFonts w:hint="eastAsia"/>
                <w:color w:val="000000" w:themeColor="text1"/>
                <w:sz w:val="21"/>
              </w:rPr>
              <w:t>减：提取法定盈余公积</w:t>
            </w:r>
          </w:p>
        </w:tc>
        <w:tc>
          <w:tcPr>
            <w:tcW w:w="1205" w:type="pct"/>
            <w:shd w:val="clear" w:color="auto" w:fill="auto"/>
            <w:vAlign w:val="center"/>
          </w:tcPr>
          <w:p w14:paraId="58F325EC" w14:textId="77777777" w:rsidR="002D0AE7" w:rsidRDefault="00333EBB">
            <w:pPr>
              <w:jc w:val="right"/>
              <w:rPr>
                <w:rFonts w:hint="eastAsia"/>
              </w:rPr>
            </w:pPr>
            <w:r>
              <w:rPr>
                <w:rFonts w:ascii="Times New Roman" w:hAnsi="Times New Roman" w:cs="Times New Roman"/>
                <w:color w:val="000000"/>
                <w:sz w:val="21"/>
                <w:szCs w:val="21"/>
              </w:rPr>
              <w:t>10,934,856.45</w:t>
            </w:r>
          </w:p>
        </w:tc>
        <w:tc>
          <w:tcPr>
            <w:tcW w:w="1227" w:type="pct"/>
            <w:shd w:val="clear" w:color="auto" w:fill="auto"/>
            <w:vAlign w:val="center"/>
          </w:tcPr>
          <w:p w14:paraId="0302AB34" w14:textId="77777777" w:rsidR="002D0AE7" w:rsidRDefault="00333EBB">
            <w:pPr>
              <w:ind w:right="6"/>
              <w:jc w:val="right"/>
              <w:rPr>
                <w:rFonts w:hint="eastAsia"/>
              </w:rPr>
            </w:pPr>
            <w:r>
              <w:rPr>
                <w:rFonts w:ascii="Times New Roman" w:hAnsi="Times New Roman" w:cs="Times New Roman"/>
                <w:color w:val="000000"/>
                <w:sz w:val="21"/>
                <w:szCs w:val="21"/>
              </w:rPr>
              <w:t>8,244,545.58</w:t>
            </w:r>
          </w:p>
        </w:tc>
      </w:tr>
      <w:tr w:rsidR="002D0AE7" w14:paraId="18D6618A" w14:textId="77777777">
        <w:trPr>
          <w:cantSplit/>
          <w:jc w:val="center"/>
        </w:trPr>
        <w:tc>
          <w:tcPr>
            <w:tcW w:w="2568" w:type="pct"/>
          </w:tcPr>
          <w:p w14:paraId="651F61C3" w14:textId="77777777" w:rsidR="002D0AE7" w:rsidRDefault="00333EBB">
            <w:pPr>
              <w:autoSpaceDE w:val="0"/>
              <w:autoSpaceDN w:val="0"/>
              <w:adjustRightInd w:val="0"/>
              <w:ind w:firstLine="420"/>
              <w:rPr>
                <w:rFonts w:hint="eastAsia"/>
                <w:color w:val="000000" w:themeColor="text1"/>
                <w:sz w:val="21"/>
              </w:rPr>
            </w:pPr>
            <w:r>
              <w:rPr>
                <w:rFonts w:hint="eastAsia"/>
                <w:color w:val="000000" w:themeColor="text1"/>
                <w:sz w:val="21"/>
              </w:rPr>
              <w:t>提取任意盈余公积</w:t>
            </w:r>
          </w:p>
        </w:tc>
        <w:tc>
          <w:tcPr>
            <w:tcW w:w="1205" w:type="pct"/>
            <w:shd w:val="clear" w:color="auto" w:fill="auto"/>
            <w:vAlign w:val="center"/>
          </w:tcPr>
          <w:p w14:paraId="7FF66900" w14:textId="77777777" w:rsidR="002D0AE7" w:rsidRDefault="00333EBB">
            <w:pPr>
              <w:jc w:val="right"/>
              <w:rPr>
                <w:rFonts w:hint="eastAsia"/>
              </w:rPr>
            </w:pPr>
            <w:r>
              <w:rPr>
                <w:rFonts w:ascii="Times New Roman" w:hAnsi="Times New Roman" w:cs="Times New Roman"/>
                <w:color w:val="000000"/>
                <w:sz w:val="21"/>
                <w:szCs w:val="21"/>
              </w:rPr>
              <w:t>0.00</w:t>
            </w:r>
          </w:p>
        </w:tc>
        <w:tc>
          <w:tcPr>
            <w:tcW w:w="1227" w:type="pct"/>
            <w:shd w:val="clear" w:color="auto" w:fill="auto"/>
            <w:vAlign w:val="center"/>
          </w:tcPr>
          <w:p w14:paraId="2B272C2C" w14:textId="77777777" w:rsidR="002D0AE7" w:rsidRDefault="00333EBB">
            <w:pPr>
              <w:ind w:right="6"/>
              <w:jc w:val="right"/>
              <w:rPr>
                <w:rFonts w:hint="eastAsia"/>
              </w:rPr>
            </w:pPr>
            <w:r>
              <w:rPr>
                <w:rFonts w:ascii="Times New Roman" w:hAnsi="Times New Roman" w:cs="Times New Roman"/>
                <w:color w:val="000000"/>
                <w:sz w:val="21"/>
                <w:szCs w:val="21"/>
              </w:rPr>
              <w:t>0.00</w:t>
            </w:r>
          </w:p>
        </w:tc>
      </w:tr>
      <w:tr w:rsidR="002D0AE7" w14:paraId="5A6CC450" w14:textId="77777777">
        <w:trPr>
          <w:cantSplit/>
          <w:jc w:val="center"/>
        </w:trPr>
        <w:tc>
          <w:tcPr>
            <w:tcW w:w="2568" w:type="pct"/>
          </w:tcPr>
          <w:p w14:paraId="73689E88" w14:textId="77777777" w:rsidR="002D0AE7" w:rsidRDefault="00333EBB">
            <w:pPr>
              <w:autoSpaceDE w:val="0"/>
              <w:autoSpaceDN w:val="0"/>
              <w:adjustRightInd w:val="0"/>
              <w:ind w:firstLine="420"/>
              <w:rPr>
                <w:rFonts w:hint="eastAsia"/>
                <w:color w:val="000000" w:themeColor="text1"/>
                <w:sz w:val="21"/>
              </w:rPr>
            </w:pPr>
            <w:r>
              <w:rPr>
                <w:rFonts w:hint="eastAsia"/>
                <w:color w:val="000000" w:themeColor="text1"/>
                <w:sz w:val="21"/>
              </w:rPr>
              <w:t>提取一般风险准备</w:t>
            </w:r>
          </w:p>
        </w:tc>
        <w:tc>
          <w:tcPr>
            <w:tcW w:w="1205" w:type="pct"/>
            <w:shd w:val="clear" w:color="auto" w:fill="auto"/>
            <w:vAlign w:val="center"/>
          </w:tcPr>
          <w:p w14:paraId="0F96B87A" w14:textId="77777777" w:rsidR="002D0AE7" w:rsidRDefault="00333EBB">
            <w:pPr>
              <w:jc w:val="right"/>
              <w:rPr>
                <w:rFonts w:hint="eastAsia"/>
              </w:rPr>
            </w:pPr>
            <w:r>
              <w:rPr>
                <w:rFonts w:ascii="Times New Roman" w:hAnsi="Times New Roman" w:cs="Times New Roman"/>
                <w:color w:val="000000"/>
                <w:sz w:val="21"/>
                <w:szCs w:val="21"/>
              </w:rPr>
              <w:t>0.00</w:t>
            </w:r>
          </w:p>
        </w:tc>
        <w:tc>
          <w:tcPr>
            <w:tcW w:w="1227" w:type="pct"/>
            <w:shd w:val="clear" w:color="auto" w:fill="auto"/>
            <w:vAlign w:val="center"/>
          </w:tcPr>
          <w:p w14:paraId="242FD78B" w14:textId="77777777" w:rsidR="002D0AE7" w:rsidRDefault="00333EBB">
            <w:pPr>
              <w:ind w:right="6"/>
              <w:jc w:val="right"/>
              <w:rPr>
                <w:rFonts w:hint="eastAsia"/>
              </w:rPr>
            </w:pPr>
            <w:r>
              <w:rPr>
                <w:rFonts w:ascii="Times New Roman" w:hAnsi="Times New Roman" w:cs="Times New Roman"/>
                <w:color w:val="000000"/>
                <w:sz w:val="21"/>
                <w:szCs w:val="21"/>
              </w:rPr>
              <w:t>0.00</w:t>
            </w:r>
          </w:p>
        </w:tc>
      </w:tr>
      <w:tr w:rsidR="002D0AE7" w14:paraId="61CDEA2F" w14:textId="77777777">
        <w:trPr>
          <w:cantSplit/>
          <w:jc w:val="center"/>
        </w:trPr>
        <w:tc>
          <w:tcPr>
            <w:tcW w:w="2568" w:type="pct"/>
          </w:tcPr>
          <w:p w14:paraId="19B42295" w14:textId="77777777" w:rsidR="002D0AE7" w:rsidRDefault="00333EBB">
            <w:pPr>
              <w:autoSpaceDE w:val="0"/>
              <w:autoSpaceDN w:val="0"/>
              <w:adjustRightInd w:val="0"/>
              <w:ind w:firstLine="420"/>
              <w:rPr>
                <w:rFonts w:hint="eastAsia"/>
                <w:color w:val="000000" w:themeColor="text1"/>
                <w:sz w:val="21"/>
              </w:rPr>
            </w:pPr>
            <w:r>
              <w:rPr>
                <w:rFonts w:hint="eastAsia"/>
                <w:color w:val="000000" w:themeColor="text1"/>
                <w:sz w:val="21"/>
              </w:rPr>
              <w:t>应付普通股股利</w:t>
            </w:r>
          </w:p>
        </w:tc>
        <w:tc>
          <w:tcPr>
            <w:tcW w:w="1205" w:type="pct"/>
            <w:shd w:val="clear" w:color="auto" w:fill="auto"/>
            <w:vAlign w:val="center"/>
          </w:tcPr>
          <w:p w14:paraId="2E9F68B9" w14:textId="77777777" w:rsidR="002D0AE7" w:rsidRDefault="00333EBB">
            <w:pPr>
              <w:jc w:val="right"/>
              <w:rPr>
                <w:rFonts w:hint="eastAsia"/>
              </w:rPr>
            </w:pPr>
            <w:r>
              <w:rPr>
                <w:rFonts w:ascii="Times New Roman" w:hAnsi="Times New Roman" w:cs="Times New Roman"/>
                <w:color w:val="000000"/>
                <w:sz w:val="21"/>
                <w:szCs w:val="21"/>
              </w:rPr>
              <w:t>95,172,143.16</w:t>
            </w:r>
          </w:p>
        </w:tc>
        <w:tc>
          <w:tcPr>
            <w:tcW w:w="1227" w:type="pct"/>
            <w:shd w:val="clear" w:color="auto" w:fill="auto"/>
            <w:vAlign w:val="center"/>
          </w:tcPr>
          <w:p w14:paraId="34815CB2" w14:textId="77777777" w:rsidR="002D0AE7" w:rsidRDefault="00333EBB">
            <w:pPr>
              <w:ind w:right="6"/>
              <w:jc w:val="right"/>
              <w:rPr>
                <w:rFonts w:hint="eastAsia"/>
              </w:rPr>
            </w:pPr>
            <w:r>
              <w:rPr>
                <w:rFonts w:ascii="Times New Roman" w:hAnsi="Times New Roman" w:cs="Times New Roman"/>
                <w:color w:val="000000"/>
                <w:sz w:val="21"/>
                <w:szCs w:val="21"/>
              </w:rPr>
              <w:t>10,882,206.80</w:t>
            </w:r>
          </w:p>
        </w:tc>
      </w:tr>
      <w:tr w:rsidR="002D0AE7" w14:paraId="1EEBCF0F" w14:textId="77777777">
        <w:trPr>
          <w:cantSplit/>
          <w:jc w:val="center"/>
        </w:trPr>
        <w:tc>
          <w:tcPr>
            <w:tcW w:w="2568" w:type="pct"/>
          </w:tcPr>
          <w:p w14:paraId="339DFEE4" w14:textId="77777777" w:rsidR="002D0AE7" w:rsidRDefault="00333EBB">
            <w:pPr>
              <w:autoSpaceDE w:val="0"/>
              <w:autoSpaceDN w:val="0"/>
              <w:adjustRightInd w:val="0"/>
              <w:ind w:firstLine="420"/>
              <w:rPr>
                <w:rFonts w:hint="eastAsia"/>
                <w:color w:val="000000" w:themeColor="text1"/>
                <w:sz w:val="21"/>
              </w:rPr>
            </w:pPr>
            <w:r>
              <w:rPr>
                <w:rFonts w:hint="eastAsia"/>
                <w:color w:val="000000" w:themeColor="text1"/>
                <w:sz w:val="21"/>
              </w:rPr>
              <w:t>转作股本的普通股股利</w:t>
            </w:r>
          </w:p>
        </w:tc>
        <w:tc>
          <w:tcPr>
            <w:tcW w:w="1205" w:type="pct"/>
            <w:shd w:val="clear" w:color="auto" w:fill="auto"/>
            <w:vAlign w:val="center"/>
          </w:tcPr>
          <w:p w14:paraId="4F48474B" w14:textId="77777777" w:rsidR="002D0AE7" w:rsidRDefault="00333EBB">
            <w:pPr>
              <w:jc w:val="right"/>
              <w:rPr>
                <w:rFonts w:hint="eastAsia"/>
              </w:rPr>
            </w:pPr>
            <w:r>
              <w:rPr>
                <w:rFonts w:ascii="Times New Roman" w:hAnsi="Times New Roman" w:cs="Times New Roman"/>
                <w:color w:val="000000"/>
                <w:sz w:val="21"/>
                <w:szCs w:val="21"/>
              </w:rPr>
              <w:t>0.00</w:t>
            </w:r>
          </w:p>
        </w:tc>
        <w:tc>
          <w:tcPr>
            <w:tcW w:w="1227" w:type="pct"/>
            <w:shd w:val="clear" w:color="auto" w:fill="auto"/>
            <w:vAlign w:val="center"/>
          </w:tcPr>
          <w:p w14:paraId="22E3F99D" w14:textId="77777777" w:rsidR="002D0AE7" w:rsidRDefault="00333EBB">
            <w:pPr>
              <w:ind w:right="6"/>
              <w:jc w:val="right"/>
              <w:rPr>
                <w:rFonts w:hint="eastAsia"/>
              </w:rPr>
            </w:pPr>
            <w:r>
              <w:rPr>
                <w:rFonts w:ascii="Times New Roman" w:hAnsi="Times New Roman" w:cs="Times New Roman"/>
                <w:color w:val="000000"/>
                <w:sz w:val="21"/>
                <w:szCs w:val="21"/>
              </w:rPr>
              <w:t>0.00</w:t>
            </w:r>
          </w:p>
        </w:tc>
      </w:tr>
      <w:tr w:rsidR="002D0AE7" w14:paraId="12BE7C12" w14:textId="77777777">
        <w:trPr>
          <w:cantSplit/>
          <w:jc w:val="center"/>
        </w:trPr>
        <w:tc>
          <w:tcPr>
            <w:tcW w:w="2568" w:type="pct"/>
          </w:tcPr>
          <w:p w14:paraId="57732FD0" w14:textId="77777777" w:rsidR="002D0AE7" w:rsidRDefault="00333EBB">
            <w:pPr>
              <w:autoSpaceDE w:val="0"/>
              <w:autoSpaceDN w:val="0"/>
              <w:adjustRightInd w:val="0"/>
              <w:rPr>
                <w:rFonts w:hint="eastAsia"/>
                <w:sz w:val="21"/>
              </w:rPr>
            </w:pPr>
            <w:r>
              <w:rPr>
                <w:rFonts w:hint="eastAsia"/>
                <w:sz w:val="21"/>
              </w:rPr>
              <w:t>加：其他</w:t>
            </w:r>
          </w:p>
        </w:tc>
        <w:tc>
          <w:tcPr>
            <w:tcW w:w="1205" w:type="pct"/>
            <w:shd w:val="clear" w:color="auto" w:fill="auto"/>
            <w:vAlign w:val="center"/>
          </w:tcPr>
          <w:p w14:paraId="78FE35B2" w14:textId="77777777" w:rsidR="002D0AE7" w:rsidRDefault="00333EBB">
            <w:pPr>
              <w:ind w:right="6"/>
              <w:jc w:val="right"/>
              <w:rPr>
                <w:rFonts w:hint="eastAsia"/>
              </w:rPr>
            </w:pPr>
            <w:r>
              <w:rPr>
                <w:rFonts w:ascii="Times New Roman" w:hAnsi="Times New Roman" w:cs="Times New Roman"/>
                <w:color w:val="000000"/>
                <w:sz w:val="21"/>
                <w:szCs w:val="21"/>
              </w:rPr>
              <w:t>0.00</w:t>
            </w:r>
          </w:p>
        </w:tc>
        <w:tc>
          <w:tcPr>
            <w:tcW w:w="1227" w:type="pct"/>
            <w:shd w:val="clear" w:color="auto" w:fill="auto"/>
            <w:vAlign w:val="center"/>
          </w:tcPr>
          <w:p w14:paraId="4B5EE686" w14:textId="77777777" w:rsidR="002D0AE7" w:rsidRDefault="00333EBB">
            <w:pPr>
              <w:ind w:right="6"/>
              <w:jc w:val="right"/>
              <w:rPr>
                <w:rFonts w:hint="eastAsia"/>
              </w:rPr>
            </w:pPr>
            <w:r>
              <w:rPr>
                <w:rFonts w:ascii="Times New Roman" w:hAnsi="Times New Roman" w:cs="Times New Roman"/>
                <w:color w:val="000000"/>
                <w:sz w:val="21"/>
                <w:szCs w:val="21"/>
              </w:rPr>
              <w:t>0.00</w:t>
            </w:r>
          </w:p>
        </w:tc>
      </w:tr>
      <w:tr w:rsidR="002D0AE7" w14:paraId="354C6E11" w14:textId="77777777">
        <w:trPr>
          <w:cantSplit/>
          <w:jc w:val="center"/>
        </w:trPr>
        <w:tc>
          <w:tcPr>
            <w:tcW w:w="2568" w:type="pct"/>
          </w:tcPr>
          <w:p w14:paraId="30AA8CC4" w14:textId="77777777" w:rsidR="002D0AE7" w:rsidRDefault="00333EBB">
            <w:pPr>
              <w:autoSpaceDE w:val="0"/>
              <w:autoSpaceDN w:val="0"/>
              <w:adjustRightInd w:val="0"/>
              <w:rPr>
                <w:rFonts w:hint="eastAsia"/>
                <w:color w:val="000000" w:themeColor="text1"/>
                <w:sz w:val="21"/>
              </w:rPr>
            </w:pPr>
            <w:r>
              <w:rPr>
                <w:rFonts w:hint="eastAsia"/>
                <w:color w:val="000000" w:themeColor="text1"/>
                <w:sz w:val="21"/>
              </w:rPr>
              <w:t>期末未分配利润</w:t>
            </w:r>
          </w:p>
        </w:tc>
        <w:tc>
          <w:tcPr>
            <w:tcW w:w="1205" w:type="pct"/>
            <w:shd w:val="clear" w:color="auto" w:fill="auto"/>
            <w:vAlign w:val="center"/>
          </w:tcPr>
          <w:p w14:paraId="19E706F5" w14:textId="77777777" w:rsidR="002D0AE7" w:rsidRDefault="00333EBB">
            <w:pPr>
              <w:jc w:val="right"/>
              <w:rPr>
                <w:rFonts w:hint="eastAsia"/>
              </w:rPr>
            </w:pPr>
            <w:r>
              <w:rPr>
                <w:rFonts w:ascii="Times New Roman" w:hAnsi="Times New Roman" w:cs="Times New Roman"/>
                <w:color w:val="000000"/>
                <w:sz w:val="21"/>
                <w:szCs w:val="21"/>
              </w:rPr>
              <w:t>1,293,634,334.92</w:t>
            </w:r>
          </w:p>
        </w:tc>
        <w:tc>
          <w:tcPr>
            <w:tcW w:w="1227" w:type="pct"/>
            <w:shd w:val="clear" w:color="auto" w:fill="auto"/>
            <w:vAlign w:val="center"/>
          </w:tcPr>
          <w:p w14:paraId="4F02B0FB" w14:textId="77777777" w:rsidR="002D0AE7" w:rsidRDefault="00333EBB">
            <w:pPr>
              <w:ind w:right="6"/>
              <w:jc w:val="right"/>
              <w:rPr>
                <w:rFonts w:hint="eastAsia"/>
              </w:rPr>
            </w:pPr>
            <w:r>
              <w:rPr>
                <w:rFonts w:ascii="Times New Roman" w:hAnsi="Times New Roman" w:cs="Times New Roman"/>
                <w:color w:val="000000"/>
                <w:sz w:val="21"/>
                <w:szCs w:val="21"/>
              </w:rPr>
              <w:t>1,257,721,088.14</w:t>
            </w:r>
          </w:p>
        </w:tc>
      </w:tr>
    </w:tbl>
    <w:p w14:paraId="502756B2" w14:textId="77777777" w:rsidR="002D0AE7" w:rsidRDefault="00333EBB">
      <w:pPr>
        <w:spacing w:before="60" w:after="60"/>
        <w:rPr>
          <w:rFonts w:hint="eastAsia"/>
          <w:color w:val="000000" w:themeColor="text1"/>
          <w:sz w:val="21"/>
        </w:rPr>
      </w:pPr>
      <w:r>
        <w:rPr>
          <w:rFonts w:hint="eastAsia"/>
          <w:color w:val="000000" w:themeColor="text1"/>
          <w:sz w:val="21"/>
        </w:rPr>
        <w:t>调整期初未分配利润明细：</w:t>
      </w:r>
    </w:p>
    <w:p w14:paraId="1035C04F" w14:textId="77777777" w:rsidR="002D0AE7" w:rsidRDefault="00333EBB">
      <w:pPr>
        <w:rPr>
          <w:rFonts w:hint="eastAsia"/>
          <w:color w:val="000000" w:themeColor="text1"/>
          <w:sz w:val="21"/>
        </w:rPr>
      </w:pPr>
      <w:r>
        <w:rPr>
          <w:rFonts w:hint="eastAsia"/>
          <w:color w:val="000000" w:themeColor="text1"/>
          <w:sz w:val="21"/>
        </w:rPr>
        <w:lastRenderedPageBreak/>
        <w:t>1</w:t>
      </w:r>
      <w:r>
        <w:rPr>
          <w:rFonts w:hint="eastAsia"/>
          <w:color w:val="000000" w:themeColor="text1"/>
          <w:sz w:val="21"/>
        </w:rPr>
        <w:t>、由于《企业会计准则》及其相关新规定进行追溯调整，影响期初未分配利润</w:t>
      </w:r>
      <w:sdt>
        <w:sdtPr>
          <w:rPr>
            <w:rFonts w:hint="eastAsia"/>
            <w:color w:val="000000" w:themeColor="text1"/>
            <w:sz w:val="21"/>
          </w:rPr>
          <w:alias w:val="依据《企业会计准则》及其相关规定进行追溯调整影响年初未分配利润合计"/>
          <w:tag w:val="_GBC_a54a245e74754754a6239606b5ebbb06"/>
          <w:id w:val="-226611466"/>
          <w:placeholder>
            <w:docPart w:val="GBC22222222222222222222222222222"/>
          </w:placeholder>
        </w:sdtPr>
        <w:sdtEndPr/>
        <w:sdtContent>
          <w:r>
            <w:rPr>
              <w:color w:val="000000" w:themeColor="text1"/>
              <w:sz w:val="21"/>
            </w:rPr>
            <w:t>0.00</w:t>
          </w:r>
        </w:sdtContent>
      </w:sdt>
      <w:r>
        <w:rPr>
          <w:rFonts w:hint="eastAsia"/>
          <w:color w:val="000000" w:themeColor="text1"/>
          <w:sz w:val="21"/>
        </w:rPr>
        <w:t>元。</w:t>
      </w:r>
    </w:p>
    <w:p w14:paraId="791F61C6" w14:textId="77777777" w:rsidR="002D0AE7" w:rsidRDefault="00333EBB">
      <w:pPr>
        <w:rPr>
          <w:rFonts w:hint="eastAsia"/>
          <w:color w:val="000000" w:themeColor="text1"/>
          <w:sz w:val="21"/>
        </w:rPr>
      </w:pPr>
      <w:r>
        <w:rPr>
          <w:rFonts w:hint="eastAsia"/>
          <w:color w:val="000000" w:themeColor="text1"/>
          <w:sz w:val="21"/>
        </w:rPr>
        <w:t>2</w:t>
      </w:r>
      <w:r>
        <w:rPr>
          <w:rFonts w:hint="eastAsia"/>
          <w:color w:val="000000" w:themeColor="text1"/>
          <w:sz w:val="21"/>
        </w:rPr>
        <w:t>、由于会计政策变更，影响期初未分配利润</w:t>
      </w:r>
      <w:sdt>
        <w:sdtPr>
          <w:rPr>
            <w:rFonts w:hint="eastAsia"/>
            <w:color w:val="000000" w:themeColor="text1"/>
            <w:sz w:val="21"/>
          </w:rPr>
          <w:alias w:val="由于会计政策变更影响年初未分配利润"/>
          <w:tag w:val="_GBC_8295d6891c8842f58b58e4223b4e1700"/>
          <w:id w:val="-440154397"/>
          <w:placeholder>
            <w:docPart w:val="GBC22222222222222222222222222222"/>
          </w:placeholder>
        </w:sdtPr>
        <w:sdtEndPr/>
        <w:sdtContent>
          <w:r>
            <w:rPr>
              <w:color w:val="000000" w:themeColor="text1"/>
              <w:sz w:val="21"/>
            </w:rPr>
            <w:t>0.00</w:t>
          </w:r>
        </w:sdtContent>
      </w:sdt>
      <w:r>
        <w:rPr>
          <w:rFonts w:hint="eastAsia"/>
          <w:color w:val="000000" w:themeColor="text1"/>
          <w:sz w:val="21"/>
        </w:rPr>
        <w:t>元。</w:t>
      </w:r>
    </w:p>
    <w:p w14:paraId="43F6E948" w14:textId="77777777" w:rsidR="002D0AE7" w:rsidRDefault="00333EBB">
      <w:pPr>
        <w:rPr>
          <w:rFonts w:hint="eastAsia"/>
          <w:color w:val="000000" w:themeColor="text1"/>
          <w:sz w:val="21"/>
        </w:rPr>
      </w:pPr>
      <w:r>
        <w:rPr>
          <w:rFonts w:hint="eastAsia"/>
          <w:color w:val="000000" w:themeColor="text1"/>
          <w:sz w:val="21"/>
        </w:rPr>
        <w:t>3</w:t>
      </w:r>
      <w:r>
        <w:rPr>
          <w:rFonts w:hint="eastAsia"/>
          <w:color w:val="000000" w:themeColor="text1"/>
          <w:sz w:val="21"/>
        </w:rPr>
        <w:t>、由于重大会计差错更正，影响期初未分配利润</w:t>
      </w:r>
      <w:sdt>
        <w:sdtPr>
          <w:rPr>
            <w:rFonts w:hint="eastAsia"/>
            <w:color w:val="000000" w:themeColor="text1"/>
            <w:sz w:val="21"/>
          </w:rPr>
          <w:alias w:val="由于重大会计差错更正影响年初未分配利润"/>
          <w:tag w:val="_GBC_34728ea6faff41218abab9b8fede268c"/>
          <w:id w:val="1703440678"/>
          <w:placeholder>
            <w:docPart w:val="GBC22222222222222222222222222222"/>
          </w:placeholder>
        </w:sdtPr>
        <w:sdtEndPr/>
        <w:sdtContent>
          <w:r>
            <w:rPr>
              <w:color w:val="000000" w:themeColor="text1"/>
              <w:sz w:val="21"/>
            </w:rPr>
            <w:t>0.00</w:t>
          </w:r>
        </w:sdtContent>
      </w:sdt>
      <w:r>
        <w:rPr>
          <w:rFonts w:hint="eastAsia"/>
          <w:color w:val="000000" w:themeColor="text1"/>
          <w:sz w:val="21"/>
        </w:rPr>
        <w:t>元。</w:t>
      </w:r>
    </w:p>
    <w:p w14:paraId="72604ED6" w14:textId="77777777" w:rsidR="002D0AE7" w:rsidRDefault="00333EBB">
      <w:pPr>
        <w:rPr>
          <w:rFonts w:hint="eastAsia"/>
          <w:color w:val="000000" w:themeColor="text1"/>
          <w:sz w:val="21"/>
        </w:rPr>
      </w:pPr>
      <w:r>
        <w:rPr>
          <w:rFonts w:hint="eastAsia"/>
          <w:color w:val="000000" w:themeColor="text1"/>
          <w:sz w:val="21"/>
        </w:rPr>
        <w:t>4</w:t>
      </w:r>
      <w:r>
        <w:rPr>
          <w:rFonts w:hint="eastAsia"/>
          <w:color w:val="000000" w:themeColor="text1"/>
          <w:sz w:val="21"/>
        </w:rPr>
        <w:t>、由于同一控制导致的合并范围变更，影响期初未分配利润</w:t>
      </w:r>
      <w:sdt>
        <w:sdtPr>
          <w:rPr>
            <w:rFonts w:hint="eastAsia"/>
            <w:color w:val="000000" w:themeColor="text1"/>
            <w:sz w:val="21"/>
          </w:rPr>
          <w:alias w:val="同一控制导致的合并范围变更影响年初未分配利润"/>
          <w:tag w:val="_GBC_4d9b7a873cb94aba9044210a45f81108"/>
          <w:id w:val="321243527"/>
          <w:placeholder>
            <w:docPart w:val="GBC22222222222222222222222222222"/>
          </w:placeholder>
        </w:sdtPr>
        <w:sdtEndPr/>
        <w:sdtContent>
          <w:r>
            <w:rPr>
              <w:color w:val="000000" w:themeColor="text1"/>
              <w:sz w:val="21"/>
            </w:rPr>
            <w:t>0.00</w:t>
          </w:r>
        </w:sdtContent>
      </w:sdt>
      <w:r>
        <w:rPr>
          <w:rFonts w:hint="eastAsia"/>
          <w:color w:val="000000" w:themeColor="text1"/>
          <w:sz w:val="21"/>
        </w:rPr>
        <w:t>元。</w:t>
      </w:r>
    </w:p>
    <w:p w14:paraId="73BD6638" w14:textId="77777777" w:rsidR="002D0AE7" w:rsidRDefault="00333EBB">
      <w:pPr>
        <w:rPr>
          <w:rFonts w:hint="eastAsia"/>
          <w:color w:val="000000" w:themeColor="text1"/>
          <w:sz w:val="21"/>
        </w:rPr>
      </w:pPr>
      <w:r>
        <w:rPr>
          <w:rFonts w:hint="eastAsia"/>
          <w:color w:val="000000" w:themeColor="text1"/>
          <w:sz w:val="21"/>
        </w:rPr>
        <w:t>5</w:t>
      </w:r>
      <w:r>
        <w:rPr>
          <w:rFonts w:hint="eastAsia"/>
          <w:color w:val="000000" w:themeColor="text1"/>
          <w:sz w:val="21"/>
        </w:rPr>
        <w:t>、其他调整合计影响期初未分配利润</w:t>
      </w:r>
      <w:sdt>
        <w:sdtPr>
          <w:rPr>
            <w:rFonts w:hint="eastAsia"/>
            <w:color w:val="000000" w:themeColor="text1"/>
            <w:sz w:val="21"/>
          </w:rPr>
          <w:alias w:val="其他调整合计影响年初未分配利润"/>
          <w:tag w:val="_GBC_ccd86b3788e04a70a2e6a2167027d7cb"/>
          <w:id w:val="-1468577456"/>
          <w:placeholder>
            <w:docPart w:val="GBC22222222222222222222222222222"/>
          </w:placeholder>
        </w:sdtPr>
        <w:sdtEndPr/>
        <w:sdtContent>
          <w:r>
            <w:rPr>
              <w:color w:val="000000" w:themeColor="text1"/>
              <w:sz w:val="21"/>
            </w:rPr>
            <w:t>0.00</w:t>
          </w:r>
        </w:sdtContent>
      </w:sdt>
      <w:r>
        <w:rPr>
          <w:rFonts w:hint="eastAsia"/>
          <w:color w:val="000000" w:themeColor="text1"/>
          <w:sz w:val="21"/>
        </w:rPr>
        <w:t>元。</w:t>
      </w:r>
    </w:p>
    <w:p w14:paraId="4407638F"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color w:val="000000" w:themeColor="text1"/>
          <w:szCs w:val="21"/>
        </w:rPr>
        <w:t>营业收入和营业成本</w:t>
      </w:r>
    </w:p>
    <w:p w14:paraId="6A835078" w14:textId="77777777" w:rsidR="002D0AE7" w:rsidRDefault="00333EBB">
      <w:pPr>
        <w:pStyle w:val="4"/>
        <w:numPr>
          <w:ilvl w:val="0"/>
          <w:numId w:val="66"/>
        </w:numPr>
        <w:ind w:left="426" w:hanging="426"/>
        <w:rPr>
          <w:rFonts w:ascii="宋体" w:hAnsi="宋体" w:hint="eastAsia"/>
          <w:color w:val="000000" w:themeColor="text1"/>
        </w:rPr>
      </w:pPr>
      <w:r>
        <w:rPr>
          <w:rFonts w:ascii="宋体" w:hAnsi="宋体" w:hint="eastAsia"/>
          <w:color w:val="000000" w:themeColor="text1"/>
        </w:rPr>
        <w:t>营业收入和营业成本情况</w:t>
      </w:r>
    </w:p>
    <w:sdt>
      <w:sdtPr>
        <w:rPr>
          <w:color w:val="000000" w:themeColor="text1"/>
        </w:rPr>
        <w:alias w:val="是否适用：营业收入和营业成本[双击切换]"/>
        <w:tag w:val="_GBC_876680c4ba6b433896b625efff84d599"/>
        <w:id w:val="-867066520"/>
        <w:placeholder>
          <w:docPart w:val="GBC22222222222222222222222222222"/>
        </w:placeholder>
      </w:sdtPr>
      <w:sdtEndPr/>
      <w:sdtContent>
        <w:p w14:paraId="4AB2FE89"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4FDB99AC" w14:textId="77777777" w:rsidR="002D0AE7" w:rsidRDefault="00333EBB">
      <w:pPr>
        <w:jc w:val="right"/>
        <w:rPr>
          <w:rFonts w:hint="eastAsia"/>
          <w:color w:val="000000" w:themeColor="text1"/>
        </w:rPr>
      </w:pPr>
      <w:r>
        <w:rPr>
          <w:rFonts w:hint="eastAsia"/>
          <w:color w:val="000000" w:themeColor="text1"/>
        </w:rPr>
        <w:t>单位：</w:t>
      </w:r>
      <w:sdt>
        <w:sdtPr>
          <w:rPr>
            <w:rFonts w:hint="eastAsia"/>
            <w:bCs/>
            <w:color w:val="000000" w:themeColor="text1"/>
          </w:rPr>
          <w:alias w:val="单位：财务附注：营业收入"/>
          <w:tag w:val="_GBC_611ed6dd25a247cf86a0fb98cd86e68f"/>
          <w:id w:val="25587553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bCs/>
              <w:color w:val="000000" w:themeColor="text1"/>
            </w:rPr>
            <w:t>元</w:t>
          </w:r>
        </w:sdtContent>
      </w:sdt>
      <w:r>
        <w:rPr>
          <w:rFonts w:hint="eastAsia"/>
          <w:color w:val="000000" w:themeColor="text1"/>
        </w:rPr>
        <w:t>币种：</w:t>
      </w:r>
      <w:sdt>
        <w:sdtPr>
          <w:rPr>
            <w:rFonts w:hint="eastAsia"/>
            <w:bCs/>
            <w:color w:val="000000" w:themeColor="text1"/>
          </w:rPr>
          <w:alias w:val="币种：财务附注：营业收入"/>
          <w:tag w:val="_GBC_ba5cd3776b804cc291ae4c216c605f02"/>
          <w:id w:val="194372395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bCs/>
              <w:color w:val="000000" w:themeColor="text1"/>
            </w:rPr>
            <w:t>人民币</w:t>
          </w:r>
        </w:sdtContent>
      </w:sdt>
    </w:p>
    <w:tbl>
      <w:tblPr>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818"/>
        <w:gridCol w:w="1830"/>
        <w:gridCol w:w="1828"/>
        <w:gridCol w:w="1828"/>
      </w:tblGrid>
      <w:tr w:rsidR="002D0AE7" w14:paraId="43BB6E6D" w14:textId="77777777">
        <w:sdt>
          <w:sdtPr>
            <w:rPr>
              <w:color w:val="000000" w:themeColor="text1"/>
              <w:sz w:val="21"/>
              <w:szCs w:val="21"/>
            </w:rPr>
            <w:tag w:val="_PLD_d41752618c6a4ee08ca01f5944b34b81"/>
            <w:id w:val="-660771138"/>
          </w:sdtPr>
          <w:sdtEndPr/>
          <w:sdtContent>
            <w:tc>
              <w:tcPr>
                <w:tcW w:w="805" w:type="pct"/>
                <w:vMerge w:val="restart"/>
                <w:tcBorders>
                  <w:top w:val="single" w:sz="4" w:space="0" w:color="auto"/>
                  <w:left w:val="single" w:sz="4" w:space="0" w:color="auto"/>
                  <w:right w:val="single" w:sz="4" w:space="0" w:color="auto"/>
                </w:tcBorders>
                <w:shd w:val="clear" w:color="auto" w:fill="auto"/>
                <w:vAlign w:val="center"/>
              </w:tcPr>
              <w:p w14:paraId="36A33566"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f88658ae6cb94ea390736e112b0d5ffc"/>
            <w:id w:val="-842004864"/>
          </w:sdtPr>
          <w:sdtEnd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462B2" w14:textId="77777777" w:rsidR="002D0AE7" w:rsidRDefault="00333EBB">
                <w:pPr>
                  <w:jc w:val="center"/>
                  <w:rPr>
                    <w:rFonts w:hint="eastAsia"/>
                    <w:color w:val="000000" w:themeColor="text1"/>
                    <w:sz w:val="21"/>
                    <w:szCs w:val="21"/>
                  </w:rPr>
                </w:pPr>
                <w:r>
                  <w:rPr>
                    <w:rFonts w:hint="eastAsia"/>
                    <w:color w:val="000000" w:themeColor="text1"/>
                    <w:sz w:val="21"/>
                    <w:szCs w:val="21"/>
                  </w:rPr>
                  <w:t>本期发生额</w:t>
                </w:r>
              </w:p>
            </w:tc>
          </w:sdtContent>
        </w:sdt>
        <w:sdt>
          <w:sdtPr>
            <w:rPr>
              <w:color w:val="000000" w:themeColor="text1"/>
              <w:sz w:val="21"/>
              <w:szCs w:val="21"/>
            </w:rPr>
            <w:tag w:val="_PLD_0840d72efce94f22bdf4d566046b2e87"/>
            <w:id w:val="-1651133363"/>
          </w:sdtPr>
          <w:sdtEnd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B1BF0" w14:textId="77777777" w:rsidR="002D0AE7" w:rsidRDefault="00333EBB">
                <w:pPr>
                  <w:jc w:val="center"/>
                  <w:rPr>
                    <w:rFonts w:hint="eastAsia"/>
                    <w:color w:val="000000" w:themeColor="text1"/>
                    <w:sz w:val="21"/>
                    <w:szCs w:val="21"/>
                  </w:rPr>
                </w:pPr>
                <w:r>
                  <w:rPr>
                    <w:rFonts w:hint="eastAsia"/>
                    <w:color w:val="000000" w:themeColor="text1"/>
                    <w:sz w:val="21"/>
                    <w:szCs w:val="21"/>
                  </w:rPr>
                  <w:t>上期发生额</w:t>
                </w:r>
              </w:p>
            </w:tc>
          </w:sdtContent>
        </w:sdt>
      </w:tr>
      <w:tr w:rsidR="002D0AE7" w14:paraId="2B2852A0" w14:textId="77777777">
        <w:tc>
          <w:tcPr>
            <w:tcW w:w="805" w:type="pct"/>
            <w:vMerge/>
            <w:tcBorders>
              <w:left w:val="single" w:sz="4" w:space="0" w:color="auto"/>
              <w:bottom w:val="single" w:sz="4" w:space="0" w:color="auto"/>
              <w:right w:val="single" w:sz="4" w:space="0" w:color="auto"/>
            </w:tcBorders>
            <w:shd w:val="clear" w:color="auto" w:fill="auto"/>
          </w:tcPr>
          <w:p w14:paraId="088813D5" w14:textId="77777777" w:rsidR="002D0AE7" w:rsidRDefault="002D0AE7">
            <w:pPr>
              <w:jc w:val="center"/>
              <w:rPr>
                <w:rFonts w:hint="eastAsia"/>
                <w:color w:val="000000" w:themeColor="text1"/>
                <w:sz w:val="21"/>
                <w:szCs w:val="21"/>
              </w:rPr>
            </w:pPr>
          </w:p>
        </w:tc>
        <w:sdt>
          <w:sdtPr>
            <w:rPr>
              <w:color w:val="000000" w:themeColor="text1"/>
              <w:sz w:val="21"/>
              <w:szCs w:val="21"/>
            </w:rPr>
            <w:tag w:val="_PLD_39942ac1f2654fa6bda80d7116d83859"/>
            <w:id w:val="1547962016"/>
          </w:sdtPr>
          <w:sdtEnd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676D89C0" w14:textId="77777777" w:rsidR="002D0AE7" w:rsidRDefault="00333EBB">
                <w:pPr>
                  <w:jc w:val="center"/>
                  <w:rPr>
                    <w:rFonts w:hint="eastAsia"/>
                    <w:color w:val="000000" w:themeColor="text1"/>
                    <w:sz w:val="21"/>
                    <w:szCs w:val="21"/>
                  </w:rPr>
                </w:pPr>
                <w:r>
                  <w:rPr>
                    <w:rFonts w:hint="eastAsia"/>
                    <w:color w:val="000000" w:themeColor="text1"/>
                    <w:sz w:val="21"/>
                    <w:szCs w:val="21"/>
                  </w:rPr>
                  <w:t>收入</w:t>
                </w:r>
              </w:p>
            </w:tc>
          </w:sdtContent>
        </w:sdt>
        <w:sdt>
          <w:sdtPr>
            <w:rPr>
              <w:color w:val="000000" w:themeColor="text1"/>
              <w:sz w:val="21"/>
              <w:szCs w:val="21"/>
            </w:rPr>
            <w:tag w:val="_PLD_5075262c52564bf09f90a67ee6a84b17"/>
            <w:id w:val="2032378332"/>
          </w:sdtPr>
          <w:sdtEnd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704A6D81" w14:textId="77777777" w:rsidR="002D0AE7" w:rsidRDefault="00333EBB">
                <w:pPr>
                  <w:jc w:val="center"/>
                  <w:rPr>
                    <w:rFonts w:hint="eastAsia"/>
                    <w:color w:val="000000" w:themeColor="text1"/>
                    <w:sz w:val="21"/>
                    <w:szCs w:val="21"/>
                  </w:rPr>
                </w:pPr>
                <w:r>
                  <w:rPr>
                    <w:rFonts w:hint="eastAsia"/>
                    <w:color w:val="000000" w:themeColor="text1"/>
                    <w:sz w:val="21"/>
                    <w:szCs w:val="21"/>
                  </w:rPr>
                  <w:t>成本</w:t>
                </w:r>
              </w:p>
            </w:tc>
          </w:sdtContent>
        </w:sdt>
        <w:sdt>
          <w:sdtPr>
            <w:rPr>
              <w:color w:val="000000" w:themeColor="text1"/>
              <w:sz w:val="21"/>
              <w:szCs w:val="21"/>
            </w:rPr>
            <w:tag w:val="_PLD_33a1015c666d49cba108bce6aafea1f7"/>
            <w:id w:val="-735469518"/>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7257D723" w14:textId="77777777" w:rsidR="002D0AE7" w:rsidRDefault="00333EBB">
                <w:pPr>
                  <w:jc w:val="center"/>
                  <w:rPr>
                    <w:rFonts w:hint="eastAsia"/>
                    <w:color w:val="000000" w:themeColor="text1"/>
                    <w:sz w:val="21"/>
                    <w:szCs w:val="21"/>
                  </w:rPr>
                </w:pPr>
                <w:r>
                  <w:rPr>
                    <w:rFonts w:hint="eastAsia"/>
                    <w:color w:val="000000" w:themeColor="text1"/>
                    <w:sz w:val="21"/>
                    <w:szCs w:val="21"/>
                  </w:rPr>
                  <w:t>收入</w:t>
                </w:r>
              </w:p>
            </w:tc>
          </w:sdtContent>
        </w:sdt>
        <w:sdt>
          <w:sdtPr>
            <w:rPr>
              <w:color w:val="000000" w:themeColor="text1"/>
              <w:sz w:val="21"/>
              <w:szCs w:val="21"/>
            </w:rPr>
            <w:tag w:val="_PLD_d09deaa2e4d443459a3584a1d7e92203"/>
            <w:id w:val="125891270"/>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2EE53B7F" w14:textId="77777777" w:rsidR="002D0AE7" w:rsidRDefault="00333EBB">
                <w:pPr>
                  <w:jc w:val="center"/>
                  <w:rPr>
                    <w:rFonts w:hint="eastAsia"/>
                    <w:color w:val="000000" w:themeColor="text1"/>
                    <w:sz w:val="21"/>
                    <w:szCs w:val="21"/>
                  </w:rPr>
                </w:pPr>
                <w:r>
                  <w:rPr>
                    <w:rFonts w:hint="eastAsia"/>
                    <w:color w:val="000000" w:themeColor="text1"/>
                    <w:sz w:val="21"/>
                    <w:szCs w:val="21"/>
                  </w:rPr>
                  <w:t>成本</w:t>
                </w:r>
              </w:p>
            </w:tc>
          </w:sdtContent>
        </w:sdt>
      </w:tr>
      <w:tr w:rsidR="002D0AE7" w14:paraId="023B73EF" w14:textId="77777777">
        <w:tc>
          <w:tcPr>
            <w:tcW w:w="805" w:type="pct"/>
            <w:tcBorders>
              <w:top w:val="single" w:sz="4" w:space="0" w:color="auto"/>
              <w:left w:val="single" w:sz="4" w:space="0" w:color="auto"/>
              <w:bottom w:val="single" w:sz="4" w:space="0" w:color="auto"/>
              <w:right w:val="single" w:sz="4" w:space="0" w:color="auto"/>
            </w:tcBorders>
            <w:shd w:val="clear" w:color="auto" w:fill="auto"/>
          </w:tcPr>
          <w:p w14:paraId="44F695A6" w14:textId="77777777" w:rsidR="002D0AE7" w:rsidRDefault="00333EBB">
            <w:pPr>
              <w:rPr>
                <w:rFonts w:hint="eastAsia"/>
                <w:color w:val="000000" w:themeColor="text1"/>
                <w:sz w:val="21"/>
                <w:szCs w:val="21"/>
              </w:rPr>
            </w:pPr>
            <w:r>
              <w:rPr>
                <w:rFonts w:hint="eastAsia"/>
                <w:color w:val="000000" w:themeColor="text1"/>
                <w:sz w:val="21"/>
                <w:szCs w:val="21"/>
              </w:rPr>
              <w:t>主营业务</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42D7CCC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1,787,205,996.00</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6BD704F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956,438,501.66</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32E582E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2,003,728,440.66</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29DC447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978,283,136.48</w:t>
            </w:r>
          </w:p>
        </w:tc>
      </w:tr>
      <w:tr w:rsidR="002D0AE7" w14:paraId="16396602" w14:textId="77777777">
        <w:tc>
          <w:tcPr>
            <w:tcW w:w="805" w:type="pct"/>
            <w:tcBorders>
              <w:top w:val="single" w:sz="4" w:space="0" w:color="auto"/>
              <w:left w:val="single" w:sz="4" w:space="0" w:color="auto"/>
              <w:bottom w:val="single" w:sz="4" w:space="0" w:color="auto"/>
              <w:right w:val="single" w:sz="4" w:space="0" w:color="auto"/>
            </w:tcBorders>
            <w:shd w:val="clear" w:color="auto" w:fill="auto"/>
          </w:tcPr>
          <w:p w14:paraId="3DDB3E1D" w14:textId="77777777" w:rsidR="002D0AE7" w:rsidRDefault="00333EBB">
            <w:pPr>
              <w:rPr>
                <w:rFonts w:hint="eastAsia"/>
                <w:color w:val="000000" w:themeColor="text1"/>
                <w:sz w:val="21"/>
                <w:szCs w:val="21"/>
              </w:rPr>
            </w:pPr>
            <w:r>
              <w:rPr>
                <w:rFonts w:hint="eastAsia"/>
                <w:color w:val="000000" w:themeColor="text1"/>
                <w:sz w:val="21"/>
                <w:szCs w:val="21"/>
              </w:rPr>
              <w:t>其他业务</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1EEAB16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13,778,345.21</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2CA4CF9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12,436,710.55</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49BC30B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19,530,415.96</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53A5AF0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17,315,717.41</w:t>
            </w:r>
          </w:p>
        </w:tc>
      </w:tr>
      <w:tr w:rsidR="002D0AE7" w14:paraId="33DAEA98" w14:textId="77777777">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14:paraId="330B1DDD"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4C85778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1,800,984,341.21</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37478AD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968,875,212.21</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4EA69CF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2,023,258,856.62</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68E1A74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995,598,853.89</w:t>
            </w:r>
          </w:p>
        </w:tc>
      </w:tr>
    </w:tbl>
    <w:bookmarkStart w:id="214" w:name="_Hlk167969685" w:displacedByCustomXml="next"/>
    <w:bookmarkStart w:id="215" w:name="_Hlk533756233" w:displacedByCustomXml="next"/>
    <w:sdt>
      <w:sdtPr>
        <w:rPr>
          <w:rFonts w:ascii="宋体" w:hAnsi="宋体" w:cs="宋体" w:hint="eastAsia"/>
          <w:b w:val="0"/>
          <w:bCs w:val="0"/>
          <w:color w:val="000000" w:themeColor="text1"/>
          <w:kern w:val="0"/>
          <w:szCs w:val="24"/>
        </w:rPr>
        <w:alias w:val="模块:合同产生的收入的情况"/>
        <w:tag w:val="_SEC_c4e8c6d213eb4da9850e04355e0aa292"/>
        <w:id w:val="-1135100627"/>
        <w:placeholder>
          <w:docPart w:val="GBC22222222222222222222222222222"/>
        </w:placeholder>
      </w:sdtPr>
      <w:sdtEndPr>
        <w:rPr>
          <w:rFonts w:ascii="Times New Roman" w:hAnsi="Times New Roman" w:cs="Times New Roman" w:hint="default"/>
          <w:color w:val="auto"/>
          <w:sz w:val="21"/>
          <w:szCs w:val="21"/>
        </w:rPr>
      </w:sdtEndPr>
      <w:sdtContent>
        <w:p w14:paraId="70668B9A" w14:textId="77777777" w:rsidR="002D0AE7" w:rsidRDefault="00333EBB">
          <w:pPr>
            <w:pStyle w:val="4"/>
            <w:numPr>
              <w:ilvl w:val="0"/>
              <w:numId w:val="66"/>
            </w:numPr>
            <w:ind w:left="426" w:hanging="426"/>
            <w:rPr>
              <w:color w:val="000000" w:themeColor="text1"/>
            </w:rPr>
          </w:pPr>
          <w:r>
            <w:rPr>
              <w:rFonts w:hint="eastAsia"/>
              <w:color w:val="000000" w:themeColor="text1"/>
            </w:rPr>
            <w:t>营业收入、营业成本的分解信息</w:t>
          </w:r>
        </w:p>
        <w:sdt>
          <w:sdtPr>
            <w:alias w:val="是否适用：营业收入、营业成本的分解信息 [双击切换]"/>
            <w:tag w:val="_GBC_efc78032c33b40119a8d8db1511a7505"/>
            <w:id w:val="369118370"/>
            <w:placeholder>
              <w:docPart w:val="GBC22222222222222222222222222222"/>
            </w:placeholder>
          </w:sdtPr>
          <w:sdtEndPr/>
          <w:sdtContent>
            <w:p w14:paraId="2906909A" w14:textId="77777777" w:rsidR="002D0AE7" w:rsidRDefault="00333EBB">
              <w:pPr>
                <w:pStyle w:val="11"/>
                <w:jc w:val="left"/>
                <w:rPr>
                  <w:rFonts w:hint="eastAsia"/>
                </w:rPr>
              </w:pPr>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14:paraId="7BE62EF2" w14:textId="77777777" w:rsidR="002D0AE7" w:rsidRDefault="00333EBB">
          <w:pPr>
            <w:pStyle w:val="11"/>
            <w:rPr>
              <w:rFonts w:hint="eastAsia"/>
            </w:rPr>
          </w:pPr>
          <w:r>
            <w:rPr>
              <w:rFonts w:hint="eastAsia"/>
            </w:rPr>
            <w:t>单位：</w:t>
          </w:r>
          <w:sdt>
            <w:sdtPr>
              <w:rPr>
                <w:rFonts w:hint="eastAsia"/>
              </w:rPr>
              <w:alias w:val="单位：营业收入、营业成本的分解信息 "/>
              <w:tag w:val="_GBC_3ccd36a6a17f4de6846b5579f456e2eb"/>
              <w:id w:val="117499865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营业收入、营业成本的分解信息 "/>
              <w:tag w:val="_GBC_4476d84f223c43caad2810c5a30db364"/>
              <w:id w:val="988256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2359"/>
            <w:gridCol w:w="2926"/>
          </w:tblGrid>
          <w:tr w:rsidR="002D0AE7" w14:paraId="6D967060" w14:textId="77777777">
            <w:sdt>
              <w:sdtPr>
                <w:rPr>
                  <w:rFonts w:hint="eastAsia"/>
                  <w:color w:val="000000" w:themeColor="text1"/>
                  <w:sz w:val="21"/>
                  <w:szCs w:val="21"/>
                </w:rPr>
                <w:tag w:val="_PLD_c4e262a708374d868aa4623ec11e26b7"/>
                <w:id w:val="-1176950577"/>
              </w:sdtPr>
              <w:sdtEndPr/>
              <w:sdtContent>
                <w:tc>
                  <w:tcPr>
                    <w:tcW w:w="2005" w:type="pct"/>
                    <w:vMerge w:val="restart"/>
                    <w:tcBorders>
                      <w:top w:val="single" w:sz="4" w:space="0" w:color="auto"/>
                      <w:left w:val="single" w:sz="4" w:space="0" w:color="auto"/>
                      <w:right w:val="single" w:sz="4" w:space="0" w:color="auto"/>
                    </w:tcBorders>
                    <w:shd w:val="clear" w:color="auto" w:fill="auto"/>
                    <w:vAlign w:val="center"/>
                  </w:tcPr>
                  <w:p w14:paraId="48A3F34C" w14:textId="77777777" w:rsidR="002D0AE7" w:rsidRDefault="00333EBB">
                    <w:pPr>
                      <w:jc w:val="center"/>
                      <w:rPr>
                        <w:rFonts w:hint="eastAsia"/>
                        <w:color w:val="000000" w:themeColor="text1"/>
                        <w:sz w:val="21"/>
                        <w:szCs w:val="21"/>
                      </w:rPr>
                    </w:pPr>
                    <w:r>
                      <w:rPr>
                        <w:rFonts w:hint="eastAsia"/>
                        <w:color w:val="000000" w:themeColor="text1"/>
                        <w:sz w:val="21"/>
                        <w:szCs w:val="21"/>
                      </w:rPr>
                      <w:t>合同分类</w:t>
                    </w:r>
                  </w:p>
                </w:tc>
              </w:sdtContent>
            </w:sdt>
            <w:sdt>
              <w:sdtPr>
                <w:rPr>
                  <w:rFonts w:hint="eastAsia"/>
                  <w:color w:val="000000" w:themeColor="text1"/>
                  <w:sz w:val="21"/>
                  <w:szCs w:val="21"/>
                </w:rPr>
                <w:tag w:val="_PLD_2383d04a4c7d404b94d983ebd7656098"/>
                <w:id w:val="-453632042"/>
              </w:sdtPr>
              <w:sdtEndPr/>
              <w:sdtContent>
                <w:tc>
                  <w:tcPr>
                    <w:tcW w:w="2995" w:type="pct"/>
                    <w:gridSpan w:val="2"/>
                    <w:tcBorders>
                      <w:top w:val="single" w:sz="4" w:space="0" w:color="auto"/>
                      <w:left w:val="single" w:sz="4" w:space="0" w:color="auto"/>
                      <w:bottom w:val="single" w:sz="4" w:space="0" w:color="auto"/>
                      <w:right w:val="single" w:sz="4" w:space="0" w:color="auto"/>
                    </w:tcBorders>
                    <w:vAlign w:val="center"/>
                  </w:tcPr>
                  <w:p w14:paraId="54B98E57"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sdtContent>
            </w:sdt>
          </w:tr>
          <w:tr w:rsidR="002D0AE7" w14:paraId="068AF104" w14:textId="77777777">
            <w:tc>
              <w:tcPr>
                <w:tcW w:w="2005" w:type="pct"/>
                <w:vMerge/>
                <w:tcBorders>
                  <w:left w:val="single" w:sz="4" w:space="0" w:color="auto"/>
                  <w:bottom w:val="single" w:sz="4" w:space="0" w:color="auto"/>
                  <w:right w:val="single" w:sz="4" w:space="0" w:color="auto"/>
                </w:tcBorders>
                <w:shd w:val="clear" w:color="auto" w:fill="auto"/>
              </w:tcPr>
              <w:p w14:paraId="3F620BBC" w14:textId="77777777" w:rsidR="002D0AE7" w:rsidRDefault="002D0AE7">
                <w:pPr>
                  <w:jc w:val="center"/>
                  <w:rPr>
                    <w:rFonts w:hint="eastAsia"/>
                    <w:color w:val="000000" w:themeColor="text1"/>
                    <w:sz w:val="21"/>
                    <w:szCs w:val="21"/>
                  </w:rPr>
                </w:pPr>
              </w:p>
            </w:tc>
            <w:sdt>
              <w:sdtPr>
                <w:rPr>
                  <w:rFonts w:hint="eastAsia"/>
                  <w:color w:val="000000" w:themeColor="text1"/>
                  <w:sz w:val="21"/>
                  <w:szCs w:val="21"/>
                </w:rPr>
                <w:tag w:val="_PLD_58de911da1324e8586f84ab9937bcdeb"/>
                <w:id w:val="-1780173226"/>
              </w:sdtPr>
              <w:sdtEndPr/>
              <w:sdtContent>
                <w:tc>
                  <w:tcPr>
                    <w:tcW w:w="1337" w:type="pct"/>
                    <w:tcBorders>
                      <w:top w:val="single" w:sz="4" w:space="0" w:color="auto"/>
                      <w:left w:val="single" w:sz="4" w:space="0" w:color="auto"/>
                      <w:bottom w:val="single" w:sz="4" w:space="0" w:color="auto"/>
                      <w:right w:val="single" w:sz="4" w:space="0" w:color="auto"/>
                    </w:tcBorders>
                    <w:vAlign w:val="center"/>
                  </w:tcPr>
                  <w:p w14:paraId="2F6904B0" w14:textId="77777777" w:rsidR="002D0AE7" w:rsidRDefault="00333EBB">
                    <w:pPr>
                      <w:jc w:val="center"/>
                      <w:rPr>
                        <w:rFonts w:hint="eastAsia"/>
                        <w:color w:val="000000" w:themeColor="text1"/>
                        <w:sz w:val="21"/>
                        <w:szCs w:val="21"/>
                      </w:rPr>
                    </w:pPr>
                    <w:r>
                      <w:rPr>
                        <w:rFonts w:hint="eastAsia"/>
                        <w:color w:val="000000" w:themeColor="text1"/>
                        <w:sz w:val="21"/>
                        <w:szCs w:val="21"/>
                      </w:rPr>
                      <w:t>营业收入</w:t>
                    </w:r>
                  </w:p>
                </w:tc>
              </w:sdtContent>
            </w:sdt>
            <w:sdt>
              <w:sdtPr>
                <w:rPr>
                  <w:rFonts w:hint="eastAsia"/>
                  <w:color w:val="000000" w:themeColor="text1"/>
                  <w:sz w:val="21"/>
                  <w:szCs w:val="21"/>
                </w:rPr>
                <w:tag w:val="_PLD_b60d678e181949d998ae7d21f7dd9556"/>
                <w:id w:val="1413202033"/>
              </w:sdtPr>
              <w:sdtEndPr/>
              <w:sdtContent>
                <w:tc>
                  <w:tcPr>
                    <w:tcW w:w="1658" w:type="pct"/>
                    <w:tcBorders>
                      <w:top w:val="single" w:sz="4" w:space="0" w:color="auto"/>
                      <w:left w:val="single" w:sz="4" w:space="0" w:color="auto"/>
                      <w:bottom w:val="single" w:sz="4" w:space="0" w:color="auto"/>
                      <w:right w:val="single" w:sz="4" w:space="0" w:color="auto"/>
                    </w:tcBorders>
                    <w:vAlign w:val="center"/>
                  </w:tcPr>
                  <w:p w14:paraId="6AE5A229" w14:textId="77777777" w:rsidR="002D0AE7" w:rsidRDefault="00333EBB">
                    <w:pPr>
                      <w:jc w:val="center"/>
                      <w:rPr>
                        <w:rFonts w:hint="eastAsia"/>
                        <w:color w:val="000000" w:themeColor="text1"/>
                        <w:sz w:val="21"/>
                        <w:szCs w:val="21"/>
                      </w:rPr>
                    </w:pPr>
                    <w:r>
                      <w:rPr>
                        <w:rFonts w:hint="eastAsia"/>
                        <w:color w:val="000000" w:themeColor="text1"/>
                        <w:sz w:val="21"/>
                        <w:szCs w:val="21"/>
                      </w:rPr>
                      <w:t>营业成本</w:t>
                    </w:r>
                  </w:p>
                </w:tc>
              </w:sdtContent>
            </w:sdt>
          </w:tr>
          <w:tr w:rsidR="002D0AE7" w14:paraId="513FC804" w14:textId="77777777">
            <w:tc>
              <w:tcPr>
                <w:tcW w:w="2005" w:type="pct"/>
                <w:tcBorders>
                  <w:top w:val="single" w:sz="4" w:space="0" w:color="auto"/>
                  <w:left w:val="single" w:sz="4" w:space="0" w:color="auto"/>
                  <w:bottom w:val="single" w:sz="4" w:space="0" w:color="auto"/>
                  <w:right w:val="single" w:sz="4" w:space="0" w:color="auto"/>
                </w:tcBorders>
                <w:shd w:val="clear" w:color="auto" w:fill="auto"/>
              </w:tcPr>
              <w:p w14:paraId="1B4CCC25" w14:textId="77777777" w:rsidR="002D0AE7" w:rsidRDefault="00333EBB">
                <w:pPr>
                  <w:rPr>
                    <w:rFonts w:hint="eastAsia"/>
                    <w:color w:val="000000" w:themeColor="text1"/>
                    <w:sz w:val="21"/>
                    <w:szCs w:val="21"/>
                  </w:rPr>
                </w:pPr>
                <w:r>
                  <w:rPr>
                    <w:rFonts w:hint="eastAsia"/>
                    <w:color w:val="000000" w:themeColor="text1"/>
                    <w:sz w:val="21"/>
                    <w:szCs w:val="21"/>
                  </w:rPr>
                  <w:t>商品类型</w:t>
                </w:r>
              </w:p>
            </w:tc>
            <w:tc>
              <w:tcPr>
                <w:tcW w:w="1337" w:type="pct"/>
                <w:tcBorders>
                  <w:top w:val="single" w:sz="4" w:space="0" w:color="auto"/>
                  <w:left w:val="single" w:sz="4" w:space="0" w:color="auto"/>
                  <w:bottom w:val="single" w:sz="4" w:space="0" w:color="auto"/>
                  <w:right w:val="single" w:sz="4" w:space="0" w:color="auto"/>
                </w:tcBorders>
              </w:tcPr>
              <w:p w14:paraId="6C4068ED" w14:textId="77777777" w:rsidR="002D0AE7" w:rsidRDefault="00333EBB">
                <w:pPr>
                  <w:jc w:val="right"/>
                  <w:rPr>
                    <w:rFonts w:hint="eastAsia"/>
                    <w:color w:val="000000" w:themeColor="text1"/>
                    <w:sz w:val="21"/>
                    <w:szCs w:val="21"/>
                  </w:rPr>
                </w:pPr>
                <w:r>
                  <w:rPr>
                    <w:rFonts w:hint="eastAsia"/>
                    <w:color w:val="000000" w:themeColor="text1"/>
                    <w:sz w:val="21"/>
                    <w:szCs w:val="21"/>
                  </w:rPr>
                  <w:t xml:space="preserve">　</w:t>
                </w:r>
              </w:p>
            </w:tc>
            <w:tc>
              <w:tcPr>
                <w:tcW w:w="1658" w:type="pct"/>
                <w:tcBorders>
                  <w:top w:val="single" w:sz="4" w:space="0" w:color="auto"/>
                  <w:left w:val="single" w:sz="4" w:space="0" w:color="auto"/>
                  <w:bottom w:val="single" w:sz="4" w:space="0" w:color="auto"/>
                  <w:right w:val="single" w:sz="4" w:space="0" w:color="auto"/>
                </w:tcBorders>
              </w:tcPr>
              <w:p w14:paraId="7E0642DB" w14:textId="77777777" w:rsidR="002D0AE7" w:rsidRDefault="00333EBB">
                <w:pPr>
                  <w:jc w:val="right"/>
                  <w:rPr>
                    <w:rFonts w:hint="eastAsia"/>
                    <w:color w:val="000000" w:themeColor="text1"/>
                    <w:sz w:val="21"/>
                    <w:szCs w:val="21"/>
                  </w:rPr>
                </w:pPr>
                <w:r>
                  <w:rPr>
                    <w:rFonts w:hint="eastAsia"/>
                    <w:color w:val="000000" w:themeColor="text1"/>
                    <w:sz w:val="21"/>
                    <w:szCs w:val="21"/>
                  </w:rPr>
                  <w:t xml:space="preserve">　</w:t>
                </w:r>
              </w:p>
            </w:tc>
          </w:tr>
          <w:tr w:rsidR="002D0AE7" w14:paraId="7A275DA6" w14:textId="77777777">
            <w:tc>
              <w:tcPr>
                <w:tcW w:w="2005" w:type="pct"/>
                <w:tcBorders>
                  <w:top w:val="single" w:sz="4" w:space="0" w:color="auto"/>
                  <w:left w:val="single" w:sz="4" w:space="0" w:color="auto"/>
                  <w:bottom w:val="single" w:sz="4" w:space="0" w:color="auto"/>
                  <w:right w:val="single" w:sz="4" w:space="0" w:color="auto"/>
                </w:tcBorders>
                <w:shd w:val="clear" w:color="auto" w:fill="auto"/>
              </w:tcPr>
              <w:p w14:paraId="16E9100E" w14:textId="77777777" w:rsidR="002D0AE7" w:rsidRDefault="00333EBB">
                <w:pPr>
                  <w:ind w:firstLineChars="200" w:firstLine="420"/>
                  <w:rPr>
                    <w:rFonts w:hint="eastAsia"/>
                    <w:sz w:val="21"/>
                    <w:szCs w:val="21"/>
                  </w:rPr>
                </w:pPr>
                <w:r>
                  <w:rPr>
                    <w:rFonts w:hint="eastAsia"/>
                    <w:sz w:val="21"/>
                    <w:szCs w:val="21"/>
                  </w:rPr>
                  <w:t>甾体激素类</w:t>
                </w:r>
              </w:p>
            </w:tc>
            <w:tc>
              <w:tcPr>
                <w:tcW w:w="1337" w:type="pct"/>
                <w:tcBorders>
                  <w:top w:val="single" w:sz="4" w:space="0" w:color="auto"/>
                  <w:left w:val="single" w:sz="4" w:space="0" w:color="auto"/>
                  <w:bottom w:val="single" w:sz="4" w:space="0" w:color="auto"/>
                  <w:right w:val="single" w:sz="4" w:space="0" w:color="auto"/>
                </w:tcBorders>
                <w:vAlign w:val="center"/>
              </w:tcPr>
              <w:p w14:paraId="0619B15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1,061,437,479.76</w:t>
                </w:r>
              </w:p>
            </w:tc>
            <w:tc>
              <w:tcPr>
                <w:tcW w:w="1658" w:type="pct"/>
                <w:tcBorders>
                  <w:top w:val="single" w:sz="4" w:space="0" w:color="auto"/>
                  <w:left w:val="single" w:sz="4" w:space="0" w:color="auto"/>
                  <w:bottom w:val="single" w:sz="4" w:space="0" w:color="auto"/>
                  <w:right w:val="single" w:sz="4" w:space="0" w:color="auto"/>
                </w:tcBorders>
                <w:vAlign w:val="center"/>
              </w:tcPr>
              <w:p w14:paraId="22B44E2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683,940,854.34</w:t>
                </w:r>
              </w:p>
            </w:tc>
          </w:tr>
          <w:tr w:rsidR="002D0AE7" w14:paraId="4612A6FC" w14:textId="77777777">
            <w:tc>
              <w:tcPr>
                <w:tcW w:w="2005" w:type="pct"/>
                <w:tcBorders>
                  <w:top w:val="single" w:sz="4" w:space="0" w:color="auto"/>
                  <w:left w:val="single" w:sz="4" w:space="0" w:color="auto"/>
                  <w:bottom w:val="single" w:sz="4" w:space="0" w:color="auto"/>
                  <w:right w:val="single" w:sz="4" w:space="0" w:color="auto"/>
                </w:tcBorders>
                <w:shd w:val="clear" w:color="auto" w:fill="auto"/>
              </w:tcPr>
              <w:p w14:paraId="53409294" w14:textId="77777777" w:rsidR="002D0AE7" w:rsidRDefault="00333EBB">
                <w:pPr>
                  <w:ind w:firstLineChars="200" w:firstLine="420"/>
                  <w:rPr>
                    <w:rFonts w:hint="eastAsia"/>
                    <w:sz w:val="21"/>
                    <w:szCs w:val="21"/>
                  </w:rPr>
                </w:pPr>
                <w:r>
                  <w:rPr>
                    <w:sz w:val="21"/>
                    <w:szCs w:val="21"/>
                  </w:rPr>
                  <w:t>氨基酸类</w:t>
                </w:r>
              </w:p>
            </w:tc>
            <w:tc>
              <w:tcPr>
                <w:tcW w:w="1337" w:type="pct"/>
                <w:tcBorders>
                  <w:top w:val="single" w:sz="4" w:space="0" w:color="auto"/>
                  <w:left w:val="single" w:sz="4" w:space="0" w:color="auto"/>
                  <w:bottom w:val="single" w:sz="4" w:space="0" w:color="auto"/>
                  <w:right w:val="single" w:sz="4" w:space="0" w:color="auto"/>
                </w:tcBorders>
                <w:vAlign w:val="center"/>
              </w:tcPr>
              <w:p w14:paraId="6F44198B"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156,693,845.00</w:t>
                </w:r>
              </w:p>
            </w:tc>
            <w:tc>
              <w:tcPr>
                <w:tcW w:w="1658" w:type="pct"/>
                <w:tcBorders>
                  <w:top w:val="single" w:sz="4" w:space="0" w:color="auto"/>
                  <w:left w:val="single" w:sz="4" w:space="0" w:color="auto"/>
                  <w:bottom w:val="single" w:sz="4" w:space="0" w:color="auto"/>
                  <w:right w:val="single" w:sz="4" w:space="0" w:color="auto"/>
                </w:tcBorders>
                <w:vAlign w:val="center"/>
              </w:tcPr>
              <w:p w14:paraId="2294EB46"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86,976,722.96</w:t>
                </w:r>
              </w:p>
            </w:tc>
          </w:tr>
          <w:tr w:rsidR="002D0AE7" w14:paraId="77E540C0" w14:textId="77777777">
            <w:tc>
              <w:tcPr>
                <w:tcW w:w="2005" w:type="pct"/>
                <w:tcBorders>
                  <w:top w:val="single" w:sz="4" w:space="0" w:color="auto"/>
                  <w:left w:val="single" w:sz="4" w:space="0" w:color="auto"/>
                  <w:bottom w:val="single" w:sz="4" w:space="0" w:color="auto"/>
                  <w:right w:val="single" w:sz="4" w:space="0" w:color="auto"/>
                </w:tcBorders>
                <w:shd w:val="clear" w:color="auto" w:fill="auto"/>
              </w:tcPr>
              <w:p w14:paraId="549CE11F" w14:textId="77777777" w:rsidR="002D0AE7" w:rsidRDefault="00333EBB">
                <w:pPr>
                  <w:ind w:firstLineChars="200" w:firstLine="420"/>
                  <w:rPr>
                    <w:rFonts w:hint="eastAsia"/>
                    <w:sz w:val="21"/>
                    <w:szCs w:val="21"/>
                  </w:rPr>
                </w:pPr>
                <w:r>
                  <w:rPr>
                    <w:rFonts w:hint="eastAsia"/>
                    <w:sz w:val="21"/>
                    <w:szCs w:val="21"/>
                  </w:rPr>
                  <w:t>其他</w:t>
                </w:r>
              </w:p>
            </w:tc>
            <w:tc>
              <w:tcPr>
                <w:tcW w:w="1337" w:type="pct"/>
                <w:tcBorders>
                  <w:top w:val="single" w:sz="4" w:space="0" w:color="auto"/>
                  <w:left w:val="single" w:sz="4" w:space="0" w:color="auto"/>
                  <w:bottom w:val="single" w:sz="4" w:space="0" w:color="auto"/>
                  <w:right w:val="single" w:sz="4" w:space="0" w:color="auto"/>
                </w:tcBorders>
                <w:vAlign w:val="center"/>
              </w:tcPr>
              <w:p w14:paraId="2175385B"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569,074,671.24</w:t>
                </w:r>
              </w:p>
            </w:tc>
            <w:tc>
              <w:tcPr>
                <w:tcW w:w="1658" w:type="pct"/>
                <w:tcBorders>
                  <w:top w:val="single" w:sz="4" w:space="0" w:color="auto"/>
                  <w:left w:val="single" w:sz="4" w:space="0" w:color="auto"/>
                  <w:bottom w:val="single" w:sz="4" w:space="0" w:color="auto"/>
                  <w:right w:val="single" w:sz="4" w:space="0" w:color="auto"/>
                </w:tcBorders>
                <w:vAlign w:val="center"/>
              </w:tcPr>
              <w:p w14:paraId="28FFC996"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185,520,924.36</w:t>
                </w:r>
              </w:p>
            </w:tc>
          </w:tr>
          <w:tr w:rsidR="002D0AE7" w14:paraId="751C52D7" w14:textId="77777777">
            <w:tc>
              <w:tcPr>
                <w:tcW w:w="2005" w:type="pct"/>
                <w:tcBorders>
                  <w:top w:val="single" w:sz="4" w:space="0" w:color="auto"/>
                  <w:left w:val="single" w:sz="4" w:space="0" w:color="auto"/>
                  <w:bottom w:val="single" w:sz="4" w:space="0" w:color="auto"/>
                  <w:right w:val="single" w:sz="4" w:space="0" w:color="auto"/>
                </w:tcBorders>
                <w:shd w:val="clear" w:color="auto" w:fill="auto"/>
              </w:tcPr>
              <w:p w14:paraId="30F20DF9" w14:textId="77777777" w:rsidR="002D0AE7" w:rsidRDefault="00333EBB">
                <w:pPr>
                  <w:ind w:firstLineChars="200" w:firstLine="420"/>
                  <w:rPr>
                    <w:rFonts w:hint="eastAsia"/>
                    <w:sz w:val="21"/>
                    <w:szCs w:val="21"/>
                  </w:rPr>
                </w:pPr>
                <w:r>
                  <w:rPr>
                    <w:rFonts w:hint="eastAsia"/>
                    <w:sz w:val="21"/>
                    <w:szCs w:val="21"/>
                  </w:rPr>
                  <w:t>其中：制剂</w:t>
                </w:r>
              </w:p>
            </w:tc>
            <w:tc>
              <w:tcPr>
                <w:tcW w:w="1337" w:type="pct"/>
                <w:tcBorders>
                  <w:top w:val="single" w:sz="4" w:space="0" w:color="auto"/>
                  <w:left w:val="single" w:sz="4" w:space="0" w:color="auto"/>
                  <w:bottom w:val="single" w:sz="4" w:space="0" w:color="auto"/>
                  <w:right w:val="single" w:sz="4" w:space="0" w:color="auto"/>
                </w:tcBorders>
                <w:vAlign w:val="center"/>
              </w:tcPr>
              <w:p w14:paraId="510EC5A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568,166,066.10</w:t>
                </w:r>
              </w:p>
            </w:tc>
            <w:tc>
              <w:tcPr>
                <w:tcW w:w="1658" w:type="pct"/>
                <w:tcBorders>
                  <w:top w:val="single" w:sz="4" w:space="0" w:color="auto"/>
                  <w:left w:val="single" w:sz="4" w:space="0" w:color="auto"/>
                  <w:bottom w:val="single" w:sz="4" w:space="0" w:color="auto"/>
                  <w:right w:val="single" w:sz="4" w:space="0" w:color="auto"/>
                </w:tcBorders>
                <w:vAlign w:val="center"/>
              </w:tcPr>
              <w:p w14:paraId="3EC05F7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185,224,714.96</w:t>
                </w:r>
              </w:p>
            </w:tc>
          </w:tr>
          <w:tr w:rsidR="002D0AE7" w14:paraId="7157BD80" w14:textId="77777777">
            <w:tc>
              <w:tcPr>
                <w:tcW w:w="2005" w:type="pct"/>
                <w:tcBorders>
                  <w:top w:val="single" w:sz="4" w:space="0" w:color="auto"/>
                  <w:left w:val="single" w:sz="4" w:space="0" w:color="auto"/>
                  <w:bottom w:val="single" w:sz="4" w:space="0" w:color="auto"/>
                  <w:right w:val="single" w:sz="4" w:space="0" w:color="auto"/>
                </w:tcBorders>
                <w:shd w:val="clear" w:color="auto" w:fill="auto"/>
              </w:tcPr>
              <w:p w14:paraId="5AA2FBCA" w14:textId="77777777" w:rsidR="002D0AE7" w:rsidRDefault="00333EBB">
                <w:pPr>
                  <w:jc w:val="center"/>
                  <w:rPr>
                    <w:rFonts w:hint="eastAsia"/>
                    <w:sz w:val="21"/>
                    <w:szCs w:val="21"/>
                  </w:rPr>
                </w:pPr>
                <w:r>
                  <w:rPr>
                    <w:rFonts w:hint="eastAsia"/>
                    <w:sz w:val="21"/>
                    <w:szCs w:val="21"/>
                  </w:rPr>
                  <w:t>合计</w:t>
                </w:r>
              </w:p>
            </w:tc>
            <w:tc>
              <w:tcPr>
                <w:tcW w:w="1337" w:type="pct"/>
                <w:tcBorders>
                  <w:top w:val="single" w:sz="4" w:space="0" w:color="auto"/>
                  <w:left w:val="single" w:sz="4" w:space="0" w:color="auto"/>
                  <w:bottom w:val="single" w:sz="4" w:space="0" w:color="auto"/>
                  <w:right w:val="single" w:sz="4" w:space="0" w:color="auto"/>
                </w:tcBorders>
                <w:vAlign w:val="center"/>
              </w:tcPr>
              <w:p w14:paraId="39A24DA0"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1,787,205,996.00</w:t>
                </w:r>
              </w:p>
            </w:tc>
            <w:tc>
              <w:tcPr>
                <w:tcW w:w="1658" w:type="pct"/>
                <w:tcBorders>
                  <w:top w:val="single" w:sz="4" w:space="0" w:color="auto"/>
                  <w:left w:val="single" w:sz="4" w:space="0" w:color="auto"/>
                  <w:bottom w:val="single" w:sz="4" w:space="0" w:color="auto"/>
                  <w:right w:val="single" w:sz="4" w:space="0" w:color="auto"/>
                </w:tcBorders>
                <w:vAlign w:val="center"/>
              </w:tcPr>
              <w:p w14:paraId="2288B36A"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956,438,501.66</w:t>
                </w:r>
              </w:p>
            </w:tc>
          </w:tr>
          <w:tr w:rsidR="002D0AE7" w14:paraId="6331FA94" w14:textId="77777777">
            <w:tc>
              <w:tcPr>
                <w:tcW w:w="2005" w:type="pct"/>
                <w:tcBorders>
                  <w:top w:val="single" w:sz="4" w:space="0" w:color="auto"/>
                  <w:left w:val="single" w:sz="4" w:space="0" w:color="auto"/>
                  <w:bottom w:val="single" w:sz="4" w:space="0" w:color="auto"/>
                  <w:right w:val="single" w:sz="4" w:space="0" w:color="auto"/>
                </w:tcBorders>
                <w:shd w:val="clear" w:color="auto" w:fill="auto"/>
              </w:tcPr>
              <w:p w14:paraId="4E0DC917" w14:textId="77777777" w:rsidR="002D0AE7" w:rsidRDefault="00333EBB">
                <w:pPr>
                  <w:rPr>
                    <w:rFonts w:hint="eastAsia"/>
                    <w:color w:val="000000" w:themeColor="text1"/>
                    <w:sz w:val="21"/>
                    <w:szCs w:val="21"/>
                  </w:rPr>
                </w:pPr>
                <w:r>
                  <w:rPr>
                    <w:rFonts w:hint="eastAsia"/>
                    <w:color w:val="000000" w:themeColor="text1"/>
                    <w:sz w:val="21"/>
                    <w:szCs w:val="21"/>
                  </w:rPr>
                  <w:t>按经营地区分类</w:t>
                </w:r>
              </w:p>
            </w:tc>
            <w:tc>
              <w:tcPr>
                <w:tcW w:w="1337" w:type="pct"/>
                <w:tcBorders>
                  <w:top w:val="single" w:sz="4" w:space="0" w:color="auto"/>
                  <w:left w:val="single" w:sz="4" w:space="0" w:color="auto"/>
                  <w:bottom w:val="single" w:sz="4" w:space="0" w:color="auto"/>
                  <w:right w:val="single" w:sz="4" w:space="0" w:color="auto"/>
                </w:tcBorders>
              </w:tcPr>
              <w:p w14:paraId="01E85F49"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　</w:t>
                </w:r>
              </w:p>
            </w:tc>
            <w:tc>
              <w:tcPr>
                <w:tcW w:w="1658" w:type="pct"/>
                <w:tcBorders>
                  <w:top w:val="single" w:sz="4" w:space="0" w:color="auto"/>
                  <w:left w:val="single" w:sz="4" w:space="0" w:color="auto"/>
                  <w:bottom w:val="single" w:sz="4" w:space="0" w:color="auto"/>
                  <w:right w:val="single" w:sz="4" w:space="0" w:color="auto"/>
                </w:tcBorders>
              </w:tcPr>
              <w:p w14:paraId="4A9C2486"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　</w:t>
                </w:r>
              </w:p>
            </w:tc>
          </w:tr>
          <w:tr w:rsidR="002D0AE7" w14:paraId="7C36E17D" w14:textId="77777777">
            <w:tc>
              <w:tcPr>
                <w:tcW w:w="2005" w:type="pct"/>
                <w:tcBorders>
                  <w:top w:val="single" w:sz="4" w:space="0" w:color="auto"/>
                  <w:left w:val="single" w:sz="4" w:space="0" w:color="auto"/>
                  <w:bottom w:val="single" w:sz="4" w:space="0" w:color="auto"/>
                  <w:right w:val="single" w:sz="4" w:space="0" w:color="auto"/>
                </w:tcBorders>
                <w:shd w:val="clear" w:color="auto" w:fill="auto"/>
              </w:tcPr>
              <w:p w14:paraId="0F66DEB4" w14:textId="77777777" w:rsidR="002D0AE7" w:rsidRDefault="00333EBB">
                <w:pPr>
                  <w:ind w:firstLineChars="200" w:firstLine="420"/>
                  <w:rPr>
                    <w:rFonts w:hint="eastAsia"/>
                    <w:sz w:val="21"/>
                    <w:szCs w:val="21"/>
                  </w:rPr>
                </w:pPr>
                <w:r>
                  <w:rPr>
                    <w:rFonts w:hint="eastAsia"/>
                    <w:sz w:val="21"/>
                    <w:szCs w:val="21"/>
                  </w:rPr>
                  <w:t>内销</w:t>
                </w:r>
              </w:p>
            </w:tc>
            <w:tc>
              <w:tcPr>
                <w:tcW w:w="1337" w:type="pct"/>
                <w:tcBorders>
                  <w:top w:val="single" w:sz="4" w:space="0" w:color="auto"/>
                  <w:left w:val="single" w:sz="4" w:space="0" w:color="auto"/>
                  <w:bottom w:val="single" w:sz="4" w:space="0" w:color="auto"/>
                  <w:right w:val="single" w:sz="4" w:space="0" w:color="auto"/>
                </w:tcBorders>
                <w:vAlign w:val="center"/>
              </w:tcPr>
              <w:p w14:paraId="787A582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1,228,894,442.60</w:t>
                </w:r>
              </w:p>
            </w:tc>
            <w:tc>
              <w:tcPr>
                <w:tcW w:w="1658" w:type="pct"/>
                <w:tcBorders>
                  <w:top w:val="single" w:sz="4" w:space="0" w:color="auto"/>
                  <w:left w:val="single" w:sz="4" w:space="0" w:color="auto"/>
                  <w:bottom w:val="single" w:sz="4" w:space="0" w:color="auto"/>
                  <w:right w:val="single" w:sz="4" w:space="0" w:color="auto"/>
                </w:tcBorders>
                <w:vAlign w:val="center"/>
              </w:tcPr>
              <w:p w14:paraId="0895F72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407,344,030.49</w:t>
                </w:r>
              </w:p>
            </w:tc>
          </w:tr>
          <w:tr w:rsidR="002D0AE7" w14:paraId="71D1A242" w14:textId="77777777">
            <w:tc>
              <w:tcPr>
                <w:tcW w:w="2005" w:type="pct"/>
                <w:tcBorders>
                  <w:top w:val="single" w:sz="4" w:space="0" w:color="auto"/>
                  <w:left w:val="single" w:sz="4" w:space="0" w:color="auto"/>
                  <w:bottom w:val="single" w:sz="4" w:space="0" w:color="auto"/>
                  <w:right w:val="single" w:sz="4" w:space="0" w:color="auto"/>
                </w:tcBorders>
                <w:shd w:val="clear" w:color="auto" w:fill="auto"/>
              </w:tcPr>
              <w:p w14:paraId="60756834" w14:textId="77777777" w:rsidR="002D0AE7" w:rsidRDefault="00333EBB">
                <w:pPr>
                  <w:ind w:firstLineChars="200" w:firstLine="420"/>
                  <w:rPr>
                    <w:rFonts w:hint="eastAsia"/>
                    <w:sz w:val="21"/>
                    <w:szCs w:val="21"/>
                  </w:rPr>
                </w:pPr>
                <w:r>
                  <w:rPr>
                    <w:rFonts w:hint="eastAsia"/>
                    <w:sz w:val="21"/>
                    <w:szCs w:val="21"/>
                  </w:rPr>
                  <w:t>出口</w:t>
                </w:r>
              </w:p>
            </w:tc>
            <w:tc>
              <w:tcPr>
                <w:tcW w:w="1337" w:type="pct"/>
                <w:tcBorders>
                  <w:top w:val="single" w:sz="4" w:space="0" w:color="auto"/>
                  <w:left w:val="single" w:sz="4" w:space="0" w:color="auto"/>
                  <w:bottom w:val="single" w:sz="4" w:space="0" w:color="auto"/>
                  <w:right w:val="single" w:sz="4" w:space="0" w:color="auto"/>
                </w:tcBorders>
                <w:vAlign w:val="center"/>
              </w:tcPr>
              <w:p w14:paraId="132B6D08"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558,311,553.40</w:t>
                </w:r>
              </w:p>
            </w:tc>
            <w:tc>
              <w:tcPr>
                <w:tcW w:w="1658" w:type="pct"/>
                <w:tcBorders>
                  <w:top w:val="single" w:sz="4" w:space="0" w:color="auto"/>
                  <w:left w:val="single" w:sz="4" w:space="0" w:color="auto"/>
                  <w:bottom w:val="single" w:sz="4" w:space="0" w:color="auto"/>
                  <w:right w:val="single" w:sz="4" w:space="0" w:color="auto"/>
                </w:tcBorders>
                <w:vAlign w:val="center"/>
              </w:tcPr>
              <w:p w14:paraId="04029318"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549,094,471.17</w:t>
                </w:r>
              </w:p>
            </w:tc>
          </w:tr>
          <w:tr w:rsidR="002D0AE7" w14:paraId="40E29720" w14:textId="77777777">
            <w:tc>
              <w:tcPr>
                <w:tcW w:w="2005" w:type="pct"/>
                <w:tcBorders>
                  <w:top w:val="single" w:sz="4" w:space="0" w:color="auto"/>
                  <w:left w:val="single" w:sz="4" w:space="0" w:color="auto"/>
                  <w:bottom w:val="single" w:sz="4" w:space="0" w:color="auto"/>
                  <w:right w:val="single" w:sz="4" w:space="0" w:color="auto"/>
                </w:tcBorders>
                <w:shd w:val="clear" w:color="auto" w:fill="auto"/>
              </w:tcPr>
              <w:p w14:paraId="124AB411"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1337" w:type="pct"/>
                <w:tcBorders>
                  <w:top w:val="single" w:sz="4" w:space="0" w:color="auto"/>
                  <w:left w:val="single" w:sz="4" w:space="0" w:color="auto"/>
                  <w:bottom w:val="single" w:sz="4" w:space="0" w:color="auto"/>
                  <w:right w:val="single" w:sz="4" w:space="0" w:color="auto"/>
                </w:tcBorders>
                <w:vAlign w:val="center"/>
              </w:tcPr>
              <w:p w14:paraId="56EAADD7"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1,787,205,996.00</w:t>
                </w:r>
              </w:p>
            </w:tc>
            <w:tc>
              <w:tcPr>
                <w:tcW w:w="1658" w:type="pct"/>
                <w:tcBorders>
                  <w:top w:val="single" w:sz="4" w:space="0" w:color="auto"/>
                  <w:left w:val="single" w:sz="4" w:space="0" w:color="auto"/>
                  <w:bottom w:val="single" w:sz="4" w:space="0" w:color="auto"/>
                  <w:right w:val="single" w:sz="4" w:space="0" w:color="auto"/>
                </w:tcBorders>
                <w:vAlign w:val="center"/>
              </w:tcPr>
              <w:p w14:paraId="041BFDC1"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956,438,501.66</w:t>
                </w:r>
              </w:p>
            </w:tc>
          </w:tr>
        </w:tbl>
      </w:sdtContent>
    </w:sdt>
    <w:bookmarkEnd w:id="215"/>
    <w:bookmarkEnd w:id="214"/>
    <w:p w14:paraId="4FCC8170"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szCs w:val="21"/>
        </w:rPr>
        <w:t>税金及附加</w:t>
      </w:r>
    </w:p>
    <w:sdt>
      <w:sdtPr>
        <w:rPr>
          <w:color w:val="000000" w:themeColor="text1"/>
        </w:rPr>
        <w:alias w:val="是否适用：税金及附加[双击切换]"/>
        <w:tag w:val="_GBC_e6e37ca7fd2a435e8e042586945bb4d2"/>
        <w:id w:val="-583060716"/>
        <w:placeholder>
          <w:docPart w:val="GBC22222222222222222222222222222"/>
        </w:placeholder>
      </w:sdtPr>
      <w:sdtEndPr/>
      <w:sdtContent>
        <w:p w14:paraId="738E8538"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3D99A5E3" w14:textId="77777777" w:rsidR="002D0AE7" w:rsidRDefault="00333EBB">
      <w:pPr>
        <w:jc w:val="right"/>
        <w:rPr>
          <w:rFonts w:hint="eastAsia"/>
          <w:b/>
          <w:color w:val="000000" w:themeColor="text1"/>
        </w:rPr>
      </w:pPr>
      <w:r>
        <w:rPr>
          <w:rFonts w:hint="eastAsia"/>
          <w:color w:val="000000" w:themeColor="text1"/>
        </w:rPr>
        <w:t>单位：</w:t>
      </w:r>
      <w:sdt>
        <w:sdtPr>
          <w:rPr>
            <w:rFonts w:hint="eastAsia"/>
            <w:color w:val="000000" w:themeColor="text1"/>
          </w:rPr>
          <w:alias w:val="单位：财务附注：税金及附加"/>
          <w:tag w:val="_GBC_bdd382ceb0b74413bcc8ce354afae4a8"/>
          <w:id w:val="-3687564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税金及附加"/>
          <w:tag w:val="_GBC_ecf8b53c11ec4336b91007df3f6b5f78"/>
          <w:id w:val="-33623129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33"/>
        <w:gridCol w:w="2992"/>
        <w:gridCol w:w="2992"/>
      </w:tblGrid>
      <w:tr w:rsidR="002D0AE7" w14:paraId="77A5A647" w14:textId="77777777">
        <w:sdt>
          <w:sdtPr>
            <w:rPr>
              <w:color w:val="000000" w:themeColor="text1"/>
              <w:sz w:val="21"/>
              <w:szCs w:val="21"/>
            </w:rPr>
            <w:tag w:val="_PLD_444bcf5500dc4f7f9041afd20c147408"/>
            <w:id w:val="-1370759146"/>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4A7DC8B6" w14:textId="77777777" w:rsidR="002D0AE7" w:rsidRDefault="00333EBB">
                <w:pPr>
                  <w:autoSpaceDE w:val="0"/>
                  <w:autoSpaceDN w:val="0"/>
                  <w:adjustRightInd w:val="0"/>
                  <w:snapToGrid w:val="0"/>
                  <w:spacing w:line="240" w:lineRule="atLeast"/>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986496e04f5841889074687e953bf8a9"/>
            <w:id w:val="530376358"/>
          </w:sdtPr>
          <w:sdtEndPr/>
          <w:sdtContent>
            <w:tc>
              <w:tcPr>
                <w:tcW w:w="1697" w:type="pct"/>
                <w:tcBorders>
                  <w:top w:val="single" w:sz="6" w:space="0" w:color="auto"/>
                  <w:left w:val="single" w:sz="6" w:space="0" w:color="auto"/>
                  <w:bottom w:val="single" w:sz="6" w:space="0" w:color="auto"/>
                  <w:right w:val="single" w:sz="6" w:space="0" w:color="auto"/>
                </w:tcBorders>
              </w:tcPr>
              <w:p w14:paraId="5689C063" w14:textId="77777777" w:rsidR="002D0AE7" w:rsidRDefault="00333EBB">
                <w:pPr>
                  <w:jc w:val="center"/>
                  <w:rPr>
                    <w:rFonts w:hint="eastAsia"/>
                    <w:color w:val="000000" w:themeColor="text1"/>
                    <w:sz w:val="21"/>
                    <w:szCs w:val="21"/>
                  </w:rPr>
                </w:pPr>
                <w:r>
                  <w:rPr>
                    <w:rFonts w:hint="eastAsia"/>
                    <w:color w:val="000000" w:themeColor="text1"/>
                    <w:sz w:val="21"/>
                    <w:szCs w:val="21"/>
                  </w:rPr>
                  <w:t>本期发生额</w:t>
                </w:r>
              </w:p>
            </w:tc>
          </w:sdtContent>
        </w:sdt>
        <w:sdt>
          <w:sdtPr>
            <w:rPr>
              <w:color w:val="000000" w:themeColor="text1"/>
              <w:sz w:val="21"/>
              <w:szCs w:val="21"/>
            </w:rPr>
            <w:tag w:val="_PLD_4ab1376344dc484195a5459c78069a64"/>
            <w:id w:val="-781959442"/>
          </w:sdtPr>
          <w:sdtEndPr/>
          <w:sdtContent>
            <w:tc>
              <w:tcPr>
                <w:tcW w:w="1697" w:type="pct"/>
                <w:tcBorders>
                  <w:top w:val="single" w:sz="6" w:space="0" w:color="auto"/>
                  <w:left w:val="single" w:sz="6" w:space="0" w:color="auto"/>
                  <w:bottom w:val="single" w:sz="6" w:space="0" w:color="auto"/>
                  <w:right w:val="single" w:sz="6" w:space="0" w:color="auto"/>
                </w:tcBorders>
                <w:vAlign w:val="center"/>
              </w:tcPr>
              <w:p w14:paraId="7DA680BC" w14:textId="77777777" w:rsidR="002D0AE7" w:rsidRDefault="00333EBB">
                <w:pPr>
                  <w:jc w:val="center"/>
                  <w:rPr>
                    <w:rFonts w:hint="eastAsia"/>
                    <w:color w:val="000000" w:themeColor="text1"/>
                    <w:sz w:val="21"/>
                    <w:szCs w:val="21"/>
                  </w:rPr>
                </w:pPr>
                <w:r>
                  <w:rPr>
                    <w:rFonts w:hint="eastAsia"/>
                    <w:color w:val="000000" w:themeColor="text1"/>
                    <w:sz w:val="21"/>
                    <w:szCs w:val="21"/>
                  </w:rPr>
                  <w:t>上期发生额</w:t>
                </w:r>
              </w:p>
            </w:tc>
          </w:sdtContent>
        </w:sdt>
      </w:tr>
      <w:tr w:rsidR="002D0AE7" w14:paraId="0F1E3977" w14:textId="77777777">
        <w:tc>
          <w:tcPr>
            <w:tcW w:w="1606" w:type="pct"/>
            <w:tcBorders>
              <w:top w:val="single" w:sz="6" w:space="0" w:color="auto"/>
              <w:left w:val="single" w:sz="6" w:space="0" w:color="auto"/>
              <w:bottom w:val="single" w:sz="6" w:space="0" w:color="auto"/>
              <w:right w:val="single" w:sz="6" w:space="0" w:color="auto"/>
            </w:tcBorders>
            <w:vAlign w:val="center"/>
          </w:tcPr>
          <w:p w14:paraId="28E8E6E8" w14:textId="77777777" w:rsidR="002D0AE7" w:rsidRDefault="00333EBB">
            <w:pPr>
              <w:autoSpaceDE w:val="0"/>
              <w:autoSpaceDN w:val="0"/>
              <w:adjustRightInd w:val="0"/>
              <w:snapToGrid w:val="0"/>
              <w:spacing w:line="240" w:lineRule="atLeast"/>
              <w:rPr>
                <w:rFonts w:hint="eastAsia"/>
                <w:color w:val="000000" w:themeColor="text1"/>
                <w:sz w:val="21"/>
                <w:szCs w:val="21"/>
              </w:rPr>
            </w:pPr>
            <w:r>
              <w:rPr>
                <w:rFonts w:hint="eastAsia"/>
                <w:color w:val="000000" w:themeColor="text1"/>
                <w:sz w:val="21"/>
                <w:szCs w:val="21"/>
              </w:rPr>
              <w:t>城市维护建设税</w:t>
            </w:r>
          </w:p>
        </w:tc>
        <w:tc>
          <w:tcPr>
            <w:tcW w:w="1697" w:type="pct"/>
            <w:tcBorders>
              <w:top w:val="single" w:sz="6" w:space="0" w:color="auto"/>
              <w:left w:val="single" w:sz="6" w:space="0" w:color="auto"/>
              <w:bottom w:val="single" w:sz="6" w:space="0" w:color="auto"/>
              <w:right w:val="single" w:sz="6" w:space="0" w:color="auto"/>
            </w:tcBorders>
            <w:vAlign w:val="center"/>
          </w:tcPr>
          <w:p w14:paraId="09EF2887" w14:textId="77777777" w:rsidR="002D0AE7" w:rsidRDefault="00333EBB">
            <w:pPr>
              <w:autoSpaceDE w:val="0"/>
              <w:autoSpaceDN w:val="0"/>
              <w:adjustRightInd w:val="0"/>
              <w:snapToGrid w:val="0"/>
              <w:spacing w:line="240" w:lineRule="atLeast"/>
              <w:jc w:val="right"/>
              <w:rPr>
                <w:rFonts w:ascii="Times New Roman" w:hAnsi="Times New Roman" w:cs="Times New Roman"/>
                <w:sz w:val="21"/>
                <w:szCs w:val="21"/>
              </w:rPr>
            </w:pPr>
            <w:r>
              <w:rPr>
                <w:rFonts w:ascii="Times New Roman" w:hAnsi="Times New Roman" w:cs="Times New Roman"/>
                <w:sz w:val="21"/>
                <w:szCs w:val="21"/>
              </w:rPr>
              <w:t>6,899,821.35</w:t>
            </w:r>
          </w:p>
        </w:tc>
        <w:tc>
          <w:tcPr>
            <w:tcW w:w="1697" w:type="pct"/>
            <w:tcBorders>
              <w:top w:val="single" w:sz="6" w:space="0" w:color="auto"/>
              <w:left w:val="single" w:sz="6" w:space="0" w:color="auto"/>
              <w:bottom w:val="single" w:sz="6" w:space="0" w:color="auto"/>
              <w:right w:val="single" w:sz="6" w:space="0" w:color="auto"/>
            </w:tcBorders>
            <w:vAlign w:val="center"/>
          </w:tcPr>
          <w:p w14:paraId="36F2792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9,624,092.62</w:t>
            </w:r>
          </w:p>
        </w:tc>
      </w:tr>
      <w:tr w:rsidR="002D0AE7" w14:paraId="043E7FDD" w14:textId="77777777">
        <w:tc>
          <w:tcPr>
            <w:tcW w:w="1606" w:type="pct"/>
            <w:tcBorders>
              <w:top w:val="single" w:sz="6" w:space="0" w:color="auto"/>
              <w:left w:val="single" w:sz="6" w:space="0" w:color="auto"/>
              <w:bottom w:val="single" w:sz="6" w:space="0" w:color="auto"/>
              <w:right w:val="single" w:sz="6" w:space="0" w:color="auto"/>
            </w:tcBorders>
            <w:vAlign w:val="center"/>
          </w:tcPr>
          <w:p w14:paraId="158F467A" w14:textId="77777777" w:rsidR="002D0AE7" w:rsidRDefault="00333EBB">
            <w:pPr>
              <w:autoSpaceDE w:val="0"/>
              <w:autoSpaceDN w:val="0"/>
              <w:adjustRightInd w:val="0"/>
              <w:snapToGrid w:val="0"/>
              <w:spacing w:line="240" w:lineRule="atLeast"/>
              <w:rPr>
                <w:rFonts w:hint="eastAsia"/>
                <w:color w:val="000000" w:themeColor="text1"/>
                <w:sz w:val="21"/>
                <w:szCs w:val="21"/>
              </w:rPr>
            </w:pPr>
            <w:r>
              <w:rPr>
                <w:rFonts w:hint="eastAsia"/>
                <w:color w:val="000000" w:themeColor="text1"/>
                <w:sz w:val="21"/>
                <w:szCs w:val="21"/>
              </w:rPr>
              <w:t>教育费附加</w:t>
            </w:r>
          </w:p>
        </w:tc>
        <w:tc>
          <w:tcPr>
            <w:tcW w:w="1697" w:type="pct"/>
            <w:tcBorders>
              <w:top w:val="single" w:sz="6" w:space="0" w:color="auto"/>
              <w:left w:val="single" w:sz="6" w:space="0" w:color="auto"/>
              <w:bottom w:val="single" w:sz="6" w:space="0" w:color="auto"/>
              <w:right w:val="single" w:sz="6" w:space="0" w:color="auto"/>
            </w:tcBorders>
            <w:vAlign w:val="center"/>
          </w:tcPr>
          <w:p w14:paraId="348F6B4C" w14:textId="77777777" w:rsidR="002D0AE7" w:rsidRDefault="00333EBB">
            <w:pPr>
              <w:autoSpaceDE w:val="0"/>
              <w:autoSpaceDN w:val="0"/>
              <w:adjustRightInd w:val="0"/>
              <w:snapToGrid w:val="0"/>
              <w:spacing w:line="240" w:lineRule="atLeast"/>
              <w:jc w:val="right"/>
              <w:rPr>
                <w:rFonts w:ascii="Times New Roman" w:hAnsi="Times New Roman" w:cs="Times New Roman"/>
                <w:sz w:val="21"/>
                <w:szCs w:val="21"/>
              </w:rPr>
            </w:pPr>
            <w:r>
              <w:rPr>
                <w:rFonts w:ascii="Times New Roman" w:hAnsi="Times New Roman" w:cs="Times New Roman"/>
                <w:sz w:val="21"/>
                <w:szCs w:val="21"/>
              </w:rPr>
              <w:t>4,928,443.83</w:t>
            </w:r>
          </w:p>
        </w:tc>
        <w:tc>
          <w:tcPr>
            <w:tcW w:w="1697" w:type="pct"/>
            <w:tcBorders>
              <w:top w:val="single" w:sz="6" w:space="0" w:color="auto"/>
              <w:left w:val="single" w:sz="6" w:space="0" w:color="auto"/>
              <w:bottom w:val="single" w:sz="6" w:space="0" w:color="auto"/>
              <w:right w:val="single" w:sz="6" w:space="0" w:color="auto"/>
            </w:tcBorders>
            <w:vAlign w:val="center"/>
          </w:tcPr>
          <w:p w14:paraId="7D14063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6,874,351.87</w:t>
            </w:r>
          </w:p>
        </w:tc>
      </w:tr>
      <w:tr w:rsidR="002D0AE7" w14:paraId="7BB17075" w14:textId="77777777">
        <w:tc>
          <w:tcPr>
            <w:tcW w:w="1606" w:type="pct"/>
            <w:tcBorders>
              <w:top w:val="single" w:sz="6" w:space="0" w:color="auto"/>
              <w:left w:val="single" w:sz="6" w:space="0" w:color="auto"/>
              <w:bottom w:val="single" w:sz="6" w:space="0" w:color="auto"/>
              <w:right w:val="single" w:sz="6" w:space="0" w:color="auto"/>
            </w:tcBorders>
            <w:vAlign w:val="center"/>
          </w:tcPr>
          <w:p w14:paraId="6CBBF0B6" w14:textId="77777777" w:rsidR="002D0AE7" w:rsidRDefault="00333EBB">
            <w:pPr>
              <w:autoSpaceDE w:val="0"/>
              <w:autoSpaceDN w:val="0"/>
              <w:adjustRightInd w:val="0"/>
              <w:snapToGrid w:val="0"/>
              <w:spacing w:line="240" w:lineRule="atLeast"/>
              <w:rPr>
                <w:rFonts w:hint="eastAsia"/>
                <w:color w:val="000000" w:themeColor="text1"/>
                <w:sz w:val="21"/>
                <w:szCs w:val="21"/>
              </w:rPr>
            </w:pPr>
            <w:r>
              <w:rPr>
                <w:color w:val="000000" w:themeColor="text1"/>
                <w:sz w:val="21"/>
                <w:szCs w:val="21"/>
              </w:rPr>
              <w:t>房产税</w:t>
            </w:r>
          </w:p>
        </w:tc>
        <w:tc>
          <w:tcPr>
            <w:tcW w:w="1697" w:type="pct"/>
            <w:tcBorders>
              <w:top w:val="single" w:sz="6" w:space="0" w:color="auto"/>
              <w:left w:val="single" w:sz="6" w:space="0" w:color="auto"/>
              <w:bottom w:val="single" w:sz="6" w:space="0" w:color="auto"/>
              <w:right w:val="single" w:sz="6" w:space="0" w:color="auto"/>
            </w:tcBorders>
          </w:tcPr>
          <w:p w14:paraId="010E7580" w14:textId="77777777" w:rsidR="002D0AE7" w:rsidRDefault="00333EBB">
            <w:pPr>
              <w:autoSpaceDE w:val="0"/>
              <w:autoSpaceDN w:val="0"/>
              <w:adjustRightInd w:val="0"/>
              <w:snapToGrid w:val="0"/>
              <w:spacing w:line="240" w:lineRule="atLeast"/>
              <w:jc w:val="right"/>
              <w:rPr>
                <w:rFonts w:ascii="Times New Roman" w:hAnsi="Times New Roman" w:cs="Times New Roman"/>
                <w:sz w:val="21"/>
                <w:szCs w:val="21"/>
              </w:rPr>
            </w:pPr>
            <w:r>
              <w:rPr>
                <w:rFonts w:ascii="Times New Roman" w:hAnsi="Times New Roman" w:cs="Times New Roman"/>
                <w:sz w:val="21"/>
                <w:szCs w:val="21"/>
              </w:rPr>
              <w:t>6,175,011.96</w:t>
            </w:r>
          </w:p>
        </w:tc>
        <w:tc>
          <w:tcPr>
            <w:tcW w:w="1697" w:type="pct"/>
            <w:tcBorders>
              <w:top w:val="single" w:sz="6" w:space="0" w:color="auto"/>
              <w:left w:val="single" w:sz="6" w:space="0" w:color="auto"/>
              <w:bottom w:val="single" w:sz="6" w:space="0" w:color="auto"/>
              <w:right w:val="single" w:sz="6" w:space="0" w:color="auto"/>
            </w:tcBorders>
            <w:vAlign w:val="center"/>
          </w:tcPr>
          <w:p w14:paraId="22BE5AE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6,973,960.92</w:t>
            </w:r>
          </w:p>
        </w:tc>
      </w:tr>
      <w:tr w:rsidR="002D0AE7" w14:paraId="6CC0AA83" w14:textId="77777777">
        <w:tc>
          <w:tcPr>
            <w:tcW w:w="1606" w:type="pct"/>
            <w:tcBorders>
              <w:top w:val="single" w:sz="6" w:space="0" w:color="auto"/>
              <w:left w:val="single" w:sz="6" w:space="0" w:color="auto"/>
              <w:bottom w:val="single" w:sz="6" w:space="0" w:color="auto"/>
              <w:right w:val="single" w:sz="6" w:space="0" w:color="auto"/>
            </w:tcBorders>
            <w:vAlign w:val="center"/>
          </w:tcPr>
          <w:p w14:paraId="61343479" w14:textId="77777777" w:rsidR="002D0AE7" w:rsidRDefault="00333EBB">
            <w:pPr>
              <w:autoSpaceDE w:val="0"/>
              <w:autoSpaceDN w:val="0"/>
              <w:adjustRightInd w:val="0"/>
              <w:snapToGrid w:val="0"/>
              <w:spacing w:line="240" w:lineRule="atLeast"/>
              <w:rPr>
                <w:rFonts w:hint="eastAsia"/>
                <w:color w:val="000000" w:themeColor="text1"/>
                <w:sz w:val="21"/>
                <w:szCs w:val="21"/>
              </w:rPr>
            </w:pPr>
            <w:r>
              <w:rPr>
                <w:color w:val="000000" w:themeColor="text1"/>
                <w:sz w:val="21"/>
                <w:szCs w:val="21"/>
              </w:rPr>
              <w:t>土地使用税</w:t>
            </w:r>
          </w:p>
        </w:tc>
        <w:tc>
          <w:tcPr>
            <w:tcW w:w="1697" w:type="pct"/>
            <w:tcBorders>
              <w:top w:val="single" w:sz="6" w:space="0" w:color="auto"/>
              <w:left w:val="single" w:sz="6" w:space="0" w:color="auto"/>
              <w:bottom w:val="single" w:sz="6" w:space="0" w:color="auto"/>
              <w:right w:val="single" w:sz="6" w:space="0" w:color="auto"/>
            </w:tcBorders>
          </w:tcPr>
          <w:p w14:paraId="2ACDE0D9" w14:textId="77777777" w:rsidR="002D0AE7" w:rsidRDefault="00333EBB">
            <w:pPr>
              <w:autoSpaceDE w:val="0"/>
              <w:autoSpaceDN w:val="0"/>
              <w:adjustRightInd w:val="0"/>
              <w:snapToGrid w:val="0"/>
              <w:spacing w:line="240" w:lineRule="atLeast"/>
              <w:jc w:val="right"/>
              <w:rPr>
                <w:rFonts w:ascii="Times New Roman" w:hAnsi="Times New Roman" w:cs="Times New Roman"/>
                <w:sz w:val="21"/>
                <w:szCs w:val="21"/>
              </w:rPr>
            </w:pPr>
            <w:r>
              <w:rPr>
                <w:rFonts w:ascii="Times New Roman" w:hAnsi="Times New Roman" w:cs="Times New Roman"/>
                <w:sz w:val="21"/>
                <w:szCs w:val="21"/>
              </w:rPr>
              <w:t>760,862.14</w:t>
            </w:r>
          </w:p>
        </w:tc>
        <w:tc>
          <w:tcPr>
            <w:tcW w:w="1697" w:type="pct"/>
            <w:tcBorders>
              <w:top w:val="single" w:sz="6" w:space="0" w:color="auto"/>
              <w:left w:val="single" w:sz="6" w:space="0" w:color="auto"/>
              <w:bottom w:val="single" w:sz="6" w:space="0" w:color="auto"/>
              <w:right w:val="single" w:sz="6" w:space="0" w:color="auto"/>
            </w:tcBorders>
            <w:vAlign w:val="center"/>
          </w:tcPr>
          <w:p w14:paraId="3737A4F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760,862.14</w:t>
            </w:r>
          </w:p>
        </w:tc>
      </w:tr>
      <w:tr w:rsidR="002D0AE7" w14:paraId="0C6EF91D" w14:textId="77777777">
        <w:tc>
          <w:tcPr>
            <w:tcW w:w="1606" w:type="pct"/>
            <w:tcBorders>
              <w:top w:val="single" w:sz="6" w:space="0" w:color="auto"/>
              <w:left w:val="single" w:sz="6" w:space="0" w:color="auto"/>
              <w:bottom w:val="single" w:sz="6" w:space="0" w:color="auto"/>
              <w:right w:val="single" w:sz="6" w:space="0" w:color="auto"/>
            </w:tcBorders>
            <w:vAlign w:val="center"/>
          </w:tcPr>
          <w:p w14:paraId="365A5D6D" w14:textId="77777777" w:rsidR="002D0AE7" w:rsidRDefault="00333EBB">
            <w:pPr>
              <w:autoSpaceDE w:val="0"/>
              <w:autoSpaceDN w:val="0"/>
              <w:adjustRightInd w:val="0"/>
              <w:snapToGrid w:val="0"/>
              <w:spacing w:line="240" w:lineRule="atLeast"/>
              <w:rPr>
                <w:rFonts w:hint="eastAsia"/>
                <w:color w:val="000000" w:themeColor="text1"/>
                <w:sz w:val="21"/>
                <w:szCs w:val="21"/>
              </w:rPr>
            </w:pPr>
            <w:r>
              <w:rPr>
                <w:color w:val="000000" w:themeColor="text1"/>
                <w:sz w:val="21"/>
                <w:szCs w:val="21"/>
              </w:rPr>
              <w:t>车船使用税</w:t>
            </w:r>
          </w:p>
        </w:tc>
        <w:tc>
          <w:tcPr>
            <w:tcW w:w="1697" w:type="pct"/>
            <w:tcBorders>
              <w:top w:val="single" w:sz="6" w:space="0" w:color="auto"/>
              <w:left w:val="single" w:sz="6" w:space="0" w:color="auto"/>
              <w:bottom w:val="single" w:sz="6" w:space="0" w:color="auto"/>
              <w:right w:val="single" w:sz="6" w:space="0" w:color="auto"/>
            </w:tcBorders>
          </w:tcPr>
          <w:p w14:paraId="43BEDF90" w14:textId="77777777" w:rsidR="002D0AE7" w:rsidRDefault="00333EBB">
            <w:pPr>
              <w:autoSpaceDE w:val="0"/>
              <w:autoSpaceDN w:val="0"/>
              <w:adjustRightInd w:val="0"/>
              <w:snapToGrid w:val="0"/>
              <w:spacing w:line="240" w:lineRule="atLeast"/>
              <w:jc w:val="right"/>
              <w:rPr>
                <w:rFonts w:ascii="Times New Roman" w:hAnsi="Times New Roman" w:cs="Times New Roman"/>
                <w:sz w:val="21"/>
                <w:szCs w:val="21"/>
              </w:rPr>
            </w:pPr>
            <w:r>
              <w:rPr>
                <w:rFonts w:ascii="Times New Roman" w:hAnsi="Times New Roman" w:cs="Times New Roman"/>
                <w:sz w:val="21"/>
                <w:szCs w:val="21"/>
              </w:rPr>
              <w:t>2,190.00</w:t>
            </w:r>
          </w:p>
        </w:tc>
        <w:tc>
          <w:tcPr>
            <w:tcW w:w="1697" w:type="pct"/>
            <w:tcBorders>
              <w:top w:val="single" w:sz="6" w:space="0" w:color="auto"/>
              <w:left w:val="single" w:sz="6" w:space="0" w:color="auto"/>
              <w:bottom w:val="single" w:sz="6" w:space="0" w:color="auto"/>
              <w:right w:val="single" w:sz="6" w:space="0" w:color="auto"/>
            </w:tcBorders>
            <w:vAlign w:val="center"/>
          </w:tcPr>
          <w:p w14:paraId="0C935D4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4,005.00</w:t>
            </w:r>
          </w:p>
        </w:tc>
      </w:tr>
      <w:tr w:rsidR="002D0AE7" w14:paraId="269B180E" w14:textId="77777777">
        <w:tc>
          <w:tcPr>
            <w:tcW w:w="1606" w:type="pct"/>
            <w:tcBorders>
              <w:top w:val="single" w:sz="6" w:space="0" w:color="auto"/>
              <w:left w:val="single" w:sz="6" w:space="0" w:color="auto"/>
              <w:bottom w:val="single" w:sz="6" w:space="0" w:color="auto"/>
              <w:right w:val="single" w:sz="6" w:space="0" w:color="auto"/>
            </w:tcBorders>
            <w:vAlign w:val="center"/>
          </w:tcPr>
          <w:p w14:paraId="18579279" w14:textId="77777777" w:rsidR="002D0AE7" w:rsidRDefault="00333EBB">
            <w:pPr>
              <w:autoSpaceDE w:val="0"/>
              <w:autoSpaceDN w:val="0"/>
              <w:adjustRightInd w:val="0"/>
              <w:snapToGrid w:val="0"/>
              <w:spacing w:line="240" w:lineRule="atLeast"/>
              <w:rPr>
                <w:rFonts w:hint="eastAsia"/>
                <w:color w:val="000000" w:themeColor="text1"/>
                <w:sz w:val="21"/>
                <w:szCs w:val="21"/>
              </w:rPr>
            </w:pPr>
            <w:r>
              <w:rPr>
                <w:color w:val="000000" w:themeColor="text1"/>
                <w:sz w:val="21"/>
                <w:szCs w:val="21"/>
              </w:rPr>
              <w:t>印花税</w:t>
            </w:r>
          </w:p>
        </w:tc>
        <w:tc>
          <w:tcPr>
            <w:tcW w:w="1697" w:type="pct"/>
            <w:tcBorders>
              <w:top w:val="single" w:sz="6" w:space="0" w:color="auto"/>
              <w:left w:val="single" w:sz="6" w:space="0" w:color="auto"/>
              <w:bottom w:val="single" w:sz="6" w:space="0" w:color="auto"/>
              <w:right w:val="single" w:sz="6" w:space="0" w:color="auto"/>
            </w:tcBorders>
            <w:vAlign w:val="center"/>
          </w:tcPr>
          <w:p w14:paraId="729AE3A0" w14:textId="77777777" w:rsidR="002D0AE7" w:rsidRDefault="00333EBB">
            <w:pPr>
              <w:autoSpaceDE w:val="0"/>
              <w:autoSpaceDN w:val="0"/>
              <w:adjustRightInd w:val="0"/>
              <w:snapToGrid w:val="0"/>
              <w:spacing w:line="240" w:lineRule="atLeast"/>
              <w:jc w:val="right"/>
              <w:rPr>
                <w:rFonts w:ascii="Times New Roman" w:hAnsi="Times New Roman" w:cs="Times New Roman"/>
                <w:sz w:val="21"/>
                <w:szCs w:val="21"/>
              </w:rPr>
            </w:pPr>
            <w:r>
              <w:rPr>
                <w:rFonts w:ascii="Times New Roman" w:hAnsi="Times New Roman" w:cs="Times New Roman"/>
                <w:sz w:val="21"/>
                <w:szCs w:val="21"/>
              </w:rPr>
              <w:t>1,374,549.05</w:t>
            </w:r>
          </w:p>
        </w:tc>
        <w:tc>
          <w:tcPr>
            <w:tcW w:w="1697" w:type="pct"/>
            <w:tcBorders>
              <w:top w:val="single" w:sz="6" w:space="0" w:color="auto"/>
              <w:left w:val="single" w:sz="6" w:space="0" w:color="auto"/>
              <w:bottom w:val="single" w:sz="6" w:space="0" w:color="auto"/>
              <w:right w:val="single" w:sz="6" w:space="0" w:color="auto"/>
            </w:tcBorders>
            <w:vAlign w:val="center"/>
          </w:tcPr>
          <w:p w14:paraId="3B1B6FC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1,426,168.50</w:t>
            </w:r>
          </w:p>
        </w:tc>
      </w:tr>
      <w:tr w:rsidR="002D0AE7" w14:paraId="34F3C179" w14:textId="77777777">
        <w:tc>
          <w:tcPr>
            <w:tcW w:w="1606" w:type="pct"/>
            <w:tcBorders>
              <w:top w:val="single" w:sz="6" w:space="0" w:color="auto"/>
              <w:left w:val="single" w:sz="6" w:space="0" w:color="auto"/>
              <w:bottom w:val="single" w:sz="6" w:space="0" w:color="auto"/>
              <w:right w:val="single" w:sz="6" w:space="0" w:color="auto"/>
            </w:tcBorders>
            <w:vAlign w:val="center"/>
          </w:tcPr>
          <w:p w14:paraId="26F69BDE" w14:textId="77777777" w:rsidR="002D0AE7" w:rsidRDefault="00333EBB">
            <w:pPr>
              <w:autoSpaceDE w:val="0"/>
              <w:autoSpaceDN w:val="0"/>
              <w:adjustRightInd w:val="0"/>
              <w:snapToGrid w:val="0"/>
              <w:spacing w:line="240" w:lineRule="atLeast"/>
              <w:rPr>
                <w:rFonts w:hint="eastAsia"/>
                <w:sz w:val="21"/>
                <w:szCs w:val="21"/>
              </w:rPr>
            </w:pPr>
            <w:r>
              <w:rPr>
                <w:rFonts w:hint="eastAsia"/>
                <w:sz w:val="21"/>
                <w:szCs w:val="21"/>
              </w:rPr>
              <w:t>环保税</w:t>
            </w:r>
          </w:p>
        </w:tc>
        <w:tc>
          <w:tcPr>
            <w:tcW w:w="1697" w:type="pct"/>
            <w:tcBorders>
              <w:top w:val="single" w:sz="6" w:space="0" w:color="auto"/>
              <w:left w:val="single" w:sz="6" w:space="0" w:color="auto"/>
              <w:bottom w:val="single" w:sz="6" w:space="0" w:color="auto"/>
              <w:right w:val="single" w:sz="6" w:space="0" w:color="auto"/>
            </w:tcBorders>
            <w:vAlign w:val="center"/>
          </w:tcPr>
          <w:p w14:paraId="5DC651C3" w14:textId="77777777" w:rsidR="002D0AE7" w:rsidRDefault="00333EBB">
            <w:pPr>
              <w:autoSpaceDE w:val="0"/>
              <w:autoSpaceDN w:val="0"/>
              <w:adjustRightInd w:val="0"/>
              <w:snapToGrid w:val="0"/>
              <w:spacing w:line="240" w:lineRule="atLeast"/>
              <w:jc w:val="right"/>
              <w:rPr>
                <w:rFonts w:ascii="Times New Roman" w:hAnsi="Times New Roman" w:cs="Times New Roman"/>
                <w:sz w:val="21"/>
                <w:szCs w:val="21"/>
              </w:rPr>
            </w:pPr>
            <w:r>
              <w:rPr>
                <w:rFonts w:ascii="Times New Roman" w:hAnsi="Times New Roman" w:cs="Times New Roman"/>
                <w:sz w:val="21"/>
                <w:szCs w:val="21"/>
              </w:rPr>
              <w:t>42,538.42</w:t>
            </w:r>
          </w:p>
        </w:tc>
        <w:tc>
          <w:tcPr>
            <w:tcW w:w="1697" w:type="pct"/>
            <w:tcBorders>
              <w:top w:val="single" w:sz="6" w:space="0" w:color="auto"/>
              <w:left w:val="single" w:sz="6" w:space="0" w:color="auto"/>
              <w:bottom w:val="single" w:sz="6" w:space="0" w:color="auto"/>
              <w:right w:val="single" w:sz="6" w:space="0" w:color="auto"/>
            </w:tcBorders>
            <w:vAlign w:val="center"/>
          </w:tcPr>
          <w:p w14:paraId="1C3B95E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31,010.87</w:t>
            </w:r>
          </w:p>
        </w:tc>
      </w:tr>
      <w:tr w:rsidR="002D0AE7" w14:paraId="271C904E" w14:textId="77777777">
        <w:tc>
          <w:tcPr>
            <w:tcW w:w="1606" w:type="pct"/>
            <w:tcBorders>
              <w:top w:val="single" w:sz="6" w:space="0" w:color="auto"/>
              <w:left w:val="single" w:sz="6" w:space="0" w:color="auto"/>
              <w:bottom w:val="single" w:sz="6" w:space="0" w:color="auto"/>
              <w:right w:val="single" w:sz="6" w:space="0" w:color="auto"/>
            </w:tcBorders>
            <w:vAlign w:val="center"/>
          </w:tcPr>
          <w:p w14:paraId="06521C06" w14:textId="77777777" w:rsidR="002D0AE7" w:rsidRDefault="00333EBB">
            <w:pPr>
              <w:autoSpaceDE w:val="0"/>
              <w:autoSpaceDN w:val="0"/>
              <w:adjustRightInd w:val="0"/>
              <w:snapToGrid w:val="0"/>
              <w:spacing w:line="240" w:lineRule="atLeast"/>
              <w:jc w:val="center"/>
              <w:rPr>
                <w:rFonts w:hint="eastAsia"/>
                <w:color w:val="000000" w:themeColor="text1"/>
                <w:sz w:val="21"/>
                <w:szCs w:val="21"/>
              </w:rPr>
            </w:pPr>
            <w:r>
              <w:rPr>
                <w:rFonts w:hint="eastAsia"/>
                <w:color w:val="000000" w:themeColor="text1"/>
                <w:sz w:val="21"/>
                <w:szCs w:val="21"/>
              </w:rPr>
              <w:t>合计</w:t>
            </w:r>
          </w:p>
        </w:tc>
        <w:tc>
          <w:tcPr>
            <w:tcW w:w="1697" w:type="pct"/>
            <w:tcBorders>
              <w:top w:val="single" w:sz="6" w:space="0" w:color="auto"/>
              <w:left w:val="single" w:sz="6" w:space="0" w:color="auto"/>
              <w:bottom w:val="single" w:sz="6" w:space="0" w:color="auto"/>
              <w:right w:val="single" w:sz="6" w:space="0" w:color="auto"/>
            </w:tcBorders>
            <w:vAlign w:val="center"/>
          </w:tcPr>
          <w:p w14:paraId="1709B639" w14:textId="77777777" w:rsidR="002D0AE7" w:rsidRDefault="00333EBB">
            <w:pPr>
              <w:autoSpaceDE w:val="0"/>
              <w:autoSpaceDN w:val="0"/>
              <w:adjustRightInd w:val="0"/>
              <w:snapToGrid w:val="0"/>
              <w:spacing w:line="240" w:lineRule="atLeast"/>
              <w:jc w:val="right"/>
              <w:rPr>
                <w:rFonts w:ascii="Times New Roman" w:hAnsi="Times New Roman" w:cs="Times New Roman"/>
                <w:sz w:val="21"/>
                <w:szCs w:val="21"/>
              </w:rPr>
            </w:pPr>
            <w:r>
              <w:rPr>
                <w:rFonts w:ascii="Times New Roman" w:hAnsi="Times New Roman" w:cs="Times New Roman"/>
                <w:sz w:val="21"/>
                <w:szCs w:val="21"/>
              </w:rPr>
              <w:t>20,183,416.75</w:t>
            </w:r>
          </w:p>
        </w:tc>
        <w:tc>
          <w:tcPr>
            <w:tcW w:w="1697" w:type="pct"/>
            <w:tcBorders>
              <w:top w:val="single" w:sz="6" w:space="0" w:color="auto"/>
              <w:left w:val="single" w:sz="6" w:space="0" w:color="auto"/>
              <w:bottom w:val="single" w:sz="6" w:space="0" w:color="auto"/>
              <w:right w:val="single" w:sz="6" w:space="0" w:color="auto"/>
            </w:tcBorders>
            <w:vAlign w:val="center"/>
          </w:tcPr>
          <w:p w14:paraId="6AA06A5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25,694,451.92</w:t>
            </w:r>
          </w:p>
        </w:tc>
      </w:tr>
    </w:tbl>
    <w:p w14:paraId="0DD8CE1D" w14:textId="77777777" w:rsidR="002D0AE7" w:rsidRDefault="00333EBB">
      <w:pPr>
        <w:spacing w:before="60" w:after="60"/>
        <w:rPr>
          <w:rFonts w:hint="eastAsia"/>
          <w:color w:val="000000" w:themeColor="text1"/>
        </w:rPr>
      </w:pPr>
      <w:r>
        <w:rPr>
          <w:rFonts w:hint="eastAsia"/>
          <w:color w:val="000000" w:themeColor="text1"/>
        </w:rPr>
        <w:t>其他说明：</w:t>
      </w:r>
      <w:sdt>
        <w:sdtPr>
          <w:rPr>
            <w:rFonts w:hint="eastAsia"/>
            <w:color w:val="000000" w:themeColor="text1"/>
          </w:rPr>
          <w:alias w:val="税金及附加说明"/>
          <w:tag w:val="_GBC_f78e413320ad4d20a3dab91dff935491"/>
          <w:id w:val="-1933036497"/>
          <w:placeholder>
            <w:docPart w:val="GBC22222222222222222222222222222"/>
          </w:placeholder>
        </w:sdtPr>
        <w:sdtEndPr/>
        <w:sdtContent>
          <w:r>
            <w:rPr>
              <w:rFonts w:hint="eastAsia"/>
              <w:color w:val="000000" w:themeColor="text1"/>
            </w:rPr>
            <w:t>无</w:t>
          </w:r>
        </w:sdtContent>
      </w:sdt>
    </w:p>
    <w:p w14:paraId="5167F6D7" w14:textId="77777777" w:rsidR="002D0AE7" w:rsidRDefault="00333EBB">
      <w:pPr>
        <w:pStyle w:val="3"/>
        <w:numPr>
          <w:ilvl w:val="0"/>
          <w:numId w:val="43"/>
        </w:numPr>
        <w:tabs>
          <w:tab w:val="left" w:pos="504"/>
        </w:tabs>
        <w:rPr>
          <w:rFonts w:ascii="宋体" w:hAnsi="宋体" w:cs="宋体" w:hint="eastAsia"/>
          <w:bCs w:val="0"/>
          <w:color w:val="000000" w:themeColor="text1"/>
          <w:kern w:val="0"/>
          <w:szCs w:val="21"/>
        </w:rPr>
      </w:pPr>
      <w:r>
        <w:rPr>
          <w:rFonts w:ascii="宋体" w:hAnsi="宋体" w:cs="宋体" w:hint="eastAsia"/>
          <w:color w:val="000000" w:themeColor="text1"/>
          <w:kern w:val="0"/>
          <w:szCs w:val="21"/>
        </w:rPr>
        <w:t>销售费用</w:t>
      </w:r>
    </w:p>
    <w:sdt>
      <w:sdtPr>
        <w:rPr>
          <w:color w:val="000000" w:themeColor="text1"/>
        </w:rPr>
        <w:alias w:val="是否适用：销售费用[双击切换]"/>
        <w:tag w:val="_GBC_5302d6af48674660a2279c7c8a87bb8c"/>
        <w:id w:val="928621401"/>
        <w:placeholder>
          <w:docPart w:val="GBC22222222222222222222222222222"/>
        </w:placeholder>
      </w:sdtPr>
      <w:sdtEndPr/>
      <w:sdtContent>
        <w:p w14:paraId="1C757AD0"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61F535D5" w14:textId="77777777" w:rsidR="002D0AE7" w:rsidRDefault="00333EBB">
      <w:pPr>
        <w:pStyle w:val="11"/>
        <w:rPr>
          <w:rFonts w:hint="eastAsia"/>
        </w:rPr>
      </w:pPr>
      <w:r>
        <w:rPr>
          <w:rFonts w:hint="eastAsia"/>
        </w:rPr>
        <w:t>单位：</w:t>
      </w:r>
      <w:sdt>
        <w:sdtPr>
          <w:rPr>
            <w:rFonts w:hint="eastAsia"/>
          </w:rPr>
          <w:alias w:val="单位：销售费用"/>
          <w:tag w:val="_GBC_893203a5a3df44649aef388407d22c68"/>
          <w:id w:val="-12192266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销售费用"/>
          <w:tag w:val="_GBC_4954a9fca98d4f279270fb28f987aa6f"/>
          <w:id w:val="-15061160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2626"/>
        <w:gridCol w:w="2359"/>
      </w:tblGrid>
      <w:tr w:rsidR="002D0AE7" w14:paraId="7EB23579" w14:textId="77777777">
        <w:sdt>
          <w:sdtPr>
            <w:rPr>
              <w:color w:val="000000" w:themeColor="text1"/>
              <w:sz w:val="21"/>
              <w:szCs w:val="21"/>
            </w:rPr>
            <w:tag w:val="_PLD_16c47970a3b145c98f438f3cb34ff636"/>
            <w:id w:val="633227433"/>
          </w:sdtPr>
          <w:sdtEnd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171F1608"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b3ce435531054240b373e649bc9ae7a1"/>
            <w:id w:val="-770161861"/>
          </w:sdtPr>
          <w:sdtEndPr/>
          <w:sdtContent>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1E9CE8BB" w14:textId="77777777" w:rsidR="002D0AE7" w:rsidRDefault="00333EBB">
                <w:pPr>
                  <w:jc w:val="center"/>
                  <w:rPr>
                    <w:rFonts w:hint="eastAsia"/>
                    <w:color w:val="000000" w:themeColor="text1"/>
                    <w:sz w:val="21"/>
                    <w:szCs w:val="21"/>
                  </w:rPr>
                </w:pPr>
                <w:r>
                  <w:rPr>
                    <w:rFonts w:hint="eastAsia"/>
                    <w:color w:val="000000" w:themeColor="text1"/>
                    <w:sz w:val="21"/>
                    <w:szCs w:val="21"/>
                  </w:rPr>
                  <w:t>本期发生额</w:t>
                </w:r>
              </w:p>
            </w:tc>
          </w:sdtContent>
        </w:sdt>
        <w:sdt>
          <w:sdtPr>
            <w:rPr>
              <w:color w:val="000000" w:themeColor="text1"/>
              <w:sz w:val="21"/>
              <w:szCs w:val="21"/>
            </w:rPr>
            <w:tag w:val="_PLD_9480cd5806624557b975b5d0ce06575b"/>
            <w:id w:val="-1876697833"/>
          </w:sdtPr>
          <w:sdtEndPr/>
          <w:sdtContent>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04990DC7" w14:textId="77777777" w:rsidR="002D0AE7" w:rsidRDefault="00333EBB">
                <w:pPr>
                  <w:jc w:val="center"/>
                  <w:rPr>
                    <w:rFonts w:hint="eastAsia"/>
                    <w:color w:val="000000" w:themeColor="text1"/>
                    <w:sz w:val="21"/>
                    <w:szCs w:val="21"/>
                  </w:rPr>
                </w:pPr>
                <w:r>
                  <w:rPr>
                    <w:rFonts w:hint="eastAsia"/>
                    <w:color w:val="000000" w:themeColor="text1"/>
                    <w:sz w:val="21"/>
                    <w:szCs w:val="21"/>
                  </w:rPr>
                  <w:t>上期发生额</w:t>
                </w:r>
              </w:p>
            </w:tc>
          </w:sdtContent>
        </w:sdt>
      </w:tr>
      <w:tr w:rsidR="002D0AE7" w14:paraId="20DF528F" w14:textId="77777777">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15BA6D47" w14:textId="77777777" w:rsidR="002D0AE7" w:rsidRDefault="00333EBB">
            <w:pPr>
              <w:rPr>
                <w:rFonts w:hint="eastAsia"/>
                <w:color w:val="000000" w:themeColor="text1"/>
                <w:sz w:val="21"/>
                <w:szCs w:val="21"/>
              </w:rPr>
            </w:pPr>
            <w:r>
              <w:rPr>
                <w:rFonts w:ascii="Arial" w:hAnsi="Arial" w:cs="Arial"/>
                <w:sz w:val="21"/>
                <w:szCs w:val="21"/>
              </w:rPr>
              <w:t>会议展会费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2BFEFC42"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2,924,112.91</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7020440B"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2,559,673.07</w:t>
            </w:r>
          </w:p>
        </w:tc>
      </w:tr>
      <w:tr w:rsidR="002D0AE7" w14:paraId="5B0DF7E6" w14:textId="77777777">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326EF577" w14:textId="77777777" w:rsidR="002D0AE7" w:rsidRDefault="00333EBB">
            <w:pPr>
              <w:rPr>
                <w:rFonts w:hint="eastAsia"/>
                <w:color w:val="000000" w:themeColor="text1"/>
                <w:sz w:val="21"/>
                <w:szCs w:val="21"/>
              </w:rPr>
            </w:pPr>
            <w:r>
              <w:rPr>
                <w:rFonts w:hint="eastAsia"/>
                <w:color w:val="000000"/>
                <w:sz w:val="21"/>
                <w:szCs w:val="21"/>
              </w:rPr>
              <w:t>差旅费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65CBB4F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3,272,609.08</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52E94BC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3,366,867.91</w:t>
            </w:r>
          </w:p>
        </w:tc>
      </w:tr>
      <w:tr w:rsidR="002D0AE7" w14:paraId="2D64A40B" w14:textId="77777777">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41EC1922" w14:textId="77777777" w:rsidR="002D0AE7" w:rsidRDefault="00333EBB">
            <w:pPr>
              <w:rPr>
                <w:rFonts w:hint="eastAsia"/>
                <w:color w:val="000000" w:themeColor="text1"/>
                <w:sz w:val="21"/>
                <w:szCs w:val="21"/>
              </w:rPr>
            </w:pPr>
            <w:r>
              <w:rPr>
                <w:rFonts w:ascii="Arial" w:hAnsi="Arial" w:cs="Arial"/>
                <w:sz w:val="21"/>
                <w:szCs w:val="21"/>
              </w:rPr>
              <w:t>办公费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198CFA6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306,703.65</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506E2A9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206,959.84</w:t>
            </w:r>
          </w:p>
        </w:tc>
      </w:tr>
      <w:tr w:rsidR="002D0AE7" w14:paraId="5209319E" w14:textId="77777777">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08F614E3" w14:textId="77777777" w:rsidR="002D0AE7" w:rsidRDefault="00333EBB">
            <w:pPr>
              <w:rPr>
                <w:rFonts w:hint="eastAsia"/>
                <w:color w:val="000000" w:themeColor="text1"/>
                <w:sz w:val="21"/>
                <w:szCs w:val="21"/>
              </w:rPr>
            </w:pPr>
            <w:r>
              <w:rPr>
                <w:rFonts w:ascii="Arial" w:hAnsi="Arial" w:cs="Arial"/>
                <w:sz w:val="21"/>
                <w:szCs w:val="21"/>
              </w:rPr>
              <w:t>样品费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638C089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175,596.31</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0E32E85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181,615.51</w:t>
            </w:r>
          </w:p>
        </w:tc>
      </w:tr>
      <w:tr w:rsidR="002D0AE7" w14:paraId="521A4CE2" w14:textId="77777777">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45C16193" w14:textId="77777777" w:rsidR="002D0AE7" w:rsidRDefault="00333EBB">
            <w:pPr>
              <w:rPr>
                <w:rFonts w:hint="eastAsia"/>
                <w:color w:val="000000" w:themeColor="text1"/>
                <w:sz w:val="21"/>
                <w:szCs w:val="21"/>
              </w:rPr>
            </w:pPr>
            <w:r>
              <w:rPr>
                <w:rFonts w:ascii="Arial" w:hAnsi="Arial" w:cs="Arial"/>
                <w:sz w:val="21"/>
                <w:szCs w:val="21"/>
              </w:rPr>
              <w:t>折旧费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26C922D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5,086.10</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0D495A4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3,907.17</w:t>
            </w:r>
          </w:p>
        </w:tc>
      </w:tr>
      <w:tr w:rsidR="002D0AE7" w14:paraId="503125B9" w14:textId="77777777">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56045F2E" w14:textId="77777777" w:rsidR="002D0AE7" w:rsidRDefault="00333EBB">
            <w:pPr>
              <w:rPr>
                <w:rFonts w:hint="eastAsia"/>
                <w:color w:val="000000" w:themeColor="text1"/>
                <w:sz w:val="21"/>
                <w:szCs w:val="21"/>
              </w:rPr>
            </w:pPr>
            <w:r>
              <w:rPr>
                <w:rFonts w:hint="eastAsia"/>
                <w:color w:val="000000"/>
                <w:sz w:val="21"/>
                <w:szCs w:val="21"/>
              </w:rPr>
              <w:t>职工薪酬</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00C442D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28,455,748.49</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04446DB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21,761,617.61</w:t>
            </w:r>
          </w:p>
        </w:tc>
      </w:tr>
      <w:tr w:rsidR="002D0AE7" w14:paraId="3F6514D8" w14:textId="77777777">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08810A4D" w14:textId="77777777" w:rsidR="002D0AE7" w:rsidRDefault="00333EBB">
            <w:pPr>
              <w:rPr>
                <w:rFonts w:hint="eastAsia"/>
                <w:color w:val="000000" w:themeColor="text1"/>
                <w:sz w:val="21"/>
                <w:szCs w:val="21"/>
              </w:rPr>
            </w:pPr>
            <w:r>
              <w:rPr>
                <w:rFonts w:ascii="Arial" w:hAnsi="Arial" w:cs="Arial"/>
                <w:sz w:val="21"/>
                <w:szCs w:val="21"/>
              </w:rPr>
              <w:t>劳务费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5974E94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5,559,261.67</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75259F8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3,132,557.94</w:t>
            </w:r>
          </w:p>
        </w:tc>
      </w:tr>
      <w:tr w:rsidR="002D0AE7" w14:paraId="14279EB7" w14:textId="77777777">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23DD7B69" w14:textId="77777777" w:rsidR="002D0AE7" w:rsidRDefault="00333EBB">
            <w:pPr>
              <w:rPr>
                <w:rFonts w:hint="eastAsia"/>
                <w:color w:val="000000" w:themeColor="text1"/>
                <w:sz w:val="21"/>
                <w:szCs w:val="21"/>
              </w:rPr>
            </w:pPr>
            <w:r>
              <w:rPr>
                <w:rFonts w:ascii="Arial" w:hAnsi="Arial" w:cs="Arial"/>
                <w:sz w:val="21"/>
                <w:szCs w:val="21"/>
              </w:rPr>
              <w:t>宣传费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02D435E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349,730.30</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2225833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64,837.97</w:t>
            </w:r>
          </w:p>
        </w:tc>
      </w:tr>
      <w:tr w:rsidR="002D0AE7" w14:paraId="62BFD40E" w14:textId="77777777">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4F0092C5" w14:textId="77777777" w:rsidR="002D0AE7" w:rsidRDefault="00333EBB">
            <w:pPr>
              <w:rPr>
                <w:rFonts w:hint="eastAsia"/>
                <w:color w:val="000000" w:themeColor="text1"/>
                <w:sz w:val="21"/>
                <w:szCs w:val="21"/>
              </w:rPr>
            </w:pPr>
            <w:r>
              <w:rPr>
                <w:rFonts w:ascii="Arial" w:hAnsi="Arial" w:cs="Arial"/>
                <w:sz w:val="21"/>
                <w:szCs w:val="21"/>
              </w:rPr>
              <w:t>市场情报收集费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640B638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63,374,143.42</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23F7568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63,541,756.64</w:t>
            </w:r>
          </w:p>
        </w:tc>
      </w:tr>
      <w:tr w:rsidR="002D0AE7" w14:paraId="594D273A" w14:textId="77777777">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74371AD0" w14:textId="77777777" w:rsidR="002D0AE7" w:rsidRDefault="00333EBB">
            <w:pPr>
              <w:rPr>
                <w:rFonts w:hint="eastAsia"/>
                <w:color w:val="000000" w:themeColor="text1"/>
                <w:sz w:val="21"/>
                <w:szCs w:val="21"/>
              </w:rPr>
            </w:pPr>
            <w:r>
              <w:rPr>
                <w:rFonts w:hint="eastAsia"/>
                <w:sz w:val="21"/>
                <w:szCs w:val="21"/>
              </w:rPr>
              <w:t>推广活动费用</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010C95D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156,741,030.04</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5ADC87A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328,671,509.50</w:t>
            </w:r>
          </w:p>
        </w:tc>
      </w:tr>
      <w:tr w:rsidR="002D0AE7" w14:paraId="777F31D0" w14:textId="77777777">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7FE6B049" w14:textId="77777777" w:rsidR="002D0AE7" w:rsidRDefault="00333EBB">
            <w:pPr>
              <w:rPr>
                <w:rFonts w:hint="eastAsia"/>
                <w:color w:val="000000" w:themeColor="text1"/>
                <w:sz w:val="21"/>
                <w:szCs w:val="21"/>
              </w:rPr>
            </w:pPr>
            <w:r>
              <w:rPr>
                <w:rFonts w:hint="eastAsia"/>
                <w:sz w:val="21"/>
                <w:szCs w:val="21"/>
              </w:rPr>
              <w:t>市场策划服务费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5005E70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65,745,300.77</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0D7C601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144,780,845.51</w:t>
            </w:r>
          </w:p>
        </w:tc>
      </w:tr>
      <w:tr w:rsidR="002D0AE7" w14:paraId="08950416" w14:textId="77777777">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65A6E222" w14:textId="77777777" w:rsidR="002D0AE7" w:rsidRDefault="00333EBB">
            <w:pPr>
              <w:rPr>
                <w:rFonts w:hint="eastAsia"/>
                <w:color w:val="000000" w:themeColor="text1"/>
                <w:sz w:val="21"/>
                <w:szCs w:val="21"/>
              </w:rPr>
            </w:pPr>
            <w:r>
              <w:rPr>
                <w:rFonts w:ascii="Arial" w:hAnsi="Arial" w:cs="Arial"/>
                <w:sz w:val="21"/>
                <w:szCs w:val="21"/>
              </w:rPr>
              <w:t>服务费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4E3E300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1,135,868.17</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42C487A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15,632.33</w:t>
            </w:r>
          </w:p>
        </w:tc>
      </w:tr>
      <w:tr w:rsidR="002D0AE7" w14:paraId="6BFDD2DC" w14:textId="77777777">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57CA817A" w14:textId="77777777" w:rsidR="002D0AE7" w:rsidRDefault="00333EBB">
            <w:pPr>
              <w:rPr>
                <w:rFonts w:hint="eastAsia"/>
                <w:sz w:val="21"/>
                <w:szCs w:val="21"/>
              </w:rPr>
            </w:pPr>
            <w:r>
              <w:rPr>
                <w:rFonts w:ascii="Arial" w:hAnsi="Arial" w:cs="Arial"/>
                <w:sz w:val="21"/>
                <w:szCs w:val="21"/>
              </w:rPr>
              <w:t>销售佣金</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0ED61C1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7,836,125.14</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470027A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10,996,132.97</w:t>
            </w:r>
          </w:p>
        </w:tc>
      </w:tr>
      <w:tr w:rsidR="002D0AE7" w14:paraId="2C2DD2A7" w14:textId="77777777">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038F2DAC" w14:textId="77777777" w:rsidR="002D0AE7" w:rsidRDefault="00333EBB">
            <w:pPr>
              <w:rPr>
                <w:rFonts w:hint="eastAsia"/>
                <w:sz w:val="21"/>
                <w:szCs w:val="21"/>
              </w:rPr>
            </w:pPr>
            <w:r>
              <w:rPr>
                <w:rFonts w:ascii="Arial" w:hAnsi="Arial" w:cs="Arial"/>
                <w:sz w:val="21"/>
                <w:szCs w:val="21"/>
              </w:rPr>
              <w:t>其他</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26D7DAC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3,603,840.26</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41EFEB9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3,823,482.76</w:t>
            </w:r>
          </w:p>
        </w:tc>
      </w:tr>
      <w:tr w:rsidR="002D0AE7" w14:paraId="748D7233" w14:textId="77777777">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74F71F7D"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478001E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339,485,156.31</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14D6191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583,107,396.73</w:t>
            </w:r>
          </w:p>
        </w:tc>
      </w:tr>
    </w:tbl>
    <w:p w14:paraId="71630F7A" w14:textId="77777777" w:rsidR="002D0AE7" w:rsidRDefault="00333EBB">
      <w:pPr>
        <w:spacing w:before="60" w:after="60"/>
        <w:rPr>
          <w:rFonts w:hint="eastAsia"/>
          <w:color w:val="000000" w:themeColor="text1"/>
        </w:rPr>
      </w:pPr>
      <w:r>
        <w:rPr>
          <w:rFonts w:hint="eastAsia"/>
          <w:color w:val="000000" w:themeColor="text1"/>
        </w:rPr>
        <w:t>其他说明：</w:t>
      </w:r>
      <w:sdt>
        <w:sdtPr>
          <w:rPr>
            <w:color w:val="000000" w:themeColor="text1"/>
          </w:rPr>
          <w:alias w:val="销售费用的其他说明事项"/>
          <w:tag w:val="_GBC_42921bca5478449e9dd3932a8303975a"/>
          <w:id w:val="608011650"/>
          <w:placeholder>
            <w:docPart w:val="GBC22222222222222222222222222222"/>
          </w:placeholder>
        </w:sdtPr>
        <w:sdtEndPr/>
        <w:sdtContent>
          <w:r>
            <w:rPr>
              <w:rFonts w:hint="eastAsia"/>
              <w:color w:val="000000" w:themeColor="text1"/>
            </w:rPr>
            <w:t>无</w:t>
          </w:r>
        </w:sdtContent>
      </w:sdt>
    </w:p>
    <w:p w14:paraId="0055AC64"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szCs w:val="21"/>
        </w:rPr>
        <w:t>管理费用</w:t>
      </w:r>
    </w:p>
    <w:sdt>
      <w:sdtPr>
        <w:rPr>
          <w:color w:val="000000" w:themeColor="text1"/>
        </w:rPr>
        <w:alias w:val="是否适用：管理费用[双击切换]"/>
        <w:tag w:val="_GBC_864c9dd9adce435698261f1da02ab8fb"/>
        <w:id w:val="999224931"/>
        <w:placeholder>
          <w:docPart w:val="GBC22222222222222222222222222222"/>
        </w:placeholder>
      </w:sdtPr>
      <w:sdtEndPr/>
      <w:sdtContent>
        <w:p w14:paraId="71C32F8C"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6804090A"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管理费用"/>
          <w:tag w:val="_GBC_b8198aec3f7748d28785c1eebbf02df7"/>
          <w:id w:val="-173808913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管理费用"/>
          <w:tag w:val="_GBC_f92af61f8b3b45ba9ec818ede9725428"/>
          <w:id w:val="-142124586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2539"/>
        <w:gridCol w:w="2379"/>
      </w:tblGrid>
      <w:tr w:rsidR="002D0AE7" w14:paraId="3475C2C9" w14:textId="77777777">
        <w:sdt>
          <w:sdtPr>
            <w:rPr>
              <w:color w:val="000000" w:themeColor="text1"/>
              <w:sz w:val="21"/>
              <w:szCs w:val="21"/>
            </w:rPr>
            <w:tag w:val="_PLD_249fd0c096ba421285089a0fada9d43a"/>
            <w:id w:val="1005479731"/>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7DDBC488"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acf5bcbf929244268be56ad5d0f3ea18"/>
            <w:id w:val="1939869822"/>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730F97EE" w14:textId="77777777" w:rsidR="002D0AE7" w:rsidRDefault="00333EBB">
                <w:pPr>
                  <w:jc w:val="center"/>
                  <w:rPr>
                    <w:rFonts w:hint="eastAsia"/>
                    <w:color w:val="000000" w:themeColor="text1"/>
                    <w:sz w:val="21"/>
                    <w:szCs w:val="21"/>
                  </w:rPr>
                </w:pPr>
                <w:r>
                  <w:rPr>
                    <w:rFonts w:hint="eastAsia"/>
                    <w:color w:val="000000" w:themeColor="text1"/>
                    <w:sz w:val="21"/>
                    <w:szCs w:val="21"/>
                  </w:rPr>
                  <w:t>本期发生额</w:t>
                </w:r>
              </w:p>
            </w:tc>
          </w:sdtContent>
        </w:sdt>
        <w:sdt>
          <w:sdtPr>
            <w:rPr>
              <w:color w:val="000000" w:themeColor="text1"/>
              <w:sz w:val="21"/>
              <w:szCs w:val="21"/>
            </w:rPr>
            <w:tag w:val="_PLD_d37d8a59d4d74c26ac22dc33983efa29"/>
            <w:id w:val="-247656402"/>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38446F7C" w14:textId="77777777" w:rsidR="002D0AE7" w:rsidRDefault="00333EBB">
                <w:pPr>
                  <w:jc w:val="center"/>
                  <w:rPr>
                    <w:rFonts w:hint="eastAsia"/>
                    <w:color w:val="000000" w:themeColor="text1"/>
                    <w:sz w:val="21"/>
                    <w:szCs w:val="21"/>
                  </w:rPr>
                </w:pPr>
                <w:r>
                  <w:rPr>
                    <w:rFonts w:hint="eastAsia"/>
                    <w:color w:val="000000" w:themeColor="text1"/>
                    <w:sz w:val="21"/>
                    <w:szCs w:val="21"/>
                  </w:rPr>
                  <w:t>上期发生额</w:t>
                </w:r>
              </w:p>
            </w:tc>
          </w:sdtContent>
        </w:sdt>
      </w:tr>
      <w:tr w:rsidR="002D0AE7" w14:paraId="1AE40674"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4BE7196" w14:textId="77777777" w:rsidR="002D0AE7" w:rsidRDefault="00333EBB">
            <w:pPr>
              <w:rPr>
                <w:rFonts w:hint="eastAsia"/>
                <w:color w:val="000000" w:themeColor="text1"/>
                <w:sz w:val="21"/>
                <w:szCs w:val="21"/>
              </w:rPr>
            </w:pPr>
            <w:r>
              <w:rPr>
                <w:rFonts w:hint="eastAsia"/>
                <w:color w:val="000000"/>
                <w:sz w:val="21"/>
                <w:szCs w:val="21"/>
              </w:rP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391855CB"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62,996,526.98</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75A01F77"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41,666,855.36</w:t>
            </w:r>
          </w:p>
        </w:tc>
      </w:tr>
      <w:tr w:rsidR="002D0AE7" w14:paraId="544351F6"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8D84B1C" w14:textId="77777777" w:rsidR="002D0AE7" w:rsidRDefault="00333EBB">
            <w:pPr>
              <w:rPr>
                <w:rFonts w:hint="eastAsia"/>
                <w:color w:val="000000" w:themeColor="text1"/>
                <w:sz w:val="21"/>
                <w:szCs w:val="21"/>
              </w:rPr>
            </w:pPr>
            <w:r>
              <w:rPr>
                <w:rFonts w:ascii="Arial" w:hAnsi="Arial" w:cs="Arial"/>
                <w:sz w:val="21"/>
                <w:szCs w:val="21"/>
              </w:rPr>
              <w:t>折旧及摊销</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5CC64923"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32,676,018.93</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3DF0A6FF"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30,563,218.55</w:t>
            </w:r>
          </w:p>
        </w:tc>
      </w:tr>
      <w:tr w:rsidR="002D0AE7" w14:paraId="2FAB07AE"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5AC3597" w14:textId="77777777" w:rsidR="002D0AE7" w:rsidRDefault="00333EBB">
            <w:pPr>
              <w:rPr>
                <w:rFonts w:hint="eastAsia"/>
                <w:color w:val="000000" w:themeColor="text1"/>
                <w:sz w:val="21"/>
                <w:szCs w:val="21"/>
              </w:rPr>
            </w:pPr>
            <w:r>
              <w:rPr>
                <w:rFonts w:ascii="Arial" w:hAnsi="Arial" w:cs="Arial"/>
                <w:sz w:val="21"/>
                <w:szCs w:val="21"/>
              </w:rPr>
              <w:t>物耗能源费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2A90B8EC"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9,222,793.75</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0D131220"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8,597,123.42</w:t>
            </w:r>
          </w:p>
        </w:tc>
      </w:tr>
      <w:tr w:rsidR="002D0AE7" w14:paraId="7DF036E9"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F525E93" w14:textId="77777777" w:rsidR="002D0AE7" w:rsidRDefault="00333EBB">
            <w:pPr>
              <w:rPr>
                <w:rFonts w:hint="eastAsia"/>
                <w:color w:val="000000" w:themeColor="text1"/>
                <w:sz w:val="21"/>
                <w:szCs w:val="21"/>
              </w:rPr>
            </w:pPr>
            <w:r>
              <w:rPr>
                <w:rFonts w:ascii="Arial" w:hAnsi="Arial" w:cs="Arial"/>
                <w:sz w:val="21"/>
                <w:szCs w:val="21"/>
              </w:rPr>
              <w:t>办公性费用</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2603085E"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10,781,612.89</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5D64C541"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6,585,331.03</w:t>
            </w:r>
          </w:p>
        </w:tc>
      </w:tr>
      <w:tr w:rsidR="002D0AE7" w14:paraId="27B4C982"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37782DB" w14:textId="77777777" w:rsidR="002D0AE7" w:rsidRDefault="00333EBB">
            <w:pPr>
              <w:rPr>
                <w:rFonts w:hint="eastAsia"/>
                <w:color w:val="000000" w:themeColor="text1"/>
                <w:sz w:val="21"/>
                <w:szCs w:val="21"/>
              </w:rPr>
            </w:pPr>
            <w:r>
              <w:rPr>
                <w:rFonts w:hint="eastAsia"/>
                <w:color w:val="000000"/>
                <w:sz w:val="21"/>
                <w:szCs w:val="21"/>
              </w:rPr>
              <w:t>租赁费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AE3C8ED"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3,935,892.93</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F9FFCDF"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4,848,076.52</w:t>
            </w:r>
          </w:p>
        </w:tc>
      </w:tr>
      <w:tr w:rsidR="002D0AE7" w14:paraId="39A81483"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DA3598A" w14:textId="77777777" w:rsidR="002D0AE7" w:rsidRDefault="00333EBB">
            <w:pPr>
              <w:rPr>
                <w:rFonts w:hint="eastAsia"/>
                <w:color w:val="000000" w:themeColor="text1"/>
                <w:sz w:val="21"/>
                <w:szCs w:val="21"/>
              </w:rPr>
            </w:pPr>
            <w:r>
              <w:rPr>
                <w:rFonts w:hint="eastAsia"/>
                <w:color w:val="000000"/>
                <w:sz w:val="21"/>
                <w:szCs w:val="21"/>
              </w:rPr>
              <w:t>限制性股票费用</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5EAEF0C0"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0.00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7856EBFC"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-253,954.78</w:t>
            </w:r>
          </w:p>
        </w:tc>
      </w:tr>
      <w:tr w:rsidR="002D0AE7" w14:paraId="288073E9"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027CA13" w14:textId="77777777" w:rsidR="002D0AE7" w:rsidRDefault="00333EBB">
            <w:pPr>
              <w:rPr>
                <w:rFonts w:hint="eastAsia"/>
                <w:color w:val="000000" w:themeColor="text1"/>
                <w:sz w:val="21"/>
                <w:szCs w:val="21"/>
              </w:rPr>
            </w:pPr>
            <w:r>
              <w:rPr>
                <w:rFonts w:hint="eastAsia"/>
                <w:color w:val="000000"/>
                <w:sz w:val="21"/>
                <w:szCs w:val="21"/>
              </w:rPr>
              <w:t>安全费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117FDE46"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4,380,000.00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717ECCB7"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4,212,000.00</w:t>
            </w:r>
          </w:p>
        </w:tc>
      </w:tr>
      <w:tr w:rsidR="002D0AE7" w14:paraId="741073D7"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2EB7F32" w14:textId="77777777" w:rsidR="002D0AE7" w:rsidRDefault="00333EBB">
            <w:pPr>
              <w:rPr>
                <w:rFonts w:hint="eastAsia"/>
                <w:color w:val="000000" w:themeColor="text1"/>
                <w:sz w:val="21"/>
                <w:szCs w:val="21"/>
              </w:rPr>
            </w:pPr>
            <w:r>
              <w:rPr>
                <w:rFonts w:ascii="Arial" w:hAnsi="Arial" w:cs="Arial"/>
                <w:sz w:val="21"/>
                <w:szCs w:val="21"/>
              </w:rPr>
              <w:t>物流仓储费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7F7B7AED"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6,863,971.54</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3F27C72A"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7,239,010.05</w:t>
            </w:r>
          </w:p>
        </w:tc>
      </w:tr>
      <w:tr w:rsidR="002D0AE7" w14:paraId="31E3F28F"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638FA4A" w14:textId="77777777" w:rsidR="002D0AE7" w:rsidRDefault="00333EBB">
            <w:pPr>
              <w:rPr>
                <w:rFonts w:hint="eastAsia"/>
                <w:sz w:val="21"/>
                <w:szCs w:val="21"/>
              </w:rPr>
            </w:pPr>
            <w:r>
              <w:rPr>
                <w:rFonts w:hint="eastAsia"/>
                <w:color w:val="000000"/>
                <w:sz w:val="21"/>
                <w:szCs w:val="21"/>
              </w:rPr>
              <w:t>使用权资产折旧</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42E6B40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84,571.24</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27959E3B" w14:textId="77777777" w:rsidR="002D0AE7" w:rsidRDefault="00333EBB">
            <w:pPr>
              <w:jc w:val="right"/>
              <w:rPr>
                <w:rFonts w:ascii="Times New Roman" w:hAnsi="Times New Roman" w:cs="Times New Roman"/>
                <w:sz w:val="21"/>
                <w:szCs w:val="21"/>
              </w:rPr>
            </w:pPr>
            <w:r>
              <w:rPr>
                <w:rFonts w:ascii="Times New Roman" w:hAnsi="Times New Roman" w:cs="Times New Roman" w:hint="eastAsia"/>
                <w:color w:val="000000"/>
                <w:sz w:val="21"/>
                <w:szCs w:val="21"/>
              </w:rPr>
              <w:t>0</w:t>
            </w:r>
            <w:r>
              <w:rPr>
                <w:rFonts w:ascii="Times New Roman" w:hAnsi="Times New Roman" w:cs="Times New Roman"/>
                <w:color w:val="000000"/>
                <w:sz w:val="21"/>
                <w:szCs w:val="21"/>
              </w:rPr>
              <w:t>.00</w:t>
            </w:r>
          </w:p>
        </w:tc>
      </w:tr>
      <w:tr w:rsidR="002D0AE7" w14:paraId="0CCC3E0B"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0DD2979" w14:textId="77777777" w:rsidR="002D0AE7" w:rsidRDefault="00333EBB">
            <w:pPr>
              <w:rPr>
                <w:rFonts w:hint="eastAsia"/>
                <w:sz w:val="21"/>
                <w:szCs w:val="21"/>
              </w:rPr>
            </w:pPr>
            <w:r>
              <w:rPr>
                <w:rFonts w:ascii="Arial" w:hAnsi="Arial" w:cs="Arial"/>
                <w:sz w:val="21"/>
                <w:szCs w:val="21"/>
              </w:rP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F8CD26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21,917,642.12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870DC9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21,542,785.53</w:t>
            </w:r>
          </w:p>
        </w:tc>
      </w:tr>
      <w:tr w:rsidR="002D0AE7" w14:paraId="31A69E83" w14:textId="77777777">
        <w:tc>
          <w:tcPr>
            <w:tcW w:w="2213" w:type="pct"/>
            <w:tcBorders>
              <w:top w:val="single" w:sz="4" w:space="0" w:color="auto"/>
              <w:left w:val="single" w:sz="4" w:space="0" w:color="auto"/>
              <w:bottom w:val="single" w:sz="4" w:space="0" w:color="auto"/>
              <w:right w:val="single" w:sz="4" w:space="0" w:color="auto"/>
            </w:tcBorders>
            <w:shd w:val="clear" w:color="auto" w:fill="auto"/>
          </w:tcPr>
          <w:p w14:paraId="1274D8A8"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27A8626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152,859,030.38</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01D3B3D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125,000,445.68</w:t>
            </w:r>
          </w:p>
        </w:tc>
      </w:tr>
    </w:tbl>
    <w:p w14:paraId="601BE0E8" w14:textId="77777777" w:rsidR="002D0AE7" w:rsidRDefault="00333EBB">
      <w:pPr>
        <w:rPr>
          <w:rFonts w:hint="eastAsia"/>
          <w:color w:val="000000" w:themeColor="text1"/>
        </w:rPr>
      </w:pPr>
      <w:r>
        <w:rPr>
          <w:rFonts w:hint="eastAsia"/>
          <w:color w:val="000000" w:themeColor="text1"/>
        </w:rPr>
        <w:t>其他说明：</w:t>
      </w:r>
      <w:sdt>
        <w:sdtPr>
          <w:rPr>
            <w:color w:val="000000" w:themeColor="text1"/>
          </w:rPr>
          <w:alias w:val="管理费用的其他说明事项"/>
          <w:tag w:val="_GBC_2ddba7c397f842b2a457e4f7fe020aca"/>
          <w:id w:val="-82613302"/>
          <w:placeholder>
            <w:docPart w:val="GBC22222222222222222222222222222"/>
          </w:placeholder>
        </w:sdtPr>
        <w:sdtEndPr/>
        <w:sdtContent>
          <w:r>
            <w:rPr>
              <w:rFonts w:hint="eastAsia"/>
              <w:color w:val="000000" w:themeColor="text1"/>
            </w:rPr>
            <w:t>无</w:t>
          </w:r>
        </w:sdtContent>
      </w:sdt>
    </w:p>
    <w:p w14:paraId="2890028B" w14:textId="77777777" w:rsidR="002D0AE7" w:rsidRDefault="00333EBB">
      <w:pPr>
        <w:pStyle w:val="3"/>
        <w:numPr>
          <w:ilvl w:val="0"/>
          <w:numId w:val="43"/>
        </w:numPr>
        <w:tabs>
          <w:tab w:val="left" w:pos="504"/>
        </w:tabs>
        <w:rPr>
          <w:rFonts w:ascii="宋体" w:hAnsi="宋体" w:hint="eastAsia"/>
          <w:color w:val="000000" w:themeColor="text1"/>
          <w:szCs w:val="21"/>
        </w:rPr>
      </w:pPr>
      <w:bookmarkStart w:id="216" w:name="_Hlk10538261"/>
      <w:r>
        <w:rPr>
          <w:rFonts w:ascii="宋体" w:hAnsi="宋体" w:hint="eastAsia"/>
          <w:color w:val="000000" w:themeColor="text1"/>
          <w:szCs w:val="21"/>
        </w:rPr>
        <w:t>研发费用</w:t>
      </w:r>
    </w:p>
    <w:sdt>
      <w:sdtPr>
        <w:rPr>
          <w:color w:val="000000" w:themeColor="text1"/>
        </w:rPr>
        <w:alias w:val="是否适用：研发费用[双击切换]"/>
        <w:tag w:val="_GBC_48b4a6beb6f54c3ba7c01af3727337bb"/>
        <w:id w:val="-1909907120"/>
        <w:placeholder>
          <w:docPart w:val="GBC22222222222222222222222222222"/>
        </w:placeholder>
      </w:sdtPr>
      <w:sdtEndPr/>
      <w:sdtContent>
        <w:p w14:paraId="37BE554E"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1BDB5DC4" w14:textId="77777777" w:rsidR="002D0AE7" w:rsidRDefault="00333EBB">
      <w:pPr>
        <w:pStyle w:val="11"/>
        <w:rPr>
          <w:rFonts w:hint="eastAsia"/>
        </w:rPr>
      </w:pPr>
      <w:r>
        <w:rPr>
          <w:rFonts w:hint="eastAsia"/>
        </w:rPr>
        <w:t>单位：</w:t>
      </w:r>
      <w:sdt>
        <w:sdtPr>
          <w:rPr>
            <w:rFonts w:hint="eastAsia"/>
          </w:rPr>
          <w:alias w:val="单位：研发费用"/>
          <w:tag w:val="_GBC_a0292321d82f46b8823ab163b1084fea"/>
          <w:id w:val="116374539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研发费用"/>
          <w:tag w:val="_GBC_a0b2b92cacc24641a2d69fc025b920ea"/>
          <w:id w:val="-176862074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2539"/>
        <w:gridCol w:w="2379"/>
      </w:tblGrid>
      <w:tr w:rsidR="002D0AE7" w14:paraId="383F5276" w14:textId="77777777">
        <w:sdt>
          <w:sdtPr>
            <w:rPr>
              <w:color w:val="000000" w:themeColor="text1"/>
              <w:sz w:val="21"/>
              <w:szCs w:val="21"/>
            </w:rPr>
            <w:tag w:val="_PLD_878c2bf88dff43e8bf48fe187921cf85"/>
            <w:id w:val="1517263317"/>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49A8E62B"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043e1c3ae76a497c9be9c1eef3db33c6"/>
            <w:id w:val="-745718938"/>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6F92E1C6" w14:textId="77777777" w:rsidR="002D0AE7" w:rsidRDefault="00333EBB">
                <w:pPr>
                  <w:jc w:val="center"/>
                  <w:rPr>
                    <w:rFonts w:hint="eastAsia"/>
                    <w:color w:val="000000" w:themeColor="text1"/>
                    <w:sz w:val="21"/>
                    <w:szCs w:val="21"/>
                  </w:rPr>
                </w:pPr>
                <w:r>
                  <w:rPr>
                    <w:rFonts w:hint="eastAsia"/>
                    <w:color w:val="000000" w:themeColor="text1"/>
                    <w:sz w:val="21"/>
                    <w:szCs w:val="21"/>
                  </w:rPr>
                  <w:t>本期发生额</w:t>
                </w:r>
              </w:p>
            </w:tc>
          </w:sdtContent>
        </w:sdt>
        <w:sdt>
          <w:sdtPr>
            <w:rPr>
              <w:color w:val="000000" w:themeColor="text1"/>
              <w:sz w:val="21"/>
              <w:szCs w:val="21"/>
            </w:rPr>
            <w:tag w:val="_PLD_d0588c88282b4dae9e42d7ffd38d27c6"/>
            <w:id w:val="261038599"/>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70EC672E" w14:textId="77777777" w:rsidR="002D0AE7" w:rsidRDefault="00333EBB">
                <w:pPr>
                  <w:jc w:val="center"/>
                  <w:rPr>
                    <w:rFonts w:hint="eastAsia"/>
                    <w:color w:val="000000" w:themeColor="text1"/>
                    <w:sz w:val="21"/>
                    <w:szCs w:val="21"/>
                  </w:rPr>
                </w:pPr>
                <w:r>
                  <w:rPr>
                    <w:rFonts w:hint="eastAsia"/>
                    <w:color w:val="000000" w:themeColor="text1"/>
                    <w:sz w:val="21"/>
                    <w:szCs w:val="21"/>
                  </w:rPr>
                  <w:t>上期发生额</w:t>
                </w:r>
              </w:p>
            </w:tc>
          </w:sdtContent>
        </w:sdt>
      </w:tr>
      <w:tr w:rsidR="002D0AE7" w14:paraId="4C149D7C"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04B515B" w14:textId="77777777" w:rsidR="002D0AE7" w:rsidRDefault="00333EBB">
            <w:pPr>
              <w:rPr>
                <w:rFonts w:hint="eastAsia"/>
                <w:color w:val="000000" w:themeColor="text1"/>
                <w:sz w:val="21"/>
                <w:szCs w:val="21"/>
              </w:rPr>
            </w:pPr>
            <w:r>
              <w:rPr>
                <w:rFonts w:hint="eastAsia"/>
                <w:color w:val="000000"/>
                <w:sz w:val="21"/>
                <w:szCs w:val="21"/>
              </w:rP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147CFDC2"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46,221,511.82</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1A1FABF5"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38,922,162.19</w:t>
            </w:r>
          </w:p>
        </w:tc>
      </w:tr>
      <w:tr w:rsidR="002D0AE7" w14:paraId="5F09A8A3"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DEA82D3" w14:textId="77777777" w:rsidR="002D0AE7" w:rsidRDefault="00333EBB">
            <w:pPr>
              <w:rPr>
                <w:rFonts w:hint="eastAsia"/>
                <w:color w:val="000000" w:themeColor="text1"/>
                <w:sz w:val="21"/>
                <w:szCs w:val="21"/>
              </w:rPr>
            </w:pPr>
            <w:r>
              <w:rPr>
                <w:rFonts w:ascii="Arial" w:hAnsi="Arial" w:cs="Arial"/>
                <w:sz w:val="21"/>
                <w:szCs w:val="21"/>
              </w:rPr>
              <w:t>专利产权费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38A9BE42"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161,024.05</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62F4A924"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114,486.79</w:t>
            </w:r>
          </w:p>
        </w:tc>
      </w:tr>
      <w:tr w:rsidR="002D0AE7" w14:paraId="349BAECD"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09757E6" w14:textId="77777777" w:rsidR="002D0AE7" w:rsidRDefault="00333EBB">
            <w:pPr>
              <w:rPr>
                <w:rFonts w:hint="eastAsia"/>
                <w:color w:val="000000" w:themeColor="text1"/>
                <w:sz w:val="21"/>
                <w:szCs w:val="21"/>
              </w:rPr>
            </w:pPr>
            <w:r>
              <w:rPr>
                <w:rFonts w:hint="eastAsia"/>
                <w:color w:val="000000"/>
                <w:sz w:val="21"/>
                <w:szCs w:val="21"/>
              </w:rPr>
              <w:t>折旧</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1913CE80"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5,844,511.33</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27E5C3F7"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5,468,217.62</w:t>
            </w:r>
          </w:p>
        </w:tc>
      </w:tr>
      <w:tr w:rsidR="002D0AE7" w14:paraId="45F8B07B"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38DC0AB" w14:textId="77777777" w:rsidR="002D0AE7" w:rsidRDefault="00333EBB">
            <w:pPr>
              <w:rPr>
                <w:rFonts w:hint="eastAsia"/>
                <w:color w:val="000000" w:themeColor="text1"/>
                <w:sz w:val="21"/>
                <w:szCs w:val="21"/>
              </w:rPr>
            </w:pPr>
            <w:r>
              <w:rPr>
                <w:rFonts w:ascii="Arial" w:hAnsi="Arial" w:cs="Arial"/>
                <w:sz w:val="21"/>
                <w:szCs w:val="21"/>
              </w:rPr>
              <w:t>物耗能源费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002543EE"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4,232,053.57</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30ABB2D7"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4,314,990.95</w:t>
            </w:r>
          </w:p>
        </w:tc>
      </w:tr>
      <w:tr w:rsidR="002D0AE7" w14:paraId="7E5F8CD0"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09746C2" w14:textId="77777777" w:rsidR="002D0AE7" w:rsidRDefault="00333EBB">
            <w:pPr>
              <w:rPr>
                <w:rFonts w:hint="eastAsia"/>
                <w:color w:val="000000" w:themeColor="text1"/>
                <w:sz w:val="21"/>
                <w:szCs w:val="21"/>
              </w:rPr>
            </w:pPr>
            <w:r>
              <w:rPr>
                <w:rFonts w:ascii="Arial" w:hAnsi="Arial" w:cs="Arial"/>
                <w:sz w:val="21"/>
                <w:szCs w:val="21"/>
              </w:rPr>
              <w:t>服务费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768265C7"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9,527,317.36</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03877351"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7,775,343.87</w:t>
            </w:r>
          </w:p>
        </w:tc>
      </w:tr>
      <w:tr w:rsidR="002D0AE7" w14:paraId="12992CF1"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2AA1614" w14:textId="77777777" w:rsidR="002D0AE7" w:rsidRDefault="00333EBB">
            <w:pPr>
              <w:rPr>
                <w:rFonts w:hint="eastAsia"/>
                <w:color w:val="000000" w:themeColor="text1"/>
                <w:sz w:val="21"/>
                <w:szCs w:val="21"/>
              </w:rPr>
            </w:pPr>
            <w:r>
              <w:rPr>
                <w:rFonts w:ascii="Arial" w:hAnsi="Arial" w:cs="Arial"/>
                <w:sz w:val="21"/>
                <w:szCs w:val="21"/>
              </w:rPr>
              <w:t>办公性费用</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421DC353"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594,260.35</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0ADB1AA0"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106,712.69</w:t>
            </w:r>
          </w:p>
        </w:tc>
      </w:tr>
      <w:tr w:rsidR="002D0AE7" w14:paraId="3723D11B"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95DD19A" w14:textId="77777777" w:rsidR="002D0AE7" w:rsidRDefault="00333EBB">
            <w:pPr>
              <w:rPr>
                <w:rFonts w:hint="eastAsia"/>
                <w:color w:val="000000" w:themeColor="text1"/>
                <w:sz w:val="21"/>
                <w:szCs w:val="21"/>
              </w:rPr>
            </w:pPr>
            <w:r>
              <w:rPr>
                <w:rFonts w:ascii="Arial" w:hAnsi="Arial" w:cs="Arial"/>
                <w:sz w:val="21"/>
                <w:szCs w:val="21"/>
              </w:rPr>
              <w:t>检验费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3F3EAF54"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1,740,605.30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62D8EDB3"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1,388,068.31</w:t>
            </w:r>
          </w:p>
        </w:tc>
      </w:tr>
      <w:tr w:rsidR="002D0AE7" w14:paraId="66263C28"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419D3EB" w14:textId="77777777" w:rsidR="002D0AE7" w:rsidRDefault="00333EBB">
            <w:pPr>
              <w:rPr>
                <w:rFonts w:hint="eastAsia"/>
                <w:color w:val="000000" w:themeColor="text1"/>
                <w:sz w:val="21"/>
                <w:szCs w:val="21"/>
              </w:rPr>
            </w:pPr>
            <w:r>
              <w:rPr>
                <w:rFonts w:ascii="Arial" w:hAnsi="Arial" w:cs="Arial"/>
                <w:sz w:val="21"/>
                <w:szCs w:val="21"/>
              </w:rPr>
              <w:t>维修费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1DE3D9C8"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2,997,908.99</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4926876D"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3,243,809.57</w:t>
            </w:r>
          </w:p>
        </w:tc>
      </w:tr>
      <w:tr w:rsidR="002D0AE7" w14:paraId="05806DB3"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3DEC962" w14:textId="77777777" w:rsidR="002D0AE7" w:rsidRDefault="00333EBB">
            <w:pPr>
              <w:rPr>
                <w:rFonts w:hint="eastAsia"/>
                <w:sz w:val="21"/>
                <w:szCs w:val="21"/>
              </w:rPr>
            </w:pPr>
            <w:r>
              <w:rPr>
                <w:rFonts w:ascii="Arial" w:hAnsi="Arial" w:cs="Arial"/>
                <w:sz w:val="21"/>
                <w:szCs w:val="21"/>
              </w:rPr>
              <w:t>试验研究费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74E0A24B"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10,430,395.16</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68BF1473"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21,575,227.50</w:t>
            </w:r>
          </w:p>
        </w:tc>
      </w:tr>
      <w:tr w:rsidR="002D0AE7" w14:paraId="054D8196"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AFD316A" w14:textId="77777777" w:rsidR="002D0AE7" w:rsidRDefault="00333EBB">
            <w:pPr>
              <w:rPr>
                <w:rFonts w:hint="eastAsia"/>
                <w:sz w:val="21"/>
                <w:szCs w:val="21"/>
              </w:rPr>
            </w:pPr>
            <w:r>
              <w:rPr>
                <w:rFonts w:ascii="Arial" w:hAnsi="Arial" w:cs="Arial"/>
                <w:sz w:val="21"/>
                <w:szCs w:val="21"/>
              </w:rPr>
              <w:t>其他</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4E5D6AA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2,090,027.15</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70D0620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2,018,680.05</w:t>
            </w:r>
          </w:p>
        </w:tc>
      </w:tr>
      <w:tr w:rsidR="002D0AE7" w14:paraId="7DDB52CF"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970FF48" w14:textId="77777777" w:rsidR="002D0AE7" w:rsidRDefault="00333EBB">
            <w:pPr>
              <w:jc w:val="center"/>
              <w:rPr>
                <w:rFonts w:hint="eastAsia"/>
                <w:color w:val="000000" w:themeColor="text1"/>
                <w:sz w:val="21"/>
                <w:szCs w:val="21"/>
              </w:rPr>
            </w:pPr>
            <w:r>
              <w:rPr>
                <w:rFonts w:hint="eastAsia"/>
                <w:color w:val="000000" w:themeColor="text1"/>
                <w:sz w:val="21"/>
                <w:szCs w:val="21"/>
              </w:rPr>
              <w:lastRenderedPageBreak/>
              <w:t>合计</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4EFE31F1"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83,839,615.08</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08CEBAA7"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84,927,699.54</w:t>
            </w:r>
          </w:p>
        </w:tc>
      </w:tr>
    </w:tbl>
    <w:p w14:paraId="6204CD9A" w14:textId="77777777" w:rsidR="002D0AE7" w:rsidRDefault="00333EBB">
      <w:pPr>
        <w:rPr>
          <w:rFonts w:hint="eastAsia"/>
          <w:color w:val="000000" w:themeColor="text1"/>
        </w:rPr>
      </w:pPr>
      <w:r>
        <w:rPr>
          <w:rFonts w:hint="eastAsia"/>
          <w:color w:val="000000" w:themeColor="text1"/>
        </w:rPr>
        <w:t>其他说明：</w:t>
      </w:r>
      <w:sdt>
        <w:sdtPr>
          <w:rPr>
            <w:color w:val="000000" w:themeColor="text1"/>
          </w:rPr>
          <w:alias w:val="研发费用其他说明"/>
          <w:tag w:val="_GBC_f09ad1e9748e43059f8db34f9454426c"/>
          <w:id w:val="-1347783268"/>
          <w:placeholder>
            <w:docPart w:val="GBC22222222222222222222222222222"/>
          </w:placeholder>
        </w:sdtPr>
        <w:sdtEndPr/>
        <w:sdtContent>
          <w:r>
            <w:rPr>
              <w:rFonts w:hint="eastAsia"/>
              <w:color w:val="000000" w:themeColor="text1"/>
            </w:rPr>
            <w:t>无</w:t>
          </w:r>
        </w:sdtContent>
      </w:sdt>
    </w:p>
    <w:bookmarkEnd w:id="216"/>
    <w:p w14:paraId="6D507744"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szCs w:val="21"/>
        </w:rPr>
        <w:t>财务费用</w:t>
      </w:r>
    </w:p>
    <w:sdt>
      <w:sdtPr>
        <w:rPr>
          <w:color w:val="000000" w:themeColor="text1"/>
        </w:rPr>
        <w:alias w:val="是否适用：财务费用[双击切换]"/>
        <w:tag w:val="_GBC_699d8bdb2f1f4504a0ea4ccbc8889cfa"/>
        <w:id w:val="1249150541"/>
        <w:placeholder>
          <w:docPart w:val="GBC22222222222222222222222222222"/>
        </w:placeholder>
      </w:sdtPr>
      <w:sdtEndPr/>
      <w:sdtContent>
        <w:p w14:paraId="42FC623D"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6751A5C9"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费用"/>
          <w:tag w:val="_GBC_eb9e02dce68144759561a3427fb3099a"/>
          <w:id w:val="-156657273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费用"/>
          <w:tag w:val="_GBC_8e992a76854b4bd0a3f5cd49b31a4604"/>
          <w:id w:val="-166701126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2539"/>
        <w:gridCol w:w="2379"/>
      </w:tblGrid>
      <w:tr w:rsidR="002D0AE7" w14:paraId="11B43299" w14:textId="77777777">
        <w:sdt>
          <w:sdtPr>
            <w:rPr>
              <w:color w:val="000000" w:themeColor="text1"/>
              <w:sz w:val="21"/>
              <w:szCs w:val="21"/>
            </w:rPr>
            <w:tag w:val="_PLD_c57c227174f044c4bfa2c0fda1e37156"/>
            <w:id w:val="443117900"/>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4251F1E0"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d7b23aa0bcb6433894875c858270ab7f"/>
            <w:id w:val="-878008094"/>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5CB900C1" w14:textId="77777777" w:rsidR="002D0AE7" w:rsidRDefault="00333EBB">
                <w:pPr>
                  <w:jc w:val="center"/>
                  <w:rPr>
                    <w:rFonts w:hint="eastAsia"/>
                    <w:color w:val="000000" w:themeColor="text1"/>
                    <w:sz w:val="21"/>
                    <w:szCs w:val="21"/>
                  </w:rPr>
                </w:pPr>
                <w:r>
                  <w:rPr>
                    <w:rFonts w:hint="eastAsia"/>
                    <w:color w:val="000000" w:themeColor="text1"/>
                    <w:sz w:val="21"/>
                    <w:szCs w:val="21"/>
                  </w:rPr>
                  <w:t>本期发生额</w:t>
                </w:r>
              </w:p>
            </w:tc>
          </w:sdtContent>
        </w:sdt>
        <w:sdt>
          <w:sdtPr>
            <w:rPr>
              <w:color w:val="000000" w:themeColor="text1"/>
              <w:sz w:val="21"/>
              <w:szCs w:val="21"/>
            </w:rPr>
            <w:tag w:val="_PLD_d79245f93e3d475b953b3e44bb1c6425"/>
            <w:id w:val="1405957087"/>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405ED8E9" w14:textId="77777777" w:rsidR="002D0AE7" w:rsidRDefault="00333EBB">
                <w:pPr>
                  <w:jc w:val="center"/>
                  <w:rPr>
                    <w:rFonts w:hint="eastAsia"/>
                    <w:color w:val="000000" w:themeColor="text1"/>
                    <w:sz w:val="21"/>
                    <w:szCs w:val="21"/>
                  </w:rPr>
                </w:pPr>
                <w:r>
                  <w:rPr>
                    <w:rFonts w:hint="eastAsia"/>
                    <w:color w:val="000000" w:themeColor="text1"/>
                    <w:sz w:val="21"/>
                    <w:szCs w:val="21"/>
                  </w:rPr>
                  <w:t>上期发生额</w:t>
                </w:r>
              </w:p>
            </w:tc>
          </w:sdtContent>
        </w:sdt>
      </w:tr>
      <w:tr w:rsidR="002D0AE7" w14:paraId="1B60873A"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905C3CA" w14:textId="77777777" w:rsidR="002D0AE7" w:rsidRDefault="00333EBB">
            <w:pPr>
              <w:rPr>
                <w:rFonts w:hint="eastAsia"/>
                <w:sz w:val="21"/>
                <w:szCs w:val="21"/>
              </w:rPr>
            </w:pPr>
            <w:r>
              <w:rPr>
                <w:sz w:val="21"/>
                <w:szCs w:val="21"/>
              </w:rPr>
              <w:t>利息支出</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7D34FCA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15,795,524.67</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74CDEF4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21,420,074.81</w:t>
            </w:r>
          </w:p>
        </w:tc>
      </w:tr>
      <w:tr w:rsidR="002D0AE7" w14:paraId="21EF414D"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1308439" w14:textId="77777777" w:rsidR="002D0AE7" w:rsidRDefault="00333EBB">
            <w:pPr>
              <w:rPr>
                <w:rFonts w:hint="eastAsia"/>
                <w:sz w:val="21"/>
                <w:szCs w:val="21"/>
              </w:rPr>
            </w:pPr>
            <w:r>
              <w:rPr>
                <w:sz w:val="21"/>
                <w:szCs w:val="21"/>
              </w:rPr>
              <w:t>减：利息收入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1D4D7BD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4,109,155.59</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4094A79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5,111,642.25</w:t>
            </w:r>
          </w:p>
        </w:tc>
      </w:tr>
      <w:tr w:rsidR="002D0AE7" w14:paraId="6441B668"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2A8E5D6" w14:textId="77777777" w:rsidR="002D0AE7" w:rsidRDefault="00333EBB">
            <w:pPr>
              <w:rPr>
                <w:rFonts w:hint="eastAsia"/>
                <w:sz w:val="21"/>
                <w:szCs w:val="21"/>
              </w:rPr>
            </w:pPr>
            <w:r>
              <w:rPr>
                <w:sz w:val="21"/>
                <w:szCs w:val="21"/>
              </w:rPr>
              <w:t>汇兑损益</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4862BC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-8,953,162.58</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3A4AD7B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-10,105,577.00</w:t>
            </w:r>
          </w:p>
        </w:tc>
      </w:tr>
      <w:tr w:rsidR="002D0AE7" w14:paraId="23CEC7F7"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7FF9F74" w14:textId="77777777" w:rsidR="002D0AE7" w:rsidRDefault="00333EBB">
            <w:pPr>
              <w:rPr>
                <w:rFonts w:hint="eastAsia"/>
                <w:sz w:val="21"/>
                <w:szCs w:val="21"/>
              </w:rPr>
            </w:pPr>
            <w:r>
              <w:rPr>
                <w:sz w:val="21"/>
                <w:szCs w:val="21"/>
              </w:rPr>
              <w:t>手续费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494FFA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468,840.00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532093B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472,494.98</w:t>
            </w:r>
          </w:p>
        </w:tc>
      </w:tr>
      <w:tr w:rsidR="002D0AE7" w14:paraId="2DADA026"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EDA2054" w14:textId="77777777" w:rsidR="002D0AE7" w:rsidRDefault="00333EBB">
            <w:pPr>
              <w:rPr>
                <w:rFonts w:hint="eastAsia"/>
                <w:sz w:val="21"/>
                <w:szCs w:val="21"/>
              </w:rPr>
            </w:pPr>
            <w:r>
              <w:rPr>
                <w:sz w:val="21"/>
                <w:szCs w:val="21"/>
              </w:rPr>
              <w:t>租赁负债未确认融资租赁费用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11708F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744.76</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0BBEB18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105.74</w:t>
            </w:r>
          </w:p>
        </w:tc>
      </w:tr>
      <w:tr w:rsidR="002D0AE7" w14:paraId="0E9E41D8" w14:textId="77777777">
        <w:tc>
          <w:tcPr>
            <w:tcW w:w="2213" w:type="pct"/>
            <w:tcBorders>
              <w:top w:val="single" w:sz="4" w:space="0" w:color="auto"/>
              <w:left w:val="single" w:sz="4" w:space="0" w:color="auto"/>
              <w:bottom w:val="single" w:sz="4" w:space="0" w:color="auto"/>
              <w:right w:val="single" w:sz="4" w:space="0" w:color="auto"/>
            </w:tcBorders>
            <w:shd w:val="clear" w:color="auto" w:fill="auto"/>
          </w:tcPr>
          <w:p w14:paraId="78E5A14D"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C69FC7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3,202,791.26</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29070D8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6,675,456.28</w:t>
            </w:r>
          </w:p>
        </w:tc>
      </w:tr>
    </w:tbl>
    <w:p w14:paraId="6850BA7B" w14:textId="77777777" w:rsidR="002D0AE7" w:rsidRDefault="00333EBB">
      <w:pPr>
        <w:rPr>
          <w:rFonts w:hint="eastAsia"/>
          <w:color w:val="000000" w:themeColor="text1"/>
        </w:rPr>
      </w:pPr>
      <w:r>
        <w:rPr>
          <w:rFonts w:hint="eastAsia"/>
          <w:color w:val="000000" w:themeColor="text1"/>
        </w:rPr>
        <w:t>其他说明：</w:t>
      </w:r>
      <w:sdt>
        <w:sdtPr>
          <w:rPr>
            <w:color w:val="000000" w:themeColor="text1"/>
          </w:rPr>
          <w:alias w:val="财务费用的其他说明事项"/>
          <w:tag w:val="_GBC_5bd15645edcc4a51b94ddca48ee9be98"/>
          <w:id w:val="1330185597"/>
          <w:placeholder>
            <w:docPart w:val="GBC22222222222222222222222222222"/>
          </w:placeholder>
        </w:sdtPr>
        <w:sdtEndPr/>
        <w:sdtContent>
          <w:r>
            <w:rPr>
              <w:rFonts w:hint="eastAsia"/>
              <w:color w:val="000000" w:themeColor="text1"/>
            </w:rPr>
            <w:t>无</w:t>
          </w:r>
        </w:sdtContent>
      </w:sdt>
    </w:p>
    <w:p w14:paraId="7C0EF7AB" w14:textId="77777777" w:rsidR="002D0AE7" w:rsidRDefault="00333EBB">
      <w:pPr>
        <w:pStyle w:val="3"/>
        <w:numPr>
          <w:ilvl w:val="0"/>
          <w:numId w:val="43"/>
        </w:numPr>
        <w:tabs>
          <w:tab w:val="left" w:pos="504"/>
        </w:tabs>
        <w:rPr>
          <w:rFonts w:ascii="宋体" w:hAnsi="宋体" w:hint="eastAsia"/>
          <w:color w:val="000000" w:themeColor="text1"/>
        </w:rPr>
      </w:pPr>
      <w:r>
        <w:rPr>
          <w:rFonts w:ascii="宋体" w:hAnsi="宋体" w:hint="eastAsia"/>
          <w:color w:val="000000" w:themeColor="text1"/>
        </w:rPr>
        <w:t>其他收益</w:t>
      </w:r>
    </w:p>
    <w:sdt>
      <w:sdtPr>
        <w:rPr>
          <w:color w:val="000000" w:themeColor="text1"/>
        </w:rPr>
        <w:alias w:val="是否适用：财务报表其他收益[双击切换]"/>
        <w:tag w:val="_GBC_86fde94b0d4e4b1f997adc6f063babf7"/>
        <w:id w:val="-567577049"/>
        <w:placeholder>
          <w:docPart w:val="GBC22222222222222222222222222222"/>
        </w:placeholder>
      </w:sdtPr>
      <w:sdtEndPr/>
      <w:sdtContent>
        <w:p w14:paraId="6540460B"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6DCBF5A0" w14:textId="77777777" w:rsidR="002D0AE7" w:rsidRDefault="00333EBB">
      <w:pPr>
        <w:jc w:val="right"/>
        <w:rPr>
          <w:rFonts w:cstheme="minorBidi" w:hint="eastAsia"/>
          <w:bCs/>
          <w:color w:val="000000" w:themeColor="text1"/>
          <w:szCs w:val="22"/>
        </w:rPr>
      </w:pPr>
      <w:r>
        <w:rPr>
          <w:rFonts w:cstheme="minorBidi"/>
          <w:color w:val="000000" w:themeColor="text1"/>
          <w:szCs w:val="22"/>
        </w:rPr>
        <w:t>单位：</w:t>
      </w:r>
      <w:sdt>
        <w:sdtPr>
          <w:rPr>
            <w:rFonts w:cstheme="minorBidi"/>
            <w:bCs/>
            <w:color w:val="000000" w:themeColor="text1"/>
            <w:szCs w:val="22"/>
          </w:rPr>
          <w:alias w:val="单位：财务报表其他收益明细"/>
          <w:tag w:val="_GBC_12755937dc3b48a489abda6cc5cda8d6"/>
          <w:id w:val="61531544"/>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cstheme="minorBidi" w:hint="eastAsia"/>
              <w:bCs/>
              <w:color w:val="000000" w:themeColor="text1"/>
              <w:szCs w:val="22"/>
            </w:rPr>
            <w:t>元</w:t>
          </w:r>
        </w:sdtContent>
      </w:sdt>
      <w:r>
        <w:rPr>
          <w:rFonts w:cstheme="minorBidi"/>
          <w:color w:val="000000" w:themeColor="text1"/>
          <w:szCs w:val="22"/>
        </w:rPr>
        <w:t>币种：</w:t>
      </w:r>
      <w:sdt>
        <w:sdtPr>
          <w:rPr>
            <w:rFonts w:cstheme="minorBidi"/>
            <w:bCs/>
            <w:color w:val="000000" w:themeColor="text1"/>
            <w:szCs w:val="22"/>
          </w:rPr>
          <w:alias w:val="币种：财务报表其他收益明细"/>
          <w:tag w:val="_GBC_3daaaf66c73e4201b067378f3d17e13f"/>
          <w:id w:val="197216606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theme="minorBidi" w:hint="eastAsia"/>
              <w:bCs/>
              <w:color w:val="000000" w:themeColor="text1"/>
              <w:szCs w:val="22"/>
            </w:rPr>
            <w:t>人民币</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509"/>
        <w:gridCol w:w="2378"/>
      </w:tblGrid>
      <w:tr w:rsidR="002D0AE7" w14:paraId="1426E692" w14:textId="77777777">
        <w:tc>
          <w:tcPr>
            <w:tcW w:w="4077" w:type="dxa"/>
          </w:tcPr>
          <w:sdt>
            <w:sdtPr>
              <w:rPr>
                <w:rFonts w:ascii="Times New Roman" w:hAnsi="Times New Roman" w:hint="eastAsia"/>
                <w:color w:val="000000" w:themeColor="text1"/>
                <w:sz w:val="21"/>
                <w:szCs w:val="21"/>
              </w:rPr>
              <w:tag w:val="_PLD_92b33ced889140b7b84894c5f486f4e6"/>
              <w:id w:val="180400073"/>
            </w:sdtPr>
            <w:sdtEndPr/>
            <w:sdtContent>
              <w:p w14:paraId="449AEEF7" w14:textId="77777777" w:rsidR="002D0AE7" w:rsidRDefault="00333EBB">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按性质分类</w:t>
                </w:r>
              </w:p>
            </w:sdtContent>
          </w:sdt>
        </w:tc>
        <w:tc>
          <w:tcPr>
            <w:tcW w:w="2552" w:type="dxa"/>
          </w:tcPr>
          <w:sdt>
            <w:sdtPr>
              <w:rPr>
                <w:rFonts w:ascii="Times New Roman" w:hAnsi="Times New Roman" w:hint="eastAsia"/>
                <w:color w:val="000000" w:themeColor="text1"/>
                <w:sz w:val="21"/>
                <w:szCs w:val="21"/>
              </w:rPr>
              <w:tag w:val="_PLD_73b3023fbaed423bbb8ca1ec42a2eaf9"/>
              <w:id w:val="102931539"/>
            </w:sdtPr>
            <w:sdtEndPr/>
            <w:sdtContent>
              <w:p w14:paraId="06CE4CAE" w14:textId="77777777" w:rsidR="002D0AE7" w:rsidRDefault="00333EBB">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本期发生额</w:t>
                </w:r>
              </w:p>
            </w:sdtContent>
          </w:sdt>
        </w:tc>
        <w:tc>
          <w:tcPr>
            <w:tcW w:w="2420" w:type="dxa"/>
          </w:tcPr>
          <w:sdt>
            <w:sdtPr>
              <w:rPr>
                <w:rFonts w:ascii="Times New Roman" w:hAnsi="Times New Roman" w:hint="eastAsia"/>
                <w:color w:val="000000" w:themeColor="text1"/>
                <w:sz w:val="21"/>
                <w:szCs w:val="21"/>
              </w:rPr>
              <w:tag w:val="_PLD_9f39351a333c497da22a0955aff07b4c"/>
              <w:id w:val="-2130001479"/>
            </w:sdtPr>
            <w:sdtEndPr/>
            <w:sdtContent>
              <w:p w14:paraId="3360659C" w14:textId="77777777" w:rsidR="002D0AE7" w:rsidRDefault="00333EBB">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上期发生额</w:t>
                </w:r>
              </w:p>
            </w:sdtContent>
          </w:sdt>
        </w:tc>
      </w:tr>
      <w:tr w:rsidR="002D0AE7" w14:paraId="0144C34C" w14:textId="77777777">
        <w:tc>
          <w:tcPr>
            <w:tcW w:w="4077" w:type="dxa"/>
          </w:tcPr>
          <w:p w14:paraId="33681ACC" w14:textId="77777777" w:rsidR="002D0AE7" w:rsidRDefault="00333EBB">
            <w:pPr>
              <w:rPr>
                <w:rFonts w:ascii="Times New Roman" w:hAnsi="Times New Roman"/>
                <w:sz w:val="21"/>
                <w:szCs w:val="21"/>
              </w:rPr>
            </w:pPr>
            <w:r>
              <w:rPr>
                <w:rFonts w:ascii="Times New Roman" w:hAnsi="Times New Roman" w:hint="eastAsia"/>
                <w:sz w:val="21"/>
                <w:szCs w:val="21"/>
              </w:rPr>
              <w:t>代扣个人所得税手续费</w:t>
            </w:r>
          </w:p>
        </w:tc>
        <w:tc>
          <w:tcPr>
            <w:tcW w:w="2552" w:type="dxa"/>
          </w:tcPr>
          <w:p w14:paraId="3BD8E0F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207,827.93</w:t>
            </w:r>
          </w:p>
        </w:tc>
        <w:tc>
          <w:tcPr>
            <w:tcW w:w="2420" w:type="dxa"/>
          </w:tcPr>
          <w:p w14:paraId="0A3A7FC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141,967.17</w:t>
            </w:r>
          </w:p>
        </w:tc>
      </w:tr>
      <w:tr w:rsidR="002D0AE7" w14:paraId="688AF75E" w14:textId="77777777">
        <w:tc>
          <w:tcPr>
            <w:tcW w:w="4077" w:type="dxa"/>
          </w:tcPr>
          <w:p w14:paraId="4604F175" w14:textId="77777777" w:rsidR="002D0AE7" w:rsidRDefault="00333EBB">
            <w:pPr>
              <w:rPr>
                <w:rFonts w:ascii="Times New Roman" w:hAnsi="Times New Roman"/>
                <w:sz w:val="21"/>
                <w:szCs w:val="21"/>
              </w:rPr>
            </w:pPr>
            <w:r>
              <w:rPr>
                <w:rFonts w:ascii="Times New Roman" w:hAnsi="Times New Roman" w:hint="eastAsia"/>
                <w:sz w:val="21"/>
                <w:szCs w:val="21"/>
              </w:rPr>
              <w:t>政府补助</w:t>
            </w:r>
            <w:r>
              <w:rPr>
                <w:rFonts w:ascii="Times New Roman" w:hAnsi="Times New Roman"/>
                <w:sz w:val="21"/>
                <w:szCs w:val="21"/>
              </w:rPr>
              <w:t>-</w:t>
            </w:r>
            <w:r>
              <w:rPr>
                <w:rFonts w:ascii="Times New Roman" w:hAnsi="Times New Roman"/>
                <w:sz w:val="21"/>
                <w:szCs w:val="21"/>
              </w:rPr>
              <w:t>递延收益本期转入</w:t>
            </w:r>
          </w:p>
        </w:tc>
        <w:tc>
          <w:tcPr>
            <w:tcW w:w="2552" w:type="dxa"/>
          </w:tcPr>
          <w:p w14:paraId="46AFEDD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6,095,136.36</w:t>
            </w:r>
          </w:p>
        </w:tc>
        <w:tc>
          <w:tcPr>
            <w:tcW w:w="2420" w:type="dxa"/>
          </w:tcPr>
          <w:p w14:paraId="664462B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4,590,838.03</w:t>
            </w:r>
          </w:p>
        </w:tc>
      </w:tr>
      <w:tr w:rsidR="002D0AE7" w14:paraId="25AFE170" w14:textId="77777777">
        <w:tc>
          <w:tcPr>
            <w:tcW w:w="4077" w:type="dxa"/>
          </w:tcPr>
          <w:p w14:paraId="3640AD89" w14:textId="77777777" w:rsidR="002D0AE7" w:rsidRDefault="00333EBB">
            <w:pPr>
              <w:rPr>
                <w:rFonts w:ascii="Times New Roman" w:hAnsi="Times New Roman"/>
                <w:sz w:val="21"/>
                <w:szCs w:val="21"/>
              </w:rPr>
            </w:pPr>
            <w:r>
              <w:rPr>
                <w:rFonts w:ascii="Times New Roman" w:hAnsi="Times New Roman" w:hint="eastAsia"/>
                <w:sz w:val="21"/>
                <w:szCs w:val="21"/>
              </w:rPr>
              <w:t>政府补助</w:t>
            </w:r>
            <w:r>
              <w:rPr>
                <w:rFonts w:ascii="Times New Roman" w:hAnsi="Times New Roman"/>
                <w:sz w:val="21"/>
                <w:szCs w:val="21"/>
              </w:rPr>
              <w:t>-</w:t>
            </w:r>
            <w:r>
              <w:rPr>
                <w:rFonts w:ascii="Times New Roman" w:hAnsi="Times New Roman"/>
                <w:sz w:val="21"/>
                <w:szCs w:val="21"/>
              </w:rPr>
              <w:t>本期取得</w:t>
            </w:r>
          </w:p>
        </w:tc>
        <w:tc>
          <w:tcPr>
            <w:tcW w:w="2552" w:type="dxa"/>
          </w:tcPr>
          <w:p w14:paraId="6A4E392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1,034,666.60</w:t>
            </w:r>
          </w:p>
        </w:tc>
        <w:tc>
          <w:tcPr>
            <w:tcW w:w="2420" w:type="dxa"/>
          </w:tcPr>
          <w:p w14:paraId="55F4A6C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3,976,500.00</w:t>
            </w:r>
          </w:p>
        </w:tc>
      </w:tr>
      <w:tr w:rsidR="002D0AE7" w14:paraId="3D973E8C" w14:textId="77777777">
        <w:tc>
          <w:tcPr>
            <w:tcW w:w="4077" w:type="dxa"/>
          </w:tcPr>
          <w:p w14:paraId="67684CCB" w14:textId="77777777" w:rsidR="002D0AE7" w:rsidRDefault="00333EBB">
            <w:pPr>
              <w:rPr>
                <w:rFonts w:ascii="Times New Roman" w:hAnsi="Times New Roman"/>
                <w:sz w:val="21"/>
                <w:szCs w:val="21"/>
              </w:rPr>
            </w:pPr>
            <w:r>
              <w:rPr>
                <w:rFonts w:ascii="Times New Roman" w:hAnsi="Times New Roman" w:hint="eastAsia"/>
                <w:sz w:val="21"/>
                <w:szCs w:val="21"/>
              </w:rPr>
              <w:t>增值税加计抵减</w:t>
            </w:r>
          </w:p>
        </w:tc>
        <w:tc>
          <w:tcPr>
            <w:tcW w:w="2552" w:type="dxa"/>
          </w:tcPr>
          <w:p w14:paraId="2756F00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5,789,489.28</w:t>
            </w:r>
          </w:p>
        </w:tc>
        <w:tc>
          <w:tcPr>
            <w:tcW w:w="2420" w:type="dxa"/>
          </w:tcPr>
          <w:p w14:paraId="4D43D03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202BCDB5" w14:textId="77777777">
        <w:tc>
          <w:tcPr>
            <w:tcW w:w="4077" w:type="dxa"/>
          </w:tcPr>
          <w:p w14:paraId="6E474AA9" w14:textId="77777777" w:rsidR="002D0AE7" w:rsidRDefault="00333EBB">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合计</w:t>
            </w:r>
          </w:p>
        </w:tc>
        <w:tc>
          <w:tcPr>
            <w:tcW w:w="2552" w:type="dxa"/>
          </w:tcPr>
          <w:p w14:paraId="4008326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13,127,120.17</w:t>
            </w:r>
          </w:p>
        </w:tc>
        <w:tc>
          <w:tcPr>
            <w:tcW w:w="2420" w:type="dxa"/>
          </w:tcPr>
          <w:p w14:paraId="158165D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8,709,305.20</w:t>
            </w:r>
          </w:p>
        </w:tc>
      </w:tr>
    </w:tbl>
    <w:p w14:paraId="4B7F56DE" w14:textId="77777777" w:rsidR="002D0AE7" w:rsidRDefault="00333EBB">
      <w:pPr>
        <w:rPr>
          <w:rFonts w:hint="eastAsia"/>
          <w:color w:val="000000" w:themeColor="text1"/>
        </w:rPr>
      </w:pPr>
      <w:r>
        <w:rPr>
          <w:rFonts w:hint="eastAsia"/>
          <w:color w:val="000000" w:themeColor="text1"/>
        </w:rPr>
        <w:t>其他</w:t>
      </w:r>
      <w:r>
        <w:rPr>
          <w:color w:val="000000" w:themeColor="text1"/>
        </w:rPr>
        <w:t>说明：</w:t>
      </w:r>
      <w:sdt>
        <w:sdtPr>
          <w:rPr>
            <w:color w:val="000000" w:themeColor="text1"/>
          </w:rPr>
          <w:alias w:val="财务报表其他收益其他说明"/>
          <w:tag w:val="_GBC_9489a93c45754a9ea78d3a872093a735"/>
          <w:id w:val="718412489"/>
          <w:placeholder>
            <w:docPart w:val="GBC22222222222222222222222222222"/>
          </w:placeholder>
        </w:sdtPr>
        <w:sdtEndPr/>
        <w:sdtContent>
          <w:r>
            <w:rPr>
              <w:rFonts w:hint="eastAsia"/>
              <w:color w:val="000000" w:themeColor="text1"/>
            </w:rPr>
            <w:t>无</w:t>
          </w:r>
        </w:sdtContent>
      </w:sdt>
    </w:p>
    <w:p w14:paraId="6F3472BD" w14:textId="77777777" w:rsidR="002D0AE7" w:rsidRDefault="00333EBB">
      <w:pPr>
        <w:pStyle w:val="3"/>
        <w:numPr>
          <w:ilvl w:val="0"/>
          <w:numId w:val="43"/>
        </w:numPr>
        <w:tabs>
          <w:tab w:val="left" w:pos="504"/>
        </w:tabs>
        <w:rPr>
          <w:rFonts w:ascii="宋体" w:hAnsi="宋体" w:hint="eastAsia"/>
          <w:color w:val="000000" w:themeColor="text1"/>
          <w:szCs w:val="21"/>
        </w:rPr>
      </w:pPr>
      <w:bookmarkStart w:id="217" w:name="_Hlk11857276"/>
      <w:r>
        <w:rPr>
          <w:rFonts w:ascii="宋体" w:hAnsi="宋体" w:hint="eastAsia"/>
          <w:color w:val="000000" w:themeColor="text1"/>
          <w:szCs w:val="21"/>
        </w:rPr>
        <w:t>投资收益</w:t>
      </w:r>
    </w:p>
    <w:sdt>
      <w:sdtPr>
        <w:rPr>
          <w:color w:val="000000" w:themeColor="text1"/>
        </w:rPr>
        <w:alias w:val="是否适用：投资收益[双击切换]"/>
        <w:tag w:val="_GBC_39356fd9dd9e4f5497d61d781210b2fe"/>
        <w:id w:val="-266457591"/>
        <w:placeholder>
          <w:docPart w:val="GBC22222222222222222222222222222"/>
        </w:placeholder>
      </w:sdtPr>
      <w:sdtEndPr/>
      <w:sdtContent>
        <w:p w14:paraId="4A22B2AC"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302D4D9F" w14:textId="77777777" w:rsidR="002D0AE7" w:rsidRDefault="00333EBB">
      <w:pPr>
        <w:jc w:val="right"/>
        <w:rPr>
          <w:rFonts w:hint="eastAsia"/>
          <w:b/>
          <w:color w:val="000000" w:themeColor="text1"/>
        </w:rPr>
      </w:pPr>
      <w:bookmarkStart w:id="218" w:name="_Hlk10538462"/>
      <w:r>
        <w:rPr>
          <w:color w:val="000000" w:themeColor="text1"/>
        </w:rPr>
        <w:t>单位</w:t>
      </w:r>
      <w:r>
        <w:rPr>
          <w:rFonts w:hint="eastAsia"/>
          <w:color w:val="000000" w:themeColor="text1"/>
        </w:rPr>
        <w:t>：</w:t>
      </w:r>
      <w:sdt>
        <w:sdtPr>
          <w:rPr>
            <w:rFonts w:hint="eastAsia"/>
            <w:color w:val="000000" w:themeColor="text1"/>
          </w:rPr>
          <w:alias w:val="单位：财务附注：会计报表中的投资收益项目增加"/>
          <w:tag w:val="_GBC_8785b82a02ca4b0db1de3227128775b4"/>
          <w:id w:val="156220872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color w:val="000000" w:themeColor="text1"/>
        </w:rPr>
        <w:t>币种</w:t>
      </w:r>
      <w:r>
        <w:rPr>
          <w:rFonts w:hint="eastAsia"/>
          <w:color w:val="000000" w:themeColor="text1"/>
        </w:rPr>
        <w:t>：</w:t>
      </w:r>
      <w:sdt>
        <w:sdtPr>
          <w:rPr>
            <w:rFonts w:hint="eastAsia"/>
            <w:color w:val="000000" w:themeColor="text1"/>
          </w:rPr>
          <w:alias w:val="币种：财务附注：会计报表中的投资收益项目增加"/>
          <w:tag w:val="_GBC_c4394dc445a94e9a8a4b83889c79fcb1"/>
          <w:id w:val="105860382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206"/>
        <w:gridCol w:w="1945"/>
      </w:tblGrid>
      <w:tr w:rsidR="002D0AE7" w14:paraId="0DBA65B3" w14:textId="77777777">
        <w:sdt>
          <w:sdtPr>
            <w:rPr>
              <w:color w:val="000000" w:themeColor="text1"/>
              <w:sz w:val="21"/>
              <w:szCs w:val="21"/>
            </w:rPr>
            <w:tag w:val="_PLD_2fef67a5db2c453288257a2dfe03fd6e"/>
            <w:id w:val="1638925285"/>
          </w:sdtPr>
          <w:sdtEndPr/>
          <w:sdtContent>
            <w:tc>
              <w:tcPr>
                <w:tcW w:w="2648" w:type="pct"/>
                <w:vAlign w:val="center"/>
              </w:tcPr>
              <w:p w14:paraId="55079E22" w14:textId="77777777" w:rsidR="002D0AE7" w:rsidRDefault="00333EBB">
                <w:pPr>
                  <w:ind w:left="420" w:hanging="420"/>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3f927d0ff25c47abb0f9b18794554af6"/>
            <w:id w:val="-1381786371"/>
          </w:sdtPr>
          <w:sdtEndPr/>
          <w:sdtContent>
            <w:tc>
              <w:tcPr>
                <w:tcW w:w="1250" w:type="pct"/>
                <w:vAlign w:val="center"/>
              </w:tcPr>
              <w:p w14:paraId="204A623C" w14:textId="77777777" w:rsidR="002D0AE7" w:rsidRDefault="00333EBB">
                <w:pPr>
                  <w:jc w:val="center"/>
                  <w:rPr>
                    <w:rFonts w:hint="eastAsia"/>
                    <w:color w:val="000000" w:themeColor="text1"/>
                    <w:sz w:val="21"/>
                    <w:szCs w:val="21"/>
                  </w:rPr>
                </w:pPr>
                <w:r>
                  <w:rPr>
                    <w:rFonts w:hint="eastAsia"/>
                    <w:color w:val="000000" w:themeColor="text1"/>
                    <w:sz w:val="21"/>
                    <w:szCs w:val="21"/>
                  </w:rPr>
                  <w:t>本期发生额</w:t>
                </w:r>
              </w:p>
            </w:tc>
          </w:sdtContent>
        </w:sdt>
        <w:sdt>
          <w:sdtPr>
            <w:rPr>
              <w:color w:val="000000" w:themeColor="text1"/>
              <w:sz w:val="21"/>
              <w:szCs w:val="21"/>
            </w:rPr>
            <w:tag w:val="_PLD_a6cbfed1438f48b7947079a5821a9eba"/>
            <w:id w:val="-118536551"/>
          </w:sdtPr>
          <w:sdtEndPr/>
          <w:sdtContent>
            <w:tc>
              <w:tcPr>
                <w:tcW w:w="1102" w:type="pct"/>
                <w:vAlign w:val="center"/>
              </w:tcPr>
              <w:p w14:paraId="60A75024" w14:textId="77777777" w:rsidR="002D0AE7" w:rsidRDefault="00333EBB">
                <w:pPr>
                  <w:jc w:val="center"/>
                  <w:rPr>
                    <w:rFonts w:hint="eastAsia"/>
                    <w:color w:val="000000" w:themeColor="text1"/>
                    <w:sz w:val="21"/>
                    <w:szCs w:val="21"/>
                  </w:rPr>
                </w:pPr>
                <w:r>
                  <w:rPr>
                    <w:rFonts w:hint="eastAsia"/>
                    <w:color w:val="000000" w:themeColor="text1"/>
                    <w:sz w:val="21"/>
                    <w:szCs w:val="21"/>
                  </w:rPr>
                  <w:t>上期发生额</w:t>
                </w:r>
              </w:p>
            </w:tc>
          </w:sdtContent>
        </w:sdt>
      </w:tr>
      <w:tr w:rsidR="002D0AE7" w14:paraId="050F09BB" w14:textId="77777777">
        <w:tc>
          <w:tcPr>
            <w:tcW w:w="2648" w:type="pct"/>
          </w:tcPr>
          <w:p w14:paraId="42DC37BA" w14:textId="77777777" w:rsidR="002D0AE7" w:rsidRDefault="00333EBB">
            <w:pPr>
              <w:rPr>
                <w:rFonts w:hint="eastAsia"/>
                <w:color w:val="000000" w:themeColor="text1"/>
                <w:sz w:val="21"/>
                <w:szCs w:val="21"/>
              </w:rPr>
            </w:pPr>
            <w:r>
              <w:rPr>
                <w:rFonts w:hint="eastAsia"/>
                <w:color w:val="000000" w:themeColor="text1"/>
                <w:sz w:val="21"/>
                <w:szCs w:val="21"/>
              </w:rPr>
              <w:t>权益法核算的长期股权投资收益</w:t>
            </w:r>
          </w:p>
        </w:tc>
        <w:tc>
          <w:tcPr>
            <w:tcW w:w="1250" w:type="pct"/>
            <w:vAlign w:val="center"/>
          </w:tcPr>
          <w:p w14:paraId="1552C12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1,036,948.11</w:t>
            </w:r>
          </w:p>
        </w:tc>
        <w:tc>
          <w:tcPr>
            <w:tcW w:w="1102" w:type="pct"/>
            <w:vAlign w:val="center"/>
          </w:tcPr>
          <w:p w14:paraId="22C89BD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-289,023.62</w:t>
            </w:r>
          </w:p>
        </w:tc>
      </w:tr>
      <w:tr w:rsidR="002D0AE7" w14:paraId="15D090C3" w14:textId="77777777">
        <w:tc>
          <w:tcPr>
            <w:tcW w:w="2648" w:type="pct"/>
          </w:tcPr>
          <w:p w14:paraId="2CF50C1F" w14:textId="77777777" w:rsidR="002D0AE7" w:rsidRDefault="00333EBB">
            <w:pPr>
              <w:rPr>
                <w:rFonts w:hint="eastAsia"/>
                <w:color w:val="000000" w:themeColor="text1"/>
                <w:sz w:val="21"/>
                <w:szCs w:val="21"/>
              </w:rPr>
            </w:pPr>
            <w:r>
              <w:rPr>
                <w:rFonts w:hint="eastAsia"/>
                <w:color w:val="000000" w:themeColor="text1"/>
                <w:sz w:val="21"/>
                <w:szCs w:val="21"/>
              </w:rPr>
              <w:t>处置长期股权投资产生的投资收益</w:t>
            </w:r>
          </w:p>
        </w:tc>
        <w:tc>
          <w:tcPr>
            <w:tcW w:w="1250" w:type="pct"/>
            <w:vAlign w:val="center"/>
          </w:tcPr>
          <w:p w14:paraId="4FDEDC2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3,692.58</w:t>
            </w:r>
          </w:p>
        </w:tc>
        <w:tc>
          <w:tcPr>
            <w:tcW w:w="1102" w:type="pct"/>
            <w:vAlign w:val="center"/>
          </w:tcPr>
          <w:p w14:paraId="33B0844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5242EFD1" w14:textId="77777777">
        <w:tc>
          <w:tcPr>
            <w:tcW w:w="2648" w:type="pct"/>
          </w:tcPr>
          <w:p w14:paraId="7D4E35F1" w14:textId="77777777" w:rsidR="002D0AE7" w:rsidRDefault="00333EBB">
            <w:pPr>
              <w:rPr>
                <w:rFonts w:hint="eastAsia"/>
                <w:color w:val="000000" w:themeColor="text1"/>
                <w:sz w:val="21"/>
                <w:szCs w:val="21"/>
              </w:rPr>
            </w:pPr>
            <w:r>
              <w:rPr>
                <w:rFonts w:hint="eastAsia"/>
                <w:color w:val="000000" w:themeColor="text1"/>
                <w:sz w:val="21"/>
                <w:szCs w:val="21"/>
              </w:rPr>
              <w:t>交易性金融资产在持有期间的投资收益</w:t>
            </w:r>
          </w:p>
        </w:tc>
        <w:tc>
          <w:tcPr>
            <w:tcW w:w="1250" w:type="pct"/>
          </w:tcPr>
          <w:p w14:paraId="3C786C17" w14:textId="77777777" w:rsidR="002D0AE7" w:rsidRDefault="002D0AE7">
            <w:pPr>
              <w:jc w:val="right"/>
              <w:rPr>
                <w:rFonts w:ascii="Times New Roman" w:hAnsi="Times New Roman" w:cs="Times New Roman"/>
                <w:sz w:val="21"/>
                <w:szCs w:val="21"/>
              </w:rPr>
            </w:pPr>
          </w:p>
        </w:tc>
        <w:tc>
          <w:tcPr>
            <w:tcW w:w="1102" w:type="pct"/>
          </w:tcPr>
          <w:p w14:paraId="72D78CD6" w14:textId="77777777" w:rsidR="002D0AE7" w:rsidRDefault="002D0AE7">
            <w:pPr>
              <w:jc w:val="right"/>
              <w:rPr>
                <w:rFonts w:ascii="Times New Roman" w:hAnsi="Times New Roman" w:cs="Times New Roman"/>
                <w:sz w:val="21"/>
                <w:szCs w:val="21"/>
              </w:rPr>
            </w:pPr>
          </w:p>
        </w:tc>
      </w:tr>
      <w:tr w:rsidR="002D0AE7" w14:paraId="43AFB73C" w14:textId="77777777">
        <w:tc>
          <w:tcPr>
            <w:tcW w:w="2648" w:type="pct"/>
          </w:tcPr>
          <w:p w14:paraId="6CF70B5A" w14:textId="77777777" w:rsidR="002D0AE7" w:rsidRDefault="00333EBB">
            <w:pPr>
              <w:rPr>
                <w:rFonts w:hint="eastAsia"/>
                <w:color w:val="000000" w:themeColor="text1"/>
                <w:sz w:val="21"/>
                <w:szCs w:val="21"/>
              </w:rPr>
            </w:pPr>
            <w:r>
              <w:rPr>
                <w:rFonts w:hint="eastAsia"/>
                <w:color w:val="000000" w:themeColor="text1"/>
                <w:sz w:val="21"/>
                <w:szCs w:val="21"/>
              </w:rPr>
              <w:t>其他权益工具投资在持有期间取得的股利收入</w:t>
            </w:r>
          </w:p>
        </w:tc>
        <w:tc>
          <w:tcPr>
            <w:tcW w:w="1250" w:type="pct"/>
          </w:tcPr>
          <w:p w14:paraId="5C7B6126" w14:textId="77777777" w:rsidR="002D0AE7" w:rsidRDefault="002D0AE7">
            <w:pPr>
              <w:jc w:val="right"/>
              <w:rPr>
                <w:rFonts w:ascii="Times New Roman" w:hAnsi="Times New Roman" w:cs="Times New Roman"/>
                <w:sz w:val="21"/>
                <w:szCs w:val="21"/>
              </w:rPr>
            </w:pPr>
          </w:p>
        </w:tc>
        <w:tc>
          <w:tcPr>
            <w:tcW w:w="1102" w:type="pct"/>
          </w:tcPr>
          <w:p w14:paraId="044AC68D" w14:textId="77777777" w:rsidR="002D0AE7" w:rsidRDefault="002D0AE7">
            <w:pPr>
              <w:jc w:val="right"/>
              <w:rPr>
                <w:rFonts w:ascii="Times New Roman" w:hAnsi="Times New Roman" w:cs="Times New Roman"/>
                <w:sz w:val="21"/>
                <w:szCs w:val="21"/>
              </w:rPr>
            </w:pPr>
          </w:p>
        </w:tc>
      </w:tr>
      <w:tr w:rsidR="002D0AE7" w14:paraId="1BE79061" w14:textId="77777777">
        <w:tc>
          <w:tcPr>
            <w:tcW w:w="2648" w:type="pct"/>
          </w:tcPr>
          <w:p w14:paraId="4715527C" w14:textId="77777777" w:rsidR="002D0AE7" w:rsidRDefault="00333EBB">
            <w:pPr>
              <w:rPr>
                <w:rFonts w:hint="eastAsia"/>
                <w:color w:val="000000" w:themeColor="text1"/>
                <w:sz w:val="21"/>
                <w:szCs w:val="21"/>
              </w:rPr>
            </w:pPr>
            <w:r>
              <w:rPr>
                <w:rFonts w:hint="eastAsia"/>
                <w:color w:val="000000" w:themeColor="text1"/>
                <w:sz w:val="21"/>
                <w:szCs w:val="21"/>
              </w:rPr>
              <w:t>债权投资在持有期间取得的利息收入</w:t>
            </w:r>
          </w:p>
        </w:tc>
        <w:tc>
          <w:tcPr>
            <w:tcW w:w="1250" w:type="pct"/>
          </w:tcPr>
          <w:p w14:paraId="180A4926" w14:textId="77777777" w:rsidR="002D0AE7" w:rsidRDefault="002D0AE7">
            <w:pPr>
              <w:jc w:val="right"/>
              <w:rPr>
                <w:rFonts w:ascii="Times New Roman" w:hAnsi="Times New Roman" w:cs="Times New Roman"/>
                <w:sz w:val="21"/>
                <w:szCs w:val="21"/>
              </w:rPr>
            </w:pPr>
          </w:p>
        </w:tc>
        <w:tc>
          <w:tcPr>
            <w:tcW w:w="1102" w:type="pct"/>
          </w:tcPr>
          <w:p w14:paraId="5DA4F212" w14:textId="77777777" w:rsidR="002D0AE7" w:rsidRDefault="002D0AE7">
            <w:pPr>
              <w:jc w:val="right"/>
              <w:rPr>
                <w:rFonts w:ascii="Times New Roman" w:hAnsi="Times New Roman" w:cs="Times New Roman"/>
                <w:sz w:val="21"/>
                <w:szCs w:val="21"/>
              </w:rPr>
            </w:pPr>
          </w:p>
        </w:tc>
      </w:tr>
      <w:tr w:rsidR="002D0AE7" w14:paraId="1990E7EF" w14:textId="77777777">
        <w:tc>
          <w:tcPr>
            <w:tcW w:w="2648" w:type="pct"/>
          </w:tcPr>
          <w:p w14:paraId="1D9AAC09" w14:textId="77777777" w:rsidR="002D0AE7" w:rsidRDefault="00333EBB">
            <w:pPr>
              <w:rPr>
                <w:rFonts w:hint="eastAsia"/>
                <w:color w:val="000000" w:themeColor="text1"/>
                <w:sz w:val="21"/>
                <w:szCs w:val="21"/>
              </w:rPr>
            </w:pPr>
            <w:r>
              <w:rPr>
                <w:rFonts w:hint="eastAsia"/>
                <w:color w:val="000000" w:themeColor="text1"/>
                <w:sz w:val="21"/>
                <w:szCs w:val="21"/>
              </w:rPr>
              <w:t>其他债权投资在持有期间取得的利息收入</w:t>
            </w:r>
          </w:p>
        </w:tc>
        <w:tc>
          <w:tcPr>
            <w:tcW w:w="1250" w:type="pct"/>
          </w:tcPr>
          <w:p w14:paraId="51C6A418" w14:textId="77777777" w:rsidR="002D0AE7" w:rsidRDefault="002D0AE7">
            <w:pPr>
              <w:jc w:val="right"/>
              <w:rPr>
                <w:rFonts w:ascii="Times New Roman" w:hAnsi="Times New Roman" w:cs="Times New Roman"/>
                <w:sz w:val="21"/>
                <w:szCs w:val="21"/>
              </w:rPr>
            </w:pPr>
          </w:p>
        </w:tc>
        <w:tc>
          <w:tcPr>
            <w:tcW w:w="1102" w:type="pct"/>
          </w:tcPr>
          <w:p w14:paraId="4C9209DB" w14:textId="77777777" w:rsidR="002D0AE7" w:rsidRDefault="002D0AE7">
            <w:pPr>
              <w:jc w:val="right"/>
              <w:rPr>
                <w:rFonts w:ascii="Times New Roman" w:hAnsi="Times New Roman" w:cs="Times New Roman"/>
                <w:sz w:val="21"/>
                <w:szCs w:val="21"/>
              </w:rPr>
            </w:pPr>
          </w:p>
        </w:tc>
      </w:tr>
      <w:tr w:rsidR="002D0AE7" w14:paraId="33228B47" w14:textId="77777777">
        <w:tc>
          <w:tcPr>
            <w:tcW w:w="2648" w:type="pct"/>
          </w:tcPr>
          <w:p w14:paraId="671E7957" w14:textId="77777777" w:rsidR="002D0AE7" w:rsidRDefault="00333EBB">
            <w:pPr>
              <w:rPr>
                <w:rFonts w:hint="eastAsia"/>
                <w:color w:val="000000" w:themeColor="text1"/>
                <w:sz w:val="21"/>
                <w:szCs w:val="21"/>
              </w:rPr>
            </w:pPr>
            <w:r>
              <w:rPr>
                <w:rFonts w:hint="eastAsia"/>
                <w:color w:val="000000" w:themeColor="text1"/>
                <w:sz w:val="21"/>
                <w:szCs w:val="21"/>
              </w:rPr>
              <w:t>处置交易性金融资产取得的投资收益</w:t>
            </w:r>
          </w:p>
        </w:tc>
        <w:tc>
          <w:tcPr>
            <w:tcW w:w="1250" w:type="pct"/>
            <w:vAlign w:val="center"/>
          </w:tcPr>
          <w:p w14:paraId="1721DD5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1102" w:type="pct"/>
            <w:vAlign w:val="center"/>
          </w:tcPr>
          <w:p w14:paraId="093436A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-298,200.00</w:t>
            </w:r>
          </w:p>
        </w:tc>
      </w:tr>
      <w:tr w:rsidR="002D0AE7" w14:paraId="797C956A" w14:textId="77777777">
        <w:tc>
          <w:tcPr>
            <w:tcW w:w="2648" w:type="pct"/>
          </w:tcPr>
          <w:p w14:paraId="4F45E302" w14:textId="77777777" w:rsidR="002D0AE7" w:rsidRDefault="00333EBB">
            <w:pPr>
              <w:rPr>
                <w:rFonts w:hint="eastAsia"/>
                <w:color w:val="000000" w:themeColor="text1"/>
                <w:sz w:val="21"/>
                <w:szCs w:val="21"/>
              </w:rPr>
            </w:pPr>
            <w:r>
              <w:rPr>
                <w:rFonts w:hint="eastAsia"/>
                <w:color w:val="000000" w:themeColor="text1"/>
                <w:sz w:val="21"/>
                <w:szCs w:val="21"/>
              </w:rPr>
              <w:t>处置其他权益工具投资取得的投资收益</w:t>
            </w:r>
          </w:p>
        </w:tc>
        <w:tc>
          <w:tcPr>
            <w:tcW w:w="1250" w:type="pct"/>
          </w:tcPr>
          <w:p w14:paraId="472290C1" w14:textId="77777777" w:rsidR="002D0AE7" w:rsidRDefault="002D0AE7">
            <w:pPr>
              <w:jc w:val="right"/>
              <w:rPr>
                <w:rFonts w:ascii="Times New Roman" w:hAnsi="Times New Roman" w:cs="Times New Roman"/>
                <w:sz w:val="21"/>
                <w:szCs w:val="21"/>
              </w:rPr>
            </w:pPr>
          </w:p>
        </w:tc>
        <w:tc>
          <w:tcPr>
            <w:tcW w:w="1102" w:type="pct"/>
          </w:tcPr>
          <w:p w14:paraId="14180B77" w14:textId="77777777" w:rsidR="002D0AE7" w:rsidRDefault="002D0AE7">
            <w:pPr>
              <w:jc w:val="right"/>
              <w:rPr>
                <w:rFonts w:ascii="Times New Roman" w:hAnsi="Times New Roman" w:cs="Times New Roman"/>
                <w:sz w:val="21"/>
                <w:szCs w:val="21"/>
              </w:rPr>
            </w:pPr>
          </w:p>
        </w:tc>
      </w:tr>
      <w:tr w:rsidR="002D0AE7" w14:paraId="5DF94AE2" w14:textId="77777777">
        <w:tc>
          <w:tcPr>
            <w:tcW w:w="2648" w:type="pct"/>
          </w:tcPr>
          <w:p w14:paraId="3B7D04C2" w14:textId="77777777" w:rsidR="002D0AE7" w:rsidRDefault="00333EBB">
            <w:pPr>
              <w:rPr>
                <w:rFonts w:hint="eastAsia"/>
                <w:color w:val="000000" w:themeColor="text1"/>
                <w:sz w:val="21"/>
                <w:szCs w:val="21"/>
              </w:rPr>
            </w:pPr>
            <w:r>
              <w:rPr>
                <w:rFonts w:hint="eastAsia"/>
                <w:color w:val="000000" w:themeColor="text1"/>
                <w:sz w:val="21"/>
                <w:szCs w:val="21"/>
              </w:rPr>
              <w:t>处置债权投资取得的投资收益</w:t>
            </w:r>
          </w:p>
        </w:tc>
        <w:tc>
          <w:tcPr>
            <w:tcW w:w="1250" w:type="pct"/>
          </w:tcPr>
          <w:p w14:paraId="462C6D0E" w14:textId="77777777" w:rsidR="002D0AE7" w:rsidRDefault="002D0AE7">
            <w:pPr>
              <w:jc w:val="right"/>
              <w:rPr>
                <w:rFonts w:ascii="Times New Roman" w:hAnsi="Times New Roman" w:cs="Times New Roman"/>
                <w:sz w:val="21"/>
                <w:szCs w:val="21"/>
              </w:rPr>
            </w:pPr>
          </w:p>
        </w:tc>
        <w:tc>
          <w:tcPr>
            <w:tcW w:w="1102" w:type="pct"/>
          </w:tcPr>
          <w:p w14:paraId="31607F1D" w14:textId="77777777" w:rsidR="002D0AE7" w:rsidRDefault="002D0AE7">
            <w:pPr>
              <w:jc w:val="right"/>
              <w:rPr>
                <w:rFonts w:ascii="Times New Roman" w:hAnsi="Times New Roman" w:cs="Times New Roman"/>
                <w:sz w:val="21"/>
                <w:szCs w:val="21"/>
              </w:rPr>
            </w:pPr>
          </w:p>
        </w:tc>
      </w:tr>
      <w:tr w:rsidR="002D0AE7" w14:paraId="6646DA69" w14:textId="77777777">
        <w:tc>
          <w:tcPr>
            <w:tcW w:w="2648" w:type="pct"/>
          </w:tcPr>
          <w:p w14:paraId="3FBAA7A7" w14:textId="77777777" w:rsidR="002D0AE7" w:rsidRDefault="00333EBB">
            <w:pPr>
              <w:rPr>
                <w:rFonts w:hint="eastAsia"/>
                <w:color w:val="000000" w:themeColor="text1"/>
                <w:sz w:val="21"/>
                <w:szCs w:val="21"/>
              </w:rPr>
            </w:pPr>
            <w:r>
              <w:rPr>
                <w:rFonts w:hint="eastAsia"/>
                <w:color w:val="000000" w:themeColor="text1"/>
                <w:sz w:val="21"/>
                <w:szCs w:val="21"/>
              </w:rPr>
              <w:t>处置其他债权投资取得的投资收益</w:t>
            </w:r>
          </w:p>
        </w:tc>
        <w:tc>
          <w:tcPr>
            <w:tcW w:w="1250" w:type="pct"/>
          </w:tcPr>
          <w:p w14:paraId="76BE8C8E" w14:textId="77777777" w:rsidR="002D0AE7" w:rsidRDefault="002D0AE7">
            <w:pPr>
              <w:jc w:val="right"/>
              <w:rPr>
                <w:rFonts w:ascii="Times New Roman" w:hAnsi="Times New Roman" w:cs="Times New Roman"/>
                <w:sz w:val="21"/>
                <w:szCs w:val="21"/>
              </w:rPr>
            </w:pPr>
          </w:p>
        </w:tc>
        <w:tc>
          <w:tcPr>
            <w:tcW w:w="1102" w:type="pct"/>
          </w:tcPr>
          <w:p w14:paraId="07230A17" w14:textId="77777777" w:rsidR="002D0AE7" w:rsidRDefault="002D0AE7">
            <w:pPr>
              <w:jc w:val="right"/>
              <w:rPr>
                <w:rFonts w:ascii="Times New Roman" w:hAnsi="Times New Roman" w:cs="Times New Roman"/>
                <w:sz w:val="21"/>
                <w:szCs w:val="21"/>
              </w:rPr>
            </w:pPr>
          </w:p>
        </w:tc>
      </w:tr>
      <w:tr w:rsidR="002D0AE7" w14:paraId="6374CA1A" w14:textId="77777777">
        <w:tc>
          <w:tcPr>
            <w:tcW w:w="2648" w:type="pct"/>
          </w:tcPr>
          <w:p w14:paraId="4735E7FA" w14:textId="77777777" w:rsidR="002D0AE7" w:rsidRDefault="00333EBB">
            <w:pPr>
              <w:rPr>
                <w:rFonts w:hint="eastAsia"/>
                <w:color w:val="000000" w:themeColor="text1"/>
                <w:sz w:val="21"/>
                <w:szCs w:val="21"/>
              </w:rPr>
            </w:pPr>
            <w:r>
              <w:rPr>
                <w:rFonts w:hint="eastAsia"/>
                <w:color w:val="000000" w:themeColor="text1"/>
                <w:sz w:val="21"/>
                <w:szCs w:val="21"/>
              </w:rPr>
              <w:t>债务重组收益</w:t>
            </w:r>
          </w:p>
        </w:tc>
        <w:tc>
          <w:tcPr>
            <w:tcW w:w="1250" w:type="pct"/>
          </w:tcPr>
          <w:p w14:paraId="7A1148FE" w14:textId="77777777" w:rsidR="002D0AE7" w:rsidRDefault="002D0AE7">
            <w:pPr>
              <w:jc w:val="right"/>
              <w:rPr>
                <w:rFonts w:ascii="Times New Roman" w:hAnsi="Times New Roman" w:cs="Times New Roman"/>
                <w:sz w:val="21"/>
                <w:szCs w:val="21"/>
              </w:rPr>
            </w:pPr>
          </w:p>
        </w:tc>
        <w:tc>
          <w:tcPr>
            <w:tcW w:w="1102" w:type="pct"/>
          </w:tcPr>
          <w:p w14:paraId="042A3D0D" w14:textId="77777777" w:rsidR="002D0AE7" w:rsidRDefault="002D0AE7">
            <w:pPr>
              <w:jc w:val="right"/>
              <w:rPr>
                <w:rFonts w:ascii="Times New Roman" w:hAnsi="Times New Roman" w:cs="Times New Roman"/>
                <w:sz w:val="21"/>
                <w:szCs w:val="21"/>
              </w:rPr>
            </w:pPr>
          </w:p>
        </w:tc>
      </w:tr>
      <w:tr w:rsidR="002D0AE7" w14:paraId="5735C73E" w14:textId="77777777">
        <w:tc>
          <w:tcPr>
            <w:tcW w:w="2648" w:type="pct"/>
            <w:vAlign w:val="center"/>
          </w:tcPr>
          <w:p w14:paraId="127A31FF"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1250" w:type="pct"/>
            <w:vAlign w:val="center"/>
          </w:tcPr>
          <w:p w14:paraId="74DCC25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1,040,640.69</w:t>
            </w:r>
          </w:p>
        </w:tc>
        <w:tc>
          <w:tcPr>
            <w:tcW w:w="1102" w:type="pct"/>
            <w:vAlign w:val="center"/>
          </w:tcPr>
          <w:p w14:paraId="5418D1C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-587,223.62</w:t>
            </w:r>
          </w:p>
        </w:tc>
      </w:tr>
    </w:tbl>
    <w:bookmarkEnd w:id="218"/>
    <w:p w14:paraId="45297595" w14:textId="77777777" w:rsidR="002D0AE7" w:rsidRDefault="00333EBB">
      <w:pPr>
        <w:spacing w:before="60" w:after="60" w:line="360" w:lineRule="exact"/>
        <w:rPr>
          <w:rFonts w:hint="eastAsia"/>
          <w:color w:val="000000" w:themeColor="text1"/>
        </w:rPr>
      </w:pPr>
      <w:r>
        <w:rPr>
          <w:rFonts w:hint="eastAsia"/>
          <w:color w:val="000000" w:themeColor="text1"/>
        </w:rPr>
        <w:t>其他说明：</w:t>
      </w:r>
      <w:sdt>
        <w:sdtPr>
          <w:rPr>
            <w:rFonts w:hint="eastAsia"/>
            <w:color w:val="000000" w:themeColor="text1"/>
          </w:rPr>
          <w:alias w:val="投资收益说明"/>
          <w:tag w:val="_GBC_911712f239a14e98b4c6c89180ceef27"/>
          <w:id w:val="-1532482201"/>
          <w:placeholder>
            <w:docPart w:val="GBC22222222222222222222222222222"/>
          </w:placeholder>
        </w:sdtPr>
        <w:sdtEndPr/>
        <w:sdtContent>
          <w:r>
            <w:rPr>
              <w:rFonts w:hint="eastAsia"/>
              <w:color w:val="000000" w:themeColor="text1"/>
            </w:rPr>
            <w:t>无</w:t>
          </w:r>
        </w:sdtContent>
      </w:sdt>
    </w:p>
    <w:p w14:paraId="6290A9B9" w14:textId="77777777" w:rsidR="002D0AE7" w:rsidRDefault="00333EBB">
      <w:pPr>
        <w:pStyle w:val="3"/>
        <w:numPr>
          <w:ilvl w:val="0"/>
          <w:numId w:val="43"/>
        </w:numPr>
        <w:tabs>
          <w:tab w:val="left" w:pos="504"/>
        </w:tabs>
        <w:rPr>
          <w:color w:val="000000" w:themeColor="text1"/>
        </w:rPr>
      </w:pPr>
      <w:bookmarkStart w:id="219" w:name="_Hlk167969990"/>
      <w:bookmarkEnd w:id="217"/>
      <w:r>
        <w:rPr>
          <w:rFonts w:hint="eastAsia"/>
          <w:color w:val="000000" w:themeColor="text1"/>
        </w:rPr>
        <w:t>信用减值损失</w:t>
      </w:r>
    </w:p>
    <w:sdt>
      <w:sdtPr>
        <w:rPr>
          <w:color w:val="000000" w:themeColor="text1"/>
        </w:rPr>
        <w:alias w:val="是否适用：信用减值损失[双击切换]"/>
        <w:tag w:val="_GBC_7f51453d7f2c4601a61d6f9899836b88"/>
        <w:id w:val="314995206"/>
        <w:placeholder>
          <w:docPart w:val="GBC22222222222222222222222222222"/>
        </w:placeholder>
      </w:sdtPr>
      <w:sdtEndPr/>
      <w:sdtContent>
        <w:p w14:paraId="62CBFAD1"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4662113F" w14:textId="77777777" w:rsidR="002D0AE7" w:rsidRDefault="00333EBB">
      <w:pPr>
        <w:pStyle w:val="11"/>
        <w:rPr>
          <w:rFonts w:hint="eastAsia"/>
        </w:rPr>
      </w:pPr>
      <w:r>
        <w:rPr>
          <w:rFonts w:hint="eastAsia"/>
        </w:rPr>
        <w:t>单位：</w:t>
      </w:r>
      <w:sdt>
        <w:sdtPr>
          <w:rPr>
            <w:rFonts w:hint="eastAsia"/>
          </w:rPr>
          <w:alias w:val="单位：信用减值损失"/>
          <w:tag w:val="_GBC_04574a815f0f459c8817f0fb84a3e2d6"/>
          <w:id w:val="-127801699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信用减值损失"/>
          <w:tag w:val="_GBC_5ba737d77bb34cc79c6966984148e6e6"/>
          <w:id w:val="49183916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2620"/>
        <w:gridCol w:w="2643"/>
      </w:tblGrid>
      <w:tr w:rsidR="002D0AE7" w14:paraId="394913A7" w14:textId="77777777">
        <w:sdt>
          <w:sdtPr>
            <w:rPr>
              <w:color w:val="000000" w:themeColor="text1"/>
              <w:sz w:val="21"/>
              <w:szCs w:val="21"/>
            </w:rPr>
            <w:tag w:val="_PLD_2cc5ebd0cdc447b691d0c5739979c390"/>
            <w:id w:val="-1831824426"/>
          </w:sdtPr>
          <w:sdtEndPr/>
          <w:sdtContent>
            <w:tc>
              <w:tcPr>
                <w:tcW w:w="2017" w:type="pct"/>
                <w:shd w:val="clear" w:color="auto" w:fill="auto"/>
                <w:vAlign w:val="center"/>
              </w:tcPr>
              <w:p w14:paraId="3B3C7840"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667ef9498e104cfdabeee4ef172c6ab3"/>
            <w:id w:val="-908081246"/>
          </w:sdtPr>
          <w:sdtEndPr/>
          <w:sdtContent>
            <w:tc>
              <w:tcPr>
                <w:tcW w:w="1485" w:type="pct"/>
                <w:shd w:val="clear" w:color="auto" w:fill="auto"/>
                <w:vAlign w:val="center"/>
              </w:tcPr>
              <w:p w14:paraId="19DE0B57" w14:textId="77777777" w:rsidR="002D0AE7" w:rsidRDefault="00333EBB">
                <w:pPr>
                  <w:jc w:val="center"/>
                  <w:rPr>
                    <w:rFonts w:hint="eastAsia"/>
                    <w:color w:val="000000" w:themeColor="text1"/>
                    <w:sz w:val="21"/>
                    <w:szCs w:val="21"/>
                  </w:rPr>
                </w:pPr>
                <w:r>
                  <w:rPr>
                    <w:rFonts w:hint="eastAsia"/>
                    <w:color w:val="000000" w:themeColor="text1"/>
                    <w:sz w:val="21"/>
                    <w:szCs w:val="21"/>
                  </w:rPr>
                  <w:t>本期发生额</w:t>
                </w:r>
              </w:p>
            </w:tc>
          </w:sdtContent>
        </w:sdt>
        <w:sdt>
          <w:sdtPr>
            <w:rPr>
              <w:color w:val="000000" w:themeColor="text1"/>
              <w:sz w:val="21"/>
              <w:szCs w:val="21"/>
            </w:rPr>
            <w:tag w:val="_PLD_8c64052cb7e64d9095f4b7e849e06d53"/>
            <w:id w:val="-421640977"/>
          </w:sdtPr>
          <w:sdtEndPr/>
          <w:sdtContent>
            <w:tc>
              <w:tcPr>
                <w:tcW w:w="1498" w:type="pct"/>
                <w:shd w:val="clear" w:color="auto" w:fill="auto"/>
                <w:vAlign w:val="center"/>
              </w:tcPr>
              <w:p w14:paraId="7665C525" w14:textId="77777777" w:rsidR="002D0AE7" w:rsidRDefault="00333EBB">
                <w:pPr>
                  <w:jc w:val="center"/>
                  <w:rPr>
                    <w:rFonts w:hint="eastAsia"/>
                    <w:color w:val="000000" w:themeColor="text1"/>
                    <w:sz w:val="21"/>
                    <w:szCs w:val="21"/>
                  </w:rPr>
                </w:pPr>
                <w:r>
                  <w:rPr>
                    <w:rFonts w:hint="eastAsia"/>
                    <w:color w:val="000000" w:themeColor="text1"/>
                    <w:sz w:val="21"/>
                    <w:szCs w:val="21"/>
                  </w:rPr>
                  <w:t>上期发生额</w:t>
                </w:r>
              </w:p>
            </w:tc>
          </w:sdtContent>
        </w:sdt>
      </w:tr>
      <w:tr w:rsidR="002D0AE7" w14:paraId="16927055" w14:textId="77777777">
        <w:tc>
          <w:tcPr>
            <w:tcW w:w="2017" w:type="pct"/>
            <w:shd w:val="clear" w:color="auto" w:fill="auto"/>
            <w:vAlign w:val="center"/>
          </w:tcPr>
          <w:p w14:paraId="4383C735" w14:textId="77777777" w:rsidR="002D0AE7" w:rsidRDefault="00333EBB">
            <w:pPr>
              <w:rPr>
                <w:rFonts w:hint="eastAsia"/>
                <w:color w:val="000000" w:themeColor="text1"/>
                <w:sz w:val="21"/>
                <w:szCs w:val="21"/>
              </w:rPr>
            </w:pPr>
            <w:r>
              <w:rPr>
                <w:rFonts w:hint="eastAsia"/>
                <w:color w:val="000000" w:themeColor="text1"/>
                <w:sz w:val="21"/>
                <w:szCs w:val="21"/>
              </w:rPr>
              <w:t>应收票据坏账损失</w:t>
            </w:r>
          </w:p>
        </w:tc>
        <w:tc>
          <w:tcPr>
            <w:tcW w:w="1485" w:type="pct"/>
            <w:shd w:val="clear" w:color="auto" w:fill="auto"/>
          </w:tcPr>
          <w:p w14:paraId="317E186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1498" w:type="pct"/>
            <w:shd w:val="clear" w:color="auto" w:fill="auto"/>
          </w:tcPr>
          <w:p w14:paraId="4D7B846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678.00</w:t>
            </w:r>
          </w:p>
        </w:tc>
      </w:tr>
      <w:tr w:rsidR="002D0AE7" w14:paraId="7511F560" w14:textId="77777777">
        <w:tc>
          <w:tcPr>
            <w:tcW w:w="2017" w:type="pct"/>
            <w:shd w:val="clear" w:color="auto" w:fill="auto"/>
            <w:vAlign w:val="center"/>
          </w:tcPr>
          <w:p w14:paraId="0AEC205C" w14:textId="77777777" w:rsidR="002D0AE7" w:rsidRDefault="00333EBB">
            <w:pPr>
              <w:rPr>
                <w:rFonts w:hint="eastAsia"/>
                <w:color w:val="000000" w:themeColor="text1"/>
                <w:sz w:val="21"/>
                <w:szCs w:val="21"/>
              </w:rPr>
            </w:pPr>
            <w:r>
              <w:rPr>
                <w:rFonts w:hint="eastAsia"/>
                <w:color w:val="000000" w:themeColor="text1"/>
                <w:sz w:val="21"/>
                <w:szCs w:val="21"/>
              </w:rPr>
              <w:lastRenderedPageBreak/>
              <w:t>应收账款坏账损失</w:t>
            </w:r>
          </w:p>
        </w:tc>
        <w:tc>
          <w:tcPr>
            <w:tcW w:w="1485" w:type="pct"/>
            <w:shd w:val="clear" w:color="auto" w:fill="auto"/>
            <w:vAlign w:val="center"/>
          </w:tcPr>
          <w:p w14:paraId="1FA214B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-73,134.17</w:t>
            </w:r>
          </w:p>
        </w:tc>
        <w:tc>
          <w:tcPr>
            <w:tcW w:w="1498" w:type="pct"/>
            <w:shd w:val="clear" w:color="auto" w:fill="auto"/>
            <w:vAlign w:val="center"/>
          </w:tcPr>
          <w:p w14:paraId="2802235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-199,291.89</w:t>
            </w:r>
          </w:p>
        </w:tc>
      </w:tr>
      <w:tr w:rsidR="002D0AE7" w14:paraId="4C1153E9" w14:textId="77777777">
        <w:tc>
          <w:tcPr>
            <w:tcW w:w="2017" w:type="pct"/>
            <w:shd w:val="clear" w:color="auto" w:fill="auto"/>
            <w:vAlign w:val="center"/>
          </w:tcPr>
          <w:p w14:paraId="4CFF55FE" w14:textId="77777777" w:rsidR="002D0AE7" w:rsidRDefault="00333EBB">
            <w:pPr>
              <w:rPr>
                <w:rFonts w:hint="eastAsia"/>
                <w:color w:val="000000" w:themeColor="text1"/>
                <w:sz w:val="21"/>
                <w:szCs w:val="21"/>
              </w:rPr>
            </w:pPr>
            <w:r>
              <w:rPr>
                <w:rFonts w:hint="eastAsia"/>
                <w:color w:val="000000" w:themeColor="text1"/>
                <w:sz w:val="21"/>
                <w:szCs w:val="21"/>
              </w:rPr>
              <w:t>其他应收款坏账损失</w:t>
            </w:r>
          </w:p>
        </w:tc>
        <w:tc>
          <w:tcPr>
            <w:tcW w:w="1485" w:type="pct"/>
            <w:shd w:val="clear" w:color="auto" w:fill="auto"/>
            <w:vAlign w:val="center"/>
          </w:tcPr>
          <w:p w14:paraId="7A92BD5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-20,158.01</w:t>
            </w:r>
          </w:p>
        </w:tc>
        <w:tc>
          <w:tcPr>
            <w:tcW w:w="1498" w:type="pct"/>
            <w:shd w:val="clear" w:color="auto" w:fill="auto"/>
            <w:vAlign w:val="center"/>
          </w:tcPr>
          <w:p w14:paraId="6A76010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-2,023.95</w:t>
            </w:r>
          </w:p>
        </w:tc>
      </w:tr>
      <w:tr w:rsidR="002D0AE7" w14:paraId="21990066" w14:textId="77777777">
        <w:tc>
          <w:tcPr>
            <w:tcW w:w="2017" w:type="pct"/>
            <w:shd w:val="clear" w:color="auto" w:fill="auto"/>
            <w:vAlign w:val="center"/>
          </w:tcPr>
          <w:p w14:paraId="4FCCF599" w14:textId="77777777" w:rsidR="002D0AE7" w:rsidRDefault="00333EBB">
            <w:pPr>
              <w:rPr>
                <w:rFonts w:hint="eastAsia"/>
                <w:color w:val="000000" w:themeColor="text1"/>
                <w:sz w:val="21"/>
                <w:szCs w:val="21"/>
              </w:rPr>
            </w:pPr>
            <w:r>
              <w:rPr>
                <w:rFonts w:hint="eastAsia"/>
                <w:color w:val="000000" w:themeColor="text1"/>
                <w:sz w:val="21"/>
                <w:szCs w:val="21"/>
              </w:rPr>
              <w:t>债权投资减值损失</w:t>
            </w:r>
          </w:p>
        </w:tc>
        <w:tc>
          <w:tcPr>
            <w:tcW w:w="1485" w:type="pct"/>
            <w:shd w:val="clear" w:color="auto" w:fill="auto"/>
          </w:tcPr>
          <w:p w14:paraId="04F6D443" w14:textId="77777777" w:rsidR="002D0AE7" w:rsidRDefault="002D0AE7">
            <w:pPr>
              <w:jc w:val="right"/>
              <w:rPr>
                <w:rFonts w:ascii="Times New Roman" w:hAnsi="Times New Roman" w:cs="Times New Roman"/>
                <w:sz w:val="21"/>
                <w:szCs w:val="21"/>
              </w:rPr>
            </w:pPr>
          </w:p>
        </w:tc>
        <w:tc>
          <w:tcPr>
            <w:tcW w:w="1498" w:type="pct"/>
            <w:shd w:val="clear" w:color="auto" w:fill="auto"/>
          </w:tcPr>
          <w:p w14:paraId="0C39D47A" w14:textId="77777777" w:rsidR="002D0AE7" w:rsidRDefault="002D0AE7">
            <w:pPr>
              <w:jc w:val="right"/>
              <w:rPr>
                <w:rFonts w:ascii="Times New Roman" w:hAnsi="Times New Roman" w:cs="Times New Roman"/>
                <w:sz w:val="21"/>
                <w:szCs w:val="21"/>
              </w:rPr>
            </w:pPr>
          </w:p>
        </w:tc>
      </w:tr>
      <w:tr w:rsidR="002D0AE7" w14:paraId="51AEF332" w14:textId="77777777">
        <w:tc>
          <w:tcPr>
            <w:tcW w:w="2017" w:type="pct"/>
            <w:shd w:val="clear" w:color="auto" w:fill="auto"/>
            <w:vAlign w:val="center"/>
          </w:tcPr>
          <w:p w14:paraId="05B105C0" w14:textId="77777777" w:rsidR="002D0AE7" w:rsidRDefault="00333EBB">
            <w:pPr>
              <w:rPr>
                <w:rFonts w:hint="eastAsia"/>
                <w:color w:val="000000" w:themeColor="text1"/>
                <w:sz w:val="21"/>
                <w:szCs w:val="21"/>
              </w:rPr>
            </w:pPr>
            <w:r>
              <w:rPr>
                <w:rFonts w:hint="eastAsia"/>
                <w:color w:val="000000" w:themeColor="text1"/>
                <w:sz w:val="21"/>
                <w:szCs w:val="21"/>
              </w:rPr>
              <w:t>其他债权投资减值损失</w:t>
            </w:r>
          </w:p>
        </w:tc>
        <w:tc>
          <w:tcPr>
            <w:tcW w:w="1485" w:type="pct"/>
            <w:shd w:val="clear" w:color="auto" w:fill="auto"/>
          </w:tcPr>
          <w:p w14:paraId="73364F2B" w14:textId="77777777" w:rsidR="002D0AE7" w:rsidRDefault="002D0AE7">
            <w:pPr>
              <w:jc w:val="right"/>
              <w:rPr>
                <w:rFonts w:ascii="Times New Roman" w:hAnsi="Times New Roman" w:cs="Times New Roman"/>
                <w:sz w:val="21"/>
                <w:szCs w:val="21"/>
              </w:rPr>
            </w:pPr>
          </w:p>
        </w:tc>
        <w:tc>
          <w:tcPr>
            <w:tcW w:w="1498" w:type="pct"/>
            <w:shd w:val="clear" w:color="auto" w:fill="auto"/>
          </w:tcPr>
          <w:p w14:paraId="05881C36" w14:textId="77777777" w:rsidR="002D0AE7" w:rsidRDefault="002D0AE7">
            <w:pPr>
              <w:jc w:val="right"/>
              <w:rPr>
                <w:rFonts w:ascii="Times New Roman" w:hAnsi="Times New Roman" w:cs="Times New Roman"/>
                <w:sz w:val="21"/>
                <w:szCs w:val="21"/>
              </w:rPr>
            </w:pPr>
          </w:p>
        </w:tc>
      </w:tr>
      <w:tr w:rsidR="002D0AE7" w14:paraId="0BEAF21B" w14:textId="77777777">
        <w:tc>
          <w:tcPr>
            <w:tcW w:w="2017" w:type="pct"/>
            <w:shd w:val="clear" w:color="auto" w:fill="auto"/>
            <w:vAlign w:val="center"/>
          </w:tcPr>
          <w:p w14:paraId="3FB4AC1E" w14:textId="77777777" w:rsidR="002D0AE7" w:rsidRDefault="00333EBB">
            <w:pPr>
              <w:rPr>
                <w:rFonts w:hint="eastAsia"/>
                <w:color w:val="000000" w:themeColor="text1"/>
                <w:sz w:val="21"/>
                <w:szCs w:val="21"/>
              </w:rPr>
            </w:pPr>
            <w:r>
              <w:rPr>
                <w:rFonts w:hint="eastAsia"/>
                <w:color w:val="000000" w:themeColor="text1"/>
                <w:sz w:val="21"/>
                <w:szCs w:val="21"/>
              </w:rPr>
              <w:t>长期应收款坏账损失</w:t>
            </w:r>
          </w:p>
        </w:tc>
        <w:tc>
          <w:tcPr>
            <w:tcW w:w="1485" w:type="pct"/>
            <w:shd w:val="clear" w:color="auto" w:fill="auto"/>
          </w:tcPr>
          <w:p w14:paraId="113BC468" w14:textId="77777777" w:rsidR="002D0AE7" w:rsidRDefault="002D0AE7">
            <w:pPr>
              <w:jc w:val="right"/>
              <w:rPr>
                <w:rFonts w:ascii="Times New Roman" w:hAnsi="Times New Roman" w:cs="Times New Roman"/>
                <w:sz w:val="21"/>
                <w:szCs w:val="21"/>
              </w:rPr>
            </w:pPr>
          </w:p>
        </w:tc>
        <w:tc>
          <w:tcPr>
            <w:tcW w:w="1498" w:type="pct"/>
            <w:shd w:val="clear" w:color="auto" w:fill="auto"/>
          </w:tcPr>
          <w:p w14:paraId="3CEA8487" w14:textId="77777777" w:rsidR="002D0AE7" w:rsidRDefault="002D0AE7">
            <w:pPr>
              <w:jc w:val="right"/>
              <w:rPr>
                <w:rFonts w:ascii="Times New Roman" w:hAnsi="Times New Roman" w:cs="Times New Roman"/>
                <w:sz w:val="21"/>
                <w:szCs w:val="21"/>
              </w:rPr>
            </w:pPr>
          </w:p>
        </w:tc>
      </w:tr>
      <w:tr w:rsidR="002D0AE7" w14:paraId="4A09BD08" w14:textId="77777777">
        <w:tc>
          <w:tcPr>
            <w:tcW w:w="2017" w:type="pct"/>
            <w:shd w:val="clear" w:color="auto" w:fill="auto"/>
            <w:vAlign w:val="center"/>
          </w:tcPr>
          <w:p w14:paraId="4F56BF16" w14:textId="77777777" w:rsidR="002D0AE7" w:rsidRDefault="00333EBB">
            <w:pPr>
              <w:rPr>
                <w:rFonts w:hint="eastAsia"/>
                <w:color w:val="000000" w:themeColor="text1"/>
                <w:sz w:val="21"/>
                <w:szCs w:val="21"/>
              </w:rPr>
            </w:pPr>
            <w:r>
              <w:rPr>
                <w:rFonts w:hint="eastAsia"/>
                <w:color w:val="000000" w:themeColor="text1"/>
                <w:sz w:val="21"/>
                <w:szCs w:val="21"/>
              </w:rPr>
              <w:t>财务担保相关减值损失</w:t>
            </w:r>
          </w:p>
        </w:tc>
        <w:tc>
          <w:tcPr>
            <w:tcW w:w="1485" w:type="pct"/>
            <w:shd w:val="clear" w:color="auto" w:fill="auto"/>
          </w:tcPr>
          <w:p w14:paraId="4DEDA18F" w14:textId="77777777" w:rsidR="002D0AE7" w:rsidRDefault="002D0AE7">
            <w:pPr>
              <w:jc w:val="right"/>
              <w:rPr>
                <w:rFonts w:ascii="Times New Roman" w:hAnsi="Times New Roman" w:cs="Times New Roman"/>
                <w:sz w:val="21"/>
                <w:szCs w:val="21"/>
              </w:rPr>
            </w:pPr>
          </w:p>
        </w:tc>
        <w:tc>
          <w:tcPr>
            <w:tcW w:w="1498" w:type="pct"/>
            <w:shd w:val="clear" w:color="auto" w:fill="auto"/>
          </w:tcPr>
          <w:p w14:paraId="305BBA60" w14:textId="77777777" w:rsidR="002D0AE7" w:rsidRDefault="002D0AE7">
            <w:pPr>
              <w:jc w:val="right"/>
              <w:rPr>
                <w:rFonts w:ascii="Times New Roman" w:hAnsi="Times New Roman" w:cs="Times New Roman"/>
                <w:sz w:val="21"/>
                <w:szCs w:val="21"/>
              </w:rPr>
            </w:pPr>
          </w:p>
        </w:tc>
      </w:tr>
      <w:tr w:rsidR="002D0AE7" w14:paraId="429E07E3" w14:textId="77777777">
        <w:tc>
          <w:tcPr>
            <w:tcW w:w="2017" w:type="pct"/>
            <w:shd w:val="clear" w:color="auto" w:fill="auto"/>
            <w:vAlign w:val="center"/>
          </w:tcPr>
          <w:p w14:paraId="72A5B2AC"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1485" w:type="pct"/>
            <w:shd w:val="clear" w:color="auto" w:fill="auto"/>
            <w:vAlign w:val="center"/>
          </w:tcPr>
          <w:p w14:paraId="59C4575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0"/>
              </w:rPr>
              <w:t>-93,292.18</w:t>
            </w:r>
          </w:p>
        </w:tc>
        <w:tc>
          <w:tcPr>
            <w:tcW w:w="1498" w:type="pct"/>
            <w:shd w:val="clear" w:color="auto" w:fill="auto"/>
            <w:vAlign w:val="center"/>
          </w:tcPr>
          <w:p w14:paraId="5C584D6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0"/>
              </w:rPr>
              <w:t>-200,637.84</w:t>
            </w:r>
          </w:p>
        </w:tc>
      </w:tr>
    </w:tbl>
    <w:p w14:paraId="43A17465" w14:textId="77777777" w:rsidR="002D0AE7" w:rsidRDefault="00333EBB">
      <w:pPr>
        <w:rPr>
          <w:rFonts w:hint="eastAsia"/>
          <w:color w:val="000000" w:themeColor="text1"/>
        </w:rPr>
      </w:pPr>
      <w:r>
        <w:rPr>
          <w:rFonts w:hint="eastAsia"/>
          <w:color w:val="000000" w:themeColor="text1"/>
        </w:rPr>
        <w:t>其他</w:t>
      </w:r>
      <w:r>
        <w:rPr>
          <w:color w:val="000000" w:themeColor="text1"/>
        </w:rPr>
        <w:t>说明</w:t>
      </w:r>
      <w:r>
        <w:rPr>
          <w:rFonts w:hint="eastAsia"/>
          <w:color w:val="000000" w:themeColor="text1"/>
        </w:rPr>
        <w:t>：</w:t>
      </w:r>
      <w:sdt>
        <w:sdtPr>
          <w:rPr>
            <w:color w:val="000000" w:themeColor="text1"/>
          </w:rPr>
          <w:alias w:val="信用减值损失其他说明"/>
          <w:tag w:val="_GBC_9228576c4e3741acb19023ad6b79421f"/>
          <w:id w:val="-681975190"/>
          <w:placeholder>
            <w:docPart w:val="GBC22222222222222222222222222222"/>
          </w:placeholder>
        </w:sdtPr>
        <w:sdtEndPr/>
        <w:sdtContent>
          <w:r>
            <w:rPr>
              <w:rFonts w:hint="eastAsia"/>
              <w:color w:val="000000" w:themeColor="text1"/>
            </w:rPr>
            <w:t>无</w:t>
          </w:r>
        </w:sdtContent>
      </w:sdt>
    </w:p>
    <w:p w14:paraId="23FB13DF" w14:textId="77777777" w:rsidR="002D0AE7" w:rsidRDefault="00333EBB">
      <w:pPr>
        <w:pStyle w:val="3"/>
        <w:numPr>
          <w:ilvl w:val="0"/>
          <w:numId w:val="43"/>
        </w:numPr>
        <w:tabs>
          <w:tab w:val="left" w:pos="504"/>
        </w:tabs>
        <w:rPr>
          <w:rFonts w:ascii="宋体" w:hAnsi="宋体" w:hint="eastAsia"/>
          <w:color w:val="000000" w:themeColor="text1"/>
          <w:szCs w:val="21"/>
        </w:rPr>
      </w:pPr>
      <w:bookmarkStart w:id="220" w:name="_Hlk167970079"/>
      <w:bookmarkEnd w:id="219"/>
      <w:r>
        <w:rPr>
          <w:rFonts w:ascii="宋体" w:hAnsi="宋体" w:hint="eastAsia"/>
          <w:color w:val="000000" w:themeColor="text1"/>
          <w:szCs w:val="21"/>
        </w:rPr>
        <w:t>资产减值</w:t>
      </w:r>
      <w:r>
        <w:rPr>
          <w:rFonts w:ascii="宋体" w:hAnsi="宋体" w:cs="宋体" w:hint="eastAsia"/>
          <w:color w:val="000000" w:themeColor="text1"/>
          <w:kern w:val="0"/>
          <w:szCs w:val="24"/>
        </w:rPr>
        <w:t>损失</w:t>
      </w:r>
    </w:p>
    <w:sdt>
      <w:sdtPr>
        <w:rPr>
          <w:color w:val="000000" w:themeColor="text1"/>
        </w:rPr>
        <w:alias w:val="是否适用：资产减值损失[双击切换]"/>
        <w:tag w:val="_GBC_d729834ad00147fc807d3aad7ca8698d"/>
        <w:id w:val="1640766037"/>
        <w:placeholder>
          <w:docPart w:val="GBC22222222222222222222222222222"/>
        </w:placeholder>
      </w:sdtPr>
      <w:sdtEndPr/>
      <w:sdtContent>
        <w:p w14:paraId="723608EE"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1E019823"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资产减值损失"/>
          <w:tag w:val="_GBC_5d74a968092c4c99a3fdb43c04a992ef"/>
          <w:id w:val="185676578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资产减值损失"/>
          <w:tag w:val="_GBC_9cac437936ec413c943d5e1475abfd21"/>
          <w:id w:val="-111358289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410"/>
        <w:gridCol w:w="2165"/>
      </w:tblGrid>
      <w:tr w:rsidR="002D0AE7" w14:paraId="3FBCDB6D" w14:textId="77777777">
        <w:sdt>
          <w:sdtPr>
            <w:rPr>
              <w:color w:val="000000" w:themeColor="text1"/>
              <w:sz w:val="21"/>
              <w:szCs w:val="21"/>
            </w:rPr>
            <w:tag w:val="_PLD_3f6f45e6360d44d4b7b42549a3560832"/>
            <w:id w:val="-1785730602"/>
          </w:sdtPr>
          <w:sdtEndPr/>
          <w:sdtContent>
            <w:tc>
              <w:tcPr>
                <w:tcW w:w="2407" w:type="pct"/>
                <w:tcBorders>
                  <w:top w:val="single" w:sz="4" w:space="0" w:color="auto"/>
                  <w:left w:val="single" w:sz="4" w:space="0" w:color="auto"/>
                  <w:bottom w:val="single" w:sz="4" w:space="0" w:color="auto"/>
                  <w:right w:val="single" w:sz="4" w:space="0" w:color="auto"/>
                </w:tcBorders>
                <w:vAlign w:val="center"/>
              </w:tcPr>
              <w:p w14:paraId="3E362BFD" w14:textId="77777777" w:rsidR="002D0AE7" w:rsidRDefault="00333EBB">
                <w:pPr>
                  <w:autoSpaceDE w:val="0"/>
                  <w:autoSpaceDN w:val="0"/>
                  <w:adjustRightInd w:val="0"/>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3f2aa2c829b6428e99a0c7c8da36e428"/>
            <w:id w:val="390694441"/>
          </w:sdtPr>
          <w:sdtEndPr/>
          <w:sdtContent>
            <w:tc>
              <w:tcPr>
                <w:tcW w:w="1366" w:type="pct"/>
                <w:tcBorders>
                  <w:top w:val="single" w:sz="4" w:space="0" w:color="auto"/>
                  <w:left w:val="single" w:sz="4" w:space="0" w:color="auto"/>
                  <w:bottom w:val="single" w:sz="4" w:space="0" w:color="auto"/>
                  <w:right w:val="single" w:sz="4" w:space="0" w:color="auto"/>
                </w:tcBorders>
                <w:vAlign w:val="center"/>
              </w:tcPr>
              <w:p w14:paraId="3F42685F" w14:textId="77777777" w:rsidR="002D0AE7" w:rsidRDefault="00333EBB">
                <w:pPr>
                  <w:autoSpaceDE w:val="0"/>
                  <w:autoSpaceDN w:val="0"/>
                  <w:adjustRightInd w:val="0"/>
                  <w:jc w:val="center"/>
                  <w:rPr>
                    <w:rFonts w:hint="eastAsia"/>
                    <w:color w:val="000000" w:themeColor="text1"/>
                    <w:sz w:val="21"/>
                    <w:szCs w:val="21"/>
                  </w:rPr>
                </w:pPr>
                <w:r>
                  <w:rPr>
                    <w:rFonts w:hint="eastAsia"/>
                    <w:color w:val="000000" w:themeColor="text1"/>
                    <w:sz w:val="21"/>
                    <w:szCs w:val="21"/>
                  </w:rPr>
                  <w:t>本期发生额</w:t>
                </w:r>
              </w:p>
            </w:tc>
          </w:sdtContent>
        </w:sdt>
        <w:sdt>
          <w:sdtPr>
            <w:rPr>
              <w:color w:val="000000" w:themeColor="text1"/>
              <w:sz w:val="21"/>
              <w:szCs w:val="21"/>
            </w:rPr>
            <w:tag w:val="_PLD_071b09715e3b43be922c6fbde3b45eb6"/>
            <w:id w:val="686639412"/>
          </w:sdtPr>
          <w:sdtEndPr/>
          <w:sdtContent>
            <w:tc>
              <w:tcPr>
                <w:tcW w:w="1227" w:type="pct"/>
                <w:tcBorders>
                  <w:top w:val="single" w:sz="4" w:space="0" w:color="auto"/>
                  <w:left w:val="single" w:sz="4" w:space="0" w:color="auto"/>
                  <w:bottom w:val="single" w:sz="4" w:space="0" w:color="auto"/>
                  <w:right w:val="single" w:sz="4" w:space="0" w:color="auto"/>
                </w:tcBorders>
                <w:vAlign w:val="center"/>
              </w:tcPr>
              <w:p w14:paraId="71AAC7B8" w14:textId="77777777" w:rsidR="002D0AE7" w:rsidRDefault="00333EBB">
                <w:pPr>
                  <w:autoSpaceDE w:val="0"/>
                  <w:autoSpaceDN w:val="0"/>
                  <w:adjustRightInd w:val="0"/>
                  <w:jc w:val="center"/>
                  <w:rPr>
                    <w:rFonts w:hint="eastAsia"/>
                    <w:color w:val="000000" w:themeColor="text1"/>
                    <w:sz w:val="21"/>
                    <w:szCs w:val="21"/>
                  </w:rPr>
                </w:pPr>
                <w:r>
                  <w:rPr>
                    <w:rFonts w:hint="eastAsia"/>
                    <w:color w:val="000000" w:themeColor="text1"/>
                    <w:sz w:val="21"/>
                    <w:szCs w:val="21"/>
                  </w:rPr>
                  <w:t>上期发生额</w:t>
                </w:r>
              </w:p>
            </w:tc>
          </w:sdtContent>
        </w:sdt>
      </w:tr>
      <w:tr w:rsidR="002D0AE7" w14:paraId="265EF895" w14:textId="77777777">
        <w:tc>
          <w:tcPr>
            <w:tcW w:w="2407" w:type="pct"/>
            <w:tcBorders>
              <w:top w:val="single" w:sz="4" w:space="0" w:color="auto"/>
              <w:left w:val="single" w:sz="4" w:space="0" w:color="auto"/>
              <w:bottom w:val="single" w:sz="4" w:space="0" w:color="auto"/>
              <w:right w:val="single" w:sz="4" w:space="0" w:color="auto"/>
            </w:tcBorders>
          </w:tcPr>
          <w:p w14:paraId="4B3AA88F" w14:textId="77777777" w:rsidR="002D0AE7" w:rsidRDefault="00333EBB">
            <w:pPr>
              <w:autoSpaceDE w:val="0"/>
              <w:autoSpaceDN w:val="0"/>
              <w:adjustRightInd w:val="0"/>
              <w:rPr>
                <w:rFonts w:hint="eastAsia"/>
                <w:color w:val="000000" w:themeColor="text1"/>
                <w:sz w:val="21"/>
                <w:szCs w:val="21"/>
              </w:rPr>
            </w:pPr>
            <w:r>
              <w:rPr>
                <w:rFonts w:hint="eastAsia"/>
                <w:color w:val="000000" w:themeColor="text1"/>
                <w:sz w:val="21"/>
                <w:szCs w:val="21"/>
              </w:rPr>
              <w:t>一、合同资产减值损失</w:t>
            </w:r>
          </w:p>
        </w:tc>
        <w:tc>
          <w:tcPr>
            <w:tcW w:w="1366" w:type="pct"/>
            <w:tcBorders>
              <w:top w:val="single" w:sz="4" w:space="0" w:color="auto"/>
              <w:left w:val="single" w:sz="4" w:space="0" w:color="auto"/>
              <w:bottom w:val="single" w:sz="4" w:space="0" w:color="auto"/>
              <w:right w:val="single" w:sz="4" w:space="0" w:color="auto"/>
            </w:tcBorders>
          </w:tcPr>
          <w:p w14:paraId="24614620" w14:textId="77777777" w:rsidR="002D0AE7" w:rsidRDefault="002D0AE7">
            <w:pPr>
              <w:jc w:val="right"/>
              <w:rPr>
                <w:rFonts w:ascii="Times New Roman" w:hAnsi="Times New Roman" w:cs="Times New Roman"/>
                <w:sz w:val="21"/>
                <w:szCs w:val="21"/>
              </w:rPr>
            </w:pPr>
          </w:p>
        </w:tc>
        <w:tc>
          <w:tcPr>
            <w:tcW w:w="1227" w:type="pct"/>
            <w:tcBorders>
              <w:top w:val="single" w:sz="4" w:space="0" w:color="auto"/>
              <w:left w:val="single" w:sz="4" w:space="0" w:color="auto"/>
              <w:bottom w:val="single" w:sz="4" w:space="0" w:color="auto"/>
              <w:right w:val="single" w:sz="4" w:space="0" w:color="auto"/>
            </w:tcBorders>
          </w:tcPr>
          <w:p w14:paraId="42CBFABD" w14:textId="77777777" w:rsidR="002D0AE7" w:rsidRDefault="002D0AE7">
            <w:pPr>
              <w:jc w:val="right"/>
              <w:rPr>
                <w:rFonts w:ascii="Times New Roman" w:hAnsi="Times New Roman" w:cs="Times New Roman"/>
                <w:sz w:val="21"/>
                <w:szCs w:val="21"/>
              </w:rPr>
            </w:pPr>
          </w:p>
        </w:tc>
      </w:tr>
      <w:tr w:rsidR="002D0AE7" w14:paraId="30A51F20" w14:textId="77777777">
        <w:tc>
          <w:tcPr>
            <w:tcW w:w="2407" w:type="pct"/>
            <w:tcBorders>
              <w:top w:val="single" w:sz="4" w:space="0" w:color="auto"/>
              <w:left w:val="single" w:sz="4" w:space="0" w:color="auto"/>
              <w:bottom w:val="single" w:sz="4" w:space="0" w:color="auto"/>
              <w:right w:val="single" w:sz="4" w:space="0" w:color="auto"/>
            </w:tcBorders>
          </w:tcPr>
          <w:p w14:paraId="24733064" w14:textId="77777777" w:rsidR="002D0AE7" w:rsidRDefault="00333EBB">
            <w:pPr>
              <w:autoSpaceDE w:val="0"/>
              <w:autoSpaceDN w:val="0"/>
              <w:adjustRightInd w:val="0"/>
              <w:rPr>
                <w:rFonts w:hint="eastAsia"/>
                <w:color w:val="000000" w:themeColor="text1"/>
                <w:sz w:val="21"/>
                <w:szCs w:val="21"/>
              </w:rPr>
            </w:pPr>
            <w:r>
              <w:rPr>
                <w:rFonts w:hint="eastAsia"/>
                <w:color w:val="000000" w:themeColor="text1"/>
                <w:sz w:val="21"/>
                <w:szCs w:val="21"/>
              </w:rPr>
              <w:t>二、存货跌价损失及合同履约成本减值损失</w:t>
            </w:r>
          </w:p>
        </w:tc>
        <w:tc>
          <w:tcPr>
            <w:tcW w:w="1366" w:type="pct"/>
            <w:tcBorders>
              <w:top w:val="single" w:sz="4" w:space="0" w:color="auto"/>
              <w:left w:val="single" w:sz="4" w:space="0" w:color="auto"/>
              <w:bottom w:val="single" w:sz="4" w:space="0" w:color="auto"/>
              <w:right w:val="single" w:sz="4" w:space="0" w:color="auto"/>
            </w:tcBorders>
            <w:vAlign w:val="center"/>
          </w:tcPr>
          <w:p w14:paraId="7214320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-35,150,669.67</w:t>
            </w:r>
          </w:p>
        </w:tc>
        <w:tc>
          <w:tcPr>
            <w:tcW w:w="1227" w:type="pct"/>
            <w:tcBorders>
              <w:top w:val="single" w:sz="4" w:space="0" w:color="auto"/>
              <w:left w:val="single" w:sz="4" w:space="0" w:color="auto"/>
              <w:bottom w:val="single" w:sz="4" w:space="0" w:color="auto"/>
              <w:right w:val="single" w:sz="4" w:space="0" w:color="auto"/>
            </w:tcBorders>
            <w:vAlign w:val="center"/>
          </w:tcPr>
          <w:p w14:paraId="0BCF741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-40,250,361.14</w:t>
            </w:r>
          </w:p>
        </w:tc>
      </w:tr>
      <w:tr w:rsidR="002D0AE7" w14:paraId="32FAC044" w14:textId="77777777">
        <w:tc>
          <w:tcPr>
            <w:tcW w:w="2407" w:type="pct"/>
            <w:tcBorders>
              <w:top w:val="single" w:sz="4" w:space="0" w:color="auto"/>
              <w:left w:val="single" w:sz="4" w:space="0" w:color="auto"/>
              <w:bottom w:val="single" w:sz="4" w:space="0" w:color="auto"/>
              <w:right w:val="single" w:sz="4" w:space="0" w:color="auto"/>
            </w:tcBorders>
          </w:tcPr>
          <w:p w14:paraId="49A7CBC4" w14:textId="77777777" w:rsidR="002D0AE7" w:rsidRDefault="00333EBB">
            <w:pPr>
              <w:autoSpaceDE w:val="0"/>
              <w:autoSpaceDN w:val="0"/>
              <w:adjustRightInd w:val="0"/>
              <w:rPr>
                <w:rFonts w:hint="eastAsia"/>
                <w:color w:val="000000" w:themeColor="text1"/>
                <w:sz w:val="21"/>
                <w:szCs w:val="21"/>
              </w:rPr>
            </w:pPr>
            <w:r>
              <w:rPr>
                <w:rFonts w:hint="eastAsia"/>
                <w:color w:val="000000" w:themeColor="text1"/>
                <w:sz w:val="21"/>
                <w:szCs w:val="21"/>
              </w:rPr>
              <w:t>三、长期股权投资减值损失</w:t>
            </w:r>
          </w:p>
        </w:tc>
        <w:tc>
          <w:tcPr>
            <w:tcW w:w="1366" w:type="pct"/>
            <w:tcBorders>
              <w:top w:val="single" w:sz="4" w:space="0" w:color="auto"/>
              <w:left w:val="single" w:sz="4" w:space="0" w:color="auto"/>
              <w:bottom w:val="single" w:sz="4" w:space="0" w:color="auto"/>
              <w:right w:val="single" w:sz="4" w:space="0" w:color="auto"/>
            </w:tcBorders>
          </w:tcPr>
          <w:p w14:paraId="4541006F" w14:textId="77777777" w:rsidR="002D0AE7" w:rsidRDefault="002D0AE7">
            <w:pPr>
              <w:autoSpaceDE w:val="0"/>
              <w:autoSpaceDN w:val="0"/>
              <w:adjustRightInd w:val="0"/>
              <w:jc w:val="right"/>
              <w:rPr>
                <w:rFonts w:ascii="Times New Roman" w:hAnsi="Times New Roman" w:cs="Times New Roman"/>
                <w:sz w:val="21"/>
                <w:szCs w:val="21"/>
              </w:rPr>
            </w:pPr>
          </w:p>
        </w:tc>
        <w:tc>
          <w:tcPr>
            <w:tcW w:w="1227" w:type="pct"/>
            <w:tcBorders>
              <w:top w:val="single" w:sz="4" w:space="0" w:color="auto"/>
              <w:left w:val="single" w:sz="4" w:space="0" w:color="auto"/>
              <w:bottom w:val="single" w:sz="4" w:space="0" w:color="auto"/>
              <w:right w:val="single" w:sz="4" w:space="0" w:color="auto"/>
            </w:tcBorders>
          </w:tcPr>
          <w:p w14:paraId="69BA812E" w14:textId="77777777" w:rsidR="002D0AE7" w:rsidRDefault="002D0AE7">
            <w:pPr>
              <w:autoSpaceDE w:val="0"/>
              <w:autoSpaceDN w:val="0"/>
              <w:adjustRightInd w:val="0"/>
              <w:jc w:val="right"/>
              <w:rPr>
                <w:rFonts w:ascii="Times New Roman" w:hAnsi="Times New Roman" w:cs="Times New Roman"/>
                <w:sz w:val="21"/>
                <w:szCs w:val="21"/>
              </w:rPr>
            </w:pPr>
          </w:p>
        </w:tc>
      </w:tr>
      <w:tr w:rsidR="002D0AE7" w14:paraId="337F429F" w14:textId="77777777">
        <w:tc>
          <w:tcPr>
            <w:tcW w:w="2407" w:type="pct"/>
            <w:tcBorders>
              <w:top w:val="single" w:sz="4" w:space="0" w:color="auto"/>
              <w:left w:val="single" w:sz="4" w:space="0" w:color="auto"/>
              <w:bottom w:val="single" w:sz="4" w:space="0" w:color="auto"/>
              <w:right w:val="single" w:sz="4" w:space="0" w:color="auto"/>
            </w:tcBorders>
          </w:tcPr>
          <w:p w14:paraId="58AEC286" w14:textId="77777777" w:rsidR="002D0AE7" w:rsidRDefault="00333EBB">
            <w:pPr>
              <w:autoSpaceDE w:val="0"/>
              <w:autoSpaceDN w:val="0"/>
              <w:adjustRightInd w:val="0"/>
              <w:rPr>
                <w:rFonts w:hint="eastAsia"/>
                <w:color w:val="000000" w:themeColor="text1"/>
                <w:sz w:val="21"/>
                <w:szCs w:val="21"/>
              </w:rPr>
            </w:pPr>
            <w:r>
              <w:rPr>
                <w:rFonts w:hint="eastAsia"/>
                <w:color w:val="000000" w:themeColor="text1"/>
                <w:sz w:val="21"/>
                <w:szCs w:val="21"/>
              </w:rPr>
              <w:t>四、投资性房地产减值损失</w:t>
            </w:r>
          </w:p>
        </w:tc>
        <w:tc>
          <w:tcPr>
            <w:tcW w:w="1366" w:type="pct"/>
            <w:tcBorders>
              <w:top w:val="single" w:sz="4" w:space="0" w:color="auto"/>
              <w:left w:val="single" w:sz="4" w:space="0" w:color="auto"/>
              <w:bottom w:val="single" w:sz="4" w:space="0" w:color="auto"/>
              <w:right w:val="single" w:sz="4" w:space="0" w:color="auto"/>
            </w:tcBorders>
          </w:tcPr>
          <w:p w14:paraId="43697602" w14:textId="77777777" w:rsidR="002D0AE7" w:rsidRDefault="002D0AE7">
            <w:pPr>
              <w:jc w:val="right"/>
              <w:rPr>
                <w:rFonts w:ascii="Times New Roman" w:hAnsi="Times New Roman" w:cs="Times New Roman"/>
                <w:sz w:val="21"/>
                <w:szCs w:val="21"/>
              </w:rPr>
            </w:pPr>
          </w:p>
        </w:tc>
        <w:tc>
          <w:tcPr>
            <w:tcW w:w="1227" w:type="pct"/>
            <w:tcBorders>
              <w:top w:val="single" w:sz="4" w:space="0" w:color="auto"/>
              <w:left w:val="single" w:sz="4" w:space="0" w:color="auto"/>
              <w:bottom w:val="single" w:sz="4" w:space="0" w:color="auto"/>
              <w:right w:val="single" w:sz="4" w:space="0" w:color="auto"/>
            </w:tcBorders>
          </w:tcPr>
          <w:p w14:paraId="3FE0F0B6" w14:textId="77777777" w:rsidR="002D0AE7" w:rsidRDefault="002D0AE7">
            <w:pPr>
              <w:jc w:val="right"/>
              <w:rPr>
                <w:rFonts w:ascii="Times New Roman" w:hAnsi="Times New Roman" w:cs="Times New Roman"/>
                <w:sz w:val="21"/>
                <w:szCs w:val="21"/>
              </w:rPr>
            </w:pPr>
          </w:p>
        </w:tc>
      </w:tr>
      <w:tr w:rsidR="002D0AE7" w14:paraId="39BA6909" w14:textId="77777777">
        <w:tc>
          <w:tcPr>
            <w:tcW w:w="2407" w:type="pct"/>
            <w:tcBorders>
              <w:top w:val="single" w:sz="4" w:space="0" w:color="auto"/>
              <w:left w:val="single" w:sz="4" w:space="0" w:color="auto"/>
              <w:bottom w:val="single" w:sz="4" w:space="0" w:color="auto"/>
              <w:right w:val="single" w:sz="4" w:space="0" w:color="auto"/>
            </w:tcBorders>
          </w:tcPr>
          <w:p w14:paraId="342B92B2" w14:textId="77777777" w:rsidR="002D0AE7" w:rsidRDefault="00333EBB">
            <w:pPr>
              <w:autoSpaceDE w:val="0"/>
              <w:autoSpaceDN w:val="0"/>
              <w:adjustRightInd w:val="0"/>
              <w:rPr>
                <w:rFonts w:hint="eastAsia"/>
                <w:color w:val="000000" w:themeColor="text1"/>
                <w:sz w:val="21"/>
                <w:szCs w:val="21"/>
              </w:rPr>
            </w:pPr>
            <w:r>
              <w:rPr>
                <w:rFonts w:hint="eastAsia"/>
                <w:color w:val="000000" w:themeColor="text1"/>
                <w:sz w:val="21"/>
                <w:szCs w:val="21"/>
              </w:rPr>
              <w:t>五、固定资产减值损失</w:t>
            </w:r>
          </w:p>
        </w:tc>
        <w:tc>
          <w:tcPr>
            <w:tcW w:w="1366" w:type="pct"/>
            <w:tcBorders>
              <w:top w:val="single" w:sz="4" w:space="0" w:color="auto"/>
              <w:left w:val="single" w:sz="4" w:space="0" w:color="auto"/>
              <w:bottom w:val="single" w:sz="4" w:space="0" w:color="auto"/>
              <w:right w:val="single" w:sz="4" w:space="0" w:color="auto"/>
            </w:tcBorders>
          </w:tcPr>
          <w:p w14:paraId="06A794B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-18,597,282.99</w:t>
            </w:r>
          </w:p>
        </w:tc>
        <w:tc>
          <w:tcPr>
            <w:tcW w:w="1227" w:type="pct"/>
            <w:tcBorders>
              <w:top w:val="single" w:sz="4" w:space="0" w:color="auto"/>
              <w:left w:val="single" w:sz="4" w:space="0" w:color="auto"/>
              <w:bottom w:val="single" w:sz="4" w:space="0" w:color="auto"/>
              <w:right w:val="single" w:sz="4" w:space="0" w:color="auto"/>
            </w:tcBorders>
          </w:tcPr>
          <w:p w14:paraId="66006F4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-6,572.49</w:t>
            </w:r>
          </w:p>
        </w:tc>
      </w:tr>
      <w:tr w:rsidR="002D0AE7" w14:paraId="4327FD7E" w14:textId="77777777">
        <w:tc>
          <w:tcPr>
            <w:tcW w:w="2407" w:type="pct"/>
            <w:tcBorders>
              <w:top w:val="single" w:sz="4" w:space="0" w:color="auto"/>
              <w:left w:val="single" w:sz="4" w:space="0" w:color="auto"/>
              <w:bottom w:val="single" w:sz="4" w:space="0" w:color="auto"/>
              <w:right w:val="single" w:sz="4" w:space="0" w:color="auto"/>
            </w:tcBorders>
          </w:tcPr>
          <w:p w14:paraId="3F5C617A" w14:textId="77777777" w:rsidR="002D0AE7" w:rsidRDefault="00333EBB">
            <w:pPr>
              <w:autoSpaceDE w:val="0"/>
              <w:autoSpaceDN w:val="0"/>
              <w:adjustRightInd w:val="0"/>
              <w:rPr>
                <w:rFonts w:hint="eastAsia"/>
                <w:color w:val="000000" w:themeColor="text1"/>
                <w:sz w:val="21"/>
                <w:szCs w:val="21"/>
              </w:rPr>
            </w:pPr>
            <w:r>
              <w:rPr>
                <w:rFonts w:hint="eastAsia"/>
                <w:color w:val="000000" w:themeColor="text1"/>
                <w:sz w:val="21"/>
                <w:szCs w:val="21"/>
              </w:rPr>
              <w:t>六、工程物资减值损失</w:t>
            </w:r>
          </w:p>
        </w:tc>
        <w:tc>
          <w:tcPr>
            <w:tcW w:w="1366" w:type="pct"/>
            <w:tcBorders>
              <w:top w:val="single" w:sz="4" w:space="0" w:color="auto"/>
              <w:left w:val="single" w:sz="4" w:space="0" w:color="auto"/>
              <w:bottom w:val="single" w:sz="4" w:space="0" w:color="auto"/>
              <w:right w:val="single" w:sz="4" w:space="0" w:color="auto"/>
            </w:tcBorders>
          </w:tcPr>
          <w:p w14:paraId="56144BAD" w14:textId="77777777" w:rsidR="002D0AE7" w:rsidRDefault="002D0AE7">
            <w:pPr>
              <w:jc w:val="right"/>
              <w:rPr>
                <w:rFonts w:ascii="Times New Roman" w:hAnsi="Times New Roman" w:cs="Times New Roman"/>
                <w:sz w:val="21"/>
                <w:szCs w:val="21"/>
              </w:rPr>
            </w:pPr>
          </w:p>
        </w:tc>
        <w:tc>
          <w:tcPr>
            <w:tcW w:w="1227" w:type="pct"/>
            <w:tcBorders>
              <w:top w:val="single" w:sz="4" w:space="0" w:color="auto"/>
              <w:left w:val="single" w:sz="4" w:space="0" w:color="auto"/>
              <w:bottom w:val="single" w:sz="4" w:space="0" w:color="auto"/>
              <w:right w:val="single" w:sz="4" w:space="0" w:color="auto"/>
            </w:tcBorders>
          </w:tcPr>
          <w:p w14:paraId="63A81B30" w14:textId="77777777" w:rsidR="002D0AE7" w:rsidRDefault="002D0AE7">
            <w:pPr>
              <w:jc w:val="right"/>
              <w:rPr>
                <w:rFonts w:ascii="Times New Roman" w:hAnsi="Times New Roman" w:cs="Times New Roman"/>
                <w:sz w:val="21"/>
                <w:szCs w:val="21"/>
              </w:rPr>
            </w:pPr>
          </w:p>
        </w:tc>
      </w:tr>
      <w:tr w:rsidR="002D0AE7" w14:paraId="3C5E5AF6" w14:textId="77777777">
        <w:tc>
          <w:tcPr>
            <w:tcW w:w="2407" w:type="pct"/>
            <w:tcBorders>
              <w:top w:val="single" w:sz="4" w:space="0" w:color="auto"/>
              <w:left w:val="single" w:sz="4" w:space="0" w:color="auto"/>
              <w:bottom w:val="single" w:sz="4" w:space="0" w:color="auto"/>
              <w:right w:val="single" w:sz="4" w:space="0" w:color="auto"/>
            </w:tcBorders>
          </w:tcPr>
          <w:p w14:paraId="7034AAAE" w14:textId="77777777" w:rsidR="002D0AE7" w:rsidRDefault="00333EBB">
            <w:pPr>
              <w:autoSpaceDE w:val="0"/>
              <w:autoSpaceDN w:val="0"/>
              <w:adjustRightInd w:val="0"/>
              <w:rPr>
                <w:rFonts w:hint="eastAsia"/>
                <w:color w:val="000000" w:themeColor="text1"/>
                <w:sz w:val="21"/>
                <w:szCs w:val="21"/>
              </w:rPr>
            </w:pPr>
            <w:r>
              <w:rPr>
                <w:rFonts w:hint="eastAsia"/>
                <w:color w:val="000000" w:themeColor="text1"/>
                <w:sz w:val="21"/>
                <w:szCs w:val="21"/>
              </w:rPr>
              <w:t>七、在建工程减值损失</w:t>
            </w:r>
          </w:p>
        </w:tc>
        <w:tc>
          <w:tcPr>
            <w:tcW w:w="1366" w:type="pct"/>
            <w:tcBorders>
              <w:top w:val="single" w:sz="4" w:space="0" w:color="auto"/>
              <w:left w:val="single" w:sz="4" w:space="0" w:color="auto"/>
              <w:bottom w:val="single" w:sz="4" w:space="0" w:color="auto"/>
              <w:right w:val="single" w:sz="4" w:space="0" w:color="auto"/>
            </w:tcBorders>
          </w:tcPr>
          <w:p w14:paraId="2F84C23C" w14:textId="77777777" w:rsidR="002D0AE7" w:rsidRDefault="002D0AE7">
            <w:pPr>
              <w:jc w:val="right"/>
              <w:rPr>
                <w:rFonts w:ascii="Times New Roman" w:hAnsi="Times New Roman" w:cs="Times New Roman"/>
                <w:sz w:val="21"/>
                <w:szCs w:val="21"/>
              </w:rPr>
            </w:pPr>
          </w:p>
        </w:tc>
        <w:tc>
          <w:tcPr>
            <w:tcW w:w="1227" w:type="pct"/>
            <w:tcBorders>
              <w:top w:val="single" w:sz="4" w:space="0" w:color="auto"/>
              <w:left w:val="single" w:sz="4" w:space="0" w:color="auto"/>
              <w:bottom w:val="single" w:sz="4" w:space="0" w:color="auto"/>
              <w:right w:val="single" w:sz="4" w:space="0" w:color="auto"/>
            </w:tcBorders>
          </w:tcPr>
          <w:p w14:paraId="131C365D" w14:textId="77777777" w:rsidR="002D0AE7" w:rsidRDefault="002D0AE7">
            <w:pPr>
              <w:jc w:val="right"/>
              <w:rPr>
                <w:rFonts w:ascii="Times New Roman" w:hAnsi="Times New Roman" w:cs="Times New Roman"/>
                <w:sz w:val="21"/>
                <w:szCs w:val="21"/>
              </w:rPr>
            </w:pPr>
          </w:p>
        </w:tc>
      </w:tr>
      <w:tr w:rsidR="002D0AE7" w14:paraId="48EA1AF6" w14:textId="77777777">
        <w:tc>
          <w:tcPr>
            <w:tcW w:w="2407" w:type="pct"/>
            <w:tcBorders>
              <w:top w:val="single" w:sz="4" w:space="0" w:color="auto"/>
              <w:left w:val="single" w:sz="4" w:space="0" w:color="auto"/>
              <w:bottom w:val="single" w:sz="4" w:space="0" w:color="auto"/>
              <w:right w:val="single" w:sz="4" w:space="0" w:color="auto"/>
            </w:tcBorders>
          </w:tcPr>
          <w:p w14:paraId="0AD46CA8" w14:textId="77777777" w:rsidR="002D0AE7" w:rsidRDefault="00333EBB">
            <w:pPr>
              <w:autoSpaceDE w:val="0"/>
              <w:autoSpaceDN w:val="0"/>
              <w:adjustRightInd w:val="0"/>
              <w:rPr>
                <w:rFonts w:hint="eastAsia"/>
                <w:color w:val="000000" w:themeColor="text1"/>
                <w:sz w:val="21"/>
                <w:szCs w:val="21"/>
              </w:rPr>
            </w:pPr>
            <w:r>
              <w:rPr>
                <w:rFonts w:hint="eastAsia"/>
                <w:color w:val="000000" w:themeColor="text1"/>
                <w:sz w:val="21"/>
                <w:szCs w:val="21"/>
              </w:rPr>
              <w:t>八、生产性生物资产减值损失</w:t>
            </w:r>
          </w:p>
        </w:tc>
        <w:tc>
          <w:tcPr>
            <w:tcW w:w="1366" w:type="pct"/>
            <w:tcBorders>
              <w:top w:val="single" w:sz="4" w:space="0" w:color="auto"/>
              <w:left w:val="single" w:sz="4" w:space="0" w:color="auto"/>
              <w:bottom w:val="single" w:sz="4" w:space="0" w:color="auto"/>
              <w:right w:val="single" w:sz="4" w:space="0" w:color="auto"/>
            </w:tcBorders>
          </w:tcPr>
          <w:p w14:paraId="125921FB" w14:textId="77777777" w:rsidR="002D0AE7" w:rsidRDefault="002D0AE7">
            <w:pPr>
              <w:jc w:val="right"/>
              <w:rPr>
                <w:rFonts w:ascii="Times New Roman" w:hAnsi="Times New Roman" w:cs="Times New Roman"/>
                <w:sz w:val="21"/>
                <w:szCs w:val="21"/>
              </w:rPr>
            </w:pPr>
          </w:p>
        </w:tc>
        <w:tc>
          <w:tcPr>
            <w:tcW w:w="1227" w:type="pct"/>
            <w:tcBorders>
              <w:top w:val="single" w:sz="4" w:space="0" w:color="auto"/>
              <w:left w:val="single" w:sz="4" w:space="0" w:color="auto"/>
              <w:bottom w:val="single" w:sz="4" w:space="0" w:color="auto"/>
              <w:right w:val="single" w:sz="4" w:space="0" w:color="auto"/>
            </w:tcBorders>
          </w:tcPr>
          <w:p w14:paraId="00794F76" w14:textId="77777777" w:rsidR="002D0AE7" w:rsidRDefault="002D0AE7">
            <w:pPr>
              <w:jc w:val="right"/>
              <w:rPr>
                <w:rFonts w:ascii="Times New Roman" w:hAnsi="Times New Roman" w:cs="Times New Roman"/>
                <w:sz w:val="21"/>
                <w:szCs w:val="21"/>
              </w:rPr>
            </w:pPr>
          </w:p>
        </w:tc>
      </w:tr>
      <w:tr w:rsidR="002D0AE7" w14:paraId="463A857D" w14:textId="77777777">
        <w:tc>
          <w:tcPr>
            <w:tcW w:w="2407" w:type="pct"/>
            <w:tcBorders>
              <w:top w:val="single" w:sz="4" w:space="0" w:color="auto"/>
              <w:left w:val="single" w:sz="4" w:space="0" w:color="auto"/>
              <w:bottom w:val="single" w:sz="4" w:space="0" w:color="auto"/>
              <w:right w:val="single" w:sz="4" w:space="0" w:color="auto"/>
            </w:tcBorders>
          </w:tcPr>
          <w:p w14:paraId="581938F1" w14:textId="77777777" w:rsidR="002D0AE7" w:rsidRDefault="00333EBB">
            <w:pPr>
              <w:autoSpaceDE w:val="0"/>
              <w:autoSpaceDN w:val="0"/>
              <w:adjustRightInd w:val="0"/>
              <w:rPr>
                <w:rFonts w:hint="eastAsia"/>
                <w:color w:val="000000" w:themeColor="text1"/>
                <w:sz w:val="21"/>
                <w:szCs w:val="21"/>
              </w:rPr>
            </w:pPr>
            <w:r>
              <w:rPr>
                <w:rFonts w:hint="eastAsia"/>
                <w:color w:val="000000" w:themeColor="text1"/>
                <w:sz w:val="21"/>
                <w:szCs w:val="21"/>
              </w:rPr>
              <w:t>九、油气资产减值损失</w:t>
            </w:r>
          </w:p>
        </w:tc>
        <w:tc>
          <w:tcPr>
            <w:tcW w:w="1366" w:type="pct"/>
            <w:tcBorders>
              <w:top w:val="single" w:sz="4" w:space="0" w:color="auto"/>
              <w:left w:val="single" w:sz="4" w:space="0" w:color="auto"/>
              <w:bottom w:val="single" w:sz="4" w:space="0" w:color="auto"/>
              <w:right w:val="single" w:sz="4" w:space="0" w:color="auto"/>
            </w:tcBorders>
          </w:tcPr>
          <w:p w14:paraId="5AAA583B" w14:textId="77777777" w:rsidR="002D0AE7" w:rsidRDefault="002D0AE7">
            <w:pPr>
              <w:jc w:val="right"/>
              <w:rPr>
                <w:rFonts w:ascii="Times New Roman" w:hAnsi="Times New Roman" w:cs="Times New Roman"/>
                <w:sz w:val="21"/>
                <w:szCs w:val="21"/>
              </w:rPr>
            </w:pPr>
          </w:p>
        </w:tc>
        <w:tc>
          <w:tcPr>
            <w:tcW w:w="1227" w:type="pct"/>
            <w:tcBorders>
              <w:top w:val="single" w:sz="4" w:space="0" w:color="auto"/>
              <w:left w:val="single" w:sz="4" w:space="0" w:color="auto"/>
              <w:bottom w:val="single" w:sz="4" w:space="0" w:color="auto"/>
              <w:right w:val="single" w:sz="4" w:space="0" w:color="auto"/>
            </w:tcBorders>
          </w:tcPr>
          <w:p w14:paraId="5407B1BD" w14:textId="77777777" w:rsidR="002D0AE7" w:rsidRDefault="002D0AE7">
            <w:pPr>
              <w:jc w:val="right"/>
              <w:rPr>
                <w:rFonts w:ascii="Times New Roman" w:hAnsi="Times New Roman" w:cs="Times New Roman"/>
                <w:sz w:val="21"/>
                <w:szCs w:val="21"/>
              </w:rPr>
            </w:pPr>
          </w:p>
        </w:tc>
      </w:tr>
      <w:tr w:rsidR="002D0AE7" w14:paraId="117A9B3E" w14:textId="77777777">
        <w:tc>
          <w:tcPr>
            <w:tcW w:w="2407" w:type="pct"/>
            <w:tcBorders>
              <w:top w:val="single" w:sz="4" w:space="0" w:color="auto"/>
              <w:left w:val="single" w:sz="4" w:space="0" w:color="auto"/>
              <w:bottom w:val="single" w:sz="4" w:space="0" w:color="auto"/>
              <w:right w:val="single" w:sz="4" w:space="0" w:color="auto"/>
            </w:tcBorders>
          </w:tcPr>
          <w:p w14:paraId="4E1FE07B" w14:textId="77777777" w:rsidR="002D0AE7" w:rsidRDefault="00333EBB">
            <w:pPr>
              <w:autoSpaceDE w:val="0"/>
              <w:autoSpaceDN w:val="0"/>
              <w:adjustRightInd w:val="0"/>
              <w:rPr>
                <w:rFonts w:hint="eastAsia"/>
                <w:color w:val="000000" w:themeColor="text1"/>
                <w:sz w:val="21"/>
                <w:szCs w:val="21"/>
              </w:rPr>
            </w:pPr>
            <w:r>
              <w:rPr>
                <w:rFonts w:hint="eastAsia"/>
                <w:color w:val="000000" w:themeColor="text1"/>
                <w:sz w:val="21"/>
                <w:szCs w:val="21"/>
              </w:rPr>
              <w:t>十、无形资产减值损失</w:t>
            </w:r>
          </w:p>
        </w:tc>
        <w:tc>
          <w:tcPr>
            <w:tcW w:w="1366" w:type="pct"/>
            <w:tcBorders>
              <w:top w:val="single" w:sz="4" w:space="0" w:color="auto"/>
              <w:left w:val="single" w:sz="4" w:space="0" w:color="auto"/>
              <w:bottom w:val="single" w:sz="4" w:space="0" w:color="auto"/>
              <w:right w:val="single" w:sz="4" w:space="0" w:color="auto"/>
            </w:tcBorders>
          </w:tcPr>
          <w:p w14:paraId="37F3A0E1" w14:textId="77777777" w:rsidR="002D0AE7" w:rsidRDefault="002D0AE7">
            <w:pPr>
              <w:jc w:val="right"/>
              <w:rPr>
                <w:rFonts w:ascii="Times New Roman" w:hAnsi="Times New Roman" w:cs="Times New Roman"/>
                <w:sz w:val="21"/>
                <w:szCs w:val="21"/>
              </w:rPr>
            </w:pPr>
          </w:p>
        </w:tc>
        <w:tc>
          <w:tcPr>
            <w:tcW w:w="1227" w:type="pct"/>
            <w:tcBorders>
              <w:top w:val="single" w:sz="4" w:space="0" w:color="auto"/>
              <w:left w:val="single" w:sz="4" w:space="0" w:color="auto"/>
              <w:bottom w:val="single" w:sz="4" w:space="0" w:color="auto"/>
              <w:right w:val="single" w:sz="4" w:space="0" w:color="auto"/>
            </w:tcBorders>
          </w:tcPr>
          <w:p w14:paraId="186FBB8C" w14:textId="77777777" w:rsidR="002D0AE7" w:rsidRDefault="002D0AE7">
            <w:pPr>
              <w:jc w:val="right"/>
              <w:rPr>
                <w:rFonts w:ascii="Times New Roman" w:hAnsi="Times New Roman" w:cs="Times New Roman"/>
                <w:sz w:val="21"/>
                <w:szCs w:val="21"/>
              </w:rPr>
            </w:pPr>
          </w:p>
        </w:tc>
      </w:tr>
      <w:tr w:rsidR="002D0AE7" w14:paraId="66E4CD93" w14:textId="77777777">
        <w:tc>
          <w:tcPr>
            <w:tcW w:w="2407" w:type="pct"/>
            <w:tcBorders>
              <w:top w:val="single" w:sz="4" w:space="0" w:color="auto"/>
              <w:left w:val="single" w:sz="4" w:space="0" w:color="auto"/>
              <w:bottom w:val="single" w:sz="4" w:space="0" w:color="auto"/>
              <w:right w:val="single" w:sz="4" w:space="0" w:color="auto"/>
            </w:tcBorders>
          </w:tcPr>
          <w:p w14:paraId="27A24189" w14:textId="77777777" w:rsidR="002D0AE7" w:rsidRDefault="00333EBB">
            <w:pPr>
              <w:autoSpaceDE w:val="0"/>
              <w:autoSpaceDN w:val="0"/>
              <w:adjustRightInd w:val="0"/>
              <w:rPr>
                <w:rFonts w:hint="eastAsia"/>
                <w:color w:val="000000" w:themeColor="text1"/>
                <w:sz w:val="21"/>
                <w:szCs w:val="21"/>
              </w:rPr>
            </w:pPr>
            <w:r>
              <w:rPr>
                <w:rFonts w:hint="eastAsia"/>
                <w:color w:val="000000" w:themeColor="text1"/>
                <w:sz w:val="21"/>
                <w:szCs w:val="21"/>
              </w:rPr>
              <w:t>十一、商誉减值损失</w:t>
            </w:r>
          </w:p>
        </w:tc>
        <w:tc>
          <w:tcPr>
            <w:tcW w:w="1366" w:type="pct"/>
            <w:tcBorders>
              <w:top w:val="single" w:sz="4" w:space="0" w:color="auto"/>
              <w:left w:val="single" w:sz="4" w:space="0" w:color="auto"/>
              <w:bottom w:val="single" w:sz="4" w:space="0" w:color="auto"/>
              <w:right w:val="single" w:sz="4" w:space="0" w:color="auto"/>
            </w:tcBorders>
          </w:tcPr>
          <w:p w14:paraId="16B8FE76" w14:textId="77777777" w:rsidR="002D0AE7" w:rsidRDefault="002D0AE7">
            <w:pPr>
              <w:jc w:val="right"/>
              <w:rPr>
                <w:rFonts w:ascii="Times New Roman" w:hAnsi="Times New Roman" w:cs="Times New Roman"/>
                <w:sz w:val="21"/>
                <w:szCs w:val="21"/>
              </w:rPr>
            </w:pPr>
          </w:p>
        </w:tc>
        <w:tc>
          <w:tcPr>
            <w:tcW w:w="1227" w:type="pct"/>
            <w:tcBorders>
              <w:top w:val="single" w:sz="4" w:space="0" w:color="auto"/>
              <w:left w:val="single" w:sz="4" w:space="0" w:color="auto"/>
              <w:bottom w:val="single" w:sz="4" w:space="0" w:color="auto"/>
              <w:right w:val="single" w:sz="4" w:space="0" w:color="auto"/>
            </w:tcBorders>
          </w:tcPr>
          <w:p w14:paraId="5206B89A" w14:textId="77777777" w:rsidR="002D0AE7" w:rsidRDefault="002D0AE7">
            <w:pPr>
              <w:jc w:val="right"/>
              <w:rPr>
                <w:rFonts w:ascii="Times New Roman" w:hAnsi="Times New Roman" w:cs="Times New Roman"/>
                <w:sz w:val="21"/>
                <w:szCs w:val="21"/>
              </w:rPr>
            </w:pPr>
          </w:p>
        </w:tc>
      </w:tr>
      <w:tr w:rsidR="002D0AE7" w14:paraId="53A8050A" w14:textId="77777777">
        <w:tc>
          <w:tcPr>
            <w:tcW w:w="2407" w:type="pct"/>
            <w:tcBorders>
              <w:top w:val="single" w:sz="4" w:space="0" w:color="auto"/>
              <w:left w:val="single" w:sz="4" w:space="0" w:color="auto"/>
              <w:bottom w:val="single" w:sz="4" w:space="0" w:color="auto"/>
              <w:right w:val="single" w:sz="4" w:space="0" w:color="auto"/>
            </w:tcBorders>
          </w:tcPr>
          <w:p w14:paraId="72AF743D" w14:textId="77777777" w:rsidR="002D0AE7" w:rsidRDefault="00333EBB">
            <w:pPr>
              <w:autoSpaceDE w:val="0"/>
              <w:autoSpaceDN w:val="0"/>
              <w:adjustRightInd w:val="0"/>
              <w:rPr>
                <w:rFonts w:hint="eastAsia"/>
                <w:color w:val="000000" w:themeColor="text1"/>
                <w:sz w:val="21"/>
                <w:szCs w:val="21"/>
              </w:rPr>
            </w:pPr>
            <w:r>
              <w:rPr>
                <w:rFonts w:hint="eastAsia"/>
                <w:color w:val="000000" w:themeColor="text1"/>
                <w:sz w:val="21"/>
                <w:szCs w:val="21"/>
              </w:rPr>
              <w:t>十二、其他</w:t>
            </w:r>
          </w:p>
        </w:tc>
        <w:tc>
          <w:tcPr>
            <w:tcW w:w="1366" w:type="pct"/>
            <w:tcBorders>
              <w:top w:val="single" w:sz="4" w:space="0" w:color="auto"/>
              <w:left w:val="single" w:sz="4" w:space="0" w:color="auto"/>
              <w:bottom w:val="single" w:sz="4" w:space="0" w:color="auto"/>
              <w:right w:val="single" w:sz="4" w:space="0" w:color="auto"/>
            </w:tcBorders>
          </w:tcPr>
          <w:p w14:paraId="500B4152" w14:textId="77777777" w:rsidR="002D0AE7" w:rsidRDefault="002D0AE7">
            <w:pPr>
              <w:jc w:val="right"/>
              <w:rPr>
                <w:rFonts w:ascii="Times New Roman" w:hAnsi="Times New Roman" w:cs="Times New Roman"/>
                <w:sz w:val="21"/>
                <w:szCs w:val="21"/>
              </w:rPr>
            </w:pPr>
          </w:p>
        </w:tc>
        <w:tc>
          <w:tcPr>
            <w:tcW w:w="1227" w:type="pct"/>
            <w:tcBorders>
              <w:top w:val="single" w:sz="4" w:space="0" w:color="auto"/>
              <w:left w:val="single" w:sz="4" w:space="0" w:color="auto"/>
              <w:bottom w:val="single" w:sz="4" w:space="0" w:color="auto"/>
              <w:right w:val="single" w:sz="4" w:space="0" w:color="auto"/>
            </w:tcBorders>
          </w:tcPr>
          <w:p w14:paraId="5AD5B5B0" w14:textId="77777777" w:rsidR="002D0AE7" w:rsidRDefault="002D0AE7">
            <w:pPr>
              <w:jc w:val="right"/>
              <w:rPr>
                <w:rFonts w:ascii="Times New Roman" w:hAnsi="Times New Roman" w:cs="Times New Roman"/>
                <w:sz w:val="21"/>
                <w:szCs w:val="21"/>
              </w:rPr>
            </w:pPr>
          </w:p>
        </w:tc>
      </w:tr>
      <w:tr w:rsidR="002D0AE7" w14:paraId="72D71D74" w14:textId="77777777">
        <w:tc>
          <w:tcPr>
            <w:tcW w:w="2407" w:type="pct"/>
            <w:tcBorders>
              <w:top w:val="single" w:sz="4" w:space="0" w:color="auto"/>
              <w:left w:val="single" w:sz="4" w:space="0" w:color="auto"/>
              <w:bottom w:val="single" w:sz="4" w:space="0" w:color="auto"/>
              <w:right w:val="single" w:sz="4" w:space="0" w:color="auto"/>
            </w:tcBorders>
          </w:tcPr>
          <w:p w14:paraId="6FD6443F" w14:textId="77777777" w:rsidR="002D0AE7" w:rsidRDefault="00333EBB">
            <w:pPr>
              <w:autoSpaceDE w:val="0"/>
              <w:autoSpaceDN w:val="0"/>
              <w:adjustRightInd w:val="0"/>
              <w:jc w:val="center"/>
              <w:rPr>
                <w:rFonts w:hint="eastAsia"/>
                <w:color w:val="000000" w:themeColor="text1"/>
                <w:sz w:val="21"/>
                <w:szCs w:val="21"/>
              </w:rPr>
            </w:pPr>
            <w:r>
              <w:rPr>
                <w:rFonts w:hint="eastAsia"/>
                <w:color w:val="000000" w:themeColor="text1"/>
                <w:sz w:val="21"/>
                <w:szCs w:val="21"/>
              </w:rPr>
              <w:t>合计</w:t>
            </w:r>
          </w:p>
        </w:tc>
        <w:tc>
          <w:tcPr>
            <w:tcW w:w="1366" w:type="pct"/>
            <w:tcBorders>
              <w:top w:val="single" w:sz="4" w:space="0" w:color="auto"/>
              <w:left w:val="single" w:sz="4" w:space="0" w:color="auto"/>
              <w:bottom w:val="single" w:sz="4" w:space="0" w:color="auto"/>
              <w:right w:val="single" w:sz="4" w:space="0" w:color="auto"/>
            </w:tcBorders>
          </w:tcPr>
          <w:p w14:paraId="0A05092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-53,747,952.66</w:t>
            </w:r>
          </w:p>
        </w:tc>
        <w:tc>
          <w:tcPr>
            <w:tcW w:w="1227" w:type="pct"/>
            <w:tcBorders>
              <w:top w:val="single" w:sz="4" w:space="0" w:color="auto"/>
              <w:left w:val="single" w:sz="4" w:space="0" w:color="auto"/>
              <w:bottom w:val="single" w:sz="4" w:space="0" w:color="auto"/>
              <w:right w:val="single" w:sz="4" w:space="0" w:color="auto"/>
            </w:tcBorders>
          </w:tcPr>
          <w:p w14:paraId="7E3C856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-40,256,933.63</w:t>
            </w:r>
          </w:p>
        </w:tc>
      </w:tr>
    </w:tbl>
    <w:p w14:paraId="4191E559" w14:textId="77777777" w:rsidR="002D0AE7" w:rsidRDefault="00333EBB">
      <w:pPr>
        <w:spacing w:before="60" w:after="60"/>
        <w:rPr>
          <w:rFonts w:hint="eastAsia"/>
          <w:color w:val="000000" w:themeColor="text1"/>
        </w:rPr>
      </w:pPr>
      <w:r>
        <w:rPr>
          <w:rFonts w:hint="eastAsia"/>
          <w:color w:val="000000" w:themeColor="text1"/>
        </w:rPr>
        <w:t>其他说明：</w:t>
      </w:r>
      <w:sdt>
        <w:sdtPr>
          <w:rPr>
            <w:color w:val="000000" w:themeColor="text1"/>
          </w:rPr>
          <w:alias w:val="资产减值损失的说明"/>
          <w:tag w:val="_GBC_72181df9e6ac4b4492c9dfa445964871"/>
          <w:id w:val="-1483991618"/>
          <w:placeholder>
            <w:docPart w:val="GBC22222222222222222222222222222"/>
          </w:placeholder>
        </w:sdtPr>
        <w:sdtEndPr/>
        <w:sdtContent>
          <w:r>
            <w:rPr>
              <w:rFonts w:hint="eastAsia"/>
              <w:color w:val="000000" w:themeColor="text1"/>
            </w:rPr>
            <w:t>无</w:t>
          </w:r>
        </w:sdtContent>
      </w:sdt>
    </w:p>
    <w:bookmarkEnd w:id="220"/>
    <w:p w14:paraId="15186B11"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szCs w:val="21"/>
        </w:rPr>
        <w:t>资产处置收益</w:t>
      </w:r>
    </w:p>
    <w:sdt>
      <w:sdtPr>
        <w:rPr>
          <w:rFonts w:hint="eastAsia"/>
          <w:color w:val="000000" w:themeColor="text1"/>
        </w:rPr>
        <w:alias w:val="是否适用：资产处置收益[双击切换]"/>
        <w:tag w:val="_GBC_9e584d6f46c648d195946caa434a4619"/>
        <w:id w:val="2036922453"/>
        <w:placeholder>
          <w:docPart w:val="GBC22222222222222222222222222222"/>
        </w:placeholder>
      </w:sdtPr>
      <w:sdtEndPr/>
      <w:sdtContent>
        <w:p w14:paraId="64D01595"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1DD8EDFE" w14:textId="77777777" w:rsidR="002D0AE7" w:rsidRDefault="00333EBB">
      <w:pPr>
        <w:jc w:val="right"/>
        <w:rPr>
          <w:rFonts w:hint="eastAsia"/>
          <w:bCs/>
          <w:color w:val="000000" w:themeColor="text1"/>
        </w:rPr>
      </w:pPr>
      <w:r>
        <w:rPr>
          <w:color w:val="000000" w:themeColor="text1"/>
        </w:rPr>
        <w:t>单位：</w:t>
      </w:r>
      <w:sdt>
        <w:sdtPr>
          <w:rPr>
            <w:bCs/>
            <w:color w:val="000000" w:themeColor="text1"/>
          </w:rPr>
          <w:alias w:val="单位：资产处置收益明细"/>
          <w:tag w:val="_GBC_72dc168499e249b988d6753a6df1ce44"/>
          <w:id w:val="1254157157"/>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bCs/>
              <w:color w:val="000000" w:themeColor="text1"/>
            </w:rPr>
            <w:t>元</w:t>
          </w:r>
        </w:sdtContent>
      </w:sdt>
      <w:r>
        <w:rPr>
          <w:color w:val="000000" w:themeColor="text1"/>
        </w:rPr>
        <w:t>币种：</w:t>
      </w:r>
      <w:sdt>
        <w:sdtPr>
          <w:rPr>
            <w:bCs/>
            <w:color w:val="000000" w:themeColor="text1"/>
          </w:rPr>
          <w:alias w:val="币种：资产处置收益明细"/>
          <w:tag w:val="_GBC_d68880ec5b074fdc8846b703ead631e2"/>
          <w:id w:val="-25074378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bCs/>
              <w:color w:val="000000" w:themeColor="text1"/>
            </w:rPr>
            <w:t>人民币</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2952"/>
        <w:gridCol w:w="2935"/>
      </w:tblGrid>
      <w:tr w:rsidR="002D0AE7" w14:paraId="0CB75A16" w14:textId="77777777">
        <w:tc>
          <w:tcPr>
            <w:tcW w:w="2936" w:type="dxa"/>
          </w:tcPr>
          <w:sdt>
            <w:sdtPr>
              <w:rPr>
                <w:rFonts w:ascii="Times New Roman" w:hAnsi="Times New Roman" w:hint="eastAsia"/>
                <w:color w:val="000000" w:themeColor="text1"/>
                <w:sz w:val="21"/>
              </w:rPr>
              <w:tag w:val="_PLD_5ae5d7d7d48342e7bc1da8d90a245459"/>
              <w:id w:val="872190385"/>
            </w:sdtPr>
            <w:sdtEndPr/>
            <w:sdtContent>
              <w:p w14:paraId="262EDC3A" w14:textId="77777777" w:rsidR="002D0AE7" w:rsidRDefault="00333EBB">
                <w:pPr>
                  <w:jc w:val="center"/>
                  <w:rPr>
                    <w:rFonts w:ascii="Times New Roman" w:hAnsi="Times New Roman"/>
                    <w:color w:val="000000" w:themeColor="text1"/>
                    <w:sz w:val="21"/>
                  </w:rPr>
                </w:pPr>
                <w:r>
                  <w:rPr>
                    <w:rFonts w:ascii="Times New Roman" w:hAnsi="Times New Roman" w:hint="eastAsia"/>
                    <w:color w:val="000000" w:themeColor="text1"/>
                    <w:sz w:val="21"/>
                  </w:rPr>
                  <w:t>项目</w:t>
                </w:r>
              </w:p>
            </w:sdtContent>
          </w:sdt>
        </w:tc>
        <w:tc>
          <w:tcPr>
            <w:tcW w:w="2952" w:type="dxa"/>
          </w:tcPr>
          <w:sdt>
            <w:sdtPr>
              <w:rPr>
                <w:rFonts w:ascii="Times New Roman" w:hAnsi="Times New Roman" w:hint="eastAsia"/>
                <w:color w:val="000000" w:themeColor="text1"/>
                <w:sz w:val="21"/>
              </w:rPr>
              <w:tag w:val="_PLD_879cf215b86c45c790218e646c831e7d"/>
              <w:id w:val="-1888790465"/>
            </w:sdtPr>
            <w:sdtEndPr/>
            <w:sdtContent>
              <w:p w14:paraId="6EC36453" w14:textId="77777777" w:rsidR="002D0AE7" w:rsidRDefault="00333EBB">
                <w:pPr>
                  <w:jc w:val="center"/>
                  <w:rPr>
                    <w:rFonts w:ascii="Times New Roman" w:hAnsi="Times New Roman"/>
                    <w:color w:val="000000" w:themeColor="text1"/>
                    <w:sz w:val="21"/>
                  </w:rPr>
                </w:pPr>
                <w:r>
                  <w:rPr>
                    <w:rFonts w:ascii="Times New Roman" w:hAnsi="Times New Roman" w:hint="eastAsia"/>
                    <w:color w:val="000000" w:themeColor="text1"/>
                    <w:sz w:val="21"/>
                  </w:rPr>
                  <w:t>本期发生额</w:t>
                </w:r>
              </w:p>
            </w:sdtContent>
          </w:sdt>
        </w:tc>
        <w:tc>
          <w:tcPr>
            <w:tcW w:w="2935" w:type="dxa"/>
          </w:tcPr>
          <w:sdt>
            <w:sdtPr>
              <w:rPr>
                <w:rFonts w:ascii="Times New Roman" w:hAnsi="Times New Roman" w:hint="eastAsia"/>
                <w:color w:val="000000" w:themeColor="text1"/>
                <w:sz w:val="21"/>
              </w:rPr>
              <w:tag w:val="_PLD_8860a002ccc44e14bf36aa3e10fb5d70"/>
              <w:id w:val="-1391186776"/>
            </w:sdtPr>
            <w:sdtEndPr/>
            <w:sdtContent>
              <w:p w14:paraId="58ECBA63" w14:textId="77777777" w:rsidR="002D0AE7" w:rsidRDefault="00333EBB">
                <w:pPr>
                  <w:jc w:val="center"/>
                  <w:rPr>
                    <w:rFonts w:ascii="Times New Roman" w:hAnsi="Times New Roman"/>
                    <w:color w:val="000000" w:themeColor="text1"/>
                    <w:sz w:val="21"/>
                  </w:rPr>
                </w:pPr>
                <w:r>
                  <w:rPr>
                    <w:rFonts w:ascii="Times New Roman" w:hAnsi="Times New Roman" w:hint="eastAsia"/>
                    <w:color w:val="000000" w:themeColor="text1"/>
                    <w:sz w:val="21"/>
                  </w:rPr>
                  <w:t>上期发生额</w:t>
                </w:r>
              </w:p>
            </w:sdtContent>
          </w:sdt>
        </w:tc>
      </w:tr>
      <w:tr w:rsidR="002D0AE7" w14:paraId="11BE5D4E" w14:textId="77777777">
        <w:tc>
          <w:tcPr>
            <w:tcW w:w="2936" w:type="dxa"/>
          </w:tcPr>
          <w:p w14:paraId="7107A39B" w14:textId="77777777" w:rsidR="002D0AE7" w:rsidRDefault="00333EBB">
            <w:pPr>
              <w:rPr>
                <w:rFonts w:ascii="Times New Roman" w:hAnsi="Times New Roman"/>
                <w:sz w:val="21"/>
              </w:rPr>
            </w:pPr>
            <w:r>
              <w:rPr>
                <w:rFonts w:ascii="Times New Roman" w:hAnsi="Times New Roman" w:hint="eastAsia"/>
                <w:sz w:val="21"/>
              </w:rPr>
              <w:t>处置固定资产利得</w:t>
            </w:r>
          </w:p>
        </w:tc>
        <w:tc>
          <w:tcPr>
            <w:tcW w:w="2952" w:type="dxa"/>
            <w:shd w:val="clear" w:color="auto" w:fill="auto"/>
            <w:vAlign w:val="center"/>
          </w:tcPr>
          <w:p w14:paraId="4D1C5231" w14:textId="77777777" w:rsidR="002D0AE7" w:rsidRDefault="00333EBB">
            <w:pPr>
              <w:jc w:val="right"/>
              <w:rPr>
                <w:rFonts w:ascii="Times New Roman" w:hAnsi="Times New Roman" w:cs="Times New Roman"/>
              </w:rPr>
            </w:pPr>
            <w:r>
              <w:rPr>
                <w:rFonts w:ascii="Times New Roman" w:hAnsi="Times New Roman" w:cs="Times New Roman"/>
                <w:color w:val="000000"/>
                <w:sz w:val="20"/>
                <w:szCs w:val="20"/>
              </w:rPr>
              <w:t>-194,484.96</w:t>
            </w:r>
          </w:p>
        </w:tc>
        <w:tc>
          <w:tcPr>
            <w:tcW w:w="2935" w:type="dxa"/>
            <w:shd w:val="clear" w:color="auto" w:fill="auto"/>
            <w:vAlign w:val="center"/>
          </w:tcPr>
          <w:p w14:paraId="5289F665" w14:textId="77777777" w:rsidR="002D0AE7" w:rsidRDefault="00333EBB">
            <w:pPr>
              <w:jc w:val="right"/>
              <w:rPr>
                <w:rFonts w:ascii="Times New Roman" w:hAnsi="Times New Roman" w:cs="Times New Roman"/>
              </w:rPr>
            </w:pPr>
            <w:r>
              <w:rPr>
                <w:rFonts w:ascii="Times New Roman" w:hAnsi="Times New Roman" w:cs="Times New Roman"/>
                <w:color w:val="000000"/>
                <w:sz w:val="20"/>
                <w:szCs w:val="20"/>
              </w:rPr>
              <w:t>0.00</w:t>
            </w:r>
          </w:p>
        </w:tc>
      </w:tr>
      <w:tr w:rsidR="002D0AE7" w14:paraId="7D681074" w14:textId="77777777">
        <w:tc>
          <w:tcPr>
            <w:tcW w:w="2936" w:type="dxa"/>
          </w:tcPr>
          <w:p w14:paraId="4F0E404B" w14:textId="77777777" w:rsidR="002D0AE7" w:rsidRDefault="00333EBB">
            <w:pPr>
              <w:jc w:val="center"/>
              <w:rPr>
                <w:rFonts w:ascii="Times New Roman" w:hAnsi="Times New Roman"/>
                <w:color w:val="000000" w:themeColor="text1"/>
                <w:sz w:val="21"/>
              </w:rPr>
            </w:pPr>
            <w:r>
              <w:rPr>
                <w:rFonts w:ascii="Times New Roman" w:hAnsi="Times New Roman" w:hint="eastAsia"/>
                <w:color w:val="000000" w:themeColor="text1"/>
                <w:sz w:val="21"/>
              </w:rPr>
              <w:t>合计</w:t>
            </w:r>
          </w:p>
        </w:tc>
        <w:tc>
          <w:tcPr>
            <w:tcW w:w="2952" w:type="dxa"/>
            <w:shd w:val="clear" w:color="auto" w:fill="auto"/>
            <w:vAlign w:val="center"/>
          </w:tcPr>
          <w:p w14:paraId="70C5579B" w14:textId="77777777" w:rsidR="002D0AE7" w:rsidRDefault="00333EBB">
            <w:pPr>
              <w:jc w:val="right"/>
              <w:rPr>
                <w:rFonts w:ascii="Times New Roman" w:hAnsi="Times New Roman" w:cs="Times New Roman"/>
              </w:rPr>
            </w:pPr>
            <w:r>
              <w:rPr>
                <w:rFonts w:ascii="Times New Roman" w:hAnsi="Times New Roman" w:cs="Times New Roman" w:hint="eastAsia"/>
                <w:bCs/>
                <w:color w:val="000000"/>
                <w:sz w:val="20"/>
                <w:szCs w:val="20"/>
              </w:rPr>
              <w:t>-194,484.96</w:t>
            </w:r>
          </w:p>
        </w:tc>
        <w:tc>
          <w:tcPr>
            <w:tcW w:w="2935" w:type="dxa"/>
            <w:shd w:val="clear" w:color="auto" w:fill="auto"/>
            <w:vAlign w:val="center"/>
          </w:tcPr>
          <w:p w14:paraId="5DBED7C2" w14:textId="77777777" w:rsidR="002D0AE7" w:rsidRDefault="00333EBB">
            <w:pPr>
              <w:jc w:val="right"/>
              <w:rPr>
                <w:rFonts w:ascii="Times New Roman" w:hAnsi="Times New Roman" w:cs="Times New Roman"/>
              </w:rPr>
            </w:pPr>
            <w:r>
              <w:rPr>
                <w:rFonts w:ascii="Times New Roman" w:hAnsi="Times New Roman" w:cs="Times New Roman"/>
                <w:bCs/>
                <w:color w:val="000000"/>
                <w:sz w:val="20"/>
                <w:szCs w:val="20"/>
              </w:rPr>
              <w:t>0.00</w:t>
            </w:r>
          </w:p>
        </w:tc>
      </w:tr>
    </w:tbl>
    <w:p w14:paraId="1C4C3053"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szCs w:val="21"/>
        </w:rPr>
        <w:t>营业外收入</w:t>
      </w:r>
    </w:p>
    <w:sdt>
      <w:sdtPr>
        <w:rPr>
          <w:rFonts w:cstheme="minorBidi" w:hint="eastAsia"/>
          <w:bCs/>
          <w:color w:val="000000" w:themeColor="text1"/>
          <w:szCs w:val="22"/>
        </w:rPr>
        <w:alias w:val="是否适用：营业外收入情况 [双击切换]"/>
        <w:tag w:val="_GBC_b6e9df1124844122abb2dde58392c605"/>
        <w:id w:val="-36358062"/>
        <w:lock w:val="contentLocked"/>
        <w:placeholder>
          <w:docPart w:val="GBC22222222222222222222222222222"/>
        </w:placeholder>
      </w:sdtPr>
      <w:sdtEndPr/>
      <w:sdtContent>
        <w:p w14:paraId="31E68F22" w14:textId="77777777" w:rsidR="002D0AE7" w:rsidRDefault="00333EBB">
          <w:pPr>
            <w:rPr>
              <w:rFonts w:cstheme="minorBidi" w:hint="eastAsia"/>
              <w:bCs/>
              <w:color w:val="000000" w:themeColor="text1"/>
              <w:szCs w:val="22"/>
            </w:rPr>
          </w:pPr>
          <w:r>
            <w:rPr>
              <w:rFonts w:cstheme="minorBidi"/>
              <w:bCs/>
              <w:color w:val="000000" w:themeColor="text1"/>
              <w:szCs w:val="22"/>
            </w:rPr>
            <w:fldChar w:fldCharType="begin"/>
          </w:r>
          <w:r>
            <w:rPr>
              <w:rFonts w:cstheme="minorBidi"/>
              <w:color w:val="000000" w:themeColor="text1"/>
              <w:szCs w:val="22"/>
            </w:rPr>
            <w:instrText xml:space="preserve"> </w:instrText>
          </w:r>
          <w:r>
            <w:rPr>
              <w:rFonts w:cstheme="minorBidi" w:hint="eastAsia"/>
              <w:color w:val="000000" w:themeColor="text1"/>
              <w:szCs w:val="22"/>
            </w:rPr>
            <w:instrText xml:space="preserve">MACROBUTTON  SnrToggleCheckbox </w:instrText>
          </w:r>
          <w:r>
            <w:rPr>
              <w:rFonts w:cstheme="minorBidi" w:hint="eastAsia"/>
              <w:color w:val="000000" w:themeColor="text1"/>
              <w:szCs w:val="22"/>
            </w:rPr>
            <w:instrText>√适用</w:instrText>
          </w:r>
          <w:r>
            <w:rPr>
              <w:rFonts w:cstheme="minorBidi"/>
              <w:color w:val="000000" w:themeColor="text1"/>
              <w:szCs w:val="22"/>
            </w:rPr>
            <w:instrText xml:space="preserve"> </w:instrText>
          </w:r>
          <w:r>
            <w:rPr>
              <w:rFonts w:cstheme="minorBidi"/>
              <w:bCs/>
              <w:color w:val="000000" w:themeColor="text1"/>
              <w:szCs w:val="22"/>
            </w:rPr>
            <w:fldChar w:fldCharType="end"/>
          </w:r>
          <w:r>
            <w:rPr>
              <w:rFonts w:cstheme="minorBidi"/>
              <w:bCs/>
              <w:color w:val="000000" w:themeColor="text1"/>
              <w:szCs w:val="22"/>
            </w:rPr>
            <w:fldChar w:fldCharType="begin"/>
          </w:r>
          <w:r>
            <w:rPr>
              <w:rFonts w:cstheme="minorBidi"/>
              <w:color w:val="000000" w:themeColor="text1"/>
              <w:szCs w:val="22"/>
            </w:rPr>
            <w:instrText xml:space="preserve"> MACROBUTTON  SnrToggleCheckbox □</w:instrText>
          </w:r>
          <w:r>
            <w:rPr>
              <w:rFonts w:cstheme="minorBidi"/>
              <w:color w:val="000000" w:themeColor="text1"/>
              <w:szCs w:val="22"/>
            </w:rPr>
            <w:instrText>不适用</w:instrText>
          </w:r>
          <w:r>
            <w:rPr>
              <w:rFonts w:cstheme="minorBidi"/>
              <w:color w:val="000000" w:themeColor="text1"/>
              <w:szCs w:val="22"/>
            </w:rPr>
            <w:instrText xml:space="preserve"> </w:instrText>
          </w:r>
          <w:r>
            <w:rPr>
              <w:rFonts w:cstheme="minorBidi"/>
              <w:bCs/>
              <w:color w:val="000000" w:themeColor="text1"/>
              <w:szCs w:val="22"/>
            </w:rPr>
            <w:fldChar w:fldCharType="end"/>
          </w:r>
        </w:p>
      </w:sdtContent>
    </w:sdt>
    <w:p w14:paraId="750DE0EB"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营业外收入"/>
          <w:tag w:val="_GBC_dd93a692e0c045038f9ddf46f86e7289"/>
          <w:id w:val="-2585224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营业外收入"/>
          <w:tag w:val="_GBC_598cac7504eb4ef39ddc19fb969bdd53"/>
          <w:id w:val="-99472738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126"/>
        <w:gridCol w:w="1983"/>
        <w:gridCol w:w="1883"/>
      </w:tblGrid>
      <w:tr w:rsidR="002D0AE7" w14:paraId="0C5E89FB" w14:textId="77777777">
        <w:sdt>
          <w:sdtPr>
            <w:rPr>
              <w:color w:val="000000" w:themeColor="text1"/>
              <w:sz w:val="21"/>
              <w:szCs w:val="21"/>
            </w:rPr>
            <w:tag w:val="_PLD_d649e0d07dd047a497e69591bf3e322c"/>
            <w:id w:val="1684246850"/>
          </w:sdtPr>
          <w:sdtEndPr/>
          <w:sdtContent>
            <w:tc>
              <w:tcPr>
                <w:tcW w:w="1604" w:type="pct"/>
                <w:tcBorders>
                  <w:top w:val="single" w:sz="4" w:space="0" w:color="auto"/>
                  <w:left w:val="single" w:sz="4" w:space="0" w:color="auto"/>
                  <w:bottom w:val="single" w:sz="4" w:space="0" w:color="auto"/>
                  <w:right w:val="single" w:sz="4" w:space="0" w:color="auto"/>
                </w:tcBorders>
                <w:vAlign w:val="center"/>
              </w:tcPr>
              <w:p w14:paraId="307A81D8" w14:textId="77777777" w:rsidR="002D0AE7" w:rsidRDefault="00333EBB">
                <w:pPr>
                  <w:autoSpaceDE w:val="0"/>
                  <w:autoSpaceDN w:val="0"/>
                  <w:adjustRightInd w:val="0"/>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eabf358cb2c947a9b4e7bacb394074db"/>
            <w:id w:val="-168493636"/>
          </w:sdtPr>
          <w:sdtEndPr/>
          <w:sdtContent>
            <w:tc>
              <w:tcPr>
                <w:tcW w:w="1205" w:type="pct"/>
                <w:tcBorders>
                  <w:top w:val="single" w:sz="4" w:space="0" w:color="auto"/>
                  <w:left w:val="single" w:sz="4" w:space="0" w:color="auto"/>
                  <w:bottom w:val="single" w:sz="4" w:space="0" w:color="auto"/>
                  <w:right w:val="single" w:sz="4" w:space="0" w:color="auto"/>
                </w:tcBorders>
                <w:vAlign w:val="center"/>
              </w:tcPr>
              <w:p w14:paraId="66D419A7" w14:textId="77777777" w:rsidR="002D0AE7" w:rsidRDefault="00333EBB">
                <w:pPr>
                  <w:autoSpaceDE w:val="0"/>
                  <w:autoSpaceDN w:val="0"/>
                  <w:adjustRightInd w:val="0"/>
                  <w:jc w:val="center"/>
                  <w:rPr>
                    <w:rFonts w:hint="eastAsia"/>
                    <w:color w:val="000000" w:themeColor="text1"/>
                    <w:sz w:val="21"/>
                    <w:szCs w:val="21"/>
                  </w:rPr>
                </w:pPr>
                <w:r>
                  <w:rPr>
                    <w:rFonts w:hint="eastAsia"/>
                    <w:color w:val="000000" w:themeColor="text1"/>
                    <w:sz w:val="21"/>
                    <w:szCs w:val="21"/>
                  </w:rPr>
                  <w:t>本期发生额</w:t>
                </w:r>
              </w:p>
            </w:tc>
          </w:sdtContent>
        </w:sdt>
        <w:sdt>
          <w:sdtPr>
            <w:rPr>
              <w:color w:val="000000" w:themeColor="text1"/>
              <w:sz w:val="21"/>
              <w:szCs w:val="21"/>
            </w:rPr>
            <w:tag w:val="_PLD_0469d808d7334ff0ab3460273b0c8f8f"/>
            <w:id w:val="-1837683895"/>
          </w:sdtPr>
          <w:sdtEndPr/>
          <w:sdtContent>
            <w:tc>
              <w:tcPr>
                <w:tcW w:w="1124" w:type="pct"/>
                <w:tcBorders>
                  <w:top w:val="single" w:sz="4" w:space="0" w:color="auto"/>
                  <w:left w:val="single" w:sz="4" w:space="0" w:color="auto"/>
                  <w:bottom w:val="single" w:sz="4" w:space="0" w:color="auto"/>
                  <w:right w:val="single" w:sz="4" w:space="0" w:color="auto"/>
                </w:tcBorders>
                <w:vAlign w:val="center"/>
              </w:tcPr>
              <w:p w14:paraId="71E901DE" w14:textId="77777777" w:rsidR="002D0AE7" w:rsidRDefault="00333EBB">
                <w:pPr>
                  <w:autoSpaceDE w:val="0"/>
                  <w:autoSpaceDN w:val="0"/>
                  <w:adjustRightInd w:val="0"/>
                  <w:jc w:val="center"/>
                  <w:rPr>
                    <w:rFonts w:hint="eastAsia"/>
                    <w:color w:val="000000" w:themeColor="text1"/>
                    <w:sz w:val="21"/>
                    <w:szCs w:val="21"/>
                  </w:rPr>
                </w:pPr>
                <w:r>
                  <w:rPr>
                    <w:rFonts w:hint="eastAsia"/>
                    <w:color w:val="000000" w:themeColor="text1"/>
                    <w:sz w:val="21"/>
                    <w:szCs w:val="21"/>
                  </w:rPr>
                  <w:t>上期发生额</w:t>
                </w:r>
              </w:p>
            </w:tc>
          </w:sdtContent>
        </w:sdt>
        <w:sdt>
          <w:sdtPr>
            <w:rPr>
              <w:color w:val="000000" w:themeColor="text1"/>
              <w:sz w:val="21"/>
              <w:szCs w:val="21"/>
            </w:rPr>
            <w:tag w:val="_PLD_121bda757dda46918753fabf9329298f"/>
            <w:id w:val="-847014694"/>
          </w:sdtPr>
          <w:sdtEndPr/>
          <w:sdtContent>
            <w:tc>
              <w:tcPr>
                <w:tcW w:w="1067" w:type="pct"/>
                <w:tcBorders>
                  <w:top w:val="single" w:sz="4" w:space="0" w:color="auto"/>
                  <w:left w:val="single" w:sz="4" w:space="0" w:color="auto"/>
                  <w:bottom w:val="single" w:sz="4" w:space="0" w:color="auto"/>
                  <w:right w:val="single" w:sz="4" w:space="0" w:color="auto"/>
                </w:tcBorders>
                <w:vAlign w:val="center"/>
              </w:tcPr>
              <w:p w14:paraId="12F99890" w14:textId="77777777" w:rsidR="002D0AE7" w:rsidRDefault="00333EBB">
                <w:pPr>
                  <w:autoSpaceDE w:val="0"/>
                  <w:autoSpaceDN w:val="0"/>
                  <w:adjustRightInd w:val="0"/>
                  <w:jc w:val="center"/>
                  <w:rPr>
                    <w:rFonts w:hint="eastAsia"/>
                    <w:color w:val="000000" w:themeColor="text1"/>
                    <w:sz w:val="21"/>
                    <w:szCs w:val="21"/>
                  </w:rPr>
                </w:pPr>
                <w:r>
                  <w:rPr>
                    <w:rFonts w:hint="eastAsia"/>
                    <w:color w:val="000000" w:themeColor="text1"/>
                    <w:sz w:val="21"/>
                    <w:szCs w:val="21"/>
                  </w:rPr>
                  <w:t>计入当期非经常性损益的金额</w:t>
                </w:r>
              </w:p>
            </w:tc>
          </w:sdtContent>
        </w:sdt>
      </w:tr>
      <w:tr w:rsidR="002D0AE7" w14:paraId="5250265D" w14:textId="77777777">
        <w:tc>
          <w:tcPr>
            <w:tcW w:w="1604" w:type="pct"/>
            <w:tcBorders>
              <w:top w:val="single" w:sz="4" w:space="0" w:color="auto"/>
              <w:left w:val="single" w:sz="4" w:space="0" w:color="auto"/>
              <w:bottom w:val="single" w:sz="4" w:space="0" w:color="auto"/>
              <w:right w:val="single" w:sz="4" w:space="0" w:color="auto"/>
            </w:tcBorders>
          </w:tcPr>
          <w:p w14:paraId="21E02878" w14:textId="77777777" w:rsidR="002D0AE7" w:rsidRDefault="00333EBB">
            <w:pPr>
              <w:autoSpaceDE w:val="0"/>
              <w:autoSpaceDN w:val="0"/>
              <w:adjustRightInd w:val="0"/>
              <w:rPr>
                <w:rFonts w:hint="eastAsia"/>
                <w:color w:val="000000" w:themeColor="text1"/>
                <w:sz w:val="21"/>
                <w:szCs w:val="21"/>
              </w:rPr>
            </w:pPr>
            <w:r>
              <w:rPr>
                <w:rFonts w:hint="eastAsia"/>
                <w:color w:val="000000" w:themeColor="text1"/>
                <w:sz w:val="21"/>
                <w:szCs w:val="21"/>
              </w:rPr>
              <w:t>非流动资产处置利得合计</w:t>
            </w:r>
          </w:p>
        </w:tc>
        <w:tc>
          <w:tcPr>
            <w:tcW w:w="1205" w:type="pct"/>
            <w:tcBorders>
              <w:top w:val="single" w:sz="4" w:space="0" w:color="auto"/>
              <w:left w:val="single" w:sz="4" w:space="0" w:color="auto"/>
              <w:bottom w:val="single" w:sz="4" w:space="0" w:color="auto"/>
              <w:right w:val="single" w:sz="4" w:space="0" w:color="auto"/>
            </w:tcBorders>
          </w:tcPr>
          <w:p w14:paraId="2F7D459B" w14:textId="77777777" w:rsidR="002D0AE7" w:rsidRDefault="002D0AE7">
            <w:pPr>
              <w:jc w:val="right"/>
              <w:rPr>
                <w:rFonts w:ascii="Times New Roman" w:hAnsi="Times New Roman" w:cs="Times New Roman"/>
                <w:sz w:val="21"/>
                <w:szCs w:val="21"/>
              </w:rPr>
            </w:pPr>
          </w:p>
        </w:tc>
        <w:tc>
          <w:tcPr>
            <w:tcW w:w="1124" w:type="pct"/>
            <w:tcBorders>
              <w:top w:val="single" w:sz="4" w:space="0" w:color="auto"/>
              <w:left w:val="single" w:sz="4" w:space="0" w:color="auto"/>
              <w:bottom w:val="single" w:sz="4" w:space="0" w:color="auto"/>
              <w:right w:val="single" w:sz="4" w:space="0" w:color="auto"/>
            </w:tcBorders>
          </w:tcPr>
          <w:p w14:paraId="73E4261E" w14:textId="77777777" w:rsidR="002D0AE7" w:rsidRDefault="002D0AE7">
            <w:pPr>
              <w:jc w:val="right"/>
              <w:rPr>
                <w:rFonts w:ascii="Times New Roman" w:hAnsi="Times New Roman" w:cs="Times New Roman"/>
                <w:sz w:val="21"/>
                <w:szCs w:val="21"/>
              </w:rPr>
            </w:pPr>
          </w:p>
        </w:tc>
        <w:tc>
          <w:tcPr>
            <w:tcW w:w="1067" w:type="pct"/>
            <w:tcBorders>
              <w:top w:val="single" w:sz="4" w:space="0" w:color="auto"/>
              <w:left w:val="single" w:sz="4" w:space="0" w:color="auto"/>
              <w:bottom w:val="single" w:sz="4" w:space="0" w:color="auto"/>
              <w:right w:val="single" w:sz="4" w:space="0" w:color="auto"/>
            </w:tcBorders>
          </w:tcPr>
          <w:p w14:paraId="129752CC" w14:textId="77777777" w:rsidR="002D0AE7" w:rsidRDefault="002D0AE7">
            <w:pPr>
              <w:autoSpaceDE w:val="0"/>
              <w:autoSpaceDN w:val="0"/>
              <w:adjustRightInd w:val="0"/>
              <w:jc w:val="right"/>
              <w:rPr>
                <w:rFonts w:ascii="Times New Roman" w:hAnsi="Times New Roman" w:cs="Times New Roman"/>
                <w:sz w:val="21"/>
                <w:szCs w:val="21"/>
              </w:rPr>
            </w:pPr>
          </w:p>
        </w:tc>
      </w:tr>
      <w:tr w:rsidR="002D0AE7" w14:paraId="044FFE6F" w14:textId="77777777">
        <w:tc>
          <w:tcPr>
            <w:tcW w:w="1604" w:type="pct"/>
            <w:tcBorders>
              <w:top w:val="single" w:sz="4" w:space="0" w:color="auto"/>
              <w:left w:val="single" w:sz="4" w:space="0" w:color="auto"/>
              <w:bottom w:val="single" w:sz="4" w:space="0" w:color="auto"/>
              <w:right w:val="single" w:sz="4" w:space="0" w:color="auto"/>
            </w:tcBorders>
          </w:tcPr>
          <w:p w14:paraId="67DC97D9" w14:textId="77777777" w:rsidR="002D0AE7" w:rsidRDefault="00333EBB">
            <w:pPr>
              <w:autoSpaceDE w:val="0"/>
              <w:autoSpaceDN w:val="0"/>
              <w:adjustRightInd w:val="0"/>
              <w:rPr>
                <w:rFonts w:hint="eastAsia"/>
                <w:color w:val="000000" w:themeColor="text1"/>
                <w:sz w:val="21"/>
                <w:szCs w:val="21"/>
              </w:rPr>
            </w:pPr>
            <w:r>
              <w:rPr>
                <w:rFonts w:hint="eastAsia"/>
                <w:color w:val="000000" w:themeColor="text1"/>
                <w:sz w:val="21"/>
                <w:szCs w:val="21"/>
              </w:rPr>
              <w:t>其中：固定资产处置利得</w:t>
            </w:r>
          </w:p>
        </w:tc>
        <w:tc>
          <w:tcPr>
            <w:tcW w:w="1205" w:type="pct"/>
            <w:tcBorders>
              <w:top w:val="single" w:sz="4" w:space="0" w:color="auto"/>
              <w:left w:val="single" w:sz="4" w:space="0" w:color="auto"/>
              <w:bottom w:val="single" w:sz="4" w:space="0" w:color="auto"/>
              <w:right w:val="single" w:sz="4" w:space="0" w:color="auto"/>
            </w:tcBorders>
          </w:tcPr>
          <w:p w14:paraId="14BA4669" w14:textId="77777777" w:rsidR="002D0AE7" w:rsidRDefault="002D0AE7">
            <w:pPr>
              <w:jc w:val="right"/>
              <w:rPr>
                <w:rFonts w:ascii="Times New Roman" w:hAnsi="Times New Roman" w:cs="Times New Roman"/>
                <w:sz w:val="21"/>
                <w:szCs w:val="21"/>
              </w:rPr>
            </w:pPr>
          </w:p>
        </w:tc>
        <w:tc>
          <w:tcPr>
            <w:tcW w:w="1124" w:type="pct"/>
            <w:tcBorders>
              <w:top w:val="single" w:sz="4" w:space="0" w:color="auto"/>
              <w:left w:val="single" w:sz="4" w:space="0" w:color="auto"/>
              <w:bottom w:val="single" w:sz="4" w:space="0" w:color="auto"/>
              <w:right w:val="single" w:sz="4" w:space="0" w:color="auto"/>
            </w:tcBorders>
          </w:tcPr>
          <w:p w14:paraId="492BF72C" w14:textId="77777777" w:rsidR="002D0AE7" w:rsidRDefault="002D0AE7">
            <w:pPr>
              <w:jc w:val="right"/>
              <w:rPr>
                <w:rFonts w:ascii="Times New Roman" w:hAnsi="Times New Roman" w:cs="Times New Roman"/>
                <w:sz w:val="21"/>
                <w:szCs w:val="21"/>
              </w:rPr>
            </w:pPr>
          </w:p>
        </w:tc>
        <w:tc>
          <w:tcPr>
            <w:tcW w:w="1067" w:type="pct"/>
            <w:tcBorders>
              <w:top w:val="single" w:sz="4" w:space="0" w:color="auto"/>
              <w:left w:val="single" w:sz="4" w:space="0" w:color="auto"/>
              <w:bottom w:val="single" w:sz="4" w:space="0" w:color="auto"/>
              <w:right w:val="single" w:sz="4" w:space="0" w:color="auto"/>
            </w:tcBorders>
          </w:tcPr>
          <w:p w14:paraId="36B62256" w14:textId="77777777" w:rsidR="002D0AE7" w:rsidRDefault="002D0AE7">
            <w:pPr>
              <w:autoSpaceDE w:val="0"/>
              <w:autoSpaceDN w:val="0"/>
              <w:adjustRightInd w:val="0"/>
              <w:jc w:val="right"/>
              <w:rPr>
                <w:rFonts w:ascii="Times New Roman" w:hAnsi="Times New Roman" w:cs="Times New Roman"/>
                <w:sz w:val="21"/>
                <w:szCs w:val="21"/>
              </w:rPr>
            </w:pPr>
          </w:p>
        </w:tc>
      </w:tr>
      <w:tr w:rsidR="002D0AE7" w14:paraId="264EC33B" w14:textId="77777777">
        <w:tc>
          <w:tcPr>
            <w:tcW w:w="1604" w:type="pct"/>
            <w:tcBorders>
              <w:top w:val="single" w:sz="4" w:space="0" w:color="auto"/>
              <w:left w:val="single" w:sz="4" w:space="0" w:color="auto"/>
              <w:bottom w:val="single" w:sz="4" w:space="0" w:color="auto"/>
              <w:right w:val="single" w:sz="4" w:space="0" w:color="auto"/>
            </w:tcBorders>
          </w:tcPr>
          <w:p w14:paraId="0BE09CDA" w14:textId="77777777" w:rsidR="002D0AE7" w:rsidRDefault="00333EBB">
            <w:pPr>
              <w:autoSpaceDE w:val="0"/>
              <w:autoSpaceDN w:val="0"/>
              <w:adjustRightInd w:val="0"/>
              <w:ind w:firstLineChars="300" w:firstLine="630"/>
              <w:rPr>
                <w:rFonts w:hint="eastAsia"/>
                <w:color w:val="000000" w:themeColor="text1"/>
                <w:sz w:val="21"/>
                <w:szCs w:val="21"/>
              </w:rPr>
            </w:pPr>
            <w:r>
              <w:rPr>
                <w:rFonts w:hint="eastAsia"/>
                <w:color w:val="000000" w:themeColor="text1"/>
                <w:sz w:val="21"/>
                <w:szCs w:val="21"/>
              </w:rPr>
              <w:t>无形资产处置利得</w:t>
            </w:r>
          </w:p>
        </w:tc>
        <w:tc>
          <w:tcPr>
            <w:tcW w:w="1205" w:type="pct"/>
            <w:tcBorders>
              <w:top w:val="single" w:sz="4" w:space="0" w:color="auto"/>
              <w:left w:val="single" w:sz="4" w:space="0" w:color="auto"/>
              <w:bottom w:val="single" w:sz="4" w:space="0" w:color="auto"/>
              <w:right w:val="single" w:sz="4" w:space="0" w:color="auto"/>
            </w:tcBorders>
          </w:tcPr>
          <w:p w14:paraId="42EE1756" w14:textId="77777777" w:rsidR="002D0AE7" w:rsidRDefault="002D0AE7">
            <w:pPr>
              <w:jc w:val="right"/>
              <w:rPr>
                <w:rFonts w:ascii="Times New Roman" w:hAnsi="Times New Roman" w:cs="Times New Roman"/>
                <w:sz w:val="21"/>
                <w:szCs w:val="21"/>
              </w:rPr>
            </w:pPr>
          </w:p>
        </w:tc>
        <w:tc>
          <w:tcPr>
            <w:tcW w:w="1124" w:type="pct"/>
            <w:tcBorders>
              <w:top w:val="single" w:sz="4" w:space="0" w:color="auto"/>
              <w:left w:val="single" w:sz="4" w:space="0" w:color="auto"/>
              <w:bottom w:val="single" w:sz="4" w:space="0" w:color="auto"/>
              <w:right w:val="single" w:sz="4" w:space="0" w:color="auto"/>
            </w:tcBorders>
          </w:tcPr>
          <w:p w14:paraId="4302044D" w14:textId="77777777" w:rsidR="002D0AE7" w:rsidRDefault="002D0AE7">
            <w:pPr>
              <w:jc w:val="right"/>
              <w:rPr>
                <w:rFonts w:ascii="Times New Roman" w:hAnsi="Times New Roman" w:cs="Times New Roman"/>
                <w:sz w:val="21"/>
                <w:szCs w:val="21"/>
              </w:rPr>
            </w:pPr>
          </w:p>
        </w:tc>
        <w:tc>
          <w:tcPr>
            <w:tcW w:w="1067" w:type="pct"/>
            <w:tcBorders>
              <w:top w:val="single" w:sz="4" w:space="0" w:color="auto"/>
              <w:left w:val="single" w:sz="4" w:space="0" w:color="auto"/>
              <w:bottom w:val="single" w:sz="4" w:space="0" w:color="auto"/>
              <w:right w:val="single" w:sz="4" w:space="0" w:color="auto"/>
            </w:tcBorders>
          </w:tcPr>
          <w:p w14:paraId="3F6BD171" w14:textId="77777777" w:rsidR="002D0AE7" w:rsidRDefault="002D0AE7">
            <w:pPr>
              <w:autoSpaceDE w:val="0"/>
              <w:autoSpaceDN w:val="0"/>
              <w:adjustRightInd w:val="0"/>
              <w:jc w:val="right"/>
              <w:rPr>
                <w:rFonts w:ascii="Times New Roman" w:hAnsi="Times New Roman" w:cs="Times New Roman"/>
                <w:sz w:val="21"/>
                <w:szCs w:val="21"/>
              </w:rPr>
            </w:pPr>
          </w:p>
        </w:tc>
      </w:tr>
      <w:tr w:rsidR="002D0AE7" w14:paraId="7DE04E80" w14:textId="77777777">
        <w:tc>
          <w:tcPr>
            <w:tcW w:w="1604" w:type="pct"/>
            <w:tcBorders>
              <w:top w:val="single" w:sz="4" w:space="0" w:color="auto"/>
              <w:left w:val="single" w:sz="4" w:space="0" w:color="auto"/>
              <w:bottom w:val="single" w:sz="4" w:space="0" w:color="auto"/>
              <w:right w:val="single" w:sz="4" w:space="0" w:color="auto"/>
            </w:tcBorders>
          </w:tcPr>
          <w:p w14:paraId="36A4667B" w14:textId="77777777" w:rsidR="002D0AE7" w:rsidRDefault="00333EBB">
            <w:pPr>
              <w:autoSpaceDE w:val="0"/>
              <w:autoSpaceDN w:val="0"/>
              <w:adjustRightInd w:val="0"/>
              <w:rPr>
                <w:rFonts w:hint="eastAsia"/>
                <w:color w:val="000000" w:themeColor="text1"/>
                <w:sz w:val="21"/>
                <w:szCs w:val="21"/>
              </w:rPr>
            </w:pPr>
            <w:r>
              <w:rPr>
                <w:rFonts w:hint="eastAsia"/>
                <w:color w:val="000000" w:themeColor="text1"/>
                <w:sz w:val="21"/>
                <w:szCs w:val="21"/>
              </w:rPr>
              <w:t>债务重组利得</w:t>
            </w:r>
          </w:p>
        </w:tc>
        <w:tc>
          <w:tcPr>
            <w:tcW w:w="1205" w:type="pct"/>
            <w:tcBorders>
              <w:top w:val="single" w:sz="4" w:space="0" w:color="auto"/>
              <w:left w:val="single" w:sz="4" w:space="0" w:color="auto"/>
              <w:bottom w:val="single" w:sz="4" w:space="0" w:color="auto"/>
              <w:right w:val="single" w:sz="4" w:space="0" w:color="auto"/>
            </w:tcBorders>
          </w:tcPr>
          <w:p w14:paraId="5BFC516D" w14:textId="77777777" w:rsidR="002D0AE7" w:rsidRDefault="002D0AE7">
            <w:pPr>
              <w:jc w:val="right"/>
              <w:rPr>
                <w:rFonts w:ascii="Times New Roman" w:hAnsi="Times New Roman" w:cs="Times New Roman"/>
                <w:sz w:val="21"/>
                <w:szCs w:val="21"/>
              </w:rPr>
            </w:pPr>
          </w:p>
        </w:tc>
        <w:tc>
          <w:tcPr>
            <w:tcW w:w="1124" w:type="pct"/>
            <w:tcBorders>
              <w:top w:val="single" w:sz="4" w:space="0" w:color="auto"/>
              <w:left w:val="single" w:sz="4" w:space="0" w:color="auto"/>
              <w:bottom w:val="single" w:sz="4" w:space="0" w:color="auto"/>
              <w:right w:val="single" w:sz="4" w:space="0" w:color="auto"/>
            </w:tcBorders>
          </w:tcPr>
          <w:p w14:paraId="79CCAD24" w14:textId="77777777" w:rsidR="002D0AE7" w:rsidRDefault="002D0AE7">
            <w:pPr>
              <w:jc w:val="right"/>
              <w:rPr>
                <w:rFonts w:ascii="Times New Roman" w:hAnsi="Times New Roman" w:cs="Times New Roman"/>
                <w:sz w:val="21"/>
                <w:szCs w:val="21"/>
              </w:rPr>
            </w:pPr>
          </w:p>
        </w:tc>
        <w:tc>
          <w:tcPr>
            <w:tcW w:w="1067" w:type="pct"/>
            <w:tcBorders>
              <w:top w:val="single" w:sz="4" w:space="0" w:color="auto"/>
              <w:left w:val="single" w:sz="4" w:space="0" w:color="auto"/>
              <w:bottom w:val="single" w:sz="4" w:space="0" w:color="auto"/>
              <w:right w:val="single" w:sz="4" w:space="0" w:color="auto"/>
            </w:tcBorders>
          </w:tcPr>
          <w:p w14:paraId="3C1B4985" w14:textId="77777777" w:rsidR="002D0AE7" w:rsidRDefault="002D0AE7">
            <w:pPr>
              <w:autoSpaceDE w:val="0"/>
              <w:autoSpaceDN w:val="0"/>
              <w:adjustRightInd w:val="0"/>
              <w:jc w:val="right"/>
              <w:rPr>
                <w:rFonts w:ascii="Times New Roman" w:hAnsi="Times New Roman" w:cs="Times New Roman"/>
                <w:sz w:val="21"/>
                <w:szCs w:val="21"/>
              </w:rPr>
            </w:pPr>
          </w:p>
        </w:tc>
      </w:tr>
      <w:tr w:rsidR="002D0AE7" w14:paraId="4F0D775A" w14:textId="77777777">
        <w:tc>
          <w:tcPr>
            <w:tcW w:w="1604" w:type="pct"/>
            <w:tcBorders>
              <w:top w:val="single" w:sz="4" w:space="0" w:color="auto"/>
              <w:left w:val="single" w:sz="4" w:space="0" w:color="auto"/>
              <w:bottom w:val="single" w:sz="4" w:space="0" w:color="auto"/>
              <w:right w:val="single" w:sz="4" w:space="0" w:color="auto"/>
            </w:tcBorders>
          </w:tcPr>
          <w:p w14:paraId="213086E1" w14:textId="77777777" w:rsidR="002D0AE7" w:rsidRDefault="00333EBB">
            <w:pPr>
              <w:autoSpaceDE w:val="0"/>
              <w:autoSpaceDN w:val="0"/>
              <w:adjustRightInd w:val="0"/>
              <w:rPr>
                <w:rFonts w:hint="eastAsia"/>
                <w:color w:val="000000" w:themeColor="text1"/>
                <w:sz w:val="21"/>
                <w:szCs w:val="21"/>
              </w:rPr>
            </w:pPr>
            <w:r>
              <w:rPr>
                <w:rFonts w:hint="eastAsia"/>
                <w:color w:val="000000" w:themeColor="text1"/>
                <w:sz w:val="21"/>
                <w:szCs w:val="21"/>
              </w:rPr>
              <w:t>非货币性资产交换利得</w:t>
            </w:r>
          </w:p>
        </w:tc>
        <w:tc>
          <w:tcPr>
            <w:tcW w:w="1205" w:type="pct"/>
            <w:tcBorders>
              <w:top w:val="single" w:sz="4" w:space="0" w:color="auto"/>
              <w:left w:val="single" w:sz="4" w:space="0" w:color="auto"/>
              <w:bottom w:val="single" w:sz="4" w:space="0" w:color="auto"/>
              <w:right w:val="single" w:sz="4" w:space="0" w:color="auto"/>
            </w:tcBorders>
          </w:tcPr>
          <w:p w14:paraId="5DB31B4F" w14:textId="77777777" w:rsidR="002D0AE7" w:rsidRDefault="002D0AE7">
            <w:pPr>
              <w:jc w:val="right"/>
              <w:rPr>
                <w:rFonts w:ascii="Times New Roman" w:hAnsi="Times New Roman" w:cs="Times New Roman"/>
                <w:sz w:val="21"/>
                <w:szCs w:val="21"/>
              </w:rPr>
            </w:pPr>
          </w:p>
        </w:tc>
        <w:tc>
          <w:tcPr>
            <w:tcW w:w="1124" w:type="pct"/>
            <w:tcBorders>
              <w:top w:val="single" w:sz="4" w:space="0" w:color="auto"/>
              <w:left w:val="single" w:sz="4" w:space="0" w:color="auto"/>
              <w:bottom w:val="single" w:sz="4" w:space="0" w:color="auto"/>
              <w:right w:val="single" w:sz="4" w:space="0" w:color="auto"/>
            </w:tcBorders>
          </w:tcPr>
          <w:p w14:paraId="3B2BA108" w14:textId="77777777" w:rsidR="002D0AE7" w:rsidRDefault="002D0AE7">
            <w:pPr>
              <w:jc w:val="right"/>
              <w:rPr>
                <w:rFonts w:ascii="Times New Roman" w:hAnsi="Times New Roman" w:cs="Times New Roman"/>
                <w:sz w:val="21"/>
                <w:szCs w:val="21"/>
              </w:rPr>
            </w:pPr>
          </w:p>
        </w:tc>
        <w:tc>
          <w:tcPr>
            <w:tcW w:w="1067" w:type="pct"/>
            <w:tcBorders>
              <w:top w:val="single" w:sz="4" w:space="0" w:color="auto"/>
              <w:left w:val="single" w:sz="4" w:space="0" w:color="auto"/>
              <w:bottom w:val="single" w:sz="4" w:space="0" w:color="auto"/>
              <w:right w:val="single" w:sz="4" w:space="0" w:color="auto"/>
            </w:tcBorders>
          </w:tcPr>
          <w:p w14:paraId="13CD8900" w14:textId="77777777" w:rsidR="002D0AE7" w:rsidRDefault="002D0AE7">
            <w:pPr>
              <w:autoSpaceDE w:val="0"/>
              <w:autoSpaceDN w:val="0"/>
              <w:adjustRightInd w:val="0"/>
              <w:jc w:val="right"/>
              <w:rPr>
                <w:rFonts w:ascii="Times New Roman" w:hAnsi="Times New Roman" w:cs="Times New Roman"/>
                <w:sz w:val="21"/>
                <w:szCs w:val="21"/>
              </w:rPr>
            </w:pPr>
          </w:p>
        </w:tc>
      </w:tr>
      <w:tr w:rsidR="002D0AE7" w14:paraId="103C2A5B" w14:textId="77777777">
        <w:tc>
          <w:tcPr>
            <w:tcW w:w="1604" w:type="pct"/>
            <w:tcBorders>
              <w:top w:val="single" w:sz="4" w:space="0" w:color="auto"/>
              <w:left w:val="single" w:sz="4" w:space="0" w:color="auto"/>
              <w:bottom w:val="single" w:sz="4" w:space="0" w:color="auto"/>
              <w:right w:val="single" w:sz="4" w:space="0" w:color="auto"/>
            </w:tcBorders>
          </w:tcPr>
          <w:p w14:paraId="52A893EE" w14:textId="77777777" w:rsidR="002D0AE7" w:rsidRDefault="00333EBB">
            <w:pPr>
              <w:autoSpaceDE w:val="0"/>
              <w:autoSpaceDN w:val="0"/>
              <w:adjustRightInd w:val="0"/>
              <w:rPr>
                <w:rFonts w:hint="eastAsia"/>
                <w:color w:val="000000" w:themeColor="text1"/>
                <w:sz w:val="21"/>
                <w:szCs w:val="21"/>
              </w:rPr>
            </w:pPr>
            <w:r>
              <w:rPr>
                <w:rFonts w:hint="eastAsia"/>
                <w:color w:val="000000" w:themeColor="text1"/>
                <w:sz w:val="21"/>
                <w:szCs w:val="21"/>
              </w:rPr>
              <w:t>接受捐赠</w:t>
            </w:r>
          </w:p>
        </w:tc>
        <w:tc>
          <w:tcPr>
            <w:tcW w:w="1205" w:type="pct"/>
            <w:tcBorders>
              <w:top w:val="single" w:sz="4" w:space="0" w:color="auto"/>
              <w:left w:val="single" w:sz="4" w:space="0" w:color="auto"/>
              <w:bottom w:val="single" w:sz="4" w:space="0" w:color="auto"/>
              <w:right w:val="single" w:sz="4" w:space="0" w:color="auto"/>
            </w:tcBorders>
          </w:tcPr>
          <w:p w14:paraId="2840024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578.14</w:t>
            </w:r>
          </w:p>
        </w:tc>
        <w:tc>
          <w:tcPr>
            <w:tcW w:w="1124" w:type="pct"/>
            <w:tcBorders>
              <w:top w:val="single" w:sz="4" w:space="0" w:color="auto"/>
              <w:left w:val="single" w:sz="4" w:space="0" w:color="auto"/>
              <w:bottom w:val="single" w:sz="4" w:space="0" w:color="auto"/>
              <w:right w:val="single" w:sz="4" w:space="0" w:color="auto"/>
            </w:tcBorders>
          </w:tcPr>
          <w:p w14:paraId="3AA532F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1067" w:type="pct"/>
            <w:tcBorders>
              <w:top w:val="single" w:sz="4" w:space="0" w:color="auto"/>
              <w:left w:val="single" w:sz="4" w:space="0" w:color="auto"/>
              <w:bottom w:val="single" w:sz="4" w:space="0" w:color="auto"/>
              <w:right w:val="single" w:sz="4" w:space="0" w:color="auto"/>
            </w:tcBorders>
          </w:tcPr>
          <w:p w14:paraId="6EA021C3"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578.14</w:t>
            </w:r>
          </w:p>
        </w:tc>
      </w:tr>
      <w:tr w:rsidR="002D0AE7" w14:paraId="6820F6EF" w14:textId="77777777">
        <w:tc>
          <w:tcPr>
            <w:tcW w:w="1604" w:type="pct"/>
            <w:tcBorders>
              <w:top w:val="single" w:sz="4" w:space="0" w:color="auto"/>
              <w:left w:val="single" w:sz="4" w:space="0" w:color="auto"/>
              <w:bottom w:val="single" w:sz="4" w:space="0" w:color="auto"/>
              <w:right w:val="single" w:sz="4" w:space="0" w:color="auto"/>
            </w:tcBorders>
          </w:tcPr>
          <w:p w14:paraId="6F31A9EA" w14:textId="77777777" w:rsidR="002D0AE7" w:rsidRDefault="00333EBB">
            <w:pPr>
              <w:ind w:right="6"/>
              <w:rPr>
                <w:rFonts w:hint="eastAsia"/>
                <w:bCs/>
                <w:color w:val="000000" w:themeColor="text1"/>
                <w:sz w:val="21"/>
                <w:szCs w:val="21"/>
              </w:rPr>
            </w:pPr>
            <w:r>
              <w:rPr>
                <w:rFonts w:hint="eastAsia"/>
                <w:color w:val="000000" w:themeColor="text1"/>
                <w:sz w:val="21"/>
                <w:szCs w:val="21"/>
              </w:rPr>
              <w:t>政府补助</w:t>
            </w:r>
          </w:p>
        </w:tc>
        <w:tc>
          <w:tcPr>
            <w:tcW w:w="1205" w:type="pct"/>
            <w:tcBorders>
              <w:top w:val="single" w:sz="4" w:space="0" w:color="auto"/>
              <w:left w:val="single" w:sz="4" w:space="0" w:color="auto"/>
              <w:bottom w:val="single" w:sz="4" w:space="0" w:color="auto"/>
              <w:right w:val="single" w:sz="4" w:space="0" w:color="auto"/>
            </w:tcBorders>
          </w:tcPr>
          <w:p w14:paraId="5F50737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897,012.00</w:t>
            </w:r>
          </w:p>
        </w:tc>
        <w:tc>
          <w:tcPr>
            <w:tcW w:w="1124" w:type="pct"/>
            <w:tcBorders>
              <w:top w:val="single" w:sz="4" w:space="0" w:color="auto"/>
              <w:left w:val="single" w:sz="4" w:space="0" w:color="auto"/>
              <w:bottom w:val="single" w:sz="4" w:space="0" w:color="auto"/>
              <w:right w:val="single" w:sz="4" w:space="0" w:color="auto"/>
            </w:tcBorders>
          </w:tcPr>
          <w:p w14:paraId="2C696C3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565,692.20</w:t>
            </w:r>
          </w:p>
        </w:tc>
        <w:tc>
          <w:tcPr>
            <w:tcW w:w="1067" w:type="pct"/>
            <w:tcBorders>
              <w:top w:val="single" w:sz="4" w:space="0" w:color="auto"/>
              <w:left w:val="single" w:sz="4" w:space="0" w:color="auto"/>
              <w:bottom w:val="single" w:sz="4" w:space="0" w:color="auto"/>
              <w:right w:val="single" w:sz="4" w:space="0" w:color="auto"/>
            </w:tcBorders>
          </w:tcPr>
          <w:p w14:paraId="6369AD0F"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897,012.00</w:t>
            </w:r>
          </w:p>
        </w:tc>
      </w:tr>
      <w:tr w:rsidR="002D0AE7" w14:paraId="76DACFB5" w14:textId="77777777">
        <w:tc>
          <w:tcPr>
            <w:tcW w:w="1604" w:type="pct"/>
            <w:tcBorders>
              <w:top w:val="single" w:sz="4" w:space="0" w:color="auto"/>
              <w:left w:val="single" w:sz="4" w:space="0" w:color="auto"/>
              <w:bottom w:val="single" w:sz="4" w:space="0" w:color="auto"/>
              <w:right w:val="single" w:sz="4" w:space="0" w:color="auto"/>
            </w:tcBorders>
          </w:tcPr>
          <w:p w14:paraId="53AE0A89" w14:textId="77777777" w:rsidR="002D0AE7" w:rsidRDefault="00333EBB">
            <w:pPr>
              <w:rPr>
                <w:rFonts w:hint="eastAsia"/>
                <w:sz w:val="21"/>
                <w:szCs w:val="21"/>
              </w:rPr>
            </w:pPr>
            <w:r>
              <w:rPr>
                <w:rFonts w:hint="eastAsia"/>
                <w:sz w:val="21"/>
                <w:szCs w:val="21"/>
              </w:rPr>
              <w:t>违约金及罚款收入</w:t>
            </w:r>
          </w:p>
        </w:tc>
        <w:tc>
          <w:tcPr>
            <w:tcW w:w="1205" w:type="pct"/>
            <w:tcBorders>
              <w:top w:val="single" w:sz="4" w:space="0" w:color="auto"/>
              <w:left w:val="single" w:sz="4" w:space="0" w:color="auto"/>
              <w:bottom w:val="single" w:sz="4" w:space="0" w:color="auto"/>
              <w:right w:val="single" w:sz="4" w:space="0" w:color="auto"/>
            </w:tcBorders>
          </w:tcPr>
          <w:p w14:paraId="56D7103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13,855.01</w:t>
            </w:r>
          </w:p>
        </w:tc>
        <w:tc>
          <w:tcPr>
            <w:tcW w:w="1124" w:type="pct"/>
            <w:tcBorders>
              <w:top w:val="single" w:sz="4" w:space="0" w:color="auto"/>
              <w:left w:val="single" w:sz="4" w:space="0" w:color="auto"/>
              <w:bottom w:val="single" w:sz="4" w:space="0" w:color="auto"/>
              <w:right w:val="single" w:sz="4" w:space="0" w:color="auto"/>
            </w:tcBorders>
          </w:tcPr>
          <w:p w14:paraId="1395339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3,000.00</w:t>
            </w:r>
          </w:p>
        </w:tc>
        <w:tc>
          <w:tcPr>
            <w:tcW w:w="1067" w:type="pct"/>
            <w:tcBorders>
              <w:top w:val="single" w:sz="4" w:space="0" w:color="auto"/>
              <w:left w:val="single" w:sz="4" w:space="0" w:color="auto"/>
              <w:bottom w:val="single" w:sz="4" w:space="0" w:color="auto"/>
              <w:right w:val="single" w:sz="4" w:space="0" w:color="auto"/>
            </w:tcBorders>
          </w:tcPr>
          <w:p w14:paraId="5DEA0BF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13,855.01</w:t>
            </w:r>
          </w:p>
        </w:tc>
      </w:tr>
      <w:tr w:rsidR="002D0AE7" w14:paraId="1BCEC7C6" w14:textId="77777777">
        <w:tc>
          <w:tcPr>
            <w:tcW w:w="1604" w:type="pct"/>
            <w:tcBorders>
              <w:top w:val="single" w:sz="4" w:space="0" w:color="auto"/>
              <w:left w:val="single" w:sz="4" w:space="0" w:color="auto"/>
              <w:bottom w:val="single" w:sz="4" w:space="0" w:color="auto"/>
              <w:right w:val="single" w:sz="4" w:space="0" w:color="auto"/>
            </w:tcBorders>
          </w:tcPr>
          <w:p w14:paraId="435F5B0C" w14:textId="77777777" w:rsidR="002D0AE7" w:rsidRDefault="00333EBB">
            <w:pPr>
              <w:rPr>
                <w:rFonts w:hint="eastAsia"/>
                <w:sz w:val="21"/>
                <w:szCs w:val="21"/>
              </w:rPr>
            </w:pPr>
            <w:r>
              <w:rPr>
                <w:rFonts w:hint="eastAsia"/>
                <w:sz w:val="21"/>
                <w:szCs w:val="21"/>
              </w:rPr>
              <w:t>无法支付的款项</w:t>
            </w:r>
          </w:p>
        </w:tc>
        <w:tc>
          <w:tcPr>
            <w:tcW w:w="1205" w:type="pct"/>
            <w:tcBorders>
              <w:top w:val="single" w:sz="4" w:space="0" w:color="auto"/>
              <w:left w:val="single" w:sz="4" w:space="0" w:color="auto"/>
              <w:bottom w:val="single" w:sz="4" w:space="0" w:color="auto"/>
              <w:right w:val="single" w:sz="4" w:space="0" w:color="auto"/>
            </w:tcBorders>
          </w:tcPr>
          <w:p w14:paraId="3C34C4C9" w14:textId="77777777" w:rsidR="002D0AE7" w:rsidRDefault="002D0AE7">
            <w:pPr>
              <w:jc w:val="right"/>
              <w:rPr>
                <w:rFonts w:ascii="Times New Roman" w:hAnsi="Times New Roman" w:cs="Times New Roman"/>
                <w:sz w:val="21"/>
                <w:szCs w:val="21"/>
              </w:rPr>
            </w:pPr>
          </w:p>
        </w:tc>
        <w:tc>
          <w:tcPr>
            <w:tcW w:w="1124" w:type="pct"/>
            <w:tcBorders>
              <w:top w:val="single" w:sz="4" w:space="0" w:color="auto"/>
              <w:left w:val="single" w:sz="4" w:space="0" w:color="auto"/>
              <w:bottom w:val="single" w:sz="4" w:space="0" w:color="auto"/>
              <w:right w:val="single" w:sz="4" w:space="0" w:color="auto"/>
            </w:tcBorders>
          </w:tcPr>
          <w:p w14:paraId="4F6E1C4C" w14:textId="77777777" w:rsidR="002D0AE7" w:rsidRDefault="002D0AE7">
            <w:pPr>
              <w:jc w:val="right"/>
              <w:rPr>
                <w:rFonts w:ascii="Times New Roman" w:hAnsi="Times New Roman" w:cs="Times New Roman"/>
                <w:sz w:val="21"/>
                <w:szCs w:val="21"/>
              </w:rPr>
            </w:pPr>
          </w:p>
        </w:tc>
        <w:tc>
          <w:tcPr>
            <w:tcW w:w="1067" w:type="pct"/>
            <w:tcBorders>
              <w:top w:val="single" w:sz="4" w:space="0" w:color="auto"/>
              <w:left w:val="single" w:sz="4" w:space="0" w:color="auto"/>
              <w:bottom w:val="single" w:sz="4" w:space="0" w:color="auto"/>
              <w:right w:val="single" w:sz="4" w:space="0" w:color="auto"/>
            </w:tcBorders>
          </w:tcPr>
          <w:p w14:paraId="4E40822D" w14:textId="77777777" w:rsidR="002D0AE7" w:rsidRDefault="002D0AE7">
            <w:pPr>
              <w:jc w:val="right"/>
              <w:rPr>
                <w:rFonts w:ascii="Times New Roman" w:hAnsi="Times New Roman" w:cs="Times New Roman"/>
                <w:sz w:val="21"/>
                <w:szCs w:val="21"/>
              </w:rPr>
            </w:pPr>
          </w:p>
        </w:tc>
      </w:tr>
      <w:tr w:rsidR="002D0AE7" w14:paraId="3B497773" w14:textId="77777777">
        <w:tc>
          <w:tcPr>
            <w:tcW w:w="1604" w:type="pct"/>
            <w:tcBorders>
              <w:top w:val="single" w:sz="4" w:space="0" w:color="auto"/>
              <w:left w:val="single" w:sz="4" w:space="0" w:color="auto"/>
              <w:bottom w:val="single" w:sz="4" w:space="0" w:color="auto"/>
              <w:right w:val="single" w:sz="4" w:space="0" w:color="auto"/>
            </w:tcBorders>
          </w:tcPr>
          <w:p w14:paraId="66D2BF15" w14:textId="77777777" w:rsidR="002D0AE7" w:rsidRDefault="00333EBB">
            <w:pPr>
              <w:rPr>
                <w:rFonts w:hint="eastAsia"/>
                <w:sz w:val="21"/>
                <w:szCs w:val="21"/>
              </w:rPr>
            </w:pPr>
            <w:r>
              <w:rPr>
                <w:rFonts w:hint="eastAsia"/>
                <w:sz w:val="21"/>
                <w:szCs w:val="21"/>
              </w:rPr>
              <w:lastRenderedPageBreak/>
              <w:t>其他</w:t>
            </w:r>
          </w:p>
        </w:tc>
        <w:tc>
          <w:tcPr>
            <w:tcW w:w="1205" w:type="pct"/>
            <w:tcBorders>
              <w:top w:val="single" w:sz="4" w:space="0" w:color="auto"/>
              <w:left w:val="single" w:sz="4" w:space="0" w:color="auto"/>
              <w:bottom w:val="single" w:sz="4" w:space="0" w:color="auto"/>
              <w:right w:val="single" w:sz="4" w:space="0" w:color="auto"/>
            </w:tcBorders>
          </w:tcPr>
          <w:p w14:paraId="3DF985C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964,338.54</w:t>
            </w:r>
          </w:p>
        </w:tc>
        <w:tc>
          <w:tcPr>
            <w:tcW w:w="1124" w:type="pct"/>
            <w:tcBorders>
              <w:top w:val="single" w:sz="4" w:space="0" w:color="auto"/>
              <w:left w:val="single" w:sz="4" w:space="0" w:color="auto"/>
              <w:bottom w:val="single" w:sz="4" w:space="0" w:color="auto"/>
              <w:right w:val="single" w:sz="4" w:space="0" w:color="auto"/>
            </w:tcBorders>
          </w:tcPr>
          <w:p w14:paraId="288D4A5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113,782.63</w:t>
            </w:r>
          </w:p>
        </w:tc>
        <w:tc>
          <w:tcPr>
            <w:tcW w:w="1067" w:type="pct"/>
            <w:tcBorders>
              <w:top w:val="single" w:sz="4" w:space="0" w:color="auto"/>
              <w:left w:val="single" w:sz="4" w:space="0" w:color="auto"/>
              <w:bottom w:val="single" w:sz="4" w:space="0" w:color="auto"/>
              <w:right w:val="single" w:sz="4" w:space="0" w:color="auto"/>
            </w:tcBorders>
          </w:tcPr>
          <w:p w14:paraId="4F6A479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964,338.54</w:t>
            </w:r>
          </w:p>
        </w:tc>
      </w:tr>
      <w:tr w:rsidR="002D0AE7" w14:paraId="6999BCAB" w14:textId="77777777">
        <w:tc>
          <w:tcPr>
            <w:tcW w:w="1604" w:type="pct"/>
            <w:tcBorders>
              <w:top w:val="single" w:sz="4" w:space="0" w:color="auto"/>
              <w:left w:val="single" w:sz="4" w:space="0" w:color="auto"/>
              <w:bottom w:val="single" w:sz="4" w:space="0" w:color="auto"/>
              <w:right w:val="single" w:sz="4" w:space="0" w:color="auto"/>
            </w:tcBorders>
            <w:vAlign w:val="center"/>
          </w:tcPr>
          <w:p w14:paraId="0C783978"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1205" w:type="pct"/>
            <w:tcBorders>
              <w:top w:val="single" w:sz="4" w:space="0" w:color="auto"/>
              <w:left w:val="single" w:sz="4" w:space="0" w:color="auto"/>
              <w:bottom w:val="single" w:sz="4" w:space="0" w:color="auto"/>
              <w:right w:val="single" w:sz="4" w:space="0" w:color="auto"/>
            </w:tcBorders>
          </w:tcPr>
          <w:p w14:paraId="7B41570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1,875,783.69</w:t>
            </w:r>
          </w:p>
        </w:tc>
        <w:tc>
          <w:tcPr>
            <w:tcW w:w="1124" w:type="pct"/>
            <w:tcBorders>
              <w:top w:val="single" w:sz="4" w:space="0" w:color="auto"/>
              <w:left w:val="single" w:sz="4" w:space="0" w:color="auto"/>
              <w:bottom w:val="single" w:sz="4" w:space="0" w:color="auto"/>
              <w:right w:val="single" w:sz="4" w:space="0" w:color="auto"/>
            </w:tcBorders>
          </w:tcPr>
          <w:p w14:paraId="14B4AEB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682,474.83</w:t>
            </w:r>
          </w:p>
        </w:tc>
        <w:tc>
          <w:tcPr>
            <w:tcW w:w="1067" w:type="pct"/>
            <w:tcBorders>
              <w:top w:val="single" w:sz="4" w:space="0" w:color="auto"/>
              <w:left w:val="single" w:sz="4" w:space="0" w:color="auto"/>
              <w:bottom w:val="single" w:sz="4" w:space="0" w:color="auto"/>
              <w:right w:val="single" w:sz="4" w:space="0" w:color="auto"/>
            </w:tcBorders>
          </w:tcPr>
          <w:p w14:paraId="729F7007"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1,875,783.69</w:t>
            </w:r>
          </w:p>
        </w:tc>
      </w:tr>
    </w:tbl>
    <w:p w14:paraId="49E7DD56"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szCs w:val="21"/>
        </w:rPr>
        <w:t>营业外支出</w:t>
      </w:r>
    </w:p>
    <w:sdt>
      <w:sdtPr>
        <w:rPr>
          <w:color w:val="000000" w:themeColor="text1"/>
        </w:rPr>
        <w:alias w:val="是否适用：营业外支出[双击切换]"/>
        <w:tag w:val="_GBC_6d4b8ac674ce425b8c798e92aa1fe455"/>
        <w:id w:val="168764053"/>
        <w:placeholder>
          <w:docPart w:val="GBC22222222222222222222222222222"/>
        </w:placeholder>
      </w:sdtPr>
      <w:sdtEndPr/>
      <w:sdtContent>
        <w:p w14:paraId="5F2317B0"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6050A6E8"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营业外支出"/>
          <w:tag w:val="_GBC_f8678a9a1bbf4b0697744c5d21146839"/>
          <w:id w:val="-17025322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营业外支出"/>
          <w:tag w:val="_GBC_61e3e82ad5404a9987623525ac03d95e"/>
          <w:id w:val="-29113213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1983"/>
        <w:gridCol w:w="1701"/>
        <w:gridCol w:w="2024"/>
      </w:tblGrid>
      <w:tr w:rsidR="002D0AE7" w14:paraId="4C251498" w14:textId="77777777">
        <w:sdt>
          <w:sdtPr>
            <w:rPr>
              <w:color w:val="000000" w:themeColor="text1"/>
              <w:sz w:val="21"/>
              <w:szCs w:val="21"/>
            </w:rPr>
            <w:tag w:val="_PLD_6abf292cb0a7463788e39d1bdabb85fc"/>
            <w:id w:val="1191731574"/>
          </w:sdtPr>
          <w:sdtEndPr/>
          <w:sdtContent>
            <w:tc>
              <w:tcPr>
                <w:tcW w:w="1765" w:type="pct"/>
                <w:tcBorders>
                  <w:top w:val="single" w:sz="4" w:space="0" w:color="auto"/>
                  <w:left w:val="single" w:sz="4" w:space="0" w:color="auto"/>
                  <w:bottom w:val="single" w:sz="4" w:space="0" w:color="auto"/>
                  <w:right w:val="single" w:sz="4" w:space="0" w:color="auto"/>
                </w:tcBorders>
                <w:vAlign w:val="center"/>
              </w:tcPr>
              <w:p w14:paraId="112008AC" w14:textId="77777777" w:rsidR="002D0AE7" w:rsidRDefault="00333EBB">
                <w:pPr>
                  <w:autoSpaceDE w:val="0"/>
                  <w:autoSpaceDN w:val="0"/>
                  <w:adjustRightInd w:val="0"/>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36a30142728e41bb9c215b73cfe3204c"/>
            <w:id w:val="1254398996"/>
          </w:sdtPr>
          <w:sdtEndPr/>
          <w:sdtContent>
            <w:tc>
              <w:tcPr>
                <w:tcW w:w="1124" w:type="pct"/>
                <w:tcBorders>
                  <w:top w:val="single" w:sz="4" w:space="0" w:color="auto"/>
                  <w:left w:val="single" w:sz="4" w:space="0" w:color="auto"/>
                  <w:bottom w:val="single" w:sz="4" w:space="0" w:color="auto"/>
                  <w:right w:val="single" w:sz="4" w:space="0" w:color="auto"/>
                </w:tcBorders>
                <w:vAlign w:val="center"/>
              </w:tcPr>
              <w:p w14:paraId="14F961AA" w14:textId="77777777" w:rsidR="002D0AE7" w:rsidRDefault="00333EBB">
                <w:pPr>
                  <w:autoSpaceDE w:val="0"/>
                  <w:autoSpaceDN w:val="0"/>
                  <w:adjustRightInd w:val="0"/>
                  <w:jc w:val="center"/>
                  <w:rPr>
                    <w:rFonts w:hint="eastAsia"/>
                    <w:color w:val="000000" w:themeColor="text1"/>
                    <w:sz w:val="21"/>
                    <w:szCs w:val="21"/>
                  </w:rPr>
                </w:pPr>
                <w:r>
                  <w:rPr>
                    <w:rFonts w:hint="eastAsia"/>
                    <w:color w:val="000000" w:themeColor="text1"/>
                    <w:sz w:val="21"/>
                    <w:szCs w:val="21"/>
                  </w:rPr>
                  <w:t>本期发生额</w:t>
                </w:r>
              </w:p>
            </w:tc>
          </w:sdtContent>
        </w:sdt>
        <w:sdt>
          <w:sdtPr>
            <w:rPr>
              <w:color w:val="000000" w:themeColor="text1"/>
              <w:sz w:val="21"/>
              <w:szCs w:val="21"/>
            </w:rPr>
            <w:tag w:val="_PLD_16b0936bf8024bdf99cf883b1827419f"/>
            <w:id w:val="-14466396"/>
          </w:sdtPr>
          <w:sdtEndPr/>
          <w:sdtContent>
            <w:tc>
              <w:tcPr>
                <w:tcW w:w="964" w:type="pct"/>
                <w:tcBorders>
                  <w:top w:val="single" w:sz="4" w:space="0" w:color="auto"/>
                  <w:left w:val="single" w:sz="4" w:space="0" w:color="auto"/>
                  <w:bottom w:val="single" w:sz="4" w:space="0" w:color="auto"/>
                  <w:right w:val="single" w:sz="4" w:space="0" w:color="auto"/>
                </w:tcBorders>
                <w:vAlign w:val="center"/>
              </w:tcPr>
              <w:p w14:paraId="3E246C8F" w14:textId="77777777" w:rsidR="002D0AE7" w:rsidRDefault="00333EBB">
                <w:pPr>
                  <w:autoSpaceDE w:val="0"/>
                  <w:autoSpaceDN w:val="0"/>
                  <w:adjustRightInd w:val="0"/>
                  <w:jc w:val="center"/>
                  <w:rPr>
                    <w:rFonts w:hint="eastAsia"/>
                    <w:color w:val="000000" w:themeColor="text1"/>
                    <w:sz w:val="21"/>
                    <w:szCs w:val="21"/>
                  </w:rPr>
                </w:pPr>
                <w:r>
                  <w:rPr>
                    <w:rFonts w:hint="eastAsia"/>
                    <w:color w:val="000000" w:themeColor="text1"/>
                    <w:sz w:val="21"/>
                    <w:szCs w:val="21"/>
                  </w:rPr>
                  <w:t>上期发生额</w:t>
                </w:r>
              </w:p>
            </w:tc>
          </w:sdtContent>
        </w:sdt>
        <w:sdt>
          <w:sdtPr>
            <w:rPr>
              <w:color w:val="000000" w:themeColor="text1"/>
              <w:sz w:val="21"/>
              <w:szCs w:val="21"/>
            </w:rPr>
            <w:tag w:val="_PLD_92014506c2824f6fbe79731f91aa61bc"/>
            <w:id w:val="-697540948"/>
          </w:sdtPr>
          <w:sdtEndPr/>
          <w:sdtContent>
            <w:tc>
              <w:tcPr>
                <w:tcW w:w="1147" w:type="pct"/>
                <w:tcBorders>
                  <w:top w:val="single" w:sz="4" w:space="0" w:color="auto"/>
                  <w:left w:val="single" w:sz="4" w:space="0" w:color="auto"/>
                  <w:bottom w:val="single" w:sz="4" w:space="0" w:color="auto"/>
                  <w:right w:val="single" w:sz="4" w:space="0" w:color="auto"/>
                </w:tcBorders>
                <w:vAlign w:val="center"/>
              </w:tcPr>
              <w:p w14:paraId="16656D76" w14:textId="77777777" w:rsidR="002D0AE7" w:rsidRDefault="00333EBB">
                <w:pPr>
                  <w:autoSpaceDE w:val="0"/>
                  <w:autoSpaceDN w:val="0"/>
                  <w:adjustRightInd w:val="0"/>
                  <w:jc w:val="center"/>
                  <w:rPr>
                    <w:rFonts w:hint="eastAsia"/>
                    <w:color w:val="000000" w:themeColor="text1"/>
                    <w:sz w:val="21"/>
                    <w:szCs w:val="21"/>
                  </w:rPr>
                </w:pPr>
                <w:r>
                  <w:rPr>
                    <w:rFonts w:hint="eastAsia"/>
                    <w:color w:val="000000" w:themeColor="text1"/>
                    <w:sz w:val="21"/>
                    <w:szCs w:val="21"/>
                  </w:rPr>
                  <w:t>计入当期非经常性损益的金额</w:t>
                </w:r>
              </w:p>
            </w:tc>
          </w:sdtContent>
        </w:sdt>
      </w:tr>
      <w:tr w:rsidR="002D0AE7" w14:paraId="009B58F3" w14:textId="77777777">
        <w:tc>
          <w:tcPr>
            <w:tcW w:w="1765" w:type="pct"/>
            <w:tcBorders>
              <w:top w:val="single" w:sz="4" w:space="0" w:color="auto"/>
              <w:left w:val="single" w:sz="4" w:space="0" w:color="auto"/>
              <w:bottom w:val="single" w:sz="4" w:space="0" w:color="auto"/>
              <w:right w:val="single" w:sz="4" w:space="0" w:color="auto"/>
            </w:tcBorders>
            <w:vAlign w:val="center"/>
          </w:tcPr>
          <w:p w14:paraId="4593E50F" w14:textId="77777777" w:rsidR="002D0AE7" w:rsidRDefault="00333EBB">
            <w:pPr>
              <w:autoSpaceDE w:val="0"/>
              <w:autoSpaceDN w:val="0"/>
              <w:adjustRightInd w:val="0"/>
              <w:rPr>
                <w:rFonts w:hint="eastAsia"/>
                <w:color w:val="000000" w:themeColor="text1"/>
                <w:sz w:val="21"/>
                <w:szCs w:val="21"/>
              </w:rPr>
            </w:pPr>
            <w:r>
              <w:rPr>
                <w:rFonts w:hint="eastAsia"/>
                <w:color w:val="000000" w:themeColor="text1"/>
                <w:sz w:val="21"/>
                <w:szCs w:val="21"/>
              </w:rPr>
              <w:t>非流动资产处置损失合计</w:t>
            </w:r>
          </w:p>
        </w:tc>
        <w:tc>
          <w:tcPr>
            <w:tcW w:w="1124" w:type="pct"/>
            <w:tcBorders>
              <w:top w:val="single" w:sz="4" w:space="0" w:color="auto"/>
              <w:left w:val="single" w:sz="4" w:space="0" w:color="auto"/>
              <w:bottom w:val="single" w:sz="4" w:space="0" w:color="auto"/>
              <w:right w:val="single" w:sz="4" w:space="0" w:color="auto"/>
            </w:tcBorders>
            <w:vAlign w:val="center"/>
          </w:tcPr>
          <w:p w14:paraId="55C7421F" w14:textId="77777777" w:rsidR="002D0AE7" w:rsidRDefault="002D0AE7">
            <w:pPr>
              <w:jc w:val="right"/>
              <w:rPr>
                <w:rFonts w:ascii="Times New Roman" w:hAnsi="Times New Roman" w:cs="Times New Roman"/>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14:paraId="584078A6" w14:textId="77777777" w:rsidR="002D0AE7" w:rsidRDefault="002D0AE7">
            <w:pPr>
              <w:jc w:val="right"/>
              <w:rPr>
                <w:rFonts w:ascii="Times New Roman" w:hAnsi="Times New Roman" w:cs="Times New Roman"/>
                <w:sz w:val="21"/>
                <w:szCs w:val="21"/>
              </w:rPr>
            </w:pPr>
          </w:p>
        </w:tc>
        <w:tc>
          <w:tcPr>
            <w:tcW w:w="1147" w:type="pct"/>
            <w:tcBorders>
              <w:top w:val="single" w:sz="4" w:space="0" w:color="auto"/>
              <w:left w:val="single" w:sz="4" w:space="0" w:color="auto"/>
              <w:bottom w:val="single" w:sz="4" w:space="0" w:color="auto"/>
              <w:right w:val="single" w:sz="4" w:space="0" w:color="auto"/>
            </w:tcBorders>
            <w:vAlign w:val="center"/>
          </w:tcPr>
          <w:p w14:paraId="3C616CE5" w14:textId="77777777" w:rsidR="002D0AE7" w:rsidRDefault="002D0AE7">
            <w:pPr>
              <w:autoSpaceDE w:val="0"/>
              <w:autoSpaceDN w:val="0"/>
              <w:adjustRightInd w:val="0"/>
              <w:jc w:val="right"/>
              <w:rPr>
                <w:rFonts w:ascii="Times New Roman" w:hAnsi="Times New Roman" w:cs="Times New Roman"/>
                <w:sz w:val="21"/>
                <w:szCs w:val="21"/>
              </w:rPr>
            </w:pPr>
          </w:p>
        </w:tc>
      </w:tr>
      <w:tr w:rsidR="002D0AE7" w14:paraId="59505E45" w14:textId="77777777">
        <w:tc>
          <w:tcPr>
            <w:tcW w:w="1765" w:type="pct"/>
            <w:tcBorders>
              <w:top w:val="single" w:sz="4" w:space="0" w:color="auto"/>
              <w:left w:val="single" w:sz="4" w:space="0" w:color="auto"/>
              <w:bottom w:val="single" w:sz="4" w:space="0" w:color="auto"/>
              <w:right w:val="single" w:sz="4" w:space="0" w:color="auto"/>
            </w:tcBorders>
            <w:vAlign w:val="center"/>
          </w:tcPr>
          <w:p w14:paraId="62B007E4" w14:textId="77777777" w:rsidR="002D0AE7" w:rsidRDefault="00333EBB">
            <w:pPr>
              <w:autoSpaceDE w:val="0"/>
              <w:autoSpaceDN w:val="0"/>
              <w:adjustRightInd w:val="0"/>
              <w:rPr>
                <w:rFonts w:hint="eastAsia"/>
                <w:color w:val="000000" w:themeColor="text1"/>
                <w:sz w:val="21"/>
                <w:szCs w:val="21"/>
              </w:rPr>
            </w:pPr>
            <w:r>
              <w:rPr>
                <w:rFonts w:hint="eastAsia"/>
                <w:color w:val="000000" w:themeColor="text1"/>
                <w:sz w:val="21"/>
                <w:szCs w:val="21"/>
              </w:rPr>
              <w:t>其中：固定资产处置损失</w:t>
            </w:r>
          </w:p>
        </w:tc>
        <w:tc>
          <w:tcPr>
            <w:tcW w:w="1124" w:type="pct"/>
            <w:tcBorders>
              <w:top w:val="single" w:sz="4" w:space="0" w:color="auto"/>
              <w:left w:val="single" w:sz="4" w:space="0" w:color="auto"/>
              <w:bottom w:val="single" w:sz="4" w:space="0" w:color="auto"/>
              <w:right w:val="single" w:sz="4" w:space="0" w:color="auto"/>
            </w:tcBorders>
            <w:vAlign w:val="center"/>
          </w:tcPr>
          <w:p w14:paraId="162B96B7" w14:textId="77777777" w:rsidR="002D0AE7" w:rsidRDefault="002D0AE7">
            <w:pPr>
              <w:jc w:val="right"/>
              <w:rPr>
                <w:rFonts w:ascii="Times New Roman" w:hAnsi="Times New Roman" w:cs="Times New Roman"/>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14:paraId="2141A41A" w14:textId="77777777" w:rsidR="002D0AE7" w:rsidRDefault="002D0AE7">
            <w:pPr>
              <w:jc w:val="right"/>
              <w:rPr>
                <w:rFonts w:ascii="Times New Roman" w:hAnsi="Times New Roman" w:cs="Times New Roman"/>
                <w:sz w:val="21"/>
                <w:szCs w:val="21"/>
              </w:rPr>
            </w:pPr>
          </w:p>
        </w:tc>
        <w:tc>
          <w:tcPr>
            <w:tcW w:w="1147" w:type="pct"/>
            <w:tcBorders>
              <w:top w:val="single" w:sz="4" w:space="0" w:color="auto"/>
              <w:left w:val="single" w:sz="4" w:space="0" w:color="auto"/>
              <w:bottom w:val="single" w:sz="4" w:space="0" w:color="auto"/>
              <w:right w:val="single" w:sz="4" w:space="0" w:color="auto"/>
            </w:tcBorders>
            <w:vAlign w:val="center"/>
          </w:tcPr>
          <w:p w14:paraId="6E414712" w14:textId="77777777" w:rsidR="002D0AE7" w:rsidRDefault="002D0AE7">
            <w:pPr>
              <w:autoSpaceDE w:val="0"/>
              <w:autoSpaceDN w:val="0"/>
              <w:adjustRightInd w:val="0"/>
              <w:jc w:val="right"/>
              <w:rPr>
                <w:rFonts w:ascii="Times New Roman" w:hAnsi="Times New Roman" w:cs="Times New Roman"/>
                <w:sz w:val="21"/>
                <w:szCs w:val="21"/>
              </w:rPr>
            </w:pPr>
          </w:p>
        </w:tc>
      </w:tr>
      <w:tr w:rsidR="002D0AE7" w14:paraId="79C6AC37" w14:textId="77777777">
        <w:tc>
          <w:tcPr>
            <w:tcW w:w="1765" w:type="pct"/>
            <w:tcBorders>
              <w:top w:val="single" w:sz="4" w:space="0" w:color="auto"/>
              <w:left w:val="single" w:sz="4" w:space="0" w:color="auto"/>
              <w:bottom w:val="single" w:sz="4" w:space="0" w:color="auto"/>
              <w:right w:val="single" w:sz="4" w:space="0" w:color="auto"/>
            </w:tcBorders>
            <w:vAlign w:val="center"/>
          </w:tcPr>
          <w:p w14:paraId="7B3D6A15" w14:textId="77777777" w:rsidR="002D0AE7" w:rsidRDefault="00333EBB">
            <w:pPr>
              <w:autoSpaceDE w:val="0"/>
              <w:autoSpaceDN w:val="0"/>
              <w:adjustRightInd w:val="0"/>
              <w:ind w:firstLineChars="300" w:firstLine="630"/>
              <w:rPr>
                <w:rFonts w:hint="eastAsia"/>
                <w:color w:val="000000" w:themeColor="text1"/>
                <w:sz w:val="21"/>
                <w:szCs w:val="21"/>
              </w:rPr>
            </w:pPr>
            <w:r>
              <w:rPr>
                <w:rFonts w:hint="eastAsia"/>
                <w:color w:val="000000" w:themeColor="text1"/>
                <w:sz w:val="21"/>
                <w:szCs w:val="21"/>
              </w:rPr>
              <w:t>无形资产处置损失</w:t>
            </w:r>
          </w:p>
        </w:tc>
        <w:tc>
          <w:tcPr>
            <w:tcW w:w="1124" w:type="pct"/>
            <w:tcBorders>
              <w:top w:val="single" w:sz="4" w:space="0" w:color="auto"/>
              <w:left w:val="single" w:sz="4" w:space="0" w:color="auto"/>
              <w:bottom w:val="single" w:sz="4" w:space="0" w:color="auto"/>
              <w:right w:val="single" w:sz="4" w:space="0" w:color="auto"/>
            </w:tcBorders>
            <w:vAlign w:val="center"/>
          </w:tcPr>
          <w:p w14:paraId="7E1BB2D8" w14:textId="77777777" w:rsidR="002D0AE7" w:rsidRDefault="002D0AE7">
            <w:pPr>
              <w:jc w:val="right"/>
              <w:rPr>
                <w:rFonts w:ascii="Times New Roman" w:hAnsi="Times New Roman" w:cs="Times New Roman"/>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14:paraId="07A8F532" w14:textId="77777777" w:rsidR="002D0AE7" w:rsidRDefault="002D0AE7">
            <w:pPr>
              <w:jc w:val="right"/>
              <w:rPr>
                <w:rFonts w:ascii="Times New Roman" w:hAnsi="Times New Roman" w:cs="Times New Roman"/>
                <w:sz w:val="21"/>
                <w:szCs w:val="21"/>
              </w:rPr>
            </w:pPr>
          </w:p>
        </w:tc>
        <w:tc>
          <w:tcPr>
            <w:tcW w:w="1147" w:type="pct"/>
            <w:tcBorders>
              <w:top w:val="single" w:sz="4" w:space="0" w:color="auto"/>
              <w:left w:val="single" w:sz="4" w:space="0" w:color="auto"/>
              <w:bottom w:val="single" w:sz="4" w:space="0" w:color="auto"/>
              <w:right w:val="single" w:sz="4" w:space="0" w:color="auto"/>
            </w:tcBorders>
            <w:vAlign w:val="center"/>
          </w:tcPr>
          <w:p w14:paraId="77D321DA" w14:textId="77777777" w:rsidR="002D0AE7" w:rsidRDefault="002D0AE7">
            <w:pPr>
              <w:autoSpaceDE w:val="0"/>
              <w:autoSpaceDN w:val="0"/>
              <w:adjustRightInd w:val="0"/>
              <w:jc w:val="right"/>
              <w:rPr>
                <w:rFonts w:ascii="Times New Roman" w:hAnsi="Times New Roman" w:cs="Times New Roman"/>
                <w:sz w:val="21"/>
                <w:szCs w:val="21"/>
              </w:rPr>
            </w:pPr>
          </w:p>
        </w:tc>
      </w:tr>
      <w:tr w:rsidR="002D0AE7" w14:paraId="5632169A" w14:textId="77777777">
        <w:tc>
          <w:tcPr>
            <w:tcW w:w="1765" w:type="pct"/>
            <w:tcBorders>
              <w:top w:val="single" w:sz="4" w:space="0" w:color="auto"/>
              <w:left w:val="single" w:sz="4" w:space="0" w:color="auto"/>
              <w:bottom w:val="single" w:sz="4" w:space="0" w:color="auto"/>
              <w:right w:val="single" w:sz="4" w:space="0" w:color="auto"/>
            </w:tcBorders>
            <w:vAlign w:val="center"/>
          </w:tcPr>
          <w:p w14:paraId="55C9BC48" w14:textId="77777777" w:rsidR="002D0AE7" w:rsidRDefault="00333EBB">
            <w:pPr>
              <w:autoSpaceDE w:val="0"/>
              <w:autoSpaceDN w:val="0"/>
              <w:adjustRightInd w:val="0"/>
              <w:rPr>
                <w:rFonts w:hint="eastAsia"/>
                <w:color w:val="000000" w:themeColor="text1"/>
                <w:sz w:val="21"/>
                <w:szCs w:val="21"/>
              </w:rPr>
            </w:pPr>
            <w:r>
              <w:rPr>
                <w:rFonts w:hint="eastAsia"/>
                <w:color w:val="000000" w:themeColor="text1"/>
                <w:sz w:val="21"/>
                <w:szCs w:val="21"/>
              </w:rPr>
              <w:t>债务重组损失</w:t>
            </w:r>
          </w:p>
        </w:tc>
        <w:tc>
          <w:tcPr>
            <w:tcW w:w="1124" w:type="pct"/>
            <w:tcBorders>
              <w:top w:val="single" w:sz="4" w:space="0" w:color="auto"/>
              <w:left w:val="single" w:sz="4" w:space="0" w:color="auto"/>
              <w:bottom w:val="single" w:sz="4" w:space="0" w:color="auto"/>
              <w:right w:val="single" w:sz="4" w:space="0" w:color="auto"/>
            </w:tcBorders>
            <w:vAlign w:val="center"/>
          </w:tcPr>
          <w:p w14:paraId="3748EB33" w14:textId="77777777" w:rsidR="002D0AE7" w:rsidRDefault="002D0AE7">
            <w:pPr>
              <w:jc w:val="right"/>
              <w:rPr>
                <w:rFonts w:ascii="Times New Roman" w:hAnsi="Times New Roman" w:cs="Times New Roman"/>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14:paraId="0373E397" w14:textId="77777777" w:rsidR="002D0AE7" w:rsidRDefault="002D0AE7">
            <w:pPr>
              <w:jc w:val="right"/>
              <w:rPr>
                <w:rFonts w:ascii="Times New Roman" w:hAnsi="Times New Roman" w:cs="Times New Roman"/>
                <w:sz w:val="21"/>
                <w:szCs w:val="21"/>
              </w:rPr>
            </w:pPr>
          </w:p>
        </w:tc>
        <w:tc>
          <w:tcPr>
            <w:tcW w:w="1147" w:type="pct"/>
            <w:tcBorders>
              <w:top w:val="single" w:sz="4" w:space="0" w:color="auto"/>
              <w:left w:val="single" w:sz="4" w:space="0" w:color="auto"/>
              <w:bottom w:val="single" w:sz="4" w:space="0" w:color="auto"/>
              <w:right w:val="single" w:sz="4" w:space="0" w:color="auto"/>
            </w:tcBorders>
            <w:vAlign w:val="center"/>
          </w:tcPr>
          <w:p w14:paraId="0FEEC617" w14:textId="77777777" w:rsidR="002D0AE7" w:rsidRDefault="002D0AE7">
            <w:pPr>
              <w:autoSpaceDE w:val="0"/>
              <w:autoSpaceDN w:val="0"/>
              <w:adjustRightInd w:val="0"/>
              <w:jc w:val="right"/>
              <w:rPr>
                <w:rFonts w:ascii="Times New Roman" w:hAnsi="Times New Roman" w:cs="Times New Roman"/>
                <w:sz w:val="21"/>
                <w:szCs w:val="21"/>
              </w:rPr>
            </w:pPr>
          </w:p>
        </w:tc>
      </w:tr>
      <w:tr w:rsidR="002D0AE7" w14:paraId="76D668BB" w14:textId="77777777">
        <w:tc>
          <w:tcPr>
            <w:tcW w:w="1765" w:type="pct"/>
            <w:tcBorders>
              <w:top w:val="single" w:sz="4" w:space="0" w:color="auto"/>
              <w:left w:val="single" w:sz="4" w:space="0" w:color="auto"/>
              <w:bottom w:val="single" w:sz="4" w:space="0" w:color="auto"/>
              <w:right w:val="single" w:sz="4" w:space="0" w:color="auto"/>
            </w:tcBorders>
            <w:vAlign w:val="center"/>
          </w:tcPr>
          <w:p w14:paraId="5A99FF44" w14:textId="77777777" w:rsidR="002D0AE7" w:rsidRDefault="00333EBB">
            <w:pPr>
              <w:autoSpaceDE w:val="0"/>
              <w:autoSpaceDN w:val="0"/>
              <w:adjustRightInd w:val="0"/>
              <w:rPr>
                <w:rFonts w:hint="eastAsia"/>
                <w:color w:val="000000" w:themeColor="text1"/>
                <w:sz w:val="21"/>
                <w:szCs w:val="21"/>
              </w:rPr>
            </w:pPr>
            <w:r>
              <w:rPr>
                <w:rFonts w:hint="eastAsia"/>
                <w:color w:val="000000" w:themeColor="text1"/>
                <w:sz w:val="21"/>
                <w:szCs w:val="21"/>
              </w:rPr>
              <w:t>非货币性资产交换损失</w:t>
            </w:r>
          </w:p>
        </w:tc>
        <w:tc>
          <w:tcPr>
            <w:tcW w:w="1124" w:type="pct"/>
            <w:tcBorders>
              <w:top w:val="single" w:sz="4" w:space="0" w:color="auto"/>
              <w:left w:val="single" w:sz="4" w:space="0" w:color="auto"/>
              <w:bottom w:val="single" w:sz="4" w:space="0" w:color="auto"/>
              <w:right w:val="single" w:sz="4" w:space="0" w:color="auto"/>
            </w:tcBorders>
            <w:vAlign w:val="center"/>
          </w:tcPr>
          <w:p w14:paraId="60E2AE11" w14:textId="77777777" w:rsidR="002D0AE7" w:rsidRDefault="002D0AE7">
            <w:pPr>
              <w:jc w:val="right"/>
              <w:rPr>
                <w:rFonts w:ascii="Times New Roman" w:hAnsi="Times New Roman" w:cs="Times New Roman"/>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14:paraId="733C9E43" w14:textId="77777777" w:rsidR="002D0AE7" w:rsidRDefault="002D0AE7">
            <w:pPr>
              <w:jc w:val="right"/>
              <w:rPr>
                <w:rFonts w:ascii="Times New Roman" w:hAnsi="Times New Roman" w:cs="Times New Roman"/>
                <w:sz w:val="21"/>
                <w:szCs w:val="21"/>
              </w:rPr>
            </w:pPr>
          </w:p>
        </w:tc>
        <w:tc>
          <w:tcPr>
            <w:tcW w:w="1147" w:type="pct"/>
            <w:tcBorders>
              <w:top w:val="single" w:sz="4" w:space="0" w:color="auto"/>
              <w:left w:val="single" w:sz="4" w:space="0" w:color="auto"/>
              <w:bottom w:val="single" w:sz="4" w:space="0" w:color="auto"/>
              <w:right w:val="single" w:sz="4" w:space="0" w:color="auto"/>
            </w:tcBorders>
            <w:vAlign w:val="center"/>
          </w:tcPr>
          <w:p w14:paraId="7790533E" w14:textId="77777777" w:rsidR="002D0AE7" w:rsidRDefault="002D0AE7">
            <w:pPr>
              <w:autoSpaceDE w:val="0"/>
              <w:autoSpaceDN w:val="0"/>
              <w:adjustRightInd w:val="0"/>
              <w:jc w:val="right"/>
              <w:rPr>
                <w:rFonts w:ascii="Times New Roman" w:hAnsi="Times New Roman" w:cs="Times New Roman"/>
                <w:sz w:val="21"/>
                <w:szCs w:val="21"/>
              </w:rPr>
            </w:pPr>
          </w:p>
        </w:tc>
      </w:tr>
      <w:tr w:rsidR="002D0AE7" w14:paraId="7DD1A0FF" w14:textId="77777777">
        <w:tc>
          <w:tcPr>
            <w:tcW w:w="1765" w:type="pct"/>
            <w:tcBorders>
              <w:top w:val="single" w:sz="4" w:space="0" w:color="auto"/>
              <w:left w:val="single" w:sz="4" w:space="0" w:color="auto"/>
              <w:bottom w:val="single" w:sz="4" w:space="0" w:color="auto"/>
              <w:right w:val="single" w:sz="4" w:space="0" w:color="auto"/>
            </w:tcBorders>
            <w:vAlign w:val="center"/>
          </w:tcPr>
          <w:p w14:paraId="1A7CCDD7" w14:textId="77777777" w:rsidR="002D0AE7" w:rsidRDefault="00333EBB">
            <w:pPr>
              <w:autoSpaceDE w:val="0"/>
              <w:autoSpaceDN w:val="0"/>
              <w:adjustRightInd w:val="0"/>
              <w:rPr>
                <w:rFonts w:hint="eastAsia"/>
                <w:color w:val="000000" w:themeColor="text1"/>
                <w:sz w:val="21"/>
                <w:szCs w:val="21"/>
              </w:rPr>
            </w:pPr>
            <w:r>
              <w:rPr>
                <w:rFonts w:hint="eastAsia"/>
                <w:color w:val="000000" w:themeColor="text1"/>
                <w:sz w:val="21"/>
                <w:szCs w:val="21"/>
              </w:rPr>
              <w:t>对外捐赠</w:t>
            </w:r>
          </w:p>
        </w:tc>
        <w:tc>
          <w:tcPr>
            <w:tcW w:w="1124" w:type="pct"/>
            <w:tcBorders>
              <w:top w:val="single" w:sz="4" w:space="0" w:color="auto"/>
              <w:left w:val="single" w:sz="4" w:space="0" w:color="auto"/>
              <w:bottom w:val="single" w:sz="4" w:space="0" w:color="auto"/>
              <w:right w:val="single" w:sz="4" w:space="0" w:color="auto"/>
            </w:tcBorders>
            <w:vAlign w:val="center"/>
          </w:tcPr>
          <w:p w14:paraId="40F166FB" w14:textId="77777777" w:rsidR="002D0AE7" w:rsidRDefault="002D0AE7">
            <w:pPr>
              <w:jc w:val="right"/>
              <w:rPr>
                <w:rFonts w:ascii="Times New Roman" w:hAnsi="Times New Roman" w:cs="Times New Roman"/>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14:paraId="080875AB" w14:textId="77777777" w:rsidR="002D0AE7" w:rsidRDefault="002D0AE7">
            <w:pPr>
              <w:jc w:val="right"/>
              <w:rPr>
                <w:rFonts w:ascii="Times New Roman" w:hAnsi="Times New Roman" w:cs="Times New Roman"/>
                <w:sz w:val="21"/>
                <w:szCs w:val="21"/>
              </w:rPr>
            </w:pPr>
          </w:p>
        </w:tc>
        <w:tc>
          <w:tcPr>
            <w:tcW w:w="1147" w:type="pct"/>
            <w:tcBorders>
              <w:top w:val="single" w:sz="4" w:space="0" w:color="auto"/>
              <w:left w:val="single" w:sz="4" w:space="0" w:color="auto"/>
              <w:bottom w:val="single" w:sz="4" w:space="0" w:color="auto"/>
              <w:right w:val="single" w:sz="4" w:space="0" w:color="auto"/>
            </w:tcBorders>
            <w:vAlign w:val="center"/>
          </w:tcPr>
          <w:p w14:paraId="4796C35D" w14:textId="77777777" w:rsidR="002D0AE7" w:rsidRDefault="002D0AE7">
            <w:pPr>
              <w:autoSpaceDE w:val="0"/>
              <w:autoSpaceDN w:val="0"/>
              <w:adjustRightInd w:val="0"/>
              <w:jc w:val="right"/>
              <w:rPr>
                <w:rFonts w:ascii="Times New Roman" w:hAnsi="Times New Roman" w:cs="Times New Roman"/>
                <w:sz w:val="21"/>
                <w:szCs w:val="21"/>
              </w:rPr>
            </w:pPr>
          </w:p>
        </w:tc>
      </w:tr>
      <w:tr w:rsidR="002D0AE7" w14:paraId="72B548BF" w14:textId="77777777">
        <w:tc>
          <w:tcPr>
            <w:tcW w:w="1765" w:type="pct"/>
            <w:tcBorders>
              <w:top w:val="single" w:sz="4" w:space="0" w:color="auto"/>
              <w:left w:val="single" w:sz="4" w:space="0" w:color="auto"/>
              <w:bottom w:val="single" w:sz="4" w:space="0" w:color="auto"/>
              <w:right w:val="single" w:sz="4" w:space="0" w:color="auto"/>
            </w:tcBorders>
            <w:vAlign w:val="center"/>
          </w:tcPr>
          <w:p w14:paraId="6E1A4B26" w14:textId="77777777" w:rsidR="002D0AE7" w:rsidRDefault="00333EBB">
            <w:pPr>
              <w:rPr>
                <w:rFonts w:hint="eastAsia"/>
                <w:sz w:val="21"/>
                <w:szCs w:val="21"/>
              </w:rPr>
            </w:pPr>
            <w:r>
              <w:rPr>
                <w:rFonts w:hint="eastAsia"/>
                <w:sz w:val="21"/>
                <w:szCs w:val="21"/>
              </w:rPr>
              <w:t>其中：公益性捐赠</w:t>
            </w:r>
          </w:p>
        </w:tc>
        <w:tc>
          <w:tcPr>
            <w:tcW w:w="1124" w:type="pct"/>
            <w:tcBorders>
              <w:top w:val="single" w:sz="4" w:space="0" w:color="auto"/>
              <w:left w:val="single" w:sz="4" w:space="0" w:color="auto"/>
              <w:bottom w:val="single" w:sz="4" w:space="0" w:color="auto"/>
              <w:right w:val="single" w:sz="4" w:space="0" w:color="auto"/>
            </w:tcBorders>
            <w:vAlign w:val="center"/>
          </w:tcPr>
          <w:p w14:paraId="01C1DC08" w14:textId="77777777" w:rsidR="002D0AE7" w:rsidRDefault="002D0AE7">
            <w:pPr>
              <w:jc w:val="right"/>
              <w:rPr>
                <w:rFonts w:ascii="Times New Roman" w:hAnsi="Times New Roman" w:cs="Times New Roman"/>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14:paraId="0522CFB0" w14:textId="77777777" w:rsidR="002D0AE7" w:rsidRDefault="002D0AE7">
            <w:pPr>
              <w:jc w:val="right"/>
              <w:rPr>
                <w:rFonts w:ascii="Times New Roman" w:hAnsi="Times New Roman" w:cs="Times New Roman"/>
                <w:sz w:val="21"/>
                <w:szCs w:val="21"/>
              </w:rPr>
            </w:pPr>
          </w:p>
        </w:tc>
        <w:tc>
          <w:tcPr>
            <w:tcW w:w="1147" w:type="pct"/>
            <w:tcBorders>
              <w:top w:val="single" w:sz="4" w:space="0" w:color="auto"/>
              <w:left w:val="single" w:sz="4" w:space="0" w:color="auto"/>
              <w:bottom w:val="single" w:sz="4" w:space="0" w:color="auto"/>
              <w:right w:val="single" w:sz="4" w:space="0" w:color="auto"/>
            </w:tcBorders>
            <w:vAlign w:val="center"/>
          </w:tcPr>
          <w:p w14:paraId="23864FEF" w14:textId="77777777" w:rsidR="002D0AE7" w:rsidRDefault="002D0AE7">
            <w:pPr>
              <w:jc w:val="right"/>
              <w:rPr>
                <w:rFonts w:ascii="Times New Roman" w:hAnsi="Times New Roman" w:cs="Times New Roman"/>
                <w:sz w:val="21"/>
                <w:szCs w:val="21"/>
              </w:rPr>
            </w:pPr>
          </w:p>
        </w:tc>
      </w:tr>
      <w:tr w:rsidR="002D0AE7" w14:paraId="25931327" w14:textId="77777777">
        <w:tc>
          <w:tcPr>
            <w:tcW w:w="1765" w:type="pct"/>
            <w:tcBorders>
              <w:top w:val="single" w:sz="4" w:space="0" w:color="auto"/>
              <w:left w:val="single" w:sz="4" w:space="0" w:color="auto"/>
              <w:bottom w:val="single" w:sz="4" w:space="0" w:color="auto"/>
              <w:right w:val="single" w:sz="4" w:space="0" w:color="auto"/>
            </w:tcBorders>
            <w:vAlign w:val="center"/>
          </w:tcPr>
          <w:p w14:paraId="2FB4BC8A" w14:textId="77777777" w:rsidR="002D0AE7" w:rsidRDefault="00333EBB">
            <w:pPr>
              <w:rPr>
                <w:rFonts w:hint="eastAsia"/>
                <w:sz w:val="21"/>
                <w:szCs w:val="21"/>
              </w:rPr>
            </w:pPr>
            <w:r>
              <w:rPr>
                <w:rFonts w:hint="eastAsia"/>
                <w:sz w:val="21"/>
                <w:szCs w:val="21"/>
              </w:rPr>
              <w:t>非公益性捐赠</w:t>
            </w:r>
          </w:p>
        </w:tc>
        <w:tc>
          <w:tcPr>
            <w:tcW w:w="1124" w:type="pct"/>
            <w:tcBorders>
              <w:top w:val="single" w:sz="4" w:space="0" w:color="auto"/>
              <w:left w:val="single" w:sz="4" w:space="0" w:color="auto"/>
              <w:bottom w:val="single" w:sz="4" w:space="0" w:color="auto"/>
              <w:right w:val="single" w:sz="4" w:space="0" w:color="auto"/>
            </w:tcBorders>
            <w:vAlign w:val="center"/>
          </w:tcPr>
          <w:p w14:paraId="43B1C0A4" w14:textId="77777777" w:rsidR="002D0AE7" w:rsidRDefault="002D0AE7">
            <w:pPr>
              <w:jc w:val="right"/>
              <w:rPr>
                <w:rFonts w:ascii="Times New Roman" w:hAnsi="Times New Roman" w:cs="Times New Roman"/>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14:paraId="15382A7F" w14:textId="77777777" w:rsidR="002D0AE7" w:rsidRDefault="002D0AE7">
            <w:pPr>
              <w:jc w:val="right"/>
              <w:rPr>
                <w:rFonts w:ascii="Times New Roman" w:hAnsi="Times New Roman" w:cs="Times New Roman"/>
                <w:sz w:val="21"/>
                <w:szCs w:val="21"/>
              </w:rPr>
            </w:pPr>
          </w:p>
        </w:tc>
        <w:tc>
          <w:tcPr>
            <w:tcW w:w="1147" w:type="pct"/>
            <w:tcBorders>
              <w:top w:val="single" w:sz="4" w:space="0" w:color="auto"/>
              <w:left w:val="single" w:sz="4" w:space="0" w:color="auto"/>
              <w:bottom w:val="single" w:sz="4" w:space="0" w:color="auto"/>
              <w:right w:val="single" w:sz="4" w:space="0" w:color="auto"/>
            </w:tcBorders>
            <w:vAlign w:val="center"/>
          </w:tcPr>
          <w:p w14:paraId="26C31897" w14:textId="77777777" w:rsidR="002D0AE7" w:rsidRDefault="002D0AE7">
            <w:pPr>
              <w:jc w:val="right"/>
              <w:rPr>
                <w:rFonts w:ascii="Times New Roman" w:hAnsi="Times New Roman" w:cs="Times New Roman"/>
                <w:sz w:val="21"/>
                <w:szCs w:val="21"/>
              </w:rPr>
            </w:pPr>
          </w:p>
        </w:tc>
      </w:tr>
      <w:tr w:rsidR="002D0AE7" w14:paraId="56AF740D" w14:textId="77777777">
        <w:tc>
          <w:tcPr>
            <w:tcW w:w="1765" w:type="pct"/>
            <w:tcBorders>
              <w:top w:val="single" w:sz="4" w:space="0" w:color="auto"/>
              <w:left w:val="single" w:sz="4" w:space="0" w:color="auto"/>
              <w:bottom w:val="single" w:sz="4" w:space="0" w:color="auto"/>
              <w:right w:val="single" w:sz="4" w:space="0" w:color="auto"/>
            </w:tcBorders>
            <w:vAlign w:val="center"/>
          </w:tcPr>
          <w:p w14:paraId="16527EC9" w14:textId="77777777" w:rsidR="002D0AE7" w:rsidRDefault="00333EBB">
            <w:pPr>
              <w:rPr>
                <w:rFonts w:hint="eastAsia"/>
                <w:sz w:val="21"/>
                <w:szCs w:val="21"/>
              </w:rPr>
            </w:pPr>
            <w:r>
              <w:rPr>
                <w:rFonts w:hint="eastAsia"/>
                <w:sz w:val="21"/>
                <w:szCs w:val="21"/>
              </w:rPr>
              <w:t>违约金、赔偿金及罚款支出</w:t>
            </w:r>
          </w:p>
        </w:tc>
        <w:tc>
          <w:tcPr>
            <w:tcW w:w="1124" w:type="pct"/>
            <w:tcBorders>
              <w:top w:val="single" w:sz="4" w:space="0" w:color="auto"/>
              <w:left w:val="single" w:sz="4" w:space="0" w:color="auto"/>
              <w:bottom w:val="single" w:sz="4" w:space="0" w:color="auto"/>
              <w:right w:val="single" w:sz="4" w:space="0" w:color="auto"/>
            </w:tcBorders>
            <w:vAlign w:val="bottom"/>
          </w:tcPr>
          <w:p w14:paraId="75D6A0A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216,273.63</w:t>
            </w:r>
          </w:p>
        </w:tc>
        <w:tc>
          <w:tcPr>
            <w:tcW w:w="964" w:type="pct"/>
            <w:tcBorders>
              <w:top w:val="single" w:sz="4" w:space="0" w:color="auto"/>
              <w:left w:val="single" w:sz="4" w:space="0" w:color="auto"/>
              <w:bottom w:val="single" w:sz="4" w:space="0" w:color="auto"/>
              <w:right w:val="single" w:sz="4" w:space="0" w:color="auto"/>
            </w:tcBorders>
            <w:vAlign w:val="bottom"/>
          </w:tcPr>
          <w:p w14:paraId="45DE63B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1,454,179.03</w:t>
            </w:r>
          </w:p>
        </w:tc>
        <w:tc>
          <w:tcPr>
            <w:tcW w:w="1147" w:type="pct"/>
            <w:tcBorders>
              <w:top w:val="single" w:sz="4" w:space="0" w:color="auto"/>
              <w:left w:val="single" w:sz="4" w:space="0" w:color="auto"/>
              <w:bottom w:val="single" w:sz="4" w:space="0" w:color="auto"/>
              <w:right w:val="single" w:sz="4" w:space="0" w:color="auto"/>
            </w:tcBorders>
            <w:vAlign w:val="center"/>
          </w:tcPr>
          <w:p w14:paraId="7FA421B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216,273.63</w:t>
            </w:r>
          </w:p>
        </w:tc>
      </w:tr>
      <w:tr w:rsidR="002D0AE7" w14:paraId="67B71B26" w14:textId="77777777">
        <w:tc>
          <w:tcPr>
            <w:tcW w:w="1765" w:type="pct"/>
            <w:tcBorders>
              <w:top w:val="single" w:sz="4" w:space="0" w:color="auto"/>
              <w:left w:val="single" w:sz="4" w:space="0" w:color="auto"/>
              <w:bottom w:val="single" w:sz="4" w:space="0" w:color="auto"/>
              <w:right w:val="single" w:sz="4" w:space="0" w:color="auto"/>
            </w:tcBorders>
            <w:vAlign w:val="center"/>
          </w:tcPr>
          <w:p w14:paraId="240404A5" w14:textId="77777777" w:rsidR="002D0AE7" w:rsidRDefault="00333EBB">
            <w:pPr>
              <w:rPr>
                <w:rFonts w:hint="eastAsia"/>
                <w:sz w:val="21"/>
                <w:szCs w:val="21"/>
              </w:rPr>
            </w:pPr>
            <w:r>
              <w:rPr>
                <w:rFonts w:hint="eastAsia"/>
                <w:sz w:val="21"/>
                <w:szCs w:val="21"/>
              </w:rPr>
              <w:t>其他</w:t>
            </w:r>
          </w:p>
        </w:tc>
        <w:tc>
          <w:tcPr>
            <w:tcW w:w="1124" w:type="pct"/>
            <w:tcBorders>
              <w:top w:val="single" w:sz="4" w:space="0" w:color="auto"/>
              <w:left w:val="single" w:sz="4" w:space="0" w:color="auto"/>
              <w:bottom w:val="single" w:sz="4" w:space="0" w:color="auto"/>
              <w:right w:val="single" w:sz="4" w:space="0" w:color="auto"/>
            </w:tcBorders>
            <w:vAlign w:val="center"/>
          </w:tcPr>
          <w:p w14:paraId="4932F353" w14:textId="77777777" w:rsidR="002D0AE7" w:rsidRDefault="002D0AE7">
            <w:pPr>
              <w:jc w:val="right"/>
              <w:rPr>
                <w:rFonts w:ascii="Times New Roman" w:hAnsi="Times New Roman" w:cs="Times New Roman"/>
                <w:sz w:val="21"/>
                <w:szCs w:val="21"/>
              </w:rPr>
            </w:pPr>
          </w:p>
        </w:tc>
        <w:tc>
          <w:tcPr>
            <w:tcW w:w="964" w:type="pct"/>
            <w:tcBorders>
              <w:top w:val="single" w:sz="4" w:space="0" w:color="auto"/>
              <w:left w:val="single" w:sz="4" w:space="0" w:color="auto"/>
              <w:bottom w:val="single" w:sz="4" w:space="0" w:color="auto"/>
              <w:right w:val="single" w:sz="4" w:space="0" w:color="auto"/>
            </w:tcBorders>
            <w:vAlign w:val="center"/>
          </w:tcPr>
          <w:p w14:paraId="42AD98A2" w14:textId="77777777" w:rsidR="002D0AE7" w:rsidRDefault="002D0AE7">
            <w:pPr>
              <w:jc w:val="right"/>
              <w:rPr>
                <w:rFonts w:ascii="Times New Roman" w:hAnsi="Times New Roman" w:cs="Times New Roman"/>
                <w:sz w:val="21"/>
                <w:szCs w:val="21"/>
              </w:rPr>
            </w:pPr>
          </w:p>
        </w:tc>
        <w:tc>
          <w:tcPr>
            <w:tcW w:w="1147" w:type="pct"/>
            <w:tcBorders>
              <w:top w:val="single" w:sz="4" w:space="0" w:color="auto"/>
              <w:left w:val="single" w:sz="4" w:space="0" w:color="auto"/>
              <w:bottom w:val="single" w:sz="4" w:space="0" w:color="auto"/>
              <w:right w:val="single" w:sz="4" w:space="0" w:color="auto"/>
            </w:tcBorders>
            <w:vAlign w:val="center"/>
          </w:tcPr>
          <w:p w14:paraId="18C564C2" w14:textId="77777777" w:rsidR="002D0AE7" w:rsidRDefault="002D0AE7">
            <w:pPr>
              <w:jc w:val="right"/>
              <w:rPr>
                <w:rFonts w:ascii="Times New Roman" w:hAnsi="Times New Roman" w:cs="Times New Roman"/>
                <w:sz w:val="21"/>
                <w:szCs w:val="21"/>
              </w:rPr>
            </w:pPr>
          </w:p>
        </w:tc>
      </w:tr>
      <w:tr w:rsidR="002D0AE7" w14:paraId="6573A43C" w14:textId="77777777">
        <w:tc>
          <w:tcPr>
            <w:tcW w:w="1765" w:type="pct"/>
            <w:tcBorders>
              <w:top w:val="single" w:sz="4" w:space="0" w:color="auto"/>
              <w:left w:val="single" w:sz="4" w:space="0" w:color="auto"/>
              <w:bottom w:val="single" w:sz="4" w:space="0" w:color="auto"/>
              <w:right w:val="single" w:sz="4" w:space="0" w:color="auto"/>
            </w:tcBorders>
            <w:vAlign w:val="center"/>
          </w:tcPr>
          <w:p w14:paraId="7699753E" w14:textId="77777777" w:rsidR="002D0AE7" w:rsidRDefault="00333EBB">
            <w:pPr>
              <w:ind w:right="6"/>
              <w:jc w:val="center"/>
              <w:rPr>
                <w:rFonts w:hint="eastAsia"/>
                <w:color w:val="000000" w:themeColor="text1"/>
                <w:sz w:val="21"/>
                <w:szCs w:val="21"/>
              </w:rPr>
            </w:pPr>
            <w:r>
              <w:rPr>
                <w:rFonts w:hint="eastAsia"/>
                <w:color w:val="000000" w:themeColor="text1"/>
                <w:sz w:val="21"/>
                <w:szCs w:val="21"/>
              </w:rPr>
              <w:t>合计</w:t>
            </w:r>
          </w:p>
        </w:tc>
        <w:tc>
          <w:tcPr>
            <w:tcW w:w="1124" w:type="pct"/>
            <w:tcBorders>
              <w:top w:val="single" w:sz="4" w:space="0" w:color="auto"/>
              <w:left w:val="single" w:sz="4" w:space="0" w:color="auto"/>
              <w:bottom w:val="single" w:sz="4" w:space="0" w:color="auto"/>
              <w:right w:val="single" w:sz="4" w:space="0" w:color="auto"/>
            </w:tcBorders>
            <w:vAlign w:val="bottom"/>
          </w:tcPr>
          <w:p w14:paraId="7833AFB3"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216,273.63</w:t>
            </w:r>
          </w:p>
        </w:tc>
        <w:tc>
          <w:tcPr>
            <w:tcW w:w="964" w:type="pct"/>
            <w:tcBorders>
              <w:top w:val="single" w:sz="4" w:space="0" w:color="auto"/>
              <w:left w:val="single" w:sz="4" w:space="0" w:color="auto"/>
              <w:bottom w:val="single" w:sz="4" w:space="0" w:color="auto"/>
              <w:right w:val="single" w:sz="4" w:space="0" w:color="auto"/>
            </w:tcBorders>
            <w:vAlign w:val="bottom"/>
          </w:tcPr>
          <w:p w14:paraId="71E860A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1,454,179.03</w:t>
            </w:r>
          </w:p>
        </w:tc>
        <w:tc>
          <w:tcPr>
            <w:tcW w:w="1147" w:type="pct"/>
            <w:tcBorders>
              <w:top w:val="single" w:sz="4" w:space="0" w:color="auto"/>
              <w:left w:val="single" w:sz="4" w:space="0" w:color="auto"/>
              <w:bottom w:val="single" w:sz="4" w:space="0" w:color="auto"/>
              <w:right w:val="single" w:sz="4" w:space="0" w:color="auto"/>
            </w:tcBorders>
            <w:vAlign w:val="center"/>
          </w:tcPr>
          <w:p w14:paraId="7AD200BF"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216,273.63</w:t>
            </w:r>
          </w:p>
        </w:tc>
      </w:tr>
    </w:tbl>
    <w:p w14:paraId="20706D96" w14:textId="77777777" w:rsidR="002D0AE7" w:rsidRDefault="00333EBB">
      <w:pPr>
        <w:spacing w:before="60" w:after="60"/>
        <w:rPr>
          <w:rFonts w:hint="eastAsia"/>
          <w:color w:val="000000" w:themeColor="text1"/>
        </w:rPr>
      </w:pPr>
      <w:r>
        <w:rPr>
          <w:rFonts w:hint="eastAsia"/>
          <w:color w:val="000000" w:themeColor="text1"/>
        </w:rPr>
        <w:t>其他说明：</w:t>
      </w:r>
      <w:sdt>
        <w:sdtPr>
          <w:rPr>
            <w:rFonts w:hint="eastAsia"/>
            <w:color w:val="000000" w:themeColor="text1"/>
          </w:rPr>
          <w:alias w:val="营业外支出说明"/>
          <w:tag w:val="_GBC_948d4d2c5cfc43b999d968de3476bc75"/>
          <w:id w:val="1372257039"/>
          <w:placeholder>
            <w:docPart w:val="GBC22222222222222222222222222222"/>
          </w:placeholder>
        </w:sdtPr>
        <w:sdtEndPr/>
        <w:sdtContent>
          <w:r>
            <w:rPr>
              <w:rFonts w:hint="eastAsia"/>
              <w:color w:val="000000" w:themeColor="text1"/>
            </w:rPr>
            <w:t>无</w:t>
          </w:r>
        </w:sdtContent>
      </w:sdt>
    </w:p>
    <w:p w14:paraId="1428DA87"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szCs w:val="21"/>
        </w:rPr>
        <w:t>所得税费用</w:t>
      </w:r>
    </w:p>
    <w:p w14:paraId="7E542802" w14:textId="77777777" w:rsidR="002D0AE7" w:rsidRDefault="00333EBB">
      <w:pPr>
        <w:pStyle w:val="4"/>
        <w:numPr>
          <w:ilvl w:val="0"/>
          <w:numId w:val="67"/>
        </w:numPr>
        <w:rPr>
          <w:rFonts w:ascii="宋体" w:hAnsi="宋体" w:hint="eastAsia"/>
          <w:color w:val="000000" w:themeColor="text1"/>
        </w:rPr>
      </w:pPr>
      <w:r>
        <w:rPr>
          <w:rFonts w:ascii="宋体" w:hAnsi="宋体" w:hint="eastAsia"/>
          <w:color w:val="000000" w:themeColor="text1"/>
        </w:rPr>
        <w:t>所得税费用表</w:t>
      </w:r>
    </w:p>
    <w:sdt>
      <w:sdtPr>
        <w:rPr>
          <w:color w:val="000000" w:themeColor="text1"/>
        </w:rPr>
        <w:alias w:val="是否适用：所得税费用表[双击切换]"/>
        <w:tag w:val="_GBC_61ff35087b014685a6e03347957ab922"/>
        <w:id w:val="-593082076"/>
        <w:placeholder>
          <w:docPart w:val="GBC22222222222222222222222222222"/>
        </w:placeholder>
      </w:sdtPr>
      <w:sdtEndPr/>
      <w:sdtContent>
        <w:p w14:paraId="7D8FD30D"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11A0A385" w14:textId="77777777" w:rsidR="002D0AE7" w:rsidRDefault="00333EBB">
      <w:pPr>
        <w:wordWrap w:val="0"/>
        <w:jc w:val="right"/>
        <w:rPr>
          <w:rFonts w:hint="eastAsia"/>
          <w:color w:val="000000" w:themeColor="text1"/>
        </w:rPr>
      </w:pPr>
      <w:r>
        <w:rPr>
          <w:rFonts w:hint="eastAsia"/>
          <w:color w:val="000000" w:themeColor="text1"/>
        </w:rPr>
        <w:t>单位：</w:t>
      </w:r>
      <w:sdt>
        <w:sdtPr>
          <w:rPr>
            <w:rFonts w:hint="eastAsia"/>
            <w:color w:val="000000" w:themeColor="text1"/>
          </w:rPr>
          <w:alias w:val="单位：财务附注：所得税费用"/>
          <w:tag w:val="_GBC_18ed8ed511fe4791a90ee25fc956bd2b"/>
          <w:id w:val="87789499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所得税费用"/>
          <w:tag w:val="_GBC_ecc6df02f1744ff084d6c0d30045219a"/>
          <w:id w:val="95175167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3133"/>
        <w:gridCol w:w="2853"/>
        <w:gridCol w:w="2837"/>
      </w:tblGrid>
      <w:tr w:rsidR="002D0AE7" w14:paraId="6238539E" w14:textId="77777777">
        <w:trPr>
          <w:trHeight w:val="87"/>
        </w:trPr>
        <w:sdt>
          <w:sdtPr>
            <w:rPr>
              <w:color w:val="000000" w:themeColor="text1"/>
              <w:sz w:val="21"/>
              <w:szCs w:val="21"/>
            </w:rPr>
            <w:tag w:val="_PLD_951f380ec376457cb80126c7d6018f65"/>
            <w:id w:val="143789286"/>
          </w:sdtPr>
          <w:sdtEndPr/>
          <w:sdtContent>
            <w:tc>
              <w:tcPr>
                <w:tcW w:w="1775" w:type="pct"/>
                <w:vAlign w:val="center"/>
              </w:tcPr>
              <w:p w14:paraId="5AADDA4A" w14:textId="77777777" w:rsidR="002D0AE7" w:rsidRDefault="00333EBB">
                <w:pPr>
                  <w:ind w:right="6"/>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1e59791ce9d340b7b60e63b833f13708"/>
            <w:id w:val="818532117"/>
          </w:sdtPr>
          <w:sdtEndPr/>
          <w:sdtContent>
            <w:tc>
              <w:tcPr>
                <w:tcW w:w="1617" w:type="pct"/>
                <w:vAlign w:val="center"/>
              </w:tcPr>
              <w:p w14:paraId="5A9C32D5" w14:textId="77777777" w:rsidR="002D0AE7" w:rsidRDefault="00333EBB">
                <w:pPr>
                  <w:ind w:right="6"/>
                  <w:jc w:val="center"/>
                  <w:rPr>
                    <w:rFonts w:hint="eastAsia"/>
                    <w:color w:val="000000" w:themeColor="text1"/>
                    <w:sz w:val="21"/>
                    <w:szCs w:val="21"/>
                  </w:rPr>
                </w:pPr>
                <w:r>
                  <w:rPr>
                    <w:rFonts w:hint="eastAsia"/>
                    <w:color w:val="000000" w:themeColor="text1"/>
                    <w:sz w:val="21"/>
                    <w:szCs w:val="21"/>
                  </w:rPr>
                  <w:t>本期发生额</w:t>
                </w:r>
              </w:p>
            </w:tc>
          </w:sdtContent>
        </w:sdt>
        <w:sdt>
          <w:sdtPr>
            <w:rPr>
              <w:color w:val="000000" w:themeColor="text1"/>
              <w:sz w:val="21"/>
              <w:szCs w:val="21"/>
            </w:rPr>
            <w:tag w:val="_PLD_23c0825dcbc74481a17a7811dee40e02"/>
            <w:id w:val="-946380683"/>
          </w:sdtPr>
          <w:sdtEndPr/>
          <w:sdtContent>
            <w:tc>
              <w:tcPr>
                <w:tcW w:w="1608" w:type="pct"/>
                <w:vAlign w:val="center"/>
              </w:tcPr>
              <w:p w14:paraId="3556E913" w14:textId="77777777" w:rsidR="002D0AE7" w:rsidRDefault="00333EBB">
                <w:pPr>
                  <w:ind w:right="6"/>
                  <w:jc w:val="center"/>
                  <w:rPr>
                    <w:rFonts w:hint="eastAsia"/>
                    <w:color w:val="000000" w:themeColor="text1"/>
                    <w:sz w:val="21"/>
                    <w:szCs w:val="21"/>
                  </w:rPr>
                </w:pPr>
                <w:r>
                  <w:rPr>
                    <w:rFonts w:hint="eastAsia"/>
                    <w:color w:val="000000" w:themeColor="text1"/>
                    <w:sz w:val="21"/>
                    <w:szCs w:val="21"/>
                  </w:rPr>
                  <w:t>上期发生额</w:t>
                </w:r>
              </w:p>
            </w:tc>
          </w:sdtContent>
        </w:sdt>
      </w:tr>
      <w:tr w:rsidR="002D0AE7" w14:paraId="35D31D85" w14:textId="77777777">
        <w:tc>
          <w:tcPr>
            <w:tcW w:w="1775" w:type="pct"/>
          </w:tcPr>
          <w:p w14:paraId="25ECCCCF" w14:textId="77777777" w:rsidR="002D0AE7" w:rsidRDefault="00333EBB">
            <w:pPr>
              <w:ind w:right="6"/>
              <w:rPr>
                <w:rFonts w:hint="eastAsia"/>
                <w:b/>
                <w:bCs/>
                <w:color w:val="000000" w:themeColor="text1"/>
                <w:sz w:val="21"/>
                <w:szCs w:val="21"/>
              </w:rPr>
            </w:pPr>
            <w:r>
              <w:rPr>
                <w:rFonts w:hint="eastAsia"/>
                <w:color w:val="000000" w:themeColor="text1"/>
                <w:sz w:val="21"/>
                <w:szCs w:val="21"/>
              </w:rPr>
              <w:t>当期所得税费用</w:t>
            </w:r>
          </w:p>
        </w:tc>
        <w:tc>
          <w:tcPr>
            <w:tcW w:w="1617" w:type="pct"/>
            <w:vAlign w:val="center"/>
          </w:tcPr>
          <w:p w14:paraId="0879F71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12,825,011.85</w:t>
            </w:r>
          </w:p>
        </w:tc>
        <w:tc>
          <w:tcPr>
            <w:tcW w:w="1608" w:type="pct"/>
            <w:vAlign w:val="center"/>
          </w:tcPr>
          <w:p w14:paraId="4A082729" w14:textId="77777777" w:rsidR="002D0AE7" w:rsidRDefault="00333EBB">
            <w:pPr>
              <w:ind w:right="6"/>
              <w:jc w:val="right"/>
              <w:rPr>
                <w:rFonts w:ascii="Times New Roman" w:hAnsi="Times New Roman" w:cs="Times New Roman"/>
                <w:sz w:val="21"/>
                <w:szCs w:val="21"/>
              </w:rPr>
            </w:pPr>
            <w:r>
              <w:rPr>
                <w:rFonts w:ascii="Times New Roman" w:hAnsi="Times New Roman" w:cs="Times New Roman"/>
                <w:sz w:val="21"/>
                <w:szCs w:val="21"/>
              </w:rPr>
              <w:t>13,948,467.87</w:t>
            </w:r>
          </w:p>
        </w:tc>
      </w:tr>
      <w:tr w:rsidR="002D0AE7" w14:paraId="04A0A3C8" w14:textId="77777777">
        <w:tc>
          <w:tcPr>
            <w:tcW w:w="1775" w:type="pct"/>
          </w:tcPr>
          <w:p w14:paraId="7F20580C" w14:textId="77777777" w:rsidR="002D0AE7" w:rsidRDefault="00333EBB">
            <w:pPr>
              <w:ind w:right="6"/>
              <w:rPr>
                <w:rFonts w:hint="eastAsia"/>
                <w:color w:val="000000" w:themeColor="text1"/>
                <w:sz w:val="21"/>
                <w:szCs w:val="21"/>
              </w:rPr>
            </w:pPr>
            <w:r>
              <w:rPr>
                <w:rFonts w:hint="eastAsia"/>
                <w:color w:val="000000" w:themeColor="text1"/>
                <w:sz w:val="21"/>
                <w:szCs w:val="21"/>
              </w:rPr>
              <w:t>递延所得税费用</w:t>
            </w:r>
          </w:p>
        </w:tc>
        <w:tc>
          <w:tcPr>
            <w:tcW w:w="1617" w:type="pct"/>
            <w:vAlign w:val="center"/>
          </w:tcPr>
          <w:p w14:paraId="16DEB14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2,902,830.32</w:t>
            </w:r>
          </w:p>
        </w:tc>
        <w:tc>
          <w:tcPr>
            <w:tcW w:w="1608" w:type="pct"/>
            <w:vAlign w:val="center"/>
          </w:tcPr>
          <w:p w14:paraId="7844DB5E" w14:textId="77777777" w:rsidR="002D0AE7" w:rsidRDefault="00333EBB">
            <w:pPr>
              <w:ind w:right="6"/>
              <w:jc w:val="right"/>
              <w:rPr>
                <w:rFonts w:ascii="Times New Roman" w:hAnsi="Times New Roman" w:cs="Times New Roman"/>
                <w:sz w:val="21"/>
                <w:szCs w:val="21"/>
              </w:rPr>
            </w:pPr>
            <w:r>
              <w:rPr>
                <w:rFonts w:ascii="Times New Roman" w:hAnsi="Times New Roman" w:cs="Times New Roman"/>
                <w:sz w:val="21"/>
                <w:szCs w:val="21"/>
              </w:rPr>
              <w:t>-2,161,864.61</w:t>
            </w:r>
          </w:p>
        </w:tc>
      </w:tr>
      <w:tr w:rsidR="002D0AE7" w14:paraId="4DA978D5" w14:textId="77777777">
        <w:tc>
          <w:tcPr>
            <w:tcW w:w="1775" w:type="pct"/>
          </w:tcPr>
          <w:p w14:paraId="21B7E23C" w14:textId="77777777" w:rsidR="002D0AE7" w:rsidRDefault="00333EBB">
            <w:pPr>
              <w:ind w:right="6"/>
              <w:rPr>
                <w:rFonts w:hint="eastAsia"/>
                <w:sz w:val="21"/>
                <w:szCs w:val="21"/>
              </w:rPr>
            </w:pPr>
            <w:r>
              <w:rPr>
                <w:rFonts w:hint="eastAsia"/>
                <w:sz w:val="21"/>
                <w:szCs w:val="21"/>
              </w:rPr>
              <w:t>调整以前年度所得税影响</w:t>
            </w:r>
          </w:p>
        </w:tc>
        <w:tc>
          <w:tcPr>
            <w:tcW w:w="1617" w:type="pct"/>
            <w:vAlign w:val="center"/>
          </w:tcPr>
          <w:p w14:paraId="266EE294" w14:textId="77777777" w:rsidR="002D0AE7" w:rsidRDefault="00333EBB">
            <w:pPr>
              <w:ind w:right="6"/>
              <w:jc w:val="right"/>
              <w:rPr>
                <w:rFonts w:ascii="Times New Roman" w:hAnsi="Times New Roman" w:cs="Times New Roman"/>
                <w:sz w:val="21"/>
                <w:szCs w:val="21"/>
              </w:rPr>
            </w:pPr>
            <w:r>
              <w:rPr>
                <w:rFonts w:ascii="Times New Roman" w:hAnsi="Times New Roman" w:cs="Times New Roman"/>
                <w:color w:val="000000"/>
                <w:sz w:val="21"/>
                <w:szCs w:val="21"/>
              </w:rPr>
              <w:t>1,199,807.96</w:t>
            </w:r>
          </w:p>
        </w:tc>
        <w:tc>
          <w:tcPr>
            <w:tcW w:w="1608" w:type="pct"/>
            <w:vAlign w:val="center"/>
          </w:tcPr>
          <w:p w14:paraId="06F705E3" w14:textId="77777777" w:rsidR="002D0AE7" w:rsidRDefault="00333EBB">
            <w:pPr>
              <w:ind w:right="6"/>
              <w:jc w:val="right"/>
              <w:rPr>
                <w:rFonts w:ascii="Times New Roman" w:hAnsi="Times New Roman" w:cs="Times New Roman"/>
                <w:sz w:val="21"/>
                <w:szCs w:val="21"/>
              </w:rPr>
            </w:pPr>
            <w:r>
              <w:rPr>
                <w:rFonts w:ascii="Times New Roman" w:hAnsi="Times New Roman" w:cs="Times New Roman"/>
                <w:sz w:val="21"/>
                <w:szCs w:val="21"/>
              </w:rPr>
              <w:t>1,514,477.84</w:t>
            </w:r>
          </w:p>
        </w:tc>
      </w:tr>
      <w:tr w:rsidR="002D0AE7" w14:paraId="5B66F1DC" w14:textId="77777777">
        <w:tc>
          <w:tcPr>
            <w:tcW w:w="1775" w:type="pct"/>
          </w:tcPr>
          <w:p w14:paraId="798D5306" w14:textId="77777777" w:rsidR="002D0AE7" w:rsidRDefault="00333EBB">
            <w:pPr>
              <w:ind w:right="6"/>
              <w:jc w:val="center"/>
              <w:rPr>
                <w:rFonts w:hint="eastAsia"/>
                <w:color w:val="000000" w:themeColor="text1"/>
                <w:sz w:val="21"/>
                <w:szCs w:val="21"/>
              </w:rPr>
            </w:pPr>
            <w:r>
              <w:rPr>
                <w:rFonts w:hint="eastAsia"/>
                <w:color w:val="000000" w:themeColor="text1"/>
                <w:sz w:val="21"/>
                <w:szCs w:val="21"/>
              </w:rPr>
              <w:t>合计</w:t>
            </w:r>
          </w:p>
        </w:tc>
        <w:tc>
          <w:tcPr>
            <w:tcW w:w="1617" w:type="pct"/>
            <w:vAlign w:val="center"/>
          </w:tcPr>
          <w:p w14:paraId="3DB7109B" w14:textId="77777777" w:rsidR="002D0AE7" w:rsidRDefault="00333EBB">
            <w:pPr>
              <w:ind w:right="6"/>
              <w:jc w:val="right"/>
              <w:rPr>
                <w:rFonts w:ascii="Times New Roman" w:hAnsi="Times New Roman" w:cs="Times New Roman"/>
                <w:sz w:val="21"/>
                <w:szCs w:val="21"/>
              </w:rPr>
            </w:pPr>
            <w:r>
              <w:rPr>
                <w:rFonts w:ascii="Times New Roman" w:hAnsi="Times New Roman" w:cs="Times New Roman"/>
                <w:color w:val="000000"/>
                <w:sz w:val="21"/>
                <w:szCs w:val="21"/>
              </w:rPr>
              <w:t>16,927,650.13</w:t>
            </w:r>
          </w:p>
        </w:tc>
        <w:tc>
          <w:tcPr>
            <w:tcW w:w="1608" w:type="pct"/>
            <w:vAlign w:val="center"/>
          </w:tcPr>
          <w:p w14:paraId="3304D4DD" w14:textId="77777777" w:rsidR="002D0AE7" w:rsidRDefault="00333EBB">
            <w:pPr>
              <w:ind w:right="6"/>
              <w:jc w:val="right"/>
              <w:rPr>
                <w:rFonts w:ascii="Times New Roman" w:hAnsi="Times New Roman" w:cs="Times New Roman"/>
                <w:sz w:val="21"/>
                <w:szCs w:val="21"/>
              </w:rPr>
            </w:pPr>
            <w:r>
              <w:rPr>
                <w:rFonts w:ascii="Times New Roman" w:hAnsi="Times New Roman" w:cs="Times New Roman"/>
                <w:sz w:val="21"/>
                <w:szCs w:val="21"/>
              </w:rPr>
              <w:t>13,301,081.10</w:t>
            </w:r>
          </w:p>
        </w:tc>
      </w:tr>
    </w:tbl>
    <w:p w14:paraId="17595B04" w14:textId="77777777" w:rsidR="002D0AE7" w:rsidRDefault="00333EBB">
      <w:pPr>
        <w:pStyle w:val="4"/>
        <w:numPr>
          <w:ilvl w:val="0"/>
          <w:numId w:val="67"/>
        </w:numPr>
        <w:rPr>
          <w:rFonts w:ascii="宋体" w:hAnsi="宋体" w:hint="eastAsia"/>
          <w:color w:val="000000" w:themeColor="text1"/>
          <w:szCs w:val="21"/>
        </w:rPr>
      </w:pPr>
      <w:r>
        <w:rPr>
          <w:rFonts w:ascii="宋体" w:hAnsi="宋体" w:hint="eastAsia"/>
          <w:color w:val="000000" w:themeColor="text1"/>
          <w:szCs w:val="21"/>
        </w:rPr>
        <w:t>会计利润与</w:t>
      </w:r>
      <w:r>
        <w:rPr>
          <w:rFonts w:ascii="宋体" w:hAnsi="宋体" w:hint="eastAsia"/>
          <w:color w:val="000000" w:themeColor="text1"/>
        </w:rPr>
        <w:t>所得税</w:t>
      </w:r>
      <w:r>
        <w:rPr>
          <w:rFonts w:ascii="宋体" w:hAnsi="宋体" w:hint="eastAsia"/>
          <w:color w:val="000000" w:themeColor="text1"/>
          <w:szCs w:val="21"/>
        </w:rPr>
        <w:t>费用调整过程</w:t>
      </w:r>
    </w:p>
    <w:sdt>
      <w:sdtPr>
        <w:rPr>
          <w:color w:val="000000" w:themeColor="text1"/>
        </w:rPr>
        <w:alias w:val="是否适用：会计利润与所得税费用调整过程[双击切换]"/>
        <w:tag w:val="_GBC_92a49ce6320645cc9101c809f426c9db"/>
        <w:id w:val="-780790380"/>
        <w:placeholder>
          <w:docPart w:val="GBC22222222222222222222222222222"/>
        </w:placeholder>
      </w:sdtPr>
      <w:sdtEndPr/>
      <w:sdtContent>
        <w:p w14:paraId="5A0576FA"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1EB23C73"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会计利润与所得税费用调整过程"/>
          <w:tag w:val="_GBC_8b3d0d6296b944dcbc6077158d5eb7ca"/>
          <w:id w:val="37188554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会计利润与所得税费用调整过程"/>
          <w:tag w:val="_GBC_f07b399def8f4b49bdebcbb56994fb61"/>
          <w:id w:val="108711016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firstRow="1" w:lastRow="0" w:firstColumn="1" w:lastColumn="0" w:noHBand="0" w:noVBand="1"/>
      </w:tblPr>
      <w:tblGrid>
        <w:gridCol w:w="6658"/>
        <w:gridCol w:w="2161"/>
      </w:tblGrid>
      <w:tr w:rsidR="002D0AE7" w14:paraId="6440D235" w14:textId="77777777">
        <w:sdt>
          <w:sdtPr>
            <w:rPr>
              <w:color w:val="000000" w:themeColor="text1"/>
              <w:sz w:val="21"/>
              <w:szCs w:val="21"/>
            </w:rPr>
            <w:tag w:val="_PLD_762c770e68ab4734ab4b1455db567f92"/>
            <w:id w:val="377131770"/>
          </w:sdtPr>
          <w:sdtEndPr/>
          <w:sdtContent>
            <w:tc>
              <w:tcPr>
                <w:tcW w:w="3775" w:type="pct"/>
                <w:tcBorders>
                  <w:top w:val="single" w:sz="4" w:space="0" w:color="auto"/>
                  <w:left w:val="single" w:sz="4" w:space="0" w:color="auto"/>
                  <w:bottom w:val="single" w:sz="4" w:space="0" w:color="auto"/>
                  <w:right w:val="single" w:sz="4" w:space="0" w:color="auto"/>
                </w:tcBorders>
                <w:shd w:val="clear" w:color="auto" w:fill="auto"/>
                <w:vAlign w:val="center"/>
              </w:tcPr>
              <w:p w14:paraId="36C5C345"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dbffde77b3344828a64e53b9962d0e3a"/>
            <w:id w:val="-759135660"/>
          </w:sdtPr>
          <w:sdtEndPr/>
          <w:sdtContent>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5BE11072" w14:textId="77777777" w:rsidR="002D0AE7" w:rsidRDefault="00333EBB">
                <w:pPr>
                  <w:jc w:val="center"/>
                  <w:rPr>
                    <w:rFonts w:hint="eastAsia"/>
                    <w:color w:val="000000" w:themeColor="text1"/>
                    <w:sz w:val="21"/>
                    <w:szCs w:val="21"/>
                  </w:rPr>
                </w:pPr>
                <w:r>
                  <w:rPr>
                    <w:rFonts w:hint="eastAsia"/>
                    <w:color w:val="000000" w:themeColor="text1"/>
                    <w:sz w:val="21"/>
                    <w:szCs w:val="21"/>
                  </w:rPr>
                  <w:t>本期发生额</w:t>
                </w:r>
              </w:p>
            </w:tc>
          </w:sdtContent>
        </w:sdt>
      </w:tr>
      <w:tr w:rsidR="002D0AE7" w14:paraId="51DA032B" w14:textId="77777777">
        <w:tc>
          <w:tcPr>
            <w:tcW w:w="3775" w:type="pct"/>
            <w:tcBorders>
              <w:top w:val="single" w:sz="4" w:space="0" w:color="auto"/>
              <w:left w:val="single" w:sz="4" w:space="0" w:color="auto"/>
              <w:bottom w:val="single" w:sz="4" w:space="0" w:color="auto"/>
              <w:right w:val="single" w:sz="4" w:space="0" w:color="auto"/>
            </w:tcBorders>
            <w:shd w:val="clear" w:color="auto" w:fill="auto"/>
            <w:vAlign w:val="center"/>
          </w:tcPr>
          <w:p w14:paraId="25CD3191" w14:textId="77777777" w:rsidR="002D0AE7" w:rsidRDefault="00333EBB">
            <w:pPr>
              <w:ind w:right="6"/>
              <w:rPr>
                <w:rFonts w:hint="eastAsia"/>
                <w:b/>
                <w:bCs/>
                <w:color w:val="000000" w:themeColor="text1"/>
                <w:sz w:val="21"/>
                <w:szCs w:val="21"/>
              </w:rPr>
            </w:pPr>
            <w:r>
              <w:rPr>
                <w:rFonts w:hint="eastAsia"/>
                <w:color w:val="000000" w:themeColor="text1"/>
                <w:sz w:val="21"/>
                <w:szCs w:val="21"/>
              </w:rPr>
              <w:t>利润总额</w:t>
            </w:r>
          </w:p>
        </w:tc>
        <w:tc>
          <w:tcPr>
            <w:tcW w:w="1225" w:type="pct"/>
            <w:tcBorders>
              <w:top w:val="single" w:sz="4" w:space="0" w:color="auto"/>
              <w:left w:val="single" w:sz="4" w:space="0" w:color="auto"/>
              <w:bottom w:val="single" w:sz="6" w:space="0" w:color="auto"/>
              <w:right w:val="single" w:sz="6" w:space="0" w:color="auto"/>
            </w:tcBorders>
            <w:shd w:val="clear" w:color="auto" w:fill="auto"/>
            <w:vAlign w:val="center"/>
          </w:tcPr>
          <w:p w14:paraId="4BF35A3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194,330,660.34</w:t>
            </w:r>
          </w:p>
        </w:tc>
      </w:tr>
      <w:tr w:rsidR="002D0AE7" w14:paraId="5DD16CAB" w14:textId="77777777">
        <w:tc>
          <w:tcPr>
            <w:tcW w:w="3775" w:type="pct"/>
            <w:tcBorders>
              <w:top w:val="single" w:sz="4" w:space="0" w:color="auto"/>
              <w:left w:val="single" w:sz="4" w:space="0" w:color="auto"/>
              <w:bottom w:val="single" w:sz="4" w:space="0" w:color="auto"/>
              <w:right w:val="single" w:sz="4" w:space="0" w:color="auto"/>
            </w:tcBorders>
            <w:shd w:val="clear" w:color="auto" w:fill="auto"/>
            <w:vAlign w:val="center"/>
          </w:tcPr>
          <w:p w14:paraId="33B8721F" w14:textId="77777777" w:rsidR="002D0AE7" w:rsidRDefault="00333EBB">
            <w:pPr>
              <w:ind w:right="6"/>
              <w:rPr>
                <w:rFonts w:hint="eastAsia"/>
                <w:color w:val="000000" w:themeColor="text1"/>
                <w:sz w:val="21"/>
                <w:szCs w:val="21"/>
              </w:rPr>
            </w:pPr>
            <w:r>
              <w:rPr>
                <w:rFonts w:hint="eastAsia"/>
                <w:color w:val="000000" w:themeColor="text1"/>
                <w:sz w:val="21"/>
                <w:szCs w:val="21"/>
              </w:rPr>
              <w:t>按法定</w:t>
            </w:r>
            <w:r>
              <w:rPr>
                <w:color w:val="000000" w:themeColor="text1"/>
                <w:sz w:val="21"/>
                <w:szCs w:val="21"/>
              </w:rPr>
              <w:t>/</w:t>
            </w:r>
            <w:r>
              <w:rPr>
                <w:rFonts w:hint="eastAsia"/>
                <w:color w:val="000000" w:themeColor="text1"/>
                <w:sz w:val="21"/>
                <w:szCs w:val="21"/>
              </w:rPr>
              <w:t>适用税率计算的所得税费用</w:t>
            </w:r>
          </w:p>
        </w:tc>
        <w:tc>
          <w:tcPr>
            <w:tcW w:w="1225" w:type="pct"/>
            <w:tcBorders>
              <w:top w:val="single" w:sz="6" w:space="0" w:color="auto"/>
              <w:left w:val="single" w:sz="4" w:space="0" w:color="auto"/>
              <w:bottom w:val="single" w:sz="6" w:space="0" w:color="auto"/>
              <w:right w:val="single" w:sz="6" w:space="0" w:color="auto"/>
            </w:tcBorders>
            <w:shd w:val="clear" w:color="auto" w:fill="auto"/>
            <w:vAlign w:val="center"/>
          </w:tcPr>
          <w:p w14:paraId="45FEDF8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29,149,599.06</w:t>
            </w:r>
          </w:p>
        </w:tc>
      </w:tr>
      <w:tr w:rsidR="002D0AE7" w14:paraId="250E63B2" w14:textId="77777777">
        <w:trPr>
          <w:trHeight w:val="139"/>
        </w:trPr>
        <w:tc>
          <w:tcPr>
            <w:tcW w:w="3775" w:type="pct"/>
            <w:tcBorders>
              <w:top w:val="single" w:sz="4" w:space="0" w:color="auto"/>
              <w:left w:val="single" w:sz="4" w:space="0" w:color="auto"/>
              <w:bottom w:val="single" w:sz="4" w:space="0" w:color="auto"/>
              <w:right w:val="single" w:sz="4" w:space="0" w:color="auto"/>
            </w:tcBorders>
            <w:shd w:val="clear" w:color="auto" w:fill="auto"/>
            <w:vAlign w:val="center"/>
          </w:tcPr>
          <w:p w14:paraId="4642D248" w14:textId="77777777" w:rsidR="002D0AE7" w:rsidRDefault="00333EBB">
            <w:pPr>
              <w:ind w:right="6"/>
              <w:rPr>
                <w:rFonts w:hint="eastAsia"/>
                <w:color w:val="000000" w:themeColor="text1"/>
                <w:sz w:val="21"/>
                <w:szCs w:val="21"/>
              </w:rPr>
            </w:pPr>
            <w:r>
              <w:rPr>
                <w:rFonts w:hint="eastAsia"/>
                <w:color w:val="000000" w:themeColor="text1"/>
                <w:sz w:val="21"/>
                <w:szCs w:val="21"/>
              </w:rPr>
              <w:t>子公司适用不同税率的影响</w:t>
            </w:r>
          </w:p>
        </w:tc>
        <w:tc>
          <w:tcPr>
            <w:tcW w:w="1225" w:type="pct"/>
            <w:tcBorders>
              <w:top w:val="single" w:sz="6" w:space="0" w:color="auto"/>
              <w:left w:val="single" w:sz="4" w:space="0" w:color="auto"/>
              <w:bottom w:val="single" w:sz="6" w:space="0" w:color="auto"/>
              <w:right w:val="single" w:sz="6" w:space="0" w:color="auto"/>
            </w:tcBorders>
            <w:shd w:val="clear" w:color="auto" w:fill="auto"/>
            <w:vAlign w:val="center"/>
          </w:tcPr>
          <w:p w14:paraId="0C89FF2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259,168.58</w:t>
            </w:r>
          </w:p>
        </w:tc>
      </w:tr>
      <w:tr w:rsidR="002D0AE7" w14:paraId="70F1DC61" w14:textId="77777777">
        <w:tc>
          <w:tcPr>
            <w:tcW w:w="3775" w:type="pct"/>
            <w:tcBorders>
              <w:top w:val="single" w:sz="4" w:space="0" w:color="auto"/>
              <w:left w:val="single" w:sz="4" w:space="0" w:color="auto"/>
              <w:bottom w:val="single" w:sz="4" w:space="0" w:color="auto"/>
              <w:right w:val="single" w:sz="4" w:space="0" w:color="auto"/>
            </w:tcBorders>
            <w:shd w:val="clear" w:color="auto" w:fill="auto"/>
            <w:vAlign w:val="center"/>
          </w:tcPr>
          <w:p w14:paraId="3413660D" w14:textId="77777777" w:rsidR="002D0AE7" w:rsidRDefault="00333EBB">
            <w:pPr>
              <w:ind w:right="6"/>
              <w:rPr>
                <w:rFonts w:hint="eastAsia"/>
                <w:color w:val="000000" w:themeColor="text1"/>
                <w:sz w:val="21"/>
                <w:szCs w:val="21"/>
              </w:rPr>
            </w:pPr>
            <w:r>
              <w:rPr>
                <w:rFonts w:hint="eastAsia"/>
                <w:color w:val="000000" w:themeColor="text1"/>
                <w:sz w:val="21"/>
                <w:szCs w:val="21"/>
              </w:rPr>
              <w:t>调整以前期间所得税的影响</w:t>
            </w:r>
          </w:p>
        </w:tc>
        <w:tc>
          <w:tcPr>
            <w:tcW w:w="1225" w:type="pct"/>
            <w:tcBorders>
              <w:top w:val="single" w:sz="6" w:space="0" w:color="auto"/>
              <w:left w:val="single" w:sz="4" w:space="0" w:color="auto"/>
              <w:bottom w:val="single" w:sz="6" w:space="0" w:color="auto"/>
              <w:right w:val="single" w:sz="6" w:space="0" w:color="auto"/>
            </w:tcBorders>
            <w:shd w:val="clear" w:color="auto" w:fill="auto"/>
            <w:vAlign w:val="center"/>
          </w:tcPr>
          <w:p w14:paraId="673ED803"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1,199,807.96</w:t>
            </w:r>
          </w:p>
        </w:tc>
      </w:tr>
      <w:tr w:rsidR="002D0AE7" w14:paraId="6D3AF395" w14:textId="77777777">
        <w:tc>
          <w:tcPr>
            <w:tcW w:w="3775" w:type="pct"/>
            <w:tcBorders>
              <w:top w:val="single" w:sz="4" w:space="0" w:color="auto"/>
              <w:left w:val="single" w:sz="4" w:space="0" w:color="auto"/>
              <w:bottom w:val="single" w:sz="4" w:space="0" w:color="auto"/>
              <w:right w:val="single" w:sz="4" w:space="0" w:color="auto"/>
            </w:tcBorders>
            <w:shd w:val="clear" w:color="auto" w:fill="auto"/>
            <w:vAlign w:val="center"/>
          </w:tcPr>
          <w:p w14:paraId="09A067A8" w14:textId="77777777" w:rsidR="002D0AE7" w:rsidRDefault="00333EBB">
            <w:pPr>
              <w:ind w:right="6"/>
              <w:rPr>
                <w:rFonts w:hint="eastAsia"/>
                <w:color w:val="000000" w:themeColor="text1"/>
                <w:sz w:val="21"/>
                <w:szCs w:val="21"/>
              </w:rPr>
            </w:pPr>
            <w:r>
              <w:rPr>
                <w:rFonts w:hint="eastAsia"/>
                <w:color w:val="000000" w:themeColor="text1"/>
                <w:sz w:val="21"/>
                <w:szCs w:val="21"/>
              </w:rPr>
              <w:t>非应税收入的影响</w:t>
            </w:r>
          </w:p>
        </w:tc>
        <w:tc>
          <w:tcPr>
            <w:tcW w:w="1225" w:type="pct"/>
            <w:tcBorders>
              <w:top w:val="single" w:sz="6" w:space="0" w:color="auto"/>
              <w:left w:val="single" w:sz="4" w:space="0" w:color="auto"/>
              <w:bottom w:val="single" w:sz="6" w:space="0" w:color="auto"/>
              <w:right w:val="single" w:sz="6" w:space="0" w:color="auto"/>
            </w:tcBorders>
            <w:shd w:val="clear" w:color="auto" w:fill="auto"/>
            <w:vAlign w:val="center"/>
          </w:tcPr>
          <w:p w14:paraId="69B55997"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-210,549.67</w:t>
            </w:r>
          </w:p>
        </w:tc>
      </w:tr>
      <w:tr w:rsidR="002D0AE7" w14:paraId="1E194B13" w14:textId="77777777">
        <w:tc>
          <w:tcPr>
            <w:tcW w:w="3775" w:type="pct"/>
            <w:tcBorders>
              <w:top w:val="single" w:sz="4" w:space="0" w:color="auto"/>
              <w:left w:val="single" w:sz="4" w:space="0" w:color="auto"/>
              <w:bottom w:val="single" w:sz="4" w:space="0" w:color="auto"/>
              <w:right w:val="single" w:sz="4" w:space="0" w:color="auto"/>
            </w:tcBorders>
            <w:shd w:val="clear" w:color="auto" w:fill="auto"/>
            <w:vAlign w:val="center"/>
          </w:tcPr>
          <w:p w14:paraId="099F9364" w14:textId="77777777" w:rsidR="002D0AE7" w:rsidRDefault="00333EBB">
            <w:pPr>
              <w:ind w:right="6"/>
              <w:rPr>
                <w:rFonts w:hint="eastAsia"/>
                <w:color w:val="000000" w:themeColor="text1"/>
                <w:sz w:val="21"/>
                <w:szCs w:val="21"/>
              </w:rPr>
            </w:pPr>
            <w:r>
              <w:rPr>
                <w:rFonts w:hint="eastAsia"/>
                <w:color w:val="000000" w:themeColor="text1"/>
                <w:sz w:val="21"/>
                <w:szCs w:val="21"/>
              </w:rPr>
              <w:t>不可抵扣的成本、费用和损失的影响</w:t>
            </w:r>
          </w:p>
        </w:tc>
        <w:tc>
          <w:tcPr>
            <w:tcW w:w="1225" w:type="pct"/>
            <w:tcBorders>
              <w:top w:val="single" w:sz="6" w:space="0" w:color="auto"/>
              <w:left w:val="single" w:sz="4" w:space="0" w:color="auto"/>
              <w:bottom w:val="single" w:sz="6" w:space="0" w:color="auto"/>
              <w:right w:val="single" w:sz="6" w:space="0" w:color="auto"/>
            </w:tcBorders>
            <w:shd w:val="clear" w:color="auto" w:fill="auto"/>
            <w:vAlign w:val="center"/>
          </w:tcPr>
          <w:p w14:paraId="49E62B5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16,308,049.63</w:t>
            </w:r>
          </w:p>
        </w:tc>
      </w:tr>
      <w:tr w:rsidR="002D0AE7" w14:paraId="314051FC" w14:textId="77777777">
        <w:tc>
          <w:tcPr>
            <w:tcW w:w="3775" w:type="pct"/>
            <w:tcBorders>
              <w:top w:val="single" w:sz="4" w:space="0" w:color="auto"/>
              <w:left w:val="single" w:sz="4" w:space="0" w:color="auto"/>
              <w:bottom w:val="single" w:sz="4" w:space="0" w:color="auto"/>
              <w:right w:val="single" w:sz="4" w:space="0" w:color="auto"/>
            </w:tcBorders>
            <w:shd w:val="clear" w:color="auto" w:fill="auto"/>
            <w:vAlign w:val="center"/>
          </w:tcPr>
          <w:p w14:paraId="4B61E0A8" w14:textId="77777777" w:rsidR="002D0AE7" w:rsidRDefault="00333EBB">
            <w:pPr>
              <w:ind w:right="6"/>
              <w:rPr>
                <w:rFonts w:hint="eastAsia"/>
                <w:color w:val="000000" w:themeColor="text1"/>
                <w:sz w:val="21"/>
                <w:szCs w:val="21"/>
              </w:rPr>
            </w:pPr>
            <w:r>
              <w:rPr>
                <w:rFonts w:hint="eastAsia"/>
                <w:color w:val="000000" w:themeColor="text1"/>
                <w:sz w:val="21"/>
                <w:szCs w:val="21"/>
              </w:rPr>
              <w:t>使用前期未确认递延所得税资产的可抵扣亏损的影响</w:t>
            </w:r>
          </w:p>
        </w:tc>
        <w:tc>
          <w:tcPr>
            <w:tcW w:w="1225" w:type="pct"/>
            <w:tcBorders>
              <w:top w:val="single" w:sz="6" w:space="0" w:color="auto"/>
              <w:left w:val="single" w:sz="4" w:space="0" w:color="auto"/>
              <w:bottom w:val="single" w:sz="6" w:space="0" w:color="auto"/>
              <w:right w:val="single" w:sz="6" w:space="0" w:color="auto"/>
            </w:tcBorders>
            <w:shd w:val="clear" w:color="auto" w:fill="auto"/>
            <w:vAlign w:val="center"/>
          </w:tcPr>
          <w:p w14:paraId="04F4752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-324,048.33</w:t>
            </w:r>
          </w:p>
        </w:tc>
      </w:tr>
      <w:tr w:rsidR="002D0AE7" w14:paraId="26A0B33D" w14:textId="77777777">
        <w:tc>
          <w:tcPr>
            <w:tcW w:w="3775" w:type="pct"/>
            <w:tcBorders>
              <w:top w:val="single" w:sz="4" w:space="0" w:color="auto"/>
              <w:left w:val="single" w:sz="4" w:space="0" w:color="auto"/>
              <w:bottom w:val="single" w:sz="4" w:space="0" w:color="auto"/>
              <w:right w:val="single" w:sz="4" w:space="0" w:color="auto"/>
            </w:tcBorders>
            <w:shd w:val="clear" w:color="auto" w:fill="auto"/>
            <w:vAlign w:val="center"/>
          </w:tcPr>
          <w:p w14:paraId="0B95F615" w14:textId="77777777" w:rsidR="002D0AE7" w:rsidRDefault="00333EBB">
            <w:pPr>
              <w:ind w:right="6"/>
              <w:rPr>
                <w:rFonts w:hint="eastAsia"/>
                <w:color w:val="000000" w:themeColor="text1"/>
                <w:sz w:val="21"/>
                <w:szCs w:val="21"/>
              </w:rPr>
            </w:pPr>
            <w:r>
              <w:rPr>
                <w:rFonts w:hint="eastAsia"/>
                <w:color w:val="000000" w:themeColor="text1"/>
                <w:sz w:val="21"/>
                <w:szCs w:val="21"/>
              </w:rPr>
              <w:t>本期未确认递延所得税资产的可抵扣暂时性差异或可抵扣亏损的影响</w:t>
            </w:r>
          </w:p>
        </w:tc>
        <w:tc>
          <w:tcPr>
            <w:tcW w:w="1225" w:type="pct"/>
            <w:tcBorders>
              <w:top w:val="single" w:sz="6" w:space="0" w:color="auto"/>
              <w:left w:val="single" w:sz="4" w:space="0" w:color="auto"/>
              <w:bottom w:val="single" w:sz="6" w:space="0" w:color="auto"/>
              <w:right w:val="single" w:sz="6" w:space="0" w:color="auto"/>
            </w:tcBorders>
            <w:shd w:val="clear" w:color="auto" w:fill="auto"/>
            <w:vAlign w:val="center"/>
          </w:tcPr>
          <w:p w14:paraId="130E4CB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-20,349,755.93</w:t>
            </w:r>
          </w:p>
        </w:tc>
      </w:tr>
      <w:tr w:rsidR="002D0AE7" w14:paraId="54ED7303" w14:textId="77777777">
        <w:tc>
          <w:tcPr>
            <w:tcW w:w="3775" w:type="pct"/>
            <w:tcBorders>
              <w:top w:val="single" w:sz="4" w:space="0" w:color="auto"/>
              <w:left w:val="single" w:sz="6" w:space="0" w:color="auto"/>
              <w:bottom w:val="single" w:sz="6" w:space="0" w:color="auto"/>
              <w:right w:val="single" w:sz="6" w:space="0" w:color="auto"/>
            </w:tcBorders>
            <w:shd w:val="clear" w:color="auto" w:fill="auto"/>
            <w:vAlign w:val="center"/>
          </w:tcPr>
          <w:p w14:paraId="7E08E095" w14:textId="77777777" w:rsidR="002D0AE7" w:rsidRDefault="00333EBB">
            <w:pPr>
              <w:rPr>
                <w:rFonts w:hint="eastAsia"/>
                <w:sz w:val="21"/>
                <w:szCs w:val="21"/>
              </w:rPr>
            </w:pPr>
            <w:r>
              <w:rPr>
                <w:rFonts w:hint="eastAsia"/>
                <w:sz w:val="21"/>
                <w:szCs w:val="21"/>
              </w:rPr>
              <w:t>其他</w:t>
            </w:r>
          </w:p>
        </w:tc>
        <w:tc>
          <w:tcPr>
            <w:tcW w:w="1225" w:type="pct"/>
            <w:tcBorders>
              <w:top w:val="single" w:sz="6" w:space="0" w:color="auto"/>
              <w:left w:val="single" w:sz="6" w:space="0" w:color="auto"/>
              <w:bottom w:val="single" w:sz="6" w:space="0" w:color="auto"/>
              <w:right w:val="single" w:sz="6" w:space="0" w:color="auto"/>
            </w:tcBorders>
            <w:shd w:val="clear" w:color="auto" w:fill="auto"/>
            <w:vAlign w:val="center"/>
          </w:tcPr>
          <w:p w14:paraId="359CA18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-9,104,621.17</w:t>
            </w:r>
          </w:p>
        </w:tc>
      </w:tr>
      <w:tr w:rsidR="002D0AE7" w14:paraId="1F3E917A" w14:textId="77777777">
        <w:tc>
          <w:tcPr>
            <w:tcW w:w="3775" w:type="pct"/>
            <w:tcBorders>
              <w:top w:val="single" w:sz="4" w:space="0" w:color="auto"/>
              <w:left w:val="single" w:sz="4" w:space="0" w:color="auto"/>
              <w:bottom w:val="single" w:sz="4" w:space="0" w:color="auto"/>
              <w:right w:val="single" w:sz="4" w:space="0" w:color="auto"/>
            </w:tcBorders>
            <w:shd w:val="clear" w:color="auto" w:fill="auto"/>
            <w:vAlign w:val="center"/>
          </w:tcPr>
          <w:p w14:paraId="3462120F" w14:textId="77777777" w:rsidR="002D0AE7" w:rsidRDefault="00333EBB">
            <w:pPr>
              <w:rPr>
                <w:rFonts w:hint="eastAsia"/>
                <w:color w:val="000000" w:themeColor="text1"/>
                <w:sz w:val="21"/>
                <w:szCs w:val="21"/>
              </w:rPr>
            </w:pPr>
            <w:r>
              <w:rPr>
                <w:rFonts w:hint="eastAsia"/>
                <w:color w:val="000000" w:themeColor="text1"/>
                <w:sz w:val="21"/>
                <w:szCs w:val="21"/>
              </w:rPr>
              <w:t>所得税费用</w:t>
            </w:r>
          </w:p>
        </w:tc>
        <w:tc>
          <w:tcPr>
            <w:tcW w:w="1225" w:type="pct"/>
            <w:tcBorders>
              <w:top w:val="single" w:sz="6" w:space="0" w:color="auto"/>
              <w:left w:val="single" w:sz="4" w:space="0" w:color="auto"/>
              <w:bottom w:val="single" w:sz="6" w:space="0" w:color="auto"/>
              <w:right w:val="single" w:sz="6" w:space="0" w:color="auto"/>
            </w:tcBorders>
            <w:shd w:val="clear" w:color="auto" w:fill="auto"/>
            <w:vAlign w:val="center"/>
          </w:tcPr>
          <w:p w14:paraId="315B865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16,927,650.13</w:t>
            </w:r>
          </w:p>
        </w:tc>
      </w:tr>
    </w:tbl>
    <w:p w14:paraId="3E5FBA2E" w14:textId="77777777" w:rsidR="002D0AE7" w:rsidRDefault="00333EBB">
      <w:pPr>
        <w:spacing w:before="60" w:after="60"/>
        <w:rPr>
          <w:rFonts w:hint="eastAsia"/>
          <w:color w:val="000000" w:themeColor="text1"/>
        </w:rPr>
      </w:pPr>
      <w:r>
        <w:rPr>
          <w:rFonts w:hint="eastAsia"/>
          <w:color w:val="000000" w:themeColor="text1"/>
        </w:rPr>
        <w:t>其他说明：</w:t>
      </w:r>
      <w:sdt>
        <w:sdtPr>
          <w:rPr>
            <w:color w:val="000000" w:themeColor="text1"/>
          </w:rPr>
          <w:alias w:val="是否适用：所得税费用的说明[双击切换]"/>
          <w:tag w:val="_GBC_0363d79a647b4d96aa5d7b72c93b1e45"/>
          <w:id w:val="924543578"/>
          <w:placeholder>
            <w:docPart w:val="GBC22222222222222222222222222222"/>
          </w:placeholder>
        </w:sdtPr>
        <w:sdtEndPr/>
        <w:sdtContent>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sdtContent>
      </w:sdt>
    </w:p>
    <w:p w14:paraId="79764DC6"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szCs w:val="21"/>
        </w:rPr>
        <w:t>其他综合收益</w:t>
      </w:r>
    </w:p>
    <w:sdt>
      <w:sdtPr>
        <w:rPr>
          <w:color w:val="000000" w:themeColor="text1"/>
        </w:rPr>
        <w:alias w:val="是否适用：其他综合收益[双击切换]"/>
        <w:tag w:val="_GBC_bef6c47936994e5e94c77d5dd812be30"/>
        <w:id w:val="1919590315"/>
        <w:placeholder>
          <w:docPart w:val="GBC22222222222222222222222222222"/>
        </w:placeholder>
      </w:sdtPr>
      <w:sdtEndPr/>
      <w:sdtContent>
        <w:p w14:paraId="4A92A7AE"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773796B3" w14:textId="77777777" w:rsidR="002D0AE7" w:rsidRDefault="00333EBB">
      <w:pPr>
        <w:rPr>
          <w:rFonts w:hint="eastAsia"/>
          <w:color w:val="000000" w:themeColor="text1"/>
        </w:rPr>
      </w:pPr>
      <w:sdt>
        <w:sdtPr>
          <w:rPr>
            <w:rFonts w:hint="eastAsia"/>
            <w:color w:val="000000" w:themeColor="text1"/>
          </w:rPr>
          <w:alias w:val="其他综合收益详见附注"/>
          <w:tag w:val="_GBC_6f59ae7e2b78472ea4fa736cbb8f062d"/>
          <w:id w:val="-1218122183"/>
          <w:placeholder>
            <w:docPart w:val="GBC22222222222222222222222222222"/>
          </w:placeholder>
        </w:sdtPr>
        <w:sdtEndPr/>
        <w:sdtContent>
          <w:r>
            <w:rPr>
              <w:rFonts w:hint="eastAsia"/>
              <w:color w:val="000000" w:themeColor="text1"/>
            </w:rPr>
            <w:t>详见附注</w:t>
          </w:r>
          <w:r>
            <w:rPr>
              <w:rFonts w:hint="eastAsia"/>
              <w:color w:val="000000" w:themeColor="text1"/>
            </w:rPr>
            <w:t>35</w:t>
          </w:r>
        </w:sdtContent>
      </w:sdt>
    </w:p>
    <w:p w14:paraId="2A9D3EB9" w14:textId="77777777" w:rsidR="002D0AE7" w:rsidRDefault="00333EBB">
      <w:pPr>
        <w:pStyle w:val="3"/>
        <w:numPr>
          <w:ilvl w:val="0"/>
          <w:numId w:val="43"/>
        </w:numPr>
        <w:tabs>
          <w:tab w:val="left" w:pos="504"/>
        </w:tabs>
        <w:rPr>
          <w:rFonts w:ascii="宋体" w:hAnsi="宋体" w:hint="eastAsia"/>
          <w:color w:val="000000" w:themeColor="text1"/>
          <w:szCs w:val="21"/>
        </w:rPr>
      </w:pPr>
      <w:r>
        <w:rPr>
          <w:rFonts w:ascii="宋体" w:hAnsi="宋体" w:hint="eastAsia"/>
          <w:color w:val="000000" w:themeColor="text1"/>
          <w:szCs w:val="21"/>
        </w:rPr>
        <w:t>现金流量表项目</w:t>
      </w:r>
    </w:p>
    <w:p w14:paraId="6D7C160C" w14:textId="77777777" w:rsidR="002D0AE7" w:rsidRDefault="00333EBB">
      <w:pPr>
        <w:pStyle w:val="4"/>
        <w:numPr>
          <w:ilvl w:val="0"/>
          <w:numId w:val="68"/>
        </w:numPr>
        <w:rPr>
          <w:color w:val="000000" w:themeColor="text1"/>
        </w:rPr>
      </w:pPr>
      <w:r>
        <w:rPr>
          <w:rFonts w:hint="eastAsia"/>
          <w:color w:val="000000" w:themeColor="text1"/>
        </w:rPr>
        <w:t>与经营活动有关的现金</w:t>
      </w:r>
    </w:p>
    <w:p w14:paraId="4C66B834" w14:textId="77777777" w:rsidR="002D0AE7" w:rsidRDefault="00333EBB">
      <w:pPr>
        <w:rPr>
          <w:rFonts w:hint="eastAsia"/>
          <w:color w:val="000000" w:themeColor="text1"/>
        </w:rPr>
      </w:pPr>
      <w:r>
        <w:rPr>
          <w:rFonts w:hint="eastAsia"/>
          <w:color w:val="000000" w:themeColor="text1"/>
        </w:rPr>
        <w:t>收到的其他与经营活动有关的现金</w:t>
      </w:r>
    </w:p>
    <w:sdt>
      <w:sdtPr>
        <w:rPr>
          <w:color w:val="000000" w:themeColor="text1"/>
        </w:rPr>
        <w:alias w:val="是否适用：收到的其他与经营活动有关的现金[双击切换]"/>
        <w:tag w:val="_GBC_c5c1fd7856fd40f88e814da378eb1220"/>
        <w:id w:val="1691023520"/>
        <w:placeholder>
          <w:docPart w:val="GBC22222222222222222222222222222"/>
        </w:placeholder>
      </w:sdtPr>
      <w:sdtEndPr/>
      <w:sdtContent>
        <w:p w14:paraId="1BB587D2"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1E285078"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收到的其他与经营活动有关的现金"/>
          <w:tag w:val="_GBC_5ccae82b68484e708f12fda90762616a"/>
          <w:id w:val="-183791849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收到的其他与经营活动有关的现金"/>
          <w:tag w:val="_GBC_fab1e143b1314991a3aebb857ed68a09"/>
          <w:id w:val="92453703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321"/>
        <w:gridCol w:w="2756"/>
        <w:gridCol w:w="2746"/>
      </w:tblGrid>
      <w:tr w:rsidR="002D0AE7" w14:paraId="69327047" w14:textId="77777777">
        <w:sdt>
          <w:sdtPr>
            <w:rPr>
              <w:color w:val="000000" w:themeColor="text1"/>
              <w:sz w:val="21"/>
              <w:szCs w:val="21"/>
            </w:rPr>
            <w:tag w:val="_PLD_37a08d49f8e14506929ae8c9544c259e"/>
            <w:id w:val="952744475"/>
          </w:sdtPr>
          <w:sdtEndPr/>
          <w:sdtContent>
            <w:tc>
              <w:tcPr>
                <w:tcW w:w="1882" w:type="pct"/>
              </w:tcPr>
              <w:p w14:paraId="0BA3C285" w14:textId="77777777" w:rsidR="002D0AE7" w:rsidRDefault="00333EBB">
                <w:pPr>
                  <w:autoSpaceDE w:val="0"/>
                  <w:autoSpaceDN w:val="0"/>
                  <w:adjustRightInd w:val="0"/>
                  <w:snapToGrid w:val="0"/>
                  <w:spacing w:line="240" w:lineRule="atLeast"/>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f6cb8d17057e4de79000a7b7c263b07e"/>
            <w:id w:val="296026082"/>
          </w:sdtPr>
          <w:sdtEndPr/>
          <w:sdtContent>
            <w:tc>
              <w:tcPr>
                <w:tcW w:w="1562" w:type="pct"/>
              </w:tcPr>
              <w:p w14:paraId="246A2144" w14:textId="77777777" w:rsidR="002D0AE7" w:rsidRDefault="00333EBB">
                <w:pPr>
                  <w:autoSpaceDE w:val="0"/>
                  <w:autoSpaceDN w:val="0"/>
                  <w:adjustRightInd w:val="0"/>
                  <w:snapToGrid w:val="0"/>
                  <w:spacing w:line="240" w:lineRule="atLeast"/>
                  <w:jc w:val="center"/>
                  <w:rPr>
                    <w:rFonts w:hint="eastAsia"/>
                    <w:color w:val="000000" w:themeColor="text1"/>
                    <w:sz w:val="21"/>
                    <w:szCs w:val="21"/>
                  </w:rPr>
                </w:pPr>
                <w:r>
                  <w:rPr>
                    <w:rFonts w:hint="eastAsia"/>
                    <w:color w:val="000000" w:themeColor="text1"/>
                    <w:sz w:val="21"/>
                    <w:szCs w:val="21"/>
                  </w:rPr>
                  <w:t>本期发生额</w:t>
                </w:r>
              </w:p>
            </w:tc>
          </w:sdtContent>
        </w:sdt>
        <w:sdt>
          <w:sdtPr>
            <w:rPr>
              <w:color w:val="000000" w:themeColor="text1"/>
              <w:sz w:val="21"/>
              <w:szCs w:val="21"/>
            </w:rPr>
            <w:tag w:val="_PLD_28d6db3ec51c43eb8751b53e93c8f270"/>
            <w:id w:val="-1213570015"/>
          </w:sdtPr>
          <w:sdtEndPr/>
          <w:sdtContent>
            <w:tc>
              <w:tcPr>
                <w:tcW w:w="1556" w:type="pct"/>
              </w:tcPr>
              <w:p w14:paraId="168AE2FB" w14:textId="77777777" w:rsidR="002D0AE7" w:rsidRDefault="00333EBB">
                <w:pPr>
                  <w:autoSpaceDE w:val="0"/>
                  <w:autoSpaceDN w:val="0"/>
                  <w:adjustRightInd w:val="0"/>
                  <w:snapToGrid w:val="0"/>
                  <w:spacing w:line="240" w:lineRule="atLeast"/>
                  <w:jc w:val="center"/>
                  <w:rPr>
                    <w:rFonts w:hint="eastAsia"/>
                    <w:color w:val="000000" w:themeColor="text1"/>
                    <w:sz w:val="21"/>
                    <w:szCs w:val="21"/>
                  </w:rPr>
                </w:pPr>
                <w:r>
                  <w:rPr>
                    <w:rFonts w:hint="eastAsia"/>
                    <w:color w:val="000000" w:themeColor="text1"/>
                    <w:sz w:val="21"/>
                    <w:szCs w:val="21"/>
                  </w:rPr>
                  <w:t>上期发生额</w:t>
                </w:r>
              </w:p>
            </w:tc>
          </w:sdtContent>
        </w:sdt>
      </w:tr>
      <w:tr w:rsidR="002D0AE7" w14:paraId="3E267A58" w14:textId="77777777">
        <w:tc>
          <w:tcPr>
            <w:tcW w:w="1882" w:type="pct"/>
          </w:tcPr>
          <w:p w14:paraId="4F0A3D5E" w14:textId="77777777" w:rsidR="002D0AE7" w:rsidRDefault="00333EBB">
            <w:pPr>
              <w:autoSpaceDE w:val="0"/>
              <w:autoSpaceDN w:val="0"/>
              <w:adjustRightInd w:val="0"/>
              <w:snapToGrid w:val="0"/>
              <w:spacing w:line="240" w:lineRule="atLeast"/>
              <w:rPr>
                <w:rFonts w:hint="eastAsia"/>
                <w:sz w:val="21"/>
                <w:szCs w:val="21"/>
              </w:rPr>
            </w:pPr>
            <w:r>
              <w:rPr>
                <w:rFonts w:hint="eastAsia"/>
                <w:color w:val="000000"/>
                <w:sz w:val="21"/>
                <w:szCs w:val="21"/>
              </w:rPr>
              <w:t>补贴收入</w:t>
            </w:r>
          </w:p>
        </w:tc>
        <w:tc>
          <w:tcPr>
            <w:tcW w:w="1562" w:type="pct"/>
            <w:vAlign w:val="bottom"/>
          </w:tcPr>
          <w:p w14:paraId="56E1165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17,095,595.98</w:t>
            </w:r>
          </w:p>
        </w:tc>
        <w:tc>
          <w:tcPr>
            <w:tcW w:w="1556" w:type="pct"/>
          </w:tcPr>
          <w:p w14:paraId="1423D81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36,993,725.30</w:t>
            </w:r>
          </w:p>
        </w:tc>
      </w:tr>
      <w:tr w:rsidR="002D0AE7" w14:paraId="4FB6C38C" w14:textId="77777777">
        <w:tc>
          <w:tcPr>
            <w:tcW w:w="1882" w:type="pct"/>
          </w:tcPr>
          <w:p w14:paraId="65306971" w14:textId="77777777" w:rsidR="002D0AE7" w:rsidRDefault="00333EBB">
            <w:pPr>
              <w:autoSpaceDE w:val="0"/>
              <w:autoSpaceDN w:val="0"/>
              <w:adjustRightInd w:val="0"/>
              <w:snapToGrid w:val="0"/>
              <w:spacing w:line="240" w:lineRule="atLeast"/>
              <w:rPr>
                <w:rFonts w:hint="eastAsia"/>
                <w:sz w:val="21"/>
                <w:szCs w:val="21"/>
              </w:rPr>
            </w:pPr>
            <w:r>
              <w:rPr>
                <w:rFonts w:hint="eastAsia"/>
                <w:color w:val="000000"/>
                <w:sz w:val="21"/>
                <w:szCs w:val="21"/>
              </w:rPr>
              <w:t>利息收入</w:t>
            </w:r>
          </w:p>
        </w:tc>
        <w:tc>
          <w:tcPr>
            <w:tcW w:w="1562" w:type="pct"/>
            <w:vAlign w:val="bottom"/>
          </w:tcPr>
          <w:p w14:paraId="0D4A0E5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3,189,123.64</w:t>
            </w:r>
          </w:p>
        </w:tc>
        <w:tc>
          <w:tcPr>
            <w:tcW w:w="1556" w:type="pct"/>
          </w:tcPr>
          <w:p w14:paraId="6D14BD8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4,144,466.30</w:t>
            </w:r>
          </w:p>
        </w:tc>
      </w:tr>
      <w:tr w:rsidR="002D0AE7" w14:paraId="057A26E0" w14:textId="77777777">
        <w:tc>
          <w:tcPr>
            <w:tcW w:w="1882" w:type="pct"/>
          </w:tcPr>
          <w:p w14:paraId="3178A901" w14:textId="77777777" w:rsidR="002D0AE7" w:rsidRDefault="00333EBB">
            <w:pPr>
              <w:autoSpaceDE w:val="0"/>
              <w:autoSpaceDN w:val="0"/>
              <w:adjustRightInd w:val="0"/>
              <w:snapToGrid w:val="0"/>
              <w:spacing w:line="240" w:lineRule="atLeast"/>
              <w:rPr>
                <w:rFonts w:hint="eastAsia"/>
                <w:sz w:val="21"/>
                <w:szCs w:val="21"/>
              </w:rPr>
            </w:pPr>
            <w:r>
              <w:rPr>
                <w:rFonts w:hint="eastAsia"/>
                <w:color w:val="000000"/>
                <w:sz w:val="21"/>
                <w:szCs w:val="21"/>
              </w:rPr>
              <w:t>往来款</w:t>
            </w:r>
          </w:p>
        </w:tc>
        <w:tc>
          <w:tcPr>
            <w:tcW w:w="1562" w:type="pct"/>
            <w:vAlign w:val="bottom"/>
          </w:tcPr>
          <w:p w14:paraId="7CF8485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578,596.42</w:t>
            </w:r>
          </w:p>
        </w:tc>
        <w:tc>
          <w:tcPr>
            <w:tcW w:w="1556" w:type="pct"/>
          </w:tcPr>
          <w:p w14:paraId="5BFC9F5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2,362,618.85</w:t>
            </w:r>
          </w:p>
        </w:tc>
      </w:tr>
      <w:tr w:rsidR="002D0AE7" w14:paraId="22BF063B" w14:textId="77777777">
        <w:tc>
          <w:tcPr>
            <w:tcW w:w="1882" w:type="pct"/>
          </w:tcPr>
          <w:p w14:paraId="3A32176C" w14:textId="77777777" w:rsidR="002D0AE7" w:rsidRDefault="00333EBB">
            <w:pPr>
              <w:autoSpaceDE w:val="0"/>
              <w:autoSpaceDN w:val="0"/>
              <w:adjustRightInd w:val="0"/>
              <w:snapToGrid w:val="0"/>
              <w:spacing w:line="240" w:lineRule="atLeast"/>
              <w:rPr>
                <w:rFonts w:hint="eastAsia"/>
                <w:sz w:val="21"/>
                <w:szCs w:val="21"/>
              </w:rPr>
            </w:pPr>
            <w:r>
              <w:rPr>
                <w:rFonts w:hint="eastAsia"/>
                <w:color w:val="000000"/>
                <w:sz w:val="21"/>
                <w:szCs w:val="21"/>
              </w:rPr>
              <w:t>保证金</w:t>
            </w:r>
          </w:p>
        </w:tc>
        <w:tc>
          <w:tcPr>
            <w:tcW w:w="1562" w:type="pct"/>
            <w:vAlign w:val="bottom"/>
          </w:tcPr>
          <w:p w14:paraId="2EB95EFB"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10,140,812.60</w:t>
            </w:r>
          </w:p>
        </w:tc>
        <w:tc>
          <w:tcPr>
            <w:tcW w:w="1556" w:type="pct"/>
          </w:tcPr>
          <w:p w14:paraId="187D875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14,530,974.67</w:t>
            </w:r>
          </w:p>
        </w:tc>
      </w:tr>
      <w:tr w:rsidR="002D0AE7" w14:paraId="4D9933BF" w14:textId="77777777">
        <w:tc>
          <w:tcPr>
            <w:tcW w:w="1882" w:type="pct"/>
          </w:tcPr>
          <w:p w14:paraId="155EBA30" w14:textId="77777777" w:rsidR="002D0AE7" w:rsidRDefault="00333EBB">
            <w:pPr>
              <w:autoSpaceDE w:val="0"/>
              <w:autoSpaceDN w:val="0"/>
              <w:adjustRightInd w:val="0"/>
              <w:snapToGrid w:val="0"/>
              <w:spacing w:line="240" w:lineRule="atLeast"/>
              <w:rPr>
                <w:rFonts w:hint="eastAsia"/>
                <w:color w:val="000000"/>
                <w:sz w:val="21"/>
                <w:szCs w:val="21"/>
              </w:rPr>
            </w:pPr>
            <w:r>
              <w:rPr>
                <w:rFonts w:hint="eastAsia"/>
                <w:color w:val="000000"/>
                <w:sz w:val="21"/>
                <w:szCs w:val="21"/>
              </w:rPr>
              <w:t>其他</w:t>
            </w:r>
          </w:p>
        </w:tc>
        <w:tc>
          <w:tcPr>
            <w:tcW w:w="1562" w:type="pct"/>
            <w:vAlign w:val="bottom"/>
          </w:tcPr>
          <w:p w14:paraId="6E19721E" w14:textId="77777777" w:rsidR="002D0AE7" w:rsidRDefault="00333EBB">
            <w:pPr>
              <w:jc w:val="right"/>
              <w:rPr>
                <w:rFonts w:ascii="Times New Roman" w:hAnsi="Times New Roman" w:cs="Times New Roman"/>
                <w:color w:val="000000"/>
                <w:sz w:val="21"/>
                <w:szCs w:val="21"/>
              </w:rPr>
            </w:pPr>
            <w:r>
              <w:rPr>
                <w:rFonts w:ascii="Times New Roman" w:hAnsi="Times New Roman" w:cs="Times New Roman"/>
                <w:color w:val="000000"/>
                <w:sz w:val="21"/>
                <w:szCs w:val="21"/>
              </w:rPr>
              <w:t>3,954,671.88</w:t>
            </w:r>
          </w:p>
        </w:tc>
        <w:tc>
          <w:tcPr>
            <w:tcW w:w="1556" w:type="pct"/>
          </w:tcPr>
          <w:p w14:paraId="613BC8F4" w14:textId="77777777" w:rsidR="002D0AE7" w:rsidRDefault="00333EBB">
            <w:pPr>
              <w:jc w:val="right"/>
              <w:rPr>
                <w:rFonts w:ascii="Times New Roman" w:hAnsi="Times New Roman" w:cs="Times New Roman"/>
                <w:color w:val="000000"/>
                <w:sz w:val="21"/>
                <w:szCs w:val="21"/>
              </w:rPr>
            </w:pPr>
            <w:r>
              <w:rPr>
                <w:rFonts w:ascii="Times New Roman" w:hAnsi="Times New Roman" w:cs="Times New Roman"/>
                <w:color w:val="000000"/>
                <w:sz w:val="21"/>
                <w:szCs w:val="21"/>
              </w:rPr>
              <w:t>812,517.83</w:t>
            </w:r>
          </w:p>
        </w:tc>
      </w:tr>
      <w:tr w:rsidR="002D0AE7" w14:paraId="249169F4" w14:textId="77777777">
        <w:tc>
          <w:tcPr>
            <w:tcW w:w="1882" w:type="pct"/>
          </w:tcPr>
          <w:p w14:paraId="096310F0" w14:textId="77777777" w:rsidR="002D0AE7" w:rsidRDefault="00333EBB">
            <w:pPr>
              <w:autoSpaceDE w:val="0"/>
              <w:autoSpaceDN w:val="0"/>
              <w:adjustRightInd w:val="0"/>
              <w:snapToGrid w:val="0"/>
              <w:spacing w:line="240" w:lineRule="atLeast"/>
              <w:jc w:val="center"/>
              <w:rPr>
                <w:rFonts w:hint="eastAsia"/>
                <w:color w:val="000000" w:themeColor="text1"/>
                <w:sz w:val="21"/>
                <w:szCs w:val="21"/>
              </w:rPr>
            </w:pPr>
            <w:r>
              <w:rPr>
                <w:rFonts w:hint="eastAsia"/>
                <w:color w:val="000000" w:themeColor="text1"/>
                <w:sz w:val="21"/>
                <w:szCs w:val="21"/>
              </w:rPr>
              <w:t>合计</w:t>
            </w:r>
          </w:p>
        </w:tc>
        <w:tc>
          <w:tcPr>
            <w:tcW w:w="1562" w:type="pct"/>
            <w:vAlign w:val="bottom"/>
          </w:tcPr>
          <w:p w14:paraId="388D85E7"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34,958,800.52</w:t>
            </w:r>
          </w:p>
        </w:tc>
        <w:tc>
          <w:tcPr>
            <w:tcW w:w="1556" w:type="pct"/>
            <w:vAlign w:val="bottom"/>
          </w:tcPr>
          <w:p w14:paraId="2856CA0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58,844,302.95</w:t>
            </w:r>
          </w:p>
        </w:tc>
      </w:tr>
    </w:tbl>
    <w:p w14:paraId="799A6F55" w14:textId="77777777" w:rsidR="002D0AE7" w:rsidRDefault="00333EBB">
      <w:pPr>
        <w:snapToGrid w:val="0"/>
        <w:spacing w:before="60" w:after="60" w:line="240" w:lineRule="atLeast"/>
        <w:rPr>
          <w:rFonts w:hint="eastAsia"/>
          <w:color w:val="000000" w:themeColor="text1"/>
        </w:rPr>
      </w:pPr>
      <w:r>
        <w:rPr>
          <w:rFonts w:hint="eastAsia"/>
          <w:color w:val="000000" w:themeColor="text1"/>
        </w:rPr>
        <w:t>收到的其他与经营活动有关的现金说明：</w:t>
      </w:r>
      <w:sdt>
        <w:sdtPr>
          <w:rPr>
            <w:color w:val="000000" w:themeColor="text1"/>
          </w:rPr>
          <w:alias w:val="收到的其他与经营活动有关的现金说明"/>
          <w:tag w:val="_GBC_1204b17e37bf4cc187a1ffb6f9463f05"/>
          <w:id w:val="-1726054944"/>
          <w:placeholder>
            <w:docPart w:val="GBC22222222222222222222222222222"/>
          </w:placeholder>
        </w:sdtPr>
        <w:sdtEndPr/>
        <w:sdtContent>
          <w:r>
            <w:rPr>
              <w:rFonts w:hint="eastAsia"/>
              <w:color w:val="000000" w:themeColor="text1"/>
            </w:rPr>
            <w:t>无</w:t>
          </w:r>
        </w:sdtContent>
      </w:sdt>
    </w:p>
    <w:p w14:paraId="34AE0AD6" w14:textId="77777777" w:rsidR="002D0AE7" w:rsidRDefault="00333EBB">
      <w:pPr>
        <w:rPr>
          <w:rFonts w:hint="eastAsia"/>
          <w:color w:val="000000" w:themeColor="text1"/>
        </w:rPr>
      </w:pPr>
      <w:r>
        <w:rPr>
          <w:rFonts w:hint="eastAsia"/>
          <w:color w:val="000000" w:themeColor="text1"/>
        </w:rPr>
        <w:t>支付的其他与经营活动有关的现金</w:t>
      </w:r>
    </w:p>
    <w:sdt>
      <w:sdtPr>
        <w:rPr>
          <w:color w:val="000000" w:themeColor="text1"/>
        </w:rPr>
        <w:alias w:val="是否适用：支付的其他与经营活动有关的现金[双击切换]"/>
        <w:tag w:val="_GBC_73331002c48743d9a4438c6eb4a07c95"/>
        <w:id w:val="1148330108"/>
        <w:placeholder>
          <w:docPart w:val="GBC22222222222222222222222222222"/>
        </w:placeholder>
      </w:sdtPr>
      <w:sdtEndPr/>
      <w:sdtContent>
        <w:p w14:paraId="13E2906E"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75CB99E2"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支付的其他与经营活动有关的现金"/>
          <w:tag w:val="_GBC_8252d4ac9be64f04b08b1dc08e270310"/>
          <w:id w:val="209004007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支付的其他与经营活动有关的现金"/>
          <w:tag w:val="_GBC_37de812db19b41c8a01d10d8b0365268"/>
          <w:id w:val="93841680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321"/>
        <w:gridCol w:w="2737"/>
        <w:gridCol w:w="2765"/>
      </w:tblGrid>
      <w:tr w:rsidR="002D0AE7" w14:paraId="63CCCC48" w14:textId="77777777">
        <w:sdt>
          <w:sdtPr>
            <w:rPr>
              <w:color w:val="000000" w:themeColor="text1"/>
              <w:sz w:val="21"/>
              <w:szCs w:val="21"/>
            </w:rPr>
            <w:tag w:val="_PLD_164da6d2b96e42688b06fe557d996ac2"/>
            <w:id w:val="-363132186"/>
          </w:sdtPr>
          <w:sdtEndPr/>
          <w:sdtContent>
            <w:tc>
              <w:tcPr>
                <w:tcW w:w="1882" w:type="pct"/>
              </w:tcPr>
              <w:p w14:paraId="1EDB6FB6"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69d21b5f023448adbd8c69a7e96e585d"/>
            <w:id w:val="1494303721"/>
          </w:sdtPr>
          <w:sdtEndPr/>
          <w:sdtContent>
            <w:tc>
              <w:tcPr>
                <w:tcW w:w="1551" w:type="pct"/>
              </w:tcPr>
              <w:p w14:paraId="63594F4A"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本期发生额</w:t>
                </w:r>
              </w:p>
            </w:tc>
          </w:sdtContent>
        </w:sdt>
        <w:sdt>
          <w:sdtPr>
            <w:rPr>
              <w:color w:val="000000" w:themeColor="text1"/>
              <w:sz w:val="21"/>
              <w:szCs w:val="21"/>
            </w:rPr>
            <w:tag w:val="_PLD_fccf4811cdbb443297a0ce875715525f"/>
            <w:id w:val="-2096158439"/>
          </w:sdtPr>
          <w:sdtEndPr/>
          <w:sdtContent>
            <w:tc>
              <w:tcPr>
                <w:tcW w:w="1567" w:type="pct"/>
              </w:tcPr>
              <w:p w14:paraId="7443B03B"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上期发生额</w:t>
                </w:r>
              </w:p>
            </w:tc>
          </w:sdtContent>
        </w:sdt>
      </w:tr>
      <w:tr w:rsidR="002D0AE7" w14:paraId="2AF658DB" w14:textId="77777777">
        <w:tc>
          <w:tcPr>
            <w:tcW w:w="1882" w:type="pct"/>
          </w:tcPr>
          <w:p w14:paraId="42C5C1F2" w14:textId="77777777" w:rsidR="002D0AE7" w:rsidRDefault="00333EBB">
            <w:pPr>
              <w:autoSpaceDE w:val="0"/>
              <w:autoSpaceDN w:val="0"/>
              <w:adjustRightInd w:val="0"/>
              <w:snapToGrid w:val="0"/>
              <w:rPr>
                <w:rFonts w:hint="eastAsia"/>
                <w:sz w:val="21"/>
                <w:szCs w:val="21"/>
              </w:rPr>
            </w:pPr>
            <w:r>
              <w:rPr>
                <w:rFonts w:hint="eastAsia"/>
                <w:color w:val="000000"/>
                <w:sz w:val="21"/>
                <w:szCs w:val="21"/>
              </w:rPr>
              <w:t>金融手续费</w:t>
            </w:r>
          </w:p>
        </w:tc>
        <w:tc>
          <w:tcPr>
            <w:tcW w:w="1551" w:type="pct"/>
          </w:tcPr>
          <w:p w14:paraId="37AE27F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285,619.77</w:t>
            </w:r>
          </w:p>
        </w:tc>
        <w:tc>
          <w:tcPr>
            <w:tcW w:w="1567" w:type="pct"/>
          </w:tcPr>
          <w:p w14:paraId="2F3F503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484,443.45</w:t>
            </w:r>
          </w:p>
        </w:tc>
      </w:tr>
      <w:tr w:rsidR="002D0AE7" w14:paraId="50802E53" w14:textId="77777777">
        <w:tc>
          <w:tcPr>
            <w:tcW w:w="1882" w:type="pct"/>
          </w:tcPr>
          <w:p w14:paraId="47BB867A" w14:textId="77777777" w:rsidR="002D0AE7" w:rsidRDefault="00333EBB">
            <w:pPr>
              <w:autoSpaceDE w:val="0"/>
              <w:autoSpaceDN w:val="0"/>
              <w:adjustRightInd w:val="0"/>
              <w:snapToGrid w:val="0"/>
              <w:rPr>
                <w:rFonts w:hint="eastAsia"/>
                <w:sz w:val="21"/>
                <w:szCs w:val="21"/>
              </w:rPr>
            </w:pPr>
            <w:r>
              <w:rPr>
                <w:rFonts w:hint="eastAsia"/>
                <w:color w:val="000000"/>
                <w:sz w:val="21"/>
                <w:szCs w:val="21"/>
              </w:rPr>
              <w:t>差旅费</w:t>
            </w:r>
          </w:p>
        </w:tc>
        <w:tc>
          <w:tcPr>
            <w:tcW w:w="1551" w:type="pct"/>
          </w:tcPr>
          <w:p w14:paraId="0022C3A7"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4,591,951.39</w:t>
            </w:r>
          </w:p>
        </w:tc>
        <w:tc>
          <w:tcPr>
            <w:tcW w:w="1567" w:type="pct"/>
          </w:tcPr>
          <w:p w14:paraId="50B87C2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2,604,430.69</w:t>
            </w:r>
          </w:p>
        </w:tc>
      </w:tr>
      <w:tr w:rsidR="002D0AE7" w14:paraId="785A7962" w14:textId="77777777">
        <w:tc>
          <w:tcPr>
            <w:tcW w:w="1882" w:type="pct"/>
          </w:tcPr>
          <w:p w14:paraId="607E10EC" w14:textId="77777777" w:rsidR="002D0AE7" w:rsidRDefault="00333EBB">
            <w:pPr>
              <w:autoSpaceDE w:val="0"/>
              <w:autoSpaceDN w:val="0"/>
              <w:adjustRightInd w:val="0"/>
              <w:snapToGrid w:val="0"/>
              <w:rPr>
                <w:rFonts w:hint="eastAsia"/>
                <w:sz w:val="21"/>
                <w:szCs w:val="21"/>
              </w:rPr>
            </w:pPr>
            <w:r>
              <w:rPr>
                <w:rFonts w:hint="eastAsia"/>
                <w:color w:val="000000"/>
                <w:sz w:val="21"/>
                <w:szCs w:val="21"/>
              </w:rPr>
              <w:t>办公费</w:t>
            </w:r>
          </w:p>
        </w:tc>
        <w:tc>
          <w:tcPr>
            <w:tcW w:w="1551" w:type="pct"/>
          </w:tcPr>
          <w:p w14:paraId="5F5C27B7"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6,208,756.52</w:t>
            </w:r>
          </w:p>
        </w:tc>
        <w:tc>
          <w:tcPr>
            <w:tcW w:w="1567" w:type="pct"/>
          </w:tcPr>
          <w:p w14:paraId="6D6C8C97"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5,883,855.19</w:t>
            </w:r>
          </w:p>
        </w:tc>
      </w:tr>
      <w:tr w:rsidR="002D0AE7" w14:paraId="0BFB422A" w14:textId="77777777">
        <w:tc>
          <w:tcPr>
            <w:tcW w:w="1882" w:type="pct"/>
          </w:tcPr>
          <w:p w14:paraId="41EFA09C" w14:textId="77777777" w:rsidR="002D0AE7" w:rsidRDefault="00333EBB">
            <w:pPr>
              <w:autoSpaceDE w:val="0"/>
              <w:autoSpaceDN w:val="0"/>
              <w:adjustRightInd w:val="0"/>
              <w:snapToGrid w:val="0"/>
              <w:rPr>
                <w:rFonts w:hint="eastAsia"/>
                <w:sz w:val="21"/>
                <w:szCs w:val="21"/>
              </w:rPr>
            </w:pPr>
            <w:r>
              <w:rPr>
                <w:rFonts w:hint="eastAsia"/>
                <w:color w:val="000000"/>
                <w:sz w:val="21"/>
                <w:szCs w:val="21"/>
              </w:rPr>
              <w:t>修理费</w:t>
            </w:r>
          </w:p>
        </w:tc>
        <w:tc>
          <w:tcPr>
            <w:tcW w:w="1551" w:type="pct"/>
          </w:tcPr>
          <w:p w14:paraId="20F14BD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2,305,572.57</w:t>
            </w:r>
          </w:p>
        </w:tc>
        <w:tc>
          <w:tcPr>
            <w:tcW w:w="1567" w:type="pct"/>
          </w:tcPr>
          <w:p w14:paraId="63F6BE9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4,343,805.60</w:t>
            </w:r>
          </w:p>
        </w:tc>
      </w:tr>
      <w:tr w:rsidR="002D0AE7" w14:paraId="2B1B30C4" w14:textId="77777777">
        <w:tc>
          <w:tcPr>
            <w:tcW w:w="1882" w:type="pct"/>
          </w:tcPr>
          <w:p w14:paraId="4125F06B" w14:textId="77777777" w:rsidR="002D0AE7" w:rsidRDefault="00333EBB">
            <w:pPr>
              <w:autoSpaceDE w:val="0"/>
              <w:autoSpaceDN w:val="0"/>
              <w:adjustRightInd w:val="0"/>
              <w:snapToGrid w:val="0"/>
              <w:rPr>
                <w:rFonts w:hint="eastAsia"/>
                <w:sz w:val="21"/>
                <w:szCs w:val="21"/>
              </w:rPr>
            </w:pPr>
            <w:r>
              <w:rPr>
                <w:rFonts w:hint="eastAsia"/>
                <w:color w:val="000000"/>
                <w:sz w:val="21"/>
                <w:szCs w:val="21"/>
              </w:rPr>
              <w:t>董事会费</w:t>
            </w:r>
          </w:p>
        </w:tc>
        <w:tc>
          <w:tcPr>
            <w:tcW w:w="1551" w:type="pct"/>
          </w:tcPr>
          <w:p w14:paraId="6785045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158,775.42</w:t>
            </w:r>
          </w:p>
        </w:tc>
        <w:tc>
          <w:tcPr>
            <w:tcW w:w="1567" w:type="pct"/>
          </w:tcPr>
          <w:p w14:paraId="7503BA9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168,422.28</w:t>
            </w:r>
          </w:p>
        </w:tc>
      </w:tr>
      <w:tr w:rsidR="002D0AE7" w14:paraId="5B4FEEA4" w14:textId="77777777">
        <w:tc>
          <w:tcPr>
            <w:tcW w:w="1882" w:type="pct"/>
          </w:tcPr>
          <w:p w14:paraId="4D2AA24C" w14:textId="77777777" w:rsidR="002D0AE7" w:rsidRDefault="00333EBB">
            <w:pPr>
              <w:autoSpaceDE w:val="0"/>
              <w:autoSpaceDN w:val="0"/>
              <w:adjustRightInd w:val="0"/>
              <w:snapToGrid w:val="0"/>
              <w:rPr>
                <w:rFonts w:hint="eastAsia"/>
                <w:sz w:val="21"/>
                <w:szCs w:val="21"/>
              </w:rPr>
            </w:pPr>
            <w:r>
              <w:rPr>
                <w:rFonts w:hint="eastAsia"/>
                <w:color w:val="000000"/>
                <w:sz w:val="21"/>
                <w:szCs w:val="21"/>
              </w:rPr>
              <w:t>咨询费</w:t>
            </w:r>
          </w:p>
        </w:tc>
        <w:tc>
          <w:tcPr>
            <w:tcW w:w="1551" w:type="pct"/>
          </w:tcPr>
          <w:p w14:paraId="77A1284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7,655,109.28</w:t>
            </w:r>
          </w:p>
        </w:tc>
        <w:tc>
          <w:tcPr>
            <w:tcW w:w="1567" w:type="pct"/>
          </w:tcPr>
          <w:p w14:paraId="7C942B5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5,351,657.35</w:t>
            </w:r>
          </w:p>
        </w:tc>
      </w:tr>
      <w:tr w:rsidR="002D0AE7" w14:paraId="4784CCCD" w14:textId="77777777">
        <w:tc>
          <w:tcPr>
            <w:tcW w:w="1882" w:type="pct"/>
          </w:tcPr>
          <w:p w14:paraId="2482E66B" w14:textId="77777777" w:rsidR="002D0AE7" w:rsidRDefault="00333EBB">
            <w:pPr>
              <w:autoSpaceDE w:val="0"/>
              <w:autoSpaceDN w:val="0"/>
              <w:adjustRightInd w:val="0"/>
              <w:snapToGrid w:val="0"/>
              <w:rPr>
                <w:rFonts w:hint="eastAsia"/>
                <w:sz w:val="21"/>
                <w:szCs w:val="21"/>
              </w:rPr>
            </w:pPr>
            <w:r>
              <w:rPr>
                <w:rFonts w:hint="eastAsia"/>
                <w:color w:val="000000"/>
                <w:sz w:val="21"/>
                <w:szCs w:val="21"/>
              </w:rPr>
              <w:t>技术开发费</w:t>
            </w:r>
          </w:p>
        </w:tc>
        <w:tc>
          <w:tcPr>
            <w:tcW w:w="1551" w:type="pct"/>
          </w:tcPr>
          <w:p w14:paraId="4CCE4C5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7,093,211.19</w:t>
            </w:r>
          </w:p>
        </w:tc>
        <w:tc>
          <w:tcPr>
            <w:tcW w:w="1567" w:type="pct"/>
          </w:tcPr>
          <w:p w14:paraId="2154A68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11,952,023.81</w:t>
            </w:r>
          </w:p>
        </w:tc>
      </w:tr>
      <w:tr w:rsidR="002D0AE7" w14:paraId="4FCDDF1B" w14:textId="77777777">
        <w:tc>
          <w:tcPr>
            <w:tcW w:w="1882" w:type="pct"/>
          </w:tcPr>
          <w:p w14:paraId="4CB1ACD0" w14:textId="77777777" w:rsidR="002D0AE7" w:rsidRDefault="00333EBB">
            <w:pPr>
              <w:autoSpaceDE w:val="0"/>
              <w:autoSpaceDN w:val="0"/>
              <w:adjustRightInd w:val="0"/>
              <w:snapToGrid w:val="0"/>
              <w:rPr>
                <w:rFonts w:hint="eastAsia"/>
                <w:sz w:val="21"/>
                <w:szCs w:val="21"/>
              </w:rPr>
            </w:pPr>
            <w:r>
              <w:rPr>
                <w:rFonts w:hint="eastAsia"/>
                <w:color w:val="000000"/>
                <w:sz w:val="21"/>
                <w:szCs w:val="21"/>
              </w:rPr>
              <w:t>业务招待费</w:t>
            </w:r>
          </w:p>
        </w:tc>
        <w:tc>
          <w:tcPr>
            <w:tcW w:w="1551" w:type="pct"/>
          </w:tcPr>
          <w:p w14:paraId="573F875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1,732,308.82</w:t>
            </w:r>
          </w:p>
        </w:tc>
        <w:tc>
          <w:tcPr>
            <w:tcW w:w="1567" w:type="pct"/>
          </w:tcPr>
          <w:p w14:paraId="3B3733E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1,774,437.64</w:t>
            </w:r>
          </w:p>
        </w:tc>
      </w:tr>
      <w:tr w:rsidR="002D0AE7" w14:paraId="1414A796" w14:textId="77777777">
        <w:tc>
          <w:tcPr>
            <w:tcW w:w="1882" w:type="pct"/>
          </w:tcPr>
          <w:p w14:paraId="27F4FAA2" w14:textId="77777777" w:rsidR="002D0AE7" w:rsidRDefault="00333EBB">
            <w:pPr>
              <w:autoSpaceDE w:val="0"/>
              <w:autoSpaceDN w:val="0"/>
              <w:adjustRightInd w:val="0"/>
              <w:snapToGrid w:val="0"/>
              <w:rPr>
                <w:rFonts w:hint="eastAsia"/>
                <w:sz w:val="21"/>
                <w:szCs w:val="21"/>
              </w:rPr>
            </w:pPr>
            <w:r>
              <w:rPr>
                <w:rFonts w:hint="eastAsia"/>
                <w:color w:val="000000"/>
                <w:sz w:val="21"/>
                <w:szCs w:val="21"/>
              </w:rPr>
              <w:t>租赁费</w:t>
            </w:r>
          </w:p>
        </w:tc>
        <w:tc>
          <w:tcPr>
            <w:tcW w:w="1551" w:type="pct"/>
          </w:tcPr>
          <w:p w14:paraId="7C3FDAE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5,254,201.26</w:t>
            </w:r>
          </w:p>
        </w:tc>
        <w:tc>
          <w:tcPr>
            <w:tcW w:w="1567" w:type="pct"/>
          </w:tcPr>
          <w:p w14:paraId="38BF0AF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552,630.44</w:t>
            </w:r>
          </w:p>
        </w:tc>
      </w:tr>
      <w:tr w:rsidR="002D0AE7" w14:paraId="032851D0" w14:textId="77777777">
        <w:tc>
          <w:tcPr>
            <w:tcW w:w="1882" w:type="pct"/>
          </w:tcPr>
          <w:p w14:paraId="776DD0A6" w14:textId="77777777" w:rsidR="002D0AE7" w:rsidRDefault="00333EBB">
            <w:pPr>
              <w:autoSpaceDE w:val="0"/>
              <w:autoSpaceDN w:val="0"/>
              <w:adjustRightInd w:val="0"/>
              <w:snapToGrid w:val="0"/>
              <w:rPr>
                <w:rFonts w:hint="eastAsia"/>
                <w:sz w:val="21"/>
                <w:szCs w:val="21"/>
              </w:rPr>
            </w:pPr>
            <w:r>
              <w:rPr>
                <w:rFonts w:hint="eastAsia"/>
                <w:color w:val="000000"/>
                <w:sz w:val="21"/>
                <w:szCs w:val="21"/>
              </w:rPr>
              <w:t>服务费</w:t>
            </w:r>
          </w:p>
        </w:tc>
        <w:tc>
          <w:tcPr>
            <w:tcW w:w="1551" w:type="pct"/>
          </w:tcPr>
          <w:p w14:paraId="4AEA621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9,013,716.51</w:t>
            </w:r>
          </w:p>
        </w:tc>
        <w:tc>
          <w:tcPr>
            <w:tcW w:w="1567" w:type="pct"/>
          </w:tcPr>
          <w:p w14:paraId="1CC315C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3,888,053.23</w:t>
            </w:r>
          </w:p>
        </w:tc>
      </w:tr>
      <w:tr w:rsidR="002D0AE7" w14:paraId="7FF4427C" w14:textId="77777777">
        <w:tc>
          <w:tcPr>
            <w:tcW w:w="1882" w:type="pct"/>
          </w:tcPr>
          <w:p w14:paraId="3CD74119" w14:textId="77777777" w:rsidR="002D0AE7" w:rsidRDefault="00333EBB">
            <w:pPr>
              <w:autoSpaceDE w:val="0"/>
              <w:autoSpaceDN w:val="0"/>
              <w:adjustRightInd w:val="0"/>
              <w:snapToGrid w:val="0"/>
              <w:rPr>
                <w:rFonts w:hint="eastAsia"/>
                <w:sz w:val="21"/>
                <w:szCs w:val="21"/>
              </w:rPr>
            </w:pPr>
            <w:r>
              <w:rPr>
                <w:rFonts w:hint="eastAsia"/>
                <w:color w:val="000000"/>
                <w:sz w:val="21"/>
                <w:szCs w:val="21"/>
              </w:rPr>
              <w:t>运费</w:t>
            </w:r>
          </w:p>
        </w:tc>
        <w:tc>
          <w:tcPr>
            <w:tcW w:w="1551" w:type="pct"/>
          </w:tcPr>
          <w:p w14:paraId="28E94031"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381,267.53</w:t>
            </w:r>
          </w:p>
        </w:tc>
        <w:tc>
          <w:tcPr>
            <w:tcW w:w="1567" w:type="pct"/>
          </w:tcPr>
          <w:p w14:paraId="175055B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881,522.37</w:t>
            </w:r>
          </w:p>
        </w:tc>
      </w:tr>
      <w:tr w:rsidR="002D0AE7" w14:paraId="6AC21DBA" w14:textId="77777777">
        <w:tc>
          <w:tcPr>
            <w:tcW w:w="1882" w:type="pct"/>
          </w:tcPr>
          <w:p w14:paraId="58A7916C" w14:textId="77777777" w:rsidR="002D0AE7" w:rsidRDefault="00333EBB">
            <w:pPr>
              <w:autoSpaceDE w:val="0"/>
              <w:autoSpaceDN w:val="0"/>
              <w:adjustRightInd w:val="0"/>
              <w:snapToGrid w:val="0"/>
              <w:rPr>
                <w:rFonts w:hint="eastAsia"/>
                <w:sz w:val="21"/>
                <w:szCs w:val="21"/>
              </w:rPr>
            </w:pPr>
            <w:r>
              <w:rPr>
                <w:rFonts w:hint="eastAsia"/>
                <w:color w:val="000000"/>
                <w:sz w:val="21"/>
                <w:szCs w:val="21"/>
              </w:rPr>
              <w:t>销售佣金</w:t>
            </w:r>
          </w:p>
        </w:tc>
        <w:tc>
          <w:tcPr>
            <w:tcW w:w="1551" w:type="pct"/>
          </w:tcPr>
          <w:p w14:paraId="2F82B82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4,892,021.13</w:t>
            </w:r>
          </w:p>
        </w:tc>
        <w:tc>
          <w:tcPr>
            <w:tcW w:w="1567" w:type="pct"/>
          </w:tcPr>
          <w:p w14:paraId="44E044F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5,908,295.84</w:t>
            </w:r>
          </w:p>
        </w:tc>
      </w:tr>
      <w:tr w:rsidR="002D0AE7" w14:paraId="35AA446D" w14:textId="77777777">
        <w:tc>
          <w:tcPr>
            <w:tcW w:w="1882" w:type="pct"/>
          </w:tcPr>
          <w:p w14:paraId="33FB67A6" w14:textId="77777777" w:rsidR="002D0AE7" w:rsidRDefault="00333EBB">
            <w:pPr>
              <w:autoSpaceDE w:val="0"/>
              <w:autoSpaceDN w:val="0"/>
              <w:adjustRightInd w:val="0"/>
              <w:snapToGrid w:val="0"/>
              <w:rPr>
                <w:rFonts w:hint="eastAsia"/>
                <w:sz w:val="21"/>
                <w:szCs w:val="21"/>
              </w:rPr>
            </w:pPr>
            <w:r>
              <w:rPr>
                <w:rFonts w:hint="eastAsia"/>
                <w:color w:val="000000"/>
                <w:sz w:val="21"/>
                <w:szCs w:val="21"/>
              </w:rPr>
              <w:t>检测费</w:t>
            </w:r>
          </w:p>
        </w:tc>
        <w:tc>
          <w:tcPr>
            <w:tcW w:w="1551" w:type="pct"/>
          </w:tcPr>
          <w:p w14:paraId="4EC4278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179,888.00</w:t>
            </w:r>
          </w:p>
        </w:tc>
        <w:tc>
          <w:tcPr>
            <w:tcW w:w="1567" w:type="pct"/>
          </w:tcPr>
          <w:p w14:paraId="562DC9F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246,148.35</w:t>
            </w:r>
          </w:p>
        </w:tc>
      </w:tr>
      <w:tr w:rsidR="002D0AE7" w14:paraId="65F9BDCD" w14:textId="77777777">
        <w:tc>
          <w:tcPr>
            <w:tcW w:w="1882" w:type="pct"/>
          </w:tcPr>
          <w:p w14:paraId="600FE3CF" w14:textId="77777777" w:rsidR="002D0AE7" w:rsidRDefault="00333EBB">
            <w:pPr>
              <w:autoSpaceDE w:val="0"/>
              <w:autoSpaceDN w:val="0"/>
              <w:adjustRightInd w:val="0"/>
              <w:snapToGrid w:val="0"/>
              <w:rPr>
                <w:rFonts w:hint="eastAsia"/>
                <w:sz w:val="21"/>
                <w:szCs w:val="21"/>
              </w:rPr>
            </w:pPr>
            <w:r>
              <w:rPr>
                <w:rFonts w:hint="eastAsia"/>
                <w:color w:val="000000"/>
                <w:sz w:val="21"/>
                <w:szCs w:val="21"/>
              </w:rPr>
              <w:t>会议费</w:t>
            </w:r>
          </w:p>
        </w:tc>
        <w:tc>
          <w:tcPr>
            <w:tcW w:w="1551" w:type="pct"/>
          </w:tcPr>
          <w:p w14:paraId="5CA370B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1,897,096.59</w:t>
            </w:r>
          </w:p>
        </w:tc>
        <w:tc>
          <w:tcPr>
            <w:tcW w:w="1567" w:type="pct"/>
          </w:tcPr>
          <w:p w14:paraId="0527E14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2,672,582.36</w:t>
            </w:r>
          </w:p>
        </w:tc>
      </w:tr>
      <w:tr w:rsidR="002D0AE7" w14:paraId="41BBC636" w14:textId="77777777">
        <w:tc>
          <w:tcPr>
            <w:tcW w:w="1882" w:type="pct"/>
          </w:tcPr>
          <w:p w14:paraId="38F341FB" w14:textId="77777777" w:rsidR="002D0AE7" w:rsidRDefault="00333EBB">
            <w:pPr>
              <w:autoSpaceDE w:val="0"/>
              <w:autoSpaceDN w:val="0"/>
              <w:adjustRightInd w:val="0"/>
              <w:snapToGrid w:val="0"/>
              <w:rPr>
                <w:rFonts w:hint="eastAsia"/>
                <w:sz w:val="21"/>
                <w:szCs w:val="21"/>
              </w:rPr>
            </w:pPr>
            <w:r>
              <w:rPr>
                <w:rFonts w:hint="eastAsia"/>
                <w:color w:val="000000"/>
                <w:sz w:val="21"/>
                <w:szCs w:val="21"/>
              </w:rPr>
              <w:t>往来款</w:t>
            </w:r>
          </w:p>
        </w:tc>
        <w:tc>
          <w:tcPr>
            <w:tcW w:w="1551" w:type="pct"/>
          </w:tcPr>
          <w:p w14:paraId="6737123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18,613,809.75</w:t>
            </w:r>
          </w:p>
        </w:tc>
        <w:tc>
          <w:tcPr>
            <w:tcW w:w="1567" w:type="pct"/>
          </w:tcPr>
          <w:p w14:paraId="46C2FEF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354,984.52</w:t>
            </w:r>
          </w:p>
        </w:tc>
      </w:tr>
      <w:tr w:rsidR="002D0AE7" w14:paraId="25A4D921" w14:textId="77777777">
        <w:tc>
          <w:tcPr>
            <w:tcW w:w="1882" w:type="pct"/>
          </w:tcPr>
          <w:p w14:paraId="5BAFCAD9" w14:textId="77777777" w:rsidR="002D0AE7" w:rsidRDefault="00333EBB">
            <w:pPr>
              <w:autoSpaceDE w:val="0"/>
              <w:autoSpaceDN w:val="0"/>
              <w:adjustRightInd w:val="0"/>
              <w:snapToGrid w:val="0"/>
              <w:rPr>
                <w:rFonts w:hint="eastAsia"/>
                <w:sz w:val="21"/>
                <w:szCs w:val="21"/>
              </w:rPr>
            </w:pPr>
            <w:r>
              <w:rPr>
                <w:rFonts w:hint="eastAsia"/>
                <w:color w:val="000000"/>
                <w:sz w:val="21"/>
                <w:szCs w:val="21"/>
              </w:rPr>
              <w:t>保证金</w:t>
            </w:r>
          </w:p>
        </w:tc>
        <w:tc>
          <w:tcPr>
            <w:tcW w:w="1551" w:type="pct"/>
          </w:tcPr>
          <w:p w14:paraId="0205E0B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9,813,705.60</w:t>
            </w:r>
          </w:p>
        </w:tc>
        <w:tc>
          <w:tcPr>
            <w:tcW w:w="1567" w:type="pct"/>
          </w:tcPr>
          <w:p w14:paraId="368BA0C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19,723,607.91</w:t>
            </w:r>
          </w:p>
        </w:tc>
      </w:tr>
      <w:tr w:rsidR="002D0AE7" w14:paraId="6F800966" w14:textId="77777777">
        <w:tc>
          <w:tcPr>
            <w:tcW w:w="1882" w:type="pct"/>
          </w:tcPr>
          <w:p w14:paraId="402A8CBF" w14:textId="77777777" w:rsidR="002D0AE7" w:rsidRDefault="00333EBB">
            <w:pPr>
              <w:autoSpaceDE w:val="0"/>
              <w:autoSpaceDN w:val="0"/>
              <w:adjustRightInd w:val="0"/>
              <w:snapToGrid w:val="0"/>
              <w:rPr>
                <w:rFonts w:hint="eastAsia"/>
                <w:sz w:val="21"/>
                <w:szCs w:val="21"/>
              </w:rPr>
            </w:pPr>
            <w:r>
              <w:rPr>
                <w:rFonts w:hint="eastAsia"/>
                <w:color w:val="000000"/>
                <w:sz w:val="21"/>
                <w:szCs w:val="21"/>
              </w:rPr>
              <w:t>其他</w:t>
            </w:r>
          </w:p>
        </w:tc>
        <w:tc>
          <w:tcPr>
            <w:tcW w:w="1551" w:type="pct"/>
          </w:tcPr>
          <w:p w14:paraId="3B66595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13,217,101.01</w:t>
            </w:r>
          </w:p>
        </w:tc>
        <w:tc>
          <w:tcPr>
            <w:tcW w:w="1567" w:type="pct"/>
          </w:tcPr>
          <w:p w14:paraId="607E7CA1"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63,301,616.19</w:t>
            </w:r>
          </w:p>
        </w:tc>
      </w:tr>
      <w:tr w:rsidR="002D0AE7" w14:paraId="7CEE2D71" w14:textId="77777777">
        <w:tc>
          <w:tcPr>
            <w:tcW w:w="1882" w:type="pct"/>
          </w:tcPr>
          <w:p w14:paraId="1DF570E3"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合计</w:t>
            </w:r>
          </w:p>
        </w:tc>
        <w:tc>
          <w:tcPr>
            <w:tcW w:w="1551" w:type="pct"/>
          </w:tcPr>
          <w:p w14:paraId="6BF87E6B"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93,294,112.34</w:t>
            </w:r>
          </w:p>
        </w:tc>
        <w:tc>
          <w:tcPr>
            <w:tcW w:w="1567" w:type="pct"/>
          </w:tcPr>
          <w:p w14:paraId="3716B36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130,092,517.22</w:t>
            </w:r>
          </w:p>
        </w:tc>
      </w:tr>
    </w:tbl>
    <w:p w14:paraId="585247E1" w14:textId="77777777" w:rsidR="002D0AE7" w:rsidRDefault="00333EBB">
      <w:pPr>
        <w:spacing w:before="60" w:after="60"/>
        <w:rPr>
          <w:rFonts w:hint="eastAsia"/>
          <w:color w:val="000000" w:themeColor="text1"/>
        </w:rPr>
      </w:pPr>
      <w:r>
        <w:rPr>
          <w:rFonts w:hint="eastAsia"/>
          <w:color w:val="000000" w:themeColor="text1"/>
        </w:rPr>
        <w:t>支付的其他与经营活动有关的现金说明：</w:t>
      </w:r>
      <w:sdt>
        <w:sdtPr>
          <w:rPr>
            <w:rFonts w:hint="eastAsia"/>
            <w:color w:val="000000" w:themeColor="text1"/>
          </w:rPr>
          <w:alias w:val="支付的其他与经营活动有关的现金说明"/>
          <w:tag w:val="_GBC_632dc3caefd547b5b57f9340a021af22"/>
          <w:id w:val="-17392515"/>
          <w:placeholder>
            <w:docPart w:val="GBC22222222222222222222222222222"/>
          </w:placeholder>
        </w:sdtPr>
        <w:sdtEndPr/>
        <w:sdtContent>
          <w:r>
            <w:rPr>
              <w:rFonts w:hint="eastAsia"/>
              <w:color w:val="000000" w:themeColor="text1"/>
            </w:rPr>
            <w:t>无</w:t>
          </w:r>
        </w:sdtContent>
      </w:sdt>
    </w:p>
    <w:p w14:paraId="679C5814" w14:textId="77777777" w:rsidR="002D0AE7" w:rsidRDefault="00333EBB">
      <w:pPr>
        <w:pStyle w:val="4"/>
        <w:numPr>
          <w:ilvl w:val="0"/>
          <w:numId w:val="68"/>
        </w:numPr>
        <w:rPr>
          <w:rFonts w:ascii="宋体" w:hAnsi="宋体" w:cs="宋体" w:hint="eastAsia"/>
          <w:color w:val="000000" w:themeColor="text1"/>
          <w:kern w:val="0"/>
          <w:szCs w:val="21"/>
        </w:rPr>
      </w:pPr>
      <w:bookmarkStart w:id="221" w:name="_Hlk167970426"/>
      <w:r>
        <w:rPr>
          <w:rFonts w:ascii="宋体" w:hAnsi="宋体" w:cs="宋体" w:hint="eastAsia"/>
          <w:color w:val="000000" w:themeColor="text1"/>
          <w:kern w:val="0"/>
          <w:szCs w:val="21"/>
        </w:rPr>
        <w:t>与投资活动有关的现金</w:t>
      </w:r>
    </w:p>
    <w:bookmarkEnd w:id="221"/>
    <w:p w14:paraId="73EBF332" w14:textId="77777777" w:rsidR="002D0AE7" w:rsidRDefault="00333EBB">
      <w:pPr>
        <w:rPr>
          <w:rFonts w:hint="eastAsia"/>
          <w:color w:val="000000" w:themeColor="text1"/>
        </w:rPr>
      </w:pPr>
      <w:r>
        <w:rPr>
          <w:rFonts w:hint="eastAsia"/>
          <w:color w:val="000000" w:themeColor="text1"/>
        </w:rPr>
        <w:t>支付的其他与投资活动有关的现金</w:t>
      </w:r>
    </w:p>
    <w:sdt>
      <w:sdtPr>
        <w:rPr>
          <w:color w:val="000000" w:themeColor="text1"/>
        </w:rPr>
        <w:alias w:val="是否适用：支付的其他与投资活动有关的现金[双击切换]"/>
        <w:tag w:val="_GBC_8862c0a38548482cb3b55a82757e3e33"/>
        <w:id w:val="1644461244"/>
        <w:placeholder>
          <w:docPart w:val="GBC22222222222222222222222222222"/>
        </w:placeholder>
      </w:sdtPr>
      <w:sdtEndPr/>
      <w:sdtContent>
        <w:p w14:paraId="3DDDAFA3"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7CA7DE65"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支付的其他与投资活动有关的现金"/>
          <w:tag w:val="_GBC_d10892949aa14ffe8488e5fb3e554708"/>
          <w:id w:val="-195231824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支付的其他与投资活动有关的现金"/>
          <w:tag w:val="_GBC_699764a41036486da9355782e929009a"/>
          <w:id w:val="-192302428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321"/>
        <w:gridCol w:w="2841"/>
        <w:gridCol w:w="2661"/>
      </w:tblGrid>
      <w:tr w:rsidR="002D0AE7" w14:paraId="0749C188" w14:textId="77777777">
        <w:sdt>
          <w:sdtPr>
            <w:rPr>
              <w:color w:val="000000" w:themeColor="text1"/>
              <w:sz w:val="21"/>
              <w:szCs w:val="21"/>
            </w:rPr>
            <w:tag w:val="_PLD_9d1eae9c142b4411afe63077d56be240"/>
            <w:id w:val="96536347"/>
          </w:sdtPr>
          <w:sdtEndPr/>
          <w:sdtContent>
            <w:tc>
              <w:tcPr>
                <w:tcW w:w="1882" w:type="pct"/>
              </w:tcPr>
              <w:p w14:paraId="4F0BD542"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c15b0147904647a286b23a6481ce17ad"/>
            <w:id w:val="-234006694"/>
          </w:sdtPr>
          <w:sdtEndPr/>
          <w:sdtContent>
            <w:tc>
              <w:tcPr>
                <w:tcW w:w="1610" w:type="pct"/>
              </w:tcPr>
              <w:p w14:paraId="14011587"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本期发生额</w:t>
                </w:r>
              </w:p>
            </w:tc>
          </w:sdtContent>
        </w:sdt>
        <w:sdt>
          <w:sdtPr>
            <w:rPr>
              <w:color w:val="000000" w:themeColor="text1"/>
              <w:sz w:val="21"/>
              <w:szCs w:val="21"/>
            </w:rPr>
            <w:tag w:val="_PLD_be0073208a034a9ea119993745bed906"/>
            <w:id w:val="1825703488"/>
          </w:sdtPr>
          <w:sdtEndPr/>
          <w:sdtContent>
            <w:tc>
              <w:tcPr>
                <w:tcW w:w="1508" w:type="pct"/>
              </w:tcPr>
              <w:p w14:paraId="08A399A3"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上期发生额</w:t>
                </w:r>
              </w:p>
            </w:tc>
          </w:sdtContent>
        </w:sdt>
      </w:tr>
      <w:tr w:rsidR="002D0AE7" w14:paraId="7980C780" w14:textId="77777777">
        <w:tc>
          <w:tcPr>
            <w:tcW w:w="1882" w:type="pct"/>
          </w:tcPr>
          <w:p w14:paraId="3392448A" w14:textId="77777777" w:rsidR="002D0AE7" w:rsidRDefault="00333EBB">
            <w:pPr>
              <w:autoSpaceDE w:val="0"/>
              <w:autoSpaceDN w:val="0"/>
              <w:adjustRightInd w:val="0"/>
              <w:snapToGrid w:val="0"/>
              <w:rPr>
                <w:rFonts w:hint="eastAsia"/>
                <w:sz w:val="21"/>
                <w:szCs w:val="21"/>
              </w:rPr>
            </w:pPr>
            <w:r>
              <w:rPr>
                <w:rFonts w:hint="eastAsia"/>
                <w:color w:val="000000"/>
                <w:sz w:val="21"/>
                <w:szCs w:val="21"/>
              </w:rPr>
              <w:t>子公司注销归还投资款</w:t>
            </w:r>
          </w:p>
        </w:tc>
        <w:tc>
          <w:tcPr>
            <w:tcW w:w="1610" w:type="pct"/>
          </w:tcPr>
          <w:p w14:paraId="0D5C3C93" w14:textId="77777777" w:rsidR="002D0AE7" w:rsidRDefault="00333EBB">
            <w:pPr>
              <w:jc w:val="right"/>
              <w:rPr>
                <w:rFonts w:hint="eastAsia"/>
                <w:sz w:val="21"/>
                <w:szCs w:val="21"/>
              </w:rPr>
            </w:pPr>
            <w:r>
              <w:rPr>
                <w:rFonts w:ascii="Times New Roman" w:hAnsi="Times New Roman" w:cs="Times New Roman"/>
                <w:color w:val="000000"/>
                <w:sz w:val="21"/>
                <w:szCs w:val="21"/>
              </w:rPr>
              <w:t>400,000.00</w:t>
            </w:r>
          </w:p>
        </w:tc>
        <w:tc>
          <w:tcPr>
            <w:tcW w:w="1508" w:type="pct"/>
          </w:tcPr>
          <w:p w14:paraId="268C9019" w14:textId="77777777" w:rsidR="002D0AE7" w:rsidRDefault="00333EBB">
            <w:pPr>
              <w:jc w:val="right"/>
              <w:rPr>
                <w:rFonts w:hint="eastAsia"/>
                <w:sz w:val="21"/>
                <w:szCs w:val="21"/>
              </w:rPr>
            </w:pPr>
            <w:r>
              <w:rPr>
                <w:rFonts w:ascii="Times New Roman" w:hAnsi="Times New Roman" w:cs="Times New Roman"/>
                <w:color w:val="000000"/>
                <w:sz w:val="21"/>
                <w:szCs w:val="21"/>
              </w:rPr>
              <w:t>0.00</w:t>
            </w:r>
          </w:p>
        </w:tc>
      </w:tr>
      <w:tr w:rsidR="002D0AE7" w14:paraId="579234CC" w14:textId="77777777">
        <w:tc>
          <w:tcPr>
            <w:tcW w:w="1882" w:type="pct"/>
          </w:tcPr>
          <w:p w14:paraId="5C727116"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合计</w:t>
            </w:r>
          </w:p>
        </w:tc>
        <w:tc>
          <w:tcPr>
            <w:tcW w:w="1610" w:type="pct"/>
          </w:tcPr>
          <w:p w14:paraId="2D692EF0" w14:textId="77777777" w:rsidR="002D0AE7" w:rsidRDefault="00333EBB">
            <w:pPr>
              <w:jc w:val="right"/>
              <w:rPr>
                <w:rFonts w:hint="eastAsia"/>
                <w:sz w:val="21"/>
                <w:szCs w:val="21"/>
              </w:rPr>
            </w:pPr>
            <w:r>
              <w:rPr>
                <w:rFonts w:ascii="Times New Roman" w:hAnsi="Times New Roman" w:cs="Times New Roman"/>
                <w:color w:val="000000"/>
                <w:sz w:val="21"/>
                <w:szCs w:val="21"/>
              </w:rPr>
              <w:t>400,000.00</w:t>
            </w:r>
          </w:p>
        </w:tc>
        <w:tc>
          <w:tcPr>
            <w:tcW w:w="1508" w:type="pct"/>
          </w:tcPr>
          <w:p w14:paraId="373A6DC7" w14:textId="77777777" w:rsidR="002D0AE7" w:rsidRDefault="00333EBB">
            <w:pPr>
              <w:jc w:val="right"/>
              <w:rPr>
                <w:rFonts w:hint="eastAsia"/>
                <w:sz w:val="21"/>
                <w:szCs w:val="21"/>
              </w:rPr>
            </w:pPr>
            <w:r>
              <w:rPr>
                <w:rFonts w:ascii="Times New Roman" w:hAnsi="Times New Roman" w:cs="Times New Roman"/>
                <w:color w:val="000000"/>
                <w:sz w:val="21"/>
                <w:szCs w:val="21"/>
              </w:rPr>
              <w:t>0.00</w:t>
            </w:r>
          </w:p>
        </w:tc>
      </w:tr>
    </w:tbl>
    <w:p w14:paraId="1F005738" w14:textId="77777777" w:rsidR="002D0AE7" w:rsidRDefault="00333EBB">
      <w:pPr>
        <w:spacing w:before="60" w:after="60"/>
        <w:rPr>
          <w:rFonts w:hint="eastAsia"/>
          <w:color w:val="000000" w:themeColor="text1"/>
        </w:rPr>
      </w:pPr>
      <w:r>
        <w:rPr>
          <w:rFonts w:hint="eastAsia"/>
          <w:color w:val="000000" w:themeColor="text1"/>
        </w:rPr>
        <w:t>支付的其他与投资活动有关的现金说明：</w:t>
      </w:r>
      <w:sdt>
        <w:sdtPr>
          <w:rPr>
            <w:rFonts w:hint="eastAsia"/>
            <w:color w:val="000000" w:themeColor="text1"/>
          </w:rPr>
          <w:alias w:val="支付的其他与投资活动有关的现金说明"/>
          <w:tag w:val="_GBC_01ca6e937c9f400c901d9f734e0a827f"/>
          <w:id w:val="319463681"/>
          <w:placeholder>
            <w:docPart w:val="GBC22222222222222222222222222222"/>
          </w:placeholder>
        </w:sdtPr>
        <w:sdtEndPr/>
        <w:sdtContent>
          <w:r>
            <w:rPr>
              <w:rFonts w:hint="eastAsia"/>
              <w:color w:val="000000" w:themeColor="text1"/>
            </w:rPr>
            <w:t>无</w:t>
          </w:r>
        </w:sdtContent>
      </w:sdt>
    </w:p>
    <w:p w14:paraId="6B1EC267" w14:textId="77777777" w:rsidR="002D0AE7" w:rsidRDefault="00333EBB">
      <w:pPr>
        <w:pStyle w:val="4"/>
        <w:numPr>
          <w:ilvl w:val="0"/>
          <w:numId w:val="68"/>
        </w:numPr>
        <w:rPr>
          <w:rFonts w:ascii="宋体" w:hAnsi="宋体" w:cs="宋体" w:hint="eastAsia"/>
          <w:color w:val="000000" w:themeColor="text1"/>
          <w:kern w:val="0"/>
          <w:szCs w:val="21"/>
        </w:rPr>
      </w:pPr>
      <w:r>
        <w:rPr>
          <w:rFonts w:ascii="宋体" w:hAnsi="宋体" w:cs="宋体" w:hint="eastAsia"/>
          <w:color w:val="000000" w:themeColor="text1"/>
          <w:kern w:val="0"/>
          <w:szCs w:val="21"/>
        </w:rPr>
        <w:lastRenderedPageBreak/>
        <w:t>与筹资活动有关的现金</w:t>
      </w:r>
    </w:p>
    <w:p w14:paraId="1614D910" w14:textId="77777777" w:rsidR="002D0AE7" w:rsidRDefault="00333EBB">
      <w:pPr>
        <w:rPr>
          <w:rFonts w:hint="eastAsia"/>
          <w:color w:val="000000" w:themeColor="text1"/>
        </w:rPr>
      </w:pPr>
      <w:r>
        <w:rPr>
          <w:rFonts w:hint="eastAsia"/>
          <w:color w:val="000000" w:themeColor="text1"/>
        </w:rPr>
        <w:t>支付的其他与筹资活动有关的现金</w:t>
      </w:r>
    </w:p>
    <w:sdt>
      <w:sdtPr>
        <w:rPr>
          <w:color w:val="000000" w:themeColor="text1"/>
        </w:rPr>
        <w:alias w:val="是否适用：支付的其他与筹资活动有关的现金[双击切换]"/>
        <w:tag w:val="_GBC_cf7fd4869f8d4d98a07243e22bf22793"/>
        <w:id w:val="-541598732"/>
        <w:placeholder>
          <w:docPart w:val="GBC22222222222222222222222222222"/>
        </w:placeholder>
      </w:sdtPr>
      <w:sdtEndPr/>
      <w:sdtContent>
        <w:p w14:paraId="38D8072A"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5297B39E"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支付的其他与筹资活动有关的现金"/>
          <w:tag w:val="_GBC_323ca3d874214911880818d387e0c63b"/>
          <w:id w:val="-202669407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支付的其他与筹资活动有关的现金"/>
          <w:tag w:val="_GBC_d6726952256941209f32bac8fffa568d"/>
          <w:id w:val="32795118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822"/>
        <w:gridCol w:w="2340"/>
        <w:gridCol w:w="2661"/>
      </w:tblGrid>
      <w:tr w:rsidR="002D0AE7" w14:paraId="352CAC74" w14:textId="77777777">
        <w:sdt>
          <w:sdtPr>
            <w:rPr>
              <w:color w:val="000000" w:themeColor="text1"/>
              <w:sz w:val="21"/>
              <w:szCs w:val="21"/>
            </w:rPr>
            <w:tag w:val="_PLD_2b9da6111f3f4cacb3afcfc0de00e1e9"/>
            <w:id w:val="243384705"/>
          </w:sdtPr>
          <w:sdtEndPr/>
          <w:sdtContent>
            <w:tc>
              <w:tcPr>
                <w:tcW w:w="2166" w:type="pct"/>
              </w:tcPr>
              <w:p w14:paraId="20D29AAE"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b6791a7f5c234d80be8964d8fb7b3ce6"/>
            <w:id w:val="-783726984"/>
          </w:sdtPr>
          <w:sdtEndPr/>
          <w:sdtContent>
            <w:tc>
              <w:tcPr>
                <w:tcW w:w="1326" w:type="pct"/>
              </w:tcPr>
              <w:p w14:paraId="4A84B65D"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本期发生额</w:t>
                </w:r>
              </w:p>
            </w:tc>
          </w:sdtContent>
        </w:sdt>
        <w:sdt>
          <w:sdtPr>
            <w:rPr>
              <w:color w:val="000000" w:themeColor="text1"/>
              <w:sz w:val="21"/>
              <w:szCs w:val="21"/>
            </w:rPr>
            <w:tag w:val="_PLD_b4a33da4012d47bd8013a6c570bcad87"/>
            <w:id w:val="-901677768"/>
          </w:sdtPr>
          <w:sdtEndPr/>
          <w:sdtContent>
            <w:tc>
              <w:tcPr>
                <w:tcW w:w="1508" w:type="pct"/>
              </w:tcPr>
              <w:p w14:paraId="6054ED9E"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上期发生额</w:t>
                </w:r>
              </w:p>
            </w:tc>
          </w:sdtContent>
        </w:sdt>
      </w:tr>
      <w:tr w:rsidR="002D0AE7" w14:paraId="14C4CCB9" w14:textId="77777777">
        <w:tc>
          <w:tcPr>
            <w:tcW w:w="2166" w:type="pct"/>
          </w:tcPr>
          <w:p w14:paraId="0DE0A0C1" w14:textId="77777777" w:rsidR="002D0AE7" w:rsidRDefault="00333EBB">
            <w:pPr>
              <w:autoSpaceDE w:val="0"/>
              <w:autoSpaceDN w:val="0"/>
              <w:adjustRightInd w:val="0"/>
              <w:snapToGrid w:val="0"/>
              <w:rPr>
                <w:rFonts w:hint="eastAsia"/>
                <w:sz w:val="21"/>
                <w:szCs w:val="21"/>
              </w:rPr>
            </w:pPr>
            <w:r>
              <w:rPr>
                <w:rFonts w:hint="eastAsia"/>
                <w:color w:val="000000"/>
                <w:sz w:val="21"/>
                <w:szCs w:val="21"/>
              </w:rPr>
              <w:t>限制性股票回购</w:t>
            </w:r>
          </w:p>
        </w:tc>
        <w:tc>
          <w:tcPr>
            <w:tcW w:w="1326" w:type="pct"/>
            <w:vAlign w:val="bottom"/>
          </w:tcPr>
          <w:p w14:paraId="7D83D1F1"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1508" w:type="pct"/>
            <w:vAlign w:val="bottom"/>
          </w:tcPr>
          <w:p w14:paraId="451A15D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5,779,678.57</w:t>
            </w:r>
          </w:p>
        </w:tc>
      </w:tr>
      <w:tr w:rsidR="002D0AE7" w14:paraId="284B2B34" w14:textId="77777777">
        <w:tc>
          <w:tcPr>
            <w:tcW w:w="2166" w:type="pct"/>
          </w:tcPr>
          <w:p w14:paraId="5CEE9319" w14:textId="77777777" w:rsidR="002D0AE7" w:rsidRDefault="00333EBB">
            <w:pPr>
              <w:autoSpaceDE w:val="0"/>
              <w:autoSpaceDN w:val="0"/>
              <w:adjustRightInd w:val="0"/>
              <w:snapToGrid w:val="0"/>
              <w:rPr>
                <w:rFonts w:hint="eastAsia"/>
                <w:sz w:val="21"/>
                <w:szCs w:val="21"/>
              </w:rPr>
            </w:pPr>
            <w:r>
              <w:rPr>
                <w:rFonts w:hint="eastAsia"/>
                <w:color w:val="000000"/>
                <w:sz w:val="21"/>
                <w:szCs w:val="21"/>
              </w:rPr>
              <w:t>筹资性银行承兑汇票到期支付的现金</w:t>
            </w:r>
          </w:p>
        </w:tc>
        <w:tc>
          <w:tcPr>
            <w:tcW w:w="1326" w:type="pct"/>
            <w:vAlign w:val="bottom"/>
          </w:tcPr>
          <w:p w14:paraId="478E014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c>
          <w:tcPr>
            <w:tcW w:w="1508" w:type="pct"/>
            <w:vAlign w:val="bottom"/>
          </w:tcPr>
          <w:p w14:paraId="2DD3901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77,000,000.00</w:t>
            </w:r>
          </w:p>
        </w:tc>
      </w:tr>
      <w:tr w:rsidR="002D0AE7" w14:paraId="35B24913" w14:textId="77777777">
        <w:tc>
          <w:tcPr>
            <w:tcW w:w="2166" w:type="pct"/>
          </w:tcPr>
          <w:p w14:paraId="66C53EDB" w14:textId="77777777" w:rsidR="002D0AE7" w:rsidRDefault="00333EBB">
            <w:pPr>
              <w:autoSpaceDE w:val="0"/>
              <w:autoSpaceDN w:val="0"/>
              <w:adjustRightInd w:val="0"/>
              <w:snapToGrid w:val="0"/>
              <w:rPr>
                <w:rFonts w:hint="eastAsia"/>
                <w:sz w:val="21"/>
                <w:szCs w:val="21"/>
              </w:rPr>
            </w:pPr>
            <w:r>
              <w:rPr>
                <w:rFonts w:hint="eastAsia"/>
                <w:color w:val="000000"/>
                <w:sz w:val="21"/>
                <w:szCs w:val="21"/>
              </w:rPr>
              <w:t>租赁款</w:t>
            </w:r>
          </w:p>
        </w:tc>
        <w:tc>
          <w:tcPr>
            <w:tcW w:w="1326" w:type="pct"/>
            <w:vAlign w:val="bottom"/>
          </w:tcPr>
          <w:p w14:paraId="38095703"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70,992.52</w:t>
            </w:r>
          </w:p>
        </w:tc>
        <w:tc>
          <w:tcPr>
            <w:tcW w:w="1508" w:type="pct"/>
            <w:vAlign w:val="bottom"/>
          </w:tcPr>
          <w:p w14:paraId="595BE6C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r>
      <w:tr w:rsidR="002D0AE7" w14:paraId="698A88BE" w14:textId="77777777">
        <w:tc>
          <w:tcPr>
            <w:tcW w:w="2166" w:type="pct"/>
          </w:tcPr>
          <w:p w14:paraId="13AA2862" w14:textId="77777777" w:rsidR="002D0AE7" w:rsidRDefault="00333EBB">
            <w:pPr>
              <w:autoSpaceDE w:val="0"/>
              <w:autoSpaceDN w:val="0"/>
              <w:adjustRightInd w:val="0"/>
              <w:snapToGrid w:val="0"/>
              <w:jc w:val="center"/>
              <w:rPr>
                <w:rFonts w:hint="eastAsia"/>
                <w:color w:val="000000" w:themeColor="text1"/>
                <w:sz w:val="21"/>
                <w:szCs w:val="21"/>
              </w:rPr>
            </w:pPr>
            <w:r>
              <w:rPr>
                <w:rFonts w:hint="eastAsia"/>
                <w:color w:val="000000" w:themeColor="text1"/>
                <w:sz w:val="21"/>
                <w:szCs w:val="21"/>
              </w:rPr>
              <w:t>合计</w:t>
            </w:r>
          </w:p>
        </w:tc>
        <w:tc>
          <w:tcPr>
            <w:tcW w:w="1326" w:type="pct"/>
            <w:vAlign w:val="bottom"/>
          </w:tcPr>
          <w:p w14:paraId="01DC003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70,992.52</w:t>
            </w:r>
          </w:p>
        </w:tc>
        <w:tc>
          <w:tcPr>
            <w:tcW w:w="1508" w:type="pct"/>
            <w:vAlign w:val="bottom"/>
          </w:tcPr>
          <w:p w14:paraId="7000CB77"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82,779,678.57</w:t>
            </w:r>
          </w:p>
        </w:tc>
      </w:tr>
    </w:tbl>
    <w:p w14:paraId="02ACE32E" w14:textId="77777777" w:rsidR="002D0AE7" w:rsidRDefault="00333EBB">
      <w:pPr>
        <w:spacing w:before="60" w:after="60"/>
        <w:rPr>
          <w:rFonts w:hint="eastAsia"/>
          <w:color w:val="000000" w:themeColor="text1"/>
        </w:rPr>
      </w:pPr>
      <w:r>
        <w:rPr>
          <w:rFonts w:hint="eastAsia"/>
          <w:color w:val="000000" w:themeColor="text1"/>
        </w:rPr>
        <w:t>支付的其他与筹资活动有关的现金说明：</w:t>
      </w:r>
      <w:sdt>
        <w:sdtPr>
          <w:rPr>
            <w:rFonts w:hint="eastAsia"/>
            <w:color w:val="000000" w:themeColor="text1"/>
          </w:rPr>
          <w:alias w:val="支付的其他与筹资活动有关的现金说明"/>
          <w:tag w:val="_GBC_7240a9be12a64ca5b011a2561db068a1"/>
          <w:id w:val="688109125"/>
          <w:placeholder>
            <w:docPart w:val="GBC22222222222222222222222222222"/>
          </w:placeholder>
        </w:sdtPr>
        <w:sdtEndPr/>
        <w:sdtContent>
          <w:r>
            <w:rPr>
              <w:rFonts w:hint="eastAsia"/>
              <w:color w:val="000000" w:themeColor="text1"/>
            </w:rPr>
            <w:t>无</w:t>
          </w:r>
        </w:sdtContent>
      </w:sdt>
    </w:p>
    <w:p w14:paraId="3D93FC61" w14:textId="77777777" w:rsidR="002D0AE7" w:rsidRDefault="00333EBB">
      <w:pPr>
        <w:pStyle w:val="3"/>
        <w:numPr>
          <w:ilvl w:val="0"/>
          <w:numId w:val="43"/>
        </w:numPr>
        <w:tabs>
          <w:tab w:val="left" w:pos="504"/>
        </w:tabs>
        <w:rPr>
          <w:rFonts w:ascii="宋体" w:hAnsi="宋体" w:hint="eastAsia"/>
          <w:color w:val="000000" w:themeColor="text1"/>
        </w:rPr>
      </w:pPr>
      <w:r>
        <w:rPr>
          <w:rFonts w:ascii="宋体" w:hAnsi="宋体" w:hint="eastAsia"/>
          <w:color w:val="000000" w:themeColor="text1"/>
        </w:rPr>
        <w:t>现金流量表</w:t>
      </w:r>
      <w:r>
        <w:rPr>
          <w:rFonts w:ascii="宋体" w:hAnsi="宋体" w:hint="eastAsia"/>
          <w:color w:val="000000" w:themeColor="text1"/>
          <w:szCs w:val="21"/>
        </w:rPr>
        <w:t>补充</w:t>
      </w:r>
      <w:r>
        <w:rPr>
          <w:rFonts w:ascii="宋体" w:hAnsi="宋体" w:hint="eastAsia"/>
          <w:color w:val="000000" w:themeColor="text1"/>
        </w:rPr>
        <w:t>资料</w:t>
      </w:r>
    </w:p>
    <w:p w14:paraId="7145F692" w14:textId="77777777" w:rsidR="002D0AE7" w:rsidRDefault="00333EBB">
      <w:pPr>
        <w:pStyle w:val="4"/>
        <w:numPr>
          <w:ilvl w:val="0"/>
          <w:numId w:val="69"/>
        </w:numPr>
        <w:rPr>
          <w:rFonts w:ascii="宋体" w:hAnsi="宋体" w:hint="eastAsia"/>
          <w:color w:val="000000" w:themeColor="text1"/>
        </w:rPr>
      </w:pPr>
      <w:r>
        <w:rPr>
          <w:rFonts w:ascii="宋体" w:hAnsi="宋体" w:hint="eastAsia"/>
          <w:color w:val="000000" w:themeColor="text1"/>
        </w:rPr>
        <w:t>现金流量表补充资料</w:t>
      </w:r>
    </w:p>
    <w:sdt>
      <w:sdtPr>
        <w:rPr>
          <w:color w:val="000000" w:themeColor="text1"/>
        </w:rPr>
        <w:alias w:val="是否适用：现金流量表补充资料[双击切换]"/>
        <w:tag w:val="_GBC_3ee8e178479245ea907bff86e4dcd54a"/>
        <w:id w:val="-1467501287"/>
        <w:placeholder>
          <w:docPart w:val="GBC22222222222222222222222222222"/>
        </w:placeholder>
      </w:sdtPr>
      <w:sdtEndPr/>
      <w:sdtContent>
        <w:p w14:paraId="24112E03"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421EDD04"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现金流量表补充资料"/>
          <w:tag w:val="_GBC_ba7cd13a54fa44929e0fd4c276876d0e"/>
          <w:id w:val="-32011617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现金流量表补充资料"/>
          <w:tag w:val="_GBC_715164ef2f2b4f258a0908b254229361"/>
          <w:id w:val="-75150747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98"/>
        <w:gridCol w:w="1985"/>
        <w:gridCol w:w="1740"/>
      </w:tblGrid>
      <w:tr w:rsidR="002D0AE7" w14:paraId="20A9C44B" w14:textId="77777777">
        <w:sdt>
          <w:sdtPr>
            <w:rPr>
              <w:color w:val="000000" w:themeColor="text1"/>
              <w:sz w:val="21"/>
              <w:szCs w:val="21"/>
            </w:rPr>
            <w:tag w:val="_PLD_a6ea455751354381bc869d5865ef3d8f"/>
            <w:id w:val="-1143352373"/>
          </w:sdtPr>
          <w:sdtEndPr/>
          <w:sdtContent>
            <w:tc>
              <w:tcPr>
                <w:tcW w:w="2889" w:type="pct"/>
                <w:tcBorders>
                  <w:top w:val="single" w:sz="4" w:space="0" w:color="auto"/>
                  <w:left w:val="single" w:sz="4" w:space="0" w:color="auto"/>
                  <w:bottom w:val="single" w:sz="4" w:space="0" w:color="auto"/>
                  <w:right w:val="single" w:sz="4" w:space="0" w:color="auto"/>
                </w:tcBorders>
                <w:shd w:val="clear" w:color="auto" w:fill="auto"/>
                <w:vAlign w:val="center"/>
              </w:tcPr>
              <w:p w14:paraId="3511B793" w14:textId="77777777" w:rsidR="002D0AE7" w:rsidRDefault="00333EBB">
                <w:pPr>
                  <w:jc w:val="center"/>
                  <w:rPr>
                    <w:rFonts w:hint="eastAsia"/>
                    <w:bCs/>
                    <w:color w:val="000000" w:themeColor="text1"/>
                    <w:sz w:val="21"/>
                    <w:szCs w:val="21"/>
                  </w:rPr>
                </w:pPr>
                <w:r>
                  <w:rPr>
                    <w:rFonts w:hint="eastAsia"/>
                    <w:color w:val="000000" w:themeColor="text1"/>
                    <w:sz w:val="21"/>
                    <w:szCs w:val="21"/>
                  </w:rPr>
                  <w:t>补充资料</w:t>
                </w:r>
              </w:p>
            </w:tc>
          </w:sdtContent>
        </w:sdt>
        <w:sdt>
          <w:sdtPr>
            <w:rPr>
              <w:color w:val="000000" w:themeColor="text1"/>
              <w:sz w:val="21"/>
              <w:szCs w:val="21"/>
            </w:rPr>
            <w:tag w:val="_PLD_0687e3743a4e4e2db7b08855f23641e8"/>
            <w:id w:val="-2093230164"/>
          </w:sdtPr>
          <w:sdtEndPr/>
          <w:sdtContent>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03BC4312" w14:textId="77777777" w:rsidR="002D0AE7" w:rsidRDefault="00333EBB">
                <w:pPr>
                  <w:jc w:val="center"/>
                  <w:rPr>
                    <w:rFonts w:hint="eastAsia"/>
                    <w:color w:val="000000" w:themeColor="text1"/>
                    <w:sz w:val="21"/>
                    <w:szCs w:val="21"/>
                  </w:rPr>
                </w:pPr>
                <w:r>
                  <w:rPr>
                    <w:rFonts w:hint="eastAsia"/>
                    <w:color w:val="000000" w:themeColor="text1"/>
                    <w:sz w:val="21"/>
                    <w:szCs w:val="21"/>
                  </w:rPr>
                  <w:t>本期金额</w:t>
                </w:r>
              </w:p>
            </w:tc>
          </w:sdtContent>
        </w:sdt>
        <w:sdt>
          <w:sdtPr>
            <w:rPr>
              <w:color w:val="000000" w:themeColor="text1"/>
              <w:sz w:val="21"/>
              <w:szCs w:val="21"/>
            </w:rPr>
            <w:tag w:val="_PLD_f90342638d124edea40aa264bbe65e8e"/>
            <w:id w:val="1006478690"/>
          </w:sdtPr>
          <w:sdtEndPr/>
          <w:sdtContent>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6865B3A6" w14:textId="77777777" w:rsidR="002D0AE7" w:rsidRDefault="00333EBB">
                <w:pPr>
                  <w:jc w:val="center"/>
                  <w:rPr>
                    <w:rFonts w:hint="eastAsia"/>
                    <w:color w:val="000000" w:themeColor="text1"/>
                    <w:sz w:val="21"/>
                    <w:szCs w:val="21"/>
                  </w:rPr>
                </w:pPr>
                <w:r>
                  <w:rPr>
                    <w:rFonts w:hint="eastAsia"/>
                    <w:color w:val="000000" w:themeColor="text1"/>
                    <w:sz w:val="21"/>
                    <w:szCs w:val="21"/>
                  </w:rPr>
                  <w:t>上期金额</w:t>
                </w:r>
              </w:p>
            </w:tc>
          </w:sdtContent>
        </w:sdt>
      </w:tr>
      <w:tr w:rsidR="002D0AE7" w14:paraId="39DDE355" w14:textId="77777777">
        <w:sdt>
          <w:sdtPr>
            <w:rPr>
              <w:color w:val="000000" w:themeColor="text1"/>
              <w:sz w:val="21"/>
              <w:szCs w:val="21"/>
            </w:rPr>
            <w:tag w:val="_PLD_0a799a1250f946df9181881c4b1f3829"/>
            <w:id w:val="-100803464"/>
          </w:sdtPr>
          <w:sdtEnd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14:paraId="2BDC34AF" w14:textId="77777777" w:rsidR="002D0AE7" w:rsidRDefault="00333EBB">
                <w:pPr>
                  <w:jc w:val="both"/>
                  <w:rPr>
                    <w:rFonts w:hint="eastAsia"/>
                    <w:b/>
                    <w:color w:val="000000" w:themeColor="text1"/>
                    <w:sz w:val="21"/>
                    <w:szCs w:val="21"/>
                  </w:rPr>
                </w:pPr>
                <w:r>
                  <w:rPr>
                    <w:b/>
                    <w:color w:val="000000" w:themeColor="text1"/>
                    <w:sz w:val="21"/>
                    <w:szCs w:val="21"/>
                  </w:rPr>
                  <w:t>1</w:t>
                </w:r>
                <w:r>
                  <w:rPr>
                    <w:rFonts w:hint="eastAsia"/>
                    <w:b/>
                    <w:color w:val="000000" w:themeColor="text1"/>
                    <w:sz w:val="21"/>
                    <w:szCs w:val="21"/>
                  </w:rPr>
                  <w:t>．将净利润调节为经营活动现金流量：</w:t>
                </w:r>
              </w:p>
            </w:tc>
          </w:sdtContent>
        </w:sdt>
      </w:tr>
      <w:tr w:rsidR="002D0AE7" w14:paraId="4EF57B58" w14:textId="77777777">
        <w:tc>
          <w:tcPr>
            <w:tcW w:w="2889" w:type="pct"/>
            <w:tcBorders>
              <w:top w:val="single" w:sz="4" w:space="0" w:color="auto"/>
              <w:left w:val="single" w:sz="4" w:space="0" w:color="auto"/>
              <w:bottom w:val="single" w:sz="4" w:space="0" w:color="auto"/>
              <w:right w:val="single" w:sz="4" w:space="0" w:color="auto"/>
            </w:tcBorders>
            <w:shd w:val="clear" w:color="auto" w:fill="auto"/>
          </w:tcPr>
          <w:p w14:paraId="106711D8" w14:textId="77777777" w:rsidR="002D0AE7" w:rsidRDefault="00333EBB">
            <w:pPr>
              <w:rPr>
                <w:rFonts w:hint="eastAsia"/>
                <w:color w:val="000000" w:themeColor="text1"/>
                <w:sz w:val="21"/>
                <w:szCs w:val="21"/>
              </w:rPr>
            </w:pPr>
            <w:r>
              <w:rPr>
                <w:rFonts w:hint="eastAsia"/>
                <w:color w:val="000000" w:themeColor="text1"/>
                <w:sz w:val="21"/>
                <w:szCs w:val="21"/>
              </w:rPr>
              <w:t>净利润</w:t>
            </w:r>
          </w:p>
        </w:tc>
        <w:tc>
          <w:tcPr>
            <w:tcW w:w="1125" w:type="pct"/>
            <w:tcBorders>
              <w:top w:val="outset" w:sz="6" w:space="0" w:color="auto"/>
              <w:left w:val="single" w:sz="4" w:space="0" w:color="auto"/>
              <w:bottom w:val="outset" w:sz="6" w:space="0" w:color="auto"/>
              <w:right w:val="outset" w:sz="6" w:space="0" w:color="auto"/>
            </w:tcBorders>
            <w:shd w:val="clear" w:color="auto" w:fill="auto"/>
            <w:vAlign w:val="center"/>
          </w:tcPr>
          <w:p w14:paraId="5D243667"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177,403,010.21</w:t>
            </w:r>
          </w:p>
        </w:tc>
        <w:tc>
          <w:tcPr>
            <w:tcW w:w="986" w:type="pct"/>
            <w:tcBorders>
              <w:top w:val="outset" w:sz="6" w:space="0" w:color="auto"/>
              <w:left w:val="outset" w:sz="6" w:space="0" w:color="auto"/>
              <w:bottom w:val="outset" w:sz="6" w:space="0" w:color="auto"/>
              <w:right w:val="outset" w:sz="6" w:space="0" w:color="auto"/>
            </w:tcBorders>
            <w:shd w:val="clear" w:color="auto" w:fill="auto"/>
            <w:vAlign w:val="center"/>
          </w:tcPr>
          <w:p w14:paraId="5147EA5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155,321,277.39</w:t>
            </w:r>
          </w:p>
        </w:tc>
      </w:tr>
      <w:tr w:rsidR="002D0AE7" w14:paraId="73FE3C44" w14:textId="77777777">
        <w:tc>
          <w:tcPr>
            <w:tcW w:w="2889" w:type="pct"/>
            <w:tcBorders>
              <w:top w:val="single" w:sz="4" w:space="0" w:color="auto"/>
              <w:left w:val="single" w:sz="4" w:space="0" w:color="auto"/>
              <w:bottom w:val="single" w:sz="4" w:space="0" w:color="auto"/>
              <w:right w:val="single" w:sz="4" w:space="0" w:color="auto"/>
            </w:tcBorders>
            <w:shd w:val="clear" w:color="auto" w:fill="auto"/>
          </w:tcPr>
          <w:p w14:paraId="3A89CF36" w14:textId="77777777" w:rsidR="002D0AE7" w:rsidRDefault="00333EBB">
            <w:pPr>
              <w:rPr>
                <w:rFonts w:hint="eastAsia"/>
                <w:color w:val="000000" w:themeColor="text1"/>
                <w:sz w:val="21"/>
                <w:szCs w:val="21"/>
              </w:rPr>
            </w:pPr>
            <w:r>
              <w:rPr>
                <w:rFonts w:hint="eastAsia"/>
                <w:color w:val="000000" w:themeColor="text1"/>
                <w:sz w:val="21"/>
                <w:szCs w:val="21"/>
              </w:rPr>
              <w:t>加：资产减值准备</w:t>
            </w:r>
          </w:p>
        </w:tc>
        <w:tc>
          <w:tcPr>
            <w:tcW w:w="1125" w:type="pct"/>
            <w:tcBorders>
              <w:top w:val="outset" w:sz="6" w:space="0" w:color="auto"/>
              <w:left w:val="single" w:sz="4" w:space="0" w:color="auto"/>
              <w:bottom w:val="outset" w:sz="6" w:space="0" w:color="auto"/>
              <w:right w:val="outset" w:sz="6" w:space="0" w:color="auto"/>
            </w:tcBorders>
            <w:shd w:val="clear" w:color="auto" w:fill="auto"/>
            <w:vAlign w:val="center"/>
          </w:tcPr>
          <w:p w14:paraId="53DF283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-3,906,839.84</w:t>
            </w:r>
          </w:p>
        </w:tc>
        <w:tc>
          <w:tcPr>
            <w:tcW w:w="986" w:type="pct"/>
            <w:tcBorders>
              <w:top w:val="outset" w:sz="6" w:space="0" w:color="auto"/>
              <w:left w:val="outset" w:sz="6" w:space="0" w:color="auto"/>
              <w:bottom w:val="outset" w:sz="6" w:space="0" w:color="auto"/>
              <w:right w:val="outset" w:sz="6" w:space="0" w:color="auto"/>
            </w:tcBorders>
            <w:shd w:val="clear" w:color="auto" w:fill="auto"/>
            <w:vAlign w:val="center"/>
          </w:tcPr>
          <w:p w14:paraId="331627B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-2,483,522.03</w:t>
            </w:r>
          </w:p>
        </w:tc>
      </w:tr>
      <w:tr w:rsidR="002D0AE7" w14:paraId="3DA2E31F" w14:textId="77777777">
        <w:tc>
          <w:tcPr>
            <w:tcW w:w="2889" w:type="pct"/>
            <w:tcBorders>
              <w:top w:val="single" w:sz="4" w:space="0" w:color="auto"/>
              <w:left w:val="single" w:sz="4" w:space="0" w:color="auto"/>
              <w:bottom w:val="single" w:sz="4" w:space="0" w:color="auto"/>
              <w:right w:val="single" w:sz="4" w:space="0" w:color="auto"/>
            </w:tcBorders>
            <w:shd w:val="clear" w:color="auto" w:fill="auto"/>
          </w:tcPr>
          <w:p w14:paraId="7B5B0405" w14:textId="77777777" w:rsidR="002D0AE7" w:rsidRDefault="00333EBB">
            <w:pPr>
              <w:rPr>
                <w:rFonts w:hint="eastAsia"/>
                <w:color w:val="000000" w:themeColor="text1"/>
                <w:sz w:val="21"/>
                <w:szCs w:val="21"/>
              </w:rPr>
            </w:pPr>
            <w:r>
              <w:rPr>
                <w:rFonts w:hint="eastAsia"/>
                <w:color w:val="000000" w:themeColor="text1"/>
                <w:sz w:val="21"/>
                <w:szCs w:val="21"/>
              </w:rPr>
              <w:t>信用减值损失</w:t>
            </w:r>
          </w:p>
        </w:tc>
        <w:tc>
          <w:tcPr>
            <w:tcW w:w="1125" w:type="pct"/>
            <w:tcBorders>
              <w:top w:val="outset" w:sz="6" w:space="0" w:color="auto"/>
              <w:left w:val="single" w:sz="4" w:space="0" w:color="auto"/>
              <w:bottom w:val="outset" w:sz="6" w:space="0" w:color="auto"/>
              <w:right w:val="outset" w:sz="6" w:space="0" w:color="auto"/>
            </w:tcBorders>
            <w:shd w:val="clear" w:color="auto" w:fill="auto"/>
            <w:vAlign w:val="center"/>
          </w:tcPr>
          <w:p w14:paraId="6DB635D1"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93,292.18</w:t>
            </w:r>
          </w:p>
        </w:tc>
        <w:tc>
          <w:tcPr>
            <w:tcW w:w="986" w:type="pct"/>
            <w:tcBorders>
              <w:top w:val="outset" w:sz="6" w:space="0" w:color="auto"/>
              <w:left w:val="outset" w:sz="6" w:space="0" w:color="auto"/>
              <w:bottom w:val="outset" w:sz="6" w:space="0" w:color="auto"/>
              <w:right w:val="outset" w:sz="6" w:space="0" w:color="auto"/>
            </w:tcBorders>
            <w:shd w:val="clear" w:color="auto" w:fill="auto"/>
            <w:vAlign w:val="center"/>
          </w:tcPr>
          <w:p w14:paraId="023B7277"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200,637.84</w:t>
            </w:r>
          </w:p>
        </w:tc>
      </w:tr>
      <w:tr w:rsidR="002D0AE7" w14:paraId="06E54727" w14:textId="77777777">
        <w:tc>
          <w:tcPr>
            <w:tcW w:w="2889" w:type="pct"/>
            <w:tcBorders>
              <w:top w:val="single" w:sz="4" w:space="0" w:color="auto"/>
              <w:left w:val="single" w:sz="4" w:space="0" w:color="auto"/>
              <w:bottom w:val="single" w:sz="4" w:space="0" w:color="auto"/>
              <w:right w:val="single" w:sz="4" w:space="0" w:color="auto"/>
            </w:tcBorders>
            <w:shd w:val="clear" w:color="auto" w:fill="auto"/>
          </w:tcPr>
          <w:p w14:paraId="2CEFF654" w14:textId="77777777" w:rsidR="002D0AE7" w:rsidRDefault="00333EBB">
            <w:pPr>
              <w:rPr>
                <w:rFonts w:hint="eastAsia"/>
                <w:color w:val="000000" w:themeColor="text1"/>
                <w:sz w:val="21"/>
                <w:szCs w:val="21"/>
              </w:rPr>
            </w:pPr>
            <w:r>
              <w:rPr>
                <w:rFonts w:hint="eastAsia"/>
                <w:color w:val="000000" w:themeColor="text1"/>
                <w:sz w:val="21"/>
                <w:szCs w:val="21"/>
              </w:rPr>
              <w:t>固定资产折旧、油气资产折耗、生产性生物资产折旧</w:t>
            </w:r>
          </w:p>
        </w:tc>
        <w:tc>
          <w:tcPr>
            <w:tcW w:w="1125" w:type="pct"/>
            <w:tcBorders>
              <w:top w:val="outset" w:sz="6" w:space="0" w:color="auto"/>
              <w:left w:val="single" w:sz="4" w:space="0" w:color="auto"/>
              <w:bottom w:val="outset" w:sz="6" w:space="0" w:color="auto"/>
              <w:right w:val="outset" w:sz="6" w:space="0" w:color="auto"/>
            </w:tcBorders>
            <w:shd w:val="clear" w:color="auto" w:fill="auto"/>
            <w:vAlign w:val="center"/>
          </w:tcPr>
          <w:p w14:paraId="0CC9CBB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122,800,659.04</w:t>
            </w:r>
          </w:p>
        </w:tc>
        <w:tc>
          <w:tcPr>
            <w:tcW w:w="986" w:type="pct"/>
            <w:tcBorders>
              <w:top w:val="outset" w:sz="6" w:space="0" w:color="auto"/>
              <w:left w:val="outset" w:sz="6" w:space="0" w:color="auto"/>
              <w:bottom w:val="outset" w:sz="6" w:space="0" w:color="auto"/>
              <w:right w:val="outset" w:sz="6" w:space="0" w:color="auto"/>
            </w:tcBorders>
            <w:shd w:val="clear" w:color="auto" w:fill="auto"/>
            <w:vAlign w:val="center"/>
          </w:tcPr>
          <w:p w14:paraId="3499AF4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113,956,095.60</w:t>
            </w:r>
          </w:p>
        </w:tc>
      </w:tr>
      <w:tr w:rsidR="002D0AE7" w14:paraId="48A2D9BA" w14:textId="77777777">
        <w:tc>
          <w:tcPr>
            <w:tcW w:w="2889" w:type="pct"/>
            <w:tcBorders>
              <w:top w:val="single" w:sz="4" w:space="0" w:color="auto"/>
              <w:left w:val="single" w:sz="4" w:space="0" w:color="auto"/>
              <w:bottom w:val="single" w:sz="4" w:space="0" w:color="auto"/>
              <w:right w:val="single" w:sz="4" w:space="0" w:color="auto"/>
            </w:tcBorders>
            <w:shd w:val="clear" w:color="auto" w:fill="auto"/>
          </w:tcPr>
          <w:p w14:paraId="24E76448" w14:textId="77777777" w:rsidR="002D0AE7" w:rsidRDefault="00333EBB">
            <w:pPr>
              <w:rPr>
                <w:rFonts w:hint="eastAsia"/>
                <w:color w:val="000000" w:themeColor="text1"/>
                <w:sz w:val="21"/>
                <w:szCs w:val="21"/>
              </w:rPr>
            </w:pPr>
            <w:r>
              <w:rPr>
                <w:rFonts w:hint="eastAsia"/>
                <w:color w:val="000000" w:themeColor="text1"/>
                <w:sz w:val="21"/>
                <w:szCs w:val="21"/>
              </w:rPr>
              <w:t>使用权资产摊销</w:t>
            </w:r>
          </w:p>
        </w:tc>
        <w:tc>
          <w:tcPr>
            <w:tcW w:w="1125" w:type="pct"/>
            <w:tcBorders>
              <w:top w:val="outset" w:sz="6" w:space="0" w:color="auto"/>
              <w:left w:val="single" w:sz="4" w:space="0" w:color="auto"/>
              <w:bottom w:val="outset" w:sz="6" w:space="0" w:color="auto"/>
              <w:right w:val="outset" w:sz="6" w:space="0" w:color="auto"/>
            </w:tcBorders>
            <w:shd w:val="clear" w:color="auto" w:fill="auto"/>
            <w:vAlign w:val="center"/>
          </w:tcPr>
          <w:p w14:paraId="5BFEF213"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84,571.24</w:t>
            </w:r>
          </w:p>
        </w:tc>
        <w:tc>
          <w:tcPr>
            <w:tcW w:w="986" w:type="pct"/>
            <w:tcBorders>
              <w:top w:val="outset" w:sz="6" w:space="0" w:color="auto"/>
              <w:left w:val="outset" w:sz="6" w:space="0" w:color="auto"/>
              <w:bottom w:val="outset" w:sz="6" w:space="0" w:color="auto"/>
              <w:right w:val="outset" w:sz="6" w:space="0" w:color="auto"/>
            </w:tcBorders>
            <w:shd w:val="clear" w:color="auto" w:fill="auto"/>
            <w:vAlign w:val="center"/>
          </w:tcPr>
          <w:p w14:paraId="5E99AD8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78,258.72</w:t>
            </w:r>
          </w:p>
        </w:tc>
      </w:tr>
      <w:tr w:rsidR="002D0AE7" w14:paraId="614C23F2" w14:textId="77777777">
        <w:tc>
          <w:tcPr>
            <w:tcW w:w="2889" w:type="pct"/>
            <w:tcBorders>
              <w:top w:val="single" w:sz="4" w:space="0" w:color="auto"/>
              <w:left w:val="single" w:sz="4" w:space="0" w:color="auto"/>
              <w:bottom w:val="single" w:sz="4" w:space="0" w:color="auto"/>
              <w:right w:val="single" w:sz="4" w:space="0" w:color="auto"/>
            </w:tcBorders>
            <w:shd w:val="clear" w:color="auto" w:fill="auto"/>
          </w:tcPr>
          <w:p w14:paraId="2A878B90" w14:textId="77777777" w:rsidR="002D0AE7" w:rsidRDefault="00333EBB">
            <w:pPr>
              <w:rPr>
                <w:rFonts w:hint="eastAsia"/>
                <w:color w:val="000000" w:themeColor="text1"/>
                <w:sz w:val="21"/>
                <w:szCs w:val="21"/>
              </w:rPr>
            </w:pPr>
            <w:r>
              <w:rPr>
                <w:rFonts w:hint="eastAsia"/>
                <w:color w:val="000000" w:themeColor="text1"/>
                <w:sz w:val="21"/>
                <w:szCs w:val="21"/>
              </w:rPr>
              <w:t>无形资产摊销</w:t>
            </w:r>
          </w:p>
        </w:tc>
        <w:tc>
          <w:tcPr>
            <w:tcW w:w="1125" w:type="pct"/>
            <w:tcBorders>
              <w:top w:val="outset" w:sz="6" w:space="0" w:color="auto"/>
              <w:left w:val="single" w:sz="4" w:space="0" w:color="auto"/>
              <w:bottom w:val="outset" w:sz="6" w:space="0" w:color="auto"/>
              <w:right w:val="outset" w:sz="6" w:space="0" w:color="auto"/>
            </w:tcBorders>
            <w:shd w:val="clear" w:color="auto" w:fill="auto"/>
            <w:vAlign w:val="center"/>
          </w:tcPr>
          <w:p w14:paraId="2D01E8BB"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19,924,827.09</w:t>
            </w:r>
          </w:p>
        </w:tc>
        <w:tc>
          <w:tcPr>
            <w:tcW w:w="986" w:type="pct"/>
            <w:tcBorders>
              <w:top w:val="outset" w:sz="6" w:space="0" w:color="auto"/>
              <w:left w:val="outset" w:sz="6" w:space="0" w:color="auto"/>
              <w:bottom w:val="outset" w:sz="6" w:space="0" w:color="auto"/>
              <w:right w:val="outset" w:sz="6" w:space="0" w:color="auto"/>
            </w:tcBorders>
            <w:shd w:val="clear" w:color="auto" w:fill="auto"/>
            <w:vAlign w:val="center"/>
          </w:tcPr>
          <w:p w14:paraId="3D4A2A7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18,492,985.44</w:t>
            </w:r>
          </w:p>
        </w:tc>
      </w:tr>
      <w:tr w:rsidR="002D0AE7" w14:paraId="0D2D9805" w14:textId="77777777">
        <w:tc>
          <w:tcPr>
            <w:tcW w:w="2889" w:type="pct"/>
            <w:tcBorders>
              <w:top w:val="single" w:sz="4" w:space="0" w:color="auto"/>
              <w:left w:val="single" w:sz="4" w:space="0" w:color="auto"/>
              <w:bottom w:val="single" w:sz="4" w:space="0" w:color="auto"/>
              <w:right w:val="single" w:sz="4" w:space="0" w:color="auto"/>
            </w:tcBorders>
            <w:shd w:val="clear" w:color="auto" w:fill="auto"/>
          </w:tcPr>
          <w:p w14:paraId="410BD966" w14:textId="77777777" w:rsidR="002D0AE7" w:rsidRDefault="00333EBB">
            <w:pPr>
              <w:rPr>
                <w:rFonts w:hint="eastAsia"/>
                <w:color w:val="000000" w:themeColor="text1"/>
                <w:sz w:val="21"/>
                <w:szCs w:val="21"/>
              </w:rPr>
            </w:pPr>
            <w:r>
              <w:rPr>
                <w:rFonts w:hint="eastAsia"/>
                <w:color w:val="000000" w:themeColor="text1"/>
                <w:sz w:val="21"/>
                <w:szCs w:val="21"/>
              </w:rPr>
              <w:t>长期待摊费用摊销</w:t>
            </w:r>
          </w:p>
        </w:tc>
        <w:tc>
          <w:tcPr>
            <w:tcW w:w="1125" w:type="pct"/>
            <w:tcBorders>
              <w:top w:val="outset" w:sz="6" w:space="0" w:color="auto"/>
              <w:left w:val="single" w:sz="4" w:space="0" w:color="auto"/>
              <w:bottom w:val="outset" w:sz="6" w:space="0" w:color="auto"/>
              <w:right w:val="outset" w:sz="6" w:space="0" w:color="auto"/>
            </w:tcBorders>
            <w:shd w:val="clear" w:color="auto" w:fill="auto"/>
            <w:vAlign w:val="center"/>
          </w:tcPr>
          <w:p w14:paraId="7E9FF9C3" w14:textId="77777777" w:rsidR="002D0AE7" w:rsidRDefault="00333EBB">
            <w:pPr>
              <w:jc w:val="right"/>
              <w:rPr>
                <w:rFonts w:ascii="Times New Roman" w:hAnsi="Times New Roman" w:cs="Times New Roman"/>
                <w:sz w:val="21"/>
                <w:szCs w:val="21"/>
              </w:rPr>
            </w:pPr>
            <w:r>
              <w:rPr>
                <w:rFonts w:ascii="Times New Roman" w:hAnsi="Times New Roman" w:cs="Times New Roman" w:hint="eastAsia"/>
                <w:sz w:val="21"/>
                <w:szCs w:val="21"/>
              </w:rPr>
              <w:t>0</w:t>
            </w:r>
            <w:r>
              <w:rPr>
                <w:rFonts w:ascii="Times New Roman" w:hAnsi="Times New Roman" w:cs="Times New Roman"/>
                <w:sz w:val="21"/>
                <w:szCs w:val="21"/>
              </w:rPr>
              <w:t>.00</w:t>
            </w:r>
          </w:p>
        </w:tc>
        <w:tc>
          <w:tcPr>
            <w:tcW w:w="986" w:type="pct"/>
            <w:tcBorders>
              <w:top w:val="outset" w:sz="6" w:space="0" w:color="auto"/>
              <w:left w:val="outset" w:sz="6" w:space="0" w:color="auto"/>
              <w:bottom w:val="outset" w:sz="6" w:space="0" w:color="auto"/>
              <w:right w:val="outset" w:sz="6" w:space="0" w:color="auto"/>
            </w:tcBorders>
            <w:shd w:val="clear" w:color="auto" w:fill="auto"/>
            <w:vAlign w:val="center"/>
          </w:tcPr>
          <w:p w14:paraId="5A3DBAA1"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1,817,858.77</w:t>
            </w:r>
          </w:p>
        </w:tc>
      </w:tr>
      <w:tr w:rsidR="002D0AE7" w14:paraId="547CE8D7" w14:textId="77777777">
        <w:tc>
          <w:tcPr>
            <w:tcW w:w="2889" w:type="pct"/>
            <w:tcBorders>
              <w:top w:val="single" w:sz="4" w:space="0" w:color="auto"/>
              <w:left w:val="single" w:sz="4" w:space="0" w:color="auto"/>
              <w:bottom w:val="single" w:sz="4" w:space="0" w:color="auto"/>
              <w:right w:val="single" w:sz="4" w:space="0" w:color="auto"/>
            </w:tcBorders>
            <w:shd w:val="clear" w:color="auto" w:fill="auto"/>
          </w:tcPr>
          <w:p w14:paraId="292DB004" w14:textId="77777777" w:rsidR="002D0AE7" w:rsidRDefault="00333EBB">
            <w:pPr>
              <w:rPr>
                <w:rFonts w:hint="eastAsia"/>
                <w:color w:val="000000" w:themeColor="text1"/>
                <w:sz w:val="15"/>
                <w:szCs w:val="15"/>
              </w:rPr>
            </w:pPr>
            <w:r>
              <w:rPr>
                <w:rFonts w:hint="eastAsia"/>
                <w:color w:val="000000" w:themeColor="text1"/>
                <w:sz w:val="15"/>
                <w:szCs w:val="15"/>
              </w:rPr>
              <w:t>处置固定资产、无形资产和其他长期资产的损失（收益以</w:t>
            </w:r>
            <w:r>
              <w:rPr>
                <w:color w:val="000000" w:themeColor="text1"/>
                <w:sz w:val="15"/>
                <w:szCs w:val="15"/>
              </w:rPr>
              <w:t>“</w:t>
            </w:r>
            <w:r>
              <w:rPr>
                <w:rFonts w:hint="eastAsia"/>
                <w:color w:val="000000" w:themeColor="text1"/>
                <w:sz w:val="15"/>
                <w:szCs w:val="15"/>
              </w:rPr>
              <w:t>－</w:t>
            </w:r>
            <w:r>
              <w:rPr>
                <w:color w:val="000000" w:themeColor="text1"/>
                <w:sz w:val="15"/>
                <w:szCs w:val="15"/>
              </w:rPr>
              <w:t>”</w:t>
            </w:r>
            <w:r>
              <w:rPr>
                <w:rFonts w:hint="eastAsia"/>
                <w:color w:val="000000" w:themeColor="text1"/>
                <w:sz w:val="15"/>
                <w:szCs w:val="15"/>
              </w:rPr>
              <w:t>号填列）</w:t>
            </w:r>
          </w:p>
        </w:tc>
        <w:tc>
          <w:tcPr>
            <w:tcW w:w="1125" w:type="pct"/>
            <w:tcBorders>
              <w:top w:val="outset" w:sz="6" w:space="0" w:color="auto"/>
              <w:left w:val="single" w:sz="4" w:space="0" w:color="auto"/>
              <w:bottom w:val="outset" w:sz="6" w:space="0" w:color="auto"/>
              <w:right w:val="outset" w:sz="6" w:space="0" w:color="auto"/>
            </w:tcBorders>
            <w:shd w:val="clear" w:color="auto" w:fill="auto"/>
            <w:vAlign w:val="center"/>
          </w:tcPr>
          <w:p w14:paraId="58C645C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194,484.96</w:t>
            </w:r>
          </w:p>
        </w:tc>
        <w:tc>
          <w:tcPr>
            <w:tcW w:w="986" w:type="pct"/>
            <w:tcBorders>
              <w:top w:val="outset" w:sz="6" w:space="0" w:color="auto"/>
              <w:left w:val="outset" w:sz="6" w:space="0" w:color="auto"/>
              <w:bottom w:val="outset" w:sz="6" w:space="0" w:color="auto"/>
              <w:right w:val="outset" w:sz="6" w:space="0" w:color="auto"/>
            </w:tcBorders>
            <w:shd w:val="clear" w:color="auto" w:fill="auto"/>
            <w:vAlign w:val="center"/>
          </w:tcPr>
          <w:p w14:paraId="496F78D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r>
      <w:tr w:rsidR="002D0AE7" w14:paraId="73E6EDB6" w14:textId="77777777">
        <w:tc>
          <w:tcPr>
            <w:tcW w:w="2889" w:type="pct"/>
            <w:tcBorders>
              <w:top w:val="single" w:sz="4" w:space="0" w:color="auto"/>
              <w:left w:val="single" w:sz="4" w:space="0" w:color="auto"/>
              <w:bottom w:val="single" w:sz="4" w:space="0" w:color="auto"/>
              <w:right w:val="single" w:sz="4" w:space="0" w:color="auto"/>
            </w:tcBorders>
            <w:shd w:val="clear" w:color="auto" w:fill="auto"/>
          </w:tcPr>
          <w:p w14:paraId="56FD542D" w14:textId="77777777" w:rsidR="002D0AE7" w:rsidRDefault="00333EBB">
            <w:pPr>
              <w:rPr>
                <w:rFonts w:hint="eastAsia"/>
                <w:color w:val="000000" w:themeColor="text1"/>
                <w:sz w:val="21"/>
                <w:szCs w:val="21"/>
              </w:rPr>
            </w:pPr>
            <w:r>
              <w:rPr>
                <w:rFonts w:hint="eastAsia"/>
                <w:color w:val="000000" w:themeColor="text1"/>
                <w:sz w:val="21"/>
                <w:szCs w:val="21"/>
              </w:rPr>
              <w:t>固定资产报废损失（收益以</w:t>
            </w:r>
            <w:r>
              <w:rPr>
                <w:color w:val="000000" w:themeColor="text1"/>
                <w:sz w:val="21"/>
                <w:szCs w:val="21"/>
              </w:rPr>
              <w:t>“</w:t>
            </w:r>
            <w:r>
              <w:rPr>
                <w:rFonts w:hint="eastAsia"/>
                <w:color w:val="000000" w:themeColor="text1"/>
                <w:sz w:val="21"/>
                <w:szCs w:val="21"/>
              </w:rPr>
              <w:t>－</w:t>
            </w:r>
            <w:r>
              <w:rPr>
                <w:color w:val="000000" w:themeColor="text1"/>
                <w:sz w:val="21"/>
                <w:szCs w:val="21"/>
              </w:rPr>
              <w:t>”</w:t>
            </w:r>
            <w:r>
              <w:rPr>
                <w:rFonts w:hint="eastAsia"/>
                <w:color w:val="000000" w:themeColor="text1"/>
                <w:sz w:val="21"/>
                <w:szCs w:val="21"/>
              </w:rPr>
              <w:t>号填列）</w:t>
            </w:r>
          </w:p>
        </w:tc>
        <w:tc>
          <w:tcPr>
            <w:tcW w:w="1125" w:type="pct"/>
            <w:tcBorders>
              <w:top w:val="outset" w:sz="6" w:space="0" w:color="auto"/>
              <w:left w:val="single" w:sz="4" w:space="0" w:color="auto"/>
              <w:bottom w:val="outset" w:sz="6" w:space="0" w:color="auto"/>
              <w:right w:val="outset" w:sz="6" w:space="0" w:color="auto"/>
            </w:tcBorders>
            <w:shd w:val="clear" w:color="auto" w:fill="auto"/>
          </w:tcPr>
          <w:p w14:paraId="4F93148B" w14:textId="77777777" w:rsidR="002D0AE7" w:rsidRDefault="002D0AE7">
            <w:pPr>
              <w:jc w:val="right"/>
              <w:rPr>
                <w:rFonts w:ascii="Times New Roman" w:hAnsi="Times New Roman" w:cs="Times New Roman"/>
                <w:sz w:val="21"/>
                <w:szCs w:val="21"/>
              </w:rPr>
            </w:pPr>
          </w:p>
        </w:tc>
        <w:tc>
          <w:tcPr>
            <w:tcW w:w="986" w:type="pct"/>
            <w:tcBorders>
              <w:top w:val="outset" w:sz="6" w:space="0" w:color="auto"/>
              <w:left w:val="outset" w:sz="6" w:space="0" w:color="auto"/>
              <w:bottom w:val="outset" w:sz="6" w:space="0" w:color="auto"/>
              <w:right w:val="outset" w:sz="6" w:space="0" w:color="auto"/>
            </w:tcBorders>
            <w:shd w:val="clear" w:color="auto" w:fill="auto"/>
          </w:tcPr>
          <w:p w14:paraId="5887FC4D" w14:textId="77777777" w:rsidR="002D0AE7" w:rsidRDefault="002D0AE7">
            <w:pPr>
              <w:jc w:val="right"/>
              <w:rPr>
                <w:rFonts w:ascii="Times New Roman" w:hAnsi="Times New Roman" w:cs="Times New Roman"/>
                <w:sz w:val="21"/>
                <w:szCs w:val="21"/>
              </w:rPr>
            </w:pPr>
          </w:p>
        </w:tc>
      </w:tr>
      <w:tr w:rsidR="002D0AE7" w14:paraId="2F52ECD5" w14:textId="77777777">
        <w:tc>
          <w:tcPr>
            <w:tcW w:w="2889" w:type="pct"/>
            <w:tcBorders>
              <w:top w:val="single" w:sz="4" w:space="0" w:color="auto"/>
              <w:left w:val="single" w:sz="4" w:space="0" w:color="auto"/>
              <w:bottom w:val="single" w:sz="4" w:space="0" w:color="auto"/>
              <w:right w:val="single" w:sz="4" w:space="0" w:color="auto"/>
            </w:tcBorders>
            <w:shd w:val="clear" w:color="auto" w:fill="auto"/>
          </w:tcPr>
          <w:p w14:paraId="7D3A53DA" w14:textId="77777777" w:rsidR="002D0AE7" w:rsidRDefault="00333EBB">
            <w:pPr>
              <w:rPr>
                <w:rFonts w:hint="eastAsia"/>
                <w:color w:val="000000" w:themeColor="text1"/>
                <w:sz w:val="21"/>
                <w:szCs w:val="21"/>
              </w:rPr>
            </w:pPr>
            <w:r>
              <w:rPr>
                <w:rFonts w:hint="eastAsia"/>
                <w:color w:val="000000" w:themeColor="text1"/>
                <w:sz w:val="21"/>
                <w:szCs w:val="21"/>
              </w:rPr>
              <w:t>公允价值变动损失（收益以</w:t>
            </w:r>
            <w:r>
              <w:rPr>
                <w:color w:val="000000" w:themeColor="text1"/>
                <w:sz w:val="21"/>
                <w:szCs w:val="21"/>
              </w:rPr>
              <w:t>“</w:t>
            </w:r>
            <w:r>
              <w:rPr>
                <w:rFonts w:hint="eastAsia"/>
                <w:color w:val="000000" w:themeColor="text1"/>
                <w:sz w:val="21"/>
                <w:szCs w:val="21"/>
              </w:rPr>
              <w:t>－</w:t>
            </w:r>
            <w:r>
              <w:rPr>
                <w:color w:val="000000" w:themeColor="text1"/>
                <w:sz w:val="21"/>
                <w:szCs w:val="21"/>
              </w:rPr>
              <w:t>”</w:t>
            </w:r>
            <w:r>
              <w:rPr>
                <w:rFonts w:hint="eastAsia"/>
                <w:color w:val="000000" w:themeColor="text1"/>
                <w:sz w:val="21"/>
                <w:szCs w:val="21"/>
              </w:rPr>
              <w:t>号填列）</w:t>
            </w:r>
          </w:p>
        </w:tc>
        <w:tc>
          <w:tcPr>
            <w:tcW w:w="1125" w:type="pct"/>
            <w:tcBorders>
              <w:top w:val="outset" w:sz="6" w:space="0" w:color="auto"/>
              <w:left w:val="single" w:sz="4" w:space="0" w:color="auto"/>
              <w:bottom w:val="outset" w:sz="6" w:space="0" w:color="auto"/>
              <w:right w:val="outset" w:sz="6" w:space="0" w:color="auto"/>
            </w:tcBorders>
            <w:shd w:val="clear" w:color="auto" w:fill="auto"/>
            <w:vAlign w:val="center"/>
          </w:tcPr>
          <w:p w14:paraId="41AFD266" w14:textId="77777777" w:rsidR="002D0AE7" w:rsidRDefault="00333EBB">
            <w:pPr>
              <w:jc w:val="right"/>
              <w:rPr>
                <w:rFonts w:ascii="Times New Roman" w:hAnsi="Times New Roman" w:cs="Times New Roman"/>
                <w:sz w:val="21"/>
                <w:szCs w:val="21"/>
              </w:rPr>
            </w:pPr>
            <w:r>
              <w:rPr>
                <w:rFonts w:ascii="Times New Roman" w:hAnsi="Times New Roman" w:cs="Times New Roman" w:hint="eastAsia"/>
                <w:sz w:val="21"/>
                <w:szCs w:val="21"/>
              </w:rPr>
              <w:t>0</w:t>
            </w:r>
            <w:r>
              <w:rPr>
                <w:rFonts w:ascii="Times New Roman" w:hAnsi="Times New Roman" w:cs="Times New Roman"/>
                <w:sz w:val="21"/>
                <w:szCs w:val="21"/>
              </w:rPr>
              <w:t>.00</w:t>
            </w:r>
          </w:p>
        </w:tc>
        <w:tc>
          <w:tcPr>
            <w:tcW w:w="986" w:type="pct"/>
            <w:tcBorders>
              <w:top w:val="outset" w:sz="6" w:space="0" w:color="auto"/>
              <w:left w:val="outset" w:sz="6" w:space="0" w:color="auto"/>
              <w:bottom w:val="outset" w:sz="6" w:space="0" w:color="auto"/>
              <w:right w:val="outset" w:sz="6" w:space="0" w:color="auto"/>
            </w:tcBorders>
            <w:shd w:val="clear" w:color="auto" w:fill="auto"/>
            <w:vAlign w:val="center"/>
          </w:tcPr>
          <w:p w14:paraId="112764C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525,000.00</w:t>
            </w:r>
          </w:p>
        </w:tc>
      </w:tr>
      <w:tr w:rsidR="002D0AE7" w14:paraId="5055B71D" w14:textId="77777777">
        <w:tc>
          <w:tcPr>
            <w:tcW w:w="2889" w:type="pct"/>
            <w:tcBorders>
              <w:top w:val="single" w:sz="4" w:space="0" w:color="auto"/>
              <w:left w:val="single" w:sz="4" w:space="0" w:color="auto"/>
              <w:bottom w:val="single" w:sz="4" w:space="0" w:color="auto"/>
              <w:right w:val="single" w:sz="4" w:space="0" w:color="auto"/>
            </w:tcBorders>
            <w:shd w:val="clear" w:color="auto" w:fill="auto"/>
          </w:tcPr>
          <w:p w14:paraId="1B54717C" w14:textId="77777777" w:rsidR="002D0AE7" w:rsidRDefault="00333EBB">
            <w:pPr>
              <w:rPr>
                <w:rFonts w:hint="eastAsia"/>
                <w:color w:val="000000" w:themeColor="text1"/>
                <w:sz w:val="21"/>
                <w:szCs w:val="21"/>
              </w:rPr>
            </w:pPr>
            <w:r>
              <w:rPr>
                <w:rFonts w:hint="eastAsia"/>
                <w:color w:val="000000" w:themeColor="text1"/>
                <w:sz w:val="21"/>
                <w:szCs w:val="21"/>
              </w:rPr>
              <w:t>财务费用（收益以</w:t>
            </w:r>
            <w:r>
              <w:rPr>
                <w:color w:val="000000" w:themeColor="text1"/>
                <w:sz w:val="21"/>
                <w:szCs w:val="21"/>
              </w:rPr>
              <w:t>“</w:t>
            </w:r>
            <w:r>
              <w:rPr>
                <w:rFonts w:hint="eastAsia"/>
                <w:color w:val="000000" w:themeColor="text1"/>
                <w:sz w:val="21"/>
                <w:szCs w:val="21"/>
              </w:rPr>
              <w:t>－</w:t>
            </w:r>
            <w:r>
              <w:rPr>
                <w:color w:val="000000" w:themeColor="text1"/>
                <w:sz w:val="21"/>
                <w:szCs w:val="21"/>
              </w:rPr>
              <w:t>”</w:t>
            </w:r>
            <w:r>
              <w:rPr>
                <w:rFonts w:hint="eastAsia"/>
                <w:color w:val="000000" w:themeColor="text1"/>
                <w:sz w:val="21"/>
                <w:szCs w:val="21"/>
              </w:rPr>
              <w:t>号填列）</w:t>
            </w:r>
          </w:p>
        </w:tc>
        <w:tc>
          <w:tcPr>
            <w:tcW w:w="1125" w:type="pct"/>
            <w:tcBorders>
              <w:top w:val="outset" w:sz="6" w:space="0" w:color="auto"/>
              <w:left w:val="single" w:sz="4" w:space="0" w:color="auto"/>
              <w:bottom w:val="outset" w:sz="6" w:space="0" w:color="auto"/>
              <w:right w:val="outset" w:sz="6" w:space="0" w:color="auto"/>
            </w:tcBorders>
            <w:shd w:val="clear" w:color="auto" w:fill="auto"/>
            <w:vAlign w:val="center"/>
          </w:tcPr>
          <w:p w14:paraId="11926E2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6,843,106.85</w:t>
            </w:r>
          </w:p>
        </w:tc>
        <w:tc>
          <w:tcPr>
            <w:tcW w:w="986" w:type="pct"/>
            <w:tcBorders>
              <w:top w:val="outset" w:sz="6" w:space="0" w:color="auto"/>
              <w:left w:val="outset" w:sz="6" w:space="0" w:color="auto"/>
              <w:bottom w:val="outset" w:sz="6" w:space="0" w:color="auto"/>
              <w:right w:val="outset" w:sz="6" w:space="0" w:color="auto"/>
            </w:tcBorders>
            <w:shd w:val="clear" w:color="auto" w:fill="auto"/>
            <w:vAlign w:val="center"/>
          </w:tcPr>
          <w:p w14:paraId="39997CC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11,314,603.55</w:t>
            </w:r>
          </w:p>
        </w:tc>
      </w:tr>
      <w:tr w:rsidR="002D0AE7" w14:paraId="2CE33526" w14:textId="77777777">
        <w:tc>
          <w:tcPr>
            <w:tcW w:w="2889" w:type="pct"/>
            <w:tcBorders>
              <w:top w:val="single" w:sz="4" w:space="0" w:color="auto"/>
              <w:left w:val="single" w:sz="4" w:space="0" w:color="auto"/>
              <w:bottom w:val="single" w:sz="4" w:space="0" w:color="auto"/>
              <w:right w:val="single" w:sz="4" w:space="0" w:color="auto"/>
            </w:tcBorders>
            <w:shd w:val="clear" w:color="auto" w:fill="auto"/>
          </w:tcPr>
          <w:p w14:paraId="035EA9EE" w14:textId="77777777" w:rsidR="002D0AE7" w:rsidRDefault="00333EBB">
            <w:pPr>
              <w:rPr>
                <w:rFonts w:hint="eastAsia"/>
                <w:color w:val="000000" w:themeColor="text1"/>
                <w:sz w:val="21"/>
                <w:szCs w:val="21"/>
              </w:rPr>
            </w:pPr>
            <w:r>
              <w:rPr>
                <w:rFonts w:hint="eastAsia"/>
                <w:color w:val="000000" w:themeColor="text1"/>
                <w:sz w:val="21"/>
                <w:szCs w:val="21"/>
              </w:rPr>
              <w:t>投资损失（收益以</w:t>
            </w:r>
            <w:r>
              <w:rPr>
                <w:color w:val="000000" w:themeColor="text1"/>
                <w:sz w:val="21"/>
                <w:szCs w:val="21"/>
              </w:rPr>
              <w:t>“</w:t>
            </w:r>
            <w:r>
              <w:rPr>
                <w:rFonts w:hint="eastAsia"/>
                <w:color w:val="000000" w:themeColor="text1"/>
                <w:sz w:val="21"/>
                <w:szCs w:val="21"/>
              </w:rPr>
              <w:t>－</w:t>
            </w:r>
            <w:r>
              <w:rPr>
                <w:color w:val="000000" w:themeColor="text1"/>
                <w:sz w:val="21"/>
                <w:szCs w:val="21"/>
              </w:rPr>
              <w:t>”</w:t>
            </w:r>
            <w:r>
              <w:rPr>
                <w:rFonts w:hint="eastAsia"/>
                <w:color w:val="000000" w:themeColor="text1"/>
                <w:sz w:val="21"/>
                <w:szCs w:val="21"/>
              </w:rPr>
              <w:t>号填列）</w:t>
            </w:r>
          </w:p>
        </w:tc>
        <w:tc>
          <w:tcPr>
            <w:tcW w:w="1125" w:type="pct"/>
            <w:tcBorders>
              <w:top w:val="outset" w:sz="6" w:space="0" w:color="auto"/>
              <w:left w:val="single" w:sz="4" w:space="0" w:color="auto"/>
              <w:bottom w:val="outset" w:sz="6" w:space="0" w:color="auto"/>
              <w:right w:val="outset" w:sz="6" w:space="0" w:color="auto"/>
            </w:tcBorders>
            <w:shd w:val="clear" w:color="auto" w:fill="auto"/>
            <w:vAlign w:val="center"/>
          </w:tcPr>
          <w:p w14:paraId="61A9D37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-1,040,640.69</w:t>
            </w:r>
          </w:p>
        </w:tc>
        <w:tc>
          <w:tcPr>
            <w:tcW w:w="986" w:type="pct"/>
            <w:tcBorders>
              <w:top w:val="outset" w:sz="6" w:space="0" w:color="auto"/>
              <w:left w:val="outset" w:sz="6" w:space="0" w:color="auto"/>
              <w:bottom w:val="outset" w:sz="6" w:space="0" w:color="auto"/>
              <w:right w:val="outset" w:sz="6" w:space="0" w:color="auto"/>
            </w:tcBorders>
            <w:shd w:val="clear" w:color="auto" w:fill="auto"/>
            <w:vAlign w:val="center"/>
          </w:tcPr>
          <w:p w14:paraId="4B238647"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587,223.62</w:t>
            </w:r>
          </w:p>
        </w:tc>
      </w:tr>
      <w:tr w:rsidR="002D0AE7" w14:paraId="6B63F3D1" w14:textId="77777777">
        <w:tc>
          <w:tcPr>
            <w:tcW w:w="2889" w:type="pct"/>
            <w:tcBorders>
              <w:top w:val="single" w:sz="4" w:space="0" w:color="auto"/>
              <w:left w:val="single" w:sz="4" w:space="0" w:color="auto"/>
              <w:bottom w:val="single" w:sz="4" w:space="0" w:color="auto"/>
              <w:right w:val="single" w:sz="4" w:space="0" w:color="auto"/>
            </w:tcBorders>
            <w:shd w:val="clear" w:color="auto" w:fill="auto"/>
          </w:tcPr>
          <w:p w14:paraId="237AC71A" w14:textId="77777777" w:rsidR="002D0AE7" w:rsidRDefault="00333EBB">
            <w:pPr>
              <w:rPr>
                <w:rFonts w:hint="eastAsia"/>
                <w:color w:val="000000" w:themeColor="text1"/>
                <w:sz w:val="21"/>
                <w:szCs w:val="21"/>
              </w:rPr>
            </w:pPr>
            <w:r>
              <w:rPr>
                <w:rFonts w:hint="eastAsia"/>
                <w:color w:val="000000" w:themeColor="text1"/>
                <w:sz w:val="21"/>
                <w:szCs w:val="21"/>
              </w:rPr>
              <w:t>递延所得税资产减少（增加以</w:t>
            </w:r>
            <w:r>
              <w:rPr>
                <w:color w:val="000000" w:themeColor="text1"/>
                <w:sz w:val="21"/>
                <w:szCs w:val="21"/>
              </w:rPr>
              <w:t>“</w:t>
            </w:r>
            <w:r>
              <w:rPr>
                <w:rFonts w:hint="eastAsia"/>
                <w:color w:val="000000" w:themeColor="text1"/>
                <w:sz w:val="21"/>
                <w:szCs w:val="21"/>
              </w:rPr>
              <w:t>－</w:t>
            </w:r>
            <w:r>
              <w:rPr>
                <w:color w:val="000000" w:themeColor="text1"/>
                <w:sz w:val="21"/>
                <w:szCs w:val="21"/>
              </w:rPr>
              <w:t>”</w:t>
            </w:r>
            <w:r>
              <w:rPr>
                <w:rFonts w:hint="eastAsia"/>
                <w:color w:val="000000" w:themeColor="text1"/>
                <w:sz w:val="21"/>
                <w:szCs w:val="21"/>
              </w:rPr>
              <w:t>号填列）</w:t>
            </w:r>
          </w:p>
        </w:tc>
        <w:tc>
          <w:tcPr>
            <w:tcW w:w="1125" w:type="pct"/>
            <w:tcBorders>
              <w:top w:val="outset" w:sz="6" w:space="0" w:color="auto"/>
              <w:left w:val="single" w:sz="4" w:space="0" w:color="auto"/>
              <w:bottom w:val="outset" w:sz="6" w:space="0" w:color="auto"/>
              <w:right w:val="outset" w:sz="6" w:space="0" w:color="auto"/>
            </w:tcBorders>
            <w:shd w:val="clear" w:color="auto" w:fill="auto"/>
            <w:vAlign w:val="center"/>
          </w:tcPr>
          <w:p w14:paraId="3834F12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3,496,960.42</w:t>
            </w:r>
          </w:p>
        </w:tc>
        <w:tc>
          <w:tcPr>
            <w:tcW w:w="986" w:type="pct"/>
            <w:tcBorders>
              <w:top w:val="outset" w:sz="6" w:space="0" w:color="auto"/>
              <w:left w:val="outset" w:sz="6" w:space="0" w:color="auto"/>
              <w:bottom w:val="outset" w:sz="6" w:space="0" w:color="auto"/>
              <w:right w:val="outset" w:sz="6" w:space="0" w:color="auto"/>
            </w:tcBorders>
            <w:shd w:val="clear" w:color="auto" w:fill="auto"/>
            <w:vAlign w:val="center"/>
          </w:tcPr>
          <w:p w14:paraId="62156F8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-1,629,742.29</w:t>
            </w:r>
          </w:p>
        </w:tc>
      </w:tr>
      <w:tr w:rsidR="002D0AE7" w14:paraId="236B2F78" w14:textId="77777777">
        <w:tc>
          <w:tcPr>
            <w:tcW w:w="2889" w:type="pct"/>
            <w:tcBorders>
              <w:top w:val="single" w:sz="4" w:space="0" w:color="auto"/>
              <w:left w:val="single" w:sz="4" w:space="0" w:color="auto"/>
              <w:bottom w:val="single" w:sz="4" w:space="0" w:color="auto"/>
              <w:right w:val="single" w:sz="4" w:space="0" w:color="auto"/>
            </w:tcBorders>
            <w:shd w:val="clear" w:color="auto" w:fill="auto"/>
          </w:tcPr>
          <w:p w14:paraId="748D8319" w14:textId="77777777" w:rsidR="002D0AE7" w:rsidRDefault="00333EBB">
            <w:pPr>
              <w:rPr>
                <w:rFonts w:hint="eastAsia"/>
                <w:color w:val="000000" w:themeColor="text1"/>
                <w:sz w:val="21"/>
                <w:szCs w:val="21"/>
              </w:rPr>
            </w:pPr>
            <w:r>
              <w:rPr>
                <w:rFonts w:hint="eastAsia"/>
                <w:color w:val="000000" w:themeColor="text1"/>
                <w:sz w:val="21"/>
                <w:szCs w:val="21"/>
              </w:rPr>
              <w:t>递延所得税负债增加（减少以</w:t>
            </w:r>
            <w:r>
              <w:rPr>
                <w:color w:val="000000" w:themeColor="text1"/>
                <w:sz w:val="21"/>
                <w:szCs w:val="21"/>
              </w:rPr>
              <w:t>“</w:t>
            </w:r>
            <w:r>
              <w:rPr>
                <w:rFonts w:hint="eastAsia"/>
                <w:color w:val="000000" w:themeColor="text1"/>
                <w:sz w:val="21"/>
                <w:szCs w:val="21"/>
              </w:rPr>
              <w:t>－</w:t>
            </w:r>
            <w:r>
              <w:rPr>
                <w:color w:val="000000" w:themeColor="text1"/>
                <w:sz w:val="21"/>
                <w:szCs w:val="21"/>
              </w:rPr>
              <w:t>”</w:t>
            </w:r>
            <w:r>
              <w:rPr>
                <w:rFonts w:hint="eastAsia"/>
                <w:color w:val="000000" w:themeColor="text1"/>
                <w:sz w:val="21"/>
                <w:szCs w:val="21"/>
              </w:rPr>
              <w:t>号填列）</w:t>
            </w:r>
          </w:p>
        </w:tc>
        <w:tc>
          <w:tcPr>
            <w:tcW w:w="1125" w:type="pct"/>
            <w:tcBorders>
              <w:top w:val="outset" w:sz="6" w:space="0" w:color="auto"/>
              <w:left w:val="single" w:sz="4" w:space="0" w:color="auto"/>
              <w:bottom w:val="outset" w:sz="6" w:space="0" w:color="auto"/>
              <w:right w:val="outset" w:sz="6" w:space="0" w:color="auto"/>
            </w:tcBorders>
            <w:shd w:val="clear" w:color="auto" w:fill="auto"/>
            <w:vAlign w:val="center"/>
          </w:tcPr>
          <w:p w14:paraId="73EB3EC1"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-594,130.11</w:t>
            </w:r>
          </w:p>
        </w:tc>
        <w:tc>
          <w:tcPr>
            <w:tcW w:w="986" w:type="pct"/>
            <w:tcBorders>
              <w:top w:val="outset" w:sz="6" w:space="0" w:color="auto"/>
              <w:left w:val="outset" w:sz="6" w:space="0" w:color="auto"/>
              <w:bottom w:val="outset" w:sz="6" w:space="0" w:color="auto"/>
              <w:right w:val="outset" w:sz="6" w:space="0" w:color="auto"/>
            </w:tcBorders>
            <w:shd w:val="clear" w:color="auto" w:fill="auto"/>
            <w:vAlign w:val="center"/>
          </w:tcPr>
          <w:p w14:paraId="22D368E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-571,240.38</w:t>
            </w:r>
          </w:p>
        </w:tc>
      </w:tr>
      <w:tr w:rsidR="002D0AE7" w14:paraId="0B6A2F27" w14:textId="77777777">
        <w:tc>
          <w:tcPr>
            <w:tcW w:w="2889" w:type="pct"/>
            <w:tcBorders>
              <w:top w:val="single" w:sz="4" w:space="0" w:color="auto"/>
              <w:left w:val="single" w:sz="4" w:space="0" w:color="auto"/>
              <w:bottom w:val="single" w:sz="4" w:space="0" w:color="auto"/>
              <w:right w:val="single" w:sz="4" w:space="0" w:color="auto"/>
            </w:tcBorders>
            <w:shd w:val="clear" w:color="auto" w:fill="auto"/>
          </w:tcPr>
          <w:p w14:paraId="6208DD1E" w14:textId="77777777" w:rsidR="002D0AE7" w:rsidRDefault="00333EBB">
            <w:pPr>
              <w:rPr>
                <w:rFonts w:hint="eastAsia"/>
                <w:color w:val="000000" w:themeColor="text1"/>
                <w:sz w:val="21"/>
                <w:szCs w:val="21"/>
              </w:rPr>
            </w:pPr>
            <w:r>
              <w:rPr>
                <w:rFonts w:hint="eastAsia"/>
                <w:color w:val="000000" w:themeColor="text1"/>
                <w:sz w:val="21"/>
                <w:szCs w:val="21"/>
              </w:rPr>
              <w:t>存货的减少（增加以</w:t>
            </w:r>
            <w:r>
              <w:rPr>
                <w:color w:val="000000" w:themeColor="text1"/>
                <w:sz w:val="21"/>
                <w:szCs w:val="21"/>
              </w:rPr>
              <w:t>“</w:t>
            </w:r>
            <w:r>
              <w:rPr>
                <w:rFonts w:hint="eastAsia"/>
                <w:color w:val="000000" w:themeColor="text1"/>
                <w:sz w:val="21"/>
                <w:szCs w:val="21"/>
              </w:rPr>
              <w:t>－</w:t>
            </w:r>
            <w:r>
              <w:rPr>
                <w:color w:val="000000" w:themeColor="text1"/>
                <w:sz w:val="21"/>
                <w:szCs w:val="21"/>
              </w:rPr>
              <w:t>”</w:t>
            </w:r>
            <w:r>
              <w:rPr>
                <w:rFonts w:hint="eastAsia"/>
                <w:color w:val="000000" w:themeColor="text1"/>
                <w:sz w:val="21"/>
                <w:szCs w:val="21"/>
              </w:rPr>
              <w:t>号填列）</w:t>
            </w:r>
          </w:p>
        </w:tc>
        <w:tc>
          <w:tcPr>
            <w:tcW w:w="1125" w:type="pct"/>
            <w:tcBorders>
              <w:top w:val="outset" w:sz="6" w:space="0" w:color="auto"/>
              <w:left w:val="single" w:sz="4" w:space="0" w:color="auto"/>
              <w:bottom w:val="outset" w:sz="6" w:space="0" w:color="auto"/>
              <w:right w:val="outset" w:sz="6" w:space="0" w:color="auto"/>
            </w:tcBorders>
            <w:shd w:val="clear" w:color="auto" w:fill="auto"/>
            <w:vAlign w:val="center"/>
          </w:tcPr>
          <w:p w14:paraId="0917AF87"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-47,504,188.80</w:t>
            </w:r>
          </w:p>
        </w:tc>
        <w:tc>
          <w:tcPr>
            <w:tcW w:w="986" w:type="pct"/>
            <w:tcBorders>
              <w:top w:val="outset" w:sz="6" w:space="0" w:color="auto"/>
              <w:left w:val="outset" w:sz="6" w:space="0" w:color="auto"/>
              <w:bottom w:val="outset" w:sz="6" w:space="0" w:color="auto"/>
              <w:right w:val="outset" w:sz="6" w:space="0" w:color="auto"/>
            </w:tcBorders>
            <w:shd w:val="clear" w:color="auto" w:fill="auto"/>
            <w:vAlign w:val="center"/>
          </w:tcPr>
          <w:p w14:paraId="6CB5898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152,609,793.14</w:t>
            </w:r>
          </w:p>
        </w:tc>
      </w:tr>
      <w:tr w:rsidR="002D0AE7" w14:paraId="5FF2D053" w14:textId="77777777">
        <w:tc>
          <w:tcPr>
            <w:tcW w:w="2889" w:type="pct"/>
            <w:tcBorders>
              <w:top w:val="single" w:sz="4" w:space="0" w:color="auto"/>
              <w:left w:val="single" w:sz="4" w:space="0" w:color="auto"/>
              <w:bottom w:val="single" w:sz="4" w:space="0" w:color="auto"/>
              <w:right w:val="single" w:sz="4" w:space="0" w:color="auto"/>
            </w:tcBorders>
            <w:shd w:val="clear" w:color="auto" w:fill="auto"/>
          </w:tcPr>
          <w:p w14:paraId="039FB1AE" w14:textId="77777777" w:rsidR="002D0AE7" w:rsidRDefault="00333EBB">
            <w:pPr>
              <w:rPr>
                <w:rFonts w:hint="eastAsia"/>
                <w:color w:val="000000" w:themeColor="text1"/>
                <w:sz w:val="21"/>
                <w:szCs w:val="21"/>
              </w:rPr>
            </w:pPr>
            <w:r>
              <w:rPr>
                <w:rFonts w:hint="eastAsia"/>
                <w:color w:val="000000" w:themeColor="text1"/>
                <w:sz w:val="21"/>
                <w:szCs w:val="21"/>
              </w:rPr>
              <w:t>经营性应收项目的减少（增加以</w:t>
            </w:r>
            <w:r>
              <w:rPr>
                <w:color w:val="000000" w:themeColor="text1"/>
                <w:sz w:val="21"/>
                <w:szCs w:val="21"/>
              </w:rPr>
              <w:t>“</w:t>
            </w:r>
            <w:r>
              <w:rPr>
                <w:rFonts w:hint="eastAsia"/>
                <w:color w:val="000000" w:themeColor="text1"/>
                <w:sz w:val="21"/>
                <w:szCs w:val="21"/>
              </w:rPr>
              <w:t>－</w:t>
            </w:r>
            <w:r>
              <w:rPr>
                <w:color w:val="000000" w:themeColor="text1"/>
                <w:sz w:val="21"/>
                <w:szCs w:val="21"/>
              </w:rPr>
              <w:t>”</w:t>
            </w:r>
            <w:r>
              <w:rPr>
                <w:rFonts w:hint="eastAsia"/>
                <w:color w:val="000000" w:themeColor="text1"/>
                <w:sz w:val="21"/>
                <w:szCs w:val="21"/>
              </w:rPr>
              <w:t>号填列）</w:t>
            </w:r>
          </w:p>
        </w:tc>
        <w:tc>
          <w:tcPr>
            <w:tcW w:w="1125" w:type="pct"/>
            <w:tcBorders>
              <w:top w:val="outset" w:sz="6" w:space="0" w:color="auto"/>
              <w:left w:val="single" w:sz="4" w:space="0" w:color="auto"/>
              <w:bottom w:val="outset" w:sz="6" w:space="0" w:color="auto"/>
              <w:right w:val="outset" w:sz="6" w:space="0" w:color="auto"/>
            </w:tcBorders>
            <w:shd w:val="clear" w:color="auto" w:fill="auto"/>
            <w:vAlign w:val="center"/>
          </w:tcPr>
          <w:p w14:paraId="207010C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-5,130,115.08</w:t>
            </w:r>
          </w:p>
        </w:tc>
        <w:tc>
          <w:tcPr>
            <w:tcW w:w="986" w:type="pct"/>
            <w:tcBorders>
              <w:top w:val="outset" w:sz="6" w:space="0" w:color="auto"/>
              <w:left w:val="outset" w:sz="6" w:space="0" w:color="auto"/>
              <w:bottom w:val="outset" w:sz="6" w:space="0" w:color="auto"/>
              <w:right w:val="outset" w:sz="6" w:space="0" w:color="auto"/>
            </w:tcBorders>
            <w:shd w:val="clear" w:color="auto" w:fill="auto"/>
            <w:vAlign w:val="center"/>
          </w:tcPr>
          <w:p w14:paraId="063FFDA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-206,307,228.64</w:t>
            </w:r>
          </w:p>
        </w:tc>
      </w:tr>
      <w:tr w:rsidR="002D0AE7" w14:paraId="210ABA06" w14:textId="77777777">
        <w:tc>
          <w:tcPr>
            <w:tcW w:w="2889" w:type="pct"/>
            <w:tcBorders>
              <w:top w:val="single" w:sz="4" w:space="0" w:color="auto"/>
              <w:left w:val="single" w:sz="4" w:space="0" w:color="auto"/>
              <w:bottom w:val="single" w:sz="4" w:space="0" w:color="auto"/>
              <w:right w:val="single" w:sz="4" w:space="0" w:color="auto"/>
            </w:tcBorders>
            <w:shd w:val="clear" w:color="auto" w:fill="auto"/>
          </w:tcPr>
          <w:p w14:paraId="012EE622" w14:textId="77777777" w:rsidR="002D0AE7" w:rsidRDefault="00333EBB">
            <w:pPr>
              <w:rPr>
                <w:rFonts w:hint="eastAsia"/>
                <w:color w:val="000000" w:themeColor="text1"/>
                <w:sz w:val="21"/>
                <w:szCs w:val="21"/>
              </w:rPr>
            </w:pPr>
            <w:r>
              <w:rPr>
                <w:rFonts w:hint="eastAsia"/>
                <w:color w:val="000000" w:themeColor="text1"/>
                <w:sz w:val="21"/>
                <w:szCs w:val="21"/>
              </w:rPr>
              <w:t>经营性应付项目的增加（减少以</w:t>
            </w:r>
            <w:r>
              <w:rPr>
                <w:color w:val="000000" w:themeColor="text1"/>
                <w:sz w:val="21"/>
                <w:szCs w:val="21"/>
              </w:rPr>
              <w:t>“</w:t>
            </w:r>
            <w:r>
              <w:rPr>
                <w:rFonts w:hint="eastAsia"/>
                <w:color w:val="000000" w:themeColor="text1"/>
                <w:sz w:val="21"/>
                <w:szCs w:val="21"/>
              </w:rPr>
              <w:t>－</w:t>
            </w:r>
            <w:r>
              <w:rPr>
                <w:color w:val="000000" w:themeColor="text1"/>
                <w:sz w:val="21"/>
                <w:szCs w:val="21"/>
              </w:rPr>
              <w:t>”</w:t>
            </w:r>
            <w:r>
              <w:rPr>
                <w:rFonts w:hint="eastAsia"/>
                <w:color w:val="000000" w:themeColor="text1"/>
                <w:sz w:val="21"/>
                <w:szCs w:val="21"/>
              </w:rPr>
              <w:t>号填列）</w:t>
            </w:r>
          </w:p>
        </w:tc>
        <w:tc>
          <w:tcPr>
            <w:tcW w:w="1125" w:type="pct"/>
            <w:tcBorders>
              <w:top w:val="outset" w:sz="6" w:space="0" w:color="auto"/>
              <w:left w:val="single" w:sz="4" w:space="0" w:color="auto"/>
              <w:bottom w:val="outset" w:sz="6" w:space="0" w:color="auto"/>
              <w:right w:val="outset" w:sz="6" w:space="0" w:color="auto"/>
            </w:tcBorders>
            <w:shd w:val="clear" w:color="auto" w:fill="auto"/>
            <w:vAlign w:val="center"/>
          </w:tcPr>
          <w:p w14:paraId="7F3F61F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43,163,281.85</w:t>
            </w:r>
          </w:p>
        </w:tc>
        <w:tc>
          <w:tcPr>
            <w:tcW w:w="986" w:type="pct"/>
            <w:tcBorders>
              <w:top w:val="outset" w:sz="6" w:space="0" w:color="auto"/>
              <w:left w:val="outset" w:sz="6" w:space="0" w:color="auto"/>
              <w:bottom w:val="outset" w:sz="6" w:space="0" w:color="auto"/>
              <w:right w:val="outset" w:sz="6" w:space="0" w:color="auto"/>
            </w:tcBorders>
            <w:shd w:val="clear" w:color="auto" w:fill="auto"/>
            <w:vAlign w:val="center"/>
          </w:tcPr>
          <w:p w14:paraId="3D9F3D9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69,850,491.00</w:t>
            </w:r>
          </w:p>
        </w:tc>
      </w:tr>
      <w:tr w:rsidR="002D0AE7" w14:paraId="185B44FB" w14:textId="77777777">
        <w:tc>
          <w:tcPr>
            <w:tcW w:w="2889" w:type="pct"/>
            <w:tcBorders>
              <w:top w:val="single" w:sz="4" w:space="0" w:color="auto"/>
              <w:left w:val="single" w:sz="4" w:space="0" w:color="auto"/>
              <w:bottom w:val="single" w:sz="4" w:space="0" w:color="auto"/>
              <w:right w:val="single" w:sz="4" w:space="0" w:color="auto"/>
            </w:tcBorders>
            <w:shd w:val="clear" w:color="auto" w:fill="auto"/>
          </w:tcPr>
          <w:p w14:paraId="338F4ECC" w14:textId="77777777" w:rsidR="002D0AE7" w:rsidRDefault="00333EBB">
            <w:pPr>
              <w:rPr>
                <w:rFonts w:hint="eastAsia"/>
                <w:color w:val="000000" w:themeColor="text1"/>
                <w:sz w:val="21"/>
                <w:szCs w:val="21"/>
              </w:rPr>
            </w:pPr>
            <w:r>
              <w:rPr>
                <w:rFonts w:hint="eastAsia"/>
                <w:color w:val="000000" w:themeColor="text1"/>
                <w:sz w:val="21"/>
                <w:szCs w:val="21"/>
              </w:rPr>
              <w:t>其他</w:t>
            </w:r>
          </w:p>
        </w:tc>
        <w:tc>
          <w:tcPr>
            <w:tcW w:w="1125" w:type="pct"/>
            <w:tcBorders>
              <w:top w:val="outset" w:sz="6" w:space="0" w:color="auto"/>
              <w:left w:val="single" w:sz="4" w:space="0" w:color="auto"/>
              <w:bottom w:val="outset" w:sz="6" w:space="0" w:color="auto"/>
              <w:right w:val="outset" w:sz="6" w:space="0" w:color="auto"/>
            </w:tcBorders>
            <w:shd w:val="clear" w:color="auto" w:fill="auto"/>
          </w:tcPr>
          <w:p w14:paraId="1BCEC10D" w14:textId="77777777" w:rsidR="002D0AE7" w:rsidRDefault="002D0AE7">
            <w:pPr>
              <w:jc w:val="right"/>
              <w:rPr>
                <w:rFonts w:hint="eastAsia"/>
                <w:sz w:val="21"/>
                <w:szCs w:val="21"/>
              </w:rPr>
            </w:pPr>
          </w:p>
        </w:tc>
        <w:tc>
          <w:tcPr>
            <w:tcW w:w="986" w:type="pct"/>
            <w:tcBorders>
              <w:top w:val="outset" w:sz="6" w:space="0" w:color="auto"/>
              <w:left w:val="outset" w:sz="6" w:space="0" w:color="auto"/>
              <w:bottom w:val="outset" w:sz="6" w:space="0" w:color="auto"/>
              <w:right w:val="outset" w:sz="6" w:space="0" w:color="auto"/>
            </w:tcBorders>
            <w:shd w:val="clear" w:color="auto" w:fill="auto"/>
          </w:tcPr>
          <w:p w14:paraId="65D0DA80" w14:textId="77777777" w:rsidR="002D0AE7" w:rsidRDefault="002D0AE7">
            <w:pPr>
              <w:jc w:val="right"/>
              <w:rPr>
                <w:rFonts w:hint="eastAsia"/>
                <w:sz w:val="21"/>
                <w:szCs w:val="21"/>
              </w:rPr>
            </w:pPr>
          </w:p>
        </w:tc>
      </w:tr>
      <w:tr w:rsidR="002D0AE7" w14:paraId="02DF72A1" w14:textId="77777777">
        <w:tc>
          <w:tcPr>
            <w:tcW w:w="2889" w:type="pct"/>
            <w:tcBorders>
              <w:top w:val="single" w:sz="4" w:space="0" w:color="auto"/>
              <w:left w:val="single" w:sz="4" w:space="0" w:color="auto"/>
              <w:bottom w:val="single" w:sz="4" w:space="0" w:color="auto"/>
              <w:right w:val="single" w:sz="4" w:space="0" w:color="auto"/>
            </w:tcBorders>
            <w:shd w:val="clear" w:color="auto" w:fill="auto"/>
          </w:tcPr>
          <w:p w14:paraId="00721AEB" w14:textId="77777777" w:rsidR="002D0AE7" w:rsidRDefault="00333EBB">
            <w:pPr>
              <w:rPr>
                <w:rFonts w:hint="eastAsia"/>
                <w:color w:val="000000" w:themeColor="text1"/>
                <w:sz w:val="21"/>
                <w:szCs w:val="21"/>
              </w:rPr>
            </w:pPr>
            <w:r>
              <w:rPr>
                <w:rFonts w:hint="eastAsia"/>
                <w:color w:val="000000" w:themeColor="text1"/>
                <w:sz w:val="21"/>
                <w:szCs w:val="21"/>
              </w:rPr>
              <w:t>经营活动产生的现金流量净额</w:t>
            </w:r>
          </w:p>
        </w:tc>
        <w:tc>
          <w:tcPr>
            <w:tcW w:w="1125" w:type="pct"/>
            <w:tcBorders>
              <w:top w:val="outset" w:sz="6" w:space="0" w:color="auto"/>
              <w:left w:val="single" w:sz="4" w:space="0" w:color="auto"/>
              <w:bottom w:val="outset" w:sz="6" w:space="0" w:color="auto"/>
              <w:right w:val="outset" w:sz="6" w:space="0" w:color="auto"/>
            </w:tcBorders>
            <w:shd w:val="clear" w:color="auto" w:fill="auto"/>
            <w:vAlign w:val="center"/>
          </w:tcPr>
          <w:p w14:paraId="347F52A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315,828,279.32</w:t>
            </w:r>
          </w:p>
        </w:tc>
        <w:tc>
          <w:tcPr>
            <w:tcW w:w="986" w:type="pct"/>
            <w:tcBorders>
              <w:top w:val="outset" w:sz="6" w:space="0" w:color="auto"/>
              <w:left w:val="outset" w:sz="6" w:space="0" w:color="auto"/>
              <w:bottom w:val="outset" w:sz="6" w:space="0" w:color="auto"/>
              <w:right w:val="outset" w:sz="6" w:space="0" w:color="auto"/>
            </w:tcBorders>
            <w:shd w:val="clear" w:color="auto" w:fill="auto"/>
            <w:vAlign w:val="center"/>
          </w:tcPr>
          <w:p w14:paraId="1392D41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313,762,491.73</w:t>
            </w:r>
          </w:p>
        </w:tc>
      </w:tr>
      <w:tr w:rsidR="002D0AE7" w14:paraId="34107EE5" w14:textId="77777777">
        <w:sdt>
          <w:sdtPr>
            <w:rPr>
              <w:color w:val="000000" w:themeColor="text1"/>
              <w:sz w:val="21"/>
              <w:szCs w:val="21"/>
            </w:rPr>
            <w:tag w:val="_PLD_db693429a97d44a2848da029ca6a724c"/>
            <w:id w:val="1363859359"/>
          </w:sdtPr>
          <w:sdtEnd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14:paraId="513D3469" w14:textId="77777777" w:rsidR="002D0AE7" w:rsidRDefault="00333EBB">
                <w:pPr>
                  <w:rPr>
                    <w:rFonts w:hint="eastAsia"/>
                    <w:color w:val="000000" w:themeColor="text1"/>
                    <w:sz w:val="21"/>
                    <w:szCs w:val="21"/>
                  </w:rPr>
                </w:pPr>
                <w:r>
                  <w:rPr>
                    <w:b/>
                    <w:color w:val="000000" w:themeColor="text1"/>
                    <w:sz w:val="21"/>
                    <w:szCs w:val="21"/>
                  </w:rPr>
                  <w:t>2</w:t>
                </w:r>
                <w:r>
                  <w:rPr>
                    <w:rFonts w:hint="eastAsia"/>
                    <w:b/>
                    <w:color w:val="000000" w:themeColor="text1"/>
                    <w:sz w:val="21"/>
                    <w:szCs w:val="21"/>
                  </w:rPr>
                  <w:t>．不涉及现金收支的重大投资和筹资活动：</w:t>
                </w:r>
              </w:p>
            </w:tc>
          </w:sdtContent>
        </w:sdt>
      </w:tr>
      <w:tr w:rsidR="002D0AE7" w14:paraId="05644A20" w14:textId="77777777">
        <w:tc>
          <w:tcPr>
            <w:tcW w:w="2889" w:type="pct"/>
            <w:tcBorders>
              <w:top w:val="single" w:sz="4" w:space="0" w:color="auto"/>
              <w:left w:val="single" w:sz="4" w:space="0" w:color="auto"/>
              <w:bottom w:val="single" w:sz="4" w:space="0" w:color="auto"/>
              <w:right w:val="single" w:sz="4" w:space="0" w:color="auto"/>
            </w:tcBorders>
            <w:shd w:val="clear" w:color="auto" w:fill="auto"/>
          </w:tcPr>
          <w:p w14:paraId="77E0E8B6" w14:textId="77777777" w:rsidR="002D0AE7" w:rsidRDefault="00333EBB">
            <w:pPr>
              <w:rPr>
                <w:rFonts w:hint="eastAsia"/>
                <w:color w:val="000000" w:themeColor="text1"/>
                <w:sz w:val="21"/>
                <w:szCs w:val="21"/>
              </w:rPr>
            </w:pPr>
            <w:r>
              <w:rPr>
                <w:rFonts w:hint="eastAsia"/>
                <w:color w:val="000000" w:themeColor="text1"/>
                <w:sz w:val="21"/>
                <w:szCs w:val="21"/>
              </w:rPr>
              <w:t>债务转为资本</w:t>
            </w:r>
          </w:p>
        </w:tc>
        <w:tc>
          <w:tcPr>
            <w:tcW w:w="1125" w:type="pct"/>
            <w:tcBorders>
              <w:top w:val="outset" w:sz="6" w:space="0" w:color="auto"/>
              <w:left w:val="single" w:sz="4" w:space="0" w:color="auto"/>
              <w:bottom w:val="outset" w:sz="6" w:space="0" w:color="auto"/>
              <w:right w:val="outset" w:sz="6" w:space="0" w:color="auto"/>
            </w:tcBorders>
            <w:shd w:val="clear" w:color="auto" w:fill="auto"/>
          </w:tcPr>
          <w:p w14:paraId="0A4C7FF0" w14:textId="77777777" w:rsidR="002D0AE7" w:rsidRDefault="002D0AE7">
            <w:pPr>
              <w:jc w:val="right"/>
              <w:rPr>
                <w:rFonts w:hint="eastAsia"/>
                <w:sz w:val="21"/>
                <w:szCs w:val="21"/>
              </w:rPr>
            </w:pPr>
          </w:p>
        </w:tc>
        <w:tc>
          <w:tcPr>
            <w:tcW w:w="986" w:type="pct"/>
            <w:tcBorders>
              <w:top w:val="outset" w:sz="6" w:space="0" w:color="auto"/>
              <w:left w:val="outset" w:sz="6" w:space="0" w:color="auto"/>
              <w:bottom w:val="outset" w:sz="6" w:space="0" w:color="auto"/>
              <w:right w:val="outset" w:sz="6" w:space="0" w:color="auto"/>
            </w:tcBorders>
            <w:shd w:val="clear" w:color="auto" w:fill="auto"/>
          </w:tcPr>
          <w:p w14:paraId="33D4CA5E" w14:textId="77777777" w:rsidR="002D0AE7" w:rsidRDefault="002D0AE7">
            <w:pPr>
              <w:jc w:val="right"/>
              <w:rPr>
                <w:rFonts w:hint="eastAsia"/>
                <w:sz w:val="21"/>
                <w:szCs w:val="21"/>
              </w:rPr>
            </w:pPr>
          </w:p>
        </w:tc>
      </w:tr>
      <w:tr w:rsidR="002D0AE7" w14:paraId="225FB382" w14:textId="77777777">
        <w:tc>
          <w:tcPr>
            <w:tcW w:w="2889" w:type="pct"/>
            <w:tcBorders>
              <w:top w:val="single" w:sz="4" w:space="0" w:color="auto"/>
              <w:left w:val="single" w:sz="4" w:space="0" w:color="auto"/>
              <w:bottom w:val="single" w:sz="4" w:space="0" w:color="auto"/>
              <w:right w:val="single" w:sz="4" w:space="0" w:color="auto"/>
            </w:tcBorders>
            <w:shd w:val="clear" w:color="auto" w:fill="auto"/>
          </w:tcPr>
          <w:p w14:paraId="737C5629" w14:textId="77777777" w:rsidR="002D0AE7" w:rsidRDefault="00333EBB">
            <w:pPr>
              <w:rPr>
                <w:rFonts w:hint="eastAsia"/>
                <w:color w:val="000000" w:themeColor="text1"/>
                <w:sz w:val="21"/>
                <w:szCs w:val="21"/>
              </w:rPr>
            </w:pPr>
            <w:r>
              <w:rPr>
                <w:rFonts w:hint="eastAsia"/>
                <w:color w:val="000000" w:themeColor="text1"/>
                <w:sz w:val="21"/>
                <w:szCs w:val="21"/>
              </w:rPr>
              <w:t>一年内到期的可转换公司债券</w:t>
            </w:r>
          </w:p>
        </w:tc>
        <w:tc>
          <w:tcPr>
            <w:tcW w:w="1125" w:type="pct"/>
            <w:tcBorders>
              <w:top w:val="outset" w:sz="6" w:space="0" w:color="auto"/>
              <w:left w:val="single" w:sz="4" w:space="0" w:color="auto"/>
              <w:bottom w:val="outset" w:sz="6" w:space="0" w:color="auto"/>
              <w:right w:val="outset" w:sz="6" w:space="0" w:color="auto"/>
            </w:tcBorders>
            <w:shd w:val="clear" w:color="auto" w:fill="auto"/>
          </w:tcPr>
          <w:p w14:paraId="04024701" w14:textId="77777777" w:rsidR="002D0AE7" w:rsidRDefault="002D0AE7">
            <w:pPr>
              <w:jc w:val="right"/>
              <w:rPr>
                <w:rFonts w:hint="eastAsia"/>
                <w:sz w:val="21"/>
                <w:szCs w:val="21"/>
              </w:rPr>
            </w:pPr>
          </w:p>
        </w:tc>
        <w:tc>
          <w:tcPr>
            <w:tcW w:w="986" w:type="pct"/>
            <w:tcBorders>
              <w:top w:val="outset" w:sz="6" w:space="0" w:color="auto"/>
              <w:left w:val="outset" w:sz="6" w:space="0" w:color="auto"/>
              <w:bottom w:val="outset" w:sz="6" w:space="0" w:color="auto"/>
              <w:right w:val="outset" w:sz="6" w:space="0" w:color="auto"/>
            </w:tcBorders>
            <w:shd w:val="clear" w:color="auto" w:fill="auto"/>
          </w:tcPr>
          <w:p w14:paraId="666A9840" w14:textId="77777777" w:rsidR="002D0AE7" w:rsidRDefault="002D0AE7">
            <w:pPr>
              <w:jc w:val="right"/>
              <w:rPr>
                <w:rFonts w:hint="eastAsia"/>
                <w:sz w:val="21"/>
                <w:szCs w:val="21"/>
              </w:rPr>
            </w:pPr>
          </w:p>
        </w:tc>
      </w:tr>
      <w:tr w:rsidR="002D0AE7" w14:paraId="1D2A8BD8" w14:textId="77777777">
        <w:tc>
          <w:tcPr>
            <w:tcW w:w="2889" w:type="pct"/>
            <w:tcBorders>
              <w:top w:val="single" w:sz="4" w:space="0" w:color="auto"/>
              <w:left w:val="single" w:sz="4" w:space="0" w:color="auto"/>
              <w:bottom w:val="single" w:sz="4" w:space="0" w:color="auto"/>
              <w:right w:val="single" w:sz="4" w:space="0" w:color="auto"/>
            </w:tcBorders>
            <w:shd w:val="clear" w:color="auto" w:fill="auto"/>
          </w:tcPr>
          <w:p w14:paraId="4C76370D" w14:textId="77777777" w:rsidR="002D0AE7" w:rsidRDefault="00333EBB">
            <w:pPr>
              <w:rPr>
                <w:rFonts w:hint="eastAsia"/>
                <w:color w:val="000000" w:themeColor="text1"/>
                <w:sz w:val="21"/>
                <w:szCs w:val="21"/>
              </w:rPr>
            </w:pPr>
            <w:r>
              <w:rPr>
                <w:rFonts w:hint="eastAsia"/>
                <w:color w:val="000000" w:themeColor="text1"/>
                <w:sz w:val="21"/>
                <w:szCs w:val="21"/>
              </w:rPr>
              <w:t>融资租入固定资产</w:t>
            </w:r>
          </w:p>
        </w:tc>
        <w:tc>
          <w:tcPr>
            <w:tcW w:w="1125" w:type="pct"/>
            <w:tcBorders>
              <w:top w:val="outset" w:sz="6" w:space="0" w:color="auto"/>
              <w:left w:val="single" w:sz="4" w:space="0" w:color="auto"/>
              <w:bottom w:val="outset" w:sz="6" w:space="0" w:color="auto"/>
              <w:right w:val="outset" w:sz="6" w:space="0" w:color="auto"/>
            </w:tcBorders>
            <w:shd w:val="clear" w:color="auto" w:fill="auto"/>
          </w:tcPr>
          <w:p w14:paraId="6E2AC9BB" w14:textId="77777777" w:rsidR="002D0AE7" w:rsidRDefault="002D0AE7">
            <w:pPr>
              <w:jc w:val="right"/>
              <w:rPr>
                <w:rFonts w:hint="eastAsia"/>
                <w:sz w:val="21"/>
                <w:szCs w:val="21"/>
              </w:rPr>
            </w:pPr>
          </w:p>
        </w:tc>
        <w:tc>
          <w:tcPr>
            <w:tcW w:w="986" w:type="pct"/>
            <w:tcBorders>
              <w:top w:val="outset" w:sz="6" w:space="0" w:color="auto"/>
              <w:left w:val="outset" w:sz="6" w:space="0" w:color="auto"/>
              <w:bottom w:val="outset" w:sz="6" w:space="0" w:color="auto"/>
              <w:right w:val="outset" w:sz="6" w:space="0" w:color="auto"/>
            </w:tcBorders>
            <w:shd w:val="clear" w:color="auto" w:fill="auto"/>
          </w:tcPr>
          <w:p w14:paraId="7A8A0D3B" w14:textId="77777777" w:rsidR="002D0AE7" w:rsidRDefault="002D0AE7">
            <w:pPr>
              <w:jc w:val="right"/>
              <w:rPr>
                <w:rFonts w:hint="eastAsia"/>
                <w:sz w:val="21"/>
                <w:szCs w:val="21"/>
              </w:rPr>
            </w:pPr>
          </w:p>
        </w:tc>
      </w:tr>
      <w:tr w:rsidR="002D0AE7" w14:paraId="300DDAB9" w14:textId="77777777">
        <w:sdt>
          <w:sdtPr>
            <w:rPr>
              <w:color w:val="000000" w:themeColor="text1"/>
              <w:sz w:val="21"/>
              <w:szCs w:val="21"/>
            </w:rPr>
            <w:tag w:val="_PLD_1294459fe7ee46638b8d4b78b8d8c436"/>
            <w:id w:val="1549496180"/>
          </w:sdtPr>
          <w:sdtEnd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14:paraId="0443973E" w14:textId="77777777" w:rsidR="002D0AE7" w:rsidRDefault="00333EBB">
                <w:pPr>
                  <w:rPr>
                    <w:rFonts w:hint="eastAsia"/>
                    <w:color w:val="000000" w:themeColor="text1"/>
                    <w:sz w:val="21"/>
                    <w:szCs w:val="21"/>
                  </w:rPr>
                </w:pPr>
                <w:r>
                  <w:rPr>
                    <w:b/>
                    <w:color w:val="000000" w:themeColor="text1"/>
                    <w:sz w:val="21"/>
                    <w:szCs w:val="21"/>
                  </w:rPr>
                  <w:t>3</w:t>
                </w:r>
                <w:r>
                  <w:rPr>
                    <w:rFonts w:hint="eastAsia"/>
                    <w:b/>
                    <w:color w:val="000000" w:themeColor="text1"/>
                    <w:sz w:val="21"/>
                    <w:szCs w:val="21"/>
                  </w:rPr>
                  <w:t>．现金及现金等价物净变动情况：</w:t>
                </w:r>
              </w:p>
            </w:tc>
          </w:sdtContent>
        </w:sdt>
      </w:tr>
      <w:tr w:rsidR="002D0AE7" w14:paraId="2664D130" w14:textId="77777777">
        <w:tc>
          <w:tcPr>
            <w:tcW w:w="2889" w:type="pct"/>
            <w:tcBorders>
              <w:top w:val="single" w:sz="4" w:space="0" w:color="auto"/>
              <w:left w:val="single" w:sz="4" w:space="0" w:color="auto"/>
              <w:bottom w:val="single" w:sz="4" w:space="0" w:color="auto"/>
              <w:right w:val="single" w:sz="4" w:space="0" w:color="auto"/>
            </w:tcBorders>
            <w:shd w:val="clear" w:color="auto" w:fill="auto"/>
          </w:tcPr>
          <w:p w14:paraId="1E8CC3B3" w14:textId="77777777" w:rsidR="002D0AE7" w:rsidRDefault="00333EBB">
            <w:pPr>
              <w:rPr>
                <w:rFonts w:hint="eastAsia"/>
                <w:color w:val="000000" w:themeColor="text1"/>
                <w:sz w:val="21"/>
                <w:szCs w:val="21"/>
              </w:rPr>
            </w:pPr>
            <w:r>
              <w:rPr>
                <w:rFonts w:hint="eastAsia"/>
                <w:color w:val="000000" w:themeColor="text1"/>
                <w:sz w:val="21"/>
                <w:szCs w:val="21"/>
              </w:rPr>
              <w:t>现金的期末余额</w:t>
            </w:r>
          </w:p>
        </w:tc>
        <w:tc>
          <w:tcPr>
            <w:tcW w:w="1125" w:type="pct"/>
            <w:tcBorders>
              <w:top w:val="outset" w:sz="6" w:space="0" w:color="auto"/>
              <w:left w:val="single" w:sz="4" w:space="0" w:color="auto"/>
              <w:bottom w:val="outset" w:sz="6" w:space="0" w:color="auto"/>
              <w:right w:val="outset" w:sz="6" w:space="0" w:color="auto"/>
            </w:tcBorders>
            <w:shd w:val="clear" w:color="auto" w:fill="auto"/>
            <w:vAlign w:val="center"/>
          </w:tcPr>
          <w:p w14:paraId="193C715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692,527,980.82</w:t>
            </w:r>
          </w:p>
        </w:tc>
        <w:tc>
          <w:tcPr>
            <w:tcW w:w="986" w:type="pct"/>
            <w:tcBorders>
              <w:top w:val="outset" w:sz="6" w:space="0" w:color="auto"/>
              <w:left w:val="outset" w:sz="6" w:space="0" w:color="auto"/>
              <w:bottom w:val="outset" w:sz="6" w:space="0" w:color="auto"/>
              <w:right w:val="outset" w:sz="6" w:space="0" w:color="auto"/>
            </w:tcBorders>
            <w:shd w:val="clear" w:color="auto" w:fill="auto"/>
          </w:tcPr>
          <w:p w14:paraId="3ED5AD44"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536,646,520.12</w:t>
            </w:r>
          </w:p>
        </w:tc>
      </w:tr>
      <w:tr w:rsidR="002D0AE7" w14:paraId="7730E2C5" w14:textId="77777777">
        <w:tc>
          <w:tcPr>
            <w:tcW w:w="2889" w:type="pct"/>
            <w:tcBorders>
              <w:top w:val="single" w:sz="4" w:space="0" w:color="auto"/>
              <w:left w:val="single" w:sz="4" w:space="0" w:color="auto"/>
              <w:bottom w:val="single" w:sz="4" w:space="0" w:color="auto"/>
              <w:right w:val="single" w:sz="4" w:space="0" w:color="auto"/>
            </w:tcBorders>
            <w:shd w:val="clear" w:color="auto" w:fill="auto"/>
          </w:tcPr>
          <w:p w14:paraId="04B9DCDB" w14:textId="77777777" w:rsidR="002D0AE7" w:rsidRDefault="00333EBB">
            <w:pPr>
              <w:rPr>
                <w:rFonts w:hint="eastAsia"/>
                <w:color w:val="000000" w:themeColor="text1"/>
                <w:sz w:val="21"/>
                <w:szCs w:val="21"/>
              </w:rPr>
            </w:pPr>
            <w:r>
              <w:rPr>
                <w:rFonts w:hint="eastAsia"/>
                <w:color w:val="000000" w:themeColor="text1"/>
                <w:sz w:val="21"/>
                <w:szCs w:val="21"/>
              </w:rPr>
              <w:t>减：现金的期初余额</w:t>
            </w:r>
          </w:p>
        </w:tc>
        <w:tc>
          <w:tcPr>
            <w:tcW w:w="1125" w:type="pct"/>
            <w:tcBorders>
              <w:top w:val="outset" w:sz="6" w:space="0" w:color="auto"/>
              <w:left w:val="single" w:sz="4" w:space="0" w:color="auto"/>
              <w:bottom w:val="outset" w:sz="6" w:space="0" w:color="auto"/>
              <w:right w:val="outset" w:sz="6" w:space="0" w:color="auto"/>
            </w:tcBorders>
            <w:shd w:val="clear" w:color="auto" w:fill="auto"/>
          </w:tcPr>
          <w:p w14:paraId="695A7CCC" w14:textId="77777777" w:rsidR="002D0AE7" w:rsidRDefault="00333EBB">
            <w:pPr>
              <w:jc w:val="right"/>
              <w:rPr>
                <w:rFonts w:ascii="Times New Roman" w:hAnsi="Times New Roman" w:cs="Times New Roman"/>
                <w:bCs/>
                <w:sz w:val="21"/>
                <w:szCs w:val="21"/>
              </w:rPr>
            </w:pPr>
            <w:r>
              <w:rPr>
                <w:rFonts w:ascii="Times New Roman" w:hAnsi="Times New Roman" w:cs="Times New Roman"/>
                <w:sz w:val="21"/>
                <w:szCs w:val="21"/>
              </w:rPr>
              <w:t>703,007,242.12</w:t>
            </w:r>
          </w:p>
        </w:tc>
        <w:tc>
          <w:tcPr>
            <w:tcW w:w="986" w:type="pct"/>
            <w:tcBorders>
              <w:top w:val="outset" w:sz="6" w:space="0" w:color="auto"/>
              <w:left w:val="outset" w:sz="6" w:space="0" w:color="auto"/>
              <w:bottom w:val="outset" w:sz="6" w:space="0" w:color="auto"/>
              <w:right w:val="outset" w:sz="6" w:space="0" w:color="auto"/>
            </w:tcBorders>
            <w:shd w:val="clear" w:color="auto" w:fill="auto"/>
            <w:vAlign w:val="center"/>
          </w:tcPr>
          <w:p w14:paraId="4F7283A3" w14:textId="77777777" w:rsidR="002D0AE7" w:rsidRDefault="00333EBB">
            <w:pPr>
              <w:jc w:val="right"/>
              <w:rPr>
                <w:rFonts w:ascii="Times New Roman" w:hAnsi="Times New Roman" w:cs="Times New Roman"/>
                <w:bCs/>
                <w:sz w:val="21"/>
                <w:szCs w:val="21"/>
              </w:rPr>
            </w:pPr>
            <w:r>
              <w:rPr>
                <w:rFonts w:ascii="Times New Roman" w:hAnsi="Times New Roman" w:cs="Times New Roman"/>
                <w:color w:val="000000"/>
                <w:sz w:val="21"/>
                <w:szCs w:val="21"/>
              </w:rPr>
              <w:t>608,802,932.46</w:t>
            </w:r>
          </w:p>
        </w:tc>
      </w:tr>
      <w:tr w:rsidR="002D0AE7" w14:paraId="412CA444" w14:textId="77777777">
        <w:tc>
          <w:tcPr>
            <w:tcW w:w="2889" w:type="pct"/>
            <w:tcBorders>
              <w:top w:val="single" w:sz="4" w:space="0" w:color="auto"/>
              <w:left w:val="single" w:sz="4" w:space="0" w:color="auto"/>
              <w:bottom w:val="single" w:sz="4" w:space="0" w:color="auto"/>
              <w:right w:val="single" w:sz="4" w:space="0" w:color="auto"/>
            </w:tcBorders>
            <w:shd w:val="clear" w:color="auto" w:fill="auto"/>
          </w:tcPr>
          <w:p w14:paraId="2978A89D" w14:textId="77777777" w:rsidR="002D0AE7" w:rsidRDefault="00333EBB">
            <w:pPr>
              <w:rPr>
                <w:rFonts w:hint="eastAsia"/>
                <w:color w:val="000000" w:themeColor="text1"/>
                <w:sz w:val="21"/>
                <w:szCs w:val="21"/>
              </w:rPr>
            </w:pPr>
            <w:r>
              <w:rPr>
                <w:rFonts w:hint="eastAsia"/>
                <w:color w:val="000000" w:themeColor="text1"/>
                <w:sz w:val="21"/>
                <w:szCs w:val="21"/>
              </w:rPr>
              <w:t>加：现金等价物的期末余额</w:t>
            </w:r>
          </w:p>
        </w:tc>
        <w:tc>
          <w:tcPr>
            <w:tcW w:w="1125" w:type="pct"/>
            <w:tcBorders>
              <w:top w:val="outset" w:sz="6" w:space="0" w:color="auto"/>
              <w:left w:val="single" w:sz="4" w:space="0" w:color="auto"/>
              <w:bottom w:val="outset" w:sz="6" w:space="0" w:color="auto"/>
              <w:right w:val="outset" w:sz="6" w:space="0" w:color="auto"/>
            </w:tcBorders>
            <w:shd w:val="clear" w:color="auto" w:fill="auto"/>
          </w:tcPr>
          <w:p w14:paraId="14E94B0E" w14:textId="77777777" w:rsidR="002D0AE7" w:rsidRDefault="002D0AE7">
            <w:pPr>
              <w:jc w:val="right"/>
              <w:rPr>
                <w:rFonts w:ascii="Times New Roman" w:hAnsi="Times New Roman" w:cs="Times New Roman"/>
                <w:sz w:val="21"/>
                <w:szCs w:val="21"/>
              </w:rPr>
            </w:pPr>
          </w:p>
        </w:tc>
        <w:tc>
          <w:tcPr>
            <w:tcW w:w="986" w:type="pct"/>
            <w:tcBorders>
              <w:top w:val="outset" w:sz="6" w:space="0" w:color="auto"/>
              <w:left w:val="outset" w:sz="6" w:space="0" w:color="auto"/>
              <w:bottom w:val="outset" w:sz="6" w:space="0" w:color="auto"/>
              <w:right w:val="outset" w:sz="6" w:space="0" w:color="auto"/>
            </w:tcBorders>
            <w:shd w:val="clear" w:color="auto" w:fill="auto"/>
          </w:tcPr>
          <w:p w14:paraId="54F11E85" w14:textId="77777777" w:rsidR="002D0AE7" w:rsidRDefault="002D0AE7">
            <w:pPr>
              <w:jc w:val="right"/>
              <w:rPr>
                <w:rFonts w:ascii="Times New Roman" w:hAnsi="Times New Roman" w:cs="Times New Roman"/>
                <w:sz w:val="21"/>
                <w:szCs w:val="21"/>
              </w:rPr>
            </w:pPr>
          </w:p>
        </w:tc>
      </w:tr>
      <w:tr w:rsidR="002D0AE7" w14:paraId="7DF188A5" w14:textId="77777777">
        <w:tc>
          <w:tcPr>
            <w:tcW w:w="2889" w:type="pct"/>
            <w:tcBorders>
              <w:top w:val="single" w:sz="4" w:space="0" w:color="auto"/>
              <w:left w:val="single" w:sz="4" w:space="0" w:color="auto"/>
              <w:bottom w:val="single" w:sz="4" w:space="0" w:color="auto"/>
              <w:right w:val="single" w:sz="4" w:space="0" w:color="auto"/>
            </w:tcBorders>
            <w:shd w:val="clear" w:color="auto" w:fill="auto"/>
          </w:tcPr>
          <w:p w14:paraId="68A69746" w14:textId="77777777" w:rsidR="002D0AE7" w:rsidRDefault="00333EBB">
            <w:pPr>
              <w:rPr>
                <w:rFonts w:hint="eastAsia"/>
                <w:color w:val="000000" w:themeColor="text1"/>
                <w:sz w:val="21"/>
                <w:szCs w:val="21"/>
              </w:rPr>
            </w:pPr>
            <w:r>
              <w:rPr>
                <w:rFonts w:hint="eastAsia"/>
                <w:color w:val="000000" w:themeColor="text1"/>
                <w:sz w:val="21"/>
                <w:szCs w:val="21"/>
              </w:rPr>
              <w:t>减：现金等价物的期初余额</w:t>
            </w:r>
          </w:p>
        </w:tc>
        <w:tc>
          <w:tcPr>
            <w:tcW w:w="1125" w:type="pct"/>
            <w:tcBorders>
              <w:top w:val="outset" w:sz="6" w:space="0" w:color="auto"/>
              <w:left w:val="single" w:sz="4" w:space="0" w:color="auto"/>
              <w:bottom w:val="outset" w:sz="6" w:space="0" w:color="auto"/>
              <w:right w:val="outset" w:sz="6" w:space="0" w:color="auto"/>
            </w:tcBorders>
            <w:shd w:val="clear" w:color="auto" w:fill="auto"/>
            <w:vAlign w:val="center"/>
          </w:tcPr>
          <w:p w14:paraId="5A0638B6" w14:textId="77777777" w:rsidR="002D0AE7" w:rsidRDefault="002D0AE7">
            <w:pPr>
              <w:jc w:val="right"/>
              <w:rPr>
                <w:rFonts w:ascii="Times New Roman" w:hAnsi="Times New Roman" w:cs="Times New Roman"/>
                <w:bCs/>
                <w:sz w:val="21"/>
                <w:szCs w:val="21"/>
              </w:rPr>
            </w:pPr>
          </w:p>
        </w:tc>
        <w:tc>
          <w:tcPr>
            <w:tcW w:w="986" w:type="pct"/>
            <w:tcBorders>
              <w:top w:val="outset" w:sz="6" w:space="0" w:color="auto"/>
              <w:left w:val="outset" w:sz="6" w:space="0" w:color="auto"/>
              <w:bottom w:val="outset" w:sz="6" w:space="0" w:color="auto"/>
              <w:right w:val="outset" w:sz="6" w:space="0" w:color="auto"/>
            </w:tcBorders>
            <w:shd w:val="clear" w:color="auto" w:fill="auto"/>
            <w:vAlign w:val="center"/>
          </w:tcPr>
          <w:p w14:paraId="3BBA879E" w14:textId="77777777" w:rsidR="002D0AE7" w:rsidRDefault="002D0AE7">
            <w:pPr>
              <w:jc w:val="right"/>
              <w:rPr>
                <w:rFonts w:ascii="Times New Roman" w:hAnsi="Times New Roman" w:cs="Times New Roman"/>
                <w:bCs/>
                <w:sz w:val="21"/>
                <w:szCs w:val="21"/>
              </w:rPr>
            </w:pPr>
          </w:p>
        </w:tc>
      </w:tr>
      <w:tr w:rsidR="002D0AE7" w14:paraId="4EA4620C" w14:textId="77777777">
        <w:tc>
          <w:tcPr>
            <w:tcW w:w="2889" w:type="pct"/>
            <w:tcBorders>
              <w:top w:val="single" w:sz="4" w:space="0" w:color="auto"/>
              <w:left w:val="single" w:sz="4" w:space="0" w:color="auto"/>
              <w:bottom w:val="single" w:sz="4" w:space="0" w:color="auto"/>
              <w:right w:val="single" w:sz="4" w:space="0" w:color="auto"/>
            </w:tcBorders>
            <w:shd w:val="clear" w:color="auto" w:fill="auto"/>
          </w:tcPr>
          <w:p w14:paraId="36141063" w14:textId="77777777" w:rsidR="002D0AE7" w:rsidRDefault="00333EBB">
            <w:pPr>
              <w:rPr>
                <w:rFonts w:hint="eastAsia"/>
                <w:color w:val="000000" w:themeColor="text1"/>
                <w:sz w:val="21"/>
                <w:szCs w:val="21"/>
              </w:rPr>
            </w:pPr>
            <w:r>
              <w:rPr>
                <w:rFonts w:hint="eastAsia"/>
                <w:color w:val="000000" w:themeColor="text1"/>
                <w:sz w:val="21"/>
                <w:szCs w:val="21"/>
              </w:rPr>
              <w:t>现金及现金等价物净增加额</w:t>
            </w:r>
          </w:p>
        </w:tc>
        <w:tc>
          <w:tcPr>
            <w:tcW w:w="1125" w:type="pct"/>
            <w:tcBorders>
              <w:top w:val="outset" w:sz="6" w:space="0" w:color="auto"/>
              <w:left w:val="single" w:sz="4" w:space="0" w:color="auto"/>
              <w:bottom w:val="outset" w:sz="6" w:space="0" w:color="auto"/>
              <w:right w:val="outset" w:sz="6" w:space="0" w:color="auto"/>
            </w:tcBorders>
            <w:shd w:val="clear" w:color="auto" w:fill="auto"/>
          </w:tcPr>
          <w:p w14:paraId="3AC575E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-10,479,261.30</w:t>
            </w:r>
          </w:p>
        </w:tc>
        <w:tc>
          <w:tcPr>
            <w:tcW w:w="986" w:type="pct"/>
            <w:tcBorders>
              <w:top w:val="outset" w:sz="6" w:space="0" w:color="auto"/>
              <w:left w:val="outset" w:sz="6" w:space="0" w:color="auto"/>
              <w:bottom w:val="outset" w:sz="6" w:space="0" w:color="auto"/>
              <w:right w:val="outset" w:sz="6" w:space="0" w:color="auto"/>
            </w:tcBorders>
            <w:shd w:val="clear" w:color="auto" w:fill="auto"/>
          </w:tcPr>
          <w:p w14:paraId="44496494" w14:textId="77777777" w:rsidR="002D0AE7" w:rsidRDefault="00333EBB">
            <w:pPr>
              <w:jc w:val="right"/>
              <w:rPr>
                <w:rFonts w:ascii="Times New Roman" w:hAnsi="Times New Roman" w:cs="Times New Roman"/>
                <w:bCs/>
                <w:sz w:val="21"/>
                <w:szCs w:val="21"/>
              </w:rPr>
            </w:pPr>
            <w:r>
              <w:rPr>
                <w:rFonts w:ascii="Times New Roman" w:hAnsi="Times New Roman" w:cs="Times New Roman"/>
                <w:color w:val="000000"/>
                <w:sz w:val="21"/>
                <w:szCs w:val="21"/>
              </w:rPr>
              <w:t>-72,156,412.34</w:t>
            </w:r>
          </w:p>
        </w:tc>
      </w:tr>
    </w:tbl>
    <w:p w14:paraId="13524FDD" w14:textId="77777777" w:rsidR="002D0AE7" w:rsidRDefault="00333EBB">
      <w:pPr>
        <w:pStyle w:val="4"/>
        <w:numPr>
          <w:ilvl w:val="0"/>
          <w:numId w:val="69"/>
        </w:numPr>
        <w:rPr>
          <w:rFonts w:ascii="宋体" w:hAnsi="宋体" w:hint="eastAsia"/>
          <w:color w:val="000000" w:themeColor="text1"/>
          <w:szCs w:val="21"/>
        </w:rPr>
      </w:pPr>
      <w:r>
        <w:rPr>
          <w:rFonts w:ascii="宋体" w:hAnsi="宋体" w:hint="eastAsia"/>
          <w:color w:val="000000" w:themeColor="text1"/>
          <w:szCs w:val="21"/>
        </w:rPr>
        <w:lastRenderedPageBreak/>
        <w:t>现金和现金</w:t>
      </w:r>
      <w:r>
        <w:rPr>
          <w:rFonts w:ascii="宋体" w:hAnsi="宋体" w:hint="eastAsia"/>
          <w:color w:val="000000" w:themeColor="text1"/>
        </w:rPr>
        <w:t>等价物</w:t>
      </w:r>
      <w:r>
        <w:rPr>
          <w:rFonts w:ascii="宋体" w:hAnsi="宋体" w:hint="eastAsia"/>
          <w:color w:val="000000" w:themeColor="text1"/>
          <w:szCs w:val="21"/>
        </w:rPr>
        <w:t>的构成</w:t>
      </w:r>
    </w:p>
    <w:sdt>
      <w:sdtPr>
        <w:rPr>
          <w:color w:val="000000" w:themeColor="text1"/>
        </w:rPr>
        <w:alias w:val="是否适用：现金和现金等价物的构成[双击切换]"/>
        <w:tag w:val="_GBC_4f1d477972634410a6ea7bdfaf766947"/>
        <w:id w:val="1467779451"/>
        <w:placeholder>
          <w:docPart w:val="GBC22222222222222222222222222222"/>
        </w:placeholder>
      </w:sdtPr>
      <w:sdtEndPr/>
      <w:sdtContent>
        <w:p w14:paraId="57CE7B2B"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27580F11" w14:textId="77777777" w:rsidR="002D0AE7" w:rsidRDefault="00333EBB">
      <w:pPr>
        <w:jc w:val="right"/>
        <w:rPr>
          <w:rFonts w:hint="eastAsia"/>
          <w:b/>
          <w:color w:val="000000" w:themeColor="text1"/>
        </w:rPr>
      </w:pPr>
      <w:r>
        <w:rPr>
          <w:rFonts w:hint="eastAsia"/>
          <w:color w:val="000000" w:themeColor="text1"/>
        </w:rPr>
        <w:t>单位：</w:t>
      </w:r>
      <w:sdt>
        <w:sdtPr>
          <w:rPr>
            <w:rFonts w:hint="eastAsia"/>
            <w:color w:val="000000" w:themeColor="text1"/>
          </w:rPr>
          <w:alias w:val="单位：财务附注：现金和现金等价物的构成"/>
          <w:tag w:val="_GBC_b65333ba6aec402382c4acbbb6696560"/>
          <w:id w:val="-171141963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现金和现金等价物的构成"/>
          <w:tag w:val="_GBC_15cada3a52264083942ef83a40fa25a0"/>
          <w:id w:val="95999687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4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8"/>
        <w:gridCol w:w="1843"/>
        <w:gridCol w:w="1738"/>
      </w:tblGrid>
      <w:tr w:rsidR="002D0AE7" w14:paraId="5D749D82" w14:textId="77777777">
        <w:trPr>
          <w:trHeight w:val="285"/>
          <w:jc w:val="center"/>
        </w:trPr>
        <w:sdt>
          <w:sdtPr>
            <w:rPr>
              <w:color w:val="000000" w:themeColor="text1"/>
              <w:sz w:val="21"/>
              <w:szCs w:val="21"/>
            </w:rPr>
            <w:tag w:val="_PLD_d5bf85e9303e4843a7623f09eae933c6"/>
            <w:id w:val="1324782410"/>
          </w:sdtPr>
          <w:sdtEndPr/>
          <w:sdtContent>
            <w:tc>
              <w:tcPr>
                <w:tcW w:w="3150" w:type="pct"/>
                <w:tcBorders>
                  <w:bottom w:val="single" w:sz="4" w:space="0" w:color="auto"/>
                </w:tcBorders>
                <w:shd w:val="clear" w:color="auto" w:fill="auto"/>
                <w:vAlign w:val="center"/>
              </w:tcPr>
              <w:p w14:paraId="7846CEF9" w14:textId="77777777" w:rsidR="002D0AE7" w:rsidRDefault="00333EBB">
                <w:pPr>
                  <w:ind w:leftChars="-51" w:left="-122"/>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e3a960d2f6474687b9cbaec3f1075e19"/>
            <w:id w:val="-602493445"/>
          </w:sdtPr>
          <w:sdtEndPr/>
          <w:sdtContent>
            <w:tc>
              <w:tcPr>
                <w:tcW w:w="952" w:type="pct"/>
                <w:shd w:val="clear" w:color="auto" w:fill="auto"/>
                <w:vAlign w:val="center"/>
              </w:tcPr>
              <w:p w14:paraId="4F7F1174"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sdt>
          <w:sdtPr>
            <w:rPr>
              <w:color w:val="000000" w:themeColor="text1"/>
              <w:sz w:val="21"/>
              <w:szCs w:val="21"/>
            </w:rPr>
            <w:tag w:val="_PLD_0d0909eba9344c8ab96c7fb88f0b117a"/>
            <w:id w:val="-578593178"/>
          </w:sdtPr>
          <w:sdtEndPr/>
          <w:sdtContent>
            <w:tc>
              <w:tcPr>
                <w:tcW w:w="899" w:type="pct"/>
                <w:shd w:val="clear" w:color="auto" w:fill="auto"/>
              </w:tcPr>
              <w:p w14:paraId="58CD77AA" w14:textId="77777777" w:rsidR="002D0AE7" w:rsidRDefault="00333EBB">
                <w:pPr>
                  <w:jc w:val="center"/>
                  <w:rPr>
                    <w:rFonts w:hint="eastAsia"/>
                    <w:color w:val="000000" w:themeColor="text1"/>
                    <w:sz w:val="21"/>
                    <w:szCs w:val="21"/>
                  </w:rPr>
                </w:pPr>
                <w:r>
                  <w:rPr>
                    <w:rFonts w:hint="eastAsia"/>
                    <w:color w:val="000000" w:themeColor="text1"/>
                    <w:sz w:val="21"/>
                    <w:szCs w:val="21"/>
                  </w:rPr>
                  <w:t>期初余额</w:t>
                </w:r>
              </w:p>
            </w:tc>
          </w:sdtContent>
        </w:sdt>
      </w:tr>
      <w:tr w:rsidR="002D0AE7" w14:paraId="7083B309" w14:textId="77777777">
        <w:trPr>
          <w:trHeight w:val="285"/>
          <w:jc w:val="center"/>
        </w:trPr>
        <w:tc>
          <w:tcPr>
            <w:tcW w:w="3150" w:type="pct"/>
            <w:shd w:val="clear" w:color="auto" w:fill="auto"/>
            <w:vAlign w:val="center"/>
          </w:tcPr>
          <w:p w14:paraId="5DCB5B84" w14:textId="77777777" w:rsidR="002D0AE7" w:rsidRDefault="00333EBB">
            <w:pPr>
              <w:rPr>
                <w:rFonts w:hint="eastAsia"/>
                <w:color w:val="000000" w:themeColor="text1"/>
                <w:sz w:val="21"/>
                <w:szCs w:val="21"/>
              </w:rPr>
            </w:pPr>
            <w:r>
              <w:rPr>
                <w:rFonts w:hint="eastAsia"/>
                <w:color w:val="000000" w:themeColor="text1"/>
                <w:sz w:val="21"/>
                <w:szCs w:val="21"/>
              </w:rPr>
              <w:t>一、现金</w:t>
            </w:r>
          </w:p>
        </w:tc>
        <w:tc>
          <w:tcPr>
            <w:tcW w:w="952" w:type="pct"/>
            <w:shd w:val="clear" w:color="auto" w:fill="auto"/>
          </w:tcPr>
          <w:p w14:paraId="5D82C83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692,527,980.82</w:t>
            </w:r>
          </w:p>
        </w:tc>
        <w:tc>
          <w:tcPr>
            <w:tcW w:w="899" w:type="pct"/>
            <w:shd w:val="clear" w:color="auto" w:fill="auto"/>
          </w:tcPr>
          <w:p w14:paraId="7D48E4E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703,007,242.12</w:t>
            </w:r>
          </w:p>
        </w:tc>
      </w:tr>
      <w:tr w:rsidR="002D0AE7" w14:paraId="0BF036B7" w14:textId="77777777">
        <w:trPr>
          <w:trHeight w:val="285"/>
          <w:jc w:val="center"/>
        </w:trPr>
        <w:tc>
          <w:tcPr>
            <w:tcW w:w="3150" w:type="pct"/>
            <w:shd w:val="clear" w:color="auto" w:fill="auto"/>
            <w:vAlign w:val="center"/>
          </w:tcPr>
          <w:p w14:paraId="0778572F" w14:textId="77777777" w:rsidR="002D0AE7" w:rsidRDefault="00333EBB">
            <w:pPr>
              <w:rPr>
                <w:rFonts w:hint="eastAsia"/>
                <w:color w:val="000000" w:themeColor="text1"/>
                <w:sz w:val="21"/>
                <w:szCs w:val="21"/>
              </w:rPr>
            </w:pPr>
            <w:r>
              <w:rPr>
                <w:rFonts w:hint="eastAsia"/>
                <w:color w:val="000000" w:themeColor="text1"/>
                <w:sz w:val="21"/>
                <w:szCs w:val="21"/>
              </w:rPr>
              <w:t>其中：库存现金</w:t>
            </w:r>
          </w:p>
        </w:tc>
        <w:tc>
          <w:tcPr>
            <w:tcW w:w="952" w:type="pct"/>
            <w:shd w:val="clear" w:color="auto" w:fill="auto"/>
          </w:tcPr>
          <w:p w14:paraId="2EB563B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2,745.18</w:t>
            </w:r>
          </w:p>
        </w:tc>
        <w:tc>
          <w:tcPr>
            <w:tcW w:w="899" w:type="pct"/>
            <w:shd w:val="clear" w:color="auto" w:fill="auto"/>
          </w:tcPr>
          <w:p w14:paraId="7FC0364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2,757.66</w:t>
            </w:r>
          </w:p>
        </w:tc>
      </w:tr>
      <w:tr w:rsidR="002D0AE7" w14:paraId="5CDEBC4C" w14:textId="77777777">
        <w:trPr>
          <w:trHeight w:val="285"/>
          <w:jc w:val="center"/>
        </w:trPr>
        <w:tc>
          <w:tcPr>
            <w:tcW w:w="3150" w:type="pct"/>
            <w:shd w:val="clear" w:color="auto" w:fill="auto"/>
            <w:vAlign w:val="center"/>
          </w:tcPr>
          <w:p w14:paraId="196FBF02" w14:textId="77777777" w:rsidR="002D0AE7" w:rsidRDefault="00333EBB">
            <w:pPr>
              <w:rPr>
                <w:rFonts w:hint="eastAsia"/>
                <w:color w:val="000000" w:themeColor="text1"/>
                <w:sz w:val="21"/>
                <w:szCs w:val="21"/>
              </w:rPr>
            </w:pPr>
            <w:r>
              <w:rPr>
                <w:rFonts w:hint="eastAsia"/>
                <w:color w:val="000000" w:themeColor="text1"/>
                <w:sz w:val="21"/>
                <w:szCs w:val="21"/>
              </w:rPr>
              <w:t xml:space="preserve">　　可随时用于支付的银行存款</w:t>
            </w:r>
          </w:p>
        </w:tc>
        <w:tc>
          <w:tcPr>
            <w:tcW w:w="952" w:type="pct"/>
            <w:shd w:val="clear" w:color="auto" w:fill="auto"/>
          </w:tcPr>
          <w:p w14:paraId="6EFF6FD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692,525,235.64</w:t>
            </w:r>
          </w:p>
        </w:tc>
        <w:tc>
          <w:tcPr>
            <w:tcW w:w="899" w:type="pct"/>
            <w:shd w:val="clear" w:color="auto" w:fill="auto"/>
          </w:tcPr>
          <w:p w14:paraId="58735DB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703,004,484.46</w:t>
            </w:r>
          </w:p>
        </w:tc>
      </w:tr>
      <w:tr w:rsidR="002D0AE7" w14:paraId="44B5A9CC" w14:textId="77777777">
        <w:trPr>
          <w:trHeight w:val="285"/>
          <w:jc w:val="center"/>
        </w:trPr>
        <w:tc>
          <w:tcPr>
            <w:tcW w:w="3150" w:type="pct"/>
            <w:shd w:val="clear" w:color="auto" w:fill="auto"/>
            <w:vAlign w:val="center"/>
          </w:tcPr>
          <w:p w14:paraId="67EA9DC0" w14:textId="77777777" w:rsidR="002D0AE7" w:rsidRDefault="00333EBB">
            <w:pPr>
              <w:rPr>
                <w:rFonts w:hint="eastAsia"/>
                <w:color w:val="000000" w:themeColor="text1"/>
                <w:sz w:val="21"/>
                <w:szCs w:val="21"/>
              </w:rPr>
            </w:pPr>
            <w:r>
              <w:rPr>
                <w:rFonts w:hint="eastAsia"/>
                <w:color w:val="000000" w:themeColor="text1"/>
                <w:sz w:val="21"/>
                <w:szCs w:val="21"/>
              </w:rPr>
              <w:t xml:space="preserve">　　可随时用于支付的其他货币资金</w:t>
            </w:r>
          </w:p>
        </w:tc>
        <w:tc>
          <w:tcPr>
            <w:tcW w:w="952" w:type="pct"/>
            <w:shd w:val="clear" w:color="auto" w:fill="auto"/>
          </w:tcPr>
          <w:p w14:paraId="2EB2CF67" w14:textId="77777777" w:rsidR="002D0AE7" w:rsidRDefault="002D0AE7">
            <w:pPr>
              <w:jc w:val="right"/>
              <w:rPr>
                <w:rFonts w:ascii="Times New Roman" w:hAnsi="Times New Roman" w:cs="Times New Roman"/>
                <w:sz w:val="21"/>
                <w:szCs w:val="21"/>
              </w:rPr>
            </w:pPr>
          </w:p>
        </w:tc>
        <w:tc>
          <w:tcPr>
            <w:tcW w:w="899" w:type="pct"/>
            <w:shd w:val="clear" w:color="auto" w:fill="auto"/>
          </w:tcPr>
          <w:p w14:paraId="1CCB778A" w14:textId="77777777" w:rsidR="002D0AE7" w:rsidRDefault="002D0AE7">
            <w:pPr>
              <w:jc w:val="right"/>
              <w:rPr>
                <w:rFonts w:ascii="Times New Roman" w:hAnsi="Times New Roman" w:cs="Times New Roman"/>
                <w:sz w:val="21"/>
                <w:szCs w:val="21"/>
              </w:rPr>
            </w:pPr>
          </w:p>
        </w:tc>
      </w:tr>
      <w:tr w:rsidR="002D0AE7" w14:paraId="5AAFFF00" w14:textId="77777777">
        <w:trPr>
          <w:trHeight w:val="285"/>
          <w:jc w:val="center"/>
        </w:trPr>
        <w:tc>
          <w:tcPr>
            <w:tcW w:w="3150" w:type="pct"/>
            <w:shd w:val="clear" w:color="auto" w:fill="auto"/>
            <w:vAlign w:val="center"/>
          </w:tcPr>
          <w:p w14:paraId="083FC796" w14:textId="77777777" w:rsidR="002D0AE7" w:rsidRDefault="00333EBB">
            <w:pPr>
              <w:rPr>
                <w:rFonts w:hint="eastAsia"/>
                <w:color w:val="000000" w:themeColor="text1"/>
                <w:sz w:val="21"/>
                <w:szCs w:val="21"/>
              </w:rPr>
            </w:pPr>
            <w:r>
              <w:rPr>
                <w:rFonts w:hint="eastAsia"/>
                <w:color w:val="000000" w:themeColor="text1"/>
                <w:sz w:val="21"/>
                <w:szCs w:val="21"/>
              </w:rPr>
              <w:t xml:space="preserve">　　可用于支付的存放中央银行款项</w:t>
            </w:r>
          </w:p>
        </w:tc>
        <w:tc>
          <w:tcPr>
            <w:tcW w:w="952" w:type="pct"/>
            <w:shd w:val="clear" w:color="auto" w:fill="auto"/>
          </w:tcPr>
          <w:p w14:paraId="11D87C1E" w14:textId="77777777" w:rsidR="002D0AE7" w:rsidRDefault="002D0AE7">
            <w:pPr>
              <w:jc w:val="right"/>
              <w:rPr>
                <w:rFonts w:ascii="Times New Roman" w:hAnsi="Times New Roman" w:cs="Times New Roman"/>
                <w:sz w:val="21"/>
                <w:szCs w:val="21"/>
              </w:rPr>
            </w:pPr>
          </w:p>
        </w:tc>
        <w:tc>
          <w:tcPr>
            <w:tcW w:w="899" w:type="pct"/>
            <w:shd w:val="clear" w:color="auto" w:fill="auto"/>
          </w:tcPr>
          <w:p w14:paraId="391E4E56" w14:textId="77777777" w:rsidR="002D0AE7" w:rsidRDefault="002D0AE7">
            <w:pPr>
              <w:jc w:val="right"/>
              <w:rPr>
                <w:rFonts w:ascii="Times New Roman" w:hAnsi="Times New Roman" w:cs="Times New Roman"/>
                <w:sz w:val="21"/>
                <w:szCs w:val="21"/>
              </w:rPr>
            </w:pPr>
          </w:p>
        </w:tc>
      </w:tr>
      <w:tr w:rsidR="002D0AE7" w14:paraId="767FDEF3" w14:textId="77777777">
        <w:trPr>
          <w:trHeight w:val="285"/>
          <w:jc w:val="center"/>
        </w:trPr>
        <w:tc>
          <w:tcPr>
            <w:tcW w:w="3150" w:type="pct"/>
            <w:shd w:val="clear" w:color="auto" w:fill="auto"/>
            <w:vAlign w:val="center"/>
          </w:tcPr>
          <w:p w14:paraId="2CD680F6" w14:textId="77777777" w:rsidR="002D0AE7" w:rsidRDefault="00333EBB">
            <w:pPr>
              <w:rPr>
                <w:rFonts w:hint="eastAsia"/>
                <w:color w:val="000000" w:themeColor="text1"/>
                <w:sz w:val="21"/>
                <w:szCs w:val="21"/>
              </w:rPr>
            </w:pPr>
            <w:r>
              <w:rPr>
                <w:rFonts w:hint="eastAsia"/>
                <w:color w:val="000000" w:themeColor="text1"/>
                <w:sz w:val="21"/>
                <w:szCs w:val="21"/>
              </w:rPr>
              <w:t xml:space="preserve">　　存放同业款项</w:t>
            </w:r>
          </w:p>
        </w:tc>
        <w:tc>
          <w:tcPr>
            <w:tcW w:w="952" w:type="pct"/>
            <w:shd w:val="clear" w:color="auto" w:fill="auto"/>
          </w:tcPr>
          <w:p w14:paraId="3C1E2EAA" w14:textId="77777777" w:rsidR="002D0AE7" w:rsidRDefault="002D0AE7">
            <w:pPr>
              <w:jc w:val="right"/>
              <w:rPr>
                <w:rFonts w:ascii="Times New Roman" w:hAnsi="Times New Roman" w:cs="Times New Roman"/>
                <w:sz w:val="21"/>
                <w:szCs w:val="21"/>
              </w:rPr>
            </w:pPr>
          </w:p>
        </w:tc>
        <w:tc>
          <w:tcPr>
            <w:tcW w:w="899" w:type="pct"/>
            <w:shd w:val="clear" w:color="auto" w:fill="auto"/>
          </w:tcPr>
          <w:p w14:paraId="6CF10CAB" w14:textId="77777777" w:rsidR="002D0AE7" w:rsidRDefault="002D0AE7">
            <w:pPr>
              <w:jc w:val="right"/>
              <w:rPr>
                <w:rFonts w:ascii="Times New Roman" w:hAnsi="Times New Roman" w:cs="Times New Roman"/>
                <w:sz w:val="21"/>
                <w:szCs w:val="21"/>
              </w:rPr>
            </w:pPr>
          </w:p>
        </w:tc>
      </w:tr>
      <w:tr w:rsidR="002D0AE7" w14:paraId="247FA4E9" w14:textId="77777777">
        <w:trPr>
          <w:trHeight w:val="285"/>
          <w:jc w:val="center"/>
        </w:trPr>
        <w:tc>
          <w:tcPr>
            <w:tcW w:w="3150" w:type="pct"/>
            <w:shd w:val="clear" w:color="auto" w:fill="auto"/>
            <w:vAlign w:val="center"/>
          </w:tcPr>
          <w:p w14:paraId="22990099" w14:textId="77777777" w:rsidR="002D0AE7" w:rsidRDefault="00333EBB">
            <w:pPr>
              <w:rPr>
                <w:rFonts w:hint="eastAsia"/>
                <w:color w:val="000000" w:themeColor="text1"/>
                <w:sz w:val="21"/>
                <w:szCs w:val="21"/>
              </w:rPr>
            </w:pPr>
            <w:r>
              <w:rPr>
                <w:rFonts w:hint="eastAsia"/>
                <w:color w:val="000000" w:themeColor="text1"/>
                <w:sz w:val="21"/>
                <w:szCs w:val="21"/>
              </w:rPr>
              <w:t xml:space="preserve">　　拆放同业款项</w:t>
            </w:r>
          </w:p>
        </w:tc>
        <w:tc>
          <w:tcPr>
            <w:tcW w:w="952" w:type="pct"/>
            <w:shd w:val="clear" w:color="auto" w:fill="auto"/>
          </w:tcPr>
          <w:p w14:paraId="62B8ABD8" w14:textId="77777777" w:rsidR="002D0AE7" w:rsidRDefault="002D0AE7">
            <w:pPr>
              <w:jc w:val="right"/>
              <w:rPr>
                <w:rFonts w:ascii="Times New Roman" w:hAnsi="Times New Roman" w:cs="Times New Roman"/>
                <w:sz w:val="21"/>
                <w:szCs w:val="21"/>
              </w:rPr>
            </w:pPr>
          </w:p>
        </w:tc>
        <w:tc>
          <w:tcPr>
            <w:tcW w:w="899" w:type="pct"/>
            <w:shd w:val="clear" w:color="auto" w:fill="auto"/>
          </w:tcPr>
          <w:p w14:paraId="61A57B7F" w14:textId="77777777" w:rsidR="002D0AE7" w:rsidRDefault="002D0AE7">
            <w:pPr>
              <w:jc w:val="right"/>
              <w:rPr>
                <w:rFonts w:ascii="Times New Roman" w:hAnsi="Times New Roman" w:cs="Times New Roman"/>
                <w:sz w:val="21"/>
                <w:szCs w:val="21"/>
              </w:rPr>
            </w:pPr>
          </w:p>
        </w:tc>
      </w:tr>
      <w:tr w:rsidR="002D0AE7" w14:paraId="2F2E08F4" w14:textId="77777777">
        <w:trPr>
          <w:trHeight w:val="285"/>
          <w:jc w:val="center"/>
        </w:trPr>
        <w:tc>
          <w:tcPr>
            <w:tcW w:w="3150" w:type="pct"/>
            <w:shd w:val="clear" w:color="auto" w:fill="auto"/>
            <w:vAlign w:val="center"/>
          </w:tcPr>
          <w:p w14:paraId="4FE63617" w14:textId="77777777" w:rsidR="002D0AE7" w:rsidRDefault="00333EBB">
            <w:pPr>
              <w:rPr>
                <w:rFonts w:hint="eastAsia"/>
                <w:color w:val="000000" w:themeColor="text1"/>
                <w:sz w:val="21"/>
                <w:szCs w:val="21"/>
              </w:rPr>
            </w:pPr>
            <w:r>
              <w:rPr>
                <w:rFonts w:hint="eastAsia"/>
                <w:color w:val="000000" w:themeColor="text1"/>
                <w:sz w:val="21"/>
                <w:szCs w:val="21"/>
              </w:rPr>
              <w:t>二、现金等价物</w:t>
            </w:r>
          </w:p>
        </w:tc>
        <w:tc>
          <w:tcPr>
            <w:tcW w:w="952" w:type="pct"/>
            <w:shd w:val="clear" w:color="auto" w:fill="auto"/>
          </w:tcPr>
          <w:p w14:paraId="4DB5FA14" w14:textId="77777777" w:rsidR="002D0AE7" w:rsidRDefault="002D0AE7">
            <w:pPr>
              <w:jc w:val="right"/>
              <w:rPr>
                <w:rFonts w:ascii="Times New Roman" w:hAnsi="Times New Roman" w:cs="Times New Roman"/>
                <w:sz w:val="21"/>
                <w:szCs w:val="21"/>
              </w:rPr>
            </w:pPr>
          </w:p>
        </w:tc>
        <w:tc>
          <w:tcPr>
            <w:tcW w:w="899" w:type="pct"/>
            <w:shd w:val="clear" w:color="auto" w:fill="auto"/>
          </w:tcPr>
          <w:p w14:paraId="5947B66B" w14:textId="77777777" w:rsidR="002D0AE7" w:rsidRDefault="002D0AE7">
            <w:pPr>
              <w:jc w:val="right"/>
              <w:rPr>
                <w:rFonts w:ascii="Times New Roman" w:hAnsi="Times New Roman" w:cs="Times New Roman"/>
                <w:sz w:val="21"/>
                <w:szCs w:val="21"/>
              </w:rPr>
            </w:pPr>
          </w:p>
        </w:tc>
      </w:tr>
      <w:tr w:rsidR="002D0AE7" w14:paraId="0208A7E1" w14:textId="77777777">
        <w:trPr>
          <w:trHeight w:val="285"/>
          <w:jc w:val="center"/>
        </w:trPr>
        <w:tc>
          <w:tcPr>
            <w:tcW w:w="3150" w:type="pct"/>
            <w:tcBorders>
              <w:bottom w:val="single" w:sz="4" w:space="0" w:color="auto"/>
            </w:tcBorders>
            <w:shd w:val="clear" w:color="auto" w:fill="auto"/>
            <w:vAlign w:val="center"/>
          </w:tcPr>
          <w:p w14:paraId="141A4991" w14:textId="77777777" w:rsidR="002D0AE7" w:rsidRDefault="00333EBB">
            <w:pPr>
              <w:rPr>
                <w:rFonts w:hint="eastAsia"/>
                <w:color w:val="000000" w:themeColor="text1"/>
                <w:sz w:val="21"/>
                <w:szCs w:val="21"/>
              </w:rPr>
            </w:pPr>
            <w:r>
              <w:rPr>
                <w:rFonts w:hint="eastAsia"/>
                <w:color w:val="000000" w:themeColor="text1"/>
                <w:sz w:val="21"/>
                <w:szCs w:val="21"/>
              </w:rPr>
              <w:t>其中：三个月内到期的债券投资</w:t>
            </w:r>
          </w:p>
        </w:tc>
        <w:tc>
          <w:tcPr>
            <w:tcW w:w="952" w:type="pct"/>
            <w:tcBorders>
              <w:bottom w:val="single" w:sz="4" w:space="0" w:color="auto"/>
            </w:tcBorders>
            <w:shd w:val="clear" w:color="auto" w:fill="auto"/>
          </w:tcPr>
          <w:p w14:paraId="4F84F9BF" w14:textId="77777777" w:rsidR="002D0AE7" w:rsidRDefault="002D0AE7">
            <w:pPr>
              <w:jc w:val="right"/>
              <w:rPr>
                <w:rFonts w:ascii="Times New Roman" w:hAnsi="Times New Roman" w:cs="Times New Roman"/>
                <w:sz w:val="21"/>
                <w:szCs w:val="21"/>
              </w:rPr>
            </w:pPr>
          </w:p>
        </w:tc>
        <w:tc>
          <w:tcPr>
            <w:tcW w:w="899" w:type="pct"/>
            <w:tcBorders>
              <w:bottom w:val="single" w:sz="4" w:space="0" w:color="auto"/>
            </w:tcBorders>
            <w:shd w:val="clear" w:color="auto" w:fill="auto"/>
          </w:tcPr>
          <w:p w14:paraId="3B6DE576" w14:textId="77777777" w:rsidR="002D0AE7" w:rsidRDefault="002D0AE7">
            <w:pPr>
              <w:jc w:val="right"/>
              <w:rPr>
                <w:rFonts w:ascii="Times New Roman" w:hAnsi="Times New Roman" w:cs="Times New Roman"/>
                <w:sz w:val="21"/>
                <w:szCs w:val="21"/>
              </w:rPr>
            </w:pPr>
          </w:p>
        </w:tc>
      </w:tr>
      <w:tr w:rsidR="002D0AE7" w14:paraId="2F35FD05" w14:textId="77777777">
        <w:trPr>
          <w:trHeight w:val="285"/>
          <w:jc w:val="center"/>
        </w:trPr>
        <w:tc>
          <w:tcPr>
            <w:tcW w:w="3150" w:type="pct"/>
            <w:shd w:val="clear" w:color="auto" w:fill="auto"/>
            <w:vAlign w:val="center"/>
          </w:tcPr>
          <w:p w14:paraId="211D0535" w14:textId="77777777" w:rsidR="002D0AE7" w:rsidRDefault="00333EBB">
            <w:pPr>
              <w:rPr>
                <w:rFonts w:hint="eastAsia"/>
                <w:color w:val="000000" w:themeColor="text1"/>
                <w:sz w:val="21"/>
                <w:szCs w:val="21"/>
              </w:rPr>
            </w:pPr>
            <w:r>
              <w:rPr>
                <w:rFonts w:hint="eastAsia"/>
                <w:color w:val="000000" w:themeColor="text1"/>
                <w:sz w:val="21"/>
                <w:szCs w:val="21"/>
              </w:rPr>
              <w:t>三、期末现金及现金等价物余额</w:t>
            </w:r>
          </w:p>
        </w:tc>
        <w:tc>
          <w:tcPr>
            <w:tcW w:w="952" w:type="pct"/>
            <w:shd w:val="clear" w:color="auto" w:fill="auto"/>
          </w:tcPr>
          <w:p w14:paraId="715D8B0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692,527,980.82</w:t>
            </w:r>
          </w:p>
        </w:tc>
        <w:tc>
          <w:tcPr>
            <w:tcW w:w="899" w:type="pct"/>
            <w:shd w:val="clear" w:color="auto" w:fill="auto"/>
          </w:tcPr>
          <w:p w14:paraId="2CAACAE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703,007,242.12</w:t>
            </w:r>
          </w:p>
        </w:tc>
      </w:tr>
      <w:tr w:rsidR="002D0AE7" w14:paraId="400AB705" w14:textId="77777777">
        <w:trPr>
          <w:trHeight w:val="285"/>
          <w:jc w:val="center"/>
        </w:trPr>
        <w:tc>
          <w:tcPr>
            <w:tcW w:w="3150" w:type="pct"/>
            <w:shd w:val="clear" w:color="auto" w:fill="auto"/>
            <w:vAlign w:val="center"/>
          </w:tcPr>
          <w:p w14:paraId="45387624" w14:textId="77777777" w:rsidR="002D0AE7" w:rsidRDefault="00333EBB">
            <w:pPr>
              <w:rPr>
                <w:rFonts w:hint="eastAsia"/>
                <w:color w:val="000000" w:themeColor="text1"/>
                <w:sz w:val="21"/>
                <w:szCs w:val="21"/>
              </w:rPr>
            </w:pPr>
            <w:r>
              <w:rPr>
                <w:rFonts w:hint="eastAsia"/>
                <w:color w:val="000000" w:themeColor="text1"/>
                <w:sz w:val="21"/>
                <w:szCs w:val="21"/>
              </w:rPr>
              <w:t>其中：母公司或集团内子公司使用受限制的现金和现金等价物</w:t>
            </w:r>
          </w:p>
        </w:tc>
        <w:tc>
          <w:tcPr>
            <w:tcW w:w="952" w:type="pct"/>
            <w:shd w:val="clear" w:color="auto" w:fill="auto"/>
          </w:tcPr>
          <w:p w14:paraId="22192E4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99" w:type="pct"/>
            <w:shd w:val="clear" w:color="auto" w:fill="auto"/>
          </w:tcPr>
          <w:p w14:paraId="3B12170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bl>
    <w:p w14:paraId="761C133B" w14:textId="77777777" w:rsidR="002D0AE7" w:rsidRDefault="00333EBB">
      <w:pPr>
        <w:pStyle w:val="4"/>
        <w:numPr>
          <w:ilvl w:val="0"/>
          <w:numId w:val="69"/>
        </w:numPr>
        <w:rPr>
          <w:color w:val="000000" w:themeColor="text1"/>
        </w:rPr>
      </w:pPr>
      <w:bookmarkStart w:id="222" w:name="_Hlk167970923"/>
      <w:r>
        <w:rPr>
          <w:rFonts w:hint="eastAsia"/>
          <w:color w:val="000000" w:themeColor="text1"/>
        </w:rPr>
        <w:t>不属于现金及现金等价物的货币资金</w:t>
      </w:r>
    </w:p>
    <w:sdt>
      <w:sdtPr>
        <w:rPr>
          <w:color w:val="000000" w:themeColor="text1"/>
        </w:rPr>
        <w:alias w:val="是否适用：不属于现金及现金等价物的货币资金[双击切换]"/>
        <w:tag w:val="_GBC_191a966fa63441a7bf4a17ba6bb3802a"/>
        <w:id w:val="740690131"/>
        <w:placeholder>
          <w:docPart w:val="GBC22222222222222222222222222222"/>
        </w:placeholder>
      </w:sdtPr>
      <w:sdtEndPr/>
      <w:sdtContent>
        <w:p w14:paraId="2E1AA529"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4F3EF0EF" w14:textId="77777777" w:rsidR="002D0AE7" w:rsidRDefault="00333EBB">
      <w:pPr>
        <w:jc w:val="right"/>
        <w:rPr>
          <w:rFonts w:hint="eastAsia"/>
          <w:b/>
          <w:color w:val="000000" w:themeColor="text1"/>
        </w:rPr>
      </w:pPr>
      <w:r>
        <w:rPr>
          <w:rFonts w:hint="eastAsia"/>
          <w:color w:val="000000" w:themeColor="text1"/>
        </w:rPr>
        <w:t>单位：</w:t>
      </w:r>
      <w:sdt>
        <w:sdtPr>
          <w:rPr>
            <w:rFonts w:hint="eastAsia"/>
            <w:color w:val="000000" w:themeColor="text1"/>
          </w:rPr>
          <w:alias w:val="单位：不属于现金及现金等价物的货币资金"/>
          <w:tag w:val="_GBC_f61896005e924ae38677ec69b7155f61"/>
          <w:id w:val="-617134799"/>
          <w:placeholder>
            <w:docPart w:val="04CD74A3435B486C905560330A69704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不属于现金及现金等价物的货币资金"/>
          <w:tag w:val="_GBC_0a0043c6530c4ab2bc30ec98d82b63cf"/>
          <w:id w:val="-1345933955"/>
          <w:placeholder>
            <w:docPart w:val="04CD74A3435B486C905560330A69704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5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58"/>
        <w:gridCol w:w="1558"/>
        <w:gridCol w:w="5103"/>
      </w:tblGrid>
      <w:tr w:rsidR="002D0AE7" w14:paraId="26DA248E" w14:textId="77777777">
        <w:trPr>
          <w:trHeight w:val="196"/>
          <w:jc w:val="center"/>
        </w:trPr>
        <w:sdt>
          <w:sdtPr>
            <w:rPr>
              <w:rFonts w:hint="eastAsia"/>
              <w:color w:val="000000" w:themeColor="text1"/>
              <w:sz w:val="21"/>
              <w:szCs w:val="21"/>
            </w:rPr>
            <w:tag w:val="_PLD_edb7da4f96fd483da0db9e51774f40a2"/>
            <w:id w:val="-181897054"/>
          </w:sdtPr>
          <w:sdtEndPr/>
          <w:sdtContent>
            <w:tc>
              <w:tcPr>
                <w:tcW w:w="796" w:type="pct"/>
                <w:tcBorders>
                  <w:bottom w:val="single" w:sz="4" w:space="0" w:color="auto"/>
                </w:tcBorders>
                <w:shd w:val="clear" w:color="auto" w:fill="auto"/>
                <w:vAlign w:val="center"/>
              </w:tcPr>
              <w:p w14:paraId="3CADCEE6" w14:textId="77777777" w:rsidR="002D0AE7" w:rsidRDefault="00333EBB">
                <w:pPr>
                  <w:ind w:leftChars="-51" w:left="-122"/>
                  <w:jc w:val="center"/>
                  <w:rPr>
                    <w:rFonts w:hint="eastAsia"/>
                    <w:color w:val="000000" w:themeColor="text1"/>
                    <w:sz w:val="21"/>
                    <w:szCs w:val="21"/>
                  </w:rPr>
                </w:pPr>
                <w:r>
                  <w:rPr>
                    <w:rFonts w:hint="eastAsia"/>
                    <w:color w:val="000000" w:themeColor="text1"/>
                    <w:sz w:val="21"/>
                    <w:szCs w:val="21"/>
                  </w:rPr>
                  <w:t>项目</w:t>
                </w:r>
              </w:p>
            </w:tc>
          </w:sdtContent>
        </w:sdt>
        <w:sdt>
          <w:sdtPr>
            <w:rPr>
              <w:rFonts w:hint="eastAsia"/>
              <w:color w:val="000000" w:themeColor="text1"/>
              <w:sz w:val="21"/>
              <w:szCs w:val="21"/>
            </w:rPr>
            <w:tag w:val="_PLD_50a645135c3c4998a58aa2994c543dfe"/>
            <w:id w:val="1008254718"/>
          </w:sdtPr>
          <w:sdtEndPr/>
          <w:sdtContent>
            <w:tc>
              <w:tcPr>
                <w:tcW w:w="797" w:type="pct"/>
                <w:vAlign w:val="center"/>
              </w:tcPr>
              <w:p w14:paraId="72E731BB" w14:textId="77777777" w:rsidR="002D0AE7" w:rsidRDefault="00333EBB">
                <w:pPr>
                  <w:jc w:val="center"/>
                  <w:rPr>
                    <w:rFonts w:hint="eastAsia"/>
                    <w:color w:val="000000" w:themeColor="text1"/>
                    <w:sz w:val="21"/>
                    <w:szCs w:val="21"/>
                  </w:rPr>
                </w:pPr>
                <w:r>
                  <w:rPr>
                    <w:rFonts w:hint="eastAsia"/>
                    <w:color w:val="000000" w:themeColor="text1"/>
                    <w:sz w:val="21"/>
                    <w:szCs w:val="21"/>
                  </w:rPr>
                  <w:t>本期金额</w:t>
                </w:r>
              </w:p>
            </w:tc>
          </w:sdtContent>
        </w:sdt>
        <w:sdt>
          <w:sdtPr>
            <w:rPr>
              <w:rFonts w:hint="eastAsia"/>
              <w:color w:val="000000" w:themeColor="text1"/>
              <w:sz w:val="21"/>
              <w:szCs w:val="21"/>
            </w:rPr>
            <w:tag w:val="_PLD_2c47585cf5e64606bc9eaa265f16279c"/>
            <w:id w:val="2005473336"/>
          </w:sdtPr>
          <w:sdtEndPr/>
          <w:sdtContent>
            <w:tc>
              <w:tcPr>
                <w:tcW w:w="797" w:type="pct"/>
                <w:shd w:val="clear" w:color="auto" w:fill="auto"/>
                <w:vAlign w:val="center"/>
              </w:tcPr>
              <w:p w14:paraId="2A6BCD85" w14:textId="77777777" w:rsidR="002D0AE7" w:rsidRDefault="00333EBB">
                <w:pPr>
                  <w:jc w:val="center"/>
                  <w:rPr>
                    <w:rFonts w:hint="eastAsia"/>
                    <w:color w:val="000000" w:themeColor="text1"/>
                    <w:sz w:val="21"/>
                    <w:szCs w:val="21"/>
                  </w:rPr>
                </w:pPr>
                <w:r>
                  <w:rPr>
                    <w:rFonts w:hint="eastAsia"/>
                    <w:color w:val="000000" w:themeColor="text1"/>
                    <w:sz w:val="21"/>
                    <w:szCs w:val="21"/>
                  </w:rPr>
                  <w:t>上期金额</w:t>
                </w:r>
              </w:p>
            </w:tc>
          </w:sdtContent>
        </w:sdt>
        <w:sdt>
          <w:sdtPr>
            <w:rPr>
              <w:rFonts w:hint="eastAsia"/>
              <w:color w:val="000000" w:themeColor="text1"/>
              <w:sz w:val="21"/>
              <w:szCs w:val="21"/>
            </w:rPr>
            <w:tag w:val="_PLD_60a5c86051274f1fa875f5d9c6ee937b"/>
            <w:id w:val="1893612985"/>
          </w:sdtPr>
          <w:sdtEndPr/>
          <w:sdtContent>
            <w:tc>
              <w:tcPr>
                <w:tcW w:w="2609" w:type="pct"/>
                <w:shd w:val="clear" w:color="auto" w:fill="auto"/>
                <w:vAlign w:val="center"/>
              </w:tcPr>
              <w:p w14:paraId="04B82117" w14:textId="77777777" w:rsidR="002D0AE7" w:rsidRDefault="00333EBB">
                <w:pPr>
                  <w:jc w:val="center"/>
                  <w:rPr>
                    <w:rFonts w:hint="eastAsia"/>
                    <w:color w:val="000000" w:themeColor="text1"/>
                    <w:sz w:val="21"/>
                    <w:szCs w:val="21"/>
                  </w:rPr>
                </w:pPr>
                <w:r>
                  <w:rPr>
                    <w:rFonts w:hint="eastAsia"/>
                    <w:color w:val="000000" w:themeColor="text1"/>
                    <w:sz w:val="21"/>
                    <w:szCs w:val="21"/>
                  </w:rPr>
                  <w:t>理由</w:t>
                </w:r>
              </w:p>
            </w:tc>
          </w:sdtContent>
        </w:sdt>
      </w:tr>
      <w:tr w:rsidR="002D0AE7" w14:paraId="49DB82EA" w14:textId="77777777">
        <w:trPr>
          <w:trHeight w:val="121"/>
          <w:jc w:val="center"/>
        </w:trPr>
        <w:tc>
          <w:tcPr>
            <w:tcW w:w="796" w:type="pct"/>
            <w:shd w:val="clear" w:color="auto" w:fill="auto"/>
            <w:vAlign w:val="center"/>
          </w:tcPr>
          <w:p w14:paraId="19B93414" w14:textId="77777777" w:rsidR="002D0AE7" w:rsidRDefault="00333EBB">
            <w:pPr>
              <w:rPr>
                <w:rFonts w:hint="eastAsia"/>
                <w:sz w:val="21"/>
                <w:szCs w:val="21"/>
              </w:rPr>
            </w:pPr>
            <w:r>
              <w:rPr>
                <w:rFonts w:hint="eastAsia"/>
                <w:color w:val="000000"/>
                <w:sz w:val="21"/>
                <w:szCs w:val="21"/>
              </w:rPr>
              <w:t>受限货币资金</w:t>
            </w:r>
          </w:p>
        </w:tc>
        <w:tc>
          <w:tcPr>
            <w:tcW w:w="797" w:type="pct"/>
            <w:vAlign w:val="center"/>
          </w:tcPr>
          <w:p w14:paraId="710FAA9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35,789,456.48</w:t>
            </w:r>
          </w:p>
        </w:tc>
        <w:tc>
          <w:tcPr>
            <w:tcW w:w="797" w:type="pct"/>
            <w:shd w:val="clear" w:color="auto" w:fill="auto"/>
            <w:vAlign w:val="center"/>
          </w:tcPr>
          <w:p w14:paraId="0110866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15,849,149.75</w:t>
            </w:r>
          </w:p>
        </w:tc>
        <w:tc>
          <w:tcPr>
            <w:tcW w:w="2609" w:type="pct"/>
            <w:shd w:val="clear" w:color="auto" w:fill="auto"/>
            <w:vAlign w:val="center"/>
          </w:tcPr>
          <w:p w14:paraId="7201CB27" w14:textId="77777777" w:rsidR="002D0AE7" w:rsidRDefault="00333EBB">
            <w:pPr>
              <w:rPr>
                <w:rFonts w:hint="eastAsia"/>
                <w:sz w:val="21"/>
                <w:szCs w:val="21"/>
              </w:rPr>
            </w:pPr>
            <w:r>
              <w:rPr>
                <w:rFonts w:hint="eastAsia"/>
                <w:color w:val="000000"/>
                <w:sz w:val="21"/>
                <w:szCs w:val="21"/>
              </w:rPr>
              <w:t>票据及信用证保证金、</w:t>
            </w:r>
            <w:r>
              <w:rPr>
                <w:rFonts w:hint="eastAsia"/>
                <w:color w:val="000000"/>
                <w:sz w:val="21"/>
                <w:szCs w:val="21"/>
              </w:rPr>
              <w:t>ETC</w:t>
            </w:r>
            <w:r>
              <w:rPr>
                <w:rFonts w:hint="eastAsia"/>
                <w:color w:val="000000"/>
                <w:sz w:val="21"/>
                <w:szCs w:val="21"/>
              </w:rPr>
              <w:t>业务保证金、农民工工资保证金、环保专项资金、冻结存款</w:t>
            </w:r>
          </w:p>
        </w:tc>
      </w:tr>
      <w:tr w:rsidR="002D0AE7" w14:paraId="4A171152" w14:textId="77777777">
        <w:trPr>
          <w:trHeight w:val="125"/>
          <w:jc w:val="center"/>
        </w:trPr>
        <w:tc>
          <w:tcPr>
            <w:tcW w:w="796" w:type="pct"/>
            <w:shd w:val="clear" w:color="auto" w:fill="auto"/>
            <w:vAlign w:val="center"/>
          </w:tcPr>
          <w:p w14:paraId="053A3808" w14:textId="77777777" w:rsidR="002D0AE7" w:rsidRDefault="00333EBB">
            <w:pPr>
              <w:jc w:val="center"/>
              <w:rPr>
                <w:rFonts w:hint="eastAsia"/>
                <w:color w:val="000000" w:themeColor="text1"/>
                <w:sz w:val="21"/>
                <w:szCs w:val="21"/>
              </w:rPr>
            </w:pPr>
            <w:r>
              <w:rPr>
                <w:color w:val="000000" w:themeColor="text1"/>
                <w:sz w:val="21"/>
                <w:szCs w:val="21"/>
              </w:rPr>
              <w:t>合计</w:t>
            </w:r>
          </w:p>
        </w:tc>
        <w:tc>
          <w:tcPr>
            <w:tcW w:w="797" w:type="pct"/>
            <w:vAlign w:val="center"/>
          </w:tcPr>
          <w:p w14:paraId="25844966" w14:textId="77777777" w:rsidR="002D0AE7" w:rsidRDefault="00333EBB">
            <w:pPr>
              <w:jc w:val="right"/>
              <w:rPr>
                <w:rFonts w:hint="eastAsia"/>
                <w:sz w:val="21"/>
                <w:szCs w:val="21"/>
              </w:rPr>
            </w:pPr>
            <w:r>
              <w:rPr>
                <w:rFonts w:ascii="Times New Roman" w:hAnsi="Times New Roman" w:cs="Times New Roman"/>
                <w:color w:val="000000"/>
                <w:sz w:val="21"/>
                <w:szCs w:val="21"/>
              </w:rPr>
              <w:t>35,789,456.48</w:t>
            </w:r>
          </w:p>
        </w:tc>
        <w:tc>
          <w:tcPr>
            <w:tcW w:w="797" w:type="pct"/>
            <w:shd w:val="clear" w:color="auto" w:fill="auto"/>
            <w:vAlign w:val="center"/>
          </w:tcPr>
          <w:p w14:paraId="5F009443" w14:textId="77777777" w:rsidR="002D0AE7" w:rsidRDefault="00333EBB">
            <w:pPr>
              <w:jc w:val="right"/>
              <w:rPr>
                <w:rFonts w:hint="eastAsia"/>
                <w:sz w:val="21"/>
                <w:szCs w:val="21"/>
              </w:rPr>
            </w:pPr>
            <w:r>
              <w:rPr>
                <w:rFonts w:ascii="Times New Roman" w:hAnsi="Times New Roman" w:cs="Times New Roman"/>
                <w:color w:val="000000"/>
                <w:sz w:val="21"/>
                <w:szCs w:val="21"/>
              </w:rPr>
              <w:t>15,849,149.75</w:t>
            </w:r>
          </w:p>
        </w:tc>
        <w:tc>
          <w:tcPr>
            <w:tcW w:w="2609" w:type="pct"/>
            <w:shd w:val="clear" w:color="auto" w:fill="auto"/>
            <w:vAlign w:val="center"/>
          </w:tcPr>
          <w:p w14:paraId="3444AFBF" w14:textId="77777777" w:rsidR="002D0AE7" w:rsidRDefault="00333EBB">
            <w:pPr>
              <w:jc w:val="center"/>
              <w:rPr>
                <w:rFonts w:hint="eastAsia"/>
                <w:color w:val="000000" w:themeColor="text1"/>
                <w:sz w:val="21"/>
                <w:szCs w:val="21"/>
              </w:rPr>
            </w:pPr>
            <w:r>
              <w:rPr>
                <w:rFonts w:hint="eastAsia"/>
                <w:color w:val="000000" w:themeColor="text1"/>
                <w:sz w:val="21"/>
                <w:szCs w:val="21"/>
              </w:rPr>
              <w:t>/</w:t>
            </w:r>
          </w:p>
        </w:tc>
      </w:tr>
    </w:tbl>
    <w:p w14:paraId="720055F2" w14:textId="77777777" w:rsidR="002D0AE7" w:rsidRDefault="00333EBB">
      <w:pPr>
        <w:pStyle w:val="3"/>
        <w:numPr>
          <w:ilvl w:val="0"/>
          <w:numId w:val="43"/>
        </w:numPr>
        <w:tabs>
          <w:tab w:val="left" w:pos="504"/>
        </w:tabs>
        <w:rPr>
          <w:rFonts w:ascii="宋体" w:hAnsi="宋体" w:hint="eastAsia"/>
          <w:color w:val="000000" w:themeColor="text1"/>
          <w:szCs w:val="21"/>
        </w:rPr>
      </w:pPr>
      <w:bookmarkStart w:id="223" w:name="_Hlk42158948"/>
      <w:bookmarkEnd w:id="222"/>
      <w:r>
        <w:rPr>
          <w:rFonts w:ascii="宋体" w:hAnsi="宋体" w:hint="eastAsia"/>
          <w:color w:val="000000" w:themeColor="text1"/>
          <w:szCs w:val="21"/>
        </w:rPr>
        <w:t>外币货币性项目</w:t>
      </w:r>
    </w:p>
    <w:p w14:paraId="11EE18FB" w14:textId="77777777" w:rsidR="002D0AE7" w:rsidRDefault="00333EBB">
      <w:pPr>
        <w:pStyle w:val="4"/>
        <w:numPr>
          <w:ilvl w:val="0"/>
          <w:numId w:val="70"/>
        </w:numPr>
        <w:rPr>
          <w:b w:val="0"/>
          <w:bCs w:val="0"/>
          <w:color w:val="000000" w:themeColor="text1"/>
        </w:rPr>
      </w:pPr>
      <w:r>
        <w:rPr>
          <w:rFonts w:ascii="宋体" w:hAnsi="宋体" w:hint="eastAsia"/>
          <w:color w:val="000000" w:themeColor="text1"/>
          <w:szCs w:val="21"/>
        </w:rPr>
        <w:t>外币货币性项目</w:t>
      </w:r>
    </w:p>
    <w:sdt>
      <w:sdtPr>
        <w:rPr>
          <w:color w:val="000000" w:themeColor="text1"/>
        </w:rPr>
        <w:alias w:val="是否适用：外币货币性项目[双击切换]"/>
        <w:tag w:val="_GBC_7b0870ec262840d78495babcff3639aa"/>
        <w:id w:val="1183331899"/>
        <w:placeholder>
          <w:docPart w:val="GBC22222222222222222222222222222"/>
        </w:placeholder>
      </w:sdtPr>
      <w:sdtEndPr/>
      <w:sdtContent>
        <w:p w14:paraId="76411698"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3A0CB503" w14:textId="77777777" w:rsidR="002D0AE7" w:rsidRDefault="00333EBB">
      <w:pPr>
        <w:pStyle w:val="11"/>
        <w:rPr>
          <w:rFonts w:hint="eastAsia"/>
        </w:rPr>
      </w:pPr>
      <w:r>
        <w:rPr>
          <w:rFonts w:hint="eastAsia"/>
        </w:rPr>
        <w:t>单位：</w:t>
      </w:r>
      <w:sdt>
        <w:sdtPr>
          <w:rPr>
            <w:rFonts w:hint="eastAsia"/>
          </w:rPr>
          <w:alias w:val="单位：财务附注：外币货币性项目"/>
          <w:tag w:val="_GBC_52ed5330bd884651892991446f0f1ae0"/>
          <w:id w:val="-86721603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1998"/>
        <w:gridCol w:w="2006"/>
        <w:gridCol w:w="1994"/>
      </w:tblGrid>
      <w:tr w:rsidR="002D0AE7" w14:paraId="0DD5ADF9" w14:textId="77777777">
        <w:sdt>
          <w:sdtPr>
            <w:rPr>
              <w:color w:val="000000" w:themeColor="text1"/>
              <w:sz w:val="21"/>
              <w:szCs w:val="21"/>
            </w:rPr>
            <w:tag w:val="_PLD_28ce5153e9cf4914a550a6d253e7c465"/>
            <w:id w:val="-450705915"/>
          </w:sdtPr>
          <w:sdtEndPr/>
          <w:sdtContent>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14890E3B"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295b6f310e534b62bde0e2c632482ed9"/>
            <w:id w:val="92904601"/>
          </w:sdtPr>
          <w:sdtEndPr/>
          <w:sdtContent>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68F3B49D" w14:textId="77777777" w:rsidR="002D0AE7" w:rsidRDefault="00333EBB">
                <w:pPr>
                  <w:jc w:val="center"/>
                  <w:rPr>
                    <w:rFonts w:hint="eastAsia"/>
                    <w:color w:val="000000" w:themeColor="text1"/>
                    <w:sz w:val="21"/>
                    <w:szCs w:val="21"/>
                  </w:rPr>
                </w:pPr>
                <w:r>
                  <w:rPr>
                    <w:rFonts w:hint="eastAsia"/>
                    <w:color w:val="000000" w:themeColor="text1"/>
                    <w:sz w:val="21"/>
                    <w:szCs w:val="21"/>
                  </w:rPr>
                  <w:t>期末外币余额</w:t>
                </w:r>
              </w:p>
            </w:tc>
          </w:sdtContent>
        </w:sdt>
        <w:sdt>
          <w:sdtPr>
            <w:rPr>
              <w:color w:val="000000" w:themeColor="text1"/>
              <w:sz w:val="21"/>
              <w:szCs w:val="21"/>
            </w:rPr>
            <w:tag w:val="_PLD_aa43af2545cb40668f2670b6f1569a92"/>
            <w:id w:val="-364990952"/>
          </w:sdtPr>
          <w:sdtEndPr/>
          <w:sdtContent>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6864DA4D" w14:textId="77777777" w:rsidR="002D0AE7" w:rsidRDefault="00333EBB">
                <w:pPr>
                  <w:jc w:val="center"/>
                  <w:rPr>
                    <w:rFonts w:hint="eastAsia"/>
                    <w:color w:val="000000" w:themeColor="text1"/>
                    <w:sz w:val="21"/>
                    <w:szCs w:val="21"/>
                  </w:rPr>
                </w:pPr>
                <w:r>
                  <w:rPr>
                    <w:rFonts w:hint="eastAsia"/>
                    <w:color w:val="000000" w:themeColor="text1"/>
                    <w:sz w:val="21"/>
                    <w:szCs w:val="21"/>
                  </w:rPr>
                  <w:t>折算汇率</w:t>
                </w:r>
              </w:p>
            </w:tc>
          </w:sdtContent>
        </w:sdt>
        <w:sdt>
          <w:sdtPr>
            <w:rPr>
              <w:color w:val="000000" w:themeColor="text1"/>
              <w:sz w:val="21"/>
              <w:szCs w:val="21"/>
            </w:rPr>
            <w:tag w:val="_PLD_8cdd9579b3964f01966c0b0c4cbacb2f"/>
            <w:id w:val="664978952"/>
          </w:sdtPr>
          <w:sdtEndPr/>
          <w:sdtContent>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0017B210" w14:textId="77777777" w:rsidR="002D0AE7" w:rsidRDefault="00333EBB">
                <w:pPr>
                  <w:jc w:val="center"/>
                  <w:rPr>
                    <w:rFonts w:hint="eastAsia"/>
                    <w:color w:val="000000" w:themeColor="text1"/>
                    <w:sz w:val="21"/>
                    <w:szCs w:val="21"/>
                  </w:rPr>
                </w:pPr>
                <w:r>
                  <w:rPr>
                    <w:rFonts w:hint="eastAsia"/>
                    <w:color w:val="000000" w:themeColor="text1"/>
                    <w:sz w:val="21"/>
                    <w:szCs w:val="21"/>
                  </w:rPr>
                  <w:t>期末折算人民币</w:t>
                </w:r>
              </w:p>
              <w:p w14:paraId="2816CD7B" w14:textId="77777777" w:rsidR="002D0AE7" w:rsidRDefault="00333EBB">
                <w:pPr>
                  <w:jc w:val="center"/>
                  <w:rPr>
                    <w:rFonts w:hint="eastAsia"/>
                    <w:color w:val="000000" w:themeColor="text1"/>
                    <w:sz w:val="21"/>
                    <w:szCs w:val="21"/>
                  </w:rPr>
                </w:pPr>
                <w:r>
                  <w:rPr>
                    <w:rFonts w:hint="eastAsia"/>
                    <w:color w:val="000000" w:themeColor="text1"/>
                    <w:sz w:val="21"/>
                    <w:szCs w:val="21"/>
                  </w:rPr>
                  <w:t>余额</w:t>
                </w:r>
              </w:p>
            </w:tc>
          </w:sdtContent>
        </w:sdt>
      </w:tr>
      <w:tr w:rsidR="002D0AE7" w14:paraId="1B896CA3"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597FD2BE" w14:textId="77777777" w:rsidR="002D0AE7" w:rsidRDefault="00333EBB">
            <w:pPr>
              <w:rPr>
                <w:rFonts w:hint="eastAsia"/>
                <w:color w:val="000000" w:themeColor="text1"/>
                <w:sz w:val="21"/>
                <w:szCs w:val="21"/>
              </w:rPr>
            </w:pPr>
            <w:r>
              <w:rPr>
                <w:color w:val="000000" w:themeColor="text1"/>
                <w:sz w:val="21"/>
                <w:szCs w:val="21"/>
              </w:rPr>
              <w:t>货币资金</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17C4A016"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3,547,970.85</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6D3E3665" w14:textId="77777777" w:rsidR="002D0AE7" w:rsidRDefault="002D0AE7">
            <w:pPr>
              <w:jc w:val="right"/>
              <w:rPr>
                <w:rFonts w:hint="eastAsia"/>
                <w:color w:val="000000" w:themeColor="text1"/>
                <w:sz w:val="21"/>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06B9A8B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25,066,079.43</w:t>
            </w:r>
          </w:p>
        </w:tc>
      </w:tr>
      <w:tr w:rsidR="002D0AE7" w14:paraId="2BEDF505"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021976FF" w14:textId="77777777" w:rsidR="002D0AE7" w:rsidRDefault="00333EBB">
            <w:pPr>
              <w:rPr>
                <w:rFonts w:hint="eastAsia"/>
                <w:color w:val="000000" w:themeColor="text1"/>
                <w:sz w:val="21"/>
                <w:szCs w:val="21"/>
              </w:rPr>
            </w:pPr>
            <w:r>
              <w:rPr>
                <w:rFonts w:hint="eastAsia"/>
                <w:color w:val="000000" w:themeColor="text1"/>
                <w:sz w:val="21"/>
                <w:szCs w:val="21"/>
              </w:rPr>
              <w:t>其中：</w:t>
            </w:r>
            <w:sdt>
              <w:sdtPr>
                <w:rPr>
                  <w:color w:val="000000" w:themeColor="text1"/>
                  <w:sz w:val="21"/>
                  <w:szCs w:val="21"/>
                </w:rPr>
                <w:alias w:val="以外币核算的币种明细-币种名称"/>
                <w:tag w:val="_GBC_21765b5e64364f62971250478e4ff572"/>
                <w:id w:val="1976020215"/>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rFonts w:hint="eastAsia"/>
                    <w:color w:val="000000" w:themeColor="text1"/>
                    <w:sz w:val="21"/>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25F6B69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3,502,625.53</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04C7307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7.1268</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689B613B"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24,962,511.63</w:t>
            </w:r>
          </w:p>
        </w:tc>
      </w:tr>
      <w:tr w:rsidR="002D0AE7" w14:paraId="71247963"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62DD7976" w14:textId="77777777" w:rsidR="002D0AE7" w:rsidRDefault="00333EBB">
            <w:pPr>
              <w:rPr>
                <w:rFonts w:hint="eastAsia"/>
                <w:color w:val="000000" w:themeColor="text1"/>
                <w:sz w:val="21"/>
                <w:szCs w:val="21"/>
              </w:rPr>
            </w:pPr>
            <w:r>
              <w:rPr>
                <w:sz w:val="21"/>
                <w:szCs w:val="21"/>
              </w:rPr>
              <w:t xml:space="preserve">　　　</w:t>
            </w:r>
            <w:sdt>
              <w:sdtPr>
                <w:rPr>
                  <w:color w:val="000000" w:themeColor="text1"/>
                  <w:sz w:val="21"/>
                  <w:szCs w:val="21"/>
                </w:rPr>
                <w:alias w:val="以外币核算的币种明细-币种名称"/>
                <w:tag w:val="_GBC_21765b5e64364f62971250478e4ff572"/>
                <w:id w:val="-304627105"/>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rFonts w:hint="eastAsia"/>
                    <w:color w:val="000000" w:themeColor="text1"/>
                    <w:sz w:val="21"/>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658989F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2,182.15</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687FC537"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7.6617</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08BDB70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16,718.98</w:t>
            </w:r>
          </w:p>
        </w:tc>
      </w:tr>
      <w:tr w:rsidR="002D0AE7" w14:paraId="0950124F"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1F51BAFC" w14:textId="77777777" w:rsidR="002D0AE7" w:rsidRDefault="00333EBB">
            <w:pPr>
              <w:rPr>
                <w:rFonts w:hint="eastAsia"/>
                <w:color w:val="000000" w:themeColor="text1"/>
                <w:sz w:val="21"/>
                <w:szCs w:val="21"/>
              </w:rPr>
            </w:pPr>
            <w:r>
              <w:rPr>
                <w:sz w:val="21"/>
                <w:szCs w:val="21"/>
              </w:rPr>
              <w:t xml:space="preserve">　　　</w:t>
            </w:r>
            <w:sdt>
              <w:sdtPr>
                <w:rPr>
                  <w:color w:val="000000" w:themeColor="text1"/>
                  <w:sz w:val="21"/>
                  <w:szCs w:val="21"/>
                </w:rPr>
                <w:alias w:val="以外币核算的币种明细-币种名称"/>
                <w:tag w:val="_GBC_21765b5e64364f62971250478e4ff572"/>
                <w:id w:val="474722034"/>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rFonts w:hint="eastAsia"/>
                    <w:color w:val="000000" w:themeColor="text1"/>
                    <w:sz w:val="21"/>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1D7F1E4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32,294.83</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30BA582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0.9127</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77D3898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29,474.85</w:t>
            </w:r>
          </w:p>
        </w:tc>
      </w:tr>
      <w:tr w:rsidR="002D0AE7" w14:paraId="0EB44FA8"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5FDB0364" w14:textId="77777777" w:rsidR="002D0AE7" w:rsidRDefault="00333EBB">
            <w:pPr>
              <w:rPr>
                <w:rFonts w:hint="eastAsia"/>
                <w:color w:val="000000" w:themeColor="text1"/>
                <w:sz w:val="21"/>
                <w:szCs w:val="21"/>
              </w:rPr>
            </w:pPr>
            <w:r>
              <w:rPr>
                <w:sz w:val="21"/>
                <w:szCs w:val="21"/>
              </w:rPr>
              <w:t xml:space="preserve">　　　</w:t>
            </w:r>
            <w:sdt>
              <w:sdtPr>
                <w:rPr>
                  <w:rFonts w:hint="eastAsia"/>
                  <w:color w:val="000000" w:themeColor="text1"/>
                  <w:sz w:val="21"/>
                  <w:szCs w:val="21"/>
                </w:rPr>
                <w:alias w:val="以外币核算的币种明细-币种名称"/>
                <w:tag w:val="_GBC_21765b5e64364f62971250478e4ff572"/>
                <w:id w:val="682017551"/>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rFonts w:hint="eastAsia"/>
                    <w:color w:val="000000" w:themeColor="text1"/>
                    <w:sz w:val="21"/>
                    <w:szCs w:val="21"/>
                  </w:rPr>
                  <w:t>新加坡元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701DF0F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10,868.34</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47B2F5B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5.2790</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37889B23"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57,373.97</w:t>
            </w:r>
          </w:p>
        </w:tc>
      </w:tr>
      <w:tr w:rsidR="002D0AE7" w14:paraId="2F82BC50"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36608D83" w14:textId="77777777" w:rsidR="002D0AE7" w:rsidRDefault="00333EBB">
            <w:pPr>
              <w:rPr>
                <w:rFonts w:hint="eastAsia"/>
                <w:sz w:val="21"/>
                <w:szCs w:val="21"/>
              </w:rPr>
            </w:pPr>
            <w:r>
              <w:rPr>
                <w:sz w:val="21"/>
                <w:szCs w:val="21"/>
              </w:rPr>
              <w:t>应收账款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3121BE3F"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26,568,102.13</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68C40B0" w14:textId="77777777" w:rsidR="002D0AE7" w:rsidRDefault="002D0AE7">
            <w:pPr>
              <w:jc w:val="right"/>
              <w:rPr>
                <w:rFonts w:hint="eastAsia"/>
                <w:color w:val="000000" w:themeColor="text1"/>
                <w:sz w:val="21"/>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7D9A9CE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189,483,800.25</w:t>
            </w:r>
          </w:p>
        </w:tc>
      </w:tr>
      <w:tr w:rsidR="002D0AE7" w14:paraId="4EE27C7D"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457F13EA" w14:textId="77777777" w:rsidR="002D0AE7" w:rsidRDefault="00333EBB">
            <w:pPr>
              <w:rPr>
                <w:rFonts w:hint="eastAsia"/>
                <w:color w:val="000000" w:themeColor="text1"/>
                <w:sz w:val="21"/>
                <w:szCs w:val="21"/>
              </w:rPr>
            </w:pPr>
            <w:r>
              <w:rPr>
                <w:rFonts w:hint="eastAsia"/>
                <w:color w:val="000000" w:themeColor="text1"/>
                <w:sz w:val="21"/>
                <w:szCs w:val="21"/>
              </w:rPr>
              <w:t>其中：</w:t>
            </w:r>
            <w:sdt>
              <w:sdtPr>
                <w:rPr>
                  <w:sz w:val="21"/>
                  <w:szCs w:val="21"/>
                </w:rPr>
                <w:alias w:val="以外币核算的币种明细-币种名称"/>
                <w:tag w:val="_GBC_21765b5e64364f62971250478e4ff572"/>
                <w:id w:val="-682273968"/>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rFonts w:hint="eastAsia"/>
                    <w:sz w:val="21"/>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372BE37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26,309,642.63</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29C1C51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7.1268</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09B3B990"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187,503,561.10</w:t>
            </w:r>
          </w:p>
        </w:tc>
      </w:tr>
      <w:tr w:rsidR="002D0AE7" w14:paraId="3260C863"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61CEA392" w14:textId="77777777" w:rsidR="002D0AE7" w:rsidRDefault="00333EBB">
            <w:pPr>
              <w:rPr>
                <w:rFonts w:hint="eastAsia"/>
                <w:color w:val="000000" w:themeColor="text1"/>
                <w:sz w:val="21"/>
                <w:szCs w:val="21"/>
              </w:rPr>
            </w:pPr>
            <w:r>
              <w:rPr>
                <w:sz w:val="21"/>
                <w:szCs w:val="21"/>
              </w:rPr>
              <w:t xml:space="preserve">　　　</w:t>
            </w:r>
            <w:sdt>
              <w:sdtPr>
                <w:rPr>
                  <w:sz w:val="21"/>
                  <w:szCs w:val="21"/>
                </w:rPr>
                <w:alias w:val="以外币核算的币种明细-币种名称"/>
                <w:tag w:val="_GBC_21765b5e64364f62971250478e4ff572"/>
                <w:id w:val="1811049373"/>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rFonts w:hint="eastAsia"/>
                    <w:sz w:val="21"/>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4F6601E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258,459.50</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17643AB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7.6617</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7B2E182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1,980,239.15</w:t>
            </w:r>
          </w:p>
        </w:tc>
      </w:tr>
      <w:tr w:rsidR="002D0AE7" w14:paraId="22608267"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45F45781" w14:textId="77777777" w:rsidR="002D0AE7" w:rsidRDefault="00333EBB">
            <w:pPr>
              <w:rPr>
                <w:rFonts w:hint="eastAsia"/>
                <w:sz w:val="21"/>
                <w:szCs w:val="21"/>
              </w:rPr>
            </w:pPr>
            <w:r>
              <w:rPr>
                <w:rFonts w:hint="eastAsia"/>
                <w:sz w:val="21"/>
                <w:szCs w:val="21"/>
              </w:rPr>
              <w:t>其他应收款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49CDCC06"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5,617.31</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718EC0D" w14:textId="77777777" w:rsidR="002D0AE7" w:rsidRDefault="002D0AE7">
            <w:pPr>
              <w:jc w:val="right"/>
              <w:rPr>
                <w:rFonts w:hint="eastAsia"/>
                <w:color w:val="000000" w:themeColor="text1"/>
                <w:sz w:val="21"/>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1224A1D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40,033.44</w:t>
            </w:r>
          </w:p>
        </w:tc>
      </w:tr>
      <w:tr w:rsidR="002D0AE7" w14:paraId="47C0BC40"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6B777B16" w14:textId="77777777" w:rsidR="002D0AE7" w:rsidRDefault="00333EBB">
            <w:pPr>
              <w:rPr>
                <w:rFonts w:hint="eastAsia"/>
                <w:color w:val="000000" w:themeColor="text1"/>
                <w:sz w:val="21"/>
                <w:szCs w:val="21"/>
              </w:rPr>
            </w:pPr>
            <w:r>
              <w:rPr>
                <w:rFonts w:hint="eastAsia"/>
                <w:color w:val="000000" w:themeColor="text1"/>
                <w:sz w:val="21"/>
                <w:szCs w:val="21"/>
              </w:rPr>
              <w:t>其中：</w:t>
            </w:r>
            <w:sdt>
              <w:sdtPr>
                <w:rPr>
                  <w:color w:val="000000" w:themeColor="text1"/>
                  <w:sz w:val="21"/>
                  <w:szCs w:val="21"/>
                </w:rPr>
                <w:alias w:val="以外币核算的币种明细-币种名称"/>
                <w:tag w:val="_GBC_21765b5e64364f62971250478e4ff572"/>
                <w:id w:val="-419870598"/>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rFonts w:hint="eastAsia"/>
                    <w:color w:val="000000" w:themeColor="text1"/>
                    <w:sz w:val="21"/>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61B9FABE"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5,617.31</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36D53FB0"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7.1268</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2DF915A9"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40,033.44</w:t>
            </w:r>
          </w:p>
        </w:tc>
      </w:tr>
      <w:tr w:rsidR="002D0AE7" w14:paraId="6B383901"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4802C482" w14:textId="77777777" w:rsidR="002D0AE7" w:rsidRDefault="00333EBB">
            <w:pPr>
              <w:rPr>
                <w:rFonts w:hint="eastAsia"/>
                <w:sz w:val="21"/>
                <w:szCs w:val="21"/>
              </w:rPr>
            </w:pPr>
            <w:r>
              <w:rPr>
                <w:rFonts w:hint="eastAsia"/>
                <w:sz w:val="21"/>
                <w:szCs w:val="21"/>
              </w:rPr>
              <w:t>其他应付款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2D39803A"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1,351,414.39</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11F8F21C" w14:textId="77777777" w:rsidR="002D0AE7" w:rsidRDefault="002D0AE7">
            <w:pPr>
              <w:jc w:val="right"/>
              <w:rPr>
                <w:rFonts w:ascii="Times New Roman" w:hAnsi="Times New Roman" w:cs="Times New Roman"/>
                <w:color w:val="000000" w:themeColor="text1"/>
                <w:sz w:val="21"/>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166CE92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9,631,260.07</w:t>
            </w:r>
          </w:p>
        </w:tc>
      </w:tr>
      <w:tr w:rsidR="002D0AE7" w14:paraId="6943B42C" w14:textId="77777777">
        <w:tc>
          <w:tcPr>
            <w:tcW w:w="1601" w:type="pct"/>
            <w:tcBorders>
              <w:top w:val="single" w:sz="4" w:space="0" w:color="auto"/>
              <w:left w:val="single" w:sz="4" w:space="0" w:color="auto"/>
              <w:bottom w:val="single" w:sz="4" w:space="0" w:color="auto"/>
              <w:right w:val="single" w:sz="4" w:space="0" w:color="auto"/>
            </w:tcBorders>
            <w:shd w:val="clear" w:color="auto" w:fill="auto"/>
          </w:tcPr>
          <w:p w14:paraId="66EFC708" w14:textId="77777777" w:rsidR="002D0AE7" w:rsidRDefault="00333EBB">
            <w:pPr>
              <w:rPr>
                <w:rFonts w:hint="eastAsia"/>
                <w:color w:val="000000" w:themeColor="text1"/>
                <w:sz w:val="21"/>
                <w:szCs w:val="21"/>
              </w:rPr>
            </w:pPr>
            <w:r>
              <w:rPr>
                <w:rFonts w:hint="eastAsia"/>
                <w:color w:val="000000" w:themeColor="text1"/>
                <w:sz w:val="21"/>
                <w:szCs w:val="21"/>
              </w:rPr>
              <w:t>其中：</w:t>
            </w:r>
            <w:sdt>
              <w:sdtPr>
                <w:rPr>
                  <w:sz w:val="21"/>
                  <w:szCs w:val="21"/>
                </w:rPr>
                <w:alias w:val="以外币核算的币种明细-币种名称"/>
                <w:tag w:val="_GBC_21765b5e64364f62971250478e4ff572"/>
                <w:id w:val="1523513626"/>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rFonts w:hint="eastAsia"/>
                    <w:sz w:val="21"/>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17B37ED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1,351,414.39</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C16888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7.1268</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67815FC3"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9,631,260.07</w:t>
            </w:r>
          </w:p>
        </w:tc>
      </w:tr>
    </w:tbl>
    <w:p w14:paraId="6563F13F" w14:textId="77777777" w:rsidR="002D0AE7" w:rsidRDefault="00333EBB">
      <w:pPr>
        <w:spacing w:before="60" w:after="60"/>
        <w:rPr>
          <w:rFonts w:hint="eastAsia"/>
          <w:color w:val="000000" w:themeColor="text1"/>
        </w:rPr>
      </w:pPr>
      <w:r>
        <w:rPr>
          <w:rFonts w:hint="eastAsia"/>
          <w:color w:val="000000" w:themeColor="text1"/>
        </w:rPr>
        <w:t>其他说明：</w:t>
      </w:r>
      <w:sdt>
        <w:sdtPr>
          <w:rPr>
            <w:color w:val="000000" w:themeColor="text1"/>
          </w:rPr>
          <w:alias w:val="外币货币性项目的其他说明"/>
          <w:tag w:val="_GBC_a16b850d98e24762adbee5a1d5628893"/>
          <w:id w:val="1662889966"/>
          <w:placeholder>
            <w:docPart w:val="GBC22222222222222222222222222222"/>
          </w:placeholder>
        </w:sdtPr>
        <w:sdtEndPr/>
        <w:sdtContent>
          <w:r>
            <w:rPr>
              <w:rFonts w:hint="eastAsia"/>
              <w:color w:val="000000" w:themeColor="text1"/>
            </w:rPr>
            <w:t>无</w:t>
          </w:r>
        </w:sdtContent>
      </w:sdt>
    </w:p>
    <w:p w14:paraId="462AE1FE" w14:textId="77777777" w:rsidR="002D0AE7" w:rsidRDefault="00333EBB">
      <w:pPr>
        <w:pStyle w:val="4"/>
        <w:numPr>
          <w:ilvl w:val="0"/>
          <w:numId w:val="70"/>
        </w:numPr>
        <w:ind w:left="0" w:firstLine="0"/>
        <w:rPr>
          <w:rFonts w:ascii="宋体" w:hAnsi="宋体" w:hint="eastAsia"/>
          <w:b w:val="0"/>
          <w:color w:val="000000" w:themeColor="text1"/>
          <w:szCs w:val="21"/>
        </w:rPr>
      </w:pPr>
      <w:r>
        <w:rPr>
          <w:rFonts w:ascii="宋体" w:hAnsi="宋体" w:hint="eastAsia"/>
          <w:color w:val="000000" w:themeColor="text1"/>
          <w:szCs w:val="21"/>
        </w:rPr>
        <w:t>境外经营实体说明，包括对于重要的境外经营实体，应披露其境外主要经营地、记账本位币及选择依据，记账本位币发生变化的还应披露原因</w:t>
      </w:r>
    </w:p>
    <w:p w14:paraId="762C9A86" w14:textId="77777777" w:rsidR="002D0AE7" w:rsidRDefault="00333EBB">
      <w:pPr>
        <w:rPr>
          <w:rFonts w:hint="eastAsia"/>
          <w:color w:val="000000" w:themeColor="text1"/>
        </w:rPr>
      </w:pPr>
      <w:sdt>
        <w:sdtPr>
          <w:rPr>
            <w:color w:val="000000" w:themeColor="text1"/>
          </w:rPr>
          <w:alias w:val="是否适用：境外经营实体主要报表项目的折算汇率[双击切换]"/>
          <w:tag w:val="_GBC_4ad16f5c306d4c6ead144dfd007fb925"/>
          <w:id w:val="-1810006239"/>
          <w:placeholder>
            <w:docPart w:val="GBC22222222222222222222222222222"/>
          </w:placeholder>
        </w:sdtPr>
        <w:sdtEndPr/>
        <w:sdtContent>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sdtContent>
      </w:sdt>
    </w:p>
    <w:sdt>
      <w:sdtPr>
        <w:rPr>
          <w:color w:val="000000" w:themeColor="text1"/>
        </w:rPr>
        <w:alias w:val="境外经营实体主要报表项目的折算汇率"/>
        <w:tag w:val="_GBC_4148864437ea4c5bb9934a188232a73c"/>
        <w:id w:val="1584799442"/>
        <w:placeholder>
          <w:docPart w:val="GBC22222222222222222222222222222"/>
        </w:placeholder>
      </w:sdtPr>
      <w:sdtEndPr>
        <w:rPr>
          <w:sz w:val="21"/>
          <w:szCs w:val="21"/>
        </w:rPr>
      </w:sdtEndPr>
      <w:sdtContent>
        <w:p w14:paraId="2830EAEF" w14:textId="77777777" w:rsidR="002D0AE7" w:rsidRDefault="00333EBB">
          <w:pPr>
            <w:ind w:firstLineChars="200" w:firstLine="480"/>
            <w:rPr>
              <w:rFonts w:hint="eastAsia"/>
              <w:color w:val="000000" w:themeColor="text1"/>
              <w:sz w:val="21"/>
              <w:szCs w:val="21"/>
            </w:rPr>
          </w:pPr>
          <w:r>
            <w:rPr>
              <w:rFonts w:hint="eastAsia"/>
              <w:color w:val="000000" w:themeColor="text1"/>
              <w:sz w:val="21"/>
              <w:szCs w:val="21"/>
            </w:rPr>
            <w:t>子公司美国大圣贸易技术开发有限公司于</w:t>
          </w:r>
          <w:r>
            <w:rPr>
              <w:color w:val="000000" w:themeColor="text1"/>
              <w:sz w:val="21"/>
              <w:szCs w:val="21"/>
            </w:rPr>
            <w:t>1995</w:t>
          </w:r>
          <w:r>
            <w:rPr>
              <w:color w:val="000000" w:themeColor="text1"/>
              <w:sz w:val="21"/>
              <w:szCs w:val="21"/>
            </w:rPr>
            <w:t>年在美国注册成立，主要经营地为美国，其主营业务均以美元作为交易货币，在美国当地发生费用也均以美元支出，所以采用美元作为记账本位币且本期记账本位币未发生变化。津药药业（新加坡）有限公司于</w:t>
          </w:r>
          <w:r>
            <w:rPr>
              <w:color w:val="000000" w:themeColor="text1"/>
              <w:sz w:val="21"/>
              <w:szCs w:val="21"/>
            </w:rPr>
            <w:t>2008</w:t>
          </w:r>
          <w:r>
            <w:rPr>
              <w:color w:val="000000" w:themeColor="text1"/>
              <w:sz w:val="21"/>
              <w:szCs w:val="21"/>
            </w:rPr>
            <w:t>年在新加坡注册成立，主要经营地为新加坡，其主营业务均以美元作为交易货币，涉及金额大、市场的可比性强，虽然公司日常支出以新加坡元为主，但金额小，且新加坡作为自由贸易港对公司记账本位币没有固定要求，所以公司选用美元作为记账本位币且本期记账本位币未发生变化。</w:t>
          </w:r>
        </w:p>
      </w:sdtContent>
    </w:sdt>
    <w:p w14:paraId="77B1AE29" w14:textId="77777777" w:rsidR="002D0AE7" w:rsidRDefault="00333EBB">
      <w:pPr>
        <w:pStyle w:val="3"/>
        <w:numPr>
          <w:ilvl w:val="0"/>
          <w:numId w:val="43"/>
        </w:numPr>
        <w:tabs>
          <w:tab w:val="left" w:pos="504"/>
        </w:tabs>
        <w:ind w:left="450" w:hanging="450"/>
        <w:rPr>
          <w:rFonts w:ascii="宋体" w:hAnsi="宋体" w:hint="eastAsia"/>
          <w:color w:val="000000" w:themeColor="text1"/>
          <w:szCs w:val="21"/>
        </w:rPr>
      </w:pPr>
      <w:bookmarkStart w:id="224" w:name="_Hlk167971524"/>
      <w:bookmarkEnd w:id="223"/>
      <w:r>
        <w:rPr>
          <w:rFonts w:ascii="宋体" w:hAnsi="宋体" w:hint="eastAsia"/>
          <w:color w:val="000000" w:themeColor="text1"/>
          <w:szCs w:val="21"/>
        </w:rPr>
        <w:t>租赁</w:t>
      </w:r>
    </w:p>
    <w:p w14:paraId="767344D7" w14:textId="77777777" w:rsidR="002D0AE7" w:rsidRDefault="00333EBB">
      <w:pPr>
        <w:pStyle w:val="4"/>
        <w:numPr>
          <w:ilvl w:val="0"/>
          <w:numId w:val="71"/>
        </w:numPr>
        <w:ind w:left="0" w:firstLine="0"/>
        <w:rPr>
          <w:color w:val="000000" w:themeColor="text1"/>
        </w:rPr>
      </w:pPr>
      <w:r>
        <w:rPr>
          <w:color w:val="000000" w:themeColor="text1"/>
        </w:rPr>
        <w:t>作为承租人</w:t>
      </w:r>
    </w:p>
    <w:sdt>
      <w:sdtPr>
        <w:rPr>
          <w:color w:val="000000" w:themeColor="text1"/>
        </w:rPr>
        <w:alias w:val="是否适用：作为承租人[双击切换]"/>
        <w:tag w:val="_GBC_1a127bd18c664ed8bca6a513c43f1fa2"/>
        <w:id w:val="-1405285439"/>
        <w:lock w:val="contentLocked"/>
        <w:placeholder>
          <w:docPart w:val="GBC22222222222222222222222222222"/>
        </w:placeholder>
      </w:sdtPr>
      <w:sdtEndPr/>
      <w:sdtContent>
        <w:p w14:paraId="3F24E650"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□不适用</w:instrText>
          </w:r>
          <w:r>
            <w:rPr>
              <w:rFonts w:hint="eastAsia"/>
              <w:color w:val="000000" w:themeColor="text1"/>
            </w:rPr>
            <w:instrText xml:space="preserve"> </w:instrText>
          </w:r>
          <w:r>
            <w:rPr>
              <w:color w:val="000000" w:themeColor="text1"/>
            </w:rPr>
            <w:fldChar w:fldCharType="end"/>
          </w:r>
        </w:p>
      </w:sdtContent>
    </w:sdt>
    <w:p w14:paraId="05A46ECC" w14:textId="77777777" w:rsidR="002D0AE7" w:rsidRDefault="00333EBB">
      <w:pPr>
        <w:rPr>
          <w:rFonts w:hint="eastAsia"/>
          <w:color w:val="000000" w:themeColor="text1"/>
        </w:rPr>
      </w:pPr>
      <w:r>
        <w:rPr>
          <w:rFonts w:hint="eastAsia"/>
          <w:color w:val="000000" w:themeColor="text1"/>
        </w:rPr>
        <w:t>简化处理的短期租赁或低价值资产的租赁费用</w:t>
      </w:r>
    </w:p>
    <w:sdt>
      <w:sdtPr>
        <w:rPr>
          <w:color w:val="000000" w:themeColor="text1"/>
        </w:rPr>
        <w:alias w:val="是否适用：简化处理的短期租赁或低价值资产的租赁费用[双击切换]"/>
        <w:tag w:val="_GBC_f3c273f8bb6d4e099c00c1591f5a5a4f"/>
        <w:id w:val="-1991159545"/>
        <w:placeholder>
          <w:docPart w:val="8A69885AB3B04EA4B7B058ACE188D1D1"/>
        </w:placeholder>
      </w:sdtPr>
      <w:sdtEndPr/>
      <w:sdtContent>
        <w:p w14:paraId="103B3286"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sz w:val="21"/>
          <w:szCs w:val="21"/>
        </w:rPr>
        <w:alias w:val="简化处理的短期租赁或低价值资产的租赁费用"/>
        <w:tag w:val="_GBC_36bcbd6cb13f43938e3736b9a975fb9b"/>
        <w:id w:val="-593549532"/>
        <w:placeholder>
          <w:docPart w:val="8A69885AB3B04EA4B7B058ACE188D1D1"/>
        </w:placeholder>
      </w:sdtPr>
      <w:sdtEndPr/>
      <w:sdtContent>
        <w:p w14:paraId="4A0DEAD0" w14:textId="77777777" w:rsidR="002D0AE7" w:rsidRDefault="00333EBB">
          <w:pPr>
            <w:rPr>
              <w:rFonts w:hint="eastAsia"/>
              <w:color w:val="000000" w:themeColor="text1"/>
              <w:sz w:val="21"/>
              <w:szCs w:val="21"/>
            </w:rPr>
          </w:pPr>
          <w:r>
            <w:rPr>
              <w:rFonts w:hint="eastAsia"/>
              <w:color w:val="000000" w:themeColor="text1"/>
              <w:sz w:val="21"/>
              <w:szCs w:val="21"/>
            </w:rPr>
            <w:t>简化处理的短期租赁或低价值资产的租赁费用</w:t>
          </w:r>
          <w:r>
            <w:rPr>
              <w:rFonts w:ascii="Times New Roman" w:hAnsi="Times New Roman" w:cs="Times New Roman"/>
              <w:color w:val="000000" w:themeColor="text1"/>
              <w:sz w:val="21"/>
              <w:szCs w:val="21"/>
            </w:rPr>
            <w:t>4,788,844.55</w:t>
          </w:r>
          <w:r>
            <w:rPr>
              <w:rFonts w:hint="eastAsia"/>
              <w:color w:val="000000" w:themeColor="text1"/>
              <w:sz w:val="21"/>
              <w:szCs w:val="21"/>
            </w:rPr>
            <w:t>元</w:t>
          </w:r>
        </w:p>
      </w:sdtContent>
    </w:sdt>
    <w:p w14:paraId="12F606E1" w14:textId="77777777" w:rsidR="002D0AE7" w:rsidRDefault="00333EBB">
      <w:pPr>
        <w:rPr>
          <w:rFonts w:hint="eastAsia"/>
          <w:sz w:val="21"/>
          <w:szCs w:val="21"/>
        </w:rPr>
      </w:pPr>
      <w:r>
        <w:rPr>
          <w:rFonts w:hint="eastAsia"/>
          <w:color w:val="000000" w:themeColor="text1"/>
          <w:sz w:val="21"/>
          <w:szCs w:val="21"/>
        </w:rPr>
        <w:t>与租赁相关的现金流出总额</w:t>
      </w:r>
      <w:sdt>
        <w:sdtPr>
          <w:rPr>
            <w:rFonts w:hint="eastAsia"/>
            <w:color w:val="000000" w:themeColor="text1"/>
            <w:sz w:val="21"/>
            <w:szCs w:val="21"/>
          </w:rPr>
          <w:alias w:val="与租赁相关的现金流出总额"/>
          <w:tag w:val="_GBC_d78e0355036a45b9afc0eca5988d4956"/>
          <w:id w:val="1438724584"/>
          <w:placeholder>
            <w:docPart w:val="8A69885AB3B04EA4B7B058ACE188D1D1"/>
          </w:placeholder>
        </w:sdtPr>
        <w:sdtEndPr/>
        <w:sdtContent>
          <w:r>
            <w:rPr>
              <w:rFonts w:ascii="Times New Roman" w:hAnsi="Times New Roman" w:cs="Times New Roman"/>
              <w:color w:val="000000" w:themeColor="text1"/>
              <w:sz w:val="21"/>
              <w:szCs w:val="21"/>
            </w:rPr>
            <w:t>5,254,201.26</w:t>
          </w:r>
        </w:sdtContent>
      </w:sdt>
      <w:r>
        <w:rPr>
          <w:rFonts w:hint="eastAsia"/>
          <w:color w:val="000000" w:themeColor="text1"/>
          <w:sz w:val="21"/>
          <w:szCs w:val="21"/>
        </w:rPr>
        <w:t>(</w:t>
      </w:r>
      <w:r>
        <w:rPr>
          <w:rFonts w:hint="eastAsia"/>
          <w:color w:val="000000" w:themeColor="text1"/>
          <w:sz w:val="21"/>
          <w:szCs w:val="21"/>
        </w:rPr>
        <w:t>单位：</w:t>
      </w:r>
      <w:sdt>
        <w:sdtPr>
          <w:rPr>
            <w:rFonts w:hint="eastAsia"/>
            <w:color w:val="000000" w:themeColor="text1"/>
            <w:sz w:val="21"/>
            <w:szCs w:val="21"/>
          </w:rPr>
          <w:alias w:val="单位：与租赁相关的现金流出总额"/>
          <w:tag w:val="_GBC_57a12ad185f640248e4c9dce377f5f57"/>
          <w:id w:val="-434668946"/>
          <w:placeholder>
            <w:docPart w:val="8A69885AB3B04EA4B7B058ACE188D1D1"/>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sz w:val="21"/>
              <w:szCs w:val="21"/>
            </w:rPr>
            <w:t>元</w:t>
          </w:r>
        </w:sdtContent>
      </w:sdt>
      <w:r>
        <w:rPr>
          <w:rFonts w:hint="eastAsia"/>
          <w:color w:val="000000" w:themeColor="text1"/>
          <w:sz w:val="21"/>
          <w:szCs w:val="21"/>
        </w:rPr>
        <w:t>币种：</w:t>
      </w:r>
      <w:sdt>
        <w:sdtPr>
          <w:rPr>
            <w:rFonts w:hint="eastAsia"/>
            <w:color w:val="000000" w:themeColor="text1"/>
            <w:sz w:val="21"/>
            <w:szCs w:val="21"/>
          </w:rPr>
          <w:alias w:val="币种：与租赁相关的现金流出总额"/>
          <w:tag w:val="_GBC_a5553fa6fd6f4fefa66550584159c745"/>
          <w:id w:val="787930300"/>
          <w:placeholder>
            <w:docPart w:val="8A69885AB3B04EA4B7B058ACE188D1D1"/>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sz w:val="21"/>
              <w:szCs w:val="21"/>
            </w:rPr>
            <w:t>人民币</w:t>
          </w:r>
        </w:sdtContent>
      </w:sdt>
      <w:r>
        <w:rPr>
          <w:rFonts w:hint="eastAsia"/>
          <w:color w:val="000000" w:themeColor="text1"/>
          <w:sz w:val="21"/>
          <w:szCs w:val="21"/>
        </w:rPr>
        <w:t>)</w:t>
      </w:r>
    </w:p>
    <w:p w14:paraId="0372AD00" w14:textId="77777777" w:rsidR="002D0AE7" w:rsidRDefault="002D0AE7">
      <w:pPr>
        <w:rPr>
          <w:rFonts w:hint="eastAsia"/>
          <w:color w:val="000000" w:themeColor="text1"/>
          <w:sz w:val="21"/>
        </w:rPr>
      </w:pPr>
    </w:p>
    <w:p w14:paraId="61638282" w14:textId="77777777" w:rsidR="002D0AE7" w:rsidRDefault="00333EBB">
      <w:pPr>
        <w:pStyle w:val="4"/>
        <w:numPr>
          <w:ilvl w:val="0"/>
          <w:numId w:val="71"/>
        </w:numPr>
        <w:ind w:left="0" w:firstLine="0"/>
        <w:rPr>
          <w:color w:val="000000" w:themeColor="text1"/>
        </w:rPr>
      </w:pPr>
      <w:r>
        <w:rPr>
          <w:color w:val="000000" w:themeColor="text1"/>
        </w:rPr>
        <w:t>作为出租人</w:t>
      </w:r>
    </w:p>
    <w:p w14:paraId="4192A731" w14:textId="77777777" w:rsidR="002D0AE7" w:rsidRDefault="00333EBB">
      <w:pPr>
        <w:rPr>
          <w:rFonts w:hint="eastAsia"/>
          <w:color w:val="000000" w:themeColor="text1"/>
          <w:sz w:val="21"/>
        </w:rPr>
      </w:pPr>
      <w:r>
        <w:rPr>
          <w:color w:val="000000" w:themeColor="text1"/>
          <w:sz w:val="21"/>
        </w:rPr>
        <w:t>作为出租人的经营</w:t>
      </w:r>
      <w:r>
        <w:rPr>
          <w:rFonts w:hint="eastAsia"/>
          <w:color w:val="000000" w:themeColor="text1"/>
          <w:sz w:val="21"/>
        </w:rPr>
        <w:t>租赁</w:t>
      </w:r>
    </w:p>
    <w:sdt>
      <w:sdtPr>
        <w:rPr>
          <w:rFonts w:hint="eastAsia"/>
          <w:color w:val="000000" w:themeColor="text1"/>
          <w:sz w:val="21"/>
        </w:rPr>
        <w:alias w:val="是否适用：作为出租人的经营租赁[双击切换]"/>
        <w:tag w:val="_GBC_8caa55cbe72d4d8cacd2b07a9782c9d1"/>
        <w:id w:val="-2028316413"/>
        <w:placeholder>
          <w:docPart w:val="GBC22222222222222222222222222222"/>
        </w:placeholder>
      </w:sdtPr>
      <w:sdtEndPr/>
      <w:sdtContent>
        <w:p w14:paraId="3224E735" w14:textId="77777777" w:rsidR="002D0AE7" w:rsidRDefault="00333EBB">
          <w:pPr>
            <w:rPr>
              <w:rFonts w:hint="eastAsia"/>
              <w:color w:val="000000" w:themeColor="text1"/>
              <w:sz w:val="21"/>
            </w:rPr>
          </w:pPr>
          <w:r>
            <w:rPr>
              <w:color w:val="000000" w:themeColor="text1"/>
              <w:sz w:val="21"/>
            </w:rPr>
            <w:fldChar w:fldCharType="begin"/>
          </w:r>
          <w:r>
            <w:rPr>
              <w:color w:val="000000" w:themeColor="text1"/>
              <w:sz w:val="21"/>
            </w:rPr>
            <w:instrText xml:space="preserve"> </w:instrText>
          </w:r>
          <w:r>
            <w:rPr>
              <w:rFonts w:hint="eastAsia"/>
              <w:color w:val="000000" w:themeColor="text1"/>
              <w:sz w:val="21"/>
            </w:rPr>
            <w:instrText xml:space="preserve">MACROBUTTON  SnrToggleCheckbox </w:instrText>
          </w:r>
          <w:r>
            <w:rPr>
              <w:rFonts w:hint="eastAsia"/>
              <w:color w:val="000000" w:themeColor="text1"/>
              <w:sz w:val="21"/>
            </w:rPr>
            <w:instrText>√适用</w:instrText>
          </w:r>
          <w:r>
            <w:rPr>
              <w:color w:val="000000" w:themeColor="text1"/>
              <w:sz w:val="21"/>
            </w:rPr>
            <w:instrText xml:space="preserve"> </w:instrText>
          </w:r>
          <w:r>
            <w:rPr>
              <w:color w:val="000000" w:themeColor="text1"/>
              <w:sz w:val="21"/>
            </w:rPr>
            <w:fldChar w:fldCharType="end"/>
          </w:r>
          <w:r>
            <w:rPr>
              <w:color w:val="000000" w:themeColor="text1"/>
              <w:sz w:val="21"/>
            </w:rPr>
            <w:fldChar w:fldCharType="begin"/>
          </w:r>
          <w:r>
            <w:rPr>
              <w:color w:val="000000" w:themeColor="text1"/>
              <w:sz w:val="21"/>
            </w:rPr>
            <w:instrText xml:space="preserve"> MACROBUTTON  SnrToggleCheckbox □</w:instrText>
          </w:r>
          <w:r>
            <w:rPr>
              <w:color w:val="000000" w:themeColor="text1"/>
              <w:sz w:val="21"/>
            </w:rPr>
            <w:instrText>不适用</w:instrText>
          </w:r>
          <w:r>
            <w:rPr>
              <w:color w:val="000000" w:themeColor="text1"/>
              <w:sz w:val="21"/>
            </w:rPr>
            <w:instrText xml:space="preserve"> </w:instrText>
          </w:r>
          <w:r>
            <w:rPr>
              <w:color w:val="000000" w:themeColor="text1"/>
              <w:sz w:val="21"/>
            </w:rPr>
            <w:fldChar w:fldCharType="end"/>
          </w:r>
        </w:p>
      </w:sdtContent>
    </w:sdt>
    <w:p w14:paraId="4CC69F04" w14:textId="77777777" w:rsidR="002D0AE7" w:rsidRDefault="00333EBB">
      <w:pPr>
        <w:jc w:val="right"/>
        <w:rPr>
          <w:rFonts w:hint="eastAsia"/>
          <w:color w:val="000000" w:themeColor="text1"/>
          <w:sz w:val="21"/>
        </w:rPr>
      </w:pPr>
      <w:r>
        <w:rPr>
          <w:rFonts w:hint="eastAsia"/>
          <w:color w:val="000000" w:themeColor="text1"/>
          <w:sz w:val="21"/>
        </w:rPr>
        <w:t>单位：</w:t>
      </w:r>
      <w:sdt>
        <w:sdtPr>
          <w:rPr>
            <w:rFonts w:hint="eastAsia"/>
            <w:color w:val="000000" w:themeColor="text1"/>
            <w:sz w:val="21"/>
          </w:rPr>
          <w:alias w:val="单位：作为出租人的经营租赁"/>
          <w:tag w:val="_GBC_de6eb571fbe04adb9912546313da8056"/>
          <w:id w:val="553897351"/>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sz w:val="21"/>
            </w:rPr>
            <w:t>元</w:t>
          </w:r>
        </w:sdtContent>
      </w:sdt>
      <w:r>
        <w:rPr>
          <w:rFonts w:hint="eastAsia"/>
          <w:color w:val="000000" w:themeColor="text1"/>
          <w:sz w:val="21"/>
        </w:rPr>
        <w:t>币种：</w:t>
      </w:r>
      <w:sdt>
        <w:sdtPr>
          <w:rPr>
            <w:rFonts w:hint="eastAsia"/>
            <w:color w:val="000000" w:themeColor="text1"/>
            <w:sz w:val="21"/>
          </w:rPr>
          <w:alias w:val="币种：作为出租人的经营租赁"/>
          <w:tag w:val="_GBC_3b9dbcc6234241c6ad9c2cb82be0f4e6"/>
          <w:id w:val="71686058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sz w:val="21"/>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2938"/>
        <w:gridCol w:w="2938"/>
      </w:tblGrid>
      <w:tr w:rsidR="002D0AE7" w14:paraId="57526296" w14:textId="77777777">
        <w:sdt>
          <w:sdtPr>
            <w:rPr>
              <w:rFonts w:hint="eastAsia"/>
              <w:color w:val="000000" w:themeColor="text1"/>
              <w:sz w:val="21"/>
            </w:rPr>
            <w:tag w:val="_PLD_592ea8def48e4d70a449933471ee6d8a"/>
            <w:id w:val="80881248"/>
          </w:sdtPr>
          <w:sdtEndPr/>
          <w:sdtContent>
            <w:tc>
              <w:tcPr>
                <w:tcW w:w="1666" w:type="pct"/>
                <w:shd w:val="clear" w:color="auto" w:fill="auto"/>
                <w:vAlign w:val="center"/>
              </w:tcPr>
              <w:p w14:paraId="7ACF3038" w14:textId="77777777" w:rsidR="002D0AE7" w:rsidRDefault="00333EBB">
                <w:pPr>
                  <w:jc w:val="center"/>
                  <w:rPr>
                    <w:rFonts w:hint="eastAsia"/>
                    <w:color w:val="000000" w:themeColor="text1"/>
                    <w:sz w:val="21"/>
                  </w:rPr>
                </w:pPr>
                <w:r>
                  <w:rPr>
                    <w:rFonts w:hint="eastAsia"/>
                    <w:color w:val="000000" w:themeColor="text1"/>
                    <w:sz w:val="21"/>
                  </w:rPr>
                  <w:t>项目</w:t>
                </w:r>
              </w:p>
            </w:tc>
          </w:sdtContent>
        </w:sdt>
        <w:sdt>
          <w:sdtPr>
            <w:rPr>
              <w:color w:val="000000" w:themeColor="text1"/>
              <w:sz w:val="21"/>
            </w:rPr>
            <w:tag w:val="_PLD_fb99ae08176e462e8f93a77b1a3bf67d"/>
            <w:id w:val="-2125539428"/>
          </w:sdtPr>
          <w:sdtEndPr/>
          <w:sdtContent>
            <w:tc>
              <w:tcPr>
                <w:tcW w:w="1667" w:type="pct"/>
                <w:shd w:val="clear" w:color="auto" w:fill="auto"/>
                <w:vAlign w:val="center"/>
              </w:tcPr>
              <w:p w14:paraId="7979D764" w14:textId="77777777" w:rsidR="002D0AE7" w:rsidRDefault="00333EBB">
                <w:pPr>
                  <w:jc w:val="center"/>
                  <w:rPr>
                    <w:rFonts w:hint="eastAsia"/>
                    <w:color w:val="000000" w:themeColor="text1"/>
                    <w:sz w:val="21"/>
                  </w:rPr>
                </w:pPr>
                <w:r>
                  <w:rPr>
                    <w:color w:val="000000" w:themeColor="text1"/>
                    <w:sz w:val="21"/>
                  </w:rPr>
                  <w:t>租赁收入</w:t>
                </w:r>
              </w:p>
            </w:tc>
          </w:sdtContent>
        </w:sdt>
        <w:sdt>
          <w:sdtPr>
            <w:rPr>
              <w:color w:val="000000" w:themeColor="text1"/>
              <w:sz w:val="21"/>
            </w:rPr>
            <w:tag w:val="_PLD_b7054994bc594c33a61db80ee6e9bd3d"/>
            <w:id w:val="-321741962"/>
          </w:sdtPr>
          <w:sdtEndPr/>
          <w:sdtContent>
            <w:tc>
              <w:tcPr>
                <w:tcW w:w="1667" w:type="pct"/>
                <w:shd w:val="clear" w:color="auto" w:fill="auto"/>
                <w:vAlign w:val="center"/>
              </w:tcPr>
              <w:p w14:paraId="52490BB1" w14:textId="77777777" w:rsidR="002D0AE7" w:rsidRDefault="00333EBB">
                <w:pPr>
                  <w:jc w:val="center"/>
                  <w:rPr>
                    <w:rFonts w:hint="eastAsia"/>
                    <w:color w:val="000000" w:themeColor="text1"/>
                    <w:sz w:val="21"/>
                  </w:rPr>
                </w:pPr>
                <w:r>
                  <w:rPr>
                    <w:color w:val="000000" w:themeColor="text1"/>
                    <w:sz w:val="21"/>
                  </w:rPr>
                  <w:t>其中</w:t>
                </w:r>
                <w:r>
                  <w:rPr>
                    <w:rFonts w:hint="eastAsia"/>
                    <w:color w:val="000000" w:themeColor="text1"/>
                    <w:sz w:val="21"/>
                  </w:rPr>
                  <w:t>:</w:t>
                </w:r>
                <w:r>
                  <w:rPr>
                    <w:color w:val="000000" w:themeColor="text1"/>
                    <w:sz w:val="21"/>
                  </w:rPr>
                  <w:t>未计入租赁收款额的可变租赁付款额相关的收入</w:t>
                </w:r>
              </w:p>
            </w:tc>
          </w:sdtContent>
        </w:sdt>
      </w:tr>
      <w:tr w:rsidR="002D0AE7" w14:paraId="16422A11" w14:textId="77777777">
        <w:tc>
          <w:tcPr>
            <w:tcW w:w="1666" w:type="pct"/>
            <w:shd w:val="clear" w:color="auto" w:fill="auto"/>
            <w:vAlign w:val="center"/>
          </w:tcPr>
          <w:p w14:paraId="0E9CF3CE" w14:textId="77777777" w:rsidR="002D0AE7" w:rsidRDefault="00333EBB">
            <w:pPr>
              <w:rPr>
                <w:rFonts w:hint="eastAsia"/>
                <w:sz w:val="21"/>
              </w:rPr>
            </w:pPr>
            <w:r>
              <w:rPr>
                <w:rFonts w:hint="eastAsia"/>
                <w:sz w:val="21"/>
              </w:rPr>
              <w:t>房屋租赁收入</w:t>
            </w:r>
          </w:p>
        </w:tc>
        <w:tc>
          <w:tcPr>
            <w:tcW w:w="1667" w:type="pct"/>
            <w:shd w:val="clear" w:color="auto" w:fill="auto"/>
            <w:vAlign w:val="center"/>
          </w:tcPr>
          <w:p w14:paraId="3641DB1C" w14:textId="77777777" w:rsidR="002D0AE7" w:rsidRDefault="00333EBB">
            <w:pPr>
              <w:jc w:val="right"/>
              <w:rPr>
                <w:rFonts w:ascii="Times New Roman" w:hAnsi="Times New Roman" w:cs="Times New Roman"/>
                <w:sz w:val="21"/>
              </w:rPr>
            </w:pPr>
            <w:r>
              <w:rPr>
                <w:rFonts w:ascii="Times New Roman" w:hAnsi="Times New Roman" w:cs="Times New Roman"/>
                <w:sz w:val="21"/>
              </w:rPr>
              <w:t>1,170,613.44</w:t>
            </w:r>
          </w:p>
        </w:tc>
        <w:tc>
          <w:tcPr>
            <w:tcW w:w="1667" w:type="pct"/>
            <w:shd w:val="clear" w:color="auto" w:fill="auto"/>
            <w:vAlign w:val="center"/>
          </w:tcPr>
          <w:p w14:paraId="177FA0A2" w14:textId="77777777" w:rsidR="002D0AE7" w:rsidRDefault="00333EBB">
            <w:pPr>
              <w:jc w:val="right"/>
              <w:rPr>
                <w:rFonts w:hint="eastAsia"/>
                <w:sz w:val="21"/>
              </w:rPr>
            </w:pPr>
            <w:r>
              <w:rPr>
                <w:rFonts w:hint="eastAsia"/>
                <w:sz w:val="21"/>
              </w:rPr>
              <w:t>/</w:t>
            </w:r>
          </w:p>
        </w:tc>
      </w:tr>
      <w:tr w:rsidR="002D0AE7" w14:paraId="29545BC5" w14:textId="77777777">
        <w:tc>
          <w:tcPr>
            <w:tcW w:w="1666" w:type="pct"/>
            <w:shd w:val="clear" w:color="auto" w:fill="auto"/>
            <w:vAlign w:val="center"/>
          </w:tcPr>
          <w:p w14:paraId="03547F08" w14:textId="77777777" w:rsidR="002D0AE7" w:rsidRDefault="00333EBB">
            <w:pPr>
              <w:rPr>
                <w:rFonts w:hint="eastAsia"/>
                <w:sz w:val="21"/>
              </w:rPr>
            </w:pPr>
            <w:r>
              <w:rPr>
                <w:rFonts w:hint="eastAsia"/>
                <w:sz w:val="21"/>
              </w:rPr>
              <w:t>设备租赁收入</w:t>
            </w:r>
          </w:p>
        </w:tc>
        <w:tc>
          <w:tcPr>
            <w:tcW w:w="1667" w:type="pct"/>
            <w:shd w:val="clear" w:color="auto" w:fill="auto"/>
            <w:vAlign w:val="center"/>
          </w:tcPr>
          <w:p w14:paraId="5B9A19DD" w14:textId="77777777" w:rsidR="002D0AE7" w:rsidRDefault="00333EBB">
            <w:pPr>
              <w:jc w:val="right"/>
              <w:rPr>
                <w:rFonts w:ascii="Times New Roman" w:hAnsi="Times New Roman" w:cs="Times New Roman"/>
                <w:sz w:val="21"/>
              </w:rPr>
            </w:pPr>
            <w:r>
              <w:rPr>
                <w:rFonts w:ascii="Times New Roman" w:hAnsi="Times New Roman" w:cs="Times New Roman"/>
                <w:sz w:val="21"/>
              </w:rPr>
              <w:t>657,522.13</w:t>
            </w:r>
          </w:p>
        </w:tc>
        <w:tc>
          <w:tcPr>
            <w:tcW w:w="1667" w:type="pct"/>
            <w:shd w:val="clear" w:color="auto" w:fill="auto"/>
            <w:vAlign w:val="center"/>
          </w:tcPr>
          <w:p w14:paraId="41DF29D3" w14:textId="77777777" w:rsidR="002D0AE7" w:rsidRDefault="00333EBB">
            <w:pPr>
              <w:jc w:val="right"/>
              <w:rPr>
                <w:rFonts w:hint="eastAsia"/>
                <w:sz w:val="21"/>
              </w:rPr>
            </w:pPr>
            <w:r>
              <w:rPr>
                <w:rFonts w:hint="eastAsia"/>
                <w:sz w:val="21"/>
              </w:rPr>
              <w:t>/</w:t>
            </w:r>
          </w:p>
        </w:tc>
      </w:tr>
      <w:tr w:rsidR="002D0AE7" w14:paraId="761EFB13" w14:textId="77777777">
        <w:tc>
          <w:tcPr>
            <w:tcW w:w="1666" w:type="pct"/>
            <w:shd w:val="clear" w:color="auto" w:fill="auto"/>
            <w:vAlign w:val="center"/>
          </w:tcPr>
          <w:p w14:paraId="24515F6C" w14:textId="77777777" w:rsidR="002D0AE7" w:rsidRDefault="00333EBB">
            <w:pPr>
              <w:jc w:val="center"/>
              <w:rPr>
                <w:rFonts w:hint="eastAsia"/>
                <w:color w:val="000000" w:themeColor="text1"/>
                <w:sz w:val="21"/>
              </w:rPr>
            </w:pPr>
            <w:r>
              <w:rPr>
                <w:color w:val="000000" w:themeColor="text1"/>
                <w:sz w:val="21"/>
              </w:rPr>
              <w:t>合计</w:t>
            </w:r>
          </w:p>
        </w:tc>
        <w:tc>
          <w:tcPr>
            <w:tcW w:w="1667" w:type="pct"/>
            <w:shd w:val="clear" w:color="auto" w:fill="auto"/>
            <w:vAlign w:val="center"/>
          </w:tcPr>
          <w:p w14:paraId="60C67751" w14:textId="77777777" w:rsidR="002D0AE7" w:rsidRDefault="00333EBB">
            <w:pPr>
              <w:jc w:val="right"/>
              <w:rPr>
                <w:rFonts w:ascii="Times New Roman" w:hAnsi="Times New Roman" w:cs="Times New Roman"/>
                <w:sz w:val="21"/>
              </w:rPr>
            </w:pPr>
            <w:r>
              <w:rPr>
                <w:rFonts w:ascii="Times New Roman" w:hAnsi="Times New Roman" w:cs="Times New Roman"/>
                <w:sz w:val="21"/>
              </w:rPr>
              <w:t>1,828,135.57</w:t>
            </w:r>
          </w:p>
        </w:tc>
        <w:tc>
          <w:tcPr>
            <w:tcW w:w="1667" w:type="pct"/>
            <w:shd w:val="clear" w:color="auto" w:fill="auto"/>
            <w:vAlign w:val="center"/>
          </w:tcPr>
          <w:p w14:paraId="38DC4A66" w14:textId="77777777" w:rsidR="002D0AE7" w:rsidRDefault="00333EBB">
            <w:pPr>
              <w:jc w:val="right"/>
              <w:rPr>
                <w:rFonts w:hint="eastAsia"/>
                <w:sz w:val="21"/>
              </w:rPr>
            </w:pPr>
            <w:r>
              <w:rPr>
                <w:rFonts w:hint="eastAsia"/>
                <w:sz w:val="21"/>
              </w:rPr>
              <w:t>/</w:t>
            </w:r>
          </w:p>
        </w:tc>
      </w:tr>
    </w:tbl>
    <w:p w14:paraId="1D9307CF" w14:textId="77777777" w:rsidR="002D0AE7" w:rsidRDefault="00333EBB">
      <w:pPr>
        <w:pStyle w:val="2"/>
        <w:numPr>
          <w:ilvl w:val="0"/>
          <w:numId w:val="34"/>
        </w:numPr>
        <w:ind w:left="482" w:hanging="482"/>
        <w:rPr>
          <w:color w:val="000000" w:themeColor="text1"/>
        </w:rPr>
      </w:pPr>
      <w:bookmarkStart w:id="225" w:name="_Hlk40108415"/>
      <w:bookmarkStart w:id="226" w:name="_Hlk167971708"/>
      <w:bookmarkEnd w:id="224"/>
      <w:r>
        <w:rPr>
          <w:rFonts w:hint="eastAsia"/>
          <w:color w:val="000000" w:themeColor="text1"/>
        </w:rPr>
        <w:t>研发</w:t>
      </w:r>
      <w:r>
        <w:rPr>
          <w:rFonts w:ascii="宋体" w:hAnsi="宋体" w:hint="eastAsia"/>
          <w:color w:val="000000" w:themeColor="text1"/>
        </w:rPr>
        <w:t>支出</w:t>
      </w:r>
    </w:p>
    <w:p w14:paraId="2C9F4613" w14:textId="77777777" w:rsidR="002D0AE7" w:rsidRDefault="00333EBB">
      <w:pPr>
        <w:pStyle w:val="3"/>
        <w:numPr>
          <w:ilvl w:val="0"/>
          <w:numId w:val="72"/>
        </w:numPr>
        <w:ind w:left="360" w:hanging="360"/>
        <w:rPr>
          <w:color w:val="000000" w:themeColor="text1"/>
        </w:rPr>
      </w:pPr>
      <w:r>
        <w:rPr>
          <w:rFonts w:hint="eastAsia"/>
          <w:color w:val="000000" w:themeColor="text1"/>
        </w:rPr>
        <w:t>按费用性质列示</w:t>
      </w:r>
    </w:p>
    <w:sdt>
      <w:sdtPr>
        <w:rPr>
          <w:color w:val="000000" w:themeColor="text1"/>
        </w:rPr>
        <w:alias w:val="是否适用：研发费用[双击切换]"/>
        <w:tag w:val="_GBC_c038265fdb0b49dea367e73fadbd1bf3"/>
        <w:id w:val="-1810541510"/>
        <w:placeholder>
          <w:docPart w:val="GBC22222222222222222222222222222"/>
        </w:placeholder>
      </w:sdtPr>
      <w:sdtEndPr/>
      <w:sdtContent>
        <w:p w14:paraId="75501161"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1BB7A536" w14:textId="77777777" w:rsidR="002D0AE7" w:rsidRDefault="00333EBB">
      <w:pPr>
        <w:pStyle w:val="11"/>
        <w:rPr>
          <w:rFonts w:hint="eastAsia"/>
        </w:rPr>
      </w:pPr>
      <w:r>
        <w:rPr>
          <w:rFonts w:hint="eastAsia"/>
        </w:rPr>
        <w:t>单位：</w:t>
      </w:r>
      <w:sdt>
        <w:sdtPr>
          <w:rPr>
            <w:rFonts w:hint="eastAsia"/>
          </w:rPr>
          <w:alias w:val="单位：研发费用"/>
          <w:tag w:val="_GBC_ba6e122abfd8443283c681cd38b3d395"/>
          <w:id w:val="-17077867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研发费用"/>
          <w:tag w:val="_GBC_d5e978ec78684853899851ff1623b4fc"/>
          <w:id w:val="202729321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2539"/>
        <w:gridCol w:w="2379"/>
      </w:tblGrid>
      <w:tr w:rsidR="002D0AE7" w14:paraId="5922895C" w14:textId="77777777">
        <w:sdt>
          <w:sdtPr>
            <w:rPr>
              <w:color w:val="000000" w:themeColor="text1"/>
              <w:sz w:val="21"/>
              <w:szCs w:val="21"/>
            </w:rPr>
            <w:tag w:val="_PLD_0d7c4dfc9e774f139ca83d0601e815ea"/>
            <w:id w:val="-427199311"/>
          </w:sdtPr>
          <w:sdtEndPr/>
          <w:sdtContent>
            <w:tc>
              <w:tcPr>
                <w:tcW w:w="2213" w:type="pct"/>
                <w:shd w:val="clear" w:color="auto" w:fill="auto"/>
              </w:tcPr>
              <w:p w14:paraId="6F49BC8A"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1d1e5baa8c6741cda3956270e192cc79"/>
            <w:id w:val="287400904"/>
          </w:sdtPr>
          <w:sdtEndPr/>
          <w:sdtContent>
            <w:tc>
              <w:tcPr>
                <w:tcW w:w="1439" w:type="pct"/>
                <w:shd w:val="clear" w:color="auto" w:fill="auto"/>
              </w:tcPr>
              <w:p w14:paraId="7AD2F59D" w14:textId="77777777" w:rsidR="002D0AE7" w:rsidRDefault="00333EBB">
                <w:pPr>
                  <w:jc w:val="center"/>
                  <w:rPr>
                    <w:rFonts w:hint="eastAsia"/>
                    <w:color w:val="000000" w:themeColor="text1"/>
                    <w:sz w:val="21"/>
                    <w:szCs w:val="21"/>
                  </w:rPr>
                </w:pPr>
                <w:r>
                  <w:rPr>
                    <w:rFonts w:hint="eastAsia"/>
                    <w:color w:val="000000" w:themeColor="text1"/>
                    <w:sz w:val="21"/>
                    <w:szCs w:val="21"/>
                  </w:rPr>
                  <w:t>本期发生额</w:t>
                </w:r>
              </w:p>
            </w:tc>
          </w:sdtContent>
        </w:sdt>
        <w:sdt>
          <w:sdtPr>
            <w:rPr>
              <w:color w:val="000000" w:themeColor="text1"/>
              <w:sz w:val="21"/>
              <w:szCs w:val="21"/>
            </w:rPr>
            <w:tag w:val="_PLD_91cd6ee02fbd4f6e86f6503667dce560"/>
            <w:id w:val="954685434"/>
          </w:sdtPr>
          <w:sdtEndPr/>
          <w:sdtContent>
            <w:tc>
              <w:tcPr>
                <w:tcW w:w="1348" w:type="pct"/>
                <w:shd w:val="clear" w:color="auto" w:fill="auto"/>
              </w:tcPr>
              <w:p w14:paraId="0A256F11" w14:textId="77777777" w:rsidR="002D0AE7" w:rsidRDefault="00333EBB">
                <w:pPr>
                  <w:jc w:val="center"/>
                  <w:rPr>
                    <w:rFonts w:hint="eastAsia"/>
                    <w:color w:val="000000" w:themeColor="text1"/>
                    <w:sz w:val="21"/>
                    <w:szCs w:val="21"/>
                  </w:rPr>
                </w:pPr>
                <w:r>
                  <w:rPr>
                    <w:rFonts w:hint="eastAsia"/>
                    <w:color w:val="000000" w:themeColor="text1"/>
                    <w:sz w:val="21"/>
                    <w:szCs w:val="21"/>
                  </w:rPr>
                  <w:t>上期发生额</w:t>
                </w:r>
              </w:p>
            </w:tc>
          </w:sdtContent>
        </w:sdt>
      </w:tr>
      <w:tr w:rsidR="002D0AE7" w14:paraId="6906E848" w14:textId="77777777">
        <w:tc>
          <w:tcPr>
            <w:tcW w:w="2213" w:type="pct"/>
            <w:shd w:val="clear" w:color="auto" w:fill="auto"/>
            <w:vAlign w:val="center"/>
          </w:tcPr>
          <w:p w14:paraId="1CFC7261" w14:textId="77777777" w:rsidR="002D0AE7" w:rsidRDefault="00333EBB">
            <w:pPr>
              <w:rPr>
                <w:rFonts w:hint="eastAsia"/>
                <w:sz w:val="21"/>
                <w:szCs w:val="21"/>
              </w:rPr>
            </w:pPr>
            <w:r>
              <w:rPr>
                <w:rFonts w:hint="eastAsia"/>
                <w:sz w:val="21"/>
                <w:szCs w:val="21"/>
              </w:rPr>
              <w:t>工资福利性费用</w:t>
            </w:r>
          </w:p>
        </w:tc>
        <w:tc>
          <w:tcPr>
            <w:tcW w:w="1439" w:type="pct"/>
            <w:shd w:val="clear" w:color="auto" w:fill="auto"/>
            <w:vAlign w:val="center"/>
          </w:tcPr>
          <w:p w14:paraId="1BBCB28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47,606,827.76</w:t>
            </w:r>
          </w:p>
        </w:tc>
        <w:tc>
          <w:tcPr>
            <w:tcW w:w="1348" w:type="pct"/>
            <w:shd w:val="clear" w:color="auto" w:fill="auto"/>
            <w:vAlign w:val="center"/>
          </w:tcPr>
          <w:p w14:paraId="311AB7B8"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39,272,376.81</w:t>
            </w:r>
          </w:p>
        </w:tc>
      </w:tr>
      <w:tr w:rsidR="002D0AE7" w14:paraId="10959886" w14:textId="77777777">
        <w:tc>
          <w:tcPr>
            <w:tcW w:w="2213" w:type="pct"/>
            <w:shd w:val="clear" w:color="auto" w:fill="auto"/>
            <w:vAlign w:val="center"/>
          </w:tcPr>
          <w:p w14:paraId="4909F536" w14:textId="77777777" w:rsidR="002D0AE7" w:rsidRDefault="00333EBB">
            <w:pPr>
              <w:rPr>
                <w:rFonts w:hint="eastAsia"/>
                <w:sz w:val="21"/>
                <w:szCs w:val="21"/>
              </w:rPr>
            </w:pPr>
            <w:r>
              <w:rPr>
                <w:rFonts w:hint="eastAsia"/>
                <w:sz w:val="21"/>
                <w:szCs w:val="21"/>
              </w:rPr>
              <w:t>专利产权费</w:t>
            </w:r>
          </w:p>
        </w:tc>
        <w:tc>
          <w:tcPr>
            <w:tcW w:w="1439" w:type="pct"/>
            <w:shd w:val="clear" w:color="auto" w:fill="auto"/>
            <w:vAlign w:val="center"/>
          </w:tcPr>
          <w:p w14:paraId="1E10F767"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161,024.05</w:t>
            </w:r>
          </w:p>
        </w:tc>
        <w:tc>
          <w:tcPr>
            <w:tcW w:w="1348" w:type="pct"/>
            <w:shd w:val="clear" w:color="auto" w:fill="auto"/>
            <w:vAlign w:val="center"/>
          </w:tcPr>
          <w:p w14:paraId="0BEFFBA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114,486.79</w:t>
            </w:r>
          </w:p>
        </w:tc>
      </w:tr>
      <w:tr w:rsidR="002D0AE7" w14:paraId="4E9C4FDD" w14:textId="77777777">
        <w:tc>
          <w:tcPr>
            <w:tcW w:w="2213" w:type="pct"/>
            <w:shd w:val="clear" w:color="auto" w:fill="auto"/>
            <w:vAlign w:val="center"/>
          </w:tcPr>
          <w:p w14:paraId="56090D44" w14:textId="77777777" w:rsidR="002D0AE7" w:rsidRDefault="00333EBB">
            <w:pPr>
              <w:rPr>
                <w:rFonts w:hint="eastAsia"/>
                <w:sz w:val="21"/>
                <w:szCs w:val="21"/>
              </w:rPr>
            </w:pPr>
            <w:r>
              <w:rPr>
                <w:rFonts w:hint="eastAsia"/>
                <w:sz w:val="21"/>
                <w:szCs w:val="21"/>
              </w:rPr>
              <w:t>折旧</w:t>
            </w:r>
          </w:p>
        </w:tc>
        <w:tc>
          <w:tcPr>
            <w:tcW w:w="1439" w:type="pct"/>
            <w:shd w:val="clear" w:color="auto" w:fill="auto"/>
            <w:vAlign w:val="center"/>
          </w:tcPr>
          <w:p w14:paraId="344ED992"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6,696,449.56</w:t>
            </w:r>
          </w:p>
        </w:tc>
        <w:tc>
          <w:tcPr>
            <w:tcW w:w="1348" w:type="pct"/>
            <w:shd w:val="clear" w:color="auto" w:fill="auto"/>
            <w:vAlign w:val="center"/>
          </w:tcPr>
          <w:p w14:paraId="4FFD972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6,180,298.10</w:t>
            </w:r>
          </w:p>
        </w:tc>
      </w:tr>
      <w:tr w:rsidR="002D0AE7" w14:paraId="7B70BE3A" w14:textId="77777777">
        <w:tc>
          <w:tcPr>
            <w:tcW w:w="2213" w:type="pct"/>
            <w:shd w:val="clear" w:color="auto" w:fill="auto"/>
            <w:vAlign w:val="center"/>
          </w:tcPr>
          <w:p w14:paraId="5DB0C0ED" w14:textId="77777777" w:rsidR="002D0AE7" w:rsidRDefault="00333EBB">
            <w:pPr>
              <w:rPr>
                <w:rFonts w:hint="eastAsia"/>
                <w:sz w:val="21"/>
                <w:szCs w:val="21"/>
              </w:rPr>
            </w:pPr>
            <w:r>
              <w:rPr>
                <w:rFonts w:hint="eastAsia"/>
                <w:sz w:val="21"/>
                <w:szCs w:val="21"/>
              </w:rPr>
              <w:t>物耗能源费</w:t>
            </w:r>
          </w:p>
        </w:tc>
        <w:tc>
          <w:tcPr>
            <w:tcW w:w="1439" w:type="pct"/>
            <w:shd w:val="clear" w:color="auto" w:fill="auto"/>
            <w:vAlign w:val="center"/>
          </w:tcPr>
          <w:p w14:paraId="60E636A9"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10,417,473.68</w:t>
            </w:r>
          </w:p>
        </w:tc>
        <w:tc>
          <w:tcPr>
            <w:tcW w:w="1348" w:type="pct"/>
            <w:shd w:val="clear" w:color="auto" w:fill="auto"/>
            <w:vAlign w:val="center"/>
          </w:tcPr>
          <w:p w14:paraId="7ACBE72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7,347,858.99</w:t>
            </w:r>
          </w:p>
        </w:tc>
      </w:tr>
      <w:tr w:rsidR="002D0AE7" w14:paraId="02A161C0" w14:textId="77777777">
        <w:tc>
          <w:tcPr>
            <w:tcW w:w="2213" w:type="pct"/>
            <w:shd w:val="clear" w:color="auto" w:fill="auto"/>
            <w:vAlign w:val="center"/>
          </w:tcPr>
          <w:p w14:paraId="2F3EB447" w14:textId="77777777" w:rsidR="002D0AE7" w:rsidRDefault="00333EBB">
            <w:pPr>
              <w:rPr>
                <w:rFonts w:hint="eastAsia"/>
                <w:sz w:val="21"/>
                <w:szCs w:val="21"/>
              </w:rPr>
            </w:pPr>
            <w:r>
              <w:rPr>
                <w:rFonts w:hint="eastAsia"/>
                <w:sz w:val="21"/>
                <w:szCs w:val="21"/>
              </w:rPr>
              <w:t>服务费</w:t>
            </w:r>
          </w:p>
        </w:tc>
        <w:tc>
          <w:tcPr>
            <w:tcW w:w="1439" w:type="pct"/>
            <w:shd w:val="clear" w:color="auto" w:fill="auto"/>
            <w:vAlign w:val="center"/>
          </w:tcPr>
          <w:p w14:paraId="1396CF5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11,150,877.24</w:t>
            </w:r>
          </w:p>
        </w:tc>
        <w:tc>
          <w:tcPr>
            <w:tcW w:w="1348" w:type="pct"/>
            <w:shd w:val="clear" w:color="auto" w:fill="auto"/>
            <w:vAlign w:val="center"/>
          </w:tcPr>
          <w:p w14:paraId="1B9D751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8,541,673.50</w:t>
            </w:r>
          </w:p>
        </w:tc>
      </w:tr>
      <w:tr w:rsidR="002D0AE7" w14:paraId="31B7A7AA" w14:textId="77777777">
        <w:tc>
          <w:tcPr>
            <w:tcW w:w="2213" w:type="pct"/>
            <w:shd w:val="clear" w:color="auto" w:fill="auto"/>
            <w:vAlign w:val="center"/>
          </w:tcPr>
          <w:p w14:paraId="042FC24B" w14:textId="77777777" w:rsidR="002D0AE7" w:rsidRDefault="00333EBB">
            <w:pPr>
              <w:rPr>
                <w:rFonts w:hint="eastAsia"/>
                <w:sz w:val="21"/>
                <w:szCs w:val="21"/>
              </w:rPr>
            </w:pPr>
            <w:r>
              <w:rPr>
                <w:rFonts w:hint="eastAsia"/>
                <w:sz w:val="21"/>
                <w:szCs w:val="21"/>
              </w:rPr>
              <w:t>办公性费用</w:t>
            </w:r>
          </w:p>
        </w:tc>
        <w:tc>
          <w:tcPr>
            <w:tcW w:w="1439" w:type="pct"/>
            <w:shd w:val="clear" w:color="auto" w:fill="auto"/>
            <w:vAlign w:val="center"/>
          </w:tcPr>
          <w:p w14:paraId="373D6BE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594,301.24</w:t>
            </w:r>
          </w:p>
        </w:tc>
        <w:tc>
          <w:tcPr>
            <w:tcW w:w="1348" w:type="pct"/>
            <w:shd w:val="clear" w:color="auto" w:fill="auto"/>
            <w:vAlign w:val="center"/>
          </w:tcPr>
          <w:p w14:paraId="4A6221C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110,432.69</w:t>
            </w:r>
          </w:p>
        </w:tc>
      </w:tr>
      <w:tr w:rsidR="002D0AE7" w14:paraId="0E10A9AE" w14:textId="77777777">
        <w:tc>
          <w:tcPr>
            <w:tcW w:w="2213" w:type="pct"/>
            <w:shd w:val="clear" w:color="auto" w:fill="auto"/>
            <w:vAlign w:val="center"/>
          </w:tcPr>
          <w:p w14:paraId="6DA7F7B3" w14:textId="77777777" w:rsidR="002D0AE7" w:rsidRDefault="00333EBB">
            <w:pPr>
              <w:rPr>
                <w:rFonts w:hint="eastAsia"/>
                <w:sz w:val="21"/>
                <w:szCs w:val="21"/>
              </w:rPr>
            </w:pPr>
            <w:r>
              <w:rPr>
                <w:rFonts w:hint="eastAsia"/>
                <w:sz w:val="21"/>
                <w:szCs w:val="21"/>
              </w:rPr>
              <w:t>检验费</w:t>
            </w:r>
          </w:p>
        </w:tc>
        <w:tc>
          <w:tcPr>
            <w:tcW w:w="1439" w:type="pct"/>
            <w:shd w:val="clear" w:color="auto" w:fill="auto"/>
            <w:vAlign w:val="center"/>
          </w:tcPr>
          <w:p w14:paraId="5FD6912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2,485,608.40</w:t>
            </w:r>
          </w:p>
        </w:tc>
        <w:tc>
          <w:tcPr>
            <w:tcW w:w="1348" w:type="pct"/>
            <w:shd w:val="clear" w:color="auto" w:fill="auto"/>
            <w:vAlign w:val="center"/>
          </w:tcPr>
          <w:p w14:paraId="458B5A3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2,561,764.65</w:t>
            </w:r>
          </w:p>
        </w:tc>
      </w:tr>
      <w:tr w:rsidR="002D0AE7" w14:paraId="14F3A7D9" w14:textId="77777777">
        <w:tc>
          <w:tcPr>
            <w:tcW w:w="2213" w:type="pct"/>
            <w:shd w:val="clear" w:color="auto" w:fill="auto"/>
            <w:vAlign w:val="center"/>
          </w:tcPr>
          <w:p w14:paraId="304A2671" w14:textId="77777777" w:rsidR="002D0AE7" w:rsidRDefault="00333EBB">
            <w:pPr>
              <w:rPr>
                <w:rFonts w:hint="eastAsia"/>
                <w:sz w:val="21"/>
                <w:szCs w:val="21"/>
              </w:rPr>
            </w:pPr>
            <w:r>
              <w:rPr>
                <w:rFonts w:hint="eastAsia"/>
                <w:sz w:val="21"/>
                <w:szCs w:val="21"/>
              </w:rPr>
              <w:t>维修费</w:t>
            </w:r>
          </w:p>
        </w:tc>
        <w:tc>
          <w:tcPr>
            <w:tcW w:w="1439" w:type="pct"/>
            <w:shd w:val="clear" w:color="auto" w:fill="auto"/>
            <w:vAlign w:val="center"/>
          </w:tcPr>
          <w:p w14:paraId="27B199A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3,085,007.16</w:t>
            </w:r>
          </w:p>
        </w:tc>
        <w:tc>
          <w:tcPr>
            <w:tcW w:w="1348" w:type="pct"/>
            <w:shd w:val="clear" w:color="auto" w:fill="auto"/>
            <w:vAlign w:val="center"/>
          </w:tcPr>
          <w:p w14:paraId="6360D5B7"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3,275,803.50</w:t>
            </w:r>
          </w:p>
        </w:tc>
      </w:tr>
      <w:tr w:rsidR="002D0AE7" w14:paraId="3537CA3A" w14:textId="77777777">
        <w:tc>
          <w:tcPr>
            <w:tcW w:w="2213" w:type="pct"/>
            <w:shd w:val="clear" w:color="auto" w:fill="auto"/>
            <w:vAlign w:val="center"/>
          </w:tcPr>
          <w:p w14:paraId="627AE58E" w14:textId="77777777" w:rsidR="002D0AE7" w:rsidRDefault="00333EBB">
            <w:pPr>
              <w:rPr>
                <w:rFonts w:hint="eastAsia"/>
                <w:sz w:val="21"/>
                <w:szCs w:val="21"/>
              </w:rPr>
            </w:pPr>
            <w:r>
              <w:rPr>
                <w:rFonts w:hint="eastAsia"/>
                <w:sz w:val="21"/>
                <w:szCs w:val="21"/>
              </w:rPr>
              <w:t>试验研究费</w:t>
            </w:r>
          </w:p>
        </w:tc>
        <w:tc>
          <w:tcPr>
            <w:tcW w:w="1439" w:type="pct"/>
            <w:shd w:val="clear" w:color="auto" w:fill="auto"/>
            <w:vAlign w:val="center"/>
          </w:tcPr>
          <w:p w14:paraId="1FC55B7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17,827,448.91</w:t>
            </w:r>
          </w:p>
        </w:tc>
        <w:tc>
          <w:tcPr>
            <w:tcW w:w="1348" w:type="pct"/>
            <w:shd w:val="clear" w:color="auto" w:fill="auto"/>
            <w:vAlign w:val="center"/>
          </w:tcPr>
          <w:p w14:paraId="7153C19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26,282,897.69</w:t>
            </w:r>
          </w:p>
        </w:tc>
      </w:tr>
      <w:tr w:rsidR="002D0AE7" w14:paraId="7B1917FB" w14:textId="77777777">
        <w:tc>
          <w:tcPr>
            <w:tcW w:w="2213" w:type="pct"/>
            <w:shd w:val="clear" w:color="auto" w:fill="auto"/>
            <w:vAlign w:val="center"/>
          </w:tcPr>
          <w:p w14:paraId="3855E86A" w14:textId="77777777" w:rsidR="002D0AE7" w:rsidRDefault="00333EBB">
            <w:pPr>
              <w:rPr>
                <w:rFonts w:hint="eastAsia"/>
                <w:sz w:val="21"/>
                <w:szCs w:val="21"/>
              </w:rPr>
            </w:pPr>
            <w:r>
              <w:rPr>
                <w:rFonts w:hint="eastAsia"/>
                <w:sz w:val="21"/>
                <w:szCs w:val="21"/>
              </w:rPr>
              <w:t>其他</w:t>
            </w:r>
          </w:p>
        </w:tc>
        <w:tc>
          <w:tcPr>
            <w:tcW w:w="1439" w:type="pct"/>
            <w:shd w:val="clear" w:color="auto" w:fill="auto"/>
            <w:vAlign w:val="center"/>
          </w:tcPr>
          <w:p w14:paraId="52C20013"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2,282,824.78</w:t>
            </w:r>
          </w:p>
        </w:tc>
        <w:tc>
          <w:tcPr>
            <w:tcW w:w="1348" w:type="pct"/>
            <w:shd w:val="clear" w:color="auto" w:fill="auto"/>
            <w:vAlign w:val="center"/>
          </w:tcPr>
          <w:p w14:paraId="7789C35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3,103,866.48</w:t>
            </w:r>
          </w:p>
        </w:tc>
      </w:tr>
      <w:tr w:rsidR="002D0AE7" w14:paraId="19326607" w14:textId="77777777">
        <w:tc>
          <w:tcPr>
            <w:tcW w:w="2213" w:type="pct"/>
            <w:shd w:val="clear" w:color="auto" w:fill="auto"/>
            <w:vAlign w:val="center"/>
          </w:tcPr>
          <w:p w14:paraId="0CB9FDC9"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1439" w:type="pct"/>
            <w:shd w:val="clear" w:color="auto" w:fill="auto"/>
            <w:vAlign w:val="center"/>
          </w:tcPr>
          <w:p w14:paraId="5649B66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102,307,842.78</w:t>
            </w:r>
          </w:p>
        </w:tc>
        <w:tc>
          <w:tcPr>
            <w:tcW w:w="1348" w:type="pct"/>
            <w:shd w:val="clear" w:color="auto" w:fill="auto"/>
            <w:vAlign w:val="center"/>
          </w:tcPr>
          <w:p w14:paraId="64E7519A"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96,791,459.20</w:t>
            </w:r>
          </w:p>
        </w:tc>
      </w:tr>
      <w:tr w:rsidR="002D0AE7" w14:paraId="6CD57D24" w14:textId="77777777">
        <w:tc>
          <w:tcPr>
            <w:tcW w:w="2213" w:type="pct"/>
            <w:shd w:val="clear" w:color="auto" w:fill="auto"/>
            <w:vAlign w:val="center"/>
          </w:tcPr>
          <w:p w14:paraId="3D80CF4B" w14:textId="77777777" w:rsidR="002D0AE7" w:rsidRDefault="00333EBB">
            <w:pPr>
              <w:rPr>
                <w:rFonts w:hint="eastAsia"/>
                <w:color w:val="000000" w:themeColor="text1"/>
                <w:sz w:val="21"/>
                <w:szCs w:val="21"/>
              </w:rPr>
            </w:pPr>
            <w:r>
              <w:rPr>
                <w:rFonts w:hint="eastAsia"/>
                <w:color w:val="000000" w:themeColor="text1"/>
                <w:sz w:val="21"/>
                <w:szCs w:val="21"/>
              </w:rPr>
              <w:t>其中：费用化研发支出</w:t>
            </w:r>
          </w:p>
        </w:tc>
        <w:tc>
          <w:tcPr>
            <w:tcW w:w="1439" w:type="pct"/>
            <w:shd w:val="clear" w:color="auto" w:fill="auto"/>
            <w:vAlign w:val="center"/>
          </w:tcPr>
          <w:p w14:paraId="119D454B"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83,839,615.08</w:t>
            </w:r>
          </w:p>
        </w:tc>
        <w:tc>
          <w:tcPr>
            <w:tcW w:w="1348" w:type="pct"/>
            <w:shd w:val="clear" w:color="auto" w:fill="auto"/>
            <w:vAlign w:val="center"/>
          </w:tcPr>
          <w:p w14:paraId="597807F1"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84,927,699.54</w:t>
            </w:r>
          </w:p>
        </w:tc>
      </w:tr>
      <w:tr w:rsidR="002D0AE7" w14:paraId="709F1A82" w14:textId="77777777">
        <w:tc>
          <w:tcPr>
            <w:tcW w:w="2213" w:type="pct"/>
            <w:shd w:val="clear" w:color="auto" w:fill="auto"/>
            <w:vAlign w:val="center"/>
          </w:tcPr>
          <w:p w14:paraId="552ED10D" w14:textId="77777777" w:rsidR="002D0AE7" w:rsidRDefault="00333EBB">
            <w:pPr>
              <w:ind w:firstLineChars="300" w:firstLine="630"/>
              <w:rPr>
                <w:rFonts w:hint="eastAsia"/>
                <w:color w:val="000000" w:themeColor="text1"/>
                <w:sz w:val="21"/>
                <w:szCs w:val="21"/>
              </w:rPr>
            </w:pPr>
            <w:r>
              <w:rPr>
                <w:rFonts w:hint="eastAsia"/>
                <w:color w:val="000000" w:themeColor="text1"/>
                <w:sz w:val="21"/>
                <w:szCs w:val="21"/>
              </w:rPr>
              <w:t>资本化研发支出</w:t>
            </w:r>
          </w:p>
        </w:tc>
        <w:tc>
          <w:tcPr>
            <w:tcW w:w="1439" w:type="pct"/>
            <w:shd w:val="clear" w:color="auto" w:fill="auto"/>
            <w:vAlign w:val="center"/>
          </w:tcPr>
          <w:p w14:paraId="0016CD0C"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18,468,227.70</w:t>
            </w:r>
          </w:p>
        </w:tc>
        <w:tc>
          <w:tcPr>
            <w:tcW w:w="1348" w:type="pct"/>
            <w:shd w:val="clear" w:color="auto" w:fill="auto"/>
            <w:vAlign w:val="center"/>
          </w:tcPr>
          <w:p w14:paraId="05C4F95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11,863,759.66</w:t>
            </w:r>
          </w:p>
        </w:tc>
      </w:tr>
    </w:tbl>
    <w:p w14:paraId="22C8DDCA" w14:textId="77777777" w:rsidR="002D0AE7" w:rsidRDefault="00333EBB">
      <w:pPr>
        <w:rPr>
          <w:rFonts w:hint="eastAsia"/>
          <w:color w:val="000000" w:themeColor="text1"/>
        </w:rPr>
      </w:pPr>
      <w:r>
        <w:rPr>
          <w:rFonts w:hint="eastAsia"/>
          <w:color w:val="000000" w:themeColor="text1"/>
          <w:sz w:val="21"/>
        </w:rPr>
        <w:t>其他说明：</w:t>
      </w:r>
      <w:sdt>
        <w:sdtPr>
          <w:rPr>
            <w:color w:val="000000" w:themeColor="text1"/>
          </w:rPr>
          <w:alias w:val="研发支出按费用性质列示的其他说明"/>
          <w:tag w:val="_GBC_6b3d42161462405e8011d40253de8df9"/>
          <w:id w:val="1621727477"/>
          <w:placeholder>
            <w:docPart w:val="GBC22222222222222222222222222222"/>
          </w:placeholder>
        </w:sdtPr>
        <w:sdtEndPr/>
        <w:sdtContent>
          <w:r>
            <w:rPr>
              <w:rFonts w:hint="eastAsia"/>
              <w:color w:val="000000" w:themeColor="text1"/>
            </w:rPr>
            <w:t>无</w:t>
          </w:r>
        </w:sdtContent>
      </w:sdt>
    </w:p>
    <w:p w14:paraId="0EF159B0" w14:textId="77777777" w:rsidR="002D0AE7" w:rsidRDefault="00333EBB">
      <w:pPr>
        <w:pStyle w:val="3"/>
        <w:numPr>
          <w:ilvl w:val="0"/>
          <w:numId w:val="72"/>
        </w:numPr>
        <w:ind w:left="360" w:hanging="360"/>
        <w:rPr>
          <w:color w:val="000000" w:themeColor="text1"/>
        </w:rPr>
      </w:pPr>
      <w:bookmarkStart w:id="227" w:name="_Hlk153266294"/>
      <w:bookmarkEnd w:id="225"/>
      <w:r>
        <w:rPr>
          <w:color w:val="000000" w:themeColor="text1"/>
        </w:rPr>
        <w:t>符合资本化条件的研发项目</w:t>
      </w:r>
      <w:r>
        <w:rPr>
          <w:rFonts w:hint="eastAsia"/>
          <w:color w:val="000000" w:themeColor="text1"/>
        </w:rPr>
        <w:t>开发支出</w:t>
      </w:r>
    </w:p>
    <w:sdt>
      <w:sdtPr>
        <w:rPr>
          <w:color w:val="000000" w:themeColor="text1"/>
        </w:rPr>
        <w:alias w:val="是否适用：开发支出[双击切换]"/>
        <w:tag w:val="_GBC_c4491189045f4579aa1097e6d5456e9e"/>
        <w:id w:val="1499009693"/>
        <w:placeholder>
          <w:docPart w:val="GBC22222222222222222222222222222"/>
        </w:placeholder>
      </w:sdtPr>
      <w:sdtEndPr/>
      <w:sdtContent>
        <w:p w14:paraId="5C0A7D77"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197C37D7"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公司内部研究开发项目支出"/>
          <w:tag w:val="_GBC_633fd69730494b1eb42c3d1e6a4d06b5"/>
          <w:id w:val="187032861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公司内部研究开发项目支出"/>
          <w:tag w:val="_GBC_086e5306589c448ebd13fd518e27619e"/>
          <w:id w:val="-6218409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6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219"/>
        <w:gridCol w:w="1221"/>
        <w:gridCol w:w="1125"/>
        <w:gridCol w:w="559"/>
        <w:gridCol w:w="1267"/>
        <w:gridCol w:w="1057"/>
        <w:gridCol w:w="1119"/>
        <w:gridCol w:w="1270"/>
      </w:tblGrid>
      <w:tr w:rsidR="002D0AE7" w14:paraId="12D5C1F9" w14:textId="77777777">
        <w:trPr>
          <w:jc w:val="center"/>
        </w:trPr>
        <w:sdt>
          <w:sdtPr>
            <w:rPr>
              <w:color w:val="000000" w:themeColor="text1"/>
              <w:sz w:val="21"/>
              <w:szCs w:val="21"/>
            </w:rPr>
            <w:tag w:val="_PLD_a7f5493f6efc48be8ae7882f8b567dd1"/>
            <w:id w:val="2038541274"/>
          </w:sdtPr>
          <w:sdtEndPr/>
          <w:sdtContent>
            <w:tc>
              <w:tcPr>
                <w:tcW w:w="845" w:type="pct"/>
                <w:vMerge w:val="restart"/>
                <w:vAlign w:val="center"/>
              </w:tcPr>
              <w:p w14:paraId="4D770560" w14:textId="77777777" w:rsidR="002D0AE7" w:rsidRDefault="00333EBB">
                <w:pPr>
                  <w:autoSpaceDE w:val="0"/>
                  <w:autoSpaceDN w:val="0"/>
                  <w:adjustRightInd w:val="0"/>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7ad5fc99e3fb461b9aac7afd572feb62"/>
            <w:id w:val="557752711"/>
          </w:sdtPr>
          <w:sdtEndPr/>
          <w:sdtContent>
            <w:tc>
              <w:tcPr>
                <w:tcW w:w="573" w:type="pct"/>
                <w:vMerge w:val="restart"/>
                <w:vAlign w:val="center"/>
              </w:tcPr>
              <w:p w14:paraId="6A161EA5" w14:textId="77777777" w:rsidR="002D0AE7" w:rsidRDefault="00333EBB">
                <w:pPr>
                  <w:autoSpaceDE w:val="0"/>
                  <w:autoSpaceDN w:val="0"/>
                  <w:adjustRightInd w:val="0"/>
                  <w:jc w:val="center"/>
                  <w:rPr>
                    <w:rFonts w:hint="eastAsia"/>
                    <w:color w:val="000000" w:themeColor="text1"/>
                    <w:sz w:val="21"/>
                    <w:szCs w:val="21"/>
                  </w:rPr>
                </w:pPr>
                <w:r>
                  <w:rPr>
                    <w:rFonts w:hint="eastAsia"/>
                    <w:color w:val="000000" w:themeColor="text1"/>
                    <w:sz w:val="21"/>
                    <w:szCs w:val="21"/>
                  </w:rPr>
                  <w:t>期初</w:t>
                </w:r>
              </w:p>
              <w:p w14:paraId="6DA299EC" w14:textId="77777777" w:rsidR="002D0AE7" w:rsidRDefault="00333EBB">
                <w:pPr>
                  <w:autoSpaceDE w:val="0"/>
                  <w:autoSpaceDN w:val="0"/>
                  <w:adjustRightInd w:val="0"/>
                  <w:jc w:val="center"/>
                  <w:rPr>
                    <w:rFonts w:hint="eastAsia"/>
                    <w:color w:val="000000" w:themeColor="text1"/>
                    <w:sz w:val="21"/>
                    <w:szCs w:val="21"/>
                  </w:rPr>
                </w:pPr>
                <w:r>
                  <w:rPr>
                    <w:rFonts w:hint="eastAsia"/>
                    <w:color w:val="000000" w:themeColor="text1"/>
                    <w:sz w:val="21"/>
                    <w:szCs w:val="21"/>
                  </w:rPr>
                  <w:t>余额</w:t>
                </w:r>
              </w:p>
            </w:tc>
          </w:sdtContent>
        </w:sdt>
        <w:sdt>
          <w:sdtPr>
            <w:rPr>
              <w:color w:val="000000" w:themeColor="text1"/>
              <w:sz w:val="21"/>
              <w:szCs w:val="21"/>
            </w:rPr>
            <w:tag w:val="_PLD_048955083ca94d4f90169248f9c292db"/>
            <w:id w:val="708154748"/>
          </w:sdtPr>
          <w:sdtEndPr/>
          <w:sdtContent>
            <w:tc>
              <w:tcPr>
                <w:tcW w:w="1366" w:type="pct"/>
                <w:gridSpan w:val="3"/>
                <w:vAlign w:val="center"/>
              </w:tcPr>
              <w:p w14:paraId="11F7E7DA" w14:textId="77777777" w:rsidR="002D0AE7" w:rsidRDefault="00333EBB">
                <w:pPr>
                  <w:autoSpaceDE w:val="0"/>
                  <w:autoSpaceDN w:val="0"/>
                  <w:adjustRightInd w:val="0"/>
                  <w:jc w:val="center"/>
                  <w:rPr>
                    <w:rFonts w:hint="eastAsia"/>
                    <w:color w:val="000000" w:themeColor="text1"/>
                    <w:sz w:val="21"/>
                    <w:szCs w:val="21"/>
                  </w:rPr>
                </w:pPr>
                <w:r>
                  <w:rPr>
                    <w:rFonts w:hint="eastAsia"/>
                    <w:color w:val="000000" w:themeColor="text1"/>
                    <w:sz w:val="21"/>
                    <w:szCs w:val="21"/>
                  </w:rPr>
                  <w:t>本期增加金额</w:t>
                </w:r>
              </w:p>
            </w:tc>
          </w:sdtContent>
        </w:sdt>
        <w:sdt>
          <w:sdtPr>
            <w:rPr>
              <w:color w:val="000000" w:themeColor="text1"/>
              <w:sz w:val="21"/>
              <w:szCs w:val="21"/>
            </w:rPr>
            <w:tag w:val="_PLD_459c91c20c87401395c97b0e69ffe300"/>
            <w:id w:val="205154336"/>
          </w:sdtPr>
          <w:sdtEndPr/>
          <w:sdtContent>
            <w:tc>
              <w:tcPr>
                <w:tcW w:w="1619" w:type="pct"/>
                <w:gridSpan w:val="3"/>
                <w:vAlign w:val="center"/>
              </w:tcPr>
              <w:p w14:paraId="6E864612" w14:textId="77777777" w:rsidR="002D0AE7" w:rsidRDefault="00333EBB">
                <w:pPr>
                  <w:ind w:left="-65" w:right="5" w:hanging="48"/>
                  <w:jc w:val="center"/>
                  <w:rPr>
                    <w:rFonts w:hint="eastAsia"/>
                    <w:color w:val="000000" w:themeColor="text1"/>
                    <w:sz w:val="21"/>
                    <w:szCs w:val="21"/>
                  </w:rPr>
                </w:pPr>
                <w:r>
                  <w:rPr>
                    <w:rFonts w:hint="eastAsia"/>
                    <w:color w:val="000000" w:themeColor="text1"/>
                    <w:sz w:val="21"/>
                    <w:szCs w:val="21"/>
                  </w:rPr>
                  <w:t>本期减少金额</w:t>
                </w:r>
              </w:p>
            </w:tc>
          </w:sdtContent>
        </w:sdt>
        <w:sdt>
          <w:sdtPr>
            <w:rPr>
              <w:color w:val="000000" w:themeColor="text1"/>
              <w:sz w:val="21"/>
              <w:szCs w:val="21"/>
            </w:rPr>
            <w:tag w:val="_PLD_da0f04e2773a412b981e15a532a794ca"/>
            <w:id w:val="-466748161"/>
          </w:sdtPr>
          <w:sdtEndPr/>
          <w:sdtContent>
            <w:tc>
              <w:tcPr>
                <w:tcW w:w="597" w:type="pct"/>
                <w:vMerge w:val="restart"/>
                <w:vAlign w:val="center"/>
              </w:tcPr>
              <w:p w14:paraId="303B235D" w14:textId="77777777" w:rsidR="002D0AE7" w:rsidRDefault="00333EBB">
                <w:pPr>
                  <w:autoSpaceDE w:val="0"/>
                  <w:autoSpaceDN w:val="0"/>
                  <w:adjustRightInd w:val="0"/>
                  <w:jc w:val="center"/>
                  <w:rPr>
                    <w:rFonts w:hint="eastAsia"/>
                    <w:color w:val="000000" w:themeColor="text1"/>
                    <w:sz w:val="21"/>
                    <w:szCs w:val="21"/>
                  </w:rPr>
                </w:pPr>
                <w:r>
                  <w:rPr>
                    <w:rFonts w:hint="eastAsia"/>
                    <w:color w:val="000000" w:themeColor="text1"/>
                    <w:sz w:val="21"/>
                    <w:szCs w:val="21"/>
                  </w:rPr>
                  <w:t>期末</w:t>
                </w:r>
              </w:p>
              <w:p w14:paraId="67C88651" w14:textId="77777777" w:rsidR="002D0AE7" w:rsidRDefault="00333EBB">
                <w:pPr>
                  <w:autoSpaceDE w:val="0"/>
                  <w:autoSpaceDN w:val="0"/>
                  <w:adjustRightInd w:val="0"/>
                  <w:jc w:val="center"/>
                  <w:rPr>
                    <w:rFonts w:hint="eastAsia"/>
                    <w:color w:val="000000" w:themeColor="text1"/>
                    <w:sz w:val="21"/>
                    <w:szCs w:val="21"/>
                  </w:rPr>
                </w:pPr>
                <w:r>
                  <w:rPr>
                    <w:rFonts w:hint="eastAsia"/>
                    <w:color w:val="000000" w:themeColor="text1"/>
                    <w:sz w:val="21"/>
                    <w:szCs w:val="21"/>
                  </w:rPr>
                  <w:t>余额</w:t>
                </w:r>
              </w:p>
            </w:tc>
          </w:sdtContent>
        </w:sdt>
      </w:tr>
      <w:tr w:rsidR="002D0AE7" w14:paraId="54F70684" w14:textId="77777777">
        <w:trPr>
          <w:jc w:val="center"/>
        </w:trPr>
        <w:tc>
          <w:tcPr>
            <w:tcW w:w="845" w:type="pct"/>
            <w:vMerge/>
          </w:tcPr>
          <w:p w14:paraId="2D7F1A31" w14:textId="77777777" w:rsidR="002D0AE7" w:rsidRDefault="002D0AE7">
            <w:pPr>
              <w:autoSpaceDE w:val="0"/>
              <w:autoSpaceDN w:val="0"/>
              <w:adjustRightInd w:val="0"/>
              <w:rPr>
                <w:rFonts w:hint="eastAsia"/>
                <w:color w:val="000000" w:themeColor="text1"/>
                <w:sz w:val="21"/>
                <w:szCs w:val="21"/>
              </w:rPr>
            </w:pPr>
          </w:p>
        </w:tc>
        <w:tc>
          <w:tcPr>
            <w:tcW w:w="573" w:type="pct"/>
            <w:vMerge/>
          </w:tcPr>
          <w:p w14:paraId="001C8E24" w14:textId="77777777" w:rsidR="002D0AE7" w:rsidRDefault="002D0AE7">
            <w:pPr>
              <w:autoSpaceDE w:val="0"/>
              <w:autoSpaceDN w:val="0"/>
              <w:adjustRightInd w:val="0"/>
              <w:jc w:val="center"/>
              <w:rPr>
                <w:rFonts w:hint="eastAsia"/>
                <w:color w:val="000000" w:themeColor="text1"/>
                <w:sz w:val="21"/>
                <w:szCs w:val="21"/>
              </w:rPr>
            </w:pPr>
          </w:p>
        </w:tc>
        <w:tc>
          <w:tcPr>
            <w:tcW w:w="574" w:type="pct"/>
            <w:vAlign w:val="center"/>
          </w:tcPr>
          <w:p w14:paraId="6285A15D" w14:textId="77777777" w:rsidR="002D0AE7" w:rsidRDefault="00333EBB">
            <w:pPr>
              <w:autoSpaceDE w:val="0"/>
              <w:autoSpaceDN w:val="0"/>
              <w:adjustRightInd w:val="0"/>
              <w:jc w:val="center"/>
              <w:rPr>
                <w:rFonts w:hint="eastAsia"/>
                <w:color w:val="000000" w:themeColor="text1"/>
                <w:sz w:val="21"/>
                <w:szCs w:val="21"/>
              </w:rPr>
            </w:pPr>
            <w:r>
              <w:rPr>
                <w:rFonts w:hint="eastAsia"/>
                <w:color w:val="000000" w:themeColor="text1"/>
                <w:sz w:val="21"/>
                <w:szCs w:val="21"/>
              </w:rPr>
              <w:t>内部开发支出</w:t>
            </w:r>
          </w:p>
        </w:tc>
        <w:tc>
          <w:tcPr>
            <w:tcW w:w="529" w:type="pct"/>
            <w:vAlign w:val="center"/>
          </w:tcPr>
          <w:p w14:paraId="3B8C6605" w14:textId="77777777" w:rsidR="002D0AE7" w:rsidRDefault="00333EBB">
            <w:pPr>
              <w:autoSpaceDE w:val="0"/>
              <w:autoSpaceDN w:val="0"/>
              <w:adjustRightInd w:val="0"/>
              <w:jc w:val="center"/>
              <w:rPr>
                <w:rFonts w:hint="eastAsia"/>
                <w:color w:val="000000" w:themeColor="text1"/>
                <w:sz w:val="21"/>
                <w:szCs w:val="21"/>
              </w:rPr>
            </w:pPr>
            <w:r>
              <w:rPr>
                <w:rFonts w:hint="eastAsia"/>
                <w:color w:val="000000" w:themeColor="text1"/>
                <w:sz w:val="21"/>
                <w:szCs w:val="21"/>
              </w:rPr>
              <w:t>委托研发支出</w:t>
            </w:r>
          </w:p>
        </w:tc>
        <w:tc>
          <w:tcPr>
            <w:tcW w:w="263" w:type="pct"/>
            <w:vAlign w:val="center"/>
          </w:tcPr>
          <w:p w14:paraId="1432B200" w14:textId="77777777" w:rsidR="002D0AE7" w:rsidRDefault="00333EBB">
            <w:pPr>
              <w:autoSpaceDE w:val="0"/>
              <w:autoSpaceDN w:val="0"/>
              <w:adjustRightInd w:val="0"/>
              <w:jc w:val="center"/>
              <w:rPr>
                <w:rFonts w:hint="eastAsia"/>
                <w:color w:val="000000" w:themeColor="text1"/>
                <w:sz w:val="21"/>
                <w:szCs w:val="21"/>
              </w:rPr>
            </w:pPr>
            <w:r>
              <w:rPr>
                <w:rFonts w:hint="eastAsia"/>
                <w:color w:val="000000" w:themeColor="text1"/>
                <w:sz w:val="21"/>
                <w:szCs w:val="21"/>
              </w:rPr>
              <w:t xml:space="preserve">其他　</w:t>
            </w:r>
          </w:p>
        </w:tc>
        <w:tc>
          <w:tcPr>
            <w:tcW w:w="596" w:type="pct"/>
            <w:vAlign w:val="center"/>
          </w:tcPr>
          <w:p w14:paraId="77E357DA" w14:textId="77777777" w:rsidR="002D0AE7" w:rsidRDefault="00333EBB">
            <w:pPr>
              <w:autoSpaceDE w:val="0"/>
              <w:autoSpaceDN w:val="0"/>
              <w:adjustRightInd w:val="0"/>
              <w:jc w:val="center"/>
              <w:rPr>
                <w:rFonts w:hint="eastAsia"/>
                <w:color w:val="000000" w:themeColor="text1"/>
                <w:sz w:val="21"/>
                <w:szCs w:val="21"/>
              </w:rPr>
            </w:pPr>
            <w:r>
              <w:rPr>
                <w:rFonts w:hint="eastAsia"/>
                <w:color w:val="000000" w:themeColor="text1"/>
                <w:sz w:val="21"/>
                <w:szCs w:val="21"/>
              </w:rPr>
              <w:t>确认为无形资产</w:t>
            </w:r>
          </w:p>
        </w:tc>
        <w:tc>
          <w:tcPr>
            <w:tcW w:w="497" w:type="pct"/>
            <w:vAlign w:val="center"/>
          </w:tcPr>
          <w:p w14:paraId="67AE4CB1" w14:textId="77777777" w:rsidR="002D0AE7" w:rsidRDefault="00333EBB">
            <w:pPr>
              <w:autoSpaceDE w:val="0"/>
              <w:autoSpaceDN w:val="0"/>
              <w:adjustRightInd w:val="0"/>
              <w:jc w:val="center"/>
              <w:rPr>
                <w:rFonts w:hint="eastAsia"/>
                <w:color w:val="000000" w:themeColor="text1"/>
                <w:sz w:val="21"/>
                <w:szCs w:val="21"/>
              </w:rPr>
            </w:pPr>
            <w:r>
              <w:rPr>
                <w:rFonts w:hint="eastAsia"/>
                <w:color w:val="000000" w:themeColor="text1"/>
                <w:sz w:val="21"/>
                <w:szCs w:val="21"/>
              </w:rPr>
              <w:t>转入当期损益</w:t>
            </w:r>
          </w:p>
        </w:tc>
        <w:tc>
          <w:tcPr>
            <w:tcW w:w="526" w:type="pct"/>
            <w:vAlign w:val="center"/>
          </w:tcPr>
          <w:p w14:paraId="24C0FDF1" w14:textId="77777777" w:rsidR="002D0AE7" w:rsidRDefault="00333EBB">
            <w:pPr>
              <w:autoSpaceDE w:val="0"/>
              <w:autoSpaceDN w:val="0"/>
              <w:adjustRightInd w:val="0"/>
              <w:jc w:val="center"/>
              <w:rPr>
                <w:rFonts w:hint="eastAsia"/>
                <w:color w:val="000000" w:themeColor="text1"/>
                <w:sz w:val="21"/>
                <w:szCs w:val="21"/>
              </w:rPr>
            </w:pPr>
            <w:r>
              <w:rPr>
                <w:rFonts w:hint="eastAsia"/>
                <w:color w:val="000000" w:themeColor="text1"/>
                <w:sz w:val="21"/>
                <w:szCs w:val="21"/>
              </w:rPr>
              <w:t>其他</w:t>
            </w:r>
          </w:p>
        </w:tc>
        <w:tc>
          <w:tcPr>
            <w:tcW w:w="597" w:type="pct"/>
            <w:vMerge/>
          </w:tcPr>
          <w:p w14:paraId="1ADABFA6" w14:textId="77777777" w:rsidR="002D0AE7" w:rsidRDefault="002D0AE7">
            <w:pPr>
              <w:autoSpaceDE w:val="0"/>
              <w:autoSpaceDN w:val="0"/>
              <w:adjustRightInd w:val="0"/>
              <w:jc w:val="center"/>
              <w:rPr>
                <w:rFonts w:hint="eastAsia"/>
                <w:color w:val="000000" w:themeColor="text1"/>
                <w:sz w:val="21"/>
                <w:szCs w:val="21"/>
              </w:rPr>
            </w:pPr>
          </w:p>
        </w:tc>
      </w:tr>
      <w:tr w:rsidR="002D0AE7" w14:paraId="117960CF" w14:textId="77777777">
        <w:trPr>
          <w:jc w:val="center"/>
        </w:trPr>
        <w:tc>
          <w:tcPr>
            <w:tcW w:w="845" w:type="pct"/>
          </w:tcPr>
          <w:p w14:paraId="23C1CD2C" w14:textId="77777777" w:rsidR="002D0AE7" w:rsidRDefault="00333EBB">
            <w:pPr>
              <w:rPr>
                <w:rFonts w:hint="eastAsia"/>
                <w:sz w:val="21"/>
                <w:szCs w:val="21"/>
              </w:rPr>
            </w:pPr>
            <w:r>
              <w:rPr>
                <w:sz w:val="21"/>
                <w:szCs w:val="21"/>
              </w:rPr>
              <w:t>XP0006</w:t>
            </w:r>
          </w:p>
        </w:tc>
        <w:tc>
          <w:tcPr>
            <w:tcW w:w="573" w:type="pct"/>
            <w:shd w:val="clear" w:color="auto" w:fill="auto"/>
            <w:vAlign w:val="center"/>
          </w:tcPr>
          <w:p w14:paraId="5CE8D4F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22,081,076.65</w:t>
            </w:r>
          </w:p>
        </w:tc>
        <w:tc>
          <w:tcPr>
            <w:tcW w:w="574" w:type="pct"/>
            <w:shd w:val="clear" w:color="auto" w:fill="auto"/>
            <w:vAlign w:val="center"/>
          </w:tcPr>
          <w:p w14:paraId="6B3E181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9" w:type="pct"/>
            <w:shd w:val="clear" w:color="auto" w:fill="auto"/>
            <w:vAlign w:val="center"/>
          </w:tcPr>
          <w:p w14:paraId="482EEB7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4B0C2E9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2D64221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757C678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409D89F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76C227AF"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22,081,076.65</w:t>
            </w:r>
          </w:p>
        </w:tc>
      </w:tr>
      <w:tr w:rsidR="002D0AE7" w14:paraId="148BAAF5" w14:textId="77777777">
        <w:trPr>
          <w:jc w:val="center"/>
        </w:trPr>
        <w:tc>
          <w:tcPr>
            <w:tcW w:w="845" w:type="pct"/>
          </w:tcPr>
          <w:p w14:paraId="78839EF7" w14:textId="77777777" w:rsidR="002D0AE7" w:rsidRDefault="00333EBB">
            <w:pPr>
              <w:rPr>
                <w:rFonts w:hint="eastAsia"/>
                <w:sz w:val="21"/>
                <w:szCs w:val="21"/>
              </w:rPr>
            </w:pPr>
            <w:r>
              <w:rPr>
                <w:sz w:val="21"/>
                <w:szCs w:val="21"/>
              </w:rPr>
              <w:t>D</w:t>
            </w:r>
            <w:r>
              <w:rPr>
                <w:sz w:val="21"/>
                <w:szCs w:val="21"/>
              </w:rPr>
              <w:t>滴眼液</w:t>
            </w:r>
          </w:p>
        </w:tc>
        <w:tc>
          <w:tcPr>
            <w:tcW w:w="573" w:type="pct"/>
            <w:shd w:val="clear" w:color="auto" w:fill="auto"/>
            <w:vAlign w:val="center"/>
          </w:tcPr>
          <w:p w14:paraId="6C766BA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20,687,726.65</w:t>
            </w:r>
          </w:p>
        </w:tc>
        <w:tc>
          <w:tcPr>
            <w:tcW w:w="574" w:type="pct"/>
            <w:shd w:val="clear" w:color="auto" w:fill="auto"/>
            <w:vAlign w:val="center"/>
          </w:tcPr>
          <w:p w14:paraId="160CE4A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2,575.22</w:t>
            </w:r>
          </w:p>
        </w:tc>
        <w:tc>
          <w:tcPr>
            <w:tcW w:w="529" w:type="pct"/>
            <w:shd w:val="clear" w:color="auto" w:fill="auto"/>
            <w:vAlign w:val="center"/>
          </w:tcPr>
          <w:p w14:paraId="07AD6FD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23A7ED9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7C52579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7DF78D0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1CEB3153"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05CFEB8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20,690,301.87</w:t>
            </w:r>
          </w:p>
        </w:tc>
      </w:tr>
      <w:tr w:rsidR="002D0AE7" w14:paraId="1171E40D" w14:textId="77777777">
        <w:trPr>
          <w:jc w:val="center"/>
        </w:trPr>
        <w:tc>
          <w:tcPr>
            <w:tcW w:w="845" w:type="pct"/>
          </w:tcPr>
          <w:p w14:paraId="4D2A37B8" w14:textId="77777777" w:rsidR="002D0AE7" w:rsidRDefault="00333EBB">
            <w:pPr>
              <w:rPr>
                <w:rFonts w:hint="eastAsia"/>
                <w:sz w:val="21"/>
                <w:szCs w:val="21"/>
              </w:rPr>
            </w:pPr>
            <w:r>
              <w:rPr>
                <w:sz w:val="21"/>
                <w:szCs w:val="21"/>
              </w:rPr>
              <w:t>二氟泼尼酯眼用乳剂</w:t>
            </w:r>
          </w:p>
        </w:tc>
        <w:tc>
          <w:tcPr>
            <w:tcW w:w="573" w:type="pct"/>
            <w:shd w:val="clear" w:color="auto" w:fill="auto"/>
            <w:vAlign w:val="center"/>
          </w:tcPr>
          <w:p w14:paraId="67A868F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15,954,164.41</w:t>
            </w:r>
          </w:p>
        </w:tc>
        <w:tc>
          <w:tcPr>
            <w:tcW w:w="574" w:type="pct"/>
            <w:shd w:val="clear" w:color="auto" w:fill="auto"/>
            <w:vAlign w:val="center"/>
          </w:tcPr>
          <w:p w14:paraId="42CF540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19,038.46</w:t>
            </w:r>
          </w:p>
        </w:tc>
        <w:tc>
          <w:tcPr>
            <w:tcW w:w="529" w:type="pct"/>
            <w:shd w:val="clear" w:color="auto" w:fill="auto"/>
            <w:vAlign w:val="center"/>
          </w:tcPr>
          <w:p w14:paraId="26D8306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4EC64D7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2896AAD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3724E76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1DCF1AF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2D4A2B7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15,973,202.87</w:t>
            </w:r>
          </w:p>
        </w:tc>
      </w:tr>
      <w:tr w:rsidR="002D0AE7" w14:paraId="53FA7197" w14:textId="77777777">
        <w:trPr>
          <w:jc w:val="center"/>
        </w:trPr>
        <w:tc>
          <w:tcPr>
            <w:tcW w:w="845" w:type="pct"/>
          </w:tcPr>
          <w:p w14:paraId="59467135" w14:textId="77777777" w:rsidR="002D0AE7" w:rsidRDefault="00333EBB">
            <w:pPr>
              <w:rPr>
                <w:rFonts w:hint="eastAsia"/>
                <w:sz w:val="21"/>
                <w:szCs w:val="21"/>
              </w:rPr>
            </w:pPr>
            <w:r>
              <w:rPr>
                <w:sz w:val="21"/>
                <w:szCs w:val="21"/>
              </w:rPr>
              <w:t>吸入用</w:t>
            </w:r>
            <w:r>
              <w:rPr>
                <w:sz w:val="21"/>
                <w:szCs w:val="21"/>
              </w:rPr>
              <w:t>XP003</w:t>
            </w:r>
            <w:r>
              <w:rPr>
                <w:sz w:val="21"/>
                <w:szCs w:val="21"/>
              </w:rPr>
              <w:t>混悬液</w:t>
            </w:r>
          </w:p>
        </w:tc>
        <w:tc>
          <w:tcPr>
            <w:tcW w:w="573" w:type="pct"/>
            <w:shd w:val="clear" w:color="auto" w:fill="auto"/>
            <w:vAlign w:val="center"/>
          </w:tcPr>
          <w:p w14:paraId="7E71D7B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12,238,302.65</w:t>
            </w:r>
          </w:p>
        </w:tc>
        <w:tc>
          <w:tcPr>
            <w:tcW w:w="574" w:type="pct"/>
            <w:shd w:val="clear" w:color="auto" w:fill="auto"/>
            <w:vAlign w:val="center"/>
          </w:tcPr>
          <w:p w14:paraId="706D830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11,059.67</w:t>
            </w:r>
          </w:p>
        </w:tc>
        <w:tc>
          <w:tcPr>
            <w:tcW w:w="529" w:type="pct"/>
            <w:shd w:val="clear" w:color="auto" w:fill="auto"/>
            <w:vAlign w:val="center"/>
          </w:tcPr>
          <w:p w14:paraId="3448DE5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6A86830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455C773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07560EC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0B82096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16AF090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12,249,362.32</w:t>
            </w:r>
          </w:p>
        </w:tc>
      </w:tr>
      <w:tr w:rsidR="002D0AE7" w14:paraId="108DE2DD" w14:textId="77777777">
        <w:trPr>
          <w:jc w:val="center"/>
        </w:trPr>
        <w:tc>
          <w:tcPr>
            <w:tcW w:w="845" w:type="pct"/>
          </w:tcPr>
          <w:p w14:paraId="49E48718" w14:textId="77777777" w:rsidR="002D0AE7" w:rsidRDefault="00333EBB">
            <w:pPr>
              <w:rPr>
                <w:rFonts w:hint="eastAsia"/>
                <w:sz w:val="21"/>
                <w:szCs w:val="21"/>
              </w:rPr>
            </w:pPr>
            <w:r>
              <w:rPr>
                <w:sz w:val="21"/>
                <w:szCs w:val="21"/>
              </w:rPr>
              <w:t>GJ0004</w:t>
            </w:r>
          </w:p>
        </w:tc>
        <w:tc>
          <w:tcPr>
            <w:tcW w:w="573" w:type="pct"/>
            <w:shd w:val="clear" w:color="auto" w:fill="auto"/>
            <w:vAlign w:val="center"/>
          </w:tcPr>
          <w:p w14:paraId="5F1F8A5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11,930,782.84</w:t>
            </w:r>
          </w:p>
        </w:tc>
        <w:tc>
          <w:tcPr>
            <w:tcW w:w="574" w:type="pct"/>
            <w:shd w:val="clear" w:color="auto" w:fill="auto"/>
            <w:vAlign w:val="center"/>
          </w:tcPr>
          <w:p w14:paraId="580C328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9" w:type="pct"/>
            <w:shd w:val="clear" w:color="auto" w:fill="auto"/>
            <w:vAlign w:val="center"/>
          </w:tcPr>
          <w:p w14:paraId="66FA707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30B8FA1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435E358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1038E76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7211D59F"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313D1CF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11,930,782.84</w:t>
            </w:r>
          </w:p>
        </w:tc>
      </w:tr>
      <w:tr w:rsidR="002D0AE7" w14:paraId="623360BB" w14:textId="77777777">
        <w:trPr>
          <w:jc w:val="center"/>
        </w:trPr>
        <w:tc>
          <w:tcPr>
            <w:tcW w:w="845" w:type="pct"/>
          </w:tcPr>
          <w:p w14:paraId="2E4500AB" w14:textId="77777777" w:rsidR="002D0AE7" w:rsidRDefault="00333EBB">
            <w:pPr>
              <w:rPr>
                <w:rFonts w:hint="eastAsia"/>
                <w:sz w:val="21"/>
                <w:szCs w:val="21"/>
              </w:rPr>
            </w:pPr>
            <w:r>
              <w:rPr>
                <w:sz w:val="21"/>
                <w:szCs w:val="21"/>
              </w:rPr>
              <w:t>XP0004</w:t>
            </w:r>
          </w:p>
        </w:tc>
        <w:tc>
          <w:tcPr>
            <w:tcW w:w="573" w:type="pct"/>
            <w:shd w:val="clear" w:color="auto" w:fill="auto"/>
            <w:vAlign w:val="center"/>
          </w:tcPr>
          <w:p w14:paraId="2837656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7,668,260.37</w:t>
            </w:r>
          </w:p>
        </w:tc>
        <w:tc>
          <w:tcPr>
            <w:tcW w:w="574" w:type="pct"/>
            <w:shd w:val="clear" w:color="auto" w:fill="auto"/>
            <w:vAlign w:val="center"/>
          </w:tcPr>
          <w:p w14:paraId="703B077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9" w:type="pct"/>
            <w:shd w:val="clear" w:color="auto" w:fill="auto"/>
            <w:vAlign w:val="center"/>
          </w:tcPr>
          <w:p w14:paraId="239A96F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7C9EF5E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794D374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224F536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584036F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32898EA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7,668,260.37</w:t>
            </w:r>
          </w:p>
        </w:tc>
      </w:tr>
      <w:tr w:rsidR="002D0AE7" w14:paraId="05507590" w14:textId="77777777">
        <w:trPr>
          <w:jc w:val="center"/>
        </w:trPr>
        <w:tc>
          <w:tcPr>
            <w:tcW w:w="845" w:type="pct"/>
          </w:tcPr>
          <w:p w14:paraId="6812D6A0" w14:textId="77777777" w:rsidR="002D0AE7" w:rsidRDefault="00333EBB">
            <w:pPr>
              <w:rPr>
                <w:rFonts w:hint="eastAsia"/>
                <w:sz w:val="21"/>
                <w:szCs w:val="21"/>
              </w:rPr>
            </w:pPr>
            <w:r>
              <w:rPr>
                <w:sz w:val="21"/>
                <w:szCs w:val="21"/>
              </w:rPr>
              <w:t>中</w:t>
            </w:r>
            <w:r>
              <w:rPr>
                <w:sz w:val="21"/>
                <w:szCs w:val="21"/>
              </w:rPr>
              <w:t>/</w:t>
            </w:r>
            <w:r>
              <w:rPr>
                <w:sz w:val="21"/>
                <w:szCs w:val="21"/>
              </w:rPr>
              <w:t>长链脂肪乳注射液</w:t>
            </w:r>
          </w:p>
        </w:tc>
        <w:tc>
          <w:tcPr>
            <w:tcW w:w="573" w:type="pct"/>
            <w:shd w:val="clear" w:color="auto" w:fill="auto"/>
            <w:vAlign w:val="center"/>
          </w:tcPr>
          <w:p w14:paraId="35C0992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5,535,800.00</w:t>
            </w:r>
          </w:p>
        </w:tc>
        <w:tc>
          <w:tcPr>
            <w:tcW w:w="574" w:type="pct"/>
            <w:shd w:val="clear" w:color="auto" w:fill="auto"/>
            <w:vAlign w:val="center"/>
          </w:tcPr>
          <w:p w14:paraId="38C075F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9" w:type="pct"/>
            <w:shd w:val="clear" w:color="auto" w:fill="auto"/>
            <w:vAlign w:val="center"/>
          </w:tcPr>
          <w:p w14:paraId="4A7B385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742C20E3"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5BF69DC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1F0F91C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3357E81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4E6EA22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5,535,800.00</w:t>
            </w:r>
          </w:p>
        </w:tc>
      </w:tr>
      <w:tr w:rsidR="002D0AE7" w14:paraId="7DABAFA5" w14:textId="77777777">
        <w:trPr>
          <w:jc w:val="center"/>
        </w:trPr>
        <w:tc>
          <w:tcPr>
            <w:tcW w:w="845" w:type="pct"/>
          </w:tcPr>
          <w:p w14:paraId="7ABAC749" w14:textId="77777777" w:rsidR="002D0AE7" w:rsidRDefault="00333EBB">
            <w:pPr>
              <w:rPr>
                <w:rFonts w:hint="eastAsia"/>
                <w:sz w:val="21"/>
                <w:szCs w:val="21"/>
              </w:rPr>
            </w:pPr>
            <w:r>
              <w:rPr>
                <w:sz w:val="21"/>
                <w:szCs w:val="21"/>
              </w:rPr>
              <w:t>GJ0005</w:t>
            </w:r>
          </w:p>
        </w:tc>
        <w:tc>
          <w:tcPr>
            <w:tcW w:w="573" w:type="pct"/>
            <w:shd w:val="clear" w:color="auto" w:fill="auto"/>
            <w:vAlign w:val="center"/>
          </w:tcPr>
          <w:p w14:paraId="6A7C41A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4,889,639.16</w:t>
            </w:r>
          </w:p>
        </w:tc>
        <w:tc>
          <w:tcPr>
            <w:tcW w:w="574" w:type="pct"/>
            <w:shd w:val="clear" w:color="auto" w:fill="auto"/>
            <w:vAlign w:val="center"/>
          </w:tcPr>
          <w:p w14:paraId="3BEF0FD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7,935.35</w:t>
            </w:r>
          </w:p>
        </w:tc>
        <w:tc>
          <w:tcPr>
            <w:tcW w:w="529" w:type="pct"/>
            <w:shd w:val="clear" w:color="auto" w:fill="auto"/>
            <w:vAlign w:val="center"/>
          </w:tcPr>
          <w:p w14:paraId="5D3E733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3FD78203"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49A3964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23C96F9F"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01CBFF5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0A0F07D2"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4,897,574.51</w:t>
            </w:r>
          </w:p>
        </w:tc>
      </w:tr>
      <w:tr w:rsidR="002D0AE7" w14:paraId="504E8369" w14:textId="77777777">
        <w:trPr>
          <w:jc w:val="center"/>
        </w:trPr>
        <w:tc>
          <w:tcPr>
            <w:tcW w:w="845" w:type="pct"/>
            <w:shd w:val="clear" w:color="auto" w:fill="auto"/>
            <w:vAlign w:val="center"/>
          </w:tcPr>
          <w:p w14:paraId="3E7E5228" w14:textId="77777777" w:rsidR="002D0AE7" w:rsidRDefault="00333EBB">
            <w:pPr>
              <w:rPr>
                <w:rFonts w:hint="eastAsia"/>
                <w:sz w:val="21"/>
                <w:szCs w:val="21"/>
              </w:rPr>
            </w:pPr>
            <w:r>
              <w:rPr>
                <w:rFonts w:hint="eastAsia"/>
                <w:sz w:val="21"/>
                <w:szCs w:val="21"/>
              </w:rPr>
              <w:t>丙酸氟替卡松鼻喷雾剂</w:t>
            </w:r>
          </w:p>
        </w:tc>
        <w:tc>
          <w:tcPr>
            <w:tcW w:w="573" w:type="pct"/>
            <w:shd w:val="clear" w:color="auto" w:fill="auto"/>
            <w:vAlign w:val="center"/>
          </w:tcPr>
          <w:p w14:paraId="0F22919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4,843,300.00</w:t>
            </w:r>
          </w:p>
        </w:tc>
        <w:tc>
          <w:tcPr>
            <w:tcW w:w="574" w:type="pct"/>
            <w:shd w:val="clear" w:color="auto" w:fill="auto"/>
            <w:vAlign w:val="center"/>
          </w:tcPr>
          <w:p w14:paraId="3C38052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9" w:type="pct"/>
            <w:shd w:val="clear" w:color="auto" w:fill="auto"/>
            <w:vAlign w:val="center"/>
          </w:tcPr>
          <w:p w14:paraId="4C2A84F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163B720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0192A49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71C17FE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2754F0E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00AB8D0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4,843,300.00</w:t>
            </w:r>
          </w:p>
        </w:tc>
      </w:tr>
      <w:tr w:rsidR="002D0AE7" w14:paraId="67171B60" w14:textId="77777777">
        <w:trPr>
          <w:jc w:val="center"/>
        </w:trPr>
        <w:tc>
          <w:tcPr>
            <w:tcW w:w="845" w:type="pct"/>
            <w:shd w:val="clear" w:color="auto" w:fill="auto"/>
            <w:vAlign w:val="center"/>
          </w:tcPr>
          <w:p w14:paraId="6F14379F" w14:textId="77777777" w:rsidR="002D0AE7" w:rsidRDefault="00333EBB">
            <w:pPr>
              <w:rPr>
                <w:rFonts w:hint="eastAsia"/>
                <w:sz w:val="21"/>
                <w:szCs w:val="21"/>
              </w:rPr>
            </w:pPr>
            <w:r>
              <w:rPr>
                <w:rFonts w:hint="eastAsia"/>
                <w:sz w:val="21"/>
                <w:szCs w:val="21"/>
              </w:rPr>
              <w:t>精氨酸谷氨酸注射液</w:t>
            </w:r>
          </w:p>
        </w:tc>
        <w:tc>
          <w:tcPr>
            <w:tcW w:w="573" w:type="pct"/>
            <w:shd w:val="clear" w:color="auto" w:fill="auto"/>
            <w:vAlign w:val="center"/>
          </w:tcPr>
          <w:p w14:paraId="75A6CA5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4,212,000.00</w:t>
            </w:r>
          </w:p>
        </w:tc>
        <w:tc>
          <w:tcPr>
            <w:tcW w:w="574" w:type="pct"/>
            <w:shd w:val="clear" w:color="auto" w:fill="auto"/>
            <w:vAlign w:val="center"/>
          </w:tcPr>
          <w:p w14:paraId="1AAC738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9" w:type="pct"/>
            <w:shd w:val="clear" w:color="auto" w:fill="auto"/>
            <w:vAlign w:val="center"/>
          </w:tcPr>
          <w:p w14:paraId="64D7A28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3F831B9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23C7389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2CD1E70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0B997F12"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1AAC828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4,212,000.00</w:t>
            </w:r>
          </w:p>
        </w:tc>
      </w:tr>
      <w:tr w:rsidR="002D0AE7" w14:paraId="6D70018B" w14:textId="77777777">
        <w:trPr>
          <w:jc w:val="center"/>
        </w:trPr>
        <w:tc>
          <w:tcPr>
            <w:tcW w:w="845" w:type="pct"/>
            <w:shd w:val="clear" w:color="auto" w:fill="auto"/>
            <w:vAlign w:val="center"/>
          </w:tcPr>
          <w:p w14:paraId="7C821886" w14:textId="77777777" w:rsidR="002D0AE7" w:rsidRDefault="00333EBB">
            <w:pPr>
              <w:rPr>
                <w:rFonts w:hint="eastAsia"/>
                <w:sz w:val="21"/>
                <w:szCs w:val="21"/>
              </w:rPr>
            </w:pPr>
            <w:r>
              <w:rPr>
                <w:rFonts w:hint="eastAsia"/>
                <w:sz w:val="21"/>
                <w:szCs w:val="21"/>
              </w:rPr>
              <w:t>SZ0023</w:t>
            </w:r>
          </w:p>
        </w:tc>
        <w:tc>
          <w:tcPr>
            <w:tcW w:w="573" w:type="pct"/>
            <w:shd w:val="clear" w:color="auto" w:fill="auto"/>
            <w:vAlign w:val="center"/>
          </w:tcPr>
          <w:p w14:paraId="25F3C70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3,816,622.40</w:t>
            </w:r>
          </w:p>
        </w:tc>
        <w:tc>
          <w:tcPr>
            <w:tcW w:w="574" w:type="pct"/>
            <w:shd w:val="clear" w:color="auto" w:fill="auto"/>
            <w:vAlign w:val="center"/>
          </w:tcPr>
          <w:p w14:paraId="142795F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207,765.79</w:t>
            </w:r>
          </w:p>
        </w:tc>
        <w:tc>
          <w:tcPr>
            <w:tcW w:w="529" w:type="pct"/>
            <w:shd w:val="clear" w:color="auto" w:fill="auto"/>
            <w:vAlign w:val="center"/>
          </w:tcPr>
          <w:p w14:paraId="4DAFE0B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6F4CC61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6F5832A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259B0F0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489D20F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4F077DC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4,024,388.19</w:t>
            </w:r>
          </w:p>
        </w:tc>
      </w:tr>
      <w:tr w:rsidR="002D0AE7" w14:paraId="0E46B461" w14:textId="77777777">
        <w:trPr>
          <w:jc w:val="center"/>
        </w:trPr>
        <w:tc>
          <w:tcPr>
            <w:tcW w:w="845" w:type="pct"/>
            <w:shd w:val="clear" w:color="auto" w:fill="auto"/>
            <w:vAlign w:val="center"/>
          </w:tcPr>
          <w:p w14:paraId="7CF826AE" w14:textId="77777777" w:rsidR="002D0AE7" w:rsidRDefault="00333EBB">
            <w:pPr>
              <w:rPr>
                <w:rFonts w:hint="eastAsia"/>
                <w:sz w:val="21"/>
                <w:szCs w:val="21"/>
              </w:rPr>
            </w:pPr>
            <w:r>
              <w:rPr>
                <w:rFonts w:hint="eastAsia"/>
                <w:sz w:val="21"/>
                <w:szCs w:val="21"/>
              </w:rPr>
              <w:t>XP0021</w:t>
            </w:r>
          </w:p>
        </w:tc>
        <w:tc>
          <w:tcPr>
            <w:tcW w:w="573" w:type="pct"/>
            <w:shd w:val="clear" w:color="auto" w:fill="auto"/>
            <w:vAlign w:val="center"/>
          </w:tcPr>
          <w:p w14:paraId="56F0E4B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3,165,212.43</w:t>
            </w:r>
          </w:p>
        </w:tc>
        <w:tc>
          <w:tcPr>
            <w:tcW w:w="574" w:type="pct"/>
            <w:shd w:val="clear" w:color="auto" w:fill="auto"/>
            <w:vAlign w:val="center"/>
          </w:tcPr>
          <w:p w14:paraId="7282EB9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12,171.91</w:t>
            </w:r>
          </w:p>
        </w:tc>
        <w:tc>
          <w:tcPr>
            <w:tcW w:w="529" w:type="pct"/>
            <w:shd w:val="clear" w:color="auto" w:fill="auto"/>
            <w:vAlign w:val="center"/>
          </w:tcPr>
          <w:p w14:paraId="2393DE2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7ABEA5A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7EE5106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34B3A752"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6B26D58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4BDA3C43"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3,177,384.34</w:t>
            </w:r>
          </w:p>
        </w:tc>
      </w:tr>
      <w:tr w:rsidR="002D0AE7" w14:paraId="29CEF2F5" w14:textId="77777777">
        <w:trPr>
          <w:jc w:val="center"/>
        </w:trPr>
        <w:tc>
          <w:tcPr>
            <w:tcW w:w="845" w:type="pct"/>
            <w:shd w:val="clear" w:color="auto" w:fill="auto"/>
            <w:vAlign w:val="center"/>
          </w:tcPr>
          <w:p w14:paraId="49829F24" w14:textId="77777777" w:rsidR="002D0AE7" w:rsidRDefault="00333EBB">
            <w:pPr>
              <w:rPr>
                <w:rFonts w:hint="eastAsia"/>
                <w:sz w:val="21"/>
                <w:szCs w:val="21"/>
              </w:rPr>
            </w:pPr>
            <w:r>
              <w:rPr>
                <w:rFonts w:hint="eastAsia"/>
                <w:sz w:val="21"/>
                <w:szCs w:val="21"/>
              </w:rPr>
              <w:t>GJ0006</w:t>
            </w:r>
          </w:p>
        </w:tc>
        <w:tc>
          <w:tcPr>
            <w:tcW w:w="573" w:type="pct"/>
            <w:shd w:val="clear" w:color="auto" w:fill="auto"/>
            <w:vAlign w:val="center"/>
          </w:tcPr>
          <w:p w14:paraId="332000DF"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3,024,107.56</w:t>
            </w:r>
          </w:p>
        </w:tc>
        <w:tc>
          <w:tcPr>
            <w:tcW w:w="574" w:type="pct"/>
            <w:shd w:val="clear" w:color="auto" w:fill="auto"/>
            <w:vAlign w:val="center"/>
          </w:tcPr>
          <w:p w14:paraId="6DCE27D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21,202.55</w:t>
            </w:r>
          </w:p>
        </w:tc>
        <w:tc>
          <w:tcPr>
            <w:tcW w:w="529" w:type="pct"/>
            <w:shd w:val="clear" w:color="auto" w:fill="auto"/>
            <w:vAlign w:val="center"/>
          </w:tcPr>
          <w:p w14:paraId="18DBC2E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41D17A6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1C528543"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24CF10C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36C2F63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706D3D2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3,045,310.11</w:t>
            </w:r>
          </w:p>
        </w:tc>
      </w:tr>
      <w:tr w:rsidR="002D0AE7" w14:paraId="6C614901" w14:textId="77777777">
        <w:trPr>
          <w:jc w:val="center"/>
        </w:trPr>
        <w:tc>
          <w:tcPr>
            <w:tcW w:w="845" w:type="pct"/>
            <w:shd w:val="clear" w:color="auto" w:fill="auto"/>
            <w:vAlign w:val="center"/>
          </w:tcPr>
          <w:p w14:paraId="034B5E13" w14:textId="77777777" w:rsidR="002D0AE7" w:rsidRDefault="00333EBB">
            <w:pPr>
              <w:rPr>
                <w:rFonts w:hint="eastAsia"/>
                <w:sz w:val="21"/>
                <w:szCs w:val="21"/>
              </w:rPr>
            </w:pPr>
            <w:r>
              <w:rPr>
                <w:rFonts w:hint="eastAsia"/>
                <w:sz w:val="21"/>
                <w:szCs w:val="21"/>
              </w:rPr>
              <w:t>JSZJ016</w:t>
            </w:r>
          </w:p>
        </w:tc>
        <w:tc>
          <w:tcPr>
            <w:tcW w:w="573" w:type="pct"/>
            <w:shd w:val="clear" w:color="auto" w:fill="auto"/>
            <w:vAlign w:val="center"/>
          </w:tcPr>
          <w:p w14:paraId="7D64B3C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2,641,973.54</w:t>
            </w:r>
          </w:p>
        </w:tc>
        <w:tc>
          <w:tcPr>
            <w:tcW w:w="574" w:type="pct"/>
            <w:shd w:val="clear" w:color="auto" w:fill="auto"/>
            <w:vAlign w:val="center"/>
          </w:tcPr>
          <w:p w14:paraId="1B52A27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311,328.38</w:t>
            </w:r>
          </w:p>
        </w:tc>
        <w:tc>
          <w:tcPr>
            <w:tcW w:w="529" w:type="pct"/>
            <w:shd w:val="clear" w:color="auto" w:fill="auto"/>
            <w:vAlign w:val="center"/>
          </w:tcPr>
          <w:p w14:paraId="4C2F2AF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488FEBA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544FEF5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199D7A4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4968CCEF"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548AD02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2,953,301.92</w:t>
            </w:r>
          </w:p>
        </w:tc>
      </w:tr>
      <w:tr w:rsidR="002D0AE7" w14:paraId="015595E7" w14:textId="77777777">
        <w:trPr>
          <w:jc w:val="center"/>
        </w:trPr>
        <w:tc>
          <w:tcPr>
            <w:tcW w:w="845" w:type="pct"/>
            <w:shd w:val="clear" w:color="auto" w:fill="auto"/>
            <w:vAlign w:val="center"/>
          </w:tcPr>
          <w:p w14:paraId="6B3A9276" w14:textId="77777777" w:rsidR="002D0AE7" w:rsidRDefault="00333EBB">
            <w:pPr>
              <w:rPr>
                <w:rFonts w:hint="eastAsia"/>
                <w:sz w:val="21"/>
                <w:szCs w:val="21"/>
              </w:rPr>
            </w:pPr>
            <w:r>
              <w:rPr>
                <w:rFonts w:hint="eastAsia"/>
                <w:sz w:val="21"/>
                <w:szCs w:val="21"/>
              </w:rPr>
              <w:t>脂肪乳注射液</w:t>
            </w:r>
          </w:p>
        </w:tc>
        <w:tc>
          <w:tcPr>
            <w:tcW w:w="573" w:type="pct"/>
            <w:shd w:val="clear" w:color="auto" w:fill="auto"/>
            <w:vAlign w:val="center"/>
          </w:tcPr>
          <w:p w14:paraId="4111B6A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2,494,500.00</w:t>
            </w:r>
          </w:p>
        </w:tc>
        <w:tc>
          <w:tcPr>
            <w:tcW w:w="574" w:type="pct"/>
            <w:shd w:val="clear" w:color="auto" w:fill="auto"/>
            <w:vAlign w:val="center"/>
          </w:tcPr>
          <w:p w14:paraId="5F99BD6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9" w:type="pct"/>
            <w:shd w:val="clear" w:color="auto" w:fill="auto"/>
            <w:vAlign w:val="center"/>
          </w:tcPr>
          <w:p w14:paraId="2804C96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5AAE4C5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6BB408C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74C1FD0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5114F90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2CA2EC72"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2,494,500.00</w:t>
            </w:r>
          </w:p>
        </w:tc>
      </w:tr>
      <w:tr w:rsidR="002D0AE7" w14:paraId="25632CB9" w14:textId="77777777">
        <w:trPr>
          <w:jc w:val="center"/>
        </w:trPr>
        <w:tc>
          <w:tcPr>
            <w:tcW w:w="845" w:type="pct"/>
            <w:shd w:val="clear" w:color="auto" w:fill="auto"/>
            <w:vAlign w:val="center"/>
          </w:tcPr>
          <w:p w14:paraId="4B647325" w14:textId="77777777" w:rsidR="002D0AE7" w:rsidRDefault="00333EBB">
            <w:pPr>
              <w:rPr>
                <w:rFonts w:hint="eastAsia"/>
                <w:sz w:val="21"/>
                <w:szCs w:val="21"/>
              </w:rPr>
            </w:pPr>
            <w:r>
              <w:rPr>
                <w:rFonts w:hint="eastAsia"/>
                <w:sz w:val="21"/>
                <w:szCs w:val="21"/>
              </w:rPr>
              <w:t>0.5</w:t>
            </w:r>
            <w:r>
              <w:rPr>
                <w:rFonts w:hint="eastAsia"/>
                <w:sz w:val="21"/>
                <w:szCs w:val="21"/>
              </w:rPr>
              <w:t>氯替泼诺混悬滴眼液</w:t>
            </w:r>
          </w:p>
        </w:tc>
        <w:tc>
          <w:tcPr>
            <w:tcW w:w="573" w:type="pct"/>
            <w:shd w:val="clear" w:color="auto" w:fill="auto"/>
            <w:vAlign w:val="center"/>
          </w:tcPr>
          <w:p w14:paraId="67A21D12"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2,113,294.76</w:t>
            </w:r>
          </w:p>
        </w:tc>
        <w:tc>
          <w:tcPr>
            <w:tcW w:w="574" w:type="pct"/>
            <w:shd w:val="clear" w:color="auto" w:fill="auto"/>
            <w:vAlign w:val="center"/>
          </w:tcPr>
          <w:p w14:paraId="51421D8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146,745.84</w:t>
            </w:r>
          </w:p>
        </w:tc>
        <w:tc>
          <w:tcPr>
            <w:tcW w:w="529" w:type="pct"/>
            <w:shd w:val="clear" w:color="auto" w:fill="auto"/>
            <w:vAlign w:val="center"/>
          </w:tcPr>
          <w:p w14:paraId="70744DD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38DA091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1F9C94C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55033CD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78424C63"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22795FF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2,260,040.60</w:t>
            </w:r>
          </w:p>
        </w:tc>
      </w:tr>
      <w:tr w:rsidR="002D0AE7" w14:paraId="484034AC" w14:textId="77777777">
        <w:trPr>
          <w:jc w:val="center"/>
        </w:trPr>
        <w:tc>
          <w:tcPr>
            <w:tcW w:w="845" w:type="pct"/>
            <w:shd w:val="clear" w:color="auto" w:fill="auto"/>
            <w:vAlign w:val="center"/>
          </w:tcPr>
          <w:p w14:paraId="68B76C34" w14:textId="77777777" w:rsidR="002D0AE7" w:rsidRDefault="00333EBB">
            <w:pPr>
              <w:rPr>
                <w:rFonts w:hint="eastAsia"/>
                <w:sz w:val="21"/>
                <w:szCs w:val="21"/>
              </w:rPr>
            </w:pPr>
            <w:r>
              <w:rPr>
                <w:rFonts w:hint="eastAsia"/>
                <w:sz w:val="21"/>
                <w:szCs w:val="21"/>
              </w:rPr>
              <w:t>SZ0025</w:t>
            </w:r>
          </w:p>
        </w:tc>
        <w:tc>
          <w:tcPr>
            <w:tcW w:w="573" w:type="pct"/>
            <w:shd w:val="clear" w:color="auto" w:fill="auto"/>
            <w:vAlign w:val="center"/>
          </w:tcPr>
          <w:p w14:paraId="5FBEED2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1,080,800.20</w:t>
            </w:r>
          </w:p>
        </w:tc>
        <w:tc>
          <w:tcPr>
            <w:tcW w:w="574" w:type="pct"/>
            <w:shd w:val="clear" w:color="auto" w:fill="auto"/>
            <w:vAlign w:val="center"/>
          </w:tcPr>
          <w:p w14:paraId="3A9D6223"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1,137,444.41</w:t>
            </w:r>
          </w:p>
        </w:tc>
        <w:tc>
          <w:tcPr>
            <w:tcW w:w="529" w:type="pct"/>
            <w:shd w:val="clear" w:color="auto" w:fill="auto"/>
            <w:vAlign w:val="center"/>
          </w:tcPr>
          <w:p w14:paraId="42CAB88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7616B8E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60C0AB9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5A84B8A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30AD640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06E2DCE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2,218,244.61</w:t>
            </w:r>
          </w:p>
        </w:tc>
      </w:tr>
      <w:tr w:rsidR="002D0AE7" w14:paraId="1628E4BC" w14:textId="77777777">
        <w:trPr>
          <w:jc w:val="center"/>
        </w:trPr>
        <w:tc>
          <w:tcPr>
            <w:tcW w:w="845" w:type="pct"/>
            <w:shd w:val="clear" w:color="auto" w:fill="auto"/>
            <w:vAlign w:val="center"/>
          </w:tcPr>
          <w:p w14:paraId="62318645" w14:textId="77777777" w:rsidR="002D0AE7" w:rsidRDefault="00333EBB">
            <w:pPr>
              <w:rPr>
                <w:rFonts w:hint="eastAsia"/>
                <w:sz w:val="21"/>
                <w:szCs w:val="21"/>
              </w:rPr>
            </w:pPr>
            <w:r>
              <w:rPr>
                <w:rFonts w:hint="eastAsia"/>
                <w:sz w:val="21"/>
                <w:szCs w:val="21"/>
              </w:rPr>
              <w:t>GJ0003</w:t>
            </w:r>
          </w:p>
        </w:tc>
        <w:tc>
          <w:tcPr>
            <w:tcW w:w="573" w:type="pct"/>
            <w:shd w:val="clear" w:color="auto" w:fill="auto"/>
            <w:vAlign w:val="center"/>
          </w:tcPr>
          <w:p w14:paraId="20F8F27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2,170,260.18</w:t>
            </w:r>
          </w:p>
        </w:tc>
        <w:tc>
          <w:tcPr>
            <w:tcW w:w="574" w:type="pct"/>
            <w:shd w:val="clear" w:color="auto" w:fill="auto"/>
            <w:vAlign w:val="center"/>
          </w:tcPr>
          <w:p w14:paraId="097A7A3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9" w:type="pct"/>
            <w:shd w:val="clear" w:color="auto" w:fill="auto"/>
            <w:vAlign w:val="center"/>
          </w:tcPr>
          <w:p w14:paraId="3AAECE7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5F349B0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002D356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6166E85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43ED353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7E1F69C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2,170,260.18</w:t>
            </w:r>
          </w:p>
        </w:tc>
      </w:tr>
      <w:tr w:rsidR="002D0AE7" w14:paraId="01AB6969" w14:textId="77777777">
        <w:trPr>
          <w:jc w:val="center"/>
        </w:trPr>
        <w:tc>
          <w:tcPr>
            <w:tcW w:w="845" w:type="pct"/>
            <w:shd w:val="clear" w:color="auto" w:fill="auto"/>
            <w:vAlign w:val="center"/>
          </w:tcPr>
          <w:p w14:paraId="39DBCF0C" w14:textId="77777777" w:rsidR="002D0AE7" w:rsidRDefault="00333EBB">
            <w:pPr>
              <w:rPr>
                <w:rFonts w:hint="eastAsia"/>
                <w:sz w:val="21"/>
                <w:szCs w:val="21"/>
              </w:rPr>
            </w:pPr>
            <w:r>
              <w:rPr>
                <w:rFonts w:hint="eastAsia"/>
                <w:sz w:val="21"/>
                <w:szCs w:val="21"/>
              </w:rPr>
              <w:t>XP0022</w:t>
            </w:r>
          </w:p>
        </w:tc>
        <w:tc>
          <w:tcPr>
            <w:tcW w:w="573" w:type="pct"/>
            <w:shd w:val="clear" w:color="auto" w:fill="auto"/>
            <w:vAlign w:val="center"/>
          </w:tcPr>
          <w:p w14:paraId="40A2D58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1,841,438.18</w:t>
            </w:r>
          </w:p>
        </w:tc>
        <w:tc>
          <w:tcPr>
            <w:tcW w:w="574" w:type="pct"/>
            <w:shd w:val="clear" w:color="auto" w:fill="auto"/>
            <w:vAlign w:val="center"/>
          </w:tcPr>
          <w:p w14:paraId="41E6718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129,682.87</w:t>
            </w:r>
          </w:p>
        </w:tc>
        <w:tc>
          <w:tcPr>
            <w:tcW w:w="529" w:type="pct"/>
            <w:shd w:val="clear" w:color="auto" w:fill="auto"/>
            <w:vAlign w:val="center"/>
          </w:tcPr>
          <w:p w14:paraId="409E784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1A78F7A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2DC1ED4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03B7AECF"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38B9E6A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4ED2A25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1,971,121.05</w:t>
            </w:r>
          </w:p>
        </w:tc>
      </w:tr>
      <w:tr w:rsidR="002D0AE7" w14:paraId="084D8116" w14:textId="77777777">
        <w:trPr>
          <w:jc w:val="center"/>
        </w:trPr>
        <w:tc>
          <w:tcPr>
            <w:tcW w:w="845" w:type="pct"/>
            <w:shd w:val="clear" w:color="auto" w:fill="auto"/>
            <w:vAlign w:val="center"/>
          </w:tcPr>
          <w:p w14:paraId="27F78749" w14:textId="77777777" w:rsidR="002D0AE7" w:rsidRDefault="00333EBB">
            <w:pPr>
              <w:rPr>
                <w:rFonts w:hint="eastAsia"/>
                <w:sz w:val="21"/>
                <w:szCs w:val="21"/>
              </w:rPr>
            </w:pPr>
            <w:r>
              <w:rPr>
                <w:rFonts w:hint="eastAsia"/>
                <w:sz w:val="21"/>
                <w:szCs w:val="21"/>
              </w:rPr>
              <w:t>氯替泼诺妥布霉素滴眼液</w:t>
            </w:r>
          </w:p>
        </w:tc>
        <w:tc>
          <w:tcPr>
            <w:tcW w:w="573" w:type="pct"/>
            <w:shd w:val="clear" w:color="auto" w:fill="auto"/>
            <w:vAlign w:val="center"/>
          </w:tcPr>
          <w:p w14:paraId="5E0DC07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1,845,493.57</w:t>
            </w:r>
          </w:p>
        </w:tc>
        <w:tc>
          <w:tcPr>
            <w:tcW w:w="574" w:type="pct"/>
            <w:shd w:val="clear" w:color="auto" w:fill="auto"/>
            <w:vAlign w:val="center"/>
          </w:tcPr>
          <w:p w14:paraId="509D172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9" w:type="pct"/>
            <w:shd w:val="clear" w:color="auto" w:fill="auto"/>
            <w:vAlign w:val="center"/>
          </w:tcPr>
          <w:p w14:paraId="358F0EE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4C3BDA42"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2F30F91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04D1669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70586F6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0BB70BD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1,845,493.57</w:t>
            </w:r>
          </w:p>
        </w:tc>
      </w:tr>
      <w:tr w:rsidR="002D0AE7" w14:paraId="6B526873" w14:textId="77777777">
        <w:trPr>
          <w:jc w:val="center"/>
        </w:trPr>
        <w:tc>
          <w:tcPr>
            <w:tcW w:w="845" w:type="pct"/>
            <w:shd w:val="clear" w:color="auto" w:fill="auto"/>
            <w:vAlign w:val="center"/>
          </w:tcPr>
          <w:p w14:paraId="205DDDE5" w14:textId="77777777" w:rsidR="002D0AE7" w:rsidRDefault="00333EBB">
            <w:pPr>
              <w:rPr>
                <w:rFonts w:hint="eastAsia"/>
                <w:sz w:val="21"/>
                <w:szCs w:val="21"/>
              </w:rPr>
            </w:pPr>
            <w:r>
              <w:rPr>
                <w:rFonts w:hint="eastAsia"/>
                <w:sz w:val="21"/>
                <w:szCs w:val="21"/>
              </w:rPr>
              <w:t>X04</w:t>
            </w:r>
          </w:p>
        </w:tc>
        <w:tc>
          <w:tcPr>
            <w:tcW w:w="573" w:type="pct"/>
            <w:shd w:val="clear" w:color="auto" w:fill="auto"/>
            <w:vAlign w:val="center"/>
          </w:tcPr>
          <w:p w14:paraId="4C1656CF"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1,655,829.18</w:t>
            </w:r>
          </w:p>
        </w:tc>
        <w:tc>
          <w:tcPr>
            <w:tcW w:w="574" w:type="pct"/>
            <w:shd w:val="clear" w:color="auto" w:fill="auto"/>
            <w:vAlign w:val="center"/>
          </w:tcPr>
          <w:p w14:paraId="100D1B0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34,153.53</w:t>
            </w:r>
          </w:p>
        </w:tc>
        <w:tc>
          <w:tcPr>
            <w:tcW w:w="529" w:type="pct"/>
            <w:shd w:val="clear" w:color="auto" w:fill="auto"/>
            <w:vAlign w:val="center"/>
          </w:tcPr>
          <w:p w14:paraId="61D23DC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599990A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7350275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650152E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7ED620C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77B4BA0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1,689,982.71</w:t>
            </w:r>
          </w:p>
        </w:tc>
      </w:tr>
      <w:tr w:rsidR="002D0AE7" w14:paraId="19615AFC" w14:textId="77777777">
        <w:trPr>
          <w:jc w:val="center"/>
        </w:trPr>
        <w:tc>
          <w:tcPr>
            <w:tcW w:w="845" w:type="pct"/>
            <w:shd w:val="clear" w:color="auto" w:fill="auto"/>
            <w:vAlign w:val="center"/>
          </w:tcPr>
          <w:p w14:paraId="537DFAFD" w14:textId="77777777" w:rsidR="002D0AE7" w:rsidRDefault="00333EBB">
            <w:pPr>
              <w:rPr>
                <w:rFonts w:hint="eastAsia"/>
                <w:sz w:val="21"/>
                <w:szCs w:val="21"/>
              </w:rPr>
            </w:pPr>
            <w:r>
              <w:rPr>
                <w:rFonts w:hint="eastAsia"/>
                <w:sz w:val="21"/>
                <w:szCs w:val="21"/>
              </w:rPr>
              <w:t>JSYL077</w:t>
            </w:r>
          </w:p>
        </w:tc>
        <w:tc>
          <w:tcPr>
            <w:tcW w:w="573" w:type="pct"/>
            <w:shd w:val="clear" w:color="auto" w:fill="auto"/>
            <w:vAlign w:val="center"/>
          </w:tcPr>
          <w:p w14:paraId="2312957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1,665,521.36</w:t>
            </w:r>
          </w:p>
        </w:tc>
        <w:tc>
          <w:tcPr>
            <w:tcW w:w="574" w:type="pct"/>
            <w:shd w:val="clear" w:color="auto" w:fill="auto"/>
            <w:vAlign w:val="center"/>
          </w:tcPr>
          <w:p w14:paraId="1AFC38F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1,789.08</w:t>
            </w:r>
          </w:p>
        </w:tc>
        <w:tc>
          <w:tcPr>
            <w:tcW w:w="529" w:type="pct"/>
            <w:shd w:val="clear" w:color="auto" w:fill="auto"/>
            <w:vAlign w:val="center"/>
          </w:tcPr>
          <w:p w14:paraId="5921390F"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6A96E78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3A3D72F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62708C2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12BCA76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6A6E027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1,667,310.44</w:t>
            </w:r>
          </w:p>
        </w:tc>
      </w:tr>
      <w:tr w:rsidR="002D0AE7" w14:paraId="7BB45EF8" w14:textId="77777777">
        <w:trPr>
          <w:jc w:val="center"/>
        </w:trPr>
        <w:tc>
          <w:tcPr>
            <w:tcW w:w="845" w:type="pct"/>
            <w:shd w:val="clear" w:color="auto" w:fill="auto"/>
            <w:vAlign w:val="center"/>
          </w:tcPr>
          <w:p w14:paraId="46EC4186" w14:textId="77777777" w:rsidR="002D0AE7" w:rsidRDefault="00333EBB">
            <w:pPr>
              <w:rPr>
                <w:rFonts w:hint="eastAsia"/>
                <w:sz w:val="21"/>
                <w:szCs w:val="21"/>
              </w:rPr>
            </w:pPr>
            <w:r>
              <w:rPr>
                <w:rFonts w:hint="eastAsia"/>
                <w:sz w:val="21"/>
                <w:szCs w:val="21"/>
              </w:rPr>
              <w:t>丙酸倍氯米松气雾剂</w:t>
            </w:r>
          </w:p>
        </w:tc>
        <w:tc>
          <w:tcPr>
            <w:tcW w:w="573" w:type="pct"/>
            <w:shd w:val="clear" w:color="auto" w:fill="auto"/>
            <w:vAlign w:val="center"/>
          </w:tcPr>
          <w:p w14:paraId="709A928F"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1,661,500.00</w:t>
            </w:r>
          </w:p>
        </w:tc>
        <w:tc>
          <w:tcPr>
            <w:tcW w:w="574" w:type="pct"/>
            <w:shd w:val="clear" w:color="auto" w:fill="auto"/>
            <w:vAlign w:val="center"/>
          </w:tcPr>
          <w:p w14:paraId="74F572D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9" w:type="pct"/>
            <w:shd w:val="clear" w:color="auto" w:fill="auto"/>
            <w:vAlign w:val="center"/>
          </w:tcPr>
          <w:p w14:paraId="07432B0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36D6505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56D4ADD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381DC63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694A96F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6D8E007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1,661,500.00</w:t>
            </w:r>
          </w:p>
        </w:tc>
      </w:tr>
      <w:tr w:rsidR="002D0AE7" w14:paraId="77D6B60D" w14:textId="77777777">
        <w:trPr>
          <w:jc w:val="center"/>
        </w:trPr>
        <w:tc>
          <w:tcPr>
            <w:tcW w:w="845" w:type="pct"/>
            <w:shd w:val="clear" w:color="auto" w:fill="auto"/>
            <w:vAlign w:val="center"/>
          </w:tcPr>
          <w:p w14:paraId="51AC419C" w14:textId="77777777" w:rsidR="002D0AE7" w:rsidRDefault="00333EBB">
            <w:pPr>
              <w:rPr>
                <w:rFonts w:hint="eastAsia"/>
                <w:sz w:val="21"/>
                <w:szCs w:val="21"/>
              </w:rPr>
            </w:pPr>
            <w:r>
              <w:rPr>
                <w:rFonts w:hint="eastAsia"/>
                <w:sz w:val="21"/>
                <w:szCs w:val="21"/>
              </w:rPr>
              <w:t>ZJ00001</w:t>
            </w:r>
          </w:p>
        </w:tc>
        <w:tc>
          <w:tcPr>
            <w:tcW w:w="573" w:type="pct"/>
            <w:shd w:val="clear" w:color="auto" w:fill="auto"/>
            <w:vAlign w:val="center"/>
          </w:tcPr>
          <w:p w14:paraId="585DDEB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1,647,080.35</w:t>
            </w:r>
          </w:p>
        </w:tc>
        <w:tc>
          <w:tcPr>
            <w:tcW w:w="574" w:type="pct"/>
            <w:shd w:val="clear" w:color="auto" w:fill="auto"/>
            <w:vAlign w:val="center"/>
          </w:tcPr>
          <w:p w14:paraId="243581D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9" w:type="pct"/>
            <w:shd w:val="clear" w:color="auto" w:fill="auto"/>
            <w:vAlign w:val="center"/>
          </w:tcPr>
          <w:p w14:paraId="33C32F3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61F7DC9F"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7CD7B91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7AE3C44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0EEE930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718AE09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1,647,080.35</w:t>
            </w:r>
          </w:p>
        </w:tc>
      </w:tr>
      <w:tr w:rsidR="002D0AE7" w14:paraId="413C3674" w14:textId="77777777">
        <w:trPr>
          <w:jc w:val="center"/>
        </w:trPr>
        <w:tc>
          <w:tcPr>
            <w:tcW w:w="845" w:type="pct"/>
            <w:shd w:val="clear" w:color="auto" w:fill="auto"/>
            <w:vAlign w:val="center"/>
          </w:tcPr>
          <w:p w14:paraId="03130FBB" w14:textId="77777777" w:rsidR="002D0AE7" w:rsidRDefault="00333EBB">
            <w:pPr>
              <w:rPr>
                <w:rFonts w:hint="eastAsia"/>
                <w:sz w:val="21"/>
                <w:szCs w:val="21"/>
              </w:rPr>
            </w:pPr>
            <w:r>
              <w:rPr>
                <w:rFonts w:hint="eastAsia"/>
                <w:sz w:val="21"/>
                <w:szCs w:val="21"/>
              </w:rPr>
              <w:t>SZ0027</w:t>
            </w:r>
          </w:p>
        </w:tc>
        <w:tc>
          <w:tcPr>
            <w:tcW w:w="573" w:type="pct"/>
            <w:shd w:val="clear" w:color="auto" w:fill="auto"/>
            <w:vAlign w:val="center"/>
          </w:tcPr>
          <w:p w14:paraId="0D4F27E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74" w:type="pct"/>
            <w:shd w:val="clear" w:color="auto" w:fill="auto"/>
            <w:vAlign w:val="center"/>
          </w:tcPr>
          <w:p w14:paraId="30BB119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1,641,264.68</w:t>
            </w:r>
          </w:p>
        </w:tc>
        <w:tc>
          <w:tcPr>
            <w:tcW w:w="529" w:type="pct"/>
            <w:shd w:val="clear" w:color="auto" w:fill="auto"/>
            <w:vAlign w:val="center"/>
          </w:tcPr>
          <w:p w14:paraId="139E35DF"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378571CF"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156BE07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668EF152"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14CCCA8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0F83756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1,641,264.68</w:t>
            </w:r>
          </w:p>
        </w:tc>
      </w:tr>
      <w:tr w:rsidR="002D0AE7" w14:paraId="4F39A183" w14:textId="77777777">
        <w:trPr>
          <w:jc w:val="center"/>
        </w:trPr>
        <w:tc>
          <w:tcPr>
            <w:tcW w:w="845" w:type="pct"/>
            <w:shd w:val="clear" w:color="auto" w:fill="auto"/>
            <w:vAlign w:val="center"/>
          </w:tcPr>
          <w:p w14:paraId="3E01DCE7" w14:textId="77777777" w:rsidR="002D0AE7" w:rsidRDefault="00333EBB">
            <w:pPr>
              <w:rPr>
                <w:rFonts w:hint="eastAsia"/>
                <w:sz w:val="21"/>
                <w:szCs w:val="21"/>
              </w:rPr>
            </w:pPr>
            <w:r>
              <w:rPr>
                <w:rFonts w:hint="eastAsia"/>
                <w:sz w:val="21"/>
                <w:szCs w:val="21"/>
              </w:rPr>
              <w:t>JSYL067</w:t>
            </w:r>
          </w:p>
        </w:tc>
        <w:tc>
          <w:tcPr>
            <w:tcW w:w="573" w:type="pct"/>
            <w:shd w:val="clear" w:color="auto" w:fill="auto"/>
            <w:vAlign w:val="center"/>
          </w:tcPr>
          <w:p w14:paraId="68845ECF"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1,588,431.90</w:t>
            </w:r>
          </w:p>
        </w:tc>
        <w:tc>
          <w:tcPr>
            <w:tcW w:w="574" w:type="pct"/>
            <w:shd w:val="clear" w:color="auto" w:fill="auto"/>
            <w:vAlign w:val="center"/>
          </w:tcPr>
          <w:p w14:paraId="393623AF"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741.21</w:t>
            </w:r>
          </w:p>
        </w:tc>
        <w:tc>
          <w:tcPr>
            <w:tcW w:w="529" w:type="pct"/>
            <w:shd w:val="clear" w:color="auto" w:fill="auto"/>
            <w:vAlign w:val="center"/>
          </w:tcPr>
          <w:p w14:paraId="6D03CD6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45EC1102"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0C5547E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3EB3478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7ECBAFC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672345C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1,589,173.11</w:t>
            </w:r>
          </w:p>
        </w:tc>
      </w:tr>
      <w:tr w:rsidR="002D0AE7" w14:paraId="60F8B2FF" w14:textId="77777777">
        <w:trPr>
          <w:jc w:val="center"/>
        </w:trPr>
        <w:tc>
          <w:tcPr>
            <w:tcW w:w="845" w:type="pct"/>
            <w:shd w:val="clear" w:color="auto" w:fill="auto"/>
            <w:vAlign w:val="center"/>
          </w:tcPr>
          <w:p w14:paraId="70F608D6" w14:textId="77777777" w:rsidR="002D0AE7" w:rsidRDefault="00333EBB">
            <w:pPr>
              <w:rPr>
                <w:rFonts w:hint="eastAsia"/>
                <w:sz w:val="21"/>
                <w:szCs w:val="21"/>
              </w:rPr>
            </w:pPr>
            <w:r>
              <w:rPr>
                <w:rFonts w:hint="eastAsia"/>
                <w:sz w:val="21"/>
                <w:szCs w:val="21"/>
              </w:rPr>
              <w:t>SZ0018</w:t>
            </w:r>
          </w:p>
        </w:tc>
        <w:tc>
          <w:tcPr>
            <w:tcW w:w="573" w:type="pct"/>
            <w:shd w:val="clear" w:color="auto" w:fill="auto"/>
            <w:vAlign w:val="center"/>
          </w:tcPr>
          <w:p w14:paraId="29BDE95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1,519,040.02</w:t>
            </w:r>
          </w:p>
        </w:tc>
        <w:tc>
          <w:tcPr>
            <w:tcW w:w="574" w:type="pct"/>
            <w:shd w:val="clear" w:color="auto" w:fill="auto"/>
            <w:vAlign w:val="center"/>
          </w:tcPr>
          <w:p w14:paraId="75AC675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9" w:type="pct"/>
            <w:shd w:val="clear" w:color="auto" w:fill="auto"/>
            <w:vAlign w:val="center"/>
          </w:tcPr>
          <w:p w14:paraId="7206820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7EB70A33"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4F0F47A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183BC422"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47DFFB42"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76B6E193"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1,519,040.02</w:t>
            </w:r>
          </w:p>
        </w:tc>
      </w:tr>
      <w:tr w:rsidR="002D0AE7" w14:paraId="4076C4DC" w14:textId="77777777">
        <w:trPr>
          <w:jc w:val="center"/>
        </w:trPr>
        <w:tc>
          <w:tcPr>
            <w:tcW w:w="845" w:type="pct"/>
            <w:shd w:val="clear" w:color="auto" w:fill="auto"/>
            <w:vAlign w:val="center"/>
          </w:tcPr>
          <w:p w14:paraId="3FF7BE5F" w14:textId="77777777" w:rsidR="002D0AE7" w:rsidRDefault="00333EBB">
            <w:pPr>
              <w:rPr>
                <w:rFonts w:hint="eastAsia"/>
                <w:sz w:val="21"/>
                <w:szCs w:val="21"/>
              </w:rPr>
            </w:pPr>
            <w:r>
              <w:rPr>
                <w:rFonts w:hint="eastAsia"/>
                <w:sz w:val="21"/>
                <w:szCs w:val="21"/>
              </w:rPr>
              <w:t>XP0005</w:t>
            </w:r>
          </w:p>
        </w:tc>
        <w:tc>
          <w:tcPr>
            <w:tcW w:w="573" w:type="pct"/>
            <w:shd w:val="clear" w:color="auto" w:fill="auto"/>
            <w:vAlign w:val="center"/>
          </w:tcPr>
          <w:p w14:paraId="1E4F254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1,482,475.91</w:t>
            </w:r>
          </w:p>
        </w:tc>
        <w:tc>
          <w:tcPr>
            <w:tcW w:w="574" w:type="pct"/>
            <w:shd w:val="clear" w:color="auto" w:fill="auto"/>
            <w:vAlign w:val="center"/>
          </w:tcPr>
          <w:p w14:paraId="5D558AF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7,076.28</w:t>
            </w:r>
          </w:p>
        </w:tc>
        <w:tc>
          <w:tcPr>
            <w:tcW w:w="529" w:type="pct"/>
            <w:shd w:val="clear" w:color="auto" w:fill="auto"/>
            <w:vAlign w:val="center"/>
          </w:tcPr>
          <w:p w14:paraId="35C17A8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5A86617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7056C71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4C20663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11FD3F7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3B798882"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1,489,552.19</w:t>
            </w:r>
          </w:p>
        </w:tc>
      </w:tr>
      <w:tr w:rsidR="002D0AE7" w14:paraId="69502163" w14:textId="77777777">
        <w:trPr>
          <w:jc w:val="center"/>
        </w:trPr>
        <w:tc>
          <w:tcPr>
            <w:tcW w:w="845" w:type="pct"/>
            <w:shd w:val="clear" w:color="auto" w:fill="auto"/>
            <w:vAlign w:val="center"/>
          </w:tcPr>
          <w:p w14:paraId="276AF966" w14:textId="77777777" w:rsidR="002D0AE7" w:rsidRDefault="00333EBB">
            <w:pPr>
              <w:rPr>
                <w:rFonts w:hint="eastAsia"/>
                <w:sz w:val="21"/>
                <w:szCs w:val="21"/>
              </w:rPr>
            </w:pPr>
            <w:r>
              <w:rPr>
                <w:rFonts w:hint="eastAsia"/>
                <w:sz w:val="21"/>
                <w:szCs w:val="21"/>
              </w:rPr>
              <w:t>Y16</w:t>
            </w:r>
          </w:p>
        </w:tc>
        <w:tc>
          <w:tcPr>
            <w:tcW w:w="573" w:type="pct"/>
            <w:shd w:val="clear" w:color="auto" w:fill="auto"/>
            <w:vAlign w:val="center"/>
          </w:tcPr>
          <w:p w14:paraId="4DEE90D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1,461,480.32</w:t>
            </w:r>
          </w:p>
        </w:tc>
        <w:tc>
          <w:tcPr>
            <w:tcW w:w="574" w:type="pct"/>
            <w:shd w:val="clear" w:color="auto" w:fill="auto"/>
            <w:vAlign w:val="center"/>
          </w:tcPr>
          <w:p w14:paraId="5437CA0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9" w:type="pct"/>
            <w:shd w:val="clear" w:color="auto" w:fill="auto"/>
            <w:vAlign w:val="center"/>
          </w:tcPr>
          <w:p w14:paraId="7B4DFEF3"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7A3AA802"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374C5F1F"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07E9EEA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347412B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63FFD9B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1,461,480.32</w:t>
            </w:r>
          </w:p>
        </w:tc>
      </w:tr>
      <w:tr w:rsidR="002D0AE7" w14:paraId="5CF51F5F" w14:textId="77777777">
        <w:trPr>
          <w:jc w:val="center"/>
        </w:trPr>
        <w:tc>
          <w:tcPr>
            <w:tcW w:w="845" w:type="pct"/>
            <w:shd w:val="clear" w:color="auto" w:fill="auto"/>
            <w:vAlign w:val="center"/>
          </w:tcPr>
          <w:p w14:paraId="421DBFFC" w14:textId="77777777" w:rsidR="002D0AE7" w:rsidRDefault="00333EBB">
            <w:pPr>
              <w:rPr>
                <w:rFonts w:hint="eastAsia"/>
                <w:sz w:val="21"/>
                <w:szCs w:val="21"/>
              </w:rPr>
            </w:pPr>
            <w:r>
              <w:rPr>
                <w:rFonts w:hint="eastAsia"/>
                <w:sz w:val="21"/>
                <w:szCs w:val="21"/>
              </w:rPr>
              <w:t>乳酸钠林格注射液</w:t>
            </w:r>
          </w:p>
        </w:tc>
        <w:tc>
          <w:tcPr>
            <w:tcW w:w="573" w:type="pct"/>
            <w:shd w:val="clear" w:color="auto" w:fill="auto"/>
            <w:vAlign w:val="center"/>
          </w:tcPr>
          <w:p w14:paraId="0A5B0B6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1,433,651.63</w:t>
            </w:r>
          </w:p>
        </w:tc>
        <w:tc>
          <w:tcPr>
            <w:tcW w:w="574" w:type="pct"/>
            <w:shd w:val="clear" w:color="auto" w:fill="auto"/>
            <w:vAlign w:val="center"/>
          </w:tcPr>
          <w:p w14:paraId="61D134A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-567.40</w:t>
            </w:r>
          </w:p>
        </w:tc>
        <w:tc>
          <w:tcPr>
            <w:tcW w:w="529" w:type="pct"/>
            <w:shd w:val="clear" w:color="auto" w:fill="auto"/>
            <w:vAlign w:val="center"/>
          </w:tcPr>
          <w:p w14:paraId="31DCBF8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7CACA35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06031FC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40E6700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6365985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4B92E20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1,433,084.23</w:t>
            </w:r>
          </w:p>
        </w:tc>
      </w:tr>
      <w:tr w:rsidR="002D0AE7" w14:paraId="775A03FE" w14:textId="77777777">
        <w:trPr>
          <w:jc w:val="center"/>
        </w:trPr>
        <w:tc>
          <w:tcPr>
            <w:tcW w:w="845" w:type="pct"/>
            <w:shd w:val="clear" w:color="auto" w:fill="auto"/>
            <w:vAlign w:val="center"/>
          </w:tcPr>
          <w:p w14:paraId="42C165A4" w14:textId="77777777" w:rsidR="002D0AE7" w:rsidRDefault="00333EBB">
            <w:pPr>
              <w:rPr>
                <w:rFonts w:hint="eastAsia"/>
                <w:sz w:val="21"/>
                <w:szCs w:val="21"/>
              </w:rPr>
            </w:pPr>
            <w:r>
              <w:rPr>
                <w:rFonts w:hint="eastAsia"/>
                <w:sz w:val="21"/>
                <w:szCs w:val="21"/>
              </w:rPr>
              <w:t>XP0012</w:t>
            </w:r>
          </w:p>
        </w:tc>
        <w:tc>
          <w:tcPr>
            <w:tcW w:w="573" w:type="pct"/>
            <w:shd w:val="clear" w:color="auto" w:fill="auto"/>
            <w:vAlign w:val="center"/>
          </w:tcPr>
          <w:p w14:paraId="10650E2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1,406,051.78</w:t>
            </w:r>
          </w:p>
        </w:tc>
        <w:tc>
          <w:tcPr>
            <w:tcW w:w="574" w:type="pct"/>
            <w:shd w:val="clear" w:color="auto" w:fill="auto"/>
            <w:vAlign w:val="center"/>
          </w:tcPr>
          <w:p w14:paraId="0FDCFC9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2,141.45</w:t>
            </w:r>
          </w:p>
        </w:tc>
        <w:tc>
          <w:tcPr>
            <w:tcW w:w="529" w:type="pct"/>
            <w:shd w:val="clear" w:color="auto" w:fill="auto"/>
            <w:vAlign w:val="center"/>
          </w:tcPr>
          <w:p w14:paraId="2BD3AB9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726B6FB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1EA8A1F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465AFB8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2B6FCEE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7B61F0A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1,408,193.23</w:t>
            </w:r>
          </w:p>
        </w:tc>
      </w:tr>
      <w:tr w:rsidR="002D0AE7" w14:paraId="43E7C8AC" w14:textId="77777777">
        <w:trPr>
          <w:jc w:val="center"/>
        </w:trPr>
        <w:tc>
          <w:tcPr>
            <w:tcW w:w="845" w:type="pct"/>
            <w:shd w:val="clear" w:color="auto" w:fill="auto"/>
            <w:vAlign w:val="center"/>
          </w:tcPr>
          <w:p w14:paraId="5358127F" w14:textId="77777777" w:rsidR="002D0AE7" w:rsidRDefault="00333EBB">
            <w:pPr>
              <w:rPr>
                <w:rFonts w:hint="eastAsia"/>
                <w:sz w:val="21"/>
                <w:szCs w:val="21"/>
              </w:rPr>
            </w:pPr>
            <w:r>
              <w:rPr>
                <w:rFonts w:hint="eastAsia"/>
                <w:sz w:val="21"/>
                <w:szCs w:val="21"/>
              </w:rPr>
              <w:t>X08</w:t>
            </w:r>
          </w:p>
        </w:tc>
        <w:tc>
          <w:tcPr>
            <w:tcW w:w="573" w:type="pct"/>
            <w:shd w:val="clear" w:color="auto" w:fill="auto"/>
            <w:vAlign w:val="center"/>
          </w:tcPr>
          <w:p w14:paraId="74CA694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839,423.78</w:t>
            </w:r>
          </w:p>
        </w:tc>
        <w:tc>
          <w:tcPr>
            <w:tcW w:w="574" w:type="pct"/>
            <w:shd w:val="clear" w:color="auto" w:fill="auto"/>
            <w:vAlign w:val="center"/>
          </w:tcPr>
          <w:p w14:paraId="1435AC2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9" w:type="pct"/>
            <w:shd w:val="clear" w:color="auto" w:fill="auto"/>
            <w:vAlign w:val="center"/>
          </w:tcPr>
          <w:p w14:paraId="6A1A023F"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495,283.02</w:t>
            </w:r>
          </w:p>
        </w:tc>
        <w:tc>
          <w:tcPr>
            <w:tcW w:w="263" w:type="pct"/>
            <w:shd w:val="clear" w:color="auto" w:fill="auto"/>
            <w:vAlign w:val="center"/>
          </w:tcPr>
          <w:p w14:paraId="02D51FE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4536964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5A30BB3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1A8B73D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72E7DBC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1,334,706.80</w:t>
            </w:r>
          </w:p>
        </w:tc>
      </w:tr>
      <w:tr w:rsidR="002D0AE7" w14:paraId="5FAF9662" w14:textId="77777777">
        <w:trPr>
          <w:jc w:val="center"/>
        </w:trPr>
        <w:tc>
          <w:tcPr>
            <w:tcW w:w="845" w:type="pct"/>
            <w:shd w:val="clear" w:color="auto" w:fill="auto"/>
            <w:vAlign w:val="center"/>
          </w:tcPr>
          <w:p w14:paraId="2E0A44BA" w14:textId="77777777" w:rsidR="002D0AE7" w:rsidRDefault="00333EBB">
            <w:pPr>
              <w:rPr>
                <w:rFonts w:hint="eastAsia"/>
                <w:sz w:val="21"/>
                <w:szCs w:val="21"/>
              </w:rPr>
            </w:pPr>
            <w:r>
              <w:rPr>
                <w:rFonts w:hint="eastAsia"/>
                <w:sz w:val="21"/>
                <w:szCs w:val="21"/>
              </w:rPr>
              <w:t>Y13</w:t>
            </w:r>
          </w:p>
        </w:tc>
        <w:tc>
          <w:tcPr>
            <w:tcW w:w="573" w:type="pct"/>
            <w:shd w:val="clear" w:color="auto" w:fill="auto"/>
            <w:vAlign w:val="center"/>
          </w:tcPr>
          <w:p w14:paraId="5AFB700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554,161.78</w:t>
            </w:r>
          </w:p>
        </w:tc>
        <w:tc>
          <w:tcPr>
            <w:tcW w:w="574" w:type="pct"/>
            <w:shd w:val="clear" w:color="auto" w:fill="auto"/>
            <w:vAlign w:val="center"/>
          </w:tcPr>
          <w:p w14:paraId="7B05C24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567.40</w:t>
            </w:r>
          </w:p>
        </w:tc>
        <w:tc>
          <w:tcPr>
            <w:tcW w:w="529" w:type="pct"/>
            <w:shd w:val="clear" w:color="auto" w:fill="auto"/>
            <w:vAlign w:val="center"/>
          </w:tcPr>
          <w:p w14:paraId="26FB737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648,954.58</w:t>
            </w:r>
          </w:p>
        </w:tc>
        <w:tc>
          <w:tcPr>
            <w:tcW w:w="263" w:type="pct"/>
            <w:shd w:val="clear" w:color="auto" w:fill="auto"/>
            <w:vAlign w:val="center"/>
          </w:tcPr>
          <w:p w14:paraId="178A5DC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323B525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28D280F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2EA94CE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2FF8325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1,203,683.76</w:t>
            </w:r>
          </w:p>
        </w:tc>
      </w:tr>
      <w:tr w:rsidR="002D0AE7" w14:paraId="4EDAF7BA" w14:textId="77777777">
        <w:trPr>
          <w:jc w:val="center"/>
        </w:trPr>
        <w:tc>
          <w:tcPr>
            <w:tcW w:w="845" w:type="pct"/>
            <w:shd w:val="clear" w:color="auto" w:fill="auto"/>
            <w:vAlign w:val="center"/>
          </w:tcPr>
          <w:p w14:paraId="6E290D95" w14:textId="77777777" w:rsidR="002D0AE7" w:rsidRDefault="00333EBB">
            <w:pPr>
              <w:rPr>
                <w:rFonts w:hint="eastAsia"/>
                <w:sz w:val="21"/>
                <w:szCs w:val="21"/>
              </w:rPr>
            </w:pPr>
            <w:r>
              <w:rPr>
                <w:rFonts w:hint="eastAsia"/>
                <w:sz w:val="21"/>
                <w:szCs w:val="21"/>
              </w:rPr>
              <w:t>SZ0009</w:t>
            </w:r>
          </w:p>
        </w:tc>
        <w:tc>
          <w:tcPr>
            <w:tcW w:w="573" w:type="pct"/>
            <w:shd w:val="clear" w:color="auto" w:fill="auto"/>
            <w:vAlign w:val="center"/>
          </w:tcPr>
          <w:p w14:paraId="37FB011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1,169,090.99</w:t>
            </w:r>
          </w:p>
        </w:tc>
        <w:tc>
          <w:tcPr>
            <w:tcW w:w="574" w:type="pct"/>
            <w:shd w:val="clear" w:color="auto" w:fill="auto"/>
            <w:vAlign w:val="center"/>
          </w:tcPr>
          <w:p w14:paraId="3366BCA2"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23,176.20</w:t>
            </w:r>
          </w:p>
        </w:tc>
        <w:tc>
          <w:tcPr>
            <w:tcW w:w="529" w:type="pct"/>
            <w:shd w:val="clear" w:color="auto" w:fill="auto"/>
            <w:vAlign w:val="center"/>
          </w:tcPr>
          <w:p w14:paraId="075F597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6FF6D53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6B5E42F2"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1A3B1EF3"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691F0C7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672D45C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1,192,267.19</w:t>
            </w:r>
          </w:p>
        </w:tc>
      </w:tr>
      <w:tr w:rsidR="002D0AE7" w14:paraId="0B78DA5F" w14:textId="77777777">
        <w:trPr>
          <w:jc w:val="center"/>
        </w:trPr>
        <w:tc>
          <w:tcPr>
            <w:tcW w:w="845" w:type="pct"/>
            <w:shd w:val="clear" w:color="auto" w:fill="auto"/>
            <w:vAlign w:val="center"/>
          </w:tcPr>
          <w:p w14:paraId="415E6DE4" w14:textId="77777777" w:rsidR="002D0AE7" w:rsidRDefault="00333EBB">
            <w:pPr>
              <w:rPr>
                <w:rFonts w:hint="eastAsia"/>
                <w:sz w:val="21"/>
                <w:szCs w:val="21"/>
              </w:rPr>
            </w:pPr>
            <w:r>
              <w:rPr>
                <w:rFonts w:hint="eastAsia"/>
                <w:sz w:val="21"/>
                <w:szCs w:val="21"/>
              </w:rPr>
              <w:t>Y17</w:t>
            </w:r>
          </w:p>
        </w:tc>
        <w:tc>
          <w:tcPr>
            <w:tcW w:w="573" w:type="pct"/>
            <w:shd w:val="clear" w:color="auto" w:fill="auto"/>
            <w:vAlign w:val="center"/>
          </w:tcPr>
          <w:p w14:paraId="5EAA9D1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587,668.36</w:t>
            </w:r>
          </w:p>
        </w:tc>
        <w:tc>
          <w:tcPr>
            <w:tcW w:w="574" w:type="pct"/>
            <w:shd w:val="clear" w:color="auto" w:fill="auto"/>
            <w:vAlign w:val="center"/>
          </w:tcPr>
          <w:p w14:paraId="52587BD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99,600.00</w:t>
            </w:r>
          </w:p>
        </w:tc>
        <w:tc>
          <w:tcPr>
            <w:tcW w:w="529" w:type="pct"/>
            <w:shd w:val="clear" w:color="auto" w:fill="auto"/>
            <w:vAlign w:val="center"/>
          </w:tcPr>
          <w:p w14:paraId="27934803"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503,330.02</w:t>
            </w:r>
          </w:p>
        </w:tc>
        <w:tc>
          <w:tcPr>
            <w:tcW w:w="263" w:type="pct"/>
            <w:shd w:val="clear" w:color="auto" w:fill="auto"/>
            <w:vAlign w:val="center"/>
          </w:tcPr>
          <w:p w14:paraId="583E665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6CE8195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1F21691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5FC85CD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249F39C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1,190,598.38</w:t>
            </w:r>
          </w:p>
        </w:tc>
      </w:tr>
      <w:tr w:rsidR="002D0AE7" w14:paraId="11EEF3B9" w14:textId="77777777">
        <w:trPr>
          <w:jc w:val="center"/>
        </w:trPr>
        <w:tc>
          <w:tcPr>
            <w:tcW w:w="845" w:type="pct"/>
            <w:shd w:val="clear" w:color="auto" w:fill="auto"/>
            <w:vAlign w:val="center"/>
          </w:tcPr>
          <w:p w14:paraId="365E15C6" w14:textId="77777777" w:rsidR="002D0AE7" w:rsidRDefault="00333EBB">
            <w:pPr>
              <w:rPr>
                <w:rFonts w:hint="eastAsia"/>
                <w:sz w:val="21"/>
                <w:szCs w:val="21"/>
              </w:rPr>
            </w:pPr>
            <w:r>
              <w:rPr>
                <w:rFonts w:hint="eastAsia"/>
                <w:sz w:val="21"/>
                <w:szCs w:val="21"/>
              </w:rPr>
              <w:t>X09</w:t>
            </w:r>
          </w:p>
        </w:tc>
        <w:tc>
          <w:tcPr>
            <w:tcW w:w="573" w:type="pct"/>
            <w:shd w:val="clear" w:color="auto" w:fill="auto"/>
            <w:vAlign w:val="center"/>
          </w:tcPr>
          <w:p w14:paraId="52762DA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765,710.18</w:t>
            </w:r>
          </w:p>
        </w:tc>
        <w:tc>
          <w:tcPr>
            <w:tcW w:w="574" w:type="pct"/>
            <w:shd w:val="clear" w:color="auto" w:fill="auto"/>
            <w:vAlign w:val="center"/>
          </w:tcPr>
          <w:p w14:paraId="1AC2995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9" w:type="pct"/>
            <w:shd w:val="clear" w:color="auto" w:fill="auto"/>
            <w:vAlign w:val="center"/>
          </w:tcPr>
          <w:p w14:paraId="36817C7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415,094.34</w:t>
            </w:r>
          </w:p>
        </w:tc>
        <w:tc>
          <w:tcPr>
            <w:tcW w:w="263" w:type="pct"/>
            <w:shd w:val="clear" w:color="auto" w:fill="auto"/>
            <w:vAlign w:val="center"/>
          </w:tcPr>
          <w:p w14:paraId="2091B81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11509E7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5CDC90C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14AAEFB2"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7CBA4B7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1,180,804.52</w:t>
            </w:r>
          </w:p>
        </w:tc>
      </w:tr>
      <w:tr w:rsidR="002D0AE7" w14:paraId="13715609" w14:textId="77777777">
        <w:trPr>
          <w:jc w:val="center"/>
        </w:trPr>
        <w:tc>
          <w:tcPr>
            <w:tcW w:w="845" w:type="pct"/>
            <w:shd w:val="clear" w:color="auto" w:fill="auto"/>
            <w:vAlign w:val="center"/>
          </w:tcPr>
          <w:p w14:paraId="1708B6AF" w14:textId="77777777" w:rsidR="002D0AE7" w:rsidRDefault="00333EBB">
            <w:pPr>
              <w:rPr>
                <w:rFonts w:hint="eastAsia"/>
                <w:sz w:val="21"/>
                <w:szCs w:val="21"/>
              </w:rPr>
            </w:pPr>
            <w:r>
              <w:rPr>
                <w:rFonts w:hint="eastAsia"/>
                <w:sz w:val="21"/>
                <w:szCs w:val="21"/>
              </w:rPr>
              <w:t>JSYL073</w:t>
            </w:r>
          </w:p>
        </w:tc>
        <w:tc>
          <w:tcPr>
            <w:tcW w:w="573" w:type="pct"/>
            <w:shd w:val="clear" w:color="auto" w:fill="auto"/>
            <w:vAlign w:val="center"/>
          </w:tcPr>
          <w:p w14:paraId="44550D13"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1,125,150.35</w:t>
            </w:r>
          </w:p>
        </w:tc>
        <w:tc>
          <w:tcPr>
            <w:tcW w:w="574" w:type="pct"/>
            <w:shd w:val="clear" w:color="auto" w:fill="auto"/>
            <w:vAlign w:val="center"/>
          </w:tcPr>
          <w:p w14:paraId="0DE35FE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9" w:type="pct"/>
            <w:shd w:val="clear" w:color="auto" w:fill="auto"/>
            <w:vAlign w:val="center"/>
          </w:tcPr>
          <w:p w14:paraId="66E2FE2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2D3C105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744B464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06D3CA8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060CF0C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397D354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1,125,150.35</w:t>
            </w:r>
          </w:p>
        </w:tc>
      </w:tr>
      <w:tr w:rsidR="002D0AE7" w14:paraId="36AA3CC8" w14:textId="77777777">
        <w:trPr>
          <w:jc w:val="center"/>
        </w:trPr>
        <w:tc>
          <w:tcPr>
            <w:tcW w:w="845" w:type="pct"/>
            <w:shd w:val="clear" w:color="auto" w:fill="auto"/>
            <w:vAlign w:val="center"/>
          </w:tcPr>
          <w:p w14:paraId="7DFE530F" w14:textId="77777777" w:rsidR="002D0AE7" w:rsidRDefault="00333EBB">
            <w:pPr>
              <w:rPr>
                <w:rFonts w:hint="eastAsia"/>
                <w:sz w:val="21"/>
                <w:szCs w:val="21"/>
              </w:rPr>
            </w:pPr>
            <w:r>
              <w:rPr>
                <w:rFonts w:hint="eastAsia"/>
                <w:sz w:val="21"/>
                <w:szCs w:val="21"/>
              </w:rPr>
              <w:lastRenderedPageBreak/>
              <w:t>XP0019</w:t>
            </w:r>
          </w:p>
        </w:tc>
        <w:tc>
          <w:tcPr>
            <w:tcW w:w="573" w:type="pct"/>
            <w:shd w:val="clear" w:color="auto" w:fill="auto"/>
            <w:vAlign w:val="center"/>
          </w:tcPr>
          <w:p w14:paraId="20C564B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1,058,082.58</w:t>
            </w:r>
          </w:p>
        </w:tc>
        <w:tc>
          <w:tcPr>
            <w:tcW w:w="574" w:type="pct"/>
            <w:shd w:val="clear" w:color="auto" w:fill="auto"/>
            <w:vAlign w:val="center"/>
          </w:tcPr>
          <w:p w14:paraId="4FB529C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57,747.23</w:t>
            </w:r>
          </w:p>
        </w:tc>
        <w:tc>
          <w:tcPr>
            <w:tcW w:w="529" w:type="pct"/>
            <w:shd w:val="clear" w:color="auto" w:fill="auto"/>
            <w:vAlign w:val="center"/>
          </w:tcPr>
          <w:p w14:paraId="74108FB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3A65F97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7520BEB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04418D4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61D5E77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661E6233"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1,115,829.81</w:t>
            </w:r>
          </w:p>
        </w:tc>
      </w:tr>
      <w:tr w:rsidR="002D0AE7" w14:paraId="2F60504F" w14:textId="77777777">
        <w:trPr>
          <w:jc w:val="center"/>
        </w:trPr>
        <w:tc>
          <w:tcPr>
            <w:tcW w:w="845" w:type="pct"/>
            <w:shd w:val="clear" w:color="auto" w:fill="auto"/>
            <w:vAlign w:val="center"/>
          </w:tcPr>
          <w:p w14:paraId="3BEAA0F8" w14:textId="77777777" w:rsidR="002D0AE7" w:rsidRDefault="00333EBB">
            <w:pPr>
              <w:rPr>
                <w:rFonts w:hint="eastAsia"/>
                <w:sz w:val="21"/>
                <w:szCs w:val="21"/>
              </w:rPr>
            </w:pPr>
            <w:r>
              <w:rPr>
                <w:rFonts w:hint="eastAsia"/>
                <w:sz w:val="21"/>
                <w:szCs w:val="21"/>
              </w:rPr>
              <w:t>JSYL087</w:t>
            </w:r>
          </w:p>
        </w:tc>
        <w:tc>
          <w:tcPr>
            <w:tcW w:w="573" w:type="pct"/>
            <w:shd w:val="clear" w:color="auto" w:fill="auto"/>
            <w:vAlign w:val="center"/>
          </w:tcPr>
          <w:p w14:paraId="332E1B8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1,089,209.76</w:t>
            </w:r>
          </w:p>
        </w:tc>
        <w:tc>
          <w:tcPr>
            <w:tcW w:w="574" w:type="pct"/>
            <w:shd w:val="clear" w:color="auto" w:fill="auto"/>
            <w:vAlign w:val="center"/>
          </w:tcPr>
          <w:p w14:paraId="0AE367F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14,083.87</w:t>
            </w:r>
          </w:p>
        </w:tc>
        <w:tc>
          <w:tcPr>
            <w:tcW w:w="529" w:type="pct"/>
            <w:shd w:val="clear" w:color="auto" w:fill="auto"/>
            <w:vAlign w:val="center"/>
          </w:tcPr>
          <w:p w14:paraId="5118E2C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42C0908F"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7076947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102B77C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6E9DA96F"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3179F95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1,103,293.63</w:t>
            </w:r>
          </w:p>
        </w:tc>
      </w:tr>
      <w:tr w:rsidR="002D0AE7" w14:paraId="58E4E7E9" w14:textId="77777777">
        <w:trPr>
          <w:jc w:val="center"/>
        </w:trPr>
        <w:tc>
          <w:tcPr>
            <w:tcW w:w="845" w:type="pct"/>
            <w:shd w:val="clear" w:color="auto" w:fill="auto"/>
            <w:vAlign w:val="center"/>
          </w:tcPr>
          <w:p w14:paraId="1CF5B347" w14:textId="77777777" w:rsidR="002D0AE7" w:rsidRDefault="00333EBB">
            <w:pPr>
              <w:rPr>
                <w:rFonts w:hint="eastAsia"/>
                <w:sz w:val="21"/>
                <w:szCs w:val="21"/>
              </w:rPr>
            </w:pPr>
            <w:r>
              <w:rPr>
                <w:rFonts w:hint="eastAsia"/>
                <w:sz w:val="21"/>
                <w:szCs w:val="21"/>
              </w:rPr>
              <w:t>X26</w:t>
            </w:r>
          </w:p>
        </w:tc>
        <w:tc>
          <w:tcPr>
            <w:tcW w:w="573" w:type="pct"/>
            <w:shd w:val="clear" w:color="auto" w:fill="auto"/>
            <w:vAlign w:val="center"/>
          </w:tcPr>
          <w:p w14:paraId="18EB76B3"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74" w:type="pct"/>
            <w:shd w:val="clear" w:color="auto" w:fill="auto"/>
            <w:vAlign w:val="center"/>
          </w:tcPr>
          <w:p w14:paraId="1C35649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639,513.14</w:t>
            </w:r>
          </w:p>
        </w:tc>
        <w:tc>
          <w:tcPr>
            <w:tcW w:w="529" w:type="pct"/>
            <w:shd w:val="clear" w:color="auto" w:fill="auto"/>
            <w:vAlign w:val="center"/>
          </w:tcPr>
          <w:p w14:paraId="47605A6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425,072.67</w:t>
            </w:r>
          </w:p>
        </w:tc>
        <w:tc>
          <w:tcPr>
            <w:tcW w:w="263" w:type="pct"/>
            <w:shd w:val="clear" w:color="auto" w:fill="auto"/>
            <w:vAlign w:val="center"/>
          </w:tcPr>
          <w:p w14:paraId="56791D0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7F5C4A52"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129C1A63"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09ACFF5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4CCC68FF"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1,064,585.81</w:t>
            </w:r>
          </w:p>
        </w:tc>
      </w:tr>
      <w:tr w:rsidR="002D0AE7" w14:paraId="55C06203" w14:textId="77777777">
        <w:trPr>
          <w:jc w:val="center"/>
        </w:trPr>
        <w:tc>
          <w:tcPr>
            <w:tcW w:w="845" w:type="pct"/>
            <w:shd w:val="clear" w:color="auto" w:fill="auto"/>
            <w:vAlign w:val="center"/>
          </w:tcPr>
          <w:p w14:paraId="60A1B759" w14:textId="77777777" w:rsidR="002D0AE7" w:rsidRDefault="00333EBB">
            <w:pPr>
              <w:rPr>
                <w:rFonts w:hint="eastAsia"/>
                <w:sz w:val="21"/>
                <w:szCs w:val="21"/>
              </w:rPr>
            </w:pPr>
            <w:r>
              <w:rPr>
                <w:rFonts w:hint="eastAsia"/>
                <w:sz w:val="21"/>
                <w:szCs w:val="21"/>
              </w:rPr>
              <w:t>JSYL082</w:t>
            </w:r>
          </w:p>
        </w:tc>
        <w:tc>
          <w:tcPr>
            <w:tcW w:w="573" w:type="pct"/>
            <w:shd w:val="clear" w:color="auto" w:fill="auto"/>
            <w:vAlign w:val="center"/>
          </w:tcPr>
          <w:p w14:paraId="3703CC2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1,055,389.99</w:t>
            </w:r>
          </w:p>
        </w:tc>
        <w:tc>
          <w:tcPr>
            <w:tcW w:w="574" w:type="pct"/>
            <w:shd w:val="clear" w:color="auto" w:fill="auto"/>
            <w:vAlign w:val="center"/>
          </w:tcPr>
          <w:p w14:paraId="27BB4FC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2,450.79</w:t>
            </w:r>
          </w:p>
        </w:tc>
        <w:tc>
          <w:tcPr>
            <w:tcW w:w="529" w:type="pct"/>
            <w:shd w:val="clear" w:color="auto" w:fill="auto"/>
            <w:vAlign w:val="center"/>
          </w:tcPr>
          <w:p w14:paraId="57EF6E5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1767CCA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0423EBF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7120BB92"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0FC8C382"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24010242"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1,057,840.78</w:t>
            </w:r>
          </w:p>
        </w:tc>
      </w:tr>
      <w:tr w:rsidR="002D0AE7" w14:paraId="3609A5C6" w14:textId="77777777">
        <w:trPr>
          <w:jc w:val="center"/>
        </w:trPr>
        <w:tc>
          <w:tcPr>
            <w:tcW w:w="845" w:type="pct"/>
            <w:shd w:val="clear" w:color="auto" w:fill="auto"/>
            <w:vAlign w:val="center"/>
          </w:tcPr>
          <w:p w14:paraId="507CE43B" w14:textId="77777777" w:rsidR="002D0AE7" w:rsidRDefault="00333EBB">
            <w:pPr>
              <w:rPr>
                <w:rFonts w:hint="eastAsia"/>
                <w:sz w:val="21"/>
                <w:szCs w:val="21"/>
              </w:rPr>
            </w:pPr>
            <w:r>
              <w:rPr>
                <w:rFonts w:hint="eastAsia"/>
                <w:sz w:val="21"/>
                <w:szCs w:val="21"/>
              </w:rPr>
              <w:t>JSYL081</w:t>
            </w:r>
          </w:p>
        </w:tc>
        <w:tc>
          <w:tcPr>
            <w:tcW w:w="573" w:type="pct"/>
            <w:shd w:val="clear" w:color="auto" w:fill="auto"/>
            <w:vAlign w:val="center"/>
          </w:tcPr>
          <w:p w14:paraId="624C8EC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1,029,425.73</w:t>
            </w:r>
          </w:p>
        </w:tc>
        <w:tc>
          <w:tcPr>
            <w:tcW w:w="574" w:type="pct"/>
            <w:shd w:val="clear" w:color="auto" w:fill="auto"/>
            <w:vAlign w:val="center"/>
          </w:tcPr>
          <w:p w14:paraId="2E0EAFA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7,917.67</w:t>
            </w:r>
          </w:p>
        </w:tc>
        <w:tc>
          <w:tcPr>
            <w:tcW w:w="529" w:type="pct"/>
            <w:shd w:val="clear" w:color="auto" w:fill="auto"/>
            <w:vAlign w:val="center"/>
          </w:tcPr>
          <w:p w14:paraId="047666F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4D584FB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4FF71EB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5661EFE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063E3FB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1D1E7F62"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1,037,343.40</w:t>
            </w:r>
          </w:p>
        </w:tc>
      </w:tr>
      <w:tr w:rsidR="002D0AE7" w14:paraId="399D2242" w14:textId="77777777">
        <w:trPr>
          <w:jc w:val="center"/>
        </w:trPr>
        <w:tc>
          <w:tcPr>
            <w:tcW w:w="845" w:type="pct"/>
            <w:shd w:val="clear" w:color="auto" w:fill="auto"/>
            <w:vAlign w:val="center"/>
          </w:tcPr>
          <w:p w14:paraId="2B29683C" w14:textId="77777777" w:rsidR="002D0AE7" w:rsidRDefault="00333EBB">
            <w:pPr>
              <w:rPr>
                <w:rFonts w:hint="eastAsia"/>
                <w:sz w:val="21"/>
                <w:szCs w:val="21"/>
              </w:rPr>
            </w:pPr>
            <w:r>
              <w:rPr>
                <w:rFonts w:hint="eastAsia"/>
                <w:sz w:val="21"/>
                <w:szCs w:val="21"/>
              </w:rPr>
              <w:t>XP0013</w:t>
            </w:r>
          </w:p>
        </w:tc>
        <w:tc>
          <w:tcPr>
            <w:tcW w:w="573" w:type="pct"/>
            <w:shd w:val="clear" w:color="auto" w:fill="auto"/>
            <w:vAlign w:val="center"/>
          </w:tcPr>
          <w:p w14:paraId="6E908E53"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1,019,103.75</w:t>
            </w:r>
          </w:p>
        </w:tc>
        <w:tc>
          <w:tcPr>
            <w:tcW w:w="574" w:type="pct"/>
            <w:shd w:val="clear" w:color="auto" w:fill="auto"/>
            <w:vAlign w:val="center"/>
          </w:tcPr>
          <w:p w14:paraId="3AB0FFC3"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9" w:type="pct"/>
            <w:shd w:val="clear" w:color="auto" w:fill="auto"/>
            <w:vAlign w:val="center"/>
          </w:tcPr>
          <w:p w14:paraId="3350AE3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393732D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15A54B6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014B63B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443D82D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06D1CC7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1,019,103.75</w:t>
            </w:r>
          </w:p>
        </w:tc>
      </w:tr>
      <w:tr w:rsidR="002D0AE7" w14:paraId="40742F3F" w14:textId="77777777">
        <w:trPr>
          <w:jc w:val="center"/>
        </w:trPr>
        <w:tc>
          <w:tcPr>
            <w:tcW w:w="845" w:type="pct"/>
            <w:shd w:val="clear" w:color="auto" w:fill="auto"/>
            <w:vAlign w:val="center"/>
          </w:tcPr>
          <w:p w14:paraId="5C380695" w14:textId="77777777" w:rsidR="002D0AE7" w:rsidRDefault="00333EBB">
            <w:pPr>
              <w:rPr>
                <w:rFonts w:hint="eastAsia"/>
                <w:sz w:val="21"/>
                <w:szCs w:val="21"/>
              </w:rPr>
            </w:pPr>
            <w:r>
              <w:rPr>
                <w:rFonts w:hint="eastAsia"/>
                <w:sz w:val="21"/>
                <w:szCs w:val="21"/>
              </w:rPr>
              <w:t>XP0018</w:t>
            </w:r>
          </w:p>
        </w:tc>
        <w:tc>
          <w:tcPr>
            <w:tcW w:w="573" w:type="pct"/>
            <w:shd w:val="clear" w:color="auto" w:fill="auto"/>
            <w:vAlign w:val="center"/>
          </w:tcPr>
          <w:p w14:paraId="6C615C5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1,018,889.67</w:t>
            </w:r>
          </w:p>
        </w:tc>
        <w:tc>
          <w:tcPr>
            <w:tcW w:w="574" w:type="pct"/>
            <w:shd w:val="clear" w:color="auto" w:fill="auto"/>
            <w:vAlign w:val="center"/>
          </w:tcPr>
          <w:p w14:paraId="6E206A1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9" w:type="pct"/>
            <w:shd w:val="clear" w:color="auto" w:fill="auto"/>
            <w:vAlign w:val="center"/>
          </w:tcPr>
          <w:p w14:paraId="6C93EC1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01D6386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123EAAD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092D221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2381ECB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4A62842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1,018,889.67</w:t>
            </w:r>
          </w:p>
        </w:tc>
      </w:tr>
      <w:tr w:rsidR="002D0AE7" w14:paraId="505534EC" w14:textId="77777777">
        <w:trPr>
          <w:jc w:val="center"/>
        </w:trPr>
        <w:tc>
          <w:tcPr>
            <w:tcW w:w="845" w:type="pct"/>
            <w:shd w:val="clear" w:color="auto" w:fill="auto"/>
            <w:vAlign w:val="center"/>
          </w:tcPr>
          <w:p w14:paraId="44455961" w14:textId="77777777" w:rsidR="002D0AE7" w:rsidRDefault="00333EBB">
            <w:pPr>
              <w:rPr>
                <w:rFonts w:hint="eastAsia"/>
                <w:sz w:val="21"/>
                <w:szCs w:val="21"/>
              </w:rPr>
            </w:pPr>
            <w:r>
              <w:rPr>
                <w:rFonts w:hint="eastAsia"/>
                <w:sz w:val="21"/>
                <w:szCs w:val="21"/>
              </w:rPr>
              <w:t>富马酸福莫特罗吸入溶液</w:t>
            </w:r>
          </w:p>
        </w:tc>
        <w:tc>
          <w:tcPr>
            <w:tcW w:w="573" w:type="pct"/>
            <w:shd w:val="clear" w:color="auto" w:fill="auto"/>
            <w:vAlign w:val="center"/>
          </w:tcPr>
          <w:p w14:paraId="3382C1B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977,031.42</w:t>
            </w:r>
          </w:p>
        </w:tc>
        <w:tc>
          <w:tcPr>
            <w:tcW w:w="574" w:type="pct"/>
            <w:shd w:val="clear" w:color="auto" w:fill="auto"/>
            <w:vAlign w:val="center"/>
          </w:tcPr>
          <w:p w14:paraId="3A4F784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9" w:type="pct"/>
            <w:shd w:val="clear" w:color="auto" w:fill="auto"/>
            <w:vAlign w:val="center"/>
          </w:tcPr>
          <w:p w14:paraId="15C5347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497ADE2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09A929A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39AEC67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0100162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7B5D962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977,031.42</w:t>
            </w:r>
          </w:p>
        </w:tc>
      </w:tr>
      <w:tr w:rsidR="002D0AE7" w14:paraId="6C7D4989" w14:textId="77777777">
        <w:trPr>
          <w:jc w:val="center"/>
        </w:trPr>
        <w:tc>
          <w:tcPr>
            <w:tcW w:w="845" w:type="pct"/>
            <w:shd w:val="clear" w:color="auto" w:fill="auto"/>
            <w:vAlign w:val="center"/>
          </w:tcPr>
          <w:p w14:paraId="6FDC2B4E" w14:textId="77777777" w:rsidR="002D0AE7" w:rsidRDefault="00333EBB">
            <w:pPr>
              <w:rPr>
                <w:rFonts w:hint="eastAsia"/>
                <w:sz w:val="21"/>
                <w:szCs w:val="21"/>
              </w:rPr>
            </w:pPr>
            <w:r>
              <w:rPr>
                <w:rFonts w:hint="eastAsia"/>
                <w:sz w:val="21"/>
                <w:szCs w:val="21"/>
              </w:rPr>
              <w:t>JSZJ020</w:t>
            </w:r>
          </w:p>
        </w:tc>
        <w:tc>
          <w:tcPr>
            <w:tcW w:w="573" w:type="pct"/>
            <w:shd w:val="clear" w:color="auto" w:fill="auto"/>
            <w:vAlign w:val="center"/>
          </w:tcPr>
          <w:p w14:paraId="6C764CE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44,770.18</w:t>
            </w:r>
          </w:p>
        </w:tc>
        <w:tc>
          <w:tcPr>
            <w:tcW w:w="574" w:type="pct"/>
            <w:shd w:val="clear" w:color="auto" w:fill="auto"/>
            <w:vAlign w:val="center"/>
          </w:tcPr>
          <w:p w14:paraId="1171975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871,745.81</w:t>
            </w:r>
          </w:p>
        </w:tc>
        <w:tc>
          <w:tcPr>
            <w:tcW w:w="529" w:type="pct"/>
            <w:shd w:val="clear" w:color="auto" w:fill="auto"/>
            <w:vAlign w:val="center"/>
          </w:tcPr>
          <w:p w14:paraId="4DC7682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75F2821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7374BC5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606A1A5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61805EA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14BB321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916,515.99</w:t>
            </w:r>
          </w:p>
        </w:tc>
      </w:tr>
      <w:tr w:rsidR="002D0AE7" w14:paraId="3DBB8960" w14:textId="77777777">
        <w:trPr>
          <w:jc w:val="center"/>
        </w:trPr>
        <w:tc>
          <w:tcPr>
            <w:tcW w:w="845" w:type="pct"/>
            <w:shd w:val="clear" w:color="auto" w:fill="auto"/>
            <w:vAlign w:val="center"/>
          </w:tcPr>
          <w:p w14:paraId="1D7AFAEB" w14:textId="77777777" w:rsidR="002D0AE7" w:rsidRDefault="00333EBB">
            <w:pPr>
              <w:rPr>
                <w:rFonts w:hint="eastAsia"/>
                <w:sz w:val="21"/>
                <w:szCs w:val="21"/>
              </w:rPr>
            </w:pPr>
            <w:r>
              <w:rPr>
                <w:rFonts w:hint="eastAsia"/>
                <w:sz w:val="21"/>
                <w:szCs w:val="21"/>
              </w:rPr>
              <w:t>XP0017</w:t>
            </w:r>
          </w:p>
        </w:tc>
        <w:tc>
          <w:tcPr>
            <w:tcW w:w="573" w:type="pct"/>
            <w:shd w:val="clear" w:color="auto" w:fill="auto"/>
            <w:vAlign w:val="center"/>
          </w:tcPr>
          <w:p w14:paraId="11F8BD73"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914,030.74</w:t>
            </w:r>
          </w:p>
        </w:tc>
        <w:tc>
          <w:tcPr>
            <w:tcW w:w="574" w:type="pct"/>
            <w:shd w:val="clear" w:color="auto" w:fill="auto"/>
            <w:vAlign w:val="center"/>
          </w:tcPr>
          <w:p w14:paraId="0E88A17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9" w:type="pct"/>
            <w:shd w:val="clear" w:color="auto" w:fill="auto"/>
            <w:vAlign w:val="center"/>
          </w:tcPr>
          <w:p w14:paraId="2AA7576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70CFF57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750885CF"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63023D3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67F3AA9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09E5535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914,030.74</w:t>
            </w:r>
          </w:p>
        </w:tc>
      </w:tr>
      <w:tr w:rsidR="002D0AE7" w14:paraId="192204E8" w14:textId="77777777">
        <w:trPr>
          <w:jc w:val="center"/>
        </w:trPr>
        <w:tc>
          <w:tcPr>
            <w:tcW w:w="845" w:type="pct"/>
            <w:shd w:val="clear" w:color="auto" w:fill="auto"/>
            <w:vAlign w:val="center"/>
          </w:tcPr>
          <w:p w14:paraId="5E91EE02" w14:textId="77777777" w:rsidR="002D0AE7" w:rsidRDefault="00333EBB">
            <w:pPr>
              <w:rPr>
                <w:rFonts w:hint="eastAsia"/>
                <w:sz w:val="21"/>
                <w:szCs w:val="21"/>
              </w:rPr>
            </w:pPr>
            <w:r>
              <w:rPr>
                <w:rFonts w:hint="eastAsia"/>
                <w:sz w:val="21"/>
                <w:szCs w:val="21"/>
              </w:rPr>
              <w:t>氯化钾注射液（一致性评价）</w:t>
            </w:r>
          </w:p>
        </w:tc>
        <w:tc>
          <w:tcPr>
            <w:tcW w:w="573" w:type="pct"/>
            <w:shd w:val="clear" w:color="auto" w:fill="auto"/>
            <w:vAlign w:val="center"/>
          </w:tcPr>
          <w:p w14:paraId="1F649D2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789,693.66</w:t>
            </w:r>
          </w:p>
        </w:tc>
        <w:tc>
          <w:tcPr>
            <w:tcW w:w="574" w:type="pct"/>
            <w:shd w:val="clear" w:color="auto" w:fill="auto"/>
            <w:vAlign w:val="center"/>
          </w:tcPr>
          <w:p w14:paraId="71EE374F"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104,810.13</w:t>
            </w:r>
          </w:p>
        </w:tc>
        <w:tc>
          <w:tcPr>
            <w:tcW w:w="529" w:type="pct"/>
            <w:shd w:val="clear" w:color="auto" w:fill="auto"/>
            <w:vAlign w:val="center"/>
          </w:tcPr>
          <w:p w14:paraId="5ACCD6D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7F5B142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642012E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3D81E463"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3B2373D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5A20030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894,503.79</w:t>
            </w:r>
          </w:p>
        </w:tc>
      </w:tr>
      <w:tr w:rsidR="002D0AE7" w14:paraId="084D08A3" w14:textId="77777777">
        <w:trPr>
          <w:jc w:val="center"/>
        </w:trPr>
        <w:tc>
          <w:tcPr>
            <w:tcW w:w="845" w:type="pct"/>
            <w:shd w:val="clear" w:color="auto" w:fill="auto"/>
            <w:vAlign w:val="center"/>
          </w:tcPr>
          <w:p w14:paraId="4923036F" w14:textId="77777777" w:rsidR="002D0AE7" w:rsidRDefault="00333EBB">
            <w:pPr>
              <w:rPr>
                <w:rFonts w:hint="eastAsia"/>
                <w:sz w:val="21"/>
                <w:szCs w:val="21"/>
              </w:rPr>
            </w:pPr>
            <w:r>
              <w:rPr>
                <w:rFonts w:hint="eastAsia"/>
                <w:sz w:val="21"/>
                <w:szCs w:val="21"/>
              </w:rPr>
              <w:t>XP0014</w:t>
            </w:r>
          </w:p>
        </w:tc>
        <w:tc>
          <w:tcPr>
            <w:tcW w:w="573" w:type="pct"/>
            <w:shd w:val="clear" w:color="auto" w:fill="auto"/>
            <w:vAlign w:val="center"/>
          </w:tcPr>
          <w:p w14:paraId="5F479A4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890,504.21</w:t>
            </w:r>
          </w:p>
        </w:tc>
        <w:tc>
          <w:tcPr>
            <w:tcW w:w="574" w:type="pct"/>
            <w:shd w:val="clear" w:color="auto" w:fill="auto"/>
            <w:vAlign w:val="center"/>
          </w:tcPr>
          <w:p w14:paraId="58F697A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9" w:type="pct"/>
            <w:shd w:val="clear" w:color="auto" w:fill="auto"/>
            <w:vAlign w:val="center"/>
          </w:tcPr>
          <w:p w14:paraId="0724667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1A7BAEB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15E9460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3130DF0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3AE7D60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6B0A618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890,504.21</w:t>
            </w:r>
          </w:p>
        </w:tc>
      </w:tr>
      <w:tr w:rsidR="002D0AE7" w14:paraId="2A5F9DDF" w14:textId="77777777">
        <w:trPr>
          <w:jc w:val="center"/>
        </w:trPr>
        <w:tc>
          <w:tcPr>
            <w:tcW w:w="845" w:type="pct"/>
            <w:shd w:val="clear" w:color="auto" w:fill="auto"/>
            <w:vAlign w:val="center"/>
          </w:tcPr>
          <w:p w14:paraId="0E510180" w14:textId="77777777" w:rsidR="002D0AE7" w:rsidRDefault="00333EBB">
            <w:pPr>
              <w:rPr>
                <w:rFonts w:hint="eastAsia"/>
                <w:sz w:val="21"/>
                <w:szCs w:val="21"/>
              </w:rPr>
            </w:pPr>
            <w:r>
              <w:rPr>
                <w:rFonts w:hint="eastAsia"/>
                <w:sz w:val="21"/>
                <w:szCs w:val="21"/>
              </w:rPr>
              <w:t>X25</w:t>
            </w:r>
          </w:p>
        </w:tc>
        <w:tc>
          <w:tcPr>
            <w:tcW w:w="573" w:type="pct"/>
            <w:shd w:val="clear" w:color="auto" w:fill="auto"/>
            <w:vAlign w:val="center"/>
          </w:tcPr>
          <w:p w14:paraId="54B34C63"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74" w:type="pct"/>
            <w:shd w:val="clear" w:color="auto" w:fill="auto"/>
            <w:vAlign w:val="center"/>
          </w:tcPr>
          <w:p w14:paraId="7D86575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275,587.34</w:t>
            </w:r>
          </w:p>
        </w:tc>
        <w:tc>
          <w:tcPr>
            <w:tcW w:w="529" w:type="pct"/>
            <w:shd w:val="clear" w:color="auto" w:fill="auto"/>
            <w:vAlign w:val="center"/>
          </w:tcPr>
          <w:p w14:paraId="25D19B9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540,874.44</w:t>
            </w:r>
          </w:p>
        </w:tc>
        <w:tc>
          <w:tcPr>
            <w:tcW w:w="263" w:type="pct"/>
            <w:shd w:val="clear" w:color="auto" w:fill="auto"/>
            <w:vAlign w:val="center"/>
          </w:tcPr>
          <w:p w14:paraId="754ADAC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53B7E5D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50F9A2D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13E96A0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7C963AE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816,461.78</w:t>
            </w:r>
          </w:p>
        </w:tc>
      </w:tr>
      <w:tr w:rsidR="002D0AE7" w14:paraId="1CADB010" w14:textId="77777777">
        <w:trPr>
          <w:jc w:val="center"/>
        </w:trPr>
        <w:tc>
          <w:tcPr>
            <w:tcW w:w="845" w:type="pct"/>
            <w:shd w:val="clear" w:color="auto" w:fill="auto"/>
            <w:vAlign w:val="center"/>
          </w:tcPr>
          <w:p w14:paraId="31382C95" w14:textId="77777777" w:rsidR="002D0AE7" w:rsidRDefault="00333EBB">
            <w:pPr>
              <w:rPr>
                <w:rFonts w:hint="eastAsia"/>
                <w:sz w:val="21"/>
                <w:szCs w:val="21"/>
              </w:rPr>
            </w:pPr>
            <w:r>
              <w:rPr>
                <w:rFonts w:hint="eastAsia"/>
                <w:sz w:val="21"/>
                <w:szCs w:val="21"/>
              </w:rPr>
              <w:t>X10</w:t>
            </w:r>
          </w:p>
        </w:tc>
        <w:tc>
          <w:tcPr>
            <w:tcW w:w="573" w:type="pct"/>
            <w:shd w:val="clear" w:color="auto" w:fill="auto"/>
            <w:vAlign w:val="center"/>
          </w:tcPr>
          <w:p w14:paraId="53132F4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342,231.47</w:t>
            </w:r>
          </w:p>
        </w:tc>
        <w:tc>
          <w:tcPr>
            <w:tcW w:w="574" w:type="pct"/>
            <w:shd w:val="clear" w:color="auto" w:fill="auto"/>
            <w:vAlign w:val="center"/>
          </w:tcPr>
          <w:p w14:paraId="2209F79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9" w:type="pct"/>
            <w:shd w:val="clear" w:color="auto" w:fill="auto"/>
            <w:vAlign w:val="center"/>
          </w:tcPr>
          <w:p w14:paraId="736BF6D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464,980.51</w:t>
            </w:r>
          </w:p>
        </w:tc>
        <w:tc>
          <w:tcPr>
            <w:tcW w:w="263" w:type="pct"/>
            <w:shd w:val="clear" w:color="auto" w:fill="auto"/>
            <w:vAlign w:val="center"/>
          </w:tcPr>
          <w:p w14:paraId="0FE90BD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7A78157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6BDB5DD3"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59AB567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1D212C5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807,211.98</w:t>
            </w:r>
          </w:p>
        </w:tc>
      </w:tr>
      <w:tr w:rsidR="002D0AE7" w14:paraId="45092478" w14:textId="77777777">
        <w:trPr>
          <w:jc w:val="center"/>
        </w:trPr>
        <w:tc>
          <w:tcPr>
            <w:tcW w:w="845" w:type="pct"/>
            <w:shd w:val="clear" w:color="auto" w:fill="auto"/>
            <w:vAlign w:val="center"/>
          </w:tcPr>
          <w:p w14:paraId="4E4815BA" w14:textId="77777777" w:rsidR="002D0AE7" w:rsidRDefault="00333EBB">
            <w:pPr>
              <w:rPr>
                <w:rFonts w:hint="eastAsia"/>
                <w:sz w:val="21"/>
                <w:szCs w:val="21"/>
              </w:rPr>
            </w:pPr>
            <w:r>
              <w:rPr>
                <w:rFonts w:hint="eastAsia"/>
                <w:sz w:val="21"/>
                <w:szCs w:val="21"/>
              </w:rPr>
              <w:t>法莫替丁注射液</w:t>
            </w:r>
          </w:p>
        </w:tc>
        <w:tc>
          <w:tcPr>
            <w:tcW w:w="573" w:type="pct"/>
            <w:shd w:val="clear" w:color="auto" w:fill="auto"/>
            <w:vAlign w:val="center"/>
          </w:tcPr>
          <w:p w14:paraId="3E76581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742,004.91</w:t>
            </w:r>
          </w:p>
        </w:tc>
        <w:tc>
          <w:tcPr>
            <w:tcW w:w="574" w:type="pct"/>
            <w:shd w:val="clear" w:color="auto" w:fill="auto"/>
            <w:vAlign w:val="center"/>
          </w:tcPr>
          <w:p w14:paraId="5D1E23D3"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9" w:type="pct"/>
            <w:shd w:val="clear" w:color="auto" w:fill="auto"/>
            <w:vAlign w:val="center"/>
          </w:tcPr>
          <w:p w14:paraId="68513BB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0F6C515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497A48F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734EAA1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2BE0E7B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6E260E8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742,004.91</w:t>
            </w:r>
          </w:p>
        </w:tc>
      </w:tr>
      <w:tr w:rsidR="002D0AE7" w14:paraId="38FE89D5" w14:textId="77777777">
        <w:trPr>
          <w:jc w:val="center"/>
        </w:trPr>
        <w:tc>
          <w:tcPr>
            <w:tcW w:w="845" w:type="pct"/>
            <w:shd w:val="clear" w:color="auto" w:fill="auto"/>
            <w:vAlign w:val="center"/>
          </w:tcPr>
          <w:p w14:paraId="0AC8E324" w14:textId="77777777" w:rsidR="002D0AE7" w:rsidRDefault="00333EBB">
            <w:pPr>
              <w:rPr>
                <w:rFonts w:hint="eastAsia"/>
                <w:sz w:val="21"/>
                <w:szCs w:val="21"/>
              </w:rPr>
            </w:pPr>
            <w:r>
              <w:rPr>
                <w:rFonts w:hint="eastAsia"/>
                <w:sz w:val="21"/>
                <w:szCs w:val="21"/>
              </w:rPr>
              <w:t>SZ0026</w:t>
            </w:r>
          </w:p>
        </w:tc>
        <w:tc>
          <w:tcPr>
            <w:tcW w:w="573" w:type="pct"/>
            <w:shd w:val="clear" w:color="auto" w:fill="auto"/>
            <w:vAlign w:val="center"/>
          </w:tcPr>
          <w:p w14:paraId="57BEA3D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545,968.01</w:t>
            </w:r>
          </w:p>
        </w:tc>
        <w:tc>
          <w:tcPr>
            <w:tcW w:w="574" w:type="pct"/>
            <w:shd w:val="clear" w:color="auto" w:fill="auto"/>
            <w:vAlign w:val="center"/>
          </w:tcPr>
          <w:p w14:paraId="47A1093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172,436.33</w:t>
            </w:r>
          </w:p>
        </w:tc>
        <w:tc>
          <w:tcPr>
            <w:tcW w:w="529" w:type="pct"/>
            <w:shd w:val="clear" w:color="auto" w:fill="auto"/>
            <w:vAlign w:val="center"/>
          </w:tcPr>
          <w:p w14:paraId="07EB31B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64DFE052"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7BADA09F"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4EF7F71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19CFD70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5579B41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718,404.34</w:t>
            </w:r>
          </w:p>
        </w:tc>
      </w:tr>
      <w:tr w:rsidR="002D0AE7" w14:paraId="4009303D" w14:textId="77777777">
        <w:trPr>
          <w:jc w:val="center"/>
        </w:trPr>
        <w:tc>
          <w:tcPr>
            <w:tcW w:w="845" w:type="pct"/>
            <w:shd w:val="clear" w:color="auto" w:fill="auto"/>
            <w:vAlign w:val="center"/>
          </w:tcPr>
          <w:p w14:paraId="17FA820E" w14:textId="77777777" w:rsidR="002D0AE7" w:rsidRDefault="00333EBB">
            <w:pPr>
              <w:rPr>
                <w:rFonts w:hint="eastAsia"/>
                <w:sz w:val="21"/>
                <w:szCs w:val="21"/>
              </w:rPr>
            </w:pPr>
            <w:r>
              <w:rPr>
                <w:rFonts w:hint="eastAsia"/>
                <w:sz w:val="21"/>
                <w:szCs w:val="21"/>
              </w:rPr>
              <w:t>SZ0011</w:t>
            </w:r>
          </w:p>
        </w:tc>
        <w:tc>
          <w:tcPr>
            <w:tcW w:w="573" w:type="pct"/>
            <w:shd w:val="clear" w:color="auto" w:fill="auto"/>
            <w:vAlign w:val="center"/>
          </w:tcPr>
          <w:p w14:paraId="005C061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716,254.33</w:t>
            </w:r>
          </w:p>
        </w:tc>
        <w:tc>
          <w:tcPr>
            <w:tcW w:w="574" w:type="pct"/>
            <w:shd w:val="clear" w:color="auto" w:fill="auto"/>
            <w:vAlign w:val="center"/>
          </w:tcPr>
          <w:p w14:paraId="656354C2"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9" w:type="pct"/>
            <w:shd w:val="clear" w:color="auto" w:fill="auto"/>
            <w:vAlign w:val="center"/>
          </w:tcPr>
          <w:p w14:paraId="2EB7889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5200099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667C753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4FA9A1E3"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39B4525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55C6A08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716,254.33</w:t>
            </w:r>
          </w:p>
        </w:tc>
      </w:tr>
      <w:tr w:rsidR="002D0AE7" w14:paraId="535CF326" w14:textId="77777777">
        <w:trPr>
          <w:jc w:val="center"/>
        </w:trPr>
        <w:tc>
          <w:tcPr>
            <w:tcW w:w="845" w:type="pct"/>
            <w:shd w:val="clear" w:color="auto" w:fill="auto"/>
            <w:vAlign w:val="center"/>
          </w:tcPr>
          <w:p w14:paraId="3B8C5BCB" w14:textId="77777777" w:rsidR="002D0AE7" w:rsidRDefault="00333EBB">
            <w:pPr>
              <w:rPr>
                <w:rFonts w:hint="eastAsia"/>
                <w:sz w:val="21"/>
                <w:szCs w:val="21"/>
              </w:rPr>
            </w:pPr>
            <w:r>
              <w:rPr>
                <w:rFonts w:hint="eastAsia"/>
                <w:sz w:val="21"/>
                <w:szCs w:val="21"/>
              </w:rPr>
              <w:t>SZ0022</w:t>
            </w:r>
          </w:p>
        </w:tc>
        <w:tc>
          <w:tcPr>
            <w:tcW w:w="573" w:type="pct"/>
            <w:shd w:val="clear" w:color="auto" w:fill="auto"/>
            <w:vAlign w:val="center"/>
          </w:tcPr>
          <w:p w14:paraId="12AA471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714,428.85</w:t>
            </w:r>
          </w:p>
        </w:tc>
        <w:tc>
          <w:tcPr>
            <w:tcW w:w="574" w:type="pct"/>
            <w:shd w:val="clear" w:color="auto" w:fill="auto"/>
            <w:vAlign w:val="center"/>
          </w:tcPr>
          <w:p w14:paraId="29766772"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1,646.40</w:t>
            </w:r>
          </w:p>
        </w:tc>
        <w:tc>
          <w:tcPr>
            <w:tcW w:w="529" w:type="pct"/>
            <w:shd w:val="clear" w:color="auto" w:fill="auto"/>
            <w:vAlign w:val="center"/>
          </w:tcPr>
          <w:p w14:paraId="3E6B405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338FAE0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2A1448B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673760B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52860F1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7BFDD18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716,075.25</w:t>
            </w:r>
          </w:p>
        </w:tc>
      </w:tr>
      <w:tr w:rsidR="002D0AE7" w14:paraId="4EFE125B" w14:textId="77777777">
        <w:trPr>
          <w:jc w:val="center"/>
        </w:trPr>
        <w:tc>
          <w:tcPr>
            <w:tcW w:w="845" w:type="pct"/>
            <w:shd w:val="clear" w:color="auto" w:fill="auto"/>
            <w:vAlign w:val="center"/>
          </w:tcPr>
          <w:p w14:paraId="2FE8EC6C" w14:textId="77777777" w:rsidR="002D0AE7" w:rsidRDefault="00333EBB">
            <w:pPr>
              <w:rPr>
                <w:rFonts w:hint="eastAsia"/>
                <w:sz w:val="21"/>
                <w:szCs w:val="21"/>
              </w:rPr>
            </w:pPr>
            <w:r>
              <w:rPr>
                <w:rFonts w:hint="eastAsia"/>
                <w:sz w:val="21"/>
                <w:szCs w:val="21"/>
              </w:rPr>
              <w:t>JSYL076</w:t>
            </w:r>
          </w:p>
        </w:tc>
        <w:tc>
          <w:tcPr>
            <w:tcW w:w="573" w:type="pct"/>
            <w:shd w:val="clear" w:color="auto" w:fill="auto"/>
            <w:vAlign w:val="center"/>
          </w:tcPr>
          <w:p w14:paraId="15C2A92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706,109.90</w:t>
            </w:r>
          </w:p>
        </w:tc>
        <w:tc>
          <w:tcPr>
            <w:tcW w:w="574" w:type="pct"/>
            <w:shd w:val="clear" w:color="auto" w:fill="auto"/>
            <w:vAlign w:val="center"/>
          </w:tcPr>
          <w:p w14:paraId="67DF0BD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9" w:type="pct"/>
            <w:shd w:val="clear" w:color="auto" w:fill="auto"/>
            <w:vAlign w:val="center"/>
          </w:tcPr>
          <w:p w14:paraId="72D50692"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716A115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0D280BA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5453BF7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2BE4074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65F6FAB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706,109.90</w:t>
            </w:r>
          </w:p>
        </w:tc>
      </w:tr>
      <w:tr w:rsidR="002D0AE7" w14:paraId="1223F05F" w14:textId="77777777">
        <w:trPr>
          <w:jc w:val="center"/>
        </w:trPr>
        <w:tc>
          <w:tcPr>
            <w:tcW w:w="845" w:type="pct"/>
            <w:shd w:val="clear" w:color="auto" w:fill="auto"/>
            <w:vAlign w:val="center"/>
          </w:tcPr>
          <w:p w14:paraId="041303E8" w14:textId="77777777" w:rsidR="002D0AE7" w:rsidRDefault="00333EBB">
            <w:pPr>
              <w:rPr>
                <w:rFonts w:hint="eastAsia"/>
                <w:sz w:val="21"/>
                <w:szCs w:val="21"/>
              </w:rPr>
            </w:pPr>
            <w:r>
              <w:rPr>
                <w:rFonts w:hint="eastAsia"/>
                <w:sz w:val="21"/>
                <w:szCs w:val="21"/>
              </w:rPr>
              <w:t>X11</w:t>
            </w:r>
          </w:p>
        </w:tc>
        <w:tc>
          <w:tcPr>
            <w:tcW w:w="573" w:type="pct"/>
            <w:shd w:val="clear" w:color="auto" w:fill="auto"/>
            <w:vAlign w:val="center"/>
          </w:tcPr>
          <w:p w14:paraId="68897C6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74" w:type="pct"/>
            <w:shd w:val="clear" w:color="auto" w:fill="auto"/>
            <w:vAlign w:val="center"/>
          </w:tcPr>
          <w:p w14:paraId="7D7639D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325,297.04</w:t>
            </w:r>
          </w:p>
        </w:tc>
        <w:tc>
          <w:tcPr>
            <w:tcW w:w="529" w:type="pct"/>
            <w:shd w:val="clear" w:color="auto" w:fill="auto"/>
            <w:vAlign w:val="center"/>
          </w:tcPr>
          <w:p w14:paraId="3B9585F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358,490.57</w:t>
            </w:r>
          </w:p>
        </w:tc>
        <w:tc>
          <w:tcPr>
            <w:tcW w:w="263" w:type="pct"/>
            <w:shd w:val="clear" w:color="auto" w:fill="auto"/>
            <w:vAlign w:val="center"/>
          </w:tcPr>
          <w:p w14:paraId="7241D3B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6263CBA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29898EA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1D33731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59D316F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683,787.61</w:t>
            </w:r>
          </w:p>
        </w:tc>
      </w:tr>
      <w:tr w:rsidR="002D0AE7" w14:paraId="5C409CE7" w14:textId="77777777">
        <w:trPr>
          <w:jc w:val="center"/>
        </w:trPr>
        <w:tc>
          <w:tcPr>
            <w:tcW w:w="845" w:type="pct"/>
            <w:shd w:val="clear" w:color="auto" w:fill="auto"/>
            <w:vAlign w:val="center"/>
          </w:tcPr>
          <w:p w14:paraId="07C937AB" w14:textId="77777777" w:rsidR="002D0AE7" w:rsidRDefault="00333EBB">
            <w:pPr>
              <w:rPr>
                <w:rFonts w:hint="eastAsia"/>
                <w:sz w:val="21"/>
                <w:szCs w:val="21"/>
              </w:rPr>
            </w:pPr>
            <w:r>
              <w:rPr>
                <w:rFonts w:hint="eastAsia"/>
                <w:sz w:val="21"/>
                <w:szCs w:val="21"/>
              </w:rPr>
              <w:t>X15</w:t>
            </w:r>
          </w:p>
        </w:tc>
        <w:tc>
          <w:tcPr>
            <w:tcW w:w="573" w:type="pct"/>
            <w:shd w:val="clear" w:color="auto" w:fill="auto"/>
            <w:vAlign w:val="center"/>
          </w:tcPr>
          <w:p w14:paraId="4D6955B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74" w:type="pct"/>
            <w:shd w:val="clear" w:color="auto" w:fill="auto"/>
            <w:vAlign w:val="center"/>
          </w:tcPr>
          <w:p w14:paraId="5D0A28F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667,500.51</w:t>
            </w:r>
          </w:p>
        </w:tc>
        <w:tc>
          <w:tcPr>
            <w:tcW w:w="529" w:type="pct"/>
            <w:shd w:val="clear" w:color="auto" w:fill="auto"/>
            <w:vAlign w:val="center"/>
          </w:tcPr>
          <w:p w14:paraId="69D2839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4C100FD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1F3CF4A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0082E8C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392853D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5B2602A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667,500.51</w:t>
            </w:r>
          </w:p>
        </w:tc>
      </w:tr>
      <w:tr w:rsidR="002D0AE7" w14:paraId="4E13DD26" w14:textId="77777777">
        <w:trPr>
          <w:jc w:val="center"/>
        </w:trPr>
        <w:tc>
          <w:tcPr>
            <w:tcW w:w="845" w:type="pct"/>
            <w:shd w:val="clear" w:color="auto" w:fill="auto"/>
            <w:vAlign w:val="center"/>
          </w:tcPr>
          <w:p w14:paraId="35D03AC3" w14:textId="77777777" w:rsidR="002D0AE7" w:rsidRDefault="00333EBB">
            <w:pPr>
              <w:rPr>
                <w:rFonts w:hint="eastAsia"/>
                <w:sz w:val="21"/>
                <w:szCs w:val="21"/>
              </w:rPr>
            </w:pPr>
            <w:r>
              <w:rPr>
                <w:rFonts w:hint="eastAsia"/>
                <w:sz w:val="21"/>
                <w:szCs w:val="21"/>
              </w:rPr>
              <w:t>YL00008</w:t>
            </w:r>
          </w:p>
        </w:tc>
        <w:tc>
          <w:tcPr>
            <w:tcW w:w="573" w:type="pct"/>
            <w:shd w:val="clear" w:color="auto" w:fill="auto"/>
            <w:vAlign w:val="center"/>
          </w:tcPr>
          <w:p w14:paraId="106B1373"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658,196.12</w:t>
            </w:r>
          </w:p>
        </w:tc>
        <w:tc>
          <w:tcPr>
            <w:tcW w:w="574" w:type="pct"/>
            <w:shd w:val="clear" w:color="auto" w:fill="auto"/>
            <w:vAlign w:val="center"/>
          </w:tcPr>
          <w:p w14:paraId="76D5D6A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9" w:type="pct"/>
            <w:shd w:val="clear" w:color="auto" w:fill="auto"/>
            <w:vAlign w:val="center"/>
          </w:tcPr>
          <w:p w14:paraId="0497ACA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49C6D47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6BD0A3C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3E26FF8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7924A9F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0E9A3C9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658,196.12</w:t>
            </w:r>
          </w:p>
        </w:tc>
      </w:tr>
      <w:tr w:rsidR="002D0AE7" w14:paraId="0F55BC41" w14:textId="77777777">
        <w:trPr>
          <w:jc w:val="center"/>
        </w:trPr>
        <w:tc>
          <w:tcPr>
            <w:tcW w:w="845" w:type="pct"/>
            <w:shd w:val="clear" w:color="auto" w:fill="auto"/>
            <w:vAlign w:val="center"/>
          </w:tcPr>
          <w:p w14:paraId="6B17E8A6" w14:textId="77777777" w:rsidR="002D0AE7" w:rsidRDefault="00333EBB">
            <w:pPr>
              <w:rPr>
                <w:rFonts w:hint="eastAsia"/>
                <w:sz w:val="21"/>
                <w:szCs w:val="21"/>
              </w:rPr>
            </w:pPr>
            <w:r>
              <w:rPr>
                <w:rFonts w:hint="eastAsia"/>
                <w:sz w:val="21"/>
                <w:szCs w:val="21"/>
              </w:rPr>
              <w:t>JSYL072</w:t>
            </w:r>
          </w:p>
        </w:tc>
        <w:tc>
          <w:tcPr>
            <w:tcW w:w="573" w:type="pct"/>
            <w:shd w:val="clear" w:color="auto" w:fill="auto"/>
            <w:vAlign w:val="center"/>
          </w:tcPr>
          <w:p w14:paraId="0F450D1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646,534.47</w:t>
            </w:r>
          </w:p>
        </w:tc>
        <w:tc>
          <w:tcPr>
            <w:tcW w:w="574" w:type="pct"/>
            <w:shd w:val="clear" w:color="auto" w:fill="auto"/>
            <w:vAlign w:val="center"/>
          </w:tcPr>
          <w:p w14:paraId="6713C44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589.87</w:t>
            </w:r>
          </w:p>
        </w:tc>
        <w:tc>
          <w:tcPr>
            <w:tcW w:w="529" w:type="pct"/>
            <w:shd w:val="clear" w:color="auto" w:fill="auto"/>
            <w:vAlign w:val="center"/>
          </w:tcPr>
          <w:p w14:paraId="7C5ED0D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5C7E55D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75AF160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58EDFCD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3D09915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331A345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647,124.34</w:t>
            </w:r>
          </w:p>
        </w:tc>
      </w:tr>
      <w:tr w:rsidR="002D0AE7" w14:paraId="62FA7AB1" w14:textId="77777777">
        <w:trPr>
          <w:jc w:val="center"/>
        </w:trPr>
        <w:tc>
          <w:tcPr>
            <w:tcW w:w="845" w:type="pct"/>
            <w:shd w:val="clear" w:color="auto" w:fill="auto"/>
            <w:vAlign w:val="center"/>
          </w:tcPr>
          <w:p w14:paraId="6723BF43" w14:textId="77777777" w:rsidR="002D0AE7" w:rsidRDefault="00333EBB">
            <w:pPr>
              <w:rPr>
                <w:rFonts w:hint="eastAsia"/>
                <w:sz w:val="21"/>
                <w:szCs w:val="21"/>
              </w:rPr>
            </w:pPr>
            <w:r>
              <w:rPr>
                <w:rFonts w:hint="eastAsia"/>
                <w:sz w:val="21"/>
                <w:szCs w:val="21"/>
              </w:rPr>
              <w:t>Y19</w:t>
            </w:r>
          </w:p>
        </w:tc>
        <w:tc>
          <w:tcPr>
            <w:tcW w:w="573" w:type="pct"/>
            <w:shd w:val="clear" w:color="auto" w:fill="auto"/>
            <w:vAlign w:val="center"/>
          </w:tcPr>
          <w:p w14:paraId="616D494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74" w:type="pct"/>
            <w:shd w:val="clear" w:color="auto" w:fill="auto"/>
            <w:vAlign w:val="center"/>
          </w:tcPr>
          <w:p w14:paraId="38A0FDC3"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284,947.59</w:t>
            </w:r>
          </w:p>
        </w:tc>
        <w:tc>
          <w:tcPr>
            <w:tcW w:w="529" w:type="pct"/>
            <w:shd w:val="clear" w:color="auto" w:fill="auto"/>
            <w:vAlign w:val="center"/>
          </w:tcPr>
          <w:p w14:paraId="1333FAEF"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358,490.57</w:t>
            </w:r>
          </w:p>
        </w:tc>
        <w:tc>
          <w:tcPr>
            <w:tcW w:w="263" w:type="pct"/>
            <w:shd w:val="clear" w:color="auto" w:fill="auto"/>
            <w:vAlign w:val="center"/>
          </w:tcPr>
          <w:p w14:paraId="4C2E552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28867B9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4A3FF3F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127F601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3B95200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643,438.16</w:t>
            </w:r>
          </w:p>
        </w:tc>
      </w:tr>
      <w:tr w:rsidR="002D0AE7" w14:paraId="37DC11F2" w14:textId="77777777">
        <w:trPr>
          <w:jc w:val="center"/>
        </w:trPr>
        <w:tc>
          <w:tcPr>
            <w:tcW w:w="845" w:type="pct"/>
            <w:shd w:val="clear" w:color="auto" w:fill="auto"/>
            <w:vAlign w:val="center"/>
          </w:tcPr>
          <w:p w14:paraId="3E41C373" w14:textId="77777777" w:rsidR="002D0AE7" w:rsidRDefault="00333EBB">
            <w:pPr>
              <w:rPr>
                <w:rFonts w:hint="eastAsia"/>
                <w:sz w:val="21"/>
                <w:szCs w:val="21"/>
              </w:rPr>
            </w:pPr>
            <w:r>
              <w:rPr>
                <w:rFonts w:hint="eastAsia"/>
                <w:sz w:val="21"/>
                <w:szCs w:val="21"/>
              </w:rPr>
              <w:t>Y21</w:t>
            </w:r>
          </w:p>
        </w:tc>
        <w:tc>
          <w:tcPr>
            <w:tcW w:w="573" w:type="pct"/>
            <w:shd w:val="clear" w:color="auto" w:fill="auto"/>
            <w:vAlign w:val="center"/>
          </w:tcPr>
          <w:p w14:paraId="7BF3E2DF"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74" w:type="pct"/>
            <w:shd w:val="clear" w:color="auto" w:fill="auto"/>
            <w:vAlign w:val="center"/>
          </w:tcPr>
          <w:p w14:paraId="56538BE2"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626,805.65</w:t>
            </w:r>
          </w:p>
        </w:tc>
        <w:tc>
          <w:tcPr>
            <w:tcW w:w="529" w:type="pct"/>
            <w:shd w:val="clear" w:color="auto" w:fill="auto"/>
            <w:vAlign w:val="center"/>
          </w:tcPr>
          <w:p w14:paraId="5E2A352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1445905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4BBEAFB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6D68117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4C71EF9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4A01887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626,805.65</w:t>
            </w:r>
          </w:p>
        </w:tc>
      </w:tr>
      <w:tr w:rsidR="002D0AE7" w14:paraId="0DE52CD2" w14:textId="77777777">
        <w:trPr>
          <w:jc w:val="center"/>
        </w:trPr>
        <w:tc>
          <w:tcPr>
            <w:tcW w:w="845" w:type="pct"/>
            <w:shd w:val="clear" w:color="auto" w:fill="auto"/>
            <w:vAlign w:val="center"/>
          </w:tcPr>
          <w:p w14:paraId="10A941EA" w14:textId="77777777" w:rsidR="002D0AE7" w:rsidRDefault="00333EBB">
            <w:pPr>
              <w:rPr>
                <w:rFonts w:hint="eastAsia"/>
                <w:sz w:val="21"/>
                <w:szCs w:val="21"/>
              </w:rPr>
            </w:pPr>
            <w:r>
              <w:rPr>
                <w:rFonts w:hint="eastAsia"/>
                <w:sz w:val="21"/>
                <w:szCs w:val="21"/>
              </w:rPr>
              <w:t>JSYL080</w:t>
            </w:r>
          </w:p>
        </w:tc>
        <w:tc>
          <w:tcPr>
            <w:tcW w:w="573" w:type="pct"/>
            <w:shd w:val="clear" w:color="auto" w:fill="auto"/>
            <w:vAlign w:val="center"/>
          </w:tcPr>
          <w:p w14:paraId="48526F0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571,890.36</w:t>
            </w:r>
          </w:p>
        </w:tc>
        <w:tc>
          <w:tcPr>
            <w:tcW w:w="574" w:type="pct"/>
            <w:shd w:val="clear" w:color="auto" w:fill="auto"/>
            <w:vAlign w:val="center"/>
          </w:tcPr>
          <w:p w14:paraId="1D7AEC5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9" w:type="pct"/>
            <w:shd w:val="clear" w:color="auto" w:fill="auto"/>
            <w:vAlign w:val="center"/>
          </w:tcPr>
          <w:p w14:paraId="0FC88172"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1A1AB7B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0E070EB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3FCC92D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262B295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60DCB3A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571,890.36</w:t>
            </w:r>
          </w:p>
        </w:tc>
      </w:tr>
      <w:tr w:rsidR="002D0AE7" w14:paraId="5A16DFDD" w14:textId="77777777">
        <w:trPr>
          <w:jc w:val="center"/>
        </w:trPr>
        <w:tc>
          <w:tcPr>
            <w:tcW w:w="845" w:type="pct"/>
            <w:shd w:val="clear" w:color="auto" w:fill="auto"/>
            <w:vAlign w:val="center"/>
          </w:tcPr>
          <w:p w14:paraId="2BF52046" w14:textId="77777777" w:rsidR="002D0AE7" w:rsidRDefault="00333EBB">
            <w:pPr>
              <w:rPr>
                <w:rFonts w:hint="eastAsia"/>
                <w:sz w:val="21"/>
                <w:szCs w:val="21"/>
              </w:rPr>
            </w:pPr>
            <w:r>
              <w:rPr>
                <w:rFonts w:hint="eastAsia"/>
                <w:sz w:val="21"/>
                <w:szCs w:val="21"/>
              </w:rPr>
              <w:t>JSYL006</w:t>
            </w:r>
          </w:p>
        </w:tc>
        <w:tc>
          <w:tcPr>
            <w:tcW w:w="573" w:type="pct"/>
            <w:shd w:val="clear" w:color="auto" w:fill="auto"/>
            <w:vAlign w:val="center"/>
          </w:tcPr>
          <w:p w14:paraId="75E3E8C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545,992.81</w:t>
            </w:r>
          </w:p>
        </w:tc>
        <w:tc>
          <w:tcPr>
            <w:tcW w:w="574" w:type="pct"/>
            <w:shd w:val="clear" w:color="auto" w:fill="auto"/>
            <w:vAlign w:val="center"/>
          </w:tcPr>
          <w:p w14:paraId="43671CB3"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9" w:type="pct"/>
            <w:shd w:val="clear" w:color="auto" w:fill="auto"/>
            <w:vAlign w:val="center"/>
          </w:tcPr>
          <w:p w14:paraId="65C4CE3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4A2860AF"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0A11FCB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6F186B2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16D3378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4006A5E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545,992.81</w:t>
            </w:r>
          </w:p>
        </w:tc>
      </w:tr>
      <w:tr w:rsidR="002D0AE7" w14:paraId="2D0A098E" w14:textId="77777777">
        <w:trPr>
          <w:jc w:val="center"/>
        </w:trPr>
        <w:tc>
          <w:tcPr>
            <w:tcW w:w="845" w:type="pct"/>
            <w:shd w:val="clear" w:color="auto" w:fill="auto"/>
            <w:vAlign w:val="center"/>
          </w:tcPr>
          <w:p w14:paraId="3A96F86D" w14:textId="77777777" w:rsidR="002D0AE7" w:rsidRDefault="00333EBB">
            <w:pPr>
              <w:rPr>
                <w:rFonts w:hint="eastAsia"/>
                <w:sz w:val="21"/>
                <w:szCs w:val="21"/>
              </w:rPr>
            </w:pPr>
            <w:r>
              <w:rPr>
                <w:rFonts w:hint="eastAsia"/>
                <w:sz w:val="21"/>
                <w:szCs w:val="21"/>
              </w:rPr>
              <w:t>JSYL089</w:t>
            </w:r>
          </w:p>
        </w:tc>
        <w:tc>
          <w:tcPr>
            <w:tcW w:w="573" w:type="pct"/>
            <w:shd w:val="clear" w:color="auto" w:fill="auto"/>
            <w:vAlign w:val="center"/>
          </w:tcPr>
          <w:p w14:paraId="4CC550F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308,154.27</w:t>
            </w:r>
          </w:p>
        </w:tc>
        <w:tc>
          <w:tcPr>
            <w:tcW w:w="574" w:type="pct"/>
            <w:shd w:val="clear" w:color="auto" w:fill="auto"/>
            <w:vAlign w:val="center"/>
          </w:tcPr>
          <w:p w14:paraId="48BF74EF"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38,012.94</w:t>
            </w:r>
          </w:p>
        </w:tc>
        <w:tc>
          <w:tcPr>
            <w:tcW w:w="529" w:type="pct"/>
            <w:shd w:val="clear" w:color="auto" w:fill="auto"/>
            <w:vAlign w:val="center"/>
          </w:tcPr>
          <w:p w14:paraId="73F5DBE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428,525.06</w:t>
            </w:r>
          </w:p>
        </w:tc>
        <w:tc>
          <w:tcPr>
            <w:tcW w:w="263" w:type="pct"/>
            <w:shd w:val="clear" w:color="auto" w:fill="auto"/>
            <w:vAlign w:val="center"/>
          </w:tcPr>
          <w:p w14:paraId="3A02EA8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1CEC8913"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395368A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4FE3BFB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240,251.39</w:t>
            </w:r>
          </w:p>
        </w:tc>
        <w:tc>
          <w:tcPr>
            <w:tcW w:w="597" w:type="pct"/>
            <w:shd w:val="clear" w:color="auto" w:fill="auto"/>
            <w:vAlign w:val="center"/>
          </w:tcPr>
          <w:p w14:paraId="6F3DB30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534,440.88</w:t>
            </w:r>
          </w:p>
        </w:tc>
      </w:tr>
      <w:tr w:rsidR="002D0AE7" w14:paraId="206C147A" w14:textId="77777777">
        <w:trPr>
          <w:jc w:val="center"/>
        </w:trPr>
        <w:tc>
          <w:tcPr>
            <w:tcW w:w="845" w:type="pct"/>
            <w:shd w:val="clear" w:color="auto" w:fill="auto"/>
            <w:vAlign w:val="center"/>
          </w:tcPr>
          <w:p w14:paraId="751D69B8" w14:textId="77777777" w:rsidR="002D0AE7" w:rsidRDefault="00333EBB">
            <w:pPr>
              <w:rPr>
                <w:rFonts w:hint="eastAsia"/>
                <w:sz w:val="21"/>
                <w:szCs w:val="21"/>
              </w:rPr>
            </w:pPr>
            <w:r>
              <w:rPr>
                <w:rFonts w:hint="eastAsia"/>
                <w:sz w:val="21"/>
                <w:szCs w:val="21"/>
              </w:rPr>
              <w:t>JSYL092</w:t>
            </w:r>
          </w:p>
        </w:tc>
        <w:tc>
          <w:tcPr>
            <w:tcW w:w="573" w:type="pct"/>
            <w:shd w:val="clear" w:color="auto" w:fill="auto"/>
            <w:vAlign w:val="center"/>
          </w:tcPr>
          <w:p w14:paraId="046DAF9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74" w:type="pct"/>
            <w:shd w:val="clear" w:color="auto" w:fill="auto"/>
            <w:vAlign w:val="center"/>
          </w:tcPr>
          <w:p w14:paraId="7EF5A4C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142,668.57</w:t>
            </w:r>
          </w:p>
        </w:tc>
        <w:tc>
          <w:tcPr>
            <w:tcW w:w="529" w:type="pct"/>
            <w:shd w:val="clear" w:color="auto" w:fill="auto"/>
            <w:vAlign w:val="center"/>
          </w:tcPr>
          <w:p w14:paraId="30BFEC6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465,355.73</w:t>
            </w:r>
          </w:p>
        </w:tc>
        <w:tc>
          <w:tcPr>
            <w:tcW w:w="263" w:type="pct"/>
            <w:shd w:val="clear" w:color="auto" w:fill="auto"/>
            <w:vAlign w:val="center"/>
          </w:tcPr>
          <w:p w14:paraId="4DDCA0D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2413B3F2"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22EB223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318C162F"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142,668.57</w:t>
            </w:r>
          </w:p>
        </w:tc>
        <w:tc>
          <w:tcPr>
            <w:tcW w:w="597" w:type="pct"/>
            <w:shd w:val="clear" w:color="auto" w:fill="auto"/>
            <w:vAlign w:val="center"/>
          </w:tcPr>
          <w:p w14:paraId="663BD52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465,355.73</w:t>
            </w:r>
          </w:p>
        </w:tc>
      </w:tr>
      <w:tr w:rsidR="002D0AE7" w14:paraId="3D44AA9C" w14:textId="77777777">
        <w:trPr>
          <w:jc w:val="center"/>
        </w:trPr>
        <w:tc>
          <w:tcPr>
            <w:tcW w:w="845" w:type="pct"/>
            <w:shd w:val="clear" w:color="auto" w:fill="auto"/>
            <w:vAlign w:val="center"/>
          </w:tcPr>
          <w:p w14:paraId="6D5A5CB7" w14:textId="77777777" w:rsidR="002D0AE7" w:rsidRDefault="00333EBB">
            <w:pPr>
              <w:rPr>
                <w:rFonts w:hint="eastAsia"/>
                <w:sz w:val="21"/>
                <w:szCs w:val="21"/>
              </w:rPr>
            </w:pPr>
            <w:r>
              <w:rPr>
                <w:rFonts w:hint="eastAsia"/>
                <w:sz w:val="21"/>
                <w:szCs w:val="21"/>
              </w:rPr>
              <w:t>吸入用乙酰半胱氨酸溶液</w:t>
            </w:r>
          </w:p>
        </w:tc>
        <w:tc>
          <w:tcPr>
            <w:tcW w:w="573" w:type="pct"/>
            <w:shd w:val="clear" w:color="auto" w:fill="auto"/>
            <w:vAlign w:val="center"/>
          </w:tcPr>
          <w:p w14:paraId="3EA3D4D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1,266,433.90</w:t>
            </w:r>
          </w:p>
        </w:tc>
        <w:tc>
          <w:tcPr>
            <w:tcW w:w="574" w:type="pct"/>
            <w:shd w:val="clear" w:color="auto" w:fill="auto"/>
            <w:vAlign w:val="center"/>
          </w:tcPr>
          <w:p w14:paraId="2E29E9D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256,561.61</w:t>
            </w:r>
          </w:p>
        </w:tc>
        <w:tc>
          <w:tcPr>
            <w:tcW w:w="529" w:type="pct"/>
            <w:shd w:val="clear" w:color="auto" w:fill="auto"/>
            <w:vAlign w:val="center"/>
          </w:tcPr>
          <w:p w14:paraId="18FCC8D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34B234A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339BB6C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1,475,069.06</w:t>
            </w:r>
          </w:p>
        </w:tc>
        <w:tc>
          <w:tcPr>
            <w:tcW w:w="497" w:type="pct"/>
            <w:shd w:val="clear" w:color="auto" w:fill="auto"/>
            <w:vAlign w:val="center"/>
          </w:tcPr>
          <w:p w14:paraId="77BEBEC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6BAA197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779F81D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47,926.45</w:t>
            </w:r>
          </w:p>
        </w:tc>
      </w:tr>
      <w:tr w:rsidR="002D0AE7" w14:paraId="426F58FE" w14:textId="77777777">
        <w:trPr>
          <w:jc w:val="center"/>
        </w:trPr>
        <w:tc>
          <w:tcPr>
            <w:tcW w:w="845" w:type="pct"/>
            <w:shd w:val="clear" w:color="auto" w:fill="auto"/>
            <w:vAlign w:val="center"/>
          </w:tcPr>
          <w:p w14:paraId="0E52019C" w14:textId="77777777" w:rsidR="002D0AE7" w:rsidRDefault="00333EBB">
            <w:pPr>
              <w:rPr>
                <w:rFonts w:hint="eastAsia"/>
                <w:sz w:val="21"/>
                <w:szCs w:val="21"/>
              </w:rPr>
            </w:pPr>
            <w:r>
              <w:rPr>
                <w:rFonts w:hint="eastAsia"/>
                <w:sz w:val="21"/>
                <w:szCs w:val="21"/>
              </w:rPr>
              <w:t>碳酸氢钠注射液</w:t>
            </w:r>
          </w:p>
        </w:tc>
        <w:tc>
          <w:tcPr>
            <w:tcW w:w="573" w:type="pct"/>
            <w:shd w:val="clear" w:color="auto" w:fill="auto"/>
            <w:vAlign w:val="center"/>
          </w:tcPr>
          <w:p w14:paraId="7B14767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985,600.22</w:t>
            </w:r>
          </w:p>
        </w:tc>
        <w:tc>
          <w:tcPr>
            <w:tcW w:w="574" w:type="pct"/>
            <w:shd w:val="clear" w:color="auto" w:fill="auto"/>
            <w:vAlign w:val="center"/>
          </w:tcPr>
          <w:p w14:paraId="5B11A74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12,252.79</w:t>
            </w:r>
          </w:p>
        </w:tc>
        <w:tc>
          <w:tcPr>
            <w:tcW w:w="529" w:type="pct"/>
            <w:shd w:val="clear" w:color="auto" w:fill="auto"/>
            <w:vAlign w:val="center"/>
          </w:tcPr>
          <w:p w14:paraId="4F4BD00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2A783F9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622D1DCF"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985,936.51</w:t>
            </w:r>
          </w:p>
        </w:tc>
        <w:tc>
          <w:tcPr>
            <w:tcW w:w="497" w:type="pct"/>
            <w:shd w:val="clear" w:color="auto" w:fill="auto"/>
            <w:vAlign w:val="center"/>
          </w:tcPr>
          <w:p w14:paraId="77DD7BB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06E1174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0447680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11,916.50</w:t>
            </w:r>
          </w:p>
        </w:tc>
      </w:tr>
      <w:tr w:rsidR="002D0AE7" w14:paraId="6F768204" w14:textId="77777777">
        <w:trPr>
          <w:jc w:val="center"/>
        </w:trPr>
        <w:tc>
          <w:tcPr>
            <w:tcW w:w="845" w:type="pct"/>
            <w:shd w:val="clear" w:color="auto" w:fill="auto"/>
            <w:vAlign w:val="center"/>
          </w:tcPr>
          <w:p w14:paraId="44B5F0CC" w14:textId="77777777" w:rsidR="002D0AE7" w:rsidRDefault="00333EBB">
            <w:pPr>
              <w:rPr>
                <w:rFonts w:hint="eastAsia"/>
                <w:sz w:val="21"/>
                <w:szCs w:val="21"/>
              </w:rPr>
            </w:pPr>
            <w:r>
              <w:rPr>
                <w:rFonts w:hint="eastAsia"/>
                <w:sz w:val="21"/>
                <w:szCs w:val="21"/>
              </w:rPr>
              <w:t>氟康唑氯化钠注射液</w:t>
            </w:r>
          </w:p>
        </w:tc>
        <w:tc>
          <w:tcPr>
            <w:tcW w:w="573" w:type="pct"/>
            <w:shd w:val="clear" w:color="auto" w:fill="auto"/>
            <w:vAlign w:val="center"/>
          </w:tcPr>
          <w:p w14:paraId="12E3AAD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3,468,373.76</w:t>
            </w:r>
          </w:p>
        </w:tc>
        <w:tc>
          <w:tcPr>
            <w:tcW w:w="574" w:type="pct"/>
            <w:shd w:val="clear" w:color="auto" w:fill="auto"/>
            <w:vAlign w:val="center"/>
          </w:tcPr>
          <w:p w14:paraId="431E913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9" w:type="pct"/>
            <w:shd w:val="clear" w:color="auto" w:fill="auto"/>
            <w:vAlign w:val="center"/>
          </w:tcPr>
          <w:p w14:paraId="06B5B5E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336,491.94</w:t>
            </w:r>
          </w:p>
        </w:tc>
        <w:tc>
          <w:tcPr>
            <w:tcW w:w="263" w:type="pct"/>
            <w:shd w:val="clear" w:color="auto" w:fill="auto"/>
            <w:vAlign w:val="center"/>
          </w:tcPr>
          <w:p w14:paraId="041077B3"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06CCCF8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3,804,865.70</w:t>
            </w:r>
          </w:p>
        </w:tc>
        <w:tc>
          <w:tcPr>
            <w:tcW w:w="497" w:type="pct"/>
            <w:shd w:val="clear" w:color="auto" w:fill="auto"/>
            <w:vAlign w:val="center"/>
          </w:tcPr>
          <w:p w14:paraId="7A41CB5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492311B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616B610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r>
      <w:tr w:rsidR="002D0AE7" w14:paraId="49DB28CA" w14:textId="77777777">
        <w:trPr>
          <w:jc w:val="center"/>
        </w:trPr>
        <w:tc>
          <w:tcPr>
            <w:tcW w:w="845" w:type="pct"/>
            <w:shd w:val="clear" w:color="auto" w:fill="auto"/>
            <w:vAlign w:val="center"/>
          </w:tcPr>
          <w:p w14:paraId="3066B4F0" w14:textId="77777777" w:rsidR="002D0AE7" w:rsidRDefault="00333EBB">
            <w:pPr>
              <w:rPr>
                <w:rFonts w:hint="eastAsia"/>
                <w:sz w:val="21"/>
                <w:szCs w:val="21"/>
              </w:rPr>
            </w:pPr>
            <w:r>
              <w:rPr>
                <w:rFonts w:hint="eastAsia"/>
                <w:sz w:val="21"/>
                <w:szCs w:val="21"/>
              </w:rPr>
              <w:t>克林霉素磷酸酯注射液</w:t>
            </w:r>
          </w:p>
        </w:tc>
        <w:tc>
          <w:tcPr>
            <w:tcW w:w="573" w:type="pct"/>
            <w:shd w:val="clear" w:color="auto" w:fill="auto"/>
            <w:vAlign w:val="center"/>
          </w:tcPr>
          <w:p w14:paraId="6F381AC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2,350,258.36</w:t>
            </w:r>
          </w:p>
        </w:tc>
        <w:tc>
          <w:tcPr>
            <w:tcW w:w="574" w:type="pct"/>
            <w:shd w:val="clear" w:color="auto" w:fill="auto"/>
            <w:vAlign w:val="center"/>
          </w:tcPr>
          <w:p w14:paraId="56690C7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9" w:type="pct"/>
            <w:shd w:val="clear" w:color="auto" w:fill="auto"/>
            <w:vAlign w:val="center"/>
          </w:tcPr>
          <w:p w14:paraId="171094A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395,918.64</w:t>
            </w:r>
          </w:p>
        </w:tc>
        <w:tc>
          <w:tcPr>
            <w:tcW w:w="263" w:type="pct"/>
            <w:shd w:val="clear" w:color="auto" w:fill="auto"/>
            <w:vAlign w:val="center"/>
          </w:tcPr>
          <w:p w14:paraId="722315C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4706F74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2,746,177.00</w:t>
            </w:r>
          </w:p>
        </w:tc>
        <w:tc>
          <w:tcPr>
            <w:tcW w:w="497" w:type="pct"/>
            <w:shd w:val="clear" w:color="auto" w:fill="auto"/>
            <w:vAlign w:val="center"/>
          </w:tcPr>
          <w:p w14:paraId="7148B74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0DAD0FB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4341AEC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r>
      <w:tr w:rsidR="002D0AE7" w14:paraId="563FE81B" w14:textId="77777777">
        <w:trPr>
          <w:jc w:val="center"/>
        </w:trPr>
        <w:tc>
          <w:tcPr>
            <w:tcW w:w="845" w:type="pct"/>
            <w:shd w:val="clear" w:color="auto" w:fill="auto"/>
            <w:vAlign w:val="center"/>
          </w:tcPr>
          <w:p w14:paraId="77B8AA11" w14:textId="77777777" w:rsidR="002D0AE7" w:rsidRDefault="00333EBB">
            <w:pPr>
              <w:rPr>
                <w:rFonts w:hint="eastAsia"/>
                <w:sz w:val="21"/>
                <w:szCs w:val="21"/>
              </w:rPr>
            </w:pPr>
            <w:r>
              <w:rPr>
                <w:rFonts w:hint="eastAsia"/>
                <w:sz w:val="21"/>
                <w:szCs w:val="21"/>
              </w:rPr>
              <w:t>注射用利福平</w:t>
            </w:r>
          </w:p>
        </w:tc>
        <w:tc>
          <w:tcPr>
            <w:tcW w:w="573" w:type="pct"/>
            <w:shd w:val="clear" w:color="auto" w:fill="auto"/>
            <w:vAlign w:val="center"/>
          </w:tcPr>
          <w:p w14:paraId="0261427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1,206,270.33</w:t>
            </w:r>
          </w:p>
        </w:tc>
        <w:tc>
          <w:tcPr>
            <w:tcW w:w="574" w:type="pct"/>
            <w:shd w:val="clear" w:color="auto" w:fill="auto"/>
            <w:vAlign w:val="center"/>
          </w:tcPr>
          <w:p w14:paraId="683FA57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13,713.17</w:t>
            </w:r>
          </w:p>
        </w:tc>
        <w:tc>
          <w:tcPr>
            <w:tcW w:w="529" w:type="pct"/>
            <w:shd w:val="clear" w:color="auto" w:fill="auto"/>
            <w:vAlign w:val="center"/>
          </w:tcPr>
          <w:p w14:paraId="6CBBEF6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00DCD243"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327B078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497" w:type="pct"/>
            <w:shd w:val="clear" w:color="auto" w:fill="auto"/>
            <w:vAlign w:val="center"/>
          </w:tcPr>
          <w:p w14:paraId="34DC2F1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1,219,983.50</w:t>
            </w:r>
          </w:p>
        </w:tc>
        <w:tc>
          <w:tcPr>
            <w:tcW w:w="526" w:type="pct"/>
            <w:shd w:val="clear" w:color="auto" w:fill="auto"/>
            <w:vAlign w:val="center"/>
          </w:tcPr>
          <w:p w14:paraId="7E0860E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227AA60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r>
      <w:tr w:rsidR="002D0AE7" w14:paraId="4817F898" w14:textId="77777777">
        <w:trPr>
          <w:jc w:val="center"/>
        </w:trPr>
        <w:tc>
          <w:tcPr>
            <w:tcW w:w="845" w:type="pct"/>
            <w:shd w:val="clear" w:color="auto" w:fill="auto"/>
            <w:vAlign w:val="center"/>
          </w:tcPr>
          <w:p w14:paraId="6CB828ED" w14:textId="77777777" w:rsidR="002D0AE7" w:rsidRDefault="00333EBB">
            <w:pPr>
              <w:rPr>
                <w:rFonts w:hint="eastAsia"/>
                <w:sz w:val="21"/>
                <w:szCs w:val="21"/>
              </w:rPr>
            </w:pPr>
            <w:r>
              <w:rPr>
                <w:rFonts w:hint="eastAsia"/>
                <w:sz w:val="21"/>
                <w:szCs w:val="21"/>
              </w:rPr>
              <w:t>卤米松乳膏</w:t>
            </w:r>
          </w:p>
        </w:tc>
        <w:tc>
          <w:tcPr>
            <w:tcW w:w="573" w:type="pct"/>
            <w:shd w:val="clear" w:color="auto" w:fill="auto"/>
            <w:vAlign w:val="center"/>
          </w:tcPr>
          <w:p w14:paraId="7006F31F"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1,164,970.22</w:t>
            </w:r>
          </w:p>
        </w:tc>
        <w:tc>
          <w:tcPr>
            <w:tcW w:w="574" w:type="pct"/>
            <w:shd w:val="clear" w:color="auto" w:fill="auto"/>
            <w:vAlign w:val="center"/>
          </w:tcPr>
          <w:p w14:paraId="55A9E32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9" w:type="pct"/>
            <w:shd w:val="clear" w:color="auto" w:fill="auto"/>
            <w:vAlign w:val="center"/>
          </w:tcPr>
          <w:p w14:paraId="717CF303"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6183A6B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12A062D3"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1,164,970.22</w:t>
            </w:r>
          </w:p>
        </w:tc>
        <w:tc>
          <w:tcPr>
            <w:tcW w:w="497" w:type="pct"/>
            <w:shd w:val="clear" w:color="auto" w:fill="auto"/>
            <w:vAlign w:val="center"/>
          </w:tcPr>
          <w:p w14:paraId="2DFBFB0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36DA85E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7850A00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r>
      <w:tr w:rsidR="002D0AE7" w14:paraId="008FCCAD" w14:textId="77777777">
        <w:trPr>
          <w:jc w:val="center"/>
        </w:trPr>
        <w:tc>
          <w:tcPr>
            <w:tcW w:w="845" w:type="pct"/>
            <w:shd w:val="clear" w:color="auto" w:fill="auto"/>
            <w:vAlign w:val="center"/>
          </w:tcPr>
          <w:p w14:paraId="5AA8C725" w14:textId="77777777" w:rsidR="002D0AE7" w:rsidRDefault="00333EBB">
            <w:pPr>
              <w:rPr>
                <w:rFonts w:hint="eastAsia"/>
                <w:sz w:val="21"/>
                <w:szCs w:val="21"/>
              </w:rPr>
            </w:pPr>
            <w:r>
              <w:rPr>
                <w:rFonts w:hint="eastAsia"/>
                <w:sz w:val="21"/>
                <w:szCs w:val="21"/>
              </w:rPr>
              <w:t>一种</w:t>
            </w:r>
            <w:r>
              <w:rPr>
                <w:rFonts w:hint="eastAsia"/>
                <w:sz w:val="21"/>
                <w:szCs w:val="21"/>
              </w:rPr>
              <w:t>3-</w:t>
            </w:r>
            <w:r>
              <w:rPr>
                <w:rFonts w:hint="eastAsia"/>
                <w:sz w:val="21"/>
                <w:szCs w:val="21"/>
              </w:rPr>
              <w:t>甾酮</w:t>
            </w:r>
            <w:r>
              <w:rPr>
                <w:rFonts w:hint="eastAsia"/>
                <w:sz w:val="21"/>
                <w:szCs w:val="21"/>
              </w:rPr>
              <w:t>-</w:t>
            </w:r>
            <w:r>
              <w:rPr>
                <w:rFonts w:hint="eastAsia"/>
                <w:sz w:val="21"/>
                <w:szCs w:val="21"/>
              </w:rPr>
              <w:t>Δ</w:t>
            </w:r>
            <w:r>
              <w:rPr>
                <w:rFonts w:hint="eastAsia"/>
                <w:sz w:val="21"/>
                <w:szCs w:val="21"/>
              </w:rPr>
              <w:t>1-</w:t>
            </w:r>
            <w:r>
              <w:rPr>
                <w:rFonts w:hint="eastAsia"/>
                <w:sz w:val="21"/>
                <w:szCs w:val="21"/>
              </w:rPr>
              <w:t>脱氢酶及其编码基因和应用</w:t>
            </w:r>
          </w:p>
        </w:tc>
        <w:tc>
          <w:tcPr>
            <w:tcW w:w="573" w:type="pct"/>
            <w:shd w:val="clear" w:color="auto" w:fill="auto"/>
            <w:vAlign w:val="center"/>
          </w:tcPr>
          <w:p w14:paraId="17ECADD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64,986.51</w:t>
            </w:r>
          </w:p>
        </w:tc>
        <w:tc>
          <w:tcPr>
            <w:tcW w:w="574" w:type="pct"/>
            <w:shd w:val="clear" w:color="auto" w:fill="auto"/>
            <w:vAlign w:val="center"/>
          </w:tcPr>
          <w:p w14:paraId="6DD4B01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649,384.24</w:t>
            </w:r>
          </w:p>
        </w:tc>
        <w:tc>
          <w:tcPr>
            <w:tcW w:w="529" w:type="pct"/>
            <w:shd w:val="clear" w:color="auto" w:fill="auto"/>
            <w:vAlign w:val="center"/>
          </w:tcPr>
          <w:p w14:paraId="1374770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7606965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75C16E4D"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714,370.75</w:t>
            </w:r>
          </w:p>
        </w:tc>
        <w:tc>
          <w:tcPr>
            <w:tcW w:w="497" w:type="pct"/>
            <w:shd w:val="clear" w:color="auto" w:fill="auto"/>
            <w:vAlign w:val="center"/>
          </w:tcPr>
          <w:p w14:paraId="18B167E7"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68EBB9FE"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364B448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r>
      <w:tr w:rsidR="002D0AE7" w14:paraId="611DCA9E" w14:textId="77777777">
        <w:trPr>
          <w:jc w:val="center"/>
        </w:trPr>
        <w:tc>
          <w:tcPr>
            <w:tcW w:w="845" w:type="pct"/>
            <w:shd w:val="clear" w:color="auto" w:fill="auto"/>
            <w:vAlign w:val="center"/>
          </w:tcPr>
          <w:p w14:paraId="27ABCB16" w14:textId="77777777" w:rsidR="002D0AE7" w:rsidRDefault="00333EBB">
            <w:pPr>
              <w:rPr>
                <w:rFonts w:hint="eastAsia"/>
                <w:sz w:val="21"/>
                <w:szCs w:val="21"/>
              </w:rPr>
            </w:pPr>
            <w:r>
              <w:rPr>
                <w:rFonts w:hint="eastAsia"/>
                <w:sz w:val="21"/>
                <w:szCs w:val="21"/>
              </w:rPr>
              <w:t>吸入用复方异丙托溴铵溶液</w:t>
            </w:r>
          </w:p>
        </w:tc>
        <w:tc>
          <w:tcPr>
            <w:tcW w:w="573" w:type="pct"/>
            <w:shd w:val="clear" w:color="auto" w:fill="auto"/>
            <w:vAlign w:val="center"/>
          </w:tcPr>
          <w:p w14:paraId="049AD45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696,527.47</w:t>
            </w:r>
          </w:p>
        </w:tc>
        <w:tc>
          <w:tcPr>
            <w:tcW w:w="574" w:type="pct"/>
            <w:shd w:val="clear" w:color="auto" w:fill="auto"/>
            <w:vAlign w:val="center"/>
          </w:tcPr>
          <w:p w14:paraId="42D13901"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9" w:type="pct"/>
            <w:shd w:val="clear" w:color="auto" w:fill="auto"/>
            <w:vAlign w:val="center"/>
          </w:tcPr>
          <w:p w14:paraId="6F84B55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263" w:type="pct"/>
            <w:shd w:val="clear" w:color="auto" w:fill="auto"/>
            <w:vAlign w:val="center"/>
          </w:tcPr>
          <w:p w14:paraId="512CAD6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3A0545A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696,527.47</w:t>
            </w:r>
          </w:p>
        </w:tc>
        <w:tc>
          <w:tcPr>
            <w:tcW w:w="497" w:type="pct"/>
            <w:shd w:val="clear" w:color="auto" w:fill="auto"/>
            <w:vAlign w:val="center"/>
          </w:tcPr>
          <w:p w14:paraId="774CD29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26" w:type="pct"/>
            <w:shd w:val="clear" w:color="auto" w:fill="auto"/>
            <w:vAlign w:val="center"/>
          </w:tcPr>
          <w:p w14:paraId="5938691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642456A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r>
      <w:tr w:rsidR="002D0AE7" w14:paraId="1C73D344" w14:textId="77777777">
        <w:trPr>
          <w:jc w:val="center"/>
        </w:trPr>
        <w:tc>
          <w:tcPr>
            <w:tcW w:w="845" w:type="pct"/>
            <w:shd w:val="clear" w:color="auto" w:fill="auto"/>
            <w:vAlign w:val="center"/>
          </w:tcPr>
          <w:p w14:paraId="4EF2E9D6" w14:textId="77777777" w:rsidR="002D0AE7" w:rsidRDefault="00333EBB">
            <w:pPr>
              <w:rPr>
                <w:rFonts w:hint="eastAsia"/>
                <w:sz w:val="21"/>
                <w:szCs w:val="21"/>
              </w:rPr>
            </w:pPr>
            <w:r>
              <w:rPr>
                <w:rFonts w:hint="eastAsia"/>
                <w:sz w:val="21"/>
                <w:szCs w:val="21"/>
              </w:rPr>
              <w:t>其他</w:t>
            </w:r>
          </w:p>
        </w:tc>
        <w:tc>
          <w:tcPr>
            <w:tcW w:w="573" w:type="pct"/>
            <w:shd w:val="clear" w:color="auto" w:fill="auto"/>
            <w:vAlign w:val="center"/>
          </w:tcPr>
          <w:p w14:paraId="580199C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4,777,183.23</w:t>
            </w:r>
          </w:p>
        </w:tc>
        <w:tc>
          <w:tcPr>
            <w:tcW w:w="574" w:type="pct"/>
            <w:shd w:val="clear" w:color="auto" w:fill="auto"/>
            <w:vAlign w:val="center"/>
          </w:tcPr>
          <w:p w14:paraId="507605E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3,420,409.25</w:t>
            </w:r>
          </w:p>
        </w:tc>
        <w:tc>
          <w:tcPr>
            <w:tcW w:w="529" w:type="pct"/>
            <w:shd w:val="clear" w:color="auto" w:fill="auto"/>
            <w:vAlign w:val="center"/>
          </w:tcPr>
          <w:p w14:paraId="5ACCF36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228,390.79</w:t>
            </w:r>
          </w:p>
        </w:tc>
        <w:tc>
          <w:tcPr>
            <w:tcW w:w="263" w:type="pct"/>
            <w:shd w:val="clear" w:color="auto" w:fill="auto"/>
            <w:vAlign w:val="center"/>
          </w:tcPr>
          <w:p w14:paraId="03A2FF7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1F2EC5BB"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754,538.35</w:t>
            </w:r>
          </w:p>
        </w:tc>
        <w:tc>
          <w:tcPr>
            <w:tcW w:w="497" w:type="pct"/>
            <w:shd w:val="clear" w:color="auto" w:fill="auto"/>
            <w:vAlign w:val="center"/>
          </w:tcPr>
          <w:p w14:paraId="60646070"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343,103.01</w:t>
            </w:r>
          </w:p>
        </w:tc>
        <w:tc>
          <w:tcPr>
            <w:tcW w:w="526" w:type="pct"/>
            <w:shd w:val="clear" w:color="auto" w:fill="auto"/>
            <w:vAlign w:val="center"/>
          </w:tcPr>
          <w:p w14:paraId="05D489C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7" w:type="pct"/>
            <w:shd w:val="clear" w:color="auto" w:fill="auto"/>
            <w:vAlign w:val="center"/>
          </w:tcPr>
          <w:p w14:paraId="45B71A2C"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7,328,341.91</w:t>
            </w:r>
          </w:p>
        </w:tc>
      </w:tr>
      <w:tr w:rsidR="002D0AE7" w14:paraId="53020664" w14:textId="77777777">
        <w:trPr>
          <w:jc w:val="center"/>
        </w:trPr>
        <w:tc>
          <w:tcPr>
            <w:tcW w:w="845" w:type="pct"/>
            <w:vAlign w:val="center"/>
          </w:tcPr>
          <w:p w14:paraId="227CA3E8"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573" w:type="pct"/>
            <w:shd w:val="clear" w:color="auto" w:fill="auto"/>
            <w:vAlign w:val="center"/>
          </w:tcPr>
          <w:p w14:paraId="22A8CAB5"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187,161,524.63</w:t>
            </w:r>
          </w:p>
        </w:tc>
        <w:tc>
          <w:tcPr>
            <w:tcW w:w="574" w:type="pct"/>
            <w:shd w:val="clear" w:color="auto" w:fill="auto"/>
            <w:vAlign w:val="center"/>
          </w:tcPr>
          <w:p w14:paraId="407549E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12,402,974.82</w:t>
            </w:r>
          </w:p>
        </w:tc>
        <w:tc>
          <w:tcPr>
            <w:tcW w:w="529" w:type="pct"/>
            <w:shd w:val="clear" w:color="auto" w:fill="auto"/>
            <w:vAlign w:val="center"/>
          </w:tcPr>
          <w:p w14:paraId="6EA14669"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6,065,252.88</w:t>
            </w:r>
          </w:p>
        </w:tc>
        <w:tc>
          <w:tcPr>
            <w:tcW w:w="263" w:type="pct"/>
            <w:shd w:val="clear" w:color="auto" w:fill="auto"/>
            <w:vAlign w:val="center"/>
          </w:tcPr>
          <w:p w14:paraId="3C171106"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0.00</w:t>
            </w:r>
          </w:p>
        </w:tc>
        <w:tc>
          <w:tcPr>
            <w:tcW w:w="596" w:type="pct"/>
            <w:shd w:val="clear" w:color="auto" w:fill="auto"/>
            <w:vAlign w:val="center"/>
          </w:tcPr>
          <w:p w14:paraId="5BF4D5CA"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12,342,455.06</w:t>
            </w:r>
          </w:p>
        </w:tc>
        <w:tc>
          <w:tcPr>
            <w:tcW w:w="497" w:type="pct"/>
            <w:shd w:val="clear" w:color="auto" w:fill="auto"/>
            <w:vAlign w:val="center"/>
          </w:tcPr>
          <w:p w14:paraId="5ABA9294"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1,563,086.51</w:t>
            </w:r>
          </w:p>
        </w:tc>
        <w:tc>
          <w:tcPr>
            <w:tcW w:w="526" w:type="pct"/>
            <w:shd w:val="clear" w:color="auto" w:fill="auto"/>
            <w:vAlign w:val="center"/>
          </w:tcPr>
          <w:p w14:paraId="42961CB2"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382,919.96</w:t>
            </w:r>
          </w:p>
        </w:tc>
        <w:tc>
          <w:tcPr>
            <w:tcW w:w="597" w:type="pct"/>
            <w:shd w:val="clear" w:color="auto" w:fill="auto"/>
            <w:vAlign w:val="center"/>
          </w:tcPr>
          <w:p w14:paraId="13D7A5D8" w14:textId="77777777" w:rsidR="002D0AE7" w:rsidRDefault="00333EBB">
            <w:pPr>
              <w:jc w:val="right"/>
              <w:rPr>
                <w:rFonts w:ascii="Times New Roman" w:hAnsi="Times New Roman" w:cs="Times New Roman"/>
                <w:sz w:val="16"/>
                <w:szCs w:val="16"/>
              </w:rPr>
            </w:pPr>
            <w:r>
              <w:rPr>
                <w:rFonts w:ascii="Times New Roman" w:hAnsi="Times New Roman" w:cs="Times New Roman"/>
                <w:sz w:val="16"/>
                <w:szCs w:val="16"/>
              </w:rPr>
              <w:t>191,341,290.80</w:t>
            </w:r>
          </w:p>
        </w:tc>
      </w:tr>
    </w:tbl>
    <w:bookmarkEnd w:id="227"/>
    <w:p w14:paraId="0FBC09A4" w14:textId="77777777" w:rsidR="002D0AE7" w:rsidRDefault="00333EBB">
      <w:pPr>
        <w:rPr>
          <w:rFonts w:hint="eastAsia"/>
          <w:color w:val="000000" w:themeColor="text1"/>
        </w:rPr>
      </w:pPr>
      <w:r>
        <w:rPr>
          <w:color w:val="000000" w:themeColor="text1"/>
        </w:rPr>
        <w:t>开发支出减值准备</w:t>
      </w:r>
    </w:p>
    <w:sdt>
      <w:sdtPr>
        <w:rPr>
          <w:color w:val="000000" w:themeColor="text1"/>
        </w:rPr>
        <w:alias w:val="是否适用：开发支出减值准备[双击切换]"/>
        <w:tag w:val="_GBC_61f8745227c4412fa050b0628c64a40a"/>
        <w:id w:val="1388375030"/>
        <w:placeholder>
          <w:docPart w:val="GBC22222222222222222222222222222"/>
        </w:placeholder>
      </w:sdtPr>
      <w:sdtEndPr/>
      <w:sdtContent>
        <w:p w14:paraId="3BCA8DDA"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64B0C3A7" w14:textId="77777777" w:rsidR="002D0AE7" w:rsidRDefault="00333EBB">
      <w:pPr>
        <w:pStyle w:val="11"/>
        <w:rPr>
          <w:rFonts w:hint="eastAsia"/>
        </w:rPr>
      </w:pPr>
      <w:r>
        <w:rPr>
          <w:rFonts w:hint="eastAsia"/>
        </w:rPr>
        <w:lastRenderedPageBreak/>
        <w:t>单位：</w:t>
      </w:r>
      <w:sdt>
        <w:sdtPr>
          <w:rPr>
            <w:rFonts w:hint="eastAsia"/>
          </w:rPr>
          <w:alias w:val="单位：开发支出减值准备"/>
          <w:tag w:val="_GBC_29eb933aca954b079edcbe739cb1f597"/>
          <w:id w:val="-1538042869"/>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币种：</w:t>
      </w:r>
      <w:sdt>
        <w:sdtPr>
          <w:rPr>
            <w:rFonts w:hint="eastAsia"/>
          </w:rPr>
          <w:alias w:val="币种：开发支出减值准备"/>
          <w:tag w:val="_GBC_026e87d9b11c4e29b7306363fe350eb1"/>
          <w:id w:val="-207958502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924"/>
        <w:gridCol w:w="1417"/>
        <w:gridCol w:w="1560"/>
        <w:gridCol w:w="1991"/>
      </w:tblGrid>
      <w:tr w:rsidR="002D0AE7" w14:paraId="113E32C9" w14:textId="77777777">
        <w:trPr>
          <w:jc w:val="center"/>
        </w:trPr>
        <w:sdt>
          <w:sdtPr>
            <w:rPr>
              <w:rFonts w:hint="eastAsia"/>
              <w:color w:val="000000" w:themeColor="text1"/>
              <w:sz w:val="21"/>
              <w:szCs w:val="21"/>
            </w:rPr>
            <w:tag w:val="_PLD_25838c28fb5c41d9971d2003ca6ea0f7"/>
            <w:id w:val="-2132467251"/>
          </w:sdtPr>
          <w:sdtEndPr/>
          <w:sdtContent>
            <w:tc>
              <w:tcPr>
                <w:tcW w:w="1372" w:type="pct"/>
                <w:shd w:val="clear" w:color="auto" w:fill="auto"/>
              </w:tcPr>
              <w:p w14:paraId="6C4EC73D" w14:textId="77777777" w:rsidR="002D0AE7" w:rsidRDefault="00333EBB">
                <w:pPr>
                  <w:widowControl w:val="0"/>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56fbc56847f54b92a61dcda1ee79a129"/>
            <w:id w:val="-1753578921"/>
          </w:sdtPr>
          <w:sdtEndPr/>
          <w:sdtContent>
            <w:tc>
              <w:tcPr>
                <w:tcW w:w="1013" w:type="pct"/>
                <w:shd w:val="clear" w:color="auto" w:fill="auto"/>
              </w:tcPr>
              <w:p w14:paraId="253E6CBE" w14:textId="77777777" w:rsidR="002D0AE7" w:rsidRDefault="00333EBB">
                <w:pPr>
                  <w:widowControl w:val="0"/>
                  <w:jc w:val="center"/>
                  <w:rPr>
                    <w:rFonts w:hint="eastAsia"/>
                    <w:color w:val="000000" w:themeColor="text1"/>
                    <w:sz w:val="21"/>
                    <w:szCs w:val="21"/>
                  </w:rPr>
                </w:pPr>
                <w:r>
                  <w:rPr>
                    <w:color w:val="000000" w:themeColor="text1"/>
                    <w:sz w:val="21"/>
                    <w:szCs w:val="21"/>
                  </w:rPr>
                  <w:t>期初余额</w:t>
                </w:r>
              </w:p>
            </w:tc>
          </w:sdtContent>
        </w:sdt>
        <w:sdt>
          <w:sdtPr>
            <w:rPr>
              <w:color w:val="000000" w:themeColor="text1"/>
              <w:sz w:val="21"/>
              <w:szCs w:val="21"/>
            </w:rPr>
            <w:tag w:val="_PLD_54b4ea1d3ba14c569ff246ff9d4bd336"/>
            <w:id w:val="-1440292029"/>
          </w:sdtPr>
          <w:sdtEndPr/>
          <w:sdtContent>
            <w:tc>
              <w:tcPr>
                <w:tcW w:w="746" w:type="pct"/>
                <w:shd w:val="clear" w:color="auto" w:fill="auto"/>
              </w:tcPr>
              <w:p w14:paraId="66DE78FB" w14:textId="77777777" w:rsidR="002D0AE7" w:rsidRDefault="00333EBB">
                <w:pPr>
                  <w:widowControl w:val="0"/>
                  <w:jc w:val="center"/>
                  <w:rPr>
                    <w:rFonts w:hint="eastAsia"/>
                    <w:color w:val="000000" w:themeColor="text1"/>
                    <w:sz w:val="21"/>
                    <w:szCs w:val="21"/>
                  </w:rPr>
                </w:pPr>
                <w:r>
                  <w:rPr>
                    <w:color w:val="000000" w:themeColor="text1"/>
                    <w:sz w:val="21"/>
                    <w:szCs w:val="21"/>
                  </w:rPr>
                  <w:t>本期增加</w:t>
                </w:r>
              </w:p>
            </w:tc>
          </w:sdtContent>
        </w:sdt>
        <w:sdt>
          <w:sdtPr>
            <w:rPr>
              <w:rFonts w:hint="eastAsia"/>
              <w:color w:val="000000" w:themeColor="text1"/>
              <w:sz w:val="21"/>
              <w:szCs w:val="21"/>
            </w:rPr>
            <w:tag w:val="_PLD_515f94767b964effb3d5ab22539b707b"/>
            <w:id w:val="-524090916"/>
          </w:sdtPr>
          <w:sdtEndPr/>
          <w:sdtContent>
            <w:tc>
              <w:tcPr>
                <w:tcW w:w="821" w:type="pct"/>
                <w:shd w:val="clear" w:color="auto" w:fill="auto"/>
              </w:tcPr>
              <w:p w14:paraId="7FD42BB7" w14:textId="77777777" w:rsidR="002D0AE7" w:rsidRDefault="00333EBB">
                <w:pPr>
                  <w:widowControl w:val="0"/>
                  <w:jc w:val="center"/>
                  <w:rPr>
                    <w:rFonts w:hint="eastAsia"/>
                    <w:color w:val="000000" w:themeColor="text1"/>
                    <w:sz w:val="21"/>
                    <w:szCs w:val="21"/>
                  </w:rPr>
                </w:pPr>
                <w:r>
                  <w:rPr>
                    <w:rFonts w:hint="eastAsia"/>
                    <w:color w:val="000000" w:themeColor="text1"/>
                    <w:sz w:val="21"/>
                    <w:szCs w:val="21"/>
                  </w:rPr>
                  <w:t>本期减少</w:t>
                </w:r>
              </w:p>
            </w:tc>
          </w:sdtContent>
        </w:sdt>
        <w:sdt>
          <w:sdtPr>
            <w:rPr>
              <w:color w:val="000000" w:themeColor="text1"/>
              <w:sz w:val="21"/>
              <w:szCs w:val="21"/>
            </w:rPr>
            <w:tag w:val="_PLD_0e289ddc05d943f3a9cc411c0097d79d"/>
            <w:id w:val="-1732834569"/>
          </w:sdtPr>
          <w:sdtEndPr/>
          <w:sdtContent>
            <w:tc>
              <w:tcPr>
                <w:tcW w:w="1048" w:type="pct"/>
                <w:shd w:val="clear" w:color="auto" w:fill="auto"/>
              </w:tcPr>
              <w:p w14:paraId="099E1953" w14:textId="77777777" w:rsidR="002D0AE7" w:rsidRDefault="00333EBB">
                <w:pPr>
                  <w:widowControl w:val="0"/>
                  <w:jc w:val="center"/>
                  <w:rPr>
                    <w:rFonts w:hint="eastAsia"/>
                    <w:color w:val="000000" w:themeColor="text1"/>
                    <w:sz w:val="21"/>
                    <w:szCs w:val="21"/>
                  </w:rPr>
                </w:pPr>
                <w:r>
                  <w:rPr>
                    <w:color w:val="000000" w:themeColor="text1"/>
                    <w:sz w:val="21"/>
                    <w:szCs w:val="21"/>
                  </w:rPr>
                  <w:t>期末余额</w:t>
                </w:r>
              </w:p>
            </w:tc>
          </w:sdtContent>
        </w:sdt>
      </w:tr>
      <w:tr w:rsidR="002D0AE7" w14:paraId="203BE18F" w14:textId="77777777">
        <w:trPr>
          <w:jc w:val="center"/>
        </w:trPr>
        <w:tc>
          <w:tcPr>
            <w:tcW w:w="1372" w:type="pct"/>
            <w:shd w:val="clear" w:color="auto" w:fill="auto"/>
          </w:tcPr>
          <w:p w14:paraId="1A2F1440" w14:textId="77777777" w:rsidR="002D0AE7" w:rsidRDefault="00333EBB">
            <w:pPr>
              <w:widowControl w:val="0"/>
              <w:rPr>
                <w:rFonts w:hint="eastAsia"/>
                <w:sz w:val="21"/>
                <w:szCs w:val="21"/>
              </w:rPr>
            </w:pPr>
            <w:r>
              <w:rPr>
                <w:rFonts w:hint="eastAsia"/>
                <w:sz w:val="21"/>
                <w:szCs w:val="21"/>
              </w:rPr>
              <w:t>脂肪乳注射液</w:t>
            </w:r>
          </w:p>
        </w:tc>
        <w:tc>
          <w:tcPr>
            <w:tcW w:w="1013" w:type="pct"/>
            <w:shd w:val="clear" w:color="auto" w:fill="auto"/>
          </w:tcPr>
          <w:p w14:paraId="1B289CD1" w14:textId="77777777" w:rsidR="002D0AE7" w:rsidRDefault="00333EBB">
            <w:pPr>
              <w:widowControl w:val="0"/>
              <w:jc w:val="right"/>
              <w:rPr>
                <w:rFonts w:hint="eastAsia"/>
                <w:sz w:val="21"/>
                <w:szCs w:val="21"/>
              </w:rPr>
            </w:pPr>
            <w:r>
              <w:rPr>
                <w:rFonts w:ascii="Times New Roman" w:hAnsi="Times New Roman" w:cs="Times New Roman"/>
                <w:sz w:val="21"/>
                <w:szCs w:val="21"/>
              </w:rPr>
              <w:t>2,494,500.00</w:t>
            </w:r>
          </w:p>
        </w:tc>
        <w:tc>
          <w:tcPr>
            <w:tcW w:w="746" w:type="pct"/>
            <w:shd w:val="clear" w:color="auto" w:fill="auto"/>
          </w:tcPr>
          <w:p w14:paraId="0014AEEF" w14:textId="77777777" w:rsidR="002D0AE7" w:rsidRDefault="00333EBB">
            <w:pPr>
              <w:widowControl w:val="0"/>
              <w:jc w:val="right"/>
              <w:rPr>
                <w:rFonts w:hint="eastAsia"/>
                <w:sz w:val="21"/>
                <w:szCs w:val="21"/>
              </w:rPr>
            </w:pPr>
            <w:r>
              <w:rPr>
                <w:rFonts w:ascii="Times New Roman" w:hAnsi="Times New Roman" w:cs="Times New Roman"/>
                <w:sz w:val="21"/>
                <w:szCs w:val="21"/>
              </w:rPr>
              <w:t>0.00</w:t>
            </w:r>
          </w:p>
        </w:tc>
        <w:tc>
          <w:tcPr>
            <w:tcW w:w="821" w:type="pct"/>
            <w:shd w:val="clear" w:color="auto" w:fill="auto"/>
          </w:tcPr>
          <w:p w14:paraId="3487B25C" w14:textId="77777777" w:rsidR="002D0AE7" w:rsidRDefault="00333EBB">
            <w:pPr>
              <w:widowControl w:val="0"/>
              <w:jc w:val="right"/>
              <w:rPr>
                <w:rFonts w:hint="eastAsia"/>
                <w:sz w:val="21"/>
                <w:szCs w:val="21"/>
              </w:rPr>
            </w:pPr>
            <w:r>
              <w:rPr>
                <w:rFonts w:ascii="Times New Roman" w:hAnsi="Times New Roman" w:cs="Times New Roman"/>
                <w:sz w:val="21"/>
                <w:szCs w:val="21"/>
              </w:rPr>
              <w:t>0.00</w:t>
            </w:r>
          </w:p>
        </w:tc>
        <w:tc>
          <w:tcPr>
            <w:tcW w:w="1048" w:type="pct"/>
            <w:shd w:val="clear" w:color="auto" w:fill="auto"/>
          </w:tcPr>
          <w:p w14:paraId="54D23B5A" w14:textId="77777777" w:rsidR="002D0AE7" w:rsidRDefault="00333EBB">
            <w:pPr>
              <w:widowControl w:val="0"/>
              <w:jc w:val="right"/>
              <w:rPr>
                <w:rFonts w:hint="eastAsia"/>
                <w:sz w:val="21"/>
                <w:szCs w:val="21"/>
              </w:rPr>
            </w:pPr>
            <w:r>
              <w:rPr>
                <w:rFonts w:ascii="Times New Roman" w:hAnsi="Times New Roman" w:cs="Times New Roman"/>
                <w:sz w:val="21"/>
                <w:szCs w:val="21"/>
              </w:rPr>
              <w:t>2,494,500.00</w:t>
            </w:r>
          </w:p>
        </w:tc>
      </w:tr>
      <w:tr w:rsidR="002D0AE7" w14:paraId="5B333052" w14:textId="77777777">
        <w:trPr>
          <w:jc w:val="center"/>
        </w:trPr>
        <w:tc>
          <w:tcPr>
            <w:tcW w:w="1372" w:type="pct"/>
            <w:shd w:val="clear" w:color="auto" w:fill="auto"/>
          </w:tcPr>
          <w:p w14:paraId="3448FA13" w14:textId="77777777" w:rsidR="002D0AE7" w:rsidRDefault="00333EBB">
            <w:pPr>
              <w:widowControl w:val="0"/>
              <w:rPr>
                <w:rFonts w:hint="eastAsia"/>
                <w:sz w:val="21"/>
                <w:szCs w:val="21"/>
              </w:rPr>
            </w:pPr>
            <w:r>
              <w:rPr>
                <w:rFonts w:hint="eastAsia"/>
                <w:sz w:val="21"/>
                <w:szCs w:val="21"/>
              </w:rPr>
              <w:t>中</w:t>
            </w:r>
            <w:r>
              <w:rPr>
                <w:sz w:val="21"/>
                <w:szCs w:val="21"/>
              </w:rPr>
              <w:t>/</w:t>
            </w:r>
            <w:r>
              <w:rPr>
                <w:sz w:val="21"/>
                <w:szCs w:val="21"/>
              </w:rPr>
              <w:t>长链脂肪乳注射液</w:t>
            </w:r>
          </w:p>
        </w:tc>
        <w:tc>
          <w:tcPr>
            <w:tcW w:w="1013" w:type="pct"/>
            <w:shd w:val="clear" w:color="auto" w:fill="auto"/>
          </w:tcPr>
          <w:p w14:paraId="6EAE7D8C" w14:textId="77777777" w:rsidR="002D0AE7" w:rsidRDefault="00333EBB">
            <w:pPr>
              <w:widowControl w:val="0"/>
              <w:jc w:val="right"/>
              <w:rPr>
                <w:rFonts w:hint="eastAsia"/>
                <w:sz w:val="21"/>
                <w:szCs w:val="21"/>
              </w:rPr>
            </w:pPr>
            <w:r>
              <w:rPr>
                <w:rFonts w:ascii="Times New Roman" w:hAnsi="Times New Roman" w:cs="Times New Roman"/>
                <w:sz w:val="21"/>
                <w:szCs w:val="21"/>
              </w:rPr>
              <w:t>5,535,800.00</w:t>
            </w:r>
          </w:p>
        </w:tc>
        <w:tc>
          <w:tcPr>
            <w:tcW w:w="746" w:type="pct"/>
            <w:shd w:val="clear" w:color="auto" w:fill="auto"/>
          </w:tcPr>
          <w:p w14:paraId="37134B1D" w14:textId="77777777" w:rsidR="002D0AE7" w:rsidRDefault="00333EBB">
            <w:pPr>
              <w:widowControl w:val="0"/>
              <w:jc w:val="right"/>
              <w:rPr>
                <w:rFonts w:hint="eastAsia"/>
                <w:sz w:val="21"/>
                <w:szCs w:val="21"/>
              </w:rPr>
            </w:pPr>
            <w:r>
              <w:rPr>
                <w:rFonts w:ascii="Times New Roman" w:hAnsi="Times New Roman" w:cs="Times New Roman"/>
                <w:sz w:val="21"/>
                <w:szCs w:val="21"/>
              </w:rPr>
              <w:t>0.00</w:t>
            </w:r>
          </w:p>
        </w:tc>
        <w:tc>
          <w:tcPr>
            <w:tcW w:w="821" w:type="pct"/>
            <w:shd w:val="clear" w:color="auto" w:fill="auto"/>
          </w:tcPr>
          <w:p w14:paraId="7A3556B2" w14:textId="77777777" w:rsidR="002D0AE7" w:rsidRDefault="00333EBB">
            <w:pPr>
              <w:widowControl w:val="0"/>
              <w:jc w:val="right"/>
              <w:rPr>
                <w:rFonts w:hint="eastAsia"/>
                <w:sz w:val="21"/>
                <w:szCs w:val="21"/>
              </w:rPr>
            </w:pPr>
            <w:r>
              <w:rPr>
                <w:rFonts w:ascii="Times New Roman" w:hAnsi="Times New Roman" w:cs="Times New Roman"/>
                <w:sz w:val="21"/>
                <w:szCs w:val="21"/>
              </w:rPr>
              <w:t>0.00</w:t>
            </w:r>
          </w:p>
        </w:tc>
        <w:tc>
          <w:tcPr>
            <w:tcW w:w="1048" w:type="pct"/>
            <w:shd w:val="clear" w:color="auto" w:fill="auto"/>
          </w:tcPr>
          <w:p w14:paraId="6B4BEF96" w14:textId="77777777" w:rsidR="002D0AE7" w:rsidRDefault="00333EBB">
            <w:pPr>
              <w:widowControl w:val="0"/>
              <w:jc w:val="right"/>
              <w:rPr>
                <w:rFonts w:hint="eastAsia"/>
                <w:sz w:val="21"/>
                <w:szCs w:val="21"/>
              </w:rPr>
            </w:pPr>
            <w:r>
              <w:rPr>
                <w:rFonts w:ascii="Times New Roman" w:hAnsi="Times New Roman" w:cs="Times New Roman"/>
                <w:sz w:val="21"/>
                <w:szCs w:val="21"/>
              </w:rPr>
              <w:t>5,535,800.00</w:t>
            </w:r>
          </w:p>
        </w:tc>
      </w:tr>
      <w:tr w:rsidR="002D0AE7" w14:paraId="491044FD" w14:textId="77777777">
        <w:trPr>
          <w:jc w:val="center"/>
        </w:trPr>
        <w:tc>
          <w:tcPr>
            <w:tcW w:w="1372" w:type="pct"/>
            <w:shd w:val="clear" w:color="auto" w:fill="auto"/>
          </w:tcPr>
          <w:p w14:paraId="55D1AA1B" w14:textId="77777777" w:rsidR="002D0AE7" w:rsidRDefault="00333EBB">
            <w:pPr>
              <w:widowControl w:val="0"/>
              <w:rPr>
                <w:rFonts w:hint="eastAsia"/>
                <w:sz w:val="21"/>
                <w:szCs w:val="21"/>
              </w:rPr>
            </w:pPr>
            <w:r>
              <w:rPr>
                <w:rFonts w:hint="eastAsia"/>
                <w:sz w:val="21"/>
                <w:szCs w:val="21"/>
              </w:rPr>
              <w:t>精氨酸谷氨酸注射液</w:t>
            </w:r>
          </w:p>
        </w:tc>
        <w:tc>
          <w:tcPr>
            <w:tcW w:w="1013" w:type="pct"/>
            <w:shd w:val="clear" w:color="auto" w:fill="auto"/>
          </w:tcPr>
          <w:p w14:paraId="6777B25C" w14:textId="77777777" w:rsidR="002D0AE7" w:rsidRDefault="00333EBB">
            <w:pPr>
              <w:widowControl w:val="0"/>
              <w:jc w:val="right"/>
              <w:rPr>
                <w:rFonts w:hint="eastAsia"/>
                <w:sz w:val="21"/>
                <w:szCs w:val="21"/>
              </w:rPr>
            </w:pPr>
            <w:r>
              <w:rPr>
                <w:rFonts w:ascii="Times New Roman" w:hAnsi="Times New Roman" w:cs="Times New Roman"/>
                <w:sz w:val="21"/>
                <w:szCs w:val="21"/>
              </w:rPr>
              <w:t>4,212,000.00</w:t>
            </w:r>
          </w:p>
        </w:tc>
        <w:tc>
          <w:tcPr>
            <w:tcW w:w="746" w:type="pct"/>
            <w:shd w:val="clear" w:color="auto" w:fill="auto"/>
          </w:tcPr>
          <w:p w14:paraId="76026A7B" w14:textId="77777777" w:rsidR="002D0AE7" w:rsidRDefault="00333EBB">
            <w:pPr>
              <w:widowControl w:val="0"/>
              <w:jc w:val="right"/>
              <w:rPr>
                <w:rFonts w:hint="eastAsia"/>
                <w:sz w:val="21"/>
                <w:szCs w:val="21"/>
              </w:rPr>
            </w:pPr>
            <w:r>
              <w:rPr>
                <w:rFonts w:ascii="Times New Roman" w:hAnsi="Times New Roman" w:cs="Times New Roman"/>
                <w:sz w:val="21"/>
                <w:szCs w:val="21"/>
              </w:rPr>
              <w:t>0.00</w:t>
            </w:r>
          </w:p>
        </w:tc>
        <w:tc>
          <w:tcPr>
            <w:tcW w:w="821" w:type="pct"/>
            <w:shd w:val="clear" w:color="auto" w:fill="auto"/>
          </w:tcPr>
          <w:p w14:paraId="55BBE293" w14:textId="77777777" w:rsidR="002D0AE7" w:rsidRDefault="00333EBB">
            <w:pPr>
              <w:widowControl w:val="0"/>
              <w:jc w:val="right"/>
              <w:rPr>
                <w:rFonts w:hint="eastAsia"/>
                <w:sz w:val="21"/>
                <w:szCs w:val="21"/>
              </w:rPr>
            </w:pPr>
            <w:r>
              <w:rPr>
                <w:rFonts w:ascii="Times New Roman" w:hAnsi="Times New Roman" w:cs="Times New Roman"/>
                <w:sz w:val="21"/>
                <w:szCs w:val="21"/>
              </w:rPr>
              <w:t>0.00</w:t>
            </w:r>
          </w:p>
        </w:tc>
        <w:tc>
          <w:tcPr>
            <w:tcW w:w="1048" w:type="pct"/>
            <w:shd w:val="clear" w:color="auto" w:fill="auto"/>
          </w:tcPr>
          <w:p w14:paraId="23EFFED7" w14:textId="77777777" w:rsidR="002D0AE7" w:rsidRDefault="00333EBB">
            <w:pPr>
              <w:widowControl w:val="0"/>
              <w:jc w:val="right"/>
              <w:rPr>
                <w:rFonts w:hint="eastAsia"/>
                <w:sz w:val="21"/>
                <w:szCs w:val="21"/>
              </w:rPr>
            </w:pPr>
            <w:r>
              <w:rPr>
                <w:rFonts w:ascii="Times New Roman" w:hAnsi="Times New Roman" w:cs="Times New Roman"/>
                <w:sz w:val="21"/>
                <w:szCs w:val="21"/>
              </w:rPr>
              <w:t>4,212,000.00</w:t>
            </w:r>
          </w:p>
        </w:tc>
      </w:tr>
      <w:tr w:rsidR="002D0AE7" w14:paraId="7B1857DF" w14:textId="77777777">
        <w:trPr>
          <w:jc w:val="center"/>
        </w:trPr>
        <w:tc>
          <w:tcPr>
            <w:tcW w:w="1372" w:type="pct"/>
            <w:shd w:val="clear" w:color="auto" w:fill="auto"/>
          </w:tcPr>
          <w:p w14:paraId="1033714F" w14:textId="77777777" w:rsidR="002D0AE7" w:rsidRDefault="00333EBB">
            <w:pPr>
              <w:widowControl w:val="0"/>
              <w:rPr>
                <w:rFonts w:hint="eastAsia"/>
                <w:sz w:val="21"/>
                <w:szCs w:val="21"/>
              </w:rPr>
            </w:pPr>
            <w:r>
              <w:rPr>
                <w:rFonts w:hint="eastAsia"/>
                <w:sz w:val="21"/>
                <w:szCs w:val="21"/>
              </w:rPr>
              <w:t>丙酸氟替卡松鼻喷雾剂</w:t>
            </w:r>
          </w:p>
        </w:tc>
        <w:tc>
          <w:tcPr>
            <w:tcW w:w="1013" w:type="pct"/>
            <w:shd w:val="clear" w:color="auto" w:fill="auto"/>
          </w:tcPr>
          <w:p w14:paraId="208E9D8C" w14:textId="77777777" w:rsidR="002D0AE7" w:rsidRDefault="00333EBB">
            <w:pPr>
              <w:widowControl w:val="0"/>
              <w:jc w:val="right"/>
              <w:rPr>
                <w:rFonts w:hint="eastAsia"/>
                <w:sz w:val="21"/>
                <w:szCs w:val="21"/>
              </w:rPr>
            </w:pPr>
            <w:r>
              <w:rPr>
                <w:rFonts w:ascii="Times New Roman" w:hAnsi="Times New Roman" w:cs="Times New Roman"/>
                <w:sz w:val="21"/>
                <w:szCs w:val="21"/>
              </w:rPr>
              <w:t>4,843,300.00</w:t>
            </w:r>
          </w:p>
        </w:tc>
        <w:tc>
          <w:tcPr>
            <w:tcW w:w="746" w:type="pct"/>
            <w:shd w:val="clear" w:color="auto" w:fill="auto"/>
          </w:tcPr>
          <w:p w14:paraId="1A3EC008" w14:textId="77777777" w:rsidR="002D0AE7" w:rsidRDefault="00333EBB">
            <w:pPr>
              <w:widowControl w:val="0"/>
              <w:jc w:val="right"/>
              <w:rPr>
                <w:rFonts w:hint="eastAsia"/>
                <w:sz w:val="21"/>
                <w:szCs w:val="21"/>
              </w:rPr>
            </w:pPr>
            <w:r>
              <w:rPr>
                <w:rFonts w:ascii="Times New Roman" w:hAnsi="Times New Roman" w:cs="Times New Roman"/>
                <w:sz w:val="21"/>
                <w:szCs w:val="21"/>
              </w:rPr>
              <w:t>0.00</w:t>
            </w:r>
          </w:p>
        </w:tc>
        <w:tc>
          <w:tcPr>
            <w:tcW w:w="821" w:type="pct"/>
            <w:shd w:val="clear" w:color="auto" w:fill="auto"/>
          </w:tcPr>
          <w:p w14:paraId="7459A0E9" w14:textId="77777777" w:rsidR="002D0AE7" w:rsidRDefault="00333EBB">
            <w:pPr>
              <w:widowControl w:val="0"/>
              <w:jc w:val="right"/>
              <w:rPr>
                <w:rFonts w:hint="eastAsia"/>
                <w:sz w:val="21"/>
                <w:szCs w:val="21"/>
              </w:rPr>
            </w:pPr>
            <w:r>
              <w:rPr>
                <w:rFonts w:ascii="Times New Roman" w:hAnsi="Times New Roman" w:cs="Times New Roman"/>
                <w:sz w:val="21"/>
                <w:szCs w:val="21"/>
              </w:rPr>
              <w:t>0.00</w:t>
            </w:r>
          </w:p>
        </w:tc>
        <w:tc>
          <w:tcPr>
            <w:tcW w:w="1048" w:type="pct"/>
            <w:shd w:val="clear" w:color="auto" w:fill="auto"/>
          </w:tcPr>
          <w:p w14:paraId="2D7EF8B7" w14:textId="77777777" w:rsidR="002D0AE7" w:rsidRDefault="00333EBB">
            <w:pPr>
              <w:widowControl w:val="0"/>
              <w:jc w:val="right"/>
              <w:rPr>
                <w:rFonts w:hint="eastAsia"/>
                <w:sz w:val="21"/>
                <w:szCs w:val="21"/>
              </w:rPr>
            </w:pPr>
            <w:r>
              <w:rPr>
                <w:rFonts w:ascii="Times New Roman" w:hAnsi="Times New Roman" w:cs="Times New Roman"/>
                <w:sz w:val="21"/>
                <w:szCs w:val="21"/>
              </w:rPr>
              <w:t>4,843,300.00</w:t>
            </w:r>
          </w:p>
        </w:tc>
      </w:tr>
      <w:tr w:rsidR="002D0AE7" w14:paraId="00C4A12D" w14:textId="77777777">
        <w:trPr>
          <w:jc w:val="center"/>
        </w:trPr>
        <w:tc>
          <w:tcPr>
            <w:tcW w:w="1372" w:type="pct"/>
            <w:shd w:val="clear" w:color="auto" w:fill="auto"/>
          </w:tcPr>
          <w:p w14:paraId="6FF00C95" w14:textId="77777777" w:rsidR="002D0AE7" w:rsidRDefault="00333EBB">
            <w:pPr>
              <w:widowControl w:val="0"/>
              <w:rPr>
                <w:rFonts w:hint="eastAsia"/>
                <w:sz w:val="21"/>
                <w:szCs w:val="21"/>
              </w:rPr>
            </w:pPr>
            <w:r>
              <w:rPr>
                <w:rFonts w:hint="eastAsia"/>
                <w:sz w:val="21"/>
                <w:szCs w:val="21"/>
              </w:rPr>
              <w:t>丙酸倍氯米松气雾剂</w:t>
            </w:r>
          </w:p>
        </w:tc>
        <w:tc>
          <w:tcPr>
            <w:tcW w:w="1013" w:type="pct"/>
            <w:shd w:val="clear" w:color="auto" w:fill="auto"/>
          </w:tcPr>
          <w:p w14:paraId="671F92A8" w14:textId="77777777" w:rsidR="002D0AE7" w:rsidRDefault="00333EBB">
            <w:pPr>
              <w:widowControl w:val="0"/>
              <w:jc w:val="right"/>
              <w:rPr>
                <w:rFonts w:hint="eastAsia"/>
                <w:sz w:val="21"/>
                <w:szCs w:val="21"/>
              </w:rPr>
            </w:pPr>
            <w:r>
              <w:rPr>
                <w:rFonts w:ascii="Times New Roman" w:hAnsi="Times New Roman" w:cs="Times New Roman"/>
                <w:sz w:val="21"/>
                <w:szCs w:val="21"/>
              </w:rPr>
              <w:t>1,661,500.00</w:t>
            </w:r>
          </w:p>
        </w:tc>
        <w:tc>
          <w:tcPr>
            <w:tcW w:w="746" w:type="pct"/>
            <w:shd w:val="clear" w:color="auto" w:fill="auto"/>
          </w:tcPr>
          <w:p w14:paraId="414A31D7" w14:textId="77777777" w:rsidR="002D0AE7" w:rsidRDefault="00333EBB">
            <w:pPr>
              <w:widowControl w:val="0"/>
              <w:jc w:val="right"/>
              <w:rPr>
                <w:rFonts w:hint="eastAsia"/>
                <w:sz w:val="21"/>
                <w:szCs w:val="21"/>
              </w:rPr>
            </w:pPr>
            <w:r>
              <w:rPr>
                <w:rFonts w:ascii="Times New Roman" w:hAnsi="Times New Roman" w:cs="Times New Roman"/>
                <w:sz w:val="21"/>
                <w:szCs w:val="21"/>
              </w:rPr>
              <w:t>0.00</w:t>
            </w:r>
          </w:p>
        </w:tc>
        <w:tc>
          <w:tcPr>
            <w:tcW w:w="821" w:type="pct"/>
            <w:shd w:val="clear" w:color="auto" w:fill="auto"/>
          </w:tcPr>
          <w:p w14:paraId="5666D3C7" w14:textId="77777777" w:rsidR="002D0AE7" w:rsidRDefault="00333EBB">
            <w:pPr>
              <w:widowControl w:val="0"/>
              <w:jc w:val="right"/>
              <w:rPr>
                <w:rFonts w:hint="eastAsia"/>
                <w:sz w:val="21"/>
                <w:szCs w:val="21"/>
              </w:rPr>
            </w:pPr>
            <w:r>
              <w:rPr>
                <w:rFonts w:ascii="Times New Roman" w:hAnsi="Times New Roman" w:cs="Times New Roman"/>
                <w:sz w:val="21"/>
                <w:szCs w:val="21"/>
              </w:rPr>
              <w:t>0.00</w:t>
            </w:r>
          </w:p>
        </w:tc>
        <w:tc>
          <w:tcPr>
            <w:tcW w:w="1048" w:type="pct"/>
            <w:shd w:val="clear" w:color="auto" w:fill="auto"/>
          </w:tcPr>
          <w:p w14:paraId="41D76EDB" w14:textId="77777777" w:rsidR="002D0AE7" w:rsidRDefault="00333EBB">
            <w:pPr>
              <w:widowControl w:val="0"/>
              <w:jc w:val="right"/>
              <w:rPr>
                <w:rFonts w:hint="eastAsia"/>
                <w:sz w:val="21"/>
                <w:szCs w:val="21"/>
              </w:rPr>
            </w:pPr>
            <w:r>
              <w:rPr>
                <w:rFonts w:ascii="Times New Roman" w:hAnsi="Times New Roman" w:cs="Times New Roman"/>
                <w:sz w:val="21"/>
                <w:szCs w:val="21"/>
              </w:rPr>
              <w:t>1,661,500.00</w:t>
            </w:r>
          </w:p>
        </w:tc>
      </w:tr>
      <w:tr w:rsidR="002D0AE7" w14:paraId="244EB6D1" w14:textId="77777777">
        <w:trPr>
          <w:jc w:val="center"/>
        </w:trPr>
        <w:tc>
          <w:tcPr>
            <w:tcW w:w="1372" w:type="pct"/>
            <w:shd w:val="clear" w:color="auto" w:fill="auto"/>
          </w:tcPr>
          <w:p w14:paraId="1267F81E" w14:textId="77777777" w:rsidR="002D0AE7" w:rsidRDefault="00333EBB">
            <w:pPr>
              <w:widowControl w:val="0"/>
              <w:jc w:val="center"/>
              <w:rPr>
                <w:rFonts w:hint="eastAsia"/>
                <w:color w:val="000000" w:themeColor="text1"/>
                <w:sz w:val="21"/>
                <w:szCs w:val="21"/>
              </w:rPr>
            </w:pPr>
            <w:r>
              <w:rPr>
                <w:rFonts w:hint="eastAsia"/>
                <w:color w:val="000000" w:themeColor="text1"/>
                <w:sz w:val="21"/>
                <w:szCs w:val="21"/>
              </w:rPr>
              <w:t>合计</w:t>
            </w:r>
          </w:p>
        </w:tc>
        <w:tc>
          <w:tcPr>
            <w:tcW w:w="1013" w:type="pct"/>
            <w:shd w:val="clear" w:color="auto" w:fill="auto"/>
          </w:tcPr>
          <w:p w14:paraId="39A6564A" w14:textId="77777777" w:rsidR="002D0AE7" w:rsidRDefault="00333EBB">
            <w:pPr>
              <w:widowControl w:val="0"/>
              <w:jc w:val="right"/>
              <w:rPr>
                <w:rFonts w:hint="eastAsia"/>
                <w:sz w:val="21"/>
                <w:szCs w:val="21"/>
              </w:rPr>
            </w:pPr>
            <w:r>
              <w:rPr>
                <w:rFonts w:ascii="Times New Roman" w:hAnsi="Times New Roman" w:cs="Times New Roman"/>
                <w:sz w:val="21"/>
                <w:szCs w:val="21"/>
              </w:rPr>
              <w:t>18,747,100.00</w:t>
            </w:r>
          </w:p>
        </w:tc>
        <w:tc>
          <w:tcPr>
            <w:tcW w:w="746" w:type="pct"/>
            <w:shd w:val="clear" w:color="auto" w:fill="auto"/>
          </w:tcPr>
          <w:p w14:paraId="3D492D7C" w14:textId="77777777" w:rsidR="002D0AE7" w:rsidRDefault="00333EBB">
            <w:pPr>
              <w:widowControl w:val="0"/>
              <w:jc w:val="right"/>
              <w:rPr>
                <w:rFonts w:hint="eastAsia"/>
                <w:sz w:val="21"/>
                <w:szCs w:val="21"/>
              </w:rPr>
            </w:pPr>
            <w:r>
              <w:rPr>
                <w:rFonts w:ascii="Times New Roman" w:hAnsi="Times New Roman" w:cs="Times New Roman"/>
                <w:sz w:val="21"/>
                <w:szCs w:val="21"/>
              </w:rPr>
              <w:t>0.00</w:t>
            </w:r>
          </w:p>
        </w:tc>
        <w:tc>
          <w:tcPr>
            <w:tcW w:w="821" w:type="pct"/>
            <w:shd w:val="clear" w:color="auto" w:fill="auto"/>
          </w:tcPr>
          <w:p w14:paraId="3B62D30D" w14:textId="77777777" w:rsidR="002D0AE7" w:rsidRDefault="00333EBB">
            <w:pPr>
              <w:widowControl w:val="0"/>
              <w:jc w:val="right"/>
              <w:rPr>
                <w:rFonts w:hint="eastAsia"/>
                <w:sz w:val="21"/>
                <w:szCs w:val="21"/>
              </w:rPr>
            </w:pPr>
            <w:r>
              <w:rPr>
                <w:rFonts w:ascii="Times New Roman" w:hAnsi="Times New Roman" w:cs="Times New Roman"/>
                <w:sz w:val="21"/>
                <w:szCs w:val="21"/>
              </w:rPr>
              <w:t>0.00</w:t>
            </w:r>
          </w:p>
        </w:tc>
        <w:tc>
          <w:tcPr>
            <w:tcW w:w="1048" w:type="pct"/>
            <w:shd w:val="clear" w:color="auto" w:fill="auto"/>
          </w:tcPr>
          <w:p w14:paraId="59476DDE" w14:textId="77777777" w:rsidR="002D0AE7" w:rsidRDefault="00333EBB">
            <w:pPr>
              <w:widowControl w:val="0"/>
              <w:jc w:val="right"/>
              <w:rPr>
                <w:rFonts w:hint="eastAsia"/>
                <w:sz w:val="21"/>
                <w:szCs w:val="21"/>
              </w:rPr>
            </w:pPr>
            <w:r>
              <w:rPr>
                <w:rFonts w:ascii="Times New Roman" w:hAnsi="Times New Roman" w:cs="Times New Roman"/>
                <w:sz w:val="21"/>
                <w:szCs w:val="21"/>
              </w:rPr>
              <w:t>18,747,100.00</w:t>
            </w:r>
          </w:p>
        </w:tc>
      </w:tr>
    </w:tbl>
    <w:p w14:paraId="7AC8293E" w14:textId="77777777" w:rsidR="002D0AE7" w:rsidRDefault="00333EBB">
      <w:pPr>
        <w:rPr>
          <w:rFonts w:hint="eastAsia"/>
          <w:color w:val="000000" w:themeColor="text1"/>
          <w:sz w:val="21"/>
        </w:rPr>
      </w:pPr>
      <w:r>
        <w:rPr>
          <w:rFonts w:hint="eastAsia"/>
          <w:color w:val="000000" w:themeColor="text1"/>
          <w:sz w:val="21"/>
        </w:rPr>
        <w:t>其他说明</w:t>
      </w:r>
    </w:p>
    <w:sdt>
      <w:sdtPr>
        <w:rPr>
          <w:color w:val="000000" w:themeColor="text1"/>
          <w:sz w:val="21"/>
        </w:rPr>
        <w:alias w:val="符合资本化条件的研发项目开发支出的其他说明"/>
        <w:tag w:val="_GBC_6f5dba19dcad4294ab6f74834cfe3448"/>
        <w:id w:val="-810085698"/>
        <w:placeholder>
          <w:docPart w:val="GBC22222222222222222222222222222"/>
        </w:placeholder>
      </w:sdtPr>
      <w:sdtEndPr/>
      <w:sdtContent>
        <w:p w14:paraId="6BE32E00" w14:textId="77777777" w:rsidR="002D0AE7" w:rsidRDefault="00333EBB">
          <w:pPr>
            <w:rPr>
              <w:rFonts w:hint="eastAsia"/>
              <w:color w:val="000000" w:themeColor="text1"/>
              <w:sz w:val="21"/>
            </w:rPr>
          </w:pPr>
          <w:r>
            <w:rPr>
              <w:rFonts w:hint="eastAsia"/>
              <w:color w:val="000000" w:themeColor="text1"/>
              <w:sz w:val="21"/>
            </w:rPr>
            <w:t>公司对研发项目进行了全面评价，考虑到上述研发项目的国家评审技术标准大幅提升，而公司目前的研发能力有限，暂时不能达到要求，故此公司暂停上述项目的研发活动，并对上述研发项目全额计提了减值准备。</w:t>
          </w:r>
        </w:p>
      </w:sdtContent>
    </w:sdt>
    <w:bookmarkEnd w:id="226"/>
    <w:p w14:paraId="0568A738" w14:textId="77777777" w:rsidR="002D0AE7" w:rsidRDefault="00333EBB">
      <w:pPr>
        <w:pStyle w:val="2"/>
        <w:numPr>
          <w:ilvl w:val="0"/>
          <w:numId w:val="34"/>
        </w:numPr>
        <w:ind w:left="482" w:hanging="482"/>
        <w:rPr>
          <w:rFonts w:ascii="宋体" w:hAnsi="宋体" w:hint="eastAsia"/>
          <w:color w:val="000000" w:themeColor="text1"/>
        </w:rPr>
      </w:pPr>
      <w:r>
        <w:rPr>
          <w:rFonts w:ascii="宋体" w:hAnsi="宋体" w:hint="eastAsia"/>
          <w:color w:val="000000" w:themeColor="text1"/>
        </w:rPr>
        <w:t>合并范围的变更</w:t>
      </w:r>
    </w:p>
    <w:p w14:paraId="1AE3D481" w14:textId="77777777" w:rsidR="002D0AE7" w:rsidRDefault="00333EBB">
      <w:pPr>
        <w:pStyle w:val="3"/>
        <w:numPr>
          <w:ilvl w:val="0"/>
          <w:numId w:val="73"/>
        </w:numPr>
        <w:rPr>
          <w:rFonts w:ascii="宋体" w:hAnsi="宋体" w:cs="Arial" w:hint="eastAsia"/>
          <w:color w:val="000000" w:themeColor="text1"/>
        </w:rPr>
      </w:pPr>
      <w:r>
        <w:rPr>
          <w:rFonts w:ascii="宋体" w:hAnsi="宋体" w:cs="Arial" w:hint="eastAsia"/>
          <w:color w:val="000000" w:themeColor="text1"/>
        </w:rPr>
        <w:t>其他原因的合并范围变动</w:t>
      </w:r>
    </w:p>
    <w:p w14:paraId="315C2571" w14:textId="77777777" w:rsidR="002D0AE7" w:rsidRDefault="00333EBB">
      <w:pPr>
        <w:rPr>
          <w:rFonts w:hint="eastAsia"/>
          <w:color w:val="000000" w:themeColor="text1"/>
        </w:rPr>
      </w:pPr>
      <w:r>
        <w:rPr>
          <w:rFonts w:hint="eastAsia"/>
          <w:color w:val="000000" w:themeColor="text1"/>
        </w:rPr>
        <w:t>说明其他原因导致的合并范围变动（如，新设子公司、清算子公司等）及其相关情况：</w:t>
      </w:r>
      <w:sdt>
        <w:sdtPr>
          <w:rPr>
            <w:color w:val="000000" w:themeColor="text1"/>
          </w:rPr>
          <w:alias w:val="是否适用：其他原因导致的合并范围变动及其相关情况[双击切换]"/>
          <w:tag w:val="_GBC_55cbf4f78793498cb1532f08bfbb61f4"/>
          <w:id w:val="-146050803"/>
          <w:placeholder>
            <w:docPart w:val="GBC22222222222222222222222222222"/>
          </w:placeholder>
        </w:sdtPr>
        <w:sdtEndPr/>
        <w:sdtContent>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sdtContent>
      </w:sdt>
    </w:p>
    <w:sdt>
      <w:sdtPr>
        <w:rPr>
          <w:rFonts w:cs="Arial"/>
          <w:color w:val="000000" w:themeColor="text1"/>
        </w:rPr>
        <w:alias w:val="其他原因的合并范围变动"/>
        <w:tag w:val="_GBC_c83a0d19a27e42c0927cf85c8c6221e2"/>
        <w:id w:val="1698343746"/>
        <w:placeholder>
          <w:docPart w:val="GBC22222222222222222222222222222"/>
        </w:placeholder>
      </w:sdtPr>
      <w:sdtEndPr>
        <w:rPr>
          <w:sz w:val="21"/>
          <w:szCs w:val="21"/>
        </w:rPr>
      </w:sdtEndPr>
      <w:sdtContent>
        <w:p w14:paraId="37152BF4" w14:textId="77777777" w:rsidR="002D0AE7" w:rsidRDefault="00333EBB">
          <w:pPr>
            <w:ind w:firstLineChars="200" w:firstLine="480"/>
            <w:rPr>
              <w:rFonts w:cs="Arial" w:hint="eastAsia"/>
              <w:color w:val="000000" w:themeColor="text1"/>
              <w:sz w:val="21"/>
              <w:szCs w:val="21"/>
            </w:rPr>
          </w:pPr>
          <w:r>
            <w:rPr>
              <w:rFonts w:cs="Arial" w:hint="eastAsia"/>
              <w:color w:val="000000" w:themeColor="text1"/>
              <w:sz w:val="21"/>
              <w:szCs w:val="21"/>
            </w:rPr>
            <w:t>由于</w:t>
          </w:r>
          <w:r>
            <w:rPr>
              <w:sz w:val="21"/>
              <w:szCs w:val="21"/>
            </w:rPr>
            <w:t>2024</w:t>
          </w:r>
          <w:r>
            <w:rPr>
              <w:sz w:val="21"/>
              <w:szCs w:val="21"/>
            </w:rPr>
            <w:t>年</w:t>
          </w:r>
          <w:r>
            <w:rPr>
              <w:sz w:val="21"/>
              <w:szCs w:val="21"/>
            </w:rPr>
            <w:t>3</w:t>
          </w:r>
          <w:r>
            <w:rPr>
              <w:sz w:val="21"/>
              <w:szCs w:val="21"/>
            </w:rPr>
            <w:t>月</w:t>
          </w:r>
          <w:r>
            <w:rPr>
              <w:sz w:val="21"/>
              <w:szCs w:val="21"/>
            </w:rPr>
            <w:t>20</w:t>
          </w:r>
          <w:r>
            <w:rPr>
              <w:sz w:val="21"/>
              <w:szCs w:val="21"/>
            </w:rPr>
            <w:t>日公司收到天津市经济技术开发区市场监督管理局下发的注销登记核准通知，</w:t>
          </w:r>
          <w:r>
            <w:rPr>
              <w:rFonts w:hint="eastAsia"/>
              <w:sz w:val="21"/>
              <w:szCs w:val="21"/>
            </w:rPr>
            <w:t>子公司</w:t>
          </w:r>
          <w:r>
            <w:rPr>
              <w:color w:val="000000" w:themeColor="text1"/>
              <w:sz w:val="21"/>
              <w:szCs w:val="21"/>
            </w:rPr>
            <w:t>天津市三隆化工有限公司</w:t>
          </w:r>
          <w:r>
            <w:rPr>
              <w:sz w:val="21"/>
              <w:szCs w:val="21"/>
            </w:rPr>
            <w:t>完成注销登记</w:t>
          </w:r>
          <w:r>
            <w:rPr>
              <w:rFonts w:hint="eastAsia"/>
              <w:sz w:val="21"/>
              <w:szCs w:val="21"/>
            </w:rPr>
            <w:t>，故此</w:t>
          </w:r>
          <w:r>
            <w:rPr>
              <w:rFonts w:cs="Arial" w:hint="eastAsia"/>
              <w:color w:val="000000" w:themeColor="text1"/>
              <w:sz w:val="21"/>
              <w:szCs w:val="21"/>
            </w:rPr>
            <w:t>本期合并范围减少子公司</w:t>
          </w:r>
          <w:r>
            <w:rPr>
              <w:color w:val="000000" w:themeColor="text1"/>
              <w:sz w:val="21"/>
              <w:szCs w:val="21"/>
            </w:rPr>
            <w:t>天津市三隆化工有限公司</w:t>
          </w:r>
          <w:r>
            <w:rPr>
              <w:rFonts w:hint="eastAsia"/>
              <w:sz w:val="21"/>
              <w:szCs w:val="21"/>
            </w:rPr>
            <w:t>。</w:t>
          </w:r>
        </w:p>
      </w:sdtContent>
    </w:sdt>
    <w:p w14:paraId="4244098E" w14:textId="77777777" w:rsidR="002D0AE7" w:rsidRDefault="00333EBB">
      <w:pPr>
        <w:pStyle w:val="2"/>
        <w:numPr>
          <w:ilvl w:val="0"/>
          <w:numId w:val="34"/>
        </w:numPr>
        <w:ind w:left="482" w:hanging="482"/>
        <w:rPr>
          <w:rFonts w:ascii="宋体" w:hAnsi="宋体" w:hint="eastAsia"/>
          <w:color w:val="000000" w:themeColor="text1"/>
        </w:rPr>
      </w:pPr>
      <w:r>
        <w:rPr>
          <w:rFonts w:ascii="宋体" w:hAnsi="宋体" w:hint="eastAsia"/>
          <w:color w:val="000000" w:themeColor="text1"/>
        </w:rPr>
        <w:t>在其他主体中的权益</w:t>
      </w:r>
    </w:p>
    <w:p w14:paraId="472F653A" w14:textId="77777777" w:rsidR="002D0AE7" w:rsidRDefault="00333EBB">
      <w:pPr>
        <w:pStyle w:val="3"/>
        <w:numPr>
          <w:ilvl w:val="2"/>
          <w:numId w:val="74"/>
        </w:numPr>
        <w:rPr>
          <w:rFonts w:ascii="宋体" w:hAnsi="宋体" w:hint="eastAsia"/>
          <w:color w:val="000000" w:themeColor="text1"/>
        </w:rPr>
      </w:pPr>
      <w:r>
        <w:rPr>
          <w:rFonts w:ascii="宋体" w:hAnsi="宋体" w:hint="eastAsia"/>
          <w:color w:val="000000" w:themeColor="text1"/>
        </w:rPr>
        <w:t>在子公司中的权益</w:t>
      </w:r>
    </w:p>
    <w:p w14:paraId="004B3758" w14:textId="77777777" w:rsidR="002D0AE7" w:rsidRDefault="00333EBB">
      <w:pPr>
        <w:pStyle w:val="4"/>
        <w:numPr>
          <w:ilvl w:val="3"/>
          <w:numId w:val="75"/>
        </w:numPr>
        <w:ind w:left="487" w:hangingChars="202" w:hanging="487"/>
        <w:rPr>
          <w:color w:val="000000" w:themeColor="text1"/>
        </w:rPr>
      </w:pPr>
      <w:bookmarkStart w:id="228" w:name="_Hlk167975969"/>
      <w:r>
        <w:rPr>
          <w:rFonts w:hint="eastAsia"/>
          <w:color w:val="000000" w:themeColor="text1"/>
        </w:rPr>
        <w:t>企业集团的构成</w:t>
      </w:r>
    </w:p>
    <w:sdt>
      <w:sdtPr>
        <w:rPr>
          <w:color w:val="000000" w:themeColor="text1"/>
        </w:rPr>
        <w:alias w:val="是否适用：企业集团的构成[双击切换]"/>
        <w:tag w:val="_GBC_d1c28d303a594095b9e1cc6b9a265571"/>
        <w:id w:val="-769543307"/>
        <w:placeholder>
          <w:docPart w:val="GBC22222222222222222222222222222"/>
        </w:placeholder>
      </w:sdtPr>
      <w:sdtEndPr/>
      <w:sdtContent>
        <w:p w14:paraId="6096D334"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1531607D" w14:textId="77777777" w:rsidR="002D0AE7" w:rsidRDefault="00333EBB">
      <w:pPr>
        <w:jc w:val="right"/>
        <w:rPr>
          <w:rFonts w:hint="eastAsia"/>
          <w:color w:val="000000" w:themeColor="text1"/>
        </w:rPr>
      </w:pPr>
      <w:r>
        <w:rPr>
          <w:rFonts w:hint="eastAsia"/>
          <w:color w:val="000000" w:themeColor="text1"/>
        </w:rPr>
        <w:t>单位</w:t>
      </w:r>
      <w:r>
        <w:rPr>
          <w:rFonts w:hint="eastAsia"/>
          <w:color w:val="000000" w:themeColor="text1"/>
        </w:rPr>
        <w:t>:</w:t>
      </w:r>
      <w:sdt>
        <w:sdtPr>
          <w:rPr>
            <w:rFonts w:hint="eastAsia"/>
            <w:color w:val="000000" w:themeColor="text1"/>
          </w:rPr>
          <w:alias w:val="单位：企业集团的构成"/>
          <w:tag w:val="_GBC_02462820d05142eca3713abc443b34f5"/>
          <w:id w:val="-348485522"/>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万元</w:t>
          </w:r>
        </w:sdtContent>
      </w:sdt>
      <w:r>
        <w:rPr>
          <w:rFonts w:hint="eastAsia"/>
          <w:color w:val="000000" w:themeColor="text1"/>
        </w:rPr>
        <w:t>币种</w:t>
      </w:r>
      <w:r>
        <w:rPr>
          <w:rFonts w:hint="eastAsia"/>
          <w:color w:val="000000" w:themeColor="text1"/>
        </w:rPr>
        <w:t>:</w:t>
      </w:r>
      <w:sdt>
        <w:sdtPr>
          <w:rPr>
            <w:rFonts w:hint="eastAsia"/>
            <w:color w:val="000000" w:themeColor="text1"/>
          </w:rPr>
          <w:alias w:val="币种：企业集团的构成"/>
          <w:tag w:val="_GBC_850144d278d74367b4b93ca80468f614"/>
          <w:id w:val="135993902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6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52"/>
        <w:gridCol w:w="1559"/>
        <w:gridCol w:w="853"/>
        <w:gridCol w:w="2409"/>
        <w:gridCol w:w="849"/>
        <w:gridCol w:w="993"/>
        <w:gridCol w:w="1416"/>
      </w:tblGrid>
      <w:tr w:rsidR="002D0AE7" w14:paraId="52C725FF" w14:textId="77777777">
        <w:trPr>
          <w:trHeight w:val="247"/>
          <w:jc w:val="center"/>
        </w:trPr>
        <w:sdt>
          <w:sdtPr>
            <w:rPr>
              <w:color w:val="000000" w:themeColor="text1"/>
              <w:sz w:val="21"/>
              <w:szCs w:val="21"/>
            </w:rPr>
            <w:tag w:val="_PLD_f9c2120a205a401daafe7d623ad6f73f"/>
            <w:id w:val="-1450002042"/>
          </w:sdtPr>
          <w:sdtEndPr/>
          <w:sdtContent>
            <w:tc>
              <w:tcPr>
                <w:tcW w:w="907" w:type="pct"/>
                <w:vMerge w:val="restart"/>
                <w:shd w:val="clear" w:color="auto" w:fill="auto"/>
                <w:vAlign w:val="center"/>
              </w:tcPr>
              <w:p w14:paraId="224F612C" w14:textId="77777777" w:rsidR="002D0AE7" w:rsidRDefault="00333EBB">
                <w:pPr>
                  <w:jc w:val="center"/>
                  <w:rPr>
                    <w:rFonts w:cs="Arial" w:hint="eastAsia"/>
                    <w:color w:val="000000" w:themeColor="text1"/>
                    <w:sz w:val="21"/>
                    <w:szCs w:val="21"/>
                    <w:lang w:val="en-GB"/>
                  </w:rPr>
                </w:pPr>
                <w:r>
                  <w:rPr>
                    <w:rFonts w:cs="Arial" w:hint="eastAsia"/>
                    <w:color w:val="000000" w:themeColor="text1"/>
                    <w:sz w:val="21"/>
                    <w:szCs w:val="21"/>
                    <w:lang w:val="en-GB"/>
                  </w:rPr>
                  <w:t>子公司</w:t>
                </w:r>
              </w:p>
              <w:p w14:paraId="5A4F8C94" w14:textId="77777777" w:rsidR="002D0AE7" w:rsidRDefault="00333EBB">
                <w:pPr>
                  <w:jc w:val="center"/>
                  <w:rPr>
                    <w:rFonts w:cs="Arial" w:hint="eastAsia"/>
                    <w:color w:val="000000" w:themeColor="text1"/>
                    <w:sz w:val="21"/>
                    <w:szCs w:val="21"/>
                  </w:rPr>
                </w:pPr>
                <w:r>
                  <w:rPr>
                    <w:rFonts w:cs="Arial" w:hint="eastAsia"/>
                    <w:color w:val="000000" w:themeColor="text1"/>
                    <w:sz w:val="21"/>
                    <w:szCs w:val="21"/>
                    <w:lang w:val="en-GB"/>
                  </w:rPr>
                  <w:t>名称</w:t>
                </w:r>
              </w:p>
            </w:tc>
          </w:sdtContent>
        </w:sdt>
        <w:sdt>
          <w:sdtPr>
            <w:rPr>
              <w:color w:val="000000" w:themeColor="text1"/>
              <w:sz w:val="21"/>
              <w:szCs w:val="21"/>
            </w:rPr>
            <w:tag w:val="_PLD_723e5916e8d942aa8a0a08bb0a7836d4"/>
            <w:id w:val="-1045134117"/>
          </w:sdtPr>
          <w:sdtEndPr/>
          <w:sdtContent>
            <w:tc>
              <w:tcPr>
                <w:tcW w:w="390" w:type="pct"/>
                <w:vMerge w:val="restart"/>
                <w:shd w:val="clear" w:color="auto" w:fill="auto"/>
                <w:vAlign w:val="center"/>
              </w:tcPr>
              <w:p w14:paraId="38D1016D" w14:textId="77777777" w:rsidR="002D0AE7" w:rsidRDefault="00333EBB">
                <w:pPr>
                  <w:jc w:val="center"/>
                  <w:rPr>
                    <w:rFonts w:cs="Arial" w:hint="eastAsia"/>
                    <w:color w:val="000000" w:themeColor="text1"/>
                    <w:sz w:val="21"/>
                    <w:szCs w:val="21"/>
                  </w:rPr>
                </w:pPr>
                <w:r>
                  <w:rPr>
                    <w:rFonts w:cs="Arial" w:hint="eastAsia"/>
                    <w:color w:val="000000" w:themeColor="text1"/>
                    <w:sz w:val="21"/>
                    <w:szCs w:val="21"/>
                    <w:lang w:val="en-GB"/>
                  </w:rPr>
                  <w:t>主要经营地</w:t>
                </w:r>
              </w:p>
            </w:tc>
          </w:sdtContent>
        </w:sdt>
        <w:tc>
          <w:tcPr>
            <w:tcW w:w="714" w:type="pct"/>
            <w:vMerge w:val="restart"/>
            <w:vAlign w:val="center"/>
          </w:tcPr>
          <w:sdt>
            <w:sdtPr>
              <w:rPr>
                <w:rFonts w:hint="eastAsia"/>
                <w:color w:val="000000" w:themeColor="text1"/>
                <w:sz w:val="21"/>
                <w:szCs w:val="21"/>
              </w:rPr>
              <w:tag w:val="_PLD_d5e3d7a26fa0476b87e5fb13adf75c0b"/>
              <w:id w:val="276610498"/>
            </w:sdtPr>
            <w:sdtEndPr/>
            <w:sdtContent>
              <w:p w14:paraId="45308F82" w14:textId="77777777" w:rsidR="002D0AE7" w:rsidRDefault="00333EBB">
                <w:pPr>
                  <w:jc w:val="center"/>
                  <w:rPr>
                    <w:rFonts w:hint="eastAsia"/>
                    <w:color w:val="000000" w:themeColor="text1"/>
                    <w:sz w:val="21"/>
                    <w:szCs w:val="21"/>
                  </w:rPr>
                </w:pPr>
                <w:r>
                  <w:rPr>
                    <w:rFonts w:hint="eastAsia"/>
                    <w:color w:val="000000" w:themeColor="text1"/>
                    <w:sz w:val="21"/>
                    <w:szCs w:val="21"/>
                  </w:rPr>
                  <w:t>注册资本</w:t>
                </w:r>
              </w:p>
            </w:sdtContent>
          </w:sdt>
        </w:tc>
        <w:sdt>
          <w:sdtPr>
            <w:rPr>
              <w:color w:val="000000" w:themeColor="text1"/>
              <w:sz w:val="21"/>
              <w:szCs w:val="21"/>
            </w:rPr>
            <w:tag w:val="_PLD_75992b931bd8473e8e862e94745012a5"/>
            <w:id w:val="811907257"/>
          </w:sdtPr>
          <w:sdtEndPr/>
          <w:sdtContent>
            <w:tc>
              <w:tcPr>
                <w:tcW w:w="391" w:type="pct"/>
                <w:vMerge w:val="restart"/>
                <w:shd w:val="clear" w:color="auto" w:fill="auto"/>
                <w:vAlign w:val="center"/>
              </w:tcPr>
              <w:p w14:paraId="72FE510E" w14:textId="77777777" w:rsidR="002D0AE7" w:rsidRDefault="00333EBB">
                <w:pPr>
                  <w:jc w:val="center"/>
                  <w:rPr>
                    <w:rFonts w:cs="Arial" w:hint="eastAsia"/>
                    <w:color w:val="000000" w:themeColor="text1"/>
                    <w:sz w:val="21"/>
                    <w:szCs w:val="21"/>
                  </w:rPr>
                </w:pPr>
                <w:r>
                  <w:rPr>
                    <w:rFonts w:cs="Arial" w:hint="eastAsia"/>
                    <w:color w:val="000000" w:themeColor="text1"/>
                    <w:sz w:val="21"/>
                    <w:szCs w:val="21"/>
                    <w:lang w:val="en-GB"/>
                  </w:rPr>
                  <w:t>注册地</w:t>
                </w:r>
              </w:p>
            </w:tc>
          </w:sdtContent>
        </w:sdt>
        <w:sdt>
          <w:sdtPr>
            <w:rPr>
              <w:color w:val="000000" w:themeColor="text1"/>
              <w:sz w:val="21"/>
              <w:szCs w:val="21"/>
            </w:rPr>
            <w:tag w:val="_PLD_81986d200a3740efb1af7efc5e522b86"/>
            <w:id w:val="-328143706"/>
          </w:sdtPr>
          <w:sdtEndPr/>
          <w:sdtContent>
            <w:tc>
              <w:tcPr>
                <w:tcW w:w="1104" w:type="pct"/>
                <w:vMerge w:val="restart"/>
                <w:shd w:val="clear" w:color="auto" w:fill="auto"/>
                <w:vAlign w:val="center"/>
              </w:tcPr>
              <w:p w14:paraId="21787655" w14:textId="77777777" w:rsidR="002D0AE7" w:rsidRDefault="00333EBB">
                <w:pPr>
                  <w:jc w:val="center"/>
                  <w:rPr>
                    <w:rFonts w:cs="Arial" w:hint="eastAsia"/>
                    <w:color w:val="000000" w:themeColor="text1"/>
                    <w:sz w:val="21"/>
                    <w:szCs w:val="21"/>
                  </w:rPr>
                </w:pPr>
                <w:r>
                  <w:rPr>
                    <w:rFonts w:cs="Arial" w:hint="eastAsia"/>
                    <w:color w:val="000000" w:themeColor="text1"/>
                    <w:sz w:val="21"/>
                    <w:szCs w:val="21"/>
                    <w:lang w:val="en-GB"/>
                  </w:rPr>
                  <w:t>业务性质</w:t>
                </w:r>
              </w:p>
            </w:tc>
          </w:sdtContent>
        </w:sdt>
        <w:sdt>
          <w:sdtPr>
            <w:rPr>
              <w:color w:val="000000" w:themeColor="text1"/>
              <w:sz w:val="21"/>
              <w:szCs w:val="21"/>
            </w:rPr>
            <w:tag w:val="_PLD_03c285667c254271b982c3c49476d597"/>
            <w:id w:val="295027189"/>
          </w:sdtPr>
          <w:sdtEndPr/>
          <w:sdtContent>
            <w:tc>
              <w:tcPr>
                <w:tcW w:w="844" w:type="pct"/>
                <w:gridSpan w:val="2"/>
                <w:shd w:val="clear" w:color="auto" w:fill="auto"/>
                <w:vAlign w:val="center"/>
              </w:tcPr>
              <w:p w14:paraId="25605241" w14:textId="77777777" w:rsidR="002D0AE7" w:rsidRDefault="00333EBB">
                <w:pPr>
                  <w:jc w:val="center"/>
                  <w:rPr>
                    <w:rFonts w:cs="Arial" w:hint="eastAsia"/>
                    <w:color w:val="000000" w:themeColor="text1"/>
                    <w:sz w:val="21"/>
                    <w:szCs w:val="21"/>
                  </w:rPr>
                </w:pPr>
                <w:r>
                  <w:rPr>
                    <w:rFonts w:cs="Arial" w:hint="eastAsia"/>
                    <w:color w:val="000000" w:themeColor="text1"/>
                    <w:sz w:val="21"/>
                    <w:szCs w:val="21"/>
                    <w:lang w:val="en-GB"/>
                  </w:rPr>
                  <w:t>持股比例</w:t>
                </w:r>
                <w:r>
                  <w:rPr>
                    <w:rFonts w:cs="Arial"/>
                    <w:color w:val="000000" w:themeColor="text1"/>
                    <w:sz w:val="21"/>
                    <w:szCs w:val="21"/>
                  </w:rPr>
                  <w:t>(%)</w:t>
                </w:r>
              </w:p>
            </w:tc>
          </w:sdtContent>
        </w:sdt>
        <w:sdt>
          <w:sdtPr>
            <w:rPr>
              <w:color w:val="000000" w:themeColor="text1"/>
              <w:sz w:val="21"/>
              <w:szCs w:val="21"/>
            </w:rPr>
            <w:tag w:val="_PLD_b9a7fd2e9d044a72815c35f904479ae4"/>
            <w:id w:val="1277302632"/>
          </w:sdtPr>
          <w:sdtEndPr/>
          <w:sdtContent>
            <w:tc>
              <w:tcPr>
                <w:tcW w:w="649" w:type="pct"/>
                <w:vMerge w:val="restart"/>
                <w:shd w:val="clear" w:color="auto" w:fill="auto"/>
                <w:vAlign w:val="center"/>
              </w:tcPr>
              <w:p w14:paraId="7B404401" w14:textId="77777777" w:rsidR="002D0AE7" w:rsidRDefault="00333EBB">
                <w:pPr>
                  <w:jc w:val="center"/>
                  <w:rPr>
                    <w:rFonts w:cs="Arial" w:hint="eastAsia"/>
                    <w:color w:val="000000" w:themeColor="text1"/>
                    <w:sz w:val="21"/>
                    <w:szCs w:val="21"/>
                    <w:lang w:val="en-GB"/>
                  </w:rPr>
                </w:pPr>
                <w:r>
                  <w:rPr>
                    <w:rFonts w:cs="Arial" w:hint="eastAsia"/>
                    <w:color w:val="000000" w:themeColor="text1"/>
                    <w:sz w:val="21"/>
                    <w:szCs w:val="21"/>
                    <w:lang w:val="en-GB"/>
                  </w:rPr>
                  <w:t>取得</w:t>
                </w:r>
              </w:p>
              <w:p w14:paraId="6B7DC3A3" w14:textId="77777777" w:rsidR="002D0AE7" w:rsidRDefault="00333EBB">
                <w:pPr>
                  <w:jc w:val="center"/>
                  <w:rPr>
                    <w:rFonts w:cs="Arial" w:hint="eastAsia"/>
                    <w:color w:val="000000" w:themeColor="text1"/>
                    <w:sz w:val="21"/>
                    <w:szCs w:val="21"/>
                    <w:lang w:val="en-GB"/>
                  </w:rPr>
                </w:pPr>
                <w:r>
                  <w:rPr>
                    <w:rFonts w:cs="Arial" w:hint="eastAsia"/>
                    <w:color w:val="000000" w:themeColor="text1"/>
                    <w:sz w:val="21"/>
                    <w:szCs w:val="21"/>
                    <w:lang w:val="en-GB"/>
                  </w:rPr>
                  <w:t>方式</w:t>
                </w:r>
              </w:p>
            </w:tc>
          </w:sdtContent>
        </w:sdt>
      </w:tr>
      <w:tr w:rsidR="002D0AE7" w14:paraId="37A9E1DB" w14:textId="77777777">
        <w:trPr>
          <w:trHeight w:val="278"/>
          <w:jc w:val="center"/>
        </w:trPr>
        <w:tc>
          <w:tcPr>
            <w:tcW w:w="907" w:type="pct"/>
            <w:vMerge/>
            <w:shd w:val="clear" w:color="auto" w:fill="auto"/>
            <w:vAlign w:val="center"/>
          </w:tcPr>
          <w:p w14:paraId="3D098320" w14:textId="77777777" w:rsidR="002D0AE7" w:rsidRDefault="002D0AE7">
            <w:pPr>
              <w:rPr>
                <w:rFonts w:cs="Arial" w:hint="eastAsia"/>
                <w:color w:val="000000" w:themeColor="text1"/>
                <w:sz w:val="21"/>
                <w:szCs w:val="21"/>
              </w:rPr>
            </w:pPr>
          </w:p>
        </w:tc>
        <w:tc>
          <w:tcPr>
            <w:tcW w:w="390" w:type="pct"/>
            <w:vMerge/>
            <w:shd w:val="clear" w:color="auto" w:fill="auto"/>
            <w:vAlign w:val="center"/>
          </w:tcPr>
          <w:p w14:paraId="30F83426" w14:textId="77777777" w:rsidR="002D0AE7" w:rsidRDefault="002D0AE7">
            <w:pPr>
              <w:rPr>
                <w:rFonts w:cs="Arial" w:hint="eastAsia"/>
                <w:color w:val="000000" w:themeColor="text1"/>
                <w:sz w:val="21"/>
                <w:szCs w:val="21"/>
              </w:rPr>
            </w:pPr>
          </w:p>
        </w:tc>
        <w:tc>
          <w:tcPr>
            <w:tcW w:w="714" w:type="pct"/>
            <w:vMerge/>
            <w:vAlign w:val="center"/>
          </w:tcPr>
          <w:p w14:paraId="3CF56142" w14:textId="77777777" w:rsidR="002D0AE7" w:rsidRDefault="002D0AE7">
            <w:pPr>
              <w:rPr>
                <w:rFonts w:cs="Arial" w:hint="eastAsia"/>
                <w:color w:val="000000" w:themeColor="text1"/>
                <w:sz w:val="21"/>
                <w:szCs w:val="21"/>
              </w:rPr>
            </w:pPr>
          </w:p>
        </w:tc>
        <w:tc>
          <w:tcPr>
            <w:tcW w:w="391" w:type="pct"/>
            <w:vMerge/>
            <w:shd w:val="clear" w:color="auto" w:fill="auto"/>
            <w:vAlign w:val="center"/>
          </w:tcPr>
          <w:p w14:paraId="2CA0F772" w14:textId="77777777" w:rsidR="002D0AE7" w:rsidRDefault="002D0AE7">
            <w:pPr>
              <w:rPr>
                <w:rFonts w:cs="Arial" w:hint="eastAsia"/>
                <w:color w:val="000000" w:themeColor="text1"/>
                <w:sz w:val="21"/>
                <w:szCs w:val="21"/>
              </w:rPr>
            </w:pPr>
          </w:p>
        </w:tc>
        <w:tc>
          <w:tcPr>
            <w:tcW w:w="1104" w:type="pct"/>
            <w:vMerge/>
            <w:shd w:val="clear" w:color="auto" w:fill="auto"/>
            <w:vAlign w:val="center"/>
          </w:tcPr>
          <w:p w14:paraId="36419B6B" w14:textId="77777777" w:rsidR="002D0AE7" w:rsidRDefault="002D0AE7">
            <w:pPr>
              <w:rPr>
                <w:rFonts w:cs="Arial" w:hint="eastAsia"/>
                <w:color w:val="000000" w:themeColor="text1"/>
                <w:sz w:val="21"/>
                <w:szCs w:val="21"/>
              </w:rPr>
            </w:pPr>
          </w:p>
        </w:tc>
        <w:sdt>
          <w:sdtPr>
            <w:rPr>
              <w:color w:val="000000" w:themeColor="text1"/>
              <w:sz w:val="21"/>
              <w:szCs w:val="21"/>
            </w:rPr>
            <w:tag w:val="_PLD_de578ebcf9ae4a679d3c9d71857b038a"/>
            <w:id w:val="944809352"/>
          </w:sdtPr>
          <w:sdtEndPr/>
          <w:sdtContent>
            <w:tc>
              <w:tcPr>
                <w:tcW w:w="389" w:type="pct"/>
                <w:shd w:val="clear" w:color="auto" w:fill="auto"/>
                <w:vAlign w:val="center"/>
              </w:tcPr>
              <w:p w14:paraId="0DF42AE5" w14:textId="77777777" w:rsidR="002D0AE7" w:rsidRDefault="00333EBB">
                <w:pPr>
                  <w:jc w:val="center"/>
                  <w:rPr>
                    <w:rFonts w:cs="Arial" w:hint="eastAsia"/>
                    <w:color w:val="000000" w:themeColor="text1"/>
                    <w:sz w:val="21"/>
                    <w:szCs w:val="21"/>
                  </w:rPr>
                </w:pPr>
                <w:r>
                  <w:rPr>
                    <w:rFonts w:cs="Arial" w:hint="eastAsia"/>
                    <w:color w:val="000000" w:themeColor="text1"/>
                    <w:sz w:val="21"/>
                    <w:szCs w:val="21"/>
                    <w:lang w:val="en-GB"/>
                  </w:rPr>
                  <w:t>直接</w:t>
                </w:r>
              </w:p>
            </w:tc>
          </w:sdtContent>
        </w:sdt>
        <w:sdt>
          <w:sdtPr>
            <w:rPr>
              <w:color w:val="000000" w:themeColor="text1"/>
              <w:sz w:val="21"/>
              <w:szCs w:val="21"/>
            </w:rPr>
            <w:tag w:val="_PLD_154fe2dd001b4c93b14ff5f5aec1fbc8"/>
            <w:id w:val="-1426647308"/>
          </w:sdtPr>
          <w:sdtEndPr/>
          <w:sdtContent>
            <w:tc>
              <w:tcPr>
                <w:tcW w:w="455" w:type="pct"/>
                <w:shd w:val="clear" w:color="auto" w:fill="auto"/>
                <w:vAlign w:val="center"/>
              </w:tcPr>
              <w:p w14:paraId="6B1E508E" w14:textId="77777777" w:rsidR="002D0AE7" w:rsidRDefault="00333EBB">
                <w:pPr>
                  <w:jc w:val="center"/>
                  <w:rPr>
                    <w:rFonts w:cs="Arial" w:hint="eastAsia"/>
                    <w:color w:val="000000" w:themeColor="text1"/>
                    <w:sz w:val="21"/>
                    <w:szCs w:val="21"/>
                  </w:rPr>
                </w:pPr>
                <w:r>
                  <w:rPr>
                    <w:rFonts w:cs="Arial" w:hint="eastAsia"/>
                    <w:color w:val="000000" w:themeColor="text1"/>
                    <w:sz w:val="21"/>
                    <w:szCs w:val="21"/>
                    <w:lang w:val="en-GB"/>
                  </w:rPr>
                  <w:t>间接</w:t>
                </w:r>
              </w:p>
            </w:tc>
          </w:sdtContent>
        </w:sdt>
        <w:tc>
          <w:tcPr>
            <w:tcW w:w="649" w:type="pct"/>
            <w:vMerge/>
            <w:vAlign w:val="center"/>
          </w:tcPr>
          <w:p w14:paraId="05054EBA" w14:textId="77777777" w:rsidR="002D0AE7" w:rsidRDefault="002D0AE7">
            <w:pPr>
              <w:rPr>
                <w:rFonts w:cs="Arial" w:hint="eastAsia"/>
                <w:color w:val="000000" w:themeColor="text1"/>
                <w:sz w:val="21"/>
                <w:szCs w:val="21"/>
              </w:rPr>
            </w:pPr>
          </w:p>
        </w:tc>
      </w:tr>
      <w:tr w:rsidR="002D0AE7" w14:paraId="32D1FBCA" w14:textId="77777777">
        <w:trPr>
          <w:jc w:val="center"/>
        </w:trPr>
        <w:tc>
          <w:tcPr>
            <w:tcW w:w="907" w:type="pct"/>
            <w:vAlign w:val="center"/>
          </w:tcPr>
          <w:p w14:paraId="0B4A4F73" w14:textId="77777777" w:rsidR="002D0AE7" w:rsidRDefault="00333EBB">
            <w:pPr>
              <w:rPr>
                <w:rFonts w:hint="eastAsia"/>
                <w:sz w:val="21"/>
                <w:szCs w:val="21"/>
              </w:rPr>
            </w:pPr>
            <w:r>
              <w:rPr>
                <w:sz w:val="21"/>
                <w:szCs w:val="21"/>
              </w:rPr>
              <w:t>天津市天发药业进出口有限公司</w:t>
            </w:r>
          </w:p>
        </w:tc>
        <w:tc>
          <w:tcPr>
            <w:tcW w:w="390" w:type="pct"/>
            <w:vAlign w:val="center"/>
          </w:tcPr>
          <w:p w14:paraId="3CD6ADCB" w14:textId="77777777" w:rsidR="002D0AE7" w:rsidRDefault="00333EBB">
            <w:pPr>
              <w:rPr>
                <w:rFonts w:hint="eastAsia"/>
                <w:sz w:val="21"/>
                <w:szCs w:val="21"/>
              </w:rPr>
            </w:pPr>
            <w:r>
              <w:rPr>
                <w:sz w:val="21"/>
                <w:szCs w:val="21"/>
              </w:rPr>
              <w:t>天津</w:t>
            </w:r>
          </w:p>
        </w:tc>
        <w:tc>
          <w:tcPr>
            <w:tcW w:w="714" w:type="pct"/>
            <w:vAlign w:val="center"/>
          </w:tcPr>
          <w:p w14:paraId="12D6155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18,000.00</w:t>
            </w:r>
          </w:p>
        </w:tc>
        <w:tc>
          <w:tcPr>
            <w:tcW w:w="391" w:type="pct"/>
            <w:vAlign w:val="center"/>
          </w:tcPr>
          <w:p w14:paraId="39FEA212" w14:textId="77777777" w:rsidR="002D0AE7" w:rsidRDefault="00333EBB">
            <w:pPr>
              <w:rPr>
                <w:rFonts w:hint="eastAsia"/>
                <w:sz w:val="21"/>
                <w:szCs w:val="21"/>
              </w:rPr>
            </w:pPr>
            <w:r>
              <w:rPr>
                <w:sz w:val="21"/>
                <w:szCs w:val="21"/>
              </w:rPr>
              <w:t>天津</w:t>
            </w:r>
          </w:p>
        </w:tc>
        <w:tc>
          <w:tcPr>
            <w:tcW w:w="1104" w:type="pct"/>
            <w:vAlign w:val="center"/>
          </w:tcPr>
          <w:p w14:paraId="789C6E18" w14:textId="77777777" w:rsidR="002D0AE7" w:rsidRDefault="00333EBB">
            <w:pPr>
              <w:rPr>
                <w:rFonts w:hint="eastAsia"/>
                <w:sz w:val="21"/>
                <w:szCs w:val="21"/>
              </w:rPr>
            </w:pPr>
            <w:r>
              <w:rPr>
                <w:sz w:val="21"/>
                <w:szCs w:val="21"/>
              </w:rPr>
              <w:t>自营和代理各类商品和技术的进出口业务</w:t>
            </w:r>
          </w:p>
        </w:tc>
        <w:tc>
          <w:tcPr>
            <w:tcW w:w="389" w:type="pct"/>
            <w:vAlign w:val="center"/>
          </w:tcPr>
          <w:p w14:paraId="24387B9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90.00</w:t>
            </w:r>
          </w:p>
        </w:tc>
        <w:tc>
          <w:tcPr>
            <w:tcW w:w="455" w:type="pct"/>
            <w:vAlign w:val="center"/>
          </w:tcPr>
          <w:p w14:paraId="25EA26D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49" w:type="pct"/>
            <w:vAlign w:val="center"/>
          </w:tcPr>
          <w:p w14:paraId="22E12841" w14:textId="77777777" w:rsidR="002D0AE7" w:rsidRDefault="00333EBB">
            <w:pPr>
              <w:rPr>
                <w:rFonts w:hint="eastAsia"/>
                <w:sz w:val="21"/>
                <w:szCs w:val="21"/>
              </w:rPr>
            </w:pPr>
            <w:r>
              <w:rPr>
                <w:sz w:val="21"/>
                <w:szCs w:val="21"/>
              </w:rPr>
              <w:t>支付现金</w:t>
            </w:r>
          </w:p>
        </w:tc>
      </w:tr>
      <w:tr w:rsidR="002D0AE7" w14:paraId="47F6C7E9" w14:textId="77777777">
        <w:trPr>
          <w:jc w:val="center"/>
        </w:trPr>
        <w:tc>
          <w:tcPr>
            <w:tcW w:w="907" w:type="pct"/>
            <w:vAlign w:val="center"/>
          </w:tcPr>
          <w:p w14:paraId="3CB5345F" w14:textId="77777777" w:rsidR="002D0AE7" w:rsidRDefault="00333EBB">
            <w:pPr>
              <w:rPr>
                <w:rFonts w:hint="eastAsia"/>
                <w:sz w:val="21"/>
                <w:szCs w:val="21"/>
              </w:rPr>
            </w:pPr>
            <w:r>
              <w:rPr>
                <w:rFonts w:hint="eastAsia"/>
                <w:color w:val="000000"/>
                <w:sz w:val="21"/>
                <w:szCs w:val="21"/>
              </w:rPr>
              <w:t>美国大圣贸易技术开发有限公司</w:t>
            </w:r>
          </w:p>
        </w:tc>
        <w:tc>
          <w:tcPr>
            <w:tcW w:w="390" w:type="pct"/>
            <w:vAlign w:val="center"/>
          </w:tcPr>
          <w:p w14:paraId="0EA6FF00" w14:textId="77777777" w:rsidR="002D0AE7" w:rsidRDefault="00333EBB">
            <w:pPr>
              <w:rPr>
                <w:rFonts w:hint="eastAsia"/>
                <w:sz w:val="21"/>
                <w:szCs w:val="21"/>
              </w:rPr>
            </w:pPr>
            <w:r>
              <w:rPr>
                <w:sz w:val="21"/>
                <w:szCs w:val="21"/>
              </w:rPr>
              <w:t>美国</w:t>
            </w:r>
          </w:p>
        </w:tc>
        <w:tc>
          <w:tcPr>
            <w:tcW w:w="714" w:type="pct"/>
            <w:vAlign w:val="center"/>
          </w:tcPr>
          <w:p w14:paraId="3791585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109.73</w:t>
            </w:r>
            <w:r>
              <w:rPr>
                <w:rFonts w:ascii="Times New Roman" w:hAnsi="Times New Roman" w:cs="Times New Roman"/>
                <w:sz w:val="21"/>
                <w:szCs w:val="21"/>
              </w:rPr>
              <w:t>万美元</w:t>
            </w:r>
          </w:p>
        </w:tc>
        <w:tc>
          <w:tcPr>
            <w:tcW w:w="391" w:type="pct"/>
            <w:vAlign w:val="center"/>
          </w:tcPr>
          <w:p w14:paraId="5DF734C2" w14:textId="77777777" w:rsidR="002D0AE7" w:rsidRDefault="00333EBB">
            <w:pPr>
              <w:rPr>
                <w:rFonts w:hint="eastAsia"/>
                <w:sz w:val="21"/>
                <w:szCs w:val="21"/>
              </w:rPr>
            </w:pPr>
            <w:r>
              <w:rPr>
                <w:sz w:val="21"/>
                <w:szCs w:val="21"/>
              </w:rPr>
              <w:t>美国</w:t>
            </w:r>
          </w:p>
        </w:tc>
        <w:tc>
          <w:tcPr>
            <w:tcW w:w="1104" w:type="pct"/>
            <w:vAlign w:val="center"/>
          </w:tcPr>
          <w:p w14:paraId="6FAFDBED" w14:textId="77777777" w:rsidR="002D0AE7" w:rsidRDefault="00333EBB">
            <w:pPr>
              <w:rPr>
                <w:rFonts w:hint="eastAsia"/>
                <w:sz w:val="21"/>
                <w:szCs w:val="21"/>
              </w:rPr>
            </w:pPr>
            <w:r>
              <w:rPr>
                <w:sz w:val="21"/>
                <w:szCs w:val="21"/>
              </w:rPr>
              <w:t>药品及相关产品的销售</w:t>
            </w:r>
          </w:p>
        </w:tc>
        <w:tc>
          <w:tcPr>
            <w:tcW w:w="389" w:type="pct"/>
            <w:vAlign w:val="center"/>
          </w:tcPr>
          <w:p w14:paraId="4895110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100.00</w:t>
            </w:r>
          </w:p>
        </w:tc>
        <w:tc>
          <w:tcPr>
            <w:tcW w:w="455" w:type="pct"/>
            <w:vAlign w:val="center"/>
          </w:tcPr>
          <w:p w14:paraId="19BC069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49" w:type="pct"/>
            <w:vAlign w:val="center"/>
          </w:tcPr>
          <w:p w14:paraId="5D56047B" w14:textId="77777777" w:rsidR="002D0AE7" w:rsidRDefault="00333EBB">
            <w:pPr>
              <w:rPr>
                <w:rFonts w:hint="eastAsia"/>
                <w:sz w:val="21"/>
                <w:szCs w:val="21"/>
              </w:rPr>
            </w:pPr>
            <w:r>
              <w:rPr>
                <w:sz w:val="21"/>
                <w:szCs w:val="21"/>
              </w:rPr>
              <w:t>支付现金</w:t>
            </w:r>
          </w:p>
        </w:tc>
      </w:tr>
      <w:tr w:rsidR="002D0AE7" w14:paraId="76E9BA83" w14:textId="77777777">
        <w:trPr>
          <w:jc w:val="center"/>
        </w:trPr>
        <w:tc>
          <w:tcPr>
            <w:tcW w:w="907" w:type="pct"/>
            <w:vAlign w:val="center"/>
          </w:tcPr>
          <w:p w14:paraId="61601EB1" w14:textId="77777777" w:rsidR="002D0AE7" w:rsidRDefault="00333EBB">
            <w:pPr>
              <w:rPr>
                <w:rFonts w:hint="eastAsia"/>
                <w:sz w:val="21"/>
                <w:szCs w:val="21"/>
              </w:rPr>
            </w:pPr>
            <w:r>
              <w:rPr>
                <w:rFonts w:hint="eastAsia"/>
                <w:color w:val="000000"/>
                <w:sz w:val="21"/>
                <w:szCs w:val="21"/>
              </w:rPr>
              <w:t>津药药业（香港）有限公司</w:t>
            </w:r>
          </w:p>
        </w:tc>
        <w:tc>
          <w:tcPr>
            <w:tcW w:w="390" w:type="pct"/>
            <w:vAlign w:val="center"/>
          </w:tcPr>
          <w:p w14:paraId="3F865F77" w14:textId="77777777" w:rsidR="002D0AE7" w:rsidRDefault="00333EBB">
            <w:pPr>
              <w:rPr>
                <w:rFonts w:hint="eastAsia"/>
                <w:sz w:val="21"/>
                <w:szCs w:val="21"/>
              </w:rPr>
            </w:pPr>
            <w:r>
              <w:rPr>
                <w:sz w:val="21"/>
                <w:szCs w:val="21"/>
              </w:rPr>
              <w:t>香港</w:t>
            </w:r>
          </w:p>
        </w:tc>
        <w:tc>
          <w:tcPr>
            <w:tcW w:w="714" w:type="pct"/>
            <w:vAlign w:val="center"/>
          </w:tcPr>
          <w:p w14:paraId="2109390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624.00</w:t>
            </w:r>
            <w:r>
              <w:rPr>
                <w:rFonts w:ascii="Times New Roman" w:hAnsi="Times New Roman" w:cs="Times New Roman"/>
                <w:sz w:val="21"/>
                <w:szCs w:val="21"/>
              </w:rPr>
              <w:t>万港元</w:t>
            </w:r>
          </w:p>
        </w:tc>
        <w:tc>
          <w:tcPr>
            <w:tcW w:w="391" w:type="pct"/>
            <w:vAlign w:val="center"/>
          </w:tcPr>
          <w:p w14:paraId="79DE022E" w14:textId="77777777" w:rsidR="002D0AE7" w:rsidRDefault="00333EBB">
            <w:pPr>
              <w:rPr>
                <w:rFonts w:hint="eastAsia"/>
                <w:sz w:val="21"/>
                <w:szCs w:val="21"/>
              </w:rPr>
            </w:pPr>
            <w:r>
              <w:rPr>
                <w:sz w:val="21"/>
                <w:szCs w:val="21"/>
              </w:rPr>
              <w:t>香港</w:t>
            </w:r>
          </w:p>
        </w:tc>
        <w:tc>
          <w:tcPr>
            <w:tcW w:w="1104" w:type="pct"/>
            <w:vAlign w:val="center"/>
          </w:tcPr>
          <w:p w14:paraId="55069ED6" w14:textId="77777777" w:rsidR="002D0AE7" w:rsidRDefault="00333EBB">
            <w:pPr>
              <w:rPr>
                <w:rFonts w:hint="eastAsia"/>
                <w:sz w:val="21"/>
                <w:szCs w:val="21"/>
              </w:rPr>
            </w:pPr>
            <w:r>
              <w:rPr>
                <w:sz w:val="21"/>
                <w:szCs w:val="21"/>
              </w:rPr>
              <w:t>药品及相关产品的销售</w:t>
            </w:r>
          </w:p>
        </w:tc>
        <w:tc>
          <w:tcPr>
            <w:tcW w:w="389" w:type="pct"/>
            <w:vAlign w:val="center"/>
          </w:tcPr>
          <w:p w14:paraId="7A0868F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100.00</w:t>
            </w:r>
          </w:p>
        </w:tc>
        <w:tc>
          <w:tcPr>
            <w:tcW w:w="455" w:type="pct"/>
            <w:vAlign w:val="center"/>
          </w:tcPr>
          <w:p w14:paraId="2FAF6A7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49" w:type="pct"/>
            <w:vAlign w:val="center"/>
          </w:tcPr>
          <w:p w14:paraId="7793A9E5" w14:textId="77777777" w:rsidR="002D0AE7" w:rsidRDefault="00333EBB">
            <w:pPr>
              <w:rPr>
                <w:rFonts w:hint="eastAsia"/>
                <w:sz w:val="21"/>
                <w:szCs w:val="21"/>
              </w:rPr>
            </w:pPr>
            <w:r>
              <w:rPr>
                <w:sz w:val="21"/>
                <w:szCs w:val="21"/>
              </w:rPr>
              <w:t>非同一控制下企业合并</w:t>
            </w:r>
          </w:p>
        </w:tc>
      </w:tr>
      <w:tr w:rsidR="002D0AE7" w14:paraId="151CC5BA" w14:textId="77777777">
        <w:trPr>
          <w:jc w:val="center"/>
        </w:trPr>
        <w:tc>
          <w:tcPr>
            <w:tcW w:w="907" w:type="pct"/>
            <w:vAlign w:val="center"/>
          </w:tcPr>
          <w:p w14:paraId="7FA52B66" w14:textId="77777777" w:rsidR="002D0AE7" w:rsidRDefault="00333EBB">
            <w:pPr>
              <w:rPr>
                <w:rFonts w:hint="eastAsia"/>
                <w:sz w:val="21"/>
                <w:szCs w:val="21"/>
              </w:rPr>
            </w:pPr>
            <w:r>
              <w:rPr>
                <w:rFonts w:hint="eastAsia"/>
                <w:color w:val="000000"/>
                <w:sz w:val="21"/>
                <w:szCs w:val="21"/>
              </w:rPr>
              <w:t>津药药业（新加坡）有限公司</w:t>
            </w:r>
          </w:p>
        </w:tc>
        <w:tc>
          <w:tcPr>
            <w:tcW w:w="390" w:type="pct"/>
            <w:vAlign w:val="center"/>
          </w:tcPr>
          <w:p w14:paraId="7E7ED2F9" w14:textId="77777777" w:rsidR="002D0AE7" w:rsidRDefault="00333EBB">
            <w:pPr>
              <w:rPr>
                <w:rFonts w:hint="eastAsia"/>
                <w:sz w:val="21"/>
                <w:szCs w:val="21"/>
              </w:rPr>
            </w:pPr>
            <w:r>
              <w:rPr>
                <w:sz w:val="21"/>
                <w:szCs w:val="21"/>
              </w:rPr>
              <w:t>新加坡</w:t>
            </w:r>
          </w:p>
        </w:tc>
        <w:tc>
          <w:tcPr>
            <w:tcW w:w="714" w:type="pct"/>
            <w:vAlign w:val="center"/>
          </w:tcPr>
          <w:p w14:paraId="6270A27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30.00</w:t>
            </w:r>
            <w:r>
              <w:rPr>
                <w:rFonts w:ascii="Times New Roman" w:hAnsi="Times New Roman" w:cs="Times New Roman"/>
                <w:sz w:val="21"/>
                <w:szCs w:val="21"/>
              </w:rPr>
              <w:t>万美元</w:t>
            </w:r>
          </w:p>
        </w:tc>
        <w:tc>
          <w:tcPr>
            <w:tcW w:w="391" w:type="pct"/>
            <w:vAlign w:val="center"/>
          </w:tcPr>
          <w:p w14:paraId="161509B2" w14:textId="77777777" w:rsidR="002D0AE7" w:rsidRDefault="00333EBB">
            <w:pPr>
              <w:rPr>
                <w:rFonts w:hint="eastAsia"/>
                <w:sz w:val="21"/>
                <w:szCs w:val="21"/>
              </w:rPr>
            </w:pPr>
            <w:r>
              <w:rPr>
                <w:sz w:val="21"/>
                <w:szCs w:val="21"/>
              </w:rPr>
              <w:t>新加坡</w:t>
            </w:r>
          </w:p>
        </w:tc>
        <w:tc>
          <w:tcPr>
            <w:tcW w:w="1104" w:type="pct"/>
            <w:vAlign w:val="center"/>
          </w:tcPr>
          <w:p w14:paraId="4021A511" w14:textId="77777777" w:rsidR="002D0AE7" w:rsidRDefault="00333EBB">
            <w:pPr>
              <w:rPr>
                <w:rFonts w:hint="eastAsia"/>
                <w:sz w:val="21"/>
                <w:szCs w:val="21"/>
              </w:rPr>
            </w:pPr>
            <w:r>
              <w:rPr>
                <w:sz w:val="21"/>
                <w:szCs w:val="21"/>
              </w:rPr>
              <w:t>药品及相关产品的销售</w:t>
            </w:r>
          </w:p>
        </w:tc>
        <w:tc>
          <w:tcPr>
            <w:tcW w:w="389" w:type="pct"/>
            <w:vAlign w:val="center"/>
          </w:tcPr>
          <w:p w14:paraId="65C647E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455" w:type="pct"/>
            <w:vAlign w:val="center"/>
          </w:tcPr>
          <w:p w14:paraId="02C0604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100.00</w:t>
            </w:r>
          </w:p>
        </w:tc>
        <w:tc>
          <w:tcPr>
            <w:tcW w:w="649" w:type="pct"/>
            <w:vAlign w:val="center"/>
          </w:tcPr>
          <w:p w14:paraId="2939451A" w14:textId="77777777" w:rsidR="002D0AE7" w:rsidRDefault="00333EBB">
            <w:pPr>
              <w:rPr>
                <w:rFonts w:hint="eastAsia"/>
                <w:sz w:val="21"/>
                <w:szCs w:val="21"/>
              </w:rPr>
            </w:pPr>
            <w:r>
              <w:rPr>
                <w:sz w:val="21"/>
                <w:szCs w:val="21"/>
              </w:rPr>
              <w:t>支付现金</w:t>
            </w:r>
          </w:p>
        </w:tc>
      </w:tr>
      <w:tr w:rsidR="002D0AE7" w14:paraId="7B165538" w14:textId="77777777">
        <w:trPr>
          <w:jc w:val="center"/>
        </w:trPr>
        <w:tc>
          <w:tcPr>
            <w:tcW w:w="907" w:type="pct"/>
            <w:vAlign w:val="center"/>
          </w:tcPr>
          <w:p w14:paraId="0BDA1B6F" w14:textId="77777777" w:rsidR="002D0AE7" w:rsidRDefault="00333EBB">
            <w:pPr>
              <w:rPr>
                <w:rFonts w:hint="eastAsia"/>
                <w:sz w:val="21"/>
                <w:szCs w:val="21"/>
              </w:rPr>
            </w:pPr>
            <w:r>
              <w:rPr>
                <w:rFonts w:hint="eastAsia"/>
                <w:color w:val="000000"/>
                <w:sz w:val="21"/>
                <w:szCs w:val="21"/>
              </w:rPr>
              <w:t>津药和平（天津）制药有限公司</w:t>
            </w:r>
          </w:p>
        </w:tc>
        <w:tc>
          <w:tcPr>
            <w:tcW w:w="390" w:type="pct"/>
            <w:vAlign w:val="center"/>
          </w:tcPr>
          <w:p w14:paraId="495B20E7" w14:textId="77777777" w:rsidR="002D0AE7" w:rsidRDefault="00333EBB">
            <w:pPr>
              <w:rPr>
                <w:rFonts w:hint="eastAsia"/>
                <w:sz w:val="21"/>
                <w:szCs w:val="21"/>
              </w:rPr>
            </w:pPr>
            <w:r>
              <w:rPr>
                <w:sz w:val="21"/>
                <w:szCs w:val="21"/>
              </w:rPr>
              <w:t>天津</w:t>
            </w:r>
          </w:p>
        </w:tc>
        <w:tc>
          <w:tcPr>
            <w:tcW w:w="714" w:type="pct"/>
            <w:vAlign w:val="center"/>
          </w:tcPr>
          <w:p w14:paraId="480A24D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60,405.00</w:t>
            </w:r>
          </w:p>
        </w:tc>
        <w:tc>
          <w:tcPr>
            <w:tcW w:w="391" w:type="pct"/>
            <w:vAlign w:val="center"/>
          </w:tcPr>
          <w:p w14:paraId="48354884" w14:textId="77777777" w:rsidR="002D0AE7" w:rsidRDefault="00333EBB">
            <w:pPr>
              <w:rPr>
                <w:rFonts w:hint="eastAsia"/>
                <w:sz w:val="21"/>
                <w:szCs w:val="21"/>
              </w:rPr>
            </w:pPr>
            <w:r>
              <w:rPr>
                <w:sz w:val="21"/>
                <w:szCs w:val="21"/>
              </w:rPr>
              <w:t>天津</w:t>
            </w:r>
          </w:p>
        </w:tc>
        <w:tc>
          <w:tcPr>
            <w:tcW w:w="1104" w:type="pct"/>
            <w:vAlign w:val="center"/>
          </w:tcPr>
          <w:p w14:paraId="3F2BD110" w14:textId="77777777" w:rsidR="002D0AE7" w:rsidRDefault="00333EBB">
            <w:pPr>
              <w:rPr>
                <w:rFonts w:hint="eastAsia"/>
                <w:sz w:val="21"/>
                <w:szCs w:val="21"/>
              </w:rPr>
            </w:pPr>
            <w:r>
              <w:rPr>
                <w:sz w:val="21"/>
                <w:szCs w:val="21"/>
              </w:rPr>
              <w:t>药品及相关产品的生产和销售</w:t>
            </w:r>
          </w:p>
        </w:tc>
        <w:tc>
          <w:tcPr>
            <w:tcW w:w="389" w:type="pct"/>
            <w:vAlign w:val="center"/>
          </w:tcPr>
          <w:p w14:paraId="0F0015E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62.00</w:t>
            </w:r>
          </w:p>
        </w:tc>
        <w:tc>
          <w:tcPr>
            <w:tcW w:w="455" w:type="pct"/>
            <w:vAlign w:val="center"/>
          </w:tcPr>
          <w:p w14:paraId="1153FBA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49" w:type="pct"/>
            <w:vAlign w:val="center"/>
          </w:tcPr>
          <w:p w14:paraId="5DEA283B" w14:textId="77777777" w:rsidR="002D0AE7" w:rsidRDefault="00333EBB">
            <w:pPr>
              <w:rPr>
                <w:rFonts w:hint="eastAsia"/>
                <w:sz w:val="21"/>
                <w:szCs w:val="21"/>
              </w:rPr>
            </w:pPr>
            <w:r>
              <w:rPr>
                <w:sz w:val="21"/>
                <w:szCs w:val="21"/>
              </w:rPr>
              <w:t>同一控制下企业合并</w:t>
            </w:r>
          </w:p>
        </w:tc>
      </w:tr>
      <w:tr w:rsidR="002D0AE7" w14:paraId="6CE1BF60" w14:textId="77777777">
        <w:trPr>
          <w:jc w:val="center"/>
        </w:trPr>
        <w:tc>
          <w:tcPr>
            <w:tcW w:w="907" w:type="pct"/>
            <w:vAlign w:val="center"/>
          </w:tcPr>
          <w:p w14:paraId="22D033DD" w14:textId="77777777" w:rsidR="002D0AE7" w:rsidRDefault="00333EBB">
            <w:pPr>
              <w:rPr>
                <w:rFonts w:hint="eastAsia"/>
                <w:sz w:val="21"/>
                <w:szCs w:val="21"/>
              </w:rPr>
            </w:pPr>
            <w:r>
              <w:rPr>
                <w:rFonts w:hint="eastAsia"/>
                <w:color w:val="000000"/>
                <w:sz w:val="21"/>
                <w:szCs w:val="21"/>
              </w:rPr>
              <w:t>津药药业健康科技（天津）有限公司</w:t>
            </w:r>
          </w:p>
        </w:tc>
        <w:tc>
          <w:tcPr>
            <w:tcW w:w="390" w:type="pct"/>
            <w:vAlign w:val="center"/>
          </w:tcPr>
          <w:p w14:paraId="28627C21" w14:textId="77777777" w:rsidR="002D0AE7" w:rsidRDefault="00333EBB">
            <w:pPr>
              <w:rPr>
                <w:rFonts w:hint="eastAsia"/>
                <w:sz w:val="21"/>
                <w:szCs w:val="21"/>
              </w:rPr>
            </w:pPr>
            <w:r>
              <w:rPr>
                <w:sz w:val="21"/>
                <w:szCs w:val="21"/>
              </w:rPr>
              <w:t>天津</w:t>
            </w:r>
          </w:p>
        </w:tc>
        <w:tc>
          <w:tcPr>
            <w:tcW w:w="714" w:type="pct"/>
            <w:vAlign w:val="center"/>
          </w:tcPr>
          <w:p w14:paraId="6540C57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3,500.00</w:t>
            </w:r>
          </w:p>
        </w:tc>
        <w:tc>
          <w:tcPr>
            <w:tcW w:w="391" w:type="pct"/>
            <w:vAlign w:val="center"/>
          </w:tcPr>
          <w:p w14:paraId="00E47160" w14:textId="77777777" w:rsidR="002D0AE7" w:rsidRDefault="00333EBB">
            <w:pPr>
              <w:rPr>
                <w:rFonts w:hint="eastAsia"/>
                <w:sz w:val="21"/>
                <w:szCs w:val="21"/>
              </w:rPr>
            </w:pPr>
            <w:r>
              <w:rPr>
                <w:sz w:val="21"/>
                <w:szCs w:val="21"/>
              </w:rPr>
              <w:t>天津</w:t>
            </w:r>
          </w:p>
        </w:tc>
        <w:tc>
          <w:tcPr>
            <w:tcW w:w="1104" w:type="pct"/>
            <w:vAlign w:val="center"/>
          </w:tcPr>
          <w:p w14:paraId="56DE2F1D" w14:textId="77777777" w:rsidR="002D0AE7" w:rsidRDefault="00333EBB">
            <w:pPr>
              <w:rPr>
                <w:rFonts w:hint="eastAsia"/>
                <w:sz w:val="21"/>
                <w:szCs w:val="21"/>
              </w:rPr>
            </w:pPr>
            <w:r>
              <w:rPr>
                <w:sz w:val="21"/>
                <w:szCs w:val="21"/>
              </w:rPr>
              <w:t>药品及相关产品的销售</w:t>
            </w:r>
          </w:p>
        </w:tc>
        <w:tc>
          <w:tcPr>
            <w:tcW w:w="389" w:type="pct"/>
            <w:vAlign w:val="center"/>
          </w:tcPr>
          <w:p w14:paraId="24C2511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455" w:type="pct"/>
            <w:vAlign w:val="center"/>
          </w:tcPr>
          <w:p w14:paraId="4DACBCD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62.00</w:t>
            </w:r>
          </w:p>
        </w:tc>
        <w:tc>
          <w:tcPr>
            <w:tcW w:w="649" w:type="pct"/>
            <w:vAlign w:val="center"/>
          </w:tcPr>
          <w:p w14:paraId="76D53867" w14:textId="77777777" w:rsidR="002D0AE7" w:rsidRDefault="00333EBB">
            <w:pPr>
              <w:rPr>
                <w:rFonts w:hint="eastAsia"/>
                <w:sz w:val="21"/>
                <w:szCs w:val="21"/>
              </w:rPr>
            </w:pPr>
            <w:r>
              <w:rPr>
                <w:sz w:val="21"/>
                <w:szCs w:val="21"/>
              </w:rPr>
              <w:t>同一控制下企业合并</w:t>
            </w:r>
          </w:p>
        </w:tc>
      </w:tr>
      <w:tr w:rsidR="002D0AE7" w14:paraId="023955A2" w14:textId="77777777">
        <w:trPr>
          <w:jc w:val="center"/>
        </w:trPr>
        <w:tc>
          <w:tcPr>
            <w:tcW w:w="907" w:type="pct"/>
            <w:vAlign w:val="center"/>
          </w:tcPr>
          <w:p w14:paraId="2B77BEBC" w14:textId="77777777" w:rsidR="002D0AE7" w:rsidRDefault="00333EBB">
            <w:pPr>
              <w:rPr>
                <w:rFonts w:hint="eastAsia"/>
                <w:sz w:val="21"/>
                <w:szCs w:val="21"/>
              </w:rPr>
            </w:pPr>
            <w:r>
              <w:rPr>
                <w:rFonts w:hint="eastAsia"/>
                <w:color w:val="000000"/>
                <w:sz w:val="21"/>
                <w:szCs w:val="21"/>
              </w:rPr>
              <w:t>天津津药环境科技有限公司</w:t>
            </w:r>
          </w:p>
        </w:tc>
        <w:tc>
          <w:tcPr>
            <w:tcW w:w="390" w:type="pct"/>
            <w:vAlign w:val="center"/>
          </w:tcPr>
          <w:p w14:paraId="2BDD0BB0" w14:textId="77777777" w:rsidR="002D0AE7" w:rsidRDefault="00333EBB">
            <w:pPr>
              <w:rPr>
                <w:rFonts w:hint="eastAsia"/>
                <w:sz w:val="21"/>
                <w:szCs w:val="21"/>
              </w:rPr>
            </w:pPr>
            <w:r>
              <w:rPr>
                <w:sz w:val="21"/>
                <w:szCs w:val="21"/>
              </w:rPr>
              <w:t>天津</w:t>
            </w:r>
          </w:p>
        </w:tc>
        <w:tc>
          <w:tcPr>
            <w:tcW w:w="714" w:type="pct"/>
            <w:vAlign w:val="center"/>
          </w:tcPr>
          <w:p w14:paraId="5A162D2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10,030.16</w:t>
            </w:r>
          </w:p>
        </w:tc>
        <w:tc>
          <w:tcPr>
            <w:tcW w:w="391" w:type="pct"/>
            <w:vAlign w:val="center"/>
          </w:tcPr>
          <w:p w14:paraId="1FCF7003" w14:textId="77777777" w:rsidR="002D0AE7" w:rsidRDefault="00333EBB">
            <w:pPr>
              <w:rPr>
                <w:rFonts w:hint="eastAsia"/>
                <w:sz w:val="21"/>
                <w:szCs w:val="21"/>
              </w:rPr>
            </w:pPr>
            <w:r>
              <w:rPr>
                <w:sz w:val="21"/>
                <w:szCs w:val="21"/>
              </w:rPr>
              <w:t>天津</w:t>
            </w:r>
          </w:p>
        </w:tc>
        <w:tc>
          <w:tcPr>
            <w:tcW w:w="1104" w:type="pct"/>
            <w:vAlign w:val="center"/>
          </w:tcPr>
          <w:p w14:paraId="7408EF10" w14:textId="77777777" w:rsidR="002D0AE7" w:rsidRDefault="00333EBB">
            <w:pPr>
              <w:rPr>
                <w:rFonts w:hint="eastAsia"/>
                <w:sz w:val="21"/>
                <w:szCs w:val="21"/>
              </w:rPr>
            </w:pPr>
            <w:r>
              <w:rPr>
                <w:sz w:val="21"/>
                <w:szCs w:val="21"/>
              </w:rPr>
              <w:t>能源动力、公共基础设施与物业管理</w:t>
            </w:r>
          </w:p>
        </w:tc>
        <w:tc>
          <w:tcPr>
            <w:tcW w:w="389" w:type="pct"/>
            <w:vAlign w:val="center"/>
          </w:tcPr>
          <w:p w14:paraId="15C8401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76.11</w:t>
            </w:r>
          </w:p>
        </w:tc>
        <w:tc>
          <w:tcPr>
            <w:tcW w:w="455" w:type="pct"/>
            <w:vAlign w:val="center"/>
          </w:tcPr>
          <w:p w14:paraId="3E4E540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49" w:type="pct"/>
            <w:vAlign w:val="center"/>
          </w:tcPr>
          <w:p w14:paraId="5DFB069B" w14:textId="77777777" w:rsidR="002D0AE7" w:rsidRDefault="00333EBB">
            <w:pPr>
              <w:rPr>
                <w:rFonts w:hint="eastAsia"/>
                <w:sz w:val="21"/>
                <w:szCs w:val="21"/>
              </w:rPr>
            </w:pPr>
            <w:r>
              <w:rPr>
                <w:sz w:val="21"/>
                <w:szCs w:val="21"/>
              </w:rPr>
              <w:t>同一控制下企业合并</w:t>
            </w:r>
          </w:p>
        </w:tc>
      </w:tr>
      <w:tr w:rsidR="002D0AE7" w14:paraId="7B008F29" w14:textId="77777777">
        <w:trPr>
          <w:jc w:val="center"/>
        </w:trPr>
        <w:tc>
          <w:tcPr>
            <w:tcW w:w="907" w:type="pct"/>
            <w:vAlign w:val="center"/>
          </w:tcPr>
          <w:p w14:paraId="6C96DBD9" w14:textId="77777777" w:rsidR="002D0AE7" w:rsidRDefault="00333EBB">
            <w:pPr>
              <w:rPr>
                <w:rFonts w:hint="eastAsia"/>
                <w:sz w:val="21"/>
                <w:szCs w:val="21"/>
              </w:rPr>
            </w:pPr>
            <w:r>
              <w:rPr>
                <w:rFonts w:hint="eastAsia"/>
                <w:color w:val="000000"/>
                <w:sz w:val="21"/>
                <w:szCs w:val="21"/>
              </w:rPr>
              <w:t>天津信卓国际贸易有限公司</w:t>
            </w:r>
          </w:p>
        </w:tc>
        <w:tc>
          <w:tcPr>
            <w:tcW w:w="390" w:type="pct"/>
            <w:vAlign w:val="center"/>
          </w:tcPr>
          <w:p w14:paraId="727D1648" w14:textId="77777777" w:rsidR="002D0AE7" w:rsidRDefault="00333EBB">
            <w:pPr>
              <w:rPr>
                <w:rFonts w:hint="eastAsia"/>
                <w:sz w:val="21"/>
                <w:szCs w:val="21"/>
              </w:rPr>
            </w:pPr>
            <w:r>
              <w:rPr>
                <w:sz w:val="21"/>
                <w:szCs w:val="21"/>
              </w:rPr>
              <w:t>天津</w:t>
            </w:r>
          </w:p>
        </w:tc>
        <w:tc>
          <w:tcPr>
            <w:tcW w:w="714" w:type="pct"/>
            <w:vAlign w:val="center"/>
          </w:tcPr>
          <w:p w14:paraId="43CCC21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50.00</w:t>
            </w:r>
          </w:p>
        </w:tc>
        <w:tc>
          <w:tcPr>
            <w:tcW w:w="391" w:type="pct"/>
            <w:vAlign w:val="center"/>
          </w:tcPr>
          <w:p w14:paraId="213DCE09" w14:textId="77777777" w:rsidR="002D0AE7" w:rsidRDefault="00333EBB">
            <w:pPr>
              <w:rPr>
                <w:rFonts w:hint="eastAsia"/>
                <w:sz w:val="21"/>
                <w:szCs w:val="21"/>
              </w:rPr>
            </w:pPr>
            <w:r>
              <w:rPr>
                <w:sz w:val="21"/>
                <w:szCs w:val="21"/>
              </w:rPr>
              <w:t>天津</w:t>
            </w:r>
          </w:p>
        </w:tc>
        <w:tc>
          <w:tcPr>
            <w:tcW w:w="1104" w:type="pct"/>
            <w:vAlign w:val="center"/>
          </w:tcPr>
          <w:p w14:paraId="5B15EA29" w14:textId="77777777" w:rsidR="002D0AE7" w:rsidRDefault="00333EBB">
            <w:pPr>
              <w:rPr>
                <w:rFonts w:hint="eastAsia"/>
                <w:sz w:val="21"/>
                <w:szCs w:val="21"/>
              </w:rPr>
            </w:pPr>
            <w:r>
              <w:rPr>
                <w:sz w:val="21"/>
                <w:szCs w:val="21"/>
              </w:rPr>
              <w:t>药品及相关产品的销售</w:t>
            </w:r>
          </w:p>
        </w:tc>
        <w:tc>
          <w:tcPr>
            <w:tcW w:w="389" w:type="pct"/>
            <w:vAlign w:val="center"/>
          </w:tcPr>
          <w:p w14:paraId="72C51E4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100.00</w:t>
            </w:r>
          </w:p>
        </w:tc>
        <w:tc>
          <w:tcPr>
            <w:tcW w:w="455" w:type="pct"/>
            <w:vAlign w:val="center"/>
          </w:tcPr>
          <w:p w14:paraId="0F268B0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49" w:type="pct"/>
            <w:vAlign w:val="center"/>
          </w:tcPr>
          <w:p w14:paraId="54AFE567" w14:textId="77777777" w:rsidR="002D0AE7" w:rsidRDefault="00333EBB">
            <w:pPr>
              <w:rPr>
                <w:rFonts w:hint="eastAsia"/>
                <w:sz w:val="21"/>
                <w:szCs w:val="21"/>
              </w:rPr>
            </w:pPr>
            <w:r>
              <w:rPr>
                <w:sz w:val="21"/>
                <w:szCs w:val="21"/>
              </w:rPr>
              <w:t>支付现金</w:t>
            </w:r>
          </w:p>
        </w:tc>
      </w:tr>
      <w:tr w:rsidR="002D0AE7" w14:paraId="107B5CE0" w14:textId="77777777">
        <w:trPr>
          <w:jc w:val="center"/>
        </w:trPr>
        <w:tc>
          <w:tcPr>
            <w:tcW w:w="907" w:type="pct"/>
            <w:vAlign w:val="center"/>
          </w:tcPr>
          <w:p w14:paraId="5F810391" w14:textId="77777777" w:rsidR="002D0AE7" w:rsidRDefault="00333EBB">
            <w:pPr>
              <w:rPr>
                <w:rFonts w:hint="eastAsia"/>
                <w:sz w:val="21"/>
                <w:szCs w:val="21"/>
              </w:rPr>
            </w:pPr>
            <w:r>
              <w:rPr>
                <w:rFonts w:hint="eastAsia"/>
                <w:color w:val="000000"/>
                <w:sz w:val="21"/>
                <w:szCs w:val="21"/>
              </w:rPr>
              <w:t>湖北津药药业股份有限公司</w:t>
            </w:r>
          </w:p>
        </w:tc>
        <w:tc>
          <w:tcPr>
            <w:tcW w:w="390" w:type="pct"/>
            <w:vAlign w:val="center"/>
          </w:tcPr>
          <w:p w14:paraId="7372AC43" w14:textId="77777777" w:rsidR="002D0AE7" w:rsidRDefault="00333EBB">
            <w:pPr>
              <w:rPr>
                <w:rFonts w:hint="eastAsia"/>
                <w:sz w:val="21"/>
                <w:szCs w:val="21"/>
              </w:rPr>
            </w:pPr>
            <w:r>
              <w:rPr>
                <w:sz w:val="21"/>
                <w:szCs w:val="21"/>
              </w:rPr>
              <w:t>湖北</w:t>
            </w:r>
          </w:p>
        </w:tc>
        <w:tc>
          <w:tcPr>
            <w:tcW w:w="714" w:type="pct"/>
            <w:vAlign w:val="center"/>
          </w:tcPr>
          <w:p w14:paraId="1147775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10,847.30</w:t>
            </w:r>
          </w:p>
        </w:tc>
        <w:tc>
          <w:tcPr>
            <w:tcW w:w="391" w:type="pct"/>
            <w:vAlign w:val="center"/>
          </w:tcPr>
          <w:p w14:paraId="7DB9CE6B" w14:textId="77777777" w:rsidR="002D0AE7" w:rsidRDefault="00333EBB">
            <w:pPr>
              <w:rPr>
                <w:rFonts w:hint="eastAsia"/>
                <w:sz w:val="21"/>
                <w:szCs w:val="21"/>
              </w:rPr>
            </w:pPr>
            <w:r>
              <w:rPr>
                <w:sz w:val="21"/>
                <w:szCs w:val="21"/>
              </w:rPr>
              <w:t>湖北</w:t>
            </w:r>
          </w:p>
        </w:tc>
        <w:tc>
          <w:tcPr>
            <w:tcW w:w="1104" w:type="pct"/>
            <w:vAlign w:val="center"/>
          </w:tcPr>
          <w:p w14:paraId="5C30D734" w14:textId="77777777" w:rsidR="002D0AE7" w:rsidRDefault="00333EBB">
            <w:pPr>
              <w:rPr>
                <w:rFonts w:hint="eastAsia"/>
                <w:sz w:val="21"/>
                <w:szCs w:val="21"/>
              </w:rPr>
            </w:pPr>
            <w:r>
              <w:rPr>
                <w:sz w:val="21"/>
                <w:szCs w:val="21"/>
              </w:rPr>
              <w:t>药品及相关产品的生产和销售</w:t>
            </w:r>
          </w:p>
        </w:tc>
        <w:tc>
          <w:tcPr>
            <w:tcW w:w="389" w:type="pct"/>
            <w:vAlign w:val="center"/>
          </w:tcPr>
          <w:p w14:paraId="58BCDB4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51.00</w:t>
            </w:r>
          </w:p>
        </w:tc>
        <w:tc>
          <w:tcPr>
            <w:tcW w:w="455" w:type="pct"/>
            <w:vAlign w:val="center"/>
          </w:tcPr>
          <w:p w14:paraId="60360B0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49" w:type="pct"/>
            <w:vAlign w:val="center"/>
          </w:tcPr>
          <w:p w14:paraId="14515D77" w14:textId="77777777" w:rsidR="002D0AE7" w:rsidRDefault="00333EBB">
            <w:pPr>
              <w:rPr>
                <w:rFonts w:hint="eastAsia"/>
                <w:sz w:val="21"/>
                <w:szCs w:val="21"/>
              </w:rPr>
            </w:pPr>
            <w:r>
              <w:rPr>
                <w:sz w:val="21"/>
                <w:szCs w:val="21"/>
              </w:rPr>
              <w:t>同一控制下企业合并</w:t>
            </w:r>
          </w:p>
        </w:tc>
      </w:tr>
      <w:tr w:rsidR="002D0AE7" w14:paraId="3389583B" w14:textId="77777777">
        <w:trPr>
          <w:jc w:val="center"/>
        </w:trPr>
        <w:tc>
          <w:tcPr>
            <w:tcW w:w="907" w:type="pct"/>
            <w:vAlign w:val="center"/>
          </w:tcPr>
          <w:p w14:paraId="67A6AB27" w14:textId="77777777" w:rsidR="002D0AE7" w:rsidRDefault="00333EBB">
            <w:pPr>
              <w:rPr>
                <w:rFonts w:hint="eastAsia"/>
                <w:sz w:val="21"/>
                <w:szCs w:val="21"/>
              </w:rPr>
            </w:pPr>
            <w:r>
              <w:rPr>
                <w:rFonts w:hint="eastAsia"/>
                <w:color w:val="000000"/>
                <w:sz w:val="21"/>
                <w:szCs w:val="21"/>
              </w:rPr>
              <w:t>湖北天药医药有限公司</w:t>
            </w:r>
          </w:p>
        </w:tc>
        <w:tc>
          <w:tcPr>
            <w:tcW w:w="390" w:type="pct"/>
            <w:vAlign w:val="center"/>
          </w:tcPr>
          <w:p w14:paraId="0000F6B3" w14:textId="77777777" w:rsidR="002D0AE7" w:rsidRDefault="00333EBB">
            <w:pPr>
              <w:rPr>
                <w:rFonts w:hint="eastAsia"/>
                <w:sz w:val="21"/>
                <w:szCs w:val="21"/>
              </w:rPr>
            </w:pPr>
            <w:r>
              <w:rPr>
                <w:sz w:val="21"/>
                <w:szCs w:val="21"/>
              </w:rPr>
              <w:t>湖北</w:t>
            </w:r>
          </w:p>
        </w:tc>
        <w:tc>
          <w:tcPr>
            <w:tcW w:w="714" w:type="pct"/>
            <w:vAlign w:val="center"/>
          </w:tcPr>
          <w:p w14:paraId="4004EA5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615.00</w:t>
            </w:r>
          </w:p>
        </w:tc>
        <w:tc>
          <w:tcPr>
            <w:tcW w:w="391" w:type="pct"/>
            <w:vAlign w:val="center"/>
          </w:tcPr>
          <w:p w14:paraId="179F3074" w14:textId="77777777" w:rsidR="002D0AE7" w:rsidRDefault="00333EBB">
            <w:pPr>
              <w:rPr>
                <w:rFonts w:hint="eastAsia"/>
                <w:sz w:val="21"/>
                <w:szCs w:val="21"/>
              </w:rPr>
            </w:pPr>
            <w:r>
              <w:rPr>
                <w:sz w:val="21"/>
                <w:szCs w:val="21"/>
              </w:rPr>
              <w:t>湖北</w:t>
            </w:r>
          </w:p>
        </w:tc>
        <w:tc>
          <w:tcPr>
            <w:tcW w:w="1104" w:type="pct"/>
            <w:vAlign w:val="center"/>
          </w:tcPr>
          <w:p w14:paraId="5112847E" w14:textId="77777777" w:rsidR="002D0AE7" w:rsidRDefault="00333EBB">
            <w:pPr>
              <w:rPr>
                <w:rFonts w:hint="eastAsia"/>
                <w:sz w:val="21"/>
                <w:szCs w:val="21"/>
              </w:rPr>
            </w:pPr>
            <w:r>
              <w:rPr>
                <w:sz w:val="21"/>
                <w:szCs w:val="21"/>
              </w:rPr>
              <w:t>药品及相关产品的销售</w:t>
            </w:r>
          </w:p>
        </w:tc>
        <w:tc>
          <w:tcPr>
            <w:tcW w:w="389" w:type="pct"/>
            <w:vAlign w:val="center"/>
          </w:tcPr>
          <w:p w14:paraId="4E71B20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455" w:type="pct"/>
            <w:vAlign w:val="center"/>
          </w:tcPr>
          <w:p w14:paraId="7AC6E79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51.00</w:t>
            </w:r>
          </w:p>
        </w:tc>
        <w:tc>
          <w:tcPr>
            <w:tcW w:w="649" w:type="pct"/>
            <w:vAlign w:val="center"/>
          </w:tcPr>
          <w:p w14:paraId="3BAE94A5" w14:textId="77777777" w:rsidR="002D0AE7" w:rsidRDefault="00333EBB">
            <w:pPr>
              <w:rPr>
                <w:rFonts w:hint="eastAsia"/>
                <w:sz w:val="21"/>
                <w:szCs w:val="21"/>
              </w:rPr>
            </w:pPr>
            <w:r>
              <w:rPr>
                <w:sz w:val="21"/>
                <w:szCs w:val="21"/>
              </w:rPr>
              <w:t>同一控制下企业合并</w:t>
            </w:r>
          </w:p>
        </w:tc>
      </w:tr>
    </w:tbl>
    <w:p w14:paraId="370AA48E" w14:textId="77777777" w:rsidR="002D0AE7" w:rsidRDefault="00333EBB">
      <w:pPr>
        <w:rPr>
          <w:rFonts w:cs="Arial" w:hint="eastAsia"/>
          <w:color w:val="000000" w:themeColor="text1"/>
        </w:rPr>
      </w:pPr>
      <w:r>
        <w:rPr>
          <w:rFonts w:cs="Arial" w:hint="eastAsia"/>
          <w:color w:val="000000" w:themeColor="text1"/>
        </w:rPr>
        <w:lastRenderedPageBreak/>
        <w:t>在子公司的持股比例不同于表决权比例的说明：</w:t>
      </w:r>
      <w:sdt>
        <w:sdtPr>
          <w:rPr>
            <w:rFonts w:cs="Arial"/>
            <w:color w:val="000000" w:themeColor="text1"/>
          </w:rPr>
          <w:alias w:val="在子公司的持股比例不同于表决权比例的说明"/>
          <w:tag w:val="_GBC_f369e5dd5f6e430ebbede4953d1e5b82"/>
          <w:id w:val="1355534063"/>
          <w:placeholder>
            <w:docPart w:val="GBC22222222222222222222222222222"/>
          </w:placeholder>
        </w:sdtPr>
        <w:sdtEndPr/>
        <w:sdtContent>
          <w:r>
            <w:rPr>
              <w:rFonts w:cs="Arial" w:hint="eastAsia"/>
              <w:color w:val="000000" w:themeColor="text1"/>
            </w:rPr>
            <w:t>无</w:t>
          </w:r>
        </w:sdtContent>
      </w:sdt>
    </w:p>
    <w:p w14:paraId="2E579C40" w14:textId="77777777" w:rsidR="002D0AE7" w:rsidRDefault="00333EBB">
      <w:pPr>
        <w:rPr>
          <w:rFonts w:cs="Arial" w:hint="eastAsia"/>
          <w:color w:val="000000" w:themeColor="text1"/>
        </w:rPr>
      </w:pPr>
      <w:r>
        <w:rPr>
          <w:rFonts w:cs="Arial" w:hint="eastAsia"/>
          <w:color w:val="000000" w:themeColor="text1"/>
        </w:rPr>
        <w:t>持有半数或以下表决权但仍控制被投资单位、以及持有半数以上表决权但不控制被投资单位的依据：</w:t>
      </w:r>
      <w:sdt>
        <w:sdtPr>
          <w:rPr>
            <w:rFonts w:cs="Arial"/>
            <w:color w:val="000000" w:themeColor="text1"/>
          </w:rPr>
          <w:alias w:val="持有半数或以下表决权但仍控制被投资单位、以及持有半数以上表决权但不控制被投资单位的依据"/>
          <w:tag w:val="_GBC_140bd5da597c40feaa9310db1d6dc624"/>
          <w:id w:val="14970424"/>
          <w:placeholder>
            <w:docPart w:val="GBC22222222222222222222222222222"/>
          </w:placeholder>
        </w:sdtPr>
        <w:sdtEndPr/>
        <w:sdtContent>
          <w:r>
            <w:rPr>
              <w:rFonts w:cs="Arial" w:hint="eastAsia"/>
              <w:color w:val="000000" w:themeColor="text1"/>
            </w:rPr>
            <w:t>无</w:t>
          </w:r>
        </w:sdtContent>
      </w:sdt>
    </w:p>
    <w:p w14:paraId="721213B8" w14:textId="77777777" w:rsidR="002D0AE7" w:rsidRDefault="00333EBB">
      <w:pPr>
        <w:rPr>
          <w:rFonts w:cs="Arial" w:hint="eastAsia"/>
          <w:color w:val="000000" w:themeColor="text1"/>
        </w:rPr>
      </w:pPr>
      <w:r>
        <w:rPr>
          <w:rFonts w:cs="Arial" w:hint="eastAsia"/>
          <w:color w:val="000000" w:themeColor="text1"/>
        </w:rPr>
        <w:t>对于纳入合并范围的重要的结构化主体，控制的依据：</w:t>
      </w:r>
      <w:sdt>
        <w:sdtPr>
          <w:rPr>
            <w:rFonts w:cs="Arial" w:hint="eastAsia"/>
            <w:color w:val="000000" w:themeColor="text1"/>
          </w:rPr>
          <w:alias w:val="对于纳入合并范围的重要的结构化主体，控制的依据"/>
          <w:tag w:val="_GBC_2d237439b4094e01b636ce2eb1be2008"/>
          <w:id w:val="-1138644296"/>
          <w:placeholder>
            <w:docPart w:val="GBC22222222222222222222222222222"/>
          </w:placeholder>
        </w:sdtPr>
        <w:sdtEndPr/>
        <w:sdtContent>
          <w:r>
            <w:rPr>
              <w:rFonts w:cs="Arial" w:hint="eastAsia"/>
              <w:color w:val="000000" w:themeColor="text1"/>
            </w:rPr>
            <w:t>无</w:t>
          </w:r>
        </w:sdtContent>
      </w:sdt>
    </w:p>
    <w:p w14:paraId="3A8B7D32" w14:textId="77777777" w:rsidR="002D0AE7" w:rsidRDefault="00333EBB">
      <w:pPr>
        <w:rPr>
          <w:rFonts w:cs="Arial" w:hint="eastAsia"/>
          <w:color w:val="000000" w:themeColor="text1"/>
        </w:rPr>
      </w:pPr>
      <w:r>
        <w:rPr>
          <w:rFonts w:cs="Arial" w:hint="eastAsia"/>
          <w:color w:val="000000" w:themeColor="text1"/>
        </w:rPr>
        <w:t>确定公司是代理人还是委托人的依据：</w:t>
      </w:r>
      <w:sdt>
        <w:sdtPr>
          <w:rPr>
            <w:rFonts w:cs="Arial" w:hint="eastAsia"/>
            <w:color w:val="000000" w:themeColor="text1"/>
          </w:rPr>
          <w:alias w:val="确定公司是代理人还是委托人的依据"/>
          <w:tag w:val="_GBC_6e0bd1ebb4c2474da455b4f5a3a59699"/>
          <w:id w:val="-1126078649"/>
          <w:placeholder>
            <w:docPart w:val="GBC22222222222222222222222222222"/>
          </w:placeholder>
        </w:sdtPr>
        <w:sdtEndPr/>
        <w:sdtContent>
          <w:r>
            <w:rPr>
              <w:rFonts w:cs="Arial" w:hint="eastAsia"/>
              <w:color w:val="000000" w:themeColor="text1"/>
            </w:rPr>
            <w:t>无</w:t>
          </w:r>
        </w:sdtContent>
      </w:sdt>
    </w:p>
    <w:p w14:paraId="144EAAAD" w14:textId="77777777" w:rsidR="002D0AE7" w:rsidRDefault="00333EBB">
      <w:pPr>
        <w:rPr>
          <w:rFonts w:cs="Arial" w:hint="eastAsia"/>
          <w:color w:val="000000" w:themeColor="text1"/>
        </w:rPr>
      </w:pPr>
      <w:r>
        <w:rPr>
          <w:rFonts w:cs="Arial" w:hint="eastAsia"/>
          <w:color w:val="000000" w:themeColor="text1"/>
        </w:rPr>
        <w:t>其他说明：</w:t>
      </w:r>
      <w:sdt>
        <w:sdtPr>
          <w:rPr>
            <w:rFonts w:cs="Arial"/>
            <w:color w:val="000000" w:themeColor="text1"/>
          </w:rPr>
          <w:alias w:val="企业集团的构成的其他需要说明的事项"/>
          <w:tag w:val="_GBC_6b7d2d3a14224f7e90a4df3c02b8e3b3"/>
          <w:id w:val="1981724858"/>
          <w:placeholder>
            <w:docPart w:val="GBC22222222222222222222222222222"/>
          </w:placeholder>
        </w:sdtPr>
        <w:sdtEndPr/>
        <w:sdtContent>
          <w:r>
            <w:rPr>
              <w:rFonts w:cs="Arial" w:hint="eastAsia"/>
              <w:color w:val="000000" w:themeColor="text1"/>
            </w:rPr>
            <w:t>无</w:t>
          </w:r>
        </w:sdtContent>
      </w:sdt>
    </w:p>
    <w:bookmarkEnd w:id="228"/>
    <w:p w14:paraId="28F67B93" w14:textId="77777777" w:rsidR="002D0AE7" w:rsidRDefault="00333EBB">
      <w:pPr>
        <w:pStyle w:val="4"/>
        <w:numPr>
          <w:ilvl w:val="3"/>
          <w:numId w:val="75"/>
        </w:numPr>
        <w:tabs>
          <w:tab w:val="left" w:pos="644"/>
        </w:tabs>
        <w:rPr>
          <w:rFonts w:ascii="宋体" w:hAnsi="宋体" w:cs="Arial" w:hint="eastAsia"/>
          <w:color w:val="000000" w:themeColor="text1"/>
          <w:szCs w:val="21"/>
        </w:rPr>
      </w:pPr>
      <w:r>
        <w:rPr>
          <w:rFonts w:ascii="宋体" w:hAnsi="宋体" w:cs="Arial" w:hint="eastAsia"/>
          <w:color w:val="000000" w:themeColor="text1"/>
          <w:szCs w:val="21"/>
        </w:rPr>
        <w:t>重要的非全资子公司</w:t>
      </w:r>
    </w:p>
    <w:sdt>
      <w:sdtPr>
        <w:rPr>
          <w:color w:val="000000" w:themeColor="text1"/>
        </w:rPr>
        <w:alias w:val="是否适用：重要的非全资子公司[双击切换]"/>
        <w:tag w:val="_GBC_b83f349d0d754e2d93b12d2112b4c3ec"/>
        <w:id w:val="504253847"/>
        <w:placeholder>
          <w:docPart w:val="GBC22222222222222222222222222222"/>
        </w:placeholder>
      </w:sdtPr>
      <w:sdtEndPr/>
      <w:sdtContent>
        <w:p w14:paraId="12EF903F"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0B7D6C33"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重要的非全资子公司"/>
          <w:tag w:val="_GBC_e5936e9952394755bacf71d437afcd44"/>
          <w:id w:val="-51654310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重要的非全资子公司"/>
          <w:tag w:val="_GBC_5ffac6aa0e464031b94de604fccc76c7"/>
          <w:id w:val="-115290064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62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248"/>
        <w:gridCol w:w="1201"/>
        <w:gridCol w:w="1492"/>
        <w:gridCol w:w="1276"/>
        <w:gridCol w:w="1702"/>
      </w:tblGrid>
      <w:tr w:rsidR="002D0AE7" w14:paraId="7C839F32" w14:textId="77777777">
        <w:trPr>
          <w:trHeight w:val="241"/>
          <w:jc w:val="center"/>
        </w:trPr>
        <w:sdt>
          <w:sdtPr>
            <w:rPr>
              <w:color w:val="000000" w:themeColor="text1"/>
              <w:sz w:val="21"/>
            </w:rPr>
            <w:tag w:val="_PLD_214f5d23d0ff4cd08577f444026e3bf2"/>
            <w:id w:val="-1247112299"/>
          </w:sdtPr>
          <w:sdtEndPr/>
          <w:sdtContent>
            <w:tc>
              <w:tcPr>
                <w:tcW w:w="2141" w:type="pct"/>
                <w:tcBorders>
                  <w:top w:val="single" w:sz="4" w:space="0" w:color="auto"/>
                  <w:left w:val="single" w:sz="4" w:space="0" w:color="auto"/>
                  <w:bottom w:val="single" w:sz="6" w:space="0" w:color="auto"/>
                  <w:right w:val="single" w:sz="6" w:space="0" w:color="auto"/>
                </w:tcBorders>
                <w:shd w:val="clear" w:color="auto" w:fill="auto"/>
                <w:vAlign w:val="center"/>
              </w:tcPr>
              <w:p w14:paraId="65AC938D" w14:textId="77777777" w:rsidR="002D0AE7" w:rsidRDefault="00333EBB">
                <w:pPr>
                  <w:jc w:val="center"/>
                  <w:rPr>
                    <w:rFonts w:cs="Arial" w:hint="eastAsia"/>
                    <w:color w:val="000000" w:themeColor="text1"/>
                    <w:sz w:val="21"/>
                  </w:rPr>
                </w:pPr>
                <w:r>
                  <w:rPr>
                    <w:rFonts w:cs="Arial" w:hint="eastAsia"/>
                    <w:color w:val="000000" w:themeColor="text1"/>
                    <w:sz w:val="21"/>
                    <w:lang w:val="en-GB"/>
                  </w:rPr>
                  <w:t>子公司名称</w:t>
                </w:r>
              </w:p>
            </w:tc>
          </w:sdtContent>
        </w:sdt>
        <w:sdt>
          <w:sdtPr>
            <w:rPr>
              <w:color w:val="000000" w:themeColor="text1"/>
              <w:sz w:val="21"/>
            </w:rPr>
            <w:tag w:val="_PLD_8f337a5f047e4f5eb2e03caf3b5ce2bb"/>
            <w:id w:val="759802825"/>
          </w:sdtPr>
          <w:sdtEndPr/>
          <w:sdtContent>
            <w:tc>
              <w:tcPr>
                <w:tcW w:w="605" w:type="pct"/>
                <w:tcBorders>
                  <w:top w:val="single" w:sz="4" w:space="0" w:color="auto"/>
                  <w:left w:val="single" w:sz="6" w:space="0" w:color="auto"/>
                  <w:bottom w:val="single" w:sz="6" w:space="0" w:color="auto"/>
                  <w:right w:val="single" w:sz="6" w:space="0" w:color="auto"/>
                </w:tcBorders>
                <w:shd w:val="clear" w:color="auto" w:fill="auto"/>
                <w:vAlign w:val="center"/>
              </w:tcPr>
              <w:p w14:paraId="28A57CD0" w14:textId="77777777" w:rsidR="002D0AE7" w:rsidRDefault="00333EBB">
                <w:pPr>
                  <w:jc w:val="center"/>
                  <w:rPr>
                    <w:rFonts w:cs="Arial" w:hint="eastAsia"/>
                    <w:bCs/>
                    <w:color w:val="000000" w:themeColor="text1"/>
                    <w:sz w:val="21"/>
                    <w:lang w:val="en-GB"/>
                  </w:rPr>
                </w:pPr>
                <w:r>
                  <w:rPr>
                    <w:rFonts w:cs="Arial" w:hint="eastAsia"/>
                    <w:color w:val="000000" w:themeColor="text1"/>
                    <w:sz w:val="21"/>
                    <w:lang w:val="en-GB"/>
                  </w:rPr>
                  <w:t>少数股东持股</w:t>
                </w:r>
              </w:p>
              <w:p w14:paraId="6FB20350" w14:textId="77777777" w:rsidR="002D0AE7" w:rsidRDefault="00333EBB">
                <w:pPr>
                  <w:jc w:val="center"/>
                  <w:rPr>
                    <w:rFonts w:cs="Arial" w:hint="eastAsia"/>
                    <w:color w:val="000000" w:themeColor="text1"/>
                    <w:sz w:val="21"/>
                  </w:rPr>
                </w:pPr>
                <w:r>
                  <w:rPr>
                    <w:rFonts w:cs="Arial" w:hint="eastAsia"/>
                    <w:color w:val="000000" w:themeColor="text1"/>
                    <w:sz w:val="21"/>
                    <w:lang w:val="en-GB"/>
                  </w:rPr>
                  <w:t>比例</w:t>
                </w:r>
                <w:r>
                  <w:rPr>
                    <w:rFonts w:hint="eastAsia"/>
                    <w:color w:val="000000" w:themeColor="text1"/>
                    <w:sz w:val="21"/>
                  </w:rPr>
                  <w:t>（</w:t>
                </w:r>
                <w:r>
                  <w:rPr>
                    <w:rFonts w:hint="eastAsia"/>
                    <w:color w:val="000000" w:themeColor="text1"/>
                    <w:sz w:val="21"/>
                  </w:rPr>
                  <w:t>%</w:t>
                </w:r>
                <w:r>
                  <w:rPr>
                    <w:rFonts w:hint="eastAsia"/>
                    <w:color w:val="000000" w:themeColor="text1"/>
                    <w:sz w:val="21"/>
                  </w:rPr>
                  <w:t>）</w:t>
                </w:r>
              </w:p>
            </w:tc>
          </w:sdtContent>
        </w:sdt>
        <w:sdt>
          <w:sdtPr>
            <w:rPr>
              <w:color w:val="000000" w:themeColor="text1"/>
              <w:sz w:val="21"/>
            </w:rPr>
            <w:tag w:val="_PLD_70aca7c8f09a4a579e632e06c25a6ab5"/>
            <w:id w:val="-1679578742"/>
          </w:sdtPr>
          <w:sdtEndPr/>
          <w:sdtContent>
            <w:tc>
              <w:tcPr>
                <w:tcW w:w="752" w:type="pct"/>
                <w:tcBorders>
                  <w:top w:val="single" w:sz="4" w:space="0" w:color="auto"/>
                  <w:left w:val="single" w:sz="6" w:space="0" w:color="auto"/>
                  <w:bottom w:val="single" w:sz="6" w:space="0" w:color="auto"/>
                  <w:right w:val="single" w:sz="6" w:space="0" w:color="auto"/>
                </w:tcBorders>
                <w:shd w:val="clear" w:color="auto" w:fill="auto"/>
                <w:vAlign w:val="center"/>
              </w:tcPr>
              <w:p w14:paraId="1B360668" w14:textId="77777777" w:rsidR="002D0AE7" w:rsidRDefault="00333EBB">
                <w:pPr>
                  <w:jc w:val="center"/>
                  <w:rPr>
                    <w:rFonts w:cs="Arial" w:hint="eastAsia"/>
                    <w:color w:val="000000" w:themeColor="text1"/>
                    <w:sz w:val="21"/>
                  </w:rPr>
                </w:pPr>
                <w:r>
                  <w:rPr>
                    <w:rFonts w:cs="Arial" w:hint="eastAsia"/>
                    <w:color w:val="000000" w:themeColor="text1"/>
                    <w:sz w:val="21"/>
                    <w:lang w:val="en-GB"/>
                  </w:rPr>
                  <w:t>本期归属于少数股东的损益</w:t>
                </w:r>
              </w:p>
            </w:tc>
          </w:sdtContent>
        </w:sdt>
        <w:sdt>
          <w:sdtPr>
            <w:rPr>
              <w:color w:val="000000" w:themeColor="text1"/>
              <w:sz w:val="21"/>
            </w:rPr>
            <w:tag w:val="_PLD_4154a89239e54416bb4c7ab182b0ae5a"/>
            <w:id w:val="1810982929"/>
          </w:sdtPr>
          <w:sdtEndPr/>
          <w:sdtContent>
            <w:tc>
              <w:tcPr>
                <w:tcW w:w="643" w:type="pct"/>
                <w:tcBorders>
                  <w:top w:val="single" w:sz="4" w:space="0" w:color="auto"/>
                  <w:left w:val="single" w:sz="6" w:space="0" w:color="auto"/>
                  <w:bottom w:val="single" w:sz="6" w:space="0" w:color="auto"/>
                  <w:right w:val="single" w:sz="6" w:space="0" w:color="auto"/>
                </w:tcBorders>
                <w:shd w:val="clear" w:color="auto" w:fill="auto"/>
                <w:vAlign w:val="center"/>
              </w:tcPr>
              <w:p w14:paraId="02A07E74" w14:textId="77777777" w:rsidR="002D0AE7" w:rsidRDefault="00333EBB">
                <w:pPr>
                  <w:jc w:val="center"/>
                  <w:rPr>
                    <w:rFonts w:cs="Arial" w:hint="eastAsia"/>
                    <w:color w:val="000000" w:themeColor="text1"/>
                    <w:sz w:val="21"/>
                  </w:rPr>
                </w:pPr>
                <w:r>
                  <w:rPr>
                    <w:rFonts w:cs="Arial" w:hint="eastAsia"/>
                    <w:color w:val="000000" w:themeColor="text1"/>
                    <w:sz w:val="21"/>
                    <w:lang w:val="en-GB"/>
                  </w:rPr>
                  <w:t>本期向少数股东宣告分派的股利</w:t>
                </w:r>
              </w:p>
            </w:tc>
          </w:sdtContent>
        </w:sdt>
        <w:sdt>
          <w:sdtPr>
            <w:rPr>
              <w:color w:val="000000" w:themeColor="text1"/>
              <w:sz w:val="21"/>
            </w:rPr>
            <w:tag w:val="_PLD_cea34ef7af164cc8816d90890b528f36"/>
            <w:id w:val="-1586289288"/>
          </w:sdtPr>
          <w:sdtEndPr/>
          <w:sdtContent>
            <w:tc>
              <w:tcPr>
                <w:tcW w:w="858" w:type="pct"/>
                <w:tcBorders>
                  <w:top w:val="single" w:sz="4" w:space="0" w:color="auto"/>
                  <w:left w:val="single" w:sz="6" w:space="0" w:color="auto"/>
                  <w:bottom w:val="single" w:sz="6" w:space="0" w:color="auto"/>
                  <w:right w:val="single" w:sz="4" w:space="0" w:color="auto"/>
                </w:tcBorders>
                <w:shd w:val="clear" w:color="auto" w:fill="auto"/>
                <w:vAlign w:val="center"/>
              </w:tcPr>
              <w:p w14:paraId="621FE43B" w14:textId="77777777" w:rsidR="002D0AE7" w:rsidRDefault="00333EBB">
                <w:pPr>
                  <w:ind w:right="-16"/>
                  <w:jc w:val="center"/>
                  <w:rPr>
                    <w:rFonts w:cs="Arial" w:hint="eastAsia"/>
                    <w:bCs/>
                    <w:color w:val="000000" w:themeColor="text1"/>
                    <w:sz w:val="21"/>
                  </w:rPr>
                </w:pPr>
                <w:r>
                  <w:rPr>
                    <w:rFonts w:cs="Arial" w:hint="eastAsia"/>
                    <w:color w:val="000000" w:themeColor="text1"/>
                    <w:sz w:val="21"/>
                    <w:lang w:val="en-GB"/>
                  </w:rPr>
                  <w:t>期末少数股东权益余额</w:t>
                </w:r>
              </w:p>
            </w:tc>
          </w:sdtContent>
        </w:sdt>
      </w:tr>
      <w:tr w:rsidR="002D0AE7" w14:paraId="69A0B52B" w14:textId="77777777">
        <w:trPr>
          <w:jc w:val="center"/>
        </w:trPr>
        <w:tc>
          <w:tcPr>
            <w:tcW w:w="2141" w:type="pct"/>
            <w:tcBorders>
              <w:top w:val="single" w:sz="6" w:space="0" w:color="auto"/>
              <w:left w:val="single" w:sz="4" w:space="0" w:color="auto"/>
              <w:bottom w:val="single" w:sz="4" w:space="0" w:color="auto"/>
              <w:right w:val="single" w:sz="6" w:space="0" w:color="auto"/>
            </w:tcBorders>
            <w:vAlign w:val="center"/>
          </w:tcPr>
          <w:p w14:paraId="607F4A5B" w14:textId="77777777" w:rsidR="002D0AE7" w:rsidRDefault="00333EBB">
            <w:pPr>
              <w:rPr>
                <w:rFonts w:hint="eastAsia"/>
                <w:sz w:val="21"/>
              </w:rPr>
            </w:pPr>
            <w:r>
              <w:rPr>
                <w:sz w:val="21"/>
              </w:rPr>
              <w:t>天津市天发药业进出口有限公司</w:t>
            </w:r>
          </w:p>
        </w:tc>
        <w:tc>
          <w:tcPr>
            <w:tcW w:w="605" w:type="pct"/>
            <w:tcBorders>
              <w:top w:val="single" w:sz="6" w:space="0" w:color="auto"/>
              <w:left w:val="single" w:sz="6" w:space="0" w:color="auto"/>
              <w:bottom w:val="single" w:sz="4" w:space="0" w:color="auto"/>
              <w:right w:val="single" w:sz="6" w:space="0" w:color="auto"/>
            </w:tcBorders>
            <w:vAlign w:val="center"/>
          </w:tcPr>
          <w:p w14:paraId="0E547561" w14:textId="77777777" w:rsidR="002D0AE7" w:rsidRDefault="00333EBB">
            <w:pPr>
              <w:jc w:val="right"/>
              <w:rPr>
                <w:rFonts w:ascii="Times New Roman" w:hAnsi="Times New Roman" w:cs="Times New Roman"/>
                <w:sz w:val="21"/>
              </w:rPr>
            </w:pPr>
            <w:r>
              <w:rPr>
                <w:rFonts w:ascii="Times New Roman" w:hAnsi="Times New Roman" w:cs="Times New Roman"/>
                <w:sz w:val="21"/>
              </w:rPr>
              <w:t>10</w:t>
            </w:r>
          </w:p>
        </w:tc>
        <w:tc>
          <w:tcPr>
            <w:tcW w:w="752" w:type="pct"/>
            <w:tcBorders>
              <w:top w:val="single" w:sz="6" w:space="0" w:color="auto"/>
              <w:left w:val="single" w:sz="6" w:space="0" w:color="auto"/>
              <w:bottom w:val="single" w:sz="4" w:space="0" w:color="auto"/>
              <w:right w:val="single" w:sz="6" w:space="0" w:color="auto"/>
            </w:tcBorders>
            <w:vAlign w:val="center"/>
          </w:tcPr>
          <w:p w14:paraId="5927C86D" w14:textId="77777777" w:rsidR="002D0AE7" w:rsidRDefault="00333EBB">
            <w:pPr>
              <w:jc w:val="right"/>
              <w:rPr>
                <w:rFonts w:ascii="Times New Roman" w:hAnsi="Times New Roman" w:cs="Times New Roman"/>
                <w:sz w:val="21"/>
              </w:rPr>
            </w:pPr>
            <w:r>
              <w:rPr>
                <w:rFonts w:ascii="Times New Roman" w:hAnsi="Times New Roman" w:cs="Times New Roman"/>
                <w:sz w:val="21"/>
              </w:rPr>
              <w:t>53,324.38</w:t>
            </w:r>
          </w:p>
        </w:tc>
        <w:tc>
          <w:tcPr>
            <w:tcW w:w="643" w:type="pct"/>
            <w:tcBorders>
              <w:top w:val="single" w:sz="6" w:space="0" w:color="auto"/>
              <w:left w:val="single" w:sz="6" w:space="0" w:color="auto"/>
              <w:bottom w:val="single" w:sz="4" w:space="0" w:color="auto"/>
              <w:right w:val="single" w:sz="6" w:space="0" w:color="auto"/>
            </w:tcBorders>
            <w:vAlign w:val="center"/>
          </w:tcPr>
          <w:p w14:paraId="6640F4A8"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c>
          <w:tcPr>
            <w:tcW w:w="858" w:type="pct"/>
            <w:tcBorders>
              <w:top w:val="single" w:sz="6" w:space="0" w:color="auto"/>
              <w:left w:val="single" w:sz="6" w:space="0" w:color="auto"/>
              <w:bottom w:val="single" w:sz="4" w:space="0" w:color="auto"/>
              <w:right w:val="single" w:sz="4" w:space="0" w:color="auto"/>
            </w:tcBorders>
            <w:vAlign w:val="center"/>
          </w:tcPr>
          <w:p w14:paraId="64F6C2EC" w14:textId="77777777" w:rsidR="002D0AE7" w:rsidRDefault="00333EBB">
            <w:pPr>
              <w:jc w:val="right"/>
              <w:rPr>
                <w:rFonts w:ascii="Times New Roman" w:hAnsi="Times New Roman" w:cs="Times New Roman"/>
                <w:sz w:val="21"/>
              </w:rPr>
            </w:pPr>
            <w:r>
              <w:rPr>
                <w:rFonts w:ascii="Times New Roman" w:hAnsi="Times New Roman" w:cs="Times New Roman"/>
                <w:sz w:val="21"/>
              </w:rPr>
              <w:t>21,127,504.01</w:t>
            </w:r>
          </w:p>
        </w:tc>
      </w:tr>
      <w:tr w:rsidR="002D0AE7" w14:paraId="060ED705" w14:textId="77777777">
        <w:trPr>
          <w:jc w:val="center"/>
        </w:trPr>
        <w:tc>
          <w:tcPr>
            <w:tcW w:w="2141" w:type="pct"/>
            <w:tcBorders>
              <w:top w:val="single" w:sz="6" w:space="0" w:color="auto"/>
              <w:left w:val="single" w:sz="4" w:space="0" w:color="auto"/>
              <w:bottom w:val="single" w:sz="4" w:space="0" w:color="auto"/>
              <w:right w:val="single" w:sz="6" w:space="0" w:color="auto"/>
            </w:tcBorders>
            <w:vAlign w:val="center"/>
          </w:tcPr>
          <w:p w14:paraId="55531FDE" w14:textId="77777777" w:rsidR="002D0AE7" w:rsidRDefault="00333EBB">
            <w:pPr>
              <w:rPr>
                <w:rFonts w:hint="eastAsia"/>
                <w:sz w:val="21"/>
              </w:rPr>
            </w:pPr>
            <w:r>
              <w:rPr>
                <w:sz w:val="21"/>
              </w:rPr>
              <w:t>津药和平（天津）制药有限公司（合并）</w:t>
            </w:r>
          </w:p>
        </w:tc>
        <w:tc>
          <w:tcPr>
            <w:tcW w:w="605" w:type="pct"/>
            <w:tcBorders>
              <w:top w:val="single" w:sz="6" w:space="0" w:color="auto"/>
              <w:left w:val="single" w:sz="6" w:space="0" w:color="auto"/>
              <w:bottom w:val="single" w:sz="4" w:space="0" w:color="auto"/>
              <w:right w:val="single" w:sz="6" w:space="0" w:color="auto"/>
            </w:tcBorders>
            <w:vAlign w:val="center"/>
          </w:tcPr>
          <w:p w14:paraId="70FA5B0A" w14:textId="77777777" w:rsidR="002D0AE7" w:rsidRDefault="00333EBB">
            <w:pPr>
              <w:jc w:val="right"/>
              <w:rPr>
                <w:rFonts w:ascii="Times New Roman" w:hAnsi="Times New Roman" w:cs="Times New Roman"/>
                <w:sz w:val="21"/>
              </w:rPr>
            </w:pPr>
            <w:r>
              <w:rPr>
                <w:rFonts w:ascii="Times New Roman" w:hAnsi="Times New Roman" w:cs="Times New Roman"/>
                <w:sz w:val="21"/>
              </w:rPr>
              <w:t>38</w:t>
            </w:r>
          </w:p>
        </w:tc>
        <w:tc>
          <w:tcPr>
            <w:tcW w:w="752" w:type="pct"/>
            <w:tcBorders>
              <w:top w:val="single" w:sz="6" w:space="0" w:color="auto"/>
              <w:left w:val="single" w:sz="6" w:space="0" w:color="auto"/>
              <w:bottom w:val="single" w:sz="4" w:space="0" w:color="auto"/>
              <w:right w:val="single" w:sz="6" w:space="0" w:color="auto"/>
            </w:tcBorders>
            <w:vAlign w:val="center"/>
          </w:tcPr>
          <w:p w14:paraId="4F839534" w14:textId="77777777" w:rsidR="002D0AE7" w:rsidRDefault="00333EBB">
            <w:pPr>
              <w:jc w:val="right"/>
              <w:rPr>
                <w:rFonts w:ascii="Times New Roman" w:hAnsi="Times New Roman" w:cs="Times New Roman"/>
                <w:sz w:val="21"/>
              </w:rPr>
            </w:pPr>
            <w:r>
              <w:rPr>
                <w:rFonts w:ascii="Times New Roman" w:hAnsi="Times New Roman" w:cs="Times New Roman"/>
                <w:sz w:val="21"/>
              </w:rPr>
              <w:t>20,329,692.88</w:t>
            </w:r>
          </w:p>
        </w:tc>
        <w:tc>
          <w:tcPr>
            <w:tcW w:w="643" w:type="pct"/>
            <w:tcBorders>
              <w:top w:val="single" w:sz="6" w:space="0" w:color="auto"/>
              <w:left w:val="single" w:sz="6" w:space="0" w:color="auto"/>
              <w:bottom w:val="single" w:sz="4" w:space="0" w:color="auto"/>
              <w:right w:val="single" w:sz="6" w:space="0" w:color="auto"/>
            </w:tcBorders>
            <w:vAlign w:val="center"/>
          </w:tcPr>
          <w:p w14:paraId="05FFCE6D"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c>
          <w:tcPr>
            <w:tcW w:w="858" w:type="pct"/>
            <w:tcBorders>
              <w:top w:val="single" w:sz="6" w:space="0" w:color="auto"/>
              <w:left w:val="single" w:sz="6" w:space="0" w:color="auto"/>
              <w:bottom w:val="single" w:sz="4" w:space="0" w:color="auto"/>
              <w:right w:val="single" w:sz="4" w:space="0" w:color="auto"/>
            </w:tcBorders>
            <w:vAlign w:val="center"/>
          </w:tcPr>
          <w:p w14:paraId="419ED99B" w14:textId="77777777" w:rsidR="002D0AE7" w:rsidRDefault="00333EBB">
            <w:pPr>
              <w:jc w:val="right"/>
              <w:rPr>
                <w:rFonts w:ascii="Times New Roman" w:hAnsi="Times New Roman" w:cs="Times New Roman"/>
                <w:sz w:val="21"/>
              </w:rPr>
            </w:pPr>
            <w:r>
              <w:rPr>
                <w:rFonts w:ascii="Times New Roman" w:hAnsi="Times New Roman" w:cs="Times New Roman"/>
                <w:sz w:val="21"/>
              </w:rPr>
              <w:t>498,861,012.11</w:t>
            </w:r>
          </w:p>
        </w:tc>
      </w:tr>
      <w:tr w:rsidR="002D0AE7" w14:paraId="2083E291" w14:textId="77777777">
        <w:trPr>
          <w:jc w:val="center"/>
        </w:trPr>
        <w:tc>
          <w:tcPr>
            <w:tcW w:w="2141" w:type="pct"/>
            <w:tcBorders>
              <w:top w:val="single" w:sz="6" w:space="0" w:color="auto"/>
              <w:left w:val="single" w:sz="4" w:space="0" w:color="auto"/>
              <w:bottom w:val="single" w:sz="4" w:space="0" w:color="auto"/>
              <w:right w:val="single" w:sz="6" w:space="0" w:color="auto"/>
            </w:tcBorders>
            <w:vAlign w:val="center"/>
          </w:tcPr>
          <w:p w14:paraId="025B87C7" w14:textId="77777777" w:rsidR="002D0AE7" w:rsidRDefault="00333EBB">
            <w:pPr>
              <w:rPr>
                <w:rFonts w:hint="eastAsia"/>
                <w:sz w:val="21"/>
              </w:rPr>
            </w:pPr>
            <w:r>
              <w:rPr>
                <w:sz w:val="21"/>
              </w:rPr>
              <w:t>天津津药环境科技有限公司</w:t>
            </w:r>
          </w:p>
        </w:tc>
        <w:tc>
          <w:tcPr>
            <w:tcW w:w="605" w:type="pct"/>
            <w:tcBorders>
              <w:top w:val="single" w:sz="6" w:space="0" w:color="auto"/>
              <w:left w:val="single" w:sz="6" w:space="0" w:color="auto"/>
              <w:bottom w:val="single" w:sz="4" w:space="0" w:color="auto"/>
              <w:right w:val="single" w:sz="6" w:space="0" w:color="auto"/>
            </w:tcBorders>
            <w:vAlign w:val="center"/>
          </w:tcPr>
          <w:p w14:paraId="0C74902C" w14:textId="77777777" w:rsidR="002D0AE7" w:rsidRDefault="00333EBB">
            <w:pPr>
              <w:jc w:val="right"/>
              <w:rPr>
                <w:rFonts w:ascii="Times New Roman" w:hAnsi="Times New Roman" w:cs="Times New Roman"/>
                <w:sz w:val="21"/>
              </w:rPr>
            </w:pPr>
            <w:r>
              <w:rPr>
                <w:rFonts w:ascii="Times New Roman" w:hAnsi="Times New Roman" w:cs="Times New Roman"/>
                <w:sz w:val="21"/>
              </w:rPr>
              <w:t>23.89</w:t>
            </w:r>
          </w:p>
        </w:tc>
        <w:tc>
          <w:tcPr>
            <w:tcW w:w="752" w:type="pct"/>
            <w:tcBorders>
              <w:top w:val="single" w:sz="6" w:space="0" w:color="auto"/>
              <w:left w:val="single" w:sz="6" w:space="0" w:color="auto"/>
              <w:bottom w:val="single" w:sz="4" w:space="0" w:color="auto"/>
              <w:right w:val="single" w:sz="6" w:space="0" w:color="auto"/>
            </w:tcBorders>
            <w:vAlign w:val="center"/>
          </w:tcPr>
          <w:p w14:paraId="6ECBA846" w14:textId="77777777" w:rsidR="002D0AE7" w:rsidRDefault="00333EBB">
            <w:pPr>
              <w:jc w:val="right"/>
              <w:rPr>
                <w:rFonts w:ascii="Times New Roman" w:hAnsi="Times New Roman" w:cs="Times New Roman"/>
                <w:sz w:val="21"/>
              </w:rPr>
            </w:pPr>
            <w:r>
              <w:rPr>
                <w:rFonts w:ascii="Times New Roman" w:hAnsi="Times New Roman" w:cs="Times New Roman"/>
                <w:sz w:val="21"/>
              </w:rPr>
              <w:t>137,309.66</w:t>
            </w:r>
          </w:p>
        </w:tc>
        <w:tc>
          <w:tcPr>
            <w:tcW w:w="643" w:type="pct"/>
            <w:tcBorders>
              <w:top w:val="single" w:sz="6" w:space="0" w:color="auto"/>
              <w:left w:val="single" w:sz="6" w:space="0" w:color="auto"/>
              <w:bottom w:val="single" w:sz="4" w:space="0" w:color="auto"/>
              <w:right w:val="single" w:sz="6" w:space="0" w:color="auto"/>
            </w:tcBorders>
            <w:vAlign w:val="center"/>
          </w:tcPr>
          <w:p w14:paraId="1603706C"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c>
          <w:tcPr>
            <w:tcW w:w="858" w:type="pct"/>
            <w:tcBorders>
              <w:top w:val="single" w:sz="6" w:space="0" w:color="auto"/>
              <w:left w:val="single" w:sz="6" w:space="0" w:color="auto"/>
              <w:bottom w:val="single" w:sz="4" w:space="0" w:color="auto"/>
              <w:right w:val="single" w:sz="4" w:space="0" w:color="auto"/>
            </w:tcBorders>
            <w:vAlign w:val="center"/>
          </w:tcPr>
          <w:p w14:paraId="1CFC9243" w14:textId="77777777" w:rsidR="002D0AE7" w:rsidRDefault="00333EBB">
            <w:pPr>
              <w:jc w:val="right"/>
              <w:rPr>
                <w:rFonts w:ascii="Times New Roman" w:hAnsi="Times New Roman" w:cs="Times New Roman"/>
                <w:sz w:val="21"/>
              </w:rPr>
            </w:pPr>
            <w:r>
              <w:rPr>
                <w:rFonts w:ascii="Times New Roman" w:hAnsi="Times New Roman" w:cs="Times New Roman"/>
                <w:sz w:val="21"/>
              </w:rPr>
              <w:t>187,874,976.97</w:t>
            </w:r>
          </w:p>
        </w:tc>
      </w:tr>
      <w:tr w:rsidR="002D0AE7" w14:paraId="7128F333" w14:textId="77777777">
        <w:trPr>
          <w:jc w:val="center"/>
        </w:trPr>
        <w:tc>
          <w:tcPr>
            <w:tcW w:w="2141" w:type="pct"/>
            <w:tcBorders>
              <w:top w:val="single" w:sz="6" w:space="0" w:color="auto"/>
              <w:left w:val="single" w:sz="4" w:space="0" w:color="auto"/>
              <w:bottom w:val="single" w:sz="4" w:space="0" w:color="auto"/>
              <w:right w:val="single" w:sz="6" w:space="0" w:color="auto"/>
            </w:tcBorders>
            <w:vAlign w:val="center"/>
          </w:tcPr>
          <w:p w14:paraId="7E97A06D" w14:textId="77777777" w:rsidR="002D0AE7" w:rsidRDefault="00333EBB">
            <w:pPr>
              <w:rPr>
                <w:rFonts w:hint="eastAsia"/>
                <w:sz w:val="21"/>
              </w:rPr>
            </w:pPr>
            <w:r>
              <w:rPr>
                <w:sz w:val="21"/>
              </w:rPr>
              <w:t>湖北津药药业股份有限公司（合并）</w:t>
            </w:r>
          </w:p>
        </w:tc>
        <w:tc>
          <w:tcPr>
            <w:tcW w:w="605" w:type="pct"/>
            <w:tcBorders>
              <w:top w:val="single" w:sz="6" w:space="0" w:color="auto"/>
              <w:left w:val="single" w:sz="6" w:space="0" w:color="auto"/>
              <w:bottom w:val="single" w:sz="4" w:space="0" w:color="auto"/>
              <w:right w:val="single" w:sz="6" w:space="0" w:color="auto"/>
            </w:tcBorders>
            <w:vAlign w:val="center"/>
          </w:tcPr>
          <w:p w14:paraId="19F267F1" w14:textId="77777777" w:rsidR="002D0AE7" w:rsidRDefault="00333EBB">
            <w:pPr>
              <w:jc w:val="right"/>
              <w:rPr>
                <w:rFonts w:ascii="Times New Roman" w:hAnsi="Times New Roman" w:cs="Times New Roman"/>
                <w:sz w:val="21"/>
              </w:rPr>
            </w:pPr>
            <w:r>
              <w:rPr>
                <w:rFonts w:ascii="Times New Roman" w:hAnsi="Times New Roman" w:cs="Times New Roman"/>
                <w:sz w:val="21"/>
              </w:rPr>
              <w:t>49</w:t>
            </w:r>
          </w:p>
        </w:tc>
        <w:tc>
          <w:tcPr>
            <w:tcW w:w="752" w:type="pct"/>
            <w:tcBorders>
              <w:top w:val="single" w:sz="6" w:space="0" w:color="auto"/>
              <w:left w:val="single" w:sz="6" w:space="0" w:color="auto"/>
              <w:bottom w:val="single" w:sz="4" w:space="0" w:color="auto"/>
              <w:right w:val="single" w:sz="6" w:space="0" w:color="auto"/>
            </w:tcBorders>
            <w:vAlign w:val="center"/>
          </w:tcPr>
          <w:p w14:paraId="038A4339" w14:textId="77777777" w:rsidR="002D0AE7" w:rsidRDefault="00333EBB">
            <w:pPr>
              <w:jc w:val="right"/>
              <w:rPr>
                <w:rFonts w:ascii="Times New Roman" w:hAnsi="Times New Roman" w:cs="Times New Roman"/>
                <w:sz w:val="21"/>
              </w:rPr>
            </w:pPr>
            <w:r>
              <w:rPr>
                <w:rFonts w:ascii="Times New Roman" w:hAnsi="Times New Roman" w:cs="Times New Roman"/>
                <w:sz w:val="21"/>
              </w:rPr>
              <w:t>14,862,455.78</w:t>
            </w:r>
          </w:p>
        </w:tc>
        <w:tc>
          <w:tcPr>
            <w:tcW w:w="643" w:type="pct"/>
            <w:tcBorders>
              <w:top w:val="single" w:sz="6" w:space="0" w:color="auto"/>
              <w:left w:val="single" w:sz="6" w:space="0" w:color="auto"/>
              <w:bottom w:val="single" w:sz="4" w:space="0" w:color="auto"/>
              <w:right w:val="single" w:sz="6" w:space="0" w:color="auto"/>
            </w:tcBorders>
            <w:vAlign w:val="center"/>
          </w:tcPr>
          <w:p w14:paraId="6A419DCC" w14:textId="77777777" w:rsidR="002D0AE7" w:rsidRDefault="00333EBB">
            <w:pPr>
              <w:jc w:val="right"/>
              <w:rPr>
                <w:rFonts w:ascii="Times New Roman" w:hAnsi="Times New Roman" w:cs="Times New Roman"/>
                <w:sz w:val="21"/>
              </w:rPr>
            </w:pPr>
            <w:r>
              <w:rPr>
                <w:rFonts w:ascii="Times New Roman" w:hAnsi="Times New Roman" w:cs="Times New Roman"/>
                <w:sz w:val="21"/>
              </w:rPr>
              <w:t>0.00</w:t>
            </w:r>
          </w:p>
        </w:tc>
        <w:tc>
          <w:tcPr>
            <w:tcW w:w="858" w:type="pct"/>
            <w:tcBorders>
              <w:top w:val="single" w:sz="6" w:space="0" w:color="auto"/>
              <w:left w:val="single" w:sz="6" w:space="0" w:color="auto"/>
              <w:bottom w:val="single" w:sz="4" w:space="0" w:color="auto"/>
              <w:right w:val="single" w:sz="4" w:space="0" w:color="auto"/>
            </w:tcBorders>
            <w:vAlign w:val="center"/>
          </w:tcPr>
          <w:p w14:paraId="724F8EDF" w14:textId="77777777" w:rsidR="002D0AE7" w:rsidRDefault="00333EBB">
            <w:pPr>
              <w:jc w:val="right"/>
              <w:rPr>
                <w:rFonts w:ascii="Times New Roman" w:hAnsi="Times New Roman" w:cs="Times New Roman"/>
                <w:sz w:val="21"/>
              </w:rPr>
            </w:pPr>
            <w:r>
              <w:rPr>
                <w:rFonts w:ascii="Times New Roman" w:hAnsi="Times New Roman" w:cs="Times New Roman"/>
                <w:sz w:val="21"/>
              </w:rPr>
              <w:t>126,828,859.23</w:t>
            </w:r>
          </w:p>
        </w:tc>
      </w:tr>
    </w:tbl>
    <w:p w14:paraId="4B06E4D6" w14:textId="77777777" w:rsidR="002D0AE7" w:rsidRDefault="002D0AE7">
      <w:pPr>
        <w:pStyle w:val="4"/>
        <w:tabs>
          <w:tab w:val="left" w:pos="644"/>
        </w:tabs>
        <w:rPr>
          <w:rFonts w:ascii="宋体" w:hAnsi="宋体" w:cs="Arial" w:hint="eastAsia"/>
          <w:color w:val="000000" w:themeColor="text1"/>
          <w:szCs w:val="21"/>
        </w:rPr>
        <w:sectPr w:rsidR="002D0AE7">
          <w:pgSz w:w="11906" w:h="16838"/>
          <w:pgMar w:top="1440" w:right="1797" w:bottom="1525" w:left="1276" w:header="856" w:footer="992" w:gutter="0"/>
          <w:cols w:space="425"/>
          <w:docGrid w:linePitch="312"/>
        </w:sectPr>
      </w:pPr>
    </w:p>
    <w:p w14:paraId="6285C294" w14:textId="77777777" w:rsidR="002D0AE7" w:rsidRDefault="00333EBB">
      <w:pPr>
        <w:pStyle w:val="4"/>
        <w:numPr>
          <w:ilvl w:val="3"/>
          <w:numId w:val="75"/>
        </w:numPr>
        <w:tabs>
          <w:tab w:val="left" w:pos="644"/>
        </w:tabs>
        <w:rPr>
          <w:rFonts w:ascii="宋体" w:hAnsi="宋体" w:cs="Arial" w:hint="eastAsia"/>
          <w:color w:val="000000" w:themeColor="text1"/>
          <w:szCs w:val="21"/>
        </w:rPr>
      </w:pPr>
      <w:r>
        <w:rPr>
          <w:rFonts w:ascii="宋体" w:hAnsi="宋体" w:cs="Arial" w:hint="eastAsia"/>
          <w:color w:val="000000" w:themeColor="text1"/>
          <w:szCs w:val="21"/>
        </w:rPr>
        <w:lastRenderedPageBreak/>
        <w:t>重要非全资子公司的主要财务信息</w:t>
      </w:r>
    </w:p>
    <w:sdt>
      <w:sdtPr>
        <w:rPr>
          <w:color w:val="000000" w:themeColor="text1"/>
        </w:rPr>
        <w:alias w:val="是否适用：重要非全资子公司的主要财务信息[双击切换]"/>
        <w:tag w:val="_GBC_c10a7c42e39b4ac9a711e2e9d367799e"/>
        <w:id w:val="154349229"/>
        <w:placeholder>
          <w:docPart w:val="GBC22222222222222222222222222222"/>
        </w:placeholder>
      </w:sdtPr>
      <w:sdtEndPr/>
      <w:sdtContent>
        <w:p w14:paraId="408683A1"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0374857E"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重要非全资子公司的主要财务信息"/>
          <w:tag w:val="_GBC_ba918360b15748859fb63cacad1f617d"/>
          <w:id w:val="6083831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重要非全资子公司的主要财务信息"/>
          <w:tag w:val="_GBC_af5cc4f1e7a74e3d8f9c9fea25fdf05f"/>
          <w:id w:val="-144167756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92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09"/>
        <w:gridCol w:w="1196"/>
        <w:gridCol w:w="1275"/>
        <w:gridCol w:w="1276"/>
        <w:gridCol w:w="1276"/>
        <w:gridCol w:w="1276"/>
        <w:gridCol w:w="1276"/>
        <w:gridCol w:w="1279"/>
        <w:gridCol w:w="1276"/>
        <w:gridCol w:w="1276"/>
        <w:gridCol w:w="1279"/>
        <w:gridCol w:w="1276"/>
        <w:gridCol w:w="1269"/>
      </w:tblGrid>
      <w:tr w:rsidR="002D0AE7" w14:paraId="7632D3F9" w14:textId="77777777">
        <w:trPr>
          <w:trHeight w:val="74"/>
          <w:jc w:val="center"/>
        </w:trPr>
        <w:sdt>
          <w:sdtPr>
            <w:rPr>
              <w:color w:val="000000" w:themeColor="text1"/>
              <w:sz w:val="21"/>
              <w:szCs w:val="21"/>
            </w:rPr>
            <w:tag w:val="_PLD_e65ae60c1beb4e5aa4e9c5250ffb188a"/>
            <w:id w:val="624047134"/>
          </w:sdtPr>
          <w:sdtEndPr/>
          <w:sdtContent>
            <w:tc>
              <w:tcPr>
                <w:tcW w:w="368"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2831E99F" w14:textId="77777777" w:rsidR="002D0AE7" w:rsidRDefault="00333EBB">
                <w:pPr>
                  <w:ind w:right="-16"/>
                  <w:jc w:val="center"/>
                  <w:rPr>
                    <w:rFonts w:cs="Arial" w:hint="eastAsia"/>
                    <w:bCs/>
                    <w:color w:val="000000" w:themeColor="text1"/>
                    <w:sz w:val="21"/>
                    <w:szCs w:val="21"/>
                  </w:rPr>
                </w:pPr>
                <w:r>
                  <w:rPr>
                    <w:rFonts w:cs="Arial" w:hint="eastAsia"/>
                    <w:color w:val="000000" w:themeColor="text1"/>
                    <w:sz w:val="21"/>
                    <w:szCs w:val="21"/>
                    <w:lang w:val="en-GB"/>
                  </w:rPr>
                  <w:t>子公司名称</w:t>
                </w:r>
              </w:p>
            </w:tc>
          </w:sdtContent>
        </w:sdt>
        <w:sdt>
          <w:sdtPr>
            <w:rPr>
              <w:color w:val="000000" w:themeColor="text1"/>
              <w:sz w:val="21"/>
              <w:szCs w:val="21"/>
            </w:rPr>
            <w:tag w:val="_PLD_878e21e6ce5e466eb427e7200cc9e5bb"/>
            <w:id w:val="-1370376415"/>
          </w:sdtPr>
          <w:sdtEndPr/>
          <w:sdtContent>
            <w:tc>
              <w:tcPr>
                <w:tcW w:w="2693" w:type="pct"/>
                <w:gridSpan w:val="7"/>
                <w:tcBorders>
                  <w:top w:val="single" w:sz="4" w:space="0" w:color="auto"/>
                  <w:left w:val="single" w:sz="6" w:space="0" w:color="auto"/>
                  <w:bottom w:val="single" w:sz="6" w:space="0" w:color="auto"/>
                  <w:right w:val="single" w:sz="6" w:space="0" w:color="auto"/>
                </w:tcBorders>
                <w:shd w:val="clear" w:color="auto" w:fill="auto"/>
                <w:vAlign w:val="center"/>
              </w:tcPr>
              <w:p w14:paraId="1DDC511B" w14:textId="77777777" w:rsidR="002D0AE7" w:rsidRDefault="00333EBB">
                <w:pPr>
                  <w:ind w:right="-16"/>
                  <w:jc w:val="center"/>
                  <w:rPr>
                    <w:rFonts w:cs="Arial" w:hint="eastAsia"/>
                    <w:bCs/>
                    <w:color w:val="000000" w:themeColor="text1"/>
                    <w:sz w:val="21"/>
                    <w:szCs w:val="21"/>
                  </w:rPr>
                </w:pPr>
                <w:r>
                  <w:rPr>
                    <w:rFonts w:cs="Arial" w:hint="eastAsia"/>
                    <w:color w:val="000000" w:themeColor="text1"/>
                    <w:sz w:val="21"/>
                    <w:szCs w:val="21"/>
                    <w:lang w:val="en-GB"/>
                  </w:rPr>
                  <w:t>期末余额</w:t>
                </w:r>
              </w:p>
            </w:tc>
          </w:sdtContent>
        </w:sdt>
        <w:sdt>
          <w:sdtPr>
            <w:rPr>
              <w:color w:val="000000" w:themeColor="text1"/>
              <w:sz w:val="21"/>
              <w:szCs w:val="21"/>
            </w:rPr>
            <w:tag w:val="_PLD_86b93e4e78424106874bd84d54fb24df"/>
            <w:id w:val="-955410195"/>
          </w:sdtPr>
          <w:sdtEndPr/>
          <w:sdtContent>
            <w:tc>
              <w:tcPr>
                <w:tcW w:w="1939" w:type="pct"/>
                <w:gridSpan w:val="5"/>
                <w:tcBorders>
                  <w:top w:val="single" w:sz="4" w:space="0" w:color="auto"/>
                  <w:left w:val="single" w:sz="6" w:space="0" w:color="auto"/>
                  <w:bottom w:val="single" w:sz="6" w:space="0" w:color="auto"/>
                  <w:right w:val="single" w:sz="4" w:space="0" w:color="auto"/>
                </w:tcBorders>
                <w:shd w:val="clear" w:color="auto" w:fill="auto"/>
                <w:vAlign w:val="center"/>
              </w:tcPr>
              <w:p w14:paraId="28203235" w14:textId="77777777" w:rsidR="002D0AE7" w:rsidRDefault="00333EBB">
                <w:pPr>
                  <w:ind w:right="-16"/>
                  <w:jc w:val="center"/>
                  <w:rPr>
                    <w:rFonts w:cs="Arial" w:hint="eastAsia"/>
                    <w:bCs/>
                    <w:color w:val="000000" w:themeColor="text1"/>
                    <w:sz w:val="21"/>
                    <w:szCs w:val="21"/>
                  </w:rPr>
                </w:pPr>
                <w:r>
                  <w:rPr>
                    <w:rFonts w:cs="Arial" w:hint="eastAsia"/>
                    <w:color w:val="000000" w:themeColor="text1"/>
                    <w:sz w:val="21"/>
                    <w:szCs w:val="21"/>
                    <w:lang w:val="en-GB"/>
                  </w:rPr>
                  <w:t>期初余额</w:t>
                </w:r>
              </w:p>
            </w:tc>
          </w:sdtContent>
        </w:sdt>
      </w:tr>
      <w:tr w:rsidR="002D0AE7" w14:paraId="06F4215B" w14:textId="77777777">
        <w:trPr>
          <w:trHeight w:val="403"/>
          <w:jc w:val="center"/>
        </w:trPr>
        <w:tc>
          <w:tcPr>
            <w:tcW w:w="368" w:type="pct"/>
            <w:vMerge/>
            <w:tcBorders>
              <w:top w:val="single" w:sz="4" w:space="0" w:color="auto"/>
              <w:left w:val="single" w:sz="4" w:space="0" w:color="auto"/>
              <w:bottom w:val="single" w:sz="6" w:space="0" w:color="auto"/>
              <w:right w:val="single" w:sz="6" w:space="0" w:color="auto"/>
            </w:tcBorders>
            <w:shd w:val="clear" w:color="auto" w:fill="auto"/>
            <w:vAlign w:val="center"/>
          </w:tcPr>
          <w:p w14:paraId="16FAE48E" w14:textId="77777777" w:rsidR="002D0AE7" w:rsidRDefault="002D0AE7">
            <w:pPr>
              <w:rPr>
                <w:rFonts w:cs="Arial" w:hint="eastAsia"/>
                <w:bCs/>
                <w:color w:val="000000" w:themeColor="text1"/>
                <w:sz w:val="21"/>
                <w:szCs w:val="21"/>
              </w:rPr>
            </w:pPr>
          </w:p>
        </w:tc>
        <w:sdt>
          <w:sdtPr>
            <w:rPr>
              <w:color w:val="000000" w:themeColor="text1"/>
              <w:sz w:val="21"/>
              <w:szCs w:val="21"/>
            </w:rPr>
            <w:tag w:val="_PLD_0154d63f3f2c482ebe0cf00460d87fbd"/>
            <w:id w:val="279226164"/>
          </w:sdtPr>
          <w:sdtEndPr/>
          <w:sdtContent>
            <w:tc>
              <w:tcPr>
                <w:tcW w:w="364" w:type="pct"/>
                <w:tcBorders>
                  <w:top w:val="single" w:sz="6" w:space="0" w:color="auto"/>
                  <w:left w:val="single" w:sz="6" w:space="0" w:color="auto"/>
                  <w:bottom w:val="single" w:sz="6" w:space="0" w:color="auto"/>
                  <w:right w:val="single" w:sz="6" w:space="0" w:color="auto"/>
                </w:tcBorders>
                <w:shd w:val="clear" w:color="auto" w:fill="auto"/>
                <w:vAlign w:val="center"/>
              </w:tcPr>
              <w:p w14:paraId="321EE10C" w14:textId="77777777" w:rsidR="002D0AE7" w:rsidRDefault="00333EBB">
                <w:pPr>
                  <w:jc w:val="center"/>
                  <w:rPr>
                    <w:rFonts w:cs="Arial" w:hint="eastAsia"/>
                    <w:color w:val="000000" w:themeColor="text1"/>
                    <w:sz w:val="21"/>
                    <w:szCs w:val="21"/>
                  </w:rPr>
                </w:pPr>
                <w:r>
                  <w:rPr>
                    <w:rFonts w:cs="Arial" w:hint="eastAsia"/>
                    <w:color w:val="000000" w:themeColor="text1"/>
                    <w:sz w:val="21"/>
                    <w:szCs w:val="21"/>
                    <w:lang w:val="en-GB"/>
                  </w:rPr>
                  <w:t>流动资产</w:t>
                </w:r>
              </w:p>
            </w:tc>
          </w:sdtContent>
        </w:sdt>
        <w:sdt>
          <w:sdtPr>
            <w:rPr>
              <w:color w:val="000000" w:themeColor="text1"/>
              <w:sz w:val="21"/>
              <w:szCs w:val="21"/>
            </w:rPr>
            <w:tag w:val="_PLD_0f817c02730447aca042c6a931d447e8"/>
            <w:id w:val="-646357428"/>
          </w:sdtPr>
          <w:sdtEndPr/>
          <w:sdtContent>
            <w:tc>
              <w:tcPr>
                <w:tcW w:w="388" w:type="pct"/>
                <w:tcBorders>
                  <w:top w:val="single" w:sz="6" w:space="0" w:color="auto"/>
                  <w:left w:val="single" w:sz="6" w:space="0" w:color="auto"/>
                  <w:bottom w:val="single" w:sz="6" w:space="0" w:color="auto"/>
                  <w:right w:val="single" w:sz="6" w:space="0" w:color="auto"/>
                </w:tcBorders>
                <w:shd w:val="clear" w:color="auto" w:fill="auto"/>
                <w:vAlign w:val="center"/>
              </w:tcPr>
              <w:p w14:paraId="65AC4B72" w14:textId="77777777" w:rsidR="002D0AE7" w:rsidRDefault="00333EBB">
                <w:pPr>
                  <w:ind w:left="-40" w:right="-97"/>
                  <w:jc w:val="center"/>
                  <w:rPr>
                    <w:rFonts w:cs="Arial" w:hint="eastAsia"/>
                    <w:color w:val="000000" w:themeColor="text1"/>
                    <w:sz w:val="21"/>
                    <w:szCs w:val="21"/>
                  </w:rPr>
                </w:pPr>
                <w:r>
                  <w:rPr>
                    <w:rFonts w:cs="Arial" w:hint="eastAsia"/>
                    <w:color w:val="000000" w:themeColor="text1"/>
                    <w:sz w:val="21"/>
                    <w:szCs w:val="21"/>
                    <w:lang w:val="en-GB"/>
                  </w:rPr>
                  <w:t>非流动资产</w:t>
                </w:r>
              </w:p>
            </w:tc>
          </w:sdtContent>
        </w:sdt>
        <w:sdt>
          <w:sdtPr>
            <w:rPr>
              <w:color w:val="000000" w:themeColor="text1"/>
              <w:sz w:val="21"/>
              <w:szCs w:val="21"/>
            </w:rPr>
            <w:tag w:val="_PLD_553e0814e94f491784b88cc5aa7d6adb"/>
            <w:id w:val="-437058410"/>
          </w:sdtPr>
          <w:sdtEndPr/>
          <w:sdtContent>
            <w:tc>
              <w:tcPr>
                <w:tcW w:w="388" w:type="pct"/>
                <w:tcBorders>
                  <w:top w:val="single" w:sz="6" w:space="0" w:color="auto"/>
                  <w:left w:val="single" w:sz="6" w:space="0" w:color="auto"/>
                  <w:bottom w:val="single" w:sz="6" w:space="0" w:color="auto"/>
                  <w:right w:val="single" w:sz="6" w:space="0" w:color="auto"/>
                </w:tcBorders>
                <w:shd w:val="clear" w:color="auto" w:fill="auto"/>
                <w:vAlign w:val="center"/>
              </w:tcPr>
              <w:p w14:paraId="1DD73633" w14:textId="77777777" w:rsidR="002D0AE7" w:rsidRDefault="00333EBB">
                <w:pPr>
                  <w:jc w:val="center"/>
                  <w:rPr>
                    <w:rFonts w:cs="Arial" w:hint="eastAsia"/>
                    <w:color w:val="000000" w:themeColor="text1"/>
                    <w:sz w:val="21"/>
                    <w:szCs w:val="21"/>
                  </w:rPr>
                </w:pPr>
                <w:r>
                  <w:rPr>
                    <w:rFonts w:cs="Arial" w:hint="eastAsia"/>
                    <w:color w:val="000000" w:themeColor="text1"/>
                    <w:sz w:val="21"/>
                    <w:szCs w:val="21"/>
                    <w:lang w:val="en-GB"/>
                  </w:rPr>
                  <w:t>资产合计</w:t>
                </w:r>
              </w:p>
            </w:tc>
          </w:sdtContent>
        </w:sdt>
        <w:sdt>
          <w:sdtPr>
            <w:rPr>
              <w:color w:val="000000" w:themeColor="text1"/>
              <w:sz w:val="21"/>
              <w:szCs w:val="21"/>
            </w:rPr>
            <w:tag w:val="_PLD_3db84901ffa544afb174531f0384a82f"/>
            <w:id w:val="712859444"/>
          </w:sdtPr>
          <w:sdtEndPr/>
          <w:sdtContent>
            <w:tc>
              <w:tcPr>
                <w:tcW w:w="388" w:type="pct"/>
                <w:tcBorders>
                  <w:top w:val="single" w:sz="6" w:space="0" w:color="auto"/>
                  <w:left w:val="single" w:sz="6" w:space="0" w:color="auto"/>
                  <w:bottom w:val="single" w:sz="6" w:space="0" w:color="auto"/>
                  <w:right w:val="single" w:sz="6" w:space="0" w:color="auto"/>
                </w:tcBorders>
                <w:shd w:val="clear" w:color="auto" w:fill="auto"/>
                <w:vAlign w:val="center"/>
              </w:tcPr>
              <w:p w14:paraId="6446F793" w14:textId="77777777" w:rsidR="002D0AE7" w:rsidRDefault="00333EBB">
                <w:pPr>
                  <w:jc w:val="center"/>
                  <w:rPr>
                    <w:rFonts w:cs="Arial" w:hint="eastAsia"/>
                    <w:color w:val="000000" w:themeColor="text1"/>
                    <w:sz w:val="21"/>
                    <w:szCs w:val="21"/>
                  </w:rPr>
                </w:pPr>
                <w:r>
                  <w:rPr>
                    <w:rFonts w:cs="Arial" w:hint="eastAsia"/>
                    <w:color w:val="000000" w:themeColor="text1"/>
                    <w:sz w:val="21"/>
                    <w:szCs w:val="21"/>
                    <w:lang w:val="en-GB"/>
                  </w:rPr>
                  <w:t>流动负债</w:t>
                </w:r>
              </w:p>
            </w:tc>
          </w:sdtContent>
        </w:sdt>
        <w:sdt>
          <w:sdtPr>
            <w:rPr>
              <w:color w:val="000000" w:themeColor="text1"/>
              <w:sz w:val="21"/>
              <w:szCs w:val="21"/>
            </w:rPr>
            <w:tag w:val="_PLD_50c217cc437b4c3496e1aab622fba053"/>
            <w:id w:val="-1608731719"/>
          </w:sdtPr>
          <w:sdtEndPr/>
          <w:sdtContent>
            <w:tc>
              <w:tcPr>
                <w:tcW w:w="388" w:type="pct"/>
                <w:tcBorders>
                  <w:top w:val="single" w:sz="6" w:space="0" w:color="auto"/>
                  <w:left w:val="single" w:sz="6" w:space="0" w:color="auto"/>
                  <w:bottom w:val="single" w:sz="6" w:space="0" w:color="auto"/>
                  <w:right w:val="single" w:sz="6" w:space="0" w:color="auto"/>
                </w:tcBorders>
                <w:shd w:val="clear" w:color="auto" w:fill="auto"/>
                <w:vAlign w:val="center"/>
              </w:tcPr>
              <w:p w14:paraId="1194B353" w14:textId="77777777" w:rsidR="002D0AE7" w:rsidRDefault="00333EBB">
                <w:pPr>
                  <w:ind w:left="-40" w:right="-97"/>
                  <w:jc w:val="center"/>
                  <w:rPr>
                    <w:rFonts w:cs="Arial" w:hint="eastAsia"/>
                    <w:color w:val="000000" w:themeColor="text1"/>
                    <w:sz w:val="21"/>
                    <w:szCs w:val="21"/>
                  </w:rPr>
                </w:pPr>
                <w:r>
                  <w:rPr>
                    <w:rFonts w:cs="Arial" w:hint="eastAsia"/>
                    <w:color w:val="000000" w:themeColor="text1"/>
                    <w:sz w:val="21"/>
                    <w:szCs w:val="21"/>
                    <w:lang w:val="en-GB"/>
                  </w:rPr>
                  <w:t>非流动负债</w:t>
                </w:r>
              </w:p>
            </w:tc>
          </w:sdtContent>
        </w:sdt>
        <w:sdt>
          <w:sdtPr>
            <w:rPr>
              <w:color w:val="000000" w:themeColor="text1"/>
              <w:sz w:val="21"/>
              <w:szCs w:val="21"/>
            </w:rPr>
            <w:tag w:val="_PLD_ccd9a8d3652e4485a763cfb37eb6fa37"/>
            <w:id w:val="678244226"/>
          </w:sdtPr>
          <w:sdtEndPr/>
          <w:sdtContent>
            <w:tc>
              <w:tcPr>
                <w:tcW w:w="388" w:type="pct"/>
                <w:tcBorders>
                  <w:top w:val="single" w:sz="6" w:space="0" w:color="auto"/>
                  <w:left w:val="single" w:sz="6" w:space="0" w:color="auto"/>
                  <w:bottom w:val="single" w:sz="6" w:space="0" w:color="auto"/>
                  <w:right w:val="single" w:sz="6" w:space="0" w:color="auto"/>
                </w:tcBorders>
                <w:shd w:val="clear" w:color="auto" w:fill="auto"/>
                <w:vAlign w:val="center"/>
              </w:tcPr>
              <w:p w14:paraId="10B0205E" w14:textId="77777777" w:rsidR="002D0AE7" w:rsidRDefault="00333EBB">
                <w:pPr>
                  <w:jc w:val="center"/>
                  <w:rPr>
                    <w:rFonts w:cs="Arial" w:hint="eastAsia"/>
                    <w:color w:val="000000" w:themeColor="text1"/>
                    <w:sz w:val="21"/>
                    <w:szCs w:val="21"/>
                  </w:rPr>
                </w:pPr>
                <w:r>
                  <w:rPr>
                    <w:rFonts w:cs="Arial" w:hint="eastAsia"/>
                    <w:color w:val="000000" w:themeColor="text1"/>
                    <w:sz w:val="21"/>
                    <w:szCs w:val="21"/>
                    <w:lang w:val="en-GB"/>
                  </w:rPr>
                  <w:t>负债合计</w:t>
                </w:r>
              </w:p>
            </w:tc>
          </w:sdtContent>
        </w:sdt>
        <w:sdt>
          <w:sdtPr>
            <w:rPr>
              <w:color w:val="000000" w:themeColor="text1"/>
              <w:sz w:val="21"/>
              <w:szCs w:val="21"/>
            </w:rPr>
            <w:tag w:val="_PLD_ec07cd6513b74d49b586125d4b66dd0a"/>
            <w:id w:val="-547682244"/>
          </w:sdtPr>
          <w:sdtEndPr/>
          <w:sdtContent>
            <w:tc>
              <w:tcPr>
                <w:tcW w:w="389" w:type="pct"/>
                <w:tcBorders>
                  <w:top w:val="single" w:sz="6" w:space="0" w:color="auto"/>
                  <w:left w:val="single" w:sz="6" w:space="0" w:color="auto"/>
                  <w:bottom w:val="single" w:sz="6" w:space="0" w:color="auto"/>
                  <w:right w:val="single" w:sz="6" w:space="0" w:color="auto"/>
                </w:tcBorders>
                <w:shd w:val="clear" w:color="auto" w:fill="auto"/>
                <w:vAlign w:val="center"/>
              </w:tcPr>
              <w:p w14:paraId="4FD665E1" w14:textId="77777777" w:rsidR="002D0AE7" w:rsidRDefault="00333EBB">
                <w:pPr>
                  <w:jc w:val="center"/>
                  <w:rPr>
                    <w:rFonts w:cs="Arial" w:hint="eastAsia"/>
                    <w:color w:val="000000" w:themeColor="text1"/>
                    <w:sz w:val="21"/>
                    <w:szCs w:val="21"/>
                  </w:rPr>
                </w:pPr>
                <w:r>
                  <w:rPr>
                    <w:rFonts w:cs="Arial" w:hint="eastAsia"/>
                    <w:color w:val="000000" w:themeColor="text1"/>
                    <w:sz w:val="21"/>
                    <w:szCs w:val="21"/>
                    <w:lang w:val="en-GB"/>
                  </w:rPr>
                  <w:t>流动资产</w:t>
                </w:r>
              </w:p>
            </w:tc>
          </w:sdtContent>
        </w:sdt>
        <w:sdt>
          <w:sdtPr>
            <w:rPr>
              <w:color w:val="000000" w:themeColor="text1"/>
              <w:sz w:val="21"/>
              <w:szCs w:val="21"/>
            </w:rPr>
            <w:tag w:val="_PLD_fb97ce65ab144768b4fb9978546fce37"/>
            <w:id w:val="1003007127"/>
          </w:sdtPr>
          <w:sdtEndPr/>
          <w:sdtContent>
            <w:tc>
              <w:tcPr>
                <w:tcW w:w="388" w:type="pct"/>
                <w:tcBorders>
                  <w:top w:val="single" w:sz="6" w:space="0" w:color="auto"/>
                  <w:left w:val="single" w:sz="6" w:space="0" w:color="auto"/>
                  <w:bottom w:val="single" w:sz="6" w:space="0" w:color="auto"/>
                  <w:right w:val="single" w:sz="6" w:space="0" w:color="auto"/>
                </w:tcBorders>
                <w:shd w:val="clear" w:color="auto" w:fill="auto"/>
                <w:vAlign w:val="center"/>
              </w:tcPr>
              <w:p w14:paraId="6F0F3743" w14:textId="77777777" w:rsidR="002D0AE7" w:rsidRDefault="00333EBB">
                <w:pPr>
                  <w:ind w:left="-40" w:right="-97"/>
                  <w:jc w:val="center"/>
                  <w:rPr>
                    <w:rFonts w:cs="Arial" w:hint="eastAsia"/>
                    <w:color w:val="000000" w:themeColor="text1"/>
                    <w:sz w:val="21"/>
                    <w:szCs w:val="21"/>
                  </w:rPr>
                </w:pPr>
                <w:r>
                  <w:rPr>
                    <w:rFonts w:cs="Arial" w:hint="eastAsia"/>
                    <w:color w:val="000000" w:themeColor="text1"/>
                    <w:sz w:val="21"/>
                    <w:szCs w:val="21"/>
                    <w:lang w:val="en-GB"/>
                  </w:rPr>
                  <w:t>非流动资产</w:t>
                </w:r>
              </w:p>
            </w:tc>
          </w:sdtContent>
        </w:sdt>
        <w:sdt>
          <w:sdtPr>
            <w:rPr>
              <w:color w:val="000000" w:themeColor="text1"/>
              <w:sz w:val="21"/>
              <w:szCs w:val="21"/>
            </w:rPr>
            <w:tag w:val="_PLD_412845ecfd2e45e8ae03b43cf8ca32f4"/>
            <w:id w:val="2025436231"/>
          </w:sdtPr>
          <w:sdtEndPr/>
          <w:sdtContent>
            <w:tc>
              <w:tcPr>
                <w:tcW w:w="388" w:type="pct"/>
                <w:tcBorders>
                  <w:top w:val="single" w:sz="6" w:space="0" w:color="auto"/>
                  <w:left w:val="single" w:sz="6" w:space="0" w:color="auto"/>
                  <w:bottom w:val="single" w:sz="6" w:space="0" w:color="auto"/>
                  <w:right w:val="single" w:sz="6" w:space="0" w:color="auto"/>
                </w:tcBorders>
                <w:shd w:val="clear" w:color="auto" w:fill="auto"/>
                <w:vAlign w:val="center"/>
              </w:tcPr>
              <w:p w14:paraId="35C7ECF7" w14:textId="77777777" w:rsidR="002D0AE7" w:rsidRDefault="00333EBB">
                <w:pPr>
                  <w:jc w:val="center"/>
                  <w:rPr>
                    <w:rFonts w:cs="Arial" w:hint="eastAsia"/>
                    <w:color w:val="000000" w:themeColor="text1"/>
                    <w:sz w:val="21"/>
                    <w:szCs w:val="21"/>
                  </w:rPr>
                </w:pPr>
                <w:r>
                  <w:rPr>
                    <w:rFonts w:cs="Arial" w:hint="eastAsia"/>
                    <w:color w:val="000000" w:themeColor="text1"/>
                    <w:sz w:val="21"/>
                    <w:szCs w:val="21"/>
                    <w:lang w:val="en-GB"/>
                  </w:rPr>
                  <w:t>资产合计</w:t>
                </w:r>
              </w:p>
            </w:tc>
          </w:sdtContent>
        </w:sdt>
        <w:sdt>
          <w:sdtPr>
            <w:rPr>
              <w:color w:val="000000" w:themeColor="text1"/>
              <w:sz w:val="21"/>
              <w:szCs w:val="21"/>
            </w:rPr>
            <w:tag w:val="_PLD_2a24724c66b442e994f401266a55d5df"/>
            <w:id w:val="1540245816"/>
          </w:sdtPr>
          <w:sdtEndPr/>
          <w:sdtContent>
            <w:tc>
              <w:tcPr>
                <w:tcW w:w="389" w:type="pct"/>
                <w:tcBorders>
                  <w:top w:val="single" w:sz="6" w:space="0" w:color="auto"/>
                  <w:left w:val="single" w:sz="6" w:space="0" w:color="auto"/>
                  <w:bottom w:val="single" w:sz="6" w:space="0" w:color="auto"/>
                  <w:right w:val="single" w:sz="6" w:space="0" w:color="auto"/>
                </w:tcBorders>
                <w:shd w:val="clear" w:color="auto" w:fill="auto"/>
                <w:vAlign w:val="center"/>
              </w:tcPr>
              <w:p w14:paraId="51DAA1A9" w14:textId="77777777" w:rsidR="002D0AE7" w:rsidRDefault="00333EBB">
                <w:pPr>
                  <w:jc w:val="center"/>
                  <w:rPr>
                    <w:rFonts w:cs="Arial" w:hint="eastAsia"/>
                    <w:color w:val="000000" w:themeColor="text1"/>
                    <w:sz w:val="21"/>
                    <w:szCs w:val="21"/>
                  </w:rPr>
                </w:pPr>
                <w:r>
                  <w:rPr>
                    <w:rFonts w:cs="Arial" w:hint="eastAsia"/>
                    <w:color w:val="000000" w:themeColor="text1"/>
                    <w:sz w:val="21"/>
                    <w:szCs w:val="21"/>
                    <w:lang w:val="en-GB"/>
                  </w:rPr>
                  <w:t>流动负债</w:t>
                </w:r>
              </w:p>
            </w:tc>
          </w:sdtContent>
        </w:sdt>
        <w:sdt>
          <w:sdtPr>
            <w:rPr>
              <w:color w:val="000000" w:themeColor="text1"/>
              <w:sz w:val="21"/>
              <w:szCs w:val="21"/>
            </w:rPr>
            <w:tag w:val="_PLD_937f557a5cdb4ea99a0a914e755f781f"/>
            <w:id w:val="915202959"/>
          </w:sdtPr>
          <w:sdtEndPr/>
          <w:sdtContent>
            <w:tc>
              <w:tcPr>
                <w:tcW w:w="388" w:type="pct"/>
                <w:tcBorders>
                  <w:top w:val="single" w:sz="6" w:space="0" w:color="auto"/>
                  <w:left w:val="single" w:sz="6" w:space="0" w:color="auto"/>
                  <w:bottom w:val="single" w:sz="6" w:space="0" w:color="auto"/>
                  <w:right w:val="single" w:sz="6" w:space="0" w:color="auto"/>
                </w:tcBorders>
                <w:shd w:val="clear" w:color="auto" w:fill="auto"/>
                <w:vAlign w:val="center"/>
              </w:tcPr>
              <w:p w14:paraId="4B78B9BE" w14:textId="77777777" w:rsidR="002D0AE7" w:rsidRDefault="00333EBB">
                <w:pPr>
                  <w:ind w:left="-40" w:right="-97"/>
                  <w:jc w:val="center"/>
                  <w:rPr>
                    <w:rFonts w:cs="Arial" w:hint="eastAsia"/>
                    <w:color w:val="000000" w:themeColor="text1"/>
                    <w:sz w:val="21"/>
                    <w:szCs w:val="21"/>
                  </w:rPr>
                </w:pPr>
                <w:r>
                  <w:rPr>
                    <w:rFonts w:cs="Arial" w:hint="eastAsia"/>
                    <w:color w:val="000000" w:themeColor="text1"/>
                    <w:sz w:val="21"/>
                    <w:szCs w:val="21"/>
                    <w:lang w:val="en-GB"/>
                  </w:rPr>
                  <w:t>非流动负债</w:t>
                </w:r>
              </w:p>
            </w:tc>
          </w:sdtContent>
        </w:sdt>
        <w:sdt>
          <w:sdtPr>
            <w:rPr>
              <w:color w:val="000000" w:themeColor="text1"/>
              <w:sz w:val="21"/>
              <w:szCs w:val="21"/>
            </w:rPr>
            <w:tag w:val="_PLD_c4b998a44f394e1eb0924a4f19409ff8"/>
            <w:id w:val="1266426383"/>
          </w:sdtPr>
          <w:sdtEndPr/>
          <w:sdtContent>
            <w:tc>
              <w:tcPr>
                <w:tcW w:w="386" w:type="pct"/>
                <w:tcBorders>
                  <w:top w:val="single" w:sz="6" w:space="0" w:color="auto"/>
                  <w:left w:val="single" w:sz="6" w:space="0" w:color="auto"/>
                  <w:bottom w:val="single" w:sz="6" w:space="0" w:color="auto"/>
                  <w:right w:val="single" w:sz="4" w:space="0" w:color="auto"/>
                </w:tcBorders>
                <w:shd w:val="clear" w:color="auto" w:fill="auto"/>
                <w:vAlign w:val="center"/>
              </w:tcPr>
              <w:p w14:paraId="717A96B2" w14:textId="77777777" w:rsidR="002D0AE7" w:rsidRDefault="00333EBB">
                <w:pPr>
                  <w:jc w:val="center"/>
                  <w:rPr>
                    <w:rFonts w:cs="Arial" w:hint="eastAsia"/>
                    <w:color w:val="000000" w:themeColor="text1"/>
                    <w:sz w:val="21"/>
                    <w:szCs w:val="21"/>
                  </w:rPr>
                </w:pPr>
                <w:r>
                  <w:rPr>
                    <w:rFonts w:cs="Arial" w:hint="eastAsia"/>
                    <w:color w:val="000000" w:themeColor="text1"/>
                    <w:sz w:val="21"/>
                    <w:szCs w:val="21"/>
                    <w:lang w:val="en-GB"/>
                  </w:rPr>
                  <w:t>负债合计</w:t>
                </w:r>
              </w:p>
            </w:tc>
          </w:sdtContent>
        </w:sdt>
      </w:tr>
      <w:tr w:rsidR="002D0AE7" w14:paraId="2D8CB2BB" w14:textId="77777777">
        <w:trPr>
          <w:trHeight w:val="1181"/>
          <w:jc w:val="center"/>
        </w:trPr>
        <w:tc>
          <w:tcPr>
            <w:tcW w:w="368" w:type="pct"/>
            <w:tcBorders>
              <w:top w:val="single" w:sz="6" w:space="0" w:color="auto"/>
              <w:left w:val="single" w:sz="4" w:space="0" w:color="auto"/>
              <w:bottom w:val="single" w:sz="4" w:space="0" w:color="auto"/>
              <w:right w:val="single" w:sz="6" w:space="0" w:color="auto"/>
            </w:tcBorders>
            <w:vAlign w:val="center"/>
          </w:tcPr>
          <w:p w14:paraId="5EB048BE" w14:textId="77777777" w:rsidR="002D0AE7" w:rsidRDefault="00333EBB">
            <w:pPr>
              <w:rPr>
                <w:rFonts w:hint="eastAsia"/>
                <w:sz w:val="16"/>
                <w:szCs w:val="16"/>
              </w:rPr>
            </w:pPr>
            <w:r>
              <w:rPr>
                <w:sz w:val="16"/>
                <w:szCs w:val="16"/>
              </w:rPr>
              <w:t>天津市天发药业进出口有限公司</w:t>
            </w:r>
          </w:p>
        </w:tc>
        <w:tc>
          <w:tcPr>
            <w:tcW w:w="364" w:type="pct"/>
            <w:tcBorders>
              <w:top w:val="single" w:sz="6" w:space="0" w:color="auto"/>
              <w:left w:val="single" w:sz="6" w:space="0" w:color="auto"/>
              <w:bottom w:val="single" w:sz="4" w:space="0" w:color="auto"/>
              <w:right w:val="single" w:sz="6" w:space="0" w:color="auto"/>
            </w:tcBorders>
            <w:vAlign w:val="center"/>
          </w:tcPr>
          <w:p w14:paraId="2BE39311"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288,425,476.02</w:t>
            </w:r>
          </w:p>
        </w:tc>
        <w:tc>
          <w:tcPr>
            <w:tcW w:w="388" w:type="pct"/>
            <w:tcBorders>
              <w:top w:val="single" w:sz="6" w:space="0" w:color="auto"/>
              <w:left w:val="single" w:sz="6" w:space="0" w:color="auto"/>
              <w:bottom w:val="single" w:sz="4" w:space="0" w:color="auto"/>
              <w:right w:val="single" w:sz="6" w:space="0" w:color="auto"/>
            </w:tcBorders>
            <w:vAlign w:val="center"/>
          </w:tcPr>
          <w:p w14:paraId="548DB82F"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89,031.80</w:t>
            </w:r>
          </w:p>
        </w:tc>
        <w:tc>
          <w:tcPr>
            <w:tcW w:w="388" w:type="pct"/>
            <w:tcBorders>
              <w:top w:val="single" w:sz="6" w:space="0" w:color="auto"/>
              <w:left w:val="single" w:sz="6" w:space="0" w:color="auto"/>
              <w:bottom w:val="single" w:sz="4" w:space="0" w:color="auto"/>
              <w:right w:val="single" w:sz="6" w:space="0" w:color="auto"/>
            </w:tcBorders>
            <w:vAlign w:val="center"/>
          </w:tcPr>
          <w:p w14:paraId="5BDFC814"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288,514,507.82</w:t>
            </w:r>
          </w:p>
        </w:tc>
        <w:tc>
          <w:tcPr>
            <w:tcW w:w="388" w:type="pct"/>
            <w:tcBorders>
              <w:top w:val="single" w:sz="6" w:space="0" w:color="auto"/>
              <w:left w:val="single" w:sz="6" w:space="0" w:color="auto"/>
              <w:bottom w:val="single" w:sz="4" w:space="0" w:color="auto"/>
              <w:right w:val="single" w:sz="6" w:space="0" w:color="auto"/>
            </w:tcBorders>
            <w:vAlign w:val="center"/>
          </w:tcPr>
          <w:p w14:paraId="330B7B69"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78,589,467.61</w:t>
            </w:r>
          </w:p>
        </w:tc>
        <w:tc>
          <w:tcPr>
            <w:tcW w:w="388" w:type="pct"/>
            <w:tcBorders>
              <w:top w:val="single" w:sz="6" w:space="0" w:color="auto"/>
              <w:left w:val="single" w:sz="6" w:space="0" w:color="auto"/>
              <w:bottom w:val="single" w:sz="4" w:space="0" w:color="auto"/>
              <w:right w:val="single" w:sz="6" w:space="0" w:color="auto"/>
            </w:tcBorders>
            <w:vAlign w:val="center"/>
          </w:tcPr>
          <w:p w14:paraId="5A8A444F"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0.00</w:t>
            </w:r>
          </w:p>
        </w:tc>
        <w:tc>
          <w:tcPr>
            <w:tcW w:w="388" w:type="pct"/>
            <w:tcBorders>
              <w:top w:val="single" w:sz="6" w:space="0" w:color="auto"/>
              <w:left w:val="single" w:sz="6" w:space="0" w:color="auto"/>
              <w:bottom w:val="single" w:sz="4" w:space="0" w:color="auto"/>
              <w:right w:val="single" w:sz="6" w:space="0" w:color="auto"/>
            </w:tcBorders>
            <w:vAlign w:val="center"/>
          </w:tcPr>
          <w:p w14:paraId="056B6A63"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78,589,467.61</w:t>
            </w:r>
          </w:p>
        </w:tc>
        <w:tc>
          <w:tcPr>
            <w:tcW w:w="389" w:type="pct"/>
            <w:tcBorders>
              <w:top w:val="single" w:sz="6" w:space="0" w:color="auto"/>
              <w:left w:val="single" w:sz="6" w:space="0" w:color="auto"/>
              <w:bottom w:val="single" w:sz="4" w:space="0" w:color="auto"/>
              <w:right w:val="single" w:sz="6" w:space="0" w:color="auto"/>
            </w:tcBorders>
            <w:vAlign w:val="center"/>
          </w:tcPr>
          <w:p w14:paraId="04DD09B9" w14:textId="77777777" w:rsidR="002D0AE7" w:rsidRDefault="00333EBB">
            <w:pPr>
              <w:ind w:rightChars="16" w:right="38"/>
              <w:jc w:val="right"/>
              <w:rPr>
                <w:rFonts w:ascii="Times New Roman" w:hAnsi="Times New Roman" w:cs="Times New Roman"/>
                <w:sz w:val="15"/>
                <w:szCs w:val="15"/>
              </w:rPr>
            </w:pPr>
            <w:r>
              <w:rPr>
                <w:rFonts w:ascii="Times New Roman" w:hAnsi="Times New Roman" w:cs="Times New Roman"/>
                <w:sz w:val="15"/>
                <w:szCs w:val="15"/>
              </w:rPr>
              <w:t>254,532,385.48</w:t>
            </w:r>
          </w:p>
        </w:tc>
        <w:tc>
          <w:tcPr>
            <w:tcW w:w="388" w:type="pct"/>
            <w:tcBorders>
              <w:top w:val="single" w:sz="6" w:space="0" w:color="auto"/>
              <w:left w:val="single" w:sz="6" w:space="0" w:color="auto"/>
              <w:bottom w:val="single" w:sz="4" w:space="0" w:color="auto"/>
              <w:right w:val="single" w:sz="6" w:space="0" w:color="auto"/>
            </w:tcBorders>
            <w:vAlign w:val="center"/>
          </w:tcPr>
          <w:p w14:paraId="2ECAA2B3"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84,555.08</w:t>
            </w:r>
          </w:p>
        </w:tc>
        <w:tc>
          <w:tcPr>
            <w:tcW w:w="388" w:type="pct"/>
            <w:tcBorders>
              <w:top w:val="single" w:sz="6" w:space="0" w:color="auto"/>
              <w:left w:val="single" w:sz="6" w:space="0" w:color="auto"/>
              <w:bottom w:val="single" w:sz="4" w:space="0" w:color="auto"/>
              <w:right w:val="single" w:sz="6" w:space="0" w:color="auto"/>
            </w:tcBorders>
            <w:vAlign w:val="center"/>
          </w:tcPr>
          <w:p w14:paraId="2ED0721D" w14:textId="77777777" w:rsidR="002D0AE7" w:rsidRDefault="00333EBB">
            <w:pPr>
              <w:ind w:leftChars="-72" w:left="-173"/>
              <w:jc w:val="right"/>
              <w:rPr>
                <w:rFonts w:ascii="Times New Roman" w:hAnsi="Times New Roman" w:cs="Times New Roman"/>
                <w:sz w:val="15"/>
                <w:szCs w:val="15"/>
              </w:rPr>
            </w:pPr>
            <w:r>
              <w:rPr>
                <w:rFonts w:ascii="Times New Roman" w:hAnsi="Times New Roman" w:cs="Times New Roman"/>
                <w:sz w:val="15"/>
                <w:szCs w:val="15"/>
              </w:rPr>
              <w:t>254,616,940.56</w:t>
            </w:r>
          </w:p>
        </w:tc>
        <w:tc>
          <w:tcPr>
            <w:tcW w:w="389" w:type="pct"/>
            <w:tcBorders>
              <w:top w:val="single" w:sz="6" w:space="0" w:color="auto"/>
              <w:left w:val="single" w:sz="6" w:space="0" w:color="auto"/>
              <w:bottom w:val="single" w:sz="4" w:space="0" w:color="auto"/>
              <w:right w:val="single" w:sz="6" w:space="0" w:color="auto"/>
            </w:tcBorders>
            <w:vAlign w:val="center"/>
          </w:tcPr>
          <w:p w14:paraId="0DB68826"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45,225,144.18</w:t>
            </w:r>
          </w:p>
        </w:tc>
        <w:tc>
          <w:tcPr>
            <w:tcW w:w="388" w:type="pct"/>
            <w:tcBorders>
              <w:top w:val="single" w:sz="6" w:space="0" w:color="auto"/>
              <w:left w:val="single" w:sz="6" w:space="0" w:color="auto"/>
              <w:bottom w:val="single" w:sz="4" w:space="0" w:color="auto"/>
              <w:right w:val="single" w:sz="6" w:space="0" w:color="auto"/>
            </w:tcBorders>
            <w:vAlign w:val="center"/>
          </w:tcPr>
          <w:p w14:paraId="2E91C377"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0.00</w:t>
            </w:r>
          </w:p>
        </w:tc>
        <w:tc>
          <w:tcPr>
            <w:tcW w:w="386" w:type="pct"/>
            <w:tcBorders>
              <w:top w:val="single" w:sz="6" w:space="0" w:color="auto"/>
              <w:left w:val="single" w:sz="6" w:space="0" w:color="auto"/>
              <w:bottom w:val="single" w:sz="4" w:space="0" w:color="auto"/>
              <w:right w:val="single" w:sz="4" w:space="0" w:color="auto"/>
            </w:tcBorders>
            <w:vAlign w:val="center"/>
          </w:tcPr>
          <w:p w14:paraId="290485C6"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45,225,144.18</w:t>
            </w:r>
          </w:p>
        </w:tc>
      </w:tr>
      <w:tr w:rsidR="002D0AE7" w14:paraId="2D064B52" w14:textId="77777777">
        <w:trPr>
          <w:trHeight w:val="545"/>
          <w:jc w:val="center"/>
        </w:trPr>
        <w:tc>
          <w:tcPr>
            <w:tcW w:w="368" w:type="pct"/>
            <w:tcBorders>
              <w:top w:val="single" w:sz="6" w:space="0" w:color="auto"/>
              <w:left w:val="single" w:sz="4" w:space="0" w:color="auto"/>
              <w:bottom w:val="single" w:sz="4" w:space="0" w:color="auto"/>
              <w:right w:val="single" w:sz="6" w:space="0" w:color="auto"/>
            </w:tcBorders>
            <w:vAlign w:val="center"/>
          </w:tcPr>
          <w:p w14:paraId="09B17373" w14:textId="77777777" w:rsidR="002D0AE7" w:rsidRDefault="00333EBB">
            <w:pPr>
              <w:rPr>
                <w:rFonts w:hint="eastAsia"/>
                <w:sz w:val="16"/>
                <w:szCs w:val="16"/>
              </w:rPr>
            </w:pPr>
            <w:r>
              <w:rPr>
                <w:sz w:val="16"/>
                <w:szCs w:val="16"/>
              </w:rPr>
              <w:t>津药和平（天津）制药有限公司</w:t>
            </w:r>
          </w:p>
        </w:tc>
        <w:tc>
          <w:tcPr>
            <w:tcW w:w="364" w:type="pct"/>
            <w:tcBorders>
              <w:top w:val="single" w:sz="6" w:space="0" w:color="auto"/>
              <w:left w:val="single" w:sz="6" w:space="0" w:color="auto"/>
              <w:bottom w:val="single" w:sz="4" w:space="0" w:color="auto"/>
              <w:right w:val="single" w:sz="6" w:space="0" w:color="auto"/>
            </w:tcBorders>
            <w:vAlign w:val="center"/>
          </w:tcPr>
          <w:p w14:paraId="77A6A923"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707,144,046.15</w:t>
            </w:r>
          </w:p>
        </w:tc>
        <w:tc>
          <w:tcPr>
            <w:tcW w:w="388" w:type="pct"/>
            <w:tcBorders>
              <w:top w:val="single" w:sz="6" w:space="0" w:color="auto"/>
              <w:left w:val="single" w:sz="6" w:space="0" w:color="auto"/>
              <w:bottom w:val="single" w:sz="4" w:space="0" w:color="auto"/>
              <w:right w:val="single" w:sz="6" w:space="0" w:color="auto"/>
            </w:tcBorders>
            <w:vAlign w:val="center"/>
          </w:tcPr>
          <w:p w14:paraId="4FB3A3EB"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1,213,045,157.55</w:t>
            </w:r>
          </w:p>
        </w:tc>
        <w:tc>
          <w:tcPr>
            <w:tcW w:w="388" w:type="pct"/>
            <w:tcBorders>
              <w:top w:val="single" w:sz="6" w:space="0" w:color="auto"/>
              <w:left w:val="single" w:sz="6" w:space="0" w:color="auto"/>
              <w:bottom w:val="single" w:sz="4" w:space="0" w:color="auto"/>
              <w:right w:val="single" w:sz="6" w:space="0" w:color="auto"/>
            </w:tcBorders>
            <w:vAlign w:val="center"/>
          </w:tcPr>
          <w:p w14:paraId="39A4401E"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1,920,189,203.70</w:t>
            </w:r>
          </w:p>
        </w:tc>
        <w:tc>
          <w:tcPr>
            <w:tcW w:w="388" w:type="pct"/>
            <w:tcBorders>
              <w:top w:val="single" w:sz="6" w:space="0" w:color="auto"/>
              <w:left w:val="single" w:sz="6" w:space="0" w:color="auto"/>
              <w:bottom w:val="single" w:sz="4" w:space="0" w:color="auto"/>
              <w:right w:val="single" w:sz="6" w:space="0" w:color="auto"/>
            </w:tcBorders>
            <w:vAlign w:val="center"/>
          </w:tcPr>
          <w:p w14:paraId="6D3C9F41"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424,713,471.67</w:t>
            </w:r>
          </w:p>
        </w:tc>
        <w:tc>
          <w:tcPr>
            <w:tcW w:w="388" w:type="pct"/>
            <w:tcBorders>
              <w:top w:val="single" w:sz="6" w:space="0" w:color="auto"/>
              <w:left w:val="single" w:sz="6" w:space="0" w:color="auto"/>
              <w:bottom w:val="single" w:sz="4" w:space="0" w:color="auto"/>
              <w:right w:val="single" w:sz="6" w:space="0" w:color="auto"/>
            </w:tcBorders>
            <w:vAlign w:val="center"/>
          </w:tcPr>
          <w:p w14:paraId="49B67115"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182,683,652.82</w:t>
            </w:r>
          </w:p>
        </w:tc>
        <w:tc>
          <w:tcPr>
            <w:tcW w:w="388" w:type="pct"/>
            <w:tcBorders>
              <w:top w:val="single" w:sz="6" w:space="0" w:color="auto"/>
              <w:left w:val="single" w:sz="6" w:space="0" w:color="auto"/>
              <w:bottom w:val="single" w:sz="4" w:space="0" w:color="auto"/>
              <w:right w:val="single" w:sz="6" w:space="0" w:color="auto"/>
            </w:tcBorders>
            <w:vAlign w:val="center"/>
          </w:tcPr>
          <w:p w14:paraId="771CFED4"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607,397,124.49</w:t>
            </w:r>
          </w:p>
        </w:tc>
        <w:tc>
          <w:tcPr>
            <w:tcW w:w="389" w:type="pct"/>
            <w:tcBorders>
              <w:top w:val="single" w:sz="6" w:space="0" w:color="auto"/>
              <w:left w:val="single" w:sz="6" w:space="0" w:color="auto"/>
              <w:bottom w:val="single" w:sz="4" w:space="0" w:color="auto"/>
              <w:right w:val="single" w:sz="6" w:space="0" w:color="auto"/>
            </w:tcBorders>
            <w:vAlign w:val="center"/>
          </w:tcPr>
          <w:p w14:paraId="2E6900CE"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655,180,981.09</w:t>
            </w:r>
          </w:p>
        </w:tc>
        <w:tc>
          <w:tcPr>
            <w:tcW w:w="388" w:type="pct"/>
            <w:tcBorders>
              <w:top w:val="single" w:sz="6" w:space="0" w:color="auto"/>
              <w:left w:val="single" w:sz="6" w:space="0" w:color="auto"/>
              <w:bottom w:val="single" w:sz="4" w:space="0" w:color="auto"/>
              <w:right w:val="single" w:sz="6" w:space="0" w:color="auto"/>
            </w:tcBorders>
            <w:vAlign w:val="center"/>
          </w:tcPr>
          <w:p w14:paraId="0D50A6FF"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1,248,661,477.78</w:t>
            </w:r>
          </w:p>
        </w:tc>
        <w:tc>
          <w:tcPr>
            <w:tcW w:w="388" w:type="pct"/>
            <w:tcBorders>
              <w:top w:val="single" w:sz="6" w:space="0" w:color="auto"/>
              <w:left w:val="single" w:sz="6" w:space="0" w:color="auto"/>
              <w:bottom w:val="single" w:sz="4" w:space="0" w:color="auto"/>
              <w:right w:val="single" w:sz="6" w:space="0" w:color="auto"/>
            </w:tcBorders>
            <w:vAlign w:val="center"/>
          </w:tcPr>
          <w:p w14:paraId="6A23350A"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1,903,842,458.87</w:t>
            </w:r>
          </w:p>
        </w:tc>
        <w:tc>
          <w:tcPr>
            <w:tcW w:w="389" w:type="pct"/>
            <w:tcBorders>
              <w:top w:val="single" w:sz="6" w:space="0" w:color="auto"/>
              <w:left w:val="single" w:sz="6" w:space="0" w:color="auto"/>
              <w:bottom w:val="single" w:sz="4" w:space="0" w:color="auto"/>
              <w:right w:val="single" w:sz="6" w:space="0" w:color="auto"/>
            </w:tcBorders>
            <w:vAlign w:val="center"/>
          </w:tcPr>
          <w:p w14:paraId="63B6A782"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461,351,308.09</w:t>
            </w:r>
          </w:p>
        </w:tc>
        <w:tc>
          <w:tcPr>
            <w:tcW w:w="388" w:type="pct"/>
            <w:tcBorders>
              <w:top w:val="single" w:sz="6" w:space="0" w:color="auto"/>
              <w:left w:val="single" w:sz="6" w:space="0" w:color="auto"/>
              <w:bottom w:val="single" w:sz="4" w:space="0" w:color="auto"/>
              <w:right w:val="single" w:sz="6" w:space="0" w:color="auto"/>
            </w:tcBorders>
            <w:vAlign w:val="center"/>
          </w:tcPr>
          <w:p w14:paraId="71450F20"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183,198,263.35</w:t>
            </w:r>
          </w:p>
        </w:tc>
        <w:tc>
          <w:tcPr>
            <w:tcW w:w="386" w:type="pct"/>
            <w:tcBorders>
              <w:top w:val="single" w:sz="6" w:space="0" w:color="auto"/>
              <w:left w:val="single" w:sz="6" w:space="0" w:color="auto"/>
              <w:bottom w:val="single" w:sz="4" w:space="0" w:color="auto"/>
              <w:right w:val="single" w:sz="4" w:space="0" w:color="auto"/>
            </w:tcBorders>
            <w:vAlign w:val="center"/>
          </w:tcPr>
          <w:p w14:paraId="016223DB"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644,549,571.44</w:t>
            </w:r>
          </w:p>
        </w:tc>
      </w:tr>
      <w:tr w:rsidR="002D0AE7" w14:paraId="02ACAC9E" w14:textId="77777777">
        <w:trPr>
          <w:trHeight w:val="571"/>
          <w:jc w:val="center"/>
        </w:trPr>
        <w:tc>
          <w:tcPr>
            <w:tcW w:w="368" w:type="pct"/>
            <w:tcBorders>
              <w:top w:val="single" w:sz="6" w:space="0" w:color="auto"/>
              <w:left w:val="single" w:sz="4" w:space="0" w:color="auto"/>
              <w:bottom w:val="single" w:sz="4" w:space="0" w:color="auto"/>
              <w:right w:val="single" w:sz="6" w:space="0" w:color="auto"/>
            </w:tcBorders>
            <w:vAlign w:val="center"/>
          </w:tcPr>
          <w:p w14:paraId="65845C8F" w14:textId="77777777" w:rsidR="002D0AE7" w:rsidRDefault="00333EBB">
            <w:pPr>
              <w:rPr>
                <w:rFonts w:hint="eastAsia"/>
                <w:sz w:val="16"/>
                <w:szCs w:val="16"/>
              </w:rPr>
            </w:pPr>
            <w:r>
              <w:rPr>
                <w:sz w:val="16"/>
                <w:szCs w:val="16"/>
              </w:rPr>
              <w:t>天津津药环境科技有限公司</w:t>
            </w:r>
          </w:p>
        </w:tc>
        <w:tc>
          <w:tcPr>
            <w:tcW w:w="364" w:type="pct"/>
            <w:tcBorders>
              <w:top w:val="single" w:sz="6" w:space="0" w:color="auto"/>
              <w:left w:val="single" w:sz="6" w:space="0" w:color="auto"/>
              <w:bottom w:val="single" w:sz="4" w:space="0" w:color="auto"/>
              <w:right w:val="single" w:sz="6" w:space="0" w:color="auto"/>
            </w:tcBorders>
            <w:vAlign w:val="center"/>
          </w:tcPr>
          <w:p w14:paraId="21DFC224"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52,744,943.95</w:t>
            </w:r>
          </w:p>
        </w:tc>
        <w:tc>
          <w:tcPr>
            <w:tcW w:w="388" w:type="pct"/>
            <w:tcBorders>
              <w:top w:val="single" w:sz="6" w:space="0" w:color="auto"/>
              <w:left w:val="single" w:sz="6" w:space="0" w:color="auto"/>
              <w:bottom w:val="single" w:sz="4" w:space="0" w:color="auto"/>
              <w:right w:val="single" w:sz="6" w:space="0" w:color="auto"/>
            </w:tcBorders>
            <w:vAlign w:val="center"/>
          </w:tcPr>
          <w:p w14:paraId="20279554"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957,352,180.12</w:t>
            </w:r>
          </w:p>
        </w:tc>
        <w:tc>
          <w:tcPr>
            <w:tcW w:w="388" w:type="pct"/>
            <w:tcBorders>
              <w:top w:val="single" w:sz="6" w:space="0" w:color="auto"/>
              <w:left w:val="single" w:sz="6" w:space="0" w:color="auto"/>
              <w:bottom w:val="single" w:sz="4" w:space="0" w:color="auto"/>
              <w:right w:val="single" w:sz="6" w:space="0" w:color="auto"/>
            </w:tcBorders>
            <w:vAlign w:val="center"/>
          </w:tcPr>
          <w:p w14:paraId="29987E79"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1,010,097,124.07</w:t>
            </w:r>
          </w:p>
        </w:tc>
        <w:tc>
          <w:tcPr>
            <w:tcW w:w="388" w:type="pct"/>
            <w:tcBorders>
              <w:top w:val="single" w:sz="6" w:space="0" w:color="auto"/>
              <w:left w:val="single" w:sz="6" w:space="0" w:color="auto"/>
              <w:bottom w:val="single" w:sz="4" w:space="0" w:color="auto"/>
              <w:right w:val="single" w:sz="6" w:space="0" w:color="auto"/>
            </w:tcBorders>
            <w:vAlign w:val="center"/>
          </w:tcPr>
          <w:p w14:paraId="5A38C252"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209,700,004.52</w:t>
            </w:r>
          </w:p>
        </w:tc>
        <w:tc>
          <w:tcPr>
            <w:tcW w:w="388" w:type="pct"/>
            <w:tcBorders>
              <w:top w:val="single" w:sz="6" w:space="0" w:color="auto"/>
              <w:left w:val="single" w:sz="6" w:space="0" w:color="auto"/>
              <w:bottom w:val="single" w:sz="4" w:space="0" w:color="auto"/>
              <w:right w:val="single" w:sz="6" w:space="0" w:color="auto"/>
            </w:tcBorders>
            <w:vAlign w:val="center"/>
          </w:tcPr>
          <w:p w14:paraId="4E839FE0"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13,980,305.12</w:t>
            </w:r>
          </w:p>
        </w:tc>
        <w:tc>
          <w:tcPr>
            <w:tcW w:w="388" w:type="pct"/>
            <w:tcBorders>
              <w:top w:val="single" w:sz="6" w:space="0" w:color="auto"/>
              <w:left w:val="single" w:sz="6" w:space="0" w:color="auto"/>
              <w:bottom w:val="single" w:sz="4" w:space="0" w:color="auto"/>
              <w:right w:val="single" w:sz="6" w:space="0" w:color="auto"/>
            </w:tcBorders>
            <w:vAlign w:val="center"/>
          </w:tcPr>
          <w:p w14:paraId="2A993748"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223,680,309.64</w:t>
            </w:r>
          </w:p>
        </w:tc>
        <w:tc>
          <w:tcPr>
            <w:tcW w:w="389" w:type="pct"/>
            <w:tcBorders>
              <w:top w:val="single" w:sz="6" w:space="0" w:color="auto"/>
              <w:left w:val="single" w:sz="6" w:space="0" w:color="auto"/>
              <w:bottom w:val="single" w:sz="4" w:space="0" w:color="auto"/>
              <w:right w:val="single" w:sz="6" w:space="0" w:color="auto"/>
            </w:tcBorders>
            <w:vAlign w:val="center"/>
          </w:tcPr>
          <w:p w14:paraId="52EA9601"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39,518,061.77</w:t>
            </w:r>
          </w:p>
        </w:tc>
        <w:tc>
          <w:tcPr>
            <w:tcW w:w="388" w:type="pct"/>
            <w:tcBorders>
              <w:top w:val="single" w:sz="6" w:space="0" w:color="auto"/>
              <w:left w:val="single" w:sz="6" w:space="0" w:color="auto"/>
              <w:bottom w:val="single" w:sz="4" w:space="0" w:color="auto"/>
              <w:right w:val="single" w:sz="6" w:space="0" w:color="auto"/>
            </w:tcBorders>
            <w:vAlign w:val="center"/>
          </w:tcPr>
          <w:p w14:paraId="0C897DD5"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968,634,309.13</w:t>
            </w:r>
          </w:p>
        </w:tc>
        <w:tc>
          <w:tcPr>
            <w:tcW w:w="388" w:type="pct"/>
            <w:tcBorders>
              <w:top w:val="single" w:sz="6" w:space="0" w:color="auto"/>
              <w:left w:val="single" w:sz="6" w:space="0" w:color="auto"/>
              <w:bottom w:val="single" w:sz="4" w:space="0" w:color="auto"/>
              <w:right w:val="single" w:sz="6" w:space="0" w:color="auto"/>
            </w:tcBorders>
            <w:vAlign w:val="center"/>
          </w:tcPr>
          <w:p w14:paraId="11AD0336"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1,008,152,370.90</w:t>
            </w:r>
          </w:p>
        </w:tc>
        <w:tc>
          <w:tcPr>
            <w:tcW w:w="389" w:type="pct"/>
            <w:tcBorders>
              <w:top w:val="single" w:sz="6" w:space="0" w:color="auto"/>
              <w:left w:val="single" w:sz="6" w:space="0" w:color="auto"/>
              <w:bottom w:val="single" w:sz="4" w:space="0" w:color="auto"/>
              <w:right w:val="single" w:sz="6" w:space="0" w:color="auto"/>
            </w:tcBorders>
            <w:vAlign w:val="center"/>
          </w:tcPr>
          <w:p w14:paraId="3560F640"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208,209,023.31</w:t>
            </w:r>
          </w:p>
        </w:tc>
        <w:tc>
          <w:tcPr>
            <w:tcW w:w="388" w:type="pct"/>
            <w:tcBorders>
              <w:top w:val="single" w:sz="6" w:space="0" w:color="auto"/>
              <w:left w:val="single" w:sz="6" w:space="0" w:color="auto"/>
              <w:bottom w:val="single" w:sz="4" w:space="0" w:color="auto"/>
              <w:right w:val="single" w:sz="6" w:space="0" w:color="auto"/>
            </w:tcBorders>
            <w:vAlign w:val="center"/>
          </w:tcPr>
          <w:p w14:paraId="63D3C19A"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14,101,291.04</w:t>
            </w:r>
          </w:p>
        </w:tc>
        <w:tc>
          <w:tcPr>
            <w:tcW w:w="386" w:type="pct"/>
            <w:tcBorders>
              <w:top w:val="single" w:sz="6" w:space="0" w:color="auto"/>
              <w:left w:val="single" w:sz="6" w:space="0" w:color="auto"/>
              <w:bottom w:val="single" w:sz="4" w:space="0" w:color="auto"/>
              <w:right w:val="single" w:sz="4" w:space="0" w:color="auto"/>
            </w:tcBorders>
            <w:vAlign w:val="center"/>
          </w:tcPr>
          <w:p w14:paraId="4DB70E4E"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222,310,314.35</w:t>
            </w:r>
          </w:p>
        </w:tc>
      </w:tr>
      <w:tr w:rsidR="002D0AE7" w14:paraId="3D1704B9" w14:textId="77777777">
        <w:trPr>
          <w:trHeight w:val="299"/>
          <w:jc w:val="center"/>
        </w:trPr>
        <w:tc>
          <w:tcPr>
            <w:tcW w:w="368" w:type="pct"/>
            <w:tcBorders>
              <w:top w:val="single" w:sz="6" w:space="0" w:color="auto"/>
              <w:left w:val="single" w:sz="4" w:space="0" w:color="auto"/>
              <w:bottom w:val="single" w:sz="4" w:space="0" w:color="auto"/>
              <w:right w:val="single" w:sz="6" w:space="0" w:color="auto"/>
            </w:tcBorders>
            <w:vAlign w:val="center"/>
          </w:tcPr>
          <w:p w14:paraId="3566DA8D" w14:textId="77777777" w:rsidR="002D0AE7" w:rsidRDefault="00333EBB">
            <w:pPr>
              <w:rPr>
                <w:rFonts w:hint="eastAsia"/>
                <w:sz w:val="16"/>
                <w:szCs w:val="16"/>
              </w:rPr>
            </w:pPr>
            <w:r>
              <w:rPr>
                <w:sz w:val="16"/>
                <w:szCs w:val="16"/>
              </w:rPr>
              <w:t>湖北津药药业股份有限公司</w:t>
            </w:r>
          </w:p>
        </w:tc>
        <w:tc>
          <w:tcPr>
            <w:tcW w:w="364" w:type="pct"/>
            <w:tcBorders>
              <w:top w:val="single" w:sz="6" w:space="0" w:color="auto"/>
              <w:left w:val="single" w:sz="6" w:space="0" w:color="auto"/>
              <w:bottom w:val="single" w:sz="4" w:space="0" w:color="auto"/>
              <w:right w:val="single" w:sz="6" w:space="0" w:color="auto"/>
            </w:tcBorders>
            <w:vAlign w:val="center"/>
          </w:tcPr>
          <w:p w14:paraId="45DB330F"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308,504,799.46</w:t>
            </w:r>
          </w:p>
        </w:tc>
        <w:tc>
          <w:tcPr>
            <w:tcW w:w="388" w:type="pct"/>
            <w:tcBorders>
              <w:top w:val="single" w:sz="6" w:space="0" w:color="auto"/>
              <w:left w:val="single" w:sz="6" w:space="0" w:color="auto"/>
              <w:bottom w:val="single" w:sz="4" w:space="0" w:color="auto"/>
              <w:right w:val="single" w:sz="6" w:space="0" w:color="auto"/>
            </w:tcBorders>
            <w:vAlign w:val="center"/>
          </w:tcPr>
          <w:p w14:paraId="05429D25"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281,357,628.45</w:t>
            </w:r>
          </w:p>
        </w:tc>
        <w:tc>
          <w:tcPr>
            <w:tcW w:w="388" w:type="pct"/>
            <w:tcBorders>
              <w:top w:val="single" w:sz="6" w:space="0" w:color="auto"/>
              <w:left w:val="single" w:sz="6" w:space="0" w:color="auto"/>
              <w:bottom w:val="single" w:sz="4" w:space="0" w:color="auto"/>
              <w:right w:val="single" w:sz="6" w:space="0" w:color="auto"/>
            </w:tcBorders>
            <w:vAlign w:val="center"/>
          </w:tcPr>
          <w:p w14:paraId="67934DFC"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589,862,427.91</w:t>
            </w:r>
          </w:p>
        </w:tc>
        <w:tc>
          <w:tcPr>
            <w:tcW w:w="388" w:type="pct"/>
            <w:tcBorders>
              <w:top w:val="single" w:sz="6" w:space="0" w:color="auto"/>
              <w:left w:val="single" w:sz="6" w:space="0" w:color="auto"/>
              <w:bottom w:val="single" w:sz="4" w:space="0" w:color="auto"/>
              <w:right w:val="single" w:sz="6" w:space="0" w:color="auto"/>
            </w:tcBorders>
            <w:vAlign w:val="center"/>
          </w:tcPr>
          <w:p w14:paraId="1923A992"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308,027,695.32</w:t>
            </w:r>
          </w:p>
        </w:tc>
        <w:tc>
          <w:tcPr>
            <w:tcW w:w="388" w:type="pct"/>
            <w:tcBorders>
              <w:top w:val="single" w:sz="6" w:space="0" w:color="auto"/>
              <w:left w:val="single" w:sz="6" w:space="0" w:color="auto"/>
              <w:bottom w:val="single" w:sz="4" w:space="0" w:color="auto"/>
              <w:right w:val="single" w:sz="6" w:space="0" w:color="auto"/>
            </w:tcBorders>
            <w:vAlign w:val="center"/>
          </w:tcPr>
          <w:p w14:paraId="082D0488"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23,000,325.99</w:t>
            </w:r>
          </w:p>
        </w:tc>
        <w:tc>
          <w:tcPr>
            <w:tcW w:w="388" w:type="pct"/>
            <w:tcBorders>
              <w:top w:val="single" w:sz="6" w:space="0" w:color="auto"/>
              <w:left w:val="single" w:sz="6" w:space="0" w:color="auto"/>
              <w:bottom w:val="single" w:sz="4" w:space="0" w:color="auto"/>
              <w:right w:val="single" w:sz="6" w:space="0" w:color="auto"/>
            </w:tcBorders>
            <w:vAlign w:val="center"/>
          </w:tcPr>
          <w:p w14:paraId="42139B9D"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331,028,021.31</w:t>
            </w:r>
          </w:p>
        </w:tc>
        <w:tc>
          <w:tcPr>
            <w:tcW w:w="389" w:type="pct"/>
            <w:tcBorders>
              <w:top w:val="single" w:sz="6" w:space="0" w:color="auto"/>
              <w:left w:val="single" w:sz="6" w:space="0" w:color="auto"/>
              <w:bottom w:val="single" w:sz="4" w:space="0" w:color="auto"/>
              <w:right w:val="single" w:sz="6" w:space="0" w:color="auto"/>
            </w:tcBorders>
            <w:vAlign w:val="center"/>
          </w:tcPr>
          <w:p w14:paraId="0545B772"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268,217,205.00</w:t>
            </w:r>
          </w:p>
        </w:tc>
        <w:tc>
          <w:tcPr>
            <w:tcW w:w="388" w:type="pct"/>
            <w:tcBorders>
              <w:top w:val="single" w:sz="6" w:space="0" w:color="auto"/>
              <w:left w:val="single" w:sz="6" w:space="0" w:color="auto"/>
              <w:bottom w:val="single" w:sz="4" w:space="0" w:color="auto"/>
              <w:right w:val="single" w:sz="6" w:space="0" w:color="auto"/>
            </w:tcBorders>
            <w:vAlign w:val="center"/>
          </w:tcPr>
          <w:p w14:paraId="5E9B48FC"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272,185,543.69</w:t>
            </w:r>
          </w:p>
        </w:tc>
        <w:tc>
          <w:tcPr>
            <w:tcW w:w="388" w:type="pct"/>
            <w:tcBorders>
              <w:top w:val="single" w:sz="6" w:space="0" w:color="auto"/>
              <w:left w:val="single" w:sz="6" w:space="0" w:color="auto"/>
              <w:bottom w:val="single" w:sz="4" w:space="0" w:color="auto"/>
              <w:right w:val="single" w:sz="6" w:space="0" w:color="auto"/>
            </w:tcBorders>
            <w:vAlign w:val="center"/>
          </w:tcPr>
          <w:p w14:paraId="064BCAB6"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540,402,748.69</w:t>
            </w:r>
          </w:p>
        </w:tc>
        <w:tc>
          <w:tcPr>
            <w:tcW w:w="389" w:type="pct"/>
            <w:tcBorders>
              <w:top w:val="single" w:sz="6" w:space="0" w:color="auto"/>
              <w:left w:val="single" w:sz="6" w:space="0" w:color="auto"/>
              <w:bottom w:val="single" w:sz="4" w:space="0" w:color="auto"/>
              <w:right w:val="single" w:sz="6" w:space="0" w:color="auto"/>
            </w:tcBorders>
            <w:vAlign w:val="center"/>
          </w:tcPr>
          <w:p w14:paraId="24AC4F75"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287,462,162.30</w:t>
            </w:r>
          </w:p>
        </w:tc>
        <w:tc>
          <w:tcPr>
            <w:tcW w:w="388" w:type="pct"/>
            <w:tcBorders>
              <w:top w:val="single" w:sz="6" w:space="0" w:color="auto"/>
              <w:left w:val="single" w:sz="6" w:space="0" w:color="auto"/>
              <w:bottom w:val="single" w:sz="4" w:space="0" w:color="auto"/>
              <w:right w:val="single" w:sz="6" w:space="0" w:color="auto"/>
            </w:tcBorders>
            <w:vAlign w:val="center"/>
          </w:tcPr>
          <w:p w14:paraId="0170FCD8"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24,437,722.20</w:t>
            </w:r>
          </w:p>
        </w:tc>
        <w:tc>
          <w:tcPr>
            <w:tcW w:w="386" w:type="pct"/>
            <w:tcBorders>
              <w:top w:val="single" w:sz="6" w:space="0" w:color="auto"/>
              <w:left w:val="single" w:sz="6" w:space="0" w:color="auto"/>
              <w:bottom w:val="single" w:sz="4" w:space="0" w:color="auto"/>
              <w:right w:val="single" w:sz="4" w:space="0" w:color="auto"/>
            </w:tcBorders>
            <w:vAlign w:val="center"/>
          </w:tcPr>
          <w:p w14:paraId="66A0ACEE" w14:textId="77777777" w:rsidR="002D0AE7" w:rsidRDefault="00333EBB">
            <w:pPr>
              <w:jc w:val="right"/>
              <w:rPr>
                <w:rFonts w:ascii="Times New Roman" w:hAnsi="Times New Roman" w:cs="Times New Roman"/>
                <w:sz w:val="15"/>
                <w:szCs w:val="15"/>
              </w:rPr>
            </w:pPr>
            <w:r>
              <w:rPr>
                <w:rFonts w:ascii="Times New Roman" w:hAnsi="Times New Roman" w:cs="Times New Roman"/>
                <w:sz w:val="15"/>
                <w:szCs w:val="15"/>
              </w:rPr>
              <w:t>311,899,884.50</w:t>
            </w:r>
          </w:p>
        </w:tc>
      </w:tr>
    </w:tbl>
    <w:p w14:paraId="371CFF7B" w14:textId="77777777" w:rsidR="002D0AE7" w:rsidRDefault="002D0AE7">
      <w:pPr>
        <w:rPr>
          <w:rFonts w:hint="eastAsia"/>
        </w:rPr>
      </w:pPr>
    </w:p>
    <w:tbl>
      <w:tblPr>
        <w:tblW w:w="1558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397"/>
        <w:gridCol w:w="1545"/>
        <w:gridCol w:w="1432"/>
        <w:gridCol w:w="1559"/>
        <w:gridCol w:w="1585"/>
        <w:gridCol w:w="1529"/>
        <w:gridCol w:w="1432"/>
        <w:gridCol w:w="1555"/>
        <w:gridCol w:w="1554"/>
      </w:tblGrid>
      <w:tr w:rsidR="002D0AE7" w14:paraId="36E7EB3A" w14:textId="77777777">
        <w:trPr>
          <w:trHeight w:val="241"/>
          <w:jc w:val="center"/>
        </w:trPr>
        <w:sdt>
          <w:sdtPr>
            <w:rPr>
              <w:color w:val="000000" w:themeColor="text1"/>
              <w:sz w:val="21"/>
              <w:szCs w:val="21"/>
            </w:rPr>
            <w:tag w:val="_PLD_87ab97227e5642b988e110c5a28abb39"/>
            <w:id w:val="417605922"/>
          </w:sdtPr>
          <w:sdtEndPr/>
          <w:sdtContent>
            <w:tc>
              <w:tcPr>
                <w:tcW w:w="3397"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6E81D617" w14:textId="77777777" w:rsidR="002D0AE7" w:rsidRDefault="00333EBB">
                <w:pPr>
                  <w:spacing w:line="276" w:lineRule="auto"/>
                  <w:ind w:right="-16"/>
                  <w:jc w:val="center"/>
                  <w:rPr>
                    <w:rFonts w:cs="Arial" w:hint="eastAsia"/>
                    <w:bCs/>
                    <w:color w:val="000000" w:themeColor="text1"/>
                    <w:sz w:val="21"/>
                    <w:szCs w:val="21"/>
                  </w:rPr>
                </w:pPr>
                <w:r>
                  <w:rPr>
                    <w:rFonts w:cs="Arial" w:hint="eastAsia"/>
                    <w:color w:val="000000" w:themeColor="text1"/>
                    <w:sz w:val="21"/>
                    <w:szCs w:val="21"/>
                    <w:lang w:val="en-GB"/>
                  </w:rPr>
                  <w:t>子公司名称</w:t>
                </w:r>
              </w:p>
            </w:tc>
          </w:sdtContent>
        </w:sdt>
        <w:sdt>
          <w:sdtPr>
            <w:rPr>
              <w:color w:val="000000" w:themeColor="text1"/>
              <w:sz w:val="21"/>
              <w:szCs w:val="21"/>
            </w:rPr>
            <w:tag w:val="_PLD_85f8737cebf641b2aa266052f4118ba8"/>
            <w:id w:val="1136218726"/>
          </w:sdtPr>
          <w:sdtEndPr/>
          <w:sdtContent>
            <w:tc>
              <w:tcPr>
                <w:tcW w:w="6121" w:type="dxa"/>
                <w:gridSpan w:val="4"/>
                <w:tcBorders>
                  <w:top w:val="single" w:sz="4" w:space="0" w:color="auto"/>
                  <w:left w:val="single" w:sz="6" w:space="0" w:color="auto"/>
                  <w:bottom w:val="single" w:sz="6" w:space="0" w:color="auto"/>
                  <w:right w:val="single" w:sz="6" w:space="0" w:color="auto"/>
                </w:tcBorders>
                <w:shd w:val="clear" w:color="auto" w:fill="auto"/>
                <w:vAlign w:val="center"/>
              </w:tcPr>
              <w:p w14:paraId="05FF2A58" w14:textId="77777777" w:rsidR="002D0AE7" w:rsidRDefault="00333EBB">
                <w:pPr>
                  <w:spacing w:line="276" w:lineRule="auto"/>
                  <w:ind w:right="-16"/>
                  <w:jc w:val="center"/>
                  <w:rPr>
                    <w:rFonts w:cs="Arial" w:hint="eastAsia"/>
                    <w:bCs/>
                    <w:color w:val="000000" w:themeColor="text1"/>
                    <w:sz w:val="21"/>
                    <w:szCs w:val="21"/>
                  </w:rPr>
                </w:pPr>
                <w:r>
                  <w:rPr>
                    <w:rFonts w:cs="Arial" w:hint="eastAsia"/>
                    <w:color w:val="000000" w:themeColor="text1"/>
                    <w:sz w:val="21"/>
                    <w:szCs w:val="21"/>
                    <w:lang w:val="en-GB"/>
                  </w:rPr>
                  <w:t>本期发生额</w:t>
                </w:r>
              </w:p>
            </w:tc>
          </w:sdtContent>
        </w:sdt>
        <w:sdt>
          <w:sdtPr>
            <w:rPr>
              <w:color w:val="000000" w:themeColor="text1"/>
              <w:sz w:val="21"/>
              <w:szCs w:val="21"/>
            </w:rPr>
            <w:tag w:val="_PLD_32dac50c80854f268b3afdebef20332e"/>
            <w:id w:val="1491995349"/>
          </w:sdtPr>
          <w:sdtEndPr/>
          <w:sdtContent>
            <w:tc>
              <w:tcPr>
                <w:tcW w:w="6070" w:type="dxa"/>
                <w:gridSpan w:val="4"/>
                <w:tcBorders>
                  <w:top w:val="single" w:sz="4" w:space="0" w:color="auto"/>
                  <w:left w:val="single" w:sz="6" w:space="0" w:color="auto"/>
                  <w:bottom w:val="single" w:sz="6" w:space="0" w:color="auto"/>
                  <w:right w:val="single" w:sz="4" w:space="0" w:color="auto"/>
                </w:tcBorders>
                <w:shd w:val="clear" w:color="auto" w:fill="auto"/>
                <w:vAlign w:val="center"/>
              </w:tcPr>
              <w:p w14:paraId="29081A5B" w14:textId="77777777" w:rsidR="002D0AE7" w:rsidRDefault="00333EBB">
                <w:pPr>
                  <w:spacing w:line="276" w:lineRule="auto"/>
                  <w:ind w:right="-16"/>
                  <w:jc w:val="center"/>
                  <w:rPr>
                    <w:rFonts w:cs="Arial" w:hint="eastAsia"/>
                    <w:bCs/>
                    <w:color w:val="000000" w:themeColor="text1"/>
                    <w:sz w:val="21"/>
                    <w:szCs w:val="21"/>
                  </w:rPr>
                </w:pPr>
                <w:r>
                  <w:rPr>
                    <w:rFonts w:cs="Arial" w:hint="eastAsia"/>
                    <w:color w:val="000000" w:themeColor="text1"/>
                    <w:sz w:val="21"/>
                    <w:szCs w:val="21"/>
                    <w:lang w:val="en-GB"/>
                  </w:rPr>
                  <w:t>上期发生额</w:t>
                </w:r>
              </w:p>
            </w:tc>
          </w:sdtContent>
        </w:sdt>
      </w:tr>
      <w:tr w:rsidR="002D0AE7" w14:paraId="4B448FDF" w14:textId="77777777">
        <w:trPr>
          <w:trHeight w:val="241"/>
          <w:jc w:val="center"/>
        </w:trPr>
        <w:tc>
          <w:tcPr>
            <w:tcW w:w="3397" w:type="dxa"/>
            <w:vMerge/>
            <w:tcBorders>
              <w:top w:val="single" w:sz="4" w:space="0" w:color="auto"/>
              <w:left w:val="single" w:sz="4" w:space="0" w:color="auto"/>
              <w:bottom w:val="single" w:sz="6" w:space="0" w:color="auto"/>
              <w:right w:val="single" w:sz="6" w:space="0" w:color="auto"/>
            </w:tcBorders>
            <w:shd w:val="clear" w:color="auto" w:fill="auto"/>
            <w:vAlign w:val="center"/>
          </w:tcPr>
          <w:p w14:paraId="7A37E58F" w14:textId="77777777" w:rsidR="002D0AE7" w:rsidRDefault="002D0AE7">
            <w:pPr>
              <w:jc w:val="center"/>
              <w:rPr>
                <w:rFonts w:cs="Arial" w:hint="eastAsia"/>
                <w:bCs/>
                <w:color w:val="000000" w:themeColor="text1"/>
                <w:sz w:val="21"/>
                <w:szCs w:val="21"/>
              </w:rPr>
            </w:pPr>
          </w:p>
        </w:tc>
        <w:sdt>
          <w:sdtPr>
            <w:rPr>
              <w:color w:val="000000" w:themeColor="text1"/>
              <w:sz w:val="21"/>
              <w:szCs w:val="21"/>
            </w:rPr>
            <w:tag w:val="_PLD_29407a86c6924579a6442f5b24e6decd"/>
            <w:id w:val="-761150099"/>
          </w:sdtPr>
          <w:sdtEndPr/>
          <w:sdtContent>
            <w:tc>
              <w:tcPr>
                <w:tcW w:w="1545" w:type="dxa"/>
                <w:tcBorders>
                  <w:top w:val="single" w:sz="6" w:space="0" w:color="auto"/>
                  <w:left w:val="single" w:sz="6" w:space="0" w:color="auto"/>
                  <w:bottom w:val="single" w:sz="6" w:space="0" w:color="auto"/>
                  <w:right w:val="single" w:sz="6" w:space="0" w:color="auto"/>
                </w:tcBorders>
                <w:shd w:val="clear" w:color="auto" w:fill="auto"/>
                <w:vAlign w:val="center"/>
              </w:tcPr>
              <w:p w14:paraId="4D6EA8D1" w14:textId="77777777" w:rsidR="002D0AE7" w:rsidRDefault="00333EBB">
                <w:pPr>
                  <w:spacing w:line="276" w:lineRule="auto"/>
                  <w:jc w:val="center"/>
                  <w:rPr>
                    <w:rFonts w:cs="Arial" w:hint="eastAsia"/>
                    <w:color w:val="000000" w:themeColor="text1"/>
                    <w:sz w:val="21"/>
                    <w:szCs w:val="21"/>
                  </w:rPr>
                </w:pPr>
                <w:r>
                  <w:rPr>
                    <w:rFonts w:cs="Arial" w:hint="eastAsia"/>
                    <w:color w:val="000000" w:themeColor="text1"/>
                    <w:sz w:val="21"/>
                    <w:szCs w:val="21"/>
                    <w:lang w:val="en-GB"/>
                  </w:rPr>
                  <w:t>营业收入</w:t>
                </w:r>
              </w:p>
            </w:tc>
          </w:sdtContent>
        </w:sdt>
        <w:sdt>
          <w:sdtPr>
            <w:rPr>
              <w:color w:val="000000" w:themeColor="text1"/>
              <w:sz w:val="21"/>
              <w:szCs w:val="21"/>
            </w:rPr>
            <w:tag w:val="_PLD_bc59f1076f2243f8984efa8df921ad2c"/>
            <w:id w:val="1548872455"/>
          </w:sdtPr>
          <w:sdtEndPr/>
          <w:sdtContent>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14:paraId="294F3C29" w14:textId="77777777" w:rsidR="002D0AE7" w:rsidRDefault="00333EBB">
                <w:pPr>
                  <w:spacing w:line="276" w:lineRule="auto"/>
                  <w:jc w:val="center"/>
                  <w:rPr>
                    <w:rFonts w:cs="Arial" w:hint="eastAsia"/>
                    <w:color w:val="000000" w:themeColor="text1"/>
                    <w:sz w:val="21"/>
                    <w:szCs w:val="21"/>
                  </w:rPr>
                </w:pPr>
                <w:r>
                  <w:rPr>
                    <w:rFonts w:cs="Arial" w:hint="eastAsia"/>
                    <w:color w:val="000000" w:themeColor="text1"/>
                    <w:sz w:val="21"/>
                    <w:szCs w:val="21"/>
                    <w:lang w:val="en-GB"/>
                  </w:rPr>
                  <w:t>净利润</w:t>
                </w:r>
              </w:p>
            </w:tc>
          </w:sdtContent>
        </w:sdt>
        <w:sdt>
          <w:sdtPr>
            <w:rPr>
              <w:color w:val="000000" w:themeColor="text1"/>
              <w:sz w:val="21"/>
              <w:szCs w:val="21"/>
            </w:rPr>
            <w:tag w:val="_PLD_90f87c27e3fb4843892cceb85599a3b1"/>
            <w:id w:val="-953097785"/>
          </w:sdtPr>
          <w:sdtEndPr/>
          <w:sdtContent>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5FC3A964" w14:textId="77777777" w:rsidR="002D0AE7" w:rsidRDefault="00333EBB">
                <w:pPr>
                  <w:spacing w:line="276" w:lineRule="auto"/>
                  <w:jc w:val="center"/>
                  <w:rPr>
                    <w:rFonts w:cs="Arial" w:hint="eastAsia"/>
                    <w:color w:val="000000" w:themeColor="text1"/>
                    <w:sz w:val="21"/>
                    <w:szCs w:val="21"/>
                  </w:rPr>
                </w:pPr>
                <w:r>
                  <w:rPr>
                    <w:rFonts w:cs="Arial" w:hint="eastAsia"/>
                    <w:color w:val="000000" w:themeColor="text1"/>
                    <w:sz w:val="21"/>
                    <w:szCs w:val="21"/>
                    <w:lang w:val="en-GB"/>
                  </w:rPr>
                  <w:t>综合收益总额</w:t>
                </w:r>
              </w:p>
            </w:tc>
          </w:sdtContent>
        </w:sdt>
        <w:sdt>
          <w:sdtPr>
            <w:rPr>
              <w:color w:val="000000" w:themeColor="text1"/>
              <w:sz w:val="21"/>
              <w:szCs w:val="21"/>
            </w:rPr>
            <w:tag w:val="_PLD_3126fb1798f346de95a39458603c4301"/>
            <w:id w:val="-301083169"/>
          </w:sdtPr>
          <w:sdtEndPr/>
          <w:sdtContent>
            <w:tc>
              <w:tcPr>
                <w:tcW w:w="1585" w:type="dxa"/>
                <w:tcBorders>
                  <w:top w:val="single" w:sz="6" w:space="0" w:color="auto"/>
                  <w:left w:val="single" w:sz="6" w:space="0" w:color="auto"/>
                  <w:bottom w:val="single" w:sz="6" w:space="0" w:color="auto"/>
                  <w:right w:val="single" w:sz="6" w:space="0" w:color="auto"/>
                </w:tcBorders>
                <w:shd w:val="clear" w:color="auto" w:fill="auto"/>
                <w:vAlign w:val="center"/>
              </w:tcPr>
              <w:p w14:paraId="70463984" w14:textId="77777777" w:rsidR="002D0AE7" w:rsidRDefault="00333EBB">
                <w:pPr>
                  <w:spacing w:line="276" w:lineRule="auto"/>
                  <w:jc w:val="center"/>
                  <w:rPr>
                    <w:rFonts w:cs="Arial" w:hint="eastAsia"/>
                    <w:color w:val="000000" w:themeColor="text1"/>
                    <w:sz w:val="21"/>
                    <w:szCs w:val="21"/>
                  </w:rPr>
                </w:pPr>
                <w:r>
                  <w:rPr>
                    <w:rFonts w:cs="Arial" w:hint="eastAsia"/>
                    <w:color w:val="000000" w:themeColor="text1"/>
                    <w:sz w:val="21"/>
                    <w:szCs w:val="21"/>
                    <w:lang w:val="en-GB"/>
                  </w:rPr>
                  <w:t>经营活动现金流量</w:t>
                </w:r>
              </w:p>
            </w:tc>
          </w:sdtContent>
        </w:sdt>
        <w:sdt>
          <w:sdtPr>
            <w:rPr>
              <w:color w:val="000000" w:themeColor="text1"/>
              <w:sz w:val="21"/>
              <w:szCs w:val="21"/>
            </w:rPr>
            <w:tag w:val="_PLD_44ccfb27fc6943ac84654ba7c7bef20e"/>
            <w:id w:val="897710474"/>
          </w:sdtPr>
          <w:sdtEndPr/>
          <w:sdtContent>
            <w:tc>
              <w:tcPr>
                <w:tcW w:w="1529" w:type="dxa"/>
                <w:tcBorders>
                  <w:top w:val="single" w:sz="6" w:space="0" w:color="auto"/>
                  <w:left w:val="single" w:sz="6" w:space="0" w:color="auto"/>
                  <w:bottom w:val="single" w:sz="6" w:space="0" w:color="auto"/>
                  <w:right w:val="single" w:sz="6" w:space="0" w:color="auto"/>
                </w:tcBorders>
                <w:shd w:val="clear" w:color="auto" w:fill="auto"/>
                <w:vAlign w:val="center"/>
              </w:tcPr>
              <w:p w14:paraId="51197523" w14:textId="77777777" w:rsidR="002D0AE7" w:rsidRDefault="00333EBB">
                <w:pPr>
                  <w:spacing w:line="276" w:lineRule="auto"/>
                  <w:jc w:val="center"/>
                  <w:rPr>
                    <w:rFonts w:cs="Arial" w:hint="eastAsia"/>
                    <w:color w:val="000000" w:themeColor="text1"/>
                    <w:sz w:val="21"/>
                    <w:szCs w:val="21"/>
                  </w:rPr>
                </w:pPr>
                <w:r>
                  <w:rPr>
                    <w:rFonts w:cs="Arial" w:hint="eastAsia"/>
                    <w:color w:val="000000" w:themeColor="text1"/>
                    <w:sz w:val="21"/>
                    <w:szCs w:val="21"/>
                    <w:lang w:val="en-GB"/>
                  </w:rPr>
                  <w:t>营业收入</w:t>
                </w:r>
              </w:p>
            </w:tc>
          </w:sdtContent>
        </w:sdt>
        <w:sdt>
          <w:sdtPr>
            <w:rPr>
              <w:color w:val="000000" w:themeColor="text1"/>
              <w:sz w:val="21"/>
              <w:szCs w:val="21"/>
            </w:rPr>
            <w:tag w:val="_PLD_c08aebbf24fa4b1aa2c4f79232c7c630"/>
            <w:id w:val="2128734058"/>
          </w:sdtPr>
          <w:sdtEndPr/>
          <w:sdtContent>
            <w:tc>
              <w:tcPr>
                <w:tcW w:w="1432" w:type="dxa"/>
                <w:tcBorders>
                  <w:top w:val="single" w:sz="6" w:space="0" w:color="auto"/>
                  <w:left w:val="single" w:sz="6" w:space="0" w:color="auto"/>
                  <w:bottom w:val="single" w:sz="6" w:space="0" w:color="auto"/>
                  <w:right w:val="single" w:sz="6" w:space="0" w:color="auto"/>
                </w:tcBorders>
                <w:shd w:val="clear" w:color="auto" w:fill="auto"/>
                <w:vAlign w:val="center"/>
              </w:tcPr>
              <w:p w14:paraId="58AFA70A" w14:textId="77777777" w:rsidR="002D0AE7" w:rsidRDefault="00333EBB">
                <w:pPr>
                  <w:spacing w:line="276" w:lineRule="auto"/>
                  <w:jc w:val="center"/>
                  <w:rPr>
                    <w:rFonts w:cs="Arial" w:hint="eastAsia"/>
                    <w:color w:val="000000" w:themeColor="text1"/>
                    <w:sz w:val="21"/>
                    <w:szCs w:val="21"/>
                  </w:rPr>
                </w:pPr>
                <w:r>
                  <w:rPr>
                    <w:rFonts w:cs="Arial" w:hint="eastAsia"/>
                    <w:color w:val="000000" w:themeColor="text1"/>
                    <w:sz w:val="21"/>
                    <w:szCs w:val="21"/>
                    <w:lang w:val="en-GB"/>
                  </w:rPr>
                  <w:t>净利润</w:t>
                </w:r>
              </w:p>
            </w:tc>
          </w:sdtContent>
        </w:sdt>
        <w:sdt>
          <w:sdtPr>
            <w:rPr>
              <w:color w:val="000000" w:themeColor="text1"/>
              <w:sz w:val="21"/>
              <w:szCs w:val="21"/>
            </w:rPr>
            <w:tag w:val="_PLD_0a377a03553f4d909179190a153a31b7"/>
            <w:id w:val="1180084774"/>
          </w:sdtPr>
          <w:sdtEndPr/>
          <w:sdtContent>
            <w:tc>
              <w:tcPr>
                <w:tcW w:w="1555" w:type="dxa"/>
                <w:tcBorders>
                  <w:top w:val="single" w:sz="6" w:space="0" w:color="auto"/>
                  <w:left w:val="single" w:sz="6" w:space="0" w:color="auto"/>
                  <w:bottom w:val="single" w:sz="6" w:space="0" w:color="auto"/>
                  <w:right w:val="single" w:sz="6" w:space="0" w:color="auto"/>
                </w:tcBorders>
                <w:shd w:val="clear" w:color="auto" w:fill="auto"/>
                <w:vAlign w:val="center"/>
              </w:tcPr>
              <w:p w14:paraId="65A816FA" w14:textId="77777777" w:rsidR="002D0AE7" w:rsidRDefault="00333EBB">
                <w:pPr>
                  <w:spacing w:line="276" w:lineRule="auto"/>
                  <w:jc w:val="center"/>
                  <w:rPr>
                    <w:rFonts w:cs="Arial" w:hint="eastAsia"/>
                    <w:color w:val="000000" w:themeColor="text1"/>
                    <w:sz w:val="21"/>
                    <w:szCs w:val="21"/>
                  </w:rPr>
                </w:pPr>
                <w:r>
                  <w:rPr>
                    <w:rFonts w:cs="Arial" w:hint="eastAsia"/>
                    <w:color w:val="000000" w:themeColor="text1"/>
                    <w:sz w:val="21"/>
                    <w:szCs w:val="21"/>
                    <w:lang w:val="en-GB"/>
                  </w:rPr>
                  <w:t>综合收益总额</w:t>
                </w:r>
              </w:p>
            </w:tc>
          </w:sdtContent>
        </w:sdt>
        <w:sdt>
          <w:sdtPr>
            <w:rPr>
              <w:color w:val="000000" w:themeColor="text1"/>
              <w:sz w:val="21"/>
              <w:szCs w:val="21"/>
            </w:rPr>
            <w:tag w:val="_PLD_400ec1e5e2cf42e5a9eea23ddbdbd572"/>
            <w:id w:val="-505519732"/>
          </w:sdtPr>
          <w:sdtEndPr/>
          <w:sdtContent>
            <w:tc>
              <w:tcPr>
                <w:tcW w:w="1554" w:type="dxa"/>
                <w:tcBorders>
                  <w:top w:val="single" w:sz="6" w:space="0" w:color="auto"/>
                  <w:left w:val="single" w:sz="6" w:space="0" w:color="auto"/>
                  <w:bottom w:val="single" w:sz="6" w:space="0" w:color="auto"/>
                  <w:right w:val="single" w:sz="4" w:space="0" w:color="auto"/>
                </w:tcBorders>
                <w:shd w:val="clear" w:color="auto" w:fill="auto"/>
                <w:vAlign w:val="center"/>
              </w:tcPr>
              <w:p w14:paraId="7C8667AF" w14:textId="77777777" w:rsidR="002D0AE7" w:rsidRDefault="00333EBB">
                <w:pPr>
                  <w:spacing w:line="276" w:lineRule="auto"/>
                  <w:jc w:val="center"/>
                  <w:rPr>
                    <w:rFonts w:cs="Arial" w:hint="eastAsia"/>
                    <w:color w:val="000000" w:themeColor="text1"/>
                    <w:sz w:val="21"/>
                    <w:szCs w:val="21"/>
                  </w:rPr>
                </w:pPr>
                <w:r>
                  <w:rPr>
                    <w:rFonts w:cs="Arial" w:hint="eastAsia"/>
                    <w:color w:val="000000" w:themeColor="text1"/>
                    <w:sz w:val="21"/>
                    <w:szCs w:val="21"/>
                    <w:lang w:val="en-GB"/>
                  </w:rPr>
                  <w:t>经营活动现金流量</w:t>
                </w:r>
              </w:p>
            </w:tc>
          </w:sdtContent>
        </w:sdt>
      </w:tr>
      <w:tr w:rsidR="002D0AE7" w14:paraId="4265C4BF" w14:textId="77777777">
        <w:trPr>
          <w:jc w:val="center"/>
        </w:trPr>
        <w:tc>
          <w:tcPr>
            <w:tcW w:w="3397" w:type="dxa"/>
            <w:tcBorders>
              <w:top w:val="single" w:sz="6" w:space="0" w:color="auto"/>
              <w:left w:val="single" w:sz="4" w:space="0" w:color="auto"/>
              <w:bottom w:val="single" w:sz="4" w:space="0" w:color="auto"/>
              <w:right w:val="single" w:sz="6" w:space="0" w:color="auto"/>
            </w:tcBorders>
            <w:vAlign w:val="center"/>
          </w:tcPr>
          <w:p w14:paraId="20503C0D" w14:textId="77777777" w:rsidR="002D0AE7" w:rsidRDefault="00333EBB">
            <w:pPr>
              <w:spacing w:line="276" w:lineRule="auto"/>
              <w:rPr>
                <w:rFonts w:hint="eastAsia"/>
                <w:sz w:val="21"/>
                <w:szCs w:val="21"/>
              </w:rPr>
            </w:pPr>
            <w:r>
              <w:rPr>
                <w:sz w:val="21"/>
                <w:szCs w:val="21"/>
              </w:rPr>
              <w:t>天津市天发药业进出口有限公司</w:t>
            </w:r>
          </w:p>
        </w:tc>
        <w:tc>
          <w:tcPr>
            <w:tcW w:w="1545" w:type="dxa"/>
            <w:tcBorders>
              <w:top w:val="single" w:sz="6" w:space="0" w:color="auto"/>
              <w:left w:val="single" w:sz="6" w:space="0" w:color="auto"/>
              <w:bottom w:val="single" w:sz="4" w:space="0" w:color="auto"/>
              <w:right w:val="single" w:sz="6" w:space="0" w:color="auto"/>
            </w:tcBorders>
            <w:vAlign w:val="center"/>
          </w:tcPr>
          <w:p w14:paraId="411C70A0" w14:textId="77777777" w:rsidR="002D0AE7" w:rsidRDefault="00333EBB">
            <w:pPr>
              <w:spacing w:line="276" w:lineRule="auto"/>
              <w:jc w:val="right"/>
              <w:rPr>
                <w:rFonts w:ascii="Times New Roman" w:hAnsi="Times New Roman" w:cs="Times New Roman"/>
                <w:sz w:val="21"/>
                <w:szCs w:val="21"/>
              </w:rPr>
            </w:pPr>
            <w:r>
              <w:rPr>
                <w:rFonts w:ascii="Times New Roman" w:hAnsi="Times New Roman" w:cs="Times New Roman"/>
                <w:sz w:val="21"/>
                <w:szCs w:val="21"/>
              </w:rPr>
              <w:t>518,199,327.43</w:t>
            </w:r>
          </w:p>
        </w:tc>
        <w:tc>
          <w:tcPr>
            <w:tcW w:w="1432" w:type="dxa"/>
            <w:tcBorders>
              <w:top w:val="single" w:sz="6" w:space="0" w:color="auto"/>
              <w:left w:val="single" w:sz="6" w:space="0" w:color="auto"/>
              <w:bottom w:val="single" w:sz="4" w:space="0" w:color="auto"/>
              <w:right w:val="single" w:sz="6" w:space="0" w:color="auto"/>
            </w:tcBorders>
            <w:vAlign w:val="center"/>
          </w:tcPr>
          <w:p w14:paraId="7B1982E9" w14:textId="77777777" w:rsidR="002D0AE7" w:rsidRDefault="00333EBB">
            <w:pPr>
              <w:spacing w:line="276" w:lineRule="auto"/>
              <w:jc w:val="right"/>
              <w:rPr>
                <w:rFonts w:ascii="Times New Roman" w:hAnsi="Times New Roman" w:cs="Times New Roman"/>
                <w:sz w:val="21"/>
                <w:szCs w:val="21"/>
              </w:rPr>
            </w:pPr>
            <w:r>
              <w:rPr>
                <w:rFonts w:ascii="Times New Roman" w:hAnsi="Times New Roman" w:cs="Times New Roman"/>
                <w:sz w:val="21"/>
                <w:szCs w:val="21"/>
              </w:rPr>
              <w:t>533,243.83</w:t>
            </w:r>
          </w:p>
        </w:tc>
        <w:tc>
          <w:tcPr>
            <w:tcW w:w="1559" w:type="dxa"/>
            <w:tcBorders>
              <w:top w:val="single" w:sz="6" w:space="0" w:color="auto"/>
              <w:left w:val="single" w:sz="6" w:space="0" w:color="auto"/>
              <w:bottom w:val="single" w:sz="4" w:space="0" w:color="auto"/>
              <w:right w:val="single" w:sz="6" w:space="0" w:color="auto"/>
            </w:tcBorders>
            <w:vAlign w:val="center"/>
          </w:tcPr>
          <w:p w14:paraId="1CC02E37" w14:textId="77777777" w:rsidR="002D0AE7" w:rsidRDefault="00333EBB">
            <w:pPr>
              <w:spacing w:line="276" w:lineRule="auto"/>
              <w:jc w:val="right"/>
              <w:rPr>
                <w:rFonts w:ascii="Times New Roman" w:hAnsi="Times New Roman" w:cs="Times New Roman"/>
                <w:sz w:val="21"/>
                <w:szCs w:val="21"/>
              </w:rPr>
            </w:pPr>
            <w:r>
              <w:rPr>
                <w:rFonts w:ascii="Times New Roman" w:hAnsi="Times New Roman" w:cs="Times New Roman"/>
                <w:sz w:val="21"/>
                <w:szCs w:val="21"/>
              </w:rPr>
              <w:t>533,243.83</w:t>
            </w:r>
          </w:p>
        </w:tc>
        <w:tc>
          <w:tcPr>
            <w:tcW w:w="1585" w:type="dxa"/>
            <w:tcBorders>
              <w:top w:val="single" w:sz="6" w:space="0" w:color="auto"/>
              <w:left w:val="single" w:sz="6" w:space="0" w:color="auto"/>
              <w:bottom w:val="single" w:sz="4" w:space="0" w:color="auto"/>
              <w:right w:val="single" w:sz="6" w:space="0" w:color="auto"/>
            </w:tcBorders>
            <w:vAlign w:val="center"/>
          </w:tcPr>
          <w:p w14:paraId="13B9BA57" w14:textId="77777777" w:rsidR="002D0AE7" w:rsidRDefault="00333EBB">
            <w:pPr>
              <w:spacing w:line="276" w:lineRule="auto"/>
              <w:jc w:val="right"/>
              <w:rPr>
                <w:rFonts w:ascii="Times New Roman" w:hAnsi="Times New Roman" w:cs="Times New Roman"/>
                <w:sz w:val="21"/>
                <w:szCs w:val="21"/>
              </w:rPr>
            </w:pPr>
            <w:r>
              <w:rPr>
                <w:rFonts w:ascii="Times New Roman" w:hAnsi="Times New Roman" w:cs="Times New Roman"/>
                <w:sz w:val="21"/>
                <w:szCs w:val="21"/>
              </w:rPr>
              <w:t>-11,101,442.66</w:t>
            </w:r>
          </w:p>
        </w:tc>
        <w:tc>
          <w:tcPr>
            <w:tcW w:w="1529" w:type="dxa"/>
            <w:tcBorders>
              <w:top w:val="single" w:sz="6" w:space="0" w:color="auto"/>
              <w:left w:val="single" w:sz="6" w:space="0" w:color="auto"/>
              <w:bottom w:val="single" w:sz="4" w:space="0" w:color="auto"/>
              <w:right w:val="single" w:sz="6" w:space="0" w:color="auto"/>
            </w:tcBorders>
            <w:vAlign w:val="center"/>
          </w:tcPr>
          <w:p w14:paraId="572E6496" w14:textId="77777777" w:rsidR="002D0AE7" w:rsidRDefault="00333EBB">
            <w:pPr>
              <w:spacing w:line="276" w:lineRule="auto"/>
              <w:jc w:val="right"/>
              <w:rPr>
                <w:rFonts w:ascii="Times New Roman" w:hAnsi="Times New Roman" w:cs="Times New Roman"/>
                <w:sz w:val="21"/>
                <w:szCs w:val="21"/>
              </w:rPr>
            </w:pPr>
            <w:r>
              <w:rPr>
                <w:rFonts w:ascii="Times New Roman" w:hAnsi="Times New Roman" w:cs="Times New Roman"/>
                <w:sz w:val="21"/>
                <w:szCs w:val="21"/>
              </w:rPr>
              <w:t>520,469,260.13</w:t>
            </w:r>
          </w:p>
        </w:tc>
        <w:tc>
          <w:tcPr>
            <w:tcW w:w="1432" w:type="dxa"/>
            <w:tcBorders>
              <w:top w:val="single" w:sz="6" w:space="0" w:color="auto"/>
              <w:left w:val="single" w:sz="6" w:space="0" w:color="auto"/>
              <w:bottom w:val="single" w:sz="4" w:space="0" w:color="auto"/>
              <w:right w:val="single" w:sz="6" w:space="0" w:color="auto"/>
            </w:tcBorders>
            <w:vAlign w:val="center"/>
          </w:tcPr>
          <w:p w14:paraId="29D5A530" w14:textId="77777777" w:rsidR="002D0AE7" w:rsidRDefault="00333EBB">
            <w:pPr>
              <w:spacing w:line="276" w:lineRule="auto"/>
              <w:jc w:val="right"/>
              <w:rPr>
                <w:rFonts w:ascii="Times New Roman" w:hAnsi="Times New Roman" w:cs="Times New Roman"/>
                <w:sz w:val="21"/>
                <w:szCs w:val="21"/>
              </w:rPr>
            </w:pPr>
            <w:r>
              <w:rPr>
                <w:rFonts w:ascii="Times New Roman" w:hAnsi="Times New Roman" w:cs="Times New Roman"/>
                <w:sz w:val="21"/>
                <w:szCs w:val="21"/>
              </w:rPr>
              <w:t>4,001,856.21</w:t>
            </w:r>
          </w:p>
        </w:tc>
        <w:tc>
          <w:tcPr>
            <w:tcW w:w="1555" w:type="dxa"/>
            <w:tcBorders>
              <w:top w:val="single" w:sz="6" w:space="0" w:color="auto"/>
              <w:left w:val="single" w:sz="6" w:space="0" w:color="auto"/>
              <w:bottom w:val="single" w:sz="4" w:space="0" w:color="auto"/>
              <w:right w:val="single" w:sz="6" w:space="0" w:color="auto"/>
            </w:tcBorders>
            <w:vAlign w:val="center"/>
          </w:tcPr>
          <w:p w14:paraId="042EDBFD" w14:textId="77777777" w:rsidR="002D0AE7" w:rsidRDefault="00333EBB">
            <w:pPr>
              <w:spacing w:line="276" w:lineRule="auto"/>
              <w:jc w:val="right"/>
              <w:rPr>
                <w:rFonts w:ascii="Times New Roman" w:hAnsi="Times New Roman" w:cs="Times New Roman"/>
                <w:sz w:val="21"/>
                <w:szCs w:val="21"/>
              </w:rPr>
            </w:pPr>
            <w:r>
              <w:rPr>
                <w:rFonts w:ascii="Times New Roman" w:hAnsi="Times New Roman" w:cs="Times New Roman"/>
                <w:sz w:val="21"/>
                <w:szCs w:val="21"/>
              </w:rPr>
              <w:t>4,001,856.21</w:t>
            </w:r>
          </w:p>
        </w:tc>
        <w:tc>
          <w:tcPr>
            <w:tcW w:w="1554" w:type="dxa"/>
            <w:tcBorders>
              <w:top w:val="single" w:sz="6" w:space="0" w:color="auto"/>
              <w:left w:val="single" w:sz="6" w:space="0" w:color="auto"/>
              <w:bottom w:val="single" w:sz="4" w:space="0" w:color="auto"/>
              <w:right w:val="single" w:sz="4" w:space="0" w:color="auto"/>
            </w:tcBorders>
            <w:vAlign w:val="center"/>
          </w:tcPr>
          <w:p w14:paraId="14BA1935" w14:textId="77777777" w:rsidR="002D0AE7" w:rsidRDefault="00333EBB">
            <w:pPr>
              <w:spacing w:line="276" w:lineRule="auto"/>
              <w:jc w:val="right"/>
              <w:rPr>
                <w:rFonts w:ascii="Times New Roman" w:hAnsi="Times New Roman" w:cs="Times New Roman"/>
                <w:sz w:val="21"/>
                <w:szCs w:val="21"/>
              </w:rPr>
            </w:pPr>
            <w:r>
              <w:rPr>
                <w:rFonts w:ascii="Times New Roman" w:hAnsi="Times New Roman" w:cs="Times New Roman"/>
                <w:sz w:val="21"/>
                <w:szCs w:val="21"/>
              </w:rPr>
              <w:t>54,903,052.51</w:t>
            </w:r>
          </w:p>
        </w:tc>
      </w:tr>
      <w:tr w:rsidR="002D0AE7" w14:paraId="0C737F55" w14:textId="77777777">
        <w:trPr>
          <w:jc w:val="center"/>
        </w:trPr>
        <w:tc>
          <w:tcPr>
            <w:tcW w:w="3397" w:type="dxa"/>
            <w:tcBorders>
              <w:top w:val="single" w:sz="6" w:space="0" w:color="auto"/>
              <w:left w:val="single" w:sz="4" w:space="0" w:color="auto"/>
              <w:bottom w:val="single" w:sz="4" w:space="0" w:color="auto"/>
              <w:right w:val="single" w:sz="6" w:space="0" w:color="auto"/>
            </w:tcBorders>
            <w:vAlign w:val="center"/>
          </w:tcPr>
          <w:p w14:paraId="55399998" w14:textId="77777777" w:rsidR="002D0AE7" w:rsidRDefault="00333EBB">
            <w:pPr>
              <w:spacing w:line="276" w:lineRule="auto"/>
              <w:rPr>
                <w:rFonts w:hint="eastAsia"/>
                <w:sz w:val="21"/>
                <w:szCs w:val="21"/>
              </w:rPr>
            </w:pPr>
            <w:r>
              <w:rPr>
                <w:sz w:val="21"/>
                <w:szCs w:val="21"/>
              </w:rPr>
              <w:t>津药和平（天津）制药有限公司</w:t>
            </w:r>
          </w:p>
        </w:tc>
        <w:tc>
          <w:tcPr>
            <w:tcW w:w="1545" w:type="dxa"/>
            <w:tcBorders>
              <w:top w:val="single" w:sz="6" w:space="0" w:color="auto"/>
              <w:left w:val="single" w:sz="6" w:space="0" w:color="auto"/>
              <w:bottom w:val="single" w:sz="4" w:space="0" w:color="auto"/>
              <w:right w:val="single" w:sz="6" w:space="0" w:color="auto"/>
            </w:tcBorders>
            <w:vAlign w:val="center"/>
          </w:tcPr>
          <w:p w14:paraId="1DC63DA1" w14:textId="77777777" w:rsidR="002D0AE7" w:rsidRDefault="00333EBB">
            <w:pPr>
              <w:spacing w:line="276" w:lineRule="auto"/>
              <w:jc w:val="right"/>
              <w:rPr>
                <w:rFonts w:ascii="Times New Roman" w:hAnsi="Times New Roman" w:cs="Times New Roman"/>
                <w:sz w:val="21"/>
                <w:szCs w:val="21"/>
              </w:rPr>
            </w:pPr>
            <w:r>
              <w:rPr>
                <w:rFonts w:ascii="Times New Roman" w:hAnsi="Times New Roman" w:cs="Times New Roman"/>
                <w:sz w:val="21"/>
                <w:szCs w:val="21"/>
              </w:rPr>
              <w:t>553,921,438.14</w:t>
            </w:r>
          </w:p>
        </w:tc>
        <w:tc>
          <w:tcPr>
            <w:tcW w:w="1432" w:type="dxa"/>
            <w:tcBorders>
              <w:top w:val="single" w:sz="6" w:space="0" w:color="auto"/>
              <w:left w:val="single" w:sz="6" w:space="0" w:color="auto"/>
              <w:bottom w:val="single" w:sz="4" w:space="0" w:color="auto"/>
              <w:right w:val="single" w:sz="6" w:space="0" w:color="auto"/>
            </w:tcBorders>
            <w:vAlign w:val="center"/>
          </w:tcPr>
          <w:p w14:paraId="5937020F" w14:textId="77777777" w:rsidR="002D0AE7" w:rsidRDefault="00333EBB">
            <w:pPr>
              <w:spacing w:line="276" w:lineRule="auto"/>
              <w:jc w:val="right"/>
              <w:rPr>
                <w:rFonts w:ascii="Times New Roman" w:hAnsi="Times New Roman" w:cs="Times New Roman"/>
                <w:sz w:val="21"/>
                <w:szCs w:val="21"/>
              </w:rPr>
            </w:pPr>
            <w:r>
              <w:rPr>
                <w:rFonts w:ascii="Times New Roman" w:hAnsi="Times New Roman" w:cs="Times New Roman"/>
                <w:sz w:val="21"/>
                <w:szCs w:val="21"/>
              </w:rPr>
              <w:t>53,499,191.78</w:t>
            </w:r>
          </w:p>
        </w:tc>
        <w:tc>
          <w:tcPr>
            <w:tcW w:w="1559" w:type="dxa"/>
            <w:tcBorders>
              <w:top w:val="single" w:sz="6" w:space="0" w:color="auto"/>
              <w:left w:val="single" w:sz="6" w:space="0" w:color="auto"/>
              <w:bottom w:val="single" w:sz="4" w:space="0" w:color="auto"/>
              <w:right w:val="single" w:sz="6" w:space="0" w:color="auto"/>
            </w:tcBorders>
            <w:vAlign w:val="center"/>
          </w:tcPr>
          <w:p w14:paraId="2E56D89C" w14:textId="77777777" w:rsidR="002D0AE7" w:rsidRDefault="00333EBB">
            <w:pPr>
              <w:spacing w:line="276" w:lineRule="auto"/>
              <w:jc w:val="right"/>
              <w:rPr>
                <w:rFonts w:ascii="Times New Roman" w:hAnsi="Times New Roman" w:cs="Times New Roman"/>
                <w:sz w:val="21"/>
                <w:szCs w:val="21"/>
              </w:rPr>
            </w:pPr>
            <w:r>
              <w:rPr>
                <w:rFonts w:ascii="Times New Roman" w:hAnsi="Times New Roman" w:cs="Times New Roman"/>
                <w:sz w:val="21"/>
                <w:szCs w:val="21"/>
              </w:rPr>
              <w:t>53,499,191.78</w:t>
            </w:r>
          </w:p>
        </w:tc>
        <w:tc>
          <w:tcPr>
            <w:tcW w:w="1585" w:type="dxa"/>
            <w:tcBorders>
              <w:top w:val="single" w:sz="6" w:space="0" w:color="auto"/>
              <w:left w:val="single" w:sz="6" w:space="0" w:color="auto"/>
              <w:bottom w:val="single" w:sz="4" w:space="0" w:color="auto"/>
              <w:right w:val="single" w:sz="6" w:space="0" w:color="auto"/>
            </w:tcBorders>
            <w:vAlign w:val="center"/>
          </w:tcPr>
          <w:p w14:paraId="54C0A65F" w14:textId="77777777" w:rsidR="002D0AE7" w:rsidRDefault="00333EBB">
            <w:pPr>
              <w:spacing w:line="276" w:lineRule="auto"/>
              <w:jc w:val="right"/>
              <w:rPr>
                <w:rFonts w:ascii="Times New Roman" w:hAnsi="Times New Roman" w:cs="Times New Roman"/>
                <w:sz w:val="21"/>
                <w:szCs w:val="21"/>
              </w:rPr>
            </w:pPr>
            <w:r>
              <w:rPr>
                <w:rFonts w:ascii="Times New Roman" w:hAnsi="Times New Roman" w:cs="Times New Roman"/>
                <w:sz w:val="21"/>
                <w:szCs w:val="21"/>
              </w:rPr>
              <w:t>104,955,407.79</w:t>
            </w:r>
          </w:p>
        </w:tc>
        <w:tc>
          <w:tcPr>
            <w:tcW w:w="1529" w:type="dxa"/>
            <w:tcBorders>
              <w:top w:val="single" w:sz="6" w:space="0" w:color="auto"/>
              <w:left w:val="single" w:sz="6" w:space="0" w:color="auto"/>
              <w:bottom w:val="single" w:sz="4" w:space="0" w:color="auto"/>
              <w:right w:val="single" w:sz="6" w:space="0" w:color="auto"/>
            </w:tcBorders>
            <w:vAlign w:val="center"/>
          </w:tcPr>
          <w:p w14:paraId="7DBB7236" w14:textId="77777777" w:rsidR="002D0AE7" w:rsidRDefault="00333EBB">
            <w:pPr>
              <w:spacing w:line="276" w:lineRule="auto"/>
              <w:jc w:val="right"/>
              <w:rPr>
                <w:rFonts w:ascii="Times New Roman" w:hAnsi="Times New Roman" w:cs="Times New Roman"/>
                <w:sz w:val="21"/>
                <w:szCs w:val="21"/>
              </w:rPr>
            </w:pPr>
            <w:r>
              <w:rPr>
                <w:rFonts w:ascii="Times New Roman" w:hAnsi="Times New Roman" w:cs="Times New Roman"/>
                <w:sz w:val="21"/>
                <w:szCs w:val="21"/>
              </w:rPr>
              <w:t>764,382,040.58</w:t>
            </w:r>
          </w:p>
        </w:tc>
        <w:tc>
          <w:tcPr>
            <w:tcW w:w="1432" w:type="dxa"/>
            <w:tcBorders>
              <w:top w:val="single" w:sz="6" w:space="0" w:color="auto"/>
              <w:left w:val="single" w:sz="6" w:space="0" w:color="auto"/>
              <w:bottom w:val="single" w:sz="4" w:space="0" w:color="auto"/>
              <w:right w:val="single" w:sz="6" w:space="0" w:color="auto"/>
            </w:tcBorders>
            <w:vAlign w:val="center"/>
          </w:tcPr>
          <w:p w14:paraId="1B196A72" w14:textId="77777777" w:rsidR="002D0AE7" w:rsidRDefault="00333EBB">
            <w:pPr>
              <w:spacing w:line="276" w:lineRule="auto"/>
              <w:jc w:val="right"/>
              <w:rPr>
                <w:rFonts w:ascii="Times New Roman" w:hAnsi="Times New Roman" w:cs="Times New Roman"/>
                <w:sz w:val="21"/>
                <w:szCs w:val="21"/>
              </w:rPr>
            </w:pPr>
            <w:r>
              <w:rPr>
                <w:rFonts w:ascii="Times New Roman" w:hAnsi="Times New Roman" w:cs="Times New Roman"/>
                <w:sz w:val="21"/>
                <w:szCs w:val="21"/>
              </w:rPr>
              <w:t>45,879,985.31</w:t>
            </w:r>
          </w:p>
        </w:tc>
        <w:tc>
          <w:tcPr>
            <w:tcW w:w="1555" w:type="dxa"/>
            <w:tcBorders>
              <w:top w:val="single" w:sz="6" w:space="0" w:color="auto"/>
              <w:left w:val="single" w:sz="6" w:space="0" w:color="auto"/>
              <w:bottom w:val="single" w:sz="4" w:space="0" w:color="auto"/>
              <w:right w:val="single" w:sz="6" w:space="0" w:color="auto"/>
            </w:tcBorders>
            <w:vAlign w:val="center"/>
          </w:tcPr>
          <w:p w14:paraId="39154F63" w14:textId="77777777" w:rsidR="002D0AE7" w:rsidRDefault="00333EBB">
            <w:pPr>
              <w:spacing w:line="276" w:lineRule="auto"/>
              <w:jc w:val="right"/>
              <w:rPr>
                <w:rFonts w:ascii="Times New Roman" w:hAnsi="Times New Roman" w:cs="Times New Roman"/>
                <w:sz w:val="21"/>
                <w:szCs w:val="21"/>
              </w:rPr>
            </w:pPr>
            <w:r>
              <w:rPr>
                <w:rFonts w:ascii="Times New Roman" w:hAnsi="Times New Roman" w:cs="Times New Roman"/>
                <w:sz w:val="21"/>
                <w:szCs w:val="21"/>
              </w:rPr>
              <w:t>45,879,985.31</w:t>
            </w:r>
          </w:p>
        </w:tc>
        <w:tc>
          <w:tcPr>
            <w:tcW w:w="1554" w:type="dxa"/>
            <w:tcBorders>
              <w:top w:val="single" w:sz="6" w:space="0" w:color="auto"/>
              <w:left w:val="single" w:sz="6" w:space="0" w:color="auto"/>
              <w:bottom w:val="single" w:sz="4" w:space="0" w:color="auto"/>
              <w:right w:val="single" w:sz="4" w:space="0" w:color="auto"/>
            </w:tcBorders>
            <w:vAlign w:val="center"/>
          </w:tcPr>
          <w:p w14:paraId="019356BF" w14:textId="77777777" w:rsidR="002D0AE7" w:rsidRDefault="00333EBB">
            <w:pPr>
              <w:spacing w:line="276" w:lineRule="auto"/>
              <w:jc w:val="right"/>
              <w:rPr>
                <w:rFonts w:ascii="Times New Roman" w:hAnsi="Times New Roman" w:cs="Times New Roman"/>
                <w:sz w:val="21"/>
                <w:szCs w:val="21"/>
              </w:rPr>
            </w:pPr>
            <w:r>
              <w:rPr>
                <w:rFonts w:ascii="Times New Roman" w:hAnsi="Times New Roman" w:cs="Times New Roman"/>
                <w:sz w:val="21"/>
                <w:szCs w:val="21"/>
              </w:rPr>
              <w:t>55,016,037.67</w:t>
            </w:r>
          </w:p>
        </w:tc>
      </w:tr>
      <w:tr w:rsidR="002D0AE7" w14:paraId="550FC179" w14:textId="77777777">
        <w:trPr>
          <w:jc w:val="center"/>
        </w:trPr>
        <w:tc>
          <w:tcPr>
            <w:tcW w:w="3397" w:type="dxa"/>
            <w:tcBorders>
              <w:top w:val="single" w:sz="6" w:space="0" w:color="auto"/>
              <w:left w:val="single" w:sz="4" w:space="0" w:color="auto"/>
              <w:bottom w:val="single" w:sz="4" w:space="0" w:color="auto"/>
              <w:right w:val="single" w:sz="6" w:space="0" w:color="auto"/>
            </w:tcBorders>
            <w:vAlign w:val="center"/>
          </w:tcPr>
          <w:p w14:paraId="45E89E38" w14:textId="77777777" w:rsidR="002D0AE7" w:rsidRDefault="00333EBB">
            <w:pPr>
              <w:spacing w:line="276" w:lineRule="auto"/>
              <w:rPr>
                <w:rFonts w:hint="eastAsia"/>
                <w:sz w:val="21"/>
                <w:szCs w:val="21"/>
              </w:rPr>
            </w:pPr>
            <w:r>
              <w:rPr>
                <w:sz w:val="21"/>
                <w:szCs w:val="21"/>
              </w:rPr>
              <w:t>天津津药环境科技有限公司</w:t>
            </w:r>
          </w:p>
        </w:tc>
        <w:tc>
          <w:tcPr>
            <w:tcW w:w="1545" w:type="dxa"/>
            <w:tcBorders>
              <w:top w:val="single" w:sz="6" w:space="0" w:color="auto"/>
              <w:left w:val="single" w:sz="6" w:space="0" w:color="auto"/>
              <w:bottom w:val="single" w:sz="4" w:space="0" w:color="auto"/>
              <w:right w:val="single" w:sz="6" w:space="0" w:color="auto"/>
            </w:tcBorders>
            <w:vAlign w:val="center"/>
          </w:tcPr>
          <w:p w14:paraId="080AB47C" w14:textId="77777777" w:rsidR="002D0AE7" w:rsidRDefault="00333EBB">
            <w:pPr>
              <w:spacing w:line="276" w:lineRule="auto"/>
              <w:jc w:val="right"/>
              <w:rPr>
                <w:rFonts w:ascii="Times New Roman" w:hAnsi="Times New Roman" w:cs="Times New Roman"/>
                <w:sz w:val="21"/>
                <w:szCs w:val="21"/>
              </w:rPr>
            </w:pPr>
            <w:r>
              <w:rPr>
                <w:rFonts w:ascii="Times New Roman" w:hAnsi="Times New Roman" w:cs="Times New Roman"/>
                <w:sz w:val="21"/>
                <w:szCs w:val="21"/>
              </w:rPr>
              <w:t>78,361,766.10</w:t>
            </w:r>
          </w:p>
        </w:tc>
        <w:tc>
          <w:tcPr>
            <w:tcW w:w="1432" w:type="dxa"/>
            <w:tcBorders>
              <w:top w:val="single" w:sz="6" w:space="0" w:color="auto"/>
              <w:left w:val="single" w:sz="6" w:space="0" w:color="auto"/>
              <w:bottom w:val="single" w:sz="4" w:space="0" w:color="auto"/>
              <w:right w:val="single" w:sz="6" w:space="0" w:color="auto"/>
            </w:tcBorders>
            <w:vAlign w:val="center"/>
          </w:tcPr>
          <w:p w14:paraId="1DBAA4A8" w14:textId="77777777" w:rsidR="002D0AE7" w:rsidRDefault="00333EBB">
            <w:pPr>
              <w:spacing w:line="276" w:lineRule="auto"/>
              <w:jc w:val="right"/>
              <w:rPr>
                <w:rFonts w:ascii="Times New Roman" w:hAnsi="Times New Roman" w:cs="Times New Roman"/>
                <w:sz w:val="21"/>
                <w:szCs w:val="21"/>
              </w:rPr>
            </w:pPr>
            <w:r>
              <w:rPr>
                <w:rFonts w:ascii="Times New Roman" w:hAnsi="Times New Roman" w:cs="Times New Roman"/>
                <w:sz w:val="21"/>
                <w:szCs w:val="21"/>
              </w:rPr>
              <w:t>574,757.88</w:t>
            </w:r>
          </w:p>
        </w:tc>
        <w:tc>
          <w:tcPr>
            <w:tcW w:w="1559" w:type="dxa"/>
            <w:tcBorders>
              <w:top w:val="single" w:sz="6" w:space="0" w:color="auto"/>
              <w:left w:val="single" w:sz="6" w:space="0" w:color="auto"/>
              <w:bottom w:val="single" w:sz="4" w:space="0" w:color="auto"/>
              <w:right w:val="single" w:sz="6" w:space="0" w:color="auto"/>
            </w:tcBorders>
            <w:vAlign w:val="center"/>
          </w:tcPr>
          <w:p w14:paraId="1C4B8FEF" w14:textId="77777777" w:rsidR="002D0AE7" w:rsidRDefault="00333EBB">
            <w:pPr>
              <w:spacing w:line="276" w:lineRule="auto"/>
              <w:jc w:val="right"/>
              <w:rPr>
                <w:rFonts w:ascii="Times New Roman" w:hAnsi="Times New Roman" w:cs="Times New Roman"/>
                <w:sz w:val="21"/>
                <w:szCs w:val="21"/>
              </w:rPr>
            </w:pPr>
            <w:r>
              <w:rPr>
                <w:rFonts w:ascii="Times New Roman" w:hAnsi="Times New Roman" w:cs="Times New Roman"/>
                <w:sz w:val="21"/>
                <w:szCs w:val="21"/>
              </w:rPr>
              <w:t>574,757.88</w:t>
            </w:r>
          </w:p>
        </w:tc>
        <w:tc>
          <w:tcPr>
            <w:tcW w:w="1585" w:type="dxa"/>
            <w:tcBorders>
              <w:top w:val="single" w:sz="6" w:space="0" w:color="auto"/>
              <w:left w:val="single" w:sz="6" w:space="0" w:color="auto"/>
              <w:bottom w:val="single" w:sz="4" w:space="0" w:color="auto"/>
              <w:right w:val="single" w:sz="6" w:space="0" w:color="auto"/>
            </w:tcBorders>
            <w:vAlign w:val="center"/>
          </w:tcPr>
          <w:p w14:paraId="19DD8191" w14:textId="77777777" w:rsidR="002D0AE7" w:rsidRDefault="00333EBB">
            <w:pPr>
              <w:spacing w:line="276" w:lineRule="auto"/>
              <w:jc w:val="right"/>
              <w:rPr>
                <w:rFonts w:ascii="Times New Roman" w:hAnsi="Times New Roman" w:cs="Times New Roman"/>
                <w:sz w:val="21"/>
                <w:szCs w:val="21"/>
              </w:rPr>
            </w:pPr>
            <w:r>
              <w:rPr>
                <w:rFonts w:ascii="Times New Roman" w:hAnsi="Times New Roman" w:cs="Times New Roman"/>
                <w:sz w:val="21"/>
                <w:szCs w:val="21"/>
              </w:rPr>
              <w:t>6,868,729.36</w:t>
            </w:r>
          </w:p>
        </w:tc>
        <w:tc>
          <w:tcPr>
            <w:tcW w:w="1529" w:type="dxa"/>
            <w:tcBorders>
              <w:top w:val="single" w:sz="6" w:space="0" w:color="auto"/>
              <w:left w:val="single" w:sz="6" w:space="0" w:color="auto"/>
              <w:bottom w:val="single" w:sz="4" w:space="0" w:color="auto"/>
              <w:right w:val="single" w:sz="6" w:space="0" w:color="auto"/>
            </w:tcBorders>
            <w:vAlign w:val="center"/>
          </w:tcPr>
          <w:p w14:paraId="61C064ED" w14:textId="77777777" w:rsidR="002D0AE7" w:rsidRDefault="00333EBB">
            <w:pPr>
              <w:spacing w:line="276" w:lineRule="auto"/>
              <w:jc w:val="right"/>
              <w:rPr>
                <w:rFonts w:ascii="Times New Roman" w:hAnsi="Times New Roman" w:cs="Times New Roman"/>
                <w:sz w:val="21"/>
                <w:szCs w:val="21"/>
              </w:rPr>
            </w:pPr>
            <w:r>
              <w:rPr>
                <w:rFonts w:ascii="Times New Roman" w:hAnsi="Times New Roman" w:cs="Times New Roman"/>
                <w:sz w:val="21"/>
                <w:szCs w:val="21"/>
              </w:rPr>
              <w:t>84,822,480.65</w:t>
            </w:r>
          </w:p>
        </w:tc>
        <w:tc>
          <w:tcPr>
            <w:tcW w:w="1432" w:type="dxa"/>
            <w:tcBorders>
              <w:top w:val="single" w:sz="6" w:space="0" w:color="auto"/>
              <w:left w:val="single" w:sz="6" w:space="0" w:color="auto"/>
              <w:bottom w:val="single" w:sz="4" w:space="0" w:color="auto"/>
              <w:right w:val="single" w:sz="6" w:space="0" w:color="auto"/>
            </w:tcBorders>
            <w:vAlign w:val="center"/>
          </w:tcPr>
          <w:p w14:paraId="2CECBC5A" w14:textId="77777777" w:rsidR="002D0AE7" w:rsidRDefault="00333EBB">
            <w:pPr>
              <w:spacing w:line="276" w:lineRule="auto"/>
              <w:jc w:val="right"/>
              <w:rPr>
                <w:rFonts w:ascii="Times New Roman" w:hAnsi="Times New Roman" w:cs="Times New Roman"/>
                <w:sz w:val="21"/>
                <w:szCs w:val="21"/>
              </w:rPr>
            </w:pPr>
            <w:r>
              <w:rPr>
                <w:rFonts w:ascii="Times New Roman" w:hAnsi="Times New Roman" w:cs="Times New Roman"/>
                <w:sz w:val="21"/>
                <w:szCs w:val="21"/>
              </w:rPr>
              <w:t>82,628.67</w:t>
            </w:r>
          </w:p>
        </w:tc>
        <w:tc>
          <w:tcPr>
            <w:tcW w:w="1555" w:type="dxa"/>
            <w:tcBorders>
              <w:top w:val="single" w:sz="6" w:space="0" w:color="auto"/>
              <w:left w:val="single" w:sz="6" w:space="0" w:color="auto"/>
              <w:bottom w:val="single" w:sz="4" w:space="0" w:color="auto"/>
              <w:right w:val="single" w:sz="6" w:space="0" w:color="auto"/>
            </w:tcBorders>
            <w:vAlign w:val="center"/>
          </w:tcPr>
          <w:p w14:paraId="1102A3E3" w14:textId="77777777" w:rsidR="002D0AE7" w:rsidRDefault="00333EBB">
            <w:pPr>
              <w:spacing w:line="276" w:lineRule="auto"/>
              <w:jc w:val="right"/>
              <w:rPr>
                <w:rFonts w:ascii="Times New Roman" w:hAnsi="Times New Roman" w:cs="Times New Roman"/>
                <w:sz w:val="21"/>
                <w:szCs w:val="21"/>
              </w:rPr>
            </w:pPr>
            <w:r>
              <w:rPr>
                <w:rFonts w:ascii="Times New Roman" w:hAnsi="Times New Roman" w:cs="Times New Roman"/>
                <w:sz w:val="21"/>
                <w:szCs w:val="21"/>
              </w:rPr>
              <w:t>82,628.67</w:t>
            </w:r>
          </w:p>
        </w:tc>
        <w:tc>
          <w:tcPr>
            <w:tcW w:w="1554" w:type="dxa"/>
            <w:tcBorders>
              <w:top w:val="single" w:sz="6" w:space="0" w:color="auto"/>
              <w:left w:val="single" w:sz="6" w:space="0" w:color="auto"/>
              <w:bottom w:val="single" w:sz="4" w:space="0" w:color="auto"/>
              <w:right w:val="single" w:sz="4" w:space="0" w:color="auto"/>
            </w:tcBorders>
            <w:vAlign w:val="center"/>
          </w:tcPr>
          <w:p w14:paraId="2D55F11D" w14:textId="77777777" w:rsidR="002D0AE7" w:rsidRDefault="00333EBB">
            <w:pPr>
              <w:spacing w:line="276" w:lineRule="auto"/>
              <w:jc w:val="right"/>
              <w:rPr>
                <w:rFonts w:ascii="Times New Roman" w:hAnsi="Times New Roman" w:cs="Times New Roman"/>
                <w:sz w:val="21"/>
                <w:szCs w:val="21"/>
              </w:rPr>
            </w:pPr>
            <w:r>
              <w:rPr>
                <w:rFonts w:ascii="Times New Roman" w:hAnsi="Times New Roman" w:cs="Times New Roman"/>
                <w:sz w:val="21"/>
                <w:szCs w:val="21"/>
              </w:rPr>
              <w:t>44,325,691.53</w:t>
            </w:r>
          </w:p>
        </w:tc>
      </w:tr>
      <w:tr w:rsidR="002D0AE7" w14:paraId="3D618541" w14:textId="77777777">
        <w:trPr>
          <w:jc w:val="center"/>
        </w:trPr>
        <w:tc>
          <w:tcPr>
            <w:tcW w:w="3397" w:type="dxa"/>
            <w:tcBorders>
              <w:top w:val="single" w:sz="6" w:space="0" w:color="auto"/>
              <w:left w:val="single" w:sz="4" w:space="0" w:color="auto"/>
              <w:bottom w:val="single" w:sz="4" w:space="0" w:color="auto"/>
              <w:right w:val="single" w:sz="6" w:space="0" w:color="auto"/>
            </w:tcBorders>
            <w:vAlign w:val="center"/>
          </w:tcPr>
          <w:p w14:paraId="587E13ED" w14:textId="77777777" w:rsidR="002D0AE7" w:rsidRDefault="00333EBB">
            <w:pPr>
              <w:spacing w:line="276" w:lineRule="auto"/>
              <w:rPr>
                <w:rFonts w:hint="eastAsia"/>
                <w:sz w:val="21"/>
                <w:szCs w:val="21"/>
              </w:rPr>
            </w:pPr>
            <w:r>
              <w:rPr>
                <w:sz w:val="21"/>
                <w:szCs w:val="21"/>
              </w:rPr>
              <w:t>湖北津药药业股份有限公司</w:t>
            </w:r>
          </w:p>
        </w:tc>
        <w:tc>
          <w:tcPr>
            <w:tcW w:w="1545" w:type="dxa"/>
            <w:tcBorders>
              <w:top w:val="single" w:sz="6" w:space="0" w:color="auto"/>
              <w:left w:val="single" w:sz="6" w:space="0" w:color="auto"/>
              <w:bottom w:val="single" w:sz="4" w:space="0" w:color="auto"/>
              <w:right w:val="single" w:sz="6" w:space="0" w:color="auto"/>
            </w:tcBorders>
            <w:vAlign w:val="center"/>
          </w:tcPr>
          <w:p w14:paraId="77CF442F" w14:textId="77777777" w:rsidR="002D0AE7" w:rsidRDefault="00333EBB">
            <w:pPr>
              <w:spacing w:line="276" w:lineRule="auto"/>
              <w:jc w:val="right"/>
              <w:rPr>
                <w:rFonts w:ascii="Times New Roman" w:hAnsi="Times New Roman" w:cs="Times New Roman"/>
                <w:sz w:val="21"/>
                <w:szCs w:val="21"/>
              </w:rPr>
            </w:pPr>
            <w:r>
              <w:rPr>
                <w:rFonts w:ascii="Times New Roman" w:hAnsi="Times New Roman" w:cs="Times New Roman"/>
                <w:sz w:val="21"/>
                <w:szCs w:val="21"/>
              </w:rPr>
              <w:t>373,884,903.49</w:t>
            </w:r>
          </w:p>
        </w:tc>
        <w:tc>
          <w:tcPr>
            <w:tcW w:w="1432" w:type="dxa"/>
            <w:tcBorders>
              <w:top w:val="single" w:sz="6" w:space="0" w:color="auto"/>
              <w:left w:val="single" w:sz="6" w:space="0" w:color="auto"/>
              <w:bottom w:val="single" w:sz="4" w:space="0" w:color="auto"/>
              <w:right w:val="single" w:sz="6" w:space="0" w:color="auto"/>
            </w:tcBorders>
            <w:vAlign w:val="center"/>
          </w:tcPr>
          <w:p w14:paraId="6577BE27" w14:textId="77777777" w:rsidR="002D0AE7" w:rsidRDefault="00333EBB">
            <w:pPr>
              <w:spacing w:line="276" w:lineRule="auto"/>
              <w:jc w:val="right"/>
              <w:rPr>
                <w:rFonts w:ascii="Times New Roman" w:hAnsi="Times New Roman" w:cs="Times New Roman"/>
                <w:sz w:val="21"/>
                <w:szCs w:val="21"/>
              </w:rPr>
            </w:pPr>
            <w:r>
              <w:rPr>
                <w:rFonts w:ascii="Times New Roman" w:hAnsi="Times New Roman" w:cs="Times New Roman"/>
                <w:sz w:val="21"/>
                <w:szCs w:val="21"/>
              </w:rPr>
              <w:t>30,331,542.41</w:t>
            </w:r>
          </w:p>
        </w:tc>
        <w:tc>
          <w:tcPr>
            <w:tcW w:w="1559" w:type="dxa"/>
            <w:tcBorders>
              <w:top w:val="single" w:sz="6" w:space="0" w:color="auto"/>
              <w:left w:val="single" w:sz="6" w:space="0" w:color="auto"/>
              <w:bottom w:val="single" w:sz="4" w:space="0" w:color="auto"/>
              <w:right w:val="single" w:sz="6" w:space="0" w:color="auto"/>
            </w:tcBorders>
            <w:vAlign w:val="center"/>
          </w:tcPr>
          <w:p w14:paraId="3DC6BA68" w14:textId="77777777" w:rsidR="002D0AE7" w:rsidRDefault="00333EBB">
            <w:pPr>
              <w:spacing w:line="276" w:lineRule="auto"/>
              <w:jc w:val="right"/>
              <w:rPr>
                <w:rFonts w:ascii="Times New Roman" w:hAnsi="Times New Roman" w:cs="Times New Roman"/>
                <w:sz w:val="21"/>
                <w:szCs w:val="21"/>
              </w:rPr>
            </w:pPr>
            <w:r>
              <w:rPr>
                <w:rFonts w:ascii="Times New Roman" w:hAnsi="Times New Roman" w:cs="Times New Roman"/>
                <w:sz w:val="21"/>
                <w:szCs w:val="21"/>
              </w:rPr>
              <w:t>30,331,542.41</w:t>
            </w:r>
          </w:p>
        </w:tc>
        <w:tc>
          <w:tcPr>
            <w:tcW w:w="1585" w:type="dxa"/>
            <w:tcBorders>
              <w:top w:val="single" w:sz="6" w:space="0" w:color="auto"/>
              <w:left w:val="single" w:sz="6" w:space="0" w:color="auto"/>
              <w:bottom w:val="single" w:sz="4" w:space="0" w:color="auto"/>
              <w:right w:val="single" w:sz="6" w:space="0" w:color="auto"/>
            </w:tcBorders>
            <w:vAlign w:val="center"/>
          </w:tcPr>
          <w:p w14:paraId="0BE9F243" w14:textId="77777777" w:rsidR="002D0AE7" w:rsidRDefault="00333EBB">
            <w:pPr>
              <w:spacing w:line="276" w:lineRule="auto"/>
              <w:jc w:val="right"/>
              <w:rPr>
                <w:rFonts w:ascii="Times New Roman" w:hAnsi="Times New Roman" w:cs="Times New Roman"/>
                <w:sz w:val="21"/>
                <w:szCs w:val="21"/>
              </w:rPr>
            </w:pPr>
            <w:r>
              <w:rPr>
                <w:rFonts w:ascii="Times New Roman" w:hAnsi="Times New Roman" w:cs="Times New Roman"/>
                <w:sz w:val="21"/>
                <w:szCs w:val="21"/>
              </w:rPr>
              <w:t>61,589,076.52</w:t>
            </w:r>
          </w:p>
        </w:tc>
        <w:tc>
          <w:tcPr>
            <w:tcW w:w="1529" w:type="dxa"/>
            <w:tcBorders>
              <w:top w:val="single" w:sz="6" w:space="0" w:color="auto"/>
              <w:left w:val="single" w:sz="6" w:space="0" w:color="auto"/>
              <w:bottom w:val="single" w:sz="4" w:space="0" w:color="auto"/>
              <w:right w:val="single" w:sz="6" w:space="0" w:color="auto"/>
            </w:tcBorders>
            <w:vAlign w:val="center"/>
          </w:tcPr>
          <w:p w14:paraId="28FFBCF2" w14:textId="77777777" w:rsidR="002D0AE7" w:rsidRDefault="00333EBB">
            <w:pPr>
              <w:spacing w:line="276" w:lineRule="auto"/>
              <w:jc w:val="right"/>
              <w:rPr>
                <w:rFonts w:ascii="Times New Roman" w:hAnsi="Times New Roman" w:cs="Times New Roman"/>
                <w:sz w:val="21"/>
                <w:szCs w:val="21"/>
              </w:rPr>
            </w:pPr>
            <w:r>
              <w:rPr>
                <w:rFonts w:ascii="Times New Roman" w:hAnsi="Times New Roman" w:cs="Times New Roman"/>
                <w:sz w:val="21"/>
                <w:szCs w:val="21"/>
              </w:rPr>
              <w:t>399,861,489.73</w:t>
            </w:r>
          </w:p>
        </w:tc>
        <w:tc>
          <w:tcPr>
            <w:tcW w:w="1432" w:type="dxa"/>
            <w:tcBorders>
              <w:top w:val="single" w:sz="6" w:space="0" w:color="auto"/>
              <w:left w:val="single" w:sz="6" w:space="0" w:color="auto"/>
              <w:bottom w:val="single" w:sz="4" w:space="0" w:color="auto"/>
              <w:right w:val="single" w:sz="6" w:space="0" w:color="auto"/>
            </w:tcBorders>
            <w:vAlign w:val="center"/>
          </w:tcPr>
          <w:p w14:paraId="76006A20" w14:textId="77777777" w:rsidR="002D0AE7" w:rsidRDefault="00333EBB">
            <w:pPr>
              <w:spacing w:line="276" w:lineRule="auto"/>
              <w:jc w:val="right"/>
              <w:rPr>
                <w:rFonts w:ascii="Times New Roman" w:hAnsi="Times New Roman" w:cs="Times New Roman"/>
                <w:sz w:val="21"/>
                <w:szCs w:val="21"/>
              </w:rPr>
            </w:pPr>
            <w:r>
              <w:rPr>
                <w:rFonts w:ascii="Times New Roman" w:hAnsi="Times New Roman" w:cs="Times New Roman"/>
                <w:sz w:val="21"/>
                <w:szCs w:val="21"/>
              </w:rPr>
              <w:t>28,697,191.55</w:t>
            </w:r>
          </w:p>
        </w:tc>
        <w:tc>
          <w:tcPr>
            <w:tcW w:w="1555" w:type="dxa"/>
            <w:tcBorders>
              <w:top w:val="single" w:sz="6" w:space="0" w:color="auto"/>
              <w:left w:val="single" w:sz="6" w:space="0" w:color="auto"/>
              <w:bottom w:val="single" w:sz="4" w:space="0" w:color="auto"/>
              <w:right w:val="single" w:sz="6" w:space="0" w:color="auto"/>
            </w:tcBorders>
            <w:vAlign w:val="center"/>
          </w:tcPr>
          <w:p w14:paraId="08F44224" w14:textId="77777777" w:rsidR="002D0AE7" w:rsidRDefault="00333EBB">
            <w:pPr>
              <w:spacing w:line="276" w:lineRule="auto"/>
              <w:jc w:val="right"/>
              <w:rPr>
                <w:rFonts w:ascii="Times New Roman" w:hAnsi="Times New Roman" w:cs="Times New Roman"/>
                <w:sz w:val="21"/>
                <w:szCs w:val="21"/>
              </w:rPr>
            </w:pPr>
            <w:r>
              <w:rPr>
                <w:rFonts w:ascii="Times New Roman" w:hAnsi="Times New Roman" w:cs="Times New Roman"/>
                <w:sz w:val="21"/>
                <w:szCs w:val="21"/>
              </w:rPr>
              <w:t>28,697,191.55</w:t>
            </w:r>
          </w:p>
        </w:tc>
        <w:tc>
          <w:tcPr>
            <w:tcW w:w="1554" w:type="dxa"/>
            <w:tcBorders>
              <w:top w:val="single" w:sz="6" w:space="0" w:color="auto"/>
              <w:left w:val="single" w:sz="6" w:space="0" w:color="auto"/>
              <w:bottom w:val="single" w:sz="4" w:space="0" w:color="auto"/>
              <w:right w:val="single" w:sz="4" w:space="0" w:color="auto"/>
            </w:tcBorders>
            <w:vAlign w:val="center"/>
          </w:tcPr>
          <w:p w14:paraId="1D9A23F1" w14:textId="77777777" w:rsidR="002D0AE7" w:rsidRDefault="00333EBB">
            <w:pPr>
              <w:spacing w:line="276" w:lineRule="auto"/>
              <w:jc w:val="right"/>
              <w:rPr>
                <w:rFonts w:ascii="Times New Roman" w:hAnsi="Times New Roman" w:cs="Times New Roman"/>
                <w:sz w:val="21"/>
                <w:szCs w:val="21"/>
              </w:rPr>
            </w:pPr>
            <w:r>
              <w:rPr>
                <w:rFonts w:ascii="Times New Roman" w:hAnsi="Times New Roman" w:cs="Times New Roman"/>
                <w:sz w:val="21"/>
                <w:szCs w:val="21"/>
              </w:rPr>
              <w:t>18,445,904.73</w:t>
            </w:r>
          </w:p>
        </w:tc>
      </w:tr>
    </w:tbl>
    <w:p w14:paraId="6141EB00" w14:textId="77777777" w:rsidR="002D0AE7" w:rsidRDefault="00333EBB">
      <w:pPr>
        <w:rPr>
          <w:rFonts w:cs="Arial" w:hint="eastAsia"/>
          <w:color w:val="000000" w:themeColor="text1"/>
        </w:rPr>
      </w:pPr>
      <w:r>
        <w:rPr>
          <w:rFonts w:cs="Arial" w:hint="eastAsia"/>
          <w:color w:val="000000" w:themeColor="text1"/>
        </w:rPr>
        <w:t>其他说明：</w:t>
      </w:r>
      <w:sdt>
        <w:sdtPr>
          <w:rPr>
            <w:rFonts w:cs="Arial"/>
            <w:color w:val="000000" w:themeColor="text1"/>
          </w:rPr>
          <w:alias w:val="重要非全资子公司的主要财务信息的其他说明"/>
          <w:tag w:val="_GBC_c6413d961dad488aae6fcf0fda2bf33a"/>
          <w:id w:val="-1837756613"/>
          <w:placeholder>
            <w:docPart w:val="GBC22222222222222222222222222222"/>
          </w:placeholder>
        </w:sdtPr>
        <w:sdtEndPr/>
        <w:sdtContent>
          <w:r>
            <w:rPr>
              <w:rFonts w:cs="Arial" w:hint="eastAsia"/>
              <w:color w:val="000000" w:themeColor="text1"/>
            </w:rPr>
            <w:t>无</w:t>
          </w:r>
        </w:sdtContent>
      </w:sdt>
    </w:p>
    <w:p w14:paraId="38E1376B" w14:textId="77777777" w:rsidR="002D0AE7" w:rsidRDefault="002D0AE7">
      <w:pPr>
        <w:pStyle w:val="4"/>
        <w:numPr>
          <w:ilvl w:val="3"/>
          <w:numId w:val="75"/>
        </w:numPr>
        <w:tabs>
          <w:tab w:val="left" w:pos="644"/>
        </w:tabs>
        <w:rPr>
          <w:rFonts w:ascii="宋体" w:hAnsi="宋体" w:cs="Arial" w:hint="eastAsia"/>
          <w:color w:val="000000" w:themeColor="text1"/>
          <w:szCs w:val="21"/>
        </w:rPr>
        <w:sectPr w:rsidR="002D0AE7">
          <w:pgSz w:w="16838" w:h="11906" w:orient="landscape"/>
          <w:pgMar w:top="1797" w:right="1525" w:bottom="1276" w:left="1440" w:header="856" w:footer="992" w:gutter="0"/>
          <w:cols w:space="425"/>
          <w:docGrid w:linePitch="312"/>
        </w:sectPr>
      </w:pPr>
    </w:p>
    <w:p w14:paraId="3317C43C" w14:textId="77777777" w:rsidR="002D0AE7" w:rsidRDefault="00333EBB">
      <w:pPr>
        <w:pStyle w:val="3"/>
        <w:numPr>
          <w:ilvl w:val="2"/>
          <w:numId w:val="74"/>
        </w:numPr>
        <w:rPr>
          <w:rFonts w:ascii="宋体" w:hAnsi="宋体" w:cs="Arial" w:hint="eastAsia"/>
          <w:color w:val="000000" w:themeColor="text1"/>
          <w:szCs w:val="21"/>
        </w:rPr>
      </w:pPr>
      <w:r>
        <w:rPr>
          <w:rFonts w:ascii="宋体" w:hAnsi="宋体" w:cs="Arial" w:hint="eastAsia"/>
          <w:color w:val="000000" w:themeColor="text1"/>
          <w:szCs w:val="21"/>
        </w:rPr>
        <w:lastRenderedPageBreak/>
        <w:t>在合营企业或联营企业中的权益</w:t>
      </w:r>
    </w:p>
    <w:sdt>
      <w:sdtPr>
        <w:rPr>
          <w:color w:val="000000" w:themeColor="text1"/>
        </w:rPr>
        <w:alias w:val="是否适用：在合营企业或联营企业中的权益[双击切换]"/>
        <w:tag w:val="_GBC_31c0fe2068fd4a898e4269df4925aa76"/>
        <w:id w:val="-394672285"/>
        <w:placeholder>
          <w:docPart w:val="GBC22222222222222222222222222222"/>
        </w:placeholder>
      </w:sdtPr>
      <w:sdtEndPr/>
      <w:sdtContent>
        <w:p w14:paraId="31D00CC3"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15865BF3" w14:textId="77777777" w:rsidR="002D0AE7" w:rsidRDefault="00333EBB">
      <w:pPr>
        <w:pStyle w:val="4"/>
        <w:numPr>
          <w:ilvl w:val="3"/>
          <w:numId w:val="76"/>
        </w:numPr>
        <w:tabs>
          <w:tab w:val="left" w:pos="630"/>
        </w:tabs>
        <w:rPr>
          <w:rFonts w:ascii="宋体" w:hAnsi="宋体" w:hint="eastAsia"/>
          <w:color w:val="000000" w:themeColor="text1"/>
        </w:rPr>
      </w:pPr>
      <w:r>
        <w:rPr>
          <w:rFonts w:ascii="宋体" w:hAnsi="宋体" w:hint="eastAsia"/>
          <w:color w:val="000000" w:themeColor="text1"/>
        </w:rPr>
        <w:t>重要的合营企业或联营企业</w:t>
      </w:r>
    </w:p>
    <w:sdt>
      <w:sdtPr>
        <w:rPr>
          <w:color w:val="000000" w:themeColor="text1"/>
        </w:rPr>
        <w:alias w:val="是否适用：重要的合营企业或联营企业[双击切换]"/>
        <w:tag w:val="_GBC_9973f58b324442d5879a5d16db0cd410"/>
        <w:id w:val="2140601628"/>
        <w:placeholder>
          <w:docPart w:val="GBC22222222222222222222222222222"/>
        </w:placeholder>
      </w:sdtPr>
      <w:sdtEndPr/>
      <w:sdtContent>
        <w:p w14:paraId="5E823B36"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452680D3"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重要的合营企业或联营企业"/>
          <w:tag w:val="_GBC_fc95ad35f9984b0c84fb2b12ebeb41db"/>
          <w:id w:val="-189634413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重要的合营企业或联营企业"/>
          <w:tag w:val="_GBC_95704750d12047c58739551fa2558d6f"/>
          <w:id w:val="173758977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618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973"/>
        <w:gridCol w:w="709"/>
        <w:gridCol w:w="849"/>
        <w:gridCol w:w="3262"/>
        <w:gridCol w:w="709"/>
        <w:gridCol w:w="711"/>
        <w:gridCol w:w="1698"/>
      </w:tblGrid>
      <w:tr w:rsidR="002D0AE7" w14:paraId="0671B81A" w14:textId="77777777">
        <w:trPr>
          <w:trHeight w:val="451"/>
          <w:jc w:val="center"/>
        </w:trPr>
        <w:sdt>
          <w:sdtPr>
            <w:rPr>
              <w:color w:val="000000" w:themeColor="text1"/>
              <w:sz w:val="21"/>
              <w:szCs w:val="21"/>
            </w:rPr>
            <w:tag w:val="_PLD_bb6c91c88e754a5da79068d0b040e152"/>
            <w:id w:val="-1064485294"/>
          </w:sdtPr>
          <w:sdtEndPr/>
          <w:sdtContent>
            <w:tc>
              <w:tcPr>
                <w:tcW w:w="1362"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7129024E" w14:textId="77777777" w:rsidR="002D0AE7" w:rsidRDefault="00333EBB">
                <w:pPr>
                  <w:jc w:val="center"/>
                  <w:rPr>
                    <w:rFonts w:cs="Arial" w:hint="eastAsia"/>
                    <w:color w:val="000000" w:themeColor="text1"/>
                    <w:sz w:val="21"/>
                    <w:szCs w:val="21"/>
                  </w:rPr>
                </w:pPr>
                <w:r>
                  <w:rPr>
                    <w:rFonts w:cs="Arial" w:hint="eastAsia"/>
                    <w:color w:val="000000" w:themeColor="text1"/>
                    <w:sz w:val="21"/>
                    <w:szCs w:val="21"/>
                    <w:lang w:val="en-GB"/>
                  </w:rPr>
                  <w:t>合营企业或联营企业名称</w:t>
                </w:r>
              </w:p>
            </w:tc>
          </w:sdtContent>
        </w:sdt>
        <w:sdt>
          <w:sdtPr>
            <w:rPr>
              <w:color w:val="000000" w:themeColor="text1"/>
              <w:sz w:val="21"/>
              <w:szCs w:val="21"/>
            </w:rPr>
            <w:tag w:val="_PLD_4c91d89257574ee1a96260d900b3fdde"/>
            <w:id w:val="734051788"/>
          </w:sdtPr>
          <w:sdtEndPr/>
          <w:sdtContent>
            <w:tc>
              <w:tcPr>
                <w:tcW w:w="325"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14:paraId="4D4A5A81" w14:textId="77777777" w:rsidR="002D0AE7" w:rsidRDefault="00333EBB">
                <w:pPr>
                  <w:jc w:val="center"/>
                  <w:rPr>
                    <w:rFonts w:cs="Arial" w:hint="eastAsia"/>
                    <w:color w:val="000000" w:themeColor="text1"/>
                    <w:sz w:val="21"/>
                    <w:szCs w:val="21"/>
                  </w:rPr>
                </w:pPr>
                <w:r>
                  <w:rPr>
                    <w:rFonts w:cs="Arial" w:hint="eastAsia"/>
                    <w:color w:val="000000" w:themeColor="text1"/>
                    <w:sz w:val="21"/>
                    <w:szCs w:val="21"/>
                    <w:lang w:val="en-GB"/>
                  </w:rPr>
                  <w:t>主要经营地</w:t>
                </w:r>
              </w:p>
            </w:tc>
          </w:sdtContent>
        </w:sdt>
        <w:sdt>
          <w:sdtPr>
            <w:rPr>
              <w:color w:val="000000" w:themeColor="text1"/>
              <w:sz w:val="21"/>
              <w:szCs w:val="21"/>
            </w:rPr>
            <w:tag w:val="_PLD_4a3c73442b1947fdae2c0b554e7271a4"/>
            <w:id w:val="-1393727619"/>
          </w:sdtPr>
          <w:sdtEndPr/>
          <w:sdtContent>
            <w:tc>
              <w:tcPr>
                <w:tcW w:w="389"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14:paraId="387EDD8E" w14:textId="77777777" w:rsidR="002D0AE7" w:rsidRDefault="00333EBB">
                <w:pPr>
                  <w:jc w:val="center"/>
                  <w:rPr>
                    <w:rFonts w:cs="Arial" w:hint="eastAsia"/>
                    <w:color w:val="000000" w:themeColor="text1"/>
                    <w:sz w:val="21"/>
                    <w:szCs w:val="21"/>
                  </w:rPr>
                </w:pPr>
                <w:r>
                  <w:rPr>
                    <w:rFonts w:cs="Arial" w:hint="eastAsia"/>
                    <w:color w:val="000000" w:themeColor="text1"/>
                    <w:sz w:val="21"/>
                    <w:szCs w:val="21"/>
                    <w:lang w:val="en-GB"/>
                  </w:rPr>
                  <w:t>注册地</w:t>
                </w:r>
              </w:p>
            </w:tc>
          </w:sdtContent>
        </w:sdt>
        <w:sdt>
          <w:sdtPr>
            <w:rPr>
              <w:color w:val="000000" w:themeColor="text1"/>
              <w:sz w:val="21"/>
              <w:szCs w:val="21"/>
            </w:rPr>
            <w:tag w:val="_PLD_07a3d19678c44b0db85c15fb74bf76d2"/>
            <w:id w:val="-1431732516"/>
          </w:sdtPr>
          <w:sdtEndPr/>
          <w:sdtContent>
            <w:tc>
              <w:tcPr>
                <w:tcW w:w="1495"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14:paraId="7606707E" w14:textId="77777777" w:rsidR="002D0AE7" w:rsidRDefault="00333EBB">
                <w:pPr>
                  <w:jc w:val="center"/>
                  <w:rPr>
                    <w:rFonts w:cs="Arial" w:hint="eastAsia"/>
                    <w:color w:val="000000" w:themeColor="text1"/>
                    <w:sz w:val="21"/>
                    <w:szCs w:val="21"/>
                  </w:rPr>
                </w:pPr>
                <w:r>
                  <w:rPr>
                    <w:rFonts w:cs="Arial" w:hint="eastAsia"/>
                    <w:color w:val="000000" w:themeColor="text1"/>
                    <w:sz w:val="21"/>
                    <w:szCs w:val="21"/>
                    <w:lang w:val="en-GB"/>
                  </w:rPr>
                  <w:t>业务性质</w:t>
                </w:r>
              </w:p>
            </w:tc>
          </w:sdtContent>
        </w:sdt>
        <w:sdt>
          <w:sdtPr>
            <w:rPr>
              <w:color w:val="000000" w:themeColor="text1"/>
              <w:sz w:val="21"/>
              <w:szCs w:val="21"/>
            </w:rPr>
            <w:tag w:val="_PLD_cb67afe7283245a29754ca96c69b89fc"/>
            <w:id w:val="541877433"/>
          </w:sdtPr>
          <w:sdtEndPr/>
          <w:sdtContent>
            <w:tc>
              <w:tcPr>
                <w:tcW w:w="651" w:type="pct"/>
                <w:gridSpan w:val="2"/>
                <w:tcBorders>
                  <w:top w:val="single" w:sz="4" w:space="0" w:color="auto"/>
                  <w:left w:val="single" w:sz="6" w:space="0" w:color="auto"/>
                  <w:bottom w:val="single" w:sz="6" w:space="0" w:color="auto"/>
                  <w:right w:val="single" w:sz="6" w:space="0" w:color="auto"/>
                </w:tcBorders>
                <w:shd w:val="clear" w:color="auto" w:fill="auto"/>
                <w:vAlign w:val="center"/>
              </w:tcPr>
              <w:p w14:paraId="70167ECB" w14:textId="77777777" w:rsidR="002D0AE7" w:rsidRDefault="00333EBB">
                <w:pPr>
                  <w:jc w:val="center"/>
                  <w:rPr>
                    <w:rFonts w:cs="Arial" w:hint="eastAsia"/>
                    <w:color w:val="000000" w:themeColor="text1"/>
                    <w:sz w:val="21"/>
                    <w:szCs w:val="21"/>
                  </w:rPr>
                </w:pPr>
                <w:r>
                  <w:rPr>
                    <w:rFonts w:cs="Arial" w:hint="eastAsia"/>
                    <w:color w:val="000000" w:themeColor="text1"/>
                    <w:sz w:val="21"/>
                    <w:szCs w:val="21"/>
                    <w:lang w:val="en-GB"/>
                  </w:rPr>
                  <w:t>持股比例</w:t>
                </w:r>
                <w:r>
                  <w:rPr>
                    <w:rFonts w:cs="Arial"/>
                    <w:color w:val="000000" w:themeColor="text1"/>
                    <w:sz w:val="21"/>
                    <w:szCs w:val="21"/>
                  </w:rPr>
                  <w:t>(%)</w:t>
                </w:r>
              </w:p>
            </w:tc>
          </w:sdtContent>
        </w:sdt>
        <w:sdt>
          <w:sdtPr>
            <w:rPr>
              <w:color w:val="000000" w:themeColor="text1"/>
              <w:sz w:val="21"/>
              <w:szCs w:val="21"/>
            </w:rPr>
            <w:tag w:val="_PLD_0fddec4e9b2a4b3aa0f9a08859cf498e"/>
            <w:id w:val="1843354554"/>
          </w:sdtPr>
          <w:sdtEndPr/>
          <w:sdtContent>
            <w:tc>
              <w:tcPr>
                <w:tcW w:w="778" w:type="pct"/>
                <w:vMerge w:val="restart"/>
                <w:tcBorders>
                  <w:top w:val="single" w:sz="4" w:space="0" w:color="auto"/>
                  <w:left w:val="single" w:sz="6" w:space="0" w:color="auto"/>
                  <w:bottom w:val="single" w:sz="6" w:space="0" w:color="auto"/>
                  <w:right w:val="single" w:sz="4" w:space="0" w:color="auto"/>
                </w:tcBorders>
                <w:shd w:val="clear" w:color="auto" w:fill="auto"/>
                <w:vAlign w:val="center"/>
              </w:tcPr>
              <w:p w14:paraId="2A0B16AD" w14:textId="77777777" w:rsidR="002D0AE7" w:rsidRDefault="00333EBB">
                <w:pPr>
                  <w:jc w:val="center"/>
                  <w:rPr>
                    <w:rFonts w:cs="Arial" w:hint="eastAsia"/>
                    <w:color w:val="000000" w:themeColor="text1"/>
                    <w:sz w:val="21"/>
                    <w:szCs w:val="21"/>
                  </w:rPr>
                </w:pPr>
                <w:r>
                  <w:rPr>
                    <w:rFonts w:cs="Arial" w:hint="eastAsia"/>
                    <w:color w:val="000000" w:themeColor="text1"/>
                    <w:sz w:val="21"/>
                    <w:szCs w:val="21"/>
                    <w:lang w:val="en-GB"/>
                  </w:rPr>
                  <w:t>对合营企业或联营企业投资的会计处理方法</w:t>
                </w:r>
              </w:p>
            </w:tc>
          </w:sdtContent>
        </w:sdt>
      </w:tr>
      <w:tr w:rsidR="002D0AE7" w14:paraId="2DC52914" w14:textId="77777777">
        <w:trPr>
          <w:trHeight w:val="278"/>
          <w:jc w:val="center"/>
        </w:trPr>
        <w:tc>
          <w:tcPr>
            <w:tcW w:w="1362" w:type="pct"/>
            <w:vMerge/>
            <w:tcBorders>
              <w:top w:val="single" w:sz="4" w:space="0" w:color="auto"/>
              <w:left w:val="single" w:sz="4" w:space="0" w:color="auto"/>
              <w:bottom w:val="single" w:sz="6" w:space="0" w:color="auto"/>
              <w:right w:val="single" w:sz="6" w:space="0" w:color="auto"/>
            </w:tcBorders>
            <w:shd w:val="clear" w:color="auto" w:fill="auto"/>
            <w:vAlign w:val="center"/>
          </w:tcPr>
          <w:p w14:paraId="53B07B56" w14:textId="77777777" w:rsidR="002D0AE7" w:rsidRDefault="002D0AE7">
            <w:pPr>
              <w:rPr>
                <w:rFonts w:cs="Arial" w:hint="eastAsia"/>
                <w:color w:val="000000" w:themeColor="text1"/>
                <w:sz w:val="21"/>
                <w:szCs w:val="21"/>
              </w:rPr>
            </w:pPr>
          </w:p>
        </w:tc>
        <w:tc>
          <w:tcPr>
            <w:tcW w:w="325" w:type="pct"/>
            <w:vMerge/>
            <w:tcBorders>
              <w:top w:val="single" w:sz="4" w:space="0" w:color="auto"/>
              <w:left w:val="single" w:sz="6" w:space="0" w:color="auto"/>
              <w:bottom w:val="single" w:sz="6" w:space="0" w:color="auto"/>
              <w:right w:val="single" w:sz="6" w:space="0" w:color="auto"/>
            </w:tcBorders>
            <w:shd w:val="clear" w:color="auto" w:fill="auto"/>
            <w:vAlign w:val="center"/>
          </w:tcPr>
          <w:p w14:paraId="34786D6E" w14:textId="77777777" w:rsidR="002D0AE7" w:rsidRDefault="002D0AE7">
            <w:pPr>
              <w:rPr>
                <w:rFonts w:cs="Arial" w:hint="eastAsia"/>
                <w:color w:val="000000" w:themeColor="text1"/>
                <w:sz w:val="21"/>
                <w:szCs w:val="21"/>
              </w:rPr>
            </w:pPr>
          </w:p>
        </w:tc>
        <w:tc>
          <w:tcPr>
            <w:tcW w:w="389" w:type="pct"/>
            <w:vMerge/>
            <w:tcBorders>
              <w:top w:val="single" w:sz="4" w:space="0" w:color="auto"/>
              <w:left w:val="single" w:sz="6" w:space="0" w:color="auto"/>
              <w:bottom w:val="single" w:sz="6" w:space="0" w:color="auto"/>
              <w:right w:val="single" w:sz="6" w:space="0" w:color="auto"/>
            </w:tcBorders>
            <w:shd w:val="clear" w:color="auto" w:fill="auto"/>
            <w:vAlign w:val="center"/>
          </w:tcPr>
          <w:p w14:paraId="0B0AF0FA" w14:textId="77777777" w:rsidR="002D0AE7" w:rsidRDefault="002D0AE7">
            <w:pPr>
              <w:rPr>
                <w:rFonts w:cs="Arial" w:hint="eastAsia"/>
                <w:color w:val="000000" w:themeColor="text1"/>
                <w:sz w:val="21"/>
                <w:szCs w:val="21"/>
              </w:rPr>
            </w:pPr>
          </w:p>
        </w:tc>
        <w:tc>
          <w:tcPr>
            <w:tcW w:w="1495" w:type="pct"/>
            <w:vMerge/>
            <w:tcBorders>
              <w:top w:val="single" w:sz="4" w:space="0" w:color="auto"/>
              <w:left w:val="single" w:sz="6" w:space="0" w:color="auto"/>
              <w:bottom w:val="single" w:sz="6" w:space="0" w:color="auto"/>
              <w:right w:val="single" w:sz="6" w:space="0" w:color="auto"/>
            </w:tcBorders>
            <w:shd w:val="clear" w:color="auto" w:fill="auto"/>
            <w:vAlign w:val="center"/>
          </w:tcPr>
          <w:p w14:paraId="3DCB5C65" w14:textId="77777777" w:rsidR="002D0AE7" w:rsidRDefault="002D0AE7">
            <w:pPr>
              <w:rPr>
                <w:rFonts w:cs="Arial" w:hint="eastAsia"/>
                <w:color w:val="000000" w:themeColor="text1"/>
                <w:sz w:val="21"/>
                <w:szCs w:val="21"/>
              </w:rPr>
            </w:pPr>
          </w:p>
        </w:tc>
        <w:sdt>
          <w:sdtPr>
            <w:rPr>
              <w:color w:val="000000" w:themeColor="text1"/>
              <w:sz w:val="21"/>
              <w:szCs w:val="21"/>
            </w:rPr>
            <w:tag w:val="_PLD_42f14f52720a4c87819c9bd5211ded18"/>
            <w:id w:val="1270665840"/>
          </w:sdtPr>
          <w:sdtEndPr/>
          <w:sdtContent>
            <w:tc>
              <w:tcPr>
                <w:tcW w:w="325" w:type="pct"/>
                <w:tcBorders>
                  <w:top w:val="single" w:sz="4" w:space="0" w:color="auto"/>
                  <w:left w:val="single" w:sz="6" w:space="0" w:color="auto"/>
                  <w:bottom w:val="single" w:sz="6" w:space="0" w:color="auto"/>
                  <w:right w:val="single" w:sz="6" w:space="0" w:color="auto"/>
                </w:tcBorders>
                <w:shd w:val="clear" w:color="auto" w:fill="auto"/>
                <w:vAlign w:val="center"/>
              </w:tcPr>
              <w:p w14:paraId="3DA463A9" w14:textId="77777777" w:rsidR="002D0AE7" w:rsidRDefault="00333EBB">
                <w:pPr>
                  <w:jc w:val="center"/>
                  <w:rPr>
                    <w:rFonts w:cs="Arial" w:hint="eastAsia"/>
                    <w:color w:val="000000" w:themeColor="text1"/>
                    <w:sz w:val="21"/>
                    <w:szCs w:val="21"/>
                  </w:rPr>
                </w:pPr>
                <w:r>
                  <w:rPr>
                    <w:rFonts w:cs="Arial" w:hint="eastAsia"/>
                    <w:color w:val="000000" w:themeColor="text1"/>
                    <w:sz w:val="21"/>
                    <w:szCs w:val="21"/>
                    <w:lang w:val="en-GB"/>
                  </w:rPr>
                  <w:t>直接</w:t>
                </w:r>
              </w:p>
            </w:tc>
          </w:sdtContent>
        </w:sdt>
        <w:sdt>
          <w:sdtPr>
            <w:rPr>
              <w:color w:val="000000" w:themeColor="text1"/>
              <w:sz w:val="21"/>
              <w:szCs w:val="21"/>
            </w:rPr>
            <w:tag w:val="_PLD_e87318e11f6c4411aa17083e3a10cd90"/>
            <w:id w:val="2068223167"/>
          </w:sdtPr>
          <w:sdtEndPr/>
          <w:sdtContent>
            <w:tc>
              <w:tcPr>
                <w:tcW w:w="326" w:type="pct"/>
                <w:tcBorders>
                  <w:top w:val="single" w:sz="4" w:space="0" w:color="auto"/>
                  <w:left w:val="single" w:sz="6" w:space="0" w:color="auto"/>
                  <w:bottom w:val="single" w:sz="6" w:space="0" w:color="auto"/>
                  <w:right w:val="single" w:sz="6" w:space="0" w:color="auto"/>
                </w:tcBorders>
                <w:shd w:val="clear" w:color="auto" w:fill="auto"/>
                <w:vAlign w:val="center"/>
              </w:tcPr>
              <w:p w14:paraId="6690237B" w14:textId="77777777" w:rsidR="002D0AE7" w:rsidRDefault="00333EBB">
                <w:pPr>
                  <w:jc w:val="center"/>
                  <w:rPr>
                    <w:rFonts w:cs="Arial" w:hint="eastAsia"/>
                    <w:color w:val="000000" w:themeColor="text1"/>
                    <w:sz w:val="21"/>
                    <w:szCs w:val="21"/>
                  </w:rPr>
                </w:pPr>
                <w:r>
                  <w:rPr>
                    <w:rFonts w:cs="Arial" w:hint="eastAsia"/>
                    <w:color w:val="000000" w:themeColor="text1"/>
                    <w:sz w:val="21"/>
                    <w:szCs w:val="21"/>
                    <w:lang w:val="en-GB"/>
                  </w:rPr>
                  <w:t>间接</w:t>
                </w:r>
              </w:p>
            </w:tc>
          </w:sdtContent>
        </w:sdt>
        <w:tc>
          <w:tcPr>
            <w:tcW w:w="778" w:type="pct"/>
            <w:vMerge/>
            <w:tcBorders>
              <w:top w:val="single" w:sz="4" w:space="0" w:color="auto"/>
              <w:left w:val="single" w:sz="6" w:space="0" w:color="auto"/>
              <w:bottom w:val="single" w:sz="6" w:space="0" w:color="auto"/>
              <w:right w:val="single" w:sz="4" w:space="0" w:color="auto"/>
            </w:tcBorders>
            <w:vAlign w:val="center"/>
          </w:tcPr>
          <w:p w14:paraId="42AE24C3" w14:textId="77777777" w:rsidR="002D0AE7" w:rsidRDefault="002D0AE7">
            <w:pPr>
              <w:rPr>
                <w:rFonts w:cs="Arial" w:hint="eastAsia"/>
                <w:color w:val="000000" w:themeColor="text1"/>
                <w:sz w:val="21"/>
                <w:szCs w:val="21"/>
              </w:rPr>
            </w:pPr>
          </w:p>
        </w:tc>
      </w:tr>
      <w:tr w:rsidR="002D0AE7" w14:paraId="6831A41B" w14:textId="77777777">
        <w:trPr>
          <w:jc w:val="center"/>
        </w:trPr>
        <w:tc>
          <w:tcPr>
            <w:tcW w:w="1362" w:type="pct"/>
            <w:tcBorders>
              <w:top w:val="single" w:sz="6" w:space="0" w:color="auto"/>
              <w:left w:val="single" w:sz="4" w:space="0" w:color="auto"/>
              <w:bottom w:val="single" w:sz="4" w:space="0" w:color="auto"/>
              <w:right w:val="single" w:sz="6" w:space="0" w:color="auto"/>
            </w:tcBorders>
            <w:vAlign w:val="center"/>
          </w:tcPr>
          <w:p w14:paraId="7FC5AEBE" w14:textId="77777777" w:rsidR="002D0AE7" w:rsidRDefault="00333EBB">
            <w:pPr>
              <w:rPr>
                <w:rFonts w:hint="eastAsia"/>
                <w:sz w:val="21"/>
                <w:szCs w:val="21"/>
              </w:rPr>
            </w:pPr>
            <w:r>
              <w:rPr>
                <w:sz w:val="21"/>
                <w:szCs w:val="21"/>
              </w:rPr>
              <w:t>天津药业研究院股份有限公司</w:t>
            </w:r>
          </w:p>
        </w:tc>
        <w:tc>
          <w:tcPr>
            <w:tcW w:w="325" w:type="pct"/>
            <w:tcBorders>
              <w:top w:val="single" w:sz="6" w:space="0" w:color="auto"/>
              <w:left w:val="single" w:sz="6" w:space="0" w:color="auto"/>
              <w:bottom w:val="single" w:sz="4" w:space="0" w:color="auto"/>
              <w:right w:val="single" w:sz="6" w:space="0" w:color="auto"/>
            </w:tcBorders>
            <w:vAlign w:val="center"/>
          </w:tcPr>
          <w:p w14:paraId="5DCD9DFE" w14:textId="77777777" w:rsidR="002D0AE7" w:rsidRDefault="00333EBB">
            <w:pPr>
              <w:rPr>
                <w:rFonts w:hint="eastAsia"/>
                <w:sz w:val="21"/>
                <w:szCs w:val="21"/>
              </w:rPr>
            </w:pPr>
            <w:r>
              <w:rPr>
                <w:sz w:val="21"/>
                <w:szCs w:val="21"/>
              </w:rPr>
              <w:t>天津</w:t>
            </w:r>
          </w:p>
        </w:tc>
        <w:tc>
          <w:tcPr>
            <w:tcW w:w="389" w:type="pct"/>
            <w:tcBorders>
              <w:top w:val="single" w:sz="6" w:space="0" w:color="auto"/>
              <w:left w:val="single" w:sz="6" w:space="0" w:color="auto"/>
              <w:bottom w:val="single" w:sz="4" w:space="0" w:color="auto"/>
              <w:right w:val="single" w:sz="6" w:space="0" w:color="auto"/>
            </w:tcBorders>
            <w:vAlign w:val="center"/>
          </w:tcPr>
          <w:p w14:paraId="3432F390" w14:textId="77777777" w:rsidR="002D0AE7" w:rsidRDefault="00333EBB">
            <w:pPr>
              <w:rPr>
                <w:rFonts w:hint="eastAsia"/>
                <w:sz w:val="21"/>
                <w:szCs w:val="21"/>
              </w:rPr>
            </w:pPr>
            <w:r>
              <w:rPr>
                <w:sz w:val="21"/>
                <w:szCs w:val="21"/>
              </w:rPr>
              <w:t>天津</w:t>
            </w:r>
          </w:p>
        </w:tc>
        <w:tc>
          <w:tcPr>
            <w:tcW w:w="1495" w:type="pct"/>
            <w:tcBorders>
              <w:top w:val="single" w:sz="6" w:space="0" w:color="auto"/>
              <w:left w:val="single" w:sz="6" w:space="0" w:color="auto"/>
              <w:bottom w:val="single" w:sz="4" w:space="0" w:color="auto"/>
              <w:right w:val="single" w:sz="6" w:space="0" w:color="auto"/>
            </w:tcBorders>
            <w:vAlign w:val="center"/>
          </w:tcPr>
          <w:p w14:paraId="21B6B06F" w14:textId="77777777" w:rsidR="002D0AE7" w:rsidRDefault="00333EBB">
            <w:pPr>
              <w:rPr>
                <w:rFonts w:hint="eastAsia"/>
                <w:sz w:val="21"/>
                <w:szCs w:val="21"/>
              </w:rPr>
            </w:pPr>
            <w:r>
              <w:rPr>
                <w:sz w:val="21"/>
                <w:szCs w:val="21"/>
              </w:rPr>
              <w:t>技术开发咨询转让等</w:t>
            </w:r>
          </w:p>
        </w:tc>
        <w:tc>
          <w:tcPr>
            <w:tcW w:w="325" w:type="pct"/>
            <w:tcBorders>
              <w:top w:val="single" w:sz="6" w:space="0" w:color="auto"/>
              <w:left w:val="single" w:sz="6" w:space="0" w:color="auto"/>
              <w:bottom w:val="single" w:sz="4" w:space="0" w:color="auto"/>
              <w:right w:val="single" w:sz="6" w:space="0" w:color="auto"/>
            </w:tcBorders>
            <w:vAlign w:val="center"/>
          </w:tcPr>
          <w:p w14:paraId="789B52F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24.39</w:t>
            </w:r>
          </w:p>
        </w:tc>
        <w:tc>
          <w:tcPr>
            <w:tcW w:w="326" w:type="pct"/>
            <w:tcBorders>
              <w:top w:val="single" w:sz="6" w:space="0" w:color="auto"/>
              <w:left w:val="single" w:sz="6" w:space="0" w:color="auto"/>
              <w:bottom w:val="single" w:sz="4" w:space="0" w:color="auto"/>
              <w:right w:val="single" w:sz="6" w:space="0" w:color="auto"/>
            </w:tcBorders>
            <w:vAlign w:val="center"/>
          </w:tcPr>
          <w:p w14:paraId="79CB846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78" w:type="pct"/>
            <w:tcBorders>
              <w:top w:val="single" w:sz="6" w:space="0" w:color="auto"/>
              <w:left w:val="single" w:sz="6" w:space="0" w:color="auto"/>
              <w:bottom w:val="single" w:sz="4" w:space="0" w:color="auto"/>
              <w:right w:val="single" w:sz="4" w:space="0" w:color="auto"/>
            </w:tcBorders>
            <w:vAlign w:val="center"/>
          </w:tcPr>
          <w:p w14:paraId="0FA280BE" w14:textId="77777777" w:rsidR="002D0AE7" w:rsidRDefault="00333EBB">
            <w:pPr>
              <w:rPr>
                <w:rFonts w:hint="eastAsia"/>
                <w:sz w:val="21"/>
                <w:szCs w:val="21"/>
              </w:rPr>
            </w:pPr>
            <w:r>
              <w:rPr>
                <w:sz w:val="21"/>
                <w:szCs w:val="21"/>
              </w:rPr>
              <w:t>权益法</w:t>
            </w:r>
          </w:p>
        </w:tc>
      </w:tr>
      <w:tr w:rsidR="002D0AE7" w14:paraId="2EAFB792" w14:textId="77777777">
        <w:trPr>
          <w:jc w:val="center"/>
        </w:trPr>
        <w:tc>
          <w:tcPr>
            <w:tcW w:w="1362" w:type="pct"/>
            <w:tcBorders>
              <w:top w:val="single" w:sz="6" w:space="0" w:color="auto"/>
              <w:left w:val="single" w:sz="4" w:space="0" w:color="auto"/>
              <w:bottom w:val="single" w:sz="4" w:space="0" w:color="auto"/>
              <w:right w:val="single" w:sz="6" w:space="0" w:color="auto"/>
            </w:tcBorders>
            <w:vAlign w:val="center"/>
          </w:tcPr>
          <w:p w14:paraId="53718AA8" w14:textId="77777777" w:rsidR="002D0AE7" w:rsidRDefault="00333EBB">
            <w:pPr>
              <w:rPr>
                <w:rFonts w:hint="eastAsia"/>
                <w:sz w:val="21"/>
                <w:szCs w:val="21"/>
              </w:rPr>
            </w:pPr>
            <w:r>
              <w:rPr>
                <w:sz w:val="21"/>
                <w:szCs w:val="21"/>
              </w:rPr>
              <w:t>江西百思康瑞药业有限公司</w:t>
            </w:r>
          </w:p>
        </w:tc>
        <w:tc>
          <w:tcPr>
            <w:tcW w:w="325" w:type="pct"/>
            <w:tcBorders>
              <w:top w:val="single" w:sz="6" w:space="0" w:color="auto"/>
              <w:left w:val="single" w:sz="6" w:space="0" w:color="auto"/>
              <w:bottom w:val="single" w:sz="4" w:space="0" w:color="auto"/>
              <w:right w:val="single" w:sz="6" w:space="0" w:color="auto"/>
            </w:tcBorders>
            <w:vAlign w:val="center"/>
          </w:tcPr>
          <w:p w14:paraId="45E1299F" w14:textId="77777777" w:rsidR="002D0AE7" w:rsidRDefault="00333EBB">
            <w:pPr>
              <w:rPr>
                <w:rFonts w:hint="eastAsia"/>
                <w:sz w:val="21"/>
                <w:szCs w:val="21"/>
              </w:rPr>
            </w:pPr>
            <w:r>
              <w:rPr>
                <w:sz w:val="21"/>
                <w:szCs w:val="21"/>
              </w:rPr>
              <w:t>江西</w:t>
            </w:r>
          </w:p>
        </w:tc>
        <w:tc>
          <w:tcPr>
            <w:tcW w:w="389" w:type="pct"/>
            <w:tcBorders>
              <w:top w:val="single" w:sz="6" w:space="0" w:color="auto"/>
              <w:left w:val="single" w:sz="6" w:space="0" w:color="auto"/>
              <w:bottom w:val="single" w:sz="4" w:space="0" w:color="auto"/>
              <w:right w:val="single" w:sz="6" w:space="0" w:color="auto"/>
            </w:tcBorders>
            <w:vAlign w:val="center"/>
          </w:tcPr>
          <w:p w14:paraId="6A068363" w14:textId="77777777" w:rsidR="002D0AE7" w:rsidRDefault="00333EBB">
            <w:pPr>
              <w:rPr>
                <w:rFonts w:hint="eastAsia"/>
                <w:sz w:val="21"/>
                <w:szCs w:val="21"/>
              </w:rPr>
            </w:pPr>
            <w:r>
              <w:rPr>
                <w:sz w:val="21"/>
                <w:szCs w:val="21"/>
              </w:rPr>
              <w:t>江西</w:t>
            </w:r>
          </w:p>
        </w:tc>
        <w:tc>
          <w:tcPr>
            <w:tcW w:w="1495" w:type="pct"/>
            <w:tcBorders>
              <w:top w:val="single" w:sz="6" w:space="0" w:color="auto"/>
              <w:left w:val="single" w:sz="6" w:space="0" w:color="auto"/>
              <w:bottom w:val="single" w:sz="4" w:space="0" w:color="auto"/>
              <w:right w:val="single" w:sz="6" w:space="0" w:color="auto"/>
            </w:tcBorders>
            <w:vAlign w:val="center"/>
          </w:tcPr>
          <w:p w14:paraId="16EB69E0" w14:textId="77777777" w:rsidR="002D0AE7" w:rsidRDefault="00333EBB">
            <w:pPr>
              <w:rPr>
                <w:rFonts w:hint="eastAsia"/>
                <w:sz w:val="21"/>
                <w:szCs w:val="21"/>
              </w:rPr>
            </w:pPr>
            <w:r>
              <w:rPr>
                <w:sz w:val="21"/>
                <w:szCs w:val="21"/>
              </w:rPr>
              <w:t>医药原料及中间体生产及销售等</w:t>
            </w:r>
          </w:p>
        </w:tc>
        <w:tc>
          <w:tcPr>
            <w:tcW w:w="325" w:type="pct"/>
            <w:tcBorders>
              <w:top w:val="single" w:sz="6" w:space="0" w:color="auto"/>
              <w:left w:val="single" w:sz="6" w:space="0" w:color="auto"/>
              <w:bottom w:val="single" w:sz="4" w:space="0" w:color="auto"/>
              <w:right w:val="single" w:sz="6" w:space="0" w:color="auto"/>
            </w:tcBorders>
            <w:vAlign w:val="center"/>
          </w:tcPr>
          <w:p w14:paraId="604961F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30.00</w:t>
            </w:r>
          </w:p>
        </w:tc>
        <w:tc>
          <w:tcPr>
            <w:tcW w:w="326" w:type="pct"/>
            <w:tcBorders>
              <w:top w:val="single" w:sz="6" w:space="0" w:color="auto"/>
              <w:left w:val="single" w:sz="6" w:space="0" w:color="auto"/>
              <w:bottom w:val="single" w:sz="4" w:space="0" w:color="auto"/>
              <w:right w:val="single" w:sz="6" w:space="0" w:color="auto"/>
            </w:tcBorders>
            <w:vAlign w:val="center"/>
          </w:tcPr>
          <w:p w14:paraId="7A40CF7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78" w:type="pct"/>
            <w:tcBorders>
              <w:top w:val="single" w:sz="6" w:space="0" w:color="auto"/>
              <w:left w:val="single" w:sz="6" w:space="0" w:color="auto"/>
              <w:bottom w:val="single" w:sz="4" w:space="0" w:color="auto"/>
              <w:right w:val="single" w:sz="4" w:space="0" w:color="auto"/>
            </w:tcBorders>
            <w:vAlign w:val="center"/>
          </w:tcPr>
          <w:p w14:paraId="23632C85" w14:textId="77777777" w:rsidR="002D0AE7" w:rsidRDefault="00333EBB">
            <w:pPr>
              <w:rPr>
                <w:rFonts w:hint="eastAsia"/>
                <w:sz w:val="21"/>
                <w:szCs w:val="21"/>
              </w:rPr>
            </w:pPr>
            <w:r>
              <w:rPr>
                <w:sz w:val="21"/>
                <w:szCs w:val="21"/>
              </w:rPr>
              <w:t>权益法</w:t>
            </w:r>
          </w:p>
        </w:tc>
      </w:tr>
    </w:tbl>
    <w:p w14:paraId="262219EF" w14:textId="77777777" w:rsidR="002D0AE7" w:rsidRDefault="00333EBB">
      <w:pPr>
        <w:rPr>
          <w:rFonts w:cs="Arial" w:hint="eastAsia"/>
          <w:color w:val="000000" w:themeColor="text1"/>
        </w:rPr>
      </w:pPr>
      <w:r>
        <w:rPr>
          <w:rFonts w:cs="Arial" w:hint="eastAsia"/>
          <w:color w:val="000000" w:themeColor="text1"/>
        </w:rPr>
        <w:t>在合营企业或联营企业的持股比例不同于表决权比例的说明：</w:t>
      </w:r>
      <w:sdt>
        <w:sdtPr>
          <w:rPr>
            <w:rFonts w:cs="Arial"/>
            <w:color w:val="000000" w:themeColor="text1"/>
          </w:rPr>
          <w:alias w:val="在合营企业或联营企业的持股比例不同于表决权比例的说明"/>
          <w:tag w:val="_GBC_b18385c11aff4424b360bd0cb4f81376"/>
          <w:id w:val="-1172337391"/>
          <w:placeholder>
            <w:docPart w:val="GBC22222222222222222222222222222"/>
          </w:placeholder>
        </w:sdtPr>
        <w:sdtEndPr/>
        <w:sdtContent>
          <w:r>
            <w:rPr>
              <w:rFonts w:cs="Arial" w:hint="eastAsia"/>
              <w:color w:val="000000" w:themeColor="text1"/>
            </w:rPr>
            <w:t>无</w:t>
          </w:r>
        </w:sdtContent>
      </w:sdt>
    </w:p>
    <w:p w14:paraId="05499AA7" w14:textId="77777777" w:rsidR="002D0AE7" w:rsidRDefault="00333EBB">
      <w:pPr>
        <w:rPr>
          <w:rFonts w:cs="Arial" w:hint="eastAsia"/>
          <w:color w:val="000000" w:themeColor="text1"/>
        </w:rPr>
      </w:pPr>
      <w:r>
        <w:rPr>
          <w:rFonts w:cs="Arial" w:hint="eastAsia"/>
          <w:color w:val="000000" w:themeColor="text1"/>
        </w:rPr>
        <w:t>持有</w:t>
      </w:r>
      <w:r>
        <w:rPr>
          <w:rFonts w:cs="Arial"/>
          <w:color w:val="000000" w:themeColor="text1"/>
        </w:rPr>
        <w:t>20%</w:t>
      </w:r>
      <w:r>
        <w:rPr>
          <w:rFonts w:cs="Arial"/>
          <w:color w:val="000000" w:themeColor="text1"/>
        </w:rPr>
        <w:t>以下表决权但具有重大影响，或者持有</w:t>
      </w:r>
      <w:r>
        <w:rPr>
          <w:rFonts w:cs="Arial"/>
          <w:color w:val="000000" w:themeColor="text1"/>
        </w:rPr>
        <w:t>20%</w:t>
      </w:r>
      <w:r>
        <w:rPr>
          <w:rFonts w:cs="Arial"/>
          <w:color w:val="000000" w:themeColor="text1"/>
        </w:rPr>
        <w:t>或以上表决权但不具有重大影响的依据：</w:t>
      </w:r>
      <w:sdt>
        <w:sdtPr>
          <w:rPr>
            <w:rFonts w:cs="Arial"/>
            <w:color w:val="000000" w:themeColor="text1"/>
          </w:rPr>
          <w:alias w:val="持有20%以下表决权但具有重大影响，或者持有20%或以上表决权但不具有重大影响的依据"/>
          <w:tag w:val="_GBC_08a71a8c491f4c758da0748f7570fb28"/>
          <w:id w:val="466863032"/>
          <w:placeholder>
            <w:docPart w:val="GBC22222222222222222222222222222"/>
          </w:placeholder>
        </w:sdtPr>
        <w:sdtEndPr/>
        <w:sdtContent>
          <w:r>
            <w:rPr>
              <w:rFonts w:cs="Arial" w:hint="eastAsia"/>
              <w:color w:val="000000" w:themeColor="text1"/>
            </w:rPr>
            <w:t>无</w:t>
          </w:r>
        </w:sdtContent>
      </w:sdt>
    </w:p>
    <w:p w14:paraId="73BEAE50" w14:textId="77777777" w:rsidR="002D0AE7" w:rsidRDefault="00333EBB">
      <w:pPr>
        <w:pStyle w:val="4"/>
        <w:numPr>
          <w:ilvl w:val="3"/>
          <w:numId w:val="76"/>
        </w:numPr>
        <w:tabs>
          <w:tab w:val="left" w:pos="630"/>
        </w:tabs>
        <w:rPr>
          <w:rFonts w:ascii="宋体" w:hAnsi="宋体" w:cs="Arial" w:hint="eastAsia"/>
          <w:color w:val="000000" w:themeColor="text1"/>
          <w:szCs w:val="21"/>
        </w:rPr>
      </w:pPr>
      <w:r>
        <w:rPr>
          <w:rFonts w:ascii="宋体" w:hAnsi="宋体" w:cs="Arial" w:hint="eastAsia"/>
          <w:color w:val="000000" w:themeColor="text1"/>
          <w:szCs w:val="21"/>
        </w:rPr>
        <w:t>重要联营企业的主要财务信息</w:t>
      </w:r>
    </w:p>
    <w:p w14:paraId="7532355C" w14:textId="77777777" w:rsidR="002D0AE7" w:rsidRDefault="00333EBB">
      <w:pPr>
        <w:rPr>
          <w:rFonts w:hint="eastAsia"/>
          <w:color w:val="000000" w:themeColor="text1"/>
        </w:rPr>
      </w:pPr>
      <w:sdt>
        <w:sdtPr>
          <w:rPr>
            <w:rFonts w:hint="eastAsia"/>
            <w:b/>
            <w:color w:val="000000" w:themeColor="text1"/>
          </w:rPr>
          <w:alias w:val="是否适用：重要联营企业的主要财务信息[双击切换]"/>
          <w:tag w:val="_GBC_e304b69adb6f449495c3916754024763"/>
          <w:id w:val="-946081073"/>
          <w:lock w:val="contentLocked"/>
          <w:placeholder>
            <w:docPart w:val="GBC22222222222222222222222222222"/>
          </w:placeholder>
        </w:sdtPr>
        <w:sdtEndPr>
          <w:rPr>
            <w:b w:val="0"/>
          </w:rPr>
        </w:sdtEndPr>
        <w:sdtContent>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sdtContent>
      </w:sdt>
    </w:p>
    <w:p w14:paraId="223605D5"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重要联营企业的主要财务信息"/>
          <w:tag w:val="_GBC_0306b30be35040cd86d2b964142011d4"/>
          <w:id w:val="159351412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重要联营企业的主要财务信息"/>
          <w:tag w:val="_GBC_a2e655bae21746219bfd958c6f5b8be9"/>
          <w:id w:val="43270947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91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398"/>
        <w:gridCol w:w="1843"/>
        <w:gridCol w:w="1557"/>
        <w:gridCol w:w="2010"/>
        <w:gridCol w:w="1628"/>
      </w:tblGrid>
      <w:tr w:rsidR="002D0AE7" w14:paraId="4BCFD3E9" w14:textId="77777777">
        <w:trPr>
          <w:trHeight w:val="120"/>
          <w:jc w:val="center"/>
        </w:trPr>
        <w:tc>
          <w:tcPr>
            <w:tcW w:w="1628"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0D8A7627" w14:textId="77777777" w:rsidR="002D0AE7" w:rsidRDefault="00333EBB">
            <w:pPr>
              <w:jc w:val="center"/>
              <w:rPr>
                <w:rFonts w:cs="Arial" w:hint="eastAsia"/>
                <w:color w:val="000000" w:themeColor="text1"/>
                <w:sz w:val="21"/>
                <w:szCs w:val="21"/>
              </w:rPr>
            </w:pPr>
            <w:r>
              <w:rPr>
                <w:rFonts w:cs="Arial" w:hint="eastAsia"/>
                <w:color w:val="000000" w:themeColor="text1"/>
                <w:sz w:val="21"/>
                <w:szCs w:val="21"/>
              </w:rPr>
              <w:t>项目</w:t>
            </w:r>
          </w:p>
        </w:tc>
        <w:sdt>
          <w:sdtPr>
            <w:rPr>
              <w:rFonts w:cs="Arial" w:hint="eastAsia"/>
              <w:color w:val="000000" w:themeColor="text1"/>
              <w:sz w:val="21"/>
              <w:szCs w:val="21"/>
              <w:lang w:val="en-GB"/>
            </w:rPr>
            <w:alias w:val="重要联营企业的主要财务信息-发生期间"/>
            <w:tag w:val="_GBC_3985273c74d84e5d9e0004348ff54fc3"/>
            <w:id w:val="-1230379304"/>
          </w:sdtPr>
          <w:sdtEndPr/>
          <w:sdtContent>
            <w:tc>
              <w:tcPr>
                <w:tcW w:w="1629" w:type="pct"/>
                <w:gridSpan w:val="2"/>
                <w:tcBorders>
                  <w:top w:val="single" w:sz="4" w:space="0" w:color="auto"/>
                  <w:left w:val="single" w:sz="6" w:space="0" w:color="auto"/>
                  <w:bottom w:val="single" w:sz="6" w:space="0" w:color="auto"/>
                  <w:right w:val="single" w:sz="6" w:space="0" w:color="auto"/>
                </w:tcBorders>
                <w:shd w:val="clear" w:color="auto" w:fill="auto"/>
                <w:vAlign w:val="center"/>
              </w:tcPr>
              <w:p w14:paraId="13E36B5F" w14:textId="77777777" w:rsidR="002D0AE7" w:rsidRDefault="00333EBB">
                <w:pPr>
                  <w:jc w:val="center"/>
                  <w:rPr>
                    <w:rFonts w:cs="Arial" w:hint="eastAsia"/>
                    <w:color w:val="000000" w:themeColor="text1"/>
                    <w:sz w:val="21"/>
                    <w:szCs w:val="21"/>
                  </w:rPr>
                </w:pPr>
                <w:r>
                  <w:rPr>
                    <w:rFonts w:cs="Arial" w:hint="eastAsia"/>
                    <w:color w:val="000000" w:themeColor="text1"/>
                    <w:sz w:val="21"/>
                    <w:szCs w:val="21"/>
                    <w:lang w:val="en-GB"/>
                  </w:rPr>
                  <w:t>期末余额</w:t>
                </w:r>
                <w:r>
                  <w:rPr>
                    <w:rFonts w:cs="Arial"/>
                    <w:color w:val="000000" w:themeColor="text1"/>
                    <w:sz w:val="21"/>
                    <w:szCs w:val="21"/>
                  </w:rPr>
                  <w:t>/</w:t>
                </w:r>
                <w:r>
                  <w:rPr>
                    <w:rFonts w:cs="Arial" w:hint="eastAsia"/>
                    <w:color w:val="000000" w:themeColor="text1"/>
                    <w:sz w:val="21"/>
                    <w:szCs w:val="21"/>
                    <w:lang w:val="en-GB"/>
                  </w:rPr>
                  <w:t>本期发生额</w:t>
                </w:r>
              </w:p>
            </w:tc>
          </w:sdtContent>
        </w:sdt>
        <w:sdt>
          <w:sdtPr>
            <w:rPr>
              <w:rFonts w:cs="Arial" w:hint="eastAsia"/>
              <w:color w:val="000000" w:themeColor="text1"/>
              <w:sz w:val="21"/>
              <w:szCs w:val="21"/>
              <w:lang w:val="en-GB"/>
            </w:rPr>
            <w:alias w:val="重要联营企业的主要财务信息-发生期间"/>
            <w:tag w:val="_GBC_c59f213bf9cc43468db35ae8e45286d0"/>
            <w:id w:val="1638219066"/>
          </w:sdtPr>
          <w:sdtEndPr/>
          <w:sdtContent>
            <w:tc>
              <w:tcPr>
                <w:tcW w:w="1743" w:type="pct"/>
                <w:gridSpan w:val="2"/>
                <w:tcBorders>
                  <w:top w:val="single" w:sz="4" w:space="0" w:color="auto"/>
                  <w:left w:val="single" w:sz="6" w:space="0" w:color="auto"/>
                  <w:bottom w:val="single" w:sz="6" w:space="0" w:color="auto"/>
                  <w:right w:val="single" w:sz="6" w:space="0" w:color="auto"/>
                </w:tcBorders>
                <w:shd w:val="clear" w:color="auto" w:fill="auto"/>
                <w:vAlign w:val="center"/>
              </w:tcPr>
              <w:p w14:paraId="169ACDA4" w14:textId="77777777" w:rsidR="002D0AE7" w:rsidRDefault="00333EBB">
                <w:pPr>
                  <w:jc w:val="center"/>
                  <w:rPr>
                    <w:rFonts w:cs="Arial" w:hint="eastAsia"/>
                    <w:color w:val="000000" w:themeColor="text1"/>
                    <w:sz w:val="21"/>
                    <w:szCs w:val="21"/>
                    <w:lang w:val="en-GB"/>
                  </w:rPr>
                </w:pPr>
                <w:r>
                  <w:rPr>
                    <w:rFonts w:cs="Arial" w:hint="eastAsia"/>
                    <w:color w:val="000000" w:themeColor="text1"/>
                    <w:sz w:val="21"/>
                    <w:szCs w:val="21"/>
                    <w:lang w:val="en-GB"/>
                  </w:rPr>
                  <w:t>期初余额</w:t>
                </w:r>
                <w:r>
                  <w:rPr>
                    <w:rFonts w:cs="Arial"/>
                    <w:color w:val="000000" w:themeColor="text1"/>
                    <w:sz w:val="21"/>
                    <w:szCs w:val="21"/>
                  </w:rPr>
                  <w:t>/</w:t>
                </w:r>
                <w:r>
                  <w:rPr>
                    <w:rFonts w:cs="Arial" w:hint="eastAsia"/>
                    <w:color w:val="000000" w:themeColor="text1"/>
                    <w:sz w:val="21"/>
                    <w:szCs w:val="21"/>
                    <w:lang w:val="en-GB"/>
                  </w:rPr>
                  <w:t>上期发生额</w:t>
                </w:r>
              </w:p>
            </w:tc>
          </w:sdtContent>
        </w:sdt>
      </w:tr>
      <w:tr w:rsidR="002D0AE7" w14:paraId="2BCAFCB6" w14:textId="77777777">
        <w:trPr>
          <w:trHeight w:val="120"/>
          <w:jc w:val="center"/>
        </w:trPr>
        <w:tc>
          <w:tcPr>
            <w:tcW w:w="1628" w:type="pct"/>
            <w:vMerge/>
            <w:tcBorders>
              <w:top w:val="single" w:sz="4" w:space="0" w:color="auto"/>
              <w:left w:val="single" w:sz="4" w:space="0" w:color="auto"/>
              <w:bottom w:val="single" w:sz="6" w:space="0" w:color="auto"/>
              <w:right w:val="single" w:sz="6" w:space="0" w:color="auto"/>
            </w:tcBorders>
            <w:shd w:val="clear" w:color="auto" w:fill="auto"/>
            <w:vAlign w:val="center"/>
          </w:tcPr>
          <w:p w14:paraId="7F01687C" w14:textId="77777777" w:rsidR="002D0AE7" w:rsidRDefault="002D0AE7">
            <w:pPr>
              <w:rPr>
                <w:rFonts w:cs="Arial" w:hint="eastAsia"/>
                <w:color w:val="000000" w:themeColor="text1"/>
                <w:sz w:val="21"/>
                <w:szCs w:val="21"/>
              </w:rPr>
            </w:pPr>
          </w:p>
        </w:tc>
        <w:tc>
          <w:tcPr>
            <w:tcW w:w="883" w:type="pct"/>
            <w:tcBorders>
              <w:top w:val="single" w:sz="6" w:space="0" w:color="auto"/>
              <w:left w:val="single" w:sz="6" w:space="0" w:color="auto"/>
              <w:right w:val="single" w:sz="6" w:space="0" w:color="auto"/>
            </w:tcBorders>
            <w:shd w:val="clear" w:color="auto" w:fill="auto"/>
            <w:vAlign w:val="center"/>
          </w:tcPr>
          <w:p w14:paraId="74124AE4" w14:textId="77777777" w:rsidR="002D0AE7" w:rsidRDefault="00333EBB">
            <w:pPr>
              <w:jc w:val="center"/>
              <w:rPr>
                <w:rFonts w:hint="eastAsia"/>
                <w:color w:val="000000" w:themeColor="text1"/>
                <w:sz w:val="21"/>
                <w:szCs w:val="21"/>
              </w:rPr>
            </w:pPr>
            <w:r>
              <w:rPr>
                <w:rFonts w:ascii="Arial Narrow" w:hAnsi="Arial Narrow" w:hint="eastAsia"/>
                <w:sz w:val="21"/>
                <w:szCs w:val="21"/>
              </w:rPr>
              <w:t>天津药业研究院股份有限公司</w:t>
            </w:r>
          </w:p>
        </w:tc>
        <w:tc>
          <w:tcPr>
            <w:tcW w:w="746" w:type="pct"/>
            <w:tcBorders>
              <w:top w:val="single" w:sz="6" w:space="0" w:color="auto"/>
              <w:left w:val="single" w:sz="6" w:space="0" w:color="auto"/>
              <w:right w:val="single" w:sz="6" w:space="0" w:color="auto"/>
            </w:tcBorders>
            <w:shd w:val="clear" w:color="auto" w:fill="auto"/>
            <w:vAlign w:val="center"/>
          </w:tcPr>
          <w:p w14:paraId="7CCFF1C1" w14:textId="77777777" w:rsidR="002D0AE7" w:rsidRDefault="00333EBB">
            <w:pPr>
              <w:jc w:val="center"/>
              <w:rPr>
                <w:rFonts w:hint="eastAsia"/>
                <w:sz w:val="21"/>
                <w:szCs w:val="21"/>
              </w:rPr>
            </w:pPr>
            <w:r>
              <w:rPr>
                <w:rFonts w:ascii="Arial Narrow" w:hAnsi="Arial Narrow" w:hint="eastAsia"/>
                <w:sz w:val="21"/>
                <w:szCs w:val="21"/>
              </w:rPr>
              <w:t>江西百思康瑞药业有限公司</w:t>
            </w:r>
          </w:p>
        </w:tc>
        <w:tc>
          <w:tcPr>
            <w:tcW w:w="963" w:type="pct"/>
            <w:tcBorders>
              <w:top w:val="single" w:sz="6" w:space="0" w:color="auto"/>
              <w:left w:val="single" w:sz="6" w:space="0" w:color="auto"/>
              <w:bottom w:val="single" w:sz="6" w:space="0" w:color="auto"/>
              <w:right w:val="single" w:sz="6" w:space="0" w:color="auto"/>
            </w:tcBorders>
            <w:shd w:val="clear" w:color="auto" w:fill="auto"/>
            <w:vAlign w:val="center"/>
          </w:tcPr>
          <w:p w14:paraId="507A6CBA" w14:textId="77777777" w:rsidR="002D0AE7" w:rsidRDefault="00333EBB">
            <w:pPr>
              <w:jc w:val="center"/>
              <w:rPr>
                <w:rFonts w:hint="eastAsia"/>
                <w:color w:val="000000" w:themeColor="text1"/>
                <w:sz w:val="21"/>
                <w:szCs w:val="21"/>
              </w:rPr>
            </w:pPr>
            <w:r>
              <w:rPr>
                <w:rFonts w:ascii="Arial Narrow" w:hAnsi="Arial Narrow" w:hint="eastAsia"/>
                <w:sz w:val="21"/>
                <w:szCs w:val="21"/>
              </w:rPr>
              <w:t>天津药业研究院股份有限公司</w:t>
            </w:r>
          </w:p>
        </w:tc>
        <w:tc>
          <w:tcPr>
            <w:tcW w:w="780" w:type="pct"/>
            <w:tcBorders>
              <w:top w:val="single" w:sz="6" w:space="0" w:color="auto"/>
              <w:left w:val="single" w:sz="6" w:space="0" w:color="auto"/>
              <w:bottom w:val="single" w:sz="6" w:space="0" w:color="auto"/>
              <w:right w:val="single" w:sz="6" w:space="0" w:color="auto"/>
            </w:tcBorders>
            <w:shd w:val="clear" w:color="auto" w:fill="auto"/>
            <w:vAlign w:val="center"/>
          </w:tcPr>
          <w:p w14:paraId="03A9FFE7" w14:textId="77777777" w:rsidR="002D0AE7" w:rsidRDefault="00333EBB">
            <w:pPr>
              <w:jc w:val="center"/>
              <w:rPr>
                <w:rFonts w:hint="eastAsia"/>
                <w:sz w:val="21"/>
                <w:szCs w:val="21"/>
              </w:rPr>
            </w:pPr>
            <w:r>
              <w:rPr>
                <w:rFonts w:ascii="Arial Narrow" w:hAnsi="Arial Narrow" w:hint="eastAsia"/>
                <w:sz w:val="21"/>
                <w:szCs w:val="21"/>
              </w:rPr>
              <w:t>江西百思康瑞药业有限公司</w:t>
            </w:r>
          </w:p>
        </w:tc>
      </w:tr>
      <w:tr w:rsidR="002D0AE7" w14:paraId="2BAF4741" w14:textId="77777777">
        <w:trPr>
          <w:jc w:val="center"/>
        </w:trPr>
        <w:tc>
          <w:tcPr>
            <w:tcW w:w="1628" w:type="pct"/>
            <w:tcBorders>
              <w:top w:val="single" w:sz="6" w:space="0" w:color="auto"/>
              <w:left w:val="single" w:sz="4" w:space="0" w:color="auto"/>
              <w:bottom w:val="single" w:sz="6" w:space="0" w:color="auto"/>
              <w:right w:val="single" w:sz="6" w:space="0" w:color="auto"/>
            </w:tcBorders>
            <w:shd w:val="clear" w:color="auto" w:fill="auto"/>
            <w:vAlign w:val="center"/>
          </w:tcPr>
          <w:p w14:paraId="254DAA03" w14:textId="77777777" w:rsidR="002D0AE7" w:rsidRDefault="00333EBB">
            <w:pPr>
              <w:rPr>
                <w:rFonts w:cs="Arial" w:hint="eastAsia"/>
                <w:color w:val="000000" w:themeColor="text1"/>
                <w:sz w:val="21"/>
                <w:szCs w:val="21"/>
              </w:rPr>
            </w:pPr>
            <w:r>
              <w:rPr>
                <w:rFonts w:cs="Arial" w:hint="eastAsia"/>
                <w:color w:val="000000" w:themeColor="text1"/>
                <w:sz w:val="21"/>
                <w:szCs w:val="21"/>
                <w:lang w:val="en-GB"/>
              </w:rPr>
              <w:t>流动资产</w:t>
            </w:r>
          </w:p>
        </w:tc>
        <w:tc>
          <w:tcPr>
            <w:tcW w:w="883" w:type="pct"/>
            <w:tcBorders>
              <w:left w:val="single" w:sz="6" w:space="0" w:color="auto"/>
              <w:right w:val="single" w:sz="6" w:space="0" w:color="auto"/>
            </w:tcBorders>
            <w:shd w:val="clear" w:color="auto" w:fill="auto"/>
            <w:vAlign w:val="center"/>
          </w:tcPr>
          <w:p w14:paraId="2F7FEB0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102,545,667.24</w:t>
            </w:r>
          </w:p>
        </w:tc>
        <w:tc>
          <w:tcPr>
            <w:tcW w:w="746" w:type="pct"/>
            <w:tcBorders>
              <w:left w:val="single" w:sz="6" w:space="0" w:color="auto"/>
              <w:right w:val="single" w:sz="6" w:space="0" w:color="auto"/>
            </w:tcBorders>
            <w:shd w:val="clear" w:color="auto" w:fill="auto"/>
            <w:vAlign w:val="center"/>
          </w:tcPr>
          <w:p w14:paraId="5968B01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174,737,282.79</w:t>
            </w:r>
          </w:p>
        </w:tc>
        <w:tc>
          <w:tcPr>
            <w:tcW w:w="963" w:type="pct"/>
            <w:tcBorders>
              <w:top w:val="single" w:sz="6" w:space="0" w:color="auto"/>
              <w:left w:val="single" w:sz="6" w:space="0" w:color="auto"/>
              <w:bottom w:val="single" w:sz="6" w:space="0" w:color="auto"/>
              <w:right w:val="single" w:sz="6" w:space="0" w:color="auto"/>
            </w:tcBorders>
            <w:vAlign w:val="center"/>
          </w:tcPr>
          <w:p w14:paraId="2037DA1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106,439,467.80</w:t>
            </w:r>
          </w:p>
        </w:tc>
        <w:tc>
          <w:tcPr>
            <w:tcW w:w="780" w:type="pct"/>
            <w:tcBorders>
              <w:top w:val="single" w:sz="6" w:space="0" w:color="auto"/>
              <w:left w:val="single" w:sz="6" w:space="0" w:color="auto"/>
              <w:bottom w:val="single" w:sz="6" w:space="0" w:color="auto"/>
              <w:right w:val="single" w:sz="6" w:space="0" w:color="auto"/>
            </w:tcBorders>
            <w:vAlign w:val="center"/>
          </w:tcPr>
          <w:p w14:paraId="19B7652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149,573,459.25</w:t>
            </w:r>
          </w:p>
        </w:tc>
      </w:tr>
      <w:tr w:rsidR="002D0AE7" w14:paraId="0170D4D0" w14:textId="77777777">
        <w:trPr>
          <w:jc w:val="center"/>
        </w:trPr>
        <w:tc>
          <w:tcPr>
            <w:tcW w:w="1628" w:type="pct"/>
            <w:tcBorders>
              <w:top w:val="single" w:sz="6" w:space="0" w:color="auto"/>
              <w:left w:val="single" w:sz="4" w:space="0" w:color="auto"/>
              <w:bottom w:val="single" w:sz="6" w:space="0" w:color="auto"/>
              <w:right w:val="single" w:sz="6" w:space="0" w:color="auto"/>
            </w:tcBorders>
            <w:shd w:val="clear" w:color="auto" w:fill="auto"/>
            <w:vAlign w:val="center"/>
          </w:tcPr>
          <w:p w14:paraId="7E4D5F27" w14:textId="77777777" w:rsidR="002D0AE7" w:rsidRDefault="00333EBB">
            <w:pPr>
              <w:rPr>
                <w:rFonts w:cs="Arial" w:hint="eastAsia"/>
                <w:color w:val="000000" w:themeColor="text1"/>
                <w:sz w:val="21"/>
                <w:szCs w:val="21"/>
              </w:rPr>
            </w:pPr>
            <w:r>
              <w:rPr>
                <w:rFonts w:cs="Arial" w:hint="eastAsia"/>
                <w:color w:val="000000" w:themeColor="text1"/>
                <w:sz w:val="21"/>
                <w:szCs w:val="21"/>
                <w:lang w:val="en-GB"/>
              </w:rPr>
              <w:t>非流动资产</w:t>
            </w:r>
          </w:p>
        </w:tc>
        <w:tc>
          <w:tcPr>
            <w:tcW w:w="883" w:type="pct"/>
            <w:tcBorders>
              <w:left w:val="single" w:sz="6" w:space="0" w:color="auto"/>
              <w:right w:val="single" w:sz="6" w:space="0" w:color="auto"/>
            </w:tcBorders>
            <w:shd w:val="clear" w:color="auto" w:fill="auto"/>
            <w:vAlign w:val="center"/>
          </w:tcPr>
          <w:p w14:paraId="7948538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35,240,444.72</w:t>
            </w:r>
          </w:p>
        </w:tc>
        <w:tc>
          <w:tcPr>
            <w:tcW w:w="746" w:type="pct"/>
            <w:tcBorders>
              <w:left w:val="single" w:sz="6" w:space="0" w:color="auto"/>
              <w:right w:val="single" w:sz="6" w:space="0" w:color="auto"/>
            </w:tcBorders>
            <w:shd w:val="clear" w:color="auto" w:fill="auto"/>
            <w:vAlign w:val="center"/>
          </w:tcPr>
          <w:p w14:paraId="66B84AE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60,141,903.03</w:t>
            </w:r>
          </w:p>
        </w:tc>
        <w:tc>
          <w:tcPr>
            <w:tcW w:w="963" w:type="pct"/>
            <w:tcBorders>
              <w:top w:val="single" w:sz="6" w:space="0" w:color="auto"/>
              <w:left w:val="single" w:sz="6" w:space="0" w:color="auto"/>
              <w:bottom w:val="single" w:sz="6" w:space="0" w:color="auto"/>
              <w:right w:val="single" w:sz="6" w:space="0" w:color="auto"/>
            </w:tcBorders>
            <w:vAlign w:val="center"/>
          </w:tcPr>
          <w:p w14:paraId="471EBEC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38,064,552.46</w:t>
            </w:r>
          </w:p>
        </w:tc>
        <w:tc>
          <w:tcPr>
            <w:tcW w:w="780" w:type="pct"/>
            <w:tcBorders>
              <w:top w:val="single" w:sz="6" w:space="0" w:color="auto"/>
              <w:left w:val="single" w:sz="6" w:space="0" w:color="auto"/>
              <w:bottom w:val="single" w:sz="6" w:space="0" w:color="auto"/>
              <w:right w:val="single" w:sz="6" w:space="0" w:color="auto"/>
            </w:tcBorders>
            <w:vAlign w:val="center"/>
          </w:tcPr>
          <w:p w14:paraId="01890AD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57,301,627.63</w:t>
            </w:r>
          </w:p>
        </w:tc>
      </w:tr>
      <w:tr w:rsidR="002D0AE7" w14:paraId="0611CBA5" w14:textId="77777777">
        <w:trPr>
          <w:jc w:val="center"/>
        </w:trPr>
        <w:tc>
          <w:tcPr>
            <w:tcW w:w="1628" w:type="pct"/>
            <w:tcBorders>
              <w:top w:val="single" w:sz="6" w:space="0" w:color="auto"/>
              <w:left w:val="single" w:sz="4" w:space="0" w:color="auto"/>
              <w:bottom w:val="single" w:sz="6" w:space="0" w:color="auto"/>
              <w:right w:val="single" w:sz="6" w:space="0" w:color="auto"/>
            </w:tcBorders>
            <w:shd w:val="clear" w:color="auto" w:fill="auto"/>
            <w:vAlign w:val="center"/>
          </w:tcPr>
          <w:p w14:paraId="60A0DDB8" w14:textId="77777777" w:rsidR="002D0AE7" w:rsidRDefault="00333EBB">
            <w:pPr>
              <w:rPr>
                <w:rFonts w:cs="Arial" w:hint="eastAsia"/>
                <w:color w:val="000000" w:themeColor="text1"/>
                <w:sz w:val="21"/>
                <w:szCs w:val="21"/>
              </w:rPr>
            </w:pPr>
            <w:r>
              <w:rPr>
                <w:rFonts w:cs="Arial" w:hint="eastAsia"/>
                <w:color w:val="000000" w:themeColor="text1"/>
                <w:sz w:val="21"/>
                <w:szCs w:val="21"/>
                <w:lang w:val="en-GB"/>
              </w:rPr>
              <w:t>资产合计</w:t>
            </w:r>
          </w:p>
        </w:tc>
        <w:tc>
          <w:tcPr>
            <w:tcW w:w="883" w:type="pct"/>
            <w:tcBorders>
              <w:left w:val="single" w:sz="6" w:space="0" w:color="auto"/>
              <w:right w:val="single" w:sz="6" w:space="0" w:color="auto"/>
            </w:tcBorders>
            <w:shd w:val="clear" w:color="auto" w:fill="auto"/>
            <w:vAlign w:val="center"/>
          </w:tcPr>
          <w:p w14:paraId="1666BCF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137,786,111.96</w:t>
            </w:r>
          </w:p>
        </w:tc>
        <w:tc>
          <w:tcPr>
            <w:tcW w:w="746" w:type="pct"/>
            <w:tcBorders>
              <w:left w:val="single" w:sz="6" w:space="0" w:color="auto"/>
              <w:right w:val="single" w:sz="6" w:space="0" w:color="auto"/>
            </w:tcBorders>
            <w:shd w:val="clear" w:color="auto" w:fill="auto"/>
            <w:vAlign w:val="center"/>
          </w:tcPr>
          <w:p w14:paraId="7E6CF8A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234,879,185.82</w:t>
            </w:r>
          </w:p>
        </w:tc>
        <w:tc>
          <w:tcPr>
            <w:tcW w:w="963" w:type="pct"/>
            <w:tcBorders>
              <w:top w:val="single" w:sz="6" w:space="0" w:color="auto"/>
              <w:left w:val="single" w:sz="6" w:space="0" w:color="auto"/>
              <w:bottom w:val="single" w:sz="6" w:space="0" w:color="auto"/>
              <w:right w:val="single" w:sz="6" w:space="0" w:color="auto"/>
            </w:tcBorders>
            <w:vAlign w:val="center"/>
          </w:tcPr>
          <w:p w14:paraId="358CB24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144,504,020.26</w:t>
            </w:r>
          </w:p>
        </w:tc>
        <w:tc>
          <w:tcPr>
            <w:tcW w:w="780" w:type="pct"/>
            <w:tcBorders>
              <w:top w:val="single" w:sz="6" w:space="0" w:color="auto"/>
              <w:left w:val="single" w:sz="6" w:space="0" w:color="auto"/>
              <w:bottom w:val="single" w:sz="6" w:space="0" w:color="auto"/>
              <w:right w:val="single" w:sz="6" w:space="0" w:color="auto"/>
            </w:tcBorders>
            <w:vAlign w:val="center"/>
          </w:tcPr>
          <w:p w14:paraId="719F447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206,875,086.88</w:t>
            </w:r>
          </w:p>
        </w:tc>
      </w:tr>
      <w:tr w:rsidR="002D0AE7" w14:paraId="710B8310" w14:textId="77777777">
        <w:trPr>
          <w:jc w:val="center"/>
        </w:trPr>
        <w:tc>
          <w:tcPr>
            <w:tcW w:w="1628" w:type="pct"/>
            <w:tcBorders>
              <w:top w:val="single" w:sz="6" w:space="0" w:color="auto"/>
              <w:left w:val="single" w:sz="4" w:space="0" w:color="auto"/>
              <w:bottom w:val="single" w:sz="6" w:space="0" w:color="auto"/>
              <w:right w:val="single" w:sz="6" w:space="0" w:color="auto"/>
            </w:tcBorders>
            <w:shd w:val="clear" w:color="auto" w:fill="auto"/>
            <w:vAlign w:val="center"/>
          </w:tcPr>
          <w:p w14:paraId="73BE20BA" w14:textId="77777777" w:rsidR="002D0AE7" w:rsidRDefault="00333EBB">
            <w:pPr>
              <w:rPr>
                <w:rFonts w:cs="Arial" w:hint="eastAsia"/>
                <w:color w:val="000000" w:themeColor="text1"/>
                <w:sz w:val="21"/>
                <w:szCs w:val="21"/>
              </w:rPr>
            </w:pPr>
            <w:r>
              <w:rPr>
                <w:rFonts w:cs="Arial" w:hint="eastAsia"/>
                <w:color w:val="000000" w:themeColor="text1"/>
                <w:sz w:val="21"/>
                <w:szCs w:val="21"/>
                <w:lang w:val="en-GB"/>
              </w:rPr>
              <w:t>流动负债</w:t>
            </w:r>
          </w:p>
        </w:tc>
        <w:tc>
          <w:tcPr>
            <w:tcW w:w="883" w:type="pct"/>
            <w:tcBorders>
              <w:left w:val="single" w:sz="6" w:space="0" w:color="auto"/>
              <w:right w:val="single" w:sz="6" w:space="0" w:color="auto"/>
            </w:tcBorders>
            <w:shd w:val="clear" w:color="auto" w:fill="auto"/>
            <w:vAlign w:val="center"/>
          </w:tcPr>
          <w:p w14:paraId="5FFA6AB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71,127,046.79</w:t>
            </w:r>
          </w:p>
        </w:tc>
        <w:tc>
          <w:tcPr>
            <w:tcW w:w="746" w:type="pct"/>
            <w:tcBorders>
              <w:left w:val="single" w:sz="6" w:space="0" w:color="auto"/>
              <w:right w:val="single" w:sz="6" w:space="0" w:color="auto"/>
            </w:tcBorders>
            <w:shd w:val="clear" w:color="auto" w:fill="auto"/>
            <w:vAlign w:val="center"/>
          </w:tcPr>
          <w:p w14:paraId="24DCE51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202,445,342.56</w:t>
            </w:r>
          </w:p>
        </w:tc>
        <w:tc>
          <w:tcPr>
            <w:tcW w:w="963" w:type="pct"/>
            <w:tcBorders>
              <w:top w:val="single" w:sz="6" w:space="0" w:color="auto"/>
              <w:left w:val="single" w:sz="6" w:space="0" w:color="auto"/>
              <w:bottom w:val="single" w:sz="6" w:space="0" w:color="auto"/>
              <w:right w:val="single" w:sz="6" w:space="0" w:color="auto"/>
            </w:tcBorders>
            <w:vAlign w:val="center"/>
          </w:tcPr>
          <w:p w14:paraId="494D91C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78,591,488.40</w:t>
            </w:r>
          </w:p>
        </w:tc>
        <w:tc>
          <w:tcPr>
            <w:tcW w:w="780" w:type="pct"/>
            <w:tcBorders>
              <w:top w:val="single" w:sz="6" w:space="0" w:color="auto"/>
              <w:left w:val="single" w:sz="6" w:space="0" w:color="auto"/>
              <w:bottom w:val="single" w:sz="6" w:space="0" w:color="auto"/>
              <w:right w:val="single" w:sz="6" w:space="0" w:color="auto"/>
            </w:tcBorders>
            <w:vAlign w:val="center"/>
          </w:tcPr>
          <w:p w14:paraId="3FDF354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178,278,276.36</w:t>
            </w:r>
          </w:p>
        </w:tc>
      </w:tr>
      <w:tr w:rsidR="002D0AE7" w14:paraId="303662A5" w14:textId="77777777">
        <w:trPr>
          <w:jc w:val="center"/>
        </w:trPr>
        <w:tc>
          <w:tcPr>
            <w:tcW w:w="1628" w:type="pct"/>
            <w:tcBorders>
              <w:top w:val="single" w:sz="6" w:space="0" w:color="auto"/>
              <w:left w:val="single" w:sz="4" w:space="0" w:color="auto"/>
              <w:bottom w:val="single" w:sz="6" w:space="0" w:color="auto"/>
              <w:right w:val="single" w:sz="6" w:space="0" w:color="auto"/>
            </w:tcBorders>
            <w:shd w:val="clear" w:color="auto" w:fill="auto"/>
            <w:vAlign w:val="center"/>
          </w:tcPr>
          <w:p w14:paraId="61AFE556" w14:textId="77777777" w:rsidR="002D0AE7" w:rsidRDefault="00333EBB">
            <w:pPr>
              <w:rPr>
                <w:rFonts w:cs="Arial" w:hint="eastAsia"/>
                <w:color w:val="000000" w:themeColor="text1"/>
                <w:sz w:val="21"/>
                <w:szCs w:val="21"/>
              </w:rPr>
            </w:pPr>
            <w:r>
              <w:rPr>
                <w:rFonts w:cs="Arial" w:hint="eastAsia"/>
                <w:color w:val="000000" w:themeColor="text1"/>
                <w:sz w:val="21"/>
                <w:szCs w:val="21"/>
                <w:lang w:val="en-GB"/>
              </w:rPr>
              <w:t>非流动负债</w:t>
            </w:r>
          </w:p>
        </w:tc>
        <w:tc>
          <w:tcPr>
            <w:tcW w:w="883" w:type="pct"/>
            <w:tcBorders>
              <w:left w:val="single" w:sz="6" w:space="0" w:color="auto"/>
              <w:right w:val="single" w:sz="6" w:space="0" w:color="auto"/>
            </w:tcBorders>
            <w:shd w:val="clear" w:color="auto" w:fill="auto"/>
            <w:vAlign w:val="center"/>
          </w:tcPr>
          <w:p w14:paraId="33FDFD1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3,100,000.00</w:t>
            </w:r>
          </w:p>
        </w:tc>
        <w:tc>
          <w:tcPr>
            <w:tcW w:w="746" w:type="pct"/>
            <w:tcBorders>
              <w:left w:val="single" w:sz="6" w:space="0" w:color="auto"/>
              <w:right w:val="single" w:sz="6" w:space="0" w:color="auto"/>
            </w:tcBorders>
            <w:shd w:val="clear" w:color="auto" w:fill="auto"/>
            <w:vAlign w:val="center"/>
          </w:tcPr>
          <w:p w14:paraId="31E2537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63" w:type="pct"/>
            <w:tcBorders>
              <w:top w:val="single" w:sz="6" w:space="0" w:color="auto"/>
              <w:left w:val="single" w:sz="6" w:space="0" w:color="auto"/>
              <w:bottom w:val="single" w:sz="6" w:space="0" w:color="auto"/>
              <w:right w:val="single" w:sz="6" w:space="0" w:color="auto"/>
            </w:tcBorders>
            <w:vAlign w:val="center"/>
          </w:tcPr>
          <w:p w14:paraId="52A7B67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3,100,000.00</w:t>
            </w:r>
          </w:p>
        </w:tc>
        <w:tc>
          <w:tcPr>
            <w:tcW w:w="780" w:type="pct"/>
            <w:tcBorders>
              <w:top w:val="single" w:sz="6" w:space="0" w:color="auto"/>
              <w:left w:val="single" w:sz="6" w:space="0" w:color="auto"/>
              <w:bottom w:val="single" w:sz="6" w:space="0" w:color="auto"/>
              <w:right w:val="single" w:sz="6" w:space="0" w:color="auto"/>
            </w:tcBorders>
            <w:vAlign w:val="center"/>
          </w:tcPr>
          <w:p w14:paraId="0710F29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385D69AE" w14:textId="77777777">
        <w:trPr>
          <w:jc w:val="center"/>
        </w:trPr>
        <w:tc>
          <w:tcPr>
            <w:tcW w:w="1628" w:type="pct"/>
            <w:tcBorders>
              <w:top w:val="single" w:sz="6" w:space="0" w:color="auto"/>
              <w:left w:val="single" w:sz="4" w:space="0" w:color="auto"/>
              <w:bottom w:val="single" w:sz="6" w:space="0" w:color="auto"/>
              <w:right w:val="single" w:sz="6" w:space="0" w:color="auto"/>
            </w:tcBorders>
            <w:shd w:val="clear" w:color="auto" w:fill="auto"/>
            <w:vAlign w:val="center"/>
          </w:tcPr>
          <w:p w14:paraId="31730FBC" w14:textId="77777777" w:rsidR="002D0AE7" w:rsidRDefault="00333EBB">
            <w:pPr>
              <w:rPr>
                <w:rFonts w:cs="Arial" w:hint="eastAsia"/>
                <w:color w:val="000000" w:themeColor="text1"/>
                <w:sz w:val="21"/>
                <w:szCs w:val="21"/>
              </w:rPr>
            </w:pPr>
            <w:r>
              <w:rPr>
                <w:rFonts w:cs="Arial" w:hint="eastAsia"/>
                <w:color w:val="000000" w:themeColor="text1"/>
                <w:sz w:val="21"/>
                <w:szCs w:val="21"/>
                <w:lang w:val="en-GB"/>
              </w:rPr>
              <w:t>负债合计</w:t>
            </w:r>
          </w:p>
        </w:tc>
        <w:tc>
          <w:tcPr>
            <w:tcW w:w="883" w:type="pct"/>
            <w:tcBorders>
              <w:left w:val="single" w:sz="6" w:space="0" w:color="auto"/>
              <w:right w:val="single" w:sz="6" w:space="0" w:color="auto"/>
            </w:tcBorders>
            <w:shd w:val="clear" w:color="auto" w:fill="auto"/>
            <w:vAlign w:val="center"/>
          </w:tcPr>
          <w:p w14:paraId="262F773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74,227,046.79</w:t>
            </w:r>
          </w:p>
        </w:tc>
        <w:tc>
          <w:tcPr>
            <w:tcW w:w="746" w:type="pct"/>
            <w:tcBorders>
              <w:left w:val="single" w:sz="6" w:space="0" w:color="auto"/>
              <w:right w:val="single" w:sz="6" w:space="0" w:color="auto"/>
            </w:tcBorders>
            <w:shd w:val="clear" w:color="auto" w:fill="auto"/>
            <w:vAlign w:val="center"/>
          </w:tcPr>
          <w:p w14:paraId="05FC48C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202,445,342.56</w:t>
            </w:r>
          </w:p>
        </w:tc>
        <w:tc>
          <w:tcPr>
            <w:tcW w:w="963" w:type="pct"/>
            <w:tcBorders>
              <w:top w:val="single" w:sz="6" w:space="0" w:color="auto"/>
              <w:left w:val="single" w:sz="6" w:space="0" w:color="auto"/>
              <w:bottom w:val="single" w:sz="6" w:space="0" w:color="auto"/>
              <w:right w:val="single" w:sz="6" w:space="0" w:color="auto"/>
            </w:tcBorders>
            <w:vAlign w:val="center"/>
          </w:tcPr>
          <w:p w14:paraId="3A7FBF3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81,691,488.40</w:t>
            </w:r>
          </w:p>
        </w:tc>
        <w:tc>
          <w:tcPr>
            <w:tcW w:w="780" w:type="pct"/>
            <w:tcBorders>
              <w:top w:val="single" w:sz="6" w:space="0" w:color="auto"/>
              <w:left w:val="single" w:sz="6" w:space="0" w:color="auto"/>
              <w:bottom w:val="single" w:sz="6" w:space="0" w:color="auto"/>
              <w:right w:val="single" w:sz="6" w:space="0" w:color="auto"/>
            </w:tcBorders>
            <w:vAlign w:val="center"/>
          </w:tcPr>
          <w:p w14:paraId="51D6CC0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178,278,276.36</w:t>
            </w:r>
          </w:p>
        </w:tc>
      </w:tr>
      <w:tr w:rsidR="002D0AE7" w14:paraId="0FF5793D" w14:textId="77777777">
        <w:trPr>
          <w:jc w:val="center"/>
        </w:trPr>
        <w:tc>
          <w:tcPr>
            <w:tcW w:w="1628" w:type="pct"/>
            <w:tcBorders>
              <w:top w:val="single" w:sz="6" w:space="0" w:color="auto"/>
              <w:left w:val="single" w:sz="4" w:space="0" w:color="auto"/>
              <w:bottom w:val="single" w:sz="6" w:space="0" w:color="auto"/>
              <w:right w:val="single" w:sz="6" w:space="0" w:color="auto"/>
            </w:tcBorders>
            <w:shd w:val="clear" w:color="auto" w:fill="auto"/>
            <w:vAlign w:val="center"/>
          </w:tcPr>
          <w:p w14:paraId="72AC02D6" w14:textId="77777777" w:rsidR="002D0AE7" w:rsidRDefault="00333EBB">
            <w:pPr>
              <w:rPr>
                <w:rFonts w:cs="Arial" w:hint="eastAsia"/>
                <w:color w:val="000000" w:themeColor="text1"/>
                <w:sz w:val="21"/>
                <w:szCs w:val="21"/>
              </w:rPr>
            </w:pPr>
            <w:r>
              <w:rPr>
                <w:rFonts w:cs="Arial" w:hint="eastAsia"/>
                <w:color w:val="000000" w:themeColor="text1"/>
                <w:sz w:val="21"/>
                <w:szCs w:val="21"/>
                <w:lang w:val="en-GB"/>
              </w:rPr>
              <w:t>少数股东权益</w:t>
            </w:r>
          </w:p>
        </w:tc>
        <w:tc>
          <w:tcPr>
            <w:tcW w:w="883" w:type="pct"/>
            <w:tcBorders>
              <w:left w:val="single" w:sz="6" w:space="0" w:color="auto"/>
              <w:right w:val="single" w:sz="6" w:space="0" w:color="auto"/>
            </w:tcBorders>
            <w:shd w:val="clear" w:color="auto" w:fill="auto"/>
            <w:vAlign w:val="center"/>
          </w:tcPr>
          <w:p w14:paraId="4BF5C8A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46" w:type="pct"/>
            <w:tcBorders>
              <w:left w:val="single" w:sz="6" w:space="0" w:color="auto"/>
              <w:right w:val="single" w:sz="6" w:space="0" w:color="auto"/>
            </w:tcBorders>
            <w:shd w:val="clear" w:color="auto" w:fill="auto"/>
            <w:vAlign w:val="center"/>
          </w:tcPr>
          <w:p w14:paraId="2F1F5A5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63" w:type="pct"/>
            <w:tcBorders>
              <w:top w:val="single" w:sz="6" w:space="0" w:color="auto"/>
              <w:left w:val="single" w:sz="6" w:space="0" w:color="auto"/>
              <w:bottom w:val="single" w:sz="6" w:space="0" w:color="auto"/>
              <w:right w:val="single" w:sz="6" w:space="0" w:color="auto"/>
            </w:tcBorders>
            <w:vAlign w:val="center"/>
          </w:tcPr>
          <w:p w14:paraId="60DA049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80" w:type="pct"/>
            <w:tcBorders>
              <w:top w:val="single" w:sz="6" w:space="0" w:color="auto"/>
              <w:left w:val="single" w:sz="6" w:space="0" w:color="auto"/>
              <w:bottom w:val="single" w:sz="6" w:space="0" w:color="auto"/>
              <w:right w:val="single" w:sz="6" w:space="0" w:color="auto"/>
            </w:tcBorders>
            <w:vAlign w:val="center"/>
          </w:tcPr>
          <w:p w14:paraId="26EDE84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51C3274C" w14:textId="77777777">
        <w:trPr>
          <w:jc w:val="center"/>
        </w:trPr>
        <w:tc>
          <w:tcPr>
            <w:tcW w:w="1628" w:type="pct"/>
            <w:tcBorders>
              <w:top w:val="single" w:sz="6" w:space="0" w:color="auto"/>
              <w:left w:val="single" w:sz="4" w:space="0" w:color="auto"/>
              <w:bottom w:val="single" w:sz="6" w:space="0" w:color="auto"/>
              <w:right w:val="single" w:sz="6" w:space="0" w:color="auto"/>
            </w:tcBorders>
            <w:shd w:val="clear" w:color="auto" w:fill="auto"/>
            <w:vAlign w:val="center"/>
          </w:tcPr>
          <w:p w14:paraId="5738D387" w14:textId="77777777" w:rsidR="002D0AE7" w:rsidRDefault="00333EBB">
            <w:pPr>
              <w:rPr>
                <w:rFonts w:cs="Arial" w:hint="eastAsia"/>
                <w:color w:val="000000" w:themeColor="text1"/>
                <w:sz w:val="21"/>
                <w:szCs w:val="21"/>
              </w:rPr>
            </w:pPr>
            <w:r>
              <w:rPr>
                <w:rFonts w:cs="Arial" w:hint="eastAsia"/>
                <w:color w:val="000000" w:themeColor="text1"/>
                <w:sz w:val="21"/>
                <w:szCs w:val="21"/>
                <w:lang w:val="en-GB"/>
              </w:rPr>
              <w:t>归属于母公司股东权益</w:t>
            </w:r>
          </w:p>
        </w:tc>
        <w:tc>
          <w:tcPr>
            <w:tcW w:w="883" w:type="pct"/>
            <w:tcBorders>
              <w:left w:val="single" w:sz="6" w:space="0" w:color="auto"/>
              <w:right w:val="single" w:sz="6" w:space="0" w:color="auto"/>
            </w:tcBorders>
            <w:shd w:val="clear" w:color="auto" w:fill="auto"/>
            <w:vAlign w:val="center"/>
          </w:tcPr>
          <w:p w14:paraId="3A17CEF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63,559,065.17</w:t>
            </w:r>
          </w:p>
        </w:tc>
        <w:tc>
          <w:tcPr>
            <w:tcW w:w="746" w:type="pct"/>
            <w:tcBorders>
              <w:left w:val="single" w:sz="6" w:space="0" w:color="auto"/>
              <w:right w:val="single" w:sz="6" w:space="0" w:color="auto"/>
            </w:tcBorders>
            <w:shd w:val="clear" w:color="auto" w:fill="auto"/>
            <w:vAlign w:val="center"/>
          </w:tcPr>
          <w:p w14:paraId="3E6C9DC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32,433,843.26</w:t>
            </w:r>
          </w:p>
        </w:tc>
        <w:tc>
          <w:tcPr>
            <w:tcW w:w="963" w:type="pct"/>
            <w:tcBorders>
              <w:top w:val="single" w:sz="6" w:space="0" w:color="auto"/>
              <w:left w:val="single" w:sz="6" w:space="0" w:color="auto"/>
              <w:bottom w:val="single" w:sz="6" w:space="0" w:color="auto"/>
              <w:right w:val="single" w:sz="6" w:space="0" w:color="auto"/>
            </w:tcBorders>
            <w:vAlign w:val="center"/>
          </w:tcPr>
          <w:p w14:paraId="67EE657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62,812,531.86</w:t>
            </w:r>
          </w:p>
        </w:tc>
        <w:tc>
          <w:tcPr>
            <w:tcW w:w="780" w:type="pct"/>
            <w:tcBorders>
              <w:top w:val="single" w:sz="6" w:space="0" w:color="auto"/>
              <w:left w:val="single" w:sz="6" w:space="0" w:color="auto"/>
              <w:bottom w:val="single" w:sz="6" w:space="0" w:color="auto"/>
              <w:right w:val="single" w:sz="6" w:space="0" w:color="auto"/>
            </w:tcBorders>
            <w:vAlign w:val="center"/>
          </w:tcPr>
          <w:p w14:paraId="3FB65AB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28,596,810.52</w:t>
            </w:r>
          </w:p>
        </w:tc>
      </w:tr>
      <w:tr w:rsidR="002D0AE7" w14:paraId="4E52F323" w14:textId="77777777">
        <w:trPr>
          <w:jc w:val="center"/>
        </w:trPr>
        <w:tc>
          <w:tcPr>
            <w:tcW w:w="1628" w:type="pct"/>
            <w:tcBorders>
              <w:top w:val="single" w:sz="6" w:space="0" w:color="auto"/>
              <w:left w:val="single" w:sz="4" w:space="0" w:color="auto"/>
              <w:bottom w:val="single" w:sz="6" w:space="0" w:color="auto"/>
              <w:right w:val="single" w:sz="6" w:space="0" w:color="auto"/>
            </w:tcBorders>
            <w:shd w:val="clear" w:color="auto" w:fill="auto"/>
            <w:vAlign w:val="center"/>
          </w:tcPr>
          <w:p w14:paraId="46C78260" w14:textId="77777777" w:rsidR="002D0AE7" w:rsidRDefault="00333EBB">
            <w:pPr>
              <w:rPr>
                <w:rFonts w:cs="Arial" w:hint="eastAsia"/>
                <w:color w:val="000000" w:themeColor="text1"/>
                <w:sz w:val="21"/>
                <w:szCs w:val="21"/>
              </w:rPr>
            </w:pPr>
            <w:r>
              <w:rPr>
                <w:rFonts w:cs="Arial" w:hint="eastAsia"/>
                <w:color w:val="000000" w:themeColor="text1"/>
                <w:sz w:val="21"/>
                <w:szCs w:val="21"/>
                <w:lang w:val="en-GB"/>
              </w:rPr>
              <w:t>按持股比例计算的净资产份额</w:t>
            </w:r>
          </w:p>
        </w:tc>
        <w:tc>
          <w:tcPr>
            <w:tcW w:w="883" w:type="pct"/>
            <w:tcBorders>
              <w:left w:val="single" w:sz="6" w:space="0" w:color="auto"/>
              <w:right w:val="single" w:sz="6" w:space="0" w:color="auto"/>
            </w:tcBorders>
            <w:shd w:val="clear" w:color="auto" w:fill="auto"/>
            <w:vAlign w:val="center"/>
          </w:tcPr>
          <w:p w14:paraId="6EE168B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15,502,055.99</w:t>
            </w:r>
          </w:p>
        </w:tc>
        <w:tc>
          <w:tcPr>
            <w:tcW w:w="746" w:type="pct"/>
            <w:tcBorders>
              <w:left w:val="single" w:sz="6" w:space="0" w:color="auto"/>
              <w:right w:val="single" w:sz="6" w:space="0" w:color="auto"/>
            </w:tcBorders>
            <w:shd w:val="clear" w:color="auto" w:fill="auto"/>
            <w:vAlign w:val="center"/>
          </w:tcPr>
          <w:p w14:paraId="587A945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9,730,152.98</w:t>
            </w:r>
          </w:p>
        </w:tc>
        <w:tc>
          <w:tcPr>
            <w:tcW w:w="963" w:type="pct"/>
            <w:tcBorders>
              <w:top w:val="single" w:sz="6" w:space="0" w:color="auto"/>
              <w:left w:val="single" w:sz="6" w:space="0" w:color="auto"/>
              <w:bottom w:val="single" w:sz="6" w:space="0" w:color="auto"/>
              <w:right w:val="single" w:sz="6" w:space="0" w:color="auto"/>
            </w:tcBorders>
            <w:vAlign w:val="center"/>
          </w:tcPr>
          <w:p w14:paraId="7199841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15,319,976.52</w:t>
            </w:r>
          </w:p>
        </w:tc>
        <w:tc>
          <w:tcPr>
            <w:tcW w:w="780" w:type="pct"/>
            <w:tcBorders>
              <w:top w:val="single" w:sz="6" w:space="0" w:color="auto"/>
              <w:left w:val="single" w:sz="6" w:space="0" w:color="auto"/>
              <w:bottom w:val="single" w:sz="6" w:space="0" w:color="auto"/>
              <w:right w:val="single" w:sz="6" w:space="0" w:color="auto"/>
            </w:tcBorders>
            <w:vAlign w:val="center"/>
          </w:tcPr>
          <w:p w14:paraId="296CCF2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8,579,043.16</w:t>
            </w:r>
          </w:p>
        </w:tc>
      </w:tr>
      <w:tr w:rsidR="002D0AE7" w14:paraId="147912DB" w14:textId="77777777">
        <w:trPr>
          <w:jc w:val="center"/>
        </w:trPr>
        <w:tc>
          <w:tcPr>
            <w:tcW w:w="1628" w:type="pct"/>
            <w:tcBorders>
              <w:top w:val="single" w:sz="6" w:space="0" w:color="auto"/>
              <w:left w:val="single" w:sz="4" w:space="0" w:color="auto"/>
              <w:bottom w:val="single" w:sz="6" w:space="0" w:color="auto"/>
              <w:right w:val="single" w:sz="6" w:space="0" w:color="auto"/>
            </w:tcBorders>
            <w:shd w:val="clear" w:color="auto" w:fill="auto"/>
            <w:vAlign w:val="center"/>
          </w:tcPr>
          <w:p w14:paraId="5F4670DC" w14:textId="77777777" w:rsidR="002D0AE7" w:rsidRDefault="00333EBB">
            <w:pPr>
              <w:rPr>
                <w:rFonts w:cs="Arial" w:hint="eastAsia"/>
                <w:color w:val="000000" w:themeColor="text1"/>
                <w:sz w:val="21"/>
                <w:szCs w:val="21"/>
              </w:rPr>
            </w:pPr>
            <w:r>
              <w:rPr>
                <w:rFonts w:cs="Arial" w:hint="eastAsia"/>
                <w:color w:val="000000" w:themeColor="text1"/>
                <w:sz w:val="21"/>
                <w:szCs w:val="21"/>
                <w:lang w:val="en-GB"/>
              </w:rPr>
              <w:t>调整事项</w:t>
            </w:r>
          </w:p>
        </w:tc>
        <w:tc>
          <w:tcPr>
            <w:tcW w:w="883" w:type="pct"/>
            <w:tcBorders>
              <w:left w:val="single" w:sz="6" w:space="0" w:color="auto"/>
              <w:right w:val="single" w:sz="6" w:space="0" w:color="auto"/>
            </w:tcBorders>
            <w:shd w:val="clear" w:color="auto" w:fill="auto"/>
            <w:vAlign w:val="center"/>
          </w:tcPr>
          <w:p w14:paraId="2C649E63" w14:textId="77777777" w:rsidR="002D0AE7" w:rsidRDefault="002D0AE7">
            <w:pPr>
              <w:jc w:val="right"/>
              <w:rPr>
                <w:rFonts w:ascii="Times New Roman" w:hAnsi="Times New Roman" w:cs="Times New Roman"/>
                <w:sz w:val="21"/>
                <w:szCs w:val="21"/>
              </w:rPr>
            </w:pPr>
          </w:p>
        </w:tc>
        <w:tc>
          <w:tcPr>
            <w:tcW w:w="746" w:type="pct"/>
            <w:tcBorders>
              <w:left w:val="single" w:sz="6" w:space="0" w:color="auto"/>
              <w:right w:val="single" w:sz="6" w:space="0" w:color="auto"/>
            </w:tcBorders>
            <w:shd w:val="clear" w:color="auto" w:fill="auto"/>
            <w:vAlign w:val="center"/>
          </w:tcPr>
          <w:p w14:paraId="2B1CF61C" w14:textId="77777777" w:rsidR="002D0AE7" w:rsidRDefault="002D0AE7">
            <w:pPr>
              <w:jc w:val="right"/>
              <w:rPr>
                <w:rFonts w:ascii="Times New Roman" w:hAnsi="Times New Roman" w:cs="Times New Roman"/>
                <w:sz w:val="21"/>
                <w:szCs w:val="21"/>
              </w:rPr>
            </w:pPr>
          </w:p>
        </w:tc>
        <w:tc>
          <w:tcPr>
            <w:tcW w:w="963" w:type="pct"/>
            <w:tcBorders>
              <w:top w:val="single" w:sz="6" w:space="0" w:color="auto"/>
              <w:left w:val="single" w:sz="6" w:space="0" w:color="auto"/>
              <w:bottom w:val="single" w:sz="6" w:space="0" w:color="auto"/>
              <w:right w:val="single" w:sz="6" w:space="0" w:color="auto"/>
            </w:tcBorders>
            <w:vAlign w:val="center"/>
          </w:tcPr>
          <w:p w14:paraId="111A6837" w14:textId="77777777" w:rsidR="002D0AE7" w:rsidRDefault="002D0AE7">
            <w:pPr>
              <w:jc w:val="right"/>
              <w:rPr>
                <w:rFonts w:ascii="Times New Roman" w:hAnsi="Times New Roman" w:cs="Times New Roman"/>
                <w:sz w:val="21"/>
                <w:szCs w:val="21"/>
              </w:rPr>
            </w:pPr>
          </w:p>
        </w:tc>
        <w:tc>
          <w:tcPr>
            <w:tcW w:w="780" w:type="pct"/>
            <w:tcBorders>
              <w:top w:val="single" w:sz="6" w:space="0" w:color="auto"/>
              <w:left w:val="single" w:sz="6" w:space="0" w:color="auto"/>
              <w:bottom w:val="single" w:sz="6" w:space="0" w:color="auto"/>
              <w:right w:val="single" w:sz="6" w:space="0" w:color="auto"/>
            </w:tcBorders>
            <w:vAlign w:val="center"/>
          </w:tcPr>
          <w:p w14:paraId="3D1CC9DE" w14:textId="77777777" w:rsidR="002D0AE7" w:rsidRDefault="002D0AE7">
            <w:pPr>
              <w:jc w:val="right"/>
              <w:rPr>
                <w:rFonts w:ascii="Times New Roman" w:hAnsi="Times New Roman" w:cs="Times New Roman"/>
                <w:sz w:val="21"/>
                <w:szCs w:val="21"/>
              </w:rPr>
            </w:pPr>
          </w:p>
        </w:tc>
      </w:tr>
      <w:tr w:rsidR="002D0AE7" w14:paraId="686F6D29" w14:textId="77777777">
        <w:trPr>
          <w:jc w:val="center"/>
        </w:trPr>
        <w:tc>
          <w:tcPr>
            <w:tcW w:w="1628" w:type="pct"/>
            <w:tcBorders>
              <w:top w:val="single" w:sz="6" w:space="0" w:color="auto"/>
              <w:left w:val="single" w:sz="4" w:space="0" w:color="auto"/>
              <w:bottom w:val="single" w:sz="6" w:space="0" w:color="auto"/>
              <w:right w:val="single" w:sz="6" w:space="0" w:color="auto"/>
            </w:tcBorders>
            <w:shd w:val="clear" w:color="auto" w:fill="auto"/>
            <w:vAlign w:val="center"/>
          </w:tcPr>
          <w:p w14:paraId="03D520CC" w14:textId="77777777" w:rsidR="002D0AE7" w:rsidRDefault="00333EBB">
            <w:pPr>
              <w:rPr>
                <w:rFonts w:cs="Arial" w:hint="eastAsia"/>
                <w:color w:val="000000" w:themeColor="text1"/>
                <w:sz w:val="21"/>
                <w:szCs w:val="21"/>
              </w:rPr>
            </w:pPr>
            <w:r>
              <w:rPr>
                <w:rFonts w:cs="Arial"/>
                <w:color w:val="000000" w:themeColor="text1"/>
                <w:sz w:val="21"/>
                <w:szCs w:val="21"/>
              </w:rPr>
              <w:t>--</w:t>
            </w:r>
            <w:r>
              <w:rPr>
                <w:rFonts w:cs="Arial" w:hint="eastAsia"/>
                <w:color w:val="000000" w:themeColor="text1"/>
                <w:sz w:val="21"/>
                <w:szCs w:val="21"/>
                <w:lang w:val="en-GB"/>
              </w:rPr>
              <w:t>商誉</w:t>
            </w:r>
          </w:p>
        </w:tc>
        <w:tc>
          <w:tcPr>
            <w:tcW w:w="883" w:type="pct"/>
            <w:tcBorders>
              <w:left w:val="single" w:sz="6" w:space="0" w:color="auto"/>
              <w:right w:val="single" w:sz="6" w:space="0" w:color="auto"/>
            </w:tcBorders>
            <w:shd w:val="clear" w:color="auto" w:fill="auto"/>
            <w:vAlign w:val="center"/>
          </w:tcPr>
          <w:p w14:paraId="2257DF4B" w14:textId="77777777" w:rsidR="002D0AE7" w:rsidRDefault="002D0AE7">
            <w:pPr>
              <w:jc w:val="right"/>
              <w:rPr>
                <w:rFonts w:ascii="Times New Roman" w:hAnsi="Times New Roman" w:cs="Times New Roman"/>
                <w:sz w:val="21"/>
                <w:szCs w:val="21"/>
              </w:rPr>
            </w:pPr>
          </w:p>
        </w:tc>
        <w:tc>
          <w:tcPr>
            <w:tcW w:w="746" w:type="pct"/>
            <w:tcBorders>
              <w:left w:val="single" w:sz="6" w:space="0" w:color="auto"/>
              <w:right w:val="single" w:sz="6" w:space="0" w:color="auto"/>
            </w:tcBorders>
            <w:shd w:val="clear" w:color="auto" w:fill="auto"/>
            <w:vAlign w:val="center"/>
          </w:tcPr>
          <w:p w14:paraId="201E0808" w14:textId="77777777" w:rsidR="002D0AE7" w:rsidRDefault="002D0AE7">
            <w:pPr>
              <w:jc w:val="right"/>
              <w:rPr>
                <w:rFonts w:ascii="Times New Roman" w:hAnsi="Times New Roman" w:cs="Times New Roman"/>
                <w:sz w:val="21"/>
                <w:szCs w:val="21"/>
              </w:rPr>
            </w:pPr>
          </w:p>
        </w:tc>
        <w:tc>
          <w:tcPr>
            <w:tcW w:w="963" w:type="pct"/>
            <w:tcBorders>
              <w:top w:val="single" w:sz="6" w:space="0" w:color="auto"/>
              <w:left w:val="single" w:sz="6" w:space="0" w:color="auto"/>
              <w:bottom w:val="single" w:sz="6" w:space="0" w:color="auto"/>
              <w:right w:val="single" w:sz="6" w:space="0" w:color="auto"/>
            </w:tcBorders>
            <w:vAlign w:val="center"/>
          </w:tcPr>
          <w:p w14:paraId="3B26CED5" w14:textId="77777777" w:rsidR="002D0AE7" w:rsidRDefault="002D0AE7">
            <w:pPr>
              <w:jc w:val="right"/>
              <w:rPr>
                <w:rFonts w:ascii="Times New Roman" w:hAnsi="Times New Roman" w:cs="Times New Roman"/>
                <w:sz w:val="21"/>
                <w:szCs w:val="21"/>
              </w:rPr>
            </w:pPr>
          </w:p>
        </w:tc>
        <w:tc>
          <w:tcPr>
            <w:tcW w:w="780" w:type="pct"/>
            <w:tcBorders>
              <w:top w:val="single" w:sz="6" w:space="0" w:color="auto"/>
              <w:left w:val="single" w:sz="6" w:space="0" w:color="auto"/>
              <w:bottom w:val="single" w:sz="6" w:space="0" w:color="auto"/>
              <w:right w:val="single" w:sz="6" w:space="0" w:color="auto"/>
            </w:tcBorders>
            <w:vAlign w:val="center"/>
          </w:tcPr>
          <w:p w14:paraId="5AD9967F" w14:textId="77777777" w:rsidR="002D0AE7" w:rsidRDefault="002D0AE7">
            <w:pPr>
              <w:jc w:val="right"/>
              <w:rPr>
                <w:rFonts w:ascii="Times New Roman" w:hAnsi="Times New Roman" w:cs="Times New Roman"/>
                <w:sz w:val="21"/>
                <w:szCs w:val="21"/>
              </w:rPr>
            </w:pPr>
          </w:p>
        </w:tc>
      </w:tr>
      <w:tr w:rsidR="002D0AE7" w14:paraId="0FD782B8" w14:textId="77777777">
        <w:trPr>
          <w:jc w:val="center"/>
        </w:trPr>
        <w:tc>
          <w:tcPr>
            <w:tcW w:w="1628" w:type="pct"/>
            <w:tcBorders>
              <w:top w:val="single" w:sz="6" w:space="0" w:color="auto"/>
              <w:left w:val="single" w:sz="4" w:space="0" w:color="auto"/>
              <w:bottom w:val="single" w:sz="6" w:space="0" w:color="auto"/>
              <w:right w:val="single" w:sz="6" w:space="0" w:color="auto"/>
            </w:tcBorders>
            <w:shd w:val="clear" w:color="auto" w:fill="auto"/>
            <w:vAlign w:val="center"/>
          </w:tcPr>
          <w:p w14:paraId="15BBB4BC" w14:textId="77777777" w:rsidR="002D0AE7" w:rsidRDefault="00333EBB">
            <w:pPr>
              <w:rPr>
                <w:rFonts w:cs="Arial" w:hint="eastAsia"/>
                <w:color w:val="000000" w:themeColor="text1"/>
                <w:sz w:val="21"/>
                <w:szCs w:val="21"/>
              </w:rPr>
            </w:pPr>
            <w:r>
              <w:rPr>
                <w:rFonts w:cs="Arial"/>
                <w:color w:val="000000" w:themeColor="text1"/>
                <w:sz w:val="21"/>
                <w:szCs w:val="21"/>
              </w:rPr>
              <w:t>--</w:t>
            </w:r>
            <w:r>
              <w:rPr>
                <w:rFonts w:cs="Arial" w:hint="eastAsia"/>
                <w:color w:val="000000" w:themeColor="text1"/>
                <w:sz w:val="21"/>
                <w:szCs w:val="21"/>
                <w:lang w:val="en-GB"/>
              </w:rPr>
              <w:t>内部交易未实现利润</w:t>
            </w:r>
          </w:p>
        </w:tc>
        <w:tc>
          <w:tcPr>
            <w:tcW w:w="883" w:type="pct"/>
            <w:tcBorders>
              <w:left w:val="single" w:sz="6" w:space="0" w:color="auto"/>
              <w:right w:val="single" w:sz="6" w:space="0" w:color="auto"/>
            </w:tcBorders>
            <w:shd w:val="clear" w:color="auto" w:fill="auto"/>
            <w:vAlign w:val="center"/>
          </w:tcPr>
          <w:p w14:paraId="5D1146EB" w14:textId="77777777" w:rsidR="002D0AE7" w:rsidRDefault="002D0AE7">
            <w:pPr>
              <w:jc w:val="right"/>
              <w:rPr>
                <w:rFonts w:ascii="Times New Roman" w:hAnsi="Times New Roman" w:cs="Times New Roman"/>
                <w:sz w:val="21"/>
                <w:szCs w:val="21"/>
              </w:rPr>
            </w:pPr>
          </w:p>
        </w:tc>
        <w:tc>
          <w:tcPr>
            <w:tcW w:w="746" w:type="pct"/>
            <w:tcBorders>
              <w:left w:val="single" w:sz="6" w:space="0" w:color="auto"/>
              <w:right w:val="single" w:sz="6" w:space="0" w:color="auto"/>
            </w:tcBorders>
            <w:shd w:val="clear" w:color="auto" w:fill="auto"/>
            <w:vAlign w:val="center"/>
          </w:tcPr>
          <w:p w14:paraId="7ADA8F2B" w14:textId="77777777" w:rsidR="002D0AE7" w:rsidRDefault="002D0AE7">
            <w:pPr>
              <w:jc w:val="right"/>
              <w:rPr>
                <w:rFonts w:ascii="Times New Roman" w:hAnsi="Times New Roman" w:cs="Times New Roman"/>
                <w:sz w:val="21"/>
                <w:szCs w:val="21"/>
              </w:rPr>
            </w:pPr>
          </w:p>
        </w:tc>
        <w:tc>
          <w:tcPr>
            <w:tcW w:w="963" w:type="pct"/>
            <w:tcBorders>
              <w:top w:val="single" w:sz="6" w:space="0" w:color="auto"/>
              <w:left w:val="single" w:sz="6" w:space="0" w:color="auto"/>
              <w:bottom w:val="single" w:sz="6" w:space="0" w:color="auto"/>
              <w:right w:val="single" w:sz="6" w:space="0" w:color="auto"/>
            </w:tcBorders>
            <w:vAlign w:val="center"/>
          </w:tcPr>
          <w:p w14:paraId="2DB350BE" w14:textId="77777777" w:rsidR="002D0AE7" w:rsidRDefault="002D0AE7">
            <w:pPr>
              <w:jc w:val="right"/>
              <w:rPr>
                <w:rFonts w:ascii="Times New Roman" w:hAnsi="Times New Roman" w:cs="Times New Roman"/>
                <w:sz w:val="21"/>
                <w:szCs w:val="21"/>
              </w:rPr>
            </w:pPr>
          </w:p>
        </w:tc>
        <w:tc>
          <w:tcPr>
            <w:tcW w:w="780" w:type="pct"/>
            <w:tcBorders>
              <w:top w:val="single" w:sz="6" w:space="0" w:color="auto"/>
              <w:left w:val="single" w:sz="6" w:space="0" w:color="auto"/>
              <w:bottom w:val="single" w:sz="6" w:space="0" w:color="auto"/>
              <w:right w:val="single" w:sz="6" w:space="0" w:color="auto"/>
            </w:tcBorders>
            <w:vAlign w:val="center"/>
          </w:tcPr>
          <w:p w14:paraId="532D670F" w14:textId="77777777" w:rsidR="002D0AE7" w:rsidRDefault="002D0AE7">
            <w:pPr>
              <w:jc w:val="right"/>
              <w:rPr>
                <w:rFonts w:ascii="Times New Roman" w:hAnsi="Times New Roman" w:cs="Times New Roman"/>
                <w:sz w:val="21"/>
                <w:szCs w:val="21"/>
              </w:rPr>
            </w:pPr>
          </w:p>
        </w:tc>
      </w:tr>
      <w:tr w:rsidR="002D0AE7" w14:paraId="5B5FBA1E" w14:textId="77777777">
        <w:trPr>
          <w:jc w:val="center"/>
        </w:trPr>
        <w:tc>
          <w:tcPr>
            <w:tcW w:w="1628" w:type="pct"/>
            <w:tcBorders>
              <w:top w:val="single" w:sz="6" w:space="0" w:color="auto"/>
              <w:left w:val="single" w:sz="4" w:space="0" w:color="auto"/>
              <w:bottom w:val="single" w:sz="6" w:space="0" w:color="auto"/>
              <w:right w:val="single" w:sz="6" w:space="0" w:color="auto"/>
            </w:tcBorders>
            <w:shd w:val="clear" w:color="auto" w:fill="auto"/>
            <w:vAlign w:val="center"/>
          </w:tcPr>
          <w:p w14:paraId="59BE7F45" w14:textId="77777777" w:rsidR="002D0AE7" w:rsidRDefault="00333EBB">
            <w:pPr>
              <w:rPr>
                <w:rFonts w:cs="Arial" w:hint="eastAsia"/>
                <w:color w:val="000000" w:themeColor="text1"/>
                <w:sz w:val="21"/>
                <w:szCs w:val="21"/>
              </w:rPr>
            </w:pPr>
            <w:r>
              <w:rPr>
                <w:rFonts w:cs="Arial"/>
                <w:color w:val="000000" w:themeColor="text1"/>
                <w:sz w:val="21"/>
                <w:szCs w:val="21"/>
              </w:rPr>
              <w:t>--</w:t>
            </w:r>
            <w:r>
              <w:rPr>
                <w:rFonts w:cs="Arial" w:hint="eastAsia"/>
                <w:color w:val="000000" w:themeColor="text1"/>
                <w:sz w:val="21"/>
                <w:szCs w:val="21"/>
                <w:lang w:val="en-GB"/>
              </w:rPr>
              <w:t>其他</w:t>
            </w:r>
          </w:p>
        </w:tc>
        <w:tc>
          <w:tcPr>
            <w:tcW w:w="883" w:type="pct"/>
            <w:tcBorders>
              <w:left w:val="single" w:sz="6" w:space="0" w:color="auto"/>
              <w:right w:val="single" w:sz="6" w:space="0" w:color="auto"/>
            </w:tcBorders>
            <w:shd w:val="clear" w:color="auto" w:fill="auto"/>
            <w:vAlign w:val="center"/>
          </w:tcPr>
          <w:p w14:paraId="7C255D45" w14:textId="77777777" w:rsidR="002D0AE7" w:rsidRDefault="002D0AE7">
            <w:pPr>
              <w:jc w:val="right"/>
              <w:rPr>
                <w:rFonts w:ascii="Times New Roman" w:hAnsi="Times New Roman" w:cs="Times New Roman"/>
                <w:sz w:val="21"/>
                <w:szCs w:val="21"/>
              </w:rPr>
            </w:pPr>
          </w:p>
        </w:tc>
        <w:tc>
          <w:tcPr>
            <w:tcW w:w="746" w:type="pct"/>
            <w:tcBorders>
              <w:left w:val="single" w:sz="6" w:space="0" w:color="auto"/>
              <w:right w:val="single" w:sz="6" w:space="0" w:color="auto"/>
            </w:tcBorders>
            <w:shd w:val="clear" w:color="auto" w:fill="auto"/>
            <w:vAlign w:val="center"/>
          </w:tcPr>
          <w:p w14:paraId="40780CCA" w14:textId="77777777" w:rsidR="002D0AE7" w:rsidRDefault="002D0AE7">
            <w:pPr>
              <w:jc w:val="right"/>
              <w:rPr>
                <w:rFonts w:ascii="Times New Roman" w:hAnsi="Times New Roman" w:cs="Times New Roman"/>
                <w:sz w:val="21"/>
                <w:szCs w:val="21"/>
              </w:rPr>
            </w:pPr>
          </w:p>
        </w:tc>
        <w:tc>
          <w:tcPr>
            <w:tcW w:w="963" w:type="pct"/>
            <w:tcBorders>
              <w:top w:val="single" w:sz="6" w:space="0" w:color="auto"/>
              <w:left w:val="single" w:sz="6" w:space="0" w:color="auto"/>
              <w:bottom w:val="single" w:sz="6" w:space="0" w:color="auto"/>
              <w:right w:val="single" w:sz="6" w:space="0" w:color="auto"/>
            </w:tcBorders>
            <w:vAlign w:val="center"/>
          </w:tcPr>
          <w:p w14:paraId="588F6A70" w14:textId="77777777" w:rsidR="002D0AE7" w:rsidRDefault="002D0AE7">
            <w:pPr>
              <w:jc w:val="right"/>
              <w:rPr>
                <w:rFonts w:ascii="Times New Roman" w:hAnsi="Times New Roman" w:cs="Times New Roman"/>
                <w:sz w:val="21"/>
                <w:szCs w:val="21"/>
              </w:rPr>
            </w:pPr>
          </w:p>
        </w:tc>
        <w:tc>
          <w:tcPr>
            <w:tcW w:w="780" w:type="pct"/>
            <w:tcBorders>
              <w:top w:val="single" w:sz="6" w:space="0" w:color="auto"/>
              <w:left w:val="single" w:sz="6" w:space="0" w:color="auto"/>
              <w:bottom w:val="single" w:sz="6" w:space="0" w:color="auto"/>
              <w:right w:val="single" w:sz="6" w:space="0" w:color="auto"/>
            </w:tcBorders>
            <w:vAlign w:val="center"/>
          </w:tcPr>
          <w:p w14:paraId="10F3285A" w14:textId="77777777" w:rsidR="002D0AE7" w:rsidRDefault="002D0AE7">
            <w:pPr>
              <w:jc w:val="right"/>
              <w:rPr>
                <w:rFonts w:ascii="Times New Roman" w:hAnsi="Times New Roman" w:cs="Times New Roman"/>
                <w:sz w:val="21"/>
                <w:szCs w:val="21"/>
              </w:rPr>
            </w:pPr>
          </w:p>
        </w:tc>
      </w:tr>
      <w:tr w:rsidR="002D0AE7" w14:paraId="5B3844FE" w14:textId="77777777">
        <w:trPr>
          <w:jc w:val="center"/>
        </w:trPr>
        <w:tc>
          <w:tcPr>
            <w:tcW w:w="1628" w:type="pct"/>
            <w:tcBorders>
              <w:top w:val="single" w:sz="6" w:space="0" w:color="auto"/>
              <w:left w:val="single" w:sz="4" w:space="0" w:color="auto"/>
              <w:bottom w:val="single" w:sz="6" w:space="0" w:color="auto"/>
              <w:right w:val="single" w:sz="6" w:space="0" w:color="auto"/>
            </w:tcBorders>
            <w:shd w:val="clear" w:color="auto" w:fill="auto"/>
            <w:vAlign w:val="center"/>
          </w:tcPr>
          <w:p w14:paraId="0273FE4C" w14:textId="77777777" w:rsidR="002D0AE7" w:rsidRDefault="00333EBB">
            <w:pPr>
              <w:rPr>
                <w:rFonts w:cs="Arial" w:hint="eastAsia"/>
                <w:color w:val="000000" w:themeColor="text1"/>
                <w:sz w:val="21"/>
                <w:szCs w:val="21"/>
              </w:rPr>
            </w:pPr>
            <w:r>
              <w:rPr>
                <w:rFonts w:cs="Arial" w:hint="eastAsia"/>
                <w:color w:val="000000" w:themeColor="text1"/>
                <w:sz w:val="21"/>
                <w:szCs w:val="21"/>
                <w:lang w:val="en-GB"/>
              </w:rPr>
              <w:t>对联营企业权益投资的账面价值</w:t>
            </w:r>
          </w:p>
        </w:tc>
        <w:tc>
          <w:tcPr>
            <w:tcW w:w="883" w:type="pct"/>
            <w:tcBorders>
              <w:left w:val="single" w:sz="6" w:space="0" w:color="auto"/>
              <w:right w:val="single" w:sz="6" w:space="0" w:color="auto"/>
            </w:tcBorders>
            <w:shd w:val="clear" w:color="auto" w:fill="auto"/>
            <w:vAlign w:val="center"/>
          </w:tcPr>
          <w:p w14:paraId="36EF649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13,331,143.44</w:t>
            </w:r>
          </w:p>
        </w:tc>
        <w:tc>
          <w:tcPr>
            <w:tcW w:w="746" w:type="pct"/>
            <w:tcBorders>
              <w:left w:val="single" w:sz="6" w:space="0" w:color="auto"/>
              <w:right w:val="single" w:sz="6" w:space="0" w:color="auto"/>
            </w:tcBorders>
            <w:shd w:val="clear" w:color="auto" w:fill="auto"/>
            <w:vAlign w:val="center"/>
          </w:tcPr>
          <w:p w14:paraId="18F259B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10,199,967.07</w:t>
            </w:r>
          </w:p>
        </w:tc>
        <w:tc>
          <w:tcPr>
            <w:tcW w:w="963" w:type="pct"/>
            <w:tcBorders>
              <w:top w:val="single" w:sz="6" w:space="0" w:color="auto"/>
              <w:left w:val="single" w:sz="6" w:space="0" w:color="auto"/>
              <w:bottom w:val="single" w:sz="6" w:space="0" w:color="auto"/>
              <w:right w:val="single" w:sz="6" w:space="0" w:color="auto"/>
            </w:tcBorders>
            <w:vAlign w:val="center"/>
          </w:tcPr>
          <w:p w14:paraId="2469553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13,149,063.97</w:t>
            </w:r>
          </w:p>
        </w:tc>
        <w:tc>
          <w:tcPr>
            <w:tcW w:w="780" w:type="pct"/>
            <w:tcBorders>
              <w:top w:val="single" w:sz="6" w:space="0" w:color="auto"/>
              <w:left w:val="single" w:sz="6" w:space="0" w:color="auto"/>
              <w:bottom w:val="single" w:sz="6" w:space="0" w:color="auto"/>
              <w:right w:val="single" w:sz="6" w:space="0" w:color="auto"/>
            </w:tcBorders>
            <w:vAlign w:val="center"/>
          </w:tcPr>
          <w:p w14:paraId="77F7099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9,168,136.84</w:t>
            </w:r>
          </w:p>
        </w:tc>
      </w:tr>
      <w:tr w:rsidR="002D0AE7" w14:paraId="1FC5A31D" w14:textId="77777777">
        <w:trPr>
          <w:jc w:val="center"/>
        </w:trPr>
        <w:tc>
          <w:tcPr>
            <w:tcW w:w="1628" w:type="pct"/>
            <w:tcBorders>
              <w:top w:val="single" w:sz="6" w:space="0" w:color="auto"/>
              <w:left w:val="single" w:sz="4" w:space="0" w:color="auto"/>
              <w:bottom w:val="single" w:sz="6" w:space="0" w:color="auto"/>
              <w:right w:val="single" w:sz="6" w:space="0" w:color="auto"/>
            </w:tcBorders>
            <w:shd w:val="clear" w:color="auto" w:fill="auto"/>
            <w:vAlign w:val="center"/>
          </w:tcPr>
          <w:p w14:paraId="18BB9B6B" w14:textId="77777777" w:rsidR="002D0AE7" w:rsidRDefault="00333EBB">
            <w:pPr>
              <w:rPr>
                <w:rFonts w:cs="Arial" w:hint="eastAsia"/>
                <w:color w:val="000000" w:themeColor="text1"/>
                <w:sz w:val="15"/>
                <w:szCs w:val="21"/>
              </w:rPr>
            </w:pPr>
            <w:r>
              <w:rPr>
                <w:rFonts w:cs="Arial" w:hint="eastAsia"/>
                <w:color w:val="000000" w:themeColor="text1"/>
                <w:sz w:val="15"/>
                <w:szCs w:val="21"/>
                <w:lang w:val="en-GB"/>
              </w:rPr>
              <w:t>存在公开报价的联营企业权益投资的公允价值</w:t>
            </w:r>
          </w:p>
        </w:tc>
        <w:tc>
          <w:tcPr>
            <w:tcW w:w="883" w:type="pct"/>
            <w:tcBorders>
              <w:left w:val="single" w:sz="6" w:space="0" w:color="auto"/>
              <w:right w:val="single" w:sz="6" w:space="0" w:color="auto"/>
            </w:tcBorders>
            <w:shd w:val="clear" w:color="auto" w:fill="auto"/>
            <w:vAlign w:val="center"/>
          </w:tcPr>
          <w:p w14:paraId="704614DC" w14:textId="77777777" w:rsidR="002D0AE7" w:rsidRDefault="002D0AE7">
            <w:pPr>
              <w:jc w:val="right"/>
              <w:rPr>
                <w:rFonts w:ascii="Times New Roman" w:hAnsi="Times New Roman" w:cs="Times New Roman"/>
                <w:sz w:val="21"/>
                <w:szCs w:val="21"/>
              </w:rPr>
            </w:pPr>
          </w:p>
        </w:tc>
        <w:tc>
          <w:tcPr>
            <w:tcW w:w="746" w:type="pct"/>
            <w:tcBorders>
              <w:left w:val="single" w:sz="6" w:space="0" w:color="auto"/>
              <w:right w:val="single" w:sz="6" w:space="0" w:color="auto"/>
            </w:tcBorders>
            <w:shd w:val="clear" w:color="auto" w:fill="auto"/>
            <w:vAlign w:val="center"/>
          </w:tcPr>
          <w:p w14:paraId="4B9B3694" w14:textId="77777777" w:rsidR="002D0AE7" w:rsidRDefault="002D0AE7">
            <w:pPr>
              <w:jc w:val="right"/>
              <w:rPr>
                <w:rFonts w:ascii="Times New Roman" w:hAnsi="Times New Roman" w:cs="Times New Roman"/>
                <w:sz w:val="21"/>
                <w:szCs w:val="21"/>
              </w:rPr>
            </w:pPr>
          </w:p>
        </w:tc>
        <w:tc>
          <w:tcPr>
            <w:tcW w:w="963" w:type="pct"/>
            <w:tcBorders>
              <w:top w:val="single" w:sz="6" w:space="0" w:color="auto"/>
              <w:left w:val="single" w:sz="6" w:space="0" w:color="auto"/>
              <w:bottom w:val="single" w:sz="6" w:space="0" w:color="auto"/>
              <w:right w:val="single" w:sz="6" w:space="0" w:color="auto"/>
            </w:tcBorders>
            <w:vAlign w:val="center"/>
          </w:tcPr>
          <w:p w14:paraId="1C89B2F2" w14:textId="77777777" w:rsidR="002D0AE7" w:rsidRDefault="002D0AE7">
            <w:pPr>
              <w:jc w:val="right"/>
              <w:rPr>
                <w:rFonts w:ascii="Times New Roman" w:hAnsi="Times New Roman" w:cs="Times New Roman"/>
                <w:sz w:val="21"/>
                <w:szCs w:val="21"/>
              </w:rPr>
            </w:pPr>
          </w:p>
        </w:tc>
        <w:tc>
          <w:tcPr>
            <w:tcW w:w="780" w:type="pct"/>
            <w:tcBorders>
              <w:top w:val="single" w:sz="6" w:space="0" w:color="auto"/>
              <w:left w:val="single" w:sz="6" w:space="0" w:color="auto"/>
              <w:bottom w:val="single" w:sz="6" w:space="0" w:color="auto"/>
              <w:right w:val="single" w:sz="6" w:space="0" w:color="auto"/>
            </w:tcBorders>
            <w:vAlign w:val="center"/>
          </w:tcPr>
          <w:p w14:paraId="69A2A5F5" w14:textId="77777777" w:rsidR="002D0AE7" w:rsidRDefault="002D0AE7">
            <w:pPr>
              <w:jc w:val="right"/>
              <w:rPr>
                <w:rFonts w:ascii="Times New Roman" w:hAnsi="Times New Roman" w:cs="Times New Roman"/>
                <w:sz w:val="21"/>
                <w:szCs w:val="21"/>
              </w:rPr>
            </w:pPr>
          </w:p>
        </w:tc>
      </w:tr>
      <w:tr w:rsidR="002D0AE7" w14:paraId="3E643503" w14:textId="77777777">
        <w:trPr>
          <w:jc w:val="center"/>
        </w:trPr>
        <w:tc>
          <w:tcPr>
            <w:tcW w:w="1628" w:type="pct"/>
            <w:tcBorders>
              <w:top w:val="single" w:sz="6" w:space="0" w:color="auto"/>
              <w:left w:val="single" w:sz="4" w:space="0" w:color="auto"/>
              <w:bottom w:val="single" w:sz="6" w:space="0" w:color="auto"/>
              <w:right w:val="single" w:sz="6" w:space="0" w:color="auto"/>
            </w:tcBorders>
            <w:shd w:val="clear" w:color="auto" w:fill="auto"/>
            <w:vAlign w:val="center"/>
          </w:tcPr>
          <w:p w14:paraId="7C0F53B7" w14:textId="77777777" w:rsidR="002D0AE7" w:rsidRDefault="00333EBB">
            <w:pPr>
              <w:rPr>
                <w:rFonts w:cs="Arial" w:hint="eastAsia"/>
                <w:color w:val="000000" w:themeColor="text1"/>
                <w:sz w:val="21"/>
                <w:szCs w:val="21"/>
              </w:rPr>
            </w:pPr>
            <w:r>
              <w:rPr>
                <w:rFonts w:cs="Arial" w:hint="eastAsia"/>
                <w:color w:val="000000" w:themeColor="text1"/>
                <w:sz w:val="21"/>
                <w:szCs w:val="21"/>
                <w:lang w:val="en-GB"/>
              </w:rPr>
              <w:t>营业收入</w:t>
            </w:r>
          </w:p>
        </w:tc>
        <w:tc>
          <w:tcPr>
            <w:tcW w:w="883" w:type="pct"/>
            <w:tcBorders>
              <w:left w:val="single" w:sz="6" w:space="0" w:color="auto"/>
              <w:right w:val="single" w:sz="6" w:space="0" w:color="auto"/>
            </w:tcBorders>
            <w:shd w:val="clear" w:color="auto" w:fill="auto"/>
            <w:vAlign w:val="center"/>
          </w:tcPr>
          <w:p w14:paraId="730B9EE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21,684,673.70</w:t>
            </w:r>
          </w:p>
        </w:tc>
        <w:tc>
          <w:tcPr>
            <w:tcW w:w="746" w:type="pct"/>
            <w:tcBorders>
              <w:left w:val="single" w:sz="6" w:space="0" w:color="auto"/>
              <w:right w:val="single" w:sz="6" w:space="0" w:color="auto"/>
            </w:tcBorders>
            <w:shd w:val="clear" w:color="auto" w:fill="auto"/>
            <w:vAlign w:val="center"/>
          </w:tcPr>
          <w:p w14:paraId="1FDC9EE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101,083,244.01</w:t>
            </w:r>
          </w:p>
        </w:tc>
        <w:tc>
          <w:tcPr>
            <w:tcW w:w="963" w:type="pct"/>
            <w:tcBorders>
              <w:top w:val="single" w:sz="6" w:space="0" w:color="auto"/>
              <w:left w:val="single" w:sz="6" w:space="0" w:color="auto"/>
              <w:bottom w:val="single" w:sz="6" w:space="0" w:color="auto"/>
              <w:right w:val="single" w:sz="6" w:space="0" w:color="auto"/>
            </w:tcBorders>
            <w:vAlign w:val="center"/>
          </w:tcPr>
          <w:p w14:paraId="6DC99FD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80,409,364.15</w:t>
            </w:r>
          </w:p>
        </w:tc>
        <w:tc>
          <w:tcPr>
            <w:tcW w:w="780" w:type="pct"/>
            <w:tcBorders>
              <w:top w:val="single" w:sz="6" w:space="0" w:color="auto"/>
              <w:left w:val="single" w:sz="6" w:space="0" w:color="auto"/>
              <w:bottom w:val="single" w:sz="6" w:space="0" w:color="auto"/>
              <w:right w:val="single" w:sz="6" w:space="0" w:color="auto"/>
            </w:tcBorders>
            <w:vAlign w:val="center"/>
          </w:tcPr>
          <w:p w14:paraId="6B051E3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50,562,497.80</w:t>
            </w:r>
          </w:p>
        </w:tc>
      </w:tr>
      <w:tr w:rsidR="002D0AE7" w14:paraId="3D75809B" w14:textId="77777777">
        <w:trPr>
          <w:jc w:val="center"/>
        </w:trPr>
        <w:tc>
          <w:tcPr>
            <w:tcW w:w="1628" w:type="pct"/>
            <w:tcBorders>
              <w:top w:val="single" w:sz="6" w:space="0" w:color="auto"/>
              <w:left w:val="single" w:sz="4" w:space="0" w:color="auto"/>
              <w:bottom w:val="single" w:sz="6" w:space="0" w:color="auto"/>
              <w:right w:val="single" w:sz="6" w:space="0" w:color="auto"/>
            </w:tcBorders>
            <w:shd w:val="clear" w:color="auto" w:fill="auto"/>
            <w:vAlign w:val="center"/>
          </w:tcPr>
          <w:p w14:paraId="25528DA2" w14:textId="77777777" w:rsidR="002D0AE7" w:rsidRDefault="00333EBB">
            <w:pPr>
              <w:rPr>
                <w:rFonts w:cs="Arial" w:hint="eastAsia"/>
                <w:color w:val="000000" w:themeColor="text1"/>
                <w:sz w:val="21"/>
                <w:szCs w:val="21"/>
              </w:rPr>
            </w:pPr>
            <w:r>
              <w:rPr>
                <w:rFonts w:cs="Arial" w:hint="eastAsia"/>
                <w:color w:val="000000" w:themeColor="text1"/>
                <w:sz w:val="21"/>
                <w:szCs w:val="21"/>
                <w:lang w:val="en-GB"/>
              </w:rPr>
              <w:t>净利润</w:t>
            </w:r>
          </w:p>
        </w:tc>
        <w:tc>
          <w:tcPr>
            <w:tcW w:w="883" w:type="pct"/>
            <w:tcBorders>
              <w:left w:val="single" w:sz="6" w:space="0" w:color="auto"/>
              <w:right w:val="single" w:sz="6" w:space="0" w:color="auto"/>
            </w:tcBorders>
            <w:shd w:val="clear" w:color="auto" w:fill="auto"/>
            <w:vAlign w:val="center"/>
          </w:tcPr>
          <w:p w14:paraId="6B1035A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746,533.31</w:t>
            </w:r>
          </w:p>
        </w:tc>
        <w:tc>
          <w:tcPr>
            <w:tcW w:w="746" w:type="pct"/>
            <w:tcBorders>
              <w:left w:val="single" w:sz="6" w:space="0" w:color="auto"/>
              <w:right w:val="single" w:sz="6" w:space="0" w:color="auto"/>
            </w:tcBorders>
            <w:shd w:val="clear" w:color="auto" w:fill="auto"/>
            <w:vAlign w:val="center"/>
          </w:tcPr>
          <w:p w14:paraId="67E70B2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3,492,600.81</w:t>
            </w:r>
          </w:p>
        </w:tc>
        <w:tc>
          <w:tcPr>
            <w:tcW w:w="963" w:type="pct"/>
            <w:tcBorders>
              <w:top w:val="single" w:sz="6" w:space="0" w:color="auto"/>
              <w:left w:val="single" w:sz="6" w:space="0" w:color="auto"/>
              <w:bottom w:val="single" w:sz="6" w:space="0" w:color="auto"/>
              <w:right w:val="single" w:sz="6" w:space="0" w:color="auto"/>
            </w:tcBorders>
            <w:vAlign w:val="center"/>
          </w:tcPr>
          <w:p w14:paraId="25A4B08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3,322,154.50</w:t>
            </w:r>
          </w:p>
        </w:tc>
        <w:tc>
          <w:tcPr>
            <w:tcW w:w="780" w:type="pct"/>
            <w:tcBorders>
              <w:top w:val="single" w:sz="6" w:space="0" w:color="auto"/>
              <w:left w:val="single" w:sz="6" w:space="0" w:color="auto"/>
              <w:bottom w:val="single" w:sz="6" w:space="0" w:color="auto"/>
              <w:right w:val="single" w:sz="6" w:space="0" w:color="auto"/>
            </w:tcBorders>
            <w:vAlign w:val="center"/>
          </w:tcPr>
          <w:p w14:paraId="3A14726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21,101.53</w:t>
            </w:r>
          </w:p>
        </w:tc>
      </w:tr>
      <w:tr w:rsidR="002D0AE7" w14:paraId="0475C148" w14:textId="77777777">
        <w:trPr>
          <w:jc w:val="center"/>
        </w:trPr>
        <w:tc>
          <w:tcPr>
            <w:tcW w:w="1628" w:type="pct"/>
            <w:tcBorders>
              <w:top w:val="single" w:sz="6" w:space="0" w:color="auto"/>
              <w:left w:val="single" w:sz="4" w:space="0" w:color="auto"/>
              <w:bottom w:val="single" w:sz="6" w:space="0" w:color="auto"/>
              <w:right w:val="single" w:sz="6" w:space="0" w:color="auto"/>
            </w:tcBorders>
            <w:shd w:val="clear" w:color="auto" w:fill="auto"/>
            <w:vAlign w:val="center"/>
          </w:tcPr>
          <w:p w14:paraId="5FD39412" w14:textId="77777777" w:rsidR="002D0AE7" w:rsidRDefault="00333EBB">
            <w:pPr>
              <w:rPr>
                <w:rFonts w:cs="Arial" w:hint="eastAsia"/>
                <w:color w:val="000000" w:themeColor="text1"/>
                <w:sz w:val="21"/>
                <w:szCs w:val="21"/>
                <w:lang w:val="en-GB"/>
              </w:rPr>
            </w:pPr>
            <w:r>
              <w:rPr>
                <w:rFonts w:cs="Arial" w:hint="eastAsia"/>
                <w:color w:val="000000" w:themeColor="text1"/>
                <w:sz w:val="21"/>
                <w:szCs w:val="21"/>
                <w:lang w:val="en-GB"/>
              </w:rPr>
              <w:t>终止经营的净利润</w:t>
            </w:r>
          </w:p>
        </w:tc>
        <w:tc>
          <w:tcPr>
            <w:tcW w:w="883" w:type="pct"/>
            <w:tcBorders>
              <w:left w:val="single" w:sz="6" w:space="0" w:color="auto"/>
              <w:right w:val="single" w:sz="6" w:space="0" w:color="auto"/>
            </w:tcBorders>
            <w:shd w:val="clear" w:color="auto" w:fill="auto"/>
            <w:vAlign w:val="center"/>
          </w:tcPr>
          <w:p w14:paraId="52E4679B" w14:textId="77777777" w:rsidR="002D0AE7" w:rsidRDefault="002D0AE7">
            <w:pPr>
              <w:jc w:val="right"/>
              <w:rPr>
                <w:rFonts w:ascii="Times New Roman" w:hAnsi="Times New Roman" w:cs="Times New Roman"/>
                <w:sz w:val="21"/>
                <w:szCs w:val="21"/>
              </w:rPr>
            </w:pPr>
          </w:p>
        </w:tc>
        <w:tc>
          <w:tcPr>
            <w:tcW w:w="746" w:type="pct"/>
            <w:tcBorders>
              <w:left w:val="single" w:sz="6" w:space="0" w:color="auto"/>
              <w:right w:val="single" w:sz="6" w:space="0" w:color="auto"/>
            </w:tcBorders>
            <w:shd w:val="clear" w:color="auto" w:fill="auto"/>
            <w:vAlign w:val="center"/>
          </w:tcPr>
          <w:p w14:paraId="1F6782D2" w14:textId="77777777" w:rsidR="002D0AE7" w:rsidRDefault="002D0AE7">
            <w:pPr>
              <w:jc w:val="right"/>
              <w:rPr>
                <w:rFonts w:ascii="Times New Roman" w:hAnsi="Times New Roman" w:cs="Times New Roman"/>
                <w:sz w:val="21"/>
                <w:szCs w:val="21"/>
              </w:rPr>
            </w:pPr>
          </w:p>
        </w:tc>
        <w:tc>
          <w:tcPr>
            <w:tcW w:w="963" w:type="pct"/>
            <w:tcBorders>
              <w:top w:val="single" w:sz="6" w:space="0" w:color="auto"/>
              <w:left w:val="single" w:sz="6" w:space="0" w:color="auto"/>
              <w:bottom w:val="single" w:sz="6" w:space="0" w:color="auto"/>
              <w:right w:val="single" w:sz="6" w:space="0" w:color="auto"/>
            </w:tcBorders>
            <w:vAlign w:val="center"/>
          </w:tcPr>
          <w:p w14:paraId="61128023" w14:textId="77777777" w:rsidR="002D0AE7" w:rsidRDefault="002D0AE7">
            <w:pPr>
              <w:jc w:val="right"/>
              <w:rPr>
                <w:rFonts w:ascii="Times New Roman" w:hAnsi="Times New Roman" w:cs="Times New Roman"/>
                <w:sz w:val="21"/>
                <w:szCs w:val="21"/>
              </w:rPr>
            </w:pPr>
          </w:p>
        </w:tc>
        <w:tc>
          <w:tcPr>
            <w:tcW w:w="780" w:type="pct"/>
            <w:tcBorders>
              <w:top w:val="single" w:sz="6" w:space="0" w:color="auto"/>
              <w:left w:val="single" w:sz="6" w:space="0" w:color="auto"/>
              <w:bottom w:val="single" w:sz="6" w:space="0" w:color="auto"/>
              <w:right w:val="single" w:sz="6" w:space="0" w:color="auto"/>
            </w:tcBorders>
            <w:vAlign w:val="center"/>
          </w:tcPr>
          <w:p w14:paraId="1DCAB45B" w14:textId="77777777" w:rsidR="002D0AE7" w:rsidRDefault="002D0AE7">
            <w:pPr>
              <w:jc w:val="right"/>
              <w:rPr>
                <w:rFonts w:ascii="Times New Roman" w:hAnsi="Times New Roman" w:cs="Times New Roman"/>
                <w:sz w:val="21"/>
                <w:szCs w:val="21"/>
              </w:rPr>
            </w:pPr>
          </w:p>
        </w:tc>
      </w:tr>
      <w:tr w:rsidR="002D0AE7" w14:paraId="1D5A1D87" w14:textId="77777777">
        <w:trPr>
          <w:jc w:val="center"/>
        </w:trPr>
        <w:tc>
          <w:tcPr>
            <w:tcW w:w="1628" w:type="pct"/>
            <w:tcBorders>
              <w:top w:val="single" w:sz="6" w:space="0" w:color="auto"/>
              <w:left w:val="single" w:sz="4" w:space="0" w:color="auto"/>
              <w:bottom w:val="single" w:sz="6" w:space="0" w:color="auto"/>
              <w:right w:val="single" w:sz="6" w:space="0" w:color="auto"/>
            </w:tcBorders>
            <w:shd w:val="clear" w:color="auto" w:fill="auto"/>
            <w:vAlign w:val="center"/>
          </w:tcPr>
          <w:p w14:paraId="34849FCE" w14:textId="77777777" w:rsidR="002D0AE7" w:rsidRDefault="00333EBB">
            <w:pPr>
              <w:rPr>
                <w:rFonts w:cs="Arial" w:hint="eastAsia"/>
                <w:color w:val="000000" w:themeColor="text1"/>
                <w:sz w:val="21"/>
                <w:szCs w:val="21"/>
              </w:rPr>
            </w:pPr>
            <w:r>
              <w:rPr>
                <w:rFonts w:cs="Arial" w:hint="eastAsia"/>
                <w:color w:val="000000" w:themeColor="text1"/>
                <w:sz w:val="21"/>
                <w:szCs w:val="21"/>
                <w:lang w:val="en-GB"/>
              </w:rPr>
              <w:t>其他综合收益</w:t>
            </w:r>
          </w:p>
        </w:tc>
        <w:tc>
          <w:tcPr>
            <w:tcW w:w="883" w:type="pct"/>
            <w:tcBorders>
              <w:left w:val="single" w:sz="6" w:space="0" w:color="auto"/>
              <w:right w:val="single" w:sz="6" w:space="0" w:color="auto"/>
            </w:tcBorders>
            <w:shd w:val="clear" w:color="auto" w:fill="auto"/>
            <w:vAlign w:val="center"/>
          </w:tcPr>
          <w:p w14:paraId="5EF36199" w14:textId="77777777" w:rsidR="002D0AE7" w:rsidRDefault="002D0AE7">
            <w:pPr>
              <w:jc w:val="right"/>
              <w:rPr>
                <w:rFonts w:ascii="Times New Roman" w:hAnsi="Times New Roman" w:cs="Times New Roman"/>
                <w:sz w:val="21"/>
                <w:szCs w:val="21"/>
              </w:rPr>
            </w:pPr>
          </w:p>
        </w:tc>
        <w:tc>
          <w:tcPr>
            <w:tcW w:w="746" w:type="pct"/>
            <w:tcBorders>
              <w:left w:val="single" w:sz="6" w:space="0" w:color="auto"/>
              <w:right w:val="single" w:sz="6" w:space="0" w:color="auto"/>
            </w:tcBorders>
            <w:shd w:val="clear" w:color="auto" w:fill="auto"/>
            <w:vAlign w:val="center"/>
          </w:tcPr>
          <w:p w14:paraId="39F41A87" w14:textId="77777777" w:rsidR="002D0AE7" w:rsidRDefault="002D0AE7">
            <w:pPr>
              <w:jc w:val="right"/>
              <w:rPr>
                <w:rFonts w:ascii="Times New Roman" w:hAnsi="Times New Roman" w:cs="Times New Roman"/>
                <w:sz w:val="21"/>
                <w:szCs w:val="21"/>
              </w:rPr>
            </w:pPr>
          </w:p>
        </w:tc>
        <w:tc>
          <w:tcPr>
            <w:tcW w:w="963" w:type="pct"/>
            <w:tcBorders>
              <w:top w:val="single" w:sz="6" w:space="0" w:color="auto"/>
              <w:left w:val="single" w:sz="6" w:space="0" w:color="auto"/>
              <w:bottom w:val="single" w:sz="6" w:space="0" w:color="auto"/>
              <w:right w:val="single" w:sz="6" w:space="0" w:color="auto"/>
            </w:tcBorders>
            <w:vAlign w:val="center"/>
          </w:tcPr>
          <w:p w14:paraId="64AA6EC1" w14:textId="77777777" w:rsidR="002D0AE7" w:rsidRDefault="002D0AE7">
            <w:pPr>
              <w:jc w:val="right"/>
              <w:rPr>
                <w:rFonts w:ascii="Times New Roman" w:hAnsi="Times New Roman" w:cs="Times New Roman"/>
                <w:sz w:val="21"/>
                <w:szCs w:val="21"/>
              </w:rPr>
            </w:pPr>
          </w:p>
        </w:tc>
        <w:tc>
          <w:tcPr>
            <w:tcW w:w="780" w:type="pct"/>
            <w:tcBorders>
              <w:top w:val="single" w:sz="6" w:space="0" w:color="auto"/>
              <w:left w:val="single" w:sz="6" w:space="0" w:color="auto"/>
              <w:bottom w:val="single" w:sz="6" w:space="0" w:color="auto"/>
              <w:right w:val="single" w:sz="6" w:space="0" w:color="auto"/>
            </w:tcBorders>
            <w:vAlign w:val="center"/>
          </w:tcPr>
          <w:p w14:paraId="7967C76A" w14:textId="77777777" w:rsidR="002D0AE7" w:rsidRDefault="002D0AE7">
            <w:pPr>
              <w:jc w:val="right"/>
              <w:rPr>
                <w:rFonts w:ascii="Times New Roman" w:hAnsi="Times New Roman" w:cs="Times New Roman"/>
                <w:sz w:val="21"/>
                <w:szCs w:val="21"/>
              </w:rPr>
            </w:pPr>
          </w:p>
        </w:tc>
      </w:tr>
      <w:tr w:rsidR="002D0AE7" w14:paraId="053780A4" w14:textId="77777777">
        <w:trPr>
          <w:jc w:val="center"/>
        </w:trPr>
        <w:tc>
          <w:tcPr>
            <w:tcW w:w="1628" w:type="pct"/>
            <w:tcBorders>
              <w:top w:val="single" w:sz="6" w:space="0" w:color="auto"/>
              <w:left w:val="single" w:sz="4" w:space="0" w:color="auto"/>
              <w:bottom w:val="single" w:sz="6" w:space="0" w:color="auto"/>
              <w:right w:val="single" w:sz="6" w:space="0" w:color="auto"/>
            </w:tcBorders>
            <w:shd w:val="clear" w:color="auto" w:fill="auto"/>
            <w:vAlign w:val="center"/>
          </w:tcPr>
          <w:p w14:paraId="252B8CCD" w14:textId="77777777" w:rsidR="002D0AE7" w:rsidRDefault="00333EBB">
            <w:pPr>
              <w:rPr>
                <w:rFonts w:cs="Arial" w:hint="eastAsia"/>
                <w:color w:val="000000" w:themeColor="text1"/>
                <w:sz w:val="21"/>
                <w:szCs w:val="21"/>
              </w:rPr>
            </w:pPr>
            <w:r>
              <w:rPr>
                <w:rFonts w:cs="Arial" w:hint="eastAsia"/>
                <w:color w:val="000000" w:themeColor="text1"/>
                <w:sz w:val="21"/>
                <w:szCs w:val="21"/>
                <w:lang w:val="en-GB"/>
              </w:rPr>
              <w:t>综合收益总额</w:t>
            </w:r>
          </w:p>
        </w:tc>
        <w:tc>
          <w:tcPr>
            <w:tcW w:w="883" w:type="pct"/>
            <w:tcBorders>
              <w:left w:val="single" w:sz="6" w:space="0" w:color="auto"/>
              <w:right w:val="single" w:sz="6" w:space="0" w:color="auto"/>
            </w:tcBorders>
            <w:shd w:val="clear" w:color="auto" w:fill="auto"/>
            <w:vAlign w:val="center"/>
          </w:tcPr>
          <w:p w14:paraId="12C5564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746,533.31</w:t>
            </w:r>
          </w:p>
        </w:tc>
        <w:tc>
          <w:tcPr>
            <w:tcW w:w="746" w:type="pct"/>
            <w:tcBorders>
              <w:left w:val="single" w:sz="6" w:space="0" w:color="auto"/>
              <w:right w:val="single" w:sz="6" w:space="0" w:color="auto"/>
            </w:tcBorders>
            <w:shd w:val="clear" w:color="auto" w:fill="auto"/>
            <w:vAlign w:val="center"/>
          </w:tcPr>
          <w:p w14:paraId="378B0E4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3,492,600.81</w:t>
            </w:r>
          </w:p>
        </w:tc>
        <w:tc>
          <w:tcPr>
            <w:tcW w:w="963" w:type="pct"/>
            <w:tcBorders>
              <w:top w:val="single" w:sz="6" w:space="0" w:color="auto"/>
              <w:left w:val="single" w:sz="6" w:space="0" w:color="auto"/>
              <w:bottom w:val="single" w:sz="6" w:space="0" w:color="auto"/>
              <w:right w:val="single" w:sz="6" w:space="0" w:color="auto"/>
            </w:tcBorders>
            <w:vAlign w:val="center"/>
          </w:tcPr>
          <w:p w14:paraId="6CAE72C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3,322,154.50</w:t>
            </w:r>
          </w:p>
        </w:tc>
        <w:tc>
          <w:tcPr>
            <w:tcW w:w="780" w:type="pct"/>
            <w:tcBorders>
              <w:top w:val="single" w:sz="6" w:space="0" w:color="auto"/>
              <w:left w:val="single" w:sz="6" w:space="0" w:color="auto"/>
              <w:bottom w:val="single" w:sz="6" w:space="0" w:color="auto"/>
              <w:right w:val="single" w:sz="6" w:space="0" w:color="auto"/>
            </w:tcBorders>
            <w:vAlign w:val="center"/>
          </w:tcPr>
          <w:p w14:paraId="7B76521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21,101.53</w:t>
            </w:r>
          </w:p>
        </w:tc>
      </w:tr>
      <w:tr w:rsidR="002D0AE7" w14:paraId="42EBE1BD" w14:textId="77777777">
        <w:trPr>
          <w:jc w:val="center"/>
        </w:trPr>
        <w:tc>
          <w:tcPr>
            <w:tcW w:w="1628" w:type="pct"/>
            <w:tcBorders>
              <w:top w:val="single" w:sz="6" w:space="0" w:color="auto"/>
              <w:left w:val="single" w:sz="4" w:space="0" w:color="auto"/>
              <w:bottom w:val="single" w:sz="4" w:space="0" w:color="auto"/>
              <w:right w:val="single" w:sz="6" w:space="0" w:color="auto"/>
            </w:tcBorders>
            <w:shd w:val="clear" w:color="auto" w:fill="auto"/>
            <w:vAlign w:val="center"/>
          </w:tcPr>
          <w:p w14:paraId="3D4ED00C" w14:textId="77777777" w:rsidR="002D0AE7" w:rsidRDefault="00333EBB">
            <w:pPr>
              <w:rPr>
                <w:rFonts w:cs="Arial" w:hint="eastAsia"/>
                <w:color w:val="000000" w:themeColor="text1"/>
                <w:sz w:val="21"/>
                <w:szCs w:val="21"/>
              </w:rPr>
            </w:pPr>
            <w:r>
              <w:rPr>
                <w:rFonts w:cs="Arial" w:hint="eastAsia"/>
                <w:color w:val="000000" w:themeColor="text1"/>
                <w:sz w:val="21"/>
                <w:szCs w:val="21"/>
                <w:lang w:val="en-GB"/>
              </w:rPr>
              <w:t>本年度收到的来自联营企业的股利</w:t>
            </w:r>
          </w:p>
        </w:tc>
        <w:tc>
          <w:tcPr>
            <w:tcW w:w="883" w:type="pct"/>
            <w:tcBorders>
              <w:left w:val="single" w:sz="6" w:space="0" w:color="auto"/>
              <w:bottom w:val="single" w:sz="4" w:space="0" w:color="auto"/>
              <w:right w:val="single" w:sz="6" w:space="0" w:color="auto"/>
            </w:tcBorders>
            <w:shd w:val="clear" w:color="auto" w:fill="auto"/>
            <w:vAlign w:val="center"/>
          </w:tcPr>
          <w:p w14:paraId="1390263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46" w:type="pct"/>
            <w:tcBorders>
              <w:left w:val="single" w:sz="6" w:space="0" w:color="auto"/>
              <w:bottom w:val="single" w:sz="4" w:space="0" w:color="auto"/>
              <w:right w:val="single" w:sz="6" w:space="0" w:color="auto"/>
            </w:tcBorders>
            <w:shd w:val="clear" w:color="auto" w:fill="auto"/>
            <w:vAlign w:val="center"/>
          </w:tcPr>
          <w:p w14:paraId="1C17CFC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63" w:type="pct"/>
            <w:tcBorders>
              <w:top w:val="single" w:sz="6" w:space="0" w:color="auto"/>
              <w:left w:val="single" w:sz="6" w:space="0" w:color="auto"/>
              <w:bottom w:val="single" w:sz="4" w:space="0" w:color="auto"/>
              <w:right w:val="single" w:sz="6" w:space="0" w:color="auto"/>
            </w:tcBorders>
            <w:vAlign w:val="center"/>
          </w:tcPr>
          <w:p w14:paraId="5889A73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80" w:type="pct"/>
            <w:tcBorders>
              <w:top w:val="single" w:sz="6" w:space="0" w:color="auto"/>
              <w:left w:val="single" w:sz="6" w:space="0" w:color="auto"/>
              <w:bottom w:val="single" w:sz="4" w:space="0" w:color="auto"/>
              <w:right w:val="single" w:sz="6" w:space="0" w:color="auto"/>
            </w:tcBorders>
            <w:vAlign w:val="center"/>
          </w:tcPr>
          <w:p w14:paraId="33E0676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bl>
    <w:p w14:paraId="6E3FEB25" w14:textId="77777777" w:rsidR="002D0AE7" w:rsidRDefault="00333EBB">
      <w:pPr>
        <w:rPr>
          <w:rFonts w:cs="Arial" w:hint="eastAsia"/>
          <w:color w:val="000000" w:themeColor="text1"/>
        </w:rPr>
      </w:pPr>
      <w:r>
        <w:rPr>
          <w:rFonts w:cs="Arial" w:hint="eastAsia"/>
          <w:color w:val="000000" w:themeColor="text1"/>
        </w:rPr>
        <w:t>其他说明</w:t>
      </w:r>
      <w:sdt>
        <w:sdtPr>
          <w:rPr>
            <w:rFonts w:cs="Arial" w:hint="eastAsia"/>
            <w:color w:val="000000" w:themeColor="text1"/>
          </w:rPr>
          <w:alias w:val="重要联营企业的主要财务信息其他说明的方法"/>
          <w:tag w:val="_GBC_49602fee37fb4c848eee594868d16caa"/>
          <w:id w:val="658271703"/>
          <w:placeholder>
            <w:docPart w:val="GBC22222222222222222222222222222"/>
          </w:placeholder>
        </w:sdtPr>
        <w:sdtEndPr/>
        <w:sdtContent>
          <w:r>
            <w:rPr>
              <w:rFonts w:cs="Arial" w:hint="eastAsia"/>
              <w:color w:val="000000" w:themeColor="text1"/>
            </w:rPr>
            <w:t>无</w:t>
          </w:r>
        </w:sdtContent>
      </w:sdt>
    </w:p>
    <w:p w14:paraId="252CE254" w14:textId="77777777" w:rsidR="002D0AE7" w:rsidRDefault="00333EBB">
      <w:pPr>
        <w:pStyle w:val="2"/>
        <w:numPr>
          <w:ilvl w:val="0"/>
          <w:numId w:val="34"/>
        </w:numPr>
        <w:ind w:left="482" w:hanging="482"/>
        <w:rPr>
          <w:rFonts w:ascii="宋体" w:hAnsi="宋体" w:hint="eastAsia"/>
          <w:color w:val="000000" w:themeColor="text1"/>
        </w:rPr>
      </w:pPr>
      <w:bookmarkStart w:id="229" w:name="_Hlk167976217"/>
      <w:r>
        <w:rPr>
          <w:rFonts w:ascii="宋体" w:hAnsi="宋体" w:hint="eastAsia"/>
          <w:color w:val="000000" w:themeColor="text1"/>
        </w:rPr>
        <w:t>政府补助</w:t>
      </w:r>
    </w:p>
    <w:p w14:paraId="45F37BF8" w14:textId="77777777" w:rsidR="002D0AE7" w:rsidRDefault="00333EBB">
      <w:pPr>
        <w:pStyle w:val="3"/>
        <w:numPr>
          <w:ilvl w:val="0"/>
          <w:numId w:val="77"/>
        </w:numPr>
        <w:ind w:left="0" w:firstLine="0"/>
        <w:rPr>
          <w:color w:val="000000" w:themeColor="text1"/>
        </w:rPr>
      </w:pPr>
      <w:r>
        <w:rPr>
          <w:color w:val="000000" w:themeColor="text1"/>
        </w:rPr>
        <w:t>涉及政府补助的负债项目</w:t>
      </w:r>
    </w:p>
    <w:sdt>
      <w:sdtPr>
        <w:rPr>
          <w:color w:val="000000" w:themeColor="text1"/>
        </w:rPr>
        <w:alias w:val="是否适用：涉及政府补助的负债项目[双击切换]"/>
        <w:tag w:val="_GBC_5b8cf655c53545cab80f75be728637c0"/>
        <w:id w:val="-15924044"/>
        <w:placeholder>
          <w:docPart w:val="GBC22222222222222222222222222222"/>
        </w:placeholder>
      </w:sdtPr>
      <w:sdtEndPr/>
      <w:sdtContent>
        <w:p w14:paraId="28E7AF90"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5B46F250"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涉及政府补助的负债项目"/>
          <w:tag w:val="_GBC_3f46f2e72def428785501464e8373dc7"/>
          <w:id w:val="-1133171568"/>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涉及政府补助的负债项目"/>
          <w:tag w:val="_GBC_2061879c791b40ceb951bedd0f7334b3"/>
          <w:id w:val="-41147266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7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1659"/>
        <w:gridCol w:w="1475"/>
        <w:gridCol w:w="761"/>
        <w:gridCol w:w="1336"/>
        <w:gridCol w:w="761"/>
        <w:gridCol w:w="1552"/>
        <w:gridCol w:w="1302"/>
      </w:tblGrid>
      <w:tr w:rsidR="002D0AE7" w14:paraId="4565E696" w14:textId="77777777">
        <w:trPr>
          <w:jc w:val="center"/>
        </w:trPr>
        <w:sdt>
          <w:sdtPr>
            <w:rPr>
              <w:rFonts w:hint="eastAsia"/>
              <w:color w:val="000000" w:themeColor="text1"/>
              <w:sz w:val="21"/>
              <w:szCs w:val="21"/>
            </w:rPr>
            <w:tag w:val="_PLD_69dbfe6de199442ba67fa4c2623ba343"/>
            <w:id w:val="265433015"/>
          </w:sdtPr>
          <w:sdtEndPr/>
          <w:sdtContent>
            <w:tc>
              <w:tcPr>
                <w:tcW w:w="617" w:type="pct"/>
                <w:shd w:val="clear" w:color="auto" w:fill="auto"/>
                <w:vAlign w:val="center"/>
              </w:tcPr>
              <w:p w14:paraId="4BCAE072" w14:textId="77777777" w:rsidR="002D0AE7" w:rsidRDefault="00333EBB">
                <w:pPr>
                  <w:jc w:val="center"/>
                  <w:rPr>
                    <w:rFonts w:hint="eastAsia"/>
                    <w:color w:val="000000" w:themeColor="text1"/>
                    <w:sz w:val="21"/>
                    <w:szCs w:val="21"/>
                  </w:rPr>
                </w:pPr>
                <w:r>
                  <w:rPr>
                    <w:rFonts w:hint="eastAsia"/>
                    <w:color w:val="000000" w:themeColor="text1"/>
                    <w:sz w:val="21"/>
                    <w:szCs w:val="21"/>
                  </w:rPr>
                  <w:t>财务报表项目</w:t>
                </w:r>
              </w:p>
            </w:tc>
          </w:sdtContent>
        </w:sdt>
        <w:sdt>
          <w:sdtPr>
            <w:rPr>
              <w:rFonts w:hint="eastAsia"/>
              <w:color w:val="000000" w:themeColor="text1"/>
              <w:sz w:val="21"/>
              <w:szCs w:val="21"/>
            </w:rPr>
            <w:tag w:val="_PLD_ed889bd262164e639c21bff48ded3a53"/>
            <w:id w:val="-857891188"/>
          </w:sdtPr>
          <w:sdtEndPr/>
          <w:sdtContent>
            <w:tc>
              <w:tcPr>
                <w:tcW w:w="822" w:type="pct"/>
                <w:shd w:val="clear" w:color="auto" w:fill="auto"/>
                <w:vAlign w:val="center"/>
              </w:tcPr>
              <w:p w14:paraId="41115925" w14:textId="77777777" w:rsidR="002D0AE7" w:rsidRDefault="00333EBB">
                <w:pPr>
                  <w:jc w:val="center"/>
                  <w:rPr>
                    <w:rFonts w:hint="eastAsia"/>
                    <w:color w:val="000000" w:themeColor="text1"/>
                    <w:sz w:val="21"/>
                    <w:szCs w:val="21"/>
                  </w:rPr>
                </w:pPr>
                <w:r>
                  <w:rPr>
                    <w:rFonts w:hint="eastAsia"/>
                    <w:color w:val="000000" w:themeColor="text1"/>
                    <w:sz w:val="21"/>
                    <w:szCs w:val="21"/>
                  </w:rPr>
                  <w:t>期初余额</w:t>
                </w:r>
              </w:p>
            </w:tc>
          </w:sdtContent>
        </w:sdt>
        <w:sdt>
          <w:sdtPr>
            <w:rPr>
              <w:color w:val="000000" w:themeColor="text1"/>
              <w:sz w:val="21"/>
              <w:szCs w:val="21"/>
            </w:rPr>
            <w:tag w:val="_PLD_7052fd9610c24b8baab6d4bc81cd150d"/>
            <w:id w:val="-1300987491"/>
          </w:sdtPr>
          <w:sdtEndPr/>
          <w:sdtContent>
            <w:tc>
              <w:tcPr>
                <w:tcW w:w="731" w:type="pct"/>
                <w:shd w:val="clear" w:color="auto" w:fill="auto"/>
                <w:vAlign w:val="center"/>
              </w:tcPr>
              <w:p w14:paraId="5195B137" w14:textId="77777777" w:rsidR="002D0AE7" w:rsidRDefault="00333EBB">
                <w:pPr>
                  <w:jc w:val="center"/>
                  <w:rPr>
                    <w:rFonts w:hint="eastAsia"/>
                    <w:color w:val="000000" w:themeColor="text1"/>
                    <w:sz w:val="21"/>
                    <w:szCs w:val="21"/>
                  </w:rPr>
                </w:pPr>
                <w:r>
                  <w:rPr>
                    <w:color w:val="000000" w:themeColor="text1"/>
                    <w:sz w:val="21"/>
                    <w:szCs w:val="21"/>
                  </w:rPr>
                  <w:t>本期新增补助金额</w:t>
                </w:r>
              </w:p>
            </w:tc>
          </w:sdtContent>
        </w:sdt>
        <w:sdt>
          <w:sdtPr>
            <w:rPr>
              <w:color w:val="000000" w:themeColor="text1"/>
              <w:sz w:val="21"/>
              <w:szCs w:val="21"/>
            </w:rPr>
            <w:tag w:val="_PLD_52c2e402043d4e31a35cf36007217038"/>
            <w:id w:val="-1181582417"/>
          </w:sdtPr>
          <w:sdtEndPr/>
          <w:sdtContent>
            <w:tc>
              <w:tcPr>
                <w:tcW w:w="377" w:type="pct"/>
                <w:shd w:val="clear" w:color="auto" w:fill="auto"/>
                <w:vAlign w:val="center"/>
              </w:tcPr>
              <w:p w14:paraId="76BC5D79" w14:textId="77777777" w:rsidR="002D0AE7" w:rsidRDefault="00333EBB">
                <w:pPr>
                  <w:jc w:val="center"/>
                  <w:rPr>
                    <w:rFonts w:hint="eastAsia"/>
                    <w:color w:val="000000" w:themeColor="text1"/>
                    <w:sz w:val="21"/>
                    <w:szCs w:val="21"/>
                  </w:rPr>
                </w:pPr>
                <w:r>
                  <w:rPr>
                    <w:color w:val="000000" w:themeColor="text1"/>
                    <w:sz w:val="21"/>
                    <w:szCs w:val="21"/>
                  </w:rPr>
                  <w:t>本期计入营业外收入金额</w:t>
                </w:r>
              </w:p>
            </w:tc>
          </w:sdtContent>
        </w:sdt>
        <w:sdt>
          <w:sdtPr>
            <w:rPr>
              <w:color w:val="000000" w:themeColor="text1"/>
              <w:sz w:val="21"/>
              <w:szCs w:val="21"/>
            </w:rPr>
            <w:tag w:val="_PLD_54cb3f3d4b4b49b9913df5c05007eb61"/>
            <w:id w:val="837971489"/>
          </w:sdtPr>
          <w:sdtEndPr/>
          <w:sdtContent>
            <w:tc>
              <w:tcPr>
                <w:tcW w:w="662" w:type="pct"/>
                <w:vAlign w:val="center"/>
              </w:tcPr>
              <w:p w14:paraId="335AEAA3" w14:textId="77777777" w:rsidR="002D0AE7" w:rsidRDefault="00333EBB">
                <w:pPr>
                  <w:jc w:val="center"/>
                  <w:rPr>
                    <w:rFonts w:hint="eastAsia"/>
                    <w:color w:val="000000" w:themeColor="text1"/>
                    <w:sz w:val="21"/>
                    <w:szCs w:val="21"/>
                  </w:rPr>
                </w:pPr>
                <w:r>
                  <w:rPr>
                    <w:color w:val="000000" w:themeColor="text1"/>
                    <w:sz w:val="21"/>
                    <w:szCs w:val="21"/>
                  </w:rPr>
                  <w:t>本期转入其他收益</w:t>
                </w:r>
              </w:p>
            </w:tc>
          </w:sdtContent>
        </w:sdt>
        <w:sdt>
          <w:sdtPr>
            <w:rPr>
              <w:rFonts w:hint="eastAsia"/>
              <w:color w:val="000000" w:themeColor="text1"/>
              <w:sz w:val="21"/>
              <w:szCs w:val="21"/>
            </w:rPr>
            <w:tag w:val="_PLD_f8464a8361c140659dec395b64a565c0"/>
            <w:id w:val="1232668802"/>
          </w:sdtPr>
          <w:sdtEndPr/>
          <w:sdtContent>
            <w:tc>
              <w:tcPr>
                <w:tcW w:w="377" w:type="pct"/>
                <w:vAlign w:val="center"/>
              </w:tcPr>
              <w:p w14:paraId="41E83679" w14:textId="77777777" w:rsidR="002D0AE7" w:rsidRDefault="00333EBB">
                <w:pPr>
                  <w:jc w:val="center"/>
                  <w:rPr>
                    <w:rFonts w:hint="eastAsia"/>
                    <w:color w:val="000000" w:themeColor="text1"/>
                    <w:sz w:val="21"/>
                    <w:szCs w:val="21"/>
                  </w:rPr>
                </w:pPr>
                <w:r>
                  <w:rPr>
                    <w:rFonts w:hint="eastAsia"/>
                    <w:color w:val="000000" w:themeColor="text1"/>
                    <w:sz w:val="21"/>
                    <w:szCs w:val="21"/>
                  </w:rPr>
                  <w:t>本期其他变动</w:t>
                </w:r>
              </w:p>
            </w:tc>
          </w:sdtContent>
        </w:sdt>
        <w:sdt>
          <w:sdtPr>
            <w:rPr>
              <w:rFonts w:hint="eastAsia"/>
              <w:color w:val="000000" w:themeColor="text1"/>
              <w:sz w:val="21"/>
              <w:szCs w:val="21"/>
            </w:rPr>
            <w:tag w:val="_PLD_abc368d2d0c7418dbd78f4f89cd037d5"/>
            <w:id w:val="-1164696270"/>
          </w:sdtPr>
          <w:sdtEndPr/>
          <w:sdtContent>
            <w:tc>
              <w:tcPr>
                <w:tcW w:w="769" w:type="pct"/>
                <w:vAlign w:val="center"/>
              </w:tcPr>
              <w:p w14:paraId="047E8FD6"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sdt>
          <w:sdtPr>
            <w:rPr>
              <w:rFonts w:hint="eastAsia"/>
              <w:color w:val="000000" w:themeColor="text1"/>
              <w:sz w:val="21"/>
              <w:szCs w:val="21"/>
            </w:rPr>
            <w:tag w:val="_PLD_3ff2a65a79344d48808fa5737db3cb39"/>
            <w:id w:val="898251685"/>
          </w:sdtPr>
          <w:sdtEndPr>
            <w:rPr>
              <w:rFonts w:hint="default"/>
            </w:rPr>
          </w:sdtEndPr>
          <w:sdtContent>
            <w:tc>
              <w:tcPr>
                <w:tcW w:w="645" w:type="pct"/>
                <w:vAlign w:val="center"/>
              </w:tcPr>
              <w:p w14:paraId="0660A9FC" w14:textId="77777777" w:rsidR="002D0AE7" w:rsidRDefault="00333EBB">
                <w:pPr>
                  <w:jc w:val="center"/>
                  <w:rPr>
                    <w:rFonts w:hint="eastAsia"/>
                    <w:color w:val="000000" w:themeColor="text1"/>
                    <w:sz w:val="21"/>
                    <w:szCs w:val="21"/>
                  </w:rPr>
                </w:pPr>
                <w:r>
                  <w:rPr>
                    <w:rFonts w:hint="eastAsia"/>
                    <w:color w:val="000000" w:themeColor="text1"/>
                    <w:sz w:val="21"/>
                    <w:szCs w:val="21"/>
                  </w:rPr>
                  <w:t>与资产</w:t>
                </w:r>
                <w:r>
                  <w:rPr>
                    <w:color w:val="000000" w:themeColor="text1"/>
                    <w:sz w:val="21"/>
                    <w:szCs w:val="21"/>
                  </w:rPr>
                  <w:t>/</w:t>
                </w:r>
                <w:r>
                  <w:rPr>
                    <w:color w:val="000000" w:themeColor="text1"/>
                    <w:sz w:val="21"/>
                    <w:szCs w:val="21"/>
                  </w:rPr>
                  <w:t>收益相关</w:t>
                </w:r>
              </w:p>
            </w:tc>
          </w:sdtContent>
        </w:sdt>
      </w:tr>
      <w:tr w:rsidR="002D0AE7" w14:paraId="13C5C327" w14:textId="77777777">
        <w:trPr>
          <w:jc w:val="center"/>
        </w:trPr>
        <w:tc>
          <w:tcPr>
            <w:tcW w:w="617" w:type="pct"/>
            <w:shd w:val="clear" w:color="auto" w:fill="auto"/>
          </w:tcPr>
          <w:p w14:paraId="714BF19D" w14:textId="77777777" w:rsidR="002D0AE7" w:rsidRDefault="00333EBB">
            <w:pPr>
              <w:rPr>
                <w:rFonts w:hint="eastAsia"/>
                <w:sz w:val="21"/>
                <w:szCs w:val="21"/>
              </w:rPr>
            </w:pPr>
            <w:r>
              <w:rPr>
                <w:rFonts w:hint="eastAsia"/>
                <w:sz w:val="21"/>
                <w:szCs w:val="21"/>
              </w:rPr>
              <w:t>递延收益</w:t>
            </w:r>
          </w:p>
        </w:tc>
        <w:tc>
          <w:tcPr>
            <w:tcW w:w="822" w:type="pct"/>
            <w:shd w:val="clear" w:color="auto" w:fill="auto"/>
          </w:tcPr>
          <w:p w14:paraId="09810E2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144,988,881.20</w:t>
            </w:r>
          </w:p>
        </w:tc>
        <w:tc>
          <w:tcPr>
            <w:tcW w:w="731" w:type="pct"/>
            <w:shd w:val="clear" w:color="auto" w:fill="auto"/>
          </w:tcPr>
          <w:p w14:paraId="3709647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5,350,034.44</w:t>
            </w:r>
          </w:p>
        </w:tc>
        <w:tc>
          <w:tcPr>
            <w:tcW w:w="377" w:type="pct"/>
            <w:shd w:val="clear" w:color="auto" w:fill="auto"/>
          </w:tcPr>
          <w:p w14:paraId="7E5FB85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62" w:type="pct"/>
          </w:tcPr>
          <w:p w14:paraId="3930BC2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5,463,870.80</w:t>
            </w:r>
          </w:p>
        </w:tc>
        <w:tc>
          <w:tcPr>
            <w:tcW w:w="377" w:type="pct"/>
          </w:tcPr>
          <w:p w14:paraId="1DAEDB1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69" w:type="pct"/>
          </w:tcPr>
          <w:p w14:paraId="5817E0A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144,875,044.84</w:t>
            </w:r>
          </w:p>
        </w:tc>
        <w:tc>
          <w:tcPr>
            <w:tcW w:w="645" w:type="pct"/>
          </w:tcPr>
          <w:p w14:paraId="2712B566" w14:textId="77777777" w:rsidR="002D0AE7" w:rsidRDefault="00333EBB">
            <w:pPr>
              <w:rPr>
                <w:rFonts w:hint="eastAsia"/>
                <w:sz w:val="21"/>
                <w:szCs w:val="21"/>
              </w:rPr>
            </w:pPr>
            <w:r>
              <w:rPr>
                <w:rFonts w:hint="eastAsia"/>
                <w:sz w:val="21"/>
                <w:szCs w:val="21"/>
              </w:rPr>
              <w:t>与资产相关</w:t>
            </w:r>
          </w:p>
        </w:tc>
      </w:tr>
      <w:tr w:rsidR="002D0AE7" w14:paraId="440441D5" w14:textId="77777777">
        <w:trPr>
          <w:jc w:val="center"/>
        </w:trPr>
        <w:tc>
          <w:tcPr>
            <w:tcW w:w="617" w:type="pct"/>
            <w:shd w:val="clear" w:color="auto" w:fill="auto"/>
          </w:tcPr>
          <w:p w14:paraId="24DC7261" w14:textId="77777777" w:rsidR="002D0AE7" w:rsidRDefault="00333EBB">
            <w:pPr>
              <w:rPr>
                <w:rFonts w:hint="eastAsia"/>
                <w:sz w:val="21"/>
                <w:szCs w:val="21"/>
              </w:rPr>
            </w:pPr>
            <w:r>
              <w:rPr>
                <w:rFonts w:hint="eastAsia"/>
                <w:sz w:val="21"/>
                <w:szCs w:val="21"/>
              </w:rPr>
              <w:t>递延收益</w:t>
            </w:r>
          </w:p>
        </w:tc>
        <w:tc>
          <w:tcPr>
            <w:tcW w:w="822" w:type="pct"/>
            <w:shd w:val="clear" w:color="auto" w:fill="auto"/>
          </w:tcPr>
          <w:p w14:paraId="381CCA7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31" w:type="pct"/>
            <w:shd w:val="clear" w:color="auto" w:fill="auto"/>
          </w:tcPr>
          <w:p w14:paraId="438FAE7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631,265.56</w:t>
            </w:r>
          </w:p>
        </w:tc>
        <w:tc>
          <w:tcPr>
            <w:tcW w:w="377" w:type="pct"/>
            <w:shd w:val="clear" w:color="auto" w:fill="auto"/>
          </w:tcPr>
          <w:p w14:paraId="7A24DB6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62" w:type="pct"/>
          </w:tcPr>
          <w:p w14:paraId="7301E5E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631,265.56</w:t>
            </w:r>
          </w:p>
        </w:tc>
        <w:tc>
          <w:tcPr>
            <w:tcW w:w="377" w:type="pct"/>
          </w:tcPr>
          <w:p w14:paraId="2ADD563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69" w:type="pct"/>
          </w:tcPr>
          <w:p w14:paraId="08403AB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45" w:type="pct"/>
          </w:tcPr>
          <w:p w14:paraId="231A538E" w14:textId="77777777" w:rsidR="002D0AE7" w:rsidRDefault="00333EBB">
            <w:pPr>
              <w:rPr>
                <w:rFonts w:hint="eastAsia"/>
                <w:sz w:val="21"/>
                <w:szCs w:val="21"/>
              </w:rPr>
            </w:pPr>
            <w:r>
              <w:rPr>
                <w:rFonts w:hint="eastAsia"/>
                <w:sz w:val="21"/>
                <w:szCs w:val="21"/>
              </w:rPr>
              <w:t>与收益相关</w:t>
            </w:r>
          </w:p>
        </w:tc>
      </w:tr>
      <w:tr w:rsidR="002D0AE7" w14:paraId="26BB93DF" w14:textId="77777777">
        <w:trPr>
          <w:jc w:val="center"/>
        </w:trPr>
        <w:tc>
          <w:tcPr>
            <w:tcW w:w="617" w:type="pct"/>
            <w:tcBorders>
              <w:top w:val="single" w:sz="4" w:space="0" w:color="auto"/>
              <w:left w:val="single" w:sz="4" w:space="0" w:color="auto"/>
              <w:bottom w:val="single" w:sz="4" w:space="0" w:color="auto"/>
              <w:right w:val="single" w:sz="4" w:space="0" w:color="auto"/>
            </w:tcBorders>
            <w:shd w:val="clear" w:color="auto" w:fill="auto"/>
          </w:tcPr>
          <w:p w14:paraId="725E5AA6" w14:textId="77777777" w:rsidR="002D0AE7" w:rsidRDefault="00333EBB">
            <w:pPr>
              <w:jc w:val="center"/>
              <w:rPr>
                <w:rFonts w:hint="eastAsia"/>
                <w:color w:val="000000" w:themeColor="text1"/>
                <w:sz w:val="21"/>
                <w:szCs w:val="21"/>
              </w:rPr>
            </w:pPr>
            <w:r>
              <w:rPr>
                <w:color w:val="000000" w:themeColor="text1"/>
                <w:sz w:val="21"/>
                <w:szCs w:val="21"/>
              </w:rPr>
              <w:t>合计</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28C87D1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144,988,881.20</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2E733BF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5,981,300.00</w:t>
            </w:r>
          </w:p>
        </w:tc>
        <w:tc>
          <w:tcPr>
            <w:tcW w:w="377" w:type="pct"/>
            <w:tcBorders>
              <w:top w:val="single" w:sz="4" w:space="0" w:color="auto"/>
              <w:left w:val="single" w:sz="4" w:space="0" w:color="auto"/>
              <w:bottom w:val="single" w:sz="4" w:space="0" w:color="auto"/>
              <w:right w:val="single" w:sz="4" w:space="0" w:color="auto"/>
            </w:tcBorders>
            <w:shd w:val="clear" w:color="auto" w:fill="auto"/>
          </w:tcPr>
          <w:p w14:paraId="15D0221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62" w:type="pct"/>
            <w:tcBorders>
              <w:top w:val="single" w:sz="4" w:space="0" w:color="auto"/>
              <w:left w:val="single" w:sz="4" w:space="0" w:color="auto"/>
              <w:bottom w:val="single" w:sz="4" w:space="0" w:color="auto"/>
              <w:right w:val="single" w:sz="4" w:space="0" w:color="auto"/>
            </w:tcBorders>
          </w:tcPr>
          <w:p w14:paraId="6CB8780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6,095,136.36</w:t>
            </w:r>
          </w:p>
        </w:tc>
        <w:tc>
          <w:tcPr>
            <w:tcW w:w="377" w:type="pct"/>
            <w:tcBorders>
              <w:top w:val="single" w:sz="4" w:space="0" w:color="auto"/>
              <w:left w:val="single" w:sz="4" w:space="0" w:color="auto"/>
              <w:bottom w:val="single" w:sz="4" w:space="0" w:color="auto"/>
              <w:right w:val="single" w:sz="4" w:space="0" w:color="auto"/>
            </w:tcBorders>
          </w:tcPr>
          <w:p w14:paraId="7BE1ED7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69" w:type="pct"/>
            <w:tcBorders>
              <w:top w:val="single" w:sz="4" w:space="0" w:color="auto"/>
              <w:left w:val="single" w:sz="4" w:space="0" w:color="auto"/>
              <w:bottom w:val="single" w:sz="4" w:space="0" w:color="auto"/>
              <w:right w:val="single" w:sz="4" w:space="0" w:color="auto"/>
            </w:tcBorders>
          </w:tcPr>
          <w:p w14:paraId="256127A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144,875,044.84</w:t>
            </w:r>
          </w:p>
        </w:tc>
        <w:tc>
          <w:tcPr>
            <w:tcW w:w="645" w:type="pct"/>
            <w:tcBorders>
              <w:top w:val="single" w:sz="4" w:space="0" w:color="auto"/>
              <w:left w:val="single" w:sz="4" w:space="0" w:color="auto"/>
              <w:bottom w:val="single" w:sz="4" w:space="0" w:color="auto"/>
              <w:right w:val="single" w:sz="4" w:space="0" w:color="auto"/>
            </w:tcBorders>
          </w:tcPr>
          <w:p w14:paraId="1B3A4D7E" w14:textId="77777777" w:rsidR="002D0AE7" w:rsidRDefault="00333EBB">
            <w:pPr>
              <w:rPr>
                <w:rFonts w:hint="eastAsia"/>
                <w:color w:val="000000" w:themeColor="text1"/>
                <w:sz w:val="21"/>
                <w:szCs w:val="21"/>
              </w:rPr>
            </w:pPr>
            <w:r>
              <w:rPr>
                <w:rFonts w:hint="eastAsia"/>
                <w:color w:val="000000" w:themeColor="text1"/>
                <w:sz w:val="21"/>
                <w:szCs w:val="21"/>
              </w:rPr>
              <w:t>/</w:t>
            </w:r>
          </w:p>
        </w:tc>
      </w:tr>
    </w:tbl>
    <w:p w14:paraId="0524953A" w14:textId="77777777" w:rsidR="002D0AE7" w:rsidRDefault="00333EBB">
      <w:pPr>
        <w:pStyle w:val="3"/>
        <w:numPr>
          <w:ilvl w:val="0"/>
          <w:numId w:val="77"/>
        </w:numPr>
        <w:ind w:left="0" w:firstLine="0"/>
        <w:rPr>
          <w:rFonts w:cs="宋体"/>
          <w:color w:val="000000" w:themeColor="text1"/>
          <w:kern w:val="0"/>
          <w:szCs w:val="24"/>
        </w:rPr>
      </w:pPr>
      <w:bookmarkStart w:id="230" w:name="_Hlk153267407"/>
      <w:r>
        <w:rPr>
          <w:rFonts w:cs="宋体" w:hint="eastAsia"/>
          <w:color w:val="000000" w:themeColor="text1"/>
          <w:kern w:val="0"/>
          <w:szCs w:val="24"/>
        </w:rPr>
        <w:t>计入当期</w:t>
      </w:r>
      <w:r>
        <w:rPr>
          <w:rFonts w:ascii="宋体" w:hAnsi="宋体" w:cs="宋体" w:hint="eastAsia"/>
          <w:color w:val="000000" w:themeColor="text1"/>
          <w:kern w:val="0"/>
          <w:szCs w:val="24"/>
        </w:rPr>
        <w:t>损益</w:t>
      </w:r>
      <w:r>
        <w:rPr>
          <w:rFonts w:cs="宋体" w:hint="eastAsia"/>
          <w:color w:val="000000" w:themeColor="text1"/>
          <w:kern w:val="0"/>
          <w:szCs w:val="24"/>
        </w:rPr>
        <w:t>的政府补助</w:t>
      </w:r>
    </w:p>
    <w:sdt>
      <w:sdtPr>
        <w:rPr>
          <w:b/>
          <w:color w:val="000000" w:themeColor="text1"/>
        </w:rPr>
        <w:alias w:val="是否适用：计入当期损益的政府补助[双击切换]"/>
        <w:tag w:val="_GBC_01aefe636f4f4e8b8752cf8841e143f6"/>
        <w:id w:val="-1914691469"/>
        <w:placeholder>
          <w:docPart w:val="GBC22222222222222222222222222222"/>
        </w:placeholder>
      </w:sdtPr>
      <w:sdtEndPr/>
      <w:sdtContent>
        <w:p w14:paraId="677D82EC" w14:textId="77777777" w:rsidR="002D0AE7" w:rsidRDefault="00333EBB">
          <w:pPr>
            <w:rPr>
              <w:rFonts w:hint="eastAsia"/>
              <w:b/>
              <w:bCs/>
              <w:color w:val="000000" w:themeColor="text1"/>
            </w:rPr>
          </w:pPr>
          <w:r>
            <w:rPr>
              <w:b/>
              <w:bCs/>
              <w:color w:val="000000" w:themeColor="text1"/>
            </w:rPr>
            <w:fldChar w:fldCharType="begin"/>
          </w:r>
          <w:r>
            <w:rPr>
              <w:rFonts w:hint="eastAsia"/>
              <w:bCs/>
              <w:color w:val="000000" w:themeColor="text1"/>
            </w:rPr>
            <w:instrText xml:space="preserve">MACROBUTTON  SnrToggleCheckbox </w:instrText>
          </w:r>
          <w:r>
            <w:rPr>
              <w:rFonts w:hint="eastAsia"/>
              <w:bCs/>
              <w:color w:val="000000" w:themeColor="text1"/>
            </w:rPr>
            <w:instrText>√适用</w:instrText>
          </w:r>
          <w:r>
            <w:rPr>
              <w:rFonts w:hint="eastAsia"/>
              <w:bCs/>
              <w:color w:val="000000" w:themeColor="text1"/>
            </w:rPr>
            <w:instrText xml:space="preserve"> </w:instrText>
          </w:r>
          <w:r>
            <w:rPr>
              <w:b/>
              <w:bCs/>
              <w:color w:val="000000" w:themeColor="text1"/>
            </w:rPr>
            <w:fldChar w:fldCharType="end"/>
          </w:r>
          <w:r>
            <w:rPr>
              <w:b/>
              <w:bCs/>
              <w:color w:val="000000" w:themeColor="text1"/>
            </w:rPr>
            <w:fldChar w:fldCharType="begin"/>
          </w:r>
          <w:r>
            <w:rPr>
              <w:bCs/>
              <w:color w:val="000000" w:themeColor="text1"/>
            </w:rPr>
            <w:instrText xml:space="preserve"> MACROBUTTON  SnrToggleCheckbox □</w:instrText>
          </w:r>
          <w:r>
            <w:rPr>
              <w:bCs/>
              <w:color w:val="000000" w:themeColor="text1"/>
            </w:rPr>
            <w:instrText>不适用</w:instrText>
          </w:r>
          <w:r>
            <w:rPr>
              <w:bCs/>
              <w:color w:val="000000" w:themeColor="text1"/>
            </w:rPr>
            <w:instrText xml:space="preserve"> </w:instrText>
          </w:r>
          <w:r>
            <w:rPr>
              <w:b/>
              <w:bCs/>
              <w:color w:val="000000" w:themeColor="text1"/>
            </w:rPr>
            <w:fldChar w:fldCharType="end"/>
          </w:r>
        </w:p>
      </w:sdtContent>
    </w:sdt>
    <w:p w14:paraId="5514820F"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计入当期损益的政府补助"/>
          <w:tag w:val="_GBC_87984e2b7f344109836efe6282c2894b"/>
          <w:id w:val="83372621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计入当期损益的政府补助"/>
          <w:tag w:val="_GBC_105736a35c964ea1b5378bede4faea2f"/>
          <w:id w:val="-145809136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799"/>
        <w:gridCol w:w="3012"/>
        <w:gridCol w:w="3012"/>
      </w:tblGrid>
      <w:tr w:rsidR="002D0AE7" w14:paraId="45D041E3" w14:textId="77777777">
        <w:trPr>
          <w:trHeight w:val="556"/>
          <w:jc w:val="center"/>
        </w:trPr>
        <w:sdt>
          <w:sdtPr>
            <w:rPr>
              <w:color w:val="000000" w:themeColor="text1"/>
              <w:sz w:val="21"/>
              <w:szCs w:val="21"/>
            </w:rPr>
            <w:tag w:val="_PLD_4e0950c6d44c4f6c93412dd988ce84f3"/>
            <w:id w:val="7720750"/>
          </w:sdtPr>
          <w:sdtEndPr/>
          <w:sdtContent>
            <w:tc>
              <w:tcPr>
                <w:tcW w:w="1586" w:type="pct"/>
                <w:tcBorders>
                  <w:top w:val="single" w:sz="4" w:space="0" w:color="auto"/>
                  <w:left w:val="single" w:sz="4" w:space="0" w:color="auto"/>
                  <w:bottom w:val="single" w:sz="4" w:space="0" w:color="auto"/>
                  <w:right w:val="single" w:sz="4" w:space="0" w:color="auto"/>
                </w:tcBorders>
                <w:vAlign w:val="center"/>
              </w:tcPr>
              <w:p w14:paraId="0ECE49A0" w14:textId="77777777" w:rsidR="002D0AE7" w:rsidRDefault="00333EBB">
                <w:pPr>
                  <w:jc w:val="center"/>
                  <w:rPr>
                    <w:rFonts w:hint="eastAsia"/>
                    <w:color w:val="000000" w:themeColor="text1"/>
                    <w:sz w:val="21"/>
                    <w:szCs w:val="21"/>
                  </w:rPr>
                </w:pPr>
                <w:r>
                  <w:rPr>
                    <w:rFonts w:hint="eastAsia"/>
                    <w:color w:val="000000" w:themeColor="text1"/>
                    <w:sz w:val="21"/>
                    <w:szCs w:val="21"/>
                  </w:rPr>
                  <w:t>类型</w:t>
                </w:r>
              </w:p>
            </w:tc>
          </w:sdtContent>
        </w:sdt>
        <w:sdt>
          <w:sdtPr>
            <w:rPr>
              <w:color w:val="000000" w:themeColor="text1"/>
              <w:sz w:val="21"/>
              <w:szCs w:val="21"/>
            </w:rPr>
            <w:tag w:val="_PLD_b137547e48b242d2a32ab92cdeb61433"/>
            <w:id w:val="-2113190608"/>
          </w:sdtPr>
          <w:sdtEndPr/>
          <w:sdtContent>
            <w:tc>
              <w:tcPr>
                <w:tcW w:w="1707" w:type="pct"/>
                <w:tcBorders>
                  <w:top w:val="single" w:sz="4" w:space="0" w:color="auto"/>
                  <w:left w:val="single" w:sz="4" w:space="0" w:color="auto"/>
                  <w:bottom w:val="single" w:sz="4" w:space="0" w:color="auto"/>
                  <w:right w:val="single" w:sz="4" w:space="0" w:color="auto"/>
                </w:tcBorders>
                <w:vAlign w:val="center"/>
              </w:tcPr>
              <w:p w14:paraId="1AEB403E" w14:textId="77777777" w:rsidR="002D0AE7" w:rsidRDefault="00333EBB">
                <w:pPr>
                  <w:jc w:val="center"/>
                  <w:rPr>
                    <w:rFonts w:hint="eastAsia"/>
                    <w:color w:val="000000" w:themeColor="text1"/>
                    <w:sz w:val="21"/>
                    <w:szCs w:val="21"/>
                  </w:rPr>
                </w:pPr>
                <w:r>
                  <w:rPr>
                    <w:color w:val="000000" w:themeColor="text1"/>
                    <w:sz w:val="21"/>
                    <w:szCs w:val="21"/>
                  </w:rPr>
                  <w:t>本期发生额</w:t>
                </w:r>
              </w:p>
            </w:tc>
          </w:sdtContent>
        </w:sdt>
        <w:sdt>
          <w:sdtPr>
            <w:rPr>
              <w:color w:val="000000" w:themeColor="text1"/>
              <w:sz w:val="21"/>
              <w:szCs w:val="21"/>
            </w:rPr>
            <w:tag w:val="_PLD_b1f0e1514b364efda3d03053bbe4e90c"/>
            <w:id w:val="-1670242979"/>
          </w:sdtPr>
          <w:sdtEndPr/>
          <w:sdtContent>
            <w:tc>
              <w:tcPr>
                <w:tcW w:w="1707" w:type="pct"/>
                <w:tcBorders>
                  <w:top w:val="single" w:sz="4" w:space="0" w:color="auto"/>
                  <w:left w:val="single" w:sz="4" w:space="0" w:color="auto"/>
                  <w:bottom w:val="single" w:sz="4" w:space="0" w:color="auto"/>
                  <w:right w:val="single" w:sz="4" w:space="0" w:color="auto"/>
                </w:tcBorders>
                <w:vAlign w:val="center"/>
              </w:tcPr>
              <w:p w14:paraId="4E0C3814" w14:textId="77777777" w:rsidR="002D0AE7" w:rsidRDefault="00333EBB">
                <w:pPr>
                  <w:jc w:val="center"/>
                  <w:rPr>
                    <w:rFonts w:hint="eastAsia"/>
                    <w:color w:val="000000" w:themeColor="text1"/>
                    <w:sz w:val="21"/>
                    <w:szCs w:val="21"/>
                  </w:rPr>
                </w:pPr>
                <w:r>
                  <w:rPr>
                    <w:color w:val="000000" w:themeColor="text1"/>
                    <w:sz w:val="21"/>
                    <w:szCs w:val="21"/>
                  </w:rPr>
                  <w:t>上期发生额</w:t>
                </w:r>
              </w:p>
            </w:tc>
          </w:sdtContent>
        </w:sdt>
      </w:tr>
      <w:tr w:rsidR="002D0AE7" w14:paraId="68AAB565" w14:textId="77777777">
        <w:trPr>
          <w:jc w:val="center"/>
        </w:trPr>
        <w:sdt>
          <w:sdtPr>
            <w:rPr>
              <w:color w:val="000000" w:themeColor="text1"/>
              <w:sz w:val="21"/>
              <w:szCs w:val="21"/>
            </w:rPr>
            <w:alias w:val="计入当期损益的政府补助项目名称"/>
            <w:tag w:val="_GBC_a983426201404cbea85ab6577f8d9056"/>
            <w:id w:val="887991303"/>
            <w:comboBox>
              <w:listItem w:displayText="与资产相关" w:value="与资产相关"/>
              <w:listItem w:displayText="与收益相关" w:value="与收益相关"/>
              <w:listItem w:displayText="其他" w:value="其他"/>
            </w:comboBox>
          </w:sdtPr>
          <w:sdtEndPr/>
          <w:sdtContent>
            <w:tc>
              <w:tcPr>
                <w:tcW w:w="1586" w:type="pct"/>
                <w:tcBorders>
                  <w:top w:val="single" w:sz="4" w:space="0" w:color="auto"/>
                  <w:left w:val="single" w:sz="4" w:space="0" w:color="auto"/>
                  <w:bottom w:val="single" w:sz="4" w:space="0" w:color="auto"/>
                  <w:right w:val="single" w:sz="4" w:space="0" w:color="auto"/>
                </w:tcBorders>
                <w:vAlign w:val="center"/>
              </w:tcPr>
              <w:p w14:paraId="617C8D82" w14:textId="77777777" w:rsidR="002D0AE7" w:rsidRDefault="00333EBB">
                <w:pPr>
                  <w:rPr>
                    <w:rFonts w:hint="eastAsia"/>
                    <w:color w:val="000000" w:themeColor="text1"/>
                    <w:sz w:val="21"/>
                    <w:szCs w:val="21"/>
                  </w:rPr>
                </w:pPr>
                <w:r>
                  <w:rPr>
                    <w:rFonts w:hint="eastAsia"/>
                    <w:color w:val="000000" w:themeColor="text1"/>
                    <w:sz w:val="21"/>
                    <w:szCs w:val="21"/>
                  </w:rPr>
                  <w:t>与资产相关</w:t>
                </w:r>
              </w:p>
            </w:tc>
          </w:sdtContent>
        </w:sdt>
        <w:tc>
          <w:tcPr>
            <w:tcW w:w="1707" w:type="pct"/>
            <w:tcBorders>
              <w:top w:val="single" w:sz="4" w:space="0" w:color="auto"/>
              <w:left w:val="single" w:sz="4" w:space="0" w:color="auto"/>
              <w:bottom w:val="single" w:sz="4" w:space="0" w:color="auto"/>
              <w:right w:val="single" w:sz="4" w:space="0" w:color="auto"/>
            </w:tcBorders>
          </w:tcPr>
          <w:p w14:paraId="024DB19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5,463,870.80</w:t>
            </w:r>
          </w:p>
        </w:tc>
        <w:tc>
          <w:tcPr>
            <w:tcW w:w="1707" w:type="pct"/>
            <w:tcBorders>
              <w:top w:val="single" w:sz="4" w:space="0" w:color="auto"/>
              <w:left w:val="single" w:sz="4" w:space="0" w:color="auto"/>
              <w:bottom w:val="single" w:sz="4" w:space="0" w:color="auto"/>
              <w:right w:val="single" w:sz="4" w:space="0" w:color="auto"/>
            </w:tcBorders>
          </w:tcPr>
          <w:p w14:paraId="79A2768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4,590,838.03</w:t>
            </w:r>
          </w:p>
        </w:tc>
      </w:tr>
      <w:tr w:rsidR="002D0AE7" w14:paraId="1C98AF5F" w14:textId="77777777">
        <w:trPr>
          <w:jc w:val="center"/>
        </w:trPr>
        <w:sdt>
          <w:sdtPr>
            <w:rPr>
              <w:color w:val="000000" w:themeColor="text1"/>
              <w:sz w:val="21"/>
              <w:szCs w:val="21"/>
            </w:rPr>
            <w:alias w:val="计入当期损益的政府补助项目名称"/>
            <w:tag w:val="_GBC_a983426201404cbea85ab6577f8d9056"/>
            <w:id w:val="-34430835"/>
            <w:comboBox>
              <w:listItem w:displayText="与资产相关" w:value="与资产相关"/>
              <w:listItem w:displayText="与收益相关" w:value="与收益相关"/>
              <w:listItem w:displayText="其他" w:value="其他"/>
            </w:comboBox>
          </w:sdtPr>
          <w:sdtEndPr/>
          <w:sdtContent>
            <w:tc>
              <w:tcPr>
                <w:tcW w:w="1586" w:type="pct"/>
                <w:tcBorders>
                  <w:top w:val="single" w:sz="4" w:space="0" w:color="auto"/>
                  <w:left w:val="single" w:sz="4" w:space="0" w:color="auto"/>
                  <w:bottom w:val="single" w:sz="4" w:space="0" w:color="auto"/>
                  <w:right w:val="single" w:sz="4" w:space="0" w:color="auto"/>
                </w:tcBorders>
                <w:vAlign w:val="center"/>
              </w:tcPr>
              <w:p w14:paraId="77FDE10B" w14:textId="77777777" w:rsidR="002D0AE7" w:rsidRDefault="00333EBB">
                <w:pPr>
                  <w:rPr>
                    <w:rFonts w:hint="eastAsia"/>
                    <w:color w:val="000000" w:themeColor="text1"/>
                    <w:sz w:val="21"/>
                    <w:szCs w:val="21"/>
                  </w:rPr>
                </w:pPr>
                <w:r>
                  <w:rPr>
                    <w:rFonts w:hint="eastAsia"/>
                    <w:color w:val="000000" w:themeColor="text1"/>
                    <w:sz w:val="21"/>
                    <w:szCs w:val="21"/>
                  </w:rPr>
                  <w:t>与收益相关</w:t>
                </w:r>
              </w:p>
            </w:tc>
          </w:sdtContent>
        </w:sdt>
        <w:tc>
          <w:tcPr>
            <w:tcW w:w="1707" w:type="pct"/>
            <w:tcBorders>
              <w:top w:val="single" w:sz="4" w:space="0" w:color="auto"/>
              <w:left w:val="single" w:sz="4" w:space="0" w:color="auto"/>
              <w:bottom w:val="single" w:sz="4" w:space="0" w:color="auto"/>
              <w:right w:val="single" w:sz="4" w:space="0" w:color="auto"/>
            </w:tcBorders>
          </w:tcPr>
          <w:p w14:paraId="61AF5EC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1,665,932.16</w:t>
            </w:r>
          </w:p>
        </w:tc>
        <w:tc>
          <w:tcPr>
            <w:tcW w:w="1707" w:type="pct"/>
            <w:tcBorders>
              <w:top w:val="single" w:sz="4" w:space="0" w:color="auto"/>
              <w:left w:val="single" w:sz="4" w:space="0" w:color="auto"/>
              <w:bottom w:val="single" w:sz="4" w:space="0" w:color="auto"/>
              <w:right w:val="single" w:sz="4" w:space="0" w:color="auto"/>
            </w:tcBorders>
          </w:tcPr>
          <w:p w14:paraId="1FD3D4D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3,976,500.00</w:t>
            </w:r>
          </w:p>
        </w:tc>
      </w:tr>
      <w:tr w:rsidR="002D0AE7" w14:paraId="0643DF1E" w14:textId="77777777">
        <w:trPr>
          <w:jc w:val="center"/>
        </w:trPr>
        <w:tc>
          <w:tcPr>
            <w:tcW w:w="1586" w:type="pct"/>
            <w:tcBorders>
              <w:top w:val="single" w:sz="4" w:space="0" w:color="auto"/>
              <w:left w:val="single" w:sz="4" w:space="0" w:color="auto"/>
              <w:bottom w:val="single" w:sz="4" w:space="0" w:color="auto"/>
              <w:right w:val="single" w:sz="4" w:space="0" w:color="auto"/>
            </w:tcBorders>
            <w:vAlign w:val="center"/>
          </w:tcPr>
          <w:p w14:paraId="288C87A3" w14:textId="77777777" w:rsidR="002D0AE7" w:rsidRDefault="00333EBB">
            <w:pPr>
              <w:rPr>
                <w:rFonts w:hint="eastAsia"/>
                <w:color w:val="000000" w:themeColor="text1"/>
                <w:sz w:val="21"/>
                <w:szCs w:val="21"/>
              </w:rPr>
            </w:pPr>
            <w:r>
              <w:rPr>
                <w:rFonts w:hint="eastAsia"/>
                <w:color w:val="000000" w:themeColor="text1"/>
                <w:sz w:val="21"/>
                <w:szCs w:val="21"/>
              </w:rPr>
              <w:t>其他</w:t>
            </w:r>
          </w:p>
        </w:tc>
        <w:tc>
          <w:tcPr>
            <w:tcW w:w="1707" w:type="pct"/>
            <w:tcBorders>
              <w:top w:val="single" w:sz="4" w:space="0" w:color="auto"/>
              <w:left w:val="single" w:sz="4" w:space="0" w:color="auto"/>
              <w:bottom w:val="single" w:sz="4" w:space="0" w:color="auto"/>
              <w:right w:val="single" w:sz="4" w:space="0" w:color="auto"/>
            </w:tcBorders>
          </w:tcPr>
          <w:p w14:paraId="323C2D9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897,012.00</w:t>
            </w:r>
          </w:p>
        </w:tc>
        <w:tc>
          <w:tcPr>
            <w:tcW w:w="1707" w:type="pct"/>
            <w:tcBorders>
              <w:top w:val="single" w:sz="4" w:space="0" w:color="auto"/>
              <w:left w:val="single" w:sz="4" w:space="0" w:color="auto"/>
              <w:bottom w:val="single" w:sz="4" w:space="0" w:color="auto"/>
              <w:right w:val="single" w:sz="4" w:space="0" w:color="auto"/>
            </w:tcBorders>
          </w:tcPr>
          <w:p w14:paraId="49ACD3B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565,692.20</w:t>
            </w:r>
          </w:p>
        </w:tc>
      </w:tr>
      <w:tr w:rsidR="002D0AE7" w14:paraId="3B2EE065" w14:textId="77777777">
        <w:trPr>
          <w:jc w:val="center"/>
        </w:trPr>
        <w:tc>
          <w:tcPr>
            <w:tcW w:w="1586" w:type="pct"/>
            <w:tcBorders>
              <w:top w:val="single" w:sz="4" w:space="0" w:color="auto"/>
              <w:left w:val="single" w:sz="4" w:space="0" w:color="auto"/>
              <w:bottom w:val="single" w:sz="4" w:space="0" w:color="auto"/>
              <w:right w:val="single" w:sz="4" w:space="0" w:color="auto"/>
            </w:tcBorders>
            <w:vAlign w:val="center"/>
          </w:tcPr>
          <w:p w14:paraId="74D33320"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1707" w:type="pct"/>
            <w:tcBorders>
              <w:top w:val="single" w:sz="4" w:space="0" w:color="auto"/>
              <w:left w:val="single" w:sz="4" w:space="0" w:color="auto"/>
              <w:bottom w:val="single" w:sz="4" w:space="0" w:color="auto"/>
              <w:right w:val="single" w:sz="4" w:space="0" w:color="auto"/>
            </w:tcBorders>
          </w:tcPr>
          <w:p w14:paraId="655D396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8,026,814.96</w:t>
            </w:r>
          </w:p>
        </w:tc>
        <w:tc>
          <w:tcPr>
            <w:tcW w:w="1707" w:type="pct"/>
            <w:tcBorders>
              <w:top w:val="single" w:sz="4" w:space="0" w:color="auto"/>
              <w:left w:val="single" w:sz="4" w:space="0" w:color="auto"/>
              <w:bottom w:val="single" w:sz="4" w:space="0" w:color="auto"/>
              <w:right w:val="single" w:sz="4" w:space="0" w:color="auto"/>
            </w:tcBorders>
          </w:tcPr>
          <w:p w14:paraId="4470EC8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9,133,030.23</w:t>
            </w:r>
          </w:p>
        </w:tc>
      </w:tr>
    </w:tbl>
    <w:p w14:paraId="10634502" w14:textId="77777777" w:rsidR="002D0AE7" w:rsidRDefault="00333EBB">
      <w:pPr>
        <w:rPr>
          <w:rFonts w:hint="eastAsia"/>
          <w:color w:val="000000" w:themeColor="text1"/>
        </w:rPr>
      </w:pPr>
      <w:bookmarkStart w:id="231" w:name="_Hlk153267868"/>
      <w:bookmarkEnd w:id="230"/>
      <w:r>
        <w:rPr>
          <w:rFonts w:hint="eastAsia"/>
          <w:color w:val="000000" w:themeColor="text1"/>
        </w:rPr>
        <w:t>其他说明：</w:t>
      </w:r>
    </w:p>
    <w:sdt>
      <w:sdtPr>
        <w:rPr>
          <w:color w:val="000000" w:themeColor="text1"/>
        </w:rPr>
        <w:alias w:val="政府补助说明"/>
        <w:tag w:val="_GBC_2db67f97ef974f8db75ebfb04517ea6f"/>
        <w:id w:val="-1518840734"/>
        <w:placeholder>
          <w:docPart w:val="GBC22222222222222222222222222222"/>
        </w:placeholder>
      </w:sdtPr>
      <w:sdtEndPr>
        <w:rPr>
          <w:rFonts w:ascii="Times New Roman" w:hAnsi="Times New Roman" w:cs="Times New Roman"/>
          <w:color w:val="000000"/>
          <w:sz w:val="21"/>
          <w:szCs w:val="21"/>
        </w:rPr>
      </w:sdtEndPr>
      <w:sdtContent>
        <w:p w14:paraId="4B5B07B0"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计入当期损益的政府补助"/>
              <w:tag w:val="_GBC_87984e2b7f344109836efe6282c2894b"/>
              <w:id w:val="928007996"/>
              <w:placeholder>
                <w:docPart w:val="185201DBF1D640CF9DF5A3B3CA53D2D7"/>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计入当期损益的政府补助"/>
              <w:tag w:val="_GBC_105736a35c964ea1b5378bede4faea2f"/>
              <w:id w:val="555747388"/>
              <w:placeholder>
                <w:docPart w:val="185201DBF1D640CF9DF5A3B3CA53D2D7"/>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Style w:val="19"/>
            <w:tblW w:w="9038" w:type="dxa"/>
            <w:jc w:val="center"/>
            <w:tblLook w:val="04A0" w:firstRow="1" w:lastRow="0" w:firstColumn="1" w:lastColumn="0" w:noHBand="0" w:noVBand="1"/>
          </w:tblPr>
          <w:tblGrid>
            <w:gridCol w:w="4759"/>
            <w:gridCol w:w="2197"/>
            <w:gridCol w:w="2082"/>
          </w:tblGrid>
          <w:tr w:rsidR="002D0AE7" w14:paraId="20542E08" w14:textId="77777777">
            <w:trPr>
              <w:trHeight w:val="301"/>
              <w:jc w:val="center"/>
            </w:trPr>
            <w:tc>
              <w:tcPr>
                <w:tcW w:w="4759" w:type="dxa"/>
                <w:vAlign w:val="center"/>
              </w:tcPr>
              <w:p w14:paraId="7E42B9FC" w14:textId="77777777" w:rsidR="002D0AE7" w:rsidRDefault="00333EBB">
                <w:pPr>
                  <w:jc w:val="center"/>
                  <w:rPr>
                    <w:rFonts w:hint="eastAsia"/>
                    <w:bCs/>
                    <w:sz w:val="21"/>
                    <w:szCs w:val="21"/>
                  </w:rPr>
                </w:pPr>
                <w:r>
                  <w:rPr>
                    <w:rFonts w:hint="eastAsia"/>
                    <w:bCs/>
                    <w:sz w:val="21"/>
                    <w:szCs w:val="21"/>
                  </w:rPr>
                  <w:t>与资产相关的政府补助</w:t>
                </w:r>
              </w:p>
            </w:tc>
            <w:tc>
              <w:tcPr>
                <w:tcW w:w="2197" w:type="dxa"/>
                <w:vAlign w:val="center"/>
              </w:tcPr>
              <w:p w14:paraId="60E5EA96" w14:textId="77777777" w:rsidR="002D0AE7" w:rsidRDefault="00333EBB">
                <w:pPr>
                  <w:jc w:val="center"/>
                  <w:rPr>
                    <w:rFonts w:hint="eastAsia"/>
                    <w:sz w:val="21"/>
                    <w:szCs w:val="21"/>
                  </w:rPr>
                </w:pPr>
                <w:r>
                  <w:rPr>
                    <w:rFonts w:hint="eastAsia"/>
                    <w:sz w:val="21"/>
                    <w:szCs w:val="21"/>
                  </w:rPr>
                  <w:t>本期发生额</w:t>
                </w:r>
              </w:p>
            </w:tc>
            <w:tc>
              <w:tcPr>
                <w:tcW w:w="2082" w:type="dxa"/>
                <w:vAlign w:val="center"/>
              </w:tcPr>
              <w:p w14:paraId="6F656803" w14:textId="77777777" w:rsidR="002D0AE7" w:rsidRDefault="00333EBB">
                <w:pPr>
                  <w:jc w:val="center"/>
                  <w:rPr>
                    <w:rFonts w:hint="eastAsia"/>
                    <w:sz w:val="21"/>
                    <w:szCs w:val="21"/>
                  </w:rPr>
                </w:pPr>
                <w:r>
                  <w:rPr>
                    <w:rFonts w:hint="eastAsia"/>
                    <w:sz w:val="21"/>
                    <w:szCs w:val="21"/>
                  </w:rPr>
                  <w:t>上期发生额</w:t>
                </w:r>
              </w:p>
            </w:tc>
          </w:tr>
          <w:tr w:rsidR="002D0AE7" w14:paraId="71379C05" w14:textId="77777777">
            <w:trPr>
              <w:trHeight w:val="286"/>
              <w:jc w:val="center"/>
            </w:trPr>
            <w:tc>
              <w:tcPr>
                <w:tcW w:w="4759" w:type="dxa"/>
                <w:vAlign w:val="center"/>
              </w:tcPr>
              <w:p w14:paraId="5876B4F5" w14:textId="77777777" w:rsidR="002D0AE7" w:rsidRDefault="00333EBB">
                <w:pPr>
                  <w:rPr>
                    <w:rFonts w:hint="eastAsia"/>
                    <w:sz w:val="21"/>
                    <w:szCs w:val="21"/>
                  </w:rPr>
                </w:pPr>
                <w:r>
                  <w:rPr>
                    <w:rFonts w:hint="eastAsia"/>
                    <w:sz w:val="21"/>
                    <w:szCs w:val="21"/>
                  </w:rPr>
                  <w:t>锅炉换热改造、锅炉富氧燃烧改造</w:t>
                </w:r>
              </w:p>
            </w:tc>
            <w:tc>
              <w:tcPr>
                <w:tcW w:w="2197" w:type="dxa"/>
                <w:vAlign w:val="center"/>
              </w:tcPr>
              <w:p w14:paraId="5D0902D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2082" w:type="dxa"/>
                <w:vAlign w:val="center"/>
              </w:tcPr>
              <w:p w14:paraId="3DBF5BF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32,726.80</w:t>
                </w:r>
              </w:p>
            </w:tc>
          </w:tr>
          <w:tr w:rsidR="002D0AE7" w14:paraId="334C17FC" w14:textId="77777777">
            <w:trPr>
              <w:trHeight w:val="286"/>
              <w:jc w:val="center"/>
            </w:trPr>
            <w:tc>
              <w:tcPr>
                <w:tcW w:w="4759" w:type="dxa"/>
                <w:vAlign w:val="center"/>
              </w:tcPr>
              <w:p w14:paraId="7D6959BC" w14:textId="77777777" w:rsidR="002D0AE7" w:rsidRDefault="00333EBB">
                <w:pPr>
                  <w:rPr>
                    <w:rFonts w:hint="eastAsia"/>
                    <w:sz w:val="21"/>
                    <w:szCs w:val="21"/>
                  </w:rPr>
                </w:pPr>
                <w:r>
                  <w:rPr>
                    <w:rFonts w:hint="eastAsia"/>
                    <w:sz w:val="21"/>
                    <w:szCs w:val="21"/>
                  </w:rPr>
                  <w:t>能源管理中心建设工程</w:t>
                </w:r>
              </w:p>
            </w:tc>
            <w:tc>
              <w:tcPr>
                <w:tcW w:w="2197" w:type="dxa"/>
                <w:vAlign w:val="center"/>
              </w:tcPr>
              <w:p w14:paraId="4DA46D1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21,428.58</w:t>
                </w:r>
              </w:p>
            </w:tc>
            <w:tc>
              <w:tcPr>
                <w:tcW w:w="2082" w:type="dxa"/>
                <w:vAlign w:val="center"/>
              </w:tcPr>
              <w:p w14:paraId="37FB006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21,428.58</w:t>
                </w:r>
              </w:p>
            </w:tc>
          </w:tr>
          <w:tr w:rsidR="002D0AE7" w14:paraId="33F5C6A4" w14:textId="77777777">
            <w:trPr>
              <w:trHeight w:val="286"/>
              <w:jc w:val="center"/>
            </w:trPr>
            <w:tc>
              <w:tcPr>
                <w:tcW w:w="4759" w:type="dxa"/>
                <w:vAlign w:val="center"/>
              </w:tcPr>
              <w:p w14:paraId="0940F5D8" w14:textId="77777777" w:rsidR="002D0AE7" w:rsidRDefault="00333EBB">
                <w:pPr>
                  <w:rPr>
                    <w:rFonts w:hint="eastAsia"/>
                    <w:sz w:val="21"/>
                    <w:szCs w:val="21"/>
                  </w:rPr>
                </w:pPr>
                <w:r>
                  <w:rPr>
                    <w:rFonts w:hint="eastAsia"/>
                    <w:sz w:val="21"/>
                    <w:szCs w:val="21"/>
                  </w:rPr>
                  <w:t>精烘包二三车间节能改造</w:t>
                </w:r>
              </w:p>
            </w:tc>
            <w:tc>
              <w:tcPr>
                <w:tcW w:w="2197" w:type="dxa"/>
                <w:vAlign w:val="center"/>
              </w:tcPr>
              <w:p w14:paraId="1C24040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17,857.14</w:t>
                </w:r>
              </w:p>
            </w:tc>
            <w:tc>
              <w:tcPr>
                <w:tcW w:w="2082" w:type="dxa"/>
                <w:vAlign w:val="center"/>
              </w:tcPr>
              <w:p w14:paraId="2CBB995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17,857.14</w:t>
                </w:r>
              </w:p>
            </w:tc>
          </w:tr>
          <w:tr w:rsidR="002D0AE7" w14:paraId="3D562338" w14:textId="77777777">
            <w:trPr>
              <w:trHeight w:val="286"/>
              <w:jc w:val="center"/>
            </w:trPr>
            <w:tc>
              <w:tcPr>
                <w:tcW w:w="4759" w:type="dxa"/>
                <w:vAlign w:val="center"/>
              </w:tcPr>
              <w:p w14:paraId="76D251F9" w14:textId="77777777" w:rsidR="002D0AE7" w:rsidRDefault="00333EBB">
                <w:pPr>
                  <w:rPr>
                    <w:rFonts w:hint="eastAsia"/>
                    <w:sz w:val="21"/>
                    <w:szCs w:val="21"/>
                  </w:rPr>
                </w:pPr>
                <w:r>
                  <w:rPr>
                    <w:rFonts w:hint="eastAsia"/>
                    <w:sz w:val="21"/>
                    <w:szCs w:val="21"/>
                  </w:rPr>
                  <w:t>地钠杀手锏补贴专项资金</w:t>
                </w:r>
              </w:p>
            </w:tc>
            <w:tc>
              <w:tcPr>
                <w:tcW w:w="2197" w:type="dxa"/>
                <w:vAlign w:val="center"/>
              </w:tcPr>
              <w:p w14:paraId="7D9FB9D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35,714.28</w:t>
                </w:r>
              </w:p>
            </w:tc>
            <w:tc>
              <w:tcPr>
                <w:tcW w:w="2082" w:type="dxa"/>
                <w:vAlign w:val="center"/>
              </w:tcPr>
              <w:p w14:paraId="73A934A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35,714.28</w:t>
                </w:r>
              </w:p>
            </w:tc>
          </w:tr>
          <w:tr w:rsidR="002D0AE7" w14:paraId="741DBD84" w14:textId="77777777">
            <w:trPr>
              <w:trHeight w:val="286"/>
              <w:jc w:val="center"/>
            </w:trPr>
            <w:tc>
              <w:tcPr>
                <w:tcW w:w="4759" w:type="dxa"/>
                <w:vAlign w:val="center"/>
              </w:tcPr>
              <w:p w14:paraId="2C91DD82" w14:textId="77777777" w:rsidR="002D0AE7" w:rsidRDefault="00333EBB">
                <w:pPr>
                  <w:rPr>
                    <w:rFonts w:hint="eastAsia"/>
                    <w:sz w:val="21"/>
                    <w:szCs w:val="21"/>
                  </w:rPr>
                </w:pPr>
                <w:r>
                  <w:rPr>
                    <w:rFonts w:hint="eastAsia"/>
                    <w:sz w:val="21"/>
                    <w:szCs w:val="21"/>
                  </w:rPr>
                  <w:t>输液车间</w:t>
                </w:r>
              </w:p>
            </w:tc>
            <w:tc>
              <w:tcPr>
                <w:tcW w:w="2197" w:type="dxa"/>
                <w:vAlign w:val="center"/>
              </w:tcPr>
              <w:p w14:paraId="72EB869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25,687.84</w:t>
                </w:r>
              </w:p>
            </w:tc>
            <w:tc>
              <w:tcPr>
                <w:tcW w:w="2082" w:type="dxa"/>
                <w:vAlign w:val="center"/>
              </w:tcPr>
              <w:p w14:paraId="50980C5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25,687.84</w:t>
                </w:r>
              </w:p>
            </w:tc>
          </w:tr>
          <w:tr w:rsidR="002D0AE7" w14:paraId="0A5A2F15" w14:textId="77777777">
            <w:trPr>
              <w:trHeight w:val="286"/>
              <w:jc w:val="center"/>
            </w:trPr>
            <w:tc>
              <w:tcPr>
                <w:tcW w:w="4759" w:type="dxa"/>
                <w:vAlign w:val="center"/>
              </w:tcPr>
              <w:p w14:paraId="33FC6A57" w14:textId="77777777" w:rsidR="002D0AE7" w:rsidRDefault="00333EBB">
                <w:pPr>
                  <w:rPr>
                    <w:rFonts w:hint="eastAsia"/>
                    <w:sz w:val="21"/>
                    <w:szCs w:val="21"/>
                  </w:rPr>
                </w:pPr>
                <w:r>
                  <w:rPr>
                    <w:rFonts w:hint="eastAsia"/>
                    <w:sz w:val="21"/>
                    <w:szCs w:val="21"/>
                  </w:rPr>
                  <w:t>输液生产车间</w:t>
                </w:r>
              </w:p>
            </w:tc>
            <w:tc>
              <w:tcPr>
                <w:tcW w:w="2197" w:type="dxa"/>
                <w:vAlign w:val="center"/>
              </w:tcPr>
              <w:p w14:paraId="758848F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26,400.90</w:t>
                </w:r>
              </w:p>
            </w:tc>
            <w:tc>
              <w:tcPr>
                <w:tcW w:w="2082" w:type="dxa"/>
                <w:vAlign w:val="center"/>
              </w:tcPr>
              <w:p w14:paraId="0864493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26,400.90</w:t>
                </w:r>
              </w:p>
            </w:tc>
          </w:tr>
          <w:tr w:rsidR="002D0AE7" w14:paraId="5F40046C" w14:textId="77777777">
            <w:trPr>
              <w:trHeight w:val="286"/>
              <w:jc w:val="center"/>
            </w:trPr>
            <w:tc>
              <w:tcPr>
                <w:tcW w:w="4759" w:type="dxa"/>
                <w:vAlign w:val="center"/>
              </w:tcPr>
              <w:p w14:paraId="40CCF984" w14:textId="77777777" w:rsidR="002D0AE7" w:rsidRDefault="00333EBB">
                <w:pPr>
                  <w:rPr>
                    <w:rFonts w:hint="eastAsia"/>
                    <w:sz w:val="21"/>
                    <w:szCs w:val="21"/>
                  </w:rPr>
                </w:pPr>
                <w:r>
                  <w:rPr>
                    <w:rFonts w:hint="eastAsia"/>
                    <w:sz w:val="21"/>
                    <w:szCs w:val="21"/>
                  </w:rPr>
                  <w:t>冻干</w:t>
                </w:r>
                <w:r>
                  <w:rPr>
                    <w:rFonts w:hint="eastAsia"/>
                    <w:sz w:val="21"/>
                    <w:szCs w:val="21"/>
                  </w:rPr>
                  <w:t>FDA</w:t>
                </w:r>
                <w:r>
                  <w:rPr>
                    <w:rFonts w:hint="eastAsia"/>
                    <w:sz w:val="21"/>
                    <w:szCs w:val="21"/>
                  </w:rPr>
                  <w:t>项目</w:t>
                </w:r>
              </w:p>
            </w:tc>
            <w:tc>
              <w:tcPr>
                <w:tcW w:w="2197" w:type="dxa"/>
                <w:vAlign w:val="center"/>
              </w:tcPr>
              <w:p w14:paraId="128D225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34,724.18</w:t>
                </w:r>
              </w:p>
            </w:tc>
            <w:tc>
              <w:tcPr>
                <w:tcW w:w="2082" w:type="dxa"/>
                <w:vAlign w:val="center"/>
              </w:tcPr>
              <w:p w14:paraId="4B6AE78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34,724.18</w:t>
                </w:r>
              </w:p>
            </w:tc>
          </w:tr>
          <w:tr w:rsidR="002D0AE7" w14:paraId="4411C9DB" w14:textId="77777777">
            <w:trPr>
              <w:trHeight w:val="286"/>
              <w:jc w:val="center"/>
            </w:trPr>
            <w:tc>
              <w:tcPr>
                <w:tcW w:w="4759" w:type="dxa"/>
                <w:vAlign w:val="center"/>
              </w:tcPr>
              <w:p w14:paraId="35F684CB" w14:textId="77777777" w:rsidR="002D0AE7" w:rsidRDefault="00333EBB">
                <w:pPr>
                  <w:rPr>
                    <w:rFonts w:hint="eastAsia"/>
                    <w:sz w:val="21"/>
                    <w:szCs w:val="21"/>
                  </w:rPr>
                </w:pPr>
                <w:r>
                  <w:rPr>
                    <w:rFonts w:hint="eastAsia"/>
                    <w:sz w:val="21"/>
                    <w:szCs w:val="21"/>
                  </w:rPr>
                  <w:t>符合</w:t>
                </w:r>
                <w:r>
                  <w:rPr>
                    <w:rFonts w:hint="eastAsia"/>
                    <w:sz w:val="21"/>
                    <w:szCs w:val="21"/>
                  </w:rPr>
                  <w:t>FDA</w:t>
                </w:r>
                <w:r>
                  <w:rPr>
                    <w:rFonts w:hint="eastAsia"/>
                    <w:sz w:val="21"/>
                    <w:szCs w:val="21"/>
                  </w:rPr>
                  <w:t>标准泼尼松片研制与开发</w:t>
                </w:r>
              </w:p>
            </w:tc>
            <w:tc>
              <w:tcPr>
                <w:tcW w:w="2197" w:type="dxa"/>
                <w:vAlign w:val="center"/>
              </w:tcPr>
              <w:p w14:paraId="4D51264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16,086.84</w:t>
                </w:r>
              </w:p>
            </w:tc>
            <w:tc>
              <w:tcPr>
                <w:tcW w:w="2082" w:type="dxa"/>
                <w:vAlign w:val="center"/>
              </w:tcPr>
              <w:p w14:paraId="3D35628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16,086.84</w:t>
                </w:r>
              </w:p>
            </w:tc>
          </w:tr>
          <w:tr w:rsidR="002D0AE7" w14:paraId="1F92BFEB" w14:textId="77777777">
            <w:trPr>
              <w:trHeight w:val="286"/>
              <w:jc w:val="center"/>
            </w:trPr>
            <w:tc>
              <w:tcPr>
                <w:tcW w:w="4759" w:type="dxa"/>
                <w:vAlign w:val="center"/>
              </w:tcPr>
              <w:p w14:paraId="7979B737" w14:textId="77777777" w:rsidR="002D0AE7" w:rsidRDefault="00333EBB">
                <w:pPr>
                  <w:rPr>
                    <w:rFonts w:hint="eastAsia"/>
                    <w:sz w:val="21"/>
                    <w:szCs w:val="21"/>
                  </w:rPr>
                </w:pPr>
                <w:r>
                  <w:rPr>
                    <w:rFonts w:hint="eastAsia"/>
                    <w:sz w:val="21"/>
                    <w:szCs w:val="21"/>
                  </w:rPr>
                  <w:t>VOCs</w:t>
                </w:r>
                <w:r>
                  <w:rPr>
                    <w:rFonts w:hint="eastAsia"/>
                    <w:sz w:val="21"/>
                    <w:szCs w:val="21"/>
                  </w:rPr>
                  <w:t>治理项目</w:t>
                </w:r>
              </w:p>
            </w:tc>
            <w:tc>
              <w:tcPr>
                <w:tcW w:w="2197" w:type="dxa"/>
                <w:vAlign w:val="center"/>
              </w:tcPr>
              <w:p w14:paraId="4D769EF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1,137,859.38</w:t>
                </w:r>
              </w:p>
            </w:tc>
            <w:tc>
              <w:tcPr>
                <w:tcW w:w="2082" w:type="dxa"/>
                <w:vAlign w:val="center"/>
              </w:tcPr>
              <w:p w14:paraId="5ABCFF1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1,137,859.38</w:t>
                </w:r>
              </w:p>
            </w:tc>
          </w:tr>
          <w:tr w:rsidR="002D0AE7" w14:paraId="5E53DAAE" w14:textId="77777777">
            <w:trPr>
              <w:trHeight w:val="286"/>
              <w:jc w:val="center"/>
            </w:trPr>
            <w:tc>
              <w:tcPr>
                <w:tcW w:w="4759" w:type="dxa"/>
                <w:vAlign w:val="center"/>
              </w:tcPr>
              <w:p w14:paraId="5BD95470" w14:textId="77777777" w:rsidR="002D0AE7" w:rsidRDefault="00333EBB">
                <w:pPr>
                  <w:rPr>
                    <w:rFonts w:hint="eastAsia"/>
                    <w:sz w:val="21"/>
                    <w:szCs w:val="21"/>
                  </w:rPr>
                </w:pPr>
                <w:r>
                  <w:rPr>
                    <w:rFonts w:hint="eastAsia"/>
                    <w:sz w:val="21"/>
                    <w:szCs w:val="21"/>
                  </w:rPr>
                  <w:t>甲泼尼龙片一致性评价</w:t>
                </w:r>
              </w:p>
            </w:tc>
            <w:tc>
              <w:tcPr>
                <w:tcW w:w="2197" w:type="dxa"/>
                <w:vAlign w:val="center"/>
              </w:tcPr>
              <w:p w14:paraId="3B89442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29,833.74</w:t>
                </w:r>
              </w:p>
            </w:tc>
            <w:tc>
              <w:tcPr>
                <w:tcW w:w="2082" w:type="dxa"/>
                <w:vAlign w:val="center"/>
              </w:tcPr>
              <w:p w14:paraId="1C0747A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29,833.74</w:t>
                </w:r>
              </w:p>
            </w:tc>
          </w:tr>
          <w:tr w:rsidR="002D0AE7" w14:paraId="6CACF870" w14:textId="77777777">
            <w:trPr>
              <w:trHeight w:val="286"/>
              <w:jc w:val="center"/>
            </w:trPr>
            <w:tc>
              <w:tcPr>
                <w:tcW w:w="4759" w:type="dxa"/>
                <w:vAlign w:val="center"/>
              </w:tcPr>
              <w:p w14:paraId="51F93454" w14:textId="77777777" w:rsidR="002D0AE7" w:rsidRDefault="00333EBB">
                <w:pPr>
                  <w:rPr>
                    <w:rFonts w:hint="eastAsia"/>
                    <w:sz w:val="21"/>
                    <w:szCs w:val="21"/>
                  </w:rPr>
                </w:pPr>
                <w:r>
                  <w:rPr>
                    <w:rFonts w:hint="eastAsia"/>
                    <w:sz w:val="21"/>
                    <w:szCs w:val="21"/>
                  </w:rPr>
                  <w:t>仓储物流智能化提升改造</w:t>
                </w:r>
              </w:p>
            </w:tc>
            <w:tc>
              <w:tcPr>
                <w:tcW w:w="2197" w:type="dxa"/>
                <w:vAlign w:val="center"/>
              </w:tcPr>
              <w:p w14:paraId="605962A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87,131.40</w:t>
                </w:r>
              </w:p>
            </w:tc>
            <w:tc>
              <w:tcPr>
                <w:tcW w:w="2082" w:type="dxa"/>
                <w:vAlign w:val="center"/>
              </w:tcPr>
              <w:p w14:paraId="602B000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87,131.40</w:t>
                </w:r>
              </w:p>
            </w:tc>
          </w:tr>
          <w:tr w:rsidR="002D0AE7" w14:paraId="431EFCAD" w14:textId="77777777">
            <w:trPr>
              <w:trHeight w:val="286"/>
              <w:jc w:val="center"/>
            </w:trPr>
            <w:tc>
              <w:tcPr>
                <w:tcW w:w="4759" w:type="dxa"/>
                <w:vAlign w:val="center"/>
              </w:tcPr>
              <w:p w14:paraId="42C3D01B" w14:textId="77777777" w:rsidR="002D0AE7" w:rsidRDefault="00333EBB">
                <w:pPr>
                  <w:rPr>
                    <w:rFonts w:hint="eastAsia"/>
                    <w:sz w:val="21"/>
                    <w:szCs w:val="21"/>
                  </w:rPr>
                </w:pPr>
                <w:r>
                  <w:rPr>
                    <w:rFonts w:hint="eastAsia"/>
                    <w:sz w:val="21"/>
                    <w:szCs w:val="21"/>
                  </w:rPr>
                  <w:t>甲泼尼龙</w:t>
                </w:r>
                <w:r>
                  <w:rPr>
                    <w:rFonts w:hint="eastAsia"/>
                    <w:sz w:val="21"/>
                    <w:szCs w:val="21"/>
                  </w:rPr>
                  <w:t>fda</w:t>
                </w:r>
                <w:r>
                  <w:rPr>
                    <w:rFonts w:hint="eastAsia"/>
                    <w:sz w:val="21"/>
                    <w:szCs w:val="21"/>
                  </w:rPr>
                  <w:t>认证产业化项目经费</w:t>
                </w:r>
              </w:p>
            </w:tc>
            <w:tc>
              <w:tcPr>
                <w:tcW w:w="2197" w:type="dxa"/>
                <w:vAlign w:val="center"/>
              </w:tcPr>
              <w:p w14:paraId="6D13798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90,270.70</w:t>
                </w:r>
              </w:p>
            </w:tc>
            <w:tc>
              <w:tcPr>
                <w:tcW w:w="2082" w:type="dxa"/>
                <w:vAlign w:val="center"/>
              </w:tcPr>
              <w:p w14:paraId="1F2AAC4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90,270.70</w:t>
                </w:r>
              </w:p>
            </w:tc>
          </w:tr>
          <w:tr w:rsidR="002D0AE7" w14:paraId="17071C3B" w14:textId="77777777">
            <w:trPr>
              <w:trHeight w:val="286"/>
              <w:jc w:val="center"/>
            </w:trPr>
            <w:tc>
              <w:tcPr>
                <w:tcW w:w="4759" w:type="dxa"/>
                <w:vAlign w:val="center"/>
              </w:tcPr>
              <w:p w14:paraId="16D04221" w14:textId="77777777" w:rsidR="002D0AE7" w:rsidRDefault="00333EBB">
                <w:pPr>
                  <w:rPr>
                    <w:rFonts w:hint="eastAsia"/>
                    <w:sz w:val="21"/>
                    <w:szCs w:val="21"/>
                  </w:rPr>
                </w:pPr>
                <w:r>
                  <w:rPr>
                    <w:rFonts w:hint="eastAsia"/>
                    <w:sz w:val="21"/>
                    <w:szCs w:val="21"/>
                  </w:rPr>
                  <w:t>2#3#</w:t>
                </w:r>
                <w:r>
                  <w:rPr>
                    <w:rFonts w:hint="eastAsia"/>
                    <w:sz w:val="21"/>
                    <w:szCs w:val="21"/>
                  </w:rPr>
                  <w:t>工业燃煤锅炉改造项目专项补贴款</w:t>
                </w:r>
              </w:p>
            </w:tc>
            <w:tc>
              <w:tcPr>
                <w:tcW w:w="2197" w:type="dxa"/>
                <w:vAlign w:val="center"/>
              </w:tcPr>
              <w:p w14:paraId="4E85B83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120,985.92</w:t>
                </w:r>
              </w:p>
            </w:tc>
            <w:tc>
              <w:tcPr>
                <w:tcW w:w="2082" w:type="dxa"/>
                <w:vAlign w:val="center"/>
              </w:tcPr>
              <w:p w14:paraId="7AF7FF3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120,985.92</w:t>
                </w:r>
              </w:p>
            </w:tc>
          </w:tr>
          <w:tr w:rsidR="002D0AE7" w14:paraId="414F4E0A" w14:textId="77777777">
            <w:trPr>
              <w:trHeight w:val="286"/>
              <w:jc w:val="center"/>
            </w:trPr>
            <w:tc>
              <w:tcPr>
                <w:tcW w:w="4759" w:type="dxa"/>
                <w:vAlign w:val="center"/>
              </w:tcPr>
              <w:p w14:paraId="06D2B3EB" w14:textId="77777777" w:rsidR="002D0AE7" w:rsidRDefault="00333EBB">
                <w:pPr>
                  <w:rPr>
                    <w:rFonts w:hint="eastAsia"/>
                    <w:sz w:val="21"/>
                    <w:szCs w:val="21"/>
                  </w:rPr>
                </w:pPr>
                <w:r>
                  <w:rPr>
                    <w:rFonts w:hint="eastAsia"/>
                    <w:sz w:val="21"/>
                    <w:szCs w:val="21"/>
                  </w:rPr>
                  <w:t>地塞米松磷酸钠注射液产业化项目</w:t>
                </w:r>
              </w:p>
            </w:tc>
            <w:tc>
              <w:tcPr>
                <w:tcW w:w="2197" w:type="dxa"/>
                <w:vAlign w:val="center"/>
              </w:tcPr>
              <w:p w14:paraId="5C4CDF7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680,416.75</w:t>
                </w:r>
              </w:p>
            </w:tc>
            <w:tc>
              <w:tcPr>
                <w:tcW w:w="2082" w:type="dxa"/>
                <w:vAlign w:val="center"/>
              </w:tcPr>
              <w:p w14:paraId="0C26A33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816,499.98</w:t>
                </w:r>
              </w:p>
            </w:tc>
          </w:tr>
          <w:tr w:rsidR="002D0AE7" w14:paraId="7AB81097" w14:textId="77777777">
            <w:trPr>
              <w:trHeight w:val="286"/>
              <w:jc w:val="center"/>
            </w:trPr>
            <w:tc>
              <w:tcPr>
                <w:tcW w:w="4759" w:type="dxa"/>
                <w:vAlign w:val="center"/>
              </w:tcPr>
              <w:p w14:paraId="1A71BB2A" w14:textId="77777777" w:rsidR="002D0AE7" w:rsidRDefault="00333EBB">
                <w:pPr>
                  <w:rPr>
                    <w:rFonts w:hint="eastAsia"/>
                    <w:sz w:val="21"/>
                    <w:szCs w:val="21"/>
                  </w:rPr>
                </w:pPr>
                <w:r>
                  <w:rPr>
                    <w:rFonts w:hint="eastAsia"/>
                    <w:sz w:val="21"/>
                    <w:szCs w:val="21"/>
                  </w:rPr>
                  <w:t>输液车间项目</w:t>
                </w:r>
              </w:p>
            </w:tc>
            <w:tc>
              <w:tcPr>
                <w:tcW w:w="2197" w:type="dxa"/>
                <w:vAlign w:val="center"/>
              </w:tcPr>
              <w:p w14:paraId="1825F27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83,333.25</w:t>
                </w:r>
              </w:p>
            </w:tc>
            <w:tc>
              <w:tcPr>
                <w:tcW w:w="2082" w:type="dxa"/>
                <w:vAlign w:val="center"/>
              </w:tcPr>
              <w:p w14:paraId="02D32ED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100,000.02</w:t>
                </w:r>
              </w:p>
            </w:tc>
          </w:tr>
          <w:tr w:rsidR="002D0AE7" w14:paraId="33E85CD9" w14:textId="77777777">
            <w:trPr>
              <w:trHeight w:val="286"/>
              <w:jc w:val="center"/>
            </w:trPr>
            <w:tc>
              <w:tcPr>
                <w:tcW w:w="4759" w:type="dxa"/>
                <w:vAlign w:val="center"/>
              </w:tcPr>
              <w:p w14:paraId="02617D0D" w14:textId="77777777" w:rsidR="002D0AE7" w:rsidRDefault="00333EBB">
                <w:pPr>
                  <w:rPr>
                    <w:rFonts w:hint="eastAsia"/>
                    <w:sz w:val="21"/>
                    <w:szCs w:val="21"/>
                  </w:rPr>
                </w:pPr>
                <w:r>
                  <w:rPr>
                    <w:rFonts w:hint="eastAsia"/>
                    <w:sz w:val="21"/>
                    <w:szCs w:val="21"/>
                  </w:rPr>
                  <w:t>固定资产补助项目</w:t>
                </w:r>
              </w:p>
            </w:tc>
            <w:tc>
              <w:tcPr>
                <w:tcW w:w="2197" w:type="dxa"/>
                <w:vAlign w:val="center"/>
              </w:tcPr>
              <w:p w14:paraId="7107206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74,575.02</w:t>
                </w:r>
              </w:p>
            </w:tc>
            <w:tc>
              <w:tcPr>
                <w:tcW w:w="2082" w:type="dxa"/>
                <w:vAlign w:val="center"/>
              </w:tcPr>
              <w:p w14:paraId="39740B7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74,575.02</w:t>
                </w:r>
              </w:p>
            </w:tc>
          </w:tr>
          <w:tr w:rsidR="002D0AE7" w14:paraId="09869547" w14:textId="77777777">
            <w:trPr>
              <w:trHeight w:val="286"/>
              <w:jc w:val="center"/>
            </w:trPr>
            <w:tc>
              <w:tcPr>
                <w:tcW w:w="4759" w:type="dxa"/>
                <w:vAlign w:val="center"/>
              </w:tcPr>
              <w:p w14:paraId="743EC666" w14:textId="77777777" w:rsidR="002D0AE7" w:rsidRDefault="00333EBB">
                <w:pPr>
                  <w:rPr>
                    <w:rFonts w:hint="eastAsia"/>
                    <w:sz w:val="21"/>
                    <w:szCs w:val="21"/>
                  </w:rPr>
                </w:pPr>
                <w:r>
                  <w:rPr>
                    <w:rFonts w:hint="eastAsia"/>
                    <w:sz w:val="21"/>
                    <w:szCs w:val="21"/>
                  </w:rPr>
                  <w:t>工业经济平稳专项资金</w:t>
                </w:r>
              </w:p>
            </w:tc>
            <w:tc>
              <w:tcPr>
                <w:tcW w:w="2197" w:type="dxa"/>
                <w:vAlign w:val="center"/>
              </w:tcPr>
              <w:p w14:paraId="274E218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34,999.98</w:t>
                </w:r>
              </w:p>
            </w:tc>
            <w:tc>
              <w:tcPr>
                <w:tcW w:w="2082" w:type="dxa"/>
                <w:vAlign w:val="center"/>
              </w:tcPr>
              <w:p w14:paraId="7B69163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34,999.98</w:t>
                </w:r>
              </w:p>
            </w:tc>
          </w:tr>
          <w:tr w:rsidR="002D0AE7" w14:paraId="378AA3CE" w14:textId="77777777">
            <w:trPr>
              <w:trHeight w:val="286"/>
              <w:jc w:val="center"/>
            </w:trPr>
            <w:tc>
              <w:tcPr>
                <w:tcW w:w="4759" w:type="dxa"/>
                <w:vAlign w:val="center"/>
              </w:tcPr>
              <w:p w14:paraId="0B196EFB" w14:textId="77777777" w:rsidR="002D0AE7" w:rsidRDefault="00333EBB">
                <w:pPr>
                  <w:rPr>
                    <w:rFonts w:hint="eastAsia"/>
                    <w:sz w:val="21"/>
                    <w:szCs w:val="21"/>
                  </w:rPr>
                </w:pPr>
                <w:r>
                  <w:rPr>
                    <w:rFonts w:hint="eastAsia"/>
                    <w:sz w:val="21"/>
                    <w:szCs w:val="21"/>
                  </w:rPr>
                  <w:t>土地奖励款</w:t>
                </w:r>
              </w:p>
            </w:tc>
            <w:tc>
              <w:tcPr>
                <w:tcW w:w="2197" w:type="dxa"/>
                <w:vAlign w:val="center"/>
              </w:tcPr>
              <w:p w14:paraId="69C350C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192,019.02</w:t>
                </w:r>
              </w:p>
            </w:tc>
            <w:tc>
              <w:tcPr>
                <w:tcW w:w="2082" w:type="dxa"/>
                <w:vAlign w:val="center"/>
              </w:tcPr>
              <w:p w14:paraId="04FEA19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192,019.02</w:t>
                </w:r>
              </w:p>
            </w:tc>
          </w:tr>
          <w:tr w:rsidR="002D0AE7" w14:paraId="730C9399" w14:textId="77777777">
            <w:trPr>
              <w:trHeight w:val="286"/>
              <w:jc w:val="center"/>
            </w:trPr>
            <w:tc>
              <w:tcPr>
                <w:tcW w:w="4759" w:type="dxa"/>
                <w:vAlign w:val="center"/>
              </w:tcPr>
              <w:p w14:paraId="5CBAF046" w14:textId="77777777" w:rsidR="002D0AE7" w:rsidRDefault="00333EBB">
                <w:pPr>
                  <w:rPr>
                    <w:rFonts w:hint="eastAsia"/>
                    <w:sz w:val="21"/>
                    <w:szCs w:val="21"/>
                  </w:rPr>
                </w:pPr>
                <w:r>
                  <w:rPr>
                    <w:rFonts w:hint="eastAsia"/>
                    <w:sz w:val="21"/>
                    <w:szCs w:val="21"/>
                  </w:rPr>
                  <w:t>科技领军企业项目资金</w:t>
                </w:r>
              </w:p>
            </w:tc>
            <w:tc>
              <w:tcPr>
                <w:tcW w:w="2197" w:type="dxa"/>
                <w:vAlign w:val="center"/>
              </w:tcPr>
              <w:p w14:paraId="0AA0907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58,252.43</w:t>
                </w:r>
              </w:p>
            </w:tc>
            <w:tc>
              <w:tcPr>
                <w:tcW w:w="2082" w:type="dxa"/>
                <w:vAlign w:val="center"/>
              </w:tcPr>
              <w:p w14:paraId="4CD3C3D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58,252.43</w:t>
                </w:r>
              </w:p>
            </w:tc>
          </w:tr>
          <w:tr w:rsidR="002D0AE7" w14:paraId="77800ADF" w14:textId="77777777">
            <w:trPr>
              <w:trHeight w:val="286"/>
              <w:jc w:val="center"/>
            </w:trPr>
            <w:tc>
              <w:tcPr>
                <w:tcW w:w="4759" w:type="dxa"/>
                <w:vAlign w:val="center"/>
              </w:tcPr>
              <w:p w14:paraId="448750E3" w14:textId="77777777" w:rsidR="002D0AE7" w:rsidRDefault="00333EBB">
                <w:pPr>
                  <w:rPr>
                    <w:rFonts w:hint="eastAsia"/>
                    <w:sz w:val="21"/>
                    <w:szCs w:val="21"/>
                  </w:rPr>
                </w:pPr>
                <w:r>
                  <w:rPr>
                    <w:rFonts w:hint="eastAsia"/>
                    <w:sz w:val="21"/>
                    <w:szCs w:val="21"/>
                  </w:rPr>
                  <w:t>高端甾体制剂技术研发项目资金</w:t>
                </w:r>
              </w:p>
            </w:tc>
            <w:tc>
              <w:tcPr>
                <w:tcW w:w="2197" w:type="dxa"/>
                <w:vAlign w:val="center"/>
              </w:tcPr>
              <w:p w14:paraId="1636FB7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58,252.43</w:t>
                </w:r>
              </w:p>
            </w:tc>
            <w:tc>
              <w:tcPr>
                <w:tcW w:w="2082" w:type="dxa"/>
                <w:vAlign w:val="center"/>
              </w:tcPr>
              <w:p w14:paraId="565AE13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58,252.43</w:t>
                </w:r>
              </w:p>
            </w:tc>
          </w:tr>
          <w:tr w:rsidR="002D0AE7" w14:paraId="0D99C90D" w14:textId="77777777">
            <w:trPr>
              <w:trHeight w:val="286"/>
              <w:jc w:val="center"/>
            </w:trPr>
            <w:tc>
              <w:tcPr>
                <w:tcW w:w="4759" w:type="dxa"/>
                <w:vAlign w:val="center"/>
              </w:tcPr>
              <w:p w14:paraId="062DF6D0" w14:textId="77777777" w:rsidR="002D0AE7" w:rsidRDefault="00333EBB">
                <w:pPr>
                  <w:rPr>
                    <w:rFonts w:hint="eastAsia"/>
                    <w:sz w:val="21"/>
                    <w:szCs w:val="21"/>
                  </w:rPr>
                </w:pPr>
                <w:r>
                  <w:rPr>
                    <w:rFonts w:hint="eastAsia"/>
                    <w:sz w:val="21"/>
                    <w:szCs w:val="21"/>
                  </w:rPr>
                  <w:t>氨基酸原料药自动化车间改造</w:t>
                </w:r>
              </w:p>
            </w:tc>
            <w:tc>
              <w:tcPr>
                <w:tcW w:w="2197" w:type="dxa"/>
                <w:vAlign w:val="center"/>
              </w:tcPr>
              <w:p w14:paraId="2C624F5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120,021.36</w:t>
                </w:r>
              </w:p>
            </w:tc>
            <w:tc>
              <w:tcPr>
                <w:tcW w:w="2082" w:type="dxa"/>
                <w:vAlign w:val="center"/>
              </w:tcPr>
              <w:p w14:paraId="5289DAC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120,021.36</w:t>
                </w:r>
              </w:p>
            </w:tc>
          </w:tr>
          <w:tr w:rsidR="002D0AE7" w14:paraId="50FC43E9" w14:textId="77777777">
            <w:trPr>
              <w:trHeight w:val="286"/>
              <w:jc w:val="center"/>
            </w:trPr>
            <w:tc>
              <w:tcPr>
                <w:tcW w:w="4759" w:type="dxa"/>
                <w:vAlign w:val="center"/>
              </w:tcPr>
              <w:p w14:paraId="5FC2AE45" w14:textId="77777777" w:rsidR="002D0AE7" w:rsidRDefault="00333EBB">
                <w:pPr>
                  <w:rPr>
                    <w:rFonts w:hint="eastAsia"/>
                    <w:sz w:val="21"/>
                    <w:szCs w:val="21"/>
                  </w:rPr>
                </w:pPr>
                <w:r>
                  <w:rPr>
                    <w:rFonts w:hint="eastAsia"/>
                    <w:sz w:val="21"/>
                    <w:szCs w:val="21"/>
                  </w:rPr>
                  <w:t>挥发性有机物废气在线监测设施建设项目</w:t>
                </w:r>
              </w:p>
            </w:tc>
            <w:tc>
              <w:tcPr>
                <w:tcW w:w="2197" w:type="dxa"/>
                <w:vAlign w:val="center"/>
              </w:tcPr>
              <w:p w14:paraId="4AA46FE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39,799.98</w:t>
                </w:r>
              </w:p>
            </w:tc>
            <w:tc>
              <w:tcPr>
                <w:tcW w:w="2082" w:type="dxa"/>
                <w:vAlign w:val="center"/>
              </w:tcPr>
              <w:p w14:paraId="2165947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57,000.00</w:t>
                </w:r>
              </w:p>
            </w:tc>
          </w:tr>
          <w:tr w:rsidR="002D0AE7" w14:paraId="11C2874F" w14:textId="77777777">
            <w:trPr>
              <w:trHeight w:val="286"/>
              <w:jc w:val="center"/>
            </w:trPr>
            <w:tc>
              <w:tcPr>
                <w:tcW w:w="4759" w:type="dxa"/>
                <w:vAlign w:val="center"/>
              </w:tcPr>
              <w:p w14:paraId="78C61676" w14:textId="77777777" w:rsidR="002D0AE7" w:rsidRDefault="00333EBB">
                <w:pPr>
                  <w:rPr>
                    <w:rFonts w:hint="eastAsia"/>
                    <w:sz w:val="21"/>
                    <w:szCs w:val="21"/>
                  </w:rPr>
                </w:pPr>
                <w:r>
                  <w:rPr>
                    <w:rFonts w:hint="eastAsia"/>
                    <w:sz w:val="21"/>
                    <w:szCs w:val="21"/>
                  </w:rPr>
                  <w:t>醋地片质量和疗效一致性评价研究</w:t>
                </w:r>
              </w:p>
            </w:tc>
            <w:tc>
              <w:tcPr>
                <w:tcW w:w="2197" w:type="dxa"/>
                <w:vAlign w:val="center"/>
              </w:tcPr>
              <w:p w14:paraId="62589E6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93,355.44</w:t>
                </w:r>
              </w:p>
            </w:tc>
            <w:tc>
              <w:tcPr>
                <w:tcW w:w="2082" w:type="dxa"/>
                <w:vAlign w:val="center"/>
              </w:tcPr>
              <w:p w14:paraId="7CC0F6A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36,268.50</w:t>
                </w:r>
              </w:p>
            </w:tc>
          </w:tr>
          <w:tr w:rsidR="002D0AE7" w14:paraId="289613C9" w14:textId="77777777">
            <w:trPr>
              <w:trHeight w:val="286"/>
              <w:jc w:val="center"/>
            </w:trPr>
            <w:tc>
              <w:tcPr>
                <w:tcW w:w="4759" w:type="dxa"/>
                <w:vAlign w:val="center"/>
              </w:tcPr>
              <w:p w14:paraId="6ECDAF3F" w14:textId="77777777" w:rsidR="002D0AE7" w:rsidRDefault="00333EBB">
                <w:pPr>
                  <w:rPr>
                    <w:rFonts w:hint="eastAsia"/>
                    <w:sz w:val="21"/>
                    <w:szCs w:val="21"/>
                  </w:rPr>
                </w:pPr>
                <w:r>
                  <w:rPr>
                    <w:rFonts w:hint="eastAsia"/>
                    <w:sz w:val="21"/>
                    <w:szCs w:val="21"/>
                  </w:rPr>
                  <w:t>中央应急物资保障体系补助资金</w:t>
                </w:r>
              </w:p>
            </w:tc>
            <w:tc>
              <w:tcPr>
                <w:tcW w:w="2197" w:type="dxa"/>
                <w:vAlign w:val="center"/>
              </w:tcPr>
              <w:p w14:paraId="63C9040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88,631.70</w:t>
                </w:r>
              </w:p>
            </w:tc>
            <w:tc>
              <w:tcPr>
                <w:tcW w:w="2082" w:type="dxa"/>
                <w:vAlign w:val="center"/>
              </w:tcPr>
              <w:p w14:paraId="31ABD84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88,631.70</w:t>
                </w:r>
              </w:p>
            </w:tc>
          </w:tr>
          <w:tr w:rsidR="002D0AE7" w14:paraId="4771E426" w14:textId="77777777">
            <w:trPr>
              <w:trHeight w:val="286"/>
              <w:jc w:val="center"/>
            </w:trPr>
            <w:tc>
              <w:tcPr>
                <w:tcW w:w="4759" w:type="dxa"/>
                <w:vAlign w:val="center"/>
              </w:tcPr>
              <w:p w14:paraId="2081CBA1" w14:textId="77777777" w:rsidR="002D0AE7" w:rsidRDefault="00333EBB">
                <w:pPr>
                  <w:rPr>
                    <w:rFonts w:hint="eastAsia"/>
                    <w:sz w:val="21"/>
                    <w:szCs w:val="21"/>
                  </w:rPr>
                </w:pPr>
                <w:r>
                  <w:rPr>
                    <w:rFonts w:hint="eastAsia"/>
                    <w:sz w:val="21"/>
                    <w:szCs w:val="21"/>
                  </w:rPr>
                  <w:t>技术中心创新能力建设项目</w:t>
                </w:r>
              </w:p>
            </w:tc>
            <w:tc>
              <w:tcPr>
                <w:tcW w:w="2197" w:type="dxa"/>
                <w:vAlign w:val="center"/>
              </w:tcPr>
              <w:p w14:paraId="2E6DAF8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69,057.00</w:t>
                </w:r>
              </w:p>
            </w:tc>
            <w:tc>
              <w:tcPr>
                <w:tcW w:w="2082" w:type="dxa"/>
                <w:vAlign w:val="center"/>
              </w:tcPr>
              <w:p w14:paraId="40F30E2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69,057.00</w:t>
                </w:r>
              </w:p>
            </w:tc>
          </w:tr>
          <w:tr w:rsidR="002D0AE7" w14:paraId="18240D4B" w14:textId="77777777">
            <w:trPr>
              <w:trHeight w:val="286"/>
              <w:jc w:val="center"/>
            </w:trPr>
            <w:tc>
              <w:tcPr>
                <w:tcW w:w="4759" w:type="dxa"/>
                <w:vAlign w:val="center"/>
              </w:tcPr>
              <w:p w14:paraId="774A6FAD" w14:textId="77777777" w:rsidR="002D0AE7" w:rsidRDefault="00333EBB">
                <w:pPr>
                  <w:rPr>
                    <w:rFonts w:hint="eastAsia"/>
                    <w:sz w:val="21"/>
                    <w:szCs w:val="21"/>
                  </w:rPr>
                </w:pPr>
                <w:r>
                  <w:rPr>
                    <w:rFonts w:hint="eastAsia"/>
                    <w:sz w:val="21"/>
                    <w:szCs w:val="21"/>
                  </w:rPr>
                  <w:lastRenderedPageBreak/>
                  <w:t>依碳酸氯替泼诺滴眼液</w:t>
                </w:r>
              </w:p>
            </w:tc>
            <w:tc>
              <w:tcPr>
                <w:tcW w:w="2197" w:type="dxa"/>
                <w:vAlign w:val="center"/>
              </w:tcPr>
              <w:p w14:paraId="7DAB32E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464,378.05</w:t>
                </w:r>
              </w:p>
            </w:tc>
            <w:tc>
              <w:tcPr>
                <w:tcW w:w="2082" w:type="dxa"/>
                <w:vAlign w:val="center"/>
              </w:tcPr>
              <w:p w14:paraId="2BCDFB0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464,378.05</w:t>
                </w:r>
              </w:p>
            </w:tc>
          </w:tr>
          <w:tr w:rsidR="002D0AE7" w14:paraId="1BC955DB" w14:textId="77777777">
            <w:trPr>
              <w:trHeight w:val="286"/>
              <w:jc w:val="center"/>
            </w:trPr>
            <w:tc>
              <w:tcPr>
                <w:tcW w:w="4759" w:type="dxa"/>
                <w:vAlign w:val="center"/>
              </w:tcPr>
              <w:p w14:paraId="3A1EB03E" w14:textId="77777777" w:rsidR="002D0AE7" w:rsidRDefault="00333EBB">
                <w:pPr>
                  <w:rPr>
                    <w:rFonts w:hint="eastAsia"/>
                    <w:sz w:val="21"/>
                    <w:szCs w:val="21"/>
                  </w:rPr>
                </w:pPr>
                <w:r>
                  <w:rPr>
                    <w:rFonts w:hint="eastAsia"/>
                    <w:sz w:val="21"/>
                    <w:szCs w:val="21"/>
                  </w:rPr>
                  <w:t>戊酸二氟可龙及乳膏的研发专项资金</w:t>
                </w:r>
              </w:p>
            </w:tc>
            <w:tc>
              <w:tcPr>
                <w:tcW w:w="2197" w:type="dxa"/>
                <w:vAlign w:val="center"/>
              </w:tcPr>
              <w:p w14:paraId="465C04A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57,142.86</w:t>
                </w:r>
              </w:p>
            </w:tc>
            <w:tc>
              <w:tcPr>
                <w:tcW w:w="2082" w:type="dxa"/>
                <w:vAlign w:val="center"/>
              </w:tcPr>
              <w:p w14:paraId="532A609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57,142.86</w:t>
                </w:r>
              </w:p>
            </w:tc>
          </w:tr>
          <w:tr w:rsidR="002D0AE7" w14:paraId="14A7F4E5" w14:textId="77777777">
            <w:trPr>
              <w:trHeight w:val="286"/>
              <w:jc w:val="center"/>
            </w:trPr>
            <w:tc>
              <w:tcPr>
                <w:tcW w:w="4759" w:type="dxa"/>
                <w:vAlign w:val="center"/>
              </w:tcPr>
              <w:p w14:paraId="15EF7ED7" w14:textId="77777777" w:rsidR="002D0AE7" w:rsidRDefault="00333EBB">
                <w:pPr>
                  <w:rPr>
                    <w:rFonts w:hint="eastAsia"/>
                    <w:sz w:val="21"/>
                    <w:szCs w:val="21"/>
                  </w:rPr>
                </w:pPr>
                <w:r>
                  <w:rPr>
                    <w:rFonts w:hint="eastAsia"/>
                    <w:sz w:val="21"/>
                    <w:szCs w:val="21"/>
                  </w:rPr>
                  <w:t>FDA</w:t>
                </w:r>
                <w:r>
                  <w:rPr>
                    <w:rFonts w:hint="eastAsia"/>
                    <w:sz w:val="21"/>
                    <w:szCs w:val="21"/>
                  </w:rPr>
                  <w:t>软膏生产线改造产业化项目专项资金</w:t>
                </w:r>
              </w:p>
            </w:tc>
            <w:tc>
              <w:tcPr>
                <w:tcW w:w="2197" w:type="dxa"/>
                <w:vAlign w:val="center"/>
              </w:tcPr>
              <w:p w14:paraId="1FE1AE2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22,456.08</w:t>
                </w:r>
              </w:p>
            </w:tc>
            <w:tc>
              <w:tcPr>
                <w:tcW w:w="2082" w:type="dxa"/>
                <w:vAlign w:val="center"/>
              </w:tcPr>
              <w:p w14:paraId="2FE238C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22,456.08</w:t>
                </w:r>
              </w:p>
            </w:tc>
          </w:tr>
          <w:tr w:rsidR="002D0AE7" w14:paraId="09D4E8B2" w14:textId="77777777">
            <w:trPr>
              <w:trHeight w:val="483"/>
              <w:jc w:val="center"/>
            </w:trPr>
            <w:tc>
              <w:tcPr>
                <w:tcW w:w="4759" w:type="dxa"/>
                <w:vAlign w:val="center"/>
              </w:tcPr>
              <w:p w14:paraId="0A6AB230" w14:textId="77777777" w:rsidR="002D0AE7" w:rsidRDefault="00333EBB">
                <w:pPr>
                  <w:rPr>
                    <w:rFonts w:hint="eastAsia"/>
                    <w:sz w:val="21"/>
                    <w:szCs w:val="21"/>
                  </w:rPr>
                </w:pPr>
                <w:r>
                  <w:rPr>
                    <w:rFonts w:hint="eastAsia"/>
                    <w:sz w:val="21"/>
                    <w:szCs w:val="21"/>
                  </w:rPr>
                  <w:t>重酒石酸去甲肾上腺素注射液质量和疗效一致性评价研究财政补贴资金</w:t>
                </w:r>
              </w:p>
            </w:tc>
            <w:tc>
              <w:tcPr>
                <w:tcW w:w="2197" w:type="dxa"/>
                <w:vAlign w:val="center"/>
              </w:tcPr>
              <w:p w14:paraId="3A42895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49,999.98</w:t>
                </w:r>
              </w:p>
            </w:tc>
            <w:tc>
              <w:tcPr>
                <w:tcW w:w="2082" w:type="dxa"/>
                <w:vAlign w:val="center"/>
              </w:tcPr>
              <w:p w14:paraId="259CC24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49,999.98</w:t>
                </w:r>
              </w:p>
            </w:tc>
          </w:tr>
          <w:tr w:rsidR="002D0AE7" w14:paraId="140391AC" w14:textId="77777777">
            <w:trPr>
              <w:trHeight w:val="286"/>
              <w:jc w:val="center"/>
            </w:trPr>
            <w:tc>
              <w:tcPr>
                <w:tcW w:w="4759" w:type="dxa"/>
                <w:vAlign w:val="center"/>
              </w:tcPr>
              <w:p w14:paraId="47EFA72A" w14:textId="77777777" w:rsidR="002D0AE7" w:rsidRDefault="00333EBB">
                <w:pPr>
                  <w:rPr>
                    <w:rFonts w:hint="eastAsia"/>
                    <w:sz w:val="21"/>
                    <w:szCs w:val="21"/>
                  </w:rPr>
                </w:pPr>
                <w:r>
                  <w:rPr>
                    <w:rFonts w:hint="eastAsia"/>
                    <w:sz w:val="21"/>
                    <w:szCs w:val="21"/>
                  </w:rPr>
                  <w:t>制剂研发能力建设项目</w:t>
                </w:r>
              </w:p>
            </w:tc>
            <w:tc>
              <w:tcPr>
                <w:tcW w:w="2197" w:type="dxa"/>
                <w:vAlign w:val="center"/>
              </w:tcPr>
              <w:p w14:paraId="4FECE06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95,964.30</w:t>
                </w:r>
              </w:p>
            </w:tc>
            <w:tc>
              <w:tcPr>
                <w:tcW w:w="2082" w:type="dxa"/>
                <w:vAlign w:val="center"/>
              </w:tcPr>
              <w:p w14:paraId="4D6AC48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95,964.30</w:t>
                </w:r>
              </w:p>
            </w:tc>
          </w:tr>
          <w:tr w:rsidR="002D0AE7" w14:paraId="3BB04C5C" w14:textId="77777777">
            <w:trPr>
              <w:trHeight w:val="286"/>
              <w:jc w:val="center"/>
            </w:trPr>
            <w:tc>
              <w:tcPr>
                <w:tcW w:w="4759" w:type="dxa"/>
                <w:vAlign w:val="center"/>
              </w:tcPr>
              <w:p w14:paraId="67F8204A" w14:textId="77777777" w:rsidR="002D0AE7" w:rsidRDefault="00333EBB">
                <w:pPr>
                  <w:rPr>
                    <w:rFonts w:hint="eastAsia"/>
                    <w:sz w:val="21"/>
                    <w:szCs w:val="21"/>
                  </w:rPr>
                </w:pPr>
                <w:r>
                  <w:rPr>
                    <w:rFonts w:hint="eastAsia"/>
                    <w:sz w:val="21"/>
                    <w:szCs w:val="21"/>
                  </w:rPr>
                  <w:t>2020</w:t>
                </w:r>
                <w:r>
                  <w:rPr>
                    <w:rFonts w:hint="eastAsia"/>
                    <w:sz w:val="21"/>
                    <w:szCs w:val="21"/>
                  </w:rPr>
                  <w:t>年市级高技能人才基地建设资金</w:t>
                </w:r>
              </w:p>
            </w:tc>
            <w:tc>
              <w:tcPr>
                <w:tcW w:w="2197" w:type="dxa"/>
                <w:vAlign w:val="center"/>
              </w:tcPr>
              <w:p w14:paraId="34FBA88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137,691.12</w:t>
                </w:r>
              </w:p>
            </w:tc>
            <w:tc>
              <w:tcPr>
                <w:tcW w:w="2082" w:type="dxa"/>
                <w:vAlign w:val="center"/>
              </w:tcPr>
              <w:p w14:paraId="357DF1C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137,691.12</w:t>
                </w:r>
              </w:p>
            </w:tc>
          </w:tr>
          <w:tr w:rsidR="002D0AE7" w14:paraId="3DE10B4D" w14:textId="77777777">
            <w:trPr>
              <w:trHeight w:val="286"/>
              <w:jc w:val="center"/>
            </w:trPr>
            <w:tc>
              <w:tcPr>
                <w:tcW w:w="4759" w:type="dxa"/>
                <w:vAlign w:val="center"/>
              </w:tcPr>
              <w:p w14:paraId="756E37B1" w14:textId="77777777" w:rsidR="002D0AE7" w:rsidRDefault="00333EBB">
                <w:pPr>
                  <w:rPr>
                    <w:rFonts w:hint="eastAsia"/>
                    <w:sz w:val="21"/>
                    <w:szCs w:val="21"/>
                  </w:rPr>
                </w:pPr>
                <w:r>
                  <w:rPr>
                    <w:rFonts w:hint="eastAsia"/>
                    <w:sz w:val="21"/>
                    <w:szCs w:val="21"/>
                  </w:rPr>
                  <w:t>四化发展专项资金</w:t>
                </w:r>
              </w:p>
            </w:tc>
            <w:tc>
              <w:tcPr>
                <w:tcW w:w="2197" w:type="dxa"/>
                <w:vAlign w:val="center"/>
              </w:tcPr>
              <w:p w14:paraId="205B6C1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40,825.74</w:t>
                </w:r>
              </w:p>
            </w:tc>
            <w:tc>
              <w:tcPr>
                <w:tcW w:w="2082" w:type="dxa"/>
                <w:vAlign w:val="center"/>
              </w:tcPr>
              <w:p w14:paraId="6E4DE89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40,825.74</w:t>
                </w:r>
              </w:p>
            </w:tc>
          </w:tr>
          <w:tr w:rsidR="002D0AE7" w14:paraId="093DD452" w14:textId="77777777">
            <w:trPr>
              <w:trHeight w:val="286"/>
              <w:jc w:val="center"/>
            </w:trPr>
            <w:tc>
              <w:tcPr>
                <w:tcW w:w="4759" w:type="dxa"/>
                <w:vAlign w:val="center"/>
              </w:tcPr>
              <w:p w14:paraId="7D7B5B04" w14:textId="77777777" w:rsidR="002D0AE7" w:rsidRDefault="00333EBB">
                <w:pPr>
                  <w:rPr>
                    <w:rFonts w:hint="eastAsia"/>
                    <w:sz w:val="21"/>
                    <w:szCs w:val="21"/>
                  </w:rPr>
                </w:pPr>
                <w:r>
                  <w:rPr>
                    <w:rFonts w:hint="eastAsia"/>
                    <w:sz w:val="21"/>
                    <w:szCs w:val="21"/>
                  </w:rPr>
                  <w:t>972</w:t>
                </w:r>
                <w:r>
                  <w:rPr>
                    <w:rFonts w:hint="eastAsia"/>
                    <w:sz w:val="21"/>
                    <w:szCs w:val="21"/>
                  </w:rPr>
                  <w:t>万元政府补助</w:t>
                </w:r>
              </w:p>
            </w:tc>
            <w:tc>
              <w:tcPr>
                <w:tcW w:w="2197" w:type="dxa"/>
                <w:vAlign w:val="center"/>
              </w:tcPr>
              <w:p w14:paraId="005FA4B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340,094.76</w:t>
                </w:r>
              </w:p>
            </w:tc>
            <w:tc>
              <w:tcPr>
                <w:tcW w:w="2082" w:type="dxa"/>
                <w:vAlign w:val="center"/>
              </w:tcPr>
              <w:p w14:paraId="703DADB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340,094.76</w:t>
                </w:r>
              </w:p>
            </w:tc>
          </w:tr>
          <w:tr w:rsidR="002D0AE7" w14:paraId="7C37E535" w14:textId="77777777">
            <w:trPr>
              <w:trHeight w:val="286"/>
              <w:jc w:val="center"/>
            </w:trPr>
            <w:tc>
              <w:tcPr>
                <w:tcW w:w="4759" w:type="dxa"/>
                <w:vAlign w:val="center"/>
              </w:tcPr>
              <w:p w14:paraId="24070E4E" w14:textId="77777777" w:rsidR="002D0AE7" w:rsidRDefault="00333EBB">
                <w:pPr>
                  <w:rPr>
                    <w:rFonts w:hint="eastAsia"/>
                    <w:sz w:val="21"/>
                    <w:szCs w:val="21"/>
                  </w:rPr>
                </w:pPr>
                <w:r>
                  <w:rPr>
                    <w:rFonts w:hint="eastAsia"/>
                    <w:sz w:val="21"/>
                    <w:szCs w:val="21"/>
                  </w:rPr>
                  <w:t>2021</w:t>
                </w:r>
                <w:r>
                  <w:rPr>
                    <w:rFonts w:hint="eastAsia"/>
                    <w:sz w:val="21"/>
                    <w:szCs w:val="21"/>
                  </w:rPr>
                  <w:t>年立项智能制造专项资金（市级）</w:t>
                </w:r>
              </w:p>
            </w:tc>
            <w:tc>
              <w:tcPr>
                <w:tcW w:w="2197" w:type="dxa"/>
                <w:vAlign w:val="center"/>
              </w:tcPr>
              <w:p w14:paraId="3DBC88D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127,260.84</w:t>
                </w:r>
              </w:p>
            </w:tc>
            <w:tc>
              <w:tcPr>
                <w:tcW w:w="2082" w:type="dxa"/>
                <w:vAlign w:val="center"/>
              </w:tcPr>
              <w:p w14:paraId="04DBB83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70D5367E" w14:textId="77777777">
            <w:trPr>
              <w:trHeight w:val="286"/>
              <w:jc w:val="center"/>
            </w:trPr>
            <w:tc>
              <w:tcPr>
                <w:tcW w:w="4759" w:type="dxa"/>
                <w:vAlign w:val="center"/>
              </w:tcPr>
              <w:p w14:paraId="0761156C" w14:textId="77777777" w:rsidR="002D0AE7" w:rsidRDefault="00333EBB">
                <w:pPr>
                  <w:rPr>
                    <w:rFonts w:hint="eastAsia"/>
                    <w:sz w:val="21"/>
                    <w:szCs w:val="21"/>
                  </w:rPr>
                </w:pPr>
                <w:r>
                  <w:rPr>
                    <w:rFonts w:hint="eastAsia"/>
                    <w:sz w:val="21"/>
                    <w:szCs w:val="21"/>
                  </w:rPr>
                  <w:t>2021</w:t>
                </w:r>
                <w:r>
                  <w:rPr>
                    <w:rFonts w:hint="eastAsia"/>
                    <w:sz w:val="21"/>
                    <w:szCs w:val="21"/>
                  </w:rPr>
                  <w:t>年立项智能制造专项资金（区级）</w:t>
                </w:r>
              </w:p>
            </w:tc>
            <w:tc>
              <w:tcPr>
                <w:tcW w:w="2197" w:type="dxa"/>
                <w:vAlign w:val="center"/>
              </w:tcPr>
              <w:p w14:paraId="327F8AC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127,260.84</w:t>
                </w:r>
              </w:p>
            </w:tc>
            <w:tc>
              <w:tcPr>
                <w:tcW w:w="2082" w:type="dxa"/>
                <w:vAlign w:val="center"/>
              </w:tcPr>
              <w:p w14:paraId="61FAE2A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39042778" w14:textId="77777777">
            <w:trPr>
              <w:trHeight w:val="286"/>
              <w:jc w:val="center"/>
            </w:trPr>
            <w:tc>
              <w:tcPr>
                <w:tcW w:w="4759" w:type="dxa"/>
                <w:vAlign w:val="center"/>
              </w:tcPr>
              <w:p w14:paraId="3E987137" w14:textId="77777777" w:rsidR="002D0AE7" w:rsidRDefault="00333EBB">
                <w:pPr>
                  <w:rPr>
                    <w:rFonts w:hint="eastAsia"/>
                    <w:sz w:val="21"/>
                    <w:szCs w:val="21"/>
                  </w:rPr>
                </w:pPr>
                <w:r>
                  <w:rPr>
                    <w:rFonts w:hint="eastAsia"/>
                    <w:sz w:val="21"/>
                    <w:szCs w:val="21"/>
                  </w:rPr>
                  <w:t>提质增效示范项目（医药制造业）专项资金</w:t>
                </w:r>
              </w:p>
            </w:tc>
            <w:tc>
              <w:tcPr>
                <w:tcW w:w="2197" w:type="dxa"/>
                <w:vAlign w:val="center"/>
              </w:tcPr>
              <w:p w14:paraId="793C251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635,223.48</w:t>
                </w:r>
              </w:p>
            </w:tc>
            <w:tc>
              <w:tcPr>
                <w:tcW w:w="2082" w:type="dxa"/>
                <w:vAlign w:val="center"/>
              </w:tcPr>
              <w:p w14:paraId="1368DD7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534ED00E" w14:textId="77777777">
            <w:trPr>
              <w:trHeight w:val="286"/>
              <w:jc w:val="center"/>
            </w:trPr>
            <w:tc>
              <w:tcPr>
                <w:tcW w:w="4759" w:type="dxa"/>
                <w:vAlign w:val="center"/>
              </w:tcPr>
              <w:p w14:paraId="6F6B0440" w14:textId="77777777" w:rsidR="002D0AE7" w:rsidRDefault="00333EBB">
                <w:pPr>
                  <w:rPr>
                    <w:rFonts w:hint="eastAsia"/>
                    <w:sz w:val="21"/>
                    <w:szCs w:val="21"/>
                  </w:rPr>
                </w:pPr>
                <w:r>
                  <w:rPr>
                    <w:rFonts w:hint="eastAsia"/>
                    <w:sz w:val="21"/>
                    <w:szCs w:val="21"/>
                  </w:rPr>
                  <w:t>绿色发展专项扶持项目</w:t>
                </w:r>
                <w:r>
                  <w:rPr>
                    <w:rFonts w:hint="eastAsia"/>
                    <w:sz w:val="21"/>
                    <w:szCs w:val="21"/>
                  </w:rPr>
                  <w:t>-</w:t>
                </w:r>
                <w:r>
                  <w:rPr>
                    <w:rFonts w:hint="eastAsia"/>
                    <w:sz w:val="21"/>
                    <w:szCs w:val="21"/>
                  </w:rPr>
                  <w:t>污水处理回用项目</w:t>
                </w:r>
              </w:p>
            </w:tc>
            <w:tc>
              <w:tcPr>
                <w:tcW w:w="2197" w:type="dxa"/>
                <w:vAlign w:val="center"/>
              </w:tcPr>
              <w:p w14:paraId="778F0D6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31,227.15</w:t>
                </w:r>
              </w:p>
            </w:tc>
            <w:tc>
              <w:tcPr>
                <w:tcW w:w="2082" w:type="dxa"/>
                <w:vAlign w:val="center"/>
              </w:tcPr>
              <w:p w14:paraId="4601EF8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44800504" w14:textId="77777777">
            <w:trPr>
              <w:trHeight w:val="286"/>
              <w:jc w:val="center"/>
            </w:trPr>
            <w:tc>
              <w:tcPr>
                <w:tcW w:w="4759" w:type="dxa"/>
                <w:vAlign w:val="center"/>
              </w:tcPr>
              <w:p w14:paraId="119083E7" w14:textId="77777777" w:rsidR="002D0AE7" w:rsidRDefault="00333EBB">
                <w:pPr>
                  <w:rPr>
                    <w:rFonts w:hint="eastAsia"/>
                    <w:sz w:val="21"/>
                    <w:szCs w:val="21"/>
                  </w:rPr>
                </w:pPr>
                <w:r>
                  <w:rPr>
                    <w:rFonts w:hint="eastAsia"/>
                    <w:sz w:val="21"/>
                    <w:szCs w:val="21"/>
                  </w:rPr>
                  <w:t>绿色发展专项扶持项目</w:t>
                </w:r>
                <w:r>
                  <w:rPr>
                    <w:rFonts w:hint="eastAsia"/>
                    <w:sz w:val="21"/>
                    <w:szCs w:val="21"/>
                  </w:rPr>
                  <w:t>-</w:t>
                </w:r>
                <w:r>
                  <w:rPr>
                    <w:rFonts w:hint="eastAsia"/>
                    <w:sz w:val="21"/>
                    <w:szCs w:val="21"/>
                  </w:rPr>
                  <w:t>能源管理中心建设项目</w:t>
                </w:r>
              </w:p>
            </w:tc>
            <w:tc>
              <w:tcPr>
                <w:tcW w:w="2197" w:type="dxa"/>
                <w:vAlign w:val="center"/>
              </w:tcPr>
              <w:p w14:paraId="7020EE1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95,150.35</w:t>
                </w:r>
              </w:p>
            </w:tc>
            <w:tc>
              <w:tcPr>
                <w:tcW w:w="2082" w:type="dxa"/>
                <w:vAlign w:val="center"/>
              </w:tcPr>
              <w:p w14:paraId="3A5AB28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2BC26488" w14:textId="77777777">
            <w:trPr>
              <w:trHeight w:val="286"/>
              <w:jc w:val="center"/>
            </w:trPr>
            <w:tc>
              <w:tcPr>
                <w:tcW w:w="4759" w:type="dxa"/>
                <w:vAlign w:val="center"/>
              </w:tcPr>
              <w:p w14:paraId="7E4D3CB9" w14:textId="77777777" w:rsidR="002D0AE7" w:rsidRDefault="00333EBB">
                <w:pPr>
                  <w:rPr>
                    <w:rFonts w:hint="eastAsia"/>
                    <w:sz w:val="21"/>
                    <w:szCs w:val="21"/>
                  </w:rPr>
                </w:pPr>
                <w:r>
                  <w:rPr>
                    <w:rFonts w:hint="eastAsia"/>
                    <w:sz w:val="21"/>
                    <w:szCs w:val="21"/>
                  </w:rPr>
                  <w:t>突出贡献企业奖</w:t>
                </w:r>
              </w:p>
            </w:tc>
            <w:tc>
              <w:tcPr>
                <w:tcW w:w="2197" w:type="dxa"/>
                <w:vAlign w:val="center"/>
              </w:tcPr>
              <w:p w14:paraId="741F6FF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2,499.99</w:t>
                </w:r>
              </w:p>
            </w:tc>
            <w:tc>
              <w:tcPr>
                <w:tcW w:w="2082" w:type="dxa"/>
                <w:vAlign w:val="center"/>
              </w:tcPr>
              <w:p w14:paraId="7517C3E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6BFE1DCD" w14:textId="77777777">
            <w:trPr>
              <w:trHeight w:val="346"/>
              <w:jc w:val="center"/>
            </w:trPr>
            <w:tc>
              <w:tcPr>
                <w:tcW w:w="4759" w:type="dxa"/>
                <w:vAlign w:val="center"/>
              </w:tcPr>
              <w:p w14:paraId="5B978E7F" w14:textId="77777777" w:rsidR="002D0AE7" w:rsidRDefault="00333EBB">
                <w:pPr>
                  <w:jc w:val="center"/>
                  <w:rPr>
                    <w:rFonts w:hint="eastAsia"/>
                    <w:sz w:val="21"/>
                    <w:szCs w:val="21"/>
                  </w:rPr>
                </w:pPr>
                <w:r>
                  <w:rPr>
                    <w:rFonts w:hint="eastAsia"/>
                    <w:sz w:val="21"/>
                    <w:szCs w:val="21"/>
                  </w:rPr>
                  <w:t>合计</w:t>
                </w:r>
              </w:p>
            </w:tc>
            <w:tc>
              <w:tcPr>
                <w:tcW w:w="2197" w:type="dxa"/>
                <w:noWrap/>
                <w:vAlign w:val="center"/>
              </w:tcPr>
              <w:p w14:paraId="604276DA" w14:textId="77777777" w:rsidR="002D0AE7" w:rsidRDefault="00333EBB">
                <w:pPr>
                  <w:jc w:val="right"/>
                  <w:rPr>
                    <w:rFonts w:ascii="Times New Roman" w:hAnsi="Times New Roman" w:cs="Times New Roman"/>
                    <w:color w:val="000000"/>
                    <w:sz w:val="21"/>
                    <w:szCs w:val="21"/>
                  </w:rPr>
                </w:pPr>
                <w:r>
                  <w:rPr>
                    <w:rFonts w:ascii="Times New Roman" w:hAnsi="Times New Roman" w:cs="Times New Roman"/>
                    <w:color w:val="000000"/>
                    <w:sz w:val="21"/>
                    <w:szCs w:val="21"/>
                  </w:rPr>
                  <w:t>5,463,870.80</w:t>
                </w:r>
              </w:p>
            </w:tc>
            <w:tc>
              <w:tcPr>
                <w:tcW w:w="2082" w:type="dxa"/>
                <w:noWrap/>
                <w:vAlign w:val="center"/>
              </w:tcPr>
              <w:p w14:paraId="70D6656E" w14:textId="77777777" w:rsidR="002D0AE7" w:rsidRDefault="00333EBB">
                <w:pPr>
                  <w:jc w:val="right"/>
                  <w:rPr>
                    <w:rFonts w:ascii="Times New Roman" w:hAnsi="Times New Roman" w:cs="Times New Roman"/>
                    <w:color w:val="000000"/>
                    <w:sz w:val="21"/>
                    <w:szCs w:val="21"/>
                  </w:rPr>
                </w:pPr>
                <w:r>
                  <w:rPr>
                    <w:rFonts w:ascii="Times New Roman" w:hAnsi="Times New Roman" w:cs="Times New Roman"/>
                    <w:color w:val="000000"/>
                    <w:sz w:val="21"/>
                    <w:szCs w:val="21"/>
                  </w:rPr>
                  <w:t>4,590,838.03</w:t>
                </w:r>
              </w:p>
            </w:tc>
          </w:tr>
        </w:tbl>
        <w:p w14:paraId="0ECA3098" w14:textId="77777777" w:rsidR="002D0AE7" w:rsidRDefault="00333EBB">
          <w:pPr>
            <w:jc w:val="right"/>
            <w:rPr>
              <w:rFonts w:hint="eastAsia"/>
              <w:color w:val="000000" w:themeColor="text1"/>
            </w:rPr>
          </w:pPr>
          <w:r>
            <w:rPr>
              <w:rFonts w:hint="eastAsia"/>
              <w:color w:val="000000" w:themeColor="text1"/>
            </w:rPr>
            <w:t>单位：元</w:t>
          </w:r>
          <w:r>
            <w:rPr>
              <w:color w:val="000000" w:themeColor="text1"/>
            </w:rPr>
            <w:t>币种：人民币</w:t>
          </w:r>
        </w:p>
        <w:tbl>
          <w:tblPr>
            <w:tblStyle w:val="19"/>
            <w:tblW w:w="8957" w:type="dxa"/>
            <w:tblLook w:val="04A0" w:firstRow="1" w:lastRow="0" w:firstColumn="1" w:lastColumn="0" w:noHBand="0" w:noVBand="1"/>
          </w:tblPr>
          <w:tblGrid>
            <w:gridCol w:w="4248"/>
            <w:gridCol w:w="1570"/>
            <w:gridCol w:w="1548"/>
            <w:gridCol w:w="1591"/>
          </w:tblGrid>
          <w:tr w:rsidR="002D0AE7" w14:paraId="0F88C285" w14:textId="77777777">
            <w:trPr>
              <w:trHeight w:val="284"/>
            </w:trPr>
            <w:tc>
              <w:tcPr>
                <w:tcW w:w="4248" w:type="dxa"/>
              </w:tcPr>
              <w:p w14:paraId="7DB6F914" w14:textId="77777777" w:rsidR="002D0AE7" w:rsidRDefault="00333EBB">
                <w:pPr>
                  <w:rPr>
                    <w:rFonts w:hint="eastAsia"/>
                    <w:bCs/>
                    <w:sz w:val="21"/>
                    <w:szCs w:val="21"/>
                  </w:rPr>
                </w:pPr>
                <w:r>
                  <w:rPr>
                    <w:rFonts w:hint="eastAsia"/>
                    <w:bCs/>
                    <w:sz w:val="21"/>
                    <w:szCs w:val="21"/>
                  </w:rPr>
                  <w:t>与收益相关的政府补助</w:t>
                </w:r>
              </w:p>
            </w:tc>
            <w:tc>
              <w:tcPr>
                <w:tcW w:w="1570" w:type="dxa"/>
              </w:tcPr>
              <w:p w14:paraId="6F7E6781" w14:textId="77777777" w:rsidR="002D0AE7" w:rsidRDefault="00333EBB">
                <w:pPr>
                  <w:jc w:val="center"/>
                  <w:rPr>
                    <w:rFonts w:hint="eastAsia"/>
                    <w:sz w:val="21"/>
                    <w:szCs w:val="21"/>
                  </w:rPr>
                </w:pPr>
                <w:r>
                  <w:rPr>
                    <w:rFonts w:hint="eastAsia"/>
                    <w:sz w:val="21"/>
                    <w:szCs w:val="21"/>
                  </w:rPr>
                  <w:t>本期发生额</w:t>
                </w:r>
              </w:p>
            </w:tc>
            <w:tc>
              <w:tcPr>
                <w:tcW w:w="1548" w:type="dxa"/>
              </w:tcPr>
              <w:p w14:paraId="5F55A7CA" w14:textId="77777777" w:rsidR="002D0AE7" w:rsidRDefault="00333EBB">
                <w:pPr>
                  <w:jc w:val="center"/>
                  <w:rPr>
                    <w:rFonts w:hint="eastAsia"/>
                    <w:sz w:val="21"/>
                    <w:szCs w:val="21"/>
                  </w:rPr>
                </w:pPr>
                <w:r>
                  <w:rPr>
                    <w:rFonts w:hint="eastAsia"/>
                    <w:sz w:val="21"/>
                    <w:szCs w:val="21"/>
                  </w:rPr>
                  <w:t>上期发生额</w:t>
                </w:r>
              </w:p>
            </w:tc>
            <w:tc>
              <w:tcPr>
                <w:tcW w:w="1591" w:type="dxa"/>
              </w:tcPr>
              <w:p w14:paraId="7412C7D2" w14:textId="77777777" w:rsidR="002D0AE7" w:rsidRDefault="00333EBB">
                <w:pPr>
                  <w:jc w:val="center"/>
                  <w:rPr>
                    <w:rFonts w:hint="eastAsia"/>
                    <w:sz w:val="21"/>
                    <w:szCs w:val="21"/>
                  </w:rPr>
                </w:pPr>
                <w:r>
                  <w:rPr>
                    <w:rFonts w:hint="eastAsia"/>
                    <w:sz w:val="21"/>
                    <w:szCs w:val="21"/>
                  </w:rPr>
                  <w:t>类型</w:t>
                </w:r>
              </w:p>
            </w:tc>
          </w:tr>
          <w:tr w:rsidR="002D0AE7" w14:paraId="6C3DC19B" w14:textId="77777777">
            <w:trPr>
              <w:trHeight w:val="284"/>
            </w:trPr>
            <w:tc>
              <w:tcPr>
                <w:tcW w:w="4248" w:type="dxa"/>
              </w:tcPr>
              <w:p w14:paraId="0C9B2C48" w14:textId="77777777" w:rsidR="002D0AE7" w:rsidRDefault="00333EBB">
                <w:pPr>
                  <w:rPr>
                    <w:rFonts w:hint="eastAsia"/>
                    <w:sz w:val="21"/>
                    <w:szCs w:val="21"/>
                  </w:rPr>
                </w:pPr>
                <w:r>
                  <w:rPr>
                    <w:rFonts w:hint="eastAsia"/>
                    <w:sz w:val="21"/>
                    <w:szCs w:val="21"/>
                  </w:rPr>
                  <w:t>研发投入后补助</w:t>
                </w:r>
              </w:p>
            </w:tc>
            <w:tc>
              <w:tcPr>
                <w:tcW w:w="1570" w:type="dxa"/>
              </w:tcPr>
              <w:p w14:paraId="37FE6FF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519,900.00</w:t>
                </w:r>
              </w:p>
            </w:tc>
            <w:tc>
              <w:tcPr>
                <w:tcW w:w="1548" w:type="dxa"/>
              </w:tcPr>
              <w:p w14:paraId="371A3E3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2,387,200.00</w:t>
                </w:r>
              </w:p>
            </w:tc>
            <w:tc>
              <w:tcPr>
                <w:tcW w:w="1591" w:type="dxa"/>
              </w:tcPr>
              <w:p w14:paraId="04D14B2D" w14:textId="77777777" w:rsidR="002D0AE7" w:rsidRDefault="00333EBB">
                <w:pPr>
                  <w:jc w:val="right"/>
                  <w:rPr>
                    <w:rFonts w:hint="eastAsia"/>
                    <w:sz w:val="21"/>
                    <w:szCs w:val="21"/>
                  </w:rPr>
                </w:pPr>
                <w:r>
                  <w:rPr>
                    <w:rFonts w:hint="eastAsia"/>
                    <w:sz w:val="21"/>
                    <w:szCs w:val="21"/>
                  </w:rPr>
                  <w:t>本期取得</w:t>
                </w:r>
              </w:p>
            </w:tc>
          </w:tr>
          <w:tr w:rsidR="002D0AE7" w14:paraId="02D0C7CC" w14:textId="77777777">
            <w:trPr>
              <w:trHeight w:val="284"/>
            </w:trPr>
            <w:tc>
              <w:tcPr>
                <w:tcW w:w="4248" w:type="dxa"/>
              </w:tcPr>
              <w:p w14:paraId="1839435C" w14:textId="77777777" w:rsidR="002D0AE7" w:rsidRDefault="00333EBB">
                <w:pPr>
                  <w:rPr>
                    <w:rFonts w:hint="eastAsia"/>
                    <w:sz w:val="21"/>
                    <w:szCs w:val="21"/>
                  </w:rPr>
                </w:pPr>
                <w:r>
                  <w:rPr>
                    <w:rFonts w:hint="eastAsia"/>
                    <w:sz w:val="21"/>
                    <w:szCs w:val="21"/>
                  </w:rPr>
                  <w:t>融资租赁专项资金</w:t>
                </w:r>
              </w:p>
            </w:tc>
            <w:tc>
              <w:tcPr>
                <w:tcW w:w="1570" w:type="dxa"/>
              </w:tcPr>
              <w:p w14:paraId="67D9D13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1548" w:type="dxa"/>
              </w:tcPr>
              <w:p w14:paraId="2A3B74E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172,300.00</w:t>
                </w:r>
              </w:p>
            </w:tc>
            <w:tc>
              <w:tcPr>
                <w:tcW w:w="1591" w:type="dxa"/>
              </w:tcPr>
              <w:p w14:paraId="45FFD665" w14:textId="77777777" w:rsidR="002D0AE7" w:rsidRDefault="00333EBB">
                <w:pPr>
                  <w:jc w:val="right"/>
                  <w:rPr>
                    <w:rFonts w:hint="eastAsia"/>
                    <w:sz w:val="21"/>
                    <w:szCs w:val="21"/>
                  </w:rPr>
                </w:pPr>
                <w:r>
                  <w:rPr>
                    <w:rFonts w:hint="eastAsia"/>
                    <w:sz w:val="21"/>
                    <w:szCs w:val="21"/>
                  </w:rPr>
                  <w:t>本期取得</w:t>
                </w:r>
              </w:p>
            </w:tc>
          </w:tr>
          <w:tr w:rsidR="002D0AE7" w14:paraId="5F29C3C8" w14:textId="77777777">
            <w:trPr>
              <w:trHeight w:val="284"/>
            </w:trPr>
            <w:tc>
              <w:tcPr>
                <w:tcW w:w="4248" w:type="dxa"/>
              </w:tcPr>
              <w:p w14:paraId="1E8D8E31" w14:textId="77777777" w:rsidR="002D0AE7" w:rsidRDefault="00333EBB">
                <w:pPr>
                  <w:rPr>
                    <w:rFonts w:hint="eastAsia"/>
                    <w:sz w:val="21"/>
                    <w:szCs w:val="21"/>
                  </w:rPr>
                </w:pPr>
                <w:r>
                  <w:rPr>
                    <w:rFonts w:hint="eastAsia"/>
                    <w:sz w:val="21"/>
                    <w:szCs w:val="21"/>
                  </w:rPr>
                  <w:t>退役军人税收优惠</w:t>
                </w:r>
              </w:p>
            </w:tc>
            <w:tc>
              <w:tcPr>
                <w:tcW w:w="1570" w:type="dxa"/>
              </w:tcPr>
              <w:p w14:paraId="3794A04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1548" w:type="dxa"/>
              </w:tcPr>
              <w:p w14:paraId="5BD6AB2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27,000.00</w:t>
                </w:r>
              </w:p>
            </w:tc>
            <w:tc>
              <w:tcPr>
                <w:tcW w:w="1591" w:type="dxa"/>
              </w:tcPr>
              <w:p w14:paraId="5570B056" w14:textId="77777777" w:rsidR="002D0AE7" w:rsidRDefault="00333EBB">
                <w:pPr>
                  <w:jc w:val="right"/>
                  <w:rPr>
                    <w:rFonts w:hint="eastAsia"/>
                    <w:sz w:val="21"/>
                    <w:szCs w:val="21"/>
                  </w:rPr>
                </w:pPr>
                <w:r>
                  <w:rPr>
                    <w:rFonts w:hint="eastAsia"/>
                    <w:sz w:val="21"/>
                    <w:szCs w:val="21"/>
                  </w:rPr>
                  <w:t>本期取得</w:t>
                </w:r>
              </w:p>
            </w:tc>
          </w:tr>
          <w:tr w:rsidR="002D0AE7" w14:paraId="3C5BCE19" w14:textId="77777777">
            <w:trPr>
              <w:trHeight w:val="284"/>
            </w:trPr>
            <w:tc>
              <w:tcPr>
                <w:tcW w:w="4248" w:type="dxa"/>
              </w:tcPr>
              <w:p w14:paraId="6048C91D" w14:textId="77777777" w:rsidR="002D0AE7" w:rsidRDefault="00333EBB">
                <w:pPr>
                  <w:rPr>
                    <w:rFonts w:hint="eastAsia"/>
                    <w:sz w:val="21"/>
                    <w:szCs w:val="21"/>
                  </w:rPr>
                </w:pPr>
                <w:r>
                  <w:rPr>
                    <w:rFonts w:hint="eastAsia"/>
                    <w:sz w:val="21"/>
                    <w:szCs w:val="21"/>
                  </w:rPr>
                  <w:t>湖北省大健康产业发展专项项目资金</w:t>
                </w:r>
              </w:p>
            </w:tc>
            <w:tc>
              <w:tcPr>
                <w:tcW w:w="1570" w:type="dxa"/>
              </w:tcPr>
              <w:p w14:paraId="6358483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1548" w:type="dxa"/>
              </w:tcPr>
              <w:p w14:paraId="4CD7F27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1,390,000.00</w:t>
                </w:r>
              </w:p>
            </w:tc>
            <w:tc>
              <w:tcPr>
                <w:tcW w:w="1591" w:type="dxa"/>
              </w:tcPr>
              <w:p w14:paraId="137CF8A7" w14:textId="77777777" w:rsidR="002D0AE7" w:rsidRDefault="00333EBB">
                <w:pPr>
                  <w:jc w:val="right"/>
                  <w:rPr>
                    <w:rFonts w:hint="eastAsia"/>
                    <w:sz w:val="21"/>
                    <w:szCs w:val="21"/>
                  </w:rPr>
                </w:pPr>
                <w:r>
                  <w:rPr>
                    <w:rFonts w:hint="eastAsia"/>
                    <w:sz w:val="21"/>
                    <w:szCs w:val="21"/>
                  </w:rPr>
                  <w:t>本期取得</w:t>
                </w:r>
              </w:p>
            </w:tc>
          </w:tr>
          <w:tr w:rsidR="002D0AE7" w14:paraId="21449063" w14:textId="77777777">
            <w:trPr>
              <w:trHeight w:val="284"/>
            </w:trPr>
            <w:tc>
              <w:tcPr>
                <w:tcW w:w="4248" w:type="dxa"/>
              </w:tcPr>
              <w:p w14:paraId="28FE6E19" w14:textId="77777777" w:rsidR="002D0AE7" w:rsidRDefault="00333EBB">
                <w:pPr>
                  <w:rPr>
                    <w:rFonts w:hint="eastAsia"/>
                    <w:sz w:val="21"/>
                    <w:szCs w:val="21"/>
                  </w:rPr>
                </w:pPr>
                <w:r>
                  <w:rPr>
                    <w:rFonts w:hint="eastAsia"/>
                    <w:sz w:val="21"/>
                    <w:szCs w:val="21"/>
                  </w:rPr>
                  <w:t>国内专利授权奖励</w:t>
                </w:r>
              </w:p>
            </w:tc>
            <w:tc>
              <w:tcPr>
                <w:tcW w:w="1570" w:type="dxa"/>
              </w:tcPr>
              <w:p w14:paraId="43D286D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1,000.00</w:t>
                </w:r>
              </w:p>
            </w:tc>
            <w:tc>
              <w:tcPr>
                <w:tcW w:w="1548" w:type="dxa"/>
              </w:tcPr>
              <w:p w14:paraId="7E8B535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1591" w:type="dxa"/>
              </w:tcPr>
              <w:p w14:paraId="420A53FB" w14:textId="77777777" w:rsidR="002D0AE7" w:rsidRDefault="00333EBB">
                <w:pPr>
                  <w:jc w:val="right"/>
                  <w:rPr>
                    <w:rFonts w:hint="eastAsia"/>
                    <w:sz w:val="21"/>
                    <w:szCs w:val="21"/>
                  </w:rPr>
                </w:pPr>
                <w:r>
                  <w:rPr>
                    <w:rFonts w:hint="eastAsia"/>
                    <w:sz w:val="21"/>
                    <w:szCs w:val="21"/>
                  </w:rPr>
                  <w:t>本期取得</w:t>
                </w:r>
              </w:p>
            </w:tc>
          </w:tr>
          <w:tr w:rsidR="002D0AE7" w14:paraId="034F1797" w14:textId="77777777">
            <w:trPr>
              <w:trHeight w:val="284"/>
            </w:trPr>
            <w:tc>
              <w:tcPr>
                <w:tcW w:w="4248" w:type="dxa"/>
              </w:tcPr>
              <w:p w14:paraId="5E63F563" w14:textId="77777777" w:rsidR="002D0AE7" w:rsidRDefault="00333EBB">
                <w:pPr>
                  <w:rPr>
                    <w:rFonts w:hint="eastAsia"/>
                    <w:sz w:val="21"/>
                    <w:szCs w:val="21"/>
                  </w:rPr>
                </w:pPr>
                <w:r>
                  <w:rPr>
                    <w:rFonts w:hint="eastAsia"/>
                    <w:sz w:val="21"/>
                    <w:szCs w:val="21"/>
                  </w:rPr>
                  <w:t>提质增效示范项目（医药制造业）专项资金</w:t>
                </w:r>
              </w:p>
            </w:tc>
            <w:tc>
              <w:tcPr>
                <w:tcW w:w="1570" w:type="dxa"/>
              </w:tcPr>
              <w:p w14:paraId="3BC9C57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631,265.56</w:t>
                </w:r>
              </w:p>
            </w:tc>
            <w:tc>
              <w:tcPr>
                <w:tcW w:w="1548" w:type="dxa"/>
              </w:tcPr>
              <w:p w14:paraId="46A9FCD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1591" w:type="dxa"/>
              </w:tcPr>
              <w:p w14:paraId="02549E71" w14:textId="77777777" w:rsidR="002D0AE7" w:rsidRDefault="00333EBB">
                <w:pPr>
                  <w:jc w:val="right"/>
                  <w:rPr>
                    <w:rFonts w:hint="eastAsia"/>
                    <w:sz w:val="21"/>
                    <w:szCs w:val="21"/>
                  </w:rPr>
                </w:pPr>
                <w:r>
                  <w:rPr>
                    <w:rFonts w:hint="eastAsia"/>
                    <w:sz w:val="21"/>
                    <w:szCs w:val="21"/>
                  </w:rPr>
                  <w:t>递延收益转入</w:t>
                </w:r>
              </w:p>
            </w:tc>
          </w:tr>
          <w:tr w:rsidR="002D0AE7" w14:paraId="76099E10" w14:textId="77777777">
            <w:trPr>
              <w:trHeight w:val="284"/>
            </w:trPr>
            <w:tc>
              <w:tcPr>
                <w:tcW w:w="4248" w:type="dxa"/>
              </w:tcPr>
              <w:p w14:paraId="0C48BABA" w14:textId="77777777" w:rsidR="002D0AE7" w:rsidRDefault="00333EBB">
                <w:pPr>
                  <w:rPr>
                    <w:rFonts w:hint="eastAsia"/>
                    <w:sz w:val="21"/>
                    <w:szCs w:val="21"/>
                  </w:rPr>
                </w:pPr>
                <w:r>
                  <w:rPr>
                    <w:rFonts w:hint="eastAsia"/>
                    <w:sz w:val="21"/>
                    <w:szCs w:val="21"/>
                  </w:rPr>
                  <w:t>国家电网限电补助</w:t>
                </w:r>
              </w:p>
            </w:tc>
            <w:tc>
              <w:tcPr>
                <w:tcW w:w="1570" w:type="dxa"/>
              </w:tcPr>
              <w:p w14:paraId="5D3024E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12,466.60</w:t>
                </w:r>
              </w:p>
            </w:tc>
            <w:tc>
              <w:tcPr>
                <w:tcW w:w="1548" w:type="dxa"/>
              </w:tcPr>
              <w:p w14:paraId="1B04214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1591" w:type="dxa"/>
              </w:tcPr>
              <w:p w14:paraId="087E72E0" w14:textId="77777777" w:rsidR="002D0AE7" w:rsidRDefault="00333EBB">
                <w:pPr>
                  <w:jc w:val="right"/>
                  <w:rPr>
                    <w:rFonts w:hint="eastAsia"/>
                    <w:sz w:val="21"/>
                    <w:szCs w:val="21"/>
                  </w:rPr>
                </w:pPr>
                <w:r>
                  <w:rPr>
                    <w:rFonts w:hint="eastAsia"/>
                    <w:sz w:val="21"/>
                    <w:szCs w:val="21"/>
                  </w:rPr>
                  <w:t>本期取得</w:t>
                </w:r>
              </w:p>
            </w:tc>
          </w:tr>
          <w:tr w:rsidR="002D0AE7" w14:paraId="20050231" w14:textId="77777777">
            <w:trPr>
              <w:trHeight w:val="284"/>
            </w:trPr>
            <w:tc>
              <w:tcPr>
                <w:tcW w:w="4248" w:type="dxa"/>
              </w:tcPr>
              <w:p w14:paraId="6A01CFD5" w14:textId="77777777" w:rsidR="002D0AE7" w:rsidRDefault="00333EBB">
                <w:pPr>
                  <w:rPr>
                    <w:rFonts w:hint="eastAsia"/>
                    <w:sz w:val="21"/>
                    <w:szCs w:val="21"/>
                  </w:rPr>
                </w:pPr>
                <w:r>
                  <w:rPr>
                    <w:rFonts w:hint="eastAsia"/>
                    <w:sz w:val="21"/>
                    <w:szCs w:val="21"/>
                  </w:rPr>
                  <w:t>制造业高质量发展项目专项资金</w:t>
                </w:r>
              </w:p>
            </w:tc>
            <w:tc>
              <w:tcPr>
                <w:tcW w:w="1570" w:type="dxa"/>
              </w:tcPr>
              <w:p w14:paraId="628F20A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501,300.00</w:t>
                </w:r>
              </w:p>
            </w:tc>
            <w:tc>
              <w:tcPr>
                <w:tcW w:w="1548" w:type="dxa"/>
              </w:tcPr>
              <w:p w14:paraId="27E5882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1591" w:type="dxa"/>
              </w:tcPr>
              <w:p w14:paraId="2BA625CD" w14:textId="77777777" w:rsidR="002D0AE7" w:rsidRDefault="00333EBB">
                <w:pPr>
                  <w:jc w:val="right"/>
                  <w:rPr>
                    <w:rFonts w:hint="eastAsia"/>
                    <w:sz w:val="21"/>
                    <w:szCs w:val="21"/>
                  </w:rPr>
                </w:pPr>
                <w:r>
                  <w:rPr>
                    <w:rFonts w:hint="eastAsia"/>
                    <w:sz w:val="21"/>
                    <w:szCs w:val="21"/>
                  </w:rPr>
                  <w:t>本期取得</w:t>
                </w:r>
              </w:p>
            </w:tc>
          </w:tr>
          <w:tr w:rsidR="002D0AE7" w14:paraId="5F5DAE40" w14:textId="77777777">
            <w:trPr>
              <w:trHeight w:val="284"/>
            </w:trPr>
            <w:tc>
              <w:tcPr>
                <w:tcW w:w="4248" w:type="dxa"/>
              </w:tcPr>
              <w:p w14:paraId="7B31C7AC" w14:textId="77777777" w:rsidR="002D0AE7" w:rsidRDefault="00333EBB">
                <w:pPr>
                  <w:jc w:val="center"/>
                  <w:rPr>
                    <w:rFonts w:hint="eastAsia"/>
                    <w:sz w:val="21"/>
                    <w:szCs w:val="21"/>
                  </w:rPr>
                </w:pPr>
                <w:r>
                  <w:rPr>
                    <w:rFonts w:hint="eastAsia"/>
                    <w:sz w:val="21"/>
                    <w:szCs w:val="21"/>
                  </w:rPr>
                  <w:t>合计</w:t>
                </w:r>
              </w:p>
            </w:tc>
            <w:tc>
              <w:tcPr>
                <w:tcW w:w="1570" w:type="dxa"/>
                <w:noWrap/>
              </w:tcPr>
              <w:p w14:paraId="3FC60254" w14:textId="77777777" w:rsidR="002D0AE7" w:rsidRDefault="00333EBB">
                <w:pPr>
                  <w:jc w:val="right"/>
                  <w:rPr>
                    <w:rFonts w:ascii="Times New Roman" w:hAnsi="Times New Roman" w:cs="Times New Roman"/>
                    <w:color w:val="000000"/>
                    <w:sz w:val="21"/>
                    <w:szCs w:val="21"/>
                  </w:rPr>
                </w:pPr>
                <w:r>
                  <w:rPr>
                    <w:rFonts w:ascii="Times New Roman" w:hAnsi="Times New Roman" w:cs="Times New Roman"/>
                    <w:color w:val="000000"/>
                    <w:sz w:val="21"/>
                    <w:szCs w:val="21"/>
                  </w:rPr>
                  <w:t>1,665,932.16</w:t>
                </w:r>
              </w:p>
            </w:tc>
            <w:tc>
              <w:tcPr>
                <w:tcW w:w="1548" w:type="dxa"/>
                <w:noWrap/>
              </w:tcPr>
              <w:p w14:paraId="2A541946" w14:textId="77777777" w:rsidR="002D0AE7" w:rsidRDefault="00333EBB">
                <w:pPr>
                  <w:jc w:val="right"/>
                  <w:rPr>
                    <w:rFonts w:ascii="Times New Roman" w:hAnsi="Times New Roman" w:cs="Times New Roman"/>
                    <w:color w:val="000000"/>
                    <w:sz w:val="21"/>
                    <w:szCs w:val="21"/>
                  </w:rPr>
                </w:pPr>
                <w:r>
                  <w:rPr>
                    <w:rFonts w:ascii="Times New Roman" w:hAnsi="Times New Roman" w:cs="Times New Roman"/>
                    <w:color w:val="000000"/>
                    <w:sz w:val="21"/>
                    <w:szCs w:val="21"/>
                  </w:rPr>
                  <w:t>3,976,500.00</w:t>
                </w:r>
              </w:p>
            </w:tc>
            <w:tc>
              <w:tcPr>
                <w:tcW w:w="1591" w:type="dxa"/>
                <w:noWrap/>
              </w:tcPr>
              <w:p w14:paraId="775A5437" w14:textId="77777777" w:rsidR="002D0AE7" w:rsidRDefault="00333EBB">
                <w:pPr>
                  <w:jc w:val="center"/>
                  <w:rPr>
                    <w:rFonts w:hint="eastAsia"/>
                    <w:color w:val="000000"/>
                    <w:sz w:val="21"/>
                    <w:szCs w:val="21"/>
                  </w:rPr>
                </w:pPr>
                <w:r>
                  <w:rPr>
                    <w:color w:val="000000"/>
                    <w:sz w:val="21"/>
                    <w:szCs w:val="21"/>
                  </w:rPr>
                  <w:t>/</w:t>
                </w:r>
              </w:p>
            </w:tc>
          </w:tr>
        </w:tbl>
        <w:p w14:paraId="27F2B939" w14:textId="77777777" w:rsidR="002D0AE7" w:rsidRDefault="00333EBB">
          <w:pPr>
            <w:jc w:val="right"/>
            <w:rPr>
              <w:rFonts w:hint="eastAsia"/>
              <w:color w:val="000000" w:themeColor="text1"/>
            </w:rPr>
          </w:pPr>
          <w:r>
            <w:rPr>
              <w:rFonts w:hint="eastAsia"/>
              <w:color w:val="000000" w:themeColor="text1"/>
            </w:rPr>
            <w:t>单位：元</w:t>
          </w:r>
          <w:r>
            <w:rPr>
              <w:color w:val="000000" w:themeColor="text1"/>
            </w:rPr>
            <w:t>币种：人民币</w:t>
          </w:r>
        </w:p>
        <w:tbl>
          <w:tblPr>
            <w:tblStyle w:val="19"/>
            <w:tblW w:w="8800" w:type="dxa"/>
            <w:tblLook w:val="04A0" w:firstRow="1" w:lastRow="0" w:firstColumn="1" w:lastColumn="0" w:noHBand="0" w:noVBand="1"/>
          </w:tblPr>
          <w:tblGrid>
            <w:gridCol w:w="4635"/>
            <w:gridCol w:w="2138"/>
            <w:gridCol w:w="2027"/>
          </w:tblGrid>
          <w:tr w:rsidR="002D0AE7" w14:paraId="391490C6" w14:textId="77777777">
            <w:trPr>
              <w:trHeight w:val="299"/>
            </w:trPr>
            <w:tc>
              <w:tcPr>
                <w:tcW w:w="4635" w:type="dxa"/>
              </w:tcPr>
              <w:p w14:paraId="25B88FBB" w14:textId="77777777" w:rsidR="002D0AE7" w:rsidRDefault="00333EBB">
                <w:pPr>
                  <w:rPr>
                    <w:rFonts w:hint="eastAsia"/>
                    <w:bCs/>
                    <w:sz w:val="21"/>
                    <w:szCs w:val="21"/>
                  </w:rPr>
                </w:pPr>
                <w:r>
                  <w:rPr>
                    <w:rFonts w:hint="eastAsia"/>
                    <w:bCs/>
                    <w:sz w:val="21"/>
                    <w:szCs w:val="21"/>
                  </w:rPr>
                  <w:t>计入营业外收入的政府补助</w:t>
                </w:r>
              </w:p>
            </w:tc>
            <w:tc>
              <w:tcPr>
                <w:tcW w:w="2138" w:type="dxa"/>
              </w:tcPr>
              <w:p w14:paraId="346ED279" w14:textId="77777777" w:rsidR="002D0AE7" w:rsidRDefault="00333EBB">
                <w:pPr>
                  <w:jc w:val="center"/>
                  <w:rPr>
                    <w:rFonts w:hint="eastAsia"/>
                    <w:sz w:val="21"/>
                    <w:szCs w:val="21"/>
                  </w:rPr>
                </w:pPr>
                <w:r>
                  <w:rPr>
                    <w:rFonts w:hint="eastAsia"/>
                    <w:sz w:val="21"/>
                    <w:szCs w:val="21"/>
                  </w:rPr>
                  <w:t>本期发生额</w:t>
                </w:r>
              </w:p>
            </w:tc>
            <w:tc>
              <w:tcPr>
                <w:tcW w:w="2027" w:type="dxa"/>
              </w:tcPr>
              <w:p w14:paraId="1A8D481F" w14:textId="77777777" w:rsidR="002D0AE7" w:rsidRDefault="00333EBB">
                <w:pPr>
                  <w:jc w:val="center"/>
                  <w:rPr>
                    <w:rFonts w:hint="eastAsia"/>
                    <w:sz w:val="21"/>
                    <w:szCs w:val="21"/>
                  </w:rPr>
                </w:pPr>
                <w:r>
                  <w:rPr>
                    <w:rFonts w:hint="eastAsia"/>
                    <w:sz w:val="21"/>
                    <w:szCs w:val="21"/>
                  </w:rPr>
                  <w:t>上期发生额</w:t>
                </w:r>
              </w:p>
            </w:tc>
          </w:tr>
          <w:tr w:rsidR="002D0AE7" w14:paraId="32717CF7" w14:textId="77777777">
            <w:trPr>
              <w:trHeight w:val="284"/>
            </w:trPr>
            <w:tc>
              <w:tcPr>
                <w:tcW w:w="4635" w:type="dxa"/>
              </w:tcPr>
              <w:p w14:paraId="6502C8A8" w14:textId="77777777" w:rsidR="002D0AE7" w:rsidRDefault="00333EBB">
                <w:pPr>
                  <w:rPr>
                    <w:rFonts w:hint="eastAsia"/>
                    <w:sz w:val="21"/>
                    <w:szCs w:val="21"/>
                  </w:rPr>
                </w:pPr>
                <w:r>
                  <w:rPr>
                    <w:rFonts w:hint="eastAsia"/>
                    <w:sz w:val="21"/>
                    <w:szCs w:val="21"/>
                  </w:rPr>
                  <w:t>一次性扩岗补助</w:t>
                </w:r>
              </w:p>
            </w:tc>
            <w:tc>
              <w:tcPr>
                <w:tcW w:w="2138" w:type="dxa"/>
              </w:tcPr>
              <w:p w14:paraId="36D8AED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2027" w:type="dxa"/>
              </w:tcPr>
              <w:p w14:paraId="31B972A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16,500.00</w:t>
                </w:r>
              </w:p>
            </w:tc>
          </w:tr>
          <w:tr w:rsidR="002D0AE7" w14:paraId="22EC4C06" w14:textId="77777777">
            <w:trPr>
              <w:trHeight w:val="284"/>
            </w:trPr>
            <w:tc>
              <w:tcPr>
                <w:tcW w:w="4635" w:type="dxa"/>
              </w:tcPr>
              <w:p w14:paraId="46D3DDF5" w14:textId="77777777" w:rsidR="002D0AE7" w:rsidRDefault="00333EBB">
                <w:pPr>
                  <w:rPr>
                    <w:rFonts w:hint="eastAsia"/>
                    <w:sz w:val="21"/>
                    <w:szCs w:val="21"/>
                  </w:rPr>
                </w:pPr>
                <w:r>
                  <w:rPr>
                    <w:rFonts w:hint="eastAsia"/>
                    <w:sz w:val="21"/>
                    <w:szCs w:val="21"/>
                  </w:rPr>
                  <w:t>失业动态监测调查费</w:t>
                </w:r>
              </w:p>
            </w:tc>
            <w:tc>
              <w:tcPr>
                <w:tcW w:w="2138" w:type="dxa"/>
              </w:tcPr>
              <w:p w14:paraId="48F6CBC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2027" w:type="dxa"/>
              </w:tcPr>
              <w:p w14:paraId="3EF39D7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300.00</w:t>
                </w:r>
              </w:p>
            </w:tc>
          </w:tr>
          <w:tr w:rsidR="002D0AE7" w14:paraId="46E8B14D" w14:textId="77777777">
            <w:trPr>
              <w:trHeight w:val="284"/>
            </w:trPr>
            <w:tc>
              <w:tcPr>
                <w:tcW w:w="4635" w:type="dxa"/>
              </w:tcPr>
              <w:p w14:paraId="5E2D56B3" w14:textId="77777777" w:rsidR="002D0AE7" w:rsidRDefault="00333EBB">
                <w:pPr>
                  <w:rPr>
                    <w:rFonts w:hint="eastAsia"/>
                    <w:sz w:val="21"/>
                    <w:szCs w:val="21"/>
                  </w:rPr>
                </w:pPr>
                <w:r>
                  <w:rPr>
                    <w:rFonts w:hint="eastAsia"/>
                    <w:sz w:val="21"/>
                    <w:szCs w:val="21"/>
                  </w:rPr>
                  <w:t>国家专利优秀奖奖励</w:t>
                </w:r>
              </w:p>
            </w:tc>
            <w:tc>
              <w:tcPr>
                <w:tcW w:w="2138" w:type="dxa"/>
              </w:tcPr>
              <w:p w14:paraId="0C63E6A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36,000.00</w:t>
                </w:r>
              </w:p>
            </w:tc>
            <w:tc>
              <w:tcPr>
                <w:tcW w:w="2027" w:type="dxa"/>
              </w:tcPr>
              <w:p w14:paraId="6F951F8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14819F7B" w14:textId="77777777">
            <w:trPr>
              <w:trHeight w:val="284"/>
            </w:trPr>
            <w:tc>
              <w:tcPr>
                <w:tcW w:w="4635" w:type="dxa"/>
              </w:tcPr>
              <w:p w14:paraId="67E6B6A7" w14:textId="77777777" w:rsidR="002D0AE7" w:rsidRDefault="00333EBB">
                <w:pPr>
                  <w:rPr>
                    <w:rFonts w:hint="eastAsia"/>
                    <w:sz w:val="21"/>
                    <w:szCs w:val="21"/>
                  </w:rPr>
                </w:pPr>
                <w:r>
                  <w:rPr>
                    <w:rFonts w:hint="eastAsia"/>
                    <w:sz w:val="21"/>
                    <w:szCs w:val="21"/>
                  </w:rPr>
                  <w:t>就业见习基地补贴</w:t>
                </w:r>
              </w:p>
            </w:tc>
            <w:tc>
              <w:tcPr>
                <w:tcW w:w="2138" w:type="dxa"/>
              </w:tcPr>
              <w:p w14:paraId="18FA232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810,412.00</w:t>
                </w:r>
              </w:p>
            </w:tc>
            <w:tc>
              <w:tcPr>
                <w:tcW w:w="2027" w:type="dxa"/>
              </w:tcPr>
              <w:p w14:paraId="4F2333A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488,266.00</w:t>
                </w:r>
              </w:p>
            </w:tc>
          </w:tr>
          <w:tr w:rsidR="002D0AE7" w14:paraId="27338E79" w14:textId="77777777">
            <w:trPr>
              <w:trHeight w:val="284"/>
            </w:trPr>
            <w:tc>
              <w:tcPr>
                <w:tcW w:w="4635" w:type="dxa"/>
              </w:tcPr>
              <w:p w14:paraId="4BCFF74B" w14:textId="77777777" w:rsidR="002D0AE7" w:rsidRDefault="00333EBB">
                <w:pPr>
                  <w:rPr>
                    <w:rFonts w:hint="eastAsia"/>
                    <w:sz w:val="21"/>
                    <w:szCs w:val="21"/>
                  </w:rPr>
                </w:pPr>
                <w:r>
                  <w:rPr>
                    <w:rFonts w:hint="eastAsia"/>
                    <w:sz w:val="21"/>
                    <w:szCs w:val="21"/>
                  </w:rPr>
                  <w:t>一次性吸纳就业补贴</w:t>
                </w:r>
              </w:p>
            </w:tc>
            <w:tc>
              <w:tcPr>
                <w:tcW w:w="2138" w:type="dxa"/>
              </w:tcPr>
              <w:p w14:paraId="044EC84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2027" w:type="dxa"/>
              </w:tcPr>
              <w:p w14:paraId="5D65D89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10,000.00</w:t>
                </w:r>
              </w:p>
            </w:tc>
          </w:tr>
          <w:tr w:rsidR="002D0AE7" w14:paraId="54071829" w14:textId="77777777">
            <w:trPr>
              <w:trHeight w:val="284"/>
            </w:trPr>
            <w:tc>
              <w:tcPr>
                <w:tcW w:w="4635" w:type="dxa"/>
              </w:tcPr>
              <w:p w14:paraId="7FED7B77" w14:textId="77777777" w:rsidR="002D0AE7" w:rsidRDefault="00333EBB">
                <w:pPr>
                  <w:rPr>
                    <w:rFonts w:hint="eastAsia"/>
                    <w:sz w:val="21"/>
                    <w:szCs w:val="21"/>
                  </w:rPr>
                </w:pPr>
                <w:r>
                  <w:rPr>
                    <w:rFonts w:hint="eastAsia"/>
                    <w:sz w:val="21"/>
                    <w:szCs w:val="21"/>
                  </w:rPr>
                  <w:t>大学生实训补贴</w:t>
                </w:r>
              </w:p>
            </w:tc>
            <w:tc>
              <w:tcPr>
                <w:tcW w:w="2138" w:type="dxa"/>
              </w:tcPr>
              <w:p w14:paraId="54A6775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6,000.00</w:t>
                </w:r>
              </w:p>
            </w:tc>
            <w:tc>
              <w:tcPr>
                <w:tcW w:w="2027" w:type="dxa"/>
              </w:tcPr>
              <w:p w14:paraId="113C5EA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5A2BCC0E" w14:textId="77777777">
            <w:trPr>
              <w:trHeight w:val="284"/>
            </w:trPr>
            <w:tc>
              <w:tcPr>
                <w:tcW w:w="4635" w:type="dxa"/>
              </w:tcPr>
              <w:p w14:paraId="2F36B649" w14:textId="77777777" w:rsidR="002D0AE7" w:rsidRDefault="00333EBB">
                <w:pPr>
                  <w:rPr>
                    <w:rFonts w:hint="eastAsia"/>
                    <w:sz w:val="21"/>
                    <w:szCs w:val="21"/>
                  </w:rPr>
                </w:pPr>
                <w:r>
                  <w:rPr>
                    <w:rFonts w:hint="eastAsia"/>
                    <w:sz w:val="21"/>
                    <w:szCs w:val="21"/>
                  </w:rPr>
                  <w:t>金融局采购合规信息服务补贴</w:t>
                </w:r>
              </w:p>
            </w:tc>
            <w:tc>
              <w:tcPr>
                <w:tcW w:w="2138" w:type="dxa"/>
              </w:tcPr>
              <w:p w14:paraId="60FBDCB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2027" w:type="dxa"/>
              </w:tcPr>
              <w:p w14:paraId="3950572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50,000.00</w:t>
                </w:r>
              </w:p>
            </w:tc>
          </w:tr>
          <w:tr w:rsidR="002D0AE7" w14:paraId="5373215D" w14:textId="77777777">
            <w:trPr>
              <w:trHeight w:val="284"/>
            </w:trPr>
            <w:tc>
              <w:tcPr>
                <w:tcW w:w="4635" w:type="dxa"/>
              </w:tcPr>
              <w:p w14:paraId="5D4015F7" w14:textId="77777777" w:rsidR="002D0AE7" w:rsidRDefault="00333EBB">
                <w:pPr>
                  <w:rPr>
                    <w:rFonts w:hint="eastAsia"/>
                    <w:sz w:val="21"/>
                    <w:szCs w:val="21"/>
                  </w:rPr>
                </w:pPr>
                <w:r>
                  <w:rPr>
                    <w:rFonts w:hint="eastAsia"/>
                    <w:sz w:val="21"/>
                    <w:szCs w:val="21"/>
                  </w:rPr>
                  <w:t>公积金补贴</w:t>
                </w:r>
              </w:p>
            </w:tc>
            <w:tc>
              <w:tcPr>
                <w:tcW w:w="2138" w:type="dxa"/>
              </w:tcPr>
              <w:p w14:paraId="7E979F9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2027" w:type="dxa"/>
              </w:tcPr>
              <w:p w14:paraId="19D31FA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626.20</w:t>
                </w:r>
              </w:p>
            </w:tc>
          </w:tr>
          <w:tr w:rsidR="002D0AE7" w14:paraId="46AEF6FE" w14:textId="77777777">
            <w:trPr>
              <w:trHeight w:val="359"/>
            </w:trPr>
            <w:tc>
              <w:tcPr>
                <w:tcW w:w="4635" w:type="dxa"/>
              </w:tcPr>
              <w:p w14:paraId="02D3CDBF" w14:textId="77777777" w:rsidR="002D0AE7" w:rsidRDefault="00333EBB">
                <w:pPr>
                  <w:rPr>
                    <w:rFonts w:hint="eastAsia"/>
                    <w:sz w:val="21"/>
                    <w:szCs w:val="21"/>
                  </w:rPr>
                </w:pPr>
                <w:r>
                  <w:rPr>
                    <w:rFonts w:hint="eastAsia"/>
                    <w:sz w:val="21"/>
                    <w:szCs w:val="21"/>
                  </w:rPr>
                  <w:t>制造业高质量发展项目专项资金</w:t>
                </w:r>
              </w:p>
            </w:tc>
            <w:tc>
              <w:tcPr>
                <w:tcW w:w="2138" w:type="dxa"/>
              </w:tcPr>
              <w:p w14:paraId="1288CD8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44,600.00</w:t>
                </w:r>
              </w:p>
            </w:tc>
            <w:tc>
              <w:tcPr>
                <w:tcW w:w="2027" w:type="dxa"/>
              </w:tcPr>
              <w:p w14:paraId="2540EC1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2D4E4A82" w14:textId="77777777">
            <w:trPr>
              <w:trHeight w:val="344"/>
            </w:trPr>
            <w:tc>
              <w:tcPr>
                <w:tcW w:w="4635" w:type="dxa"/>
              </w:tcPr>
              <w:p w14:paraId="41463BAD" w14:textId="77777777" w:rsidR="002D0AE7" w:rsidRDefault="00333EBB">
                <w:pPr>
                  <w:jc w:val="center"/>
                  <w:rPr>
                    <w:rFonts w:hint="eastAsia"/>
                    <w:sz w:val="21"/>
                    <w:szCs w:val="21"/>
                  </w:rPr>
                </w:pPr>
                <w:r>
                  <w:rPr>
                    <w:rFonts w:hint="eastAsia"/>
                    <w:sz w:val="21"/>
                    <w:szCs w:val="21"/>
                  </w:rPr>
                  <w:t>合计</w:t>
                </w:r>
              </w:p>
            </w:tc>
            <w:tc>
              <w:tcPr>
                <w:tcW w:w="2138" w:type="dxa"/>
                <w:noWrap/>
              </w:tcPr>
              <w:p w14:paraId="3E6C27AD" w14:textId="77777777" w:rsidR="002D0AE7" w:rsidRDefault="00333EBB">
                <w:pPr>
                  <w:jc w:val="right"/>
                  <w:rPr>
                    <w:rFonts w:ascii="Times New Roman" w:hAnsi="Times New Roman" w:cs="Times New Roman"/>
                    <w:color w:val="000000"/>
                    <w:sz w:val="21"/>
                    <w:szCs w:val="21"/>
                  </w:rPr>
                </w:pPr>
                <w:r>
                  <w:rPr>
                    <w:rFonts w:ascii="Times New Roman" w:hAnsi="Times New Roman" w:cs="Times New Roman"/>
                    <w:color w:val="000000"/>
                    <w:sz w:val="21"/>
                    <w:szCs w:val="21"/>
                  </w:rPr>
                  <w:t>897,012.00</w:t>
                </w:r>
              </w:p>
            </w:tc>
            <w:tc>
              <w:tcPr>
                <w:tcW w:w="2027" w:type="dxa"/>
                <w:noWrap/>
              </w:tcPr>
              <w:p w14:paraId="563AEACB" w14:textId="77777777" w:rsidR="002D0AE7" w:rsidRDefault="00333EBB">
                <w:pPr>
                  <w:jc w:val="right"/>
                  <w:rPr>
                    <w:rFonts w:ascii="Times New Roman" w:hAnsi="Times New Roman" w:cs="Times New Roman"/>
                    <w:color w:val="000000"/>
                    <w:sz w:val="21"/>
                    <w:szCs w:val="21"/>
                  </w:rPr>
                </w:pPr>
                <w:r>
                  <w:rPr>
                    <w:rFonts w:ascii="Times New Roman" w:hAnsi="Times New Roman" w:cs="Times New Roman"/>
                    <w:color w:val="000000"/>
                    <w:sz w:val="21"/>
                    <w:szCs w:val="21"/>
                  </w:rPr>
                  <w:t>565,692.20</w:t>
                </w:r>
              </w:p>
            </w:tc>
          </w:tr>
        </w:tbl>
      </w:sdtContent>
    </w:sdt>
    <w:p w14:paraId="2F8D321F" w14:textId="77777777" w:rsidR="002D0AE7" w:rsidRDefault="00333EBB">
      <w:pPr>
        <w:pStyle w:val="2"/>
        <w:numPr>
          <w:ilvl w:val="0"/>
          <w:numId w:val="34"/>
        </w:numPr>
        <w:ind w:left="482" w:hanging="482"/>
        <w:rPr>
          <w:rFonts w:ascii="宋体" w:hAnsi="宋体" w:hint="eastAsia"/>
          <w:color w:val="000000" w:themeColor="text1"/>
        </w:rPr>
      </w:pPr>
      <w:bookmarkStart w:id="232" w:name="_Hlk167976349"/>
      <w:bookmarkEnd w:id="229"/>
      <w:bookmarkEnd w:id="231"/>
      <w:r>
        <w:rPr>
          <w:rFonts w:ascii="宋体" w:hAnsi="宋体" w:hint="eastAsia"/>
          <w:color w:val="000000" w:themeColor="text1"/>
        </w:rPr>
        <w:t>金融工具相关的风险</w:t>
      </w:r>
    </w:p>
    <w:p w14:paraId="56C8A162" w14:textId="77777777" w:rsidR="002D0AE7" w:rsidRDefault="00333EBB">
      <w:pPr>
        <w:pStyle w:val="3"/>
        <w:numPr>
          <w:ilvl w:val="0"/>
          <w:numId w:val="78"/>
        </w:numPr>
        <w:ind w:left="425" w:hanging="425"/>
        <w:rPr>
          <w:color w:val="000000" w:themeColor="text1"/>
        </w:rPr>
      </w:pPr>
      <w:r>
        <w:rPr>
          <w:rFonts w:hint="eastAsia"/>
          <w:color w:val="000000" w:themeColor="text1"/>
        </w:rPr>
        <w:t>金融工具的风险</w:t>
      </w:r>
    </w:p>
    <w:sdt>
      <w:sdtPr>
        <w:rPr>
          <w:color w:val="000000" w:themeColor="text1"/>
        </w:rPr>
        <w:alias w:val="是否适用：与金融工具相关的风险[双击切换]"/>
        <w:tag w:val="_GBC_e1cf17d3b39745d798050adfebdd2723"/>
        <w:id w:val="-2001878660"/>
        <w:placeholder>
          <w:docPart w:val="GBC22222222222222222222222222222"/>
        </w:placeholder>
      </w:sdtPr>
      <w:sdtEndPr/>
      <w:sdtContent>
        <w:p w14:paraId="69E4096F"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与金融工具相关的风险"/>
        <w:tag w:val="_GBC_a654575471934b06b0c3b91a6a980434"/>
        <w:id w:val="150261878"/>
        <w:placeholder>
          <w:docPart w:val="GBC22222222222222222222222222222"/>
        </w:placeholder>
      </w:sdtPr>
      <w:sdtEndPr>
        <w:rPr>
          <w:b/>
        </w:rPr>
      </w:sdtEndPr>
      <w:sdtContent>
        <w:p w14:paraId="6C4AE98C" w14:textId="77777777" w:rsidR="002D0AE7" w:rsidRDefault="00333EBB">
          <w:pPr>
            <w:ind w:firstLineChars="200" w:firstLine="480"/>
            <w:rPr>
              <w:rFonts w:ascii="Arial Narrow" w:hAnsi="Arial Narrow"/>
              <w:sz w:val="21"/>
              <w:szCs w:val="21"/>
            </w:rPr>
          </w:pPr>
          <w:r>
            <w:rPr>
              <w:rFonts w:ascii="Arial Narrow" w:hAnsi="Arial Narrow" w:hint="eastAsia"/>
              <w:sz w:val="21"/>
              <w:szCs w:val="21"/>
            </w:rPr>
            <w:t>本公司的主要金融工具包括货币资金、应收账款、应收票据、应收款项融资、其他应收款、其他权益工具投资、应付账款、应付票据、其他应付款、短期借款、一年内到期的非流动负债、长期借款等。各项金融工具的情况详见相关合并财务报表项目注释。</w:t>
          </w:r>
        </w:p>
        <w:p w14:paraId="10EE943A" w14:textId="77777777" w:rsidR="002D0AE7" w:rsidRDefault="00333EBB">
          <w:pPr>
            <w:ind w:firstLineChars="200" w:firstLine="420"/>
            <w:rPr>
              <w:rFonts w:ascii="Arial Narrow" w:hAnsi="Arial Narrow"/>
              <w:sz w:val="21"/>
              <w:szCs w:val="21"/>
            </w:rPr>
          </w:pPr>
          <w:r>
            <w:rPr>
              <w:rFonts w:ascii="Arial Narrow" w:hAnsi="Arial Narrow" w:hint="eastAsia"/>
              <w:sz w:val="21"/>
              <w:szCs w:val="21"/>
            </w:rPr>
            <w:lastRenderedPageBreak/>
            <w:t>公司风险管理的目标是在风险和收益之间取得适当之平衡，将风险对公司经营业绩的负面影响降低到最低水平，使股东及其他权益投资者之利益最大化。基于该风险管理目标，本公司风险管理之基本策略是确定和分析本公司所面临之各种风险，建立适当之风险承受底线和进行风险管理，并及时可靠地对各种风险进行监督，将风险控制在限定之范围之内。</w:t>
          </w:r>
        </w:p>
        <w:p w14:paraId="2BB92BFF" w14:textId="77777777" w:rsidR="002D0AE7" w:rsidRDefault="00333EBB">
          <w:pPr>
            <w:ind w:firstLineChars="200" w:firstLine="420"/>
            <w:rPr>
              <w:rFonts w:ascii="Arial Narrow" w:hAnsi="Arial Narrow"/>
              <w:sz w:val="21"/>
              <w:szCs w:val="21"/>
            </w:rPr>
          </w:pPr>
          <w:r>
            <w:rPr>
              <w:rFonts w:ascii="Arial Narrow" w:hAnsi="Arial Narrow" w:hint="eastAsia"/>
              <w:sz w:val="21"/>
              <w:szCs w:val="21"/>
            </w:rPr>
            <w:t>公司的金融工具导致的主要风险是信用风险、流动风险及市场风险。公司经营管理层全面负责风险管理目标和政策的确定，并对风险管理目标和政策承担最终责任。</w:t>
          </w:r>
        </w:p>
        <w:p w14:paraId="79D98E94" w14:textId="77777777" w:rsidR="002D0AE7" w:rsidRDefault="00333EBB">
          <w:pPr>
            <w:ind w:firstLineChars="200" w:firstLine="422"/>
            <w:outlineLvl w:val="1"/>
            <w:rPr>
              <w:rFonts w:ascii="Arial Narrow" w:hAnsi="Arial Narrow"/>
              <w:b/>
              <w:bCs/>
              <w:sz w:val="21"/>
              <w:szCs w:val="21"/>
            </w:rPr>
          </w:pPr>
          <w:r>
            <w:rPr>
              <w:rFonts w:ascii="Arial Narrow" w:hAnsi="Arial Narrow" w:hint="eastAsia"/>
              <w:b/>
              <w:sz w:val="21"/>
              <w:szCs w:val="21"/>
            </w:rPr>
            <w:t>（一）</w:t>
          </w:r>
          <w:r>
            <w:rPr>
              <w:rFonts w:ascii="Arial Narrow" w:hAnsi="Arial Narrow"/>
              <w:b/>
              <w:sz w:val="21"/>
              <w:szCs w:val="21"/>
            </w:rPr>
            <w:t>信用风险</w:t>
          </w:r>
        </w:p>
        <w:p w14:paraId="2A3FC5C5" w14:textId="77777777" w:rsidR="002D0AE7" w:rsidRDefault="00333EBB">
          <w:pPr>
            <w:ind w:firstLineChars="200" w:firstLine="420"/>
            <w:rPr>
              <w:rFonts w:ascii="Arial Narrow" w:hAnsi="Arial Narrow"/>
              <w:sz w:val="21"/>
              <w:szCs w:val="21"/>
            </w:rPr>
          </w:pPr>
          <w:r>
            <w:rPr>
              <w:rFonts w:ascii="Arial Narrow" w:hAnsi="Arial Narrow" w:hint="eastAsia"/>
              <w:sz w:val="21"/>
              <w:szCs w:val="21"/>
            </w:rPr>
            <w:t>信用风险是指金融工具的一方不履行义务，造成另一方发生财务损失的风险。本公司主要面临赊销导致的客户信用风险。公司对信用风险按组合分类进行管理。信用风险主要产生于银行存款和应收款项等。公司银行存款主要存放于国有银行和其它大中型上市银行，公司预期银行存款不存在重大的信用风险。对于应收款项，公司设定相关政策以控制信用风险敞口。公司基于对债务人的财务状况、信用记录及其它因素诸如目前市场状况等评估债务人的信用资质并设置相应欠款额度与信用期限。对于信用记录不良的债务人，公司会采用书面催款、缩短信用期或取消信用期等方式，以确保本公司的整体信用风险在可控的范围内。此外，公司于资产负债表日审核应收款可回收情况，以确保就无法回收的款项计提充分的坏账准备。</w:t>
          </w:r>
        </w:p>
        <w:p w14:paraId="6B92CFBC" w14:textId="77777777" w:rsidR="002D0AE7" w:rsidRDefault="00333EBB">
          <w:pPr>
            <w:ind w:firstLineChars="200" w:firstLine="422"/>
            <w:outlineLvl w:val="1"/>
            <w:rPr>
              <w:rFonts w:ascii="Arial Narrow" w:hAnsi="Arial Narrow"/>
              <w:b/>
              <w:bCs/>
              <w:sz w:val="21"/>
              <w:szCs w:val="21"/>
            </w:rPr>
          </w:pPr>
          <w:r>
            <w:rPr>
              <w:rFonts w:ascii="Arial Narrow" w:hAnsi="Arial Narrow" w:hint="eastAsia"/>
              <w:b/>
              <w:sz w:val="21"/>
              <w:szCs w:val="21"/>
            </w:rPr>
            <w:t>（</w:t>
          </w:r>
          <w:r>
            <w:rPr>
              <w:rFonts w:ascii="Arial Narrow" w:hAnsi="Arial Narrow"/>
              <w:b/>
              <w:sz w:val="21"/>
              <w:szCs w:val="21"/>
            </w:rPr>
            <w:t>二）流动风险</w:t>
          </w:r>
        </w:p>
        <w:p w14:paraId="7A384FD6" w14:textId="77777777" w:rsidR="002D0AE7" w:rsidRDefault="00333EBB">
          <w:pPr>
            <w:ind w:firstLineChars="200" w:firstLine="420"/>
            <w:rPr>
              <w:rFonts w:ascii="Arial Narrow" w:hAnsi="Arial Narrow"/>
              <w:sz w:val="21"/>
              <w:szCs w:val="21"/>
            </w:rPr>
          </w:pPr>
          <w:r>
            <w:rPr>
              <w:rFonts w:ascii="Arial Narrow" w:hAnsi="Arial Narrow" w:hint="eastAsia"/>
              <w:sz w:val="21"/>
              <w:szCs w:val="21"/>
            </w:rPr>
            <w:t>流动风险，是指企业在履行以交付现金或其他金融资产的方式结算的义务时发生资金短缺的风险。公司的政策是确保拥有充足的现金以偿还到期债务。公司保持管理层认为充分的现金及现金等价物并对其进行监控，以满足本公司经营需要，并降低现金流量波动的影响。公司管理层对银行借款的使用情况进行监控并确保遵守借款协议。</w:t>
          </w:r>
        </w:p>
        <w:p w14:paraId="5D5BBE59" w14:textId="77777777" w:rsidR="002D0AE7" w:rsidRDefault="00333EBB">
          <w:pPr>
            <w:ind w:firstLineChars="200" w:firstLine="422"/>
            <w:outlineLvl w:val="1"/>
            <w:rPr>
              <w:rFonts w:ascii="Arial Narrow" w:hAnsi="Arial Narrow"/>
              <w:b/>
              <w:bCs/>
              <w:sz w:val="21"/>
              <w:szCs w:val="21"/>
            </w:rPr>
          </w:pPr>
          <w:r>
            <w:rPr>
              <w:rFonts w:ascii="Arial Narrow" w:hAnsi="Arial Narrow" w:hint="eastAsia"/>
              <w:b/>
              <w:sz w:val="21"/>
              <w:szCs w:val="21"/>
            </w:rPr>
            <w:t>（</w:t>
          </w:r>
          <w:r>
            <w:rPr>
              <w:rFonts w:ascii="Arial Narrow" w:hAnsi="Arial Narrow"/>
              <w:b/>
              <w:sz w:val="21"/>
              <w:szCs w:val="21"/>
            </w:rPr>
            <w:t>三）市场风险</w:t>
          </w:r>
        </w:p>
        <w:p w14:paraId="23A2550B" w14:textId="77777777" w:rsidR="002D0AE7" w:rsidRDefault="00333EBB">
          <w:pPr>
            <w:ind w:firstLineChars="200" w:firstLine="420"/>
            <w:rPr>
              <w:rFonts w:ascii="Arial Narrow" w:hAnsi="Arial Narrow"/>
              <w:sz w:val="21"/>
              <w:szCs w:val="21"/>
            </w:rPr>
          </w:pPr>
          <w:r>
            <w:rPr>
              <w:rFonts w:ascii="Arial Narrow" w:hAnsi="Arial Narrow" w:hint="eastAsia"/>
              <w:sz w:val="21"/>
              <w:szCs w:val="21"/>
            </w:rPr>
            <w:t>市场风险，是指金融工具的公允价值或未来现金流量因市场价格变动而发生波动的风险，包括汇率风险、利率风险和其他价格风险。</w:t>
          </w:r>
        </w:p>
        <w:p w14:paraId="25A55260" w14:textId="77777777" w:rsidR="002D0AE7" w:rsidRDefault="00333EBB">
          <w:pPr>
            <w:ind w:firstLineChars="200" w:firstLine="420"/>
            <w:rPr>
              <w:rFonts w:ascii="Arial Narrow" w:hAnsi="Arial Narrow"/>
              <w:sz w:val="21"/>
              <w:szCs w:val="21"/>
            </w:rPr>
          </w:pPr>
          <w:r>
            <w:rPr>
              <w:rFonts w:ascii="Arial Narrow" w:hAnsi="Arial Narrow" w:hint="eastAsia"/>
              <w:sz w:val="21"/>
              <w:szCs w:val="21"/>
            </w:rPr>
            <w:t>1</w:t>
          </w:r>
          <w:r>
            <w:rPr>
              <w:rFonts w:ascii="Arial Narrow" w:hAnsi="Arial Narrow" w:hint="eastAsia"/>
              <w:sz w:val="21"/>
              <w:szCs w:val="21"/>
            </w:rPr>
            <w:t>、利率风险利率风险是指金融工具的公允价值或未来现金流量因市场利率变动而发生波动的风险。利率风险可源于已确认的计息金融工具和未确认的金融工具。</w:t>
          </w:r>
        </w:p>
        <w:p w14:paraId="5255FC60" w14:textId="77777777" w:rsidR="002D0AE7" w:rsidRDefault="00333EBB">
          <w:pPr>
            <w:ind w:firstLineChars="200" w:firstLine="420"/>
            <w:rPr>
              <w:rFonts w:ascii="Arial Narrow" w:hAnsi="Arial Narrow"/>
              <w:sz w:val="21"/>
              <w:szCs w:val="21"/>
            </w:rPr>
          </w:pPr>
          <w:r>
            <w:rPr>
              <w:rFonts w:ascii="Arial Narrow" w:hAnsi="Arial Narrow" w:hint="eastAsia"/>
              <w:sz w:val="21"/>
              <w:szCs w:val="21"/>
            </w:rPr>
            <w:t>因利率变动引起金融工具现金流量变动的风险主要与浮动利率银行借款有关。本公司借款一般采用基准贷款利率或在此基础上浮动一定比例，受利率风险影响较小。</w:t>
          </w:r>
        </w:p>
        <w:p w14:paraId="47BFBE00" w14:textId="77777777" w:rsidR="002D0AE7" w:rsidRDefault="00333EBB">
          <w:pPr>
            <w:ind w:firstLineChars="200" w:firstLine="420"/>
            <w:rPr>
              <w:rFonts w:hint="eastAsia"/>
              <w:b/>
              <w:color w:val="000000" w:themeColor="text1"/>
            </w:rPr>
          </w:pPr>
          <w:r>
            <w:rPr>
              <w:rFonts w:ascii="Arial Narrow" w:hAnsi="Arial Narrow" w:hint="eastAsia"/>
              <w:sz w:val="21"/>
              <w:szCs w:val="21"/>
            </w:rPr>
            <w:t>2</w:t>
          </w:r>
          <w:r>
            <w:rPr>
              <w:rFonts w:ascii="Arial Narrow" w:hAnsi="Arial Narrow" w:hint="eastAsia"/>
              <w:sz w:val="21"/>
              <w:szCs w:val="21"/>
            </w:rPr>
            <w:t>、外汇风险外汇风险指因汇率变动产生损失的风险。本公司承受外汇风险主要与美元有关，除本公司的几个下属子公司以美元进行采购和销售外，本公司的其他主要业务活动以人民币计价结算。公司出口销售主要以美元结算，因此人民币对外币，尤其是对美元汇率的波动会对公司的利润产生一定影响。汇率下降会降低公司产品在国际市场上的价格竞争力，将对出口比重较高的公司的生产经营产生一定的影响。公司一方面重点加强对外汇市场信息的收集和整理，对人民币汇率波动进行跟踪研究，根据汇率波动适时调整产品价格和国内外原材料采购计划，规避汇率风险；另一方面通过出口押汇、及时结汇，控制结汇风险，将长期订单、大额订单分解成多批次的短期、小额订单方式规避汇率风险。近年来，公司在海外市场业务拓展的同时，通过以上措施有效降低汇兑损失，发挥了较强的规避汇率风险能力。故本公司管理层认为，外汇风险对财务报表无重大影响。</w:t>
          </w:r>
        </w:p>
      </w:sdtContent>
    </w:sdt>
    <w:bookmarkEnd w:id="232"/>
    <w:p w14:paraId="21E8D8A6" w14:textId="77777777" w:rsidR="002D0AE7" w:rsidRDefault="00333EBB">
      <w:pPr>
        <w:pStyle w:val="2"/>
        <w:numPr>
          <w:ilvl w:val="0"/>
          <w:numId w:val="34"/>
        </w:numPr>
        <w:ind w:left="482" w:hanging="482"/>
        <w:rPr>
          <w:rFonts w:ascii="宋体" w:hAnsi="宋体" w:hint="eastAsia"/>
          <w:color w:val="000000" w:themeColor="text1"/>
        </w:rPr>
      </w:pPr>
      <w:r>
        <w:rPr>
          <w:rFonts w:ascii="宋体" w:hAnsi="宋体" w:hint="eastAsia"/>
          <w:color w:val="000000" w:themeColor="text1"/>
        </w:rPr>
        <w:t>公允价值的披露</w:t>
      </w:r>
    </w:p>
    <w:p w14:paraId="7CCC1930" w14:textId="77777777" w:rsidR="002D0AE7" w:rsidRDefault="00333EBB">
      <w:pPr>
        <w:pStyle w:val="3"/>
        <w:numPr>
          <w:ilvl w:val="0"/>
          <w:numId w:val="79"/>
        </w:numPr>
        <w:rPr>
          <w:rFonts w:ascii="宋体" w:hAnsi="宋体" w:hint="eastAsia"/>
          <w:color w:val="000000" w:themeColor="text1"/>
        </w:rPr>
      </w:pPr>
      <w:bookmarkStart w:id="233" w:name="_Hlk10539195"/>
      <w:r>
        <w:rPr>
          <w:rFonts w:ascii="宋体" w:hAnsi="宋体" w:hint="eastAsia"/>
          <w:color w:val="000000" w:themeColor="text1"/>
        </w:rPr>
        <w:t>以公允价值计量的资产和负债的期末公允价值</w:t>
      </w:r>
    </w:p>
    <w:sdt>
      <w:sdtPr>
        <w:rPr>
          <w:color w:val="000000" w:themeColor="text1"/>
        </w:rPr>
        <w:alias w:val="是否适用：以公允价值计量的资产和负债的期末公允价值[双击切换]"/>
        <w:tag w:val="_GBC_291486261b6a4e8092eea55d961b7664"/>
        <w:id w:val="122590195"/>
        <w:placeholder>
          <w:docPart w:val="GBC22222222222222222222222222222"/>
        </w:placeholder>
      </w:sdtPr>
      <w:sdtEndPr/>
      <w:sdtContent>
        <w:p w14:paraId="3CEF522E"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44307F69"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以公允价值计量的资产和负债的期末公允价值"/>
          <w:tag w:val="_GBC_4b785696cde44d3f8a4a7d28ab963e38"/>
          <w:id w:val="50833507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以公允价值计量的资产和负债的期末公允价值"/>
          <w:tag w:val="_GBC_3bb5670d72804a4b8298edc3e439955a"/>
          <w:id w:val="-116384673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85"/>
        <w:gridCol w:w="1654"/>
        <w:gridCol w:w="1617"/>
        <w:gridCol w:w="1681"/>
        <w:gridCol w:w="1516"/>
      </w:tblGrid>
      <w:tr w:rsidR="002D0AE7" w14:paraId="2BA6D59E" w14:textId="77777777">
        <w:trPr>
          <w:trHeight w:val="145"/>
          <w:jc w:val="center"/>
        </w:trPr>
        <w:sdt>
          <w:sdtPr>
            <w:rPr>
              <w:color w:val="000000" w:themeColor="text1"/>
              <w:sz w:val="21"/>
              <w:szCs w:val="21"/>
            </w:rPr>
            <w:tag w:val="_PLD_25e2bb7801744f08a089c0e6a2b31b9b"/>
            <w:id w:val="-1189983314"/>
          </w:sdtPr>
          <w:sdtEndPr/>
          <w:sdtContent>
            <w:tc>
              <w:tcPr>
                <w:tcW w:w="1876" w:type="pct"/>
                <w:vMerge w:val="restart"/>
                <w:tcBorders>
                  <w:top w:val="single" w:sz="4" w:space="0" w:color="auto"/>
                  <w:left w:val="single" w:sz="4" w:space="0" w:color="auto"/>
                  <w:right w:val="single" w:sz="4" w:space="0" w:color="auto"/>
                </w:tcBorders>
                <w:shd w:val="clear" w:color="auto" w:fill="auto"/>
                <w:vAlign w:val="center"/>
              </w:tcPr>
              <w:p w14:paraId="1394AAAD" w14:textId="77777777" w:rsidR="002D0AE7" w:rsidRDefault="00333EBB">
                <w:pPr>
                  <w:jc w:val="center"/>
                  <w:outlineLvl w:val="2"/>
                  <w:rPr>
                    <w:rFonts w:cs="Cambria" w:hint="eastAsia"/>
                    <w:color w:val="000000" w:themeColor="text1"/>
                    <w:sz w:val="21"/>
                    <w:szCs w:val="21"/>
                  </w:rPr>
                </w:pPr>
                <w:r>
                  <w:rPr>
                    <w:rFonts w:cs="Cambria" w:hint="eastAsia"/>
                    <w:color w:val="000000" w:themeColor="text1"/>
                    <w:sz w:val="21"/>
                    <w:szCs w:val="21"/>
                  </w:rPr>
                  <w:t>项目</w:t>
                </w:r>
              </w:p>
            </w:tc>
          </w:sdtContent>
        </w:sdt>
        <w:sdt>
          <w:sdtPr>
            <w:rPr>
              <w:color w:val="000000" w:themeColor="text1"/>
              <w:sz w:val="21"/>
              <w:szCs w:val="21"/>
            </w:rPr>
            <w:tag w:val="_PLD_ad919f08ba5040a28e31328eb66da0bf"/>
            <w:id w:val="-1175876618"/>
          </w:sdtPr>
          <w:sdtEndPr/>
          <w:sdtContent>
            <w:tc>
              <w:tcPr>
                <w:tcW w:w="312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6465EB" w14:textId="77777777" w:rsidR="002D0AE7" w:rsidRDefault="00333EBB">
                <w:pPr>
                  <w:jc w:val="center"/>
                  <w:outlineLvl w:val="2"/>
                  <w:rPr>
                    <w:rFonts w:cs="Cambria" w:hint="eastAsia"/>
                    <w:color w:val="000000" w:themeColor="text1"/>
                    <w:sz w:val="21"/>
                    <w:szCs w:val="21"/>
                  </w:rPr>
                </w:pPr>
                <w:r>
                  <w:rPr>
                    <w:rFonts w:cs="Cambria" w:hint="eastAsia"/>
                    <w:color w:val="000000" w:themeColor="text1"/>
                    <w:sz w:val="21"/>
                    <w:szCs w:val="21"/>
                  </w:rPr>
                  <w:t>期末公允价值</w:t>
                </w:r>
              </w:p>
            </w:tc>
          </w:sdtContent>
        </w:sdt>
      </w:tr>
      <w:tr w:rsidR="002D0AE7" w14:paraId="60F44786" w14:textId="77777777">
        <w:trPr>
          <w:trHeight w:val="145"/>
          <w:jc w:val="center"/>
        </w:trPr>
        <w:tc>
          <w:tcPr>
            <w:tcW w:w="1876" w:type="pct"/>
            <w:vMerge/>
            <w:tcBorders>
              <w:left w:val="single" w:sz="4" w:space="0" w:color="auto"/>
              <w:bottom w:val="single" w:sz="4" w:space="0" w:color="auto"/>
              <w:right w:val="single" w:sz="4" w:space="0" w:color="auto"/>
            </w:tcBorders>
            <w:shd w:val="clear" w:color="auto" w:fill="auto"/>
            <w:vAlign w:val="center"/>
          </w:tcPr>
          <w:p w14:paraId="3A5DE1CB" w14:textId="77777777" w:rsidR="002D0AE7" w:rsidRDefault="002D0AE7">
            <w:pPr>
              <w:jc w:val="center"/>
              <w:outlineLvl w:val="2"/>
              <w:rPr>
                <w:rFonts w:cs="Cambria" w:hint="eastAsia"/>
                <w:color w:val="000000" w:themeColor="text1"/>
                <w:sz w:val="21"/>
                <w:szCs w:val="21"/>
              </w:rPr>
            </w:pPr>
          </w:p>
        </w:tc>
        <w:sdt>
          <w:sdtPr>
            <w:rPr>
              <w:color w:val="000000" w:themeColor="text1"/>
              <w:sz w:val="21"/>
              <w:szCs w:val="21"/>
            </w:rPr>
            <w:tag w:val="_PLD_4bb34c3d92bf450fb80f7c0c95977a2b"/>
            <w:id w:val="-1146438425"/>
          </w:sdtPr>
          <w:sdtEndPr/>
          <w:sdtContent>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14:paraId="3EAC08F4" w14:textId="77777777" w:rsidR="002D0AE7" w:rsidRDefault="00333EBB">
                <w:pPr>
                  <w:jc w:val="center"/>
                  <w:outlineLvl w:val="2"/>
                  <w:rPr>
                    <w:rFonts w:cs="Cambria" w:hint="eastAsia"/>
                    <w:color w:val="000000" w:themeColor="text1"/>
                    <w:sz w:val="21"/>
                    <w:szCs w:val="21"/>
                  </w:rPr>
                </w:pPr>
                <w:r>
                  <w:rPr>
                    <w:rFonts w:cs="Cambria" w:hint="eastAsia"/>
                    <w:color w:val="000000" w:themeColor="text1"/>
                    <w:sz w:val="21"/>
                    <w:szCs w:val="21"/>
                  </w:rPr>
                  <w:t>第一层次公允价值计量</w:t>
                </w:r>
              </w:p>
            </w:tc>
          </w:sdtContent>
        </w:sdt>
        <w:sdt>
          <w:sdtPr>
            <w:rPr>
              <w:color w:val="000000" w:themeColor="text1"/>
              <w:sz w:val="21"/>
              <w:szCs w:val="21"/>
            </w:rPr>
            <w:tag w:val="_PLD_08753059c9e04a10af2918fbc1559bed"/>
            <w:id w:val="1359311340"/>
          </w:sdtPr>
          <w:sdtEndPr/>
          <w:sdtContent>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68E05B2B" w14:textId="77777777" w:rsidR="002D0AE7" w:rsidRDefault="00333EBB">
                <w:pPr>
                  <w:jc w:val="center"/>
                  <w:outlineLvl w:val="2"/>
                  <w:rPr>
                    <w:rFonts w:cs="Cambria" w:hint="eastAsia"/>
                    <w:color w:val="000000" w:themeColor="text1"/>
                    <w:sz w:val="21"/>
                    <w:szCs w:val="21"/>
                  </w:rPr>
                </w:pPr>
                <w:r>
                  <w:rPr>
                    <w:rFonts w:cs="Cambria" w:hint="eastAsia"/>
                    <w:color w:val="000000" w:themeColor="text1"/>
                    <w:sz w:val="21"/>
                    <w:szCs w:val="21"/>
                  </w:rPr>
                  <w:t>第二层次公允价值计量</w:t>
                </w:r>
              </w:p>
            </w:tc>
          </w:sdtContent>
        </w:sdt>
        <w:sdt>
          <w:sdtPr>
            <w:rPr>
              <w:color w:val="000000" w:themeColor="text1"/>
              <w:sz w:val="21"/>
              <w:szCs w:val="21"/>
            </w:rPr>
            <w:tag w:val="_PLD_b263de838c9c4afa9fddb6dee6409a62"/>
            <w:id w:val="-1007514032"/>
          </w:sdtPr>
          <w:sdtEndPr/>
          <w:sdtContent>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14:paraId="02167B5C" w14:textId="77777777" w:rsidR="002D0AE7" w:rsidRDefault="00333EBB">
                <w:pPr>
                  <w:jc w:val="center"/>
                  <w:outlineLvl w:val="2"/>
                  <w:rPr>
                    <w:rFonts w:cs="Cambria" w:hint="eastAsia"/>
                    <w:color w:val="000000" w:themeColor="text1"/>
                    <w:sz w:val="21"/>
                    <w:szCs w:val="21"/>
                  </w:rPr>
                </w:pPr>
                <w:r>
                  <w:rPr>
                    <w:rFonts w:cs="Cambria" w:hint="eastAsia"/>
                    <w:color w:val="000000" w:themeColor="text1"/>
                    <w:sz w:val="21"/>
                    <w:szCs w:val="21"/>
                  </w:rPr>
                  <w:t>第三层次公允价值计量</w:t>
                </w:r>
              </w:p>
            </w:tc>
          </w:sdtContent>
        </w:sdt>
        <w:sdt>
          <w:sdtPr>
            <w:rPr>
              <w:color w:val="000000" w:themeColor="text1"/>
              <w:sz w:val="21"/>
              <w:szCs w:val="21"/>
            </w:rPr>
            <w:tag w:val="_PLD_50eba344a451417c8072228a7a4959c5"/>
            <w:id w:val="-294457168"/>
          </w:sdtPr>
          <w:sdtEndPr/>
          <w:sdtContent>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338719C4" w14:textId="77777777" w:rsidR="002D0AE7" w:rsidRDefault="00333EBB">
                <w:pPr>
                  <w:jc w:val="center"/>
                  <w:outlineLvl w:val="2"/>
                  <w:rPr>
                    <w:rFonts w:cs="Cambria" w:hint="eastAsia"/>
                    <w:color w:val="000000" w:themeColor="text1"/>
                    <w:sz w:val="21"/>
                    <w:szCs w:val="21"/>
                  </w:rPr>
                </w:pPr>
                <w:r>
                  <w:rPr>
                    <w:rFonts w:cs="Cambria" w:hint="eastAsia"/>
                    <w:color w:val="000000" w:themeColor="text1"/>
                    <w:sz w:val="21"/>
                    <w:szCs w:val="21"/>
                  </w:rPr>
                  <w:t>合计</w:t>
                </w:r>
              </w:p>
            </w:tc>
          </w:sdtContent>
        </w:sdt>
      </w:tr>
      <w:tr w:rsidR="002D0AE7" w14:paraId="71638628" w14:textId="77777777">
        <w:trPr>
          <w:trHeight w:val="227"/>
          <w:jc w:val="center"/>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1668CFED" w14:textId="77777777" w:rsidR="002D0AE7" w:rsidRDefault="00333EBB">
            <w:pPr>
              <w:outlineLvl w:val="2"/>
              <w:rPr>
                <w:rFonts w:cs="Cambria" w:hint="eastAsia"/>
                <w:b/>
                <w:color w:val="000000" w:themeColor="text1"/>
                <w:sz w:val="21"/>
                <w:szCs w:val="21"/>
              </w:rPr>
            </w:pPr>
            <w:r>
              <w:rPr>
                <w:rFonts w:cs="Cambria" w:hint="eastAsia"/>
                <w:b/>
                <w:color w:val="000000" w:themeColor="text1"/>
                <w:sz w:val="21"/>
                <w:szCs w:val="21"/>
              </w:rPr>
              <w:t>一、持续的公允价值计量</w:t>
            </w:r>
          </w:p>
        </w:tc>
        <w:tc>
          <w:tcPr>
            <w:tcW w:w="799" w:type="pct"/>
            <w:tcBorders>
              <w:top w:val="single" w:sz="4" w:space="0" w:color="auto"/>
              <w:left w:val="single" w:sz="4" w:space="0" w:color="auto"/>
              <w:bottom w:val="single" w:sz="4" w:space="0" w:color="auto"/>
              <w:right w:val="single" w:sz="4" w:space="0" w:color="auto"/>
            </w:tcBorders>
            <w:vAlign w:val="center"/>
          </w:tcPr>
          <w:p w14:paraId="4DFD6E52" w14:textId="77777777" w:rsidR="002D0AE7" w:rsidRDefault="002D0AE7">
            <w:pPr>
              <w:jc w:val="right"/>
              <w:outlineLvl w:val="2"/>
              <w:rPr>
                <w:rFonts w:cs="Cambria" w:hint="eastAsia"/>
                <w:sz w:val="21"/>
                <w:szCs w:val="21"/>
              </w:rPr>
            </w:pPr>
          </w:p>
        </w:tc>
        <w:tc>
          <w:tcPr>
            <w:tcW w:w="781" w:type="pct"/>
            <w:tcBorders>
              <w:top w:val="single" w:sz="4" w:space="0" w:color="auto"/>
              <w:left w:val="single" w:sz="4" w:space="0" w:color="auto"/>
              <w:bottom w:val="single" w:sz="4" w:space="0" w:color="auto"/>
              <w:right w:val="single" w:sz="4" w:space="0" w:color="auto"/>
            </w:tcBorders>
            <w:vAlign w:val="center"/>
          </w:tcPr>
          <w:p w14:paraId="0E7E149C" w14:textId="77777777" w:rsidR="002D0AE7" w:rsidRDefault="002D0AE7">
            <w:pPr>
              <w:jc w:val="right"/>
              <w:outlineLvl w:val="2"/>
              <w:rPr>
                <w:rFonts w:cs="Cambria" w:hint="eastAsia"/>
                <w:sz w:val="21"/>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15E96FD4" w14:textId="77777777" w:rsidR="002D0AE7" w:rsidRDefault="002D0AE7">
            <w:pPr>
              <w:jc w:val="right"/>
              <w:outlineLvl w:val="2"/>
              <w:rPr>
                <w:rFonts w:cs="Cambria" w:hint="eastAsia"/>
                <w:sz w:val="21"/>
                <w:szCs w:val="21"/>
              </w:rPr>
            </w:pPr>
          </w:p>
        </w:tc>
        <w:tc>
          <w:tcPr>
            <w:tcW w:w="731" w:type="pct"/>
            <w:tcBorders>
              <w:top w:val="single" w:sz="4" w:space="0" w:color="auto"/>
              <w:left w:val="single" w:sz="4" w:space="0" w:color="auto"/>
              <w:bottom w:val="single" w:sz="4" w:space="0" w:color="auto"/>
              <w:right w:val="single" w:sz="4" w:space="0" w:color="auto"/>
            </w:tcBorders>
            <w:vAlign w:val="center"/>
          </w:tcPr>
          <w:p w14:paraId="3773D29C" w14:textId="77777777" w:rsidR="002D0AE7" w:rsidRDefault="002D0AE7">
            <w:pPr>
              <w:jc w:val="right"/>
              <w:outlineLvl w:val="2"/>
              <w:rPr>
                <w:rFonts w:cs="Cambria" w:hint="eastAsia"/>
                <w:sz w:val="21"/>
                <w:szCs w:val="21"/>
              </w:rPr>
            </w:pPr>
          </w:p>
        </w:tc>
      </w:tr>
      <w:tr w:rsidR="002D0AE7" w14:paraId="6A0FCC4E" w14:textId="77777777">
        <w:trPr>
          <w:trHeight w:val="240"/>
          <w:jc w:val="center"/>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121EA46B" w14:textId="77777777" w:rsidR="002D0AE7" w:rsidRDefault="00333EBB">
            <w:pPr>
              <w:outlineLvl w:val="2"/>
              <w:rPr>
                <w:rFonts w:hint="eastAsia"/>
                <w:color w:val="000000" w:themeColor="text1"/>
                <w:sz w:val="21"/>
                <w:szCs w:val="21"/>
              </w:rPr>
            </w:pPr>
            <w:r>
              <w:rPr>
                <w:rFonts w:hint="eastAsia"/>
                <w:color w:val="000000" w:themeColor="text1"/>
                <w:sz w:val="21"/>
                <w:szCs w:val="21"/>
              </w:rPr>
              <w:t>（一）</w:t>
            </w:r>
            <w:r>
              <w:rPr>
                <w:rFonts w:hint="eastAsia"/>
                <w:color w:val="000000" w:themeColor="text1"/>
                <w:sz w:val="21"/>
                <w:szCs w:val="21"/>
                <w:shd w:val="solid" w:color="FFFFFF" w:fill="auto"/>
              </w:rPr>
              <w:t>交易性金融资产</w:t>
            </w:r>
          </w:p>
        </w:tc>
        <w:tc>
          <w:tcPr>
            <w:tcW w:w="799" w:type="pct"/>
            <w:tcBorders>
              <w:top w:val="single" w:sz="4" w:space="0" w:color="auto"/>
              <w:left w:val="single" w:sz="4" w:space="0" w:color="auto"/>
              <w:bottom w:val="single" w:sz="4" w:space="0" w:color="auto"/>
              <w:right w:val="single" w:sz="4" w:space="0" w:color="auto"/>
            </w:tcBorders>
            <w:vAlign w:val="center"/>
          </w:tcPr>
          <w:p w14:paraId="3C966853" w14:textId="77777777" w:rsidR="002D0AE7" w:rsidRDefault="002D0AE7">
            <w:pPr>
              <w:jc w:val="right"/>
              <w:outlineLvl w:val="2"/>
              <w:rPr>
                <w:rFonts w:cs="Cambria" w:hint="eastAsia"/>
                <w:sz w:val="21"/>
                <w:szCs w:val="21"/>
              </w:rPr>
            </w:pPr>
          </w:p>
        </w:tc>
        <w:tc>
          <w:tcPr>
            <w:tcW w:w="781" w:type="pct"/>
            <w:tcBorders>
              <w:top w:val="single" w:sz="4" w:space="0" w:color="auto"/>
              <w:left w:val="single" w:sz="4" w:space="0" w:color="auto"/>
              <w:bottom w:val="single" w:sz="4" w:space="0" w:color="auto"/>
              <w:right w:val="single" w:sz="4" w:space="0" w:color="auto"/>
            </w:tcBorders>
            <w:vAlign w:val="center"/>
          </w:tcPr>
          <w:p w14:paraId="712D0E9E" w14:textId="77777777" w:rsidR="002D0AE7" w:rsidRDefault="002D0AE7">
            <w:pPr>
              <w:jc w:val="right"/>
              <w:outlineLvl w:val="2"/>
              <w:rPr>
                <w:rFonts w:cs="Cambria" w:hint="eastAsia"/>
                <w:sz w:val="21"/>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6896B4C3" w14:textId="77777777" w:rsidR="002D0AE7" w:rsidRDefault="002D0AE7">
            <w:pPr>
              <w:jc w:val="right"/>
              <w:outlineLvl w:val="2"/>
              <w:rPr>
                <w:rFonts w:cs="Cambria" w:hint="eastAsia"/>
                <w:sz w:val="21"/>
                <w:szCs w:val="21"/>
              </w:rPr>
            </w:pPr>
          </w:p>
        </w:tc>
        <w:tc>
          <w:tcPr>
            <w:tcW w:w="731" w:type="pct"/>
            <w:tcBorders>
              <w:top w:val="single" w:sz="4" w:space="0" w:color="auto"/>
              <w:left w:val="single" w:sz="4" w:space="0" w:color="auto"/>
              <w:bottom w:val="single" w:sz="4" w:space="0" w:color="auto"/>
              <w:right w:val="single" w:sz="4" w:space="0" w:color="auto"/>
            </w:tcBorders>
            <w:vAlign w:val="center"/>
          </w:tcPr>
          <w:p w14:paraId="78A1964C" w14:textId="77777777" w:rsidR="002D0AE7" w:rsidRDefault="002D0AE7">
            <w:pPr>
              <w:jc w:val="right"/>
              <w:outlineLvl w:val="2"/>
              <w:rPr>
                <w:rFonts w:cs="Cambria" w:hint="eastAsia"/>
                <w:sz w:val="21"/>
                <w:szCs w:val="21"/>
              </w:rPr>
            </w:pPr>
          </w:p>
        </w:tc>
      </w:tr>
      <w:tr w:rsidR="002D0AE7" w14:paraId="0A440961" w14:textId="77777777">
        <w:trPr>
          <w:trHeight w:val="240"/>
          <w:jc w:val="center"/>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7B1DBF59" w14:textId="77777777" w:rsidR="002D0AE7" w:rsidRDefault="00333EBB">
            <w:pPr>
              <w:outlineLvl w:val="2"/>
              <w:rPr>
                <w:rFonts w:hint="eastAsia"/>
                <w:color w:val="000000" w:themeColor="text1"/>
                <w:sz w:val="21"/>
                <w:szCs w:val="21"/>
              </w:rPr>
            </w:pPr>
            <w:r>
              <w:rPr>
                <w:color w:val="000000" w:themeColor="text1"/>
                <w:sz w:val="21"/>
                <w:szCs w:val="21"/>
              </w:rPr>
              <w:t>1.</w:t>
            </w:r>
            <w:r>
              <w:rPr>
                <w:color w:val="000000" w:themeColor="text1"/>
                <w:sz w:val="21"/>
                <w:szCs w:val="21"/>
              </w:rPr>
              <w:t>以公允价值计量且变动计入当期损益的金融资产</w:t>
            </w:r>
          </w:p>
        </w:tc>
        <w:tc>
          <w:tcPr>
            <w:tcW w:w="799" w:type="pct"/>
            <w:tcBorders>
              <w:top w:val="single" w:sz="4" w:space="0" w:color="auto"/>
              <w:left w:val="single" w:sz="4" w:space="0" w:color="auto"/>
              <w:bottom w:val="single" w:sz="4" w:space="0" w:color="auto"/>
              <w:right w:val="single" w:sz="4" w:space="0" w:color="auto"/>
            </w:tcBorders>
            <w:vAlign w:val="center"/>
          </w:tcPr>
          <w:p w14:paraId="3F42B291" w14:textId="77777777" w:rsidR="002D0AE7" w:rsidRDefault="002D0AE7">
            <w:pPr>
              <w:jc w:val="right"/>
              <w:outlineLvl w:val="2"/>
              <w:rPr>
                <w:rFonts w:cs="Cambria" w:hint="eastAsia"/>
                <w:sz w:val="21"/>
                <w:szCs w:val="21"/>
              </w:rPr>
            </w:pPr>
          </w:p>
        </w:tc>
        <w:tc>
          <w:tcPr>
            <w:tcW w:w="781" w:type="pct"/>
            <w:tcBorders>
              <w:top w:val="single" w:sz="4" w:space="0" w:color="auto"/>
              <w:left w:val="single" w:sz="4" w:space="0" w:color="auto"/>
              <w:bottom w:val="single" w:sz="4" w:space="0" w:color="auto"/>
              <w:right w:val="single" w:sz="4" w:space="0" w:color="auto"/>
            </w:tcBorders>
            <w:vAlign w:val="center"/>
          </w:tcPr>
          <w:p w14:paraId="7CC93A9D" w14:textId="77777777" w:rsidR="002D0AE7" w:rsidRDefault="002D0AE7">
            <w:pPr>
              <w:jc w:val="right"/>
              <w:outlineLvl w:val="2"/>
              <w:rPr>
                <w:rFonts w:cs="Cambria" w:hint="eastAsia"/>
                <w:sz w:val="21"/>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4EDAA659" w14:textId="77777777" w:rsidR="002D0AE7" w:rsidRDefault="002D0AE7">
            <w:pPr>
              <w:jc w:val="right"/>
              <w:outlineLvl w:val="2"/>
              <w:rPr>
                <w:rFonts w:cs="Cambria" w:hint="eastAsia"/>
                <w:sz w:val="21"/>
                <w:szCs w:val="21"/>
              </w:rPr>
            </w:pPr>
          </w:p>
        </w:tc>
        <w:tc>
          <w:tcPr>
            <w:tcW w:w="731" w:type="pct"/>
            <w:tcBorders>
              <w:top w:val="single" w:sz="4" w:space="0" w:color="auto"/>
              <w:left w:val="single" w:sz="4" w:space="0" w:color="auto"/>
              <w:bottom w:val="single" w:sz="4" w:space="0" w:color="auto"/>
              <w:right w:val="single" w:sz="4" w:space="0" w:color="auto"/>
            </w:tcBorders>
            <w:vAlign w:val="center"/>
          </w:tcPr>
          <w:p w14:paraId="352C945A" w14:textId="77777777" w:rsidR="002D0AE7" w:rsidRDefault="002D0AE7">
            <w:pPr>
              <w:jc w:val="right"/>
              <w:outlineLvl w:val="2"/>
              <w:rPr>
                <w:rFonts w:cs="Cambria" w:hint="eastAsia"/>
                <w:sz w:val="21"/>
                <w:szCs w:val="21"/>
              </w:rPr>
            </w:pPr>
          </w:p>
        </w:tc>
      </w:tr>
      <w:tr w:rsidR="002D0AE7" w14:paraId="5F5F4870" w14:textId="77777777">
        <w:trPr>
          <w:trHeight w:val="240"/>
          <w:jc w:val="center"/>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6F28890E" w14:textId="77777777" w:rsidR="002D0AE7" w:rsidRDefault="00333EBB">
            <w:pPr>
              <w:outlineLvl w:val="2"/>
              <w:rPr>
                <w:rFonts w:cs="Cambria" w:hint="eastAsia"/>
                <w:color w:val="000000" w:themeColor="text1"/>
                <w:sz w:val="21"/>
                <w:szCs w:val="21"/>
              </w:rPr>
            </w:pPr>
            <w:r>
              <w:rPr>
                <w:rFonts w:cs="Cambria" w:hint="eastAsia"/>
                <w:color w:val="000000" w:themeColor="text1"/>
                <w:sz w:val="21"/>
                <w:szCs w:val="21"/>
              </w:rPr>
              <w:lastRenderedPageBreak/>
              <w:t>（</w:t>
            </w:r>
            <w:r>
              <w:rPr>
                <w:rFonts w:cs="Cambria"/>
                <w:color w:val="000000" w:themeColor="text1"/>
                <w:sz w:val="21"/>
                <w:szCs w:val="21"/>
              </w:rPr>
              <w:t>1</w:t>
            </w:r>
            <w:r>
              <w:rPr>
                <w:rFonts w:cs="Cambria" w:hint="eastAsia"/>
                <w:color w:val="000000" w:themeColor="text1"/>
                <w:sz w:val="21"/>
                <w:szCs w:val="21"/>
              </w:rPr>
              <w:t>）债务工具投资</w:t>
            </w:r>
          </w:p>
        </w:tc>
        <w:tc>
          <w:tcPr>
            <w:tcW w:w="799" w:type="pct"/>
            <w:tcBorders>
              <w:top w:val="single" w:sz="4" w:space="0" w:color="auto"/>
              <w:left w:val="single" w:sz="4" w:space="0" w:color="auto"/>
              <w:bottom w:val="single" w:sz="4" w:space="0" w:color="auto"/>
              <w:right w:val="single" w:sz="4" w:space="0" w:color="auto"/>
            </w:tcBorders>
            <w:vAlign w:val="center"/>
          </w:tcPr>
          <w:p w14:paraId="011ECE7C" w14:textId="77777777" w:rsidR="002D0AE7" w:rsidRDefault="002D0AE7">
            <w:pPr>
              <w:jc w:val="right"/>
              <w:outlineLvl w:val="2"/>
              <w:rPr>
                <w:rFonts w:cs="Cambria" w:hint="eastAsia"/>
                <w:sz w:val="21"/>
                <w:szCs w:val="21"/>
              </w:rPr>
            </w:pPr>
          </w:p>
        </w:tc>
        <w:tc>
          <w:tcPr>
            <w:tcW w:w="781" w:type="pct"/>
            <w:tcBorders>
              <w:top w:val="single" w:sz="4" w:space="0" w:color="auto"/>
              <w:left w:val="single" w:sz="4" w:space="0" w:color="auto"/>
              <w:bottom w:val="single" w:sz="4" w:space="0" w:color="auto"/>
              <w:right w:val="single" w:sz="4" w:space="0" w:color="auto"/>
            </w:tcBorders>
            <w:vAlign w:val="center"/>
          </w:tcPr>
          <w:p w14:paraId="15E409D8" w14:textId="77777777" w:rsidR="002D0AE7" w:rsidRDefault="002D0AE7">
            <w:pPr>
              <w:jc w:val="right"/>
              <w:outlineLvl w:val="2"/>
              <w:rPr>
                <w:rFonts w:cs="Cambria" w:hint="eastAsia"/>
                <w:sz w:val="21"/>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685A700B" w14:textId="77777777" w:rsidR="002D0AE7" w:rsidRDefault="002D0AE7">
            <w:pPr>
              <w:jc w:val="right"/>
              <w:outlineLvl w:val="2"/>
              <w:rPr>
                <w:rFonts w:cs="Cambria" w:hint="eastAsia"/>
                <w:sz w:val="21"/>
                <w:szCs w:val="21"/>
              </w:rPr>
            </w:pPr>
          </w:p>
        </w:tc>
        <w:tc>
          <w:tcPr>
            <w:tcW w:w="731" w:type="pct"/>
            <w:tcBorders>
              <w:top w:val="single" w:sz="4" w:space="0" w:color="auto"/>
              <w:left w:val="single" w:sz="4" w:space="0" w:color="auto"/>
              <w:bottom w:val="single" w:sz="4" w:space="0" w:color="auto"/>
              <w:right w:val="single" w:sz="4" w:space="0" w:color="auto"/>
            </w:tcBorders>
            <w:vAlign w:val="center"/>
          </w:tcPr>
          <w:p w14:paraId="708953C3" w14:textId="77777777" w:rsidR="002D0AE7" w:rsidRDefault="002D0AE7">
            <w:pPr>
              <w:jc w:val="right"/>
              <w:outlineLvl w:val="2"/>
              <w:rPr>
                <w:rFonts w:cs="Cambria" w:hint="eastAsia"/>
                <w:sz w:val="21"/>
                <w:szCs w:val="21"/>
              </w:rPr>
            </w:pPr>
          </w:p>
        </w:tc>
      </w:tr>
      <w:tr w:rsidR="002D0AE7" w14:paraId="315AE8AB" w14:textId="77777777">
        <w:trPr>
          <w:trHeight w:val="240"/>
          <w:jc w:val="center"/>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656AE067" w14:textId="77777777" w:rsidR="002D0AE7" w:rsidRDefault="00333EBB">
            <w:pPr>
              <w:outlineLvl w:val="2"/>
              <w:rPr>
                <w:rFonts w:cs="Cambria" w:hint="eastAsia"/>
                <w:color w:val="000000" w:themeColor="text1"/>
                <w:sz w:val="21"/>
                <w:szCs w:val="21"/>
              </w:rPr>
            </w:pPr>
            <w:r>
              <w:rPr>
                <w:rFonts w:cs="Cambria" w:hint="eastAsia"/>
                <w:color w:val="000000" w:themeColor="text1"/>
                <w:sz w:val="21"/>
                <w:szCs w:val="21"/>
              </w:rPr>
              <w:t>（</w:t>
            </w:r>
            <w:r>
              <w:rPr>
                <w:rFonts w:cs="Cambria"/>
                <w:color w:val="000000" w:themeColor="text1"/>
                <w:sz w:val="21"/>
                <w:szCs w:val="21"/>
              </w:rPr>
              <w:t>2</w:t>
            </w:r>
            <w:r>
              <w:rPr>
                <w:rFonts w:cs="Cambria" w:hint="eastAsia"/>
                <w:color w:val="000000" w:themeColor="text1"/>
                <w:sz w:val="21"/>
                <w:szCs w:val="21"/>
              </w:rPr>
              <w:t>）权益工具投资</w:t>
            </w:r>
          </w:p>
        </w:tc>
        <w:tc>
          <w:tcPr>
            <w:tcW w:w="799" w:type="pct"/>
            <w:tcBorders>
              <w:top w:val="single" w:sz="4" w:space="0" w:color="auto"/>
              <w:left w:val="single" w:sz="4" w:space="0" w:color="auto"/>
              <w:bottom w:val="single" w:sz="4" w:space="0" w:color="auto"/>
              <w:right w:val="single" w:sz="4" w:space="0" w:color="auto"/>
            </w:tcBorders>
            <w:vAlign w:val="center"/>
          </w:tcPr>
          <w:p w14:paraId="502FC8F3" w14:textId="77777777" w:rsidR="002D0AE7" w:rsidRDefault="002D0AE7">
            <w:pPr>
              <w:jc w:val="right"/>
              <w:outlineLvl w:val="2"/>
              <w:rPr>
                <w:rFonts w:cs="Cambria" w:hint="eastAsia"/>
                <w:sz w:val="21"/>
                <w:szCs w:val="21"/>
              </w:rPr>
            </w:pPr>
          </w:p>
        </w:tc>
        <w:tc>
          <w:tcPr>
            <w:tcW w:w="781" w:type="pct"/>
            <w:tcBorders>
              <w:top w:val="single" w:sz="4" w:space="0" w:color="auto"/>
              <w:left w:val="single" w:sz="4" w:space="0" w:color="auto"/>
              <w:bottom w:val="single" w:sz="4" w:space="0" w:color="auto"/>
              <w:right w:val="single" w:sz="4" w:space="0" w:color="auto"/>
            </w:tcBorders>
            <w:vAlign w:val="center"/>
          </w:tcPr>
          <w:p w14:paraId="543D03F1" w14:textId="77777777" w:rsidR="002D0AE7" w:rsidRDefault="002D0AE7">
            <w:pPr>
              <w:jc w:val="right"/>
              <w:outlineLvl w:val="2"/>
              <w:rPr>
                <w:rFonts w:cs="Cambria" w:hint="eastAsia"/>
                <w:sz w:val="21"/>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43CD2372" w14:textId="77777777" w:rsidR="002D0AE7" w:rsidRDefault="002D0AE7">
            <w:pPr>
              <w:jc w:val="right"/>
              <w:outlineLvl w:val="2"/>
              <w:rPr>
                <w:rFonts w:cs="Cambria" w:hint="eastAsia"/>
                <w:sz w:val="21"/>
                <w:szCs w:val="21"/>
              </w:rPr>
            </w:pPr>
          </w:p>
        </w:tc>
        <w:tc>
          <w:tcPr>
            <w:tcW w:w="731" w:type="pct"/>
            <w:tcBorders>
              <w:top w:val="single" w:sz="4" w:space="0" w:color="auto"/>
              <w:left w:val="single" w:sz="4" w:space="0" w:color="auto"/>
              <w:bottom w:val="single" w:sz="4" w:space="0" w:color="auto"/>
              <w:right w:val="single" w:sz="4" w:space="0" w:color="auto"/>
            </w:tcBorders>
            <w:vAlign w:val="center"/>
          </w:tcPr>
          <w:p w14:paraId="2FD59FA9" w14:textId="77777777" w:rsidR="002D0AE7" w:rsidRDefault="002D0AE7">
            <w:pPr>
              <w:jc w:val="right"/>
              <w:outlineLvl w:val="2"/>
              <w:rPr>
                <w:rFonts w:cs="Cambria" w:hint="eastAsia"/>
                <w:sz w:val="21"/>
                <w:szCs w:val="21"/>
              </w:rPr>
            </w:pPr>
          </w:p>
        </w:tc>
      </w:tr>
      <w:tr w:rsidR="002D0AE7" w14:paraId="70E16E81" w14:textId="77777777">
        <w:trPr>
          <w:trHeight w:val="240"/>
          <w:jc w:val="center"/>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079CAC89" w14:textId="77777777" w:rsidR="002D0AE7" w:rsidRDefault="00333EBB">
            <w:pPr>
              <w:outlineLvl w:val="2"/>
              <w:rPr>
                <w:rFonts w:cs="Cambria" w:hint="eastAsia"/>
                <w:color w:val="000000" w:themeColor="text1"/>
                <w:sz w:val="21"/>
                <w:szCs w:val="21"/>
              </w:rPr>
            </w:pPr>
            <w:r>
              <w:rPr>
                <w:rFonts w:cs="Cambria" w:hint="eastAsia"/>
                <w:color w:val="000000" w:themeColor="text1"/>
                <w:sz w:val="21"/>
                <w:szCs w:val="21"/>
              </w:rPr>
              <w:t>（</w:t>
            </w:r>
            <w:r>
              <w:rPr>
                <w:rFonts w:cs="Cambria"/>
                <w:color w:val="000000" w:themeColor="text1"/>
                <w:sz w:val="21"/>
                <w:szCs w:val="21"/>
              </w:rPr>
              <w:t>3</w:t>
            </w:r>
            <w:r>
              <w:rPr>
                <w:rFonts w:cs="Cambria" w:hint="eastAsia"/>
                <w:color w:val="000000" w:themeColor="text1"/>
                <w:sz w:val="21"/>
                <w:szCs w:val="21"/>
              </w:rPr>
              <w:t>）衍生金融资产</w:t>
            </w:r>
          </w:p>
        </w:tc>
        <w:tc>
          <w:tcPr>
            <w:tcW w:w="799" w:type="pct"/>
            <w:tcBorders>
              <w:top w:val="single" w:sz="4" w:space="0" w:color="auto"/>
              <w:left w:val="single" w:sz="4" w:space="0" w:color="auto"/>
              <w:bottom w:val="single" w:sz="4" w:space="0" w:color="auto"/>
              <w:right w:val="single" w:sz="4" w:space="0" w:color="auto"/>
            </w:tcBorders>
            <w:vAlign w:val="center"/>
          </w:tcPr>
          <w:p w14:paraId="2093B107" w14:textId="77777777" w:rsidR="002D0AE7" w:rsidRDefault="002D0AE7">
            <w:pPr>
              <w:jc w:val="right"/>
              <w:outlineLvl w:val="2"/>
              <w:rPr>
                <w:rFonts w:cs="Cambria" w:hint="eastAsia"/>
                <w:sz w:val="21"/>
                <w:szCs w:val="21"/>
              </w:rPr>
            </w:pPr>
          </w:p>
        </w:tc>
        <w:tc>
          <w:tcPr>
            <w:tcW w:w="781" w:type="pct"/>
            <w:tcBorders>
              <w:top w:val="single" w:sz="4" w:space="0" w:color="auto"/>
              <w:left w:val="single" w:sz="4" w:space="0" w:color="auto"/>
              <w:bottom w:val="single" w:sz="4" w:space="0" w:color="auto"/>
              <w:right w:val="single" w:sz="4" w:space="0" w:color="auto"/>
            </w:tcBorders>
            <w:vAlign w:val="center"/>
          </w:tcPr>
          <w:p w14:paraId="5CFB284B" w14:textId="77777777" w:rsidR="002D0AE7" w:rsidRDefault="002D0AE7">
            <w:pPr>
              <w:jc w:val="right"/>
              <w:outlineLvl w:val="2"/>
              <w:rPr>
                <w:rFonts w:cs="Cambria" w:hint="eastAsia"/>
                <w:sz w:val="21"/>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2A459B6A" w14:textId="77777777" w:rsidR="002D0AE7" w:rsidRDefault="002D0AE7">
            <w:pPr>
              <w:jc w:val="right"/>
              <w:outlineLvl w:val="2"/>
              <w:rPr>
                <w:rFonts w:cs="Cambria" w:hint="eastAsia"/>
                <w:sz w:val="21"/>
                <w:szCs w:val="21"/>
              </w:rPr>
            </w:pPr>
          </w:p>
        </w:tc>
        <w:tc>
          <w:tcPr>
            <w:tcW w:w="731" w:type="pct"/>
            <w:tcBorders>
              <w:top w:val="single" w:sz="4" w:space="0" w:color="auto"/>
              <w:left w:val="single" w:sz="4" w:space="0" w:color="auto"/>
              <w:bottom w:val="single" w:sz="4" w:space="0" w:color="auto"/>
              <w:right w:val="single" w:sz="4" w:space="0" w:color="auto"/>
            </w:tcBorders>
            <w:vAlign w:val="center"/>
          </w:tcPr>
          <w:p w14:paraId="4B680700" w14:textId="77777777" w:rsidR="002D0AE7" w:rsidRDefault="002D0AE7">
            <w:pPr>
              <w:jc w:val="right"/>
              <w:outlineLvl w:val="2"/>
              <w:rPr>
                <w:rFonts w:cs="Cambria" w:hint="eastAsia"/>
                <w:sz w:val="21"/>
                <w:szCs w:val="21"/>
              </w:rPr>
            </w:pPr>
          </w:p>
        </w:tc>
      </w:tr>
      <w:tr w:rsidR="002D0AE7" w14:paraId="17901C7C" w14:textId="77777777">
        <w:trPr>
          <w:trHeight w:val="799"/>
          <w:jc w:val="center"/>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13592D19" w14:textId="77777777" w:rsidR="002D0AE7" w:rsidRDefault="00333EBB">
            <w:pPr>
              <w:outlineLvl w:val="2"/>
              <w:rPr>
                <w:rFonts w:cs="Cambria" w:hint="eastAsia"/>
                <w:color w:val="000000" w:themeColor="text1"/>
                <w:sz w:val="21"/>
                <w:szCs w:val="21"/>
              </w:rPr>
            </w:pPr>
            <w:r>
              <w:rPr>
                <w:rFonts w:cs="Cambria"/>
                <w:color w:val="000000" w:themeColor="text1"/>
                <w:sz w:val="21"/>
                <w:szCs w:val="21"/>
              </w:rPr>
              <w:t>2.</w:t>
            </w:r>
            <w:r>
              <w:rPr>
                <w:rFonts w:cs="Cambria" w:hint="eastAsia"/>
                <w:color w:val="000000" w:themeColor="text1"/>
                <w:sz w:val="21"/>
                <w:szCs w:val="21"/>
              </w:rPr>
              <w:t>指定以公允价值计量且其变动计入当期损益的金融资产</w:t>
            </w:r>
          </w:p>
        </w:tc>
        <w:tc>
          <w:tcPr>
            <w:tcW w:w="799" w:type="pct"/>
            <w:tcBorders>
              <w:top w:val="single" w:sz="4" w:space="0" w:color="auto"/>
              <w:left w:val="single" w:sz="4" w:space="0" w:color="auto"/>
              <w:bottom w:val="single" w:sz="4" w:space="0" w:color="auto"/>
              <w:right w:val="single" w:sz="4" w:space="0" w:color="auto"/>
            </w:tcBorders>
            <w:vAlign w:val="center"/>
          </w:tcPr>
          <w:p w14:paraId="5F23D0A7" w14:textId="77777777" w:rsidR="002D0AE7" w:rsidRDefault="002D0AE7">
            <w:pPr>
              <w:jc w:val="right"/>
              <w:outlineLvl w:val="2"/>
              <w:rPr>
                <w:rFonts w:cs="Cambria" w:hint="eastAsia"/>
                <w:sz w:val="21"/>
                <w:szCs w:val="21"/>
              </w:rPr>
            </w:pPr>
          </w:p>
        </w:tc>
        <w:tc>
          <w:tcPr>
            <w:tcW w:w="781" w:type="pct"/>
            <w:tcBorders>
              <w:top w:val="single" w:sz="4" w:space="0" w:color="auto"/>
              <w:left w:val="single" w:sz="4" w:space="0" w:color="auto"/>
              <w:bottom w:val="single" w:sz="4" w:space="0" w:color="auto"/>
              <w:right w:val="single" w:sz="4" w:space="0" w:color="auto"/>
            </w:tcBorders>
            <w:vAlign w:val="center"/>
          </w:tcPr>
          <w:p w14:paraId="7C0875D3" w14:textId="77777777" w:rsidR="002D0AE7" w:rsidRDefault="002D0AE7">
            <w:pPr>
              <w:jc w:val="right"/>
              <w:outlineLvl w:val="2"/>
              <w:rPr>
                <w:rFonts w:cs="Cambria" w:hint="eastAsia"/>
                <w:sz w:val="21"/>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6B9D13B7" w14:textId="77777777" w:rsidR="002D0AE7" w:rsidRDefault="002D0AE7">
            <w:pPr>
              <w:jc w:val="right"/>
              <w:outlineLvl w:val="2"/>
              <w:rPr>
                <w:rFonts w:cs="Cambria" w:hint="eastAsia"/>
                <w:sz w:val="21"/>
                <w:szCs w:val="21"/>
              </w:rPr>
            </w:pPr>
          </w:p>
        </w:tc>
        <w:tc>
          <w:tcPr>
            <w:tcW w:w="731" w:type="pct"/>
            <w:tcBorders>
              <w:top w:val="single" w:sz="4" w:space="0" w:color="auto"/>
              <w:left w:val="single" w:sz="4" w:space="0" w:color="auto"/>
              <w:bottom w:val="single" w:sz="4" w:space="0" w:color="auto"/>
              <w:right w:val="single" w:sz="4" w:space="0" w:color="auto"/>
            </w:tcBorders>
            <w:vAlign w:val="center"/>
          </w:tcPr>
          <w:p w14:paraId="040A3B43" w14:textId="77777777" w:rsidR="002D0AE7" w:rsidRDefault="002D0AE7">
            <w:pPr>
              <w:jc w:val="right"/>
              <w:outlineLvl w:val="2"/>
              <w:rPr>
                <w:rFonts w:cs="Cambria" w:hint="eastAsia"/>
                <w:sz w:val="21"/>
                <w:szCs w:val="21"/>
              </w:rPr>
            </w:pPr>
          </w:p>
        </w:tc>
      </w:tr>
      <w:tr w:rsidR="002D0AE7" w14:paraId="223A96FC" w14:textId="77777777">
        <w:trPr>
          <w:trHeight w:val="240"/>
          <w:jc w:val="center"/>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0EA17BCB" w14:textId="77777777" w:rsidR="002D0AE7" w:rsidRDefault="00333EBB">
            <w:pPr>
              <w:outlineLvl w:val="2"/>
              <w:rPr>
                <w:rFonts w:cs="Cambria" w:hint="eastAsia"/>
                <w:color w:val="000000" w:themeColor="text1"/>
                <w:sz w:val="21"/>
                <w:szCs w:val="21"/>
              </w:rPr>
            </w:pPr>
            <w:r>
              <w:rPr>
                <w:rFonts w:cs="Cambria" w:hint="eastAsia"/>
                <w:color w:val="000000" w:themeColor="text1"/>
                <w:sz w:val="21"/>
                <w:szCs w:val="21"/>
              </w:rPr>
              <w:t>（</w:t>
            </w:r>
            <w:r>
              <w:rPr>
                <w:rFonts w:cs="Cambria"/>
                <w:color w:val="000000" w:themeColor="text1"/>
                <w:sz w:val="21"/>
                <w:szCs w:val="21"/>
              </w:rPr>
              <w:t>1</w:t>
            </w:r>
            <w:r>
              <w:rPr>
                <w:rFonts w:cs="Cambria" w:hint="eastAsia"/>
                <w:color w:val="000000" w:themeColor="text1"/>
                <w:sz w:val="21"/>
                <w:szCs w:val="21"/>
              </w:rPr>
              <w:t>）债务工具投资</w:t>
            </w:r>
          </w:p>
        </w:tc>
        <w:tc>
          <w:tcPr>
            <w:tcW w:w="799" w:type="pct"/>
            <w:tcBorders>
              <w:top w:val="single" w:sz="4" w:space="0" w:color="auto"/>
              <w:left w:val="single" w:sz="4" w:space="0" w:color="auto"/>
              <w:bottom w:val="single" w:sz="4" w:space="0" w:color="auto"/>
              <w:right w:val="single" w:sz="4" w:space="0" w:color="auto"/>
            </w:tcBorders>
            <w:vAlign w:val="center"/>
          </w:tcPr>
          <w:p w14:paraId="6416DDCE" w14:textId="77777777" w:rsidR="002D0AE7" w:rsidRDefault="002D0AE7">
            <w:pPr>
              <w:jc w:val="right"/>
              <w:outlineLvl w:val="2"/>
              <w:rPr>
                <w:rFonts w:cs="Cambria" w:hint="eastAsia"/>
                <w:sz w:val="21"/>
                <w:szCs w:val="21"/>
              </w:rPr>
            </w:pPr>
          </w:p>
        </w:tc>
        <w:tc>
          <w:tcPr>
            <w:tcW w:w="781" w:type="pct"/>
            <w:tcBorders>
              <w:top w:val="single" w:sz="4" w:space="0" w:color="auto"/>
              <w:left w:val="single" w:sz="4" w:space="0" w:color="auto"/>
              <w:bottom w:val="single" w:sz="4" w:space="0" w:color="auto"/>
              <w:right w:val="single" w:sz="4" w:space="0" w:color="auto"/>
            </w:tcBorders>
            <w:vAlign w:val="center"/>
          </w:tcPr>
          <w:p w14:paraId="5C48177A" w14:textId="77777777" w:rsidR="002D0AE7" w:rsidRDefault="002D0AE7">
            <w:pPr>
              <w:jc w:val="right"/>
              <w:outlineLvl w:val="2"/>
              <w:rPr>
                <w:rFonts w:cs="Cambria" w:hint="eastAsia"/>
                <w:sz w:val="21"/>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54B995E2" w14:textId="77777777" w:rsidR="002D0AE7" w:rsidRDefault="002D0AE7">
            <w:pPr>
              <w:jc w:val="right"/>
              <w:outlineLvl w:val="2"/>
              <w:rPr>
                <w:rFonts w:cs="Cambria" w:hint="eastAsia"/>
                <w:sz w:val="21"/>
                <w:szCs w:val="21"/>
              </w:rPr>
            </w:pPr>
          </w:p>
        </w:tc>
        <w:tc>
          <w:tcPr>
            <w:tcW w:w="731" w:type="pct"/>
            <w:tcBorders>
              <w:top w:val="single" w:sz="4" w:space="0" w:color="auto"/>
              <w:left w:val="single" w:sz="4" w:space="0" w:color="auto"/>
              <w:bottom w:val="single" w:sz="4" w:space="0" w:color="auto"/>
              <w:right w:val="single" w:sz="4" w:space="0" w:color="auto"/>
            </w:tcBorders>
            <w:vAlign w:val="center"/>
          </w:tcPr>
          <w:p w14:paraId="6EB7F4E3" w14:textId="77777777" w:rsidR="002D0AE7" w:rsidRDefault="002D0AE7">
            <w:pPr>
              <w:jc w:val="right"/>
              <w:outlineLvl w:val="2"/>
              <w:rPr>
                <w:rFonts w:cs="Cambria" w:hint="eastAsia"/>
                <w:sz w:val="21"/>
                <w:szCs w:val="21"/>
              </w:rPr>
            </w:pPr>
          </w:p>
        </w:tc>
      </w:tr>
      <w:tr w:rsidR="002D0AE7" w14:paraId="62B48F66" w14:textId="77777777">
        <w:trPr>
          <w:trHeight w:val="240"/>
          <w:jc w:val="center"/>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3CBF1864" w14:textId="77777777" w:rsidR="002D0AE7" w:rsidRDefault="00333EBB">
            <w:pPr>
              <w:outlineLvl w:val="2"/>
              <w:rPr>
                <w:rFonts w:cs="Cambria" w:hint="eastAsia"/>
                <w:color w:val="000000" w:themeColor="text1"/>
                <w:sz w:val="21"/>
                <w:szCs w:val="21"/>
              </w:rPr>
            </w:pPr>
            <w:r>
              <w:rPr>
                <w:rFonts w:cs="Cambria" w:hint="eastAsia"/>
                <w:color w:val="000000" w:themeColor="text1"/>
                <w:sz w:val="21"/>
                <w:szCs w:val="21"/>
              </w:rPr>
              <w:t>（</w:t>
            </w:r>
            <w:r>
              <w:rPr>
                <w:rFonts w:cs="Cambria"/>
                <w:color w:val="000000" w:themeColor="text1"/>
                <w:sz w:val="21"/>
                <w:szCs w:val="21"/>
              </w:rPr>
              <w:t>2</w:t>
            </w:r>
            <w:r>
              <w:rPr>
                <w:rFonts w:cs="Cambria" w:hint="eastAsia"/>
                <w:color w:val="000000" w:themeColor="text1"/>
                <w:sz w:val="21"/>
                <w:szCs w:val="21"/>
              </w:rPr>
              <w:t>）权益工具投资</w:t>
            </w:r>
          </w:p>
        </w:tc>
        <w:tc>
          <w:tcPr>
            <w:tcW w:w="799" w:type="pct"/>
            <w:tcBorders>
              <w:top w:val="single" w:sz="4" w:space="0" w:color="auto"/>
              <w:left w:val="single" w:sz="4" w:space="0" w:color="auto"/>
              <w:bottom w:val="single" w:sz="4" w:space="0" w:color="auto"/>
              <w:right w:val="single" w:sz="4" w:space="0" w:color="auto"/>
            </w:tcBorders>
            <w:vAlign w:val="center"/>
          </w:tcPr>
          <w:p w14:paraId="0A177BD0" w14:textId="77777777" w:rsidR="002D0AE7" w:rsidRDefault="002D0AE7">
            <w:pPr>
              <w:jc w:val="right"/>
              <w:outlineLvl w:val="2"/>
              <w:rPr>
                <w:rFonts w:cs="Cambria" w:hint="eastAsia"/>
                <w:sz w:val="21"/>
                <w:szCs w:val="21"/>
              </w:rPr>
            </w:pPr>
          </w:p>
        </w:tc>
        <w:tc>
          <w:tcPr>
            <w:tcW w:w="781" w:type="pct"/>
            <w:tcBorders>
              <w:top w:val="single" w:sz="4" w:space="0" w:color="auto"/>
              <w:left w:val="single" w:sz="4" w:space="0" w:color="auto"/>
              <w:bottom w:val="single" w:sz="4" w:space="0" w:color="auto"/>
              <w:right w:val="single" w:sz="4" w:space="0" w:color="auto"/>
            </w:tcBorders>
            <w:vAlign w:val="center"/>
          </w:tcPr>
          <w:p w14:paraId="41F598FA" w14:textId="77777777" w:rsidR="002D0AE7" w:rsidRDefault="002D0AE7">
            <w:pPr>
              <w:jc w:val="right"/>
              <w:outlineLvl w:val="2"/>
              <w:rPr>
                <w:rFonts w:cs="Cambria" w:hint="eastAsia"/>
                <w:sz w:val="21"/>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05FA946D" w14:textId="77777777" w:rsidR="002D0AE7" w:rsidRDefault="002D0AE7">
            <w:pPr>
              <w:jc w:val="right"/>
              <w:outlineLvl w:val="2"/>
              <w:rPr>
                <w:rFonts w:cs="Cambria" w:hint="eastAsia"/>
                <w:sz w:val="21"/>
                <w:szCs w:val="21"/>
              </w:rPr>
            </w:pPr>
          </w:p>
        </w:tc>
        <w:tc>
          <w:tcPr>
            <w:tcW w:w="731" w:type="pct"/>
            <w:tcBorders>
              <w:top w:val="single" w:sz="4" w:space="0" w:color="auto"/>
              <w:left w:val="single" w:sz="4" w:space="0" w:color="auto"/>
              <w:bottom w:val="single" w:sz="4" w:space="0" w:color="auto"/>
              <w:right w:val="single" w:sz="4" w:space="0" w:color="auto"/>
            </w:tcBorders>
            <w:vAlign w:val="center"/>
          </w:tcPr>
          <w:p w14:paraId="791CD8C2" w14:textId="77777777" w:rsidR="002D0AE7" w:rsidRDefault="002D0AE7">
            <w:pPr>
              <w:jc w:val="right"/>
              <w:outlineLvl w:val="2"/>
              <w:rPr>
                <w:rFonts w:cs="Cambria" w:hint="eastAsia"/>
                <w:sz w:val="21"/>
                <w:szCs w:val="21"/>
              </w:rPr>
            </w:pPr>
          </w:p>
        </w:tc>
      </w:tr>
      <w:tr w:rsidR="002D0AE7" w14:paraId="0F6FC2DC" w14:textId="77777777">
        <w:trPr>
          <w:trHeight w:val="240"/>
          <w:jc w:val="center"/>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43EE1EE3" w14:textId="77777777" w:rsidR="002D0AE7" w:rsidRDefault="00333EBB">
            <w:pPr>
              <w:outlineLvl w:val="2"/>
              <w:rPr>
                <w:rFonts w:hint="eastAsia"/>
                <w:color w:val="000000" w:themeColor="text1"/>
                <w:sz w:val="21"/>
                <w:szCs w:val="21"/>
              </w:rPr>
            </w:pPr>
            <w:r>
              <w:rPr>
                <w:rFonts w:hint="eastAsia"/>
                <w:color w:val="000000" w:themeColor="text1"/>
                <w:sz w:val="21"/>
                <w:szCs w:val="21"/>
              </w:rPr>
              <w:t>（二）</w:t>
            </w:r>
            <w:r>
              <w:rPr>
                <w:rFonts w:hint="eastAsia"/>
                <w:color w:val="000000" w:themeColor="text1"/>
                <w:sz w:val="21"/>
                <w:szCs w:val="21"/>
                <w:shd w:val="solid" w:color="FFFFFF" w:fill="auto"/>
              </w:rPr>
              <w:t>其他债权投资</w:t>
            </w:r>
          </w:p>
        </w:tc>
        <w:tc>
          <w:tcPr>
            <w:tcW w:w="799" w:type="pct"/>
            <w:tcBorders>
              <w:top w:val="single" w:sz="4" w:space="0" w:color="auto"/>
              <w:left w:val="single" w:sz="4" w:space="0" w:color="auto"/>
              <w:bottom w:val="single" w:sz="4" w:space="0" w:color="auto"/>
              <w:right w:val="single" w:sz="4" w:space="0" w:color="auto"/>
            </w:tcBorders>
            <w:vAlign w:val="center"/>
          </w:tcPr>
          <w:p w14:paraId="2123B459" w14:textId="77777777" w:rsidR="002D0AE7" w:rsidRDefault="002D0AE7">
            <w:pPr>
              <w:jc w:val="right"/>
              <w:outlineLvl w:val="2"/>
              <w:rPr>
                <w:rFonts w:cs="Cambria" w:hint="eastAsia"/>
                <w:sz w:val="21"/>
                <w:szCs w:val="21"/>
              </w:rPr>
            </w:pPr>
          </w:p>
        </w:tc>
        <w:tc>
          <w:tcPr>
            <w:tcW w:w="781" w:type="pct"/>
            <w:tcBorders>
              <w:top w:val="single" w:sz="4" w:space="0" w:color="auto"/>
              <w:left w:val="single" w:sz="4" w:space="0" w:color="auto"/>
              <w:bottom w:val="single" w:sz="4" w:space="0" w:color="auto"/>
              <w:right w:val="single" w:sz="4" w:space="0" w:color="auto"/>
            </w:tcBorders>
            <w:vAlign w:val="center"/>
          </w:tcPr>
          <w:p w14:paraId="71CA718D" w14:textId="77777777" w:rsidR="002D0AE7" w:rsidRDefault="002D0AE7">
            <w:pPr>
              <w:jc w:val="right"/>
              <w:outlineLvl w:val="2"/>
              <w:rPr>
                <w:rFonts w:cs="Cambria" w:hint="eastAsia"/>
                <w:sz w:val="21"/>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7E732967" w14:textId="77777777" w:rsidR="002D0AE7" w:rsidRDefault="002D0AE7">
            <w:pPr>
              <w:jc w:val="right"/>
              <w:outlineLvl w:val="2"/>
              <w:rPr>
                <w:rFonts w:cs="Cambria" w:hint="eastAsia"/>
                <w:sz w:val="21"/>
                <w:szCs w:val="21"/>
              </w:rPr>
            </w:pPr>
          </w:p>
        </w:tc>
        <w:tc>
          <w:tcPr>
            <w:tcW w:w="731" w:type="pct"/>
            <w:tcBorders>
              <w:top w:val="single" w:sz="4" w:space="0" w:color="auto"/>
              <w:left w:val="single" w:sz="4" w:space="0" w:color="auto"/>
              <w:bottom w:val="single" w:sz="4" w:space="0" w:color="auto"/>
              <w:right w:val="single" w:sz="4" w:space="0" w:color="auto"/>
            </w:tcBorders>
            <w:vAlign w:val="center"/>
          </w:tcPr>
          <w:p w14:paraId="230845F0" w14:textId="77777777" w:rsidR="002D0AE7" w:rsidRDefault="002D0AE7">
            <w:pPr>
              <w:jc w:val="right"/>
              <w:outlineLvl w:val="2"/>
              <w:rPr>
                <w:rFonts w:cs="Cambria" w:hint="eastAsia"/>
                <w:sz w:val="21"/>
                <w:szCs w:val="21"/>
              </w:rPr>
            </w:pPr>
          </w:p>
        </w:tc>
      </w:tr>
      <w:tr w:rsidR="002D0AE7" w14:paraId="15508AAE" w14:textId="77777777">
        <w:trPr>
          <w:trHeight w:val="240"/>
          <w:jc w:val="center"/>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4D932E04" w14:textId="77777777" w:rsidR="002D0AE7" w:rsidRDefault="00333EBB">
            <w:pPr>
              <w:outlineLvl w:val="2"/>
              <w:rPr>
                <w:rFonts w:hint="eastAsia"/>
                <w:color w:val="000000" w:themeColor="text1"/>
                <w:sz w:val="21"/>
                <w:szCs w:val="21"/>
              </w:rPr>
            </w:pPr>
            <w:r>
              <w:rPr>
                <w:rFonts w:hint="eastAsia"/>
                <w:color w:val="000000" w:themeColor="text1"/>
                <w:sz w:val="21"/>
                <w:szCs w:val="21"/>
              </w:rPr>
              <w:t>（三）</w:t>
            </w:r>
            <w:r>
              <w:rPr>
                <w:rFonts w:hint="eastAsia"/>
                <w:color w:val="000000" w:themeColor="text1"/>
                <w:sz w:val="21"/>
                <w:szCs w:val="21"/>
                <w:shd w:val="solid" w:color="FFFFFF" w:fill="auto"/>
              </w:rPr>
              <w:t>其他权益工具投资</w:t>
            </w:r>
          </w:p>
        </w:tc>
        <w:tc>
          <w:tcPr>
            <w:tcW w:w="799" w:type="pct"/>
            <w:tcBorders>
              <w:top w:val="single" w:sz="4" w:space="0" w:color="auto"/>
              <w:left w:val="single" w:sz="4" w:space="0" w:color="auto"/>
              <w:bottom w:val="single" w:sz="4" w:space="0" w:color="auto"/>
              <w:right w:val="single" w:sz="4" w:space="0" w:color="auto"/>
            </w:tcBorders>
            <w:vAlign w:val="center"/>
          </w:tcPr>
          <w:p w14:paraId="22591CDB" w14:textId="77777777" w:rsidR="002D0AE7" w:rsidRDefault="002D0AE7">
            <w:pPr>
              <w:jc w:val="right"/>
              <w:outlineLvl w:val="2"/>
              <w:rPr>
                <w:rFonts w:cs="Cambria" w:hint="eastAsia"/>
                <w:sz w:val="21"/>
                <w:szCs w:val="21"/>
              </w:rPr>
            </w:pPr>
          </w:p>
        </w:tc>
        <w:tc>
          <w:tcPr>
            <w:tcW w:w="781" w:type="pct"/>
            <w:tcBorders>
              <w:top w:val="single" w:sz="4" w:space="0" w:color="auto"/>
              <w:left w:val="single" w:sz="4" w:space="0" w:color="auto"/>
              <w:bottom w:val="single" w:sz="4" w:space="0" w:color="auto"/>
              <w:right w:val="single" w:sz="4" w:space="0" w:color="auto"/>
            </w:tcBorders>
            <w:vAlign w:val="center"/>
          </w:tcPr>
          <w:p w14:paraId="4FB4C963" w14:textId="77777777" w:rsidR="002D0AE7" w:rsidRDefault="002D0AE7">
            <w:pPr>
              <w:jc w:val="right"/>
              <w:outlineLvl w:val="2"/>
              <w:rPr>
                <w:rFonts w:cs="Cambria" w:hint="eastAsia"/>
                <w:sz w:val="21"/>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659EADE9" w14:textId="77777777" w:rsidR="002D0AE7" w:rsidRDefault="00333EBB">
            <w:pPr>
              <w:jc w:val="right"/>
              <w:outlineLvl w:val="2"/>
              <w:rPr>
                <w:rFonts w:ascii="Times New Roman" w:hAnsi="Times New Roman" w:cs="Times New Roman"/>
                <w:sz w:val="21"/>
                <w:szCs w:val="21"/>
              </w:rPr>
            </w:pPr>
            <w:r>
              <w:rPr>
                <w:rFonts w:ascii="Times New Roman" w:hAnsi="Times New Roman" w:cs="Times New Roman"/>
                <w:sz w:val="21"/>
                <w:szCs w:val="21"/>
              </w:rPr>
              <w:t>144,820,791.38</w:t>
            </w:r>
          </w:p>
        </w:tc>
        <w:tc>
          <w:tcPr>
            <w:tcW w:w="731" w:type="pct"/>
            <w:tcBorders>
              <w:top w:val="single" w:sz="4" w:space="0" w:color="auto"/>
              <w:left w:val="single" w:sz="4" w:space="0" w:color="auto"/>
              <w:bottom w:val="single" w:sz="4" w:space="0" w:color="auto"/>
              <w:right w:val="single" w:sz="4" w:space="0" w:color="auto"/>
            </w:tcBorders>
            <w:vAlign w:val="center"/>
          </w:tcPr>
          <w:p w14:paraId="1382A069" w14:textId="77777777" w:rsidR="002D0AE7" w:rsidRDefault="00333EBB">
            <w:pPr>
              <w:jc w:val="right"/>
              <w:outlineLvl w:val="2"/>
              <w:rPr>
                <w:rFonts w:ascii="Times New Roman" w:hAnsi="Times New Roman" w:cs="Times New Roman"/>
                <w:sz w:val="21"/>
                <w:szCs w:val="21"/>
              </w:rPr>
            </w:pPr>
            <w:r>
              <w:rPr>
                <w:rFonts w:ascii="Times New Roman" w:hAnsi="Times New Roman" w:cs="Times New Roman"/>
                <w:sz w:val="21"/>
                <w:szCs w:val="21"/>
              </w:rPr>
              <w:t>144,820,791.38</w:t>
            </w:r>
          </w:p>
        </w:tc>
      </w:tr>
      <w:tr w:rsidR="002D0AE7" w14:paraId="4BA3B494" w14:textId="77777777">
        <w:trPr>
          <w:trHeight w:val="240"/>
          <w:jc w:val="center"/>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4DE4E0F8" w14:textId="77777777" w:rsidR="002D0AE7" w:rsidRDefault="00333EBB">
            <w:pPr>
              <w:outlineLvl w:val="2"/>
              <w:rPr>
                <w:rFonts w:cs="Cambria" w:hint="eastAsia"/>
                <w:color w:val="000000" w:themeColor="text1"/>
                <w:sz w:val="21"/>
                <w:szCs w:val="21"/>
              </w:rPr>
            </w:pPr>
            <w:r>
              <w:rPr>
                <w:rFonts w:cs="Cambria" w:hint="eastAsia"/>
                <w:color w:val="000000" w:themeColor="text1"/>
                <w:sz w:val="21"/>
                <w:szCs w:val="21"/>
              </w:rPr>
              <w:t>（四）</w:t>
            </w:r>
            <w:r>
              <w:rPr>
                <w:rFonts w:cs="Cambria" w:hint="eastAsia"/>
                <w:color w:val="000000" w:themeColor="text1"/>
                <w:sz w:val="21"/>
                <w:szCs w:val="21"/>
                <w:shd w:val="solid" w:color="FFFFFF" w:fill="auto"/>
              </w:rPr>
              <w:t>投资性房地产</w:t>
            </w:r>
          </w:p>
        </w:tc>
        <w:tc>
          <w:tcPr>
            <w:tcW w:w="799" w:type="pct"/>
            <w:tcBorders>
              <w:top w:val="single" w:sz="4" w:space="0" w:color="auto"/>
              <w:left w:val="single" w:sz="4" w:space="0" w:color="auto"/>
              <w:bottom w:val="single" w:sz="4" w:space="0" w:color="auto"/>
              <w:right w:val="single" w:sz="4" w:space="0" w:color="auto"/>
            </w:tcBorders>
            <w:vAlign w:val="center"/>
          </w:tcPr>
          <w:p w14:paraId="609766EE" w14:textId="77777777" w:rsidR="002D0AE7" w:rsidRDefault="002D0AE7">
            <w:pPr>
              <w:jc w:val="right"/>
              <w:outlineLvl w:val="2"/>
              <w:rPr>
                <w:rFonts w:cs="Cambria" w:hint="eastAsia"/>
                <w:sz w:val="21"/>
                <w:szCs w:val="21"/>
              </w:rPr>
            </w:pPr>
          </w:p>
        </w:tc>
        <w:tc>
          <w:tcPr>
            <w:tcW w:w="781" w:type="pct"/>
            <w:tcBorders>
              <w:top w:val="single" w:sz="4" w:space="0" w:color="auto"/>
              <w:left w:val="single" w:sz="4" w:space="0" w:color="auto"/>
              <w:bottom w:val="single" w:sz="4" w:space="0" w:color="auto"/>
              <w:right w:val="single" w:sz="4" w:space="0" w:color="auto"/>
            </w:tcBorders>
            <w:vAlign w:val="center"/>
          </w:tcPr>
          <w:p w14:paraId="2B549453" w14:textId="77777777" w:rsidR="002D0AE7" w:rsidRDefault="002D0AE7">
            <w:pPr>
              <w:jc w:val="right"/>
              <w:outlineLvl w:val="2"/>
              <w:rPr>
                <w:rFonts w:cs="Cambria" w:hint="eastAsia"/>
                <w:sz w:val="21"/>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66CB0227" w14:textId="77777777" w:rsidR="002D0AE7" w:rsidRDefault="002D0AE7">
            <w:pPr>
              <w:jc w:val="right"/>
              <w:outlineLvl w:val="2"/>
              <w:rPr>
                <w:rFonts w:ascii="Times New Roman" w:hAnsi="Times New Roman" w:cs="Times New Roman"/>
                <w:sz w:val="21"/>
                <w:szCs w:val="21"/>
              </w:rPr>
            </w:pPr>
          </w:p>
        </w:tc>
        <w:tc>
          <w:tcPr>
            <w:tcW w:w="731" w:type="pct"/>
            <w:tcBorders>
              <w:top w:val="single" w:sz="4" w:space="0" w:color="auto"/>
              <w:left w:val="single" w:sz="4" w:space="0" w:color="auto"/>
              <w:bottom w:val="single" w:sz="4" w:space="0" w:color="auto"/>
              <w:right w:val="single" w:sz="4" w:space="0" w:color="auto"/>
            </w:tcBorders>
            <w:vAlign w:val="center"/>
          </w:tcPr>
          <w:p w14:paraId="151E6F62" w14:textId="77777777" w:rsidR="002D0AE7" w:rsidRDefault="002D0AE7">
            <w:pPr>
              <w:jc w:val="right"/>
              <w:outlineLvl w:val="2"/>
              <w:rPr>
                <w:rFonts w:ascii="Times New Roman" w:hAnsi="Times New Roman" w:cs="Times New Roman"/>
                <w:sz w:val="21"/>
                <w:szCs w:val="21"/>
              </w:rPr>
            </w:pPr>
          </w:p>
        </w:tc>
      </w:tr>
      <w:tr w:rsidR="002D0AE7" w14:paraId="7D87ECFA" w14:textId="77777777">
        <w:trPr>
          <w:trHeight w:val="240"/>
          <w:jc w:val="center"/>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62537186" w14:textId="77777777" w:rsidR="002D0AE7" w:rsidRDefault="00333EBB">
            <w:pPr>
              <w:outlineLvl w:val="2"/>
              <w:rPr>
                <w:rFonts w:cs="Cambria" w:hint="eastAsia"/>
                <w:color w:val="000000" w:themeColor="text1"/>
                <w:sz w:val="21"/>
                <w:szCs w:val="21"/>
              </w:rPr>
            </w:pPr>
            <w:r>
              <w:rPr>
                <w:rFonts w:cs="Cambria"/>
                <w:color w:val="000000" w:themeColor="text1"/>
                <w:sz w:val="21"/>
                <w:szCs w:val="21"/>
              </w:rPr>
              <w:t>1.</w:t>
            </w:r>
            <w:r>
              <w:rPr>
                <w:rFonts w:cs="Cambria" w:hint="eastAsia"/>
                <w:color w:val="000000" w:themeColor="text1"/>
                <w:sz w:val="21"/>
                <w:szCs w:val="21"/>
              </w:rPr>
              <w:t>出租用的土地使用权</w:t>
            </w:r>
          </w:p>
        </w:tc>
        <w:tc>
          <w:tcPr>
            <w:tcW w:w="799" w:type="pct"/>
            <w:tcBorders>
              <w:top w:val="single" w:sz="4" w:space="0" w:color="auto"/>
              <w:left w:val="single" w:sz="4" w:space="0" w:color="auto"/>
              <w:bottom w:val="single" w:sz="4" w:space="0" w:color="auto"/>
              <w:right w:val="single" w:sz="4" w:space="0" w:color="auto"/>
            </w:tcBorders>
            <w:vAlign w:val="center"/>
          </w:tcPr>
          <w:p w14:paraId="363700C4" w14:textId="77777777" w:rsidR="002D0AE7" w:rsidRDefault="002D0AE7">
            <w:pPr>
              <w:jc w:val="right"/>
              <w:outlineLvl w:val="2"/>
              <w:rPr>
                <w:rFonts w:cs="Cambria" w:hint="eastAsia"/>
                <w:sz w:val="21"/>
                <w:szCs w:val="21"/>
              </w:rPr>
            </w:pPr>
          </w:p>
        </w:tc>
        <w:tc>
          <w:tcPr>
            <w:tcW w:w="781" w:type="pct"/>
            <w:tcBorders>
              <w:top w:val="single" w:sz="4" w:space="0" w:color="auto"/>
              <w:left w:val="single" w:sz="4" w:space="0" w:color="auto"/>
              <w:bottom w:val="single" w:sz="4" w:space="0" w:color="auto"/>
              <w:right w:val="single" w:sz="4" w:space="0" w:color="auto"/>
            </w:tcBorders>
            <w:vAlign w:val="center"/>
          </w:tcPr>
          <w:p w14:paraId="772525EF" w14:textId="77777777" w:rsidR="002D0AE7" w:rsidRDefault="002D0AE7">
            <w:pPr>
              <w:jc w:val="right"/>
              <w:outlineLvl w:val="2"/>
              <w:rPr>
                <w:rFonts w:cs="Cambria" w:hint="eastAsia"/>
                <w:sz w:val="21"/>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672D2DA5" w14:textId="77777777" w:rsidR="002D0AE7" w:rsidRDefault="002D0AE7">
            <w:pPr>
              <w:jc w:val="right"/>
              <w:outlineLvl w:val="2"/>
              <w:rPr>
                <w:rFonts w:ascii="Times New Roman" w:hAnsi="Times New Roman" w:cs="Times New Roman"/>
                <w:sz w:val="21"/>
                <w:szCs w:val="21"/>
              </w:rPr>
            </w:pPr>
          </w:p>
        </w:tc>
        <w:tc>
          <w:tcPr>
            <w:tcW w:w="731" w:type="pct"/>
            <w:tcBorders>
              <w:top w:val="single" w:sz="4" w:space="0" w:color="auto"/>
              <w:left w:val="single" w:sz="4" w:space="0" w:color="auto"/>
              <w:bottom w:val="single" w:sz="4" w:space="0" w:color="auto"/>
              <w:right w:val="single" w:sz="4" w:space="0" w:color="auto"/>
            </w:tcBorders>
            <w:vAlign w:val="center"/>
          </w:tcPr>
          <w:p w14:paraId="4B3CFB77" w14:textId="77777777" w:rsidR="002D0AE7" w:rsidRDefault="002D0AE7">
            <w:pPr>
              <w:jc w:val="right"/>
              <w:outlineLvl w:val="2"/>
              <w:rPr>
                <w:rFonts w:ascii="Times New Roman" w:hAnsi="Times New Roman" w:cs="Times New Roman"/>
                <w:sz w:val="21"/>
                <w:szCs w:val="21"/>
              </w:rPr>
            </w:pPr>
          </w:p>
        </w:tc>
      </w:tr>
      <w:tr w:rsidR="002D0AE7" w14:paraId="3DA28E1C" w14:textId="77777777">
        <w:trPr>
          <w:trHeight w:val="240"/>
          <w:jc w:val="center"/>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629B3079" w14:textId="77777777" w:rsidR="002D0AE7" w:rsidRDefault="00333EBB">
            <w:pPr>
              <w:outlineLvl w:val="2"/>
              <w:rPr>
                <w:rFonts w:cs="Cambria" w:hint="eastAsia"/>
                <w:color w:val="000000" w:themeColor="text1"/>
                <w:sz w:val="21"/>
                <w:szCs w:val="21"/>
              </w:rPr>
            </w:pPr>
            <w:r>
              <w:rPr>
                <w:rFonts w:cs="Cambria"/>
                <w:color w:val="000000" w:themeColor="text1"/>
                <w:sz w:val="21"/>
                <w:szCs w:val="21"/>
              </w:rPr>
              <w:t>2.</w:t>
            </w:r>
            <w:r>
              <w:rPr>
                <w:rFonts w:cs="Cambria" w:hint="eastAsia"/>
                <w:color w:val="000000" w:themeColor="text1"/>
                <w:sz w:val="21"/>
                <w:szCs w:val="21"/>
              </w:rPr>
              <w:t>出租的建筑物</w:t>
            </w:r>
          </w:p>
        </w:tc>
        <w:tc>
          <w:tcPr>
            <w:tcW w:w="799" w:type="pct"/>
            <w:tcBorders>
              <w:top w:val="single" w:sz="4" w:space="0" w:color="auto"/>
              <w:left w:val="single" w:sz="4" w:space="0" w:color="auto"/>
              <w:bottom w:val="single" w:sz="4" w:space="0" w:color="auto"/>
              <w:right w:val="single" w:sz="4" w:space="0" w:color="auto"/>
            </w:tcBorders>
            <w:vAlign w:val="center"/>
          </w:tcPr>
          <w:p w14:paraId="769F8352" w14:textId="77777777" w:rsidR="002D0AE7" w:rsidRDefault="002D0AE7">
            <w:pPr>
              <w:jc w:val="right"/>
              <w:outlineLvl w:val="2"/>
              <w:rPr>
                <w:rFonts w:cs="Cambria" w:hint="eastAsia"/>
                <w:sz w:val="21"/>
                <w:szCs w:val="21"/>
              </w:rPr>
            </w:pPr>
          </w:p>
        </w:tc>
        <w:tc>
          <w:tcPr>
            <w:tcW w:w="781" w:type="pct"/>
            <w:tcBorders>
              <w:top w:val="single" w:sz="4" w:space="0" w:color="auto"/>
              <w:left w:val="single" w:sz="4" w:space="0" w:color="auto"/>
              <w:bottom w:val="single" w:sz="4" w:space="0" w:color="auto"/>
              <w:right w:val="single" w:sz="4" w:space="0" w:color="auto"/>
            </w:tcBorders>
            <w:vAlign w:val="center"/>
          </w:tcPr>
          <w:p w14:paraId="607DDA2C" w14:textId="77777777" w:rsidR="002D0AE7" w:rsidRDefault="002D0AE7">
            <w:pPr>
              <w:jc w:val="right"/>
              <w:outlineLvl w:val="2"/>
              <w:rPr>
                <w:rFonts w:cs="Cambria" w:hint="eastAsia"/>
                <w:sz w:val="21"/>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5727ADB6" w14:textId="77777777" w:rsidR="002D0AE7" w:rsidRDefault="002D0AE7">
            <w:pPr>
              <w:jc w:val="right"/>
              <w:outlineLvl w:val="2"/>
              <w:rPr>
                <w:rFonts w:ascii="Times New Roman" w:hAnsi="Times New Roman" w:cs="Times New Roman"/>
                <w:sz w:val="21"/>
                <w:szCs w:val="21"/>
              </w:rPr>
            </w:pPr>
          </w:p>
        </w:tc>
        <w:tc>
          <w:tcPr>
            <w:tcW w:w="731" w:type="pct"/>
            <w:tcBorders>
              <w:top w:val="single" w:sz="4" w:space="0" w:color="auto"/>
              <w:left w:val="single" w:sz="4" w:space="0" w:color="auto"/>
              <w:bottom w:val="single" w:sz="4" w:space="0" w:color="auto"/>
              <w:right w:val="single" w:sz="4" w:space="0" w:color="auto"/>
            </w:tcBorders>
            <w:vAlign w:val="center"/>
          </w:tcPr>
          <w:p w14:paraId="28401641" w14:textId="77777777" w:rsidR="002D0AE7" w:rsidRDefault="002D0AE7">
            <w:pPr>
              <w:jc w:val="right"/>
              <w:outlineLvl w:val="2"/>
              <w:rPr>
                <w:rFonts w:ascii="Times New Roman" w:hAnsi="Times New Roman" w:cs="Times New Roman"/>
                <w:sz w:val="21"/>
                <w:szCs w:val="21"/>
              </w:rPr>
            </w:pPr>
          </w:p>
        </w:tc>
      </w:tr>
      <w:tr w:rsidR="002D0AE7" w14:paraId="41745170" w14:textId="77777777">
        <w:trPr>
          <w:trHeight w:val="238"/>
          <w:jc w:val="center"/>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2032A17D" w14:textId="77777777" w:rsidR="002D0AE7" w:rsidRDefault="00333EBB">
            <w:pPr>
              <w:outlineLvl w:val="2"/>
              <w:rPr>
                <w:rFonts w:cs="Cambria" w:hint="eastAsia"/>
                <w:color w:val="000000" w:themeColor="text1"/>
                <w:sz w:val="21"/>
                <w:szCs w:val="21"/>
              </w:rPr>
            </w:pPr>
            <w:r>
              <w:rPr>
                <w:rFonts w:cs="Cambria"/>
                <w:color w:val="000000" w:themeColor="text1"/>
                <w:sz w:val="21"/>
                <w:szCs w:val="21"/>
              </w:rPr>
              <w:t>3.</w:t>
            </w:r>
            <w:r>
              <w:rPr>
                <w:rFonts w:cs="Cambria" w:hint="eastAsia"/>
                <w:color w:val="000000" w:themeColor="text1"/>
                <w:sz w:val="21"/>
                <w:szCs w:val="21"/>
              </w:rPr>
              <w:t>持有并准备增值后转让的土地使用权</w:t>
            </w:r>
          </w:p>
        </w:tc>
        <w:tc>
          <w:tcPr>
            <w:tcW w:w="799" w:type="pct"/>
            <w:tcBorders>
              <w:top w:val="single" w:sz="4" w:space="0" w:color="auto"/>
              <w:left w:val="single" w:sz="4" w:space="0" w:color="auto"/>
              <w:bottom w:val="single" w:sz="4" w:space="0" w:color="auto"/>
              <w:right w:val="single" w:sz="4" w:space="0" w:color="auto"/>
            </w:tcBorders>
            <w:vAlign w:val="center"/>
          </w:tcPr>
          <w:p w14:paraId="5169FFAB" w14:textId="77777777" w:rsidR="002D0AE7" w:rsidRDefault="002D0AE7">
            <w:pPr>
              <w:jc w:val="right"/>
              <w:outlineLvl w:val="2"/>
              <w:rPr>
                <w:rFonts w:cs="Cambria" w:hint="eastAsia"/>
                <w:sz w:val="21"/>
                <w:szCs w:val="21"/>
              </w:rPr>
            </w:pPr>
          </w:p>
        </w:tc>
        <w:tc>
          <w:tcPr>
            <w:tcW w:w="781" w:type="pct"/>
            <w:tcBorders>
              <w:top w:val="single" w:sz="4" w:space="0" w:color="auto"/>
              <w:left w:val="single" w:sz="4" w:space="0" w:color="auto"/>
              <w:bottom w:val="single" w:sz="4" w:space="0" w:color="auto"/>
              <w:right w:val="single" w:sz="4" w:space="0" w:color="auto"/>
            </w:tcBorders>
            <w:vAlign w:val="center"/>
          </w:tcPr>
          <w:p w14:paraId="6A8212FE" w14:textId="77777777" w:rsidR="002D0AE7" w:rsidRDefault="002D0AE7">
            <w:pPr>
              <w:jc w:val="right"/>
              <w:outlineLvl w:val="2"/>
              <w:rPr>
                <w:rFonts w:cs="Cambria" w:hint="eastAsia"/>
                <w:sz w:val="21"/>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1B1F8C3E" w14:textId="77777777" w:rsidR="002D0AE7" w:rsidRDefault="002D0AE7">
            <w:pPr>
              <w:jc w:val="right"/>
              <w:outlineLvl w:val="2"/>
              <w:rPr>
                <w:rFonts w:ascii="Times New Roman" w:hAnsi="Times New Roman" w:cs="Times New Roman"/>
                <w:sz w:val="21"/>
                <w:szCs w:val="21"/>
              </w:rPr>
            </w:pPr>
          </w:p>
        </w:tc>
        <w:tc>
          <w:tcPr>
            <w:tcW w:w="731" w:type="pct"/>
            <w:tcBorders>
              <w:top w:val="single" w:sz="4" w:space="0" w:color="auto"/>
              <w:left w:val="single" w:sz="4" w:space="0" w:color="auto"/>
              <w:bottom w:val="single" w:sz="4" w:space="0" w:color="auto"/>
              <w:right w:val="single" w:sz="4" w:space="0" w:color="auto"/>
            </w:tcBorders>
            <w:vAlign w:val="center"/>
          </w:tcPr>
          <w:p w14:paraId="2453E491" w14:textId="77777777" w:rsidR="002D0AE7" w:rsidRDefault="002D0AE7">
            <w:pPr>
              <w:jc w:val="right"/>
              <w:outlineLvl w:val="2"/>
              <w:rPr>
                <w:rFonts w:ascii="Times New Roman" w:hAnsi="Times New Roman" w:cs="Times New Roman"/>
                <w:sz w:val="21"/>
                <w:szCs w:val="21"/>
              </w:rPr>
            </w:pPr>
          </w:p>
        </w:tc>
      </w:tr>
      <w:tr w:rsidR="002D0AE7" w14:paraId="0CBC2D70" w14:textId="77777777">
        <w:trPr>
          <w:trHeight w:val="240"/>
          <w:jc w:val="center"/>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26650976" w14:textId="77777777" w:rsidR="002D0AE7" w:rsidRDefault="00333EBB">
            <w:pPr>
              <w:outlineLvl w:val="2"/>
              <w:rPr>
                <w:rFonts w:cs="Cambria" w:hint="eastAsia"/>
                <w:color w:val="000000" w:themeColor="text1"/>
                <w:sz w:val="21"/>
                <w:szCs w:val="21"/>
              </w:rPr>
            </w:pPr>
            <w:r>
              <w:rPr>
                <w:rFonts w:cs="Cambria" w:hint="eastAsia"/>
                <w:color w:val="000000" w:themeColor="text1"/>
                <w:sz w:val="21"/>
                <w:szCs w:val="21"/>
              </w:rPr>
              <w:t>（五）</w:t>
            </w:r>
            <w:r>
              <w:rPr>
                <w:rFonts w:cs="Cambria" w:hint="eastAsia"/>
                <w:color w:val="000000" w:themeColor="text1"/>
                <w:sz w:val="21"/>
                <w:szCs w:val="21"/>
                <w:shd w:val="solid" w:color="FFFFFF" w:fill="auto"/>
              </w:rPr>
              <w:t>生物资产</w:t>
            </w:r>
          </w:p>
        </w:tc>
        <w:tc>
          <w:tcPr>
            <w:tcW w:w="799" w:type="pct"/>
            <w:tcBorders>
              <w:top w:val="single" w:sz="4" w:space="0" w:color="auto"/>
              <w:left w:val="single" w:sz="4" w:space="0" w:color="auto"/>
              <w:bottom w:val="single" w:sz="4" w:space="0" w:color="auto"/>
              <w:right w:val="single" w:sz="4" w:space="0" w:color="auto"/>
            </w:tcBorders>
            <w:vAlign w:val="center"/>
          </w:tcPr>
          <w:p w14:paraId="0D28AA32" w14:textId="77777777" w:rsidR="002D0AE7" w:rsidRDefault="002D0AE7">
            <w:pPr>
              <w:jc w:val="right"/>
              <w:outlineLvl w:val="2"/>
              <w:rPr>
                <w:rFonts w:cs="Cambria" w:hint="eastAsia"/>
                <w:sz w:val="21"/>
                <w:szCs w:val="21"/>
              </w:rPr>
            </w:pPr>
          </w:p>
        </w:tc>
        <w:tc>
          <w:tcPr>
            <w:tcW w:w="781" w:type="pct"/>
            <w:tcBorders>
              <w:top w:val="single" w:sz="4" w:space="0" w:color="auto"/>
              <w:left w:val="single" w:sz="4" w:space="0" w:color="auto"/>
              <w:bottom w:val="single" w:sz="4" w:space="0" w:color="auto"/>
              <w:right w:val="single" w:sz="4" w:space="0" w:color="auto"/>
            </w:tcBorders>
            <w:vAlign w:val="center"/>
          </w:tcPr>
          <w:p w14:paraId="6C15E7B9" w14:textId="77777777" w:rsidR="002D0AE7" w:rsidRDefault="002D0AE7">
            <w:pPr>
              <w:jc w:val="right"/>
              <w:outlineLvl w:val="2"/>
              <w:rPr>
                <w:rFonts w:cs="Cambria" w:hint="eastAsia"/>
                <w:sz w:val="21"/>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1F67A0D1" w14:textId="77777777" w:rsidR="002D0AE7" w:rsidRDefault="002D0AE7">
            <w:pPr>
              <w:jc w:val="right"/>
              <w:outlineLvl w:val="2"/>
              <w:rPr>
                <w:rFonts w:ascii="Times New Roman" w:hAnsi="Times New Roman" w:cs="Times New Roman"/>
                <w:sz w:val="21"/>
                <w:szCs w:val="21"/>
              </w:rPr>
            </w:pPr>
          </w:p>
        </w:tc>
        <w:tc>
          <w:tcPr>
            <w:tcW w:w="731" w:type="pct"/>
            <w:tcBorders>
              <w:top w:val="single" w:sz="4" w:space="0" w:color="auto"/>
              <w:left w:val="single" w:sz="4" w:space="0" w:color="auto"/>
              <w:bottom w:val="single" w:sz="4" w:space="0" w:color="auto"/>
              <w:right w:val="single" w:sz="4" w:space="0" w:color="auto"/>
            </w:tcBorders>
            <w:vAlign w:val="center"/>
          </w:tcPr>
          <w:p w14:paraId="65912819" w14:textId="77777777" w:rsidR="002D0AE7" w:rsidRDefault="002D0AE7">
            <w:pPr>
              <w:jc w:val="right"/>
              <w:outlineLvl w:val="2"/>
              <w:rPr>
                <w:rFonts w:ascii="Times New Roman" w:hAnsi="Times New Roman" w:cs="Times New Roman"/>
                <w:sz w:val="21"/>
                <w:szCs w:val="21"/>
              </w:rPr>
            </w:pPr>
          </w:p>
        </w:tc>
      </w:tr>
      <w:tr w:rsidR="002D0AE7" w14:paraId="3A175916" w14:textId="77777777">
        <w:trPr>
          <w:trHeight w:val="240"/>
          <w:jc w:val="center"/>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2A27D9CF" w14:textId="77777777" w:rsidR="002D0AE7" w:rsidRDefault="00333EBB">
            <w:pPr>
              <w:outlineLvl w:val="2"/>
              <w:rPr>
                <w:rFonts w:cs="Cambria" w:hint="eastAsia"/>
                <w:color w:val="000000" w:themeColor="text1"/>
                <w:sz w:val="21"/>
                <w:szCs w:val="21"/>
              </w:rPr>
            </w:pPr>
            <w:r>
              <w:rPr>
                <w:rFonts w:cs="Cambria"/>
                <w:color w:val="000000" w:themeColor="text1"/>
                <w:sz w:val="21"/>
                <w:szCs w:val="21"/>
              </w:rPr>
              <w:t>1.</w:t>
            </w:r>
            <w:r>
              <w:rPr>
                <w:rFonts w:cs="Cambria" w:hint="eastAsia"/>
                <w:color w:val="000000" w:themeColor="text1"/>
                <w:sz w:val="21"/>
                <w:szCs w:val="21"/>
              </w:rPr>
              <w:t>消耗性生物资产</w:t>
            </w:r>
          </w:p>
        </w:tc>
        <w:tc>
          <w:tcPr>
            <w:tcW w:w="799" w:type="pct"/>
            <w:tcBorders>
              <w:top w:val="single" w:sz="4" w:space="0" w:color="auto"/>
              <w:left w:val="single" w:sz="4" w:space="0" w:color="auto"/>
              <w:bottom w:val="single" w:sz="4" w:space="0" w:color="auto"/>
              <w:right w:val="single" w:sz="4" w:space="0" w:color="auto"/>
            </w:tcBorders>
            <w:vAlign w:val="center"/>
          </w:tcPr>
          <w:p w14:paraId="55DBB5E9" w14:textId="77777777" w:rsidR="002D0AE7" w:rsidRDefault="002D0AE7">
            <w:pPr>
              <w:jc w:val="right"/>
              <w:outlineLvl w:val="2"/>
              <w:rPr>
                <w:rFonts w:cs="Cambria" w:hint="eastAsia"/>
                <w:sz w:val="21"/>
                <w:szCs w:val="21"/>
              </w:rPr>
            </w:pPr>
          </w:p>
        </w:tc>
        <w:tc>
          <w:tcPr>
            <w:tcW w:w="781" w:type="pct"/>
            <w:tcBorders>
              <w:top w:val="single" w:sz="4" w:space="0" w:color="auto"/>
              <w:left w:val="single" w:sz="4" w:space="0" w:color="auto"/>
              <w:bottom w:val="single" w:sz="4" w:space="0" w:color="auto"/>
              <w:right w:val="single" w:sz="4" w:space="0" w:color="auto"/>
            </w:tcBorders>
            <w:vAlign w:val="center"/>
          </w:tcPr>
          <w:p w14:paraId="68DE9212" w14:textId="77777777" w:rsidR="002D0AE7" w:rsidRDefault="002D0AE7">
            <w:pPr>
              <w:jc w:val="right"/>
              <w:outlineLvl w:val="2"/>
              <w:rPr>
                <w:rFonts w:cs="Cambria" w:hint="eastAsia"/>
                <w:sz w:val="21"/>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3D96A1FE" w14:textId="77777777" w:rsidR="002D0AE7" w:rsidRDefault="002D0AE7">
            <w:pPr>
              <w:jc w:val="right"/>
              <w:outlineLvl w:val="2"/>
              <w:rPr>
                <w:rFonts w:ascii="Times New Roman" w:hAnsi="Times New Roman" w:cs="Times New Roman"/>
                <w:sz w:val="21"/>
                <w:szCs w:val="21"/>
              </w:rPr>
            </w:pPr>
          </w:p>
        </w:tc>
        <w:tc>
          <w:tcPr>
            <w:tcW w:w="731" w:type="pct"/>
            <w:tcBorders>
              <w:top w:val="single" w:sz="4" w:space="0" w:color="auto"/>
              <w:left w:val="single" w:sz="4" w:space="0" w:color="auto"/>
              <w:bottom w:val="single" w:sz="4" w:space="0" w:color="auto"/>
              <w:right w:val="single" w:sz="4" w:space="0" w:color="auto"/>
            </w:tcBorders>
            <w:vAlign w:val="center"/>
          </w:tcPr>
          <w:p w14:paraId="56D164DD" w14:textId="77777777" w:rsidR="002D0AE7" w:rsidRDefault="002D0AE7">
            <w:pPr>
              <w:jc w:val="right"/>
              <w:outlineLvl w:val="2"/>
              <w:rPr>
                <w:rFonts w:ascii="Times New Roman" w:hAnsi="Times New Roman" w:cs="Times New Roman"/>
                <w:sz w:val="21"/>
                <w:szCs w:val="21"/>
              </w:rPr>
            </w:pPr>
          </w:p>
        </w:tc>
      </w:tr>
      <w:tr w:rsidR="002D0AE7" w14:paraId="7F99522A" w14:textId="77777777">
        <w:trPr>
          <w:trHeight w:val="240"/>
          <w:jc w:val="center"/>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2CC182ED" w14:textId="77777777" w:rsidR="002D0AE7" w:rsidRDefault="00333EBB">
            <w:pPr>
              <w:outlineLvl w:val="2"/>
              <w:rPr>
                <w:rFonts w:cs="Cambria" w:hint="eastAsia"/>
                <w:color w:val="000000" w:themeColor="text1"/>
                <w:sz w:val="21"/>
                <w:szCs w:val="21"/>
              </w:rPr>
            </w:pPr>
            <w:r>
              <w:rPr>
                <w:rFonts w:cs="Cambria"/>
                <w:color w:val="000000" w:themeColor="text1"/>
                <w:sz w:val="21"/>
                <w:szCs w:val="21"/>
              </w:rPr>
              <w:t>2.</w:t>
            </w:r>
            <w:r>
              <w:rPr>
                <w:rFonts w:cs="Cambria" w:hint="eastAsia"/>
                <w:color w:val="000000" w:themeColor="text1"/>
                <w:sz w:val="21"/>
                <w:szCs w:val="21"/>
              </w:rPr>
              <w:t>生产性生物资产</w:t>
            </w:r>
          </w:p>
        </w:tc>
        <w:tc>
          <w:tcPr>
            <w:tcW w:w="799" w:type="pct"/>
            <w:tcBorders>
              <w:top w:val="single" w:sz="4" w:space="0" w:color="auto"/>
              <w:left w:val="single" w:sz="4" w:space="0" w:color="auto"/>
              <w:bottom w:val="single" w:sz="4" w:space="0" w:color="auto"/>
              <w:right w:val="single" w:sz="4" w:space="0" w:color="auto"/>
            </w:tcBorders>
            <w:vAlign w:val="center"/>
          </w:tcPr>
          <w:p w14:paraId="16C88116" w14:textId="77777777" w:rsidR="002D0AE7" w:rsidRDefault="002D0AE7">
            <w:pPr>
              <w:jc w:val="right"/>
              <w:outlineLvl w:val="2"/>
              <w:rPr>
                <w:rFonts w:cs="Cambria" w:hint="eastAsia"/>
                <w:sz w:val="21"/>
                <w:szCs w:val="21"/>
              </w:rPr>
            </w:pPr>
          </w:p>
        </w:tc>
        <w:tc>
          <w:tcPr>
            <w:tcW w:w="781" w:type="pct"/>
            <w:tcBorders>
              <w:top w:val="single" w:sz="4" w:space="0" w:color="auto"/>
              <w:left w:val="single" w:sz="4" w:space="0" w:color="auto"/>
              <w:bottom w:val="single" w:sz="4" w:space="0" w:color="auto"/>
              <w:right w:val="single" w:sz="4" w:space="0" w:color="auto"/>
            </w:tcBorders>
            <w:vAlign w:val="center"/>
          </w:tcPr>
          <w:p w14:paraId="250CEB4E" w14:textId="77777777" w:rsidR="002D0AE7" w:rsidRDefault="002D0AE7">
            <w:pPr>
              <w:jc w:val="right"/>
              <w:outlineLvl w:val="2"/>
              <w:rPr>
                <w:rFonts w:cs="Cambria" w:hint="eastAsia"/>
                <w:sz w:val="21"/>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7BABDFA8" w14:textId="77777777" w:rsidR="002D0AE7" w:rsidRDefault="002D0AE7">
            <w:pPr>
              <w:jc w:val="right"/>
              <w:outlineLvl w:val="2"/>
              <w:rPr>
                <w:rFonts w:ascii="Times New Roman" w:hAnsi="Times New Roman" w:cs="Times New Roman"/>
                <w:sz w:val="21"/>
                <w:szCs w:val="21"/>
              </w:rPr>
            </w:pPr>
          </w:p>
        </w:tc>
        <w:tc>
          <w:tcPr>
            <w:tcW w:w="731" w:type="pct"/>
            <w:tcBorders>
              <w:top w:val="single" w:sz="4" w:space="0" w:color="auto"/>
              <w:left w:val="single" w:sz="4" w:space="0" w:color="auto"/>
              <w:bottom w:val="single" w:sz="4" w:space="0" w:color="auto"/>
              <w:right w:val="single" w:sz="4" w:space="0" w:color="auto"/>
            </w:tcBorders>
            <w:vAlign w:val="center"/>
          </w:tcPr>
          <w:p w14:paraId="0BB02573" w14:textId="77777777" w:rsidR="002D0AE7" w:rsidRDefault="002D0AE7">
            <w:pPr>
              <w:jc w:val="right"/>
              <w:outlineLvl w:val="2"/>
              <w:rPr>
                <w:rFonts w:ascii="Times New Roman" w:hAnsi="Times New Roman" w:cs="Times New Roman"/>
                <w:sz w:val="21"/>
                <w:szCs w:val="21"/>
              </w:rPr>
            </w:pPr>
          </w:p>
        </w:tc>
      </w:tr>
      <w:tr w:rsidR="002D0AE7" w14:paraId="37CBD04B" w14:textId="77777777">
        <w:trPr>
          <w:trHeight w:val="215"/>
          <w:jc w:val="center"/>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37F20799" w14:textId="77777777" w:rsidR="002D0AE7" w:rsidRDefault="00333EBB">
            <w:pPr>
              <w:outlineLvl w:val="2"/>
              <w:rPr>
                <w:rFonts w:cs="Cambria" w:hint="eastAsia"/>
                <w:sz w:val="21"/>
                <w:szCs w:val="21"/>
              </w:rPr>
            </w:pPr>
            <w:r>
              <w:rPr>
                <w:rFonts w:cs="Cambria" w:hint="eastAsia"/>
                <w:sz w:val="21"/>
                <w:szCs w:val="21"/>
              </w:rPr>
              <w:t>（六）应收款项融资</w:t>
            </w:r>
          </w:p>
        </w:tc>
        <w:tc>
          <w:tcPr>
            <w:tcW w:w="799" w:type="pct"/>
            <w:tcBorders>
              <w:top w:val="single" w:sz="4" w:space="0" w:color="auto"/>
              <w:left w:val="single" w:sz="4" w:space="0" w:color="auto"/>
              <w:bottom w:val="single" w:sz="4" w:space="0" w:color="auto"/>
              <w:right w:val="single" w:sz="4" w:space="0" w:color="auto"/>
            </w:tcBorders>
            <w:vAlign w:val="center"/>
          </w:tcPr>
          <w:p w14:paraId="5B1A599D" w14:textId="77777777" w:rsidR="002D0AE7" w:rsidRDefault="002D0AE7">
            <w:pPr>
              <w:jc w:val="right"/>
              <w:outlineLvl w:val="2"/>
              <w:rPr>
                <w:rFonts w:cs="Cambria" w:hint="eastAsia"/>
                <w:sz w:val="21"/>
                <w:szCs w:val="21"/>
              </w:rPr>
            </w:pPr>
          </w:p>
        </w:tc>
        <w:tc>
          <w:tcPr>
            <w:tcW w:w="781" w:type="pct"/>
            <w:tcBorders>
              <w:top w:val="single" w:sz="4" w:space="0" w:color="auto"/>
              <w:left w:val="single" w:sz="4" w:space="0" w:color="auto"/>
              <w:bottom w:val="single" w:sz="4" w:space="0" w:color="auto"/>
              <w:right w:val="single" w:sz="4" w:space="0" w:color="auto"/>
            </w:tcBorders>
            <w:vAlign w:val="center"/>
          </w:tcPr>
          <w:p w14:paraId="1CECBE7E" w14:textId="77777777" w:rsidR="002D0AE7" w:rsidRDefault="002D0AE7">
            <w:pPr>
              <w:jc w:val="right"/>
              <w:outlineLvl w:val="2"/>
              <w:rPr>
                <w:rFonts w:cs="Cambria" w:hint="eastAsia"/>
                <w:sz w:val="21"/>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4154B52D" w14:textId="77777777" w:rsidR="002D0AE7" w:rsidRDefault="00333EBB">
            <w:pPr>
              <w:jc w:val="right"/>
              <w:outlineLvl w:val="2"/>
              <w:rPr>
                <w:rFonts w:ascii="Times New Roman" w:hAnsi="Times New Roman" w:cs="Times New Roman"/>
                <w:sz w:val="21"/>
                <w:szCs w:val="21"/>
              </w:rPr>
            </w:pPr>
            <w:r>
              <w:rPr>
                <w:rFonts w:ascii="Times New Roman" w:hAnsi="Times New Roman" w:cs="Times New Roman"/>
                <w:sz w:val="21"/>
                <w:szCs w:val="21"/>
              </w:rPr>
              <w:t>137,749,102.75</w:t>
            </w:r>
          </w:p>
        </w:tc>
        <w:tc>
          <w:tcPr>
            <w:tcW w:w="731" w:type="pct"/>
            <w:tcBorders>
              <w:top w:val="single" w:sz="4" w:space="0" w:color="auto"/>
              <w:left w:val="single" w:sz="4" w:space="0" w:color="auto"/>
              <w:bottom w:val="single" w:sz="4" w:space="0" w:color="auto"/>
              <w:right w:val="single" w:sz="4" w:space="0" w:color="auto"/>
            </w:tcBorders>
            <w:vAlign w:val="center"/>
          </w:tcPr>
          <w:p w14:paraId="69B74B2C" w14:textId="77777777" w:rsidR="002D0AE7" w:rsidRDefault="00333EBB">
            <w:pPr>
              <w:jc w:val="right"/>
              <w:outlineLvl w:val="2"/>
              <w:rPr>
                <w:rFonts w:ascii="Times New Roman" w:hAnsi="Times New Roman" w:cs="Times New Roman"/>
                <w:sz w:val="21"/>
                <w:szCs w:val="21"/>
              </w:rPr>
            </w:pPr>
            <w:r>
              <w:rPr>
                <w:rFonts w:ascii="Times New Roman" w:hAnsi="Times New Roman" w:cs="Times New Roman"/>
                <w:sz w:val="21"/>
                <w:szCs w:val="21"/>
              </w:rPr>
              <w:t>137,749,102.75</w:t>
            </w:r>
          </w:p>
        </w:tc>
      </w:tr>
      <w:tr w:rsidR="002D0AE7" w14:paraId="0E0CFDBA" w14:textId="77777777">
        <w:trPr>
          <w:trHeight w:val="238"/>
          <w:jc w:val="center"/>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2102AA02" w14:textId="77777777" w:rsidR="002D0AE7" w:rsidRDefault="00333EBB">
            <w:pPr>
              <w:outlineLvl w:val="2"/>
              <w:rPr>
                <w:rFonts w:cs="Cambria" w:hint="eastAsia"/>
                <w:b/>
                <w:color w:val="000000" w:themeColor="text1"/>
                <w:sz w:val="21"/>
                <w:szCs w:val="21"/>
              </w:rPr>
            </w:pPr>
            <w:r>
              <w:rPr>
                <w:rFonts w:cs="Cambria" w:hint="eastAsia"/>
                <w:b/>
                <w:color w:val="000000" w:themeColor="text1"/>
                <w:sz w:val="21"/>
                <w:szCs w:val="21"/>
              </w:rPr>
              <w:t>持续以公允价值计量的资产总额</w:t>
            </w:r>
          </w:p>
        </w:tc>
        <w:tc>
          <w:tcPr>
            <w:tcW w:w="799" w:type="pct"/>
            <w:tcBorders>
              <w:top w:val="single" w:sz="4" w:space="0" w:color="auto"/>
              <w:left w:val="single" w:sz="4" w:space="0" w:color="auto"/>
              <w:bottom w:val="single" w:sz="4" w:space="0" w:color="auto"/>
              <w:right w:val="single" w:sz="4" w:space="0" w:color="auto"/>
            </w:tcBorders>
            <w:vAlign w:val="center"/>
          </w:tcPr>
          <w:p w14:paraId="7E40E39E" w14:textId="77777777" w:rsidR="002D0AE7" w:rsidRDefault="002D0AE7">
            <w:pPr>
              <w:jc w:val="right"/>
              <w:outlineLvl w:val="2"/>
              <w:rPr>
                <w:rFonts w:cs="Cambria" w:hint="eastAsia"/>
                <w:sz w:val="21"/>
                <w:szCs w:val="21"/>
              </w:rPr>
            </w:pPr>
          </w:p>
        </w:tc>
        <w:tc>
          <w:tcPr>
            <w:tcW w:w="781" w:type="pct"/>
            <w:tcBorders>
              <w:top w:val="single" w:sz="4" w:space="0" w:color="auto"/>
              <w:left w:val="single" w:sz="4" w:space="0" w:color="auto"/>
              <w:bottom w:val="single" w:sz="4" w:space="0" w:color="auto"/>
              <w:right w:val="single" w:sz="4" w:space="0" w:color="auto"/>
            </w:tcBorders>
            <w:vAlign w:val="center"/>
          </w:tcPr>
          <w:p w14:paraId="1A691CE3" w14:textId="77777777" w:rsidR="002D0AE7" w:rsidRDefault="002D0AE7">
            <w:pPr>
              <w:jc w:val="right"/>
              <w:outlineLvl w:val="2"/>
              <w:rPr>
                <w:rFonts w:cs="Cambria" w:hint="eastAsia"/>
                <w:sz w:val="21"/>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4D85E6F0" w14:textId="77777777" w:rsidR="002D0AE7" w:rsidRDefault="00333EBB">
            <w:pPr>
              <w:jc w:val="right"/>
              <w:outlineLvl w:val="2"/>
              <w:rPr>
                <w:rFonts w:ascii="Times New Roman" w:hAnsi="Times New Roman" w:cs="Times New Roman"/>
                <w:sz w:val="21"/>
                <w:szCs w:val="21"/>
              </w:rPr>
            </w:pPr>
            <w:r>
              <w:rPr>
                <w:rFonts w:ascii="Times New Roman" w:hAnsi="Times New Roman" w:cs="Times New Roman"/>
                <w:sz w:val="21"/>
                <w:szCs w:val="21"/>
              </w:rPr>
              <w:t>282,569,894.13</w:t>
            </w:r>
          </w:p>
        </w:tc>
        <w:tc>
          <w:tcPr>
            <w:tcW w:w="731" w:type="pct"/>
            <w:tcBorders>
              <w:top w:val="single" w:sz="4" w:space="0" w:color="auto"/>
              <w:left w:val="single" w:sz="4" w:space="0" w:color="auto"/>
              <w:bottom w:val="single" w:sz="4" w:space="0" w:color="auto"/>
              <w:right w:val="single" w:sz="4" w:space="0" w:color="auto"/>
            </w:tcBorders>
            <w:vAlign w:val="center"/>
          </w:tcPr>
          <w:p w14:paraId="24F9610D" w14:textId="77777777" w:rsidR="002D0AE7" w:rsidRDefault="00333EBB">
            <w:pPr>
              <w:jc w:val="right"/>
              <w:outlineLvl w:val="2"/>
              <w:rPr>
                <w:rFonts w:ascii="Times New Roman" w:hAnsi="Times New Roman" w:cs="Times New Roman"/>
                <w:sz w:val="21"/>
                <w:szCs w:val="21"/>
              </w:rPr>
            </w:pPr>
            <w:r>
              <w:rPr>
                <w:rFonts w:ascii="Times New Roman" w:hAnsi="Times New Roman" w:cs="Times New Roman"/>
                <w:sz w:val="21"/>
                <w:szCs w:val="21"/>
              </w:rPr>
              <w:t>282,569,894.13</w:t>
            </w:r>
          </w:p>
        </w:tc>
      </w:tr>
      <w:tr w:rsidR="002D0AE7" w14:paraId="63DF5EE7" w14:textId="77777777">
        <w:trPr>
          <w:trHeight w:val="296"/>
          <w:jc w:val="center"/>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236E7F6B" w14:textId="77777777" w:rsidR="002D0AE7" w:rsidRDefault="00333EBB">
            <w:pPr>
              <w:outlineLvl w:val="2"/>
              <w:rPr>
                <w:rFonts w:cs="Cambria" w:hint="eastAsia"/>
                <w:color w:val="000000" w:themeColor="text1"/>
                <w:sz w:val="21"/>
                <w:szCs w:val="21"/>
              </w:rPr>
            </w:pPr>
            <w:r>
              <w:rPr>
                <w:rFonts w:cs="Cambria" w:hint="eastAsia"/>
                <w:color w:val="000000" w:themeColor="text1"/>
                <w:sz w:val="21"/>
                <w:szCs w:val="21"/>
              </w:rPr>
              <w:t>（六）</w:t>
            </w:r>
            <w:r>
              <w:rPr>
                <w:rFonts w:cs="Cambria" w:hint="eastAsia"/>
                <w:color w:val="000000" w:themeColor="text1"/>
                <w:sz w:val="21"/>
                <w:szCs w:val="21"/>
                <w:shd w:val="solid" w:color="FFFFFF" w:fill="auto"/>
              </w:rPr>
              <w:t>交易性金融负债</w:t>
            </w:r>
          </w:p>
        </w:tc>
        <w:tc>
          <w:tcPr>
            <w:tcW w:w="799" w:type="pct"/>
            <w:tcBorders>
              <w:top w:val="single" w:sz="4" w:space="0" w:color="auto"/>
              <w:left w:val="single" w:sz="4" w:space="0" w:color="auto"/>
              <w:bottom w:val="single" w:sz="4" w:space="0" w:color="auto"/>
              <w:right w:val="single" w:sz="4" w:space="0" w:color="auto"/>
            </w:tcBorders>
            <w:vAlign w:val="center"/>
          </w:tcPr>
          <w:p w14:paraId="611B0436" w14:textId="77777777" w:rsidR="002D0AE7" w:rsidRDefault="002D0AE7">
            <w:pPr>
              <w:jc w:val="right"/>
              <w:outlineLvl w:val="2"/>
              <w:rPr>
                <w:rFonts w:cs="Cambria" w:hint="eastAsia"/>
                <w:sz w:val="21"/>
                <w:szCs w:val="21"/>
              </w:rPr>
            </w:pPr>
          </w:p>
        </w:tc>
        <w:tc>
          <w:tcPr>
            <w:tcW w:w="781" w:type="pct"/>
            <w:tcBorders>
              <w:top w:val="single" w:sz="4" w:space="0" w:color="auto"/>
              <w:left w:val="single" w:sz="4" w:space="0" w:color="auto"/>
              <w:bottom w:val="single" w:sz="4" w:space="0" w:color="auto"/>
              <w:right w:val="single" w:sz="4" w:space="0" w:color="auto"/>
            </w:tcBorders>
            <w:vAlign w:val="center"/>
          </w:tcPr>
          <w:p w14:paraId="647D6B60" w14:textId="77777777" w:rsidR="002D0AE7" w:rsidRDefault="002D0AE7">
            <w:pPr>
              <w:jc w:val="right"/>
              <w:outlineLvl w:val="2"/>
              <w:rPr>
                <w:rFonts w:cs="Cambria" w:hint="eastAsia"/>
                <w:sz w:val="21"/>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3A8D20F6" w14:textId="77777777" w:rsidR="002D0AE7" w:rsidRDefault="002D0AE7">
            <w:pPr>
              <w:jc w:val="right"/>
              <w:outlineLvl w:val="2"/>
              <w:rPr>
                <w:rFonts w:ascii="Times New Roman" w:hAnsi="Times New Roman" w:cs="Times New Roman"/>
                <w:sz w:val="21"/>
                <w:szCs w:val="21"/>
              </w:rPr>
            </w:pPr>
          </w:p>
        </w:tc>
        <w:tc>
          <w:tcPr>
            <w:tcW w:w="731" w:type="pct"/>
            <w:tcBorders>
              <w:top w:val="single" w:sz="4" w:space="0" w:color="auto"/>
              <w:left w:val="single" w:sz="4" w:space="0" w:color="auto"/>
              <w:bottom w:val="single" w:sz="4" w:space="0" w:color="auto"/>
              <w:right w:val="single" w:sz="4" w:space="0" w:color="auto"/>
            </w:tcBorders>
            <w:vAlign w:val="center"/>
          </w:tcPr>
          <w:p w14:paraId="53364419" w14:textId="77777777" w:rsidR="002D0AE7" w:rsidRDefault="002D0AE7">
            <w:pPr>
              <w:jc w:val="right"/>
              <w:outlineLvl w:val="2"/>
              <w:rPr>
                <w:rFonts w:ascii="Times New Roman" w:hAnsi="Times New Roman" w:cs="Times New Roman"/>
                <w:sz w:val="21"/>
                <w:szCs w:val="21"/>
              </w:rPr>
            </w:pPr>
          </w:p>
        </w:tc>
      </w:tr>
      <w:tr w:rsidR="002D0AE7" w14:paraId="45317083" w14:textId="77777777">
        <w:trPr>
          <w:trHeight w:val="296"/>
          <w:jc w:val="center"/>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0B48AC5F" w14:textId="77777777" w:rsidR="002D0AE7" w:rsidRDefault="00333EBB">
            <w:pPr>
              <w:outlineLvl w:val="2"/>
              <w:rPr>
                <w:rFonts w:cs="Cambria" w:hint="eastAsia"/>
                <w:color w:val="000000" w:themeColor="text1"/>
                <w:sz w:val="21"/>
                <w:szCs w:val="21"/>
              </w:rPr>
            </w:pPr>
            <w:r>
              <w:rPr>
                <w:rFonts w:cs="Cambria"/>
                <w:color w:val="000000" w:themeColor="text1"/>
                <w:sz w:val="21"/>
                <w:szCs w:val="21"/>
              </w:rPr>
              <w:t>1.</w:t>
            </w:r>
            <w:r>
              <w:rPr>
                <w:rFonts w:cs="Cambria"/>
                <w:color w:val="000000" w:themeColor="text1"/>
                <w:sz w:val="21"/>
                <w:szCs w:val="21"/>
              </w:rPr>
              <w:t>以公允价值计量且变动计入当期损益的金融负债</w:t>
            </w:r>
          </w:p>
        </w:tc>
        <w:tc>
          <w:tcPr>
            <w:tcW w:w="799" w:type="pct"/>
            <w:tcBorders>
              <w:top w:val="single" w:sz="4" w:space="0" w:color="auto"/>
              <w:left w:val="single" w:sz="4" w:space="0" w:color="auto"/>
              <w:bottom w:val="single" w:sz="4" w:space="0" w:color="auto"/>
              <w:right w:val="single" w:sz="4" w:space="0" w:color="auto"/>
            </w:tcBorders>
            <w:vAlign w:val="center"/>
          </w:tcPr>
          <w:p w14:paraId="7E0973ED" w14:textId="77777777" w:rsidR="002D0AE7" w:rsidRDefault="002D0AE7">
            <w:pPr>
              <w:jc w:val="right"/>
              <w:outlineLvl w:val="2"/>
              <w:rPr>
                <w:rFonts w:cs="Cambria" w:hint="eastAsia"/>
                <w:sz w:val="21"/>
                <w:szCs w:val="21"/>
              </w:rPr>
            </w:pPr>
          </w:p>
        </w:tc>
        <w:tc>
          <w:tcPr>
            <w:tcW w:w="781" w:type="pct"/>
            <w:tcBorders>
              <w:top w:val="single" w:sz="4" w:space="0" w:color="auto"/>
              <w:left w:val="single" w:sz="4" w:space="0" w:color="auto"/>
              <w:bottom w:val="single" w:sz="4" w:space="0" w:color="auto"/>
              <w:right w:val="single" w:sz="4" w:space="0" w:color="auto"/>
            </w:tcBorders>
            <w:vAlign w:val="center"/>
          </w:tcPr>
          <w:p w14:paraId="4BB14CE0" w14:textId="77777777" w:rsidR="002D0AE7" w:rsidRDefault="002D0AE7">
            <w:pPr>
              <w:jc w:val="right"/>
              <w:outlineLvl w:val="2"/>
              <w:rPr>
                <w:rFonts w:cs="Cambria" w:hint="eastAsia"/>
                <w:sz w:val="21"/>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6BDEF7ED" w14:textId="77777777" w:rsidR="002D0AE7" w:rsidRDefault="002D0AE7">
            <w:pPr>
              <w:jc w:val="right"/>
              <w:outlineLvl w:val="2"/>
              <w:rPr>
                <w:rFonts w:cs="Cambria" w:hint="eastAsia"/>
                <w:sz w:val="21"/>
                <w:szCs w:val="21"/>
              </w:rPr>
            </w:pPr>
          </w:p>
        </w:tc>
        <w:tc>
          <w:tcPr>
            <w:tcW w:w="731" w:type="pct"/>
            <w:tcBorders>
              <w:top w:val="single" w:sz="4" w:space="0" w:color="auto"/>
              <w:left w:val="single" w:sz="4" w:space="0" w:color="auto"/>
              <w:bottom w:val="single" w:sz="4" w:space="0" w:color="auto"/>
              <w:right w:val="single" w:sz="4" w:space="0" w:color="auto"/>
            </w:tcBorders>
            <w:vAlign w:val="center"/>
          </w:tcPr>
          <w:p w14:paraId="63DA3508" w14:textId="77777777" w:rsidR="002D0AE7" w:rsidRDefault="002D0AE7">
            <w:pPr>
              <w:jc w:val="right"/>
              <w:outlineLvl w:val="2"/>
              <w:rPr>
                <w:rFonts w:cs="Cambria" w:hint="eastAsia"/>
                <w:sz w:val="21"/>
                <w:szCs w:val="21"/>
              </w:rPr>
            </w:pPr>
          </w:p>
        </w:tc>
      </w:tr>
      <w:tr w:rsidR="002D0AE7" w14:paraId="2AA617B8" w14:textId="77777777">
        <w:trPr>
          <w:trHeight w:val="240"/>
          <w:jc w:val="center"/>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14B62E0E" w14:textId="77777777" w:rsidR="002D0AE7" w:rsidRDefault="00333EBB">
            <w:pPr>
              <w:outlineLvl w:val="2"/>
              <w:rPr>
                <w:rFonts w:cs="Cambria" w:hint="eastAsia"/>
                <w:color w:val="000000" w:themeColor="text1"/>
                <w:sz w:val="21"/>
                <w:szCs w:val="21"/>
              </w:rPr>
            </w:pPr>
            <w:r>
              <w:rPr>
                <w:rFonts w:cs="Cambria" w:hint="eastAsia"/>
                <w:color w:val="000000" w:themeColor="text1"/>
                <w:sz w:val="21"/>
                <w:szCs w:val="21"/>
              </w:rPr>
              <w:t>其中：发行的交易性债券</w:t>
            </w:r>
          </w:p>
        </w:tc>
        <w:tc>
          <w:tcPr>
            <w:tcW w:w="799" w:type="pct"/>
            <w:tcBorders>
              <w:top w:val="single" w:sz="4" w:space="0" w:color="auto"/>
              <w:left w:val="single" w:sz="4" w:space="0" w:color="auto"/>
              <w:bottom w:val="single" w:sz="4" w:space="0" w:color="auto"/>
              <w:right w:val="single" w:sz="4" w:space="0" w:color="auto"/>
            </w:tcBorders>
            <w:vAlign w:val="center"/>
          </w:tcPr>
          <w:p w14:paraId="2C11881C" w14:textId="77777777" w:rsidR="002D0AE7" w:rsidRDefault="002D0AE7">
            <w:pPr>
              <w:jc w:val="right"/>
              <w:outlineLvl w:val="2"/>
              <w:rPr>
                <w:rFonts w:cs="Cambria" w:hint="eastAsia"/>
                <w:sz w:val="21"/>
                <w:szCs w:val="21"/>
              </w:rPr>
            </w:pPr>
          </w:p>
        </w:tc>
        <w:tc>
          <w:tcPr>
            <w:tcW w:w="781" w:type="pct"/>
            <w:tcBorders>
              <w:top w:val="single" w:sz="4" w:space="0" w:color="auto"/>
              <w:left w:val="single" w:sz="4" w:space="0" w:color="auto"/>
              <w:bottom w:val="single" w:sz="4" w:space="0" w:color="auto"/>
              <w:right w:val="single" w:sz="4" w:space="0" w:color="auto"/>
            </w:tcBorders>
            <w:vAlign w:val="center"/>
          </w:tcPr>
          <w:p w14:paraId="379F566A" w14:textId="77777777" w:rsidR="002D0AE7" w:rsidRDefault="002D0AE7">
            <w:pPr>
              <w:jc w:val="right"/>
              <w:rPr>
                <w:rFonts w:hint="eastAsia"/>
                <w:sz w:val="21"/>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76C2FBD8" w14:textId="77777777" w:rsidR="002D0AE7" w:rsidRDefault="002D0AE7">
            <w:pPr>
              <w:jc w:val="right"/>
              <w:rPr>
                <w:rFonts w:hint="eastAsia"/>
                <w:sz w:val="21"/>
                <w:szCs w:val="21"/>
              </w:rPr>
            </w:pPr>
          </w:p>
        </w:tc>
        <w:tc>
          <w:tcPr>
            <w:tcW w:w="731" w:type="pct"/>
            <w:tcBorders>
              <w:top w:val="single" w:sz="4" w:space="0" w:color="auto"/>
              <w:left w:val="single" w:sz="4" w:space="0" w:color="auto"/>
              <w:bottom w:val="single" w:sz="4" w:space="0" w:color="auto"/>
              <w:right w:val="single" w:sz="4" w:space="0" w:color="auto"/>
            </w:tcBorders>
            <w:vAlign w:val="center"/>
          </w:tcPr>
          <w:p w14:paraId="3144776B" w14:textId="77777777" w:rsidR="002D0AE7" w:rsidRDefault="002D0AE7">
            <w:pPr>
              <w:jc w:val="right"/>
              <w:rPr>
                <w:rFonts w:hint="eastAsia"/>
                <w:sz w:val="21"/>
                <w:szCs w:val="21"/>
              </w:rPr>
            </w:pPr>
          </w:p>
        </w:tc>
      </w:tr>
      <w:tr w:rsidR="002D0AE7" w14:paraId="4F44A288" w14:textId="77777777">
        <w:trPr>
          <w:trHeight w:val="286"/>
          <w:jc w:val="center"/>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40E8AB23" w14:textId="77777777" w:rsidR="002D0AE7" w:rsidRDefault="00333EBB">
            <w:pPr>
              <w:tabs>
                <w:tab w:val="left" w:pos="432"/>
                <w:tab w:val="center" w:pos="5630"/>
                <w:tab w:val="center" w:pos="7430"/>
              </w:tabs>
              <w:ind w:firstLineChars="300" w:firstLine="630"/>
              <w:rPr>
                <w:rFonts w:cs="Cambria" w:hint="eastAsia"/>
                <w:color w:val="000000" w:themeColor="text1"/>
                <w:sz w:val="21"/>
                <w:szCs w:val="21"/>
              </w:rPr>
            </w:pPr>
            <w:r>
              <w:rPr>
                <w:rFonts w:cs="Cambria" w:hint="eastAsia"/>
                <w:color w:val="000000" w:themeColor="text1"/>
                <w:sz w:val="21"/>
                <w:szCs w:val="21"/>
              </w:rPr>
              <w:t>衍生金融负债</w:t>
            </w:r>
          </w:p>
        </w:tc>
        <w:tc>
          <w:tcPr>
            <w:tcW w:w="799" w:type="pct"/>
            <w:tcBorders>
              <w:top w:val="single" w:sz="4" w:space="0" w:color="auto"/>
              <w:left w:val="single" w:sz="4" w:space="0" w:color="auto"/>
              <w:bottom w:val="single" w:sz="4" w:space="0" w:color="auto"/>
              <w:right w:val="single" w:sz="4" w:space="0" w:color="auto"/>
            </w:tcBorders>
            <w:vAlign w:val="center"/>
          </w:tcPr>
          <w:p w14:paraId="38FA2785" w14:textId="77777777" w:rsidR="002D0AE7" w:rsidRDefault="002D0AE7">
            <w:pPr>
              <w:jc w:val="right"/>
              <w:outlineLvl w:val="2"/>
              <w:rPr>
                <w:rFonts w:cs="Cambria" w:hint="eastAsia"/>
                <w:sz w:val="21"/>
                <w:szCs w:val="21"/>
              </w:rPr>
            </w:pPr>
          </w:p>
        </w:tc>
        <w:tc>
          <w:tcPr>
            <w:tcW w:w="781" w:type="pct"/>
            <w:tcBorders>
              <w:top w:val="single" w:sz="4" w:space="0" w:color="auto"/>
              <w:left w:val="single" w:sz="4" w:space="0" w:color="auto"/>
              <w:bottom w:val="single" w:sz="4" w:space="0" w:color="auto"/>
              <w:right w:val="single" w:sz="4" w:space="0" w:color="auto"/>
            </w:tcBorders>
            <w:vAlign w:val="center"/>
          </w:tcPr>
          <w:p w14:paraId="6FCAEFEE" w14:textId="77777777" w:rsidR="002D0AE7" w:rsidRDefault="002D0AE7">
            <w:pPr>
              <w:jc w:val="right"/>
              <w:outlineLvl w:val="2"/>
              <w:rPr>
                <w:rFonts w:cs="Cambria" w:hint="eastAsia"/>
                <w:sz w:val="21"/>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57637CC3" w14:textId="77777777" w:rsidR="002D0AE7" w:rsidRDefault="002D0AE7">
            <w:pPr>
              <w:jc w:val="right"/>
              <w:outlineLvl w:val="2"/>
              <w:rPr>
                <w:rFonts w:cs="Cambria" w:hint="eastAsia"/>
                <w:sz w:val="21"/>
                <w:szCs w:val="21"/>
              </w:rPr>
            </w:pPr>
          </w:p>
        </w:tc>
        <w:tc>
          <w:tcPr>
            <w:tcW w:w="731" w:type="pct"/>
            <w:tcBorders>
              <w:top w:val="single" w:sz="4" w:space="0" w:color="auto"/>
              <w:left w:val="single" w:sz="4" w:space="0" w:color="auto"/>
              <w:bottom w:val="single" w:sz="4" w:space="0" w:color="auto"/>
              <w:right w:val="single" w:sz="4" w:space="0" w:color="auto"/>
            </w:tcBorders>
            <w:vAlign w:val="center"/>
          </w:tcPr>
          <w:p w14:paraId="1EB6360F" w14:textId="77777777" w:rsidR="002D0AE7" w:rsidRDefault="002D0AE7">
            <w:pPr>
              <w:jc w:val="right"/>
              <w:outlineLvl w:val="2"/>
              <w:rPr>
                <w:rFonts w:cs="Cambria" w:hint="eastAsia"/>
                <w:sz w:val="21"/>
                <w:szCs w:val="21"/>
              </w:rPr>
            </w:pPr>
          </w:p>
        </w:tc>
      </w:tr>
      <w:tr w:rsidR="002D0AE7" w14:paraId="427323B0" w14:textId="77777777">
        <w:trPr>
          <w:trHeight w:val="284"/>
          <w:jc w:val="center"/>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171C2761" w14:textId="77777777" w:rsidR="002D0AE7" w:rsidRDefault="00333EBB">
            <w:pPr>
              <w:tabs>
                <w:tab w:val="left" w:pos="432"/>
                <w:tab w:val="center" w:pos="5630"/>
                <w:tab w:val="center" w:pos="7430"/>
              </w:tabs>
              <w:ind w:firstLineChars="300" w:firstLine="630"/>
              <w:rPr>
                <w:rFonts w:cs="Cambria" w:hint="eastAsia"/>
                <w:color w:val="000000" w:themeColor="text1"/>
                <w:sz w:val="21"/>
                <w:szCs w:val="21"/>
              </w:rPr>
            </w:pPr>
            <w:r>
              <w:rPr>
                <w:rFonts w:cs="Cambria" w:hint="eastAsia"/>
                <w:color w:val="000000" w:themeColor="text1"/>
                <w:sz w:val="21"/>
                <w:szCs w:val="21"/>
              </w:rPr>
              <w:t>其他</w:t>
            </w:r>
          </w:p>
        </w:tc>
        <w:tc>
          <w:tcPr>
            <w:tcW w:w="799" w:type="pct"/>
            <w:tcBorders>
              <w:top w:val="single" w:sz="4" w:space="0" w:color="auto"/>
              <w:left w:val="single" w:sz="4" w:space="0" w:color="auto"/>
              <w:bottom w:val="single" w:sz="4" w:space="0" w:color="auto"/>
              <w:right w:val="single" w:sz="4" w:space="0" w:color="auto"/>
            </w:tcBorders>
            <w:vAlign w:val="center"/>
          </w:tcPr>
          <w:p w14:paraId="2E1F8443" w14:textId="77777777" w:rsidR="002D0AE7" w:rsidRDefault="002D0AE7">
            <w:pPr>
              <w:jc w:val="right"/>
              <w:outlineLvl w:val="2"/>
              <w:rPr>
                <w:rFonts w:cs="Cambria" w:hint="eastAsia"/>
                <w:sz w:val="21"/>
                <w:szCs w:val="21"/>
              </w:rPr>
            </w:pPr>
          </w:p>
        </w:tc>
        <w:tc>
          <w:tcPr>
            <w:tcW w:w="781" w:type="pct"/>
            <w:tcBorders>
              <w:top w:val="single" w:sz="4" w:space="0" w:color="auto"/>
              <w:left w:val="single" w:sz="4" w:space="0" w:color="auto"/>
              <w:bottom w:val="single" w:sz="4" w:space="0" w:color="auto"/>
              <w:right w:val="single" w:sz="4" w:space="0" w:color="auto"/>
            </w:tcBorders>
            <w:vAlign w:val="center"/>
          </w:tcPr>
          <w:p w14:paraId="0A21D7E2" w14:textId="77777777" w:rsidR="002D0AE7" w:rsidRDefault="002D0AE7">
            <w:pPr>
              <w:jc w:val="right"/>
              <w:outlineLvl w:val="2"/>
              <w:rPr>
                <w:rFonts w:cs="Cambria" w:hint="eastAsia"/>
                <w:sz w:val="21"/>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4F63AEE6" w14:textId="77777777" w:rsidR="002D0AE7" w:rsidRDefault="002D0AE7">
            <w:pPr>
              <w:jc w:val="right"/>
              <w:outlineLvl w:val="2"/>
              <w:rPr>
                <w:rFonts w:cs="Cambria" w:hint="eastAsia"/>
                <w:sz w:val="21"/>
                <w:szCs w:val="21"/>
              </w:rPr>
            </w:pPr>
          </w:p>
        </w:tc>
        <w:tc>
          <w:tcPr>
            <w:tcW w:w="731" w:type="pct"/>
            <w:tcBorders>
              <w:top w:val="single" w:sz="4" w:space="0" w:color="auto"/>
              <w:left w:val="single" w:sz="4" w:space="0" w:color="auto"/>
              <w:bottom w:val="single" w:sz="4" w:space="0" w:color="auto"/>
              <w:right w:val="single" w:sz="4" w:space="0" w:color="auto"/>
            </w:tcBorders>
            <w:vAlign w:val="center"/>
          </w:tcPr>
          <w:p w14:paraId="3E39976E" w14:textId="77777777" w:rsidR="002D0AE7" w:rsidRDefault="002D0AE7">
            <w:pPr>
              <w:jc w:val="right"/>
              <w:outlineLvl w:val="2"/>
              <w:rPr>
                <w:rFonts w:cs="Cambria" w:hint="eastAsia"/>
                <w:sz w:val="21"/>
                <w:szCs w:val="21"/>
              </w:rPr>
            </w:pPr>
          </w:p>
        </w:tc>
      </w:tr>
      <w:tr w:rsidR="002D0AE7" w14:paraId="540B013C" w14:textId="77777777">
        <w:trPr>
          <w:trHeight w:val="468"/>
          <w:jc w:val="center"/>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562CF0C7" w14:textId="77777777" w:rsidR="002D0AE7" w:rsidRDefault="00333EBB">
            <w:pPr>
              <w:outlineLvl w:val="2"/>
              <w:rPr>
                <w:rFonts w:cs="Cambria" w:hint="eastAsia"/>
                <w:color w:val="000000" w:themeColor="text1"/>
                <w:sz w:val="21"/>
                <w:szCs w:val="21"/>
              </w:rPr>
            </w:pPr>
            <w:r>
              <w:rPr>
                <w:rFonts w:cs="Cambria" w:hint="eastAsia"/>
                <w:color w:val="000000" w:themeColor="text1"/>
                <w:sz w:val="21"/>
                <w:szCs w:val="21"/>
              </w:rPr>
              <w:t>2.</w:t>
            </w:r>
            <w:r>
              <w:rPr>
                <w:rFonts w:cs="Cambria" w:hint="eastAsia"/>
                <w:color w:val="000000" w:themeColor="text1"/>
                <w:sz w:val="21"/>
                <w:szCs w:val="21"/>
              </w:rPr>
              <w:t>指定为以公允价值计量且变动计入当期损益的金融负债</w:t>
            </w:r>
          </w:p>
        </w:tc>
        <w:tc>
          <w:tcPr>
            <w:tcW w:w="799" w:type="pct"/>
            <w:tcBorders>
              <w:top w:val="single" w:sz="4" w:space="0" w:color="auto"/>
              <w:left w:val="single" w:sz="4" w:space="0" w:color="auto"/>
              <w:bottom w:val="single" w:sz="4" w:space="0" w:color="auto"/>
              <w:right w:val="single" w:sz="4" w:space="0" w:color="auto"/>
            </w:tcBorders>
            <w:vAlign w:val="center"/>
          </w:tcPr>
          <w:p w14:paraId="151DD3F8" w14:textId="77777777" w:rsidR="002D0AE7" w:rsidRDefault="002D0AE7">
            <w:pPr>
              <w:jc w:val="right"/>
              <w:outlineLvl w:val="2"/>
              <w:rPr>
                <w:rFonts w:cs="Cambria" w:hint="eastAsia"/>
                <w:sz w:val="21"/>
                <w:szCs w:val="21"/>
              </w:rPr>
            </w:pPr>
          </w:p>
        </w:tc>
        <w:tc>
          <w:tcPr>
            <w:tcW w:w="781" w:type="pct"/>
            <w:tcBorders>
              <w:top w:val="single" w:sz="4" w:space="0" w:color="auto"/>
              <w:left w:val="single" w:sz="4" w:space="0" w:color="auto"/>
              <w:bottom w:val="single" w:sz="4" w:space="0" w:color="auto"/>
              <w:right w:val="single" w:sz="4" w:space="0" w:color="auto"/>
            </w:tcBorders>
            <w:vAlign w:val="center"/>
          </w:tcPr>
          <w:p w14:paraId="3459841F" w14:textId="77777777" w:rsidR="002D0AE7" w:rsidRDefault="002D0AE7">
            <w:pPr>
              <w:jc w:val="right"/>
              <w:outlineLvl w:val="2"/>
              <w:rPr>
                <w:rFonts w:cs="Cambria" w:hint="eastAsia"/>
                <w:sz w:val="21"/>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692E677C" w14:textId="77777777" w:rsidR="002D0AE7" w:rsidRDefault="002D0AE7">
            <w:pPr>
              <w:jc w:val="right"/>
              <w:outlineLvl w:val="2"/>
              <w:rPr>
                <w:rFonts w:cs="Cambria" w:hint="eastAsia"/>
                <w:sz w:val="21"/>
                <w:szCs w:val="21"/>
              </w:rPr>
            </w:pPr>
          </w:p>
        </w:tc>
        <w:tc>
          <w:tcPr>
            <w:tcW w:w="731" w:type="pct"/>
            <w:tcBorders>
              <w:top w:val="single" w:sz="4" w:space="0" w:color="auto"/>
              <w:left w:val="single" w:sz="4" w:space="0" w:color="auto"/>
              <w:bottom w:val="single" w:sz="4" w:space="0" w:color="auto"/>
              <w:right w:val="single" w:sz="4" w:space="0" w:color="auto"/>
            </w:tcBorders>
            <w:vAlign w:val="center"/>
          </w:tcPr>
          <w:p w14:paraId="3444F22A" w14:textId="77777777" w:rsidR="002D0AE7" w:rsidRDefault="002D0AE7">
            <w:pPr>
              <w:jc w:val="right"/>
              <w:outlineLvl w:val="2"/>
              <w:rPr>
                <w:rFonts w:cs="Cambria" w:hint="eastAsia"/>
                <w:sz w:val="21"/>
                <w:szCs w:val="21"/>
              </w:rPr>
            </w:pPr>
          </w:p>
        </w:tc>
      </w:tr>
      <w:tr w:rsidR="002D0AE7" w14:paraId="2F29F51D" w14:textId="77777777">
        <w:trPr>
          <w:trHeight w:val="468"/>
          <w:jc w:val="center"/>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453B3BAE" w14:textId="77777777" w:rsidR="002D0AE7" w:rsidRDefault="00333EBB">
            <w:pPr>
              <w:outlineLvl w:val="2"/>
              <w:rPr>
                <w:rFonts w:cs="Cambria" w:hint="eastAsia"/>
                <w:b/>
                <w:color w:val="000000" w:themeColor="text1"/>
                <w:sz w:val="21"/>
                <w:szCs w:val="21"/>
              </w:rPr>
            </w:pPr>
            <w:r>
              <w:rPr>
                <w:rFonts w:cs="Cambria" w:hint="eastAsia"/>
                <w:b/>
                <w:color w:val="000000" w:themeColor="text1"/>
                <w:sz w:val="21"/>
                <w:szCs w:val="21"/>
              </w:rPr>
              <w:t>持续以公允价值计量的负债总额</w:t>
            </w:r>
          </w:p>
        </w:tc>
        <w:tc>
          <w:tcPr>
            <w:tcW w:w="799" w:type="pct"/>
            <w:tcBorders>
              <w:top w:val="single" w:sz="4" w:space="0" w:color="auto"/>
              <w:left w:val="single" w:sz="4" w:space="0" w:color="auto"/>
              <w:bottom w:val="single" w:sz="4" w:space="0" w:color="auto"/>
              <w:right w:val="single" w:sz="4" w:space="0" w:color="auto"/>
            </w:tcBorders>
            <w:vAlign w:val="center"/>
          </w:tcPr>
          <w:p w14:paraId="0C6D56BC" w14:textId="77777777" w:rsidR="002D0AE7" w:rsidRDefault="002D0AE7">
            <w:pPr>
              <w:jc w:val="right"/>
              <w:outlineLvl w:val="2"/>
              <w:rPr>
                <w:rFonts w:cs="Cambria" w:hint="eastAsia"/>
                <w:sz w:val="21"/>
                <w:szCs w:val="21"/>
              </w:rPr>
            </w:pPr>
          </w:p>
        </w:tc>
        <w:tc>
          <w:tcPr>
            <w:tcW w:w="781" w:type="pct"/>
            <w:tcBorders>
              <w:top w:val="single" w:sz="4" w:space="0" w:color="auto"/>
              <w:left w:val="single" w:sz="4" w:space="0" w:color="auto"/>
              <w:bottom w:val="single" w:sz="4" w:space="0" w:color="auto"/>
              <w:right w:val="single" w:sz="4" w:space="0" w:color="auto"/>
            </w:tcBorders>
            <w:vAlign w:val="center"/>
          </w:tcPr>
          <w:p w14:paraId="59A51993" w14:textId="77777777" w:rsidR="002D0AE7" w:rsidRDefault="002D0AE7">
            <w:pPr>
              <w:jc w:val="right"/>
              <w:outlineLvl w:val="2"/>
              <w:rPr>
                <w:rFonts w:cs="Cambria" w:hint="eastAsia"/>
                <w:sz w:val="21"/>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2DD30DD8" w14:textId="77777777" w:rsidR="002D0AE7" w:rsidRDefault="002D0AE7">
            <w:pPr>
              <w:tabs>
                <w:tab w:val="center" w:pos="824"/>
                <w:tab w:val="right" w:pos="1649"/>
              </w:tabs>
              <w:jc w:val="right"/>
              <w:outlineLvl w:val="2"/>
              <w:rPr>
                <w:rFonts w:cs="Cambria" w:hint="eastAsia"/>
                <w:sz w:val="21"/>
                <w:szCs w:val="21"/>
              </w:rPr>
            </w:pPr>
          </w:p>
        </w:tc>
        <w:tc>
          <w:tcPr>
            <w:tcW w:w="731" w:type="pct"/>
            <w:tcBorders>
              <w:top w:val="single" w:sz="4" w:space="0" w:color="auto"/>
              <w:left w:val="single" w:sz="4" w:space="0" w:color="auto"/>
              <w:bottom w:val="single" w:sz="4" w:space="0" w:color="auto"/>
              <w:right w:val="single" w:sz="4" w:space="0" w:color="auto"/>
            </w:tcBorders>
            <w:vAlign w:val="center"/>
          </w:tcPr>
          <w:p w14:paraId="14C6F176" w14:textId="77777777" w:rsidR="002D0AE7" w:rsidRDefault="002D0AE7">
            <w:pPr>
              <w:jc w:val="right"/>
              <w:outlineLvl w:val="2"/>
              <w:rPr>
                <w:rFonts w:cs="Cambria" w:hint="eastAsia"/>
                <w:sz w:val="21"/>
                <w:szCs w:val="21"/>
              </w:rPr>
            </w:pPr>
          </w:p>
        </w:tc>
      </w:tr>
      <w:tr w:rsidR="002D0AE7" w14:paraId="5DF15423" w14:textId="77777777">
        <w:trPr>
          <w:trHeight w:val="240"/>
          <w:jc w:val="center"/>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77AD2AAE" w14:textId="77777777" w:rsidR="002D0AE7" w:rsidRDefault="00333EBB">
            <w:pPr>
              <w:outlineLvl w:val="2"/>
              <w:rPr>
                <w:rFonts w:cs="Cambria" w:hint="eastAsia"/>
                <w:b/>
                <w:color w:val="000000" w:themeColor="text1"/>
                <w:sz w:val="21"/>
                <w:szCs w:val="21"/>
              </w:rPr>
            </w:pPr>
            <w:r>
              <w:rPr>
                <w:rFonts w:cs="Cambria" w:hint="eastAsia"/>
                <w:b/>
                <w:color w:val="000000" w:themeColor="text1"/>
                <w:sz w:val="21"/>
                <w:szCs w:val="21"/>
              </w:rPr>
              <w:t>二、非持续的公允价值计量</w:t>
            </w:r>
          </w:p>
        </w:tc>
        <w:tc>
          <w:tcPr>
            <w:tcW w:w="799" w:type="pct"/>
            <w:tcBorders>
              <w:top w:val="single" w:sz="4" w:space="0" w:color="auto"/>
              <w:left w:val="single" w:sz="4" w:space="0" w:color="auto"/>
              <w:bottom w:val="single" w:sz="4" w:space="0" w:color="auto"/>
              <w:right w:val="single" w:sz="4" w:space="0" w:color="auto"/>
            </w:tcBorders>
            <w:vAlign w:val="center"/>
          </w:tcPr>
          <w:p w14:paraId="494B4A8C" w14:textId="77777777" w:rsidR="002D0AE7" w:rsidRDefault="002D0AE7">
            <w:pPr>
              <w:jc w:val="right"/>
              <w:outlineLvl w:val="2"/>
              <w:rPr>
                <w:rFonts w:cs="Cambria" w:hint="eastAsia"/>
                <w:sz w:val="21"/>
                <w:szCs w:val="21"/>
              </w:rPr>
            </w:pPr>
          </w:p>
        </w:tc>
        <w:tc>
          <w:tcPr>
            <w:tcW w:w="781" w:type="pct"/>
            <w:tcBorders>
              <w:top w:val="single" w:sz="4" w:space="0" w:color="auto"/>
              <w:left w:val="single" w:sz="4" w:space="0" w:color="auto"/>
              <w:bottom w:val="single" w:sz="4" w:space="0" w:color="auto"/>
              <w:right w:val="single" w:sz="4" w:space="0" w:color="auto"/>
            </w:tcBorders>
            <w:vAlign w:val="center"/>
          </w:tcPr>
          <w:p w14:paraId="6877C814" w14:textId="77777777" w:rsidR="002D0AE7" w:rsidRDefault="002D0AE7">
            <w:pPr>
              <w:jc w:val="right"/>
              <w:outlineLvl w:val="2"/>
              <w:rPr>
                <w:rFonts w:cs="Cambria" w:hint="eastAsia"/>
                <w:sz w:val="21"/>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5643A4B2" w14:textId="77777777" w:rsidR="002D0AE7" w:rsidRDefault="002D0AE7">
            <w:pPr>
              <w:jc w:val="right"/>
              <w:outlineLvl w:val="2"/>
              <w:rPr>
                <w:rFonts w:cs="Cambria" w:hint="eastAsia"/>
                <w:sz w:val="21"/>
                <w:szCs w:val="21"/>
              </w:rPr>
            </w:pPr>
          </w:p>
        </w:tc>
        <w:tc>
          <w:tcPr>
            <w:tcW w:w="731" w:type="pct"/>
            <w:tcBorders>
              <w:top w:val="single" w:sz="4" w:space="0" w:color="auto"/>
              <w:left w:val="single" w:sz="4" w:space="0" w:color="auto"/>
              <w:bottom w:val="single" w:sz="4" w:space="0" w:color="auto"/>
              <w:right w:val="single" w:sz="4" w:space="0" w:color="auto"/>
            </w:tcBorders>
            <w:vAlign w:val="center"/>
          </w:tcPr>
          <w:p w14:paraId="7C121D0C" w14:textId="77777777" w:rsidR="002D0AE7" w:rsidRDefault="002D0AE7">
            <w:pPr>
              <w:jc w:val="right"/>
              <w:outlineLvl w:val="2"/>
              <w:rPr>
                <w:rFonts w:cs="Cambria" w:hint="eastAsia"/>
                <w:sz w:val="21"/>
                <w:szCs w:val="21"/>
              </w:rPr>
            </w:pPr>
          </w:p>
        </w:tc>
      </w:tr>
      <w:tr w:rsidR="002D0AE7" w14:paraId="7F2F205F" w14:textId="77777777">
        <w:trPr>
          <w:trHeight w:val="240"/>
          <w:jc w:val="center"/>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0E35A972" w14:textId="77777777" w:rsidR="002D0AE7" w:rsidRDefault="00333EBB">
            <w:pPr>
              <w:outlineLvl w:val="2"/>
              <w:rPr>
                <w:rFonts w:cs="Cambria" w:hint="eastAsia"/>
                <w:color w:val="000000" w:themeColor="text1"/>
                <w:sz w:val="21"/>
                <w:szCs w:val="21"/>
              </w:rPr>
            </w:pPr>
            <w:r>
              <w:rPr>
                <w:rFonts w:cs="Cambria" w:hint="eastAsia"/>
                <w:color w:val="000000" w:themeColor="text1"/>
                <w:sz w:val="21"/>
                <w:szCs w:val="21"/>
              </w:rPr>
              <w:t>（一）持有待售资产</w:t>
            </w:r>
          </w:p>
        </w:tc>
        <w:tc>
          <w:tcPr>
            <w:tcW w:w="799" w:type="pct"/>
            <w:tcBorders>
              <w:top w:val="single" w:sz="4" w:space="0" w:color="auto"/>
              <w:left w:val="single" w:sz="4" w:space="0" w:color="auto"/>
              <w:bottom w:val="single" w:sz="4" w:space="0" w:color="auto"/>
              <w:right w:val="single" w:sz="4" w:space="0" w:color="auto"/>
            </w:tcBorders>
            <w:vAlign w:val="center"/>
          </w:tcPr>
          <w:p w14:paraId="3BB22F04" w14:textId="77777777" w:rsidR="002D0AE7" w:rsidRDefault="002D0AE7">
            <w:pPr>
              <w:jc w:val="right"/>
              <w:outlineLvl w:val="2"/>
              <w:rPr>
                <w:rFonts w:cs="Cambria" w:hint="eastAsia"/>
                <w:sz w:val="21"/>
                <w:szCs w:val="21"/>
              </w:rPr>
            </w:pPr>
          </w:p>
        </w:tc>
        <w:tc>
          <w:tcPr>
            <w:tcW w:w="781" w:type="pct"/>
            <w:tcBorders>
              <w:top w:val="single" w:sz="4" w:space="0" w:color="auto"/>
              <w:left w:val="single" w:sz="4" w:space="0" w:color="auto"/>
              <w:bottom w:val="single" w:sz="4" w:space="0" w:color="auto"/>
              <w:right w:val="single" w:sz="4" w:space="0" w:color="auto"/>
            </w:tcBorders>
            <w:vAlign w:val="center"/>
          </w:tcPr>
          <w:p w14:paraId="3DC2738F" w14:textId="77777777" w:rsidR="002D0AE7" w:rsidRDefault="002D0AE7">
            <w:pPr>
              <w:jc w:val="right"/>
              <w:outlineLvl w:val="2"/>
              <w:rPr>
                <w:rFonts w:cs="Cambria" w:hint="eastAsia"/>
                <w:sz w:val="21"/>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67D81D3F" w14:textId="77777777" w:rsidR="002D0AE7" w:rsidRDefault="002D0AE7">
            <w:pPr>
              <w:jc w:val="right"/>
              <w:outlineLvl w:val="2"/>
              <w:rPr>
                <w:rFonts w:cs="Cambria" w:hint="eastAsia"/>
                <w:sz w:val="21"/>
                <w:szCs w:val="21"/>
              </w:rPr>
            </w:pPr>
          </w:p>
        </w:tc>
        <w:tc>
          <w:tcPr>
            <w:tcW w:w="731" w:type="pct"/>
            <w:tcBorders>
              <w:top w:val="single" w:sz="4" w:space="0" w:color="auto"/>
              <w:left w:val="single" w:sz="4" w:space="0" w:color="auto"/>
              <w:bottom w:val="single" w:sz="4" w:space="0" w:color="auto"/>
              <w:right w:val="single" w:sz="4" w:space="0" w:color="auto"/>
            </w:tcBorders>
            <w:vAlign w:val="center"/>
          </w:tcPr>
          <w:p w14:paraId="68E6F418" w14:textId="77777777" w:rsidR="002D0AE7" w:rsidRDefault="002D0AE7">
            <w:pPr>
              <w:jc w:val="right"/>
              <w:outlineLvl w:val="2"/>
              <w:rPr>
                <w:rFonts w:cs="Cambria" w:hint="eastAsia"/>
                <w:sz w:val="21"/>
                <w:szCs w:val="21"/>
              </w:rPr>
            </w:pPr>
          </w:p>
        </w:tc>
      </w:tr>
      <w:tr w:rsidR="002D0AE7" w14:paraId="0BBD101D" w14:textId="77777777">
        <w:trPr>
          <w:trHeight w:val="238"/>
          <w:jc w:val="center"/>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4DF9CCAE" w14:textId="77777777" w:rsidR="002D0AE7" w:rsidRDefault="00333EBB">
            <w:pPr>
              <w:outlineLvl w:val="2"/>
              <w:rPr>
                <w:rFonts w:cs="Cambria" w:hint="eastAsia"/>
                <w:b/>
                <w:color w:val="000000" w:themeColor="text1"/>
                <w:sz w:val="21"/>
                <w:szCs w:val="21"/>
              </w:rPr>
            </w:pPr>
            <w:r>
              <w:rPr>
                <w:rFonts w:cs="Cambria" w:hint="eastAsia"/>
                <w:b/>
                <w:color w:val="000000" w:themeColor="text1"/>
                <w:sz w:val="21"/>
                <w:szCs w:val="21"/>
              </w:rPr>
              <w:t>非持续以公允价值计量的资产总额</w:t>
            </w:r>
          </w:p>
        </w:tc>
        <w:tc>
          <w:tcPr>
            <w:tcW w:w="799" w:type="pct"/>
            <w:tcBorders>
              <w:top w:val="single" w:sz="4" w:space="0" w:color="auto"/>
              <w:left w:val="single" w:sz="4" w:space="0" w:color="auto"/>
              <w:bottom w:val="single" w:sz="4" w:space="0" w:color="auto"/>
              <w:right w:val="single" w:sz="4" w:space="0" w:color="auto"/>
            </w:tcBorders>
            <w:vAlign w:val="center"/>
          </w:tcPr>
          <w:p w14:paraId="032E05E8" w14:textId="77777777" w:rsidR="002D0AE7" w:rsidRDefault="002D0AE7">
            <w:pPr>
              <w:jc w:val="right"/>
              <w:outlineLvl w:val="2"/>
              <w:rPr>
                <w:rFonts w:cs="Cambria" w:hint="eastAsia"/>
                <w:sz w:val="21"/>
                <w:szCs w:val="21"/>
              </w:rPr>
            </w:pPr>
          </w:p>
        </w:tc>
        <w:tc>
          <w:tcPr>
            <w:tcW w:w="781" w:type="pct"/>
            <w:tcBorders>
              <w:top w:val="single" w:sz="4" w:space="0" w:color="auto"/>
              <w:left w:val="single" w:sz="4" w:space="0" w:color="auto"/>
              <w:bottom w:val="single" w:sz="4" w:space="0" w:color="auto"/>
              <w:right w:val="single" w:sz="4" w:space="0" w:color="auto"/>
            </w:tcBorders>
            <w:vAlign w:val="center"/>
          </w:tcPr>
          <w:p w14:paraId="17A54ED4" w14:textId="77777777" w:rsidR="002D0AE7" w:rsidRDefault="002D0AE7">
            <w:pPr>
              <w:jc w:val="right"/>
              <w:outlineLvl w:val="2"/>
              <w:rPr>
                <w:rFonts w:cs="Cambria" w:hint="eastAsia"/>
                <w:sz w:val="21"/>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3BCDE1AD" w14:textId="77777777" w:rsidR="002D0AE7" w:rsidRDefault="002D0AE7">
            <w:pPr>
              <w:jc w:val="center"/>
              <w:rPr>
                <w:rFonts w:cs="Cambria" w:hint="eastAsia"/>
                <w:sz w:val="21"/>
                <w:szCs w:val="21"/>
              </w:rPr>
            </w:pPr>
          </w:p>
        </w:tc>
        <w:tc>
          <w:tcPr>
            <w:tcW w:w="731" w:type="pct"/>
            <w:tcBorders>
              <w:top w:val="single" w:sz="4" w:space="0" w:color="auto"/>
              <w:left w:val="single" w:sz="4" w:space="0" w:color="auto"/>
              <w:bottom w:val="single" w:sz="4" w:space="0" w:color="auto"/>
              <w:right w:val="single" w:sz="4" w:space="0" w:color="auto"/>
            </w:tcBorders>
            <w:vAlign w:val="center"/>
          </w:tcPr>
          <w:p w14:paraId="64577F57" w14:textId="77777777" w:rsidR="002D0AE7" w:rsidRDefault="002D0AE7">
            <w:pPr>
              <w:jc w:val="right"/>
              <w:outlineLvl w:val="2"/>
              <w:rPr>
                <w:rFonts w:cs="Cambria" w:hint="eastAsia"/>
                <w:sz w:val="21"/>
                <w:szCs w:val="21"/>
              </w:rPr>
            </w:pPr>
          </w:p>
        </w:tc>
      </w:tr>
      <w:tr w:rsidR="002D0AE7" w14:paraId="23CCBDB6" w14:textId="77777777">
        <w:trPr>
          <w:trHeight w:val="238"/>
          <w:jc w:val="center"/>
        </w:trPr>
        <w:tc>
          <w:tcPr>
            <w:tcW w:w="1876" w:type="pct"/>
            <w:tcBorders>
              <w:top w:val="single" w:sz="4" w:space="0" w:color="auto"/>
              <w:left w:val="single" w:sz="4" w:space="0" w:color="auto"/>
              <w:bottom w:val="single" w:sz="4" w:space="0" w:color="auto"/>
              <w:right w:val="single" w:sz="4" w:space="0" w:color="auto"/>
            </w:tcBorders>
            <w:shd w:val="clear" w:color="auto" w:fill="auto"/>
            <w:vAlign w:val="center"/>
          </w:tcPr>
          <w:p w14:paraId="6F1FE466" w14:textId="77777777" w:rsidR="002D0AE7" w:rsidRDefault="00333EBB">
            <w:pPr>
              <w:outlineLvl w:val="2"/>
              <w:rPr>
                <w:rFonts w:cs="Cambria" w:hint="eastAsia"/>
                <w:b/>
                <w:color w:val="000000" w:themeColor="text1"/>
                <w:sz w:val="21"/>
                <w:szCs w:val="21"/>
              </w:rPr>
            </w:pPr>
            <w:r>
              <w:rPr>
                <w:rFonts w:cs="Cambria" w:hint="eastAsia"/>
                <w:b/>
                <w:color w:val="000000" w:themeColor="text1"/>
                <w:sz w:val="21"/>
                <w:szCs w:val="21"/>
              </w:rPr>
              <w:t>非持续以公允价值计量的负债总额</w:t>
            </w:r>
          </w:p>
        </w:tc>
        <w:tc>
          <w:tcPr>
            <w:tcW w:w="799" w:type="pct"/>
            <w:tcBorders>
              <w:top w:val="single" w:sz="4" w:space="0" w:color="auto"/>
              <w:left w:val="single" w:sz="4" w:space="0" w:color="auto"/>
              <w:bottom w:val="single" w:sz="4" w:space="0" w:color="auto"/>
              <w:right w:val="single" w:sz="4" w:space="0" w:color="auto"/>
            </w:tcBorders>
            <w:vAlign w:val="center"/>
          </w:tcPr>
          <w:p w14:paraId="358A2247" w14:textId="77777777" w:rsidR="002D0AE7" w:rsidRDefault="002D0AE7">
            <w:pPr>
              <w:jc w:val="right"/>
              <w:outlineLvl w:val="2"/>
              <w:rPr>
                <w:rFonts w:cs="Cambria" w:hint="eastAsia"/>
                <w:sz w:val="21"/>
                <w:szCs w:val="21"/>
              </w:rPr>
            </w:pPr>
          </w:p>
        </w:tc>
        <w:tc>
          <w:tcPr>
            <w:tcW w:w="781" w:type="pct"/>
            <w:tcBorders>
              <w:top w:val="single" w:sz="4" w:space="0" w:color="auto"/>
              <w:left w:val="single" w:sz="4" w:space="0" w:color="auto"/>
              <w:bottom w:val="single" w:sz="4" w:space="0" w:color="auto"/>
              <w:right w:val="single" w:sz="4" w:space="0" w:color="auto"/>
            </w:tcBorders>
            <w:vAlign w:val="center"/>
          </w:tcPr>
          <w:p w14:paraId="0F51D623" w14:textId="77777777" w:rsidR="002D0AE7" w:rsidRDefault="002D0AE7">
            <w:pPr>
              <w:jc w:val="right"/>
              <w:outlineLvl w:val="2"/>
              <w:rPr>
                <w:rFonts w:cs="Cambria" w:hint="eastAsia"/>
                <w:sz w:val="21"/>
                <w:szCs w:val="21"/>
              </w:rPr>
            </w:pPr>
          </w:p>
        </w:tc>
        <w:tc>
          <w:tcPr>
            <w:tcW w:w="812" w:type="pct"/>
            <w:tcBorders>
              <w:top w:val="single" w:sz="4" w:space="0" w:color="auto"/>
              <w:left w:val="single" w:sz="4" w:space="0" w:color="auto"/>
              <w:bottom w:val="single" w:sz="4" w:space="0" w:color="auto"/>
              <w:right w:val="single" w:sz="4" w:space="0" w:color="auto"/>
            </w:tcBorders>
            <w:vAlign w:val="center"/>
          </w:tcPr>
          <w:p w14:paraId="5190B61C" w14:textId="77777777" w:rsidR="002D0AE7" w:rsidRDefault="002D0AE7">
            <w:pPr>
              <w:jc w:val="right"/>
              <w:outlineLvl w:val="2"/>
              <w:rPr>
                <w:rFonts w:cs="Cambria" w:hint="eastAsia"/>
                <w:sz w:val="21"/>
                <w:szCs w:val="21"/>
              </w:rPr>
            </w:pPr>
          </w:p>
        </w:tc>
        <w:tc>
          <w:tcPr>
            <w:tcW w:w="731" w:type="pct"/>
            <w:tcBorders>
              <w:top w:val="single" w:sz="4" w:space="0" w:color="auto"/>
              <w:left w:val="single" w:sz="4" w:space="0" w:color="auto"/>
              <w:bottom w:val="single" w:sz="4" w:space="0" w:color="auto"/>
              <w:right w:val="single" w:sz="4" w:space="0" w:color="auto"/>
            </w:tcBorders>
            <w:vAlign w:val="center"/>
          </w:tcPr>
          <w:p w14:paraId="37A72F42" w14:textId="77777777" w:rsidR="002D0AE7" w:rsidRDefault="002D0AE7">
            <w:pPr>
              <w:jc w:val="right"/>
              <w:outlineLvl w:val="2"/>
              <w:rPr>
                <w:rFonts w:cs="Cambria" w:hint="eastAsia"/>
                <w:sz w:val="21"/>
                <w:szCs w:val="21"/>
              </w:rPr>
            </w:pPr>
          </w:p>
        </w:tc>
      </w:tr>
    </w:tbl>
    <w:bookmarkEnd w:id="233"/>
    <w:p w14:paraId="0096B494" w14:textId="77777777" w:rsidR="002D0AE7" w:rsidRDefault="00333EBB">
      <w:pPr>
        <w:pStyle w:val="3"/>
        <w:numPr>
          <w:ilvl w:val="0"/>
          <w:numId w:val="79"/>
        </w:numPr>
        <w:rPr>
          <w:rFonts w:ascii="宋体" w:hAnsi="宋体" w:hint="eastAsia"/>
          <w:color w:val="000000" w:themeColor="text1"/>
        </w:rPr>
      </w:pPr>
      <w:r>
        <w:rPr>
          <w:rFonts w:ascii="宋体" w:hAnsi="宋体" w:cs="Arial" w:hint="eastAsia"/>
          <w:color w:val="000000" w:themeColor="text1"/>
          <w:szCs w:val="21"/>
        </w:rPr>
        <w:t>持续和非持续第三层次公允价值计量项目，采用的估值技术和重要参数的定性及定量信息</w:t>
      </w:r>
    </w:p>
    <w:sdt>
      <w:sdtPr>
        <w:rPr>
          <w:rFonts w:hint="eastAsia"/>
          <w:color w:val="000000" w:themeColor="text1"/>
        </w:rPr>
        <w:alias w:val="是否适用：持续和非持续第三层次公允价值计量项目，采用的估值技术和重要参数的定性及定量信息[双击切换]"/>
        <w:tag w:val="_GBC_4feedb18bf344f2ebff0035f82f30e3c"/>
        <w:id w:val="-1579438381"/>
        <w:placeholder>
          <w:docPart w:val="GBC22222222222222222222222222222"/>
        </w:placeholder>
      </w:sdtPr>
      <w:sdtEndPr/>
      <w:sdtContent>
        <w:p w14:paraId="309A53DB"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rFonts w:hint="eastAsia"/>
          <w:color w:val="000000" w:themeColor="text1"/>
        </w:rPr>
        <w:alias w:val="持续和非持续第三层次公允价值计量项目，采用的估值技术和重要参数的定性及定量信息"/>
        <w:tag w:val="_GBC_db2fdcfb26ce4ca9ac1e8da23b16aaaa"/>
        <w:id w:val="741610275"/>
        <w:placeholder>
          <w:docPart w:val="GBC22222222222222222222222222222"/>
        </w:placeholder>
      </w:sdtPr>
      <w:sdtEndPr>
        <w:rPr>
          <w:sz w:val="21"/>
          <w:szCs w:val="21"/>
        </w:rPr>
      </w:sdtEndPr>
      <w:sdtContent>
        <w:sdt>
          <w:sdtPr>
            <w:rPr>
              <w:rFonts w:hint="eastAsia"/>
            </w:rPr>
            <w:alias w:val="持续和非持续第三层次公允价值计量项目，采用的估值技术和重要参数的定性及定量信息"/>
            <w:tag w:val="_GBC_db2fdcfb26ce4ca9ac1e8da23b16aaaa"/>
            <w:id w:val="2010707771"/>
            <w:placeholder>
              <w:docPart w:val="D87935C0AEDE47FFB5A115B9FAF5D203"/>
            </w:placeholder>
          </w:sdtPr>
          <w:sdtEndPr>
            <w:rPr>
              <w:sz w:val="21"/>
              <w:szCs w:val="21"/>
            </w:rPr>
          </w:sdtEndPr>
          <w:sdtContent>
            <w:p w14:paraId="2B8FB3FB" w14:textId="77777777" w:rsidR="002D0AE7" w:rsidRDefault="00333EBB">
              <w:pPr>
                <w:snapToGrid w:val="0"/>
                <w:ind w:firstLineChars="200" w:firstLine="480"/>
                <w:rPr>
                  <w:rFonts w:ascii="Arial Narrow" w:hAnsi="Arial Narrow"/>
                  <w:sz w:val="21"/>
                  <w:szCs w:val="21"/>
                </w:rPr>
              </w:pPr>
              <w:r>
                <w:rPr>
                  <w:rFonts w:hint="eastAsia"/>
                  <w:sz w:val="21"/>
                  <w:szCs w:val="21"/>
                </w:rPr>
                <w:t>（</w:t>
              </w:r>
              <w:r>
                <w:rPr>
                  <w:rFonts w:ascii="Arial Narrow" w:hAnsi="Arial Narrow" w:hint="eastAsia"/>
                  <w:sz w:val="21"/>
                  <w:szCs w:val="21"/>
                </w:rPr>
                <w:t>1</w:t>
              </w:r>
              <w:r>
                <w:rPr>
                  <w:rFonts w:ascii="Arial Narrow" w:hAnsi="Arial Narrow" w:hint="eastAsia"/>
                  <w:sz w:val="21"/>
                  <w:szCs w:val="21"/>
                </w:rPr>
                <w:t>）本公司持有的在市场上无可用的观察输入值及估值技术的其他权益工具投资，以第三层级估值作为公允价值的计量依据。根据评估值</w:t>
              </w:r>
              <w:r>
                <w:rPr>
                  <w:rFonts w:ascii="Arial Narrow" w:hAnsi="Arial Narrow" w:hint="eastAsia"/>
                  <w:sz w:val="21"/>
                  <w:szCs w:val="21"/>
                </w:rPr>
                <w:t>=</w:t>
              </w:r>
              <w:r>
                <w:rPr>
                  <w:rFonts w:ascii="Arial Narrow" w:hAnsi="Arial Narrow" w:hint="eastAsia"/>
                  <w:sz w:val="21"/>
                  <w:szCs w:val="21"/>
                </w:rPr>
                <w:t>资产负债表日被投资单位净资产</w:t>
              </w:r>
              <w:r>
                <w:rPr>
                  <w:rFonts w:ascii="Arial Narrow" w:hAnsi="Arial Narrow" w:hint="eastAsia"/>
                  <w:sz w:val="21"/>
                  <w:szCs w:val="21"/>
                </w:rPr>
                <w:t>*</w:t>
              </w:r>
              <w:r>
                <w:rPr>
                  <w:rFonts w:ascii="Arial Narrow" w:hAnsi="Arial Narrow" w:hint="eastAsia"/>
                  <w:sz w:val="21"/>
                  <w:szCs w:val="21"/>
                </w:rPr>
                <w:t>被投资单位所在行业</w:t>
              </w:r>
              <w:r>
                <w:rPr>
                  <w:rFonts w:ascii="Arial Narrow" w:hAnsi="Arial Narrow" w:hint="eastAsia"/>
                  <w:sz w:val="21"/>
                  <w:szCs w:val="21"/>
                </w:rPr>
                <w:t>PB</w:t>
              </w:r>
              <w:r>
                <w:rPr>
                  <w:rFonts w:ascii="Arial Narrow" w:hAnsi="Arial Narrow" w:hint="eastAsia"/>
                  <w:sz w:val="21"/>
                  <w:szCs w:val="21"/>
                </w:rPr>
                <w:t>（市净率）</w:t>
              </w:r>
              <w:r>
                <w:rPr>
                  <w:rFonts w:ascii="Arial Narrow" w:hAnsi="Arial Narrow" w:hint="eastAsia"/>
                  <w:sz w:val="21"/>
                  <w:szCs w:val="21"/>
                </w:rPr>
                <w:t>*</w:t>
              </w:r>
              <w:r>
                <w:rPr>
                  <w:rFonts w:ascii="Arial Narrow" w:hAnsi="Arial Narrow" w:hint="eastAsia"/>
                  <w:sz w:val="21"/>
                  <w:szCs w:val="21"/>
                </w:rPr>
                <w:t>折扣率</w:t>
              </w:r>
              <w:r>
                <w:rPr>
                  <w:rFonts w:ascii="Arial Narrow" w:hAnsi="Arial Narrow" w:hint="eastAsia"/>
                  <w:sz w:val="21"/>
                  <w:szCs w:val="21"/>
                </w:rPr>
                <w:t>*</w:t>
              </w:r>
              <w:r>
                <w:rPr>
                  <w:rFonts w:ascii="Arial Narrow" w:hAnsi="Arial Narrow" w:hint="eastAsia"/>
                  <w:sz w:val="21"/>
                  <w:szCs w:val="21"/>
                </w:rPr>
                <w:t>持股比例确定的其他权益工具投资金额为</w:t>
              </w:r>
              <w:r>
                <w:rPr>
                  <w:rFonts w:ascii="Times New Roman" w:hAnsi="Times New Roman" w:cs="Times New Roman"/>
                  <w:sz w:val="21"/>
                  <w:szCs w:val="21"/>
                </w:rPr>
                <w:t>144,820,791.38</w:t>
              </w:r>
              <w:r>
                <w:rPr>
                  <w:rFonts w:ascii="Arial Narrow" w:hAnsi="Arial Narrow" w:hint="eastAsia"/>
                  <w:sz w:val="21"/>
                  <w:szCs w:val="21"/>
                </w:rPr>
                <w:t>元。</w:t>
              </w:r>
            </w:p>
            <w:p w14:paraId="42F864BC" w14:textId="77777777" w:rsidR="002D0AE7" w:rsidRDefault="00333EBB">
              <w:pPr>
                <w:ind w:firstLineChars="200" w:firstLine="420"/>
                <w:rPr>
                  <w:rFonts w:hint="eastAsia"/>
                  <w:sz w:val="21"/>
                  <w:szCs w:val="21"/>
                </w:rPr>
              </w:pPr>
              <w:r>
                <w:rPr>
                  <w:rFonts w:ascii="Arial Narrow" w:hAnsi="Arial Narrow" w:hint="eastAsia"/>
                  <w:sz w:val="21"/>
                  <w:szCs w:val="21"/>
                </w:rPr>
                <w:t>（</w:t>
              </w:r>
              <w:r>
                <w:rPr>
                  <w:rFonts w:ascii="Arial Narrow" w:hAnsi="Arial Narrow" w:hint="eastAsia"/>
                  <w:sz w:val="21"/>
                  <w:szCs w:val="21"/>
                </w:rPr>
                <w:t>2</w:t>
              </w:r>
              <w:r>
                <w:rPr>
                  <w:rFonts w:ascii="Arial Narrow" w:hAnsi="Arial Narrow" w:hint="eastAsia"/>
                  <w:sz w:val="21"/>
                  <w:szCs w:val="21"/>
                </w:rPr>
                <w:t>）对于持有的应收款项融资，采用票面金额确定其公允价值。</w:t>
              </w:r>
            </w:p>
          </w:sdtContent>
        </w:sdt>
      </w:sdtContent>
    </w:sdt>
    <w:p w14:paraId="4E3D5980" w14:textId="77777777" w:rsidR="002D0AE7" w:rsidRDefault="00333EBB">
      <w:pPr>
        <w:pStyle w:val="2"/>
        <w:numPr>
          <w:ilvl w:val="0"/>
          <w:numId w:val="34"/>
        </w:numPr>
        <w:ind w:left="482" w:hanging="482"/>
        <w:rPr>
          <w:rFonts w:ascii="宋体" w:hAnsi="宋体" w:hint="eastAsia"/>
          <w:color w:val="000000" w:themeColor="text1"/>
        </w:rPr>
      </w:pPr>
      <w:r>
        <w:rPr>
          <w:rFonts w:ascii="宋体" w:hAnsi="宋体" w:hint="eastAsia"/>
          <w:color w:val="000000" w:themeColor="text1"/>
        </w:rPr>
        <w:t>关联方及关联交易</w:t>
      </w:r>
    </w:p>
    <w:p w14:paraId="229F5387" w14:textId="77777777" w:rsidR="002D0AE7" w:rsidRDefault="00333EBB">
      <w:pPr>
        <w:pStyle w:val="3"/>
        <w:numPr>
          <w:ilvl w:val="0"/>
          <w:numId w:val="80"/>
        </w:numPr>
        <w:rPr>
          <w:rFonts w:ascii="宋体" w:hAnsi="宋体" w:hint="eastAsia"/>
          <w:color w:val="000000" w:themeColor="text1"/>
        </w:rPr>
      </w:pPr>
      <w:r>
        <w:rPr>
          <w:rFonts w:ascii="宋体" w:hAnsi="宋体" w:hint="eastAsia"/>
          <w:color w:val="000000" w:themeColor="text1"/>
        </w:rPr>
        <w:t>本企业的母公司情况</w:t>
      </w:r>
    </w:p>
    <w:sdt>
      <w:sdtPr>
        <w:rPr>
          <w:color w:val="000000" w:themeColor="text1"/>
        </w:rPr>
        <w:alias w:val="是否适用：本企业的母公司情况[双击切换]"/>
        <w:tag w:val="_GBC_ead7e4ec9cc847adb62aa8efd8005802"/>
        <w:id w:val="-1714259926"/>
        <w:placeholder>
          <w:docPart w:val="GBC22222222222222222222222222222"/>
        </w:placeholder>
      </w:sdtPr>
      <w:sdtEndPr/>
      <w:sdtContent>
        <w:p w14:paraId="55541538"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15BEE182"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本企业的母公司情况"/>
          <w:tag w:val="_GBC_6deea75122314a599b3383585a0f5cfe"/>
          <w:id w:val="124314278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万元</w:t>
          </w:r>
        </w:sdtContent>
      </w:sdt>
      <w:r>
        <w:rPr>
          <w:rFonts w:hint="eastAsia"/>
          <w:color w:val="000000" w:themeColor="text1"/>
        </w:rPr>
        <w:t>币种：</w:t>
      </w:r>
      <w:sdt>
        <w:sdtPr>
          <w:rPr>
            <w:rFonts w:hint="eastAsia"/>
            <w:color w:val="000000" w:themeColor="text1"/>
          </w:rPr>
          <w:alias w:val="币种：本企业的母公司情况"/>
          <w:tag w:val="_GBC_3d5eae3a190749288b0c0bc9b1b1a3a3"/>
          <w:id w:val="145397196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6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59"/>
        <w:gridCol w:w="1986"/>
        <w:gridCol w:w="1174"/>
        <w:gridCol w:w="1643"/>
        <w:gridCol w:w="1768"/>
      </w:tblGrid>
      <w:tr w:rsidR="002D0AE7" w14:paraId="1B6AC1A9" w14:textId="77777777">
        <w:trPr>
          <w:trHeight w:val="842"/>
          <w:jc w:val="center"/>
        </w:trPr>
        <w:sdt>
          <w:sdtPr>
            <w:rPr>
              <w:color w:val="000000" w:themeColor="text1"/>
              <w:sz w:val="21"/>
              <w:szCs w:val="21"/>
            </w:rPr>
            <w:tag w:val="_PLD_19f86fac20c44d648212d3b573ca4c90"/>
            <w:id w:val="-1769069127"/>
          </w:sdtPr>
          <w:sdtEndPr/>
          <w:sdtContent>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56DDFBBC" w14:textId="77777777" w:rsidR="002D0AE7" w:rsidRDefault="00333EBB">
                <w:pPr>
                  <w:jc w:val="center"/>
                  <w:rPr>
                    <w:rFonts w:cs="Cambria" w:hint="eastAsia"/>
                    <w:color w:val="000000" w:themeColor="text1"/>
                    <w:sz w:val="21"/>
                    <w:szCs w:val="21"/>
                  </w:rPr>
                </w:pPr>
                <w:r>
                  <w:rPr>
                    <w:rFonts w:cs="Cambria" w:hint="eastAsia"/>
                    <w:color w:val="000000" w:themeColor="text1"/>
                    <w:sz w:val="21"/>
                    <w:szCs w:val="21"/>
                  </w:rPr>
                  <w:t>母公司名称</w:t>
                </w:r>
              </w:p>
            </w:tc>
          </w:sdtContent>
        </w:sdt>
        <w:sdt>
          <w:sdtPr>
            <w:rPr>
              <w:color w:val="000000" w:themeColor="text1"/>
              <w:sz w:val="21"/>
              <w:szCs w:val="21"/>
            </w:rPr>
            <w:tag w:val="_PLD_d0e9e84346084d4db76e60afa87cf85a"/>
            <w:id w:val="-2003881572"/>
          </w:sdtPr>
          <w:sdtEndPr/>
          <w:sdtContent>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1D0F4E64" w14:textId="77777777" w:rsidR="002D0AE7" w:rsidRDefault="00333EBB">
                <w:pPr>
                  <w:jc w:val="center"/>
                  <w:rPr>
                    <w:rFonts w:cs="Cambria" w:hint="eastAsia"/>
                    <w:color w:val="000000" w:themeColor="text1"/>
                    <w:sz w:val="21"/>
                    <w:szCs w:val="21"/>
                  </w:rPr>
                </w:pPr>
                <w:r>
                  <w:rPr>
                    <w:rFonts w:cs="Cambria" w:hint="eastAsia"/>
                    <w:color w:val="000000" w:themeColor="text1"/>
                    <w:sz w:val="21"/>
                    <w:szCs w:val="21"/>
                  </w:rPr>
                  <w:t>注册地</w:t>
                </w:r>
              </w:p>
            </w:tc>
          </w:sdtContent>
        </w:sdt>
        <w:sdt>
          <w:sdtPr>
            <w:rPr>
              <w:color w:val="000000" w:themeColor="text1"/>
              <w:sz w:val="21"/>
              <w:szCs w:val="21"/>
            </w:rPr>
            <w:tag w:val="_PLD_862851f8ff08431ea28c3420f555e42d"/>
            <w:id w:val="-1893793434"/>
          </w:sdtPr>
          <w:sdtEndPr/>
          <w:sdtContent>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14:paraId="6F3F05CD" w14:textId="77777777" w:rsidR="002D0AE7" w:rsidRDefault="00333EBB">
                <w:pPr>
                  <w:jc w:val="center"/>
                  <w:rPr>
                    <w:rFonts w:cs="Cambria" w:hint="eastAsia"/>
                    <w:color w:val="000000" w:themeColor="text1"/>
                    <w:sz w:val="21"/>
                    <w:szCs w:val="21"/>
                  </w:rPr>
                </w:pPr>
                <w:r>
                  <w:rPr>
                    <w:rFonts w:cs="Cambria" w:hint="eastAsia"/>
                    <w:color w:val="000000" w:themeColor="text1"/>
                    <w:sz w:val="21"/>
                    <w:szCs w:val="21"/>
                  </w:rPr>
                  <w:t>业务性质</w:t>
                </w:r>
              </w:p>
            </w:tc>
          </w:sdtContent>
        </w:sdt>
        <w:sdt>
          <w:sdtPr>
            <w:rPr>
              <w:color w:val="000000" w:themeColor="text1"/>
              <w:sz w:val="21"/>
              <w:szCs w:val="21"/>
            </w:rPr>
            <w:tag w:val="_PLD_77ed8bc59084448aa6eced74a15c106f"/>
            <w:id w:val="-402143594"/>
          </w:sdtPr>
          <w:sdtEndPr/>
          <w:sdtContent>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14:paraId="5FCE8182" w14:textId="77777777" w:rsidR="002D0AE7" w:rsidRDefault="00333EBB">
                <w:pPr>
                  <w:jc w:val="center"/>
                  <w:rPr>
                    <w:rFonts w:cs="Cambria" w:hint="eastAsia"/>
                    <w:color w:val="000000" w:themeColor="text1"/>
                    <w:sz w:val="21"/>
                    <w:szCs w:val="21"/>
                  </w:rPr>
                </w:pPr>
                <w:r>
                  <w:rPr>
                    <w:rFonts w:cs="Cambria" w:hint="eastAsia"/>
                    <w:color w:val="000000" w:themeColor="text1"/>
                    <w:sz w:val="21"/>
                    <w:szCs w:val="21"/>
                  </w:rPr>
                  <w:t>注册资本</w:t>
                </w:r>
              </w:p>
            </w:tc>
          </w:sdtContent>
        </w:sdt>
        <w:sdt>
          <w:sdtPr>
            <w:rPr>
              <w:color w:val="000000" w:themeColor="text1"/>
              <w:sz w:val="21"/>
              <w:szCs w:val="21"/>
            </w:rPr>
            <w:tag w:val="_PLD_360f61c4c6c14f0abe6480ef7f30e958"/>
            <w:id w:val="-682358572"/>
          </w:sdtPr>
          <w:sdtEndPr/>
          <w:sdtContent>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104B31C5" w14:textId="77777777" w:rsidR="002D0AE7" w:rsidRDefault="00333EBB">
                <w:pPr>
                  <w:jc w:val="center"/>
                  <w:rPr>
                    <w:rFonts w:cs="Cambria" w:hint="eastAsia"/>
                    <w:color w:val="000000" w:themeColor="text1"/>
                    <w:sz w:val="21"/>
                    <w:szCs w:val="21"/>
                  </w:rPr>
                </w:pPr>
                <w:r>
                  <w:rPr>
                    <w:rFonts w:cs="Cambria" w:hint="eastAsia"/>
                    <w:color w:val="000000" w:themeColor="text1"/>
                    <w:sz w:val="21"/>
                    <w:szCs w:val="21"/>
                  </w:rPr>
                  <w:t>母公司对本企业的持股比例</w:t>
                </w:r>
                <w:r>
                  <w:rPr>
                    <w:rFonts w:cs="Cambria"/>
                    <w:color w:val="000000" w:themeColor="text1"/>
                    <w:sz w:val="21"/>
                    <w:szCs w:val="21"/>
                  </w:rPr>
                  <w:t>(%)</w:t>
                </w:r>
              </w:p>
            </w:tc>
          </w:sdtContent>
        </w:sdt>
        <w:sdt>
          <w:sdtPr>
            <w:rPr>
              <w:color w:val="000000" w:themeColor="text1"/>
              <w:sz w:val="21"/>
              <w:szCs w:val="21"/>
            </w:rPr>
            <w:tag w:val="_PLD_3ef945e24ca64fc394d2e6b861604fcf"/>
            <w:id w:val="-242882622"/>
          </w:sdtPr>
          <w:sdtEndPr/>
          <w:sdtContent>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2FC1085E" w14:textId="77777777" w:rsidR="002D0AE7" w:rsidRDefault="00333EBB">
                <w:pPr>
                  <w:jc w:val="center"/>
                  <w:rPr>
                    <w:rFonts w:cs="Cambria" w:hint="eastAsia"/>
                    <w:color w:val="000000" w:themeColor="text1"/>
                    <w:sz w:val="21"/>
                    <w:szCs w:val="21"/>
                  </w:rPr>
                </w:pPr>
                <w:r>
                  <w:rPr>
                    <w:rFonts w:cs="Cambria" w:hint="eastAsia"/>
                    <w:color w:val="000000" w:themeColor="text1"/>
                    <w:sz w:val="21"/>
                    <w:szCs w:val="21"/>
                  </w:rPr>
                  <w:t>母公司对本企业的表决权比例</w:t>
                </w:r>
                <w:r>
                  <w:rPr>
                    <w:rFonts w:cs="Cambria"/>
                    <w:color w:val="000000" w:themeColor="text1"/>
                    <w:sz w:val="21"/>
                    <w:szCs w:val="21"/>
                  </w:rPr>
                  <w:t>(%)</w:t>
                </w:r>
              </w:p>
            </w:tc>
          </w:sdtContent>
        </w:sdt>
      </w:tr>
      <w:tr w:rsidR="002D0AE7" w14:paraId="3C3A0D4C" w14:textId="77777777">
        <w:trPr>
          <w:trHeight w:val="255"/>
          <w:jc w:val="center"/>
        </w:trPr>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69943D1E" w14:textId="77777777" w:rsidR="002D0AE7" w:rsidRDefault="00333EBB">
            <w:pPr>
              <w:rPr>
                <w:rFonts w:cs="Cambria" w:hint="eastAsia"/>
                <w:sz w:val="21"/>
                <w:szCs w:val="21"/>
              </w:rPr>
            </w:pPr>
            <w:r>
              <w:rPr>
                <w:rFonts w:hint="eastAsia"/>
                <w:sz w:val="21"/>
                <w:szCs w:val="21"/>
              </w:rPr>
              <w:lastRenderedPageBreak/>
              <w:t>天津药业集团有限公司</w:t>
            </w:r>
          </w:p>
        </w:tc>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76F9A819" w14:textId="77777777" w:rsidR="002D0AE7" w:rsidRDefault="00333EBB">
            <w:pPr>
              <w:rPr>
                <w:rFonts w:cs="Cambria" w:hint="eastAsia"/>
                <w:sz w:val="21"/>
                <w:szCs w:val="21"/>
              </w:rPr>
            </w:pPr>
            <w:r>
              <w:rPr>
                <w:rFonts w:hint="eastAsia"/>
                <w:sz w:val="21"/>
                <w:szCs w:val="21"/>
              </w:rPr>
              <w:t>天津市河东区八纬路</w:t>
            </w:r>
            <w:r>
              <w:rPr>
                <w:rFonts w:hint="eastAsia"/>
                <w:sz w:val="21"/>
                <w:szCs w:val="21"/>
              </w:rPr>
              <w:t>109</w:t>
            </w:r>
            <w:r>
              <w:rPr>
                <w:rFonts w:hint="eastAsia"/>
                <w:sz w:val="21"/>
                <w:szCs w:val="21"/>
              </w:rPr>
              <w:t>号</w:t>
            </w:r>
          </w:p>
        </w:tc>
        <w:tc>
          <w:tcPr>
            <w:tcW w:w="996" w:type="pct"/>
            <w:tcBorders>
              <w:top w:val="single" w:sz="4" w:space="0" w:color="auto"/>
              <w:left w:val="single" w:sz="4" w:space="0" w:color="auto"/>
              <w:bottom w:val="single" w:sz="4" w:space="0" w:color="auto"/>
              <w:right w:val="single" w:sz="4" w:space="0" w:color="auto"/>
            </w:tcBorders>
            <w:shd w:val="clear" w:color="auto" w:fill="auto"/>
            <w:vAlign w:val="center"/>
          </w:tcPr>
          <w:p w14:paraId="62B2BF1E" w14:textId="77777777" w:rsidR="002D0AE7" w:rsidRDefault="00333EBB">
            <w:pPr>
              <w:rPr>
                <w:rFonts w:cs="Cambria" w:hint="eastAsia"/>
                <w:sz w:val="21"/>
                <w:szCs w:val="21"/>
              </w:rPr>
            </w:pPr>
            <w:r>
              <w:rPr>
                <w:rFonts w:hint="eastAsia"/>
                <w:sz w:val="21"/>
                <w:szCs w:val="21"/>
              </w:rPr>
              <w:t>原料药、制剂药的生产及销售</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14:paraId="7E5ABB6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67,497.00</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79D593D9" w14:textId="77777777" w:rsidR="002D0AE7" w:rsidRDefault="00333EBB">
            <w:pPr>
              <w:jc w:val="right"/>
              <w:rPr>
                <w:rFonts w:ascii="Times New Roman" w:hAnsi="Times New Roman" w:cs="Times New Roman"/>
                <w:sz w:val="21"/>
                <w:szCs w:val="21"/>
              </w:rPr>
            </w:pPr>
            <w:r>
              <w:rPr>
                <w:rFonts w:ascii="Times New Roman" w:hAnsi="Times New Roman" w:cs="Times New Roman" w:hint="eastAsia"/>
                <w:sz w:val="21"/>
                <w:szCs w:val="21"/>
              </w:rPr>
              <w:t>50.69</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14:paraId="1195D5DC" w14:textId="77777777" w:rsidR="002D0AE7" w:rsidRDefault="00333EBB">
            <w:pPr>
              <w:jc w:val="right"/>
              <w:rPr>
                <w:rFonts w:ascii="Times New Roman" w:hAnsi="Times New Roman" w:cs="Times New Roman"/>
                <w:sz w:val="21"/>
                <w:szCs w:val="21"/>
              </w:rPr>
            </w:pPr>
            <w:r>
              <w:rPr>
                <w:rFonts w:ascii="Times New Roman" w:hAnsi="Times New Roman" w:cs="Times New Roman" w:hint="eastAsia"/>
                <w:sz w:val="21"/>
                <w:szCs w:val="21"/>
              </w:rPr>
              <w:t>50.69</w:t>
            </w:r>
          </w:p>
        </w:tc>
      </w:tr>
    </w:tbl>
    <w:p w14:paraId="1A1CF52D" w14:textId="77777777" w:rsidR="002D0AE7" w:rsidRDefault="00333EBB">
      <w:pPr>
        <w:tabs>
          <w:tab w:val="left" w:pos="1134"/>
        </w:tabs>
        <w:rPr>
          <w:rFonts w:cs="Cambria" w:hint="eastAsia"/>
          <w:color w:val="000000" w:themeColor="text1"/>
        </w:rPr>
      </w:pPr>
      <w:r>
        <w:rPr>
          <w:rFonts w:cs="Cambria" w:hint="eastAsia"/>
          <w:color w:val="000000" w:themeColor="text1"/>
        </w:rPr>
        <w:t>本企业的母公司情况的说明</w:t>
      </w:r>
      <w:sdt>
        <w:sdtPr>
          <w:rPr>
            <w:rFonts w:cs="Cambria"/>
            <w:color w:val="000000" w:themeColor="text1"/>
          </w:rPr>
          <w:alias w:val="本企业的母公司情况的说明"/>
          <w:tag w:val="_GBC_23f67537c1df4d9d9ede9fbc78ad06a4"/>
          <w:id w:val="1532216156"/>
          <w:placeholder>
            <w:docPart w:val="GBC22222222222222222222222222222"/>
          </w:placeholder>
        </w:sdtPr>
        <w:sdtEndPr/>
        <w:sdtContent>
          <w:r>
            <w:rPr>
              <w:rFonts w:cs="Cambria" w:hint="eastAsia"/>
              <w:color w:val="000000" w:themeColor="text1"/>
            </w:rPr>
            <w:t>无</w:t>
          </w:r>
        </w:sdtContent>
      </w:sdt>
    </w:p>
    <w:p w14:paraId="63F68DA5" w14:textId="77777777" w:rsidR="002D0AE7" w:rsidRDefault="00333EBB">
      <w:pPr>
        <w:rPr>
          <w:rFonts w:hint="eastAsia"/>
          <w:color w:val="000000" w:themeColor="text1"/>
        </w:rPr>
      </w:pPr>
      <w:r>
        <w:rPr>
          <w:rFonts w:hint="eastAsia"/>
          <w:color w:val="000000" w:themeColor="text1"/>
        </w:rPr>
        <w:t>本企业最终控制方是</w:t>
      </w:r>
      <w:sdt>
        <w:sdtPr>
          <w:rPr>
            <w:rFonts w:hint="eastAsia"/>
            <w:color w:val="000000" w:themeColor="text1"/>
          </w:rPr>
          <w:alias w:val="本企业最终控制方"/>
          <w:tag w:val="_GBC_951a676520994ab7a3822c5f58c20b7d"/>
          <w:id w:val="326948148"/>
          <w:placeholder>
            <w:docPart w:val="GBC22222222222222222222222222222"/>
          </w:placeholder>
        </w:sdtPr>
        <w:sdtEndPr/>
        <w:sdtContent>
          <w:r>
            <w:rPr>
              <w:rFonts w:hint="eastAsia"/>
              <w:color w:val="000000" w:themeColor="text1"/>
            </w:rPr>
            <w:t>无实际控制人</w:t>
          </w:r>
        </w:sdtContent>
      </w:sdt>
    </w:p>
    <w:p w14:paraId="04A4EC08" w14:textId="77777777" w:rsidR="002D0AE7" w:rsidRDefault="00333EBB">
      <w:pPr>
        <w:rPr>
          <w:rFonts w:hint="eastAsia"/>
          <w:color w:val="000000" w:themeColor="text1"/>
        </w:rPr>
      </w:pPr>
      <w:r>
        <w:rPr>
          <w:rFonts w:hint="eastAsia"/>
          <w:color w:val="000000" w:themeColor="text1"/>
        </w:rPr>
        <w:t>其他说明：</w:t>
      </w:r>
      <w:sdt>
        <w:sdtPr>
          <w:rPr>
            <w:color w:val="000000" w:themeColor="text1"/>
          </w:rPr>
          <w:alias w:val="本企业的母公司情况的其他说明"/>
          <w:tag w:val="_GBC_72b4ca7a02944263a74be4174baff4cf"/>
          <w:id w:val="-1997329778"/>
          <w:placeholder>
            <w:docPart w:val="GBC22222222222222222222222222222"/>
          </w:placeholder>
        </w:sdtPr>
        <w:sdtEndPr/>
        <w:sdtContent>
          <w:r>
            <w:rPr>
              <w:rFonts w:hint="eastAsia"/>
              <w:color w:val="000000" w:themeColor="text1"/>
              <w:sz w:val="21"/>
            </w:rPr>
            <w:t>天津市医药集团有限公司是公司间接控股股东，津药资产管理有限公司是母公司控股股东。</w:t>
          </w:r>
        </w:sdtContent>
      </w:sdt>
    </w:p>
    <w:p w14:paraId="45FF9066" w14:textId="77777777" w:rsidR="002D0AE7" w:rsidRDefault="00333EBB">
      <w:pPr>
        <w:pStyle w:val="3"/>
        <w:numPr>
          <w:ilvl w:val="0"/>
          <w:numId w:val="80"/>
        </w:numPr>
        <w:rPr>
          <w:rFonts w:ascii="宋体" w:hAnsi="宋体" w:cs="Arial" w:hint="eastAsia"/>
          <w:color w:val="000000" w:themeColor="text1"/>
          <w:szCs w:val="21"/>
        </w:rPr>
      </w:pPr>
      <w:r>
        <w:rPr>
          <w:rFonts w:ascii="宋体" w:hAnsi="宋体" w:cs="Arial" w:hint="eastAsia"/>
          <w:color w:val="000000" w:themeColor="text1"/>
          <w:szCs w:val="21"/>
        </w:rPr>
        <w:t>本企业的子公司情况</w:t>
      </w:r>
    </w:p>
    <w:p w14:paraId="78537A4F" w14:textId="77777777" w:rsidR="002D0AE7" w:rsidRDefault="00333EBB">
      <w:pPr>
        <w:rPr>
          <w:rFonts w:hint="eastAsia"/>
          <w:color w:val="000000" w:themeColor="text1"/>
        </w:rPr>
      </w:pPr>
      <w:r>
        <w:rPr>
          <w:rFonts w:hint="eastAsia"/>
          <w:color w:val="000000" w:themeColor="text1"/>
        </w:rPr>
        <w:t>本企业子公司的情况详见附注</w:t>
      </w:r>
    </w:p>
    <w:sdt>
      <w:sdtPr>
        <w:rPr>
          <w:color w:val="000000" w:themeColor="text1"/>
        </w:rPr>
        <w:alias w:val="是否适用：本公司的子公司情况详见附注[双击切换]"/>
        <w:tag w:val="_GBC_a8d551b9f62149d3bf9322adae2c671f"/>
        <w:id w:val="-379628122"/>
        <w:placeholder>
          <w:docPart w:val="GBC22222222222222222222222222222"/>
        </w:placeholder>
      </w:sdtPr>
      <w:sdtEndPr/>
      <w:sdtContent>
        <w:p w14:paraId="35882010"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rFonts w:hint="eastAsia"/>
          <w:color w:val="000000" w:themeColor="text1"/>
        </w:rPr>
        <w:alias w:val="本公司的子公司情况详见附注"/>
        <w:tag w:val="_GBC_bb3e2669c3cc45d0a6637b1809087708"/>
        <w:id w:val="234741725"/>
        <w:placeholder>
          <w:docPart w:val="GBC22222222222222222222222222222"/>
        </w:placeholder>
      </w:sdtPr>
      <w:sdtEndPr/>
      <w:sdtContent>
        <w:p w14:paraId="4242C6ED" w14:textId="77777777" w:rsidR="002D0AE7" w:rsidRDefault="00333EBB">
          <w:pPr>
            <w:rPr>
              <w:rFonts w:hint="eastAsia"/>
              <w:color w:val="000000" w:themeColor="text1"/>
            </w:rPr>
          </w:pPr>
          <w:r>
            <w:rPr>
              <w:rFonts w:hint="eastAsia"/>
              <w:color w:val="000000" w:themeColor="text1"/>
              <w:sz w:val="21"/>
            </w:rPr>
            <w:t>第三节四、报告期内主要经营情况（六）主要控股参股公司分析。</w:t>
          </w:r>
        </w:p>
      </w:sdtContent>
    </w:sdt>
    <w:p w14:paraId="16D64605" w14:textId="77777777" w:rsidR="002D0AE7" w:rsidRDefault="00333EBB">
      <w:pPr>
        <w:pStyle w:val="3"/>
        <w:numPr>
          <w:ilvl w:val="0"/>
          <w:numId w:val="80"/>
        </w:numPr>
        <w:rPr>
          <w:rFonts w:ascii="宋体" w:hAnsi="宋体" w:hint="eastAsia"/>
          <w:color w:val="000000" w:themeColor="text1"/>
        </w:rPr>
      </w:pPr>
      <w:r>
        <w:rPr>
          <w:rFonts w:ascii="宋体" w:hAnsi="宋体" w:hint="eastAsia"/>
          <w:color w:val="000000" w:themeColor="text1"/>
        </w:rPr>
        <w:t>本企业合营和联营企业情况</w:t>
      </w:r>
    </w:p>
    <w:p w14:paraId="3548F214" w14:textId="77777777" w:rsidR="002D0AE7" w:rsidRDefault="00333EBB">
      <w:pPr>
        <w:rPr>
          <w:rFonts w:hint="eastAsia"/>
          <w:color w:val="000000" w:themeColor="text1"/>
        </w:rPr>
      </w:pPr>
      <w:r>
        <w:rPr>
          <w:rFonts w:hint="eastAsia"/>
          <w:color w:val="000000" w:themeColor="text1"/>
        </w:rPr>
        <w:t>本企业重要的合营或联营企业详见附注</w:t>
      </w:r>
    </w:p>
    <w:sdt>
      <w:sdtPr>
        <w:rPr>
          <w:color w:val="000000" w:themeColor="text1"/>
        </w:rPr>
        <w:alias w:val="是否适用：本企业重要的合营或联营企业详见附注[双击切换]"/>
        <w:tag w:val="_GBC_2a369d3377e94598b2a744dfe59973e2"/>
        <w:id w:val="-1903129981"/>
        <w:placeholder>
          <w:docPart w:val="GBC22222222222222222222222222222"/>
        </w:placeholder>
      </w:sdtPr>
      <w:sdtEndPr/>
      <w:sdtContent>
        <w:p w14:paraId="4A7BAEF3"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rFonts w:hint="eastAsia"/>
          <w:color w:val="000000" w:themeColor="text1"/>
        </w:rPr>
        <w:alias w:val="本企业重要的合营或联营企业详见附注"/>
        <w:tag w:val="_GBC_3c58c586b3d3412d9989e9dff0b9f4cf"/>
        <w:id w:val="311459043"/>
        <w:placeholder>
          <w:docPart w:val="GBC22222222222222222222222222222"/>
        </w:placeholder>
      </w:sdtPr>
      <w:sdtEndPr>
        <w:rPr>
          <w:sz w:val="21"/>
        </w:rPr>
      </w:sdtEndPr>
      <w:sdtContent>
        <w:p w14:paraId="05F37746" w14:textId="77777777" w:rsidR="002D0AE7" w:rsidRDefault="00333EBB">
          <w:pPr>
            <w:rPr>
              <w:rFonts w:hint="eastAsia"/>
              <w:color w:val="000000" w:themeColor="text1"/>
              <w:sz w:val="21"/>
            </w:rPr>
          </w:pPr>
          <w:r>
            <w:rPr>
              <w:rFonts w:hint="eastAsia"/>
              <w:color w:val="000000" w:themeColor="text1"/>
              <w:sz w:val="21"/>
            </w:rPr>
            <w:t>第十节</w:t>
          </w:r>
          <w:r>
            <w:rPr>
              <w:color w:val="000000" w:themeColor="text1"/>
              <w:sz w:val="21"/>
            </w:rPr>
            <w:t>十、在其他主体中的权益</w:t>
          </w:r>
          <w:r>
            <w:rPr>
              <w:color w:val="000000" w:themeColor="text1"/>
              <w:sz w:val="21"/>
            </w:rPr>
            <w:t>2</w:t>
          </w:r>
          <w:r>
            <w:rPr>
              <w:rFonts w:hint="eastAsia"/>
              <w:color w:val="000000" w:themeColor="text1"/>
              <w:sz w:val="21"/>
            </w:rPr>
            <w:t>、</w:t>
          </w:r>
          <w:r>
            <w:rPr>
              <w:color w:val="000000" w:themeColor="text1"/>
              <w:sz w:val="21"/>
            </w:rPr>
            <w:t>在合营企业或联营企业中的权益</w:t>
          </w:r>
          <w:r>
            <w:rPr>
              <w:rFonts w:hint="eastAsia"/>
              <w:color w:val="000000" w:themeColor="text1"/>
              <w:sz w:val="21"/>
            </w:rPr>
            <w:t>。</w:t>
          </w:r>
        </w:p>
      </w:sdtContent>
    </w:sdt>
    <w:p w14:paraId="6833677C" w14:textId="77777777" w:rsidR="002D0AE7" w:rsidRDefault="00333EBB">
      <w:pPr>
        <w:rPr>
          <w:rFonts w:hint="eastAsia"/>
          <w:color w:val="000000" w:themeColor="text1"/>
        </w:rPr>
      </w:pPr>
      <w:r>
        <w:rPr>
          <w:rFonts w:hint="eastAsia"/>
          <w:color w:val="000000" w:themeColor="text1"/>
        </w:rPr>
        <w:t>本期与本公司发生关联方交易，或前期与本公司发生关联方交易形成余额的其他合营或联营企业情况如下</w:t>
      </w:r>
    </w:p>
    <w:sdt>
      <w:sdtPr>
        <w:rPr>
          <w:color w:val="000000" w:themeColor="text1"/>
        </w:rPr>
        <w:alias w:val="是否适用：本期与本公司发生关联方交易，或前期与本公司发生关联方交易形成余额的其他合营或联营企业情况如下[双击切换]"/>
        <w:tag w:val="_GBC_cab97913a7cc4573b25c34077eadbc4c"/>
        <w:id w:val="1983578213"/>
        <w:placeholder>
          <w:docPart w:val="GBC22222222222222222222222222222"/>
        </w:placeholder>
      </w:sdtPr>
      <w:sdtEndPr/>
      <w:sdtContent>
        <w:p w14:paraId="1715DC96"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4937"/>
      </w:tblGrid>
      <w:tr w:rsidR="002D0AE7" w14:paraId="0CA81C56" w14:textId="77777777">
        <w:trPr>
          <w:trHeight w:val="284"/>
          <w:jc w:val="center"/>
        </w:trPr>
        <w:sdt>
          <w:sdtPr>
            <w:rPr>
              <w:color w:val="000000" w:themeColor="text1"/>
              <w:sz w:val="21"/>
              <w:szCs w:val="21"/>
            </w:rPr>
            <w:tag w:val="_PLD_e5c009b9730d40bc93f36e5e672cbe84"/>
            <w:id w:val="1774431428"/>
          </w:sdtPr>
          <w:sdtEndPr/>
          <w:sdtContent>
            <w:tc>
              <w:tcPr>
                <w:tcW w:w="2202" w:type="pct"/>
                <w:tcBorders>
                  <w:top w:val="single" w:sz="4" w:space="0" w:color="auto"/>
                  <w:left w:val="single" w:sz="4" w:space="0" w:color="auto"/>
                  <w:bottom w:val="single" w:sz="4" w:space="0" w:color="auto"/>
                  <w:right w:val="single" w:sz="4" w:space="0" w:color="auto"/>
                </w:tcBorders>
                <w:shd w:val="clear" w:color="auto" w:fill="auto"/>
              </w:tcPr>
              <w:p w14:paraId="3CBC267B" w14:textId="77777777" w:rsidR="002D0AE7" w:rsidRDefault="00333EBB">
                <w:pPr>
                  <w:jc w:val="center"/>
                  <w:rPr>
                    <w:rFonts w:cs="Cambria" w:hint="eastAsia"/>
                    <w:color w:val="000000" w:themeColor="text1"/>
                    <w:sz w:val="21"/>
                    <w:szCs w:val="21"/>
                  </w:rPr>
                </w:pPr>
                <w:r>
                  <w:rPr>
                    <w:rFonts w:cs="Cambria" w:hint="eastAsia"/>
                    <w:color w:val="000000" w:themeColor="text1"/>
                    <w:sz w:val="21"/>
                    <w:szCs w:val="21"/>
                  </w:rPr>
                  <w:t>合营或联营企业名称</w:t>
                </w:r>
              </w:p>
            </w:tc>
          </w:sdtContent>
        </w:sdt>
        <w:sdt>
          <w:sdtPr>
            <w:rPr>
              <w:color w:val="000000" w:themeColor="text1"/>
              <w:sz w:val="21"/>
              <w:szCs w:val="21"/>
            </w:rPr>
            <w:tag w:val="_PLD_84c60036e8b849288542661d1d1b9890"/>
            <w:id w:val="1342660291"/>
          </w:sdtPr>
          <w:sdtEndPr/>
          <w:sdtContent>
            <w:tc>
              <w:tcPr>
                <w:tcW w:w="2798" w:type="pct"/>
                <w:tcBorders>
                  <w:top w:val="single" w:sz="4" w:space="0" w:color="auto"/>
                  <w:left w:val="single" w:sz="4" w:space="0" w:color="auto"/>
                  <w:bottom w:val="single" w:sz="4" w:space="0" w:color="auto"/>
                  <w:right w:val="single" w:sz="4" w:space="0" w:color="auto"/>
                </w:tcBorders>
                <w:shd w:val="clear" w:color="auto" w:fill="auto"/>
              </w:tcPr>
              <w:p w14:paraId="191D1B2C" w14:textId="77777777" w:rsidR="002D0AE7" w:rsidRDefault="00333EBB">
                <w:pPr>
                  <w:jc w:val="center"/>
                  <w:rPr>
                    <w:rFonts w:cs="Cambria" w:hint="eastAsia"/>
                    <w:color w:val="000000" w:themeColor="text1"/>
                    <w:sz w:val="21"/>
                    <w:szCs w:val="21"/>
                  </w:rPr>
                </w:pPr>
                <w:r>
                  <w:rPr>
                    <w:rFonts w:cs="Cambria" w:hint="eastAsia"/>
                    <w:color w:val="000000" w:themeColor="text1"/>
                    <w:sz w:val="21"/>
                    <w:szCs w:val="21"/>
                  </w:rPr>
                  <w:t>与本企业关系</w:t>
                </w:r>
              </w:p>
            </w:tc>
          </w:sdtContent>
        </w:sdt>
      </w:tr>
      <w:tr w:rsidR="002D0AE7" w14:paraId="13D7C4FA" w14:textId="77777777">
        <w:trPr>
          <w:trHeight w:val="250"/>
          <w:jc w:val="center"/>
        </w:trPr>
        <w:tc>
          <w:tcPr>
            <w:tcW w:w="2202" w:type="pct"/>
            <w:tcBorders>
              <w:top w:val="single" w:sz="4" w:space="0" w:color="auto"/>
              <w:left w:val="single" w:sz="4" w:space="0" w:color="auto"/>
              <w:bottom w:val="single" w:sz="4" w:space="0" w:color="auto"/>
              <w:right w:val="single" w:sz="4" w:space="0" w:color="auto"/>
            </w:tcBorders>
            <w:vAlign w:val="center"/>
          </w:tcPr>
          <w:p w14:paraId="2853CF4F" w14:textId="77777777" w:rsidR="002D0AE7" w:rsidRDefault="00333EBB">
            <w:pPr>
              <w:jc w:val="center"/>
              <w:rPr>
                <w:rFonts w:hint="eastAsia"/>
                <w:sz w:val="21"/>
                <w:szCs w:val="21"/>
              </w:rPr>
            </w:pPr>
            <w:r>
              <w:rPr>
                <w:rFonts w:hint="eastAsia"/>
                <w:sz w:val="21"/>
                <w:szCs w:val="21"/>
              </w:rPr>
              <w:t>天津药业研究院股份有限公司</w:t>
            </w:r>
          </w:p>
        </w:tc>
        <w:tc>
          <w:tcPr>
            <w:tcW w:w="2798" w:type="pct"/>
            <w:tcBorders>
              <w:top w:val="single" w:sz="4" w:space="0" w:color="auto"/>
              <w:left w:val="single" w:sz="4" w:space="0" w:color="auto"/>
              <w:bottom w:val="single" w:sz="4" w:space="0" w:color="auto"/>
              <w:right w:val="single" w:sz="4" w:space="0" w:color="auto"/>
            </w:tcBorders>
            <w:vAlign w:val="center"/>
          </w:tcPr>
          <w:p w14:paraId="3244C8CA" w14:textId="77777777" w:rsidR="002D0AE7" w:rsidRDefault="00333EBB">
            <w:pPr>
              <w:jc w:val="center"/>
              <w:rPr>
                <w:rFonts w:hint="eastAsia"/>
                <w:sz w:val="21"/>
                <w:szCs w:val="21"/>
              </w:rPr>
            </w:pPr>
            <w:r>
              <w:rPr>
                <w:rFonts w:hint="eastAsia"/>
                <w:sz w:val="21"/>
                <w:szCs w:val="21"/>
              </w:rPr>
              <w:t>本公司的参股公司</w:t>
            </w:r>
          </w:p>
        </w:tc>
      </w:tr>
      <w:tr w:rsidR="002D0AE7" w14:paraId="4A1241A1" w14:textId="77777777">
        <w:trPr>
          <w:trHeight w:val="250"/>
          <w:jc w:val="center"/>
        </w:trPr>
        <w:tc>
          <w:tcPr>
            <w:tcW w:w="2202" w:type="pct"/>
            <w:tcBorders>
              <w:top w:val="single" w:sz="4" w:space="0" w:color="auto"/>
              <w:left w:val="single" w:sz="4" w:space="0" w:color="auto"/>
              <w:bottom w:val="single" w:sz="4" w:space="0" w:color="auto"/>
              <w:right w:val="single" w:sz="4" w:space="0" w:color="auto"/>
            </w:tcBorders>
            <w:vAlign w:val="center"/>
          </w:tcPr>
          <w:p w14:paraId="57AC6B42" w14:textId="77777777" w:rsidR="002D0AE7" w:rsidRDefault="00333EBB">
            <w:pPr>
              <w:jc w:val="center"/>
              <w:rPr>
                <w:rFonts w:hint="eastAsia"/>
                <w:sz w:val="21"/>
                <w:szCs w:val="21"/>
              </w:rPr>
            </w:pPr>
            <w:r>
              <w:rPr>
                <w:rFonts w:hint="eastAsia"/>
                <w:sz w:val="21"/>
                <w:szCs w:val="21"/>
              </w:rPr>
              <w:t>江西百思康瑞药业有限公司</w:t>
            </w:r>
          </w:p>
        </w:tc>
        <w:tc>
          <w:tcPr>
            <w:tcW w:w="2798" w:type="pct"/>
            <w:tcBorders>
              <w:top w:val="single" w:sz="4" w:space="0" w:color="auto"/>
              <w:left w:val="single" w:sz="4" w:space="0" w:color="auto"/>
              <w:bottom w:val="single" w:sz="4" w:space="0" w:color="auto"/>
              <w:right w:val="single" w:sz="4" w:space="0" w:color="auto"/>
            </w:tcBorders>
            <w:vAlign w:val="center"/>
          </w:tcPr>
          <w:p w14:paraId="0C9BA4E9" w14:textId="77777777" w:rsidR="002D0AE7" w:rsidRDefault="00333EBB">
            <w:pPr>
              <w:jc w:val="center"/>
              <w:rPr>
                <w:rFonts w:hint="eastAsia"/>
                <w:sz w:val="21"/>
                <w:szCs w:val="21"/>
              </w:rPr>
            </w:pPr>
            <w:r>
              <w:rPr>
                <w:rFonts w:hint="eastAsia"/>
                <w:sz w:val="21"/>
                <w:szCs w:val="21"/>
              </w:rPr>
              <w:t>本公司的参股公司</w:t>
            </w:r>
          </w:p>
        </w:tc>
      </w:tr>
    </w:tbl>
    <w:p w14:paraId="396CA62A" w14:textId="77777777" w:rsidR="002D0AE7" w:rsidRDefault="00333EBB">
      <w:pPr>
        <w:pStyle w:val="3"/>
        <w:numPr>
          <w:ilvl w:val="0"/>
          <w:numId w:val="80"/>
        </w:numPr>
        <w:rPr>
          <w:rFonts w:ascii="宋体" w:hAnsi="宋体" w:hint="eastAsia"/>
          <w:color w:val="000000" w:themeColor="text1"/>
        </w:rPr>
      </w:pPr>
      <w:r>
        <w:rPr>
          <w:rFonts w:ascii="宋体" w:hAnsi="宋体" w:hint="eastAsia"/>
          <w:color w:val="000000" w:themeColor="text1"/>
        </w:rPr>
        <w:t>其他关联方情况</w:t>
      </w:r>
    </w:p>
    <w:sdt>
      <w:sdtPr>
        <w:rPr>
          <w:color w:val="000000" w:themeColor="text1"/>
        </w:rPr>
        <w:alias w:val="是否适用：其他关联方情况[双击切换]"/>
        <w:tag w:val="_GBC_f9c029ef57734babb6375a74af1e3736"/>
        <w:id w:val="1769724937"/>
        <w:placeholder>
          <w:docPart w:val="GBC22222222222222222222222222222"/>
        </w:placeholder>
      </w:sdtPr>
      <w:sdtEndPr/>
      <w:sdtContent>
        <w:p w14:paraId="182F6995"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tbl>
      <w:tblPr>
        <w:tblW w:w="5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3"/>
        <w:gridCol w:w="5386"/>
      </w:tblGrid>
      <w:tr w:rsidR="002D0AE7" w14:paraId="47C5397D" w14:textId="77777777">
        <w:trPr>
          <w:trHeight w:val="267"/>
          <w:jc w:val="center"/>
        </w:trPr>
        <w:sdt>
          <w:sdtPr>
            <w:rPr>
              <w:color w:val="000000" w:themeColor="text1"/>
              <w:sz w:val="21"/>
              <w:szCs w:val="21"/>
            </w:rPr>
            <w:tag w:val="_PLD_8fe00abbc9b249a98b2e3ac6b12f12db"/>
            <w:id w:val="-1174715373"/>
          </w:sdtPr>
          <w:sdtEndPr/>
          <w:sdtContent>
            <w:tc>
              <w:tcPr>
                <w:tcW w:w="2165" w:type="pct"/>
                <w:tcBorders>
                  <w:top w:val="single" w:sz="4" w:space="0" w:color="auto"/>
                  <w:left w:val="single" w:sz="4" w:space="0" w:color="auto"/>
                  <w:bottom w:val="single" w:sz="4" w:space="0" w:color="auto"/>
                  <w:right w:val="single" w:sz="4" w:space="0" w:color="auto"/>
                </w:tcBorders>
                <w:shd w:val="clear" w:color="auto" w:fill="auto"/>
              </w:tcPr>
              <w:p w14:paraId="6DF2482D" w14:textId="77777777" w:rsidR="002D0AE7" w:rsidRDefault="00333EBB">
                <w:pPr>
                  <w:jc w:val="center"/>
                  <w:rPr>
                    <w:rFonts w:cs="Cambria" w:hint="eastAsia"/>
                    <w:color w:val="000000" w:themeColor="text1"/>
                    <w:sz w:val="21"/>
                    <w:szCs w:val="21"/>
                  </w:rPr>
                </w:pPr>
                <w:r>
                  <w:rPr>
                    <w:rFonts w:cs="Cambria" w:hint="eastAsia"/>
                    <w:color w:val="000000" w:themeColor="text1"/>
                    <w:sz w:val="21"/>
                    <w:szCs w:val="21"/>
                  </w:rPr>
                  <w:t>其他关联方名称</w:t>
                </w:r>
              </w:p>
            </w:tc>
          </w:sdtContent>
        </w:sdt>
        <w:sdt>
          <w:sdtPr>
            <w:rPr>
              <w:color w:val="000000" w:themeColor="text1"/>
              <w:sz w:val="21"/>
              <w:szCs w:val="21"/>
            </w:rPr>
            <w:tag w:val="_PLD_c1304840da1e482f80286e0c7ca19002"/>
            <w:id w:val="-679734031"/>
          </w:sdtPr>
          <w:sdtEndPr/>
          <w:sdtContent>
            <w:tc>
              <w:tcPr>
                <w:tcW w:w="2835" w:type="pct"/>
                <w:tcBorders>
                  <w:top w:val="single" w:sz="4" w:space="0" w:color="auto"/>
                  <w:left w:val="single" w:sz="4" w:space="0" w:color="auto"/>
                  <w:bottom w:val="single" w:sz="4" w:space="0" w:color="auto"/>
                  <w:right w:val="single" w:sz="4" w:space="0" w:color="auto"/>
                </w:tcBorders>
                <w:shd w:val="clear" w:color="auto" w:fill="auto"/>
              </w:tcPr>
              <w:p w14:paraId="02C7D865" w14:textId="77777777" w:rsidR="002D0AE7" w:rsidRDefault="00333EBB">
                <w:pPr>
                  <w:jc w:val="center"/>
                  <w:rPr>
                    <w:rFonts w:cs="Cambria" w:hint="eastAsia"/>
                    <w:color w:val="000000" w:themeColor="text1"/>
                    <w:sz w:val="21"/>
                    <w:szCs w:val="21"/>
                  </w:rPr>
                </w:pPr>
                <w:r>
                  <w:rPr>
                    <w:rFonts w:cs="Cambria" w:hint="eastAsia"/>
                    <w:color w:val="000000" w:themeColor="text1"/>
                    <w:sz w:val="21"/>
                    <w:szCs w:val="21"/>
                  </w:rPr>
                  <w:t>其他关联方与本企业关系</w:t>
                </w:r>
              </w:p>
            </w:tc>
          </w:sdtContent>
        </w:sdt>
      </w:tr>
      <w:tr w:rsidR="002D0AE7" w14:paraId="48B65AC6" w14:textId="77777777">
        <w:trPr>
          <w:trHeight w:val="267"/>
          <w:jc w:val="center"/>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tcPr>
          <w:p w14:paraId="743B3CFD" w14:textId="77777777" w:rsidR="002D0AE7" w:rsidRDefault="00333EBB">
            <w:pPr>
              <w:jc w:val="center"/>
              <w:rPr>
                <w:rFonts w:hint="eastAsia"/>
                <w:color w:val="000000" w:themeColor="text1"/>
                <w:sz w:val="21"/>
                <w:szCs w:val="21"/>
              </w:rPr>
            </w:pPr>
            <w:r>
              <w:rPr>
                <w:rFonts w:hint="eastAsia"/>
                <w:sz w:val="21"/>
                <w:szCs w:val="21"/>
              </w:rPr>
              <w:t>天津宜药印务有限公司</w:t>
            </w:r>
          </w:p>
        </w:tc>
        <w:tc>
          <w:tcPr>
            <w:tcW w:w="2835" w:type="pct"/>
            <w:tcBorders>
              <w:top w:val="single" w:sz="4" w:space="0" w:color="auto"/>
              <w:left w:val="single" w:sz="4" w:space="0" w:color="auto"/>
              <w:bottom w:val="single" w:sz="4" w:space="0" w:color="auto"/>
              <w:right w:val="single" w:sz="4" w:space="0" w:color="auto"/>
            </w:tcBorders>
            <w:shd w:val="clear" w:color="auto" w:fill="auto"/>
            <w:vAlign w:val="center"/>
          </w:tcPr>
          <w:p w14:paraId="1F9F98D1" w14:textId="77777777" w:rsidR="002D0AE7" w:rsidRDefault="00333EBB">
            <w:pPr>
              <w:jc w:val="center"/>
              <w:rPr>
                <w:rFonts w:hint="eastAsia"/>
                <w:color w:val="000000" w:themeColor="text1"/>
                <w:sz w:val="21"/>
                <w:szCs w:val="21"/>
              </w:rPr>
            </w:pPr>
            <w:r>
              <w:rPr>
                <w:rFonts w:hint="eastAsia"/>
                <w:sz w:val="21"/>
                <w:szCs w:val="21"/>
              </w:rPr>
              <w:t>间接控股股东的参股公司</w:t>
            </w:r>
          </w:p>
        </w:tc>
      </w:tr>
      <w:tr w:rsidR="002D0AE7" w14:paraId="1E74B619" w14:textId="77777777">
        <w:trPr>
          <w:trHeight w:val="267"/>
          <w:jc w:val="center"/>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tcPr>
          <w:p w14:paraId="16C53766" w14:textId="77777777" w:rsidR="002D0AE7" w:rsidRDefault="00333EBB">
            <w:pPr>
              <w:jc w:val="center"/>
              <w:rPr>
                <w:rFonts w:hint="eastAsia"/>
                <w:color w:val="000000" w:themeColor="text1"/>
                <w:sz w:val="21"/>
                <w:szCs w:val="21"/>
              </w:rPr>
            </w:pPr>
            <w:r>
              <w:rPr>
                <w:rFonts w:hint="eastAsia"/>
                <w:sz w:val="21"/>
                <w:szCs w:val="21"/>
              </w:rPr>
              <w:t>天津力生制药股份有限公司</w:t>
            </w:r>
          </w:p>
        </w:tc>
        <w:tc>
          <w:tcPr>
            <w:tcW w:w="2835" w:type="pct"/>
            <w:tcBorders>
              <w:top w:val="single" w:sz="4" w:space="0" w:color="auto"/>
              <w:left w:val="single" w:sz="4" w:space="0" w:color="auto"/>
              <w:bottom w:val="single" w:sz="4" w:space="0" w:color="auto"/>
              <w:right w:val="single" w:sz="4" w:space="0" w:color="auto"/>
            </w:tcBorders>
            <w:shd w:val="clear" w:color="auto" w:fill="auto"/>
            <w:vAlign w:val="center"/>
          </w:tcPr>
          <w:p w14:paraId="26EAF2E3" w14:textId="77777777" w:rsidR="002D0AE7" w:rsidRDefault="00333EBB">
            <w:pPr>
              <w:jc w:val="center"/>
              <w:rPr>
                <w:rFonts w:hint="eastAsia"/>
                <w:color w:val="000000" w:themeColor="text1"/>
                <w:sz w:val="21"/>
                <w:szCs w:val="21"/>
              </w:rPr>
            </w:pPr>
            <w:r>
              <w:rPr>
                <w:rFonts w:hint="eastAsia"/>
                <w:sz w:val="21"/>
                <w:szCs w:val="21"/>
              </w:rPr>
              <w:t>间接控股股东的董监高担任董事、高级管理人员的公司</w:t>
            </w:r>
          </w:p>
        </w:tc>
      </w:tr>
      <w:tr w:rsidR="002D0AE7" w14:paraId="49CBF400" w14:textId="77777777">
        <w:trPr>
          <w:trHeight w:val="267"/>
          <w:jc w:val="center"/>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tcPr>
          <w:p w14:paraId="7E7AA96E" w14:textId="77777777" w:rsidR="002D0AE7" w:rsidRDefault="00333EBB">
            <w:pPr>
              <w:jc w:val="center"/>
              <w:rPr>
                <w:rFonts w:hint="eastAsia"/>
                <w:color w:val="000000" w:themeColor="text1"/>
                <w:sz w:val="21"/>
                <w:szCs w:val="21"/>
              </w:rPr>
            </w:pPr>
            <w:r>
              <w:rPr>
                <w:rFonts w:hint="eastAsia"/>
                <w:sz w:val="21"/>
                <w:szCs w:val="21"/>
              </w:rPr>
              <w:t>津药资产管理有限公司</w:t>
            </w:r>
          </w:p>
        </w:tc>
        <w:tc>
          <w:tcPr>
            <w:tcW w:w="2835" w:type="pct"/>
            <w:tcBorders>
              <w:top w:val="single" w:sz="4" w:space="0" w:color="auto"/>
              <w:left w:val="single" w:sz="4" w:space="0" w:color="auto"/>
              <w:bottom w:val="single" w:sz="4" w:space="0" w:color="auto"/>
              <w:right w:val="single" w:sz="4" w:space="0" w:color="auto"/>
            </w:tcBorders>
            <w:shd w:val="clear" w:color="auto" w:fill="auto"/>
            <w:vAlign w:val="center"/>
          </w:tcPr>
          <w:p w14:paraId="42C2E4AF" w14:textId="77777777" w:rsidR="002D0AE7" w:rsidRDefault="00333EBB">
            <w:pPr>
              <w:jc w:val="center"/>
              <w:rPr>
                <w:rFonts w:hint="eastAsia"/>
                <w:color w:val="000000" w:themeColor="text1"/>
                <w:sz w:val="21"/>
                <w:szCs w:val="21"/>
              </w:rPr>
            </w:pPr>
            <w:r>
              <w:rPr>
                <w:rFonts w:hint="eastAsia"/>
                <w:sz w:val="21"/>
                <w:szCs w:val="21"/>
              </w:rPr>
              <w:t>母公司控股股东</w:t>
            </w:r>
          </w:p>
        </w:tc>
      </w:tr>
      <w:tr w:rsidR="002D0AE7" w14:paraId="726632BC" w14:textId="77777777">
        <w:trPr>
          <w:trHeight w:val="267"/>
          <w:jc w:val="center"/>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tcPr>
          <w:p w14:paraId="305C8974" w14:textId="77777777" w:rsidR="002D0AE7" w:rsidRDefault="00333EBB">
            <w:pPr>
              <w:jc w:val="center"/>
              <w:rPr>
                <w:rFonts w:hint="eastAsia"/>
                <w:color w:val="000000" w:themeColor="text1"/>
                <w:sz w:val="21"/>
                <w:szCs w:val="21"/>
              </w:rPr>
            </w:pPr>
            <w:r>
              <w:rPr>
                <w:rFonts w:hint="eastAsia"/>
                <w:sz w:val="21"/>
                <w:szCs w:val="21"/>
              </w:rPr>
              <w:t>北京华众恩康医药技术有限公司</w:t>
            </w:r>
          </w:p>
        </w:tc>
        <w:tc>
          <w:tcPr>
            <w:tcW w:w="2835" w:type="pct"/>
            <w:tcBorders>
              <w:top w:val="single" w:sz="4" w:space="0" w:color="auto"/>
              <w:left w:val="single" w:sz="4" w:space="0" w:color="auto"/>
              <w:bottom w:val="single" w:sz="4" w:space="0" w:color="auto"/>
              <w:right w:val="single" w:sz="4" w:space="0" w:color="auto"/>
            </w:tcBorders>
            <w:shd w:val="clear" w:color="auto" w:fill="auto"/>
            <w:vAlign w:val="center"/>
          </w:tcPr>
          <w:p w14:paraId="6911FEBB" w14:textId="77777777" w:rsidR="002D0AE7" w:rsidRDefault="00333EBB">
            <w:pPr>
              <w:jc w:val="center"/>
              <w:rPr>
                <w:rFonts w:hint="eastAsia"/>
                <w:color w:val="000000" w:themeColor="text1"/>
                <w:sz w:val="21"/>
                <w:szCs w:val="21"/>
              </w:rPr>
            </w:pPr>
            <w:r>
              <w:rPr>
                <w:rFonts w:hint="eastAsia"/>
                <w:sz w:val="21"/>
                <w:szCs w:val="21"/>
              </w:rPr>
              <w:t>受同一股东控制</w:t>
            </w:r>
          </w:p>
        </w:tc>
      </w:tr>
      <w:tr w:rsidR="002D0AE7" w14:paraId="0475BB6C" w14:textId="77777777">
        <w:trPr>
          <w:trHeight w:val="267"/>
          <w:jc w:val="center"/>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tcPr>
          <w:p w14:paraId="55B5383A" w14:textId="77777777" w:rsidR="002D0AE7" w:rsidRDefault="00333EBB">
            <w:pPr>
              <w:jc w:val="center"/>
              <w:rPr>
                <w:rFonts w:hint="eastAsia"/>
                <w:color w:val="000000" w:themeColor="text1"/>
                <w:sz w:val="21"/>
                <w:szCs w:val="21"/>
              </w:rPr>
            </w:pPr>
            <w:r>
              <w:rPr>
                <w:rFonts w:hint="eastAsia"/>
                <w:sz w:val="21"/>
                <w:szCs w:val="21"/>
              </w:rPr>
              <w:t>天津金耀氨基酸有限公司</w:t>
            </w:r>
          </w:p>
        </w:tc>
        <w:tc>
          <w:tcPr>
            <w:tcW w:w="2835" w:type="pct"/>
            <w:tcBorders>
              <w:top w:val="single" w:sz="4" w:space="0" w:color="auto"/>
              <w:left w:val="single" w:sz="4" w:space="0" w:color="auto"/>
              <w:bottom w:val="single" w:sz="4" w:space="0" w:color="auto"/>
              <w:right w:val="single" w:sz="4" w:space="0" w:color="auto"/>
            </w:tcBorders>
            <w:shd w:val="clear" w:color="auto" w:fill="auto"/>
            <w:vAlign w:val="center"/>
          </w:tcPr>
          <w:p w14:paraId="243AF27F" w14:textId="77777777" w:rsidR="002D0AE7" w:rsidRDefault="00333EBB">
            <w:pPr>
              <w:jc w:val="center"/>
              <w:rPr>
                <w:rFonts w:hint="eastAsia"/>
                <w:color w:val="000000" w:themeColor="text1"/>
                <w:sz w:val="21"/>
                <w:szCs w:val="21"/>
              </w:rPr>
            </w:pPr>
            <w:r>
              <w:rPr>
                <w:rFonts w:hint="eastAsia"/>
                <w:sz w:val="21"/>
                <w:szCs w:val="21"/>
              </w:rPr>
              <w:t>受同一股东控制</w:t>
            </w:r>
          </w:p>
        </w:tc>
      </w:tr>
      <w:tr w:rsidR="002D0AE7" w14:paraId="72024AAB" w14:textId="77777777">
        <w:trPr>
          <w:trHeight w:val="267"/>
          <w:jc w:val="center"/>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tcPr>
          <w:p w14:paraId="33A3C413" w14:textId="77777777" w:rsidR="002D0AE7" w:rsidRDefault="00333EBB">
            <w:pPr>
              <w:jc w:val="center"/>
              <w:rPr>
                <w:rFonts w:hint="eastAsia"/>
                <w:color w:val="000000" w:themeColor="text1"/>
                <w:sz w:val="21"/>
                <w:szCs w:val="21"/>
              </w:rPr>
            </w:pPr>
            <w:r>
              <w:rPr>
                <w:rFonts w:hint="eastAsia"/>
                <w:sz w:val="21"/>
                <w:szCs w:val="21"/>
              </w:rPr>
              <w:t>天津金耀物流有限公司</w:t>
            </w:r>
          </w:p>
        </w:tc>
        <w:tc>
          <w:tcPr>
            <w:tcW w:w="2835" w:type="pct"/>
            <w:tcBorders>
              <w:top w:val="single" w:sz="4" w:space="0" w:color="auto"/>
              <w:left w:val="single" w:sz="4" w:space="0" w:color="auto"/>
              <w:bottom w:val="single" w:sz="4" w:space="0" w:color="auto"/>
              <w:right w:val="single" w:sz="4" w:space="0" w:color="auto"/>
            </w:tcBorders>
            <w:shd w:val="clear" w:color="auto" w:fill="auto"/>
            <w:vAlign w:val="center"/>
          </w:tcPr>
          <w:p w14:paraId="2CA5DC54" w14:textId="77777777" w:rsidR="002D0AE7" w:rsidRDefault="00333EBB">
            <w:pPr>
              <w:jc w:val="center"/>
              <w:rPr>
                <w:rFonts w:hint="eastAsia"/>
                <w:color w:val="000000" w:themeColor="text1"/>
                <w:sz w:val="21"/>
                <w:szCs w:val="21"/>
              </w:rPr>
            </w:pPr>
            <w:r>
              <w:rPr>
                <w:rFonts w:hint="eastAsia"/>
                <w:sz w:val="21"/>
                <w:szCs w:val="21"/>
              </w:rPr>
              <w:t>受同一股东控制</w:t>
            </w:r>
          </w:p>
        </w:tc>
      </w:tr>
      <w:tr w:rsidR="002D0AE7" w14:paraId="410CF144" w14:textId="77777777">
        <w:trPr>
          <w:trHeight w:val="267"/>
          <w:jc w:val="center"/>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tcPr>
          <w:p w14:paraId="5CF77F40" w14:textId="77777777" w:rsidR="002D0AE7" w:rsidRDefault="00333EBB">
            <w:pPr>
              <w:jc w:val="center"/>
              <w:rPr>
                <w:rFonts w:hint="eastAsia"/>
                <w:color w:val="000000" w:themeColor="text1"/>
                <w:sz w:val="21"/>
                <w:szCs w:val="21"/>
              </w:rPr>
            </w:pPr>
            <w:r>
              <w:rPr>
                <w:rFonts w:hint="eastAsia"/>
                <w:sz w:val="21"/>
                <w:szCs w:val="21"/>
              </w:rPr>
              <w:t>天津市医药集团技术发展有限公司</w:t>
            </w:r>
          </w:p>
        </w:tc>
        <w:tc>
          <w:tcPr>
            <w:tcW w:w="2835" w:type="pct"/>
            <w:tcBorders>
              <w:top w:val="single" w:sz="4" w:space="0" w:color="auto"/>
              <w:left w:val="single" w:sz="4" w:space="0" w:color="auto"/>
              <w:bottom w:val="single" w:sz="4" w:space="0" w:color="auto"/>
              <w:right w:val="single" w:sz="4" w:space="0" w:color="auto"/>
            </w:tcBorders>
            <w:shd w:val="clear" w:color="auto" w:fill="auto"/>
            <w:vAlign w:val="center"/>
          </w:tcPr>
          <w:p w14:paraId="1DD9A147" w14:textId="77777777" w:rsidR="002D0AE7" w:rsidRDefault="00333EBB">
            <w:pPr>
              <w:jc w:val="center"/>
              <w:rPr>
                <w:rFonts w:hint="eastAsia"/>
                <w:color w:val="000000" w:themeColor="text1"/>
                <w:sz w:val="21"/>
                <w:szCs w:val="21"/>
              </w:rPr>
            </w:pPr>
            <w:r>
              <w:rPr>
                <w:rFonts w:hint="eastAsia"/>
                <w:sz w:val="21"/>
                <w:szCs w:val="21"/>
              </w:rPr>
              <w:t>受同一股东控制</w:t>
            </w:r>
          </w:p>
        </w:tc>
      </w:tr>
      <w:tr w:rsidR="002D0AE7" w14:paraId="4E7F876B" w14:textId="77777777">
        <w:trPr>
          <w:trHeight w:val="267"/>
          <w:jc w:val="center"/>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tcPr>
          <w:p w14:paraId="28909AB1" w14:textId="77777777" w:rsidR="002D0AE7" w:rsidRDefault="00333EBB">
            <w:pPr>
              <w:jc w:val="center"/>
              <w:rPr>
                <w:rFonts w:hint="eastAsia"/>
                <w:color w:val="000000" w:themeColor="text1"/>
                <w:sz w:val="21"/>
                <w:szCs w:val="21"/>
              </w:rPr>
            </w:pPr>
            <w:r>
              <w:rPr>
                <w:rFonts w:hint="eastAsia"/>
                <w:sz w:val="21"/>
                <w:szCs w:val="21"/>
              </w:rPr>
              <w:t>津药普光医用材料（天津）有限公司</w:t>
            </w:r>
          </w:p>
        </w:tc>
        <w:tc>
          <w:tcPr>
            <w:tcW w:w="2835" w:type="pct"/>
            <w:tcBorders>
              <w:top w:val="single" w:sz="4" w:space="0" w:color="auto"/>
              <w:left w:val="single" w:sz="4" w:space="0" w:color="auto"/>
              <w:bottom w:val="single" w:sz="4" w:space="0" w:color="auto"/>
              <w:right w:val="single" w:sz="4" w:space="0" w:color="auto"/>
            </w:tcBorders>
            <w:shd w:val="clear" w:color="auto" w:fill="auto"/>
            <w:vAlign w:val="center"/>
          </w:tcPr>
          <w:p w14:paraId="4E8B3BBC" w14:textId="77777777" w:rsidR="002D0AE7" w:rsidRDefault="00333EBB">
            <w:pPr>
              <w:jc w:val="center"/>
              <w:rPr>
                <w:rFonts w:hint="eastAsia"/>
                <w:color w:val="000000" w:themeColor="text1"/>
                <w:sz w:val="21"/>
                <w:szCs w:val="21"/>
              </w:rPr>
            </w:pPr>
            <w:r>
              <w:rPr>
                <w:rFonts w:hint="eastAsia"/>
                <w:sz w:val="21"/>
                <w:szCs w:val="21"/>
              </w:rPr>
              <w:t>受同一间接控股股东控制</w:t>
            </w:r>
          </w:p>
        </w:tc>
      </w:tr>
      <w:tr w:rsidR="002D0AE7" w14:paraId="46C34EC2" w14:textId="77777777">
        <w:trPr>
          <w:trHeight w:val="267"/>
          <w:jc w:val="center"/>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tcPr>
          <w:p w14:paraId="0D7AF1D6" w14:textId="77777777" w:rsidR="002D0AE7" w:rsidRDefault="00333EBB">
            <w:pPr>
              <w:jc w:val="center"/>
              <w:rPr>
                <w:rFonts w:hint="eastAsia"/>
                <w:color w:val="000000" w:themeColor="text1"/>
                <w:sz w:val="21"/>
                <w:szCs w:val="21"/>
              </w:rPr>
            </w:pPr>
            <w:r>
              <w:rPr>
                <w:rFonts w:hint="eastAsia"/>
                <w:sz w:val="21"/>
                <w:szCs w:val="21"/>
              </w:rPr>
              <w:t>津药瑞达</w:t>
            </w:r>
            <w:r>
              <w:rPr>
                <w:rFonts w:hint="eastAsia"/>
                <w:sz w:val="21"/>
                <w:szCs w:val="21"/>
              </w:rPr>
              <w:t>(</w:t>
            </w:r>
            <w:r>
              <w:rPr>
                <w:rFonts w:hint="eastAsia"/>
                <w:sz w:val="21"/>
                <w:szCs w:val="21"/>
              </w:rPr>
              <w:t>许昌</w:t>
            </w:r>
            <w:r>
              <w:rPr>
                <w:rFonts w:hint="eastAsia"/>
                <w:sz w:val="21"/>
                <w:szCs w:val="21"/>
              </w:rPr>
              <w:t>)</w:t>
            </w:r>
            <w:r>
              <w:rPr>
                <w:rFonts w:hint="eastAsia"/>
                <w:sz w:val="21"/>
                <w:szCs w:val="21"/>
              </w:rPr>
              <w:t>生物科技有限公司</w:t>
            </w:r>
          </w:p>
        </w:tc>
        <w:tc>
          <w:tcPr>
            <w:tcW w:w="2835" w:type="pct"/>
            <w:tcBorders>
              <w:top w:val="single" w:sz="4" w:space="0" w:color="auto"/>
              <w:left w:val="single" w:sz="4" w:space="0" w:color="auto"/>
              <w:bottom w:val="single" w:sz="4" w:space="0" w:color="auto"/>
              <w:right w:val="single" w:sz="4" w:space="0" w:color="auto"/>
            </w:tcBorders>
            <w:shd w:val="clear" w:color="auto" w:fill="auto"/>
            <w:vAlign w:val="center"/>
          </w:tcPr>
          <w:p w14:paraId="409C49AD" w14:textId="77777777" w:rsidR="002D0AE7" w:rsidRDefault="00333EBB">
            <w:pPr>
              <w:jc w:val="center"/>
              <w:rPr>
                <w:rFonts w:hint="eastAsia"/>
                <w:color w:val="000000" w:themeColor="text1"/>
                <w:sz w:val="21"/>
                <w:szCs w:val="21"/>
              </w:rPr>
            </w:pPr>
            <w:r>
              <w:rPr>
                <w:rFonts w:hint="eastAsia"/>
                <w:sz w:val="21"/>
                <w:szCs w:val="21"/>
              </w:rPr>
              <w:t>受同一间接控股股东控制</w:t>
            </w:r>
          </w:p>
        </w:tc>
      </w:tr>
      <w:tr w:rsidR="002D0AE7" w14:paraId="74680E59" w14:textId="77777777">
        <w:trPr>
          <w:trHeight w:val="267"/>
          <w:jc w:val="center"/>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tcPr>
          <w:p w14:paraId="4DB14B4E" w14:textId="77777777" w:rsidR="002D0AE7" w:rsidRDefault="00333EBB">
            <w:pPr>
              <w:jc w:val="center"/>
              <w:rPr>
                <w:rFonts w:hint="eastAsia"/>
                <w:color w:val="000000" w:themeColor="text1"/>
                <w:sz w:val="21"/>
                <w:szCs w:val="21"/>
              </w:rPr>
            </w:pPr>
            <w:r>
              <w:rPr>
                <w:rFonts w:hint="eastAsia"/>
                <w:sz w:val="21"/>
                <w:szCs w:val="21"/>
              </w:rPr>
              <w:t>津药生物科技（天津）有限公司</w:t>
            </w:r>
          </w:p>
        </w:tc>
        <w:tc>
          <w:tcPr>
            <w:tcW w:w="2835" w:type="pct"/>
            <w:tcBorders>
              <w:top w:val="single" w:sz="4" w:space="0" w:color="auto"/>
              <w:left w:val="single" w:sz="4" w:space="0" w:color="auto"/>
              <w:bottom w:val="single" w:sz="4" w:space="0" w:color="auto"/>
              <w:right w:val="single" w:sz="4" w:space="0" w:color="auto"/>
            </w:tcBorders>
            <w:shd w:val="clear" w:color="auto" w:fill="auto"/>
            <w:vAlign w:val="center"/>
          </w:tcPr>
          <w:p w14:paraId="25A2DF95" w14:textId="77777777" w:rsidR="002D0AE7" w:rsidRDefault="00333EBB">
            <w:pPr>
              <w:jc w:val="center"/>
              <w:rPr>
                <w:rFonts w:hint="eastAsia"/>
                <w:color w:val="000000" w:themeColor="text1"/>
                <w:sz w:val="21"/>
                <w:szCs w:val="21"/>
              </w:rPr>
            </w:pPr>
            <w:r>
              <w:rPr>
                <w:rFonts w:hint="eastAsia"/>
                <w:sz w:val="21"/>
                <w:szCs w:val="21"/>
              </w:rPr>
              <w:t>受同一间接控股股东控制</w:t>
            </w:r>
          </w:p>
        </w:tc>
      </w:tr>
      <w:tr w:rsidR="002D0AE7" w14:paraId="0B2732C5" w14:textId="77777777">
        <w:trPr>
          <w:trHeight w:val="267"/>
          <w:jc w:val="center"/>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tcPr>
          <w:p w14:paraId="56FB6783" w14:textId="77777777" w:rsidR="002D0AE7" w:rsidRDefault="00333EBB">
            <w:pPr>
              <w:jc w:val="center"/>
              <w:rPr>
                <w:rFonts w:hint="eastAsia"/>
                <w:color w:val="000000" w:themeColor="text1"/>
                <w:sz w:val="21"/>
                <w:szCs w:val="21"/>
              </w:rPr>
            </w:pPr>
            <w:r>
              <w:rPr>
                <w:rFonts w:hint="eastAsia"/>
                <w:sz w:val="21"/>
                <w:szCs w:val="21"/>
              </w:rPr>
              <w:t>津药太平医药有限公司</w:t>
            </w:r>
          </w:p>
        </w:tc>
        <w:tc>
          <w:tcPr>
            <w:tcW w:w="2835" w:type="pct"/>
            <w:tcBorders>
              <w:top w:val="single" w:sz="4" w:space="0" w:color="auto"/>
              <w:left w:val="single" w:sz="4" w:space="0" w:color="auto"/>
              <w:bottom w:val="single" w:sz="4" w:space="0" w:color="auto"/>
              <w:right w:val="single" w:sz="4" w:space="0" w:color="auto"/>
            </w:tcBorders>
            <w:shd w:val="clear" w:color="auto" w:fill="auto"/>
            <w:vAlign w:val="center"/>
          </w:tcPr>
          <w:p w14:paraId="05BEFE1C" w14:textId="77777777" w:rsidR="002D0AE7" w:rsidRDefault="00333EBB">
            <w:pPr>
              <w:jc w:val="center"/>
              <w:rPr>
                <w:rFonts w:hint="eastAsia"/>
                <w:color w:val="000000" w:themeColor="text1"/>
                <w:sz w:val="21"/>
                <w:szCs w:val="21"/>
              </w:rPr>
            </w:pPr>
            <w:r>
              <w:rPr>
                <w:rFonts w:hint="eastAsia"/>
                <w:sz w:val="21"/>
                <w:szCs w:val="21"/>
              </w:rPr>
              <w:t>受同一间接控股股东控制</w:t>
            </w:r>
          </w:p>
        </w:tc>
      </w:tr>
      <w:tr w:rsidR="002D0AE7" w14:paraId="232E891B" w14:textId="77777777">
        <w:trPr>
          <w:trHeight w:val="267"/>
          <w:jc w:val="center"/>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tcPr>
          <w:p w14:paraId="79D364B0" w14:textId="77777777" w:rsidR="002D0AE7" w:rsidRDefault="00333EBB">
            <w:pPr>
              <w:jc w:val="center"/>
              <w:rPr>
                <w:rFonts w:hint="eastAsia"/>
                <w:color w:val="000000" w:themeColor="text1"/>
                <w:sz w:val="21"/>
                <w:szCs w:val="21"/>
              </w:rPr>
            </w:pPr>
            <w:r>
              <w:rPr>
                <w:rFonts w:hint="eastAsia"/>
                <w:sz w:val="21"/>
                <w:szCs w:val="21"/>
              </w:rPr>
              <w:t>津药永光（河北）制药有限公司</w:t>
            </w:r>
          </w:p>
        </w:tc>
        <w:tc>
          <w:tcPr>
            <w:tcW w:w="2835" w:type="pct"/>
            <w:tcBorders>
              <w:top w:val="single" w:sz="4" w:space="0" w:color="auto"/>
              <w:left w:val="single" w:sz="4" w:space="0" w:color="auto"/>
              <w:bottom w:val="single" w:sz="4" w:space="0" w:color="auto"/>
              <w:right w:val="single" w:sz="4" w:space="0" w:color="auto"/>
            </w:tcBorders>
            <w:shd w:val="clear" w:color="auto" w:fill="auto"/>
            <w:vAlign w:val="center"/>
          </w:tcPr>
          <w:p w14:paraId="3DCAABD3" w14:textId="77777777" w:rsidR="002D0AE7" w:rsidRDefault="00333EBB">
            <w:pPr>
              <w:jc w:val="center"/>
              <w:rPr>
                <w:rFonts w:hint="eastAsia"/>
                <w:color w:val="000000" w:themeColor="text1"/>
                <w:sz w:val="21"/>
                <w:szCs w:val="21"/>
              </w:rPr>
            </w:pPr>
            <w:r>
              <w:rPr>
                <w:rFonts w:hint="eastAsia"/>
                <w:sz w:val="21"/>
                <w:szCs w:val="21"/>
              </w:rPr>
              <w:t>受同一间接控股股东控制</w:t>
            </w:r>
          </w:p>
        </w:tc>
      </w:tr>
      <w:tr w:rsidR="002D0AE7" w14:paraId="380E7A21" w14:textId="77777777">
        <w:trPr>
          <w:trHeight w:val="267"/>
          <w:jc w:val="center"/>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tcPr>
          <w:p w14:paraId="4B4EA747" w14:textId="77777777" w:rsidR="002D0AE7" w:rsidRDefault="00333EBB">
            <w:pPr>
              <w:jc w:val="center"/>
              <w:rPr>
                <w:rFonts w:hint="eastAsia"/>
                <w:color w:val="000000" w:themeColor="text1"/>
                <w:sz w:val="21"/>
                <w:szCs w:val="21"/>
              </w:rPr>
            </w:pPr>
            <w:r>
              <w:rPr>
                <w:rFonts w:hint="eastAsia"/>
                <w:sz w:val="21"/>
                <w:szCs w:val="21"/>
              </w:rPr>
              <w:t>天津津药文化发展有限公司</w:t>
            </w:r>
          </w:p>
        </w:tc>
        <w:tc>
          <w:tcPr>
            <w:tcW w:w="2835" w:type="pct"/>
            <w:tcBorders>
              <w:top w:val="single" w:sz="4" w:space="0" w:color="auto"/>
              <w:left w:val="single" w:sz="4" w:space="0" w:color="auto"/>
              <w:bottom w:val="single" w:sz="4" w:space="0" w:color="auto"/>
              <w:right w:val="single" w:sz="4" w:space="0" w:color="auto"/>
            </w:tcBorders>
            <w:shd w:val="clear" w:color="auto" w:fill="auto"/>
            <w:vAlign w:val="center"/>
          </w:tcPr>
          <w:p w14:paraId="237419CC" w14:textId="77777777" w:rsidR="002D0AE7" w:rsidRDefault="00333EBB">
            <w:pPr>
              <w:jc w:val="center"/>
              <w:rPr>
                <w:rFonts w:hint="eastAsia"/>
                <w:color w:val="000000" w:themeColor="text1"/>
                <w:sz w:val="21"/>
                <w:szCs w:val="21"/>
              </w:rPr>
            </w:pPr>
            <w:r>
              <w:rPr>
                <w:rFonts w:hint="eastAsia"/>
                <w:sz w:val="21"/>
                <w:szCs w:val="21"/>
              </w:rPr>
              <w:t>受同一间接控股股东控制</w:t>
            </w:r>
          </w:p>
        </w:tc>
      </w:tr>
      <w:tr w:rsidR="002D0AE7" w14:paraId="435C15E5" w14:textId="77777777">
        <w:trPr>
          <w:trHeight w:val="267"/>
          <w:jc w:val="center"/>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tcPr>
          <w:p w14:paraId="1E7027B8" w14:textId="77777777" w:rsidR="002D0AE7" w:rsidRDefault="00333EBB">
            <w:pPr>
              <w:jc w:val="center"/>
              <w:rPr>
                <w:rFonts w:hint="eastAsia"/>
                <w:color w:val="000000" w:themeColor="text1"/>
                <w:sz w:val="21"/>
                <w:szCs w:val="21"/>
              </w:rPr>
            </w:pPr>
            <w:r>
              <w:rPr>
                <w:rFonts w:hint="eastAsia"/>
                <w:sz w:val="21"/>
                <w:szCs w:val="21"/>
              </w:rPr>
              <w:t>天津诺达医疗科技有限公司</w:t>
            </w:r>
          </w:p>
        </w:tc>
        <w:tc>
          <w:tcPr>
            <w:tcW w:w="2835" w:type="pct"/>
            <w:tcBorders>
              <w:top w:val="single" w:sz="4" w:space="0" w:color="auto"/>
              <w:left w:val="single" w:sz="4" w:space="0" w:color="auto"/>
              <w:bottom w:val="single" w:sz="4" w:space="0" w:color="auto"/>
              <w:right w:val="single" w:sz="4" w:space="0" w:color="auto"/>
            </w:tcBorders>
            <w:shd w:val="clear" w:color="auto" w:fill="auto"/>
            <w:vAlign w:val="center"/>
          </w:tcPr>
          <w:p w14:paraId="4FB08E9E" w14:textId="77777777" w:rsidR="002D0AE7" w:rsidRDefault="00333EBB">
            <w:pPr>
              <w:jc w:val="center"/>
              <w:rPr>
                <w:rFonts w:hint="eastAsia"/>
                <w:color w:val="000000" w:themeColor="text1"/>
                <w:sz w:val="21"/>
                <w:szCs w:val="21"/>
              </w:rPr>
            </w:pPr>
            <w:r>
              <w:rPr>
                <w:rFonts w:hint="eastAsia"/>
                <w:sz w:val="21"/>
                <w:szCs w:val="21"/>
              </w:rPr>
              <w:t>受同一间接控股股东控制</w:t>
            </w:r>
          </w:p>
        </w:tc>
      </w:tr>
      <w:tr w:rsidR="002D0AE7" w14:paraId="4FE1C1EB" w14:textId="77777777">
        <w:trPr>
          <w:trHeight w:val="267"/>
          <w:jc w:val="center"/>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tcPr>
          <w:p w14:paraId="3EC0CB82" w14:textId="77777777" w:rsidR="002D0AE7" w:rsidRDefault="00333EBB">
            <w:pPr>
              <w:jc w:val="center"/>
              <w:rPr>
                <w:rFonts w:hint="eastAsia"/>
                <w:color w:val="000000" w:themeColor="text1"/>
                <w:sz w:val="21"/>
                <w:szCs w:val="21"/>
              </w:rPr>
            </w:pPr>
            <w:r>
              <w:rPr>
                <w:rFonts w:hint="eastAsia"/>
                <w:sz w:val="21"/>
                <w:szCs w:val="21"/>
              </w:rPr>
              <w:t>天津市医药设计院有限公司</w:t>
            </w:r>
          </w:p>
        </w:tc>
        <w:tc>
          <w:tcPr>
            <w:tcW w:w="2835" w:type="pct"/>
            <w:tcBorders>
              <w:top w:val="single" w:sz="4" w:space="0" w:color="auto"/>
              <w:left w:val="single" w:sz="4" w:space="0" w:color="auto"/>
              <w:bottom w:val="single" w:sz="4" w:space="0" w:color="auto"/>
              <w:right w:val="single" w:sz="4" w:space="0" w:color="auto"/>
            </w:tcBorders>
            <w:shd w:val="clear" w:color="auto" w:fill="auto"/>
            <w:vAlign w:val="center"/>
          </w:tcPr>
          <w:p w14:paraId="054C017D" w14:textId="77777777" w:rsidR="002D0AE7" w:rsidRDefault="00333EBB">
            <w:pPr>
              <w:jc w:val="center"/>
              <w:rPr>
                <w:rFonts w:hint="eastAsia"/>
                <w:color w:val="000000" w:themeColor="text1"/>
                <w:sz w:val="21"/>
                <w:szCs w:val="21"/>
              </w:rPr>
            </w:pPr>
            <w:r>
              <w:rPr>
                <w:rFonts w:hint="eastAsia"/>
                <w:sz w:val="21"/>
                <w:szCs w:val="21"/>
              </w:rPr>
              <w:t>受同一间接控股股东控制</w:t>
            </w:r>
          </w:p>
        </w:tc>
      </w:tr>
      <w:tr w:rsidR="002D0AE7" w14:paraId="4652E411" w14:textId="77777777">
        <w:trPr>
          <w:trHeight w:val="267"/>
          <w:jc w:val="center"/>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tcPr>
          <w:p w14:paraId="22D94657" w14:textId="77777777" w:rsidR="002D0AE7" w:rsidRDefault="00333EBB">
            <w:pPr>
              <w:jc w:val="center"/>
              <w:rPr>
                <w:rFonts w:hint="eastAsia"/>
                <w:color w:val="000000" w:themeColor="text1"/>
                <w:sz w:val="21"/>
                <w:szCs w:val="21"/>
              </w:rPr>
            </w:pPr>
            <w:r>
              <w:rPr>
                <w:rFonts w:hint="eastAsia"/>
                <w:sz w:val="21"/>
                <w:szCs w:val="21"/>
              </w:rPr>
              <w:t>天津信达制药有限公司</w:t>
            </w:r>
          </w:p>
        </w:tc>
        <w:tc>
          <w:tcPr>
            <w:tcW w:w="2835" w:type="pct"/>
            <w:tcBorders>
              <w:top w:val="single" w:sz="4" w:space="0" w:color="auto"/>
              <w:left w:val="single" w:sz="4" w:space="0" w:color="auto"/>
              <w:bottom w:val="single" w:sz="4" w:space="0" w:color="auto"/>
              <w:right w:val="single" w:sz="4" w:space="0" w:color="auto"/>
            </w:tcBorders>
            <w:shd w:val="clear" w:color="auto" w:fill="auto"/>
            <w:vAlign w:val="center"/>
          </w:tcPr>
          <w:p w14:paraId="046C35A6" w14:textId="77777777" w:rsidR="002D0AE7" w:rsidRDefault="00333EBB">
            <w:pPr>
              <w:jc w:val="center"/>
              <w:rPr>
                <w:rFonts w:hint="eastAsia"/>
                <w:color w:val="000000" w:themeColor="text1"/>
                <w:sz w:val="21"/>
                <w:szCs w:val="21"/>
              </w:rPr>
            </w:pPr>
            <w:r>
              <w:rPr>
                <w:rFonts w:hint="eastAsia"/>
                <w:sz w:val="21"/>
                <w:szCs w:val="21"/>
              </w:rPr>
              <w:t>受同一间接控股股东控制</w:t>
            </w:r>
          </w:p>
        </w:tc>
      </w:tr>
      <w:tr w:rsidR="002D0AE7" w14:paraId="4DAF8CF2" w14:textId="77777777">
        <w:trPr>
          <w:trHeight w:val="267"/>
          <w:jc w:val="center"/>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tcPr>
          <w:p w14:paraId="750433F1" w14:textId="77777777" w:rsidR="002D0AE7" w:rsidRDefault="00333EBB">
            <w:pPr>
              <w:jc w:val="center"/>
              <w:rPr>
                <w:rFonts w:hint="eastAsia"/>
                <w:color w:val="000000" w:themeColor="text1"/>
                <w:sz w:val="21"/>
                <w:szCs w:val="21"/>
              </w:rPr>
            </w:pPr>
            <w:r>
              <w:rPr>
                <w:rFonts w:hint="eastAsia"/>
                <w:sz w:val="21"/>
                <w:szCs w:val="21"/>
              </w:rPr>
              <w:t>天津信诺制药有限公司</w:t>
            </w:r>
          </w:p>
        </w:tc>
        <w:tc>
          <w:tcPr>
            <w:tcW w:w="2835" w:type="pct"/>
            <w:tcBorders>
              <w:top w:val="single" w:sz="4" w:space="0" w:color="auto"/>
              <w:left w:val="single" w:sz="4" w:space="0" w:color="auto"/>
              <w:bottom w:val="single" w:sz="4" w:space="0" w:color="auto"/>
              <w:right w:val="single" w:sz="4" w:space="0" w:color="auto"/>
            </w:tcBorders>
            <w:shd w:val="clear" w:color="auto" w:fill="auto"/>
            <w:vAlign w:val="center"/>
          </w:tcPr>
          <w:p w14:paraId="3D49A79A" w14:textId="77777777" w:rsidR="002D0AE7" w:rsidRDefault="00333EBB">
            <w:pPr>
              <w:jc w:val="center"/>
              <w:rPr>
                <w:rFonts w:hint="eastAsia"/>
                <w:color w:val="000000" w:themeColor="text1"/>
                <w:sz w:val="21"/>
                <w:szCs w:val="21"/>
              </w:rPr>
            </w:pPr>
            <w:r>
              <w:rPr>
                <w:rFonts w:hint="eastAsia"/>
                <w:sz w:val="21"/>
                <w:szCs w:val="21"/>
              </w:rPr>
              <w:t>受同一间接控股股东控制</w:t>
            </w:r>
          </w:p>
        </w:tc>
      </w:tr>
      <w:tr w:rsidR="002D0AE7" w14:paraId="5A89BF7D" w14:textId="77777777">
        <w:trPr>
          <w:trHeight w:val="267"/>
          <w:jc w:val="center"/>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tcPr>
          <w:p w14:paraId="62BEFD20" w14:textId="77777777" w:rsidR="002D0AE7" w:rsidRDefault="00333EBB">
            <w:pPr>
              <w:jc w:val="center"/>
              <w:rPr>
                <w:rFonts w:hint="eastAsia"/>
                <w:color w:val="000000" w:themeColor="text1"/>
                <w:sz w:val="21"/>
                <w:szCs w:val="21"/>
              </w:rPr>
            </w:pPr>
            <w:r>
              <w:rPr>
                <w:rFonts w:hint="eastAsia"/>
                <w:sz w:val="21"/>
                <w:szCs w:val="21"/>
              </w:rPr>
              <w:t>天津医药集团财务有限公司</w:t>
            </w:r>
          </w:p>
        </w:tc>
        <w:tc>
          <w:tcPr>
            <w:tcW w:w="2835" w:type="pct"/>
            <w:tcBorders>
              <w:top w:val="single" w:sz="4" w:space="0" w:color="auto"/>
              <w:left w:val="single" w:sz="4" w:space="0" w:color="auto"/>
              <w:bottom w:val="single" w:sz="4" w:space="0" w:color="auto"/>
              <w:right w:val="single" w:sz="4" w:space="0" w:color="auto"/>
            </w:tcBorders>
            <w:shd w:val="clear" w:color="auto" w:fill="auto"/>
            <w:vAlign w:val="center"/>
          </w:tcPr>
          <w:p w14:paraId="54018CF7" w14:textId="77777777" w:rsidR="002D0AE7" w:rsidRDefault="00333EBB">
            <w:pPr>
              <w:jc w:val="center"/>
              <w:rPr>
                <w:rFonts w:hint="eastAsia"/>
                <w:color w:val="000000" w:themeColor="text1"/>
                <w:sz w:val="21"/>
                <w:szCs w:val="21"/>
              </w:rPr>
            </w:pPr>
            <w:r>
              <w:rPr>
                <w:rFonts w:hint="eastAsia"/>
                <w:sz w:val="21"/>
                <w:szCs w:val="21"/>
              </w:rPr>
              <w:t>受同一间接控股股东控制</w:t>
            </w:r>
          </w:p>
        </w:tc>
      </w:tr>
      <w:tr w:rsidR="002D0AE7" w14:paraId="03BAAB79" w14:textId="77777777">
        <w:trPr>
          <w:trHeight w:val="267"/>
          <w:jc w:val="center"/>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tcPr>
          <w:p w14:paraId="7183FD7E" w14:textId="77777777" w:rsidR="002D0AE7" w:rsidRDefault="00333EBB">
            <w:pPr>
              <w:jc w:val="center"/>
              <w:rPr>
                <w:rFonts w:hint="eastAsia"/>
                <w:color w:val="000000" w:themeColor="text1"/>
                <w:sz w:val="21"/>
                <w:szCs w:val="21"/>
              </w:rPr>
            </w:pPr>
            <w:r>
              <w:rPr>
                <w:rFonts w:hint="eastAsia"/>
                <w:sz w:val="21"/>
                <w:szCs w:val="21"/>
              </w:rPr>
              <w:t>天津医药集团津一堂连锁股份有限公司</w:t>
            </w:r>
          </w:p>
        </w:tc>
        <w:tc>
          <w:tcPr>
            <w:tcW w:w="2835" w:type="pct"/>
            <w:tcBorders>
              <w:top w:val="single" w:sz="4" w:space="0" w:color="auto"/>
              <w:left w:val="single" w:sz="4" w:space="0" w:color="auto"/>
              <w:bottom w:val="single" w:sz="4" w:space="0" w:color="auto"/>
              <w:right w:val="single" w:sz="4" w:space="0" w:color="auto"/>
            </w:tcBorders>
            <w:shd w:val="clear" w:color="auto" w:fill="auto"/>
            <w:vAlign w:val="center"/>
          </w:tcPr>
          <w:p w14:paraId="6FA0B7DE" w14:textId="77777777" w:rsidR="002D0AE7" w:rsidRDefault="00333EBB">
            <w:pPr>
              <w:jc w:val="center"/>
              <w:rPr>
                <w:rFonts w:hint="eastAsia"/>
                <w:color w:val="000000" w:themeColor="text1"/>
                <w:sz w:val="21"/>
                <w:szCs w:val="21"/>
              </w:rPr>
            </w:pPr>
            <w:r>
              <w:rPr>
                <w:rFonts w:hint="eastAsia"/>
                <w:sz w:val="21"/>
                <w:szCs w:val="21"/>
              </w:rPr>
              <w:t>受同一间接控股股东控制</w:t>
            </w:r>
          </w:p>
        </w:tc>
      </w:tr>
      <w:tr w:rsidR="002D0AE7" w14:paraId="14947D99" w14:textId="77777777">
        <w:trPr>
          <w:trHeight w:val="267"/>
          <w:jc w:val="center"/>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tcPr>
          <w:p w14:paraId="2B51031F" w14:textId="77777777" w:rsidR="002D0AE7" w:rsidRDefault="00333EBB">
            <w:pPr>
              <w:jc w:val="center"/>
              <w:rPr>
                <w:rFonts w:hint="eastAsia"/>
                <w:color w:val="000000" w:themeColor="text1"/>
                <w:sz w:val="21"/>
                <w:szCs w:val="21"/>
              </w:rPr>
            </w:pPr>
            <w:r>
              <w:rPr>
                <w:rFonts w:hint="eastAsia"/>
                <w:sz w:val="21"/>
                <w:szCs w:val="21"/>
              </w:rPr>
              <w:t>天津医药集团人力资源服务有限公司</w:t>
            </w:r>
          </w:p>
        </w:tc>
        <w:tc>
          <w:tcPr>
            <w:tcW w:w="2835" w:type="pct"/>
            <w:tcBorders>
              <w:top w:val="single" w:sz="4" w:space="0" w:color="auto"/>
              <w:left w:val="single" w:sz="4" w:space="0" w:color="auto"/>
              <w:bottom w:val="single" w:sz="4" w:space="0" w:color="auto"/>
              <w:right w:val="single" w:sz="4" w:space="0" w:color="auto"/>
            </w:tcBorders>
            <w:shd w:val="clear" w:color="auto" w:fill="auto"/>
            <w:vAlign w:val="center"/>
          </w:tcPr>
          <w:p w14:paraId="5DF17EA6" w14:textId="77777777" w:rsidR="002D0AE7" w:rsidRDefault="00333EBB">
            <w:pPr>
              <w:jc w:val="center"/>
              <w:rPr>
                <w:rFonts w:hint="eastAsia"/>
                <w:color w:val="000000" w:themeColor="text1"/>
                <w:sz w:val="21"/>
                <w:szCs w:val="21"/>
              </w:rPr>
            </w:pPr>
            <w:r>
              <w:rPr>
                <w:rFonts w:hint="eastAsia"/>
                <w:sz w:val="21"/>
                <w:szCs w:val="21"/>
              </w:rPr>
              <w:t>受同一间接控股股东控制</w:t>
            </w:r>
          </w:p>
        </w:tc>
      </w:tr>
      <w:tr w:rsidR="002D0AE7" w14:paraId="2B8CFD6E" w14:textId="77777777">
        <w:trPr>
          <w:trHeight w:val="267"/>
          <w:jc w:val="center"/>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tcPr>
          <w:p w14:paraId="1FA32183" w14:textId="77777777" w:rsidR="002D0AE7" w:rsidRDefault="00333EBB">
            <w:pPr>
              <w:jc w:val="center"/>
              <w:rPr>
                <w:rFonts w:hint="eastAsia"/>
                <w:color w:val="000000" w:themeColor="text1"/>
                <w:sz w:val="21"/>
                <w:szCs w:val="21"/>
              </w:rPr>
            </w:pPr>
            <w:r>
              <w:rPr>
                <w:rFonts w:hint="eastAsia"/>
                <w:sz w:val="21"/>
                <w:szCs w:val="21"/>
              </w:rPr>
              <w:t>天津医药集团营销管理有限公司</w:t>
            </w:r>
          </w:p>
        </w:tc>
        <w:tc>
          <w:tcPr>
            <w:tcW w:w="2835" w:type="pct"/>
            <w:tcBorders>
              <w:top w:val="single" w:sz="4" w:space="0" w:color="auto"/>
              <w:left w:val="single" w:sz="4" w:space="0" w:color="auto"/>
              <w:bottom w:val="single" w:sz="4" w:space="0" w:color="auto"/>
              <w:right w:val="single" w:sz="4" w:space="0" w:color="auto"/>
            </w:tcBorders>
            <w:shd w:val="clear" w:color="auto" w:fill="auto"/>
            <w:vAlign w:val="center"/>
          </w:tcPr>
          <w:p w14:paraId="50496AA4" w14:textId="77777777" w:rsidR="002D0AE7" w:rsidRDefault="00333EBB">
            <w:pPr>
              <w:jc w:val="center"/>
              <w:rPr>
                <w:rFonts w:hint="eastAsia"/>
                <w:color w:val="000000" w:themeColor="text1"/>
                <w:sz w:val="21"/>
                <w:szCs w:val="21"/>
              </w:rPr>
            </w:pPr>
            <w:r>
              <w:rPr>
                <w:rFonts w:hint="eastAsia"/>
                <w:sz w:val="21"/>
                <w:szCs w:val="21"/>
              </w:rPr>
              <w:t>受同一间接控股股东控制</w:t>
            </w:r>
          </w:p>
        </w:tc>
      </w:tr>
      <w:tr w:rsidR="002D0AE7" w14:paraId="0CE9169C" w14:textId="77777777">
        <w:trPr>
          <w:trHeight w:val="267"/>
          <w:jc w:val="center"/>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tcPr>
          <w:p w14:paraId="5AE3355C" w14:textId="77777777" w:rsidR="002D0AE7" w:rsidRDefault="00333EBB">
            <w:pPr>
              <w:jc w:val="center"/>
              <w:rPr>
                <w:rFonts w:hint="eastAsia"/>
                <w:color w:val="000000" w:themeColor="text1"/>
                <w:sz w:val="21"/>
                <w:szCs w:val="21"/>
              </w:rPr>
            </w:pPr>
            <w:r>
              <w:rPr>
                <w:rFonts w:hint="eastAsia"/>
                <w:sz w:val="21"/>
                <w:szCs w:val="21"/>
              </w:rPr>
              <w:t>天津医药集团营销有限公司</w:t>
            </w:r>
          </w:p>
        </w:tc>
        <w:tc>
          <w:tcPr>
            <w:tcW w:w="2835" w:type="pct"/>
            <w:tcBorders>
              <w:top w:val="single" w:sz="4" w:space="0" w:color="auto"/>
              <w:left w:val="single" w:sz="4" w:space="0" w:color="auto"/>
              <w:bottom w:val="single" w:sz="4" w:space="0" w:color="auto"/>
              <w:right w:val="single" w:sz="4" w:space="0" w:color="auto"/>
            </w:tcBorders>
            <w:shd w:val="clear" w:color="auto" w:fill="auto"/>
            <w:vAlign w:val="center"/>
          </w:tcPr>
          <w:p w14:paraId="5982E070" w14:textId="77777777" w:rsidR="002D0AE7" w:rsidRDefault="00333EBB">
            <w:pPr>
              <w:jc w:val="center"/>
              <w:rPr>
                <w:rFonts w:hint="eastAsia"/>
                <w:color w:val="000000" w:themeColor="text1"/>
                <w:sz w:val="21"/>
                <w:szCs w:val="21"/>
              </w:rPr>
            </w:pPr>
            <w:r>
              <w:rPr>
                <w:rFonts w:hint="eastAsia"/>
                <w:sz w:val="21"/>
                <w:szCs w:val="21"/>
              </w:rPr>
              <w:t>受同一间接控股股东控制</w:t>
            </w:r>
          </w:p>
        </w:tc>
      </w:tr>
      <w:tr w:rsidR="002D0AE7" w14:paraId="7DDCB693" w14:textId="77777777">
        <w:trPr>
          <w:trHeight w:val="267"/>
          <w:jc w:val="center"/>
        </w:trPr>
        <w:tc>
          <w:tcPr>
            <w:tcW w:w="2165" w:type="pct"/>
            <w:tcBorders>
              <w:top w:val="single" w:sz="4" w:space="0" w:color="auto"/>
              <w:left w:val="single" w:sz="4" w:space="0" w:color="auto"/>
              <w:bottom w:val="single" w:sz="4" w:space="0" w:color="auto"/>
              <w:right w:val="single" w:sz="4" w:space="0" w:color="auto"/>
            </w:tcBorders>
            <w:shd w:val="clear" w:color="auto" w:fill="auto"/>
            <w:vAlign w:val="center"/>
          </w:tcPr>
          <w:p w14:paraId="6515240E" w14:textId="77777777" w:rsidR="002D0AE7" w:rsidRDefault="00333EBB">
            <w:pPr>
              <w:jc w:val="center"/>
              <w:rPr>
                <w:rFonts w:hint="eastAsia"/>
                <w:color w:val="000000" w:themeColor="text1"/>
                <w:sz w:val="21"/>
                <w:szCs w:val="21"/>
              </w:rPr>
            </w:pPr>
            <w:r>
              <w:rPr>
                <w:rFonts w:hint="eastAsia"/>
                <w:sz w:val="21"/>
                <w:szCs w:val="21"/>
              </w:rPr>
              <w:lastRenderedPageBreak/>
              <w:t>天津医药集团众健康达医疗器械有限公司</w:t>
            </w:r>
          </w:p>
        </w:tc>
        <w:tc>
          <w:tcPr>
            <w:tcW w:w="2835" w:type="pct"/>
            <w:tcBorders>
              <w:top w:val="single" w:sz="4" w:space="0" w:color="auto"/>
              <w:left w:val="single" w:sz="4" w:space="0" w:color="auto"/>
              <w:bottom w:val="single" w:sz="4" w:space="0" w:color="auto"/>
              <w:right w:val="single" w:sz="4" w:space="0" w:color="auto"/>
            </w:tcBorders>
            <w:shd w:val="clear" w:color="auto" w:fill="auto"/>
            <w:vAlign w:val="center"/>
          </w:tcPr>
          <w:p w14:paraId="77150E91" w14:textId="77777777" w:rsidR="002D0AE7" w:rsidRDefault="00333EBB">
            <w:pPr>
              <w:jc w:val="center"/>
              <w:rPr>
                <w:rFonts w:hint="eastAsia"/>
                <w:color w:val="000000" w:themeColor="text1"/>
                <w:sz w:val="21"/>
                <w:szCs w:val="21"/>
              </w:rPr>
            </w:pPr>
            <w:r>
              <w:rPr>
                <w:rFonts w:hint="eastAsia"/>
                <w:sz w:val="21"/>
                <w:szCs w:val="21"/>
              </w:rPr>
              <w:t>受同一间接控股股东控制</w:t>
            </w:r>
          </w:p>
        </w:tc>
      </w:tr>
      <w:tr w:rsidR="002D0AE7" w14:paraId="7E8100B1" w14:textId="77777777">
        <w:trPr>
          <w:trHeight w:val="267"/>
          <w:jc w:val="center"/>
        </w:trPr>
        <w:tc>
          <w:tcPr>
            <w:tcW w:w="2165" w:type="pct"/>
            <w:tcBorders>
              <w:top w:val="single" w:sz="4" w:space="0" w:color="auto"/>
              <w:left w:val="single" w:sz="4" w:space="0" w:color="auto"/>
              <w:bottom w:val="single" w:sz="4" w:space="0" w:color="auto"/>
              <w:right w:val="single" w:sz="4" w:space="0" w:color="auto"/>
            </w:tcBorders>
            <w:vAlign w:val="center"/>
          </w:tcPr>
          <w:p w14:paraId="175526CE" w14:textId="77777777" w:rsidR="002D0AE7" w:rsidRDefault="00333EBB">
            <w:pPr>
              <w:jc w:val="center"/>
              <w:rPr>
                <w:rFonts w:cs="Cambria" w:hint="eastAsia"/>
                <w:sz w:val="21"/>
                <w:szCs w:val="21"/>
              </w:rPr>
            </w:pPr>
            <w:r>
              <w:rPr>
                <w:rFonts w:hint="eastAsia"/>
                <w:sz w:val="21"/>
                <w:szCs w:val="21"/>
              </w:rPr>
              <w:t>天津中新药业集团国卫医药有限公司</w:t>
            </w:r>
          </w:p>
        </w:tc>
        <w:tc>
          <w:tcPr>
            <w:tcW w:w="2835" w:type="pct"/>
            <w:tcBorders>
              <w:top w:val="single" w:sz="4" w:space="0" w:color="auto"/>
              <w:left w:val="single" w:sz="4" w:space="0" w:color="auto"/>
              <w:bottom w:val="single" w:sz="4" w:space="0" w:color="auto"/>
              <w:right w:val="single" w:sz="4" w:space="0" w:color="auto"/>
            </w:tcBorders>
            <w:vAlign w:val="center"/>
          </w:tcPr>
          <w:p w14:paraId="38BE7AFD" w14:textId="77777777" w:rsidR="002D0AE7" w:rsidRDefault="00333EBB">
            <w:pPr>
              <w:jc w:val="center"/>
              <w:rPr>
                <w:rFonts w:cs="Cambria" w:hint="eastAsia"/>
                <w:color w:val="000000" w:themeColor="text1"/>
                <w:sz w:val="21"/>
                <w:szCs w:val="21"/>
              </w:rPr>
            </w:pPr>
            <w:r>
              <w:rPr>
                <w:rFonts w:hint="eastAsia"/>
                <w:sz w:val="21"/>
                <w:szCs w:val="21"/>
              </w:rPr>
              <w:t>受同一间接控股股东控制</w:t>
            </w:r>
          </w:p>
        </w:tc>
      </w:tr>
      <w:tr w:rsidR="002D0AE7" w14:paraId="762F7F3E" w14:textId="77777777">
        <w:trPr>
          <w:trHeight w:val="267"/>
          <w:jc w:val="center"/>
        </w:trPr>
        <w:tc>
          <w:tcPr>
            <w:tcW w:w="2165" w:type="pct"/>
            <w:tcBorders>
              <w:top w:val="single" w:sz="4" w:space="0" w:color="auto"/>
              <w:left w:val="single" w:sz="4" w:space="0" w:color="auto"/>
              <w:bottom w:val="single" w:sz="4" w:space="0" w:color="auto"/>
              <w:right w:val="single" w:sz="4" w:space="0" w:color="auto"/>
            </w:tcBorders>
            <w:vAlign w:val="center"/>
          </w:tcPr>
          <w:p w14:paraId="36047CC3" w14:textId="77777777" w:rsidR="002D0AE7" w:rsidRDefault="00333EBB">
            <w:pPr>
              <w:jc w:val="center"/>
              <w:rPr>
                <w:rFonts w:cs="Cambria" w:hint="eastAsia"/>
                <w:sz w:val="21"/>
                <w:szCs w:val="21"/>
              </w:rPr>
            </w:pPr>
            <w:r>
              <w:rPr>
                <w:rFonts w:hint="eastAsia"/>
                <w:sz w:val="21"/>
                <w:szCs w:val="21"/>
              </w:rPr>
              <w:t>天津中新医药有限公司</w:t>
            </w:r>
          </w:p>
        </w:tc>
        <w:tc>
          <w:tcPr>
            <w:tcW w:w="2835" w:type="pct"/>
            <w:tcBorders>
              <w:top w:val="single" w:sz="4" w:space="0" w:color="auto"/>
              <w:left w:val="single" w:sz="4" w:space="0" w:color="auto"/>
              <w:bottom w:val="single" w:sz="4" w:space="0" w:color="auto"/>
              <w:right w:val="single" w:sz="4" w:space="0" w:color="auto"/>
            </w:tcBorders>
            <w:vAlign w:val="center"/>
          </w:tcPr>
          <w:p w14:paraId="6533256C" w14:textId="77777777" w:rsidR="002D0AE7" w:rsidRDefault="00333EBB">
            <w:pPr>
              <w:jc w:val="center"/>
              <w:rPr>
                <w:rFonts w:cs="Cambria" w:hint="eastAsia"/>
                <w:color w:val="000000" w:themeColor="text1"/>
                <w:sz w:val="21"/>
                <w:szCs w:val="21"/>
              </w:rPr>
            </w:pPr>
            <w:r>
              <w:rPr>
                <w:rFonts w:hint="eastAsia"/>
                <w:sz w:val="21"/>
                <w:szCs w:val="21"/>
              </w:rPr>
              <w:t>受同一间接控股股东控制</w:t>
            </w:r>
          </w:p>
        </w:tc>
      </w:tr>
    </w:tbl>
    <w:p w14:paraId="173153A7" w14:textId="77777777" w:rsidR="002D0AE7" w:rsidRDefault="00333EBB">
      <w:pPr>
        <w:tabs>
          <w:tab w:val="left" w:pos="1134"/>
        </w:tabs>
        <w:rPr>
          <w:rFonts w:cs="Cambria" w:hint="eastAsia"/>
          <w:color w:val="000000" w:themeColor="text1"/>
        </w:rPr>
      </w:pPr>
      <w:r>
        <w:rPr>
          <w:rFonts w:cs="Cambria" w:hint="eastAsia"/>
          <w:color w:val="000000" w:themeColor="text1"/>
        </w:rPr>
        <w:t>其他说明</w:t>
      </w:r>
      <w:sdt>
        <w:sdtPr>
          <w:rPr>
            <w:rFonts w:cs="Cambria"/>
            <w:color w:val="000000" w:themeColor="text1"/>
          </w:rPr>
          <w:alias w:val="本企业的其他关联方情况的说明"/>
          <w:tag w:val="_GBC_214bcb1375e347c4be22006f5cc854a9"/>
          <w:id w:val="1404412355"/>
          <w:placeholder>
            <w:docPart w:val="GBC22222222222222222222222222222"/>
          </w:placeholder>
        </w:sdtPr>
        <w:sdtEndPr/>
        <w:sdtContent>
          <w:r>
            <w:rPr>
              <w:rFonts w:cs="Cambria" w:hint="eastAsia"/>
              <w:color w:val="000000" w:themeColor="text1"/>
            </w:rPr>
            <w:t>无</w:t>
          </w:r>
        </w:sdtContent>
      </w:sdt>
    </w:p>
    <w:p w14:paraId="5A62F752" w14:textId="77777777" w:rsidR="002D0AE7" w:rsidRDefault="00333EBB">
      <w:pPr>
        <w:pStyle w:val="3"/>
        <w:numPr>
          <w:ilvl w:val="0"/>
          <w:numId w:val="80"/>
        </w:numPr>
        <w:rPr>
          <w:rFonts w:ascii="宋体" w:hAnsi="宋体" w:hint="eastAsia"/>
          <w:color w:val="000000" w:themeColor="text1"/>
        </w:rPr>
      </w:pPr>
      <w:r>
        <w:rPr>
          <w:rFonts w:ascii="宋体" w:hAnsi="宋体" w:hint="eastAsia"/>
          <w:color w:val="000000" w:themeColor="text1"/>
        </w:rPr>
        <w:t>关联交易情况</w:t>
      </w:r>
    </w:p>
    <w:p w14:paraId="21B6F3D6" w14:textId="77777777" w:rsidR="002D0AE7" w:rsidRDefault="00333EBB">
      <w:pPr>
        <w:pStyle w:val="4"/>
        <w:numPr>
          <w:ilvl w:val="0"/>
          <w:numId w:val="81"/>
        </w:numPr>
        <w:tabs>
          <w:tab w:val="left" w:pos="616"/>
        </w:tabs>
        <w:rPr>
          <w:rFonts w:ascii="宋体" w:hAnsi="宋体" w:hint="eastAsia"/>
          <w:color w:val="000000" w:themeColor="text1"/>
        </w:rPr>
      </w:pPr>
      <w:r>
        <w:rPr>
          <w:rFonts w:ascii="宋体" w:hAnsi="宋体" w:hint="eastAsia"/>
          <w:color w:val="000000" w:themeColor="text1"/>
        </w:rPr>
        <w:t>购销商品、提供和接受劳务的关联交易</w:t>
      </w:r>
    </w:p>
    <w:p w14:paraId="02B51391" w14:textId="77777777" w:rsidR="002D0AE7" w:rsidRDefault="00333EBB">
      <w:pPr>
        <w:rPr>
          <w:rFonts w:hint="eastAsia"/>
          <w:color w:val="000000" w:themeColor="text1"/>
        </w:rPr>
      </w:pPr>
      <w:bookmarkStart w:id="234" w:name="_Hlk137124040"/>
      <w:r>
        <w:rPr>
          <w:rFonts w:hint="eastAsia"/>
          <w:color w:val="000000" w:themeColor="text1"/>
        </w:rPr>
        <w:t>采购商品</w:t>
      </w:r>
      <w:r>
        <w:rPr>
          <w:rFonts w:hint="eastAsia"/>
          <w:color w:val="000000" w:themeColor="text1"/>
        </w:rPr>
        <w:t>/</w:t>
      </w:r>
      <w:r>
        <w:rPr>
          <w:rFonts w:hint="eastAsia"/>
          <w:color w:val="000000" w:themeColor="text1"/>
        </w:rPr>
        <w:t>接受劳务情况表</w:t>
      </w:r>
    </w:p>
    <w:sdt>
      <w:sdtPr>
        <w:rPr>
          <w:color w:val="000000" w:themeColor="text1"/>
        </w:rPr>
        <w:alias w:val="是否适用：采购商品或接受劳务情况表[双击切换]"/>
        <w:tag w:val="_GBC_af7e43b831354837910c4edde708e04a"/>
        <w:id w:val="606388763"/>
        <w:placeholder>
          <w:docPart w:val="GBC22222222222222222222222222222"/>
        </w:placeholder>
      </w:sdtPr>
      <w:sdtEndPr/>
      <w:sdtContent>
        <w:p w14:paraId="77BC4557"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0CBD0622" w14:textId="77777777" w:rsidR="002D0AE7" w:rsidRDefault="00333EBB">
      <w:pPr>
        <w:jc w:val="right"/>
        <w:rPr>
          <w:rFonts w:cs="Cambria" w:hint="eastAsia"/>
          <w:b/>
          <w:bCs/>
          <w:color w:val="000000" w:themeColor="text1"/>
        </w:rPr>
      </w:pPr>
      <w:r>
        <w:rPr>
          <w:rFonts w:cs="Cambria" w:hint="eastAsia"/>
          <w:color w:val="000000" w:themeColor="text1"/>
        </w:rPr>
        <w:t>单位：</w:t>
      </w:r>
      <w:sdt>
        <w:sdtPr>
          <w:rPr>
            <w:rFonts w:cs="Cambria" w:hint="eastAsia"/>
            <w:color w:val="000000" w:themeColor="text1"/>
          </w:rPr>
          <w:alias w:val="单位：采购商品接受劳务情况表"/>
          <w:tag w:val="_GBC_45ae86deace34388a904346eae355be1"/>
          <w:id w:val="-2934247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color w:val="000000" w:themeColor="text1"/>
            </w:rPr>
            <w:t>元</w:t>
          </w:r>
        </w:sdtContent>
      </w:sdt>
      <w:r>
        <w:rPr>
          <w:rFonts w:cs="Cambria" w:hint="eastAsia"/>
          <w:color w:val="000000" w:themeColor="text1"/>
        </w:rPr>
        <w:t>币种：</w:t>
      </w:r>
      <w:sdt>
        <w:sdtPr>
          <w:rPr>
            <w:rFonts w:cs="Cambria" w:hint="eastAsia"/>
            <w:color w:val="000000" w:themeColor="text1"/>
          </w:rPr>
          <w:alias w:val="币种：采购商品接受劳务情况表"/>
          <w:tag w:val="_GBC_ac9ca64b68bd493da1d7e7c719a6104c"/>
          <w:id w:val="173203490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color w:val="000000" w:themeColor="text1"/>
            </w:rPr>
            <w:t>人民币</w:t>
          </w:r>
        </w:sdtContent>
      </w:sdt>
    </w:p>
    <w:tbl>
      <w:tblPr>
        <w:tblW w:w="6352"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81"/>
        <w:gridCol w:w="2125"/>
        <w:gridCol w:w="1435"/>
        <w:gridCol w:w="1560"/>
        <w:gridCol w:w="982"/>
        <w:gridCol w:w="1426"/>
      </w:tblGrid>
      <w:tr w:rsidR="002D0AE7" w14:paraId="7C354206" w14:textId="77777777">
        <w:trPr>
          <w:cantSplit/>
          <w:trHeight w:val="295"/>
          <w:jc w:val="center"/>
        </w:trPr>
        <w:sdt>
          <w:sdtPr>
            <w:rPr>
              <w:color w:val="000000" w:themeColor="text1"/>
              <w:sz w:val="21"/>
              <w:szCs w:val="21"/>
            </w:rPr>
            <w:tag w:val="_PLD_c09a7dc97d494a8fb07056392e54876a"/>
            <w:id w:val="1212917402"/>
          </w:sdtPr>
          <w:sdtEndPr/>
          <w:sdtContent>
            <w:tc>
              <w:tcPr>
                <w:tcW w:w="1642" w:type="pct"/>
                <w:tcBorders>
                  <w:top w:val="single" w:sz="4" w:space="0" w:color="auto"/>
                  <w:left w:val="single" w:sz="4" w:space="0" w:color="auto"/>
                  <w:bottom w:val="single" w:sz="4" w:space="0" w:color="auto"/>
                  <w:right w:val="single" w:sz="4" w:space="0" w:color="auto"/>
                </w:tcBorders>
                <w:shd w:val="clear" w:color="auto" w:fill="auto"/>
                <w:vAlign w:val="center"/>
              </w:tcPr>
              <w:p w14:paraId="4AA10391" w14:textId="77777777" w:rsidR="002D0AE7" w:rsidRDefault="00333EBB">
                <w:pPr>
                  <w:jc w:val="center"/>
                  <w:rPr>
                    <w:rFonts w:cs="Cambria" w:hint="eastAsia"/>
                    <w:color w:val="000000" w:themeColor="text1"/>
                    <w:sz w:val="21"/>
                    <w:szCs w:val="21"/>
                  </w:rPr>
                </w:pPr>
                <w:r>
                  <w:rPr>
                    <w:rFonts w:cs="Cambria" w:hint="eastAsia"/>
                    <w:color w:val="000000" w:themeColor="text1"/>
                    <w:sz w:val="21"/>
                    <w:szCs w:val="21"/>
                  </w:rPr>
                  <w:t>关联方</w:t>
                </w:r>
              </w:p>
            </w:tc>
          </w:sdtContent>
        </w:sdt>
        <w:sdt>
          <w:sdtPr>
            <w:rPr>
              <w:color w:val="000000" w:themeColor="text1"/>
              <w:sz w:val="21"/>
              <w:szCs w:val="21"/>
            </w:rPr>
            <w:tag w:val="_PLD_6f5fdab53c694e56963e5e189cd0c28d"/>
            <w:id w:val="-926189697"/>
          </w:sdtPr>
          <w:sdtEndPr/>
          <w:sdtContent>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14:paraId="1E12BAE1" w14:textId="77777777" w:rsidR="002D0AE7" w:rsidRDefault="00333EBB">
                <w:pPr>
                  <w:jc w:val="center"/>
                  <w:rPr>
                    <w:rFonts w:cs="Cambria" w:hint="eastAsia"/>
                    <w:color w:val="000000" w:themeColor="text1"/>
                    <w:sz w:val="21"/>
                    <w:szCs w:val="21"/>
                  </w:rPr>
                </w:pPr>
                <w:r>
                  <w:rPr>
                    <w:rFonts w:cs="Cambria" w:hint="eastAsia"/>
                    <w:color w:val="000000" w:themeColor="text1"/>
                    <w:sz w:val="21"/>
                    <w:szCs w:val="21"/>
                  </w:rPr>
                  <w:t>关联交易内容</w:t>
                </w:r>
              </w:p>
            </w:tc>
          </w:sdtContent>
        </w:sdt>
        <w:sdt>
          <w:sdtPr>
            <w:rPr>
              <w:color w:val="000000" w:themeColor="text1"/>
              <w:sz w:val="21"/>
              <w:szCs w:val="21"/>
            </w:rPr>
            <w:tag w:val="_PLD_1237b998b2a64f30a674dff433b841b0"/>
            <w:id w:val="-1954320262"/>
          </w:sdtPr>
          <w:sdtEndPr/>
          <w:sdtContent>
            <w:tc>
              <w:tcPr>
                <w:tcW w:w="640" w:type="pct"/>
                <w:tcBorders>
                  <w:top w:val="single" w:sz="4" w:space="0" w:color="auto"/>
                  <w:left w:val="single" w:sz="4" w:space="0" w:color="auto"/>
                  <w:right w:val="single" w:sz="4" w:space="0" w:color="auto"/>
                </w:tcBorders>
                <w:shd w:val="clear" w:color="auto" w:fill="auto"/>
                <w:vAlign w:val="center"/>
              </w:tcPr>
              <w:p w14:paraId="4F97FE1D" w14:textId="77777777" w:rsidR="002D0AE7" w:rsidRDefault="00333EBB">
                <w:pPr>
                  <w:jc w:val="center"/>
                  <w:rPr>
                    <w:rFonts w:cs="Cambria" w:hint="eastAsia"/>
                    <w:color w:val="000000" w:themeColor="text1"/>
                    <w:sz w:val="21"/>
                    <w:szCs w:val="21"/>
                  </w:rPr>
                </w:pPr>
                <w:r>
                  <w:rPr>
                    <w:rFonts w:cs="Cambria" w:hint="eastAsia"/>
                    <w:color w:val="000000" w:themeColor="text1"/>
                    <w:sz w:val="21"/>
                    <w:szCs w:val="21"/>
                  </w:rPr>
                  <w:t>本期发生额</w:t>
                </w:r>
              </w:p>
            </w:tc>
          </w:sdtContent>
        </w:sdt>
        <w:sdt>
          <w:sdtPr>
            <w:rPr>
              <w:rFonts w:hint="eastAsia"/>
              <w:color w:val="000000" w:themeColor="text1"/>
              <w:sz w:val="21"/>
              <w:szCs w:val="21"/>
            </w:rPr>
            <w:tag w:val="_PLD_b1a311757d3a457e811c8d8ffb0b6ac0"/>
            <w:id w:val="1653718519"/>
          </w:sdtPr>
          <w:sdtEndPr/>
          <w:sdtContent>
            <w:tc>
              <w:tcPr>
                <w:tcW w:w="696" w:type="pct"/>
                <w:tcBorders>
                  <w:top w:val="single" w:sz="4" w:space="0" w:color="auto"/>
                  <w:left w:val="single" w:sz="4" w:space="0" w:color="auto"/>
                  <w:right w:val="single" w:sz="4" w:space="0" w:color="auto"/>
                </w:tcBorders>
                <w:vAlign w:val="center"/>
              </w:tcPr>
              <w:p w14:paraId="14FC771A" w14:textId="77777777" w:rsidR="002D0AE7" w:rsidRDefault="00333EBB">
                <w:pPr>
                  <w:jc w:val="center"/>
                  <w:rPr>
                    <w:rFonts w:hint="eastAsia"/>
                    <w:color w:val="000000" w:themeColor="text1"/>
                    <w:sz w:val="21"/>
                    <w:szCs w:val="21"/>
                  </w:rPr>
                </w:pPr>
                <w:r>
                  <w:rPr>
                    <w:rFonts w:hint="eastAsia"/>
                    <w:color w:val="000000" w:themeColor="text1"/>
                    <w:sz w:val="21"/>
                    <w:szCs w:val="21"/>
                  </w:rPr>
                  <w:t>获批的交易额度（如适用）</w:t>
                </w:r>
              </w:p>
            </w:tc>
          </w:sdtContent>
        </w:sdt>
        <w:sdt>
          <w:sdtPr>
            <w:rPr>
              <w:color w:val="000000" w:themeColor="text1"/>
              <w:sz w:val="21"/>
              <w:szCs w:val="21"/>
            </w:rPr>
            <w:tag w:val="_PLD_c145e8a0e9404dc7b7dab215447b876b"/>
            <w:id w:val="547572992"/>
          </w:sdtPr>
          <w:sdtEndPr>
            <w:rPr>
              <w:rFonts w:hint="eastAsia"/>
            </w:rPr>
          </w:sdtEndPr>
          <w:sdtContent>
            <w:tc>
              <w:tcPr>
                <w:tcW w:w="438" w:type="pct"/>
                <w:tcBorders>
                  <w:top w:val="single" w:sz="4" w:space="0" w:color="auto"/>
                  <w:left w:val="single" w:sz="4" w:space="0" w:color="auto"/>
                  <w:right w:val="single" w:sz="4" w:space="0" w:color="auto"/>
                </w:tcBorders>
                <w:vAlign w:val="center"/>
              </w:tcPr>
              <w:p w14:paraId="3471EEBF" w14:textId="77777777" w:rsidR="002D0AE7" w:rsidRDefault="00333EBB">
                <w:pPr>
                  <w:jc w:val="center"/>
                  <w:rPr>
                    <w:rFonts w:hint="eastAsia"/>
                    <w:color w:val="000000" w:themeColor="text1"/>
                    <w:sz w:val="21"/>
                    <w:szCs w:val="21"/>
                  </w:rPr>
                </w:pPr>
                <w:r>
                  <w:rPr>
                    <w:color w:val="000000" w:themeColor="text1"/>
                    <w:sz w:val="21"/>
                    <w:szCs w:val="21"/>
                  </w:rPr>
                  <w:t>是否超过交易额度</w:t>
                </w:r>
                <w:r>
                  <w:rPr>
                    <w:rFonts w:hint="eastAsia"/>
                    <w:color w:val="000000" w:themeColor="text1"/>
                    <w:sz w:val="21"/>
                    <w:szCs w:val="21"/>
                  </w:rPr>
                  <w:t>（如适用）</w:t>
                </w:r>
              </w:p>
            </w:tc>
          </w:sdtContent>
        </w:sdt>
        <w:sdt>
          <w:sdtPr>
            <w:rPr>
              <w:color w:val="000000" w:themeColor="text1"/>
              <w:sz w:val="21"/>
              <w:szCs w:val="21"/>
            </w:rPr>
            <w:tag w:val="_PLD_f7d77ff6fdf642199e4c9fc12f00610d"/>
            <w:id w:val="1171300642"/>
          </w:sdtPr>
          <w:sdtEndPr/>
          <w:sdtContent>
            <w:tc>
              <w:tcPr>
                <w:tcW w:w="636" w:type="pct"/>
                <w:tcBorders>
                  <w:top w:val="single" w:sz="4" w:space="0" w:color="auto"/>
                  <w:left w:val="single" w:sz="4" w:space="0" w:color="auto"/>
                  <w:right w:val="single" w:sz="4" w:space="0" w:color="auto"/>
                </w:tcBorders>
                <w:shd w:val="clear" w:color="auto" w:fill="auto"/>
                <w:vAlign w:val="center"/>
              </w:tcPr>
              <w:p w14:paraId="11E0E81C" w14:textId="77777777" w:rsidR="002D0AE7" w:rsidRDefault="00333EBB">
                <w:pPr>
                  <w:jc w:val="center"/>
                  <w:rPr>
                    <w:rFonts w:cs="Cambria" w:hint="eastAsia"/>
                    <w:color w:val="000000" w:themeColor="text1"/>
                    <w:sz w:val="21"/>
                    <w:szCs w:val="21"/>
                  </w:rPr>
                </w:pPr>
                <w:r>
                  <w:rPr>
                    <w:rFonts w:cs="Cambria" w:hint="eastAsia"/>
                    <w:color w:val="000000" w:themeColor="text1"/>
                    <w:sz w:val="21"/>
                    <w:szCs w:val="21"/>
                  </w:rPr>
                  <w:t>上期发生额</w:t>
                </w:r>
              </w:p>
            </w:tc>
          </w:sdtContent>
        </w:sdt>
      </w:tr>
      <w:tr w:rsidR="002D0AE7" w14:paraId="2DD766EC" w14:textId="77777777">
        <w:trPr>
          <w:cantSplit/>
          <w:trHeight w:val="295"/>
          <w:jc w:val="center"/>
        </w:trPr>
        <w:tc>
          <w:tcPr>
            <w:tcW w:w="1642" w:type="pct"/>
            <w:tcBorders>
              <w:top w:val="single" w:sz="4" w:space="0" w:color="auto"/>
              <w:left w:val="single" w:sz="4" w:space="0" w:color="auto"/>
              <w:bottom w:val="single" w:sz="4" w:space="0" w:color="auto"/>
              <w:right w:val="single" w:sz="4" w:space="0" w:color="auto"/>
            </w:tcBorders>
            <w:shd w:val="clear" w:color="auto" w:fill="auto"/>
            <w:vAlign w:val="center"/>
          </w:tcPr>
          <w:p w14:paraId="2232E7CD" w14:textId="77777777" w:rsidR="002D0AE7" w:rsidRDefault="00333EBB">
            <w:pPr>
              <w:rPr>
                <w:rFonts w:hint="eastAsia"/>
                <w:color w:val="000000" w:themeColor="text1"/>
                <w:sz w:val="21"/>
                <w:szCs w:val="21"/>
              </w:rPr>
            </w:pPr>
            <w:r>
              <w:rPr>
                <w:rFonts w:hint="eastAsia"/>
                <w:sz w:val="21"/>
                <w:szCs w:val="21"/>
              </w:rPr>
              <w:t>江西百思康瑞药业有限公司</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14:paraId="15F3749F" w14:textId="77777777" w:rsidR="002D0AE7" w:rsidRDefault="00333EBB">
            <w:pPr>
              <w:rPr>
                <w:rFonts w:hint="eastAsia"/>
                <w:color w:val="000000" w:themeColor="text1"/>
                <w:sz w:val="21"/>
                <w:szCs w:val="21"/>
              </w:rPr>
            </w:pPr>
            <w:r>
              <w:rPr>
                <w:rFonts w:hint="eastAsia"/>
                <w:sz w:val="21"/>
                <w:szCs w:val="21"/>
              </w:rPr>
              <w:t>原料、加工费</w:t>
            </w:r>
          </w:p>
        </w:tc>
        <w:tc>
          <w:tcPr>
            <w:tcW w:w="640" w:type="pct"/>
            <w:tcBorders>
              <w:top w:val="single" w:sz="4" w:space="0" w:color="auto"/>
              <w:left w:val="single" w:sz="4" w:space="0" w:color="auto"/>
              <w:right w:val="single" w:sz="4" w:space="0" w:color="auto"/>
            </w:tcBorders>
            <w:shd w:val="clear" w:color="auto" w:fill="auto"/>
            <w:vAlign w:val="center"/>
          </w:tcPr>
          <w:p w14:paraId="37CDC6BD"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75,592,370.79</w:t>
            </w:r>
          </w:p>
        </w:tc>
        <w:tc>
          <w:tcPr>
            <w:tcW w:w="696" w:type="pct"/>
            <w:tcBorders>
              <w:top w:val="single" w:sz="4" w:space="0" w:color="auto"/>
              <w:left w:val="single" w:sz="4" w:space="0" w:color="auto"/>
              <w:right w:val="single" w:sz="4" w:space="0" w:color="auto"/>
            </w:tcBorders>
            <w:vAlign w:val="center"/>
          </w:tcPr>
          <w:p w14:paraId="6C4E055E"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221,238,938.05</w:t>
            </w:r>
          </w:p>
        </w:tc>
        <w:tc>
          <w:tcPr>
            <w:tcW w:w="438" w:type="pct"/>
            <w:tcBorders>
              <w:top w:val="single" w:sz="4" w:space="0" w:color="auto"/>
              <w:left w:val="single" w:sz="4" w:space="0" w:color="auto"/>
              <w:right w:val="single" w:sz="4" w:space="0" w:color="auto"/>
            </w:tcBorders>
            <w:vAlign w:val="center"/>
          </w:tcPr>
          <w:p w14:paraId="0830D6A5" w14:textId="77777777" w:rsidR="002D0AE7" w:rsidRDefault="00333EBB">
            <w:pPr>
              <w:jc w:val="center"/>
              <w:rPr>
                <w:rFonts w:hint="eastAsia"/>
                <w:color w:val="000000" w:themeColor="text1"/>
                <w:sz w:val="21"/>
                <w:szCs w:val="21"/>
              </w:rPr>
            </w:pPr>
            <w:r>
              <w:rPr>
                <w:rFonts w:hint="eastAsia"/>
                <w:sz w:val="21"/>
                <w:szCs w:val="21"/>
              </w:rPr>
              <w:t>否</w:t>
            </w:r>
          </w:p>
        </w:tc>
        <w:tc>
          <w:tcPr>
            <w:tcW w:w="636" w:type="pct"/>
            <w:tcBorders>
              <w:top w:val="single" w:sz="4" w:space="0" w:color="auto"/>
              <w:left w:val="single" w:sz="4" w:space="0" w:color="auto"/>
              <w:right w:val="single" w:sz="4" w:space="0" w:color="auto"/>
            </w:tcBorders>
            <w:shd w:val="clear" w:color="auto" w:fill="auto"/>
            <w:vAlign w:val="center"/>
          </w:tcPr>
          <w:p w14:paraId="54A73635"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7,984,559.30</w:t>
            </w:r>
          </w:p>
        </w:tc>
      </w:tr>
      <w:tr w:rsidR="002D0AE7" w14:paraId="79439D9A" w14:textId="77777777">
        <w:trPr>
          <w:cantSplit/>
          <w:trHeight w:val="295"/>
          <w:jc w:val="center"/>
        </w:trPr>
        <w:tc>
          <w:tcPr>
            <w:tcW w:w="1642" w:type="pct"/>
            <w:tcBorders>
              <w:top w:val="single" w:sz="4" w:space="0" w:color="auto"/>
              <w:left w:val="single" w:sz="4" w:space="0" w:color="auto"/>
              <w:bottom w:val="single" w:sz="4" w:space="0" w:color="auto"/>
              <w:right w:val="single" w:sz="4" w:space="0" w:color="auto"/>
            </w:tcBorders>
            <w:shd w:val="clear" w:color="auto" w:fill="auto"/>
            <w:vAlign w:val="center"/>
          </w:tcPr>
          <w:p w14:paraId="3B943324" w14:textId="77777777" w:rsidR="002D0AE7" w:rsidRDefault="00333EBB">
            <w:pPr>
              <w:rPr>
                <w:rFonts w:hint="eastAsia"/>
                <w:color w:val="000000" w:themeColor="text1"/>
                <w:sz w:val="21"/>
                <w:szCs w:val="21"/>
              </w:rPr>
            </w:pPr>
            <w:r>
              <w:rPr>
                <w:rFonts w:hint="eastAsia"/>
                <w:sz w:val="21"/>
                <w:szCs w:val="21"/>
              </w:rPr>
              <w:t>天津力生制药股份有限公司</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14:paraId="3F7AC9E4" w14:textId="77777777" w:rsidR="002D0AE7" w:rsidRDefault="00333EBB">
            <w:pPr>
              <w:rPr>
                <w:rFonts w:hint="eastAsia"/>
                <w:color w:val="000000" w:themeColor="text1"/>
                <w:sz w:val="21"/>
                <w:szCs w:val="21"/>
              </w:rPr>
            </w:pPr>
            <w:r>
              <w:rPr>
                <w:rFonts w:hint="eastAsia"/>
                <w:sz w:val="21"/>
                <w:szCs w:val="21"/>
              </w:rPr>
              <w:t>制剂、加工费</w:t>
            </w:r>
          </w:p>
        </w:tc>
        <w:tc>
          <w:tcPr>
            <w:tcW w:w="640" w:type="pct"/>
            <w:tcBorders>
              <w:top w:val="single" w:sz="4" w:space="0" w:color="auto"/>
              <w:left w:val="single" w:sz="4" w:space="0" w:color="auto"/>
              <w:right w:val="single" w:sz="4" w:space="0" w:color="auto"/>
            </w:tcBorders>
            <w:shd w:val="clear" w:color="auto" w:fill="auto"/>
            <w:vAlign w:val="center"/>
          </w:tcPr>
          <w:p w14:paraId="649FF330"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7,002,364.52</w:t>
            </w:r>
          </w:p>
        </w:tc>
        <w:tc>
          <w:tcPr>
            <w:tcW w:w="696" w:type="pct"/>
            <w:tcBorders>
              <w:top w:val="single" w:sz="4" w:space="0" w:color="auto"/>
              <w:left w:val="single" w:sz="4" w:space="0" w:color="auto"/>
              <w:right w:val="single" w:sz="4" w:space="0" w:color="auto"/>
            </w:tcBorders>
            <w:vAlign w:val="center"/>
          </w:tcPr>
          <w:p w14:paraId="67415D97"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44,247,787.61</w:t>
            </w:r>
          </w:p>
        </w:tc>
        <w:tc>
          <w:tcPr>
            <w:tcW w:w="438" w:type="pct"/>
            <w:tcBorders>
              <w:top w:val="single" w:sz="4" w:space="0" w:color="auto"/>
              <w:left w:val="single" w:sz="4" w:space="0" w:color="auto"/>
              <w:right w:val="single" w:sz="4" w:space="0" w:color="auto"/>
            </w:tcBorders>
            <w:vAlign w:val="center"/>
          </w:tcPr>
          <w:p w14:paraId="51B04BF0" w14:textId="77777777" w:rsidR="002D0AE7" w:rsidRDefault="00333EBB">
            <w:pPr>
              <w:jc w:val="center"/>
              <w:rPr>
                <w:rFonts w:hint="eastAsia"/>
                <w:color w:val="000000" w:themeColor="text1"/>
                <w:sz w:val="21"/>
                <w:szCs w:val="21"/>
              </w:rPr>
            </w:pPr>
            <w:r>
              <w:rPr>
                <w:rFonts w:hint="eastAsia"/>
                <w:sz w:val="21"/>
                <w:szCs w:val="21"/>
              </w:rPr>
              <w:t>否</w:t>
            </w:r>
          </w:p>
        </w:tc>
        <w:tc>
          <w:tcPr>
            <w:tcW w:w="636" w:type="pct"/>
            <w:tcBorders>
              <w:top w:val="single" w:sz="4" w:space="0" w:color="auto"/>
              <w:left w:val="single" w:sz="4" w:space="0" w:color="auto"/>
              <w:right w:val="single" w:sz="4" w:space="0" w:color="auto"/>
            </w:tcBorders>
            <w:shd w:val="clear" w:color="auto" w:fill="auto"/>
            <w:vAlign w:val="center"/>
          </w:tcPr>
          <w:p w14:paraId="735E071B"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21,520,119.24</w:t>
            </w:r>
          </w:p>
        </w:tc>
      </w:tr>
      <w:tr w:rsidR="002D0AE7" w14:paraId="3573F1F2" w14:textId="77777777">
        <w:trPr>
          <w:cantSplit/>
          <w:trHeight w:val="295"/>
          <w:jc w:val="center"/>
        </w:trPr>
        <w:tc>
          <w:tcPr>
            <w:tcW w:w="1642" w:type="pct"/>
            <w:tcBorders>
              <w:top w:val="single" w:sz="4" w:space="0" w:color="auto"/>
              <w:left w:val="single" w:sz="4" w:space="0" w:color="auto"/>
              <w:bottom w:val="single" w:sz="4" w:space="0" w:color="auto"/>
              <w:right w:val="single" w:sz="4" w:space="0" w:color="auto"/>
            </w:tcBorders>
            <w:shd w:val="clear" w:color="auto" w:fill="auto"/>
            <w:vAlign w:val="center"/>
          </w:tcPr>
          <w:p w14:paraId="32021475" w14:textId="77777777" w:rsidR="002D0AE7" w:rsidRDefault="00333EBB">
            <w:pPr>
              <w:rPr>
                <w:rFonts w:hint="eastAsia"/>
                <w:color w:val="000000" w:themeColor="text1"/>
                <w:sz w:val="21"/>
                <w:szCs w:val="21"/>
              </w:rPr>
            </w:pPr>
            <w:r>
              <w:rPr>
                <w:rFonts w:hint="eastAsia"/>
                <w:sz w:val="21"/>
                <w:szCs w:val="21"/>
              </w:rPr>
              <w:t>津药瑞达</w:t>
            </w:r>
            <w:r>
              <w:rPr>
                <w:rFonts w:cs="Arial"/>
                <w:sz w:val="21"/>
                <w:szCs w:val="21"/>
              </w:rPr>
              <w:t>(</w:t>
            </w:r>
            <w:r>
              <w:rPr>
                <w:rFonts w:hint="eastAsia"/>
                <w:sz w:val="21"/>
                <w:szCs w:val="21"/>
              </w:rPr>
              <w:t>许昌</w:t>
            </w:r>
            <w:r>
              <w:rPr>
                <w:rFonts w:cs="Arial"/>
                <w:sz w:val="21"/>
                <w:szCs w:val="21"/>
              </w:rPr>
              <w:t>)</w:t>
            </w:r>
            <w:r>
              <w:rPr>
                <w:rFonts w:hint="eastAsia"/>
                <w:sz w:val="21"/>
                <w:szCs w:val="21"/>
              </w:rPr>
              <w:t>生物科技有限公司</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14:paraId="14D79B8E" w14:textId="77777777" w:rsidR="002D0AE7" w:rsidRDefault="00333EBB">
            <w:pPr>
              <w:rPr>
                <w:rFonts w:hint="eastAsia"/>
                <w:color w:val="000000" w:themeColor="text1"/>
                <w:sz w:val="21"/>
                <w:szCs w:val="21"/>
              </w:rPr>
            </w:pPr>
            <w:r>
              <w:rPr>
                <w:rFonts w:hint="eastAsia"/>
                <w:sz w:val="21"/>
                <w:szCs w:val="21"/>
              </w:rPr>
              <w:t>原料</w:t>
            </w:r>
          </w:p>
        </w:tc>
        <w:tc>
          <w:tcPr>
            <w:tcW w:w="640" w:type="pct"/>
            <w:tcBorders>
              <w:top w:val="single" w:sz="4" w:space="0" w:color="auto"/>
              <w:left w:val="single" w:sz="4" w:space="0" w:color="auto"/>
              <w:right w:val="single" w:sz="4" w:space="0" w:color="auto"/>
            </w:tcBorders>
            <w:shd w:val="clear" w:color="auto" w:fill="auto"/>
            <w:vAlign w:val="center"/>
          </w:tcPr>
          <w:p w14:paraId="2E776244"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110,973.45</w:t>
            </w:r>
          </w:p>
        </w:tc>
        <w:tc>
          <w:tcPr>
            <w:tcW w:w="696" w:type="pct"/>
            <w:vMerge w:val="restart"/>
            <w:tcBorders>
              <w:top w:val="single" w:sz="4" w:space="0" w:color="auto"/>
              <w:left w:val="single" w:sz="4" w:space="0" w:color="auto"/>
              <w:right w:val="single" w:sz="4" w:space="0" w:color="auto"/>
            </w:tcBorders>
            <w:vAlign w:val="center"/>
          </w:tcPr>
          <w:p w14:paraId="35018FB7"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61,946,902.65</w:t>
            </w:r>
          </w:p>
        </w:tc>
        <w:tc>
          <w:tcPr>
            <w:tcW w:w="438" w:type="pct"/>
            <w:tcBorders>
              <w:top w:val="single" w:sz="4" w:space="0" w:color="auto"/>
              <w:left w:val="single" w:sz="4" w:space="0" w:color="auto"/>
              <w:right w:val="single" w:sz="4" w:space="0" w:color="auto"/>
            </w:tcBorders>
            <w:vAlign w:val="center"/>
          </w:tcPr>
          <w:p w14:paraId="17F31E20" w14:textId="77777777" w:rsidR="002D0AE7" w:rsidRDefault="00333EBB">
            <w:pPr>
              <w:jc w:val="center"/>
              <w:rPr>
                <w:rFonts w:hint="eastAsia"/>
                <w:color w:val="000000" w:themeColor="text1"/>
                <w:sz w:val="21"/>
                <w:szCs w:val="21"/>
              </w:rPr>
            </w:pPr>
            <w:r>
              <w:rPr>
                <w:rFonts w:hint="eastAsia"/>
                <w:sz w:val="21"/>
                <w:szCs w:val="21"/>
              </w:rPr>
              <w:t>否</w:t>
            </w:r>
          </w:p>
        </w:tc>
        <w:tc>
          <w:tcPr>
            <w:tcW w:w="636" w:type="pct"/>
            <w:tcBorders>
              <w:top w:val="single" w:sz="4" w:space="0" w:color="auto"/>
              <w:left w:val="single" w:sz="4" w:space="0" w:color="auto"/>
              <w:right w:val="single" w:sz="4" w:space="0" w:color="auto"/>
            </w:tcBorders>
            <w:shd w:val="clear" w:color="auto" w:fill="auto"/>
            <w:vAlign w:val="center"/>
          </w:tcPr>
          <w:p w14:paraId="64D75F67"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3,478,407.04</w:t>
            </w:r>
          </w:p>
        </w:tc>
      </w:tr>
      <w:tr w:rsidR="002D0AE7" w14:paraId="27451125" w14:textId="77777777">
        <w:trPr>
          <w:cantSplit/>
          <w:trHeight w:val="295"/>
          <w:jc w:val="center"/>
        </w:trPr>
        <w:tc>
          <w:tcPr>
            <w:tcW w:w="1642" w:type="pct"/>
            <w:tcBorders>
              <w:top w:val="single" w:sz="4" w:space="0" w:color="auto"/>
              <w:left w:val="single" w:sz="4" w:space="0" w:color="auto"/>
              <w:bottom w:val="single" w:sz="4" w:space="0" w:color="auto"/>
              <w:right w:val="single" w:sz="4" w:space="0" w:color="auto"/>
            </w:tcBorders>
            <w:shd w:val="clear" w:color="auto" w:fill="auto"/>
            <w:vAlign w:val="center"/>
          </w:tcPr>
          <w:p w14:paraId="3C15B099" w14:textId="77777777" w:rsidR="002D0AE7" w:rsidRDefault="00333EBB">
            <w:pPr>
              <w:rPr>
                <w:rFonts w:hint="eastAsia"/>
                <w:color w:val="000000" w:themeColor="text1"/>
                <w:sz w:val="21"/>
                <w:szCs w:val="21"/>
              </w:rPr>
            </w:pPr>
            <w:r>
              <w:rPr>
                <w:rFonts w:hint="eastAsia"/>
                <w:sz w:val="21"/>
                <w:szCs w:val="21"/>
              </w:rPr>
              <w:t>天津宜药印务有限公司</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14:paraId="2724B5B3" w14:textId="77777777" w:rsidR="002D0AE7" w:rsidRDefault="00333EBB">
            <w:pPr>
              <w:rPr>
                <w:rFonts w:hint="eastAsia"/>
                <w:color w:val="000000" w:themeColor="text1"/>
                <w:sz w:val="21"/>
                <w:szCs w:val="21"/>
              </w:rPr>
            </w:pPr>
            <w:r>
              <w:rPr>
                <w:rFonts w:hint="eastAsia"/>
                <w:sz w:val="21"/>
                <w:szCs w:val="21"/>
              </w:rPr>
              <w:t>包材</w:t>
            </w:r>
          </w:p>
        </w:tc>
        <w:tc>
          <w:tcPr>
            <w:tcW w:w="640" w:type="pct"/>
            <w:tcBorders>
              <w:top w:val="single" w:sz="4" w:space="0" w:color="auto"/>
              <w:left w:val="single" w:sz="4" w:space="0" w:color="auto"/>
              <w:right w:val="single" w:sz="4" w:space="0" w:color="auto"/>
            </w:tcBorders>
            <w:shd w:val="clear" w:color="auto" w:fill="auto"/>
            <w:vAlign w:val="center"/>
          </w:tcPr>
          <w:p w14:paraId="465B5EE1"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922,872.78</w:t>
            </w:r>
          </w:p>
        </w:tc>
        <w:tc>
          <w:tcPr>
            <w:tcW w:w="696" w:type="pct"/>
            <w:vMerge/>
            <w:tcBorders>
              <w:left w:val="single" w:sz="4" w:space="0" w:color="auto"/>
              <w:right w:val="single" w:sz="4" w:space="0" w:color="auto"/>
            </w:tcBorders>
            <w:vAlign w:val="center"/>
          </w:tcPr>
          <w:p w14:paraId="3A53C930" w14:textId="77777777" w:rsidR="002D0AE7" w:rsidRDefault="002D0AE7">
            <w:pPr>
              <w:jc w:val="right"/>
              <w:rPr>
                <w:rFonts w:hint="eastAsia"/>
                <w:color w:val="000000" w:themeColor="text1"/>
                <w:sz w:val="21"/>
                <w:szCs w:val="21"/>
              </w:rPr>
            </w:pPr>
          </w:p>
        </w:tc>
        <w:tc>
          <w:tcPr>
            <w:tcW w:w="438" w:type="pct"/>
            <w:tcBorders>
              <w:top w:val="single" w:sz="4" w:space="0" w:color="auto"/>
              <w:left w:val="single" w:sz="4" w:space="0" w:color="auto"/>
              <w:right w:val="single" w:sz="4" w:space="0" w:color="auto"/>
            </w:tcBorders>
            <w:vAlign w:val="center"/>
          </w:tcPr>
          <w:p w14:paraId="3B59FC0C" w14:textId="77777777" w:rsidR="002D0AE7" w:rsidRDefault="00333EBB">
            <w:pPr>
              <w:jc w:val="center"/>
              <w:rPr>
                <w:rFonts w:hint="eastAsia"/>
                <w:color w:val="000000" w:themeColor="text1"/>
                <w:sz w:val="21"/>
                <w:szCs w:val="21"/>
              </w:rPr>
            </w:pPr>
            <w:r>
              <w:rPr>
                <w:rFonts w:hint="eastAsia"/>
                <w:sz w:val="21"/>
                <w:szCs w:val="21"/>
              </w:rPr>
              <w:t>否</w:t>
            </w:r>
          </w:p>
        </w:tc>
        <w:tc>
          <w:tcPr>
            <w:tcW w:w="636" w:type="pct"/>
            <w:tcBorders>
              <w:top w:val="single" w:sz="4" w:space="0" w:color="auto"/>
              <w:left w:val="single" w:sz="4" w:space="0" w:color="auto"/>
              <w:right w:val="single" w:sz="4" w:space="0" w:color="auto"/>
            </w:tcBorders>
            <w:shd w:val="clear" w:color="auto" w:fill="auto"/>
            <w:vAlign w:val="center"/>
          </w:tcPr>
          <w:p w14:paraId="06272863"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0.00</w:t>
            </w:r>
          </w:p>
        </w:tc>
      </w:tr>
      <w:tr w:rsidR="002D0AE7" w14:paraId="083DC6FD" w14:textId="77777777">
        <w:trPr>
          <w:cantSplit/>
          <w:trHeight w:val="295"/>
          <w:jc w:val="center"/>
        </w:trPr>
        <w:tc>
          <w:tcPr>
            <w:tcW w:w="1642" w:type="pct"/>
            <w:tcBorders>
              <w:top w:val="single" w:sz="4" w:space="0" w:color="auto"/>
              <w:left w:val="single" w:sz="4" w:space="0" w:color="auto"/>
              <w:bottom w:val="single" w:sz="4" w:space="0" w:color="auto"/>
              <w:right w:val="single" w:sz="4" w:space="0" w:color="auto"/>
            </w:tcBorders>
            <w:shd w:val="clear" w:color="auto" w:fill="auto"/>
            <w:vAlign w:val="center"/>
          </w:tcPr>
          <w:p w14:paraId="1FAF6E3E" w14:textId="77777777" w:rsidR="002D0AE7" w:rsidRDefault="00333EBB">
            <w:pPr>
              <w:rPr>
                <w:rFonts w:hint="eastAsia"/>
                <w:color w:val="000000" w:themeColor="text1"/>
                <w:sz w:val="21"/>
                <w:szCs w:val="21"/>
              </w:rPr>
            </w:pPr>
            <w:r>
              <w:rPr>
                <w:rFonts w:hint="eastAsia"/>
                <w:sz w:val="21"/>
                <w:szCs w:val="21"/>
              </w:rPr>
              <w:t>天津药业研究院股份有限公司</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14:paraId="28250409" w14:textId="77777777" w:rsidR="002D0AE7" w:rsidRDefault="00333EBB">
            <w:pPr>
              <w:rPr>
                <w:rFonts w:hint="eastAsia"/>
                <w:color w:val="000000" w:themeColor="text1"/>
                <w:sz w:val="21"/>
                <w:szCs w:val="21"/>
              </w:rPr>
            </w:pPr>
            <w:r>
              <w:rPr>
                <w:rFonts w:hint="eastAsia"/>
                <w:sz w:val="21"/>
                <w:szCs w:val="21"/>
              </w:rPr>
              <w:t>原料、制剂</w:t>
            </w:r>
          </w:p>
        </w:tc>
        <w:tc>
          <w:tcPr>
            <w:tcW w:w="640" w:type="pct"/>
            <w:tcBorders>
              <w:top w:val="single" w:sz="4" w:space="0" w:color="auto"/>
              <w:left w:val="single" w:sz="4" w:space="0" w:color="auto"/>
              <w:right w:val="single" w:sz="4" w:space="0" w:color="auto"/>
            </w:tcBorders>
            <w:shd w:val="clear" w:color="auto" w:fill="auto"/>
            <w:vAlign w:val="center"/>
          </w:tcPr>
          <w:p w14:paraId="2F1899FF"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334,159.32</w:t>
            </w:r>
          </w:p>
        </w:tc>
        <w:tc>
          <w:tcPr>
            <w:tcW w:w="696" w:type="pct"/>
            <w:vMerge/>
            <w:tcBorders>
              <w:left w:val="single" w:sz="4" w:space="0" w:color="auto"/>
              <w:right w:val="single" w:sz="4" w:space="0" w:color="auto"/>
            </w:tcBorders>
            <w:vAlign w:val="center"/>
          </w:tcPr>
          <w:p w14:paraId="5DD8A579" w14:textId="77777777" w:rsidR="002D0AE7" w:rsidRDefault="002D0AE7">
            <w:pPr>
              <w:jc w:val="right"/>
              <w:rPr>
                <w:rFonts w:hint="eastAsia"/>
                <w:color w:val="000000" w:themeColor="text1"/>
                <w:sz w:val="21"/>
                <w:szCs w:val="21"/>
              </w:rPr>
            </w:pPr>
          </w:p>
        </w:tc>
        <w:tc>
          <w:tcPr>
            <w:tcW w:w="438" w:type="pct"/>
            <w:tcBorders>
              <w:top w:val="single" w:sz="4" w:space="0" w:color="auto"/>
              <w:left w:val="single" w:sz="4" w:space="0" w:color="auto"/>
              <w:right w:val="single" w:sz="4" w:space="0" w:color="auto"/>
            </w:tcBorders>
            <w:vAlign w:val="center"/>
          </w:tcPr>
          <w:p w14:paraId="5B510AFE" w14:textId="77777777" w:rsidR="002D0AE7" w:rsidRDefault="00333EBB">
            <w:pPr>
              <w:jc w:val="center"/>
              <w:rPr>
                <w:rFonts w:hint="eastAsia"/>
                <w:color w:val="000000" w:themeColor="text1"/>
                <w:sz w:val="21"/>
                <w:szCs w:val="21"/>
              </w:rPr>
            </w:pPr>
            <w:r>
              <w:rPr>
                <w:rFonts w:hint="eastAsia"/>
                <w:sz w:val="21"/>
                <w:szCs w:val="21"/>
              </w:rPr>
              <w:t>否</w:t>
            </w:r>
          </w:p>
        </w:tc>
        <w:tc>
          <w:tcPr>
            <w:tcW w:w="636" w:type="pct"/>
            <w:tcBorders>
              <w:top w:val="single" w:sz="4" w:space="0" w:color="auto"/>
              <w:left w:val="single" w:sz="4" w:space="0" w:color="auto"/>
              <w:right w:val="single" w:sz="4" w:space="0" w:color="auto"/>
            </w:tcBorders>
            <w:shd w:val="clear" w:color="auto" w:fill="auto"/>
            <w:vAlign w:val="center"/>
          </w:tcPr>
          <w:p w14:paraId="4F1F8BAA"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1,200,970.80</w:t>
            </w:r>
          </w:p>
        </w:tc>
      </w:tr>
      <w:tr w:rsidR="002D0AE7" w14:paraId="7601F7DF" w14:textId="77777777">
        <w:trPr>
          <w:cantSplit/>
          <w:trHeight w:val="295"/>
          <w:jc w:val="center"/>
        </w:trPr>
        <w:tc>
          <w:tcPr>
            <w:tcW w:w="1642" w:type="pct"/>
            <w:tcBorders>
              <w:top w:val="single" w:sz="4" w:space="0" w:color="auto"/>
              <w:left w:val="single" w:sz="4" w:space="0" w:color="auto"/>
              <w:bottom w:val="single" w:sz="4" w:space="0" w:color="auto"/>
              <w:right w:val="single" w:sz="4" w:space="0" w:color="auto"/>
            </w:tcBorders>
            <w:shd w:val="clear" w:color="auto" w:fill="auto"/>
            <w:vAlign w:val="center"/>
          </w:tcPr>
          <w:p w14:paraId="45077D4D" w14:textId="77777777" w:rsidR="002D0AE7" w:rsidRDefault="00333EBB">
            <w:pPr>
              <w:rPr>
                <w:rFonts w:hint="eastAsia"/>
                <w:color w:val="000000" w:themeColor="text1"/>
                <w:sz w:val="21"/>
                <w:szCs w:val="21"/>
              </w:rPr>
            </w:pPr>
            <w:r>
              <w:rPr>
                <w:rFonts w:hint="eastAsia"/>
                <w:sz w:val="21"/>
                <w:szCs w:val="21"/>
              </w:rPr>
              <w:t>天津金耀氨基酸有限公司</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14:paraId="4B5EBEF3" w14:textId="77777777" w:rsidR="002D0AE7" w:rsidRDefault="00333EBB">
            <w:pPr>
              <w:rPr>
                <w:rFonts w:hint="eastAsia"/>
                <w:color w:val="000000" w:themeColor="text1"/>
                <w:sz w:val="21"/>
                <w:szCs w:val="21"/>
              </w:rPr>
            </w:pPr>
            <w:r>
              <w:rPr>
                <w:rFonts w:hint="eastAsia"/>
                <w:sz w:val="21"/>
                <w:szCs w:val="21"/>
              </w:rPr>
              <w:t>设备</w:t>
            </w:r>
          </w:p>
        </w:tc>
        <w:tc>
          <w:tcPr>
            <w:tcW w:w="640" w:type="pct"/>
            <w:tcBorders>
              <w:top w:val="single" w:sz="4" w:space="0" w:color="auto"/>
              <w:left w:val="single" w:sz="4" w:space="0" w:color="auto"/>
              <w:right w:val="single" w:sz="4" w:space="0" w:color="auto"/>
            </w:tcBorders>
            <w:shd w:val="clear" w:color="auto" w:fill="auto"/>
            <w:vAlign w:val="center"/>
          </w:tcPr>
          <w:p w14:paraId="0CD0512A"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0.00</w:t>
            </w:r>
          </w:p>
        </w:tc>
        <w:tc>
          <w:tcPr>
            <w:tcW w:w="696" w:type="pct"/>
            <w:vMerge/>
            <w:tcBorders>
              <w:left w:val="single" w:sz="4" w:space="0" w:color="auto"/>
              <w:right w:val="single" w:sz="4" w:space="0" w:color="auto"/>
            </w:tcBorders>
            <w:vAlign w:val="center"/>
          </w:tcPr>
          <w:p w14:paraId="2EC6666A" w14:textId="77777777" w:rsidR="002D0AE7" w:rsidRDefault="002D0AE7">
            <w:pPr>
              <w:jc w:val="right"/>
              <w:rPr>
                <w:rFonts w:hint="eastAsia"/>
                <w:color w:val="000000" w:themeColor="text1"/>
                <w:sz w:val="21"/>
                <w:szCs w:val="21"/>
              </w:rPr>
            </w:pPr>
          </w:p>
        </w:tc>
        <w:tc>
          <w:tcPr>
            <w:tcW w:w="438" w:type="pct"/>
            <w:tcBorders>
              <w:top w:val="single" w:sz="4" w:space="0" w:color="auto"/>
              <w:left w:val="single" w:sz="4" w:space="0" w:color="auto"/>
              <w:right w:val="single" w:sz="4" w:space="0" w:color="auto"/>
            </w:tcBorders>
            <w:vAlign w:val="center"/>
          </w:tcPr>
          <w:p w14:paraId="0C53C628" w14:textId="77777777" w:rsidR="002D0AE7" w:rsidRDefault="00333EBB">
            <w:pPr>
              <w:jc w:val="center"/>
              <w:rPr>
                <w:rFonts w:hint="eastAsia"/>
                <w:color w:val="000000" w:themeColor="text1"/>
                <w:sz w:val="21"/>
                <w:szCs w:val="21"/>
              </w:rPr>
            </w:pPr>
            <w:r>
              <w:rPr>
                <w:rFonts w:hint="eastAsia"/>
                <w:sz w:val="21"/>
                <w:szCs w:val="21"/>
              </w:rPr>
              <w:t>否</w:t>
            </w:r>
          </w:p>
        </w:tc>
        <w:tc>
          <w:tcPr>
            <w:tcW w:w="636" w:type="pct"/>
            <w:tcBorders>
              <w:top w:val="single" w:sz="4" w:space="0" w:color="auto"/>
              <w:left w:val="single" w:sz="4" w:space="0" w:color="auto"/>
              <w:right w:val="single" w:sz="4" w:space="0" w:color="auto"/>
            </w:tcBorders>
            <w:shd w:val="clear" w:color="auto" w:fill="auto"/>
            <w:vAlign w:val="center"/>
          </w:tcPr>
          <w:p w14:paraId="04E59140"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0.00</w:t>
            </w:r>
          </w:p>
        </w:tc>
      </w:tr>
      <w:tr w:rsidR="002D0AE7" w14:paraId="60AB3F82" w14:textId="77777777">
        <w:trPr>
          <w:cantSplit/>
          <w:trHeight w:val="295"/>
          <w:jc w:val="center"/>
        </w:trPr>
        <w:tc>
          <w:tcPr>
            <w:tcW w:w="1642" w:type="pct"/>
            <w:tcBorders>
              <w:top w:val="single" w:sz="4" w:space="0" w:color="auto"/>
              <w:left w:val="single" w:sz="4" w:space="0" w:color="auto"/>
              <w:bottom w:val="single" w:sz="4" w:space="0" w:color="auto"/>
              <w:right w:val="single" w:sz="4" w:space="0" w:color="auto"/>
            </w:tcBorders>
            <w:shd w:val="clear" w:color="auto" w:fill="auto"/>
            <w:vAlign w:val="center"/>
          </w:tcPr>
          <w:p w14:paraId="448F2BFC" w14:textId="77777777" w:rsidR="002D0AE7" w:rsidRDefault="00333EBB">
            <w:pPr>
              <w:rPr>
                <w:rFonts w:hint="eastAsia"/>
                <w:color w:val="000000" w:themeColor="text1"/>
                <w:sz w:val="21"/>
                <w:szCs w:val="21"/>
              </w:rPr>
            </w:pPr>
            <w:r>
              <w:rPr>
                <w:rFonts w:hint="eastAsia"/>
                <w:sz w:val="21"/>
                <w:szCs w:val="21"/>
              </w:rPr>
              <w:t>天津药业集团有限公司</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14:paraId="439733B2" w14:textId="77777777" w:rsidR="002D0AE7" w:rsidRDefault="00333EBB">
            <w:pPr>
              <w:rPr>
                <w:rFonts w:hint="eastAsia"/>
                <w:color w:val="000000" w:themeColor="text1"/>
                <w:sz w:val="21"/>
                <w:szCs w:val="21"/>
              </w:rPr>
            </w:pPr>
            <w:r>
              <w:rPr>
                <w:rFonts w:hint="eastAsia"/>
                <w:sz w:val="21"/>
                <w:szCs w:val="21"/>
              </w:rPr>
              <w:t>原料、制剂</w:t>
            </w:r>
          </w:p>
        </w:tc>
        <w:tc>
          <w:tcPr>
            <w:tcW w:w="640" w:type="pct"/>
            <w:tcBorders>
              <w:top w:val="single" w:sz="4" w:space="0" w:color="auto"/>
              <w:left w:val="single" w:sz="4" w:space="0" w:color="auto"/>
              <w:right w:val="single" w:sz="4" w:space="0" w:color="auto"/>
            </w:tcBorders>
            <w:shd w:val="clear" w:color="auto" w:fill="auto"/>
            <w:vAlign w:val="center"/>
          </w:tcPr>
          <w:p w14:paraId="1AA702A4"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0.00</w:t>
            </w:r>
          </w:p>
        </w:tc>
        <w:tc>
          <w:tcPr>
            <w:tcW w:w="696" w:type="pct"/>
            <w:vMerge/>
            <w:tcBorders>
              <w:left w:val="single" w:sz="4" w:space="0" w:color="auto"/>
              <w:right w:val="single" w:sz="4" w:space="0" w:color="auto"/>
            </w:tcBorders>
            <w:vAlign w:val="center"/>
          </w:tcPr>
          <w:p w14:paraId="141D124A" w14:textId="77777777" w:rsidR="002D0AE7" w:rsidRDefault="002D0AE7">
            <w:pPr>
              <w:jc w:val="right"/>
              <w:rPr>
                <w:rFonts w:hint="eastAsia"/>
                <w:color w:val="000000" w:themeColor="text1"/>
                <w:sz w:val="21"/>
                <w:szCs w:val="21"/>
              </w:rPr>
            </w:pPr>
          </w:p>
        </w:tc>
        <w:tc>
          <w:tcPr>
            <w:tcW w:w="438" w:type="pct"/>
            <w:tcBorders>
              <w:top w:val="single" w:sz="4" w:space="0" w:color="auto"/>
              <w:left w:val="single" w:sz="4" w:space="0" w:color="auto"/>
              <w:right w:val="single" w:sz="4" w:space="0" w:color="auto"/>
            </w:tcBorders>
            <w:vAlign w:val="center"/>
          </w:tcPr>
          <w:p w14:paraId="3A536A03" w14:textId="77777777" w:rsidR="002D0AE7" w:rsidRDefault="00333EBB">
            <w:pPr>
              <w:jc w:val="center"/>
              <w:rPr>
                <w:rFonts w:hint="eastAsia"/>
                <w:color w:val="000000" w:themeColor="text1"/>
                <w:sz w:val="21"/>
                <w:szCs w:val="21"/>
              </w:rPr>
            </w:pPr>
            <w:r>
              <w:rPr>
                <w:rFonts w:hint="eastAsia"/>
                <w:sz w:val="21"/>
                <w:szCs w:val="21"/>
              </w:rPr>
              <w:t>否</w:t>
            </w:r>
          </w:p>
        </w:tc>
        <w:tc>
          <w:tcPr>
            <w:tcW w:w="636" w:type="pct"/>
            <w:tcBorders>
              <w:top w:val="single" w:sz="4" w:space="0" w:color="auto"/>
              <w:left w:val="single" w:sz="4" w:space="0" w:color="auto"/>
              <w:right w:val="single" w:sz="4" w:space="0" w:color="auto"/>
            </w:tcBorders>
            <w:shd w:val="clear" w:color="auto" w:fill="auto"/>
            <w:vAlign w:val="center"/>
          </w:tcPr>
          <w:p w14:paraId="2D16D9B8"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5,637.53</w:t>
            </w:r>
          </w:p>
        </w:tc>
      </w:tr>
      <w:tr w:rsidR="002D0AE7" w14:paraId="5B87CEC6" w14:textId="77777777">
        <w:trPr>
          <w:cantSplit/>
          <w:jc w:val="center"/>
        </w:trPr>
        <w:tc>
          <w:tcPr>
            <w:tcW w:w="1642" w:type="pct"/>
            <w:tcBorders>
              <w:top w:val="single" w:sz="4" w:space="0" w:color="auto"/>
              <w:left w:val="single" w:sz="4" w:space="0" w:color="auto"/>
              <w:bottom w:val="single" w:sz="4" w:space="0" w:color="auto"/>
              <w:right w:val="single" w:sz="4" w:space="0" w:color="auto"/>
            </w:tcBorders>
            <w:shd w:val="clear" w:color="auto" w:fill="auto"/>
            <w:vAlign w:val="center"/>
          </w:tcPr>
          <w:p w14:paraId="24B04C00" w14:textId="77777777" w:rsidR="002D0AE7" w:rsidRDefault="00333EBB">
            <w:pPr>
              <w:rPr>
                <w:rFonts w:hint="eastAsia"/>
                <w:sz w:val="21"/>
                <w:szCs w:val="21"/>
              </w:rPr>
            </w:pPr>
            <w:r>
              <w:rPr>
                <w:rFonts w:hint="eastAsia"/>
                <w:sz w:val="21"/>
                <w:szCs w:val="21"/>
              </w:rPr>
              <w:t>津药永光（河北）制药有限公司</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14:paraId="1A605373" w14:textId="77777777" w:rsidR="002D0AE7" w:rsidRDefault="00333EBB">
            <w:pPr>
              <w:rPr>
                <w:rFonts w:hint="eastAsia"/>
                <w:sz w:val="21"/>
                <w:szCs w:val="21"/>
              </w:rPr>
            </w:pPr>
            <w:r>
              <w:rPr>
                <w:rFonts w:hint="eastAsia"/>
                <w:sz w:val="21"/>
                <w:szCs w:val="21"/>
              </w:rPr>
              <w:t>原料、制剂、加工费</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7C6E262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96" w:type="pct"/>
            <w:tcBorders>
              <w:top w:val="single" w:sz="4" w:space="0" w:color="auto"/>
              <w:left w:val="single" w:sz="4" w:space="0" w:color="auto"/>
              <w:bottom w:val="single" w:sz="4" w:space="0" w:color="auto"/>
              <w:right w:val="single" w:sz="4" w:space="0" w:color="auto"/>
            </w:tcBorders>
            <w:vAlign w:val="center"/>
          </w:tcPr>
          <w:p w14:paraId="28B9F1DF" w14:textId="77777777" w:rsidR="002D0AE7" w:rsidRDefault="00333EBB">
            <w:pPr>
              <w:jc w:val="center"/>
              <w:rPr>
                <w:rFonts w:hint="eastAsia"/>
                <w:sz w:val="21"/>
                <w:szCs w:val="21"/>
              </w:rPr>
            </w:pPr>
            <w:r>
              <w:rPr>
                <w:rFonts w:hint="eastAsia"/>
                <w:sz w:val="21"/>
                <w:szCs w:val="21"/>
              </w:rPr>
              <w:t>不适用</w:t>
            </w:r>
          </w:p>
        </w:tc>
        <w:tc>
          <w:tcPr>
            <w:tcW w:w="438" w:type="pct"/>
            <w:tcBorders>
              <w:top w:val="single" w:sz="4" w:space="0" w:color="auto"/>
              <w:left w:val="single" w:sz="4" w:space="0" w:color="auto"/>
              <w:bottom w:val="single" w:sz="4" w:space="0" w:color="auto"/>
              <w:right w:val="single" w:sz="4" w:space="0" w:color="auto"/>
            </w:tcBorders>
            <w:vAlign w:val="center"/>
          </w:tcPr>
          <w:p w14:paraId="0080B3E2" w14:textId="77777777" w:rsidR="002D0AE7" w:rsidRDefault="00333EBB">
            <w:pPr>
              <w:jc w:val="center"/>
              <w:rPr>
                <w:rFonts w:hint="eastAsia"/>
                <w:color w:val="000000" w:themeColor="text1"/>
                <w:sz w:val="21"/>
                <w:szCs w:val="21"/>
              </w:rPr>
            </w:pPr>
            <w:r>
              <w:rPr>
                <w:rFonts w:hint="eastAsia"/>
                <w:sz w:val="21"/>
                <w:szCs w:val="21"/>
              </w:rPr>
              <w:t>不适用</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64819D9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288,053.10</w:t>
            </w:r>
          </w:p>
        </w:tc>
      </w:tr>
      <w:tr w:rsidR="002D0AE7" w14:paraId="63739596" w14:textId="77777777">
        <w:trPr>
          <w:cantSplit/>
          <w:jc w:val="center"/>
        </w:trPr>
        <w:tc>
          <w:tcPr>
            <w:tcW w:w="1642" w:type="pct"/>
            <w:tcBorders>
              <w:top w:val="single" w:sz="4" w:space="0" w:color="auto"/>
              <w:left w:val="single" w:sz="4" w:space="0" w:color="auto"/>
              <w:bottom w:val="single" w:sz="4" w:space="0" w:color="auto"/>
              <w:right w:val="single" w:sz="4" w:space="0" w:color="auto"/>
            </w:tcBorders>
            <w:shd w:val="clear" w:color="auto" w:fill="auto"/>
            <w:vAlign w:val="center"/>
          </w:tcPr>
          <w:p w14:paraId="04145F38" w14:textId="77777777" w:rsidR="002D0AE7" w:rsidRDefault="00333EBB">
            <w:pPr>
              <w:rPr>
                <w:rFonts w:hint="eastAsia"/>
                <w:sz w:val="21"/>
                <w:szCs w:val="21"/>
              </w:rPr>
            </w:pPr>
            <w:r>
              <w:rPr>
                <w:rFonts w:hint="eastAsia"/>
                <w:sz w:val="21"/>
                <w:szCs w:val="21"/>
              </w:rPr>
              <w:t>津药普光医用材料（天津）有限公司</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14:paraId="1C95A04B" w14:textId="77777777" w:rsidR="002D0AE7" w:rsidRDefault="00333EBB">
            <w:pPr>
              <w:rPr>
                <w:rFonts w:hint="eastAsia"/>
                <w:sz w:val="21"/>
                <w:szCs w:val="21"/>
              </w:rPr>
            </w:pPr>
            <w:r>
              <w:rPr>
                <w:rFonts w:hint="eastAsia"/>
                <w:sz w:val="21"/>
                <w:szCs w:val="21"/>
              </w:rPr>
              <w:t>消毒用品、包材</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3333128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96" w:type="pct"/>
            <w:tcBorders>
              <w:top w:val="single" w:sz="4" w:space="0" w:color="auto"/>
              <w:left w:val="single" w:sz="4" w:space="0" w:color="auto"/>
              <w:bottom w:val="single" w:sz="4" w:space="0" w:color="auto"/>
              <w:right w:val="single" w:sz="4" w:space="0" w:color="auto"/>
            </w:tcBorders>
            <w:vAlign w:val="center"/>
          </w:tcPr>
          <w:p w14:paraId="495A57C6" w14:textId="77777777" w:rsidR="002D0AE7" w:rsidRDefault="00333EBB">
            <w:pPr>
              <w:jc w:val="center"/>
              <w:rPr>
                <w:rFonts w:hint="eastAsia"/>
                <w:sz w:val="21"/>
                <w:szCs w:val="21"/>
              </w:rPr>
            </w:pPr>
            <w:r>
              <w:rPr>
                <w:rFonts w:hint="eastAsia"/>
                <w:sz w:val="21"/>
                <w:szCs w:val="21"/>
              </w:rPr>
              <w:t>不适用</w:t>
            </w:r>
          </w:p>
        </w:tc>
        <w:tc>
          <w:tcPr>
            <w:tcW w:w="438" w:type="pct"/>
            <w:tcBorders>
              <w:top w:val="single" w:sz="4" w:space="0" w:color="auto"/>
              <w:left w:val="single" w:sz="4" w:space="0" w:color="auto"/>
              <w:bottom w:val="single" w:sz="4" w:space="0" w:color="auto"/>
              <w:right w:val="single" w:sz="4" w:space="0" w:color="auto"/>
            </w:tcBorders>
            <w:vAlign w:val="center"/>
          </w:tcPr>
          <w:p w14:paraId="29E63081" w14:textId="77777777" w:rsidR="002D0AE7" w:rsidRDefault="00333EBB">
            <w:pPr>
              <w:jc w:val="center"/>
              <w:rPr>
                <w:rFonts w:hint="eastAsia"/>
                <w:color w:val="000000" w:themeColor="text1"/>
                <w:sz w:val="21"/>
                <w:szCs w:val="21"/>
              </w:rPr>
            </w:pPr>
            <w:r>
              <w:rPr>
                <w:rFonts w:hint="eastAsia"/>
                <w:sz w:val="21"/>
                <w:szCs w:val="21"/>
              </w:rPr>
              <w:t>不适用</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7EDF9C1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2,831.86</w:t>
            </w:r>
          </w:p>
        </w:tc>
      </w:tr>
      <w:tr w:rsidR="002D0AE7" w14:paraId="058AC8DD" w14:textId="77777777">
        <w:trPr>
          <w:cantSplit/>
          <w:jc w:val="center"/>
        </w:trPr>
        <w:tc>
          <w:tcPr>
            <w:tcW w:w="1642" w:type="pct"/>
            <w:tcBorders>
              <w:top w:val="single" w:sz="4" w:space="0" w:color="auto"/>
              <w:left w:val="single" w:sz="4" w:space="0" w:color="auto"/>
              <w:bottom w:val="single" w:sz="4" w:space="0" w:color="auto"/>
              <w:right w:val="single" w:sz="4" w:space="0" w:color="auto"/>
            </w:tcBorders>
            <w:shd w:val="clear" w:color="auto" w:fill="auto"/>
            <w:vAlign w:val="center"/>
          </w:tcPr>
          <w:p w14:paraId="643E921A" w14:textId="77777777" w:rsidR="002D0AE7" w:rsidRDefault="00333EBB">
            <w:pPr>
              <w:rPr>
                <w:rFonts w:hint="eastAsia"/>
                <w:sz w:val="21"/>
                <w:szCs w:val="21"/>
              </w:rPr>
            </w:pPr>
            <w:r>
              <w:rPr>
                <w:rFonts w:hint="eastAsia"/>
                <w:sz w:val="21"/>
                <w:szCs w:val="21"/>
              </w:rPr>
              <w:t>合计</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14:paraId="4F77DDE4" w14:textId="77777777" w:rsidR="002D0AE7" w:rsidRDefault="00333EBB">
            <w:pPr>
              <w:rPr>
                <w:rFonts w:hint="eastAsia"/>
                <w:sz w:val="21"/>
                <w:szCs w:val="21"/>
              </w:rPr>
            </w:pPr>
            <w:r>
              <w:rPr>
                <w:sz w:val="21"/>
                <w:szCs w:val="21"/>
              </w:rPr>
              <w:t>/</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14:paraId="448843A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83,962,740.86</w:t>
            </w:r>
          </w:p>
        </w:tc>
        <w:tc>
          <w:tcPr>
            <w:tcW w:w="696" w:type="pct"/>
            <w:tcBorders>
              <w:top w:val="single" w:sz="4" w:space="0" w:color="auto"/>
              <w:left w:val="single" w:sz="4" w:space="0" w:color="auto"/>
              <w:bottom w:val="single" w:sz="4" w:space="0" w:color="auto"/>
              <w:right w:val="single" w:sz="4" w:space="0" w:color="auto"/>
            </w:tcBorders>
            <w:vAlign w:val="center"/>
          </w:tcPr>
          <w:p w14:paraId="3A973C20" w14:textId="77777777" w:rsidR="002D0AE7" w:rsidRDefault="00333EBB">
            <w:pPr>
              <w:jc w:val="center"/>
              <w:rPr>
                <w:rFonts w:ascii="Times New Roman" w:hAnsi="Times New Roman" w:cs="Times New Roman"/>
                <w:sz w:val="21"/>
                <w:szCs w:val="21"/>
              </w:rPr>
            </w:pPr>
            <w:r>
              <w:rPr>
                <w:rFonts w:ascii="Times New Roman" w:hAnsi="Times New Roman" w:cs="Times New Roman"/>
                <w:sz w:val="21"/>
                <w:szCs w:val="21"/>
              </w:rPr>
              <w:t>327,433,628.31</w:t>
            </w:r>
          </w:p>
        </w:tc>
        <w:tc>
          <w:tcPr>
            <w:tcW w:w="438" w:type="pct"/>
            <w:tcBorders>
              <w:top w:val="single" w:sz="4" w:space="0" w:color="auto"/>
              <w:left w:val="single" w:sz="4" w:space="0" w:color="auto"/>
              <w:bottom w:val="single" w:sz="4" w:space="0" w:color="auto"/>
              <w:right w:val="single" w:sz="4" w:space="0" w:color="auto"/>
            </w:tcBorders>
            <w:vAlign w:val="center"/>
          </w:tcPr>
          <w:p w14:paraId="56EA59C9" w14:textId="77777777" w:rsidR="002D0AE7" w:rsidRDefault="00333EBB">
            <w:pPr>
              <w:jc w:val="center"/>
              <w:rPr>
                <w:rFonts w:ascii="Times New Roman" w:hAnsi="Times New Roman" w:cs="Times New Roman"/>
                <w:sz w:val="21"/>
                <w:szCs w:val="21"/>
              </w:rPr>
            </w:pPr>
            <w:r>
              <w:rPr>
                <w:rFonts w:ascii="Times New Roman" w:hAnsi="Times New Roman" w:cs="Times New Roman"/>
                <w:sz w:val="21"/>
                <w:szCs w:val="21"/>
              </w:rPr>
              <w:t>/</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77835CC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34,480,578.87</w:t>
            </w:r>
          </w:p>
        </w:tc>
      </w:tr>
    </w:tbl>
    <w:bookmarkEnd w:id="234" w:displacedByCustomXml="next"/>
    <w:bookmarkStart w:id="235" w:name="_Hlk174366077" w:displacedByCustomXml="next"/>
    <w:sdt>
      <w:sdtPr>
        <w:rPr>
          <w:rFonts w:hint="eastAsia"/>
          <w:color w:val="000000" w:themeColor="text1"/>
        </w:rPr>
        <w:alias w:val="模块:出售商品/提供劳务情况"/>
        <w:tag w:val="_GBC_a4e1c0efe9f741ecbb648a33c9afb8fd"/>
        <w:id w:val="-2074347665"/>
        <w:lock w:val="sdtLocked"/>
        <w:placeholder>
          <w:docPart w:val="DefaultPlaceholder_-1854013440"/>
        </w:placeholder>
      </w:sdtPr>
      <w:sdtEndPr>
        <w:rPr>
          <w:rFonts w:cs="Times New Roman"/>
          <w:b/>
          <w:bCs/>
          <w:kern w:val="2"/>
          <w:szCs w:val="28"/>
        </w:rPr>
      </w:sdtEndPr>
      <w:sdtContent>
        <w:p w14:paraId="38486AED" w14:textId="77777777" w:rsidR="002D0AE7" w:rsidRDefault="00333EBB">
          <w:pPr>
            <w:ind w:rightChars="-369" w:right="-886"/>
            <w:rPr>
              <w:rFonts w:hint="eastAsia"/>
              <w:color w:val="000000" w:themeColor="text1"/>
            </w:rPr>
          </w:pPr>
          <w:r>
            <w:rPr>
              <w:rFonts w:hint="eastAsia"/>
              <w:color w:val="000000" w:themeColor="text1"/>
            </w:rPr>
            <w:t>出售商品</w:t>
          </w:r>
          <w:r>
            <w:rPr>
              <w:rFonts w:hint="eastAsia"/>
              <w:color w:val="000000" w:themeColor="text1"/>
            </w:rPr>
            <w:t>/</w:t>
          </w:r>
          <w:r>
            <w:rPr>
              <w:rFonts w:hint="eastAsia"/>
              <w:color w:val="000000" w:themeColor="text1"/>
            </w:rPr>
            <w:t>提供劳务情况表</w:t>
          </w:r>
        </w:p>
        <w:sdt>
          <w:sdtPr>
            <w:rPr>
              <w:color w:val="000000" w:themeColor="text1"/>
            </w:rPr>
            <w:alias w:val="是否适用：出售商品或提供劳务情况表[双击切换]"/>
            <w:tag w:val="_GBC_18ae630e2f3641959d3a9fc1a3f3ccf3"/>
            <w:id w:val="1291943575"/>
            <w:placeholder>
              <w:docPart w:val="GBC22222222222222222222222222222"/>
            </w:placeholder>
          </w:sdtPr>
          <w:sdtEndPr/>
          <w:sdtContent>
            <w:p w14:paraId="4D3AD91E" w14:textId="77777777" w:rsidR="002D0AE7" w:rsidRDefault="00333EBB">
              <w:pPr>
                <w:ind w:rightChars="-369" w:right="-886"/>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65A837A0" w14:textId="77777777" w:rsidR="002D0AE7" w:rsidRDefault="00333EBB">
          <w:pPr>
            <w:tabs>
              <w:tab w:val="left" w:pos="3870"/>
            </w:tabs>
            <w:jc w:val="right"/>
            <w:rPr>
              <w:rFonts w:cs="Cambria" w:hint="eastAsia"/>
              <w:color w:val="000000" w:themeColor="text1"/>
            </w:rPr>
          </w:pPr>
          <w:r>
            <w:rPr>
              <w:color w:val="000000" w:themeColor="text1"/>
            </w:rPr>
            <w:t>单位</w:t>
          </w:r>
          <w:r>
            <w:rPr>
              <w:rFonts w:hint="eastAsia"/>
              <w:color w:val="000000" w:themeColor="text1"/>
            </w:rPr>
            <w:t>：</w:t>
          </w:r>
          <w:sdt>
            <w:sdtPr>
              <w:rPr>
                <w:color w:val="000000" w:themeColor="text1"/>
              </w:rPr>
              <w:alias w:val="单位：出售商品提供劳务情况表"/>
              <w:tag w:val="_GBC_d53494f853ed4767a511f9c2c780c566"/>
              <w:id w:val="-103458141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color w:val="000000" w:themeColor="text1"/>
            </w:rPr>
            <w:t>币种：</w:t>
          </w:r>
          <w:sdt>
            <w:sdtPr>
              <w:rPr>
                <w:color w:val="000000" w:themeColor="text1"/>
              </w:rPr>
              <w:alias w:val="币种：出售商品提供劳务情况表"/>
              <w:tag w:val="_GBC_d298f57687684d2eafef1d8c13d51722"/>
              <w:id w:val="-179882229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781" w:type="pct"/>
            <w:jc w:val="center"/>
            <w:tblBorders>
              <w:top w:val="single" w:sz="4" w:space="0" w:color="auto"/>
              <w:left w:val="single" w:sz="4" w:space="0" w:color="auto"/>
              <w:bottom w:val="single" w:sz="4" w:space="0" w:color="auto"/>
              <w:right w:val="single" w:sz="4" w:space="0" w:color="auto"/>
            </w:tblBorders>
            <w:tblCellMar>
              <w:left w:w="30" w:type="dxa"/>
              <w:right w:w="30" w:type="dxa"/>
            </w:tblCellMar>
            <w:tblLook w:val="04A0" w:firstRow="1" w:lastRow="0" w:firstColumn="1" w:lastColumn="0" w:noHBand="0" w:noVBand="1"/>
          </w:tblPr>
          <w:tblGrid>
            <w:gridCol w:w="3533"/>
            <w:gridCol w:w="2847"/>
            <w:gridCol w:w="1983"/>
            <w:gridCol w:w="1838"/>
          </w:tblGrid>
          <w:tr w:rsidR="002D0AE7" w14:paraId="659044C9" w14:textId="77777777">
            <w:trPr>
              <w:cantSplit/>
              <w:trHeight w:val="273"/>
              <w:jc w:val="center"/>
            </w:trPr>
            <w:sdt>
              <w:sdtPr>
                <w:rPr>
                  <w:color w:val="000000" w:themeColor="text1"/>
                  <w:sz w:val="21"/>
                  <w:szCs w:val="21"/>
                </w:rPr>
                <w:tag w:val="_PLD_70510986aab647e99b00ba57c32e64cd"/>
                <w:id w:val="1995524954"/>
              </w:sdtPr>
              <w:sdtEndPr/>
              <w:sdtContent>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14:paraId="016AEC44" w14:textId="77777777" w:rsidR="002D0AE7" w:rsidRDefault="00333EBB">
                    <w:pPr>
                      <w:jc w:val="center"/>
                      <w:rPr>
                        <w:rFonts w:cs="Cambria" w:hint="eastAsia"/>
                        <w:color w:val="000000" w:themeColor="text1"/>
                        <w:sz w:val="21"/>
                        <w:szCs w:val="21"/>
                      </w:rPr>
                    </w:pPr>
                    <w:r>
                      <w:rPr>
                        <w:rFonts w:cs="Cambria" w:hint="eastAsia"/>
                        <w:color w:val="000000" w:themeColor="text1"/>
                        <w:sz w:val="21"/>
                        <w:szCs w:val="21"/>
                      </w:rPr>
                      <w:t>关联方</w:t>
                    </w:r>
                  </w:p>
                </w:tc>
              </w:sdtContent>
            </w:sdt>
            <w:sdt>
              <w:sdtPr>
                <w:rPr>
                  <w:color w:val="000000" w:themeColor="text1"/>
                  <w:sz w:val="21"/>
                  <w:szCs w:val="21"/>
                </w:rPr>
                <w:tag w:val="_PLD_66da90262f3d401c8151235b4c6f5e93"/>
                <w:id w:val="417216589"/>
              </w:sdtPr>
              <w:sdtEndPr/>
              <w:sdtContent>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14:paraId="7DF698D5" w14:textId="77777777" w:rsidR="002D0AE7" w:rsidRDefault="00333EBB">
                    <w:pPr>
                      <w:jc w:val="center"/>
                      <w:rPr>
                        <w:rFonts w:cs="Cambria" w:hint="eastAsia"/>
                        <w:color w:val="000000" w:themeColor="text1"/>
                        <w:sz w:val="21"/>
                        <w:szCs w:val="21"/>
                      </w:rPr>
                    </w:pPr>
                    <w:r>
                      <w:rPr>
                        <w:rFonts w:cs="Cambria" w:hint="eastAsia"/>
                        <w:color w:val="000000" w:themeColor="text1"/>
                        <w:sz w:val="21"/>
                        <w:szCs w:val="21"/>
                      </w:rPr>
                      <w:t>关联交易内容</w:t>
                    </w:r>
                  </w:p>
                </w:tc>
              </w:sdtContent>
            </w:sdt>
            <w:sdt>
              <w:sdtPr>
                <w:rPr>
                  <w:color w:val="000000" w:themeColor="text1"/>
                  <w:sz w:val="21"/>
                  <w:szCs w:val="21"/>
                </w:rPr>
                <w:tag w:val="_PLD_09c424bd80324eb49dafea569ce1931b"/>
                <w:id w:val="932165822"/>
              </w:sdtPr>
              <w:sdtEndPr/>
              <w:sdtContent>
                <w:tc>
                  <w:tcPr>
                    <w:tcW w:w="972" w:type="pct"/>
                    <w:tcBorders>
                      <w:top w:val="single" w:sz="4" w:space="0" w:color="auto"/>
                      <w:left w:val="single" w:sz="4" w:space="0" w:color="auto"/>
                      <w:right w:val="single" w:sz="4" w:space="0" w:color="auto"/>
                    </w:tcBorders>
                    <w:shd w:val="clear" w:color="auto" w:fill="auto"/>
                    <w:vAlign w:val="center"/>
                  </w:tcPr>
                  <w:p w14:paraId="7852230E" w14:textId="77777777" w:rsidR="002D0AE7" w:rsidRDefault="00333EBB">
                    <w:pPr>
                      <w:jc w:val="center"/>
                      <w:rPr>
                        <w:rFonts w:cs="Cambria" w:hint="eastAsia"/>
                        <w:color w:val="000000" w:themeColor="text1"/>
                        <w:sz w:val="21"/>
                        <w:szCs w:val="21"/>
                      </w:rPr>
                    </w:pPr>
                    <w:r>
                      <w:rPr>
                        <w:rFonts w:cs="Cambria" w:hint="eastAsia"/>
                        <w:color w:val="000000" w:themeColor="text1"/>
                        <w:sz w:val="21"/>
                        <w:szCs w:val="21"/>
                      </w:rPr>
                      <w:t>本期发生额</w:t>
                    </w:r>
                  </w:p>
                </w:tc>
              </w:sdtContent>
            </w:sdt>
            <w:sdt>
              <w:sdtPr>
                <w:rPr>
                  <w:color w:val="000000" w:themeColor="text1"/>
                  <w:sz w:val="21"/>
                  <w:szCs w:val="21"/>
                </w:rPr>
                <w:tag w:val="_PLD_fd0f9e0691744db49d5ceaf95d42197c"/>
                <w:id w:val="-1192916461"/>
              </w:sdtPr>
              <w:sdtEndPr/>
              <w:sdtContent>
                <w:tc>
                  <w:tcPr>
                    <w:tcW w:w="901" w:type="pct"/>
                    <w:tcBorders>
                      <w:top w:val="single" w:sz="4" w:space="0" w:color="auto"/>
                      <w:left w:val="single" w:sz="4" w:space="0" w:color="auto"/>
                      <w:right w:val="single" w:sz="4" w:space="0" w:color="auto"/>
                    </w:tcBorders>
                    <w:shd w:val="clear" w:color="auto" w:fill="auto"/>
                    <w:vAlign w:val="center"/>
                  </w:tcPr>
                  <w:p w14:paraId="0217C940" w14:textId="77777777" w:rsidR="002D0AE7" w:rsidRDefault="00333EBB">
                    <w:pPr>
                      <w:jc w:val="center"/>
                      <w:rPr>
                        <w:rFonts w:cs="Cambria" w:hint="eastAsia"/>
                        <w:color w:val="000000" w:themeColor="text1"/>
                        <w:sz w:val="21"/>
                        <w:szCs w:val="21"/>
                      </w:rPr>
                    </w:pPr>
                    <w:r>
                      <w:rPr>
                        <w:rFonts w:cs="Cambria" w:hint="eastAsia"/>
                        <w:color w:val="000000" w:themeColor="text1"/>
                        <w:sz w:val="21"/>
                        <w:szCs w:val="21"/>
                      </w:rPr>
                      <w:t>上期发生额</w:t>
                    </w:r>
                  </w:p>
                </w:tc>
              </w:sdtContent>
            </w:sdt>
          </w:tr>
          <w:tr w:rsidR="002D0AE7" w14:paraId="7320621B" w14:textId="77777777">
            <w:trPr>
              <w:cantSplit/>
              <w:trHeight w:val="273"/>
              <w:jc w:val="center"/>
            </w:trPr>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14:paraId="6AABB720" w14:textId="77777777" w:rsidR="002D0AE7" w:rsidRDefault="00333EBB">
                <w:pPr>
                  <w:rPr>
                    <w:rFonts w:hint="eastAsia"/>
                    <w:color w:val="000000" w:themeColor="text1"/>
                    <w:sz w:val="21"/>
                    <w:szCs w:val="21"/>
                  </w:rPr>
                </w:pPr>
                <w:r>
                  <w:rPr>
                    <w:rFonts w:hint="eastAsia"/>
                    <w:sz w:val="21"/>
                    <w:szCs w:val="21"/>
                  </w:rPr>
                  <w:t>江西百思康瑞药业有限公司</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14:paraId="589D2AE1" w14:textId="77777777" w:rsidR="002D0AE7" w:rsidRDefault="00333EBB">
                <w:pPr>
                  <w:rPr>
                    <w:rFonts w:hint="eastAsia"/>
                    <w:color w:val="000000" w:themeColor="text1"/>
                    <w:sz w:val="21"/>
                    <w:szCs w:val="21"/>
                  </w:rPr>
                </w:pPr>
                <w:r>
                  <w:rPr>
                    <w:rFonts w:hint="eastAsia"/>
                    <w:sz w:val="21"/>
                    <w:szCs w:val="21"/>
                  </w:rPr>
                  <w:t>原料药</w:t>
                </w:r>
              </w:p>
            </w:tc>
            <w:tc>
              <w:tcPr>
                <w:tcW w:w="972" w:type="pct"/>
                <w:tcBorders>
                  <w:top w:val="single" w:sz="4" w:space="0" w:color="auto"/>
                  <w:left w:val="single" w:sz="4" w:space="0" w:color="auto"/>
                  <w:right w:val="single" w:sz="4" w:space="0" w:color="auto"/>
                </w:tcBorders>
                <w:shd w:val="clear" w:color="auto" w:fill="auto"/>
                <w:vAlign w:val="center"/>
              </w:tcPr>
              <w:p w14:paraId="2082D4EE"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24,559,159.30</w:t>
                </w:r>
              </w:p>
            </w:tc>
            <w:tc>
              <w:tcPr>
                <w:tcW w:w="901" w:type="pct"/>
                <w:tcBorders>
                  <w:top w:val="single" w:sz="4" w:space="0" w:color="auto"/>
                  <w:left w:val="single" w:sz="4" w:space="0" w:color="auto"/>
                  <w:right w:val="single" w:sz="4" w:space="0" w:color="auto"/>
                </w:tcBorders>
                <w:shd w:val="clear" w:color="auto" w:fill="auto"/>
                <w:vAlign w:val="center"/>
              </w:tcPr>
              <w:p w14:paraId="562F641C"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19,212,266.18</w:t>
                </w:r>
              </w:p>
            </w:tc>
          </w:tr>
          <w:tr w:rsidR="002D0AE7" w14:paraId="2FA8FD92" w14:textId="77777777">
            <w:trPr>
              <w:cantSplit/>
              <w:trHeight w:val="273"/>
              <w:jc w:val="center"/>
            </w:trPr>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14:paraId="3C60A124" w14:textId="77777777" w:rsidR="002D0AE7" w:rsidRDefault="00333EBB">
                <w:pPr>
                  <w:rPr>
                    <w:rFonts w:hint="eastAsia"/>
                    <w:color w:val="000000" w:themeColor="text1"/>
                    <w:sz w:val="21"/>
                    <w:szCs w:val="21"/>
                  </w:rPr>
                </w:pPr>
                <w:r>
                  <w:rPr>
                    <w:rFonts w:hint="eastAsia"/>
                    <w:sz w:val="21"/>
                    <w:szCs w:val="21"/>
                  </w:rPr>
                  <w:t>津药太平医药有限公司</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14:paraId="6212BB51" w14:textId="77777777" w:rsidR="002D0AE7" w:rsidRDefault="00333EBB">
                <w:pPr>
                  <w:rPr>
                    <w:rFonts w:hint="eastAsia"/>
                    <w:color w:val="000000" w:themeColor="text1"/>
                    <w:sz w:val="21"/>
                    <w:szCs w:val="21"/>
                  </w:rPr>
                </w:pPr>
                <w:r>
                  <w:rPr>
                    <w:rFonts w:hint="eastAsia"/>
                    <w:sz w:val="21"/>
                    <w:szCs w:val="21"/>
                  </w:rPr>
                  <w:t>制剂</w:t>
                </w:r>
              </w:p>
            </w:tc>
            <w:tc>
              <w:tcPr>
                <w:tcW w:w="972" w:type="pct"/>
                <w:tcBorders>
                  <w:top w:val="single" w:sz="4" w:space="0" w:color="auto"/>
                  <w:left w:val="single" w:sz="4" w:space="0" w:color="auto"/>
                  <w:right w:val="single" w:sz="4" w:space="0" w:color="auto"/>
                </w:tcBorders>
                <w:shd w:val="clear" w:color="auto" w:fill="auto"/>
                <w:vAlign w:val="center"/>
              </w:tcPr>
              <w:p w14:paraId="03A8F915"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15,596,479.86</w:t>
                </w:r>
              </w:p>
            </w:tc>
            <w:tc>
              <w:tcPr>
                <w:tcW w:w="901" w:type="pct"/>
                <w:tcBorders>
                  <w:top w:val="single" w:sz="4" w:space="0" w:color="auto"/>
                  <w:left w:val="single" w:sz="4" w:space="0" w:color="auto"/>
                  <w:right w:val="single" w:sz="4" w:space="0" w:color="auto"/>
                </w:tcBorders>
                <w:shd w:val="clear" w:color="auto" w:fill="auto"/>
                <w:vAlign w:val="center"/>
              </w:tcPr>
              <w:p w14:paraId="04684844"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21,802,107.98</w:t>
                </w:r>
              </w:p>
            </w:tc>
          </w:tr>
          <w:tr w:rsidR="002D0AE7" w14:paraId="72E648FB" w14:textId="77777777">
            <w:trPr>
              <w:cantSplit/>
              <w:trHeight w:val="273"/>
              <w:jc w:val="center"/>
            </w:trPr>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14:paraId="01148B9B" w14:textId="77777777" w:rsidR="002D0AE7" w:rsidRDefault="00333EBB">
                <w:pPr>
                  <w:rPr>
                    <w:rFonts w:hint="eastAsia"/>
                    <w:color w:val="000000" w:themeColor="text1"/>
                    <w:sz w:val="21"/>
                    <w:szCs w:val="21"/>
                  </w:rPr>
                </w:pPr>
                <w:r>
                  <w:rPr>
                    <w:rFonts w:hint="eastAsia"/>
                    <w:sz w:val="21"/>
                    <w:szCs w:val="21"/>
                  </w:rPr>
                  <w:t>天津力生制药股份有限公司</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14:paraId="0C3C6A51" w14:textId="77777777" w:rsidR="002D0AE7" w:rsidRDefault="00333EBB">
                <w:pPr>
                  <w:rPr>
                    <w:rFonts w:hint="eastAsia"/>
                    <w:color w:val="000000" w:themeColor="text1"/>
                    <w:sz w:val="21"/>
                    <w:szCs w:val="21"/>
                  </w:rPr>
                </w:pPr>
                <w:r>
                  <w:rPr>
                    <w:rFonts w:hint="eastAsia"/>
                    <w:sz w:val="21"/>
                    <w:szCs w:val="21"/>
                  </w:rPr>
                  <w:t>原料药</w:t>
                </w:r>
              </w:p>
            </w:tc>
            <w:tc>
              <w:tcPr>
                <w:tcW w:w="972" w:type="pct"/>
                <w:tcBorders>
                  <w:top w:val="single" w:sz="4" w:space="0" w:color="auto"/>
                  <w:left w:val="single" w:sz="4" w:space="0" w:color="auto"/>
                  <w:right w:val="single" w:sz="4" w:space="0" w:color="auto"/>
                </w:tcBorders>
                <w:shd w:val="clear" w:color="auto" w:fill="auto"/>
                <w:vAlign w:val="center"/>
              </w:tcPr>
              <w:p w14:paraId="04C750F7"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2,053,429.20</w:t>
                </w:r>
              </w:p>
            </w:tc>
            <w:tc>
              <w:tcPr>
                <w:tcW w:w="901" w:type="pct"/>
                <w:tcBorders>
                  <w:top w:val="single" w:sz="4" w:space="0" w:color="auto"/>
                  <w:left w:val="single" w:sz="4" w:space="0" w:color="auto"/>
                  <w:right w:val="single" w:sz="4" w:space="0" w:color="auto"/>
                </w:tcBorders>
                <w:shd w:val="clear" w:color="auto" w:fill="auto"/>
                <w:vAlign w:val="center"/>
              </w:tcPr>
              <w:p w14:paraId="6D79C0CC"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807,522.13</w:t>
                </w:r>
              </w:p>
            </w:tc>
          </w:tr>
          <w:tr w:rsidR="002D0AE7" w14:paraId="7AEAF278" w14:textId="77777777">
            <w:trPr>
              <w:cantSplit/>
              <w:trHeight w:val="273"/>
              <w:jc w:val="center"/>
            </w:trPr>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14:paraId="078AB8F4" w14:textId="77777777" w:rsidR="002D0AE7" w:rsidRDefault="00333EBB">
                <w:pPr>
                  <w:rPr>
                    <w:rFonts w:hint="eastAsia"/>
                    <w:color w:val="000000" w:themeColor="text1"/>
                    <w:sz w:val="21"/>
                    <w:szCs w:val="21"/>
                  </w:rPr>
                </w:pPr>
                <w:r>
                  <w:rPr>
                    <w:rFonts w:hint="eastAsia"/>
                    <w:sz w:val="21"/>
                    <w:szCs w:val="21"/>
                  </w:rPr>
                  <w:t>天津药业研究院股份有限公司</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14:paraId="6FE60E2D" w14:textId="77777777" w:rsidR="002D0AE7" w:rsidRDefault="00333EBB">
                <w:pPr>
                  <w:rPr>
                    <w:rFonts w:hint="eastAsia"/>
                    <w:color w:val="000000" w:themeColor="text1"/>
                    <w:sz w:val="21"/>
                    <w:szCs w:val="21"/>
                  </w:rPr>
                </w:pPr>
                <w:r>
                  <w:rPr>
                    <w:rFonts w:hint="eastAsia"/>
                    <w:sz w:val="21"/>
                    <w:szCs w:val="21"/>
                  </w:rPr>
                  <w:t>原料药、燃动力、后勤服务费</w:t>
                </w:r>
              </w:p>
            </w:tc>
            <w:tc>
              <w:tcPr>
                <w:tcW w:w="972" w:type="pct"/>
                <w:tcBorders>
                  <w:top w:val="single" w:sz="4" w:space="0" w:color="auto"/>
                  <w:left w:val="single" w:sz="4" w:space="0" w:color="auto"/>
                  <w:right w:val="single" w:sz="4" w:space="0" w:color="auto"/>
                </w:tcBorders>
                <w:shd w:val="clear" w:color="auto" w:fill="auto"/>
                <w:vAlign w:val="center"/>
              </w:tcPr>
              <w:p w14:paraId="67BAD49F"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810,383.66</w:t>
                </w:r>
              </w:p>
            </w:tc>
            <w:tc>
              <w:tcPr>
                <w:tcW w:w="901" w:type="pct"/>
                <w:tcBorders>
                  <w:top w:val="single" w:sz="4" w:space="0" w:color="auto"/>
                  <w:left w:val="single" w:sz="4" w:space="0" w:color="auto"/>
                  <w:right w:val="single" w:sz="4" w:space="0" w:color="auto"/>
                </w:tcBorders>
                <w:shd w:val="clear" w:color="auto" w:fill="auto"/>
                <w:vAlign w:val="center"/>
              </w:tcPr>
              <w:p w14:paraId="057BD6C5"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1,353,609.11</w:t>
                </w:r>
              </w:p>
            </w:tc>
          </w:tr>
          <w:tr w:rsidR="002D0AE7" w14:paraId="2DB71D19" w14:textId="77777777">
            <w:trPr>
              <w:cantSplit/>
              <w:trHeight w:val="273"/>
              <w:jc w:val="center"/>
            </w:trPr>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14:paraId="2264DA8F" w14:textId="77777777" w:rsidR="002D0AE7" w:rsidRDefault="00333EBB">
                <w:pPr>
                  <w:rPr>
                    <w:rFonts w:hint="eastAsia"/>
                    <w:color w:val="000000" w:themeColor="text1"/>
                    <w:sz w:val="21"/>
                    <w:szCs w:val="21"/>
                  </w:rPr>
                </w:pPr>
                <w:r>
                  <w:rPr>
                    <w:rFonts w:hint="eastAsia"/>
                    <w:sz w:val="21"/>
                    <w:szCs w:val="21"/>
                  </w:rPr>
                  <w:t>津药永光（河北）制药有限公司</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14:paraId="12216842" w14:textId="77777777" w:rsidR="002D0AE7" w:rsidRDefault="00333EBB">
                <w:pPr>
                  <w:rPr>
                    <w:rFonts w:hint="eastAsia"/>
                    <w:color w:val="000000" w:themeColor="text1"/>
                    <w:sz w:val="21"/>
                    <w:szCs w:val="21"/>
                  </w:rPr>
                </w:pPr>
                <w:r>
                  <w:rPr>
                    <w:rFonts w:hint="eastAsia"/>
                    <w:sz w:val="21"/>
                    <w:szCs w:val="21"/>
                  </w:rPr>
                  <w:t>原料药、设备</w:t>
                </w:r>
              </w:p>
            </w:tc>
            <w:tc>
              <w:tcPr>
                <w:tcW w:w="972" w:type="pct"/>
                <w:tcBorders>
                  <w:top w:val="single" w:sz="4" w:space="0" w:color="auto"/>
                  <w:left w:val="single" w:sz="4" w:space="0" w:color="auto"/>
                  <w:right w:val="single" w:sz="4" w:space="0" w:color="auto"/>
                </w:tcBorders>
                <w:shd w:val="clear" w:color="auto" w:fill="auto"/>
                <w:vAlign w:val="center"/>
              </w:tcPr>
              <w:p w14:paraId="26A96A52"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478,982.30</w:t>
                </w:r>
              </w:p>
            </w:tc>
            <w:tc>
              <w:tcPr>
                <w:tcW w:w="901" w:type="pct"/>
                <w:tcBorders>
                  <w:top w:val="single" w:sz="4" w:space="0" w:color="auto"/>
                  <w:left w:val="single" w:sz="4" w:space="0" w:color="auto"/>
                  <w:right w:val="single" w:sz="4" w:space="0" w:color="auto"/>
                </w:tcBorders>
                <w:shd w:val="clear" w:color="auto" w:fill="auto"/>
                <w:vAlign w:val="center"/>
              </w:tcPr>
              <w:p w14:paraId="4C60840F"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442,477.88</w:t>
                </w:r>
              </w:p>
            </w:tc>
          </w:tr>
          <w:tr w:rsidR="002D0AE7" w14:paraId="1C2ABFC6" w14:textId="77777777">
            <w:trPr>
              <w:cantSplit/>
              <w:trHeight w:val="273"/>
              <w:jc w:val="center"/>
            </w:trPr>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14:paraId="64E42644" w14:textId="77777777" w:rsidR="002D0AE7" w:rsidRDefault="00333EBB">
                <w:pPr>
                  <w:rPr>
                    <w:rFonts w:hint="eastAsia"/>
                    <w:color w:val="000000" w:themeColor="text1"/>
                    <w:sz w:val="21"/>
                    <w:szCs w:val="21"/>
                  </w:rPr>
                </w:pPr>
                <w:r>
                  <w:rPr>
                    <w:rFonts w:hint="eastAsia"/>
                    <w:sz w:val="21"/>
                    <w:szCs w:val="21"/>
                  </w:rPr>
                  <w:t>天津中新医药有限公司</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14:paraId="1F9CE4E8" w14:textId="77777777" w:rsidR="002D0AE7" w:rsidRDefault="00333EBB">
                <w:pPr>
                  <w:rPr>
                    <w:rFonts w:hint="eastAsia"/>
                    <w:color w:val="000000" w:themeColor="text1"/>
                    <w:sz w:val="21"/>
                    <w:szCs w:val="21"/>
                  </w:rPr>
                </w:pPr>
                <w:r>
                  <w:rPr>
                    <w:rFonts w:hint="eastAsia"/>
                    <w:sz w:val="21"/>
                    <w:szCs w:val="21"/>
                  </w:rPr>
                  <w:t>制剂</w:t>
                </w:r>
              </w:p>
            </w:tc>
            <w:tc>
              <w:tcPr>
                <w:tcW w:w="972" w:type="pct"/>
                <w:tcBorders>
                  <w:top w:val="single" w:sz="4" w:space="0" w:color="auto"/>
                  <w:left w:val="single" w:sz="4" w:space="0" w:color="auto"/>
                  <w:right w:val="single" w:sz="4" w:space="0" w:color="auto"/>
                </w:tcBorders>
                <w:shd w:val="clear" w:color="auto" w:fill="auto"/>
                <w:vAlign w:val="center"/>
              </w:tcPr>
              <w:p w14:paraId="610668D4"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142,228.36</w:t>
                </w:r>
              </w:p>
            </w:tc>
            <w:tc>
              <w:tcPr>
                <w:tcW w:w="901" w:type="pct"/>
                <w:tcBorders>
                  <w:top w:val="single" w:sz="4" w:space="0" w:color="auto"/>
                  <w:left w:val="single" w:sz="4" w:space="0" w:color="auto"/>
                  <w:right w:val="single" w:sz="4" w:space="0" w:color="auto"/>
                </w:tcBorders>
                <w:shd w:val="clear" w:color="auto" w:fill="auto"/>
                <w:vAlign w:val="center"/>
              </w:tcPr>
              <w:p w14:paraId="4DF070F8"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569,903.38</w:t>
                </w:r>
              </w:p>
            </w:tc>
          </w:tr>
          <w:tr w:rsidR="002D0AE7" w14:paraId="779D1839" w14:textId="77777777">
            <w:trPr>
              <w:cantSplit/>
              <w:trHeight w:val="273"/>
              <w:jc w:val="center"/>
            </w:trPr>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14:paraId="2F0BD510" w14:textId="77777777" w:rsidR="002D0AE7" w:rsidRDefault="00333EBB">
                <w:pPr>
                  <w:rPr>
                    <w:rFonts w:hint="eastAsia"/>
                    <w:color w:val="000000" w:themeColor="text1"/>
                    <w:sz w:val="21"/>
                    <w:szCs w:val="21"/>
                  </w:rPr>
                </w:pPr>
                <w:r>
                  <w:rPr>
                    <w:rFonts w:hint="eastAsia"/>
                    <w:sz w:val="21"/>
                    <w:szCs w:val="21"/>
                  </w:rPr>
                  <w:t>天津信诺制药有限公司</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14:paraId="73F9A140" w14:textId="77777777" w:rsidR="002D0AE7" w:rsidRDefault="00333EBB">
                <w:pPr>
                  <w:rPr>
                    <w:rFonts w:hint="eastAsia"/>
                    <w:color w:val="000000" w:themeColor="text1"/>
                    <w:sz w:val="21"/>
                    <w:szCs w:val="21"/>
                  </w:rPr>
                </w:pPr>
                <w:r>
                  <w:rPr>
                    <w:rFonts w:hint="eastAsia"/>
                    <w:sz w:val="21"/>
                    <w:szCs w:val="21"/>
                  </w:rPr>
                  <w:t>燃动力</w:t>
                </w:r>
              </w:p>
            </w:tc>
            <w:tc>
              <w:tcPr>
                <w:tcW w:w="972" w:type="pct"/>
                <w:tcBorders>
                  <w:top w:val="single" w:sz="4" w:space="0" w:color="auto"/>
                  <w:left w:val="single" w:sz="4" w:space="0" w:color="auto"/>
                  <w:right w:val="single" w:sz="4" w:space="0" w:color="auto"/>
                </w:tcBorders>
                <w:shd w:val="clear" w:color="auto" w:fill="auto"/>
                <w:vAlign w:val="center"/>
              </w:tcPr>
              <w:p w14:paraId="4AABF74E"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0.00</w:t>
                </w:r>
              </w:p>
            </w:tc>
            <w:tc>
              <w:tcPr>
                <w:tcW w:w="901" w:type="pct"/>
                <w:tcBorders>
                  <w:top w:val="single" w:sz="4" w:space="0" w:color="auto"/>
                  <w:left w:val="single" w:sz="4" w:space="0" w:color="auto"/>
                  <w:right w:val="single" w:sz="4" w:space="0" w:color="auto"/>
                </w:tcBorders>
                <w:shd w:val="clear" w:color="auto" w:fill="auto"/>
                <w:vAlign w:val="center"/>
              </w:tcPr>
              <w:p w14:paraId="423B4A45"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148,672.57</w:t>
                </w:r>
              </w:p>
            </w:tc>
          </w:tr>
          <w:tr w:rsidR="002D0AE7" w14:paraId="4D01B458" w14:textId="77777777">
            <w:trPr>
              <w:cantSplit/>
              <w:trHeight w:val="273"/>
              <w:jc w:val="center"/>
            </w:trPr>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14:paraId="60B736C5" w14:textId="77777777" w:rsidR="002D0AE7" w:rsidRDefault="00333EBB">
                <w:pPr>
                  <w:rPr>
                    <w:rFonts w:hint="eastAsia"/>
                    <w:color w:val="000000" w:themeColor="text1"/>
                    <w:sz w:val="21"/>
                    <w:szCs w:val="21"/>
                  </w:rPr>
                </w:pPr>
                <w:r>
                  <w:rPr>
                    <w:rFonts w:hint="eastAsia"/>
                    <w:sz w:val="21"/>
                    <w:szCs w:val="21"/>
                  </w:rPr>
                  <w:t>天津中新药业集团国卫医药有限公司</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14:paraId="6FBD0B57" w14:textId="77777777" w:rsidR="002D0AE7" w:rsidRDefault="00333EBB">
                <w:pPr>
                  <w:rPr>
                    <w:rFonts w:hint="eastAsia"/>
                    <w:color w:val="000000" w:themeColor="text1"/>
                    <w:sz w:val="21"/>
                    <w:szCs w:val="21"/>
                  </w:rPr>
                </w:pPr>
                <w:r>
                  <w:rPr>
                    <w:rFonts w:hint="eastAsia"/>
                    <w:sz w:val="21"/>
                    <w:szCs w:val="21"/>
                  </w:rPr>
                  <w:t>制剂</w:t>
                </w:r>
              </w:p>
            </w:tc>
            <w:tc>
              <w:tcPr>
                <w:tcW w:w="972" w:type="pct"/>
                <w:tcBorders>
                  <w:top w:val="single" w:sz="4" w:space="0" w:color="auto"/>
                  <w:left w:val="single" w:sz="4" w:space="0" w:color="auto"/>
                  <w:right w:val="single" w:sz="4" w:space="0" w:color="auto"/>
                </w:tcBorders>
                <w:shd w:val="clear" w:color="auto" w:fill="auto"/>
                <w:vAlign w:val="center"/>
              </w:tcPr>
              <w:p w14:paraId="4268F866"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73,072.58</w:t>
                </w:r>
              </w:p>
            </w:tc>
            <w:tc>
              <w:tcPr>
                <w:tcW w:w="901" w:type="pct"/>
                <w:tcBorders>
                  <w:top w:val="single" w:sz="4" w:space="0" w:color="auto"/>
                  <w:left w:val="single" w:sz="4" w:space="0" w:color="auto"/>
                  <w:right w:val="single" w:sz="4" w:space="0" w:color="auto"/>
                </w:tcBorders>
                <w:shd w:val="clear" w:color="auto" w:fill="auto"/>
                <w:vAlign w:val="center"/>
              </w:tcPr>
              <w:p w14:paraId="500E3B31"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0.00</w:t>
                </w:r>
              </w:p>
            </w:tc>
          </w:tr>
          <w:tr w:rsidR="002D0AE7" w14:paraId="0E5CD93B" w14:textId="77777777">
            <w:trPr>
              <w:cantSplit/>
              <w:jc w:val="center"/>
            </w:trPr>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14:paraId="5570833C" w14:textId="77777777" w:rsidR="002D0AE7" w:rsidRDefault="00333EBB">
                <w:pPr>
                  <w:rPr>
                    <w:rFonts w:hint="eastAsia"/>
                    <w:sz w:val="21"/>
                    <w:szCs w:val="21"/>
                  </w:rPr>
                </w:pPr>
                <w:r>
                  <w:rPr>
                    <w:rFonts w:hint="eastAsia"/>
                    <w:sz w:val="21"/>
                    <w:szCs w:val="21"/>
                  </w:rPr>
                  <w:t>天津诺达医疗科技有限公司</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14:paraId="58678AE2" w14:textId="77777777" w:rsidR="002D0AE7" w:rsidRDefault="00333EBB">
                <w:pPr>
                  <w:rPr>
                    <w:rFonts w:hint="eastAsia"/>
                    <w:sz w:val="21"/>
                    <w:szCs w:val="21"/>
                  </w:rPr>
                </w:pPr>
                <w:r>
                  <w:rPr>
                    <w:rFonts w:hint="eastAsia"/>
                    <w:sz w:val="21"/>
                    <w:szCs w:val="21"/>
                  </w:rPr>
                  <w:t>燃动力</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1747E42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9,036.07</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3C07B2A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36,016.00</w:t>
                </w:r>
              </w:p>
            </w:tc>
          </w:tr>
          <w:tr w:rsidR="002D0AE7" w14:paraId="60EA4ACA" w14:textId="77777777">
            <w:trPr>
              <w:cantSplit/>
              <w:jc w:val="center"/>
            </w:trPr>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14:paraId="1B0660E3" w14:textId="77777777" w:rsidR="002D0AE7" w:rsidRDefault="00333EBB">
                <w:pPr>
                  <w:rPr>
                    <w:rFonts w:hint="eastAsia"/>
                    <w:sz w:val="21"/>
                    <w:szCs w:val="21"/>
                  </w:rPr>
                </w:pPr>
                <w:r>
                  <w:rPr>
                    <w:rFonts w:hint="eastAsia"/>
                    <w:sz w:val="21"/>
                    <w:szCs w:val="21"/>
                  </w:rPr>
                  <w:t>天津药业集团有限公司</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14:paraId="5EBF9DA2" w14:textId="77777777" w:rsidR="002D0AE7" w:rsidRDefault="00333EBB">
                <w:pPr>
                  <w:rPr>
                    <w:rFonts w:hint="eastAsia"/>
                    <w:sz w:val="21"/>
                    <w:szCs w:val="21"/>
                  </w:rPr>
                </w:pPr>
                <w:r>
                  <w:rPr>
                    <w:rFonts w:hint="eastAsia"/>
                    <w:sz w:val="21"/>
                    <w:szCs w:val="21"/>
                  </w:rPr>
                  <w:t>燃动力</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780F406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211,376.14</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7C2635C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3920FDE7" w14:textId="77777777">
            <w:trPr>
              <w:cantSplit/>
              <w:jc w:val="center"/>
            </w:trPr>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14:paraId="17442172" w14:textId="77777777" w:rsidR="002D0AE7" w:rsidRDefault="00333EBB">
                <w:pPr>
                  <w:rPr>
                    <w:rFonts w:hint="eastAsia"/>
                    <w:sz w:val="21"/>
                    <w:szCs w:val="21"/>
                  </w:rPr>
                </w:pPr>
                <w:r>
                  <w:rPr>
                    <w:rFonts w:hint="eastAsia"/>
                    <w:sz w:val="21"/>
                    <w:szCs w:val="21"/>
                  </w:rPr>
                  <w:t>合计</w:t>
                </w:r>
              </w:p>
            </w:tc>
            <w:tc>
              <w:tcPr>
                <w:tcW w:w="1395" w:type="pct"/>
                <w:tcBorders>
                  <w:top w:val="single" w:sz="4" w:space="0" w:color="auto"/>
                  <w:left w:val="single" w:sz="4" w:space="0" w:color="auto"/>
                  <w:bottom w:val="single" w:sz="4" w:space="0" w:color="auto"/>
                  <w:right w:val="single" w:sz="4" w:space="0" w:color="auto"/>
                </w:tcBorders>
                <w:shd w:val="clear" w:color="auto" w:fill="auto"/>
                <w:vAlign w:val="center"/>
              </w:tcPr>
              <w:p w14:paraId="2BC3C1C5" w14:textId="77777777" w:rsidR="002D0AE7" w:rsidRDefault="00333EBB">
                <w:pPr>
                  <w:rPr>
                    <w:rFonts w:hint="eastAsia"/>
                    <w:sz w:val="21"/>
                    <w:szCs w:val="21"/>
                  </w:rPr>
                </w:pPr>
                <w:r>
                  <w:rPr>
                    <w:sz w:val="21"/>
                    <w:szCs w:val="21"/>
                  </w:rPr>
                  <w:t>/</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0FED749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43,934,147.47</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14:paraId="239F80E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44,372,575.23</w:t>
                </w:r>
              </w:p>
            </w:tc>
          </w:tr>
        </w:tbl>
      </w:sdtContent>
    </w:sdt>
    <w:bookmarkEnd w:id="235"/>
    <w:p w14:paraId="41B9548B" w14:textId="77777777" w:rsidR="002D0AE7" w:rsidRDefault="00333EBB">
      <w:pPr>
        <w:pStyle w:val="4"/>
        <w:numPr>
          <w:ilvl w:val="0"/>
          <w:numId w:val="81"/>
        </w:numPr>
        <w:tabs>
          <w:tab w:val="left" w:pos="616"/>
        </w:tabs>
        <w:rPr>
          <w:rFonts w:ascii="宋体" w:hAnsi="宋体" w:hint="eastAsia"/>
          <w:color w:val="000000" w:themeColor="text1"/>
        </w:rPr>
      </w:pPr>
      <w:r>
        <w:rPr>
          <w:rFonts w:ascii="宋体" w:hAnsi="宋体" w:hint="eastAsia"/>
          <w:color w:val="000000" w:themeColor="text1"/>
        </w:rPr>
        <w:t>联受托管理</w:t>
      </w:r>
      <w:r>
        <w:rPr>
          <w:rFonts w:ascii="宋体" w:hAnsi="宋体" w:hint="eastAsia"/>
          <w:color w:val="000000" w:themeColor="text1"/>
        </w:rPr>
        <w:t>/</w:t>
      </w:r>
      <w:r>
        <w:rPr>
          <w:rFonts w:ascii="宋体" w:hAnsi="宋体" w:hint="eastAsia"/>
          <w:color w:val="000000" w:themeColor="text1"/>
        </w:rPr>
        <w:t>承包及委托管理</w:t>
      </w:r>
      <w:r>
        <w:rPr>
          <w:rFonts w:ascii="宋体" w:hAnsi="宋体" w:hint="eastAsia"/>
          <w:color w:val="000000" w:themeColor="text1"/>
        </w:rPr>
        <w:t>/</w:t>
      </w:r>
      <w:r>
        <w:rPr>
          <w:rFonts w:ascii="宋体" w:hAnsi="宋体" w:hint="eastAsia"/>
          <w:color w:val="000000" w:themeColor="text1"/>
        </w:rPr>
        <w:t>出包情况</w:t>
      </w:r>
    </w:p>
    <w:sdt>
      <w:sdtPr>
        <w:rPr>
          <w:rFonts w:hint="eastAsia"/>
          <w:color w:val="000000" w:themeColor="text1"/>
        </w:rPr>
        <w:alias w:val="模块:关联受托管理/承包及委托管理/出包情况"/>
        <w:tag w:val="_GBC_41e9e66a2ab04304a0db7b9e032817c5"/>
        <w:id w:val="1706140006"/>
        <w:lock w:val="sdtLocked"/>
        <w:placeholder>
          <w:docPart w:val="DefaultPlaceholder_-1854013440"/>
        </w:placeholder>
      </w:sdtPr>
      <w:sdtEndPr>
        <w:rPr>
          <w:rFonts w:cs="Cambria"/>
          <w:sz w:val="21"/>
        </w:rPr>
      </w:sdtEndPr>
      <w:sdtContent>
        <w:p w14:paraId="7DED393A" w14:textId="77777777" w:rsidR="002D0AE7" w:rsidRDefault="00333EBB">
          <w:pPr>
            <w:rPr>
              <w:rFonts w:hint="eastAsia"/>
              <w:color w:val="000000" w:themeColor="text1"/>
            </w:rPr>
          </w:pPr>
          <w:r>
            <w:rPr>
              <w:rFonts w:hint="eastAsia"/>
              <w:color w:val="000000" w:themeColor="text1"/>
            </w:rPr>
            <w:t>本公司受托管理</w:t>
          </w:r>
          <w:r>
            <w:rPr>
              <w:rFonts w:hint="eastAsia"/>
              <w:color w:val="000000" w:themeColor="text1"/>
            </w:rPr>
            <w:t>/</w:t>
          </w:r>
          <w:r>
            <w:rPr>
              <w:rFonts w:hint="eastAsia"/>
              <w:color w:val="000000" w:themeColor="text1"/>
            </w:rPr>
            <w:t>承包情况表：</w:t>
          </w:r>
        </w:p>
        <w:sdt>
          <w:sdtPr>
            <w:rPr>
              <w:rFonts w:cs="Cambria"/>
              <w:color w:val="000000" w:themeColor="text1"/>
            </w:rPr>
            <w:alias w:val="是否适用：本公司受托管理或承包情况表[双击切换]"/>
            <w:tag w:val="_GBC_3810b3cad54c4b2f9754e7d6be3e9480"/>
            <w:id w:val="-1391649760"/>
            <w:placeholder>
              <w:docPart w:val="GBC22222222222222222222222222222"/>
            </w:placeholder>
          </w:sdtPr>
          <w:sdtEndPr/>
          <w:sdtContent>
            <w:p w14:paraId="10B95305" w14:textId="77777777" w:rsidR="002D0AE7" w:rsidRDefault="00333EBB">
              <w:pPr>
                <w:rPr>
                  <w:rFonts w:cs="Cambria" w:hint="eastAsia"/>
                  <w:color w:val="000000" w:themeColor="text1"/>
                </w:rPr>
              </w:pPr>
              <w:r>
                <w:rPr>
                  <w:rFonts w:cs="Cambria"/>
                  <w:color w:val="000000" w:themeColor="text1"/>
                </w:rPr>
                <w:fldChar w:fldCharType="begin"/>
              </w:r>
              <w:r>
                <w:rPr>
                  <w:rFonts w:cs="Cambria"/>
                  <w:color w:val="000000" w:themeColor="text1"/>
                </w:rPr>
                <w:instrText xml:space="preserve"> MACROBUTTON  SnrToggleCheckbox √</w:instrText>
              </w:r>
              <w:r>
                <w:rPr>
                  <w:rFonts w:cs="Cambria"/>
                  <w:color w:val="000000" w:themeColor="text1"/>
                </w:rPr>
                <w:instrText>适用</w:instrText>
              </w:r>
              <w:r>
                <w:rPr>
                  <w:rFonts w:cs="Cambria"/>
                  <w:color w:val="000000" w:themeColor="text1"/>
                </w:rPr>
                <w:instrText xml:space="preserve"> </w:instrText>
              </w:r>
              <w:r>
                <w:rPr>
                  <w:rFonts w:cs="Cambria"/>
                  <w:color w:val="000000" w:themeColor="text1"/>
                </w:rPr>
                <w:fldChar w:fldCharType="end"/>
              </w:r>
              <w:r>
                <w:rPr>
                  <w:rFonts w:cs="Cambria"/>
                  <w:color w:val="000000" w:themeColor="text1"/>
                </w:rPr>
                <w:fldChar w:fldCharType="begin"/>
              </w:r>
              <w:r>
                <w:rPr>
                  <w:rFonts w:cs="Cambria"/>
                  <w:color w:val="000000" w:themeColor="text1"/>
                </w:rPr>
                <w:instrText xml:space="preserve"> MACROBUTTON  SnrToggleCheckbox □</w:instrText>
              </w:r>
              <w:r>
                <w:rPr>
                  <w:rFonts w:cs="Cambria"/>
                  <w:color w:val="000000" w:themeColor="text1"/>
                </w:rPr>
                <w:instrText>不适用</w:instrText>
              </w:r>
              <w:r>
                <w:rPr>
                  <w:rFonts w:cs="Cambria"/>
                  <w:color w:val="000000" w:themeColor="text1"/>
                </w:rPr>
                <w:instrText xml:space="preserve"> </w:instrText>
              </w:r>
              <w:r>
                <w:rPr>
                  <w:rFonts w:cs="Cambria"/>
                  <w:color w:val="000000" w:themeColor="text1"/>
                </w:rPr>
                <w:fldChar w:fldCharType="end"/>
              </w:r>
            </w:p>
          </w:sdtContent>
        </w:sdt>
        <w:p w14:paraId="30B29E7D" w14:textId="77777777" w:rsidR="002D0AE7" w:rsidRDefault="00333EBB">
          <w:pPr>
            <w:rPr>
              <w:rFonts w:cs="Cambria" w:hint="eastAsia"/>
              <w:color w:val="000000" w:themeColor="text1"/>
              <w:sz w:val="21"/>
            </w:rPr>
          </w:pPr>
          <w:r>
            <w:rPr>
              <w:rFonts w:cs="Cambria" w:hint="eastAsia"/>
              <w:color w:val="000000" w:themeColor="text1"/>
              <w:sz w:val="21"/>
            </w:rPr>
            <w:t>内容详见第六节</w:t>
          </w:r>
          <w:r>
            <w:rPr>
              <w:rFonts w:cs="Cambria"/>
              <w:color w:val="000000" w:themeColor="text1"/>
              <w:sz w:val="21"/>
            </w:rPr>
            <w:t>十一、重大合同及其履行情况</w:t>
          </w:r>
          <w:r>
            <w:rPr>
              <w:rFonts w:cs="Cambria"/>
              <w:color w:val="000000" w:themeColor="text1"/>
              <w:sz w:val="21"/>
            </w:rPr>
            <w:t>1</w:t>
          </w:r>
          <w:r>
            <w:rPr>
              <w:rFonts w:cs="Cambria"/>
              <w:color w:val="000000" w:themeColor="text1"/>
              <w:sz w:val="21"/>
            </w:rPr>
            <w:t>托管、承包、租赁事项</w:t>
          </w:r>
          <w:r>
            <w:rPr>
              <w:rFonts w:cs="Cambria" w:hint="eastAsia"/>
              <w:color w:val="000000" w:themeColor="text1"/>
              <w:sz w:val="21"/>
            </w:rPr>
            <w:t>（</w:t>
          </w:r>
          <w:r>
            <w:rPr>
              <w:rFonts w:cs="Cambria"/>
              <w:color w:val="000000" w:themeColor="text1"/>
              <w:sz w:val="21"/>
            </w:rPr>
            <w:t>1</w:t>
          </w:r>
          <w:r>
            <w:rPr>
              <w:rFonts w:cs="Cambria" w:hint="eastAsia"/>
              <w:color w:val="000000" w:themeColor="text1"/>
              <w:sz w:val="21"/>
            </w:rPr>
            <w:t>）</w:t>
          </w:r>
          <w:r>
            <w:rPr>
              <w:rFonts w:cs="Cambria"/>
              <w:color w:val="000000" w:themeColor="text1"/>
              <w:sz w:val="21"/>
            </w:rPr>
            <w:t>托管情况</w:t>
          </w:r>
          <w:r>
            <w:rPr>
              <w:rFonts w:cs="Cambria" w:hint="eastAsia"/>
              <w:color w:val="000000" w:themeColor="text1"/>
              <w:sz w:val="21"/>
            </w:rPr>
            <w:t>。</w:t>
          </w:r>
        </w:p>
      </w:sdtContent>
    </w:sdt>
    <w:p w14:paraId="4F76F9AD" w14:textId="77777777" w:rsidR="002D0AE7" w:rsidRDefault="00333EBB">
      <w:pPr>
        <w:pStyle w:val="4"/>
        <w:numPr>
          <w:ilvl w:val="0"/>
          <w:numId w:val="81"/>
        </w:numPr>
        <w:tabs>
          <w:tab w:val="left" w:pos="616"/>
        </w:tabs>
        <w:rPr>
          <w:rFonts w:ascii="宋体" w:hAnsi="宋体" w:hint="eastAsia"/>
          <w:color w:val="000000" w:themeColor="text1"/>
        </w:rPr>
      </w:pPr>
      <w:bookmarkStart w:id="236" w:name="_Hlk105747475"/>
      <w:r>
        <w:rPr>
          <w:rFonts w:ascii="宋体" w:hAnsi="宋体" w:hint="eastAsia"/>
          <w:color w:val="000000" w:themeColor="text1"/>
        </w:rPr>
        <w:t>关联租赁情况</w:t>
      </w:r>
    </w:p>
    <w:p w14:paraId="22553AA4" w14:textId="77777777" w:rsidR="002D0AE7" w:rsidRDefault="00333EBB">
      <w:pPr>
        <w:rPr>
          <w:rFonts w:hint="eastAsia"/>
          <w:color w:val="000000" w:themeColor="text1"/>
        </w:rPr>
      </w:pPr>
      <w:r>
        <w:rPr>
          <w:rFonts w:hint="eastAsia"/>
          <w:color w:val="000000" w:themeColor="text1"/>
        </w:rPr>
        <w:t>本公司作为出租方：</w:t>
      </w:r>
    </w:p>
    <w:sdt>
      <w:sdtPr>
        <w:rPr>
          <w:color w:val="000000" w:themeColor="text1"/>
        </w:rPr>
        <w:alias w:val="是否适用：本公司作为出租方的租赁情况表[双击切换]"/>
        <w:tag w:val="_GBC_f12cb8266cbd482b93c6a4bba1b05fb7"/>
        <w:id w:val="655188006"/>
        <w:placeholder>
          <w:docPart w:val="GBC22222222222222222222222222222"/>
        </w:placeholder>
      </w:sdtPr>
      <w:sdtEndPr/>
      <w:sdtContent>
        <w:p w14:paraId="3AB7626C"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28478F98"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关联租赁情况"/>
          <w:tag w:val="_GBC_b6ac4f0274e84bf2bac59898fb55e11d"/>
          <w:id w:val="-13311038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关联租赁情况"/>
          <w:tag w:val="_GBC_268dafb121cf40fdbb2bbe55df2badf0"/>
          <w:id w:val="159359242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397"/>
        <w:gridCol w:w="1420"/>
        <w:gridCol w:w="2125"/>
        <w:gridCol w:w="2125"/>
      </w:tblGrid>
      <w:tr w:rsidR="002D0AE7" w14:paraId="657DEDEB" w14:textId="77777777">
        <w:trPr>
          <w:trHeight w:val="338"/>
          <w:jc w:val="center"/>
        </w:trPr>
        <w:sdt>
          <w:sdtPr>
            <w:rPr>
              <w:color w:val="000000" w:themeColor="text1"/>
              <w:sz w:val="21"/>
              <w:szCs w:val="21"/>
            </w:rPr>
            <w:tag w:val="_PLD_d0bc662d818f4cea8a5953be241f0994"/>
            <w:id w:val="672075981"/>
          </w:sdtPr>
          <w:sdtEndPr/>
          <w:sdtContent>
            <w:tc>
              <w:tcPr>
                <w:tcW w:w="1873" w:type="pct"/>
                <w:tcBorders>
                  <w:top w:val="single" w:sz="4" w:space="0" w:color="auto"/>
                  <w:left w:val="single" w:sz="4" w:space="0" w:color="auto"/>
                  <w:right w:val="single" w:sz="4" w:space="0" w:color="auto"/>
                </w:tcBorders>
                <w:shd w:val="clear" w:color="auto" w:fill="auto"/>
                <w:vAlign w:val="center"/>
              </w:tcPr>
              <w:p w14:paraId="5C5C8333" w14:textId="77777777" w:rsidR="002D0AE7" w:rsidRDefault="00333EBB">
                <w:pPr>
                  <w:jc w:val="center"/>
                  <w:rPr>
                    <w:rFonts w:hint="eastAsia"/>
                    <w:color w:val="000000" w:themeColor="text1"/>
                    <w:sz w:val="21"/>
                    <w:szCs w:val="21"/>
                  </w:rPr>
                </w:pPr>
                <w:r>
                  <w:rPr>
                    <w:rFonts w:hint="eastAsia"/>
                    <w:color w:val="000000" w:themeColor="text1"/>
                    <w:sz w:val="21"/>
                    <w:szCs w:val="21"/>
                  </w:rPr>
                  <w:t>承租方名称</w:t>
                </w:r>
              </w:p>
            </w:tc>
          </w:sdtContent>
        </w:sdt>
        <w:sdt>
          <w:sdtPr>
            <w:rPr>
              <w:color w:val="000000" w:themeColor="text1"/>
              <w:sz w:val="21"/>
              <w:szCs w:val="21"/>
            </w:rPr>
            <w:tag w:val="_PLD_b201e1ba80ff4620b34885e088e03080"/>
            <w:id w:val="-786736015"/>
          </w:sdtPr>
          <w:sdtEndPr/>
          <w:sdtContent>
            <w:tc>
              <w:tcPr>
                <w:tcW w:w="783" w:type="pct"/>
                <w:tcBorders>
                  <w:top w:val="single" w:sz="4" w:space="0" w:color="auto"/>
                  <w:left w:val="single" w:sz="4" w:space="0" w:color="auto"/>
                  <w:right w:val="single" w:sz="4" w:space="0" w:color="auto"/>
                </w:tcBorders>
                <w:shd w:val="clear" w:color="auto" w:fill="auto"/>
                <w:vAlign w:val="center"/>
              </w:tcPr>
              <w:p w14:paraId="64221238" w14:textId="77777777" w:rsidR="002D0AE7" w:rsidRDefault="00333EBB">
                <w:pPr>
                  <w:jc w:val="center"/>
                  <w:rPr>
                    <w:rFonts w:hint="eastAsia"/>
                    <w:color w:val="000000" w:themeColor="text1"/>
                    <w:sz w:val="21"/>
                    <w:szCs w:val="21"/>
                  </w:rPr>
                </w:pPr>
                <w:r>
                  <w:rPr>
                    <w:rFonts w:hint="eastAsia"/>
                    <w:color w:val="000000" w:themeColor="text1"/>
                    <w:sz w:val="21"/>
                    <w:szCs w:val="21"/>
                  </w:rPr>
                  <w:t>租赁资产种类</w:t>
                </w:r>
              </w:p>
            </w:tc>
          </w:sdtContent>
        </w:sdt>
        <w:sdt>
          <w:sdtPr>
            <w:rPr>
              <w:color w:val="000000" w:themeColor="text1"/>
              <w:sz w:val="21"/>
              <w:szCs w:val="21"/>
            </w:rPr>
            <w:tag w:val="_PLD_2247dbd372c64f6bb229457f3849c03a"/>
            <w:id w:val="-1341453621"/>
          </w:sdtPr>
          <w:sdtEndPr/>
          <w:sdtContent>
            <w:tc>
              <w:tcPr>
                <w:tcW w:w="1172" w:type="pct"/>
                <w:tcBorders>
                  <w:top w:val="single" w:sz="4" w:space="0" w:color="auto"/>
                  <w:left w:val="single" w:sz="4" w:space="0" w:color="auto"/>
                  <w:right w:val="single" w:sz="4" w:space="0" w:color="auto"/>
                </w:tcBorders>
                <w:shd w:val="clear" w:color="auto" w:fill="auto"/>
                <w:vAlign w:val="center"/>
              </w:tcPr>
              <w:p w14:paraId="0A21CE41" w14:textId="77777777" w:rsidR="002D0AE7" w:rsidRDefault="00333EBB">
                <w:pPr>
                  <w:jc w:val="center"/>
                  <w:rPr>
                    <w:rFonts w:hint="eastAsia"/>
                    <w:color w:val="000000" w:themeColor="text1"/>
                    <w:sz w:val="21"/>
                    <w:szCs w:val="21"/>
                  </w:rPr>
                </w:pPr>
                <w:r>
                  <w:rPr>
                    <w:rFonts w:hint="eastAsia"/>
                    <w:color w:val="000000" w:themeColor="text1"/>
                    <w:sz w:val="21"/>
                    <w:szCs w:val="21"/>
                  </w:rPr>
                  <w:t>本期确认的租赁收入</w:t>
                </w:r>
              </w:p>
            </w:tc>
          </w:sdtContent>
        </w:sdt>
        <w:sdt>
          <w:sdtPr>
            <w:rPr>
              <w:color w:val="000000" w:themeColor="text1"/>
              <w:sz w:val="21"/>
              <w:szCs w:val="21"/>
            </w:rPr>
            <w:tag w:val="_PLD_94eb47eaf858403e8c39eab08f54efb9"/>
            <w:id w:val="1449816099"/>
          </w:sdtPr>
          <w:sdtEndPr/>
          <w:sdtContent>
            <w:tc>
              <w:tcPr>
                <w:tcW w:w="1173" w:type="pct"/>
                <w:tcBorders>
                  <w:top w:val="single" w:sz="4" w:space="0" w:color="auto"/>
                  <w:left w:val="single" w:sz="4" w:space="0" w:color="auto"/>
                  <w:right w:val="single" w:sz="4" w:space="0" w:color="auto"/>
                </w:tcBorders>
                <w:shd w:val="clear" w:color="auto" w:fill="auto"/>
                <w:vAlign w:val="center"/>
              </w:tcPr>
              <w:p w14:paraId="4DF25A45" w14:textId="77777777" w:rsidR="002D0AE7" w:rsidRDefault="00333EBB">
                <w:pPr>
                  <w:jc w:val="center"/>
                  <w:rPr>
                    <w:rFonts w:hint="eastAsia"/>
                    <w:color w:val="000000" w:themeColor="text1"/>
                    <w:sz w:val="21"/>
                    <w:szCs w:val="21"/>
                  </w:rPr>
                </w:pPr>
                <w:r>
                  <w:rPr>
                    <w:rFonts w:hint="eastAsia"/>
                    <w:color w:val="000000" w:themeColor="text1"/>
                    <w:sz w:val="21"/>
                    <w:szCs w:val="21"/>
                  </w:rPr>
                  <w:t>上期确认的租赁收入</w:t>
                </w:r>
              </w:p>
            </w:tc>
          </w:sdtContent>
        </w:sdt>
      </w:tr>
      <w:tr w:rsidR="002D0AE7" w14:paraId="79F1D12E" w14:textId="77777777">
        <w:trPr>
          <w:trHeight w:val="338"/>
          <w:jc w:val="center"/>
        </w:trPr>
        <w:tc>
          <w:tcPr>
            <w:tcW w:w="1873" w:type="pct"/>
            <w:tcBorders>
              <w:top w:val="single" w:sz="4" w:space="0" w:color="auto"/>
              <w:left w:val="single" w:sz="4" w:space="0" w:color="auto"/>
              <w:right w:val="single" w:sz="4" w:space="0" w:color="auto"/>
            </w:tcBorders>
            <w:shd w:val="clear" w:color="auto" w:fill="auto"/>
            <w:vAlign w:val="center"/>
          </w:tcPr>
          <w:p w14:paraId="2B1D3CF2" w14:textId="77777777" w:rsidR="002D0AE7" w:rsidRDefault="00333EBB">
            <w:pPr>
              <w:rPr>
                <w:rFonts w:hint="eastAsia"/>
                <w:color w:val="000000" w:themeColor="text1"/>
                <w:sz w:val="21"/>
                <w:szCs w:val="21"/>
              </w:rPr>
            </w:pPr>
            <w:r>
              <w:rPr>
                <w:rFonts w:hint="eastAsia"/>
                <w:sz w:val="21"/>
                <w:szCs w:val="21"/>
              </w:rPr>
              <w:t>津药生物科技（天津）有限公司</w:t>
            </w:r>
          </w:p>
        </w:tc>
        <w:tc>
          <w:tcPr>
            <w:tcW w:w="783" w:type="pct"/>
            <w:tcBorders>
              <w:top w:val="single" w:sz="4" w:space="0" w:color="auto"/>
              <w:left w:val="single" w:sz="4" w:space="0" w:color="auto"/>
              <w:right w:val="single" w:sz="4" w:space="0" w:color="auto"/>
            </w:tcBorders>
            <w:shd w:val="clear" w:color="auto" w:fill="auto"/>
            <w:vAlign w:val="center"/>
          </w:tcPr>
          <w:p w14:paraId="1BB7CAF6" w14:textId="77777777" w:rsidR="002D0AE7" w:rsidRDefault="00333EBB">
            <w:pPr>
              <w:rPr>
                <w:rFonts w:hint="eastAsia"/>
                <w:color w:val="000000" w:themeColor="text1"/>
                <w:sz w:val="21"/>
                <w:szCs w:val="21"/>
              </w:rPr>
            </w:pPr>
            <w:r>
              <w:rPr>
                <w:rFonts w:hint="eastAsia"/>
                <w:sz w:val="21"/>
                <w:szCs w:val="21"/>
              </w:rPr>
              <w:t>房产租赁</w:t>
            </w:r>
          </w:p>
        </w:tc>
        <w:tc>
          <w:tcPr>
            <w:tcW w:w="1172" w:type="pct"/>
            <w:tcBorders>
              <w:top w:val="single" w:sz="4" w:space="0" w:color="auto"/>
              <w:left w:val="single" w:sz="4" w:space="0" w:color="auto"/>
              <w:right w:val="single" w:sz="4" w:space="0" w:color="auto"/>
            </w:tcBorders>
            <w:shd w:val="clear" w:color="auto" w:fill="auto"/>
            <w:vAlign w:val="center"/>
          </w:tcPr>
          <w:p w14:paraId="74F1F7EF"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229,357.80</w:t>
            </w:r>
          </w:p>
        </w:tc>
        <w:tc>
          <w:tcPr>
            <w:tcW w:w="1173" w:type="pct"/>
            <w:tcBorders>
              <w:top w:val="single" w:sz="4" w:space="0" w:color="auto"/>
              <w:left w:val="single" w:sz="4" w:space="0" w:color="auto"/>
              <w:right w:val="single" w:sz="4" w:space="0" w:color="auto"/>
            </w:tcBorders>
            <w:shd w:val="clear" w:color="auto" w:fill="auto"/>
            <w:vAlign w:val="center"/>
          </w:tcPr>
          <w:p w14:paraId="01C1915A"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229,357.80</w:t>
            </w:r>
          </w:p>
        </w:tc>
      </w:tr>
      <w:tr w:rsidR="002D0AE7" w14:paraId="1880B43D" w14:textId="77777777">
        <w:trPr>
          <w:jc w:val="center"/>
        </w:trPr>
        <w:tc>
          <w:tcPr>
            <w:tcW w:w="1873" w:type="pct"/>
            <w:tcBorders>
              <w:top w:val="single" w:sz="4" w:space="0" w:color="auto"/>
              <w:left w:val="single" w:sz="4" w:space="0" w:color="auto"/>
              <w:bottom w:val="single" w:sz="4" w:space="0" w:color="auto"/>
              <w:right w:val="single" w:sz="4" w:space="0" w:color="auto"/>
            </w:tcBorders>
            <w:vAlign w:val="center"/>
          </w:tcPr>
          <w:p w14:paraId="4CF2C75A" w14:textId="77777777" w:rsidR="002D0AE7" w:rsidRDefault="00333EBB">
            <w:pPr>
              <w:rPr>
                <w:rFonts w:hint="eastAsia"/>
                <w:sz w:val="21"/>
                <w:szCs w:val="21"/>
              </w:rPr>
            </w:pPr>
            <w:r>
              <w:rPr>
                <w:rFonts w:hint="eastAsia"/>
                <w:sz w:val="21"/>
                <w:szCs w:val="21"/>
              </w:rPr>
              <w:t>天津药业研究院股份有限公司</w:t>
            </w:r>
          </w:p>
        </w:tc>
        <w:tc>
          <w:tcPr>
            <w:tcW w:w="783" w:type="pct"/>
            <w:tcBorders>
              <w:top w:val="single" w:sz="4" w:space="0" w:color="auto"/>
              <w:left w:val="single" w:sz="4" w:space="0" w:color="auto"/>
              <w:bottom w:val="single" w:sz="4" w:space="0" w:color="auto"/>
              <w:right w:val="single" w:sz="4" w:space="0" w:color="auto"/>
            </w:tcBorders>
            <w:vAlign w:val="center"/>
          </w:tcPr>
          <w:p w14:paraId="18D698FF" w14:textId="77777777" w:rsidR="002D0AE7" w:rsidRDefault="00333EBB">
            <w:pPr>
              <w:rPr>
                <w:rFonts w:hint="eastAsia"/>
                <w:sz w:val="21"/>
                <w:szCs w:val="21"/>
              </w:rPr>
            </w:pPr>
            <w:r>
              <w:rPr>
                <w:rFonts w:hint="eastAsia"/>
                <w:sz w:val="21"/>
                <w:szCs w:val="21"/>
              </w:rPr>
              <w:t>房产租赁</w:t>
            </w:r>
          </w:p>
        </w:tc>
        <w:tc>
          <w:tcPr>
            <w:tcW w:w="1172" w:type="pct"/>
            <w:tcBorders>
              <w:top w:val="single" w:sz="4" w:space="0" w:color="auto"/>
              <w:left w:val="single" w:sz="4" w:space="0" w:color="auto"/>
              <w:bottom w:val="single" w:sz="4" w:space="0" w:color="auto"/>
              <w:right w:val="single" w:sz="4" w:space="0" w:color="auto"/>
            </w:tcBorders>
            <w:vAlign w:val="center"/>
          </w:tcPr>
          <w:p w14:paraId="7BB8252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941,255.64</w:t>
            </w:r>
          </w:p>
        </w:tc>
        <w:tc>
          <w:tcPr>
            <w:tcW w:w="1173" w:type="pct"/>
            <w:tcBorders>
              <w:top w:val="single" w:sz="4" w:space="0" w:color="auto"/>
              <w:left w:val="single" w:sz="4" w:space="0" w:color="auto"/>
              <w:bottom w:val="single" w:sz="4" w:space="0" w:color="auto"/>
              <w:right w:val="single" w:sz="4" w:space="0" w:color="auto"/>
            </w:tcBorders>
            <w:vAlign w:val="center"/>
          </w:tcPr>
          <w:p w14:paraId="62775EE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1,069,481.04</w:t>
            </w:r>
          </w:p>
        </w:tc>
      </w:tr>
      <w:tr w:rsidR="002D0AE7" w14:paraId="53FAE18A" w14:textId="77777777">
        <w:trPr>
          <w:jc w:val="center"/>
        </w:trPr>
        <w:tc>
          <w:tcPr>
            <w:tcW w:w="1873" w:type="pct"/>
            <w:tcBorders>
              <w:top w:val="single" w:sz="4" w:space="0" w:color="auto"/>
              <w:left w:val="single" w:sz="4" w:space="0" w:color="auto"/>
              <w:bottom w:val="single" w:sz="4" w:space="0" w:color="auto"/>
              <w:right w:val="single" w:sz="4" w:space="0" w:color="auto"/>
            </w:tcBorders>
            <w:vAlign w:val="center"/>
          </w:tcPr>
          <w:p w14:paraId="1C8F465A" w14:textId="77777777" w:rsidR="002D0AE7" w:rsidRDefault="00333EBB">
            <w:pPr>
              <w:rPr>
                <w:rFonts w:hint="eastAsia"/>
                <w:sz w:val="21"/>
                <w:szCs w:val="21"/>
              </w:rPr>
            </w:pPr>
            <w:r>
              <w:rPr>
                <w:rFonts w:hint="eastAsia"/>
                <w:sz w:val="21"/>
                <w:szCs w:val="21"/>
              </w:rPr>
              <w:t>天津诺达医疗科技有限公司</w:t>
            </w:r>
          </w:p>
        </w:tc>
        <w:tc>
          <w:tcPr>
            <w:tcW w:w="783" w:type="pct"/>
            <w:tcBorders>
              <w:top w:val="single" w:sz="4" w:space="0" w:color="auto"/>
              <w:left w:val="single" w:sz="4" w:space="0" w:color="auto"/>
              <w:bottom w:val="single" w:sz="4" w:space="0" w:color="auto"/>
              <w:right w:val="single" w:sz="4" w:space="0" w:color="auto"/>
            </w:tcBorders>
            <w:vAlign w:val="center"/>
          </w:tcPr>
          <w:p w14:paraId="3F8ABB65" w14:textId="77777777" w:rsidR="002D0AE7" w:rsidRDefault="00333EBB">
            <w:pPr>
              <w:rPr>
                <w:rFonts w:hint="eastAsia"/>
                <w:sz w:val="21"/>
                <w:szCs w:val="21"/>
              </w:rPr>
            </w:pPr>
            <w:r>
              <w:rPr>
                <w:rFonts w:hint="eastAsia"/>
                <w:sz w:val="21"/>
                <w:szCs w:val="21"/>
              </w:rPr>
              <w:t>房产租赁</w:t>
            </w:r>
          </w:p>
        </w:tc>
        <w:tc>
          <w:tcPr>
            <w:tcW w:w="1172" w:type="pct"/>
            <w:tcBorders>
              <w:top w:val="single" w:sz="4" w:space="0" w:color="auto"/>
              <w:left w:val="single" w:sz="4" w:space="0" w:color="auto"/>
              <w:bottom w:val="single" w:sz="4" w:space="0" w:color="auto"/>
              <w:right w:val="single" w:sz="4" w:space="0" w:color="auto"/>
            </w:tcBorders>
            <w:vAlign w:val="center"/>
          </w:tcPr>
          <w:p w14:paraId="4843DD3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1173" w:type="pct"/>
            <w:tcBorders>
              <w:top w:val="single" w:sz="4" w:space="0" w:color="auto"/>
              <w:left w:val="single" w:sz="4" w:space="0" w:color="auto"/>
              <w:bottom w:val="single" w:sz="4" w:space="0" w:color="auto"/>
              <w:right w:val="single" w:sz="4" w:space="0" w:color="auto"/>
            </w:tcBorders>
            <w:vAlign w:val="center"/>
          </w:tcPr>
          <w:p w14:paraId="6E8A8AC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1,539,037.38</w:t>
            </w:r>
          </w:p>
        </w:tc>
      </w:tr>
      <w:tr w:rsidR="002D0AE7" w14:paraId="55C401DB" w14:textId="77777777">
        <w:trPr>
          <w:jc w:val="center"/>
        </w:trPr>
        <w:tc>
          <w:tcPr>
            <w:tcW w:w="1873" w:type="pct"/>
            <w:tcBorders>
              <w:top w:val="single" w:sz="4" w:space="0" w:color="auto"/>
              <w:left w:val="single" w:sz="4" w:space="0" w:color="auto"/>
              <w:bottom w:val="single" w:sz="4" w:space="0" w:color="auto"/>
              <w:right w:val="single" w:sz="4" w:space="0" w:color="auto"/>
            </w:tcBorders>
            <w:vAlign w:val="center"/>
          </w:tcPr>
          <w:p w14:paraId="5AAB3EAD" w14:textId="77777777" w:rsidR="002D0AE7" w:rsidRDefault="00333EBB">
            <w:pPr>
              <w:rPr>
                <w:rFonts w:hint="eastAsia"/>
                <w:bCs/>
                <w:sz w:val="21"/>
                <w:szCs w:val="21"/>
              </w:rPr>
            </w:pPr>
            <w:r>
              <w:rPr>
                <w:rFonts w:hint="eastAsia"/>
                <w:sz w:val="21"/>
                <w:szCs w:val="21"/>
              </w:rPr>
              <w:t>津药永光（河北）制药有限公司</w:t>
            </w:r>
          </w:p>
        </w:tc>
        <w:tc>
          <w:tcPr>
            <w:tcW w:w="783" w:type="pct"/>
            <w:tcBorders>
              <w:top w:val="single" w:sz="4" w:space="0" w:color="auto"/>
              <w:left w:val="single" w:sz="4" w:space="0" w:color="auto"/>
              <w:bottom w:val="single" w:sz="4" w:space="0" w:color="auto"/>
              <w:right w:val="single" w:sz="4" w:space="0" w:color="auto"/>
            </w:tcBorders>
            <w:vAlign w:val="center"/>
          </w:tcPr>
          <w:p w14:paraId="769060FD" w14:textId="77777777" w:rsidR="002D0AE7" w:rsidRDefault="00333EBB">
            <w:pPr>
              <w:rPr>
                <w:rFonts w:hint="eastAsia"/>
                <w:sz w:val="21"/>
                <w:szCs w:val="21"/>
              </w:rPr>
            </w:pPr>
            <w:r>
              <w:rPr>
                <w:rFonts w:hint="eastAsia"/>
                <w:sz w:val="21"/>
                <w:szCs w:val="21"/>
              </w:rPr>
              <w:t>设备租赁</w:t>
            </w:r>
          </w:p>
        </w:tc>
        <w:tc>
          <w:tcPr>
            <w:tcW w:w="1172" w:type="pct"/>
            <w:tcBorders>
              <w:top w:val="single" w:sz="4" w:space="0" w:color="auto"/>
              <w:left w:val="single" w:sz="4" w:space="0" w:color="auto"/>
              <w:bottom w:val="single" w:sz="4" w:space="0" w:color="auto"/>
              <w:right w:val="single" w:sz="4" w:space="0" w:color="auto"/>
            </w:tcBorders>
            <w:vAlign w:val="center"/>
          </w:tcPr>
          <w:p w14:paraId="1BE5CA9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309,734.52</w:t>
            </w:r>
          </w:p>
        </w:tc>
        <w:tc>
          <w:tcPr>
            <w:tcW w:w="1173" w:type="pct"/>
            <w:tcBorders>
              <w:top w:val="single" w:sz="4" w:space="0" w:color="auto"/>
              <w:left w:val="single" w:sz="4" w:space="0" w:color="auto"/>
              <w:bottom w:val="single" w:sz="4" w:space="0" w:color="auto"/>
              <w:right w:val="single" w:sz="4" w:space="0" w:color="auto"/>
            </w:tcBorders>
            <w:vAlign w:val="center"/>
          </w:tcPr>
          <w:p w14:paraId="5998CB81" w14:textId="77777777" w:rsidR="002D0AE7" w:rsidRDefault="00333EBB">
            <w:pPr>
              <w:jc w:val="right"/>
              <w:rPr>
                <w:rFonts w:ascii="Times New Roman" w:hAnsi="Times New Roman" w:cs="Times New Roman"/>
                <w:sz w:val="21"/>
                <w:szCs w:val="21"/>
              </w:rPr>
            </w:pPr>
            <w:r>
              <w:rPr>
                <w:rFonts w:ascii="Times New Roman" w:hAnsi="Times New Roman" w:cs="Times New Roman" w:hint="eastAsia"/>
                <w:sz w:val="21"/>
                <w:szCs w:val="21"/>
              </w:rPr>
              <w:t>0</w:t>
            </w:r>
            <w:r>
              <w:rPr>
                <w:rFonts w:ascii="Times New Roman" w:hAnsi="Times New Roman" w:cs="Times New Roman"/>
                <w:sz w:val="21"/>
                <w:szCs w:val="21"/>
              </w:rPr>
              <w:t>.00</w:t>
            </w:r>
          </w:p>
        </w:tc>
      </w:tr>
    </w:tbl>
    <w:p w14:paraId="5B882146" w14:textId="77777777" w:rsidR="002D0AE7" w:rsidRDefault="00333EBB">
      <w:pPr>
        <w:rPr>
          <w:rFonts w:hint="eastAsia"/>
          <w:color w:val="000000" w:themeColor="text1"/>
        </w:rPr>
      </w:pPr>
      <w:r>
        <w:rPr>
          <w:rFonts w:hint="eastAsia"/>
          <w:color w:val="000000" w:themeColor="text1"/>
        </w:rPr>
        <w:t>本公司作为承租方：</w:t>
      </w:r>
    </w:p>
    <w:sdt>
      <w:sdtPr>
        <w:rPr>
          <w:color w:val="000000" w:themeColor="text1"/>
        </w:rPr>
        <w:alias w:val="是否适用：本公司作为承租方的租赁情况表[双击切换]"/>
        <w:tag w:val="_GBC_e3319fb4cbb04bb0ab5516046d7e77a4"/>
        <w:id w:val="1371572348"/>
        <w:placeholder>
          <w:docPart w:val="GBC22222222222222222222222222222"/>
        </w:placeholder>
      </w:sdtPr>
      <w:sdtEndPr/>
      <w:sdtContent>
        <w:p w14:paraId="107157CB"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6741C6A8"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公司承租情况表"/>
          <w:tag w:val="_GBC_c4f9d2e7743f429a85c30d009abea834"/>
          <w:id w:val="145559896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公司承租情况表"/>
          <w:tag w:val="_GBC_bad2c4d4779f4dc2bace6d7ca19d4585"/>
          <w:id w:val="-171719295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6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080"/>
        <w:gridCol w:w="584"/>
        <w:gridCol w:w="584"/>
        <w:gridCol w:w="584"/>
        <w:gridCol w:w="584"/>
        <w:gridCol w:w="1320"/>
        <w:gridCol w:w="584"/>
        <w:gridCol w:w="584"/>
        <w:gridCol w:w="584"/>
        <w:gridCol w:w="584"/>
        <w:gridCol w:w="584"/>
      </w:tblGrid>
      <w:tr w:rsidR="002D0AE7" w14:paraId="06A01676" w14:textId="77777777">
        <w:trPr>
          <w:trHeight w:val="310"/>
          <w:jc w:val="center"/>
        </w:trPr>
        <w:bookmarkStart w:id="237" w:name="_Hlk105763087" w:displacedByCustomXml="next"/>
        <w:sdt>
          <w:sdtPr>
            <w:rPr>
              <w:rFonts w:hint="eastAsia"/>
              <w:color w:val="000000" w:themeColor="text1"/>
              <w:sz w:val="21"/>
              <w:szCs w:val="21"/>
            </w:rPr>
            <w:tag w:val="_PLD_76aca40f4bc449749d53bb5001736e76"/>
            <w:id w:val="129822779"/>
          </w:sdtPr>
          <w:sdtEndPr/>
          <w:sdtContent>
            <w:tc>
              <w:tcPr>
                <w:tcW w:w="1398" w:type="pct"/>
                <w:vMerge w:val="restart"/>
                <w:shd w:val="clear" w:color="auto" w:fill="auto"/>
                <w:vAlign w:val="center"/>
              </w:tcPr>
              <w:p w14:paraId="616F18E9" w14:textId="77777777" w:rsidR="002D0AE7" w:rsidRDefault="00333EBB">
                <w:pPr>
                  <w:widowControl w:val="0"/>
                  <w:jc w:val="center"/>
                  <w:rPr>
                    <w:rFonts w:hint="eastAsia"/>
                    <w:color w:val="000000" w:themeColor="text1"/>
                    <w:sz w:val="21"/>
                    <w:szCs w:val="21"/>
                  </w:rPr>
                </w:pPr>
                <w:r>
                  <w:rPr>
                    <w:rFonts w:hint="eastAsia"/>
                    <w:color w:val="000000" w:themeColor="text1"/>
                    <w:sz w:val="21"/>
                    <w:szCs w:val="21"/>
                  </w:rPr>
                  <w:t>出租方名称</w:t>
                </w:r>
              </w:p>
            </w:tc>
          </w:sdtContent>
        </w:sdt>
        <w:sdt>
          <w:sdtPr>
            <w:rPr>
              <w:rFonts w:hint="eastAsia"/>
              <w:color w:val="000000" w:themeColor="text1"/>
              <w:sz w:val="21"/>
              <w:szCs w:val="21"/>
            </w:rPr>
            <w:tag w:val="_PLD_fa7f13b1b3c846b7b6ec217c49c1dd79"/>
            <w:id w:val="2141920227"/>
          </w:sdtPr>
          <w:sdtEndPr/>
          <w:sdtContent>
            <w:tc>
              <w:tcPr>
                <w:tcW w:w="508" w:type="pct"/>
                <w:vMerge w:val="restart"/>
                <w:shd w:val="clear" w:color="auto" w:fill="auto"/>
                <w:vAlign w:val="center"/>
              </w:tcPr>
              <w:p w14:paraId="7E1B8279" w14:textId="77777777" w:rsidR="002D0AE7" w:rsidRDefault="00333EBB">
                <w:pPr>
                  <w:widowControl w:val="0"/>
                  <w:jc w:val="center"/>
                  <w:rPr>
                    <w:rFonts w:hint="eastAsia"/>
                    <w:color w:val="000000" w:themeColor="text1"/>
                    <w:sz w:val="21"/>
                    <w:szCs w:val="21"/>
                  </w:rPr>
                </w:pPr>
                <w:r>
                  <w:rPr>
                    <w:rFonts w:hint="eastAsia"/>
                    <w:color w:val="000000" w:themeColor="text1"/>
                    <w:sz w:val="21"/>
                    <w:szCs w:val="21"/>
                  </w:rPr>
                  <w:t>租赁资产种类</w:t>
                </w:r>
              </w:p>
            </w:tc>
          </w:sdtContent>
        </w:sdt>
        <w:sdt>
          <w:sdtPr>
            <w:rPr>
              <w:rFonts w:hint="eastAsia"/>
              <w:color w:val="000000" w:themeColor="text1"/>
              <w:sz w:val="21"/>
              <w:szCs w:val="21"/>
            </w:rPr>
            <w:tag w:val="_PLD_6ecc19a4e57f4a8bbe7a93c5010d71e3"/>
            <w:id w:val="686093757"/>
          </w:sdtPr>
          <w:sdtEndPr/>
          <w:sdtContent>
            <w:tc>
              <w:tcPr>
                <w:tcW w:w="550" w:type="pct"/>
                <w:gridSpan w:val="2"/>
                <w:shd w:val="clear" w:color="auto" w:fill="auto"/>
                <w:vAlign w:val="center"/>
              </w:tcPr>
              <w:p w14:paraId="00696860" w14:textId="77777777" w:rsidR="002D0AE7" w:rsidRDefault="00333EBB">
                <w:pPr>
                  <w:widowControl w:val="0"/>
                  <w:jc w:val="center"/>
                  <w:rPr>
                    <w:rFonts w:hint="eastAsia"/>
                    <w:color w:val="000000" w:themeColor="text1"/>
                    <w:sz w:val="21"/>
                    <w:szCs w:val="21"/>
                  </w:rPr>
                </w:pPr>
                <w:r>
                  <w:rPr>
                    <w:rFonts w:hint="eastAsia"/>
                    <w:color w:val="000000" w:themeColor="text1"/>
                    <w:sz w:val="21"/>
                    <w:szCs w:val="21"/>
                  </w:rPr>
                  <w:t>简化处理的短期租赁和低价值资产租赁的租金费用（如适用）</w:t>
                </w:r>
              </w:p>
            </w:tc>
          </w:sdtContent>
        </w:sdt>
        <w:sdt>
          <w:sdtPr>
            <w:rPr>
              <w:rFonts w:hint="eastAsia"/>
              <w:color w:val="000000" w:themeColor="text1"/>
              <w:sz w:val="21"/>
              <w:szCs w:val="21"/>
            </w:rPr>
            <w:tag w:val="_PLD_ab29166f37ff4e4bb85562c3bf83efb0"/>
            <w:id w:val="-1248183901"/>
          </w:sdtPr>
          <w:sdtEndPr/>
          <w:sdtContent>
            <w:tc>
              <w:tcPr>
                <w:tcW w:w="550" w:type="pct"/>
                <w:gridSpan w:val="2"/>
                <w:shd w:val="clear" w:color="auto" w:fill="auto"/>
                <w:vAlign w:val="center"/>
              </w:tcPr>
              <w:p w14:paraId="66D5EDA2" w14:textId="77777777" w:rsidR="002D0AE7" w:rsidRDefault="00333EBB">
                <w:pPr>
                  <w:widowControl w:val="0"/>
                  <w:jc w:val="center"/>
                  <w:rPr>
                    <w:rFonts w:hint="eastAsia"/>
                    <w:color w:val="000000" w:themeColor="text1"/>
                    <w:sz w:val="21"/>
                    <w:szCs w:val="21"/>
                  </w:rPr>
                </w:pPr>
                <w:r>
                  <w:rPr>
                    <w:rFonts w:hint="eastAsia"/>
                    <w:color w:val="000000" w:themeColor="text1"/>
                    <w:sz w:val="21"/>
                    <w:szCs w:val="21"/>
                  </w:rPr>
                  <w:t>未纳入租赁负债计量的可变租赁付款额（如适用）</w:t>
                </w:r>
              </w:p>
            </w:tc>
          </w:sdtContent>
        </w:sdt>
        <w:sdt>
          <w:sdtPr>
            <w:rPr>
              <w:rFonts w:hint="eastAsia"/>
              <w:color w:val="000000" w:themeColor="text1"/>
              <w:sz w:val="21"/>
              <w:szCs w:val="21"/>
            </w:rPr>
            <w:tag w:val="_PLD_642c6ab33b4f4d1d9d41b813f2f91a86"/>
            <w:id w:val="2147168161"/>
          </w:sdtPr>
          <w:sdtEndPr/>
          <w:sdtContent>
            <w:tc>
              <w:tcPr>
                <w:tcW w:w="896" w:type="pct"/>
                <w:gridSpan w:val="2"/>
                <w:shd w:val="clear" w:color="auto" w:fill="auto"/>
                <w:vAlign w:val="center"/>
              </w:tcPr>
              <w:p w14:paraId="380A59FD" w14:textId="77777777" w:rsidR="002D0AE7" w:rsidRDefault="00333EBB">
                <w:pPr>
                  <w:widowControl w:val="0"/>
                  <w:jc w:val="center"/>
                  <w:rPr>
                    <w:rFonts w:hint="eastAsia"/>
                    <w:color w:val="000000" w:themeColor="text1"/>
                    <w:sz w:val="21"/>
                    <w:szCs w:val="21"/>
                  </w:rPr>
                </w:pPr>
                <w:r>
                  <w:rPr>
                    <w:rFonts w:hint="eastAsia"/>
                    <w:color w:val="000000" w:themeColor="text1"/>
                    <w:sz w:val="21"/>
                    <w:szCs w:val="21"/>
                  </w:rPr>
                  <w:t>支付的租金</w:t>
                </w:r>
              </w:p>
            </w:tc>
          </w:sdtContent>
        </w:sdt>
        <w:sdt>
          <w:sdtPr>
            <w:rPr>
              <w:rFonts w:hint="eastAsia"/>
              <w:color w:val="000000" w:themeColor="text1"/>
              <w:sz w:val="21"/>
              <w:szCs w:val="21"/>
            </w:rPr>
            <w:tag w:val="_PLD_534b9c3cd786451ca8426e2dbe74e423"/>
            <w:id w:val="-1790273016"/>
          </w:sdtPr>
          <w:sdtEndPr/>
          <w:sdtContent>
            <w:tc>
              <w:tcPr>
                <w:tcW w:w="550" w:type="pct"/>
                <w:gridSpan w:val="2"/>
                <w:shd w:val="clear" w:color="auto" w:fill="auto"/>
                <w:vAlign w:val="center"/>
              </w:tcPr>
              <w:p w14:paraId="002B03A0" w14:textId="77777777" w:rsidR="002D0AE7" w:rsidRDefault="00333EBB">
                <w:pPr>
                  <w:widowControl w:val="0"/>
                  <w:jc w:val="center"/>
                  <w:rPr>
                    <w:rFonts w:hint="eastAsia"/>
                    <w:color w:val="000000" w:themeColor="text1"/>
                    <w:sz w:val="21"/>
                    <w:szCs w:val="21"/>
                  </w:rPr>
                </w:pPr>
                <w:r>
                  <w:rPr>
                    <w:rFonts w:hint="eastAsia"/>
                    <w:color w:val="000000" w:themeColor="text1"/>
                    <w:sz w:val="21"/>
                    <w:szCs w:val="21"/>
                  </w:rPr>
                  <w:t>承担的租赁负债利息支出</w:t>
                </w:r>
              </w:p>
            </w:tc>
          </w:sdtContent>
        </w:sdt>
        <w:sdt>
          <w:sdtPr>
            <w:rPr>
              <w:rFonts w:hint="eastAsia"/>
              <w:color w:val="000000" w:themeColor="text1"/>
              <w:sz w:val="21"/>
              <w:szCs w:val="21"/>
            </w:rPr>
            <w:tag w:val="_PLD_c1a4cc4298514d1cb5bdb94631e3c574"/>
            <w:id w:val="-1941526056"/>
          </w:sdtPr>
          <w:sdtEndPr/>
          <w:sdtContent>
            <w:tc>
              <w:tcPr>
                <w:tcW w:w="550" w:type="pct"/>
                <w:gridSpan w:val="2"/>
                <w:shd w:val="clear" w:color="auto" w:fill="auto"/>
                <w:vAlign w:val="center"/>
              </w:tcPr>
              <w:p w14:paraId="0D36B3E5" w14:textId="77777777" w:rsidR="002D0AE7" w:rsidRDefault="00333EBB">
                <w:pPr>
                  <w:widowControl w:val="0"/>
                  <w:jc w:val="center"/>
                  <w:rPr>
                    <w:rFonts w:hint="eastAsia"/>
                    <w:color w:val="000000" w:themeColor="text1"/>
                    <w:sz w:val="21"/>
                    <w:szCs w:val="21"/>
                  </w:rPr>
                </w:pPr>
                <w:r>
                  <w:rPr>
                    <w:rFonts w:hint="eastAsia"/>
                    <w:color w:val="000000" w:themeColor="text1"/>
                    <w:sz w:val="21"/>
                    <w:szCs w:val="21"/>
                  </w:rPr>
                  <w:t>增加的使用权资产</w:t>
                </w:r>
              </w:p>
            </w:tc>
          </w:sdtContent>
        </w:sdt>
      </w:tr>
      <w:tr w:rsidR="002D0AE7" w14:paraId="58C2B535" w14:textId="77777777">
        <w:trPr>
          <w:jc w:val="center"/>
        </w:trPr>
        <w:tc>
          <w:tcPr>
            <w:tcW w:w="1398" w:type="pct"/>
            <w:vMerge/>
            <w:shd w:val="clear" w:color="auto" w:fill="auto"/>
            <w:vAlign w:val="center"/>
          </w:tcPr>
          <w:p w14:paraId="468A6C8C" w14:textId="77777777" w:rsidR="002D0AE7" w:rsidRDefault="002D0AE7">
            <w:pPr>
              <w:widowControl w:val="0"/>
              <w:jc w:val="center"/>
              <w:rPr>
                <w:rFonts w:hint="eastAsia"/>
                <w:color w:val="000000" w:themeColor="text1"/>
                <w:sz w:val="21"/>
                <w:szCs w:val="21"/>
              </w:rPr>
            </w:pPr>
          </w:p>
        </w:tc>
        <w:tc>
          <w:tcPr>
            <w:tcW w:w="508" w:type="pct"/>
            <w:vMerge/>
            <w:shd w:val="clear" w:color="auto" w:fill="auto"/>
            <w:vAlign w:val="center"/>
          </w:tcPr>
          <w:p w14:paraId="47731094" w14:textId="77777777" w:rsidR="002D0AE7" w:rsidRDefault="002D0AE7">
            <w:pPr>
              <w:widowControl w:val="0"/>
              <w:jc w:val="center"/>
              <w:rPr>
                <w:rFonts w:hint="eastAsia"/>
                <w:color w:val="000000" w:themeColor="text1"/>
                <w:sz w:val="21"/>
                <w:szCs w:val="21"/>
              </w:rPr>
            </w:pPr>
          </w:p>
        </w:tc>
        <w:sdt>
          <w:sdtPr>
            <w:rPr>
              <w:rFonts w:hint="eastAsia"/>
              <w:color w:val="000000" w:themeColor="text1"/>
              <w:sz w:val="21"/>
              <w:szCs w:val="21"/>
            </w:rPr>
            <w:tag w:val="_PLD_7ad1f178a13f41219eec3254cdcbbb48"/>
            <w:id w:val="560757359"/>
          </w:sdtPr>
          <w:sdtEndPr/>
          <w:sdtContent>
            <w:tc>
              <w:tcPr>
                <w:tcW w:w="275" w:type="pct"/>
                <w:shd w:val="clear" w:color="auto" w:fill="auto"/>
                <w:vAlign w:val="center"/>
              </w:tcPr>
              <w:p w14:paraId="244FC8EC" w14:textId="77777777" w:rsidR="002D0AE7" w:rsidRDefault="00333EBB">
                <w:pPr>
                  <w:widowControl w:val="0"/>
                  <w:jc w:val="center"/>
                  <w:rPr>
                    <w:rFonts w:hint="eastAsia"/>
                    <w:color w:val="000000" w:themeColor="text1"/>
                    <w:sz w:val="21"/>
                    <w:szCs w:val="21"/>
                  </w:rPr>
                </w:pPr>
                <w:r>
                  <w:rPr>
                    <w:rFonts w:hint="eastAsia"/>
                    <w:color w:val="000000" w:themeColor="text1"/>
                    <w:sz w:val="21"/>
                    <w:szCs w:val="21"/>
                  </w:rPr>
                  <w:t>本期发生额</w:t>
                </w:r>
              </w:p>
            </w:tc>
          </w:sdtContent>
        </w:sdt>
        <w:sdt>
          <w:sdtPr>
            <w:rPr>
              <w:rFonts w:hint="eastAsia"/>
              <w:color w:val="000000" w:themeColor="text1"/>
              <w:sz w:val="21"/>
              <w:szCs w:val="21"/>
            </w:rPr>
            <w:tag w:val="_PLD_0e21c9ca316944d6a04f85d680bccf8f"/>
            <w:id w:val="1540174065"/>
          </w:sdtPr>
          <w:sdtEndPr/>
          <w:sdtContent>
            <w:tc>
              <w:tcPr>
                <w:tcW w:w="275" w:type="pct"/>
                <w:shd w:val="clear" w:color="auto" w:fill="auto"/>
                <w:vAlign w:val="center"/>
              </w:tcPr>
              <w:p w14:paraId="23DBC055" w14:textId="77777777" w:rsidR="002D0AE7" w:rsidRDefault="00333EBB">
                <w:pPr>
                  <w:widowControl w:val="0"/>
                  <w:jc w:val="center"/>
                  <w:rPr>
                    <w:rFonts w:hint="eastAsia"/>
                    <w:color w:val="000000" w:themeColor="text1"/>
                    <w:sz w:val="21"/>
                    <w:szCs w:val="21"/>
                  </w:rPr>
                </w:pPr>
                <w:r>
                  <w:rPr>
                    <w:rFonts w:hint="eastAsia"/>
                    <w:color w:val="000000" w:themeColor="text1"/>
                    <w:sz w:val="21"/>
                    <w:szCs w:val="21"/>
                  </w:rPr>
                  <w:t>上期发生额</w:t>
                </w:r>
              </w:p>
            </w:tc>
          </w:sdtContent>
        </w:sdt>
        <w:sdt>
          <w:sdtPr>
            <w:rPr>
              <w:rFonts w:hint="eastAsia"/>
              <w:color w:val="000000" w:themeColor="text1"/>
              <w:sz w:val="21"/>
              <w:szCs w:val="21"/>
            </w:rPr>
            <w:tag w:val="_PLD_92c72aa8e24f47a693d9c7f167e09d5a"/>
            <w:id w:val="-636725708"/>
          </w:sdtPr>
          <w:sdtEndPr/>
          <w:sdtContent>
            <w:tc>
              <w:tcPr>
                <w:tcW w:w="275" w:type="pct"/>
                <w:shd w:val="clear" w:color="auto" w:fill="auto"/>
                <w:vAlign w:val="center"/>
              </w:tcPr>
              <w:p w14:paraId="406E3201" w14:textId="77777777" w:rsidR="002D0AE7" w:rsidRDefault="00333EBB">
                <w:pPr>
                  <w:widowControl w:val="0"/>
                  <w:jc w:val="center"/>
                  <w:rPr>
                    <w:rFonts w:hint="eastAsia"/>
                    <w:color w:val="000000" w:themeColor="text1"/>
                    <w:sz w:val="21"/>
                    <w:szCs w:val="21"/>
                  </w:rPr>
                </w:pPr>
                <w:r>
                  <w:rPr>
                    <w:rFonts w:hint="eastAsia"/>
                    <w:color w:val="000000" w:themeColor="text1"/>
                    <w:sz w:val="21"/>
                    <w:szCs w:val="21"/>
                  </w:rPr>
                  <w:t>本期发生额</w:t>
                </w:r>
              </w:p>
            </w:tc>
          </w:sdtContent>
        </w:sdt>
        <w:sdt>
          <w:sdtPr>
            <w:rPr>
              <w:rFonts w:hint="eastAsia"/>
              <w:color w:val="000000" w:themeColor="text1"/>
              <w:sz w:val="21"/>
              <w:szCs w:val="21"/>
            </w:rPr>
            <w:tag w:val="_PLD_30e3ff102d364b9f9f2cfc275450bd4d"/>
            <w:id w:val="1910492262"/>
          </w:sdtPr>
          <w:sdtEndPr/>
          <w:sdtContent>
            <w:tc>
              <w:tcPr>
                <w:tcW w:w="275" w:type="pct"/>
                <w:shd w:val="clear" w:color="auto" w:fill="auto"/>
                <w:vAlign w:val="center"/>
              </w:tcPr>
              <w:p w14:paraId="5E8121E2" w14:textId="77777777" w:rsidR="002D0AE7" w:rsidRDefault="00333EBB">
                <w:pPr>
                  <w:widowControl w:val="0"/>
                  <w:jc w:val="center"/>
                  <w:rPr>
                    <w:rFonts w:hint="eastAsia"/>
                    <w:color w:val="000000" w:themeColor="text1"/>
                    <w:sz w:val="21"/>
                    <w:szCs w:val="21"/>
                  </w:rPr>
                </w:pPr>
                <w:r>
                  <w:rPr>
                    <w:rFonts w:hint="eastAsia"/>
                    <w:color w:val="000000" w:themeColor="text1"/>
                    <w:sz w:val="21"/>
                    <w:szCs w:val="21"/>
                  </w:rPr>
                  <w:t>上期发生额</w:t>
                </w:r>
              </w:p>
            </w:tc>
          </w:sdtContent>
        </w:sdt>
        <w:sdt>
          <w:sdtPr>
            <w:rPr>
              <w:rFonts w:hint="eastAsia"/>
              <w:color w:val="000000" w:themeColor="text1"/>
              <w:sz w:val="21"/>
              <w:szCs w:val="21"/>
            </w:rPr>
            <w:tag w:val="_PLD_3d3485301d714adba4c2dc2dc5f91abd"/>
            <w:id w:val="-550221829"/>
          </w:sdtPr>
          <w:sdtEndPr/>
          <w:sdtContent>
            <w:tc>
              <w:tcPr>
                <w:tcW w:w="621" w:type="pct"/>
                <w:shd w:val="clear" w:color="auto" w:fill="auto"/>
                <w:vAlign w:val="center"/>
              </w:tcPr>
              <w:p w14:paraId="1AFDCCEC" w14:textId="77777777" w:rsidR="002D0AE7" w:rsidRDefault="00333EBB">
                <w:pPr>
                  <w:widowControl w:val="0"/>
                  <w:jc w:val="center"/>
                  <w:rPr>
                    <w:rFonts w:hint="eastAsia"/>
                    <w:color w:val="000000" w:themeColor="text1"/>
                    <w:sz w:val="21"/>
                    <w:szCs w:val="21"/>
                  </w:rPr>
                </w:pPr>
                <w:r>
                  <w:rPr>
                    <w:rFonts w:hint="eastAsia"/>
                    <w:color w:val="000000" w:themeColor="text1"/>
                    <w:sz w:val="21"/>
                    <w:szCs w:val="21"/>
                  </w:rPr>
                  <w:t>本期发生额</w:t>
                </w:r>
              </w:p>
            </w:tc>
          </w:sdtContent>
        </w:sdt>
        <w:sdt>
          <w:sdtPr>
            <w:rPr>
              <w:rFonts w:hint="eastAsia"/>
              <w:color w:val="000000" w:themeColor="text1"/>
              <w:sz w:val="21"/>
              <w:szCs w:val="21"/>
            </w:rPr>
            <w:tag w:val="_PLD_bbeb4166e121465a8bb94926b668d59c"/>
            <w:id w:val="-1106265899"/>
          </w:sdtPr>
          <w:sdtEndPr/>
          <w:sdtContent>
            <w:tc>
              <w:tcPr>
                <w:tcW w:w="275" w:type="pct"/>
                <w:shd w:val="clear" w:color="auto" w:fill="auto"/>
                <w:vAlign w:val="center"/>
              </w:tcPr>
              <w:p w14:paraId="15AB29D7" w14:textId="77777777" w:rsidR="002D0AE7" w:rsidRDefault="00333EBB">
                <w:pPr>
                  <w:widowControl w:val="0"/>
                  <w:jc w:val="center"/>
                  <w:rPr>
                    <w:rFonts w:hint="eastAsia"/>
                    <w:color w:val="000000" w:themeColor="text1"/>
                    <w:sz w:val="21"/>
                    <w:szCs w:val="21"/>
                  </w:rPr>
                </w:pPr>
                <w:r>
                  <w:rPr>
                    <w:rFonts w:hint="eastAsia"/>
                    <w:color w:val="000000" w:themeColor="text1"/>
                    <w:sz w:val="21"/>
                    <w:szCs w:val="21"/>
                  </w:rPr>
                  <w:t>上期发生额</w:t>
                </w:r>
              </w:p>
            </w:tc>
          </w:sdtContent>
        </w:sdt>
        <w:sdt>
          <w:sdtPr>
            <w:rPr>
              <w:rFonts w:hint="eastAsia"/>
              <w:color w:val="000000" w:themeColor="text1"/>
              <w:sz w:val="21"/>
              <w:szCs w:val="21"/>
            </w:rPr>
            <w:tag w:val="_PLD_0b3a00f70c0149f2b4e65f55e9faf8b4"/>
            <w:id w:val="677473235"/>
          </w:sdtPr>
          <w:sdtEndPr/>
          <w:sdtContent>
            <w:tc>
              <w:tcPr>
                <w:tcW w:w="275" w:type="pct"/>
                <w:shd w:val="clear" w:color="auto" w:fill="auto"/>
                <w:vAlign w:val="center"/>
              </w:tcPr>
              <w:p w14:paraId="6270E81B" w14:textId="77777777" w:rsidR="002D0AE7" w:rsidRDefault="00333EBB">
                <w:pPr>
                  <w:widowControl w:val="0"/>
                  <w:jc w:val="center"/>
                  <w:rPr>
                    <w:rFonts w:hint="eastAsia"/>
                    <w:color w:val="000000" w:themeColor="text1"/>
                    <w:sz w:val="21"/>
                    <w:szCs w:val="21"/>
                  </w:rPr>
                </w:pPr>
                <w:r>
                  <w:rPr>
                    <w:rFonts w:hint="eastAsia"/>
                    <w:color w:val="000000" w:themeColor="text1"/>
                    <w:sz w:val="21"/>
                    <w:szCs w:val="21"/>
                  </w:rPr>
                  <w:t>本期发生额</w:t>
                </w:r>
              </w:p>
            </w:tc>
          </w:sdtContent>
        </w:sdt>
        <w:sdt>
          <w:sdtPr>
            <w:rPr>
              <w:rFonts w:hint="eastAsia"/>
              <w:color w:val="000000" w:themeColor="text1"/>
              <w:sz w:val="21"/>
              <w:szCs w:val="21"/>
            </w:rPr>
            <w:tag w:val="_PLD_8209169c1fb54a4f97fd162a9cadb47c"/>
            <w:id w:val="-774332099"/>
          </w:sdtPr>
          <w:sdtEndPr/>
          <w:sdtContent>
            <w:tc>
              <w:tcPr>
                <w:tcW w:w="275" w:type="pct"/>
                <w:shd w:val="clear" w:color="auto" w:fill="auto"/>
                <w:vAlign w:val="center"/>
              </w:tcPr>
              <w:p w14:paraId="20854D32" w14:textId="77777777" w:rsidR="002D0AE7" w:rsidRDefault="00333EBB">
                <w:pPr>
                  <w:widowControl w:val="0"/>
                  <w:jc w:val="center"/>
                  <w:rPr>
                    <w:rFonts w:hint="eastAsia"/>
                    <w:color w:val="000000" w:themeColor="text1"/>
                    <w:sz w:val="21"/>
                    <w:szCs w:val="21"/>
                  </w:rPr>
                </w:pPr>
                <w:r>
                  <w:rPr>
                    <w:rFonts w:hint="eastAsia"/>
                    <w:color w:val="000000" w:themeColor="text1"/>
                    <w:sz w:val="21"/>
                    <w:szCs w:val="21"/>
                  </w:rPr>
                  <w:t>上期发生额</w:t>
                </w:r>
              </w:p>
            </w:tc>
          </w:sdtContent>
        </w:sdt>
        <w:sdt>
          <w:sdtPr>
            <w:rPr>
              <w:rFonts w:hint="eastAsia"/>
              <w:color w:val="000000" w:themeColor="text1"/>
              <w:sz w:val="21"/>
              <w:szCs w:val="21"/>
            </w:rPr>
            <w:tag w:val="_PLD_a91b668a1d1643beb722209ea183733a"/>
            <w:id w:val="255485493"/>
          </w:sdtPr>
          <w:sdtEndPr/>
          <w:sdtContent>
            <w:tc>
              <w:tcPr>
                <w:tcW w:w="275" w:type="pct"/>
                <w:shd w:val="clear" w:color="auto" w:fill="auto"/>
                <w:vAlign w:val="center"/>
              </w:tcPr>
              <w:p w14:paraId="34EF3488" w14:textId="77777777" w:rsidR="002D0AE7" w:rsidRDefault="00333EBB">
                <w:pPr>
                  <w:widowControl w:val="0"/>
                  <w:jc w:val="center"/>
                  <w:rPr>
                    <w:rFonts w:hint="eastAsia"/>
                    <w:color w:val="000000" w:themeColor="text1"/>
                    <w:sz w:val="21"/>
                    <w:szCs w:val="21"/>
                  </w:rPr>
                </w:pPr>
                <w:r>
                  <w:rPr>
                    <w:rFonts w:hint="eastAsia"/>
                    <w:color w:val="000000" w:themeColor="text1"/>
                    <w:sz w:val="21"/>
                    <w:szCs w:val="21"/>
                  </w:rPr>
                  <w:t>本期发生额</w:t>
                </w:r>
              </w:p>
            </w:tc>
          </w:sdtContent>
        </w:sdt>
        <w:sdt>
          <w:sdtPr>
            <w:rPr>
              <w:rFonts w:hint="eastAsia"/>
              <w:color w:val="000000" w:themeColor="text1"/>
              <w:sz w:val="21"/>
              <w:szCs w:val="21"/>
            </w:rPr>
            <w:tag w:val="_PLD_2a4518df3a054fca8d460165eb2a7272"/>
            <w:id w:val="1441727356"/>
          </w:sdtPr>
          <w:sdtEndPr/>
          <w:sdtContent>
            <w:tc>
              <w:tcPr>
                <w:tcW w:w="275" w:type="pct"/>
                <w:shd w:val="clear" w:color="auto" w:fill="auto"/>
                <w:vAlign w:val="center"/>
              </w:tcPr>
              <w:p w14:paraId="57BF162E" w14:textId="77777777" w:rsidR="002D0AE7" w:rsidRDefault="00333EBB">
                <w:pPr>
                  <w:widowControl w:val="0"/>
                  <w:jc w:val="center"/>
                  <w:rPr>
                    <w:rFonts w:hint="eastAsia"/>
                    <w:color w:val="000000" w:themeColor="text1"/>
                    <w:sz w:val="21"/>
                    <w:szCs w:val="21"/>
                  </w:rPr>
                </w:pPr>
                <w:r>
                  <w:rPr>
                    <w:rFonts w:hint="eastAsia"/>
                    <w:color w:val="000000" w:themeColor="text1"/>
                    <w:sz w:val="21"/>
                    <w:szCs w:val="21"/>
                  </w:rPr>
                  <w:t>上期发生额</w:t>
                </w:r>
              </w:p>
            </w:tc>
          </w:sdtContent>
        </w:sdt>
      </w:tr>
      <w:tr w:rsidR="002D0AE7" w14:paraId="6CF64E0B" w14:textId="77777777">
        <w:trPr>
          <w:jc w:val="center"/>
        </w:trPr>
        <w:tc>
          <w:tcPr>
            <w:tcW w:w="1398" w:type="pct"/>
            <w:shd w:val="clear" w:color="auto" w:fill="auto"/>
            <w:vAlign w:val="center"/>
          </w:tcPr>
          <w:p w14:paraId="40AE8B92" w14:textId="77777777" w:rsidR="002D0AE7" w:rsidRDefault="00333EBB">
            <w:pPr>
              <w:widowControl w:val="0"/>
              <w:rPr>
                <w:rFonts w:hint="eastAsia"/>
                <w:sz w:val="21"/>
                <w:szCs w:val="21"/>
              </w:rPr>
            </w:pPr>
            <w:r>
              <w:rPr>
                <w:rFonts w:hint="eastAsia"/>
                <w:sz w:val="21"/>
                <w:szCs w:val="21"/>
              </w:rPr>
              <w:t>天津药业集团有限公司</w:t>
            </w:r>
          </w:p>
        </w:tc>
        <w:tc>
          <w:tcPr>
            <w:tcW w:w="508" w:type="pct"/>
            <w:shd w:val="clear" w:color="auto" w:fill="auto"/>
            <w:vAlign w:val="center"/>
          </w:tcPr>
          <w:p w14:paraId="032D274D" w14:textId="77777777" w:rsidR="002D0AE7" w:rsidRDefault="00333EBB">
            <w:pPr>
              <w:widowControl w:val="0"/>
              <w:rPr>
                <w:rFonts w:hint="eastAsia"/>
                <w:sz w:val="21"/>
                <w:szCs w:val="21"/>
              </w:rPr>
            </w:pPr>
            <w:r>
              <w:rPr>
                <w:rFonts w:hint="eastAsia"/>
                <w:sz w:val="21"/>
                <w:szCs w:val="21"/>
              </w:rPr>
              <w:t>房产租赁</w:t>
            </w:r>
          </w:p>
        </w:tc>
        <w:tc>
          <w:tcPr>
            <w:tcW w:w="275" w:type="pct"/>
            <w:shd w:val="clear" w:color="auto" w:fill="auto"/>
            <w:vAlign w:val="center"/>
          </w:tcPr>
          <w:p w14:paraId="76495E7B" w14:textId="77777777" w:rsidR="002D0AE7" w:rsidRDefault="00333EBB">
            <w:pPr>
              <w:widowControl w:val="0"/>
              <w:jc w:val="right"/>
              <w:rPr>
                <w:rFonts w:ascii="Times New Roman" w:hAnsi="Times New Roman" w:cs="Times New Roman"/>
                <w:sz w:val="21"/>
                <w:szCs w:val="21"/>
              </w:rPr>
            </w:pPr>
            <w:r>
              <w:rPr>
                <w:rFonts w:ascii="Times New Roman" w:hAnsi="Times New Roman" w:cs="Times New Roman"/>
                <w:sz w:val="21"/>
                <w:szCs w:val="21"/>
              </w:rPr>
              <w:t>0.00</w:t>
            </w:r>
          </w:p>
        </w:tc>
        <w:tc>
          <w:tcPr>
            <w:tcW w:w="275" w:type="pct"/>
            <w:shd w:val="clear" w:color="auto" w:fill="auto"/>
            <w:vAlign w:val="center"/>
          </w:tcPr>
          <w:p w14:paraId="77BA86A6" w14:textId="77777777" w:rsidR="002D0AE7" w:rsidRDefault="00333EBB">
            <w:pPr>
              <w:widowControl w:val="0"/>
              <w:jc w:val="right"/>
              <w:rPr>
                <w:rFonts w:ascii="Times New Roman" w:hAnsi="Times New Roman" w:cs="Times New Roman"/>
                <w:sz w:val="21"/>
                <w:szCs w:val="21"/>
              </w:rPr>
            </w:pPr>
            <w:r>
              <w:rPr>
                <w:rFonts w:ascii="Times New Roman" w:hAnsi="Times New Roman" w:cs="Times New Roman"/>
                <w:sz w:val="21"/>
                <w:szCs w:val="21"/>
              </w:rPr>
              <w:t>0.00</w:t>
            </w:r>
          </w:p>
        </w:tc>
        <w:tc>
          <w:tcPr>
            <w:tcW w:w="275" w:type="pct"/>
            <w:shd w:val="clear" w:color="auto" w:fill="auto"/>
            <w:vAlign w:val="center"/>
          </w:tcPr>
          <w:p w14:paraId="49CC89B6" w14:textId="77777777" w:rsidR="002D0AE7" w:rsidRDefault="00333EBB">
            <w:pPr>
              <w:widowControl w:val="0"/>
              <w:jc w:val="right"/>
              <w:rPr>
                <w:rFonts w:ascii="Times New Roman" w:hAnsi="Times New Roman" w:cs="Times New Roman"/>
                <w:sz w:val="21"/>
                <w:szCs w:val="21"/>
              </w:rPr>
            </w:pPr>
            <w:r>
              <w:rPr>
                <w:rFonts w:ascii="Times New Roman" w:hAnsi="Times New Roman" w:cs="Times New Roman"/>
                <w:sz w:val="21"/>
                <w:szCs w:val="21"/>
              </w:rPr>
              <w:t>0.00</w:t>
            </w:r>
          </w:p>
        </w:tc>
        <w:tc>
          <w:tcPr>
            <w:tcW w:w="275" w:type="pct"/>
            <w:shd w:val="clear" w:color="auto" w:fill="auto"/>
            <w:vAlign w:val="center"/>
          </w:tcPr>
          <w:p w14:paraId="46CBEB40" w14:textId="77777777" w:rsidR="002D0AE7" w:rsidRDefault="00333EBB">
            <w:pPr>
              <w:widowControl w:val="0"/>
              <w:jc w:val="right"/>
              <w:rPr>
                <w:rFonts w:ascii="Times New Roman" w:hAnsi="Times New Roman" w:cs="Times New Roman"/>
                <w:sz w:val="21"/>
                <w:szCs w:val="21"/>
              </w:rPr>
            </w:pPr>
            <w:r>
              <w:rPr>
                <w:rFonts w:ascii="Times New Roman" w:hAnsi="Times New Roman" w:cs="Times New Roman"/>
                <w:sz w:val="21"/>
                <w:szCs w:val="21"/>
              </w:rPr>
              <w:t>0.00</w:t>
            </w:r>
          </w:p>
        </w:tc>
        <w:tc>
          <w:tcPr>
            <w:tcW w:w="621" w:type="pct"/>
            <w:shd w:val="clear" w:color="auto" w:fill="auto"/>
            <w:vAlign w:val="center"/>
          </w:tcPr>
          <w:p w14:paraId="180CD1D1" w14:textId="77777777" w:rsidR="002D0AE7" w:rsidRDefault="00333EBB">
            <w:pPr>
              <w:widowControl w:val="0"/>
              <w:jc w:val="right"/>
              <w:rPr>
                <w:rFonts w:ascii="Times New Roman" w:hAnsi="Times New Roman" w:cs="Times New Roman"/>
                <w:sz w:val="21"/>
                <w:szCs w:val="21"/>
              </w:rPr>
            </w:pPr>
            <w:r>
              <w:rPr>
                <w:rFonts w:ascii="Times New Roman" w:hAnsi="Times New Roman" w:cs="Times New Roman"/>
                <w:sz w:val="21"/>
                <w:szCs w:val="21"/>
              </w:rPr>
              <w:t>3,346,289.20</w:t>
            </w:r>
          </w:p>
        </w:tc>
        <w:tc>
          <w:tcPr>
            <w:tcW w:w="275" w:type="pct"/>
            <w:shd w:val="clear" w:color="auto" w:fill="auto"/>
            <w:vAlign w:val="center"/>
          </w:tcPr>
          <w:p w14:paraId="3ED9F10E" w14:textId="77777777" w:rsidR="002D0AE7" w:rsidRDefault="00333EBB">
            <w:pPr>
              <w:widowControl w:val="0"/>
              <w:jc w:val="right"/>
              <w:rPr>
                <w:rFonts w:ascii="Times New Roman" w:hAnsi="Times New Roman" w:cs="Times New Roman"/>
                <w:sz w:val="21"/>
                <w:szCs w:val="21"/>
              </w:rPr>
            </w:pPr>
            <w:r>
              <w:rPr>
                <w:rFonts w:ascii="Times New Roman" w:hAnsi="Times New Roman" w:cs="Times New Roman"/>
                <w:sz w:val="21"/>
                <w:szCs w:val="21"/>
              </w:rPr>
              <w:t>0.00</w:t>
            </w:r>
          </w:p>
        </w:tc>
        <w:tc>
          <w:tcPr>
            <w:tcW w:w="275" w:type="pct"/>
            <w:shd w:val="clear" w:color="auto" w:fill="auto"/>
            <w:vAlign w:val="center"/>
          </w:tcPr>
          <w:p w14:paraId="4A016D6B" w14:textId="77777777" w:rsidR="002D0AE7" w:rsidRDefault="00333EBB">
            <w:pPr>
              <w:widowControl w:val="0"/>
              <w:jc w:val="right"/>
              <w:rPr>
                <w:rFonts w:ascii="Times New Roman" w:hAnsi="Times New Roman" w:cs="Times New Roman"/>
                <w:sz w:val="21"/>
                <w:szCs w:val="21"/>
              </w:rPr>
            </w:pPr>
            <w:r>
              <w:rPr>
                <w:rFonts w:ascii="Times New Roman" w:hAnsi="Times New Roman" w:cs="Times New Roman"/>
                <w:sz w:val="21"/>
                <w:szCs w:val="21"/>
              </w:rPr>
              <w:t>0.00</w:t>
            </w:r>
          </w:p>
        </w:tc>
        <w:tc>
          <w:tcPr>
            <w:tcW w:w="275" w:type="pct"/>
            <w:shd w:val="clear" w:color="auto" w:fill="auto"/>
            <w:vAlign w:val="center"/>
          </w:tcPr>
          <w:p w14:paraId="33CF78B7" w14:textId="77777777" w:rsidR="002D0AE7" w:rsidRDefault="00333EBB">
            <w:pPr>
              <w:widowControl w:val="0"/>
              <w:jc w:val="right"/>
              <w:rPr>
                <w:rFonts w:ascii="Times New Roman" w:hAnsi="Times New Roman" w:cs="Times New Roman"/>
                <w:sz w:val="21"/>
                <w:szCs w:val="21"/>
              </w:rPr>
            </w:pPr>
            <w:r>
              <w:rPr>
                <w:rFonts w:ascii="Times New Roman" w:hAnsi="Times New Roman" w:cs="Times New Roman"/>
                <w:sz w:val="21"/>
                <w:szCs w:val="21"/>
              </w:rPr>
              <w:t>0.00</w:t>
            </w:r>
          </w:p>
        </w:tc>
        <w:tc>
          <w:tcPr>
            <w:tcW w:w="275" w:type="pct"/>
            <w:shd w:val="clear" w:color="auto" w:fill="auto"/>
            <w:vAlign w:val="center"/>
          </w:tcPr>
          <w:p w14:paraId="3956CBF6" w14:textId="77777777" w:rsidR="002D0AE7" w:rsidRDefault="00333EBB">
            <w:pPr>
              <w:widowControl w:val="0"/>
              <w:jc w:val="right"/>
              <w:rPr>
                <w:rFonts w:ascii="Times New Roman" w:hAnsi="Times New Roman" w:cs="Times New Roman"/>
                <w:sz w:val="21"/>
                <w:szCs w:val="21"/>
              </w:rPr>
            </w:pPr>
            <w:r>
              <w:rPr>
                <w:rFonts w:ascii="Times New Roman" w:hAnsi="Times New Roman" w:cs="Times New Roman"/>
                <w:sz w:val="21"/>
                <w:szCs w:val="21"/>
              </w:rPr>
              <w:t>0.00</w:t>
            </w:r>
          </w:p>
        </w:tc>
        <w:tc>
          <w:tcPr>
            <w:tcW w:w="275" w:type="pct"/>
            <w:shd w:val="clear" w:color="auto" w:fill="auto"/>
            <w:vAlign w:val="center"/>
          </w:tcPr>
          <w:p w14:paraId="51DB8125" w14:textId="77777777" w:rsidR="002D0AE7" w:rsidRDefault="00333EBB">
            <w:pPr>
              <w:widowControl w:val="0"/>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3F4EEAEB" w14:textId="77777777">
        <w:trPr>
          <w:jc w:val="center"/>
        </w:trPr>
        <w:tc>
          <w:tcPr>
            <w:tcW w:w="1398" w:type="pct"/>
            <w:shd w:val="clear" w:color="auto" w:fill="auto"/>
            <w:vAlign w:val="center"/>
          </w:tcPr>
          <w:p w14:paraId="401CE186" w14:textId="77777777" w:rsidR="002D0AE7" w:rsidRDefault="00333EBB">
            <w:pPr>
              <w:widowControl w:val="0"/>
              <w:rPr>
                <w:rFonts w:hint="eastAsia"/>
                <w:sz w:val="21"/>
                <w:szCs w:val="21"/>
              </w:rPr>
            </w:pPr>
            <w:r>
              <w:rPr>
                <w:rFonts w:hint="eastAsia"/>
                <w:sz w:val="21"/>
                <w:szCs w:val="21"/>
              </w:rPr>
              <w:t>天津药业研究院股份有限公司</w:t>
            </w:r>
          </w:p>
        </w:tc>
        <w:tc>
          <w:tcPr>
            <w:tcW w:w="508" w:type="pct"/>
            <w:shd w:val="clear" w:color="auto" w:fill="auto"/>
            <w:vAlign w:val="center"/>
          </w:tcPr>
          <w:p w14:paraId="2F04B051" w14:textId="77777777" w:rsidR="002D0AE7" w:rsidRDefault="00333EBB">
            <w:pPr>
              <w:widowControl w:val="0"/>
              <w:rPr>
                <w:rFonts w:hint="eastAsia"/>
                <w:sz w:val="21"/>
                <w:szCs w:val="21"/>
              </w:rPr>
            </w:pPr>
            <w:r>
              <w:rPr>
                <w:rFonts w:hint="eastAsia"/>
                <w:sz w:val="21"/>
                <w:szCs w:val="21"/>
              </w:rPr>
              <w:t>房产租赁</w:t>
            </w:r>
          </w:p>
        </w:tc>
        <w:tc>
          <w:tcPr>
            <w:tcW w:w="275" w:type="pct"/>
            <w:shd w:val="clear" w:color="auto" w:fill="auto"/>
            <w:vAlign w:val="center"/>
          </w:tcPr>
          <w:p w14:paraId="61ECD6B6" w14:textId="77777777" w:rsidR="002D0AE7" w:rsidRDefault="00333EBB">
            <w:pPr>
              <w:widowControl w:val="0"/>
              <w:jc w:val="right"/>
              <w:rPr>
                <w:rFonts w:ascii="Times New Roman" w:hAnsi="Times New Roman" w:cs="Times New Roman"/>
                <w:sz w:val="21"/>
                <w:szCs w:val="21"/>
              </w:rPr>
            </w:pPr>
            <w:r>
              <w:rPr>
                <w:rFonts w:ascii="Times New Roman" w:hAnsi="Times New Roman" w:cs="Times New Roman"/>
                <w:sz w:val="21"/>
                <w:szCs w:val="21"/>
              </w:rPr>
              <w:t>0.00</w:t>
            </w:r>
          </w:p>
        </w:tc>
        <w:tc>
          <w:tcPr>
            <w:tcW w:w="275" w:type="pct"/>
            <w:shd w:val="clear" w:color="auto" w:fill="auto"/>
            <w:vAlign w:val="center"/>
          </w:tcPr>
          <w:p w14:paraId="55F5E24D" w14:textId="77777777" w:rsidR="002D0AE7" w:rsidRDefault="00333EBB">
            <w:pPr>
              <w:widowControl w:val="0"/>
              <w:jc w:val="right"/>
              <w:rPr>
                <w:rFonts w:ascii="Times New Roman" w:hAnsi="Times New Roman" w:cs="Times New Roman"/>
                <w:sz w:val="21"/>
                <w:szCs w:val="21"/>
              </w:rPr>
            </w:pPr>
            <w:r>
              <w:rPr>
                <w:rFonts w:ascii="Times New Roman" w:hAnsi="Times New Roman" w:cs="Times New Roman"/>
                <w:sz w:val="21"/>
                <w:szCs w:val="21"/>
              </w:rPr>
              <w:t>0.00</w:t>
            </w:r>
          </w:p>
        </w:tc>
        <w:tc>
          <w:tcPr>
            <w:tcW w:w="275" w:type="pct"/>
            <w:shd w:val="clear" w:color="auto" w:fill="auto"/>
            <w:vAlign w:val="center"/>
          </w:tcPr>
          <w:p w14:paraId="54F78A2D" w14:textId="77777777" w:rsidR="002D0AE7" w:rsidRDefault="00333EBB">
            <w:pPr>
              <w:widowControl w:val="0"/>
              <w:jc w:val="right"/>
              <w:rPr>
                <w:rFonts w:ascii="Times New Roman" w:hAnsi="Times New Roman" w:cs="Times New Roman"/>
                <w:sz w:val="21"/>
                <w:szCs w:val="21"/>
              </w:rPr>
            </w:pPr>
            <w:r>
              <w:rPr>
                <w:rFonts w:ascii="Times New Roman" w:hAnsi="Times New Roman" w:cs="Times New Roman"/>
                <w:sz w:val="21"/>
                <w:szCs w:val="21"/>
              </w:rPr>
              <w:t>0.00</w:t>
            </w:r>
          </w:p>
        </w:tc>
        <w:tc>
          <w:tcPr>
            <w:tcW w:w="275" w:type="pct"/>
            <w:shd w:val="clear" w:color="auto" w:fill="auto"/>
            <w:vAlign w:val="center"/>
          </w:tcPr>
          <w:p w14:paraId="377CB0E5" w14:textId="77777777" w:rsidR="002D0AE7" w:rsidRDefault="00333EBB">
            <w:pPr>
              <w:widowControl w:val="0"/>
              <w:jc w:val="right"/>
              <w:rPr>
                <w:rFonts w:ascii="Times New Roman" w:hAnsi="Times New Roman" w:cs="Times New Roman"/>
                <w:sz w:val="21"/>
                <w:szCs w:val="21"/>
              </w:rPr>
            </w:pPr>
            <w:r>
              <w:rPr>
                <w:rFonts w:ascii="Times New Roman" w:hAnsi="Times New Roman" w:cs="Times New Roman"/>
                <w:sz w:val="21"/>
                <w:szCs w:val="21"/>
              </w:rPr>
              <w:t>0.00</w:t>
            </w:r>
          </w:p>
        </w:tc>
        <w:tc>
          <w:tcPr>
            <w:tcW w:w="621" w:type="pct"/>
            <w:shd w:val="clear" w:color="auto" w:fill="auto"/>
            <w:vAlign w:val="center"/>
          </w:tcPr>
          <w:p w14:paraId="459B2525" w14:textId="77777777" w:rsidR="002D0AE7" w:rsidRDefault="00333EBB">
            <w:pPr>
              <w:widowControl w:val="0"/>
              <w:jc w:val="right"/>
              <w:rPr>
                <w:rFonts w:ascii="Times New Roman" w:hAnsi="Times New Roman" w:cs="Times New Roman"/>
                <w:sz w:val="21"/>
                <w:szCs w:val="21"/>
              </w:rPr>
            </w:pPr>
            <w:r>
              <w:rPr>
                <w:rFonts w:ascii="Times New Roman" w:hAnsi="Times New Roman" w:cs="Times New Roman"/>
                <w:sz w:val="21"/>
                <w:szCs w:val="21"/>
              </w:rPr>
              <w:t>1,066,648.00</w:t>
            </w:r>
          </w:p>
        </w:tc>
        <w:tc>
          <w:tcPr>
            <w:tcW w:w="275" w:type="pct"/>
            <w:shd w:val="clear" w:color="auto" w:fill="auto"/>
            <w:vAlign w:val="center"/>
          </w:tcPr>
          <w:p w14:paraId="6BECE21E" w14:textId="77777777" w:rsidR="002D0AE7" w:rsidRDefault="00333EBB">
            <w:pPr>
              <w:widowControl w:val="0"/>
              <w:jc w:val="right"/>
              <w:rPr>
                <w:rFonts w:ascii="Times New Roman" w:hAnsi="Times New Roman" w:cs="Times New Roman"/>
                <w:sz w:val="21"/>
                <w:szCs w:val="21"/>
              </w:rPr>
            </w:pPr>
            <w:r>
              <w:rPr>
                <w:rFonts w:ascii="Times New Roman" w:hAnsi="Times New Roman" w:cs="Times New Roman"/>
                <w:sz w:val="21"/>
                <w:szCs w:val="21"/>
              </w:rPr>
              <w:t>0.00</w:t>
            </w:r>
          </w:p>
        </w:tc>
        <w:tc>
          <w:tcPr>
            <w:tcW w:w="275" w:type="pct"/>
            <w:shd w:val="clear" w:color="auto" w:fill="auto"/>
            <w:vAlign w:val="center"/>
          </w:tcPr>
          <w:p w14:paraId="79AB8564" w14:textId="77777777" w:rsidR="002D0AE7" w:rsidRDefault="00333EBB">
            <w:pPr>
              <w:widowControl w:val="0"/>
              <w:jc w:val="right"/>
              <w:rPr>
                <w:rFonts w:ascii="Times New Roman" w:hAnsi="Times New Roman" w:cs="Times New Roman"/>
                <w:sz w:val="21"/>
                <w:szCs w:val="21"/>
              </w:rPr>
            </w:pPr>
            <w:r>
              <w:rPr>
                <w:rFonts w:ascii="Times New Roman" w:hAnsi="Times New Roman" w:cs="Times New Roman"/>
                <w:sz w:val="21"/>
                <w:szCs w:val="21"/>
              </w:rPr>
              <w:t>0.00</w:t>
            </w:r>
          </w:p>
        </w:tc>
        <w:tc>
          <w:tcPr>
            <w:tcW w:w="275" w:type="pct"/>
            <w:shd w:val="clear" w:color="auto" w:fill="auto"/>
            <w:vAlign w:val="center"/>
          </w:tcPr>
          <w:p w14:paraId="44294E21" w14:textId="77777777" w:rsidR="002D0AE7" w:rsidRDefault="00333EBB">
            <w:pPr>
              <w:widowControl w:val="0"/>
              <w:jc w:val="right"/>
              <w:rPr>
                <w:rFonts w:ascii="Times New Roman" w:hAnsi="Times New Roman" w:cs="Times New Roman"/>
                <w:sz w:val="21"/>
                <w:szCs w:val="21"/>
              </w:rPr>
            </w:pPr>
            <w:r>
              <w:rPr>
                <w:rFonts w:ascii="Times New Roman" w:hAnsi="Times New Roman" w:cs="Times New Roman"/>
                <w:sz w:val="21"/>
                <w:szCs w:val="21"/>
              </w:rPr>
              <w:t>0.00</w:t>
            </w:r>
          </w:p>
        </w:tc>
        <w:tc>
          <w:tcPr>
            <w:tcW w:w="275" w:type="pct"/>
            <w:shd w:val="clear" w:color="auto" w:fill="auto"/>
            <w:vAlign w:val="center"/>
          </w:tcPr>
          <w:p w14:paraId="7FA72B1D" w14:textId="77777777" w:rsidR="002D0AE7" w:rsidRDefault="00333EBB">
            <w:pPr>
              <w:widowControl w:val="0"/>
              <w:jc w:val="right"/>
              <w:rPr>
                <w:rFonts w:ascii="Times New Roman" w:hAnsi="Times New Roman" w:cs="Times New Roman"/>
                <w:sz w:val="21"/>
                <w:szCs w:val="21"/>
              </w:rPr>
            </w:pPr>
            <w:r>
              <w:rPr>
                <w:rFonts w:ascii="Times New Roman" w:hAnsi="Times New Roman" w:cs="Times New Roman"/>
                <w:sz w:val="21"/>
                <w:szCs w:val="21"/>
              </w:rPr>
              <w:t>0.00</w:t>
            </w:r>
          </w:p>
        </w:tc>
        <w:tc>
          <w:tcPr>
            <w:tcW w:w="275" w:type="pct"/>
            <w:shd w:val="clear" w:color="auto" w:fill="auto"/>
            <w:vAlign w:val="center"/>
          </w:tcPr>
          <w:p w14:paraId="4B2E03A7" w14:textId="77777777" w:rsidR="002D0AE7" w:rsidRDefault="00333EBB">
            <w:pPr>
              <w:widowControl w:val="0"/>
              <w:jc w:val="right"/>
              <w:rPr>
                <w:rFonts w:ascii="Times New Roman" w:hAnsi="Times New Roman" w:cs="Times New Roman"/>
                <w:sz w:val="21"/>
                <w:szCs w:val="21"/>
              </w:rPr>
            </w:pPr>
            <w:r>
              <w:rPr>
                <w:rFonts w:ascii="Times New Roman" w:hAnsi="Times New Roman" w:cs="Times New Roman"/>
                <w:sz w:val="21"/>
                <w:szCs w:val="21"/>
              </w:rPr>
              <w:t>0.00</w:t>
            </w:r>
          </w:p>
        </w:tc>
      </w:tr>
    </w:tbl>
    <w:p w14:paraId="51971DA0" w14:textId="77777777" w:rsidR="002D0AE7" w:rsidRDefault="00333EBB">
      <w:pPr>
        <w:pStyle w:val="4"/>
        <w:numPr>
          <w:ilvl w:val="0"/>
          <w:numId w:val="81"/>
        </w:numPr>
        <w:tabs>
          <w:tab w:val="left" w:pos="616"/>
        </w:tabs>
        <w:rPr>
          <w:rFonts w:ascii="宋体" w:hAnsi="宋体" w:cs="Arial" w:hint="eastAsia"/>
          <w:color w:val="000000" w:themeColor="text1"/>
          <w:szCs w:val="21"/>
        </w:rPr>
      </w:pPr>
      <w:bookmarkStart w:id="238" w:name="_Hlk105747684"/>
      <w:bookmarkEnd w:id="236"/>
      <w:bookmarkEnd w:id="237"/>
      <w:r>
        <w:rPr>
          <w:rFonts w:ascii="宋体" w:hAnsi="宋体" w:cs="Arial" w:hint="eastAsia"/>
          <w:color w:val="000000" w:themeColor="text1"/>
          <w:szCs w:val="21"/>
        </w:rPr>
        <w:t>关联</w:t>
      </w:r>
      <w:r>
        <w:rPr>
          <w:rFonts w:ascii="宋体" w:hAnsi="宋体" w:hint="eastAsia"/>
          <w:color w:val="000000" w:themeColor="text1"/>
        </w:rPr>
        <w:t>担保</w:t>
      </w:r>
      <w:r>
        <w:rPr>
          <w:rFonts w:ascii="宋体" w:hAnsi="宋体" w:cs="Arial" w:hint="eastAsia"/>
          <w:color w:val="000000" w:themeColor="text1"/>
          <w:szCs w:val="21"/>
        </w:rPr>
        <w:t>情况</w:t>
      </w:r>
    </w:p>
    <w:p w14:paraId="2D585E50" w14:textId="77777777" w:rsidR="002D0AE7" w:rsidRDefault="00333EBB">
      <w:pPr>
        <w:rPr>
          <w:rFonts w:hint="eastAsia"/>
          <w:color w:val="000000" w:themeColor="text1"/>
        </w:rPr>
      </w:pPr>
      <w:r>
        <w:rPr>
          <w:rFonts w:hint="eastAsia"/>
          <w:color w:val="000000" w:themeColor="text1"/>
        </w:rPr>
        <w:t>本公司作为担保方</w:t>
      </w:r>
    </w:p>
    <w:sdt>
      <w:sdtPr>
        <w:rPr>
          <w:color w:val="000000" w:themeColor="text1"/>
        </w:rPr>
        <w:alias w:val="是否适用：本公司作为担保方的担保情况表[双击切换]"/>
        <w:tag w:val="_GBC_f0150417f8ec4c5281b86683570391cb"/>
        <w:id w:val="-545449748"/>
        <w:placeholder>
          <w:docPart w:val="GBC22222222222222222222222222222"/>
        </w:placeholder>
      </w:sdtPr>
      <w:sdtEndPr/>
      <w:sdtContent>
        <w:p w14:paraId="3226FF13"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1D1457D8" w14:textId="77777777" w:rsidR="002D0AE7" w:rsidRDefault="00333EBB">
      <w:pPr>
        <w:rPr>
          <w:rFonts w:cs="Cambria" w:hint="eastAsia"/>
          <w:color w:val="000000" w:themeColor="text1"/>
        </w:rPr>
      </w:pPr>
      <w:r>
        <w:rPr>
          <w:rFonts w:cs="Cambria" w:hint="eastAsia"/>
          <w:color w:val="000000" w:themeColor="text1"/>
        </w:rPr>
        <w:t>本公司作为被担保方</w:t>
      </w:r>
    </w:p>
    <w:sdt>
      <w:sdtPr>
        <w:rPr>
          <w:rFonts w:cs="Cambria"/>
          <w:color w:val="000000" w:themeColor="text1"/>
        </w:rPr>
        <w:alias w:val="是否适用：本公司作为被担保方的担保情况表[双击切换]"/>
        <w:tag w:val="_GBC_3686094d29c941dd91bd168e3ef88833"/>
        <w:id w:val="1217089880"/>
        <w:placeholder>
          <w:docPart w:val="GBC22222222222222222222222222222"/>
        </w:placeholder>
      </w:sdtPr>
      <w:sdtEndPr/>
      <w:sdtContent>
        <w:p w14:paraId="307AA813" w14:textId="77777777" w:rsidR="002D0AE7" w:rsidRDefault="00333EBB">
          <w:pPr>
            <w:rPr>
              <w:rFonts w:cs="Cambria" w:hint="eastAsia"/>
              <w:color w:val="000000" w:themeColor="text1"/>
            </w:rPr>
          </w:pPr>
          <w:r>
            <w:rPr>
              <w:rFonts w:cs="Cambria"/>
              <w:color w:val="000000" w:themeColor="text1"/>
            </w:rPr>
            <w:fldChar w:fldCharType="begin"/>
          </w:r>
          <w:r>
            <w:rPr>
              <w:rFonts w:cs="Cambria"/>
              <w:color w:val="000000" w:themeColor="text1"/>
            </w:rPr>
            <w:instrText xml:space="preserve"> MACROBUTTON  SnrToggleCheckbox √</w:instrText>
          </w:r>
          <w:r>
            <w:rPr>
              <w:rFonts w:cs="Cambria"/>
              <w:color w:val="000000" w:themeColor="text1"/>
            </w:rPr>
            <w:instrText>适用</w:instrText>
          </w:r>
          <w:r>
            <w:rPr>
              <w:rFonts w:cs="Cambria"/>
              <w:color w:val="000000" w:themeColor="text1"/>
            </w:rPr>
            <w:instrText xml:space="preserve"> </w:instrText>
          </w:r>
          <w:r>
            <w:rPr>
              <w:rFonts w:cs="Cambria"/>
              <w:color w:val="000000" w:themeColor="text1"/>
            </w:rPr>
            <w:fldChar w:fldCharType="end"/>
          </w:r>
          <w:r>
            <w:rPr>
              <w:rFonts w:cs="Cambria"/>
              <w:color w:val="000000" w:themeColor="text1"/>
            </w:rPr>
            <w:fldChar w:fldCharType="begin"/>
          </w:r>
          <w:r>
            <w:rPr>
              <w:rFonts w:cs="Cambria"/>
              <w:color w:val="000000" w:themeColor="text1"/>
            </w:rPr>
            <w:instrText xml:space="preserve"> MACROBUTTON  SnrToggleCheckbox □</w:instrText>
          </w:r>
          <w:r>
            <w:rPr>
              <w:rFonts w:cs="Cambria"/>
              <w:color w:val="000000" w:themeColor="text1"/>
            </w:rPr>
            <w:instrText>不适用</w:instrText>
          </w:r>
          <w:r>
            <w:rPr>
              <w:rFonts w:cs="Cambria"/>
              <w:color w:val="000000" w:themeColor="text1"/>
            </w:rPr>
            <w:instrText xml:space="preserve"> </w:instrText>
          </w:r>
          <w:r>
            <w:rPr>
              <w:rFonts w:cs="Cambria"/>
              <w:color w:val="000000" w:themeColor="text1"/>
            </w:rPr>
            <w:fldChar w:fldCharType="end"/>
          </w:r>
        </w:p>
      </w:sdtContent>
    </w:sdt>
    <w:p w14:paraId="6C8EB9FD" w14:textId="77777777" w:rsidR="002D0AE7" w:rsidRDefault="00333EBB">
      <w:pPr>
        <w:jc w:val="right"/>
        <w:rPr>
          <w:rFonts w:cs="Cambria" w:hint="eastAsia"/>
          <w:color w:val="000000" w:themeColor="text1"/>
        </w:rPr>
      </w:pPr>
      <w:r>
        <w:rPr>
          <w:rFonts w:cs="Cambria" w:hint="eastAsia"/>
          <w:color w:val="000000" w:themeColor="text1"/>
        </w:rPr>
        <w:t>单位：</w:t>
      </w:r>
      <w:sdt>
        <w:sdtPr>
          <w:rPr>
            <w:rFonts w:cs="Cambria" w:hint="eastAsia"/>
            <w:color w:val="000000" w:themeColor="text1"/>
          </w:rPr>
          <w:alias w:val="单位：财务附注：本公司作为被担保方"/>
          <w:tag w:val="_GBC_af3d3d55d9c648f8b2e94dcdd804c683"/>
          <w:id w:val="-29044094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color w:val="000000" w:themeColor="text1"/>
            </w:rPr>
            <w:t>元</w:t>
          </w:r>
        </w:sdtContent>
      </w:sdt>
      <w:r>
        <w:rPr>
          <w:rFonts w:cs="Cambria" w:hint="eastAsia"/>
          <w:color w:val="000000" w:themeColor="text1"/>
        </w:rPr>
        <w:t>币种：</w:t>
      </w:r>
      <w:sdt>
        <w:sdtPr>
          <w:rPr>
            <w:rFonts w:cs="Cambria" w:hint="eastAsia"/>
            <w:color w:val="000000" w:themeColor="text1"/>
          </w:rPr>
          <w:alias w:val="币种：财务附注：本公司作为被担保方"/>
          <w:tag w:val="_GBC_684efbccec674b3abab20e6aa5c20b55"/>
          <w:id w:val="-90190466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color w:val="000000" w:themeColor="text1"/>
            </w:rPr>
            <w:t>人民币</w:t>
          </w:r>
        </w:sdtContent>
      </w:sdt>
    </w:p>
    <w:tbl>
      <w:tblPr>
        <w:tblW w:w="57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806"/>
        <w:gridCol w:w="1638"/>
        <w:gridCol w:w="1790"/>
        <w:gridCol w:w="2272"/>
        <w:gridCol w:w="1563"/>
      </w:tblGrid>
      <w:tr w:rsidR="002D0AE7" w14:paraId="5B642341" w14:textId="77777777">
        <w:trPr>
          <w:jc w:val="center"/>
        </w:trPr>
        <w:bookmarkEnd w:id="238" w:displacedByCustomXml="next"/>
        <w:sdt>
          <w:sdtPr>
            <w:rPr>
              <w:color w:val="000000" w:themeColor="text1"/>
              <w:szCs w:val="21"/>
            </w:rPr>
            <w:tag w:val="_PLD_6088efc2eccd46e6a311f035e3addd31"/>
            <w:id w:val="-1201854779"/>
          </w:sdtPr>
          <w:sdtEndPr/>
          <w:sdtContent>
            <w:tc>
              <w:tcPr>
                <w:tcW w:w="1393" w:type="pct"/>
                <w:tcBorders>
                  <w:top w:val="single" w:sz="4" w:space="0" w:color="auto"/>
                  <w:left w:val="single" w:sz="4" w:space="0" w:color="auto"/>
                  <w:bottom w:val="single" w:sz="4" w:space="0" w:color="auto"/>
                  <w:right w:val="single" w:sz="4" w:space="0" w:color="auto"/>
                </w:tcBorders>
                <w:shd w:val="clear" w:color="auto" w:fill="auto"/>
                <w:vAlign w:val="center"/>
              </w:tcPr>
              <w:p w14:paraId="3A821DFD" w14:textId="77777777" w:rsidR="002D0AE7" w:rsidRDefault="00333EBB">
                <w:pPr>
                  <w:jc w:val="center"/>
                  <w:rPr>
                    <w:rFonts w:cs="Cambria" w:hint="eastAsia"/>
                    <w:color w:val="000000" w:themeColor="text1"/>
                    <w:szCs w:val="21"/>
                  </w:rPr>
                </w:pPr>
                <w:r>
                  <w:rPr>
                    <w:rFonts w:cs="Cambria" w:hint="eastAsia"/>
                    <w:color w:val="000000" w:themeColor="text1"/>
                    <w:szCs w:val="21"/>
                  </w:rPr>
                  <w:t>担保方</w:t>
                </w:r>
              </w:p>
            </w:tc>
          </w:sdtContent>
        </w:sdt>
        <w:sdt>
          <w:sdtPr>
            <w:rPr>
              <w:color w:val="000000" w:themeColor="text1"/>
              <w:szCs w:val="21"/>
            </w:rPr>
            <w:tag w:val="_PLD_e7f78a4ceee3432c87548a75d87de01f"/>
            <w:id w:val="-1456326764"/>
          </w:sdtPr>
          <w:sdtEndPr/>
          <w:sdtContent>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2CC54F26" w14:textId="77777777" w:rsidR="002D0AE7" w:rsidRDefault="00333EBB">
                <w:pPr>
                  <w:jc w:val="center"/>
                  <w:rPr>
                    <w:rFonts w:cs="Cambria" w:hint="eastAsia"/>
                    <w:color w:val="000000" w:themeColor="text1"/>
                    <w:szCs w:val="21"/>
                  </w:rPr>
                </w:pPr>
                <w:r>
                  <w:rPr>
                    <w:rFonts w:cs="Cambria" w:hint="eastAsia"/>
                    <w:color w:val="000000" w:themeColor="text1"/>
                    <w:szCs w:val="21"/>
                  </w:rPr>
                  <w:t>担保金额</w:t>
                </w:r>
              </w:p>
            </w:tc>
          </w:sdtContent>
        </w:sdt>
        <w:sdt>
          <w:sdtPr>
            <w:rPr>
              <w:color w:val="000000" w:themeColor="text1"/>
              <w:szCs w:val="21"/>
            </w:rPr>
            <w:tag w:val="_PLD_258ee883a1494cba8aadfb02a67b1d9f"/>
            <w:id w:val="2141060609"/>
          </w:sdtPr>
          <w:sdtEndPr/>
          <w:sdtContent>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287A2F49" w14:textId="77777777" w:rsidR="002D0AE7" w:rsidRDefault="00333EBB">
                <w:pPr>
                  <w:jc w:val="center"/>
                  <w:rPr>
                    <w:rFonts w:cs="Cambria" w:hint="eastAsia"/>
                    <w:color w:val="000000" w:themeColor="text1"/>
                    <w:szCs w:val="21"/>
                  </w:rPr>
                </w:pPr>
                <w:r>
                  <w:rPr>
                    <w:rFonts w:cs="Cambria" w:hint="eastAsia"/>
                    <w:color w:val="000000" w:themeColor="text1"/>
                    <w:szCs w:val="21"/>
                  </w:rPr>
                  <w:t>担保起始日</w:t>
                </w:r>
              </w:p>
            </w:tc>
          </w:sdtContent>
        </w:sdt>
        <w:sdt>
          <w:sdtPr>
            <w:rPr>
              <w:color w:val="000000" w:themeColor="text1"/>
              <w:szCs w:val="21"/>
            </w:rPr>
            <w:tag w:val="_PLD_219bfe3bbd6a4eeab9cd5e00e9bb2477"/>
            <w:id w:val="-370231441"/>
          </w:sdtPr>
          <w:sdtEndPr/>
          <w:sdtContent>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7274CC1F" w14:textId="77777777" w:rsidR="002D0AE7" w:rsidRDefault="00333EBB">
                <w:pPr>
                  <w:jc w:val="center"/>
                  <w:rPr>
                    <w:rFonts w:cs="Cambria" w:hint="eastAsia"/>
                    <w:color w:val="000000" w:themeColor="text1"/>
                    <w:szCs w:val="21"/>
                  </w:rPr>
                </w:pPr>
                <w:r>
                  <w:rPr>
                    <w:rFonts w:cs="Cambria" w:hint="eastAsia"/>
                    <w:color w:val="000000" w:themeColor="text1"/>
                    <w:szCs w:val="21"/>
                  </w:rPr>
                  <w:t>担保到期日</w:t>
                </w:r>
              </w:p>
            </w:tc>
          </w:sdtContent>
        </w:sdt>
        <w:sdt>
          <w:sdtPr>
            <w:rPr>
              <w:color w:val="000000" w:themeColor="text1"/>
              <w:szCs w:val="21"/>
            </w:rPr>
            <w:tag w:val="_PLD_e2efca4906c0464cb3ccf5445b144c22"/>
            <w:id w:val="-1995550996"/>
          </w:sdtPr>
          <w:sdtEndPr/>
          <w:sdtContent>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5C7C1D8" w14:textId="77777777" w:rsidR="002D0AE7" w:rsidRDefault="00333EBB">
                <w:pPr>
                  <w:jc w:val="center"/>
                  <w:rPr>
                    <w:rFonts w:cs="Cambria" w:hint="eastAsia"/>
                    <w:color w:val="000000" w:themeColor="text1"/>
                    <w:szCs w:val="21"/>
                  </w:rPr>
                </w:pPr>
                <w:r>
                  <w:rPr>
                    <w:rFonts w:cs="Cambria" w:hint="eastAsia"/>
                    <w:color w:val="000000" w:themeColor="text1"/>
                    <w:szCs w:val="21"/>
                  </w:rPr>
                  <w:t>担保是否已经履行完毕</w:t>
                </w:r>
              </w:p>
            </w:tc>
          </w:sdtContent>
        </w:sdt>
      </w:tr>
      <w:tr w:rsidR="002D0AE7" w14:paraId="39D805A8" w14:textId="77777777">
        <w:trPr>
          <w:jc w:val="center"/>
        </w:trPr>
        <w:tc>
          <w:tcPr>
            <w:tcW w:w="1393" w:type="pct"/>
            <w:tcBorders>
              <w:top w:val="single" w:sz="4" w:space="0" w:color="auto"/>
              <w:left w:val="single" w:sz="4" w:space="0" w:color="auto"/>
              <w:bottom w:val="single" w:sz="4" w:space="0" w:color="auto"/>
              <w:right w:val="single" w:sz="4" w:space="0" w:color="auto"/>
            </w:tcBorders>
            <w:shd w:val="clear" w:color="auto" w:fill="auto"/>
          </w:tcPr>
          <w:p w14:paraId="2BA95FC3" w14:textId="77777777" w:rsidR="002D0AE7" w:rsidRDefault="00333EBB">
            <w:pPr>
              <w:rPr>
                <w:rFonts w:cs="Cambria" w:hint="eastAsia"/>
                <w:szCs w:val="21"/>
              </w:rPr>
            </w:pPr>
            <w:r>
              <w:rPr>
                <w:szCs w:val="21"/>
              </w:rPr>
              <w:t>天津药业集团有限公司</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1BCB8BF1" w14:textId="77777777" w:rsidR="002D0AE7" w:rsidRDefault="00333EBB">
            <w:pPr>
              <w:jc w:val="center"/>
              <w:rPr>
                <w:rFonts w:ascii="Times New Roman" w:hAnsi="Times New Roman" w:cs="Times New Roman"/>
                <w:szCs w:val="21"/>
              </w:rPr>
            </w:pPr>
            <w:r>
              <w:rPr>
                <w:rFonts w:ascii="Times New Roman" w:hAnsi="Times New Roman" w:cs="Times New Roman"/>
                <w:szCs w:val="21"/>
              </w:rPr>
              <w:t>63,362,500.00</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6AC456B1" w14:textId="77777777" w:rsidR="002D0AE7" w:rsidRDefault="00333EBB">
            <w:pPr>
              <w:jc w:val="center"/>
              <w:rPr>
                <w:rFonts w:ascii="Times New Roman" w:hAnsi="Times New Roman" w:cs="Times New Roman"/>
                <w:szCs w:val="21"/>
              </w:rPr>
            </w:pPr>
            <w:r>
              <w:rPr>
                <w:rFonts w:ascii="Times New Roman" w:hAnsi="Times New Roman" w:cs="Times New Roman"/>
                <w:szCs w:val="21"/>
              </w:rPr>
              <w:t>2022/08/18</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093EC2B5" w14:textId="77777777" w:rsidR="002D0AE7" w:rsidRDefault="00333EBB">
            <w:pPr>
              <w:jc w:val="center"/>
              <w:rPr>
                <w:rFonts w:ascii="Times New Roman" w:hAnsi="Times New Roman" w:cs="Times New Roman"/>
                <w:szCs w:val="21"/>
              </w:rPr>
            </w:pPr>
            <w:r>
              <w:rPr>
                <w:rFonts w:ascii="Times New Roman" w:hAnsi="Times New Roman" w:cs="Times New Roman"/>
                <w:szCs w:val="21"/>
              </w:rPr>
              <w:t>2027/08/17</w:t>
            </w:r>
          </w:p>
        </w:tc>
        <w:sdt>
          <w:sdtPr>
            <w:rPr>
              <w:rFonts w:cs="Cambria"/>
              <w:szCs w:val="21"/>
            </w:rPr>
            <w:alias w:val="本公司作为被担保方的关联担保情况明细-担保是否已经履行完毕"/>
            <w:tag w:val="_GBC_ece41db563d54c85904336d073d8b352"/>
            <w:id w:val="203215460"/>
            <w:comboBox>
              <w:listItem w:displayText="是" w:value="true"/>
              <w:listItem w:displayText="否" w:value="false"/>
            </w:comboBox>
          </w:sdtPr>
          <w:sdtEndPr/>
          <w:sdtContent>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7C05DB7" w14:textId="77777777" w:rsidR="002D0AE7" w:rsidRDefault="00333EBB">
                <w:pPr>
                  <w:jc w:val="center"/>
                  <w:rPr>
                    <w:rFonts w:cs="Cambria" w:hint="eastAsia"/>
                    <w:szCs w:val="21"/>
                  </w:rPr>
                </w:pPr>
                <w:r>
                  <w:rPr>
                    <w:rFonts w:cs="Cambria" w:hint="eastAsia"/>
                    <w:szCs w:val="21"/>
                  </w:rPr>
                  <w:t>否</w:t>
                </w:r>
              </w:p>
            </w:tc>
          </w:sdtContent>
        </w:sdt>
      </w:tr>
      <w:tr w:rsidR="002D0AE7" w14:paraId="26845355" w14:textId="77777777">
        <w:trPr>
          <w:jc w:val="center"/>
        </w:trPr>
        <w:tc>
          <w:tcPr>
            <w:tcW w:w="1393" w:type="pct"/>
            <w:tcBorders>
              <w:top w:val="single" w:sz="4" w:space="0" w:color="auto"/>
              <w:left w:val="single" w:sz="4" w:space="0" w:color="auto"/>
              <w:bottom w:val="single" w:sz="4" w:space="0" w:color="auto"/>
              <w:right w:val="single" w:sz="4" w:space="0" w:color="auto"/>
            </w:tcBorders>
            <w:shd w:val="clear" w:color="auto" w:fill="auto"/>
          </w:tcPr>
          <w:p w14:paraId="2F5DBF25" w14:textId="77777777" w:rsidR="002D0AE7" w:rsidRDefault="00333EBB">
            <w:pPr>
              <w:rPr>
                <w:rFonts w:cs="Cambria" w:hint="eastAsia"/>
                <w:szCs w:val="21"/>
              </w:rPr>
            </w:pPr>
            <w:r>
              <w:rPr>
                <w:szCs w:val="21"/>
              </w:rPr>
              <w:t>天津药业集团有限公司</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3A7AC25D" w14:textId="77777777" w:rsidR="002D0AE7" w:rsidRDefault="00333EBB">
            <w:pPr>
              <w:jc w:val="center"/>
              <w:rPr>
                <w:rFonts w:ascii="Times New Roman" w:hAnsi="Times New Roman" w:cs="Times New Roman"/>
                <w:szCs w:val="21"/>
              </w:rPr>
            </w:pPr>
            <w:r>
              <w:rPr>
                <w:rFonts w:ascii="Times New Roman" w:hAnsi="Times New Roman" w:cs="Times New Roman"/>
                <w:szCs w:val="21"/>
              </w:rPr>
              <w:t>11,637,500.00</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127F2E0C" w14:textId="77777777" w:rsidR="002D0AE7" w:rsidRDefault="00333EBB">
            <w:pPr>
              <w:jc w:val="center"/>
              <w:rPr>
                <w:rFonts w:ascii="Times New Roman" w:hAnsi="Times New Roman" w:cs="Times New Roman"/>
                <w:szCs w:val="21"/>
              </w:rPr>
            </w:pPr>
            <w:r>
              <w:rPr>
                <w:rFonts w:ascii="Times New Roman" w:hAnsi="Times New Roman" w:cs="Times New Roman"/>
                <w:szCs w:val="21"/>
              </w:rPr>
              <w:t>2022/08/22</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3416480B" w14:textId="77777777" w:rsidR="002D0AE7" w:rsidRDefault="00333EBB">
            <w:pPr>
              <w:jc w:val="center"/>
              <w:rPr>
                <w:rFonts w:ascii="Times New Roman" w:hAnsi="Times New Roman" w:cs="Times New Roman"/>
                <w:szCs w:val="21"/>
              </w:rPr>
            </w:pPr>
            <w:r>
              <w:rPr>
                <w:rFonts w:ascii="Times New Roman" w:hAnsi="Times New Roman" w:cs="Times New Roman"/>
                <w:szCs w:val="21"/>
              </w:rPr>
              <w:t>2027/08/17</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5D6A4FD" w14:textId="77777777" w:rsidR="002D0AE7" w:rsidRDefault="00333EBB">
            <w:pPr>
              <w:jc w:val="center"/>
              <w:rPr>
                <w:rFonts w:cs="Cambria" w:hint="eastAsia"/>
                <w:szCs w:val="21"/>
              </w:rPr>
            </w:pPr>
            <w:r>
              <w:rPr>
                <w:szCs w:val="21"/>
              </w:rPr>
              <w:t>否</w:t>
            </w:r>
          </w:p>
        </w:tc>
      </w:tr>
      <w:tr w:rsidR="002D0AE7" w14:paraId="2F0350E2" w14:textId="77777777">
        <w:trPr>
          <w:jc w:val="center"/>
        </w:trPr>
        <w:tc>
          <w:tcPr>
            <w:tcW w:w="1393" w:type="pct"/>
            <w:tcBorders>
              <w:top w:val="single" w:sz="4" w:space="0" w:color="auto"/>
              <w:left w:val="single" w:sz="4" w:space="0" w:color="auto"/>
              <w:bottom w:val="single" w:sz="4" w:space="0" w:color="auto"/>
              <w:right w:val="single" w:sz="4" w:space="0" w:color="auto"/>
            </w:tcBorders>
            <w:shd w:val="clear" w:color="auto" w:fill="auto"/>
          </w:tcPr>
          <w:p w14:paraId="3D7D9A0D" w14:textId="77777777" w:rsidR="002D0AE7" w:rsidRDefault="00333EBB">
            <w:pPr>
              <w:rPr>
                <w:rFonts w:cs="Cambria" w:hint="eastAsia"/>
                <w:szCs w:val="21"/>
              </w:rPr>
            </w:pPr>
            <w:r>
              <w:rPr>
                <w:szCs w:val="21"/>
              </w:rPr>
              <w:t>天津药业集团有限公司</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168BCB14" w14:textId="77777777" w:rsidR="002D0AE7" w:rsidRDefault="00333EBB">
            <w:pPr>
              <w:jc w:val="center"/>
              <w:rPr>
                <w:rFonts w:ascii="Times New Roman" w:hAnsi="Times New Roman" w:cs="Times New Roman"/>
                <w:szCs w:val="21"/>
              </w:rPr>
            </w:pPr>
            <w:r>
              <w:rPr>
                <w:rFonts w:ascii="Times New Roman" w:hAnsi="Times New Roman" w:cs="Times New Roman"/>
                <w:szCs w:val="21"/>
              </w:rPr>
              <w:t>85,000,000.00</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0BFA7664" w14:textId="77777777" w:rsidR="002D0AE7" w:rsidRDefault="00333EBB">
            <w:pPr>
              <w:jc w:val="center"/>
              <w:rPr>
                <w:rFonts w:ascii="Times New Roman" w:hAnsi="Times New Roman" w:cs="Times New Roman"/>
                <w:szCs w:val="21"/>
              </w:rPr>
            </w:pPr>
            <w:r>
              <w:rPr>
                <w:rFonts w:ascii="Times New Roman" w:hAnsi="Times New Roman" w:cs="Times New Roman"/>
                <w:szCs w:val="21"/>
              </w:rPr>
              <w:t>2022/09/14</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229C8FAE" w14:textId="77777777" w:rsidR="002D0AE7" w:rsidRDefault="00333EBB">
            <w:pPr>
              <w:jc w:val="center"/>
              <w:rPr>
                <w:rFonts w:ascii="Times New Roman" w:hAnsi="Times New Roman" w:cs="Times New Roman"/>
                <w:szCs w:val="21"/>
              </w:rPr>
            </w:pPr>
            <w:r>
              <w:rPr>
                <w:rFonts w:ascii="Times New Roman" w:hAnsi="Times New Roman" w:cs="Times New Roman"/>
                <w:szCs w:val="21"/>
              </w:rPr>
              <w:t>2027/09/13</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B40C646" w14:textId="77777777" w:rsidR="002D0AE7" w:rsidRDefault="00333EBB">
            <w:pPr>
              <w:jc w:val="center"/>
              <w:rPr>
                <w:rFonts w:cs="Cambria" w:hint="eastAsia"/>
                <w:szCs w:val="21"/>
              </w:rPr>
            </w:pPr>
            <w:r>
              <w:rPr>
                <w:szCs w:val="21"/>
              </w:rPr>
              <w:t>否</w:t>
            </w:r>
          </w:p>
        </w:tc>
      </w:tr>
      <w:tr w:rsidR="002D0AE7" w14:paraId="68EC037F" w14:textId="77777777">
        <w:trPr>
          <w:jc w:val="center"/>
        </w:trPr>
        <w:tc>
          <w:tcPr>
            <w:tcW w:w="1393" w:type="pct"/>
            <w:tcBorders>
              <w:top w:val="single" w:sz="4" w:space="0" w:color="auto"/>
              <w:left w:val="single" w:sz="4" w:space="0" w:color="auto"/>
              <w:bottom w:val="single" w:sz="4" w:space="0" w:color="auto"/>
              <w:right w:val="single" w:sz="4" w:space="0" w:color="auto"/>
            </w:tcBorders>
            <w:shd w:val="clear" w:color="auto" w:fill="auto"/>
          </w:tcPr>
          <w:p w14:paraId="2D42C5D8" w14:textId="77777777" w:rsidR="002D0AE7" w:rsidRDefault="00333EBB">
            <w:pPr>
              <w:rPr>
                <w:rFonts w:cs="Cambria" w:hint="eastAsia"/>
                <w:szCs w:val="21"/>
              </w:rPr>
            </w:pPr>
            <w:r>
              <w:rPr>
                <w:szCs w:val="21"/>
              </w:rPr>
              <w:t>天津药业集团有限公司</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75ACBDD7" w14:textId="77777777" w:rsidR="002D0AE7" w:rsidRDefault="00333EBB">
            <w:pPr>
              <w:jc w:val="center"/>
              <w:rPr>
                <w:rFonts w:ascii="Times New Roman" w:hAnsi="Times New Roman" w:cs="Times New Roman"/>
                <w:szCs w:val="21"/>
              </w:rPr>
            </w:pPr>
            <w:r>
              <w:rPr>
                <w:rFonts w:ascii="Times New Roman" w:hAnsi="Times New Roman" w:cs="Times New Roman"/>
                <w:szCs w:val="21"/>
              </w:rPr>
              <w:t>15,000,000.00</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7EFBE128" w14:textId="77777777" w:rsidR="002D0AE7" w:rsidRDefault="00333EBB">
            <w:pPr>
              <w:jc w:val="center"/>
              <w:rPr>
                <w:rFonts w:ascii="Times New Roman" w:hAnsi="Times New Roman" w:cs="Times New Roman"/>
                <w:szCs w:val="21"/>
              </w:rPr>
            </w:pPr>
            <w:r>
              <w:rPr>
                <w:rFonts w:ascii="Times New Roman" w:hAnsi="Times New Roman" w:cs="Times New Roman"/>
                <w:szCs w:val="21"/>
              </w:rPr>
              <w:t>2022/09/23</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1FF9A5B5" w14:textId="77777777" w:rsidR="002D0AE7" w:rsidRDefault="00333EBB">
            <w:pPr>
              <w:jc w:val="center"/>
              <w:rPr>
                <w:rFonts w:ascii="Times New Roman" w:hAnsi="Times New Roman" w:cs="Times New Roman"/>
                <w:szCs w:val="21"/>
              </w:rPr>
            </w:pPr>
            <w:r>
              <w:rPr>
                <w:rFonts w:ascii="Times New Roman" w:hAnsi="Times New Roman" w:cs="Times New Roman"/>
                <w:szCs w:val="21"/>
              </w:rPr>
              <w:t>2027/09/13</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756D311" w14:textId="77777777" w:rsidR="002D0AE7" w:rsidRDefault="00333EBB">
            <w:pPr>
              <w:jc w:val="center"/>
              <w:rPr>
                <w:rFonts w:cs="Cambria" w:hint="eastAsia"/>
                <w:szCs w:val="21"/>
              </w:rPr>
            </w:pPr>
            <w:r>
              <w:rPr>
                <w:szCs w:val="21"/>
              </w:rPr>
              <w:t>否</w:t>
            </w:r>
          </w:p>
        </w:tc>
      </w:tr>
      <w:tr w:rsidR="002D0AE7" w14:paraId="193C3A19" w14:textId="77777777">
        <w:trPr>
          <w:jc w:val="center"/>
        </w:trPr>
        <w:tc>
          <w:tcPr>
            <w:tcW w:w="1393" w:type="pct"/>
            <w:tcBorders>
              <w:top w:val="single" w:sz="4" w:space="0" w:color="auto"/>
              <w:left w:val="single" w:sz="4" w:space="0" w:color="auto"/>
              <w:bottom w:val="single" w:sz="4" w:space="0" w:color="auto"/>
              <w:right w:val="single" w:sz="4" w:space="0" w:color="auto"/>
            </w:tcBorders>
            <w:shd w:val="clear" w:color="auto" w:fill="auto"/>
          </w:tcPr>
          <w:p w14:paraId="414F148D" w14:textId="77777777" w:rsidR="002D0AE7" w:rsidRDefault="00333EBB">
            <w:pPr>
              <w:rPr>
                <w:rFonts w:cs="Cambria" w:hint="eastAsia"/>
                <w:szCs w:val="21"/>
              </w:rPr>
            </w:pPr>
            <w:r>
              <w:rPr>
                <w:szCs w:val="21"/>
              </w:rPr>
              <w:t>天津药业集团有限公司</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11D430E7" w14:textId="77777777" w:rsidR="002D0AE7" w:rsidRDefault="00333EBB">
            <w:pPr>
              <w:jc w:val="center"/>
              <w:rPr>
                <w:rFonts w:ascii="Times New Roman" w:hAnsi="Times New Roman" w:cs="Times New Roman"/>
                <w:szCs w:val="21"/>
              </w:rPr>
            </w:pPr>
            <w:r>
              <w:rPr>
                <w:rFonts w:ascii="Times New Roman" w:hAnsi="Times New Roman" w:cs="Times New Roman"/>
                <w:szCs w:val="21"/>
              </w:rPr>
              <w:t>500,000.00</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1464D2EE" w14:textId="77777777" w:rsidR="002D0AE7" w:rsidRDefault="00333EBB">
            <w:pPr>
              <w:jc w:val="center"/>
              <w:rPr>
                <w:rFonts w:ascii="Times New Roman" w:hAnsi="Times New Roman" w:cs="Times New Roman"/>
                <w:szCs w:val="21"/>
              </w:rPr>
            </w:pPr>
            <w:r>
              <w:rPr>
                <w:rFonts w:ascii="Times New Roman" w:hAnsi="Times New Roman" w:cs="Times New Roman"/>
                <w:szCs w:val="21"/>
              </w:rPr>
              <w:t>2023/6/13</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7AFCB319" w14:textId="77777777" w:rsidR="002D0AE7" w:rsidRDefault="00333EBB">
            <w:pPr>
              <w:jc w:val="center"/>
              <w:rPr>
                <w:rFonts w:ascii="Times New Roman" w:hAnsi="Times New Roman" w:cs="Times New Roman"/>
                <w:szCs w:val="21"/>
              </w:rPr>
            </w:pPr>
            <w:r>
              <w:rPr>
                <w:rFonts w:ascii="Times New Roman" w:hAnsi="Times New Roman" w:cs="Times New Roman"/>
                <w:szCs w:val="21"/>
              </w:rPr>
              <w:t>2027/09/21</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B6FC097" w14:textId="77777777" w:rsidR="002D0AE7" w:rsidRDefault="00333EBB">
            <w:pPr>
              <w:jc w:val="center"/>
              <w:rPr>
                <w:rFonts w:cs="Cambria" w:hint="eastAsia"/>
                <w:szCs w:val="21"/>
              </w:rPr>
            </w:pPr>
            <w:r>
              <w:rPr>
                <w:szCs w:val="21"/>
              </w:rPr>
              <w:t>否</w:t>
            </w:r>
          </w:p>
        </w:tc>
      </w:tr>
      <w:tr w:rsidR="002D0AE7" w14:paraId="10396DE6" w14:textId="77777777">
        <w:trPr>
          <w:jc w:val="center"/>
        </w:trPr>
        <w:tc>
          <w:tcPr>
            <w:tcW w:w="1393" w:type="pct"/>
            <w:tcBorders>
              <w:top w:val="single" w:sz="4" w:space="0" w:color="auto"/>
              <w:left w:val="single" w:sz="4" w:space="0" w:color="auto"/>
              <w:bottom w:val="single" w:sz="4" w:space="0" w:color="auto"/>
              <w:right w:val="single" w:sz="4" w:space="0" w:color="auto"/>
            </w:tcBorders>
            <w:shd w:val="clear" w:color="auto" w:fill="auto"/>
          </w:tcPr>
          <w:p w14:paraId="368D915F" w14:textId="77777777" w:rsidR="002D0AE7" w:rsidRDefault="00333EBB">
            <w:pPr>
              <w:rPr>
                <w:rFonts w:cs="Cambria" w:hint="eastAsia"/>
                <w:szCs w:val="21"/>
              </w:rPr>
            </w:pPr>
            <w:r>
              <w:rPr>
                <w:szCs w:val="21"/>
              </w:rPr>
              <w:t>天津药业集团有限公司</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700EBD81" w14:textId="77777777" w:rsidR="002D0AE7" w:rsidRDefault="00333EBB">
            <w:pPr>
              <w:jc w:val="center"/>
              <w:rPr>
                <w:rFonts w:ascii="Times New Roman" w:hAnsi="Times New Roman" w:cs="Times New Roman"/>
                <w:szCs w:val="21"/>
              </w:rPr>
            </w:pPr>
            <w:r>
              <w:rPr>
                <w:rFonts w:ascii="Times New Roman" w:hAnsi="Times New Roman" w:cs="Times New Roman"/>
                <w:szCs w:val="21"/>
              </w:rPr>
              <w:t>500,000.00</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0088EF75" w14:textId="77777777" w:rsidR="002D0AE7" w:rsidRDefault="00333EBB">
            <w:pPr>
              <w:jc w:val="center"/>
              <w:rPr>
                <w:rFonts w:ascii="Times New Roman" w:hAnsi="Times New Roman" w:cs="Times New Roman"/>
                <w:szCs w:val="21"/>
              </w:rPr>
            </w:pPr>
            <w:r>
              <w:rPr>
                <w:rFonts w:ascii="Times New Roman" w:hAnsi="Times New Roman" w:cs="Times New Roman"/>
                <w:szCs w:val="21"/>
              </w:rPr>
              <w:t>2023/6/13</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20571D12" w14:textId="77777777" w:rsidR="002D0AE7" w:rsidRDefault="00333EBB">
            <w:pPr>
              <w:jc w:val="center"/>
              <w:rPr>
                <w:rFonts w:ascii="Times New Roman" w:hAnsi="Times New Roman" w:cs="Times New Roman"/>
                <w:szCs w:val="21"/>
              </w:rPr>
            </w:pPr>
            <w:r>
              <w:rPr>
                <w:rFonts w:ascii="Times New Roman" w:hAnsi="Times New Roman" w:cs="Times New Roman"/>
                <w:szCs w:val="21"/>
              </w:rPr>
              <w:t>2028/03/21</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902EC8B" w14:textId="77777777" w:rsidR="002D0AE7" w:rsidRDefault="00333EBB">
            <w:pPr>
              <w:jc w:val="center"/>
              <w:rPr>
                <w:rFonts w:cs="Cambria" w:hint="eastAsia"/>
                <w:szCs w:val="21"/>
              </w:rPr>
            </w:pPr>
            <w:r>
              <w:rPr>
                <w:szCs w:val="21"/>
              </w:rPr>
              <w:t>否</w:t>
            </w:r>
          </w:p>
        </w:tc>
      </w:tr>
      <w:tr w:rsidR="002D0AE7" w14:paraId="059BE75E" w14:textId="77777777">
        <w:trPr>
          <w:jc w:val="center"/>
        </w:trPr>
        <w:tc>
          <w:tcPr>
            <w:tcW w:w="1393" w:type="pct"/>
            <w:tcBorders>
              <w:top w:val="single" w:sz="4" w:space="0" w:color="auto"/>
              <w:left w:val="single" w:sz="4" w:space="0" w:color="auto"/>
              <w:bottom w:val="single" w:sz="4" w:space="0" w:color="auto"/>
              <w:right w:val="single" w:sz="4" w:space="0" w:color="auto"/>
            </w:tcBorders>
            <w:shd w:val="clear" w:color="auto" w:fill="auto"/>
          </w:tcPr>
          <w:p w14:paraId="0639C0D0" w14:textId="77777777" w:rsidR="002D0AE7" w:rsidRDefault="00333EBB">
            <w:pPr>
              <w:rPr>
                <w:rFonts w:cs="Cambria" w:hint="eastAsia"/>
                <w:szCs w:val="21"/>
              </w:rPr>
            </w:pPr>
            <w:r>
              <w:rPr>
                <w:szCs w:val="21"/>
              </w:rPr>
              <w:t>天津药业集团有限公司</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70A69E23" w14:textId="77777777" w:rsidR="002D0AE7" w:rsidRDefault="00333EBB">
            <w:pPr>
              <w:jc w:val="center"/>
              <w:rPr>
                <w:rFonts w:ascii="Times New Roman" w:hAnsi="Times New Roman" w:cs="Times New Roman"/>
                <w:szCs w:val="21"/>
              </w:rPr>
            </w:pPr>
            <w:r>
              <w:rPr>
                <w:rFonts w:ascii="Times New Roman" w:hAnsi="Times New Roman" w:cs="Times New Roman"/>
                <w:szCs w:val="21"/>
              </w:rPr>
              <w:t>88,000,000.00</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430D95DB" w14:textId="77777777" w:rsidR="002D0AE7" w:rsidRDefault="00333EBB">
            <w:pPr>
              <w:jc w:val="center"/>
              <w:rPr>
                <w:rFonts w:ascii="Times New Roman" w:hAnsi="Times New Roman" w:cs="Times New Roman"/>
                <w:szCs w:val="21"/>
              </w:rPr>
            </w:pPr>
            <w:r>
              <w:rPr>
                <w:rFonts w:ascii="Times New Roman" w:hAnsi="Times New Roman" w:cs="Times New Roman"/>
                <w:szCs w:val="21"/>
              </w:rPr>
              <w:t>2023/6/13</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7B3AD72F" w14:textId="77777777" w:rsidR="002D0AE7" w:rsidRDefault="00333EBB">
            <w:pPr>
              <w:jc w:val="center"/>
              <w:rPr>
                <w:rFonts w:ascii="Times New Roman" w:hAnsi="Times New Roman" w:cs="Times New Roman"/>
                <w:szCs w:val="21"/>
              </w:rPr>
            </w:pPr>
            <w:r>
              <w:rPr>
                <w:rFonts w:ascii="Times New Roman" w:hAnsi="Times New Roman" w:cs="Times New Roman"/>
                <w:szCs w:val="21"/>
              </w:rPr>
              <w:t>2028/06/13</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B5E241B" w14:textId="77777777" w:rsidR="002D0AE7" w:rsidRDefault="00333EBB">
            <w:pPr>
              <w:jc w:val="center"/>
              <w:rPr>
                <w:rFonts w:cs="Cambria" w:hint="eastAsia"/>
                <w:szCs w:val="21"/>
              </w:rPr>
            </w:pPr>
            <w:r>
              <w:rPr>
                <w:szCs w:val="21"/>
              </w:rPr>
              <w:t>否</w:t>
            </w:r>
          </w:p>
        </w:tc>
      </w:tr>
      <w:tr w:rsidR="002D0AE7" w14:paraId="1E5C23C5" w14:textId="77777777">
        <w:trPr>
          <w:jc w:val="center"/>
        </w:trPr>
        <w:tc>
          <w:tcPr>
            <w:tcW w:w="1393" w:type="pct"/>
            <w:tcBorders>
              <w:top w:val="single" w:sz="4" w:space="0" w:color="auto"/>
              <w:left w:val="single" w:sz="4" w:space="0" w:color="auto"/>
              <w:bottom w:val="single" w:sz="4" w:space="0" w:color="auto"/>
              <w:right w:val="single" w:sz="4" w:space="0" w:color="auto"/>
            </w:tcBorders>
            <w:shd w:val="clear" w:color="auto" w:fill="auto"/>
          </w:tcPr>
          <w:p w14:paraId="4907C688" w14:textId="77777777" w:rsidR="002D0AE7" w:rsidRDefault="00333EBB">
            <w:pPr>
              <w:rPr>
                <w:rFonts w:hint="eastAsia"/>
                <w:szCs w:val="21"/>
              </w:rPr>
            </w:pPr>
            <w:r>
              <w:rPr>
                <w:szCs w:val="21"/>
              </w:rPr>
              <w:t>天津药业集团有限公司</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4A5830E3" w14:textId="77777777" w:rsidR="002D0AE7" w:rsidRDefault="00333EBB">
            <w:pPr>
              <w:jc w:val="center"/>
              <w:rPr>
                <w:rFonts w:ascii="Times New Roman" w:hAnsi="Times New Roman" w:cs="Times New Roman"/>
                <w:szCs w:val="21"/>
              </w:rPr>
            </w:pPr>
            <w:r>
              <w:rPr>
                <w:rFonts w:ascii="Times New Roman" w:hAnsi="Times New Roman" w:cs="Times New Roman"/>
                <w:szCs w:val="21"/>
              </w:rPr>
              <w:t>40,000,000.00</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34585A5E" w14:textId="77777777" w:rsidR="002D0AE7" w:rsidRDefault="00333EBB">
            <w:pPr>
              <w:jc w:val="center"/>
              <w:rPr>
                <w:rFonts w:ascii="Times New Roman" w:hAnsi="Times New Roman" w:cs="Times New Roman"/>
                <w:szCs w:val="21"/>
              </w:rPr>
            </w:pPr>
            <w:r>
              <w:rPr>
                <w:rFonts w:ascii="Times New Roman" w:hAnsi="Times New Roman" w:cs="Times New Roman"/>
                <w:szCs w:val="21"/>
              </w:rPr>
              <w:t>2023/6/28</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3C8FA330" w14:textId="77777777" w:rsidR="002D0AE7" w:rsidRDefault="00333EBB">
            <w:pPr>
              <w:jc w:val="center"/>
              <w:rPr>
                <w:rFonts w:ascii="Times New Roman" w:hAnsi="Times New Roman" w:cs="Times New Roman"/>
                <w:szCs w:val="21"/>
              </w:rPr>
            </w:pPr>
            <w:r>
              <w:rPr>
                <w:rFonts w:ascii="Times New Roman" w:hAnsi="Times New Roman" w:cs="Times New Roman"/>
                <w:szCs w:val="21"/>
              </w:rPr>
              <w:t>2029/06/19</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D743683" w14:textId="77777777" w:rsidR="002D0AE7" w:rsidRDefault="00333EBB">
            <w:pPr>
              <w:jc w:val="center"/>
              <w:rPr>
                <w:rFonts w:hint="eastAsia"/>
                <w:szCs w:val="21"/>
              </w:rPr>
            </w:pPr>
            <w:r>
              <w:rPr>
                <w:szCs w:val="21"/>
              </w:rPr>
              <w:t>否</w:t>
            </w:r>
          </w:p>
        </w:tc>
      </w:tr>
      <w:tr w:rsidR="002D0AE7" w14:paraId="7736BC35" w14:textId="77777777">
        <w:trPr>
          <w:jc w:val="center"/>
        </w:trPr>
        <w:tc>
          <w:tcPr>
            <w:tcW w:w="1393" w:type="pct"/>
            <w:tcBorders>
              <w:top w:val="single" w:sz="4" w:space="0" w:color="auto"/>
              <w:left w:val="single" w:sz="4" w:space="0" w:color="auto"/>
              <w:bottom w:val="single" w:sz="4" w:space="0" w:color="auto"/>
              <w:right w:val="single" w:sz="4" w:space="0" w:color="auto"/>
            </w:tcBorders>
            <w:shd w:val="clear" w:color="auto" w:fill="auto"/>
          </w:tcPr>
          <w:p w14:paraId="4FD510DC" w14:textId="77777777" w:rsidR="002D0AE7" w:rsidRDefault="00333EBB">
            <w:pPr>
              <w:rPr>
                <w:rFonts w:hint="eastAsia"/>
                <w:szCs w:val="21"/>
              </w:rPr>
            </w:pPr>
            <w:r>
              <w:rPr>
                <w:szCs w:val="21"/>
              </w:rPr>
              <w:t>天津药业集团有限公司</w:t>
            </w:r>
          </w:p>
        </w:tc>
        <w:tc>
          <w:tcPr>
            <w:tcW w:w="813" w:type="pct"/>
            <w:tcBorders>
              <w:top w:val="single" w:sz="4" w:space="0" w:color="auto"/>
              <w:left w:val="single" w:sz="4" w:space="0" w:color="auto"/>
              <w:bottom w:val="single" w:sz="4" w:space="0" w:color="auto"/>
              <w:right w:val="single" w:sz="4" w:space="0" w:color="auto"/>
            </w:tcBorders>
            <w:shd w:val="clear" w:color="auto" w:fill="auto"/>
            <w:vAlign w:val="center"/>
          </w:tcPr>
          <w:p w14:paraId="3BF4AF06" w14:textId="77777777" w:rsidR="002D0AE7" w:rsidRDefault="00333EBB">
            <w:pPr>
              <w:jc w:val="center"/>
              <w:rPr>
                <w:rFonts w:ascii="Times New Roman" w:hAnsi="Times New Roman" w:cs="Times New Roman"/>
                <w:szCs w:val="21"/>
              </w:rPr>
            </w:pPr>
            <w:r>
              <w:rPr>
                <w:rFonts w:ascii="Times New Roman" w:hAnsi="Times New Roman" w:cs="Times New Roman"/>
                <w:szCs w:val="21"/>
              </w:rPr>
              <w:t>55,000,000.00</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34EB509F" w14:textId="77777777" w:rsidR="002D0AE7" w:rsidRDefault="00333EBB">
            <w:pPr>
              <w:jc w:val="center"/>
              <w:rPr>
                <w:rFonts w:ascii="Times New Roman" w:hAnsi="Times New Roman" w:cs="Times New Roman"/>
                <w:szCs w:val="21"/>
              </w:rPr>
            </w:pPr>
            <w:r>
              <w:rPr>
                <w:rFonts w:ascii="Times New Roman" w:hAnsi="Times New Roman" w:cs="Times New Roman"/>
                <w:szCs w:val="21"/>
              </w:rPr>
              <w:t>2023/7/14</w:t>
            </w:r>
          </w:p>
        </w:tc>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4280BCA0" w14:textId="77777777" w:rsidR="002D0AE7" w:rsidRDefault="00333EBB">
            <w:pPr>
              <w:jc w:val="center"/>
              <w:rPr>
                <w:rFonts w:ascii="Times New Roman" w:hAnsi="Times New Roman" w:cs="Times New Roman"/>
                <w:szCs w:val="21"/>
              </w:rPr>
            </w:pPr>
            <w:r>
              <w:rPr>
                <w:rFonts w:ascii="Times New Roman" w:hAnsi="Times New Roman" w:cs="Times New Roman"/>
                <w:szCs w:val="21"/>
              </w:rPr>
              <w:t>2029/06/19</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FD1304C" w14:textId="77777777" w:rsidR="002D0AE7" w:rsidRDefault="00333EBB">
            <w:pPr>
              <w:jc w:val="center"/>
              <w:rPr>
                <w:rFonts w:hint="eastAsia"/>
                <w:szCs w:val="21"/>
              </w:rPr>
            </w:pPr>
            <w:r>
              <w:rPr>
                <w:szCs w:val="21"/>
              </w:rPr>
              <w:t>否</w:t>
            </w:r>
          </w:p>
        </w:tc>
      </w:tr>
    </w:tbl>
    <w:p w14:paraId="09DF2CFA" w14:textId="77777777" w:rsidR="002D0AE7" w:rsidRDefault="00333EBB">
      <w:pPr>
        <w:pStyle w:val="4"/>
        <w:numPr>
          <w:ilvl w:val="0"/>
          <w:numId w:val="81"/>
        </w:numPr>
        <w:tabs>
          <w:tab w:val="left" w:pos="616"/>
        </w:tabs>
        <w:rPr>
          <w:rFonts w:ascii="宋体" w:hAnsi="宋体" w:hint="eastAsia"/>
          <w:color w:val="000000" w:themeColor="text1"/>
        </w:rPr>
      </w:pPr>
      <w:r>
        <w:rPr>
          <w:rFonts w:ascii="宋体" w:hAnsi="宋体" w:hint="eastAsia"/>
          <w:color w:val="000000" w:themeColor="text1"/>
        </w:rPr>
        <w:t>其他关联交易</w:t>
      </w:r>
    </w:p>
    <w:sdt>
      <w:sdtPr>
        <w:rPr>
          <w:color w:val="000000" w:themeColor="text1"/>
        </w:rPr>
        <w:alias w:val="是否适用：其他关联交易[双击切换]"/>
        <w:tag w:val="_GBC_9768a300838a499089a7b814ff3d817d"/>
        <w:id w:val="427081556"/>
        <w:placeholder>
          <w:docPart w:val="GBC22222222222222222222222222222"/>
        </w:placeholder>
      </w:sdtPr>
      <w:sdtEndPr/>
      <w:sdtContent>
        <w:p w14:paraId="51CD1FB4"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rFonts w:ascii="Calibri" w:hAnsi="Calibri" w:cs="Times New Roman"/>
          <w:color w:val="000000" w:themeColor="text1"/>
          <w:kern w:val="2"/>
          <w:szCs w:val="22"/>
        </w:rPr>
        <w:alias w:val="其他关联交易的情况"/>
        <w:tag w:val="_GBC_6032ff15164341538a97d5ac05a80e23"/>
        <w:id w:val="1859388722"/>
        <w:placeholder>
          <w:docPart w:val="GBC22222222222222222222222222222"/>
        </w:placeholder>
      </w:sdtPr>
      <w:sdtEndPr>
        <w:rPr>
          <w:rFonts w:hint="eastAsia"/>
        </w:rPr>
      </w:sdtEndPr>
      <w:sdtContent>
        <w:p w14:paraId="45460EA9" w14:textId="77777777" w:rsidR="002D0AE7" w:rsidRDefault="00333EBB">
          <w:pPr>
            <w:rPr>
              <w:rFonts w:hint="eastAsia"/>
              <w:color w:val="000000" w:themeColor="text1"/>
            </w:rPr>
          </w:pPr>
          <w:r>
            <w:rPr>
              <w:color w:val="000000" w:themeColor="text1"/>
            </w:rPr>
            <w:t>&lt;1&gt;</w:t>
          </w:r>
          <w:r>
            <w:rPr>
              <w:color w:val="000000" w:themeColor="text1"/>
            </w:rPr>
            <w:t>收取动力费</w:t>
          </w:r>
        </w:p>
        <w:tbl>
          <w:tblPr>
            <w:tblStyle w:val="aff2"/>
            <w:tblW w:w="0" w:type="auto"/>
            <w:tblLook w:val="04A0" w:firstRow="1" w:lastRow="0" w:firstColumn="1" w:lastColumn="0" w:noHBand="0" w:noVBand="1"/>
          </w:tblPr>
          <w:tblGrid>
            <w:gridCol w:w="3397"/>
            <w:gridCol w:w="2477"/>
            <w:gridCol w:w="2949"/>
          </w:tblGrid>
          <w:tr w:rsidR="002D0AE7" w14:paraId="30E93999" w14:textId="77777777">
            <w:tc>
              <w:tcPr>
                <w:tcW w:w="3397" w:type="dxa"/>
              </w:tcPr>
              <w:p w14:paraId="2BAD542B" w14:textId="77777777" w:rsidR="002D0AE7" w:rsidRDefault="00333EBB">
                <w:pPr>
                  <w:jc w:val="center"/>
                  <w:rPr>
                    <w:rFonts w:hint="eastAsia"/>
                    <w:color w:val="000000" w:themeColor="text1"/>
                    <w:sz w:val="21"/>
                    <w:szCs w:val="21"/>
                  </w:rPr>
                </w:pPr>
                <w:r>
                  <w:rPr>
                    <w:rFonts w:hint="eastAsia"/>
                    <w:color w:val="000000" w:themeColor="text1"/>
                    <w:sz w:val="21"/>
                    <w:szCs w:val="21"/>
                  </w:rPr>
                  <w:lastRenderedPageBreak/>
                  <w:t>关联方</w:t>
                </w:r>
              </w:p>
            </w:tc>
            <w:sdt>
              <w:sdtPr>
                <w:rPr>
                  <w:color w:val="000000" w:themeColor="text1"/>
                  <w:sz w:val="21"/>
                  <w:szCs w:val="21"/>
                </w:rPr>
                <w:tag w:val="_PLD_09c424bd80324eb49dafea569ce1931b"/>
                <w:id w:val="-1316185243"/>
              </w:sdtPr>
              <w:sdtEndPr/>
              <w:sdtContent>
                <w:tc>
                  <w:tcPr>
                    <w:tcW w:w="2477" w:type="dxa"/>
                    <w:vAlign w:val="center"/>
                  </w:tcPr>
                  <w:p w14:paraId="3382C93E" w14:textId="77777777" w:rsidR="002D0AE7" w:rsidRDefault="00333EBB">
                    <w:pPr>
                      <w:jc w:val="center"/>
                      <w:rPr>
                        <w:rFonts w:hint="eastAsia"/>
                        <w:color w:val="000000" w:themeColor="text1"/>
                        <w:sz w:val="21"/>
                        <w:szCs w:val="21"/>
                      </w:rPr>
                    </w:pPr>
                    <w:r>
                      <w:rPr>
                        <w:rFonts w:cs="Cambria" w:hint="eastAsia"/>
                        <w:color w:val="000000" w:themeColor="text1"/>
                        <w:sz w:val="21"/>
                        <w:szCs w:val="21"/>
                      </w:rPr>
                      <w:t>本期发生额</w:t>
                    </w:r>
                  </w:p>
                </w:tc>
              </w:sdtContent>
            </w:sdt>
            <w:sdt>
              <w:sdtPr>
                <w:rPr>
                  <w:color w:val="000000" w:themeColor="text1"/>
                  <w:sz w:val="21"/>
                  <w:szCs w:val="21"/>
                </w:rPr>
                <w:tag w:val="_PLD_fd0f9e0691744db49d5ceaf95d42197c"/>
                <w:id w:val="-561794311"/>
              </w:sdtPr>
              <w:sdtEndPr/>
              <w:sdtContent>
                <w:tc>
                  <w:tcPr>
                    <w:tcW w:w="2949" w:type="dxa"/>
                    <w:vAlign w:val="center"/>
                  </w:tcPr>
                  <w:p w14:paraId="3B6F1E46" w14:textId="77777777" w:rsidR="002D0AE7" w:rsidRDefault="00333EBB">
                    <w:pPr>
                      <w:jc w:val="center"/>
                      <w:rPr>
                        <w:rFonts w:hint="eastAsia"/>
                        <w:color w:val="000000" w:themeColor="text1"/>
                        <w:sz w:val="21"/>
                        <w:szCs w:val="21"/>
                      </w:rPr>
                    </w:pPr>
                    <w:r>
                      <w:rPr>
                        <w:rFonts w:cs="Cambria" w:hint="eastAsia"/>
                        <w:color w:val="000000" w:themeColor="text1"/>
                        <w:sz w:val="21"/>
                        <w:szCs w:val="21"/>
                      </w:rPr>
                      <w:t>上期发生额</w:t>
                    </w:r>
                  </w:p>
                </w:tc>
              </w:sdtContent>
            </w:sdt>
          </w:tr>
          <w:tr w:rsidR="002D0AE7" w14:paraId="64BCDDF2" w14:textId="77777777">
            <w:tc>
              <w:tcPr>
                <w:tcW w:w="3397" w:type="dxa"/>
                <w:vAlign w:val="center"/>
              </w:tcPr>
              <w:p w14:paraId="7E537812" w14:textId="77777777" w:rsidR="002D0AE7" w:rsidRDefault="00333EBB">
                <w:pPr>
                  <w:rPr>
                    <w:rFonts w:hint="eastAsia"/>
                    <w:color w:val="000000" w:themeColor="text1"/>
                    <w:sz w:val="21"/>
                    <w:szCs w:val="21"/>
                  </w:rPr>
                </w:pPr>
                <w:r>
                  <w:rPr>
                    <w:rFonts w:hint="eastAsia"/>
                    <w:sz w:val="21"/>
                    <w:szCs w:val="21"/>
                  </w:rPr>
                  <w:t>天津药业集团有限公司</w:t>
                </w:r>
              </w:p>
            </w:tc>
            <w:tc>
              <w:tcPr>
                <w:tcW w:w="2477" w:type="dxa"/>
                <w:vAlign w:val="center"/>
              </w:tcPr>
              <w:p w14:paraId="63325468"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1,124,727.03</w:t>
                </w:r>
              </w:p>
            </w:tc>
            <w:tc>
              <w:tcPr>
                <w:tcW w:w="2949" w:type="dxa"/>
                <w:vAlign w:val="center"/>
              </w:tcPr>
              <w:p w14:paraId="1CDCFC04"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644,138.83</w:t>
                </w:r>
              </w:p>
            </w:tc>
          </w:tr>
          <w:tr w:rsidR="002D0AE7" w14:paraId="7AA188B9" w14:textId="77777777">
            <w:tc>
              <w:tcPr>
                <w:tcW w:w="3397" w:type="dxa"/>
                <w:vAlign w:val="center"/>
              </w:tcPr>
              <w:p w14:paraId="3C9B8B78" w14:textId="77777777" w:rsidR="002D0AE7" w:rsidRDefault="00333EBB">
                <w:pPr>
                  <w:rPr>
                    <w:rFonts w:hint="eastAsia"/>
                    <w:color w:val="000000" w:themeColor="text1"/>
                    <w:sz w:val="21"/>
                    <w:szCs w:val="21"/>
                  </w:rPr>
                </w:pPr>
                <w:r>
                  <w:rPr>
                    <w:rFonts w:hint="eastAsia"/>
                    <w:color w:val="000000"/>
                    <w:sz w:val="21"/>
                    <w:szCs w:val="21"/>
                  </w:rPr>
                  <w:t>天津金耀物流有限公司</w:t>
                </w:r>
              </w:p>
            </w:tc>
            <w:tc>
              <w:tcPr>
                <w:tcW w:w="2477" w:type="dxa"/>
                <w:vAlign w:val="center"/>
              </w:tcPr>
              <w:p w14:paraId="36424C6B"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1,027,706.94</w:t>
                </w:r>
              </w:p>
            </w:tc>
            <w:tc>
              <w:tcPr>
                <w:tcW w:w="2949" w:type="dxa"/>
                <w:vAlign w:val="center"/>
              </w:tcPr>
              <w:p w14:paraId="287A65D6"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839,790.01</w:t>
                </w:r>
              </w:p>
            </w:tc>
          </w:tr>
          <w:tr w:rsidR="002D0AE7" w14:paraId="2B2C9073" w14:textId="77777777">
            <w:tc>
              <w:tcPr>
                <w:tcW w:w="3397" w:type="dxa"/>
                <w:vAlign w:val="center"/>
              </w:tcPr>
              <w:p w14:paraId="22071413" w14:textId="77777777" w:rsidR="002D0AE7" w:rsidRDefault="00333EBB">
                <w:pPr>
                  <w:rPr>
                    <w:rFonts w:hint="eastAsia"/>
                    <w:color w:val="000000" w:themeColor="text1"/>
                    <w:sz w:val="21"/>
                    <w:szCs w:val="21"/>
                  </w:rPr>
                </w:pPr>
                <w:r>
                  <w:rPr>
                    <w:rFonts w:hint="eastAsia"/>
                    <w:sz w:val="21"/>
                    <w:szCs w:val="21"/>
                  </w:rPr>
                  <w:t>天津药业研究院股份有限公司</w:t>
                </w:r>
              </w:p>
            </w:tc>
            <w:tc>
              <w:tcPr>
                <w:tcW w:w="2477" w:type="dxa"/>
                <w:vAlign w:val="center"/>
              </w:tcPr>
              <w:p w14:paraId="0499E1EA"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375,263.25</w:t>
                </w:r>
              </w:p>
            </w:tc>
            <w:tc>
              <w:tcPr>
                <w:tcW w:w="2949" w:type="dxa"/>
                <w:vAlign w:val="center"/>
              </w:tcPr>
              <w:p w14:paraId="1E7C8CA6"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493,274.00</w:t>
                </w:r>
              </w:p>
            </w:tc>
          </w:tr>
          <w:tr w:rsidR="002D0AE7" w14:paraId="2783D5DD" w14:textId="77777777">
            <w:tc>
              <w:tcPr>
                <w:tcW w:w="3397" w:type="dxa"/>
                <w:vAlign w:val="center"/>
              </w:tcPr>
              <w:p w14:paraId="67AE64F1" w14:textId="77777777" w:rsidR="002D0AE7" w:rsidRDefault="00333EBB">
                <w:pPr>
                  <w:rPr>
                    <w:rFonts w:hint="eastAsia"/>
                    <w:color w:val="000000" w:themeColor="text1"/>
                    <w:sz w:val="21"/>
                    <w:szCs w:val="21"/>
                  </w:rPr>
                </w:pPr>
                <w:r>
                  <w:rPr>
                    <w:rFonts w:hint="eastAsia"/>
                    <w:sz w:val="21"/>
                    <w:szCs w:val="21"/>
                  </w:rPr>
                  <w:t>天津信达制药有限公司</w:t>
                </w:r>
              </w:p>
            </w:tc>
            <w:tc>
              <w:tcPr>
                <w:tcW w:w="2477" w:type="dxa"/>
                <w:vAlign w:val="center"/>
              </w:tcPr>
              <w:p w14:paraId="2863513C"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363,116.57</w:t>
                </w:r>
              </w:p>
            </w:tc>
            <w:tc>
              <w:tcPr>
                <w:tcW w:w="2949" w:type="dxa"/>
                <w:vAlign w:val="center"/>
              </w:tcPr>
              <w:p w14:paraId="053042EB"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302,849.90</w:t>
                </w:r>
              </w:p>
            </w:tc>
          </w:tr>
          <w:tr w:rsidR="002D0AE7" w14:paraId="260D3110" w14:textId="77777777">
            <w:tc>
              <w:tcPr>
                <w:tcW w:w="3397" w:type="dxa"/>
                <w:vAlign w:val="center"/>
              </w:tcPr>
              <w:p w14:paraId="07B0445F" w14:textId="77777777" w:rsidR="002D0AE7" w:rsidRDefault="00333EBB">
                <w:pPr>
                  <w:rPr>
                    <w:rFonts w:hint="eastAsia"/>
                    <w:color w:val="000000" w:themeColor="text1"/>
                    <w:sz w:val="21"/>
                    <w:szCs w:val="21"/>
                  </w:rPr>
                </w:pPr>
                <w:r>
                  <w:rPr>
                    <w:rFonts w:hint="eastAsia"/>
                    <w:sz w:val="21"/>
                    <w:szCs w:val="21"/>
                  </w:rPr>
                  <w:t>天津诺达医疗科技有限公司</w:t>
                </w:r>
              </w:p>
            </w:tc>
            <w:tc>
              <w:tcPr>
                <w:tcW w:w="2477" w:type="dxa"/>
                <w:vAlign w:val="center"/>
              </w:tcPr>
              <w:p w14:paraId="103BB620"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58,804.15</w:t>
                </w:r>
              </w:p>
            </w:tc>
            <w:tc>
              <w:tcPr>
                <w:tcW w:w="2949" w:type="dxa"/>
                <w:vAlign w:val="center"/>
              </w:tcPr>
              <w:p w14:paraId="5DC69349"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80,141.00</w:t>
                </w:r>
              </w:p>
            </w:tc>
          </w:tr>
          <w:tr w:rsidR="002D0AE7" w14:paraId="5EF24154" w14:textId="77777777">
            <w:tc>
              <w:tcPr>
                <w:tcW w:w="3397" w:type="dxa"/>
                <w:vAlign w:val="center"/>
              </w:tcPr>
              <w:p w14:paraId="631FE89C" w14:textId="77777777" w:rsidR="002D0AE7" w:rsidRDefault="00333EBB">
                <w:pPr>
                  <w:rPr>
                    <w:rFonts w:hint="eastAsia"/>
                    <w:color w:val="000000" w:themeColor="text1"/>
                    <w:sz w:val="21"/>
                    <w:szCs w:val="21"/>
                  </w:rPr>
                </w:pPr>
                <w:r>
                  <w:rPr>
                    <w:rFonts w:hint="eastAsia"/>
                    <w:sz w:val="21"/>
                    <w:szCs w:val="21"/>
                  </w:rPr>
                  <w:t>天津信诺制药有限公司</w:t>
                </w:r>
              </w:p>
            </w:tc>
            <w:tc>
              <w:tcPr>
                <w:tcW w:w="2477" w:type="dxa"/>
                <w:vAlign w:val="center"/>
              </w:tcPr>
              <w:p w14:paraId="5A2B928B"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33,158.03</w:t>
                </w:r>
              </w:p>
            </w:tc>
            <w:tc>
              <w:tcPr>
                <w:tcW w:w="2949" w:type="dxa"/>
                <w:vAlign w:val="center"/>
              </w:tcPr>
              <w:p w14:paraId="54A1D196"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17,630.88</w:t>
                </w:r>
              </w:p>
            </w:tc>
          </w:tr>
        </w:tbl>
        <w:p w14:paraId="0EC12B8E" w14:textId="77777777" w:rsidR="002D0AE7" w:rsidRDefault="00333EBB">
          <w:pPr>
            <w:rPr>
              <w:rFonts w:hint="eastAsia"/>
              <w:color w:val="000000" w:themeColor="text1"/>
            </w:rPr>
          </w:pPr>
          <w:r>
            <w:rPr>
              <w:color w:val="000000" w:themeColor="text1"/>
            </w:rPr>
            <w:t>&lt;2&gt;</w:t>
          </w:r>
          <w:r>
            <w:rPr>
              <w:color w:val="000000" w:themeColor="text1"/>
            </w:rPr>
            <w:t>收取综合服务费</w:t>
          </w:r>
        </w:p>
        <w:tbl>
          <w:tblPr>
            <w:tblStyle w:val="aff2"/>
            <w:tblW w:w="0" w:type="auto"/>
            <w:tblLook w:val="04A0" w:firstRow="1" w:lastRow="0" w:firstColumn="1" w:lastColumn="0" w:noHBand="0" w:noVBand="1"/>
          </w:tblPr>
          <w:tblGrid>
            <w:gridCol w:w="3397"/>
            <w:gridCol w:w="2473"/>
            <w:gridCol w:w="2953"/>
          </w:tblGrid>
          <w:tr w:rsidR="002D0AE7" w14:paraId="2862DCB3" w14:textId="77777777">
            <w:tc>
              <w:tcPr>
                <w:tcW w:w="3397" w:type="dxa"/>
              </w:tcPr>
              <w:p w14:paraId="23B0999D" w14:textId="77777777" w:rsidR="002D0AE7" w:rsidRDefault="00333EBB">
                <w:pPr>
                  <w:jc w:val="center"/>
                  <w:rPr>
                    <w:rFonts w:hint="eastAsia"/>
                    <w:color w:val="000000" w:themeColor="text1"/>
                    <w:sz w:val="21"/>
                    <w:szCs w:val="21"/>
                  </w:rPr>
                </w:pPr>
                <w:r>
                  <w:rPr>
                    <w:rFonts w:hint="eastAsia"/>
                    <w:color w:val="000000" w:themeColor="text1"/>
                    <w:sz w:val="21"/>
                    <w:szCs w:val="21"/>
                  </w:rPr>
                  <w:t>关联方</w:t>
                </w:r>
              </w:p>
            </w:tc>
            <w:sdt>
              <w:sdtPr>
                <w:rPr>
                  <w:color w:val="000000" w:themeColor="text1"/>
                  <w:sz w:val="21"/>
                  <w:szCs w:val="21"/>
                </w:rPr>
                <w:tag w:val="_PLD_09c424bd80324eb49dafea569ce1931b"/>
                <w:id w:val="-720286052"/>
              </w:sdtPr>
              <w:sdtEndPr/>
              <w:sdtContent>
                <w:tc>
                  <w:tcPr>
                    <w:tcW w:w="2473" w:type="dxa"/>
                    <w:vAlign w:val="center"/>
                  </w:tcPr>
                  <w:p w14:paraId="4901EA43" w14:textId="77777777" w:rsidR="002D0AE7" w:rsidRDefault="00333EBB">
                    <w:pPr>
                      <w:jc w:val="center"/>
                      <w:rPr>
                        <w:rFonts w:hint="eastAsia"/>
                        <w:color w:val="000000" w:themeColor="text1"/>
                        <w:sz w:val="21"/>
                        <w:szCs w:val="21"/>
                      </w:rPr>
                    </w:pPr>
                    <w:r>
                      <w:rPr>
                        <w:rFonts w:cs="Cambria" w:hint="eastAsia"/>
                        <w:color w:val="000000" w:themeColor="text1"/>
                        <w:sz w:val="21"/>
                        <w:szCs w:val="21"/>
                      </w:rPr>
                      <w:t>本期发生额</w:t>
                    </w:r>
                  </w:p>
                </w:tc>
              </w:sdtContent>
            </w:sdt>
            <w:sdt>
              <w:sdtPr>
                <w:rPr>
                  <w:color w:val="000000" w:themeColor="text1"/>
                  <w:sz w:val="21"/>
                  <w:szCs w:val="21"/>
                </w:rPr>
                <w:tag w:val="_PLD_fd0f9e0691744db49d5ceaf95d42197c"/>
                <w:id w:val="493773856"/>
              </w:sdtPr>
              <w:sdtEndPr/>
              <w:sdtContent>
                <w:tc>
                  <w:tcPr>
                    <w:tcW w:w="2953" w:type="dxa"/>
                    <w:vAlign w:val="center"/>
                  </w:tcPr>
                  <w:p w14:paraId="6984D817" w14:textId="77777777" w:rsidR="002D0AE7" w:rsidRDefault="00333EBB">
                    <w:pPr>
                      <w:jc w:val="center"/>
                      <w:rPr>
                        <w:rFonts w:hint="eastAsia"/>
                        <w:color w:val="000000" w:themeColor="text1"/>
                        <w:sz w:val="21"/>
                        <w:szCs w:val="21"/>
                      </w:rPr>
                    </w:pPr>
                    <w:r>
                      <w:rPr>
                        <w:rFonts w:cs="Cambria" w:hint="eastAsia"/>
                        <w:color w:val="000000" w:themeColor="text1"/>
                        <w:sz w:val="21"/>
                        <w:szCs w:val="21"/>
                      </w:rPr>
                      <w:t>上期发生额</w:t>
                    </w:r>
                  </w:p>
                </w:tc>
              </w:sdtContent>
            </w:sdt>
          </w:tr>
          <w:tr w:rsidR="002D0AE7" w14:paraId="1C99B32F" w14:textId="77777777">
            <w:tc>
              <w:tcPr>
                <w:tcW w:w="3397" w:type="dxa"/>
                <w:vAlign w:val="center"/>
              </w:tcPr>
              <w:p w14:paraId="73B9798B" w14:textId="77777777" w:rsidR="002D0AE7" w:rsidRDefault="00333EBB">
                <w:pPr>
                  <w:rPr>
                    <w:rFonts w:hint="eastAsia"/>
                    <w:color w:val="000000" w:themeColor="text1"/>
                    <w:sz w:val="21"/>
                    <w:szCs w:val="21"/>
                  </w:rPr>
                </w:pPr>
                <w:r>
                  <w:rPr>
                    <w:rFonts w:hint="eastAsia"/>
                    <w:sz w:val="21"/>
                    <w:szCs w:val="21"/>
                  </w:rPr>
                  <w:t>天津金耀物流有限公司</w:t>
                </w:r>
              </w:p>
            </w:tc>
            <w:tc>
              <w:tcPr>
                <w:tcW w:w="2473" w:type="dxa"/>
                <w:vAlign w:val="center"/>
              </w:tcPr>
              <w:p w14:paraId="2D78C461"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1,334,876.81</w:t>
                </w:r>
              </w:p>
            </w:tc>
            <w:tc>
              <w:tcPr>
                <w:tcW w:w="2953" w:type="dxa"/>
                <w:vAlign w:val="center"/>
              </w:tcPr>
              <w:p w14:paraId="0D1292E2"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1,240,012.32</w:t>
                </w:r>
              </w:p>
            </w:tc>
          </w:tr>
          <w:tr w:rsidR="002D0AE7" w14:paraId="0BBDDFC3" w14:textId="77777777">
            <w:tc>
              <w:tcPr>
                <w:tcW w:w="3397" w:type="dxa"/>
                <w:vAlign w:val="center"/>
              </w:tcPr>
              <w:p w14:paraId="4F7BC5B3" w14:textId="77777777" w:rsidR="002D0AE7" w:rsidRDefault="00333EBB">
                <w:pPr>
                  <w:rPr>
                    <w:rFonts w:hint="eastAsia"/>
                    <w:color w:val="000000" w:themeColor="text1"/>
                    <w:sz w:val="21"/>
                    <w:szCs w:val="21"/>
                  </w:rPr>
                </w:pPr>
                <w:r>
                  <w:rPr>
                    <w:rFonts w:hint="eastAsia"/>
                    <w:sz w:val="21"/>
                    <w:szCs w:val="21"/>
                  </w:rPr>
                  <w:t>天津药业集团有限公司</w:t>
                </w:r>
              </w:p>
            </w:tc>
            <w:tc>
              <w:tcPr>
                <w:tcW w:w="2473" w:type="dxa"/>
                <w:vAlign w:val="center"/>
              </w:tcPr>
              <w:p w14:paraId="5A5C43A2"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1,010,789.88</w:t>
                </w:r>
              </w:p>
            </w:tc>
            <w:tc>
              <w:tcPr>
                <w:tcW w:w="2953" w:type="dxa"/>
                <w:vAlign w:val="center"/>
              </w:tcPr>
              <w:p w14:paraId="209B955D"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989,865.07</w:t>
                </w:r>
              </w:p>
            </w:tc>
          </w:tr>
          <w:tr w:rsidR="002D0AE7" w14:paraId="02AD3EE6" w14:textId="77777777">
            <w:tc>
              <w:tcPr>
                <w:tcW w:w="3397" w:type="dxa"/>
                <w:vAlign w:val="center"/>
              </w:tcPr>
              <w:p w14:paraId="0E3E008D" w14:textId="77777777" w:rsidR="002D0AE7" w:rsidRDefault="00333EBB">
                <w:pPr>
                  <w:rPr>
                    <w:rFonts w:hint="eastAsia"/>
                    <w:color w:val="000000" w:themeColor="text1"/>
                    <w:sz w:val="21"/>
                    <w:szCs w:val="21"/>
                  </w:rPr>
                </w:pPr>
                <w:r>
                  <w:rPr>
                    <w:rFonts w:hint="eastAsia"/>
                    <w:sz w:val="21"/>
                    <w:szCs w:val="21"/>
                  </w:rPr>
                  <w:t>天津信诺制药有限公司</w:t>
                </w:r>
              </w:p>
            </w:tc>
            <w:tc>
              <w:tcPr>
                <w:tcW w:w="2473" w:type="dxa"/>
                <w:vAlign w:val="center"/>
              </w:tcPr>
              <w:p w14:paraId="7BA7EA59"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373,682.64</w:t>
                </w:r>
              </w:p>
            </w:tc>
            <w:tc>
              <w:tcPr>
                <w:tcW w:w="2953" w:type="dxa"/>
                <w:vAlign w:val="center"/>
              </w:tcPr>
              <w:p w14:paraId="73D66352"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371,151.48</w:t>
                </w:r>
              </w:p>
            </w:tc>
          </w:tr>
          <w:tr w:rsidR="002D0AE7" w14:paraId="40D3CA3C" w14:textId="77777777">
            <w:tc>
              <w:tcPr>
                <w:tcW w:w="3397" w:type="dxa"/>
                <w:vAlign w:val="center"/>
              </w:tcPr>
              <w:p w14:paraId="4B52A5A4" w14:textId="77777777" w:rsidR="002D0AE7" w:rsidRDefault="00333EBB">
                <w:pPr>
                  <w:rPr>
                    <w:rFonts w:hint="eastAsia"/>
                    <w:color w:val="000000" w:themeColor="text1"/>
                    <w:sz w:val="21"/>
                    <w:szCs w:val="21"/>
                  </w:rPr>
                </w:pPr>
                <w:r>
                  <w:rPr>
                    <w:rFonts w:hint="eastAsia"/>
                    <w:sz w:val="21"/>
                    <w:szCs w:val="21"/>
                  </w:rPr>
                  <w:t>天津信达制药有限公司</w:t>
                </w:r>
              </w:p>
            </w:tc>
            <w:tc>
              <w:tcPr>
                <w:tcW w:w="2473" w:type="dxa"/>
                <w:vAlign w:val="center"/>
              </w:tcPr>
              <w:p w14:paraId="3CA9653D"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244,450.51</w:t>
                </w:r>
              </w:p>
            </w:tc>
            <w:tc>
              <w:tcPr>
                <w:tcW w:w="2953" w:type="dxa"/>
                <w:vAlign w:val="center"/>
              </w:tcPr>
              <w:p w14:paraId="499DABC7"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249,099.01</w:t>
                </w:r>
              </w:p>
            </w:tc>
          </w:tr>
        </w:tbl>
        <w:p w14:paraId="18022A94" w14:textId="77777777" w:rsidR="002D0AE7" w:rsidRDefault="00333EBB">
          <w:pPr>
            <w:rPr>
              <w:rFonts w:hint="eastAsia"/>
              <w:color w:val="000000" w:themeColor="text1"/>
            </w:rPr>
          </w:pPr>
          <w:r>
            <w:rPr>
              <w:color w:val="000000" w:themeColor="text1"/>
            </w:rPr>
            <w:t>&lt;3&gt;</w:t>
          </w:r>
          <w:r>
            <w:rPr>
              <w:color w:val="000000" w:themeColor="text1"/>
            </w:rPr>
            <w:t>收取服务费</w:t>
          </w:r>
        </w:p>
        <w:tbl>
          <w:tblPr>
            <w:tblStyle w:val="aff2"/>
            <w:tblW w:w="0" w:type="auto"/>
            <w:tblLook w:val="04A0" w:firstRow="1" w:lastRow="0" w:firstColumn="1" w:lastColumn="0" w:noHBand="0" w:noVBand="1"/>
          </w:tblPr>
          <w:tblGrid>
            <w:gridCol w:w="3397"/>
            <w:gridCol w:w="2475"/>
            <w:gridCol w:w="2951"/>
          </w:tblGrid>
          <w:tr w:rsidR="002D0AE7" w14:paraId="38ECD8AE" w14:textId="77777777">
            <w:tc>
              <w:tcPr>
                <w:tcW w:w="3397" w:type="dxa"/>
              </w:tcPr>
              <w:p w14:paraId="26282DE2" w14:textId="77777777" w:rsidR="002D0AE7" w:rsidRDefault="00333EBB">
                <w:pPr>
                  <w:jc w:val="center"/>
                  <w:rPr>
                    <w:rFonts w:hint="eastAsia"/>
                    <w:color w:val="000000" w:themeColor="text1"/>
                    <w:sz w:val="21"/>
                    <w:szCs w:val="21"/>
                  </w:rPr>
                </w:pPr>
                <w:r>
                  <w:rPr>
                    <w:rFonts w:hint="eastAsia"/>
                    <w:color w:val="000000" w:themeColor="text1"/>
                    <w:sz w:val="21"/>
                    <w:szCs w:val="21"/>
                  </w:rPr>
                  <w:t>关联方</w:t>
                </w:r>
              </w:p>
            </w:tc>
            <w:sdt>
              <w:sdtPr>
                <w:rPr>
                  <w:color w:val="000000" w:themeColor="text1"/>
                  <w:sz w:val="21"/>
                  <w:szCs w:val="21"/>
                </w:rPr>
                <w:tag w:val="_PLD_09c424bd80324eb49dafea569ce1931b"/>
                <w:id w:val="-707328262"/>
              </w:sdtPr>
              <w:sdtEndPr/>
              <w:sdtContent>
                <w:tc>
                  <w:tcPr>
                    <w:tcW w:w="2475" w:type="dxa"/>
                    <w:vAlign w:val="center"/>
                  </w:tcPr>
                  <w:p w14:paraId="6E7500D4" w14:textId="77777777" w:rsidR="002D0AE7" w:rsidRDefault="00333EBB">
                    <w:pPr>
                      <w:jc w:val="center"/>
                      <w:rPr>
                        <w:rFonts w:hint="eastAsia"/>
                        <w:color w:val="000000" w:themeColor="text1"/>
                        <w:sz w:val="21"/>
                        <w:szCs w:val="21"/>
                      </w:rPr>
                    </w:pPr>
                    <w:r>
                      <w:rPr>
                        <w:rFonts w:cs="Cambria" w:hint="eastAsia"/>
                        <w:color w:val="000000" w:themeColor="text1"/>
                        <w:sz w:val="21"/>
                        <w:szCs w:val="21"/>
                      </w:rPr>
                      <w:t>本期发生额</w:t>
                    </w:r>
                  </w:p>
                </w:tc>
              </w:sdtContent>
            </w:sdt>
            <w:sdt>
              <w:sdtPr>
                <w:rPr>
                  <w:color w:val="000000" w:themeColor="text1"/>
                  <w:sz w:val="21"/>
                  <w:szCs w:val="21"/>
                </w:rPr>
                <w:tag w:val="_PLD_fd0f9e0691744db49d5ceaf95d42197c"/>
                <w:id w:val="27082391"/>
              </w:sdtPr>
              <w:sdtEndPr/>
              <w:sdtContent>
                <w:tc>
                  <w:tcPr>
                    <w:tcW w:w="2951" w:type="dxa"/>
                    <w:vAlign w:val="center"/>
                  </w:tcPr>
                  <w:p w14:paraId="19ADBB08" w14:textId="77777777" w:rsidR="002D0AE7" w:rsidRDefault="00333EBB">
                    <w:pPr>
                      <w:jc w:val="center"/>
                      <w:rPr>
                        <w:rFonts w:hint="eastAsia"/>
                        <w:color w:val="000000" w:themeColor="text1"/>
                        <w:sz w:val="21"/>
                        <w:szCs w:val="21"/>
                      </w:rPr>
                    </w:pPr>
                    <w:r>
                      <w:rPr>
                        <w:rFonts w:cs="Cambria" w:hint="eastAsia"/>
                        <w:color w:val="000000" w:themeColor="text1"/>
                        <w:sz w:val="21"/>
                        <w:szCs w:val="21"/>
                      </w:rPr>
                      <w:t>上期发生额</w:t>
                    </w:r>
                  </w:p>
                </w:tc>
              </w:sdtContent>
            </w:sdt>
          </w:tr>
          <w:tr w:rsidR="002D0AE7" w14:paraId="1470D5E4" w14:textId="77777777">
            <w:tc>
              <w:tcPr>
                <w:tcW w:w="3397" w:type="dxa"/>
                <w:vAlign w:val="center"/>
              </w:tcPr>
              <w:p w14:paraId="71415C95" w14:textId="77777777" w:rsidR="002D0AE7" w:rsidRDefault="00333EBB">
                <w:pPr>
                  <w:rPr>
                    <w:rFonts w:hint="eastAsia"/>
                    <w:color w:val="000000" w:themeColor="text1"/>
                    <w:sz w:val="21"/>
                    <w:szCs w:val="21"/>
                  </w:rPr>
                </w:pPr>
                <w:r>
                  <w:rPr>
                    <w:rFonts w:hint="eastAsia"/>
                    <w:sz w:val="21"/>
                    <w:szCs w:val="21"/>
                  </w:rPr>
                  <w:t>天津药业研究院股份有限公司</w:t>
                </w:r>
              </w:p>
            </w:tc>
            <w:tc>
              <w:tcPr>
                <w:tcW w:w="2475" w:type="dxa"/>
                <w:vAlign w:val="center"/>
              </w:tcPr>
              <w:p w14:paraId="7389A401"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0.00</w:t>
                </w:r>
              </w:p>
            </w:tc>
            <w:tc>
              <w:tcPr>
                <w:tcW w:w="2951" w:type="dxa"/>
                <w:vAlign w:val="center"/>
              </w:tcPr>
              <w:p w14:paraId="0265BF84"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4,811.32</w:t>
                </w:r>
              </w:p>
            </w:tc>
          </w:tr>
        </w:tbl>
        <w:p w14:paraId="47CA4261" w14:textId="77777777" w:rsidR="002D0AE7" w:rsidRDefault="00333EBB">
          <w:pPr>
            <w:rPr>
              <w:rFonts w:hint="eastAsia"/>
              <w:color w:val="000000" w:themeColor="text1"/>
            </w:rPr>
          </w:pPr>
          <w:r>
            <w:rPr>
              <w:color w:val="000000" w:themeColor="text1"/>
            </w:rPr>
            <w:t>&lt;4&gt;</w:t>
          </w:r>
          <w:r>
            <w:rPr>
              <w:color w:val="000000" w:themeColor="text1"/>
            </w:rPr>
            <w:t>支付检测费</w:t>
          </w:r>
        </w:p>
        <w:tbl>
          <w:tblPr>
            <w:tblStyle w:val="aff2"/>
            <w:tblW w:w="0" w:type="auto"/>
            <w:tblLook w:val="04A0" w:firstRow="1" w:lastRow="0" w:firstColumn="1" w:lastColumn="0" w:noHBand="0" w:noVBand="1"/>
          </w:tblPr>
          <w:tblGrid>
            <w:gridCol w:w="3397"/>
            <w:gridCol w:w="2489"/>
            <w:gridCol w:w="2937"/>
          </w:tblGrid>
          <w:tr w:rsidR="002D0AE7" w14:paraId="00F10BC3" w14:textId="77777777">
            <w:tc>
              <w:tcPr>
                <w:tcW w:w="3397" w:type="dxa"/>
              </w:tcPr>
              <w:p w14:paraId="356156B6" w14:textId="77777777" w:rsidR="002D0AE7" w:rsidRDefault="00333EBB">
                <w:pPr>
                  <w:jc w:val="center"/>
                  <w:rPr>
                    <w:rFonts w:hint="eastAsia"/>
                    <w:color w:val="000000" w:themeColor="text1"/>
                    <w:sz w:val="21"/>
                    <w:szCs w:val="21"/>
                  </w:rPr>
                </w:pPr>
                <w:r>
                  <w:rPr>
                    <w:rFonts w:hint="eastAsia"/>
                    <w:color w:val="000000" w:themeColor="text1"/>
                    <w:sz w:val="21"/>
                    <w:szCs w:val="21"/>
                  </w:rPr>
                  <w:t>关联方</w:t>
                </w:r>
              </w:p>
            </w:tc>
            <w:sdt>
              <w:sdtPr>
                <w:rPr>
                  <w:color w:val="000000" w:themeColor="text1"/>
                  <w:sz w:val="21"/>
                  <w:szCs w:val="21"/>
                </w:rPr>
                <w:tag w:val="_PLD_09c424bd80324eb49dafea569ce1931b"/>
                <w:id w:val="741689686"/>
              </w:sdtPr>
              <w:sdtEndPr/>
              <w:sdtContent>
                <w:tc>
                  <w:tcPr>
                    <w:tcW w:w="2489" w:type="dxa"/>
                    <w:vAlign w:val="center"/>
                  </w:tcPr>
                  <w:p w14:paraId="724844ED" w14:textId="77777777" w:rsidR="002D0AE7" w:rsidRDefault="00333EBB">
                    <w:pPr>
                      <w:jc w:val="center"/>
                      <w:rPr>
                        <w:rFonts w:hint="eastAsia"/>
                        <w:color w:val="000000" w:themeColor="text1"/>
                        <w:sz w:val="21"/>
                        <w:szCs w:val="21"/>
                      </w:rPr>
                    </w:pPr>
                    <w:r>
                      <w:rPr>
                        <w:rFonts w:cs="Cambria" w:hint="eastAsia"/>
                        <w:color w:val="000000" w:themeColor="text1"/>
                        <w:sz w:val="21"/>
                        <w:szCs w:val="21"/>
                      </w:rPr>
                      <w:t>本期发生额</w:t>
                    </w:r>
                  </w:p>
                </w:tc>
              </w:sdtContent>
            </w:sdt>
            <w:sdt>
              <w:sdtPr>
                <w:rPr>
                  <w:color w:val="000000" w:themeColor="text1"/>
                  <w:sz w:val="21"/>
                  <w:szCs w:val="21"/>
                </w:rPr>
                <w:tag w:val="_PLD_fd0f9e0691744db49d5ceaf95d42197c"/>
                <w:id w:val="-1085304335"/>
              </w:sdtPr>
              <w:sdtEndPr/>
              <w:sdtContent>
                <w:tc>
                  <w:tcPr>
                    <w:tcW w:w="2937" w:type="dxa"/>
                    <w:vAlign w:val="center"/>
                  </w:tcPr>
                  <w:p w14:paraId="59893CDF" w14:textId="77777777" w:rsidR="002D0AE7" w:rsidRDefault="00333EBB">
                    <w:pPr>
                      <w:jc w:val="center"/>
                      <w:rPr>
                        <w:rFonts w:hint="eastAsia"/>
                        <w:color w:val="000000" w:themeColor="text1"/>
                        <w:sz w:val="21"/>
                        <w:szCs w:val="21"/>
                      </w:rPr>
                    </w:pPr>
                    <w:r>
                      <w:rPr>
                        <w:rFonts w:cs="Cambria" w:hint="eastAsia"/>
                        <w:color w:val="000000" w:themeColor="text1"/>
                        <w:sz w:val="21"/>
                        <w:szCs w:val="21"/>
                      </w:rPr>
                      <w:t>上期发生额</w:t>
                    </w:r>
                  </w:p>
                </w:tc>
              </w:sdtContent>
            </w:sdt>
          </w:tr>
          <w:tr w:rsidR="002D0AE7" w14:paraId="1A295DCC" w14:textId="77777777">
            <w:tc>
              <w:tcPr>
                <w:tcW w:w="3397" w:type="dxa"/>
                <w:vAlign w:val="center"/>
              </w:tcPr>
              <w:p w14:paraId="3A5CD5A9" w14:textId="77777777" w:rsidR="002D0AE7" w:rsidRDefault="00333EBB">
                <w:pPr>
                  <w:rPr>
                    <w:rFonts w:hint="eastAsia"/>
                    <w:color w:val="000000" w:themeColor="text1"/>
                    <w:sz w:val="21"/>
                    <w:szCs w:val="21"/>
                  </w:rPr>
                </w:pPr>
                <w:r>
                  <w:rPr>
                    <w:rFonts w:hint="eastAsia"/>
                    <w:sz w:val="21"/>
                    <w:szCs w:val="21"/>
                  </w:rPr>
                  <w:t>天津药业研究院股份有限公司</w:t>
                </w:r>
              </w:p>
            </w:tc>
            <w:tc>
              <w:tcPr>
                <w:tcW w:w="2489" w:type="dxa"/>
                <w:vAlign w:val="center"/>
              </w:tcPr>
              <w:p w14:paraId="167D997A"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109,207.55</w:t>
                </w:r>
              </w:p>
            </w:tc>
            <w:tc>
              <w:tcPr>
                <w:tcW w:w="2937" w:type="dxa"/>
                <w:vAlign w:val="center"/>
              </w:tcPr>
              <w:p w14:paraId="6B759D88"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0.00</w:t>
                </w:r>
              </w:p>
            </w:tc>
          </w:tr>
        </w:tbl>
        <w:p w14:paraId="40002A75" w14:textId="77777777" w:rsidR="002D0AE7" w:rsidRDefault="00333EBB">
          <w:pPr>
            <w:rPr>
              <w:rFonts w:hint="eastAsia"/>
              <w:color w:val="000000" w:themeColor="text1"/>
            </w:rPr>
          </w:pPr>
          <w:r>
            <w:rPr>
              <w:color w:val="000000" w:themeColor="text1"/>
            </w:rPr>
            <w:t>&lt;5&gt;</w:t>
          </w:r>
          <w:r>
            <w:rPr>
              <w:color w:val="000000" w:themeColor="text1"/>
            </w:rPr>
            <w:t>支付动力费</w:t>
          </w:r>
        </w:p>
        <w:tbl>
          <w:tblPr>
            <w:tblStyle w:val="aff2"/>
            <w:tblW w:w="0" w:type="auto"/>
            <w:tblLook w:val="04A0" w:firstRow="1" w:lastRow="0" w:firstColumn="1" w:lastColumn="0" w:noHBand="0" w:noVBand="1"/>
          </w:tblPr>
          <w:tblGrid>
            <w:gridCol w:w="3397"/>
            <w:gridCol w:w="2470"/>
            <w:gridCol w:w="2956"/>
          </w:tblGrid>
          <w:tr w:rsidR="002D0AE7" w14:paraId="35B7866D" w14:textId="77777777">
            <w:tc>
              <w:tcPr>
                <w:tcW w:w="3397" w:type="dxa"/>
              </w:tcPr>
              <w:p w14:paraId="6169B20E" w14:textId="77777777" w:rsidR="002D0AE7" w:rsidRDefault="00333EBB">
                <w:pPr>
                  <w:jc w:val="center"/>
                  <w:rPr>
                    <w:rFonts w:hint="eastAsia"/>
                    <w:color w:val="000000" w:themeColor="text1"/>
                    <w:sz w:val="21"/>
                    <w:szCs w:val="21"/>
                  </w:rPr>
                </w:pPr>
                <w:r>
                  <w:rPr>
                    <w:rFonts w:hint="eastAsia"/>
                    <w:color w:val="000000" w:themeColor="text1"/>
                    <w:sz w:val="21"/>
                    <w:szCs w:val="21"/>
                  </w:rPr>
                  <w:t>关联方</w:t>
                </w:r>
              </w:p>
            </w:tc>
            <w:sdt>
              <w:sdtPr>
                <w:rPr>
                  <w:color w:val="000000" w:themeColor="text1"/>
                  <w:sz w:val="21"/>
                  <w:szCs w:val="21"/>
                </w:rPr>
                <w:tag w:val="_PLD_09c424bd80324eb49dafea569ce1931b"/>
                <w:id w:val="408044479"/>
              </w:sdtPr>
              <w:sdtEndPr/>
              <w:sdtContent>
                <w:tc>
                  <w:tcPr>
                    <w:tcW w:w="2470" w:type="dxa"/>
                    <w:vAlign w:val="center"/>
                  </w:tcPr>
                  <w:p w14:paraId="2EE09DFA" w14:textId="77777777" w:rsidR="002D0AE7" w:rsidRDefault="00333EBB">
                    <w:pPr>
                      <w:jc w:val="center"/>
                      <w:rPr>
                        <w:rFonts w:hint="eastAsia"/>
                        <w:color w:val="000000" w:themeColor="text1"/>
                        <w:sz w:val="21"/>
                        <w:szCs w:val="21"/>
                      </w:rPr>
                    </w:pPr>
                    <w:r>
                      <w:rPr>
                        <w:rFonts w:cs="Cambria" w:hint="eastAsia"/>
                        <w:color w:val="000000" w:themeColor="text1"/>
                        <w:sz w:val="21"/>
                        <w:szCs w:val="21"/>
                      </w:rPr>
                      <w:t>本期发生额</w:t>
                    </w:r>
                  </w:p>
                </w:tc>
              </w:sdtContent>
            </w:sdt>
            <w:sdt>
              <w:sdtPr>
                <w:rPr>
                  <w:color w:val="000000" w:themeColor="text1"/>
                  <w:sz w:val="21"/>
                  <w:szCs w:val="21"/>
                </w:rPr>
                <w:tag w:val="_PLD_fd0f9e0691744db49d5ceaf95d42197c"/>
                <w:id w:val="1127127662"/>
              </w:sdtPr>
              <w:sdtEndPr/>
              <w:sdtContent>
                <w:tc>
                  <w:tcPr>
                    <w:tcW w:w="2956" w:type="dxa"/>
                    <w:vAlign w:val="center"/>
                  </w:tcPr>
                  <w:p w14:paraId="7A193FF5" w14:textId="77777777" w:rsidR="002D0AE7" w:rsidRDefault="00333EBB">
                    <w:pPr>
                      <w:jc w:val="center"/>
                      <w:rPr>
                        <w:rFonts w:hint="eastAsia"/>
                        <w:color w:val="000000" w:themeColor="text1"/>
                        <w:sz w:val="21"/>
                        <w:szCs w:val="21"/>
                      </w:rPr>
                    </w:pPr>
                    <w:r>
                      <w:rPr>
                        <w:rFonts w:cs="Cambria" w:hint="eastAsia"/>
                        <w:color w:val="000000" w:themeColor="text1"/>
                        <w:sz w:val="21"/>
                        <w:szCs w:val="21"/>
                      </w:rPr>
                      <w:t>上期发生额</w:t>
                    </w:r>
                  </w:p>
                </w:tc>
              </w:sdtContent>
            </w:sdt>
          </w:tr>
          <w:tr w:rsidR="002D0AE7" w14:paraId="60D2BDD4" w14:textId="77777777">
            <w:tc>
              <w:tcPr>
                <w:tcW w:w="3397" w:type="dxa"/>
                <w:vAlign w:val="center"/>
              </w:tcPr>
              <w:p w14:paraId="5CACD724" w14:textId="77777777" w:rsidR="002D0AE7" w:rsidRDefault="00333EBB">
                <w:pPr>
                  <w:rPr>
                    <w:rFonts w:hint="eastAsia"/>
                    <w:sz w:val="21"/>
                    <w:szCs w:val="21"/>
                  </w:rPr>
                </w:pPr>
                <w:r>
                  <w:rPr>
                    <w:rFonts w:hint="eastAsia"/>
                    <w:sz w:val="21"/>
                    <w:szCs w:val="21"/>
                  </w:rPr>
                  <w:t>天津药业集团有限公司</w:t>
                </w:r>
              </w:p>
            </w:tc>
            <w:tc>
              <w:tcPr>
                <w:tcW w:w="2470" w:type="dxa"/>
                <w:vAlign w:val="center"/>
              </w:tcPr>
              <w:p w14:paraId="6DC66E3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2956" w:type="dxa"/>
                <w:vAlign w:val="center"/>
              </w:tcPr>
              <w:p w14:paraId="707F5AF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427,892.31</w:t>
                </w:r>
              </w:p>
            </w:tc>
          </w:tr>
        </w:tbl>
        <w:p w14:paraId="0FC95C17" w14:textId="77777777" w:rsidR="002D0AE7" w:rsidRDefault="00333EBB">
          <w:pPr>
            <w:rPr>
              <w:rFonts w:hint="eastAsia"/>
              <w:color w:val="000000" w:themeColor="text1"/>
            </w:rPr>
          </w:pPr>
          <w:r>
            <w:rPr>
              <w:color w:val="000000" w:themeColor="text1"/>
            </w:rPr>
            <w:t>&lt;6&gt;</w:t>
          </w:r>
          <w:r>
            <w:rPr>
              <w:color w:val="000000" w:themeColor="text1"/>
            </w:rPr>
            <w:t>支付服务费</w:t>
          </w:r>
        </w:p>
        <w:tbl>
          <w:tblPr>
            <w:tblStyle w:val="aff2"/>
            <w:tblW w:w="0" w:type="auto"/>
            <w:tblLook w:val="04A0" w:firstRow="1" w:lastRow="0" w:firstColumn="1" w:lastColumn="0" w:noHBand="0" w:noVBand="1"/>
          </w:tblPr>
          <w:tblGrid>
            <w:gridCol w:w="4106"/>
            <w:gridCol w:w="2268"/>
            <w:gridCol w:w="2449"/>
          </w:tblGrid>
          <w:tr w:rsidR="002D0AE7" w14:paraId="6E143B1E" w14:textId="77777777">
            <w:tc>
              <w:tcPr>
                <w:tcW w:w="4106" w:type="dxa"/>
              </w:tcPr>
              <w:p w14:paraId="3ADE8B50" w14:textId="77777777" w:rsidR="002D0AE7" w:rsidRDefault="00333EBB">
                <w:pPr>
                  <w:jc w:val="center"/>
                  <w:rPr>
                    <w:rFonts w:hint="eastAsia"/>
                    <w:color w:val="000000" w:themeColor="text1"/>
                    <w:sz w:val="21"/>
                    <w:szCs w:val="21"/>
                  </w:rPr>
                </w:pPr>
                <w:r>
                  <w:rPr>
                    <w:rFonts w:hint="eastAsia"/>
                    <w:color w:val="000000" w:themeColor="text1"/>
                    <w:sz w:val="21"/>
                    <w:szCs w:val="21"/>
                  </w:rPr>
                  <w:t>关联方</w:t>
                </w:r>
              </w:p>
            </w:tc>
            <w:sdt>
              <w:sdtPr>
                <w:rPr>
                  <w:color w:val="000000" w:themeColor="text1"/>
                  <w:sz w:val="21"/>
                  <w:szCs w:val="21"/>
                </w:rPr>
                <w:tag w:val="_PLD_09c424bd80324eb49dafea569ce1931b"/>
                <w:id w:val="897791133"/>
              </w:sdtPr>
              <w:sdtEndPr/>
              <w:sdtContent>
                <w:tc>
                  <w:tcPr>
                    <w:tcW w:w="2268" w:type="dxa"/>
                    <w:vAlign w:val="center"/>
                  </w:tcPr>
                  <w:p w14:paraId="0693554E" w14:textId="77777777" w:rsidR="002D0AE7" w:rsidRDefault="00333EBB">
                    <w:pPr>
                      <w:jc w:val="center"/>
                      <w:rPr>
                        <w:rFonts w:hint="eastAsia"/>
                        <w:color w:val="000000" w:themeColor="text1"/>
                        <w:sz w:val="21"/>
                        <w:szCs w:val="21"/>
                      </w:rPr>
                    </w:pPr>
                    <w:r>
                      <w:rPr>
                        <w:rFonts w:cs="Cambria" w:hint="eastAsia"/>
                        <w:color w:val="000000" w:themeColor="text1"/>
                        <w:sz w:val="21"/>
                        <w:szCs w:val="21"/>
                      </w:rPr>
                      <w:t>本期发生额</w:t>
                    </w:r>
                  </w:p>
                </w:tc>
              </w:sdtContent>
            </w:sdt>
            <w:sdt>
              <w:sdtPr>
                <w:rPr>
                  <w:color w:val="000000" w:themeColor="text1"/>
                  <w:sz w:val="21"/>
                  <w:szCs w:val="21"/>
                </w:rPr>
                <w:tag w:val="_PLD_fd0f9e0691744db49d5ceaf95d42197c"/>
                <w:id w:val="-899828184"/>
              </w:sdtPr>
              <w:sdtEndPr/>
              <w:sdtContent>
                <w:tc>
                  <w:tcPr>
                    <w:tcW w:w="2449" w:type="dxa"/>
                    <w:vAlign w:val="center"/>
                  </w:tcPr>
                  <w:p w14:paraId="5D3C519F" w14:textId="77777777" w:rsidR="002D0AE7" w:rsidRDefault="00333EBB">
                    <w:pPr>
                      <w:jc w:val="center"/>
                      <w:rPr>
                        <w:rFonts w:hint="eastAsia"/>
                        <w:color w:val="000000" w:themeColor="text1"/>
                        <w:sz w:val="21"/>
                        <w:szCs w:val="21"/>
                      </w:rPr>
                    </w:pPr>
                    <w:r>
                      <w:rPr>
                        <w:rFonts w:cs="Cambria" w:hint="eastAsia"/>
                        <w:color w:val="000000" w:themeColor="text1"/>
                        <w:sz w:val="21"/>
                        <w:szCs w:val="21"/>
                      </w:rPr>
                      <w:t>上期发生额</w:t>
                    </w:r>
                  </w:p>
                </w:tc>
              </w:sdtContent>
            </w:sdt>
          </w:tr>
          <w:tr w:rsidR="002D0AE7" w14:paraId="625F1A91" w14:textId="77777777">
            <w:tc>
              <w:tcPr>
                <w:tcW w:w="4106" w:type="dxa"/>
                <w:vAlign w:val="center"/>
              </w:tcPr>
              <w:p w14:paraId="192CDF7E" w14:textId="77777777" w:rsidR="002D0AE7" w:rsidRDefault="00333EBB">
                <w:pPr>
                  <w:rPr>
                    <w:rFonts w:hint="eastAsia"/>
                    <w:color w:val="000000" w:themeColor="text1"/>
                    <w:sz w:val="21"/>
                    <w:szCs w:val="21"/>
                  </w:rPr>
                </w:pPr>
                <w:r>
                  <w:rPr>
                    <w:rFonts w:hint="eastAsia"/>
                    <w:sz w:val="21"/>
                    <w:szCs w:val="21"/>
                  </w:rPr>
                  <w:t>天津金耀物流有限公司</w:t>
                </w:r>
              </w:p>
            </w:tc>
            <w:tc>
              <w:tcPr>
                <w:tcW w:w="2268" w:type="dxa"/>
                <w:vAlign w:val="center"/>
              </w:tcPr>
              <w:p w14:paraId="6986A655"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6,944,362.44</w:t>
                </w:r>
              </w:p>
            </w:tc>
            <w:tc>
              <w:tcPr>
                <w:tcW w:w="2449" w:type="dxa"/>
                <w:vAlign w:val="center"/>
              </w:tcPr>
              <w:p w14:paraId="6DA8089B"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7,744,528.44</w:t>
                </w:r>
              </w:p>
            </w:tc>
          </w:tr>
          <w:tr w:rsidR="002D0AE7" w14:paraId="557553CF" w14:textId="77777777">
            <w:tc>
              <w:tcPr>
                <w:tcW w:w="4106" w:type="dxa"/>
                <w:vAlign w:val="center"/>
              </w:tcPr>
              <w:p w14:paraId="758B1B0B" w14:textId="77777777" w:rsidR="002D0AE7" w:rsidRDefault="00333EBB">
                <w:pPr>
                  <w:rPr>
                    <w:rFonts w:hint="eastAsia"/>
                    <w:color w:val="000000" w:themeColor="text1"/>
                    <w:sz w:val="21"/>
                    <w:szCs w:val="21"/>
                  </w:rPr>
                </w:pPr>
                <w:r>
                  <w:rPr>
                    <w:rFonts w:hint="eastAsia"/>
                    <w:sz w:val="21"/>
                    <w:szCs w:val="21"/>
                  </w:rPr>
                  <w:t>天津药业集团有限公司</w:t>
                </w:r>
              </w:p>
            </w:tc>
            <w:tc>
              <w:tcPr>
                <w:tcW w:w="2268" w:type="dxa"/>
                <w:vAlign w:val="center"/>
              </w:tcPr>
              <w:p w14:paraId="74996430"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4,686,228.49</w:t>
                </w:r>
              </w:p>
            </w:tc>
            <w:tc>
              <w:tcPr>
                <w:tcW w:w="2449" w:type="dxa"/>
                <w:vAlign w:val="center"/>
              </w:tcPr>
              <w:p w14:paraId="3BA5748F"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3,106,020.12</w:t>
                </w:r>
              </w:p>
            </w:tc>
          </w:tr>
          <w:tr w:rsidR="002D0AE7" w14:paraId="28C25E89" w14:textId="77777777">
            <w:tc>
              <w:tcPr>
                <w:tcW w:w="4106" w:type="dxa"/>
                <w:vAlign w:val="center"/>
              </w:tcPr>
              <w:p w14:paraId="111D1F71" w14:textId="77777777" w:rsidR="002D0AE7" w:rsidRDefault="00333EBB">
                <w:pPr>
                  <w:rPr>
                    <w:rFonts w:hint="eastAsia"/>
                    <w:color w:val="000000" w:themeColor="text1"/>
                    <w:sz w:val="21"/>
                    <w:szCs w:val="21"/>
                  </w:rPr>
                </w:pPr>
                <w:r>
                  <w:rPr>
                    <w:rFonts w:hint="eastAsia"/>
                    <w:sz w:val="21"/>
                    <w:szCs w:val="21"/>
                  </w:rPr>
                  <w:t>天津津药文化发展有限公司</w:t>
                </w:r>
              </w:p>
            </w:tc>
            <w:tc>
              <w:tcPr>
                <w:tcW w:w="2268" w:type="dxa"/>
                <w:vAlign w:val="center"/>
              </w:tcPr>
              <w:p w14:paraId="254BF377"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1,913,368.49</w:t>
                </w:r>
              </w:p>
            </w:tc>
            <w:tc>
              <w:tcPr>
                <w:tcW w:w="2449" w:type="dxa"/>
                <w:vAlign w:val="center"/>
              </w:tcPr>
              <w:p w14:paraId="6DC7E5A8"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781,871.19</w:t>
                </w:r>
              </w:p>
            </w:tc>
          </w:tr>
          <w:tr w:rsidR="002D0AE7" w14:paraId="3E3D0F5D" w14:textId="77777777">
            <w:tc>
              <w:tcPr>
                <w:tcW w:w="4106" w:type="dxa"/>
                <w:vAlign w:val="center"/>
              </w:tcPr>
              <w:p w14:paraId="43B17507" w14:textId="77777777" w:rsidR="002D0AE7" w:rsidRDefault="00333EBB">
                <w:pPr>
                  <w:rPr>
                    <w:rFonts w:hint="eastAsia"/>
                    <w:color w:val="000000" w:themeColor="text1"/>
                    <w:sz w:val="21"/>
                    <w:szCs w:val="21"/>
                  </w:rPr>
                </w:pPr>
                <w:r>
                  <w:rPr>
                    <w:rFonts w:hint="eastAsia"/>
                    <w:sz w:val="21"/>
                    <w:szCs w:val="21"/>
                  </w:rPr>
                  <w:t>天津医药集团人力资源服务有限公司</w:t>
                </w:r>
              </w:p>
            </w:tc>
            <w:tc>
              <w:tcPr>
                <w:tcW w:w="2268" w:type="dxa"/>
                <w:vAlign w:val="center"/>
              </w:tcPr>
              <w:p w14:paraId="09E35D6C"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520,455.84</w:t>
                </w:r>
              </w:p>
            </w:tc>
            <w:tc>
              <w:tcPr>
                <w:tcW w:w="2449" w:type="dxa"/>
                <w:vAlign w:val="center"/>
              </w:tcPr>
              <w:p w14:paraId="72839D79"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0.00</w:t>
                </w:r>
              </w:p>
            </w:tc>
          </w:tr>
          <w:tr w:rsidR="002D0AE7" w14:paraId="4329EC46" w14:textId="77777777">
            <w:tc>
              <w:tcPr>
                <w:tcW w:w="4106" w:type="dxa"/>
                <w:vAlign w:val="center"/>
              </w:tcPr>
              <w:p w14:paraId="4783258C" w14:textId="77777777" w:rsidR="002D0AE7" w:rsidRDefault="00333EBB">
                <w:pPr>
                  <w:rPr>
                    <w:rFonts w:hint="eastAsia"/>
                    <w:color w:val="000000" w:themeColor="text1"/>
                    <w:sz w:val="21"/>
                    <w:szCs w:val="21"/>
                  </w:rPr>
                </w:pPr>
                <w:r>
                  <w:rPr>
                    <w:rFonts w:hint="eastAsia"/>
                    <w:sz w:val="21"/>
                    <w:szCs w:val="21"/>
                  </w:rPr>
                  <w:t>津药永光（河北）制药有限公司</w:t>
                </w:r>
              </w:p>
            </w:tc>
            <w:tc>
              <w:tcPr>
                <w:tcW w:w="2268" w:type="dxa"/>
                <w:vAlign w:val="center"/>
              </w:tcPr>
              <w:p w14:paraId="0D443FA2"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229,858.84</w:t>
                </w:r>
              </w:p>
            </w:tc>
            <w:tc>
              <w:tcPr>
                <w:tcW w:w="2449" w:type="dxa"/>
                <w:vAlign w:val="center"/>
              </w:tcPr>
              <w:p w14:paraId="0E49E02E"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0.00</w:t>
                </w:r>
              </w:p>
            </w:tc>
          </w:tr>
          <w:tr w:rsidR="002D0AE7" w14:paraId="588D7A37" w14:textId="77777777">
            <w:tc>
              <w:tcPr>
                <w:tcW w:w="4106" w:type="dxa"/>
                <w:vAlign w:val="center"/>
              </w:tcPr>
              <w:p w14:paraId="3A5A0FAC" w14:textId="77777777" w:rsidR="002D0AE7" w:rsidRDefault="00333EBB">
                <w:pPr>
                  <w:rPr>
                    <w:rFonts w:hint="eastAsia"/>
                    <w:color w:val="000000" w:themeColor="text1"/>
                    <w:sz w:val="21"/>
                    <w:szCs w:val="21"/>
                  </w:rPr>
                </w:pPr>
                <w:r>
                  <w:rPr>
                    <w:rFonts w:hint="eastAsia"/>
                    <w:sz w:val="21"/>
                    <w:szCs w:val="21"/>
                  </w:rPr>
                  <w:t>天津药业研究院股份有限公司</w:t>
                </w:r>
              </w:p>
            </w:tc>
            <w:tc>
              <w:tcPr>
                <w:tcW w:w="2268" w:type="dxa"/>
                <w:vAlign w:val="center"/>
              </w:tcPr>
              <w:p w14:paraId="2C1815F3"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0.00</w:t>
                </w:r>
              </w:p>
            </w:tc>
            <w:tc>
              <w:tcPr>
                <w:tcW w:w="2449" w:type="dxa"/>
                <w:vAlign w:val="center"/>
              </w:tcPr>
              <w:p w14:paraId="330EC44D"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570,000.00</w:t>
                </w:r>
              </w:p>
            </w:tc>
          </w:tr>
          <w:tr w:rsidR="002D0AE7" w14:paraId="0BD5A0C3" w14:textId="77777777">
            <w:tc>
              <w:tcPr>
                <w:tcW w:w="4106" w:type="dxa"/>
                <w:vAlign w:val="center"/>
              </w:tcPr>
              <w:p w14:paraId="46966B51" w14:textId="77777777" w:rsidR="002D0AE7" w:rsidRDefault="00333EBB">
                <w:pPr>
                  <w:rPr>
                    <w:rFonts w:hint="eastAsia"/>
                    <w:color w:val="000000" w:themeColor="text1"/>
                    <w:sz w:val="21"/>
                    <w:szCs w:val="21"/>
                  </w:rPr>
                </w:pPr>
                <w:r>
                  <w:rPr>
                    <w:rFonts w:hint="eastAsia"/>
                    <w:sz w:val="21"/>
                    <w:szCs w:val="21"/>
                  </w:rPr>
                  <w:t>天津医药集团津一堂连锁股份有限公司</w:t>
                </w:r>
              </w:p>
            </w:tc>
            <w:tc>
              <w:tcPr>
                <w:tcW w:w="2268" w:type="dxa"/>
                <w:vAlign w:val="center"/>
              </w:tcPr>
              <w:p w14:paraId="139FEC61"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3,600.00</w:t>
                </w:r>
              </w:p>
            </w:tc>
            <w:tc>
              <w:tcPr>
                <w:tcW w:w="2449" w:type="dxa"/>
                <w:vAlign w:val="center"/>
              </w:tcPr>
              <w:p w14:paraId="793BF291"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0.00</w:t>
                </w:r>
              </w:p>
            </w:tc>
          </w:tr>
        </w:tbl>
        <w:p w14:paraId="1D850487" w14:textId="77777777" w:rsidR="002D0AE7" w:rsidRDefault="00333EBB">
          <w:pPr>
            <w:rPr>
              <w:rFonts w:hint="eastAsia"/>
              <w:color w:val="000000" w:themeColor="text1"/>
            </w:rPr>
          </w:pPr>
          <w:r>
            <w:rPr>
              <w:color w:val="000000" w:themeColor="text1"/>
            </w:rPr>
            <w:t>&lt;7&gt;</w:t>
          </w:r>
          <w:r>
            <w:rPr>
              <w:color w:val="000000" w:themeColor="text1"/>
            </w:rPr>
            <w:t>支付研发项目款</w:t>
          </w:r>
        </w:p>
        <w:tbl>
          <w:tblPr>
            <w:tblStyle w:val="aff2"/>
            <w:tblW w:w="0" w:type="auto"/>
            <w:tblLook w:val="04A0" w:firstRow="1" w:lastRow="0" w:firstColumn="1" w:lastColumn="0" w:noHBand="0" w:noVBand="1"/>
          </w:tblPr>
          <w:tblGrid>
            <w:gridCol w:w="4106"/>
            <w:gridCol w:w="2268"/>
            <w:gridCol w:w="2449"/>
          </w:tblGrid>
          <w:tr w:rsidR="002D0AE7" w14:paraId="5B307573" w14:textId="77777777">
            <w:tc>
              <w:tcPr>
                <w:tcW w:w="4106" w:type="dxa"/>
              </w:tcPr>
              <w:p w14:paraId="130B5E8D" w14:textId="77777777" w:rsidR="002D0AE7" w:rsidRDefault="00333EBB">
                <w:pPr>
                  <w:jc w:val="center"/>
                  <w:rPr>
                    <w:rFonts w:hint="eastAsia"/>
                    <w:color w:val="000000" w:themeColor="text1"/>
                    <w:sz w:val="21"/>
                    <w:szCs w:val="21"/>
                  </w:rPr>
                </w:pPr>
                <w:r>
                  <w:rPr>
                    <w:rFonts w:hint="eastAsia"/>
                    <w:color w:val="000000" w:themeColor="text1"/>
                    <w:sz w:val="21"/>
                    <w:szCs w:val="21"/>
                  </w:rPr>
                  <w:t>关联方</w:t>
                </w:r>
              </w:p>
            </w:tc>
            <w:sdt>
              <w:sdtPr>
                <w:rPr>
                  <w:color w:val="000000" w:themeColor="text1"/>
                  <w:sz w:val="21"/>
                  <w:szCs w:val="21"/>
                </w:rPr>
                <w:tag w:val="_PLD_09c424bd80324eb49dafea569ce1931b"/>
                <w:id w:val="-2011284952"/>
              </w:sdtPr>
              <w:sdtEndPr/>
              <w:sdtContent>
                <w:tc>
                  <w:tcPr>
                    <w:tcW w:w="2268" w:type="dxa"/>
                    <w:vAlign w:val="center"/>
                  </w:tcPr>
                  <w:p w14:paraId="363700D8" w14:textId="77777777" w:rsidR="002D0AE7" w:rsidRDefault="00333EBB">
                    <w:pPr>
                      <w:jc w:val="center"/>
                      <w:rPr>
                        <w:rFonts w:hint="eastAsia"/>
                        <w:color w:val="000000" w:themeColor="text1"/>
                        <w:sz w:val="21"/>
                        <w:szCs w:val="21"/>
                      </w:rPr>
                    </w:pPr>
                    <w:r>
                      <w:rPr>
                        <w:rFonts w:cs="Cambria" w:hint="eastAsia"/>
                        <w:color w:val="000000" w:themeColor="text1"/>
                        <w:sz w:val="21"/>
                        <w:szCs w:val="21"/>
                      </w:rPr>
                      <w:t>本期发生额</w:t>
                    </w:r>
                  </w:p>
                </w:tc>
              </w:sdtContent>
            </w:sdt>
            <w:sdt>
              <w:sdtPr>
                <w:rPr>
                  <w:color w:val="000000" w:themeColor="text1"/>
                  <w:sz w:val="21"/>
                  <w:szCs w:val="21"/>
                </w:rPr>
                <w:tag w:val="_PLD_fd0f9e0691744db49d5ceaf95d42197c"/>
                <w:id w:val="1729876172"/>
              </w:sdtPr>
              <w:sdtEndPr/>
              <w:sdtContent>
                <w:tc>
                  <w:tcPr>
                    <w:tcW w:w="2449" w:type="dxa"/>
                    <w:vAlign w:val="center"/>
                  </w:tcPr>
                  <w:p w14:paraId="77282C17" w14:textId="77777777" w:rsidR="002D0AE7" w:rsidRDefault="00333EBB">
                    <w:pPr>
                      <w:jc w:val="center"/>
                      <w:rPr>
                        <w:rFonts w:hint="eastAsia"/>
                        <w:color w:val="000000" w:themeColor="text1"/>
                        <w:sz w:val="21"/>
                        <w:szCs w:val="21"/>
                      </w:rPr>
                    </w:pPr>
                    <w:r>
                      <w:rPr>
                        <w:rFonts w:cs="Cambria" w:hint="eastAsia"/>
                        <w:color w:val="000000" w:themeColor="text1"/>
                        <w:sz w:val="21"/>
                        <w:szCs w:val="21"/>
                      </w:rPr>
                      <w:t>上期发生额</w:t>
                    </w:r>
                  </w:p>
                </w:tc>
              </w:sdtContent>
            </w:sdt>
          </w:tr>
          <w:tr w:rsidR="002D0AE7" w14:paraId="75D99055" w14:textId="77777777">
            <w:tc>
              <w:tcPr>
                <w:tcW w:w="4106" w:type="dxa"/>
                <w:vAlign w:val="center"/>
              </w:tcPr>
              <w:p w14:paraId="6D16A9CC" w14:textId="77777777" w:rsidR="002D0AE7" w:rsidRDefault="00333EBB">
                <w:pPr>
                  <w:rPr>
                    <w:rFonts w:hint="eastAsia"/>
                    <w:color w:val="000000" w:themeColor="text1"/>
                    <w:sz w:val="21"/>
                    <w:szCs w:val="21"/>
                  </w:rPr>
                </w:pPr>
                <w:r>
                  <w:rPr>
                    <w:rFonts w:hint="eastAsia"/>
                    <w:sz w:val="21"/>
                    <w:szCs w:val="21"/>
                  </w:rPr>
                  <w:t>天津药业研究院股份有限公司</w:t>
                </w:r>
              </w:p>
            </w:tc>
            <w:tc>
              <w:tcPr>
                <w:tcW w:w="2268" w:type="dxa"/>
                <w:vAlign w:val="center"/>
              </w:tcPr>
              <w:p w14:paraId="197CDBF7"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8,765,015.85</w:t>
                </w:r>
              </w:p>
            </w:tc>
            <w:tc>
              <w:tcPr>
                <w:tcW w:w="2449" w:type="dxa"/>
                <w:vAlign w:val="center"/>
              </w:tcPr>
              <w:p w14:paraId="660F5916"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12,195,590.00</w:t>
                </w:r>
              </w:p>
            </w:tc>
          </w:tr>
          <w:tr w:rsidR="002D0AE7" w14:paraId="71052662" w14:textId="77777777">
            <w:tc>
              <w:tcPr>
                <w:tcW w:w="4106" w:type="dxa"/>
                <w:vAlign w:val="center"/>
              </w:tcPr>
              <w:p w14:paraId="368309EF" w14:textId="77777777" w:rsidR="002D0AE7" w:rsidRDefault="00333EBB">
                <w:pPr>
                  <w:rPr>
                    <w:rFonts w:hint="eastAsia"/>
                    <w:color w:val="000000" w:themeColor="text1"/>
                    <w:sz w:val="21"/>
                    <w:szCs w:val="21"/>
                  </w:rPr>
                </w:pPr>
                <w:r>
                  <w:rPr>
                    <w:rFonts w:hint="eastAsia"/>
                    <w:sz w:val="21"/>
                    <w:szCs w:val="21"/>
                  </w:rPr>
                  <w:t>北京华众恩康医药技术有限公司</w:t>
                </w:r>
              </w:p>
            </w:tc>
            <w:tc>
              <w:tcPr>
                <w:tcW w:w="2268" w:type="dxa"/>
                <w:vAlign w:val="center"/>
              </w:tcPr>
              <w:p w14:paraId="5C20F5CE"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0.00</w:t>
                </w:r>
              </w:p>
            </w:tc>
            <w:tc>
              <w:tcPr>
                <w:tcW w:w="2449" w:type="dxa"/>
                <w:vAlign w:val="center"/>
              </w:tcPr>
              <w:p w14:paraId="7782D3D2"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350,000.00</w:t>
                </w:r>
              </w:p>
            </w:tc>
          </w:tr>
          <w:tr w:rsidR="002D0AE7" w14:paraId="4751B68D" w14:textId="77777777">
            <w:tc>
              <w:tcPr>
                <w:tcW w:w="4106" w:type="dxa"/>
                <w:vAlign w:val="center"/>
              </w:tcPr>
              <w:p w14:paraId="6D9E6A9F" w14:textId="77777777" w:rsidR="002D0AE7" w:rsidRDefault="00333EBB">
                <w:pPr>
                  <w:rPr>
                    <w:rFonts w:hint="eastAsia"/>
                    <w:color w:val="000000" w:themeColor="text1"/>
                    <w:sz w:val="21"/>
                    <w:szCs w:val="21"/>
                  </w:rPr>
                </w:pPr>
                <w:r>
                  <w:rPr>
                    <w:rFonts w:ascii="Arial" w:hAnsi="Arial" w:cs="Arial"/>
                    <w:sz w:val="21"/>
                    <w:szCs w:val="21"/>
                  </w:rPr>
                  <w:t>天津信诺制药有限公司</w:t>
                </w:r>
              </w:p>
            </w:tc>
            <w:tc>
              <w:tcPr>
                <w:tcW w:w="2268" w:type="dxa"/>
                <w:vAlign w:val="center"/>
              </w:tcPr>
              <w:p w14:paraId="716D3AB0"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0.00</w:t>
                </w:r>
              </w:p>
            </w:tc>
            <w:tc>
              <w:tcPr>
                <w:tcW w:w="2449" w:type="dxa"/>
                <w:vAlign w:val="center"/>
              </w:tcPr>
              <w:p w14:paraId="0671658E"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475,000.00</w:t>
                </w:r>
              </w:p>
            </w:tc>
          </w:tr>
        </w:tbl>
        <w:p w14:paraId="24D52161" w14:textId="77777777" w:rsidR="002D0AE7" w:rsidRDefault="00333EBB">
          <w:pPr>
            <w:rPr>
              <w:rFonts w:hint="eastAsia"/>
              <w:color w:val="000000" w:themeColor="text1"/>
            </w:rPr>
          </w:pPr>
          <w:r>
            <w:rPr>
              <w:color w:val="000000" w:themeColor="text1"/>
            </w:rPr>
            <w:t>&lt;8&gt;</w:t>
          </w:r>
          <w:r>
            <w:rPr>
              <w:color w:val="000000" w:themeColor="text1"/>
            </w:rPr>
            <w:t>支付工程款</w:t>
          </w:r>
        </w:p>
        <w:tbl>
          <w:tblPr>
            <w:tblStyle w:val="aff2"/>
            <w:tblW w:w="0" w:type="auto"/>
            <w:tblLook w:val="04A0" w:firstRow="1" w:lastRow="0" w:firstColumn="1" w:lastColumn="0" w:noHBand="0" w:noVBand="1"/>
          </w:tblPr>
          <w:tblGrid>
            <w:gridCol w:w="4106"/>
            <w:gridCol w:w="2268"/>
            <w:gridCol w:w="2449"/>
          </w:tblGrid>
          <w:tr w:rsidR="002D0AE7" w14:paraId="792096B7" w14:textId="77777777">
            <w:tc>
              <w:tcPr>
                <w:tcW w:w="4106" w:type="dxa"/>
              </w:tcPr>
              <w:p w14:paraId="1F6E5E22" w14:textId="77777777" w:rsidR="002D0AE7" w:rsidRDefault="00333EBB">
                <w:pPr>
                  <w:jc w:val="center"/>
                  <w:rPr>
                    <w:rFonts w:hint="eastAsia"/>
                    <w:color w:val="000000" w:themeColor="text1"/>
                    <w:sz w:val="21"/>
                    <w:szCs w:val="21"/>
                  </w:rPr>
                </w:pPr>
                <w:r>
                  <w:rPr>
                    <w:rFonts w:hint="eastAsia"/>
                    <w:color w:val="000000" w:themeColor="text1"/>
                    <w:sz w:val="21"/>
                    <w:szCs w:val="21"/>
                  </w:rPr>
                  <w:t>关联方</w:t>
                </w:r>
              </w:p>
            </w:tc>
            <w:sdt>
              <w:sdtPr>
                <w:rPr>
                  <w:color w:val="000000" w:themeColor="text1"/>
                  <w:sz w:val="21"/>
                  <w:szCs w:val="21"/>
                </w:rPr>
                <w:tag w:val="_PLD_09c424bd80324eb49dafea569ce1931b"/>
                <w:id w:val="1874648810"/>
              </w:sdtPr>
              <w:sdtEndPr/>
              <w:sdtContent>
                <w:tc>
                  <w:tcPr>
                    <w:tcW w:w="2268" w:type="dxa"/>
                    <w:vAlign w:val="center"/>
                  </w:tcPr>
                  <w:p w14:paraId="681DF44C" w14:textId="77777777" w:rsidR="002D0AE7" w:rsidRDefault="00333EBB">
                    <w:pPr>
                      <w:jc w:val="center"/>
                      <w:rPr>
                        <w:rFonts w:hint="eastAsia"/>
                        <w:color w:val="000000" w:themeColor="text1"/>
                        <w:sz w:val="21"/>
                        <w:szCs w:val="21"/>
                      </w:rPr>
                    </w:pPr>
                    <w:r>
                      <w:rPr>
                        <w:rFonts w:cs="Cambria" w:hint="eastAsia"/>
                        <w:color w:val="000000" w:themeColor="text1"/>
                        <w:sz w:val="21"/>
                        <w:szCs w:val="21"/>
                      </w:rPr>
                      <w:t>本期发生额</w:t>
                    </w:r>
                  </w:p>
                </w:tc>
              </w:sdtContent>
            </w:sdt>
            <w:sdt>
              <w:sdtPr>
                <w:rPr>
                  <w:color w:val="000000" w:themeColor="text1"/>
                  <w:sz w:val="21"/>
                  <w:szCs w:val="21"/>
                </w:rPr>
                <w:tag w:val="_PLD_fd0f9e0691744db49d5ceaf95d42197c"/>
                <w:id w:val="771354629"/>
              </w:sdtPr>
              <w:sdtEndPr/>
              <w:sdtContent>
                <w:tc>
                  <w:tcPr>
                    <w:tcW w:w="2449" w:type="dxa"/>
                    <w:vAlign w:val="center"/>
                  </w:tcPr>
                  <w:p w14:paraId="6031FF6B" w14:textId="77777777" w:rsidR="002D0AE7" w:rsidRDefault="00333EBB">
                    <w:pPr>
                      <w:jc w:val="center"/>
                      <w:rPr>
                        <w:rFonts w:hint="eastAsia"/>
                        <w:color w:val="000000" w:themeColor="text1"/>
                        <w:sz w:val="21"/>
                        <w:szCs w:val="21"/>
                      </w:rPr>
                    </w:pPr>
                    <w:r>
                      <w:rPr>
                        <w:rFonts w:cs="Cambria" w:hint="eastAsia"/>
                        <w:color w:val="000000" w:themeColor="text1"/>
                        <w:sz w:val="21"/>
                        <w:szCs w:val="21"/>
                      </w:rPr>
                      <w:t>上期发生额</w:t>
                    </w:r>
                  </w:p>
                </w:tc>
              </w:sdtContent>
            </w:sdt>
          </w:tr>
          <w:tr w:rsidR="002D0AE7" w14:paraId="0A55F4D0" w14:textId="77777777">
            <w:tc>
              <w:tcPr>
                <w:tcW w:w="4106" w:type="dxa"/>
                <w:vAlign w:val="center"/>
              </w:tcPr>
              <w:p w14:paraId="7242EB6E" w14:textId="77777777" w:rsidR="002D0AE7" w:rsidRDefault="00333EBB">
                <w:pPr>
                  <w:rPr>
                    <w:rFonts w:hint="eastAsia"/>
                    <w:sz w:val="21"/>
                    <w:szCs w:val="21"/>
                  </w:rPr>
                </w:pPr>
                <w:r>
                  <w:rPr>
                    <w:rFonts w:hint="eastAsia"/>
                    <w:sz w:val="21"/>
                    <w:szCs w:val="21"/>
                  </w:rPr>
                  <w:t>天津市医药设计院有限公司</w:t>
                </w:r>
              </w:p>
            </w:tc>
            <w:tc>
              <w:tcPr>
                <w:tcW w:w="2268" w:type="dxa"/>
                <w:vAlign w:val="center"/>
              </w:tcPr>
              <w:p w14:paraId="0C4ECC0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275,471.69</w:t>
                </w:r>
              </w:p>
            </w:tc>
            <w:tc>
              <w:tcPr>
                <w:tcW w:w="2449" w:type="dxa"/>
                <w:vAlign w:val="center"/>
              </w:tcPr>
              <w:p w14:paraId="45F6062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219,171.20</w:t>
                </w:r>
              </w:p>
            </w:tc>
          </w:tr>
        </w:tbl>
        <w:p w14:paraId="1E9D745B" w14:textId="77777777" w:rsidR="002D0AE7" w:rsidRDefault="00333EBB">
          <w:pPr>
            <w:rPr>
              <w:rFonts w:hint="eastAsia"/>
              <w:color w:val="000000" w:themeColor="text1"/>
            </w:rPr>
          </w:pPr>
          <w:r>
            <w:rPr>
              <w:color w:val="000000" w:themeColor="text1"/>
            </w:rPr>
            <w:t>&lt;9&gt;</w:t>
          </w:r>
          <w:r>
            <w:rPr>
              <w:color w:val="000000" w:themeColor="text1"/>
            </w:rPr>
            <w:t>支付设备款</w:t>
          </w:r>
        </w:p>
        <w:tbl>
          <w:tblPr>
            <w:tblStyle w:val="aff2"/>
            <w:tblW w:w="0" w:type="auto"/>
            <w:tblLook w:val="04A0" w:firstRow="1" w:lastRow="0" w:firstColumn="1" w:lastColumn="0" w:noHBand="0" w:noVBand="1"/>
          </w:tblPr>
          <w:tblGrid>
            <w:gridCol w:w="4106"/>
            <w:gridCol w:w="2268"/>
            <w:gridCol w:w="2449"/>
          </w:tblGrid>
          <w:tr w:rsidR="002D0AE7" w14:paraId="41C06B8A" w14:textId="77777777">
            <w:tc>
              <w:tcPr>
                <w:tcW w:w="4106" w:type="dxa"/>
              </w:tcPr>
              <w:p w14:paraId="198581A8" w14:textId="77777777" w:rsidR="002D0AE7" w:rsidRDefault="00333EBB">
                <w:pPr>
                  <w:jc w:val="center"/>
                  <w:rPr>
                    <w:rFonts w:hint="eastAsia"/>
                    <w:color w:val="000000" w:themeColor="text1"/>
                    <w:sz w:val="21"/>
                    <w:szCs w:val="21"/>
                  </w:rPr>
                </w:pPr>
                <w:r>
                  <w:rPr>
                    <w:rFonts w:hint="eastAsia"/>
                    <w:color w:val="000000" w:themeColor="text1"/>
                    <w:sz w:val="21"/>
                    <w:szCs w:val="21"/>
                  </w:rPr>
                  <w:t>关联方</w:t>
                </w:r>
              </w:p>
            </w:tc>
            <w:sdt>
              <w:sdtPr>
                <w:rPr>
                  <w:color w:val="000000" w:themeColor="text1"/>
                  <w:sz w:val="21"/>
                  <w:szCs w:val="21"/>
                </w:rPr>
                <w:tag w:val="_PLD_09c424bd80324eb49dafea569ce1931b"/>
                <w:id w:val="1285239689"/>
              </w:sdtPr>
              <w:sdtEndPr/>
              <w:sdtContent>
                <w:tc>
                  <w:tcPr>
                    <w:tcW w:w="2268" w:type="dxa"/>
                    <w:vAlign w:val="center"/>
                  </w:tcPr>
                  <w:p w14:paraId="31CBBF28" w14:textId="77777777" w:rsidR="002D0AE7" w:rsidRDefault="00333EBB">
                    <w:pPr>
                      <w:jc w:val="center"/>
                      <w:rPr>
                        <w:rFonts w:hint="eastAsia"/>
                        <w:color w:val="000000" w:themeColor="text1"/>
                        <w:sz w:val="21"/>
                        <w:szCs w:val="21"/>
                      </w:rPr>
                    </w:pPr>
                    <w:r>
                      <w:rPr>
                        <w:rFonts w:cs="Cambria" w:hint="eastAsia"/>
                        <w:color w:val="000000" w:themeColor="text1"/>
                        <w:sz w:val="21"/>
                        <w:szCs w:val="21"/>
                      </w:rPr>
                      <w:t>本期发生额</w:t>
                    </w:r>
                  </w:p>
                </w:tc>
              </w:sdtContent>
            </w:sdt>
            <w:sdt>
              <w:sdtPr>
                <w:rPr>
                  <w:color w:val="000000" w:themeColor="text1"/>
                  <w:sz w:val="21"/>
                  <w:szCs w:val="21"/>
                </w:rPr>
                <w:tag w:val="_PLD_fd0f9e0691744db49d5ceaf95d42197c"/>
                <w:id w:val="1922915038"/>
              </w:sdtPr>
              <w:sdtEndPr/>
              <w:sdtContent>
                <w:tc>
                  <w:tcPr>
                    <w:tcW w:w="2449" w:type="dxa"/>
                    <w:vAlign w:val="center"/>
                  </w:tcPr>
                  <w:p w14:paraId="7071330D" w14:textId="77777777" w:rsidR="002D0AE7" w:rsidRDefault="00333EBB">
                    <w:pPr>
                      <w:jc w:val="center"/>
                      <w:rPr>
                        <w:rFonts w:hint="eastAsia"/>
                        <w:color w:val="000000" w:themeColor="text1"/>
                        <w:sz w:val="21"/>
                        <w:szCs w:val="21"/>
                      </w:rPr>
                    </w:pPr>
                    <w:r>
                      <w:rPr>
                        <w:rFonts w:cs="Cambria" w:hint="eastAsia"/>
                        <w:color w:val="000000" w:themeColor="text1"/>
                        <w:sz w:val="21"/>
                        <w:szCs w:val="21"/>
                      </w:rPr>
                      <w:t>上期发生额</w:t>
                    </w:r>
                  </w:p>
                </w:tc>
              </w:sdtContent>
            </w:sdt>
          </w:tr>
          <w:tr w:rsidR="002D0AE7" w14:paraId="3650FD9E" w14:textId="77777777">
            <w:tc>
              <w:tcPr>
                <w:tcW w:w="4106" w:type="dxa"/>
                <w:vAlign w:val="center"/>
              </w:tcPr>
              <w:p w14:paraId="0DEA63AE" w14:textId="77777777" w:rsidR="002D0AE7" w:rsidRDefault="00333EBB">
                <w:pPr>
                  <w:rPr>
                    <w:rFonts w:hint="eastAsia"/>
                    <w:sz w:val="21"/>
                    <w:szCs w:val="21"/>
                  </w:rPr>
                </w:pPr>
                <w:r>
                  <w:rPr>
                    <w:rFonts w:hint="eastAsia"/>
                    <w:sz w:val="21"/>
                    <w:szCs w:val="21"/>
                  </w:rPr>
                  <w:t>天津医药集团众健康达医疗器械有限公司</w:t>
                </w:r>
              </w:p>
            </w:tc>
            <w:tc>
              <w:tcPr>
                <w:tcW w:w="2268" w:type="dxa"/>
                <w:vAlign w:val="center"/>
              </w:tcPr>
              <w:p w14:paraId="73FEB5D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2449" w:type="dxa"/>
                <w:vAlign w:val="center"/>
              </w:tcPr>
              <w:p w14:paraId="0D92083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120,000.00</w:t>
                </w:r>
              </w:p>
            </w:tc>
          </w:tr>
        </w:tbl>
        <w:p w14:paraId="5C1E6A9E" w14:textId="77777777" w:rsidR="002D0AE7" w:rsidRDefault="00333EBB">
          <w:pPr>
            <w:rPr>
              <w:rFonts w:hint="eastAsia"/>
              <w:color w:val="000000" w:themeColor="text1"/>
            </w:rPr>
          </w:pPr>
          <w:r>
            <w:rPr>
              <w:color w:val="000000" w:themeColor="text1"/>
            </w:rPr>
            <w:t>&lt;10&gt;</w:t>
          </w:r>
          <w:r>
            <w:rPr>
              <w:color w:val="000000" w:themeColor="text1"/>
            </w:rPr>
            <w:t>支付专利、商标使用许可费</w:t>
          </w:r>
        </w:p>
        <w:tbl>
          <w:tblPr>
            <w:tblStyle w:val="aff2"/>
            <w:tblW w:w="0" w:type="auto"/>
            <w:tblLook w:val="04A0" w:firstRow="1" w:lastRow="0" w:firstColumn="1" w:lastColumn="0" w:noHBand="0" w:noVBand="1"/>
          </w:tblPr>
          <w:tblGrid>
            <w:gridCol w:w="4106"/>
            <w:gridCol w:w="2268"/>
            <w:gridCol w:w="2449"/>
          </w:tblGrid>
          <w:tr w:rsidR="002D0AE7" w14:paraId="015762D4" w14:textId="77777777">
            <w:tc>
              <w:tcPr>
                <w:tcW w:w="4106" w:type="dxa"/>
              </w:tcPr>
              <w:p w14:paraId="15ED0F89" w14:textId="77777777" w:rsidR="002D0AE7" w:rsidRDefault="00333EBB">
                <w:pPr>
                  <w:jc w:val="center"/>
                  <w:rPr>
                    <w:rFonts w:hint="eastAsia"/>
                    <w:color w:val="000000" w:themeColor="text1"/>
                    <w:sz w:val="21"/>
                    <w:szCs w:val="21"/>
                  </w:rPr>
                </w:pPr>
                <w:r>
                  <w:rPr>
                    <w:rFonts w:hint="eastAsia"/>
                    <w:color w:val="000000" w:themeColor="text1"/>
                    <w:sz w:val="21"/>
                    <w:szCs w:val="21"/>
                  </w:rPr>
                  <w:t>关联方</w:t>
                </w:r>
              </w:p>
            </w:tc>
            <w:sdt>
              <w:sdtPr>
                <w:rPr>
                  <w:color w:val="000000" w:themeColor="text1"/>
                  <w:sz w:val="21"/>
                  <w:szCs w:val="21"/>
                </w:rPr>
                <w:tag w:val="_PLD_09c424bd80324eb49dafea569ce1931b"/>
                <w:id w:val="-67500970"/>
              </w:sdtPr>
              <w:sdtEndPr/>
              <w:sdtContent>
                <w:tc>
                  <w:tcPr>
                    <w:tcW w:w="2268" w:type="dxa"/>
                    <w:vAlign w:val="center"/>
                  </w:tcPr>
                  <w:p w14:paraId="4279AFF8" w14:textId="77777777" w:rsidR="002D0AE7" w:rsidRDefault="00333EBB">
                    <w:pPr>
                      <w:jc w:val="center"/>
                      <w:rPr>
                        <w:rFonts w:hint="eastAsia"/>
                        <w:color w:val="000000" w:themeColor="text1"/>
                        <w:sz w:val="21"/>
                        <w:szCs w:val="21"/>
                      </w:rPr>
                    </w:pPr>
                    <w:r>
                      <w:rPr>
                        <w:rFonts w:cs="Cambria" w:hint="eastAsia"/>
                        <w:color w:val="000000" w:themeColor="text1"/>
                        <w:sz w:val="21"/>
                        <w:szCs w:val="21"/>
                      </w:rPr>
                      <w:t>本期发生额</w:t>
                    </w:r>
                  </w:p>
                </w:tc>
              </w:sdtContent>
            </w:sdt>
            <w:sdt>
              <w:sdtPr>
                <w:rPr>
                  <w:color w:val="000000" w:themeColor="text1"/>
                  <w:sz w:val="21"/>
                  <w:szCs w:val="21"/>
                </w:rPr>
                <w:tag w:val="_PLD_fd0f9e0691744db49d5ceaf95d42197c"/>
                <w:id w:val="-1308775046"/>
              </w:sdtPr>
              <w:sdtEndPr/>
              <w:sdtContent>
                <w:tc>
                  <w:tcPr>
                    <w:tcW w:w="2449" w:type="dxa"/>
                    <w:vAlign w:val="center"/>
                  </w:tcPr>
                  <w:p w14:paraId="51609595" w14:textId="77777777" w:rsidR="002D0AE7" w:rsidRDefault="00333EBB">
                    <w:pPr>
                      <w:jc w:val="center"/>
                      <w:rPr>
                        <w:rFonts w:hint="eastAsia"/>
                        <w:color w:val="000000" w:themeColor="text1"/>
                        <w:sz w:val="21"/>
                        <w:szCs w:val="21"/>
                      </w:rPr>
                    </w:pPr>
                    <w:r>
                      <w:rPr>
                        <w:rFonts w:cs="Cambria" w:hint="eastAsia"/>
                        <w:color w:val="000000" w:themeColor="text1"/>
                        <w:sz w:val="21"/>
                        <w:szCs w:val="21"/>
                      </w:rPr>
                      <w:t>上期发生额</w:t>
                    </w:r>
                  </w:p>
                </w:tc>
              </w:sdtContent>
            </w:sdt>
          </w:tr>
          <w:tr w:rsidR="002D0AE7" w14:paraId="5299BC23" w14:textId="77777777">
            <w:tc>
              <w:tcPr>
                <w:tcW w:w="4106" w:type="dxa"/>
                <w:vAlign w:val="center"/>
              </w:tcPr>
              <w:p w14:paraId="10770F7F" w14:textId="77777777" w:rsidR="002D0AE7" w:rsidRDefault="00333EBB">
                <w:pPr>
                  <w:rPr>
                    <w:rFonts w:hint="eastAsia"/>
                    <w:sz w:val="21"/>
                    <w:szCs w:val="21"/>
                  </w:rPr>
                </w:pPr>
                <w:r>
                  <w:rPr>
                    <w:rFonts w:hint="eastAsia"/>
                    <w:sz w:val="21"/>
                    <w:szCs w:val="21"/>
                  </w:rPr>
                  <w:t>津药资产管理有限公司</w:t>
                </w:r>
              </w:p>
            </w:tc>
            <w:tc>
              <w:tcPr>
                <w:tcW w:w="2268" w:type="dxa"/>
                <w:vAlign w:val="center"/>
              </w:tcPr>
              <w:p w14:paraId="429A429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10,377.37</w:t>
                </w:r>
              </w:p>
            </w:tc>
            <w:tc>
              <w:tcPr>
                <w:tcW w:w="2449" w:type="dxa"/>
                <w:vAlign w:val="center"/>
              </w:tcPr>
              <w:p w14:paraId="32FA97A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bl>
        <w:p w14:paraId="6ED360F4" w14:textId="77777777" w:rsidR="002D0AE7" w:rsidRDefault="00333EBB">
          <w:pPr>
            <w:rPr>
              <w:rFonts w:hint="eastAsia"/>
              <w:color w:val="000000" w:themeColor="text1"/>
            </w:rPr>
          </w:pPr>
          <w:r>
            <w:rPr>
              <w:color w:val="000000" w:themeColor="text1"/>
            </w:rPr>
            <w:t>&lt;11&gt;</w:t>
          </w:r>
          <w:r>
            <w:rPr>
              <w:color w:val="000000" w:themeColor="text1"/>
            </w:rPr>
            <w:t>支付推广活动费</w:t>
          </w:r>
        </w:p>
        <w:tbl>
          <w:tblPr>
            <w:tblStyle w:val="aff2"/>
            <w:tblW w:w="0" w:type="auto"/>
            <w:tblLook w:val="04A0" w:firstRow="1" w:lastRow="0" w:firstColumn="1" w:lastColumn="0" w:noHBand="0" w:noVBand="1"/>
          </w:tblPr>
          <w:tblGrid>
            <w:gridCol w:w="4106"/>
            <w:gridCol w:w="2268"/>
            <w:gridCol w:w="2449"/>
          </w:tblGrid>
          <w:tr w:rsidR="002D0AE7" w14:paraId="6F82FAB2" w14:textId="77777777">
            <w:tc>
              <w:tcPr>
                <w:tcW w:w="4106" w:type="dxa"/>
              </w:tcPr>
              <w:p w14:paraId="3E3B7377" w14:textId="77777777" w:rsidR="002D0AE7" w:rsidRDefault="00333EBB">
                <w:pPr>
                  <w:jc w:val="center"/>
                  <w:rPr>
                    <w:rFonts w:hint="eastAsia"/>
                    <w:color w:val="000000" w:themeColor="text1"/>
                    <w:sz w:val="21"/>
                    <w:szCs w:val="21"/>
                  </w:rPr>
                </w:pPr>
                <w:r>
                  <w:rPr>
                    <w:rFonts w:hint="eastAsia"/>
                    <w:color w:val="000000" w:themeColor="text1"/>
                    <w:sz w:val="21"/>
                    <w:szCs w:val="21"/>
                  </w:rPr>
                  <w:t>关联方</w:t>
                </w:r>
              </w:p>
            </w:tc>
            <w:sdt>
              <w:sdtPr>
                <w:rPr>
                  <w:color w:val="000000" w:themeColor="text1"/>
                  <w:sz w:val="21"/>
                  <w:szCs w:val="21"/>
                </w:rPr>
                <w:tag w:val="_PLD_09c424bd80324eb49dafea569ce1931b"/>
                <w:id w:val="-457409004"/>
              </w:sdtPr>
              <w:sdtEndPr/>
              <w:sdtContent>
                <w:tc>
                  <w:tcPr>
                    <w:tcW w:w="2268" w:type="dxa"/>
                    <w:vAlign w:val="center"/>
                  </w:tcPr>
                  <w:p w14:paraId="09C97BC5" w14:textId="77777777" w:rsidR="002D0AE7" w:rsidRDefault="00333EBB">
                    <w:pPr>
                      <w:jc w:val="center"/>
                      <w:rPr>
                        <w:rFonts w:hint="eastAsia"/>
                        <w:color w:val="000000" w:themeColor="text1"/>
                        <w:sz w:val="21"/>
                        <w:szCs w:val="21"/>
                      </w:rPr>
                    </w:pPr>
                    <w:r>
                      <w:rPr>
                        <w:rFonts w:cs="Cambria" w:hint="eastAsia"/>
                        <w:color w:val="000000" w:themeColor="text1"/>
                        <w:sz w:val="21"/>
                        <w:szCs w:val="21"/>
                      </w:rPr>
                      <w:t>本期发生额</w:t>
                    </w:r>
                  </w:p>
                </w:tc>
              </w:sdtContent>
            </w:sdt>
            <w:sdt>
              <w:sdtPr>
                <w:rPr>
                  <w:color w:val="000000" w:themeColor="text1"/>
                  <w:sz w:val="21"/>
                  <w:szCs w:val="21"/>
                </w:rPr>
                <w:tag w:val="_PLD_fd0f9e0691744db49d5ceaf95d42197c"/>
                <w:id w:val="377976930"/>
              </w:sdtPr>
              <w:sdtEndPr/>
              <w:sdtContent>
                <w:tc>
                  <w:tcPr>
                    <w:tcW w:w="2449" w:type="dxa"/>
                    <w:vAlign w:val="center"/>
                  </w:tcPr>
                  <w:p w14:paraId="119DD863" w14:textId="77777777" w:rsidR="002D0AE7" w:rsidRDefault="00333EBB">
                    <w:pPr>
                      <w:jc w:val="center"/>
                      <w:rPr>
                        <w:rFonts w:hint="eastAsia"/>
                        <w:color w:val="000000" w:themeColor="text1"/>
                        <w:sz w:val="21"/>
                        <w:szCs w:val="21"/>
                      </w:rPr>
                    </w:pPr>
                    <w:r>
                      <w:rPr>
                        <w:rFonts w:cs="Cambria" w:hint="eastAsia"/>
                        <w:color w:val="000000" w:themeColor="text1"/>
                        <w:sz w:val="21"/>
                        <w:szCs w:val="21"/>
                      </w:rPr>
                      <w:t>上期发生额</w:t>
                    </w:r>
                  </w:p>
                </w:tc>
              </w:sdtContent>
            </w:sdt>
          </w:tr>
          <w:tr w:rsidR="002D0AE7" w14:paraId="09F13BBF" w14:textId="77777777">
            <w:tc>
              <w:tcPr>
                <w:tcW w:w="4106" w:type="dxa"/>
                <w:vAlign w:val="center"/>
              </w:tcPr>
              <w:p w14:paraId="0ED8695E" w14:textId="77777777" w:rsidR="002D0AE7" w:rsidRDefault="00333EBB">
                <w:pPr>
                  <w:rPr>
                    <w:rFonts w:hint="eastAsia"/>
                    <w:color w:val="000000" w:themeColor="text1"/>
                    <w:sz w:val="21"/>
                    <w:szCs w:val="21"/>
                  </w:rPr>
                </w:pPr>
                <w:r>
                  <w:rPr>
                    <w:rFonts w:hint="eastAsia"/>
                    <w:sz w:val="21"/>
                    <w:szCs w:val="21"/>
                  </w:rPr>
                  <w:lastRenderedPageBreak/>
                  <w:t>天津医药集团营销管理有限公司</w:t>
                </w:r>
              </w:p>
            </w:tc>
            <w:tc>
              <w:tcPr>
                <w:tcW w:w="2268" w:type="dxa"/>
                <w:vAlign w:val="center"/>
              </w:tcPr>
              <w:p w14:paraId="1F4EE170"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22,264,150.96</w:t>
                </w:r>
              </w:p>
            </w:tc>
            <w:tc>
              <w:tcPr>
                <w:tcW w:w="2449" w:type="dxa"/>
                <w:vAlign w:val="center"/>
              </w:tcPr>
              <w:p w14:paraId="302B588F"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19,433,962.28</w:t>
                </w:r>
              </w:p>
            </w:tc>
          </w:tr>
          <w:tr w:rsidR="002D0AE7" w14:paraId="37463AB0" w14:textId="77777777">
            <w:tc>
              <w:tcPr>
                <w:tcW w:w="4106" w:type="dxa"/>
                <w:vAlign w:val="center"/>
              </w:tcPr>
              <w:p w14:paraId="068DC10B" w14:textId="77777777" w:rsidR="002D0AE7" w:rsidRDefault="00333EBB">
                <w:pPr>
                  <w:rPr>
                    <w:rFonts w:hint="eastAsia"/>
                    <w:color w:val="000000" w:themeColor="text1"/>
                    <w:sz w:val="21"/>
                    <w:szCs w:val="21"/>
                  </w:rPr>
                </w:pPr>
                <w:r>
                  <w:rPr>
                    <w:rFonts w:hint="eastAsia"/>
                    <w:sz w:val="21"/>
                    <w:szCs w:val="21"/>
                  </w:rPr>
                  <w:t>天津医药集团营销有限公司</w:t>
                </w:r>
              </w:p>
            </w:tc>
            <w:tc>
              <w:tcPr>
                <w:tcW w:w="2268" w:type="dxa"/>
                <w:vAlign w:val="center"/>
              </w:tcPr>
              <w:p w14:paraId="07336E62"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330,188.68</w:t>
                </w:r>
              </w:p>
            </w:tc>
            <w:tc>
              <w:tcPr>
                <w:tcW w:w="2449" w:type="dxa"/>
                <w:vAlign w:val="center"/>
              </w:tcPr>
              <w:p w14:paraId="5B1E5F98"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0.00</w:t>
                </w:r>
              </w:p>
            </w:tc>
          </w:tr>
        </w:tbl>
        <w:p w14:paraId="1C463E11" w14:textId="77777777" w:rsidR="002D0AE7" w:rsidRDefault="00333EBB">
          <w:pPr>
            <w:rPr>
              <w:rFonts w:hint="eastAsia"/>
              <w:color w:val="000000" w:themeColor="text1"/>
            </w:rPr>
          </w:pPr>
          <w:r>
            <w:rPr>
              <w:color w:val="000000" w:themeColor="text1"/>
            </w:rPr>
            <w:t>&lt;12&gt;</w:t>
          </w:r>
          <w:r>
            <w:rPr>
              <w:rFonts w:hint="eastAsia"/>
              <w:color w:val="000000" w:themeColor="text1"/>
            </w:rPr>
            <w:t>接受关联方金融服务情况</w:t>
          </w:r>
        </w:p>
        <w:p w14:paraId="4DC7DAA2" w14:textId="77777777" w:rsidR="002D0AE7" w:rsidRDefault="00333EBB">
          <w:pPr>
            <w:pStyle w:val="aff7"/>
            <w:numPr>
              <w:ilvl w:val="0"/>
              <w:numId w:val="82"/>
            </w:numPr>
            <w:ind w:firstLineChars="0"/>
            <w:rPr>
              <w:color w:val="000000" w:themeColor="text1"/>
            </w:rPr>
          </w:pPr>
          <w:r>
            <w:rPr>
              <w:color w:val="000000" w:themeColor="text1"/>
            </w:rPr>
            <w:t>在关联方财务公司存款</w:t>
          </w:r>
        </w:p>
        <w:tbl>
          <w:tblPr>
            <w:tblStyle w:val="aff2"/>
            <w:tblW w:w="0" w:type="auto"/>
            <w:tblLook w:val="04A0" w:firstRow="1" w:lastRow="0" w:firstColumn="1" w:lastColumn="0" w:noHBand="0" w:noVBand="1"/>
          </w:tblPr>
          <w:tblGrid>
            <w:gridCol w:w="2972"/>
            <w:gridCol w:w="1390"/>
            <w:gridCol w:w="2230"/>
            <w:gridCol w:w="2231"/>
          </w:tblGrid>
          <w:tr w:rsidR="002D0AE7" w14:paraId="02CFC26B" w14:textId="77777777">
            <w:tc>
              <w:tcPr>
                <w:tcW w:w="2972" w:type="dxa"/>
                <w:vAlign w:val="center"/>
              </w:tcPr>
              <w:p w14:paraId="071B4522" w14:textId="77777777" w:rsidR="002D0AE7" w:rsidRDefault="00333EBB">
                <w:pPr>
                  <w:jc w:val="center"/>
                  <w:rPr>
                    <w:rFonts w:hint="eastAsia"/>
                    <w:color w:val="000000" w:themeColor="text1"/>
                    <w:sz w:val="21"/>
                    <w:szCs w:val="21"/>
                  </w:rPr>
                </w:pPr>
                <w:r>
                  <w:rPr>
                    <w:rFonts w:hint="eastAsia"/>
                    <w:sz w:val="21"/>
                    <w:szCs w:val="21"/>
                  </w:rPr>
                  <w:t>关联方名称</w:t>
                </w:r>
              </w:p>
            </w:tc>
            <w:tc>
              <w:tcPr>
                <w:tcW w:w="1390" w:type="dxa"/>
                <w:vAlign w:val="center"/>
              </w:tcPr>
              <w:p w14:paraId="3C37D962" w14:textId="77777777" w:rsidR="002D0AE7" w:rsidRDefault="00333EBB">
                <w:pPr>
                  <w:jc w:val="center"/>
                  <w:rPr>
                    <w:rFonts w:hint="eastAsia"/>
                    <w:color w:val="000000" w:themeColor="text1"/>
                    <w:sz w:val="21"/>
                    <w:szCs w:val="21"/>
                  </w:rPr>
                </w:pPr>
                <w:r>
                  <w:rPr>
                    <w:rFonts w:hint="eastAsia"/>
                    <w:sz w:val="21"/>
                    <w:szCs w:val="21"/>
                  </w:rPr>
                  <w:t>服务项目</w:t>
                </w:r>
              </w:p>
            </w:tc>
            <w:tc>
              <w:tcPr>
                <w:tcW w:w="2230" w:type="dxa"/>
                <w:vAlign w:val="center"/>
              </w:tcPr>
              <w:p w14:paraId="459B48A3" w14:textId="77777777" w:rsidR="002D0AE7" w:rsidRDefault="00333EBB">
                <w:pPr>
                  <w:jc w:val="center"/>
                  <w:rPr>
                    <w:rFonts w:hint="eastAsia"/>
                    <w:color w:val="000000" w:themeColor="text1"/>
                    <w:sz w:val="21"/>
                    <w:szCs w:val="21"/>
                  </w:rPr>
                </w:pPr>
                <w:r>
                  <w:rPr>
                    <w:rFonts w:hint="eastAsia"/>
                    <w:sz w:val="21"/>
                    <w:szCs w:val="21"/>
                  </w:rPr>
                  <w:t>期末余额</w:t>
                </w:r>
              </w:p>
            </w:tc>
            <w:tc>
              <w:tcPr>
                <w:tcW w:w="2231" w:type="dxa"/>
                <w:vAlign w:val="center"/>
              </w:tcPr>
              <w:p w14:paraId="713E6C5B" w14:textId="77777777" w:rsidR="002D0AE7" w:rsidRDefault="00333EBB">
                <w:pPr>
                  <w:jc w:val="center"/>
                  <w:rPr>
                    <w:rFonts w:hint="eastAsia"/>
                    <w:color w:val="000000" w:themeColor="text1"/>
                    <w:sz w:val="21"/>
                    <w:szCs w:val="21"/>
                  </w:rPr>
                </w:pPr>
                <w:r>
                  <w:rPr>
                    <w:rFonts w:hint="eastAsia"/>
                    <w:sz w:val="21"/>
                    <w:szCs w:val="21"/>
                  </w:rPr>
                  <w:t>期初余额</w:t>
                </w:r>
              </w:p>
            </w:tc>
          </w:tr>
          <w:tr w:rsidR="002D0AE7" w14:paraId="3A7B501D" w14:textId="77777777">
            <w:tc>
              <w:tcPr>
                <w:tcW w:w="2972" w:type="dxa"/>
                <w:vAlign w:val="center"/>
              </w:tcPr>
              <w:p w14:paraId="776230F3" w14:textId="77777777" w:rsidR="002D0AE7" w:rsidRDefault="00333EBB">
                <w:pPr>
                  <w:rPr>
                    <w:rFonts w:hint="eastAsia"/>
                    <w:color w:val="000000" w:themeColor="text1"/>
                    <w:sz w:val="21"/>
                    <w:szCs w:val="21"/>
                  </w:rPr>
                </w:pPr>
                <w:r>
                  <w:rPr>
                    <w:rFonts w:hint="eastAsia"/>
                    <w:sz w:val="21"/>
                    <w:szCs w:val="21"/>
                  </w:rPr>
                  <w:t>天津医药集团财务有限公司</w:t>
                </w:r>
              </w:p>
            </w:tc>
            <w:tc>
              <w:tcPr>
                <w:tcW w:w="1390" w:type="dxa"/>
                <w:vAlign w:val="center"/>
              </w:tcPr>
              <w:p w14:paraId="0CFCCF52" w14:textId="77777777" w:rsidR="002D0AE7" w:rsidRDefault="00333EBB">
                <w:pPr>
                  <w:rPr>
                    <w:rFonts w:hint="eastAsia"/>
                    <w:color w:val="000000" w:themeColor="text1"/>
                    <w:sz w:val="21"/>
                    <w:szCs w:val="21"/>
                  </w:rPr>
                </w:pPr>
                <w:r>
                  <w:rPr>
                    <w:rFonts w:hint="eastAsia"/>
                    <w:sz w:val="21"/>
                    <w:szCs w:val="21"/>
                  </w:rPr>
                  <w:t>存款服务</w:t>
                </w:r>
              </w:p>
            </w:tc>
            <w:tc>
              <w:tcPr>
                <w:tcW w:w="2230" w:type="dxa"/>
                <w:vAlign w:val="center"/>
              </w:tcPr>
              <w:p w14:paraId="59AA3CB4"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442,739,396.62</w:t>
                </w:r>
              </w:p>
            </w:tc>
            <w:tc>
              <w:tcPr>
                <w:tcW w:w="2231" w:type="dxa"/>
                <w:vAlign w:val="center"/>
              </w:tcPr>
              <w:p w14:paraId="72E79CE7"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590,449,401.38</w:t>
                </w:r>
              </w:p>
            </w:tc>
          </w:tr>
        </w:tbl>
        <w:p w14:paraId="27BD4EAA" w14:textId="77777777" w:rsidR="002D0AE7" w:rsidRDefault="00333EBB">
          <w:pPr>
            <w:pStyle w:val="aff7"/>
            <w:numPr>
              <w:ilvl w:val="0"/>
              <w:numId w:val="82"/>
            </w:numPr>
            <w:ind w:firstLineChars="0"/>
            <w:rPr>
              <w:color w:val="000000" w:themeColor="text1"/>
            </w:rPr>
          </w:pPr>
          <w:r>
            <w:rPr>
              <w:color w:val="000000" w:themeColor="text1"/>
            </w:rPr>
            <w:t>在关联方财务公司</w:t>
          </w:r>
          <w:r>
            <w:rPr>
              <w:rFonts w:hint="eastAsia"/>
              <w:color w:val="000000" w:themeColor="text1"/>
            </w:rPr>
            <w:t>借</w:t>
          </w:r>
          <w:r>
            <w:rPr>
              <w:color w:val="000000" w:themeColor="text1"/>
            </w:rPr>
            <w:t>款</w:t>
          </w:r>
        </w:p>
        <w:tbl>
          <w:tblPr>
            <w:tblStyle w:val="aff2"/>
            <w:tblW w:w="0" w:type="auto"/>
            <w:tblLook w:val="04A0" w:firstRow="1" w:lastRow="0" w:firstColumn="1" w:lastColumn="0" w:noHBand="0" w:noVBand="1"/>
          </w:tblPr>
          <w:tblGrid>
            <w:gridCol w:w="3114"/>
            <w:gridCol w:w="1843"/>
            <w:gridCol w:w="1526"/>
            <w:gridCol w:w="1173"/>
            <w:gridCol w:w="1167"/>
          </w:tblGrid>
          <w:tr w:rsidR="002D0AE7" w14:paraId="28679D1A" w14:textId="77777777">
            <w:tc>
              <w:tcPr>
                <w:tcW w:w="3114" w:type="dxa"/>
                <w:vAlign w:val="center"/>
              </w:tcPr>
              <w:p w14:paraId="247F9957" w14:textId="77777777" w:rsidR="002D0AE7" w:rsidRDefault="00333EBB">
                <w:pPr>
                  <w:jc w:val="center"/>
                  <w:rPr>
                    <w:rFonts w:hint="eastAsia"/>
                    <w:color w:val="000000" w:themeColor="text1"/>
                    <w:sz w:val="21"/>
                    <w:szCs w:val="21"/>
                  </w:rPr>
                </w:pPr>
                <w:r>
                  <w:rPr>
                    <w:rFonts w:hint="eastAsia"/>
                    <w:color w:val="000000" w:themeColor="text1"/>
                    <w:sz w:val="21"/>
                    <w:szCs w:val="21"/>
                  </w:rPr>
                  <w:t>关联方名称</w:t>
                </w:r>
              </w:p>
            </w:tc>
            <w:tc>
              <w:tcPr>
                <w:tcW w:w="1843" w:type="dxa"/>
                <w:vAlign w:val="center"/>
              </w:tcPr>
              <w:p w14:paraId="4E2A6051" w14:textId="77777777" w:rsidR="002D0AE7" w:rsidRDefault="00333EBB">
                <w:pPr>
                  <w:jc w:val="center"/>
                  <w:rPr>
                    <w:rFonts w:hint="eastAsia"/>
                    <w:color w:val="000000" w:themeColor="text1"/>
                    <w:sz w:val="21"/>
                    <w:szCs w:val="21"/>
                  </w:rPr>
                </w:pPr>
                <w:r>
                  <w:rPr>
                    <w:rFonts w:hint="eastAsia"/>
                    <w:color w:val="000000" w:themeColor="text1"/>
                    <w:sz w:val="21"/>
                    <w:szCs w:val="21"/>
                  </w:rPr>
                  <w:t>借款金额</w:t>
                </w:r>
              </w:p>
            </w:tc>
            <w:tc>
              <w:tcPr>
                <w:tcW w:w="1526" w:type="dxa"/>
                <w:vAlign w:val="center"/>
              </w:tcPr>
              <w:p w14:paraId="4ABDE8BA" w14:textId="77777777" w:rsidR="002D0AE7" w:rsidRDefault="00333EBB">
                <w:pPr>
                  <w:jc w:val="center"/>
                  <w:rPr>
                    <w:rFonts w:hint="eastAsia"/>
                    <w:color w:val="000000" w:themeColor="text1"/>
                    <w:sz w:val="21"/>
                    <w:szCs w:val="21"/>
                  </w:rPr>
                </w:pPr>
                <w:r>
                  <w:rPr>
                    <w:rFonts w:hint="eastAsia"/>
                    <w:color w:val="000000" w:themeColor="text1"/>
                    <w:sz w:val="21"/>
                    <w:szCs w:val="21"/>
                  </w:rPr>
                  <w:t>起始日</w:t>
                </w:r>
              </w:p>
            </w:tc>
            <w:tc>
              <w:tcPr>
                <w:tcW w:w="1173" w:type="dxa"/>
                <w:vAlign w:val="center"/>
              </w:tcPr>
              <w:p w14:paraId="72961796" w14:textId="77777777" w:rsidR="002D0AE7" w:rsidRDefault="00333EBB">
                <w:pPr>
                  <w:jc w:val="center"/>
                  <w:rPr>
                    <w:rFonts w:hint="eastAsia"/>
                    <w:color w:val="000000" w:themeColor="text1"/>
                    <w:sz w:val="21"/>
                    <w:szCs w:val="21"/>
                  </w:rPr>
                </w:pPr>
                <w:r>
                  <w:rPr>
                    <w:rFonts w:hint="eastAsia"/>
                    <w:color w:val="000000" w:themeColor="text1"/>
                    <w:sz w:val="21"/>
                    <w:szCs w:val="21"/>
                  </w:rPr>
                  <w:t>到期日</w:t>
                </w:r>
              </w:p>
            </w:tc>
            <w:tc>
              <w:tcPr>
                <w:tcW w:w="1167" w:type="dxa"/>
                <w:vAlign w:val="center"/>
              </w:tcPr>
              <w:p w14:paraId="0313C48A" w14:textId="77777777" w:rsidR="002D0AE7" w:rsidRDefault="00333EBB">
                <w:pPr>
                  <w:jc w:val="center"/>
                  <w:rPr>
                    <w:rFonts w:hint="eastAsia"/>
                    <w:color w:val="000000" w:themeColor="text1"/>
                    <w:sz w:val="21"/>
                    <w:szCs w:val="21"/>
                  </w:rPr>
                </w:pPr>
                <w:r>
                  <w:rPr>
                    <w:rFonts w:hint="eastAsia"/>
                    <w:color w:val="000000" w:themeColor="text1"/>
                    <w:sz w:val="21"/>
                    <w:szCs w:val="21"/>
                  </w:rPr>
                  <w:t>说明</w:t>
                </w:r>
              </w:p>
            </w:tc>
          </w:tr>
          <w:tr w:rsidR="002D0AE7" w14:paraId="588E79F3" w14:textId="77777777">
            <w:tc>
              <w:tcPr>
                <w:tcW w:w="3114" w:type="dxa"/>
                <w:vAlign w:val="center"/>
              </w:tcPr>
              <w:p w14:paraId="2A02C66A" w14:textId="77777777" w:rsidR="002D0AE7" w:rsidRDefault="00333EBB">
                <w:pPr>
                  <w:rPr>
                    <w:rFonts w:hint="eastAsia"/>
                    <w:color w:val="000000" w:themeColor="text1"/>
                    <w:sz w:val="21"/>
                    <w:szCs w:val="21"/>
                  </w:rPr>
                </w:pPr>
                <w:r>
                  <w:rPr>
                    <w:rFonts w:hint="eastAsia"/>
                    <w:color w:val="000000" w:themeColor="text1"/>
                    <w:sz w:val="21"/>
                    <w:szCs w:val="21"/>
                  </w:rPr>
                  <w:t>天津医药集团财务有限公司</w:t>
                </w:r>
              </w:p>
            </w:tc>
            <w:tc>
              <w:tcPr>
                <w:tcW w:w="1843" w:type="dxa"/>
                <w:vAlign w:val="center"/>
              </w:tcPr>
              <w:p w14:paraId="4782A46D"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681,395.35</w:t>
                </w:r>
              </w:p>
            </w:tc>
            <w:tc>
              <w:tcPr>
                <w:tcW w:w="1526" w:type="dxa"/>
                <w:vAlign w:val="center"/>
              </w:tcPr>
              <w:p w14:paraId="79EAD438" w14:textId="77777777" w:rsidR="002D0AE7" w:rsidRDefault="00333EBB">
                <w:pPr>
                  <w:jc w:val="right"/>
                  <w:rPr>
                    <w:rFonts w:ascii="Times New Roman" w:hAnsi="Times New Roman" w:cs="Times New Roman"/>
                    <w:color w:val="000000" w:themeColor="text1"/>
                    <w:sz w:val="21"/>
                    <w:szCs w:val="21"/>
                  </w:rPr>
                </w:pPr>
                <w:r>
                  <w:rPr>
                    <w:rFonts w:ascii="Times New Roman" w:eastAsia="等线" w:hAnsi="Times New Roman" w:cs="Times New Roman"/>
                    <w:color w:val="000000"/>
                    <w:sz w:val="21"/>
                    <w:szCs w:val="21"/>
                  </w:rPr>
                  <w:t>2024/06/20</w:t>
                </w:r>
              </w:p>
            </w:tc>
            <w:tc>
              <w:tcPr>
                <w:tcW w:w="1173" w:type="dxa"/>
                <w:vAlign w:val="center"/>
              </w:tcPr>
              <w:p w14:paraId="40DC5464" w14:textId="77777777" w:rsidR="002D0AE7" w:rsidRDefault="00333EBB">
                <w:pPr>
                  <w:jc w:val="right"/>
                  <w:rPr>
                    <w:rFonts w:ascii="Times New Roman" w:hAnsi="Times New Roman" w:cs="Times New Roman"/>
                    <w:color w:val="000000" w:themeColor="text1"/>
                    <w:sz w:val="21"/>
                    <w:szCs w:val="21"/>
                  </w:rPr>
                </w:pPr>
                <w:r>
                  <w:rPr>
                    <w:rFonts w:ascii="Times New Roman" w:eastAsia="等线" w:hAnsi="Times New Roman" w:cs="Times New Roman"/>
                    <w:color w:val="000000"/>
                    <w:sz w:val="21"/>
                    <w:szCs w:val="21"/>
                  </w:rPr>
                  <w:t>2025/06/19</w:t>
                </w:r>
              </w:p>
            </w:tc>
            <w:tc>
              <w:tcPr>
                <w:tcW w:w="1167" w:type="dxa"/>
                <w:vAlign w:val="center"/>
              </w:tcPr>
              <w:p w14:paraId="5F9E5778" w14:textId="77777777" w:rsidR="002D0AE7" w:rsidRDefault="00333EBB">
                <w:pPr>
                  <w:rPr>
                    <w:rFonts w:hint="eastAsia"/>
                    <w:color w:val="000000" w:themeColor="text1"/>
                    <w:sz w:val="21"/>
                    <w:szCs w:val="21"/>
                  </w:rPr>
                </w:pPr>
                <w:r>
                  <w:rPr>
                    <w:rFonts w:hint="eastAsia"/>
                    <w:color w:val="000000"/>
                    <w:sz w:val="21"/>
                    <w:szCs w:val="21"/>
                  </w:rPr>
                  <w:t>长期借款</w:t>
                </w:r>
              </w:p>
            </w:tc>
          </w:tr>
        </w:tbl>
        <w:p w14:paraId="6CE93392" w14:textId="77777777" w:rsidR="002D0AE7" w:rsidRDefault="00333EBB">
          <w:pPr>
            <w:pStyle w:val="aff7"/>
            <w:numPr>
              <w:ilvl w:val="0"/>
              <w:numId w:val="82"/>
            </w:numPr>
            <w:ind w:firstLineChars="0"/>
            <w:rPr>
              <w:color w:val="000000" w:themeColor="text1"/>
            </w:rPr>
          </w:pPr>
          <w:r>
            <w:rPr>
              <w:rFonts w:ascii="宋体" w:hAnsi="宋体"/>
              <w:color w:val="000000" w:themeColor="text1"/>
              <w:sz w:val="21"/>
              <w:szCs w:val="20"/>
            </w:rPr>
            <w:t>2024</w:t>
          </w:r>
          <w:r>
            <w:rPr>
              <w:rFonts w:ascii="宋体" w:hAnsi="宋体"/>
              <w:color w:val="000000" w:themeColor="text1"/>
              <w:sz w:val="21"/>
              <w:szCs w:val="20"/>
            </w:rPr>
            <w:t>年</w:t>
          </w:r>
          <w:r>
            <w:rPr>
              <w:rFonts w:ascii="宋体" w:hAnsi="宋体"/>
              <w:color w:val="000000" w:themeColor="text1"/>
              <w:sz w:val="21"/>
              <w:szCs w:val="20"/>
            </w:rPr>
            <w:t>1-6</w:t>
          </w:r>
          <w:r>
            <w:rPr>
              <w:rFonts w:ascii="宋体" w:hAnsi="宋体"/>
              <w:color w:val="000000" w:themeColor="text1"/>
              <w:sz w:val="21"/>
              <w:szCs w:val="20"/>
            </w:rPr>
            <w:t>月公司接受天津医药集团财务有限公司金融服务：获得存款利息收入</w:t>
          </w:r>
          <w:r>
            <w:rPr>
              <w:rFonts w:ascii="Times New Roman" w:hAnsi="Times New Roman"/>
              <w:color w:val="000000" w:themeColor="text1"/>
              <w:sz w:val="21"/>
              <w:szCs w:val="20"/>
            </w:rPr>
            <w:t>3,582,108.26</w:t>
          </w:r>
          <w:r>
            <w:rPr>
              <w:rFonts w:ascii="宋体" w:hAnsi="宋体"/>
              <w:color w:val="000000" w:themeColor="text1"/>
              <w:sz w:val="21"/>
              <w:szCs w:val="20"/>
            </w:rPr>
            <w:t>元；支付贷款利息</w:t>
          </w:r>
          <w:r>
            <w:rPr>
              <w:rFonts w:ascii="Times New Roman" w:hAnsi="Times New Roman"/>
              <w:color w:val="000000" w:themeColor="text1"/>
              <w:sz w:val="21"/>
              <w:szCs w:val="20"/>
            </w:rPr>
            <w:t>60.57</w:t>
          </w:r>
          <w:r>
            <w:rPr>
              <w:rFonts w:ascii="宋体" w:hAnsi="宋体"/>
              <w:color w:val="000000" w:themeColor="text1"/>
              <w:sz w:val="21"/>
              <w:szCs w:val="20"/>
            </w:rPr>
            <w:t>元，支付银行手续费</w:t>
          </w:r>
          <w:r>
            <w:rPr>
              <w:rFonts w:ascii="Times New Roman" w:hAnsi="Times New Roman"/>
              <w:color w:val="000000" w:themeColor="text1"/>
              <w:sz w:val="21"/>
              <w:szCs w:val="20"/>
            </w:rPr>
            <w:t>400.00</w:t>
          </w:r>
          <w:r>
            <w:rPr>
              <w:rFonts w:ascii="宋体" w:hAnsi="宋体"/>
              <w:color w:val="000000" w:themeColor="text1"/>
              <w:sz w:val="21"/>
              <w:szCs w:val="20"/>
            </w:rPr>
            <w:t>元；资产负债表日应付财务公司利息</w:t>
          </w:r>
          <w:r>
            <w:rPr>
              <w:rFonts w:ascii="Times New Roman" w:hAnsi="Times New Roman"/>
              <w:color w:val="000000" w:themeColor="text1"/>
              <w:sz w:val="21"/>
              <w:szCs w:val="20"/>
            </w:rPr>
            <w:t>605.68</w:t>
          </w:r>
          <w:r>
            <w:rPr>
              <w:rFonts w:ascii="宋体" w:hAnsi="宋体"/>
              <w:color w:val="000000" w:themeColor="text1"/>
              <w:sz w:val="21"/>
              <w:szCs w:val="20"/>
            </w:rPr>
            <w:t>元；开具银行承兑汇票</w:t>
          </w:r>
          <w:r>
            <w:rPr>
              <w:rFonts w:ascii="Times New Roman" w:hAnsi="Times New Roman"/>
              <w:color w:val="000000" w:themeColor="text1"/>
              <w:sz w:val="21"/>
              <w:szCs w:val="20"/>
            </w:rPr>
            <w:t>0.00</w:t>
          </w:r>
          <w:r>
            <w:rPr>
              <w:rFonts w:ascii="宋体" w:hAnsi="宋体"/>
              <w:color w:val="000000" w:themeColor="text1"/>
              <w:sz w:val="21"/>
              <w:szCs w:val="20"/>
            </w:rPr>
            <w:t>元；资产负债表日应收财务公司通知存款利息</w:t>
          </w:r>
          <w:r>
            <w:rPr>
              <w:rFonts w:ascii="Times New Roman" w:hAnsi="Times New Roman"/>
              <w:color w:val="000000" w:themeColor="text1"/>
              <w:sz w:val="21"/>
              <w:szCs w:val="20"/>
            </w:rPr>
            <w:t>946,797.90</w:t>
          </w:r>
          <w:r>
            <w:rPr>
              <w:rFonts w:ascii="宋体" w:hAnsi="宋体"/>
              <w:color w:val="000000" w:themeColor="text1"/>
              <w:sz w:val="21"/>
              <w:szCs w:val="20"/>
            </w:rPr>
            <w:t>元。</w:t>
          </w:r>
        </w:p>
      </w:sdtContent>
    </w:sdt>
    <w:p w14:paraId="496C4F24" w14:textId="77777777" w:rsidR="002D0AE7" w:rsidRDefault="00333EBB">
      <w:pPr>
        <w:pStyle w:val="3"/>
        <w:numPr>
          <w:ilvl w:val="0"/>
          <w:numId w:val="80"/>
        </w:numPr>
        <w:rPr>
          <w:rFonts w:ascii="宋体" w:hAnsi="宋体" w:cs="Arial" w:hint="eastAsia"/>
          <w:color w:val="000000" w:themeColor="text1"/>
          <w:szCs w:val="21"/>
        </w:rPr>
      </w:pPr>
      <w:r>
        <w:rPr>
          <w:rFonts w:ascii="宋体" w:hAnsi="宋体" w:cs="Arial" w:hint="eastAsia"/>
          <w:color w:val="000000" w:themeColor="text1"/>
          <w:szCs w:val="21"/>
        </w:rPr>
        <w:t>应收、应付关联方等未结算项目情况</w:t>
      </w:r>
    </w:p>
    <w:p w14:paraId="5B24EF85" w14:textId="77777777" w:rsidR="002D0AE7" w:rsidRDefault="00333EBB">
      <w:pPr>
        <w:pStyle w:val="4"/>
        <w:numPr>
          <w:ilvl w:val="0"/>
          <w:numId w:val="83"/>
        </w:numPr>
        <w:tabs>
          <w:tab w:val="left" w:pos="616"/>
        </w:tabs>
        <w:rPr>
          <w:rFonts w:ascii="宋体" w:hAnsi="宋体" w:hint="eastAsia"/>
          <w:color w:val="000000" w:themeColor="text1"/>
        </w:rPr>
      </w:pPr>
      <w:r>
        <w:rPr>
          <w:rFonts w:ascii="宋体" w:hAnsi="宋体" w:hint="eastAsia"/>
          <w:color w:val="000000" w:themeColor="text1"/>
        </w:rPr>
        <w:t>应收项目</w:t>
      </w:r>
    </w:p>
    <w:sdt>
      <w:sdtPr>
        <w:rPr>
          <w:color w:val="000000" w:themeColor="text1"/>
        </w:rPr>
        <w:alias w:val="是否适用：应收项目[双击切换]"/>
        <w:tag w:val="_GBC_e5475e28b21641f6895ac4770b2631b5"/>
        <w:id w:val="-1405215369"/>
        <w:placeholder>
          <w:docPart w:val="GBC22222222222222222222222222222"/>
        </w:placeholder>
      </w:sdtPr>
      <w:sdtEndPr/>
      <w:sdtContent>
        <w:p w14:paraId="33059A2F"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78F8C0E2"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上市公司应收关联方款项"/>
          <w:tag w:val="_GBC_04d0c208b4494e01aba7984c41905093"/>
          <w:id w:val="-115197290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上市公司应收关联方款项"/>
          <w:tag w:val="_GBC_b106fdd467084a62837eebe1d06bbbee"/>
          <w:id w:val="-115320804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838"/>
        <w:gridCol w:w="3556"/>
        <w:gridCol w:w="1413"/>
        <w:gridCol w:w="1137"/>
        <w:gridCol w:w="1557"/>
        <w:gridCol w:w="892"/>
      </w:tblGrid>
      <w:tr w:rsidR="002D0AE7" w14:paraId="5F70572F" w14:textId="77777777">
        <w:trPr>
          <w:jc w:val="center"/>
        </w:trPr>
        <w:sdt>
          <w:sdtPr>
            <w:rPr>
              <w:color w:val="000000" w:themeColor="text1"/>
              <w:sz w:val="21"/>
              <w:szCs w:val="21"/>
            </w:rPr>
            <w:tag w:val="_PLD_75750bc8ac464afa98573c85adea097c"/>
            <w:id w:val="-190078293"/>
          </w:sdtPr>
          <w:sdtEndPr/>
          <w:sdtContent>
            <w:tc>
              <w:tcPr>
                <w:tcW w:w="884" w:type="pct"/>
                <w:vMerge w:val="restart"/>
                <w:tcBorders>
                  <w:top w:val="single" w:sz="4" w:space="0" w:color="auto"/>
                  <w:left w:val="single" w:sz="4" w:space="0" w:color="auto"/>
                  <w:right w:val="single" w:sz="4" w:space="0" w:color="auto"/>
                </w:tcBorders>
                <w:vAlign w:val="center"/>
              </w:tcPr>
              <w:p w14:paraId="7A0C86B3" w14:textId="77777777" w:rsidR="002D0AE7" w:rsidRDefault="00333EBB">
                <w:pPr>
                  <w:jc w:val="center"/>
                  <w:rPr>
                    <w:rFonts w:hint="eastAsia"/>
                    <w:color w:val="000000" w:themeColor="text1"/>
                    <w:sz w:val="21"/>
                    <w:szCs w:val="21"/>
                  </w:rPr>
                </w:pPr>
                <w:r>
                  <w:rPr>
                    <w:rFonts w:hint="eastAsia"/>
                    <w:color w:val="000000" w:themeColor="text1"/>
                    <w:sz w:val="21"/>
                    <w:szCs w:val="21"/>
                  </w:rPr>
                  <w:t>项目名称</w:t>
                </w:r>
              </w:p>
            </w:tc>
          </w:sdtContent>
        </w:sdt>
        <w:sdt>
          <w:sdtPr>
            <w:rPr>
              <w:color w:val="000000" w:themeColor="text1"/>
              <w:sz w:val="21"/>
              <w:szCs w:val="21"/>
            </w:rPr>
            <w:tag w:val="_PLD_5006be842c534839b3dabcf833329dd5"/>
            <w:id w:val="-469823114"/>
          </w:sdtPr>
          <w:sdtEndPr/>
          <w:sdtContent>
            <w:tc>
              <w:tcPr>
                <w:tcW w:w="1711" w:type="pct"/>
                <w:vMerge w:val="restart"/>
                <w:tcBorders>
                  <w:top w:val="single" w:sz="4" w:space="0" w:color="auto"/>
                  <w:left w:val="single" w:sz="4" w:space="0" w:color="auto"/>
                  <w:right w:val="single" w:sz="4" w:space="0" w:color="auto"/>
                </w:tcBorders>
                <w:vAlign w:val="center"/>
              </w:tcPr>
              <w:p w14:paraId="4D9870BF" w14:textId="77777777" w:rsidR="002D0AE7" w:rsidRDefault="00333EBB">
                <w:pPr>
                  <w:jc w:val="center"/>
                  <w:rPr>
                    <w:rFonts w:hint="eastAsia"/>
                    <w:color w:val="000000" w:themeColor="text1"/>
                    <w:sz w:val="21"/>
                    <w:szCs w:val="21"/>
                  </w:rPr>
                </w:pPr>
                <w:r>
                  <w:rPr>
                    <w:rFonts w:hint="eastAsia"/>
                    <w:color w:val="000000" w:themeColor="text1"/>
                    <w:sz w:val="21"/>
                    <w:szCs w:val="21"/>
                  </w:rPr>
                  <w:t>关联方</w:t>
                </w:r>
              </w:p>
            </w:tc>
          </w:sdtContent>
        </w:sdt>
        <w:sdt>
          <w:sdtPr>
            <w:rPr>
              <w:color w:val="000000" w:themeColor="text1"/>
              <w:sz w:val="21"/>
              <w:szCs w:val="21"/>
            </w:rPr>
            <w:tag w:val="_PLD_f8f3c28b2f064090a27f319875eb1b52"/>
            <w:id w:val="833495260"/>
          </w:sdtPr>
          <w:sdtEndPr/>
          <w:sdtContent>
            <w:tc>
              <w:tcPr>
                <w:tcW w:w="1227" w:type="pct"/>
                <w:gridSpan w:val="2"/>
                <w:tcBorders>
                  <w:top w:val="single" w:sz="4" w:space="0" w:color="auto"/>
                  <w:left w:val="single" w:sz="4" w:space="0" w:color="auto"/>
                  <w:bottom w:val="single" w:sz="4" w:space="0" w:color="auto"/>
                  <w:right w:val="single" w:sz="4" w:space="0" w:color="auto"/>
                </w:tcBorders>
                <w:vAlign w:val="center"/>
              </w:tcPr>
              <w:p w14:paraId="6C2A22A1"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sdt>
          <w:sdtPr>
            <w:rPr>
              <w:color w:val="000000" w:themeColor="text1"/>
              <w:sz w:val="21"/>
              <w:szCs w:val="21"/>
            </w:rPr>
            <w:tag w:val="_PLD_fdab8cbff0b74f19a916d61075f629a0"/>
            <w:id w:val="-116921457"/>
          </w:sdtPr>
          <w:sdtEndPr/>
          <w:sdtContent>
            <w:tc>
              <w:tcPr>
                <w:tcW w:w="1178" w:type="pct"/>
                <w:gridSpan w:val="2"/>
                <w:tcBorders>
                  <w:top w:val="single" w:sz="4" w:space="0" w:color="auto"/>
                  <w:left w:val="single" w:sz="4" w:space="0" w:color="auto"/>
                  <w:bottom w:val="single" w:sz="4" w:space="0" w:color="auto"/>
                  <w:right w:val="single" w:sz="4" w:space="0" w:color="auto"/>
                </w:tcBorders>
                <w:vAlign w:val="center"/>
              </w:tcPr>
              <w:p w14:paraId="277F7320" w14:textId="77777777" w:rsidR="002D0AE7" w:rsidRDefault="00333EBB">
                <w:pPr>
                  <w:jc w:val="center"/>
                  <w:rPr>
                    <w:rFonts w:hint="eastAsia"/>
                    <w:color w:val="000000" w:themeColor="text1"/>
                    <w:sz w:val="21"/>
                    <w:szCs w:val="21"/>
                  </w:rPr>
                </w:pPr>
                <w:r>
                  <w:rPr>
                    <w:rFonts w:hint="eastAsia"/>
                    <w:color w:val="000000" w:themeColor="text1"/>
                    <w:sz w:val="21"/>
                    <w:szCs w:val="21"/>
                  </w:rPr>
                  <w:t>期初余额</w:t>
                </w:r>
              </w:p>
            </w:tc>
          </w:sdtContent>
        </w:sdt>
      </w:tr>
      <w:tr w:rsidR="002D0AE7" w14:paraId="6B5ECD5F" w14:textId="77777777">
        <w:trPr>
          <w:jc w:val="center"/>
        </w:trPr>
        <w:tc>
          <w:tcPr>
            <w:tcW w:w="884" w:type="pct"/>
            <w:vMerge/>
            <w:tcBorders>
              <w:left w:val="single" w:sz="4" w:space="0" w:color="auto"/>
              <w:bottom w:val="single" w:sz="4" w:space="0" w:color="auto"/>
              <w:right w:val="single" w:sz="4" w:space="0" w:color="auto"/>
            </w:tcBorders>
            <w:vAlign w:val="center"/>
          </w:tcPr>
          <w:p w14:paraId="73CD87A1" w14:textId="77777777" w:rsidR="002D0AE7" w:rsidRDefault="002D0AE7">
            <w:pPr>
              <w:jc w:val="center"/>
              <w:rPr>
                <w:rFonts w:hint="eastAsia"/>
                <w:color w:val="000000" w:themeColor="text1"/>
                <w:sz w:val="21"/>
                <w:szCs w:val="21"/>
              </w:rPr>
            </w:pPr>
          </w:p>
        </w:tc>
        <w:tc>
          <w:tcPr>
            <w:tcW w:w="1711" w:type="pct"/>
            <w:vMerge/>
            <w:tcBorders>
              <w:left w:val="single" w:sz="4" w:space="0" w:color="auto"/>
              <w:bottom w:val="single" w:sz="4" w:space="0" w:color="auto"/>
              <w:right w:val="single" w:sz="4" w:space="0" w:color="auto"/>
            </w:tcBorders>
            <w:vAlign w:val="center"/>
          </w:tcPr>
          <w:p w14:paraId="2ED9185C" w14:textId="77777777" w:rsidR="002D0AE7" w:rsidRDefault="002D0AE7">
            <w:pPr>
              <w:jc w:val="center"/>
              <w:rPr>
                <w:rFonts w:hint="eastAsia"/>
                <w:color w:val="000000" w:themeColor="text1"/>
                <w:sz w:val="21"/>
                <w:szCs w:val="21"/>
              </w:rPr>
            </w:pPr>
          </w:p>
        </w:tc>
        <w:sdt>
          <w:sdtPr>
            <w:rPr>
              <w:color w:val="000000" w:themeColor="text1"/>
              <w:sz w:val="21"/>
              <w:szCs w:val="21"/>
            </w:rPr>
            <w:tag w:val="_PLD_5c085d18049644c9860a00b248b7c0ba"/>
            <w:id w:val="1278764213"/>
          </w:sdtPr>
          <w:sdtEndPr/>
          <w:sdtContent>
            <w:tc>
              <w:tcPr>
                <w:tcW w:w="680" w:type="pct"/>
                <w:tcBorders>
                  <w:top w:val="single" w:sz="4" w:space="0" w:color="auto"/>
                  <w:left w:val="single" w:sz="4" w:space="0" w:color="auto"/>
                  <w:bottom w:val="single" w:sz="4" w:space="0" w:color="auto"/>
                  <w:right w:val="single" w:sz="4" w:space="0" w:color="auto"/>
                </w:tcBorders>
                <w:vAlign w:val="center"/>
              </w:tcPr>
              <w:p w14:paraId="5988586A" w14:textId="77777777" w:rsidR="002D0AE7" w:rsidRDefault="00333EBB">
                <w:pPr>
                  <w:jc w:val="center"/>
                  <w:rPr>
                    <w:rFonts w:hint="eastAsia"/>
                    <w:color w:val="000000" w:themeColor="text1"/>
                    <w:sz w:val="21"/>
                    <w:szCs w:val="21"/>
                  </w:rPr>
                </w:pPr>
                <w:r>
                  <w:rPr>
                    <w:rFonts w:hint="eastAsia"/>
                    <w:color w:val="000000" w:themeColor="text1"/>
                    <w:sz w:val="21"/>
                    <w:szCs w:val="21"/>
                  </w:rPr>
                  <w:t>账面余额</w:t>
                </w:r>
              </w:p>
            </w:tc>
          </w:sdtContent>
        </w:sdt>
        <w:sdt>
          <w:sdtPr>
            <w:rPr>
              <w:color w:val="000000" w:themeColor="text1"/>
              <w:sz w:val="21"/>
              <w:szCs w:val="21"/>
            </w:rPr>
            <w:tag w:val="_PLD_8262489c05a6417a883e2c877ded6170"/>
            <w:id w:val="-1106343645"/>
          </w:sdtPr>
          <w:sdtEndPr/>
          <w:sdtContent>
            <w:tc>
              <w:tcPr>
                <w:tcW w:w="547" w:type="pct"/>
                <w:tcBorders>
                  <w:top w:val="single" w:sz="4" w:space="0" w:color="auto"/>
                  <w:left w:val="single" w:sz="4" w:space="0" w:color="auto"/>
                  <w:bottom w:val="single" w:sz="4" w:space="0" w:color="auto"/>
                  <w:right w:val="single" w:sz="4" w:space="0" w:color="auto"/>
                </w:tcBorders>
                <w:vAlign w:val="center"/>
              </w:tcPr>
              <w:p w14:paraId="5EB4AFED" w14:textId="77777777" w:rsidR="002D0AE7" w:rsidRDefault="00333EBB">
                <w:pPr>
                  <w:jc w:val="center"/>
                  <w:rPr>
                    <w:rFonts w:hint="eastAsia"/>
                    <w:color w:val="000000" w:themeColor="text1"/>
                    <w:sz w:val="21"/>
                    <w:szCs w:val="21"/>
                  </w:rPr>
                </w:pPr>
                <w:r>
                  <w:rPr>
                    <w:rFonts w:hint="eastAsia"/>
                    <w:color w:val="000000" w:themeColor="text1"/>
                    <w:sz w:val="21"/>
                    <w:szCs w:val="21"/>
                  </w:rPr>
                  <w:t>坏账准备</w:t>
                </w:r>
              </w:p>
            </w:tc>
          </w:sdtContent>
        </w:sdt>
        <w:sdt>
          <w:sdtPr>
            <w:rPr>
              <w:color w:val="000000" w:themeColor="text1"/>
              <w:sz w:val="21"/>
              <w:szCs w:val="21"/>
            </w:rPr>
            <w:tag w:val="_PLD_46c6d827df3f47a3bc83a6dd8718f17e"/>
            <w:id w:val="1624270456"/>
          </w:sdtPr>
          <w:sdtEndPr/>
          <w:sdtContent>
            <w:tc>
              <w:tcPr>
                <w:tcW w:w="749" w:type="pct"/>
                <w:tcBorders>
                  <w:top w:val="single" w:sz="4" w:space="0" w:color="auto"/>
                  <w:left w:val="single" w:sz="4" w:space="0" w:color="auto"/>
                  <w:bottom w:val="single" w:sz="4" w:space="0" w:color="auto"/>
                  <w:right w:val="single" w:sz="4" w:space="0" w:color="auto"/>
                </w:tcBorders>
                <w:vAlign w:val="center"/>
              </w:tcPr>
              <w:p w14:paraId="54CDF3A2" w14:textId="77777777" w:rsidR="002D0AE7" w:rsidRDefault="00333EBB">
                <w:pPr>
                  <w:jc w:val="center"/>
                  <w:rPr>
                    <w:rFonts w:hint="eastAsia"/>
                    <w:color w:val="000000" w:themeColor="text1"/>
                    <w:sz w:val="21"/>
                    <w:szCs w:val="21"/>
                  </w:rPr>
                </w:pPr>
                <w:r>
                  <w:rPr>
                    <w:rFonts w:hint="eastAsia"/>
                    <w:color w:val="000000" w:themeColor="text1"/>
                    <w:sz w:val="21"/>
                    <w:szCs w:val="21"/>
                  </w:rPr>
                  <w:t>账面余额</w:t>
                </w:r>
              </w:p>
            </w:tc>
          </w:sdtContent>
        </w:sdt>
        <w:sdt>
          <w:sdtPr>
            <w:rPr>
              <w:color w:val="000000" w:themeColor="text1"/>
              <w:sz w:val="21"/>
              <w:szCs w:val="21"/>
            </w:rPr>
            <w:tag w:val="_PLD_fca2aa8baf8a48a7a4cdc730d7420d47"/>
            <w:id w:val="1524667230"/>
          </w:sdtPr>
          <w:sdtEndPr/>
          <w:sdtContent>
            <w:tc>
              <w:tcPr>
                <w:tcW w:w="429" w:type="pct"/>
                <w:tcBorders>
                  <w:top w:val="single" w:sz="4" w:space="0" w:color="auto"/>
                  <w:left w:val="single" w:sz="4" w:space="0" w:color="auto"/>
                  <w:bottom w:val="single" w:sz="4" w:space="0" w:color="auto"/>
                  <w:right w:val="single" w:sz="4" w:space="0" w:color="auto"/>
                </w:tcBorders>
                <w:vAlign w:val="center"/>
              </w:tcPr>
              <w:p w14:paraId="7C087433" w14:textId="77777777" w:rsidR="002D0AE7" w:rsidRDefault="00333EBB">
                <w:pPr>
                  <w:jc w:val="center"/>
                  <w:rPr>
                    <w:rFonts w:hint="eastAsia"/>
                    <w:color w:val="000000" w:themeColor="text1"/>
                    <w:sz w:val="21"/>
                    <w:szCs w:val="21"/>
                  </w:rPr>
                </w:pPr>
                <w:r>
                  <w:rPr>
                    <w:rFonts w:hint="eastAsia"/>
                    <w:color w:val="000000" w:themeColor="text1"/>
                    <w:sz w:val="21"/>
                    <w:szCs w:val="21"/>
                  </w:rPr>
                  <w:t>坏账准备</w:t>
                </w:r>
              </w:p>
            </w:tc>
          </w:sdtContent>
        </w:sdt>
      </w:tr>
      <w:tr w:rsidR="002D0AE7" w14:paraId="18B887CE" w14:textId="77777777">
        <w:trPr>
          <w:jc w:val="center"/>
        </w:trPr>
        <w:tc>
          <w:tcPr>
            <w:tcW w:w="884" w:type="pct"/>
            <w:tcBorders>
              <w:top w:val="single" w:sz="4" w:space="0" w:color="auto"/>
              <w:left w:val="single" w:sz="4" w:space="0" w:color="auto"/>
              <w:bottom w:val="single" w:sz="4" w:space="0" w:color="auto"/>
              <w:right w:val="single" w:sz="4" w:space="0" w:color="auto"/>
            </w:tcBorders>
            <w:vAlign w:val="center"/>
          </w:tcPr>
          <w:p w14:paraId="2EF9B7AA" w14:textId="77777777" w:rsidR="002D0AE7" w:rsidRDefault="00333EBB">
            <w:pPr>
              <w:autoSpaceDE w:val="0"/>
              <w:autoSpaceDN w:val="0"/>
              <w:adjustRightInd w:val="0"/>
              <w:rPr>
                <w:rFonts w:hint="eastAsia"/>
                <w:sz w:val="21"/>
                <w:szCs w:val="21"/>
              </w:rPr>
            </w:pPr>
            <w:r>
              <w:rPr>
                <w:rFonts w:hint="eastAsia"/>
                <w:sz w:val="21"/>
                <w:szCs w:val="21"/>
              </w:rPr>
              <w:t>应收账款</w:t>
            </w:r>
          </w:p>
        </w:tc>
        <w:tc>
          <w:tcPr>
            <w:tcW w:w="1711" w:type="pct"/>
            <w:tcBorders>
              <w:top w:val="single" w:sz="4" w:space="0" w:color="auto"/>
              <w:left w:val="single" w:sz="4" w:space="0" w:color="auto"/>
              <w:bottom w:val="single" w:sz="4" w:space="0" w:color="auto"/>
              <w:right w:val="single" w:sz="4" w:space="0" w:color="auto"/>
            </w:tcBorders>
            <w:vAlign w:val="center"/>
          </w:tcPr>
          <w:p w14:paraId="3D07BBDE" w14:textId="77777777" w:rsidR="002D0AE7" w:rsidRDefault="00333EBB">
            <w:pPr>
              <w:autoSpaceDE w:val="0"/>
              <w:autoSpaceDN w:val="0"/>
              <w:adjustRightInd w:val="0"/>
              <w:rPr>
                <w:rFonts w:hint="eastAsia"/>
                <w:sz w:val="21"/>
                <w:szCs w:val="21"/>
              </w:rPr>
            </w:pPr>
            <w:r>
              <w:rPr>
                <w:rFonts w:hint="eastAsia"/>
                <w:sz w:val="21"/>
                <w:szCs w:val="21"/>
              </w:rPr>
              <w:t>江西百思康瑞药业有限公司</w:t>
            </w:r>
          </w:p>
        </w:tc>
        <w:tc>
          <w:tcPr>
            <w:tcW w:w="680" w:type="pct"/>
            <w:tcBorders>
              <w:top w:val="single" w:sz="4" w:space="0" w:color="auto"/>
              <w:left w:val="single" w:sz="4" w:space="0" w:color="auto"/>
              <w:bottom w:val="single" w:sz="4" w:space="0" w:color="auto"/>
              <w:right w:val="single" w:sz="4" w:space="0" w:color="auto"/>
            </w:tcBorders>
            <w:vAlign w:val="center"/>
          </w:tcPr>
          <w:p w14:paraId="6CBEF595"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12,406,696.98</w:t>
            </w:r>
          </w:p>
        </w:tc>
        <w:tc>
          <w:tcPr>
            <w:tcW w:w="547" w:type="pct"/>
            <w:tcBorders>
              <w:top w:val="single" w:sz="4" w:space="0" w:color="auto"/>
              <w:left w:val="single" w:sz="4" w:space="0" w:color="auto"/>
              <w:bottom w:val="single" w:sz="4" w:space="0" w:color="auto"/>
              <w:right w:val="single" w:sz="4" w:space="0" w:color="auto"/>
            </w:tcBorders>
            <w:vAlign w:val="center"/>
          </w:tcPr>
          <w:p w14:paraId="74E04F56"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c>
          <w:tcPr>
            <w:tcW w:w="749" w:type="pct"/>
            <w:tcBorders>
              <w:top w:val="single" w:sz="4" w:space="0" w:color="auto"/>
              <w:left w:val="single" w:sz="4" w:space="0" w:color="auto"/>
              <w:bottom w:val="single" w:sz="4" w:space="0" w:color="auto"/>
              <w:right w:val="single" w:sz="4" w:space="0" w:color="auto"/>
            </w:tcBorders>
            <w:vAlign w:val="center"/>
          </w:tcPr>
          <w:p w14:paraId="5C5079F8"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14,783,043.78</w:t>
            </w:r>
          </w:p>
        </w:tc>
        <w:tc>
          <w:tcPr>
            <w:tcW w:w="429" w:type="pct"/>
            <w:tcBorders>
              <w:top w:val="single" w:sz="4" w:space="0" w:color="auto"/>
              <w:left w:val="single" w:sz="4" w:space="0" w:color="auto"/>
              <w:bottom w:val="single" w:sz="4" w:space="0" w:color="auto"/>
              <w:right w:val="single" w:sz="4" w:space="0" w:color="auto"/>
            </w:tcBorders>
            <w:vAlign w:val="center"/>
          </w:tcPr>
          <w:p w14:paraId="1664164F"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274ADB7C" w14:textId="77777777">
        <w:trPr>
          <w:jc w:val="center"/>
        </w:trPr>
        <w:tc>
          <w:tcPr>
            <w:tcW w:w="884" w:type="pct"/>
            <w:tcBorders>
              <w:top w:val="single" w:sz="4" w:space="0" w:color="auto"/>
              <w:left w:val="single" w:sz="4" w:space="0" w:color="auto"/>
              <w:bottom w:val="single" w:sz="4" w:space="0" w:color="auto"/>
              <w:right w:val="single" w:sz="4" w:space="0" w:color="auto"/>
            </w:tcBorders>
            <w:vAlign w:val="center"/>
          </w:tcPr>
          <w:p w14:paraId="7A3E98AA" w14:textId="77777777" w:rsidR="002D0AE7" w:rsidRDefault="00333EBB">
            <w:pPr>
              <w:autoSpaceDE w:val="0"/>
              <w:autoSpaceDN w:val="0"/>
              <w:adjustRightInd w:val="0"/>
              <w:rPr>
                <w:rFonts w:hint="eastAsia"/>
                <w:sz w:val="21"/>
                <w:szCs w:val="21"/>
              </w:rPr>
            </w:pPr>
            <w:r>
              <w:rPr>
                <w:rFonts w:hint="eastAsia"/>
                <w:sz w:val="21"/>
                <w:szCs w:val="21"/>
              </w:rPr>
              <w:t>应收账款</w:t>
            </w:r>
          </w:p>
        </w:tc>
        <w:tc>
          <w:tcPr>
            <w:tcW w:w="1711" w:type="pct"/>
            <w:tcBorders>
              <w:top w:val="single" w:sz="4" w:space="0" w:color="auto"/>
              <w:left w:val="single" w:sz="4" w:space="0" w:color="auto"/>
              <w:bottom w:val="single" w:sz="4" w:space="0" w:color="auto"/>
              <w:right w:val="single" w:sz="4" w:space="0" w:color="auto"/>
            </w:tcBorders>
            <w:vAlign w:val="center"/>
          </w:tcPr>
          <w:p w14:paraId="4E739FC1" w14:textId="77777777" w:rsidR="002D0AE7" w:rsidRDefault="00333EBB">
            <w:pPr>
              <w:autoSpaceDE w:val="0"/>
              <w:autoSpaceDN w:val="0"/>
              <w:adjustRightInd w:val="0"/>
              <w:rPr>
                <w:rFonts w:hint="eastAsia"/>
                <w:sz w:val="21"/>
                <w:szCs w:val="21"/>
              </w:rPr>
            </w:pPr>
            <w:r>
              <w:rPr>
                <w:rFonts w:hint="eastAsia"/>
                <w:sz w:val="21"/>
                <w:szCs w:val="21"/>
              </w:rPr>
              <w:t>天津力生制药股份有限公司</w:t>
            </w:r>
          </w:p>
        </w:tc>
        <w:tc>
          <w:tcPr>
            <w:tcW w:w="680" w:type="pct"/>
            <w:tcBorders>
              <w:top w:val="single" w:sz="4" w:space="0" w:color="auto"/>
              <w:left w:val="single" w:sz="4" w:space="0" w:color="auto"/>
              <w:bottom w:val="single" w:sz="4" w:space="0" w:color="auto"/>
              <w:right w:val="single" w:sz="4" w:space="0" w:color="auto"/>
            </w:tcBorders>
            <w:vAlign w:val="center"/>
          </w:tcPr>
          <w:p w14:paraId="44C47B77"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c>
          <w:tcPr>
            <w:tcW w:w="547" w:type="pct"/>
            <w:tcBorders>
              <w:top w:val="single" w:sz="4" w:space="0" w:color="auto"/>
              <w:left w:val="single" w:sz="4" w:space="0" w:color="auto"/>
              <w:bottom w:val="single" w:sz="4" w:space="0" w:color="auto"/>
              <w:right w:val="single" w:sz="4" w:space="0" w:color="auto"/>
            </w:tcBorders>
            <w:vAlign w:val="center"/>
          </w:tcPr>
          <w:p w14:paraId="40C16197"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c>
          <w:tcPr>
            <w:tcW w:w="749" w:type="pct"/>
            <w:tcBorders>
              <w:top w:val="single" w:sz="4" w:space="0" w:color="auto"/>
              <w:left w:val="single" w:sz="4" w:space="0" w:color="auto"/>
              <w:bottom w:val="single" w:sz="4" w:space="0" w:color="auto"/>
              <w:right w:val="single" w:sz="4" w:space="0" w:color="auto"/>
            </w:tcBorders>
            <w:vAlign w:val="center"/>
          </w:tcPr>
          <w:p w14:paraId="55C9C422"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600,000.00</w:t>
            </w:r>
          </w:p>
        </w:tc>
        <w:tc>
          <w:tcPr>
            <w:tcW w:w="429" w:type="pct"/>
            <w:tcBorders>
              <w:top w:val="single" w:sz="4" w:space="0" w:color="auto"/>
              <w:left w:val="single" w:sz="4" w:space="0" w:color="auto"/>
              <w:bottom w:val="single" w:sz="4" w:space="0" w:color="auto"/>
              <w:right w:val="single" w:sz="4" w:space="0" w:color="auto"/>
            </w:tcBorders>
            <w:vAlign w:val="center"/>
          </w:tcPr>
          <w:p w14:paraId="387623DE"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69FC24E0" w14:textId="77777777">
        <w:trPr>
          <w:jc w:val="center"/>
        </w:trPr>
        <w:tc>
          <w:tcPr>
            <w:tcW w:w="884" w:type="pct"/>
            <w:tcBorders>
              <w:top w:val="single" w:sz="4" w:space="0" w:color="auto"/>
              <w:left w:val="single" w:sz="4" w:space="0" w:color="auto"/>
              <w:bottom w:val="single" w:sz="4" w:space="0" w:color="auto"/>
              <w:right w:val="single" w:sz="4" w:space="0" w:color="auto"/>
            </w:tcBorders>
            <w:vAlign w:val="center"/>
          </w:tcPr>
          <w:p w14:paraId="7DD2E3BC" w14:textId="77777777" w:rsidR="002D0AE7" w:rsidRDefault="00333EBB">
            <w:pPr>
              <w:autoSpaceDE w:val="0"/>
              <w:autoSpaceDN w:val="0"/>
              <w:adjustRightInd w:val="0"/>
              <w:rPr>
                <w:rFonts w:hint="eastAsia"/>
                <w:sz w:val="21"/>
                <w:szCs w:val="21"/>
              </w:rPr>
            </w:pPr>
            <w:r>
              <w:rPr>
                <w:rFonts w:hint="eastAsia"/>
                <w:sz w:val="21"/>
                <w:szCs w:val="21"/>
              </w:rPr>
              <w:t>应收账款</w:t>
            </w:r>
          </w:p>
        </w:tc>
        <w:tc>
          <w:tcPr>
            <w:tcW w:w="1711" w:type="pct"/>
            <w:tcBorders>
              <w:top w:val="single" w:sz="4" w:space="0" w:color="auto"/>
              <w:left w:val="single" w:sz="4" w:space="0" w:color="auto"/>
              <w:bottom w:val="single" w:sz="4" w:space="0" w:color="auto"/>
              <w:right w:val="single" w:sz="4" w:space="0" w:color="auto"/>
            </w:tcBorders>
            <w:vAlign w:val="center"/>
          </w:tcPr>
          <w:p w14:paraId="1E778C46" w14:textId="77777777" w:rsidR="002D0AE7" w:rsidRDefault="00333EBB">
            <w:pPr>
              <w:autoSpaceDE w:val="0"/>
              <w:autoSpaceDN w:val="0"/>
              <w:adjustRightInd w:val="0"/>
              <w:rPr>
                <w:rFonts w:hint="eastAsia"/>
                <w:sz w:val="21"/>
                <w:szCs w:val="21"/>
              </w:rPr>
            </w:pPr>
            <w:r>
              <w:rPr>
                <w:rFonts w:hint="eastAsia"/>
                <w:sz w:val="21"/>
                <w:szCs w:val="21"/>
              </w:rPr>
              <w:t>津药太平医药有限公司</w:t>
            </w:r>
          </w:p>
        </w:tc>
        <w:tc>
          <w:tcPr>
            <w:tcW w:w="680" w:type="pct"/>
            <w:tcBorders>
              <w:top w:val="single" w:sz="4" w:space="0" w:color="auto"/>
              <w:left w:val="single" w:sz="4" w:space="0" w:color="auto"/>
              <w:bottom w:val="single" w:sz="4" w:space="0" w:color="auto"/>
              <w:right w:val="single" w:sz="4" w:space="0" w:color="auto"/>
            </w:tcBorders>
            <w:vAlign w:val="center"/>
          </w:tcPr>
          <w:p w14:paraId="6B4D1F56"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859,543.40</w:t>
            </w:r>
          </w:p>
        </w:tc>
        <w:tc>
          <w:tcPr>
            <w:tcW w:w="547" w:type="pct"/>
            <w:tcBorders>
              <w:top w:val="single" w:sz="4" w:space="0" w:color="auto"/>
              <w:left w:val="single" w:sz="4" w:space="0" w:color="auto"/>
              <w:bottom w:val="single" w:sz="4" w:space="0" w:color="auto"/>
              <w:right w:val="single" w:sz="4" w:space="0" w:color="auto"/>
            </w:tcBorders>
            <w:vAlign w:val="center"/>
          </w:tcPr>
          <w:p w14:paraId="08B81225"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c>
          <w:tcPr>
            <w:tcW w:w="749" w:type="pct"/>
            <w:tcBorders>
              <w:top w:val="single" w:sz="4" w:space="0" w:color="auto"/>
              <w:left w:val="single" w:sz="4" w:space="0" w:color="auto"/>
              <w:bottom w:val="single" w:sz="4" w:space="0" w:color="auto"/>
              <w:right w:val="single" w:sz="4" w:space="0" w:color="auto"/>
            </w:tcBorders>
            <w:vAlign w:val="center"/>
          </w:tcPr>
          <w:p w14:paraId="189CB823"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449,430.64</w:t>
            </w:r>
          </w:p>
        </w:tc>
        <w:tc>
          <w:tcPr>
            <w:tcW w:w="429" w:type="pct"/>
            <w:tcBorders>
              <w:top w:val="single" w:sz="4" w:space="0" w:color="auto"/>
              <w:left w:val="single" w:sz="4" w:space="0" w:color="auto"/>
              <w:bottom w:val="single" w:sz="4" w:space="0" w:color="auto"/>
              <w:right w:val="single" w:sz="4" w:space="0" w:color="auto"/>
            </w:tcBorders>
            <w:vAlign w:val="center"/>
          </w:tcPr>
          <w:p w14:paraId="4F50CE03"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0EFE0CEF" w14:textId="77777777">
        <w:trPr>
          <w:jc w:val="center"/>
        </w:trPr>
        <w:tc>
          <w:tcPr>
            <w:tcW w:w="884" w:type="pct"/>
            <w:tcBorders>
              <w:top w:val="single" w:sz="4" w:space="0" w:color="auto"/>
              <w:left w:val="single" w:sz="4" w:space="0" w:color="auto"/>
              <w:bottom w:val="single" w:sz="4" w:space="0" w:color="auto"/>
              <w:right w:val="single" w:sz="4" w:space="0" w:color="auto"/>
            </w:tcBorders>
            <w:vAlign w:val="center"/>
          </w:tcPr>
          <w:p w14:paraId="091F92C6" w14:textId="77777777" w:rsidR="002D0AE7" w:rsidRDefault="00333EBB">
            <w:pPr>
              <w:autoSpaceDE w:val="0"/>
              <w:autoSpaceDN w:val="0"/>
              <w:adjustRightInd w:val="0"/>
              <w:rPr>
                <w:rFonts w:hint="eastAsia"/>
                <w:sz w:val="21"/>
                <w:szCs w:val="21"/>
              </w:rPr>
            </w:pPr>
            <w:r>
              <w:rPr>
                <w:rFonts w:hint="eastAsia"/>
                <w:sz w:val="21"/>
                <w:szCs w:val="21"/>
              </w:rPr>
              <w:t>应收账款</w:t>
            </w:r>
          </w:p>
        </w:tc>
        <w:tc>
          <w:tcPr>
            <w:tcW w:w="1711" w:type="pct"/>
            <w:tcBorders>
              <w:top w:val="single" w:sz="4" w:space="0" w:color="auto"/>
              <w:left w:val="single" w:sz="4" w:space="0" w:color="auto"/>
              <w:bottom w:val="single" w:sz="4" w:space="0" w:color="auto"/>
              <w:right w:val="single" w:sz="4" w:space="0" w:color="auto"/>
            </w:tcBorders>
            <w:vAlign w:val="center"/>
          </w:tcPr>
          <w:p w14:paraId="1B4E70E7" w14:textId="77777777" w:rsidR="002D0AE7" w:rsidRDefault="00333EBB">
            <w:pPr>
              <w:autoSpaceDE w:val="0"/>
              <w:autoSpaceDN w:val="0"/>
              <w:adjustRightInd w:val="0"/>
              <w:rPr>
                <w:rFonts w:hint="eastAsia"/>
                <w:sz w:val="21"/>
                <w:szCs w:val="21"/>
              </w:rPr>
            </w:pPr>
            <w:r>
              <w:rPr>
                <w:rFonts w:hint="eastAsia"/>
                <w:sz w:val="21"/>
                <w:szCs w:val="21"/>
              </w:rPr>
              <w:t>天津中新药业集团国卫医药有限公司</w:t>
            </w:r>
          </w:p>
        </w:tc>
        <w:tc>
          <w:tcPr>
            <w:tcW w:w="680" w:type="pct"/>
            <w:tcBorders>
              <w:top w:val="single" w:sz="4" w:space="0" w:color="auto"/>
              <w:left w:val="single" w:sz="4" w:space="0" w:color="auto"/>
              <w:bottom w:val="single" w:sz="4" w:space="0" w:color="auto"/>
              <w:right w:val="single" w:sz="4" w:space="0" w:color="auto"/>
            </w:tcBorders>
            <w:vAlign w:val="center"/>
          </w:tcPr>
          <w:p w14:paraId="2B4DFF86"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12,120.00</w:t>
            </w:r>
          </w:p>
        </w:tc>
        <w:tc>
          <w:tcPr>
            <w:tcW w:w="547" w:type="pct"/>
            <w:tcBorders>
              <w:top w:val="single" w:sz="4" w:space="0" w:color="auto"/>
              <w:left w:val="single" w:sz="4" w:space="0" w:color="auto"/>
              <w:bottom w:val="single" w:sz="4" w:space="0" w:color="auto"/>
              <w:right w:val="single" w:sz="4" w:space="0" w:color="auto"/>
            </w:tcBorders>
            <w:vAlign w:val="center"/>
          </w:tcPr>
          <w:p w14:paraId="6A507498"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c>
          <w:tcPr>
            <w:tcW w:w="749" w:type="pct"/>
            <w:tcBorders>
              <w:top w:val="single" w:sz="4" w:space="0" w:color="auto"/>
              <w:left w:val="single" w:sz="4" w:space="0" w:color="auto"/>
              <w:bottom w:val="single" w:sz="4" w:space="0" w:color="auto"/>
              <w:right w:val="single" w:sz="4" w:space="0" w:color="auto"/>
            </w:tcBorders>
            <w:vAlign w:val="center"/>
          </w:tcPr>
          <w:p w14:paraId="2B95DEE9"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58,140.00</w:t>
            </w:r>
          </w:p>
        </w:tc>
        <w:tc>
          <w:tcPr>
            <w:tcW w:w="429" w:type="pct"/>
            <w:tcBorders>
              <w:top w:val="single" w:sz="4" w:space="0" w:color="auto"/>
              <w:left w:val="single" w:sz="4" w:space="0" w:color="auto"/>
              <w:bottom w:val="single" w:sz="4" w:space="0" w:color="auto"/>
              <w:right w:val="single" w:sz="4" w:space="0" w:color="auto"/>
            </w:tcBorders>
            <w:vAlign w:val="center"/>
          </w:tcPr>
          <w:p w14:paraId="2F955581"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53A85538" w14:textId="77777777">
        <w:trPr>
          <w:jc w:val="center"/>
        </w:trPr>
        <w:tc>
          <w:tcPr>
            <w:tcW w:w="884" w:type="pct"/>
            <w:tcBorders>
              <w:top w:val="single" w:sz="4" w:space="0" w:color="auto"/>
              <w:left w:val="single" w:sz="4" w:space="0" w:color="auto"/>
              <w:bottom w:val="single" w:sz="4" w:space="0" w:color="auto"/>
              <w:right w:val="single" w:sz="4" w:space="0" w:color="auto"/>
            </w:tcBorders>
            <w:vAlign w:val="center"/>
          </w:tcPr>
          <w:p w14:paraId="4342E2D9" w14:textId="77777777" w:rsidR="002D0AE7" w:rsidRDefault="00333EBB">
            <w:pPr>
              <w:autoSpaceDE w:val="0"/>
              <w:autoSpaceDN w:val="0"/>
              <w:adjustRightInd w:val="0"/>
              <w:rPr>
                <w:rFonts w:hint="eastAsia"/>
                <w:sz w:val="21"/>
                <w:szCs w:val="21"/>
              </w:rPr>
            </w:pPr>
            <w:r>
              <w:rPr>
                <w:rFonts w:hint="eastAsia"/>
                <w:sz w:val="21"/>
                <w:szCs w:val="21"/>
              </w:rPr>
              <w:t>应收账款</w:t>
            </w:r>
          </w:p>
        </w:tc>
        <w:tc>
          <w:tcPr>
            <w:tcW w:w="1711" w:type="pct"/>
            <w:tcBorders>
              <w:top w:val="single" w:sz="4" w:space="0" w:color="auto"/>
              <w:left w:val="single" w:sz="4" w:space="0" w:color="auto"/>
              <w:bottom w:val="single" w:sz="4" w:space="0" w:color="auto"/>
              <w:right w:val="single" w:sz="4" w:space="0" w:color="auto"/>
            </w:tcBorders>
            <w:vAlign w:val="center"/>
          </w:tcPr>
          <w:p w14:paraId="7805773F" w14:textId="77777777" w:rsidR="002D0AE7" w:rsidRDefault="00333EBB">
            <w:pPr>
              <w:autoSpaceDE w:val="0"/>
              <w:autoSpaceDN w:val="0"/>
              <w:adjustRightInd w:val="0"/>
              <w:rPr>
                <w:rFonts w:hint="eastAsia"/>
                <w:sz w:val="21"/>
                <w:szCs w:val="21"/>
              </w:rPr>
            </w:pPr>
            <w:r>
              <w:rPr>
                <w:rFonts w:hint="eastAsia"/>
                <w:sz w:val="21"/>
                <w:szCs w:val="21"/>
              </w:rPr>
              <w:t>天津中新医药有限公司</w:t>
            </w:r>
          </w:p>
        </w:tc>
        <w:tc>
          <w:tcPr>
            <w:tcW w:w="680" w:type="pct"/>
            <w:tcBorders>
              <w:top w:val="single" w:sz="4" w:space="0" w:color="auto"/>
              <w:left w:val="single" w:sz="4" w:space="0" w:color="auto"/>
              <w:bottom w:val="single" w:sz="4" w:space="0" w:color="auto"/>
              <w:right w:val="single" w:sz="4" w:space="0" w:color="auto"/>
            </w:tcBorders>
            <w:vAlign w:val="center"/>
          </w:tcPr>
          <w:p w14:paraId="04BC929E"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33,316.00</w:t>
            </w:r>
          </w:p>
        </w:tc>
        <w:tc>
          <w:tcPr>
            <w:tcW w:w="547" w:type="pct"/>
            <w:tcBorders>
              <w:top w:val="single" w:sz="4" w:space="0" w:color="auto"/>
              <w:left w:val="single" w:sz="4" w:space="0" w:color="auto"/>
              <w:bottom w:val="single" w:sz="4" w:space="0" w:color="auto"/>
              <w:right w:val="single" w:sz="4" w:space="0" w:color="auto"/>
            </w:tcBorders>
            <w:vAlign w:val="center"/>
          </w:tcPr>
          <w:p w14:paraId="51516C13"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c>
          <w:tcPr>
            <w:tcW w:w="749" w:type="pct"/>
            <w:tcBorders>
              <w:top w:val="single" w:sz="4" w:space="0" w:color="auto"/>
              <w:left w:val="single" w:sz="4" w:space="0" w:color="auto"/>
              <w:bottom w:val="single" w:sz="4" w:space="0" w:color="auto"/>
              <w:right w:val="single" w:sz="4" w:space="0" w:color="auto"/>
            </w:tcBorders>
            <w:vAlign w:val="center"/>
          </w:tcPr>
          <w:p w14:paraId="3BABE2FA"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c>
          <w:tcPr>
            <w:tcW w:w="429" w:type="pct"/>
            <w:tcBorders>
              <w:top w:val="single" w:sz="4" w:space="0" w:color="auto"/>
              <w:left w:val="single" w:sz="4" w:space="0" w:color="auto"/>
              <w:bottom w:val="single" w:sz="4" w:space="0" w:color="auto"/>
              <w:right w:val="single" w:sz="4" w:space="0" w:color="auto"/>
            </w:tcBorders>
            <w:vAlign w:val="center"/>
          </w:tcPr>
          <w:p w14:paraId="4C2F7500"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0684B9CB" w14:textId="77777777">
        <w:trPr>
          <w:jc w:val="center"/>
        </w:trPr>
        <w:tc>
          <w:tcPr>
            <w:tcW w:w="884" w:type="pct"/>
            <w:tcBorders>
              <w:top w:val="single" w:sz="4" w:space="0" w:color="auto"/>
              <w:left w:val="single" w:sz="4" w:space="0" w:color="auto"/>
              <w:bottom w:val="single" w:sz="4" w:space="0" w:color="auto"/>
              <w:right w:val="single" w:sz="4" w:space="0" w:color="auto"/>
            </w:tcBorders>
            <w:vAlign w:val="center"/>
          </w:tcPr>
          <w:p w14:paraId="7BDA2579" w14:textId="77777777" w:rsidR="002D0AE7" w:rsidRDefault="00333EBB">
            <w:pPr>
              <w:autoSpaceDE w:val="0"/>
              <w:autoSpaceDN w:val="0"/>
              <w:adjustRightInd w:val="0"/>
              <w:rPr>
                <w:rFonts w:hint="eastAsia"/>
                <w:sz w:val="21"/>
                <w:szCs w:val="21"/>
              </w:rPr>
            </w:pPr>
            <w:r>
              <w:rPr>
                <w:rFonts w:hint="eastAsia"/>
                <w:sz w:val="21"/>
                <w:szCs w:val="21"/>
              </w:rPr>
              <w:t>应收账款</w:t>
            </w:r>
          </w:p>
        </w:tc>
        <w:tc>
          <w:tcPr>
            <w:tcW w:w="1711" w:type="pct"/>
            <w:tcBorders>
              <w:top w:val="single" w:sz="4" w:space="0" w:color="auto"/>
              <w:left w:val="single" w:sz="4" w:space="0" w:color="auto"/>
              <w:bottom w:val="single" w:sz="4" w:space="0" w:color="auto"/>
              <w:right w:val="single" w:sz="4" w:space="0" w:color="auto"/>
            </w:tcBorders>
            <w:vAlign w:val="center"/>
          </w:tcPr>
          <w:p w14:paraId="7ADC94E1" w14:textId="77777777" w:rsidR="002D0AE7" w:rsidRDefault="00333EBB">
            <w:pPr>
              <w:autoSpaceDE w:val="0"/>
              <w:autoSpaceDN w:val="0"/>
              <w:adjustRightInd w:val="0"/>
              <w:rPr>
                <w:rFonts w:hint="eastAsia"/>
                <w:sz w:val="21"/>
                <w:szCs w:val="21"/>
              </w:rPr>
            </w:pPr>
            <w:r>
              <w:rPr>
                <w:rFonts w:hint="eastAsia"/>
                <w:sz w:val="21"/>
                <w:szCs w:val="21"/>
              </w:rPr>
              <w:t>天津药业研究院股份有限公司</w:t>
            </w:r>
          </w:p>
        </w:tc>
        <w:tc>
          <w:tcPr>
            <w:tcW w:w="680" w:type="pct"/>
            <w:tcBorders>
              <w:top w:val="single" w:sz="4" w:space="0" w:color="auto"/>
              <w:left w:val="single" w:sz="4" w:space="0" w:color="auto"/>
              <w:bottom w:val="single" w:sz="4" w:space="0" w:color="auto"/>
              <w:right w:val="single" w:sz="4" w:space="0" w:color="auto"/>
            </w:tcBorders>
            <w:vAlign w:val="center"/>
          </w:tcPr>
          <w:p w14:paraId="7B487ABD"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826,066.19</w:t>
            </w:r>
          </w:p>
        </w:tc>
        <w:tc>
          <w:tcPr>
            <w:tcW w:w="547" w:type="pct"/>
            <w:tcBorders>
              <w:top w:val="single" w:sz="4" w:space="0" w:color="auto"/>
              <w:left w:val="single" w:sz="4" w:space="0" w:color="auto"/>
              <w:bottom w:val="single" w:sz="4" w:space="0" w:color="auto"/>
              <w:right w:val="single" w:sz="4" w:space="0" w:color="auto"/>
            </w:tcBorders>
            <w:vAlign w:val="center"/>
          </w:tcPr>
          <w:p w14:paraId="2699A05E"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c>
          <w:tcPr>
            <w:tcW w:w="749" w:type="pct"/>
            <w:tcBorders>
              <w:top w:val="single" w:sz="4" w:space="0" w:color="auto"/>
              <w:left w:val="single" w:sz="4" w:space="0" w:color="auto"/>
              <w:bottom w:val="single" w:sz="4" w:space="0" w:color="auto"/>
              <w:right w:val="single" w:sz="4" w:space="0" w:color="auto"/>
            </w:tcBorders>
            <w:vAlign w:val="center"/>
          </w:tcPr>
          <w:p w14:paraId="6EAA0BCA"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c>
          <w:tcPr>
            <w:tcW w:w="429" w:type="pct"/>
            <w:tcBorders>
              <w:top w:val="single" w:sz="4" w:space="0" w:color="auto"/>
              <w:left w:val="single" w:sz="4" w:space="0" w:color="auto"/>
              <w:bottom w:val="single" w:sz="4" w:space="0" w:color="auto"/>
              <w:right w:val="single" w:sz="4" w:space="0" w:color="auto"/>
            </w:tcBorders>
            <w:vAlign w:val="center"/>
          </w:tcPr>
          <w:p w14:paraId="0C9335D4"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5F966453" w14:textId="77777777">
        <w:trPr>
          <w:jc w:val="center"/>
        </w:trPr>
        <w:tc>
          <w:tcPr>
            <w:tcW w:w="884" w:type="pct"/>
            <w:tcBorders>
              <w:top w:val="single" w:sz="4" w:space="0" w:color="auto"/>
              <w:left w:val="single" w:sz="4" w:space="0" w:color="auto"/>
              <w:bottom w:val="single" w:sz="4" w:space="0" w:color="auto"/>
              <w:right w:val="single" w:sz="4" w:space="0" w:color="auto"/>
            </w:tcBorders>
            <w:vAlign w:val="center"/>
          </w:tcPr>
          <w:p w14:paraId="2CD867EE" w14:textId="77777777" w:rsidR="002D0AE7" w:rsidRDefault="00333EBB">
            <w:pPr>
              <w:autoSpaceDE w:val="0"/>
              <w:autoSpaceDN w:val="0"/>
              <w:adjustRightInd w:val="0"/>
              <w:rPr>
                <w:rFonts w:hint="eastAsia"/>
                <w:sz w:val="21"/>
                <w:szCs w:val="21"/>
              </w:rPr>
            </w:pPr>
            <w:r>
              <w:rPr>
                <w:rFonts w:hint="eastAsia"/>
                <w:sz w:val="21"/>
                <w:szCs w:val="21"/>
              </w:rPr>
              <w:t>应收账款</w:t>
            </w:r>
          </w:p>
        </w:tc>
        <w:tc>
          <w:tcPr>
            <w:tcW w:w="1711" w:type="pct"/>
            <w:tcBorders>
              <w:top w:val="single" w:sz="4" w:space="0" w:color="auto"/>
              <w:left w:val="single" w:sz="4" w:space="0" w:color="auto"/>
              <w:bottom w:val="single" w:sz="4" w:space="0" w:color="auto"/>
              <w:right w:val="single" w:sz="4" w:space="0" w:color="auto"/>
            </w:tcBorders>
            <w:vAlign w:val="center"/>
          </w:tcPr>
          <w:p w14:paraId="0517DE5F" w14:textId="77777777" w:rsidR="002D0AE7" w:rsidRDefault="00333EBB">
            <w:pPr>
              <w:autoSpaceDE w:val="0"/>
              <w:autoSpaceDN w:val="0"/>
              <w:adjustRightInd w:val="0"/>
              <w:rPr>
                <w:rFonts w:hint="eastAsia"/>
                <w:sz w:val="21"/>
                <w:szCs w:val="21"/>
              </w:rPr>
            </w:pPr>
            <w:r>
              <w:rPr>
                <w:rFonts w:hint="eastAsia"/>
                <w:sz w:val="21"/>
                <w:szCs w:val="21"/>
              </w:rPr>
              <w:t>天津诺达医疗科技有限公司</w:t>
            </w:r>
          </w:p>
        </w:tc>
        <w:tc>
          <w:tcPr>
            <w:tcW w:w="680" w:type="pct"/>
            <w:tcBorders>
              <w:top w:val="single" w:sz="4" w:space="0" w:color="auto"/>
              <w:left w:val="single" w:sz="4" w:space="0" w:color="auto"/>
              <w:bottom w:val="single" w:sz="4" w:space="0" w:color="auto"/>
              <w:right w:val="single" w:sz="4" w:space="0" w:color="auto"/>
            </w:tcBorders>
            <w:vAlign w:val="center"/>
          </w:tcPr>
          <w:p w14:paraId="7FBA8BDE"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30,014.48</w:t>
            </w:r>
          </w:p>
        </w:tc>
        <w:tc>
          <w:tcPr>
            <w:tcW w:w="547" w:type="pct"/>
            <w:tcBorders>
              <w:top w:val="single" w:sz="4" w:space="0" w:color="auto"/>
              <w:left w:val="single" w:sz="4" w:space="0" w:color="auto"/>
              <w:bottom w:val="single" w:sz="4" w:space="0" w:color="auto"/>
              <w:right w:val="single" w:sz="4" w:space="0" w:color="auto"/>
            </w:tcBorders>
            <w:vAlign w:val="center"/>
          </w:tcPr>
          <w:p w14:paraId="3294CE0B"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c>
          <w:tcPr>
            <w:tcW w:w="749" w:type="pct"/>
            <w:tcBorders>
              <w:top w:val="single" w:sz="4" w:space="0" w:color="auto"/>
              <w:left w:val="single" w:sz="4" w:space="0" w:color="auto"/>
              <w:bottom w:val="single" w:sz="4" w:space="0" w:color="auto"/>
              <w:right w:val="single" w:sz="4" w:space="0" w:color="auto"/>
            </w:tcBorders>
            <w:vAlign w:val="center"/>
          </w:tcPr>
          <w:p w14:paraId="11B1425B"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c>
          <w:tcPr>
            <w:tcW w:w="429" w:type="pct"/>
            <w:tcBorders>
              <w:top w:val="single" w:sz="4" w:space="0" w:color="auto"/>
              <w:left w:val="single" w:sz="4" w:space="0" w:color="auto"/>
              <w:bottom w:val="single" w:sz="4" w:space="0" w:color="auto"/>
              <w:right w:val="single" w:sz="4" w:space="0" w:color="auto"/>
            </w:tcBorders>
            <w:vAlign w:val="center"/>
          </w:tcPr>
          <w:p w14:paraId="584B660A"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6822A2A2" w14:textId="77777777">
        <w:trPr>
          <w:jc w:val="center"/>
        </w:trPr>
        <w:tc>
          <w:tcPr>
            <w:tcW w:w="884" w:type="pct"/>
            <w:tcBorders>
              <w:top w:val="single" w:sz="4" w:space="0" w:color="auto"/>
              <w:left w:val="single" w:sz="4" w:space="0" w:color="auto"/>
              <w:bottom w:val="single" w:sz="4" w:space="0" w:color="auto"/>
              <w:right w:val="single" w:sz="4" w:space="0" w:color="auto"/>
            </w:tcBorders>
            <w:vAlign w:val="center"/>
          </w:tcPr>
          <w:p w14:paraId="2793A410" w14:textId="77777777" w:rsidR="002D0AE7" w:rsidRDefault="00333EBB">
            <w:pPr>
              <w:autoSpaceDE w:val="0"/>
              <w:autoSpaceDN w:val="0"/>
              <w:adjustRightInd w:val="0"/>
              <w:rPr>
                <w:rFonts w:hint="eastAsia"/>
                <w:sz w:val="21"/>
                <w:szCs w:val="21"/>
              </w:rPr>
            </w:pPr>
            <w:r>
              <w:rPr>
                <w:rFonts w:hint="eastAsia"/>
                <w:sz w:val="21"/>
                <w:szCs w:val="21"/>
              </w:rPr>
              <w:t>预付账款</w:t>
            </w:r>
          </w:p>
        </w:tc>
        <w:tc>
          <w:tcPr>
            <w:tcW w:w="1711" w:type="pct"/>
            <w:tcBorders>
              <w:top w:val="single" w:sz="4" w:space="0" w:color="auto"/>
              <w:left w:val="single" w:sz="4" w:space="0" w:color="auto"/>
              <w:bottom w:val="single" w:sz="4" w:space="0" w:color="auto"/>
              <w:right w:val="single" w:sz="4" w:space="0" w:color="auto"/>
            </w:tcBorders>
            <w:vAlign w:val="center"/>
          </w:tcPr>
          <w:p w14:paraId="6609C078" w14:textId="77777777" w:rsidR="002D0AE7" w:rsidRDefault="00333EBB">
            <w:pPr>
              <w:autoSpaceDE w:val="0"/>
              <w:autoSpaceDN w:val="0"/>
              <w:adjustRightInd w:val="0"/>
              <w:rPr>
                <w:rFonts w:hint="eastAsia"/>
                <w:sz w:val="21"/>
                <w:szCs w:val="21"/>
              </w:rPr>
            </w:pPr>
            <w:r>
              <w:rPr>
                <w:rFonts w:hint="eastAsia"/>
                <w:sz w:val="21"/>
                <w:szCs w:val="21"/>
              </w:rPr>
              <w:t>天津药业研究院股份有限公司</w:t>
            </w:r>
          </w:p>
        </w:tc>
        <w:tc>
          <w:tcPr>
            <w:tcW w:w="680" w:type="pct"/>
            <w:tcBorders>
              <w:top w:val="single" w:sz="4" w:space="0" w:color="auto"/>
              <w:left w:val="single" w:sz="4" w:space="0" w:color="auto"/>
              <w:bottom w:val="single" w:sz="4" w:space="0" w:color="auto"/>
              <w:right w:val="single" w:sz="4" w:space="0" w:color="auto"/>
            </w:tcBorders>
            <w:vAlign w:val="center"/>
          </w:tcPr>
          <w:p w14:paraId="1F29A073"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320,000.00</w:t>
            </w:r>
          </w:p>
        </w:tc>
        <w:tc>
          <w:tcPr>
            <w:tcW w:w="547" w:type="pct"/>
            <w:tcBorders>
              <w:top w:val="single" w:sz="4" w:space="0" w:color="auto"/>
              <w:left w:val="single" w:sz="4" w:space="0" w:color="auto"/>
              <w:bottom w:val="single" w:sz="4" w:space="0" w:color="auto"/>
              <w:right w:val="single" w:sz="4" w:space="0" w:color="auto"/>
            </w:tcBorders>
            <w:vAlign w:val="center"/>
          </w:tcPr>
          <w:p w14:paraId="1AFD21FD"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c>
          <w:tcPr>
            <w:tcW w:w="749" w:type="pct"/>
            <w:tcBorders>
              <w:top w:val="single" w:sz="4" w:space="0" w:color="auto"/>
              <w:left w:val="single" w:sz="4" w:space="0" w:color="auto"/>
              <w:bottom w:val="single" w:sz="4" w:space="0" w:color="auto"/>
              <w:right w:val="single" w:sz="4" w:space="0" w:color="auto"/>
            </w:tcBorders>
            <w:vAlign w:val="center"/>
          </w:tcPr>
          <w:p w14:paraId="7C0DA1F3"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2,880,000.00</w:t>
            </w:r>
          </w:p>
        </w:tc>
        <w:tc>
          <w:tcPr>
            <w:tcW w:w="429" w:type="pct"/>
            <w:tcBorders>
              <w:top w:val="single" w:sz="4" w:space="0" w:color="auto"/>
              <w:left w:val="single" w:sz="4" w:space="0" w:color="auto"/>
              <w:bottom w:val="single" w:sz="4" w:space="0" w:color="auto"/>
              <w:right w:val="single" w:sz="4" w:space="0" w:color="auto"/>
            </w:tcBorders>
            <w:vAlign w:val="center"/>
          </w:tcPr>
          <w:p w14:paraId="320AEC93"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3CB5D7F5" w14:textId="77777777">
        <w:trPr>
          <w:jc w:val="center"/>
        </w:trPr>
        <w:tc>
          <w:tcPr>
            <w:tcW w:w="884" w:type="pct"/>
            <w:tcBorders>
              <w:top w:val="single" w:sz="4" w:space="0" w:color="auto"/>
              <w:left w:val="single" w:sz="4" w:space="0" w:color="auto"/>
              <w:bottom w:val="single" w:sz="4" w:space="0" w:color="auto"/>
              <w:right w:val="single" w:sz="4" w:space="0" w:color="auto"/>
            </w:tcBorders>
            <w:vAlign w:val="center"/>
          </w:tcPr>
          <w:p w14:paraId="13C61BE3" w14:textId="77777777" w:rsidR="002D0AE7" w:rsidRDefault="00333EBB">
            <w:pPr>
              <w:autoSpaceDE w:val="0"/>
              <w:autoSpaceDN w:val="0"/>
              <w:adjustRightInd w:val="0"/>
              <w:rPr>
                <w:rFonts w:hint="eastAsia"/>
                <w:sz w:val="21"/>
                <w:szCs w:val="21"/>
              </w:rPr>
            </w:pPr>
            <w:r>
              <w:rPr>
                <w:rFonts w:hint="eastAsia"/>
                <w:sz w:val="21"/>
                <w:szCs w:val="21"/>
              </w:rPr>
              <w:t>预付账款</w:t>
            </w:r>
          </w:p>
        </w:tc>
        <w:tc>
          <w:tcPr>
            <w:tcW w:w="1711" w:type="pct"/>
            <w:tcBorders>
              <w:top w:val="single" w:sz="4" w:space="0" w:color="auto"/>
              <w:left w:val="single" w:sz="4" w:space="0" w:color="auto"/>
              <w:bottom w:val="single" w:sz="4" w:space="0" w:color="auto"/>
              <w:right w:val="single" w:sz="4" w:space="0" w:color="auto"/>
            </w:tcBorders>
            <w:vAlign w:val="center"/>
          </w:tcPr>
          <w:p w14:paraId="322890AF" w14:textId="77777777" w:rsidR="002D0AE7" w:rsidRDefault="00333EBB">
            <w:pPr>
              <w:autoSpaceDE w:val="0"/>
              <w:autoSpaceDN w:val="0"/>
              <w:adjustRightInd w:val="0"/>
              <w:rPr>
                <w:rFonts w:hint="eastAsia"/>
                <w:sz w:val="21"/>
                <w:szCs w:val="21"/>
              </w:rPr>
            </w:pPr>
            <w:r>
              <w:rPr>
                <w:rFonts w:hint="eastAsia"/>
                <w:sz w:val="21"/>
                <w:szCs w:val="21"/>
              </w:rPr>
              <w:t>北京华众恩康医药技术有限公司</w:t>
            </w:r>
          </w:p>
        </w:tc>
        <w:tc>
          <w:tcPr>
            <w:tcW w:w="680" w:type="pct"/>
            <w:tcBorders>
              <w:top w:val="single" w:sz="4" w:space="0" w:color="auto"/>
              <w:left w:val="single" w:sz="4" w:space="0" w:color="auto"/>
              <w:bottom w:val="single" w:sz="4" w:space="0" w:color="auto"/>
              <w:right w:val="single" w:sz="4" w:space="0" w:color="auto"/>
            </w:tcBorders>
            <w:vAlign w:val="center"/>
          </w:tcPr>
          <w:p w14:paraId="59434C69"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684,000.00</w:t>
            </w:r>
          </w:p>
        </w:tc>
        <w:tc>
          <w:tcPr>
            <w:tcW w:w="547" w:type="pct"/>
            <w:tcBorders>
              <w:top w:val="single" w:sz="4" w:space="0" w:color="auto"/>
              <w:left w:val="single" w:sz="4" w:space="0" w:color="auto"/>
              <w:bottom w:val="single" w:sz="4" w:space="0" w:color="auto"/>
              <w:right w:val="single" w:sz="4" w:space="0" w:color="auto"/>
            </w:tcBorders>
            <w:vAlign w:val="center"/>
          </w:tcPr>
          <w:p w14:paraId="05D732E3"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c>
          <w:tcPr>
            <w:tcW w:w="749" w:type="pct"/>
            <w:tcBorders>
              <w:top w:val="single" w:sz="4" w:space="0" w:color="auto"/>
              <w:left w:val="single" w:sz="4" w:space="0" w:color="auto"/>
              <w:bottom w:val="single" w:sz="4" w:space="0" w:color="auto"/>
              <w:right w:val="single" w:sz="4" w:space="0" w:color="auto"/>
            </w:tcBorders>
            <w:vAlign w:val="center"/>
          </w:tcPr>
          <w:p w14:paraId="2BC7E0AB"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c>
          <w:tcPr>
            <w:tcW w:w="429" w:type="pct"/>
            <w:tcBorders>
              <w:top w:val="single" w:sz="4" w:space="0" w:color="auto"/>
              <w:left w:val="single" w:sz="4" w:space="0" w:color="auto"/>
              <w:bottom w:val="single" w:sz="4" w:space="0" w:color="auto"/>
              <w:right w:val="single" w:sz="4" w:space="0" w:color="auto"/>
            </w:tcBorders>
            <w:vAlign w:val="center"/>
          </w:tcPr>
          <w:p w14:paraId="2E02CE6C"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2E612B45" w14:textId="77777777">
        <w:trPr>
          <w:jc w:val="center"/>
        </w:trPr>
        <w:tc>
          <w:tcPr>
            <w:tcW w:w="884" w:type="pct"/>
            <w:tcBorders>
              <w:top w:val="single" w:sz="4" w:space="0" w:color="auto"/>
              <w:left w:val="single" w:sz="4" w:space="0" w:color="auto"/>
              <w:bottom w:val="single" w:sz="4" w:space="0" w:color="auto"/>
              <w:right w:val="single" w:sz="4" w:space="0" w:color="auto"/>
            </w:tcBorders>
            <w:vAlign w:val="center"/>
          </w:tcPr>
          <w:p w14:paraId="272A99DD" w14:textId="77777777" w:rsidR="002D0AE7" w:rsidRDefault="00333EBB">
            <w:pPr>
              <w:autoSpaceDE w:val="0"/>
              <w:autoSpaceDN w:val="0"/>
              <w:adjustRightInd w:val="0"/>
              <w:rPr>
                <w:rFonts w:hint="eastAsia"/>
                <w:sz w:val="21"/>
                <w:szCs w:val="21"/>
              </w:rPr>
            </w:pPr>
            <w:r>
              <w:rPr>
                <w:rFonts w:hint="eastAsia"/>
                <w:sz w:val="21"/>
                <w:szCs w:val="21"/>
              </w:rPr>
              <w:t>其他应收款</w:t>
            </w:r>
          </w:p>
        </w:tc>
        <w:tc>
          <w:tcPr>
            <w:tcW w:w="1711" w:type="pct"/>
            <w:tcBorders>
              <w:top w:val="single" w:sz="4" w:space="0" w:color="auto"/>
              <w:left w:val="single" w:sz="4" w:space="0" w:color="auto"/>
              <w:bottom w:val="single" w:sz="4" w:space="0" w:color="auto"/>
              <w:right w:val="single" w:sz="4" w:space="0" w:color="auto"/>
            </w:tcBorders>
            <w:vAlign w:val="center"/>
          </w:tcPr>
          <w:p w14:paraId="285D6E2E" w14:textId="77777777" w:rsidR="002D0AE7" w:rsidRDefault="00333EBB">
            <w:pPr>
              <w:autoSpaceDE w:val="0"/>
              <w:autoSpaceDN w:val="0"/>
              <w:adjustRightInd w:val="0"/>
              <w:rPr>
                <w:rFonts w:hint="eastAsia"/>
                <w:sz w:val="21"/>
                <w:szCs w:val="21"/>
              </w:rPr>
            </w:pPr>
            <w:r>
              <w:rPr>
                <w:rFonts w:hint="eastAsia"/>
                <w:sz w:val="21"/>
                <w:szCs w:val="21"/>
              </w:rPr>
              <w:t>津药永光（河北）制药有限公司</w:t>
            </w:r>
          </w:p>
        </w:tc>
        <w:tc>
          <w:tcPr>
            <w:tcW w:w="680" w:type="pct"/>
            <w:tcBorders>
              <w:top w:val="single" w:sz="4" w:space="0" w:color="auto"/>
              <w:left w:val="single" w:sz="4" w:space="0" w:color="auto"/>
              <w:bottom w:val="single" w:sz="4" w:space="0" w:color="auto"/>
              <w:right w:val="single" w:sz="4" w:space="0" w:color="auto"/>
            </w:tcBorders>
            <w:vAlign w:val="center"/>
          </w:tcPr>
          <w:p w14:paraId="2358ABB6"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1,990,000.00</w:t>
            </w:r>
          </w:p>
        </w:tc>
        <w:tc>
          <w:tcPr>
            <w:tcW w:w="547" w:type="pct"/>
            <w:tcBorders>
              <w:top w:val="single" w:sz="4" w:space="0" w:color="auto"/>
              <w:left w:val="single" w:sz="4" w:space="0" w:color="auto"/>
              <w:bottom w:val="single" w:sz="4" w:space="0" w:color="auto"/>
              <w:right w:val="single" w:sz="4" w:space="0" w:color="auto"/>
            </w:tcBorders>
            <w:vAlign w:val="center"/>
          </w:tcPr>
          <w:p w14:paraId="1BC02628"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9,950.00</w:t>
            </w:r>
          </w:p>
        </w:tc>
        <w:tc>
          <w:tcPr>
            <w:tcW w:w="749" w:type="pct"/>
            <w:tcBorders>
              <w:top w:val="single" w:sz="4" w:space="0" w:color="auto"/>
              <w:left w:val="single" w:sz="4" w:space="0" w:color="auto"/>
              <w:bottom w:val="single" w:sz="4" w:space="0" w:color="auto"/>
              <w:right w:val="single" w:sz="4" w:space="0" w:color="auto"/>
            </w:tcBorders>
            <w:vAlign w:val="center"/>
          </w:tcPr>
          <w:p w14:paraId="3584997C"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1,990,000.00</w:t>
            </w:r>
          </w:p>
        </w:tc>
        <w:tc>
          <w:tcPr>
            <w:tcW w:w="429" w:type="pct"/>
            <w:tcBorders>
              <w:top w:val="single" w:sz="4" w:space="0" w:color="auto"/>
              <w:left w:val="single" w:sz="4" w:space="0" w:color="auto"/>
              <w:bottom w:val="single" w:sz="4" w:space="0" w:color="auto"/>
              <w:right w:val="single" w:sz="4" w:space="0" w:color="auto"/>
            </w:tcBorders>
            <w:vAlign w:val="center"/>
          </w:tcPr>
          <w:p w14:paraId="3B00F26E"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0F53974C" w14:textId="77777777">
        <w:trPr>
          <w:jc w:val="center"/>
        </w:trPr>
        <w:tc>
          <w:tcPr>
            <w:tcW w:w="884" w:type="pct"/>
            <w:tcBorders>
              <w:top w:val="single" w:sz="4" w:space="0" w:color="auto"/>
              <w:left w:val="single" w:sz="4" w:space="0" w:color="auto"/>
              <w:bottom w:val="single" w:sz="4" w:space="0" w:color="auto"/>
              <w:right w:val="single" w:sz="4" w:space="0" w:color="auto"/>
            </w:tcBorders>
            <w:vAlign w:val="center"/>
          </w:tcPr>
          <w:p w14:paraId="60C5D094" w14:textId="77777777" w:rsidR="002D0AE7" w:rsidRDefault="00333EBB">
            <w:pPr>
              <w:autoSpaceDE w:val="0"/>
              <w:autoSpaceDN w:val="0"/>
              <w:adjustRightInd w:val="0"/>
              <w:rPr>
                <w:rFonts w:hint="eastAsia"/>
                <w:sz w:val="21"/>
                <w:szCs w:val="21"/>
              </w:rPr>
            </w:pPr>
            <w:r>
              <w:rPr>
                <w:rFonts w:hint="eastAsia"/>
                <w:sz w:val="21"/>
                <w:szCs w:val="21"/>
              </w:rPr>
              <w:t>其他应收款</w:t>
            </w:r>
          </w:p>
        </w:tc>
        <w:tc>
          <w:tcPr>
            <w:tcW w:w="1711" w:type="pct"/>
            <w:tcBorders>
              <w:top w:val="single" w:sz="4" w:space="0" w:color="auto"/>
              <w:left w:val="single" w:sz="4" w:space="0" w:color="auto"/>
              <w:bottom w:val="single" w:sz="4" w:space="0" w:color="auto"/>
              <w:right w:val="single" w:sz="4" w:space="0" w:color="auto"/>
            </w:tcBorders>
            <w:vAlign w:val="center"/>
          </w:tcPr>
          <w:p w14:paraId="1FDFA7CB" w14:textId="77777777" w:rsidR="002D0AE7" w:rsidRDefault="00333EBB">
            <w:pPr>
              <w:autoSpaceDE w:val="0"/>
              <w:autoSpaceDN w:val="0"/>
              <w:adjustRightInd w:val="0"/>
              <w:rPr>
                <w:rFonts w:hint="eastAsia"/>
                <w:sz w:val="21"/>
                <w:szCs w:val="21"/>
              </w:rPr>
            </w:pPr>
            <w:r>
              <w:rPr>
                <w:rFonts w:hint="eastAsia"/>
                <w:sz w:val="21"/>
                <w:szCs w:val="21"/>
              </w:rPr>
              <w:t>天津药业集团有限公司</w:t>
            </w:r>
          </w:p>
        </w:tc>
        <w:tc>
          <w:tcPr>
            <w:tcW w:w="680" w:type="pct"/>
            <w:tcBorders>
              <w:top w:val="single" w:sz="4" w:space="0" w:color="auto"/>
              <w:left w:val="single" w:sz="4" w:space="0" w:color="auto"/>
              <w:bottom w:val="single" w:sz="4" w:space="0" w:color="auto"/>
              <w:right w:val="single" w:sz="4" w:space="0" w:color="auto"/>
            </w:tcBorders>
            <w:vAlign w:val="center"/>
          </w:tcPr>
          <w:p w14:paraId="6234CB0B"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419,057.72</w:t>
            </w:r>
          </w:p>
        </w:tc>
        <w:tc>
          <w:tcPr>
            <w:tcW w:w="547" w:type="pct"/>
            <w:tcBorders>
              <w:top w:val="single" w:sz="4" w:space="0" w:color="auto"/>
              <w:left w:val="single" w:sz="4" w:space="0" w:color="auto"/>
              <w:bottom w:val="single" w:sz="4" w:space="0" w:color="auto"/>
              <w:right w:val="single" w:sz="4" w:space="0" w:color="auto"/>
            </w:tcBorders>
            <w:vAlign w:val="center"/>
          </w:tcPr>
          <w:p w14:paraId="1E5E5CF5"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1,571.81</w:t>
            </w:r>
          </w:p>
        </w:tc>
        <w:tc>
          <w:tcPr>
            <w:tcW w:w="749" w:type="pct"/>
            <w:tcBorders>
              <w:top w:val="single" w:sz="4" w:space="0" w:color="auto"/>
              <w:left w:val="single" w:sz="4" w:space="0" w:color="auto"/>
              <w:bottom w:val="single" w:sz="4" w:space="0" w:color="auto"/>
              <w:right w:val="single" w:sz="4" w:space="0" w:color="auto"/>
            </w:tcBorders>
            <w:vAlign w:val="center"/>
          </w:tcPr>
          <w:p w14:paraId="2520F56D"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17,950.00</w:t>
            </w:r>
          </w:p>
        </w:tc>
        <w:tc>
          <w:tcPr>
            <w:tcW w:w="429" w:type="pct"/>
            <w:tcBorders>
              <w:top w:val="single" w:sz="4" w:space="0" w:color="auto"/>
              <w:left w:val="single" w:sz="4" w:space="0" w:color="auto"/>
              <w:bottom w:val="single" w:sz="4" w:space="0" w:color="auto"/>
              <w:right w:val="single" w:sz="4" w:space="0" w:color="auto"/>
            </w:tcBorders>
            <w:vAlign w:val="center"/>
          </w:tcPr>
          <w:p w14:paraId="7C7428F1"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1817DE99" w14:textId="77777777">
        <w:trPr>
          <w:jc w:val="center"/>
        </w:trPr>
        <w:tc>
          <w:tcPr>
            <w:tcW w:w="884" w:type="pct"/>
            <w:tcBorders>
              <w:top w:val="single" w:sz="4" w:space="0" w:color="auto"/>
              <w:left w:val="single" w:sz="4" w:space="0" w:color="auto"/>
              <w:bottom w:val="single" w:sz="4" w:space="0" w:color="auto"/>
              <w:right w:val="single" w:sz="4" w:space="0" w:color="auto"/>
            </w:tcBorders>
            <w:vAlign w:val="center"/>
          </w:tcPr>
          <w:p w14:paraId="14DFE7E6" w14:textId="77777777" w:rsidR="002D0AE7" w:rsidRDefault="00333EBB">
            <w:pPr>
              <w:autoSpaceDE w:val="0"/>
              <w:autoSpaceDN w:val="0"/>
              <w:adjustRightInd w:val="0"/>
              <w:rPr>
                <w:rFonts w:hint="eastAsia"/>
                <w:sz w:val="21"/>
                <w:szCs w:val="21"/>
              </w:rPr>
            </w:pPr>
            <w:r>
              <w:rPr>
                <w:rFonts w:hint="eastAsia"/>
                <w:sz w:val="21"/>
                <w:szCs w:val="21"/>
              </w:rPr>
              <w:t>其他流动资产</w:t>
            </w:r>
          </w:p>
        </w:tc>
        <w:tc>
          <w:tcPr>
            <w:tcW w:w="1711" w:type="pct"/>
            <w:tcBorders>
              <w:top w:val="single" w:sz="4" w:space="0" w:color="auto"/>
              <w:left w:val="single" w:sz="4" w:space="0" w:color="auto"/>
              <w:bottom w:val="single" w:sz="4" w:space="0" w:color="auto"/>
              <w:right w:val="single" w:sz="4" w:space="0" w:color="auto"/>
            </w:tcBorders>
            <w:vAlign w:val="center"/>
          </w:tcPr>
          <w:p w14:paraId="6CD01940" w14:textId="77777777" w:rsidR="002D0AE7" w:rsidRDefault="00333EBB">
            <w:pPr>
              <w:autoSpaceDE w:val="0"/>
              <w:autoSpaceDN w:val="0"/>
              <w:adjustRightInd w:val="0"/>
              <w:rPr>
                <w:rFonts w:hint="eastAsia"/>
                <w:sz w:val="21"/>
                <w:szCs w:val="21"/>
              </w:rPr>
            </w:pPr>
            <w:r>
              <w:rPr>
                <w:rFonts w:hint="eastAsia"/>
                <w:sz w:val="21"/>
                <w:szCs w:val="21"/>
              </w:rPr>
              <w:t>天津医药集团财务有限公司</w:t>
            </w:r>
          </w:p>
        </w:tc>
        <w:tc>
          <w:tcPr>
            <w:tcW w:w="680" w:type="pct"/>
            <w:tcBorders>
              <w:top w:val="single" w:sz="4" w:space="0" w:color="auto"/>
              <w:left w:val="single" w:sz="4" w:space="0" w:color="auto"/>
              <w:bottom w:val="single" w:sz="4" w:space="0" w:color="auto"/>
              <w:right w:val="single" w:sz="4" w:space="0" w:color="auto"/>
            </w:tcBorders>
            <w:vAlign w:val="center"/>
          </w:tcPr>
          <w:p w14:paraId="06659D05"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946,797.90</w:t>
            </w:r>
          </w:p>
        </w:tc>
        <w:tc>
          <w:tcPr>
            <w:tcW w:w="547" w:type="pct"/>
            <w:tcBorders>
              <w:top w:val="single" w:sz="4" w:space="0" w:color="auto"/>
              <w:left w:val="single" w:sz="4" w:space="0" w:color="auto"/>
              <w:bottom w:val="single" w:sz="4" w:space="0" w:color="auto"/>
              <w:right w:val="single" w:sz="4" w:space="0" w:color="auto"/>
            </w:tcBorders>
            <w:vAlign w:val="center"/>
          </w:tcPr>
          <w:p w14:paraId="03458A88"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c>
          <w:tcPr>
            <w:tcW w:w="749" w:type="pct"/>
            <w:tcBorders>
              <w:top w:val="single" w:sz="4" w:space="0" w:color="auto"/>
              <w:left w:val="single" w:sz="4" w:space="0" w:color="auto"/>
              <w:bottom w:val="single" w:sz="4" w:space="0" w:color="auto"/>
              <w:right w:val="single" w:sz="4" w:space="0" w:color="auto"/>
            </w:tcBorders>
            <w:vAlign w:val="center"/>
          </w:tcPr>
          <w:p w14:paraId="1DE04259"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1,384,228.21</w:t>
            </w:r>
          </w:p>
        </w:tc>
        <w:tc>
          <w:tcPr>
            <w:tcW w:w="429" w:type="pct"/>
            <w:tcBorders>
              <w:top w:val="single" w:sz="4" w:space="0" w:color="auto"/>
              <w:left w:val="single" w:sz="4" w:space="0" w:color="auto"/>
              <w:bottom w:val="single" w:sz="4" w:space="0" w:color="auto"/>
              <w:right w:val="single" w:sz="4" w:space="0" w:color="auto"/>
            </w:tcBorders>
            <w:vAlign w:val="center"/>
          </w:tcPr>
          <w:p w14:paraId="3F5E19FD"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35278590" w14:textId="77777777">
        <w:trPr>
          <w:jc w:val="center"/>
        </w:trPr>
        <w:tc>
          <w:tcPr>
            <w:tcW w:w="884" w:type="pct"/>
            <w:tcBorders>
              <w:top w:val="single" w:sz="4" w:space="0" w:color="auto"/>
              <w:left w:val="single" w:sz="4" w:space="0" w:color="auto"/>
              <w:bottom w:val="single" w:sz="4" w:space="0" w:color="auto"/>
              <w:right w:val="single" w:sz="4" w:space="0" w:color="auto"/>
            </w:tcBorders>
            <w:vAlign w:val="center"/>
          </w:tcPr>
          <w:p w14:paraId="66C34555" w14:textId="77777777" w:rsidR="002D0AE7" w:rsidRDefault="00333EBB">
            <w:pPr>
              <w:autoSpaceDE w:val="0"/>
              <w:autoSpaceDN w:val="0"/>
              <w:adjustRightInd w:val="0"/>
              <w:rPr>
                <w:rFonts w:hint="eastAsia"/>
                <w:sz w:val="21"/>
                <w:szCs w:val="21"/>
              </w:rPr>
            </w:pPr>
            <w:r>
              <w:rPr>
                <w:rFonts w:hint="eastAsia"/>
                <w:sz w:val="21"/>
                <w:szCs w:val="21"/>
              </w:rPr>
              <w:t>其他非流动资产</w:t>
            </w:r>
          </w:p>
        </w:tc>
        <w:tc>
          <w:tcPr>
            <w:tcW w:w="1711" w:type="pct"/>
            <w:tcBorders>
              <w:top w:val="single" w:sz="4" w:space="0" w:color="auto"/>
              <w:left w:val="single" w:sz="4" w:space="0" w:color="auto"/>
              <w:bottom w:val="single" w:sz="4" w:space="0" w:color="auto"/>
              <w:right w:val="single" w:sz="4" w:space="0" w:color="auto"/>
            </w:tcBorders>
            <w:vAlign w:val="center"/>
          </w:tcPr>
          <w:p w14:paraId="6C47BF18" w14:textId="77777777" w:rsidR="002D0AE7" w:rsidRDefault="00333EBB">
            <w:pPr>
              <w:autoSpaceDE w:val="0"/>
              <w:autoSpaceDN w:val="0"/>
              <w:adjustRightInd w:val="0"/>
              <w:rPr>
                <w:rFonts w:hint="eastAsia"/>
                <w:sz w:val="21"/>
                <w:szCs w:val="21"/>
              </w:rPr>
            </w:pPr>
            <w:r>
              <w:rPr>
                <w:rFonts w:hint="eastAsia"/>
                <w:sz w:val="21"/>
                <w:szCs w:val="21"/>
              </w:rPr>
              <w:t>天津药业研究院股份有限公司</w:t>
            </w:r>
          </w:p>
        </w:tc>
        <w:tc>
          <w:tcPr>
            <w:tcW w:w="680" w:type="pct"/>
            <w:tcBorders>
              <w:top w:val="single" w:sz="4" w:space="0" w:color="auto"/>
              <w:left w:val="single" w:sz="4" w:space="0" w:color="auto"/>
              <w:bottom w:val="single" w:sz="4" w:space="0" w:color="auto"/>
              <w:right w:val="single" w:sz="4" w:space="0" w:color="auto"/>
            </w:tcBorders>
            <w:vAlign w:val="center"/>
          </w:tcPr>
          <w:p w14:paraId="177AE72B"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166,546,302.58</w:t>
            </w:r>
          </w:p>
        </w:tc>
        <w:tc>
          <w:tcPr>
            <w:tcW w:w="547" w:type="pct"/>
            <w:tcBorders>
              <w:top w:val="single" w:sz="4" w:space="0" w:color="auto"/>
              <w:left w:val="single" w:sz="4" w:space="0" w:color="auto"/>
              <w:bottom w:val="single" w:sz="4" w:space="0" w:color="auto"/>
              <w:right w:val="single" w:sz="4" w:space="0" w:color="auto"/>
            </w:tcBorders>
            <w:vAlign w:val="center"/>
          </w:tcPr>
          <w:p w14:paraId="61032261"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c>
          <w:tcPr>
            <w:tcW w:w="749" w:type="pct"/>
            <w:tcBorders>
              <w:top w:val="single" w:sz="4" w:space="0" w:color="auto"/>
              <w:left w:val="single" w:sz="4" w:space="0" w:color="auto"/>
              <w:bottom w:val="single" w:sz="4" w:space="0" w:color="auto"/>
              <w:right w:val="single" w:sz="4" w:space="0" w:color="auto"/>
            </w:tcBorders>
            <w:vAlign w:val="center"/>
          </w:tcPr>
          <w:p w14:paraId="504AC133"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167,278,974.01</w:t>
            </w:r>
          </w:p>
        </w:tc>
        <w:tc>
          <w:tcPr>
            <w:tcW w:w="429" w:type="pct"/>
            <w:tcBorders>
              <w:top w:val="single" w:sz="4" w:space="0" w:color="auto"/>
              <w:left w:val="single" w:sz="4" w:space="0" w:color="auto"/>
              <w:bottom w:val="single" w:sz="4" w:space="0" w:color="auto"/>
              <w:right w:val="single" w:sz="4" w:space="0" w:color="auto"/>
            </w:tcBorders>
            <w:vAlign w:val="center"/>
          </w:tcPr>
          <w:p w14:paraId="5EE292D3"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59F57596" w14:textId="77777777">
        <w:trPr>
          <w:jc w:val="center"/>
        </w:trPr>
        <w:tc>
          <w:tcPr>
            <w:tcW w:w="884" w:type="pct"/>
            <w:tcBorders>
              <w:top w:val="single" w:sz="4" w:space="0" w:color="auto"/>
              <w:left w:val="single" w:sz="4" w:space="0" w:color="auto"/>
              <w:bottom w:val="single" w:sz="4" w:space="0" w:color="auto"/>
              <w:right w:val="single" w:sz="4" w:space="0" w:color="auto"/>
            </w:tcBorders>
            <w:vAlign w:val="center"/>
          </w:tcPr>
          <w:p w14:paraId="483BC825" w14:textId="77777777" w:rsidR="002D0AE7" w:rsidRDefault="00333EBB">
            <w:pPr>
              <w:autoSpaceDE w:val="0"/>
              <w:autoSpaceDN w:val="0"/>
              <w:adjustRightInd w:val="0"/>
              <w:rPr>
                <w:rFonts w:hint="eastAsia"/>
                <w:sz w:val="21"/>
                <w:szCs w:val="21"/>
              </w:rPr>
            </w:pPr>
            <w:r>
              <w:rPr>
                <w:rFonts w:hint="eastAsia"/>
                <w:sz w:val="21"/>
                <w:szCs w:val="21"/>
              </w:rPr>
              <w:t>其他非流动资产</w:t>
            </w:r>
          </w:p>
        </w:tc>
        <w:tc>
          <w:tcPr>
            <w:tcW w:w="1711" w:type="pct"/>
            <w:tcBorders>
              <w:top w:val="single" w:sz="4" w:space="0" w:color="auto"/>
              <w:left w:val="single" w:sz="4" w:space="0" w:color="auto"/>
              <w:bottom w:val="single" w:sz="4" w:space="0" w:color="auto"/>
              <w:right w:val="single" w:sz="4" w:space="0" w:color="auto"/>
            </w:tcBorders>
            <w:vAlign w:val="center"/>
          </w:tcPr>
          <w:p w14:paraId="3879FD52" w14:textId="77777777" w:rsidR="002D0AE7" w:rsidRDefault="00333EBB">
            <w:pPr>
              <w:autoSpaceDE w:val="0"/>
              <w:autoSpaceDN w:val="0"/>
              <w:adjustRightInd w:val="0"/>
              <w:rPr>
                <w:rFonts w:hint="eastAsia"/>
                <w:sz w:val="21"/>
                <w:szCs w:val="21"/>
              </w:rPr>
            </w:pPr>
            <w:r>
              <w:rPr>
                <w:rFonts w:hint="eastAsia"/>
                <w:sz w:val="21"/>
                <w:szCs w:val="21"/>
              </w:rPr>
              <w:t>北京华众恩康医药技术有限公司</w:t>
            </w:r>
          </w:p>
        </w:tc>
        <w:tc>
          <w:tcPr>
            <w:tcW w:w="680" w:type="pct"/>
            <w:tcBorders>
              <w:top w:val="single" w:sz="4" w:space="0" w:color="auto"/>
              <w:left w:val="single" w:sz="4" w:space="0" w:color="auto"/>
              <w:bottom w:val="single" w:sz="4" w:space="0" w:color="auto"/>
              <w:right w:val="single" w:sz="4" w:space="0" w:color="auto"/>
            </w:tcBorders>
            <w:vAlign w:val="center"/>
          </w:tcPr>
          <w:p w14:paraId="3AF81060"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19,640,000.00</w:t>
            </w:r>
          </w:p>
        </w:tc>
        <w:tc>
          <w:tcPr>
            <w:tcW w:w="547" w:type="pct"/>
            <w:tcBorders>
              <w:top w:val="single" w:sz="4" w:space="0" w:color="auto"/>
              <w:left w:val="single" w:sz="4" w:space="0" w:color="auto"/>
              <w:bottom w:val="single" w:sz="4" w:space="0" w:color="auto"/>
              <w:right w:val="single" w:sz="4" w:space="0" w:color="auto"/>
            </w:tcBorders>
            <w:vAlign w:val="center"/>
          </w:tcPr>
          <w:p w14:paraId="599907B1"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c>
          <w:tcPr>
            <w:tcW w:w="749" w:type="pct"/>
            <w:tcBorders>
              <w:top w:val="single" w:sz="4" w:space="0" w:color="auto"/>
              <w:left w:val="single" w:sz="4" w:space="0" w:color="auto"/>
              <w:bottom w:val="single" w:sz="4" w:space="0" w:color="auto"/>
              <w:right w:val="single" w:sz="4" w:space="0" w:color="auto"/>
            </w:tcBorders>
            <w:vAlign w:val="center"/>
          </w:tcPr>
          <w:p w14:paraId="5EC902D1"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22,340,000.00</w:t>
            </w:r>
          </w:p>
        </w:tc>
        <w:tc>
          <w:tcPr>
            <w:tcW w:w="429" w:type="pct"/>
            <w:tcBorders>
              <w:top w:val="single" w:sz="4" w:space="0" w:color="auto"/>
              <w:left w:val="single" w:sz="4" w:space="0" w:color="auto"/>
              <w:bottom w:val="single" w:sz="4" w:space="0" w:color="auto"/>
              <w:right w:val="single" w:sz="4" w:space="0" w:color="auto"/>
            </w:tcBorders>
            <w:vAlign w:val="center"/>
          </w:tcPr>
          <w:p w14:paraId="607DECE2"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6CFC353E" w14:textId="77777777">
        <w:trPr>
          <w:jc w:val="center"/>
        </w:trPr>
        <w:tc>
          <w:tcPr>
            <w:tcW w:w="884" w:type="pct"/>
            <w:tcBorders>
              <w:top w:val="single" w:sz="4" w:space="0" w:color="auto"/>
              <w:left w:val="single" w:sz="4" w:space="0" w:color="auto"/>
              <w:bottom w:val="single" w:sz="4" w:space="0" w:color="auto"/>
              <w:right w:val="single" w:sz="4" w:space="0" w:color="auto"/>
            </w:tcBorders>
            <w:vAlign w:val="center"/>
          </w:tcPr>
          <w:p w14:paraId="38ACF361" w14:textId="77777777" w:rsidR="002D0AE7" w:rsidRDefault="00333EBB">
            <w:pPr>
              <w:autoSpaceDE w:val="0"/>
              <w:autoSpaceDN w:val="0"/>
              <w:adjustRightInd w:val="0"/>
              <w:rPr>
                <w:rFonts w:hint="eastAsia"/>
                <w:sz w:val="21"/>
                <w:szCs w:val="21"/>
              </w:rPr>
            </w:pPr>
            <w:r>
              <w:rPr>
                <w:rFonts w:hint="eastAsia"/>
                <w:sz w:val="21"/>
                <w:szCs w:val="21"/>
              </w:rPr>
              <w:t>其他非流动资产</w:t>
            </w:r>
          </w:p>
        </w:tc>
        <w:tc>
          <w:tcPr>
            <w:tcW w:w="1711" w:type="pct"/>
            <w:tcBorders>
              <w:top w:val="single" w:sz="4" w:space="0" w:color="auto"/>
              <w:left w:val="single" w:sz="4" w:space="0" w:color="auto"/>
              <w:bottom w:val="single" w:sz="4" w:space="0" w:color="auto"/>
              <w:right w:val="single" w:sz="4" w:space="0" w:color="auto"/>
            </w:tcBorders>
            <w:vAlign w:val="center"/>
          </w:tcPr>
          <w:p w14:paraId="5E019BB1" w14:textId="77777777" w:rsidR="002D0AE7" w:rsidRDefault="00333EBB">
            <w:pPr>
              <w:autoSpaceDE w:val="0"/>
              <w:autoSpaceDN w:val="0"/>
              <w:adjustRightInd w:val="0"/>
              <w:rPr>
                <w:rFonts w:hint="eastAsia"/>
                <w:sz w:val="21"/>
                <w:szCs w:val="21"/>
              </w:rPr>
            </w:pPr>
            <w:r>
              <w:rPr>
                <w:rFonts w:hint="eastAsia"/>
                <w:sz w:val="21"/>
                <w:szCs w:val="21"/>
              </w:rPr>
              <w:t>天津市医药集团技术发展有限公司</w:t>
            </w:r>
          </w:p>
        </w:tc>
        <w:tc>
          <w:tcPr>
            <w:tcW w:w="680" w:type="pct"/>
            <w:tcBorders>
              <w:top w:val="single" w:sz="4" w:space="0" w:color="auto"/>
              <w:left w:val="single" w:sz="4" w:space="0" w:color="auto"/>
              <w:bottom w:val="single" w:sz="4" w:space="0" w:color="auto"/>
              <w:right w:val="single" w:sz="4" w:space="0" w:color="auto"/>
            </w:tcBorders>
            <w:vAlign w:val="center"/>
          </w:tcPr>
          <w:p w14:paraId="7EBEABC4"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13,734,433.94</w:t>
            </w:r>
          </w:p>
        </w:tc>
        <w:tc>
          <w:tcPr>
            <w:tcW w:w="547" w:type="pct"/>
            <w:tcBorders>
              <w:top w:val="single" w:sz="4" w:space="0" w:color="auto"/>
              <w:left w:val="single" w:sz="4" w:space="0" w:color="auto"/>
              <w:bottom w:val="single" w:sz="4" w:space="0" w:color="auto"/>
              <w:right w:val="single" w:sz="4" w:space="0" w:color="auto"/>
            </w:tcBorders>
            <w:vAlign w:val="center"/>
          </w:tcPr>
          <w:p w14:paraId="73D06F91"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c>
          <w:tcPr>
            <w:tcW w:w="749" w:type="pct"/>
            <w:tcBorders>
              <w:top w:val="single" w:sz="4" w:space="0" w:color="auto"/>
              <w:left w:val="single" w:sz="4" w:space="0" w:color="auto"/>
              <w:bottom w:val="single" w:sz="4" w:space="0" w:color="auto"/>
              <w:right w:val="single" w:sz="4" w:space="0" w:color="auto"/>
            </w:tcBorders>
            <w:vAlign w:val="center"/>
          </w:tcPr>
          <w:p w14:paraId="1E550723"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13,734,433.94</w:t>
            </w:r>
          </w:p>
        </w:tc>
        <w:tc>
          <w:tcPr>
            <w:tcW w:w="429" w:type="pct"/>
            <w:tcBorders>
              <w:top w:val="single" w:sz="4" w:space="0" w:color="auto"/>
              <w:left w:val="single" w:sz="4" w:space="0" w:color="auto"/>
              <w:bottom w:val="single" w:sz="4" w:space="0" w:color="auto"/>
              <w:right w:val="single" w:sz="4" w:space="0" w:color="auto"/>
            </w:tcBorders>
            <w:vAlign w:val="center"/>
          </w:tcPr>
          <w:p w14:paraId="3EFF8E20"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5DCBF974" w14:textId="77777777">
        <w:trPr>
          <w:jc w:val="center"/>
        </w:trPr>
        <w:tc>
          <w:tcPr>
            <w:tcW w:w="884" w:type="pct"/>
            <w:tcBorders>
              <w:top w:val="single" w:sz="4" w:space="0" w:color="auto"/>
              <w:left w:val="single" w:sz="4" w:space="0" w:color="auto"/>
              <w:bottom w:val="single" w:sz="4" w:space="0" w:color="auto"/>
              <w:right w:val="single" w:sz="4" w:space="0" w:color="auto"/>
            </w:tcBorders>
            <w:vAlign w:val="center"/>
          </w:tcPr>
          <w:p w14:paraId="229380A3" w14:textId="77777777" w:rsidR="002D0AE7" w:rsidRDefault="00333EBB">
            <w:pPr>
              <w:autoSpaceDE w:val="0"/>
              <w:autoSpaceDN w:val="0"/>
              <w:adjustRightInd w:val="0"/>
              <w:rPr>
                <w:rFonts w:hint="eastAsia"/>
                <w:sz w:val="21"/>
                <w:szCs w:val="21"/>
              </w:rPr>
            </w:pPr>
            <w:r>
              <w:rPr>
                <w:rFonts w:hint="eastAsia"/>
                <w:sz w:val="21"/>
                <w:szCs w:val="21"/>
              </w:rPr>
              <w:t>其他非流动资产</w:t>
            </w:r>
          </w:p>
        </w:tc>
        <w:tc>
          <w:tcPr>
            <w:tcW w:w="1711" w:type="pct"/>
            <w:tcBorders>
              <w:top w:val="single" w:sz="4" w:space="0" w:color="auto"/>
              <w:left w:val="single" w:sz="4" w:space="0" w:color="auto"/>
              <w:bottom w:val="single" w:sz="4" w:space="0" w:color="auto"/>
              <w:right w:val="single" w:sz="4" w:space="0" w:color="auto"/>
            </w:tcBorders>
            <w:vAlign w:val="center"/>
          </w:tcPr>
          <w:p w14:paraId="0FBAC376" w14:textId="77777777" w:rsidR="002D0AE7" w:rsidRDefault="00333EBB">
            <w:pPr>
              <w:autoSpaceDE w:val="0"/>
              <w:autoSpaceDN w:val="0"/>
              <w:adjustRightInd w:val="0"/>
              <w:rPr>
                <w:rFonts w:hint="eastAsia"/>
                <w:sz w:val="21"/>
                <w:szCs w:val="21"/>
              </w:rPr>
            </w:pPr>
            <w:r>
              <w:rPr>
                <w:rFonts w:hint="eastAsia"/>
                <w:sz w:val="21"/>
                <w:szCs w:val="21"/>
              </w:rPr>
              <w:t>津药永光（河北）制药有限公司</w:t>
            </w:r>
          </w:p>
        </w:tc>
        <w:tc>
          <w:tcPr>
            <w:tcW w:w="680" w:type="pct"/>
            <w:tcBorders>
              <w:top w:val="single" w:sz="4" w:space="0" w:color="auto"/>
              <w:left w:val="single" w:sz="4" w:space="0" w:color="auto"/>
              <w:bottom w:val="single" w:sz="4" w:space="0" w:color="auto"/>
              <w:right w:val="single" w:sz="4" w:space="0" w:color="auto"/>
            </w:tcBorders>
            <w:vAlign w:val="center"/>
          </w:tcPr>
          <w:p w14:paraId="0AE93BF8"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1,556,603.76</w:t>
            </w:r>
          </w:p>
        </w:tc>
        <w:tc>
          <w:tcPr>
            <w:tcW w:w="547" w:type="pct"/>
            <w:tcBorders>
              <w:top w:val="single" w:sz="4" w:space="0" w:color="auto"/>
              <w:left w:val="single" w:sz="4" w:space="0" w:color="auto"/>
              <w:bottom w:val="single" w:sz="4" w:space="0" w:color="auto"/>
              <w:right w:val="single" w:sz="4" w:space="0" w:color="auto"/>
            </w:tcBorders>
            <w:vAlign w:val="center"/>
          </w:tcPr>
          <w:p w14:paraId="30AE521E"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c>
          <w:tcPr>
            <w:tcW w:w="749" w:type="pct"/>
            <w:tcBorders>
              <w:top w:val="single" w:sz="4" w:space="0" w:color="auto"/>
              <w:left w:val="single" w:sz="4" w:space="0" w:color="auto"/>
              <w:bottom w:val="single" w:sz="4" w:space="0" w:color="auto"/>
              <w:right w:val="single" w:sz="4" w:space="0" w:color="auto"/>
            </w:tcBorders>
            <w:vAlign w:val="center"/>
          </w:tcPr>
          <w:p w14:paraId="2A910524"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2,226,415.07</w:t>
            </w:r>
          </w:p>
        </w:tc>
        <w:tc>
          <w:tcPr>
            <w:tcW w:w="429" w:type="pct"/>
            <w:tcBorders>
              <w:top w:val="single" w:sz="4" w:space="0" w:color="auto"/>
              <w:left w:val="single" w:sz="4" w:space="0" w:color="auto"/>
              <w:bottom w:val="single" w:sz="4" w:space="0" w:color="auto"/>
              <w:right w:val="single" w:sz="4" w:space="0" w:color="auto"/>
            </w:tcBorders>
            <w:vAlign w:val="center"/>
          </w:tcPr>
          <w:p w14:paraId="187F116B"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73A91331" w14:textId="77777777">
        <w:trPr>
          <w:jc w:val="center"/>
        </w:trPr>
        <w:tc>
          <w:tcPr>
            <w:tcW w:w="884" w:type="pct"/>
            <w:tcBorders>
              <w:top w:val="single" w:sz="4" w:space="0" w:color="auto"/>
              <w:left w:val="single" w:sz="4" w:space="0" w:color="auto"/>
              <w:bottom w:val="single" w:sz="4" w:space="0" w:color="auto"/>
              <w:right w:val="single" w:sz="4" w:space="0" w:color="auto"/>
            </w:tcBorders>
            <w:vAlign w:val="center"/>
          </w:tcPr>
          <w:p w14:paraId="752DD132" w14:textId="77777777" w:rsidR="002D0AE7" w:rsidRDefault="00333EBB">
            <w:pPr>
              <w:autoSpaceDE w:val="0"/>
              <w:autoSpaceDN w:val="0"/>
              <w:adjustRightInd w:val="0"/>
              <w:rPr>
                <w:rFonts w:hint="eastAsia"/>
                <w:sz w:val="21"/>
                <w:szCs w:val="21"/>
              </w:rPr>
            </w:pPr>
            <w:r>
              <w:rPr>
                <w:rFonts w:hint="eastAsia"/>
                <w:sz w:val="21"/>
                <w:szCs w:val="21"/>
              </w:rPr>
              <w:t>其他非流动资产</w:t>
            </w:r>
          </w:p>
        </w:tc>
        <w:tc>
          <w:tcPr>
            <w:tcW w:w="1711" w:type="pct"/>
            <w:tcBorders>
              <w:top w:val="single" w:sz="4" w:space="0" w:color="auto"/>
              <w:left w:val="single" w:sz="4" w:space="0" w:color="auto"/>
              <w:bottom w:val="single" w:sz="4" w:space="0" w:color="auto"/>
              <w:right w:val="single" w:sz="4" w:space="0" w:color="auto"/>
            </w:tcBorders>
            <w:vAlign w:val="center"/>
          </w:tcPr>
          <w:p w14:paraId="79BF673E" w14:textId="77777777" w:rsidR="002D0AE7" w:rsidRDefault="00333EBB">
            <w:pPr>
              <w:autoSpaceDE w:val="0"/>
              <w:autoSpaceDN w:val="0"/>
              <w:adjustRightInd w:val="0"/>
              <w:rPr>
                <w:rFonts w:hint="eastAsia"/>
                <w:sz w:val="21"/>
                <w:szCs w:val="21"/>
              </w:rPr>
            </w:pPr>
            <w:r>
              <w:rPr>
                <w:rFonts w:hint="eastAsia"/>
                <w:sz w:val="21"/>
                <w:szCs w:val="21"/>
              </w:rPr>
              <w:t>天津信诺制药有限公司</w:t>
            </w:r>
          </w:p>
        </w:tc>
        <w:tc>
          <w:tcPr>
            <w:tcW w:w="680" w:type="pct"/>
            <w:tcBorders>
              <w:top w:val="single" w:sz="4" w:space="0" w:color="auto"/>
              <w:left w:val="single" w:sz="4" w:space="0" w:color="auto"/>
              <w:bottom w:val="single" w:sz="4" w:space="0" w:color="auto"/>
              <w:right w:val="single" w:sz="4" w:space="0" w:color="auto"/>
            </w:tcBorders>
            <w:vAlign w:val="center"/>
          </w:tcPr>
          <w:p w14:paraId="3EE8ADEF"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1,723,584.87</w:t>
            </w:r>
          </w:p>
        </w:tc>
        <w:tc>
          <w:tcPr>
            <w:tcW w:w="547" w:type="pct"/>
            <w:tcBorders>
              <w:top w:val="single" w:sz="4" w:space="0" w:color="auto"/>
              <w:left w:val="single" w:sz="4" w:space="0" w:color="auto"/>
              <w:bottom w:val="single" w:sz="4" w:space="0" w:color="auto"/>
              <w:right w:val="single" w:sz="4" w:space="0" w:color="auto"/>
            </w:tcBorders>
            <w:vAlign w:val="center"/>
          </w:tcPr>
          <w:p w14:paraId="7F657FC3"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c>
          <w:tcPr>
            <w:tcW w:w="749" w:type="pct"/>
            <w:tcBorders>
              <w:top w:val="single" w:sz="4" w:space="0" w:color="auto"/>
              <w:left w:val="single" w:sz="4" w:space="0" w:color="auto"/>
              <w:bottom w:val="single" w:sz="4" w:space="0" w:color="auto"/>
              <w:right w:val="single" w:sz="4" w:space="0" w:color="auto"/>
            </w:tcBorders>
            <w:vAlign w:val="center"/>
          </w:tcPr>
          <w:p w14:paraId="73E36927"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1,723,584.87</w:t>
            </w:r>
          </w:p>
        </w:tc>
        <w:tc>
          <w:tcPr>
            <w:tcW w:w="429" w:type="pct"/>
            <w:tcBorders>
              <w:top w:val="single" w:sz="4" w:space="0" w:color="auto"/>
              <w:left w:val="single" w:sz="4" w:space="0" w:color="auto"/>
              <w:bottom w:val="single" w:sz="4" w:space="0" w:color="auto"/>
              <w:right w:val="single" w:sz="4" w:space="0" w:color="auto"/>
            </w:tcBorders>
            <w:vAlign w:val="center"/>
          </w:tcPr>
          <w:p w14:paraId="7645ED2F"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r>
    </w:tbl>
    <w:p w14:paraId="38522707" w14:textId="77777777" w:rsidR="002D0AE7" w:rsidRDefault="00333EBB">
      <w:pPr>
        <w:pStyle w:val="4"/>
        <w:numPr>
          <w:ilvl w:val="0"/>
          <w:numId w:val="83"/>
        </w:numPr>
        <w:tabs>
          <w:tab w:val="left" w:pos="616"/>
        </w:tabs>
        <w:rPr>
          <w:rFonts w:ascii="宋体" w:hAnsi="宋体" w:hint="eastAsia"/>
          <w:color w:val="000000" w:themeColor="text1"/>
        </w:rPr>
      </w:pPr>
      <w:r>
        <w:rPr>
          <w:rFonts w:ascii="宋体" w:hAnsi="宋体" w:hint="eastAsia"/>
          <w:color w:val="000000" w:themeColor="text1"/>
        </w:rPr>
        <w:t>应付项目</w:t>
      </w:r>
    </w:p>
    <w:p w14:paraId="42B0047F" w14:textId="77777777" w:rsidR="002D0AE7" w:rsidRDefault="00333EBB">
      <w:pPr>
        <w:rPr>
          <w:rFonts w:hint="eastAsia"/>
          <w:color w:val="000000" w:themeColor="text1"/>
        </w:rPr>
      </w:pPr>
      <w:sdt>
        <w:sdtPr>
          <w:rPr>
            <w:rFonts w:hint="eastAsia"/>
            <w:color w:val="000000" w:themeColor="text1"/>
          </w:rPr>
          <w:alias w:val="是否适用：应付项目[双击切换]"/>
          <w:tag w:val="_GBC_9dbefb51b716471b878d2e2863524a53"/>
          <w:id w:val="-750039155"/>
          <w:placeholder>
            <w:docPart w:val="GBC22222222222222222222222222222"/>
          </w:placeholder>
        </w:sdtPr>
        <w:sdtEndPr/>
        <w:sdtContent>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sdtContent>
      </w:sdt>
    </w:p>
    <w:p w14:paraId="75A94484"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上市公司应付关联方款项"/>
          <w:tag w:val="_GBC_08d04faee6a64768877db8f6ab14663e"/>
          <w:id w:val="97279580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上市公司应付关联方款项"/>
          <w:tag w:val="_GBC_124ea57c07fc4e23931a125a103e711c"/>
          <w:id w:val="-194437298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839"/>
        <w:gridCol w:w="3259"/>
        <w:gridCol w:w="1844"/>
        <w:gridCol w:w="1881"/>
      </w:tblGrid>
      <w:tr w:rsidR="002D0AE7" w14:paraId="1CAFFA59" w14:textId="77777777">
        <w:sdt>
          <w:sdtPr>
            <w:rPr>
              <w:color w:val="000000" w:themeColor="text1"/>
              <w:sz w:val="21"/>
              <w:szCs w:val="21"/>
            </w:rPr>
            <w:tag w:val="_PLD_cf838d28f8e94c899328f1b9cd175b08"/>
            <w:id w:val="-606350167"/>
          </w:sdtPr>
          <w:sdtEndPr/>
          <w:sdtContent>
            <w:tc>
              <w:tcPr>
                <w:tcW w:w="1042" w:type="pct"/>
                <w:tcBorders>
                  <w:top w:val="single" w:sz="4" w:space="0" w:color="auto"/>
                  <w:left w:val="single" w:sz="4" w:space="0" w:color="auto"/>
                  <w:right w:val="single" w:sz="4" w:space="0" w:color="auto"/>
                </w:tcBorders>
              </w:tcPr>
              <w:p w14:paraId="79B6679F" w14:textId="77777777" w:rsidR="002D0AE7" w:rsidRDefault="00333EBB">
                <w:pPr>
                  <w:jc w:val="center"/>
                  <w:rPr>
                    <w:rFonts w:hint="eastAsia"/>
                    <w:color w:val="000000" w:themeColor="text1"/>
                    <w:sz w:val="21"/>
                    <w:szCs w:val="21"/>
                  </w:rPr>
                </w:pPr>
                <w:r>
                  <w:rPr>
                    <w:rFonts w:hint="eastAsia"/>
                    <w:color w:val="000000" w:themeColor="text1"/>
                    <w:sz w:val="21"/>
                    <w:szCs w:val="21"/>
                  </w:rPr>
                  <w:t>项目名称</w:t>
                </w:r>
              </w:p>
            </w:tc>
          </w:sdtContent>
        </w:sdt>
        <w:sdt>
          <w:sdtPr>
            <w:rPr>
              <w:color w:val="000000" w:themeColor="text1"/>
              <w:sz w:val="21"/>
              <w:szCs w:val="21"/>
            </w:rPr>
            <w:tag w:val="_PLD_25173a15407f4af6adbf91389dcc2257"/>
            <w:id w:val="-1009214259"/>
          </w:sdtPr>
          <w:sdtEndPr/>
          <w:sdtContent>
            <w:tc>
              <w:tcPr>
                <w:tcW w:w="1847" w:type="pct"/>
                <w:tcBorders>
                  <w:top w:val="single" w:sz="4" w:space="0" w:color="auto"/>
                  <w:left w:val="single" w:sz="4" w:space="0" w:color="auto"/>
                  <w:right w:val="single" w:sz="4" w:space="0" w:color="auto"/>
                </w:tcBorders>
              </w:tcPr>
              <w:p w14:paraId="65B23FB6" w14:textId="77777777" w:rsidR="002D0AE7" w:rsidRDefault="00333EBB">
                <w:pPr>
                  <w:jc w:val="center"/>
                  <w:rPr>
                    <w:rFonts w:hint="eastAsia"/>
                    <w:color w:val="000000" w:themeColor="text1"/>
                    <w:sz w:val="21"/>
                    <w:szCs w:val="21"/>
                  </w:rPr>
                </w:pPr>
                <w:r>
                  <w:rPr>
                    <w:rFonts w:hint="eastAsia"/>
                    <w:color w:val="000000" w:themeColor="text1"/>
                    <w:sz w:val="21"/>
                    <w:szCs w:val="21"/>
                  </w:rPr>
                  <w:t>关联方</w:t>
                </w:r>
              </w:p>
            </w:tc>
          </w:sdtContent>
        </w:sdt>
        <w:sdt>
          <w:sdtPr>
            <w:rPr>
              <w:color w:val="000000" w:themeColor="text1"/>
              <w:sz w:val="21"/>
              <w:szCs w:val="21"/>
            </w:rPr>
            <w:tag w:val="_PLD_a8551739db0f47cab1b1a6ea0e700367"/>
            <w:id w:val="-1226755698"/>
          </w:sdtPr>
          <w:sdtEndPr/>
          <w:sdtContent>
            <w:tc>
              <w:tcPr>
                <w:tcW w:w="1045" w:type="pct"/>
                <w:tcBorders>
                  <w:top w:val="single" w:sz="4" w:space="0" w:color="auto"/>
                  <w:left w:val="single" w:sz="4" w:space="0" w:color="auto"/>
                  <w:bottom w:val="single" w:sz="4" w:space="0" w:color="auto"/>
                  <w:right w:val="single" w:sz="4" w:space="0" w:color="auto"/>
                </w:tcBorders>
              </w:tcPr>
              <w:p w14:paraId="02431A30" w14:textId="77777777" w:rsidR="002D0AE7" w:rsidRDefault="00333EBB">
                <w:pPr>
                  <w:jc w:val="center"/>
                  <w:rPr>
                    <w:rFonts w:hint="eastAsia"/>
                    <w:color w:val="000000" w:themeColor="text1"/>
                    <w:sz w:val="21"/>
                    <w:szCs w:val="21"/>
                  </w:rPr>
                </w:pPr>
                <w:r>
                  <w:rPr>
                    <w:rFonts w:hint="eastAsia"/>
                    <w:color w:val="000000" w:themeColor="text1"/>
                    <w:sz w:val="21"/>
                    <w:szCs w:val="21"/>
                  </w:rPr>
                  <w:t>期末账面余额</w:t>
                </w:r>
              </w:p>
            </w:tc>
          </w:sdtContent>
        </w:sdt>
        <w:sdt>
          <w:sdtPr>
            <w:rPr>
              <w:color w:val="000000" w:themeColor="text1"/>
              <w:sz w:val="21"/>
              <w:szCs w:val="21"/>
            </w:rPr>
            <w:tag w:val="_PLD_83bc027cb7f1401db7a26beffe77ce00"/>
            <w:id w:val="1875198310"/>
          </w:sdtPr>
          <w:sdtEndPr/>
          <w:sdtContent>
            <w:tc>
              <w:tcPr>
                <w:tcW w:w="1066" w:type="pct"/>
                <w:tcBorders>
                  <w:top w:val="single" w:sz="4" w:space="0" w:color="auto"/>
                  <w:left w:val="single" w:sz="4" w:space="0" w:color="auto"/>
                  <w:bottom w:val="single" w:sz="4" w:space="0" w:color="auto"/>
                  <w:right w:val="single" w:sz="4" w:space="0" w:color="auto"/>
                </w:tcBorders>
              </w:tcPr>
              <w:p w14:paraId="63505A95" w14:textId="77777777" w:rsidR="002D0AE7" w:rsidRDefault="00333EBB">
                <w:pPr>
                  <w:jc w:val="center"/>
                  <w:rPr>
                    <w:rFonts w:hint="eastAsia"/>
                    <w:color w:val="000000" w:themeColor="text1"/>
                    <w:sz w:val="21"/>
                    <w:szCs w:val="21"/>
                  </w:rPr>
                </w:pPr>
                <w:r>
                  <w:rPr>
                    <w:rFonts w:hint="eastAsia"/>
                    <w:color w:val="000000" w:themeColor="text1"/>
                    <w:sz w:val="21"/>
                    <w:szCs w:val="21"/>
                  </w:rPr>
                  <w:t>期初账面余额</w:t>
                </w:r>
              </w:p>
            </w:tc>
          </w:sdtContent>
        </w:sdt>
      </w:tr>
      <w:tr w:rsidR="002D0AE7" w14:paraId="46B6B2F2" w14:textId="77777777">
        <w:tc>
          <w:tcPr>
            <w:tcW w:w="1042" w:type="pct"/>
            <w:tcBorders>
              <w:top w:val="single" w:sz="4" w:space="0" w:color="auto"/>
              <w:left w:val="single" w:sz="4" w:space="0" w:color="auto"/>
              <w:right w:val="single" w:sz="4" w:space="0" w:color="auto"/>
            </w:tcBorders>
            <w:vAlign w:val="center"/>
          </w:tcPr>
          <w:p w14:paraId="2623E83F" w14:textId="77777777" w:rsidR="002D0AE7" w:rsidRDefault="00333EBB">
            <w:pPr>
              <w:rPr>
                <w:rFonts w:hint="eastAsia"/>
                <w:color w:val="000000" w:themeColor="text1"/>
                <w:sz w:val="21"/>
                <w:szCs w:val="21"/>
              </w:rPr>
            </w:pPr>
            <w:r>
              <w:rPr>
                <w:rFonts w:hint="eastAsia"/>
                <w:sz w:val="21"/>
                <w:szCs w:val="21"/>
              </w:rPr>
              <w:t>应付账款</w:t>
            </w:r>
          </w:p>
        </w:tc>
        <w:tc>
          <w:tcPr>
            <w:tcW w:w="1847" w:type="pct"/>
            <w:tcBorders>
              <w:top w:val="single" w:sz="4" w:space="0" w:color="auto"/>
              <w:left w:val="single" w:sz="4" w:space="0" w:color="auto"/>
              <w:right w:val="single" w:sz="4" w:space="0" w:color="auto"/>
            </w:tcBorders>
            <w:vAlign w:val="center"/>
          </w:tcPr>
          <w:p w14:paraId="4A919067" w14:textId="77777777" w:rsidR="002D0AE7" w:rsidRDefault="00333EBB">
            <w:pPr>
              <w:rPr>
                <w:rFonts w:hint="eastAsia"/>
                <w:color w:val="000000" w:themeColor="text1"/>
                <w:sz w:val="21"/>
                <w:szCs w:val="21"/>
              </w:rPr>
            </w:pPr>
            <w:r>
              <w:rPr>
                <w:rFonts w:hint="eastAsia"/>
                <w:sz w:val="21"/>
                <w:szCs w:val="21"/>
              </w:rPr>
              <w:t>天津药业集团有限公司</w:t>
            </w:r>
          </w:p>
        </w:tc>
        <w:tc>
          <w:tcPr>
            <w:tcW w:w="1045" w:type="pct"/>
            <w:tcBorders>
              <w:top w:val="single" w:sz="4" w:space="0" w:color="auto"/>
              <w:left w:val="single" w:sz="4" w:space="0" w:color="auto"/>
              <w:bottom w:val="single" w:sz="4" w:space="0" w:color="auto"/>
              <w:right w:val="single" w:sz="4" w:space="0" w:color="auto"/>
            </w:tcBorders>
            <w:vAlign w:val="center"/>
          </w:tcPr>
          <w:p w14:paraId="4D5D9F40"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1,533,568.95</w:t>
            </w:r>
          </w:p>
        </w:tc>
        <w:tc>
          <w:tcPr>
            <w:tcW w:w="1066" w:type="pct"/>
            <w:tcBorders>
              <w:top w:val="single" w:sz="4" w:space="0" w:color="auto"/>
              <w:left w:val="single" w:sz="4" w:space="0" w:color="auto"/>
              <w:bottom w:val="single" w:sz="4" w:space="0" w:color="auto"/>
              <w:right w:val="single" w:sz="4" w:space="0" w:color="auto"/>
            </w:tcBorders>
            <w:vAlign w:val="center"/>
          </w:tcPr>
          <w:p w14:paraId="1BB3404E"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2,862,123.94</w:t>
            </w:r>
          </w:p>
        </w:tc>
      </w:tr>
      <w:tr w:rsidR="002D0AE7" w14:paraId="3CD4E769" w14:textId="77777777">
        <w:tc>
          <w:tcPr>
            <w:tcW w:w="1042" w:type="pct"/>
            <w:tcBorders>
              <w:top w:val="single" w:sz="4" w:space="0" w:color="auto"/>
              <w:left w:val="single" w:sz="4" w:space="0" w:color="auto"/>
              <w:right w:val="single" w:sz="4" w:space="0" w:color="auto"/>
            </w:tcBorders>
            <w:vAlign w:val="center"/>
          </w:tcPr>
          <w:p w14:paraId="69FBDA1C" w14:textId="77777777" w:rsidR="002D0AE7" w:rsidRDefault="00333EBB">
            <w:pPr>
              <w:rPr>
                <w:rFonts w:hint="eastAsia"/>
                <w:color w:val="000000" w:themeColor="text1"/>
                <w:sz w:val="21"/>
                <w:szCs w:val="21"/>
              </w:rPr>
            </w:pPr>
            <w:r>
              <w:rPr>
                <w:rFonts w:hint="eastAsia"/>
                <w:sz w:val="21"/>
                <w:szCs w:val="21"/>
              </w:rPr>
              <w:t>应付账款</w:t>
            </w:r>
          </w:p>
        </w:tc>
        <w:tc>
          <w:tcPr>
            <w:tcW w:w="1847" w:type="pct"/>
            <w:tcBorders>
              <w:top w:val="single" w:sz="4" w:space="0" w:color="auto"/>
              <w:left w:val="single" w:sz="4" w:space="0" w:color="auto"/>
              <w:right w:val="single" w:sz="4" w:space="0" w:color="auto"/>
            </w:tcBorders>
            <w:vAlign w:val="center"/>
          </w:tcPr>
          <w:p w14:paraId="7DEB4919" w14:textId="77777777" w:rsidR="002D0AE7" w:rsidRDefault="00333EBB">
            <w:pPr>
              <w:rPr>
                <w:rFonts w:hint="eastAsia"/>
                <w:color w:val="000000" w:themeColor="text1"/>
                <w:sz w:val="21"/>
                <w:szCs w:val="21"/>
              </w:rPr>
            </w:pPr>
            <w:r>
              <w:rPr>
                <w:rFonts w:hint="eastAsia"/>
                <w:sz w:val="21"/>
                <w:szCs w:val="21"/>
              </w:rPr>
              <w:t>天津市医药设计院有限公司</w:t>
            </w:r>
          </w:p>
        </w:tc>
        <w:tc>
          <w:tcPr>
            <w:tcW w:w="1045" w:type="pct"/>
            <w:tcBorders>
              <w:top w:val="single" w:sz="4" w:space="0" w:color="auto"/>
              <w:left w:val="single" w:sz="4" w:space="0" w:color="auto"/>
              <w:bottom w:val="single" w:sz="4" w:space="0" w:color="auto"/>
              <w:right w:val="single" w:sz="4" w:space="0" w:color="auto"/>
            </w:tcBorders>
            <w:vAlign w:val="center"/>
          </w:tcPr>
          <w:p w14:paraId="4660379F"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2,014,083.00</w:t>
            </w:r>
          </w:p>
        </w:tc>
        <w:tc>
          <w:tcPr>
            <w:tcW w:w="1066" w:type="pct"/>
            <w:tcBorders>
              <w:top w:val="single" w:sz="4" w:space="0" w:color="auto"/>
              <w:left w:val="single" w:sz="4" w:space="0" w:color="auto"/>
              <w:bottom w:val="single" w:sz="4" w:space="0" w:color="auto"/>
              <w:right w:val="single" w:sz="4" w:space="0" w:color="auto"/>
            </w:tcBorders>
            <w:vAlign w:val="center"/>
          </w:tcPr>
          <w:p w14:paraId="7442AC32"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2,053,083.00</w:t>
            </w:r>
          </w:p>
        </w:tc>
      </w:tr>
      <w:tr w:rsidR="002D0AE7" w14:paraId="207D354F" w14:textId="77777777">
        <w:tc>
          <w:tcPr>
            <w:tcW w:w="1042" w:type="pct"/>
            <w:tcBorders>
              <w:top w:val="single" w:sz="4" w:space="0" w:color="auto"/>
              <w:left w:val="single" w:sz="4" w:space="0" w:color="auto"/>
              <w:right w:val="single" w:sz="4" w:space="0" w:color="auto"/>
            </w:tcBorders>
            <w:vAlign w:val="center"/>
          </w:tcPr>
          <w:p w14:paraId="4EBE7AB0" w14:textId="77777777" w:rsidR="002D0AE7" w:rsidRDefault="00333EBB">
            <w:pPr>
              <w:rPr>
                <w:rFonts w:hint="eastAsia"/>
                <w:color w:val="000000" w:themeColor="text1"/>
                <w:sz w:val="21"/>
                <w:szCs w:val="21"/>
              </w:rPr>
            </w:pPr>
            <w:r>
              <w:rPr>
                <w:rFonts w:hint="eastAsia"/>
                <w:sz w:val="21"/>
                <w:szCs w:val="21"/>
              </w:rPr>
              <w:t>应付账款</w:t>
            </w:r>
          </w:p>
        </w:tc>
        <w:tc>
          <w:tcPr>
            <w:tcW w:w="1847" w:type="pct"/>
            <w:tcBorders>
              <w:top w:val="single" w:sz="4" w:space="0" w:color="auto"/>
              <w:left w:val="single" w:sz="4" w:space="0" w:color="auto"/>
              <w:right w:val="single" w:sz="4" w:space="0" w:color="auto"/>
            </w:tcBorders>
            <w:vAlign w:val="center"/>
          </w:tcPr>
          <w:p w14:paraId="7C75A014" w14:textId="77777777" w:rsidR="002D0AE7" w:rsidRDefault="00333EBB">
            <w:pPr>
              <w:rPr>
                <w:rFonts w:hint="eastAsia"/>
                <w:color w:val="000000" w:themeColor="text1"/>
                <w:sz w:val="21"/>
                <w:szCs w:val="21"/>
              </w:rPr>
            </w:pPr>
            <w:r>
              <w:rPr>
                <w:rFonts w:hint="eastAsia"/>
                <w:sz w:val="21"/>
                <w:szCs w:val="21"/>
              </w:rPr>
              <w:t>天津金耀氨基酸有限公司</w:t>
            </w:r>
          </w:p>
        </w:tc>
        <w:tc>
          <w:tcPr>
            <w:tcW w:w="1045" w:type="pct"/>
            <w:tcBorders>
              <w:top w:val="single" w:sz="4" w:space="0" w:color="auto"/>
              <w:left w:val="single" w:sz="4" w:space="0" w:color="auto"/>
              <w:bottom w:val="single" w:sz="4" w:space="0" w:color="auto"/>
              <w:right w:val="single" w:sz="4" w:space="0" w:color="auto"/>
            </w:tcBorders>
            <w:vAlign w:val="center"/>
          </w:tcPr>
          <w:p w14:paraId="478B1FEB"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1,132,076.18</w:t>
            </w:r>
          </w:p>
        </w:tc>
        <w:tc>
          <w:tcPr>
            <w:tcW w:w="1066" w:type="pct"/>
            <w:tcBorders>
              <w:top w:val="single" w:sz="4" w:space="0" w:color="auto"/>
              <w:left w:val="single" w:sz="4" w:space="0" w:color="auto"/>
              <w:bottom w:val="single" w:sz="4" w:space="0" w:color="auto"/>
              <w:right w:val="single" w:sz="4" w:space="0" w:color="auto"/>
            </w:tcBorders>
            <w:vAlign w:val="center"/>
          </w:tcPr>
          <w:p w14:paraId="3F544F91"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1,132,076.18</w:t>
            </w:r>
          </w:p>
        </w:tc>
      </w:tr>
      <w:tr w:rsidR="002D0AE7" w14:paraId="350F6BBA" w14:textId="77777777">
        <w:tc>
          <w:tcPr>
            <w:tcW w:w="1042" w:type="pct"/>
            <w:tcBorders>
              <w:top w:val="single" w:sz="4" w:space="0" w:color="auto"/>
              <w:left w:val="single" w:sz="4" w:space="0" w:color="auto"/>
              <w:right w:val="single" w:sz="4" w:space="0" w:color="auto"/>
            </w:tcBorders>
            <w:vAlign w:val="center"/>
          </w:tcPr>
          <w:p w14:paraId="7E72E40C" w14:textId="77777777" w:rsidR="002D0AE7" w:rsidRDefault="00333EBB">
            <w:pPr>
              <w:rPr>
                <w:rFonts w:hint="eastAsia"/>
                <w:color w:val="000000" w:themeColor="text1"/>
                <w:sz w:val="21"/>
                <w:szCs w:val="21"/>
              </w:rPr>
            </w:pPr>
            <w:r>
              <w:rPr>
                <w:rFonts w:hint="eastAsia"/>
                <w:sz w:val="21"/>
                <w:szCs w:val="21"/>
              </w:rPr>
              <w:t>应付账款</w:t>
            </w:r>
          </w:p>
        </w:tc>
        <w:tc>
          <w:tcPr>
            <w:tcW w:w="1847" w:type="pct"/>
            <w:tcBorders>
              <w:top w:val="single" w:sz="4" w:space="0" w:color="auto"/>
              <w:left w:val="single" w:sz="4" w:space="0" w:color="auto"/>
              <w:right w:val="single" w:sz="4" w:space="0" w:color="auto"/>
            </w:tcBorders>
            <w:vAlign w:val="center"/>
          </w:tcPr>
          <w:p w14:paraId="18A3A416" w14:textId="77777777" w:rsidR="002D0AE7" w:rsidRDefault="00333EBB">
            <w:pPr>
              <w:rPr>
                <w:rFonts w:hint="eastAsia"/>
                <w:color w:val="000000" w:themeColor="text1"/>
                <w:sz w:val="21"/>
                <w:szCs w:val="21"/>
              </w:rPr>
            </w:pPr>
            <w:r>
              <w:rPr>
                <w:rFonts w:hint="eastAsia"/>
                <w:sz w:val="21"/>
                <w:szCs w:val="21"/>
              </w:rPr>
              <w:t>天津力生制药股份有限公司</w:t>
            </w:r>
          </w:p>
        </w:tc>
        <w:tc>
          <w:tcPr>
            <w:tcW w:w="1045" w:type="pct"/>
            <w:tcBorders>
              <w:top w:val="single" w:sz="4" w:space="0" w:color="auto"/>
              <w:left w:val="single" w:sz="4" w:space="0" w:color="auto"/>
              <w:bottom w:val="single" w:sz="4" w:space="0" w:color="auto"/>
              <w:right w:val="single" w:sz="4" w:space="0" w:color="auto"/>
            </w:tcBorders>
            <w:vAlign w:val="center"/>
          </w:tcPr>
          <w:p w14:paraId="58DAA00E"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561,324.94</w:t>
            </w:r>
          </w:p>
        </w:tc>
        <w:tc>
          <w:tcPr>
            <w:tcW w:w="1066" w:type="pct"/>
            <w:tcBorders>
              <w:top w:val="single" w:sz="4" w:space="0" w:color="auto"/>
              <w:left w:val="single" w:sz="4" w:space="0" w:color="auto"/>
              <w:bottom w:val="single" w:sz="4" w:space="0" w:color="auto"/>
              <w:right w:val="single" w:sz="4" w:space="0" w:color="auto"/>
            </w:tcBorders>
            <w:vAlign w:val="center"/>
          </w:tcPr>
          <w:p w14:paraId="563B1E8A"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981,659.63</w:t>
            </w:r>
          </w:p>
        </w:tc>
      </w:tr>
      <w:tr w:rsidR="002D0AE7" w14:paraId="4DA9C955" w14:textId="77777777">
        <w:tc>
          <w:tcPr>
            <w:tcW w:w="1042" w:type="pct"/>
            <w:tcBorders>
              <w:top w:val="single" w:sz="4" w:space="0" w:color="auto"/>
              <w:left w:val="single" w:sz="4" w:space="0" w:color="auto"/>
              <w:right w:val="single" w:sz="4" w:space="0" w:color="auto"/>
            </w:tcBorders>
            <w:vAlign w:val="center"/>
          </w:tcPr>
          <w:p w14:paraId="2BA47F03" w14:textId="77777777" w:rsidR="002D0AE7" w:rsidRDefault="00333EBB">
            <w:pPr>
              <w:rPr>
                <w:rFonts w:hint="eastAsia"/>
                <w:color w:val="000000" w:themeColor="text1"/>
                <w:sz w:val="21"/>
                <w:szCs w:val="21"/>
              </w:rPr>
            </w:pPr>
            <w:r>
              <w:rPr>
                <w:rFonts w:hint="eastAsia"/>
                <w:sz w:val="21"/>
                <w:szCs w:val="21"/>
              </w:rPr>
              <w:t>应付账款</w:t>
            </w:r>
          </w:p>
        </w:tc>
        <w:tc>
          <w:tcPr>
            <w:tcW w:w="1847" w:type="pct"/>
            <w:tcBorders>
              <w:top w:val="single" w:sz="4" w:space="0" w:color="auto"/>
              <w:left w:val="single" w:sz="4" w:space="0" w:color="auto"/>
              <w:right w:val="single" w:sz="4" w:space="0" w:color="auto"/>
            </w:tcBorders>
            <w:vAlign w:val="center"/>
          </w:tcPr>
          <w:p w14:paraId="60A951A8" w14:textId="77777777" w:rsidR="002D0AE7" w:rsidRDefault="00333EBB">
            <w:pPr>
              <w:rPr>
                <w:rFonts w:hint="eastAsia"/>
                <w:color w:val="000000" w:themeColor="text1"/>
                <w:sz w:val="21"/>
                <w:szCs w:val="21"/>
              </w:rPr>
            </w:pPr>
            <w:r>
              <w:rPr>
                <w:rFonts w:hint="eastAsia"/>
                <w:sz w:val="21"/>
                <w:szCs w:val="21"/>
              </w:rPr>
              <w:t>天津宜药印务有限公司</w:t>
            </w:r>
          </w:p>
        </w:tc>
        <w:tc>
          <w:tcPr>
            <w:tcW w:w="1045" w:type="pct"/>
            <w:tcBorders>
              <w:top w:val="single" w:sz="4" w:space="0" w:color="auto"/>
              <w:left w:val="single" w:sz="4" w:space="0" w:color="auto"/>
              <w:bottom w:val="single" w:sz="4" w:space="0" w:color="auto"/>
              <w:right w:val="single" w:sz="4" w:space="0" w:color="auto"/>
            </w:tcBorders>
            <w:vAlign w:val="center"/>
          </w:tcPr>
          <w:p w14:paraId="5AAE8361"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653,199.03</w:t>
            </w:r>
          </w:p>
        </w:tc>
        <w:tc>
          <w:tcPr>
            <w:tcW w:w="1066" w:type="pct"/>
            <w:tcBorders>
              <w:top w:val="single" w:sz="4" w:space="0" w:color="auto"/>
              <w:left w:val="single" w:sz="4" w:space="0" w:color="auto"/>
              <w:bottom w:val="single" w:sz="4" w:space="0" w:color="auto"/>
              <w:right w:val="single" w:sz="4" w:space="0" w:color="auto"/>
            </w:tcBorders>
            <w:vAlign w:val="center"/>
          </w:tcPr>
          <w:p w14:paraId="73F308E9"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791,274.85</w:t>
            </w:r>
          </w:p>
        </w:tc>
      </w:tr>
      <w:tr w:rsidR="002D0AE7" w14:paraId="782E52C7" w14:textId="77777777">
        <w:tc>
          <w:tcPr>
            <w:tcW w:w="1042" w:type="pct"/>
            <w:tcBorders>
              <w:top w:val="single" w:sz="4" w:space="0" w:color="auto"/>
              <w:left w:val="single" w:sz="4" w:space="0" w:color="auto"/>
              <w:right w:val="single" w:sz="4" w:space="0" w:color="auto"/>
            </w:tcBorders>
            <w:vAlign w:val="center"/>
          </w:tcPr>
          <w:p w14:paraId="059D90EF" w14:textId="77777777" w:rsidR="002D0AE7" w:rsidRDefault="00333EBB">
            <w:pPr>
              <w:rPr>
                <w:rFonts w:hint="eastAsia"/>
                <w:color w:val="000000" w:themeColor="text1"/>
                <w:sz w:val="21"/>
                <w:szCs w:val="21"/>
              </w:rPr>
            </w:pPr>
            <w:r>
              <w:rPr>
                <w:rFonts w:hint="eastAsia"/>
                <w:sz w:val="21"/>
                <w:szCs w:val="21"/>
              </w:rPr>
              <w:t>应付账款</w:t>
            </w:r>
          </w:p>
        </w:tc>
        <w:tc>
          <w:tcPr>
            <w:tcW w:w="1847" w:type="pct"/>
            <w:tcBorders>
              <w:top w:val="single" w:sz="4" w:space="0" w:color="auto"/>
              <w:left w:val="single" w:sz="4" w:space="0" w:color="auto"/>
              <w:right w:val="single" w:sz="4" w:space="0" w:color="auto"/>
            </w:tcBorders>
            <w:vAlign w:val="center"/>
          </w:tcPr>
          <w:p w14:paraId="08CDC624" w14:textId="77777777" w:rsidR="002D0AE7" w:rsidRDefault="00333EBB">
            <w:pPr>
              <w:rPr>
                <w:rFonts w:hint="eastAsia"/>
                <w:color w:val="000000" w:themeColor="text1"/>
                <w:sz w:val="21"/>
                <w:szCs w:val="21"/>
              </w:rPr>
            </w:pPr>
            <w:r>
              <w:rPr>
                <w:rFonts w:hint="eastAsia"/>
                <w:sz w:val="21"/>
                <w:szCs w:val="21"/>
              </w:rPr>
              <w:t>津药永光（河北）制药有限公司</w:t>
            </w:r>
          </w:p>
        </w:tc>
        <w:tc>
          <w:tcPr>
            <w:tcW w:w="1045" w:type="pct"/>
            <w:tcBorders>
              <w:top w:val="single" w:sz="4" w:space="0" w:color="auto"/>
              <w:left w:val="single" w:sz="4" w:space="0" w:color="auto"/>
              <w:bottom w:val="single" w:sz="4" w:space="0" w:color="auto"/>
              <w:right w:val="single" w:sz="4" w:space="0" w:color="auto"/>
            </w:tcBorders>
            <w:vAlign w:val="center"/>
          </w:tcPr>
          <w:p w14:paraId="59371816"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152,178.24</w:t>
            </w:r>
          </w:p>
        </w:tc>
        <w:tc>
          <w:tcPr>
            <w:tcW w:w="1066" w:type="pct"/>
            <w:tcBorders>
              <w:top w:val="single" w:sz="4" w:space="0" w:color="auto"/>
              <w:left w:val="single" w:sz="4" w:space="0" w:color="auto"/>
              <w:bottom w:val="single" w:sz="4" w:space="0" w:color="auto"/>
              <w:right w:val="single" w:sz="4" w:space="0" w:color="auto"/>
            </w:tcBorders>
            <w:vAlign w:val="center"/>
          </w:tcPr>
          <w:p w14:paraId="31A3E8FF"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62,467.20</w:t>
            </w:r>
          </w:p>
        </w:tc>
      </w:tr>
      <w:tr w:rsidR="002D0AE7" w14:paraId="4E663977" w14:textId="77777777">
        <w:tc>
          <w:tcPr>
            <w:tcW w:w="1042" w:type="pct"/>
            <w:tcBorders>
              <w:top w:val="single" w:sz="4" w:space="0" w:color="auto"/>
              <w:left w:val="single" w:sz="4" w:space="0" w:color="auto"/>
              <w:right w:val="single" w:sz="4" w:space="0" w:color="auto"/>
            </w:tcBorders>
            <w:vAlign w:val="center"/>
          </w:tcPr>
          <w:p w14:paraId="242A9BD3" w14:textId="77777777" w:rsidR="002D0AE7" w:rsidRDefault="00333EBB">
            <w:pPr>
              <w:rPr>
                <w:rFonts w:hint="eastAsia"/>
                <w:color w:val="000000" w:themeColor="text1"/>
                <w:sz w:val="21"/>
                <w:szCs w:val="21"/>
              </w:rPr>
            </w:pPr>
            <w:r>
              <w:rPr>
                <w:rFonts w:hint="eastAsia"/>
                <w:sz w:val="21"/>
                <w:szCs w:val="21"/>
              </w:rPr>
              <w:lastRenderedPageBreak/>
              <w:t>应付账款</w:t>
            </w:r>
          </w:p>
        </w:tc>
        <w:tc>
          <w:tcPr>
            <w:tcW w:w="1847" w:type="pct"/>
            <w:tcBorders>
              <w:top w:val="single" w:sz="4" w:space="0" w:color="auto"/>
              <w:left w:val="single" w:sz="4" w:space="0" w:color="auto"/>
              <w:right w:val="single" w:sz="4" w:space="0" w:color="auto"/>
            </w:tcBorders>
            <w:vAlign w:val="center"/>
          </w:tcPr>
          <w:p w14:paraId="11A8A720" w14:textId="77777777" w:rsidR="002D0AE7" w:rsidRDefault="00333EBB">
            <w:pPr>
              <w:rPr>
                <w:rFonts w:hint="eastAsia"/>
                <w:color w:val="000000" w:themeColor="text1"/>
                <w:sz w:val="21"/>
                <w:szCs w:val="21"/>
              </w:rPr>
            </w:pPr>
            <w:r>
              <w:rPr>
                <w:rFonts w:hint="eastAsia"/>
                <w:sz w:val="21"/>
                <w:szCs w:val="21"/>
              </w:rPr>
              <w:t>江西百思康瑞药业有限公司</w:t>
            </w:r>
          </w:p>
        </w:tc>
        <w:tc>
          <w:tcPr>
            <w:tcW w:w="1045" w:type="pct"/>
            <w:tcBorders>
              <w:top w:val="single" w:sz="4" w:space="0" w:color="auto"/>
              <w:left w:val="single" w:sz="4" w:space="0" w:color="auto"/>
              <w:bottom w:val="single" w:sz="4" w:space="0" w:color="auto"/>
              <w:right w:val="single" w:sz="4" w:space="0" w:color="auto"/>
            </w:tcBorders>
            <w:vAlign w:val="center"/>
          </w:tcPr>
          <w:p w14:paraId="0E203651"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21,404,020.89</w:t>
            </w:r>
          </w:p>
        </w:tc>
        <w:tc>
          <w:tcPr>
            <w:tcW w:w="1066" w:type="pct"/>
            <w:tcBorders>
              <w:top w:val="single" w:sz="4" w:space="0" w:color="auto"/>
              <w:left w:val="single" w:sz="4" w:space="0" w:color="auto"/>
              <w:bottom w:val="single" w:sz="4" w:space="0" w:color="auto"/>
              <w:right w:val="single" w:sz="4" w:space="0" w:color="auto"/>
            </w:tcBorders>
            <w:vAlign w:val="center"/>
          </w:tcPr>
          <w:p w14:paraId="04D0840A"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1.89</w:t>
            </w:r>
          </w:p>
        </w:tc>
      </w:tr>
      <w:tr w:rsidR="002D0AE7" w14:paraId="718CC200" w14:textId="77777777">
        <w:tc>
          <w:tcPr>
            <w:tcW w:w="1042" w:type="pct"/>
            <w:tcBorders>
              <w:top w:val="single" w:sz="4" w:space="0" w:color="auto"/>
              <w:left w:val="single" w:sz="4" w:space="0" w:color="auto"/>
              <w:right w:val="single" w:sz="4" w:space="0" w:color="auto"/>
            </w:tcBorders>
            <w:vAlign w:val="center"/>
          </w:tcPr>
          <w:p w14:paraId="42B76F29" w14:textId="77777777" w:rsidR="002D0AE7" w:rsidRDefault="00333EBB">
            <w:pPr>
              <w:rPr>
                <w:rFonts w:hint="eastAsia"/>
                <w:color w:val="000000" w:themeColor="text1"/>
                <w:sz w:val="21"/>
                <w:szCs w:val="21"/>
              </w:rPr>
            </w:pPr>
            <w:r>
              <w:rPr>
                <w:rFonts w:hint="eastAsia"/>
                <w:sz w:val="21"/>
                <w:szCs w:val="21"/>
              </w:rPr>
              <w:t>应付账款</w:t>
            </w:r>
          </w:p>
        </w:tc>
        <w:tc>
          <w:tcPr>
            <w:tcW w:w="1847" w:type="pct"/>
            <w:tcBorders>
              <w:top w:val="single" w:sz="4" w:space="0" w:color="auto"/>
              <w:left w:val="single" w:sz="4" w:space="0" w:color="auto"/>
              <w:right w:val="single" w:sz="4" w:space="0" w:color="auto"/>
            </w:tcBorders>
            <w:vAlign w:val="center"/>
          </w:tcPr>
          <w:p w14:paraId="12304513" w14:textId="77777777" w:rsidR="002D0AE7" w:rsidRDefault="00333EBB">
            <w:pPr>
              <w:rPr>
                <w:rFonts w:hint="eastAsia"/>
                <w:color w:val="000000" w:themeColor="text1"/>
                <w:sz w:val="21"/>
                <w:szCs w:val="21"/>
              </w:rPr>
            </w:pPr>
            <w:r>
              <w:rPr>
                <w:rFonts w:hint="eastAsia"/>
                <w:sz w:val="21"/>
                <w:szCs w:val="21"/>
              </w:rPr>
              <w:t>天津金耀物流有限公司</w:t>
            </w:r>
          </w:p>
        </w:tc>
        <w:tc>
          <w:tcPr>
            <w:tcW w:w="1045" w:type="pct"/>
            <w:tcBorders>
              <w:top w:val="single" w:sz="4" w:space="0" w:color="auto"/>
              <w:left w:val="single" w:sz="4" w:space="0" w:color="auto"/>
              <w:bottom w:val="single" w:sz="4" w:space="0" w:color="auto"/>
              <w:right w:val="single" w:sz="4" w:space="0" w:color="auto"/>
            </w:tcBorders>
            <w:vAlign w:val="center"/>
          </w:tcPr>
          <w:p w14:paraId="60D6A0D3"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1,828,818.57</w:t>
            </w:r>
          </w:p>
        </w:tc>
        <w:tc>
          <w:tcPr>
            <w:tcW w:w="1066" w:type="pct"/>
            <w:tcBorders>
              <w:top w:val="single" w:sz="4" w:space="0" w:color="auto"/>
              <w:left w:val="single" w:sz="4" w:space="0" w:color="auto"/>
              <w:bottom w:val="single" w:sz="4" w:space="0" w:color="auto"/>
              <w:right w:val="single" w:sz="4" w:space="0" w:color="auto"/>
            </w:tcBorders>
            <w:vAlign w:val="center"/>
          </w:tcPr>
          <w:p w14:paraId="24E49DF7"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0.00</w:t>
            </w:r>
          </w:p>
        </w:tc>
      </w:tr>
      <w:tr w:rsidR="002D0AE7" w14:paraId="4305B83B" w14:textId="77777777">
        <w:tc>
          <w:tcPr>
            <w:tcW w:w="1042" w:type="pct"/>
            <w:tcBorders>
              <w:top w:val="single" w:sz="4" w:space="0" w:color="auto"/>
              <w:left w:val="single" w:sz="4" w:space="0" w:color="auto"/>
              <w:right w:val="single" w:sz="4" w:space="0" w:color="auto"/>
            </w:tcBorders>
            <w:vAlign w:val="center"/>
          </w:tcPr>
          <w:p w14:paraId="3FFB7FD3" w14:textId="77777777" w:rsidR="002D0AE7" w:rsidRDefault="00333EBB">
            <w:pPr>
              <w:rPr>
                <w:rFonts w:hint="eastAsia"/>
                <w:color w:val="000000" w:themeColor="text1"/>
                <w:sz w:val="21"/>
                <w:szCs w:val="21"/>
              </w:rPr>
            </w:pPr>
            <w:r>
              <w:rPr>
                <w:rFonts w:hint="eastAsia"/>
                <w:sz w:val="21"/>
                <w:szCs w:val="21"/>
              </w:rPr>
              <w:t>应付账款</w:t>
            </w:r>
          </w:p>
        </w:tc>
        <w:tc>
          <w:tcPr>
            <w:tcW w:w="1847" w:type="pct"/>
            <w:tcBorders>
              <w:top w:val="single" w:sz="4" w:space="0" w:color="auto"/>
              <w:left w:val="single" w:sz="4" w:space="0" w:color="auto"/>
              <w:right w:val="single" w:sz="4" w:space="0" w:color="auto"/>
            </w:tcBorders>
            <w:vAlign w:val="center"/>
          </w:tcPr>
          <w:p w14:paraId="2E638504" w14:textId="77777777" w:rsidR="002D0AE7" w:rsidRDefault="00333EBB">
            <w:pPr>
              <w:rPr>
                <w:rFonts w:hint="eastAsia"/>
                <w:color w:val="000000" w:themeColor="text1"/>
                <w:sz w:val="21"/>
                <w:szCs w:val="21"/>
              </w:rPr>
            </w:pPr>
            <w:r>
              <w:rPr>
                <w:rFonts w:hint="eastAsia"/>
                <w:sz w:val="21"/>
                <w:szCs w:val="21"/>
              </w:rPr>
              <w:t>天津津药文化发展有限公司</w:t>
            </w:r>
          </w:p>
        </w:tc>
        <w:tc>
          <w:tcPr>
            <w:tcW w:w="1045" w:type="pct"/>
            <w:tcBorders>
              <w:top w:val="single" w:sz="4" w:space="0" w:color="auto"/>
              <w:left w:val="single" w:sz="4" w:space="0" w:color="auto"/>
              <w:bottom w:val="single" w:sz="4" w:space="0" w:color="auto"/>
              <w:right w:val="single" w:sz="4" w:space="0" w:color="auto"/>
            </w:tcBorders>
            <w:vAlign w:val="center"/>
          </w:tcPr>
          <w:p w14:paraId="3AF2A93E"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12,515.87</w:t>
            </w:r>
          </w:p>
        </w:tc>
        <w:tc>
          <w:tcPr>
            <w:tcW w:w="1066" w:type="pct"/>
            <w:tcBorders>
              <w:top w:val="single" w:sz="4" w:space="0" w:color="auto"/>
              <w:left w:val="single" w:sz="4" w:space="0" w:color="auto"/>
              <w:bottom w:val="single" w:sz="4" w:space="0" w:color="auto"/>
              <w:right w:val="single" w:sz="4" w:space="0" w:color="auto"/>
            </w:tcBorders>
            <w:vAlign w:val="center"/>
          </w:tcPr>
          <w:p w14:paraId="0A53919C"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0.00</w:t>
            </w:r>
          </w:p>
        </w:tc>
      </w:tr>
      <w:tr w:rsidR="002D0AE7" w14:paraId="69D29351" w14:textId="77777777">
        <w:tc>
          <w:tcPr>
            <w:tcW w:w="1042" w:type="pct"/>
            <w:tcBorders>
              <w:top w:val="single" w:sz="4" w:space="0" w:color="auto"/>
              <w:left w:val="single" w:sz="4" w:space="0" w:color="auto"/>
              <w:right w:val="single" w:sz="4" w:space="0" w:color="auto"/>
            </w:tcBorders>
            <w:vAlign w:val="center"/>
          </w:tcPr>
          <w:p w14:paraId="4D798FDE" w14:textId="77777777" w:rsidR="002D0AE7" w:rsidRDefault="00333EBB">
            <w:pPr>
              <w:rPr>
                <w:rFonts w:hint="eastAsia"/>
                <w:color w:val="000000" w:themeColor="text1"/>
                <w:sz w:val="21"/>
                <w:szCs w:val="21"/>
              </w:rPr>
            </w:pPr>
            <w:r>
              <w:rPr>
                <w:rFonts w:hint="eastAsia"/>
                <w:sz w:val="21"/>
                <w:szCs w:val="21"/>
              </w:rPr>
              <w:t>应付账款</w:t>
            </w:r>
          </w:p>
        </w:tc>
        <w:tc>
          <w:tcPr>
            <w:tcW w:w="1847" w:type="pct"/>
            <w:tcBorders>
              <w:top w:val="single" w:sz="4" w:space="0" w:color="auto"/>
              <w:left w:val="single" w:sz="4" w:space="0" w:color="auto"/>
              <w:right w:val="single" w:sz="4" w:space="0" w:color="auto"/>
            </w:tcBorders>
            <w:vAlign w:val="center"/>
          </w:tcPr>
          <w:p w14:paraId="4B9108B8" w14:textId="77777777" w:rsidR="002D0AE7" w:rsidRDefault="00333EBB">
            <w:pPr>
              <w:rPr>
                <w:rFonts w:hint="eastAsia"/>
                <w:color w:val="000000" w:themeColor="text1"/>
                <w:sz w:val="21"/>
                <w:szCs w:val="21"/>
              </w:rPr>
            </w:pPr>
            <w:r>
              <w:rPr>
                <w:rFonts w:hint="eastAsia"/>
                <w:sz w:val="21"/>
                <w:szCs w:val="21"/>
              </w:rPr>
              <w:t>天津药业研究院股份有限公司</w:t>
            </w:r>
          </w:p>
        </w:tc>
        <w:tc>
          <w:tcPr>
            <w:tcW w:w="1045" w:type="pct"/>
            <w:tcBorders>
              <w:top w:val="single" w:sz="4" w:space="0" w:color="auto"/>
              <w:left w:val="single" w:sz="4" w:space="0" w:color="auto"/>
              <w:bottom w:val="single" w:sz="4" w:space="0" w:color="auto"/>
              <w:right w:val="single" w:sz="4" w:space="0" w:color="auto"/>
            </w:tcBorders>
            <w:vAlign w:val="center"/>
          </w:tcPr>
          <w:p w14:paraId="16086937"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21,550.00</w:t>
            </w:r>
          </w:p>
        </w:tc>
        <w:tc>
          <w:tcPr>
            <w:tcW w:w="1066" w:type="pct"/>
            <w:tcBorders>
              <w:top w:val="single" w:sz="4" w:space="0" w:color="auto"/>
              <w:left w:val="single" w:sz="4" w:space="0" w:color="auto"/>
              <w:bottom w:val="single" w:sz="4" w:space="0" w:color="auto"/>
              <w:right w:val="single" w:sz="4" w:space="0" w:color="auto"/>
            </w:tcBorders>
            <w:vAlign w:val="center"/>
          </w:tcPr>
          <w:p w14:paraId="5BB92BCF"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0.00</w:t>
            </w:r>
          </w:p>
        </w:tc>
      </w:tr>
      <w:tr w:rsidR="002D0AE7" w14:paraId="700835B0" w14:textId="77777777">
        <w:tc>
          <w:tcPr>
            <w:tcW w:w="1042" w:type="pct"/>
            <w:tcBorders>
              <w:top w:val="single" w:sz="4" w:space="0" w:color="auto"/>
              <w:left w:val="single" w:sz="4" w:space="0" w:color="auto"/>
              <w:right w:val="single" w:sz="4" w:space="0" w:color="auto"/>
            </w:tcBorders>
            <w:vAlign w:val="center"/>
          </w:tcPr>
          <w:p w14:paraId="4E6A7293" w14:textId="77777777" w:rsidR="002D0AE7" w:rsidRDefault="00333EBB">
            <w:pPr>
              <w:rPr>
                <w:rFonts w:hint="eastAsia"/>
                <w:color w:val="000000" w:themeColor="text1"/>
                <w:sz w:val="21"/>
                <w:szCs w:val="21"/>
              </w:rPr>
            </w:pPr>
            <w:r>
              <w:rPr>
                <w:rFonts w:hint="eastAsia"/>
                <w:sz w:val="21"/>
                <w:szCs w:val="21"/>
              </w:rPr>
              <w:t>预收账款</w:t>
            </w:r>
          </w:p>
        </w:tc>
        <w:tc>
          <w:tcPr>
            <w:tcW w:w="1847" w:type="pct"/>
            <w:tcBorders>
              <w:top w:val="single" w:sz="4" w:space="0" w:color="auto"/>
              <w:left w:val="single" w:sz="4" w:space="0" w:color="auto"/>
              <w:right w:val="single" w:sz="4" w:space="0" w:color="auto"/>
            </w:tcBorders>
            <w:vAlign w:val="center"/>
          </w:tcPr>
          <w:p w14:paraId="64BA5DAC" w14:textId="77777777" w:rsidR="002D0AE7" w:rsidRDefault="00333EBB">
            <w:pPr>
              <w:rPr>
                <w:rFonts w:hint="eastAsia"/>
                <w:color w:val="000000" w:themeColor="text1"/>
                <w:sz w:val="21"/>
                <w:szCs w:val="21"/>
              </w:rPr>
            </w:pPr>
            <w:r>
              <w:rPr>
                <w:rFonts w:hint="eastAsia"/>
                <w:sz w:val="21"/>
                <w:szCs w:val="21"/>
              </w:rPr>
              <w:t>津药生物科技（天津）有限公司</w:t>
            </w:r>
          </w:p>
        </w:tc>
        <w:tc>
          <w:tcPr>
            <w:tcW w:w="1045" w:type="pct"/>
            <w:tcBorders>
              <w:top w:val="single" w:sz="4" w:space="0" w:color="auto"/>
              <w:left w:val="single" w:sz="4" w:space="0" w:color="auto"/>
              <w:bottom w:val="single" w:sz="4" w:space="0" w:color="auto"/>
              <w:right w:val="single" w:sz="4" w:space="0" w:color="auto"/>
            </w:tcBorders>
            <w:vAlign w:val="center"/>
          </w:tcPr>
          <w:p w14:paraId="5CA87B61"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114,678.90</w:t>
            </w:r>
          </w:p>
        </w:tc>
        <w:tc>
          <w:tcPr>
            <w:tcW w:w="1066" w:type="pct"/>
            <w:tcBorders>
              <w:top w:val="single" w:sz="4" w:space="0" w:color="auto"/>
              <w:left w:val="single" w:sz="4" w:space="0" w:color="auto"/>
              <w:bottom w:val="single" w:sz="4" w:space="0" w:color="auto"/>
              <w:right w:val="single" w:sz="4" w:space="0" w:color="auto"/>
            </w:tcBorders>
            <w:vAlign w:val="center"/>
          </w:tcPr>
          <w:p w14:paraId="469227A8"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344,036.70</w:t>
            </w:r>
          </w:p>
        </w:tc>
      </w:tr>
      <w:tr w:rsidR="002D0AE7" w14:paraId="0DCF88E3" w14:textId="77777777">
        <w:tc>
          <w:tcPr>
            <w:tcW w:w="1042" w:type="pct"/>
            <w:tcBorders>
              <w:top w:val="single" w:sz="4" w:space="0" w:color="auto"/>
              <w:left w:val="single" w:sz="4" w:space="0" w:color="auto"/>
              <w:right w:val="single" w:sz="4" w:space="0" w:color="auto"/>
            </w:tcBorders>
            <w:vAlign w:val="center"/>
          </w:tcPr>
          <w:p w14:paraId="0600A318" w14:textId="77777777" w:rsidR="002D0AE7" w:rsidRDefault="00333EBB">
            <w:pPr>
              <w:rPr>
                <w:rFonts w:hint="eastAsia"/>
                <w:color w:val="000000" w:themeColor="text1"/>
                <w:sz w:val="21"/>
                <w:szCs w:val="21"/>
              </w:rPr>
            </w:pPr>
            <w:r>
              <w:rPr>
                <w:rFonts w:hint="eastAsia"/>
                <w:sz w:val="21"/>
                <w:szCs w:val="21"/>
              </w:rPr>
              <w:t>预收账款</w:t>
            </w:r>
          </w:p>
        </w:tc>
        <w:tc>
          <w:tcPr>
            <w:tcW w:w="1847" w:type="pct"/>
            <w:tcBorders>
              <w:top w:val="single" w:sz="4" w:space="0" w:color="auto"/>
              <w:left w:val="single" w:sz="4" w:space="0" w:color="auto"/>
              <w:right w:val="single" w:sz="4" w:space="0" w:color="auto"/>
            </w:tcBorders>
            <w:vAlign w:val="center"/>
          </w:tcPr>
          <w:p w14:paraId="617D7076" w14:textId="77777777" w:rsidR="002D0AE7" w:rsidRDefault="00333EBB">
            <w:pPr>
              <w:rPr>
                <w:rFonts w:hint="eastAsia"/>
                <w:color w:val="000000" w:themeColor="text1"/>
                <w:sz w:val="21"/>
                <w:szCs w:val="21"/>
              </w:rPr>
            </w:pPr>
            <w:r>
              <w:rPr>
                <w:rFonts w:hint="eastAsia"/>
                <w:sz w:val="21"/>
                <w:szCs w:val="21"/>
              </w:rPr>
              <w:t>津药永光（河北）制药有限公司</w:t>
            </w:r>
          </w:p>
        </w:tc>
        <w:tc>
          <w:tcPr>
            <w:tcW w:w="1045" w:type="pct"/>
            <w:tcBorders>
              <w:top w:val="single" w:sz="4" w:space="0" w:color="auto"/>
              <w:left w:val="single" w:sz="4" w:space="0" w:color="auto"/>
              <w:bottom w:val="single" w:sz="4" w:space="0" w:color="auto"/>
              <w:right w:val="single" w:sz="4" w:space="0" w:color="auto"/>
            </w:tcBorders>
            <w:vAlign w:val="center"/>
          </w:tcPr>
          <w:p w14:paraId="2450472B"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309,734.51</w:t>
            </w:r>
          </w:p>
        </w:tc>
        <w:tc>
          <w:tcPr>
            <w:tcW w:w="1066" w:type="pct"/>
            <w:tcBorders>
              <w:top w:val="single" w:sz="4" w:space="0" w:color="auto"/>
              <w:left w:val="single" w:sz="4" w:space="0" w:color="auto"/>
              <w:bottom w:val="single" w:sz="4" w:space="0" w:color="auto"/>
              <w:right w:val="single" w:sz="4" w:space="0" w:color="auto"/>
            </w:tcBorders>
            <w:vAlign w:val="center"/>
          </w:tcPr>
          <w:p w14:paraId="36C71077"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0.00</w:t>
            </w:r>
          </w:p>
        </w:tc>
      </w:tr>
      <w:tr w:rsidR="002D0AE7" w14:paraId="0458ED5D" w14:textId="77777777">
        <w:tc>
          <w:tcPr>
            <w:tcW w:w="1042" w:type="pct"/>
            <w:tcBorders>
              <w:top w:val="single" w:sz="4" w:space="0" w:color="auto"/>
              <w:left w:val="single" w:sz="4" w:space="0" w:color="auto"/>
              <w:right w:val="single" w:sz="4" w:space="0" w:color="auto"/>
            </w:tcBorders>
            <w:vAlign w:val="center"/>
          </w:tcPr>
          <w:p w14:paraId="6DC33644" w14:textId="77777777" w:rsidR="002D0AE7" w:rsidRDefault="00333EBB">
            <w:pPr>
              <w:rPr>
                <w:rFonts w:hint="eastAsia"/>
                <w:color w:val="000000" w:themeColor="text1"/>
                <w:sz w:val="21"/>
                <w:szCs w:val="21"/>
              </w:rPr>
            </w:pPr>
            <w:r>
              <w:rPr>
                <w:rFonts w:hint="eastAsia"/>
                <w:sz w:val="21"/>
                <w:szCs w:val="21"/>
              </w:rPr>
              <w:t>合同负债</w:t>
            </w:r>
          </w:p>
        </w:tc>
        <w:tc>
          <w:tcPr>
            <w:tcW w:w="1847" w:type="pct"/>
            <w:tcBorders>
              <w:top w:val="single" w:sz="4" w:space="0" w:color="auto"/>
              <w:left w:val="single" w:sz="4" w:space="0" w:color="auto"/>
              <w:right w:val="single" w:sz="4" w:space="0" w:color="auto"/>
            </w:tcBorders>
            <w:vAlign w:val="center"/>
          </w:tcPr>
          <w:p w14:paraId="7505CBAE" w14:textId="77777777" w:rsidR="002D0AE7" w:rsidRDefault="00333EBB">
            <w:pPr>
              <w:rPr>
                <w:rFonts w:hint="eastAsia"/>
                <w:color w:val="000000" w:themeColor="text1"/>
                <w:sz w:val="21"/>
                <w:szCs w:val="21"/>
              </w:rPr>
            </w:pPr>
            <w:r>
              <w:rPr>
                <w:rFonts w:hint="eastAsia"/>
                <w:sz w:val="21"/>
                <w:szCs w:val="21"/>
              </w:rPr>
              <w:t>津药太平医药有限公司</w:t>
            </w:r>
          </w:p>
        </w:tc>
        <w:tc>
          <w:tcPr>
            <w:tcW w:w="1045" w:type="pct"/>
            <w:tcBorders>
              <w:top w:val="single" w:sz="4" w:space="0" w:color="auto"/>
              <w:left w:val="single" w:sz="4" w:space="0" w:color="auto"/>
              <w:bottom w:val="single" w:sz="4" w:space="0" w:color="auto"/>
              <w:right w:val="single" w:sz="4" w:space="0" w:color="auto"/>
            </w:tcBorders>
            <w:vAlign w:val="center"/>
          </w:tcPr>
          <w:p w14:paraId="7A63D183"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473,467.17</w:t>
            </w:r>
          </w:p>
        </w:tc>
        <w:tc>
          <w:tcPr>
            <w:tcW w:w="1066" w:type="pct"/>
            <w:tcBorders>
              <w:top w:val="single" w:sz="4" w:space="0" w:color="auto"/>
              <w:left w:val="single" w:sz="4" w:space="0" w:color="auto"/>
              <w:bottom w:val="single" w:sz="4" w:space="0" w:color="auto"/>
              <w:right w:val="single" w:sz="4" w:space="0" w:color="auto"/>
            </w:tcBorders>
            <w:vAlign w:val="center"/>
          </w:tcPr>
          <w:p w14:paraId="62697FCE"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2,681,278.75</w:t>
            </w:r>
          </w:p>
        </w:tc>
      </w:tr>
      <w:tr w:rsidR="002D0AE7" w14:paraId="1FCE0E16" w14:textId="77777777">
        <w:tc>
          <w:tcPr>
            <w:tcW w:w="1042" w:type="pct"/>
            <w:tcBorders>
              <w:top w:val="single" w:sz="4" w:space="0" w:color="auto"/>
              <w:left w:val="single" w:sz="4" w:space="0" w:color="auto"/>
              <w:right w:val="single" w:sz="4" w:space="0" w:color="auto"/>
            </w:tcBorders>
            <w:vAlign w:val="center"/>
          </w:tcPr>
          <w:p w14:paraId="6296AEFF" w14:textId="77777777" w:rsidR="002D0AE7" w:rsidRDefault="00333EBB">
            <w:pPr>
              <w:rPr>
                <w:rFonts w:hint="eastAsia"/>
                <w:color w:val="000000" w:themeColor="text1"/>
                <w:sz w:val="21"/>
                <w:szCs w:val="21"/>
              </w:rPr>
            </w:pPr>
            <w:r>
              <w:rPr>
                <w:rFonts w:hint="eastAsia"/>
                <w:sz w:val="21"/>
                <w:szCs w:val="21"/>
              </w:rPr>
              <w:t>合同负债</w:t>
            </w:r>
          </w:p>
        </w:tc>
        <w:tc>
          <w:tcPr>
            <w:tcW w:w="1847" w:type="pct"/>
            <w:tcBorders>
              <w:top w:val="single" w:sz="4" w:space="0" w:color="auto"/>
              <w:left w:val="single" w:sz="4" w:space="0" w:color="auto"/>
              <w:right w:val="single" w:sz="4" w:space="0" w:color="auto"/>
            </w:tcBorders>
            <w:vAlign w:val="center"/>
          </w:tcPr>
          <w:p w14:paraId="49C45EE7" w14:textId="77777777" w:rsidR="002D0AE7" w:rsidRDefault="00333EBB">
            <w:pPr>
              <w:rPr>
                <w:rFonts w:hint="eastAsia"/>
                <w:color w:val="000000" w:themeColor="text1"/>
                <w:sz w:val="21"/>
                <w:szCs w:val="21"/>
              </w:rPr>
            </w:pPr>
            <w:r>
              <w:rPr>
                <w:rFonts w:hint="eastAsia"/>
                <w:sz w:val="21"/>
                <w:szCs w:val="21"/>
              </w:rPr>
              <w:t>天津力生制药股份有限公司</w:t>
            </w:r>
          </w:p>
        </w:tc>
        <w:tc>
          <w:tcPr>
            <w:tcW w:w="1045" w:type="pct"/>
            <w:tcBorders>
              <w:top w:val="single" w:sz="4" w:space="0" w:color="auto"/>
              <w:left w:val="single" w:sz="4" w:space="0" w:color="auto"/>
              <w:bottom w:val="single" w:sz="4" w:space="0" w:color="auto"/>
              <w:right w:val="single" w:sz="4" w:space="0" w:color="auto"/>
            </w:tcBorders>
            <w:vAlign w:val="center"/>
          </w:tcPr>
          <w:p w14:paraId="0D799DD6"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683,628.32</w:t>
            </w:r>
          </w:p>
        </w:tc>
        <w:tc>
          <w:tcPr>
            <w:tcW w:w="1066" w:type="pct"/>
            <w:tcBorders>
              <w:top w:val="single" w:sz="4" w:space="0" w:color="auto"/>
              <w:left w:val="single" w:sz="4" w:space="0" w:color="auto"/>
              <w:bottom w:val="single" w:sz="4" w:space="0" w:color="auto"/>
              <w:right w:val="single" w:sz="4" w:space="0" w:color="auto"/>
            </w:tcBorders>
            <w:vAlign w:val="center"/>
          </w:tcPr>
          <w:p w14:paraId="0DA8CD06"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455,752.21</w:t>
            </w:r>
          </w:p>
        </w:tc>
      </w:tr>
      <w:tr w:rsidR="002D0AE7" w14:paraId="3AA8A965" w14:textId="77777777">
        <w:tc>
          <w:tcPr>
            <w:tcW w:w="1042" w:type="pct"/>
            <w:tcBorders>
              <w:top w:val="single" w:sz="4" w:space="0" w:color="auto"/>
              <w:left w:val="single" w:sz="4" w:space="0" w:color="auto"/>
              <w:right w:val="single" w:sz="4" w:space="0" w:color="auto"/>
            </w:tcBorders>
            <w:vAlign w:val="center"/>
          </w:tcPr>
          <w:p w14:paraId="3EFF3098" w14:textId="77777777" w:rsidR="002D0AE7" w:rsidRDefault="00333EBB">
            <w:pPr>
              <w:rPr>
                <w:rFonts w:hint="eastAsia"/>
                <w:color w:val="000000" w:themeColor="text1"/>
                <w:sz w:val="21"/>
                <w:szCs w:val="21"/>
              </w:rPr>
            </w:pPr>
            <w:r>
              <w:rPr>
                <w:rFonts w:hint="eastAsia"/>
                <w:sz w:val="21"/>
                <w:szCs w:val="21"/>
              </w:rPr>
              <w:t>合同负债</w:t>
            </w:r>
          </w:p>
        </w:tc>
        <w:tc>
          <w:tcPr>
            <w:tcW w:w="1847" w:type="pct"/>
            <w:tcBorders>
              <w:top w:val="single" w:sz="4" w:space="0" w:color="auto"/>
              <w:left w:val="single" w:sz="4" w:space="0" w:color="auto"/>
              <w:right w:val="single" w:sz="4" w:space="0" w:color="auto"/>
            </w:tcBorders>
            <w:vAlign w:val="center"/>
          </w:tcPr>
          <w:p w14:paraId="5EF7FF73" w14:textId="77777777" w:rsidR="002D0AE7" w:rsidRDefault="00333EBB">
            <w:pPr>
              <w:rPr>
                <w:rFonts w:hint="eastAsia"/>
                <w:color w:val="000000" w:themeColor="text1"/>
                <w:sz w:val="21"/>
                <w:szCs w:val="21"/>
              </w:rPr>
            </w:pPr>
            <w:r>
              <w:rPr>
                <w:rFonts w:hint="eastAsia"/>
                <w:sz w:val="21"/>
                <w:szCs w:val="21"/>
              </w:rPr>
              <w:t>天津信达制药有限公司</w:t>
            </w:r>
          </w:p>
        </w:tc>
        <w:tc>
          <w:tcPr>
            <w:tcW w:w="1045" w:type="pct"/>
            <w:tcBorders>
              <w:top w:val="single" w:sz="4" w:space="0" w:color="auto"/>
              <w:left w:val="single" w:sz="4" w:space="0" w:color="auto"/>
              <w:bottom w:val="single" w:sz="4" w:space="0" w:color="auto"/>
              <w:right w:val="single" w:sz="4" w:space="0" w:color="auto"/>
            </w:tcBorders>
            <w:vAlign w:val="center"/>
          </w:tcPr>
          <w:p w14:paraId="6B0FBC83"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88,495.57</w:t>
            </w:r>
          </w:p>
        </w:tc>
        <w:tc>
          <w:tcPr>
            <w:tcW w:w="1066" w:type="pct"/>
            <w:tcBorders>
              <w:top w:val="single" w:sz="4" w:space="0" w:color="auto"/>
              <w:left w:val="single" w:sz="4" w:space="0" w:color="auto"/>
              <w:bottom w:val="single" w:sz="4" w:space="0" w:color="auto"/>
              <w:right w:val="single" w:sz="4" w:space="0" w:color="auto"/>
            </w:tcBorders>
            <w:vAlign w:val="center"/>
          </w:tcPr>
          <w:p w14:paraId="55BFD058"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0.00</w:t>
            </w:r>
          </w:p>
        </w:tc>
      </w:tr>
      <w:tr w:rsidR="002D0AE7" w14:paraId="57752412" w14:textId="77777777">
        <w:tc>
          <w:tcPr>
            <w:tcW w:w="1042" w:type="pct"/>
            <w:tcBorders>
              <w:top w:val="single" w:sz="4" w:space="0" w:color="auto"/>
              <w:left w:val="single" w:sz="4" w:space="0" w:color="auto"/>
              <w:right w:val="single" w:sz="4" w:space="0" w:color="auto"/>
            </w:tcBorders>
            <w:vAlign w:val="center"/>
          </w:tcPr>
          <w:p w14:paraId="737750F8" w14:textId="77777777" w:rsidR="002D0AE7" w:rsidRDefault="00333EBB">
            <w:pPr>
              <w:rPr>
                <w:rFonts w:hint="eastAsia"/>
                <w:color w:val="000000" w:themeColor="text1"/>
                <w:sz w:val="21"/>
                <w:szCs w:val="21"/>
              </w:rPr>
            </w:pPr>
            <w:r>
              <w:rPr>
                <w:rFonts w:hint="eastAsia"/>
                <w:sz w:val="21"/>
                <w:szCs w:val="21"/>
              </w:rPr>
              <w:t>合同负债</w:t>
            </w:r>
          </w:p>
        </w:tc>
        <w:tc>
          <w:tcPr>
            <w:tcW w:w="1847" w:type="pct"/>
            <w:tcBorders>
              <w:top w:val="single" w:sz="4" w:space="0" w:color="auto"/>
              <w:left w:val="single" w:sz="4" w:space="0" w:color="auto"/>
              <w:right w:val="single" w:sz="4" w:space="0" w:color="auto"/>
            </w:tcBorders>
            <w:vAlign w:val="center"/>
          </w:tcPr>
          <w:p w14:paraId="436A2CA9" w14:textId="77777777" w:rsidR="002D0AE7" w:rsidRDefault="00333EBB">
            <w:pPr>
              <w:rPr>
                <w:rFonts w:hint="eastAsia"/>
                <w:color w:val="000000" w:themeColor="text1"/>
                <w:sz w:val="21"/>
                <w:szCs w:val="21"/>
              </w:rPr>
            </w:pPr>
            <w:r>
              <w:rPr>
                <w:rFonts w:hint="eastAsia"/>
                <w:sz w:val="21"/>
                <w:szCs w:val="21"/>
              </w:rPr>
              <w:t>天津信诺制药有限公司</w:t>
            </w:r>
          </w:p>
        </w:tc>
        <w:tc>
          <w:tcPr>
            <w:tcW w:w="1045" w:type="pct"/>
            <w:tcBorders>
              <w:top w:val="single" w:sz="4" w:space="0" w:color="auto"/>
              <w:left w:val="single" w:sz="4" w:space="0" w:color="auto"/>
              <w:bottom w:val="single" w:sz="4" w:space="0" w:color="auto"/>
              <w:right w:val="single" w:sz="4" w:space="0" w:color="auto"/>
            </w:tcBorders>
            <w:vAlign w:val="center"/>
          </w:tcPr>
          <w:p w14:paraId="5B401EE4"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8,849.56</w:t>
            </w:r>
          </w:p>
        </w:tc>
        <w:tc>
          <w:tcPr>
            <w:tcW w:w="1066" w:type="pct"/>
            <w:tcBorders>
              <w:top w:val="single" w:sz="4" w:space="0" w:color="auto"/>
              <w:left w:val="single" w:sz="4" w:space="0" w:color="auto"/>
              <w:bottom w:val="single" w:sz="4" w:space="0" w:color="auto"/>
              <w:right w:val="single" w:sz="4" w:space="0" w:color="auto"/>
            </w:tcBorders>
            <w:vAlign w:val="center"/>
          </w:tcPr>
          <w:p w14:paraId="45EE0651"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0.00</w:t>
            </w:r>
          </w:p>
        </w:tc>
      </w:tr>
      <w:tr w:rsidR="002D0AE7" w14:paraId="6679DBF0" w14:textId="77777777">
        <w:tc>
          <w:tcPr>
            <w:tcW w:w="1042" w:type="pct"/>
            <w:tcBorders>
              <w:top w:val="single" w:sz="4" w:space="0" w:color="auto"/>
              <w:left w:val="single" w:sz="4" w:space="0" w:color="auto"/>
              <w:right w:val="single" w:sz="4" w:space="0" w:color="auto"/>
            </w:tcBorders>
            <w:vAlign w:val="center"/>
          </w:tcPr>
          <w:p w14:paraId="43F5ADCA" w14:textId="77777777" w:rsidR="002D0AE7" w:rsidRDefault="00333EBB">
            <w:pPr>
              <w:rPr>
                <w:rFonts w:hint="eastAsia"/>
                <w:color w:val="000000" w:themeColor="text1"/>
                <w:sz w:val="21"/>
                <w:szCs w:val="21"/>
              </w:rPr>
            </w:pPr>
            <w:r>
              <w:rPr>
                <w:rFonts w:hint="eastAsia"/>
                <w:sz w:val="21"/>
                <w:szCs w:val="21"/>
              </w:rPr>
              <w:t>合同负债</w:t>
            </w:r>
          </w:p>
        </w:tc>
        <w:tc>
          <w:tcPr>
            <w:tcW w:w="1847" w:type="pct"/>
            <w:tcBorders>
              <w:top w:val="single" w:sz="4" w:space="0" w:color="auto"/>
              <w:left w:val="single" w:sz="4" w:space="0" w:color="auto"/>
              <w:right w:val="single" w:sz="4" w:space="0" w:color="auto"/>
            </w:tcBorders>
            <w:vAlign w:val="center"/>
          </w:tcPr>
          <w:p w14:paraId="431903C3" w14:textId="77777777" w:rsidR="002D0AE7" w:rsidRDefault="00333EBB">
            <w:pPr>
              <w:rPr>
                <w:rFonts w:hint="eastAsia"/>
                <w:color w:val="000000" w:themeColor="text1"/>
                <w:sz w:val="21"/>
                <w:szCs w:val="21"/>
              </w:rPr>
            </w:pPr>
            <w:r>
              <w:rPr>
                <w:rFonts w:hint="eastAsia"/>
                <w:sz w:val="21"/>
                <w:szCs w:val="21"/>
              </w:rPr>
              <w:t>天津中新医药有限公司</w:t>
            </w:r>
          </w:p>
        </w:tc>
        <w:tc>
          <w:tcPr>
            <w:tcW w:w="1045" w:type="pct"/>
            <w:tcBorders>
              <w:top w:val="single" w:sz="4" w:space="0" w:color="auto"/>
              <w:left w:val="single" w:sz="4" w:space="0" w:color="auto"/>
              <w:bottom w:val="single" w:sz="4" w:space="0" w:color="auto"/>
              <w:right w:val="single" w:sz="4" w:space="0" w:color="auto"/>
            </w:tcBorders>
            <w:vAlign w:val="center"/>
          </w:tcPr>
          <w:p w14:paraId="31B22077"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0.00</w:t>
            </w:r>
          </w:p>
        </w:tc>
        <w:tc>
          <w:tcPr>
            <w:tcW w:w="1066" w:type="pct"/>
            <w:tcBorders>
              <w:top w:val="single" w:sz="4" w:space="0" w:color="auto"/>
              <w:left w:val="single" w:sz="4" w:space="0" w:color="auto"/>
              <w:bottom w:val="single" w:sz="4" w:space="0" w:color="auto"/>
              <w:right w:val="single" w:sz="4" w:space="0" w:color="auto"/>
            </w:tcBorders>
            <w:vAlign w:val="center"/>
          </w:tcPr>
          <w:p w14:paraId="199439CB"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30,005.31</w:t>
            </w:r>
          </w:p>
        </w:tc>
      </w:tr>
      <w:tr w:rsidR="002D0AE7" w14:paraId="0CE2354A" w14:textId="77777777">
        <w:tc>
          <w:tcPr>
            <w:tcW w:w="1042" w:type="pct"/>
            <w:tcBorders>
              <w:top w:val="single" w:sz="4" w:space="0" w:color="auto"/>
              <w:left w:val="single" w:sz="4" w:space="0" w:color="auto"/>
              <w:right w:val="single" w:sz="4" w:space="0" w:color="auto"/>
            </w:tcBorders>
            <w:vAlign w:val="center"/>
          </w:tcPr>
          <w:p w14:paraId="6BF7730E" w14:textId="77777777" w:rsidR="002D0AE7" w:rsidRDefault="00333EBB">
            <w:pPr>
              <w:rPr>
                <w:rFonts w:hint="eastAsia"/>
                <w:color w:val="000000" w:themeColor="text1"/>
                <w:sz w:val="21"/>
                <w:szCs w:val="21"/>
              </w:rPr>
            </w:pPr>
            <w:r>
              <w:rPr>
                <w:rFonts w:hint="eastAsia"/>
                <w:sz w:val="21"/>
                <w:szCs w:val="21"/>
              </w:rPr>
              <w:t>合同负债</w:t>
            </w:r>
          </w:p>
        </w:tc>
        <w:tc>
          <w:tcPr>
            <w:tcW w:w="1847" w:type="pct"/>
            <w:tcBorders>
              <w:top w:val="single" w:sz="4" w:space="0" w:color="auto"/>
              <w:left w:val="single" w:sz="4" w:space="0" w:color="auto"/>
              <w:right w:val="single" w:sz="4" w:space="0" w:color="auto"/>
            </w:tcBorders>
            <w:vAlign w:val="center"/>
          </w:tcPr>
          <w:p w14:paraId="0F05DD5F" w14:textId="77777777" w:rsidR="002D0AE7" w:rsidRDefault="00333EBB">
            <w:pPr>
              <w:rPr>
                <w:rFonts w:hint="eastAsia"/>
                <w:color w:val="000000" w:themeColor="text1"/>
                <w:sz w:val="21"/>
                <w:szCs w:val="21"/>
              </w:rPr>
            </w:pPr>
            <w:r>
              <w:rPr>
                <w:rFonts w:hint="eastAsia"/>
                <w:sz w:val="21"/>
                <w:szCs w:val="21"/>
              </w:rPr>
              <w:t>天津金耀物流有限公司</w:t>
            </w:r>
          </w:p>
        </w:tc>
        <w:tc>
          <w:tcPr>
            <w:tcW w:w="1045" w:type="pct"/>
            <w:tcBorders>
              <w:top w:val="single" w:sz="4" w:space="0" w:color="auto"/>
              <w:left w:val="single" w:sz="4" w:space="0" w:color="auto"/>
              <w:bottom w:val="single" w:sz="4" w:space="0" w:color="auto"/>
              <w:right w:val="single" w:sz="4" w:space="0" w:color="auto"/>
            </w:tcBorders>
            <w:vAlign w:val="center"/>
          </w:tcPr>
          <w:p w14:paraId="6F0A2D99"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424,778.76</w:t>
            </w:r>
          </w:p>
        </w:tc>
        <w:tc>
          <w:tcPr>
            <w:tcW w:w="1066" w:type="pct"/>
            <w:tcBorders>
              <w:top w:val="single" w:sz="4" w:space="0" w:color="auto"/>
              <w:left w:val="single" w:sz="4" w:space="0" w:color="auto"/>
              <w:bottom w:val="single" w:sz="4" w:space="0" w:color="auto"/>
              <w:right w:val="single" w:sz="4" w:space="0" w:color="auto"/>
            </w:tcBorders>
            <w:vAlign w:val="center"/>
          </w:tcPr>
          <w:p w14:paraId="7484273D"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0.00</w:t>
            </w:r>
          </w:p>
        </w:tc>
      </w:tr>
      <w:tr w:rsidR="002D0AE7" w14:paraId="26FB9E08" w14:textId="77777777">
        <w:tc>
          <w:tcPr>
            <w:tcW w:w="1042" w:type="pct"/>
            <w:tcBorders>
              <w:top w:val="single" w:sz="4" w:space="0" w:color="auto"/>
              <w:left w:val="single" w:sz="4" w:space="0" w:color="auto"/>
              <w:right w:val="single" w:sz="4" w:space="0" w:color="auto"/>
            </w:tcBorders>
            <w:vAlign w:val="center"/>
          </w:tcPr>
          <w:p w14:paraId="5D232189" w14:textId="77777777" w:rsidR="002D0AE7" w:rsidRDefault="00333EBB">
            <w:pPr>
              <w:rPr>
                <w:rFonts w:hint="eastAsia"/>
                <w:color w:val="000000" w:themeColor="text1"/>
                <w:sz w:val="21"/>
                <w:szCs w:val="21"/>
              </w:rPr>
            </w:pPr>
            <w:r>
              <w:rPr>
                <w:rFonts w:hint="eastAsia"/>
                <w:sz w:val="21"/>
                <w:szCs w:val="21"/>
              </w:rPr>
              <w:t>合同负债</w:t>
            </w:r>
          </w:p>
        </w:tc>
        <w:tc>
          <w:tcPr>
            <w:tcW w:w="1847" w:type="pct"/>
            <w:tcBorders>
              <w:top w:val="single" w:sz="4" w:space="0" w:color="auto"/>
              <w:left w:val="single" w:sz="4" w:space="0" w:color="auto"/>
              <w:right w:val="single" w:sz="4" w:space="0" w:color="auto"/>
            </w:tcBorders>
            <w:vAlign w:val="center"/>
          </w:tcPr>
          <w:p w14:paraId="27CA73D1" w14:textId="77777777" w:rsidR="002D0AE7" w:rsidRDefault="00333EBB">
            <w:pPr>
              <w:rPr>
                <w:rFonts w:hint="eastAsia"/>
                <w:color w:val="000000" w:themeColor="text1"/>
                <w:sz w:val="21"/>
                <w:szCs w:val="21"/>
              </w:rPr>
            </w:pPr>
            <w:r>
              <w:rPr>
                <w:rFonts w:hint="eastAsia"/>
                <w:sz w:val="21"/>
                <w:szCs w:val="21"/>
              </w:rPr>
              <w:t>天津药业集团有限公司</w:t>
            </w:r>
          </w:p>
        </w:tc>
        <w:tc>
          <w:tcPr>
            <w:tcW w:w="1045" w:type="pct"/>
            <w:tcBorders>
              <w:top w:val="single" w:sz="4" w:space="0" w:color="auto"/>
              <w:left w:val="single" w:sz="4" w:space="0" w:color="auto"/>
              <w:bottom w:val="single" w:sz="4" w:space="0" w:color="auto"/>
              <w:right w:val="single" w:sz="4" w:space="0" w:color="auto"/>
            </w:tcBorders>
            <w:vAlign w:val="center"/>
          </w:tcPr>
          <w:p w14:paraId="1CC9D3BF"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247,787.61</w:t>
            </w:r>
          </w:p>
        </w:tc>
        <w:tc>
          <w:tcPr>
            <w:tcW w:w="1066" w:type="pct"/>
            <w:tcBorders>
              <w:top w:val="single" w:sz="4" w:space="0" w:color="auto"/>
              <w:left w:val="single" w:sz="4" w:space="0" w:color="auto"/>
              <w:bottom w:val="single" w:sz="4" w:space="0" w:color="auto"/>
              <w:right w:val="single" w:sz="4" w:space="0" w:color="auto"/>
            </w:tcBorders>
            <w:vAlign w:val="center"/>
          </w:tcPr>
          <w:p w14:paraId="05CD106B"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0.00</w:t>
            </w:r>
          </w:p>
        </w:tc>
      </w:tr>
      <w:tr w:rsidR="002D0AE7" w14:paraId="6B11ED52" w14:textId="77777777">
        <w:tc>
          <w:tcPr>
            <w:tcW w:w="1042" w:type="pct"/>
            <w:tcBorders>
              <w:top w:val="single" w:sz="4" w:space="0" w:color="auto"/>
              <w:left w:val="single" w:sz="4" w:space="0" w:color="auto"/>
              <w:right w:val="single" w:sz="4" w:space="0" w:color="auto"/>
            </w:tcBorders>
            <w:vAlign w:val="center"/>
          </w:tcPr>
          <w:p w14:paraId="1DEA657C" w14:textId="77777777" w:rsidR="002D0AE7" w:rsidRDefault="00333EBB">
            <w:pPr>
              <w:rPr>
                <w:rFonts w:hint="eastAsia"/>
                <w:color w:val="000000" w:themeColor="text1"/>
                <w:sz w:val="21"/>
                <w:szCs w:val="21"/>
              </w:rPr>
            </w:pPr>
            <w:r>
              <w:rPr>
                <w:rFonts w:hint="eastAsia"/>
                <w:sz w:val="21"/>
                <w:szCs w:val="21"/>
              </w:rPr>
              <w:t>其他流动负债</w:t>
            </w:r>
          </w:p>
        </w:tc>
        <w:tc>
          <w:tcPr>
            <w:tcW w:w="1847" w:type="pct"/>
            <w:tcBorders>
              <w:top w:val="single" w:sz="4" w:space="0" w:color="auto"/>
              <w:left w:val="single" w:sz="4" w:space="0" w:color="auto"/>
              <w:right w:val="single" w:sz="4" w:space="0" w:color="auto"/>
            </w:tcBorders>
            <w:vAlign w:val="center"/>
          </w:tcPr>
          <w:p w14:paraId="444411F3" w14:textId="77777777" w:rsidR="002D0AE7" w:rsidRDefault="00333EBB">
            <w:pPr>
              <w:rPr>
                <w:rFonts w:hint="eastAsia"/>
                <w:color w:val="000000" w:themeColor="text1"/>
                <w:sz w:val="21"/>
                <w:szCs w:val="21"/>
              </w:rPr>
            </w:pPr>
            <w:r>
              <w:rPr>
                <w:rFonts w:hint="eastAsia"/>
                <w:sz w:val="21"/>
                <w:szCs w:val="21"/>
              </w:rPr>
              <w:t>天津药业集团有限公司</w:t>
            </w:r>
          </w:p>
        </w:tc>
        <w:tc>
          <w:tcPr>
            <w:tcW w:w="1045" w:type="pct"/>
            <w:tcBorders>
              <w:top w:val="single" w:sz="4" w:space="0" w:color="auto"/>
              <w:left w:val="single" w:sz="4" w:space="0" w:color="auto"/>
              <w:bottom w:val="single" w:sz="4" w:space="0" w:color="auto"/>
              <w:right w:val="single" w:sz="4" w:space="0" w:color="auto"/>
            </w:tcBorders>
            <w:vAlign w:val="center"/>
          </w:tcPr>
          <w:p w14:paraId="02717132"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32,212.39</w:t>
            </w:r>
          </w:p>
        </w:tc>
        <w:tc>
          <w:tcPr>
            <w:tcW w:w="1066" w:type="pct"/>
            <w:tcBorders>
              <w:top w:val="single" w:sz="4" w:space="0" w:color="auto"/>
              <w:left w:val="single" w:sz="4" w:space="0" w:color="auto"/>
              <w:bottom w:val="single" w:sz="4" w:space="0" w:color="auto"/>
              <w:right w:val="single" w:sz="4" w:space="0" w:color="auto"/>
            </w:tcBorders>
            <w:vAlign w:val="center"/>
          </w:tcPr>
          <w:p w14:paraId="55103D71"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0.00</w:t>
            </w:r>
          </w:p>
        </w:tc>
      </w:tr>
      <w:tr w:rsidR="002D0AE7" w14:paraId="2A18AA26" w14:textId="77777777">
        <w:tc>
          <w:tcPr>
            <w:tcW w:w="1042" w:type="pct"/>
            <w:tcBorders>
              <w:top w:val="single" w:sz="4" w:space="0" w:color="auto"/>
              <w:left w:val="single" w:sz="4" w:space="0" w:color="auto"/>
              <w:right w:val="single" w:sz="4" w:space="0" w:color="auto"/>
            </w:tcBorders>
            <w:vAlign w:val="center"/>
          </w:tcPr>
          <w:p w14:paraId="29CA4865" w14:textId="77777777" w:rsidR="002D0AE7" w:rsidRDefault="00333EBB">
            <w:pPr>
              <w:rPr>
                <w:rFonts w:hint="eastAsia"/>
                <w:color w:val="000000" w:themeColor="text1"/>
                <w:sz w:val="21"/>
                <w:szCs w:val="21"/>
              </w:rPr>
            </w:pPr>
            <w:r>
              <w:rPr>
                <w:rFonts w:hint="eastAsia"/>
                <w:sz w:val="21"/>
                <w:szCs w:val="21"/>
              </w:rPr>
              <w:t>其他流动负债</w:t>
            </w:r>
          </w:p>
        </w:tc>
        <w:tc>
          <w:tcPr>
            <w:tcW w:w="1847" w:type="pct"/>
            <w:tcBorders>
              <w:top w:val="single" w:sz="4" w:space="0" w:color="auto"/>
              <w:left w:val="single" w:sz="4" w:space="0" w:color="auto"/>
              <w:right w:val="single" w:sz="4" w:space="0" w:color="auto"/>
            </w:tcBorders>
            <w:vAlign w:val="center"/>
          </w:tcPr>
          <w:p w14:paraId="504809DB" w14:textId="77777777" w:rsidR="002D0AE7" w:rsidRDefault="00333EBB">
            <w:pPr>
              <w:rPr>
                <w:rFonts w:hint="eastAsia"/>
                <w:color w:val="000000" w:themeColor="text1"/>
                <w:sz w:val="21"/>
                <w:szCs w:val="21"/>
              </w:rPr>
            </w:pPr>
            <w:r>
              <w:rPr>
                <w:rFonts w:hint="eastAsia"/>
                <w:sz w:val="21"/>
                <w:szCs w:val="21"/>
              </w:rPr>
              <w:t>天津力生制药股份有限公司</w:t>
            </w:r>
          </w:p>
        </w:tc>
        <w:tc>
          <w:tcPr>
            <w:tcW w:w="1045" w:type="pct"/>
            <w:tcBorders>
              <w:top w:val="single" w:sz="4" w:space="0" w:color="auto"/>
              <w:left w:val="single" w:sz="4" w:space="0" w:color="auto"/>
              <w:bottom w:val="single" w:sz="4" w:space="0" w:color="auto"/>
              <w:right w:val="single" w:sz="4" w:space="0" w:color="auto"/>
            </w:tcBorders>
            <w:vAlign w:val="center"/>
          </w:tcPr>
          <w:p w14:paraId="76AEF51D"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88,871.68</w:t>
            </w:r>
          </w:p>
        </w:tc>
        <w:tc>
          <w:tcPr>
            <w:tcW w:w="1066" w:type="pct"/>
            <w:tcBorders>
              <w:top w:val="single" w:sz="4" w:space="0" w:color="auto"/>
              <w:left w:val="single" w:sz="4" w:space="0" w:color="auto"/>
              <w:bottom w:val="single" w:sz="4" w:space="0" w:color="auto"/>
              <w:right w:val="single" w:sz="4" w:space="0" w:color="auto"/>
            </w:tcBorders>
            <w:vAlign w:val="center"/>
          </w:tcPr>
          <w:p w14:paraId="30FE6295"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0.00</w:t>
            </w:r>
          </w:p>
        </w:tc>
      </w:tr>
      <w:tr w:rsidR="002D0AE7" w14:paraId="5CBB30D5" w14:textId="77777777">
        <w:tc>
          <w:tcPr>
            <w:tcW w:w="1042" w:type="pct"/>
            <w:tcBorders>
              <w:top w:val="single" w:sz="4" w:space="0" w:color="auto"/>
              <w:left w:val="single" w:sz="4" w:space="0" w:color="auto"/>
              <w:right w:val="single" w:sz="4" w:space="0" w:color="auto"/>
            </w:tcBorders>
            <w:vAlign w:val="center"/>
          </w:tcPr>
          <w:p w14:paraId="0F443A3E" w14:textId="77777777" w:rsidR="002D0AE7" w:rsidRDefault="00333EBB">
            <w:pPr>
              <w:rPr>
                <w:rFonts w:hint="eastAsia"/>
                <w:color w:val="000000" w:themeColor="text1"/>
                <w:sz w:val="21"/>
                <w:szCs w:val="21"/>
              </w:rPr>
            </w:pPr>
            <w:r>
              <w:rPr>
                <w:rFonts w:hint="eastAsia"/>
                <w:sz w:val="21"/>
                <w:szCs w:val="21"/>
              </w:rPr>
              <w:t>其他流动负债</w:t>
            </w:r>
          </w:p>
        </w:tc>
        <w:tc>
          <w:tcPr>
            <w:tcW w:w="1847" w:type="pct"/>
            <w:tcBorders>
              <w:top w:val="single" w:sz="4" w:space="0" w:color="auto"/>
              <w:left w:val="single" w:sz="4" w:space="0" w:color="auto"/>
              <w:right w:val="single" w:sz="4" w:space="0" w:color="auto"/>
            </w:tcBorders>
            <w:vAlign w:val="center"/>
          </w:tcPr>
          <w:p w14:paraId="477B061C" w14:textId="77777777" w:rsidR="002D0AE7" w:rsidRDefault="00333EBB">
            <w:pPr>
              <w:rPr>
                <w:rFonts w:hint="eastAsia"/>
                <w:color w:val="000000" w:themeColor="text1"/>
                <w:sz w:val="21"/>
                <w:szCs w:val="21"/>
              </w:rPr>
            </w:pPr>
            <w:r>
              <w:rPr>
                <w:rFonts w:hint="eastAsia"/>
                <w:sz w:val="21"/>
                <w:szCs w:val="21"/>
              </w:rPr>
              <w:t>天津金耀物流有限公司</w:t>
            </w:r>
          </w:p>
        </w:tc>
        <w:tc>
          <w:tcPr>
            <w:tcW w:w="1045" w:type="pct"/>
            <w:tcBorders>
              <w:top w:val="single" w:sz="4" w:space="0" w:color="auto"/>
              <w:left w:val="single" w:sz="4" w:space="0" w:color="auto"/>
              <w:bottom w:val="single" w:sz="4" w:space="0" w:color="auto"/>
              <w:right w:val="single" w:sz="4" w:space="0" w:color="auto"/>
            </w:tcBorders>
            <w:vAlign w:val="center"/>
          </w:tcPr>
          <w:p w14:paraId="55A632BE"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55,221.24</w:t>
            </w:r>
          </w:p>
        </w:tc>
        <w:tc>
          <w:tcPr>
            <w:tcW w:w="1066" w:type="pct"/>
            <w:tcBorders>
              <w:top w:val="single" w:sz="4" w:space="0" w:color="auto"/>
              <w:left w:val="single" w:sz="4" w:space="0" w:color="auto"/>
              <w:bottom w:val="single" w:sz="4" w:space="0" w:color="auto"/>
              <w:right w:val="single" w:sz="4" w:space="0" w:color="auto"/>
            </w:tcBorders>
            <w:vAlign w:val="center"/>
          </w:tcPr>
          <w:p w14:paraId="63F5834E"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0.00</w:t>
            </w:r>
          </w:p>
        </w:tc>
      </w:tr>
      <w:tr w:rsidR="002D0AE7" w14:paraId="380C370F" w14:textId="77777777">
        <w:tc>
          <w:tcPr>
            <w:tcW w:w="1042" w:type="pct"/>
            <w:tcBorders>
              <w:top w:val="single" w:sz="4" w:space="0" w:color="auto"/>
              <w:left w:val="single" w:sz="4" w:space="0" w:color="auto"/>
              <w:right w:val="single" w:sz="4" w:space="0" w:color="auto"/>
            </w:tcBorders>
            <w:vAlign w:val="center"/>
          </w:tcPr>
          <w:p w14:paraId="144D51FE" w14:textId="77777777" w:rsidR="002D0AE7" w:rsidRDefault="00333EBB">
            <w:pPr>
              <w:rPr>
                <w:rFonts w:hint="eastAsia"/>
                <w:color w:val="000000" w:themeColor="text1"/>
                <w:sz w:val="21"/>
                <w:szCs w:val="21"/>
              </w:rPr>
            </w:pPr>
            <w:r>
              <w:rPr>
                <w:rFonts w:hint="eastAsia"/>
                <w:sz w:val="21"/>
                <w:szCs w:val="21"/>
              </w:rPr>
              <w:t>其他流动负债</w:t>
            </w:r>
          </w:p>
        </w:tc>
        <w:tc>
          <w:tcPr>
            <w:tcW w:w="1847" w:type="pct"/>
            <w:tcBorders>
              <w:top w:val="single" w:sz="4" w:space="0" w:color="auto"/>
              <w:left w:val="single" w:sz="4" w:space="0" w:color="auto"/>
              <w:right w:val="single" w:sz="4" w:space="0" w:color="auto"/>
            </w:tcBorders>
            <w:vAlign w:val="center"/>
          </w:tcPr>
          <w:p w14:paraId="754F455A" w14:textId="77777777" w:rsidR="002D0AE7" w:rsidRDefault="00333EBB">
            <w:pPr>
              <w:rPr>
                <w:rFonts w:hint="eastAsia"/>
                <w:color w:val="000000" w:themeColor="text1"/>
                <w:sz w:val="21"/>
                <w:szCs w:val="21"/>
              </w:rPr>
            </w:pPr>
            <w:r>
              <w:rPr>
                <w:rFonts w:hint="eastAsia"/>
                <w:sz w:val="21"/>
                <w:szCs w:val="21"/>
              </w:rPr>
              <w:t>天津信达制药有限公司</w:t>
            </w:r>
          </w:p>
        </w:tc>
        <w:tc>
          <w:tcPr>
            <w:tcW w:w="1045" w:type="pct"/>
            <w:tcBorders>
              <w:top w:val="single" w:sz="4" w:space="0" w:color="auto"/>
              <w:left w:val="single" w:sz="4" w:space="0" w:color="auto"/>
              <w:bottom w:val="single" w:sz="4" w:space="0" w:color="auto"/>
              <w:right w:val="single" w:sz="4" w:space="0" w:color="auto"/>
            </w:tcBorders>
            <w:vAlign w:val="center"/>
          </w:tcPr>
          <w:p w14:paraId="7D2483DB"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11,504.43</w:t>
            </w:r>
          </w:p>
        </w:tc>
        <w:tc>
          <w:tcPr>
            <w:tcW w:w="1066" w:type="pct"/>
            <w:tcBorders>
              <w:top w:val="single" w:sz="4" w:space="0" w:color="auto"/>
              <w:left w:val="single" w:sz="4" w:space="0" w:color="auto"/>
              <w:bottom w:val="single" w:sz="4" w:space="0" w:color="auto"/>
              <w:right w:val="single" w:sz="4" w:space="0" w:color="auto"/>
            </w:tcBorders>
            <w:vAlign w:val="center"/>
          </w:tcPr>
          <w:p w14:paraId="7CE353A1"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0.00</w:t>
            </w:r>
          </w:p>
        </w:tc>
      </w:tr>
      <w:tr w:rsidR="002D0AE7" w14:paraId="2EA12229" w14:textId="77777777">
        <w:tc>
          <w:tcPr>
            <w:tcW w:w="1042" w:type="pct"/>
            <w:tcBorders>
              <w:top w:val="single" w:sz="4" w:space="0" w:color="auto"/>
              <w:left w:val="single" w:sz="4" w:space="0" w:color="auto"/>
              <w:right w:val="single" w:sz="4" w:space="0" w:color="auto"/>
            </w:tcBorders>
            <w:vAlign w:val="center"/>
          </w:tcPr>
          <w:p w14:paraId="47A8FFC2" w14:textId="77777777" w:rsidR="002D0AE7" w:rsidRDefault="00333EBB">
            <w:pPr>
              <w:rPr>
                <w:rFonts w:hint="eastAsia"/>
                <w:color w:val="000000" w:themeColor="text1"/>
                <w:sz w:val="21"/>
                <w:szCs w:val="21"/>
              </w:rPr>
            </w:pPr>
            <w:r>
              <w:rPr>
                <w:rFonts w:hint="eastAsia"/>
                <w:sz w:val="21"/>
                <w:szCs w:val="21"/>
              </w:rPr>
              <w:t>其他流动负债</w:t>
            </w:r>
          </w:p>
        </w:tc>
        <w:tc>
          <w:tcPr>
            <w:tcW w:w="1847" w:type="pct"/>
            <w:tcBorders>
              <w:top w:val="single" w:sz="4" w:space="0" w:color="auto"/>
              <w:left w:val="single" w:sz="4" w:space="0" w:color="auto"/>
              <w:right w:val="single" w:sz="4" w:space="0" w:color="auto"/>
            </w:tcBorders>
            <w:vAlign w:val="center"/>
          </w:tcPr>
          <w:p w14:paraId="39688FFE" w14:textId="77777777" w:rsidR="002D0AE7" w:rsidRDefault="00333EBB">
            <w:pPr>
              <w:rPr>
                <w:rFonts w:hint="eastAsia"/>
                <w:color w:val="000000" w:themeColor="text1"/>
                <w:sz w:val="21"/>
                <w:szCs w:val="21"/>
              </w:rPr>
            </w:pPr>
            <w:r>
              <w:rPr>
                <w:rFonts w:hint="eastAsia"/>
                <w:sz w:val="21"/>
                <w:szCs w:val="21"/>
              </w:rPr>
              <w:t>天津信诺制药有限公司</w:t>
            </w:r>
          </w:p>
        </w:tc>
        <w:tc>
          <w:tcPr>
            <w:tcW w:w="1045" w:type="pct"/>
            <w:tcBorders>
              <w:top w:val="single" w:sz="4" w:space="0" w:color="auto"/>
              <w:left w:val="single" w:sz="4" w:space="0" w:color="auto"/>
              <w:bottom w:val="single" w:sz="4" w:space="0" w:color="auto"/>
              <w:right w:val="single" w:sz="4" w:space="0" w:color="auto"/>
            </w:tcBorders>
            <w:vAlign w:val="center"/>
          </w:tcPr>
          <w:p w14:paraId="7B68C6EE"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1,150.44</w:t>
            </w:r>
          </w:p>
        </w:tc>
        <w:tc>
          <w:tcPr>
            <w:tcW w:w="1066" w:type="pct"/>
            <w:tcBorders>
              <w:top w:val="single" w:sz="4" w:space="0" w:color="auto"/>
              <w:left w:val="single" w:sz="4" w:space="0" w:color="auto"/>
              <w:bottom w:val="single" w:sz="4" w:space="0" w:color="auto"/>
              <w:right w:val="single" w:sz="4" w:space="0" w:color="auto"/>
            </w:tcBorders>
            <w:vAlign w:val="center"/>
          </w:tcPr>
          <w:p w14:paraId="7DA4997C"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0.00</w:t>
            </w:r>
          </w:p>
        </w:tc>
      </w:tr>
      <w:tr w:rsidR="002D0AE7" w14:paraId="33208383" w14:textId="77777777">
        <w:tc>
          <w:tcPr>
            <w:tcW w:w="1042" w:type="pct"/>
            <w:tcBorders>
              <w:top w:val="single" w:sz="4" w:space="0" w:color="auto"/>
              <w:left w:val="single" w:sz="4" w:space="0" w:color="auto"/>
              <w:right w:val="single" w:sz="4" w:space="0" w:color="auto"/>
            </w:tcBorders>
            <w:vAlign w:val="center"/>
          </w:tcPr>
          <w:p w14:paraId="76A838F6" w14:textId="77777777" w:rsidR="002D0AE7" w:rsidRDefault="00333EBB">
            <w:pPr>
              <w:rPr>
                <w:rFonts w:hint="eastAsia"/>
                <w:color w:val="000000" w:themeColor="text1"/>
                <w:sz w:val="21"/>
                <w:szCs w:val="21"/>
              </w:rPr>
            </w:pPr>
            <w:r>
              <w:rPr>
                <w:rFonts w:hint="eastAsia"/>
                <w:sz w:val="21"/>
                <w:szCs w:val="21"/>
              </w:rPr>
              <w:t>其他应付款</w:t>
            </w:r>
          </w:p>
        </w:tc>
        <w:tc>
          <w:tcPr>
            <w:tcW w:w="1847" w:type="pct"/>
            <w:tcBorders>
              <w:top w:val="single" w:sz="4" w:space="0" w:color="auto"/>
              <w:left w:val="single" w:sz="4" w:space="0" w:color="auto"/>
              <w:right w:val="single" w:sz="4" w:space="0" w:color="auto"/>
            </w:tcBorders>
            <w:vAlign w:val="center"/>
          </w:tcPr>
          <w:p w14:paraId="2E9E2CCE" w14:textId="77777777" w:rsidR="002D0AE7" w:rsidRDefault="00333EBB">
            <w:pPr>
              <w:rPr>
                <w:rFonts w:hint="eastAsia"/>
                <w:color w:val="000000" w:themeColor="text1"/>
                <w:sz w:val="21"/>
                <w:szCs w:val="21"/>
              </w:rPr>
            </w:pPr>
            <w:r>
              <w:rPr>
                <w:rFonts w:hint="eastAsia"/>
                <w:sz w:val="21"/>
                <w:szCs w:val="21"/>
              </w:rPr>
              <w:t>天津药业集团有限公司</w:t>
            </w:r>
          </w:p>
        </w:tc>
        <w:tc>
          <w:tcPr>
            <w:tcW w:w="1045" w:type="pct"/>
            <w:tcBorders>
              <w:top w:val="single" w:sz="4" w:space="0" w:color="auto"/>
              <w:left w:val="single" w:sz="4" w:space="0" w:color="auto"/>
              <w:bottom w:val="single" w:sz="4" w:space="0" w:color="auto"/>
              <w:right w:val="single" w:sz="4" w:space="0" w:color="auto"/>
            </w:tcBorders>
            <w:vAlign w:val="center"/>
          </w:tcPr>
          <w:p w14:paraId="0529A2FF"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183,151,991.05</w:t>
            </w:r>
          </w:p>
        </w:tc>
        <w:tc>
          <w:tcPr>
            <w:tcW w:w="1066" w:type="pct"/>
            <w:tcBorders>
              <w:top w:val="single" w:sz="4" w:space="0" w:color="auto"/>
              <w:left w:val="single" w:sz="4" w:space="0" w:color="auto"/>
              <w:bottom w:val="single" w:sz="4" w:space="0" w:color="auto"/>
              <w:right w:val="single" w:sz="4" w:space="0" w:color="auto"/>
            </w:tcBorders>
            <w:vAlign w:val="center"/>
          </w:tcPr>
          <w:p w14:paraId="295EC10B"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183,670,485.88</w:t>
            </w:r>
          </w:p>
        </w:tc>
      </w:tr>
      <w:tr w:rsidR="002D0AE7" w14:paraId="7FE334ED" w14:textId="77777777">
        <w:tc>
          <w:tcPr>
            <w:tcW w:w="1042" w:type="pct"/>
            <w:tcBorders>
              <w:top w:val="single" w:sz="4" w:space="0" w:color="auto"/>
              <w:left w:val="single" w:sz="4" w:space="0" w:color="auto"/>
              <w:bottom w:val="single" w:sz="4" w:space="0" w:color="auto"/>
              <w:right w:val="single" w:sz="4" w:space="0" w:color="auto"/>
            </w:tcBorders>
            <w:vAlign w:val="center"/>
          </w:tcPr>
          <w:p w14:paraId="0161FB21" w14:textId="77777777" w:rsidR="002D0AE7" w:rsidRDefault="00333EBB">
            <w:pPr>
              <w:autoSpaceDE w:val="0"/>
              <w:autoSpaceDN w:val="0"/>
              <w:adjustRightInd w:val="0"/>
              <w:rPr>
                <w:rFonts w:hint="eastAsia"/>
                <w:sz w:val="21"/>
                <w:szCs w:val="21"/>
              </w:rPr>
            </w:pPr>
            <w:r>
              <w:rPr>
                <w:rFonts w:hint="eastAsia"/>
                <w:sz w:val="21"/>
                <w:szCs w:val="21"/>
              </w:rPr>
              <w:t>其他应付款</w:t>
            </w:r>
          </w:p>
        </w:tc>
        <w:tc>
          <w:tcPr>
            <w:tcW w:w="1847" w:type="pct"/>
            <w:tcBorders>
              <w:top w:val="single" w:sz="4" w:space="0" w:color="auto"/>
              <w:left w:val="single" w:sz="4" w:space="0" w:color="auto"/>
              <w:bottom w:val="single" w:sz="4" w:space="0" w:color="auto"/>
              <w:right w:val="single" w:sz="4" w:space="0" w:color="auto"/>
            </w:tcBorders>
            <w:vAlign w:val="center"/>
          </w:tcPr>
          <w:p w14:paraId="26EBDFDB" w14:textId="77777777" w:rsidR="002D0AE7" w:rsidRDefault="00333EBB">
            <w:pPr>
              <w:autoSpaceDE w:val="0"/>
              <w:autoSpaceDN w:val="0"/>
              <w:adjustRightInd w:val="0"/>
              <w:rPr>
                <w:rFonts w:hint="eastAsia"/>
                <w:sz w:val="21"/>
                <w:szCs w:val="21"/>
              </w:rPr>
            </w:pPr>
            <w:r>
              <w:rPr>
                <w:rFonts w:hint="eastAsia"/>
                <w:sz w:val="21"/>
                <w:szCs w:val="21"/>
              </w:rPr>
              <w:t>天津津药文化发展有限公司</w:t>
            </w:r>
          </w:p>
        </w:tc>
        <w:tc>
          <w:tcPr>
            <w:tcW w:w="1045" w:type="pct"/>
            <w:tcBorders>
              <w:top w:val="single" w:sz="4" w:space="0" w:color="auto"/>
              <w:left w:val="single" w:sz="4" w:space="0" w:color="auto"/>
              <w:bottom w:val="single" w:sz="4" w:space="0" w:color="auto"/>
              <w:right w:val="single" w:sz="4" w:space="0" w:color="auto"/>
            </w:tcBorders>
            <w:vAlign w:val="center"/>
          </w:tcPr>
          <w:p w14:paraId="41F7973F"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15,043.67</w:t>
            </w:r>
          </w:p>
        </w:tc>
        <w:tc>
          <w:tcPr>
            <w:tcW w:w="1066" w:type="pct"/>
            <w:tcBorders>
              <w:top w:val="single" w:sz="4" w:space="0" w:color="auto"/>
              <w:left w:val="single" w:sz="4" w:space="0" w:color="auto"/>
              <w:bottom w:val="single" w:sz="4" w:space="0" w:color="auto"/>
              <w:right w:val="single" w:sz="4" w:space="0" w:color="auto"/>
            </w:tcBorders>
            <w:vAlign w:val="center"/>
          </w:tcPr>
          <w:p w14:paraId="52722430"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1597E5E7" w14:textId="77777777">
        <w:tc>
          <w:tcPr>
            <w:tcW w:w="1042" w:type="pct"/>
            <w:tcBorders>
              <w:top w:val="single" w:sz="4" w:space="0" w:color="auto"/>
              <w:left w:val="single" w:sz="4" w:space="0" w:color="auto"/>
              <w:bottom w:val="single" w:sz="4" w:space="0" w:color="auto"/>
              <w:right w:val="single" w:sz="4" w:space="0" w:color="auto"/>
            </w:tcBorders>
            <w:vAlign w:val="center"/>
          </w:tcPr>
          <w:p w14:paraId="4A727317" w14:textId="77777777" w:rsidR="002D0AE7" w:rsidRDefault="00333EBB">
            <w:pPr>
              <w:autoSpaceDE w:val="0"/>
              <w:autoSpaceDN w:val="0"/>
              <w:adjustRightInd w:val="0"/>
              <w:rPr>
                <w:rFonts w:hint="eastAsia"/>
                <w:sz w:val="21"/>
                <w:szCs w:val="21"/>
              </w:rPr>
            </w:pPr>
            <w:r>
              <w:rPr>
                <w:rFonts w:hint="eastAsia"/>
                <w:sz w:val="21"/>
                <w:szCs w:val="21"/>
              </w:rPr>
              <w:t>其他应付款</w:t>
            </w:r>
          </w:p>
        </w:tc>
        <w:tc>
          <w:tcPr>
            <w:tcW w:w="1847" w:type="pct"/>
            <w:tcBorders>
              <w:top w:val="single" w:sz="4" w:space="0" w:color="auto"/>
              <w:left w:val="single" w:sz="4" w:space="0" w:color="auto"/>
              <w:bottom w:val="single" w:sz="4" w:space="0" w:color="auto"/>
              <w:right w:val="single" w:sz="4" w:space="0" w:color="auto"/>
            </w:tcBorders>
            <w:vAlign w:val="center"/>
          </w:tcPr>
          <w:p w14:paraId="23B61119" w14:textId="77777777" w:rsidR="002D0AE7" w:rsidRDefault="00333EBB">
            <w:pPr>
              <w:autoSpaceDE w:val="0"/>
              <w:autoSpaceDN w:val="0"/>
              <w:adjustRightInd w:val="0"/>
              <w:rPr>
                <w:rFonts w:hint="eastAsia"/>
                <w:sz w:val="21"/>
                <w:szCs w:val="21"/>
              </w:rPr>
            </w:pPr>
            <w:r>
              <w:rPr>
                <w:rFonts w:hint="eastAsia"/>
                <w:sz w:val="21"/>
                <w:szCs w:val="21"/>
              </w:rPr>
              <w:t>津药资产管理有限公司</w:t>
            </w:r>
          </w:p>
        </w:tc>
        <w:tc>
          <w:tcPr>
            <w:tcW w:w="1045" w:type="pct"/>
            <w:tcBorders>
              <w:top w:val="single" w:sz="4" w:space="0" w:color="auto"/>
              <w:left w:val="single" w:sz="4" w:space="0" w:color="auto"/>
              <w:bottom w:val="single" w:sz="4" w:space="0" w:color="auto"/>
              <w:right w:val="single" w:sz="4" w:space="0" w:color="auto"/>
            </w:tcBorders>
            <w:vAlign w:val="center"/>
          </w:tcPr>
          <w:p w14:paraId="1ABABA76"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0.00</w:t>
            </w:r>
          </w:p>
        </w:tc>
        <w:tc>
          <w:tcPr>
            <w:tcW w:w="1066" w:type="pct"/>
            <w:tcBorders>
              <w:top w:val="single" w:sz="4" w:space="0" w:color="auto"/>
              <w:left w:val="single" w:sz="4" w:space="0" w:color="auto"/>
              <w:bottom w:val="single" w:sz="4" w:space="0" w:color="auto"/>
              <w:right w:val="single" w:sz="4" w:space="0" w:color="auto"/>
            </w:tcBorders>
            <w:vAlign w:val="center"/>
          </w:tcPr>
          <w:p w14:paraId="088FF432" w14:textId="77777777" w:rsidR="002D0AE7" w:rsidRDefault="00333EBB">
            <w:pPr>
              <w:autoSpaceDE w:val="0"/>
              <w:autoSpaceDN w:val="0"/>
              <w:adjustRightInd w:val="0"/>
              <w:jc w:val="right"/>
              <w:rPr>
                <w:rFonts w:ascii="Times New Roman" w:hAnsi="Times New Roman" w:cs="Times New Roman"/>
                <w:sz w:val="21"/>
                <w:szCs w:val="21"/>
              </w:rPr>
            </w:pPr>
            <w:r>
              <w:rPr>
                <w:rFonts w:ascii="Times New Roman" w:hAnsi="Times New Roman" w:cs="Times New Roman"/>
                <w:sz w:val="21"/>
                <w:szCs w:val="21"/>
              </w:rPr>
              <w:t>50,000.00</w:t>
            </w:r>
          </w:p>
        </w:tc>
      </w:tr>
    </w:tbl>
    <w:p w14:paraId="7F5B8A2F" w14:textId="77777777" w:rsidR="002D0AE7" w:rsidRDefault="00333EBB">
      <w:pPr>
        <w:pStyle w:val="3"/>
        <w:numPr>
          <w:ilvl w:val="0"/>
          <w:numId w:val="80"/>
        </w:numPr>
        <w:rPr>
          <w:rFonts w:ascii="宋体" w:hAnsi="宋体" w:cs="Arial" w:hint="eastAsia"/>
          <w:color w:val="000000" w:themeColor="text1"/>
          <w:szCs w:val="21"/>
        </w:rPr>
      </w:pPr>
      <w:r>
        <w:rPr>
          <w:rFonts w:ascii="宋体" w:hAnsi="宋体" w:hint="eastAsia"/>
          <w:color w:val="000000" w:themeColor="text1"/>
        </w:rPr>
        <w:t>关联方</w:t>
      </w:r>
      <w:r>
        <w:rPr>
          <w:rFonts w:ascii="宋体" w:hAnsi="宋体" w:cs="Arial" w:hint="eastAsia"/>
          <w:color w:val="000000" w:themeColor="text1"/>
          <w:szCs w:val="21"/>
        </w:rPr>
        <w:t>承诺</w:t>
      </w:r>
    </w:p>
    <w:sdt>
      <w:sdtPr>
        <w:rPr>
          <w:color w:val="000000" w:themeColor="text1"/>
        </w:rPr>
        <w:alias w:val="是否适用：关联方承诺[双击切换]"/>
        <w:tag w:val="_GBC_b906cacab2e94825966fa70e345656b5"/>
        <w:id w:val="786631502"/>
        <w:placeholder>
          <w:docPart w:val="GBC22222222222222222222222222222"/>
        </w:placeholder>
      </w:sdtPr>
      <w:sdtEndPr/>
      <w:sdtContent>
        <w:p w14:paraId="75D120E9"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关联方相关承诺"/>
        <w:tag w:val="_GBC_07be2fbf22ab46319cf1aeac8c65a417"/>
        <w:id w:val="1738281608"/>
        <w:placeholder>
          <w:docPart w:val="169275FA719349A18FA5579C3171B33B"/>
        </w:placeholder>
      </w:sdtPr>
      <w:sdtEndPr>
        <w:rPr>
          <w:sz w:val="21"/>
        </w:rPr>
      </w:sdtEndPr>
      <w:sdtContent>
        <w:p w14:paraId="72E883F3" w14:textId="77777777" w:rsidR="002D0AE7" w:rsidRDefault="00333EBB">
          <w:pPr>
            <w:rPr>
              <w:rFonts w:hint="eastAsia"/>
              <w:color w:val="000000" w:themeColor="text1"/>
              <w:sz w:val="21"/>
            </w:rPr>
          </w:pPr>
          <w:r>
            <w:rPr>
              <w:rFonts w:hint="eastAsia"/>
              <w:color w:val="000000" w:themeColor="text1"/>
              <w:sz w:val="21"/>
            </w:rPr>
            <w:t>内容详见第六节</w:t>
          </w:r>
          <w:r>
            <w:rPr>
              <w:color w:val="000000" w:themeColor="text1"/>
              <w:sz w:val="21"/>
            </w:rPr>
            <w:t>一、承诺事项履行情况</w:t>
          </w:r>
          <w:r>
            <w:rPr>
              <w:color w:val="000000" w:themeColor="text1"/>
              <w:sz w:val="21"/>
            </w:rPr>
            <w:t>(</w:t>
          </w:r>
          <w:r>
            <w:rPr>
              <w:color w:val="000000" w:themeColor="text1"/>
              <w:sz w:val="21"/>
            </w:rPr>
            <w:t>一</w:t>
          </w:r>
          <w:r>
            <w:rPr>
              <w:color w:val="000000" w:themeColor="text1"/>
              <w:sz w:val="21"/>
            </w:rPr>
            <w:t>)</w:t>
          </w:r>
          <w:r>
            <w:rPr>
              <w:color w:val="000000" w:themeColor="text1"/>
              <w:sz w:val="21"/>
            </w:rPr>
            <w:t>公司实际控制人、股东、关联方、收购人以及公司等承诺相关方在报告期内或持续到报告期内的承诺事项。</w:t>
          </w:r>
        </w:p>
      </w:sdtContent>
    </w:sdt>
    <w:p w14:paraId="5D1B047A" w14:textId="77777777" w:rsidR="002D0AE7" w:rsidRDefault="00333EBB">
      <w:pPr>
        <w:pStyle w:val="2"/>
        <w:numPr>
          <w:ilvl w:val="0"/>
          <w:numId w:val="34"/>
        </w:numPr>
        <w:ind w:left="482" w:hanging="482"/>
        <w:rPr>
          <w:rFonts w:ascii="宋体" w:hAnsi="宋体" w:hint="eastAsia"/>
          <w:color w:val="000000" w:themeColor="text1"/>
        </w:rPr>
      </w:pPr>
      <w:r>
        <w:rPr>
          <w:rFonts w:ascii="宋体" w:hAnsi="宋体" w:hint="eastAsia"/>
          <w:color w:val="000000" w:themeColor="text1"/>
        </w:rPr>
        <w:t>股份支付</w:t>
      </w:r>
    </w:p>
    <w:p w14:paraId="70879841" w14:textId="77777777" w:rsidR="002D0AE7" w:rsidRDefault="00333EBB">
      <w:pPr>
        <w:pStyle w:val="3"/>
        <w:numPr>
          <w:ilvl w:val="0"/>
          <w:numId w:val="84"/>
        </w:numPr>
        <w:ind w:left="450" w:hanging="450"/>
        <w:rPr>
          <w:color w:val="000000" w:themeColor="text1"/>
        </w:rPr>
      </w:pPr>
      <w:r>
        <w:rPr>
          <w:rFonts w:hint="eastAsia"/>
          <w:color w:val="000000" w:themeColor="text1"/>
        </w:rPr>
        <w:t>各项权益工具</w:t>
      </w:r>
    </w:p>
    <w:bookmarkStart w:id="239" w:name="_Hlk168492989" w:displacedByCustomXml="next"/>
    <w:sdt>
      <w:sdtPr>
        <w:rPr>
          <w:color w:val="000000" w:themeColor="text1"/>
        </w:rPr>
        <w:alias w:val="是否适用：各项权益工具[双击切换]"/>
        <w:tag w:val="_GBC_65abee0b78064363a3f4a058a40176bf"/>
        <w:id w:val="-691376496"/>
        <w:placeholder>
          <w:docPart w:val="GBC22222222222222222222222222222"/>
        </w:placeholder>
      </w:sdtPr>
      <w:sdtEndPr/>
      <w:sdtContent>
        <w:p w14:paraId="1CE8F0F3"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2F704D28" w14:textId="77777777" w:rsidR="002D0AE7" w:rsidRDefault="00333EBB">
      <w:pPr>
        <w:rPr>
          <w:rFonts w:hint="eastAsia"/>
          <w:color w:val="000000" w:themeColor="text1"/>
        </w:rPr>
      </w:pPr>
      <w:bookmarkStart w:id="240" w:name="_Hlk167977283"/>
      <w:bookmarkStart w:id="241" w:name="_Hlk40787153"/>
      <w:bookmarkStart w:id="242" w:name="_Hlk168478628"/>
      <w:bookmarkEnd w:id="239"/>
      <w:r>
        <w:rPr>
          <w:rFonts w:hint="eastAsia"/>
          <w:color w:val="000000" w:themeColor="text1"/>
        </w:rPr>
        <w:t>期末发行在外的股票期权或其他权益工具</w:t>
      </w:r>
    </w:p>
    <w:bookmarkStart w:id="243" w:name="_Hlk168493896" w:displacedByCustomXml="next"/>
    <w:bookmarkStart w:id="244" w:name="_Hlk168493917" w:displacedByCustomXml="next"/>
    <w:sdt>
      <w:sdtPr>
        <w:rPr>
          <w:color w:val="000000" w:themeColor="text1"/>
        </w:rPr>
        <w:alias w:val="是否适用：期末发行在外的股票期权或其他权益工具[双击切换]"/>
        <w:tag w:val="_GBC_f17c034d860345b98ee280169a254e4a"/>
        <w:id w:val="-1764210869"/>
        <w:placeholder>
          <w:docPart w:val="GBC22222222222222222222222222222"/>
        </w:placeholder>
      </w:sdtPr>
      <w:sdtEndPr/>
      <w:sdtContent>
        <w:p w14:paraId="024CB7D3"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5434C748" w14:textId="77777777" w:rsidR="002D0AE7" w:rsidRDefault="00333EBB">
      <w:pPr>
        <w:pStyle w:val="3"/>
        <w:numPr>
          <w:ilvl w:val="0"/>
          <w:numId w:val="84"/>
        </w:numPr>
        <w:ind w:left="420" w:hanging="420"/>
        <w:rPr>
          <w:rFonts w:ascii="宋体" w:hAnsi="宋体" w:hint="eastAsia"/>
          <w:color w:val="000000" w:themeColor="text1"/>
        </w:rPr>
      </w:pPr>
      <w:bookmarkStart w:id="245" w:name="_Hlk168487614"/>
      <w:bookmarkStart w:id="246" w:name="_Hlk167977424"/>
      <w:bookmarkStart w:id="247" w:name="_Hlk40787204"/>
      <w:bookmarkStart w:id="248" w:name="_Hlk40787255"/>
      <w:bookmarkEnd w:id="240"/>
      <w:bookmarkEnd w:id="241"/>
      <w:bookmarkEnd w:id="242"/>
      <w:bookmarkEnd w:id="244"/>
      <w:bookmarkEnd w:id="243"/>
      <w:bookmarkEnd w:id="245"/>
      <w:r>
        <w:rPr>
          <w:rFonts w:ascii="宋体" w:hAnsi="宋体" w:hint="eastAsia"/>
          <w:color w:val="000000" w:themeColor="text1"/>
        </w:rPr>
        <w:t>以权益结算的股份支付情况</w:t>
      </w:r>
    </w:p>
    <w:sdt>
      <w:sdtPr>
        <w:rPr>
          <w:color w:val="000000" w:themeColor="text1"/>
        </w:rPr>
        <w:alias w:val="是否适用：以权益结算的股份支付情况[双击切换]"/>
        <w:tag w:val="_GBC_0f681034da4f4a658951f755e647b514"/>
        <w:id w:val="2077557237"/>
        <w:placeholder>
          <w:docPart w:val="GBC22222222222222222222222222222"/>
        </w:placeholder>
      </w:sdtPr>
      <w:sdtEndPr/>
      <w:sdtContent>
        <w:p w14:paraId="07CE06C1" w14:textId="77777777" w:rsidR="002D0AE7" w:rsidRDefault="00333EBB">
          <w:pPr>
            <w:rPr>
              <w:rFonts w:cstheme="minorBidi"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05E5CC52" w14:textId="77777777" w:rsidR="002D0AE7" w:rsidRDefault="00333EBB">
      <w:pPr>
        <w:pStyle w:val="3"/>
        <w:numPr>
          <w:ilvl w:val="0"/>
          <w:numId w:val="84"/>
        </w:numPr>
        <w:ind w:left="420" w:hanging="420"/>
        <w:rPr>
          <w:color w:val="000000" w:themeColor="text1"/>
        </w:rPr>
      </w:pPr>
      <w:bookmarkStart w:id="249" w:name="_Hlk40787299"/>
      <w:bookmarkStart w:id="250" w:name="_Hlk167977563"/>
      <w:bookmarkEnd w:id="246"/>
      <w:bookmarkEnd w:id="247"/>
      <w:bookmarkEnd w:id="248"/>
      <w:bookmarkEnd w:id="249"/>
      <w:r>
        <w:rPr>
          <w:rFonts w:hint="eastAsia"/>
          <w:color w:val="000000" w:themeColor="text1"/>
        </w:rPr>
        <w:t>以现金结算的股份支付情况</w:t>
      </w:r>
    </w:p>
    <w:sdt>
      <w:sdtPr>
        <w:rPr>
          <w:color w:val="000000" w:themeColor="text1"/>
        </w:rPr>
        <w:alias w:val="是否适用：以现金结算的股份支付情况[双击切换]"/>
        <w:tag w:val="_GBC_2a6bb5b9d8a04286865cd607e7260a60"/>
        <w:id w:val="1941630728"/>
        <w:placeholder>
          <w:docPart w:val="GBC22222222222222222222222222222"/>
        </w:placeholder>
      </w:sdtPr>
      <w:sdtEndPr/>
      <w:sdtContent>
        <w:p w14:paraId="5BDC0DB9" w14:textId="77777777" w:rsidR="002D0AE7" w:rsidRDefault="00333EBB">
          <w:pPr>
            <w:rPr>
              <w:rFonts w:hint="eastAsia"/>
              <w:color w:val="000000" w:themeColor="text1"/>
            </w:rPr>
          </w:pPr>
          <w:r>
            <w:rPr>
              <w:color w:val="000000" w:themeColor="text1"/>
            </w:rPr>
            <w:fldChar w:fldCharType="begin"/>
          </w:r>
          <w:r>
            <w:rPr>
              <w:color w:val="000000" w:themeColor="text1"/>
            </w:rPr>
            <w:instrText>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24076B4B" w14:textId="77777777" w:rsidR="002D0AE7" w:rsidRDefault="00333EBB">
      <w:pPr>
        <w:pStyle w:val="3"/>
        <w:numPr>
          <w:ilvl w:val="0"/>
          <w:numId w:val="84"/>
        </w:numPr>
        <w:ind w:left="420" w:hanging="420"/>
        <w:rPr>
          <w:color w:val="000000" w:themeColor="text1"/>
        </w:rPr>
      </w:pPr>
      <w:r>
        <w:rPr>
          <w:color w:val="000000" w:themeColor="text1"/>
        </w:rPr>
        <w:t>本期</w:t>
      </w:r>
      <w:r>
        <w:rPr>
          <w:rFonts w:hint="eastAsia"/>
          <w:color w:val="000000" w:themeColor="text1"/>
        </w:rPr>
        <w:t>股份支付费用</w:t>
      </w:r>
    </w:p>
    <w:bookmarkStart w:id="251" w:name="_Hlk168494235" w:displacedByCustomXml="next"/>
    <w:sdt>
      <w:sdtPr>
        <w:rPr>
          <w:color w:val="000000" w:themeColor="text1"/>
        </w:rPr>
        <w:alias w:val="是否适用：股份支付费用[双击切换]"/>
        <w:tag w:val="_GBC_5b0304a006c7437ca2961c2d2bdf142a"/>
        <w:id w:val="-1795974184"/>
        <w:placeholder>
          <w:docPart w:val="GBC22222222222222222222222222222"/>
        </w:placeholder>
      </w:sdtPr>
      <w:sdtEndPr/>
      <w:sdtContent>
        <w:p w14:paraId="4BABE41A"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1C5A9AB4" w14:textId="77777777" w:rsidR="002D0AE7" w:rsidRDefault="00333EBB">
      <w:pPr>
        <w:pStyle w:val="3"/>
        <w:numPr>
          <w:ilvl w:val="0"/>
          <w:numId w:val="84"/>
        </w:numPr>
        <w:rPr>
          <w:rFonts w:ascii="宋体" w:hAnsi="宋体" w:hint="eastAsia"/>
          <w:color w:val="000000" w:themeColor="text1"/>
        </w:rPr>
      </w:pPr>
      <w:bookmarkStart w:id="252" w:name="_Hlk168494436"/>
      <w:bookmarkEnd w:id="250"/>
      <w:bookmarkEnd w:id="251"/>
      <w:bookmarkEnd w:id="252"/>
      <w:r>
        <w:rPr>
          <w:rFonts w:ascii="宋体" w:hAnsi="宋体" w:hint="eastAsia"/>
          <w:color w:val="000000" w:themeColor="text1"/>
        </w:rPr>
        <w:t>股份支付的修改、终止情况</w:t>
      </w:r>
    </w:p>
    <w:sdt>
      <w:sdtPr>
        <w:rPr>
          <w:color w:val="000000" w:themeColor="text1"/>
        </w:rPr>
        <w:alias w:val="是否适用：股份支付的修改、终止情况[双击切换]"/>
        <w:tag w:val="_GBC_794cdee9be3b4b478fa83b914d22ea66"/>
        <w:id w:val="-1943758393"/>
        <w:placeholder>
          <w:docPart w:val="GBC22222222222222222222222222222"/>
        </w:placeholder>
      </w:sdtPr>
      <w:sdtEndPr/>
      <w:sdtContent>
        <w:p w14:paraId="5AEDBC63" w14:textId="77777777" w:rsidR="002D0AE7" w:rsidRDefault="00333EBB">
          <w:pPr>
            <w:rPr>
              <w:rFonts w:cstheme="minorBidi"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6D61095D" w14:textId="77777777" w:rsidR="002D0AE7" w:rsidRDefault="00333EBB">
      <w:pPr>
        <w:pStyle w:val="3"/>
        <w:numPr>
          <w:ilvl w:val="0"/>
          <w:numId w:val="84"/>
        </w:numPr>
        <w:rPr>
          <w:rFonts w:ascii="宋体" w:hAnsi="宋体" w:hint="eastAsia"/>
          <w:color w:val="000000" w:themeColor="text1"/>
          <w:szCs w:val="21"/>
        </w:rPr>
      </w:pPr>
      <w:r>
        <w:rPr>
          <w:rFonts w:ascii="宋体" w:hAnsi="宋体" w:hint="eastAsia"/>
          <w:color w:val="000000" w:themeColor="text1"/>
          <w:szCs w:val="21"/>
        </w:rPr>
        <w:t>其他</w:t>
      </w:r>
    </w:p>
    <w:sdt>
      <w:sdtPr>
        <w:rPr>
          <w:color w:val="000000" w:themeColor="text1"/>
        </w:rPr>
        <w:alias w:val="是否适用：股份支付的其他情况说明[双击切换]"/>
        <w:tag w:val="_GBC_b8be1a19715949cab94dc673580d61a2"/>
        <w:id w:val="-2101713426"/>
        <w:placeholder>
          <w:docPart w:val="GBC22222222222222222222222222222"/>
        </w:placeholder>
      </w:sdtPr>
      <w:sdtEndPr/>
      <w:sdtContent>
        <w:p w14:paraId="3EB1281A"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2D5C35E7" w14:textId="77777777" w:rsidR="002D0AE7" w:rsidRDefault="00333EBB">
      <w:pPr>
        <w:pStyle w:val="2"/>
        <w:numPr>
          <w:ilvl w:val="0"/>
          <w:numId w:val="34"/>
        </w:numPr>
        <w:ind w:left="482" w:hanging="482"/>
        <w:rPr>
          <w:rFonts w:ascii="宋体" w:hAnsi="宋体" w:hint="eastAsia"/>
          <w:color w:val="000000" w:themeColor="text1"/>
        </w:rPr>
      </w:pPr>
      <w:r>
        <w:rPr>
          <w:rFonts w:ascii="宋体" w:hAnsi="宋体" w:hint="eastAsia"/>
          <w:color w:val="000000" w:themeColor="text1"/>
        </w:rPr>
        <w:lastRenderedPageBreak/>
        <w:t>承诺及或有事项</w:t>
      </w:r>
    </w:p>
    <w:p w14:paraId="458CAB32" w14:textId="77777777" w:rsidR="002D0AE7" w:rsidRDefault="00333EBB">
      <w:pPr>
        <w:pStyle w:val="3"/>
        <w:numPr>
          <w:ilvl w:val="0"/>
          <w:numId w:val="85"/>
        </w:numPr>
        <w:rPr>
          <w:rFonts w:ascii="宋体" w:hAnsi="宋体" w:hint="eastAsia"/>
          <w:color w:val="000000" w:themeColor="text1"/>
        </w:rPr>
      </w:pPr>
      <w:r>
        <w:rPr>
          <w:rFonts w:ascii="宋体" w:hAnsi="宋体" w:hint="eastAsia"/>
          <w:color w:val="000000" w:themeColor="text1"/>
        </w:rPr>
        <w:t>重要承诺事项</w:t>
      </w:r>
    </w:p>
    <w:sdt>
      <w:sdtPr>
        <w:rPr>
          <w:color w:val="000000" w:themeColor="text1"/>
        </w:rPr>
        <w:alias w:val="是否适用：重要承诺事项[双击切换]"/>
        <w:tag w:val="_GBC_3ee02d2bff5e4dd69f75cc6148bdda8f"/>
        <w:id w:val="58299737"/>
        <w:placeholder>
          <w:docPart w:val="GBC22222222222222222222222222222"/>
        </w:placeholder>
      </w:sdtPr>
      <w:sdtEndPr/>
      <w:sdtContent>
        <w:p w14:paraId="4090738F" w14:textId="77777777" w:rsidR="002D0AE7" w:rsidRDefault="00333EBB">
          <w:pPr>
            <w:rPr>
              <w:rFonts w:cs="Cambria" w:hint="eastAsia"/>
              <w:bCs/>
              <w:color w:val="000000" w:themeColor="text1"/>
            </w:rPr>
          </w:pP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√不适用</w:instrText>
          </w:r>
          <w:r>
            <w:rPr>
              <w:rFonts w:hint="eastAsia"/>
              <w:color w:val="000000" w:themeColor="text1"/>
            </w:rPr>
            <w:instrText xml:space="preserve"> </w:instrText>
          </w:r>
          <w:r>
            <w:rPr>
              <w:color w:val="000000" w:themeColor="text1"/>
            </w:rPr>
            <w:fldChar w:fldCharType="end"/>
          </w:r>
        </w:p>
      </w:sdtContent>
    </w:sdt>
    <w:p w14:paraId="00ADF8FD" w14:textId="77777777" w:rsidR="002D0AE7" w:rsidRDefault="00333EBB">
      <w:pPr>
        <w:pStyle w:val="3"/>
        <w:numPr>
          <w:ilvl w:val="0"/>
          <w:numId w:val="85"/>
        </w:numPr>
        <w:rPr>
          <w:rFonts w:ascii="宋体" w:hAnsi="宋体" w:hint="eastAsia"/>
          <w:color w:val="000000" w:themeColor="text1"/>
        </w:rPr>
      </w:pPr>
      <w:r>
        <w:rPr>
          <w:rFonts w:ascii="宋体" w:hAnsi="宋体" w:hint="eastAsia"/>
          <w:color w:val="000000" w:themeColor="text1"/>
        </w:rPr>
        <w:t>或有事项</w:t>
      </w:r>
    </w:p>
    <w:p w14:paraId="2D35B2B1" w14:textId="77777777" w:rsidR="002D0AE7" w:rsidRDefault="00333EBB">
      <w:pPr>
        <w:pStyle w:val="4"/>
        <w:numPr>
          <w:ilvl w:val="0"/>
          <w:numId w:val="86"/>
        </w:numPr>
        <w:tabs>
          <w:tab w:val="left" w:pos="616"/>
        </w:tabs>
        <w:rPr>
          <w:rFonts w:ascii="宋体" w:hAnsi="宋体" w:hint="eastAsia"/>
          <w:color w:val="000000" w:themeColor="text1"/>
        </w:rPr>
      </w:pPr>
      <w:r>
        <w:rPr>
          <w:rFonts w:ascii="宋体" w:hAnsi="宋体" w:hint="eastAsia"/>
          <w:color w:val="000000" w:themeColor="text1"/>
        </w:rPr>
        <w:t>资产负债表日存在的重要或有事项</w:t>
      </w:r>
    </w:p>
    <w:sdt>
      <w:sdtPr>
        <w:rPr>
          <w:color w:val="000000" w:themeColor="text1"/>
        </w:rPr>
        <w:alias w:val="是否适用：资产负债表日存在的重要或有事项[双击切换]"/>
        <w:tag w:val="_GBC_dea854a30b4642f6b78351afe6791c32"/>
        <w:id w:val="-1784256877"/>
        <w:placeholder>
          <w:docPart w:val="GBC22222222222222222222222222222"/>
        </w:placeholder>
      </w:sdtPr>
      <w:sdtEndPr/>
      <w:sdtContent>
        <w:p w14:paraId="0014ED4C"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√不适用</w:instrText>
          </w:r>
          <w:r>
            <w:rPr>
              <w:rFonts w:hint="eastAsia"/>
              <w:color w:val="000000" w:themeColor="text1"/>
            </w:rPr>
            <w:instrText xml:space="preserve"> </w:instrText>
          </w:r>
          <w:r>
            <w:rPr>
              <w:color w:val="000000" w:themeColor="text1"/>
            </w:rPr>
            <w:fldChar w:fldCharType="end"/>
          </w:r>
        </w:p>
      </w:sdtContent>
    </w:sdt>
    <w:p w14:paraId="3DE0360B" w14:textId="77777777" w:rsidR="002D0AE7" w:rsidRDefault="00333EBB">
      <w:pPr>
        <w:pStyle w:val="4"/>
        <w:numPr>
          <w:ilvl w:val="0"/>
          <w:numId w:val="86"/>
        </w:numPr>
        <w:tabs>
          <w:tab w:val="left" w:pos="616"/>
        </w:tabs>
        <w:rPr>
          <w:rFonts w:ascii="宋体" w:hAnsi="宋体" w:hint="eastAsia"/>
          <w:color w:val="000000" w:themeColor="text1"/>
        </w:rPr>
      </w:pPr>
      <w:r>
        <w:rPr>
          <w:rFonts w:ascii="宋体" w:hAnsi="宋体" w:hint="eastAsia"/>
          <w:color w:val="000000" w:themeColor="text1"/>
        </w:rPr>
        <w:t>公司没有需要披露的重要或有事项，也应予以说明：</w:t>
      </w:r>
    </w:p>
    <w:sdt>
      <w:sdtPr>
        <w:rPr>
          <w:color w:val="000000" w:themeColor="text1"/>
        </w:rPr>
        <w:alias w:val="是否适用：公司没有需要披露的重要或有事项，也应予以说明[双击切换]"/>
        <w:tag w:val="_GBC_a0545390a9694adcaaee8509e290303c"/>
        <w:id w:val="-1690988556"/>
        <w:placeholder>
          <w:docPart w:val="GBC22222222222222222222222222222"/>
        </w:placeholder>
      </w:sdtPr>
      <w:sdtEndPr/>
      <w:sdtContent>
        <w:p w14:paraId="5D861362"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√不适用</w:instrText>
          </w:r>
          <w:r>
            <w:rPr>
              <w:rFonts w:hint="eastAsia"/>
              <w:color w:val="000000" w:themeColor="text1"/>
            </w:rPr>
            <w:instrText xml:space="preserve"> </w:instrText>
          </w:r>
          <w:r>
            <w:rPr>
              <w:color w:val="000000" w:themeColor="text1"/>
            </w:rPr>
            <w:fldChar w:fldCharType="end"/>
          </w:r>
        </w:p>
      </w:sdtContent>
    </w:sdt>
    <w:p w14:paraId="7BA27C20" w14:textId="77777777" w:rsidR="002D0AE7" w:rsidRDefault="00333EBB">
      <w:pPr>
        <w:pStyle w:val="3"/>
        <w:numPr>
          <w:ilvl w:val="0"/>
          <w:numId w:val="85"/>
        </w:numPr>
        <w:rPr>
          <w:rFonts w:ascii="宋体" w:hAnsi="宋体" w:hint="eastAsia"/>
          <w:color w:val="000000" w:themeColor="text1"/>
        </w:rPr>
      </w:pPr>
      <w:r>
        <w:rPr>
          <w:rFonts w:ascii="宋体" w:hAnsi="宋体" w:hint="eastAsia"/>
          <w:color w:val="000000" w:themeColor="text1"/>
        </w:rPr>
        <w:t>其他</w:t>
      </w:r>
    </w:p>
    <w:sdt>
      <w:sdtPr>
        <w:rPr>
          <w:color w:val="000000" w:themeColor="text1"/>
        </w:rPr>
        <w:alias w:val="是否适用：承诺及或有事项的其他情况说明[双击切换]"/>
        <w:tag w:val="_GBC_ff33b21a56eb4d3291f2b4875be5a2b2"/>
        <w:id w:val="-1677253481"/>
        <w:placeholder>
          <w:docPart w:val="GBC22222222222222222222222222222"/>
        </w:placeholder>
      </w:sdtPr>
      <w:sdtEndPr/>
      <w:sdtContent>
        <w:p w14:paraId="2380DC8D"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√不适用</w:instrText>
          </w:r>
          <w:r>
            <w:rPr>
              <w:rFonts w:hint="eastAsia"/>
              <w:color w:val="000000" w:themeColor="text1"/>
            </w:rPr>
            <w:instrText xml:space="preserve"> </w:instrText>
          </w:r>
          <w:r>
            <w:rPr>
              <w:color w:val="000000" w:themeColor="text1"/>
            </w:rPr>
            <w:fldChar w:fldCharType="end"/>
          </w:r>
        </w:p>
      </w:sdtContent>
    </w:sdt>
    <w:p w14:paraId="2199C9B1" w14:textId="77777777" w:rsidR="002D0AE7" w:rsidRDefault="00333EBB">
      <w:pPr>
        <w:pStyle w:val="2"/>
        <w:numPr>
          <w:ilvl w:val="0"/>
          <w:numId w:val="34"/>
        </w:numPr>
        <w:ind w:left="482" w:hanging="482"/>
        <w:rPr>
          <w:rFonts w:ascii="宋体" w:hAnsi="宋体" w:hint="eastAsia"/>
          <w:color w:val="000000" w:themeColor="text1"/>
        </w:rPr>
      </w:pPr>
      <w:r>
        <w:rPr>
          <w:rFonts w:ascii="宋体" w:hAnsi="宋体" w:hint="eastAsia"/>
          <w:color w:val="000000" w:themeColor="text1"/>
        </w:rPr>
        <w:t>资产负债表日后事项</w:t>
      </w:r>
    </w:p>
    <w:p w14:paraId="23DB552F" w14:textId="77777777" w:rsidR="002D0AE7" w:rsidRDefault="00333EBB">
      <w:pPr>
        <w:pStyle w:val="3"/>
        <w:numPr>
          <w:ilvl w:val="0"/>
          <w:numId w:val="87"/>
        </w:numPr>
        <w:rPr>
          <w:rFonts w:ascii="宋体" w:hAnsi="宋体" w:hint="eastAsia"/>
          <w:color w:val="000000" w:themeColor="text1"/>
        </w:rPr>
      </w:pPr>
      <w:r>
        <w:rPr>
          <w:rFonts w:ascii="宋体" w:hAnsi="宋体" w:hint="eastAsia"/>
          <w:color w:val="000000" w:themeColor="text1"/>
        </w:rPr>
        <w:t>重要的非调整事项</w:t>
      </w:r>
    </w:p>
    <w:sdt>
      <w:sdtPr>
        <w:rPr>
          <w:color w:val="000000" w:themeColor="text1"/>
        </w:rPr>
        <w:alias w:val="是否适用：重要的非调整事项[双击切换]"/>
        <w:tag w:val="_GBC_ab366a8fb12748d6aa2a8401b360857c"/>
        <w:id w:val="1612696385"/>
        <w:placeholder>
          <w:docPart w:val="GBC22222222222222222222222222222"/>
        </w:placeholder>
      </w:sdtPr>
      <w:sdtEndPr/>
      <w:sdtContent>
        <w:p w14:paraId="305FA34C"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√不适用</w:instrText>
          </w:r>
          <w:r>
            <w:rPr>
              <w:rFonts w:hint="eastAsia"/>
              <w:color w:val="000000" w:themeColor="text1"/>
            </w:rPr>
            <w:instrText xml:space="preserve"> </w:instrText>
          </w:r>
          <w:r>
            <w:rPr>
              <w:color w:val="000000" w:themeColor="text1"/>
            </w:rPr>
            <w:fldChar w:fldCharType="end"/>
          </w:r>
        </w:p>
      </w:sdtContent>
    </w:sdt>
    <w:p w14:paraId="60086F6D" w14:textId="77777777" w:rsidR="002D0AE7" w:rsidRDefault="00333EBB">
      <w:pPr>
        <w:pStyle w:val="3"/>
        <w:numPr>
          <w:ilvl w:val="0"/>
          <w:numId w:val="87"/>
        </w:numPr>
        <w:rPr>
          <w:rFonts w:ascii="宋体" w:hAnsi="宋体" w:hint="eastAsia"/>
          <w:color w:val="000000" w:themeColor="text1"/>
        </w:rPr>
      </w:pPr>
      <w:r>
        <w:rPr>
          <w:rFonts w:ascii="宋体" w:hAnsi="宋体" w:hint="eastAsia"/>
          <w:color w:val="000000" w:themeColor="text1"/>
        </w:rPr>
        <w:t>利润分配情况</w:t>
      </w:r>
    </w:p>
    <w:sdt>
      <w:sdtPr>
        <w:rPr>
          <w:color w:val="000000" w:themeColor="text1"/>
        </w:rPr>
        <w:alias w:val="是否适用：利润分配情况[双击切换]"/>
        <w:tag w:val="_GBC_a2ea8cd0604f474db0e7e62eb7fc0435"/>
        <w:id w:val="-541365323"/>
        <w:placeholder>
          <w:docPart w:val="GBC22222222222222222222222222222"/>
        </w:placeholder>
      </w:sdtPr>
      <w:sdtEndPr/>
      <w:sdtContent>
        <w:p w14:paraId="3EA79A1D"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√不适用</w:instrText>
          </w:r>
          <w:r>
            <w:rPr>
              <w:rFonts w:hint="eastAsia"/>
              <w:color w:val="000000" w:themeColor="text1"/>
            </w:rPr>
            <w:instrText xml:space="preserve"> </w:instrText>
          </w:r>
          <w:r>
            <w:rPr>
              <w:color w:val="000000" w:themeColor="text1"/>
            </w:rPr>
            <w:fldChar w:fldCharType="end"/>
          </w:r>
        </w:p>
      </w:sdtContent>
    </w:sdt>
    <w:p w14:paraId="3ED02B7E" w14:textId="77777777" w:rsidR="002D0AE7" w:rsidRDefault="00333EBB">
      <w:pPr>
        <w:pStyle w:val="3"/>
        <w:numPr>
          <w:ilvl w:val="0"/>
          <w:numId w:val="87"/>
        </w:numPr>
        <w:rPr>
          <w:rFonts w:ascii="宋体" w:hAnsi="宋体" w:hint="eastAsia"/>
          <w:color w:val="000000" w:themeColor="text1"/>
        </w:rPr>
      </w:pPr>
      <w:bookmarkStart w:id="253" w:name="_Toc241636515"/>
      <w:r>
        <w:rPr>
          <w:rFonts w:ascii="宋体" w:hAnsi="宋体" w:hint="eastAsia"/>
          <w:color w:val="000000" w:themeColor="text1"/>
          <w:szCs w:val="21"/>
        </w:rPr>
        <w:t>销售</w:t>
      </w:r>
      <w:r>
        <w:rPr>
          <w:rFonts w:ascii="宋体" w:hAnsi="宋体" w:hint="eastAsia"/>
          <w:color w:val="000000" w:themeColor="text1"/>
        </w:rPr>
        <w:t>退回</w:t>
      </w:r>
    </w:p>
    <w:sdt>
      <w:sdtPr>
        <w:rPr>
          <w:color w:val="000000" w:themeColor="text1"/>
        </w:rPr>
        <w:alias w:val="是否适用：销售退回[双击切换]"/>
        <w:tag w:val="_GBC_4175c0e820fa43cd98dd2d05c0dea8a8"/>
        <w:id w:val="123213598"/>
        <w:placeholder>
          <w:docPart w:val="GBC22222222222222222222222222222"/>
        </w:placeholder>
      </w:sdtPr>
      <w:sdtEndPr/>
      <w:sdtContent>
        <w:p w14:paraId="53215C43"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√不适用</w:instrText>
          </w:r>
          <w:r>
            <w:rPr>
              <w:rFonts w:hint="eastAsia"/>
              <w:color w:val="000000" w:themeColor="text1"/>
            </w:rPr>
            <w:instrText xml:space="preserve"> </w:instrText>
          </w:r>
          <w:r>
            <w:rPr>
              <w:color w:val="000000" w:themeColor="text1"/>
            </w:rPr>
            <w:fldChar w:fldCharType="end"/>
          </w:r>
        </w:p>
      </w:sdtContent>
    </w:sdt>
    <w:p w14:paraId="41DD47DD" w14:textId="77777777" w:rsidR="002D0AE7" w:rsidRDefault="00333EBB">
      <w:pPr>
        <w:pStyle w:val="3"/>
        <w:numPr>
          <w:ilvl w:val="0"/>
          <w:numId w:val="87"/>
        </w:numPr>
        <w:rPr>
          <w:rFonts w:ascii="宋体" w:hAnsi="宋体" w:hint="eastAsia"/>
          <w:color w:val="000000" w:themeColor="text1"/>
        </w:rPr>
      </w:pPr>
      <w:r>
        <w:rPr>
          <w:rFonts w:ascii="宋体" w:hAnsi="宋体" w:hint="eastAsia"/>
          <w:color w:val="000000" w:themeColor="text1"/>
        </w:rPr>
        <w:t>其他资产负债表日后事项说明</w:t>
      </w:r>
      <w:bookmarkEnd w:id="253"/>
    </w:p>
    <w:sdt>
      <w:sdtPr>
        <w:rPr>
          <w:color w:val="000000" w:themeColor="text1"/>
        </w:rPr>
        <w:alias w:val="是否适用：其他资产负债表日后事项说明[双击切换]"/>
        <w:tag w:val="_GBC_3da0e7092a0048ed9e147e2e860785f5"/>
        <w:id w:val="1768576205"/>
        <w:placeholder>
          <w:docPart w:val="GBC22222222222222222222222222222"/>
        </w:placeholder>
      </w:sdtPr>
      <w:sdtEndPr/>
      <w:sdtContent>
        <w:p w14:paraId="611AB4BC"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√不适用</w:instrText>
          </w:r>
          <w:r>
            <w:rPr>
              <w:rFonts w:hint="eastAsia"/>
              <w:color w:val="000000" w:themeColor="text1"/>
            </w:rPr>
            <w:instrText xml:space="preserve"> </w:instrText>
          </w:r>
          <w:r>
            <w:rPr>
              <w:color w:val="000000" w:themeColor="text1"/>
            </w:rPr>
            <w:fldChar w:fldCharType="end"/>
          </w:r>
        </w:p>
      </w:sdtContent>
    </w:sdt>
    <w:p w14:paraId="58948D20" w14:textId="77777777" w:rsidR="002D0AE7" w:rsidRDefault="00333EBB">
      <w:pPr>
        <w:pStyle w:val="2"/>
        <w:numPr>
          <w:ilvl w:val="0"/>
          <w:numId w:val="34"/>
        </w:numPr>
        <w:ind w:left="482" w:hanging="482"/>
        <w:rPr>
          <w:rFonts w:ascii="宋体" w:hAnsi="宋体" w:hint="eastAsia"/>
          <w:color w:val="000000" w:themeColor="text1"/>
        </w:rPr>
      </w:pPr>
      <w:r>
        <w:rPr>
          <w:rFonts w:ascii="宋体" w:hAnsi="宋体" w:hint="eastAsia"/>
          <w:color w:val="000000" w:themeColor="text1"/>
        </w:rPr>
        <w:t>其他重要事项</w:t>
      </w:r>
    </w:p>
    <w:p w14:paraId="55F6F5FE" w14:textId="77777777" w:rsidR="002D0AE7" w:rsidRDefault="00333EBB">
      <w:pPr>
        <w:pStyle w:val="3"/>
        <w:numPr>
          <w:ilvl w:val="0"/>
          <w:numId w:val="88"/>
        </w:numPr>
        <w:rPr>
          <w:rFonts w:ascii="宋体" w:hAnsi="宋体" w:hint="eastAsia"/>
          <w:color w:val="000000" w:themeColor="text1"/>
        </w:rPr>
      </w:pPr>
      <w:r>
        <w:rPr>
          <w:rFonts w:ascii="宋体" w:hAnsi="宋体" w:hint="eastAsia"/>
          <w:color w:val="000000" w:themeColor="text1"/>
        </w:rPr>
        <w:t>前期会计差错更正</w:t>
      </w:r>
    </w:p>
    <w:p w14:paraId="7E47E44A" w14:textId="77777777" w:rsidR="002D0AE7" w:rsidRDefault="00333EBB">
      <w:pPr>
        <w:pStyle w:val="4"/>
        <w:numPr>
          <w:ilvl w:val="0"/>
          <w:numId w:val="89"/>
        </w:numPr>
        <w:tabs>
          <w:tab w:val="left" w:pos="602"/>
        </w:tabs>
        <w:rPr>
          <w:rFonts w:ascii="宋体" w:hAnsi="宋体" w:hint="eastAsia"/>
          <w:color w:val="000000" w:themeColor="text1"/>
        </w:rPr>
      </w:pPr>
      <w:r>
        <w:rPr>
          <w:rFonts w:ascii="宋体" w:hAnsi="宋体" w:hint="eastAsia"/>
          <w:color w:val="000000" w:themeColor="text1"/>
        </w:rPr>
        <w:t>追溯重述法</w:t>
      </w:r>
    </w:p>
    <w:sdt>
      <w:sdtPr>
        <w:rPr>
          <w:rFonts w:hint="eastAsia"/>
          <w:color w:val="000000" w:themeColor="text1"/>
        </w:rPr>
        <w:alias w:val="是否适用：追溯重述法[双击切换]"/>
        <w:tag w:val="_GBC_9d59987ec8f64e568cc0874cd76bb5ce"/>
        <w:id w:val="-1726902189"/>
        <w:placeholder>
          <w:docPart w:val="GBC22222222222222222222222222222"/>
        </w:placeholder>
      </w:sdtPr>
      <w:sdtEndPr/>
      <w:sdtContent>
        <w:p w14:paraId="270DF4FA"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√不适用</w:instrText>
          </w:r>
          <w:r>
            <w:rPr>
              <w:rFonts w:hint="eastAsia"/>
              <w:color w:val="000000" w:themeColor="text1"/>
            </w:rPr>
            <w:instrText xml:space="preserve"> </w:instrText>
          </w:r>
          <w:r>
            <w:rPr>
              <w:color w:val="000000" w:themeColor="text1"/>
            </w:rPr>
            <w:fldChar w:fldCharType="end"/>
          </w:r>
        </w:p>
      </w:sdtContent>
    </w:sdt>
    <w:p w14:paraId="5D7BEBAB" w14:textId="77777777" w:rsidR="002D0AE7" w:rsidRDefault="00333EBB">
      <w:pPr>
        <w:pStyle w:val="4"/>
        <w:numPr>
          <w:ilvl w:val="0"/>
          <w:numId w:val="89"/>
        </w:numPr>
        <w:tabs>
          <w:tab w:val="left" w:pos="602"/>
        </w:tabs>
        <w:rPr>
          <w:rFonts w:ascii="宋体" w:hAnsi="宋体" w:cs="Cambria" w:hint="eastAsia"/>
          <w:bCs w:val="0"/>
          <w:color w:val="000000" w:themeColor="text1"/>
        </w:rPr>
      </w:pPr>
      <w:r>
        <w:rPr>
          <w:rFonts w:ascii="宋体" w:hAnsi="宋体" w:hint="eastAsia"/>
          <w:color w:val="000000" w:themeColor="text1"/>
        </w:rPr>
        <w:t>未来</w:t>
      </w:r>
      <w:r>
        <w:rPr>
          <w:rFonts w:ascii="宋体" w:hAnsi="宋体" w:cs="Cambria" w:hint="eastAsia"/>
          <w:color w:val="000000" w:themeColor="text1"/>
        </w:rPr>
        <w:t>适用法</w:t>
      </w:r>
    </w:p>
    <w:sdt>
      <w:sdtPr>
        <w:rPr>
          <w:color w:val="000000" w:themeColor="text1"/>
        </w:rPr>
        <w:alias w:val="是否适用：未来适用法[双击切换]"/>
        <w:tag w:val="_GBC_add0977272ee43e7938e3e96c6aaa92d"/>
        <w:id w:val="1420286259"/>
        <w:placeholder>
          <w:docPart w:val="GBC22222222222222222222222222222"/>
        </w:placeholder>
      </w:sdtPr>
      <w:sdtEndPr/>
      <w:sdtContent>
        <w:p w14:paraId="760CD895"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√不适用</w:instrText>
          </w:r>
          <w:r>
            <w:rPr>
              <w:rFonts w:hint="eastAsia"/>
              <w:color w:val="000000" w:themeColor="text1"/>
            </w:rPr>
            <w:instrText xml:space="preserve"> </w:instrText>
          </w:r>
          <w:r>
            <w:rPr>
              <w:color w:val="000000" w:themeColor="text1"/>
            </w:rPr>
            <w:fldChar w:fldCharType="end"/>
          </w:r>
        </w:p>
      </w:sdtContent>
    </w:sdt>
    <w:p w14:paraId="65DDC7AF" w14:textId="77777777" w:rsidR="002D0AE7" w:rsidRDefault="00333EBB">
      <w:pPr>
        <w:pStyle w:val="3"/>
        <w:numPr>
          <w:ilvl w:val="0"/>
          <w:numId w:val="88"/>
        </w:numPr>
        <w:ind w:left="0" w:firstLine="0"/>
        <w:rPr>
          <w:color w:val="000000" w:themeColor="text1"/>
        </w:rPr>
      </w:pPr>
      <w:bookmarkStart w:id="254" w:name="_Hlk167977672"/>
      <w:r>
        <w:rPr>
          <w:rFonts w:ascii="宋体" w:hAnsi="宋体" w:cs="宋体" w:hint="eastAsia"/>
          <w:color w:val="000000" w:themeColor="text1"/>
          <w:kern w:val="0"/>
          <w:szCs w:val="24"/>
        </w:rPr>
        <w:t>重要</w:t>
      </w:r>
      <w:r>
        <w:rPr>
          <w:rFonts w:hint="eastAsia"/>
          <w:color w:val="000000" w:themeColor="text1"/>
        </w:rPr>
        <w:t>债务重组</w:t>
      </w:r>
    </w:p>
    <w:sdt>
      <w:sdtPr>
        <w:rPr>
          <w:color w:val="000000" w:themeColor="text1"/>
        </w:rPr>
        <w:alias w:val="是否适用：重要债务重组[双击切换]"/>
        <w:tag w:val="_GBC_14f62373def24b6b994f6cfe645fabcb"/>
        <w:id w:val="1495988757"/>
        <w:placeholder>
          <w:docPart w:val="GBC22222222222222222222222222222"/>
        </w:placeholder>
      </w:sdtPr>
      <w:sdtEndPr/>
      <w:sdtContent>
        <w:p w14:paraId="084272A6" w14:textId="77777777" w:rsidR="002D0AE7" w:rsidRDefault="00333EBB">
          <w:pPr>
            <w:rPr>
              <w:rFonts w:asciiTheme="minorHAnsi" w:eastAsiaTheme="minorEastAsia" w:hAnsiTheme="minorHAnsi" w:cstheme="minorBidi"/>
              <w:color w:val="000000" w:themeColor="text1"/>
            </w:rPr>
          </w:pP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√不适用</w:instrText>
          </w:r>
          <w:r>
            <w:rPr>
              <w:rFonts w:hint="eastAsia"/>
              <w:color w:val="000000" w:themeColor="text1"/>
            </w:rPr>
            <w:instrText xml:space="preserve"> </w:instrText>
          </w:r>
          <w:r>
            <w:rPr>
              <w:color w:val="000000" w:themeColor="text1"/>
            </w:rPr>
            <w:fldChar w:fldCharType="end"/>
          </w:r>
        </w:p>
      </w:sdtContent>
    </w:sdt>
    <w:bookmarkEnd w:id="254"/>
    <w:p w14:paraId="7834F742" w14:textId="77777777" w:rsidR="002D0AE7" w:rsidRDefault="00333EBB">
      <w:pPr>
        <w:pStyle w:val="3"/>
        <w:numPr>
          <w:ilvl w:val="0"/>
          <w:numId w:val="88"/>
        </w:numPr>
        <w:rPr>
          <w:rFonts w:ascii="宋体" w:hAnsi="宋体" w:hint="eastAsia"/>
          <w:color w:val="000000" w:themeColor="text1"/>
        </w:rPr>
      </w:pPr>
      <w:r>
        <w:rPr>
          <w:rFonts w:ascii="宋体" w:hAnsi="宋体" w:hint="eastAsia"/>
          <w:color w:val="000000" w:themeColor="text1"/>
        </w:rPr>
        <w:t>资产置换</w:t>
      </w:r>
    </w:p>
    <w:p w14:paraId="22FE9E95" w14:textId="77777777" w:rsidR="002D0AE7" w:rsidRDefault="00333EBB">
      <w:pPr>
        <w:pStyle w:val="4"/>
        <w:numPr>
          <w:ilvl w:val="0"/>
          <w:numId w:val="90"/>
        </w:numPr>
        <w:tabs>
          <w:tab w:val="left" w:pos="644"/>
        </w:tabs>
        <w:rPr>
          <w:rFonts w:ascii="宋体" w:hAnsi="宋体" w:hint="eastAsia"/>
          <w:color w:val="000000" w:themeColor="text1"/>
        </w:rPr>
      </w:pPr>
      <w:bookmarkStart w:id="255" w:name="_Toc241636517"/>
      <w:bookmarkStart w:id="256" w:name="_Toc161412438"/>
      <w:r>
        <w:rPr>
          <w:rFonts w:ascii="宋体" w:hAnsi="宋体" w:hint="eastAsia"/>
          <w:color w:val="000000" w:themeColor="text1"/>
        </w:rPr>
        <w:t>非货币性资产交换</w:t>
      </w:r>
      <w:bookmarkEnd w:id="255"/>
      <w:bookmarkEnd w:id="256"/>
    </w:p>
    <w:sdt>
      <w:sdtPr>
        <w:rPr>
          <w:color w:val="000000" w:themeColor="text1"/>
        </w:rPr>
        <w:alias w:val="是否适用：非货币性资产交换[双击切换]"/>
        <w:tag w:val="_GBC_1e8378570c9a4db08ad001118944af2e"/>
        <w:id w:val="-1751341656"/>
        <w:placeholder>
          <w:docPart w:val="GBC22222222222222222222222222222"/>
        </w:placeholder>
      </w:sdtPr>
      <w:sdtEndPr/>
      <w:sdtContent>
        <w:p w14:paraId="1D167A7F"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√不适用</w:instrText>
          </w:r>
          <w:r>
            <w:rPr>
              <w:rFonts w:hint="eastAsia"/>
              <w:color w:val="000000" w:themeColor="text1"/>
            </w:rPr>
            <w:instrText xml:space="preserve"> </w:instrText>
          </w:r>
          <w:r>
            <w:rPr>
              <w:color w:val="000000" w:themeColor="text1"/>
            </w:rPr>
            <w:fldChar w:fldCharType="end"/>
          </w:r>
        </w:p>
      </w:sdtContent>
    </w:sdt>
    <w:p w14:paraId="02660EBE" w14:textId="77777777" w:rsidR="002D0AE7" w:rsidRDefault="00333EBB">
      <w:pPr>
        <w:pStyle w:val="4"/>
        <w:numPr>
          <w:ilvl w:val="0"/>
          <w:numId w:val="90"/>
        </w:numPr>
        <w:tabs>
          <w:tab w:val="left" w:pos="644"/>
        </w:tabs>
        <w:rPr>
          <w:rFonts w:ascii="宋体" w:hAnsi="宋体" w:hint="eastAsia"/>
          <w:color w:val="000000" w:themeColor="text1"/>
        </w:rPr>
      </w:pPr>
      <w:r>
        <w:rPr>
          <w:rFonts w:ascii="宋体" w:hAnsi="宋体" w:hint="eastAsia"/>
          <w:color w:val="000000" w:themeColor="text1"/>
        </w:rPr>
        <w:t>其他资产置换</w:t>
      </w:r>
    </w:p>
    <w:sdt>
      <w:sdtPr>
        <w:rPr>
          <w:color w:val="000000" w:themeColor="text1"/>
        </w:rPr>
        <w:alias w:val="是否适用：其他资产置换[双击切换]"/>
        <w:tag w:val="_GBC_e20be5fc12b94f43a4090c14cc3aec63"/>
        <w:id w:val="-472606146"/>
        <w:placeholder>
          <w:docPart w:val="GBC22222222222222222222222222222"/>
        </w:placeholder>
      </w:sdtPr>
      <w:sdtEndPr/>
      <w:sdtContent>
        <w:p w14:paraId="20502FC5"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√不适用</w:instrText>
          </w:r>
          <w:r>
            <w:rPr>
              <w:rFonts w:hint="eastAsia"/>
              <w:color w:val="000000" w:themeColor="text1"/>
            </w:rPr>
            <w:instrText xml:space="preserve"> </w:instrText>
          </w:r>
          <w:r>
            <w:rPr>
              <w:color w:val="000000" w:themeColor="text1"/>
            </w:rPr>
            <w:fldChar w:fldCharType="end"/>
          </w:r>
        </w:p>
      </w:sdtContent>
    </w:sdt>
    <w:p w14:paraId="3F455A82" w14:textId="77777777" w:rsidR="002D0AE7" w:rsidRDefault="00333EBB">
      <w:pPr>
        <w:pStyle w:val="3"/>
        <w:numPr>
          <w:ilvl w:val="0"/>
          <w:numId w:val="88"/>
        </w:numPr>
        <w:rPr>
          <w:rFonts w:ascii="宋体" w:hAnsi="宋体" w:hint="eastAsia"/>
          <w:color w:val="000000" w:themeColor="text1"/>
        </w:rPr>
      </w:pPr>
      <w:bookmarkStart w:id="257" w:name="_Toc247371936"/>
      <w:r>
        <w:rPr>
          <w:rFonts w:ascii="宋体" w:hAnsi="宋体" w:hint="eastAsia"/>
          <w:color w:val="000000" w:themeColor="text1"/>
        </w:rPr>
        <w:t>年金计划</w:t>
      </w:r>
      <w:bookmarkEnd w:id="257"/>
    </w:p>
    <w:sdt>
      <w:sdtPr>
        <w:rPr>
          <w:color w:val="000000" w:themeColor="text1"/>
        </w:rPr>
        <w:alias w:val="是否适用：年金计划[双击切换]"/>
        <w:tag w:val="_GBC_f69a163f78f74a54a6443aaa7388f0dd"/>
        <w:id w:val="574477551"/>
        <w:placeholder>
          <w:docPart w:val="GBC22222222222222222222222222222"/>
        </w:placeholder>
      </w:sdtPr>
      <w:sdtEndPr/>
      <w:sdtContent>
        <w:p w14:paraId="62ADF1B6" w14:textId="77777777" w:rsidR="002D0AE7" w:rsidRDefault="00333EBB">
          <w:pPr>
            <w:rPr>
              <w:rFonts w:cstheme="minorBidi" w:hint="eastAsia"/>
              <w:color w:val="000000" w:themeColor="text1"/>
            </w:rPr>
          </w:pP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√不适用</w:instrText>
          </w:r>
          <w:r>
            <w:rPr>
              <w:rFonts w:hint="eastAsia"/>
              <w:color w:val="000000" w:themeColor="text1"/>
            </w:rPr>
            <w:instrText xml:space="preserve"> </w:instrText>
          </w:r>
          <w:r>
            <w:rPr>
              <w:color w:val="000000" w:themeColor="text1"/>
            </w:rPr>
            <w:fldChar w:fldCharType="end"/>
          </w:r>
        </w:p>
      </w:sdtContent>
    </w:sdt>
    <w:p w14:paraId="461EADB5" w14:textId="77777777" w:rsidR="002D0AE7" w:rsidRDefault="00333EBB">
      <w:pPr>
        <w:pStyle w:val="3"/>
        <w:numPr>
          <w:ilvl w:val="0"/>
          <w:numId w:val="88"/>
        </w:numPr>
        <w:rPr>
          <w:rFonts w:ascii="宋体" w:hAnsi="宋体" w:hint="eastAsia"/>
          <w:color w:val="000000" w:themeColor="text1"/>
          <w:szCs w:val="21"/>
        </w:rPr>
      </w:pPr>
      <w:r>
        <w:rPr>
          <w:rFonts w:ascii="宋体" w:hAnsi="宋体" w:hint="eastAsia"/>
          <w:color w:val="000000" w:themeColor="text1"/>
          <w:szCs w:val="21"/>
        </w:rPr>
        <w:t>终止经营</w:t>
      </w:r>
    </w:p>
    <w:sdt>
      <w:sdtPr>
        <w:rPr>
          <w:color w:val="000000" w:themeColor="text1"/>
        </w:rPr>
        <w:alias w:val="是否适用：终止经营[双击切换]"/>
        <w:tag w:val="_GBC_8e88002e405543f593111633f63e4d8b"/>
        <w:id w:val="-1106190216"/>
        <w:placeholder>
          <w:docPart w:val="GBC22222222222222222222222222222"/>
        </w:placeholder>
      </w:sdtPr>
      <w:sdtEndPr/>
      <w:sdtContent>
        <w:p w14:paraId="21FAC362" w14:textId="77777777" w:rsidR="002D0AE7" w:rsidRDefault="00333EBB">
          <w:pPr>
            <w:rPr>
              <w:rFonts w:cstheme="minorBidi" w:hint="eastAsia"/>
              <w:color w:val="000000" w:themeColor="text1"/>
              <w:kern w:val="2"/>
            </w:rPr>
          </w:pP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√不适用</w:instrText>
          </w:r>
          <w:r>
            <w:rPr>
              <w:rFonts w:hint="eastAsia"/>
              <w:color w:val="000000" w:themeColor="text1"/>
            </w:rPr>
            <w:instrText xml:space="preserve"> </w:instrText>
          </w:r>
          <w:r>
            <w:rPr>
              <w:color w:val="000000" w:themeColor="text1"/>
            </w:rPr>
            <w:fldChar w:fldCharType="end"/>
          </w:r>
        </w:p>
      </w:sdtContent>
    </w:sdt>
    <w:p w14:paraId="2C265D25" w14:textId="77777777" w:rsidR="002D0AE7" w:rsidRDefault="00333EBB">
      <w:pPr>
        <w:pStyle w:val="3"/>
        <w:numPr>
          <w:ilvl w:val="0"/>
          <w:numId w:val="88"/>
        </w:numPr>
        <w:rPr>
          <w:rFonts w:ascii="宋体" w:hAnsi="宋体" w:hint="eastAsia"/>
          <w:color w:val="000000" w:themeColor="text1"/>
          <w:szCs w:val="21"/>
        </w:rPr>
      </w:pPr>
      <w:r>
        <w:rPr>
          <w:rFonts w:ascii="宋体" w:hAnsi="宋体" w:hint="eastAsia"/>
          <w:color w:val="000000" w:themeColor="text1"/>
          <w:szCs w:val="21"/>
        </w:rPr>
        <w:lastRenderedPageBreak/>
        <w:t>分部信息</w:t>
      </w:r>
    </w:p>
    <w:p w14:paraId="56D02669" w14:textId="77777777" w:rsidR="002D0AE7" w:rsidRDefault="00333EBB">
      <w:pPr>
        <w:pStyle w:val="4"/>
        <w:numPr>
          <w:ilvl w:val="1"/>
          <w:numId w:val="91"/>
        </w:numPr>
        <w:tabs>
          <w:tab w:val="left" w:pos="644"/>
        </w:tabs>
        <w:ind w:left="420"/>
        <w:rPr>
          <w:rFonts w:ascii="宋体" w:hAnsi="宋体" w:hint="eastAsia"/>
          <w:color w:val="000000" w:themeColor="text1"/>
          <w:szCs w:val="21"/>
        </w:rPr>
      </w:pPr>
      <w:r>
        <w:rPr>
          <w:rFonts w:ascii="宋体" w:hAnsi="宋体" w:hint="eastAsia"/>
          <w:color w:val="000000" w:themeColor="text1"/>
          <w:szCs w:val="21"/>
        </w:rPr>
        <w:t>报告分部的确定依据与会计政策</w:t>
      </w:r>
    </w:p>
    <w:sdt>
      <w:sdtPr>
        <w:rPr>
          <w:color w:val="000000" w:themeColor="text1"/>
        </w:rPr>
        <w:alias w:val="是否适用：报告分部的确定依据与会计政策[双击切换]"/>
        <w:tag w:val="_GBC_3684a11ce06644529eba619783a75583"/>
        <w:id w:val="147335469"/>
        <w:placeholder>
          <w:docPart w:val="GBC22222222222222222222222222222"/>
        </w:placeholder>
      </w:sdtPr>
      <w:sdtEndPr/>
      <w:sdtContent>
        <w:p w14:paraId="0A5E7F69"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√不适用</w:instrText>
          </w:r>
          <w:r>
            <w:rPr>
              <w:rFonts w:hint="eastAsia"/>
              <w:color w:val="000000" w:themeColor="text1"/>
            </w:rPr>
            <w:instrText xml:space="preserve"> </w:instrText>
          </w:r>
          <w:r>
            <w:rPr>
              <w:color w:val="000000" w:themeColor="text1"/>
            </w:rPr>
            <w:fldChar w:fldCharType="end"/>
          </w:r>
        </w:p>
      </w:sdtContent>
    </w:sdt>
    <w:p w14:paraId="664A9CE2" w14:textId="77777777" w:rsidR="002D0AE7" w:rsidRDefault="00333EBB">
      <w:pPr>
        <w:pStyle w:val="4"/>
        <w:numPr>
          <w:ilvl w:val="1"/>
          <w:numId w:val="91"/>
        </w:numPr>
        <w:tabs>
          <w:tab w:val="left" w:pos="644"/>
        </w:tabs>
        <w:ind w:left="420"/>
        <w:rPr>
          <w:rFonts w:ascii="宋体" w:hAnsi="宋体" w:hint="eastAsia"/>
          <w:color w:val="000000" w:themeColor="text1"/>
        </w:rPr>
      </w:pPr>
      <w:r>
        <w:rPr>
          <w:rFonts w:ascii="宋体" w:hAnsi="宋体" w:hint="eastAsia"/>
          <w:color w:val="000000" w:themeColor="text1"/>
        </w:rPr>
        <w:t>报告分部的财务信息</w:t>
      </w:r>
    </w:p>
    <w:sdt>
      <w:sdtPr>
        <w:rPr>
          <w:color w:val="000000" w:themeColor="text1"/>
        </w:rPr>
        <w:alias w:val="是否适用：报告分部的财务信息[双击切换]"/>
        <w:tag w:val="_GBC_25e6ee3686524d959ae273bb5aaa9cfb"/>
        <w:id w:val="-383872609"/>
        <w:placeholder>
          <w:docPart w:val="GBC22222222222222222222222222222"/>
        </w:placeholder>
      </w:sdtPr>
      <w:sdtEndPr/>
      <w:sdtContent>
        <w:p w14:paraId="57717DB7"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√不适用</w:instrText>
          </w:r>
          <w:r>
            <w:rPr>
              <w:rFonts w:hint="eastAsia"/>
              <w:color w:val="000000" w:themeColor="text1"/>
            </w:rPr>
            <w:instrText xml:space="preserve"> </w:instrText>
          </w:r>
          <w:r>
            <w:rPr>
              <w:color w:val="000000" w:themeColor="text1"/>
            </w:rPr>
            <w:fldChar w:fldCharType="end"/>
          </w:r>
        </w:p>
      </w:sdtContent>
    </w:sdt>
    <w:p w14:paraId="37F0B9BC" w14:textId="77777777" w:rsidR="002D0AE7" w:rsidRDefault="00333EBB">
      <w:pPr>
        <w:pStyle w:val="4"/>
        <w:numPr>
          <w:ilvl w:val="1"/>
          <w:numId w:val="91"/>
        </w:numPr>
        <w:tabs>
          <w:tab w:val="left" w:pos="644"/>
        </w:tabs>
        <w:ind w:left="420"/>
        <w:rPr>
          <w:rFonts w:ascii="宋体" w:hAnsi="宋体" w:hint="eastAsia"/>
          <w:color w:val="000000" w:themeColor="text1"/>
          <w:szCs w:val="21"/>
        </w:rPr>
      </w:pPr>
      <w:r>
        <w:rPr>
          <w:rFonts w:ascii="宋体" w:hAnsi="宋体"/>
          <w:color w:val="000000" w:themeColor="text1"/>
          <w:szCs w:val="21"/>
        </w:rPr>
        <w:t>公司无报告分部的，或者不能披露各报告分部的资产总额和负债总额的，应说明原因</w:t>
      </w:r>
    </w:p>
    <w:sdt>
      <w:sdtPr>
        <w:rPr>
          <w:rFonts w:hint="eastAsia"/>
          <w:color w:val="000000" w:themeColor="text1"/>
        </w:rPr>
        <w:alias w:val="是否适用：公司无报告分部的，或者不能披露各报告分部的资产总额和负债总额的，应说明原因[双击切换]"/>
        <w:tag w:val="_GBC_de327191b263431db97d3ba75838aba8"/>
        <w:id w:val="-1822647001"/>
        <w:placeholder>
          <w:docPart w:val="GBC22222222222222222222222222222"/>
        </w:placeholder>
      </w:sdtPr>
      <w:sdtEndPr/>
      <w:sdtContent>
        <w:p w14:paraId="29123C7D"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√不适用</w:instrText>
          </w:r>
          <w:r>
            <w:rPr>
              <w:rFonts w:hint="eastAsia"/>
              <w:color w:val="000000" w:themeColor="text1"/>
            </w:rPr>
            <w:instrText xml:space="preserve"> </w:instrText>
          </w:r>
          <w:r>
            <w:rPr>
              <w:color w:val="000000" w:themeColor="text1"/>
            </w:rPr>
            <w:fldChar w:fldCharType="end"/>
          </w:r>
        </w:p>
      </w:sdtContent>
    </w:sdt>
    <w:p w14:paraId="3BA73D0F" w14:textId="77777777" w:rsidR="002D0AE7" w:rsidRDefault="00333EBB">
      <w:pPr>
        <w:pStyle w:val="4"/>
        <w:numPr>
          <w:ilvl w:val="1"/>
          <w:numId w:val="91"/>
        </w:numPr>
        <w:tabs>
          <w:tab w:val="left" w:pos="644"/>
        </w:tabs>
        <w:ind w:left="420"/>
        <w:rPr>
          <w:rFonts w:ascii="宋体" w:hAnsi="宋体" w:hint="eastAsia"/>
          <w:color w:val="000000" w:themeColor="text1"/>
          <w:szCs w:val="21"/>
        </w:rPr>
      </w:pPr>
      <w:r>
        <w:rPr>
          <w:rFonts w:ascii="宋体" w:hAnsi="宋体" w:hint="eastAsia"/>
          <w:color w:val="000000" w:themeColor="text1"/>
          <w:szCs w:val="21"/>
        </w:rPr>
        <w:t>其他</w:t>
      </w:r>
      <w:r>
        <w:rPr>
          <w:rFonts w:ascii="宋体" w:hAnsi="宋体" w:hint="eastAsia"/>
          <w:color w:val="000000" w:themeColor="text1"/>
        </w:rPr>
        <w:t>说明</w:t>
      </w:r>
    </w:p>
    <w:sdt>
      <w:sdtPr>
        <w:rPr>
          <w:color w:val="000000" w:themeColor="text1"/>
        </w:rPr>
        <w:alias w:val="是否适用：分部信息的其他说明[双击切换]"/>
        <w:tag w:val="_GBC_d4186588d0fd49e5b2642a9422c2353f"/>
        <w:id w:val="-1801294360"/>
        <w:placeholder>
          <w:docPart w:val="GBC22222222222222222222222222222"/>
        </w:placeholder>
      </w:sdtPr>
      <w:sdtEndPr/>
      <w:sdtContent>
        <w:p w14:paraId="19DE4464"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√不适用</w:instrText>
          </w:r>
          <w:r>
            <w:rPr>
              <w:rFonts w:hint="eastAsia"/>
              <w:color w:val="000000" w:themeColor="text1"/>
            </w:rPr>
            <w:instrText xml:space="preserve"> </w:instrText>
          </w:r>
          <w:r>
            <w:rPr>
              <w:color w:val="000000" w:themeColor="text1"/>
            </w:rPr>
            <w:fldChar w:fldCharType="end"/>
          </w:r>
        </w:p>
      </w:sdtContent>
    </w:sdt>
    <w:p w14:paraId="7EF25EEE" w14:textId="77777777" w:rsidR="002D0AE7" w:rsidRDefault="00333EBB">
      <w:pPr>
        <w:pStyle w:val="3"/>
        <w:numPr>
          <w:ilvl w:val="0"/>
          <w:numId w:val="88"/>
        </w:numPr>
        <w:rPr>
          <w:rFonts w:ascii="宋体" w:hAnsi="宋体" w:cs="宋体" w:hint="eastAsia"/>
          <w:bCs w:val="0"/>
          <w:color w:val="000000" w:themeColor="text1"/>
          <w:kern w:val="0"/>
          <w:szCs w:val="21"/>
        </w:rPr>
      </w:pPr>
      <w:bookmarkStart w:id="258" w:name="_Toc241636520"/>
      <w:bookmarkEnd w:id="258"/>
      <w:r>
        <w:rPr>
          <w:rFonts w:ascii="宋体" w:hAnsi="宋体" w:cs="宋体" w:hint="eastAsia"/>
          <w:color w:val="000000" w:themeColor="text1"/>
          <w:kern w:val="0"/>
          <w:szCs w:val="21"/>
        </w:rPr>
        <w:t>其他对投资者决策有影响的重要交易和事项</w:t>
      </w:r>
    </w:p>
    <w:sdt>
      <w:sdtPr>
        <w:rPr>
          <w:color w:val="000000" w:themeColor="text1"/>
        </w:rPr>
        <w:alias w:val="是否适用：其他对投资者决策有影响的重要交易和事项[双击切换]"/>
        <w:tag w:val="_GBC_6bb0ea1e73f644b99b2bccc9d2ea19e9"/>
        <w:id w:val="2011870303"/>
        <w:placeholder>
          <w:docPart w:val="GBC22222222222222222222222222222"/>
        </w:placeholder>
      </w:sdtPr>
      <w:sdtEndPr/>
      <w:sdtContent>
        <w:p w14:paraId="3330CFEA"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√不适用</w:instrText>
          </w:r>
          <w:r>
            <w:rPr>
              <w:rFonts w:hint="eastAsia"/>
              <w:color w:val="000000" w:themeColor="text1"/>
            </w:rPr>
            <w:instrText xml:space="preserve"> </w:instrText>
          </w:r>
          <w:r>
            <w:rPr>
              <w:color w:val="000000" w:themeColor="text1"/>
            </w:rPr>
            <w:fldChar w:fldCharType="end"/>
          </w:r>
        </w:p>
      </w:sdtContent>
    </w:sdt>
    <w:p w14:paraId="72A51CCC" w14:textId="77777777" w:rsidR="002D0AE7" w:rsidRDefault="00333EBB">
      <w:pPr>
        <w:pStyle w:val="3"/>
        <w:numPr>
          <w:ilvl w:val="0"/>
          <w:numId w:val="88"/>
        </w:numPr>
        <w:rPr>
          <w:rFonts w:ascii="宋体" w:hAnsi="宋体" w:hint="eastAsia"/>
          <w:color w:val="000000" w:themeColor="text1"/>
          <w:szCs w:val="21"/>
        </w:rPr>
      </w:pPr>
      <w:r>
        <w:rPr>
          <w:rFonts w:ascii="宋体" w:hAnsi="宋体" w:hint="eastAsia"/>
          <w:color w:val="000000" w:themeColor="text1"/>
          <w:szCs w:val="21"/>
        </w:rPr>
        <w:t>其他</w:t>
      </w:r>
    </w:p>
    <w:sdt>
      <w:sdtPr>
        <w:rPr>
          <w:color w:val="000000" w:themeColor="text1"/>
        </w:rPr>
        <w:alias w:val="是否适用：其他重要事项的说明[双击切换]"/>
        <w:tag w:val="_GBC_518cb9b615c44ff597f57c3bba95c7fa"/>
        <w:id w:val="-790443315"/>
        <w:placeholder>
          <w:docPart w:val="GBC22222222222222222222222222222"/>
        </w:placeholder>
      </w:sdtPr>
      <w:sdtEndPr/>
      <w:sdtContent>
        <w:p w14:paraId="434EA151"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√不适用</w:instrText>
          </w:r>
          <w:r>
            <w:rPr>
              <w:rFonts w:hint="eastAsia"/>
              <w:color w:val="000000" w:themeColor="text1"/>
            </w:rPr>
            <w:instrText xml:space="preserve"> </w:instrText>
          </w:r>
          <w:r>
            <w:rPr>
              <w:color w:val="000000" w:themeColor="text1"/>
            </w:rPr>
            <w:fldChar w:fldCharType="end"/>
          </w:r>
        </w:p>
      </w:sdtContent>
    </w:sdt>
    <w:p w14:paraId="3A8F66C9" w14:textId="77777777" w:rsidR="002D0AE7" w:rsidRDefault="00333EBB">
      <w:pPr>
        <w:pStyle w:val="2"/>
        <w:numPr>
          <w:ilvl w:val="0"/>
          <w:numId w:val="34"/>
        </w:numPr>
        <w:ind w:left="482" w:hanging="482"/>
        <w:rPr>
          <w:rFonts w:ascii="宋体" w:hAnsi="宋体" w:hint="eastAsia"/>
          <w:color w:val="000000" w:themeColor="text1"/>
        </w:rPr>
      </w:pPr>
      <w:r>
        <w:rPr>
          <w:rFonts w:ascii="宋体" w:hAnsi="宋体" w:hint="eastAsia"/>
          <w:color w:val="000000" w:themeColor="text1"/>
        </w:rPr>
        <w:t>母公司财务报表主要项目注释</w:t>
      </w:r>
    </w:p>
    <w:p w14:paraId="2A66F600" w14:textId="77777777" w:rsidR="002D0AE7" w:rsidRDefault="00333EBB">
      <w:pPr>
        <w:pStyle w:val="3"/>
        <w:numPr>
          <w:ilvl w:val="0"/>
          <w:numId w:val="92"/>
        </w:numPr>
        <w:rPr>
          <w:rFonts w:ascii="宋体" w:hAnsi="宋体" w:hint="eastAsia"/>
          <w:color w:val="000000" w:themeColor="text1"/>
          <w:szCs w:val="21"/>
        </w:rPr>
      </w:pPr>
      <w:r>
        <w:rPr>
          <w:rFonts w:ascii="宋体" w:hAnsi="宋体" w:hint="eastAsia"/>
          <w:color w:val="000000" w:themeColor="text1"/>
          <w:szCs w:val="21"/>
        </w:rPr>
        <w:t>应收账款</w:t>
      </w:r>
    </w:p>
    <w:p w14:paraId="4AF834B1" w14:textId="77777777" w:rsidR="002D0AE7" w:rsidRDefault="00333EBB">
      <w:pPr>
        <w:pStyle w:val="4"/>
        <w:numPr>
          <w:ilvl w:val="3"/>
          <w:numId w:val="93"/>
        </w:numPr>
        <w:ind w:left="487" w:hangingChars="202" w:hanging="487"/>
        <w:rPr>
          <w:color w:val="000000" w:themeColor="text1"/>
        </w:rPr>
      </w:pPr>
      <w:bookmarkStart w:id="259" w:name="_Hlk533796665"/>
      <w:bookmarkStart w:id="260" w:name="_Hlk167980323"/>
      <w:r>
        <w:rPr>
          <w:rFonts w:hint="eastAsia"/>
          <w:color w:val="000000" w:themeColor="text1"/>
        </w:rPr>
        <w:t>按账龄披露</w:t>
      </w:r>
    </w:p>
    <w:sdt>
      <w:sdtPr>
        <w:rPr>
          <w:color w:val="000000" w:themeColor="text1"/>
        </w:rPr>
        <w:alias w:val="是否适用：母公司应收账款按账龄披露[双击切换]"/>
        <w:tag w:val="_GBC_801584c2698f4c75b9eab05c08a26afd"/>
        <w:id w:val="-406076200"/>
        <w:placeholder>
          <w:docPart w:val="GBC22222222222222222222222222222"/>
        </w:placeholder>
      </w:sdtPr>
      <w:sdtEndPr/>
      <w:sdtContent>
        <w:p w14:paraId="2F0A4A36"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38CDC046"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母公司应收账款按账龄披露"/>
          <w:tag w:val="_GBC_308a90728c1f4859ad3f446cb4ef9717"/>
          <w:id w:val="-27155476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母公司应收账款按账龄披露"/>
          <w:tag w:val="_GBC_777a884d0a3b4955b2e9309a1049a937"/>
          <w:id w:val="-16456278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2975"/>
        <w:gridCol w:w="2975"/>
      </w:tblGrid>
      <w:tr w:rsidR="002D0AE7" w14:paraId="50BAA5C1" w14:textId="77777777">
        <w:trPr>
          <w:cantSplit/>
        </w:trPr>
        <w:bookmarkEnd w:id="260" w:displacedByCustomXml="next"/>
        <w:bookmarkEnd w:id="259" w:displacedByCustomXml="next"/>
        <w:bookmarkStart w:id="261" w:name="_Hlk10540024" w:displacedByCustomXml="next"/>
        <w:sdt>
          <w:sdtPr>
            <w:rPr>
              <w:color w:val="000000" w:themeColor="text1"/>
              <w:sz w:val="21"/>
              <w:szCs w:val="21"/>
            </w:rPr>
            <w:tag w:val="_PLD_cce686fc6c1f4a00a0687060595ff873"/>
            <w:id w:val="-1029794884"/>
          </w:sdtPr>
          <w:sdtEndPr/>
          <w:sdtContent>
            <w:tc>
              <w:tcPr>
                <w:tcW w:w="1628" w:type="pct"/>
                <w:tcBorders>
                  <w:top w:val="single" w:sz="4" w:space="0" w:color="auto"/>
                  <w:left w:val="single" w:sz="4" w:space="0" w:color="auto"/>
                  <w:bottom w:val="single" w:sz="4" w:space="0" w:color="auto"/>
                  <w:right w:val="single" w:sz="4" w:space="0" w:color="auto"/>
                </w:tcBorders>
                <w:vAlign w:val="center"/>
              </w:tcPr>
              <w:p w14:paraId="48562248" w14:textId="77777777" w:rsidR="002D0AE7" w:rsidRDefault="00333EBB">
                <w:pPr>
                  <w:jc w:val="center"/>
                  <w:rPr>
                    <w:rFonts w:hint="eastAsia"/>
                    <w:color w:val="000000" w:themeColor="text1"/>
                    <w:sz w:val="21"/>
                    <w:szCs w:val="21"/>
                  </w:rPr>
                </w:pPr>
                <w:r>
                  <w:rPr>
                    <w:rFonts w:hint="eastAsia"/>
                    <w:color w:val="000000" w:themeColor="text1"/>
                    <w:sz w:val="21"/>
                    <w:szCs w:val="21"/>
                  </w:rPr>
                  <w:t>账龄</w:t>
                </w:r>
              </w:p>
            </w:tc>
          </w:sdtContent>
        </w:sdt>
        <w:sdt>
          <w:sdtPr>
            <w:rPr>
              <w:color w:val="000000" w:themeColor="text1"/>
              <w:sz w:val="21"/>
              <w:szCs w:val="21"/>
            </w:rPr>
            <w:tag w:val="_PLD_9fa8767136b3432ba1d3bea327b3af33"/>
            <w:id w:val="19445739"/>
          </w:sdtPr>
          <w:sdtEndPr/>
          <w:sdtContent>
            <w:tc>
              <w:tcPr>
                <w:tcW w:w="1686" w:type="pct"/>
                <w:tcBorders>
                  <w:top w:val="single" w:sz="4" w:space="0" w:color="auto"/>
                  <w:left w:val="single" w:sz="4" w:space="0" w:color="auto"/>
                  <w:bottom w:val="single" w:sz="4" w:space="0" w:color="auto"/>
                  <w:right w:val="single" w:sz="4" w:space="0" w:color="auto"/>
                </w:tcBorders>
                <w:vAlign w:val="center"/>
              </w:tcPr>
              <w:p w14:paraId="2B6E10BB" w14:textId="77777777" w:rsidR="002D0AE7" w:rsidRDefault="00333EBB">
                <w:pPr>
                  <w:jc w:val="center"/>
                  <w:rPr>
                    <w:rFonts w:hint="eastAsia"/>
                    <w:color w:val="000000" w:themeColor="text1"/>
                    <w:sz w:val="21"/>
                    <w:szCs w:val="21"/>
                  </w:rPr>
                </w:pPr>
                <w:r>
                  <w:rPr>
                    <w:rFonts w:hint="eastAsia"/>
                    <w:color w:val="000000" w:themeColor="text1"/>
                    <w:sz w:val="21"/>
                    <w:szCs w:val="21"/>
                  </w:rPr>
                  <w:t>期末账面余额</w:t>
                </w:r>
              </w:p>
            </w:tc>
          </w:sdtContent>
        </w:sdt>
        <w:sdt>
          <w:sdtPr>
            <w:rPr>
              <w:rFonts w:hint="eastAsia"/>
              <w:color w:val="000000" w:themeColor="text1"/>
              <w:sz w:val="21"/>
              <w:szCs w:val="21"/>
            </w:rPr>
            <w:tag w:val="_PLD_4053bba84d8a45f8a51648bc15113d5d"/>
            <w:id w:val="181948772"/>
          </w:sdtPr>
          <w:sdtEndPr/>
          <w:sdtContent>
            <w:tc>
              <w:tcPr>
                <w:tcW w:w="1686" w:type="pct"/>
                <w:tcBorders>
                  <w:top w:val="single" w:sz="4" w:space="0" w:color="auto"/>
                  <w:left w:val="single" w:sz="4" w:space="0" w:color="auto"/>
                  <w:bottom w:val="single" w:sz="4" w:space="0" w:color="auto"/>
                  <w:right w:val="single" w:sz="4" w:space="0" w:color="auto"/>
                </w:tcBorders>
              </w:tcPr>
              <w:p w14:paraId="388490FA" w14:textId="77777777" w:rsidR="002D0AE7" w:rsidRDefault="00333EBB">
                <w:pPr>
                  <w:jc w:val="center"/>
                  <w:rPr>
                    <w:rFonts w:hint="eastAsia"/>
                    <w:color w:val="000000" w:themeColor="text1"/>
                    <w:sz w:val="21"/>
                    <w:szCs w:val="21"/>
                  </w:rPr>
                </w:pPr>
                <w:r>
                  <w:rPr>
                    <w:rFonts w:hint="eastAsia"/>
                    <w:color w:val="000000" w:themeColor="text1"/>
                    <w:sz w:val="21"/>
                    <w:szCs w:val="21"/>
                  </w:rPr>
                  <w:t>期初账面余额</w:t>
                </w:r>
              </w:p>
            </w:tc>
          </w:sdtContent>
        </w:sdt>
      </w:tr>
      <w:tr w:rsidR="002D0AE7" w14:paraId="76C49721" w14:textId="77777777">
        <w:trPr>
          <w:cantSplit/>
        </w:trPr>
        <w:sdt>
          <w:sdtPr>
            <w:rPr>
              <w:color w:val="000000" w:themeColor="text1"/>
              <w:sz w:val="21"/>
              <w:szCs w:val="21"/>
            </w:rPr>
            <w:tag w:val="_PLD_4114a0654a6a488abf020e15edd74380"/>
            <w:id w:val="-1088698841"/>
          </w:sdtPr>
          <w:sdtEndPr/>
          <w:sdtContent>
            <w:tc>
              <w:tcPr>
                <w:tcW w:w="5000" w:type="pct"/>
                <w:gridSpan w:val="3"/>
                <w:tcBorders>
                  <w:top w:val="single" w:sz="4" w:space="0" w:color="auto"/>
                  <w:left w:val="single" w:sz="4" w:space="0" w:color="auto"/>
                  <w:bottom w:val="single" w:sz="4" w:space="0" w:color="auto"/>
                  <w:right w:val="single" w:sz="4" w:space="0" w:color="auto"/>
                </w:tcBorders>
              </w:tcPr>
              <w:p w14:paraId="2375BC46" w14:textId="77777777" w:rsidR="002D0AE7" w:rsidRDefault="00333EBB">
                <w:pPr>
                  <w:rPr>
                    <w:rFonts w:hint="eastAsia"/>
                    <w:color w:val="000000" w:themeColor="text1"/>
                    <w:sz w:val="21"/>
                    <w:szCs w:val="21"/>
                  </w:rPr>
                </w:pPr>
                <w:r>
                  <w:rPr>
                    <w:rFonts w:hint="eastAsia"/>
                    <w:color w:val="000000" w:themeColor="text1"/>
                    <w:sz w:val="21"/>
                    <w:szCs w:val="21"/>
                  </w:rPr>
                  <w:t>1</w:t>
                </w:r>
                <w:r>
                  <w:rPr>
                    <w:rFonts w:hint="eastAsia"/>
                    <w:color w:val="000000" w:themeColor="text1"/>
                    <w:sz w:val="21"/>
                    <w:szCs w:val="21"/>
                  </w:rPr>
                  <w:t>年以内</w:t>
                </w:r>
              </w:p>
            </w:tc>
          </w:sdtContent>
        </w:sdt>
      </w:tr>
      <w:tr w:rsidR="002D0AE7" w14:paraId="23AEACC4" w14:textId="77777777">
        <w:trPr>
          <w:cantSplit/>
        </w:trPr>
        <w:sdt>
          <w:sdtPr>
            <w:rPr>
              <w:color w:val="000000" w:themeColor="text1"/>
              <w:sz w:val="21"/>
              <w:szCs w:val="21"/>
            </w:rPr>
            <w:tag w:val="_PLD_5ad6691a38c74e09b4f2ffc472a1655b"/>
            <w:id w:val="989053717"/>
          </w:sdtPr>
          <w:sdtEndPr/>
          <w:sdtContent>
            <w:tc>
              <w:tcPr>
                <w:tcW w:w="5000" w:type="pct"/>
                <w:gridSpan w:val="3"/>
                <w:tcBorders>
                  <w:top w:val="single" w:sz="4" w:space="0" w:color="auto"/>
                  <w:left w:val="single" w:sz="4" w:space="0" w:color="auto"/>
                  <w:bottom w:val="single" w:sz="4" w:space="0" w:color="auto"/>
                  <w:right w:val="single" w:sz="4" w:space="0" w:color="auto"/>
                </w:tcBorders>
              </w:tcPr>
              <w:p w14:paraId="6EE6B4B0" w14:textId="77777777" w:rsidR="002D0AE7" w:rsidRDefault="00333EBB">
                <w:pPr>
                  <w:rPr>
                    <w:rFonts w:hint="eastAsia"/>
                    <w:color w:val="000000" w:themeColor="text1"/>
                    <w:sz w:val="21"/>
                    <w:szCs w:val="21"/>
                  </w:rPr>
                </w:pPr>
                <w:r>
                  <w:rPr>
                    <w:rFonts w:hint="eastAsia"/>
                    <w:color w:val="000000" w:themeColor="text1"/>
                    <w:sz w:val="21"/>
                    <w:szCs w:val="21"/>
                  </w:rPr>
                  <w:t>其中：</w:t>
                </w:r>
                <w:r>
                  <w:rPr>
                    <w:rFonts w:hint="eastAsia"/>
                    <w:color w:val="000000" w:themeColor="text1"/>
                    <w:sz w:val="21"/>
                    <w:szCs w:val="21"/>
                  </w:rPr>
                  <w:t>1</w:t>
                </w:r>
                <w:r>
                  <w:rPr>
                    <w:rFonts w:hint="eastAsia"/>
                    <w:color w:val="000000" w:themeColor="text1"/>
                    <w:sz w:val="21"/>
                    <w:szCs w:val="21"/>
                  </w:rPr>
                  <w:t>年以内分项</w:t>
                </w:r>
              </w:p>
            </w:tc>
          </w:sdtContent>
        </w:sdt>
      </w:tr>
      <w:tr w:rsidR="002D0AE7" w14:paraId="78B880E7" w14:textId="77777777">
        <w:trPr>
          <w:cantSplit/>
        </w:trPr>
        <w:tc>
          <w:tcPr>
            <w:tcW w:w="1628" w:type="pct"/>
            <w:tcBorders>
              <w:top w:val="single" w:sz="4" w:space="0" w:color="auto"/>
              <w:left w:val="single" w:sz="4" w:space="0" w:color="auto"/>
              <w:bottom w:val="single" w:sz="4" w:space="0" w:color="auto"/>
              <w:right w:val="single" w:sz="4" w:space="0" w:color="auto"/>
            </w:tcBorders>
          </w:tcPr>
          <w:p w14:paraId="7F26932C" w14:textId="77777777" w:rsidR="002D0AE7" w:rsidRDefault="00333EBB">
            <w:pPr>
              <w:rPr>
                <w:rFonts w:hint="eastAsia"/>
                <w:sz w:val="21"/>
                <w:szCs w:val="21"/>
              </w:rPr>
            </w:pPr>
            <w:r>
              <w:rPr>
                <w:sz w:val="21"/>
                <w:szCs w:val="21"/>
              </w:rPr>
              <w:t>3</w:t>
            </w:r>
            <w:r>
              <w:rPr>
                <w:sz w:val="21"/>
                <w:szCs w:val="21"/>
              </w:rPr>
              <w:t>个月以内</w:t>
            </w:r>
          </w:p>
        </w:tc>
        <w:tc>
          <w:tcPr>
            <w:tcW w:w="1686" w:type="pct"/>
            <w:tcBorders>
              <w:top w:val="single" w:sz="4" w:space="0" w:color="auto"/>
              <w:left w:val="single" w:sz="4" w:space="0" w:color="auto"/>
              <w:bottom w:val="single" w:sz="4" w:space="0" w:color="auto"/>
              <w:right w:val="single" w:sz="4" w:space="0" w:color="auto"/>
            </w:tcBorders>
            <w:vAlign w:val="center"/>
          </w:tcPr>
          <w:p w14:paraId="05E8F32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150,149,857.69</w:t>
            </w:r>
          </w:p>
        </w:tc>
        <w:tc>
          <w:tcPr>
            <w:tcW w:w="1686" w:type="pct"/>
            <w:tcBorders>
              <w:top w:val="single" w:sz="4" w:space="0" w:color="auto"/>
              <w:left w:val="single" w:sz="4" w:space="0" w:color="auto"/>
              <w:bottom w:val="single" w:sz="4" w:space="0" w:color="auto"/>
              <w:right w:val="single" w:sz="4" w:space="0" w:color="auto"/>
            </w:tcBorders>
            <w:vAlign w:val="center"/>
          </w:tcPr>
          <w:p w14:paraId="54C3DB1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111,000,253.94</w:t>
            </w:r>
          </w:p>
        </w:tc>
      </w:tr>
      <w:tr w:rsidR="002D0AE7" w14:paraId="79E10AC4" w14:textId="77777777">
        <w:trPr>
          <w:cantSplit/>
        </w:trPr>
        <w:tc>
          <w:tcPr>
            <w:tcW w:w="1628" w:type="pct"/>
            <w:tcBorders>
              <w:top w:val="single" w:sz="4" w:space="0" w:color="auto"/>
              <w:left w:val="single" w:sz="4" w:space="0" w:color="auto"/>
              <w:bottom w:val="single" w:sz="4" w:space="0" w:color="auto"/>
              <w:right w:val="single" w:sz="4" w:space="0" w:color="auto"/>
            </w:tcBorders>
          </w:tcPr>
          <w:p w14:paraId="59361AAC" w14:textId="77777777" w:rsidR="002D0AE7" w:rsidRDefault="00333EBB">
            <w:pPr>
              <w:rPr>
                <w:rFonts w:hint="eastAsia"/>
                <w:sz w:val="21"/>
                <w:szCs w:val="21"/>
              </w:rPr>
            </w:pPr>
            <w:r>
              <w:rPr>
                <w:sz w:val="21"/>
                <w:szCs w:val="21"/>
              </w:rPr>
              <w:t>3</w:t>
            </w:r>
            <w:r>
              <w:rPr>
                <w:sz w:val="21"/>
                <w:szCs w:val="21"/>
              </w:rPr>
              <w:t>个月至</w:t>
            </w:r>
            <w:r>
              <w:rPr>
                <w:sz w:val="21"/>
                <w:szCs w:val="21"/>
              </w:rPr>
              <w:t>1</w:t>
            </w:r>
            <w:r>
              <w:rPr>
                <w:sz w:val="21"/>
                <w:szCs w:val="21"/>
              </w:rPr>
              <w:t>年</w:t>
            </w:r>
          </w:p>
        </w:tc>
        <w:tc>
          <w:tcPr>
            <w:tcW w:w="1686" w:type="pct"/>
            <w:tcBorders>
              <w:top w:val="single" w:sz="4" w:space="0" w:color="auto"/>
              <w:left w:val="single" w:sz="4" w:space="0" w:color="auto"/>
              <w:bottom w:val="single" w:sz="4" w:space="0" w:color="auto"/>
              <w:right w:val="single" w:sz="4" w:space="0" w:color="auto"/>
            </w:tcBorders>
            <w:vAlign w:val="center"/>
          </w:tcPr>
          <w:p w14:paraId="0BAA22F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2,187,393.60</w:t>
            </w:r>
          </w:p>
        </w:tc>
        <w:tc>
          <w:tcPr>
            <w:tcW w:w="1686" w:type="pct"/>
            <w:tcBorders>
              <w:top w:val="single" w:sz="4" w:space="0" w:color="auto"/>
              <w:left w:val="single" w:sz="4" w:space="0" w:color="auto"/>
              <w:bottom w:val="single" w:sz="4" w:space="0" w:color="auto"/>
              <w:right w:val="single" w:sz="4" w:space="0" w:color="auto"/>
            </w:tcBorders>
            <w:vAlign w:val="center"/>
          </w:tcPr>
          <w:p w14:paraId="190BEF1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3FFCB86C" w14:textId="77777777">
        <w:trPr>
          <w:cantSplit/>
        </w:trPr>
        <w:tc>
          <w:tcPr>
            <w:tcW w:w="1628" w:type="pct"/>
            <w:tcBorders>
              <w:top w:val="single" w:sz="4" w:space="0" w:color="auto"/>
              <w:left w:val="single" w:sz="4" w:space="0" w:color="auto"/>
              <w:bottom w:val="single" w:sz="4" w:space="0" w:color="auto"/>
              <w:right w:val="single" w:sz="4" w:space="0" w:color="auto"/>
            </w:tcBorders>
          </w:tcPr>
          <w:p w14:paraId="4966FC3C" w14:textId="77777777" w:rsidR="002D0AE7" w:rsidRDefault="00333EBB">
            <w:pPr>
              <w:rPr>
                <w:rFonts w:hint="eastAsia"/>
                <w:color w:val="000000" w:themeColor="text1"/>
                <w:sz w:val="21"/>
                <w:szCs w:val="21"/>
              </w:rPr>
            </w:pPr>
            <w:r>
              <w:rPr>
                <w:rFonts w:hint="eastAsia"/>
                <w:color w:val="000000" w:themeColor="text1"/>
                <w:sz w:val="21"/>
                <w:szCs w:val="21"/>
              </w:rPr>
              <w:t>1</w:t>
            </w:r>
            <w:r>
              <w:rPr>
                <w:rFonts w:hint="eastAsia"/>
                <w:color w:val="000000" w:themeColor="text1"/>
                <w:sz w:val="21"/>
                <w:szCs w:val="21"/>
              </w:rPr>
              <w:t>年以内小计</w:t>
            </w:r>
          </w:p>
        </w:tc>
        <w:tc>
          <w:tcPr>
            <w:tcW w:w="1686" w:type="pct"/>
            <w:tcBorders>
              <w:top w:val="single" w:sz="4" w:space="0" w:color="auto"/>
              <w:left w:val="single" w:sz="4" w:space="0" w:color="auto"/>
              <w:bottom w:val="single" w:sz="4" w:space="0" w:color="auto"/>
              <w:right w:val="single" w:sz="4" w:space="0" w:color="auto"/>
            </w:tcBorders>
            <w:vAlign w:val="center"/>
          </w:tcPr>
          <w:p w14:paraId="0EE76D8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152,337,251.29</w:t>
            </w:r>
          </w:p>
        </w:tc>
        <w:tc>
          <w:tcPr>
            <w:tcW w:w="1686" w:type="pct"/>
            <w:tcBorders>
              <w:top w:val="single" w:sz="4" w:space="0" w:color="auto"/>
              <w:left w:val="single" w:sz="4" w:space="0" w:color="auto"/>
              <w:bottom w:val="single" w:sz="4" w:space="0" w:color="auto"/>
              <w:right w:val="single" w:sz="4" w:space="0" w:color="auto"/>
            </w:tcBorders>
            <w:vAlign w:val="center"/>
          </w:tcPr>
          <w:p w14:paraId="5F61A4D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111,000,253.94</w:t>
            </w:r>
          </w:p>
        </w:tc>
      </w:tr>
      <w:tr w:rsidR="002D0AE7" w14:paraId="3FC2478D" w14:textId="77777777">
        <w:trPr>
          <w:cantSplit/>
        </w:trPr>
        <w:tc>
          <w:tcPr>
            <w:tcW w:w="1628" w:type="pct"/>
            <w:tcBorders>
              <w:top w:val="single" w:sz="4" w:space="0" w:color="auto"/>
              <w:left w:val="single" w:sz="4" w:space="0" w:color="auto"/>
              <w:bottom w:val="single" w:sz="4" w:space="0" w:color="auto"/>
              <w:right w:val="single" w:sz="4" w:space="0" w:color="auto"/>
            </w:tcBorders>
            <w:vAlign w:val="center"/>
          </w:tcPr>
          <w:p w14:paraId="5D3BE08C"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1686" w:type="pct"/>
            <w:tcBorders>
              <w:top w:val="single" w:sz="4" w:space="0" w:color="auto"/>
              <w:left w:val="single" w:sz="4" w:space="0" w:color="auto"/>
              <w:bottom w:val="single" w:sz="4" w:space="0" w:color="auto"/>
              <w:right w:val="single" w:sz="4" w:space="0" w:color="auto"/>
            </w:tcBorders>
            <w:vAlign w:val="center"/>
          </w:tcPr>
          <w:p w14:paraId="5D22487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152,337,251.29</w:t>
            </w:r>
          </w:p>
        </w:tc>
        <w:tc>
          <w:tcPr>
            <w:tcW w:w="1686" w:type="pct"/>
            <w:tcBorders>
              <w:top w:val="single" w:sz="4" w:space="0" w:color="auto"/>
              <w:left w:val="single" w:sz="4" w:space="0" w:color="auto"/>
              <w:bottom w:val="single" w:sz="4" w:space="0" w:color="auto"/>
              <w:right w:val="single" w:sz="4" w:space="0" w:color="auto"/>
            </w:tcBorders>
            <w:vAlign w:val="center"/>
          </w:tcPr>
          <w:p w14:paraId="0743669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111,000,253.94</w:t>
            </w:r>
          </w:p>
        </w:tc>
      </w:tr>
    </w:tbl>
    <w:p w14:paraId="1B3FD0A1" w14:textId="77777777" w:rsidR="002D0AE7" w:rsidRDefault="00333EBB">
      <w:pPr>
        <w:pStyle w:val="4"/>
        <w:numPr>
          <w:ilvl w:val="3"/>
          <w:numId w:val="93"/>
        </w:numPr>
        <w:ind w:left="487" w:hangingChars="202" w:hanging="487"/>
        <w:rPr>
          <w:rFonts w:ascii="宋体" w:hAnsi="宋体" w:cs="宋体" w:hint="eastAsia"/>
          <w:color w:val="000000" w:themeColor="text1"/>
          <w:kern w:val="0"/>
          <w:szCs w:val="24"/>
        </w:rPr>
      </w:pPr>
      <w:r>
        <w:rPr>
          <w:rFonts w:ascii="宋体" w:hAnsi="宋体" w:cs="宋体" w:hint="eastAsia"/>
          <w:color w:val="000000" w:themeColor="text1"/>
          <w:kern w:val="0"/>
          <w:szCs w:val="24"/>
        </w:rPr>
        <w:t>按坏账计提方法分类披露</w:t>
      </w:r>
    </w:p>
    <w:sdt>
      <w:sdtPr>
        <w:rPr>
          <w:color w:val="000000" w:themeColor="text1"/>
        </w:rPr>
        <w:alias w:val="是否适用：母公司应收账款按坏账计提方法分类披露[双击切换]"/>
        <w:tag w:val="_GBC_bd7fb52eb7f647d5aa6c10677b261ee1"/>
        <w:id w:val="-1055884"/>
        <w:lock w:val="contentLocked"/>
        <w:placeholder>
          <w:docPart w:val="GBC22222222222222222222222222222"/>
        </w:placeholder>
      </w:sdtPr>
      <w:sdtEndPr/>
      <w:sdtContent>
        <w:p w14:paraId="7A33733F"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22D93206" w14:textId="77777777" w:rsidR="002D0AE7" w:rsidRDefault="00333EBB">
      <w:pPr>
        <w:pStyle w:val="11"/>
        <w:rPr>
          <w:rFonts w:hint="eastAsia"/>
        </w:rPr>
      </w:pPr>
      <w:r>
        <w:rPr>
          <w:rFonts w:hint="eastAsia"/>
        </w:rPr>
        <w:t>单位：</w:t>
      </w:r>
      <w:sdt>
        <w:sdtPr>
          <w:rPr>
            <w:rFonts w:hint="eastAsia"/>
          </w:rPr>
          <w:alias w:val="单位：母公司应收账款按坏账计提方法分类披露"/>
          <w:tag w:val="_GBC_03786e76a9b246d5a93eac5a8936de3a"/>
          <w:id w:val="141242065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母公司应收账款按坏账计提方法分类披露"/>
          <w:tag w:val="_GBC_1360c31492654a38991cae4cf45e7b4a"/>
          <w:id w:val="-90799501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62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2127"/>
        <w:gridCol w:w="1375"/>
        <w:gridCol w:w="640"/>
        <w:gridCol w:w="902"/>
        <w:gridCol w:w="430"/>
        <w:gridCol w:w="1375"/>
        <w:gridCol w:w="1375"/>
        <w:gridCol w:w="640"/>
        <w:gridCol w:w="430"/>
        <w:gridCol w:w="430"/>
        <w:gridCol w:w="1375"/>
      </w:tblGrid>
      <w:tr w:rsidR="002D0AE7" w14:paraId="1D50E19C" w14:textId="77777777">
        <w:trPr>
          <w:cantSplit/>
          <w:trHeight w:val="259"/>
          <w:jc w:val="center"/>
        </w:trPr>
        <w:bookmarkEnd w:id="261" w:displacedByCustomXml="next"/>
        <w:bookmarkStart w:id="262" w:name="_Hlk10540056" w:displacedByCustomXml="next"/>
        <w:bookmarkStart w:id="263" w:name="_Hlk10540045" w:displacedByCustomXml="next"/>
        <w:sdt>
          <w:sdtPr>
            <w:rPr>
              <w:color w:val="000000" w:themeColor="text1"/>
              <w:sz w:val="21"/>
              <w:szCs w:val="21"/>
            </w:rPr>
            <w:tag w:val="_PLD_2f021e03341f49af95f8857da6272a92"/>
            <w:id w:val="510029013"/>
          </w:sdtPr>
          <w:sdtEndPr/>
          <w:sdtContent>
            <w:tc>
              <w:tcPr>
                <w:tcW w:w="959" w:type="pct"/>
                <w:vMerge w:val="restart"/>
                <w:tcBorders>
                  <w:top w:val="single" w:sz="4" w:space="0" w:color="auto"/>
                  <w:left w:val="single" w:sz="4" w:space="0" w:color="auto"/>
                  <w:right w:val="single" w:sz="4" w:space="0" w:color="auto"/>
                </w:tcBorders>
                <w:vAlign w:val="center"/>
              </w:tcPr>
              <w:p w14:paraId="0160C6A8" w14:textId="77777777" w:rsidR="002D0AE7" w:rsidRDefault="00333EBB">
                <w:pPr>
                  <w:jc w:val="center"/>
                  <w:rPr>
                    <w:rFonts w:hint="eastAsia"/>
                    <w:color w:val="000000" w:themeColor="text1"/>
                    <w:sz w:val="21"/>
                    <w:szCs w:val="21"/>
                  </w:rPr>
                </w:pPr>
                <w:r>
                  <w:rPr>
                    <w:rFonts w:hint="eastAsia"/>
                    <w:color w:val="000000" w:themeColor="text1"/>
                    <w:sz w:val="21"/>
                    <w:szCs w:val="21"/>
                  </w:rPr>
                  <w:t>类别</w:t>
                </w:r>
              </w:p>
            </w:tc>
          </w:sdtContent>
        </w:sdt>
        <w:sdt>
          <w:sdtPr>
            <w:rPr>
              <w:color w:val="000000" w:themeColor="text1"/>
              <w:sz w:val="21"/>
              <w:szCs w:val="21"/>
            </w:rPr>
            <w:tag w:val="_PLD_468e18ccdf48449f8e43799e7c3f622e"/>
            <w:id w:val="2134132136"/>
          </w:sdtPr>
          <w:sdtEndPr/>
          <w:sdtContent>
            <w:tc>
              <w:tcPr>
                <w:tcW w:w="2127" w:type="pct"/>
                <w:gridSpan w:val="5"/>
                <w:tcBorders>
                  <w:top w:val="single" w:sz="4" w:space="0" w:color="auto"/>
                  <w:left w:val="single" w:sz="4" w:space="0" w:color="auto"/>
                  <w:right w:val="single" w:sz="4" w:space="0" w:color="auto"/>
                </w:tcBorders>
                <w:vAlign w:val="center"/>
              </w:tcPr>
              <w:p w14:paraId="78B1D087" w14:textId="77777777" w:rsidR="002D0AE7" w:rsidRDefault="00333EBB">
                <w:pPr>
                  <w:autoSpaceDE w:val="0"/>
                  <w:autoSpaceDN w:val="0"/>
                  <w:adjustRightInd w:val="0"/>
                  <w:snapToGrid w:val="0"/>
                  <w:spacing w:line="240" w:lineRule="atLeast"/>
                  <w:jc w:val="center"/>
                  <w:rPr>
                    <w:rFonts w:hint="eastAsia"/>
                    <w:color w:val="000000" w:themeColor="text1"/>
                    <w:sz w:val="21"/>
                    <w:szCs w:val="21"/>
                  </w:rPr>
                </w:pPr>
                <w:r>
                  <w:rPr>
                    <w:rFonts w:hint="eastAsia"/>
                    <w:color w:val="000000" w:themeColor="text1"/>
                    <w:sz w:val="21"/>
                    <w:szCs w:val="21"/>
                  </w:rPr>
                  <w:t>期末余额</w:t>
                </w:r>
              </w:p>
            </w:tc>
          </w:sdtContent>
        </w:sdt>
        <w:sdt>
          <w:sdtPr>
            <w:rPr>
              <w:color w:val="000000" w:themeColor="text1"/>
              <w:sz w:val="21"/>
              <w:szCs w:val="21"/>
            </w:rPr>
            <w:tag w:val="_PLD_e387c0f70bd6484cafb1ada234d075bd"/>
            <w:id w:val="-1578442152"/>
          </w:sdtPr>
          <w:sdtEndPr/>
          <w:sdtContent>
            <w:tc>
              <w:tcPr>
                <w:tcW w:w="1914" w:type="pct"/>
                <w:gridSpan w:val="5"/>
                <w:tcBorders>
                  <w:top w:val="single" w:sz="4" w:space="0" w:color="auto"/>
                  <w:left w:val="single" w:sz="4" w:space="0" w:color="auto"/>
                  <w:right w:val="single" w:sz="4" w:space="0" w:color="auto"/>
                </w:tcBorders>
                <w:vAlign w:val="center"/>
              </w:tcPr>
              <w:p w14:paraId="5899BF68" w14:textId="77777777" w:rsidR="002D0AE7" w:rsidRDefault="00333EBB">
                <w:pPr>
                  <w:autoSpaceDE w:val="0"/>
                  <w:autoSpaceDN w:val="0"/>
                  <w:adjustRightInd w:val="0"/>
                  <w:snapToGrid w:val="0"/>
                  <w:spacing w:line="240" w:lineRule="atLeast"/>
                  <w:jc w:val="center"/>
                  <w:rPr>
                    <w:rFonts w:hint="eastAsia"/>
                    <w:color w:val="000000" w:themeColor="text1"/>
                    <w:sz w:val="21"/>
                    <w:szCs w:val="21"/>
                  </w:rPr>
                </w:pPr>
                <w:r>
                  <w:rPr>
                    <w:rFonts w:hint="eastAsia"/>
                    <w:color w:val="000000" w:themeColor="text1"/>
                    <w:sz w:val="21"/>
                    <w:szCs w:val="21"/>
                  </w:rPr>
                  <w:t>期初余额</w:t>
                </w:r>
              </w:p>
            </w:tc>
          </w:sdtContent>
        </w:sdt>
      </w:tr>
      <w:tr w:rsidR="002D0AE7" w14:paraId="63CEDE5F" w14:textId="77777777">
        <w:trPr>
          <w:cantSplit/>
          <w:trHeight w:val="227"/>
          <w:jc w:val="center"/>
        </w:trPr>
        <w:tc>
          <w:tcPr>
            <w:tcW w:w="959" w:type="pct"/>
            <w:vMerge/>
            <w:tcBorders>
              <w:left w:val="single" w:sz="4" w:space="0" w:color="auto"/>
              <w:right w:val="single" w:sz="4" w:space="0" w:color="auto"/>
            </w:tcBorders>
            <w:vAlign w:val="center"/>
          </w:tcPr>
          <w:p w14:paraId="42EBD592" w14:textId="77777777" w:rsidR="002D0AE7" w:rsidRDefault="002D0AE7">
            <w:pPr>
              <w:rPr>
                <w:rFonts w:hint="eastAsia"/>
                <w:color w:val="000000" w:themeColor="text1"/>
                <w:sz w:val="21"/>
                <w:szCs w:val="21"/>
              </w:rPr>
            </w:pPr>
          </w:p>
        </w:tc>
        <w:sdt>
          <w:sdtPr>
            <w:rPr>
              <w:color w:val="000000" w:themeColor="text1"/>
              <w:sz w:val="21"/>
              <w:szCs w:val="21"/>
            </w:rPr>
            <w:tag w:val="_PLD_73365edbfe354cb683cc42de4c1c9f49"/>
            <w:id w:val="-1052079586"/>
          </w:sdtPr>
          <w:sdtEndPr/>
          <w:sdtContent>
            <w:tc>
              <w:tcPr>
                <w:tcW w:w="908" w:type="pct"/>
                <w:gridSpan w:val="2"/>
                <w:tcBorders>
                  <w:top w:val="single" w:sz="4" w:space="0" w:color="auto"/>
                  <w:left w:val="single" w:sz="4" w:space="0" w:color="auto"/>
                  <w:bottom w:val="single" w:sz="4" w:space="0" w:color="auto"/>
                  <w:right w:val="single" w:sz="4" w:space="0" w:color="auto"/>
                </w:tcBorders>
                <w:vAlign w:val="center"/>
              </w:tcPr>
              <w:p w14:paraId="6C6D08D8" w14:textId="77777777" w:rsidR="002D0AE7" w:rsidRDefault="00333EBB">
                <w:pPr>
                  <w:jc w:val="center"/>
                  <w:rPr>
                    <w:rFonts w:hint="eastAsia"/>
                    <w:color w:val="000000" w:themeColor="text1"/>
                    <w:sz w:val="21"/>
                    <w:szCs w:val="21"/>
                  </w:rPr>
                </w:pPr>
                <w:r>
                  <w:rPr>
                    <w:rFonts w:hint="eastAsia"/>
                    <w:color w:val="000000" w:themeColor="text1"/>
                    <w:sz w:val="21"/>
                    <w:szCs w:val="21"/>
                  </w:rPr>
                  <w:t>账面余额</w:t>
                </w:r>
              </w:p>
            </w:tc>
          </w:sdtContent>
        </w:sdt>
        <w:sdt>
          <w:sdtPr>
            <w:rPr>
              <w:color w:val="000000" w:themeColor="text1"/>
              <w:sz w:val="21"/>
              <w:szCs w:val="21"/>
            </w:rPr>
            <w:tag w:val="_PLD_11f34c9ee2d5429280d0d85b2c50756a"/>
            <w:id w:val="-325674170"/>
          </w:sdtPr>
          <w:sdtEndPr/>
          <w:sdtContent>
            <w:tc>
              <w:tcPr>
                <w:tcW w:w="600" w:type="pct"/>
                <w:gridSpan w:val="2"/>
                <w:tcBorders>
                  <w:top w:val="single" w:sz="4" w:space="0" w:color="auto"/>
                  <w:left w:val="single" w:sz="4" w:space="0" w:color="auto"/>
                  <w:bottom w:val="single" w:sz="4" w:space="0" w:color="auto"/>
                  <w:right w:val="single" w:sz="4" w:space="0" w:color="auto"/>
                </w:tcBorders>
                <w:vAlign w:val="center"/>
              </w:tcPr>
              <w:p w14:paraId="2DF93943" w14:textId="77777777" w:rsidR="002D0AE7" w:rsidRDefault="00333EBB">
                <w:pPr>
                  <w:jc w:val="center"/>
                  <w:rPr>
                    <w:rFonts w:hint="eastAsia"/>
                    <w:color w:val="000000" w:themeColor="text1"/>
                    <w:sz w:val="21"/>
                    <w:szCs w:val="21"/>
                  </w:rPr>
                </w:pPr>
                <w:r>
                  <w:rPr>
                    <w:rFonts w:hint="eastAsia"/>
                    <w:color w:val="000000" w:themeColor="text1"/>
                    <w:sz w:val="21"/>
                    <w:szCs w:val="21"/>
                  </w:rPr>
                  <w:t>坏账准备</w:t>
                </w:r>
              </w:p>
            </w:tc>
          </w:sdtContent>
        </w:sdt>
        <w:sdt>
          <w:sdtPr>
            <w:rPr>
              <w:color w:val="000000" w:themeColor="text1"/>
              <w:sz w:val="21"/>
              <w:szCs w:val="21"/>
            </w:rPr>
            <w:tag w:val="_PLD_6ade046afd0c47c0aae9506cc9d47486"/>
            <w:id w:val="1024136794"/>
          </w:sdtPr>
          <w:sdtEndPr/>
          <w:sdtContent>
            <w:tc>
              <w:tcPr>
                <w:tcW w:w="619" w:type="pct"/>
                <w:vMerge w:val="restart"/>
                <w:tcBorders>
                  <w:top w:val="single" w:sz="4" w:space="0" w:color="auto"/>
                  <w:left w:val="single" w:sz="4" w:space="0" w:color="auto"/>
                  <w:right w:val="single" w:sz="4" w:space="0" w:color="auto"/>
                </w:tcBorders>
                <w:vAlign w:val="center"/>
              </w:tcPr>
              <w:p w14:paraId="4D167D4E" w14:textId="77777777" w:rsidR="002D0AE7" w:rsidRDefault="00333EBB">
                <w:pPr>
                  <w:jc w:val="center"/>
                  <w:rPr>
                    <w:rFonts w:hint="eastAsia"/>
                    <w:color w:val="000000" w:themeColor="text1"/>
                    <w:sz w:val="21"/>
                    <w:szCs w:val="21"/>
                  </w:rPr>
                </w:pPr>
                <w:r>
                  <w:rPr>
                    <w:rFonts w:hint="eastAsia"/>
                    <w:color w:val="000000" w:themeColor="text1"/>
                    <w:sz w:val="21"/>
                    <w:szCs w:val="21"/>
                  </w:rPr>
                  <w:t>账面</w:t>
                </w:r>
              </w:p>
              <w:p w14:paraId="72D1FB7D" w14:textId="77777777" w:rsidR="002D0AE7" w:rsidRDefault="00333EBB">
                <w:pPr>
                  <w:jc w:val="center"/>
                  <w:rPr>
                    <w:rFonts w:hint="eastAsia"/>
                    <w:color w:val="000000" w:themeColor="text1"/>
                    <w:sz w:val="21"/>
                    <w:szCs w:val="21"/>
                  </w:rPr>
                </w:pPr>
                <w:r>
                  <w:rPr>
                    <w:rFonts w:hint="eastAsia"/>
                    <w:color w:val="000000" w:themeColor="text1"/>
                    <w:sz w:val="21"/>
                    <w:szCs w:val="21"/>
                  </w:rPr>
                  <w:t>价值</w:t>
                </w:r>
              </w:p>
            </w:tc>
          </w:sdtContent>
        </w:sdt>
        <w:sdt>
          <w:sdtPr>
            <w:rPr>
              <w:color w:val="000000" w:themeColor="text1"/>
              <w:sz w:val="21"/>
              <w:szCs w:val="21"/>
            </w:rPr>
            <w:tag w:val="_PLD_abd9bd4831b9473aabae7411a299a204"/>
            <w:id w:val="-1157846482"/>
          </w:sdtPr>
          <w:sdtEndPr/>
          <w:sdtContent>
            <w:tc>
              <w:tcPr>
                <w:tcW w:w="908" w:type="pct"/>
                <w:gridSpan w:val="2"/>
                <w:tcBorders>
                  <w:top w:val="single" w:sz="4" w:space="0" w:color="auto"/>
                  <w:left w:val="single" w:sz="4" w:space="0" w:color="auto"/>
                  <w:right w:val="single" w:sz="4" w:space="0" w:color="auto"/>
                </w:tcBorders>
                <w:vAlign w:val="center"/>
              </w:tcPr>
              <w:p w14:paraId="7CA9E8A9" w14:textId="77777777" w:rsidR="002D0AE7" w:rsidRDefault="00333EBB">
                <w:pPr>
                  <w:jc w:val="center"/>
                  <w:rPr>
                    <w:rFonts w:hint="eastAsia"/>
                    <w:color w:val="000000" w:themeColor="text1"/>
                    <w:sz w:val="21"/>
                    <w:szCs w:val="21"/>
                  </w:rPr>
                </w:pPr>
                <w:r>
                  <w:rPr>
                    <w:rFonts w:hint="eastAsia"/>
                    <w:color w:val="000000" w:themeColor="text1"/>
                    <w:sz w:val="21"/>
                    <w:szCs w:val="21"/>
                  </w:rPr>
                  <w:t>账面余额</w:t>
                </w:r>
              </w:p>
            </w:tc>
          </w:sdtContent>
        </w:sdt>
        <w:sdt>
          <w:sdtPr>
            <w:rPr>
              <w:color w:val="000000" w:themeColor="text1"/>
              <w:sz w:val="21"/>
              <w:szCs w:val="21"/>
            </w:rPr>
            <w:tag w:val="_PLD_76d8f3a48cba41949b5870f6cbb124af"/>
            <w:id w:val="346838772"/>
          </w:sdtPr>
          <w:sdtEndPr/>
          <w:sdtContent>
            <w:tc>
              <w:tcPr>
                <w:tcW w:w="387" w:type="pct"/>
                <w:gridSpan w:val="2"/>
                <w:tcBorders>
                  <w:top w:val="single" w:sz="4" w:space="0" w:color="auto"/>
                  <w:left w:val="single" w:sz="4" w:space="0" w:color="auto"/>
                  <w:right w:val="single" w:sz="4" w:space="0" w:color="auto"/>
                </w:tcBorders>
                <w:vAlign w:val="center"/>
              </w:tcPr>
              <w:p w14:paraId="1D4F9E26" w14:textId="77777777" w:rsidR="002D0AE7" w:rsidRDefault="00333EBB">
                <w:pPr>
                  <w:jc w:val="center"/>
                  <w:rPr>
                    <w:rFonts w:hint="eastAsia"/>
                    <w:color w:val="000000" w:themeColor="text1"/>
                    <w:sz w:val="21"/>
                    <w:szCs w:val="21"/>
                  </w:rPr>
                </w:pPr>
                <w:r>
                  <w:rPr>
                    <w:rFonts w:hint="eastAsia"/>
                    <w:color w:val="000000" w:themeColor="text1"/>
                    <w:sz w:val="21"/>
                    <w:szCs w:val="21"/>
                  </w:rPr>
                  <w:t>坏账准备</w:t>
                </w:r>
              </w:p>
            </w:tc>
          </w:sdtContent>
        </w:sdt>
        <w:sdt>
          <w:sdtPr>
            <w:rPr>
              <w:color w:val="000000" w:themeColor="text1"/>
              <w:sz w:val="21"/>
              <w:szCs w:val="21"/>
            </w:rPr>
            <w:tag w:val="_PLD_5062ab8e678b49c0bba488dc029ff27b"/>
            <w:id w:val="714387064"/>
          </w:sdtPr>
          <w:sdtEndPr/>
          <w:sdtContent>
            <w:tc>
              <w:tcPr>
                <w:tcW w:w="619" w:type="pct"/>
                <w:vMerge w:val="restart"/>
                <w:tcBorders>
                  <w:top w:val="single" w:sz="4" w:space="0" w:color="auto"/>
                  <w:left w:val="single" w:sz="4" w:space="0" w:color="auto"/>
                  <w:right w:val="single" w:sz="4" w:space="0" w:color="auto"/>
                </w:tcBorders>
                <w:vAlign w:val="center"/>
              </w:tcPr>
              <w:p w14:paraId="1272C9EF" w14:textId="77777777" w:rsidR="002D0AE7" w:rsidRDefault="00333EBB">
                <w:pPr>
                  <w:jc w:val="center"/>
                  <w:rPr>
                    <w:rFonts w:hint="eastAsia"/>
                    <w:color w:val="000000" w:themeColor="text1"/>
                    <w:sz w:val="21"/>
                    <w:szCs w:val="21"/>
                  </w:rPr>
                </w:pPr>
                <w:r>
                  <w:rPr>
                    <w:rFonts w:hint="eastAsia"/>
                    <w:color w:val="000000" w:themeColor="text1"/>
                    <w:sz w:val="21"/>
                    <w:szCs w:val="21"/>
                  </w:rPr>
                  <w:t>账面</w:t>
                </w:r>
              </w:p>
              <w:p w14:paraId="58B99D28" w14:textId="77777777" w:rsidR="002D0AE7" w:rsidRDefault="00333EBB">
                <w:pPr>
                  <w:jc w:val="center"/>
                  <w:rPr>
                    <w:rFonts w:hint="eastAsia"/>
                    <w:color w:val="000000" w:themeColor="text1"/>
                    <w:sz w:val="21"/>
                    <w:szCs w:val="21"/>
                  </w:rPr>
                </w:pPr>
                <w:r>
                  <w:rPr>
                    <w:rFonts w:hint="eastAsia"/>
                    <w:color w:val="000000" w:themeColor="text1"/>
                    <w:sz w:val="21"/>
                    <w:szCs w:val="21"/>
                  </w:rPr>
                  <w:t>价值</w:t>
                </w:r>
              </w:p>
            </w:tc>
          </w:sdtContent>
        </w:sdt>
      </w:tr>
      <w:tr w:rsidR="002D0AE7" w14:paraId="701EC112" w14:textId="77777777">
        <w:trPr>
          <w:cantSplit/>
          <w:trHeight w:val="375"/>
          <w:jc w:val="center"/>
        </w:trPr>
        <w:tc>
          <w:tcPr>
            <w:tcW w:w="959" w:type="pct"/>
            <w:vMerge/>
            <w:tcBorders>
              <w:left w:val="single" w:sz="4" w:space="0" w:color="auto"/>
              <w:bottom w:val="single" w:sz="4" w:space="0" w:color="auto"/>
              <w:right w:val="single" w:sz="4" w:space="0" w:color="auto"/>
            </w:tcBorders>
            <w:vAlign w:val="center"/>
          </w:tcPr>
          <w:p w14:paraId="1235D05C" w14:textId="77777777" w:rsidR="002D0AE7" w:rsidRDefault="002D0AE7">
            <w:pPr>
              <w:rPr>
                <w:rFonts w:hint="eastAsia"/>
                <w:color w:val="000000" w:themeColor="text1"/>
                <w:sz w:val="21"/>
                <w:szCs w:val="21"/>
              </w:rPr>
            </w:pPr>
          </w:p>
        </w:tc>
        <w:sdt>
          <w:sdtPr>
            <w:rPr>
              <w:color w:val="000000" w:themeColor="text1"/>
              <w:sz w:val="21"/>
              <w:szCs w:val="21"/>
            </w:rPr>
            <w:tag w:val="_PLD_f6bdd572740240b5a7a2e643c29db5eb"/>
            <w:id w:val="-2009506463"/>
          </w:sdtPr>
          <w:sdtEndPr/>
          <w:sdtContent>
            <w:tc>
              <w:tcPr>
                <w:tcW w:w="619" w:type="pct"/>
                <w:tcBorders>
                  <w:left w:val="single" w:sz="4" w:space="0" w:color="auto"/>
                  <w:bottom w:val="single" w:sz="4" w:space="0" w:color="auto"/>
                  <w:right w:val="single" w:sz="4" w:space="0" w:color="auto"/>
                </w:tcBorders>
                <w:vAlign w:val="center"/>
              </w:tcPr>
              <w:p w14:paraId="358717D7" w14:textId="77777777" w:rsidR="002D0AE7" w:rsidRDefault="00333EBB">
                <w:pPr>
                  <w:jc w:val="center"/>
                  <w:rPr>
                    <w:rFonts w:hint="eastAsia"/>
                    <w:color w:val="000000" w:themeColor="text1"/>
                    <w:sz w:val="21"/>
                    <w:szCs w:val="21"/>
                  </w:rPr>
                </w:pPr>
                <w:r>
                  <w:rPr>
                    <w:rFonts w:hint="eastAsia"/>
                    <w:color w:val="000000" w:themeColor="text1"/>
                    <w:sz w:val="21"/>
                    <w:szCs w:val="21"/>
                  </w:rPr>
                  <w:t>金额</w:t>
                </w:r>
              </w:p>
            </w:tc>
          </w:sdtContent>
        </w:sdt>
        <w:sdt>
          <w:sdtPr>
            <w:rPr>
              <w:color w:val="000000" w:themeColor="text1"/>
              <w:sz w:val="21"/>
              <w:szCs w:val="21"/>
            </w:rPr>
            <w:tag w:val="_PLD_0a09779b6e354e32b6df9b1e891e1509"/>
            <w:id w:val="-1365598441"/>
          </w:sdtPr>
          <w:sdtEndPr/>
          <w:sdtContent>
            <w:tc>
              <w:tcPr>
                <w:tcW w:w="288" w:type="pct"/>
                <w:tcBorders>
                  <w:left w:val="single" w:sz="4" w:space="0" w:color="auto"/>
                  <w:bottom w:val="single" w:sz="4" w:space="0" w:color="auto"/>
                  <w:right w:val="single" w:sz="4" w:space="0" w:color="auto"/>
                </w:tcBorders>
                <w:vAlign w:val="center"/>
              </w:tcPr>
              <w:p w14:paraId="1AAA5259" w14:textId="77777777" w:rsidR="002D0AE7" w:rsidRDefault="00333EBB">
                <w:pPr>
                  <w:jc w:val="center"/>
                  <w:rPr>
                    <w:rFonts w:hint="eastAsia"/>
                    <w:color w:val="000000" w:themeColor="text1"/>
                    <w:sz w:val="21"/>
                    <w:szCs w:val="21"/>
                  </w:rPr>
                </w:pPr>
                <w:r>
                  <w:rPr>
                    <w:rFonts w:hint="eastAsia"/>
                    <w:color w:val="000000" w:themeColor="text1"/>
                    <w:sz w:val="21"/>
                    <w:szCs w:val="21"/>
                  </w:rPr>
                  <w:t>比例</w:t>
                </w:r>
                <w:r>
                  <w:rPr>
                    <w:color w:val="000000" w:themeColor="text1"/>
                    <w:sz w:val="21"/>
                    <w:szCs w:val="21"/>
                  </w:rPr>
                  <w:t>(%)</w:t>
                </w:r>
              </w:p>
            </w:tc>
          </w:sdtContent>
        </w:sdt>
        <w:sdt>
          <w:sdtPr>
            <w:rPr>
              <w:color w:val="000000" w:themeColor="text1"/>
              <w:sz w:val="21"/>
              <w:szCs w:val="21"/>
            </w:rPr>
            <w:tag w:val="_PLD_dd9c9061f11b453c8775ca1a11382d92"/>
            <w:id w:val="-2038494734"/>
          </w:sdtPr>
          <w:sdtEndPr/>
          <w:sdtContent>
            <w:tc>
              <w:tcPr>
                <w:tcW w:w="406" w:type="pct"/>
                <w:tcBorders>
                  <w:left w:val="single" w:sz="4" w:space="0" w:color="auto"/>
                  <w:bottom w:val="single" w:sz="4" w:space="0" w:color="auto"/>
                  <w:right w:val="single" w:sz="4" w:space="0" w:color="auto"/>
                </w:tcBorders>
                <w:vAlign w:val="center"/>
              </w:tcPr>
              <w:p w14:paraId="1325DF80" w14:textId="77777777" w:rsidR="002D0AE7" w:rsidRDefault="00333EBB">
                <w:pPr>
                  <w:jc w:val="center"/>
                  <w:rPr>
                    <w:rFonts w:hint="eastAsia"/>
                    <w:color w:val="000000" w:themeColor="text1"/>
                    <w:sz w:val="21"/>
                    <w:szCs w:val="21"/>
                  </w:rPr>
                </w:pPr>
                <w:r>
                  <w:rPr>
                    <w:rFonts w:hint="eastAsia"/>
                    <w:color w:val="000000" w:themeColor="text1"/>
                    <w:sz w:val="21"/>
                    <w:szCs w:val="21"/>
                  </w:rPr>
                  <w:t>金额</w:t>
                </w:r>
              </w:p>
            </w:tc>
          </w:sdtContent>
        </w:sdt>
        <w:sdt>
          <w:sdtPr>
            <w:rPr>
              <w:color w:val="000000" w:themeColor="text1"/>
              <w:sz w:val="21"/>
              <w:szCs w:val="21"/>
            </w:rPr>
            <w:tag w:val="_PLD_988b69362ac14c0e94c26191e76b1e3a"/>
            <w:id w:val="-1058387927"/>
          </w:sdtPr>
          <w:sdtEndPr/>
          <w:sdtContent>
            <w:tc>
              <w:tcPr>
                <w:tcW w:w="194" w:type="pct"/>
                <w:tcBorders>
                  <w:left w:val="single" w:sz="4" w:space="0" w:color="auto"/>
                  <w:bottom w:val="single" w:sz="4" w:space="0" w:color="auto"/>
                  <w:right w:val="single" w:sz="4" w:space="0" w:color="auto"/>
                </w:tcBorders>
                <w:vAlign w:val="center"/>
              </w:tcPr>
              <w:p w14:paraId="2EFBE9B3" w14:textId="77777777" w:rsidR="002D0AE7" w:rsidRDefault="00333EBB">
                <w:pPr>
                  <w:jc w:val="center"/>
                  <w:rPr>
                    <w:rFonts w:hint="eastAsia"/>
                    <w:color w:val="000000" w:themeColor="text1"/>
                    <w:sz w:val="21"/>
                    <w:szCs w:val="21"/>
                  </w:rPr>
                </w:pPr>
                <w:r>
                  <w:rPr>
                    <w:rFonts w:hint="eastAsia"/>
                    <w:color w:val="000000" w:themeColor="text1"/>
                    <w:sz w:val="21"/>
                    <w:szCs w:val="21"/>
                  </w:rPr>
                  <w:t>计提比例</w:t>
                </w:r>
                <w:r>
                  <w:rPr>
                    <w:color w:val="000000" w:themeColor="text1"/>
                    <w:sz w:val="21"/>
                    <w:szCs w:val="21"/>
                  </w:rPr>
                  <w:t>(%)</w:t>
                </w:r>
              </w:p>
            </w:tc>
          </w:sdtContent>
        </w:sdt>
        <w:tc>
          <w:tcPr>
            <w:tcW w:w="619" w:type="pct"/>
            <w:vMerge/>
            <w:tcBorders>
              <w:left w:val="single" w:sz="4" w:space="0" w:color="auto"/>
              <w:bottom w:val="single" w:sz="4" w:space="0" w:color="auto"/>
              <w:right w:val="single" w:sz="4" w:space="0" w:color="auto"/>
            </w:tcBorders>
            <w:vAlign w:val="center"/>
          </w:tcPr>
          <w:p w14:paraId="11413459" w14:textId="77777777" w:rsidR="002D0AE7" w:rsidRDefault="002D0AE7">
            <w:pPr>
              <w:jc w:val="center"/>
              <w:rPr>
                <w:rFonts w:hint="eastAsia"/>
                <w:color w:val="000000" w:themeColor="text1"/>
                <w:sz w:val="21"/>
                <w:szCs w:val="21"/>
              </w:rPr>
            </w:pPr>
          </w:p>
        </w:tc>
        <w:sdt>
          <w:sdtPr>
            <w:rPr>
              <w:color w:val="000000" w:themeColor="text1"/>
              <w:sz w:val="21"/>
              <w:szCs w:val="21"/>
            </w:rPr>
            <w:tag w:val="_PLD_a5c1af5c86d545b993971c3da029159d"/>
            <w:id w:val="-1797754272"/>
          </w:sdtPr>
          <w:sdtEndPr/>
          <w:sdtContent>
            <w:tc>
              <w:tcPr>
                <w:tcW w:w="619" w:type="pct"/>
                <w:tcBorders>
                  <w:left w:val="single" w:sz="4" w:space="0" w:color="auto"/>
                  <w:bottom w:val="single" w:sz="4" w:space="0" w:color="auto"/>
                  <w:right w:val="single" w:sz="4" w:space="0" w:color="auto"/>
                </w:tcBorders>
                <w:vAlign w:val="center"/>
              </w:tcPr>
              <w:p w14:paraId="0D81F647" w14:textId="77777777" w:rsidR="002D0AE7" w:rsidRDefault="00333EBB">
                <w:pPr>
                  <w:jc w:val="center"/>
                  <w:rPr>
                    <w:rFonts w:hint="eastAsia"/>
                    <w:color w:val="000000" w:themeColor="text1"/>
                    <w:sz w:val="21"/>
                    <w:szCs w:val="21"/>
                  </w:rPr>
                </w:pPr>
                <w:r>
                  <w:rPr>
                    <w:rFonts w:hint="eastAsia"/>
                    <w:color w:val="000000" w:themeColor="text1"/>
                    <w:sz w:val="21"/>
                    <w:szCs w:val="21"/>
                  </w:rPr>
                  <w:t>金额</w:t>
                </w:r>
              </w:p>
            </w:tc>
          </w:sdtContent>
        </w:sdt>
        <w:sdt>
          <w:sdtPr>
            <w:rPr>
              <w:color w:val="000000" w:themeColor="text1"/>
              <w:sz w:val="21"/>
              <w:szCs w:val="21"/>
            </w:rPr>
            <w:tag w:val="_PLD_fd80073c74724a799d0de2171d95f241"/>
            <w:id w:val="366719073"/>
          </w:sdtPr>
          <w:sdtEndPr/>
          <w:sdtContent>
            <w:tc>
              <w:tcPr>
                <w:tcW w:w="288" w:type="pct"/>
                <w:tcBorders>
                  <w:left w:val="single" w:sz="4" w:space="0" w:color="auto"/>
                  <w:bottom w:val="single" w:sz="4" w:space="0" w:color="auto"/>
                  <w:right w:val="single" w:sz="4" w:space="0" w:color="auto"/>
                </w:tcBorders>
                <w:vAlign w:val="center"/>
              </w:tcPr>
              <w:p w14:paraId="4DD1C142" w14:textId="77777777" w:rsidR="002D0AE7" w:rsidRDefault="00333EBB">
                <w:pPr>
                  <w:jc w:val="center"/>
                  <w:rPr>
                    <w:rFonts w:hint="eastAsia"/>
                    <w:color w:val="000000" w:themeColor="text1"/>
                    <w:sz w:val="21"/>
                    <w:szCs w:val="21"/>
                  </w:rPr>
                </w:pPr>
                <w:r>
                  <w:rPr>
                    <w:rFonts w:hint="eastAsia"/>
                    <w:color w:val="000000" w:themeColor="text1"/>
                    <w:sz w:val="21"/>
                    <w:szCs w:val="21"/>
                  </w:rPr>
                  <w:t>比例</w:t>
                </w:r>
                <w:r>
                  <w:rPr>
                    <w:color w:val="000000" w:themeColor="text1"/>
                    <w:sz w:val="21"/>
                    <w:szCs w:val="21"/>
                  </w:rPr>
                  <w:t>(%)</w:t>
                </w:r>
              </w:p>
            </w:tc>
          </w:sdtContent>
        </w:sdt>
        <w:sdt>
          <w:sdtPr>
            <w:rPr>
              <w:color w:val="000000" w:themeColor="text1"/>
              <w:sz w:val="21"/>
              <w:szCs w:val="21"/>
            </w:rPr>
            <w:tag w:val="_PLD_917059b3ee7f4b52afe8c3fa58f3e369"/>
            <w:id w:val="-617614313"/>
          </w:sdtPr>
          <w:sdtEndPr/>
          <w:sdtContent>
            <w:tc>
              <w:tcPr>
                <w:tcW w:w="194" w:type="pct"/>
                <w:tcBorders>
                  <w:left w:val="single" w:sz="4" w:space="0" w:color="auto"/>
                  <w:bottom w:val="single" w:sz="4" w:space="0" w:color="auto"/>
                  <w:right w:val="single" w:sz="4" w:space="0" w:color="auto"/>
                </w:tcBorders>
                <w:vAlign w:val="center"/>
              </w:tcPr>
              <w:p w14:paraId="02EFD50D" w14:textId="77777777" w:rsidR="002D0AE7" w:rsidRDefault="00333EBB">
                <w:pPr>
                  <w:jc w:val="center"/>
                  <w:rPr>
                    <w:rFonts w:hint="eastAsia"/>
                    <w:color w:val="000000" w:themeColor="text1"/>
                    <w:sz w:val="21"/>
                    <w:szCs w:val="21"/>
                  </w:rPr>
                </w:pPr>
                <w:r>
                  <w:rPr>
                    <w:rFonts w:hint="eastAsia"/>
                    <w:color w:val="000000" w:themeColor="text1"/>
                    <w:sz w:val="21"/>
                    <w:szCs w:val="21"/>
                  </w:rPr>
                  <w:t>金额</w:t>
                </w:r>
              </w:p>
            </w:tc>
          </w:sdtContent>
        </w:sdt>
        <w:sdt>
          <w:sdtPr>
            <w:rPr>
              <w:color w:val="000000" w:themeColor="text1"/>
              <w:sz w:val="21"/>
              <w:szCs w:val="21"/>
            </w:rPr>
            <w:tag w:val="_PLD_ea90ccc029834397956c79bbe869d343"/>
            <w:id w:val="-2022223710"/>
          </w:sdtPr>
          <w:sdtEndPr/>
          <w:sdtContent>
            <w:tc>
              <w:tcPr>
                <w:tcW w:w="194" w:type="pct"/>
                <w:tcBorders>
                  <w:left w:val="single" w:sz="4" w:space="0" w:color="auto"/>
                  <w:bottom w:val="single" w:sz="4" w:space="0" w:color="auto"/>
                  <w:right w:val="single" w:sz="4" w:space="0" w:color="auto"/>
                </w:tcBorders>
                <w:vAlign w:val="center"/>
              </w:tcPr>
              <w:p w14:paraId="45CCFF8E" w14:textId="77777777" w:rsidR="002D0AE7" w:rsidRDefault="00333EBB">
                <w:pPr>
                  <w:jc w:val="center"/>
                  <w:rPr>
                    <w:rFonts w:hint="eastAsia"/>
                    <w:color w:val="000000" w:themeColor="text1"/>
                    <w:sz w:val="21"/>
                    <w:szCs w:val="21"/>
                  </w:rPr>
                </w:pPr>
                <w:r>
                  <w:rPr>
                    <w:rFonts w:hint="eastAsia"/>
                    <w:color w:val="000000" w:themeColor="text1"/>
                    <w:sz w:val="21"/>
                    <w:szCs w:val="21"/>
                  </w:rPr>
                  <w:t>计提比例</w:t>
                </w:r>
                <w:r>
                  <w:rPr>
                    <w:color w:val="000000" w:themeColor="text1"/>
                    <w:sz w:val="21"/>
                    <w:szCs w:val="21"/>
                  </w:rPr>
                  <w:t>(%)</w:t>
                </w:r>
              </w:p>
            </w:tc>
          </w:sdtContent>
        </w:sdt>
        <w:tc>
          <w:tcPr>
            <w:tcW w:w="619" w:type="pct"/>
            <w:vMerge/>
            <w:tcBorders>
              <w:left w:val="single" w:sz="4" w:space="0" w:color="auto"/>
              <w:bottom w:val="single" w:sz="4" w:space="0" w:color="auto"/>
              <w:right w:val="single" w:sz="4" w:space="0" w:color="auto"/>
            </w:tcBorders>
          </w:tcPr>
          <w:p w14:paraId="6474CE64" w14:textId="77777777" w:rsidR="002D0AE7" w:rsidRDefault="002D0AE7">
            <w:pPr>
              <w:jc w:val="center"/>
              <w:rPr>
                <w:rFonts w:hint="eastAsia"/>
                <w:color w:val="000000" w:themeColor="text1"/>
                <w:sz w:val="21"/>
                <w:szCs w:val="21"/>
              </w:rPr>
            </w:pPr>
          </w:p>
        </w:tc>
      </w:tr>
      <w:tr w:rsidR="002D0AE7" w14:paraId="01BE92E4" w14:textId="77777777">
        <w:trPr>
          <w:cantSplit/>
          <w:jc w:val="center"/>
        </w:trPr>
        <w:tc>
          <w:tcPr>
            <w:tcW w:w="959" w:type="pct"/>
            <w:tcBorders>
              <w:top w:val="single" w:sz="4" w:space="0" w:color="auto"/>
              <w:left w:val="single" w:sz="4" w:space="0" w:color="auto"/>
              <w:bottom w:val="single" w:sz="4" w:space="0" w:color="auto"/>
              <w:right w:val="single" w:sz="4" w:space="0" w:color="auto"/>
            </w:tcBorders>
          </w:tcPr>
          <w:p w14:paraId="66E1BB35" w14:textId="77777777" w:rsidR="002D0AE7" w:rsidRDefault="00333EBB">
            <w:pPr>
              <w:rPr>
                <w:rFonts w:hint="eastAsia"/>
                <w:color w:val="000000" w:themeColor="text1"/>
                <w:sz w:val="21"/>
                <w:szCs w:val="21"/>
              </w:rPr>
            </w:pPr>
            <w:r>
              <w:rPr>
                <w:rFonts w:hint="eastAsia"/>
                <w:color w:val="000000" w:themeColor="text1"/>
                <w:sz w:val="21"/>
                <w:szCs w:val="21"/>
              </w:rPr>
              <w:t>按单项计提坏账准备</w:t>
            </w:r>
          </w:p>
        </w:tc>
        <w:tc>
          <w:tcPr>
            <w:tcW w:w="619" w:type="pct"/>
            <w:tcBorders>
              <w:top w:val="single" w:sz="4" w:space="0" w:color="auto"/>
              <w:left w:val="single" w:sz="4" w:space="0" w:color="auto"/>
              <w:bottom w:val="single" w:sz="4" w:space="0" w:color="auto"/>
              <w:right w:val="single" w:sz="4" w:space="0" w:color="auto"/>
            </w:tcBorders>
            <w:vAlign w:val="center"/>
          </w:tcPr>
          <w:p w14:paraId="7CD7E13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288" w:type="pct"/>
            <w:tcBorders>
              <w:top w:val="single" w:sz="4" w:space="0" w:color="auto"/>
              <w:left w:val="single" w:sz="4" w:space="0" w:color="auto"/>
              <w:bottom w:val="single" w:sz="4" w:space="0" w:color="auto"/>
              <w:right w:val="single" w:sz="4" w:space="0" w:color="auto"/>
            </w:tcBorders>
            <w:vAlign w:val="center"/>
          </w:tcPr>
          <w:p w14:paraId="00E778E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406" w:type="pct"/>
            <w:tcBorders>
              <w:top w:val="single" w:sz="4" w:space="0" w:color="auto"/>
              <w:left w:val="single" w:sz="4" w:space="0" w:color="auto"/>
              <w:bottom w:val="single" w:sz="4" w:space="0" w:color="auto"/>
              <w:right w:val="single" w:sz="4" w:space="0" w:color="auto"/>
            </w:tcBorders>
            <w:vAlign w:val="center"/>
          </w:tcPr>
          <w:p w14:paraId="4B154CA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194" w:type="pct"/>
            <w:tcBorders>
              <w:top w:val="single" w:sz="4" w:space="0" w:color="auto"/>
              <w:left w:val="single" w:sz="4" w:space="0" w:color="auto"/>
              <w:bottom w:val="single" w:sz="4" w:space="0" w:color="auto"/>
              <w:right w:val="single" w:sz="4" w:space="0" w:color="auto"/>
            </w:tcBorders>
            <w:vAlign w:val="center"/>
          </w:tcPr>
          <w:p w14:paraId="0B2A27E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19" w:type="pct"/>
            <w:tcBorders>
              <w:top w:val="single" w:sz="4" w:space="0" w:color="auto"/>
              <w:left w:val="single" w:sz="4" w:space="0" w:color="auto"/>
              <w:bottom w:val="single" w:sz="4" w:space="0" w:color="auto"/>
              <w:right w:val="single" w:sz="4" w:space="0" w:color="auto"/>
            </w:tcBorders>
            <w:vAlign w:val="center"/>
          </w:tcPr>
          <w:p w14:paraId="6B4A165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19" w:type="pct"/>
            <w:tcBorders>
              <w:top w:val="single" w:sz="4" w:space="0" w:color="auto"/>
              <w:left w:val="single" w:sz="4" w:space="0" w:color="auto"/>
              <w:bottom w:val="single" w:sz="4" w:space="0" w:color="auto"/>
              <w:right w:val="single" w:sz="4" w:space="0" w:color="auto"/>
            </w:tcBorders>
            <w:vAlign w:val="center"/>
          </w:tcPr>
          <w:p w14:paraId="1449169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288" w:type="pct"/>
            <w:tcBorders>
              <w:top w:val="single" w:sz="4" w:space="0" w:color="auto"/>
              <w:left w:val="single" w:sz="4" w:space="0" w:color="auto"/>
              <w:bottom w:val="single" w:sz="4" w:space="0" w:color="auto"/>
              <w:right w:val="single" w:sz="4" w:space="0" w:color="auto"/>
            </w:tcBorders>
            <w:vAlign w:val="center"/>
          </w:tcPr>
          <w:p w14:paraId="52F4CE9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194" w:type="pct"/>
            <w:tcBorders>
              <w:top w:val="single" w:sz="4" w:space="0" w:color="auto"/>
              <w:left w:val="single" w:sz="4" w:space="0" w:color="auto"/>
              <w:bottom w:val="single" w:sz="4" w:space="0" w:color="auto"/>
              <w:right w:val="single" w:sz="4" w:space="0" w:color="auto"/>
            </w:tcBorders>
            <w:vAlign w:val="center"/>
          </w:tcPr>
          <w:p w14:paraId="14A5422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194" w:type="pct"/>
            <w:tcBorders>
              <w:top w:val="single" w:sz="4" w:space="0" w:color="auto"/>
              <w:left w:val="single" w:sz="4" w:space="0" w:color="auto"/>
              <w:bottom w:val="single" w:sz="4" w:space="0" w:color="auto"/>
              <w:right w:val="single" w:sz="4" w:space="0" w:color="auto"/>
            </w:tcBorders>
            <w:vAlign w:val="center"/>
          </w:tcPr>
          <w:p w14:paraId="22E6C15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19" w:type="pct"/>
            <w:tcBorders>
              <w:top w:val="single" w:sz="4" w:space="0" w:color="auto"/>
              <w:left w:val="single" w:sz="4" w:space="0" w:color="auto"/>
              <w:bottom w:val="single" w:sz="4" w:space="0" w:color="auto"/>
              <w:right w:val="single" w:sz="4" w:space="0" w:color="auto"/>
            </w:tcBorders>
            <w:vAlign w:val="center"/>
          </w:tcPr>
          <w:p w14:paraId="0993AF7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6F21A2A3" w14:textId="77777777">
        <w:trPr>
          <w:cantSplit/>
          <w:jc w:val="center"/>
        </w:trPr>
        <w:sdt>
          <w:sdtPr>
            <w:rPr>
              <w:color w:val="000000" w:themeColor="text1"/>
              <w:sz w:val="21"/>
              <w:szCs w:val="21"/>
            </w:rPr>
            <w:tag w:val="_PLD_8ec8b92b0ab24a78ae82ff991696133e"/>
            <w:id w:val="-1468114518"/>
          </w:sdtPr>
          <w:sdtEndPr/>
          <w:sdtContent>
            <w:tc>
              <w:tcPr>
                <w:tcW w:w="5000" w:type="pct"/>
                <w:gridSpan w:val="11"/>
                <w:tcBorders>
                  <w:top w:val="single" w:sz="4" w:space="0" w:color="auto"/>
                  <w:left w:val="single" w:sz="4" w:space="0" w:color="auto"/>
                  <w:bottom w:val="single" w:sz="4" w:space="0" w:color="auto"/>
                  <w:right w:val="single" w:sz="4" w:space="0" w:color="auto"/>
                </w:tcBorders>
              </w:tcPr>
              <w:p w14:paraId="0715EC94" w14:textId="77777777" w:rsidR="002D0AE7" w:rsidRDefault="00333EBB">
                <w:pPr>
                  <w:rPr>
                    <w:rFonts w:hint="eastAsia"/>
                    <w:color w:val="000000" w:themeColor="text1"/>
                    <w:sz w:val="21"/>
                    <w:szCs w:val="21"/>
                  </w:rPr>
                </w:pPr>
                <w:r>
                  <w:rPr>
                    <w:rFonts w:hint="eastAsia"/>
                    <w:color w:val="000000" w:themeColor="text1"/>
                    <w:sz w:val="21"/>
                    <w:szCs w:val="21"/>
                  </w:rPr>
                  <w:t>其中：</w:t>
                </w:r>
              </w:p>
            </w:tc>
          </w:sdtContent>
        </w:sdt>
      </w:tr>
      <w:tr w:rsidR="002D0AE7" w14:paraId="294C3888" w14:textId="77777777">
        <w:trPr>
          <w:cantSplit/>
          <w:jc w:val="center"/>
        </w:trPr>
        <w:tc>
          <w:tcPr>
            <w:tcW w:w="959" w:type="pct"/>
            <w:tcBorders>
              <w:top w:val="single" w:sz="4" w:space="0" w:color="auto"/>
              <w:left w:val="single" w:sz="4" w:space="0" w:color="auto"/>
              <w:bottom w:val="single" w:sz="4" w:space="0" w:color="auto"/>
              <w:right w:val="single" w:sz="4" w:space="0" w:color="auto"/>
            </w:tcBorders>
            <w:vAlign w:val="center"/>
          </w:tcPr>
          <w:p w14:paraId="786932E0" w14:textId="77777777" w:rsidR="002D0AE7" w:rsidRDefault="00333EBB">
            <w:pPr>
              <w:rPr>
                <w:rFonts w:hint="eastAsia"/>
                <w:color w:val="000000" w:themeColor="text1"/>
                <w:sz w:val="21"/>
                <w:szCs w:val="21"/>
              </w:rPr>
            </w:pPr>
            <w:r>
              <w:rPr>
                <w:rFonts w:hint="eastAsia"/>
                <w:color w:val="000000" w:themeColor="text1"/>
                <w:sz w:val="21"/>
                <w:szCs w:val="21"/>
              </w:rPr>
              <w:t>按组合计提坏账准备</w:t>
            </w:r>
          </w:p>
        </w:tc>
        <w:tc>
          <w:tcPr>
            <w:tcW w:w="619" w:type="pct"/>
            <w:tcBorders>
              <w:top w:val="single" w:sz="4" w:space="0" w:color="auto"/>
              <w:left w:val="single" w:sz="4" w:space="0" w:color="auto"/>
              <w:bottom w:val="single" w:sz="4" w:space="0" w:color="auto"/>
              <w:right w:val="single" w:sz="4" w:space="0" w:color="auto"/>
            </w:tcBorders>
            <w:vAlign w:val="center"/>
          </w:tcPr>
          <w:p w14:paraId="76D1AD0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152,337,251.29</w:t>
            </w:r>
          </w:p>
        </w:tc>
        <w:tc>
          <w:tcPr>
            <w:tcW w:w="288" w:type="pct"/>
            <w:tcBorders>
              <w:top w:val="single" w:sz="4" w:space="0" w:color="auto"/>
              <w:left w:val="single" w:sz="4" w:space="0" w:color="auto"/>
              <w:bottom w:val="single" w:sz="4" w:space="0" w:color="auto"/>
              <w:right w:val="single" w:sz="4" w:space="0" w:color="auto"/>
            </w:tcBorders>
            <w:vAlign w:val="center"/>
          </w:tcPr>
          <w:p w14:paraId="64E8479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100.00</w:t>
            </w:r>
          </w:p>
        </w:tc>
        <w:tc>
          <w:tcPr>
            <w:tcW w:w="406" w:type="pct"/>
            <w:tcBorders>
              <w:top w:val="single" w:sz="4" w:space="0" w:color="auto"/>
              <w:left w:val="single" w:sz="4" w:space="0" w:color="auto"/>
              <w:bottom w:val="single" w:sz="4" w:space="0" w:color="auto"/>
              <w:right w:val="single" w:sz="4" w:space="0" w:color="auto"/>
            </w:tcBorders>
            <w:vAlign w:val="center"/>
          </w:tcPr>
          <w:p w14:paraId="3E0FB93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10,936.97</w:t>
            </w:r>
          </w:p>
        </w:tc>
        <w:tc>
          <w:tcPr>
            <w:tcW w:w="194" w:type="pct"/>
            <w:tcBorders>
              <w:top w:val="single" w:sz="4" w:space="0" w:color="auto"/>
              <w:left w:val="single" w:sz="4" w:space="0" w:color="auto"/>
              <w:bottom w:val="single" w:sz="4" w:space="0" w:color="auto"/>
              <w:right w:val="single" w:sz="4" w:space="0" w:color="auto"/>
            </w:tcBorders>
            <w:vAlign w:val="center"/>
          </w:tcPr>
          <w:p w14:paraId="7C4207E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0.01</w:t>
            </w:r>
          </w:p>
        </w:tc>
        <w:tc>
          <w:tcPr>
            <w:tcW w:w="619" w:type="pct"/>
            <w:tcBorders>
              <w:top w:val="single" w:sz="4" w:space="0" w:color="auto"/>
              <w:left w:val="single" w:sz="4" w:space="0" w:color="auto"/>
              <w:bottom w:val="single" w:sz="4" w:space="0" w:color="auto"/>
              <w:right w:val="single" w:sz="4" w:space="0" w:color="auto"/>
            </w:tcBorders>
            <w:vAlign w:val="center"/>
          </w:tcPr>
          <w:p w14:paraId="0C36830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152,326,314.32</w:t>
            </w:r>
          </w:p>
        </w:tc>
        <w:tc>
          <w:tcPr>
            <w:tcW w:w="619" w:type="pct"/>
            <w:tcBorders>
              <w:top w:val="single" w:sz="4" w:space="0" w:color="auto"/>
              <w:left w:val="single" w:sz="4" w:space="0" w:color="auto"/>
              <w:bottom w:val="single" w:sz="4" w:space="0" w:color="auto"/>
              <w:right w:val="single" w:sz="4" w:space="0" w:color="auto"/>
            </w:tcBorders>
            <w:vAlign w:val="center"/>
          </w:tcPr>
          <w:p w14:paraId="224DC0D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111,000,253.94</w:t>
            </w:r>
          </w:p>
        </w:tc>
        <w:tc>
          <w:tcPr>
            <w:tcW w:w="288" w:type="pct"/>
            <w:tcBorders>
              <w:top w:val="single" w:sz="4" w:space="0" w:color="auto"/>
              <w:left w:val="single" w:sz="4" w:space="0" w:color="auto"/>
              <w:bottom w:val="single" w:sz="4" w:space="0" w:color="auto"/>
              <w:right w:val="single" w:sz="4" w:space="0" w:color="auto"/>
            </w:tcBorders>
            <w:vAlign w:val="center"/>
          </w:tcPr>
          <w:p w14:paraId="1BEAF5E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100.00</w:t>
            </w:r>
          </w:p>
        </w:tc>
        <w:tc>
          <w:tcPr>
            <w:tcW w:w="194" w:type="pct"/>
            <w:tcBorders>
              <w:top w:val="single" w:sz="4" w:space="0" w:color="auto"/>
              <w:left w:val="single" w:sz="4" w:space="0" w:color="auto"/>
              <w:bottom w:val="single" w:sz="4" w:space="0" w:color="auto"/>
              <w:right w:val="single" w:sz="4" w:space="0" w:color="auto"/>
            </w:tcBorders>
            <w:vAlign w:val="center"/>
          </w:tcPr>
          <w:p w14:paraId="1FE79E6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194" w:type="pct"/>
            <w:tcBorders>
              <w:top w:val="single" w:sz="4" w:space="0" w:color="auto"/>
              <w:left w:val="single" w:sz="4" w:space="0" w:color="auto"/>
              <w:bottom w:val="single" w:sz="4" w:space="0" w:color="auto"/>
              <w:right w:val="single" w:sz="4" w:space="0" w:color="auto"/>
            </w:tcBorders>
            <w:vAlign w:val="center"/>
          </w:tcPr>
          <w:p w14:paraId="13B5350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19" w:type="pct"/>
            <w:tcBorders>
              <w:top w:val="single" w:sz="4" w:space="0" w:color="auto"/>
              <w:left w:val="single" w:sz="4" w:space="0" w:color="auto"/>
              <w:bottom w:val="single" w:sz="4" w:space="0" w:color="auto"/>
              <w:right w:val="single" w:sz="4" w:space="0" w:color="auto"/>
            </w:tcBorders>
            <w:vAlign w:val="center"/>
          </w:tcPr>
          <w:p w14:paraId="29BF41C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111,000,253.94</w:t>
            </w:r>
          </w:p>
        </w:tc>
      </w:tr>
      <w:tr w:rsidR="002D0AE7" w14:paraId="5A18A33D" w14:textId="77777777">
        <w:trPr>
          <w:cantSplit/>
          <w:jc w:val="center"/>
        </w:trPr>
        <w:sdt>
          <w:sdtPr>
            <w:rPr>
              <w:color w:val="000000" w:themeColor="text1"/>
              <w:sz w:val="21"/>
              <w:szCs w:val="21"/>
            </w:rPr>
            <w:tag w:val="_PLD_bd68cdc38a0e426ea1ec99be844140b3"/>
            <w:id w:val="473335101"/>
          </w:sdtPr>
          <w:sdtEndPr/>
          <w:sdtContent>
            <w:tc>
              <w:tcPr>
                <w:tcW w:w="5000" w:type="pct"/>
                <w:gridSpan w:val="11"/>
                <w:tcBorders>
                  <w:top w:val="single" w:sz="4" w:space="0" w:color="auto"/>
                  <w:left w:val="single" w:sz="4" w:space="0" w:color="auto"/>
                  <w:bottom w:val="single" w:sz="4" w:space="0" w:color="auto"/>
                  <w:right w:val="single" w:sz="4" w:space="0" w:color="auto"/>
                </w:tcBorders>
              </w:tcPr>
              <w:p w14:paraId="6C2171D3" w14:textId="77777777" w:rsidR="002D0AE7" w:rsidRDefault="00333EBB">
                <w:pPr>
                  <w:rPr>
                    <w:rFonts w:hint="eastAsia"/>
                    <w:color w:val="000000" w:themeColor="text1"/>
                    <w:sz w:val="21"/>
                    <w:szCs w:val="21"/>
                  </w:rPr>
                </w:pPr>
                <w:r>
                  <w:rPr>
                    <w:rFonts w:hint="eastAsia"/>
                    <w:color w:val="000000" w:themeColor="text1"/>
                    <w:sz w:val="21"/>
                    <w:szCs w:val="21"/>
                  </w:rPr>
                  <w:t>其中：</w:t>
                </w:r>
              </w:p>
            </w:tc>
          </w:sdtContent>
        </w:sdt>
      </w:tr>
      <w:tr w:rsidR="002D0AE7" w14:paraId="345E90CE" w14:textId="77777777">
        <w:trPr>
          <w:cantSplit/>
          <w:jc w:val="center"/>
        </w:trPr>
        <w:sdt>
          <w:sdtPr>
            <w:rPr>
              <w:sz w:val="21"/>
              <w:szCs w:val="21"/>
            </w:rPr>
            <w:alias w:val="按组合计提坏账准备的应收账款明细-组合名称"/>
            <w:tag w:val="_GBC_1d1150cff5254d829cba03da56c2e941"/>
            <w:id w:val="-483846875"/>
          </w:sdtPr>
          <w:sdtEndPr/>
          <w:sdtContent>
            <w:tc>
              <w:tcPr>
                <w:tcW w:w="959" w:type="pct"/>
                <w:tcBorders>
                  <w:top w:val="single" w:sz="4" w:space="0" w:color="auto"/>
                  <w:left w:val="single" w:sz="4" w:space="0" w:color="auto"/>
                  <w:bottom w:val="single" w:sz="4" w:space="0" w:color="auto"/>
                  <w:right w:val="single" w:sz="4" w:space="0" w:color="auto"/>
                </w:tcBorders>
              </w:tcPr>
              <w:p w14:paraId="7E3B3119" w14:textId="77777777" w:rsidR="002D0AE7" w:rsidRDefault="00333EBB">
                <w:pPr>
                  <w:rPr>
                    <w:rFonts w:hint="eastAsia"/>
                    <w:sz w:val="21"/>
                    <w:szCs w:val="21"/>
                  </w:rPr>
                </w:pPr>
                <w:r>
                  <w:rPr>
                    <w:sz w:val="21"/>
                    <w:szCs w:val="21"/>
                  </w:rPr>
                  <w:t>账龄组合</w:t>
                </w:r>
              </w:p>
            </w:tc>
          </w:sdtContent>
        </w:sdt>
        <w:tc>
          <w:tcPr>
            <w:tcW w:w="619" w:type="pct"/>
            <w:tcBorders>
              <w:top w:val="single" w:sz="4" w:space="0" w:color="auto"/>
              <w:left w:val="single" w:sz="4" w:space="0" w:color="auto"/>
              <w:bottom w:val="single" w:sz="4" w:space="0" w:color="auto"/>
              <w:right w:val="single" w:sz="4" w:space="0" w:color="auto"/>
            </w:tcBorders>
          </w:tcPr>
          <w:p w14:paraId="3FD7996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152,337,251.29</w:t>
            </w:r>
          </w:p>
        </w:tc>
        <w:tc>
          <w:tcPr>
            <w:tcW w:w="288" w:type="pct"/>
            <w:tcBorders>
              <w:top w:val="single" w:sz="4" w:space="0" w:color="auto"/>
              <w:left w:val="single" w:sz="4" w:space="0" w:color="auto"/>
              <w:bottom w:val="single" w:sz="4" w:space="0" w:color="auto"/>
              <w:right w:val="single" w:sz="4" w:space="0" w:color="auto"/>
            </w:tcBorders>
          </w:tcPr>
          <w:p w14:paraId="4D24A7B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100.00</w:t>
            </w:r>
          </w:p>
        </w:tc>
        <w:tc>
          <w:tcPr>
            <w:tcW w:w="406" w:type="pct"/>
            <w:tcBorders>
              <w:top w:val="single" w:sz="4" w:space="0" w:color="auto"/>
              <w:left w:val="single" w:sz="4" w:space="0" w:color="auto"/>
              <w:bottom w:val="single" w:sz="4" w:space="0" w:color="auto"/>
              <w:right w:val="single" w:sz="4" w:space="0" w:color="auto"/>
            </w:tcBorders>
          </w:tcPr>
          <w:p w14:paraId="1242B9C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10,936.97</w:t>
            </w:r>
          </w:p>
        </w:tc>
        <w:tc>
          <w:tcPr>
            <w:tcW w:w="194" w:type="pct"/>
            <w:tcBorders>
              <w:top w:val="single" w:sz="4" w:space="0" w:color="auto"/>
              <w:left w:val="single" w:sz="4" w:space="0" w:color="auto"/>
              <w:bottom w:val="single" w:sz="4" w:space="0" w:color="auto"/>
              <w:right w:val="single" w:sz="4" w:space="0" w:color="auto"/>
            </w:tcBorders>
          </w:tcPr>
          <w:p w14:paraId="24DEA84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0.01</w:t>
            </w:r>
          </w:p>
        </w:tc>
        <w:tc>
          <w:tcPr>
            <w:tcW w:w="619" w:type="pct"/>
            <w:tcBorders>
              <w:top w:val="single" w:sz="4" w:space="0" w:color="auto"/>
              <w:left w:val="single" w:sz="4" w:space="0" w:color="auto"/>
              <w:bottom w:val="single" w:sz="4" w:space="0" w:color="auto"/>
              <w:right w:val="single" w:sz="4" w:space="0" w:color="auto"/>
            </w:tcBorders>
          </w:tcPr>
          <w:p w14:paraId="0CEB0F4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152,326,314.32</w:t>
            </w:r>
          </w:p>
        </w:tc>
        <w:tc>
          <w:tcPr>
            <w:tcW w:w="619" w:type="pct"/>
            <w:tcBorders>
              <w:top w:val="single" w:sz="4" w:space="0" w:color="auto"/>
              <w:left w:val="single" w:sz="4" w:space="0" w:color="auto"/>
              <w:bottom w:val="single" w:sz="4" w:space="0" w:color="auto"/>
              <w:right w:val="single" w:sz="4" w:space="0" w:color="auto"/>
            </w:tcBorders>
          </w:tcPr>
          <w:p w14:paraId="30B5DBF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111,000,253.94</w:t>
            </w:r>
          </w:p>
        </w:tc>
        <w:tc>
          <w:tcPr>
            <w:tcW w:w="288" w:type="pct"/>
            <w:tcBorders>
              <w:top w:val="single" w:sz="4" w:space="0" w:color="auto"/>
              <w:left w:val="single" w:sz="4" w:space="0" w:color="auto"/>
              <w:bottom w:val="single" w:sz="4" w:space="0" w:color="auto"/>
              <w:right w:val="single" w:sz="4" w:space="0" w:color="auto"/>
            </w:tcBorders>
          </w:tcPr>
          <w:p w14:paraId="4BC3EC3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100.00</w:t>
            </w:r>
          </w:p>
        </w:tc>
        <w:tc>
          <w:tcPr>
            <w:tcW w:w="194" w:type="pct"/>
            <w:tcBorders>
              <w:top w:val="single" w:sz="4" w:space="0" w:color="auto"/>
              <w:left w:val="single" w:sz="4" w:space="0" w:color="auto"/>
              <w:bottom w:val="single" w:sz="4" w:space="0" w:color="auto"/>
              <w:right w:val="single" w:sz="4" w:space="0" w:color="auto"/>
            </w:tcBorders>
          </w:tcPr>
          <w:p w14:paraId="3649EC3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194" w:type="pct"/>
            <w:tcBorders>
              <w:top w:val="single" w:sz="4" w:space="0" w:color="auto"/>
              <w:left w:val="single" w:sz="4" w:space="0" w:color="auto"/>
              <w:bottom w:val="single" w:sz="4" w:space="0" w:color="auto"/>
              <w:right w:val="single" w:sz="4" w:space="0" w:color="auto"/>
            </w:tcBorders>
          </w:tcPr>
          <w:p w14:paraId="4CF906C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19" w:type="pct"/>
            <w:tcBorders>
              <w:top w:val="single" w:sz="4" w:space="0" w:color="auto"/>
              <w:left w:val="single" w:sz="4" w:space="0" w:color="auto"/>
              <w:bottom w:val="single" w:sz="4" w:space="0" w:color="auto"/>
              <w:right w:val="single" w:sz="4" w:space="0" w:color="auto"/>
            </w:tcBorders>
          </w:tcPr>
          <w:p w14:paraId="0886BF1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111,000,253.94</w:t>
            </w:r>
          </w:p>
        </w:tc>
      </w:tr>
      <w:tr w:rsidR="002D0AE7" w14:paraId="2FBBF233" w14:textId="77777777">
        <w:trPr>
          <w:cantSplit/>
          <w:jc w:val="center"/>
        </w:trPr>
        <w:tc>
          <w:tcPr>
            <w:tcW w:w="959" w:type="pct"/>
            <w:tcBorders>
              <w:top w:val="single" w:sz="4" w:space="0" w:color="auto"/>
              <w:left w:val="single" w:sz="4" w:space="0" w:color="auto"/>
              <w:bottom w:val="single" w:sz="4" w:space="0" w:color="auto"/>
              <w:right w:val="single" w:sz="4" w:space="0" w:color="auto"/>
            </w:tcBorders>
            <w:vAlign w:val="center"/>
          </w:tcPr>
          <w:p w14:paraId="2AE5FD70" w14:textId="77777777" w:rsidR="002D0AE7" w:rsidRDefault="00333EBB">
            <w:pPr>
              <w:autoSpaceDE w:val="0"/>
              <w:autoSpaceDN w:val="0"/>
              <w:adjustRightInd w:val="0"/>
              <w:jc w:val="center"/>
              <w:rPr>
                <w:rFonts w:hint="eastAsia"/>
                <w:color w:val="000000" w:themeColor="text1"/>
                <w:sz w:val="21"/>
                <w:szCs w:val="21"/>
              </w:rPr>
            </w:pPr>
            <w:r>
              <w:rPr>
                <w:rFonts w:hint="eastAsia"/>
                <w:color w:val="000000" w:themeColor="text1"/>
                <w:sz w:val="21"/>
                <w:szCs w:val="21"/>
              </w:rPr>
              <w:lastRenderedPageBreak/>
              <w:t>合计</w:t>
            </w:r>
          </w:p>
        </w:tc>
        <w:tc>
          <w:tcPr>
            <w:tcW w:w="619" w:type="pct"/>
            <w:tcBorders>
              <w:top w:val="single" w:sz="4" w:space="0" w:color="auto"/>
              <w:left w:val="single" w:sz="4" w:space="0" w:color="auto"/>
              <w:bottom w:val="single" w:sz="4" w:space="0" w:color="auto"/>
              <w:right w:val="single" w:sz="4" w:space="0" w:color="auto"/>
            </w:tcBorders>
            <w:vAlign w:val="center"/>
          </w:tcPr>
          <w:p w14:paraId="543879E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152,337,251.29</w:t>
            </w:r>
          </w:p>
        </w:tc>
        <w:tc>
          <w:tcPr>
            <w:tcW w:w="288" w:type="pct"/>
            <w:tcBorders>
              <w:top w:val="single" w:sz="4" w:space="0" w:color="auto"/>
              <w:left w:val="single" w:sz="4" w:space="0" w:color="auto"/>
              <w:bottom w:val="single" w:sz="4" w:space="0" w:color="auto"/>
              <w:right w:val="single" w:sz="4" w:space="0" w:color="auto"/>
            </w:tcBorders>
            <w:vAlign w:val="center"/>
          </w:tcPr>
          <w:p w14:paraId="15AA0A1C" w14:textId="77777777" w:rsidR="002D0AE7" w:rsidRDefault="00333EBB">
            <w:pPr>
              <w:jc w:val="center"/>
              <w:rPr>
                <w:rFonts w:ascii="Times New Roman" w:hAnsi="Times New Roman" w:cs="Times New Roman"/>
                <w:color w:val="000000" w:themeColor="text1"/>
                <w:sz w:val="21"/>
                <w:szCs w:val="21"/>
              </w:rPr>
            </w:pPr>
            <w:r>
              <w:rPr>
                <w:rFonts w:ascii="Times New Roman" w:hAnsi="Times New Roman" w:cs="Times New Roman"/>
                <w:sz w:val="21"/>
                <w:szCs w:val="21"/>
              </w:rPr>
              <w:t>100.00</w:t>
            </w:r>
          </w:p>
        </w:tc>
        <w:tc>
          <w:tcPr>
            <w:tcW w:w="406" w:type="pct"/>
            <w:tcBorders>
              <w:top w:val="single" w:sz="4" w:space="0" w:color="auto"/>
              <w:left w:val="single" w:sz="4" w:space="0" w:color="auto"/>
              <w:bottom w:val="single" w:sz="4" w:space="0" w:color="auto"/>
              <w:right w:val="single" w:sz="4" w:space="0" w:color="auto"/>
            </w:tcBorders>
            <w:vAlign w:val="center"/>
          </w:tcPr>
          <w:p w14:paraId="3752909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10,936.97</w:t>
            </w:r>
          </w:p>
        </w:tc>
        <w:tc>
          <w:tcPr>
            <w:tcW w:w="194" w:type="pct"/>
            <w:tcBorders>
              <w:top w:val="single" w:sz="4" w:space="0" w:color="auto"/>
              <w:left w:val="single" w:sz="4" w:space="0" w:color="auto"/>
              <w:bottom w:val="single" w:sz="4" w:space="0" w:color="auto"/>
              <w:right w:val="single" w:sz="4" w:space="0" w:color="auto"/>
            </w:tcBorders>
            <w:vAlign w:val="center"/>
          </w:tcPr>
          <w:p w14:paraId="7580CD95" w14:textId="77777777" w:rsidR="002D0AE7" w:rsidRDefault="00333EBB">
            <w:pPr>
              <w:jc w:val="center"/>
              <w:rPr>
                <w:rFonts w:ascii="Times New Roman" w:hAnsi="Times New Roman" w:cs="Times New Roman"/>
                <w:color w:val="000000" w:themeColor="text1"/>
                <w:sz w:val="21"/>
                <w:szCs w:val="21"/>
              </w:rPr>
            </w:pPr>
            <w:r>
              <w:rPr>
                <w:rFonts w:ascii="Times New Roman" w:hAnsi="Times New Roman" w:cs="Times New Roman"/>
                <w:sz w:val="21"/>
                <w:szCs w:val="21"/>
              </w:rPr>
              <w:t>0.01</w:t>
            </w:r>
          </w:p>
        </w:tc>
        <w:tc>
          <w:tcPr>
            <w:tcW w:w="619" w:type="pct"/>
            <w:tcBorders>
              <w:top w:val="single" w:sz="4" w:space="0" w:color="auto"/>
              <w:left w:val="single" w:sz="4" w:space="0" w:color="auto"/>
              <w:bottom w:val="single" w:sz="4" w:space="0" w:color="auto"/>
              <w:right w:val="single" w:sz="4" w:space="0" w:color="auto"/>
            </w:tcBorders>
            <w:vAlign w:val="center"/>
          </w:tcPr>
          <w:p w14:paraId="695BD53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152,326,314.32</w:t>
            </w:r>
          </w:p>
        </w:tc>
        <w:tc>
          <w:tcPr>
            <w:tcW w:w="619" w:type="pct"/>
            <w:tcBorders>
              <w:top w:val="single" w:sz="4" w:space="0" w:color="auto"/>
              <w:left w:val="single" w:sz="4" w:space="0" w:color="auto"/>
              <w:bottom w:val="single" w:sz="4" w:space="0" w:color="auto"/>
              <w:right w:val="single" w:sz="4" w:space="0" w:color="auto"/>
            </w:tcBorders>
            <w:vAlign w:val="center"/>
          </w:tcPr>
          <w:p w14:paraId="030ED9F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111,000,253.94</w:t>
            </w:r>
          </w:p>
        </w:tc>
        <w:tc>
          <w:tcPr>
            <w:tcW w:w="288" w:type="pct"/>
            <w:tcBorders>
              <w:top w:val="single" w:sz="4" w:space="0" w:color="auto"/>
              <w:left w:val="single" w:sz="4" w:space="0" w:color="auto"/>
              <w:bottom w:val="single" w:sz="4" w:space="0" w:color="auto"/>
              <w:right w:val="single" w:sz="4" w:space="0" w:color="auto"/>
            </w:tcBorders>
            <w:vAlign w:val="center"/>
          </w:tcPr>
          <w:p w14:paraId="6BCCF421" w14:textId="77777777" w:rsidR="002D0AE7" w:rsidRDefault="00333EBB">
            <w:pPr>
              <w:jc w:val="center"/>
              <w:rPr>
                <w:rFonts w:ascii="Times New Roman" w:hAnsi="Times New Roman" w:cs="Times New Roman"/>
                <w:color w:val="000000" w:themeColor="text1"/>
                <w:sz w:val="21"/>
                <w:szCs w:val="21"/>
              </w:rPr>
            </w:pPr>
            <w:r>
              <w:rPr>
                <w:rFonts w:ascii="Times New Roman" w:hAnsi="Times New Roman" w:cs="Times New Roman"/>
                <w:sz w:val="21"/>
                <w:szCs w:val="21"/>
              </w:rPr>
              <w:t>100.00</w:t>
            </w:r>
          </w:p>
        </w:tc>
        <w:tc>
          <w:tcPr>
            <w:tcW w:w="194" w:type="pct"/>
            <w:tcBorders>
              <w:top w:val="single" w:sz="4" w:space="0" w:color="auto"/>
              <w:left w:val="single" w:sz="4" w:space="0" w:color="auto"/>
              <w:bottom w:val="single" w:sz="4" w:space="0" w:color="auto"/>
              <w:right w:val="single" w:sz="4" w:space="0" w:color="auto"/>
            </w:tcBorders>
            <w:vAlign w:val="center"/>
          </w:tcPr>
          <w:p w14:paraId="30BE8B8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194" w:type="pct"/>
            <w:tcBorders>
              <w:top w:val="single" w:sz="4" w:space="0" w:color="auto"/>
              <w:left w:val="single" w:sz="4" w:space="0" w:color="auto"/>
              <w:bottom w:val="single" w:sz="4" w:space="0" w:color="auto"/>
              <w:right w:val="single" w:sz="4" w:space="0" w:color="auto"/>
            </w:tcBorders>
            <w:vAlign w:val="center"/>
          </w:tcPr>
          <w:p w14:paraId="18FC90D8" w14:textId="77777777" w:rsidR="002D0AE7" w:rsidRDefault="00333EBB">
            <w:pPr>
              <w:jc w:val="center"/>
              <w:rPr>
                <w:rFonts w:ascii="Times New Roman" w:hAnsi="Times New Roman" w:cs="Times New Roman"/>
                <w:color w:val="000000" w:themeColor="text1"/>
                <w:sz w:val="21"/>
                <w:szCs w:val="21"/>
              </w:rPr>
            </w:pPr>
            <w:r>
              <w:rPr>
                <w:rFonts w:ascii="Times New Roman" w:hAnsi="Times New Roman" w:cs="Times New Roman"/>
                <w:sz w:val="21"/>
                <w:szCs w:val="21"/>
              </w:rPr>
              <w:t>0.00</w:t>
            </w:r>
          </w:p>
        </w:tc>
        <w:tc>
          <w:tcPr>
            <w:tcW w:w="619" w:type="pct"/>
            <w:tcBorders>
              <w:top w:val="single" w:sz="4" w:space="0" w:color="auto"/>
              <w:left w:val="single" w:sz="4" w:space="0" w:color="auto"/>
              <w:bottom w:val="single" w:sz="4" w:space="0" w:color="auto"/>
              <w:right w:val="single" w:sz="4" w:space="0" w:color="auto"/>
            </w:tcBorders>
            <w:vAlign w:val="center"/>
          </w:tcPr>
          <w:p w14:paraId="2C4D622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111,000,253.94</w:t>
            </w:r>
          </w:p>
        </w:tc>
      </w:tr>
    </w:tbl>
    <w:p w14:paraId="58475B8D" w14:textId="77777777" w:rsidR="002D0AE7" w:rsidRDefault="00333EBB">
      <w:pPr>
        <w:rPr>
          <w:rFonts w:hint="eastAsia"/>
          <w:color w:val="000000" w:themeColor="text1"/>
        </w:rPr>
      </w:pPr>
      <w:bookmarkStart w:id="264" w:name="_Hlk10540079"/>
      <w:bookmarkEnd w:id="263"/>
      <w:bookmarkEnd w:id="262"/>
      <w:r>
        <w:rPr>
          <w:rFonts w:hint="eastAsia"/>
          <w:color w:val="000000" w:themeColor="text1"/>
        </w:rPr>
        <w:t>按组合计提坏账准备：</w:t>
      </w:r>
    </w:p>
    <w:sdt>
      <w:sdtPr>
        <w:rPr>
          <w:color w:val="000000" w:themeColor="text1"/>
        </w:rPr>
        <w:alias w:val="是否适用：母公司应收账款按组合计提坏账准备[双击切换]"/>
        <w:tag w:val="_GBC_bf96e631f2cf4f6a876dff49863ee9d3"/>
        <w:id w:val="279006708"/>
        <w:lock w:val="contentLocked"/>
        <w:placeholder>
          <w:docPart w:val="GBC22222222222222222222222222222"/>
        </w:placeholder>
      </w:sdtPr>
      <w:sdtEndPr/>
      <w:sdtContent>
        <w:p w14:paraId="449025EF"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690C295F" w14:textId="77777777" w:rsidR="002D0AE7" w:rsidRDefault="00333EBB">
      <w:pPr>
        <w:rPr>
          <w:rFonts w:hint="eastAsia"/>
          <w:color w:val="000000" w:themeColor="text1"/>
        </w:rPr>
      </w:pPr>
      <w:r>
        <w:rPr>
          <w:rFonts w:hint="eastAsia"/>
          <w:color w:val="000000" w:themeColor="text1"/>
        </w:rPr>
        <w:t>组合计提项目：</w:t>
      </w:r>
      <w:sdt>
        <w:sdtPr>
          <w:rPr>
            <w:rFonts w:hint="eastAsia"/>
            <w:color w:val="000000" w:themeColor="text1"/>
          </w:rPr>
          <w:alias w:val="按组合计提坏账准备的应收账款明细-组合名称"/>
          <w:tag w:val="_GBC_c2c49e08c13c49f5b854cd65f748bccc"/>
          <w:id w:val="-240257755"/>
          <w:placeholder>
            <w:docPart w:val="GBC22222222222222222222222222222"/>
          </w:placeholder>
          <w:comboBox>
            <w:listItem w:displayText="账龄组合" w:value="账龄组合"/>
          </w:comboBox>
        </w:sdtPr>
        <w:sdtEndPr/>
        <w:sdtContent>
          <w:r>
            <w:rPr>
              <w:rFonts w:hint="eastAsia"/>
              <w:color w:val="000000" w:themeColor="text1"/>
            </w:rPr>
            <w:t>账龄组合</w:t>
          </w:r>
        </w:sdtContent>
      </w:sdt>
    </w:p>
    <w:p w14:paraId="129C22C4" w14:textId="77777777" w:rsidR="002D0AE7" w:rsidRDefault="00333EBB">
      <w:pPr>
        <w:autoSpaceDE w:val="0"/>
        <w:autoSpaceDN w:val="0"/>
        <w:adjustRightInd w:val="0"/>
        <w:ind w:left="5880" w:right="105"/>
        <w:jc w:val="right"/>
        <w:rPr>
          <w:rFonts w:hint="eastAsia"/>
          <w:color w:val="000000" w:themeColor="text1"/>
        </w:rPr>
      </w:pPr>
      <w:r>
        <w:rPr>
          <w:rFonts w:hint="eastAsia"/>
          <w:color w:val="000000" w:themeColor="text1"/>
        </w:rPr>
        <w:t>单位：</w:t>
      </w:r>
      <w:sdt>
        <w:sdtPr>
          <w:rPr>
            <w:rFonts w:hint="eastAsia"/>
            <w:color w:val="000000" w:themeColor="text1"/>
          </w:rPr>
          <w:alias w:val="单位：母公司应收账款按组合计提坏账准备"/>
          <w:tag w:val="_GBC_eddb8416e4854df0b69f43851a8eba2b"/>
          <w:id w:val="-39027551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母公司应收账款按组合计提坏账准备"/>
          <w:tag w:val="_GBC_326d8b8532c4476aa9c90eaa469806e2"/>
          <w:id w:val="107493829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2252"/>
        <w:gridCol w:w="2292"/>
        <w:gridCol w:w="2236"/>
      </w:tblGrid>
      <w:tr w:rsidR="002D0AE7" w14:paraId="39923F04" w14:textId="77777777">
        <w:trPr>
          <w:jc w:val="center"/>
        </w:trPr>
        <w:sdt>
          <w:sdtPr>
            <w:rPr>
              <w:color w:val="000000" w:themeColor="text1"/>
              <w:sz w:val="21"/>
              <w:szCs w:val="21"/>
            </w:rPr>
            <w:tag w:val="_PLD_017679ab9c8247c6b2e334fd90bf61e9"/>
            <w:id w:val="1460299096"/>
          </w:sdtPr>
          <w:sdtEndPr/>
          <w:sdtContent>
            <w:tc>
              <w:tcPr>
                <w:tcW w:w="1158" w:type="pct"/>
                <w:vMerge w:val="restart"/>
                <w:vAlign w:val="center"/>
              </w:tcPr>
              <w:p w14:paraId="0AEE7958" w14:textId="77777777" w:rsidR="002D0AE7" w:rsidRDefault="00333EBB">
                <w:pPr>
                  <w:jc w:val="center"/>
                  <w:rPr>
                    <w:rFonts w:hint="eastAsia"/>
                    <w:color w:val="000000" w:themeColor="text1"/>
                    <w:sz w:val="21"/>
                    <w:szCs w:val="21"/>
                  </w:rPr>
                </w:pPr>
                <w:r>
                  <w:rPr>
                    <w:rFonts w:hint="eastAsia"/>
                    <w:color w:val="000000" w:themeColor="text1"/>
                    <w:sz w:val="21"/>
                    <w:szCs w:val="21"/>
                  </w:rPr>
                  <w:t>名称</w:t>
                </w:r>
              </w:p>
            </w:tc>
          </w:sdtContent>
        </w:sdt>
        <w:sdt>
          <w:sdtPr>
            <w:rPr>
              <w:color w:val="000000" w:themeColor="text1"/>
              <w:sz w:val="21"/>
              <w:szCs w:val="21"/>
            </w:rPr>
            <w:tag w:val="_PLD_5135cd56467d4853affa6d0ae484f326"/>
            <w:id w:val="1005704322"/>
          </w:sdtPr>
          <w:sdtEndPr/>
          <w:sdtContent>
            <w:tc>
              <w:tcPr>
                <w:tcW w:w="3842" w:type="pct"/>
                <w:gridSpan w:val="3"/>
                <w:vAlign w:val="center"/>
              </w:tcPr>
              <w:p w14:paraId="79B1EB06"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tr>
      <w:tr w:rsidR="002D0AE7" w14:paraId="22A3A06D" w14:textId="77777777">
        <w:trPr>
          <w:jc w:val="center"/>
        </w:trPr>
        <w:tc>
          <w:tcPr>
            <w:tcW w:w="1158" w:type="pct"/>
            <w:vMerge/>
          </w:tcPr>
          <w:p w14:paraId="3A883D6B" w14:textId="77777777" w:rsidR="002D0AE7" w:rsidRDefault="002D0AE7">
            <w:pPr>
              <w:jc w:val="center"/>
              <w:rPr>
                <w:rFonts w:hint="eastAsia"/>
                <w:color w:val="000000" w:themeColor="text1"/>
                <w:sz w:val="21"/>
                <w:szCs w:val="21"/>
              </w:rPr>
            </w:pPr>
          </w:p>
        </w:tc>
        <w:sdt>
          <w:sdtPr>
            <w:rPr>
              <w:color w:val="000000" w:themeColor="text1"/>
              <w:sz w:val="21"/>
              <w:szCs w:val="21"/>
            </w:rPr>
            <w:tag w:val="_PLD_6853d362c1364938aec50c34a4c1b2be"/>
            <w:id w:val="-446704364"/>
          </w:sdtPr>
          <w:sdtEndPr/>
          <w:sdtContent>
            <w:tc>
              <w:tcPr>
                <w:tcW w:w="1276" w:type="pct"/>
                <w:vAlign w:val="center"/>
              </w:tcPr>
              <w:p w14:paraId="17A8F7DB" w14:textId="77777777" w:rsidR="002D0AE7" w:rsidRDefault="00333EBB">
                <w:pPr>
                  <w:jc w:val="center"/>
                  <w:rPr>
                    <w:rFonts w:hint="eastAsia"/>
                    <w:color w:val="000000" w:themeColor="text1"/>
                    <w:sz w:val="21"/>
                    <w:szCs w:val="21"/>
                  </w:rPr>
                </w:pPr>
                <w:r>
                  <w:rPr>
                    <w:rFonts w:hint="eastAsia"/>
                    <w:color w:val="000000" w:themeColor="text1"/>
                    <w:sz w:val="21"/>
                    <w:szCs w:val="21"/>
                  </w:rPr>
                  <w:t>应收账款</w:t>
                </w:r>
              </w:p>
            </w:tc>
          </w:sdtContent>
        </w:sdt>
        <w:sdt>
          <w:sdtPr>
            <w:rPr>
              <w:color w:val="000000" w:themeColor="text1"/>
              <w:sz w:val="21"/>
              <w:szCs w:val="21"/>
            </w:rPr>
            <w:tag w:val="_PLD_497956cded5b48c4b4741462475810da"/>
            <w:id w:val="-1139105511"/>
          </w:sdtPr>
          <w:sdtEndPr/>
          <w:sdtContent>
            <w:tc>
              <w:tcPr>
                <w:tcW w:w="1299" w:type="pct"/>
                <w:vAlign w:val="center"/>
              </w:tcPr>
              <w:p w14:paraId="4839590F" w14:textId="77777777" w:rsidR="002D0AE7" w:rsidRDefault="00333EBB">
                <w:pPr>
                  <w:jc w:val="center"/>
                  <w:rPr>
                    <w:rFonts w:hint="eastAsia"/>
                    <w:color w:val="000000" w:themeColor="text1"/>
                    <w:sz w:val="21"/>
                    <w:szCs w:val="21"/>
                  </w:rPr>
                </w:pPr>
                <w:r>
                  <w:rPr>
                    <w:rFonts w:hint="eastAsia"/>
                    <w:color w:val="000000" w:themeColor="text1"/>
                    <w:sz w:val="21"/>
                    <w:szCs w:val="21"/>
                  </w:rPr>
                  <w:t>坏账准备</w:t>
                </w:r>
              </w:p>
            </w:tc>
          </w:sdtContent>
        </w:sdt>
        <w:sdt>
          <w:sdtPr>
            <w:rPr>
              <w:color w:val="000000" w:themeColor="text1"/>
              <w:sz w:val="21"/>
              <w:szCs w:val="21"/>
            </w:rPr>
            <w:tag w:val="_PLD_abeb28def5684beab5ea48273044d861"/>
            <w:id w:val="-1399984000"/>
          </w:sdtPr>
          <w:sdtEndPr/>
          <w:sdtContent>
            <w:tc>
              <w:tcPr>
                <w:tcW w:w="1267" w:type="pct"/>
                <w:vAlign w:val="center"/>
              </w:tcPr>
              <w:p w14:paraId="5B1A7FBF" w14:textId="77777777" w:rsidR="002D0AE7" w:rsidRDefault="00333EBB">
                <w:pPr>
                  <w:jc w:val="center"/>
                  <w:rPr>
                    <w:rFonts w:hint="eastAsia"/>
                    <w:color w:val="000000" w:themeColor="text1"/>
                    <w:sz w:val="21"/>
                    <w:szCs w:val="21"/>
                  </w:rPr>
                </w:pPr>
                <w:r>
                  <w:rPr>
                    <w:color w:val="000000" w:themeColor="text1"/>
                    <w:sz w:val="21"/>
                    <w:szCs w:val="21"/>
                  </w:rPr>
                  <w:t>计提比例</w:t>
                </w:r>
                <w:r>
                  <w:rPr>
                    <w:rFonts w:hint="eastAsia"/>
                    <w:color w:val="000000" w:themeColor="text1"/>
                    <w:sz w:val="21"/>
                    <w:szCs w:val="21"/>
                  </w:rPr>
                  <w:t>（</w:t>
                </w:r>
                <w:r>
                  <w:rPr>
                    <w:rFonts w:hint="eastAsia"/>
                    <w:color w:val="000000" w:themeColor="text1"/>
                    <w:sz w:val="21"/>
                    <w:szCs w:val="21"/>
                  </w:rPr>
                  <w:t>%</w:t>
                </w:r>
                <w:r>
                  <w:rPr>
                    <w:rFonts w:hint="eastAsia"/>
                    <w:color w:val="000000" w:themeColor="text1"/>
                    <w:sz w:val="21"/>
                    <w:szCs w:val="21"/>
                  </w:rPr>
                  <w:t>）</w:t>
                </w:r>
              </w:p>
            </w:tc>
          </w:sdtContent>
        </w:sdt>
      </w:tr>
      <w:tr w:rsidR="002D0AE7" w14:paraId="439F3B5A" w14:textId="77777777">
        <w:trPr>
          <w:jc w:val="center"/>
        </w:trPr>
        <w:tc>
          <w:tcPr>
            <w:tcW w:w="1158" w:type="pct"/>
          </w:tcPr>
          <w:p w14:paraId="7A4E277F" w14:textId="77777777" w:rsidR="002D0AE7" w:rsidRDefault="00333EBB">
            <w:pPr>
              <w:rPr>
                <w:rFonts w:hint="eastAsia"/>
                <w:sz w:val="21"/>
                <w:szCs w:val="21"/>
              </w:rPr>
            </w:pPr>
            <w:r>
              <w:rPr>
                <w:sz w:val="21"/>
                <w:szCs w:val="21"/>
              </w:rPr>
              <w:t>3</w:t>
            </w:r>
            <w:r>
              <w:rPr>
                <w:sz w:val="21"/>
                <w:szCs w:val="21"/>
              </w:rPr>
              <w:t>个月以内</w:t>
            </w:r>
          </w:p>
        </w:tc>
        <w:tc>
          <w:tcPr>
            <w:tcW w:w="1276" w:type="pct"/>
            <w:vAlign w:val="center"/>
          </w:tcPr>
          <w:p w14:paraId="234E324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150,149,857.69</w:t>
            </w:r>
          </w:p>
        </w:tc>
        <w:tc>
          <w:tcPr>
            <w:tcW w:w="1299" w:type="pct"/>
            <w:vAlign w:val="center"/>
          </w:tcPr>
          <w:p w14:paraId="09EC242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1267" w:type="pct"/>
            <w:vAlign w:val="center"/>
          </w:tcPr>
          <w:p w14:paraId="43342C9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75C491E4" w14:textId="77777777">
        <w:trPr>
          <w:jc w:val="center"/>
        </w:trPr>
        <w:tc>
          <w:tcPr>
            <w:tcW w:w="1158" w:type="pct"/>
          </w:tcPr>
          <w:p w14:paraId="4EB4C2C3" w14:textId="77777777" w:rsidR="002D0AE7" w:rsidRDefault="00333EBB">
            <w:pPr>
              <w:rPr>
                <w:rFonts w:hint="eastAsia"/>
                <w:sz w:val="21"/>
                <w:szCs w:val="21"/>
              </w:rPr>
            </w:pPr>
            <w:r>
              <w:rPr>
                <w:sz w:val="21"/>
                <w:szCs w:val="21"/>
              </w:rPr>
              <w:t>3</w:t>
            </w:r>
            <w:r>
              <w:rPr>
                <w:sz w:val="21"/>
                <w:szCs w:val="21"/>
              </w:rPr>
              <w:t>个月至</w:t>
            </w:r>
            <w:r>
              <w:rPr>
                <w:sz w:val="21"/>
                <w:szCs w:val="21"/>
              </w:rPr>
              <w:t>1</w:t>
            </w:r>
            <w:r>
              <w:rPr>
                <w:sz w:val="21"/>
                <w:szCs w:val="21"/>
              </w:rPr>
              <w:t>年</w:t>
            </w:r>
          </w:p>
        </w:tc>
        <w:tc>
          <w:tcPr>
            <w:tcW w:w="1276" w:type="pct"/>
            <w:vAlign w:val="center"/>
          </w:tcPr>
          <w:p w14:paraId="07A08F3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2,187,393.60</w:t>
            </w:r>
          </w:p>
        </w:tc>
        <w:tc>
          <w:tcPr>
            <w:tcW w:w="1299" w:type="pct"/>
            <w:vAlign w:val="center"/>
          </w:tcPr>
          <w:p w14:paraId="35A37C7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10,936.97</w:t>
            </w:r>
          </w:p>
        </w:tc>
        <w:tc>
          <w:tcPr>
            <w:tcW w:w="1267" w:type="pct"/>
            <w:vAlign w:val="center"/>
          </w:tcPr>
          <w:p w14:paraId="5BEB87C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0.50</w:t>
            </w:r>
          </w:p>
        </w:tc>
      </w:tr>
      <w:tr w:rsidR="002D0AE7" w14:paraId="6AD6E341" w14:textId="77777777">
        <w:trPr>
          <w:jc w:val="center"/>
        </w:trPr>
        <w:tc>
          <w:tcPr>
            <w:tcW w:w="1158" w:type="pct"/>
            <w:vAlign w:val="center"/>
          </w:tcPr>
          <w:p w14:paraId="111DC54D"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1276" w:type="pct"/>
            <w:vAlign w:val="center"/>
          </w:tcPr>
          <w:p w14:paraId="3E26DCF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152,337,251.29</w:t>
            </w:r>
          </w:p>
        </w:tc>
        <w:tc>
          <w:tcPr>
            <w:tcW w:w="1299" w:type="pct"/>
            <w:vAlign w:val="center"/>
          </w:tcPr>
          <w:p w14:paraId="73F88A5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10,936.97</w:t>
            </w:r>
          </w:p>
        </w:tc>
        <w:tc>
          <w:tcPr>
            <w:tcW w:w="1267" w:type="pct"/>
            <w:vAlign w:val="center"/>
          </w:tcPr>
          <w:p w14:paraId="20E0CAF5"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w:t>
            </w:r>
          </w:p>
        </w:tc>
      </w:tr>
    </w:tbl>
    <w:p w14:paraId="50D9350A" w14:textId="77777777" w:rsidR="002D0AE7" w:rsidRDefault="00333EBB">
      <w:pPr>
        <w:rPr>
          <w:rFonts w:hint="eastAsia"/>
          <w:color w:val="000000" w:themeColor="text1"/>
        </w:rPr>
      </w:pPr>
      <w:r>
        <w:rPr>
          <w:rFonts w:hint="eastAsia"/>
          <w:color w:val="000000" w:themeColor="text1"/>
        </w:rPr>
        <w:t>按组合计提坏账准备的说明：</w:t>
      </w:r>
    </w:p>
    <w:sdt>
      <w:sdtPr>
        <w:rPr>
          <w:color w:val="000000" w:themeColor="text1"/>
        </w:rPr>
        <w:alias w:val="是否适用：母公司应收账款按组合计提坏账的确认标准及说明[双击切换]"/>
        <w:tag w:val="_GBC_186c78f5430148f29cc239ac6b530e5e"/>
        <w:id w:val="-1123143096"/>
        <w:placeholder>
          <w:docPart w:val="GBC22222222222222222222222222222"/>
        </w:placeholder>
      </w:sdtPr>
      <w:sdtEndPr/>
      <w:sdtContent>
        <w:p w14:paraId="37D4A75C"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color w:val="000000" w:themeColor="text1"/>
        </w:rPr>
        <w:alias w:val="按组合计提坏账准备的应收账款确认标准"/>
        <w:tag w:val="_GBC_44764ec9190a45788b0ca783ff9fb361"/>
        <w:id w:val="993540062"/>
        <w:placeholder>
          <w:docPart w:val="GBC22222222222222222222222222222"/>
        </w:placeholder>
      </w:sdtPr>
      <w:sdtEndPr>
        <w:rPr>
          <w:sz w:val="21"/>
          <w:szCs w:val="21"/>
        </w:rPr>
      </w:sdtEndPr>
      <w:sdtContent>
        <w:p w14:paraId="74254F62" w14:textId="77777777" w:rsidR="002D0AE7" w:rsidRDefault="00333EBB">
          <w:pPr>
            <w:rPr>
              <w:rFonts w:hint="eastAsia"/>
              <w:bCs/>
              <w:color w:val="000000"/>
              <w:sz w:val="21"/>
              <w:szCs w:val="21"/>
            </w:rPr>
          </w:pPr>
          <w:r>
            <w:rPr>
              <w:rFonts w:hint="eastAsia"/>
              <w:bCs/>
              <w:color w:val="000000"/>
              <w:sz w:val="21"/>
              <w:szCs w:val="21"/>
            </w:rPr>
            <w:t>A</w:t>
          </w:r>
          <w:r>
            <w:rPr>
              <w:rFonts w:hint="eastAsia"/>
              <w:bCs/>
              <w:color w:val="000000"/>
              <w:sz w:val="21"/>
              <w:szCs w:val="21"/>
            </w:rPr>
            <w:t>账龄组合：本公司以应收账款账龄为基础，结合当前状况以及对未来经济状况的预测来评估各类应收账款的预期信用损失。</w:t>
          </w:r>
        </w:p>
        <w:p w14:paraId="56635012" w14:textId="77777777" w:rsidR="002D0AE7" w:rsidRDefault="00333EBB">
          <w:pPr>
            <w:rPr>
              <w:rFonts w:hint="eastAsia"/>
              <w:bCs/>
              <w:color w:val="000000"/>
              <w:sz w:val="21"/>
              <w:szCs w:val="21"/>
            </w:rPr>
          </w:pPr>
          <w:r>
            <w:rPr>
              <w:rFonts w:hint="eastAsia"/>
              <w:bCs/>
              <w:color w:val="000000"/>
              <w:sz w:val="21"/>
              <w:szCs w:val="21"/>
            </w:rPr>
            <w:t>B</w:t>
          </w:r>
          <w:r>
            <w:rPr>
              <w:rFonts w:hint="eastAsia"/>
              <w:bCs/>
              <w:color w:val="000000"/>
              <w:sz w:val="21"/>
              <w:szCs w:val="21"/>
            </w:rPr>
            <w:t>无风险组合：本公司与纳入合并会计报表范围内的子公司之间发生的应收款项不计提坏账准备。</w:t>
          </w:r>
        </w:p>
      </w:sdtContent>
    </w:sdt>
    <w:p w14:paraId="3B03AAEA" w14:textId="77777777" w:rsidR="002D0AE7" w:rsidRDefault="00333EBB">
      <w:pPr>
        <w:rPr>
          <w:rFonts w:hint="eastAsia"/>
          <w:color w:val="000000" w:themeColor="text1"/>
        </w:rPr>
      </w:pPr>
      <w:bookmarkStart w:id="265" w:name="_Hlk534616017"/>
      <w:bookmarkStart w:id="266" w:name="_Hlk167980591"/>
      <w:bookmarkEnd w:id="264"/>
      <w:r>
        <w:rPr>
          <w:rFonts w:hint="eastAsia"/>
          <w:color w:val="000000" w:themeColor="text1"/>
        </w:rPr>
        <w:t>按预期信用损失一般模型计提坏账准备</w:t>
      </w:r>
    </w:p>
    <w:sdt>
      <w:sdtPr>
        <w:rPr>
          <w:color w:val="000000" w:themeColor="text1"/>
        </w:rPr>
        <w:alias w:val="是否适用：母公司应收账款按一般预计信用损失模型计提坏账[双击切换]"/>
        <w:tag w:val="_GBC_f0abda0ef94e4c708c624cb545c56aeb"/>
        <w:id w:val="-1762514916"/>
        <w:placeholder>
          <w:docPart w:val="GBC22222222222222222222222222222"/>
        </w:placeholder>
      </w:sdtPr>
      <w:sdtEndPr/>
      <w:sdtContent>
        <w:p w14:paraId="16C0ADD3"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78D930D2"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母公司按预期信用损失一般模型计提坏账准备"/>
          <w:tag w:val="_GBC_a6f155e855ea434dab72c7a4a24ba0ff"/>
          <w:id w:val="414289757"/>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母公司按预期信用损失一般模型计提坏账准备"/>
          <w:tag w:val="_GBC_7b3d8470cb1848698d5194cfae05eacf"/>
          <w:id w:val="115063826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976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4"/>
        <w:gridCol w:w="1559"/>
        <w:gridCol w:w="1701"/>
        <w:gridCol w:w="1701"/>
        <w:gridCol w:w="1428"/>
      </w:tblGrid>
      <w:tr w:rsidR="002D0AE7" w14:paraId="37A5A8D1" w14:textId="77777777">
        <w:sdt>
          <w:sdtPr>
            <w:rPr>
              <w:rFonts w:ascii="宋体" w:hAnsi="宋体" w:cs="宋体" w:hint="eastAsia"/>
              <w:color w:val="000000" w:themeColor="text1"/>
              <w:sz w:val="21"/>
              <w:szCs w:val="21"/>
            </w:rPr>
            <w:tag w:val="_PLD_7623dba9e22d4223a839be15cee08e40"/>
            <w:id w:val="1017202483"/>
          </w:sdtPr>
          <w:sdtEndPr/>
          <w:sdtContent>
            <w:tc>
              <w:tcPr>
                <w:tcW w:w="3374" w:type="dxa"/>
                <w:vMerge w:val="restart"/>
                <w:vAlign w:val="center"/>
              </w:tcPr>
              <w:p w14:paraId="3F32D8D5" w14:textId="77777777" w:rsidR="002D0AE7" w:rsidRDefault="00333EBB">
                <w:pPr>
                  <w:pStyle w:val="14"/>
                  <w:ind w:leftChars="86" w:left="206"/>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坏账准备</w:t>
                </w:r>
              </w:p>
            </w:tc>
          </w:sdtContent>
        </w:sdt>
        <w:sdt>
          <w:sdtPr>
            <w:rPr>
              <w:rFonts w:ascii="宋体" w:hAnsi="宋体" w:cs="宋体" w:hint="eastAsia"/>
              <w:color w:val="000000" w:themeColor="text1"/>
              <w:sz w:val="21"/>
              <w:szCs w:val="21"/>
            </w:rPr>
            <w:tag w:val="_PLD_81aef4ae38ab4a6aa3835b134d9a0f0a"/>
            <w:id w:val="-732389967"/>
          </w:sdtPr>
          <w:sdtEndPr/>
          <w:sdtContent>
            <w:tc>
              <w:tcPr>
                <w:tcW w:w="1559" w:type="dxa"/>
                <w:vAlign w:val="center"/>
              </w:tcPr>
              <w:p w14:paraId="1CB536A0" w14:textId="77777777" w:rsidR="002D0AE7" w:rsidRDefault="00333EBB">
                <w:pPr>
                  <w:pStyle w:val="14"/>
                  <w:ind w:leftChars="86" w:left="206"/>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第一阶段</w:t>
                </w:r>
              </w:p>
            </w:tc>
          </w:sdtContent>
        </w:sdt>
        <w:sdt>
          <w:sdtPr>
            <w:rPr>
              <w:rFonts w:ascii="宋体" w:hAnsi="宋体" w:cs="宋体" w:hint="eastAsia"/>
              <w:color w:val="000000" w:themeColor="text1"/>
              <w:sz w:val="21"/>
              <w:szCs w:val="21"/>
            </w:rPr>
            <w:tag w:val="_PLD_a30ac345c7344bab820e9324229b069d"/>
            <w:id w:val="-194690274"/>
          </w:sdtPr>
          <w:sdtEndPr/>
          <w:sdtContent>
            <w:tc>
              <w:tcPr>
                <w:tcW w:w="1701" w:type="dxa"/>
                <w:vAlign w:val="center"/>
              </w:tcPr>
              <w:p w14:paraId="6EFD6A65" w14:textId="77777777" w:rsidR="002D0AE7" w:rsidRDefault="00333EBB">
                <w:pPr>
                  <w:pStyle w:val="14"/>
                  <w:ind w:leftChars="86" w:left="206"/>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第二阶段</w:t>
                </w:r>
              </w:p>
            </w:tc>
          </w:sdtContent>
        </w:sdt>
        <w:sdt>
          <w:sdtPr>
            <w:rPr>
              <w:rFonts w:ascii="宋体" w:hAnsi="宋体" w:cs="宋体" w:hint="eastAsia"/>
              <w:color w:val="000000" w:themeColor="text1"/>
              <w:sz w:val="21"/>
              <w:szCs w:val="21"/>
            </w:rPr>
            <w:tag w:val="_PLD_c0299851327e4a5f83c78d1e092566de"/>
            <w:id w:val="418920159"/>
          </w:sdtPr>
          <w:sdtEndPr/>
          <w:sdtContent>
            <w:tc>
              <w:tcPr>
                <w:tcW w:w="1701" w:type="dxa"/>
                <w:vAlign w:val="center"/>
              </w:tcPr>
              <w:p w14:paraId="0AE78F78" w14:textId="77777777" w:rsidR="002D0AE7" w:rsidRDefault="00333EBB">
                <w:pPr>
                  <w:pStyle w:val="14"/>
                  <w:ind w:leftChars="86" w:left="206"/>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第三阶段</w:t>
                </w:r>
              </w:p>
            </w:tc>
          </w:sdtContent>
        </w:sdt>
        <w:sdt>
          <w:sdtPr>
            <w:rPr>
              <w:rFonts w:ascii="宋体" w:hAnsi="宋体" w:cs="宋体" w:hint="eastAsia"/>
              <w:color w:val="000000" w:themeColor="text1"/>
              <w:sz w:val="21"/>
              <w:szCs w:val="21"/>
            </w:rPr>
            <w:tag w:val="_PLD_526630f4e7e14ce5802f51c3c75b51cf"/>
            <w:id w:val="1407112100"/>
          </w:sdtPr>
          <w:sdtEndPr/>
          <w:sdtContent>
            <w:tc>
              <w:tcPr>
                <w:tcW w:w="1428" w:type="dxa"/>
                <w:vMerge w:val="restart"/>
                <w:vAlign w:val="center"/>
              </w:tcPr>
              <w:p w14:paraId="70779BEC" w14:textId="77777777" w:rsidR="002D0AE7" w:rsidRDefault="00333EBB">
                <w:pPr>
                  <w:pStyle w:val="14"/>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合计</w:t>
                </w:r>
              </w:p>
            </w:tc>
          </w:sdtContent>
        </w:sdt>
      </w:tr>
      <w:tr w:rsidR="002D0AE7" w14:paraId="5EBEA330" w14:textId="77777777">
        <w:tc>
          <w:tcPr>
            <w:tcW w:w="3374" w:type="dxa"/>
            <w:vMerge/>
            <w:vAlign w:val="center"/>
          </w:tcPr>
          <w:p w14:paraId="694A2BF8" w14:textId="77777777" w:rsidR="002D0AE7" w:rsidRDefault="002D0AE7">
            <w:pPr>
              <w:ind w:leftChars="86" w:left="206"/>
              <w:jc w:val="center"/>
              <w:rPr>
                <w:rFonts w:hint="eastAsia"/>
                <w:color w:val="000000" w:themeColor="text1"/>
                <w:sz w:val="21"/>
                <w:szCs w:val="21"/>
              </w:rPr>
            </w:pPr>
          </w:p>
        </w:tc>
        <w:sdt>
          <w:sdtPr>
            <w:rPr>
              <w:rFonts w:ascii="宋体" w:hAnsi="宋体" w:cs="宋体" w:hint="eastAsia"/>
              <w:color w:val="000000" w:themeColor="text1"/>
              <w:sz w:val="21"/>
              <w:szCs w:val="21"/>
            </w:rPr>
            <w:tag w:val="_PLD_b98656eccc5545919efa1e4cc5e7f255"/>
            <w:id w:val="-1588534036"/>
          </w:sdtPr>
          <w:sdtEndPr/>
          <w:sdtContent>
            <w:tc>
              <w:tcPr>
                <w:tcW w:w="1559" w:type="dxa"/>
                <w:vAlign w:val="center"/>
              </w:tcPr>
              <w:p w14:paraId="5D85C553" w14:textId="77777777" w:rsidR="002D0AE7" w:rsidRDefault="00333EBB">
                <w:pPr>
                  <w:pStyle w:val="14"/>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未来</w:t>
                </w:r>
                <w:r>
                  <w:rPr>
                    <w:rFonts w:ascii="宋体" w:hAnsi="宋体" w:cs="宋体" w:hint="eastAsia"/>
                    <w:color w:val="000000" w:themeColor="text1"/>
                    <w:sz w:val="21"/>
                    <w:szCs w:val="21"/>
                  </w:rPr>
                  <w:t>12</w:t>
                </w:r>
                <w:r>
                  <w:rPr>
                    <w:rFonts w:ascii="宋体" w:hAnsi="宋体" w:cs="宋体" w:hint="eastAsia"/>
                    <w:color w:val="000000" w:themeColor="text1"/>
                    <w:sz w:val="21"/>
                    <w:szCs w:val="21"/>
                  </w:rPr>
                  <w:t>个月预期信用损失</w:t>
                </w:r>
              </w:p>
            </w:tc>
          </w:sdtContent>
        </w:sdt>
        <w:sdt>
          <w:sdtPr>
            <w:rPr>
              <w:rFonts w:ascii="宋体" w:hAnsi="宋体" w:cs="宋体" w:hint="eastAsia"/>
              <w:color w:val="000000" w:themeColor="text1"/>
              <w:sz w:val="21"/>
              <w:szCs w:val="21"/>
            </w:rPr>
            <w:tag w:val="_PLD_3a775e3bc7324b2e93b02a362768db76"/>
            <w:id w:val="-1773934487"/>
          </w:sdtPr>
          <w:sdtEndPr/>
          <w:sdtContent>
            <w:tc>
              <w:tcPr>
                <w:tcW w:w="1701" w:type="dxa"/>
                <w:vAlign w:val="center"/>
              </w:tcPr>
              <w:p w14:paraId="6FEFE122" w14:textId="77777777" w:rsidR="002D0AE7" w:rsidRDefault="00333EBB">
                <w:pPr>
                  <w:pStyle w:val="14"/>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整个存续期预期信用损失</w:t>
                </w:r>
                <w:r>
                  <w:rPr>
                    <w:rFonts w:ascii="宋体" w:hAnsi="宋体" w:cs="宋体" w:hint="eastAsia"/>
                    <w:color w:val="000000" w:themeColor="text1"/>
                    <w:sz w:val="21"/>
                    <w:szCs w:val="21"/>
                  </w:rPr>
                  <w:t>(</w:t>
                </w:r>
                <w:r>
                  <w:rPr>
                    <w:rFonts w:ascii="宋体" w:hAnsi="宋体" w:cs="宋体" w:hint="eastAsia"/>
                    <w:color w:val="000000" w:themeColor="text1"/>
                    <w:sz w:val="21"/>
                    <w:szCs w:val="21"/>
                  </w:rPr>
                  <w:t>未发生信用减值</w:t>
                </w:r>
                <w:r>
                  <w:rPr>
                    <w:rFonts w:ascii="宋体" w:hAnsi="宋体" w:cs="宋体" w:hint="eastAsia"/>
                    <w:color w:val="000000" w:themeColor="text1"/>
                    <w:sz w:val="21"/>
                    <w:szCs w:val="21"/>
                  </w:rPr>
                  <w:t>)</w:t>
                </w:r>
              </w:p>
            </w:tc>
          </w:sdtContent>
        </w:sdt>
        <w:sdt>
          <w:sdtPr>
            <w:rPr>
              <w:rFonts w:ascii="宋体" w:hAnsi="宋体" w:cs="宋体" w:hint="eastAsia"/>
              <w:color w:val="000000" w:themeColor="text1"/>
              <w:sz w:val="21"/>
              <w:szCs w:val="21"/>
            </w:rPr>
            <w:tag w:val="_PLD_ff7d625aacce4c26aae8157a0eeb7073"/>
            <w:id w:val="1867645597"/>
          </w:sdtPr>
          <w:sdtEndPr/>
          <w:sdtContent>
            <w:tc>
              <w:tcPr>
                <w:tcW w:w="1701" w:type="dxa"/>
                <w:vAlign w:val="center"/>
              </w:tcPr>
              <w:p w14:paraId="609CC957" w14:textId="77777777" w:rsidR="002D0AE7" w:rsidRDefault="00333EBB">
                <w:pPr>
                  <w:pStyle w:val="14"/>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整个存续期预期信用损失</w:t>
                </w:r>
                <w:r>
                  <w:rPr>
                    <w:rFonts w:ascii="宋体" w:hAnsi="宋体" w:cs="宋体" w:hint="eastAsia"/>
                    <w:color w:val="000000" w:themeColor="text1"/>
                    <w:sz w:val="21"/>
                    <w:szCs w:val="21"/>
                  </w:rPr>
                  <w:t>(</w:t>
                </w:r>
                <w:r>
                  <w:rPr>
                    <w:rFonts w:ascii="宋体" w:hAnsi="宋体" w:cs="宋体" w:hint="eastAsia"/>
                    <w:color w:val="000000" w:themeColor="text1"/>
                    <w:sz w:val="21"/>
                    <w:szCs w:val="21"/>
                  </w:rPr>
                  <w:t>已发生信用减值</w:t>
                </w:r>
                <w:r>
                  <w:rPr>
                    <w:rFonts w:ascii="宋体" w:hAnsi="宋体" w:cs="宋体" w:hint="eastAsia"/>
                    <w:color w:val="000000" w:themeColor="text1"/>
                    <w:sz w:val="21"/>
                    <w:szCs w:val="21"/>
                  </w:rPr>
                  <w:t>)</w:t>
                </w:r>
              </w:p>
            </w:tc>
          </w:sdtContent>
        </w:sdt>
        <w:tc>
          <w:tcPr>
            <w:tcW w:w="1428" w:type="dxa"/>
            <w:vMerge/>
          </w:tcPr>
          <w:p w14:paraId="79E4EF56" w14:textId="77777777" w:rsidR="002D0AE7" w:rsidRDefault="002D0AE7">
            <w:pPr>
              <w:ind w:leftChars="86" w:left="206"/>
              <w:jc w:val="center"/>
              <w:rPr>
                <w:rFonts w:hint="eastAsia"/>
                <w:color w:val="000000" w:themeColor="text1"/>
                <w:sz w:val="21"/>
                <w:szCs w:val="21"/>
              </w:rPr>
            </w:pPr>
          </w:p>
        </w:tc>
      </w:tr>
      <w:tr w:rsidR="002D0AE7" w14:paraId="02E11780" w14:textId="77777777">
        <w:tc>
          <w:tcPr>
            <w:tcW w:w="3374" w:type="dxa"/>
            <w:vAlign w:val="center"/>
          </w:tcPr>
          <w:p w14:paraId="52874679" w14:textId="77777777" w:rsidR="002D0AE7" w:rsidRDefault="00333EBB">
            <w:pPr>
              <w:pStyle w:val="14"/>
              <w:rPr>
                <w:rFonts w:ascii="宋体" w:hAnsi="宋体" w:cs="宋体" w:hint="eastAsia"/>
                <w:color w:val="000000" w:themeColor="text1"/>
                <w:sz w:val="21"/>
                <w:szCs w:val="21"/>
              </w:rPr>
            </w:pPr>
            <w:r>
              <w:rPr>
                <w:rFonts w:ascii="宋体" w:hAnsi="宋体" w:cs="宋体"/>
                <w:color w:val="000000" w:themeColor="text1"/>
                <w:sz w:val="21"/>
                <w:szCs w:val="21"/>
              </w:rPr>
              <w:t>202</w:t>
            </w:r>
            <w:r>
              <w:rPr>
                <w:rFonts w:ascii="宋体" w:hAnsi="宋体" w:cs="宋体" w:hint="eastAsia"/>
                <w:color w:val="000000" w:themeColor="text1"/>
                <w:sz w:val="21"/>
                <w:szCs w:val="21"/>
              </w:rPr>
              <w:t>4</w:t>
            </w:r>
            <w:r>
              <w:rPr>
                <w:rFonts w:ascii="宋体" w:hAnsi="宋体" w:cs="宋体"/>
                <w:color w:val="000000" w:themeColor="text1"/>
                <w:sz w:val="21"/>
                <w:szCs w:val="21"/>
              </w:rPr>
              <w:t>年</w:t>
            </w:r>
            <w:r>
              <w:rPr>
                <w:rFonts w:ascii="宋体" w:hAnsi="宋体" w:cs="宋体" w:hint="eastAsia"/>
                <w:color w:val="000000" w:themeColor="text1"/>
                <w:sz w:val="21"/>
                <w:szCs w:val="21"/>
              </w:rPr>
              <w:t>1</w:t>
            </w:r>
            <w:r>
              <w:rPr>
                <w:rFonts w:ascii="宋体" w:hAnsi="宋体" w:cs="宋体" w:hint="eastAsia"/>
                <w:color w:val="000000" w:themeColor="text1"/>
                <w:sz w:val="21"/>
                <w:szCs w:val="21"/>
              </w:rPr>
              <w:t>月</w:t>
            </w:r>
            <w:r>
              <w:rPr>
                <w:rFonts w:ascii="宋体" w:hAnsi="宋体" w:cs="宋体" w:hint="eastAsia"/>
                <w:color w:val="000000" w:themeColor="text1"/>
                <w:sz w:val="21"/>
                <w:szCs w:val="21"/>
              </w:rPr>
              <w:t>1</w:t>
            </w:r>
            <w:r>
              <w:rPr>
                <w:rFonts w:ascii="宋体" w:hAnsi="宋体" w:cs="宋体" w:hint="eastAsia"/>
                <w:color w:val="000000" w:themeColor="text1"/>
                <w:sz w:val="21"/>
                <w:szCs w:val="21"/>
              </w:rPr>
              <w:t>日余额</w:t>
            </w:r>
          </w:p>
        </w:tc>
        <w:tc>
          <w:tcPr>
            <w:tcW w:w="1559" w:type="dxa"/>
            <w:vAlign w:val="center"/>
          </w:tcPr>
          <w:p w14:paraId="2AA76839"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01" w:type="dxa"/>
            <w:vAlign w:val="center"/>
          </w:tcPr>
          <w:p w14:paraId="73562B7F"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01" w:type="dxa"/>
            <w:vAlign w:val="center"/>
          </w:tcPr>
          <w:p w14:paraId="4BCF8A57"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428" w:type="dxa"/>
            <w:vAlign w:val="center"/>
          </w:tcPr>
          <w:p w14:paraId="73FB1853"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37F4BA71" w14:textId="77777777">
        <w:tc>
          <w:tcPr>
            <w:tcW w:w="3374" w:type="dxa"/>
            <w:vAlign w:val="center"/>
          </w:tcPr>
          <w:p w14:paraId="104F39FB" w14:textId="77777777" w:rsidR="002D0AE7" w:rsidRDefault="00333EBB">
            <w:pPr>
              <w:pStyle w:val="14"/>
              <w:rPr>
                <w:rFonts w:ascii="宋体" w:hAnsi="宋体" w:cs="宋体" w:hint="eastAsia"/>
                <w:color w:val="000000" w:themeColor="text1"/>
                <w:sz w:val="21"/>
                <w:szCs w:val="21"/>
              </w:rPr>
            </w:pPr>
            <w:r>
              <w:rPr>
                <w:rFonts w:ascii="宋体" w:hAnsi="宋体" w:cs="宋体" w:hint="eastAsia"/>
                <w:color w:val="000000" w:themeColor="text1"/>
                <w:sz w:val="21"/>
                <w:szCs w:val="21"/>
              </w:rPr>
              <w:t>2024</w:t>
            </w:r>
            <w:r>
              <w:rPr>
                <w:rFonts w:ascii="宋体" w:hAnsi="宋体" w:cs="宋体" w:hint="eastAsia"/>
                <w:color w:val="000000" w:themeColor="text1"/>
                <w:sz w:val="21"/>
                <w:szCs w:val="21"/>
              </w:rPr>
              <w:t>年</w:t>
            </w:r>
            <w:r>
              <w:rPr>
                <w:rFonts w:ascii="宋体" w:hAnsi="宋体" w:cs="宋体" w:hint="eastAsia"/>
                <w:color w:val="000000" w:themeColor="text1"/>
                <w:sz w:val="21"/>
                <w:szCs w:val="21"/>
              </w:rPr>
              <w:t>1</w:t>
            </w:r>
            <w:r>
              <w:rPr>
                <w:rFonts w:ascii="宋体" w:hAnsi="宋体" w:cs="宋体" w:hint="eastAsia"/>
                <w:color w:val="000000" w:themeColor="text1"/>
                <w:sz w:val="21"/>
                <w:szCs w:val="21"/>
              </w:rPr>
              <w:t>月</w:t>
            </w:r>
            <w:r>
              <w:rPr>
                <w:rFonts w:ascii="宋体" w:hAnsi="宋体" w:cs="宋体" w:hint="eastAsia"/>
                <w:color w:val="000000" w:themeColor="text1"/>
                <w:sz w:val="21"/>
                <w:szCs w:val="21"/>
              </w:rPr>
              <w:t>1</w:t>
            </w:r>
            <w:r>
              <w:rPr>
                <w:rFonts w:ascii="宋体" w:hAnsi="宋体" w:cs="宋体" w:hint="eastAsia"/>
                <w:color w:val="000000" w:themeColor="text1"/>
                <w:sz w:val="21"/>
                <w:szCs w:val="21"/>
              </w:rPr>
              <w:t>日余额在本期</w:t>
            </w:r>
          </w:p>
        </w:tc>
        <w:tc>
          <w:tcPr>
            <w:tcW w:w="1559" w:type="dxa"/>
            <w:vAlign w:val="center"/>
          </w:tcPr>
          <w:p w14:paraId="4A7019AB"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01" w:type="dxa"/>
            <w:vAlign w:val="center"/>
          </w:tcPr>
          <w:p w14:paraId="49958A8A"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01" w:type="dxa"/>
            <w:vAlign w:val="center"/>
          </w:tcPr>
          <w:p w14:paraId="08F0ACAC"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428" w:type="dxa"/>
            <w:vAlign w:val="center"/>
          </w:tcPr>
          <w:p w14:paraId="141D027A"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487112BE" w14:textId="77777777">
        <w:tc>
          <w:tcPr>
            <w:tcW w:w="3374" w:type="dxa"/>
            <w:vAlign w:val="center"/>
          </w:tcPr>
          <w:p w14:paraId="42A15CC3" w14:textId="77777777" w:rsidR="002D0AE7" w:rsidRDefault="00333EBB">
            <w:pPr>
              <w:pStyle w:val="14"/>
              <w:ind w:leftChars="86" w:left="206"/>
              <w:rPr>
                <w:rFonts w:ascii="宋体" w:hAnsi="宋体" w:cs="宋体" w:hint="eastAsia"/>
                <w:color w:val="000000" w:themeColor="text1"/>
                <w:sz w:val="21"/>
                <w:szCs w:val="21"/>
              </w:rPr>
            </w:pPr>
            <w:r>
              <w:rPr>
                <w:rFonts w:ascii="宋体" w:hAnsi="宋体" w:cs="宋体" w:hint="eastAsia"/>
                <w:color w:val="000000" w:themeColor="text1"/>
                <w:sz w:val="21"/>
                <w:szCs w:val="21"/>
              </w:rPr>
              <w:t>--</w:t>
            </w:r>
            <w:r>
              <w:rPr>
                <w:rFonts w:ascii="宋体" w:hAnsi="宋体" w:cs="宋体" w:hint="eastAsia"/>
                <w:color w:val="000000" w:themeColor="text1"/>
                <w:sz w:val="21"/>
                <w:szCs w:val="21"/>
              </w:rPr>
              <w:t>转入第二阶段</w:t>
            </w:r>
          </w:p>
        </w:tc>
        <w:tc>
          <w:tcPr>
            <w:tcW w:w="1559" w:type="dxa"/>
            <w:vAlign w:val="center"/>
          </w:tcPr>
          <w:p w14:paraId="43708B44"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01" w:type="dxa"/>
            <w:vAlign w:val="center"/>
          </w:tcPr>
          <w:p w14:paraId="4F9B9528"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01" w:type="dxa"/>
            <w:vAlign w:val="center"/>
          </w:tcPr>
          <w:p w14:paraId="1EB5F720"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428" w:type="dxa"/>
            <w:vAlign w:val="center"/>
          </w:tcPr>
          <w:p w14:paraId="45D64710"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2108D33D" w14:textId="77777777">
        <w:tc>
          <w:tcPr>
            <w:tcW w:w="3374" w:type="dxa"/>
            <w:vAlign w:val="center"/>
          </w:tcPr>
          <w:p w14:paraId="34E8EC60" w14:textId="77777777" w:rsidR="002D0AE7" w:rsidRDefault="00333EBB">
            <w:pPr>
              <w:pStyle w:val="14"/>
              <w:ind w:leftChars="86" w:left="206"/>
              <w:rPr>
                <w:rFonts w:ascii="宋体" w:hAnsi="宋体" w:cs="宋体" w:hint="eastAsia"/>
                <w:color w:val="000000" w:themeColor="text1"/>
                <w:sz w:val="21"/>
                <w:szCs w:val="21"/>
              </w:rPr>
            </w:pPr>
            <w:r>
              <w:rPr>
                <w:rFonts w:ascii="宋体" w:hAnsi="宋体" w:cs="宋体" w:hint="eastAsia"/>
                <w:color w:val="000000" w:themeColor="text1"/>
                <w:sz w:val="21"/>
                <w:szCs w:val="21"/>
              </w:rPr>
              <w:t>--</w:t>
            </w:r>
            <w:r>
              <w:rPr>
                <w:rFonts w:ascii="宋体" w:hAnsi="宋体" w:cs="宋体" w:hint="eastAsia"/>
                <w:color w:val="000000" w:themeColor="text1"/>
                <w:sz w:val="21"/>
                <w:szCs w:val="21"/>
              </w:rPr>
              <w:t>转入第三阶段</w:t>
            </w:r>
          </w:p>
        </w:tc>
        <w:tc>
          <w:tcPr>
            <w:tcW w:w="1559" w:type="dxa"/>
            <w:vAlign w:val="center"/>
          </w:tcPr>
          <w:p w14:paraId="66C0E12F"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01" w:type="dxa"/>
            <w:vAlign w:val="center"/>
          </w:tcPr>
          <w:p w14:paraId="108BBEC4"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01" w:type="dxa"/>
            <w:vAlign w:val="center"/>
          </w:tcPr>
          <w:p w14:paraId="5C220DE3"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428" w:type="dxa"/>
            <w:vAlign w:val="center"/>
          </w:tcPr>
          <w:p w14:paraId="217BAF82"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168EB6D7" w14:textId="77777777">
        <w:tc>
          <w:tcPr>
            <w:tcW w:w="3374" w:type="dxa"/>
            <w:vAlign w:val="center"/>
          </w:tcPr>
          <w:p w14:paraId="6A9C89CC" w14:textId="77777777" w:rsidR="002D0AE7" w:rsidRDefault="00333EBB">
            <w:pPr>
              <w:pStyle w:val="14"/>
              <w:ind w:leftChars="86" w:left="206"/>
              <w:rPr>
                <w:rFonts w:ascii="宋体" w:hAnsi="宋体" w:cs="宋体" w:hint="eastAsia"/>
                <w:color w:val="000000" w:themeColor="text1"/>
                <w:sz w:val="21"/>
                <w:szCs w:val="21"/>
              </w:rPr>
            </w:pPr>
            <w:r>
              <w:rPr>
                <w:rFonts w:ascii="宋体" w:hAnsi="宋体" w:cs="宋体" w:hint="eastAsia"/>
                <w:color w:val="000000" w:themeColor="text1"/>
                <w:sz w:val="21"/>
                <w:szCs w:val="21"/>
              </w:rPr>
              <w:t>--</w:t>
            </w:r>
            <w:r>
              <w:rPr>
                <w:rFonts w:ascii="宋体" w:hAnsi="宋体" w:cs="宋体" w:hint="eastAsia"/>
                <w:color w:val="000000" w:themeColor="text1"/>
                <w:sz w:val="21"/>
                <w:szCs w:val="21"/>
              </w:rPr>
              <w:t>转回第二阶段</w:t>
            </w:r>
          </w:p>
        </w:tc>
        <w:tc>
          <w:tcPr>
            <w:tcW w:w="1559" w:type="dxa"/>
            <w:vAlign w:val="center"/>
          </w:tcPr>
          <w:p w14:paraId="125F519F"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01" w:type="dxa"/>
            <w:vAlign w:val="center"/>
          </w:tcPr>
          <w:p w14:paraId="6DCAF390"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01" w:type="dxa"/>
            <w:vAlign w:val="center"/>
          </w:tcPr>
          <w:p w14:paraId="1DEEBB00"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428" w:type="dxa"/>
            <w:vAlign w:val="center"/>
          </w:tcPr>
          <w:p w14:paraId="6A88A0D3"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1B8EAB41" w14:textId="77777777">
        <w:tc>
          <w:tcPr>
            <w:tcW w:w="3374" w:type="dxa"/>
            <w:vAlign w:val="center"/>
          </w:tcPr>
          <w:p w14:paraId="7C091711" w14:textId="77777777" w:rsidR="002D0AE7" w:rsidRDefault="00333EBB">
            <w:pPr>
              <w:pStyle w:val="14"/>
              <w:ind w:leftChars="86" w:left="206"/>
              <w:rPr>
                <w:rFonts w:ascii="宋体" w:hAnsi="宋体" w:cs="宋体" w:hint="eastAsia"/>
                <w:color w:val="000000" w:themeColor="text1"/>
                <w:sz w:val="21"/>
                <w:szCs w:val="21"/>
              </w:rPr>
            </w:pPr>
            <w:r>
              <w:rPr>
                <w:rFonts w:ascii="宋体" w:hAnsi="宋体" w:cs="宋体" w:hint="eastAsia"/>
                <w:color w:val="000000" w:themeColor="text1"/>
                <w:sz w:val="21"/>
                <w:szCs w:val="21"/>
              </w:rPr>
              <w:t>--</w:t>
            </w:r>
            <w:r>
              <w:rPr>
                <w:rFonts w:ascii="宋体" w:hAnsi="宋体" w:cs="宋体" w:hint="eastAsia"/>
                <w:color w:val="000000" w:themeColor="text1"/>
                <w:sz w:val="21"/>
                <w:szCs w:val="21"/>
              </w:rPr>
              <w:t>转回第一阶段</w:t>
            </w:r>
          </w:p>
        </w:tc>
        <w:tc>
          <w:tcPr>
            <w:tcW w:w="1559" w:type="dxa"/>
            <w:vAlign w:val="center"/>
          </w:tcPr>
          <w:p w14:paraId="03C6D387"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01" w:type="dxa"/>
            <w:vAlign w:val="center"/>
          </w:tcPr>
          <w:p w14:paraId="7DAD8854"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01" w:type="dxa"/>
            <w:vAlign w:val="center"/>
          </w:tcPr>
          <w:p w14:paraId="0553F7C1"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428" w:type="dxa"/>
            <w:vAlign w:val="center"/>
          </w:tcPr>
          <w:p w14:paraId="015456B2"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70EC0FD4" w14:textId="77777777">
        <w:tc>
          <w:tcPr>
            <w:tcW w:w="3374" w:type="dxa"/>
            <w:vAlign w:val="center"/>
          </w:tcPr>
          <w:p w14:paraId="4B4CA61E" w14:textId="77777777" w:rsidR="002D0AE7" w:rsidRDefault="00333EBB">
            <w:pPr>
              <w:pStyle w:val="14"/>
              <w:rPr>
                <w:rFonts w:ascii="宋体" w:hAnsi="宋体" w:cs="宋体" w:hint="eastAsia"/>
                <w:color w:val="000000" w:themeColor="text1"/>
                <w:sz w:val="21"/>
                <w:szCs w:val="21"/>
              </w:rPr>
            </w:pPr>
            <w:r>
              <w:rPr>
                <w:rFonts w:ascii="宋体" w:hAnsi="宋体" w:cs="宋体" w:hint="eastAsia"/>
                <w:color w:val="000000" w:themeColor="text1"/>
                <w:sz w:val="21"/>
                <w:szCs w:val="21"/>
              </w:rPr>
              <w:t>本期计提</w:t>
            </w:r>
          </w:p>
        </w:tc>
        <w:tc>
          <w:tcPr>
            <w:tcW w:w="1559" w:type="dxa"/>
            <w:vAlign w:val="center"/>
          </w:tcPr>
          <w:p w14:paraId="568DB982"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01" w:type="dxa"/>
            <w:vAlign w:val="center"/>
          </w:tcPr>
          <w:p w14:paraId="161281E7"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10,936.97</w:t>
            </w:r>
          </w:p>
        </w:tc>
        <w:tc>
          <w:tcPr>
            <w:tcW w:w="1701" w:type="dxa"/>
            <w:vAlign w:val="center"/>
          </w:tcPr>
          <w:p w14:paraId="5F0E2DF1"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428" w:type="dxa"/>
            <w:vAlign w:val="center"/>
          </w:tcPr>
          <w:p w14:paraId="3E056B24"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10,936.97</w:t>
            </w:r>
          </w:p>
        </w:tc>
      </w:tr>
      <w:tr w:rsidR="002D0AE7" w14:paraId="044C75E6" w14:textId="77777777">
        <w:tc>
          <w:tcPr>
            <w:tcW w:w="3374" w:type="dxa"/>
            <w:vAlign w:val="center"/>
          </w:tcPr>
          <w:p w14:paraId="2B282A5C" w14:textId="77777777" w:rsidR="002D0AE7" w:rsidRDefault="00333EBB">
            <w:pPr>
              <w:pStyle w:val="14"/>
              <w:rPr>
                <w:rFonts w:ascii="宋体" w:hAnsi="宋体" w:hint="eastAsia"/>
                <w:color w:val="000000" w:themeColor="text1"/>
                <w:sz w:val="21"/>
                <w:szCs w:val="21"/>
              </w:rPr>
            </w:pPr>
            <w:r>
              <w:rPr>
                <w:rFonts w:ascii="宋体" w:hAnsi="宋体" w:hint="eastAsia"/>
                <w:color w:val="000000" w:themeColor="text1"/>
                <w:sz w:val="21"/>
                <w:szCs w:val="21"/>
              </w:rPr>
              <w:t>本期转回</w:t>
            </w:r>
          </w:p>
        </w:tc>
        <w:tc>
          <w:tcPr>
            <w:tcW w:w="1559" w:type="dxa"/>
            <w:vAlign w:val="center"/>
          </w:tcPr>
          <w:p w14:paraId="3EEDC617"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01" w:type="dxa"/>
            <w:vAlign w:val="center"/>
          </w:tcPr>
          <w:p w14:paraId="42D542D0"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01" w:type="dxa"/>
            <w:vAlign w:val="center"/>
          </w:tcPr>
          <w:p w14:paraId="0A70F2F8"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428" w:type="dxa"/>
            <w:vAlign w:val="center"/>
          </w:tcPr>
          <w:p w14:paraId="2A25B98F"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4E2C49E9" w14:textId="77777777">
        <w:tc>
          <w:tcPr>
            <w:tcW w:w="3374" w:type="dxa"/>
            <w:vAlign w:val="center"/>
          </w:tcPr>
          <w:p w14:paraId="0453AEF5" w14:textId="77777777" w:rsidR="002D0AE7" w:rsidRDefault="00333EBB">
            <w:pPr>
              <w:pStyle w:val="14"/>
              <w:rPr>
                <w:rFonts w:ascii="宋体" w:hAnsi="宋体" w:cs="宋体" w:hint="eastAsia"/>
                <w:color w:val="000000" w:themeColor="text1"/>
                <w:sz w:val="21"/>
                <w:szCs w:val="21"/>
              </w:rPr>
            </w:pPr>
            <w:r>
              <w:rPr>
                <w:rFonts w:ascii="宋体" w:hAnsi="宋体" w:cs="宋体" w:hint="eastAsia"/>
                <w:color w:val="000000" w:themeColor="text1"/>
                <w:sz w:val="21"/>
                <w:szCs w:val="21"/>
              </w:rPr>
              <w:t>本期转销</w:t>
            </w:r>
          </w:p>
        </w:tc>
        <w:tc>
          <w:tcPr>
            <w:tcW w:w="1559" w:type="dxa"/>
            <w:vAlign w:val="center"/>
          </w:tcPr>
          <w:p w14:paraId="196B9B89"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01" w:type="dxa"/>
            <w:vAlign w:val="center"/>
          </w:tcPr>
          <w:p w14:paraId="503AA8E4"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01" w:type="dxa"/>
            <w:vAlign w:val="center"/>
          </w:tcPr>
          <w:p w14:paraId="756E0FA9"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428" w:type="dxa"/>
            <w:vAlign w:val="center"/>
          </w:tcPr>
          <w:p w14:paraId="1A5BC89F"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04116C31" w14:textId="77777777">
        <w:tc>
          <w:tcPr>
            <w:tcW w:w="3374" w:type="dxa"/>
            <w:vAlign w:val="center"/>
          </w:tcPr>
          <w:p w14:paraId="141C5ACC" w14:textId="77777777" w:rsidR="002D0AE7" w:rsidRDefault="00333EBB">
            <w:pPr>
              <w:pStyle w:val="14"/>
              <w:rPr>
                <w:color w:val="000000" w:themeColor="text1"/>
                <w:sz w:val="21"/>
                <w:szCs w:val="21"/>
              </w:rPr>
            </w:pPr>
            <w:r>
              <w:rPr>
                <w:rFonts w:ascii="宋体" w:hAnsi="宋体" w:cs="宋体" w:hint="eastAsia"/>
                <w:color w:val="000000" w:themeColor="text1"/>
                <w:sz w:val="21"/>
                <w:szCs w:val="21"/>
              </w:rPr>
              <w:t>本期核销</w:t>
            </w:r>
          </w:p>
        </w:tc>
        <w:tc>
          <w:tcPr>
            <w:tcW w:w="1559" w:type="dxa"/>
            <w:vAlign w:val="center"/>
          </w:tcPr>
          <w:p w14:paraId="1ED3EDD9"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01" w:type="dxa"/>
            <w:vAlign w:val="center"/>
          </w:tcPr>
          <w:p w14:paraId="435857FA"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01" w:type="dxa"/>
            <w:vAlign w:val="center"/>
          </w:tcPr>
          <w:p w14:paraId="2F33E9DD"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428" w:type="dxa"/>
            <w:vAlign w:val="center"/>
          </w:tcPr>
          <w:p w14:paraId="759F872B"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51000935" w14:textId="77777777">
        <w:tc>
          <w:tcPr>
            <w:tcW w:w="3374" w:type="dxa"/>
            <w:vAlign w:val="center"/>
          </w:tcPr>
          <w:p w14:paraId="2B70591C" w14:textId="77777777" w:rsidR="002D0AE7" w:rsidRDefault="00333EBB">
            <w:pPr>
              <w:pStyle w:val="14"/>
              <w:rPr>
                <w:rFonts w:ascii="宋体" w:hAnsi="宋体" w:cs="宋体" w:hint="eastAsia"/>
                <w:color w:val="000000" w:themeColor="text1"/>
                <w:sz w:val="21"/>
                <w:szCs w:val="21"/>
              </w:rPr>
            </w:pPr>
            <w:r>
              <w:rPr>
                <w:rFonts w:ascii="宋体" w:hAnsi="宋体" w:cs="宋体" w:hint="eastAsia"/>
                <w:color w:val="000000" w:themeColor="text1"/>
                <w:sz w:val="21"/>
                <w:szCs w:val="21"/>
              </w:rPr>
              <w:t>其他变动</w:t>
            </w:r>
          </w:p>
        </w:tc>
        <w:tc>
          <w:tcPr>
            <w:tcW w:w="1559" w:type="dxa"/>
            <w:vAlign w:val="center"/>
          </w:tcPr>
          <w:p w14:paraId="101761B0"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01" w:type="dxa"/>
            <w:vAlign w:val="center"/>
          </w:tcPr>
          <w:p w14:paraId="6C0B6098"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01" w:type="dxa"/>
            <w:vAlign w:val="center"/>
          </w:tcPr>
          <w:p w14:paraId="0B85A840"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428" w:type="dxa"/>
            <w:vAlign w:val="center"/>
          </w:tcPr>
          <w:p w14:paraId="21944AA3"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5D0568F8" w14:textId="77777777">
        <w:tc>
          <w:tcPr>
            <w:tcW w:w="3374" w:type="dxa"/>
            <w:vAlign w:val="center"/>
          </w:tcPr>
          <w:p w14:paraId="096E26BA" w14:textId="77777777" w:rsidR="002D0AE7" w:rsidRDefault="00333EBB">
            <w:pPr>
              <w:pStyle w:val="14"/>
              <w:rPr>
                <w:rFonts w:ascii="宋体" w:hAnsi="宋体" w:cs="宋体" w:hint="eastAsia"/>
                <w:color w:val="000000" w:themeColor="text1"/>
                <w:sz w:val="21"/>
                <w:szCs w:val="21"/>
              </w:rPr>
            </w:pPr>
            <w:r>
              <w:rPr>
                <w:rFonts w:ascii="宋体" w:hAnsi="宋体" w:cs="宋体"/>
                <w:color w:val="000000" w:themeColor="text1"/>
                <w:sz w:val="21"/>
                <w:szCs w:val="21"/>
              </w:rPr>
              <w:t>202</w:t>
            </w:r>
            <w:r>
              <w:rPr>
                <w:rFonts w:ascii="宋体" w:hAnsi="宋体" w:cs="宋体" w:hint="eastAsia"/>
                <w:color w:val="000000" w:themeColor="text1"/>
                <w:sz w:val="21"/>
                <w:szCs w:val="21"/>
              </w:rPr>
              <w:t>4</w:t>
            </w:r>
            <w:r>
              <w:rPr>
                <w:rFonts w:ascii="宋体" w:hAnsi="宋体" w:cs="宋体"/>
                <w:color w:val="000000" w:themeColor="text1"/>
                <w:sz w:val="21"/>
                <w:szCs w:val="21"/>
              </w:rPr>
              <w:t>年</w:t>
            </w:r>
            <w:r>
              <w:rPr>
                <w:rFonts w:ascii="宋体" w:hAnsi="宋体" w:cs="宋体" w:hint="eastAsia"/>
                <w:color w:val="000000" w:themeColor="text1"/>
                <w:sz w:val="21"/>
                <w:szCs w:val="21"/>
              </w:rPr>
              <w:t>6</w:t>
            </w:r>
            <w:r>
              <w:rPr>
                <w:rFonts w:ascii="宋体" w:hAnsi="宋体" w:cs="宋体"/>
                <w:color w:val="000000" w:themeColor="text1"/>
                <w:sz w:val="21"/>
                <w:szCs w:val="21"/>
              </w:rPr>
              <w:t>月</w:t>
            </w:r>
            <w:r>
              <w:rPr>
                <w:rFonts w:ascii="宋体" w:hAnsi="宋体" w:cs="宋体"/>
                <w:color w:val="000000" w:themeColor="text1"/>
                <w:sz w:val="21"/>
                <w:szCs w:val="21"/>
              </w:rPr>
              <w:t>3</w:t>
            </w:r>
            <w:r>
              <w:rPr>
                <w:rFonts w:ascii="宋体" w:hAnsi="宋体" w:cs="宋体" w:hint="eastAsia"/>
                <w:color w:val="000000" w:themeColor="text1"/>
                <w:sz w:val="21"/>
                <w:szCs w:val="21"/>
              </w:rPr>
              <w:t>0</w:t>
            </w:r>
            <w:r>
              <w:rPr>
                <w:rFonts w:ascii="宋体" w:hAnsi="宋体" w:cs="宋体"/>
                <w:color w:val="000000" w:themeColor="text1"/>
                <w:sz w:val="21"/>
                <w:szCs w:val="21"/>
              </w:rPr>
              <w:t>日</w:t>
            </w:r>
            <w:r>
              <w:rPr>
                <w:rFonts w:ascii="宋体" w:hAnsi="宋体" w:cs="宋体" w:hint="eastAsia"/>
                <w:color w:val="000000" w:themeColor="text1"/>
                <w:sz w:val="21"/>
                <w:szCs w:val="21"/>
              </w:rPr>
              <w:t>余额</w:t>
            </w:r>
          </w:p>
        </w:tc>
        <w:tc>
          <w:tcPr>
            <w:tcW w:w="1559" w:type="dxa"/>
            <w:vAlign w:val="center"/>
          </w:tcPr>
          <w:p w14:paraId="61D05355"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701" w:type="dxa"/>
            <w:vAlign w:val="center"/>
          </w:tcPr>
          <w:p w14:paraId="1019D2B3"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10,936.97</w:t>
            </w:r>
          </w:p>
        </w:tc>
        <w:tc>
          <w:tcPr>
            <w:tcW w:w="1701" w:type="dxa"/>
            <w:vAlign w:val="center"/>
          </w:tcPr>
          <w:p w14:paraId="49B4E94E"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0.00</w:t>
            </w:r>
          </w:p>
        </w:tc>
        <w:tc>
          <w:tcPr>
            <w:tcW w:w="1428" w:type="dxa"/>
            <w:vAlign w:val="center"/>
          </w:tcPr>
          <w:p w14:paraId="3C672BBB" w14:textId="77777777" w:rsidR="002D0AE7" w:rsidRDefault="00333EBB">
            <w:pPr>
              <w:ind w:leftChars="86" w:left="206"/>
              <w:jc w:val="right"/>
              <w:rPr>
                <w:rFonts w:ascii="Times New Roman" w:hAnsi="Times New Roman" w:cs="Times New Roman"/>
                <w:sz w:val="21"/>
                <w:szCs w:val="21"/>
              </w:rPr>
            </w:pPr>
            <w:r>
              <w:rPr>
                <w:rFonts w:ascii="Times New Roman" w:hAnsi="Times New Roman" w:cs="Times New Roman"/>
                <w:sz w:val="21"/>
                <w:szCs w:val="21"/>
              </w:rPr>
              <w:t>10,936.97</w:t>
            </w:r>
          </w:p>
        </w:tc>
      </w:tr>
    </w:tbl>
    <w:p w14:paraId="3398C93D" w14:textId="77777777" w:rsidR="002D0AE7" w:rsidRDefault="00333EBB">
      <w:pPr>
        <w:autoSpaceDE w:val="0"/>
        <w:autoSpaceDN w:val="0"/>
        <w:adjustRightInd w:val="0"/>
        <w:ind w:rightChars="50" w:right="120"/>
        <w:rPr>
          <w:rFonts w:hint="eastAsia"/>
          <w:bCs/>
          <w:color w:val="000000"/>
          <w:sz w:val="22"/>
          <w:szCs w:val="22"/>
        </w:rPr>
      </w:pPr>
      <w:r>
        <w:rPr>
          <w:rFonts w:hint="eastAsia"/>
          <w:color w:val="000000" w:themeColor="text1"/>
        </w:rPr>
        <w:t>各阶段划分依据和坏账准备计提比例</w:t>
      </w:r>
      <w:sdt>
        <w:sdtPr>
          <w:rPr>
            <w:rFonts w:cs="Times New Roman"/>
            <w:bCs/>
            <w:color w:val="000000" w:themeColor="text1"/>
            <w:szCs w:val="22"/>
          </w:rPr>
          <w:alias w:val="各阶段划分依据和坏账准备计提比例"/>
          <w:tag w:val="_GBC_0489be1e98c542ca9f393e48f8ce8d06"/>
          <w:id w:val="-1826266792"/>
          <w:placeholder>
            <w:docPart w:val="GBC22222222222222222222222222222"/>
          </w:placeholder>
        </w:sdtPr>
        <w:sdtEndPr/>
        <w:sdtContent>
          <w:r>
            <w:rPr>
              <w:rFonts w:hint="eastAsia"/>
              <w:bCs/>
              <w:color w:val="000000"/>
              <w:sz w:val="22"/>
              <w:szCs w:val="22"/>
            </w:rPr>
            <w:t>无</w:t>
          </w:r>
        </w:sdtContent>
      </w:sdt>
    </w:p>
    <w:p w14:paraId="076CE628" w14:textId="77777777" w:rsidR="002D0AE7" w:rsidRDefault="00333EBB">
      <w:pPr>
        <w:pStyle w:val="4"/>
        <w:numPr>
          <w:ilvl w:val="3"/>
          <w:numId w:val="93"/>
        </w:numPr>
        <w:ind w:left="487" w:hangingChars="202" w:hanging="487"/>
        <w:rPr>
          <w:rFonts w:ascii="宋体" w:hAnsi="宋体" w:cs="宋体" w:hint="eastAsia"/>
          <w:color w:val="000000" w:themeColor="text1"/>
          <w:kern w:val="0"/>
          <w:szCs w:val="24"/>
        </w:rPr>
      </w:pPr>
      <w:bookmarkStart w:id="267" w:name="_Hlk10540190"/>
      <w:bookmarkStart w:id="268" w:name="_Hlk10540207"/>
      <w:bookmarkEnd w:id="265"/>
      <w:bookmarkEnd w:id="266"/>
      <w:r>
        <w:rPr>
          <w:rFonts w:ascii="宋体" w:hAnsi="宋体" w:cs="宋体" w:hint="eastAsia"/>
          <w:color w:val="000000" w:themeColor="text1"/>
          <w:kern w:val="0"/>
          <w:szCs w:val="24"/>
        </w:rPr>
        <w:t>坏账准备的情况</w:t>
      </w:r>
      <w:bookmarkEnd w:id="267"/>
    </w:p>
    <w:sdt>
      <w:sdtPr>
        <w:rPr>
          <w:color w:val="000000" w:themeColor="text1"/>
        </w:rPr>
        <w:alias w:val="是否适用：母公司应收账款坏账准备情况[双击切换]"/>
        <w:tag w:val="_GBC_f73789de2ecf49c4bad380c8767c93cf"/>
        <w:id w:val="1219786469"/>
        <w:lock w:val="contentLocked"/>
        <w:placeholder>
          <w:docPart w:val="GBC22222222222222222222222222222"/>
        </w:placeholder>
      </w:sdtPr>
      <w:sdtEndPr/>
      <w:sdtContent>
        <w:p w14:paraId="77C63A76"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0ABDA7F9" w14:textId="77777777" w:rsidR="002D0AE7" w:rsidRDefault="00333EBB">
      <w:pPr>
        <w:pStyle w:val="11"/>
        <w:rPr>
          <w:rFonts w:hint="eastAsia"/>
        </w:rPr>
      </w:pPr>
      <w:bookmarkStart w:id="269" w:name="_Hlk41553597"/>
      <w:r>
        <w:rPr>
          <w:rFonts w:hint="eastAsia"/>
        </w:rPr>
        <w:t>单位：</w:t>
      </w:r>
      <w:sdt>
        <w:sdtPr>
          <w:rPr>
            <w:rFonts w:hint="eastAsia"/>
          </w:rPr>
          <w:alias w:val="单位：母公司应收账款坏账准备情况"/>
          <w:tag w:val="_GBC_b1cb6a2ed32f4cbba0ff71c0724458cf"/>
          <w:id w:val="-196695535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母公司应收账款坏账准备情况"/>
          <w:tag w:val="_GBC_d354bf362fbe459f823a08ebfd7e3967"/>
          <w:id w:val="-202030662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6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298"/>
        <w:gridCol w:w="1213"/>
        <w:gridCol w:w="1317"/>
        <w:gridCol w:w="1211"/>
        <w:gridCol w:w="1215"/>
        <w:gridCol w:w="1213"/>
        <w:gridCol w:w="1209"/>
      </w:tblGrid>
      <w:tr w:rsidR="002D0AE7" w14:paraId="373E3CF5" w14:textId="77777777">
        <w:trPr>
          <w:jc w:val="center"/>
        </w:trPr>
        <w:bookmarkEnd w:id="269" w:displacedByCustomXml="next"/>
        <w:bookmarkEnd w:id="268" w:displacedByCustomXml="next"/>
        <w:bookmarkStart w:id="270" w:name="_Hlk167981805" w:displacedByCustomXml="next"/>
        <w:bookmarkStart w:id="271" w:name="_Hlk153789356" w:displacedByCustomXml="next"/>
        <w:sdt>
          <w:sdtPr>
            <w:rPr>
              <w:color w:val="000000" w:themeColor="text1"/>
              <w:sz w:val="21"/>
              <w:szCs w:val="21"/>
            </w:rPr>
            <w:tag w:val="_PLD_f6bf13992bdc4b06bd6f364458e0df47"/>
            <w:id w:val="-2020146994"/>
          </w:sdtPr>
          <w:sdtEndPr/>
          <w:sdtContent>
            <w:tc>
              <w:tcPr>
                <w:tcW w:w="1545" w:type="pct"/>
                <w:vMerge w:val="restart"/>
                <w:shd w:val="clear" w:color="auto" w:fill="FFFFFF"/>
                <w:vAlign w:val="center"/>
              </w:tcPr>
              <w:p w14:paraId="28E1AC89" w14:textId="77777777" w:rsidR="002D0AE7" w:rsidRDefault="00333EBB">
                <w:pPr>
                  <w:jc w:val="center"/>
                  <w:rPr>
                    <w:rFonts w:hint="eastAsia"/>
                    <w:color w:val="000000" w:themeColor="text1"/>
                    <w:sz w:val="21"/>
                    <w:szCs w:val="21"/>
                  </w:rPr>
                </w:pPr>
                <w:r>
                  <w:rPr>
                    <w:color w:val="000000" w:themeColor="text1"/>
                    <w:sz w:val="21"/>
                    <w:szCs w:val="21"/>
                  </w:rPr>
                  <w:t>类别</w:t>
                </w:r>
              </w:p>
            </w:tc>
          </w:sdtContent>
        </w:sdt>
        <w:sdt>
          <w:sdtPr>
            <w:rPr>
              <w:color w:val="000000" w:themeColor="text1"/>
              <w:sz w:val="21"/>
              <w:szCs w:val="21"/>
            </w:rPr>
            <w:tag w:val="_PLD_579b33cd0d7e490d998a64c9f202ccfb"/>
            <w:id w:val="783467565"/>
          </w:sdtPr>
          <w:sdtEndPr/>
          <w:sdtContent>
            <w:tc>
              <w:tcPr>
                <w:tcW w:w="568" w:type="pct"/>
                <w:vMerge w:val="restart"/>
                <w:shd w:val="clear" w:color="auto" w:fill="FFFFFF"/>
                <w:vAlign w:val="center"/>
              </w:tcPr>
              <w:p w14:paraId="74A4DCA2" w14:textId="77777777" w:rsidR="002D0AE7" w:rsidRDefault="00333EBB">
                <w:pPr>
                  <w:jc w:val="center"/>
                  <w:rPr>
                    <w:rFonts w:hint="eastAsia"/>
                    <w:color w:val="000000" w:themeColor="text1"/>
                    <w:sz w:val="21"/>
                    <w:szCs w:val="21"/>
                  </w:rPr>
                </w:pPr>
                <w:r>
                  <w:rPr>
                    <w:color w:val="000000" w:themeColor="text1"/>
                    <w:sz w:val="21"/>
                    <w:szCs w:val="21"/>
                  </w:rPr>
                  <w:t>期初余额</w:t>
                </w:r>
              </w:p>
            </w:tc>
          </w:sdtContent>
        </w:sdt>
        <w:sdt>
          <w:sdtPr>
            <w:rPr>
              <w:color w:val="000000" w:themeColor="text1"/>
              <w:sz w:val="21"/>
              <w:szCs w:val="21"/>
            </w:rPr>
            <w:tag w:val="_PLD_2cbc55bce2ef44bbb40e4050dfe846f1"/>
            <w:id w:val="1682305259"/>
          </w:sdtPr>
          <w:sdtEndPr/>
          <w:sdtContent>
            <w:tc>
              <w:tcPr>
                <w:tcW w:w="2321" w:type="pct"/>
                <w:gridSpan w:val="4"/>
                <w:shd w:val="clear" w:color="auto" w:fill="FFFFFF"/>
                <w:vAlign w:val="center"/>
              </w:tcPr>
              <w:p w14:paraId="73B11D06" w14:textId="77777777" w:rsidR="002D0AE7" w:rsidRDefault="00333EBB">
                <w:pPr>
                  <w:jc w:val="center"/>
                  <w:rPr>
                    <w:rFonts w:hint="eastAsia"/>
                    <w:color w:val="000000" w:themeColor="text1"/>
                    <w:sz w:val="21"/>
                    <w:szCs w:val="21"/>
                  </w:rPr>
                </w:pPr>
                <w:r>
                  <w:rPr>
                    <w:rFonts w:hint="eastAsia"/>
                    <w:color w:val="000000" w:themeColor="text1"/>
                    <w:sz w:val="21"/>
                    <w:szCs w:val="21"/>
                  </w:rPr>
                  <w:t>本期变动</w:t>
                </w:r>
                <w:r>
                  <w:rPr>
                    <w:color w:val="000000" w:themeColor="text1"/>
                    <w:sz w:val="21"/>
                    <w:szCs w:val="21"/>
                  </w:rPr>
                  <w:t>金额</w:t>
                </w:r>
              </w:p>
            </w:tc>
          </w:sdtContent>
        </w:sdt>
        <w:sdt>
          <w:sdtPr>
            <w:rPr>
              <w:color w:val="000000" w:themeColor="text1"/>
              <w:sz w:val="21"/>
              <w:szCs w:val="21"/>
            </w:rPr>
            <w:tag w:val="_PLD_dcc9f714adf8465eb1a49da61466de1f"/>
            <w:id w:val="-888808994"/>
          </w:sdtPr>
          <w:sdtEndPr/>
          <w:sdtContent>
            <w:tc>
              <w:tcPr>
                <w:tcW w:w="566" w:type="pct"/>
                <w:vMerge w:val="restart"/>
                <w:shd w:val="clear" w:color="auto" w:fill="FFFFFF"/>
                <w:vAlign w:val="center"/>
              </w:tcPr>
              <w:p w14:paraId="6CB357DA" w14:textId="77777777" w:rsidR="002D0AE7" w:rsidRDefault="00333EBB">
                <w:pPr>
                  <w:jc w:val="center"/>
                  <w:rPr>
                    <w:rFonts w:hint="eastAsia"/>
                    <w:color w:val="000000" w:themeColor="text1"/>
                    <w:sz w:val="21"/>
                    <w:szCs w:val="21"/>
                  </w:rPr>
                </w:pPr>
                <w:r>
                  <w:rPr>
                    <w:color w:val="000000" w:themeColor="text1"/>
                    <w:sz w:val="21"/>
                    <w:szCs w:val="21"/>
                  </w:rPr>
                  <w:t>期末余额</w:t>
                </w:r>
              </w:p>
            </w:tc>
          </w:sdtContent>
        </w:sdt>
      </w:tr>
      <w:tr w:rsidR="002D0AE7" w14:paraId="5F088456" w14:textId="77777777">
        <w:trPr>
          <w:jc w:val="center"/>
        </w:trPr>
        <w:tc>
          <w:tcPr>
            <w:tcW w:w="1545" w:type="pct"/>
            <w:vMerge/>
            <w:shd w:val="clear" w:color="auto" w:fill="FFFFFF"/>
          </w:tcPr>
          <w:p w14:paraId="69B55918" w14:textId="77777777" w:rsidR="002D0AE7" w:rsidRDefault="002D0AE7">
            <w:pPr>
              <w:jc w:val="center"/>
              <w:rPr>
                <w:rFonts w:hint="eastAsia"/>
                <w:color w:val="000000" w:themeColor="text1"/>
                <w:sz w:val="21"/>
                <w:szCs w:val="21"/>
              </w:rPr>
            </w:pPr>
          </w:p>
        </w:tc>
        <w:tc>
          <w:tcPr>
            <w:tcW w:w="568" w:type="pct"/>
            <w:vMerge/>
            <w:shd w:val="clear" w:color="auto" w:fill="FFFFFF"/>
          </w:tcPr>
          <w:p w14:paraId="6D27E29B" w14:textId="77777777" w:rsidR="002D0AE7" w:rsidRDefault="002D0AE7">
            <w:pPr>
              <w:jc w:val="center"/>
              <w:rPr>
                <w:rFonts w:hint="eastAsia"/>
                <w:color w:val="000000" w:themeColor="text1"/>
                <w:sz w:val="21"/>
                <w:szCs w:val="21"/>
              </w:rPr>
            </w:pPr>
          </w:p>
        </w:tc>
        <w:sdt>
          <w:sdtPr>
            <w:rPr>
              <w:color w:val="000000" w:themeColor="text1"/>
              <w:sz w:val="21"/>
              <w:szCs w:val="21"/>
            </w:rPr>
            <w:tag w:val="_PLD_e4e43f7257b14faaaaf4b09b161bf7b7"/>
            <w:id w:val="-1857110754"/>
          </w:sdtPr>
          <w:sdtEndPr/>
          <w:sdtContent>
            <w:tc>
              <w:tcPr>
                <w:tcW w:w="617" w:type="pct"/>
                <w:shd w:val="clear" w:color="auto" w:fill="FFFFFF"/>
                <w:vAlign w:val="center"/>
              </w:tcPr>
              <w:p w14:paraId="2E2D3BF0" w14:textId="77777777" w:rsidR="002D0AE7" w:rsidRDefault="00333EBB">
                <w:pPr>
                  <w:jc w:val="center"/>
                  <w:rPr>
                    <w:rFonts w:hint="eastAsia"/>
                    <w:color w:val="000000" w:themeColor="text1"/>
                    <w:sz w:val="21"/>
                    <w:szCs w:val="21"/>
                  </w:rPr>
                </w:pPr>
                <w:r>
                  <w:rPr>
                    <w:color w:val="000000" w:themeColor="text1"/>
                    <w:sz w:val="21"/>
                    <w:szCs w:val="21"/>
                  </w:rPr>
                  <w:t>计提</w:t>
                </w:r>
              </w:p>
            </w:tc>
          </w:sdtContent>
        </w:sdt>
        <w:sdt>
          <w:sdtPr>
            <w:rPr>
              <w:color w:val="000000" w:themeColor="text1"/>
              <w:sz w:val="21"/>
              <w:szCs w:val="21"/>
            </w:rPr>
            <w:tag w:val="_PLD_bf7fb55a6c2a4d18926896fd921fc857"/>
            <w:id w:val="-2107647135"/>
          </w:sdtPr>
          <w:sdtEndPr/>
          <w:sdtContent>
            <w:tc>
              <w:tcPr>
                <w:tcW w:w="567" w:type="pct"/>
                <w:shd w:val="clear" w:color="auto" w:fill="FFFFFF"/>
                <w:vAlign w:val="center"/>
              </w:tcPr>
              <w:p w14:paraId="186121C2" w14:textId="77777777" w:rsidR="002D0AE7" w:rsidRDefault="00333EBB">
                <w:pPr>
                  <w:jc w:val="center"/>
                  <w:rPr>
                    <w:rFonts w:hint="eastAsia"/>
                    <w:color w:val="000000" w:themeColor="text1"/>
                    <w:sz w:val="21"/>
                    <w:szCs w:val="21"/>
                  </w:rPr>
                </w:pPr>
                <w:r>
                  <w:rPr>
                    <w:rFonts w:hint="eastAsia"/>
                    <w:color w:val="000000" w:themeColor="text1"/>
                    <w:sz w:val="21"/>
                    <w:szCs w:val="21"/>
                  </w:rPr>
                  <w:t>收回或转回</w:t>
                </w:r>
              </w:p>
            </w:tc>
          </w:sdtContent>
        </w:sdt>
        <w:tc>
          <w:tcPr>
            <w:tcW w:w="569" w:type="pct"/>
            <w:shd w:val="clear" w:color="auto" w:fill="FFFFFF"/>
            <w:vAlign w:val="center"/>
          </w:tcPr>
          <w:sdt>
            <w:sdtPr>
              <w:rPr>
                <w:rFonts w:hint="eastAsia"/>
                <w:color w:val="000000" w:themeColor="text1"/>
                <w:sz w:val="21"/>
                <w:szCs w:val="21"/>
              </w:rPr>
              <w:tag w:val="_PLD_536d31c824d74db3baaa7f5b6cd0a9ec"/>
              <w:id w:val="-1932185785"/>
            </w:sdtPr>
            <w:sdtEndPr/>
            <w:sdtContent>
              <w:p w14:paraId="6158D276" w14:textId="77777777" w:rsidR="002D0AE7" w:rsidRDefault="00333EBB">
                <w:pPr>
                  <w:jc w:val="center"/>
                  <w:rPr>
                    <w:rFonts w:hint="eastAsia"/>
                    <w:color w:val="000000" w:themeColor="text1"/>
                    <w:sz w:val="21"/>
                    <w:szCs w:val="21"/>
                  </w:rPr>
                </w:pPr>
                <w:r>
                  <w:rPr>
                    <w:rFonts w:hint="eastAsia"/>
                    <w:color w:val="000000" w:themeColor="text1"/>
                    <w:sz w:val="21"/>
                    <w:szCs w:val="21"/>
                  </w:rPr>
                  <w:t>转销或核销</w:t>
                </w:r>
              </w:p>
            </w:sdtContent>
          </w:sdt>
        </w:tc>
        <w:tc>
          <w:tcPr>
            <w:tcW w:w="567" w:type="pct"/>
            <w:shd w:val="clear" w:color="auto" w:fill="FFFFFF"/>
            <w:vAlign w:val="center"/>
          </w:tcPr>
          <w:sdt>
            <w:sdtPr>
              <w:rPr>
                <w:rFonts w:hint="eastAsia"/>
                <w:color w:val="000000" w:themeColor="text1"/>
                <w:sz w:val="21"/>
                <w:szCs w:val="21"/>
              </w:rPr>
              <w:tag w:val="_PLD_32a7ce101f6b48d68c39e1edb6e78b82"/>
              <w:id w:val="-151829799"/>
            </w:sdtPr>
            <w:sdtEndPr/>
            <w:sdtContent>
              <w:p w14:paraId="278EE18B" w14:textId="77777777" w:rsidR="002D0AE7" w:rsidRDefault="00333EBB">
                <w:pPr>
                  <w:jc w:val="right"/>
                  <w:rPr>
                    <w:rFonts w:hint="eastAsia"/>
                    <w:color w:val="000000" w:themeColor="text1"/>
                    <w:sz w:val="21"/>
                    <w:szCs w:val="21"/>
                  </w:rPr>
                </w:pPr>
                <w:r>
                  <w:rPr>
                    <w:rFonts w:hint="eastAsia"/>
                    <w:color w:val="000000" w:themeColor="text1"/>
                    <w:sz w:val="21"/>
                    <w:szCs w:val="21"/>
                  </w:rPr>
                  <w:t>其他变动</w:t>
                </w:r>
              </w:p>
            </w:sdtContent>
          </w:sdt>
        </w:tc>
        <w:tc>
          <w:tcPr>
            <w:tcW w:w="566" w:type="pct"/>
            <w:vMerge/>
            <w:shd w:val="clear" w:color="auto" w:fill="FFFFFF"/>
          </w:tcPr>
          <w:p w14:paraId="2F6F61D2" w14:textId="77777777" w:rsidR="002D0AE7" w:rsidRDefault="002D0AE7">
            <w:pPr>
              <w:jc w:val="right"/>
              <w:rPr>
                <w:rFonts w:hint="eastAsia"/>
                <w:color w:val="000000" w:themeColor="text1"/>
                <w:sz w:val="21"/>
                <w:szCs w:val="21"/>
              </w:rPr>
            </w:pPr>
          </w:p>
        </w:tc>
      </w:tr>
      <w:tr w:rsidR="002D0AE7" w14:paraId="54F53112" w14:textId="77777777">
        <w:trPr>
          <w:jc w:val="center"/>
        </w:trPr>
        <w:tc>
          <w:tcPr>
            <w:tcW w:w="1545" w:type="pct"/>
            <w:shd w:val="clear" w:color="auto" w:fill="auto"/>
          </w:tcPr>
          <w:p w14:paraId="64C9C948" w14:textId="77777777" w:rsidR="002D0AE7" w:rsidRDefault="00333EBB">
            <w:pPr>
              <w:rPr>
                <w:rFonts w:hint="eastAsia"/>
                <w:sz w:val="21"/>
                <w:szCs w:val="21"/>
              </w:rPr>
            </w:pPr>
            <w:r>
              <w:rPr>
                <w:sz w:val="21"/>
                <w:szCs w:val="21"/>
              </w:rPr>
              <w:t>按组合计提坏账准备的应收账款</w:t>
            </w:r>
          </w:p>
        </w:tc>
        <w:tc>
          <w:tcPr>
            <w:tcW w:w="568" w:type="pct"/>
            <w:shd w:val="clear" w:color="auto" w:fill="auto"/>
          </w:tcPr>
          <w:p w14:paraId="2C3BBA8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17" w:type="pct"/>
            <w:shd w:val="clear" w:color="auto" w:fill="auto"/>
          </w:tcPr>
          <w:p w14:paraId="0A6FB20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10,936.97</w:t>
            </w:r>
          </w:p>
        </w:tc>
        <w:tc>
          <w:tcPr>
            <w:tcW w:w="567" w:type="pct"/>
            <w:shd w:val="clear" w:color="auto" w:fill="auto"/>
          </w:tcPr>
          <w:p w14:paraId="7A0E4A8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569" w:type="pct"/>
          </w:tcPr>
          <w:p w14:paraId="114D100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567" w:type="pct"/>
          </w:tcPr>
          <w:p w14:paraId="546CBC6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566" w:type="pct"/>
            <w:shd w:val="clear" w:color="auto" w:fill="auto"/>
          </w:tcPr>
          <w:p w14:paraId="6A8394E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10,936.97</w:t>
            </w:r>
          </w:p>
        </w:tc>
      </w:tr>
      <w:tr w:rsidR="002D0AE7" w14:paraId="4694EF86" w14:textId="77777777">
        <w:trPr>
          <w:jc w:val="center"/>
        </w:trPr>
        <w:tc>
          <w:tcPr>
            <w:tcW w:w="1545" w:type="pct"/>
            <w:shd w:val="clear" w:color="auto" w:fill="auto"/>
          </w:tcPr>
          <w:p w14:paraId="5D686BBC"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568" w:type="pct"/>
            <w:shd w:val="clear" w:color="auto" w:fill="auto"/>
            <w:vAlign w:val="center"/>
          </w:tcPr>
          <w:p w14:paraId="09F9F03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17" w:type="pct"/>
            <w:shd w:val="clear" w:color="auto" w:fill="auto"/>
            <w:vAlign w:val="center"/>
          </w:tcPr>
          <w:p w14:paraId="5481AE3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10,936.97</w:t>
            </w:r>
          </w:p>
        </w:tc>
        <w:tc>
          <w:tcPr>
            <w:tcW w:w="567" w:type="pct"/>
            <w:shd w:val="clear" w:color="auto" w:fill="auto"/>
            <w:vAlign w:val="center"/>
          </w:tcPr>
          <w:p w14:paraId="0E06842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569" w:type="pct"/>
            <w:vAlign w:val="center"/>
          </w:tcPr>
          <w:p w14:paraId="2B096B4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567" w:type="pct"/>
            <w:vAlign w:val="center"/>
          </w:tcPr>
          <w:p w14:paraId="2365F7E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566" w:type="pct"/>
            <w:shd w:val="clear" w:color="auto" w:fill="auto"/>
            <w:vAlign w:val="center"/>
          </w:tcPr>
          <w:p w14:paraId="19E3789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10,936.97</w:t>
            </w:r>
          </w:p>
        </w:tc>
      </w:tr>
    </w:tbl>
    <w:p w14:paraId="5AB5BEE5" w14:textId="77777777" w:rsidR="002D0AE7" w:rsidRDefault="00333EBB">
      <w:pPr>
        <w:pStyle w:val="4"/>
        <w:numPr>
          <w:ilvl w:val="3"/>
          <w:numId w:val="93"/>
        </w:numPr>
        <w:ind w:left="487" w:hangingChars="202" w:hanging="487"/>
        <w:rPr>
          <w:color w:val="000000" w:themeColor="text1"/>
        </w:rPr>
      </w:pPr>
      <w:bookmarkStart w:id="272" w:name="_Hlk167981941"/>
      <w:bookmarkStart w:id="273" w:name="_Hlk90023019"/>
      <w:bookmarkStart w:id="274" w:name="_Hlk153789714"/>
      <w:bookmarkEnd w:id="271"/>
      <w:bookmarkEnd w:id="270"/>
      <w:r>
        <w:rPr>
          <w:rFonts w:hint="eastAsia"/>
          <w:color w:val="000000" w:themeColor="text1"/>
        </w:rPr>
        <w:lastRenderedPageBreak/>
        <w:t>按欠款方归集的期末余额前五名的应收账款和合同资产情况</w:t>
      </w:r>
    </w:p>
    <w:sdt>
      <w:sdtPr>
        <w:rPr>
          <w:rFonts w:hint="eastAsia"/>
          <w:color w:val="000000" w:themeColor="text1"/>
        </w:rPr>
        <w:alias w:val="是否适用：按欠款方归集的期末余额前五名的应收账款情况[双击切换]"/>
        <w:tag w:val="_GBC_9395e3af825547b4abf8734a6459492f"/>
        <w:id w:val="549588865"/>
        <w:placeholder>
          <w:docPart w:val="GBC22222222222222222222222222222"/>
        </w:placeholder>
      </w:sdtPr>
      <w:sdtEndPr/>
      <w:sdtContent>
        <w:p w14:paraId="09694185" w14:textId="77777777" w:rsidR="002D0AE7" w:rsidRDefault="00333EBB">
          <w:pPr>
            <w:snapToGrid w:val="0"/>
            <w:spacing w:line="240" w:lineRule="atLeast"/>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26033521" w14:textId="77777777" w:rsidR="002D0AE7" w:rsidRDefault="00333EBB">
      <w:pPr>
        <w:snapToGrid w:val="0"/>
        <w:spacing w:line="240" w:lineRule="atLeast"/>
        <w:jc w:val="right"/>
        <w:rPr>
          <w:rFonts w:hint="eastAsia"/>
          <w:color w:val="000000" w:themeColor="text1"/>
        </w:rPr>
      </w:pPr>
      <w:r>
        <w:rPr>
          <w:rFonts w:hint="eastAsia"/>
          <w:color w:val="000000" w:themeColor="text1"/>
        </w:rPr>
        <w:t>单位：</w:t>
      </w:r>
      <w:sdt>
        <w:sdtPr>
          <w:rPr>
            <w:color w:val="000000" w:themeColor="text1"/>
          </w:rPr>
          <w:alias w:val="单位：财务附注：应收账款前五名欠款情况"/>
          <w:tag w:val="_GBC_d6261cbe3c904089bd795ccb3093ee73"/>
          <w:id w:val="4799690"/>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应收账款前五名欠款情况"/>
          <w:tag w:val="_GBC_e64ffa6f9fba457f8f4da7574e1bd056"/>
          <w:id w:val="199544858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602"/>
        <w:gridCol w:w="1422"/>
        <w:gridCol w:w="1529"/>
        <w:gridCol w:w="1423"/>
        <w:gridCol w:w="1423"/>
      </w:tblGrid>
      <w:tr w:rsidR="002D0AE7" w14:paraId="0E2ED5FB" w14:textId="77777777">
        <w:trPr>
          <w:cantSplit/>
        </w:trPr>
        <w:sdt>
          <w:sdtPr>
            <w:rPr>
              <w:rFonts w:hint="eastAsia"/>
              <w:color w:val="000000" w:themeColor="text1"/>
              <w:sz w:val="21"/>
              <w:szCs w:val="21"/>
            </w:rPr>
            <w:tag w:val="_PLD_66e33a7e6be44d5eb2d50643e6237cc4"/>
            <w:id w:val="-2049362186"/>
          </w:sdtPr>
          <w:sdtEndPr/>
          <w:sdtContent>
            <w:tc>
              <w:tcPr>
                <w:tcW w:w="834" w:type="pct"/>
                <w:vAlign w:val="center"/>
              </w:tcPr>
              <w:p w14:paraId="6419F419" w14:textId="77777777" w:rsidR="002D0AE7" w:rsidRDefault="00333EBB">
                <w:pPr>
                  <w:ind w:right="105"/>
                  <w:jc w:val="center"/>
                  <w:rPr>
                    <w:rFonts w:hint="eastAsia"/>
                    <w:color w:val="000000" w:themeColor="text1"/>
                    <w:sz w:val="21"/>
                    <w:szCs w:val="21"/>
                  </w:rPr>
                </w:pPr>
                <w:r>
                  <w:rPr>
                    <w:rFonts w:hint="eastAsia"/>
                    <w:color w:val="000000" w:themeColor="text1"/>
                    <w:sz w:val="21"/>
                    <w:szCs w:val="21"/>
                  </w:rPr>
                  <w:t>单位名称</w:t>
                </w:r>
              </w:p>
            </w:tc>
          </w:sdtContent>
        </w:sdt>
        <w:sdt>
          <w:sdtPr>
            <w:rPr>
              <w:rFonts w:hint="eastAsia"/>
              <w:color w:val="000000" w:themeColor="text1"/>
              <w:sz w:val="21"/>
              <w:szCs w:val="21"/>
            </w:rPr>
            <w:tag w:val="_PLD_e60db498c5ba4a96a970a6ce918e5153"/>
            <w:id w:val="-690918724"/>
          </w:sdtPr>
          <w:sdtEndPr/>
          <w:sdtContent>
            <w:tc>
              <w:tcPr>
                <w:tcW w:w="833" w:type="pct"/>
                <w:vAlign w:val="center"/>
              </w:tcPr>
              <w:p w14:paraId="52B65D5D" w14:textId="77777777" w:rsidR="002D0AE7" w:rsidRDefault="00333EBB">
                <w:pPr>
                  <w:ind w:right="73"/>
                  <w:jc w:val="center"/>
                  <w:rPr>
                    <w:rFonts w:hint="eastAsia"/>
                    <w:color w:val="000000" w:themeColor="text1"/>
                    <w:sz w:val="21"/>
                    <w:szCs w:val="21"/>
                  </w:rPr>
                </w:pPr>
                <w:r>
                  <w:rPr>
                    <w:rFonts w:hint="eastAsia"/>
                    <w:color w:val="000000" w:themeColor="text1"/>
                    <w:sz w:val="21"/>
                    <w:szCs w:val="21"/>
                  </w:rPr>
                  <w:t>应收账款期末余额</w:t>
                </w:r>
              </w:p>
            </w:tc>
          </w:sdtContent>
        </w:sdt>
        <w:sdt>
          <w:sdtPr>
            <w:rPr>
              <w:rFonts w:hint="eastAsia"/>
              <w:color w:val="000000" w:themeColor="text1"/>
              <w:sz w:val="21"/>
              <w:szCs w:val="21"/>
            </w:rPr>
            <w:tag w:val="_PLD_944b59d1898d47a2b9811200fe8238cc"/>
            <w:id w:val="73020572"/>
          </w:sdtPr>
          <w:sdtEndPr/>
          <w:sdtContent>
            <w:tc>
              <w:tcPr>
                <w:tcW w:w="833" w:type="pct"/>
                <w:vAlign w:val="center"/>
              </w:tcPr>
              <w:p w14:paraId="3928A369" w14:textId="77777777" w:rsidR="002D0AE7" w:rsidRDefault="00333EBB">
                <w:pPr>
                  <w:jc w:val="center"/>
                  <w:rPr>
                    <w:rFonts w:hint="eastAsia"/>
                    <w:color w:val="000000" w:themeColor="text1"/>
                    <w:sz w:val="21"/>
                    <w:szCs w:val="21"/>
                  </w:rPr>
                </w:pPr>
                <w:r>
                  <w:rPr>
                    <w:rFonts w:hint="eastAsia"/>
                    <w:color w:val="000000" w:themeColor="text1"/>
                    <w:sz w:val="21"/>
                    <w:szCs w:val="21"/>
                  </w:rPr>
                  <w:t>合同资产期末余额</w:t>
                </w:r>
              </w:p>
            </w:tc>
          </w:sdtContent>
        </w:sdt>
        <w:sdt>
          <w:sdtPr>
            <w:rPr>
              <w:rFonts w:hint="eastAsia"/>
              <w:color w:val="000000" w:themeColor="text1"/>
              <w:sz w:val="21"/>
              <w:szCs w:val="21"/>
            </w:rPr>
            <w:tag w:val="_PLD_301be10e795242c58ee556a8cd07660a"/>
            <w:id w:val="-1615675283"/>
          </w:sdtPr>
          <w:sdtEndPr/>
          <w:sdtContent>
            <w:tc>
              <w:tcPr>
                <w:tcW w:w="833" w:type="pct"/>
                <w:vAlign w:val="center"/>
              </w:tcPr>
              <w:p w14:paraId="6711B8D3" w14:textId="77777777" w:rsidR="002D0AE7" w:rsidRDefault="00333EBB">
                <w:pPr>
                  <w:jc w:val="center"/>
                  <w:rPr>
                    <w:rFonts w:hint="eastAsia"/>
                    <w:color w:val="000000" w:themeColor="text1"/>
                    <w:sz w:val="21"/>
                    <w:szCs w:val="21"/>
                  </w:rPr>
                </w:pPr>
                <w:r>
                  <w:rPr>
                    <w:rFonts w:hint="eastAsia"/>
                    <w:color w:val="000000" w:themeColor="text1"/>
                    <w:sz w:val="21"/>
                    <w:szCs w:val="21"/>
                  </w:rPr>
                  <w:t>应收账款和合同资产期末余额</w:t>
                </w:r>
              </w:p>
            </w:tc>
          </w:sdtContent>
        </w:sdt>
        <w:sdt>
          <w:sdtPr>
            <w:rPr>
              <w:rFonts w:hint="eastAsia"/>
              <w:color w:val="000000" w:themeColor="text1"/>
              <w:sz w:val="21"/>
              <w:szCs w:val="21"/>
            </w:rPr>
            <w:tag w:val="_PLD_9d7daec6d6fe4a5d9c133a5c71d1c062"/>
            <w:id w:val="-1996409205"/>
          </w:sdtPr>
          <w:sdtEndPr/>
          <w:sdtContent>
            <w:tc>
              <w:tcPr>
                <w:tcW w:w="833" w:type="pct"/>
                <w:vAlign w:val="center"/>
              </w:tcPr>
              <w:p w14:paraId="2DEC7402" w14:textId="77777777" w:rsidR="002D0AE7" w:rsidRDefault="00333EBB">
                <w:pPr>
                  <w:jc w:val="center"/>
                  <w:rPr>
                    <w:rFonts w:hint="eastAsia"/>
                    <w:color w:val="000000" w:themeColor="text1"/>
                    <w:sz w:val="21"/>
                    <w:szCs w:val="21"/>
                  </w:rPr>
                </w:pPr>
                <w:r>
                  <w:rPr>
                    <w:rFonts w:hint="eastAsia"/>
                    <w:color w:val="000000" w:themeColor="text1"/>
                    <w:sz w:val="21"/>
                    <w:szCs w:val="21"/>
                  </w:rPr>
                  <w:t>占应收账款和合同资产期末余额合计数的比例（</w:t>
                </w:r>
                <w:r>
                  <w:rPr>
                    <w:rFonts w:hint="eastAsia"/>
                    <w:color w:val="000000" w:themeColor="text1"/>
                    <w:sz w:val="21"/>
                    <w:szCs w:val="21"/>
                  </w:rPr>
                  <w:t>%</w:t>
                </w:r>
                <w:r>
                  <w:rPr>
                    <w:rFonts w:hint="eastAsia"/>
                    <w:color w:val="000000" w:themeColor="text1"/>
                    <w:sz w:val="21"/>
                    <w:szCs w:val="21"/>
                  </w:rPr>
                  <w:t>）</w:t>
                </w:r>
              </w:p>
            </w:tc>
          </w:sdtContent>
        </w:sdt>
        <w:sdt>
          <w:sdtPr>
            <w:rPr>
              <w:rFonts w:hint="eastAsia"/>
              <w:color w:val="000000" w:themeColor="text1"/>
              <w:sz w:val="21"/>
              <w:szCs w:val="21"/>
            </w:rPr>
            <w:tag w:val="_PLD_50b08561bfef4171ad4e74488b9eb0c0"/>
            <w:id w:val="-979301380"/>
          </w:sdtPr>
          <w:sdtEndPr/>
          <w:sdtContent>
            <w:tc>
              <w:tcPr>
                <w:tcW w:w="833" w:type="pct"/>
                <w:vAlign w:val="center"/>
              </w:tcPr>
              <w:p w14:paraId="632B4625" w14:textId="77777777" w:rsidR="002D0AE7" w:rsidRDefault="00333EBB">
                <w:pPr>
                  <w:jc w:val="center"/>
                  <w:rPr>
                    <w:rFonts w:hint="eastAsia"/>
                    <w:color w:val="000000" w:themeColor="text1"/>
                    <w:sz w:val="21"/>
                    <w:szCs w:val="21"/>
                  </w:rPr>
                </w:pPr>
                <w:r>
                  <w:rPr>
                    <w:rFonts w:hint="eastAsia"/>
                    <w:color w:val="000000" w:themeColor="text1"/>
                    <w:sz w:val="21"/>
                    <w:szCs w:val="21"/>
                  </w:rPr>
                  <w:t>坏账准备期末余额</w:t>
                </w:r>
              </w:p>
            </w:tc>
          </w:sdtContent>
        </w:sdt>
      </w:tr>
      <w:tr w:rsidR="002D0AE7" w14:paraId="312F0B9F" w14:textId="77777777">
        <w:trPr>
          <w:cantSplit/>
        </w:trPr>
        <w:tc>
          <w:tcPr>
            <w:tcW w:w="834" w:type="pct"/>
          </w:tcPr>
          <w:p w14:paraId="35D3BE2C" w14:textId="77777777" w:rsidR="002D0AE7" w:rsidRDefault="00333EBB">
            <w:pPr>
              <w:ind w:right="105"/>
              <w:jc w:val="center"/>
              <w:rPr>
                <w:rFonts w:ascii="Times New Roman" w:hAnsi="Times New Roman" w:cs="Times New Roman"/>
                <w:sz w:val="21"/>
                <w:szCs w:val="21"/>
              </w:rPr>
            </w:pPr>
            <w:r>
              <w:rPr>
                <w:rFonts w:ascii="Times New Roman" w:hAnsi="Times New Roman" w:cs="Times New Roman"/>
                <w:sz w:val="21"/>
                <w:szCs w:val="21"/>
              </w:rPr>
              <w:t>1</w:t>
            </w:r>
          </w:p>
        </w:tc>
        <w:tc>
          <w:tcPr>
            <w:tcW w:w="833" w:type="pct"/>
          </w:tcPr>
          <w:p w14:paraId="17337C79" w14:textId="77777777" w:rsidR="002D0AE7" w:rsidRDefault="00333EBB">
            <w:pPr>
              <w:ind w:right="73"/>
              <w:jc w:val="right"/>
              <w:rPr>
                <w:rFonts w:ascii="Times New Roman" w:hAnsi="Times New Roman" w:cs="Times New Roman"/>
                <w:sz w:val="21"/>
                <w:szCs w:val="21"/>
              </w:rPr>
            </w:pPr>
            <w:r>
              <w:rPr>
                <w:rFonts w:ascii="Times New Roman" w:hAnsi="Times New Roman" w:cs="Times New Roman"/>
                <w:sz w:val="21"/>
                <w:szCs w:val="21"/>
              </w:rPr>
              <w:t>55,309,953.55</w:t>
            </w:r>
          </w:p>
        </w:tc>
        <w:tc>
          <w:tcPr>
            <w:tcW w:w="833" w:type="pct"/>
          </w:tcPr>
          <w:p w14:paraId="2D3AE34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33" w:type="pct"/>
          </w:tcPr>
          <w:p w14:paraId="472F0DC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55,309,953.55</w:t>
            </w:r>
          </w:p>
        </w:tc>
        <w:tc>
          <w:tcPr>
            <w:tcW w:w="833" w:type="pct"/>
          </w:tcPr>
          <w:p w14:paraId="732FD74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36.31</w:t>
            </w:r>
          </w:p>
        </w:tc>
        <w:tc>
          <w:tcPr>
            <w:tcW w:w="833" w:type="pct"/>
          </w:tcPr>
          <w:p w14:paraId="0D632FD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196FBAE6" w14:textId="77777777">
        <w:trPr>
          <w:cantSplit/>
        </w:trPr>
        <w:tc>
          <w:tcPr>
            <w:tcW w:w="834" w:type="pct"/>
          </w:tcPr>
          <w:p w14:paraId="74DD954C" w14:textId="77777777" w:rsidR="002D0AE7" w:rsidRDefault="00333EBB">
            <w:pPr>
              <w:ind w:right="105"/>
              <w:jc w:val="center"/>
              <w:rPr>
                <w:rFonts w:ascii="Times New Roman" w:hAnsi="Times New Roman" w:cs="Times New Roman"/>
                <w:sz w:val="21"/>
                <w:szCs w:val="21"/>
              </w:rPr>
            </w:pPr>
            <w:r>
              <w:rPr>
                <w:rFonts w:ascii="Times New Roman" w:hAnsi="Times New Roman" w:cs="Times New Roman"/>
                <w:sz w:val="21"/>
                <w:szCs w:val="21"/>
              </w:rPr>
              <w:t>2</w:t>
            </w:r>
          </w:p>
        </w:tc>
        <w:tc>
          <w:tcPr>
            <w:tcW w:w="833" w:type="pct"/>
          </w:tcPr>
          <w:p w14:paraId="73B569D6" w14:textId="77777777" w:rsidR="002D0AE7" w:rsidRDefault="00333EBB">
            <w:pPr>
              <w:ind w:right="73"/>
              <w:jc w:val="right"/>
              <w:rPr>
                <w:rFonts w:ascii="Times New Roman" w:hAnsi="Times New Roman" w:cs="Times New Roman"/>
                <w:sz w:val="21"/>
                <w:szCs w:val="21"/>
              </w:rPr>
            </w:pPr>
            <w:r>
              <w:rPr>
                <w:rFonts w:ascii="Times New Roman" w:hAnsi="Times New Roman" w:cs="Times New Roman"/>
                <w:sz w:val="21"/>
                <w:szCs w:val="21"/>
              </w:rPr>
              <w:t>20,736,364.00</w:t>
            </w:r>
          </w:p>
        </w:tc>
        <w:tc>
          <w:tcPr>
            <w:tcW w:w="833" w:type="pct"/>
          </w:tcPr>
          <w:p w14:paraId="11AA1FD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33" w:type="pct"/>
          </w:tcPr>
          <w:p w14:paraId="46955B7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20,736,364.00</w:t>
            </w:r>
          </w:p>
        </w:tc>
        <w:tc>
          <w:tcPr>
            <w:tcW w:w="833" w:type="pct"/>
          </w:tcPr>
          <w:p w14:paraId="6AE3D46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13.61</w:t>
            </w:r>
          </w:p>
        </w:tc>
        <w:tc>
          <w:tcPr>
            <w:tcW w:w="833" w:type="pct"/>
          </w:tcPr>
          <w:p w14:paraId="415949C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6A4EA1E8" w14:textId="77777777">
        <w:trPr>
          <w:cantSplit/>
        </w:trPr>
        <w:tc>
          <w:tcPr>
            <w:tcW w:w="834" w:type="pct"/>
          </w:tcPr>
          <w:p w14:paraId="6E61C319" w14:textId="77777777" w:rsidR="002D0AE7" w:rsidRDefault="00333EBB">
            <w:pPr>
              <w:ind w:right="105"/>
              <w:jc w:val="center"/>
              <w:rPr>
                <w:rFonts w:ascii="Times New Roman" w:hAnsi="Times New Roman" w:cs="Times New Roman"/>
                <w:sz w:val="21"/>
                <w:szCs w:val="21"/>
              </w:rPr>
            </w:pPr>
            <w:r>
              <w:rPr>
                <w:rFonts w:ascii="Times New Roman" w:hAnsi="Times New Roman" w:cs="Times New Roman"/>
                <w:sz w:val="21"/>
                <w:szCs w:val="21"/>
              </w:rPr>
              <w:t>3</w:t>
            </w:r>
          </w:p>
        </w:tc>
        <w:tc>
          <w:tcPr>
            <w:tcW w:w="833" w:type="pct"/>
          </w:tcPr>
          <w:p w14:paraId="3786831B" w14:textId="77777777" w:rsidR="002D0AE7" w:rsidRDefault="00333EBB">
            <w:pPr>
              <w:ind w:right="73"/>
              <w:jc w:val="right"/>
              <w:rPr>
                <w:rFonts w:ascii="Times New Roman" w:hAnsi="Times New Roman" w:cs="Times New Roman"/>
                <w:sz w:val="21"/>
                <w:szCs w:val="21"/>
              </w:rPr>
            </w:pPr>
            <w:r>
              <w:rPr>
                <w:rFonts w:ascii="Times New Roman" w:hAnsi="Times New Roman" w:cs="Times New Roman"/>
                <w:sz w:val="21"/>
                <w:szCs w:val="21"/>
              </w:rPr>
              <w:t>13,788,697.54</w:t>
            </w:r>
          </w:p>
        </w:tc>
        <w:tc>
          <w:tcPr>
            <w:tcW w:w="833" w:type="pct"/>
          </w:tcPr>
          <w:p w14:paraId="3E60616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33" w:type="pct"/>
          </w:tcPr>
          <w:p w14:paraId="12846D0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13,788,697.54</w:t>
            </w:r>
          </w:p>
        </w:tc>
        <w:tc>
          <w:tcPr>
            <w:tcW w:w="833" w:type="pct"/>
          </w:tcPr>
          <w:p w14:paraId="7D58690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9.05</w:t>
            </w:r>
          </w:p>
        </w:tc>
        <w:tc>
          <w:tcPr>
            <w:tcW w:w="833" w:type="pct"/>
          </w:tcPr>
          <w:p w14:paraId="43C1510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578A93BF" w14:textId="77777777">
        <w:trPr>
          <w:cantSplit/>
        </w:trPr>
        <w:tc>
          <w:tcPr>
            <w:tcW w:w="834" w:type="pct"/>
          </w:tcPr>
          <w:p w14:paraId="65A620BD" w14:textId="77777777" w:rsidR="002D0AE7" w:rsidRDefault="00333EBB">
            <w:pPr>
              <w:ind w:right="105"/>
              <w:jc w:val="center"/>
              <w:rPr>
                <w:rFonts w:ascii="Times New Roman" w:hAnsi="Times New Roman" w:cs="Times New Roman"/>
                <w:sz w:val="21"/>
                <w:szCs w:val="21"/>
              </w:rPr>
            </w:pPr>
            <w:r>
              <w:rPr>
                <w:rFonts w:ascii="Times New Roman" w:hAnsi="Times New Roman" w:cs="Times New Roman"/>
                <w:sz w:val="21"/>
                <w:szCs w:val="21"/>
              </w:rPr>
              <w:t>4</w:t>
            </w:r>
          </w:p>
        </w:tc>
        <w:tc>
          <w:tcPr>
            <w:tcW w:w="833" w:type="pct"/>
          </w:tcPr>
          <w:p w14:paraId="3142DC3C" w14:textId="77777777" w:rsidR="002D0AE7" w:rsidRDefault="00333EBB">
            <w:pPr>
              <w:ind w:right="73"/>
              <w:jc w:val="right"/>
              <w:rPr>
                <w:rFonts w:ascii="Times New Roman" w:hAnsi="Times New Roman" w:cs="Times New Roman"/>
                <w:sz w:val="21"/>
                <w:szCs w:val="21"/>
              </w:rPr>
            </w:pPr>
            <w:r>
              <w:rPr>
                <w:rFonts w:ascii="Times New Roman" w:hAnsi="Times New Roman" w:cs="Times New Roman"/>
                <w:sz w:val="21"/>
                <w:szCs w:val="21"/>
              </w:rPr>
              <w:t>5,870,500.00</w:t>
            </w:r>
          </w:p>
        </w:tc>
        <w:tc>
          <w:tcPr>
            <w:tcW w:w="833" w:type="pct"/>
          </w:tcPr>
          <w:p w14:paraId="6D07C10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33" w:type="pct"/>
          </w:tcPr>
          <w:p w14:paraId="5D847A6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5,870,500.00</w:t>
            </w:r>
          </w:p>
        </w:tc>
        <w:tc>
          <w:tcPr>
            <w:tcW w:w="833" w:type="pct"/>
          </w:tcPr>
          <w:p w14:paraId="3E5904C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3.85</w:t>
            </w:r>
          </w:p>
        </w:tc>
        <w:tc>
          <w:tcPr>
            <w:tcW w:w="833" w:type="pct"/>
          </w:tcPr>
          <w:p w14:paraId="78184E8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3EE3914E" w14:textId="77777777">
        <w:trPr>
          <w:cantSplit/>
        </w:trPr>
        <w:tc>
          <w:tcPr>
            <w:tcW w:w="834" w:type="pct"/>
          </w:tcPr>
          <w:p w14:paraId="7A52F175" w14:textId="77777777" w:rsidR="002D0AE7" w:rsidRDefault="00333EBB">
            <w:pPr>
              <w:ind w:right="105"/>
              <w:jc w:val="center"/>
              <w:rPr>
                <w:rFonts w:ascii="Times New Roman" w:hAnsi="Times New Roman" w:cs="Times New Roman"/>
                <w:sz w:val="21"/>
                <w:szCs w:val="21"/>
              </w:rPr>
            </w:pPr>
            <w:r>
              <w:rPr>
                <w:rFonts w:ascii="Times New Roman" w:hAnsi="Times New Roman" w:cs="Times New Roman"/>
                <w:sz w:val="21"/>
                <w:szCs w:val="21"/>
              </w:rPr>
              <w:t>5</w:t>
            </w:r>
          </w:p>
        </w:tc>
        <w:tc>
          <w:tcPr>
            <w:tcW w:w="833" w:type="pct"/>
          </w:tcPr>
          <w:p w14:paraId="5B0604FF" w14:textId="77777777" w:rsidR="002D0AE7" w:rsidRDefault="00333EBB">
            <w:pPr>
              <w:ind w:right="73"/>
              <w:jc w:val="right"/>
              <w:rPr>
                <w:rFonts w:ascii="Times New Roman" w:hAnsi="Times New Roman" w:cs="Times New Roman"/>
                <w:sz w:val="21"/>
                <w:szCs w:val="21"/>
              </w:rPr>
            </w:pPr>
            <w:r>
              <w:rPr>
                <w:rFonts w:ascii="Times New Roman" w:hAnsi="Times New Roman" w:cs="Times New Roman"/>
                <w:sz w:val="21"/>
                <w:szCs w:val="21"/>
              </w:rPr>
              <w:t>5,846,075.00</w:t>
            </w:r>
          </w:p>
        </w:tc>
        <w:tc>
          <w:tcPr>
            <w:tcW w:w="833" w:type="pct"/>
          </w:tcPr>
          <w:p w14:paraId="10FA8F4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33" w:type="pct"/>
          </w:tcPr>
          <w:p w14:paraId="7756FB5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5,846,075.00</w:t>
            </w:r>
          </w:p>
        </w:tc>
        <w:tc>
          <w:tcPr>
            <w:tcW w:w="833" w:type="pct"/>
          </w:tcPr>
          <w:p w14:paraId="5EF632E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3.84</w:t>
            </w:r>
          </w:p>
        </w:tc>
        <w:tc>
          <w:tcPr>
            <w:tcW w:w="833" w:type="pct"/>
          </w:tcPr>
          <w:p w14:paraId="260C3F4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71100A77" w14:textId="77777777">
        <w:trPr>
          <w:cantSplit/>
        </w:trPr>
        <w:tc>
          <w:tcPr>
            <w:tcW w:w="834" w:type="pct"/>
          </w:tcPr>
          <w:p w14:paraId="3B4A3E5E" w14:textId="77777777" w:rsidR="002D0AE7" w:rsidRDefault="00333EBB">
            <w:pPr>
              <w:ind w:right="105"/>
              <w:jc w:val="center"/>
              <w:rPr>
                <w:rFonts w:hint="eastAsia"/>
                <w:color w:val="000000" w:themeColor="text1"/>
                <w:sz w:val="21"/>
                <w:szCs w:val="21"/>
              </w:rPr>
            </w:pPr>
            <w:r>
              <w:rPr>
                <w:rFonts w:hint="eastAsia"/>
                <w:color w:val="000000" w:themeColor="text1"/>
                <w:sz w:val="21"/>
                <w:szCs w:val="21"/>
              </w:rPr>
              <w:t>合计</w:t>
            </w:r>
          </w:p>
        </w:tc>
        <w:tc>
          <w:tcPr>
            <w:tcW w:w="833" w:type="pct"/>
            <w:vAlign w:val="center"/>
          </w:tcPr>
          <w:p w14:paraId="2A477E9B" w14:textId="77777777" w:rsidR="002D0AE7" w:rsidRDefault="00333EBB">
            <w:pPr>
              <w:ind w:right="73"/>
              <w:jc w:val="right"/>
              <w:rPr>
                <w:rFonts w:ascii="Times New Roman" w:hAnsi="Times New Roman" w:cs="Times New Roman"/>
                <w:sz w:val="21"/>
                <w:szCs w:val="21"/>
              </w:rPr>
            </w:pPr>
            <w:r>
              <w:rPr>
                <w:rFonts w:ascii="Times New Roman" w:hAnsi="Times New Roman" w:cs="Times New Roman"/>
                <w:sz w:val="21"/>
                <w:szCs w:val="21"/>
              </w:rPr>
              <w:t>101,551,590.09</w:t>
            </w:r>
          </w:p>
        </w:tc>
        <w:tc>
          <w:tcPr>
            <w:tcW w:w="833" w:type="pct"/>
            <w:vAlign w:val="center"/>
          </w:tcPr>
          <w:p w14:paraId="13D0CDB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833" w:type="pct"/>
            <w:vAlign w:val="center"/>
          </w:tcPr>
          <w:p w14:paraId="4C708AF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101,551,590.09</w:t>
            </w:r>
          </w:p>
        </w:tc>
        <w:tc>
          <w:tcPr>
            <w:tcW w:w="833" w:type="pct"/>
            <w:vAlign w:val="center"/>
          </w:tcPr>
          <w:p w14:paraId="148F38D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66.66</w:t>
            </w:r>
          </w:p>
        </w:tc>
        <w:tc>
          <w:tcPr>
            <w:tcW w:w="833" w:type="pct"/>
            <w:vAlign w:val="center"/>
          </w:tcPr>
          <w:p w14:paraId="55852CA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bl>
    <w:p w14:paraId="0F6E6FB8" w14:textId="77777777" w:rsidR="002D0AE7" w:rsidRDefault="00333EBB">
      <w:pPr>
        <w:snapToGrid w:val="0"/>
        <w:spacing w:line="240" w:lineRule="atLeast"/>
        <w:rPr>
          <w:rFonts w:hint="eastAsia"/>
          <w:color w:val="000000" w:themeColor="text1"/>
        </w:rPr>
      </w:pPr>
      <w:r>
        <w:rPr>
          <w:rFonts w:hint="eastAsia"/>
          <w:color w:val="000000" w:themeColor="text1"/>
        </w:rPr>
        <w:t>其他说明</w:t>
      </w:r>
      <w:sdt>
        <w:sdtPr>
          <w:rPr>
            <w:color w:val="000000" w:themeColor="text1"/>
          </w:rPr>
          <w:alias w:val="按欠款方归集的期末余额前五名的应收账款情况的说明"/>
          <w:tag w:val="_GBC_60ef1597b00c4872bb998837689ad316"/>
          <w:id w:val="1393234951"/>
          <w:placeholder>
            <w:docPart w:val="GBC22222222222222222222222222222"/>
          </w:placeholder>
        </w:sdtPr>
        <w:sdtEndPr/>
        <w:sdtContent>
          <w:r>
            <w:rPr>
              <w:rFonts w:hint="eastAsia"/>
              <w:color w:val="000000" w:themeColor="text1"/>
            </w:rPr>
            <w:t>无</w:t>
          </w:r>
        </w:sdtContent>
      </w:sdt>
    </w:p>
    <w:bookmarkEnd w:id="272"/>
    <w:bookmarkEnd w:id="273"/>
    <w:bookmarkEnd w:id="274"/>
    <w:p w14:paraId="1AC09C52" w14:textId="77777777" w:rsidR="002D0AE7" w:rsidRDefault="00333EBB">
      <w:pPr>
        <w:rPr>
          <w:rFonts w:hint="eastAsia"/>
          <w:color w:val="000000" w:themeColor="text1"/>
        </w:rPr>
      </w:pPr>
      <w:r>
        <w:rPr>
          <w:rFonts w:hint="eastAsia"/>
          <w:color w:val="000000" w:themeColor="text1"/>
        </w:rPr>
        <w:t>其他</w:t>
      </w:r>
      <w:r>
        <w:rPr>
          <w:color w:val="000000" w:themeColor="text1"/>
        </w:rPr>
        <w:t>说明：</w:t>
      </w:r>
    </w:p>
    <w:sdt>
      <w:sdtPr>
        <w:rPr>
          <w:rFonts w:hint="eastAsia"/>
          <w:color w:val="000000" w:themeColor="text1"/>
        </w:rPr>
        <w:alias w:val="是否适用：母公司应收账款其他说明[双击切换]"/>
        <w:tag w:val="_GBC_22a2c0a255e04aacadf1c076323bc980"/>
        <w:id w:val="-1895966716"/>
        <w:placeholder>
          <w:docPart w:val="GBC22222222222222222222222222222"/>
        </w:placeholder>
      </w:sdtPr>
      <w:sdtEndPr/>
      <w:sdtContent>
        <w:p w14:paraId="6A39AB49" w14:textId="77777777" w:rsidR="002D0AE7" w:rsidRDefault="00333EBB">
          <w:pPr>
            <w:snapToGrid w:val="0"/>
            <w:spacing w:line="240" w:lineRule="atLeast"/>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w:instrText>
          </w:r>
          <w:r>
            <w:rPr>
              <w:rFonts w:hint="eastAsia"/>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sdt>
      <w:sdtPr>
        <w:rPr>
          <w:rFonts w:hint="eastAsia"/>
          <w:color w:val="000000" w:themeColor="text1"/>
        </w:rPr>
        <w:alias w:val="应收账款其他说明"/>
        <w:tag w:val="_GBC_050ad4436a034bc991ef13e9e868e8f8"/>
        <w:id w:val="-1987763776"/>
        <w:placeholder>
          <w:docPart w:val="GBC22222222222222222222222222222"/>
        </w:placeholder>
      </w:sdtPr>
      <w:sdtEndPr>
        <w:rPr>
          <w:sz w:val="21"/>
          <w:szCs w:val="21"/>
        </w:rPr>
      </w:sdtEndPr>
      <w:sdtContent>
        <w:p w14:paraId="416D03E2" w14:textId="77777777" w:rsidR="002D0AE7" w:rsidRDefault="00333EBB">
          <w:pPr>
            <w:rPr>
              <w:rFonts w:hint="eastAsia"/>
              <w:bCs/>
              <w:color w:val="000000"/>
              <w:sz w:val="21"/>
              <w:szCs w:val="21"/>
            </w:rPr>
          </w:pPr>
          <w:r>
            <w:rPr>
              <w:rFonts w:hint="eastAsia"/>
              <w:bCs/>
              <w:color w:val="000000"/>
              <w:sz w:val="21"/>
              <w:szCs w:val="21"/>
            </w:rPr>
            <w:t>本报告期应收账款中无持本公司</w:t>
          </w:r>
          <w:r>
            <w:rPr>
              <w:rFonts w:ascii="Times New Roman" w:hAnsi="Times New Roman" w:cs="Times New Roman"/>
              <w:bCs/>
              <w:color w:val="000000"/>
              <w:sz w:val="21"/>
              <w:szCs w:val="21"/>
            </w:rPr>
            <w:t>5%</w:t>
          </w:r>
          <w:r>
            <w:rPr>
              <w:rFonts w:hint="eastAsia"/>
              <w:bCs/>
              <w:color w:val="000000"/>
              <w:sz w:val="21"/>
              <w:szCs w:val="21"/>
            </w:rPr>
            <w:t>(</w:t>
          </w:r>
          <w:r>
            <w:rPr>
              <w:rFonts w:hint="eastAsia"/>
              <w:bCs/>
              <w:color w:val="000000"/>
              <w:sz w:val="21"/>
              <w:szCs w:val="21"/>
            </w:rPr>
            <w:t>含</w:t>
          </w:r>
          <w:r>
            <w:rPr>
              <w:rFonts w:ascii="Times New Roman" w:hAnsi="Times New Roman" w:cs="Times New Roman"/>
              <w:bCs/>
              <w:color w:val="000000"/>
              <w:sz w:val="21"/>
              <w:szCs w:val="21"/>
            </w:rPr>
            <w:t>5%</w:t>
          </w:r>
          <w:r>
            <w:rPr>
              <w:rFonts w:hint="eastAsia"/>
              <w:bCs/>
              <w:color w:val="000000"/>
              <w:sz w:val="21"/>
              <w:szCs w:val="21"/>
            </w:rPr>
            <w:t>)</w:t>
          </w:r>
          <w:r>
            <w:rPr>
              <w:rFonts w:hint="eastAsia"/>
              <w:bCs/>
              <w:color w:val="000000"/>
              <w:sz w:val="21"/>
              <w:szCs w:val="21"/>
            </w:rPr>
            <w:t>以上表决权股份的股东欠款。</w:t>
          </w:r>
        </w:p>
      </w:sdtContent>
    </w:sdt>
    <w:p w14:paraId="0E3AD251" w14:textId="77777777" w:rsidR="002D0AE7" w:rsidRDefault="00333EBB">
      <w:pPr>
        <w:pStyle w:val="3"/>
        <w:numPr>
          <w:ilvl w:val="0"/>
          <w:numId w:val="92"/>
        </w:numPr>
        <w:rPr>
          <w:rFonts w:ascii="宋体" w:hAnsi="宋体" w:hint="eastAsia"/>
          <w:color w:val="000000" w:themeColor="text1"/>
          <w:szCs w:val="21"/>
        </w:rPr>
      </w:pPr>
      <w:r>
        <w:rPr>
          <w:rFonts w:ascii="宋体" w:hAnsi="宋体" w:hint="eastAsia"/>
          <w:color w:val="000000" w:themeColor="text1"/>
          <w:szCs w:val="21"/>
        </w:rPr>
        <w:t>其他应收款</w:t>
      </w:r>
    </w:p>
    <w:p w14:paraId="01A31F68" w14:textId="77777777" w:rsidR="002D0AE7" w:rsidRDefault="00333EBB">
      <w:pPr>
        <w:pStyle w:val="4"/>
        <w:rPr>
          <w:rFonts w:ascii="宋体" w:hAnsi="宋体" w:hint="eastAsia"/>
          <w:color w:val="000000" w:themeColor="text1"/>
        </w:rPr>
      </w:pPr>
      <w:bookmarkStart w:id="275" w:name="_Hlk10546944"/>
      <w:r>
        <w:rPr>
          <w:rFonts w:ascii="宋体" w:hAnsi="宋体" w:hint="eastAsia"/>
          <w:color w:val="000000" w:themeColor="text1"/>
        </w:rPr>
        <w:t>项目列示</w:t>
      </w:r>
    </w:p>
    <w:sdt>
      <w:sdtPr>
        <w:rPr>
          <w:color w:val="000000" w:themeColor="text1"/>
        </w:rPr>
        <w:alias w:val="是否适用：母公司其他应收款分类列示[双击切换]"/>
        <w:tag w:val="_GBC_529e259f053b47d993fd4e3216204522"/>
        <w:id w:val="561919048"/>
        <w:placeholder>
          <w:docPart w:val="GBC22222222222222222222222222222"/>
        </w:placeholder>
      </w:sdtPr>
      <w:sdtEndPr/>
      <w:sdtContent>
        <w:p w14:paraId="69F8922D"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000CA770"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母公司其他应收款分类列示"/>
          <w:tag w:val="_GBC_306e86db57e64b00a9602dc7cbf81457"/>
          <w:id w:val="5421086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母公司其他应收款分类列示"/>
          <w:tag w:val="_GBC_cd5866350ae3491e87e9f82a7ed2a7c3"/>
          <w:id w:val="151827848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3113"/>
        <w:gridCol w:w="2862"/>
        <w:gridCol w:w="2848"/>
      </w:tblGrid>
      <w:tr w:rsidR="002D0AE7" w14:paraId="6888B574" w14:textId="77777777">
        <w:trPr>
          <w:cantSplit/>
          <w:jc w:val="center"/>
        </w:trPr>
        <w:sdt>
          <w:sdtPr>
            <w:rPr>
              <w:color w:val="000000" w:themeColor="text1"/>
              <w:sz w:val="21"/>
              <w:szCs w:val="21"/>
            </w:rPr>
            <w:tag w:val="_PLD_9b14d51b79194bdea749a527966a0a2e"/>
            <w:id w:val="1507945287"/>
          </w:sdtPr>
          <w:sdtEndPr/>
          <w:sdtContent>
            <w:tc>
              <w:tcPr>
                <w:tcW w:w="1764" w:type="pct"/>
                <w:vAlign w:val="center"/>
              </w:tcPr>
              <w:p w14:paraId="00801F86"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1dd12447c07a4bf5b8eef82f2f9f5577"/>
            <w:id w:val="-614051072"/>
          </w:sdtPr>
          <w:sdtEndPr/>
          <w:sdtContent>
            <w:tc>
              <w:tcPr>
                <w:tcW w:w="1622" w:type="pct"/>
                <w:vAlign w:val="center"/>
              </w:tcPr>
              <w:p w14:paraId="4E46151F"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sdt>
          <w:sdtPr>
            <w:rPr>
              <w:color w:val="000000" w:themeColor="text1"/>
              <w:sz w:val="21"/>
              <w:szCs w:val="21"/>
            </w:rPr>
            <w:tag w:val="_PLD_2701e42352ac4ea1ae4d64adf5d28e89"/>
            <w:id w:val="2068071168"/>
          </w:sdtPr>
          <w:sdtEndPr/>
          <w:sdtContent>
            <w:tc>
              <w:tcPr>
                <w:tcW w:w="1614" w:type="pct"/>
                <w:vAlign w:val="center"/>
              </w:tcPr>
              <w:p w14:paraId="71A52BA8" w14:textId="77777777" w:rsidR="002D0AE7" w:rsidRDefault="00333EBB">
                <w:pPr>
                  <w:jc w:val="center"/>
                  <w:rPr>
                    <w:rFonts w:hint="eastAsia"/>
                    <w:color w:val="000000" w:themeColor="text1"/>
                    <w:sz w:val="21"/>
                    <w:szCs w:val="21"/>
                  </w:rPr>
                </w:pPr>
                <w:r>
                  <w:rPr>
                    <w:rFonts w:hint="eastAsia"/>
                    <w:color w:val="000000" w:themeColor="text1"/>
                    <w:sz w:val="21"/>
                    <w:szCs w:val="21"/>
                  </w:rPr>
                  <w:t>期初余额</w:t>
                </w:r>
              </w:p>
            </w:tc>
          </w:sdtContent>
        </w:sdt>
      </w:tr>
      <w:tr w:rsidR="002D0AE7" w14:paraId="6BFBBFB6" w14:textId="77777777">
        <w:trPr>
          <w:cantSplit/>
          <w:jc w:val="center"/>
        </w:trPr>
        <w:tc>
          <w:tcPr>
            <w:tcW w:w="1764" w:type="pct"/>
          </w:tcPr>
          <w:p w14:paraId="5FA612DB" w14:textId="77777777" w:rsidR="002D0AE7" w:rsidRDefault="00333EBB">
            <w:pPr>
              <w:ind w:right="5"/>
              <w:rPr>
                <w:rFonts w:hint="eastAsia"/>
                <w:color w:val="000000" w:themeColor="text1"/>
                <w:sz w:val="21"/>
                <w:szCs w:val="21"/>
              </w:rPr>
            </w:pPr>
            <w:r>
              <w:rPr>
                <w:rFonts w:hint="eastAsia"/>
                <w:color w:val="000000" w:themeColor="text1"/>
                <w:sz w:val="21"/>
                <w:szCs w:val="21"/>
              </w:rPr>
              <w:t>应收利息</w:t>
            </w:r>
          </w:p>
        </w:tc>
        <w:tc>
          <w:tcPr>
            <w:tcW w:w="1622" w:type="pct"/>
            <w:vAlign w:val="center"/>
          </w:tcPr>
          <w:p w14:paraId="012E5519"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0.00</w:t>
            </w:r>
          </w:p>
        </w:tc>
        <w:tc>
          <w:tcPr>
            <w:tcW w:w="1614" w:type="pct"/>
            <w:vAlign w:val="center"/>
          </w:tcPr>
          <w:p w14:paraId="69834505"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329C8F91" w14:textId="77777777">
        <w:trPr>
          <w:cantSplit/>
          <w:jc w:val="center"/>
        </w:trPr>
        <w:tc>
          <w:tcPr>
            <w:tcW w:w="1764" w:type="pct"/>
          </w:tcPr>
          <w:p w14:paraId="33F687D4" w14:textId="77777777" w:rsidR="002D0AE7" w:rsidRDefault="00333EBB">
            <w:pPr>
              <w:ind w:right="5"/>
              <w:rPr>
                <w:rFonts w:hint="eastAsia"/>
                <w:color w:val="000000" w:themeColor="text1"/>
                <w:sz w:val="21"/>
                <w:szCs w:val="21"/>
              </w:rPr>
            </w:pPr>
            <w:r>
              <w:rPr>
                <w:rFonts w:hint="eastAsia"/>
                <w:color w:val="000000" w:themeColor="text1"/>
                <w:sz w:val="21"/>
                <w:szCs w:val="21"/>
              </w:rPr>
              <w:t>应收股利</w:t>
            </w:r>
          </w:p>
        </w:tc>
        <w:tc>
          <w:tcPr>
            <w:tcW w:w="1622" w:type="pct"/>
            <w:vAlign w:val="center"/>
          </w:tcPr>
          <w:p w14:paraId="13C59A46"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0.00</w:t>
            </w:r>
          </w:p>
        </w:tc>
        <w:tc>
          <w:tcPr>
            <w:tcW w:w="1614" w:type="pct"/>
            <w:vAlign w:val="center"/>
          </w:tcPr>
          <w:p w14:paraId="1EBC2322"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760D6E81" w14:textId="77777777">
        <w:trPr>
          <w:cantSplit/>
          <w:jc w:val="center"/>
        </w:trPr>
        <w:tc>
          <w:tcPr>
            <w:tcW w:w="1764" w:type="pct"/>
          </w:tcPr>
          <w:p w14:paraId="3B3C7AB4" w14:textId="77777777" w:rsidR="002D0AE7" w:rsidRDefault="00333EBB">
            <w:pPr>
              <w:ind w:right="5"/>
              <w:rPr>
                <w:rFonts w:hint="eastAsia"/>
                <w:color w:val="000000" w:themeColor="text1"/>
                <w:sz w:val="21"/>
                <w:szCs w:val="21"/>
              </w:rPr>
            </w:pPr>
            <w:r>
              <w:rPr>
                <w:rFonts w:hint="eastAsia"/>
                <w:color w:val="000000" w:themeColor="text1"/>
                <w:sz w:val="21"/>
                <w:szCs w:val="21"/>
              </w:rPr>
              <w:t>其他应收款</w:t>
            </w:r>
          </w:p>
        </w:tc>
        <w:tc>
          <w:tcPr>
            <w:tcW w:w="1622" w:type="pct"/>
          </w:tcPr>
          <w:p w14:paraId="1A3C1ABE"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260,102.63</w:t>
            </w:r>
          </w:p>
        </w:tc>
        <w:tc>
          <w:tcPr>
            <w:tcW w:w="1614" w:type="pct"/>
            <w:vAlign w:val="center"/>
          </w:tcPr>
          <w:p w14:paraId="0EDAAC37" w14:textId="77777777" w:rsidR="002D0AE7" w:rsidRDefault="00333EBB">
            <w:pPr>
              <w:ind w:right="5"/>
              <w:jc w:val="right"/>
              <w:rPr>
                <w:rFonts w:ascii="Times New Roman" w:hAnsi="Times New Roman" w:cs="Times New Roman"/>
                <w:sz w:val="21"/>
                <w:szCs w:val="21"/>
              </w:rPr>
            </w:pPr>
            <w:r>
              <w:rPr>
                <w:rFonts w:ascii="Times New Roman" w:hAnsi="Times New Roman" w:cs="Times New Roman"/>
                <w:sz w:val="21"/>
                <w:szCs w:val="21"/>
              </w:rPr>
              <w:t>172,866.05</w:t>
            </w:r>
          </w:p>
        </w:tc>
      </w:tr>
      <w:tr w:rsidR="002D0AE7" w14:paraId="26436555" w14:textId="77777777">
        <w:trPr>
          <w:cantSplit/>
          <w:jc w:val="center"/>
        </w:trPr>
        <w:tc>
          <w:tcPr>
            <w:tcW w:w="1764" w:type="pct"/>
            <w:vAlign w:val="center"/>
          </w:tcPr>
          <w:p w14:paraId="7C55315D" w14:textId="77777777" w:rsidR="002D0AE7" w:rsidRDefault="00333EBB">
            <w:pPr>
              <w:autoSpaceDE w:val="0"/>
              <w:autoSpaceDN w:val="0"/>
              <w:adjustRightInd w:val="0"/>
              <w:jc w:val="center"/>
              <w:rPr>
                <w:rFonts w:hint="eastAsia"/>
                <w:color w:val="000000" w:themeColor="text1"/>
                <w:sz w:val="21"/>
                <w:szCs w:val="21"/>
              </w:rPr>
            </w:pPr>
            <w:r>
              <w:rPr>
                <w:rFonts w:hint="eastAsia"/>
                <w:color w:val="000000" w:themeColor="text1"/>
                <w:sz w:val="21"/>
                <w:szCs w:val="21"/>
              </w:rPr>
              <w:t>合计</w:t>
            </w:r>
          </w:p>
        </w:tc>
        <w:tc>
          <w:tcPr>
            <w:tcW w:w="1622" w:type="pct"/>
          </w:tcPr>
          <w:p w14:paraId="6B53A93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260,102.63</w:t>
            </w:r>
          </w:p>
        </w:tc>
        <w:tc>
          <w:tcPr>
            <w:tcW w:w="1614" w:type="pct"/>
            <w:vAlign w:val="center"/>
          </w:tcPr>
          <w:p w14:paraId="038F29C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172,866.05</w:t>
            </w:r>
          </w:p>
        </w:tc>
      </w:tr>
    </w:tbl>
    <w:bookmarkEnd w:id="275"/>
    <w:p w14:paraId="029328C7" w14:textId="77777777" w:rsidR="002D0AE7" w:rsidRDefault="00333EBB">
      <w:pPr>
        <w:pStyle w:val="4"/>
        <w:rPr>
          <w:rFonts w:ascii="宋体" w:hAnsi="宋体" w:hint="eastAsia"/>
          <w:color w:val="000000" w:themeColor="text1"/>
        </w:rPr>
      </w:pPr>
      <w:r>
        <w:rPr>
          <w:rFonts w:ascii="宋体" w:hAnsi="宋体" w:hint="eastAsia"/>
          <w:color w:val="000000" w:themeColor="text1"/>
        </w:rPr>
        <w:t>其他应收款</w:t>
      </w:r>
    </w:p>
    <w:p w14:paraId="629004ED" w14:textId="77777777" w:rsidR="002D0AE7" w:rsidRDefault="00333EBB">
      <w:pPr>
        <w:pStyle w:val="5"/>
        <w:numPr>
          <w:ilvl w:val="0"/>
          <w:numId w:val="94"/>
        </w:numPr>
        <w:ind w:left="425" w:hanging="425"/>
        <w:rPr>
          <w:rFonts w:asciiTheme="minorHAnsi" w:hAnsiTheme="minorHAnsi" w:cs="宋体"/>
          <w:color w:val="000000" w:themeColor="text1"/>
          <w:kern w:val="0"/>
          <w:szCs w:val="22"/>
        </w:rPr>
      </w:pPr>
      <w:bookmarkStart w:id="276" w:name="_Hlk168042601"/>
      <w:bookmarkStart w:id="277" w:name="_Hlk153797719"/>
      <w:r>
        <w:rPr>
          <w:rFonts w:asciiTheme="minorHAnsi" w:hAnsiTheme="minorHAnsi" w:cs="宋体" w:hint="eastAsia"/>
          <w:color w:val="000000" w:themeColor="text1"/>
          <w:kern w:val="0"/>
          <w:szCs w:val="22"/>
        </w:rPr>
        <w:t>按账龄披露</w:t>
      </w:r>
    </w:p>
    <w:sdt>
      <w:sdtPr>
        <w:rPr>
          <w:color w:val="000000" w:themeColor="text1"/>
        </w:rPr>
        <w:alias w:val="是否适用：母公司其他应收款按账龄披露[双击切换]"/>
        <w:tag w:val="_GBC_5b9c67da114b4f51b08890c9615bd1d4"/>
        <w:id w:val="-1842144609"/>
        <w:placeholder>
          <w:docPart w:val="GBC22222222222222222222222222222"/>
        </w:placeholder>
      </w:sdtPr>
      <w:sdtEndPr/>
      <w:sdtContent>
        <w:p w14:paraId="4A19DF80"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5DA01574"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母公司其他应收款按账龄披露"/>
          <w:tag w:val="_GBC_6ab414dc01fc4a13acb3e3755a5cc201"/>
          <w:id w:val="-189796011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母公司其他应收款按账龄披露"/>
          <w:tag w:val="_GBC_043422dceaa24b4d9763b5cc6404b654"/>
          <w:id w:val="112142251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993"/>
        <w:gridCol w:w="2915"/>
        <w:gridCol w:w="2915"/>
      </w:tblGrid>
      <w:tr w:rsidR="002D0AE7" w14:paraId="31BF248A" w14:textId="77777777">
        <w:trPr>
          <w:cantSplit/>
        </w:trPr>
        <w:bookmarkEnd w:id="277" w:displacedByCustomXml="next"/>
        <w:bookmarkEnd w:id="276" w:displacedByCustomXml="next"/>
        <w:bookmarkStart w:id="278" w:name="_Hlk10547648" w:displacedByCustomXml="next"/>
        <w:sdt>
          <w:sdtPr>
            <w:rPr>
              <w:color w:val="000000" w:themeColor="text1"/>
              <w:sz w:val="21"/>
              <w:szCs w:val="21"/>
            </w:rPr>
            <w:tag w:val="_PLD_af35a4cb8d9748a7bccbc4e491ccfe60"/>
            <w:id w:val="1199587812"/>
          </w:sdtPr>
          <w:sdtEndPr/>
          <w:sdtContent>
            <w:tc>
              <w:tcPr>
                <w:tcW w:w="1696" w:type="pct"/>
                <w:tcBorders>
                  <w:top w:val="single" w:sz="4" w:space="0" w:color="auto"/>
                  <w:left w:val="single" w:sz="4" w:space="0" w:color="auto"/>
                  <w:bottom w:val="single" w:sz="4" w:space="0" w:color="auto"/>
                  <w:right w:val="single" w:sz="4" w:space="0" w:color="auto"/>
                </w:tcBorders>
                <w:vAlign w:val="center"/>
              </w:tcPr>
              <w:p w14:paraId="6163E8D1" w14:textId="77777777" w:rsidR="002D0AE7" w:rsidRDefault="00333EBB">
                <w:pPr>
                  <w:jc w:val="center"/>
                  <w:rPr>
                    <w:rFonts w:hint="eastAsia"/>
                    <w:color w:val="000000" w:themeColor="text1"/>
                    <w:sz w:val="21"/>
                    <w:szCs w:val="21"/>
                  </w:rPr>
                </w:pPr>
                <w:r>
                  <w:rPr>
                    <w:rFonts w:hint="eastAsia"/>
                    <w:color w:val="000000" w:themeColor="text1"/>
                    <w:sz w:val="21"/>
                    <w:szCs w:val="21"/>
                  </w:rPr>
                  <w:t>账龄</w:t>
                </w:r>
              </w:p>
            </w:tc>
          </w:sdtContent>
        </w:sdt>
        <w:sdt>
          <w:sdtPr>
            <w:rPr>
              <w:color w:val="000000" w:themeColor="text1"/>
              <w:sz w:val="21"/>
              <w:szCs w:val="21"/>
            </w:rPr>
            <w:tag w:val="_PLD_21e0bb0de0cb4a07bdd466a200c90bfc"/>
            <w:id w:val="189887950"/>
          </w:sdtPr>
          <w:sdtEndPr/>
          <w:sdtContent>
            <w:tc>
              <w:tcPr>
                <w:tcW w:w="1652" w:type="pct"/>
                <w:tcBorders>
                  <w:top w:val="single" w:sz="4" w:space="0" w:color="auto"/>
                  <w:left w:val="single" w:sz="4" w:space="0" w:color="auto"/>
                  <w:bottom w:val="single" w:sz="4" w:space="0" w:color="auto"/>
                  <w:right w:val="single" w:sz="4" w:space="0" w:color="auto"/>
                </w:tcBorders>
                <w:vAlign w:val="center"/>
              </w:tcPr>
              <w:p w14:paraId="50E7866C" w14:textId="77777777" w:rsidR="002D0AE7" w:rsidRDefault="00333EBB">
                <w:pPr>
                  <w:jc w:val="center"/>
                  <w:rPr>
                    <w:rFonts w:hint="eastAsia"/>
                    <w:color w:val="000000" w:themeColor="text1"/>
                    <w:sz w:val="21"/>
                    <w:szCs w:val="21"/>
                  </w:rPr>
                </w:pPr>
                <w:r>
                  <w:rPr>
                    <w:rFonts w:hint="eastAsia"/>
                    <w:color w:val="000000" w:themeColor="text1"/>
                    <w:sz w:val="21"/>
                    <w:szCs w:val="21"/>
                  </w:rPr>
                  <w:t>期末账面余额</w:t>
                </w:r>
              </w:p>
            </w:tc>
          </w:sdtContent>
        </w:sdt>
        <w:tc>
          <w:tcPr>
            <w:tcW w:w="1652" w:type="pct"/>
            <w:tcBorders>
              <w:top w:val="single" w:sz="4" w:space="0" w:color="auto"/>
              <w:left w:val="single" w:sz="4" w:space="0" w:color="auto"/>
              <w:bottom w:val="single" w:sz="4" w:space="0" w:color="auto"/>
              <w:right w:val="single" w:sz="4" w:space="0" w:color="auto"/>
            </w:tcBorders>
          </w:tcPr>
          <w:sdt>
            <w:sdtPr>
              <w:rPr>
                <w:rFonts w:hint="eastAsia"/>
                <w:color w:val="000000" w:themeColor="text1"/>
                <w:sz w:val="21"/>
                <w:szCs w:val="21"/>
              </w:rPr>
              <w:tag w:val="_PLD_6e9631382f39495983e2cd57b3906040"/>
              <w:id w:val="-863982057"/>
            </w:sdtPr>
            <w:sdtEndPr/>
            <w:sdtContent>
              <w:p w14:paraId="5D1CB7AC" w14:textId="77777777" w:rsidR="002D0AE7" w:rsidRDefault="00333EBB">
                <w:pPr>
                  <w:jc w:val="center"/>
                  <w:rPr>
                    <w:rFonts w:hint="eastAsia"/>
                    <w:color w:val="000000" w:themeColor="text1"/>
                    <w:sz w:val="21"/>
                    <w:szCs w:val="21"/>
                  </w:rPr>
                </w:pPr>
                <w:r>
                  <w:rPr>
                    <w:rFonts w:hint="eastAsia"/>
                    <w:color w:val="000000" w:themeColor="text1"/>
                    <w:sz w:val="21"/>
                    <w:szCs w:val="21"/>
                  </w:rPr>
                  <w:t>期初账面余额</w:t>
                </w:r>
              </w:p>
            </w:sdtContent>
          </w:sdt>
        </w:tc>
      </w:tr>
      <w:tr w:rsidR="002D0AE7" w14:paraId="79CF2897" w14:textId="77777777">
        <w:trPr>
          <w:cantSplit/>
        </w:trPr>
        <w:sdt>
          <w:sdtPr>
            <w:rPr>
              <w:color w:val="000000" w:themeColor="text1"/>
              <w:sz w:val="21"/>
              <w:szCs w:val="21"/>
            </w:rPr>
            <w:tag w:val="_PLD_c1b84b25c84543b787d17c3c23c2bc0b"/>
            <w:id w:val="387466531"/>
          </w:sdtPr>
          <w:sdtEndPr/>
          <w:sdtContent>
            <w:tc>
              <w:tcPr>
                <w:tcW w:w="5000" w:type="pct"/>
                <w:gridSpan w:val="3"/>
                <w:tcBorders>
                  <w:top w:val="single" w:sz="4" w:space="0" w:color="auto"/>
                  <w:left w:val="single" w:sz="4" w:space="0" w:color="auto"/>
                  <w:bottom w:val="single" w:sz="4" w:space="0" w:color="auto"/>
                  <w:right w:val="single" w:sz="4" w:space="0" w:color="auto"/>
                </w:tcBorders>
              </w:tcPr>
              <w:p w14:paraId="0CE9A0EC" w14:textId="77777777" w:rsidR="002D0AE7" w:rsidRDefault="00333EBB">
                <w:pPr>
                  <w:rPr>
                    <w:rFonts w:hint="eastAsia"/>
                    <w:color w:val="000000" w:themeColor="text1"/>
                    <w:sz w:val="21"/>
                    <w:szCs w:val="21"/>
                  </w:rPr>
                </w:pPr>
                <w:r>
                  <w:rPr>
                    <w:rFonts w:hint="eastAsia"/>
                    <w:color w:val="000000" w:themeColor="text1"/>
                    <w:sz w:val="21"/>
                    <w:szCs w:val="21"/>
                  </w:rPr>
                  <w:t>1</w:t>
                </w:r>
                <w:r>
                  <w:rPr>
                    <w:rFonts w:hint="eastAsia"/>
                    <w:color w:val="000000" w:themeColor="text1"/>
                    <w:sz w:val="21"/>
                    <w:szCs w:val="21"/>
                  </w:rPr>
                  <w:t>年以内</w:t>
                </w:r>
              </w:p>
            </w:tc>
          </w:sdtContent>
        </w:sdt>
      </w:tr>
      <w:tr w:rsidR="002D0AE7" w14:paraId="2C7F7CEC" w14:textId="77777777">
        <w:trPr>
          <w:cantSplit/>
        </w:trPr>
        <w:sdt>
          <w:sdtPr>
            <w:rPr>
              <w:color w:val="000000" w:themeColor="text1"/>
              <w:sz w:val="21"/>
              <w:szCs w:val="21"/>
            </w:rPr>
            <w:tag w:val="_PLD_e07e716b143c42788900c92cf0208509"/>
            <w:id w:val="-1862819733"/>
          </w:sdtPr>
          <w:sdtEndPr/>
          <w:sdtContent>
            <w:tc>
              <w:tcPr>
                <w:tcW w:w="5000" w:type="pct"/>
                <w:gridSpan w:val="3"/>
                <w:tcBorders>
                  <w:top w:val="single" w:sz="4" w:space="0" w:color="auto"/>
                  <w:left w:val="single" w:sz="4" w:space="0" w:color="auto"/>
                  <w:bottom w:val="single" w:sz="4" w:space="0" w:color="auto"/>
                  <w:right w:val="single" w:sz="4" w:space="0" w:color="auto"/>
                </w:tcBorders>
              </w:tcPr>
              <w:p w14:paraId="1B55252A" w14:textId="77777777" w:rsidR="002D0AE7" w:rsidRDefault="00333EBB">
                <w:pPr>
                  <w:rPr>
                    <w:rFonts w:hint="eastAsia"/>
                    <w:color w:val="000000" w:themeColor="text1"/>
                    <w:sz w:val="21"/>
                    <w:szCs w:val="21"/>
                  </w:rPr>
                </w:pPr>
                <w:r>
                  <w:rPr>
                    <w:rFonts w:hint="eastAsia"/>
                    <w:color w:val="000000" w:themeColor="text1"/>
                    <w:sz w:val="21"/>
                    <w:szCs w:val="21"/>
                  </w:rPr>
                  <w:t>其中：</w:t>
                </w:r>
                <w:r>
                  <w:rPr>
                    <w:rFonts w:hint="eastAsia"/>
                    <w:color w:val="000000" w:themeColor="text1"/>
                    <w:sz w:val="21"/>
                    <w:szCs w:val="21"/>
                  </w:rPr>
                  <w:t>1</w:t>
                </w:r>
                <w:r>
                  <w:rPr>
                    <w:rFonts w:hint="eastAsia"/>
                    <w:color w:val="000000" w:themeColor="text1"/>
                    <w:sz w:val="21"/>
                    <w:szCs w:val="21"/>
                  </w:rPr>
                  <w:t>年以内分项</w:t>
                </w:r>
              </w:p>
            </w:tc>
          </w:sdtContent>
        </w:sdt>
      </w:tr>
      <w:tr w:rsidR="002D0AE7" w14:paraId="3E673C20" w14:textId="77777777">
        <w:trPr>
          <w:cantSplit/>
        </w:trPr>
        <w:tc>
          <w:tcPr>
            <w:tcW w:w="1696" w:type="pct"/>
            <w:tcBorders>
              <w:top w:val="single" w:sz="4" w:space="0" w:color="auto"/>
              <w:left w:val="single" w:sz="4" w:space="0" w:color="auto"/>
              <w:bottom w:val="single" w:sz="4" w:space="0" w:color="auto"/>
              <w:right w:val="single" w:sz="4" w:space="0" w:color="auto"/>
            </w:tcBorders>
          </w:tcPr>
          <w:p w14:paraId="31E83A35" w14:textId="77777777" w:rsidR="002D0AE7" w:rsidRDefault="00333EBB">
            <w:pPr>
              <w:rPr>
                <w:rFonts w:hint="eastAsia"/>
                <w:sz w:val="21"/>
                <w:szCs w:val="21"/>
              </w:rPr>
            </w:pPr>
            <w:r>
              <w:rPr>
                <w:sz w:val="21"/>
                <w:szCs w:val="21"/>
              </w:rPr>
              <w:t>3</w:t>
            </w:r>
            <w:r>
              <w:rPr>
                <w:sz w:val="21"/>
                <w:szCs w:val="21"/>
              </w:rPr>
              <w:t>个月以内</w:t>
            </w:r>
          </w:p>
        </w:tc>
        <w:tc>
          <w:tcPr>
            <w:tcW w:w="1652" w:type="pct"/>
            <w:tcBorders>
              <w:top w:val="single" w:sz="4" w:space="0" w:color="auto"/>
              <w:left w:val="single" w:sz="4" w:space="0" w:color="auto"/>
              <w:bottom w:val="single" w:sz="4" w:space="0" w:color="auto"/>
              <w:right w:val="single" w:sz="4" w:space="0" w:color="auto"/>
            </w:tcBorders>
            <w:vAlign w:val="center"/>
          </w:tcPr>
          <w:p w14:paraId="350DE03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111,009.15</w:t>
            </w:r>
          </w:p>
        </w:tc>
        <w:tc>
          <w:tcPr>
            <w:tcW w:w="1652" w:type="pct"/>
            <w:tcBorders>
              <w:top w:val="single" w:sz="4" w:space="0" w:color="auto"/>
              <w:left w:val="single" w:sz="4" w:space="0" w:color="auto"/>
              <w:bottom w:val="single" w:sz="4" w:space="0" w:color="auto"/>
              <w:right w:val="single" w:sz="4" w:space="0" w:color="auto"/>
            </w:tcBorders>
            <w:vAlign w:val="center"/>
          </w:tcPr>
          <w:p w14:paraId="70606DF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164,425.05</w:t>
            </w:r>
          </w:p>
        </w:tc>
      </w:tr>
      <w:tr w:rsidR="002D0AE7" w14:paraId="4FFCF647" w14:textId="77777777">
        <w:trPr>
          <w:cantSplit/>
        </w:trPr>
        <w:tc>
          <w:tcPr>
            <w:tcW w:w="1696" w:type="pct"/>
            <w:tcBorders>
              <w:top w:val="single" w:sz="4" w:space="0" w:color="auto"/>
              <w:left w:val="single" w:sz="4" w:space="0" w:color="auto"/>
              <w:bottom w:val="single" w:sz="4" w:space="0" w:color="auto"/>
              <w:right w:val="single" w:sz="4" w:space="0" w:color="auto"/>
            </w:tcBorders>
          </w:tcPr>
          <w:p w14:paraId="197A75AA" w14:textId="77777777" w:rsidR="002D0AE7" w:rsidRDefault="00333EBB">
            <w:pPr>
              <w:rPr>
                <w:rFonts w:hint="eastAsia"/>
                <w:sz w:val="21"/>
                <w:szCs w:val="21"/>
              </w:rPr>
            </w:pPr>
            <w:r>
              <w:rPr>
                <w:sz w:val="21"/>
                <w:szCs w:val="21"/>
              </w:rPr>
              <w:t>3</w:t>
            </w:r>
            <w:r>
              <w:rPr>
                <w:sz w:val="21"/>
                <w:szCs w:val="21"/>
              </w:rPr>
              <w:t>个月至</w:t>
            </w:r>
            <w:r>
              <w:rPr>
                <w:sz w:val="21"/>
                <w:szCs w:val="21"/>
              </w:rPr>
              <w:t>1</w:t>
            </w:r>
            <w:r>
              <w:rPr>
                <w:sz w:val="21"/>
                <w:szCs w:val="21"/>
              </w:rPr>
              <w:t>年</w:t>
            </w:r>
          </w:p>
        </w:tc>
        <w:tc>
          <w:tcPr>
            <w:tcW w:w="1652" w:type="pct"/>
            <w:tcBorders>
              <w:top w:val="single" w:sz="4" w:space="0" w:color="auto"/>
              <w:left w:val="single" w:sz="4" w:space="0" w:color="auto"/>
              <w:bottom w:val="single" w:sz="4" w:space="0" w:color="auto"/>
              <w:right w:val="single" w:sz="4" w:space="0" w:color="auto"/>
            </w:tcBorders>
            <w:vAlign w:val="center"/>
          </w:tcPr>
          <w:p w14:paraId="0A00ACA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141,963.30</w:t>
            </w:r>
          </w:p>
        </w:tc>
        <w:tc>
          <w:tcPr>
            <w:tcW w:w="1652" w:type="pct"/>
            <w:tcBorders>
              <w:top w:val="single" w:sz="4" w:space="0" w:color="auto"/>
              <w:left w:val="single" w:sz="4" w:space="0" w:color="auto"/>
              <w:bottom w:val="single" w:sz="4" w:space="0" w:color="auto"/>
              <w:right w:val="single" w:sz="4" w:space="0" w:color="auto"/>
            </w:tcBorders>
            <w:vAlign w:val="center"/>
          </w:tcPr>
          <w:p w14:paraId="56ECA82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1,800.00</w:t>
            </w:r>
          </w:p>
        </w:tc>
      </w:tr>
      <w:tr w:rsidR="002D0AE7" w14:paraId="6FED08DC" w14:textId="77777777">
        <w:trPr>
          <w:cantSplit/>
        </w:trPr>
        <w:tc>
          <w:tcPr>
            <w:tcW w:w="1696" w:type="pct"/>
            <w:tcBorders>
              <w:top w:val="single" w:sz="4" w:space="0" w:color="auto"/>
              <w:left w:val="single" w:sz="4" w:space="0" w:color="auto"/>
              <w:bottom w:val="single" w:sz="4" w:space="0" w:color="auto"/>
              <w:right w:val="single" w:sz="4" w:space="0" w:color="auto"/>
            </w:tcBorders>
          </w:tcPr>
          <w:p w14:paraId="3680EE84" w14:textId="77777777" w:rsidR="002D0AE7" w:rsidRDefault="00333EBB">
            <w:pPr>
              <w:rPr>
                <w:rFonts w:hint="eastAsia"/>
                <w:color w:val="000000" w:themeColor="text1"/>
                <w:sz w:val="21"/>
                <w:szCs w:val="21"/>
              </w:rPr>
            </w:pPr>
            <w:r>
              <w:rPr>
                <w:rFonts w:hint="eastAsia"/>
                <w:color w:val="000000" w:themeColor="text1"/>
                <w:sz w:val="21"/>
                <w:szCs w:val="21"/>
              </w:rPr>
              <w:t>1</w:t>
            </w:r>
            <w:r>
              <w:rPr>
                <w:rFonts w:hint="eastAsia"/>
                <w:color w:val="000000" w:themeColor="text1"/>
                <w:sz w:val="21"/>
                <w:szCs w:val="21"/>
              </w:rPr>
              <w:t>年以内小计</w:t>
            </w:r>
          </w:p>
        </w:tc>
        <w:tc>
          <w:tcPr>
            <w:tcW w:w="1652" w:type="pct"/>
            <w:tcBorders>
              <w:top w:val="single" w:sz="4" w:space="0" w:color="auto"/>
              <w:left w:val="single" w:sz="4" w:space="0" w:color="auto"/>
              <w:bottom w:val="single" w:sz="4" w:space="0" w:color="auto"/>
              <w:right w:val="single" w:sz="4" w:space="0" w:color="auto"/>
            </w:tcBorders>
          </w:tcPr>
          <w:p w14:paraId="0B4B06F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252,972.45</w:t>
            </w:r>
          </w:p>
        </w:tc>
        <w:tc>
          <w:tcPr>
            <w:tcW w:w="1652" w:type="pct"/>
            <w:tcBorders>
              <w:top w:val="single" w:sz="4" w:space="0" w:color="auto"/>
              <w:left w:val="single" w:sz="4" w:space="0" w:color="auto"/>
              <w:bottom w:val="single" w:sz="4" w:space="0" w:color="auto"/>
              <w:right w:val="single" w:sz="4" w:space="0" w:color="auto"/>
            </w:tcBorders>
            <w:vAlign w:val="center"/>
          </w:tcPr>
          <w:p w14:paraId="5855D58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166,225.05</w:t>
            </w:r>
          </w:p>
        </w:tc>
      </w:tr>
      <w:tr w:rsidR="002D0AE7" w14:paraId="2B00B214" w14:textId="77777777">
        <w:trPr>
          <w:cantSplit/>
        </w:trPr>
        <w:tc>
          <w:tcPr>
            <w:tcW w:w="1696" w:type="pct"/>
            <w:tcBorders>
              <w:top w:val="single" w:sz="4" w:space="0" w:color="auto"/>
              <w:left w:val="single" w:sz="4" w:space="0" w:color="auto"/>
              <w:bottom w:val="single" w:sz="4" w:space="0" w:color="auto"/>
              <w:right w:val="single" w:sz="4" w:space="0" w:color="auto"/>
            </w:tcBorders>
          </w:tcPr>
          <w:p w14:paraId="7379CCF1" w14:textId="77777777" w:rsidR="002D0AE7" w:rsidRDefault="00333EBB">
            <w:pPr>
              <w:rPr>
                <w:rFonts w:hint="eastAsia"/>
                <w:color w:val="000000" w:themeColor="text1"/>
                <w:sz w:val="21"/>
                <w:szCs w:val="21"/>
              </w:rPr>
            </w:pPr>
            <w:r>
              <w:rPr>
                <w:rFonts w:hint="eastAsia"/>
                <w:color w:val="000000" w:themeColor="text1"/>
                <w:sz w:val="21"/>
                <w:szCs w:val="21"/>
              </w:rPr>
              <w:t>1</w:t>
            </w:r>
            <w:r>
              <w:rPr>
                <w:rFonts w:hint="eastAsia"/>
                <w:color w:val="000000" w:themeColor="text1"/>
                <w:sz w:val="21"/>
                <w:szCs w:val="21"/>
              </w:rPr>
              <w:t>至</w:t>
            </w:r>
            <w:r>
              <w:rPr>
                <w:rFonts w:hint="eastAsia"/>
                <w:color w:val="000000" w:themeColor="text1"/>
                <w:sz w:val="21"/>
                <w:szCs w:val="21"/>
              </w:rPr>
              <w:t>2</w:t>
            </w:r>
            <w:r>
              <w:rPr>
                <w:rFonts w:hint="eastAsia"/>
                <w:color w:val="000000" w:themeColor="text1"/>
                <w:sz w:val="21"/>
                <w:szCs w:val="21"/>
              </w:rPr>
              <w:t>年</w:t>
            </w:r>
          </w:p>
        </w:tc>
        <w:tc>
          <w:tcPr>
            <w:tcW w:w="1652" w:type="pct"/>
            <w:tcBorders>
              <w:top w:val="single" w:sz="4" w:space="0" w:color="auto"/>
              <w:left w:val="single" w:sz="4" w:space="0" w:color="auto"/>
              <w:bottom w:val="single" w:sz="4" w:space="0" w:color="auto"/>
              <w:right w:val="single" w:sz="4" w:space="0" w:color="auto"/>
            </w:tcBorders>
            <w:vAlign w:val="center"/>
          </w:tcPr>
          <w:p w14:paraId="22B81E7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9,800.00</w:t>
            </w:r>
          </w:p>
        </w:tc>
        <w:tc>
          <w:tcPr>
            <w:tcW w:w="1652" w:type="pct"/>
            <w:tcBorders>
              <w:top w:val="single" w:sz="4" w:space="0" w:color="auto"/>
              <w:left w:val="single" w:sz="4" w:space="0" w:color="auto"/>
              <w:bottom w:val="single" w:sz="4" w:space="0" w:color="auto"/>
              <w:right w:val="single" w:sz="4" w:space="0" w:color="auto"/>
            </w:tcBorders>
            <w:vAlign w:val="center"/>
          </w:tcPr>
          <w:p w14:paraId="0C7621F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8,000.00</w:t>
            </w:r>
          </w:p>
        </w:tc>
      </w:tr>
      <w:tr w:rsidR="002D0AE7" w14:paraId="52E786C7" w14:textId="77777777">
        <w:trPr>
          <w:cantSplit/>
        </w:trPr>
        <w:tc>
          <w:tcPr>
            <w:tcW w:w="1696" w:type="pct"/>
            <w:tcBorders>
              <w:top w:val="single" w:sz="4" w:space="0" w:color="auto"/>
              <w:left w:val="single" w:sz="4" w:space="0" w:color="auto"/>
              <w:bottom w:val="single" w:sz="4" w:space="0" w:color="auto"/>
              <w:right w:val="single" w:sz="4" w:space="0" w:color="auto"/>
            </w:tcBorders>
          </w:tcPr>
          <w:p w14:paraId="54BC8474" w14:textId="77777777" w:rsidR="002D0AE7" w:rsidRDefault="00333EBB">
            <w:pPr>
              <w:rPr>
                <w:rFonts w:hint="eastAsia"/>
                <w:color w:val="000000" w:themeColor="text1"/>
                <w:sz w:val="21"/>
                <w:szCs w:val="21"/>
              </w:rPr>
            </w:pPr>
            <w:r>
              <w:rPr>
                <w:rFonts w:hint="eastAsia"/>
                <w:color w:val="000000" w:themeColor="text1"/>
                <w:sz w:val="21"/>
                <w:szCs w:val="21"/>
              </w:rPr>
              <w:t>2</w:t>
            </w:r>
            <w:r>
              <w:rPr>
                <w:rFonts w:hint="eastAsia"/>
                <w:color w:val="000000" w:themeColor="text1"/>
                <w:sz w:val="21"/>
                <w:szCs w:val="21"/>
              </w:rPr>
              <w:t>至</w:t>
            </w:r>
            <w:r>
              <w:rPr>
                <w:rFonts w:hint="eastAsia"/>
                <w:color w:val="000000" w:themeColor="text1"/>
                <w:sz w:val="21"/>
                <w:szCs w:val="21"/>
              </w:rPr>
              <w:t>3</w:t>
            </w:r>
            <w:r>
              <w:rPr>
                <w:rFonts w:hint="eastAsia"/>
                <w:color w:val="000000" w:themeColor="text1"/>
                <w:sz w:val="21"/>
                <w:szCs w:val="21"/>
              </w:rPr>
              <w:t>年</w:t>
            </w:r>
          </w:p>
        </w:tc>
        <w:tc>
          <w:tcPr>
            <w:tcW w:w="1652" w:type="pct"/>
            <w:tcBorders>
              <w:top w:val="single" w:sz="4" w:space="0" w:color="auto"/>
              <w:left w:val="single" w:sz="4" w:space="0" w:color="auto"/>
              <w:bottom w:val="single" w:sz="4" w:space="0" w:color="auto"/>
              <w:right w:val="single" w:sz="4" w:space="0" w:color="auto"/>
            </w:tcBorders>
            <w:vAlign w:val="center"/>
          </w:tcPr>
          <w:p w14:paraId="5F32322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1652" w:type="pct"/>
            <w:tcBorders>
              <w:top w:val="single" w:sz="4" w:space="0" w:color="auto"/>
              <w:left w:val="single" w:sz="4" w:space="0" w:color="auto"/>
              <w:bottom w:val="single" w:sz="4" w:space="0" w:color="auto"/>
              <w:right w:val="single" w:sz="4" w:space="0" w:color="auto"/>
            </w:tcBorders>
            <w:vAlign w:val="center"/>
          </w:tcPr>
          <w:p w14:paraId="23BADE1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500.00</w:t>
            </w:r>
          </w:p>
        </w:tc>
      </w:tr>
      <w:tr w:rsidR="002D0AE7" w14:paraId="21766C3D" w14:textId="77777777">
        <w:trPr>
          <w:cantSplit/>
        </w:trPr>
        <w:tc>
          <w:tcPr>
            <w:tcW w:w="1696" w:type="pct"/>
            <w:tcBorders>
              <w:top w:val="single" w:sz="4" w:space="0" w:color="auto"/>
              <w:left w:val="single" w:sz="4" w:space="0" w:color="auto"/>
              <w:bottom w:val="single" w:sz="4" w:space="0" w:color="auto"/>
              <w:right w:val="single" w:sz="4" w:space="0" w:color="auto"/>
            </w:tcBorders>
          </w:tcPr>
          <w:p w14:paraId="172A5963" w14:textId="77777777" w:rsidR="002D0AE7" w:rsidRDefault="00333EBB">
            <w:pPr>
              <w:rPr>
                <w:rFonts w:hint="eastAsia"/>
                <w:color w:val="000000" w:themeColor="text1"/>
                <w:sz w:val="21"/>
                <w:szCs w:val="21"/>
              </w:rPr>
            </w:pPr>
            <w:r>
              <w:rPr>
                <w:rFonts w:hint="eastAsia"/>
                <w:color w:val="000000" w:themeColor="text1"/>
                <w:sz w:val="21"/>
                <w:szCs w:val="21"/>
              </w:rPr>
              <w:t>3</w:t>
            </w:r>
            <w:r>
              <w:rPr>
                <w:rFonts w:hint="eastAsia"/>
                <w:color w:val="000000" w:themeColor="text1"/>
                <w:sz w:val="21"/>
                <w:szCs w:val="21"/>
              </w:rPr>
              <w:t>年以上</w:t>
            </w:r>
          </w:p>
        </w:tc>
        <w:tc>
          <w:tcPr>
            <w:tcW w:w="1652" w:type="pct"/>
            <w:tcBorders>
              <w:top w:val="single" w:sz="4" w:space="0" w:color="auto"/>
              <w:left w:val="single" w:sz="4" w:space="0" w:color="auto"/>
              <w:bottom w:val="single" w:sz="4" w:space="0" w:color="auto"/>
              <w:right w:val="single" w:sz="4" w:space="0" w:color="auto"/>
            </w:tcBorders>
            <w:vAlign w:val="center"/>
          </w:tcPr>
          <w:p w14:paraId="4EB3DD5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1652" w:type="pct"/>
            <w:tcBorders>
              <w:top w:val="single" w:sz="4" w:space="0" w:color="auto"/>
              <w:left w:val="single" w:sz="4" w:space="0" w:color="auto"/>
              <w:bottom w:val="single" w:sz="4" w:space="0" w:color="auto"/>
              <w:right w:val="single" w:sz="4" w:space="0" w:color="auto"/>
            </w:tcBorders>
            <w:vAlign w:val="center"/>
          </w:tcPr>
          <w:p w14:paraId="653E48A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500.00</w:t>
            </w:r>
          </w:p>
        </w:tc>
      </w:tr>
      <w:tr w:rsidR="002D0AE7" w14:paraId="669D4F09" w14:textId="77777777">
        <w:trPr>
          <w:cantSplit/>
        </w:trPr>
        <w:tc>
          <w:tcPr>
            <w:tcW w:w="1696" w:type="pct"/>
            <w:tcBorders>
              <w:top w:val="single" w:sz="4" w:space="0" w:color="auto"/>
              <w:left w:val="single" w:sz="4" w:space="0" w:color="auto"/>
              <w:bottom w:val="single" w:sz="4" w:space="0" w:color="auto"/>
              <w:right w:val="single" w:sz="4" w:space="0" w:color="auto"/>
            </w:tcBorders>
            <w:vAlign w:val="center"/>
          </w:tcPr>
          <w:p w14:paraId="572328C4"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1652" w:type="pct"/>
            <w:tcBorders>
              <w:top w:val="single" w:sz="4" w:space="0" w:color="auto"/>
              <w:left w:val="single" w:sz="4" w:space="0" w:color="auto"/>
              <w:bottom w:val="single" w:sz="4" w:space="0" w:color="auto"/>
              <w:right w:val="single" w:sz="4" w:space="0" w:color="auto"/>
            </w:tcBorders>
          </w:tcPr>
          <w:p w14:paraId="7ADFC16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262,772.45</w:t>
            </w:r>
          </w:p>
        </w:tc>
        <w:tc>
          <w:tcPr>
            <w:tcW w:w="1652" w:type="pct"/>
            <w:tcBorders>
              <w:top w:val="single" w:sz="4" w:space="0" w:color="auto"/>
              <w:left w:val="single" w:sz="4" w:space="0" w:color="auto"/>
              <w:bottom w:val="single" w:sz="4" w:space="0" w:color="auto"/>
              <w:right w:val="single" w:sz="4" w:space="0" w:color="auto"/>
            </w:tcBorders>
            <w:vAlign w:val="center"/>
          </w:tcPr>
          <w:p w14:paraId="750BF40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175,225.05</w:t>
            </w:r>
          </w:p>
        </w:tc>
      </w:tr>
    </w:tbl>
    <w:p w14:paraId="3BEE09C6" w14:textId="77777777" w:rsidR="002D0AE7" w:rsidRDefault="00333EBB">
      <w:pPr>
        <w:pStyle w:val="5"/>
        <w:numPr>
          <w:ilvl w:val="0"/>
          <w:numId w:val="94"/>
        </w:numPr>
        <w:ind w:left="425" w:hanging="425"/>
        <w:rPr>
          <w:rFonts w:asciiTheme="minorHAnsi" w:hAnsiTheme="minorHAnsi" w:cs="宋体"/>
          <w:color w:val="000000" w:themeColor="text1"/>
          <w:kern w:val="0"/>
          <w:szCs w:val="22"/>
        </w:rPr>
      </w:pPr>
      <w:r>
        <w:rPr>
          <w:rFonts w:asciiTheme="minorHAnsi" w:hAnsiTheme="minorHAnsi" w:cs="宋体" w:hint="eastAsia"/>
          <w:color w:val="000000" w:themeColor="text1"/>
          <w:kern w:val="0"/>
          <w:szCs w:val="22"/>
        </w:rPr>
        <w:t>按款项性质分类</w:t>
      </w:r>
    </w:p>
    <w:sdt>
      <w:sdtPr>
        <w:rPr>
          <w:color w:val="000000" w:themeColor="text1"/>
        </w:rPr>
        <w:alias w:val="是否适用：母公司其他应收款按款项性质分类情况[双击切换]"/>
        <w:tag w:val="_GBC_101fec10ac1f41f39330610cac041192"/>
        <w:id w:val="-810785797"/>
        <w:placeholder>
          <w:docPart w:val="GBC22222222222222222222222222222"/>
        </w:placeholder>
      </w:sdtPr>
      <w:sdtEndPr/>
      <w:sdtContent>
        <w:p w14:paraId="35F9D449"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4C51C8D0"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母公司其他应收款按款项性质分类情况"/>
          <w:tag w:val="_GBC_cdfadb9bdd864b32a99df11dec001a83"/>
          <w:id w:val="-54883610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财务附注：母公司其他应收款按款项性质分类情况"/>
          <w:tag w:val="_GBC_cac854cfb75144bc86635f44f78d6611"/>
          <w:id w:val="-183867376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2906"/>
        <w:gridCol w:w="2917"/>
      </w:tblGrid>
      <w:tr w:rsidR="002D0AE7" w14:paraId="08296A60" w14:textId="77777777">
        <w:bookmarkEnd w:id="278" w:displacedByCustomXml="next"/>
        <w:bookmarkStart w:id="279" w:name="_Hlk10547765" w:displacedByCustomXml="next"/>
        <w:sdt>
          <w:sdtPr>
            <w:rPr>
              <w:color w:val="000000" w:themeColor="text1"/>
              <w:sz w:val="21"/>
              <w:szCs w:val="21"/>
            </w:rPr>
            <w:tag w:val="_PLD_797d39f4d1fd488e93d36af61d0bebfd"/>
            <w:id w:val="1466230300"/>
          </w:sdtPr>
          <w:sdtEndPr/>
          <w:sdtContent>
            <w:tc>
              <w:tcPr>
                <w:tcW w:w="1700" w:type="pct"/>
                <w:shd w:val="clear" w:color="auto" w:fill="auto"/>
                <w:vAlign w:val="center"/>
              </w:tcPr>
              <w:p w14:paraId="7891BAA9" w14:textId="77777777" w:rsidR="002D0AE7" w:rsidRDefault="00333EBB">
                <w:pPr>
                  <w:jc w:val="center"/>
                  <w:rPr>
                    <w:rFonts w:hint="eastAsia"/>
                    <w:color w:val="000000" w:themeColor="text1"/>
                    <w:sz w:val="21"/>
                    <w:szCs w:val="21"/>
                  </w:rPr>
                </w:pPr>
                <w:r>
                  <w:rPr>
                    <w:rFonts w:hint="eastAsia"/>
                    <w:color w:val="000000" w:themeColor="text1"/>
                    <w:sz w:val="21"/>
                    <w:szCs w:val="21"/>
                  </w:rPr>
                  <w:t>款项性质</w:t>
                </w:r>
              </w:p>
            </w:tc>
          </w:sdtContent>
        </w:sdt>
        <w:sdt>
          <w:sdtPr>
            <w:rPr>
              <w:color w:val="000000" w:themeColor="text1"/>
              <w:sz w:val="21"/>
              <w:szCs w:val="21"/>
            </w:rPr>
            <w:tag w:val="_PLD_7853db088d0a4b218482e741ebbac8e0"/>
            <w:id w:val="472487832"/>
          </w:sdtPr>
          <w:sdtEndPr/>
          <w:sdtContent>
            <w:tc>
              <w:tcPr>
                <w:tcW w:w="1647" w:type="pct"/>
                <w:shd w:val="clear" w:color="auto" w:fill="auto"/>
                <w:vAlign w:val="center"/>
              </w:tcPr>
              <w:p w14:paraId="09B2E334" w14:textId="77777777" w:rsidR="002D0AE7" w:rsidRDefault="00333EBB">
                <w:pPr>
                  <w:jc w:val="center"/>
                  <w:rPr>
                    <w:rFonts w:hint="eastAsia"/>
                    <w:color w:val="000000" w:themeColor="text1"/>
                    <w:sz w:val="21"/>
                    <w:szCs w:val="21"/>
                  </w:rPr>
                </w:pPr>
                <w:r>
                  <w:rPr>
                    <w:rFonts w:hint="eastAsia"/>
                    <w:color w:val="000000" w:themeColor="text1"/>
                    <w:sz w:val="21"/>
                    <w:szCs w:val="21"/>
                  </w:rPr>
                  <w:t>期末账面余额</w:t>
                </w:r>
              </w:p>
            </w:tc>
          </w:sdtContent>
        </w:sdt>
        <w:sdt>
          <w:sdtPr>
            <w:rPr>
              <w:color w:val="000000" w:themeColor="text1"/>
              <w:sz w:val="21"/>
              <w:szCs w:val="21"/>
            </w:rPr>
            <w:tag w:val="_PLD_56ab744bffee4ad28664bdf9e16551e2"/>
            <w:id w:val="10655280"/>
          </w:sdtPr>
          <w:sdtEndPr/>
          <w:sdtContent>
            <w:tc>
              <w:tcPr>
                <w:tcW w:w="1653" w:type="pct"/>
                <w:shd w:val="clear" w:color="auto" w:fill="auto"/>
                <w:vAlign w:val="center"/>
              </w:tcPr>
              <w:p w14:paraId="2EC2F478" w14:textId="77777777" w:rsidR="002D0AE7" w:rsidRDefault="00333EBB">
                <w:pPr>
                  <w:jc w:val="center"/>
                  <w:rPr>
                    <w:rFonts w:hint="eastAsia"/>
                    <w:color w:val="000000" w:themeColor="text1"/>
                    <w:sz w:val="21"/>
                    <w:szCs w:val="21"/>
                  </w:rPr>
                </w:pPr>
                <w:r>
                  <w:rPr>
                    <w:rFonts w:hint="eastAsia"/>
                    <w:color w:val="000000" w:themeColor="text1"/>
                    <w:sz w:val="21"/>
                    <w:szCs w:val="21"/>
                  </w:rPr>
                  <w:t>期初账面余额</w:t>
                </w:r>
              </w:p>
            </w:tc>
          </w:sdtContent>
        </w:sdt>
      </w:tr>
      <w:tr w:rsidR="002D0AE7" w14:paraId="13230227" w14:textId="77777777">
        <w:tc>
          <w:tcPr>
            <w:tcW w:w="1700" w:type="pct"/>
            <w:shd w:val="clear" w:color="auto" w:fill="auto"/>
          </w:tcPr>
          <w:p w14:paraId="37E2A2FE" w14:textId="77777777" w:rsidR="002D0AE7" w:rsidRDefault="00333EBB">
            <w:pPr>
              <w:rPr>
                <w:rFonts w:hint="eastAsia"/>
                <w:sz w:val="21"/>
                <w:szCs w:val="21"/>
                <w:highlight w:val="yellow"/>
              </w:rPr>
            </w:pPr>
            <w:r>
              <w:rPr>
                <w:sz w:val="21"/>
                <w:szCs w:val="21"/>
              </w:rPr>
              <w:lastRenderedPageBreak/>
              <w:t>租押金款</w:t>
            </w:r>
          </w:p>
        </w:tc>
        <w:tc>
          <w:tcPr>
            <w:tcW w:w="1647" w:type="pct"/>
            <w:shd w:val="clear" w:color="auto" w:fill="auto"/>
          </w:tcPr>
          <w:p w14:paraId="0C93B40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57,300.00</w:t>
            </w:r>
          </w:p>
        </w:tc>
        <w:tc>
          <w:tcPr>
            <w:tcW w:w="1653" w:type="pct"/>
            <w:shd w:val="clear" w:color="auto" w:fill="auto"/>
            <w:vAlign w:val="center"/>
          </w:tcPr>
          <w:p w14:paraId="196D5A0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150,800.00</w:t>
            </w:r>
          </w:p>
        </w:tc>
      </w:tr>
      <w:tr w:rsidR="002D0AE7" w14:paraId="163C5DDF" w14:textId="77777777">
        <w:tc>
          <w:tcPr>
            <w:tcW w:w="1700" w:type="pct"/>
            <w:shd w:val="clear" w:color="auto" w:fill="auto"/>
          </w:tcPr>
          <w:p w14:paraId="41165C92" w14:textId="77777777" w:rsidR="002D0AE7" w:rsidRDefault="00333EBB">
            <w:pPr>
              <w:rPr>
                <w:rFonts w:hint="eastAsia"/>
                <w:sz w:val="21"/>
                <w:szCs w:val="21"/>
                <w:highlight w:val="yellow"/>
              </w:rPr>
            </w:pPr>
            <w:r>
              <w:rPr>
                <w:sz w:val="21"/>
                <w:szCs w:val="21"/>
              </w:rPr>
              <w:t>单位往来款</w:t>
            </w:r>
          </w:p>
        </w:tc>
        <w:tc>
          <w:tcPr>
            <w:tcW w:w="1647" w:type="pct"/>
            <w:shd w:val="clear" w:color="auto" w:fill="auto"/>
          </w:tcPr>
          <w:p w14:paraId="11EA350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0.01</w:t>
            </w:r>
          </w:p>
        </w:tc>
        <w:tc>
          <w:tcPr>
            <w:tcW w:w="1653" w:type="pct"/>
            <w:shd w:val="clear" w:color="auto" w:fill="auto"/>
            <w:vAlign w:val="center"/>
          </w:tcPr>
          <w:p w14:paraId="61019EF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087E816A" w14:textId="77777777">
        <w:tc>
          <w:tcPr>
            <w:tcW w:w="1700" w:type="pct"/>
            <w:shd w:val="clear" w:color="auto" w:fill="auto"/>
          </w:tcPr>
          <w:p w14:paraId="24E9FC52" w14:textId="77777777" w:rsidR="002D0AE7" w:rsidRDefault="00333EBB">
            <w:pPr>
              <w:rPr>
                <w:rFonts w:hint="eastAsia"/>
                <w:sz w:val="21"/>
                <w:szCs w:val="21"/>
                <w:highlight w:val="yellow"/>
              </w:rPr>
            </w:pPr>
            <w:r>
              <w:rPr>
                <w:sz w:val="21"/>
                <w:szCs w:val="21"/>
              </w:rPr>
              <w:t>混改预留费</w:t>
            </w:r>
          </w:p>
        </w:tc>
        <w:tc>
          <w:tcPr>
            <w:tcW w:w="1647" w:type="pct"/>
            <w:shd w:val="clear" w:color="auto" w:fill="auto"/>
          </w:tcPr>
          <w:p w14:paraId="3F81942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141,660.08</w:t>
            </w:r>
          </w:p>
        </w:tc>
        <w:tc>
          <w:tcPr>
            <w:tcW w:w="1653" w:type="pct"/>
            <w:shd w:val="clear" w:color="auto" w:fill="auto"/>
            <w:vAlign w:val="center"/>
          </w:tcPr>
          <w:p w14:paraId="691C949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15,150.00</w:t>
            </w:r>
          </w:p>
        </w:tc>
      </w:tr>
      <w:tr w:rsidR="002D0AE7" w14:paraId="56158649" w14:textId="77777777">
        <w:tc>
          <w:tcPr>
            <w:tcW w:w="1700" w:type="pct"/>
            <w:shd w:val="clear" w:color="auto" w:fill="auto"/>
          </w:tcPr>
          <w:p w14:paraId="78377754" w14:textId="77777777" w:rsidR="002D0AE7" w:rsidRDefault="00333EBB">
            <w:pPr>
              <w:rPr>
                <w:rFonts w:hint="eastAsia"/>
                <w:sz w:val="21"/>
                <w:szCs w:val="21"/>
                <w:highlight w:val="yellow"/>
              </w:rPr>
            </w:pPr>
            <w:r>
              <w:rPr>
                <w:sz w:val="21"/>
                <w:szCs w:val="21"/>
              </w:rPr>
              <w:t>其他</w:t>
            </w:r>
          </w:p>
        </w:tc>
        <w:tc>
          <w:tcPr>
            <w:tcW w:w="1647" w:type="pct"/>
            <w:shd w:val="clear" w:color="auto" w:fill="auto"/>
          </w:tcPr>
          <w:p w14:paraId="02E9B7B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63,812.36</w:t>
            </w:r>
          </w:p>
        </w:tc>
        <w:tc>
          <w:tcPr>
            <w:tcW w:w="1653" w:type="pct"/>
            <w:shd w:val="clear" w:color="auto" w:fill="auto"/>
            <w:vAlign w:val="center"/>
          </w:tcPr>
          <w:p w14:paraId="5B39DE6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9,275.05</w:t>
            </w:r>
          </w:p>
        </w:tc>
      </w:tr>
      <w:tr w:rsidR="002D0AE7" w14:paraId="2309BC05" w14:textId="77777777">
        <w:tc>
          <w:tcPr>
            <w:tcW w:w="1700" w:type="pct"/>
            <w:shd w:val="clear" w:color="auto" w:fill="auto"/>
          </w:tcPr>
          <w:p w14:paraId="12CD74D7" w14:textId="77777777" w:rsidR="002D0AE7" w:rsidRDefault="00333EBB">
            <w:pPr>
              <w:jc w:val="center"/>
              <w:rPr>
                <w:rFonts w:hint="eastAsia"/>
                <w:color w:val="000000" w:themeColor="text1"/>
                <w:sz w:val="21"/>
                <w:szCs w:val="21"/>
              </w:rPr>
            </w:pPr>
            <w:r>
              <w:rPr>
                <w:color w:val="000000" w:themeColor="text1"/>
                <w:sz w:val="21"/>
                <w:szCs w:val="21"/>
              </w:rPr>
              <w:t>合计</w:t>
            </w:r>
          </w:p>
        </w:tc>
        <w:tc>
          <w:tcPr>
            <w:tcW w:w="1647" w:type="pct"/>
            <w:shd w:val="clear" w:color="auto" w:fill="auto"/>
          </w:tcPr>
          <w:p w14:paraId="6F08192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262,772.45</w:t>
            </w:r>
          </w:p>
        </w:tc>
        <w:tc>
          <w:tcPr>
            <w:tcW w:w="1653" w:type="pct"/>
            <w:shd w:val="clear" w:color="auto" w:fill="auto"/>
            <w:vAlign w:val="center"/>
          </w:tcPr>
          <w:p w14:paraId="24BA884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175,225.05</w:t>
            </w:r>
          </w:p>
        </w:tc>
      </w:tr>
    </w:tbl>
    <w:p w14:paraId="477ECB35" w14:textId="77777777" w:rsidR="002D0AE7" w:rsidRDefault="00333EBB">
      <w:pPr>
        <w:pStyle w:val="5"/>
        <w:numPr>
          <w:ilvl w:val="0"/>
          <w:numId w:val="94"/>
        </w:numPr>
        <w:ind w:left="425" w:hanging="425"/>
        <w:rPr>
          <w:rFonts w:asciiTheme="minorHAnsi" w:hAnsiTheme="minorHAnsi" w:cs="宋体"/>
          <w:color w:val="000000" w:themeColor="text1"/>
          <w:kern w:val="0"/>
          <w:szCs w:val="22"/>
        </w:rPr>
      </w:pPr>
      <w:r>
        <w:rPr>
          <w:rFonts w:asciiTheme="minorHAnsi" w:hAnsiTheme="minorHAnsi" w:cs="宋体" w:hint="eastAsia"/>
          <w:color w:val="000000" w:themeColor="text1"/>
          <w:kern w:val="0"/>
          <w:szCs w:val="22"/>
        </w:rPr>
        <w:t>坏账准备计提情况</w:t>
      </w:r>
    </w:p>
    <w:sdt>
      <w:sdtPr>
        <w:rPr>
          <w:color w:val="000000" w:themeColor="text1"/>
        </w:rPr>
        <w:alias w:val="是否适用：母公司其他应收款坏账准备调节表[双击切换]"/>
        <w:tag w:val="_GBC_550996ad46c8493eb98c011d7acf7dfb"/>
        <w:id w:val="-52702376"/>
        <w:placeholder>
          <w:docPart w:val="GBC22222222222222222222222222222"/>
        </w:placeholder>
      </w:sdtPr>
      <w:sdtEndPr/>
      <w:sdtContent>
        <w:p w14:paraId="66467D5A"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3943E260" w14:textId="77777777" w:rsidR="002D0AE7" w:rsidRDefault="00333EBB">
      <w:pPr>
        <w:autoSpaceDE w:val="0"/>
        <w:autoSpaceDN w:val="0"/>
        <w:adjustRightInd w:val="0"/>
        <w:ind w:rightChars="50" w:right="120"/>
        <w:jc w:val="right"/>
        <w:rPr>
          <w:rFonts w:hint="eastAsia"/>
          <w:color w:val="000000" w:themeColor="text1"/>
        </w:rPr>
      </w:pPr>
      <w:r>
        <w:rPr>
          <w:rFonts w:hint="eastAsia"/>
          <w:color w:val="000000" w:themeColor="text1"/>
        </w:rPr>
        <w:t>单位：</w:t>
      </w:r>
      <w:sdt>
        <w:sdtPr>
          <w:rPr>
            <w:rFonts w:hint="eastAsia"/>
            <w:color w:val="000000" w:themeColor="text1"/>
          </w:rPr>
          <w:alias w:val="单位：母公司其他应收款坏账准备调节表"/>
          <w:tag w:val="_GBC_10c7491cbac54cf6a1a375367db16baf"/>
          <w:id w:val="98181395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母公司其他应收款坏账准备调节表"/>
          <w:tag w:val="_GBC_01762fded69841c1b87d684f3bcfb97f"/>
          <w:id w:val="-206508825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4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1415"/>
        <w:gridCol w:w="1843"/>
        <w:gridCol w:w="1847"/>
        <w:gridCol w:w="1311"/>
      </w:tblGrid>
      <w:tr w:rsidR="002D0AE7" w14:paraId="1486B4DB" w14:textId="77777777">
        <w:trPr>
          <w:jc w:val="center"/>
        </w:trPr>
        <w:sdt>
          <w:sdtPr>
            <w:rPr>
              <w:rFonts w:ascii="宋体" w:hAnsi="宋体"/>
              <w:color w:val="000000" w:themeColor="text1"/>
              <w:sz w:val="21"/>
              <w:szCs w:val="21"/>
            </w:rPr>
            <w:tag w:val="_PLD_a620ef8c0fe0407b955c4f58530e0b21"/>
            <w:id w:val="1237134816"/>
          </w:sdtPr>
          <w:sdtEndPr/>
          <w:sdtContent>
            <w:tc>
              <w:tcPr>
                <w:tcW w:w="1686" w:type="pct"/>
                <w:vMerge w:val="restart"/>
                <w:vAlign w:val="center"/>
              </w:tcPr>
              <w:p w14:paraId="7C50604D" w14:textId="77777777" w:rsidR="002D0AE7" w:rsidRDefault="00333EBB">
                <w:pPr>
                  <w:pStyle w:val="14"/>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坏账准备</w:t>
                </w:r>
              </w:p>
            </w:tc>
          </w:sdtContent>
        </w:sdt>
        <w:sdt>
          <w:sdtPr>
            <w:rPr>
              <w:rFonts w:ascii="宋体" w:hAnsi="宋体"/>
              <w:color w:val="000000" w:themeColor="text1"/>
              <w:sz w:val="21"/>
              <w:szCs w:val="21"/>
            </w:rPr>
            <w:tag w:val="_PLD_8699e9827a744831bf2fdadfa1ac52e1"/>
            <w:id w:val="916292676"/>
          </w:sdtPr>
          <w:sdtEndPr/>
          <w:sdtContent>
            <w:tc>
              <w:tcPr>
                <w:tcW w:w="731" w:type="pct"/>
                <w:vAlign w:val="center"/>
              </w:tcPr>
              <w:p w14:paraId="328B6B9A" w14:textId="77777777" w:rsidR="002D0AE7" w:rsidRDefault="00333EBB">
                <w:pPr>
                  <w:pStyle w:val="14"/>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第一阶段</w:t>
                </w:r>
              </w:p>
            </w:tc>
          </w:sdtContent>
        </w:sdt>
        <w:sdt>
          <w:sdtPr>
            <w:rPr>
              <w:rFonts w:ascii="宋体" w:hAnsi="宋体"/>
              <w:color w:val="000000" w:themeColor="text1"/>
              <w:sz w:val="21"/>
              <w:szCs w:val="21"/>
            </w:rPr>
            <w:tag w:val="_PLD_d2f5c6d4cf0d4a86b39dc41f67fe87db"/>
            <w:id w:val="1948111504"/>
          </w:sdtPr>
          <w:sdtEndPr/>
          <w:sdtContent>
            <w:tc>
              <w:tcPr>
                <w:tcW w:w="952" w:type="pct"/>
              </w:tcPr>
              <w:p w14:paraId="29ABAFB7" w14:textId="77777777" w:rsidR="002D0AE7" w:rsidRDefault="00333EBB">
                <w:pPr>
                  <w:pStyle w:val="14"/>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第二阶段</w:t>
                </w:r>
              </w:p>
            </w:tc>
          </w:sdtContent>
        </w:sdt>
        <w:sdt>
          <w:sdtPr>
            <w:rPr>
              <w:rFonts w:ascii="宋体" w:hAnsi="宋体"/>
              <w:color w:val="000000" w:themeColor="text1"/>
              <w:sz w:val="21"/>
              <w:szCs w:val="21"/>
            </w:rPr>
            <w:tag w:val="_PLD_a09c7daba8c14a6498c7b83b77c97c72"/>
            <w:id w:val="1028300619"/>
          </w:sdtPr>
          <w:sdtEndPr/>
          <w:sdtContent>
            <w:tc>
              <w:tcPr>
                <w:tcW w:w="954" w:type="pct"/>
              </w:tcPr>
              <w:p w14:paraId="3A80BEDF" w14:textId="77777777" w:rsidR="002D0AE7" w:rsidRDefault="00333EBB">
                <w:pPr>
                  <w:pStyle w:val="14"/>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第三阶段</w:t>
                </w:r>
              </w:p>
            </w:tc>
          </w:sdtContent>
        </w:sdt>
        <w:sdt>
          <w:sdtPr>
            <w:rPr>
              <w:rFonts w:ascii="宋体" w:hAnsi="宋体"/>
              <w:color w:val="000000" w:themeColor="text1"/>
              <w:sz w:val="21"/>
              <w:szCs w:val="21"/>
            </w:rPr>
            <w:tag w:val="_PLD_1ec064a14a75404dac24adc5e6ddd253"/>
            <w:id w:val="1588959484"/>
          </w:sdtPr>
          <w:sdtEndPr/>
          <w:sdtContent>
            <w:tc>
              <w:tcPr>
                <w:tcW w:w="678" w:type="pct"/>
                <w:vMerge w:val="restart"/>
                <w:vAlign w:val="center"/>
              </w:tcPr>
              <w:p w14:paraId="78273E1C" w14:textId="77777777" w:rsidR="002D0AE7" w:rsidRDefault="00333EBB">
                <w:pPr>
                  <w:pStyle w:val="14"/>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合计</w:t>
                </w:r>
              </w:p>
            </w:tc>
          </w:sdtContent>
        </w:sdt>
      </w:tr>
      <w:tr w:rsidR="002D0AE7" w14:paraId="53D9C25C" w14:textId="77777777">
        <w:trPr>
          <w:jc w:val="center"/>
        </w:trPr>
        <w:tc>
          <w:tcPr>
            <w:tcW w:w="1686" w:type="pct"/>
            <w:vMerge/>
            <w:vAlign w:val="center"/>
          </w:tcPr>
          <w:p w14:paraId="0ED4F2A1" w14:textId="77777777" w:rsidR="002D0AE7" w:rsidRDefault="002D0AE7">
            <w:pPr>
              <w:jc w:val="center"/>
              <w:rPr>
                <w:rFonts w:hint="eastAsia"/>
                <w:color w:val="000000" w:themeColor="text1"/>
                <w:sz w:val="21"/>
                <w:szCs w:val="21"/>
              </w:rPr>
            </w:pPr>
          </w:p>
        </w:tc>
        <w:sdt>
          <w:sdtPr>
            <w:rPr>
              <w:rFonts w:ascii="宋体" w:hAnsi="宋体"/>
              <w:color w:val="000000" w:themeColor="text1"/>
              <w:sz w:val="21"/>
              <w:szCs w:val="21"/>
            </w:rPr>
            <w:tag w:val="_PLD_506da2a2f1db4ead819aa958edd702e2"/>
            <w:id w:val="1432472407"/>
          </w:sdtPr>
          <w:sdtEndPr/>
          <w:sdtContent>
            <w:tc>
              <w:tcPr>
                <w:tcW w:w="731" w:type="pct"/>
                <w:vAlign w:val="center"/>
              </w:tcPr>
              <w:p w14:paraId="1A6CBF64" w14:textId="77777777" w:rsidR="002D0AE7" w:rsidRDefault="00333EBB">
                <w:pPr>
                  <w:pStyle w:val="14"/>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未来</w:t>
                </w:r>
                <w:r>
                  <w:rPr>
                    <w:rFonts w:ascii="宋体" w:hAnsi="宋体" w:cs="宋体" w:hint="eastAsia"/>
                    <w:color w:val="000000" w:themeColor="text1"/>
                    <w:sz w:val="21"/>
                    <w:szCs w:val="21"/>
                  </w:rPr>
                  <w:t>12</w:t>
                </w:r>
                <w:r>
                  <w:rPr>
                    <w:rFonts w:ascii="宋体" w:hAnsi="宋体" w:cs="宋体" w:hint="eastAsia"/>
                    <w:color w:val="000000" w:themeColor="text1"/>
                    <w:sz w:val="21"/>
                    <w:szCs w:val="21"/>
                  </w:rPr>
                  <w:t>个月预期信用损失</w:t>
                </w:r>
              </w:p>
            </w:tc>
          </w:sdtContent>
        </w:sdt>
        <w:sdt>
          <w:sdtPr>
            <w:rPr>
              <w:rFonts w:ascii="宋体" w:hAnsi="宋体"/>
              <w:color w:val="000000" w:themeColor="text1"/>
              <w:sz w:val="21"/>
              <w:szCs w:val="21"/>
            </w:rPr>
            <w:tag w:val="_PLD_23a6590eef0649d4af75d4845c12f263"/>
            <w:id w:val="693956618"/>
          </w:sdtPr>
          <w:sdtEndPr/>
          <w:sdtContent>
            <w:tc>
              <w:tcPr>
                <w:tcW w:w="952" w:type="pct"/>
                <w:vAlign w:val="center"/>
              </w:tcPr>
              <w:p w14:paraId="58F71BF2" w14:textId="77777777" w:rsidR="002D0AE7" w:rsidRDefault="00333EBB">
                <w:pPr>
                  <w:pStyle w:val="14"/>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整个存续期预期信用损失</w:t>
                </w:r>
                <w:r>
                  <w:rPr>
                    <w:rFonts w:ascii="宋体" w:hAnsi="宋体" w:cs="宋体" w:hint="eastAsia"/>
                    <w:color w:val="000000" w:themeColor="text1"/>
                    <w:sz w:val="21"/>
                    <w:szCs w:val="21"/>
                  </w:rPr>
                  <w:t>(</w:t>
                </w:r>
                <w:r>
                  <w:rPr>
                    <w:rFonts w:ascii="宋体" w:hAnsi="宋体" w:cs="宋体" w:hint="eastAsia"/>
                    <w:color w:val="000000" w:themeColor="text1"/>
                    <w:sz w:val="21"/>
                    <w:szCs w:val="21"/>
                  </w:rPr>
                  <w:t>未发生信用减值</w:t>
                </w:r>
                <w:r>
                  <w:rPr>
                    <w:rFonts w:ascii="宋体" w:hAnsi="宋体" w:cs="宋体" w:hint="eastAsia"/>
                    <w:color w:val="000000" w:themeColor="text1"/>
                    <w:sz w:val="21"/>
                    <w:szCs w:val="21"/>
                  </w:rPr>
                  <w:t>)</w:t>
                </w:r>
              </w:p>
            </w:tc>
          </w:sdtContent>
        </w:sdt>
        <w:sdt>
          <w:sdtPr>
            <w:rPr>
              <w:rFonts w:ascii="宋体" w:hAnsi="宋体"/>
              <w:color w:val="000000" w:themeColor="text1"/>
              <w:sz w:val="21"/>
              <w:szCs w:val="21"/>
            </w:rPr>
            <w:tag w:val="_PLD_44518f4265ac43078f96c79efe9dd487"/>
            <w:id w:val="566309881"/>
          </w:sdtPr>
          <w:sdtEndPr/>
          <w:sdtContent>
            <w:tc>
              <w:tcPr>
                <w:tcW w:w="954" w:type="pct"/>
                <w:vAlign w:val="center"/>
              </w:tcPr>
              <w:p w14:paraId="1AF7EABC" w14:textId="77777777" w:rsidR="002D0AE7" w:rsidRDefault="00333EBB">
                <w:pPr>
                  <w:pStyle w:val="14"/>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整个存续期预期信用损失</w:t>
                </w:r>
                <w:r>
                  <w:rPr>
                    <w:rFonts w:ascii="宋体" w:hAnsi="宋体" w:cs="宋体" w:hint="eastAsia"/>
                    <w:color w:val="000000" w:themeColor="text1"/>
                    <w:sz w:val="21"/>
                    <w:szCs w:val="21"/>
                  </w:rPr>
                  <w:t>(</w:t>
                </w:r>
                <w:r>
                  <w:rPr>
                    <w:rFonts w:ascii="宋体" w:hAnsi="宋体" w:cs="宋体" w:hint="eastAsia"/>
                    <w:color w:val="000000" w:themeColor="text1"/>
                    <w:sz w:val="21"/>
                    <w:szCs w:val="21"/>
                  </w:rPr>
                  <w:t>已发生信用减值</w:t>
                </w:r>
                <w:r>
                  <w:rPr>
                    <w:rFonts w:ascii="宋体" w:hAnsi="宋体" w:cs="宋体" w:hint="eastAsia"/>
                    <w:color w:val="000000" w:themeColor="text1"/>
                    <w:sz w:val="21"/>
                    <w:szCs w:val="21"/>
                  </w:rPr>
                  <w:t>)</w:t>
                </w:r>
              </w:p>
            </w:tc>
          </w:sdtContent>
        </w:sdt>
        <w:tc>
          <w:tcPr>
            <w:tcW w:w="678" w:type="pct"/>
            <w:vMerge/>
          </w:tcPr>
          <w:p w14:paraId="33F4DD47" w14:textId="77777777" w:rsidR="002D0AE7" w:rsidRDefault="002D0AE7">
            <w:pPr>
              <w:jc w:val="center"/>
              <w:rPr>
                <w:rFonts w:hint="eastAsia"/>
                <w:color w:val="000000" w:themeColor="text1"/>
                <w:sz w:val="21"/>
                <w:szCs w:val="21"/>
              </w:rPr>
            </w:pPr>
          </w:p>
        </w:tc>
      </w:tr>
      <w:tr w:rsidR="002D0AE7" w14:paraId="30064543" w14:textId="77777777">
        <w:trPr>
          <w:jc w:val="center"/>
        </w:trPr>
        <w:tc>
          <w:tcPr>
            <w:tcW w:w="1686" w:type="pct"/>
            <w:vAlign w:val="center"/>
          </w:tcPr>
          <w:p w14:paraId="64022DE5" w14:textId="77777777" w:rsidR="002D0AE7" w:rsidRDefault="00333EBB">
            <w:pPr>
              <w:pStyle w:val="14"/>
              <w:rPr>
                <w:rFonts w:ascii="宋体" w:hAnsi="宋体" w:cs="宋体" w:hint="eastAsia"/>
                <w:color w:val="000000" w:themeColor="text1"/>
                <w:sz w:val="21"/>
                <w:szCs w:val="21"/>
              </w:rPr>
            </w:pPr>
            <w:r>
              <w:rPr>
                <w:rFonts w:ascii="宋体" w:hAnsi="宋体" w:cs="宋体"/>
                <w:color w:val="000000" w:themeColor="text1"/>
                <w:sz w:val="21"/>
                <w:szCs w:val="21"/>
              </w:rPr>
              <w:t>2024</w:t>
            </w:r>
            <w:r>
              <w:rPr>
                <w:rFonts w:ascii="宋体" w:hAnsi="宋体" w:cs="宋体"/>
                <w:color w:val="000000" w:themeColor="text1"/>
                <w:sz w:val="21"/>
                <w:szCs w:val="21"/>
              </w:rPr>
              <w:t>年</w:t>
            </w:r>
            <w:r>
              <w:rPr>
                <w:rFonts w:ascii="宋体" w:hAnsi="宋体" w:cs="宋体" w:hint="eastAsia"/>
                <w:color w:val="000000" w:themeColor="text1"/>
                <w:sz w:val="21"/>
                <w:szCs w:val="21"/>
              </w:rPr>
              <w:t>1</w:t>
            </w:r>
            <w:r>
              <w:rPr>
                <w:rFonts w:ascii="宋体" w:hAnsi="宋体" w:cs="宋体" w:hint="eastAsia"/>
                <w:color w:val="000000" w:themeColor="text1"/>
                <w:sz w:val="21"/>
                <w:szCs w:val="21"/>
              </w:rPr>
              <w:t>月</w:t>
            </w:r>
            <w:r>
              <w:rPr>
                <w:rFonts w:ascii="宋体" w:hAnsi="宋体" w:cs="宋体" w:hint="eastAsia"/>
                <w:color w:val="000000" w:themeColor="text1"/>
                <w:sz w:val="21"/>
                <w:szCs w:val="21"/>
              </w:rPr>
              <w:t>1</w:t>
            </w:r>
            <w:r>
              <w:rPr>
                <w:rFonts w:ascii="宋体" w:hAnsi="宋体" w:cs="宋体" w:hint="eastAsia"/>
                <w:color w:val="000000" w:themeColor="text1"/>
                <w:sz w:val="21"/>
                <w:szCs w:val="21"/>
              </w:rPr>
              <w:t>日余额</w:t>
            </w:r>
          </w:p>
        </w:tc>
        <w:tc>
          <w:tcPr>
            <w:tcW w:w="731" w:type="pct"/>
            <w:vAlign w:val="center"/>
          </w:tcPr>
          <w:p w14:paraId="42A7884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52" w:type="pct"/>
            <w:vAlign w:val="center"/>
          </w:tcPr>
          <w:p w14:paraId="3024D13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2,359.00</w:t>
            </w:r>
          </w:p>
        </w:tc>
        <w:tc>
          <w:tcPr>
            <w:tcW w:w="954" w:type="pct"/>
            <w:vAlign w:val="center"/>
          </w:tcPr>
          <w:p w14:paraId="0F7AB2E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78" w:type="pct"/>
            <w:vAlign w:val="center"/>
          </w:tcPr>
          <w:p w14:paraId="712EEB5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2,359.00</w:t>
            </w:r>
          </w:p>
        </w:tc>
      </w:tr>
      <w:tr w:rsidR="002D0AE7" w14:paraId="13737BF4" w14:textId="77777777">
        <w:trPr>
          <w:jc w:val="center"/>
        </w:trPr>
        <w:tc>
          <w:tcPr>
            <w:tcW w:w="1686" w:type="pct"/>
            <w:vAlign w:val="center"/>
          </w:tcPr>
          <w:p w14:paraId="7B9BF613" w14:textId="77777777" w:rsidR="002D0AE7" w:rsidRDefault="00333EBB">
            <w:pPr>
              <w:pStyle w:val="14"/>
              <w:rPr>
                <w:rFonts w:ascii="宋体" w:hAnsi="宋体" w:cs="宋体" w:hint="eastAsia"/>
                <w:color w:val="000000" w:themeColor="text1"/>
                <w:sz w:val="21"/>
                <w:szCs w:val="21"/>
              </w:rPr>
            </w:pPr>
            <w:r>
              <w:rPr>
                <w:rFonts w:ascii="宋体" w:hAnsi="宋体" w:cs="宋体" w:hint="eastAsia"/>
                <w:color w:val="000000" w:themeColor="text1"/>
                <w:sz w:val="21"/>
                <w:szCs w:val="21"/>
              </w:rPr>
              <w:t>2024</w:t>
            </w:r>
            <w:r>
              <w:rPr>
                <w:rFonts w:ascii="宋体" w:hAnsi="宋体" w:cs="宋体" w:hint="eastAsia"/>
                <w:color w:val="000000" w:themeColor="text1"/>
                <w:sz w:val="21"/>
                <w:szCs w:val="21"/>
              </w:rPr>
              <w:t>年</w:t>
            </w:r>
            <w:r>
              <w:rPr>
                <w:rFonts w:ascii="宋体" w:hAnsi="宋体" w:cs="宋体" w:hint="eastAsia"/>
                <w:color w:val="000000" w:themeColor="text1"/>
                <w:sz w:val="21"/>
                <w:szCs w:val="21"/>
              </w:rPr>
              <w:t>1</w:t>
            </w:r>
            <w:r>
              <w:rPr>
                <w:rFonts w:ascii="宋体" w:hAnsi="宋体" w:cs="宋体" w:hint="eastAsia"/>
                <w:color w:val="000000" w:themeColor="text1"/>
                <w:sz w:val="21"/>
                <w:szCs w:val="21"/>
              </w:rPr>
              <w:t>月</w:t>
            </w:r>
            <w:r>
              <w:rPr>
                <w:rFonts w:ascii="宋体" w:hAnsi="宋体" w:cs="宋体" w:hint="eastAsia"/>
                <w:color w:val="000000" w:themeColor="text1"/>
                <w:sz w:val="21"/>
                <w:szCs w:val="21"/>
              </w:rPr>
              <w:t>1</w:t>
            </w:r>
            <w:r>
              <w:rPr>
                <w:rFonts w:ascii="宋体" w:hAnsi="宋体" w:cs="宋体" w:hint="eastAsia"/>
                <w:color w:val="000000" w:themeColor="text1"/>
                <w:sz w:val="21"/>
                <w:szCs w:val="21"/>
              </w:rPr>
              <w:t>日余额在本期</w:t>
            </w:r>
          </w:p>
        </w:tc>
        <w:tc>
          <w:tcPr>
            <w:tcW w:w="731" w:type="pct"/>
            <w:vAlign w:val="center"/>
          </w:tcPr>
          <w:p w14:paraId="293C35D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52" w:type="pct"/>
            <w:vAlign w:val="center"/>
          </w:tcPr>
          <w:p w14:paraId="05E9FAD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54" w:type="pct"/>
            <w:vAlign w:val="center"/>
          </w:tcPr>
          <w:p w14:paraId="7C4877A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78" w:type="pct"/>
            <w:vAlign w:val="center"/>
          </w:tcPr>
          <w:p w14:paraId="0323E77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0EF23C32" w14:textId="77777777">
        <w:trPr>
          <w:jc w:val="center"/>
        </w:trPr>
        <w:tc>
          <w:tcPr>
            <w:tcW w:w="1686" w:type="pct"/>
            <w:vAlign w:val="center"/>
          </w:tcPr>
          <w:p w14:paraId="5066EA34" w14:textId="77777777" w:rsidR="002D0AE7" w:rsidRDefault="00333EBB">
            <w:pPr>
              <w:pStyle w:val="14"/>
              <w:rPr>
                <w:rFonts w:ascii="宋体" w:hAnsi="宋体" w:cs="宋体" w:hint="eastAsia"/>
                <w:color w:val="000000" w:themeColor="text1"/>
                <w:sz w:val="21"/>
                <w:szCs w:val="21"/>
              </w:rPr>
            </w:pPr>
            <w:r>
              <w:rPr>
                <w:rFonts w:ascii="宋体" w:hAnsi="宋体" w:cs="宋体" w:hint="eastAsia"/>
                <w:color w:val="000000" w:themeColor="text1"/>
                <w:sz w:val="21"/>
                <w:szCs w:val="21"/>
              </w:rPr>
              <w:t>--</w:t>
            </w:r>
            <w:r>
              <w:rPr>
                <w:rFonts w:ascii="宋体" w:hAnsi="宋体" w:cs="宋体" w:hint="eastAsia"/>
                <w:color w:val="000000" w:themeColor="text1"/>
                <w:sz w:val="21"/>
                <w:szCs w:val="21"/>
              </w:rPr>
              <w:t>转入第二阶段</w:t>
            </w:r>
          </w:p>
        </w:tc>
        <w:tc>
          <w:tcPr>
            <w:tcW w:w="731" w:type="pct"/>
            <w:vAlign w:val="center"/>
          </w:tcPr>
          <w:p w14:paraId="17339DF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52" w:type="pct"/>
            <w:vAlign w:val="center"/>
          </w:tcPr>
          <w:p w14:paraId="323FD4B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54" w:type="pct"/>
            <w:vAlign w:val="center"/>
          </w:tcPr>
          <w:p w14:paraId="55D11F7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78" w:type="pct"/>
            <w:vAlign w:val="center"/>
          </w:tcPr>
          <w:p w14:paraId="52B1ED8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29A680D2" w14:textId="77777777">
        <w:trPr>
          <w:jc w:val="center"/>
        </w:trPr>
        <w:tc>
          <w:tcPr>
            <w:tcW w:w="1686" w:type="pct"/>
            <w:vAlign w:val="center"/>
          </w:tcPr>
          <w:p w14:paraId="7DFC1012" w14:textId="77777777" w:rsidR="002D0AE7" w:rsidRDefault="00333EBB">
            <w:pPr>
              <w:pStyle w:val="14"/>
              <w:rPr>
                <w:rFonts w:ascii="宋体" w:hAnsi="宋体" w:cs="宋体" w:hint="eastAsia"/>
                <w:color w:val="000000" w:themeColor="text1"/>
                <w:sz w:val="21"/>
                <w:szCs w:val="21"/>
              </w:rPr>
            </w:pPr>
            <w:r>
              <w:rPr>
                <w:rFonts w:ascii="宋体" w:hAnsi="宋体" w:cs="宋体" w:hint="eastAsia"/>
                <w:color w:val="000000" w:themeColor="text1"/>
                <w:sz w:val="21"/>
                <w:szCs w:val="21"/>
              </w:rPr>
              <w:t>--</w:t>
            </w:r>
            <w:r>
              <w:rPr>
                <w:rFonts w:ascii="宋体" w:hAnsi="宋体" w:cs="宋体" w:hint="eastAsia"/>
                <w:color w:val="000000" w:themeColor="text1"/>
                <w:sz w:val="21"/>
                <w:szCs w:val="21"/>
              </w:rPr>
              <w:t>转入第三阶段</w:t>
            </w:r>
          </w:p>
        </w:tc>
        <w:tc>
          <w:tcPr>
            <w:tcW w:w="731" w:type="pct"/>
            <w:vAlign w:val="center"/>
          </w:tcPr>
          <w:p w14:paraId="4A016E6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52" w:type="pct"/>
            <w:vAlign w:val="center"/>
          </w:tcPr>
          <w:p w14:paraId="33F687B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54" w:type="pct"/>
            <w:vAlign w:val="center"/>
          </w:tcPr>
          <w:p w14:paraId="13C261B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78" w:type="pct"/>
            <w:vAlign w:val="center"/>
          </w:tcPr>
          <w:p w14:paraId="232A525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2069AC96" w14:textId="77777777">
        <w:trPr>
          <w:jc w:val="center"/>
        </w:trPr>
        <w:tc>
          <w:tcPr>
            <w:tcW w:w="1686" w:type="pct"/>
            <w:vAlign w:val="center"/>
          </w:tcPr>
          <w:p w14:paraId="73A8B341" w14:textId="77777777" w:rsidR="002D0AE7" w:rsidRDefault="00333EBB">
            <w:pPr>
              <w:pStyle w:val="14"/>
              <w:rPr>
                <w:rFonts w:ascii="宋体" w:hAnsi="宋体" w:cs="宋体" w:hint="eastAsia"/>
                <w:color w:val="000000" w:themeColor="text1"/>
                <w:sz w:val="21"/>
                <w:szCs w:val="21"/>
              </w:rPr>
            </w:pPr>
            <w:r>
              <w:rPr>
                <w:rFonts w:ascii="宋体" w:hAnsi="宋体" w:cs="宋体" w:hint="eastAsia"/>
                <w:color w:val="000000" w:themeColor="text1"/>
                <w:sz w:val="21"/>
                <w:szCs w:val="21"/>
              </w:rPr>
              <w:t>--</w:t>
            </w:r>
            <w:r>
              <w:rPr>
                <w:rFonts w:ascii="宋体" w:hAnsi="宋体" w:cs="宋体" w:hint="eastAsia"/>
                <w:color w:val="000000" w:themeColor="text1"/>
                <w:sz w:val="21"/>
                <w:szCs w:val="21"/>
              </w:rPr>
              <w:t>转回第二阶段</w:t>
            </w:r>
          </w:p>
        </w:tc>
        <w:tc>
          <w:tcPr>
            <w:tcW w:w="731" w:type="pct"/>
            <w:vAlign w:val="center"/>
          </w:tcPr>
          <w:p w14:paraId="29F1C2F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52" w:type="pct"/>
            <w:vAlign w:val="center"/>
          </w:tcPr>
          <w:p w14:paraId="3AD07AF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54" w:type="pct"/>
            <w:vAlign w:val="center"/>
          </w:tcPr>
          <w:p w14:paraId="6B0ACA7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78" w:type="pct"/>
            <w:vAlign w:val="center"/>
          </w:tcPr>
          <w:p w14:paraId="18055A6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1D0FC32A" w14:textId="77777777">
        <w:trPr>
          <w:jc w:val="center"/>
        </w:trPr>
        <w:tc>
          <w:tcPr>
            <w:tcW w:w="1686" w:type="pct"/>
            <w:vAlign w:val="center"/>
          </w:tcPr>
          <w:p w14:paraId="110EAC72" w14:textId="77777777" w:rsidR="002D0AE7" w:rsidRDefault="00333EBB">
            <w:pPr>
              <w:pStyle w:val="14"/>
              <w:rPr>
                <w:rFonts w:ascii="宋体" w:hAnsi="宋体" w:cs="宋体" w:hint="eastAsia"/>
                <w:color w:val="000000" w:themeColor="text1"/>
                <w:sz w:val="21"/>
                <w:szCs w:val="21"/>
              </w:rPr>
            </w:pPr>
            <w:r>
              <w:rPr>
                <w:rFonts w:ascii="宋体" w:hAnsi="宋体" w:cs="宋体" w:hint="eastAsia"/>
                <w:color w:val="000000" w:themeColor="text1"/>
                <w:sz w:val="21"/>
                <w:szCs w:val="21"/>
              </w:rPr>
              <w:t>--</w:t>
            </w:r>
            <w:r>
              <w:rPr>
                <w:rFonts w:ascii="宋体" w:hAnsi="宋体" w:cs="宋体" w:hint="eastAsia"/>
                <w:color w:val="000000" w:themeColor="text1"/>
                <w:sz w:val="21"/>
                <w:szCs w:val="21"/>
              </w:rPr>
              <w:t>转回第一阶段</w:t>
            </w:r>
          </w:p>
        </w:tc>
        <w:tc>
          <w:tcPr>
            <w:tcW w:w="731" w:type="pct"/>
            <w:vAlign w:val="center"/>
          </w:tcPr>
          <w:p w14:paraId="7AFA3C7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52" w:type="pct"/>
            <w:vAlign w:val="center"/>
          </w:tcPr>
          <w:p w14:paraId="6CEFBEF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54" w:type="pct"/>
            <w:vAlign w:val="center"/>
          </w:tcPr>
          <w:p w14:paraId="447EA44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78" w:type="pct"/>
            <w:vAlign w:val="center"/>
          </w:tcPr>
          <w:p w14:paraId="49715D2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7D75C973" w14:textId="77777777">
        <w:trPr>
          <w:jc w:val="center"/>
        </w:trPr>
        <w:tc>
          <w:tcPr>
            <w:tcW w:w="1686" w:type="pct"/>
            <w:vAlign w:val="center"/>
          </w:tcPr>
          <w:p w14:paraId="00BEF0DD" w14:textId="77777777" w:rsidR="002D0AE7" w:rsidRDefault="00333EBB">
            <w:pPr>
              <w:pStyle w:val="14"/>
              <w:rPr>
                <w:rFonts w:ascii="宋体" w:hAnsi="宋体" w:cs="宋体" w:hint="eastAsia"/>
                <w:color w:val="000000" w:themeColor="text1"/>
                <w:sz w:val="21"/>
                <w:szCs w:val="21"/>
              </w:rPr>
            </w:pPr>
            <w:r>
              <w:rPr>
                <w:rFonts w:ascii="宋体" w:hAnsi="宋体" w:cs="宋体" w:hint="eastAsia"/>
                <w:color w:val="000000" w:themeColor="text1"/>
                <w:sz w:val="21"/>
                <w:szCs w:val="21"/>
              </w:rPr>
              <w:t>本期计提</w:t>
            </w:r>
          </w:p>
        </w:tc>
        <w:tc>
          <w:tcPr>
            <w:tcW w:w="731" w:type="pct"/>
            <w:vAlign w:val="center"/>
          </w:tcPr>
          <w:p w14:paraId="382AF02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52" w:type="pct"/>
            <w:vAlign w:val="center"/>
          </w:tcPr>
          <w:p w14:paraId="624BE5E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1,060.82</w:t>
            </w:r>
          </w:p>
        </w:tc>
        <w:tc>
          <w:tcPr>
            <w:tcW w:w="954" w:type="pct"/>
            <w:vAlign w:val="center"/>
          </w:tcPr>
          <w:p w14:paraId="14BFBD2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78" w:type="pct"/>
            <w:vAlign w:val="center"/>
          </w:tcPr>
          <w:p w14:paraId="1AC7C8F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1,060.82</w:t>
            </w:r>
          </w:p>
        </w:tc>
      </w:tr>
      <w:tr w:rsidR="002D0AE7" w14:paraId="3D1DBF71" w14:textId="77777777">
        <w:trPr>
          <w:jc w:val="center"/>
        </w:trPr>
        <w:tc>
          <w:tcPr>
            <w:tcW w:w="1686" w:type="pct"/>
            <w:vAlign w:val="center"/>
          </w:tcPr>
          <w:p w14:paraId="2ABE4E8B" w14:textId="77777777" w:rsidR="002D0AE7" w:rsidRDefault="00333EBB">
            <w:pPr>
              <w:pStyle w:val="14"/>
              <w:rPr>
                <w:rFonts w:ascii="宋体" w:hAnsi="宋体" w:hint="eastAsia"/>
                <w:color w:val="000000" w:themeColor="text1"/>
                <w:sz w:val="21"/>
                <w:szCs w:val="21"/>
              </w:rPr>
            </w:pPr>
            <w:r>
              <w:rPr>
                <w:rFonts w:ascii="宋体" w:hAnsi="宋体" w:hint="eastAsia"/>
                <w:color w:val="000000" w:themeColor="text1"/>
                <w:sz w:val="21"/>
                <w:szCs w:val="21"/>
              </w:rPr>
              <w:t>本期转回</w:t>
            </w:r>
          </w:p>
        </w:tc>
        <w:tc>
          <w:tcPr>
            <w:tcW w:w="731" w:type="pct"/>
            <w:vAlign w:val="center"/>
          </w:tcPr>
          <w:p w14:paraId="61D7F77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52" w:type="pct"/>
            <w:vAlign w:val="center"/>
          </w:tcPr>
          <w:p w14:paraId="353CBF2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750.00</w:t>
            </w:r>
          </w:p>
        </w:tc>
        <w:tc>
          <w:tcPr>
            <w:tcW w:w="954" w:type="pct"/>
            <w:vAlign w:val="center"/>
          </w:tcPr>
          <w:p w14:paraId="767E4D3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78" w:type="pct"/>
            <w:vAlign w:val="center"/>
          </w:tcPr>
          <w:p w14:paraId="66649E6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750.00</w:t>
            </w:r>
          </w:p>
        </w:tc>
      </w:tr>
      <w:tr w:rsidR="002D0AE7" w14:paraId="40EAE70E" w14:textId="77777777">
        <w:trPr>
          <w:jc w:val="center"/>
        </w:trPr>
        <w:tc>
          <w:tcPr>
            <w:tcW w:w="1686" w:type="pct"/>
            <w:vAlign w:val="center"/>
          </w:tcPr>
          <w:p w14:paraId="39462CB7" w14:textId="77777777" w:rsidR="002D0AE7" w:rsidRDefault="00333EBB">
            <w:pPr>
              <w:pStyle w:val="14"/>
              <w:rPr>
                <w:rFonts w:ascii="宋体" w:hAnsi="宋体" w:cs="宋体" w:hint="eastAsia"/>
                <w:color w:val="000000" w:themeColor="text1"/>
                <w:sz w:val="21"/>
                <w:szCs w:val="21"/>
              </w:rPr>
            </w:pPr>
            <w:r>
              <w:rPr>
                <w:rFonts w:ascii="宋体" w:hAnsi="宋体" w:cs="宋体" w:hint="eastAsia"/>
                <w:color w:val="000000" w:themeColor="text1"/>
                <w:sz w:val="21"/>
                <w:szCs w:val="21"/>
              </w:rPr>
              <w:t>本期转销</w:t>
            </w:r>
          </w:p>
        </w:tc>
        <w:tc>
          <w:tcPr>
            <w:tcW w:w="731" w:type="pct"/>
            <w:vAlign w:val="center"/>
          </w:tcPr>
          <w:p w14:paraId="542E3A1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52" w:type="pct"/>
            <w:vAlign w:val="center"/>
          </w:tcPr>
          <w:p w14:paraId="0C76E3B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54" w:type="pct"/>
            <w:vAlign w:val="center"/>
          </w:tcPr>
          <w:p w14:paraId="4809A94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78" w:type="pct"/>
            <w:vAlign w:val="center"/>
          </w:tcPr>
          <w:p w14:paraId="35B020E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733015CA" w14:textId="77777777">
        <w:trPr>
          <w:jc w:val="center"/>
        </w:trPr>
        <w:tc>
          <w:tcPr>
            <w:tcW w:w="1686" w:type="pct"/>
            <w:vAlign w:val="center"/>
          </w:tcPr>
          <w:p w14:paraId="0EAED337" w14:textId="77777777" w:rsidR="002D0AE7" w:rsidRDefault="00333EBB">
            <w:pPr>
              <w:pStyle w:val="14"/>
              <w:rPr>
                <w:rFonts w:ascii="宋体" w:hAnsi="宋体" w:hint="eastAsia"/>
                <w:color w:val="000000" w:themeColor="text1"/>
                <w:sz w:val="21"/>
                <w:szCs w:val="21"/>
              </w:rPr>
            </w:pPr>
            <w:r>
              <w:rPr>
                <w:rFonts w:ascii="宋体" w:hAnsi="宋体" w:hint="eastAsia"/>
                <w:color w:val="000000" w:themeColor="text1"/>
                <w:sz w:val="21"/>
                <w:szCs w:val="21"/>
              </w:rPr>
              <w:t>本期核销</w:t>
            </w:r>
          </w:p>
        </w:tc>
        <w:tc>
          <w:tcPr>
            <w:tcW w:w="731" w:type="pct"/>
            <w:vAlign w:val="center"/>
          </w:tcPr>
          <w:p w14:paraId="63E9914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52" w:type="pct"/>
            <w:vAlign w:val="center"/>
          </w:tcPr>
          <w:p w14:paraId="12769E9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54" w:type="pct"/>
            <w:vAlign w:val="center"/>
          </w:tcPr>
          <w:p w14:paraId="6BAEEC3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78" w:type="pct"/>
            <w:vAlign w:val="center"/>
          </w:tcPr>
          <w:p w14:paraId="30A98A6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1914A846" w14:textId="77777777">
        <w:trPr>
          <w:jc w:val="center"/>
        </w:trPr>
        <w:tc>
          <w:tcPr>
            <w:tcW w:w="1686" w:type="pct"/>
            <w:vAlign w:val="center"/>
          </w:tcPr>
          <w:p w14:paraId="16C0EE4E" w14:textId="77777777" w:rsidR="002D0AE7" w:rsidRDefault="00333EBB">
            <w:pPr>
              <w:pStyle w:val="14"/>
              <w:rPr>
                <w:rFonts w:ascii="宋体" w:hAnsi="宋体" w:cs="宋体" w:hint="eastAsia"/>
                <w:color w:val="000000" w:themeColor="text1"/>
                <w:sz w:val="21"/>
                <w:szCs w:val="21"/>
              </w:rPr>
            </w:pPr>
            <w:r>
              <w:rPr>
                <w:rFonts w:ascii="宋体" w:hAnsi="宋体" w:cs="宋体" w:hint="eastAsia"/>
                <w:color w:val="000000" w:themeColor="text1"/>
                <w:sz w:val="21"/>
                <w:szCs w:val="21"/>
              </w:rPr>
              <w:t>其他变动</w:t>
            </w:r>
          </w:p>
        </w:tc>
        <w:tc>
          <w:tcPr>
            <w:tcW w:w="731" w:type="pct"/>
            <w:vAlign w:val="center"/>
          </w:tcPr>
          <w:p w14:paraId="0282ECF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52" w:type="pct"/>
            <w:vAlign w:val="center"/>
          </w:tcPr>
          <w:p w14:paraId="73CAB12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54" w:type="pct"/>
            <w:vAlign w:val="center"/>
          </w:tcPr>
          <w:p w14:paraId="41FA053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78" w:type="pct"/>
            <w:vAlign w:val="center"/>
          </w:tcPr>
          <w:p w14:paraId="2FA6479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53B4721E" w14:textId="77777777">
        <w:trPr>
          <w:jc w:val="center"/>
        </w:trPr>
        <w:tc>
          <w:tcPr>
            <w:tcW w:w="1686" w:type="pct"/>
            <w:vAlign w:val="center"/>
          </w:tcPr>
          <w:p w14:paraId="48883F0D" w14:textId="77777777" w:rsidR="002D0AE7" w:rsidRDefault="00333EBB">
            <w:pPr>
              <w:pStyle w:val="14"/>
              <w:rPr>
                <w:rFonts w:ascii="宋体" w:hAnsi="宋体" w:cs="宋体" w:hint="eastAsia"/>
                <w:color w:val="000000" w:themeColor="text1"/>
                <w:sz w:val="21"/>
                <w:szCs w:val="21"/>
              </w:rPr>
            </w:pPr>
            <w:r>
              <w:rPr>
                <w:rFonts w:ascii="宋体" w:hAnsi="宋体" w:cs="宋体"/>
                <w:color w:val="000000" w:themeColor="text1"/>
                <w:sz w:val="21"/>
                <w:szCs w:val="21"/>
              </w:rPr>
              <w:t>2024</w:t>
            </w:r>
            <w:r>
              <w:rPr>
                <w:rFonts w:ascii="宋体" w:hAnsi="宋体" w:cs="宋体"/>
                <w:color w:val="000000" w:themeColor="text1"/>
                <w:sz w:val="21"/>
                <w:szCs w:val="21"/>
              </w:rPr>
              <w:t>年</w:t>
            </w:r>
            <w:r>
              <w:rPr>
                <w:rFonts w:ascii="宋体" w:hAnsi="宋体" w:cs="宋体"/>
                <w:color w:val="000000" w:themeColor="text1"/>
                <w:sz w:val="21"/>
                <w:szCs w:val="21"/>
              </w:rPr>
              <w:t>6</w:t>
            </w:r>
            <w:r>
              <w:rPr>
                <w:rFonts w:ascii="宋体" w:hAnsi="宋体" w:cs="宋体"/>
                <w:color w:val="000000" w:themeColor="text1"/>
                <w:sz w:val="21"/>
                <w:szCs w:val="21"/>
              </w:rPr>
              <w:t>月</w:t>
            </w:r>
            <w:r>
              <w:rPr>
                <w:rFonts w:ascii="宋体" w:hAnsi="宋体" w:cs="宋体"/>
                <w:color w:val="000000" w:themeColor="text1"/>
                <w:sz w:val="21"/>
                <w:szCs w:val="21"/>
              </w:rPr>
              <w:t>30</w:t>
            </w:r>
            <w:r>
              <w:rPr>
                <w:rFonts w:ascii="宋体" w:hAnsi="宋体" w:cs="宋体"/>
                <w:color w:val="000000" w:themeColor="text1"/>
                <w:sz w:val="21"/>
                <w:szCs w:val="21"/>
              </w:rPr>
              <w:t>日</w:t>
            </w:r>
            <w:r>
              <w:rPr>
                <w:rFonts w:ascii="宋体" w:hAnsi="宋体" w:cs="宋体" w:hint="eastAsia"/>
                <w:color w:val="000000" w:themeColor="text1"/>
                <w:sz w:val="21"/>
                <w:szCs w:val="21"/>
              </w:rPr>
              <w:t>余额</w:t>
            </w:r>
          </w:p>
        </w:tc>
        <w:tc>
          <w:tcPr>
            <w:tcW w:w="731" w:type="pct"/>
            <w:vAlign w:val="center"/>
          </w:tcPr>
          <w:p w14:paraId="2DE7A35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952" w:type="pct"/>
            <w:vAlign w:val="center"/>
          </w:tcPr>
          <w:p w14:paraId="2A726E1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2,669.82</w:t>
            </w:r>
          </w:p>
        </w:tc>
        <w:tc>
          <w:tcPr>
            <w:tcW w:w="954" w:type="pct"/>
            <w:vAlign w:val="center"/>
          </w:tcPr>
          <w:p w14:paraId="02F548C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678" w:type="pct"/>
            <w:vAlign w:val="center"/>
          </w:tcPr>
          <w:p w14:paraId="16F5185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2,669.82</w:t>
            </w:r>
          </w:p>
        </w:tc>
      </w:tr>
    </w:tbl>
    <w:p w14:paraId="4C8ABA92" w14:textId="77777777" w:rsidR="002D0AE7" w:rsidRDefault="00333EBB">
      <w:pPr>
        <w:autoSpaceDE w:val="0"/>
        <w:autoSpaceDN w:val="0"/>
        <w:adjustRightInd w:val="0"/>
        <w:ind w:rightChars="50" w:right="120"/>
        <w:rPr>
          <w:rFonts w:hint="eastAsia"/>
          <w:color w:val="000000" w:themeColor="text1"/>
        </w:rPr>
      </w:pPr>
      <w:r>
        <w:rPr>
          <w:rFonts w:hint="eastAsia"/>
          <w:color w:val="000000" w:themeColor="text1"/>
        </w:rPr>
        <w:t>各阶段划分依据和坏账准备计提比例</w:t>
      </w:r>
    </w:p>
    <w:sdt>
      <w:sdtPr>
        <w:rPr>
          <w:rFonts w:cs="Times New Roman"/>
          <w:bCs/>
          <w:color w:val="000000" w:themeColor="text1"/>
          <w:szCs w:val="22"/>
        </w:rPr>
        <w:alias w:val="其他应收款各阶段划分依据和坏账准备计提比例"/>
        <w:tag w:val="_GBC_d1deab3352d44521aa56c337c4c1cf70"/>
        <w:id w:val="790172374"/>
        <w:placeholder>
          <w:docPart w:val="GBC22222222222222222222222222222"/>
        </w:placeholder>
      </w:sdtPr>
      <w:sdtEndPr/>
      <w:sdtContent>
        <w:p w14:paraId="01244C6F" w14:textId="77777777" w:rsidR="002D0AE7" w:rsidRDefault="00333EBB">
          <w:pPr>
            <w:rPr>
              <w:rFonts w:cs="Times New Roman" w:hint="eastAsia"/>
              <w:bCs/>
              <w:sz w:val="21"/>
              <w:szCs w:val="20"/>
            </w:rPr>
          </w:pPr>
          <w:r>
            <w:rPr>
              <w:rFonts w:cs="Times New Roman" w:hint="eastAsia"/>
              <w:bCs/>
              <w:sz w:val="21"/>
              <w:szCs w:val="20"/>
            </w:rPr>
            <w:t>第一阶段：基于以无风险组合计提的其他应收款坏账准备。</w:t>
          </w:r>
        </w:p>
        <w:p w14:paraId="6894E62F" w14:textId="77777777" w:rsidR="002D0AE7" w:rsidRDefault="00333EBB">
          <w:pPr>
            <w:rPr>
              <w:rFonts w:cs="Times New Roman" w:hint="eastAsia"/>
              <w:bCs/>
              <w:sz w:val="21"/>
              <w:szCs w:val="20"/>
            </w:rPr>
          </w:pPr>
          <w:r>
            <w:rPr>
              <w:rFonts w:cs="Times New Roman" w:hint="eastAsia"/>
              <w:bCs/>
              <w:sz w:val="21"/>
              <w:szCs w:val="20"/>
            </w:rPr>
            <w:t>第二阶段：基于以账龄组合计提的其他应收款坏账准备。计提比例详见五、重要会计政策及会计估计、</w:t>
          </w:r>
          <w:r>
            <w:rPr>
              <w:rFonts w:cs="Times New Roman" w:hint="eastAsia"/>
              <w:bCs/>
              <w:sz w:val="21"/>
              <w:szCs w:val="20"/>
            </w:rPr>
            <w:t>1</w:t>
          </w:r>
          <w:r>
            <w:rPr>
              <w:rFonts w:cs="Times New Roman"/>
              <w:bCs/>
              <w:sz w:val="21"/>
              <w:szCs w:val="20"/>
            </w:rPr>
            <w:t>4</w:t>
          </w:r>
          <w:r>
            <w:rPr>
              <w:rFonts w:cs="Times New Roman" w:hint="eastAsia"/>
              <w:bCs/>
              <w:sz w:val="21"/>
              <w:szCs w:val="20"/>
            </w:rPr>
            <w:t>、其他应收款。</w:t>
          </w:r>
        </w:p>
        <w:p w14:paraId="334F8B31" w14:textId="77777777" w:rsidR="002D0AE7" w:rsidRDefault="00333EBB">
          <w:pPr>
            <w:rPr>
              <w:rFonts w:cs="Times New Roman" w:hint="eastAsia"/>
              <w:bCs/>
              <w:color w:val="000000" w:themeColor="text1"/>
              <w:szCs w:val="22"/>
            </w:rPr>
          </w:pPr>
          <w:r>
            <w:rPr>
              <w:rFonts w:cs="Times New Roman" w:hint="eastAsia"/>
              <w:bCs/>
              <w:sz w:val="21"/>
              <w:szCs w:val="20"/>
            </w:rPr>
            <w:t>第三阶段：对于有客观证据表明其已发生信用减值的，本公司将该其他应收款作为已发生信用减值的其他应收款并按照单项工具整个存续期的预期信用损失计量损失准备。</w:t>
          </w:r>
        </w:p>
      </w:sdtContent>
    </w:sdt>
    <w:p w14:paraId="0D9BAE3F" w14:textId="77777777" w:rsidR="002D0AE7" w:rsidRDefault="00333EBB">
      <w:pPr>
        <w:pStyle w:val="5"/>
        <w:numPr>
          <w:ilvl w:val="0"/>
          <w:numId w:val="94"/>
        </w:numPr>
        <w:ind w:left="425" w:hanging="425"/>
        <w:rPr>
          <w:rFonts w:asciiTheme="minorHAnsi" w:hAnsiTheme="minorHAnsi" w:cs="宋体"/>
          <w:color w:val="000000" w:themeColor="text1"/>
          <w:kern w:val="0"/>
          <w:szCs w:val="22"/>
        </w:rPr>
      </w:pPr>
      <w:bookmarkStart w:id="280" w:name="_Hlk10548122"/>
      <w:bookmarkEnd w:id="279"/>
      <w:r>
        <w:rPr>
          <w:rFonts w:asciiTheme="minorHAnsi" w:hAnsiTheme="minorHAnsi" w:cs="宋体" w:hint="eastAsia"/>
          <w:color w:val="000000" w:themeColor="text1"/>
          <w:kern w:val="0"/>
          <w:szCs w:val="22"/>
        </w:rPr>
        <w:t>坏账准备的情况</w:t>
      </w:r>
    </w:p>
    <w:sdt>
      <w:sdtPr>
        <w:rPr>
          <w:color w:val="000000" w:themeColor="text1"/>
        </w:rPr>
        <w:alias w:val="是否适用：其他应收款坏账准备[双击切换]"/>
        <w:tag w:val="_GBC_746f45a984d44f56a795e5587d8e7cf2"/>
        <w:id w:val="1647694578"/>
        <w:placeholder>
          <w:docPart w:val="GBC22222222222222222222222222222"/>
        </w:placeholder>
      </w:sdtPr>
      <w:sdtEndPr/>
      <w:sdtContent>
        <w:p w14:paraId="28785964"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2C0A1524" w14:textId="77777777" w:rsidR="002D0AE7" w:rsidRDefault="00333EBB">
      <w:pPr>
        <w:pStyle w:val="11"/>
        <w:rPr>
          <w:rFonts w:hint="eastAsia"/>
        </w:rPr>
      </w:pPr>
      <w:r>
        <w:rPr>
          <w:rFonts w:hint="eastAsia"/>
        </w:rPr>
        <w:t>单位：</w:t>
      </w:r>
      <w:sdt>
        <w:sdtPr>
          <w:rPr>
            <w:rFonts w:hint="eastAsia"/>
          </w:rPr>
          <w:alias w:val="单位：其他应收款坏账准备"/>
          <w:tag w:val="_GBC_61bb3d08ce2d41d5ad87b4c691e409ad"/>
          <w:id w:val="-16593410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其他应收款坏账准备"/>
          <w:tag w:val="_GBC_d9e85c814c564e7782149971f7c23ba2"/>
          <w:id w:val="-192640924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402"/>
        <w:gridCol w:w="1184"/>
        <w:gridCol w:w="1283"/>
        <w:gridCol w:w="1184"/>
        <w:gridCol w:w="1262"/>
        <w:gridCol w:w="1255"/>
        <w:gridCol w:w="1253"/>
      </w:tblGrid>
      <w:tr w:rsidR="002D0AE7" w14:paraId="3742A965" w14:textId="77777777">
        <w:bookmarkEnd w:id="280" w:displacedByCustomXml="next"/>
        <w:bookmarkStart w:id="281" w:name="_Hlk168055794" w:displacedByCustomXml="next"/>
        <w:sdt>
          <w:sdtPr>
            <w:rPr>
              <w:color w:val="000000" w:themeColor="text1"/>
              <w:sz w:val="21"/>
              <w:szCs w:val="21"/>
            </w:rPr>
            <w:tag w:val="_PLD_eb515a63c0e744098c94b279d63caf4e"/>
            <w:id w:val="-471516786"/>
          </w:sdtPr>
          <w:sdtEndPr/>
          <w:sdtContent>
            <w:tc>
              <w:tcPr>
                <w:tcW w:w="795" w:type="pct"/>
                <w:vMerge w:val="restart"/>
                <w:shd w:val="clear" w:color="auto" w:fill="FFFFFF"/>
                <w:vAlign w:val="center"/>
              </w:tcPr>
              <w:p w14:paraId="19D9C851" w14:textId="77777777" w:rsidR="002D0AE7" w:rsidRDefault="00333EBB">
                <w:pPr>
                  <w:jc w:val="center"/>
                  <w:rPr>
                    <w:rFonts w:hint="eastAsia"/>
                    <w:color w:val="000000" w:themeColor="text1"/>
                    <w:sz w:val="21"/>
                    <w:szCs w:val="21"/>
                  </w:rPr>
                </w:pPr>
                <w:r>
                  <w:rPr>
                    <w:color w:val="000000" w:themeColor="text1"/>
                    <w:sz w:val="21"/>
                    <w:szCs w:val="21"/>
                  </w:rPr>
                  <w:t>类别</w:t>
                </w:r>
              </w:p>
            </w:tc>
          </w:sdtContent>
        </w:sdt>
        <w:sdt>
          <w:sdtPr>
            <w:rPr>
              <w:color w:val="000000" w:themeColor="text1"/>
              <w:sz w:val="21"/>
              <w:szCs w:val="21"/>
            </w:rPr>
            <w:tag w:val="_PLD_a39850dac4d142e8b7a712dce9edad36"/>
            <w:id w:val="1582714918"/>
          </w:sdtPr>
          <w:sdtEndPr/>
          <w:sdtContent>
            <w:tc>
              <w:tcPr>
                <w:tcW w:w="671" w:type="pct"/>
                <w:vMerge w:val="restart"/>
                <w:shd w:val="clear" w:color="auto" w:fill="FFFFFF"/>
                <w:vAlign w:val="center"/>
              </w:tcPr>
              <w:p w14:paraId="52E694C8" w14:textId="77777777" w:rsidR="002D0AE7" w:rsidRDefault="00333EBB">
                <w:pPr>
                  <w:jc w:val="center"/>
                  <w:rPr>
                    <w:rFonts w:hint="eastAsia"/>
                    <w:color w:val="000000" w:themeColor="text1"/>
                    <w:sz w:val="21"/>
                    <w:szCs w:val="21"/>
                  </w:rPr>
                </w:pPr>
                <w:r>
                  <w:rPr>
                    <w:color w:val="000000" w:themeColor="text1"/>
                    <w:sz w:val="21"/>
                    <w:szCs w:val="21"/>
                  </w:rPr>
                  <w:t>期初余额</w:t>
                </w:r>
              </w:p>
            </w:tc>
          </w:sdtContent>
        </w:sdt>
        <w:sdt>
          <w:sdtPr>
            <w:rPr>
              <w:color w:val="000000" w:themeColor="text1"/>
              <w:sz w:val="21"/>
              <w:szCs w:val="21"/>
            </w:rPr>
            <w:tag w:val="_PLD_96686c7add8a4f2a8fa109c753f44a0b"/>
            <w:id w:val="635217354"/>
          </w:sdtPr>
          <w:sdtEndPr/>
          <w:sdtContent>
            <w:tc>
              <w:tcPr>
                <w:tcW w:w="2824" w:type="pct"/>
                <w:gridSpan w:val="4"/>
                <w:shd w:val="clear" w:color="auto" w:fill="FFFFFF"/>
                <w:vAlign w:val="center"/>
              </w:tcPr>
              <w:p w14:paraId="72E68FD3" w14:textId="77777777" w:rsidR="002D0AE7" w:rsidRDefault="00333EBB">
                <w:pPr>
                  <w:jc w:val="center"/>
                  <w:rPr>
                    <w:rFonts w:hint="eastAsia"/>
                    <w:color w:val="000000" w:themeColor="text1"/>
                    <w:sz w:val="21"/>
                    <w:szCs w:val="21"/>
                  </w:rPr>
                </w:pPr>
                <w:r>
                  <w:rPr>
                    <w:rFonts w:hint="eastAsia"/>
                    <w:color w:val="000000" w:themeColor="text1"/>
                    <w:sz w:val="21"/>
                    <w:szCs w:val="21"/>
                  </w:rPr>
                  <w:t>本期变动</w:t>
                </w:r>
                <w:r>
                  <w:rPr>
                    <w:color w:val="000000" w:themeColor="text1"/>
                    <w:sz w:val="21"/>
                    <w:szCs w:val="21"/>
                  </w:rPr>
                  <w:t>金额</w:t>
                </w:r>
              </w:p>
            </w:tc>
          </w:sdtContent>
        </w:sdt>
        <w:sdt>
          <w:sdtPr>
            <w:rPr>
              <w:color w:val="000000" w:themeColor="text1"/>
              <w:sz w:val="21"/>
              <w:szCs w:val="21"/>
            </w:rPr>
            <w:tag w:val="_PLD_2aef0abd937f4f5283fac84c8a1afc2d"/>
            <w:id w:val="-1952081114"/>
          </w:sdtPr>
          <w:sdtEndPr/>
          <w:sdtContent>
            <w:tc>
              <w:tcPr>
                <w:tcW w:w="710" w:type="pct"/>
                <w:vMerge w:val="restart"/>
                <w:shd w:val="clear" w:color="auto" w:fill="FFFFFF"/>
                <w:vAlign w:val="center"/>
              </w:tcPr>
              <w:p w14:paraId="12288352" w14:textId="77777777" w:rsidR="002D0AE7" w:rsidRDefault="00333EBB">
                <w:pPr>
                  <w:jc w:val="center"/>
                  <w:rPr>
                    <w:rFonts w:hint="eastAsia"/>
                    <w:color w:val="000000" w:themeColor="text1"/>
                    <w:sz w:val="21"/>
                    <w:szCs w:val="21"/>
                  </w:rPr>
                </w:pPr>
                <w:r>
                  <w:rPr>
                    <w:color w:val="000000" w:themeColor="text1"/>
                    <w:sz w:val="21"/>
                    <w:szCs w:val="21"/>
                  </w:rPr>
                  <w:t>期末余额</w:t>
                </w:r>
              </w:p>
            </w:tc>
          </w:sdtContent>
        </w:sdt>
      </w:tr>
      <w:tr w:rsidR="002D0AE7" w14:paraId="7D48D674" w14:textId="77777777">
        <w:tc>
          <w:tcPr>
            <w:tcW w:w="795" w:type="pct"/>
            <w:vMerge/>
            <w:shd w:val="clear" w:color="auto" w:fill="FFFFFF"/>
          </w:tcPr>
          <w:p w14:paraId="136961E8" w14:textId="77777777" w:rsidR="002D0AE7" w:rsidRDefault="002D0AE7">
            <w:pPr>
              <w:jc w:val="center"/>
              <w:rPr>
                <w:rFonts w:hint="eastAsia"/>
                <w:color w:val="000000" w:themeColor="text1"/>
                <w:sz w:val="21"/>
                <w:szCs w:val="21"/>
              </w:rPr>
            </w:pPr>
          </w:p>
        </w:tc>
        <w:tc>
          <w:tcPr>
            <w:tcW w:w="671" w:type="pct"/>
            <w:vMerge/>
            <w:shd w:val="clear" w:color="auto" w:fill="FFFFFF"/>
          </w:tcPr>
          <w:p w14:paraId="4CDDCF6E" w14:textId="77777777" w:rsidR="002D0AE7" w:rsidRDefault="002D0AE7">
            <w:pPr>
              <w:jc w:val="center"/>
              <w:rPr>
                <w:rFonts w:hint="eastAsia"/>
                <w:color w:val="000000" w:themeColor="text1"/>
                <w:sz w:val="21"/>
                <w:szCs w:val="21"/>
              </w:rPr>
            </w:pPr>
          </w:p>
        </w:tc>
        <w:sdt>
          <w:sdtPr>
            <w:rPr>
              <w:color w:val="000000" w:themeColor="text1"/>
              <w:sz w:val="21"/>
              <w:szCs w:val="21"/>
            </w:rPr>
            <w:tag w:val="_PLD_0d882cd108804ecc85c8ea70ca9a0022"/>
            <w:id w:val="1549792446"/>
          </w:sdtPr>
          <w:sdtEndPr/>
          <w:sdtContent>
            <w:tc>
              <w:tcPr>
                <w:tcW w:w="727" w:type="pct"/>
                <w:shd w:val="clear" w:color="auto" w:fill="FFFFFF"/>
                <w:vAlign w:val="center"/>
              </w:tcPr>
              <w:p w14:paraId="746B9A1B" w14:textId="77777777" w:rsidR="002D0AE7" w:rsidRDefault="00333EBB">
                <w:pPr>
                  <w:jc w:val="center"/>
                  <w:rPr>
                    <w:rFonts w:hint="eastAsia"/>
                    <w:color w:val="000000" w:themeColor="text1"/>
                    <w:sz w:val="21"/>
                    <w:szCs w:val="21"/>
                  </w:rPr>
                </w:pPr>
                <w:r>
                  <w:rPr>
                    <w:color w:val="000000" w:themeColor="text1"/>
                    <w:sz w:val="21"/>
                    <w:szCs w:val="21"/>
                  </w:rPr>
                  <w:t>计提</w:t>
                </w:r>
              </w:p>
            </w:tc>
          </w:sdtContent>
        </w:sdt>
        <w:sdt>
          <w:sdtPr>
            <w:rPr>
              <w:color w:val="000000" w:themeColor="text1"/>
              <w:sz w:val="21"/>
              <w:szCs w:val="21"/>
            </w:rPr>
            <w:tag w:val="_PLD_e2116bf770074307b5326d2e261c8b91"/>
            <w:id w:val="-1800595610"/>
          </w:sdtPr>
          <w:sdtEndPr/>
          <w:sdtContent>
            <w:tc>
              <w:tcPr>
                <w:tcW w:w="671" w:type="pct"/>
                <w:shd w:val="clear" w:color="auto" w:fill="FFFFFF"/>
                <w:vAlign w:val="center"/>
              </w:tcPr>
              <w:p w14:paraId="5F03F445" w14:textId="77777777" w:rsidR="002D0AE7" w:rsidRDefault="00333EBB">
                <w:pPr>
                  <w:jc w:val="center"/>
                  <w:rPr>
                    <w:rFonts w:hint="eastAsia"/>
                    <w:color w:val="000000" w:themeColor="text1"/>
                    <w:sz w:val="21"/>
                    <w:szCs w:val="21"/>
                  </w:rPr>
                </w:pPr>
                <w:r>
                  <w:rPr>
                    <w:rFonts w:hint="eastAsia"/>
                    <w:color w:val="000000" w:themeColor="text1"/>
                    <w:sz w:val="21"/>
                    <w:szCs w:val="21"/>
                  </w:rPr>
                  <w:t>收回或转回</w:t>
                </w:r>
              </w:p>
            </w:tc>
          </w:sdtContent>
        </w:sdt>
        <w:sdt>
          <w:sdtPr>
            <w:rPr>
              <w:color w:val="000000" w:themeColor="text1"/>
              <w:sz w:val="21"/>
              <w:szCs w:val="21"/>
            </w:rPr>
            <w:tag w:val="_PLD_ecb1755ff206448580b99e0999e516f9"/>
            <w:id w:val="-558248229"/>
          </w:sdtPr>
          <w:sdtEndPr/>
          <w:sdtContent>
            <w:tc>
              <w:tcPr>
                <w:tcW w:w="715" w:type="pct"/>
                <w:shd w:val="clear" w:color="auto" w:fill="FFFFFF"/>
                <w:vAlign w:val="center"/>
              </w:tcPr>
              <w:p w14:paraId="35BEDBA6" w14:textId="77777777" w:rsidR="002D0AE7" w:rsidRDefault="00333EBB">
                <w:pPr>
                  <w:jc w:val="center"/>
                  <w:rPr>
                    <w:rFonts w:hint="eastAsia"/>
                    <w:color w:val="000000" w:themeColor="text1"/>
                    <w:sz w:val="21"/>
                    <w:szCs w:val="21"/>
                  </w:rPr>
                </w:pPr>
                <w:r>
                  <w:rPr>
                    <w:rFonts w:hint="eastAsia"/>
                    <w:color w:val="000000" w:themeColor="text1"/>
                    <w:sz w:val="21"/>
                    <w:szCs w:val="21"/>
                  </w:rPr>
                  <w:t>转销或核销</w:t>
                </w:r>
              </w:p>
            </w:tc>
          </w:sdtContent>
        </w:sdt>
        <w:tc>
          <w:tcPr>
            <w:tcW w:w="711" w:type="pct"/>
            <w:shd w:val="clear" w:color="auto" w:fill="FFFFFF"/>
            <w:vAlign w:val="center"/>
          </w:tcPr>
          <w:sdt>
            <w:sdtPr>
              <w:rPr>
                <w:rFonts w:hint="eastAsia"/>
                <w:color w:val="000000" w:themeColor="text1"/>
                <w:sz w:val="21"/>
                <w:szCs w:val="21"/>
              </w:rPr>
              <w:tag w:val="_PLD_1b39a62bca3c4844a14e6b043f874971"/>
              <w:id w:val="194964950"/>
            </w:sdtPr>
            <w:sdtEndPr/>
            <w:sdtContent>
              <w:p w14:paraId="75FD4E50" w14:textId="77777777" w:rsidR="002D0AE7" w:rsidRDefault="00333EBB">
                <w:pPr>
                  <w:jc w:val="right"/>
                  <w:rPr>
                    <w:rFonts w:hint="eastAsia"/>
                    <w:color w:val="000000" w:themeColor="text1"/>
                    <w:sz w:val="21"/>
                    <w:szCs w:val="21"/>
                  </w:rPr>
                </w:pPr>
                <w:r>
                  <w:rPr>
                    <w:rFonts w:hint="eastAsia"/>
                    <w:color w:val="000000" w:themeColor="text1"/>
                    <w:sz w:val="21"/>
                    <w:szCs w:val="21"/>
                  </w:rPr>
                  <w:t>其他变动</w:t>
                </w:r>
              </w:p>
            </w:sdtContent>
          </w:sdt>
        </w:tc>
        <w:tc>
          <w:tcPr>
            <w:tcW w:w="710" w:type="pct"/>
            <w:vMerge/>
            <w:shd w:val="clear" w:color="auto" w:fill="FFFFFF"/>
          </w:tcPr>
          <w:p w14:paraId="11B23931" w14:textId="77777777" w:rsidR="002D0AE7" w:rsidRDefault="002D0AE7">
            <w:pPr>
              <w:jc w:val="right"/>
              <w:rPr>
                <w:rFonts w:hint="eastAsia"/>
                <w:color w:val="000000" w:themeColor="text1"/>
                <w:sz w:val="21"/>
                <w:szCs w:val="21"/>
              </w:rPr>
            </w:pPr>
          </w:p>
        </w:tc>
      </w:tr>
      <w:tr w:rsidR="002D0AE7" w14:paraId="76B01072" w14:textId="77777777">
        <w:tc>
          <w:tcPr>
            <w:tcW w:w="795" w:type="pct"/>
            <w:shd w:val="clear" w:color="auto" w:fill="auto"/>
          </w:tcPr>
          <w:p w14:paraId="6E580F2F" w14:textId="77777777" w:rsidR="002D0AE7" w:rsidRDefault="00333EBB">
            <w:pPr>
              <w:rPr>
                <w:rFonts w:hint="eastAsia"/>
                <w:sz w:val="21"/>
                <w:szCs w:val="21"/>
              </w:rPr>
            </w:pPr>
            <w:r>
              <w:rPr>
                <w:sz w:val="21"/>
                <w:szCs w:val="21"/>
              </w:rPr>
              <w:t>其他应收款</w:t>
            </w:r>
          </w:p>
        </w:tc>
        <w:tc>
          <w:tcPr>
            <w:tcW w:w="671" w:type="pct"/>
            <w:shd w:val="clear" w:color="auto" w:fill="auto"/>
          </w:tcPr>
          <w:p w14:paraId="434B5F6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2,359.00</w:t>
            </w:r>
          </w:p>
        </w:tc>
        <w:tc>
          <w:tcPr>
            <w:tcW w:w="727" w:type="pct"/>
            <w:shd w:val="clear" w:color="auto" w:fill="auto"/>
          </w:tcPr>
          <w:p w14:paraId="3D97F0D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1,060.82</w:t>
            </w:r>
          </w:p>
        </w:tc>
        <w:tc>
          <w:tcPr>
            <w:tcW w:w="671" w:type="pct"/>
            <w:shd w:val="clear" w:color="auto" w:fill="auto"/>
          </w:tcPr>
          <w:p w14:paraId="08FE928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750.00</w:t>
            </w:r>
          </w:p>
        </w:tc>
        <w:tc>
          <w:tcPr>
            <w:tcW w:w="715" w:type="pct"/>
          </w:tcPr>
          <w:p w14:paraId="2948815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11" w:type="pct"/>
          </w:tcPr>
          <w:p w14:paraId="5D96ABD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10" w:type="pct"/>
            <w:shd w:val="clear" w:color="auto" w:fill="auto"/>
          </w:tcPr>
          <w:p w14:paraId="784B2AA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2,669.82</w:t>
            </w:r>
          </w:p>
        </w:tc>
      </w:tr>
      <w:tr w:rsidR="002D0AE7" w14:paraId="0EE2CCC8" w14:textId="77777777">
        <w:tc>
          <w:tcPr>
            <w:tcW w:w="795" w:type="pct"/>
            <w:shd w:val="clear" w:color="auto" w:fill="auto"/>
          </w:tcPr>
          <w:p w14:paraId="5B73E637"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671" w:type="pct"/>
            <w:shd w:val="clear" w:color="auto" w:fill="auto"/>
            <w:vAlign w:val="center"/>
          </w:tcPr>
          <w:p w14:paraId="0853AF1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2,359.00</w:t>
            </w:r>
          </w:p>
        </w:tc>
        <w:tc>
          <w:tcPr>
            <w:tcW w:w="727" w:type="pct"/>
            <w:shd w:val="clear" w:color="auto" w:fill="auto"/>
            <w:vAlign w:val="center"/>
          </w:tcPr>
          <w:p w14:paraId="0D71AAE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1,060.82</w:t>
            </w:r>
          </w:p>
        </w:tc>
        <w:tc>
          <w:tcPr>
            <w:tcW w:w="671" w:type="pct"/>
            <w:shd w:val="clear" w:color="auto" w:fill="auto"/>
            <w:vAlign w:val="center"/>
          </w:tcPr>
          <w:p w14:paraId="5CB7133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750.00</w:t>
            </w:r>
          </w:p>
        </w:tc>
        <w:tc>
          <w:tcPr>
            <w:tcW w:w="715" w:type="pct"/>
            <w:vAlign w:val="center"/>
          </w:tcPr>
          <w:p w14:paraId="766861D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11" w:type="pct"/>
            <w:vAlign w:val="center"/>
          </w:tcPr>
          <w:p w14:paraId="1D7E7EE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710" w:type="pct"/>
            <w:shd w:val="clear" w:color="auto" w:fill="auto"/>
            <w:vAlign w:val="center"/>
          </w:tcPr>
          <w:p w14:paraId="18D718E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2,669.82</w:t>
            </w:r>
          </w:p>
        </w:tc>
      </w:tr>
    </w:tbl>
    <w:bookmarkEnd w:id="281"/>
    <w:p w14:paraId="2DD6C1FD" w14:textId="77777777" w:rsidR="002D0AE7" w:rsidRDefault="00333EBB">
      <w:pPr>
        <w:pStyle w:val="5"/>
        <w:numPr>
          <w:ilvl w:val="0"/>
          <w:numId w:val="94"/>
        </w:numPr>
        <w:ind w:left="425" w:hanging="425"/>
        <w:rPr>
          <w:rFonts w:asciiTheme="minorHAnsi" w:hAnsiTheme="minorHAnsi" w:cs="宋体"/>
          <w:color w:val="000000" w:themeColor="text1"/>
          <w:kern w:val="0"/>
          <w:szCs w:val="22"/>
        </w:rPr>
      </w:pPr>
      <w:r>
        <w:rPr>
          <w:rFonts w:asciiTheme="minorHAnsi" w:hAnsiTheme="minorHAnsi" w:cs="宋体" w:hint="eastAsia"/>
          <w:color w:val="000000" w:themeColor="text1"/>
          <w:kern w:val="0"/>
          <w:szCs w:val="22"/>
        </w:rPr>
        <w:t>按欠款方归集的期末余额前五名的其他应收款情况</w:t>
      </w:r>
    </w:p>
    <w:sdt>
      <w:sdtPr>
        <w:rPr>
          <w:color w:val="000000" w:themeColor="text1"/>
        </w:rPr>
        <w:alias w:val="是否适用：母公司按欠款方归集的期末余额前五名的其他应收款情况[双击切换]"/>
        <w:tag w:val="_GBC_c31bd7806af645a4b98780e353753bee"/>
        <w:id w:val="-151517464"/>
        <w:placeholder>
          <w:docPart w:val="GBC22222222222222222222222222222"/>
        </w:placeholder>
      </w:sdtPr>
      <w:sdtEndPr/>
      <w:sdtContent>
        <w:p w14:paraId="22DCDCA1"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0E08DE8A"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母公司财务附注：其他应收账款前五名欠款情况"/>
          <w:tag w:val="_GBC_5eaec4085c10422f90a7a09ee515d922"/>
          <w:id w:val="89308625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母公司财务附注：其他应收账款前五名欠款情况"/>
          <w:tag w:val="_GBC_76fb156b47fb495eb1748f1f6ffdfc64"/>
          <w:id w:val="-25906682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firstRow="1" w:lastRow="0" w:firstColumn="1" w:lastColumn="0" w:noHBand="0" w:noVBand="1"/>
      </w:tblPr>
      <w:tblGrid>
        <w:gridCol w:w="1127"/>
        <w:gridCol w:w="1723"/>
        <w:gridCol w:w="1749"/>
        <w:gridCol w:w="1344"/>
        <w:gridCol w:w="1564"/>
        <w:gridCol w:w="1310"/>
      </w:tblGrid>
      <w:tr w:rsidR="002D0AE7" w14:paraId="05866D8E" w14:textId="77777777">
        <w:trPr>
          <w:cantSplit/>
        </w:trPr>
        <w:bookmarkStart w:id="282" w:name="_Hlk153798113" w:displacedByCustomXml="next"/>
        <w:bookmarkStart w:id="283" w:name="_Hlk168057150" w:displacedByCustomXml="next"/>
        <w:sdt>
          <w:sdtPr>
            <w:rPr>
              <w:color w:val="000000" w:themeColor="text1"/>
              <w:sz w:val="21"/>
              <w:szCs w:val="21"/>
            </w:rPr>
            <w:tag w:val="_PLD_1bf4103fa73c4527ab273af4182bdac9"/>
            <w:id w:val="581797598"/>
          </w:sdtPr>
          <w:sdtEndPr/>
          <w:sdtContent>
            <w:tc>
              <w:tcPr>
                <w:tcW w:w="639" w:type="pct"/>
                <w:tcBorders>
                  <w:top w:val="single" w:sz="6" w:space="0" w:color="auto"/>
                  <w:left w:val="single" w:sz="6" w:space="0" w:color="auto"/>
                  <w:bottom w:val="single" w:sz="6" w:space="0" w:color="auto"/>
                  <w:right w:val="single" w:sz="6" w:space="0" w:color="auto"/>
                </w:tcBorders>
                <w:vAlign w:val="center"/>
              </w:tcPr>
              <w:p w14:paraId="054E03A4" w14:textId="77777777" w:rsidR="002D0AE7" w:rsidRDefault="00333EBB">
                <w:pPr>
                  <w:ind w:right="105"/>
                  <w:jc w:val="center"/>
                  <w:rPr>
                    <w:rFonts w:hint="eastAsia"/>
                    <w:color w:val="000000" w:themeColor="text1"/>
                    <w:sz w:val="21"/>
                    <w:szCs w:val="21"/>
                  </w:rPr>
                </w:pPr>
                <w:r>
                  <w:rPr>
                    <w:rFonts w:hint="eastAsia"/>
                    <w:color w:val="000000" w:themeColor="text1"/>
                    <w:sz w:val="21"/>
                    <w:szCs w:val="21"/>
                  </w:rPr>
                  <w:t>单位名称</w:t>
                </w:r>
              </w:p>
            </w:tc>
          </w:sdtContent>
        </w:sdt>
        <w:sdt>
          <w:sdtPr>
            <w:rPr>
              <w:color w:val="000000" w:themeColor="text1"/>
              <w:sz w:val="21"/>
              <w:szCs w:val="21"/>
            </w:rPr>
            <w:tag w:val="_PLD_2272ceae47e74a6489bfeb2c73aa1f4a"/>
            <w:id w:val="1199661334"/>
          </w:sdtPr>
          <w:sdtEndPr/>
          <w:sdtContent>
            <w:tc>
              <w:tcPr>
                <w:tcW w:w="977" w:type="pct"/>
                <w:tcBorders>
                  <w:top w:val="single" w:sz="6" w:space="0" w:color="auto"/>
                  <w:left w:val="single" w:sz="6" w:space="0" w:color="auto"/>
                  <w:bottom w:val="single" w:sz="6" w:space="0" w:color="auto"/>
                  <w:right w:val="single" w:sz="6" w:space="0" w:color="auto"/>
                </w:tcBorders>
                <w:vAlign w:val="center"/>
              </w:tcPr>
              <w:p w14:paraId="1CEE6433" w14:textId="77777777" w:rsidR="002D0AE7" w:rsidRDefault="00333EBB">
                <w:pPr>
                  <w:ind w:right="73"/>
                  <w:jc w:val="center"/>
                  <w:rPr>
                    <w:rFonts w:hint="eastAsia"/>
                    <w:color w:val="000000" w:themeColor="text1"/>
                    <w:sz w:val="21"/>
                    <w:szCs w:val="21"/>
                  </w:rPr>
                </w:pPr>
                <w:r>
                  <w:rPr>
                    <w:rFonts w:hint="eastAsia"/>
                    <w:color w:val="000000" w:themeColor="text1"/>
                    <w:sz w:val="21"/>
                    <w:szCs w:val="21"/>
                  </w:rPr>
                  <w:t>期末余额</w:t>
                </w:r>
              </w:p>
            </w:tc>
          </w:sdtContent>
        </w:sdt>
        <w:sdt>
          <w:sdtPr>
            <w:rPr>
              <w:color w:val="000000" w:themeColor="text1"/>
              <w:sz w:val="21"/>
              <w:szCs w:val="21"/>
            </w:rPr>
            <w:tag w:val="_PLD_13e1362304be4663873f1e8f72848948"/>
            <w:id w:val="-468440062"/>
          </w:sdtPr>
          <w:sdtEndPr/>
          <w:sdtContent>
            <w:tc>
              <w:tcPr>
                <w:tcW w:w="992" w:type="pct"/>
                <w:tcBorders>
                  <w:top w:val="single" w:sz="6" w:space="0" w:color="auto"/>
                  <w:left w:val="single" w:sz="6" w:space="0" w:color="auto"/>
                  <w:bottom w:val="single" w:sz="6" w:space="0" w:color="auto"/>
                  <w:right w:val="single" w:sz="6" w:space="0" w:color="auto"/>
                </w:tcBorders>
                <w:vAlign w:val="center"/>
              </w:tcPr>
              <w:p w14:paraId="0086C628" w14:textId="77777777" w:rsidR="002D0AE7" w:rsidRDefault="00333EBB">
                <w:pPr>
                  <w:jc w:val="center"/>
                  <w:rPr>
                    <w:rFonts w:hint="eastAsia"/>
                    <w:color w:val="000000" w:themeColor="text1"/>
                    <w:sz w:val="21"/>
                    <w:szCs w:val="21"/>
                  </w:rPr>
                </w:pPr>
                <w:r>
                  <w:rPr>
                    <w:rFonts w:hint="eastAsia"/>
                    <w:color w:val="000000" w:themeColor="text1"/>
                    <w:sz w:val="21"/>
                    <w:szCs w:val="21"/>
                  </w:rPr>
                  <w:t>占其他应收款期末余额合计数的比例</w:t>
                </w:r>
                <w:r>
                  <w:rPr>
                    <w:rFonts w:hint="eastAsia"/>
                    <w:color w:val="000000" w:themeColor="text1"/>
                    <w:sz w:val="21"/>
                    <w:szCs w:val="21"/>
                  </w:rPr>
                  <w:t>(</w:t>
                </w:r>
                <w:r>
                  <w:rPr>
                    <w:color w:val="000000" w:themeColor="text1"/>
                    <w:sz w:val="21"/>
                    <w:szCs w:val="21"/>
                  </w:rPr>
                  <w:t>%)</w:t>
                </w:r>
              </w:p>
            </w:tc>
          </w:sdtContent>
        </w:sdt>
        <w:sdt>
          <w:sdtPr>
            <w:rPr>
              <w:color w:val="000000" w:themeColor="text1"/>
              <w:sz w:val="21"/>
              <w:szCs w:val="21"/>
            </w:rPr>
            <w:tag w:val="_PLD_13e90710aaf8432b8989b8a8d1ceae0c"/>
            <w:id w:val="-1881699640"/>
          </w:sdtPr>
          <w:sdtEndPr/>
          <w:sdtContent>
            <w:tc>
              <w:tcPr>
                <w:tcW w:w="762" w:type="pct"/>
                <w:tcBorders>
                  <w:top w:val="single" w:sz="6" w:space="0" w:color="auto"/>
                  <w:left w:val="single" w:sz="6" w:space="0" w:color="auto"/>
                  <w:bottom w:val="single" w:sz="6" w:space="0" w:color="auto"/>
                  <w:right w:val="single" w:sz="6" w:space="0" w:color="auto"/>
                </w:tcBorders>
                <w:vAlign w:val="center"/>
              </w:tcPr>
              <w:p w14:paraId="4D6CA6E6" w14:textId="77777777" w:rsidR="002D0AE7" w:rsidRDefault="00333EBB">
                <w:pPr>
                  <w:ind w:right="73"/>
                  <w:jc w:val="center"/>
                  <w:rPr>
                    <w:rFonts w:hint="eastAsia"/>
                    <w:color w:val="000000" w:themeColor="text1"/>
                    <w:sz w:val="21"/>
                    <w:szCs w:val="21"/>
                  </w:rPr>
                </w:pPr>
                <w:r>
                  <w:rPr>
                    <w:rFonts w:hint="eastAsia"/>
                    <w:color w:val="000000" w:themeColor="text1"/>
                    <w:sz w:val="21"/>
                    <w:szCs w:val="21"/>
                  </w:rPr>
                  <w:t>款项的性质</w:t>
                </w:r>
              </w:p>
            </w:tc>
          </w:sdtContent>
        </w:sdt>
        <w:sdt>
          <w:sdtPr>
            <w:rPr>
              <w:color w:val="000000" w:themeColor="text1"/>
              <w:sz w:val="21"/>
              <w:szCs w:val="21"/>
            </w:rPr>
            <w:tag w:val="_PLD_fcefa3ecef954c579974ef8beaeadf3a"/>
            <w:id w:val="1770423946"/>
          </w:sdtPr>
          <w:sdtEndPr/>
          <w:sdtContent>
            <w:tc>
              <w:tcPr>
                <w:tcW w:w="887" w:type="pct"/>
                <w:tcBorders>
                  <w:top w:val="single" w:sz="6" w:space="0" w:color="auto"/>
                  <w:left w:val="single" w:sz="6" w:space="0" w:color="auto"/>
                  <w:bottom w:val="single" w:sz="6" w:space="0" w:color="auto"/>
                  <w:right w:val="single" w:sz="6" w:space="0" w:color="auto"/>
                </w:tcBorders>
                <w:vAlign w:val="center"/>
              </w:tcPr>
              <w:p w14:paraId="5C4BB280" w14:textId="77777777" w:rsidR="002D0AE7" w:rsidRDefault="00333EBB">
                <w:pPr>
                  <w:ind w:right="73"/>
                  <w:jc w:val="center"/>
                  <w:rPr>
                    <w:rFonts w:hint="eastAsia"/>
                    <w:color w:val="000000" w:themeColor="text1"/>
                    <w:sz w:val="21"/>
                    <w:szCs w:val="21"/>
                  </w:rPr>
                </w:pPr>
                <w:r>
                  <w:rPr>
                    <w:rFonts w:hint="eastAsia"/>
                    <w:color w:val="000000" w:themeColor="text1"/>
                    <w:sz w:val="21"/>
                    <w:szCs w:val="21"/>
                  </w:rPr>
                  <w:t>账龄</w:t>
                </w:r>
              </w:p>
            </w:tc>
          </w:sdtContent>
        </w:sdt>
        <w:sdt>
          <w:sdtPr>
            <w:rPr>
              <w:color w:val="000000" w:themeColor="text1"/>
              <w:sz w:val="21"/>
              <w:szCs w:val="21"/>
            </w:rPr>
            <w:tag w:val="_PLD_f2c7137b0fd6426d9d9640429eb47701"/>
            <w:id w:val="-1267846065"/>
          </w:sdtPr>
          <w:sdtEndPr/>
          <w:sdtContent>
            <w:tc>
              <w:tcPr>
                <w:tcW w:w="744" w:type="pct"/>
                <w:tcBorders>
                  <w:top w:val="single" w:sz="6" w:space="0" w:color="auto"/>
                  <w:left w:val="single" w:sz="6" w:space="0" w:color="auto"/>
                  <w:bottom w:val="single" w:sz="6" w:space="0" w:color="auto"/>
                  <w:right w:val="single" w:sz="6" w:space="0" w:color="auto"/>
                </w:tcBorders>
                <w:vAlign w:val="center"/>
              </w:tcPr>
              <w:p w14:paraId="5F0BC1D9" w14:textId="77777777" w:rsidR="002D0AE7" w:rsidRDefault="00333EBB">
                <w:pPr>
                  <w:jc w:val="center"/>
                  <w:rPr>
                    <w:rFonts w:hint="eastAsia"/>
                    <w:color w:val="000000" w:themeColor="text1"/>
                    <w:sz w:val="21"/>
                    <w:szCs w:val="21"/>
                  </w:rPr>
                </w:pPr>
                <w:r>
                  <w:rPr>
                    <w:rFonts w:hint="eastAsia"/>
                    <w:color w:val="000000" w:themeColor="text1"/>
                    <w:sz w:val="21"/>
                    <w:szCs w:val="21"/>
                  </w:rPr>
                  <w:t>坏账准备</w:t>
                </w:r>
              </w:p>
              <w:p w14:paraId="61188A81"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tr>
      <w:tr w:rsidR="002D0AE7" w14:paraId="51724770" w14:textId="77777777">
        <w:trPr>
          <w:cantSplit/>
        </w:trPr>
        <w:tc>
          <w:tcPr>
            <w:tcW w:w="639" w:type="pct"/>
            <w:vMerge w:val="restart"/>
            <w:tcBorders>
              <w:top w:val="single" w:sz="6" w:space="0" w:color="auto"/>
              <w:left w:val="single" w:sz="6" w:space="0" w:color="auto"/>
              <w:right w:val="single" w:sz="6" w:space="0" w:color="auto"/>
            </w:tcBorders>
            <w:vAlign w:val="center"/>
          </w:tcPr>
          <w:p w14:paraId="11258946" w14:textId="77777777" w:rsidR="002D0AE7" w:rsidRDefault="00333EBB">
            <w:pPr>
              <w:ind w:right="105"/>
              <w:jc w:val="center"/>
              <w:rPr>
                <w:rFonts w:hint="eastAsia"/>
                <w:sz w:val="21"/>
                <w:szCs w:val="21"/>
              </w:rPr>
            </w:pPr>
            <w:r>
              <w:rPr>
                <w:rFonts w:hint="eastAsia"/>
                <w:sz w:val="21"/>
                <w:szCs w:val="21"/>
              </w:rPr>
              <w:t>1</w:t>
            </w:r>
          </w:p>
        </w:tc>
        <w:tc>
          <w:tcPr>
            <w:tcW w:w="977" w:type="pct"/>
            <w:tcBorders>
              <w:top w:val="single" w:sz="6" w:space="0" w:color="auto"/>
              <w:left w:val="single" w:sz="6" w:space="0" w:color="auto"/>
              <w:bottom w:val="single" w:sz="6" w:space="0" w:color="auto"/>
              <w:right w:val="single" w:sz="6" w:space="0" w:color="auto"/>
            </w:tcBorders>
            <w:vAlign w:val="center"/>
          </w:tcPr>
          <w:p w14:paraId="68100E1B" w14:textId="77777777" w:rsidR="002D0AE7" w:rsidRDefault="00333EBB">
            <w:pPr>
              <w:ind w:right="73"/>
              <w:jc w:val="right"/>
              <w:rPr>
                <w:rFonts w:ascii="Times New Roman" w:hAnsi="Times New Roman" w:cs="Times New Roman"/>
                <w:sz w:val="21"/>
                <w:szCs w:val="21"/>
              </w:rPr>
            </w:pPr>
            <w:r>
              <w:rPr>
                <w:rFonts w:ascii="Times New Roman" w:hAnsi="Times New Roman" w:cs="Times New Roman"/>
                <w:sz w:val="21"/>
                <w:szCs w:val="21"/>
              </w:rPr>
              <w:t>55,196.78</w:t>
            </w:r>
          </w:p>
        </w:tc>
        <w:tc>
          <w:tcPr>
            <w:tcW w:w="992" w:type="pct"/>
            <w:tcBorders>
              <w:top w:val="single" w:sz="6" w:space="0" w:color="auto"/>
              <w:left w:val="single" w:sz="6" w:space="0" w:color="auto"/>
              <w:bottom w:val="single" w:sz="6" w:space="0" w:color="auto"/>
              <w:right w:val="single" w:sz="6" w:space="0" w:color="auto"/>
            </w:tcBorders>
            <w:vAlign w:val="center"/>
          </w:tcPr>
          <w:p w14:paraId="4AFA0D2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21.01</w:t>
            </w:r>
          </w:p>
        </w:tc>
        <w:tc>
          <w:tcPr>
            <w:tcW w:w="762" w:type="pct"/>
            <w:vMerge w:val="restart"/>
            <w:tcBorders>
              <w:top w:val="single" w:sz="6" w:space="0" w:color="auto"/>
              <w:left w:val="single" w:sz="6" w:space="0" w:color="auto"/>
              <w:right w:val="single" w:sz="6" w:space="0" w:color="auto"/>
            </w:tcBorders>
            <w:vAlign w:val="center"/>
          </w:tcPr>
          <w:p w14:paraId="75D882B6" w14:textId="77777777" w:rsidR="002D0AE7" w:rsidRDefault="00333EBB">
            <w:pPr>
              <w:ind w:right="73"/>
              <w:rPr>
                <w:rFonts w:hint="eastAsia"/>
                <w:sz w:val="21"/>
                <w:szCs w:val="21"/>
              </w:rPr>
            </w:pPr>
            <w:r>
              <w:rPr>
                <w:sz w:val="21"/>
                <w:szCs w:val="21"/>
              </w:rPr>
              <w:t>混改预留费</w:t>
            </w:r>
          </w:p>
        </w:tc>
        <w:tc>
          <w:tcPr>
            <w:tcW w:w="887" w:type="pct"/>
            <w:tcBorders>
              <w:top w:val="single" w:sz="6" w:space="0" w:color="auto"/>
              <w:left w:val="single" w:sz="6" w:space="0" w:color="auto"/>
              <w:bottom w:val="single" w:sz="6" w:space="0" w:color="auto"/>
              <w:right w:val="single" w:sz="6" w:space="0" w:color="auto"/>
            </w:tcBorders>
            <w:vAlign w:val="center"/>
          </w:tcPr>
          <w:p w14:paraId="0E1B7AA1" w14:textId="77777777" w:rsidR="002D0AE7" w:rsidRDefault="00333EBB">
            <w:pPr>
              <w:ind w:right="73"/>
              <w:rPr>
                <w:rFonts w:hint="eastAsia"/>
                <w:sz w:val="21"/>
                <w:szCs w:val="21"/>
              </w:rPr>
            </w:pPr>
            <w:r>
              <w:rPr>
                <w:sz w:val="21"/>
                <w:szCs w:val="21"/>
              </w:rPr>
              <w:t>3</w:t>
            </w:r>
            <w:r>
              <w:rPr>
                <w:sz w:val="21"/>
                <w:szCs w:val="21"/>
              </w:rPr>
              <w:t>个月以内</w:t>
            </w:r>
          </w:p>
        </w:tc>
        <w:tc>
          <w:tcPr>
            <w:tcW w:w="744" w:type="pct"/>
            <w:tcBorders>
              <w:top w:val="single" w:sz="6" w:space="0" w:color="auto"/>
              <w:left w:val="single" w:sz="6" w:space="0" w:color="auto"/>
              <w:bottom w:val="single" w:sz="6" w:space="0" w:color="auto"/>
              <w:right w:val="single" w:sz="6" w:space="0" w:color="auto"/>
            </w:tcBorders>
            <w:vAlign w:val="center"/>
          </w:tcPr>
          <w:p w14:paraId="4F3C255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5BDEDE61" w14:textId="77777777">
        <w:trPr>
          <w:cantSplit/>
        </w:trPr>
        <w:tc>
          <w:tcPr>
            <w:tcW w:w="639" w:type="pct"/>
            <w:vMerge/>
            <w:tcBorders>
              <w:left w:val="single" w:sz="6" w:space="0" w:color="auto"/>
              <w:bottom w:val="single" w:sz="6" w:space="0" w:color="auto"/>
              <w:right w:val="single" w:sz="6" w:space="0" w:color="auto"/>
            </w:tcBorders>
            <w:vAlign w:val="center"/>
          </w:tcPr>
          <w:p w14:paraId="282B67AF" w14:textId="77777777" w:rsidR="002D0AE7" w:rsidRDefault="002D0AE7">
            <w:pPr>
              <w:ind w:right="105"/>
              <w:jc w:val="center"/>
              <w:rPr>
                <w:rFonts w:hint="eastAsia"/>
                <w:sz w:val="21"/>
                <w:szCs w:val="21"/>
              </w:rPr>
            </w:pPr>
          </w:p>
        </w:tc>
        <w:tc>
          <w:tcPr>
            <w:tcW w:w="977" w:type="pct"/>
            <w:tcBorders>
              <w:top w:val="single" w:sz="6" w:space="0" w:color="auto"/>
              <w:left w:val="single" w:sz="6" w:space="0" w:color="auto"/>
              <w:bottom w:val="single" w:sz="6" w:space="0" w:color="auto"/>
              <w:right w:val="single" w:sz="6" w:space="0" w:color="auto"/>
            </w:tcBorders>
            <w:vAlign w:val="center"/>
          </w:tcPr>
          <w:p w14:paraId="24356FCE" w14:textId="77777777" w:rsidR="002D0AE7" w:rsidRDefault="00333EBB">
            <w:pPr>
              <w:ind w:right="73"/>
              <w:jc w:val="right"/>
              <w:rPr>
                <w:rFonts w:ascii="Times New Roman" w:hAnsi="Times New Roman" w:cs="Times New Roman"/>
                <w:sz w:val="21"/>
                <w:szCs w:val="21"/>
              </w:rPr>
            </w:pPr>
            <w:r>
              <w:rPr>
                <w:rFonts w:ascii="Times New Roman" w:hAnsi="Times New Roman" w:cs="Times New Roman"/>
                <w:sz w:val="21"/>
                <w:szCs w:val="21"/>
              </w:rPr>
              <w:t>86,463.30</w:t>
            </w:r>
          </w:p>
        </w:tc>
        <w:tc>
          <w:tcPr>
            <w:tcW w:w="992" w:type="pct"/>
            <w:tcBorders>
              <w:top w:val="single" w:sz="6" w:space="0" w:color="auto"/>
              <w:left w:val="single" w:sz="6" w:space="0" w:color="auto"/>
              <w:bottom w:val="single" w:sz="6" w:space="0" w:color="auto"/>
              <w:right w:val="single" w:sz="6" w:space="0" w:color="auto"/>
            </w:tcBorders>
            <w:vAlign w:val="center"/>
          </w:tcPr>
          <w:p w14:paraId="310EF36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32.90</w:t>
            </w:r>
          </w:p>
        </w:tc>
        <w:tc>
          <w:tcPr>
            <w:tcW w:w="762" w:type="pct"/>
            <w:vMerge/>
            <w:tcBorders>
              <w:left w:val="single" w:sz="6" w:space="0" w:color="auto"/>
              <w:bottom w:val="single" w:sz="6" w:space="0" w:color="auto"/>
              <w:right w:val="single" w:sz="6" w:space="0" w:color="auto"/>
            </w:tcBorders>
            <w:vAlign w:val="center"/>
          </w:tcPr>
          <w:p w14:paraId="259C676C" w14:textId="77777777" w:rsidR="002D0AE7" w:rsidRDefault="002D0AE7">
            <w:pPr>
              <w:ind w:right="73"/>
              <w:rPr>
                <w:rFonts w:hint="eastAsia"/>
                <w:sz w:val="21"/>
                <w:szCs w:val="21"/>
              </w:rPr>
            </w:pPr>
          </w:p>
        </w:tc>
        <w:tc>
          <w:tcPr>
            <w:tcW w:w="887" w:type="pct"/>
            <w:tcBorders>
              <w:top w:val="single" w:sz="6" w:space="0" w:color="auto"/>
              <w:left w:val="single" w:sz="6" w:space="0" w:color="auto"/>
              <w:bottom w:val="single" w:sz="6" w:space="0" w:color="auto"/>
              <w:right w:val="single" w:sz="6" w:space="0" w:color="auto"/>
            </w:tcBorders>
            <w:vAlign w:val="center"/>
          </w:tcPr>
          <w:p w14:paraId="7C386C21" w14:textId="77777777" w:rsidR="002D0AE7" w:rsidRDefault="00333EBB">
            <w:pPr>
              <w:ind w:right="73"/>
              <w:rPr>
                <w:rFonts w:hint="eastAsia"/>
                <w:sz w:val="21"/>
                <w:szCs w:val="21"/>
              </w:rPr>
            </w:pPr>
            <w:r>
              <w:rPr>
                <w:sz w:val="21"/>
                <w:szCs w:val="21"/>
              </w:rPr>
              <w:t>3</w:t>
            </w:r>
            <w:r>
              <w:rPr>
                <w:sz w:val="21"/>
                <w:szCs w:val="21"/>
              </w:rPr>
              <w:t>个月至</w:t>
            </w:r>
            <w:r>
              <w:rPr>
                <w:sz w:val="21"/>
                <w:szCs w:val="21"/>
              </w:rPr>
              <w:t>1</w:t>
            </w:r>
            <w:r>
              <w:rPr>
                <w:sz w:val="21"/>
                <w:szCs w:val="21"/>
              </w:rPr>
              <w:t>年</w:t>
            </w:r>
          </w:p>
        </w:tc>
        <w:tc>
          <w:tcPr>
            <w:tcW w:w="744" w:type="pct"/>
            <w:tcBorders>
              <w:top w:val="single" w:sz="6" w:space="0" w:color="auto"/>
              <w:left w:val="single" w:sz="6" w:space="0" w:color="auto"/>
              <w:bottom w:val="single" w:sz="6" w:space="0" w:color="auto"/>
              <w:right w:val="single" w:sz="6" w:space="0" w:color="auto"/>
            </w:tcBorders>
            <w:vAlign w:val="center"/>
          </w:tcPr>
          <w:p w14:paraId="1B991C4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432.32</w:t>
            </w:r>
          </w:p>
        </w:tc>
      </w:tr>
      <w:tr w:rsidR="002D0AE7" w14:paraId="47A89FA2" w14:textId="77777777">
        <w:trPr>
          <w:cantSplit/>
        </w:trPr>
        <w:tc>
          <w:tcPr>
            <w:tcW w:w="639" w:type="pct"/>
            <w:tcBorders>
              <w:top w:val="single" w:sz="6" w:space="0" w:color="auto"/>
              <w:left w:val="single" w:sz="6" w:space="0" w:color="auto"/>
              <w:bottom w:val="single" w:sz="6" w:space="0" w:color="auto"/>
              <w:right w:val="single" w:sz="6" w:space="0" w:color="auto"/>
            </w:tcBorders>
            <w:vAlign w:val="center"/>
          </w:tcPr>
          <w:p w14:paraId="1006227B" w14:textId="77777777" w:rsidR="002D0AE7" w:rsidRDefault="00333EBB">
            <w:pPr>
              <w:ind w:right="105"/>
              <w:jc w:val="center"/>
              <w:rPr>
                <w:rFonts w:hint="eastAsia"/>
                <w:sz w:val="21"/>
                <w:szCs w:val="21"/>
              </w:rPr>
            </w:pPr>
            <w:r>
              <w:rPr>
                <w:rFonts w:hint="eastAsia"/>
                <w:sz w:val="21"/>
                <w:szCs w:val="21"/>
              </w:rPr>
              <w:t>2</w:t>
            </w:r>
          </w:p>
        </w:tc>
        <w:tc>
          <w:tcPr>
            <w:tcW w:w="977" w:type="pct"/>
            <w:tcBorders>
              <w:top w:val="single" w:sz="6" w:space="0" w:color="auto"/>
              <w:left w:val="single" w:sz="6" w:space="0" w:color="auto"/>
              <w:bottom w:val="single" w:sz="6" w:space="0" w:color="auto"/>
              <w:right w:val="single" w:sz="6" w:space="0" w:color="auto"/>
            </w:tcBorders>
            <w:vAlign w:val="center"/>
          </w:tcPr>
          <w:p w14:paraId="56658A18" w14:textId="77777777" w:rsidR="002D0AE7" w:rsidRDefault="00333EBB">
            <w:pPr>
              <w:ind w:right="73"/>
              <w:jc w:val="right"/>
              <w:rPr>
                <w:rFonts w:ascii="Times New Roman" w:hAnsi="Times New Roman" w:cs="Times New Roman"/>
                <w:sz w:val="21"/>
                <w:szCs w:val="21"/>
              </w:rPr>
            </w:pPr>
            <w:r>
              <w:rPr>
                <w:rFonts w:ascii="Times New Roman" w:hAnsi="Times New Roman" w:cs="Times New Roman"/>
                <w:sz w:val="21"/>
                <w:szCs w:val="21"/>
              </w:rPr>
              <w:t>55,500.00</w:t>
            </w:r>
          </w:p>
        </w:tc>
        <w:tc>
          <w:tcPr>
            <w:tcW w:w="992" w:type="pct"/>
            <w:tcBorders>
              <w:top w:val="single" w:sz="6" w:space="0" w:color="auto"/>
              <w:left w:val="single" w:sz="6" w:space="0" w:color="auto"/>
              <w:bottom w:val="single" w:sz="6" w:space="0" w:color="auto"/>
              <w:right w:val="single" w:sz="6" w:space="0" w:color="auto"/>
            </w:tcBorders>
            <w:vAlign w:val="center"/>
          </w:tcPr>
          <w:p w14:paraId="106FAA8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21.12</w:t>
            </w:r>
          </w:p>
        </w:tc>
        <w:tc>
          <w:tcPr>
            <w:tcW w:w="762" w:type="pct"/>
            <w:tcBorders>
              <w:top w:val="single" w:sz="6" w:space="0" w:color="auto"/>
              <w:left w:val="single" w:sz="6" w:space="0" w:color="auto"/>
              <w:bottom w:val="single" w:sz="6" w:space="0" w:color="auto"/>
              <w:right w:val="single" w:sz="6" w:space="0" w:color="auto"/>
            </w:tcBorders>
            <w:vAlign w:val="center"/>
          </w:tcPr>
          <w:p w14:paraId="26ED3DBB" w14:textId="77777777" w:rsidR="002D0AE7" w:rsidRDefault="00333EBB">
            <w:pPr>
              <w:ind w:right="73"/>
              <w:rPr>
                <w:rFonts w:hint="eastAsia"/>
                <w:sz w:val="21"/>
                <w:szCs w:val="21"/>
              </w:rPr>
            </w:pPr>
            <w:r>
              <w:rPr>
                <w:sz w:val="21"/>
                <w:szCs w:val="21"/>
              </w:rPr>
              <w:t>租押金款</w:t>
            </w:r>
          </w:p>
        </w:tc>
        <w:tc>
          <w:tcPr>
            <w:tcW w:w="887" w:type="pct"/>
            <w:tcBorders>
              <w:top w:val="single" w:sz="6" w:space="0" w:color="auto"/>
              <w:left w:val="single" w:sz="6" w:space="0" w:color="auto"/>
              <w:bottom w:val="single" w:sz="6" w:space="0" w:color="auto"/>
              <w:right w:val="single" w:sz="6" w:space="0" w:color="auto"/>
            </w:tcBorders>
            <w:vAlign w:val="center"/>
          </w:tcPr>
          <w:p w14:paraId="7665F61D" w14:textId="77777777" w:rsidR="002D0AE7" w:rsidRDefault="00333EBB">
            <w:pPr>
              <w:ind w:right="73"/>
              <w:rPr>
                <w:rFonts w:hint="eastAsia"/>
                <w:sz w:val="21"/>
                <w:szCs w:val="21"/>
              </w:rPr>
            </w:pPr>
            <w:r>
              <w:rPr>
                <w:sz w:val="21"/>
                <w:szCs w:val="21"/>
              </w:rPr>
              <w:t>3</w:t>
            </w:r>
            <w:r>
              <w:rPr>
                <w:sz w:val="21"/>
                <w:szCs w:val="21"/>
              </w:rPr>
              <w:t>个月至</w:t>
            </w:r>
            <w:r>
              <w:rPr>
                <w:sz w:val="21"/>
                <w:szCs w:val="21"/>
              </w:rPr>
              <w:t>1</w:t>
            </w:r>
            <w:r>
              <w:rPr>
                <w:sz w:val="21"/>
                <w:szCs w:val="21"/>
              </w:rPr>
              <w:t>年</w:t>
            </w:r>
          </w:p>
        </w:tc>
        <w:tc>
          <w:tcPr>
            <w:tcW w:w="744" w:type="pct"/>
            <w:tcBorders>
              <w:top w:val="single" w:sz="6" w:space="0" w:color="auto"/>
              <w:left w:val="single" w:sz="6" w:space="0" w:color="auto"/>
              <w:bottom w:val="single" w:sz="6" w:space="0" w:color="auto"/>
              <w:right w:val="single" w:sz="6" w:space="0" w:color="auto"/>
            </w:tcBorders>
            <w:vAlign w:val="center"/>
          </w:tcPr>
          <w:p w14:paraId="409FA5C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277.50</w:t>
            </w:r>
          </w:p>
        </w:tc>
      </w:tr>
      <w:tr w:rsidR="002D0AE7" w14:paraId="086DF7FB" w14:textId="77777777">
        <w:trPr>
          <w:cantSplit/>
        </w:trPr>
        <w:tc>
          <w:tcPr>
            <w:tcW w:w="639" w:type="pct"/>
            <w:tcBorders>
              <w:top w:val="single" w:sz="6" w:space="0" w:color="auto"/>
              <w:left w:val="single" w:sz="6" w:space="0" w:color="auto"/>
              <w:bottom w:val="single" w:sz="6" w:space="0" w:color="auto"/>
              <w:right w:val="single" w:sz="6" w:space="0" w:color="auto"/>
            </w:tcBorders>
            <w:vAlign w:val="center"/>
          </w:tcPr>
          <w:p w14:paraId="2B00F4DA" w14:textId="77777777" w:rsidR="002D0AE7" w:rsidRDefault="00333EBB">
            <w:pPr>
              <w:ind w:right="105"/>
              <w:jc w:val="center"/>
              <w:rPr>
                <w:rFonts w:hint="eastAsia"/>
                <w:sz w:val="21"/>
                <w:szCs w:val="21"/>
              </w:rPr>
            </w:pPr>
            <w:r>
              <w:rPr>
                <w:rFonts w:hint="eastAsia"/>
                <w:sz w:val="21"/>
                <w:szCs w:val="21"/>
              </w:rPr>
              <w:t>3</w:t>
            </w:r>
          </w:p>
        </w:tc>
        <w:tc>
          <w:tcPr>
            <w:tcW w:w="977" w:type="pct"/>
            <w:tcBorders>
              <w:top w:val="single" w:sz="6" w:space="0" w:color="auto"/>
              <w:left w:val="single" w:sz="6" w:space="0" w:color="auto"/>
              <w:bottom w:val="single" w:sz="6" w:space="0" w:color="auto"/>
              <w:right w:val="single" w:sz="6" w:space="0" w:color="auto"/>
            </w:tcBorders>
            <w:vAlign w:val="center"/>
          </w:tcPr>
          <w:p w14:paraId="5EBE115B" w14:textId="77777777" w:rsidR="002D0AE7" w:rsidRDefault="00333EBB">
            <w:pPr>
              <w:ind w:right="73"/>
              <w:jc w:val="right"/>
              <w:rPr>
                <w:rFonts w:ascii="Times New Roman" w:hAnsi="Times New Roman" w:cs="Times New Roman"/>
                <w:sz w:val="21"/>
                <w:szCs w:val="21"/>
              </w:rPr>
            </w:pPr>
            <w:r>
              <w:rPr>
                <w:rFonts w:ascii="Times New Roman" w:hAnsi="Times New Roman" w:cs="Times New Roman"/>
                <w:sz w:val="21"/>
                <w:szCs w:val="21"/>
              </w:rPr>
              <w:t>41,214.43</w:t>
            </w:r>
          </w:p>
        </w:tc>
        <w:tc>
          <w:tcPr>
            <w:tcW w:w="992" w:type="pct"/>
            <w:tcBorders>
              <w:top w:val="single" w:sz="6" w:space="0" w:color="auto"/>
              <w:left w:val="single" w:sz="6" w:space="0" w:color="auto"/>
              <w:bottom w:val="single" w:sz="6" w:space="0" w:color="auto"/>
              <w:right w:val="single" w:sz="6" w:space="0" w:color="auto"/>
            </w:tcBorders>
            <w:vAlign w:val="center"/>
          </w:tcPr>
          <w:p w14:paraId="3CACB8C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15.68</w:t>
            </w:r>
          </w:p>
        </w:tc>
        <w:tc>
          <w:tcPr>
            <w:tcW w:w="762" w:type="pct"/>
            <w:tcBorders>
              <w:top w:val="single" w:sz="6" w:space="0" w:color="auto"/>
              <w:left w:val="single" w:sz="6" w:space="0" w:color="auto"/>
              <w:bottom w:val="single" w:sz="6" w:space="0" w:color="auto"/>
              <w:right w:val="single" w:sz="6" w:space="0" w:color="auto"/>
            </w:tcBorders>
            <w:vAlign w:val="center"/>
          </w:tcPr>
          <w:p w14:paraId="493AB47E" w14:textId="77777777" w:rsidR="002D0AE7" w:rsidRDefault="00333EBB">
            <w:pPr>
              <w:ind w:right="73"/>
              <w:rPr>
                <w:rFonts w:hint="eastAsia"/>
                <w:sz w:val="21"/>
                <w:szCs w:val="21"/>
              </w:rPr>
            </w:pPr>
            <w:r>
              <w:rPr>
                <w:sz w:val="21"/>
                <w:szCs w:val="21"/>
              </w:rPr>
              <w:t>其他</w:t>
            </w:r>
          </w:p>
        </w:tc>
        <w:tc>
          <w:tcPr>
            <w:tcW w:w="887" w:type="pct"/>
            <w:tcBorders>
              <w:top w:val="single" w:sz="6" w:space="0" w:color="auto"/>
              <w:left w:val="single" w:sz="6" w:space="0" w:color="auto"/>
              <w:bottom w:val="single" w:sz="6" w:space="0" w:color="auto"/>
              <w:right w:val="single" w:sz="6" w:space="0" w:color="auto"/>
            </w:tcBorders>
            <w:vAlign w:val="center"/>
          </w:tcPr>
          <w:p w14:paraId="6C2B10B3" w14:textId="77777777" w:rsidR="002D0AE7" w:rsidRDefault="00333EBB">
            <w:pPr>
              <w:ind w:right="73"/>
              <w:rPr>
                <w:rFonts w:hint="eastAsia"/>
                <w:sz w:val="21"/>
                <w:szCs w:val="21"/>
              </w:rPr>
            </w:pPr>
            <w:r>
              <w:rPr>
                <w:sz w:val="21"/>
                <w:szCs w:val="21"/>
              </w:rPr>
              <w:t>3</w:t>
            </w:r>
            <w:r>
              <w:rPr>
                <w:sz w:val="21"/>
                <w:szCs w:val="21"/>
              </w:rPr>
              <w:t>个月以内</w:t>
            </w:r>
          </w:p>
        </w:tc>
        <w:tc>
          <w:tcPr>
            <w:tcW w:w="744" w:type="pct"/>
            <w:tcBorders>
              <w:top w:val="single" w:sz="6" w:space="0" w:color="auto"/>
              <w:left w:val="single" w:sz="6" w:space="0" w:color="auto"/>
              <w:bottom w:val="single" w:sz="6" w:space="0" w:color="auto"/>
              <w:right w:val="single" w:sz="6" w:space="0" w:color="auto"/>
            </w:tcBorders>
            <w:vAlign w:val="center"/>
          </w:tcPr>
          <w:p w14:paraId="4B2C957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12458E06" w14:textId="77777777">
        <w:trPr>
          <w:cantSplit/>
        </w:trPr>
        <w:tc>
          <w:tcPr>
            <w:tcW w:w="639" w:type="pct"/>
            <w:tcBorders>
              <w:top w:val="single" w:sz="6" w:space="0" w:color="auto"/>
              <w:left w:val="single" w:sz="6" w:space="0" w:color="auto"/>
              <w:bottom w:val="single" w:sz="6" w:space="0" w:color="auto"/>
              <w:right w:val="single" w:sz="6" w:space="0" w:color="auto"/>
            </w:tcBorders>
            <w:vAlign w:val="center"/>
          </w:tcPr>
          <w:p w14:paraId="7DCF092F" w14:textId="77777777" w:rsidR="002D0AE7" w:rsidRDefault="00333EBB">
            <w:pPr>
              <w:ind w:right="105"/>
              <w:jc w:val="center"/>
              <w:rPr>
                <w:rFonts w:hint="eastAsia"/>
                <w:sz w:val="21"/>
                <w:szCs w:val="21"/>
              </w:rPr>
            </w:pPr>
            <w:r>
              <w:rPr>
                <w:rFonts w:hint="eastAsia"/>
                <w:sz w:val="21"/>
                <w:szCs w:val="21"/>
              </w:rPr>
              <w:t>4</w:t>
            </w:r>
          </w:p>
        </w:tc>
        <w:tc>
          <w:tcPr>
            <w:tcW w:w="977" w:type="pct"/>
            <w:tcBorders>
              <w:top w:val="single" w:sz="6" w:space="0" w:color="auto"/>
              <w:left w:val="single" w:sz="6" w:space="0" w:color="auto"/>
              <w:bottom w:val="single" w:sz="6" w:space="0" w:color="auto"/>
              <w:right w:val="single" w:sz="6" w:space="0" w:color="auto"/>
            </w:tcBorders>
            <w:vAlign w:val="center"/>
          </w:tcPr>
          <w:p w14:paraId="0AA04856" w14:textId="77777777" w:rsidR="002D0AE7" w:rsidRDefault="00333EBB">
            <w:pPr>
              <w:ind w:right="73"/>
              <w:jc w:val="right"/>
              <w:rPr>
                <w:rFonts w:ascii="Times New Roman" w:hAnsi="Times New Roman" w:cs="Times New Roman"/>
                <w:sz w:val="21"/>
                <w:szCs w:val="21"/>
              </w:rPr>
            </w:pPr>
            <w:r>
              <w:rPr>
                <w:rFonts w:ascii="Times New Roman" w:hAnsi="Times New Roman" w:cs="Times New Roman"/>
                <w:sz w:val="21"/>
                <w:szCs w:val="21"/>
              </w:rPr>
              <w:t>9,000.00</w:t>
            </w:r>
          </w:p>
        </w:tc>
        <w:tc>
          <w:tcPr>
            <w:tcW w:w="992" w:type="pct"/>
            <w:tcBorders>
              <w:top w:val="single" w:sz="6" w:space="0" w:color="auto"/>
              <w:left w:val="single" w:sz="6" w:space="0" w:color="auto"/>
              <w:bottom w:val="single" w:sz="6" w:space="0" w:color="auto"/>
              <w:right w:val="single" w:sz="6" w:space="0" w:color="auto"/>
            </w:tcBorders>
            <w:vAlign w:val="center"/>
          </w:tcPr>
          <w:p w14:paraId="4203D34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3.43</w:t>
            </w:r>
          </w:p>
        </w:tc>
        <w:tc>
          <w:tcPr>
            <w:tcW w:w="762" w:type="pct"/>
            <w:tcBorders>
              <w:top w:val="single" w:sz="6" w:space="0" w:color="auto"/>
              <w:left w:val="single" w:sz="6" w:space="0" w:color="auto"/>
              <w:bottom w:val="single" w:sz="6" w:space="0" w:color="auto"/>
              <w:right w:val="single" w:sz="6" w:space="0" w:color="auto"/>
            </w:tcBorders>
            <w:vAlign w:val="center"/>
          </w:tcPr>
          <w:p w14:paraId="27CC0715" w14:textId="77777777" w:rsidR="002D0AE7" w:rsidRDefault="00333EBB">
            <w:pPr>
              <w:ind w:right="73"/>
              <w:rPr>
                <w:rFonts w:hint="eastAsia"/>
                <w:sz w:val="21"/>
                <w:szCs w:val="21"/>
              </w:rPr>
            </w:pPr>
            <w:r>
              <w:rPr>
                <w:sz w:val="21"/>
                <w:szCs w:val="21"/>
              </w:rPr>
              <w:t>其他</w:t>
            </w:r>
          </w:p>
        </w:tc>
        <w:tc>
          <w:tcPr>
            <w:tcW w:w="887" w:type="pct"/>
            <w:tcBorders>
              <w:top w:val="single" w:sz="6" w:space="0" w:color="auto"/>
              <w:left w:val="single" w:sz="6" w:space="0" w:color="auto"/>
              <w:bottom w:val="single" w:sz="6" w:space="0" w:color="auto"/>
              <w:right w:val="single" w:sz="6" w:space="0" w:color="auto"/>
            </w:tcBorders>
            <w:vAlign w:val="center"/>
          </w:tcPr>
          <w:p w14:paraId="59387962" w14:textId="77777777" w:rsidR="002D0AE7" w:rsidRDefault="00333EBB">
            <w:pPr>
              <w:ind w:right="73"/>
              <w:rPr>
                <w:rFonts w:hint="eastAsia"/>
                <w:sz w:val="21"/>
                <w:szCs w:val="21"/>
              </w:rPr>
            </w:pPr>
            <w:r>
              <w:rPr>
                <w:sz w:val="21"/>
                <w:szCs w:val="21"/>
              </w:rPr>
              <w:t>3</w:t>
            </w:r>
            <w:r>
              <w:rPr>
                <w:sz w:val="21"/>
                <w:szCs w:val="21"/>
              </w:rPr>
              <w:t>个月以内</w:t>
            </w:r>
          </w:p>
        </w:tc>
        <w:tc>
          <w:tcPr>
            <w:tcW w:w="744" w:type="pct"/>
            <w:tcBorders>
              <w:top w:val="single" w:sz="6" w:space="0" w:color="auto"/>
              <w:left w:val="single" w:sz="6" w:space="0" w:color="auto"/>
              <w:bottom w:val="single" w:sz="6" w:space="0" w:color="auto"/>
              <w:right w:val="single" w:sz="6" w:space="0" w:color="auto"/>
            </w:tcBorders>
            <w:vAlign w:val="center"/>
          </w:tcPr>
          <w:p w14:paraId="66958CC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r>
      <w:tr w:rsidR="002D0AE7" w14:paraId="665714E0" w14:textId="77777777">
        <w:trPr>
          <w:cantSplit/>
        </w:trPr>
        <w:tc>
          <w:tcPr>
            <w:tcW w:w="639" w:type="pct"/>
            <w:tcBorders>
              <w:top w:val="single" w:sz="6" w:space="0" w:color="auto"/>
              <w:left w:val="single" w:sz="6" w:space="0" w:color="auto"/>
              <w:bottom w:val="single" w:sz="6" w:space="0" w:color="auto"/>
              <w:right w:val="single" w:sz="6" w:space="0" w:color="auto"/>
            </w:tcBorders>
            <w:vAlign w:val="center"/>
          </w:tcPr>
          <w:p w14:paraId="116641B7" w14:textId="77777777" w:rsidR="002D0AE7" w:rsidRDefault="00333EBB">
            <w:pPr>
              <w:ind w:right="105"/>
              <w:jc w:val="center"/>
              <w:rPr>
                <w:rFonts w:hint="eastAsia"/>
                <w:sz w:val="21"/>
                <w:szCs w:val="21"/>
              </w:rPr>
            </w:pPr>
            <w:r>
              <w:rPr>
                <w:rFonts w:hint="eastAsia"/>
                <w:sz w:val="21"/>
                <w:szCs w:val="21"/>
              </w:rPr>
              <w:t>5</w:t>
            </w:r>
          </w:p>
        </w:tc>
        <w:tc>
          <w:tcPr>
            <w:tcW w:w="977" w:type="pct"/>
            <w:tcBorders>
              <w:top w:val="single" w:sz="6" w:space="0" w:color="auto"/>
              <w:left w:val="single" w:sz="6" w:space="0" w:color="auto"/>
              <w:bottom w:val="single" w:sz="6" w:space="0" w:color="auto"/>
              <w:right w:val="single" w:sz="6" w:space="0" w:color="auto"/>
            </w:tcBorders>
            <w:vAlign w:val="center"/>
          </w:tcPr>
          <w:p w14:paraId="1AF3D28A" w14:textId="77777777" w:rsidR="002D0AE7" w:rsidRDefault="00333EBB">
            <w:pPr>
              <w:ind w:right="73"/>
              <w:jc w:val="right"/>
              <w:rPr>
                <w:rFonts w:ascii="Times New Roman" w:hAnsi="Times New Roman" w:cs="Times New Roman"/>
                <w:sz w:val="21"/>
                <w:szCs w:val="21"/>
              </w:rPr>
            </w:pPr>
            <w:r>
              <w:rPr>
                <w:rFonts w:ascii="Times New Roman" w:hAnsi="Times New Roman" w:cs="Times New Roman"/>
                <w:sz w:val="21"/>
                <w:szCs w:val="21"/>
              </w:rPr>
              <w:t>8,000.00</w:t>
            </w:r>
          </w:p>
        </w:tc>
        <w:tc>
          <w:tcPr>
            <w:tcW w:w="992" w:type="pct"/>
            <w:tcBorders>
              <w:top w:val="single" w:sz="6" w:space="0" w:color="auto"/>
              <w:left w:val="single" w:sz="6" w:space="0" w:color="auto"/>
              <w:bottom w:val="single" w:sz="6" w:space="0" w:color="auto"/>
              <w:right w:val="single" w:sz="6" w:space="0" w:color="auto"/>
            </w:tcBorders>
            <w:vAlign w:val="center"/>
          </w:tcPr>
          <w:p w14:paraId="16E0AF6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3.04</w:t>
            </w:r>
          </w:p>
        </w:tc>
        <w:tc>
          <w:tcPr>
            <w:tcW w:w="762" w:type="pct"/>
            <w:tcBorders>
              <w:top w:val="single" w:sz="6" w:space="0" w:color="auto"/>
              <w:left w:val="single" w:sz="6" w:space="0" w:color="auto"/>
              <w:bottom w:val="single" w:sz="6" w:space="0" w:color="auto"/>
              <w:right w:val="single" w:sz="6" w:space="0" w:color="auto"/>
            </w:tcBorders>
            <w:vAlign w:val="center"/>
          </w:tcPr>
          <w:p w14:paraId="44B6EAC0" w14:textId="77777777" w:rsidR="002D0AE7" w:rsidRDefault="00333EBB">
            <w:pPr>
              <w:ind w:right="73"/>
              <w:rPr>
                <w:rFonts w:hint="eastAsia"/>
                <w:sz w:val="21"/>
                <w:szCs w:val="21"/>
              </w:rPr>
            </w:pPr>
            <w:r>
              <w:rPr>
                <w:sz w:val="21"/>
                <w:szCs w:val="21"/>
              </w:rPr>
              <w:t>其他</w:t>
            </w:r>
          </w:p>
        </w:tc>
        <w:tc>
          <w:tcPr>
            <w:tcW w:w="887" w:type="pct"/>
            <w:tcBorders>
              <w:top w:val="single" w:sz="6" w:space="0" w:color="auto"/>
              <w:left w:val="single" w:sz="6" w:space="0" w:color="auto"/>
              <w:bottom w:val="single" w:sz="6" w:space="0" w:color="auto"/>
              <w:right w:val="single" w:sz="6" w:space="0" w:color="auto"/>
            </w:tcBorders>
            <w:vAlign w:val="center"/>
          </w:tcPr>
          <w:p w14:paraId="38588EC8" w14:textId="77777777" w:rsidR="002D0AE7" w:rsidRDefault="00333EBB">
            <w:pPr>
              <w:ind w:right="73"/>
              <w:rPr>
                <w:rFonts w:hint="eastAsia"/>
                <w:sz w:val="21"/>
                <w:szCs w:val="21"/>
              </w:rPr>
            </w:pPr>
            <w:r>
              <w:rPr>
                <w:sz w:val="21"/>
                <w:szCs w:val="21"/>
              </w:rPr>
              <w:t>1</w:t>
            </w:r>
            <w:r>
              <w:rPr>
                <w:sz w:val="21"/>
                <w:szCs w:val="21"/>
              </w:rPr>
              <w:t>年至</w:t>
            </w:r>
            <w:r>
              <w:rPr>
                <w:sz w:val="21"/>
                <w:szCs w:val="21"/>
              </w:rPr>
              <w:t>2</w:t>
            </w:r>
            <w:r>
              <w:rPr>
                <w:sz w:val="21"/>
                <w:szCs w:val="21"/>
              </w:rPr>
              <w:t>年</w:t>
            </w:r>
          </w:p>
        </w:tc>
        <w:tc>
          <w:tcPr>
            <w:tcW w:w="744" w:type="pct"/>
            <w:tcBorders>
              <w:top w:val="single" w:sz="6" w:space="0" w:color="auto"/>
              <w:left w:val="single" w:sz="6" w:space="0" w:color="auto"/>
              <w:bottom w:val="single" w:sz="6" w:space="0" w:color="auto"/>
              <w:right w:val="single" w:sz="6" w:space="0" w:color="auto"/>
            </w:tcBorders>
            <w:vAlign w:val="center"/>
          </w:tcPr>
          <w:p w14:paraId="386A6FF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1,600.00</w:t>
            </w:r>
          </w:p>
        </w:tc>
      </w:tr>
      <w:tr w:rsidR="002D0AE7" w14:paraId="6DDEB847" w14:textId="77777777">
        <w:trPr>
          <w:cantSplit/>
        </w:trPr>
        <w:tc>
          <w:tcPr>
            <w:tcW w:w="639" w:type="pct"/>
            <w:tcBorders>
              <w:top w:val="single" w:sz="6" w:space="0" w:color="auto"/>
              <w:left w:val="single" w:sz="6" w:space="0" w:color="auto"/>
              <w:bottom w:val="single" w:sz="6" w:space="0" w:color="auto"/>
              <w:right w:val="single" w:sz="6" w:space="0" w:color="auto"/>
            </w:tcBorders>
            <w:vAlign w:val="center"/>
          </w:tcPr>
          <w:p w14:paraId="35C8B8A8" w14:textId="77777777" w:rsidR="002D0AE7" w:rsidRDefault="00333EBB">
            <w:pPr>
              <w:ind w:right="105"/>
              <w:jc w:val="center"/>
              <w:rPr>
                <w:rFonts w:hint="eastAsia"/>
                <w:color w:val="000000" w:themeColor="text1"/>
                <w:sz w:val="21"/>
                <w:szCs w:val="21"/>
              </w:rPr>
            </w:pPr>
            <w:r>
              <w:rPr>
                <w:rFonts w:hint="eastAsia"/>
                <w:color w:val="000000" w:themeColor="text1"/>
                <w:sz w:val="21"/>
                <w:szCs w:val="21"/>
              </w:rPr>
              <w:t>合计</w:t>
            </w:r>
          </w:p>
        </w:tc>
        <w:tc>
          <w:tcPr>
            <w:tcW w:w="977" w:type="pct"/>
            <w:tcBorders>
              <w:top w:val="single" w:sz="6" w:space="0" w:color="auto"/>
              <w:left w:val="single" w:sz="6" w:space="0" w:color="auto"/>
              <w:bottom w:val="single" w:sz="6" w:space="0" w:color="auto"/>
              <w:right w:val="single" w:sz="6" w:space="0" w:color="auto"/>
            </w:tcBorders>
            <w:vAlign w:val="center"/>
          </w:tcPr>
          <w:p w14:paraId="7060D25B" w14:textId="77777777" w:rsidR="002D0AE7" w:rsidRDefault="00333EBB">
            <w:pPr>
              <w:ind w:right="73"/>
              <w:jc w:val="right"/>
              <w:rPr>
                <w:rFonts w:ascii="Times New Roman" w:hAnsi="Times New Roman" w:cs="Times New Roman"/>
                <w:sz w:val="21"/>
                <w:szCs w:val="21"/>
              </w:rPr>
            </w:pPr>
            <w:r>
              <w:rPr>
                <w:rFonts w:ascii="Times New Roman" w:hAnsi="Times New Roman" w:cs="Times New Roman"/>
                <w:sz w:val="21"/>
                <w:szCs w:val="21"/>
              </w:rPr>
              <w:t>255,374.51</w:t>
            </w:r>
          </w:p>
        </w:tc>
        <w:tc>
          <w:tcPr>
            <w:tcW w:w="992" w:type="pct"/>
            <w:tcBorders>
              <w:top w:val="single" w:sz="6" w:space="0" w:color="auto"/>
              <w:left w:val="single" w:sz="6" w:space="0" w:color="auto"/>
              <w:bottom w:val="single" w:sz="6" w:space="0" w:color="auto"/>
              <w:right w:val="single" w:sz="6" w:space="0" w:color="auto"/>
            </w:tcBorders>
            <w:vAlign w:val="center"/>
          </w:tcPr>
          <w:p w14:paraId="4D72D84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97.18</w:t>
            </w:r>
          </w:p>
        </w:tc>
        <w:tc>
          <w:tcPr>
            <w:tcW w:w="762" w:type="pct"/>
            <w:tcBorders>
              <w:top w:val="single" w:sz="6" w:space="0" w:color="auto"/>
              <w:left w:val="single" w:sz="6" w:space="0" w:color="auto"/>
              <w:bottom w:val="single" w:sz="6" w:space="0" w:color="auto"/>
              <w:right w:val="single" w:sz="6" w:space="0" w:color="auto"/>
            </w:tcBorders>
            <w:vAlign w:val="center"/>
          </w:tcPr>
          <w:p w14:paraId="49E0194C" w14:textId="77777777" w:rsidR="002D0AE7" w:rsidRDefault="00333EBB">
            <w:pPr>
              <w:ind w:right="73"/>
              <w:jc w:val="center"/>
              <w:rPr>
                <w:rFonts w:hint="eastAsia"/>
                <w:color w:val="000000" w:themeColor="text1"/>
                <w:sz w:val="21"/>
                <w:szCs w:val="21"/>
              </w:rPr>
            </w:pPr>
            <w:r>
              <w:rPr>
                <w:color w:val="000000" w:themeColor="text1"/>
                <w:sz w:val="21"/>
                <w:szCs w:val="21"/>
              </w:rPr>
              <w:t>/</w:t>
            </w:r>
          </w:p>
        </w:tc>
        <w:tc>
          <w:tcPr>
            <w:tcW w:w="887" w:type="pct"/>
            <w:tcBorders>
              <w:top w:val="single" w:sz="6" w:space="0" w:color="auto"/>
              <w:left w:val="single" w:sz="6" w:space="0" w:color="auto"/>
              <w:bottom w:val="single" w:sz="6" w:space="0" w:color="auto"/>
              <w:right w:val="single" w:sz="6" w:space="0" w:color="auto"/>
            </w:tcBorders>
            <w:vAlign w:val="center"/>
          </w:tcPr>
          <w:p w14:paraId="35375BF7" w14:textId="77777777" w:rsidR="002D0AE7" w:rsidRDefault="00333EBB">
            <w:pPr>
              <w:ind w:right="73"/>
              <w:jc w:val="center"/>
              <w:rPr>
                <w:rFonts w:hint="eastAsia"/>
                <w:color w:val="000000" w:themeColor="text1"/>
                <w:sz w:val="21"/>
                <w:szCs w:val="21"/>
              </w:rPr>
            </w:pPr>
            <w:r>
              <w:rPr>
                <w:color w:val="000000" w:themeColor="text1"/>
                <w:sz w:val="21"/>
                <w:szCs w:val="21"/>
              </w:rPr>
              <w:t>/</w:t>
            </w:r>
          </w:p>
        </w:tc>
        <w:tc>
          <w:tcPr>
            <w:tcW w:w="744" w:type="pct"/>
            <w:tcBorders>
              <w:top w:val="single" w:sz="6" w:space="0" w:color="auto"/>
              <w:left w:val="single" w:sz="6" w:space="0" w:color="auto"/>
              <w:bottom w:val="single" w:sz="6" w:space="0" w:color="auto"/>
              <w:right w:val="single" w:sz="6" w:space="0" w:color="auto"/>
            </w:tcBorders>
            <w:vAlign w:val="center"/>
          </w:tcPr>
          <w:p w14:paraId="27CFE70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2,309.82</w:t>
            </w:r>
          </w:p>
        </w:tc>
      </w:tr>
    </w:tbl>
    <w:bookmarkEnd w:id="283"/>
    <w:bookmarkEnd w:id="282"/>
    <w:p w14:paraId="1450799A" w14:textId="77777777" w:rsidR="002D0AE7" w:rsidRDefault="00333EBB">
      <w:pPr>
        <w:pStyle w:val="3"/>
        <w:numPr>
          <w:ilvl w:val="0"/>
          <w:numId w:val="92"/>
        </w:numPr>
        <w:rPr>
          <w:rFonts w:ascii="宋体" w:hAnsi="宋体" w:hint="eastAsia"/>
          <w:color w:val="000000" w:themeColor="text1"/>
          <w:szCs w:val="21"/>
        </w:rPr>
      </w:pPr>
      <w:r>
        <w:rPr>
          <w:rFonts w:ascii="宋体" w:hAnsi="宋体" w:hint="eastAsia"/>
          <w:color w:val="000000" w:themeColor="text1"/>
          <w:szCs w:val="21"/>
        </w:rPr>
        <w:t>长期股权投资</w:t>
      </w:r>
    </w:p>
    <w:sdt>
      <w:sdtPr>
        <w:rPr>
          <w:color w:val="000000" w:themeColor="text1"/>
        </w:rPr>
        <w:alias w:val="是否适用：母公司长期股权投资[双击切换]"/>
        <w:tag w:val="_GBC_61071b9a58624e83bfc4232808751b95"/>
        <w:id w:val="-1552524854"/>
        <w:lock w:val="contentLocked"/>
        <w:placeholder>
          <w:docPart w:val="GBC22222222222222222222222222222"/>
        </w:placeholder>
      </w:sdtPr>
      <w:sdtEndPr/>
      <w:sdtContent>
        <w:p w14:paraId="6E55BB85"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6A07CE75"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母公司财务附注：长期股权投资"/>
          <w:tag w:val="_GBC_ee2c3454a2494dfca9c0a07bba82ed3d"/>
          <w:id w:val="-5964546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母公司财务附注：长期股权投资"/>
          <w:tag w:val="_GBC_4b4d1a2b986f475e8058a041d2f5a6f9"/>
          <w:id w:val="177852252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48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firstRow="1" w:lastRow="0" w:firstColumn="1" w:lastColumn="0" w:noHBand="0" w:noVBand="1"/>
      </w:tblPr>
      <w:tblGrid>
        <w:gridCol w:w="2530"/>
        <w:gridCol w:w="1532"/>
        <w:gridCol w:w="501"/>
        <w:gridCol w:w="1533"/>
        <w:gridCol w:w="1533"/>
        <w:gridCol w:w="515"/>
        <w:gridCol w:w="1532"/>
      </w:tblGrid>
      <w:tr w:rsidR="002D0AE7" w14:paraId="18503285" w14:textId="77777777">
        <w:trPr>
          <w:cantSplit/>
          <w:jc w:val="center"/>
        </w:trPr>
        <w:sdt>
          <w:sdtPr>
            <w:rPr>
              <w:color w:val="000000" w:themeColor="text1"/>
              <w:sz w:val="21"/>
              <w:szCs w:val="21"/>
            </w:rPr>
            <w:tag w:val="_PLD_69c4a2f49545484e8b3a149f64c9d21f"/>
            <w:id w:val="2111778722"/>
          </w:sdtPr>
          <w:sdtEndPr/>
          <w:sdtContent>
            <w:tc>
              <w:tcPr>
                <w:tcW w:w="1308" w:type="pct"/>
                <w:vMerge w:val="restart"/>
                <w:shd w:val="clear" w:color="auto" w:fill="auto"/>
                <w:vAlign w:val="center"/>
              </w:tcPr>
              <w:p w14:paraId="48884322"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f7d0566caa554c4c823029a05c5319eb"/>
            <w:id w:val="-1474672602"/>
          </w:sdtPr>
          <w:sdtEndPr/>
          <w:sdtContent>
            <w:tc>
              <w:tcPr>
                <w:tcW w:w="1843" w:type="pct"/>
                <w:gridSpan w:val="3"/>
                <w:shd w:val="clear" w:color="auto" w:fill="auto"/>
                <w:vAlign w:val="center"/>
              </w:tcPr>
              <w:p w14:paraId="2E844705"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sdt>
          <w:sdtPr>
            <w:rPr>
              <w:color w:val="000000" w:themeColor="text1"/>
              <w:sz w:val="21"/>
              <w:szCs w:val="21"/>
            </w:rPr>
            <w:tag w:val="_PLD_9d2cfae2492a49c2b441d1371a5e4673"/>
            <w:id w:val="734051648"/>
          </w:sdtPr>
          <w:sdtEndPr/>
          <w:sdtContent>
            <w:tc>
              <w:tcPr>
                <w:tcW w:w="1849" w:type="pct"/>
                <w:gridSpan w:val="3"/>
                <w:shd w:val="clear" w:color="auto" w:fill="auto"/>
                <w:vAlign w:val="center"/>
              </w:tcPr>
              <w:p w14:paraId="23A5523A" w14:textId="77777777" w:rsidR="002D0AE7" w:rsidRDefault="00333EBB">
                <w:pPr>
                  <w:jc w:val="center"/>
                  <w:rPr>
                    <w:rFonts w:hint="eastAsia"/>
                    <w:color w:val="000000" w:themeColor="text1"/>
                    <w:sz w:val="21"/>
                    <w:szCs w:val="21"/>
                  </w:rPr>
                </w:pPr>
                <w:r>
                  <w:rPr>
                    <w:rFonts w:hint="eastAsia"/>
                    <w:color w:val="000000" w:themeColor="text1"/>
                    <w:sz w:val="21"/>
                    <w:szCs w:val="21"/>
                  </w:rPr>
                  <w:t>期初余额</w:t>
                </w:r>
              </w:p>
            </w:tc>
          </w:sdtContent>
        </w:sdt>
      </w:tr>
      <w:tr w:rsidR="002D0AE7" w14:paraId="0DAB7D93" w14:textId="77777777">
        <w:trPr>
          <w:cantSplit/>
          <w:jc w:val="center"/>
        </w:trPr>
        <w:tc>
          <w:tcPr>
            <w:tcW w:w="1308" w:type="pct"/>
            <w:vMerge/>
            <w:tcBorders>
              <w:bottom w:val="single" w:sz="6" w:space="0" w:color="auto"/>
            </w:tcBorders>
            <w:shd w:val="clear" w:color="auto" w:fill="auto"/>
            <w:vAlign w:val="center"/>
          </w:tcPr>
          <w:p w14:paraId="57AEDBAD" w14:textId="77777777" w:rsidR="002D0AE7" w:rsidRDefault="002D0AE7">
            <w:pPr>
              <w:jc w:val="center"/>
              <w:rPr>
                <w:rFonts w:hint="eastAsia"/>
                <w:color w:val="000000" w:themeColor="text1"/>
                <w:sz w:val="21"/>
                <w:szCs w:val="21"/>
              </w:rPr>
            </w:pPr>
          </w:p>
        </w:tc>
        <w:sdt>
          <w:sdtPr>
            <w:rPr>
              <w:color w:val="000000" w:themeColor="text1"/>
              <w:sz w:val="21"/>
              <w:szCs w:val="21"/>
            </w:rPr>
            <w:tag w:val="_PLD_9f664b17996c45f08a57544a9ec7e340"/>
            <w:id w:val="-1322570520"/>
          </w:sdtPr>
          <w:sdtEndPr/>
          <w:sdtContent>
            <w:tc>
              <w:tcPr>
                <w:tcW w:w="792" w:type="pct"/>
                <w:tcBorders>
                  <w:bottom w:val="single" w:sz="6" w:space="0" w:color="auto"/>
                </w:tcBorders>
                <w:shd w:val="clear" w:color="auto" w:fill="auto"/>
                <w:vAlign w:val="center"/>
              </w:tcPr>
              <w:p w14:paraId="6A2E6100" w14:textId="77777777" w:rsidR="002D0AE7" w:rsidRDefault="00333EBB">
                <w:pPr>
                  <w:jc w:val="center"/>
                  <w:rPr>
                    <w:rFonts w:hint="eastAsia"/>
                    <w:color w:val="000000" w:themeColor="text1"/>
                    <w:sz w:val="21"/>
                    <w:szCs w:val="21"/>
                  </w:rPr>
                </w:pPr>
                <w:r>
                  <w:rPr>
                    <w:rFonts w:hint="eastAsia"/>
                    <w:color w:val="000000" w:themeColor="text1"/>
                    <w:sz w:val="21"/>
                    <w:szCs w:val="21"/>
                  </w:rPr>
                  <w:t>账面余额</w:t>
                </w:r>
              </w:p>
            </w:tc>
          </w:sdtContent>
        </w:sdt>
        <w:sdt>
          <w:sdtPr>
            <w:rPr>
              <w:color w:val="000000" w:themeColor="text1"/>
              <w:sz w:val="21"/>
              <w:szCs w:val="21"/>
            </w:rPr>
            <w:tag w:val="_PLD_5c150a7367994fc29e7f8b50d7ff2eab"/>
            <w:id w:val="248313505"/>
          </w:sdtPr>
          <w:sdtEndPr/>
          <w:sdtContent>
            <w:tc>
              <w:tcPr>
                <w:tcW w:w="259" w:type="pct"/>
                <w:tcBorders>
                  <w:bottom w:val="single" w:sz="6" w:space="0" w:color="auto"/>
                </w:tcBorders>
                <w:shd w:val="clear" w:color="auto" w:fill="auto"/>
                <w:vAlign w:val="center"/>
              </w:tcPr>
              <w:p w14:paraId="104C1F16" w14:textId="77777777" w:rsidR="002D0AE7" w:rsidRDefault="00333EBB">
                <w:pPr>
                  <w:jc w:val="center"/>
                  <w:rPr>
                    <w:rFonts w:hint="eastAsia"/>
                    <w:color w:val="000000" w:themeColor="text1"/>
                    <w:sz w:val="21"/>
                    <w:szCs w:val="21"/>
                  </w:rPr>
                </w:pPr>
                <w:r>
                  <w:rPr>
                    <w:rFonts w:hint="eastAsia"/>
                    <w:color w:val="000000" w:themeColor="text1"/>
                    <w:sz w:val="21"/>
                    <w:szCs w:val="21"/>
                  </w:rPr>
                  <w:t>减值准备</w:t>
                </w:r>
              </w:p>
            </w:tc>
          </w:sdtContent>
        </w:sdt>
        <w:sdt>
          <w:sdtPr>
            <w:rPr>
              <w:color w:val="000000" w:themeColor="text1"/>
              <w:sz w:val="21"/>
              <w:szCs w:val="21"/>
            </w:rPr>
            <w:tag w:val="_PLD_3db48da0eacd49568929884577dae51b"/>
            <w:id w:val="-360130827"/>
          </w:sdtPr>
          <w:sdtEndPr/>
          <w:sdtContent>
            <w:tc>
              <w:tcPr>
                <w:tcW w:w="792" w:type="pct"/>
                <w:tcBorders>
                  <w:bottom w:val="single" w:sz="6" w:space="0" w:color="auto"/>
                </w:tcBorders>
                <w:shd w:val="clear" w:color="auto" w:fill="auto"/>
                <w:vAlign w:val="center"/>
              </w:tcPr>
              <w:p w14:paraId="5351398D" w14:textId="77777777" w:rsidR="002D0AE7" w:rsidRDefault="00333EBB">
                <w:pPr>
                  <w:jc w:val="center"/>
                  <w:rPr>
                    <w:rFonts w:hint="eastAsia"/>
                    <w:color w:val="000000" w:themeColor="text1"/>
                    <w:sz w:val="21"/>
                    <w:szCs w:val="21"/>
                  </w:rPr>
                </w:pPr>
                <w:r>
                  <w:rPr>
                    <w:rFonts w:hint="eastAsia"/>
                    <w:color w:val="000000" w:themeColor="text1"/>
                    <w:sz w:val="21"/>
                    <w:szCs w:val="21"/>
                  </w:rPr>
                  <w:t>账面价值</w:t>
                </w:r>
              </w:p>
            </w:tc>
          </w:sdtContent>
        </w:sdt>
        <w:sdt>
          <w:sdtPr>
            <w:rPr>
              <w:color w:val="000000" w:themeColor="text1"/>
              <w:sz w:val="21"/>
              <w:szCs w:val="21"/>
            </w:rPr>
            <w:tag w:val="_PLD_00d8a1d3b6754b52929b2c46a2e716c9"/>
            <w:id w:val="-495733191"/>
          </w:sdtPr>
          <w:sdtEndPr/>
          <w:sdtContent>
            <w:tc>
              <w:tcPr>
                <w:tcW w:w="792" w:type="pct"/>
                <w:tcBorders>
                  <w:bottom w:val="single" w:sz="6" w:space="0" w:color="auto"/>
                </w:tcBorders>
                <w:shd w:val="clear" w:color="auto" w:fill="auto"/>
                <w:vAlign w:val="center"/>
              </w:tcPr>
              <w:p w14:paraId="6E19B6A7" w14:textId="77777777" w:rsidR="002D0AE7" w:rsidRDefault="00333EBB">
                <w:pPr>
                  <w:jc w:val="center"/>
                  <w:rPr>
                    <w:rFonts w:hint="eastAsia"/>
                    <w:color w:val="000000" w:themeColor="text1"/>
                    <w:sz w:val="21"/>
                    <w:szCs w:val="21"/>
                  </w:rPr>
                </w:pPr>
                <w:r>
                  <w:rPr>
                    <w:rFonts w:hint="eastAsia"/>
                    <w:color w:val="000000" w:themeColor="text1"/>
                    <w:sz w:val="21"/>
                    <w:szCs w:val="21"/>
                  </w:rPr>
                  <w:t>账面余额</w:t>
                </w:r>
              </w:p>
            </w:tc>
          </w:sdtContent>
        </w:sdt>
        <w:sdt>
          <w:sdtPr>
            <w:rPr>
              <w:color w:val="000000" w:themeColor="text1"/>
              <w:sz w:val="21"/>
              <w:szCs w:val="21"/>
            </w:rPr>
            <w:tag w:val="_PLD_0f2c77fc41ea456bab34653dee178805"/>
            <w:id w:val="356704498"/>
          </w:sdtPr>
          <w:sdtEndPr/>
          <w:sdtContent>
            <w:tc>
              <w:tcPr>
                <w:tcW w:w="266" w:type="pct"/>
                <w:tcBorders>
                  <w:bottom w:val="single" w:sz="6" w:space="0" w:color="auto"/>
                </w:tcBorders>
                <w:shd w:val="clear" w:color="auto" w:fill="auto"/>
                <w:vAlign w:val="center"/>
              </w:tcPr>
              <w:p w14:paraId="6B811C1A" w14:textId="77777777" w:rsidR="002D0AE7" w:rsidRDefault="00333EBB">
                <w:pPr>
                  <w:jc w:val="center"/>
                  <w:rPr>
                    <w:rFonts w:hint="eastAsia"/>
                    <w:color w:val="000000" w:themeColor="text1"/>
                    <w:sz w:val="21"/>
                    <w:szCs w:val="21"/>
                  </w:rPr>
                </w:pPr>
                <w:r>
                  <w:rPr>
                    <w:rFonts w:hint="eastAsia"/>
                    <w:color w:val="000000" w:themeColor="text1"/>
                    <w:sz w:val="21"/>
                    <w:szCs w:val="21"/>
                  </w:rPr>
                  <w:t>减值准备</w:t>
                </w:r>
              </w:p>
            </w:tc>
          </w:sdtContent>
        </w:sdt>
        <w:sdt>
          <w:sdtPr>
            <w:rPr>
              <w:color w:val="000000" w:themeColor="text1"/>
              <w:sz w:val="21"/>
              <w:szCs w:val="21"/>
            </w:rPr>
            <w:tag w:val="_PLD_9ae07ed9769c419fa280d4c5ad3f03d7"/>
            <w:id w:val="568307495"/>
          </w:sdtPr>
          <w:sdtEndPr/>
          <w:sdtContent>
            <w:tc>
              <w:tcPr>
                <w:tcW w:w="792" w:type="pct"/>
                <w:tcBorders>
                  <w:bottom w:val="single" w:sz="6" w:space="0" w:color="auto"/>
                </w:tcBorders>
                <w:shd w:val="clear" w:color="auto" w:fill="auto"/>
                <w:vAlign w:val="center"/>
              </w:tcPr>
              <w:p w14:paraId="531FFFF7" w14:textId="77777777" w:rsidR="002D0AE7" w:rsidRDefault="00333EBB">
                <w:pPr>
                  <w:jc w:val="center"/>
                  <w:rPr>
                    <w:rFonts w:hint="eastAsia"/>
                    <w:color w:val="000000" w:themeColor="text1"/>
                    <w:sz w:val="21"/>
                    <w:szCs w:val="21"/>
                  </w:rPr>
                </w:pPr>
                <w:r>
                  <w:rPr>
                    <w:rFonts w:hint="eastAsia"/>
                    <w:color w:val="000000" w:themeColor="text1"/>
                    <w:sz w:val="21"/>
                    <w:szCs w:val="21"/>
                  </w:rPr>
                  <w:t>账面价值</w:t>
                </w:r>
              </w:p>
            </w:tc>
          </w:sdtContent>
        </w:sdt>
      </w:tr>
      <w:tr w:rsidR="002D0AE7" w14:paraId="4D9FE855" w14:textId="77777777">
        <w:trPr>
          <w:cantSplit/>
          <w:jc w:val="center"/>
        </w:trPr>
        <w:tc>
          <w:tcPr>
            <w:tcW w:w="1308" w:type="pct"/>
            <w:shd w:val="clear" w:color="auto" w:fill="auto"/>
          </w:tcPr>
          <w:p w14:paraId="06FD37E3" w14:textId="77777777" w:rsidR="002D0AE7" w:rsidRDefault="00333EBB">
            <w:pPr>
              <w:rPr>
                <w:rFonts w:hint="eastAsia"/>
                <w:color w:val="000000" w:themeColor="text1"/>
                <w:sz w:val="21"/>
                <w:szCs w:val="21"/>
              </w:rPr>
            </w:pPr>
            <w:r>
              <w:rPr>
                <w:rFonts w:hint="eastAsia"/>
                <w:color w:val="000000" w:themeColor="text1"/>
                <w:sz w:val="21"/>
                <w:szCs w:val="21"/>
              </w:rPr>
              <w:t>对子公司投资</w:t>
            </w:r>
          </w:p>
        </w:tc>
        <w:tc>
          <w:tcPr>
            <w:tcW w:w="792" w:type="pct"/>
            <w:shd w:val="clear" w:color="auto" w:fill="auto"/>
            <w:vAlign w:val="center"/>
          </w:tcPr>
          <w:p w14:paraId="3B55BDE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1,814,084,251.50</w:t>
            </w:r>
          </w:p>
        </w:tc>
        <w:tc>
          <w:tcPr>
            <w:tcW w:w="259" w:type="pct"/>
            <w:shd w:val="clear" w:color="auto" w:fill="auto"/>
            <w:vAlign w:val="center"/>
          </w:tcPr>
          <w:p w14:paraId="63624657" w14:textId="77777777" w:rsidR="002D0AE7" w:rsidRDefault="002D0AE7">
            <w:pPr>
              <w:jc w:val="right"/>
              <w:rPr>
                <w:rFonts w:ascii="Times New Roman" w:hAnsi="Times New Roman" w:cs="Times New Roman"/>
                <w:sz w:val="21"/>
                <w:szCs w:val="21"/>
              </w:rPr>
            </w:pPr>
          </w:p>
        </w:tc>
        <w:tc>
          <w:tcPr>
            <w:tcW w:w="792" w:type="pct"/>
            <w:shd w:val="clear" w:color="auto" w:fill="auto"/>
            <w:vAlign w:val="center"/>
          </w:tcPr>
          <w:p w14:paraId="4C315D2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1,814,084,251.50</w:t>
            </w:r>
          </w:p>
        </w:tc>
        <w:tc>
          <w:tcPr>
            <w:tcW w:w="792" w:type="pct"/>
            <w:shd w:val="clear" w:color="auto" w:fill="auto"/>
            <w:vAlign w:val="center"/>
          </w:tcPr>
          <w:p w14:paraId="1CCEBFE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1,943,882,638.79</w:t>
            </w:r>
          </w:p>
        </w:tc>
        <w:tc>
          <w:tcPr>
            <w:tcW w:w="266" w:type="pct"/>
            <w:shd w:val="clear" w:color="auto" w:fill="auto"/>
            <w:vAlign w:val="center"/>
          </w:tcPr>
          <w:p w14:paraId="42A53053" w14:textId="77777777" w:rsidR="002D0AE7" w:rsidRDefault="002D0AE7">
            <w:pPr>
              <w:jc w:val="right"/>
              <w:rPr>
                <w:rFonts w:ascii="Times New Roman" w:hAnsi="Times New Roman" w:cs="Times New Roman"/>
                <w:sz w:val="21"/>
                <w:szCs w:val="21"/>
              </w:rPr>
            </w:pPr>
          </w:p>
        </w:tc>
        <w:tc>
          <w:tcPr>
            <w:tcW w:w="792" w:type="pct"/>
            <w:shd w:val="clear" w:color="auto" w:fill="auto"/>
            <w:vAlign w:val="center"/>
          </w:tcPr>
          <w:p w14:paraId="563BC27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1,943,882,638.79</w:t>
            </w:r>
          </w:p>
        </w:tc>
      </w:tr>
      <w:tr w:rsidR="002D0AE7" w14:paraId="7AB5EB12" w14:textId="77777777">
        <w:trPr>
          <w:cantSplit/>
          <w:jc w:val="center"/>
        </w:trPr>
        <w:tc>
          <w:tcPr>
            <w:tcW w:w="1308" w:type="pct"/>
            <w:shd w:val="clear" w:color="auto" w:fill="auto"/>
          </w:tcPr>
          <w:p w14:paraId="0AA0D8F4" w14:textId="77777777" w:rsidR="002D0AE7" w:rsidRDefault="00333EBB">
            <w:pPr>
              <w:rPr>
                <w:rFonts w:hint="eastAsia"/>
                <w:color w:val="000000" w:themeColor="text1"/>
                <w:sz w:val="21"/>
                <w:szCs w:val="21"/>
              </w:rPr>
            </w:pPr>
            <w:r>
              <w:rPr>
                <w:rFonts w:hint="eastAsia"/>
                <w:color w:val="000000" w:themeColor="text1"/>
                <w:sz w:val="21"/>
                <w:szCs w:val="21"/>
              </w:rPr>
              <w:t>对联营、合营企业投资</w:t>
            </w:r>
          </w:p>
        </w:tc>
        <w:tc>
          <w:tcPr>
            <w:tcW w:w="792" w:type="pct"/>
            <w:shd w:val="clear" w:color="auto" w:fill="auto"/>
            <w:vAlign w:val="center"/>
          </w:tcPr>
          <w:p w14:paraId="57AFB47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19,504,861.72</w:t>
            </w:r>
          </w:p>
        </w:tc>
        <w:tc>
          <w:tcPr>
            <w:tcW w:w="259" w:type="pct"/>
            <w:shd w:val="clear" w:color="auto" w:fill="auto"/>
            <w:vAlign w:val="center"/>
          </w:tcPr>
          <w:p w14:paraId="0AAB69C4" w14:textId="77777777" w:rsidR="002D0AE7" w:rsidRDefault="002D0AE7">
            <w:pPr>
              <w:jc w:val="right"/>
              <w:rPr>
                <w:rFonts w:ascii="Times New Roman" w:hAnsi="Times New Roman" w:cs="Times New Roman"/>
                <w:sz w:val="21"/>
                <w:szCs w:val="21"/>
              </w:rPr>
            </w:pPr>
          </w:p>
        </w:tc>
        <w:tc>
          <w:tcPr>
            <w:tcW w:w="792" w:type="pct"/>
            <w:shd w:val="clear" w:color="auto" w:fill="auto"/>
            <w:vAlign w:val="center"/>
          </w:tcPr>
          <w:p w14:paraId="6D05359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19,504,861.72</w:t>
            </w:r>
          </w:p>
        </w:tc>
        <w:tc>
          <w:tcPr>
            <w:tcW w:w="792" w:type="pct"/>
            <w:shd w:val="clear" w:color="auto" w:fill="auto"/>
            <w:vAlign w:val="center"/>
          </w:tcPr>
          <w:p w14:paraId="7BE5638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18,101,197.17</w:t>
            </w:r>
          </w:p>
        </w:tc>
        <w:tc>
          <w:tcPr>
            <w:tcW w:w="266" w:type="pct"/>
            <w:shd w:val="clear" w:color="auto" w:fill="auto"/>
            <w:vAlign w:val="center"/>
          </w:tcPr>
          <w:p w14:paraId="2A2725B4" w14:textId="77777777" w:rsidR="002D0AE7" w:rsidRDefault="002D0AE7">
            <w:pPr>
              <w:jc w:val="right"/>
              <w:rPr>
                <w:rFonts w:ascii="Times New Roman" w:hAnsi="Times New Roman" w:cs="Times New Roman"/>
                <w:sz w:val="21"/>
                <w:szCs w:val="21"/>
              </w:rPr>
            </w:pPr>
          </w:p>
        </w:tc>
        <w:tc>
          <w:tcPr>
            <w:tcW w:w="792" w:type="pct"/>
            <w:shd w:val="clear" w:color="auto" w:fill="auto"/>
            <w:vAlign w:val="center"/>
          </w:tcPr>
          <w:p w14:paraId="3ADE3C2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18,101,197.17</w:t>
            </w:r>
          </w:p>
        </w:tc>
      </w:tr>
      <w:tr w:rsidR="002D0AE7" w14:paraId="00987A80" w14:textId="77777777">
        <w:trPr>
          <w:cantSplit/>
          <w:jc w:val="center"/>
        </w:trPr>
        <w:tc>
          <w:tcPr>
            <w:tcW w:w="1308" w:type="pct"/>
            <w:shd w:val="clear" w:color="auto" w:fill="auto"/>
            <w:vAlign w:val="center"/>
          </w:tcPr>
          <w:p w14:paraId="30080202"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792" w:type="pct"/>
            <w:shd w:val="clear" w:color="auto" w:fill="auto"/>
            <w:vAlign w:val="center"/>
          </w:tcPr>
          <w:p w14:paraId="3E41D2E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1,833,589,113.22</w:t>
            </w:r>
          </w:p>
        </w:tc>
        <w:tc>
          <w:tcPr>
            <w:tcW w:w="259" w:type="pct"/>
            <w:shd w:val="clear" w:color="auto" w:fill="auto"/>
            <w:vAlign w:val="center"/>
          </w:tcPr>
          <w:p w14:paraId="7E45C3E2" w14:textId="77777777" w:rsidR="002D0AE7" w:rsidRDefault="002D0AE7">
            <w:pPr>
              <w:jc w:val="right"/>
              <w:rPr>
                <w:rFonts w:ascii="Times New Roman" w:hAnsi="Times New Roman" w:cs="Times New Roman"/>
                <w:sz w:val="21"/>
                <w:szCs w:val="21"/>
              </w:rPr>
            </w:pPr>
          </w:p>
        </w:tc>
        <w:tc>
          <w:tcPr>
            <w:tcW w:w="792" w:type="pct"/>
            <w:shd w:val="clear" w:color="auto" w:fill="auto"/>
            <w:vAlign w:val="center"/>
          </w:tcPr>
          <w:p w14:paraId="5578A39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1,833,589,113.22</w:t>
            </w:r>
          </w:p>
        </w:tc>
        <w:tc>
          <w:tcPr>
            <w:tcW w:w="792" w:type="pct"/>
            <w:shd w:val="clear" w:color="auto" w:fill="auto"/>
            <w:vAlign w:val="center"/>
          </w:tcPr>
          <w:p w14:paraId="1029E19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1,961,983,835.96</w:t>
            </w:r>
          </w:p>
        </w:tc>
        <w:tc>
          <w:tcPr>
            <w:tcW w:w="266" w:type="pct"/>
            <w:shd w:val="clear" w:color="auto" w:fill="auto"/>
            <w:vAlign w:val="center"/>
          </w:tcPr>
          <w:p w14:paraId="31C0BECB" w14:textId="77777777" w:rsidR="002D0AE7" w:rsidRDefault="002D0AE7">
            <w:pPr>
              <w:jc w:val="right"/>
              <w:rPr>
                <w:rFonts w:ascii="Times New Roman" w:hAnsi="Times New Roman" w:cs="Times New Roman"/>
                <w:sz w:val="21"/>
                <w:szCs w:val="21"/>
              </w:rPr>
            </w:pPr>
          </w:p>
        </w:tc>
        <w:tc>
          <w:tcPr>
            <w:tcW w:w="792" w:type="pct"/>
            <w:shd w:val="clear" w:color="auto" w:fill="auto"/>
            <w:vAlign w:val="center"/>
          </w:tcPr>
          <w:p w14:paraId="4A64302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1,961,983,835.96</w:t>
            </w:r>
          </w:p>
        </w:tc>
      </w:tr>
    </w:tbl>
    <w:p w14:paraId="74A03FA9" w14:textId="77777777" w:rsidR="002D0AE7" w:rsidRDefault="00333EBB">
      <w:pPr>
        <w:pStyle w:val="4"/>
        <w:numPr>
          <w:ilvl w:val="0"/>
          <w:numId w:val="95"/>
        </w:numPr>
        <w:rPr>
          <w:rFonts w:ascii="宋体" w:hAnsi="宋体" w:hint="eastAsia"/>
          <w:color w:val="000000" w:themeColor="text1"/>
        </w:rPr>
      </w:pPr>
      <w:r>
        <w:rPr>
          <w:rFonts w:ascii="宋体" w:hAnsi="宋体" w:hint="eastAsia"/>
          <w:color w:val="000000" w:themeColor="text1"/>
        </w:rPr>
        <w:t>对子公司投资</w:t>
      </w:r>
    </w:p>
    <w:sdt>
      <w:sdtPr>
        <w:rPr>
          <w:color w:val="000000" w:themeColor="text1"/>
        </w:rPr>
        <w:alias w:val="是否适用：母公司对子公司投资[双击切换]"/>
        <w:tag w:val="_GBC_c52cee49247d42a9a79deabbd4c8635c"/>
        <w:id w:val="-768307854"/>
        <w:placeholder>
          <w:docPart w:val="GBC22222222222222222222222222222"/>
        </w:placeholder>
      </w:sdtPr>
      <w:sdtEndPr/>
      <w:sdtContent>
        <w:p w14:paraId="42B73B52"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0A6B80A6"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母公司财务附注：对子公司投资"/>
          <w:tag w:val="_GBC_84c410d0b81f42e3adfddc3699487310"/>
          <w:id w:val="-114335224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母公司财务附注：对子公司投资"/>
          <w:tag w:val="_GBC_97fad72310ba4b849377b0e1cebf7303"/>
          <w:id w:val="-2718159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6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1686"/>
        <w:gridCol w:w="835"/>
        <w:gridCol w:w="1529"/>
        <w:gridCol w:w="1686"/>
        <w:gridCol w:w="853"/>
        <w:gridCol w:w="809"/>
      </w:tblGrid>
      <w:tr w:rsidR="002D0AE7" w14:paraId="3DD837FB" w14:textId="77777777">
        <w:trPr>
          <w:jc w:val="center"/>
        </w:trPr>
        <w:bookmarkStart w:id="284" w:name="_Hlk106375342" w:displacedByCustomXml="next"/>
        <w:sdt>
          <w:sdtPr>
            <w:rPr>
              <w:color w:val="000000" w:themeColor="text1"/>
              <w:sz w:val="21"/>
              <w:szCs w:val="21"/>
            </w:rPr>
            <w:tag w:val="_PLD_c6f1ebfed2274883870089cc90c0b5b3"/>
            <w:id w:val="-1697844456"/>
          </w:sdtPr>
          <w:sdtEndPr/>
          <w:sdtContent>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14:paraId="59331B32" w14:textId="77777777" w:rsidR="002D0AE7" w:rsidRDefault="00333EBB">
                <w:pPr>
                  <w:jc w:val="center"/>
                  <w:rPr>
                    <w:rFonts w:hint="eastAsia"/>
                    <w:color w:val="000000" w:themeColor="text1"/>
                    <w:sz w:val="21"/>
                    <w:szCs w:val="21"/>
                  </w:rPr>
                </w:pPr>
                <w:r>
                  <w:rPr>
                    <w:rFonts w:hint="eastAsia"/>
                    <w:color w:val="000000" w:themeColor="text1"/>
                    <w:sz w:val="21"/>
                    <w:szCs w:val="21"/>
                  </w:rPr>
                  <w:t>被投资单位</w:t>
                </w:r>
              </w:p>
            </w:tc>
          </w:sdtContent>
        </w:sdt>
        <w:sdt>
          <w:sdtPr>
            <w:rPr>
              <w:color w:val="000000" w:themeColor="text1"/>
              <w:sz w:val="21"/>
              <w:szCs w:val="21"/>
            </w:rPr>
            <w:tag w:val="_PLD_c8b6275a3567432ba7b63d4485a9cce5"/>
            <w:id w:val="1045951507"/>
          </w:sdtPr>
          <w:sdtEndPr/>
          <w:sdtContent>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18A74487" w14:textId="77777777" w:rsidR="002D0AE7" w:rsidRDefault="00333EBB">
                <w:pPr>
                  <w:jc w:val="center"/>
                  <w:rPr>
                    <w:rFonts w:hint="eastAsia"/>
                    <w:color w:val="000000" w:themeColor="text1"/>
                    <w:sz w:val="21"/>
                    <w:szCs w:val="21"/>
                  </w:rPr>
                </w:pPr>
                <w:r>
                  <w:rPr>
                    <w:rFonts w:hint="eastAsia"/>
                    <w:color w:val="000000" w:themeColor="text1"/>
                    <w:sz w:val="21"/>
                    <w:szCs w:val="21"/>
                  </w:rPr>
                  <w:t>期初余额</w:t>
                </w:r>
              </w:p>
            </w:tc>
          </w:sdtContent>
        </w:sdt>
        <w:sdt>
          <w:sdtPr>
            <w:rPr>
              <w:color w:val="000000" w:themeColor="text1"/>
              <w:sz w:val="21"/>
              <w:szCs w:val="21"/>
            </w:rPr>
            <w:tag w:val="_PLD_a192e1f764d54f39ad94a065019bc4f2"/>
            <w:id w:val="-396819247"/>
          </w:sdtPr>
          <w:sdtEndPr/>
          <w:sdtContent>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3FCB014" w14:textId="77777777" w:rsidR="002D0AE7" w:rsidRDefault="00333EBB">
                <w:pPr>
                  <w:jc w:val="center"/>
                  <w:rPr>
                    <w:rFonts w:hint="eastAsia"/>
                    <w:color w:val="000000" w:themeColor="text1"/>
                    <w:sz w:val="21"/>
                    <w:szCs w:val="21"/>
                  </w:rPr>
                </w:pPr>
                <w:r>
                  <w:rPr>
                    <w:rFonts w:hint="eastAsia"/>
                    <w:color w:val="000000" w:themeColor="text1"/>
                    <w:sz w:val="21"/>
                    <w:szCs w:val="21"/>
                  </w:rPr>
                  <w:t>本期增加</w:t>
                </w:r>
              </w:p>
            </w:tc>
          </w:sdtContent>
        </w:sdt>
        <w:sdt>
          <w:sdtPr>
            <w:rPr>
              <w:color w:val="000000" w:themeColor="text1"/>
              <w:sz w:val="21"/>
              <w:szCs w:val="21"/>
            </w:rPr>
            <w:tag w:val="_PLD_3a74d3e1bc0e43debb3fdd0f1f6de769"/>
            <w:id w:val="2944804"/>
          </w:sdtPr>
          <w:sdtEndPr/>
          <w:sdtContent>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6FFBE294" w14:textId="77777777" w:rsidR="002D0AE7" w:rsidRDefault="00333EBB">
                <w:pPr>
                  <w:jc w:val="center"/>
                  <w:rPr>
                    <w:rFonts w:hint="eastAsia"/>
                    <w:color w:val="000000" w:themeColor="text1"/>
                    <w:sz w:val="21"/>
                    <w:szCs w:val="21"/>
                  </w:rPr>
                </w:pPr>
                <w:r>
                  <w:rPr>
                    <w:rFonts w:hint="eastAsia"/>
                    <w:color w:val="000000" w:themeColor="text1"/>
                    <w:sz w:val="21"/>
                    <w:szCs w:val="21"/>
                  </w:rPr>
                  <w:t>本期减少</w:t>
                </w:r>
              </w:p>
            </w:tc>
          </w:sdtContent>
        </w:sdt>
        <w:sdt>
          <w:sdtPr>
            <w:rPr>
              <w:color w:val="000000" w:themeColor="text1"/>
              <w:sz w:val="21"/>
              <w:szCs w:val="21"/>
            </w:rPr>
            <w:tag w:val="_PLD_62acff2435cd434284a753ea8ebfa201"/>
            <w:id w:val="-1508446838"/>
          </w:sdtPr>
          <w:sdtEndPr/>
          <w:sdtContent>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2D303683" w14:textId="77777777" w:rsidR="002D0AE7" w:rsidRDefault="00333EBB">
                <w:pPr>
                  <w:jc w:val="center"/>
                  <w:rPr>
                    <w:rFonts w:hint="eastAsia"/>
                    <w:color w:val="000000" w:themeColor="text1"/>
                    <w:sz w:val="21"/>
                    <w:szCs w:val="21"/>
                  </w:rPr>
                </w:pPr>
                <w:r>
                  <w:rPr>
                    <w:rFonts w:hint="eastAsia"/>
                    <w:color w:val="000000" w:themeColor="text1"/>
                    <w:sz w:val="21"/>
                    <w:szCs w:val="21"/>
                  </w:rPr>
                  <w:t>期末余额</w:t>
                </w:r>
              </w:p>
            </w:tc>
          </w:sdtContent>
        </w:sdt>
        <w:sdt>
          <w:sdtPr>
            <w:rPr>
              <w:color w:val="000000" w:themeColor="text1"/>
              <w:sz w:val="21"/>
              <w:szCs w:val="21"/>
            </w:rPr>
            <w:tag w:val="_PLD_67b1a9b1d215409ebb6ceb131ad5e8bf"/>
            <w:id w:val="1095138094"/>
          </w:sdtPr>
          <w:sdtEndPr/>
          <w:sdtContent>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2DA8050D" w14:textId="77777777" w:rsidR="002D0AE7" w:rsidRDefault="00333EBB">
                <w:pPr>
                  <w:jc w:val="center"/>
                  <w:rPr>
                    <w:rFonts w:hint="eastAsia"/>
                    <w:color w:val="000000" w:themeColor="text1"/>
                    <w:sz w:val="21"/>
                    <w:szCs w:val="21"/>
                  </w:rPr>
                </w:pPr>
                <w:r>
                  <w:rPr>
                    <w:rFonts w:hint="eastAsia"/>
                    <w:color w:val="000000" w:themeColor="text1"/>
                    <w:sz w:val="21"/>
                    <w:szCs w:val="21"/>
                  </w:rPr>
                  <w:t>本期计提减值准备</w:t>
                </w:r>
              </w:p>
            </w:tc>
          </w:sdtContent>
        </w:sdt>
        <w:sdt>
          <w:sdtPr>
            <w:rPr>
              <w:color w:val="000000" w:themeColor="text1"/>
              <w:sz w:val="21"/>
              <w:szCs w:val="21"/>
            </w:rPr>
            <w:tag w:val="_PLD_bfab2049a5684d7d922489b57382b080"/>
            <w:id w:val="-477681790"/>
          </w:sdtPr>
          <w:sdtEndPr/>
          <w:sdtContent>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21D685D0" w14:textId="77777777" w:rsidR="002D0AE7" w:rsidRDefault="00333EBB">
                <w:pPr>
                  <w:jc w:val="center"/>
                  <w:rPr>
                    <w:rFonts w:hint="eastAsia"/>
                    <w:color w:val="000000" w:themeColor="text1"/>
                    <w:sz w:val="21"/>
                    <w:szCs w:val="21"/>
                  </w:rPr>
                </w:pPr>
                <w:r>
                  <w:rPr>
                    <w:rFonts w:hint="eastAsia"/>
                    <w:color w:val="000000" w:themeColor="text1"/>
                    <w:sz w:val="21"/>
                    <w:szCs w:val="21"/>
                  </w:rPr>
                  <w:t>减值准备期末余额</w:t>
                </w:r>
              </w:p>
            </w:tc>
          </w:sdtContent>
        </w:sdt>
      </w:tr>
      <w:tr w:rsidR="002D0AE7" w14:paraId="3B7A9149" w14:textId="77777777">
        <w:trPr>
          <w:jc w:val="center"/>
        </w:trPr>
        <w:tc>
          <w:tcPr>
            <w:tcW w:w="1582" w:type="pct"/>
            <w:tcBorders>
              <w:top w:val="single" w:sz="4" w:space="0" w:color="auto"/>
              <w:left w:val="single" w:sz="4" w:space="0" w:color="auto"/>
              <w:bottom w:val="single" w:sz="4" w:space="0" w:color="auto"/>
              <w:right w:val="single" w:sz="4" w:space="0" w:color="auto"/>
            </w:tcBorders>
            <w:vAlign w:val="center"/>
          </w:tcPr>
          <w:p w14:paraId="2AE87399" w14:textId="77777777" w:rsidR="002D0AE7" w:rsidRDefault="00333EBB">
            <w:pPr>
              <w:rPr>
                <w:rFonts w:hint="eastAsia"/>
                <w:sz w:val="21"/>
                <w:szCs w:val="21"/>
              </w:rPr>
            </w:pPr>
            <w:r>
              <w:rPr>
                <w:sz w:val="21"/>
                <w:szCs w:val="21"/>
              </w:rPr>
              <w:t>天津市天发药业进出口有限公司</w:t>
            </w:r>
          </w:p>
        </w:tc>
        <w:tc>
          <w:tcPr>
            <w:tcW w:w="779" w:type="pct"/>
            <w:tcBorders>
              <w:top w:val="single" w:sz="4" w:space="0" w:color="auto"/>
              <w:left w:val="single" w:sz="4" w:space="0" w:color="auto"/>
              <w:bottom w:val="single" w:sz="4" w:space="0" w:color="auto"/>
              <w:right w:val="single" w:sz="4" w:space="0" w:color="auto"/>
            </w:tcBorders>
            <w:vAlign w:val="center"/>
          </w:tcPr>
          <w:p w14:paraId="32A77F2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167,505,424.14</w:t>
            </w:r>
          </w:p>
        </w:tc>
        <w:tc>
          <w:tcPr>
            <w:tcW w:w="386" w:type="pct"/>
            <w:tcBorders>
              <w:top w:val="single" w:sz="4" w:space="0" w:color="auto"/>
              <w:left w:val="single" w:sz="4" w:space="0" w:color="auto"/>
              <w:bottom w:val="single" w:sz="4" w:space="0" w:color="auto"/>
              <w:right w:val="single" w:sz="4" w:space="0" w:color="auto"/>
            </w:tcBorders>
            <w:vAlign w:val="center"/>
          </w:tcPr>
          <w:p w14:paraId="5EC5314A" w14:textId="77777777" w:rsidR="002D0AE7" w:rsidRDefault="002D0AE7">
            <w:pPr>
              <w:jc w:val="right"/>
              <w:rPr>
                <w:rFonts w:ascii="Times New Roman" w:hAnsi="Times New Roman" w:cs="Times New Roman"/>
                <w:sz w:val="21"/>
                <w:szCs w:val="21"/>
              </w:rPr>
            </w:pPr>
          </w:p>
        </w:tc>
        <w:tc>
          <w:tcPr>
            <w:tcW w:w="706" w:type="pct"/>
            <w:tcBorders>
              <w:top w:val="single" w:sz="4" w:space="0" w:color="auto"/>
              <w:left w:val="single" w:sz="4" w:space="0" w:color="auto"/>
              <w:bottom w:val="single" w:sz="4" w:space="0" w:color="auto"/>
              <w:right w:val="single" w:sz="4" w:space="0" w:color="auto"/>
            </w:tcBorders>
            <w:vAlign w:val="center"/>
          </w:tcPr>
          <w:p w14:paraId="4E00B9FA" w14:textId="77777777" w:rsidR="002D0AE7" w:rsidRDefault="002D0AE7">
            <w:pPr>
              <w:jc w:val="right"/>
              <w:rPr>
                <w:rFonts w:ascii="Times New Roman" w:hAnsi="Times New Roman" w:cs="Times New Roman"/>
                <w:sz w:val="21"/>
                <w:szCs w:val="21"/>
              </w:rPr>
            </w:pPr>
          </w:p>
        </w:tc>
        <w:tc>
          <w:tcPr>
            <w:tcW w:w="779" w:type="pct"/>
            <w:tcBorders>
              <w:top w:val="single" w:sz="4" w:space="0" w:color="auto"/>
              <w:left w:val="single" w:sz="4" w:space="0" w:color="auto"/>
              <w:bottom w:val="single" w:sz="4" w:space="0" w:color="auto"/>
              <w:right w:val="single" w:sz="4" w:space="0" w:color="auto"/>
            </w:tcBorders>
            <w:vAlign w:val="center"/>
          </w:tcPr>
          <w:p w14:paraId="0CEB7A5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167,505,424.14</w:t>
            </w:r>
          </w:p>
        </w:tc>
        <w:tc>
          <w:tcPr>
            <w:tcW w:w="394" w:type="pct"/>
            <w:tcBorders>
              <w:top w:val="single" w:sz="4" w:space="0" w:color="auto"/>
              <w:left w:val="single" w:sz="4" w:space="0" w:color="auto"/>
              <w:bottom w:val="single" w:sz="4" w:space="0" w:color="auto"/>
              <w:right w:val="single" w:sz="4" w:space="0" w:color="auto"/>
            </w:tcBorders>
            <w:vAlign w:val="center"/>
          </w:tcPr>
          <w:p w14:paraId="40C16998" w14:textId="77777777" w:rsidR="002D0AE7" w:rsidRDefault="002D0AE7">
            <w:pPr>
              <w:jc w:val="right"/>
              <w:rPr>
                <w:rFonts w:ascii="Times New Roman" w:hAnsi="Times New Roman" w:cs="Times New Roman"/>
                <w:sz w:val="21"/>
                <w:szCs w:val="21"/>
              </w:rPr>
            </w:pPr>
          </w:p>
        </w:tc>
        <w:tc>
          <w:tcPr>
            <w:tcW w:w="374" w:type="pct"/>
            <w:tcBorders>
              <w:top w:val="single" w:sz="4" w:space="0" w:color="auto"/>
              <w:left w:val="single" w:sz="4" w:space="0" w:color="auto"/>
              <w:bottom w:val="single" w:sz="4" w:space="0" w:color="auto"/>
              <w:right w:val="single" w:sz="4" w:space="0" w:color="auto"/>
            </w:tcBorders>
            <w:vAlign w:val="center"/>
          </w:tcPr>
          <w:p w14:paraId="56FCCE13" w14:textId="77777777" w:rsidR="002D0AE7" w:rsidRDefault="002D0AE7">
            <w:pPr>
              <w:jc w:val="right"/>
              <w:rPr>
                <w:rFonts w:ascii="Times New Roman" w:hAnsi="Times New Roman" w:cs="Times New Roman"/>
                <w:sz w:val="21"/>
                <w:szCs w:val="21"/>
              </w:rPr>
            </w:pPr>
          </w:p>
        </w:tc>
      </w:tr>
      <w:tr w:rsidR="002D0AE7" w14:paraId="1EE768DF" w14:textId="77777777">
        <w:trPr>
          <w:jc w:val="center"/>
        </w:trPr>
        <w:tc>
          <w:tcPr>
            <w:tcW w:w="1582" w:type="pct"/>
            <w:tcBorders>
              <w:top w:val="single" w:sz="4" w:space="0" w:color="auto"/>
              <w:left w:val="single" w:sz="4" w:space="0" w:color="auto"/>
              <w:bottom w:val="single" w:sz="4" w:space="0" w:color="auto"/>
              <w:right w:val="single" w:sz="4" w:space="0" w:color="auto"/>
            </w:tcBorders>
            <w:vAlign w:val="center"/>
          </w:tcPr>
          <w:p w14:paraId="682463F3" w14:textId="77777777" w:rsidR="002D0AE7" w:rsidRDefault="00333EBB">
            <w:pPr>
              <w:rPr>
                <w:rFonts w:hint="eastAsia"/>
                <w:sz w:val="21"/>
                <w:szCs w:val="21"/>
              </w:rPr>
            </w:pPr>
            <w:r>
              <w:rPr>
                <w:sz w:val="21"/>
                <w:szCs w:val="21"/>
              </w:rPr>
              <w:t>天津市三隆化工有限公司</w:t>
            </w:r>
          </w:p>
        </w:tc>
        <w:tc>
          <w:tcPr>
            <w:tcW w:w="779" w:type="pct"/>
            <w:tcBorders>
              <w:top w:val="single" w:sz="4" w:space="0" w:color="auto"/>
              <w:left w:val="single" w:sz="4" w:space="0" w:color="auto"/>
              <w:bottom w:val="single" w:sz="4" w:space="0" w:color="auto"/>
              <w:right w:val="single" w:sz="4" w:space="0" w:color="auto"/>
            </w:tcBorders>
            <w:vAlign w:val="center"/>
          </w:tcPr>
          <w:p w14:paraId="571B579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129,798,387.29</w:t>
            </w:r>
          </w:p>
        </w:tc>
        <w:tc>
          <w:tcPr>
            <w:tcW w:w="386" w:type="pct"/>
            <w:tcBorders>
              <w:top w:val="single" w:sz="4" w:space="0" w:color="auto"/>
              <w:left w:val="single" w:sz="4" w:space="0" w:color="auto"/>
              <w:bottom w:val="single" w:sz="4" w:space="0" w:color="auto"/>
              <w:right w:val="single" w:sz="4" w:space="0" w:color="auto"/>
            </w:tcBorders>
            <w:vAlign w:val="center"/>
          </w:tcPr>
          <w:p w14:paraId="4EFC0E6D" w14:textId="77777777" w:rsidR="002D0AE7" w:rsidRDefault="002D0AE7">
            <w:pPr>
              <w:jc w:val="right"/>
              <w:rPr>
                <w:rFonts w:ascii="Times New Roman" w:hAnsi="Times New Roman" w:cs="Times New Roman"/>
                <w:sz w:val="21"/>
                <w:szCs w:val="21"/>
              </w:rPr>
            </w:pPr>
          </w:p>
        </w:tc>
        <w:tc>
          <w:tcPr>
            <w:tcW w:w="706" w:type="pct"/>
            <w:tcBorders>
              <w:top w:val="single" w:sz="4" w:space="0" w:color="auto"/>
              <w:left w:val="single" w:sz="4" w:space="0" w:color="auto"/>
              <w:bottom w:val="single" w:sz="4" w:space="0" w:color="auto"/>
              <w:right w:val="single" w:sz="4" w:space="0" w:color="auto"/>
            </w:tcBorders>
            <w:vAlign w:val="center"/>
          </w:tcPr>
          <w:p w14:paraId="36C24BE2"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129,798,387.29</w:t>
            </w:r>
          </w:p>
        </w:tc>
        <w:tc>
          <w:tcPr>
            <w:tcW w:w="779" w:type="pct"/>
            <w:tcBorders>
              <w:top w:val="single" w:sz="4" w:space="0" w:color="auto"/>
              <w:left w:val="single" w:sz="4" w:space="0" w:color="auto"/>
              <w:bottom w:val="single" w:sz="4" w:space="0" w:color="auto"/>
              <w:right w:val="single" w:sz="4" w:space="0" w:color="auto"/>
            </w:tcBorders>
            <w:vAlign w:val="center"/>
          </w:tcPr>
          <w:p w14:paraId="56E5E03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394" w:type="pct"/>
            <w:tcBorders>
              <w:top w:val="single" w:sz="4" w:space="0" w:color="auto"/>
              <w:left w:val="single" w:sz="4" w:space="0" w:color="auto"/>
              <w:bottom w:val="single" w:sz="4" w:space="0" w:color="auto"/>
              <w:right w:val="single" w:sz="4" w:space="0" w:color="auto"/>
            </w:tcBorders>
            <w:vAlign w:val="center"/>
          </w:tcPr>
          <w:p w14:paraId="4BD85468" w14:textId="77777777" w:rsidR="002D0AE7" w:rsidRDefault="002D0AE7">
            <w:pPr>
              <w:jc w:val="right"/>
              <w:rPr>
                <w:rFonts w:ascii="Times New Roman" w:hAnsi="Times New Roman" w:cs="Times New Roman"/>
                <w:sz w:val="21"/>
                <w:szCs w:val="21"/>
              </w:rPr>
            </w:pPr>
          </w:p>
        </w:tc>
        <w:tc>
          <w:tcPr>
            <w:tcW w:w="374" w:type="pct"/>
            <w:tcBorders>
              <w:top w:val="single" w:sz="4" w:space="0" w:color="auto"/>
              <w:left w:val="single" w:sz="4" w:space="0" w:color="auto"/>
              <w:bottom w:val="single" w:sz="4" w:space="0" w:color="auto"/>
              <w:right w:val="single" w:sz="4" w:space="0" w:color="auto"/>
            </w:tcBorders>
            <w:vAlign w:val="center"/>
          </w:tcPr>
          <w:p w14:paraId="452B083A" w14:textId="77777777" w:rsidR="002D0AE7" w:rsidRDefault="002D0AE7">
            <w:pPr>
              <w:jc w:val="right"/>
              <w:rPr>
                <w:rFonts w:ascii="Times New Roman" w:hAnsi="Times New Roman" w:cs="Times New Roman"/>
                <w:sz w:val="21"/>
                <w:szCs w:val="21"/>
              </w:rPr>
            </w:pPr>
          </w:p>
        </w:tc>
      </w:tr>
      <w:tr w:rsidR="002D0AE7" w14:paraId="0FEF580E" w14:textId="77777777">
        <w:trPr>
          <w:jc w:val="center"/>
        </w:trPr>
        <w:tc>
          <w:tcPr>
            <w:tcW w:w="1582" w:type="pct"/>
            <w:tcBorders>
              <w:top w:val="single" w:sz="4" w:space="0" w:color="auto"/>
              <w:left w:val="single" w:sz="4" w:space="0" w:color="auto"/>
              <w:bottom w:val="single" w:sz="4" w:space="0" w:color="auto"/>
              <w:right w:val="single" w:sz="4" w:space="0" w:color="auto"/>
            </w:tcBorders>
            <w:vAlign w:val="center"/>
          </w:tcPr>
          <w:p w14:paraId="2EAEF7A6" w14:textId="77777777" w:rsidR="002D0AE7" w:rsidRDefault="00333EBB">
            <w:pPr>
              <w:rPr>
                <w:rFonts w:hint="eastAsia"/>
                <w:sz w:val="21"/>
                <w:szCs w:val="21"/>
              </w:rPr>
            </w:pPr>
            <w:r>
              <w:rPr>
                <w:sz w:val="21"/>
                <w:szCs w:val="21"/>
              </w:rPr>
              <w:t>美国大圣贸易技术开发有限公司</w:t>
            </w:r>
          </w:p>
        </w:tc>
        <w:tc>
          <w:tcPr>
            <w:tcW w:w="779" w:type="pct"/>
            <w:tcBorders>
              <w:top w:val="single" w:sz="4" w:space="0" w:color="auto"/>
              <w:left w:val="single" w:sz="4" w:space="0" w:color="auto"/>
              <w:bottom w:val="single" w:sz="4" w:space="0" w:color="auto"/>
              <w:right w:val="single" w:sz="4" w:space="0" w:color="auto"/>
            </w:tcBorders>
            <w:vAlign w:val="center"/>
          </w:tcPr>
          <w:p w14:paraId="095F5D7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8,693,513.16</w:t>
            </w:r>
          </w:p>
        </w:tc>
        <w:tc>
          <w:tcPr>
            <w:tcW w:w="386" w:type="pct"/>
            <w:tcBorders>
              <w:top w:val="single" w:sz="4" w:space="0" w:color="auto"/>
              <w:left w:val="single" w:sz="4" w:space="0" w:color="auto"/>
              <w:bottom w:val="single" w:sz="4" w:space="0" w:color="auto"/>
              <w:right w:val="single" w:sz="4" w:space="0" w:color="auto"/>
            </w:tcBorders>
            <w:vAlign w:val="center"/>
          </w:tcPr>
          <w:p w14:paraId="2A9186FB" w14:textId="77777777" w:rsidR="002D0AE7" w:rsidRDefault="002D0AE7">
            <w:pPr>
              <w:jc w:val="right"/>
              <w:rPr>
                <w:rFonts w:ascii="Times New Roman" w:hAnsi="Times New Roman" w:cs="Times New Roman"/>
                <w:sz w:val="21"/>
                <w:szCs w:val="21"/>
              </w:rPr>
            </w:pPr>
          </w:p>
        </w:tc>
        <w:tc>
          <w:tcPr>
            <w:tcW w:w="706" w:type="pct"/>
            <w:tcBorders>
              <w:top w:val="single" w:sz="4" w:space="0" w:color="auto"/>
              <w:left w:val="single" w:sz="4" w:space="0" w:color="auto"/>
              <w:bottom w:val="single" w:sz="4" w:space="0" w:color="auto"/>
              <w:right w:val="single" w:sz="4" w:space="0" w:color="auto"/>
            </w:tcBorders>
            <w:vAlign w:val="center"/>
          </w:tcPr>
          <w:p w14:paraId="2BF4227A" w14:textId="77777777" w:rsidR="002D0AE7" w:rsidRDefault="002D0AE7">
            <w:pPr>
              <w:jc w:val="right"/>
              <w:rPr>
                <w:rFonts w:ascii="Times New Roman" w:hAnsi="Times New Roman" w:cs="Times New Roman"/>
                <w:sz w:val="21"/>
                <w:szCs w:val="21"/>
              </w:rPr>
            </w:pPr>
          </w:p>
        </w:tc>
        <w:tc>
          <w:tcPr>
            <w:tcW w:w="779" w:type="pct"/>
            <w:tcBorders>
              <w:top w:val="single" w:sz="4" w:space="0" w:color="auto"/>
              <w:left w:val="single" w:sz="4" w:space="0" w:color="auto"/>
              <w:bottom w:val="single" w:sz="4" w:space="0" w:color="auto"/>
              <w:right w:val="single" w:sz="4" w:space="0" w:color="auto"/>
            </w:tcBorders>
            <w:vAlign w:val="center"/>
          </w:tcPr>
          <w:p w14:paraId="4FDB6D3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8,693,513.16</w:t>
            </w:r>
          </w:p>
        </w:tc>
        <w:tc>
          <w:tcPr>
            <w:tcW w:w="394" w:type="pct"/>
            <w:tcBorders>
              <w:top w:val="single" w:sz="4" w:space="0" w:color="auto"/>
              <w:left w:val="single" w:sz="4" w:space="0" w:color="auto"/>
              <w:bottom w:val="single" w:sz="4" w:space="0" w:color="auto"/>
              <w:right w:val="single" w:sz="4" w:space="0" w:color="auto"/>
            </w:tcBorders>
            <w:vAlign w:val="center"/>
          </w:tcPr>
          <w:p w14:paraId="2FFAFC4E" w14:textId="77777777" w:rsidR="002D0AE7" w:rsidRDefault="002D0AE7">
            <w:pPr>
              <w:jc w:val="right"/>
              <w:rPr>
                <w:rFonts w:ascii="Times New Roman" w:hAnsi="Times New Roman" w:cs="Times New Roman"/>
                <w:sz w:val="21"/>
                <w:szCs w:val="21"/>
              </w:rPr>
            </w:pPr>
          </w:p>
        </w:tc>
        <w:tc>
          <w:tcPr>
            <w:tcW w:w="374" w:type="pct"/>
            <w:tcBorders>
              <w:top w:val="single" w:sz="4" w:space="0" w:color="auto"/>
              <w:left w:val="single" w:sz="4" w:space="0" w:color="auto"/>
              <w:bottom w:val="single" w:sz="4" w:space="0" w:color="auto"/>
              <w:right w:val="single" w:sz="4" w:space="0" w:color="auto"/>
            </w:tcBorders>
            <w:vAlign w:val="center"/>
          </w:tcPr>
          <w:p w14:paraId="4AADFDD3" w14:textId="77777777" w:rsidR="002D0AE7" w:rsidRDefault="002D0AE7">
            <w:pPr>
              <w:jc w:val="right"/>
              <w:rPr>
                <w:rFonts w:ascii="Times New Roman" w:hAnsi="Times New Roman" w:cs="Times New Roman"/>
                <w:sz w:val="21"/>
                <w:szCs w:val="21"/>
              </w:rPr>
            </w:pPr>
          </w:p>
        </w:tc>
      </w:tr>
      <w:tr w:rsidR="002D0AE7" w14:paraId="46D9FDBD" w14:textId="77777777">
        <w:trPr>
          <w:jc w:val="center"/>
        </w:trPr>
        <w:tc>
          <w:tcPr>
            <w:tcW w:w="1582" w:type="pct"/>
            <w:tcBorders>
              <w:top w:val="single" w:sz="4" w:space="0" w:color="auto"/>
              <w:left w:val="single" w:sz="4" w:space="0" w:color="auto"/>
              <w:bottom w:val="single" w:sz="4" w:space="0" w:color="auto"/>
              <w:right w:val="single" w:sz="4" w:space="0" w:color="auto"/>
            </w:tcBorders>
            <w:vAlign w:val="center"/>
          </w:tcPr>
          <w:p w14:paraId="6C11C0BD" w14:textId="77777777" w:rsidR="002D0AE7" w:rsidRDefault="00333EBB">
            <w:pPr>
              <w:rPr>
                <w:rFonts w:hint="eastAsia"/>
                <w:sz w:val="21"/>
                <w:szCs w:val="21"/>
              </w:rPr>
            </w:pPr>
            <w:r>
              <w:rPr>
                <w:rFonts w:hint="eastAsia"/>
                <w:sz w:val="21"/>
                <w:szCs w:val="21"/>
              </w:rPr>
              <w:t>津药</w:t>
            </w:r>
            <w:r>
              <w:rPr>
                <w:sz w:val="21"/>
                <w:szCs w:val="21"/>
              </w:rPr>
              <w:t>药业（香港）有限公司</w:t>
            </w:r>
          </w:p>
        </w:tc>
        <w:tc>
          <w:tcPr>
            <w:tcW w:w="779" w:type="pct"/>
            <w:tcBorders>
              <w:top w:val="single" w:sz="4" w:space="0" w:color="auto"/>
              <w:left w:val="single" w:sz="4" w:space="0" w:color="auto"/>
              <w:bottom w:val="single" w:sz="4" w:space="0" w:color="auto"/>
              <w:right w:val="single" w:sz="4" w:space="0" w:color="auto"/>
            </w:tcBorders>
            <w:vAlign w:val="center"/>
          </w:tcPr>
          <w:p w14:paraId="001C009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9,908,161.72</w:t>
            </w:r>
          </w:p>
        </w:tc>
        <w:tc>
          <w:tcPr>
            <w:tcW w:w="386" w:type="pct"/>
            <w:tcBorders>
              <w:top w:val="single" w:sz="4" w:space="0" w:color="auto"/>
              <w:left w:val="single" w:sz="4" w:space="0" w:color="auto"/>
              <w:bottom w:val="single" w:sz="4" w:space="0" w:color="auto"/>
              <w:right w:val="single" w:sz="4" w:space="0" w:color="auto"/>
            </w:tcBorders>
            <w:vAlign w:val="center"/>
          </w:tcPr>
          <w:p w14:paraId="4D4F1996" w14:textId="77777777" w:rsidR="002D0AE7" w:rsidRDefault="002D0AE7">
            <w:pPr>
              <w:jc w:val="right"/>
              <w:rPr>
                <w:rFonts w:ascii="Times New Roman" w:hAnsi="Times New Roman" w:cs="Times New Roman"/>
                <w:sz w:val="21"/>
                <w:szCs w:val="21"/>
              </w:rPr>
            </w:pPr>
          </w:p>
        </w:tc>
        <w:tc>
          <w:tcPr>
            <w:tcW w:w="706" w:type="pct"/>
            <w:tcBorders>
              <w:top w:val="single" w:sz="4" w:space="0" w:color="auto"/>
              <w:left w:val="single" w:sz="4" w:space="0" w:color="auto"/>
              <w:bottom w:val="single" w:sz="4" w:space="0" w:color="auto"/>
              <w:right w:val="single" w:sz="4" w:space="0" w:color="auto"/>
            </w:tcBorders>
            <w:vAlign w:val="center"/>
          </w:tcPr>
          <w:p w14:paraId="6E9577F1" w14:textId="77777777" w:rsidR="002D0AE7" w:rsidRDefault="002D0AE7">
            <w:pPr>
              <w:jc w:val="right"/>
              <w:rPr>
                <w:rFonts w:ascii="Times New Roman" w:hAnsi="Times New Roman" w:cs="Times New Roman"/>
                <w:sz w:val="21"/>
                <w:szCs w:val="21"/>
              </w:rPr>
            </w:pPr>
          </w:p>
        </w:tc>
        <w:tc>
          <w:tcPr>
            <w:tcW w:w="779" w:type="pct"/>
            <w:tcBorders>
              <w:top w:val="single" w:sz="4" w:space="0" w:color="auto"/>
              <w:left w:val="single" w:sz="4" w:space="0" w:color="auto"/>
              <w:bottom w:val="single" w:sz="4" w:space="0" w:color="auto"/>
              <w:right w:val="single" w:sz="4" w:space="0" w:color="auto"/>
            </w:tcBorders>
            <w:vAlign w:val="center"/>
          </w:tcPr>
          <w:p w14:paraId="772748B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9,908,161.72</w:t>
            </w:r>
          </w:p>
        </w:tc>
        <w:tc>
          <w:tcPr>
            <w:tcW w:w="394" w:type="pct"/>
            <w:tcBorders>
              <w:top w:val="single" w:sz="4" w:space="0" w:color="auto"/>
              <w:left w:val="single" w:sz="4" w:space="0" w:color="auto"/>
              <w:bottom w:val="single" w:sz="4" w:space="0" w:color="auto"/>
              <w:right w:val="single" w:sz="4" w:space="0" w:color="auto"/>
            </w:tcBorders>
            <w:vAlign w:val="center"/>
          </w:tcPr>
          <w:p w14:paraId="391D9189" w14:textId="77777777" w:rsidR="002D0AE7" w:rsidRDefault="002D0AE7">
            <w:pPr>
              <w:jc w:val="right"/>
              <w:rPr>
                <w:rFonts w:ascii="Times New Roman" w:hAnsi="Times New Roman" w:cs="Times New Roman"/>
                <w:sz w:val="21"/>
                <w:szCs w:val="21"/>
              </w:rPr>
            </w:pPr>
          </w:p>
        </w:tc>
        <w:tc>
          <w:tcPr>
            <w:tcW w:w="374" w:type="pct"/>
            <w:tcBorders>
              <w:top w:val="single" w:sz="4" w:space="0" w:color="auto"/>
              <w:left w:val="single" w:sz="4" w:space="0" w:color="auto"/>
              <w:bottom w:val="single" w:sz="4" w:space="0" w:color="auto"/>
              <w:right w:val="single" w:sz="4" w:space="0" w:color="auto"/>
            </w:tcBorders>
            <w:vAlign w:val="center"/>
          </w:tcPr>
          <w:p w14:paraId="3E6514C1" w14:textId="77777777" w:rsidR="002D0AE7" w:rsidRDefault="002D0AE7">
            <w:pPr>
              <w:jc w:val="right"/>
              <w:rPr>
                <w:rFonts w:ascii="Times New Roman" w:hAnsi="Times New Roman" w:cs="Times New Roman"/>
                <w:sz w:val="21"/>
                <w:szCs w:val="21"/>
              </w:rPr>
            </w:pPr>
          </w:p>
        </w:tc>
      </w:tr>
      <w:tr w:rsidR="002D0AE7" w14:paraId="743E95E7" w14:textId="77777777">
        <w:trPr>
          <w:jc w:val="center"/>
        </w:trPr>
        <w:tc>
          <w:tcPr>
            <w:tcW w:w="1582" w:type="pct"/>
            <w:tcBorders>
              <w:top w:val="single" w:sz="4" w:space="0" w:color="auto"/>
              <w:left w:val="single" w:sz="4" w:space="0" w:color="auto"/>
              <w:bottom w:val="single" w:sz="4" w:space="0" w:color="auto"/>
              <w:right w:val="single" w:sz="4" w:space="0" w:color="auto"/>
            </w:tcBorders>
            <w:vAlign w:val="center"/>
          </w:tcPr>
          <w:p w14:paraId="33E81C65" w14:textId="77777777" w:rsidR="002D0AE7" w:rsidRDefault="00333EBB">
            <w:pPr>
              <w:rPr>
                <w:rFonts w:hint="eastAsia"/>
                <w:sz w:val="21"/>
                <w:szCs w:val="21"/>
              </w:rPr>
            </w:pPr>
            <w:r>
              <w:rPr>
                <w:sz w:val="21"/>
                <w:szCs w:val="21"/>
              </w:rPr>
              <w:t>津药和平（天津）制药有限公司</w:t>
            </w:r>
          </w:p>
        </w:tc>
        <w:tc>
          <w:tcPr>
            <w:tcW w:w="779" w:type="pct"/>
            <w:tcBorders>
              <w:top w:val="single" w:sz="4" w:space="0" w:color="auto"/>
              <w:left w:val="single" w:sz="4" w:space="0" w:color="auto"/>
              <w:bottom w:val="single" w:sz="4" w:space="0" w:color="auto"/>
              <w:right w:val="single" w:sz="4" w:space="0" w:color="auto"/>
            </w:tcBorders>
            <w:vAlign w:val="center"/>
          </w:tcPr>
          <w:p w14:paraId="6A96154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886,570,368.05</w:t>
            </w:r>
          </w:p>
        </w:tc>
        <w:tc>
          <w:tcPr>
            <w:tcW w:w="386" w:type="pct"/>
            <w:tcBorders>
              <w:top w:val="single" w:sz="4" w:space="0" w:color="auto"/>
              <w:left w:val="single" w:sz="4" w:space="0" w:color="auto"/>
              <w:bottom w:val="single" w:sz="4" w:space="0" w:color="auto"/>
              <w:right w:val="single" w:sz="4" w:space="0" w:color="auto"/>
            </w:tcBorders>
            <w:vAlign w:val="center"/>
          </w:tcPr>
          <w:p w14:paraId="1ABAFC51" w14:textId="77777777" w:rsidR="002D0AE7" w:rsidRDefault="002D0AE7">
            <w:pPr>
              <w:jc w:val="right"/>
              <w:rPr>
                <w:rFonts w:ascii="Times New Roman" w:hAnsi="Times New Roman" w:cs="Times New Roman"/>
                <w:sz w:val="21"/>
                <w:szCs w:val="21"/>
              </w:rPr>
            </w:pPr>
          </w:p>
        </w:tc>
        <w:tc>
          <w:tcPr>
            <w:tcW w:w="706" w:type="pct"/>
            <w:tcBorders>
              <w:top w:val="single" w:sz="4" w:space="0" w:color="auto"/>
              <w:left w:val="single" w:sz="4" w:space="0" w:color="auto"/>
              <w:bottom w:val="single" w:sz="4" w:space="0" w:color="auto"/>
              <w:right w:val="single" w:sz="4" w:space="0" w:color="auto"/>
            </w:tcBorders>
            <w:vAlign w:val="center"/>
          </w:tcPr>
          <w:p w14:paraId="126E79C2" w14:textId="77777777" w:rsidR="002D0AE7" w:rsidRDefault="002D0AE7">
            <w:pPr>
              <w:jc w:val="right"/>
              <w:rPr>
                <w:rFonts w:ascii="Times New Roman" w:hAnsi="Times New Roman" w:cs="Times New Roman"/>
                <w:sz w:val="21"/>
                <w:szCs w:val="21"/>
              </w:rPr>
            </w:pPr>
          </w:p>
        </w:tc>
        <w:tc>
          <w:tcPr>
            <w:tcW w:w="779" w:type="pct"/>
            <w:tcBorders>
              <w:top w:val="single" w:sz="4" w:space="0" w:color="auto"/>
              <w:left w:val="single" w:sz="4" w:space="0" w:color="auto"/>
              <w:bottom w:val="single" w:sz="4" w:space="0" w:color="auto"/>
              <w:right w:val="single" w:sz="4" w:space="0" w:color="auto"/>
            </w:tcBorders>
            <w:vAlign w:val="center"/>
          </w:tcPr>
          <w:p w14:paraId="3341C22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886,570,368.05</w:t>
            </w:r>
          </w:p>
        </w:tc>
        <w:tc>
          <w:tcPr>
            <w:tcW w:w="394" w:type="pct"/>
            <w:tcBorders>
              <w:top w:val="single" w:sz="4" w:space="0" w:color="auto"/>
              <w:left w:val="single" w:sz="4" w:space="0" w:color="auto"/>
              <w:bottom w:val="single" w:sz="4" w:space="0" w:color="auto"/>
              <w:right w:val="single" w:sz="4" w:space="0" w:color="auto"/>
            </w:tcBorders>
            <w:vAlign w:val="center"/>
          </w:tcPr>
          <w:p w14:paraId="7CC1E7E5" w14:textId="77777777" w:rsidR="002D0AE7" w:rsidRDefault="002D0AE7">
            <w:pPr>
              <w:jc w:val="right"/>
              <w:rPr>
                <w:rFonts w:ascii="Times New Roman" w:hAnsi="Times New Roman" w:cs="Times New Roman"/>
                <w:sz w:val="21"/>
                <w:szCs w:val="21"/>
              </w:rPr>
            </w:pPr>
          </w:p>
        </w:tc>
        <w:tc>
          <w:tcPr>
            <w:tcW w:w="374" w:type="pct"/>
            <w:tcBorders>
              <w:top w:val="single" w:sz="4" w:space="0" w:color="auto"/>
              <w:left w:val="single" w:sz="4" w:space="0" w:color="auto"/>
              <w:bottom w:val="single" w:sz="4" w:space="0" w:color="auto"/>
              <w:right w:val="single" w:sz="4" w:space="0" w:color="auto"/>
            </w:tcBorders>
            <w:vAlign w:val="center"/>
          </w:tcPr>
          <w:p w14:paraId="35EA2FF5" w14:textId="77777777" w:rsidR="002D0AE7" w:rsidRDefault="002D0AE7">
            <w:pPr>
              <w:jc w:val="right"/>
              <w:rPr>
                <w:rFonts w:ascii="Times New Roman" w:hAnsi="Times New Roman" w:cs="Times New Roman"/>
                <w:sz w:val="21"/>
                <w:szCs w:val="21"/>
              </w:rPr>
            </w:pPr>
          </w:p>
        </w:tc>
      </w:tr>
      <w:tr w:rsidR="002D0AE7" w14:paraId="4E4718DF" w14:textId="77777777">
        <w:trPr>
          <w:jc w:val="center"/>
        </w:trPr>
        <w:tc>
          <w:tcPr>
            <w:tcW w:w="1582" w:type="pct"/>
            <w:tcBorders>
              <w:top w:val="single" w:sz="4" w:space="0" w:color="auto"/>
              <w:left w:val="single" w:sz="4" w:space="0" w:color="auto"/>
              <w:bottom w:val="single" w:sz="4" w:space="0" w:color="auto"/>
              <w:right w:val="single" w:sz="4" w:space="0" w:color="auto"/>
            </w:tcBorders>
            <w:vAlign w:val="center"/>
          </w:tcPr>
          <w:p w14:paraId="2009BF33" w14:textId="77777777" w:rsidR="002D0AE7" w:rsidRDefault="00333EBB">
            <w:pPr>
              <w:rPr>
                <w:rFonts w:hint="eastAsia"/>
                <w:sz w:val="21"/>
                <w:szCs w:val="21"/>
              </w:rPr>
            </w:pPr>
            <w:r>
              <w:rPr>
                <w:sz w:val="21"/>
                <w:szCs w:val="21"/>
              </w:rPr>
              <w:t>天津津药环境科技有限公司</w:t>
            </w:r>
          </w:p>
        </w:tc>
        <w:tc>
          <w:tcPr>
            <w:tcW w:w="779" w:type="pct"/>
            <w:tcBorders>
              <w:top w:val="single" w:sz="4" w:space="0" w:color="auto"/>
              <w:left w:val="single" w:sz="4" w:space="0" w:color="auto"/>
              <w:bottom w:val="single" w:sz="4" w:space="0" w:color="auto"/>
              <w:right w:val="single" w:sz="4" w:space="0" w:color="auto"/>
            </w:tcBorders>
            <w:vAlign w:val="center"/>
          </w:tcPr>
          <w:p w14:paraId="30F8B9C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641,244,405.88</w:t>
            </w:r>
          </w:p>
        </w:tc>
        <w:tc>
          <w:tcPr>
            <w:tcW w:w="386" w:type="pct"/>
            <w:tcBorders>
              <w:top w:val="single" w:sz="4" w:space="0" w:color="auto"/>
              <w:left w:val="single" w:sz="4" w:space="0" w:color="auto"/>
              <w:bottom w:val="single" w:sz="4" w:space="0" w:color="auto"/>
              <w:right w:val="single" w:sz="4" w:space="0" w:color="auto"/>
            </w:tcBorders>
            <w:vAlign w:val="center"/>
          </w:tcPr>
          <w:p w14:paraId="50FCE91B" w14:textId="77777777" w:rsidR="002D0AE7" w:rsidRDefault="002D0AE7">
            <w:pPr>
              <w:jc w:val="right"/>
              <w:rPr>
                <w:rFonts w:ascii="Times New Roman" w:hAnsi="Times New Roman" w:cs="Times New Roman"/>
                <w:sz w:val="21"/>
                <w:szCs w:val="21"/>
              </w:rPr>
            </w:pPr>
          </w:p>
        </w:tc>
        <w:tc>
          <w:tcPr>
            <w:tcW w:w="706" w:type="pct"/>
            <w:tcBorders>
              <w:top w:val="single" w:sz="4" w:space="0" w:color="auto"/>
              <w:left w:val="single" w:sz="4" w:space="0" w:color="auto"/>
              <w:bottom w:val="single" w:sz="4" w:space="0" w:color="auto"/>
              <w:right w:val="single" w:sz="4" w:space="0" w:color="auto"/>
            </w:tcBorders>
            <w:vAlign w:val="center"/>
          </w:tcPr>
          <w:p w14:paraId="11877F69" w14:textId="77777777" w:rsidR="002D0AE7" w:rsidRDefault="002D0AE7">
            <w:pPr>
              <w:jc w:val="right"/>
              <w:rPr>
                <w:rFonts w:ascii="Times New Roman" w:hAnsi="Times New Roman" w:cs="Times New Roman"/>
                <w:sz w:val="21"/>
                <w:szCs w:val="21"/>
              </w:rPr>
            </w:pPr>
          </w:p>
        </w:tc>
        <w:tc>
          <w:tcPr>
            <w:tcW w:w="779" w:type="pct"/>
            <w:tcBorders>
              <w:top w:val="single" w:sz="4" w:space="0" w:color="auto"/>
              <w:left w:val="single" w:sz="4" w:space="0" w:color="auto"/>
              <w:bottom w:val="single" w:sz="4" w:space="0" w:color="auto"/>
              <w:right w:val="single" w:sz="4" w:space="0" w:color="auto"/>
            </w:tcBorders>
            <w:vAlign w:val="center"/>
          </w:tcPr>
          <w:p w14:paraId="162FA76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641,244,405.88</w:t>
            </w:r>
          </w:p>
        </w:tc>
        <w:tc>
          <w:tcPr>
            <w:tcW w:w="394" w:type="pct"/>
            <w:tcBorders>
              <w:top w:val="single" w:sz="4" w:space="0" w:color="auto"/>
              <w:left w:val="single" w:sz="4" w:space="0" w:color="auto"/>
              <w:bottom w:val="single" w:sz="4" w:space="0" w:color="auto"/>
              <w:right w:val="single" w:sz="4" w:space="0" w:color="auto"/>
            </w:tcBorders>
            <w:vAlign w:val="center"/>
          </w:tcPr>
          <w:p w14:paraId="3D34EB9C" w14:textId="77777777" w:rsidR="002D0AE7" w:rsidRDefault="002D0AE7">
            <w:pPr>
              <w:jc w:val="right"/>
              <w:rPr>
                <w:rFonts w:ascii="Times New Roman" w:hAnsi="Times New Roman" w:cs="Times New Roman"/>
                <w:sz w:val="21"/>
                <w:szCs w:val="21"/>
              </w:rPr>
            </w:pPr>
          </w:p>
        </w:tc>
        <w:tc>
          <w:tcPr>
            <w:tcW w:w="374" w:type="pct"/>
            <w:tcBorders>
              <w:top w:val="single" w:sz="4" w:space="0" w:color="auto"/>
              <w:left w:val="single" w:sz="4" w:space="0" w:color="auto"/>
              <w:bottom w:val="single" w:sz="4" w:space="0" w:color="auto"/>
              <w:right w:val="single" w:sz="4" w:space="0" w:color="auto"/>
            </w:tcBorders>
            <w:vAlign w:val="center"/>
          </w:tcPr>
          <w:p w14:paraId="323FA26E" w14:textId="77777777" w:rsidR="002D0AE7" w:rsidRDefault="002D0AE7">
            <w:pPr>
              <w:jc w:val="right"/>
              <w:rPr>
                <w:rFonts w:ascii="Times New Roman" w:hAnsi="Times New Roman" w:cs="Times New Roman"/>
                <w:sz w:val="21"/>
                <w:szCs w:val="21"/>
              </w:rPr>
            </w:pPr>
          </w:p>
        </w:tc>
      </w:tr>
      <w:tr w:rsidR="002D0AE7" w14:paraId="0B5F1E38" w14:textId="77777777">
        <w:trPr>
          <w:jc w:val="center"/>
        </w:trPr>
        <w:tc>
          <w:tcPr>
            <w:tcW w:w="1582" w:type="pct"/>
            <w:tcBorders>
              <w:top w:val="single" w:sz="4" w:space="0" w:color="auto"/>
              <w:left w:val="single" w:sz="4" w:space="0" w:color="auto"/>
              <w:bottom w:val="single" w:sz="4" w:space="0" w:color="auto"/>
              <w:right w:val="single" w:sz="4" w:space="0" w:color="auto"/>
            </w:tcBorders>
            <w:vAlign w:val="center"/>
          </w:tcPr>
          <w:p w14:paraId="189204B9" w14:textId="77777777" w:rsidR="002D0AE7" w:rsidRDefault="00333EBB">
            <w:pPr>
              <w:rPr>
                <w:rFonts w:hint="eastAsia"/>
                <w:sz w:val="21"/>
                <w:szCs w:val="21"/>
              </w:rPr>
            </w:pPr>
            <w:r>
              <w:rPr>
                <w:sz w:val="21"/>
                <w:szCs w:val="21"/>
              </w:rPr>
              <w:t>天津信卓国际贸易有限公司</w:t>
            </w:r>
          </w:p>
        </w:tc>
        <w:tc>
          <w:tcPr>
            <w:tcW w:w="779" w:type="pct"/>
            <w:tcBorders>
              <w:top w:val="single" w:sz="4" w:space="0" w:color="auto"/>
              <w:left w:val="single" w:sz="4" w:space="0" w:color="auto"/>
              <w:bottom w:val="single" w:sz="4" w:space="0" w:color="auto"/>
              <w:right w:val="single" w:sz="4" w:space="0" w:color="auto"/>
            </w:tcBorders>
            <w:vAlign w:val="center"/>
          </w:tcPr>
          <w:p w14:paraId="34CBDB4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500,000.00</w:t>
            </w:r>
          </w:p>
        </w:tc>
        <w:tc>
          <w:tcPr>
            <w:tcW w:w="386" w:type="pct"/>
            <w:tcBorders>
              <w:top w:val="single" w:sz="4" w:space="0" w:color="auto"/>
              <w:left w:val="single" w:sz="4" w:space="0" w:color="auto"/>
              <w:bottom w:val="single" w:sz="4" w:space="0" w:color="auto"/>
              <w:right w:val="single" w:sz="4" w:space="0" w:color="auto"/>
            </w:tcBorders>
            <w:vAlign w:val="center"/>
          </w:tcPr>
          <w:p w14:paraId="0BA87490" w14:textId="77777777" w:rsidR="002D0AE7" w:rsidRDefault="002D0AE7">
            <w:pPr>
              <w:jc w:val="right"/>
              <w:rPr>
                <w:rFonts w:ascii="Times New Roman" w:hAnsi="Times New Roman" w:cs="Times New Roman"/>
                <w:sz w:val="21"/>
                <w:szCs w:val="21"/>
              </w:rPr>
            </w:pPr>
          </w:p>
        </w:tc>
        <w:tc>
          <w:tcPr>
            <w:tcW w:w="706" w:type="pct"/>
            <w:tcBorders>
              <w:top w:val="single" w:sz="4" w:space="0" w:color="auto"/>
              <w:left w:val="single" w:sz="4" w:space="0" w:color="auto"/>
              <w:bottom w:val="single" w:sz="4" w:space="0" w:color="auto"/>
              <w:right w:val="single" w:sz="4" w:space="0" w:color="auto"/>
            </w:tcBorders>
            <w:vAlign w:val="center"/>
          </w:tcPr>
          <w:p w14:paraId="588C6126" w14:textId="77777777" w:rsidR="002D0AE7" w:rsidRDefault="002D0AE7">
            <w:pPr>
              <w:jc w:val="right"/>
              <w:rPr>
                <w:rFonts w:ascii="Times New Roman" w:hAnsi="Times New Roman" w:cs="Times New Roman"/>
                <w:sz w:val="21"/>
                <w:szCs w:val="21"/>
              </w:rPr>
            </w:pPr>
          </w:p>
        </w:tc>
        <w:tc>
          <w:tcPr>
            <w:tcW w:w="779" w:type="pct"/>
            <w:tcBorders>
              <w:top w:val="single" w:sz="4" w:space="0" w:color="auto"/>
              <w:left w:val="single" w:sz="4" w:space="0" w:color="auto"/>
              <w:bottom w:val="single" w:sz="4" w:space="0" w:color="auto"/>
              <w:right w:val="single" w:sz="4" w:space="0" w:color="auto"/>
            </w:tcBorders>
            <w:vAlign w:val="center"/>
          </w:tcPr>
          <w:p w14:paraId="1C77C86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500,000.00</w:t>
            </w:r>
          </w:p>
        </w:tc>
        <w:tc>
          <w:tcPr>
            <w:tcW w:w="394" w:type="pct"/>
            <w:tcBorders>
              <w:top w:val="single" w:sz="4" w:space="0" w:color="auto"/>
              <w:left w:val="single" w:sz="4" w:space="0" w:color="auto"/>
              <w:bottom w:val="single" w:sz="4" w:space="0" w:color="auto"/>
              <w:right w:val="single" w:sz="4" w:space="0" w:color="auto"/>
            </w:tcBorders>
            <w:vAlign w:val="center"/>
          </w:tcPr>
          <w:p w14:paraId="3A509400" w14:textId="77777777" w:rsidR="002D0AE7" w:rsidRDefault="002D0AE7">
            <w:pPr>
              <w:jc w:val="right"/>
              <w:rPr>
                <w:rFonts w:ascii="Times New Roman" w:hAnsi="Times New Roman" w:cs="Times New Roman"/>
                <w:sz w:val="21"/>
                <w:szCs w:val="21"/>
              </w:rPr>
            </w:pPr>
          </w:p>
        </w:tc>
        <w:tc>
          <w:tcPr>
            <w:tcW w:w="374" w:type="pct"/>
            <w:tcBorders>
              <w:top w:val="single" w:sz="4" w:space="0" w:color="auto"/>
              <w:left w:val="single" w:sz="4" w:space="0" w:color="auto"/>
              <w:bottom w:val="single" w:sz="4" w:space="0" w:color="auto"/>
              <w:right w:val="single" w:sz="4" w:space="0" w:color="auto"/>
            </w:tcBorders>
            <w:vAlign w:val="center"/>
          </w:tcPr>
          <w:p w14:paraId="404AA9C1" w14:textId="77777777" w:rsidR="002D0AE7" w:rsidRDefault="002D0AE7">
            <w:pPr>
              <w:jc w:val="right"/>
              <w:rPr>
                <w:rFonts w:ascii="Times New Roman" w:hAnsi="Times New Roman" w:cs="Times New Roman"/>
                <w:sz w:val="21"/>
                <w:szCs w:val="21"/>
              </w:rPr>
            </w:pPr>
          </w:p>
        </w:tc>
      </w:tr>
      <w:tr w:rsidR="002D0AE7" w14:paraId="2E460E3F" w14:textId="77777777">
        <w:trPr>
          <w:jc w:val="center"/>
        </w:trPr>
        <w:tc>
          <w:tcPr>
            <w:tcW w:w="1582" w:type="pct"/>
            <w:tcBorders>
              <w:top w:val="single" w:sz="4" w:space="0" w:color="auto"/>
              <w:left w:val="single" w:sz="4" w:space="0" w:color="auto"/>
              <w:bottom w:val="single" w:sz="4" w:space="0" w:color="auto"/>
              <w:right w:val="single" w:sz="4" w:space="0" w:color="auto"/>
            </w:tcBorders>
            <w:vAlign w:val="center"/>
          </w:tcPr>
          <w:p w14:paraId="5B16FA4C" w14:textId="77777777" w:rsidR="002D0AE7" w:rsidRDefault="00333EBB">
            <w:pPr>
              <w:rPr>
                <w:rFonts w:hint="eastAsia"/>
                <w:sz w:val="21"/>
                <w:szCs w:val="21"/>
              </w:rPr>
            </w:pPr>
            <w:r>
              <w:rPr>
                <w:sz w:val="21"/>
                <w:szCs w:val="21"/>
              </w:rPr>
              <w:t>湖北津药药业股份有限公司</w:t>
            </w:r>
          </w:p>
        </w:tc>
        <w:tc>
          <w:tcPr>
            <w:tcW w:w="779" w:type="pct"/>
            <w:tcBorders>
              <w:top w:val="single" w:sz="4" w:space="0" w:color="auto"/>
              <w:left w:val="single" w:sz="4" w:space="0" w:color="auto"/>
              <w:bottom w:val="single" w:sz="4" w:space="0" w:color="auto"/>
              <w:right w:val="single" w:sz="4" w:space="0" w:color="auto"/>
            </w:tcBorders>
            <w:vAlign w:val="center"/>
          </w:tcPr>
          <w:p w14:paraId="1B8D190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99,662,378.55</w:t>
            </w:r>
          </w:p>
        </w:tc>
        <w:tc>
          <w:tcPr>
            <w:tcW w:w="386" w:type="pct"/>
            <w:tcBorders>
              <w:top w:val="single" w:sz="4" w:space="0" w:color="auto"/>
              <w:left w:val="single" w:sz="4" w:space="0" w:color="auto"/>
              <w:bottom w:val="single" w:sz="4" w:space="0" w:color="auto"/>
              <w:right w:val="single" w:sz="4" w:space="0" w:color="auto"/>
            </w:tcBorders>
            <w:vAlign w:val="center"/>
          </w:tcPr>
          <w:p w14:paraId="0F066FE6" w14:textId="77777777" w:rsidR="002D0AE7" w:rsidRDefault="002D0AE7">
            <w:pPr>
              <w:jc w:val="right"/>
              <w:rPr>
                <w:rFonts w:ascii="Times New Roman" w:hAnsi="Times New Roman" w:cs="Times New Roman"/>
                <w:sz w:val="21"/>
                <w:szCs w:val="21"/>
              </w:rPr>
            </w:pPr>
          </w:p>
        </w:tc>
        <w:tc>
          <w:tcPr>
            <w:tcW w:w="706" w:type="pct"/>
            <w:tcBorders>
              <w:top w:val="single" w:sz="4" w:space="0" w:color="auto"/>
              <w:left w:val="single" w:sz="4" w:space="0" w:color="auto"/>
              <w:bottom w:val="single" w:sz="4" w:space="0" w:color="auto"/>
              <w:right w:val="single" w:sz="4" w:space="0" w:color="auto"/>
            </w:tcBorders>
            <w:vAlign w:val="center"/>
          </w:tcPr>
          <w:p w14:paraId="04FF872D" w14:textId="77777777" w:rsidR="002D0AE7" w:rsidRDefault="002D0AE7">
            <w:pPr>
              <w:jc w:val="right"/>
              <w:rPr>
                <w:rFonts w:ascii="Times New Roman" w:hAnsi="Times New Roman" w:cs="Times New Roman"/>
                <w:sz w:val="21"/>
                <w:szCs w:val="21"/>
              </w:rPr>
            </w:pPr>
          </w:p>
        </w:tc>
        <w:tc>
          <w:tcPr>
            <w:tcW w:w="779" w:type="pct"/>
            <w:tcBorders>
              <w:top w:val="single" w:sz="4" w:space="0" w:color="auto"/>
              <w:left w:val="single" w:sz="4" w:space="0" w:color="auto"/>
              <w:bottom w:val="single" w:sz="4" w:space="0" w:color="auto"/>
              <w:right w:val="single" w:sz="4" w:space="0" w:color="auto"/>
            </w:tcBorders>
            <w:vAlign w:val="center"/>
          </w:tcPr>
          <w:p w14:paraId="59F17AC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99,662,378.55</w:t>
            </w:r>
          </w:p>
        </w:tc>
        <w:tc>
          <w:tcPr>
            <w:tcW w:w="394" w:type="pct"/>
            <w:tcBorders>
              <w:top w:val="single" w:sz="4" w:space="0" w:color="auto"/>
              <w:left w:val="single" w:sz="4" w:space="0" w:color="auto"/>
              <w:bottom w:val="single" w:sz="4" w:space="0" w:color="auto"/>
              <w:right w:val="single" w:sz="4" w:space="0" w:color="auto"/>
            </w:tcBorders>
            <w:vAlign w:val="center"/>
          </w:tcPr>
          <w:p w14:paraId="2000DFD1" w14:textId="77777777" w:rsidR="002D0AE7" w:rsidRDefault="002D0AE7">
            <w:pPr>
              <w:jc w:val="right"/>
              <w:rPr>
                <w:rFonts w:ascii="Times New Roman" w:hAnsi="Times New Roman" w:cs="Times New Roman"/>
                <w:sz w:val="21"/>
                <w:szCs w:val="21"/>
              </w:rPr>
            </w:pPr>
          </w:p>
        </w:tc>
        <w:tc>
          <w:tcPr>
            <w:tcW w:w="374" w:type="pct"/>
            <w:tcBorders>
              <w:top w:val="single" w:sz="4" w:space="0" w:color="auto"/>
              <w:left w:val="single" w:sz="4" w:space="0" w:color="auto"/>
              <w:bottom w:val="single" w:sz="4" w:space="0" w:color="auto"/>
              <w:right w:val="single" w:sz="4" w:space="0" w:color="auto"/>
            </w:tcBorders>
            <w:vAlign w:val="center"/>
          </w:tcPr>
          <w:p w14:paraId="5C972A7E" w14:textId="77777777" w:rsidR="002D0AE7" w:rsidRDefault="002D0AE7">
            <w:pPr>
              <w:jc w:val="right"/>
              <w:rPr>
                <w:rFonts w:ascii="Times New Roman" w:hAnsi="Times New Roman" w:cs="Times New Roman"/>
                <w:sz w:val="21"/>
                <w:szCs w:val="21"/>
              </w:rPr>
            </w:pPr>
          </w:p>
        </w:tc>
      </w:tr>
      <w:tr w:rsidR="002D0AE7" w14:paraId="65300347" w14:textId="77777777">
        <w:trPr>
          <w:jc w:val="center"/>
        </w:trPr>
        <w:tc>
          <w:tcPr>
            <w:tcW w:w="1582" w:type="pct"/>
            <w:tcBorders>
              <w:top w:val="single" w:sz="4" w:space="0" w:color="auto"/>
              <w:left w:val="single" w:sz="4" w:space="0" w:color="auto"/>
              <w:bottom w:val="single" w:sz="4" w:space="0" w:color="auto"/>
              <w:right w:val="single" w:sz="4" w:space="0" w:color="auto"/>
            </w:tcBorders>
            <w:vAlign w:val="center"/>
          </w:tcPr>
          <w:p w14:paraId="509D64FF"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779" w:type="pct"/>
            <w:tcBorders>
              <w:top w:val="single" w:sz="4" w:space="0" w:color="auto"/>
              <w:left w:val="single" w:sz="4" w:space="0" w:color="auto"/>
              <w:bottom w:val="single" w:sz="4" w:space="0" w:color="auto"/>
              <w:right w:val="single" w:sz="4" w:space="0" w:color="auto"/>
            </w:tcBorders>
            <w:vAlign w:val="center"/>
          </w:tcPr>
          <w:p w14:paraId="413869D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1,943,882,638.79</w:t>
            </w:r>
          </w:p>
        </w:tc>
        <w:tc>
          <w:tcPr>
            <w:tcW w:w="386" w:type="pct"/>
            <w:tcBorders>
              <w:top w:val="single" w:sz="4" w:space="0" w:color="auto"/>
              <w:left w:val="single" w:sz="4" w:space="0" w:color="auto"/>
              <w:bottom w:val="single" w:sz="4" w:space="0" w:color="auto"/>
              <w:right w:val="single" w:sz="4" w:space="0" w:color="auto"/>
            </w:tcBorders>
            <w:vAlign w:val="center"/>
          </w:tcPr>
          <w:p w14:paraId="2C4264AF" w14:textId="77777777" w:rsidR="002D0AE7" w:rsidRDefault="002D0AE7">
            <w:pPr>
              <w:jc w:val="right"/>
              <w:rPr>
                <w:rFonts w:ascii="Times New Roman" w:hAnsi="Times New Roman" w:cs="Times New Roman"/>
                <w:sz w:val="21"/>
                <w:szCs w:val="21"/>
              </w:rPr>
            </w:pPr>
          </w:p>
        </w:tc>
        <w:tc>
          <w:tcPr>
            <w:tcW w:w="706" w:type="pct"/>
            <w:tcBorders>
              <w:top w:val="single" w:sz="4" w:space="0" w:color="auto"/>
              <w:left w:val="single" w:sz="4" w:space="0" w:color="auto"/>
              <w:bottom w:val="single" w:sz="4" w:space="0" w:color="auto"/>
              <w:right w:val="single" w:sz="4" w:space="0" w:color="auto"/>
            </w:tcBorders>
            <w:vAlign w:val="center"/>
          </w:tcPr>
          <w:p w14:paraId="0A1D4ACB"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129,798,387.29</w:t>
            </w:r>
          </w:p>
        </w:tc>
        <w:tc>
          <w:tcPr>
            <w:tcW w:w="779" w:type="pct"/>
            <w:tcBorders>
              <w:top w:val="single" w:sz="4" w:space="0" w:color="auto"/>
              <w:left w:val="single" w:sz="4" w:space="0" w:color="auto"/>
              <w:bottom w:val="single" w:sz="4" w:space="0" w:color="auto"/>
              <w:right w:val="single" w:sz="4" w:space="0" w:color="auto"/>
            </w:tcBorders>
            <w:vAlign w:val="center"/>
          </w:tcPr>
          <w:p w14:paraId="20CB109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1,814,084,251.50</w:t>
            </w:r>
          </w:p>
        </w:tc>
        <w:tc>
          <w:tcPr>
            <w:tcW w:w="394" w:type="pct"/>
            <w:tcBorders>
              <w:top w:val="single" w:sz="4" w:space="0" w:color="auto"/>
              <w:left w:val="single" w:sz="4" w:space="0" w:color="auto"/>
              <w:bottom w:val="single" w:sz="4" w:space="0" w:color="auto"/>
              <w:right w:val="single" w:sz="4" w:space="0" w:color="auto"/>
            </w:tcBorders>
            <w:vAlign w:val="center"/>
          </w:tcPr>
          <w:p w14:paraId="2947FEDE" w14:textId="77777777" w:rsidR="002D0AE7" w:rsidRDefault="002D0AE7">
            <w:pPr>
              <w:jc w:val="right"/>
              <w:rPr>
                <w:rFonts w:ascii="Times New Roman" w:hAnsi="Times New Roman" w:cs="Times New Roman"/>
                <w:sz w:val="21"/>
                <w:szCs w:val="21"/>
              </w:rPr>
            </w:pPr>
          </w:p>
        </w:tc>
        <w:tc>
          <w:tcPr>
            <w:tcW w:w="374" w:type="pct"/>
            <w:tcBorders>
              <w:top w:val="single" w:sz="4" w:space="0" w:color="auto"/>
              <w:left w:val="single" w:sz="4" w:space="0" w:color="auto"/>
              <w:bottom w:val="single" w:sz="4" w:space="0" w:color="auto"/>
              <w:right w:val="single" w:sz="4" w:space="0" w:color="auto"/>
            </w:tcBorders>
            <w:vAlign w:val="center"/>
          </w:tcPr>
          <w:p w14:paraId="4A096337" w14:textId="77777777" w:rsidR="002D0AE7" w:rsidRDefault="002D0AE7">
            <w:pPr>
              <w:jc w:val="right"/>
              <w:rPr>
                <w:rFonts w:ascii="Times New Roman" w:hAnsi="Times New Roman" w:cs="Times New Roman"/>
                <w:sz w:val="21"/>
                <w:szCs w:val="21"/>
              </w:rPr>
            </w:pPr>
          </w:p>
        </w:tc>
      </w:tr>
    </w:tbl>
    <w:p w14:paraId="7DFAB3E0" w14:textId="77777777" w:rsidR="002D0AE7" w:rsidRDefault="00333EBB">
      <w:pPr>
        <w:pStyle w:val="4"/>
        <w:numPr>
          <w:ilvl w:val="0"/>
          <w:numId w:val="95"/>
        </w:numPr>
        <w:rPr>
          <w:rFonts w:ascii="宋体" w:hAnsi="宋体" w:hint="eastAsia"/>
          <w:color w:val="000000" w:themeColor="text1"/>
          <w:szCs w:val="21"/>
        </w:rPr>
      </w:pPr>
      <w:r>
        <w:rPr>
          <w:rFonts w:ascii="宋体" w:hAnsi="宋体" w:hint="eastAsia"/>
          <w:color w:val="000000" w:themeColor="text1"/>
          <w:szCs w:val="21"/>
        </w:rPr>
        <w:t>对联营、</w:t>
      </w:r>
      <w:r>
        <w:rPr>
          <w:rFonts w:ascii="宋体" w:hAnsi="宋体" w:hint="eastAsia"/>
          <w:color w:val="000000" w:themeColor="text1"/>
        </w:rPr>
        <w:t>合营</w:t>
      </w:r>
      <w:r>
        <w:rPr>
          <w:rFonts w:ascii="宋体" w:hAnsi="宋体" w:hint="eastAsia"/>
          <w:color w:val="000000" w:themeColor="text1"/>
          <w:szCs w:val="21"/>
        </w:rPr>
        <w:t>企业投资</w:t>
      </w:r>
    </w:p>
    <w:sdt>
      <w:sdtPr>
        <w:rPr>
          <w:color w:val="000000" w:themeColor="text1"/>
        </w:rPr>
        <w:alias w:val="是否适用：母公司对联营、合营企业投资[双击切换]"/>
        <w:tag w:val="_GBC_0837f60a15fc4684b64085618adca8d2"/>
        <w:id w:val="-2077422034"/>
        <w:placeholder>
          <w:docPart w:val="GBC22222222222222222222222222222"/>
        </w:placeholder>
      </w:sdtPr>
      <w:sdtEndPr/>
      <w:sdtContent>
        <w:p w14:paraId="15D38699"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6EDF568C"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母公司财务附注：对联营、合营企业投资"/>
          <w:tag w:val="_GBC_d8af48cd34c54e749df777d4e6a5e2ed"/>
          <w:id w:val="95691567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母公司财务附注：对联营、合营企业投资"/>
          <w:tag w:val="_GBC_5b4bb22c6cca42989bcd538938127ee2"/>
          <w:id w:val="142206998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63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1277"/>
        <w:gridCol w:w="426"/>
        <w:gridCol w:w="282"/>
        <w:gridCol w:w="1418"/>
        <w:gridCol w:w="708"/>
        <w:gridCol w:w="708"/>
        <w:gridCol w:w="710"/>
        <w:gridCol w:w="426"/>
        <w:gridCol w:w="282"/>
        <w:gridCol w:w="1275"/>
        <w:gridCol w:w="860"/>
      </w:tblGrid>
      <w:tr w:rsidR="002D0AE7" w14:paraId="07F91064" w14:textId="77777777">
        <w:trPr>
          <w:jc w:val="center"/>
        </w:trPr>
        <w:bookmarkEnd w:id="284" w:displacedByCustomXml="next"/>
        <w:bookmarkStart w:id="285" w:name="_Hlk155165896" w:displacedByCustomXml="next"/>
        <w:bookmarkStart w:id="286" w:name="_Hlk168057377" w:displacedByCustomXml="next"/>
        <w:sdt>
          <w:sdtPr>
            <w:rPr>
              <w:color w:val="000000" w:themeColor="text1"/>
              <w:sz w:val="21"/>
              <w:szCs w:val="21"/>
            </w:rPr>
            <w:tag w:val="_PLD_abfaca7df388426499f44c3fb444b469"/>
            <w:id w:val="868880084"/>
          </w:sdtPr>
          <w:sdtEndPr/>
          <w:sdtContent>
            <w:tc>
              <w:tcPr>
                <w:tcW w:w="1263" w:type="pct"/>
                <w:vMerge w:val="restart"/>
                <w:tcBorders>
                  <w:top w:val="single" w:sz="4" w:space="0" w:color="auto"/>
                  <w:left w:val="single" w:sz="4" w:space="0" w:color="auto"/>
                  <w:right w:val="single" w:sz="4" w:space="0" w:color="auto"/>
                </w:tcBorders>
                <w:shd w:val="clear" w:color="auto" w:fill="auto"/>
                <w:vAlign w:val="center"/>
              </w:tcPr>
              <w:p w14:paraId="09083731" w14:textId="77777777" w:rsidR="002D0AE7" w:rsidRDefault="00333EBB">
                <w:pPr>
                  <w:jc w:val="center"/>
                  <w:rPr>
                    <w:rFonts w:hint="eastAsia"/>
                    <w:color w:val="000000" w:themeColor="text1"/>
                    <w:sz w:val="21"/>
                    <w:szCs w:val="21"/>
                  </w:rPr>
                </w:pPr>
                <w:r>
                  <w:rPr>
                    <w:rFonts w:hint="eastAsia"/>
                    <w:color w:val="000000" w:themeColor="text1"/>
                    <w:sz w:val="21"/>
                    <w:szCs w:val="21"/>
                  </w:rPr>
                  <w:t>投资</w:t>
                </w:r>
              </w:p>
              <w:p w14:paraId="1B3A0FDF" w14:textId="77777777" w:rsidR="002D0AE7" w:rsidRDefault="00333EBB">
                <w:pPr>
                  <w:jc w:val="center"/>
                  <w:rPr>
                    <w:rFonts w:hint="eastAsia"/>
                    <w:color w:val="000000" w:themeColor="text1"/>
                    <w:sz w:val="21"/>
                    <w:szCs w:val="21"/>
                  </w:rPr>
                </w:pPr>
                <w:r>
                  <w:rPr>
                    <w:rFonts w:hint="eastAsia"/>
                    <w:color w:val="000000" w:themeColor="text1"/>
                    <w:sz w:val="21"/>
                    <w:szCs w:val="21"/>
                  </w:rPr>
                  <w:t>单位</w:t>
                </w:r>
              </w:p>
            </w:tc>
          </w:sdtContent>
        </w:sdt>
        <w:sdt>
          <w:sdtPr>
            <w:rPr>
              <w:color w:val="000000" w:themeColor="text1"/>
              <w:sz w:val="21"/>
              <w:szCs w:val="21"/>
            </w:rPr>
            <w:tag w:val="_PLD_05798c5c44604c97a951491f90362ede"/>
            <w:id w:val="810140624"/>
          </w:sdtPr>
          <w:sdtEndPr/>
          <w:sdtContent>
            <w:tc>
              <w:tcPr>
                <w:tcW w:w="570" w:type="pct"/>
                <w:vMerge w:val="restart"/>
                <w:tcBorders>
                  <w:top w:val="single" w:sz="4" w:space="0" w:color="auto"/>
                  <w:left w:val="single" w:sz="4" w:space="0" w:color="auto"/>
                  <w:right w:val="single" w:sz="4" w:space="0" w:color="auto"/>
                </w:tcBorders>
                <w:shd w:val="clear" w:color="auto" w:fill="auto"/>
                <w:vAlign w:val="center"/>
              </w:tcPr>
              <w:p w14:paraId="1D7F92EA" w14:textId="77777777" w:rsidR="002D0AE7" w:rsidRDefault="00333EBB">
                <w:pPr>
                  <w:jc w:val="center"/>
                  <w:rPr>
                    <w:rFonts w:hint="eastAsia"/>
                    <w:color w:val="000000" w:themeColor="text1"/>
                    <w:sz w:val="21"/>
                    <w:szCs w:val="21"/>
                  </w:rPr>
                </w:pPr>
                <w:r>
                  <w:rPr>
                    <w:rFonts w:hint="eastAsia"/>
                    <w:color w:val="000000" w:themeColor="text1"/>
                    <w:sz w:val="21"/>
                    <w:szCs w:val="21"/>
                  </w:rPr>
                  <w:t>期初</w:t>
                </w:r>
              </w:p>
              <w:p w14:paraId="4233D7A0" w14:textId="77777777" w:rsidR="002D0AE7" w:rsidRDefault="00333EBB">
                <w:pPr>
                  <w:jc w:val="center"/>
                  <w:rPr>
                    <w:rFonts w:hint="eastAsia"/>
                    <w:color w:val="000000" w:themeColor="text1"/>
                    <w:sz w:val="21"/>
                    <w:szCs w:val="21"/>
                  </w:rPr>
                </w:pPr>
                <w:r>
                  <w:rPr>
                    <w:rFonts w:hint="eastAsia"/>
                    <w:color w:val="000000" w:themeColor="text1"/>
                    <w:sz w:val="21"/>
                    <w:szCs w:val="21"/>
                  </w:rPr>
                  <w:t>余额</w:t>
                </w:r>
              </w:p>
            </w:tc>
          </w:sdtContent>
        </w:sdt>
        <w:sdt>
          <w:sdtPr>
            <w:rPr>
              <w:color w:val="000000" w:themeColor="text1"/>
              <w:sz w:val="21"/>
              <w:szCs w:val="21"/>
            </w:rPr>
            <w:tag w:val="_PLD_0a2bbaaacf944dc499773ce9e49a7a44"/>
            <w:id w:val="1739523004"/>
          </w:sdtPr>
          <w:sdtEndPr/>
          <w:sdtContent>
            <w:tc>
              <w:tcPr>
                <w:tcW w:w="221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9E3ECF1" w14:textId="77777777" w:rsidR="002D0AE7" w:rsidRDefault="00333EBB">
                <w:pPr>
                  <w:jc w:val="center"/>
                  <w:rPr>
                    <w:rFonts w:hint="eastAsia"/>
                    <w:color w:val="000000" w:themeColor="text1"/>
                    <w:sz w:val="21"/>
                    <w:szCs w:val="21"/>
                  </w:rPr>
                </w:pPr>
                <w:r>
                  <w:rPr>
                    <w:rFonts w:hint="eastAsia"/>
                    <w:color w:val="000000" w:themeColor="text1"/>
                    <w:sz w:val="21"/>
                    <w:szCs w:val="21"/>
                  </w:rPr>
                  <w:t>本期增减变动</w:t>
                </w:r>
              </w:p>
            </w:tc>
          </w:sdtContent>
        </w:sdt>
        <w:sdt>
          <w:sdtPr>
            <w:rPr>
              <w:color w:val="000000" w:themeColor="text1"/>
              <w:sz w:val="21"/>
              <w:szCs w:val="21"/>
            </w:rPr>
            <w:tag w:val="_PLD_08d96ebd050e43e4a66f158230dee5ce"/>
            <w:id w:val="-1728751202"/>
          </w:sdtPr>
          <w:sdtEndPr/>
          <w:sdtContent>
            <w:tc>
              <w:tcPr>
                <w:tcW w:w="569" w:type="pct"/>
                <w:vMerge w:val="restart"/>
                <w:tcBorders>
                  <w:top w:val="single" w:sz="4" w:space="0" w:color="auto"/>
                  <w:left w:val="single" w:sz="4" w:space="0" w:color="auto"/>
                  <w:right w:val="single" w:sz="4" w:space="0" w:color="auto"/>
                </w:tcBorders>
                <w:shd w:val="clear" w:color="auto" w:fill="auto"/>
                <w:vAlign w:val="center"/>
              </w:tcPr>
              <w:p w14:paraId="1805AEE6" w14:textId="77777777" w:rsidR="002D0AE7" w:rsidRDefault="00333EBB">
                <w:pPr>
                  <w:jc w:val="center"/>
                  <w:rPr>
                    <w:rFonts w:hint="eastAsia"/>
                    <w:color w:val="000000" w:themeColor="text1"/>
                    <w:sz w:val="21"/>
                    <w:szCs w:val="21"/>
                  </w:rPr>
                </w:pPr>
                <w:r>
                  <w:rPr>
                    <w:rFonts w:hint="eastAsia"/>
                    <w:color w:val="000000" w:themeColor="text1"/>
                    <w:sz w:val="21"/>
                    <w:szCs w:val="21"/>
                  </w:rPr>
                  <w:t>期末</w:t>
                </w:r>
              </w:p>
              <w:p w14:paraId="2D135CC3" w14:textId="77777777" w:rsidR="002D0AE7" w:rsidRDefault="00333EBB">
                <w:pPr>
                  <w:jc w:val="center"/>
                  <w:rPr>
                    <w:rFonts w:hint="eastAsia"/>
                    <w:color w:val="000000" w:themeColor="text1"/>
                    <w:sz w:val="21"/>
                    <w:szCs w:val="21"/>
                  </w:rPr>
                </w:pPr>
                <w:r>
                  <w:rPr>
                    <w:rFonts w:hint="eastAsia"/>
                    <w:color w:val="000000" w:themeColor="text1"/>
                    <w:sz w:val="21"/>
                    <w:szCs w:val="21"/>
                  </w:rPr>
                  <w:t>余额</w:t>
                </w:r>
              </w:p>
            </w:tc>
          </w:sdtContent>
        </w:sdt>
        <w:sdt>
          <w:sdtPr>
            <w:rPr>
              <w:color w:val="000000" w:themeColor="text1"/>
              <w:sz w:val="21"/>
              <w:szCs w:val="21"/>
            </w:rPr>
            <w:tag w:val="_PLD_7926cd06c0474fbd9ec1c3b927ae616d"/>
            <w:id w:val="1782605524"/>
          </w:sdtPr>
          <w:sdtEndPr/>
          <w:sdtContent>
            <w:tc>
              <w:tcPr>
                <w:tcW w:w="384" w:type="pct"/>
                <w:vMerge w:val="restart"/>
                <w:tcBorders>
                  <w:top w:val="single" w:sz="4" w:space="0" w:color="auto"/>
                  <w:left w:val="single" w:sz="4" w:space="0" w:color="auto"/>
                  <w:right w:val="single" w:sz="4" w:space="0" w:color="auto"/>
                </w:tcBorders>
                <w:shd w:val="clear" w:color="auto" w:fill="auto"/>
                <w:vAlign w:val="center"/>
              </w:tcPr>
              <w:p w14:paraId="5ADA68F3" w14:textId="77777777" w:rsidR="002D0AE7" w:rsidRDefault="00333EBB">
                <w:pPr>
                  <w:jc w:val="center"/>
                  <w:rPr>
                    <w:rFonts w:hint="eastAsia"/>
                    <w:color w:val="000000" w:themeColor="text1"/>
                    <w:sz w:val="21"/>
                    <w:szCs w:val="21"/>
                  </w:rPr>
                </w:pPr>
                <w:r>
                  <w:rPr>
                    <w:rFonts w:hint="eastAsia"/>
                    <w:color w:val="000000" w:themeColor="text1"/>
                    <w:sz w:val="21"/>
                    <w:szCs w:val="21"/>
                  </w:rPr>
                  <w:t>减值准备期末余额</w:t>
                </w:r>
              </w:p>
            </w:tc>
          </w:sdtContent>
        </w:sdt>
      </w:tr>
      <w:tr w:rsidR="002D0AE7" w14:paraId="1CFB6735" w14:textId="77777777">
        <w:trPr>
          <w:jc w:val="center"/>
        </w:trPr>
        <w:tc>
          <w:tcPr>
            <w:tcW w:w="1263" w:type="pct"/>
            <w:vMerge/>
            <w:tcBorders>
              <w:left w:val="single" w:sz="4" w:space="0" w:color="auto"/>
              <w:bottom w:val="single" w:sz="4" w:space="0" w:color="auto"/>
              <w:right w:val="single" w:sz="4" w:space="0" w:color="auto"/>
            </w:tcBorders>
            <w:shd w:val="clear" w:color="auto" w:fill="auto"/>
            <w:vAlign w:val="center"/>
          </w:tcPr>
          <w:p w14:paraId="78F68532" w14:textId="77777777" w:rsidR="002D0AE7" w:rsidRDefault="002D0AE7">
            <w:pPr>
              <w:jc w:val="center"/>
              <w:rPr>
                <w:rFonts w:hint="eastAsia"/>
                <w:color w:val="000000" w:themeColor="text1"/>
                <w:sz w:val="21"/>
                <w:szCs w:val="21"/>
              </w:rPr>
            </w:pPr>
          </w:p>
        </w:tc>
        <w:tc>
          <w:tcPr>
            <w:tcW w:w="570" w:type="pct"/>
            <w:vMerge/>
            <w:tcBorders>
              <w:left w:val="single" w:sz="4" w:space="0" w:color="auto"/>
              <w:bottom w:val="single" w:sz="4" w:space="0" w:color="auto"/>
              <w:right w:val="single" w:sz="4" w:space="0" w:color="auto"/>
            </w:tcBorders>
            <w:shd w:val="clear" w:color="auto" w:fill="auto"/>
            <w:vAlign w:val="center"/>
          </w:tcPr>
          <w:p w14:paraId="2460CA33" w14:textId="77777777" w:rsidR="002D0AE7" w:rsidRDefault="002D0AE7">
            <w:pPr>
              <w:jc w:val="center"/>
              <w:rPr>
                <w:rFonts w:hint="eastAsia"/>
                <w:color w:val="000000" w:themeColor="text1"/>
                <w:sz w:val="21"/>
                <w:szCs w:val="21"/>
              </w:rPr>
            </w:pPr>
          </w:p>
        </w:tc>
        <w:sdt>
          <w:sdtPr>
            <w:rPr>
              <w:color w:val="000000" w:themeColor="text1"/>
              <w:sz w:val="21"/>
              <w:szCs w:val="21"/>
            </w:rPr>
            <w:tag w:val="_PLD_c2a32165f0334d7c8fde829ff4c17575"/>
            <w:id w:val="1049497783"/>
          </w:sdtPr>
          <w:sdtEndPr/>
          <w:sdtContent>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3039C3E5" w14:textId="77777777" w:rsidR="002D0AE7" w:rsidRDefault="00333EBB">
                <w:pPr>
                  <w:jc w:val="center"/>
                  <w:rPr>
                    <w:rFonts w:hint="eastAsia"/>
                    <w:color w:val="000000" w:themeColor="text1"/>
                    <w:sz w:val="21"/>
                    <w:szCs w:val="21"/>
                  </w:rPr>
                </w:pPr>
                <w:r>
                  <w:rPr>
                    <w:rFonts w:hint="eastAsia"/>
                    <w:color w:val="000000" w:themeColor="text1"/>
                    <w:sz w:val="21"/>
                    <w:szCs w:val="21"/>
                  </w:rPr>
                  <w:t>追加投资</w:t>
                </w:r>
              </w:p>
            </w:tc>
          </w:sdtContent>
        </w:sdt>
        <w:sdt>
          <w:sdtPr>
            <w:rPr>
              <w:color w:val="000000" w:themeColor="text1"/>
              <w:sz w:val="21"/>
              <w:szCs w:val="21"/>
            </w:rPr>
            <w:tag w:val="_PLD_71fe608b4d73467797eee694efbf7ebb"/>
            <w:id w:val="-1713871955"/>
          </w:sdtPr>
          <w:sdtEndPr/>
          <w:sdtContent>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14:paraId="331CF8F7" w14:textId="77777777" w:rsidR="002D0AE7" w:rsidRDefault="00333EBB">
                <w:pPr>
                  <w:jc w:val="center"/>
                  <w:rPr>
                    <w:rFonts w:hint="eastAsia"/>
                    <w:color w:val="000000" w:themeColor="text1"/>
                    <w:sz w:val="21"/>
                    <w:szCs w:val="21"/>
                  </w:rPr>
                </w:pPr>
                <w:r>
                  <w:rPr>
                    <w:rFonts w:hint="eastAsia"/>
                    <w:color w:val="000000" w:themeColor="text1"/>
                    <w:sz w:val="21"/>
                    <w:szCs w:val="21"/>
                  </w:rPr>
                  <w:t>减少投资</w:t>
                </w:r>
              </w:p>
            </w:tc>
          </w:sdtContent>
        </w:sdt>
        <w:sdt>
          <w:sdtPr>
            <w:rPr>
              <w:color w:val="000000" w:themeColor="text1"/>
              <w:sz w:val="21"/>
              <w:szCs w:val="21"/>
            </w:rPr>
            <w:tag w:val="_PLD_f05a50a0bc284599af7a40502cd10a40"/>
            <w:id w:val="1164207023"/>
          </w:sdtPr>
          <w:sdtEndPr/>
          <w:sdtContent>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7987EE39" w14:textId="77777777" w:rsidR="002D0AE7" w:rsidRDefault="00333EBB">
                <w:pPr>
                  <w:jc w:val="center"/>
                  <w:rPr>
                    <w:rFonts w:hint="eastAsia"/>
                    <w:color w:val="000000" w:themeColor="text1"/>
                    <w:sz w:val="21"/>
                    <w:szCs w:val="21"/>
                  </w:rPr>
                </w:pPr>
                <w:r>
                  <w:rPr>
                    <w:rFonts w:hint="eastAsia"/>
                    <w:color w:val="000000" w:themeColor="text1"/>
                    <w:sz w:val="21"/>
                    <w:szCs w:val="21"/>
                  </w:rPr>
                  <w:t>权益法下确认的投资损益</w:t>
                </w:r>
              </w:p>
            </w:tc>
          </w:sdtContent>
        </w:sdt>
        <w:sdt>
          <w:sdtPr>
            <w:rPr>
              <w:color w:val="000000" w:themeColor="text1"/>
              <w:sz w:val="21"/>
              <w:szCs w:val="21"/>
            </w:rPr>
            <w:tag w:val="_PLD_02248a0958484589b824cff096f8d135"/>
            <w:id w:val="-1941284723"/>
          </w:sdtPr>
          <w:sdtEndPr/>
          <w:sdtContent>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6ECB0062" w14:textId="77777777" w:rsidR="002D0AE7" w:rsidRDefault="00333EBB">
                <w:pPr>
                  <w:jc w:val="center"/>
                  <w:rPr>
                    <w:rFonts w:hint="eastAsia"/>
                    <w:color w:val="000000" w:themeColor="text1"/>
                    <w:sz w:val="21"/>
                    <w:szCs w:val="21"/>
                  </w:rPr>
                </w:pPr>
                <w:r>
                  <w:rPr>
                    <w:rFonts w:hint="eastAsia"/>
                    <w:color w:val="000000" w:themeColor="text1"/>
                    <w:sz w:val="21"/>
                    <w:szCs w:val="21"/>
                  </w:rPr>
                  <w:t>其他综合收益调整</w:t>
                </w:r>
              </w:p>
            </w:tc>
          </w:sdtContent>
        </w:sdt>
        <w:sdt>
          <w:sdtPr>
            <w:rPr>
              <w:color w:val="000000" w:themeColor="text1"/>
              <w:sz w:val="21"/>
              <w:szCs w:val="21"/>
            </w:rPr>
            <w:tag w:val="_PLD_7fb58b4af07a4b58a9b3d08dc004f3ee"/>
            <w:id w:val="1959444454"/>
          </w:sdtPr>
          <w:sdtEndPr/>
          <w:sdtContent>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7CDA9D38" w14:textId="77777777" w:rsidR="002D0AE7" w:rsidRDefault="00333EBB">
                <w:pPr>
                  <w:jc w:val="center"/>
                  <w:rPr>
                    <w:rFonts w:hint="eastAsia"/>
                    <w:color w:val="000000" w:themeColor="text1"/>
                    <w:sz w:val="21"/>
                    <w:szCs w:val="21"/>
                  </w:rPr>
                </w:pPr>
                <w:r>
                  <w:rPr>
                    <w:rFonts w:hint="eastAsia"/>
                    <w:color w:val="000000" w:themeColor="text1"/>
                    <w:sz w:val="21"/>
                    <w:szCs w:val="21"/>
                  </w:rPr>
                  <w:t>其他权益变动</w:t>
                </w:r>
              </w:p>
            </w:tc>
          </w:sdtContent>
        </w:sdt>
        <w:sdt>
          <w:sdtPr>
            <w:rPr>
              <w:color w:val="000000" w:themeColor="text1"/>
              <w:sz w:val="21"/>
              <w:szCs w:val="21"/>
            </w:rPr>
            <w:tag w:val="_PLD_222556d83dca4844b27c9b0b28e96430"/>
            <w:id w:val="1403254411"/>
          </w:sdtPr>
          <w:sdtEndPr/>
          <w:sdtContent>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9CE63A7" w14:textId="77777777" w:rsidR="002D0AE7" w:rsidRDefault="00333EBB">
                <w:pPr>
                  <w:jc w:val="center"/>
                  <w:rPr>
                    <w:rFonts w:hint="eastAsia"/>
                    <w:color w:val="000000" w:themeColor="text1"/>
                    <w:sz w:val="21"/>
                    <w:szCs w:val="21"/>
                  </w:rPr>
                </w:pPr>
                <w:r>
                  <w:rPr>
                    <w:rFonts w:hint="eastAsia"/>
                    <w:color w:val="000000" w:themeColor="text1"/>
                    <w:sz w:val="21"/>
                    <w:szCs w:val="21"/>
                  </w:rPr>
                  <w:t>宣告发放现金股利或利润</w:t>
                </w:r>
              </w:p>
            </w:tc>
          </w:sdtContent>
        </w:sdt>
        <w:sdt>
          <w:sdtPr>
            <w:rPr>
              <w:color w:val="000000" w:themeColor="text1"/>
              <w:sz w:val="21"/>
              <w:szCs w:val="21"/>
            </w:rPr>
            <w:tag w:val="_PLD_3ccc36abfffc49a99807a98ffb9d12d5"/>
            <w:id w:val="-1835978939"/>
          </w:sdtPr>
          <w:sdtEndPr/>
          <w:sdtContent>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2DD1F6AE" w14:textId="77777777" w:rsidR="002D0AE7" w:rsidRDefault="00333EBB">
                <w:pPr>
                  <w:jc w:val="center"/>
                  <w:rPr>
                    <w:rFonts w:hint="eastAsia"/>
                    <w:color w:val="000000" w:themeColor="text1"/>
                    <w:sz w:val="21"/>
                    <w:szCs w:val="21"/>
                  </w:rPr>
                </w:pPr>
                <w:r>
                  <w:rPr>
                    <w:rFonts w:hint="eastAsia"/>
                    <w:color w:val="000000" w:themeColor="text1"/>
                    <w:sz w:val="21"/>
                    <w:szCs w:val="21"/>
                  </w:rPr>
                  <w:t>计提减值准备</w:t>
                </w:r>
              </w:p>
            </w:tc>
          </w:sdtContent>
        </w:sdt>
        <w:sdt>
          <w:sdtPr>
            <w:rPr>
              <w:color w:val="000000" w:themeColor="text1"/>
              <w:sz w:val="21"/>
              <w:szCs w:val="21"/>
            </w:rPr>
            <w:tag w:val="_PLD_a907ceb1e793491d9fd8ecad7300602c"/>
            <w:id w:val="-1111664902"/>
          </w:sdtPr>
          <w:sdtEndPr/>
          <w:sdtContent>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14:paraId="6AF13219" w14:textId="77777777" w:rsidR="002D0AE7" w:rsidRDefault="00333EBB">
                <w:pPr>
                  <w:jc w:val="center"/>
                  <w:rPr>
                    <w:rFonts w:hint="eastAsia"/>
                    <w:color w:val="000000" w:themeColor="text1"/>
                    <w:sz w:val="21"/>
                    <w:szCs w:val="21"/>
                  </w:rPr>
                </w:pPr>
                <w:r>
                  <w:rPr>
                    <w:rFonts w:hint="eastAsia"/>
                    <w:color w:val="000000" w:themeColor="text1"/>
                    <w:sz w:val="21"/>
                    <w:szCs w:val="21"/>
                  </w:rPr>
                  <w:t>其他</w:t>
                </w:r>
              </w:p>
            </w:tc>
          </w:sdtContent>
        </w:sdt>
        <w:tc>
          <w:tcPr>
            <w:tcW w:w="569" w:type="pct"/>
            <w:vMerge/>
            <w:tcBorders>
              <w:left w:val="single" w:sz="4" w:space="0" w:color="auto"/>
              <w:bottom w:val="single" w:sz="4" w:space="0" w:color="auto"/>
              <w:right w:val="single" w:sz="4" w:space="0" w:color="auto"/>
            </w:tcBorders>
            <w:shd w:val="clear" w:color="auto" w:fill="auto"/>
            <w:vAlign w:val="center"/>
          </w:tcPr>
          <w:p w14:paraId="421BCE76" w14:textId="77777777" w:rsidR="002D0AE7" w:rsidRDefault="002D0AE7">
            <w:pPr>
              <w:jc w:val="center"/>
              <w:rPr>
                <w:rFonts w:hint="eastAsia"/>
                <w:color w:val="000000" w:themeColor="text1"/>
                <w:sz w:val="21"/>
                <w:szCs w:val="21"/>
              </w:rPr>
            </w:pPr>
          </w:p>
        </w:tc>
        <w:tc>
          <w:tcPr>
            <w:tcW w:w="384" w:type="pct"/>
            <w:vMerge/>
            <w:tcBorders>
              <w:left w:val="single" w:sz="4" w:space="0" w:color="auto"/>
              <w:bottom w:val="single" w:sz="4" w:space="0" w:color="auto"/>
              <w:right w:val="single" w:sz="4" w:space="0" w:color="auto"/>
            </w:tcBorders>
            <w:shd w:val="clear" w:color="auto" w:fill="auto"/>
            <w:vAlign w:val="center"/>
          </w:tcPr>
          <w:p w14:paraId="3FCC5591" w14:textId="77777777" w:rsidR="002D0AE7" w:rsidRDefault="002D0AE7">
            <w:pPr>
              <w:jc w:val="center"/>
              <w:rPr>
                <w:rFonts w:hint="eastAsia"/>
                <w:color w:val="000000" w:themeColor="text1"/>
                <w:sz w:val="21"/>
                <w:szCs w:val="21"/>
              </w:rPr>
            </w:pPr>
          </w:p>
        </w:tc>
      </w:tr>
      <w:tr w:rsidR="002D0AE7" w14:paraId="37F94466" w14:textId="77777777">
        <w:trPr>
          <w:jc w:val="center"/>
        </w:trPr>
        <w:sdt>
          <w:sdtPr>
            <w:rPr>
              <w:color w:val="000000" w:themeColor="text1"/>
              <w:sz w:val="21"/>
              <w:szCs w:val="21"/>
            </w:rPr>
            <w:tag w:val="_PLD_90cc1e0799634510b44e4e55b4185a5a"/>
            <w:id w:val="300807951"/>
          </w:sdtPr>
          <w:sdtEnd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3B31353" w14:textId="77777777" w:rsidR="002D0AE7" w:rsidRDefault="00333EBB">
                <w:pPr>
                  <w:rPr>
                    <w:rFonts w:hint="eastAsia"/>
                    <w:color w:val="000000" w:themeColor="text1"/>
                    <w:sz w:val="21"/>
                    <w:szCs w:val="21"/>
                  </w:rPr>
                </w:pPr>
                <w:r>
                  <w:rPr>
                    <w:rFonts w:hint="eastAsia"/>
                    <w:color w:val="000000" w:themeColor="text1"/>
                    <w:sz w:val="21"/>
                    <w:szCs w:val="21"/>
                  </w:rPr>
                  <w:t>二、联营企业</w:t>
                </w:r>
              </w:p>
            </w:tc>
          </w:sdtContent>
        </w:sdt>
      </w:tr>
      <w:tr w:rsidR="002D0AE7" w14:paraId="40C33FE5" w14:textId="77777777">
        <w:trPr>
          <w:jc w:val="center"/>
        </w:trPr>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70C1D099" w14:textId="77777777" w:rsidR="002D0AE7" w:rsidRDefault="00333EBB">
            <w:pPr>
              <w:rPr>
                <w:rFonts w:hint="eastAsia"/>
                <w:sz w:val="21"/>
                <w:szCs w:val="21"/>
              </w:rPr>
            </w:pPr>
            <w:r>
              <w:rPr>
                <w:sz w:val="21"/>
                <w:szCs w:val="21"/>
              </w:rPr>
              <w:t>天津药业研究院有限公司</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566C6BBA" w14:textId="77777777" w:rsidR="002D0AE7" w:rsidRDefault="00333EBB">
            <w:pPr>
              <w:jc w:val="right"/>
              <w:rPr>
                <w:rFonts w:ascii="Times New Roman" w:hAnsi="Times New Roman" w:cs="Times New Roman"/>
                <w:sz w:val="18"/>
                <w:szCs w:val="21"/>
              </w:rPr>
            </w:pPr>
            <w:r>
              <w:rPr>
                <w:rFonts w:ascii="Times New Roman" w:hAnsi="Times New Roman" w:cs="Times New Roman"/>
                <w:sz w:val="18"/>
                <w:szCs w:val="21"/>
              </w:rPr>
              <w:t>8,933,060.33</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186D9903" w14:textId="77777777" w:rsidR="002D0AE7" w:rsidRDefault="002D0AE7">
            <w:pPr>
              <w:jc w:val="right"/>
              <w:rPr>
                <w:rFonts w:ascii="Times New Roman" w:hAnsi="Times New Roman" w:cs="Times New Roman"/>
                <w:sz w:val="18"/>
                <w:szCs w:val="21"/>
              </w:rPr>
            </w:pP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14:paraId="3F93C4C8" w14:textId="77777777" w:rsidR="002D0AE7" w:rsidRDefault="002D0AE7">
            <w:pPr>
              <w:jc w:val="right"/>
              <w:rPr>
                <w:rFonts w:ascii="Times New Roman" w:hAnsi="Times New Roman" w:cs="Times New Roman"/>
                <w:sz w:val="18"/>
                <w:szCs w:val="21"/>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22F10B71" w14:textId="77777777" w:rsidR="002D0AE7" w:rsidRDefault="00333EBB">
            <w:pPr>
              <w:jc w:val="right"/>
              <w:rPr>
                <w:rFonts w:ascii="Times New Roman" w:hAnsi="Times New Roman" w:cs="Times New Roman"/>
                <w:sz w:val="18"/>
                <w:szCs w:val="21"/>
              </w:rPr>
            </w:pPr>
            <w:r>
              <w:rPr>
                <w:rFonts w:ascii="Times New Roman" w:hAnsi="Times New Roman" w:cs="Times New Roman"/>
                <w:sz w:val="18"/>
                <w:szCs w:val="21"/>
              </w:rPr>
              <w:t>371,834.32</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1450BF47" w14:textId="77777777" w:rsidR="002D0AE7" w:rsidRDefault="002D0AE7">
            <w:pPr>
              <w:jc w:val="right"/>
              <w:rPr>
                <w:rFonts w:ascii="Times New Roman" w:hAnsi="Times New Roman" w:cs="Times New Roman"/>
                <w:sz w:val="18"/>
                <w:szCs w:val="21"/>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78C6B65F" w14:textId="77777777" w:rsidR="002D0AE7" w:rsidRDefault="002D0AE7">
            <w:pPr>
              <w:jc w:val="right"/>
              <w:rPr>
                <w:rFonts w:ascii="Times New Roman" w:hAnsi="Times New Roman" w:cs="Times New Roman"/>
                <w:sz w:val="18"/>
                <w:szCs w:val="21"/>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7A4F4176" w14:textId="77777777" w:rsidR="002D0AE7" w:rsidRDefault="002D0AE7">
            <w:pPr>
              <w:jc w:val="right"/>
              <w:rPr>
                <w:rFonts w:ascii="Times New Roman" w:hAnsi="Times New Roman" w:cs="Times New Roman"/>
                <w:sz w:val="18"/>
                <w:szCs w:val="21"/>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D8F3BE2" w14:textId="77777777" w:rsidR="002D0AE7" w:rsidRDefault="002D0AE7">
            <w:pPr>
              <w:jc w:val="right"/>
              <w:rPr>
                <w:rFonts w:ascii="Times New Roman" w:hAnsi="Times New Roman" w:cs="Times New Roman"/>
                <w:sz w:val="18"/>
                <w:szCs w:val="21"/>
              </w:rPr>
            </w:pP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14:paraId="0AF93C39" w14:textId="77777777" w:rsidR="002D0AE7" w:rsidRDefault="002D0AE7">
            <w:pPr>
              <w:jc w:val="right"/>
              <w:rPr>
                <w:rFonts w:ascii="Times New Roman" w:hAnsi="Times New Roman" w:cs="Times New Roman"/>
                <w:sz w:val="18"/>
                <w:szCs w:val="21"/>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1688187F" w14:textId="77777777" w:rsidR="002D0AE7" w:rsidRDefault="00333EBB">
            <w:pPr>
              <w:jc w:val="right"/>
              <w:rPr>
                <w:rFonts w:ascii="Times New Roman" w:hAnsi="Times New Roman" w:cs="Times New Roman"/>
                <w:sz w:val="18"/>
                <w:szCs w:val="21"/>
              </w:rPr>
            </w:pPr>
            <w:r>
              <w:rPr>
                <w:rFonts w:ascii="Times New Roman" w:hAnsi="Times New Roman" w:cs="Times New Roman"/>
                <w:sz w:val="18"/>
                <w:szCs w:val="21"/>
              </w:rPr>
              <w:t>9,304,894.65</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E20860B" w14:textId="77777777" w:rsidR="002D0AE7" w:rsidRDefault="00333EBB">
            <w:pPr>
              <w:jc w:val="right"/>
              <w:rPr>
                <w:rFonts w:ascii="Times New Roman" w:hAnsi="Times New Roman" w:cs="Times New Roman"/>
                <w:sz w:val="18"/>
                <w:szCs w:val="21"/>
              </w:rPr>
            </w:pPr>
            <w:r>
              <w:rPr>
                <w:rFonts w:ascii="Times New Roman" w:hAnsi="Times New Roman" w:cs="Times New Roman"/>
                <w:sz w:val="18"/>
                <w:szCs w:val="21"/>
              </w:rPr>
              <w:t>0.00</w:t>
            </w:r>
          </w:p>
        </w:tc>
      </w:tr>
      <w:tr w:rsidR="002D0AE7" w14:paraId="52EADE96" w14:textId="77777777">
        <w:trPr>
          <w:jc w:val="center"/>
        </w:trPr>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1D76FD40" w14:textId="77777777" w:rsidR="002D0AE7" w:rsidRDefault="00333EBB">
            <w:pPr>
              <w:rPr>
                <w:rFonts w:hint="eastAsia"/>
                <w:sz w:val="21"/>
                <w:szCs w:val="21"/>
              </w:rPr>
            </w:pPr>
            <w:r>
              <w:rPr>
                <w:sz w:val="21"/>
                <w:szCs w:val="21"/>
              </w:rPr>
              <w:t>江西百思康瑞药业有限公司</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78DE378B" w14:textId="77777777" w:rsidR="002D0AE7" w:rsidRDefault="00333EBB">
            <w:pPr>
              <w:jc w:val="right"/>
              <w:rPr>
                <w:rFonts w:ascii="Times New Roman" w:hAnsi="Times New Roman" w:cs="Times New Roman"/>
                <w:sz w:val="18"/>
                <w:szCs w:val="21"/>
              </w:rPr>
            </w:pPr>
            <w:r>
              <w:rPr>
                <w:rFonts w:ascii="Times New Roman" w:hAnsi="Times New Roman" w:cs="Times New Roman"/>
                <w:sz w:val="18"/>
                <w:szCs w:val="21"/>
              </w:rPr>
              <w:t>9,168,136.84</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0005D1A7" w14:textId="77777777" w:rsidR="002D0AE7" w:rsidRDefault="002D0AE7">
            <w:pPr>
              <w:jc w:val="right"/>
              <w:rPr>
                <w:rFonts w:ascii="Times New Roman" w:hAnsi="Times New Roman" w:cs="Times New Roman"/>
                <w:sz w:val="18"/>
                <w:szCs w:val="21"/>
              </w:rPr>
            </w:pP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14:paraId="7A489469" w14:textId="77777777" w:rsidR="002D0AE7" w:rsidRDefault="002D0AE7">
            <w:pPr>
              <w:jc w:val="right"/>
              <w:rPr>
                <w:rFonts w:ascii="Times New Roman" w:hAnsi="Times New Roman" w:cs="Times New Roman"/>
                <w:sz w:val="18"/>
                <w:szCs w:val="21"/>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4D726872" w14:textId="77777777" w:rsidR="002D0AE7" w:rsidRDefault="00333EBB">
            <w:pPr>
              <w:jc w:val="right"/>
              <w:rPr>
                <w:rFonts w:ascii="Times New Roman" w:hAnsi="Times New Roman" w:cs="Times New Roman"/>
                <w:sz w:val="18"/>
                <w:szCs w:val="21"/>
              </w:rPr>
            </w:pPr>
            <w:r>
              <w:rPr>
                <w:rFonts w:ascii="Times New Roman" w:hAnsi="Times New Roman" w:cs="Times New Roman"/>
                <w:sz w:val="18"/>
                <w:szCs w:val="21"/>
              </w:rPr>
              <w:t>1,031,830.23</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391DBF32" w14:textId="77777777" w:rsidR="002D0AE7" w:rsidRDefault="002D0AE7">
            <w:pPr>
              <w:jc w:val="right"/>
              <w:rPr>
                <w:rFonts w:ascii="Times New Roman" w:hAnsi="Times New Roman" w:cs="Times New Roman"/>
                <w:sz w:val="18"/>
                <w:szCs w:val="21"/>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453CBC94" w14:textId="77777777" w:rsidR="002D0AE7" w:rsidRDefault="002D0AE7">
            <w:pPr>
              <w:jc w:val="right"/>
              <w:rPr>
                <w:rFonts w:ascii="Times New Roman" w:hAnsi="Times New Roman" w:cs="Times New Roman"/>
                <w:sz w:val="18"/>
                <w:szCs w:val="21"/>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61B4452" w14:textId="77777777" w:rsidR="002D0AE7" w:rsidRDefault="002D0AE7">
            <w:pPr>
              <w:jc w:val="right"/>
              <w:rPr>
                <w:rFonts w:ascii="Times New Roman" w:hAnsi="Times New Roman" w:cs="Times New Roman"/>
                <w:sz w:val="18"/>
                <w:szCs w:val="21"/>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1F18CD5E" w14:textId="77777777" w:rsidR="002D0AE7" w:rsidRDefault="002D0AE7">
            <w:pPr>
              <w:jc w:val="right"/>
              <w:rPr>
                <w:rFonts w:ascii="Times New Roman" w:hAnsi="Times New Roman" w:cs="Times New Roman"/>
                <w:sz w:val="18"/>
                <w:szCs w:val="21"/>
              </w:rPr>
            </w:pP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14:paraId="158B3EE1" w14:textId="77777777" w:rsidR="002D0AE7" w:rsidRDefault="002D0AE7">
            <w:pPr>
              <w:jc w:val="right"/>
              <w:rPr>
                <w:rFonts w:ascii="Times New Roman" w:hAnsi="Times New Roman" w:cs="Times New Roman"/>
                <w:sz w:val="18"/>
                <w:szCs w:val="21"/>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19F80C44" w14:textId="77777777" w:rsidR="002D0AE7" w:rsidRDefault="00333EBB">
            <w:pPr>
              <w:jc w:val="right"/>
              <w:rPr>
                <w:rFonts w:ascii="Times New Roman" w:hAnsi="Times New Roman" w:cs="Times New Roman"/>
                <w:sz w:val="18"/>
                <w:szCs w:val="21"/>
              </w:rPr>
            </w:pPr>
            <w:r>
              <w:rPr>
                <w:rFonts w:ascii="Times New Roman" w:hAnsi="Times New Roman" w:cs="Times New Roman"/>
                <w:sz w:val="18"/>
                <w:szCs w:val="21"/>
              </w:rPr>
              <w:t>10,199,967.07</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BFB4DF7" w14:textId="77777777" w:rsidR="002D0AE7" w:rsidRDefault="00333EBB">
            <w:pPr>
              <w:jc w:val="right"/>
              <w:rPr>
                <w:rFonts w:ascii="Times New Roman" w:hAnsi="Times New Roman" w:cs="Times New Roman"/>
                <w:sz w:val="18"/>
                <w:szCs w:val="21"/>
              </w:rPr>
            </w:pPr>
            <w:r>
              <w:rPr>
                <w:rFonts w:ascii="Times New Roman" w:hAnsi="Times New Roman" w:cs="Times New Roman"/>
                <w:sz w:val="18"/>
                <w:szCs w:val="21"/>
              </w:rPr>
              <w:t>0.00</w:t>
            </w:r>
          </w:p>
        </w:tc>
      </w:tr>
      <w:tr w:rsidR="002D0AE7" w14:paraId="5A4EAB30" w14:textId="77777777">
        <w:trPr>
          <w:jc w:val="center"/>
        </w:trPr>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176A02E0"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58FD11CE" w14:textId="77777777" w:rsidR="002D0AE7" w:rsidRDefault="00333EBB">
            <w:pPr>
              <w:jc w:val="right"/>
              <w:rPr>
                <w:rFonts w:ascii="Times New Roman" w:hAnsi="Times New Roman" w:cs="Times New Roman"/>
                <w:sz w:val="18"/>
                <w:szCs w:val="21"/>
              </w:rPr>
            </w:pPr>
            <w:r>
              <w:rPr>
                <w:rFonts w:ascii="Times New Roman" w:hAnsi="Times New Roman" w:cs="Times New Roman"/>
                <w:sz w:val="18"/>
                <w:szCs w:val="21"/>
              </w:rPr>
              <w:t>18,101,197.17</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7FA10225" w14:textId="77777777" w:rsidR="002D0AE7" w:rsidRDefault="002D0AE7">
            <w:pPr>
              <w:jc w:val="right"/>
              <w:rPr>
                <w:rFonts w:ascii="Times New Roman" w:hAnsi="Times New Roman" w:cs="Times New Roman"/>
                <w:sz w:val="18"/>
                <w:szCs w:val="21"/>
              </w:rPr>
            </w:pP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14:paraId="5EDC3E60" w14:textId="77777777" w:rsidR="002D0AE7" w:rsidRDefault="002D0AE7">
            <w:pPr>
              <w:jc w:val="right"/>
              <w:rPr>
                <w:rFonts w:ascii="Times New Roman" w:hAnsi="Times New Roman" w:cs="Times New Roman"/>
                <w:sz w:val="18"/>
                <w:szCs w:val="21"/>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4251C94F" w14:textId="77777777" w:rsidR="002D0AE7" w:rsidRDefault="00333EBB">
            <w:pPr>
              <w:jc w:val="right"/>
              <w:rPr>
                <w:rFonts w:ascii="Times New Roman" w:hAnsi="Times New Roman" w:cs="Times New Roman"/>
                <w:sz w:val="18"/>
                <w:szCs w:val="21"/>
              </w:rPr>
            </w:pPr>
            <w:r>
              <w:rPr>
                <w:rFonts w:ascii="Times New Roman" w:hAnsi="Times New Roman" w:cs="Times New Roman"/>
                <w:sz w:val="18"/>
                <w:szCs w:val="21"/>
              </w:rPr>
              <w:t>1,403,664.55</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6A4ACC5" w14:textId="77777777" w:rsidR="002D0AE7" w:rsidRDefault="002D0AE7">
            <w:pPr>
              <w:jc w:val="right"/>
              <w:rPr>
                <w:rFonts w:ascii="Times New Roman" w:hAnsi="Times New Roman" w:cs="Times New Roman"/>
                <w:sz w:val="18"/>
                <w:szCs w:val="21"/>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0684EFF1" w14:textId="77777777" w:rsidR="002D0AE7" w:rsidRDefault="002D0AE7">
            <w:pPr>
              <w:jc w:val="right"/>
              <w:rPr>
                <w:rFonts w:ascii="Times New Roman" w:hAnsi="Times New Roman" w:cs="Times New Roman"/>
                <w:sz w:val="18"/>
                <w:szCs w:val="21"/>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4F59305" w14:textId="77777777" w:rsidR="002D0AE7" w:rsidRDefault="002D0AE7">
            <w:pPr>
              <w:jc w:val="right"/>
              <w:rPr>
                <w:rFonts w:ascii="Times New Roman" w:hAnsi="Times New Roman" w:cs="Times New Roman"/>
                <w:sz w:val="18"/>
                <w:szCs w:val="21"/>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C15EF92" w14:textId="77777777" w:rsidR="002D0AE7" w:rsidRDefault="002D0AE7">
            <w:pPr>
              <w:jc w:val="right"/>
              <w:rPr>
                <w:rFonts w:ascii="Times New Roman" w:hAnsi="Times New Roman" w:cs="Times New Roman"/>
                <w:sz w:val="18"/>
                <w:szCs w:val="21"/>
              </w:rPr>
            </w:pPr>
          </w:p>
        </w:tc>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14:paraId="00949C32" w14:textId="77777777" w:rsidR="002D0AE7" w:rsidRDefault="002D0AE7">
            <w:pPr>
              <w:jc w:val="right"/>
              <w:rPr>
                <w:rFonts w:ascii="Times New Roman" w:hAnsi="Times New Roman" w:cs="Times New Roman"/>
                <w:sz w:val="18"/>
                <w:szCs w:val="21"/>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6038C9B5" w14:textId="77777777" w:rsidR="002D0AE7" w:rsidRDefault="00333EBB">
            <w:pPr>
              <w:jc w:val="right"/>
              <w:rPr>
                <w:rFonts w:ascii="Times New Roman" w:hAnsi="Times New Roman" w:cs="Times New Roman"/>
                <w:sz w:val="18"/>
                <w:szCs w:val="21"/>
              </w:rPr>
            </w:pPr>
            <w:r>
              <w:rPr>
                <w:rFonts w:ascii="Times New Roman" w:hAnsi="Times New Roman" w:cs="Times New Roman"/>
                <w:sz w:val="18"/>
                <w:szCs w:val="21"/>
              </w:rPr>
              <w:t>19,504,861.72</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D9F10A6" w14:textId="77777777" w:rsidR="002D0AE7" w:rsidRDefault="00333EBB">
            <w:pPr>
              <w:jc w:val="right"/>
              <w:rPr>
                <w:rFonts w:ascii="Times New Roman" w:hAnsi="Times New Roman" w:cs="Times New Roman"/>
                <w:sz w:val="18"/>
                <w:szCs w:val="21"/>
              </w:rPr>
            </w:pPr>
            <w:r>
              <w:rPr>
                <w:rFonts w:ascii="Times New Roman" w:hAnsi="Times New Roman" w:cs="Times New Roman"/>
                <w:sz w:val="18"/>
                <w:szCs w:val="21"/>
              </w:rPr>
              <w:t>0.00</w:t>
            </w:r>
          </w:p>
        </w:tc>
      </w:tr>
    </w:tbl>
    <w:bookmarkEnd w:id="286"/>
    <w:bookmarkEnd w:id="285"/>
    <w:p w14:paraId="170A2615" w14:textId="77777777" w:rsidR="002D0AE7" w:rsidRDefault="00333EBB">
      <w:pPr>
        <w:pStyle w:val="3"/>
        <w:numPr>
          <w:ilvl w:val="0"/>
          <w:numId w:val="92"/>
        </w:numPr>
        <w:rPr>
          <w:rFonts w:ascii="宋体" w:hAnsi="宋体" w:hint="eastAsia"/>
          <w:color w:val="000000" w:themeColor="text1"/>
        </w:rPr>
      </w:pPr>
      <w:r>
        <w:rPr>
          <w:rFonts w:ascii="宋体" w:hAnsi="宋体" w:hint="eastAsia"/>
          <w:color w:val="000000" w:themeColor="text1"/>
        </w:rPr>
        <w:lastRenderedPageBreak/>
        <w:t>营业收入和营业成本</w:t>
      </w:r>
    </w:p>
    <w:p w14:paraId="7B63BEB4" w14:textId="77777777" w:rsidR="002D0AE7" w:rsidRDefault="00333EBB">
      <w:pPr>
        <w:pStyle w:val="4"/>
        <w:numPr>
          <w:ilvl w:val="0"/>
          <w:numId w:val="96"/>
        </w:numPr>
        <w:rPr>
          <w:rFonts w:ascii="宋体" w:hAnsi="宋体" w:hint="eastAsia"/>
          <w:color w:val="000000" w:themeColor="text1"/>
        </w:rPr>
      </w:pPr>
      <w:bookmarkStart w:id="287" w:name="_Hlk10548568"/>
      <w:r>
        <w:rPr>
          <w:rFonts w:ascii="宋体" w:hAnsi="宋体" w:hint="eastAsia"/>
          <w:color w:val="000000" w:themeColor="text1"/>
        </w:rPr>
        <w:t>营业收入和营业成本情况</w:t>
      </w:r>
    </w:p>
    <w:sdt>
      <w:sdtPr>
        <w:rPr>
          <w:color w:val="000000" w:themeColor="text1"/>
        </w:rPr>
        <w:alias w:val="是否适用：母公司营业收入和营业成本[双击切换]"/>
        <w:tag w:val="_GBC_f62d83b1068f4bfaae3a590b0ac9f4d7"/>
        <w:id w:val="-1690207280"/>
        <w:placeholder>
          <w:docPart w:val="GBC22222222222222222222222222222"/>
        </w:placeholder>
      </w:sdtPr>
      <w:sdtEndPr/>
      <w:sdtContent>
        <w:p w14:paraId="3C97FFBE"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2E3AFBB5" w14:textId="77777777" w:rsidR="002D0AE7" w:rsidRDefault="00333EBB">
      <w:pPr>
        <w:pStyle w:val="11"/>
        <w:rPr>
          <w:rFonts w:hint="eastAsia"/>
        </w:rPr>
      </w:pPr>
      <w:r>
        <w:rPr>
          <w:rFonts w:hint="eastAsia"/>
        </w:rPr>
        <w:t>单位：</w:t>
      </w:r>
      <w:sdt>
        <w:sdtPr>
          <w:rPr>
            <w:rFonts w:hint="eastAsia"/>
          </w:rPr>
          <w:alias w:val="单位：母公司财务附注：营业收入"/>
          <w:tag w:val="_GBC_40a730bb869a41578a25e9cb66f4e28e"/>
          <w:id w:val="110955409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母公司财务附注：营业收入"/>
          <w:tag w:val="_GBC_1b6056b90b2c445a9b1bcdc97aa104ec"/>
          <w:id w:val="-196171968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1539"/>
        <w:gridCol w:w="1540"/>
        <w:gridCol w:w="1529"/>
        <w:gridCol w:w="1529"/>
      </w:tblGrid>
      <w:tr w:rsidR="002D0AE7" w14:paraId="7E8491E7" w14:textId="77777777">
        <w:sdt>
          <w:sdtPr>
            <w:rPr>
              <w:color w:val="000000" w:themeColor="text1"/>
              <w:sz w:val="21"/>
              <w:szCs w:val="21"/>
            </w:rPr>
            <w:tag w:val="_PLD_3dc9ae0da47e49d097992a176784945a"/>
            <w:id w:val="985747363"/>
          </w:sdtPr>
          <w:sdtEndPr/>
          <w:sdtContent>
            <w:tc>
              <w:tcPr>
                <w:tcW w:w="1570" w:type="pct"/>
                <w:vMerge w:val="restart"/>
                <w:tcBorders>
                  <w:top w:val="single" w:sz="4" w:space="0" w:color="auto"/>
                  <w:left w:val="single" w:sz="4" w:space="0" w:color="auto"/>
                  <w:right w:val="single" w:sz="4" w:space="0" w:color="auto"/>
                </w:tcBorders>
                <w:shd w:val="clear" w:color="auto" w:fill="auto"/>
                <w:vAlign w:val="center"/>
              </w:tcPr>
              <w:p w14:paraId="27D726DF" w14:textId="77777777" w:rsidR="002D0AE7" w:rsidRDefault="00333EBB">
                <w:pPr>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b47efcaea8ca428781485b2625b4c252"/>
            <w:id w:val="1917358045"/>
          </w:sdtPr>
          <w:sdtEndPr/>
          <w:sdtContent>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B03DE" w14:textId="77777777" w:rsidR="002D0AE7" w:rsidRDefault="00333EBB">
                <w:pPr>
                  <w:jc w:val="center"/>
                  <w:rPr>
                    <w:rFonts w:hint="eastAsia"/>
                    <w:color w:val="000000" w:themeColor="text1"/>
                    <w:sz w:val="21"/>
                    <w:szCs w:val="21"/>
                  </w:rPr>
                </w:pPr>
                <w:r>
                  <w:rPr>
                    <w:rFonts w:hint="eastAsia"/>
                    <w:color w:val="000000" w:themeColor="text1"/>
                    <w:sz w:val="21"/>
                    <w:szCs w:val="21"/>
                  </w:rPr>
                  <w:t>本期发生额</w:t>
                </w:r>
              </w:p>
            </w:tc>
          </w:sdtContent>
        </w:sdt>
        <w:sdt>
          <w:sdtPr>
            <w:rPr>
              <w:color w:val="000000" w:themeColor="text1"/>
              <w:sz w:val="21"/>
              <w:szCs w:val="21"/>
            </w:rPr>
            <w:tag w:val="_PLD_44320683f4394adcaf1711775bb320ef"/>
            <w:id w:val="1766180620"/>
          </w:sdtPr>
          <w:sdtEndPr/>
          <w:sdtContent>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D020BB" w14:textId="77777777" w:rsidR="002D0AE7" w:rsidRDefault="00333EBB">
                <w:pPr>
                  <w:jc w:val="center"/>
                  <w:rPr>
                    <w:rFonts w:hint="eastAsia"/>
                    <w:color w:val="000000" w:themeColor="text1"/>
                    <w:sz w:val="21"/>
                    <w:szCs w:val="21"/>
                  </w:rPr>
                </w:pPr>
                <w:r>
                  <w:rPr>
                    <w:rFonts w:hint="eastAsia"/>
                    <w:color w:val="000000" w:themeColor="text1"/>
                    <w:sz w:val="21"/>
                    <w:szCs w:val="21"/>
                  </w:rPr>
                  <w:t>上期发生额</w:t>
                </w:r>
              </w:p>
            </w:tc>
          </w:sdtContent>
        </w:sdt>
      </w:tr>
      <w:tr w:rsidR="002D0AE7" w14:paraId="0E9CDBBF" w14:textId="77777777">
        <w:tc>
          <w:tcPr>
            <w:tcW w:w="1570" w:type="pct"/>
            <w:vMerge/>
            <w:tcBorders>
              <w:left w:val="single" w:sz="4" w:space="0" w:color="auto"/>
              <w:bottom w:val="single" w:sz="4" w:space="0" w:color="auto"/>
              <w:right w:val="single" w:sz="4" w:space="0" w:color="auto"/>
            </w:tcBorders>
            <w:shd w:val="clear" w:color="auto" w:fill="auto"/>
            <w:vAlign w:val="center"/>
          </w:tcPr>
          <w:p w14:paraId="3EDE414E" w14:textId="77777777" w:rsidR="002D0AE7" w:rsidRDefault="002D0AE7">
            <w:pPr>
              <w:jc w:val="center"/>
              <w:rPr>
                <w:rFonts w:hint="eastAsia"/>
                <w:color w:val="000000" w:themeColor="text1"/>
                <w:sz w:val="21"/>
                <w:szCs w:val="21"/>
              </w:rPr>
            </w:pPr>
          </w:p>
        </w:tc>
        <w:sdt>
          <w:sdtPr>
            <w:rPr>
              <w:color w:val="000000" w:themeColor="text1"/>
              <w:sz w:val="21"/>
              <w:szCs w:val="21"/>
            </w:rPr>
            <w:tag w:val="_PLD_efb75dfbe3924c3a9f286eefd26b357f"/>
            <w:id w:val="2105915474"/>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6F7C26DF" w14:textId="77777777" w:rsidR="002D0AE7" w:rsidRDefault="00333EBB">
                <w:pPr>
                  <w:jc w:val="center"/>
                  <w:rPr>
                    <w:rFonts w:hint="eastAsia"/>
                    <w:color w:val="000000" w:themeColor="text1"/>
                    <w:sz w:val="21"/>
                    <w:szCs w:val="21"/>
                  </w:rPr>
                </w:pPr>
                <w:r>
                  <w:rPr>
                    <w:rFonts w:hint="eastAsia"/>
                    <w:color w:val="000000" w:themeColor="text1"/>
                    <w:sz w:val="21"/>
                    <w:szCs w:val="21"/>
                  </w:rPr>
                  <w:t>收入</w:t>
                </w:r>
              </w:p>
            </w:tc>
          </w:sdtContent>
        </w:sdt>
        <w:sdt>
          <w:sdtPr>
            <w:rPr>
              <w:color w:val="000000" w:themeColor="text1"/>
              <w:sz w:val="21"/>
              <w:szCs w:val="21"/>
            </w:rPr>
            <w:tag w:val="_PLD_9ecc7b9050c24dcebd801ee01e950a91"/>
            <w:id w:val="-2096319630"/>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08EC3B8A" w14:textId="77777777" w:rsidR="002D0AE7" w:rsidRDefault="00333EBB">
                <w:pPr>
                  <w:jc w:val="center"/>
                  <w:rPr>
                    <w:rFonts w:hint="eastAsia"/>
                    <w:color w:val="000000" w:themeColor="text1"/>
                    <w:sz w:val="21"/>
                    <w:szCs w:val="21"/>
                  </w:rPr>
                </w:pPr>
                <w:r>
                  <w:rPr>
                    <w:rFonts w:hint="eastAsia"/>
                    <w:color w:val="000000" w:themeColor="text1"/>
                    <w:sz w:val="21"/>
                    <w:szCs w:val="21"/>
                  </w:rPr>
                  <w:t>成本</w:t>
                </w:r>
              </w:p>
            </w:tc>
          </w:sdtContent>
        </w:sdt>
        <w:sdt>
          <w:sdtPr>
            <w:rPr>
              <w:color w:val="000000" w:themeColor="text1"/>
              <w:sz w:val="21"/>
              <w:szCs w:val="21"/>
            </w:rPr>
            <w:tag w:val="_PLD_b2940b2f59f24f969eea718c85f99dda"/>
            <w:id w:val="-1938592640"/>
          </w:sdtPr>
          <w:sdtEndPr/>
          <w:sdtContent>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69B4E0CA" w14:textId="77777777" w:rsidR="002D0AE7" w:rsidRDefault="00333EBB">
                <w:pPr>
                  <w:jc w:val="center"/>
                  <w:rPr>
                    <w:rFonts w:hint="eastAsia"/>
                    <w:color w:val="000000" w:themeColor="text1"/>
                    <w:sz w:val="21"/>
                    <w:szCs w:val="21"/>
                  </w:rPr>
                </w:pPr>
                <w:r>
                  <w:rPr>
                    <w:rFonts w:hint="eastAsia"/>
                    <w:color w:val="000000" w:themeColor="text1"/>
                    <w:sz w:val="21"/>
                    <w:szCs w:val="21"/>
                  </w:rPr>
                  <w:t>收入</w:t>
                </w:r>
              </w:p>
            </w:tc>
          </w:sdtContent>
        </w:sdt>
        <w:sdt>
          <w:sdtPr>
            <w:rPr>
              <w:color w:val="000000" w:themeColor="text1"/>
              <w:sz w:val="21"/>
              <w:szCs w:val="21"/>
            </w:rPr>
            <w:tag w:val="_PLD_971c170c70c24975ba7524e53623bf00"/>
            <w:id w:val="-724371611"/>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5B20A668" w14:textId="77777777" w:rsidR="002D0AE7" w:rsidRDefault="00333EBB">
                <w:pPr>
                  <w:jc w:val="center"/>
                  <w:rPr>
                    <w:rFonts w:hint="eastAsia"/>
                    <w:color w:val="000000" w:themeColor="text1"/>
                    <w:sz w:val="21"/>
                    <w:szCs w:val="21"/>
                  </w:rPr>
                </w:pPr>
                <w:r>
                  <w:rPr>
                    <w:rFonts w:hint="eastAsia"/>
                    <w:color w:val="000000" w:themeColor="text1"/>
                    <w:sz w:val="21"/>
                    <w:szCs w:val="21"/>
                  </w:rPr>
                  <w:t>成本</w:t>
                </w:r>
              </w:p>
            </w:tc>
          </w:sdtContent>
        </w:sdt>
      </w:tr>
      <w:tr w:rsidR="002D0AE7" w14:paraId="71665ACF" w14:textId="77777777">
        <w:tc>
          <w:tcPr>
            <w:tcW w:w="1570" w:type="pct"/>
            <w:tcBorders>
              <w:top w:val="single" w:sz="4" w:space="0" w:color="auto"/>
              <w:left w:val="single" w:sz="4" w:space="0" w:color="auto"/>
              <w:bottom w:val="single" w:sz="4" w:space="0" w:color="auto"/>
              <w:right w:val="single" w:sz="4" w:space="0" w:color="auto"/>
            </w:tcBorders>
            <w:shd w:val="clear" w:color="auto" w:fill="auto"/>
          </w:tcPr>
          <w:p w14:paraId="32A6DA72" w14:textId="77777777" w:rsidR="002D0AE7" w:rsidRDefault="00333EBB">
            <w:pPr>
              <w:rPr>
                <w:rFonts w:hint="eastAsia"/>
                <w:color w:val="000000" w:themeColor="text1"/>
                <w:sz w:val="21"/>
                <w:szCs w:val="21"/>
              </w:rPr>
            </w:pPr>
            <w:r>
              <w:rPr>
                <w:rFonts w:hint="eastAsia"/>
                <w:color w:val="000000" w:themeColor="text1"/>
                <w:sz w:val="21"/>
                <w:szCs w:val="21"/>
              </w:rPr>
              <w:t>主营业务</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461719C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901,383,276.97</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7F44193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609,417,446.10</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728848D7"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895,711,119.09</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715F55A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646,696,840.81</w:t>
            </w:r>
          </w:p>
        </w:tc>
      </w:tr>
      <w:tr w:rsidR="002D0AE7" w14:paraId="0EB1B471" w14:textId="77777777">
        <w:tc>
          <w:tcPr>
            <w:tcW w:w="1570" w:type="pct"/>
            <w:tcBorders>
              <w:top w:val="single" w:sz="4" w:space="0" w:color="auto"/>
              <w:left w:val="single" w:sz="4" w:space="0" w:color="auto"/>
              <w:bottom w:val="single" w:sz="4" w:space="0" w:color="auto"/>
              <w:right w:val="single" w:sz="4" w:space="0" w:color="auto"/>
            </w:tcBorders>
            <w:shd w:val="clear" w:color="auto" w:fill="auto"/>
          </w:tcPr>
          <w:p w14:paraId="7EB6A15E" w14:textId="77777777" w:rsidR="002D0AE7" w:rsidRDefault="00333EBB">
            <w:pPr>
              <w:rPr>
                <w:rFonts w:hint="eastAsia"/>
                <w:color w:val="000000" w:themeColor="text1"/>
                <w:sz w:val="21"/>
                <w:szCs w:val="21"/>
              </w:rPr>
            </w:pPr>
            <w:r>
              <w:rPr>
                <w:rFonts w:hint="eastAsia"/>
                <w:color w:val="000000" w:themeColor="text1"/>
                <w:sz w:val="21"/>
                <w:szCs w:val="21"/>
              </w:rPr>
              <w:t>其他业务</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3F59A23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5,584,025.23</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6CAFDBD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5,047,515.69</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319176C3"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4,811,409.84</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3485DE6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4,711,737.56</w:t>
            </w:r>
          </w:p>
        </w:tc>
      </w:tr>
      <w:tr w:rsidR="002D0AE7" w14:paraId="2841CC72" w14:textId="77777777">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14:paraId="52640E2B"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63806D8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906,967,302.20</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50F688B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614,464,961.79</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1CE7C8EC"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900,522,528.93</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0313C38E"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651,408,578.37</w:t>
            </w:r>
          </w:p>
        </w:tc>
      </w:tr>
    </w:tbl>
    <w:bookmarkEnd w:id="287" w:displacedByCustomXml="next"/>
    <w:bookmarkStart w:id="288" w:name="_Hlk533798810" w:displacedByCustomXml="next"/>
    <w:bookmarkStart w:id="289" w:name="_Hlk168057792" w:displacedByCustomXml="next"/>
    <w:bookmarkStart w:id="290" w:name="_Hlk153798384" w:displacedByCustomXml="next"/>
    <w:sdt>
      <w:sdtPr>
        <w:rPr>
          <w:rFonts w:ascii="宋体" w:hAnsi="宋体" w:cs="宋体" w:hint="eastAsia"/>
          <w:b w:val="0"/>
          <w:bCs w:val="0"/>
          <w:color w:val="000000" w:themeColor="text1"/>
          <w:kern w:val="0"/>
          <w:szCs w:val="24"/>
        </w:rPr>
        <w:alias w:val="模块:合同产生的收入的情况"/>
        <w:tag w:val="_SEC_55b67c614f984b14baf467a8376baa6d"/>
        <w:id w:val="939341945"/>
        <w:placeholder>
          <w:docPart w:val="GBC22222222222222222222222222222"/>
        </w:placeholder>
      </w:sdtPr>
      <w:sdtEndPr>
        <w:rPr>
          <w:rFonts w:ascii="Times New Roman" w:hAnsi="Times New Roman" w:cs="Times New Roman" w:hint="default"/>
          <w:color w:val="auto"/>
          <w:sz w:val="21"/>
          <w:szCs w:val="21"/>
        </w:rPr>
      </w:sdtEndPr>
      <w:sdtContent>
        <w:p w14:paraId="7F4CEB2F" w14:textId="77777777" w:rsidR="002D0AE7" w:rsidRDefault="00333EBB">
          <w:pPr>
            <w:pStyle w:val="4"/>
            <w:numPr>
              <w:ilvl w:val="0"/>
              <w:numId w:val="96"/>
            </w:numPr>
            <w:ind w:left="425" w:hanging="425"/>
            <w:rPr>
              <w:color w:val="000000" w:themeColor="text1"/>
            </w:rPr>
          </w:pPr>
          <w:r>
            <w:rPr>
              <w:rFonts w:hint="eastAsia"/>
              <w:color w:val="000000" w:themeColor="text1"/>
            </w:rPr>
            <w:t>营业收入、营业成本的分解信息</w:t>
          </w:r>
        </w:p>
        <w:sdt>
          <w:sdtPr>
            <w:alias w:val="是否适用：母公司营业收入、营业成本的分解信息 [双击切换]"/>
            <w:tag w:val="_GBC_f916612422c346448db58faef20dc792"/>
            <w:id w:val="1146632720"/>
            <w:placeholder>
              <w:docPart w:val="GBC22222222222222222222222222222"/>
            </w:placeholder>
          </w:sdtPr>
          <w:sdtEndPr/>
          <w:sdtContent>
            <w:p w14:paraId="44E75CA4" w14:textId="77777777" w:rsidR="002D0AE7" w:rsidRDefault="00333EBB">
              <w:pPr>
                <w:pStyle w:val="11"/>
                <w:rPr>
                  <w:rFonts w:hint="eastAsia"/>
                </w:rPr>
              </w:pPr>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14:paraId="7AD9CF13" w14:textId="77777777" w:rsidR="002D0AE7" w:rsidRDefault="00333EBB">
          <w:pPr>
            <w:pStyle w:val="11"/>
            <w:rPr>
              <w:rFonts w:hint="eastAsia"/>
            </w:rPr>
          </w:pPr>
          <w:r>
            <w:rPr>
              <w:rFonts w:hint="eastAsia"/>
            </w:rPr>
            <w:t>单位：</w:t>
          </w:r>
          <w:sdt>
            <w:sdtPr>
              <w:rPr>
                <w:rFonts w:hint="eastAsia"/>
              </w:rPr>
              <w:alias w:val="单位：母公司营业收入、营业成本的分解信息 "/>
              <w:tag w:val="_GBC_e6b85420b31744ebb82faab81c66888a"/>
              <w:id w:val="-64319833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母公司营业收入、营业成本的分解信息 "/>
              <w:tag w:val="_GBC_a21eea1b0c6c42afa80a1b7e1f7aaf81"/>
              <w:id w:val="-133613655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2359"/>
            <w:gridCol w:w="2926"/>
          </w:tblGrid>
          <w:tr w:rsidR="002D0AE7" w14:paraId="5E57D6B5" w14:textId="77777777">
            <w:sdt>
              <w:sdtPr>
                <w:rPr>
                  <w:rFonts w:hint="eastAsia"/>
                  <w:color w:val="000000" w:themeColor="text1"/>
                  <w:sz w:val="21"/>
                  <w:szCs w:val="21"/>
                </w:rPr>
                <w:tag w:val="_PLD_088c04bc97c148b8985e04f4a2797f92"/>
                <w:id w:val="1630587136"/>
              </w:sdtPr>
              <w:sdtEndPr/>
              <w:sdtContent>
                <w:tc>
                  <w:tcPr>
                    <w:tcW w:w="2005" w:type="pct"/>
                    <w:vMerge w:val="restart"/>
                    <w:tcBorders>
                      <w:top w:val="single" w:sz="4" w:space="0" w:color="auto"/>
                      <w:left w:val="single" w:sz="4" w:space="0" w:color="auto"/>
                      <w:right w:val="single" w:sz="4" w:space="0" w:color="auto"/>
                    </w:tcBorders>
                    <w:shd w:val="clear" w:color="auto" w:fill="auto"/>
                    <w:vAlign w:val="center"/>
                  </w:tcPr>
                  <w:p w14:paraId="10EA0165" w14:textId="77777777" w:rsidR="002D0AE7" w:rsidRDefault="00333EBB">
                    <w:pPr>
                      <w:jc w:val="center"/>
                      <w:rPr>
                        <w:rFonts w:hint="eastAsia"/>
                        <w:color w:val="000000" w:themeColor="text1"/>
                        <w:sz w:val="21"/>
                        <w:szCs w:val="21"/>
                      </w:rPr>
                    </w:pPr>
                    <w:r>
                      <w:rPr>
                        <w:rFonts w:hint="eastAsia"/>
                        <w:color w:val="000000" w:themeColor="text1"/>
                        <w:sz w:val="21"/>
                        <w:szCs w:val="21"/>
                      </w:rPr>
                      <w:t>合同分类</w:t>
                    </w:r>
                  </w:p>
                </w:tc>
              </w:sdtContent>
            </w:sdt>
            <w:sdt>
              <w:sdtPr>
                <w:rPr>
                  <w:rFonts w:hint="eastAsia"/>
                  <w:color w:val="000000" w:themeColor="text1"/>
                  <w:sz w:val="21"/>
                  <w:szCs w:val="21"/>
                </w:rPr>
                <w:tag w:val="_PLD_1657446828694cd2a20836751aea1c9f"/>
                <w:id w:val="1867795737"/>
              </w:sdtPr>
              <w:sdtEndPr/>
              <w:sdtContent>
                <w:tc>
                  <w:tcPr>
                    <w:tcW w:w="2995" w:type="pct"/>
                    <w:gridSpan w:val="2"/>
                    <w:tcBorders>
                      <w:top w:val="single" w:sz="4" w:space="0" w:color="auto"/>
                      <w:left w:val="single" w:sz="4" w:space="0" w:color="auto"/>
                      <w:bottom w:val="single" w:sz="4" w:space="0" w:color="auto"/>
                      <w:right w:val="single" w:sz="4" w:space="0" w:color="auto"/>
                    </w:tcBorders>
                    <w:vAlign w:val="center"/>
                  </w:tcPr>
                  <w:p w14:paraId="7C442BF8"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sdtContent>
            </w:sdt>
          </w:tr>
          <w:tr w:rsidR="002D0AE7" w14:paraId="10923105" w14:textId="77777777">
            <w:tc>
              <w:tcPr>
                <w:tcW w:w="2005" w:type="pct"/>
                <w:vMerge/>
                <w:tcBorders>
                  <w:left w:val="single" w:sz="4" w:space="0" w:color="auto"/>
                  <w:bottom w:val="single" w:sz="4" w:space="0" w:color="auto"/>
                  <w:right w:val="single" w:sz="4" w:space="0" w:color="auto"/>
                </w:tcBorders>
                <w:shd w:val="clear" w:color="auto" w:fill="auto"/>
              </w:tcPr>
              <w:p w14:paraId="6AD4C348" w14:textId="77777777" w:rsidR="002D0AE7" w:rsidRDefault="002D0AE7">
                <w:pPr>
                  <w:jc w:val="center"/>
                  <w:rPr>
                    <w:rFonts w:hint="eastAsia"/>
                    <w:color w:val="000000" w:themeColor="text1"/>
                    <w:sz w:val="21"/>
                    <w:szCs w:val="21"/>
                  </w:rPr>
                </w:pPr>
              </w:p>
            </w:tc>
            <w:sdt>
              <w:sdtPr>
                <w:rPr>
                  <w:rFonts w:hint="eastAsia"/>
                  <w:color w:val="000000" w:themeColor="text1"/>
                  <w:sz w:val="21"/>
                  <w:szCs w:val="21"/>
                </w:rPr>
                <w:tag w:val="_PLD_bda6864537c1473787995e2ab3492e49"/>
                <w:id w:val="101468405"/>
              </w:sdtPr>
              <w:sdtEndPr/>
              <w:sdtContent>
                <w:tc>
                  <w:tcPr>
                    <w:tcW w:w="1337" w:type="pct"/>
                    <w:tcBorders>
                      <w:top w:val="single" w:sz="4" w:space="0" w:color="auto"/>
                      <w:left w:val="single" w:sz="4" w:space="0" w:color="auto"/>
                      <w:bottom w:val="single" w:sz="4" w:space="0" w:color="auto"/>
                      <w:right w:val="single" w:sz="4" w:space="0" w:color="auto"/>
                    </w:tcBorders>
                    <w:vAlign w:val="center"/>
                  </w:tcPr>
                  <w:p w14:paraId="7F547FB6" w14:textId="77777777" w:rsidR="002D0AE7" w:rsidRDefault="00333EBB">
                    <w:pPr>
                      <w:jc w:val="center"/>
                      <w:rPr>
                        <w:rFonts w:hint="eastAsia"/>
                        <w:color w:val="000000" w:themeColor="text1"/>
                        <w:sz w:val="21"/>
                        <w:szCs w:val="21"/>
                      </w:rPr>
                    </w:pPr>
                    <w:r>
                      <w:rPr>
                        <w:rFonts w:hint="eastAsia"/>
                        <w:color w:val="000000" w:themeColor="text1"/>
                        <w:sz w:val="21"/>
                        <w:szCs w:val="21"/>
                      </w:rPr>
                      <w:t>营业收入</w:t>
                    </w:r>
                  </w:p>
                </w:tc>
              </w:sdtContent>
            </w:sdt>
            <w:sdt>
              <w:sdtPr>
                <w:rPr>
                  <w:rFonts w:hint="eastAsia"/>
                  <w:color w:val="000000" w:themeColor="text1"/>
                  <w:sz w:val="21"/>
                  <w:szCs w:val="21"/>
                </w:rPr>
                <w:tag w:val="_PLD_ccd631421f91491e9a03bf7a01d32791"/>
                <w:id w:val="687640483"/>
              </w:sdtPr>
              <w:sdtEndPr/>
              <w:sdtContent>
                <w:tc>
                  <w:tcPr>
                    <w:tcW w:w="1658" w:type="pct"/>
                    <w:tcBorders>
                      <w:top w:val="single" w:sz="4" w:space="0" w:color="auto"/>
                      <w:left w:val="single" w:sz="4" w:space="0" w:color="auto"/>
                      <w:bottom w:val="single" w:sz="4" w:space="0" w:color="auto"/>
                      <w:right w:val="single" w:sz="4" w:space="0" w:color="auto"/>
                    </w:tcBorders>
                  </w:tcPr>
                  <w:p w14:paraId="67B4724F" w14:textId="77777777" w:rsidR="002D0AE7" w:rsidRDefault="00333EBB">
                    <w:pPr>
                      <w:jc w:val="center"/>
                      <w:rPr>
                        <w:rFonts w:hint="eastAsia"/>
                        <w:color w:val="000000" w:themeColor="text1"/>
                        <w:sz w:val="21"/>
                        <w:szCs w:val="21"/>
                      </w:rPr>
                    </w:pPr>
                    <w:r>
                      <w:rPr>
                        <w:rFonts w:hint="eastAsia"/>
                        <w:color w:val="000000" w:themeColor="text1"/>
                        <w:sz w:val="21"/>
                        <w:szCs w:val="21"/>
                      </w:rPr>
                      <w:t>营业成本</w:t>
                    </w:r>
                  </w:p>
                </w:tc>
              </w:sdtContent>
            </w:sdt>
          </w:tr>
          <w:tr w:rsidR="002D0AE7" w14:paraId="3B05E210" w14:textId="77777777">
            <w:tc>
              <w:tcPr>
                <w:tcW w:w="2005" w:type="pct"/>
                <w:tcBorders>
                  <w:top w:val="single" w:sz="4" w:space="0" w:color="auto"/>
                  <w:left w:val="single" w:sz="4" w:space="0" w:color="auto"/>
                  <w:bottom w:val="single" w:sz="4" w:space="0" w:color="auto"/>
                  <w:right w:val="single" w:sz="4" w:space="0" w:color="auto"/>
                </w:tcBorders>
                <w:shd w:val="clear" w:color="auto" w:fill="auto"/>
              </w:tcPr>
              <w:p w14:paraId="536F4B02" w14:textId="77777777" w:rsidR="002D0AE7" w:rsidRDefault="00333EBB">
                <w:pPr>
                  <w:rPr>
                    <w:rFonts w:hint="eastAsia"/>
                    <w:color w:val="000000" w:themeColor="text1"/>
                    <w:sz w:val="21"/>
                    <w:szCs w:val="21"/>
                  </w:rPr>
                </w:pPr>
                <w:r>
                  <w:rPr>
                    <w:rFonts w:hint="eastAsia"/>
                    <w:color w:val="000000" w:themeColor="text1"/>
                    <w:sz w:val="21"/>
                    <w:szCs w:val="21"/>
                  </w:rPr>
                  <w:t>商品类型</w:t>
                </w:r>
              </w:p>
            </w:tc>
            <w:tc>
              <w:tcPr>
                <w:tcW w:w="1337" w:type="pct"/>
                <w:tcBorders>
                  <w:top w:val="single" w:sz="4" w:space="0" w:color="auto"/>
                  <w:left w:val="single" w:sz="4" w:space="0" w:color="auto"/>
                  <w:bottom w:val="single" w:sz="4" w:space="0" w:color="auto"/>
                  <w:right w:val="single" w:sz="4" w:space="0" w:color="auto"/>
                </w:tcBorders>
              </w:tcPr>
              <w:p w14:paraId="6F9D5C6C" w14:textId="77777777" w:rsidR="002D0AE7" w:rsidRDefault="00333EBB">
                <w:pPr>
                  <w:jc w:val="right"/>
                  <w:rPr>
                    <w:rFonts w:hint="eastAsia"/>
                    <w:color w:val="000000" w:themeColor="text1"/>
                    <w:sz w:val="21"/>
                    <w:szCs w:val="21"/>
                  </w:rPr>
                </w:pPr>
                <w:r>
                  <w:rPr>
                    <w:rFonts w:hint="eastAsia"/>
                    <w:color w:val="000000" w:themeColor="text1"/>
                    <w:sz w:val="21"/>
                    <w:szCs w:val="21"/>
                  </w:rPr>
                  <w:t xml:space="preserve">　</w:t>
                </w:r>
              </w:p>
            </w:tc>
            <w:tc>
              <w:tcPr>
                <w:tcW w:w="1658" w:type="pct"/>
                <w:tcBorders>
                  <w:top w:val="single" w:sz="4" w:space="0" w:color="auto"/>
                  <w:left w:val="single" w:sz="4" w:space="0" w:color="auto"/>
                  <w:bottom w:val="single" w:sz="4" w:space="0" w:color="auto"/>
                  <w:right w:val="single" w:sz="4" w:space="0" w:color="auto"/>
                </w:tcBorders>
              </w:tcPr>
              <w:p w14:paraId="02EF8D21" w14:textId="77777777" w:rsidR="002D0AE7" w:rsidRDefault="00333EBB">
                <w:pPr>
                  <w:jc w:val="right"/>
                  <w:rPr>
                    <w:rFonts w:hint="eastAsia"/>
                    <w:color w:val="000000" w:themeColor="text1"/>
                    <w:sz w:val="21"/>
                    <w:szCs w:val="21"/>
                  </w:rPr>
                </w:pPr>
                <w:r>
                  <w:rPr>
                    <w:rFonts w:hint="eastAsia"/>
                    <w:color w:val="000000" w:themeColor="text1"/>
                    <w:sz w:val="21"/>
                    <w:szCs w:val="21"/>
                  </w:rPr>
                  <w:t xml:space="preserve">　</w:t>
                </w:r>
              </w:p>
            </w:tc>
          </w:tr>
          <w:tr w:rsidR="002D0AE7" w14:paraId="5B9A2D12" w14:textId="77777777">
            <w:tc>
              <w:tcPr>
                <w:tcW w:w="2005" w:type="pct"/>
                <w:tcBorders>
                  <w:top w:val="single" w:sz="4" w:space="0" w:color="auto"/>
                  <w:left w:val="single" w:sz="4" w:space="0" w:color="auto"/>
                  <w:bottom w:val="single" w:sz="4" w:space="0" w:color="auto"/>
                  <w:right w:val="single" w:sz="4" w:space="0" w:color="auto"/>
                </w:tcBorders>
                <w:shd w:val="clear" w:color="auto" w:fill="auto"/>
              </w:tcPr>
              <w:p w14:paraId="6BBE46B2" w14:textId="77777777" w:rsidR="002D0AE7" w:rsidRDefault="00333EBB">
                <w:pPr>
                  <w:ind w:firstLineChars="200" w:firstLine="420"/>
                  <w:rPr>
                    <w:rFonts w:hint="eastAsia"/>
                    <w:sz w:val="21"/>
                    <w:szCs w:val="21"/>
                  </w:rPr>
                </w:pPr>
                <w:r>
                  <w:rPr>
                    <w:rFonts w:hint="eastAsia"/>
                    <w:sz w:val="21"/>
                    <w:szCs w:val="21"/>
                  </w:rPr>
                  <w:t>甾体激素类</w:t>
                </w:r>
              </w:p>
            </w:tc>
            <w:tc>
              <w:tcPr>
                <w:tcW w:w="1337" w:type="pct"/>
                <w:tcBorders>
                  <w:top w:val="single" w:sz="4" w:space="0" w:color="auto"/>
                  <w:left w:val="single" w:sz="4" w:space="0" w:color="auto"/>
                  <w:bottom w:val="single" w:sz="4" w:space="0" w:color="auto"/>
                  <w:right w:val="single" w:sz="4" w:space="0" w:color="auto"/>
                </w:tcBorders>
              </w:tcPr>
              <w:p w14:paraId="7DAB050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717,358,786.28</w:t>
                </w:r>
              </w:p>
            </w:tc>
            <w:tc>
              <w:tcPr>
                <w:tcW w:w="1658" w:type="pct"/>
                <w:tcBorders>
                  <w:top w:val="single" w:sz="4" w:space="0" w:color="auto"/>
                  <w:left w:val="single" w:sz="4" w:space="0" w:color="auto"/>
                  <w:bottom w:val="single" w:sz="4" w:space="0" w:color="auto"/>
                  <w:right w:val="single" w:sz="4" w:space="0" w:color="auto"/>
                </w:tcBorders>
                <w:vAlign w:val="center"/>
              </w:tcPr>
              <w:p w14:paraId="24EE0DF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489,577,225.10</w:t>
                </w:r>
              </w:p>
            </w:tc>
          </w:tr>
          <w:tr w:rsidR="002D0AE7" w14:paraId="72BD7258" w14:textId="77777777">
            <w:tc>
              <w:tcPr>
                <w:tcW w:w="2005" w:type="pct"/>
                <w:tcBorders>
                  <w:top w:val="single" w:sz="4" w:space="0" w:color="auto"/>
                  <w:left w:val="single" w:sz="4" w:space="0" w:color="auto"/>
                  <w:bottom w:val="single" w:sz="4" w:space="0" w:color="auto"/>
                  <w:right w:val="single" w:sz="4" w:space="0" w:color="auto"/>
                </w:tcBorders>
                <w:shd w:val="clear" w:color="auto" w:fill="auto"/>
              </w:tcPr>
              <w:p w14:paraId="44BFE6CD" w14:textId="77777777" w:rsidR="002D0AE7" w:rsidRDefault="00333EBB">
                <w:pPr>
                  <w:ind w:firstLineChars="200" w:firstLine="420"/>
                  <w:rPr>
                    <w:rFonts w:hint="eastAsia"/>
                    <w:sz w:val="21"/>
                    <w:szCs w:val="21"/>
                  </w:rPr>
                </w:pPr>
                <w:r>
                  <w:rPr>
                    <w:sz w:val="21"/>
                    <w:szCs w:val="21"/>
                  </w:rPr>
                  <w:t>氨基酸类</w:t>
                </w:r>
              </w:p>
            </w:tc>
            <w:tc>
              <w:tcPr>
                <w:tcW w:w="1337" w:type="pct"/>
                <w:tcBorders>
                  <w:top w:val="single" w:sz="4" w:space="0" w:color="auto"/>
                  <w:left w:val="single" w:sz="4" w:space="0" w:color="auto"/>
                  <w:bottom w:val="single" w:sz="4" w:space="0" w:color="auto"/>
                  <w:right w:val="single" w:sz="4" w:space="0" w:color="auto"/>
                </w:tcBorders>
              </w:tcPr>
              <w:p w14:paraId="11062975"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103,971,286.61</w:t>
                </w:r>
              </w:p>
            </w:tc>
            <w:tc>
              <w:tcPr>
                <w:tcW w:w="1658" w:type="pct"/>
                <w:tcBorders>
                  <w:top w:val="single" w:sz="4" w:space="0" w:color="auto"/>
                  <w:left w:val="single" w:sz="4" w:space="0" w:color="auto"/>
                  <w:bottom w:val="single" w:sz="4" w:space="0" w:color="auto"/>
                  <w:right w:val="single" w:sz="4" w:space="0" w:color="auto"/>
                </w:tcBorders>
                <w:vAlign w:val="center"/>
              </w:tcPr>
              <w:p w14:paraId="34711EF5"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71,640,267.62</w:t>
                </w:r>
              </w:p>
            </w:tc>
          </w:tr>
          <w:tr w:rsidR="002D0AE7" w14:paraId="5DAD96AF" w14:textId="77777777">
            <w:tc>
              <w:tcPr>
                <w:tcW w:w="2005" w:type="pct"/>
                <w:tcBorders>
                  <w:top w:val="single" w:sz="4" w:space="0" w:color="auto"/>
                  <w:left w:val="single" w:sz="4" w:space="0" w:color="auto"/>
                  <w:bottom w:val="single" w:sz="4" w:space="0" w:color="auto"/>
                  <w:right w:val="single" w:sz="4" w:space="0" w:color="auto"/>
                </w:tcBorders>
                <w:shd w:val="clear" w:color="auto" w:fill="auto"/>
              </w:tcPr>
              <w:p w14:paraId="68D895E6" w14:textId="77777777" w:rsidR="002D0AE7" w:rsidRDefault="00333EBB">
                <w:pPr>
                  <w:ind w:firstLineChars="200" w:firstLine="420"/>
                  <w:rPr>
                    <w:rFonts w:hint="eastAsia"/>
                    <w:sz w:val="21"/>
                    <w:szCs w:val="21"/>
                  </w:rPr>
                </w:pPr>
                <w:r>
                  <w:rPr>
                    <w:sz w:val="21"/>
                    <w:szCs w:val="21"/>
                  </w:rPr>
                  <w:t>其他</w:t>
                </w:r>
              </w:p>
            </w:tc>
            <w:tc>
              <w:tcPr>
                <w:tcW w:w="1337" w:type="pct"/>
                <w:tcBorders>
                  <w:top w:val="single" w:sz="4" w:space="0" w:color="auto"/>
                  <w:left w:val="single" w:sz="4" w:space="0" w:color="auto"/>
                  <w:bottom w:val="single" w:sz="4" w:space="0" w:color="auto"/>
                  <w:right w:val="single" w:sz="4" w:space="0" w:color="auto"/>
                </w:tcBorders>
              </w:tcPr>
              <w:p w14:paraId="57FB832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80,053,204.08</w:t>
                </w:r>
              </w:p>
            </w:tc>
            <w:tc>
              <w:tcPr>
                <w:tcW w:w="1658" w:type="pct"/>
                <w:tcBorders>
                  <w:top w:val="single" w:sz="4" w:space="0" w:color="auto"/>
                  <w:left w:val="single" w:sz="4" w:space="0" w:color="auto"/>
                  <w:bottom w:val="single" w:sz="4" w:space="0" w:color="auto"/>
                  <w:right w:val="single" w:sz="4" w:space="0" w:color="auto"/>
                </w:tcBorders>
                <w:vAlign w:val="center"/>
              </w:tcPr>
              <w:p w14:paraId="66E44164"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48,199,953.38</w:t>
                </w:r>
              </w:p>
            </w:tc>
          </w:tr>
          <w:tr w:rsidR="002D0AE7" w14:paraId="2CF466B5" w14:textId="77777777">
            <w:tc>
              <w:tcPr>
                <w:tcW w:w="2005" w:type="pct"/>
                <w:tcBorders>
                  <w:top w:val="single" w:sz="4" w:space="0" w:color="auto"/>
                  <w:left w:val="single" w:sz="4" w:space="0" w:color="auto"/>
                  <w:bottom w:val="single" w:sz="4" w:space="0" w:color="auto"/>
                  <w:right w:val="single" w:sz="4" w:space="0" w:color="auto"/>
                </w:tcBorders>
                <w:shd w:val="clear" w:color="auto" w:fill="auto"/>
              </w:tcPr>
              <w:p w14:paraId="677A8CFE" w14:textId="77777777" w:rsidR="002D0AE7" w:rsidRDefault="00333EBB">
                <w:pPr>
                  <w:ind w:firstLineChars="200" w:firstLine="420"/>
                  <w:rPr>
                    <w:rFonts w:hint="eastAsia"/>
                    <w:sz w:val="21"/>
                    <w:szCs w:val="21"/>
                  </w:rPr>
                </w:pPr>
                <w:r>
                  <w:rPr>
                    <w:sz w:val="21"/>
                    <w:szCs w:val="21"/>
                  </w:rPr>
                  <w:t>其中：制剂</w:t>
                </w:r>
              </w:p>
            </w:tc>
            <w:tc>
              <w:tcPr>
                <w:tcW w:w="1337" w:type="pct"/>
                <w:tcBorders>
                  <w:top w:val="single" w:sz="4" w:space="0" w:color="auto"/>
                  <w:left w:val="single" w:sz="4" w:space="0" w:color="auto"/>
                  <w:bottom w:val="single" w:sz="4" w:space="0" w:color="auto"/>
                  <w:right w:val="single" w:sz="4" w:space="0" w:color="auto"/>
                </w:tcBorders>
              </w:tcPr>
              <w:p w14:paraId="637FC8CF"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79,693,085.18</w:t>
                </w:r>
              </w:p>
            </w:tc>
            <w:tc>
              <w:tcPr>
                <w:tcW w:w="1658" w:type="pct"/>
                <w:tcBorders>
                  <w:top w:val="single" w:sz="4" w:space="0" w:color="auto"/>
                  <w:left w:val="single" w:sz="4" w:space="0" w:color="auto"/>
                  <w:bottom w:val="single" w:sz="4" w:space="0" w:color="auto"/>
                  <w:right w:val="single" w:sz="4" w:space="0" w:color="auto"/>
                </w:tcBorders>
                <w:vAlign w:val="center"/>
              </w:tcPr>
              <w:p w14:paraId="3847938D"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47,898,802.48</w:t>
                </w:r>
              </w:p>
            </w:tc>
          </w:tr>
          <w:tr w:rsidR="002D0AE7" w14:paraId="0C40F6A4" w14:textId="77777777">
            <w:tc>
              <w:tcPr>
                <w:tcW w:w="2005" w:type="pct"/>
                <w:tcBorders>
                  <w:top w:val="single" w:sz="4" w:space="0" w:color="auto"/>
                  <w:left w:val="single" w:sz="4" w:space="0" w:color="auto"/>
                  <w:bottom w:val="single" w:sz="4" w:space="0" w:color="auto"/>
                  <w:right w:val="single" w:sz="4" w:space="0" w:color="auto"/>
                </w:tcBorders>
                <w:shd w:val="clear" w:color="auto" w:fill="auto"/>
              </w:tcPr>
              <w:p w14:paraId="37150978" w14:textId="77777777" w:rsidR="002D0AE7" w:rsidRDefault="00333EBB">
                <w:pPr>
                  <w:jc w:val="center"/>
                  <w:rPr>
                    <w:rFonts w:hint="eastAsia"/>
                    <w:sz w:val="21"/>
                    <w:szCs w:val="21"/>
                  </w:rPr>
                </w:pPr>
                <w:r>
                  <w:rPr>
                    <w:rFonts w:hint="eastAsia"/>
                    <w:sz w:val="21"/>
                    <w:szCs w:val="21"/>
                  </w:rPr>
                  <w:t>合计</w:t>
                </w:r>
              </w:p>
            </w:tc>
            <w:tc>
              <w:tcPr>
                <w:tcW w:w="1337" w:type="pct"/>
                <w:tcBorders>
                  <w:top w:val="single" w:sz="4" w:space="0" w:color="auto"/>
                  <w:left w:val="single" w:sz="4" w:space="0" w:color="auto"/>
                  <w:bottom w:val="single" w:sz="4" w:space="0" w:color="auto"/>
                  <w:right w:val="single" w:sz="4" w:space="0" w:color="auto"/>
                </w:tcBorders>
              </w:tcPr>
              <w:p w14:paraId="3D1900A8"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901,383,276.97</w:t>
                </w:r>
              </w:p>
            </w:tc>
            <w:tc>
              <w:tcPr>
                <w:tcW w:w="1658" w:type="pct"/>
                <w:tcBorders>
                  <w:top w:val="single" w:sz="4" w:space="0" w:color="auto"/>
                  <w:left w:val="single" w:sz="4" w:space="0" w:color="auto"/>
                  <w:bottom w:val="single" w:sz="4" w:space="0" w:color="auto"/>
                  <w:right w:val="single" w:sz="4" w:space="0" w:color="auto"/>
                </w:tcBorders>
                <w:vAlign w:val="center"/>
              </w:tcPr>
              <w:p w14:paraId="033B127D"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609,417,446.10</w:t>
                </w:r>
              </w:p>
            </w:tc>
          </w:tr>
          <w:tr w:rsidR="002D0AE7" w14:paraId="05322323" w14:textId="77777777">
            <w:tc>
              <w:tcPr>
                <w:tcW w:w="2005" w:type="pct"/>
                <w:tcBorders>
                  <w:top w:val="single" w:sz="4" w:space="0" w:color="auto"/>
                  <w:left w:val="single" w:sz="4" w:space="0" w:color="auto"/>
                  <w:bottom w:val="single" w:sz="4" w:space="0" w:color="auto"/>
                  <w:right w:val="single" w:sz="4" w:space="0" w:color="auto"/>
                </w:tcBorders>
                <w:shd w:val="clear" w:color="auto" w:fill="auto"/>
              </w:tcPr>
              <w:p w14:paraId="3342B205" w14:textId="77777777" w:rsidR="002D0AE7" w:rsidRDefault="00333EBB">
                <w:pPr>
                  <w:rPr>
                    <w:rFonts w:hint="eastAsia"/>
                    <w:color w:val="000000" w:themeColor="text1"/>
                    <w:sz w:val="21"/>
                    <w:szCs w:val="21"/>
                  </w:rPr>
                </w:pPr>
                <w:r>
                  <w:rPr>
                    <w:rFonts w:hint="eastAsia"/>
                    <w:color w:val="000000" w:themeColor="text1"/>
                    <w:sz w:val="21"/>
                    <w:szCs w:val="21"/>
                  </w:rPr>
                  <w:t>按经营地区分类</w:t>
                </w:r>
              </w:p>
            </w:tc>
            <w:tc>
              <w:tcPr>
                <w:tcW w:w="1337" w:type="pct"/>
                <w:tcBorders>
                  <w:top w:val="single" w:sz="4" w:space="0" w:color="auto"/>
                  <w:left w:val="single" w:sz="4" w:space="0" w:color="auto"/>
                  <w:bottom w:val="single" w:sz="4" w:space="0" w:color="auto"/>
                  <w:right w:val="single" w:sz="4" w:space="0" w:color="auto"/>
                </w:tcBorders>
              </w:tcPr>
              <w:p w14:paraId="20B43C61"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　</w:t>
                </w:r>
              </w:p>
            </w:tc>
            <w:tc>
              <w:tcPr>
                <w:tcW w:w="1658" w:type="pct"/>
                <w:tcBorders>
                  <w:top w:val="single" w:sz="4" w:space="0" w:color="auto"/>
                  <w:left w:val="single" w:sz="4" w:space="0" w:color="auto"/>
                  <w:bottom w:val="single" w:sz="4" w:space="0" w:color="auto"/>
                  <w:right w:val="single" w:sz="4" w:space="0" w:color="auto"/>
                </w:tcBorders>
              </w:tcPr>
              <w:p w14:paraId="3D7D2646"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　</w:t>
                </w:r>
              </w:p>
            </w:tc>
          </w:tr>
          <w:tr w:rsidR="002D0AE7" w14:paraId="53248CFC" w14:textId="77777777">
            <w:tc>
              <w:tcPr>
                <w:tcW w:w="2005" w:type="pct"/>
                <w:tcBorders>
                  <w:top w:val="single" w:sz="4" w:space="0" w:color="auto"/>
                  <w:left w:val="single" w:sz="4" w:space="0" w:color="auto"/>
                  <w:bottom w:val="single" w:sz="4" w:space="0" w:color="auto"/>
                  <w:right w:val="single" w:sz="4" w:space="0" w:color="auto"/>
                </w:tcBorders>
                <w:shd w:val="clear" w:color="auto" w:fill="auto"/>
              </w:tcPr>
              <w:p w14:paraId="6F7AAD75" w14:textId="77777777" w:rsidR="002D0AE7" w:rsidRDefault="00333EBB">
                <w:pPr>
                  <w:ind w:firstLineChars="200" w:firstLine="420"/>
                  <w:rPr>
                    <w:rFonts w:hint="eastAsia"/>
                    <w:sz w:val="21"/>
                    <w:szCs w:val="21"/>
                  </w:rPr>
                </w:pPr>
                <w:r>
                  <w:rPr>
                    <w:rFonts w:hint="eastAsia"/>
                    <w:sz w:val="21"/>
                    <w:szCs w:val="21"/>
                  </w:rPr>
                  <w:t>内销</w:t>
                </w:r>
              </w:p>
            </w:tc>
            <w:tc>
              <w:tcPr>
                <w:tcW w:w="1337" w:type="pct"/>
                <w:tcBorders>
                  <w:top w:val="single" w:sz="4" w:space="0" w:color="auto"/>
                  <w:left w:val="single" w:sz="4" w:space="0" w:color="auto"/>
                  <w:bottom w:val="single" w:sz="4" w:space="0" w:color="auto"/>
                  <w:right w:val="single" w:sz="4" w:space="0" w:color="auto"/>
                </w:tcBorders>
              </w:tcPr>
              <w:p w14:paraId="505D671A"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901,383,276.97</w:t>
                </w:r>
              </w:p>
            </w:tc>
            <w:tc>
              <w:tcPr>
                <w:tcW w:w="1658" w:type="pct"/>
                <w:tcBorders>
                  <w:top w:val="single" w:sz="4" w:space="0" w:color="auto"/>
                  <w:left w:val="single" w:sz="4" w:space="0" w:color="auto"/>
                  <w:bottom w:val="single" w:sz="4" w:space="0" w:color="auto"/>
                  <w:right w:val="single" w:sz="4" w:space="0" w:color="auto"/>
                </w:tcBorders>
                <w:vAlign w:val="center"/>
              </w:tcPr>
              <w:p w14:paraId="2A49253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609,417,446.10</w:t>
                </w:r>
              </w:p>
            </w:tc>
          </w:tr>
          <w:tr w:rsidR="002D0AE7" w14:paraId="4999F0F3" w14:textId="77777777">
            <w:tc>
              <w:tcPr>
                <w:tcW w:w="2005" w:type="pct"/>
                <w:tcBorders>
                  <w:top w:val="single" w:sz="4" w:space="0" w:color="auto"/>
                  <w:left w:val="single" w:sz="4" w:space="0" w:color="auto"/>
                  <w:bottom w:val="single" w:sz="4" w:space="0" w:color="auto"/>
                  <w:right w:val="single" w:sz="4" w:space="0" w:color="auto"/>
                </w:tcBorders>
                <w:shd w:val="clear" w:color="auto" w:fill="auto"/>
              </w:tcPr>
              <w:p w14:paraId="3C4184A0" w14:textId="77777777" w:rsidR="002D0AE7" w:rsidRDefault="00333EBB">
                <w:pPr>
                  <w:ind w:firstLineChars="200" w:firstLine="420"/>
                  <w:rPr>
                    <w:rFonts w:hint="eastAsia"/>
                    <w:sz w:val="21"/>
                    <w:szCs w:val="21"/>
                  </w:rPr>
                </w:pPr>
                <w:r>
                  <w:rPr>
                    <w:rFonts w:hint="eastAsia"/>
                    <w:sz w:val="21"/>
                    <w:szCs w:val="21"/>
                  </w:rPr>
                  <w:t>出口</w:t>
                </w:r>
              </w:p>
            </w:tc>
            <w:tc>
              <w:tcPr>
                <w:tcW w:w="1337" w:type="pct"/>
                <w:tcBorders>
                  <w:top w:val="single" w:sz="4" w:space="0" w:color="auto"/>
                  <w:left w:val="single" w:sz="4" w:space="0" w:color="auto"/>
                  <w:bottom w:val="single" w:sz="4" w:space="0" w:color="auto"/>
                  <w:right w:val="single" w:sz="4" w:space="0" w:color="auto"/>
                </w:tcBorders>
              </w:tcPr>
              <w:p w14:paraId="3889C93D"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0.00</w:t>
                </w:r>
              </w:p>
            </w:tc>
            <w:tc>
              <w:tcPr>
                <w:tcW w:w="1658" w:type="pct"/>
                <w:tcBorders>
                  <w:top w:val="single" w:sz="4" w:space="0" w:color="auto"/>
                  <w:left w:val="single" w:sz="4" w:space="0" w:color="auto"/>
                  <w:bottom w:val="single" w:sz="4" w:space="0" w:color="auto"/>
                  <w:right w:val="single" w:sz="4" w:space="0" w:color="auto"/>
                </w:tcBorders>
                <w:vAlign w:val="center"/>
              </w:tcPr>
              <w:p w14:paraId="18F9FE35"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0.00</w:t>
                </w:r>
              </w:p>
            </w:tc>
          </w:tr>
          <w:tr w:rsidR="002D0AE7" w14:paraId="077401FF" w14:textId="77777777">
            <w:tc>
              <w:tcPr>
                <w:tcW w:w="2005" w:type="pct"/>
                <w:tcBorders>
                  <w:top w:val="single" w:sz="4" w:space="0" w:color="auto"/>
                  <w:left w:val="single" w:sz="4" w:space="0" w:color="auto"/>
                  <w:bottom w:val="single" w:sz="4" w:space="0" w:color="auto"/>
                  <w:right w:val="single" w:sz="4" w:space="0" w:color="auto"/>
                </w:tcBorders>
                <w:shd w:val="clear" w:color="auto" w:fill="auto"/>
              </w:tcPr>
              <w:p w14:paraId="31BD6EDF"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1337" w:type="pct"/>
                <w:tcBorders>
                  <w:top w:val="single" w:sz="4" w:space="0" w:color="auto"/>
                  <w:left w:val="single" w:sz="4" w:space="0" w:color="auto"/>
                  <w:bottom w:val="single" w:sz="4" w:space="0" w:color="auto"/>
                  <w:right w:val="single" w:sz="4" w:space="0" w:color="auto"/>
                </w:tcBorders>
              </w:tcPr>
              <w:p w14:paraId="4B533D9F"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901,383,276.97</w:t>
                </w:r>
              </w:p>
            </w:tc>
            <w:tc>
              <w:tcPr>
                <w:tcW w:w="1658" w:type="pct"/>
                <w:tcBorders>
                  <w:top w:val="single" w:sz="4" w:space="0" w:color="auto"/>
                  <w:left w:val="single" w:sz="4" w:space="0" w:color="auto"/>
                  <w:bottom w:val="single" w:sz="4" w:space="0" w:color="auto"/>
                  <w:right w:val="single" w:sz="4" w:space="0" w:color="auto"/>
                </w:tcBorders>
                <w:vAlign w:val="center"/>
              </w:tcPr>
              <w:p w14:paraId="536FEA15"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609,417,446.10</w:t>
                </w:r>
              </w:p>
            </w:tc>
          </w:tr>
        </w:tbl>
      </w:sdtContent>
    </w:sdt>
    <w:p w14:paraId="087D495D" w14:textId="77777777" w:rsidR="002D0AE7" w:rsidRDefault="00333EBB">
      <w:pPr>
        <w:pStyle w:val="3"/>
        <w:numPr>
          <w:ilvl w:val="0"/>
          <w:numId w:val="92"/>
        </w:numPr>
        <w:rPr>
          <w:rFonts w:ascii="宋体" w:hAnsi="宋体" w:hint="eastAsia"/>
          <w:color w:val="000000" w:themeColor="text1"/>
          <w:szCs w:val="21"/>
        </w:rPr>
      </w:pPr>
      <w:bookmarkStart w:id="291" w:name="OLE_LINK6"/>
      <w:bookmarkStart w:id="292" w:name="_Hlk10548739"/>
      <w:bookmarkEnd w:id="290"/>
      <w:bookmarkEnd w:id="289"/>
      <w:bookmarkEnd w:id="288"/>
      <w:r>
        <w:rPr>
          <w:rFonts w:ascii="宋体" w:hAnsi="宋体" w:hint="eastAsia"/>
          <w:color w:val="000000" w:themeColor="text1"/>
          <w:szCs w:val="21"/>
        </w:rPr>
        <w:t>投资收益</w:t>
      </w:r>
      <w:bookmarkEnd w:id="291"/>
    </w:p>
    <w:sdt>
      <w:sdtPr>
        <w:rPr>
          <w:color w:val="000000" w:themeColor="text1"/>
        </w:rPr>
        <w:alias w:val="是否适用：母公司投资收益[双击切换]"/>
        <w:tag w:val="_GBC_bdba48f0322747499f6908fbbf78a16f"/>
        <w:id w:val="-2031402929"/>
        <w:placeholder>
          <w:docPart w:val="GBC22222222222222222222222222222"/>
        </w:placeholder>
      </w:sdtPr>
      <w:sdtEndPr/>
      <w:sdtContent>
        <w:p w14:paraId="49743154"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0995345E" w14:textId="77777777" w:rsidR="002D0AE7" w:rsidRDefault="00333EBB">
      <w:pPr>
        <w:jc w:val="right"/>
        <w:rPr>
          <w:rFonts w:hint="eastAsia"/>
          <w:color w:val="000000" w:themeColor="text1"/>
        </w:rPr>
      </w:pPr>
      <w:r>
        <w:rPr>
          <w:color w:val="000000" w:themeColor="text1"/>
        </w:rPr>
        <w:t>单位</w:t>
      </w:r>
      <w:r>
        <w:rPr>
          <w:rFonts w:hint="eastAsia"/>
          <w:color w:val="000000" w:themeColor="text1"/>
        </w:rPr>
        <w:t>：</w:t>
      </w:r>
      <w:sdt>
        <w:sdtPr>
          <w:rPr>
            <w:rFonts w:hint="eastAsia"/>
            <w:color w:val="000000" w:themeColor="text1"/>
          </w:rPr>
          <w:alias w:val="单位：财务附注：会计报表中的投资收益项目增加"/>
          <w:tag w:val="_GBC_613aeed04bd941b2899e7b84fac67e3a"/>
          <w:id w:val="184874701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color w:val="000000" w:themeColor="text1"/>
        </w:rPr>
        <w:t>币种</w:t>
      </w:r>
      <w:r>
        <w:rPr>
          <w:rFonts w:hint="eastAsia"/>
          <w:color w:val="000000" w:themeColor="text1"/>
        </w:rPr>
        <w:t>：</w:t>
      </w:r>
      <w:sdt>
        <w:sdtPr>
          <w:rPr>
            <w:rFonts w:hint="eastAsia"/>
            <w:color w:val="000000" w:themeColor="text1"/>
          </w:rPr>
          <w:alias w:val="币种：财务附注：会计报表中的投资收益项目增加"/>
          <w:tag w:val="_GBC_8976301949824df2a90aa6f83aad84f0"/>
          <w:id w:val="25371825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2350"/>
        <w:gridCol w:w="1945"/>
      </w:tblGrid>
      <w:tr w:rsidR="002D0AE7" w14:paraId="44560EB6" w14:textId="77777777">
        <w:sdt>
          <w:sdtPr>
            <w:rPr>
              <w:color w:val="000000" w:themeColor="text1"/>
              <w:sz w:val="21"/>
              <w:szCs w:val="21"/>
            </w:rPr>
            <w:tag w:val="_PLD_1263506df19847a5a86c9b873a7b7673"/>
            <w:id w:val="1441420080"/>
          </w:sdtPr>
          <w:sdtEndPr/>
          <w:sdtContent>
            <w:tc>
              <w:tcPr>
                <w:tcW w:w="2566" w:type="pct"/>
                <w:vAlign w:val="center"/>
              </w:tcPr>
              <w:p w14:paraId="3C06AD40" w14:textId="77777777" w:rsidR="002D0AE7" w:rsidRDefault="00333EBB">
                <w:pPr>
                  <w:ind w:left="420" w:hanging="420"/>
                  <w:jc w:val="center"/>
                  <w:rPr>
                    <w:rFonts w:hint="eastAsia"/>
                    <w:color w:val="000000" w:themeColor="text1"/>
                    <w:sz w:val="21"/>
                    <w:szCs w:val="21"/>
                  </w:rPr>
                </w:pPr>
                <w:r>
                  <w:rPr>
                    <w:rFonts w:hint="eastAsia"/>
                    <w:color w:val="000000" w:themeColor="text1"/>
                    <w:sz w:val="21"/>
                    <w:szCs w:val="21"/>
                  </w:rPr>
                  <w:t>项目</w:t>
                </w:r>
              </w:p>
            </w:tc>
          </w:sdtContent>
        </w:sdt>
        <w:sdt>
          <w:sdtPr>
            <w:rPr>
              <w:color w:val="000000" w:themeColor="text1"/>
              <w:sz w:val="21"/>
              <w:szCs w:val="21"/>
            </w:rPr>
            <w:tag w:val="_PLD_6da456fe7d784e789fe8204c2cc499b3"/>
            <w:id w:val="-1331907708"/>
          </w:sdtPr>
          <w:sdtEndPr/>
          <w:sdtContent>
            <w:tc>
              <w:tcPr>
                <w:tcW w:w="1332" w:type="pct"/>
                <w:vAlign w:val="center"/>
              </w:tcPr>
              <w:p w14:paraId="67314571" w14:textId="77777777" w:rsidR="002D0AE7" w:rsidRDefault="00333EBB">
                <w:pPr>
                  <w:jc w:val="center"/>
                  <w:rPr>
                    <w:rFonts w:hint="eastAsia"/>
                    <w:color w:val="000000" w:themeColor="text1"/>
                    <w:sz w:val="21"/>
                    <w:szCs w:val="21"/>
                  </w:rPr>
                </w:pPr>
                <w:r>
                  <w:rPr>
                    <w:rFonts w:hint="eastAsia"/>
                    <w:color w:val="000000" w:themeColor="text1"/>
                    <w:sz w:val="21"/>
                    <w:szCs w:val="21"/>
                  </w:rPr>
                  <w:t>本期发生额</w:t>
                </w:r>
              </w:p>
            </w:tc>
          </w:sdtContent>
        </w:sdt>
        <w:sdt>
          <w:sdtPr>
            <w:rPr>
              <w:color w:val="000000" w:themeColor="text1"/>
              <w:sz w:val="21"/>
              <w:szCs w:val="21"/>
            </w:rPr>
            <w:tag w:val="_PLD_d81207d79e9643e0a08aec2616f96432"/>
            <w:id w:val="780845786"/>
          </w:sdtPr>
          <w:sdtEndPr/>
          <w:sdtContent>
            <w:tc>
              <w:tcPr>
                <w:tcW w:w="1102" w:type="pct"/>
                <w:vAlign w:val="center"/>
              </w:tcPr>
              <w:p w14:paraId="6841EE0B" w14:textId="77777777" w:rsidR="002D0AE7" w:rsidRDefault="00333EBB">
                <w:pPr>
                  <w:jc w:val="center"/>
                  <w:rPr>
                    <w:rFonts w:hint="eastAsia"/>
                    <w:color w:val="000000" w:themeColor="text1"/>
                    <w:sz w:val="21"/>
                    <w:szCs w:val="21"/>
                  </w:rPr>
                </w:pPr>
                <w:r>
                  <w:rPr>
                    <w:rFonts w:hint="eastAsia"/>
                    <w:color w:val="000000" w:themeColor="text1"/>
                    <w:sz w:val="21"/>
                    <w:szCs w:val="21"/>
                  </w:rPr>
                  <w:t>上期发生额</w:t>
                </w:r>
              </w:p>
            </w:tc>
          </w:sdtContent>
        </w:sdt>
      </w:tr>
      <w:tr w:rsidR="002D0AE7" w14:paraId="4EC26AEA" w14:textId="77777777">
        <w:tc>
          <w:tcPr>
            <w:tcW w:w="2566" w:type="pct"/>
          </w:tcPr>
          <w:p w14:paraId="347F397B" w14:textId="77777777" w:rsidR="002D0AE7" w:rsidRDefault="00333EBB">
            <w:pPr>
              <w:rPr>
                <w:rFonts w:hint="eastAsia"/>
                <w:color w:val="000000" w:themeColor="text1"/>
                <w:sz w:val="21"/>
                <w:szCs w:val="21"/>
              </w:rPr>
            </w:pPr>
            <w:r>
              <w:rPr>
                <w:color w:val="000000" w:themeColor="text1"/>
                <w:sz w:val="21"/>
                <w:szCs w:val="21"/>
              </w:rPr>
              <w:t>成本法核算的长期股权投资收益</w:t>
            </w:r>
          </w:p>
        </w:tc>
        <w:tc>
          <w:tcPr>
            <w:tcW w:w="1332" w:type="pct"/>
            <w:vAlign w:val="center"/>
          </w:tcPr>
          <w:p w14:paraId="0FCCE39A" w14:textId="77777777" w:rsidR="002D0AE7" w:rsidRDefault="002D0AE7">
            <w:pPr>
              <w:jc w:val="right"/>
              <w:rPr>
                <w:rFonts w:ascii="Times New Roman" w:hAnsi="Times New Roman" w:cs="Times New Roman"/>
                <w:sz w:val="21"/>
                <w:szCs w:val="21"/>
              </w:rPr>
            </w:pPr>
          </w:p>
        </w:tc>
        <w:tc>
          <w:tcPr>
            <w:tcW w:w="1102" w:type="pct"/>
            <w:vAlign w:val="center"/>
          </w:tcPr>
          <w:p w14:paraId="42443C19" w14:textId="77777777" w:rsidR="002D0AE7" w:rsidRDefault="002D0AE7">
            <w:pPr>
              <w:jc w:val="right"/>
              <w:rPr>
                <w:rFonts w:ascii="Times New Roman" w:hAnsi="Times New Roman" w:cs="Times New Roman"/>
                <w:sz w:val="21"/>
                <w:szCs w:val="21"/>
              </w:rPr>
            </w:pPr>
          </w:p>
        </w:tc>
      </w:tr>
      <w:tr w:rsidR="002D0AE7" w14:paraId="6966F4E3" w14:textId="77777777">
        <w:tc>
          <w:tcPr>
            <w:tcW w:w="2566" w:type="pct"/>
          </w:tcPr>
          <w:p w14:paraId="138C7910" w14:textId="77777777" w:rsidR="002D0AE7" w:rsidRDefault="00333EBB">
            <w:pPr>
              <w:rPr>
                <w:rFonts w:hint="eastAsia"/>
                <w:color w:val="000000" w:themeColor="text1"/>
                <w:sz w:val="21"/>
                <w:szCs w:val="21"/>
              </w:rPr>
            </w:pPr>
            <w:r>
              <w:rPr>
                <w:rFonts w:hint="eastAsia"/>
                <w:color w:val="000000" w:themeColor="text1"/>
                <w:sz w:val="21"/>
                <w:szCs w:val="21"/>
              </w:rPr>
              <w:t>权益法核算的长期股权投资收益</w:t>
            </w:r>
          </w:p>
        </w:tc>
        <w:tc>
          <w:tcPr>
            <w:tcW w:w="1332" w:type="pct"/>
            <w:vAlign w:val="center"/>
          </w:tcPr>
          <w:p w14:paraId="0F0D1D6D"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1,403,664.55</w:t>
            </w:r>
          </w:p>
        </w:tc>
        <w:tc>
          <w:tcPr>
            <w:tcW w:w="1102" w:type="pct"/>
            <w:vAlign w:val="center"/>
          </w:tcPr>
          <w:p w14:paraId="052EA46F"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-289,023.62</w:t>
            </w:r>
          </w:p>
        </w:tc>
      </w:tr>
      <w:tr w:rsidR="002D0AE7" w14:paraId="42872CAC" w14:textId="77777777">
        <w:tc>
          <w:tcPr>
            <w:tcW w:w="2566" w:type="pct"/>
          </w:tcPr>
          <w:p w14:paraId="2DCD9C01" w14:textId="77777777" w:rsidR="002D0AE7" w:rsidRDefault="00333EBB">
            <w:pPr>
              <w:rPr>
                <w:rFonts w:hint="eastAsia"/>
                <w:color w:val="000000" w:themeColor="text1"/>
                <w:sz w:val="21"/>
                <w:szCs w:val="21"/>
              </w:rPr>
            </w:pPr>
            <w:r>
              <w:rPr>
                <w:rFonts w:hint="eastAsia"/>
                <w:color w:val="000000" w:themeColor="text1"/>
                <w:sz w:val="21"/>
                <w:szCs w:val="21"/>
              </w:rPr>
              <w:t>处置长期股权投资产生的投资收益</w:t>
            </w:r>
          </w:p>
        </w:tc>
        <w:tc>
          <w:tcPr>
            <w:tcW w:w="1332" w:type="pct"/>
            <w:vAlign w:val="center"/>
          </w:tcPr>
          <w:p w14:paraId="43E6AFA6"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11,751,893.81</w:t>
            </w:r>
          </w:p>
        </w:tc>
        <w:tc>
          <w:tcPr>
            <w:tcW w:w="1102" w:type="pct"/>
            <w:vAlign w:val="center"/>
          </w:tcPr>
          <w:p w14:paraId="03ED529E" w14:textId="77777777" w:rsidR="002D0AE7" w:rsidRDefault="00333EBB">
            <w:pPr>
              <w:jc w:val="right"/>
              <w:rPr>
                <w:rFonts w:ascii="Times New Roman" w:hAnsi="Times New Roman" w:cs="Times New Roman"/>
                <w:sz w:val="21"/>
                <w:szCs w:val="21"/>
              </w:rPr>
            </w:pPr>
            <w:r>
              <w:rPr>
                <w:rFonts w:ascii="Times New Roman" w:hAnsi="Times New Roman" w:cs="Times New Roman"/>
                <w:color w:val="000000"/>
                <w:sz w:val="21"/>
                <w:szCs w:val="21"/>
              </w:rPr>
              <w:t>0.00</w:t>
            </w:r>
          </w:p>
        </w:tc>
      </w:tr>
      <w:tr w:rsidR="002D0AE7" w14:paraId="3E02A06E" w14:textId="77777777">
        <w:tc>
          <w:tcPr>
            <w:tcW w:w="2566" w:type="pct"/>
          </w:tcPr>
          <w:p w14:paraId="56C9A1F1" w14:textId="77777777" w:rsidR="002D0AE7" w:rsidRDefault="00333EBB">
            <w:pPr>
              <w:rPr>
                <w:rFonts w:hint="eastAsia"/>
                <w:color w:val="000000" w:themeColor="text1"/>
                <w:sz w:val="21"/>
                <w:szCs w:val="21"/>
              </w:rPr>
            </w:pPr>
            <w:r>
              <w:rPr>
                <w:rFonts w:hint="eastAsia"/>
                <w:color w:val="000000" w:themeColor="text1"/>
                <w:sz w:val="21"/>
                <w:szCs w:val="21"/>
              </w:rPr>
              <w:t>交易性金融资产在持有期间的投资收益</w:t>
            </w:r>
          </w:p>
        </w:tc>
        <w:tc>
          <w:tcPr>
            <w:tcW w:w="1332" w:type="pct"/>
          </w:tcPr>
          <w:p w14:paraId="10568421" w14:textId="77777777" w:rsidR="002D0AE7" w:rsidRDefault="002D0AE7">
            <w:pPr>
              <w:jc w:val="right"/>
              <w:rPr>
                <w:rFonts w:ascii="Times New Roman" w:hAnsi="Times New Roman" w:cs="Times New Roman"/>
                <w:sz w:val="21"/>
                <w:szCs w:val="21"/>
              </w:rPr>
            </w:pPr>
          </w:p>
        </w:tc>
        <w:tc>
          <w:tcPr>
            <w:tcW w:w="1102" w:type="pct"/>
          </w:tcPr>
          <w:p w14:paraId="621796D7" w14:textId="77777777" w:rsidR="002D0AE7" w:rsidRDefault="002D0AE7">
            <w:pPr>
              <w:jc w:val="right"/>
              <w:rPr>
                <w:rFonts w:ascii="Times New Roman" w:hAnsi="Times New Roman" w:cs="Times New Roman"/>
                <w:sz w:val="21"/>
                <w:szCs w:val="21"/>
              </w:rPr>
            </w:pPr>
          </w:p>
        </w:tc>
      </w:tr>
      <w:tr w:rsidR="002D0AE7" w14:paraId="21CF4673" w14:textId="77777777">
        <w:tc>
          <w:tcPr>
            <w:tcW w:w="2566" w:type="pct"/>
          </w:tcPr>
          <w:p w14:paraId="05D16C23" w14:textId="77777777" w:rsidR="002D0AE7" w:rsidRDefault="00333EBB">
            <w:pPr>
              <w:rPr>
                <w:rFonts w:hint="eastAsia"/>
                <w:color w:val="000000" w:themeColor="text1"/>
                <w:sz w:val="21"/>
                <w:szCs w:val="21"/>
              </w:rPr>
            </w:pPr>
            <w:r>
              <w:rPr>
                <w:rFonts w:hint="eastAsia"/>
                <w:color w:val="000000" w:themeColor="text1"/>
                <w:sz w:val="21"/>
                <w:szCs w:val="21"/>
              </w:rPr>
              <w:t>其他权益工具投资在持有期间取得的股利收入</w:t>
            </w:r>
          </w:p>
        </w:tc>
        <w:tc>
          <w:tcPr>
            <w:tcW w:w="1332" w:type="pct"/>
          </w:tcPr>
          <w:p w14:paraId="4E2E3BD4" w14:textId="77777777" w:rsidR="002D0AE7" w:rsidRDefault="002D0AE7">
            <w:pPr>
              <w:jc w:val="right"/>
              <w:rPr>
                <w:rFonts w:ascii="Times New Roman" w:hAnsi="Times New Roman" w:cs="Times New Roman"/>
                <w:sz w:val="21"/>
                <w:szCs w:val="21"/>
              </w:rPr>
            </w:pPr>
          </w:p>
        </w:tc>
        <w:tc>
          <w:tcPr>
            <w:tcW w:w="1102" w:type="pct"/>
          </w:tcPr>
          <w:p w14:paraId="5EBA07EF" w14:textId="77777777" w:rsidR="002D0AE7" w:rsidRDefault="002D0AE7">
            <w:pPr>
              <w:jc w:val="right"/>
              <w:rPr>
                <w:rFonts w:ascii="Times New Roman" w:hAnsi="Times New Roman" w:cs="Times New Roman"/>
                <w:sz w:val="21"/>
                <w:szCs w:val="21"/>
              </w:rPr>
            </w:pPr>
          </w:p>
        </w:tc>
      </w:tr>
      <w:tr w:rsidR="002D0AE7" w14:paraId="6012F724" w14:textId="77777777">
        <w:tc>
          <w:tcPr>
            <w:tcW w:w="2566" w:type="pct"/>
          </w:tcPr>
          <w:p w14:paraId="27CE6F76" w14:textId="77777777" w:rsidR="002D0AE7" w:rsidRDefault="00333EBB">
            <w:pPr>
              <w:rPr>
                <w:rFonts w:hint="eastAsia"/>
                <w:color w:val="000000" w:themeColor="text1"/>
                <w:sz w:val="21"/>
                <w:szCs w:val="21"/>
              </w:rPr>
            </w:pPr>
            <w:r>
              <w:rPr>
                <w:rFonts w:hint="eastAsia"/>
                <w:color w:val="000000" w:themeColor="text1"/>
                <w:sz w:val="21"/>
                <w:szCs w:val="21"/>
              </w:rPr>
              <w:t>债权投资在持有期间取得的利息收入</w:t>
            </w:r>
          </w:p>
        </w:tc>
        <w:tc>
          <w:tcPr>
            <w:tcW w:w="1332" w:type="pct"/>
          </w:tcPr>
          <w:p w14:paraId="3596D8DC" w14:textId="77777777" w:rsidR="002D0AE7" w:rsidRDefault="002D0AE7">
            <w:pPr>
              <w:jc w:val="right"/>
              <w:rPr>
                <w:rFonts w:ascii="Times New Roman" w:hAnsi="Times New Roman" w:cs="Times New Roman"/>
                <w:sz w:val="21"/>
                <w:szCs w:val="21"/>
              </w:rPr>
            </w:pPr>
          </w:p>
        </w:tc>
        <w:tc>
          <w:tcPr>
            <w:tcW w:w="1102" w:type="pct"/>
          </w:tcPr>
          <w:p w14:paraId="770A4556" w14:textId="77777777" w:rsidR="002D0AE7" w:rsidRDefault="002D0AE7">
            <w:pPr>
              <w:jc w:val="right"/>
              <w:rPr>
                <w:rFonts w:ascii="Times New Roman" w:hAnsi="Times New Roman" w:cs="Times New Roman"/>
                <w:sz w:val="21"/>
                <w:szCs w:val="21"/>
              </w:rPr>
            </w:pPr>
          </w:p>
        </w:tc>
      </w:tr>
      <w:tr w:rsidR="002D0AE7" w14:paraId="19525742" w14:textId="77777777">
        <w:tc>
          <w:tcPr>
            <w:tcW w:w="2566" w:type="pct"/>
          </w:tcPr>
          <w:p w14:paraId="52A00681" w14:textId="77777777" w:rsidR="002D0AE7" w:rsidRDefault="00333EBB">
            <w:pPr>
              <w:rPr>
                <w:rFonts w:hint="eastAsia"/>
                <w:color w:val="000000" w:themeColor="text1"/>
                <w:sz w:val="21"/>
                <w:szCs w:val="21"/>
              </w:rPr>
            </w:pPr>
            <w:r>
              <w:rPr>
                <w:rFonts w:hint="eastAsia"/>
                <w:color w:val="000000" w:themeColor="text1"/>
                <w:sz w:val="21"/>
                <w:szCs w:val="21"/>
              </w:rPr>
              <w:t>其他债权投资在持有期间取得的利息收入</w:t>
            </w:r>
          </w:p>
        </w:tc>
        <w:tc>
          <w:tcPr>
            <w:tcW w:w="1332" w:type="pct"/>
          </w:tcPr>
          <w:p w14:paraId="60266851" w14:textId="77777777" w:rsidR="002D0AE7" w:rsidRDefault="002D0AE7">
            <w:pPr>
              <w:jc w:val="right"/>
              <w:rPr>
                <w:rFonts w:ascii="Times New Roman" w:hAnsi="Times New Roman" w:cs="Times New Roman"/>
                <w:sz w:val="21"/>
                <w:szCs w:val="21"/>
              </w:rPr>
            </w:pPr>
          </w:p>
        </w:tc>
        <w:tc>
          <w:tcPr>
            <w:tcW w:w="1102" w:type="pct"/>
          </w:tcPr>
          <w:p w14:paraId="3C7CC304" w14:textId="77777777" w:rsidR="002D0AE7" w:rsidRDefault="002D0AE7">
            <w:pPr>
              <w:jc w:val="right"/>
              <w:rPr>
                <w:rFonts w:ascii="Times New Roman" w:hAnsi="Times New Roman" w:cs="Times New Roman"/>
                <w:sz w:val="21"/>
                <w:szCs w:val="21"/>
              </w:rPr>
            </w:pPr>
          </w:p>
        </w:tc>
      </w:tr>
      <w:tr w:rsidR="002D0AE7" w14:paraId="59F8ADC3" w14:textId="77777777">
        <w:tc>
          <w:tcPr>
            <w:tcW w:w="2566" w:type="pct"/>
          </w:tcPr>
          <w:p w14:paraId="06EA3A8C" w14:textId="77777777" w:rsidR="002D0AE7" w:rsidRDefault="00333EBB">
            <w:pPr>
              <w:rPr>
                <w:rFonts w:hint="eastAsia"/>
                <w:color w:val="000000" w:themeColor="text1"/>
                <w:sz w:val="21"/>
                <w:szCs w:val="21"/>
              </w:rPr>
            </w:pPr>
            <w:r>
              <w:rPr>
                <w:rFonts w:hint="eastAsia"/>
                <w:color w:val="000000" w:themeColor="text1"/>
                <w:sz w:val="21"/>
                <w:szCs w:val="21"/>
              </w:rPr>
              <w:t>处置交易性金融资产取得的投资收益</w:t>
            </w:r>
          </w:p>
        </w:tc>
        <w:tc>
          <w:tcPr>
            <w:tcW w:w="1332" w:type="pct"/>
          </w:tcPr>
          <w:p w14:paraId="62D4CFD8" w14:textId="77777777" w:rsidR="002D0AE7" w:rsidRDefault="002D0AE7">
            <w:pPr>
              <w:jc w:val="right"/>
              <w:rPr>
                <w:rFonts w:ascii="Times New Roman" w:hAnsi="Times New Roman" w:cs="Times New Roman"/>
                <w:sz w:val="21"/>
                <w:szCs w:val="21"/>
              </w:rPr>
            </w:pPr>
          </w:p>
        </w:tc>
        <w:tc>
          <w:tcPr>
            <w:tcW w:w="1102" w:type="pct"/>
          </w:tcPr>
          <w:p w14:paraId="19367A25" w14:textId="77777777" w:rsidR="002D0AE7" w:rsidRDefault="002D0AE7">
            <w:pPr>
              <w:jc w:val="right"/>
              <w:rPr>
                <w:rFonts w:ascii="Times New Roman" w:hAnsi="Times New Roman" w:cs="Times New Roman"/>
                <w:sz w:val="21"/>
                <w:szCs w:val="21"/>
              </w:rPr>
            </w:pPr>
          </w:p>
        </w:tc>
      </w:tr>
      <w:tr w:rsidR="002D0AE7" w14:paraId="2955109E" w14:textId="77777777">
        <w:tc>
          <w:tcPr>
            <w:tcW w:w="2566" w:type="pct"/>
          </w:tcPr>
          <w:p w14:paraId="342F0741" w14:textId="77777777" w:rsidR="002D0AE7" w:rsidRDefault="00333EBB">
            <w:pPr>
              <w:rPr>
                <w:rFonts w:hint="eastAsia"/>
                <w:color w:val="000000" w:themeColor="text1"/>
                <w:sz w:val="21"/>
                <w:szCs w:val="21"/>
              </w:rPr>
            </w:pPr>
            <w:r>
              <w:rPr>
                <w:rFonts w:hint="eastAsia"/>
                <w:color w:val="000000" w:themeColor="text1"/>
                <w:sz w:val="21"/>
                <w:szCs w:val="21"/>
              </w:rPr>
              <w:t>处置其他权益工具投资取得的投资收益</w:t>
            </w:r>
          </w:p>
        </w:tc>
        <w:tc>
          <w:tcPr>
            <w:tcW w:w="1332" w:type="pct"/>
          </w:tcPr>
          <w:p w14:paraId="0B36144B" w14:textId="77777777" w:rsidR="002D0AE7" w:rsidRDefault="002D0AE7">
            <w:pPr>
              <w:jc w:val="right"/>
              <w:rPr>
                <w:rFonts w:ascii="Times New Roman" w:hAnsi="Times New Roman" w:cs="Times New Roman"/>
                <w:sz w:val="21"/>
                <w:szCs w:val="21"/>
              </w:rPr>
            </w:pPr>
          </w:p>
        </w:tc>
        <w:tc>
          <w:tcPr>
            <w:tcW w:w="1102" w:type="pct"/>
          </w:tcPr>
          <w:p w14:paraId="34B54642" w14:textId="77777777" w:rsidR="002D0AE7" w:rsidRDefault="002D0AE7">
            <w:pPr>
              <w:jc w:val="right"/>
              <w:rPr>
                <w:rFonts w:ascii="Times New Roman" w:hAnsi="Times New Roman" w:cs="Times New Roman"/>
                <w:sz w:val="21"/>
                <w:szCs w:val="21"/>
              </w:rPr>
            </w:pPr>
          </w:p>
        </w:tc>
      </w:tr>
      <w:tr w:rsidR="002D0AE7" w14:paraId="380CC862" w14:textId="77777777">
        <w:tc>
          <w:tcPr>
            <w:tcW w:w="2566" w:type="pct"/>
          </w:tcPr>
          <w:p w14:paraId="3F6B518B" w14:textId="77777777" w:rsidR="002D0AE7" w:rsidRDefault="00333EBB">
            <w:pPr>
              <w:rPr>
                <w:rFonts w:hint="eastAsia"/>
                <w:color w:val="000000" w:themeColor="text1"/>
                <w:sz w:val="21"/>
                <w:szCs w:val="21"/>
              </w:rPr>
            </w:pPr>
            <w:r>
              <w:rPr>
                <w:rFonts w:hint="eastAsia"/>
                <w:color w:val="000000" w:themeColor="text1"/>
                <w:sz w:val="21"/>
                <w:szCs w:val="21"/>
              </w:rPr>
              <w:t>处置债权投资取得的投资收益</w:t>
            </w:r>
          </w:p>
        </w:tc>
        <w:tc>
          <w:tcPr>
            <w:tcW w:w="1332" w:type="pct"/>
          </w:tcPr>
          <w:p w14:paraId="13241AAA" w14:textId="77777777" w:rsidR="002D0AE7" w:rsidRDefault="002D0AE7">
            <w:pPr>
              <w:jc w:val="right"/>
              <w:rPr>
                <w:rFonts w:ascii="Times New Roman" w:hAnsi="Times New Roman" w:cs="Times New Roman"/>
                <w:sz w:val="21"/>
                <w:szCs w:val="21"/>
              </w:rPr>
            </w:pPr>
          </w:p>
        </w:tc>
        <w:tc>
          <w:tcPr>
            <w:tcW w:w="1102" w:type="pct"/>
          </w:tcPr>
          <w:p w14:paraId="6B1FA513" w14:textId="77777777" w:rsidR="002D0AE7" w:rsidRDefault="002D0AE7">
            <w:pPr>
              <w:jc w:val="right"/>
              <w:rPr>
                <w:rFonts w:ascii="Times New Roman" w:hAnsi="Times New Roman" w:cs="Times New Roman"/>
                <w:sz w:val="21"/>
                <w:szCs w:val="21"/>
              </w:rPr>
            </w:pPr>
          </w:p>
        </w:tc>
      </w:tr>
      <w:tr w:rsidR="002D0AE7" w14:paraId="4882D241" w14:textId="77777777">
        <w:tc>
          <w:tcPr>
            <w:tcW w:w="2566" w:type="pct"/>
            <w:tcBorders>
              <w:bottom w:val="single" w:sz="4" w:space="0" w:color="auto"/>
            </w:tcBorders>
          </w:tcPr>
          <w:p w14:paraId="5D702274" w14:textId="77777777" w:rsidR="002D0AE7" w:rsidRDefault="00333EBB">
            <w:pPr>
              <w:rPr>
                <w:rFonts w:hint="eastAsia"/>
                <w:color w:val="000000" w:themeColor="text1"/>
                <w:sz w:val="21"/>
                <w:szCs w:val="21"/>
              </w:rPr>
            </w:pPr>
            <w:r>
              <w:rPr>
                <w:rFonts w:hint="eastAsia"/>
                <w:color w:val="000000" w:themeColor="text1"/>
                <w:sz w:val="21"/>
                <w:szCs w:val="21"/>
              </w:rPr>
              <w:t>处置其他债权投资取得的投资收益</w:t>
            </w:r>
          </w:p>
        </w:tc>
        <w:tc>
          <w:tcPr>
            <w:tcW w:w="1332" w:type="pct"/>
            <w:tcBorders>
              <w:bottom w:val="single" w:sz="4" w:space="0" w:color="auto"/>
            </w:tcBorders>
          </w:tcPr>
          <w:p w14:paraId="31E6A797" w14:textId="77777777" w:rsidR="002D0AE7" w:rsidRDefault="002D0AE7">
            <w:pPr>
              <w:jc w:val="right"/>
              <w:rPr>
                <w:rFonts w:ascii="Times New Roman" w:hAnsi="Times New Roman" w:cs="Times New Roman"/>
                <w:sz w:val="21"/>
                <w:szCs w:val="21"/>
              </w:rPr>
            </w:pPr>
          </w:p>
        </w:tc>
        <w:tc>
          <w:tcPr>
            <w:tcW w:w="1102" w:type="pct"/>
            <w:tcBorders>
              <w:bottom w:val="single" w:sz="4" w:space="0" w:color="auto"/>
            </w:tcBorders>
          </w:tcPr>
          <w:p w14:paraId="78B81176" w14:textId="77777777" w:rsidR="002D0AE7" w:rsidRDefault="002D0AE7">
            <w:pPr>
              <w:jc w:val="right"/>
              <w:rPr>
                <w:rFonts w:ascii="Times New Roman" w:hAnsi="Times New Roman" w:cs="Times New Roman"/>
                <w:sz w:val="21"/>
                <w:szCs w:val="21"/>
              </w:rPr>
            </w:pPr>
          </w:p>
        </w:tc>
      </w:tr>
      <w:tr w:rsidR="002D0AE7" w14:paraId="50A70221" w14:textId="77777777">
        <w:tc>
          <w:tcPr>
            <w:tcW w:w="2566" w:type="pct"/>
            <w:tcBorders>
              <w:bottom w:val="single" w:sz="4" w:space="0" w:color="auto"/>
            </w:tcBorders>
          </w:tcPr>
          <w:p w14:paraId="5DC8E127" w14:textId="77777777" w:rsidR="002D0AE7" w:rsidRDefault="00333EBB">
            <w:pPr>
              <w:rPr>
                <w:rFonts w:hint="eastAsia"/>
                <w:color w:val="000000" w:themeColor="text1"/>
                <w:sz w:val="21"/>
                <w:szCs w:val="21"/>
              </w:rPr>
            </w:pPr>
            <w:r>
              <w:rPr>
                <w:rFonts w:hint="eastAsia"/>
                <w:color w:val="000000" w:themeColor="text1"/>
                <w:sz w:val="21"/>
                <w:szCs w:val="21"/>
              </w:rPr>
              <w:t>债务重组收益</w:t>
            </w:r>
          </w:p>
        </w:tc>
        <w:tc>
          <w:tcPr>
            <w:tcW w:w="1332" w:type="pct"/>
            <w:tcBorders>
              <w:bottom w:val="single" w:sz="4" w:space="0" w:color="auto"/>
            </w:tcBorders>
          </w:tcPr>
          <w:p w14:paraId="7E727154" w14:textId="77777777" w:rsidR="002D0AE7" w:rsidRDefault="002D0AE7">
            <w:pPr>
              <w:jc w:val="right"/>
              <w:rPr>
                <w:rFonts w:ascii="Times New Roman" w:hAnsi="Times New Roman" w:cs="Times New Roman"/>
                <w:sz w:val="21"/>
                <w:szCs w:val="21"/>
              </w:rPr>
            </w:pPr>
          </w:p>
        </w:tc>
        <w:tc>
          <w:tcPr>
            <w:tcW w:w="1102" w:type="pct"/>
            <w:tcBorders>
              <w:bottom w:val="single" w:sz="4" w:space="0" w:color="auto"/>
            </w:tcBorders>
          </w:tcPr>
          <w:p w14:paraId="07728D65" w14:textId="77777777" w:rsidR="002D0AE7" w:rsidRDefault="002D0AE7">
            <w:pPr>
              <w:jc w:val="right"/>
              <w:rPr>
                <w:rFonts w:ascii="Times New Roman" w:hAnsi="Times New Roman" w:cs="Times New Roman"/>
                <w:sz w:val="21"/>
                <w:szCs w:val="21"/>
              </w:rPr>
            </w:pPr>
          </w:p>
        </w:tc>
      </w:tr>
      <w:tr w:rsidR="002D0AE7" w14:paraId="315F9B99" w14:textId="77777777">
        <w:tc>
          <w:tcPr>
            <w:tcW w:w="2566" w:type="pct"/>
            <w:vAlign w:val="center"/>
          </w:tcPr>
          <w:p w14:paraId="32098CCC" w14:textId="77777777" w:rsidR="002D0AE7" w:rsidRDefault="00333EBB">
            <w:pPr>
              <w:jc w:val="center"/>
              <w:rPr>
                <w:rFonts w:hint="eastAsia"/>
                <w:color w:val="000000" w:themeColor="text1"/>
                <w:sz w:val="21"/>
                <w:szCs w:val="21"/>
              </w:rPr>
            </w:pPr>
            <w:r>
              <w:rPr>
                <w:rFonts w:hint="eastAsia"/>
                <w:color w:val="000000" w:themeColor="text1"/>
                <w:sz w:val="21"/>
                <w:szCs w:val="21"/>
              </w:rPr>
              <w:t>合计</w:t>
            </w:r>
          </w:p>
        </w:tc>
        <w:tc>
          <w:tcPr>
            <w:tcW w:w="1332" w:type="pct"/>
            <w:vAlign w:val="center"/>
          </w:tcPr>
          <w:p w14:paraId="336B3BA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13,155,558.36</w:t>
            </w:r>
          </w:p>
        </w:tc>
        <w:tc>
          <w:tcPr>
            <w:tcW w:w="1102" w:type="pct"/>
            <w:vAlign w:val="center"/>
          </w:tcPr>
          <w:p w14:paraId="33DC9C29"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-289,023.62</w:t>
            </w:r>
          </w:p>
        </w:tc>
      </w:tr>
    </w:tbl>
    <w:bookmarkEnd w:id="292"/>
    <w:p w14:paraId="3BE11A18" w14:textId="77777777" w:rsidR="002D0AE7" w:rsidRDefault="00333EBB">
      <w:pPr>
        <w:pStyle w:val="2"/>
        <w:numPr>
          <w:ilvl w:val="0"/>
          <w:numId w:val="34"/>
        </w:numPr>
        <w:ind w:left="482" w:hanging="482"/>
        <w:rPr>
          <w:rFonts w:ascii="宋体" w:hAnsi="宋体" w:hint="eastAsia"/>
          <w:color w:val="000000" w:themeColor="text1"/>
        </w:rPr>
      </w:pPr>
      <w:r>
        <w:rPr>
          <w:rFonts w:ascii="宋体" w:hAnsi="宋体" w:hint="eastAsia"/>
          <w:color w:val="000000" w:themeColor="text1"/>
        </w:rPr>
        <w:t>补充资料</w:t>
      </w:r>
    </w:p>
    <w:p w14:paraId="45B2D892" w14:textId="77777777" w:rsidR="002D0AE7" w:rsidRDefault="00333EBB">
      <w:pPr>
        <w:pStyle w:val="3"/>
        <w:numPr>
          <w:ilvl w:val="0"/>
          <w:numId w:val="97"/>
        </w:numPr>
        <w:rPr>
          <w:rFonts w:ascii="宋体" w:hAnsi="宋体" w:hint="eastAsia"/>
          <w:color w:val="000000" w:themeColor="text1"/>
          <w:szCs w:val="21"/>
        </w:rPr>
      </w:pPr>
      <w:bookmarkStart w:id="293" w:name="_Hlk152579827"/>
      <w:bookmarkStart w:id="294" w:name="_Hlk535584690"/>
      <w:bookmarkStart w:id="295" w:name="_Hlk168057952"/>
      <w:r>
        <w:rPr>
          <w:rFonts w:ascii="宋体" w:hAnsi="宋体" w:hint="eastAsia"/>
          <w:color w:val="000000" w:themeColor="text1"/>
          <w:szCs w:val="21"/>
        </w:rPr>
        <w:t>当期非经常性损益明细表</w:t>
      </w:r>
    </w:p>
    <w:sdt>
      <w:sdtPr>
        <w:rPr>
          <w:color w:val="000000" w:themeColor="text1"/>
        </w:rPr>
        <w:alias w:val="是否适用：当期非经常性损益明细表[双击切换]"/>
        <w:tag w:val="_GBC_28c90d0fec4248b7be00ea74910120f8"/>
        <w:id w:val="1184018971"/>
        <w:placeholder>
          <w:docPart w:val="GBC22222222222222222222222222222"/>
        </w:placeholder>
      </w:sdtPr>
      <w:sdtEndPr/>
      <w:sdtContent>
        <w:p w14:paraId="792B284F"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07B665A6" w14:textId="77777777" w:rsidR="002D0AE7" w:rsidRDefault="00333EBB">
      <w:pPr>
        <w:jc w:val="right"/>
        <w:rPr>
          <w:rFonts w:hint="eastAsia"/>
          <w:color w:val="000000" w:themeColor="text1"/>
        </w:rPr>
      </w:pPr>
      <w:r>
        <w:rPr>
          <w:rFonts w:hint="eastAsia"/>
          <w:color w:val="000000" w:themeColor="text1"/>
        </w:rPr>
        <w:t>单位：</w:t>
      </w:r>
      <w:sdt>
        <w:sdtPr>
          <w:rPr>
            <w:rFonts w:hint="eastAsia"/>
            <w:color w:val="000000" w:themeColor="text1"/>
          </w:rPr>
          <w:alias w:val="单位：扣除非经常性损益项目和金额"/>
          <w:tag w:val="_GBC_acdddcaac70249d2a73e5ac878d6874b"/>
          <w:id w:val="343522066"/>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000000" w:themeColor="text1"/>
            </w:rPr>
            <w:t>元</w:t>
          </w:r>
        </w:sdtContent>
      </w:sdt>
      <w:r>
        <w:rPr>
          <w:rFonts w:hint="eastAsia"/>
          <w:color w:val="000000" w:themeColor="text1"/>
        </w:rPr>
        <w:t>币种：</w:t>
      </w:r>
      <w:sdt>
        <w:sdtPr>
          <w:rPr>
            <w:rFonts w:hint="eastAsia"/>
            <w:color w:val="000000" w:themeColor="text1"/>
          </w:rPr>
          <w:alias w:val="币种：扣除非经常性损益项目和金额"/>
          <w:tag w:val="_GBC_84f107bd64a74a689cd74b834aaa0b17"/>
          <w:id w:val="108318114"/>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000000" w:themeColor="text1"/>
            </w:rPr>
            <w:t>人民币</w:t>
          </w:r>
        </w:sdtContent>
      </w:sdt>
    </w:p>
    <w:tbl>
      <w:tblPr>
        <w:tblW w:w="5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381"/>
        <w:gridCol w:w="426"/>
      </w:tblGrid>
      <w:tr w:rsidR="002D0AE7" w14:paraId="1C9EC1B4" w14:textId="77777777">
        <w:trPr>
          <w:jc w:val="center"/>
        </w:trPr>
        <w:sdt>
          <w:sdtPr>
            <w:rPr>
              <w:rFonts w:ascii="Times New Roman" w:hAnsi="Times New Roman"/>
            </w:rPr>
            <w:tag w:val="_PLD_eb975916b80e49408e340b80d53082be"/>
            <w:id w:val="838746387"/>
          </w:sdtPr>
          <w:sdtEndPr/>
          <w:sdtContent>
            <w:tc>
              <w:tcPr>
                <w:tcW w:w="4121" w:type="pct"/>
                <w:vAlign w:val="center"/>
              </w:tcPr>
              <w:p w14:paraId="7B664A06" w14:textId="77777777" w:rsidR="002D0AE7" w:rsidRDefault="00333EBB">
                <w:pPr>
                  <w:pStyle w:val="11"/>
                  <w:rPr>
                    <w:rFonts w:hint="eastAsia"/>
                  </w:rPr>
                </w:pPr>
                <w:r>
                  <w:rPr>
                    <w:rFonts w:hint="eastAsia"/>
                  </w:rPr>
                  <w:t>项目</w:t>
                </w:r>
              </w:p>
            </w:tc>
          </w:sdtContent>
        </w:sdt>
        <w:sdt>
          <w:sdtPr>
            <w:rPr>
              <w:rFonts w:ascii="Times New Roman" w:hAnsi="Times New Roman"/>
            </w:rPr>
            <w:tag w:val="_PLD_871069ab0242459987d2cd8153c439e3"/>
            <w:id w:val="-1215269182"/>
          </w:sdtPr>
          <w:sdtEndPr/>
          <w:sdtContent>
            <w:tc>
              <w:tcPr>
                <w:tcW w:w="672" w:type="pct"/>
                <w:vAlign w:val="center"/>
              </w:tcPr>
              <w:p w14:paraId="1E32B547" w14:textId="77777777" w:rsidR="002D0AE7" w:rsidRDefault="00333EBB">
                <w:pPr>
                  <w:pStyle w:val="11"/>
                  <w:rPr>
                    <w:rFonts w:hint="eastAsia"/>
                  </w:rPr>
                </w:pPr>
                <w:r>
                  <w:rPr>
                    <w:rFonts w:hint="eastAsia"/>
                  </w:rPr>
                  <w:t>金额</w:t>
                </w:r>
              </w:p>
            </w:tc>
          </w:sdtContent>
        </w:sdt>
        <w:sdt>
          <w:sdtPr>
            <w:rPr>
              <w:rFonts w:ascii="Times New Roman" w:hAnsi="Times New Roman"/>
            </w:rPr>
            <w:tag w:val="_PLD_2b6844f78d7043ca94a5b478c9729ca8"/>
            <w:id w:val="1313610862"/>
          </w:sdtPr>
          <w:sdtEndPr/>
          <w:sdtContent>
            <w:tc>
              <w:tcPr>
                <w:tcW w:w="207" w:type="pct"/>
                <w:vAlign w:val="center"/>
              </w:tcPr>
              <w:p w14:paraId="1A612A41" w14:textId="77777777" w:rsidR="002D0AE7" w:rsidRDefault="00333EBB">
                <w:pPr>
                  <w:pStyle w:val="11"/>
                  <w:rPr>
                    <w:rFonts w:hint="eastAsia"/>
                  </w:rPr>
                </w:pPr>
                <w:r>
                  <w:rPr>
                    <w:rFonts w:hint="eastAsia"/>
                  </w:rPr>
                  <w:t>说明</w:t>
                </w:r>
              </w:p>
            </w:tc>
          </w:sdtContent>
        </w:sdt>
      </w:tr>
      <w:tr w:rsidR="002D0AE7" w14:paraId="7AD6D26D" w14:textId="77777777">
        <w:trPr>
          <w:jc w:val="center"/>
        </w:trPr>
        <w:tc>
          <w:tcPr>
            <w:tcW w:w="4121" w:type="pct"/>
          </w:tcPr>
          <w:p w14:paraId="1179D1D0" w14:textId="77777777" w:rsidR="002D0AE7" w:rsidRDefault="00333EBB">
            <w:pPr>
              <w:pStyle w:val="11"/>
              <w:rPr>
                <w:rFonts w:hint="eastAsia"/>
              </w:rPr>
            </w:pPr>
            <w:r>
              <w:t>非流动</w:t>
            </w:r>
            <w:r>
              <w:rPr>
                <w:rFonts w:hint="eastAsia"/>
              </w:rPr>
              <w:t>性</w:t>
            </w:r>
            <w:r>
              <w:t>资产处置损益</w:t>
            </w:r>
            <w:r>
              <w:rPr>
                <w:rFonts w:hint="eastAsia"/>
              </w:rPr>
              <w:t>，包括已计提资产减值准备的冲销部分</w:t>
            </w:r>
          </w:p>
        </w:tc>
        <w:tc>
          <w:tcPr>
            <w:tcW w:w="672" w:type="pct"/>
            <w:vAlign w:val="center"/>
          </w:tcPr>
          <w:p w14:paraId="0972CD9E"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-194,484.96</w:t>
            </w:r>
          </w:p>
        </w:tc>
        <w:tc>
          <w:tcPr>
            <w:tcW w:w="207" w:type="pct"/>
            <w:vAlign w:val="center"/>
          </w:tcPr>
          <w:p w14:paraId="1446CA98" w14:textId="77777777" w:rsidR="002D0AE7" w:rsidRDefault="00333EBB">
            <w:pPr>
              <w:rPr>
                <w:rFonts w:ascii="Times New Roman" w:hAnsi="Times New Roman"/>
                <w:color w:val="000000" w:themeColor="text1"/>
                <w:sz w:val="21"/>
                <w:szCs w:val="21"/>
              </w:rPr>
            </w:pPr>
            <w:r>
              <w:rPr>
                <w:rFonts w:ascii="Times New Roman" w:hAnsi="Times New Roman" w:hint="eastAsia"/>
                <w:color w:val="000000" w:themeColor="text1"/>
                <w:sz w:val="21"/>
                <w:szCs w:val="21"/>
              </w:rPr>
              <w:t xml:space="preserve">　</w:t>
            </w:r>
          </w:p>
        </w:tc>
      </w:tr>
      <w:tr w:rsidR="002D0AE7" w14:paraId="5DFD425B" w14:textId="77777777">
        <w:trPr>
          <w:jc w:val="center"/>
        </w:trPr>
        <w:tc>
          <w:tcPr>
            <w:tcW w:w="4121" w:type="pct"/>
          </w:tcPr>
          <w:p w14:paraId="1E539C0E" w14:textId="77777777" w:rsidR="002D0AE7" w:rsidRDefault="00333EBB">
            <w:pPr>
              <w:pStyle w:val="11"/>
              <w:rPr>
                <w:rFonts w:hint="eastAsia"/>
              </w:rPr>
            </w:pPr>
            <w:r>
              <w:t>计入当期损益的政府补助</w:t>
            </w:r>
            <w:r>
              <w:rPr>
                <w:rFonts w:hint="eastAsia"/>
              </w:rPr>
              <w:t>，但与公司正常经营业务密切相关、符合国家政策规定、按照确定的标准享有、对公司损益产生持续影响的政府补助除外</w:t>
            </w:r>
          </w:p>
        </w:tc>
        <w:tc>
          <w:tcPr>
            <w:tcW w:w="672" w:type="pct"/>
            <w:vAlign w:val="center"/>
          </w:tcPr>
          <w:p w14:paraId="089693B0"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2,562,944.16</w:t>
            </w:r>
          </w:p>
        </w:tc>
        <w:tc>
          <w:tcPr>
            <w:tcW w:w="207" w:type="pct"/>
            <w:vAlign w:val="center"/>
          </w:tcPr>
          <w:p w14:paraId="13AC8F2C" w14:textId="77777777" w:rsidR="002D0AE7" w:rsidRDefault="00333EBB">
            <w:pPr>
              <w:rPr>
                <w:rFonts w:ascii="Times New Roman" w:hAnsi="Times New Roman"/>
                <w:color w:val="000000" w:themeColor="text1"/>
                <w:sz w:val="21"/>
                <w:szCs w:val="21"/>
              </w:rPr>
            </w:pPr>
            <w:r>
              <w:rPr>
                <w:rFonts w:ascii="Times New Roman" w:hAnsi="Times New Roman" w:hint="eastAsia"/>
                <w:color w:val="000000" w:themeColor="text1"/>
                <w:sz w:val="21"/>
                <w:szCs w:val="21"/>
              </w:rPr>
              <w:t xml:space="preserve">　</w:t>
            </w:r>
          </w:p>
        </w:tc>
      </w:tr>
      <w:tr w:rsidR="002D0AE7" w14:paraId="32A18639" w14:textId="77777777">
        <w:trPr>
          <w:jc w:val="center"/>
        </w:trPr>
        <w:tc>
          <w:tcPr>
            <w:tcW w:w="4121" w:type="pct"/>
          </w:tcPr>
          <w:p w14:paraId="57E77FD0" w14:textId="77777777" w:rsidR="002D0AE7" w:rsidRDefault="00333EBB">
            <w:pPr>
              <w:pStyle w:val="11"/>
              <w:rPr>
                <w:rFonts w:hint="eastAsia"/>
              </w:rPr>
            </w:pPr>
            <w:r>
              <w:rPr>
                <w:rFonts w:hint="eastAsia"/>
              </w:rPr>
              <w:t>除同公司正常经营业务相关的有效套期保值业务外，</w:t>
            </w:r>
            <w:r>
              <w:t>非金融企业持有金融资产和金融负债产生的公允价值变动损益以及处置金融资产和金融负债产生的损益</w:t>
            </w:r>
          </w:p>
        </w:tc>
        <w:tc>
          <w:tcPr>
            <w:tcW w:w="672" w:type="pct"/>
            <w:vAlign w:val="center"/>
          </w:tcPr>
          <w:p w14:paraId="671F37D6" w14:textId="77777777" w:rsidR="002D0AE7" w:rsidRDefault="002D0AE7">
            <w:pPr>
              <w:jc w:val="right"/>
              <w:rPr>
                <w:rFonts w:ascii="Times New Roman" w:hAnsi="Times New Roman" w:cs="Times New Roman"/>
                <w:color w:val="000000" w:themeColor="text1"/>
                <w:sz w:val="21"/>
                <w:szCs w:val="21"/>
              </w:rPr>
            </w:pPr>
          </w:p>
        </w:tc>
        <w:tc>
          <w:tcPr>
            <w:tcW w:w="207" w:type="pct"/>
            <w:vAlign w:val="center"/>
          </w:tcPr>
          <w:p w14:paraId="33ADEE73" w14:textId="77777777" w:rsidR="002D0AE7" w:rsidRDefault="00333EBB">
            <w:pPr>
              <w:rPr>
                <w:rFonts w:ascii="Times New Roman" w:hAnsi="Times New Roman"/>
                <w:color w:val="000000" w:themeColor="text1"/>
                <w:sz w:val="21"/>
                <w:szCs w:val="21"/>
              </w:rPr>
            </w:pPr>
            <w:r>
              <w:rPr>
                <w:rFonts w:ascii="Times New Roman" w:hAnsi="Times New Roman" w:hint="eastAsia"/>
                <w:color w:val="000000" w:themeColor="text1"/>
                <w:sz w:val="21"/>
                <w:szCs w:val="21"/>
              </w:rPr>
              <w:t xml:space="preserve">　</w:t>
            </w:r>
          </w:p>
        </w:tc>
      </w:tr>
      <w:tr w:rsidR="002D0AE7" w14:paraId="2AEA29FF" w14:textId="77777777">
        <w:trPr>
          <w:jc w:val="center"/>
        </w:trPr>
        <w:tc>
          <w:tcPr>
            <w:tcW w:w="4121" w:type="pct"/>
          </w:tcPr>
          <w:p w14:paraId="79A70761" w14:textId="77777777" w:rsidR="002D0AE7" w:rsidRDefault="00333EBB">
            <w:pPr>
              <w:pStyle w:val="11"/>
              <w:rPr>
                <w:rFonts w:hint="eastAsia"/>
              </w:rPr>
            </w:pPr>
            <w:r>
              <w:t>计入当期损益的对非金融企业收取的资金占用费</w:t>
            </w:r>
          </w:p>
        </w:tc>
        <w:tc>
          <w:tcPr>
            <w:tcW w:w="672" w:type="pct"/>
            <w:vAlign w:val="center"/>
          </w:tcPr>
          <w:p w14:paraId="17D309CE" w14:textId="77777777" w:rsidR="002D0AE7" w:rsidRDefault="002D0AE7">
            <w:pPr>
              <w:jc w:val="right"/>
              <w:rPr>
                <w:rFonts w:ascii="Times New Roman" w:hAnsi="Times New Roman" w:cs="Times New Roman"/>
                <w:color w:val="000000" w:themeColor="text1"/>
                <w:sz w:val="21"/>
                <w:szCs w:val="21"/>
              </w:rPr>
            </w:pPr>
          </w:p>
        </w:tc>
        <w:tc>
          <w:tcPr>
            <w:tcW w:w="207" w:type="pct"/>
            <w:vAlign w:val="center"/>
          </w:tcPr>
          <w:p w14:paraId="162BD72A" w14:textId="77777777" w:rsidR="002D0AE7" w:rsidRDefault="00333EBB">
            <w:pPr>
              <w:rPr>
                <w:rFonts w:ascii="Times New Roman" w:hAnsi="Times New Roman"/>
                <w:color w:val="000000" w:themeColor="text1"/>
                <w:sz w:val="21"/>
                <w:szCs w:val="21"/>
              </w:rPr>
            </w:pPr>
            <w:r>
              <w:rPr>
                <w:rFonts w:ascii="Times New Roman" w:hAnsi="Times New Roman" w:hint="eastAsia"/>
                <w:color w:val="000000" w:themeColor="text1"/>
                <w:sz w:val="21"/>
                <w:szCs w:val="21"/>
              </w:rPr>
              <w:t xml:space="preserve">　</w:t>
            </w:r>
          </w:p>
        </w:tc>
      </w:tr>
      <w:tr w:rsidR="002D0AE7" w14:paraId="2DAA43FF" w14:textId="77777777">
        <w:trPr>
          <w:jc w:val="center"/>
        </w:trPr>
        <w:tc>
          <w:tcPr>
            <w:tcW w:w="4121" w:type="pct"/>
          </w:tcPr>
          <w:p w14:paraId="7459D6E7" w14:textId="77777777" w:rsidR="002D0AE7" w:rsidRDefault="00333EBB">
            <w:pPr>
              <w:pStyle w:val="11"/>
              <w:rPr>
                <w:rFonts w:hint="eastAsia"/>
              </w:rPr>
            </w:pPr>
            <w:r>
              <w:t>委托他人投资或管理资产的损益</w:t>
            </w:r>
          </w:p>
        </w:tc>
        <w:tc>
          <w:tcPr>
            <w:tcW w:w="672" w:type="pct"/>
            <w:vAlign w:val="center"/>
          </w:tcPr>
          <w:p w14:paraId="35964FC2" w14:textId="77777777" w:rsidR="002D0AE7" w:rsidRDefault="002D0AE7">
            <w:pPr>
              <w:jc w:val="right"/>
              <w:rPr>
                <w:rFonts w:ascii="Times New Roman" w:hAnsi="Times New Roman" w:cs="Times New Roman"/>
                <w:color w:val="000000" w:themeColor="text1"/>
                <w:sz w:val="21"/>
                <w:szCs w:val="21"/>
              </w:rPr>
            </w:pPr>
          </w:p>
        </w:tc>
        <w:tc>
          <w:tcPr>
            <w:tcW w:w="207" w:type="pct"/>
            <w:vAlign w:val="center"/>
          </w:tcPr>
          <w:p w14:paraId="627E986C" w14:textId="77777777" w:rsidR="002D0AE7" w:rsidRDefault="00333EBB">
            <w:pPr>
              <w:rPr>
                <w:rFonts w:ascii="Times New Roman" w:hAnsi="Times New Roman"/>
                <w:color w:val="000000" w:themeColor="text1"/>
                <w:sz w:val="21"/>
                <w:szCs w:val="21"/>
              </w:rPr>
            </w:pPr>
            <w:r>
              <w:rPr>
                <w:rFonts w:ascii="Times New Roman" w:hAnsi="Times New Roman" w:hint="eastAsia"/>
                <w:color w:val="000000" w:themeColor="text1"/>
                <w:sz w:val="21"/>
                <w:szCs w:val="21"/>
              </w:rPr>
              <w:t xml:space="preserve">　</w:t>
            </w:r>
          </w:p>
        </w:tc>
      </w:tr>
      <w:tr w:rsidR="002D0AE7" w14:paraId="5EE2E399" w14:textId="77777777">
        <w:trPr>
          <w:jc w:val="center"/>
        </w:trPr>
        <w:tc>
          <w:tcPr>
            <w:tcW w:w="4121" w:type="pct"/>
          </w:tcPr>
          <w:p w14:paraId="77FF6287" w14:textId="77777777" w:rsidR="002D0AE7" w:rsidRDefault="00333EBB">
            <w:pPr>
              <w:pStyle w:val="11"/>
              <w:rPr>
                <w:rFonts w:hint="eastAsia"/>
              </w:rPr>
            </w:pPr>
            <w:r>
              <w:t>对外委托贷款取得的损益</w:t>
            </w:r>
          </w:p>
        </w:tc>
        <w:tc>
          <w:tcPr>
            <w:tcW w:w="672" w:type="pct"/>
            <w:vAlign w:val="center"/>
          </w:tcPr>
          <w:p w14:paraId="1B73CD88" w14:textId="77777777" w:rsidR="002D0AE7" w:rsidRDefault="002D0AE7">
            <w:pPr>
              <w:jc w:val="right"/>
              <w:rPr>
                <w:rFonts w:ascii="Times New Roman" w:hAnsi="Times New Roman" w:cs="Times New Roman"/>
                <w:color w:val="000000" w:themeColor="text1"/>
                <w:sz w:val="21"/>
                <w:szCs w:val="21"/>
              </w:rPr>
            </w:pPr>
          </w:p>
        </w:tc>
        <w:tc>
          <w:tcPr>
            <w:tcW w:w="207" w:type="pct"/>
            <w:vAlign w:val="center"/>
          </w:tcPr>
          <w:p w14:paraId="44A090E1" w14:textId="77777777" w:rsidR="002D0AE7" w:rsidRDefault="00333EBB">
            <w:pPr>
              <w:rPr>
                <w:rFonts w:ascii="Times New Roman" w:hAnsi="Times New Roman"/>
                <w:color w:val="000000" w:themeColor="text1"/>
                <w:sz w:val="21"/>
                <w:szCs w:val="21"/>
              </w:rPr>
            </w:pPr>
            <w:r>
              <w:rPr>
                <w:rFonts w:ascii="Times New Roman" w:hAnsi="Times New Roman" w:hint="eastAsia"/>
                <w:color w:val="000000" w:themeColor="text1"/>
                <w:sz w:val="21"/>
                <w:szCs w:val="21"/>
              </w:rPr>
              <w:t xml:space="preserve">　</w:t>
            </w:r>
          </w:p>
        </w:tc>
      </w:tr>
      <w:tr w:rsidR="002D0AE7" w14:paraId="6FC7BB7C" w14:textId="77777777">
        <w:trPr>
          <w:jc w:val="center"/>
        </w:trPr>
        <w:tc>
          <w:tcPr>
            <w:tcW w:w="4121" w:type="pct"/>
          </w:tcPr>
          <w:p w14:paraId="414258F2" w14:textId="77777777" w:rsidR="002D0AE7" w:rsidRDefault="00333EBB">
            <w:pPr>
              <w:pStyle w:val="11"/>
              <w:rPr>
                <w:rFonts w:hint="eastAsia"/>
              </w:rPr>
            </w:pPr>
            <w:r>
              <w:t>因不可抗力因</w:t>
            </w:r>
            <w:r>
              <w:rPr>
                <w:rFonts w:hint="eastAsia"/>
              </w:rPr>
              <w:t>素，如遭受自然灾害而产生的各项资产损失</w:t>
            </w:r>
          </w:p>
        </w:tc>
        <w:tc>
          <w:tcPr>
            <w:tcW w:w="672" w:type="pct"/>
            <w:vAlign w:val="center"/>
          </w:tcPr>
          <w:p w14:paraId="295B1920" w14:textId="77777777" w:rsidR="002D0AE7" w:rsidRDefault="002D0AE7">
            <w:pPr>
              <w:jc w:val="right"/>
              <w:rPr>
                <w:rFonts w:ascii="Times New Roman" w:hAnsi="Times New Roman" w:cs="Times New Roman"/>
                <w:color w:val="000000" w:themeColor="text1"/>
                <w:sz w:val="21"/>
                <w:szCs w:val="21"/>
              </w:rPr>
            </w:pPr>
          </w:p>
        </w:tc>
        <w:tc>
          <w:tcPr>
            <w:tcW w:w="207" w:type="pct"/>
            <w:vAlign w:val="center"/>
          </w:tcPr>
          <w:p w14:paraId="26DFB8F8" w14:textId="77777777" w:rsidR="002D0AE7" w:rsidRDefault="00333EBB">
            <w:pPr>
              <w:rPr>
                <w:rFonts w:ascii="Times New Roman" w:hAnsi="Times New Roman"/>
                <w:color w:val="000000" w:themeColor="text1"/>
                <w:sz w:val="21"/>
                <w:szCs w:val="21"/>
              </w:rPr>
            </w:pPr>
            <w:r>
              <w:rPr>
                <w:rFonts w:ascii="Times New Roman" w:hAnsi="Times New Roman" w:hint="eastAsia"/>
                <w:color w:val="000000" w:themeColor="text1"/>
                <w:sz w:val="21"/>
                <w:szCs w:val="21"/>
              </w:rPr>
              <w:t xml:space="preserve">　</w:t>
            </w:r>
          </w:p>
        </w:tc>
      </w:tr>
      <w:tr w:rsidR="002D0AE7" w14:paraId="619628EF" w14:textId="77777777">
        <w:trPr>
          <w:jc w:val="center"/>
        </w:trPr>
        <w:tc>
          <w:tcPr>
            <w:tcW w:w="4121" w:type="pct"/>
          </w:tcPr>
          <w:p w14:paraId="5C70897E" w14:textId="77777777" w:rsidR="002D0AE7" w:rsidRDefault="00333EBB">
            <w:pPr>
              <w:pStyle w:val="11"/>
              <w:rPr>
                <w:rFonts w:hint="eastAsia"/>
              </w:rPr>
            </w:pPr>
            <w:r>
              <w:rPr>
                <w:rFonts w:hint="eastAsia"/>
              </w:rPr>
              <w:t>单独进行减值测试的应收款项减值准备转回</w:t>
            </w:r>
          </w:p>
        </w:tc>
        <w:tc>
          <w:tcPr>
            <w:tcW w:w="672" w:type="pct"/>
            <w:vAlign w:val="center"/>
          </w:tcPr>
          <w:p w14:paraId="645793F1" w14:textId="77777777" w:rsidR="002D0AE7" w:rsidRDefault="002D0AE7">
            <w:pPr>
              <w:jc w:val="right"/>
              <w:rPr>
                <w:rFonts w:ascii="Times New Roman" w:hAnsi="Times New Roman" w:cs="Times New Roman"/>
                <w:color w:val="000000" w:themeColor="text1"/>
                <w:sz w:val="21"/>
                <w:szCs w:val="21"/>
              </w:rPr>
            </w:pPr>
          </w:p>
        </w:tc>
        <w:tc>
          <w:tcPr>
            <w:tcW w:w="207" w:type="pct"/>
            <w:vAlign w:val="center"/>
          </w:tcPr>
          <w:p w14:paraId="0ED37758" w14:textId="77777777" w:rsidR="002D0AE7" w:rsidRDefault="00333EBB">
            <w:pPr>
              <w:rPr>
                <w:rFonts w:ascii="Times New Roman" w:hAnsi="Times New Roman"/>
                <w:color w:val="000000" w:themeColor="text1"/>
                <w:sz w:val="21"/>
                <w:szCs w:val="21"/>
              </w:rPr>
            </w:pPr>
            <w:r>
              <w:rPr>
                <w:rFonts w:ascii="Times New Roman" w:hAnsi="Times New Roman" w:hint="eastAsia"/>
                <w:color w:val="000000" w:themeColor="text1"/>
                <w:sz w:val="21"/>
                <w:szCs w:val="21"/>
              </w:rPr>
              <w:t xml:space="preserve">　</w:t>
            </w:r>
          </w:p>
        </w:tc>
      </w:tr>
      <w:tr w:rsidR="002D0AE7" w14:paraId="0958CF6E" w14:textId="77777777">
        <w:trPr>
          <w:jc w:val="center"/>
        </w:trPr>
        <w:tc>
          <w:tcPr>
            <w:tcW w:w="4121" w:type="pct"/>
          </w:tcPr>
          <w:p w14:paraId="58AD3AFB" w14:textId="77777777" w:rsidR="002D0AE7" w:rsidRDefault="00333EBB">
            <w:pPr>
              <w:pStyle w:val="11"/>
              <w:rPr>
                <w:rFonts w:hint="eastAsia"/>
              </w:rPr>
            </w:pPr>
            <w:r>
              <w:t>企业取得子公司、联营企业及合营企业的投资成本小于取得投资时应享有被投资单位可辨认净资产公允价值产生的收益</w:t>
            </w:r>
          </w:p>
        </w:tc>
        <w:tc>
          <w:tcPr>
            <w:tcW w:w="672" w:type="pct"/>
            <w:vAlign w:val="center"/>
          </w:tcPr>
          <w:p w14:paraId="08BC8714" w14:textId="77777777" w:rsidR="002D0AE7" w:rsidRDefault="002D0AE7">
            <w:pPr>
              <w:jc w:val="right"/>
              <w:rPr>
                <w:rFonts w:ascii="Times New Roman" w:hAnsi="Times New Roman" w:cs="Times New Roman"/>
                <w:color w:val="000000" w:themeColor="text1"/>
                <w:sz w:val="21"/>
                <w:szCs w:val="21"/>
              </w:rPr>
            </w:pPr>
          </w:p>
        </w:tc>
        <w:tc>
          <w:tcPr>
            <w:tcW w:w="207" w:type="pct"/>
            <w:vAlign w:val="center"/>
          </w:tcPr>
          <w:p w14:paraId="4396C037" w14:textId="77777777" w:rsidR="002D0AE7" w:rsidRDefault="00333EBB">
            <w:pPr>
              <w:rPr>
                <w:rFonts w:ascii="Times New Roman" w:hAnsi="Times New Roman"/>
                <w:color w:val="000000" w:themeColor="text1"/>
                <w:sz w:val="21"/>
                <w:szCs w:val="21"/>
              </w:rPr>
            </w:pPr>
            <w:r>
              <w:rPr>
                <w:rFonts w:ascii="Times New Roman" w:hAnsi="Times New Roman" w:hint="eastAsia"/>
                <w:color w:val="000000" w:themeColor="text1"/>
                <w:sz w:val="21"/>
                <w:szCs w:val="21"/>
              </w:rPr>
              <w:t xml:space="preserve">　</w:t>
            </w:r>
          </w:p>
        </w:tc>
      </w:tr>
      <w:tr w:rsidR="002D0AE7" w14:paraId="2D93C5D1" w14:textId="77777777">
        <w:trPr>
          <w:jc w:val="center"/>
        </w:trPr>
        <w:tc>
          <w:tcPr>
            <w:tcW w:w="4121" w:type="pct"/>
          </w:tcPr>
          <w:p w14:paraId="2F1A7372" w14:textId="77777777" w:rsidR="002D0AE7" w:rsidRDefault="00333EBB">
            <w:pPr>
              <w:pStyle w:val="11"/>
              <w:rPr>
                <w:rFonts w:hint="eastAsia"/>
              </w:rPr>
            </w:pPr>
            <w:r>
              <w:t>同一控制下企业合并产生的子公司期初至合并日的当期净损益</w:t>
            </w:r>
          </w:p>
        </w:tc>
        <w:tc>
          <w:tcPr>
            <w:tcW w:w="672" w:type="pct"/>
            <w:vAlign w:val="center"/>
          </w:tcPr>
          <w:p w14:paraId="24CBB701" w14:textId="77777777" w:rsidR="002D0AE7" w:rsidRDefault="002D0AE7">
            <w:pPr>
              <w:jc w:val="right"/>
              <w:rPr>
                <w:rFonts w:ascii="Times New Roman" w:hAnsi="Times New Roman" w:cs="Times New Roman"/>
                <w:color w:val="000000" w:themeColor="text1"/>
                <w:sz w:val="21"/>
                <w:szCs w:val="21"/>
              </w:rPr>
            </w:pPr>
          </w:p>
        </w:tc>
        <w:tc>
          <w:tcPr>
            <w:tcW w:w="207" w:type="pct"/>
            <w:vAlign w:val="center"/>
          </w:tcPr>
          <w:p w14:paraId="36386BFE" w14:textId="77777777" w:rsidR="002D0AE7" w:rsidRDefault="00333EBB">
            <w:pPr>
              <w:rPr>
                <w:rFonts w:ascii="Times New Roman" w:hAnsi="Times New Roman"/>
                <w:color w:val="000000" w:themeColor="text1"/>
                <w:sz w:val="21"/>
                <w:szCs w:val="21"/>
              </w:rPr>
            </w:pPr>
            <w:r>
              <w:rPr>
                <w:rFonts w:ascii="Times New Roman" w:hAnsi="Times New Roman" w:hint="eastAsia"/>
                <w:color w:val="000000" w:themeColor="text1"/>
                <w:sz w:val="21"/>
                <w:szCs w:val="21"/>
              </w:rPr>
              <w:t xml:space="preserve">　</w:t>
            </w:r>
          </w:p>
        </w:tc>
      </w:tr>
      <w:tr w:rsidR="002D0AE7" w14:paraId="12612624" w14:textId="77777777">
        <w:trPr>
          <w:jc w:val="center"/>
        </w:trPr>
        <w:tc>
          <w:tcPr>
            <w:tcW w:w="4121" w:type="pct"/>
          </w:tcPr>
          <w:p w14:paraId="1918B4E6" w14:textId="77777777" w:rsidR="002D0AE7" w:rsidRDefault="00333EBB">
            <w:pPr>
              <w:pStyle w:val="11"/>
              <w:rPr>
                <w:rFonts w:hint="eastAsia"/>
              </w:rPr>
            </w:pPr>
            <w:r>
              <w:t>非货币性资产交换损益</w:t>
            </w:r>
          </w:p>
        </w:tc>
        <w:tc>
          <w:tcPr>
            <w:tcW w:w="672" w:type="pct"/>
            <w:vAlign w:val="center"/>
          </w:tcPr>
          <w:p w14:paraId="63E0AA74" w14:textId="77777777" w:rsidR="002D0AE7" w:rsidRDefault="002D0AE7">
            <w:pPr>
              <w:jc w:val="right"/>
              <w:rPr>
                <w:rFonts w:ascii="Times New Roman" w:hAnsi="Times New Roman" w:cs="Times New Roman"/>
                <w:color w:val="000000" w:themeColor="text1"/>
                <w:sz w:val="21"/>
                <w:szCs w:val="21"/>
              </w:rPr>
            </w:pPr>
          </w:p>
        </w:tc>
        <w:tc>
          <w:tcPr>
            <w:tcW w:w="207" w:type="pct"/>
            <w:vAlign w:val="center"/>
          </w:tcPr>
          <w:p w14:paraId="3CF8083F" w14:textId="77777777" w:rsidR="002D0AE7" w:rsidRDefault="00333EBB">
            <w:pPr>
              <w:rPr>
                <w:rFonts w:ascii="Times New Roman" w:hAnsi="Times New Roman"/>
                <w:color w:val="000000" w:themeColor="text1"/>
                <w:sz w:val="21"/>
                <w:szCs w:val="21"/>
              </w:rPr>
            </w:pPr>
            <w:r>
              <w:rPr>
                <w:rFonts w:ascii="Times New Roman" w:hAnsi="Times New Roman" w:hint="eastAsia"/>
                <w:color w:val="000000" w:themeColor="text1"/>
                <w:sz w:val="21"/>
                <w:szCs w:val="21"/>
              </w:rPr>
              <w:t xml:space="preserve">　</w:t>
            </w:r>
          </w:p>
        </w:tc>
      </w:tr>
      <w:tr w:rsidR="002D0AE7" w14:paraId="07CA3890" w14:textId="77777777">
        <w:trPr>
          <w:jc w:val="center"/>
        </w:trPr>
        <w:tc>
          <w:tcPr>
            <w:tcW w:w="4121" w:type="pct"/>
          </w:tcPr>
          <w:p w14:paraId="3400F0F8" w14:textId="77777777" w:rsidR="002D0AE7" w:rsidRDefault="00333EBB">
            <w:pPr>
              <w:pStyle w:val="11"/>
              <w:rPr>
                <w:rFonts w:hint="eastAsia"/>
              </w:rPr>
            </w:pPr>
            <w:r>
              <w:t>债务重组损益</w:t>
            </w:r>
          </w:p>
        </w:tc>
        <w:tc>
          <w:tcPr>
            <w:tcW w:w="672" w:type="pct"/>
            <w:vAlign w:val="center"/>
          </w:tcPr>
          <w:p w14:paraId="23293549" w14:textId="77777777" w:rsidR="002D0AE7" w:rsidRDefault="002D0AE7">
            <w:pPr>
              <w:jc w:val="right"/>
              <w:rPr>
                <w:rFonts w:ascii="Times New Roman" w:hAnsi="Times New Roman" w:cs="Times New Roman"/>
                <w:color w:val="000000" w:themeColor="text1"/>
                <w:sz w:val="21"/>
                <w:szCs w:val="21"/>
              </w:rPr>
            </w:pPr>
          </w:p>
        </w:tc>
        <w:tc>
          <w:tcPr>
            <w:tcW w:w="207" w:type="pct"/>
            <w:vAlign w:val="center"/>
          </w:tcPr>
          <w:p w14:paraId="7EEDE72A" w14:textId="77777777" w:rsidR="002D0AE7" w:rsidRDefault="00333EBB">
            <w:pPr>
              <w:rPr>
                <w:rFonts w:ascii="Times New Roman" w:hAnsi="Times New Roman"/>
                <w:color w:val="000000" w:themeColor="text1"/>
                <w:sz w:val="21"/>
                <w:szCs w:val="21"/>
              </w:rPr>
            </w:pPr>
            <w:r>
              <w:rPr>
                <w:rFonts w:ascii="Times New Roman" w:hAnsi="Times New Roman" w:hint="eastAsia"/>
                <w:color w:val="000000" w:themeColor="text1"/>
                <w:sz w:val="21"/>
                <w:szCs w:val="21"/>
              </w:rPr>
              <w:t xml:space="preserve">　</w:t>
            </w:r>
          </w:p>
        </w:tc>
      </w:tr>
      <w:tr w:rsidR="002D0AE7" w14:paraId="2EFDDD50" w14:textId="77777777">
        <w:trPr>
          <w:jc w:val="center"/>
        </w:trPr>
        <w:tc>
          <w:tcPr>
            <w:tcW w:w="4121" w:type="pct"/>
          </w:tcPr>
          <w:p w14:paraId="73E89AFD" w14:textId="77777777" w:rsidR="002D0AE7" w:rsidRDefault="00333EBB">
            <w:pPr>
              <w:pStyle w:val="11"/>
              <w:rPr>
                <w:rFonts w:hint="eastAsia"/>
              </w:rPr>
            </w:pPr>
            <w:r>
              <w:t>企业</w:t>
            </w:r>
            <w:r>
              <w:rPr>
                <w:rFonts w:hint="eastAsia"/>
              </w:rPr>
              <w:t>因相关经营活动不再持续而发生的一次性费用，如安置职工的支出等</w:t>
            </w:r>
          </w:p>
        </w:tc>
        <w:tc>
          <w:tcPr>
            <w:tcW w:w="672" w:type="pct"/>
            <w:vAlign w:val="center"/>
          </w:tcPr>
          <w:p w14:paraId="3D8EE255" w14:textId="77777777" w:rsidR="002D0AE7" w:rsidRDefault="002D0AE7">
            <w:pPr>
              <w:jc w:val="right"/>
              <w:rPr>
                <w:rFonts w:ascii="Times New Roman" w:hAnsi="Times New Roman" w:cs="Times New Roman"/>
                <w:color w:val="000000" w:themeColor="text1"/>
                <w:sz w:val="21"/>
                <w:szCs w:val="21"/>
              </w:rPr>
            </w:pPr>
          </w:p>
        </w:tc>
        <w:tc>
          <w:tcPr>
            <w:tcW w:w="207" w:type="pct"/>
            <w:vAlign w:val="center"/>
          </w:tcPr>
          <w:p w14:paraId="2D8DABA0" w14:textId="77777777" w:rsidR="002D0AE7" w:rsidRDefault="00333EBB">
            <w:pPr>
              <w:rPr>
                <w:rFonts w:ascii="Times New Roman" w:hAnsi="Times New Roman"/>
                <w:color w:val="000000" w:themeColor="text1"/>
                <w:sz w:val="21"/>
                <w:szCs w:val="21"/>
              </w:rPr>
            </w:pPr>
            <w:r>
              <w:rPr>
                <w:rFonts w:ascii="Times New Roman" w:hAnsi="Times New Roman" w:hint="eastAsia"/>
                <w:color w:val="000000" w:themeColor="text1"/>
                <w:sz w:val="21"/>
                <w:szCs w:val="21"/>
              </w:rPr>
              <w:t xml:space="preserve">　</w:t>
            </w:r>
          </w:p>
        </w:tc>
      </w:tr>
      <w:tr w:rsidR="002D0AE7" w14:paraId="3135E9B6" w14:textId="77777777">
        <w:trPr>
          <w:jc w:val="center"/>
        </w:trPr>
        <w:tc>
          <w:tcPr>
            <w:tcW w:w="4121" w:type="pct"/>
          </w:tcPr>
          <w:p w14:paraId="5C2004C7" w14:textId="77777777" w:rsidR="002D0AE7" w:rsidRDefault="00333EBB">
            <w:pPr>
              <w:pStyle w:val="11"/>
              <w:rPr>
                <w:rFonts w:hint="eastAsia"/>
              </w:rPr>
            </w:pPr>
            <w:r>
              <w:t>因税收、会计等法律、法规</w:t>
            </w:r>
            <w:r>
              <w:rPr>
                <w:rFonts w:hint="eastAsia"/>
              </w:rPr>
              <w:t>的调整对当期损益产生的一次性影响</w:t>
            </w:r>
          </w:p>
        </w:tc>
        <w:tc>
          <w:tcPr>
            <w:tcW w:w="672" w:type="pct"/>
            <w:vAlign w:val="center"/>
          </w:tcPr>
          <w:p w14:paraId="53642168" w14:textId="77777777" w:rsidR="002D0AE7" w:rsidRDefault="002D0AE7">
            <w:pPr>
              <w:jc w:val="right"/>
              <w:rPr>
                <w:rFonts w:ascii="Times New Roman" w:hAnsi="Times New Roman" w:cs="Times New Roman"/>
                <w:color w:val="000000" w:themeColor="text1"/>
                <w:sz w:val="21"/>
                <w:szCs w:val="21"/>
              </w:rPr>
            </w:pPr>
          </w:p>
        </w:tc>
        <w:tc>
          <w:tcPr>
            <w:tcW w:w="207" w:type="pct"/>
            <w:vAlign w:val="center"/>
          </w:tcPr>
          <w:p w14:paraId="436267D3" w14:textId="77777777" w:rsidR="002D0AE7" w:rsidRDefault="00333EBB">
            <w:pPr>
              <w:rPr>
                <w:rFonts w:ascii="Times New Roman" w:hAnsi="Times New Roman"/>
                <w:color w:val="000000" w:themeColor="text1"/>
                <w:sz w:val="21"/>
                <w:szCs w:val="21"/>
              </w:rPr>
            </w:pPr>
            <w:r>
              <w:rPr>
                <w:rFonts w:ascii="Times New Roman" w:hAnsi="Times New Roman" w:hint="eastAsia"/>
                <w:color w:val="000000" w:themeColor="text1"/>
                <w:sz w:val="21"/>
                <w:szCs w:val="21"/>
              </w:rPr>
              <w:t xml:space="preserve">　</w:t>
            </w:r>
          </w:p>
        </w:tc>
      </w:tr>
      <w:tr w:rsidR="002D0AE7" w14:paraId="20C08E32" w14:textId="77777777">
        <w:trPr>
          <w:jc w:val="center"/>
        </w:trPr>
        <w:tc>
          <w:tcPr>
            <w:tcW w:w="4121" w:type="pct"/>
          </w:tcPr>
          <w:p w14:paraId="7C53BFB5" w14:textId="77777777" w:rsidR="002D0AE7" w:rsidRDefault="00333EBB">
            <w:pPr>
              <w:pStyle w:val="11"/>
              <w:rPr>
                <w:rFonts w:hint="eastAsia"/>
              </w:rPr>
            </w:pPr>
            <w:r>
              <w:t>因取消、修改股权激励计划一次性确认的股份支付费用</w:t>
            </w:r>
          </w:p>
        </w:tc>
        <w:tc>
          <w:tcPr>
            <w:tcW w:w="672" w:type="pct"/>
            <w:vAlign w:val="center"/>
          </w:tcPr>
          <w:p w14:paraId="33EE85BB" w14:textId="77777777" w:rsidR="002D0AE7" w:rsidRDefault="002D0AE7">
            <w:pPr>
              <w:jc w:val="right"/>
              <w:rPr>
                <w:rFonts w:ascii="Times New Roman" w:hAnsi="Times New Roman" w:cs="Times New Roman"/>
                <w:color w:val="000000" w:themeColor="text1"/>
                <w:sz w:val="21"/>
                <w:szCs w:val="21"/>
              </w:rPr>
            </w:pPr>
          </w:p>
        </w:tc>
        <w:tc>
          <w:tcPr>
            <w:tcW w:w="207" w:type="pct"/>
            <w:vAlign w:val="center"/>
          </w:tcPr>
          <w:p w14:paraId="608D1DE4" w14:textId="77777777" w:rsidR="002D0AE7" w:rsidRDefault="002D0AE7">
            <w:pPr>
              <w:rPr>
                <w:rFonts w:ascii="Times New Roman" w:hAnsi="Times New Roman"/>
                <w:sz w:val="21"/>
                <w:szCs w:val="21"/>
              </w:rPr>
            </w:pPr>
          </w:p>
        </w:tc>
      </w:tr>
      <w:tr w:rsidR="002D0AE7" w14:paraId="17CDA7E4" w14:textId="77777777">
        <w:trPr>
          <w:jc w:val="center"/>
        </w:trPr>
        <w:tc>
          <w:tcPr>
            <w:tcW w:w="4121" w:type="pct"/>
          </w:tcPr>
          <w:p w14:paraId="161BC9E4" w14:textId="77777777" w:rsidR="002D0AE7" w:rsidRDefault="00333EBB">
            <w:pPr>
              <w:pStyle w:val="11"/>
              <w:rPr>
                <w:rFonts w:hint="eastAsia"/>
              </w:rPr>
            </w:pPr>
            <w:r>
              <w:t>对于现金结算的股份支付，在可行权日之后，应付职工薪酬的公允价值变动产生的损益</w:t>
            </w:r>
          </w:p>
        </w:tc>
        <w:tc>
          <w:tcPr>
            <w:tcW w:w="672" w:type="pct"/>
            <w:vAlign w:val="center"/>
          </w:tcPr>
          <w:p w14:paraId="431CEC5F" w14:textId="77777777" w:rsidR="002D0AE7" w:rsidRDefault="002D0AE7">
            <w:pPr>
              <w:jc w:val="right"/>
              <w:rPr>
                <w:rFonts w:ascii="Times New Roman" w:hAnsi="Times New Roman" w:cs="Times New Roman"/>
                <w:color w:val="000000" w:themeColor="text1"/>
                <w:sz w:val="21"/>
                <w:szCs w:val="21"/>
              </w:rPr>
            </w:pPr>
          </w:p>
        </w:tc>
        <w:tc>
          <w:tcPr>
            <w:tcW w:w="207" w:type="pct"/>
            <w:vAlign w:val="center"/>
          </w:tcPr>
          <w:p w14:paraId="47A4C95C" w14:textId="77777777" w:rsidR="002D0AE7" w:rsidRDefault="002D0AE7">
            <w:pPr>
              <w:rPr>
                <w:rFonts w:ascii="Times New Roman" w:hAnsi="Times New Roman"/>
                <w:sz w:val="21"/>
                <w:szCs w:val="21"/>
              </w:rPr>
            </w:pPr>
          </w:p>
        </w:tc>
      </w:tr>
      <w:tr w:rsidR="002D0AE7" w14:paraId="1EA96D8E" w14:textId="77777777">
        <w:trPr>
          <w:jc w:val="center"/>
        </w:trPr>
        <w:tc>
          <w:tcPr>
            <w:tcW w:w="4121" w:type="pct"/>
          </w:tcPr>
          <w:p w14:paraId="47AE84A8" w14:textId="77777777" w:rsidR="002D0AE7" w:rsidRDefault="00333EBB">
            <w:pPr>
              <w:pStyle w:val="11"/>
              <w:rPr>
                <w:rFonts w:hint="eastAsia"/>
              </w:rPr>
            </w:pPr>
            <w:r>
              <w:t>采用公允价值模式进行后续计量的投资性房地产公允价值变动产生的损益</w:t>
            </w:r>
          </w:p>
        </w:tc>
        <w:tc>
          <w:tcPr>
            <w:tcW w:w="672" w:type="pct"/>
            <w:vAlign w:val="center"/>
          </w:tcPr>
          <w:p w14:paraId="0D240F08" w14:textId="77777777" w:rsidR="002D0AE7" w:rsidRDefault="002D0AE7">
            <w:pPr>
              <w:jc w:val="right"/>
              <w:rPr>
                <w:rFonts w:ascii="Times New Roman" w:hAnsi="Times New Roman" w:cs="Times New Roman"/>
                <w:color w:val="000000" w:themeColor="text1"/>
                <w:sz w:val="21"/>
                <w:szCs w:val="21"/>
              </w:rPr>
            </w:pPr>
          </w:p>
        </w:tc>
        <w:tc>
          <w:tcPr>
            <w:tcW w:w="207" w:type="pct"/>
            <w:vAlign w:val="center"/>
          </w:tcPr>
          <w:p w14:paraId="3B614BE5" w14:textId="77777777" w:rsidR="002D0AE7" w:rsidRDefault="00333EBB">
            <w:pPr>
              <w:rPr>
                <w:rFonts w:ascii="Times New Roman" w:hAnsi="Times New Roman"/>
                <w:color w:val="000000" w:themeColor="text1"/>
                <w:sz w:val="21"/>
                <w:szCs w:val="21"/>
              </w:rPr>
            </w:pPr>
            <w:r>
              <w:rPr>
                <w:rFonts w:ascii="Times New Roman" w:hAnsi="Times New Roman" w:hint="eastAsia"/>
                <w:color w:val="000000" w:themeColor="text1"/>
                <w:sz w:val="21"/>
                <w:szCs w:val="21"/>
              </w:rPr>
              <w:t xml:space="preserve">　</w:t>
            </w:r>
          </w:p>
        </w:tc>
      </w:tr>
      <w:tr w:rsidR="002D0AE7" w14:paraId="0ED4A1A6" w14:textId="77777777">
        <w:trPr>
          <w:jc w:val="center"/>
        </w:trPr>
        <w:tc>
          <w:tcPr>
            <w:tcW w:w="4121" w:type="pct"/>
          </w:tcPr>
          <w:p w14:paraId="64DCA07F" w14:textId="77777777" w:rsidR="002D0AE7" w:rsidRDefault="00333EBB">
            <w:pPr>
              <w:pStyle w:val="11"/>
              <w:rPr>
                <w:rFonts w:hint="eastAsia"/>
              </w:rPr>
            </w:pPr>
            <w:r>
              <w:rPr>
                <w:rFonts w:hint="eastAsia"/>
              </w:rPr>
              <w:t>交易价格显失公允的交易产生的收益</w:t>
            </w:r>
          </w:p>
        </w:tc>
        <w:tc>
          <w:tcPr>
            <w:tcW w:w="672" w:type="pct"/>
            <w:vAlign w:val="center"/>
          </w:tcPr>
          <w:p w14:paraId="7F062603" w14:textId="77777777" w:rsidR="002D0AE7" w:rsidRDefault="002D0AE7">
            <w:pPr>
              <w:jc w:val="right"/>
              <w:rPr>
                <w:rFonts w:ascii="Times New Roman" w:hAnsi="Times New Roman" w:cs="Times New Roman"/>
                <w:color w:val="000000" w:themeColor="text1"/>
                <w:sz w:val="21"/>
                <w:szCs w:val="21"/>
              </w:rPr>
            </w:pPr>
          </w:p>
        </w:tc>
        <w:tc>
          <w:tcPr>
            <w:tcW w:w="207" w:type="pct"/>
            <w:vAlign w:val="center"/>
          </w:tcPr>
          <w:p w14:paraId="29ED474A" w14:textId="77777777" w:rsidR="002D0AE7" w:rsidRDefault="00333EBB">
            <w:pPr>
              <w:rPr>
                <w:rFonts w:ascii="Times New Roman" w:hAnsi="Times New Roman"/>
                <w:color w:val="000000" w:themeColor="text1"/>
                <w:sz w:val="21"/>
                <w:szCs w:val="21"/>
              </w:rPr>
            </w:pPr>
            <w:r>
              <w:rPr>
                <w:rFonts w:ascii="Times New Roman" w:hAnsi="Times New Roman" w:hint="eastAsia"/>
                <w:color w:val="000000" w:themeColor="text1"/>
                <w:sz w:val="21"/>
                <w:szCs w:val="21"/>
              </w:rPr>
              <w:t xml:space="preserve">　</w:t>
            </w:r>
          </w:p>
        </w:tc>
      </w:tr>
      <w:tr w:rsidR="002D0AE7" w14:paraId="7C843B52" w14:textId="77777777">
        <w:trPr>
          <w:jc w:val="center"/>
        </w:trPr>
        <w:tc>
          <w:tcPr>
            <w:tcW w:w="4121" w:type="pct"/>
          </w:tcPr>
          <w:p w14:paraId="0E4A26E3" w14:textId="77777777" w:rsidR="002D0AE7" w:rsidRDefault="00333EBB">
            <w:pPr>
              <w:pStyle w:val="11"/>
              <w:rPr>
                <w:rFonts w:hint="eastAsia"/>
              </w:rPr>
            </w:pPr>
            <w:r>
              <w:t>与公司正常经营业务无关的或有事项产生的损益</w:t>
            </w:r>
          </w:p>
        </w:tc>
        <w:tc>
          <w:tcPr>
            <w:tcW w:w="672" w:type="pct"/>
            <w:vAlign w:val="center"/>
          </w:tcPr>
          <w:p w14:paraId="4DC2942D" w14:textId="77777777" w:rsidR="002D0AE7" w:rsidRDefault="002D0AE7">
            <w:pPr>
              <w:jc w:val="right"/>
              <w:rPr>
                <w:rFonts w:ascii="Times New Roman" w:hAnsi="Times New Roman" w:cs="Times New Roman"/>
                <w:color w:val="000000" w:themeColor="text1"/>
                <w:sz w:val="21"/>
                <w:szCs w:val="21"/>
              </w:rPr>
            </w:pPr>
          </w:p>
        </w:tc>
        <w:tc>
          <w:tcPr>
            <w:tcW w:w="207" w:type="pct"/>
            <w:vAlign w:val="center"/>
          </w:tcPr>
          <w:p w14:paraId="3CBB67A7" w14:textId="77777777" w:rsidR="002D0AE7" w:rsidRDefault="00333EBB">
            <w:pPr>
              <w:rPr>
                <w:rFonts w:ascii="Times New Roman" w:hAnsi="Times New Roman"/>
                <w:color w:val="000000" w:themeColor="text1"/>
                <w:sz w:val="21"/>
                <w:szCs w:val="21"/>
              </w:rPr>
            </w:pPr>
            <w:r>
              <w:rPr>
                <w:rFonts w:ascii="Times New Roman" w:hAnsi="Times New Roman" w:hint="eastAsia"/>
                <w:color w:val="000000" w:themeColor="text1"/>
                <w:sz w:val="21"/>
                <w:szCs w:val="21"/>
              </w:rPr>
              <w:t xml:space="preserve">　</w:t>
            </w:r>
          </w:p>
        </w:tc>
      </w:tr>
      <w:tr w:rsidR="002D0AE7" w14:paraId="28D13DC8" w14:textId="77777777">
        <w:trPr>
          <w:jc w:val="center"/>
        </w:trPr>
        <w:tc>
          <w:tcPr>
            <w:tcW w:w="4121" w:type="pct"/>
          </w:tcPr>
          <w:p w14:paraId="77E4A7D4" w14:textId="77777777" w:rsidR="002D0AE7" w:rsidRDefault="00333EBB">
            <w:pPr>
              <w:pStyle w:val="11"/>
              <w:rPr>
                <w:rFonts w:hint="eastAsia"/>
              </w:rPr>
            </w:pPr>
            <w:r>
              <w:t>受托经营取得的托管费收入</w:t>
            </w:r>
          </w:p>
        </w:tc>
        <w:tc>
          <w:tcPr>
            <w:tcW w:w="672" w:type="pct"/>
            <w:vAlign w:val="center"/>
          </w:tcPr>
          <w:p w14:paraId="1A0777B7"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sz w:val="21"/>
                <w:szCs w:val="21"/>
              </w:rPr>
              <w:t>94,339.62</w:t>
            </w:r>
          </w:p>
        </w:tc>
        <w:tc>
          <w:tcPr>
            <w:tcW w:w="207" w:type="pct"/>
            <w:vAlign w:val="center"/>
          </w:tcPr>
          <w:p w14:paraId="2B885929" w14:textId="77777777" w:rsidR="002D0AE7" w:rsidRDefault="00333EBB">
            <w:pPr>
              <w:rPr>
                <w:rFonts w:ascii="Times New Roman" w:hAnsi="Times New Roman"/>
                <w:color w:val="000000" w:themeColor="text1"/>
                <w:sz w:val="21"/>
                <w:szCs w:val="21"/>
              </w:rPr>
            </w:pPr>
            <w:r>
              <w:rPr>
                <w:rFonts w:ascii="Times New Roman" w:hAnsi="Times New Roman" w:hint="eastAsia"/>
                <w:color w:val="000000" w:themeColor="text1"/>
                <w:sz w:val="21"/>
                <w:szCs w:val="21"/>
              </w:rPr>
              <w:t xml:space="preserve">　</w:t>
            </w:r>
          </w:p>
        </w:tc>
      </w:tr>
      <w:tr w:rsidR="002D0AE7" w14:paraId="0B53D012" w14:textId="77777777">
        <w:trPr>
          <w:jc w:val="center"/>
        </w:trPr>
        <w:tc>
          <w:tcPr>
            <w:tcW w:w="4121" w:type="pct"/>
          </w:tcPr>
          <w:p w14:paraId="7E3BEADC" w14:textId="77777777" w:rsidR="002D0AE7" w:rsidRDefault="00333EBB">
            <w:pPr>
              <w:pStyle w:val="11"/>
              <w:rPr>
                <w:rFonts w:hint="eastAsia"/>
              </w:rPr>
            </w:pPr>
            <w:r>
              <w:t>除上述各项之外的其他营业外收入和支出</w:t>
            </w:r>
          </w:p>
        </w:tc>
        <w:tc>
          <w:tcPr>
            <w:tcW w:w="672" w:type="pct"/>
            <w:vAlign w:val="center"/>
          </w:tcPr>
          <w:p w14:paraId="5BADE584"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762,498.06</w:t>
            </w:r>
          </w:p>
        </w:tc>
        <w:tc>
          <w:tcPr>
            <w:tcW w:w="207" w:type="pct"/>
            <w:vAlign w:val="center"/>
          </w:tcPr>
          <w:p w14:paraId="394AF2DD" w14:textId="77777777" w:rsidR="002D0AE7" w:rsidRDefault="00333EBB">
            <w:pPr>
              <w:rPr>
                <w:rFonts w:ascii="Times New Roman" w:hAnsi="Times New Roman"/>
                <w:color w:val="000000" w:themeColor="text1"/>
                <w:sz w:val="21"/>
                <w:szCs w:val="21"/>
              </w:rPr>
            </w:pPr>
            <w:r>
              <w:rPr>
                <w:rFonts w:ascii="Times New Roman" w:hAnsi="Times New Roman" w:hint="eastAsia"/>
                <w:color w:val="000000" w:themeColor="text1"/>
                <w:sz w:val="21"/>
                <w:szCs w:val="21"/>
              </w:rPr>
              <w:t xml:space="preserve">　</w:t>
            </w:r>
          </w:p>
        </w:tc>
      </w:tr>
      <w:tr w:rsidR="002D0AE7" w14:paraId="36600AE5" w14:textId="77777777">
        <w:trPr>
          <w:jc w:val="center"/>
        </w:trPr>
        <w:tc>
          <w:tcPr>
            <w:tcW w:w="4121" w:type="pct"/>
          </w:tcPr>
          <w:p w14:paraId="2961F677" w14:textId="77777777" w:rsidR="002D0AE7" w:rsidRDefault="00333EBB">
            <w:pPr>
              <w:pStyle w:val="11"/>
              <w:rPr>
                <w:rFonts w:hint="eastAsia"/>
              </w:rPr>
            </w:pPr>
            <w:r>
              <w:t>其他符合非经常性损益定义的损益项目</w:t>
            </w:r>
          </w:p>
        </w:tc>
        <w:tc>
          <w:tcPr>
            <w:tcW w:w="672" w:type="pct"/>
            <w:vAlign w:val="center"/>
          </w:tcPr>
          <w:p w14:paraId="2E39085A"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 xml:space="preserve">　</w:t>
            </w:r>
          </w:p>
        </w:tc>
        <w:tc>
          <w:tcPr>
            <w:tcW w:w="207" w:type="pct"/>
            <w:vAlign w:val="center"/>
          </w:tcPr>
          <w:p w14:paraId="5D02255B" w14:textId="77777777" w:rsidR="002D0AE7" w:rsidRDefault="00333EBB">
            <w:pPr>
              <w:rPr>
                <w:rFonts w:ascii="Times New Roman" w:hAnsi="Times New Roman"/>
                <w:color w:val="000000" w:themeColor="text1"/>
                <w:sz w:val="21"/>
                <w:szCs w:val="21"/>
              </w:rPr>
            </w:pPr>
            <w:r>
              <w:rPr>
                <w:rFonts w:ascii="Times New Roman" w:hAnsi="Times New Roman" w:hint="eastAsia"/>
                <w:color w:val="000000" w:themeColor="text1"/>
                <w:sz w:val="21"/>
                <w:szCs w:val="21"/>
              </w:rPr>
              <w:t xml:space="preserve">　</w:t>
            </w:r>
          </w:p>
        </w:tc>
      </w:tr>
      <w:tr w:rsidR="002D0AE7" w14:paraId="6242A545" w14:textId="77777777">
        <w:trPr>
          <w:jc w:val="center"/>
        </w:trPr>
        <w:tc>
          <w:tcPr>
            <w:tcW w:w="4121" w:type="pct"/>
          </w:tcPr>
          <w:p w14:paraId="1D8ED02E" w14:textId="77777777" w:rsidR="002D0AE7" w:rsidRDefault="00333EBB">
            <w:pPr>
              <w:pStyle w:val="11"/>
              <w:rPr>
                <w:rFonts w:hint="eastAsia"/>
              </w:rPr>
            </w:pPr>
            <w:r>
              <w:rPr>
                <w:rFonts w:hint="eastAsia"/>
              </w:rPr>
              <w:t>减：</w:t>
            </w:r>
            <w:r>
              <w:t>所得税影响额</w:t>
            </w:r>
          </w:p>
        </w:tc>
        <w:tc>
          <w:tcPr>
            <w:tcW w:w="672" w:type="pct"/>
            <w:vAlign w:val="center"/>
          </w:tcPr>
          <w:p w14:paraId="0AD53826"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138,000.85</w:t>
            </w:r>
          </w:p>
        </w:tc>
        <w:tc>
          <w:tcPr>
            <w:tcW w:w="207" w:type="pct"/>
            <w:vAlign w:val="center"/>
          </w:tcPr>
          <w:p w14:paraId="30D7CF90" w14:textId="77777777" w:rsidR="002D0AE7" w:rsidRDefault="00333EBB">
            <w:pPr>
              <w:rPr>
                <w:rFonts w:ascii="Times New Roman" w:hAnsi="Times New Roman"/>
                <w:color w:val="000000" w:themeColor="text1"/>
                <w:sz w:val="21"/>
                <w:szCs w:val="21"/>
              </w:rPr>
            </w:pPr>
            <w:r>
              <w:rPr>
                <w:rFonts w:ascii="Times New Roman" w:hAnsi="Times New Roman" w:hint="eastAsia"/>
                <w:color w:val="000000" w:themeColor="text1"/>
                <w:sz w:val="21"/>
                <w:szCs w:val="21"/>
              </w:rPr>
              <w:t xml:space="preserve">　</w:t>
            </w:r>
          </w:p>
        </w:tc>
      </w:tr>
      <w:tr w:rsidR="002D0AE7" w14:paraId="747ED5D4" w14:textId="77777777">
        <w:trPr>
          <w:jc w:val="center"/>
        </w:trPr>
        <w:tc>
          <w:tcPr>
            <w:tcW w:w="4121" w:type="pct"/>
          </w:tcPr>
          <w:p w14:paraId="31CB3FBA" w14:textId="77777777" w:rsidR="002D0AE7" w:rsidRDefault="00333EBB">
            <w:pPr>
              <w:pStyle w:val="11"/>
              <w:rPr>
                <w:rFonts w:hint="eastAsia"/>
              </w:rPr>
            </w:pPr>
            <w:r>
              <w:t>少数股东权益影响额</w:t>
            </w:r>
            <w:r>
              <w:rPr>
                <w:rFonts w:hint="eastAsia"/>
              </w:rPr>
              <w:t>（税后）</w:t>
            </w:r>
          </w:p>
        </w:tc>
        <w:tc>
          <w:tcPr>
            <w:tcW w:w="672" w:type="pct"/>
            <w:vAlign w:val="center"/>
          </w:tcPr>
          <w:p w14:paraId="5D589F7B"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657,544.79</w:t>
            </w:r>
          </w:p>
        </w:tc>
        <w:tc>
          <w:tcPr>
            <w:tcW w:w="207" w:type="pct"/>
            <w:vAlign w:val="center"/>
          </w:tcPr>
          <w:p w14:paraId="2BEB1484" w14:textId="77777777" w:rsidR="002D0AE7" w:rsidRDefault="00333EBB">
            <w:pPr>
              <w:rPr>
                <w:rFonts w:ascii="Times New Roman" w:hAnsi="Times New Roman"/>
                <w:color w:val="000000" w:themeColor="text1"/>
                <w:sz w:val="21"/>
                <w:szCs w:val="21"/>
              </w:rPr>
            </w:pPr>
            <w:r>
              <w:rPr>
                <w:rFonts w:ascii="Times New Roman" w:hAnsi="Times New Roman" w:hint="eastAsia"/>
                <w:color w:val="000000" w:themeColor="text1"/>
                <w:sz w:val="21"/>
                <w:szCs w:val="21"/>
              </w:rPr>
              <w:t xml:space="preserve">　</w:t>
            </w:r>
          </w:p>
        </w:tc>
      </w:tr>
      <w:tr w:rsidR="002D0AE7" w14:paraId="5BB5CEB9" w14:textId="77777777">
        <w:trPr>
          <w:jc w:val="center"/>
        </w:trPr>
        <w:tc>
          <w:tcPr>
            <w:tcW w:w="4121" w:type="pct"/>
            <w:vAlign w:val="center"/>
          </w:tcPr>
          <w:p w14:paraId="40DE29F7" w14:textId="77777777" w:rsidR="002D0AE7" w:rsidRDefault="00333EBB">
            <w:pPr>
              <w:pStyle w:val="11"/>
              <w:rPr>
                <w:rFonts w:hint="eastAsia"/>
              </w:rPr>
            </w:pPr>
            <w:r>
              <w:t>合计</w:t>
            </w:r>
          </w:p>
        </w:tc>
        <w:tc>
          <w:tcPr>
            <w:tcW w:w="672" w:type="pct"/>
            <w:vAlign w:val="center"/>
          </w:tcPr>
          <w:p w14:paraId="25FCBDA0" w14:textId="77777777" w:rsidR="002D0AE7" w:rsidRDefault="00333EBB">
            <w:pPr>
              <w:jc w:val="right"/>
              <w:rPr>
                <w:rFonts w:ascii="Times New Roman" w:hAnsi="Times New Roman" w:cs="Times New Roman"/>
                <w:color w:val="000000" w:themeColor="text1"/>
                <w:sz w:val="21"/>
                <w:szCs w:val="21"/>
              </w:rPr>
            </w:pPr>
            <w:r>
              <w:rPr>
                <w:rFonts w:ascii="Times New Roman" w:hAnsi="Times New Roman" w:cs="Times New Roman"/>
                <w:color w:val="000000"/>
                <w:sz w:val="21"/>
                <w:szCs w:val="21"/>
              </w:rPr>
              <w:t>2,429,751.24</w:t>
            </w:r>
          </w:p>
        </w:tc>
        <w:tc>
          <w:tcPr>
            <w:tcW w:w="207" w:type="pct"/>
            <w:vAlign w:val="center"/>
          </w:tcPr>
          <w:p w14:paraId="6C03753E" w14:textId="77777777" w:rsidR="002D0AE7" w:rsidRDefault="00333EBB">
            <w:pPr>
              <w:rPr>
                <w:rFonts w:ascii="Times New Roman" w:hAnsi="Times New Roman"/>
                <w:color w:val="000000" w:themeColor="text1"/>
                <w:sz w:val="21"/>
                <w:szCs w:val="21"/>
              </w:rPr>
            </w:pPr>
            <w:r>
              <w:rPr>
                <w:rFonts w:ascii="Times New Roman" w:hAnsi="Times New Roman" w:hint="eastAsia"/>
                <w:color w:val="000000" w:themeColor="text1"/>
                <w:sz w:val="21"/>
                <w:szCs w:val="21"/>
              </w:rPr>
              <w:t xml:space="preserve">　</w:t>
            </w:r>
          </w:p>
        </w:tc>
      </w:tr>
    </w:tbl>
    <w:bookmarkEnd w:id="293"/>
    <w:bookmarkEnd w:id="294"/>
    <w:bookmarkEnd w:id="295"/>
    <w:p w14:paraId="68C86B24" w14:textId="77777777" w:rsidR="002D0AE7" w:rsidRDefault="00333EBB">
      <w:pPr>
        <w:rPr>
          <w:rFonts w:hint="eastAsia"/>
          <w:color w:val="000000" w:themeColor="text1"/>
        </w:rPr>
      </w:pPr>
      <w:r>
        <w:rPr>
          <w:rFonts w:hint="eastAsia"/>
          <w:color w:val="000000" w:themeColor="text1"/>
        </w:rPr>
        <w:t>对公司</w:t>
      </w:r>
      <w:bookmarkStart w:id="296" w:name="_Hlk169079435"/>
      <w:r>
        <w:rPr>
          <w:rFonts w:hint="eastAsia"/>
          <w:color w:val="000000" w:themeColor="text1"/>
        </w:rPr>
        <w:t>将《公开发行证券的公司信息披露解释性公告第</w:t>
      </w:r>
      <w:r>
        <w:rPr>
          <w:color w:val="000000" w:themeColor="text1"/>
        </w:rPr>
        <w:t>1</w:t>
      </w:r>
      <w:r>
        <w:rPr>
          <w:color w:val="000000" w:themeColor="text1"/>
        </w:rPr>
        <w:t>号</w:t>
      </w:r>
      <w:r>
        <w:rPr>
          <w:color w:val="000000" w:themeColor="text1"/>
        </w:rPr>
        <w:t>——</w:t>
      </w:r>
      <w:r>
        <w:rPr>
          <w:color w:val="000000" w:themeColor="text1"/>
        </w:rPr>
        <w:t>非经常性损益》未列举的项目认定为的非经常性损益项目且金额重大的，以及将《公开发行证券的公司信息披露解释性公告第</w:t>
      </w:r>
      <w:r>
        <w:rPr>
          <w:color w:val="000000" w:themeColor="text1"/>
        </w:rPr>
        <w:t>1</w:t>
      </w:r>
      <w:r>
        <w:rPr>
          <w:color w:val="000000" w:themeColor="text1"/>
        </w:rPr>
        <w:t>号</w:t>
      </w:r>
      <w:r>
        <w:rPr>
          <w:color w:val="000000" w:themeColor="text1"/>
        </w:rPr>
        <w:t>——</w:t>
      </w:r>
      <w:r>
        <w:rPr>
          <w:color w:val="000000" w:themeColor="text1"/>
        </w:rPr>
        <w:t>非经常性损益》中列举的非经常性损益项目界定为经常性损益的项目，应说明原因。</w:t>
      </w:r>
      <w:bookmarkEnd w:id="296"/>
    </w:p>
    <w:sdt>
      <w:sdtPr>
        <w:rPr>
          <w:color w:val="000000" w:themeColor="text1"/>
        </w:rPr>
        <w:alias w:val="是否适用：将非经常性损益项目界定为经常性损益项目[双击切换]"/>
        <w:tag w:val="_GBC_5f8a059d4da1440d8ef10197ecd89cd6"/>
        <w:id w:val="102152432"/>
        <w:placeholder>
          <w:docPart w:val="GBC22222222222222222222222222222"/>
        </w:placeholder>
      </w:sdtPr>
      <w:sdtEndPr/>
      <w:sdtContent>
        <w:p w14:paraId="6BC33F68"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p w14:paraId="3C64783C" w14:textId="77777777" w:rsidR="002D0AE7" w:rsidRDefault="00333EBB">
      <w:pPr>
        <w:spacing w:line="360" w:lineRule="exact"/>
        <w:rPr>
          <w:rFonts w:hint="eastAsia"/>
          <w:color w:val="000000" w:themeColor="text1"/>
        </w:rPr>
      </w:pPr>
      <w:bookmarkStart w:id="297" w:name="_Hlk168058078"/>
      <w:r>
        <w:rPr>
          <w:rFonts w:hint="eastAsia"/>
          <w:color w:val="000000" w:themeColor="text1"/>
        </w:rPr>
        <w:t>其他说明</w:t>
      </w:r>
    </w:p>
    <w:sdt>
      <w:sdtPr>
        <w:rPr>
          <w:color w:val="000000" w:themeColor="text1"/>
        </w:rPr>
        <w:alias w:val="是否适用：非经常性损益的其他说明[双击切换]"/>
        <w:tag w:val="_GBC_98984b33dead4179aa5566c8753f4b5e"/>
        <w:id w:val="1356690999"/>
        <w:placeholder>
          <w:docPart w:val="GBC22222222222222222222222222222"/>
        </w:placeholder>
      </w:sdtPr>
      <w:sdtEndPr/>
      <w:sdtContent>
        <w:p w14:paraId="75656E95" w14:textId="77777777" w:rsidR="002D0AE7" w:rsidRDefault="00333EBB">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√不适用</w:instrText>
          </w:r>
          <w:r>
            <w:rPr>
              <w:rFonts w:hint="eastAsia"/>
              <w:color w:val="000000" w:themeColor="text1"/>
            </w:rPr>
            <w:instrText xml:space="preserve"> </w:instrText>
          </w:r>
          <w:r>
            <w:rPr>
              <w:color w:val="000000" w:themeColor="text1"/>
            </w:rPr>
            <w:fldChar w:fldCharType="end"/>
          </w:r>
        </w:p>
      </w:sdtContent>
    </w:sdt>
    <w:bookmarkEnd w:id="297"/>
    <w:p w14:paraId="4F5053B2" w14:textId="77777777" w:rsidR="002D0AE7" w:rsidRDefault="00333EBB">
      <w:pPr>
        <w:pStyle w:val="3"/>
        <w:numPr>
          <w:ilvl w:val="0"/>
          <w:numId w:val="97"/>
        </w:numPr>
        <w:rPr>
          <w:rFonts w:ascii="宋体" w:hAnsi="宋体" w:hint="eastAsia"/>
          <w:color w:val="000000" w:themeColor="text1"/>
          <w:szCs w:val="21"/>
        </w:rPr>
      </w:pPr>
      <w:r>
        <w:rPr>
          <w:rFonts w:ascii="宋体" w:hAnsi="宋体" w:hint="eastAsia"/>
          <w:color w:val="000000" w:themeColor="text1"/>
          <w:szCs w:val="21"/>
        </w:rPr>
        <w:t>净资产收益率及每股收益</w:t>
      </w:r>
    </w:p>
    <w:sdt>
      <w:sdtPr>
        <w:rPr>
          <w:color w:val="000000" w:themeColor="text1"/>
        </w:rPr>
        <w:alias w:val="是否适用：净资产收益率及每股收益[双击切换]"/>
        <w:tag w:val="_GBC_75866ebc8d184cdd988e79330ad3b083"/>
        <w:id w:val="-1970350488"/>
        <w:placeholder>
          <w:docPart w:val="GBC22222222222222222222222222222"/>
        </w:placeholder>
      </w:sdtPr>
      <w:sdtEndPr/>
      <w:sdtContent>
        <w:p w14:paraId="57A7C062" w14:textId="77777777" w:rsidR="002D0AE7" w:rsidRDefault="00333EBB">
          <w:pPr>
            <w:rPr>
              <w:rFonts w:hint="eastAsia"/>
              <w:color w:val="000000" w:themeColor="text1"/>
            </w:rPr>
          </w:pPr>
          <w:r>
            <w:rPr>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color w:val="000000" w:themeColor="text1"/>
            </w:rPr>
            <w:fldChar w:fldCharType="end"/>
          </w:r>
        </w:p>
      </w:sdtContent>
    </w:sdt>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83"/>
        <w:gridCol w:w="1519"/>
        <w:gridCol w:w="1106"/>
        <w:gridCol w:w="1115"/>
      </w:tblGrid>
      <w:tr w:rsidR="002D0AE7" w14:paraId="35FBDD01" w14:textId="77777777">
        <w:trPr>
          <w:trHeight w:val="270"/>
          <w:jc w:val="center"/>
        </w:trPr>
        <w:sdt>
          <w:sdtPr>
            <w:rPr>
              <w:color w:val="000000" w:themeColor="text1"/>
              <w:sz w:val="21"/>
              <w:szCs w:val="21"/>
            </w:rPr>
            <w:tag w:val="_PLD_680a8ba0e71a45459c0939cd6c78c07f"/>
            <w:id w:val="-1416627363"/>
          </w:sdtPr>
          <w:sdtEndPr/>
          <w:sdtContent>
            <w:tc>
              <w:tcPr>
                <w:tcW w:w="2880" w:type="pct"/>
                <w:vMerge w:val="restart"/>
                <w:tcBorders>
                  <w:top w:val="single" w:sz="4" w:space="0" w:color="auto"/>
                  <w:left w:val="single" w:sz="4" w:space="0" w:color="auto"/>
                  <w:bottom w:val="single" w:sz="4" w:space="0" w:color="auto"/>
                  <w:right w:val="single" w:sz="4" w:space="0" w:color="auto"/>
                </w:tcBorders>
                <w:vAlign w:val="center"/>
              </w:tcPr>
              <w:p w14:paraId="598C5EF2" w14:textId="77777777" w:rsidR="002D0AE7" w:rsidRDefault="00333EBB">
                <w:pPr>
                  <w:jc w:val="center"/>
                  <w:rPr>
                    <w:rFonts w:hint="eastAsia"/>
                    <w:color w:val="000000" w:themeColor="text1"/>
                    <w:sz w:val="21"/>
                    <w:szCs w:val="21"/>
                  </w:rPr>
                </w:pPr>
                <w:r>
                  <w:rPr>
                    <w:color w:val="000000" w:themeColor="text1"/>
                    <w:sz w:val="21"/>
                    <w:szCs w:val="21"/>
                  </w:rPr>
                  <w:t>报告期利润</w:t>
                </w:r>
              </w:p>
            </w:tc>
          </w:sdtContent>
        </w:sdt>
        <w:sdt>
          <w:sdtPr>
            <w:rPr>
              <w:color w:val="000000" w:themeColor="text1"/>
              <w:sz w:val="21"/>
              <w:szCs w:val="21"/>
            </w:rPr>
            <w:tag w:val="_PLD_608d0086e1154f8ca6d3c34247132ef0"/>
            <w:id w:val="-1817706017"/>
          </w:sdtPr>
          <w:sdtEndPr/>
          <w:sdtContent>
            <w:tc>
              <w:tcPr>
                <w:tcW w:w="861" w:type="pct"/>
                <w:vMerge w:val="restart"/>
                <w:tcBorders>
                  <w:top w:val="single" w:sz="4" w:space="0" w:color="auto"/>
                  <w:left w:val="single" w:sz="4" w:space="0" w:color="auto"/>
                  <w:right w:val="single" w:sz="4" w:space="0" w:color="auto"/>
                </w:tcBorders>
                <w:vAlign w:val="center"/>
              </w:tcPr>
              <w:p w14:paraId="7923409A" w14:textId="77777777" w:rsidR="002D0AE7" w:rsidRDefault="00333EBB">
                <w:pPr>
                  <w:jc w:val="center"/>
                  <w:rPr>
                    <w:rFonts w:hint="eastAsia"/>
                    <w:color w:val="000000" w:themeColor="text1"/>
                    <w:sz w:val="21"/>
                    <w:szCs w:val="21"/>
                  </w:rPr>
                </w:pPr>
                <w:r>
                  <w:rPr>
                    <w:color w:val="000000" w:themeColor="text1"/>
                    <w:sz w:val="21"/>
                    <w:szCs w:val="21"/>
                  </w:rPr>
                  <w:t>加权平均净资产收益率（</w:t>
                </w:r>
                <w:r>
                  <w:rPr>
                    <w:color w:val="000000" w:themeColor="text1"/>
                    <w:sz w:val="21"/>
                    <w:szCs w:val="21"/>
                  </w:rPr>
                  <w:t>%</w:t>
                </w:r>
                <w:r>
                  <w:rPr>
                    <w:color w:val="000000" w:themeColor="text1"/>
                    <w:sz w:val="21"/>
                    <w:szCs w:val="21"/>
                  </w:rPr>
                  <w:t>）</w:t>
                </w:r>
              </w:p>
            </w:tc>
          </w:sdtContent>
        </w:sdt>
        <w:sdt>
          <w:sdtPr>
            <w:rPr>
              <w:color w:val="000000" w:themeColor="text1"/>
              <w:sz w:val="21"/>
              <w:szCs w:val="21"/>
            </w:rPr>
            <w:tag w:val="_PLD_8b4a0bf973be4a19862ac5168193db93"/>
            <w:id w:val="580026082"/>
          </w:sdtPr>
          <w:sdtEndPr/>
          <w:sdtContent>
            <w:tc>
              <w:tcPr>
                <w:tcW w:w="1259" w:type="pct"/>
                <w:gridSpan w:val="2"/>
                <w:tcBorders>
                  <w:top w:val="single" w:sz="4" w:space="0" w:color="auto"/>
                  <w:left w:val="single" w:sz="4" w:space="0" w:color="auto"/>
                  <w:bottom w:val="single" w:sz="4" w:space="0" w:color="auto"/>
                  <w:right w:val="single" w:sz="4" w:space="0" w:color="auto"/>
                </w:tcBorders>
                <w:vAlign w:val="center"/>
              </w:tcPr>
              <w:p w14:paraId="58725A37" w14:textId="77777777" w:rsidR="002D0AE7" w:rsidRDefault="00333EBB">
                <w:pPr>
                  <w:jc w:val="center"/>
                  <w:rPr>
                    <w:rFonts w:hint="eastAsia"/>
                    <w:color w:val="000000" w:themeColor="text1"/>
                    <w:sz w:val="21"/>
                    <w:szCs w:val="21"/>
                  </w:rPr>
                </w:pPr>
                <w:r>
                  <w:rPr>
                    <w:color w:val="000000" w:themeColor="text1"/>
                    <w:sz w:val="21"/>
                    <w:szCs w:val="21"/>
                  </w:rPr>
                  <w:t>每股收益</w:t>
                </w:r>
              </w:p>
            </w:tc>
          </w:sdtContent>
        </w:sdt>
      </w:tr>
      <w:tr w:rsidR="002D0AE7" w14:paraId="24AAEC78" w14:textId="77777777">
        <w:trPr>
          <w:trHeight w:val="360"/>
          <w:jc w:val="center"/>
        </w:trPr>
        <w:tc>
          <w:tcPr>
            <w:tcW w:w="2880" w:type="pct"/>
            <w:vMerge/>
            <w:tcBorders>
              <w:top w:val="single" w:sz="4" w:space="0" w:color="auto"/>
              <w:left w:val="single" w:sz="4" w:space="0" w:color="auto"/>
              <w:bottom w:val="single" w:sz="4" w:space="0" w:color="auto"/>
              <w:right w:val="single" w:sz="4" w:space="0" w:color="auto"/>
            </w:tcBorders>
            <w:vAlign w:val="center"/>
          </w:tcPr>
          <w:p w14:paraId="1A5A2DDB" w14:textId="77777777" w:rsidR="002D0AE7" w:rsidRDefault="002D0AE7">
            <w:pPr>
              <w:jc w:val="center"/>
              <w:rPr>
                <w:rFonts w:hint="eastAsia"/>
                <w:color w:val="000000" w:themeColor="text1"/>
                <w:sz w:val="21"/>
                <w:szCs w:val="21"/>
              </w:rPr>
            </w:pPr>
          </w:p>
        </w:tc>
        <w:tc>
          <w:tcPr>
            <w:tcW w:w="861" w:type="pct"/>
            <w:vMerge/>
            <w:tcBorders>
              <w:left w:val="single" w:sz="4" w:space="0" w:color="auto"/>
              <w:bottom w:val="single" w:sz="4" w:space="0" w:color="auto"/>
              <w:right w:val="single" w:sz="4" w:space="0" w:color="auto"/>
            </w:tcBorders>
            <w:vAlign w:val="center"/>
          </w:tcPr>
          <w:p w14:paraId="109DF0C5" w14:textId="77777777" w:rsidR="002D0AE7" w:rsidRDefault="002D0AE7">
            <w:pPr>
              <w:jc w:val="center"/>
              <w:rPr>
                <w:rFonts w:hint="eastAsia"/>
                <w:color w:val="000000" w:themeColor="text1"/>
                <w:sz w:val="21"/>
                <w:szCs w:val="21"/>
              </w:rPr>
            </w:pPr>
          </w:p>
        </w:tc>
        <w:sdt>
          <w:sdtPr>
            <w:rPr>
              <w:color w:val="000000" w:themeColor="text1"/>
              <w:sz w:val="21"/>
              <w:szCs w:val="21"/>
            </w:rPr>
            <w:tag w:val="_PLD_45472770a81744249d77e54c2efc412a"/>
            <w:id w:val="101545261"/>
          </w:sdtPr>
          <w:sdtEndPr/>
          <w:sdtContent>
            <w:tc>
              <w:tcPr>
                <w:tcW w:w="627" w:type="pct"/>
                <w:tcBorders>
                  <w:top w:val="single" w:sz="4" w:space="0" w:color="auto"/>
                  <w:left w:val="single" w:sz="4" w:space="0" w:color="auto"/>
                  <w:bottom w:val="single" w:sz="4" w:space="0" w:color="auto"/>
                  <w:right w:val="single" w:sz="4" w:space="0" w:color="auto"/>
                </w:tcBorders>
                <w:vAlign w:val="center"/>
              </w:tcPr>
              <w:p w14:paraId="162A709D" w14:textId="77777777" w:rsidR="002D0AE7" w:rsidRDefault="00333EBB">
                <w:pPr>
                  <w:jc w:val="center"/>
                  <w:rPr>
                    <w:rFonts w:hint="eastAsia"/>
                    <w:color w:val="000000" w:themeColor="text1"/>
                    <w:sz w:val="21"/>
                    <w:szCs w:val="21"/>
                  </w:rPr>
                </w:pPr>
                <w:r>
                  <w:rPr>
                    <w:color w:val="000000" w:themeColor="text1"/>
                    <w:sz w:val="21"/>
                    <w:szCs w:val="21"/>
                  </w:rPr>
                  <w:t>基本每股收益</w:t>
                </w:r>
              </w:p>
            </w:tc>
          </w:sdtContent>
        </w:sdt>
        <w:sdt>
          <w:sdtPr>
            <w:rPr>
              <w:color w:val="000000" w:themeColor="text1"/>
              <w:sz w:val="21"/>
              <w:szCs w:val="21"/>
            </w:rPr>
            <w:tag w:val="_PLD_c4e5be0bbc134fa28e28895e1a12e02c"/>
            <w:id w:val="-1721204116"/>
          </w:sdtPr>
          <w:sdtEndPr/>
          <w:sdtContent>
            <w:tc>
              <w:tcPr>
                <w:tcW w:w="632" w:type="pct"/>
                <w:tcBorders>
                  <w:top w:val="single" w:sz="4" w:space="0" w:color="auto"/>
                  <w:left w:val="single" w:sz="4" w:space="0" w:color="auto"/>
                  <w:bottom w:val="single" w:sz="4" w:space="0" w:color="auto"/>
                  <w:right w:val="single" w:sz="4" w:space="0" w:color="auto"/>
                </w:tcBorders>
                <w:vAlign w:val="center"/>
              </w:tcPr>
              <w:p w14:paraId="752EEF9A" w14:textId="77777777" w:rsidR="002D0AE7" w:rsidRDefault="00333EBB">
                <w:pPr>
                  <w:jc w:val="center"/>
                  <w:rPr>
                    <w:rFonts w:hint="eastAsia"/>
                    <w:color w:val="000000" w:themeColor="text1"/>
                    <w:sz w:val="21"/>
                    <w:szCs w:val="21"/>
                  </w:rPr>
                </w:pPr>
                <w:r>
                  <w:rPr>
                    <w:color w:val="000000" w:themeColor="text1"/>
                    <w:sz w:val="21"/>
                    <w:szCs w:val="21"/>
                  </w:rPr>
                  <w:t>稀释每股收益</w:t>
                </w:r>
              </w:p>
            </w:tc>
          </w:sdtContent>
        </w:sdt>
      </w:tr>
      <w:tr w:rsidR="002D0AE7" w14:paraId="34C61848" w14:textId="77777777">
        <w:trPr>
          <w:trHeight w:val="360"/>
          <w:jc w:val="center"/>
        </w:trPr>
        <w:tc>
          <w:tcPr>
            <w:tcW w:w="2880" w:type="pct"/>
            <w:tcBorders>
              <w:top w:val="single" w:sz="4" w:space="0" w:color="auto"/>
              <w:left w:val="single" w:sz="4" w:space="0" w:color="auto"/>
              <w:bottom w:val="single" w:sz="4" w:space="0" w:color="auto"/>
              <w:right w:val="single" w:sz="4" w:space="0" w:color="auto"/>
            </w:tcBorders>
          </w:tcPr>
          <w:p w14:paraId="4C3E8572" w14:textId="77777777" w:rsidR="002D0AE7" w:rsidRDefault="00333EBB">
            <w:pPr>
              <w:rPr>
                <w:rFonts w:hint="eastAsia"/>
                <w:color w:val="000000" w:themeColor="text1"/>
                <w:sz w:val="21"/>
                <w:szCs w:val="21"/>
              </w:rPr>
            </w:pPr>
            <w:r>
              <w:rPr>
                <w:color w:val="000000" w:themeColor="text1"/>
                <w:sz w:val="21"/>
                <w:szCs w:val="21"/>
              </w:rPr>
              <w:t>归属于公司普通股股东的净利润</w:t>
            </w:r>
          </w:p>
        </w:tc>
        <w:tc>
          <w:tcPr>
            <w:tcW w:w="861" w:type="pct"/>
            <w:tcBorders>
              <w:top w:val="single" w:sz="4" w:space="0" w:color="auto"/>
              <w:left w:val="single" w:sz="4" w:space="0" w:color="auto"/>
              <w:bottom w:val="single" w:sz="4" w:space="0" w:color="auto"/>
              <w:right w:val="single" w:sz="4" w:space="0" w:color="auto"/>
            </w:tcBorders>
            <w:vAlign w:val="center"/>
          </w:tcPr>
          <w:p w14:paraId="159235B1"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4.72</w:t>
            </w:r>
          </w:p>
        </w:tc>
        <w:tc>
          <w:tcPr>
            <w:tcW w:w="627" w:type="pct"/>
            <w:tcBorders>
              <w:top w:val="single" w:sz="4" w:space="0" w:color="auto"/>
              <w:left w:val="single" w:sz="4" w:space="0" w:color="auto"/>
              <w:bottom w:val="single" w:sz="4" w:space="0" w:color="auto"/>
              <w:right w:val="single" w:sz="4" w:space="0" w:color="auto"/>
            </w:tcBorders>
            <w:vAlign w:val="center"/>
          </w:tcPr>
          <w:p w14:paraId="25228186"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0.130</w:t>
            </w:r>
          </w:p>
        </w:tc>
        <w:tc>
          <w:tcPr>
            <w:tcW w:w="632" w:type="pct"/>
            <w:tcBorders>
              <w:top w:val="single" w:sz="4" w:space="0" w:color="auto"/>
              <w:left w:val="single" w:sz="4" w:space="0" w:color="auto"/>
              <w:bottom w:val="single" w:sz="4" w:space="0" w:color="auto"/>
              <w:right w:val="single" w:sz="4" w:space="0" w:color="auto"/>
            </w:tcBorders>
            <w:vAlign w:val="center"/>
          </w:tcPr>
          <w:p w14:paraId="37CFAA5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0.130</w:t>
            </w:r>
          </w:p>
        </w:tc>
      </w:tr>
      <w:tr w:rsidR="002D0AE7" w14:paraId="2FAA73E3" w14:textId="77777777">
        <w:trPr>
          <w:trHeight w:val="360"/>
          <w:jc w:val="center"/>
        </w:trPr>
        <w:tc>
          <w:tcPr>
            <w:tcW w:w="2880" w:type="pct"/>
            <w:tcBorders>
              <w:top w:val="single" w:sz="4" w:space="0" w:color="auto"/>
              <w:left w:val="single" w:sz="4" w:space="0" w:color="auto"/>
              <w:bottom w:val="single" w:sz="4" w:space="0" w:color="auto"/>
              <w:right w:val="single" w:sz="4" w:space="0" w:color="auto"/>
            </w:tcBorders>
          </w:tcPr>
          <w:p w14:paraId="2E9E4BBD" w14:textId="77777777" w:rsidR="002D0AE7" w:rsidRDefault="00333EBB">
            <w:pPr>
              <w:rPr>
                <w:rFonts w:hint="eastAsia"/>
                <w:color w:val="000000" w:themeColor="text1"/>
                <w:sz w:val="21"/>
                <w:szCs w:val="21"/>
              </w:rPr>
            </w:pPr>
            <w:r>
              <w:rPr>
                <w:color w:val="000000" w:themeColor="text1"/>
                <w:sz w:val="21"/>
                <w:szCs w:val="21"/>
              </w:rPr>
              <w:t>扣除非经常性损益后归属于公司普通股股东的净利润</w:t>
            </w:r>
          </w:p>
        </w:tc>
        <w:tc>
          <w:tcPr>
            <w:tcW w:w="861" w:type="pct"/>
            <w:tcBorders>
              <w:top w:val="single" w:sz="4" w:space="0" w:color="auto"/>
              <w:left w:val="single" w:sz="4" w:space="0" w:color="auto"/>
              <w:bottom w:val="single" w:sz="4" w:space="0" w:color="auto"/>
              <w:right w:val="single" w:sz="4" w:space="0" w:color="auto"/>
            </w:tcBorders>
            <w:vAlign w:val="center"/>
          </w:tcPr>
          <w:p w14:paraId="09CC536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4.64</w:t>
            </w:r>
          </w:p>
        </w:tc>
        <w:tc>
          <w:tcPr>
            <w:tcW w:w="627" w:type="pct"/>
            <w:tcBorders>
              <w:top w:val="single" w:sz="4" w:space="0" w:color="auto"/>
              <w:left w:val="single" w:sz="4" w:space="0" w:color="auto"/>
              <w:bottom w:val="single" w:sz="4" w:space="0" w:color="auto"/>
              <w:right w:val="single" w:sz="4" w:space="0" w:color="auto"/>
            </w:tcBorders>
            <w:vAlign w:val="center"/>
          </w:tcPr>
          <w:p w14:paraId="7EA748D0"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0.128</w:t>
            </w:r>
          </w:p>
        </w:tc>
        <w:tc>
          <w:tcPr>
            <w:tcW w:w="632" w:type="pct"/>
            <w:tcBorders>
              <w:top w:val="single" w:sz="4" w:space="0" w:color="auto"/>
              <w:left w:val="single" w:sz="4" w:space="0" w:color="auto"/>
              <w:bottom w:val="single" w:sz="4" w:space="0" w:color="auto"/>
              <w:right w:val="single" w:sz="4" w:space="0" w:color="auto"/>
            </w:tcBorders>
            <w:vAlign w:val="center"/>
          </w:tcPr>
          <w:p w14:paraId="72A14394" w14:textId="77777777" w:rsidR="002D0AE7" w:rsidRDefault="00333EBB">
            <w:pPr>
              <w:jc w:val="right"/>
              <w:rPr>
                <w:rFonts w:ascii="Times New Roman" w:hAnsi="Times New Roman" w:cs="Times New Roman"/>
                <w:sz w:val="21"/>
                <w:szCs w:val="21"/>
              </w:rPr>
            </w:pPr>
            <w:r>
              <w:rPr>
                <w:rFonts w:ascii="Times New Roman" w:hAnsi="Times New Roman" w:cs="Times New Roman"/>
                <w:sz w:val="21"/>
                <w:szCs w:val="21"/>
              </w:rPr>
              <w:t>0.128</w:t>
            </w:r>
          </w:p>
        </w:tc>
      </w:tr>
    </w:tbl>
    <w:p w14:paraId="392C8D54" w14:textId="77777777" w:rsidR="002D0AE7" w:rsidRDefault="002D0AE7">
      <w:pPr>
        <w:spacing w:line="360" w:lineRule="exact"/>
        <w:ind w:right="5"/>
        <w:rPr>
          <w:rFonts w:hint="eastAsia"/>
          <w:b/>
          <w:bCs/>
          <w:color w:val="000000" w:themeColor="text1"/>
        </w:rPr>
      </w:pPr>
      <w:bookmarkStart w:id="298" w:name="_Hlk76135020"/>
    </w:p>
    <w:p w14:paraId="7D369C63" w14:textId="77777777" w:rsidR="002D0AE7" w:rsidRDefault="002D0AE7">
      <w:pPr>
        <w:spacing w:line="360" w:lineRule="exact"/>
        <w:ind w:right="5"/>
        <w:rPr>
          <w:rFonts w:hint="eastAsia"/>
          <w:b/>
          <w:bCs/>
          <w:color w:val="000000" w:themeColor="text1"/>
        </w:rPr>
      </w:pPr>
    </w:p>
    <w:p w14:paraId="331A901B" w14:textId="77777777" w:rsidR="002D0AE7" w:rsidRDefault="00333EBB">
      <w:pPr>
        <w:wordWrap w:val="0"/>
        <w:spacing w:line="360" w:lineRule="exact"/>
        <w:jc w:val="right"/>
        <w:rPr>
          <w:rFonts w:hint="eastAsia"/>
          <w:color w:val="000000" w:themeColor="text1"/>
          <w:u w:val="single"/>
        </w:rPr>
      </w:pPr>
      <w:r>
        <w:rPr>
          <w:rFonts w:hint="eastAsia"/>
          <w:color w:val="000000" w:themeColor="text1"/>
        </w:rPr>
        <w:lastRenderedPageBreak/>
        <w:t>法定代表人</w:t>
      </w:r>
      <w:r>
        <w:rPr>
          <w:color w:val="000000" w:themeColor="text1"/>
        </w:rPr>
        <w:t>：</w:t>
      </w:r>
      <w:sdt>
        <w:sdtPr>
          <w:rPr>
            <w:color w:val="000000" w:themeColor="text1"/>
          </w:rPr>
          <w:alias w:val="报告发布人"/>
          <w:tag w:val="_GBC_f07cbb7287a94e798691f7fcb5112f49"/>
          <w:id w:val="731591140"/>
          <w:placeholder>
            <w:docPart w:val="GBC22222222222222222222222222222"/>
          </w:placeholder>
        </w:sdtPr>
        <w:sdtEndPr/>
        <w:sdtContent>
          <w:r>
            <w:rPr>
              <w:rFonts w:hint="eastAsia"/>
              <w:color w:val="000000" w:themeColor="text1"/>
            </w:rPr>
            <w:t>李书箱</w:t>
          </w:r>
        </w:sdtContent>
      </w:sdt>
    </w:p>
    <w:p w14:paraId="1D172551" w14:textId="77777777" w:rsidR="002D0AE7" w:rsidRDefault="00333EBB">
      <w:pPr>
        <w:spacing w:line="360" w:lineRule="exact"/>
        <w:jc w:val="right"/>
        <w:rPr>
          <w:rFonts w:hint="eastAsia"/>
          <w:color w:val="000000" w:themeColor="text1"/>
        </w:rPr>
      </w:pPr>
      <w:r>
        <w:rPr>
          <w:color w:val="000000" w:themeColor="text1"/>
        </w:rPr>
        <w:t>董事会批准报送日期：</w:t>
      </w:r>
      <w:sdt>
        <w:sdtPr>
          <w:rPr>
            <w:color w:val="000000" w:themeColor="text1"/>
          </w:rPr>
          <w:alias w:val="报告董事会批准报送日期"/>
          <w:tag w:val="_GBC_56d5d40e768a439aa604555fa2089c42"/>
          <w:id w:val="1320236181"/>
          <w:placeholder>
            <w:docPart w:val="GBC22222222222222222222222222222"/>
          </w:placeholder>
          <w:date w:fullDate="2024-08-28T00:00:00Z">
            <w:dateFormat w:val="yyyy'年'M'月'd'日'"/>
            <w:lid w:val="zh-CN"/>
            <w:storeMappedDataAs w:val="dateTime"/>
            <w:calendar w:val="gregorian"/>
          </w:date>
        </w:sdtPr>
        <w:sdtEndPr/>
        <w:sdtContent>
          <w:r>
            <w:rPr>
              <w:rFonts w:hint="eastAsia"/>
              <w:color w:val="000000" w:themeColor="text1"/>
            </w:rPr>
            <w:t>2024</w:t>
          </w:r>
          <w:r>
            <w:rPr>
              <w:rFonts w:hint="eastAsia"/>
              <w:color w:val="000000" w:themeColor="text1"/>
            </w:rPr>
            <w:t>年</w:t>
          </w:r>
          <w:r>
            <w:rPr>
              <w:rFonts w:hint="eastAsia"/>
              <w:color w:val="000000" w:themeColor="text1"/>
            </w:rPr>
            <w:t>8</w:t>
          </w:r>
          <w:r>
            <w:rPr>
              <w:rFonts w:hint="eastAsia"/>
              <w:color w:val="000000" w:themeColor="text1"/>
            </w:rPr>
            <w:t>月</w:t>
          </w:r>
          <w:r>
            <w:rPr>
              <w:rFonts w:hint="eastAsia"/>
              <w:color w:val="000000" w:themeColor="text1"/>
            </w:rPr>
            <w:t>28</w:t>
          </w:r>
          <w:r>
            <w:rPr>
              <w:rFonts w:hint="eastAsia"/>
              <w:color w:val="000000" w:themeColor="text1"/>
            </w:rPr>
            <w:t>日</w:t>
          </w:r>
        </w:sdtContent>
      </w:sdt>
    </w:p>
    <w:bookmarkEnd w:id="298"/>
    <w:p w14:paraId="1BFF4F2C" w14:textId="77777777" w:rsidR="002D0AE7" w:rsidRDefault="00333EBB">
      <w:pPr>
        <w:spacing w:line="360" w:lineRule="exact"/>
        <w:ind w:right="5"/>
        <w:rPr>
          <w:rFonts w:hint="eastAsia"/>
          <w:b/>
          <w:color w:val="000000" w:themeColor="text1"/>
        </w:rPr>
      </w:pPr>
      <w:r>
        <w:rPr>
          <w:b/>
          <w:color w:val="000000" w:themeColor="text1"/>
        </w:rPr>
        <w:t>修订信息</w:t>
      </w:r>
    </w:p>
    <w:sdt>
      <w:sdtPr>
        <w:rPr>
          <w:b/>
          <w:bCs/>
          <w:color w:val="000000" w:themeColor="text1"/>
        </w:rPr>
        <w:alias w:val="是否适用：修订信息表[双击切换]"/>
        <w:tag w:val="_GBC_77b96fad3b8a43478db82cf4cb9686be"/>
        <w:id w:val="-2114042615"/>
        <w:placeholder>
          <w:docPart w:val="GBC22222222222222222222222222222"/>
        </w:placeholder>
      </w:sdtPr>
      <w:sdtEndPr>
        <w:rPr>
          <w:b w:val="0"/>
        </w:rPr>
      </w:sdtEndPr>
      <w:sdtContent>
        <w:p w14:paraId="2C8D0E0C" w14:textId="77777777" w:rsidR="002D0AE7" w:rsidRDefault="00333EBB">
          <w:pPr>
            <w:rPr>
              <w:rFonts w:hint="eastAsia"/>
              <w:color w:val="000000" w:themeColor="text1"/>
            </w:rPr>
          </w:pPr>
          <w:r>
            <w:rPr>
              <w:bCs/>
              <w:color w:val="000000" w:themeColor="text1"/>
            </w:rPr>
            <w:fldChar w:fldCharType="begin"/>
          </w:r>
          <w:r>
            <w:rPr>
              <w:color w:val="000000" w:themeColor="text1"/>
            </w:rPr>
            <w:instrText xml:space="preserve"> MACROBUTTON  SnrToggleCheckbox □</w:instrText>
          </w:r>
          <w:r>
            <w:rPr>
              <w:color w:val="000000" w:themeColor="text1"/>
            </w:rPr>
            <w:instrText>适用</w:instrText>
          </w:r>
          <w:r>
            <w:rPr>
              <w:color w:val="000000" w:themeColor="text1"/>
            </w:rPr>
            <w:instrText xml:space="preserve"> </w:instrText>
          </w:r>
          <w:r>
            <w:rPr>
              <w:bCs/>
              <w:color w:val="000000" w:themeColor="text1"/>
            </w:rPr>
            <w:fldChar w:fldCharType="end"/>
          </w:r>
          <w:r>
            <w:rPr>
              <w:bCs/>
              <w:color w:val="000000" w:themeColor="text1"/>
            </w:rPr>
            <w:fldChar w:fldCharType="begin"/>
          </w:r>
          <w:r>
            <w:rPr>
              <w:color w:val="000000" w:themeColor="text1"/>
            </w:rPr>
            <w:instrText xml:space="preserve"> MACROBUTTON  SnrToggleCheckbox √</w:instrText>
          </w:r>
          <w:r>
            <w:rPr>
              <w:color w:val="000000" w:themeColor="text1"/>
            </w:rPr>
            <w:instrText>不适用</w:instrText>
          </w:r>
          <w:r>
            <w:rPr>
              <w:color w:val="000000" w:themeColor="text1"/>
            </w:rPr>
            <w:instrText xml:space="preserve"> </w:instrText>
          </w:r>
          <w:r>
            <w:rPr>
              <w:bCs/>
              <w:color w:val="000000" w:themeColor="text1"/>
            </w:rPr>
            <w:fldChar w:fldCharType="end"/>
          </w:r>
        </w:p>
      </w:sdtContent>
    </w:sdt>
    <w:sectPr w:rsidR="002D0AE7">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B1295" w14:textId="77777777" w:rsidR="00333EBB" w:rsidRDefault="00333EBB">
      <w:pPr>
        <w:rPr>
          <w:rFonts w:hint="eastAsia"/>
        </w:rPr>
      </w:pPr>
      <w:r>
        <w:separator/>
      </w:r>
    </w:p>
  </w:endnote>
  <w:endnote w:type="continuationSeparator" w:id="0">
    <w:p w14:paraId="41C9FCAA" w14:textId="77777777" w:rsidR="00333EBB" w:rsidRDefault="00333EB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0" w:usb1="00000000" w:usb2="00000000" w:usb3="00000000" w:csb0="00000001" w:csb1="00000000"/>
  </w:font>
  <w:font w:name="Noto Sans CJK JP Regular">
    <w:altName w:val="微软雅黑"/>
    <w:charset w:val="86"/>
    <w:family w:val="swiss"/>
    <w:pitch w:val="default"/>
    <w:sig w:usb0="00000000" w:usb1="00000000" w:usb2="00000016" w:usb3="00000000" w:csb0="002E0107" w:csb1="00000000"/>
  </w:font>
  <w:font w:name="FZLTSK--GBK1-0">
    <w:altName w:val="Times New Roman"/>
    <w:charset w:val="00"/>
    <w:family w:val="roman"/>
    <w:pitch w:val="default"/>
  </w:font>
  <w:font w:name="宋体-方正超大字符集">
    <w:altName w:val="宋体"/>
    <w:charset w:val="86"/>
    <w:family w:val="script"/>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42696"/>
    </w:sdtPr>
    <w:sdtEndPr/>
    <w:sdtContent>
      <w:sdt>
        <w:sdtPr>
          <w:id w:val="-174577317"/>
        </w:sdtPr>
        <w:sdtEndPr/>
        <w:sdtContent>
          <w:p w14:paraId="5C30024A" w14:textId="77777777" w:rsidR="002D0AE7" w:rsidRDefault="00333EBB">
            <w:pPr>
              <w:pStyle w:val="ab"/>
              <w:jc w:val="center"/>
            </w:pPr>
            <w:r>
              <w:rPr>
                <w:b/>
                <w:bCs/>
              </w:rPr>
              <w:fldChar w:fldCharType="begin"/>
            </w:r>
            <w:r>
              <w:rPr>
                <w:b/>
              </w:rPr>
              <w:instrText>PAGE</w:instrText>
            </w:r>
            <w:r>
              <w:rPr>
                <w:b/>
                <w:bCs/>
              </w:rPr>
              <w:fldChar w:fldCharType="separate"/>
            </w:r>
            <w:r>
              <w:rPr>
                <w:b/>
              </w:rPr>
              <w:t>111</w:t>
            </w:r>
            <w:r>
              <w:rPr>
                <w:b/>
                <w:bCs/>
              </w:rPr>
              <w:fldChar w:fldCharType="end"/>
            </w:r>
            <w:r>
              <w:rPr>
                <w:lang w:val="zh-CN"/>
              </w:rPr>
              <w:t xml:space="preserve"> / </w:t>
            </w:r>
            <w:r>
              <w:rPr>
                <w:b/>
                <w:bCs/>
              </w:rPr>
              <w:fldChar w:fldCharType="begin"/>
            </w:r>
            <w:r>
              <w:rPr>
                <w:b/>
              </w:rPr>
              <w:instrText>NUMPAGES</w:instrText>
            </w:r>
            <w:r>
              <w:rPr>
                <w:b/>
                <w:bCs/>
              </w:rPr>
              <w:fldChar w:fldCharType="separate"/>
            </w:r>
            <w:r>
              <w:rPr>
                <w:b/>
              </w:rPr>
              <w:t>143</w:t>
            </w:r>
            <w:r>
              <w:rPr>
                <w:b/>
                <w:bCs/>
              </w:rPr>
              <w:fldChar w:fldCharType="end"/>
            </w:r>
          </w:p>
        </w:sdtContent>
      </w:sdt>
    </w:sdtContent>
  </w:sdt>
  <w:p w14:paraId="38D4AE65" w14:textId="77777777" w:rsidR="002D0AE7" w:rsidRDefault="002D0A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083C9" w14:textId="77777777" w:rsidR="00333EBB" w:rsidRDefault="00333EBB">
      <w:pPr>
        <w:rPr>
          <w:rFonts w:hint="eastAsia"/>
        </w:rPr>
      </w:pPr>
      <w:r>
        <w:separator/>
      </w:r>
    </w:p>
  </w:footnote>
  <w:footnote w:type="continuationSeparator" w:id="0">
    <w:p w14:paraId="5081E1E5" w14:textId="77777777" w:rsidR="00333EBB" w:rsidRDefault="00333EB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70062" w14:textId="77777777" w:rsidR="002D0AE7" w:rsidRDefault="00333EBB">
    <w:pPr>
      <w:tabs>
        <w:tab w:val="left" w:pos="8364"/>
        <w:tab w:val="left" w:pos="8505"/>
      </w:tabs>
      <w:ind w:rightChars="10" w:right="24"/>
      <w:rPr>
        <w:rFonts w:hint="eastAsia"/>
        <w:b/>
      </w:rPr>
    </w:pPr>
    <w:r>
      <w:rPr>
        <w:rFonts w:hint="eastAsia"/>
      </w:rPr>
      <w:t>2024</w:t>
    </w:r>
    <w:r>
      <w:rPr>
        <w:rFonts w:hint="eastAsia"/>
      </w:rPr>
      <w:t>年半年度报告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3058"/>
    <w:multiLevelType w:val="multilevel"/>
    <w:tmpl w:val="00533058"/>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1C7576E"/>
    <w:multiLevelType w:val="multilevel"/>
    <w:tmpl w:val="01C7576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4364DD5"/>
    <w:multiLevelType w:val="multilevel"/>
    <w:tmpl w:val="04364DD5"/>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3A198F"/>
    <w:multiLevelType w:val="multilevel"/>
    <w:tmpl w:val="063A198F"/>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8793788"/>
    <w:multiLevelType w:val="multilevel"/>
    <w:tmpl w:val="08793788"/>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0918050B"/>
    <w:multiLevelType w:val="multilevel"/>
    <w:tmpl w:val="0918050B"/>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98731CB"/>
    <w:multiLevelType w:val="multilevel"/>
    <w:tmpl w:val="098731CB"/>
    <w:lvl w:ilvl="0">
      <w:start w:val="1"/>
      <w:numFmt w:val="decimal"/>
      <w:lvlText w:val="(%1). "/>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E1F5ED2"/>
    <w:multiLevelType w:val="multilevel"/>
    <w:tmpl w:val="0E1F5ED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0EE939DD"/>
    <w:multiLevelType w:val="multilevel"/>
    <w:tmpl w:val="0EE939DD"/>
    <w:lvl w:ilvl="0">
      <w:start w:val="1"/>
      <w:numFmt w:val="decimal"/>
      <w:lvlText w:val="%1、"/>
      <w:lvlJc w:val="left"/>
      <w:pPr>
        <w:ind w:left="420" w:hanging="420"/>
      </w:pPr>
      <w:rPr>
        <w:rFonts w:ascii="宋体" w:eastAsia="宋体" w:hAnsi="宋体"/>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FB258AF"/>
    <w:multiLevelType w:val="multilevel"/>
    <w:tmpl w:val="0FB258A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104977C1"/>
    <w:multiLevelType w:val="multilevel"/>
    <w:tmpl w:val="104977C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2696DF7"/>
    <w:multiLevelType w:val="multilevel"/>
    <w:tmpl w:val="12696DF7"/>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2EC0EF1"/>
    <w:multiLevelType w:val="multilevel"/>
    <w:tmpl w:val="12EC0EF1"/>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151215BB"/>
    <w:multiLevelType w:val="multilevel"/>
    <w:tmpl w:val="151215BB"/>
    <w:lvl w:ilvl="0">
      <w:start w:val="1"/>
      <w:numFmt w:val="decimal"/>
      <w:lvlText w:val="(%1)"/>
      <w:lvlJc w:val="left"/>
      <w:pPr>
        <w:ind w:left="435" w:hanging="435"/>
      </w:pPr>
      <w:rPr>
        <w:rFonts w:asciiTheme="minorEastAsia" w:eastAsia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5621257"/>
    <w:multiLevelType w:val="multilevel"/>
    <w:tmpl w:val="15621257"/>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169A565E"/>
    <w:multiLevelType w:val="multilevel"/>
    <w:tmpl w:val="169A565E"/>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17316F2F"/>
    <w:multiLevelType w:val="multilevel"/>
    <w:tmpl w:val="17316F2F"/>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185F3408"/>
    <w:multiLevelType w:val="multilevel"/>
    <w:tmpl w:val="185F340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18A812F1"/>
    <w:multiLevelType w:val="multilevel"/>
    <w:tmpl w:val="18A812F1"/>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19B61093"/>
    <w:multiLevelType w:val="multilevel"/>
    <w:tmpl w:val="19B61093"/>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C0A5E4B"/>
    <w:multiLevelType w:val="multilevel"/>
    <w:tmpl w:val="1C0A5E4B"/>
    <w:lvl w:ilvl="0">
      <w:start w:val="1"/>
      <w:numFmt w:val="decimal"/>
      <w:lvlText w:val="(%1)."/>
      <w:lvlJc w:val="left"/>
      <w:pPr>
        <w:ind w:left="440" w:hanging="440"/>
      </w:pPr>
      <w:rPr>
        <w:rFonts w:asciiTheme="majorEastAsia" w:eastAsiaTheme="majorEastAsia" w:hAnsiTheme="majorEastAsia"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1D11584D"/>
    <w:multiLevelType w:val="multilevel"/>
    <w:tmpl w:val="1D11584D"/>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1E235F8B"/>
    <w:multiLevelType w:val="multilevel"/>
    <w:tmpl w:val="1E235F8B"/>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1F7158DD"/>
    <w:multiLevelType w:val="multilevel"/>
    <w:tmpl w:val="1F7158DD"/>
    <w:lvl w:ilvl="0">
      <w:start w:val="1"/>
      <w:numFmt w:val="decimal"/>
      <w:lvlText w:val="(%1). "/>
      <w:lvlJc w:val="left"/>
      <w:pPr>
        <w:ind w:left="704"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F9677B9"/>
    <w:multiLevelType w:val="multilevel"/>
    <w:tmpl w:val="1F9677B9"/>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1FD019D7"/>
    <w:multiLevelType w:val="multilevel"/>
    <w:tmpl w:val="1FD019D7"/>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204F3B0A"/>
    <w:multiLevelType w:val="multilevel"/>
    <w:tmpl w:val="204F3B0A"/>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7" w15:restartNumberingAfterBreak="0">
    <w:nsid w:val="2121200C"/>
    <w:multiLevelType w:val="multilevel"/>
    <w:tmpl w:val="2121200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21516057"/>
    <w:multiLevelType w:val="multilevel"/>
    <w:tmpl w:val="21516057"/>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21F9086D"/>
    <w:multiLevelType w:val="multilevel"/>
    <w:tmpl w:val="21F9086D"/>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15:restartNumberingAfterBreak="0">
    <w:nsid w:val="228F0FB9"/>
    <w:multiLevelType w:val="multilevel"/>
    <w:tmpl w:val="228F0FB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AB9492A"/>
    <w:multiLevelType w:val="multilevel"/>
    <w:tmpl w:val="2AB9492A"/>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2ABA5091"/>
    <w:multiLevelType w:val="multilevel"/>
    <w:tmpl w:val="2ABA5091"/>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AF651E5"/>
    <w:multiLevelType w:val="multilevel"/>
    <w:tmpl w:val="2AF651E5"/>
    <w:lvl w:ilvl="0">
      <w:start w:val="1"/>
      <w:numFmt w:val="decimal"/>
      <w:suff w:val="nothing"/>
      <w:lvlText w:val="(%1). "/>
      <w:lvlJc w:val="left"/>
      <w:pPr>
        <w:ind w:left="420" w:hanging="420"/>
      </w:pPr>
      <w:rPr>
        <w:rFonts w:ascii="宋体" w:eastAsia="宋体" w:hAnsi="宋体" w:hint="eastAsia"/>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2B081EE9"/>
    <w:multiLevelType w:val="multilevel"/>
    <w:tmpl w:val="2B081EE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2C6C7566"/>
    <w:multiLevelType w:val="multilevel"/>
    <w:tmpl w:val="2C6C7566"/>
    <w:lvl w:ilvl="0">
      <w:start w:val="1"/>
      <w:numFmt w:val="decimal"/>
      <w:lvlText w:val="%1、"/>
      <w:lvlJc w:val="left"/>
      <w:pPr>
        <w:ind w:left="440" w:hanging="440"/>
      </w:pPr>
      <w:rPr>
        <w:rFonts w:asciiTheme="majorEastAsia" w:eastAsia="宋体" w:hAnsiTheme="majorEastAsia"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2C7D045A"/>
    <w:multiLevelType w:val="multilevel"/>
    <w:tmpl w:val="2C7D045A"/>
    <w:lvl w:ilvl="0">
      <w:start w:val="1"/>
      <w:numFmt w:val="decimal"/>
      <w:suff w:val="nothing"/>
      <w:lvlText w:val="%1、 "/>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2D223BC3"/>
    <w:multiLevelType w:val="multilevel"/>
    <w:tmpl w:val="2D223BC3"/>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2E827FC5"/>
    <w:multiLevelType w:val="multilevel"/>
    <w:tmpl w:val="2E827FC5"/>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3438131C"/>
    <w:multiLevelType w:val="multilevel"/>
    <w:tmpl w:val="3438131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352D39A8"/>
    <w:multiLevelType w:val="multilevel"/>
    <w:tmpl w:val="352D39A8"/>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356C3B2A"/>
    <w:multiLevelType w:val="multilevel"/>
    <w:tmpl w:val="356C3B2A"/>
    <w:lvl w:ilvl="0">
      <w:start w:val="1"/>
      <w:numFmt w:val="decimal"/>
      <w:lvlText w:val="(%1)."/>
      <w:lvlJc w:val="left"/>
      <w:pPr>
        <w:ind w:left="420" w:hanging="42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36214AF8"/>
    <w:multiLevelType w:val="multilevel"/>
    <w:tmpl w:val="36214AF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37C3610E"/>
    <w:multiLevelType w:val="multilevel"/>
    <w:tmpl w:val="37C3610E"/>
    <w:lvl w:ilvl="0">
      <w:start w:val="1"/>
      <w:numFmt w:val="chineseCountingThousand"/>
      <w:lvlText w:val="%1、"/>
      <w:lvlJc w:val="left"/>
      <w:pPr>
        <w:ind w:left="704" w:hanging="420"/>
      </w:pPr>
      <w:rPr>
        <w:rFonts w:hint="default"/>
        <w:b/>
        <w:i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3D2B6D0A"/>
    <w:multiLevelType w:val="multilevel"/>
    <w:tmpl w:val="3D2B6D0A"/>
    <w:lvl w:ilvl="0">
      <w:start w:val="1"/>
      <w:numFmt w:val="chineseCountingThousand"/>
      <w:lvlText w:val="(%1)"/>
      <w:lvlJc w:val="left"/>
      <w:pPr>
        <w:ind w:left="420" w:hanging="420"/>
      </w:pPr>
      <w:rPr>
        <w:rFonts w:asciiTheme="minorHAnsi" w:hAnsiTheme="minorHAnsi" w:hint="default"/>
      </w:rPr>
    </w:lvl>
    <w:lvl w:ilvl="1">
      <w:start w:val="1"/>
      <w:numFmt w:val="chineseCountingThousand"/>
      <w:lvlText w:val="(%2)"/>
      <w:lvlJc w:val="lef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D620F38"/>
    <w:multiLevelType w:val="multilevel"/>
    <w:tmpl w:val="3D620F38"/>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3DC039A2"/>
    <w:multiLevelType w:val="multilevel"/>
    <w:tmpl w:val="3DC039A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3EA740FE"/>
    <w:multiLevelType w:val="multilevel"/>
    <w:tmpl w:val="3EA740F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8" w15:restartNumberingAfterBreak="0">
    <w:nsid w:val="42F33200"/>
    <w:multiLevelType w:val="multilevel"/>
    <w:tmpl w:val="42F33200"/>
    <w:lvl w:ilvl="0">
      <w:start w:val="1"/>
      <w:numFmt w:val="decimal"/>
      <w:lvlText w:val="%1."/>
      <w:lvlJc w:val="left"/>
      <w:pPr>
        <w:ind w:left="420" w:hanging="420"/>
      </w:pPr>
      <w:rPr>
        <w:rFonts w:asciiTheme="minorEastAsia" w:eastAsiaTheme="minorEastAsia" w:hAnsiTheme="minorEastAsia"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44D151ED"/>
    <w:multiLevelType w:val="multilevel"/>
    <w:tmpl w:val="44D151ED"/>
    <w:lvl w:ilvl="0">
      <w:start w:val="1"/>
      <w:numFmt w:val="decimal"/>
      <w:suff w:val="nothing"/>
      <w:lvlText w:val="(%1)."/>
      <w:lvlJc w:val="left"/>
      <w:pPr>
        <w:ind w:left="562" w:hanging="420"/>
      </w:pPr>
      <w:rPr>
        <w:rFonts w:asciiTheme="minorEastAsia" w:eastAsiaTheme="minorEastAsia" w:hAnsiTheme="minorEastAsia" w:hint="eastAsia"/>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50" w15:restartNumberingAfterBreak="0">
    <w:nsid w:val="45D95701"/>
    <w:multiLevelType w:val="multilevel"/>
    <w:tmpl w:val="45D9570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1" w15:restartNumberingAfterBreak="0">
    <w:nsid w:val="4A125FEF"/>
    <w:multiLevelType w:val="multilevel"/>
    <w:tmpl w:val="4A125FEF"/>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AC23DB8"/>
    <w:multiLevelType w:val="multilevel"/>
    <w:tmpl w:val="4AC23DB8"/>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AF02474"/>
    <w:multiLevelType w:val="multilevel"/>
    <w:tmpl w:val="4AF0247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4" w15:restartNumberingAfterBreak="0">
    <w:nsid w:val="4B8A1F74"/>
    <w:multiLevelType w:val="multilevel"/>
    <w:tmpl w:val="4B8A1F7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5" w15:restartNumberingAfterBreak="0">
    <w:nsid w:val="4B9423DA"/>
    <w:multiLevelType w:val="multilevel"/>
    <w:tmpl w:val="4B9423D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4EAF4C3A"/>
    <w:multiLevelType w:val="multilevel"/>
    <w:tmpl w:val="4EAF4C3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7" w15:restartNumberingAfterBreak="0">
    <w:nsid w:val="511727FE"/>
    <w:multiLevelType w:val="multilevel"/>
    <w:tmpl w:val="511727F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8" w15:restartNumberingAfterBreak="0">
    <w:nsid w:val="51265863"/>
    <w:multiLevelType w:val="multilevel"/>
    <w:tmpl w:val="51265863"/>
    <w:lvl w:ilvl="0">
      <w:start w:val="1"/>
      <w:numFmt w:val="chineseCountingThousand"/>
      <w:suff w:val="space"/>
      <w:lvlText w:val="(%1)"/>
      <w:lvlJc w:val="left"/>
      <w:pPr>
        <w:ind w:left="420" w:hanging="420"/>
      </w:pPr>
      <w:rPr>
        <w:rFonts w:hint="eastAsia"/>
      </w:rPr>
    </w:lvl>
    <w:lvl w:ilvl="1">
      <w:start w:val="1"/>
      <w:numFmt w:val="decimal"/>
      <w:lvlText w:val="(%2). "/>
      <w:lvlJc w:val="left"/>
      <w:pPr>
        <w:ind w:left="840" w:hanging="420"/>
      </w:pPr>
      <w:rPr>
        <w:rFonts w:ascii="宋体" w:eastAsia="宋体" w:hAnsi="宋体"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5141766E"/>
    <w:multiLevelType w:val="multilevel"/>
    <w:tmpl w:val="5141766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0" w15:restartNumberingAfterBreak="0">
    <w:nsid w:val="53651C1C"/>
    <w:multiLevelType w:val="multilevel"/>
    <w:tmpl w:val="53651C1C"/>
    <w:lvl w:ilvl="0">
      <w:start w:val="1"/>
      <w:numFmt w:val="decimal"/>
      <w:lvlText w:val="(%1)."/>
      <w:lvlJc w:val="left"/>
      <w:pPr>
        <w:ind w:left="440" w:hanging="440"/>
      </w:pPr>
      <w:rPr>
        <w:rFonts w:asciiTheme="minorEastAsia" w:eastAsiaTheme="minorEastAsia" w:hAnsiTheme="minorEastAsia"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1" w15:restartNumberingAfterBreak="0">
    <w:nsid w:val="542027AB"/>
    <w:multiLevelType w:val="multilevel"/>
    <w:tmpl w:val="542027AB"/>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573E1F07"/>
    <w:multiLevelType w:val="multilevel"/>
    <w:tmpl w:val="573E1F07"/>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573E2AF3"/>
    <w:multiLevelType w:val="multilevel"/>
    <w:tmpl w:val="573E2AF3"/>
    <w:lvl w:ilvl="0">
      <w:start w:val="1"/>
      <w:numFmt w:val="decimal"/>
      <w:lvlText w:val="(%1)."/>
      <w:lvlJc w:val="left"/>
      <w:pPr>
        <w:ind w:left="545" w:hanging="440"/>
      </w:pPr>
      <w:rPr>
        <w:rFonts w:asciiTheme="majorEastAsia" w:eastAsiaTheme="majorEastAsia" w:hAnsiTheme="majorEastAsia" w:hint="eastAsia"/>
      </w:rPr>
    </w:lvl>
    <w:lvl w:ilvl="1">
      <w:start w:val="1"/>
      <w:numFmt w:val="lowerLetter"/>
      <w:lvlText w:val="%2)"/>
      <w:lvlJc w:val="left"/>
      <w:pPr>
        <w:ind w:left="985" w:hanging="440"/>
      </w:pPr>
    </w:lvl>
    <w:lvl w:ilvl="2">
      <w:start w:val="1"/>
      <w:numFmt w:val="lowerRoman"/>
      <w:lvlText w:val="%3."/>
      <w:lvlJc w:val="right"/>
      <w:pPr>
        <w:ind w:left="1425" w:hanging="440"/>
      </w:pPr>
    </w:lvl>
    <w:lvl w:ilvl="3">
      <w:start w:val="1"/>
      <w:numFmt w:val="decimal"/>
      <w:lvlText w:val="%4."/>
      <w:lvlJc w:val="left"/>
      <w:pPr>
        <w:ind w:left="1865" w:hanging="440"/>
      </w:pPr>
    </w:lvl>
    <w:lvl w:ilvl="4">
      <w:start w:val="1"/>
      <w:numFmt w:val="lowerLetter"/>
      <w:lvlText w:val="%5)"/>
      <w:lvlJc w:val="left"/>
      <w:pPr>
        <w:ind w:left="2305" w:hanging="440"/>
      </w:pPr>
    </w:lvl>
    <w:lvl w:ilvl="5">
      <w:start w:val="1"/>
      <w:numFmt w:val="lowerRoman"/>
      <w:lvlText w:val="%6."/>
      <w:lvlJc w:val="right"/>
      <w:pPr>
        <w:ind w:left="2745" w:hanging="440"/>
      </w:pPr>
    </w:lvl>
    <w:lvl w:ilvl="6">
      <w:start w:val="1"/>
      <w:numFmt w:val="decimal"/>
      <w:lvlText w:val="%7."/>
      <w:lvlJc w:val="left"/>
      <w:pPr>
        <w:ind w:left="3185" w:hanging="440"/>
      </w:pPr>
    </w:lvl>
    <w:lvl w:ilvl="7">
      <w:start w:val="1"/>
      <w:numFmt w:val="lowerLetter"/>
      <w:lvlText w:val="%8)"/>
      <w:lvlJc w:val="left"/>
      <w:pPr>
        <w:ind w:left="3625" w:hanging="440"/>
      </w:pPr>
    </w:lvl>
    <w:lvl w:ilvl="8">
      <w:start w:val="1"/>
      <w:numFmt w:val="lowerRoman"/>
      <w:lvlText w:val="%9."/>
      <w:lvlJc w:val="right"/>
      <w:pPr>
        <w:ind w:left="4065" w:hanging="440"/>
      </w:pPr>
    </w:lvl>
  </w:abstractNum>
  <w:abstractNum w:abstractNumId="64" w15:restartNumberingAfterBreak="0">
    <w:nsid w:val="57D70C03"/>
    <w:multiLevelType w:val="multilevel"/>
    <w:tmpl w:val="57D70C03"/>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15:restartNumberingAfterBreak="0">
    <w:nsid w:val="58433A16"/>
    <w:multiLevelType w:val="multilevel"/>
    <w:tmpl w:val="58433A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6" w15:restartNumberingAfterBreak="0">
    <w:nsid w:val="59862246"/>
    <w:multiLevelType w:val="multilevel"/>
    <w:tmpl w:val="59862246"/>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7" w15:restartNumberingAfterBreak="0">
    <w:nsid w:val="5A3A1DE7"/>
    <w:multiLevelType w:val="multilevel"/>
    <w:tmpl w:val="5A3A1DE7"/>
    <w:lvl w:ilvl="0">
      <w:start w:val="2"/>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5B6A2E9C"/>
    <w:multiLevelType w:val="multilevel"/>
    <w:tmpl w:val="5B6A2E9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9" w15:restartNumberingAfterBreak="0">
    <w:nsid w:val="5C673432"/>
    <w:multiLevelType w:val="multilevel"/>
    <w:tmpl w:val="5C67343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0" w15:restartNumberingAfterBreak="0">
    <w:nsid w:val="5D7B027D"/>
    <w:multiLevelType w:val="multilevel"/>
    <w:tmpl w:val="5D7B027D"/>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5DD2799E"/>
    <w:multiLevelType w:val="multilevel"/>
    <w:tmpl w:val="5DD2799E"/>
    <w:lvl w:ilvl="0">
      <w:start w:val="1"/>
      <w:numFmt w:val="decimal"/>
      <w:suff w:val="nothing"/>
      <w:lvlText w:val="(%1)."/>
      <w:lvlJc w:val="left"/>
      <w:pPr>
        <w:ind w:left="440" w:hanging="440"/>
      </w:pPr>
      <w:rPr>
        <w:rFonts w:asciiTheme="majorEastAsia" w:eastAsia="宋体" w:hAnsiTheme="majorEastAsia"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2" w15:restartNumberingAfterBreak="0">
    <w:nsid w:val="5F405219"/>
    <w:multiLevelType w:val="multilevel"/>
    <w:tmpl w:val="5F405219"/>
    <w:lvl w:ilvl="0">
      <w:start w:val="1"/>
      <w:numFmt w:val="decimal"/>
      <w:lvlText w:val="(%1)."/>
      <w:lvlJc w:val="left"/>
      <w:pPr>
        <w:ind w:left="440" w:hanging="440"/>
      </w:pPr>
      <w:rPr>
        <w:rFonts w:asciiTheme="majorEastAsia" w:eastAsiaTheme="majorEastAsia" w:hAnsiTheme="majorEastAsia"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3" w15:restartNumberingAfterBreak="0">
    <w:nsid w:val="60421A59"/>
    <w:multiLevelType w:val="multilevel"/>
    <w:tmpl w:val="60421A59"/>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63C25BDC"/>
    <w:multiLevelType w:val="multilevel"/>
    <w:tmpl w:val="63C25BDC"/>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5" w15:restartNumberingAfterBreak="0">
    <w:nsid w:val="63C5513C"/>
    <w:multiLevelType w:val="multilevel"/>
    <w:tmpl w:val="63C5513C"/>
    <w:lvl w:ilvl="0">
      <w:start w:val="1"/>
      <w:numFmt w:val="decimal"/>
      <w:suff w:val="nothing"/>
      <w:lvlText w:val="(%1)."/>
      <w:lvlJc w:val="left"/>
      <w:pPr>
        <w:ind w:left="440" w:hanging="440"/>
      </w:pPr>
      <w:rPr>
        <w:rFonts w:asciiTheme="majorEastAsia" w:eastAsia="宋体" w:hAnsiTheme="majorEastAsia"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6" w15:restartNumberingAfterBreak="0">
    <w:nsid w:val="66CA16A7"/>
    <w:multiLevelType w:val="multilevel"/>
    <w:tmpl w:val="66CA16A7"/>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7" w15:restartNumberingAfterBreak="0">
    <w:nsid w:val="69BA4BB7"/>
    <w:multiLevelType w:val="multilevel"/>
    <w:tmpl w:val="69BA4BB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6D7319EB"/>
    <w:multiLevelType w:val="multilevel"/>
    <w:tmpl w:val="6D7319EB"/>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9" w15:restartNumberingAfterBreak="0">
    <w:nsid w:val="6DAA62B1"/>
    <w:multiLevelType w:val="multilevel"/>
    <w:tmpl w:val="6DAA62B1"/>
    <w:lvl w:ilvl="0">
      <w:start w:val="1"/>
      <w:numFmt w:val="decimal"/>
      <w:lvlText w:val="(%1)."/>
      <w:lvlJc w:val="left"/>
      <w:pPr>
        <w:ind w:left="440" w:hanging="440"/>
      </w:pPr>
      <w:rPr>
        <w:rFonts w:asciiTheme="minorEastAsia" w:eastAsiaTheme="minorEastAsia" w:hAnsiTheme="minorEastAsia"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0" w15:restartNumberingAfterBreak="0">
    <w:nsid w:val="6E225922"/>
    <w:multiLevelType w:val="multilevel"/>
    <w:tmpl w:val="6E22592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1" w15:restartNumberingAfterBreak="0">
    <w:nsid w:val="6F111C3A"/>
    <w:multiLevelType w:val="multilevel"/>
    <w:tmpl w:val="6F111C3A"/>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2" w15:restartNumberingAfterBreak="0">
    <w:nsid w:val="701D5786"/>
    <w:multiLevelType w:val="multilevel"/>
    <w:tmpl w:val="701D578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3" w15:restartNumberingAfterBreak="0">
    <w:nsid w:val="70E42A22"/>
    <w:multiLevelType w:val="multilevel"/>
    <w:tmpl w:val="70E42A2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4" w15:restartNumberingAfterBreak="0">
    <w:nsid w:val="72487AEF"/>
    <w:multiLevelType w:val="multilevel"/>
    <w:tmpl w:val="72487AE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73FB28AC"/>
    <w:multiLevelType w:val="multilevel"/>
    <w:tmpl w:val="73FB28AC"/>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6" w15:restartNumberingAfterBreak="0">
    <w:nsid w:val="74024100"/>
    <w:multiLevelType w:val="multilevel"/>
    <w:tmpl w:val="74024100"/>
    <w:lvl w:ilvl="0">
      <w:start w:val="1"/>
      <w:numFmt w:val="decimal"/>
      <w:suff w:val="nothing"/>
      <w:lvlText w:val="(%1)."/>
      <w:lvlJc w:val="left"/>
      <w:pPr>
        <w:ind w:left="440" w:hanging="440"/>
      </w:pPr>
      <w:rPr>
        <w:rFonts w:asciiTheme="minorEastAsia" w:eastAsia="宋体" w:hAnsiTheme="minorEastAsia" w:hint="eastAsia"/>
        <w:b/>
        <w:bCs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7" w15:restartNumberingAfterBreak="0">
    <w:nsid w:val="750508FB"/>
    <w:multiLevelType w:val="multilevel"/>
    <w:tmpl w:val="750508FB"/>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8" w15:restartNumberingAfterBreak="0">
    <w:nsid w:val="75482B44"/>
    <w:multiLevelType w:val="multilevel"/>
    <w:tmpl w:val="75482B44"/>
    <w:lvl w:ilvl="0">
      <w:start w:val="1"/>
      <w:numFmt w:val="decimal"/>
      <w:suff w:val="nothing"/>
      <w:lvlText w:val="(%1). "/>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76B4167B"/>
    <w:multiLevelType w:val="multilevel"/>
    <w:tmpl w:val="76B4167B"/>
    <w:lvl w:ilvl="0">
      <w:start w:val="1"/>
      <w:numFmt w:val="decimal"/>
      <w:lvlText w:val="%1、"/>
      <w:lvlJc w:val="left"/>
      <w:pPr>
        <w:ind w:left="420" w:hanging="420"/>
      </w:pPr>
      <w:rPr>
        <w:rFonts w:ascii="宋体" w:eastAsia="宋体" w:hAnsi="宋体"/>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77111D1D"/>
    <w:multiLevelType w:val="multilevel"/>
    <w:tmpl w:val="77111D1D"/>
    <w:lvl w:ilvl="0">
      <w:start w:val="1"/>
      <w:numFmt w:val="chineseCountingThousand"/>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1" w15:restartNumberingAfterBreak="0">
    <w:nsid w:val="787035DE"/>
    <w:multiLevelType w:val="multilevel"/>
    <w:tmpl w:val="787035DE"/>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7A1266A0"/>
    <w:multiLevelType w:val="multilevel"/>
    <w:tmpl w:val="7A1266A0"/>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3" w15:restartNumberingAfterBreak="0">
    <w:nsid w:val="7B1E025F"/>
    <w:multiLevelType w:val="multilevel"/>
    <w:tmpl w:val="7B1E025F"/>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7B606A2D"/>
    <w:multiLevelType w:val="multilevel"/>
    <w:tmpl w:val="7B606A2D"/>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5" w15:restartNumberingAfterBreak="0">
    <w:nsid w:val="7C0C1B4F"/>
    <w:multiLevelType w:val="multilevel"/>
    <w:tmpl w:val="7C0C1B4F"/>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6" w15:restartNumberingAfterBreak="0">
    <w:nsid w:val="7D07444B"/>
    <w:multiLevelType w:val="multilevel"/>
    <w:tmpl w:val="7D07444B"/>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4864336">
    <w:abstractNumId w:val="43"/>
  </w:num>
  <w:num w:numId="2" w16cid:durableId="1749226268">
    <w:abstractNumId w:val="22"/>
  </w:num>
  <w:num w:numId="3" w16cid:durableId="1279723829">
    <w:abstractNumId w:val="11"/>
  </w:num>
  <w:num w:numId="4" w16cid:durableId="1418134002">
    <w:abstractNumId w:val="26"/>
  </w:num>
  <w:num w:numId="5" w16cid:durableId="570818918">
    <w:abstractNumId w:val="10"/>
  </w:num>
  <w:num w:numId="6" w16cid:durableId="538326144">
    <w:abstractNumId w:val="44"/>
  </w:num>
  <w:num w:numId="7" w16cid:durableId="341398387">
    <w:abstractNumId w:val="15"/>
  </w:num>
  <w:num w:numId="8" w16cid:durableId="479885787">
    <w:abstractNumId w:val="21"/>
  </w:num>
  <w:num w:numId="9" w16cid:durableId="219171174">
    <w:abstractNumId w:val="55"/>
  </w:num>
  <w:num w:numId="10" w16cid:durableId="1264220998">
    <w:abstractNumId w:val="49"/>
  </w:num>
  <w:num w:numId="11" w16cid:durableId="730272259">
    <w:abstractNumId w:val="62"/>
  </w:num>
  <w:num w:numId="12" w16cid:durableId="1273365109">
    <w:abstractNumId w:val="84"/>
  </w:num>
  <w:num w:numId="13" w16cid:durableId="1499612181">
    <w:abstractNumId w:val="31"/>
  </w:num>
  <w:num w:numId="14" w16cid:durableId="1781025802">
    <w:abstractNumId w:val="77"/>
  </w:num>
  <w:num w:numId="15" w16cid:durableId="153491013">
    <w:abstractNumId w:val="2"/>
  </w:num>
  <w:num w:numId="16" w16cid:durableId="1995915178">
    <w:abstractNumId w:val="37"/>
  </w:num>
  <w:num w:numId="17" w16cid:durableId="815146718">
    <w:abstractNumId w:val="4"/>
  </w:num>
  <w:num w:numId="18" w16cid:durableId="87120970">
    <w:abstractNumId w:val="70"/>
  </w:num>
  <w:num w:numId="19" w16cid:durableId="1429739085">
    <w:abstractNumId w:val="25"/>
  </w:num>
  <w:num w:numId="20" w16cid:durableId="567157677">
    <w:abstractNumId w:val="50"/>
  </w:num>
  <w:num w:numId="21" w16cid:durableId="461264700">
    <w:abstractNumId w:val="93"/>
  </w:num>
  <w:num w:numId="22" w16cid:durableId="1656882029">
    <w:abstractNumId w:val="61"/>
  </w:num>
  <w:num w:numId="23" w16cid:durableId="2141874129">
    <w:abstractNumId w:val="45"/>
  </w:num>
  <w:num w:numId="24" w16cid:durableId="1474178758">
    <w:abstractNumId w:val="30"/>
  </w:num>
  <w:num w:numId="25" w16cid:durableId="972054252">
    <w:abstractNumId w:val="52"/>
  </w:num>
  <w:num w:numId="26" w16cid:durableId="803232937">
    <w:abstractNumId w:val="51"/>
  </w:num>
  <w:num w:numId="27" w16cid:durableId="1902474100">
    <w:abstractNumId w:val="67"/>
  </w:num>
  <w:num w:numId="28" w16cid:durableId="670835549">
    <w:abstractNumId w:val="32"/>
  </w:num>
  <w:num w:numId="29" w16cid:durableId="2099904929">
    <w:abstractNumId w:val="83"/>
  </w:num>
  <w:num w:numId="30" w16cid:durableId="1887525669">
    <w:abstractNumId w:val="69"/>
  </w:num>
  <w:num w:numId="31" w16cid:durableId="384371641">
    <w:abstractNumId w:val="14"/>
  </w:num>
  <w:num w:numId="32" w16cid:durableId="1115127739">
    <w:abstractNumId w:val="29"/>
  </w:num>
  <w:num w:numId="33" w16cid:durableId="1111975747">
    <w:abstractNumId w:val="19"/>
  </w:num>
  <w:num w:numId="34" w16cid:durableId="1968194400">
    <w:abstractNumId w:val="90"/>
  </w:num>
  <w:num w:numId="35" w16cid:durableId="574512926">
    <w:abstractNumId w:val="48"/>
  </w:num>
  <w:num w:numId="36" w16cid:durableId="1659456551">
    <w:abstractNumId w:val="46"/>
  </w:num>
  <w:num w:numId="37" w16cid:durableId="548764430">
    <w:abstractNumId w:val="1"/>
  </w:num>
  <w:num w:numId="38" w16cid:durableId="1419330093">
    <w:abstractNumId w:val="27"/>
  </w:num>
  <w:num w:numId="39" w16cid:durableId="1910965245">
    <w:abstractNumId w:val="81"/>
  </w:num>
  <w:num w:numId="40" w16cid:durableId="2025743448">
    <w:abstractNumId w:val="5"/>
  </w:num>
  <w:num w:numId="41" w16cid:durableId="1063990530">
    <w:abstractNumId w:val="24"/>
  </w:num>
  <w:num w:numId="42" w16cid:durableId="1131948050">
    <w:abstractNumId w:val="82"/>
  </w:num>
  <w:num w:numId="43" w16cid:durableId="1735394625">
    <w:abstractNumId w:val="89"/>
  </w:num>
  <w:num w:numId="44" w16cid:durableId="1461531568">
    <w:abstractNumId w:val="17"/>
  </w:num>
  <w:num w:numId="45" w16cid:durableId="135951896">
    <w:abstractNumId w:val="75"/>
  </w:num>
  <w:num w:numId="46" w16cid:durableId="1262759601">
    <w:abstractNumId w:val="12"/>
  </w:num>
  <w:num w:numId="47" w16cid:durableId="1253901730">
    <w:abstractNumId w:val="68"/>
  </w:num>
  <w:num w:numId="48" w16cid:durableId="651956773">
    <w:abstractNumId w:val="80"/>
  </w:num>
  <w:num w:numId="49" w16cid:durableId="803353728">
    <w:abstractNumId w:val="72"/>
  </w:num>
  <w:num w:numId="50" w16cid:durableId="328364833">
    <w:abstractNumId w:val="9"/>
  </w:num>
  <w:num w:numId="51" w16cid:durableId="1248657847">
    <w:abstractNumId w:val="94"/>
  </w:num>
  <w:num w:numId="52" w16cid:durableId="1267687163">
    <w:abstractNumId w:val="16"/>
  </w:num>
  <w:num w:numId="53" w16cid:durableId="31154467">
    <w:abstractNumId w:val="79"/>
  </w:num>
  <w:num w:numId="54" w16cid:durableId="896938961">
    <w:abstractNumId w:val="87"/>
  </w:num>
  <w:num w:numId="55" w16cid:durableId="1166827317">
    <w:abstractNumId w:val="41"/>
  </w:num>
  <w:num w:numId="56" w16cid:durableId="1297372589">
    <w:abstractNumId w:val="91"/>
  </w:num>
  <w:num w:numId="57" w16cid:durableId="420830702">
    <w:abstractNumId w:val="53"/>
  </w:num>
  <w:num w:numId="58" w16cid:durableId="566260681">
    <w:abstractNumId w:val="74"/>
  </w:num>
  <w:num w:numId="59" w16cid:durableId="209533344">
    <w:abstractNumId w:val="33"/>
  </w:num>
  <w:num w:numId="60" w16cid:durableId="1340694186">
    <w:abstractNumId w:val="96"/>
  </w:num>
  <w:num w:numId="61" w16cid:durableId="998264333">
    <w:abstractNumId w:val="38"/>
  </w:num>
  <w:num w:numId="62" w16cid:durableId="1858618967">
    <w:abstractNumId w:val="20"/>
  </w:num>
  <w:num w:numId="63" w16cid:durableId="1276207091">
    <w:abstractNumId w:val="95"/>
  </w:num>
  <w:num w:numId="64" w16cid:durableId="526524357">
    <w:abstractNumId w:val="23"/>
  </w:num>
  <w:num w:numId="65" w16cid:durableId="1147167001">
    <w:abstractNumId w:val="18"/>
  </w:num>
  <w:num w:numId="66" w16cid:durableId="2089109512">
    <w:abstractNumId w:val="40"/>
  </w:num>
  <w:num w:numId="67" w16cid:durableId="103229876">
    <w:abstractNumId w:val="28"/>
  </w:num>
  <w:num w:numId="68" w16cid:durableId="1095904488">
    <w:abstractNumId w:val="60"/>
  </w:num>
  <w:num w:numId="69" w16cid:durableId="1130703773">
    <w:abstractNumId w:val="65"/>
  </w:num>
  <w:num w:numId="70" w16cid:durableId="560603981">
    <w:abstractNumId w:val="86"/>
  </w:num>
  <w:num w:numId="71" w16cid:durableId="121576045">
    <w:abstractNumId w:val="13"/>
  </w:num>
  <w:num w:numId="72" w16cid:durableId="267129206">
    <w:abstractNumId w:val="71"/>
  </w:num>
  <w:num w:numId="73" w16cid:durableId="565800414">
    <w:abstractNumId w:val="73"/>
  </w:num>
  <w:num w:numId="74" w16cid:durableId="424768336">
    <w:abstractNumId w:val="54"/>
  </w:num>
  <w:num w:numId="75" w16cid:durableId="1306005169">
    <w:abstractNumId w:val="57"/>
  </w:num>
  <w:num w:numId="76" w16cid:durableId="1937010541">
    <w:abstractNumId w:val="85"/>
  </w:num>
  <w:num w:numId="77" w16cid:durableId="1039403844">
    <w:abstractNumId w:val="8"/>
  </w:num>
  <w:num w:numId="78" w16cid:durableId="489055864">
    <w:abstractNumId w:val="35"/>
  </w:num>
  <w:num w:numId="79" w16cid:durableId="2115591370">
    <w:abstractNumId w:val="39"/>
  </w:num>
  <w:num w:numId="80" w16cid:durableId="1347517766">
    <w:abstractNumId w:val="7"/>
  </w:num>
  <w:num w:numId="81" w16cid:durableId="2086298492">
    <w:abstractNumId w:val="59"/>
  </w:num>
  <w:num w:numId="82" w16cid:durableId="1492982789">
    <w:abstractNumId w:val="3"/>
  </w:num>
  <w:num w:numId="83" w16cid:durableId="1832401895">
    <w:abstractNumId w:val="78"/>
  </w:num>
  <w:num w:numId="84" w16cid:durableId="1527254795">
    <w:abstractNumId w:val="47"/>
  </w:num>
  <w:num w:numId="85" w16cid:durableId="116921105">
    <w:abstractNumId w:val="64"/>
  </w:num>
  <w:num w:numId="86" w16cid:durableId="734277504">
    <w:abstractNumId w:val="56"/>
  </w:num>
  <w:num w:numId="87" w16cid:durableId="1341157208">
    <w:abstractNumId w:val="34"/>
  </w:num>
  <w:num w:numId="88" w16cid:durableId="1367178121">
    <w:abstractNumId w:val="66"/>
  </w:num>
  <w:num w:numId="89" w16cid:durableId="32273901">
    <w:abstractNumId w:val="42"/>
  </w:num>
  <w:num w:numId="90" w16cid:durableId="1104378978">
    <w:abstractNumId w:val="6"/>
  </w:num>
  <w:num w:numId="91" w16cid:durableId="994647833">
    <w:abstractNumId w:val="58"/>
  </w:num>
  <w:num w:numId="92" w16cid:durableId="1338967029">
    <w:abstractNumId w:val="0"/>
  </w:num>
  <w:num w:numId="93" w16cid:durableId="229852588">
    <w:abstractNumId w:val="92"/>
  </w:num>
  <w:num w:numId="94" w16cid:durableId="694430981">
    <w:abstractNumId w:val="63"/>
  </w:num>
  <w:num w:numId="95" w16cid:durableId="734353484">
    <w:abstractNumId w:val="76"/>
  </w:num>
  <w:num w:numId="96" w16cid:durableId="1788548557">
    <w:abstractNumId w:val="88"/>
  </w:num>
  <w:num w:numId="97" w16cid:durableId="137049453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hideSpellingErrors/>
  <w:attachedTemplate r:id="rId1"/>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E2NGNiNTIwOTQ5ODQwNjc5NTUxZWVhYzViYWI3NzEifQ=="/>
    <w:docVar w:name="Disclosure_Version" w:val="true"/>
    <w:docVar w:name="fix_control_content_version" w:val="1.0"/>
    <w:docVar w:name="RemovedBindingXPath" w:val="true"/>
  </w:docVars>
  <w:rsids>
    <w:rsidRoot w:val="00DD256F"/>
    <w:rsid w:val="000005A6"/>
    <w:rsid w:val="00000650"/>
    <w:rsid w:val="000006AC"/>
    <w:rsid w:val="0000102D"/>
    <w:rsid w:val="0000104D"/>
    <w:rsid w:val="00001469"/>
    <w:rsid w:val="000015C9"/>
    <w:rsid w:val="00001AA3"/>
    <w:rsid w:val="00001B33"/>
    <w:rsid w:val="00001E8C"/>
    <w:rsid w:val="000021DD"/>
    <w:rsid w:val="0000230E"/>
    <w:rsid w:val="000023F5"/>
    <w:rsid w:val="00002545"/>
    <w:rsid w:val="000028BC"/>
    <w:rsid w:val="00002973"/>
    <w:rsid w:val="000033A6"/>
    <w:rsid w:val="000033CD"/>
    <w:rsid w:val="0000372D"/>
    <w:rsid w:val="00003C39"/>
    <w:rsid w:val="0000464C"/>
    <w:rsid w:val="000048B5"/>
    <w:rsid w:val="00004ADF"/>
    <w:rsid w:val="00004E58"/>
    <w:rsid w:val="00005071"/>
    <w:rsid w:val="0000568D"/>
    <w:rsid w:val="00005A2D"/>
    <w:rsid w:val="00005D37"/>
    <w:rsid w:val="00006191"/>
    <w:rsid w:val="000061CF"/>
    <w:rsid w:val="00007207"/>
    <w:rsid w:val="000075B3"/>
    <w:rsid w:val="00007BBB"/>
    <w:rsid w:val="00007BBD"/>
    <w:rsid w:val="00010147"/>
    <w:rsid w:val="0001033D"/>
    <w:rsid w:val="0001041D"/>
    <w:rsid w:val="0001046B"/>
    <w:rsid w:val="000110A4"/>
    <w:rsid w:val="000121BF"/>
    <w:rsid w:val="000122EE"/>
    <w:rsid w:val="0001231A"/>
    <w:rsid w:val="00012469"/>
    <w:rsid w:val="00012702"/>
    <w:rsid w:val="00012825"/>
    <w:rsid w:val="00012AFC"/>
    <w:rsid w:val="00012CBA"/>
    <w:rsid w:val="000130AF"/>
    <w:rsid w:val="000133F7"/>
    <w:rsid w:val="000139E7"/>
    <w:rsid w:val="00013FF0"/>
    <w:rsid w:val="000140AF"/>
    <w:rsid w:val="000141F9"/>
    <w:rsid w:val="00014263"/>
    <w:rsid w:val="00014850"/>
    <w:rsid w:val="0001497A"/>
    <w:rsid w:val="00014DF5"/>
    <w:rsid w:val="000155A0"/>
    <w:rsid w:val="000159B6"/>
    <w:rsid w:val="00015BBF"/>
    <w:rsid w:val="00015DF7"/>
    <w:rsid w:val="00016321"/>
    <w:rsid w:val="00016625"/>
    <w:rsid w:val="00016D21"/>
    <w:rsid w:val="00016F8B"/>
    <w:rsid w:val="000171D4"/>
    <w:rsid w:val="000176B6"/>
    <w:rsid w:val="00017D54"/>
    <w:rsid w:val="00020074"/>
    <w:rsid w:val="000203A5"/>
    <w:rsid w:val="000205AB"/>
    <w:rsid w:val="00020605"/>
    <w:rsid w:val="00020728"/>
    <w:rsid w:val="00020D46"/>
    <w:rsid w:val="00020DB9"/>
    <w:rsid w:val="0002110B"/>
    <w:rsid w:val="00021700"/>
    <w:rsid w:val="00021BD4"/>
    <w:rsid w:val="000224B7"/>
    <w:rsid w:val="000225C5"/>
    <w:rsid w:val="0002292A"/>
    <w:rsid w:val="00022BDA"/>
    <w:rsid w:val="00022EDA"/>
    <w:rsid w:val="0002301E"/>
    <w:rsid w:val="000231BD"/>
    <w:rsid w:val="000231DC"/>
    <w:rsid w:val="00023702"/>
    <w:rsid w:val="000239D2"/>
    <w:rsid w:val="00023BEB"/>
    <w:rsid w:val="00023C73"/>
    <w:rsid w:val="00023D5F"/>
    <w:rsid w:val="00024B79"/>
    <w:rsid w:val="00025469"/>
    <w:rsid w:val="00025E29"/>
    <w:rsid w:val="00025EAF"/>
    <w:rsid w:val="0002612F"/>
    <w:rsid w:val="00026A17"/>
    <w:rsid w:val="00027348"/>
    <w:rsid w:val="000275C9"/>
    <w:rsid w:val="0002798D"/>
    <w:rsid w:val="00027DE9"/>
    <w:rsid w:val="000301D0"/>
    <w:rsid w:val="0003136B"/>
    <w:rsid w:val="00031700"/>
    <w:rsid w:val="000317CB"/>
    <w:rsid w:val="000317E9"/>
    <w:rsid w:val="00031B72"/>
    <w:rsid w:val="0003243D"/>
    <w:rsid w:val="00032BA9"/>
    <w:rsid w:val="00032C24"/>
    <w:rsid w:val="00032FA8"/>
    <w:rsid w:val="0003337C"/>
    <w:rsid w:val="000337FB"/>
    <w:rsid w:val="00033EBB"/>
    <w:rsid w:val="0003408C"/>
    <w:rsid w:val="0003409A"/>
    <w:rsid w:val="00034289"/>
    <w:rsid w:val="000343F2"/>
    <w:rsid w:val="0003468B"/>
    <w:rsid w:val="00034917"/>
    <w:rsid w:val="00034C0D"/>
    <w:rsid w:val="00035352"/>
    <w:rsid w:val="00035464"/>
    <w:rsid w:val="0003626E"/>
    <w:rsid w:val="00036357"/>
    <w:rsid w:val="00036813"/>
    <w:rsid w:val="0003768A"/>
    <w:rsid w:val="00037DB8"/>
    <w:rsid w:val="00037EBC"/>
    <w:rsid w:val="00040830"/>
    <w:rsid w:val="00040925"/>
    <w:rsid w:val="000411AF"/>
    <w:rsid w:val="0004146D"/>
    <w:rsid w:val="00041525"/>
    <w:rsid w:val="00041800"/>
    <w:rsid w:val="00041AC3"/>
    <w:rsid w:val="00042574"/>
    <w:rsid w:val="000429EC"/>
    <w:rsid w:val="000429ED"/>
    <w:rsid w:val="00043335"/>
    <w:rsid w:val="00043483"/>
    <w:rsid w:val="000436FE"/>
    <w:rsid w:val="000438A3"/>
    <w:rsid w:val="00043C00"/>
    <w:rsid w:val="00043E96"/>
    <w:rsid w:val="00043EED"/>
    <w:rsid w:val="00044579"/>
    <w:rsid w:val="000446C9"/>
    <w:rsid w:val="00044D1E"/>
    <w:rsid w:val="00044DDC"/>
    <w:rsid w:val="00044FE0"/>
    <w:rsid w:val="000451ED"/>
    <w:rsid w:val="000453CA"/>
    <w:rsid w:val="00045BAF"/>
    <w:rsid w:val="00045DCB"/>
    <w:rsid w:val="00045F39"/>
    <w:rsid w:val="00046637"/>
    <w:rsid w:val="000468DA"/>
    <w:rsid w:val="00046B18"/>
    <w:rsid w:val="00046BF9"/>
    <w:rsid w:val="00046C4A"/>
    <w:rsid w:val="00046DD2"/>
    <w:rsid w:val="000474D7"/>
    <w:rsid w:val="00047621"/>
    <w:rsid w:val="00047AE9"/>
    <w:rsid w:val="000500CD"/>
    <w:rsid w:val="000500E7"/>
    <w:rsid w:val="000501F1"/>
    <w:rsid w:val="00050236"/>
    <w:rsid w:val="00050420"/>
    <w:rsid w:val="000505C7"/>
    <w:rsid w:val="000506CB"/>
    <w:rsid w:val="000517E2"/>
    <w:rsid w:val="00051A21"/>
    <w:rsid w:val="00051BE5"/>
    <w:rsid w:val="000522FF"/>
    <w:rsid w:val="000526A4"/>
    <w:rsid w:val="00052B89"/>
    <w:rsid w:val="00052D38"/>
    <w:rsid w:val="00052FFA"/>
    <w:rsid w:val="0005335F"/>
    <w:rsid w:val="000534F5"/>
    <w:rsid w:val="00053AE7"/>
    <w:rsid w:val="00053E2E"/>
    <w:rsid w:val="00053F3F"/>
    <w:rsid w:val="000544CE"/>
    <w:rsid w:val="00054612"/>
    <w:rsid w:val="000547C9"/>
    <w:rsid w:val="0005486C"/>
    <w:rsid w:val="00054D34"/>
    <w:rsid w:val="00055534"/>
    <w:rsid w:val="00055816"/>
    <w:rsid w:val="00055ACD"/>
    <w:rsid w:val="00055C3F"/>
    <w:rsid w:val="000561D7"/>
    <w:rsid w:val="000562C7"/>
    <w:rsid w:val="000569CC"/>
    <w:rsid w:val="00056B8B"/>
    <w:rsid w:val="0005719E"/>
    <w:rsid w:val="000578C2"/>
    <w:rsid w:val="00057AD2"/>
    <w:rsid w:val="0006013C"/>
    <w:rsid w:val="00060342"/>
    <w:rsid w:val="000604A6"/>
    <w:rsid w:val="0006075F"/>
    <w:rsid w:val="00060967"/>
    <w:rsid w:val="00060C85"/>
    <w:rsid w:val="00062017"/>
    <w:rsid w:val="000621AE"/>
    <w:rsid w:val="000622D5"/>
    <w:rsid w:val="0006271B"/>
    <w:rsid w:val="0006271F"/>
    <w:rsid w:val="00062AA3"/>
    <w:rsid w:val="00062D8E"/>
    <w:rsid w:val="00063342"/>
    <w:rsid w:val="0006350E"/>
    <w:rsid w:val="000636DE"/>
    <w:rsid w:val="00063893"/>
    <w:rsid w:val="000639D3"/>
    <w:rsid w:val="00063A04"/>
    <w:rsid w:val="00063A13"/>
    <w:rsid w:val="00063EE6"/>
    <w:rsid w:val="0006463F"/>
    <w:rsid w:val="00064ADF"/>
    <w:rsid w:val="0006509F"/>
    <w:rsid w:val="000655E0"/>
    <w:rsid w:val="000658FD"/>
    <w:rsid w:val="00065914"/>
    <w:rsid w:val="00065B7B"/>
    <w:rsid w:val="00065D51"/>
    <w:rsid w:val="00066B5B"/>
    <w:rsid w:val="00066C5E"/>
    <w:rsid w:val="00066C7F"/>
    <w:rsid w:val="00066F8C"/>
    <w:rsid w:val="000670B7"/>
    <w:rsid w:val="0006751E"/>
    <w:rsid w:val="00067AEB"/>
    <w:rsid w:val="00070A06"/>
    <w:rsid w:val="00070D92"/>
    <w:rsid w:val="00070E4B"/>
    <w:rsid w:val="00071243"/>
    <w:rsid w:val="00071310"/>
    <w:rsid w:val="0007147E"/>
    <w:rsid w:val="00072361"/>
    <w:rsid w:val="0007246C"/>
    <w:rsid w:val="000729B8"/>
    <w:rsid w:val="00072D7F"/>
    <w:rsid w:val="0007305C"/>
    <w:rsid w:val="000730ED"/>
    <w:rsid w:val="000732D5"/>
    <w:rsid w:val="00073BC2"/>
    <w:rsid w:val="000745DB"/>
    <w:rsid w:val="00074C4E"/>
    <w:rsid w:val="00074C9F"/>
    <w:rsid w:val="0007507D"/>
    <w:rsid w:val="00075786"/>
    <w:rsid w:val="00075C45"/>
    <w:rsid w:val="00075E3A"/>
    <w:rsid w:val="00075E54"/>
    <w:rsid w:val="00076117"/>
    <w:rsid w:val="00076419"/>
    <w:rsid w:val="000764FD"/>
    <w:rsid w:val="00077397"/>
    <w:rsid w:val="000778E2"/>
    <w:rsid w:val="000778F7"/>
    <w:rsid w:val="0008036E"/>
    <w:rsid w:val="00080509"/>
    <w:rsid w:val="000805BB"/>
    <w:rsid w:val="000808F7"/>
    <w:rsid w:val="000808FF"/>
    <w:rsid w:val="0008095D"/>
    <w:rsid w:val="00080A0F"/>
    <w:rsid w:val="00080C27"/>
    <w:rsid w:val="000816A2"/>
    <w:rsid w:val="00081D4A"/>
    <w:rsid w:val="0008231D"/>
    <w:rsid w:val="000824D2"/>
    <w:rsid w:val="00082700"/>
    <w:rsid w:val="00082A1A"/>
    <w:rsid w:val="00082AB1"/>
    <w:rsid w:val="00082E5B"/>
    <w:rsid w:val="000830E6"/>
    <w:rsid w:val="0008328D"/>
    <w:rsid w:val="0008332B"/>
    <w:rsid w:val="000837F0"/>
    <w:rsid w:val="000839C3"/>
    <w:rsid w:val="00083C1E"/>
    <w:rsid w:val="00084008"/>
    <w:rsid w:val="000841ED"/>
    <w:rsid w:val="00084294"/>
    <w:rsid w:val="00084531"/>
    <w:rsid w:val="00084634"/>
    <w:rsid w:val="00084A03"/>
    <w:rsid w:val="00084A3C"/>
    <w:rsid w:val="00084F00"/>
    <w:rsid w:val="00085C6B"/>
    <w:rsid w:val="00086291"/>
    <w:rsid w:val="000866A2"/>
    <w:rsid w:val="000868AD"/>
    <w:rsid w:val="00086A38"/>
    <w:rsid w:val="000872AC"/>
    <w:rsid w:val="00087446"/>
    <w:rsid w:val="00087492"/>
    <w:rsid w:val="000877EF"/>
    <w:rsid w:val="00087B6F"/>
    <w:rsid w:val="00090454"/>
    <w:rsid w:val="00090892"/>
    <w:rsid w:val="000909F0"/>
    <w:rsid w:val="00090ADC"/>
    <w:rsid w:val="00090C35"/>
    <w:rsid w:val="00090DA2"/>
    <w:rsid w:val="0009141B"/>
    <w:rsid w:val="0009142A"/>
    <w:rsid w:val="00091724"/>
    <w:rsid w:val="00091743"/>
    <w:rsid w:val="000918CD"/>
    <w:rsid w:val="00091930"/>
    <w:rsid w:val="00091E44"/>
    <w:rsid w:val="0009268B"/>
    <w:rsid w:val="000927B1"/>
    <w:rsid w:val="00092823"/>
    <w:rsid w:val="00092C1E"/>
    <w:rsid w:val="00092F5A"/>
    <w:rsid w:val="00092FCE"/>
    <w:rsid w:val="000930A1"/>
    <w:rsid w:val="0009325E"/>
    <w:rsid w:val="000932D6"/>
    <w:rsid w:val="000934F7"/>
    <w:rsid w:val="000938DF"/>
    <w:rsid w:val="00093A9E"/>
    <w:rsid w:val="00094040"/>
    <w:rsid w:val="0009494E"/>
    <w:rsid w:val="00094993"/>
    <w:rsid w:val="00094A55"/>
    <w:rsid w:val="00094ABC"/>
    <w:rsid w:val="00094B11"/>
    <w:rsid w:val="00094FB5"/>
    <w:rsid w:val="00095082"/>
    <w:rsid w:val="000951D6"/>
    <w:rsid w:val="000952C6"/>
    <w:rsid w:val="000952FD"/>
    <w:rsid w:val="00095382"/>
    <w:rsid w:val="00095388"/>
    <w:rsid w:val="000955B9"/>
    <w:rsid w:val="00095CD6"/>
    <w:rsid w:val="00095DC2"/>
    <w:rsid w:val="000960F5"/>
    <w:rsid w:val="00096746"/>
    <w:rsid w:val="0009674E"/>
    <w:rsid w:val="00096E12"/>
    <w:rsid w:val="00097054"/>
    <w:rsid w:val="00097097"/>
    <w:rsid w:val="000974B2"/>
    <w:rsid w:val="000975B1"/>
    <w:rsid w:val="000976C1"/>
    <w:rsid w:val="00097B67"/>
    <w:rsid w:val="00097D61"/>
    <w:rsid w:val="00097E3C"/>
    <w:rsid w:val="000A04A2"/>
    <w:rsid w:val="000A0989"/>
    <w:rsid w:val="000A1026"/>
    <w:rsid w:val="000A11A5"/>
    <w:rsid w:val="000A13AB"/>
    <w:rsid w:val="000A1547"/>
    <w:rsid w:val="000A16A6"/>
    <w:rsid w:val="000A199C"/>
    <w:rsid w:val="000A1CBE"/>
    <w:rsid w:val="000A1FAC"/>
    <w:rsid w:val="000A25F6"/>
    <w:rsid w:val="000A26EE"/>
    <w:rsid w:val="000A3714"/>
    <w:rsid w:val="000A3DD1"/>
    <w:rsid w:val="000A4309"/>
    <w:rsid w:val="000A4AE5"/>
    <w:rsid w:val="000A4C9E"/>
    <w:rsid w:val="000A4D0C"/>
    <w:rsid w:val="000A5126"/>
    <w:rsid w:val="000A5162"/>
    <w:rsid w:val="000A5368"/>
    <w:rsid w:val="000A563E"/>
    <w:rsid w:val="000A5A58"/>
    <w:rsid w:val="000A6026"/>
    <w:rsid w:val="000A6410"/>
    <w:rsid w:val="000A6574"/>
    <w:rsid w:val="000A67B6"/>
    <w:rsid w:val="000A6A70"/>
    <w:rsid w:val="000A6F48"/>
    <w:rsid w:val="000A700E"/>
    <w:rsid w:val="000A7216"/>
    <w:rsid w:val="000A74D2"/>
    <w:rsid w:val="000A76D3"/>
    <w:rsid w:val="000A78D8"/>
    <w:rsid w:val="000A799A"/>
    <w:rsid w:val="000A7C6A"/>
    <w:rsid w:val="000A7FB5"/>
    <w:rsid w:val="000B014F"/>
    <w:rsid w:val="000B0362"/>
    <w:rsid w:val="000B0421"/>
    <w:rsid w:val="000B09B7"/>
    <w:rsid w:val="000B0EE6"/>
    <w:rsid w:val="000B1AD4"/>
    <w:rsid w:val="000B1DB7"/>
    <w:rsid w:val="000B2333"/>
    <w:rsid w:val="000B23C8"/>
    <w:rsid w:val="000B28AE"/>
    <w:rsid w:val="000B28F3"/>
    <w:rsid w:val="000B3182"/>
    <w:rsid w:val="000B31E0"/>
    <w:rsid w:val="000B3557"/>
    <w:rsid w:val="000B363F"/>
    <w:rsid w:val="000B37D0"/>
    <w:rsid w:val="000B3C1D"/>
    <w:rsid w:val="000B4A82"/>
    <w:rsid w:val="000B4B18"/>
    <w:rsid w:val="000B4BDA"/>
    <w:rsid w:val="000B5098"/>
    <w:rsid w:val="000B5590"/>
    <w:rsid w:val="000B5992"/>
    <w:rsid w:val="000B5B67"/>
    <w:rsid w:val="000B5F36"/>
    <w:rsid w:val="000B5F43"/>
    <w:rsid w:val="000B5F9A"/>
    <w:rsid w:val="000B6028"/>
    <w:rsid w:val="000B6B2E"/>
    <w:rsid w:val="000B6BC7"/>
    <w:rsid w:val="000B6C50"/>
    <w:rsid w:val="000B6C66"/>
    <w:rsid w:val="000B717E"/>
    <w:rsid w:val="000C0038"/>
    <w:rsid w:val="000C01B8"/>
    <w:rsid w:val="000C0519"/>
    <w:rsid w:val="000C063C"/>
    <w:rsid w:val="000C0C72"/>
    <w:rsid w:val="000C0D45"/>
    <w:rsid w:val="000C0F63"/>
    <w:rsid w:val="000C1CEC"/>
    <w:rsid w:val="000C2197"/>
    <w:rsid w:val="000C22ED"/>
    <w:rsid w:val="000C25F5"/>
    <w:rsid w:val="000C26F5"/>
    <w:rsid w:val="000C26FC"/>
    <w:rsid w:val="000C29DF"/>
    <w:rsid w:val="000C2A50"/>
    <w:rsid w:val="000C2C2E"/>
    <w:rsid w:val="000C3232"/>
    <w:rsid w:val="000C37A8"/>
    <w:rsid w:val="000C3A06"/>
    <w:rsid w:val="000C3D52"/>
    <w:rsid w:val="000C40B3"/>
    <w:rsid w:val="000C4401"/>
    <w:rsid w:val="000C4768"/>
    <w:rsid w:val="000C4B1F"/>
    <w:rsid w:val="000C4C03"/>
    <w:rsid w:val="000C51AC"/>
    <w:rsid w:val="000C52A2"/>
    <w:rsid w:val="000C5A57"/>
    <w:rsid w:val="000C5B58"/>
    <w:rsid w:val="000C5B78"/>
    <w:rsid w:val="000C60FC"/>
    <w:rsid w:val="000C63C4"/>
    <w:rsid w:val="000C6560"/>
    <w:rsid w:val="000C698C"/>
    <w:rsid w:val="000C6A05"/>
    <w:rsid w:val="000C6CEB"/>
    <w:rsid w:val="000C6DAE"/>
    <w:rsid w:val="000C7371"/>
    <w:rsid w:val="000C7691"/>
    <w:rsid w:val="000C7889"/>
    <w:rsid w:val="000C7C71"/>
    <w:rsid w:val="000C7D9C"/>
    <w:rsid w:val="000C7DF8"/>
    <w:rsid w:val="000C7F30"/>
    <w:rsid w:val="000D057C"/>
    <w:rsid w:val="000D0BC7"/>
    <w:rsid w:val="000D0BE9"/>
    <w:rsid w:val="000D0E23"/>
    <w:rsid w:val="000D1028"/>
    <w:rsid w:val="000D14E3"/>
    <w:rsid w:val="000D15CB"/>
    <w:rsid w:val="000D1B65"/>
    <w:rsid w:val="000D1E55"/>
    <w:rsid w:val="000D2471"/>
    <w:rsid w:val="000D24E7"/>
    <w:rsid w:val="000D26CD"/>
    <w:rsid w:val="000D28CF"/>
    <w:rsid w:val="000D29E2"/>
    <w:rsid w:val="000D2C5E"/>
    <w:rsid w:val="000D2F52"/>
    <w:rsid w:val="000D3B03"/>
    <w:rsid w:val="000D3B07"/>
    <w:rsid w:val="000D4484"/>
    <w:rsid w:val="000D4964"/>
    <w:rsid w:val="000D49EB"/>
    <w:rsid w:val="000D4F66"/>
    <w:rsid w:val="000D5454"/>
    <w:rsid w:val="000D55C3"/>
    <w:rsid w:val="000D5A34"/>
    <w:rsid w:val="000D5D3B"/>
    <w:rsid w:val="000D5D86"/>
    <w:rsid w:val="000D5DC0"/>
    <w:rsid w:val="000D61FD"/>
    <w:rsid w:val="000D636E"/>
    <w:rsid w:val="000D6BCB"/>
    <w:rsid w:val="000D6CDC"/>
    <w:rsid w:val="000D6D8F"/>
    <w:rsid w:val="000D7213"/>
    <w:rsid w:val="000D7307"/>
    <w:rsid w:val="000D7617"/>
    <w:rsid w:val="000D77D1"/>
    <w:rsid w:val="000D7885"/>
    <w:rsid w:val="000D7ABF"/>
    <w:rsid w:val="000E0052"/>
    <w:rsid w:val="000E01A1"/>
    <w:rsid w:val="000E0509"/>
    <w:rsid w:val="000E073D"/>
    <w:rsid w:val="000E0A42"/>
    <w:rsid w:val="000E0C83"/>
    <w:rsid w:val="000E0EB6"/>
    <w:rsid w:val="000E14B7"/>
    <w:rsid w:val="000E1521"/>
    <w:rsid w:val="000E15A7"/>
    <w:rsid w:val="000E165C"/>
    <w:rsid w:val="000E17B3"/>
    <w:rsid w:val="000E18FC"/>
    <w:rsid w:val="000E1A1A"/>
    <w:rsid w:val="000E1ACA"/>
    <w:rsid w:val="000E1E69"/>
    <w:rsid w:val="000E1ED4"/>
    <w:rsid w:val="000E1F6C"/>
    <w:rsid w:val="000E24F4"/>
    <w:rsid w:val="000E2820"/>
    <w:rsid w:val="000E2BE4"/>
    <w:rsid w:val="000E32FE"/>
    <w:rsid w:val="000E3381"/>
    <w:rsid w:val="000E34CD"/>
    <w:rsid w:val="000E35F2"/>
    <w:rsid w:val="000E3894"/>
    <w:rsid w:val="000E3BB8"/>
    <w:rsid w:val="000E3D2D"/>
    <w:rsid w:val="000E40EC"/>
    <w:rsid w:val="000E41A3"/>
    <w:rsid w:val="000E4352"/>
    <w:rsid w:val="000E4B54"/>
    <w:rsid w:val="000E4FE6"/>
    <w:rsid w:val="000E518E"/>
    <w:rsid w:val="000E567C"/>
    <w:rsid w:val="000E56D0"/>
    <w:rsid w:val="000E5B46"/>
    <w:rsid w:val="000E686A"/>
    <w:rsid w:val="000E6C67"/>
    <w:rsid w:val="000E6CD7"/>
    <w:rsid w:val="000E6F8A"/>
    <w:rsid w:val="000E70DA"/>
    <w:rsid w:val="000E7291"/>
    <w:rsid w:val="000E73D8"/>
    <w:rsid w:val="000E7956"/>
    <w:rsid w:val="000E7A93"/>
    <w:rsid w:val="000E7F24"/>
    <w:rsid w:val="000F025D"/>
    <w:rsid w:val="000F0456"/>
    <w:rsid w:val="000F04EC"/>
    <w:rsid w:val="000F0542"/>
    <w:rsid w:val="000F0CF0"/>
    <w:rsid w:val="000F0E9B"/>
    <w:rsid w:val="000F13B4"/>
    <w:rsid w:val="000F192B"/>
    <w:rsid w:val="000F1A6C"/>
    <w:rsid w:val="000F1BF4"/>
    <w:rsid w:val="000F262B"/>
    <w:rsid w:val="000F2990"/>
    <w:rsid w:val="000F2A73"/>
    <w:rsid w:val="000F3016"/>
    <w:rsid w:val="000F3044"/>
    <w:rsid w:val="000F3234"/>
    <w:rsid w:val="000F37AC"/>
    <w:rsid w:val="000F3A6E"/>
    <w:rsid w:val="000F3EBB"/>
    <w:rsid w:val="000F42F3"/>
    <w:rsid w:val="000F438A"/>
    <w:rsid w:val="000F460F"/>
    <w:rsid w:val="000F49E8"/>
    <w:rsid w:val="000F509F"/>
    <w:rsid w:val="000F52DA"/>
    <w:rsid w:val="000F584A"/>
    <w:rsid w:val="000F58FD"/>
    <w:rsid w:val="000F59FB"/>
    <w:rsid w:val="000F5C77"/>
    <w:rsid w:val="000F5E14"/>
    <w:rsid w:val="000F6058"/>
    <w:rsid w:val="000F6468"/>
    <w:rsid w:val="000F6939"/>
    <w:rsid w:val="000F6B1C"/>
    <w:rsid w:val="000F6E38"/>
    <w:rsid w:val="000F6EE3"/>
    <w:rsid w:val="000F7633"/>
    <w:rsid w:val="000F7A62"/>
    <w:rsid w:val="000F7CB8"/>
    <w:rsid w:val="000F7D3C"/>
    <w:rsid w:val="000F7DE6"/>
    <w:rsid w:val="00100112"/>
    <w:rsid w:val="0010063A"/>
    <w:rsid w:val="001007FD"/>
    <w:rsid w:val="00100C63"/>
    <w:rsid w:val="00100D86"/>
    <w:rsid w:val="001012ED"/>
    <w:rsid w:val="00101376"/>
    <w:rsid w:val="001016FB"/>
    <w:rsid w:val="00101B38"/>
    <w:rsid w:val="001022D3"/>
    <w:rsid w:val="001026CF"/>
    <w:rsid w:val="00102E44"/>
    <w:rsid w:val="0010345C"/>
    <w:rsid w:val="0010361C"/>
    <w:rsid w:val="00103661"/>
    <w:rsid w:val="001036AD"/>
    <w:rsid w:val="001038D1"/>
    <w:rsid w:val="00103BDD"/>
    <w:rsid w:val="00104087"/>
    <w:rsid w:val="001044B7"/>
    <w:rsid w:val="001044EA"/>
    <w:rsid w:val="00104850"/>
    <w:rsid w:val="001048FE"/>
    <w:rsid w:val="00104B3B"/>
    <w:rsid w:val="00105238"/>
    <w:rsid w:val="001053DD"/>
    <w:rsid w:val="00105556"/>
    <w:rsid w:val="00105921"/>
    <w:rsid w:val="001059D2"/>
    <w:rsid w:val="001059DB"/>
    <w:rsid w:val="00105F72"/>
    <w:rsid w:val="00106740"/>
    <w:rsid w:val="00107599"/>
    <w:rsid w:val="00107A8E"/>
    <w:rsid w:val="00107CD9"/>
    <w:rsid w:val="00107F48"/>
    <w:rsid w:val="001101A0"/>
    <w:rsid w:val="0011023E"/>
    <w:rsid w:val="00110611"/>
    <w:rsid w:val="00110717"/>
    <w:rsid w:val="00110D00"/>
    <w:rsid w:val="001115B2"/>
    <w:rsid w:val="001116D4"/>
    <w:rsid w:val="00111BAC"/>
    <w:rsid w:val="00111D4E"/>
    <w:rsid w:val="00111E23"/>
    <w:rsid w:val="00112302"/>
    <w:rsid w:val="001126AB"/>
    <w:rsid w:val="001127CC"/>
    <w:rsid w:val="001133FC"/>
    <w:rsid w:val="001137A6"/>
    <w:rsid w:val="001139E6"/>
    <w:rsid w:val="00113B8D"/>
    <w:rsid w:val="00113DDD"/>
    <w:rsid w:val="00114189"/>
    <w:rsid w:val="00114F3A"/>
    <w:rsid w:val="00115685"/>
    <w:rsid w:val="00115730"/>
    <w:rsid w:val="0011587B"/>
    <w:rsid w:val="00115C01"/>
    <w:rsid w:val="00115CFE"/>
    <w:rsid w:val="00116051"/>
    <w:rsid w:val="001163B7"/>
    <w:rsid w:val="001165AE"/>
    <w:rsid w:val="001167C6"/>
    <w:rsid w:val="001167C8"/>
    <w:rsid w:val="001167D2"/>
    <w:rsid w:val="00116934"/>
    <w:rsid w:val="00116B75"/>
    <w:rsid w:val="00116D81"/>
    <w:rsid w:val="001170FA"/>
    <w:rsid w:val="001173A8"/>
    <w:rsid w:val="00117404"/>
    <w:rsid w:val="00117599"/>
    <w:rsid w:val="00117849"/>
    <w:rsid w:val="00117BC3"/>
    <w:rsid w:val="00117EDA"/>
    <w:rsid w:val="0012016D"/>
    <w:rsid w:val="001203D4"/>
    <w:rsid w:val="0012063F"/>
    <w:rsid w:val="00120A6A"/>
    <w:rsid w:val="001214B4"/>
    <w:rsid w:val="00121512"/>
    <w:rsid w:val="0012158F"/>
    <w:rsid w:val="0012188F"/>
    <w:rsid w:val="001219AA"/>
    <w:rsid w:val="00122BA4"/>
    <w:rsid w:val="00123009"/>
    <w:rsid w:val="001230F3"/>
    <w:rsid w:val="0012321F"/>
    <w:rsid w:val="001234DF"/>
    <w:rsid w:val="00123F0A"/>
    <w:rsid w:val="00124C57"/>
    <w:rsid w:val="001252F2"/>
    <w:rsid w:val="00125470"/>
    <w:rsid w:val="00125A27"/>
    <w:rsid w:val="00125B27"/>
    <w:rsid w:val="00125EEF"/>
    <w:rsid w:val="0012608D"/>
    <w:rsid w:val="00126125"/>
    <w:rsid w:val="001261BD"/>
    <w:rsid w:val="00126CBD"/>
    <w:rsid w:val="00127157"/>
    <w:rsid w:val="001272F9"/>
    <w:rsid w:val="001273FD"/>
    <w:rsid w:val="00127648"/>
    <w:rsid w:val="00127E76"/>
    <w:rsid w:val="001304AD"/>
    <w:rsid w:val="00130697"/>
    <w:rsid w:val="00130D6C"/>
    <w:rsid w:val="00130DE5"/>
    <w:rsid w:val="0013119E"/>
    <w:rsid w:val="00131652"/>
    <w:rsid w:val="001316B3"/>
    <w:rsid w:val="0013204C"/>
    <w:rsid w:val="001321A5"/>
    <w:rsid w:val="00132615"/>
    <w:rsid w:val="00132662"/>
    <w:rsid w:val="00132A09"/>
    <w:rsid w:val="00132A1B"/>
    <w:rsid w:val="0013309F"/>
    <w:rsid w:val="00133139"/>
    <w:rsid w:val="001332D2"/>
    <w:rsid w:val="001332EC"/>
    <w:rsid w:val="0013379B"/>
    <w:rsid w:val="00133BDB"/>
    <w:rsid w:val="00133C1E"/>
    <w:rsid w:val="00133E33"/>
    <w:rsid w:val="00133F05"/>
    <w:rsid w:val="001346BE"/>
    <w:rsid w:val="00134B66"/>
    <w:rsid w:val="00134E3C"/>
    <w:rsid w:val="0013528F"/>
    <w:rsid w:val="00135556"/>
    <w:rsid w:val="0013555C"/>
    <w:rsid w:val="0013565E"/>
    <w:rsid w:val="00135794"/>
    <w:rsid w:val="00135FBD"/>
    <w:rsid w:val="00136496"/>
    <w:rsid w:val="00136A9A"/>
    <w:rsid w:val="0013708F"/>
    <w:rsid w:val="001372F3"/>
    <w:rsid w:val="00137562"/>
    <w:rsid w:val="0013785C"/>
    <w:rsid w:val="00137861"/>
    <w:rsid w:val="00137C75"/>
    <w:rsid w:val="00140099"/>
    <w:rsid w:val="00140271"/>
    <w:rsid w:val="001406FF"/>
    <w:rsid w:val="0014081B"/>
    <w:rsid w:val="00140BD7"/>
    <w:rsid w:val="00140D9B"/>
    <w:rsid w:val="00140E08"/>
    <w:rsid w:val="00141331"/>
    <w:rsid w:val="00141419"/>
    <w:rsid w:val="0014153B"/>
    <w:rsid w:val="00141BE5"/>
    <w:rsid w:val="00142014"/>
    <w:rsid w:val="001420C3"/>
    <w:rsid w:val="0014231A"/>
    <w:rsid w:val="00142509"/>
    <w:rsid w:val="0014259C"/>
    <w:rsid w:val="001428B2"/>
    <w:rsid w:val="00142E7D"/>
    <w:rsid w:val="00143309"/>
    <w:rsid w:val="0014344C"/>
    <w:rsid w:val="0014380D"/>
    <w:rsid w:val="00143975"/>
    <w:rsid w:val="00143D08"/>
    <w:rsid w:val="00143F15"/>
    <w:rsid w:val="00143F60"/>
    <w:rsid w:val="00143FDE"/>
    <w:rsid w:val="00144194"/>
    <w:rsid w:val="001444F7"/>
    <w:rsid w:val="001445D9"/>
    <w:rsid w:val="0014483D"/>
    <w:rsid w:val="00144B78"/>
    <w:rsid w:val="00144BF1"/>
    <w:rsid w:val="0014520A"/>
    <w:rsid w:val="00145561"/>
    <w:rsid w:val="001455E9"/>
    <w:rsid w:val="0014596A"/>
    <w:rsid w:val="001459BD"/>
    <w:rsid w:val="001464BB"/>
    <w:rsid w:val="001466E1"/>
    <w:rsid w:val="00146FA2"/>
    <w:rsid w:val="00147584"/>
    <w:rsid w:val="00147823"/>
    <w:rsid w:val="00147900"/>
    <w:rsid w:val="00147BFC"/>
    <w:rsid w:val="00147DB1"/>
    <w:rsid w:val="001501B0"/>
    <w:rsid w:val="0015053F"/>
    <w:rsid w:val="001508C9"/>
    <w:rsid w:val="00150978"/>
    <w:rsid w:val="00150BE7"/>
    <w:rsid w:val="00150E78"/>
    <w:rsid w:val="00150F67"/>
    <w:rsid w:val="001511B5"/>
    <w:rsid w:val="0015156E"/>
    <w:rsid w:val="0015159B"/>
    <w:rsid w:val="001516EE"/>
    <w:rsid w:val="00151EEF"/>
    <w:rsid w:val="00152156"/>
    <w:rsid w:val="00152734"/>
    <w:rsid w:val="0015290B"/>
    <w:rsid w:val="00152B5E"/>
    <w:rsid w:val="00152FE0"/>
    <w:rsid w:val="0015304B"/>
    <w:rsid w:val="00153852"/>
    <w:rsid w:val="00153D60"/>
    <w:rsid w:val="00153F4B"/>
    <w:rsid w:val="00154101"/>
    <w:rsid w:val="001541EB"/>
    <w:rsid w:val="001543D4"/>
    <w:rsid w:val="0015445C"/>
    <w:rsid w:val="0015450F"/>
    <w:rsid w:val="00154A26"/>
    <w:rsid w:val="00154ACD"/>
    <w:rsid w:val="00154B6D"/>
    <w:rsid w:val="00154B81"/>
    <w:rsid w:val="00154E9A"/>
    <w:rsid w:val="0015523D"/>
    <w:rsid w:val="0015549C"/>
    <w:rsid w:val="00155E3E"/>
    <w:rsid w:val="00155FB6"/>
    <w:rsid w:val="00156C03"/>
    <w:rsid w:val="00156F5B"/>
    <w:rsid w:val="00157106"/>
    <w:rsid w:val="00157457"/>
    <w:rsid w:val="0015748D"/>
    <w:rsid w:val="001575B8"/>
    <w:rsid w:val="001575F4"/>
    <w:rsid w:val="001578D8"/>
    <w:rsid w:val="00157BDB"/>
    <w:rsid w:val="00157BF7"/>
    <w:rsid w:val="00157C6F"/>
    <w:rsid w:val="00157CE3"/>
    <w:rsid w:val="00157DE4"/>
    <w:rsid w:val="00160787"/>
    <w:rsid w:val="00160818"/>
    <w:rsid w:val="001608A5"/>
    <w:rsid w:val="001608C9"/>
    <w:rsid w:val="00160B03"/>
    <w:rsid w:val="00160B98"/>
    <w:rsid w:val="001611DA"/>
    <w:rsid w:val="001614D4"/>
    <w:rsid w:val="00161A39"/>
    <w:rsid w:val="00161B38"/>
    <w:rsid w:val="00161CAF"/>
    <w:rsid w:val="0016204C"/>
    <w:rsid w:val="00162669"/>
    <w:rsid w:val="001626DD"/>
    <w:rsid w:val="0016283C"/>
    <w:rsid w:val="00162C8A"/>
    <w:rsid w:val="00163357"/>
    <w:rsid w:val="0016426E"/>
    <w:rsid w:val="00164563"/>
    <w:rsid w:val="00164A18"/>
    <w:rsid w:val="0016523F"/>
    <w:rsid w:val="0016554C"/>
    <w:rsid w:val="00165E4D"/>
    <w:rsid w:val="00165FED"/>
    <w:rsid w:val="001662C0"/>
    <w:rsid w:val="001667A9"/>
    <w:rsid w:val="001668B3"/>
    <w:rsid w:val="0016697E"/>
    <w:rsid w:val="00166CF5"/>
    <w:rsid w:val="00167185"/>
    <w:rsid w:val="00167739"/>
    <w:rsid w:val="00170327"/>
    <w:rsid w:val="0017040F"/>
    <w:rsid w:val="00170450"/>
    <w:rsid w:val="00170461"/>
    <w:rsid w:val="00170481"/>
    <w:rsid w:val="00170650"/>
    <w:rsid w:val="0017134C"/>
    <w:rsid w:val="00171546"/>
    <w:rsid w:val="001715BD"/>
    <w:rsid w:val="00172B6C"/>
    <w:rsid w:val="00172B99"/>
    <w:rsid w:val="00172D69"/>
    <w:rsid w:val="00173329"/>
    <w:rsid w:val="00173583"/>
    <w:rsid w:val="00173821"/>
    <w:rsid w:val="00173ADA"/>
    <w:rsid w:val="00173F1A"/>
    <w:rsid w:val="001742D1"/>
    <w:rsid w:val="0017499B"/>
    <w:rsid w:val="00174A05"/>
    <w:rsid w:val="001754A4"/>
    <w:rsid w:val="00175A98"/>
    <w:rsid w:val="00176294"/>
    <w:rsid w:val="00176395"/>
    <w:rsid w:val="00176532"/>
    <w:rsid w:val="0017692B"/>
    <w:rsid w:val="00176E6E"/>
    <w:rsid w:val="00176E78"/>
    <w:rsid w:val="00177133"/>
    <w:rsid w:val="00177BE3"/>
    <w:rsid w:val="00177D11"/>
    <w:rsid w:val="00177F7C"/>
    <w:rsid w:val="0018000D"/>
    <w:rsid w:val="001806CF"/>
    <w:rsid w:val="00180AC0"/>
    <w:rsid w:val="00180B73"/>
    <w:rsid w:val="00180E29"/>
    <w:rsid w:val="00180F49"/>
    <w:rsid w:val="0018132C"/>
    <w:rsid w:val="001815B8"/>
    <w:rsid w:val="001816A6"/>
    <w:rsid w:val="0018228D"/>
    <w:rsid w:val="00182367"/>
    <w:rsid w:val="001826DB"/>
    <w:rsid w:val="00182709"/>
    <w:rsid w:val="0018280C"/>
    <w:rsid w:val="00182886"/>
    <w:rsid w:val="00182BAC"/>
    <w:rsid w:val="0018313C"/>
    <w:rsid w:val="00183957"/>
    <w:rsid w:val="00183EB2"/>
    <w:rsid w:val="0018413C"/>
    <w:rsid w:val="001844E5"/>
    <w:rsid w:val="00184530"/>
    <w:rsid w:val="00184687"/>
    <w:rsid w:val="001847E6"/>
    <w:rsid w:val="00184EB1"/>
    <w:rsid w:val="00185085"/>
    <w:rsid w:val="001851BD"/>
    <w:rsid w:val="00185D0E"/>
    <w:rsid w:val="0018603E"/>
    <w:rsid w:val="00186113"/>
    <w:rsid w:val="00186249"/>
    <w:rsid w:val="00186391"/>
    <w:rsid w:val="001869C0"/>
    <w:rsid w:val="00186A2D"/>
    <w:rsid w:val="00186C23"/>
    <w:rsid w:val="00186F1C"/>
    <w:rsid w:val="00187328"/>
    <w:rsid w:val="00187855"/>
    <w:rsid w:val="00187858"/>
    <w:rsid w:val="001878D9"/>
    <w:rsid w:val="00187D92"/>
    <w:rsid w:val="00187FB7"/>
    <w:rsid w:val="0019008D"/>
    <w:rsid w:val="0019022B"/>
    <w:rsid w:val="0019037D"/>
    <w:rsid w:val="001903E0"/>
    <w:rsid w:val="00190828"/>
    <w:rsid w:val="00190C90"/>
    <w:rsid w:val="0019126B"/>
    <w:rsid w:val="00191C4F"/>
    <w:rsid w:val="00191CAC"/>
    <w:rsid w:val="00191E6F"/>
    <w:rsid w:val="001921F0"/>
    <w:rsid w:val="00192350"/>
    <w:rsid w:val="00192474"/>
    <w:rsid w:val="00192617"/>
    <w:rsid w:val="00192C83"/>
    <w:rsid w:val="00192CCC"/>
    <w:rsid w:val="00193278"/>
    <w:rsid w:val="001933C4"/>
    <w:rsid w:val="0019388E"/>
    <w:rsid w:val="00193C5E"/>
    <w:rsid w:val="001948EB"/>
    <w:rsid w:val="0019495C"/>
    <w:rsid w:val="00194F95"/>
    <w:rsid w:val="00195857"/>
    <w:rsid w:val="00195A1C"/>
    <w:rsid w:val="00195DE7"/>
    <w:rsid w:val="00195DFE"/>
    <w:rsid w:val="00196123"/>
    <w:rsid w:val="00196E4C"/>
    <w:rsid w:val="00196F3D"/>
    <w:rsid w:val="0019711B"/>
    <w:rsid w:val="0019763C"/>
    <w:rsid w:val="001976BC"/>
    <w:rsid w:val="001976E5"/>
    <w:rsid w:val="0019788A"/>
    <w:rsid w:val="0019799A"/>
    <w:rsid w:val="00197B91"/>
    <w:rsid w:val="00197C0F"/>
    <w:rsid w:val="00197C1F"/>
    <w:rsid w:val="001A02FE"/>
    <w:rsid w:val="001A0584"/>
    <w:rsid w:val="001A0769"/>
    <w:rsid w:val="001A0BFC"/>
    <w:rsid w:val="001A0C34"/>
    <w:rsid w:val="001A0F7A"/>
    <w:rsid w:val="001A116E"/>
    <w:rsid w:val="001A1203"/>
    <w:rsid w:val="001A1A11"/>
    <w:rsid w:val="001A1B9B"/>
    <w:rsid w:val="001A2056"/>
    <w:rsid w:val="001A2255"/>
    <w:rsid w:val="001A25C7"/>
    <w:rsid w:val="001A26F2"/>
    <w:rsid w:val="001A27A6"/>
    <w:rsid w:val="001A2AD1"/>
    <w:rsid w:val="001A2B2B"/>
    <w:rsid w:val="001A2F0C"/>
    <w:rsid w:val="001A3215"/>
    <w:rsid w:val="001A3375"/>
    <w:rsid w:val="001A34C9"/>
    <w:rsid w:val="001A35C2"/>
    <w:rsid w:val="001A3637"/>
    <w:rsid w:val="001A37C6"/>
    <w:rsid w:val="001A3C77"/>
    <w:rsid w:val="001A409E"/>
    <w:rsid w:val="001A4780"/>
    <w:rsid w:val="001A4881"/>
    <w:rsid w:val="001A4B57"/>
    <w:rsid w:val="001A4F7F"/>
    <w:rsid w:val="001A5089"/>
    <w:rsid w:val="001A5C35"/>
    <w:rsid w:val="001A5C8D"/>
    <w:rsid w:val="001A5F81"/>
    <w:rsid w:val="001A6342"/>
    <w:rsid w:val="001A637E"/>
    <w:rsid w:val="001A652B"/>
    <w:rsid w:val="001A657D"/>
    <w:rsid w:val="001A6F75"/>
    <w:rsid w:val="001A7C88"/>
    <w:rsid w:val="001A7F1C"/>
    <w:rsid w:val="001B0143"/>
    <w:rsid w:val="001B0472"/>
    <w:rsid w:val="001B06B5"/>
    <w:rsid w:val="001B0B8E"/>
    <w:rsid w:val="001B102B"/>
    <w:rsid w:val="001B11CD"/>
    <w:rsid w:val="001B1ADB"/>
    <w:rsid w:val="001B1B4D"/>
    <w:rsid w:val="001B1D8E"/>
    <w:rsid w:val="001B20B4"/>
    <w:rsid w:val="001B21B7"/>
    <w:rsid w:val="001B25DB"/>
    <w:rsid w:val="001B25DC"/>
    <w:rsid w:val="001B2678"/>
    <w:rsid w:val="001B2F0C"/>
    <w:rsid w:val="001B408B"/>
    <w:rsid w:val="001B40F8"/>
    <w:rsid w:val="001B472A"/>
    <w:rsid w:val="001B4B35"/>
    <w:rsid w:val="001B531E"/>
    <w:rsid w:val="001B55DF"/>
    <w:rsid w:val="001B5EAC"/>
    <w:rsid w:val="001B616C"/>
    <w:rsid w:val="001B61F8"/>
    <w:rsid w:val="001B627A"/>
    <w:rsid w:val="001B63F7"/>
    <w:rsid w:val="001B648A"/>
    <w:rsid w:val="001B6C5E"/>
    <w:rsid w:val="001B75FB"/>
    <w:rsid w:val="001B76F4"/>
    <w:rsid w:val="001B77C3"/>
    <w:rsid w:val="001C0611"/>
    <w:rsid w:val="001C0653"/>
    <w:rsid w:val="001C0748"/>
    <w:rsid w:val="001C114E"/>
    <w:rsid w:val="001C1332"/>
    <w:rsid w:val="001C1358"/>
    <w:rsid w:val="001C164F"/>
    <w:rsid w:val="001C16F0"/>
    <w:rsid w:val="001C1BF1"/>
    <w:rsid w:val="001C1EEF"/>
    <w:rsid w:val="001C206C"/>
    <w:rsid w:val="001C243C"/>
    <w:rsid w:val="001C24BF"/>
    <w:rsid w:val="001C26A0"/>
    <w:rsid w:val="001C2748"/>
    <w:rsid w:val="001C2900"/>
    <w:rsid w:val="001C2BDA"/>
    <w:rsid w:val="001C2C05"/>
    <w:rsid w:val="001C2E70"/>
    <w:rsid w:val="001C2F81"/>
    <w:rsid w:val="001C302B"/>
    <w:rsid w:val="001C3467"/>
    <w:rsid w:val="001C3C8B"/>
    <w:rsid w:val="001C3EFA"/>
    <w:rsid w:val="001C3F9F"/>
    <w:rsid w:val="001C41F9"/>
    <w:rsid w:val="001C43BB"/>
    <w:rsid w:val="001C479F"/>
    <w:rsid w:val="001C499B"/>
    <w:rsid w:val="001C4AC0"/>
    <w:rsid w:val="001C4B0F"/>
    <w:rsid w:val="001C4F2F"/>
    <w:rsid w:val="001C5048"/>
    <w:rsid w:val="001C5504"/>
    <w:rsid w:val="001C62B5"/>
    <w:rsid w:val="001C685A"/>
    <w:rsid w:val="001C6A27"/>
    <w:rsid w:val="001C6E80"/>
    <w:rsid w:val="001C70C3"/>
    <w:rsid w:val="001C7153"/>
    <w:rsid w:val="001C78B4"/>
    <w:rsid w:val="001C7937"/>
    <w:rsid w:val="001C7BD4"/>
    <w:rsid w:val="001C7C01"/>
    <w:rsid w:val="001C7CA1"/>
    <w:rsid w:val="001D076B"/>
    <w:rsid w:val="001D09D0"/>
    <w:rsid w:val="001D12A0"/>
    <w:rsid w:val="001D14AC"/>
    <w:rsid w:val="001D169E"/>
    <w:rsid w:val="001D19A9"/>
    <w:rsid w:val="001D1AF1"/>
    <w:rsid w:val="001D2208"/>
    <w:rsid w:val="001D25CB"/>
    <w:rsid w:val="001D272E"/>
    <w:rsid w:val="001D285A"/>
    <w:rsid w:val="001D2ABC"/>
    <w:rsid w:val="001D2C3C"/>
    <w:rsid w:val="001D2DA2"/>
    <w:rsid w:val="001D2EE3"/>
    <w:rsid w:val="001D3318"/>
    <w:rsid w:val="001D371D"/>
    <w:rsid w:val="001D38C2"/>
    <w:rsid w:val="001D46DF"/>
    <w:rsid w:val="001D480F"/>
    <w:rsid w:val="001D48A4"/>
    <w:rsid w:val="001D5016"/>
    <w:rsid w:val="001D5589"/>
    <w:rsid w:val="001D599D"/>
    <w:rsid w:val="001D66F1"/>
    <w:rsid w:val="001D6C22"/>
    <w:rsid w:val="001D701F"/>
    <w:rsid w:val="001D70BF"/>
    <w:rsid w:val="001D7BCD"/>
    <w:rsid w:val="001D7D28"/>
    <w:rsid w:val="001E00D9"/>
    <w:rsid w:val="001E04DE"/>
    <w:rsid w:val="001E05B5"/>
    <w:rsid w:val="001E0A22"/>
    <w:rsid w:val="001E0A77"/>
    <w:rsid w:val="001E0F47"/>
    <w:rsid w:val="001E111C"/>
    <w:rsid w:val="001E13C5"/>
    <w:rsid w:val="001E16A2"/>
    <w:rsid w:val="001E1874"/>
    <w:rsid w:val="001E18AC"/>
    <w:rsid w:val="001E1926"/>
    <w:rsid w:val="001E1D67"/>
    <w:rsid w:val="001E20D5"/>
    <w:rsid w:val="001E20E5"/>
    <w:rsid w:val="001E24B5"/>
    <w:rsid w:val="001E2729"/>
    <w:rsid w:val="001E27EC"/>
    <w:rsid w:val="001E2AC2"/>
    <w:rsid w:val="001E2E8E"/>
    <w:rsid w:val="001E3187"/>
    <w:rsid w:val="001E33E4"/>
    <w:rsid w:val="001E35BF"/>
    <w:rsid w:val="001E35D2"/>
    <w:rsid w:val="001E37CF"/>
    <w:rsid w:val="001E4B1D"/>
    <w:rsid w:val="001E4BA8"/>
    <w:rsid w:val="001E5017"/>
    <w:rsid w:val="001E5479"/>
    <w:rsid w:val="001E55CD"/>
    <w:rsid w:val="001E5737"/>
    <w:rsid w:val="001E5CB4"/>
    <w:rsid w:val="001E5F29"/>
    <w:rsid w:val="001E61D1"/>
    <w:rsid w:val="001E6802"/>
    <w:rsid w:val="001E6B0E"/>
    <w:rsid w:val="001E6D5D"/>
    <w:rsid w:val="001E6E89"/>
    <w:rsid w:val="001E6EE1"/>
    <w:rsid w:val="001E7E60"/>
    <w:rsid w:val="001F018E"/>
    <w:rsid w:val="001F019F"/>
    <w:rsid w:val="001F07B9"/>
    <w:rsid w:val="001F09C2"/>
    <w:rsid w:val="001F0B04"/>
    <w:rsid w:val="001F0C13"/>
    <w:rsid w:val="001F126D"/>
    <w:rsid w:val="001F1389"/>
    <w:rsid w:val="001F157A"/>
    <w:rsid w:val="001F1868"/>
    <w:rsid w:val="001F1A82"/>
    <w:rsid w:val="001F2449"/>
    <w:rsid w:val="001F2645"/>
    <w:rsid w:val="001F27A3"/>
    <w:rsid w:val="001F294E"/>
    <w:rsid w:val="001F2A1C"/>
    <w:rsid w:val="001F2A57"/>
    <w:rsid w:val="001F2DCA"/>
    <w:rsid w:val="001F2E7E"/>
    <w:rsid w:val="001F2E91"/>
    <w:rsid w:val="001F30EE"/>
    <w:rsid w:val="001F3221"/>
    <w:rsid w:val="001F33A0"/>
    <w:rsid w:val="001F3AE4"/>
    <w:rsid w:val="001F3C0E"/>
    <w:rsid w:val="001F3C4B"/>
    <w:rsid w:val="001F3E2C"/>
    <w:rsid w:val="001F40B3"/>
    <w:rsid w:val="001F4B16"/>
    <w:rsid w:val="001F4C39"/>
    <w:rsid w:val="001F5AA6"/>
    <w:rsid w:val="001F6225"/>
    <w:rsid w:val="001F6449"/>
    <w:rsid w:val="001F65A3"/>
    <w:rsid w:val="001F6856"/>
    <w:rsid w:val="001F71F4"/>
    <w:rsid w:val="001F73D9"/>
    <w:rsid w:val="001F7478"/>
    <w:rsid w:val="001F77D5"/>
    <w:rsid w:val="001F7EDD"/>
    <w:rsid w:val="001F7FCA"/>
    <w:rsid w:val="00200212"/>
    <w:rsid w:val="002008BE"/>
    <w:rsid w:val="0020111B"/>
    <w:rsid w:val="002019C7"/>
    <w:rsid w:val="00201E61"/>
    <w:rsid w:val="00201F2D"/>
    <w:rsid w:val="00201FE8"/>
    <w:rsid w:val="002024FC"/>
    <w:rsid w:val="0020264D"/>
    <w:rsid w:val="002027BD"/>
    <w:rsid w:val="00202936"/>
    <w:rsid w:val="00202AE4"/>
    <w:rsid w:val="002031C1"/>
    <w:rsid w:val="00203830"/>
    <w:rsid w:val="00203C7C"/>
    <w:rsid w:val="00203D79"/>
    <w:rsid w:val="00204411"/>
    <w:rsid w:val="00204F44"/>
    <w:rsid w:val="002051D4"/>
    <w:rsid w:val="00205758"/>
    <w:rsid w:val="00205782"/>
    <w:rsid w:val="00205B56"/>
    <w:rsid w:val="00205C40"/>
    <w:rsid w:val="00205D66"/>
    <w:rsid w:val="00205EF7"/>
    <w:rsid w:val="0020640C"/>
    <w:rsid w:val="0020659C"/>
    <w:rsid w:val="002069B7"/>
    <w:rsid w:val="00206B72"/>
    <w:rsid w:val="00206E10"/>
    <w:rsid w:val="00206E87"/>
    <w:rsid w:val="00206F81"/>
    <w:rsid w:val="00207016"/>
    <w:rsid w:val="00207034"/>
    <w:rsid w:val="00207622"/>
    <w:rsid w:val="002104A6"/>
    <w:rsid w:val="00210673"/>
    <w:rsid w:val="00210CAD"/>
    <w:rsid w:val="00210D2D"/>
    <w:rsid w:val="0021164B"/>
    <w:rsid w:val="0021176B"/>
    <w:rsid w:val="00211CA5"/>
    <w:rsid w:val="002121E4"/>
    <w:rsid w:val="0021222A"/>
    <w:rsid w:val="002125F9"/>
    <w:rsid w:val="002125FF"/>
    <w:rsid w:val="0021263E"/>
    <w:rsid w:val="00212C1C"/>
    <w:rsid w:val="00212E37"/>
    <w:rsid w:val="00213330"/>
    <w:rsid w:val="00213371"/>
    <w:rsid w:val="00213389"/>
    <w:rsid w:val="002137DF"/>
    <w:rsid w:val="002139CB"/>
    <w:rsid w:val="00213D3C"/>
    <w:rsid w:val="00214143"/>
    <w:rsid w:val="0021448A"/>
    <w:rsid w:val="002146DA"/>
    <w:rsid w:val="00214773"/>
    <w:rsid w:val="0021492D"/>
    <w:rsid w:val="00214FEB"/>
    <w:rsid w:val="0021514C"/>
    <w:rsid w:val="002151CD"/>
    <w:rsid w:val="00215773"/>
    <w:rsid w:val="00215B62"/>
    <w:rsid w:val="00216014"/>
    <w:rsid w:val="00216071"/>
    <w:rsid w:val="00216207"/>
    <w:rsid w:val="002168AE"/>
    <w:rsid w:val="00216C14"/>
    <w:rsid w:val="00216E8F"/>
    <w:rsid w:val="002170E4"/>
    <w:rsid w:val="00217811"/>
    <w:rsid w:val="00220B91"/>
    <w:rsid w:val="00220E16"/>
    <w:rsid w:val="00220FF5"/>
    <w:rsid w:val="00221055"/>
    <w:rsid w:val="00221421"/>
    <w:rsid w:val="00221450"/>
    <w:rsid w:val="002214C9"/>
    <w:rsid w:val="00221D4E"/>
    <w:rsid w:val="00221EF8"/>
    <w:rsid w:val="00221F4F"/>
    <w:rsid w:val="002224A3"/>
    <w:rsid w:val="00223A42"/>
    <w:rsid w:val="00224104"/>
    <w:rsid w:val="0022424B"/>
    <w:rsid w:val="0022481F"/>
    <w:rsid w:val="00224DB1"/>
    <w:rsid w:val="00225079"/>
    <w:rsid w:val="00225113"/>
    <w:rsid w:val="002251B7"/>
    <w:rsid w:val="002252F7"/>
    <w:rsid w:val="0022588B"/>
    <w:rsid w:val="0022609D"/>
    <w:rsid w:val="002260A9"/>
    <w:rsid w:val="0022618F"/>
    <w:rsid w:val="0022628A"/>
    <w:rsid w:val="00226386"/>
    <w:rsid w:val="0022648D"/>
    <w:rsid w:val="00226B61"/>
    <w:rsid w:val="00226C0B"/>
    <w:rsid w:val="00226C78"/>
    <w:rsid w:val="00226CB0"/>
    <w:rsid w:val="00226E9B"/>
    <w:rsid w:val="0022705E"/>
    <w:rsid w:val="00227508"/>
    <w:rsid w:val="00227887"/>
    <w:rsid w:val="00227B03"/>
    <w:rsid w:val="00227F84"/>
    <w:rsid w:val="0023035E"/>
    <w:rsid w:val="002307B2"/>
    <w:rsid w:val="002308BC"/>
    <w:rsid w:val="002308E1"/>
    <w:rsid w:val="0023099B"/>
    <w:rsid w:val="002309E8"/>
    <w:rsid w:val="00230AC8"/>
    <w:rsid w:val="00230C63"/>
    <w:rsid w:val="002310A7"/>
    <w:rsid w:val="0023116F"/>
    <w:rsid w:val="00231FDB"/>
    <w:rsid w:val="002325FB"/>
    <w:rsid w:val="00232703"/>
    <w:rsid w:val="00232824"/>
    <w:rsid w:val="0023298C"/>
    <w:rsid w:val="0023298F"/>
    <w:rsid w:val="002329B1"/>
    <w:rsid w:val="00232D34"/>
    <w:rsid w:val="00232EC1"/>
    <w:rsid w:val="002331FD"/>
    <w:rsid w:val="0023329F"/>
    <w:rsid w:val="0023366B"/>
    <w:rsid w:val="0023372E"/>
    <w:rsid w:val="00233C8B"/>
    <w:rsid w:val="00233CC6"/>
    <w:rsid w:val="00233F8F"/>
    <w:rsid w:val="00233FC6"/>
    <w:rsid w:val="0023402A"/>
    <w:rsid w:val="00234111"/>
    <w:rsid w:val="002344EC"/>
    <w:rsid w:val="0023468B"/>
    <w:rsid w:val="00234AC1"/>
    <w:rsid w:val="00234B4B"/>
    <w:rsid w:val="00235448"/>
    <w:rsid w:val="0023599E"/>
    <w:rsid w:val="00235A3C"/>
    <w:rsid w:val="00235F58"/>
    <w:rsid w:val="002366DD"/>
    <w:rsid w:val="0023677E"/>
    <w:rsid w:val="00237721"/>
    <w:rsid w:val="0023790D"/>
    <w:rsid w:val="00237BC1"/>
    <w:rsid w:val="0024010C"/>
    <w:rsid w:val="0024048E"/>
    <w:rsid w:val="0024061C"/>
    <w:rsid w:val="002411E8"/>
    <w:rsid w:val="00241BC8"/>
    <w:rsid w:val="00241D41"/>
    <w:rsid w:val="0024280E"/>
    <w:rsid w:val="00243224"/>
    <w:rsid w:val="002434A7"/>
    <w:rsid w:val="00244291"/>
    <w:rsid w:val="00244882"/>
    <w:rsid w:val="00244BC0"/>
    <w:rsid w:val="0024503C"/>
    <w:rsid w:val="002453A0"/>
    <w:rsid w:val="002458FE"/>
    <w:rsid w:val="0024656F"/>
    <w:rsid w:val="00246851"/>
    <w:rsid w:val="002468AE"/>
    <w:rsid w:val="00246D02"/>
    <w:rsid w:val="00246D9D"/>
    <w:rsid w:val="00246DF6"/>
    <w:rsid w:val="00247267"/>
    <w:rsid w:val="002477E9"/>
    <w:rsid w:val="00247828"/>
    <w:rsid w:val="00247C83"/>
    <w:rsid w:val="002509EE"/>
    <w:rsid w:val="00250D47"/>
    <w:rsid w:val="00251555"/>
    <w:rsid w:val="0025183D"/>
    <w:rsid w:val="00251ACE"/>
    <w:rsid w:val="00251FA9"/>
    <w:rsid w:val="00252017"/>
    <w:rsid w:val="00252036"/>
    <w:rsid w:val="00252B31"/>
    <w:rsid w:val="00252DC2"/>
    <w:rsid w:val="00252F74"/>
    <w:rsid w:val="00253109"/>
    <w:rsid w:val="00253678"/>
    <w:rsid w:val="002536FB"/>
    <w:rsid w:val="00253C48"/>
    <w:rsid w:val="002541D0"/>
    <w:rsid w:val="002548B1"/>
    <w:rsid w:val="0025561E"/>
    <w:rsid w:val="002557C7"/>
    <w:rsid w:val="00256013"/>
    <w:rsid w:val="00256323"/>
    <w:rsid w:val="0025646B"/>
    <w:rsid w:val="00256E13"/>
    <w:rsid w:val="00257066"/>
    <w:rsid w:val="0025760C"/>
    <w:rsid w:val="002578DF"/>
    <w:rsid w:val="00257A5B"/>
    <w:rsid w:val="00257B05"/>
    <w:rsid w:val="0026025C"/>
    <w:rsid w:val="00260461"/>
    <w:rsid w:val="00260656"/>
    <w:rsid w:val="002606F8"/>
    <w:rsid w:val="00261101"/>
    <w:rsid w:val="0026165B"/>
    <w:rsid w:val="00261743"/>
    <w:rsid w:val="002618CC"/>
    <w:rsid w:val="00261C6D"/>
    <w:rsid w:val="00261D4C"/>
    <w:rsid w:val="00261E20"/>
    <w:rsid w:val="00261E3C"/>
    <w:rsid w:val="00262EA0"/>
    <w:rsid w:val="00262F5B"/>
    <w:rsid w:val="00262F63"/>
    <w:rsid w:val="00263072"/>
    <w:rsid w:val="0026357E"/>
    <w:rsid w:val="00263691"/>
    <w:rsid w:val="00263773"/>
    <w:rsid w:val="00264078"/>
    <w:rsid w:val="0026444D"/>
    <w:rsid w:val="00264752"/>
    <w:rsid w:val="00264787"/>
    <w:rsid w:val="00264F4B"/>
    <w:rsid w:val="002650E3"/>
    <w:rsid w:val="00265B1A"/>
    <w:rsid w:val="00265E58"/>
    <w:rsid w:val="002662C7"/>
    <w:rsid w:val="00266603"/>
    <w:rsid w:val="00266DAD"/>
    <w:rsid w:val="002674BC"/>
    <w:rsid w:val="00267C19"/>
    <w:rsid w:val="00267FCC"/>
    <w:rsid w:val="0027098C"/>
    <w:rsid w:val="00270A70"/>
    <w:rsid w:val="00270C5C"/>
    <w:rsid w:val="00270F23"/>
    <w:rsid w:val="002713F3"/>
    <w:rsid w:val="002715EC"/>
    <w:rsid w:val="00271861"/>
    <w:rsid w:val="00271932"/>
    <w:rsid w:val="00271934"/>
    <w:rsid w:val="00271C2A"/>
    <w:rsid w:val="00271EE8"/>
    <w:rsid w:val="002721B5"/>
    <w:rsid w:val="00272416"/>
    <w:rsid w:val="00272D29"/>
    <w:rsid w:val="00272E37"/>
    <w:rsid w:val="00273C7F"/>
    <w:rsid w:val="00273DE8"/>
    <w:rsid w:val="00273E61"/>
    <w:rsid w:val="002741A6"/>
    <w:rsid w:val="00274494"/>
    <w:rsid w:val="00274901"/>
    <w:rsid w:val="00275278"/>
    <w:rsid w:val="002756F8"/>
    <w:rsid w:val="002759C5"/>
    <w:rsid w:val="00275D78"/>
    <w:rsid w:val="00275E59"/>
    <w:rsid w:val="002765F4"/>
    <w:rsid w:val="002769EA"/>
    <w:rsid w:val="00276BA1"/>
    <w:rsid w:val="00276EA0"/>
    <w:rsid w:val="00277B3D"/>
    <w:rsid w:val="002802DC"/>
    <w:rsid w:val="00280706"/>
    <w:rsid w:val="00280F8D"/>
    <w:rsid w:val="00281606"/>
    <w:rsid w:val="00281E5D"/>
    <w:rsid w:val="00281EC3"/>
    <w:rsid w:val="00282592"/>
    <w:rsid w:val="00283084"/>
    <w:rsid w:val="00283251"/>
    <w:rsid w:val="002833CC"/>
    <w:rsid w:val="00283421"/>
    <w:rsid w:val="0028384D"/>
    <w:rsid w:val="00283D22"/>
    <w:rsid w:val="0028412B"/>
    <w:rsid w:val="00284502"/>
    <w:rsid w:val="00284C17"/>
    <w:rsid w:val="00284EBB"/>
    <w:rsid w:val="00284F64"/>
    <w:rsid w:val="002851FB"/>
    <w:rsid w:val="0028552E"/>
    <w:rsid w:val="00286239"/>
    <w:rsid w:val="00286461"/>
    <w:rsid w:val="0028649D"/>
    <w:rsid w:val="0028663A"/>
    <w:rsid w:val="00286B0E"/>
    <w:rsid w:val="00286B4B"/>
    <w:rsid w:val="00286BD1"/>
    <w:rsid w:val="00286FA3"/>
    <w:rsid w:val="00287088"/>
    <w:rsid w:val="0028710A"/>
    <w:rsid w:val="00287283"/>
    <w:rsid w:val="0028732F"/>
    <w:rsid w:val="00287590"/>
    <w:rsid w:val="00287BFE"/>
    <w:rsid w:val="00287E08"/>
    <w:rsid w:val="00287F30"/>
    <w:rsid w:val="00287FE6"/>
    <w:rsid w:val="00290222"/>
    <w:rsid w:val="0029079D"/>
    <w:rsid w:val="00290C72"/>
    <w:rsid w:val="00290CE2"/>
    <w:rsid w:val="002913B9"/>
    <w:rsid w:val="00291524"/>
    <w:rsid w:val="002917E3"/>
    <w:rsid w:val="002919AB"/>
    <w:rsid w:val="00291A0A"/>
    <w:rsid w:val="00291BF2"/>
    <w:rsid w:val="00291D71"/>
    <w:rsid w:val="00292313"/>
    <w:rsid w:val="00292614"/>
    <w:rsid w:val="00292C86"/>
    <w:rsid w:val="002930F5"/>
    <w:rsid w:val="00293ABC"/>
    <w:rsid w:val="00293C3E"/>
    <w:rsid w:val="00293F49"/>
    <w:rsid w:val="0029439C"/>
    <w:rsid w:val="0029493A"/>
    <w:rsid w:val="00294A4E"/>
    <w:rsid w:val="00294D6F"/>
    <w:rsid w:val="00295279"/>
    <w:rsid w:val="0029590A"/>
    <w:rsid w:val="0029603B"/>
    <w:rsid w:val="0029641D"/>
    <w:rsid w:val="00296675"/>
    <w:rsid w:val="002967CF"/>
    <w:rsid w:val="00296A9E"/>
    <w:rsid w:val="00296B62"/>
    <w:rsid w:val="00296E62"/>
    <w:rsid w:val="002972DF"/>
    <w:rsid w:val="0029765E"/>
    <w:rsid w:val="002A0633"/>
    <w:rsid w:val="002A0826"/>
    <w:rsid w:val="002A0DD3"/>
    <w:rsid w:val="002A0FC3"/>
    <w:rsid w:val="002A12F1"/>
    <w:rsid w:val="002A1346"/>
    <w:rsid w:val="002A1D39"/>
    <w:rsid w:val="002A1D74"/>
    <w:rsid w:val="002A1F07"/>
    <w:rsid w:val="002A2043"/>
    <w:rsid w:val="002A25CB"/>
    <w:rsid w:val="002A2BFE"/>
    <w:rsid w:val="002A2C89"/>
    <w:rsid w:val="002A2D73"/>
    <w:rsid w:val="002A319B"/>
    <w:rsid w:val="002A339F"/>
    <w:rsid w:val="002A395B"/>
    <w:rsid w:val="002A431A"/>
    <w:rsid w:val="002A432B"/>
    <w:rsid w:val="002A4B7E"/>
    <w:rsid w:val="002A4BB1"/>
    <w:rsid w:val="002A4C04"/>
    <w:rsid w:val="002A4F95"/>
    <w:rsid w:val="002A519C"/>
    <w:rsid w:val="002A5206"/>
    <w:rsid w:val="002A5403"/>
    <w:rsid w:val="002A56DA"/>
    <w:rsid w:val="002A571E"/>
    <w:rsid w:val="002A59FD"/>
    <w:rsid w:val="002A5DA0"/>
    <w:rsid w:val="002A652F"/>
    <w:rsid w:val="002A65FE"/>
    <w:rsid w:val="002A6669"/>
    <w:rsid w:val="002A69BC"/>
    <w:rsid w:val="002A69C8"/>
    <w:rsid w:val="002A6DDE"/>
    <w:rsid w:val="002A71E8"/>
    <w:rsid w:val="002A7272"/>
    <w:rsid w:val="002A7556"/>
    <w:rsid w:val="002A78E4"/>
    <w:rsid w:val="002A7E8B"/>
    <w:rsid w:val="002A7F5F"/>
    <w:rsid w:val="002B0F56"/>
    <w:rsid w:val="002B13CB"/>
    <w:rsid w:val="002B16E0"/>
    <w:rsid w:val="002B1A2F"/>
    <w:rsid w:val="002B1B05"/>
    <w:rsid w:val="002B1D72"/>
    <w:rsid w:val="002B1E91"/>
    <w:rsid w:val="002B1EF1"/>
    <w:rsid w:val="002B22EF"/>
    <w:rsid w:val="002B278A"/>
    <w:rsid w:val="002B3111"/>
    <w:rsid w:val="002B32FC"/>
    <w:rsid w:val="002B39E2"/>
    <w:rsid w:val="002B3BB0"/>
    <w:rsid w:val="002B3BCE"/>
    <w:rsid w:val="002B3C05"/>
    <w:rsid w:val="002B3E02"/>
    <w:rsid w:val="002B407B"/>
    <w:rsid w:val="002B417F"/>
    <w:rsid w:val="002B468E"/>
    <w:rsid w:val="002B4AAD"/>
    <w:rsid w:val="002B4DA6"/>
    <w:rsid w:val="002B4E79"/>
    <w:rsid w:val="002B4F0D"/>
    <w:rsid w:val="002B5024"/>
    <w:rsid w:val="002B525E"/>
    <w:rsid w:val="002B5898"/>
    <w:rsid w:val="002B59CA"/>
    <w:rsid w:val="002B5BA7"/>
    <w:rsid w:val="002B5FB0"/>
    <w:rsid w:val="002B626A"/>
    <w:rsid w:val="002B69F7"/>
    <w:rsid w:val="002B6BE2"/>
    <w:rsid w:val="002B709D"/>
    <w:rsid w:val="002B70F6"/>
    <w:rsid w:val="002B7189"/>
    <w:rsid w:val="002B7900"/>
    <w:rsid w:val="002B7948"/>
    <w:rsid w:val="002B7E72"/>
    <w:rsid w:val="002C0060"/>
    <w:rsid w:val="002C0078"/>
    <w:rsid w:val="002C02B5"/>
    <w:rsid w:val="002C038E"/>
    <w:rsid w:val="002C0B24"/>
    <w:rsid w:val="002C0B97"/>
    <w:rsid w:val="002C0C20"/>
    <w:rsid w:val="002C10F7"/>
    <w:rsid w:val="002C1218"/>
    <w:rsid w:val="002C134A"/>
    <w:rsid w:val="002C1409"/>
    <w:rsid w:val="002C18B4"/>
    <w:rsid w:val="002C1E79"/>
    <w:rsid w:val="002C1E98"/>
    <w:rsid w:val="002C1E9C"/>
    <w:rsid w:val="002C2270"/>
    <w:rsid w:val="002C22E5"/>
    <w:rsid w:val="002C2532"/>
    <w:rsid w:val="002C2DAE"/>
    <w:rsid w:val="002C2E51"/>
    <w:rsid w:val="002C2F4A"/>
    <w:rsid w:val="002C30A7"/>
    <w:rsid w:val="002C3370"/>
    <w:rsid w:val="002C3DB9"/>
    <w:rsid w:val="002C3E69"/>
    <w:rsid w:val="002C431F"/>
    <w:rsid w:val="002C4C80"/>
    <w:rsid w:val="002C5202"/>
    <w:rsid w:val="002C522F"/>
    <w:rsid w:val="002C56C2"/>
    <w:rsid w:val="002C6236"/>
    <w:rsid w:val="002C62A6"/>
    <w:rsid w:val="002C6444"/>
    <w:rsid w:val="002C6677"/>
    <w:rsid w:val="002C6BA0"/>
    <w:rsid w:val="002C6F73"/>
    <w:rsid w:val="002C70A1"/>
    <w:rsid w:val="002C7791"/>
    <w:rsid w:val="002C7AE1"/>
    <w:rsid w:val="002C7C1A"/>
    <w:rsid w:val="002C7E63"/>
    <w:rsid w:val="002D0AE7"/>
    <w:rsid w:val="002D0E5F"/>
    <w:rsid w:val="002D11A3"/>
    <w:rsid w:val="002D16DB"/>
    <w:rsid w:val="002D18FC"/>
    <w:rsid w:val="002D1947"/>
    <w:rsid w:val="002D1953"/>
    <w:rsid w:val="002D19B4"/>
    <w:rsid w:val="002D20A7"/>
    <w:rsid w:val="002D20EC"/>
    <w:rsid w:val="002D21E4"/>
    <w:rsid w:val="002D22A0"/>
    <w:rsid w:val="002D2B57"/>
    <w:rsid w:val="002D2E6B"/>
    <w:rsid w:val="002D2F09"/>
    <w:rsid w:val="002D3027"/>
    <w:rsid w:val="002D33D6"/>
    <w:rsid w:val="002D34BC"/>
    <w:rsid w:val="002D35D0"/>
    <w:rsid w:val="002D3A99"/>
    <w:rsid w:val="002D3D38"/>
    <w:rsid w:val="002D3F35"/>
    <w:rsid w:val="002D43D0"/>
    <w:rsid w:val="002D4703"/>
    <w:rsid w:val="002D535D"/>
    <w:rsid w:val="002D548B"/>
    <w:rsid w:val="002D58E5"/>
    <w:rsid w:val="002D5F47"/>
    <w:rsid w:val="002D60FB"/>
    <w:rsid w:val="002D62EA"/>
    <w:rsid w:val="002D6996"/>
    <w:rsid w:val="002D6AB5"/>
    <w:rsid w:val="002D7CC3"/>
    <w:rsid w:val="002D7D47"/>
    <w:rsid w:val="002E0263"/>
    <w:rsid w:val="002E02B5"/>
    <w:rsid w:val="002E0B8F"/>
    <w:rsid w:val="002E0C25"/>
    <w:rsid w:val="002E0DD4"/>
    <w:rsid w:val="002E0FFF"/>
    <w:rsid w:val="002E116E"/>
    <w:rsid w:val="002E149C"/>
    <w:rsid w:val="002E1AA5"/>
    <w:rsid w:val="002E1E43"/>
    <w:rsid w:val="002E26B3"/>
    <w:rsid w:val="002E2D95"/>
    <w:rsid w:val="002E31A4"/>
    <w:rsid w:val="002E4172"/>
    <w:rsid w:val="002E455D"/>
    <w:rsid w:val="002E45C6"/>
    <w:rsid w:val="002E47FC"/>
    <w:rsid w:val="002E652E"/>
    <w:rsid w:val="002E6559"/>
    <w:rsid w:val="002E685A"/>
    <w:rsid w:val="002E6ABC"/>
    <w:rsid w:val="002E702F"/>
    <w:rsid w:val="002E7075"/>
    <w:rsid w:val="002E72B2"/>
    <w:rsid w:val="002E75A6"/>
    <w:rsid w:val="002E75F5"/>
    <w:rsid w:val="002E7985"/>
    <w:rsid w:val="002F00FF"/>
    <w:rsid w:val="002F01A7"/>
    <w:rsid w:val="002F03C5"/>
    <w:rsid w:val="002F0CC6"/>
    <w:rsid w:val="002F0D66"/>
    <w:rsid w:val="002F0FF8"/>
    <w:rsid w:val="002F11F3"/>
    <w:rsid w:val="002F12A2"/>
    <w:rsid w:val="002F148F"/>
    <w:rsid w:val="002F1911"/>
    <w:rsid w:val="002F1D8C"/>
    <w:rsid w:val="002F1EE5"/>
    <w:rsid w:val="002F2714"/>
    <w:rsid w:val="002F2CDC"/>
    <w:rsid w:val="002F2D68"/>
    <w:rsid w:val="002F3582"/>
    <w:rsid w:val="002F38A4"/>
    <w:rsid w:val="002F3C64"/>
    <w:rsid w:val="002F3F2F"/>
    <w:rsid w:val="002F43F5"/>
    <w:rsid w:val="002F460A"/>
    <w:rsid w:val="002F46E1"/>
    <w:rsid w:val="002F470B"/>
    <w:rsid w:val="002F4D6E"/>
    <w:rsid w:val="002F4D7C"/>
    <w:rsid w:val="002F50BA"/>
    <w:rsid w:val="002F52A7"/>
    <w:rsid w:val="002F540A"/>
    <w:rsid w:val="002F5B89"/>
    <w:rsid w:val="002F5C0F"/>
    <w:rsid w:val="002F6316"/>
    <w:rsid w:val="002F660C"/>
    <w:rsid w:val="002F6A62"/>
    <w:rsid w:val="002F6C84"/>
    <w:rsid w:val="002F6FE1"/>
    <w:rsid w:val="002F7171"/>
    <w:rsid w:val="002F7789"/>
    <w:rsid w:val="002F79F4"/>
    <w:rsid w:val="002F7B8F"/>
    <w:rsid w:val="002F7FCB"/>
    <w:rsid w:val="0030063B"/>
    <w:rsid w:val="003006A0"/>
    <w:rsid w:val="00300742"/>
    <w:rsid w:val="003007B5"/>
    <w:rsid w:val="00300AA0"/>
    <w:rsid w:val="0030137B"/>
    <w:rsid w:val="003013C9"/>
    <w:rsid w:val="0030172B"/>
    <w:rsid w:val="00301798"/>
    <w:rsid w:val="00301897"/>
    <w:rsid w:val="00301B2D"/>
    <w:rsid w:val="00301E85"/>
    <w:rsid w:val="00302084"/>
    <w:rsid w:val="00302264"/>
    <w:rsid w:val="00302635"/>
    <w:rsid w:val="00302826"/>
    <w:rsid w:val="00302CD5"/>
    <w:rsid w:val="00302EA9"/>
    <w:rsid w:val="00303552"/>
    <w:rsid w:val="0030383E"/>
    <w:rsid w:val="003038AA"/>
    <w:rsid w:val="00303ADC"/>
    <w:rsid w:val="00303AFA"/>
    <w:rsid w:val="00303B82"/>
    <w:rsid w:val="00304161"/>
    <w:rsid w:val="00304678"/>
    <w:rsid w:val="00304890"/>
    <w:rsid w:val="00304D95"/>
    <w:rsid w:val="00305763"/>
    <w:rsid w:val="00305947"/>
    <w:rsid w:val="00306732"/>
    <w:rsid w:val="00306A0B"/>
    <w:rsid w:val="00307010"/>
    <w:rsid w:val="003070FA"/>
    <w:rsid w:val="00307186"/>
    <w:rsid w:val="003077A5"/>
    <w:rsid w:val="00307F9B"/>
    <w:rsid w:val="00310188"/>
    <w:rsid w:val="00310252"/>
    <w:rsid w:val="003103BE"/>
    <w:rsid w:val="00310409"/>
    <w:rsid w:val="00310982"/>
    <w:rsid w:val="00310B58"/>
    <w:rsid w:val="00310F45"/>
    <w:rsid w:val="00311460"/>
    <w:rsid w:val="003116EF"/>
    <w:rsid w:val="00311E4A"/>
    <w:rsid w:val="0031217A"/>
    <w:rsid w:val="003121A6"/>
    <w:rsid w:val="00312777"/>
    <w:rsid w:val="00312784"/>
    <w:rsid w:val="003127D5"/>
    <w:rsid w:val="00312878"/>
    <w:rsid w:val="00312B67"/>
    <w:rsid w:val="00312DFD"/>
    <w:rsid w:val="003131DA"/>
    <w:rsid w:val="00313290"/>
    <w:rsid w:val="003132D1"/>
    <w:rsid w:val="003133BA"/>
    <w:rsid w:val="00313783"/>
    <w:rsid w:val="00313A12"/>
    <w:rsid w:val="00313C71"/>
    <w:rsid w:val="00313C7C"/>
    <w:rsid w:val="00313D44"/>
    <w:rsid w:val="00314563"/>
    <w:rsid w:val="003148A8"/>
    <w:rsid w:val="003148D6"/>
    <w:rsid w:val="00314B9F"/>
    <w:rsid w:val="00314BF3"/>
    <w:rsid w:val="00314C6B"/>
    <w:rsid w:val="00314C8A"/>
    <w:rsid w:val="003154E5"/>
    <w:rsid w:val="003155D2"/>
    <w:rsid w:val="003155D5"/>
    <w:rsid w:val="0031567F"/>
    <w:rsid w:val="00315A8B"/>
    <w:rsid w:val="00315F32"/>
    <w:rsid w:val="0031643E"/>
    <w:rsid w:val="0031679D"/>
    <w:rsid w:val="00316E30"/>
    <w:rsid w:val="003171D9"/>
    <w:rsid w:val="003174A2"/>
    <w:rsid w:val="003177F2"/>
    <w:rsid w:val="00317A82"/>
    <w:rsid w:val="00317C18"/>
    <w:rsid w:val="00317DE3"/>
    <w:rsid w:val="00317E09"/>
    <w:rsid w:val="00317F75"/>
    <w:rsid w:val="00320048"/>
    <w:rsid w:val="00320566"/>
    <w:rsid w:val="00320993"/>
    <w:rsid w:val="00320996"/>
    <w:rsid w:val="00320DBB"/>
    <w:rsid w:val="003211F1"/>
    <w:rsid w:val="00321823"/>
    <w:rsid w:val="00321887"/>
    <w:rsid w:val="003218FA"/>
    <w:rsid w:val="00321B3C"/>
    <w:rsid w:val="00322209"/>
    <w:rsid w:val="003223DE"/>
    <w:rsid w:val="003226F3"/>
    <w:rsid w:val="003228AC"/>
    <w:rsid w:val="003228EA"/>
    <w:rsid w:val="00322A83"/>
    <w:rsid w:val="00322B57"/>
    <w:rsid w:val="00322FCD"/>
    <w:rsid w:val="0032310A"/>
    <w:rsid w:val="00323783"/>
    <w:rsid w:val="00323982"/>
    <w:rsid w:val="00323D6C"/>
    <w:rsid w:val="00323DC0"/>
    <w:rsid w:val="00323F7B"/>
    <w:rsid w:val="003240F6"/>
    <w:rsid w:val="00324208"/>
    <w:rsid w:val="0032458F"/>
    <w:rsid w:val="003245AA"/>
    <w:rsid w:val="00324AF7"/>
    <w:rsid w:val="003259A3"/>
    <w:rsid w:val="00325A7A"/>
    <w:rsid w:val="00325ABC"/>
    <w:rsid w:val="00325DDA"/>
    <w:rsid w:val="003266F4"/>
    <w:rsid w:val="0032670D"/>
    <w:rsid w:val="00326ED8"/>
    <w:rsid w:val="00326F1D"/>
    <w:rsid w:val="00327727"/>
    <w:rsid w:val="00327D35"/>
    <w:rsid w:val="00330092"/>
    <w:rsid w:val="00330385"/>
    <w:rsid w:val="003308AC"/>
    <w:rsid w:val="00330916"/>
    <w:rsid w:val="00330B40"/>
    <w:rsid w:val="00330B78"/>
    <w:rsid w:val="003311C4"/>
    <w:rsid w:val="00331685"/>
    <w:rsid w:val="0033180A"/>
    <w:rsid w:val="0033185B"/>
    <w:rsid w:val="00331BC7"/>
    <w:rsid w:val="00331FBE"/>
    <w:rsid w:val="0033253F"/>
    <w:rsid w:val="003327A4"/>
    <w:rsid w:val="0033295D"/>
    <w:rsid w:val="0033296A"/>
    <w:rsid w:val="00332DFF"/>
    <w:rsid w:val="00332E65"/>
    <w:rsid w:val="00333128"/>
    <w:rsid w:val="00333223"/>
    <w:rsid w:val="00333EBB"/>
    <w:rsid w:val="003346CE"/>
    <w:rsid w:val="00334D22"/>
    <w:rsid w:val="00334DF1"/>
    <w:rsid w:val="0033515F"/>
    <w:rsid w:val="00335467"/>
    <w:rsid w:val="00335474"/>
    <w:rsid w:val="003356C8"/>
    <w:rsid w:val="00335AFA"/>
    <w:rsid w:val="003361B3"/>
    <w:rsid w:val="003367B9"/>
    <w:rsid w:val="00337797"/>
    <w:rsid w:val="003377BE"/>
    <w:rsid w:val="0034059C"/>
    <w:rsid w:val="00340878"/>
    <w:rsid w:val="00340B7E"/>
    <w:rsid w:val="00340BFC"/>
    <w:rsid w:val="00340D15"/>
    <w:rsid w:val="00340D58"/>
    <w:rsid w:val="00341011"/>
    <w:rsid w:val="0034111B"/>
    <w:rsid w:val="00341440"/>
    <w:rsid w:val="003414D2"/>
    <w:rsid w:val="003416BB"/>
    <w:rsid w:val="003417AD"/>
    <w:rsid w:val="00341A8C"/>
    <w:rsid w:val="003422F0"/>
    <w:rsid w:val="0034257E"/>
    <w:rsid w:val="00342877"/>
    <w:rsid w:val="00342895"/>
    <w:rsid w:val="0034333F"/>
    <w:rsid w:val="00343DB9"/>
    <w:rsid w:val="00343E68"/>
    <w:rsid w:val="00344502"/>
    <w:rsid w:val="00344596"/>
    <w:rsid w:val="0034538F"/>
    <w:rsid w:val="00345754"/>
    <w:rsid w:val="003459BC"/>
    <w:rsid w:val="003459F5"/>
    <w:rsid w:val="00345A10"/>
    <w:rsid w:val="00345B71"/>
    <w:rsid w:val="00345E2C"/>
    <w:rsid w:val="0034689D"/>
    <w:rsid w:val="003469F1"/>
    <w:rsid w:val="00346A8C"/>
    <w:rsid w:val="00346C96"/>
    <w:rsid w:val="00346F98"/>
    <w:rsid w:val="00347009"/>
    <w:rsid w:val="00347992"/>
    <w:rsid w:val="00347A62"/>
    <w:rsid w:val="00347D0F"/>
    <w:rsid w:val="00347E52"/>
    <w:rsid w:val="00347F43"/>
    <w:rsid w:val="003501F6"/>
    <w:rsid w:val="00350E74"/>
    <w:rsid w:val="00351205"/>
    <w:rsid w:val="00351438"/>
    <w:rsid w:val="00351D3A"/>
    <w:rsid w:val="00352335"/>
    <w:rsid w:val="00352505"/>
    <w:rsid w:val="003528AE"/>
    <w:rsid w:val="00352904"/>
    <w:rsid w:val="00352A62"/>
    <w:rsid w:val="00352B17"/>
    <w:rsid w:val="0035309B"/>
    <w:rsid w:val="0035403B"/>
    <w:rsid w:val="0035452D"/>
    <w:rsid w:val="00354A12"/>
    <w:rsid w:val="00354FD7"/>
    <w:rsid w:val="00355116"/>
    <w:rsid w:val="00355327"/>
    <w:rsid w:val="00355379"/>
    <w:rsid w:val="00355AC5"/>
    <w:rsid w:val="0035613B"/>
    <w:rsid w:val="003561CB"/>
    <w:rsid w:val="00356253"/>
    <w:rsid w:val="00356756"/>
    <w:rsid w:val="00356770"/>
    <w:rsid w:val="00356AA4"/>
    <w:rsid w:val="003571FB"/>
    <w:rsid w:val="0035750A"/>
    <w:rsid w:val="0035764B"/>
    <w:rsid w:val="00357680"/>
    <w:rsid w:val="003576F7"/>
    <w:rsid w:val="00357982"/>
    <w:rsid w:val="00357D33"/>
    <w:rsid w:val="0036059C"/>
    <w:rsid w:val="003607C5"/>
    <w:rsid w:val="00360AD9"/>
    <w:rsid w:val="00360CF1"/>
    <w:rsid w:val="00360DA1"/>
    <w:rsid w:val="00360DAA"/>
    <w:rsid w:val="003611C4"/>
    <w:rsid w:val="003614B0"/>
    <w:rsid w:val="003617B8"/>
    <w:rsid w:val="003617B9"/>
    <w:rsid w:val="00361E66"/>
    <w:rsid w:val="00362919"/>
    <w:rsid w:val="00362B31"/>
    <w:rsid w:val="00362C4B"/>
    <w:rsid w:val="00362D1B"/>
    <w:rsid w:val="00363169"/>
    <w:rsid w:val="003634EA"/>
    <w:rsid w:val="00363A15"/>
    <w:rsid w:val="00363CDC"/>
    <w:rsid w:val="00363ECF"/>
    <w:rsid w:val="003646FB"/>
    <w:rsid w:val="00364B2A"/>
    <w:rsid w:val="00364BB2"/>
    <w:rsid w:val="00364C5E"/>
    <w:rsid w:val="00365560"/>
    <w:rsid w:val="00365701"/>
    <w:rsid w:val="0036573A"/>
    <w:rsid w:val="0036599F"/>
    <w:rsid w:val="00365E23"/>
    <w:rsid w:val="0036606A"/>
    <w:rsid w:val="0036635B"/>
    <w:rsid w:val="00366544"/>
    <w:rsid w:val="0036668C"/>
    <w:rsid w:val="003669A6"/>
    <w:rsid w:val="00366BFF"/>
    <w:rsid w:val="00367382"/>
    <w:rsid w:val="0036747E"/>
    <w:rsid w:val="003676B1"/>
    <w:rsid w:val="00367C25"/>
    <w:rsid w:val="00367E50"/>
    <w:rsid w:val="003701AC"/>
    <w:rsid w:val="00370645"/>
    <w:rsid w:val="00370B30"/>
    <w:rsid w:val="00370CBF"/>
    <w:rsid w:val="00371090"/>
    <w:rsid w:val="0037141D"/>
    <w:rsid w:val="003716BA"/>
    <w:rsid w:val="00371937"/>
    <w:rsid w:val="00371A5B"/>
    <w:rsid w:val="00371D59"/>
    <w:rsid w:val="003723FF"/>
    <w:rsid w:val="003725BF"/>
    <w:rsid w:val="00372671"/>
    <w:rsid w:val="00372773"/>
    <w:rsid w:val="003728D7"/>
    <w:rsid w:val="00372C1B"/>
    <w:rsid w:val="0037312C"/>
    <w:rsid w:val="003731C3"/>
    <w:rsid w:val="003736B1"/>
    <w:rsid w:val="003737AC"/>
    <w:rsid w:val="00373F94"/>
    <w:rsid w:val="00374200"/>
    <w:rsid w:val="00374242"/>
    <w:rsid w:val="003742E9"/>
    <w:rsid w:val="00374549"/>
    <w:rsid w:val="00374761"/>
    <w:rsid w:val="0037484D"/>
    <w:rsid w:val="00374BD7"/>
    <w:rsid w:val="00374C13"/>
    <w:rsid w:val="003750C2"/>
    <w:rsid w:val="003756A8"/>
    <w:rsid w:val="0037647F"/>
    <w:rsid w:val="00376809"/>
    <w:rsid w:val="00376B6A"/>
    <w:rsid w:val="0037705C"/>
    <w:rsid w:val="0037744F"/>
    <w:rsid w:val="003777E2"/>
    <w:rsid w:val="00377A00"/>
    <w:rsid w:val="00377E05"/>
    <w:rsid w:val="0038054D"/>
    <w:rsid w:val="00380981"/>
    <w:rsid w:val="00380D1E"/>
    <w:rsid w:val="00381046"/>
    <w:rsid w:val="00381260"/>
    <w:rsid w:val="003812A9"/>
    <w:rsid w:val="00381654"/>
    <w:rsid w:val="00381DCA"/>
    <w:rsid w:val="00381F15"/>
    <w:rsid w:val="0038207B"/>
    <w:rsid w:val="003821E7"/>
    <w:rsid w:val="00382326"/>
    <w:rsid w:val="003824DE"/>
    <w:rsid w:val="0038251E"/>
    <w:rsid w:val="00382526"/>
    <w:rsid w:val="0038258C"/>
    <w:rsid w:val="00382636"/>
    <w:rsid w:val="00382BB6"/>
    <w:rsid w:val="00382BBA"/>
    <w:rsid w:val="00382F70"/>
    <w:rsid w:val="00382F73"/>
    <w:rsid w:val="003831BC"/>
    <w:rsid w:val="003832AD"/>
    <w:rsid w:val="00383731"/>
    <w:rsid w:val="003837CD"/>
    <w:rsid w:val="00383846"/>
    <w:rsid w:val="0038391C"/>
    <w:rsid w:val="00383BA8"/>
    <w:rsid w:val="00384297"/>
    <w:rsid w:val="0038461D"/>
    <w:rsid w:val="00384693"/>
    <w:rsid w:val="0038480A"/>
    <w:rsid w:val="00384AB5"/>
    <w:rsid w:val="00384C46"/>
    <w:rsid w:val="00384C92"/>
    <w:rsid w:val="00384D9B"/>
    <w:rsid w:val="00384DD8"/>
    <w:rsid w:val="00384F61"/>
    <w:rsid w:val="003852C5"/>
    <w:rsid w:val="0038555F"/>
    <w:rsid w:val="0038567B"/>
    <w:rsid w:val="00385912"/>
    <w:rsid w:val="00385979"/>
    <w:rsid w:val="00385D3D"/>
    <w:rsid w:val="00385E5E"/>
    <w:rsid w:val="0038616C"/>
    <w:rsid w:val="003861D5"/>
    <w:rsid w:val="00386D50"/>
    <w:rsid w:val="00387141"/>
    <w:rsid w:val="00387EAE"/>
    <w:rsid w:val="00387EC3"/>
    <w:rsid w:val="003900E9"/>
    <w:rsid w:val="003904C1"/>
    <w:rsid w:val="0039064C"/>
    <w:rsid w:val="00390685"/>
    <w:rsid w:val="0039114E"/>
    <w:rsid w:val="00391591"/>
    <w:rsid w:val="00391716"/>
    <w:rsid w:val="0039191D"/>
    <w:rsid w:val="00391ABF"/>
    <w:rsid w:val="00391C21"/>
    <w:rsid w:val="00391E30"/>
    <w:rsid w:val="00391E36"/>
    <w:rsid w:val="00392145"/>
    <w:rsid w:val="0039226A"/>
    <w:rsid w:val="003922C1"/>
    <w:rsid w:val="00392407"/>
    <w:rsid w:val="003924E4"/>
    <w:rsid w:val="00392662"/>
    <w:rsid w:val="0039291E"/>
    <w:rsid w:val="00392944"/>
    <w:rsid w:val="00392C57"/>
    <w:rsid w:val="003936DF"/>
    <w:rsid w:val="00393895"/>
    <w:rsid w:val="00393C62"/>
    <w:rsid w:val="00393CE6"/>
    <w:rsid w:val="00393EDF"/>
    <w:rsid w:val="00394211"/>
    <w:rsid w:val="0039436F"/>
    <w:rsid w:val="0039438A"/>
    <w:rsid w:val="00394791"/>
    <w:rsid w:val="003947BF"/>
    <w:rsid w:val="00395025"/>
    <w:rsid w:val="00395229"/>
    <w:rsid w:val="00395286"/>
    <w:rsid w:val="00395F99"/>
    <w:rsid w:val="00396437"/>
    <w:rsid w:val="0039687E"/>
    <w:rsid w:val="00396A34"/>
    <w:rsid w:val="00396DC3"/>
    <w:rsid w:val="0039769A"/>
    <w:rsid w:val="003A0277"/>
    <w:rsid w:val="003A0316"/>
    <w:rsid w:val="003A063D"/>
    <w:rsid w:val="003A063F"/>
    <w:rsid w:val="003A090B"/>
    <w:rsid w:val="003A09FD"/>
    <w:rsid w:val="003A0A45"/>
    <w:rsid w:val="003A0E93"/>
    <w:rsid w:val="003A12C1"/>
    <w:rsid w:val="003A12D7"/>
    <w:rsid w:val="003A13DE"/>
    <w:rsid w:val="003A17C3"/>
    <w:rsid w:val="003A219B"/>
    <w:rsid w:val="003A21F8"/>
    <w:rsid w:val="003A24D1"/>
    <w:rsid w:val="003A284B"/>
    <w:rsid w:val="003A293A"/>
    <w:rsid w:val="003A2A56"/>
    <w:rsid w:val="003A2D67"/>
    <w:rsid w:val="003A3557"/>
    <w:rsid w:val="003A3642"/>
    <w:rsid w:val="003A36CE"/>
    <w:rsid w:val="003A3DBC"/>
    <w:rsid w:val="003A444D"/>
    <w:rsid w:val="003A4520"/>
    <w:rsid w:val="003A46E9"/>
    <w:rsid w:val="003A472D"/>
    <w:rsid w:val="003A4B11"/>
    <w:rsid w:val="003A4F03"/>
    <w:rsid w:val="003A4FFA"/>
    <w:rsid w:val="003A5101"/>
    <w:rsid w:val="003A510B"/>
    <w:rsid w:val="003A53D3"/>
    <w:rsid w:val="003A550E"/>
    <w:rsid w:val="003A55F4"/>
    <w:rsid w:val="003A58DC"/>
    <w:rsid w:val="003A5C62"/>
    <w:rsid w:val="003A5CEA"/>
    <w:rsid w:val="003A5D65"/>
    <w:rsid w:val="003A5D6F"/>
    <w:rsid w:val="003A5D88"/>
    <w:rsid w:val="003A63DB"/>
    <w:rsid w:val="003A684C"/>
    <w:rsid w:val="003A6A5D"/>
    <w:rsid w:val="003A6E45"/>
    <w:rsid w:val="003A6EBC"/>
    <w:rsid w:val="003A77A6"/>
    <w:rsid w:val="003A7D3E"/>
    <w:rsid w:val="003A7EF7"/>
    <w:rsid w:val="003B01DE"/>
    <w:rsid w:val="003B01FF"/>
    <w:rsid w:val="003B0B3A"/>
    <w:rsid w:val="003B0DB6"/>
    <w:rsid w:val="003B0E84"/>
    <w:rsid w:val="003B10A8"/>
    <w:rsid w:val="003B1280"/>
    <w:rsid w:val="003B1636"/>
    <w:rsid w:val="003B1814"/>
    <w:rsid w:val="003B197A"/>
    <w:rsid w:val="003B200B"/>
    <w:rsid w:val="003B2537"/>
    <w:rsid w:val="003B3072"/>
    <w:rsid w:val="003B41FC"/>
    <w:rsid w:val="003B45C0"/>
    <w:rsid w:val="003B4634"/>
    <w:rsid w:val="003B4DB9"/>
    <w:rsid w:val="003B51ED"/>
    <w:rsid w:val="003B57E4"/>
    <w:rsid w:val="003B5958"/>
    <w:rsid w:val="003B61EE"/>
    <w:rsid w:val="003B6FEC"/>
    <w:rsid w:val="003B70FD"/>
    <w:rsid w:val="003B7539"/>
    <w:rsid w:val="003B769E"/>
    <w:rsid w:val="003B7C0A"/>
    <w:rsid w:val="003B7E74"/>
    <w:rsid w:val="003C0190"/>
    <w:rsid w:val="003C021F"/>
    <w:rsid w:val="003C048B"/>
    <w:rsid w:val="003C0C33"/>
    <w:rsid w:val="003C0E9A"/>
    <w:rsid w:val="003C0FB8"/>
    <w:rsid w:val="003C104F"/>
    <w:rsid w:val="003C105F"/>
    <w:rsid w:val="003C12B8"/>
    <w:rsid w:val="003C1304"/>
    <w:rsid w:val="003C13F6"/>
    <w:rsid w:val="003C2DBF"/>
    <w:rsid w:val="003C2F67"/>
    <w:rsid w:val="003C30BF"/>
    <w:rsid w:val="003C33A6"/>
    <w:rsid w:val="003C37A3"/>
    <w:rsid w:val="003C41B5"/>
    <w:rsid w:val="003C4BBF"/>
    <w:rsid w:val="003C4C2D"/>
    <w:rsid w:val="003C4D39"/>
    <w:rsid w:val="003C521E"/>
    <w:rsid w:val="003C54A5"/>
    <w:rsid w:val="003C571A"/>
    <w:rsid w:val="003C590E"/>
    <w:rsid w:val="003C594E"/>
    <w:rsid w:val="003C6565"/>
    <w:rsid w:val="003C6716"/>
    <w:rsid w:val="003C684F"/>
    <w:rsid w:val="003C7091"/>
    <w:rsid w:val="003C7212"/>
    <w:rsid w:val="003C733C"/>
    <w:rsid w:val="003C7E88"/>
    <w:rsid w:val="003D04D6"/>
    <w:rsid w:val="003D0662"/>
    <w:rsid w:val="003D0685"/>
    <w:rsid w:val="003D068D"/>
    <w:rsid w:val="003D0AB5"/>
    <w:rsid w:val="003D0BAF"/>
    <w:rsid w:val="003D0C96"/>
    <w:rsid w:val="003D0D3C"/>
    <w:rsid w:val="003D1163"/>
    <w:rsid w:val="003D188F"/>
    <w:rsid w:val="003D1C3F"/>
    <w:rsid w:val="003D1E1C"/>
    <w:rsid w:val="003D1FF9"/>
    <w:rsid w:val="003D227F"/>
    <w:rsid w:val="003D2A68"/>
    <w:rsid w:val="003D2DC7"/>
    <w:rsid w:val="003D2DFA"/>
    <w:rsid w:val="003D2FBE"/>
    <w:rsid w:val="003D32B8"/>
    <w:rsid w:val="003D35D9"/>
    <w:rsid w:val="003D3EC6"/>
    <w:rsid w:val="003D43F0"/>
    <w:rsid w:val="003D4881"/>
    <w:rsid w:val="003D583D"/>
    <w:rsid w:val="003D58FC"/>
    <w:rsid w:val="003D5A9B"/>
    <w:rsid w:val="003D5AB0"/>
    <w:rsid w:val="003D5E6C"/>
    <w:rsid w:val="003D5F07"/>
    <w:rsid w:val="003D5FAC"/>
    <w:rsid w:val="003D6199"/>
    <w:rsid w:val="003D6A9A"/>
    <w:rsid w:val="003D6AE2"/>
    <w:rsid w:val="003D6B0D"/>
    <w:rsid w:val="003D771E"/>
    <w:rsid w:val="003D7742"/>
    <w:rsid w:val="003D7AE6"/>
    <w:rsid w:val="003E020B"/>
    <w:rsid w:val="003E039A"/>
    <w:rsid w:val="003E0406"/>
    <w:rsid w:val="003E0471"/>
    <w:rsid w:val="003E0988"/>
    <w:rsid w:val="003E0BAA"/>
    <w:rsid w:val="003E10F4"/>
    <w:rsid w:val="003E126E"/>
    <w:rsid w:val="003E151E"/>
    <w:rsid w:val="003E1535"/>
    <w:rsid w:val="003E1C08"/>
    <w:rsid w:val="003E1C42"/>
    <w:rsid w:val="003E1DC0"/>
    <w:rsid w:val="003E2428"/>
    <w:rsid w:val="003E290C"/>
    <w:rsid w:val="003E2D0C"/>
    <w:rsid w:val="003E31BE"/>
    <w:rsid w:val="003E35CF"/>
    <w:rsid w:val="003E3873"/>
    <w:rsid w:val="003E3B0F"/>
    <w:rsid w:val="003E3CBD"/>
    <w:rsid w:val="003E3E94"/>
    <w:rsid w:val="003E3E9A"/>
    <w:rsid w:val="003E4661"/>
    <w:rsid w:val="003E4721"/>
    <w:rsid w:val="003E5015"/>
    <w:rsid w:val="003E5158"/>
    <w:rsid w:val="003E526A"/>
    <w:rsid w:val="003E5405"/>
    <w:rsid w:val="003E5CDE"/>
    <w:rsid w:val="003E6423"/>
    <w:rsid w:val="003E6513"/>
    <w:rsid w:val="003E68A5"/>
    <w:rsid w:val="003E710B"/>
    <w:rsid w:val="003E7A91"/>
    <w:rsid w:val="003E7B17"/>
    <w:rsid w:val="003F0F19"/>
    <w:rsid w:val="003F12CE"/>
    <w:rsid w:val="003F1776"/>
    <w:rsid w:val="003F1843"/>
    <w:rsid w:val="003F1B52"/>
    <w:rsid w:val="003F208B"/>
    <w:rsid w:val="003F20A4"/>
    <w:rsid w:val="003F20DE"/>
    <w:rsid w:val="003F23B4"/>
    <w:rsid w:val="003F2764"/>
    <w:rsid w:val="003F3066"/>
    <w:rsid w:val="003F3325"/>
    <w:rsid w:val="003F340D"/>
    <w:rsid w:val="003F3E40"/>
    <w:rsid w:val="003F3FAB"/>
    <w:rsid w:val="003F40D1"/>
    <w:rsid w:val="003F4F84"/>
    <w:rsid w:val="003F50E0"/>
    <w:rsid w:val="003F516E"/>
    <w:rsid w:val="003F564F"/>
    <w:rsid w:val="003F5716"/>
    <w:rsid w:val="003F5DDF"/>
    <w:rsid w:val="003F60C2"/>
    <w:rsid w:val="003F649F"/>
    <w:rsid w:val="003F698E"/>
    <w:rsid w:val="003F6A94"/>
    <w:rsid w:val="003F704B"/>
    <w:rsid w:val="003F74D8"/>
    <w:rsid w:val="003F76F6"/>
    <w:rsid w:val="003F772B"/>
    <w:rsid w:val="003F7758"/>
    <w:rsid w:val="003F7B4F"/>
    <w:rsid w:val="004003C6"/>
    <w:rsid w:val="004008A0"/>
    <w:rsid w:val="00400B72"/>
    <w:rsid w:val="00400E28"/>
    <w:rsid w:val="00401287"/>
    <w:rsid w:val="00401834"/>
    <w:rsid w:val="0040199D"/>
    <w:rsid w:val="00402016"/>
    <w:rsid w:val="0040218F"/>
    <w:rsid w:val="00402274"/>
    <w:rsid w:val="004026AA"/>
    <w:rsid w:val="004026E9"/>
    <w:rsid w:val="00402AD4"/>
    <w:rsid w:val="00403D3C"/>
    <w:rsid w:val="00403F36"/>
    <w:rsid w:val="004040FE"/>
    <w:rsid w:val="00404785"/>
    <w:rsid w:val="00404E3A"/>
    <w:rsid w:val="00404F2A"/>
    <w:rsid w:val="0040554F"/>
    <w:rsid w:val="004056D2"/>
    <w:rsid w:val="00405706"/>
    <w:rsid w:val="00405FB4"/>
    <w:rsid w:val="004062D7"/>
    <w:rsid w:val="004063BD"/>
    <w:rsid w:val="00406B8E"/>
    <w:rsid w:val="00406E86"/>
    <w:rsid w:val="004071AA"/>
    <w:rsid w:val="004071E1"/>
    <w:rsid w:val="00407691"/>
    <w:rsid w:val="00407B1E"/>
    <w:rsid w:val="00407B24"/>
    <w:rsid w:val="00410386"/>
    <w:rsid w:val="004103FD"/>
    <w:rsid w:val="004105C1"/>
    <w:rsid w:val="00410680"/>
    <w:rsid w:val="00410BBB"/>
    <w:rsid w:val="00411214"/>
    <w:rsid w:val="004115F5"/>
    <w:rsid w:val="00411607"/>
    <w:rsid w:val="00411C04"/>
    <w:rsid w:val="00411EB7"/>
    <w:rsid w:val="00411F9F"/>
    <w:rsid w:val="00412366"/>
    <w:rsid w:val="004123F4"/>
    <w:rsid w:val="00412488"/>
    <w:rsid w:val="00413C4D"/>
    <w:rsid w:val="00413FE1"/>
    <w:rsid w:val="00414424"/>
    <w:rsid w:val="00414636"/>
    <w:rsid w:val="00414936"/>
    <w:rsid w:val="00414C32"/>
    <w:rsid w:val="00414D29"/>
    <w:rsid w:val="0041530D"/>
    <w:rsid w:val="00415552"/>
    <w:rsid w:val="0041560E"/>
    <w:rsid w:val="004156AA"/>
    <w:rsid w:val="004157B8"/>
    <w:rsid w:val="00415807"/>
    <w:rsid w:val="00416CB0"/>
    <w:rsid w:val="00416D3B"/>
    <w:rsid w:val="00416F71"/>
    <w:rsid w:val="00417431"/>
    <w:rsid w:val="0041773E"/>
    <w:rsid w:val="00417B83"/>
    <w:rsid w:val="00420984"/>
    <w:rsid w:val="00420A6E"/>
    <w:rsid w:val="00420BA9"/>
    <w:rsid w:val="00421445"/>
    <w:rsid w:val="004214FD"/>
    <w:rsid w:val="004216A1"/>
    <w:rsid w:val="004216E4"/>
    <w:rsid w:val="0042209B"/>
    <w:rsid w:val="0042213B"/>
    <w:rsid w:val="00422195"/>
    <w:rsid w:val="004226E7"/>
    <w:rsid w:val="00422C3B"/>
    <w:rsid w:val="00422DF0"/>
    <w:rsid w:val="00423609"/>
    <w:rsid w:val="00423689"/>
    <w:rsid w:val="004237D9"/>
    <w:rsid w:val="004237DE"/>
    <w:rsid w:val="00423847"/>
    <w:rsid w:val="0042391F"/>
    <w:rsid w:val="00423B1B"/>
    <w:rsid w:val="00423BCC"/>
    <w:rsid w:val="00423C21"/>
    <w:rsid w:val="00423CE1"/>
    <w:rsid w:val="00423D4D"/>
    <w:rsid w:val="004242E0"/>
    <w:rsid w:val="0042443E"/>
    <w:rsid w:val="0042466E"/>
    <w:rsid w:val="0042500C"/>
    <w:rsid w:val="004256F0"/>
    <w:rsid w:val="004257F8"/>
    <w:rsid w:val="004259BC"/>
    <w:rsid w:val="00425B7D"/>
    <w:rsid w:val="00425B9B"/>
    <w:rsid w:val="00425D6B"/>
    <w:rsid w:val="0042695B"/>
    <w:rsid w:val="00427298"/>
    <w:rsid w:val="004273AC"/>
    <w:rsid w:val="004276C1"/>
    <w:rsid w:val="00427CC2"/>
    <w:rsid w:val="00430244"/>
    <w:rsid w:val="00430804"/>
    <w:rsid w:val="0043190B"/>
    <w:rsid w:val="00432376"/>
    <w:rsid w:val="00432EBC"/>
    <w:rsid w:val="0043363F"/>
    <w:rsid w:val="004339BB"/>
    <w:rsid w:val="00434278"/>
    <w:rsid w:val="00434DC7"/>
    <w:rsid w:val="00434DF3"/>
    <w:rsid w:val="00434FF6"/>
    <w:rsid w:val="004354A8"/>
    <w:rsid w:val="00435BDC"/>
    <w:rsid w:val="004367AD"/>
    <w:rsid w:val="00436A99"/>
    <w:rsid w:val="00436FF7"/>
    <w:rsid w:val="0043720F"/>
    <w:rsid w:val="00437592"/>
    <w:rsid w:val="00437B42"/>
    <w:rsid w:val="00437C27"/>
    <w:rsid w:val="00437C9C"/>
    <w:rsid w:val="0044008A"/>
    <w:rsid w:val="0044058B"/>
    <w:rsid w:val="0044102C"/>
    <w:rsid w:val="00441ABA"/>
    <w:rsid w:val="00441C5C"/>
    <w:rsid w:val="00441E22"/>
    <w:rsid w:val="00442016"/>
    <w:rsid w:val="00442327"/>
    <w:rsid w:val="004426ED"/>
    <w:rsid w:val="00442947"/>
    <w:rsid w:val="00442AF5"/>
    <w:rsid w:val="00442EB8"/>
    <w:rsid w:val="00442EC8"/>
    <w:rsid w:val="0044308C"/>
    <w:rsid w:val="00443570"/>
    <w:rsid w:val="00443F4D"/>
    <w:rsid w:val="00444278"/>
    <w:rsid w:val="0044443D"/>
    <w:rsid w:val="00444B47"/>
    <w:rsid w:val="00444B5E"/>
    <w:rsid w:val="00444D8F"/>
    <w:rsid w:val="00445260"/>
    <w:rsid w:val="004456B2"/>
    <w:rsid w:val="00445A34"/>
    <w:rsid w:val="00446087"/>
    <w:rsid w:val="0044611D"/>
    <w:rsid w:val="00446284"/>
    <w:rsid w:val="00446AF2"/>
    <w:rsid w:val="00446D39"/>
    <w:rsid w:val="00446EEC"/>
    <w:rsid w:val="00446FAD"/>
    <w:rsid w:val="00447064"/>
    <w:rsid w:val="0044726D"/>
    <w:rsid w:val="004476C3"/>
    <w:rsid w:val="00447927"/>
    <w:rsid w:val="00450428"/>
    <w:rsid w:val="004506CB"/>
    <w:rsid w:val="0045082C"/>
    <w:rsid w:val="00450885"/>
    <w:rsid w:val="00450AF0"/>
    <w:rsid w:val="00450C2E"/>
    <w:rsid w:val="00450C3E"/>
    <w:rsid w:val="00450C9D"/>
    <w:rsid w:val="00450D05"/>
    <w:rsid w:val="00450FB6"/>
    <w:rsid w:val="004510C4"/>
    <w:rsid w:val="004519EA"/>
    <w:rsid w:val="00451D76"/>
    <w:rsid w:val="00451EE0"/>
    <w:rsid w:val="004527F5"/>
    <w:rsid w:val="00452A0A"/>
    <w:rsid w:val="00452B48"/>
    <w:rsid w:val="00452B89"/>
    <w:rsid w:val="00452EB4"/>
    <w:rsid w:val="00453530"/>
    <w:rsid w:val="004538E3"/>
    <w:rsid w:val="00453B5B"/>
    <w:rsid w:val="00453B9D"/>
    <w:rsid w:val="00453C6F"/>
    <w:rsid w:val="00453CC1"/>
    <w:rsid w:val="004544DA"/>
    <w:rsid w:val="004546AB"/>
    <w:rsid w:val="0045476B"/>
    <w:rsid w:val="0045548A"/>
    <w:rsid w:val="004557BC"/>
    <w:rsid w:val="00455A2B"/>
    <w:rsid w:val="00455A6D"/>
    <w:rsid w:val="00455C8B"/>
    <w:rsid w:val="00456124"/>
    <w:rsid w:val="00456237"/>
    <w:rsid w:val="0045644C"/>
    <w:rsid w:val="004568C0"/>
    <w:rsid w:val="00456A16"/>
    <w:rsid w:val="00456A88"/>
    <w:rsid w:val="00456CA0"/>
    <w:rsid w:val="00456E1F"/>
    <w:rsid w:val="004572B1"/>
    <w:rsid w:val="004577C7"/>
    <w:rsid w:val="00460850"/>
    <w:rsid w:val="00460B03"/>
    <w:rsid w:val="00460B37"/>
    <w:rsid w:val="00461694"/>
    <w:rsid w:val="0046177A"/>
    <w:rsid w:val="0046197F"/>
    <w:rsid w:val="00461ABB"/>
    <w:rsid w:val="00461BDF"/>
    <w:rsid w:val="00462731"/>
    <w:rsid w:val="00462C4D"/>
    <w:rsid w:val="0046305C"/>
    <w:rsid w:val="00463435"/>
    <w:rsid w:val="00463536"/>
    <w:rsid w:val="00463BE8"/>
    <w:rsid w:val="00463DA0"/>
    <w:rsid w:val="00464166"/>
    <w:rsid w:val="00464220"/>
    <w:rsid w:val="0046433D"/>
    <w:rsid w:val="00464399"/>
    <w:rsid w:val="00464E85"/>
    <w:rsid w:val="0046517B"/>
    <w:rsid w:val="00465293"/>
    <w:rsid w:val="00465503"/>
    <w:rsid w:val="00465C2D"/>
    <w:rsid w:val="00465FD1"/>
    <w:rsid w:val="00466490"/>
    <w:rsid w:val="004666A1"/>
    <w:rsid w:val="00466D40"/>
    <w:rsid w:val="00466E88"/>
    <w:rsid w:val="004672E8"/>
    <w:rsid w:val="00467B5D"/>
    <w:rsid w:val="00467D56"/>
    <w:rsid w:val="00470144"/>
    <w:rsid w:val="00470237"/>
    <w:rsid w:val="00470802"/>
    <w:rsid w:val="00471044"/>
    <w:rsid w:val="0047110B"/>
    <w:rsid w:val="0047136B"/>
    <w:rsid w:val="00471AFF"/>
    <w:rsid w:val="00472108"/>
    <w:rsid w:val="00472192"/>
    <w:rsid w:val="004721EF"/>
    <w:rsid w:val="00472374"/>
    <w:rsid w:val="00472C8E"/>
    <w:rsid w:val="004730B6"/>
    <w:rsid w:val="0047333D"/>
    <w:rsid w:val="00473624"/>
    <w:rsid w:val="00473671"/>
    <w:rsid w:val="004738EA"/>
    <w:rsid w:val="00473955"/>
    <w:rsid w:val="00473CB6"/>
    <w:rsid w:val="00473CFC"/>
    <w:rsid w:val="00473E5F"/>
    <w:rsid w:val="0047429B"/>
    <w:rsid w:val="0047450B"/>
    <w:rsid w:val="0047467E"/>
    <w:rsid w:val="00474A51"/>
    <w:rsid w:val="00474B33"/>
    <w:rsid w:val="00474BE0"/>
    <w:rsid w:val="00474C30"/>
    <w:rsid w:val="00474D75"/>
    <w:rsid w:val="00475139"/>
    <w:rsid w:val="004751CA"/>
    <w:rsid w:val="00475935"/>
    <w:rsid w:val="004762B1"/>
    <w:rsid w:val="0047667D"/>
    <w:rsid w:val="004772AB"/>
    <w:rsid w:val="0047739F"/>
    <w:rsid w:val="00477E57"/>
    <w:rsid w:val="00480867"/>
    <w:rsid w:val="00480DDD"/>
    <w:rsid w:val="00481794"/>
    <w:rsid w:val="00481BA3"/>
    <w:rsid w:val="004822A7"/>
    <w:rsid w:val="0048239B"/>
    <w:rsid w:val="0048258F"/>
    <w:rsid w:val="00482834"/>
    <w:rsid w:val="00482A9B"/>
    <w:rsid w:val="00482BBD"/>
    <w:rsid w:val="00482C31"/>
    <w:rsid w:val="004831A3"/>
    <w:rsid w:val="004836FA"/>
    <w:rsid w:val="0048374D"/>
    <w:rsid w:val="00483758"/>
    <w:rsid w:val="004838CA"/>
    <w:rsid w:val="00484226"/>
    <w:rsid w:val="0048432C"/>
    <w:rsid w:val="004843F9"/>
    <w:rsid w:val="004848A1"/>
    <w:rsid w:val="00484FD5"/>
    <w:rsid w:val="004852D0"/>
    <w:rsid w:val="00485F83"/>
    <w:rsid w:val="004860B6"/>
    <w:rsid w:val="00486140"/>
    <w:rsid w:val="0048724E"/>
    <w:rsid w:val="0048770D"/>
    <w:rsid w:val="004877B8"/>
    <w:rsid w:val="00487AD1"/>
    <w:rsid w:val="00487C22"/>
    <w:rsid w:val="00487D34"/>
    <w:rsid w:val="004900D9"/>
    <w:rsid w:val="00490118"/>
    <w:rsid w:val="004905CA"/>
    <w:rsid w:val="00490BDA"/>
    <w:rsid w:val="00490D2A"/>
    <w:rsid w:val="004910DF"/>
    <w:rsid w:val="00491421"/>
    <w:rsid w:val="00491B2C"/>
    <w:rsid w:val="00491C77"/>
    <w:rsid w:val="00492045"/>
    <w:rsid w:val="004920AA"/>
    <w:rsid w:val="0049239F"/>
    <w:rsid w:val="00492AA2"/>
    <w:rsid w:val="00492F01"/>
    <w:rsid w:val="00493172"/>
    <w:rsid w:val="00493975"/>
    <w:rsid w:val="00493ECF"/>
    <w:rsid w:val="00494067"/>
    <w:rsid w:val="004943AB"/>
    <w:rsid w:val="004943BF"/>
    <w:rsid w:val="00494DB5"/>
    <w:rsid w:val="00494FC5"/>
    <w:rsid w:val="00495181"/>
    <w:rsid w:val="00495402"/>
    <w:rsid w:val="0049558A"/>
    <w:rsid w:val="004955C4"/>
    <w:rsid w:val="00495834"/>
    <w:rsid w:val="00495A27"/>
    <w:rsid w:val="00495B68"/>
    <w:rsid w:val="00495E00"/>
    <w:rsid w:val="004960DF"/>
    <w:rsid w:val="00496263"/>
    <w:rsid w:val="0049639C"/>
    <w:rsid w:val="0049685F"/>
    <w:rsid w:val="004974A2"/>
    <w:rsid w:val="0049770D"/>
    <w:rsid w:val="00497E2E"/>
    <w:rsid w:val="00497E65"/>
    <w:rsid w:val="00497F67"/>
    <w:rsid w:val="004A03C7"/>
    <w:rsid w:val="004A0B68"/>
    <w:rsid w:val="004A0D0A"/>
    <w:rsid w:val="004A11C6"/>
    <w:rsid w:val="004A1263"/>
    <w:rsid w:val="004A12BA"/>
    <w:rsid w:val="004A2129"/>
    <w:rsid w:val="004A2327"/>
    <w:rsid w:val="004A23DA"/>
    <w:rsid w:val="004A23DE"/>
    <w:rsid w:val="004A26AB"/>
    <w:rsid w:val="004A28BD"/>
    <w:rsid w:val="004A2ADC"/>
    <w:rsid w:val="004A2B24"/>
    <w:rsid w:val="004A2C55"/>
    <w:rsid w:val="004A2CA7"/>
    <w:rsid w:val="004A2E2E"/>
    <w:rsid w:val="004A3684"/>
    <w:rsid w:val="004A37A5"/>
    <w:rsid w:val="004A3942"/>
    <w:rsid w:val="004A3A7D"/>
    <w:rsid w:val="004A3C0E"/>
    <w:rsid w:val="004A3D2F"/>
    <w:rsid w:val="004A3E7A"/>
    <w:rsid w:val="004A4613"/>
    <w:rsid w:val="004A488C"/>
    <w:rsid w:val="004A48E2"/>
    <w:rsid w:val="004A4F19"/>
    <w:rsid w:val="004A4F6D"/>
    <w:rsid w:val="004A4F80"/>
    <w:rsid w:val="004A522D"/>
    <w:rsid w:val="004A63A3"/>
    <w:rsid w:val="004A66BC"/>
    <w:rsid w:val="004A67B8"/>
    <w:rsid w:val="004A68E7"/>
    <w:rsid w:val="004A6A3E"/>
    <w:rsid w:val="004A6BFE"/>
    <w:rsid w:val="004A6D02"/>
    <w:rsid w:val="004A7491"/>
    <w:rsid w:val="004A7552"/>
    <w:rsid w:val="004B059F"/>
    <w:rsid w:val="004B0E6E"/>
    <w:rsid w:val="004B0F1C"/>
    <w:rsid w:val="004B0F6F"/>
    <w:rsid w:val="004B1019"/>
    <w:rsid w:val="004B1282"/>
    <w:rsid w:val="004B1566"/>
    <w:rsid w:val="004B1638"/>
    <w:rsid w:val="004B19D0"/>
    <w:rsid w:val="004B1ECA"/>
    <w:rsid w:val="004B1F23"/>
    <w:rsid w:val="004B2396"/>
    <w:rsid w:val="004B24CB"/>
    <w:rsid w:val="004B2B7C"/>
    <w:rsid w:val="004B2EED"/>
    <w:rsid w:val="004B35F0"/>
    <w:rsid w:val="004B3729"/>
    <w:rsid w:val="004B3C43"/>
    <w:rsid w:val="004B3D3A"/>
    <w:rsid w:val="004B3F31"/>
    <w:rsid w:val="004B40D9"/>
    <w:rsid w:val="004B42EB"/>
    <w:rsid w:val="004B444F"/>
    <w:rsid w:val="004B44CB"/>
    <w:rsid w:val="004B4ABF"/>
    <w:rsid w:val="004B4BD8"/>
    <w:rsid w:val="004B4C91"/>
    <w:rsid w:val="004B4CF8"/>
    <w:rsid w:val="004B4E46"/>
    <w:rsid w:val="004B5518"/>
    <w:rsid w:val="004B5C7C"/>
    <w:rsid w:val="004B5DD7"/>
    <w:rsid w:val="004B62B2"/>
    <w:rsid w:val="004B6B57"/>
    <w:rsid w:val="004B7280"/>
    <w:rsid w:val="004B7AC0"/>
    <w:rsid w:val="004B7BA2"/>
    <w:rsid w:val="004B7CC1"/>
    <w:rsid w:val="004B7D68"/>
    <w:rsid w:val="004C03A3"/>
    <w:rsid w:val="004C04D9"/>
    <w:rsid w:val="004C05AD"/>
    <w:rsid w:val="004C06F6"/>
    <w:rsid w:val="004C0850"/>
    <w:rsid w:val="004C0857"/>
    <w:rsid w:val="004C0A1A"/>
    <w:rsid w:val="004C147B"/>
    <w:rsid w:val="004C1AB2"/>
    <w:rsid w:val="004C1F0F"/>
    <w:rsid w:val="004C2157"/>
    <w:rsid w:val="004C26D1"/>
    <w:rsid w:val="004C29C0"/>
    <w:rsid w:val="004C3057"/>
    <w:rsid w:val="004C3C92"/>
    <w:rsid w:val="004C43DB"/>
    <w:rsid w:val="004C469A"/>
    <w:rsid w:val="004C47F9"/>
    <w:rsid w:val="004C4900"/>
    <w:rsid w:val="004C4C56"/>
    <w:rsid w:val="004C4CF6"/>
    <w:rsid w:val="004C4E46"/>
    <w:rsid w:val="004C5AE3"/>
    <w:rsid w:val="004C5C3B"/>
    <w:rsid w:val="004C5C6B"/>
    <w:rsid w:val="004C6049"/>
    <w:rsid w:val="004C6114"/>
    <w:rsid w:val="004C6307"/>
    <w:rsid w:val="004C6751"/>
    <w:rsid w:val="004C6949"/>
    <w:rsid w:val="004C69CF"/>
    <w:rsid w:val="004C6FB3"/>
    <w:rsid w:val="004C70D4"/>
    <w:rsid w:val="004C7495"/>
    <w:rsid w:val="004D0024"/>
    <w:rsid w:val="004D0614"/>
    <w:rsid w:val="004D0914"/>
    <w:rsid w:val="004D0B12"/>
    <w:rsid w:val="004D0FDC"/>
    <w:rsid w:val="004D13B9"/>
    <w:rsid w:val="004D16F6"/>
    <w:rsid w:val="004D19AD"/>
    <w:rsid w:val="004D1BE3"/>
    <w:rsid w:val="004D1F83"/>
    <w:rsid w:val="004D2158"/>
    <w:rsid w:val="004D21A7"/>
    <w:rsid w:val="004D255A"/>
    <w:rsid w:val="004D261C"/>
    <w:rsid w:val="004D2696"/>
    <w:rsid w:val="004D26DB"/>
    <w:rsid w:val="004D3381"/>
    <w:rsid w:val="004D3610"/>
    <w:rsid w:val="004D390D"/>
    <w:rsid w:val="004D39DE"/>
    <w:rsid w:val="004D40C2"/>
    <w:rsid w:val="004D4540"/>
    <w:rsid w:val="004D4C00"/>
    <w:rsid w:val="004D52DC"/>
    <w:rsid w:val="004D59C6"/>
    <w:rsid w:val="004D5AE9"/>
    <w:rsid w:val="004D5C91"/>
    <w:rsid w:val="004D5E02"/>
    <w:rsid w:val="004D5F68"/>
    <w:rsid w:val="004D6533"/>
    <w:rsid w:val="004D67E4"/>
    <w:rsid w:val="004D6B48"/>
    <w:rsid w:val="004D6C5B"/>
    <w:rsid w:val="004D6D64"/>
    <w:rsid w:val="004D702A"/>
    <w:rsid w:val="004D723D"/>
    <w:rsid w:val="004D7871"/>
    <w:rsid w:val="004D7ABB"/>
    <w:rsid w:val="004E000C"/>
    <w:rsid w:val="004E0699"/>
    <w:rsid w:val="004E0DB5"/>
    <w:rsid w:val="004E1821"/>
    <w:rsid w:val="004E2195"/>
    <w:rsid w:val="004E2446"/>
    <w:rsid w:val="004E244D"/>
    <w:rsid w:val="004E2A90"/>
    <w:rsid w:val="004E2B62"/>
    <w:rsid w:val="004E2D6C"/>
    <w:rsid w:val="004E2D89"/>
    <w:rsid w:val="004E2E92"/>
    <w:rsid w:val="004E2EDC"/>
    <w:rsid w:val="004E30D1"/>
    <w:rsid w:val="004E32ED"/>
    <w:rsid w:val="004E32FD"/>
    <w:rsid w:val="004E3677"/>
    <w:rsid w:val="004E3823"/>
    <w:rsid w:val="004E38D7"/>
    <w:rsid w:val="004E3D10"/>
    <w:rsid w:val="004E4013"/>
    <w:rsid w:val="004E41AF"/>
    <w:rsid w:val="004E41B1"/>
    <w:rsid w:val="004E47B0"/>
    <w:rsid w:val="004E49A5"/>
    <w:rsid w:val="004E4A0D"/>
    <w:rsid w:val="004E4B1E"/>
    <w:rsid w:val="004E4C1A"/>
    <w:rsid w:val="004E4DFC"/>
    <w:rsid w:val="004E502E"/>
    <w:rsid w:val="004E52AE"/>
    <w:rsid w:val="004E56B0"/>
    <w:rsid w:val="004E586C"/>
    <w:rsid w:val="004E5C32"/>
    <w:rsid w:val="004E5CD1"/>
    <w:rsid w:val="004E5ECA"/>
    <w:rsid w:val="004E6DA4"/>
    <w:rsid w:val="004E6DB4"/>
    <w:rsid w:val="004E6E17"/>
    <w:rsid w:val="004E71FB"/>
    <w:rsid w:val="004E75AC"/>
    <w:rsid w:val="004E789C"/>
    <w:rsid w:val="004E7A0E"/>
    <w:rsid w:val="004E7A65"/>
    <w:rsid w:val="004E7AEF"/>
    <w:rsid w:val="004E7F14"/>
    <w:rsid w:val="004F0486"/>
    <w:rsid w:val="004F0563"/>
    <w:rsid w:val="004F0A09"/>
    <w:rsid w:val="004F0A14"/>
    <w:rsid w:val="004F0C1C"/>
    <w:rsid w:val="004F10AF"/>
    <w:rsid w:val="004F1142"/>
    <w:rsid w:val="004F15FC"/>
    <w:rsid w:val="004F260D"/>
    <w:rsid w:val="004F293F"/>
    <w:rsid w:val="004F30C8"/>
    <w:rsid w:val="004F32DA"/>
    <w:rsid w:val="004F3359"/>
    <w:rsid w:val="004F38F7"/>
    <w:rsid w:val="004F3DC4"/>
    <w:rsid w:val="004F405D"/>
    <w:rsid w:val="004F42CB"/>
    <w:rsid w:val="004F448E"/>
    <w:rsid w:val="004F4600"/>
    <w:rsid w:val="004F4855"/>
    <w:rsid w:val="004F4A04"/>
    <w:rsid w:val="004F4C1D"/>
    <w:rsid w:val="004F4CD0"/>
    <w:rsid w:val="004F4D99"/>
    <w:rsid w:val="004F4F6D"/>
    <w:rsid w:val="004F4F84"/>
    <w:rsid w:val="004F50BF"/>
    <w:rsid w:val="004F544B"/>
    <w:rsid w:val="004F5807"/>
    <w:rsid w:val="004F596C"/>
    <w:rsid w:val="004F5B10"/>
    <w:rsid w:val="004F5C90"/>
    <w:rsid w:val="004F601B"/>
    <w:rsid w:val="004F60FB"/>
    <w:rsid w:val="004F6387"/>
    <w:rsid w:val="004F649F"/>
    <w:rsid w:val="004F6AAD"/>
    <w:rsid w:val="004F6C98"/>
    <w:rsid w:val="004F78D8"/>
    <w:rsid w:val="004F7901"/>
    <w:rsid w:val="00500220"/>
    <w:rsid w:val="0050170E"/>
    <w:rsid w:val="00501A4C"/>
    <w:rsid w:val="00501FB0"/>
    <w:rsid w:val="00501FDE"/>
    <w:rsid w:val="005028D9"/>
    <w:rsid w:val="00502B2A"/>
    <w:rsid w:val="005030F5"/>
    <w:rsid w:val="00503177"/>
    <w:rsid w:val="00503394"/>
    <w:rsid w:val="00503CDD"/>
    <w:rsid w:val="00503D4F"/>
    <w:rsid w:val="00503D57"/>
    <w:rsid w:val="00503DB3"/>
    <w:rsid w:val="00503FD2"/>
    <w:rsid w:val="005047DA"/>
    <w:rsid w:val="00504CFC"/>
    <w:rsid w:val="00505979"/>
    <w:rsid w:val="00505E15"/>
    <w:rsid w:val="00506131"/>
    <w:rsid w:val="00506466"/>
    <w:rsid w:val="005067BD"/>
    <w:rsid w:val="005069D1"/>
    <w:rsid w:val="00506B18"/>
    <w:rsid w:val="005072EC"/>
    <w:rsid w:val="005074BA"/>
    <w:rsid w:val="00507A53"/>
    <w:rsid w:val="00507B8B"/>
    <w:rsid w:val="00507D3E"/>
    <w:rsid w:val="00507DFB"/>
    <w:rsid w:val="00510B81"/>
    <w:rsid w:val="00511241"/>
    <w:rsid w:val="00512072"/>
    <w:rsid w:val="0051299C"/>
    <w:rsid w:val="005129E1"/>
    <w:rsid w:val="00512D4C"/>
    <w:rsid w:val="00512F79"/>
    <w:rsid w:val="005130FA"/>
    <w:rsid w:val="00513872"/>
    <w:rsid w:val="005142BD"/>
    <w:rsid w:val="00514D63"/>
    <w:rsid w:val="005153DF"/>
    <w:rsid w:val="00515452"/>
    <w:rsid w:val="0051589A"/>
    <w:rsid w:val="00515E02"/>
    <w:rsid w:val="00515E0D"/>
    <w:rsid w:val="0051617A"/>
    <w:rsid w:val="005167BE"/>
    <w:rsid w:val="00516AC0"/>
    <w:rsid w:val="00517010"/>
    <w:rsid w:val="0051720A"/>
    <w:rsid w:val="00517E80"/>
    <w:rsid w:val="005202C6"/>
    <w:rsid w:val="0052094C"/>
    <w:rsid w:val="00520AF3"/>
    <w:rsid w:val="00520B77"/>
    <w:rsid w:val="00520E13"/>
    <w:rsid w:val="00520E6B"/>
    <w:rsid w:val="00520EF9"/>
    <w:rsid w:val="00521089"/>
    <w:rsid w:val="00521302"/>
    <w:rsid w:val="005213BD"/>
    <w:rsid w:val="005215E0"/>
    <w:rsid w:val="0052174F"/>
    <w:rsid w:val="00522448"/>
    <w:rsid w:val="0052254F"/>
    <w:rsid w:val="005225C4"/>
    <w:rsid w:val="00522AFF"/>
    <w:rsid w:val="005230E3"/>
    <w:rsid w:val="00523204"/>
    <w:rsid w:val="0052340E"/>
    <w:rsid w:val="00523956"/>
    <w:rsid w:val="0052419D"/>
    <w:rsid w:val="005244D3"/>
    <w:rsid w:val="00524627"/>
    <w:rsid w:val="00524678"/>
    <w:rsid w:val="00524C31"/>
    <w:rsid w:val="00524C4E"/>
    <w:rsid w:val="00524C5F"/>
    <w:rsid w:val="00524E8A"/>
    <w:rsid w:val="00525066"/>
    <w:rsid w:val="005250A4"/>
    <w:rsid w:val="005257E0"/>
    <w:rsid w:val="00525A58"/>
    <w:rsid w:val="00525ABA"/>
    <w:rsid w:val="0052795F"/>
    <w:rsid w:val="00527DBD"/>
    <w:rsid w:val="00527E0E"/>
    <w:rsid w:val="00527F62"/>
    <w:rsid w:val="0053033B"/>
    <w:rsid w:val="005303FF"/>
    <w:rsid w:val="005310AB"/>
    <w:rsid w:val="00531481"/>
    <w:rsid w:val="00531898"/>
    <w:rsid w:val="00531C1D"/>
    <w:rsid w:val="0053208E"/>
    <w:rsid w:val="0053224B"/>
    <w:rsid w:val="005325AA"/>
    <w:rsid w:val="00532A7B"/>
    <w:rsid w:val="00532A9E"/>
    <w:rsid w:val="005330CC"/>
    <w:rsid w:val="00533196"/>
    <w:rsid w:val="00533536"/>
    <w:rsid w:val="005336A8"/>
    <w:rsid w:val="00533BF8"/>
    <w:rsid w:val="00534404"/>
    <w:rsid w:val="00534515"/>
    <w:rsid w:val="0053528F"/>
    <w:rsid w:val="00535F02"/>
    <w:rsid w:val="00535FF6"/>
    <w:rsid w:val="00536315"/>
    <w:rsid w:val="00536362"/>
    <w:rsid w:val="00536B42"/>
    <w:rsid w:val="00537775"/>
    <w:rsid w:val="00537781"/>
    <w:rsid w:val="005377EA"/>
    <w:rsid w:val="0053784B"/>
    <w:rsid w:val="00537BA9"/>
    <w:rsid w:val="005401AA"/>
    <w:rsid w:val="00540476"/>
    <w:rsid w:val="005404FE"/>
    <w:rsid w:val="00540BCA"/>
    <w:rsid w:val="00540E6E"/>
    <w:rsid w:val="0054148A"/>
    <w:rsid w:val="005414DA"/>
    <w:rsid w:val="00541825"/>
    <w:rsid w:val="00541D70"/>
    <w:rsid w:val="00541FC4"/>
    <w:rsid w:val="00542063"/>
    <w:rsid w:val="0054213F"/>
    <w:rsid w:val="005421E8"/>
    <w:rsid w:val="00542705"/>
    <w:rsid w:val="005428A2"/>
    <w:rsid w:val="00542B7D"/>
    <w:rsid w:val="00542C45"/>
    <w:rsid w:val="00542F75"/>
    <w:rsid w:val="0054344F"/>
    <w:rsid w:val="005435AC"/>
    <w:rsid w:val="00543700"/>
    <w:rsid w:val="00543818"/>
    <w:rsid w:val="005441B0"/>
    <w:rsid w:val="0054455B"/>
    <w:rsid w:val="00544569"/>
    <w:rsid w:val="00544655"/>
    <w:rsid w:val="00544A5D"/>
    <w:rsid w:val="00544BC9"/>
    <w:rsid w:val="00544DAE"/>
    <w:rsid w:val="005455C1"/>
    <w:rsid w:val="005457F0"/>
    <w:rsid w:val="0054585F"/>
    <w:rsid w:val="00545B05"/>
    <w:rsid w:val="00545B21"/>
    <w:rsid w:val="00545B72"/>
    <w:rsid w:val="0054615F"/>
    <w:rsid w:val="00546427"/>
    <w:rsid w:val="0054674E"/>
    <w:rsid w:val="00546851"/>
    <w:rsid w:val="00546868"/>
    <w:rsid w:val="0054750A"/>
    <w:rsid w:val="00547893"/>
    <w:rsid w:val="00547A70"/>
    <w:rsid w:val="00547A8E"/>
    <w:rsid w:val="00547B35"/>
    <w:rsid w:val="00547E8A"/>
    <w:rsid w:val="00550495"/>
    <w:rsid w:val="005507F2"/>
    <w:rsid w:val="00550836"/>
    <w:rsid w:val="00550B0A"/>
    <w:rsid w:val="00550B4C"/>
    <w:rsid w:val="00550D5E"/>
    <w:rsid w:val="00550FB6"/>
    <w:rsid w:val="00550FDD"/>
    <w:rsid w:val="00551598"/>
    <w:rsid w:val="00551695"/>
    <w:rsid w:val="00551D55"/>
    <w:rsid w:val="00551D5C"/>
    <w:rsid w:val="00551F5A"/>
    <w:rsid w:val="00551FC6"/>
    <w:rsid w:val="00552077"/>
    <w:rsid w:val="0055233C"/>
    <w:rsid w:val="00552374"/>
    <w:rsid w:val="005524D6"/>
    <w:rsid w:val="005524DF"/>
    <w:rsid w:val="00552516"/>
    <w:rsid w:val="00552876"/>
    <w:rsid w:val="005529A0"/>
    <w:rsid w:val="00552ABE"/>
    <w:rsid w:val="00552D04"/>
    <w:rsid w:val="0055339A"/>
    <w:rsid w:val="005537A5"/>
    <w:rsid w:val="005538DB"/>
    <w:rsid w:val="00553949"/>
    <w:rsid w:val="0055406E"/>
    <w:rsid w:val="00554240"/>
    <w:rsid w:val="00554A8C"/>
    <w:rsid w:val="00554B01"/>
    <w:rsid w:val="00555873"/>
    <w:rsid w:val="0055619C"/>
    <w:rsid w:val="005562D5"/>
    <w:rsid w:val="00556B3C"/>
    <w:rsid w:val="00556F93"/>
    <w:rsid w:val="00557CAA"/>
    <w:rsid w:val="00557DC6"/>
    <w:rsid w:val="005607B6"/>
    <w:rsid w:val="00560CD6"/>
    <w:rsid w:val="005610B6"/>
    <w:rsid w:val="0056124D"/>
    <w:rsid w:val="00561263"/>
    <w:rsid w:val="00561AC7"/>
    <w:rsid w:val="00561B63"/>
    <w:rsid w:val="005621D4"/>
    <w:rsid w:val="00562922"/>
    <w:rsid w:val="005629E7"/>
    <w:rsid w:val="00562A24"/>
    <w:rsid w:val="00562CB0"/>
    <w:rsid w:val="00562FD5"/>
    <w:rsid w:val="00563059"/>
    <w:rsid w:val="00563685"/>
    <w:rsid w:val="005636C8"/>
    <w:rsid w:val="00563752"/>
    <w:rsid w:val="00563B99"/>
    <w:rsid w:val="00563BD3"/>
    <w:rsid w:val="00563EE6"/>
    <w:rsid w:val="00564199"/>
    <w:rsid w:val="005641EF"/>
    <w:rsid w:val="005642B4"/>
    <w:rsid w:val="0056430B"/>
    <w:rsid w:val="005644CD"/>
    <w:rsid w:val="00564918"/>
    <w:rsid w:val="0056555C"/>
    <w:rsid w:val="00565964"/>
    <w:rsid w:val="00565A76"/>
    <w:rsid w:val="00565B42"/>
    <w:rsid w:val="0056637D"/>
    <w:rsid w:val="00566518"/>
    <w:rsid w:val="00566B1D"/>
    <w:rsid w:val="00566E4A"/>
    <w:rsid w:val="005671D9"/>
    <w:rsid w:val="005671F2"/>
    <w:rsid w:val="00567400"/>
    <w:rsid w:val="00567659"/>
    <w:rsid w:val="0056780E"/>
    <w:rsid w:val="00567B0D"/>
    <w:rsid w:val="00567F17"/>
    <w:rsid w:val="005703D9"/>
    <w:rsid w:val="00571100"/>
    <w:rsid w:val="005719EB"/>
    <w:rsid w:val="00571AE6"/>
    <w:rsid w:val="00571E22"/>
    <w:rsid w:val="00571FBA"/>
    <w:rsid w:val="005720BF"/>
    <w:rsid w:val="00572729"/>
    <w:rsid w:val="005729BF"/>
    <w:rsid w:val="00572DEE"/>
    <w:rsid w:val="00572FE9"/>
    <w:rsid w:val="00573193"/>
    <w:rsid w:val="0057323E"/>
    <w:rsid w:val="00573521"/>
    <w:rsid w:val="0057385B"/>
    <w:rsid w:val="00573E58"/>
    <w:rsid w:val="0057428B"/>
    <w:rsid w:val="00574629"/>
    <w:rsid w:val="005748E7"/>
    <w:rsid w:val="0057514C"/>
    <w:rsid w:val="00575155"/>
    <w:rsid w:val="005754FC"/>
    <w:rsid w:val="005757AF"/>
    <w:rsid w:val="00575CF2"/>
    <w:rsid w:val="0057630C"/>
    <w:rsid w:val="0057641E"/>
    <w:rsid w:val="00576678"/>
    <w:rsid w:val="005769A0"/>
    <w:rsid w:val="00576BC7"/>
    <w:rsid w:val="00576E45"/>
    <w:rsid w:val="00576FB0"/>
    <w:rsid w:val="0057734E"/>
    <w:rsid w:val="005777E2"/>
    <w:rsid w:val="005778ED"/>
    <w:rsid w:val="005805CD"/>
    <w:rsid w:val="00580946"/>
    <w:rsid w:val="0058097A"/>
    <w:rsid w:val="005809B6"/>
    <w:rsid w:val="005810DD"/>
    <w:rsid w:val="0058135D"/>
    <w:rsid w:val="00581B40"/>
    <w:rsid w:val="00581E9D"/>
    <w:rsid w:val="0058205F"/>
    <w:rsid w:val="005820A2"/>
    <w:rsid w:val="0058226A"/>
    <w:rsid w:val="00582418"/>
    <w:rsid w:val="00582A25"/>
    <w:rsid w:val="00582C47"/>
    <w:rsid w:val="00583050"/>
    <w:rsid w:val="0058316E"/>
    <w:rsid w:val="00583437"/>
    <w:rsid w:val="005834C8"/>
    <w:rsid w:val="00583522"/>
    <w:rsid w:val="00583D7B"/>
    <w:rsid w:val="005840CF"/>
    <w:rsid w:val="0058454D"/>
    <w:rsid w:val="00584742"/>
    <w:rsid w:val="00584AEF"/>
    <w:rsid w:val="00584BC4"/>
    <w:rsid w:val="005851C0"/>
    <w:rsid w:val="00585A6A"/>
    <w:rsid w:val="00585C46"/>
    <w:rsid w:val="00585EF3"/>
    <w:rsid w:val="00586078"/>
    <w:rsid w:val="005860FF"/>
    <w:rsid w:val="00586460"/>
    <w:rsid w:val="00586547"/>
    <w:rsid w:val="00586A14"/>
    <w:rsid w:val="00586E40"/>
    <w:rsid w:val="00587207"/>
    <w:rsid w:val="005873B3"/>
    <w:rsid w:val="005874FE"/>
    <w:rsid w:val="00587BC4"/>
    <w:rsid w:val="00587BDA"/>
    <w:rsid w:val="00587C73"/>
    <w:rsid w:val="0059089C"/>
    <w:rsid w:val="005911E9"/>
    <w:rsid w:val="005912D3"/>
    <w:rsid w:val="0059135E"/>
    <w:rsid w:val="00591976"/>
    <w:rsid w:val="00591C6D"/>
    <w:rsid w:val="00592401"/>
    <w:rsid w:val="00592768"/>
    <w:rsid w:val="00592E91"/>
    <w:rsid w:val="005932B0"/>
    <w:rsid w:val="005932EE"/>
    <w:rsid w:val="005933A4"/>
    <w:rsid w:val="00593B83"/>
    <w:rsid w:val="00593CD5"/>
    <w:rsid w:val="00593E9C"/>
    <w:rsid w:val="0059421A"/>
    <w:rsid w:val="005947B3"/>
    <w:rsid w:val="00595004"/>
    <w:rsid w:val="00595A3A"/>
    <w:rsid w:val="00595C0F"/>
    <w:rsid w:val="00595E52"/>
    <w:rsid w:val="00596021"/>
    <w:rsid w:val="005960CB"/>
    <w:rsid w:val="005962BE"/>
    <w:rsid w:val="00596609"/>
    <w:rsid w:val="00596D1E"/>
    <w:rsid w:val="00597973"/>
    <w:rsid w:val="005A048C"/>
    <w:rsid w:val="005A097E"/>
    <w:rsid w:val="005A143F"/>
    <w:rsid w:val="005A1CD8"/>
    <w:rsid w:val="005A22E4"/>
    <w:rsid w:val="005A2D39"/>
    <w:rsid w:val="005A2DB3"/>
    <w:rsid w:val="005A2DF6"/>
    <w:rsid w:val="005A3049"/>
    <w:rsid w:val="005A3306"/>
    <w:rsid w:val="005A3406"/>
    <w:rsid w:val="005A38D6"/>
    <w:rsid w:val="005A4184"/>
    <w:rsid w:val="005A449B"/>
    <w:rsid w:val="005A4631"/>
    <w:rsid w:val="005A4780"/>
    <w:rsid w:val="005A4BCE"/>
    <w:rsid w:val="005A4D7F"/>
    <w:rsid w:val="005A5389"/>
    <w:rsid w:val="005A5856"/>
    <w:rsid w:val="005A585A"/>
    <w:rsid w:val="005A5AB2"/>
    <w:rsid w:val="005A5CA2"/>
    <w:rsid w:val="005A60EB"/>
    <w:rsid w:val="005A6FDA"/>
    <w:rsid w:val="005A75B1"/>
    <w:rsid w:val="005A7AAD"/>
    <w:rsid w:val="005A7E78"/>
    <w:rsid w:val="005B020D"/>
    <w:rsid w:val="005B047C"/>
    <w:rsid w:val="005B0BBD"/>
    <w:rsid w:val="005B10CB"/>
    <w:rsid w:val="005B121D"/>
    <w:rsid w:val="005B150C"/>
    <w:rsid w:val="005B16DF"/>
    <w:rsid w:val="005B1C91"/>
    <w:rsid w:val="005B22D8"/>
    <w:rsid w:val="005B2635"/>
    <w:rsid w:val="005B2CF0"/>
    <w:rsid w:val="005B2E57"/>
    <w:rsid w:val="005B338D"/>
    <w:rsid w:val="005B39DF"/>
    <w:rsid w:val="005B3A75"/>
    <w:rsid w:val="005B3D42"/>
    <w:rsid w:val="005B3F08"/>
    <w:rsid w:val="005B40D8"/>
    <w:rsid w:val="005B485D"/>
    <w:rsid w:val="005B486F"/>
    <w:rsid w:val="005B49F6"/>
    <w:rsid w:val="005B5078"/>
    <w:rsid w:val="005B526F"/>
    <w:rsid w:val="005B5389"/>
    <w:rsid w:val="005B567D"/>
    <w:rsid w:val="005B5D50"/>
    <w:rsid w:val="005B6764"/>
    <w:rsid w:val="005B6C31"/>
    <w:rsid w:val="005B6DE4"/>
    <w:rsid w:val="005B6E88"/>
    <w:rsid w:val="005B7363"/>
    <w:rsid w:val="005B736B"/>
    <w:rsid w:val="005B767C"/>
    <w:rsid w:val="005B76CF"/>
    <w:rsid w:val="005B7BBB"/>
    <w:rsid w:val="005B7F43"/>
    <w:rsid w:val="005C07E6"/>
    <w:rsid w:val="005C0E12"/>
    <w:rsid w:val="005C10C7"/>
    <w:rsid w:val="005C1159"/>
    <w:rsid w:val="005C2156"/>
    <w:rsid w:val="005C254C"/>
    <w:rsid w:val="005C25AC"/>
    <w:rsid w:val="005C2724"/>
    <w:rsid w:val="005C2B04"/>
    <w:rsid w:val="005C3076"/>
    <w:rsid w:val="005C3215"/>
    <w:rsid w:val="005C3376"/>
    <w:rsid w:val="005C33A0"/>
    <w:rsid w:val="005C3478"/>
    <w:rsid w:val="005C36ED"/>
    <w:rsid w:val="005C38AA"/>
    <w:rsid w:val="005C3984"/>
    <w:rsid w:val="005C3A65"/>
    <w:rsid w:val="005C3A69"/>
    <w:rsid w:val="005C3E1A"/>
    <w:rsid w:val="005C41CA"/>
    <w:rsid w:val="005C4406"/>
    <w:rsid w:val="005C4498"/>
    <w:rsid w:val="005C44B9"/>
    <w:rsid w:val="005C46E9"/>
    <w:rsid w:val="005C46FB"/>
    <w:rsid w:val="005C4B55"/>
    <w:rsid w:val="005C4D49"/>
    <w:rsid w:val="005C5107"/>
    <w:rsid w:val="005C51EE"/>
    <w:rsid w:val="005C5E9F"/>
    <w:rsid w:val="005C61AE"/>
    <w:rsid w:val="005C64EE"/>
    <w:rsid w:val="005C6566"/>
    <w:rsid w:val="005C6ED4"/>
    <w:rsid w:val="005C6F0E"/>
    <w:rsid w:val="005C7123"/>
    <w:rsid w:val="005C73E7"/>
    <w:rsid w:val="005C747A"/>
    <w:rsid w:val="005C7718"/>
    <w:rsid w:val="005C779C"/>
    <w:rsid w:val="005C77AD"/>
    <w:rsid w:val="005C78B7"/>
    <w:rsid w:val="005C795A"/>
    <w:rsid w:val="005C79A0"/>
    <w:rsid w:val="005D0071"/>
    <w:rsid w:val="005D025D"/>
    <w:rsid w:val="005D02DD"/>
    <w:rsid w:val="005D0834"/>
    <w:rsid w:val="005D0C52"/>
    <w:rsid w:val="005D0DFF"/>
    <w:rsid w:val="005D1436"/>
    <w:rsid w:val="005D149D"/>
    <w:rsid w:val="005D14F8"/>
    <w:rsid w:val="005D174B"/>
    <w:rsid w:val="005D18F9"/>
    <w:rsid w:val="005D1BB0"/>
    <w:rsid w:val="005D1EB4"/>
    <w:rsid w:val="005D200F"/>
    <w:rsid w:val="005D2675"/>
    <w:rsid w:val="005D27D1"/>
    <w:rsid w:val="005D28A7"/>
    <w:rsid w:val="005D2AD0"/>
    <w:rsid w:val="005D2B6F"/>
    <w:rsid w:val="005D2BB1"/>
    <w:rsid w:val="005D2BB5"/>
    <w:rsid w:val="005D2EE7"/>
    <w:rsid w:val="005D38AC"/>
    <w:rsid w:val="005D3D41"/>
    <w:rsid w:val="005D4530"/>
    <w:rsid w:val="005D4904"/>
    <w:rsid w:val="005D4A61"/>
    <w:rsid w:val="005D4AD6"/>
    <w:rsid w:val="005D55D3"/>
    <w:rsid w:val="005D5790"/>
    <w:rsid w:val="005D5C1C"/>
    <w:rsid w:val="005D646D"/>
    <w:rsid w:val="005D6614"/>
    <w:rsid w:val="005D68F3"/>
    <w:rsid w:val="005D6D46"/>
    <w:rsid w:val="005D6DC6"/>
    <w:rsid w:val="005D6DD6"/>
    <w:rsid w:val="005D70A9"/>
    <w:rsid w:val="005D737F"/>
    <w:rsid w:val="005D7598"/>
    <w:rsid w:val="005D7820"/>
    <w:rsid w:val="005D78F6"/>
    <w:rsid w:val="005D79E2"/>
    <w:rsid w:val="005D7A3A"/>
    <w:rsid w:val="005D7B99"/>
    <w:rsid w:val="005D7BD2"/>
    <w:rsid w:val="005D7D23"/>
    <w:rsid w:val="005D7E74"/>
    <w:rsid w:val="005D7FBF"/>
    <w:rsid w:val="005E0938"/>
    <w:rsid w:val="005E0FCE"/>
    <w:rsid w:val="005E1673"/>
    <w:rsid w:val="005E1786"/>
    <w:rsid w:val="005E1CEA"/>
    <w:rsid w:val="005E2129"/>
    <w:rsid w:val="005E2150"/>
    <w:rsid w:val="005E262D"/>
    <w:rsid w:val="005E287E"/>
    <w:rsid w:val="005E2BEE"/>
    <w:rsid w:val="005E2F8E"/>
    <w:rsid w:val="005E35B3"/>
    <w:rsid w:val="005E3BA1"/>
    <w:rsid w:val="005E3C66"/>
    <w:rsid w:val="005E3DD1"/>
    <w:rsid w:val="005E48AA"/>
    <w:rsid w:val="005E4BDC"/>
    <w:rsid w:val="005E51EC"/>
    <w:rsid w:val="005E536F"/>
    <w:rsid w:val="005E5652"/>
    <w:rsid w:val="005E5790"/>
    <w:rsid w:val="005E588A"/>
    <w:rsid w:val="005E5C7E"/>
    <w:rsid w:val="005E624D"/>
    <w:rsid w:val="005E6432"/>
    <w:rsid w:val="005E6833"/>
    <w:rsid w:val="005E6B16"/>
    <w:rsid w:val="005E6E01"/>
    <w:rsid w:val="005E7032"/>
    <w:rsid w:val="005E735F"/>
    <w:rsid w:val="005E7452"/>
    <w:rsid w:val="005F01FB"/>
    <w:rsid w:val="005F08A9"/>
    <w:rsid w:val="005F0B7D"/>
    <w:rsid w:val="005F0CE6"/>
    <w:rsid w:val="005F0FB1"/>
    <w:rsid w:val="005F114E"/>
    <w:rsid w:val="005F13AB"/>
    <w:rsid w:val="005F15FB"/>
    <w:rsid w:val="005F2429"/>
    <w:rsid w:val="005F2533"/>
    <w:rsid w:val="005F274F"/>
    <w:rsid w:val="005F285F"/>
    <w:rsid w:val="005F2E87"/>
    <w:rsid w:val="005F3050"/>
    <w:rsid w:val="005F3063"/>
    <w:rsid w:val="005F321C"/>
    <w:rsid w:val="005F3350"/>
    <w:rsid w:val="005F34A4"/>
    <w:rsid w:val="005F3561"/>
    <w:rsid w:val="005F3920"/>
    <w:rsid w:val="005F41A2"/>
    <w:rsid w:val="005F4706"/>
    <w:rsid w:val="005F4A18"/>
    <w:rsid w:val="005F4C07"/>
    <w:rsid w:val="005F4D3E"/>
    <w:rsid w:val="005F4D4A"/>
    <w:rsid w:val="005F50BA"/>
    <w:rsid w:val="005F52E4"/>
    <w:rsid w:val="005F536D"/>
    <w:rsid w:val="005F553E"/>
    <w:rsid w:val="005F5710"/>
    <w:rsid w:val="005F57E1"/>
    <w:rsid w:val="005F5AFE"/>
    <w:rsid w:val="005F5C22"/>
    <w:rsid w:val="005F5C79"/>
    <w:rsid w:val="005F5E57"/>
    <w:rsid w:val="005F5EDF"/>
    <w:rsid w:val="005F5F5C"/>
    <w:rsid w:val="005F6183"/>
    <w:rsid w:val="005F62B6"/>
    <w:rsid w:val="005F6842"/>
    <w:rsid w:val="005F6ED8"/>
    <w:rsid w:val="005F7039"/>
    <w:rsid w:val="005F7809"/>
    <w:rsid w:val="005F783A"/>
    <w:rsid w:val="005F7B41"/>
    <w:rsid w:val="005F7D0E"/>
    <w:rsid w:val="005F7F36"/>
    <w:rsid w:val="00600371"/>
    <w:rsid w:val="00600462"/>
    <w:rsid w:val="006005CA"/>
    <w:rsid w:val="0060090C"/>
    <w:rsid w:val="00600E75"/>
    <w:rsid w:val="00600F2E"/>
    <w:rsid w:val="006011CA"/>
    <w:rsid w:val="006017BC"/>
    <w:rsid w:val="006017FE"/>
    <w:rsid w:val="00601809"/>
    <w:rsid w:val="00601A8A"/>
    <w:rsid w:val="00601B5D"/>
    <w:rsid w:val="00601CEB"/>
    <w:rsid w:val="00602099"/>
    <w:rsid w:val="006025A2"/>
    <w:rsid w:val="006029E9"/>
    <w:rsid w:val="00602AF4"/>
    <w:rsid w:val="00602DAA"/>
    <w:rsid w:val="00602FA6"/>
    <w:rsid w:val="00603633"/>
    <w:rsid w:val="00603696"/>
    <w:rsid w:val="0060373A"/>
    <w:rsid w:val="00603A0F"/>
    <w:rsid w:val="00603C76"/>
    <w:rsid w:val="00603DCC"/>
    <w:rsid w:val="00603E0F"/>
    <w:rsid w:val="00603E5F"/>
    <w:rsid w:val="00603FC8"/>
    <w:rsid w:val="006046D0"/>
    <w:rsid w:val="00604FFD"/>
    <w:rsid w:val="00605439"/>
    <w:rsid w:val="006055D6"/>
    <w:rsid w:val="00605C47"/>
    <w:rsid w:val="00605CBD"/>
    <w:rsid w:val="0060607D"/>
    <w:rsid w:val="006061F9"/>
    <w:rsid w:val="006069D1"/>
    <w:rsid w:val="00606C49"/>
    <w:rsid w:val="00606E67"/>
    <w:rsid w:val="00607473"/>
    <w:rsid w:val="006078FA"/>
    <w:rsid w:val="00607BBE"/>
    <w:rsid w:val="00607C53"/>
    <w:rsid w:val="00610275"/>
    <w:rsid w:val="00610ED1"/>
    <w:rsid w:val="00611445"/>
    <w:rsid w:val="00611BC7"/>
    <w:rsid w:val="00611F42"/>
    <w:rsid w:val="00611FC2"/>
    <w:rsid w:val="006122DF"/>
    <w:rsid w:val="006123FE"/>
    <w:rsid w:val="00612622"/>
    <w:rsid w:val="0061263E"/>
    <w:rsid w:val="00612A69"/>
    <w:rsid w:val="00612BE6"/>
    <w:rsid w:val="00612E46"/>
    <w:rsid w:val="00613131"/>
    <w:rsid w:val="006132AD"/>
    <w:rsid w:val="006132B6"/>
    <w:rsid w:val="00613838"/>
    <w:rsid w:val="00613CB4"/>
    <w:rsid w:val="00613E94"/>
    <w:rsid w:val="00613F9B"/>
    <w:rsid w:val="00614245"/>
    <w:rsid w:val="006145D6"/>
    <w:rsid w:val="00614EFF"/>
    <w:rsid w:val="00615141"/>
    <w:rsid w:val="00615609"/>
    <w:rsid w:val="00615778"/>
    <w:rsid w:val="00615882"/>
    <w:rsid w:val="006159EC"/>
    <w:rsid w:val="00615C61"/>
    <w:rsid w:val="00615DC5"/>
    <w:rsid w:val="0061656E"/>
    <w:rsid w:val="00616875"/>
    <w:rsid w:val="00616AD6"/>
    <w:rsid w:val="0061747B"/>
    <w:rsid w:val="006176E8"/>
    <w:rsid w:val="00617885"/>
    <w:rsid w:val="00620068"/>
    <w:rsid w:val="00620121"/>
    <w:rsid w:val="006201C8"/>
    <w:rsid w:val="00620541"/>
    <w:rsid w:val="006208F8"/>
    <w:rsid w:val="00620CBA"/>
    <w:rsid w:val="00620D68"/>
    <w:rsid w:val="00621754"/>
    <w:rsid w:val="006218AB"/>
    <w:rsid w:val="006218C5"/>
    <w:rsid w:val="00622246"/>
    <w:rsid w:val="0062248D"/>
    <w:rsid w:val="00622978"/>
    <w:rsid w:val="00622CE0"/>
    <w:rsid w:val="00622E40"/>
    <w:rsid w:val="00622ED3"/>
    <w:rsid w:val="00623146"/>
    <w:rsid w:val="00623A3B"/>
    <w:rsid w:val="00623C25"/>
    <w:rsid w:val="006240C0"/>
    <w:rsid w:val="0062480D"/>
    <w:rsid w:val="00624B0A"/>
    <w:rsid w:val="00624B65"/>
    <w:rsid w:val="00624C30"/>
    <w:rsid w:val="006251CC"/>
    <w:rsid w:val="00625367"/>
    <w:rsid w:val="0062554B"/>
    <w:rsid w:val="00625B23"/>
    <w:rsid w:val="00625F92"/>
    <w:rsid w:val="00626E22"/>
    <w:rsid w:val="00626E78"/>
    <w:rsid w:val="00627493"/>
    <w:rsid w:val="006277F0"/>
    <w:rsid w:val="00627E1A"/>
    <w:rsid w:val="00630263"/>
    <w:rsid w:val="0063079A"/>
    <w:rsid w:val="00630A4F"/>
    <w:rsid w:val="00630BB7"/>
    <w:rsid w:val="006313F5"/>
    <w:rsid w:val="00631A22"/>
    <w:rsid w:val="00632098"/>
    <w:rsid w:val="006326B6"/>
    <w:rsid w:val="00632A7C"/>
    <w:rsid w:val="00632B50"/>
    <w:rsid w:val="00633215"/>
    <w:rsid w:val="006337CF"/>
    <w:rsid w:val="006339CF"/>
    <w:rsid w:val="00633A4D"/>
    <w:rsid w:val="00633DCA"/>
    <w:rsid w:val="00633EBC"/>
    <w:rsid w:val="0063407D"/>
    <w:rsid w:val="006341EE"/>
    <w:rsid w:val="0063466E"/>
    <w:rsid w:val="006346DA"/>
    <w:rsid w:val="00634911"/>
    <w:rsid w:val="00634E6E"/>
    <w:rsid w:val="006350DD"/>
    <w:rsid w:val="006351FE"/>
    <w:rsid w:val="00635335"/>
    <w:rsid w:val="0063552F"/>
    <w:rsid w:val="006359A0"/>
    <w:rsid w:val="00635E4B"/>
    <w:rsid w:val="00636106"/>
    <w:rsid w:val="00636671"/>
    <w:rsid w:val="00636E8C"/>
    <w:rsid w:val="00636EBB"/>
    <w:rsid w:val="006374D2"/>
    <w:rsid w:val="00637509"/>
    <w:rsid w:val="006377DF"/>
    <w:rsid w:val="006401DE"/>
    <w:rsid w:val="00640336"/>
    <w:rsid w:val="00640382"/>
    <w:rsid w:val="006404D3"/>
    <w:rsid w:val="00640515"/>
    <w:rsid w:val="006406C5"/>
    <w:rsid w:val="0064073C"/>
    <w:rsid w:val="0064077B"/>
    <w:rsid w:val="006407D9"/>
    <w:rsid w:val="006409BE"/>
    <w:rsid w:val="00640C41"/>
    <w:rsid w:val="00640E88"/>
    <w:rsid w:val="006410E4"/>
    <w:rsid w:val="0064117F"/>
    <w:rsid w:val="006412EE"/>
    <w:rsid w:val="00641630"/>
    <w:rsid w:val="00641B27"/>
    <w:rsid w:val="00641E96"/>
    <w:rsid w:val="00642308"/>
    <w:rsid w:val="0064262F"/>
    <w:rsid w:val="00642693"/>
    <w:rsid w:val="006426AE"/>
    <w:rsid w:val="00642AD1"/>
    <w:rsid w:val="00642D37"/>
    <w:rsid w:val="00642E4F"/>
    <w:rsid w:val="00642F62"/>
    <w:rsid w:val="00643006"/>
    <w:rsid w:val="00643180"/>
    <w:rsid w:val="00643A18"/>
    <w:rsid w:val="00643BE2"/>
    <w:rsid w:val="00643D49"/>
    <w:rsid w:val="00644868"/>
    <w:rsid w:val="00644A3B"/>
    <w:rsid w:val="00644C14"/>
    <w:rsid w:val="00644C9F"/>
    <w:rsid w:val="00645472"/>
    <w:rsid w:val="00645637"/>
    <w:rsid w:val="006459E2"/>
    <w:rsid w:val="00645FD6"/>
    <w:rsid w:val="00646150"/>
    <w:rsid w:val="0064648C"/>
    <w:rsid w:val="0064663C"/>
    <w:rsid w:val="006469D6"/>
    <w:rsid w:val="00646D13"/>
    <w:rsid w:val="00647BC9"/>
    <w:rsid w:val="00647BD2"/>
    <w:rsid w:val="00647D67"/>
    <w:rsid w:val="00650173"/>
    <w:rsid w:val="006502E3"/>
    <w:rsid w:val="00650C91"/>
    <w:rsid w:val="00650E77"/>
    <w:rsid w:val="0065101E"/>
    <w:rsid w:val="006512C1"/>
    <w:rsid w:val="006512CB"/>
    <w:rsid w:val="0065142A"/>
    <w:rsid w:val="00651688"/>
    <w:rsid w:val="0065178C"/>
    <w:rsid w:val="006518B7"/>
    <w:rsid w:val="00651AEA"/>
    <w:rsid w:val="00651B15"/>
    <w:rsid w:val="00651C09"/>
    <w:rsid w:val="00651F1D"/>
    <w:rsid w:val="00652043"/>
    <w:rsid w:val="00652356"/>
    <w:rsid w:val="006527C9"/>
    <w:rsid w:val="00652FD7"/>
    <w:rsid w:val="00653188"/>
    <w:rsid w:val="006539F6"/>
    <w:rsid w:val="006545D7"/>
    <w:rsid w:val="00654BAE"/>
    <w:rsid w:val="00654BDE"/>
    <w:rsid w:val="00654EF6"/>
    <w:rsid w:val="00655CCC"/>
    <w:rsid w:val="0065616D"/>
    <w:rsid w:val="006562D0"/>
    <w:rsid w:val="006563F3"/>
    <w:rsid w:val="006566AA"/>
    <w:rsid w:val="0065671C"/>
    <w:rsid w:val="00656F28"/>
    <w:rsid w:val="006573BE"/>
    <w:rsid w:val="00660256"/>
    <w:rsid w:val="0066038B"/>
    <w:rsid w:val="00660BFA"/>
    <w:rsid w:val="00661066"/>
    <w:rsid w:val="00661608"/>
    <w:rsid w:val="006616EA"/>
    <w:rsid w:val="00662949"/>
    <w:rsid w:val="00662C58"/>
    <w:rsid w:val="00662CA5"/>
    <w:rsid w:val="00663265"/>
    <w:rsid w:val="0066355E"/>
    <w:rsid w:val="00663580"/>
    <w:rsid w:val="00663607"/>
    <w:rsid w:val="00663DFF"/>
    <w:rsid w:val="00663E55"/>
    <w:rsid w:val="00663E99"/>
    <w:rsid w:val="00664277"/>
    <w:rsid w:val="006644BB"/>
    <w:rsid w:val="0066452B"/>
    <w:rsid w:val="00664AA1"/>
    <w:rsid w:val="00664FE6"/>
    <w:rsid w:val="0066581A"/>
    <w:rsid w:val="006659AB"/>
    <w:rsid w:val="006659D5"/>
    <w:rsid w:val="00665CD1"/>
    <w:rsid w:val="00665D7A"/>
    <w:rsid w:val="00665E22"/>
    <w:rsid w:val="0066673C"/>
    <w:rsid w:val="006669AB"/>
    <w:rsid w:val="00666D31"/>
    <w:rsid w:val="00666D8E"/>
    <w:rsid w:val="0066721F"/>
    <w:rsid w:val="006672F9"/>
    <w:rsid w:val="00667310"/>
    <w:rsid w:val="006676A1"/>
    <w:rsid w:val="0066775D"/>
    <w:rsid w:val="00667929"/>
    <w:rsid w:val="00667BCF"/>
    <w:rsid w:val="00667EC1"/>
    <w:rsid w:val="0067002B"/>
    <w:rsid w:val="0067038F"/>
    <w:rsid w:val="006705FA"/>
    <w:rsid w:val="00670B13"/>
    <w:rsid w:val="00670C2F"/>
    <w:rsid w:val="00670F32"/>
    <w:rsid w:val="006712F9"/>
    <w:rsid w:val="006717F3"/>
    <w:rsid w:val="0067190B"/>
    <w:rsid w:val="00671994"/>
    <w:rsid w:val="00671EA0"/>
    <w:rsid w:val="00671EF1"/>
    <w:rsid w:val="00672307"/>
    <w:rsid w:val="006730F1"/>
    <w:rsid w:val="00673241"/>
    <w:rsid w:val="00673763"/>
    <w:rsid w:val="006738EC"/>
    <w:rsid w:val="00673905"/>
    <w:rsid w:val="006739B9"/>
    <w:rsid w:val="00673C8D"/>
    <w:rsid w:val="00674D62"/>
    <w:rsid w:val="006750FE"/>
    <w:rsid w:val="00675229"/>
    <w:rsid w:val="0067525C"/>
    <w:rsid w:val="00675345"/>
    <w:rsid w:val="00675504"/>
    <w:rsid w:val="0067554D"/>
    <w:rsid w:val="006758D6"/>
    <w:rsid w:val="00675A2C"/>
    <w:rsid w:val="006765D1"/>
    <w:rsid w:val="006766BB"/>
    <w:rsid w:val="006767A3"/>
    <w:rsid w:val="00676984"/>
    <w:rsid w:val="0067704A"/>
    <w:rsid w:val="006772D2"/>
    <w:rsid w:val="006773DB"/>
    <w:rsid w:val="0067754A"/>
    <w:rsid w:val="00677650"/>
    <w:rsid w:val="00677A30"/>
    <w:rsid w:val="00677D1E"/>
    <w:rsid w:val="006800A3"/>
    <w:rsid w:val="00680295"/>
    <w:rsid w:val="006806EE"/>
    <w:rsid w:val="00680757"/>
    <w:rsid w:val="0068092A"/>
    <w:rsid w:val="00680A23"/>
    <w:rsid w:val="00680E3C"/>
    <w:rsid w:val="00681418"/>
    <w:rsid w:val="006819B7"/>
    <w:rsid w:val="006820D2"/>
    <w:rsid w:val="00682544"/>
    <w:rsid w:val="006825B6"/>
    <w:rsid w:val="006827BB"/>
    <w:rsid w:val="00682846"/>
    <w:rsid w:val="006834D6"/>
    <w:rsid w:val="0068360F"/>
    <w:rsid w:val="00684003"/>
    <w:rsid w:val="006840E5"/>
    <w:rsid w:val="006843CF"/>
    <w:rsid w:val="00684486"/>
    <w:rsid w:val="00684686"/>
    <w:rsid w:val="0068474B"/>
    <w:rsid w:val="006854AB"/>
    <w:rsid w:val="00685D68"/>
    <w:rsid w:val="00686786"/>
    <w:rsid w:val="00686C3D"/>
    <w:rsid w:val="006871EE"/>
    <w:rsid w:val="0068782D"/>
    <w:rsid w:val="00687A7F"/>
    <w:rsid w:val="00687AE3"/>
    <w:rsid w:val="00687CC2"/>
    <w:rsid w:val="00687E95"/>
    <w:rsid w:val="00690729"/>
    <w:rsid w:val="00690C3C"/>
    <w:rsid w:val="00690CB1"/>
    <w:rsid w:val="00690FC4"/>
    <w:rsid w:val="006910DB"/>
    <w:rsid w:val="0069138B"/>
    <w:rsid w:val="006913A8"/>
    <w:rsid w:val="006914A3"/>
    <w:rsid w:val="0069174B"/>
    <w:rsid w:val="00691B12"/>
    <w:rsid w:val="00691C64"/>
    <w:rsid w:val="00691E79"/>
    <w:rsid w:val="00692332"/>
    <w:rsid w:val="006926EB"/>
    <w:rsid w:val="00692D73"/>
    <w:rsid w:val="00693130"/>
    <w:rsid w:val="00693853"/>
    <w:rsid w:val="00693ABF"/>
    <w:rsid w:val="00693B86"/>
    <w:rsid w:val="00694914"/>
    <w:rsid w:val="00694E22"/>
    <w:rsid w:val="00694E96"/>
    <w:rsid w:val="00695271"/>
    <w:rsid w:val="00695359"/>
    <w:rsid w:val="006959B5"/>
    <w:rsid w:val="00695CCD"/>
    <w:rsid w:val="00696061"/>
    <w:rsid w:val="0069699C"/>
    <w:rsid w:val="006969DB"/>
    <w:rsid w:val="00696A4A"/>
    <w:rsid w:val="00697554"/>
    <w:rsid w:val="00697739"/>
    <w:rsid w:val="00697A80"/>
    <w:rsid w:val="00697CCF"/>
    <w:rsid w:val="00697CE8"/>
    <w:rsid w:val="00697DE5"/>
    <w:rsid w:val="00697FA5"/>
    <w:rsid w:val="006A092C"/>
    <w:rsid w:val="006A1646"/>
    <w:rsid w:val="006A175A"/>
    <w:rsid w:val="006A24A8"/>
    <w:rsid w:val="006A25AB"/>
    <w:rsid w:val="006A29AB"/>
    <w:rsid w:val="006A3412"/>
    <w:rsid w:val="006A40A6"/>
    <w:rsid w:val="006A4176"/>
    <w:rsid w:val="006A464C"/>
    <w:rsid w:val="006A4916"/>
    <w:rsid w:val="006A4B26"/>
    <w:rsid w:val="006A4C58"/>
    <w:rsid w:val="006A4CD3"/>
    <w:rsid w:val="006A5156"/>
    <w:rsid w:val="006A5414"/>
    <w:rsid w:val="006A55A3"/>
    <w:rsid w:val="006A5CA7"/>
    <w:rsid w:val="006A5DBD"/>
    <w:rsid w:val="006A5E6B"/>
    <w:rsid w:val="006A5EBB"/>
    <w:rsid w:val="006A6273"/>
    <w:rsid w:val="006A6605"/>
    <w:rsid w:val="006A668B"/>
    <w:rsid w:val="006A66BD"/>
    <w:rsid w:val="006A6962"/>
    <w:rsid w:val="006A6BA7"/>
    <w:rsid w:val="006A6D1E"/>
    <w:rsid w:val="006A6DAE"/>
    <w:rsid w:val="006A70AB"/>
    <w:rsid w:val="006A7102"/>
    <w:rsid w:val="006A7648"/>
    <w:rsid w:val="006A76A7"/>
    <w:rsid w:val="006A7800"/>
    <w:rsid w:val="006A789B"/>
    <w:rsid w:val="006A78D9"/>
    <w:rsid w:val="006A7FDB"/>
    <w:rsid w:val="006B00D5"/>
    <w:rsid w:val="006B0358"/>
    <w:rsid w:val="006B0F30"/>
    <w:rsid w:val="006B11FA"/>
    <w:rsid w:val="006B1360"/>
    <w:rsid w:val="006B1392"/>
    <w:rsid w:val="006B1855"/>
    <w:rsid w:val="006B231E"/>
    <w:rsid w:val="006B25A9"/>
    <w:rsid w:val="006B2877"/>
    <w:rsid w:val="006B2893"/>
    <w:rsid w:val="006B2A6B"/>
    <w:rsid w:val="006B38FD"/>
    <w:rsid w:val="006B3CDF"/>
    <w:rsid w:val="006B3E5B"/>
    <w:rsid w:val="006B41E2"/>
    <w:rsid w:val="006B456F"/>
    <w:rsid w:val="006B49F1"/>
    <w:rsid w:val="006B5413"/>
    <w:rsid w:val="006B5414"/>
    <w:rsid w:val="006B5769"/>
    <w:rsid w:val="006B5AF3"/>
    <w:rsid w:val="006B5F44"/>
    <w:rsid w:val="006B619C"/>
    <w:rsid w:val="006B61A4"/>
    <w:rsid w:val="006B6C73"/>
    <w:rsid w:val="006B7331"/>
    <w:rsid w:val="006B7353"/>
    <w:rsid w:val="006B73D7"/>
    <w:rsid w:val="006B7491"/>
    <w:rsid w:val="006B7561"/>
    <w:rsid w:val="006B783F"/>
    <w:rsid w:val="006B7896"/>
    <w:rsid w:val="006B7AA0"/>
    <w:rsid w:val="006C04E9"/>
    <w:rsid w:val="006C0766"/>
    <w:rsid w:val="006C0E2F"/>
    <w:rsid w:val="006C0EC1"/>
    <w:rsid w:val="006C0F5D"/>
    <w:rsid w:val="006C1227"/>
    <w:rsid w:val="006C12B6"/>
    <w:rsid w:val="006C137C"/>
    <w:rsid w:val="006C1412"/>
    <w:rsid w:val="006C14DD"/>
    <w:rsid w:val="006C177D"/>
    <w:rsid w:val="006C1FDD"/>
    <w:rsid w:val="006C247C"/>
    <w:rsid w:val="006C2599"/>
    <w:rsid w:val="006C26F3"/>
    <w:rsid w:val="006C2D56"/>
    <w:rsid w:val="006C2E2C"/>
    <w:rsid w:val="006C3583"/>
    <w:rsid w:val="006C393A"/>
    <w:rsid w:val="006C437E"/>
    <w:rsid w:val="006C4B18"/>
    <w:rsid w:val="006C4C17"/>
    <w:rsid w:val="006C5571"/>
    <w:rsid w:val="006C5904"/>
    <w:rsid w:val="006C5B9B"/>
    <w:rsid w:val="006C5CC4"/>
    <w:rsid w:val="006C6454"/>
    <w:rsid w:val="006C685E"/>
    <w:rsid w:val="006C6904"/>
    <w:rsid w:val="006C697F"/>
    <w:rsid w:val="006C6B15"/>
    <w:rsid w:val="006C6B2D"/>
    <w:rsid w:val="006C6EC7"/>
    <w:rsid w:val="006C72DD"/>
    <w:rsid w:val="006C73D3"/>
    <w:rsid w:val="006C7507"/>
    <w:rsid w:val="006C7771"/>
    <w:rsid w:val="006C791E"/>
    <w:rsid w:val="006C7BE5"/>
    <w:rsid w:val="006C7D05"/>
    <w:rsid w:val="006C7F94"/>
    <w:rsid w:val="006D0BDE"/>
    <w:rsid w:val="006D0CF1"/>
    <w:rsid w:val="006D0F26"/>
    <w:rsid w:val="006D0F7A"/>
    <w:rsid w:val="006D15FC"/>
    <w:rsid w:val="006D1B21"/>
    <w:rsid w:val="006D1BF5"/>
    <w:rsid w:val="006D20D6"/>
    <w:rsid w:val="006D245A"/>
    <w:rsid w:val="006D2624"/>
    <w:rsid w:val="006D276D"/>
    <w:rsid w:val="006D2795"/>
    <w:rsid w:val="006D289D"/>
    <w:rsid w:val="006D2984"/>
    <w:rsid w:val="006D29C4"/>
    <w:rsid w:val="006D2D35"/>
    <w:rsid w:val="006D334C"/>
    <w:rsid w:val="006D3C67"/>
    <w:rsid w:val="006D3E32"/>
    <w:rsid w:val="006D4A20"/>
    <w:rsid w:val="006D4B11"/>
    <w:rsid w:val="006D4CF0"/>
    <w:rsid w:val="006D4DFF"/>
    <w:rsid w:val="006D5228"/>
    <w:rsid w:val="006D550F"/>
    <w:rsid w:val="006D5568"/>
    <w:rsid w:val="006D5571"/>
    <w:rsid w:val="006D572D"/>
    <w:rsid w:val="006D5B6A"/>
    <w:rsid w:val="006D5EDF"/>
    <w:rsid w:val="006D62B8"/>
    <w:rsid w:val="006D6525"/>
    <w:rsid w:val="006D759E"/>
    <w:rsid w:val="006D75DB"/>
    <w:rsid w:val="006D76E6"/>
    <w:rsid w:val="006D7819"/>
    <w:rsid w:val="006D7B4E"/>
    <w:rsid w:val="006E00CA"/>
    <w:rsid w:val="006E022E"/>
    <w:rsid w:val="006E05E3"/>
    <w:rsid w:val="006E06C6"/>
    <w:rsid w:val="006E0864"/>
    <w:rsid w:val="006E097F"/>
    <w:rsid w:val="006E0F8D"/>
    <w:rsid w:val="006E124F"/>
    <w:rsid w:val="006E159C"/>
    <w:rsid w:val="006E15FA"/>
    <w:rsid w:val="006E1FF5"/>
    <w:rsid w:val="006E22DB"/>
    <w:rsid w:val="006E2992"/>
    <w:rsid w:val="006E2CC6"/>
    <w:rsid w:val="006E2F1D"/>
    <w:rsid w:val="006E2F6C"/>
    <w:rsid w:val="006E301B"/>
    <w:rsid w:val="006E3113"/>
    <w:rsid w:val="006E324F"/>
    <w:rsid w:val="006E38BA"/>
    <w:rsid w:val="006E38C9"/>
    <w:rsid w:val="006E3A3B"/>
    <w:rsid w:val="006E3FC3"/>
    <w:rsid w:val="006E4116"/>
    <w:rsid w:val="006E434A"/>
    <w:rsid w:val="006E47E7"/>
    <w:rsid w:val="006E4980"/>
    <w:rsid w:val="006E4B7C"/>
    <w:rsid w:val="006E4C14"/>
    <w:rsid w:val="006E4EC9"/>
    <w:rsid w:val="006E50B3"/>
    <w:rsid w:val="006E55DF"/>
    <w:rsid w:val="006E5CE9"/>
    <w:rsid w:val="006E5DF8"/>
    <w:rsid w:val="006E5E74"/>
    <w:rsid w:val="006E659F"/>
    <w:rsid w:val="006E6BCB"/>
    <w:rsid w:val="006E6CDD"/>
    <w:rsid w:val="006E7211"/>
    <w:rsid w:val="006E7383"/>
    <w:rsid w:val="006E758C"/>
    <w:rsid w:val="006E769B"/>
    <w:rsid w:val="006E77B9"/>
    <w:rsid w:val="006E79CE"/>
    <w:rsid w:val="006F01B1"/>
    <w:rsid w:val="006F0510"/>
    <w:rsid w:val="006F0AF2"/>
    <w:rsid w:val="006F0F39"/>
    <w:rsid w:val="006F0F5C"/>
    <w:rsid w:val="006F0F97"/>
    <w:rsid w:val="006F0F9E"/>
    <w:rsid w:val="006F15FC"/>
    <w:rsid w:val="006F1B12"/>
    <w:rsid w:val="006F1D69"/>
    <w:rsid w:val="006F1D8E"/>
    <w:rsid w:val="006F20F6"/>
    <w:rsid w:val="006F21F6"/>
    <w:rsid w:val="006F2283"/>
    <w:rsid w:val="006F22B9"/>
    <w:rsid w:val="006F2469"/>
    <w:rsid w:val="006F26A9"/>
    <w:rsid w:val="006F2738"/>
    <w:rsid w:val="006F292C"/>
    <w:rsid w:val="006F2B76"/>
    <w:rsid w:val="006F3100"/>
    <w:rsid w:val="006F325F"/>
    <w:rsid w:val="006F3367"/>
    <w:rsid w:val="006F3422"/>
    <w:rsid w:val="006F3593"/>
    <w:rsid w:val="006F383D"/>
    <w:rsid w:val="006F391B"/>
    <w:rsid w:val="006F3CE8"/>
    <w:rsid w:val="006F41AF"/>
    <w:rsid w:val="006F42DC"/>
    <w:rsid w:val="006F4714"/>
    <w:rsid w:val="006F4B59"/>
    <w:rsid w:val="006F4C5F"/>
    <w:rsid w:val="006F52F8"/>
    <w:rsid w:val="006F5356"/>
    <w:rsid w:val="006F577D"/>
    <w:rsid w:val="006F585E"/>
    <w:rsid w:val="006F6BC5"/>
    <w:rsid w:val="006F7B86"/>
    <w:rsid w:val="006F7CD7"/>
    <w:rsid w:val="007000D5"/>
    <w:rsid w:val="0070074B"/>
    <w:rsid w:val="0070088A"/>
    <w:rsid w:val="00700D8E"/>
    <w:rsid w:val="00700F26"/>
    <w:rsid w:val="00700F9A"/>
    <w:rsid w:val="007011C5"/>
    <w:rsid w:val="00701A32"/>
    <w:rsid w:val="00701C0D"/>
    <w:rsid w:val="00701C2C"/>
    <w:rsid w:val="00701ED8"/>
    <w:rsid w:val="00701EFE"/>
    <w:rsid w:val="0070227C"/>
    <w:rsid w:val="007027E3"/>
    <w:rsid w:val="007027E9"/>
    <w:rsid w:val="0070287F"/>
    <w:rsid w:val="007028FB"/>
    <w:rsid w:val="00702C9F"/>
    <w:rsid w:val="00702FD5"/>
    <w:rsid w:val="007032CA"/>
    <w:rsid w:val="007035DC"/>
    <w:rsid w:val="007038F8"/>
    <w:rsid w:val="00703BAB"/>
    <w:rsid w:val="00703D6E"/>
    <w:rsid w:val="00704124"/>
    <w:rsid w:val="0070431B"/>
    <w:rsid w:val="00704AB3"/>
    <w:rsid w:val="00704CB5"/>
    <w:rsid w:val="00704EFA"/>
    <w:rsid w:val="00704F37"/>
    <w:rsid w:val="00706419"/>
    <w:rsid w:val="00706638"/>
    <w:rsid w:val="007074BF"/>
    <w:rsid w:val="007100C5"/>
    <w:rsid w:val="00710166"/>
    <w:rsid w:val="0071024B"/>
    <w:rsid w:val="007104B1"/>
    <w:rsid w:val="007108F4"/>
    <w:rsid w:val="007109A3"/>
    <w:rsid w:val="00710F38"/>
    <w:rsid w:val="007112C8"/>
    <w:rsid w:val="00711410"/>
    <w:rsid w:val="007116C1"/>
    <w:rsid w:val="007117A0"/>
    <w:rsid w:val="00711F0F"/>
    <w:rsid w:val="007125A4"/>
    <w:rsid w:val="007125E4"/>
    <w:rsid w:val="00712889"/>
    <w:rsid w:val="007128DE"/>
    <w:rsid w:val="0071290D"/>
    <w:rsid w:val="00712B40"/>
    <w:rsid w:val="00712B9E"/>
    <w:rsid w:val="00713E18"/>
    <w:rsid w:val="00714093"/>
    <w:rsid w:val="00714168"/>
    <w:rsid w:val="0071426C"/>
    <w:rsid w:val="00714436"/>
    <w:rsid w:val="00714478"/>
    <w:rsid w:val="00714593"/>
    <w:rsid w:val="00714598"/>
    <w:rsid w:val="00715076"/>
    <w:rsid w:val="00715326"/>
    <w:rsid w:val="0071538F"/>
    <w:rsid w:val="007153BB"/>
    <w:rsid w:val="00715799"/>
    <w:rsid w:val="00715B99"/>
    <w:rsid w:val="0071711A"/>
    <w:rsid w:val="0071791A"/>
    <w:rsid w:val="00717F14"/>
    <w:rsid w:val="00720008"/>
    <w:rsid w:val="0072024F"/>
    <w:rsid w:val="0072034F"/>
    <w:rsid w:val="0072054F"/>
    <w:rsid w:val="00720D17"/>
    <w:rsid w:val="00721099"/>
    <w:rsid w:val="00721626"/>
    <w:rsid w:val="00721773"/>
    <w:rsid w:val="0072177B"/>
    <w:rsid w:val="00721925"/>
    <w:rsid w:val="00721C88"/>
    <w:rsid w:val="00721FED"/>
    <w:rsid w:val="00722237"/>
    <w:rsid w:val="00722543"/>
    <w:rsid w:val="007226BA"/>
    <w:rsid w:val="007228B9"/>
    <w:rsid w:val="00722905"/>
    <w:rsid w:val="00722915"/>
    <w:rsid w:val="00722EB4"/>
    <w:rsid w:val="00722EBA"/>
    <w:rsid w:val="00723170"/>
    <w:rsid w:val="00723504"/>
    <w:rsid w:val="00723B70"/>
    <w:rsid w:val="007244BA"/>
    <w:rsid w:val="00724E53"/>
    <w:rsid w:val="0072535D"/>
    <w:rsid w:val="00725689"/>
    <w:rsid w:val="007259EF"/>
    <w:rsid w:val="0072652D"/>
    <w:rsid w:val="00726603"/>
    <w:rsid w:val="00726F58"/>
    <w:rsid w:val="007276FE"/>
    <w:rsid w:val="0073012E"/>
    <w:rsid w:val="00730518"/>
    <w:rsid w:val="007306CA"/>
    <w:rsid w:val="00730817"/>
    <w:rsid w:val="00730BA6"/>
    <w:rsid w:val="00730F79"/>
    <w:rsid w:val="00730FFE"/>
    <w:rsid w:val="007312E9"/>
    <w:rsid w:val="00731650"/>
    <w:rsid w:val="00731D0F"/>
    <w:rsid w:val="00731EC8"/>
    <w:rsid w:val="00732055"/>
    <w:rsid w:val="0073232E"/>
    <w:rsid w:val="00732484"/>
    <w:rsid w:val="007325BF"/>
    <w:rsid w:val="007326C6"/>
    <w:rsid w:val="0073299E"/>
    <w:rsid w:val="00732BD7"/>
    <w:rsid w:val="007335E0"/>
    <w:rsid w:val="00733611"/>
    <w:rsid w:val="00733709"/>
    <w:rsid w:val="007337F7"/>
    <w:rsid w:val="0073399D"/>
    <w:rsid w:val="00733DFE"/>
    <w:rsid w:val="0073444E"/>
    <w:rsid w:val="00734496"/>
    <w:rsid w:val="007344C9"/>
    <w:rsid w:val="0073497F"/>
    <w:rsid w:val="00734A05"/>
    <w:rsid w:val="00734EEB"/>
    <w:rsid w:val="00734EF2"/>
    <w:rsid w:val="00734FA4"/>
    <w:rsid w:val="0073554E"/>
    <w:rsid w:val="00735786"/>
    <w:rsid w:val="007357AB"/>
    <w:rsid w:val="00735DAA"/>
    <w:rsid w:val="00735DAD"/>
    <w:rsid w:val="00735EAA"/>
    <w:rsid w:val="0073610B"/>
    <w:rsid w:val="0073674A"/>
    <w:rsid w:val="00736944"/>
    <w:rsid w:val="00736A63"/>
    <w:rsid w:val="00736D76"/>
    <w:rsid w:val="00737085"/>
    <w:rsid w:val="00737AB0"/>
    <w:rsid w:val="0074043C"/>
    <w:rsid w:val="007406E8"/>
    <w:rsid w:val="00740905"/>
    <w:rsid w:val="00740D08"/>
    <w:rsid w:val="0074132B"/>
    <w:rsid w:val="00741388"/>
    <w:rsid w:val="0074155B"/>
    <w:rsid w:val="00741B04"/>
    <w:rsid w:val="00741B84"/>
    <w:rsid w:val="00741CA7"/>
    <w:rsid w:val="007421B8"/>
    <w:rsid w:val="00742419"/>
    <w:rsid w:val="007427BF"/>
    <w:rsid w:val="00742CE6"/>
    <w:rsid w:val="00742CFD"/>
    <w:rsid w:val="00743AE4"/>
    <w:rsid w:val="00743D6F"/>
    <w:rsid w:val="00744156"/>
    <w:rsid w:val="0074495E"/>
    <w:rsid w:val="007449A5"/>
    <w:rsid w:val="00744A17"/>
    <w:rsid w:val="00744C0B"/>
    <w:rsid w:val="00744E23"/>
    <w:rsid w:val="00744F08"/>
    <w:rsid w:val="00745192"/>
    <w:rsid w:val="00745421"/>
    <w:rsid w:val="00745502"/>
    <w:rsid w:val="00745E84"/>
    <w:rsid w:val="00745F15"/>
    <w:rsid w:val="00745FC7"/>
    <w:rsid w:val="00746185"/>
    <w:rsid w:val="00746482"/>
    <w:rsid w:val="0074655C"/>
    <w:rsid w:val="00746634"/>
    <w:rsid w:val="00746A18"/>
    <w:rsid w:val="00746DCD"/>
    <w:rsid w:val="00747053"/>
    <w:rsid w:val="00747106"/>
    <w:rsid w:val="0074733C"/>
    <w:rsid w:val="00747F08"/>
    <w:rsid w:val="00747F28"/>
    <w:rsid w:val="00747F8A"/>
    <w:rsid w:val="00747FB9"/>
    <w:rsid w:val="007507AB"/>
    <w:rsid w:val="007507C6"/>
    <w:rsid w:val="00750DBD"/>
    <w:rsid w:val="00751024"/>
    <w:rsid w:val="007512CE"/>
    <w:rsid w:val="00751FE8"/>
    <w:rsid w:val="007527D2"/>
    <w:rsid w:val="00752AC2"/>
    <w:rsid w:val="00752B9E"/>
    <w:rsid w:val="0075321D"/>
    <w:rsid w:val="00753DE3"/>
    <w:rsid w:val="00753FA6"/>
    <w:rsid w:val="007541E6"/>
    <w:rsid w:val="00754472"/>
    <w:rsid w:val="0075471D"/>
    <w:rsid w:val="007547DE"/>
    <w:rsid w:val="0075484F"/>
    <w:rsid w:val="00754C17"/>
    <w:rsid w:val="007554E8"/>
    <w:rsid w:val="00755890"/>
    <w:rsid w:val="007559F3"/>
    <w:rsid w:val="00755B76"/>
    <w:rsid w:val="007563C9"/>
    <w:rsid w:val="0075662D"/>
    <w:rsid w:val="00756BA2"/>
    <w:rsid w:val="00756C45"/>
    <w:rsid w:val="007570C6"/>
    <w:rsid w:val="007578FE"/>
    <w:rsid w:val="007579DB"/>
    <w:rsid w:val="00757B85"/>
    <w:rsid w:val="00757CA5"/>
    <w:rsid w:val="00757E63"/>
    <w:rsid w:val="0076068E"/>
    <w:rsid w:val="0076072A"/>
    <w:rsid w:val="007608C3"/>
    <w:rsid w:val="00761B1E"/>
    <w:rsid w:val="00761DB5"/>
    <w:rsid w:val="007623EB"/>
    <w:rsid w:val="0076258B"/>
    <w:rsid w:val="00762CE9"/>
    <w:rsid w:val="00762E2C"/>
    <w:rsid w:val="00762F17"/>
    <w:rsid w:val="007635BC"/>
    <w:rsid w:val="00763A71"/>
    <w:rsid w:val="00763D02"/>
    <w:rsid w:val="007642C0"/>
    <w:rsid w:val="00765462"/>
    <w:rsid w:val="007656A8"/>
    <w:rsid w:val="00765759"/>
    <w:rsid w:val="00765F75"/>
    <w:rsid w:val="007662B2"/>
    <w:rsid w:val="007667A1"/>
    <w:rsid w:val="007667FA"/>
    <w:rsid w:val="007669E0"/>
    <w:rsid w:val="00766DB0"/>
    <w:rsid w:val="00766E1C"/>
    <w:rsid w:val="00766ED2"/>
    <w:rsid w:val="00766F78"/>
    <w:rsid w:val="00767B0F"/>
    <w:rsid w:val="00767CEB"/>
    <w:rsid w:val="00767D45"/>
    <w:rsid w:val="00767E82"/>
    <w:rsid w:val="007709DA"/>
    <w:rsid w:val="00770B47"/>
    <w:rsid w:val="00770C53"/>
    <w:rsid w:val="00770D51"/>
    <w:rsid w:val="00770E20"/>
    <w:rsid w:val="00771135"/>
    <w:rsid w:val="0077131C"/>
    <w:rsid w:val="0077131F"/>
    <w:rsid w:val="007713EE"/>
    <w:rsid w:val="0077157C"/>
    <w:rsid w:val="00771DB2"/>
    <w:rsid w:val="007722A8"/>
    <w:rsid w:val="00772654"/>
    <w:rsid w:val="00772D23"/>
    <w:rsid w:val="00772FEB"/>
    <w:rsid w:val="0077344F"/>
    <w:rsid w:val="00773788"/>
    <w:rsid w:val="00773C2C"/>
    <w:rsid w:val="007740C8"/>
    <w:rsid w:val="00774441"/>
    <w:rsid w:val="007746BC"/>
    <w:rsid w:val="00774B23"/>
    <w:rsid w:val="007752A9"/>
    <w:rsid w:val="007754A4"/>
    <w:rsid w:val="007756BF"/>
    <w:rsid w:val="0077573C"/>
    <w:rsid w:val="00775746"/>
    <w:rsid w:val="007758E2"/>
    <w:rsid w:val="00775AAC"/>
    <w:rsid w:val="00775B76"/>
    <w:rsid w:val="00775F9F"/>
    <w:rsid w:val="00776211"/>
    <w:rsid w:val="00776590"/>
    <w:rsid w:val="0077677F"/>
    <w:rsid w:val="00776EE9"/>
    <w:rsid w:val="007778C5"/>
    <w:rsid w:val="00780091"/>
    <w:rsid w:val="007800A3"/>
    <w:rsid w:val="007800A6"/>
    <w:rsid w:val="007804F8"/>
    <w:rsid w:val="00780C63"/>
    <w:rsid w:val="0078103E"/>
    <w:rsid w:val="007811CE"/>
    <w:rsid w:val="007811F2"/>
    <w:rsid w:val="00781BDB"/>
    <w:rsid w:val="00781C30"/>
    <w:rsid w:val="007825C0"/>
    <w:rsid w:val="00782A6C"/>
    <w:rsid w:val="007830EB"/>
    <w:rsid w:val="0078323B"/>
    <w:rsid w:val="007835AF"/>
    <w:rsid w:val="007836FD"/>
    <w:rsid w:val="00783725"/>
    <w:rsid w:val="007837C5"/>
    <w:rsid w:val="0078384C"/>
    <w:rsid w:val="00783D36"/>
    <w:rsid w:val="007846A1"/>
    <w:rsid w:val="007849FE"/>
    <w:rsid w:val="00785009"/>
    <w:rsid w:val="007850CC"/>
    <w:rsid w:val="0078594D"/>
    <w:rsid w:val="00785B98"/>
    <w:rsid w:val="0078602F"/>
    <w:rsid w:val="00786288"/>
    <w:rsid w:val="007863E4"/>
    <w:rsid w:val="007867C4"/>
    <w:rsid w:val="0078697E"/>
    <w:rsid w:val="00786A90"/>
    <w:rsid w:val="00786FC1"/>
    <w:rsid w:val="0078734D"/>
    <w:rsid w:val="0078797B"/>
    <w:rsid w:val="007904AB"/>
    <w:rsid w:val="007905AE"/>
    <w:rsid w:val="007907AE"/>
    <w:rsid w:val="00790966"/>
    <w:rsid w:val="007909A2"/>
    <w:rsid w:val="00790F7F"/>
    <w:rsid w:val="00791055"/>
    <w:rsid w:val="00791068"/>
    <w:rsid w:val="00791663"/>
    <w:rsid w:val="00791ADB"/>
    <w:rsid w:val="00791C11"/>
    <w:rsid w:val="007921AC"/>
    <w:rsid w:val="007924C4"/>
    <w:rsid w:val="00792A77"/>
    <w:rsid w:val="00792C19"/>
    <w:rsid w:val="00792D43"/>
    <w:rsid w:val="007930C3"/>
    <w:rsid w:val="00793574"/>
    <w:rsid w:val="00793942"/>
    <w:rsid w:val="007939AE"/>
    <w:rsid w:val="00793A5A"/>
    <w:rsid w:val="00793C6B"/>
    <w:rsid w:val="00794A2E"/>
    <w:rsid w:val="00794AA0"/>
    <w:rsid w:val="00794EA4"/>
    <w:rsid w:val="00794FC8"/>
    <w:rsid w:val="007950E3"/>
    <w:rsid w:val="0079527C"/>
    <w:rsid w:val="0079538E"/>
    <w:rsid w:val="0079545D"/>
    <w:rsid w:val="007954C1"/>
    <w:rsid w:val="00795694"/>
    <w:rsid w:val="0079574A"/>
    <w:rsid w:val="00795A6B"/>
    <w:rsid w:val="00795CC9"/>
    <w:rsid w:val="0079658D"/>
    <w:rsid w:val="007969A7"/>
    <w:rsid w:val="00796AA4"/>
    <w:rsid w:val="00796DBE"/>
    <w:rsid w:val="00797135"/>
    <w:rsid w:val="00797252"/>
    <w:rsid w:val="00797BD3"/>
    <w:rsid w:val="00797F24"/>
    <w:rsid w:val="007A01DE"/>
    <w:rsid w:val="007A06F5"/>
    <w:rsid w:val="007A0A3B"/>
    <w:rsid w:val="007A13C2"/>
    <w:rsid w:val="007A13F1"/>
    <w:rsid w:val="007A143E"/>
    <w:rsid w:val="007A1619"/>
    <w:rsid w:val="007A1B4C"/>
    <w:rsid w:val="007A1D8A"/>
    <w:rsid w:val="007A25E9"/>
    <w:rsid w:val="007A2778"/>
    <w:rsid w:val="007A2A31"/>
    <w:rsid w:val="007A2E9B"/>
    <w:rsid w:val="007A3837"/>
    <w:rsid w:val="007A3E3E"/>
    <w:rsid w:val="007A41A6"/>
    <w:rsid w:val="007A45EF"/>
    <w:rsid w:val="007A4896"/>
    <w:rsid w:val="007A5C98"/>
    <w:rsid w:val="007A5CA4"/>
    <w:rsid w:val="007A5D70"/>
    <w:rsid w:val="007A5E38"/>
    <w:rsid w:val="007A6005"/>
    <w:rsid w:val="007A6050"/>
    <w:rsid w:val="007A618F"/>
    <w:rsid w:val="007A63BE"/>
    <w:rsid w:val="007A63CB"/>
    <w:rsid w:val="007A66CD"/>
    <w:rsid w:val="007A6882"/>
    <w:rsid w:val="007A688C"/>
    <w:rsid w:val="007A70B5"/>
    <w:rsid w:val="007A715D"/>
    <w:rsid w:val="007A721A"/>
    <w:rsid w:val="007A7446"/>
    <w:rsid w:val="007A7525"/>
    <w:rsid w:val="007A7E49"/>
    <w:rsid w:val="007A7E56"/>
    <w:rsid w:val="007A7E9B"/>
    <w:rsid w:val="007B02DA"/>
    <w:rsid w:val="007B03F4"/>
    <w:rsid w:val="007B07AE"/>
    <w:rsid w:val="007B0869"/>
    <w:rsid w:val="007B0CF4"/>
    <w:rsid w:val="007B103F"/>
    <w:rsid w:val="007B11D4"/>
    <w:rsid w:val="007B1478"/>
    <w:rsid w:val="007B1DF4"/>
    <w:rsid w:val="007B1F6F"/>
    <w:rsid w:val="007B2D9F"/>
    <w:rsid w:val="007B2F75"/>
    <w:rsid w:val="007B3489"/>
    <w:rsid w:val="007B39F5"/>
    <w:rsid w:val="007B3A96"/>
    <w:rsid w:val="007B3AC3"/>
    <w:rsid w:val="007B3F6C"/>
    <w:rsid w:val="007B4685"/>
    <w:rsid w:val="007B468B"/>
    <w:rsid w:val="007B48AA"/>
    <w:rsid w:val="007B48AC"/>
    <w:rsid w:val="007B4F6F"/>
    <w:rsid w:val="007B4FFA"/>
    <w:rsid w:val="007B5201"/>
    <w:rsid w:val="007B54D2"/>
    <w:rsid w:val="007B55D6"/>
    <w:rsid w:val="007B58BF"/>
    <w:rsid w:val="007B5A6D"/>
    <w:rsid w:val="007B5BBD"/>
    <w:rsid w:val="007B6092"/>
    <w:rsid w:val="007B66DA"/>
    <w:rsid w:val="007B6949"/>
    <w:rsid w:val="007B6987"/>
    <w:rsid w:val="007B6B93"/>
    <w:rsid w:val="007B6F05"/>
    <w:rsid w:val="007B70F5"/>
    <w:rsid w:val="007B71A6"/>
    <w:rsid w:val="007B7398"/>
    <w:rsid w:val="007B772F"/>
    <w:rsid w:val="007B7960"/>
    <w:rsid w:val="007B7963"/>
    <w:rsid w:val="007B7A8B"/>
    <w:rsid w:val="007B7D17"/>
    <w:rsid w:val="007B7EA1"/>
    <w:rsid w:val="007C0076"/>
    <w:rsid w:val="007C0463"/>
    <w:rsid w:val="007C0DF2"/>
    <w:rsid w:val="007C0ED6"/>
    <w:rsid w:val="007C1043"/>
    <w:rsid w:val="007C11E9"/>
    <w:rsid w:val="007C1293"/>
    <w:rsid w:val="007C1E23"/>
    <w:rsid w:val="007C1E6F"/>
    <w:rsid w:val="007C2082"/>
    <w:rsid w:val="007C2157"/>
    <w:rsid w:val="007C236A"/>
    <w:rsid w:val="007C2429"/>
    <w:rsid w:val="007C2609"/>
    <w:rsid w:val="007C282B"/>
    <w:rsid w:val="007C28A6"/>
    <w:rsid w:val="007C28B1"/>
    <w:rsid w:val="007C2B60"/>
    <w:rsid w:val="007C2C00"/>
    <w:rsid w:val="007C32CF"/>
    <w:rsid w:val="007C32D4"/>
    <w:rsid w:val="007C334A"/>
    <w:rsid w:val="007C34C8"/>
    <w:rsid w:val="007C35E6"/>
    <w:rsid w:val="007C3870"/>
    <w:rsid w:val="007C4317"/>
    <w:rsid w:val="007C4484"/>
    <w:rsid w:val="007C46C7"/>
    <w:rsid w:val="007C47CB"/>
    <w:rsid w:val="007C483E"/>
    <w:rsid w:val="007C4CBC"/>
    <w:rsid w:val="007C55B9"/>
    <w:rsid w:val="007C58AF"/>
    <w:rsid w:val="007C5D70"/>
    <w:rsid w:val="007C5F8D"/>
    <w:rsid w:val="007C5FC3"/>
    <w:rsid w:val="007C634C"/>
    <w:rsid w:val="007C651F"/>
    <w:rsid w:val="007C6543"/>
    <w:rsid w:val="007C73EA"/>
    <w:rsid w:val="007C794C"/>
    <w:rsid w:val="007C7C59"/>
    <w:rsid w:val="007C7FC9"/>
    <w:rsid w:val="007C7FCC"/>
    <w:rsid w:val="007D09E0"/>
    <w:rsid w:val="007D12C0"/>
    <w:rsid w:val="007D13F7"/>
    <w:rsid w:val="007D1917"/>
    <w:rsid w:val="007D1EAC"/>
    <w:rsid w:val="007D29E3"/>
    <w:rsid w:val="007D29F7"/>
    <w:rsid w:val="007D2ACF"/>
    <w:rsid w:val="007D34E0"/>
    <w:rsid w:val="007D3A2E"/>
    <w:rsid w:val="007D3AAB"/>
    <w:rsid w:val="007D40B5"/>
    <w:rsid w:val="007D4641"/>
    <w:rsid w:val="007D55B1"/>
    <w:rsid w:val="007D57CD"/>
    <w:rsid w:val="007D5844"/>
    <w:rsid w:val="007D63C8"/>
    <w:rsid w:val="007D65A0"/>
    <w:rsid w:val="007D6AEE"/>
    <w:rsid w:val="007D6FED"/>
    <w:rsid w:val="007D7110"/>
    <w:rsid w:val="007D733F"/>
    <w:rsid w:val="007D7343"/>
    <w:rsid w:val="007D74B7"/>
    <w:rsid w:val="007D7A7C"/>
    <w:rsid w:val="007D7D82"/>
    <w:rsid w:val="007D7E2C"/>
    <w:rsid w:val="007E013D"/>
    <w:rsid w:val="007E0233"/>
    <w:rsid w:val="007E08DF"/>
    <w:rsid w:val="007E0E82"/>
    <w:rsid w:val="007E1088"/>
    <w:rsid w:val="007E124E"/>
    <w:rsid w:val="007E1703"/>
    <w:rsid w:val="007E18DB"/>
    <w:rsid w:val="007E1A61"/>
    <w:rsid w:val="007E1F52"/>
    <w:rsid w:val="007E2500"/>
    <w:rsid w:val="007E2961"/>
    <w:rsid w:val="007E31A2"/>
    <w:rsid w:val="007E34EE"/>
    <w:rsid w:val="007E3DF7"/>
    <w:rsid w:val="007E3F5C"/>
    <w:rsid w:val="007E4433"/>
    <w:rsid w:val="007E4530"/>
    <w:rsid w:val="007E5149"/>
    <w:rsid w:val="007E5332"/>
    <w:rsid w:val="007E53F0"/>
    <w:rsid w:val="007E554B"/>
    <w:rsid w:val="007E562A"/>
    <w:rsid w:val="007E58C5"/>
    <w:rsid w:val="007E5958"/>
    <w:rsid w:val="007E5D35"/>
    <w:rsid w:val="007E5DA7"/>
    <w:rsid w:val="007E5F51"/>
    <w:rsid w:val="007E6AD8"/>
    <w:rsid w:val="007E7C28"/>
    <w:rsid w:val="007E7C34"/>
    <w:rsid w:val="007E7D4F"/>
    <w:rsid w:val="007E7DEE"/>
    <w:rsid w:val="007F0108"/>
    <w:rsid w:val="007F02E5"/>
    <w:rsid w:val="007F0439"/>
    <w:rsid w:val="007F04ED"/>
    <w:rsid w:val="007F0B5C"/>
    <w:rsid w:val="007F1042"/>
    <w:rsid w:val="007F1119"/>
    <w:rsid w:val="007F11E4"/>
    <w:rsid w:val="007F1296"/>
    <w:rsid w:val="007F144B"/>
    <w:rsid w:val="007F14F6"/>
    <w:rsid w:val="007F1606"/>
    <w:rsid w:val="007F22BD"/>
    <w:rsid w:val="007F27A9"/>
    <w:rsid w:val="007F2EAE"/>
    <w:rsid w:val="007F2FDA"/>
    <w:rsid w:val="007F3353"/>
    <w:rsid w:val="007F33C6"/>
    <w:rsid w:val="007F3412"/>
    <w:rsid w:val="007F36F0"/>
    <w:rsid w:val="007F3847"/>
    <w:rsid w:val="007F3DD7"/>
    <w:rsid w:val="007F3E20"/>
    <w:rsid w:val="007F4991"/>
    <w:rsid w:val="007F4ABA"/>
    <w:rsid w:val="007F4ED5"/>
    <w:rsid w:val="007F5575"/>
    <w:rsid w:val="007F590E"/>
    <w:rsid w:val="007F59E8"/>
    <w:rsid w:val="007F5E12"/>
    <w:rsid w:val="007F607E"/>
    <w:rsid w:val="007F62C7"/>
    <w:rsid w:val="007F630C"/>
    <w:rsid w:val="007F6397"/>
    <w:rsid w:val="007F63CC"/>
    <w:rsid w:val="007F66C0"/>
    <w:rsid w:val="007F6926"/>
    <w:rsid w:val="007F6A16"/>
    <w:rsid w:val="007F73E6"/>
    <w:rsid w:val="007F7532"/>
    <w:rsid w:val="007F7737"/>
    <w:rsid w:val="007F785F"/>
    <w:rsid w:val="007F7BB0"/>
    <w:rsid w:val="0080031B"/>
    <w:rsid w:val="00800D74"/>
    <w:rsid w:val="008012B4"/>
    <w:rsid w:val="008014F8"/>
    <w:rsid w:val="00801798"/>
    <w:rsid w:val="00801A36"/>
    <w:rsid w:val="00801A66"/>
    <w:rsid w:val="00801D3E"/>
    <w:rsid w:val="00801DDC"/>
    <w:rsid w:val="00802705"/>
    <w:rsid w:val="00802832"/>
    <w:rsid w:val="00802A9F"/>
    <w:rsid w:val="00802CA4"/>
    <w:rsid w:val="008030CA"/>
    <w:rsid w:val="008030D8"/>
    <w:rsid w:val="008031BA"/>
    <w:rsid w:val="00803278"/>
    <w:rsid w:val="00803317"/>
    <w:rsid w:val="0080347A"/>
    <w:rsid w:val="0080351E"/>
    <w:rsid w:val="00803792"/>
    <w:rsid w:val="00803AA5"/>
    <w:rsid w:val="00803BFA"/>
    <w:rsid w:val="00803C1E"/>
    <w:rsid w:val="00803FE1"/>
    <w:rsid w:val="00804092"/>
    <w:rsid w:val="00804242"/>
    <w:rsid w:val="00804441"/>
    <w:rsid w:val="0080457B"/>
    <w:rsid w:val="00804A51"/>
    <w:rsid w:val="00804C78"/>
    <w:rsid w:val="00804F7C"/>
    <w:rsid w:val="008055C3"/>
    <w:rsid w:val="008057CD"/>
    <w:rsid w:val="00805D34"/>
    <w:rsid w:val="00805F9F"/>
    <w:rsid w:val="00805FEE"/>
    <w:rsid w:val="00806438"/>
    <w:rsid w:val="008066CB"/>
    <w:rsid w:val="008069EA"/>
    <w:rsid w:val="00806BE8"/>
    <w:rsid w:val="00806D82"/>
    <w:rsid w:val="00806F50"/>
    <w:rsid w:val="00807166"/>
    <w:rsid w:val="008072EF"/>
    <w:rsid w:val="0080732E"/>
    <w:rsid w:val="00807414"/>
    <w:rsid w:val="008077F3"/>
    <w:rsid w:val="00810220"/>
    <w:rsid w:val="0081033E"/>
    <w:rsid w:val="00810479"/>
    <w:rsid w:val="0081062E"/>
    <w:rsid w:val="00810ACB"/>
    <w:rsid w:val="00811310"/>
    <w:rsid w:val="00811A5C"/>
    <w:rsid w:val="00811C9D"/>
    <w:rsid w:val="00811D74"/>
    <w:rsid w:val="0081209B"/>
    <w:rsid w:val="008121E3"/>
    <w:rsid w:val="00812D9E"/>
    <w:rsid w:val="00812E80"/>
    <w:rsid w:val="00812E9C"/>
    <w:rsid w:val="00813713"/>
    <w:rsid w:val="0081372B"/>
    <w:rsid w:val="008137A8"/>
    <w:rsid w:val="00813967"/>
    <w:rsid w:val="008146A2"/>
    <w:rsid w:val="00814B07"/>
    <w:rsid w:val="00814E53"/>
    <w:rsid w:val="00815058"/>
    <w:rsid w:val="00815271"/>
    <w:rsid w:val="008152E0"/>
    <w:rsid w:val="00816152"/>
    <w:rsid w:val="0081675F"/>
    <w:rsid w:val="00816949"/>
    <w:rsid w:val="00816984"/>
    <w:rsid w:val="00817515"/>
    <w:rsid w:val="00817787"/>
    <w:rsid w:val="00820151"/>
    <w:rsid w:val="0082055C"/>
    <w:rsid w:val="008206FE"/>
    <w:rsid w:val="00820F33"/>
    <w:rsid w:val="008213DC"/>
    <w:rsid w:val="0082287F"/>
    <w:rsid w:val="00822F1E"/>
    <w:rsid w:val="00822FAF"/>
    <w:rsid w:val="008230F8"/>
    <w:rsid w:val="008237B4"/>
    <w:rsid w:val="00823BCC"/>
    <w:rsid w:val="00823C1F"/>
    <w:rsid w:val="00824FD2"/>
    <w:rsid w:val="008254FB"/>
    <w:rsid w:val="00825680"/>
    <w:rsid w:val="008258B0"/>
    <w:rsid w:val="00825E8F"/>
    <w:rsid w:val="00825FD4"/>
    <w:rsid w:val="00826622"/>
    <w:rsid w:val="0082675E"/>
    <w:rsid w:val="00826D41"/>
    <w:rsid w:val="00826D9D"/>
    <w:rsid w:val="00827083"/>
    <w:rsid w:val="00827136"/>
    <w:rsid w:val="008275D5"/>
    <w:rsid w:val="008275F9"/>
    <w:rsid w:val="00827A84"/>
    <w:rsid w:val="008302B3"/>
    <w:rsid w:val="008303C3"/>
    <w:rsid w:val="008304F7"/>
    <w:rsid w:val="00830D84"/>
    <w:rsid w:val="008314E2"/>
    <w:rsid w:val="0083198D"/>
    <w:rsid w:val="00831BC2"/>
    <w:rsid w:val="008321D8"/>
    <w:rsid w:val="008324A3"/>
    <w:rsid w:val="008324A4"/>
    <w:rsid w:val="00832683"/>
    <w:rsid w:val="0083278A"/>
    <w:rsid w:val="00832C15"/>
    <w:rsid w:val="00832C19"/>
    <w:rsid w:val="00832D9B"/>
    <w:rsid w:val="00833020"/>
    <w:rsid w:val="0083328B"/>
    <w:rsid w:val="00833425"/>
    <w:rsid w:val="00833957"/>
    <w:rsid w:val="00833AC6"/>
    <w:rsid w:val="00833D2C"/>
    <w:rsid w:val="00834200"/>
    <w:rsid w:val="008347EA"/>
    <w:rsid w:val="00834EA9"/>
    <w:rsid w:val="00834F89"/>
    <w:rsid w:val="0083583A"/>
    <w:rsid w:val="00835903"/>
    <w:rsid w:val="00835BD3"/>
    <w:rsid w:val="0083619E"/>
    <w:rsid w:val="00836799"/>
    <w:rsid w:val="008367CE"/>
    <w:rsid w:val="00836EFA"/>
    <w:rsid w:val="0083752B"/>
    <w:rsid w:val="008376EB"/>
    <w:rsid w:val="008379EF"/>
    <w:rsid w:val="008402CC"/>
    <w:rsid w:val="0084076B"/>
    <w:rsid w:val="00840EAA"/>
    <w:rsid w:val="0084121E"/>
    <w:rsid w:val="00841923"/>
    <w:rsid w:val="00841B2E"/>
    <w:rsid w:val="0084237F"/>
    <w:rsid w:val="00842869"/>
    <w:rsid w:val="00842BE1"/>
    <w:rsid w:val="00842CD6"/>
    <w:rsid w:val="00842F01"/>
    <w:rsid w:val="008434FC"/>
    <w:rsid w:val="0084355E"/>
    <w:rsid w:val="00843A46"/>
    <w:rsid w:val="00843C2C"/>
    <w:rsid w:val="00844297"/>
    <w:rsid w:val="0084459A"/>
    <w:rsid w:val="008445B5"/>
    <w:rsid w:val="008446F3"/>
    <w:rsid w:val="008447BB"/>
    <w:rsid w:val="00844A9A"/>
    <w:rsid w:val="00844C83"/>
    <w:rsid w:val="00844EDC"/>
    <w:rsid w:val="00844F8A"/>
    <w:rsid w:val="00845062"/>
    <w:rsid w:val="008453AD"/>
    <w:rsid w:val="008455CB"/>
    <w:rsid w:val="00845673"/>
    <w:rsid w:val="00845838"/>
    <w:rsid w:val="00846048"/>
    <w:rsid w:val="00846312"/>
    <w:rsid w:val="008463AC"/>
    <w:rsid w:val="00846654"/>
    <w:rsid w:val="00846F84"/>
    <w:rsid w:val="008474C2"/>
    <w:rsid w:val="00847669"/>
    <w:rsid w:val="0084795A"/>
    <w:rsid w:val="00847A90"/>
    <w:rsid w:val="00847B64"/>
    <w:rsid w:val="00847E0D"/>
    <w:rsid w:val="00847F3D"/>
    <w:rsid w:val="008504C9"/>
    <w:rsid w:val="0085051B"/>
    <w:rsid w:val="00850EE9"/>
    <w:rsid w:val="0085101D"/>
    <w:rsid w:val="0085169D"/>
    <w:rsid w:val="00851A37"/>
    <w:rsid w:val="00851AA5"/>
    <w:rsid w:val="00852369"/>
    <w:rsid w:val="008526FA"/>
    <w:rsid w:val="00852887"/>
    <w:rsid w:val="00852BA9"/>
    <w:rsid w:val="00852C1E"/>
    <w:rsid w:val="00852E8E"/>
    <w:rsid w:val="00852ECE"/>
    <w:rsid w:val="008539A9"/>
    <w:rsid w:val="00853A9F"/>
    <w:rsid w:val="00853DE9"/>
    <w:rsid w:val="00853E14"/>
    <w:rsid w:val="00853EED"/>
    <w:rsid w:val="00854544"/>
    <w:rsid w:val="008547D1"/>
    <w:rsid w:val="008549AF"/>
    <w:rsid w:val="00855637"/>
    <w:rsid w:val="008557D6"/>
    <w:rsid w:val="00855A74"/>
    <w:rsid w:val="00855E2E"/>
    <w:rsid w:val="00855E33"/>
    <w:rsid w:val="00856459"/>
    <w:rsid w:val="00856B7D"/>
    <w:rsid w:val="00857272"/>
    <w:rsid w:val="00857331"/>
    <w:rsid w:val="0085748B"/>
    <w:rsid w:val="00860077"/>
    <w:rsid w:val="00860283"/>
    <w:rsid w:val="00860491"/>
    <w:rsid w:val="0086058E"/>
    <w:rsid w:val="00860C34"/>
    <w:rsid w:val="00861196"/>
    <w:rsid w:val="0086129E"/>
    <w:rsid w:val="008616A5"/>
    <w:rsid w:val="008618CA"/>
    <w:rsid w:val="00861DF7"/>
    <w:rsid w:val="00862630"/>
    <w:rsid w:val="0086263A"/>
    <w:rsid w:val="00862D54"/>
    <w:rsid w:val="00862F65"/>
    <w:rsid w:val="00862FC7"/>
    <w:rsid w:val="0086342F"/>
    <w:rsid w:val="0086360A"/>
    <w:rsid w:val="008638F0"/>
    <w:rsid w:val="00863A21"/>
    <w:rsid w:val="00863B9C"/>
    <w:rsid w:val="00864760"/>
    <w:rsid w:val="00864A63"/>
    <w:rsid w:val="00864A7D"/>
    <w:rsid w:val="00865721"/>
    <w:rsid w:val="008658E1"/>
    <w:rsid w:val="00865C99"/>
    <w:rsid w:val="00865D9B"/>
    <w:rsid w:val="00865E91"/>
    <w:rsid w:val="0086614C"/>
    <w:rsid w:val="0086638D"/>
    <w:rsid w:val="00866472"/>
    <w:rsid w:val="0086659C"/>
    <w:rsid w:val="008665C3"/>
    <w:rsid w:val="008666EC"/>
    <w:rsid w:val="00866F64"/>
    <w:rsid w:val="00867060"/>
    <w:rsid w:val="00867137"/>
    <w:rsid w:val="0086785E"/>
    <w:rsid w:val="00867997"/>
    <w:rsid w:val="00867FBB"/>
    <w:rsid w:val="0087073A"/>
    <w:rsid w:val="00870B96"/>
    <w:rsid w:val="0087115D"/>
    <w:rsid w:val="008711EA"/>
    <w:rsid w:val="00871235"/>
    <w:rsid w:val="00871396"/>
    <w:rsid w:val="00871C5A"/>
    <w:rsid w:val="00871C73"/>
    <w:rsid w:val="00871CED"/>
    <w:rsid w:val="00871DC9"/>
    <w:rsid w:val="00871E74"/>
    <w:rsid w:val="00872119"/>
    <w:rsid w:val="008721DC"/>
    <w:rsid w:val="0087221C"/>
    <w:rsid w:val="0087262F"/>
    <w:rsid w:val="008726DF"/>
    <w:rsid w:val="00872BAD"/>
    <w:rsid w:val="00872F22"/>
    <w:rsid w:val="00872F59"/>
    <w:rsid w:val="00873133"/>
    <w:rsid w:val="00873157"/>
    <w:rsid w:val="00873403"/>
    <w:rsid w:val="00873909"/>
    <w:rsid w:val="0087404B"/>
    <w:rsid w:val="00874583"/>
    <w:rsid w:val="00874A5E"/>
    <w:rsid w:val="00874B4C"/>
    <w:rsid w:val="00874F29"/>
    <w:rsid w:val="00875043"/>
    <w:rsid w:val="00875351"/>
    <w:rsid w:val="0087541F"/>
    <w:rsid w:val="00875D4D"/>
    <w:rsid w:val="00875F28"/>
    <w:rsid w:val="008764A6"/>
    <w:rsid w:val="00876903"/>
    <w:rsid w:val="00876AEB"/>
    <w:rsid w:val="00876E27"/>
    <w:rsid w:val="008770BD"/>
    <w:rsid w:val="008779C5"/>
    <w:rsid w:val="00877C13"/>
    <w:rsid w:val="00880FA5"/>
    <w:rsid w:val="008811CC"/>
    <w:rsid w:val="0088175C"/>
    <w:rsid w:val="008818EB"/>
    <w:rsid w:val="00881C26"/>
    <w:rsid w:val="00881E57"/>
    <w:rsid w:val="00882A3B"/>
    <w:rsid w:val="008839A8"/>
    <w:rsid w:val="00883F3D"/>
    <w:rsid w:val="00884225"/>
    <w:rsid w:val="00884539"/>
    <w:rsid w:val="008845B3"/>
    <w:rsid w:val="00884630"/>
    <w:rsid w:val="00884FAA"/>
    <w:rsid w:val="008851D2"/>
    <w:rsid w:val="00885467"/>
    <w:rsid w:val="00885BA7"/>
    <w:rsid w:val="008861A9"/>
    <w:rsid w:val="00886964"/>
    <w:rsid w:val="00886C52"/>
    <w:rsid w:val="00886DC6"/>
    <w:rsid w:val="00886F07"/>
    <w:rsid w:val="00886F1D"/>
    <w:rsid w:val="00886F21"/>
    <w:rsid w:val="00890E77"/>
    <w:rsid w:val="00890E81"/>
    <w:rsid w:val="00890FE6"/>
    <w:rsid w:val="008910FD"/>
    <w:rsid w:val="008913E0"/>
    <w:rsid w:val="00891454"/>
    <w:rsid w:val="00891595"/>
    <w:rsid w:val="00891EEF"/>
    <w:rsid w:val="008920E9"/>
    <w:rsid w:val="00892356"/>
    <w:rsid w:val="008926DA"/>
    <w:rsid w:val="00892C82"/>
    <w:rsid w:val="00892CB0"/>
    <w:rsid w:val="00892E08"/>
    <w:rsid w:val="00892E89"/>
    <w:rsid w:val="00893042"/>
    <w:rsid w:val="008932D5"/>
    <w:rsid w:val="00893493"/>
    <w:rsid w:val="00893686"/>
    <w:rsid w:val="00893B68"/>
    <w:rsid w:val="00893B79"/>
    <w:rsid w:val="00894190"/>
    <w:rsid w:val="0089431A"/>
    <w:rsid w:val="0089442D"/>
    <w:rsid w:val="00894E93"/>
    <w:rsid w:val="00895253"/>
    <w:rsid w:val="0089537D"/>
    <w:rsid w:val="00895896"/>
    <w:rsid w:val="008959BF"/>
    <w:rsid w:val="00895C85"/>
    <w:rsid w:val="00895CF0"/>
    <w:rsid w:val="0089630C"/>
    <w:rsid w:val="00896666"/>
    <w:rsid w:val="00896AB5"/>
    <w:rsid w:val="00897630"/>
    <w:rsid w:val="008977AF"/>
    <w:rsid w:val="008A004D"/>
    <w:rsid w:val="008A0167"/>
    <w:rsid w:val="008A06A1"/>
    <w:rsid w:val="008A0B6B"/>
    <w:rsid w:val="008A10DB"/>
    <w:rsid w:val="008A11E3"/>
    <w:rsid w:val="008A1319"/>
    <w:rsid w:val="008A1855"/>
    <w:rsid w:val="008A1E33"/>
    <w:rsid w:val="008A1FAD"/>
    <w:rsid w:val="008A2176"/>
    <w:rsid w:val="008A23E6"/>
    <w:rsid w:val="008A2715"/>
    <w:rsid w:val="008A2B9F"/>
    <w:rsid w:val="008A3048"/>
    <w:rsid w:val="008A31C9"/>
    <w:rsid w:val="008A31DB"/>
    <w:rsid w:val="008A3C6A"/>
    <w:rsid w:val="008A3CFB"/>
    <w:rsid w:val="008A3D5E"/>
    <w:rsid w:val="008A3D9C"/>
    <w:rsid w:val="008A409C"/>
    <w:rsid w:val="008A457F"/>
    <w:rsid w:val="008A48C5"/>
    <w:rsid w:val="008A5647"/>
    <w:rsid w:val="008A56E6"/>
    <w:rsid w:val="008A5DB5"/>
    <w:rsid w:val="008A5DEE"/>
    <w:rsid w:val="008A609B"/>
    <w:rsid w:val="008A717A"/>
    <w:rsid w:val="008A721A"/>
    <w:rsid w:val="008A7866"/>
    <w:rsid w:val="008A7C8D"/>
    <w:rsid w:val="008A7E22"/>
    <w:rsid w:val="008A7EF9"/>
    <w:rsid w:val="008B008A"/>
    <w:rsid w:val="008B0368"/>
    <w:rsid w:val="008B0376"/>
    <w:rsid w:val="008B0414"/>
    <w:rsid w:val="008B0CDC"/>
    <w:rsid w:val="008B0F2C"/>
    <w:rsid w:val="008B1299"/>
    <w:rsid w:val="008B13D9"/>
    <w:rsid w:val="008B158E"/>
    <w:rsid w:val="008B171F"/>
    <w:rsid w:val="008B219F"/>
    <w:rsid w:val="008B2E12"/>
    <w:rsid w:val="008B2ECE"/>
    <w:rsid w:val="008B3041"/>
    <w:rsid w:val="008B3407"/>
    <w:rsid w:val="008B42B9"/>
    <w:rsid w:val="008B42CF"/>
    <w:rsid w:val="008B4312"/>
    <w:rsid w:val="008B47F0"/>
    <w:rsid w:val="008B48DB"/>
    <w:rsid w:val="008B4BF0"/>
    <w:rsid w:val="008B4F1D"/>
    <w:rsid w:val="008B4FDC"/>
    <w:rsid w:val="008B5078"/>
    <w:rsid w:val="008B51FF"/>
    <w:rsid w:val="008B521F"/>
    <w:rsid w:val="008B5235"/>
    <w:rsid w:val="008B56C1"/>
    <w:rsid w:val="008B598F"/>
    <w:rsid w:val="008B5B97"/>
    <w:rsid w:val="008B5C19"/>
    <w:rsid w:val="008B5EA8"/>
    <w:rsid w:val="008B6130"/>
    <w:rsid w:val="008B621E"/>
    <w:rsid w:val="008B6536"/>
    <w:rsid w:val="008B6735"/>
    <w:rsid w:val="008B6977"/>
    <w:rsid w:val="008B6B7F"/>
    <w:rsid w:val="008B710F"/>
    <w:rsid w:val="008B7129"/>
    <w:rsid w:val="008B72F8"/>
    <w:rsid w:val="008B748A"/>
    <w:rsid w:val="008B7683"/>
    <w:rsid w:val="008C0C29"/>
    <w:rsid w:val="008C0F4C"/>
    <w:rsid w:val="008C1510"/>
    <w:rsid w:val="008C26B2"/>
    <w:rsid w:val="008C2955"/>
    <w:rsid w:val="008C29DD"/>
    <w:rsid w:val="008C2A3F"/>
    <w:rsid w:val="008C322F"/>
    <w:rsid w:val="008C3287"/>
    <w:rsid w:val="008C33FA"/>
    <w:rsid w:val="008C34B6"/>
    <w:rsid w:val="008C3773"/>
    <w:rsid w:val="008C3806"/>
    <w:rsid w:val="008C3AE0"/>
    <w:rsid w:val="008C3C72"/>
    <w:rsid w:val="008C3DBA"/>
    <w:rsid w:val="008C3F0B"/>
    <w:rsid w:val="008C3F7C"/>
    <w:rsid w:val="008C4844"/>
    <w:rsid w:val="008C5B54"/>
    <w:rsid w:val="008C5C83"/>
    <w:rsid w:val="008C5F91"/>
    <w:rsid w:val="008C64AD"/>
    <w:rsid w:val="008C6762"/>
    <w:rsid w:val="008C7537"/>
    <w:rsid w:val="008C7892"/>
    <w:rsid w:val="008C79B0"/>
    <w:rsid w:val="008C7C99"/>
    <w:rsid w:val="008C7CBE"/>
    <w:rsid w:val="008D09E4"/>
    <w:rsid w:val="008D126E"/>
    <w:rsid w:val="008D129B"/>
    <w:rsid w:val="008D195A"/>
    <w:rsid w:val="008D19FC"/>
    <w:rsid w:val="008D1F49"/>
    <w:rsid w:val="008D208A"/>
    <w:rsid w:val="008D258E"/>
    <w:rsid w:val="008D2725"/>
    <w:rsid w:val="008D2732"/>
    <w:rsid w:val="008D2767"/>
    <w:rsid w:val="008D2C43"/>
    <w:rsid w:val="008D3242"/>
    <w:rsid w:val="008D3550"/>
    <w:rsid w:val="008D3C38"/>
    <w:rsid w:val="008D3F63"/>
    <w:rsid w:val="008D4597"/>
    <w:rsid w:val="008D4656"/>
    <w:rsid w:val="008D46EA"/>
    <w:rsid w:val="008D4AE9"/>
    <w:rsid w:val="008D4F97"/>
    <w:rsid w:val="008D514B"/>
    <w:rsid w:val="008D54DF"/>
    <w:rsid w:val="008D5DEB"/>
    <w:rsid w:val="008D6553"/>
    <w:rsid w:val="008D663D"/>
    <w:rsid w:val="008D6B90"/>
    <w:rsid w:val="008D6B9B"/>
    <w:rsid w:val="008D75D3"/>
    <w:rsid w:val="008D77E3"/>
    <w:rsid w:val="008D7B53"/>
    <w:rsid w:val="008D7E24"/>
    <w:rsid w:val="008D7F03"/>
    <w:rsid w:val="008E018E"/>
    <w:rsid w:val="008E05DB"/>
    <w:rsid w:val="008E06E8"/>
    <w:rsid w:val="008E0789"/>
    <w:rsid w:val="008E0A8C"/>
    <w:rsid w:val="008E0B9E"/>
    <w:rsid w:val="008E1600"/>
    <w:rsid w:val="008E1C2A"/>
    <w:rsid w:val="008E1E30"/>
    <w:rsid w:val="008E2493"/>
    <w:rsid w:val="008E2576"/>
    <w:rsid w:val="008E2D52"/>
    <w:rsid w:val="008E30B6"/>
    <w:rsid w:val="008E3533"/>
    <w:rsid w:val="008E3594"/>
    <w:rsid w:val="008E370E"/>
    <w:rsid w:val="008E3968"/>
    <w:rsid w:val="008E3AF1"/>
    <w:rsid w:val="008E4091"/>
    <w:rsid w:val="008E43CA"/>
    <w:rsid w:val="008E44D2"/>
    <w:rsid w:val="008E4761"/>
    <w:rsid w:val="008E4A8A"/>
    <w:rsid w:val="008E4B64"/>
    <w:rsid w:val="008E4D07"/>
    <w:rsid w:val="008E55A8"/>
    <w:rsid w:val="008E571E"/>
    <w:rsid w:val="008E58B9"/>
    <w:rsid w:val="008E5A5A"/>
    <w:rsid w:val="008E5B41"/>
    <w:rsid w:val="008E5F5E"/>
    <w:rsid w:val="008E6483"/>
    <w:rsid w:val="008E66C1"/>
    <w:rsid w:val="008E6B02"/>
    <w:rsid w:val="008E6FA3"/>
    <w:rsid w:val="008E732D"/>
    <w:rsid w:val="008E74EE"/>
    <w:rsid w:val="008E78F4"/>
    <w:rsid w:val="008E7ABD"/>
    <w:rsid w:val="008E7C30"/>
    <w:rsid w:val="008E7CDF"/>
    <w:rsid w:val="008E7D53"/>
    <w:rsid w:val="008F00CC"/>
    <w:rsid w:val="008F02A3"/>
    <w:rsid w:val="008F054E"/>
    <w:rsid w:val="008F0645"/>
    <w:rsid w:val="008F09D0"/>
    <w:rsid w:val="008F0AA6"/>
    <w:rsid w:val="008F0C8B"/>
    <w:rsid w:val="008F0FAE"/>
    <w:rsid w:val="008F1006"/>
    <w:rsid w:val="008F1761"/>
    <w:rsid w:val="008F1887"/>
    <w:rsid w:val="008F26A5"/>
    <w:rsid w:val="008F27DA"/>
    <w:rsid w:val="008F28BB"/>
    <w:rsid w:val="008F2B79"/>
    <w:rsid w:val="008F2DA1"/>
    <w:rsid w:val="008F3B8B"/>
    <w:rsid w:val="008F3FAC"/>
    <w:rsid w:val="008F4B52"/>
    <w:rsid w:val="008F4E09"/>
    <w:rsid w:val="008F53BA"/>
    <w:rsid w:val="008F546B"/>
    <w:rsid w:val="008F55B0"/>
    <w:rsid w:val="008F6729"/>
    <w:rsid w:val="008F67D3"/>
    <w:rsid w:val="008F67F4"/>
    <w:rsid w:val="008F686A"/>
    <w:rsid w:val="008F6A4C"/>
    <w:rsid w:val="008F6DC3"/>
    <w:rsid w:val="008F7515"/>
    <w:rsid w:val="008F7547"/>
    <w:rsid w:val="008F7689"/>
    <w:rsid w:val="00900083"/>
    <w:rsid w:val="0090088A"/>
    <w:rsid w:val="009008A3"/>
    <w:rsid w:val="009008E8"/>
    <w:rsid w:val="00900B9A"/>
    <w:rsid w:val="00900DA2"/>
    <w:rsid w:val="009011AE"/>
    <w:rsid w:val="009011B7"/>
    <w:rsid w:val="00901970"/>
    <w:rsid w:val="00901D44"/>
    <w:rsid w:val="009021D7"/>
    <w:rsid w:val="0090269C"/>
    <w:rsid w:val="0090278B"/>
    <w:rsid w:val="00902B00"/>
    <w:rsid w:val="00902BCF"/>
    <w:rsid w:val="00903338"/>
    <w:rsid w:val="00903CAA"/>
    <w:rsid w:val="00903D2A"/>
    <w:rsid w:val="009044E1"/>
    <w:rsid w:val="00904B95"/>
    <w:rsid w:val="00905146"/>
    <w:rsid w:val="009051D6"/>
    <w:rsid w:val="0090527B"/>
    <w:rsid w:val="0090532F"/>
    <w:rsid w:val="00905A4C"/>
    <w:rsid w:val="00906319"/>
    <w:rsid w:val="00906580"/>
    <w:rsid w:val="00906775"/>
    <w:rsid w:val="009069CF"/>
    <w:rsid w:val="00907024"/>
    <w:rsid w:val="0090733B"/>
    <w:rsid w:val="00907463"/>
    <w:rsid w:val="00907703"/>
    <w:rsid w:val="00907EEB"/>
    <w:rsid w:val="009103F1"/>
    <w:rsid w:val="00911195"/>
    <w:rsid w:val="00911340"/>
    <w:rsid w:val="009114DD"/>
    <w:rsid w:val="00911B7D"/>
    <w:rsid w:val="00911C72"/>
    <w:rsid w:val="009123D2"/>
    <w:rsid w:val="00912B40"/>
    <w:rsid w:val="00912D86"/>
    <w:rsid w:val="009131B7"/>
    <w:rsid w:val="009131C5"/>
    <w:rsid w:val="0091381D"/>
    <w:rsid w:val="009138BF"/>
    <w:rsid w:val="00913A49"/>
    <w:rsid w:val="00913F55"/>
    <w:rsid w:val="00914201"/>
    <w:rsid w:val="0091433A"/>
    <w:rsid w:val="00914494"/>
    <w:rsid w:val="009152EC"/>
    <w:rsid w:val="009157F2"/>
    <w:rsid w:val="00915AAF"/>
    <w:rsid w:val="00915ED5"/>
    <w:rsid w:val="00915EE7"/>
    <w:rsid w:val="009165C1"/>
    <w:rsid w:val="00916814"/>
    <w:rsid w:val="0091691D"/>
    <w:rsid w:val="00917388"/>
    <w:rsid w:val="00917925"/>
    <w:rsid w:val="00917961"/>
    <w:rsid w:val="00920379"/>
    <w:rsid w:val="00920A39"/>
    <w:rsid w:val="00920F25"/>
    <w:rsid w:val="00921252"/>
    <w:rsid w:val="00921528"/>
    <w:rsid w:val="00921872"/>
    <w:rsid w:val="00921E5A"/>
    <w:rsid w:val="00921EC9"/>
    <w:rsid w:val="00921FF2"/>
    <w:rsid w:val="0092246D"/>
    <w:rsid w:val="00922919"/>
    <w:rsid w:val="00922A7C"/>
    <w:rsid w:val="00922C4B"/>
    <w:rsid w:val="00922EE3"/>
    <w:rsid w:val="00923082"/>
    <w:rsid w:val="0092380B"/>
    <w:rsid w:val="00923C96"/>
    <w:rsid w:val="00924157"/>
    <w:rsid w:val="00924290"/>
    <w:rsid w:val="0092437C"/>
    <w:rsid w:val="0092442E"/>
    <w:rsid w:val="0092479E"/>
    <w:rsid w:val="0092486C"/>
    <w:rsid w:val="00924B1A"/>
    <w:rsid w:val="00924B5F"/>
    <w:rsid w:val="00924CF3"/>
    <w:rsid w:val="00924DFB"/>
    <w:rsid w:val="00924E58"/>
    <w:rsid w:val="00925155"/>
    <w:rsid w:val="00925F10"/>
    <w:rsid w:val="0092621F"/>
    <w:rsid w:val="0092692E"/>
    <w:rsid w:val="00927516"/>
    <w:rsid w:val="009278BF"/>
    <w:rsid w:val="00927930"/>
    <w:rsid w:val="0092797D"/>
    <w:rsid w:val="00927A37"/>
    <w:rsid w:val="0093008A"/>
    <w:rsid w:val="009302D5"/>
    <w:rsid w:val="00930369"/>
    <w:rsid w:val="00930394"/>
    <w:rsid w:val="00930488"/>
    <w:rsid w:val="00930674"/>
    <w:rsid w:val="0093129E"/>
    <w:rsid w:val="00931519"/>
    <w:rsid w:val="00931889"/>
    <w:rsid w:val="009318E2"/>
    <w:rsid w:val="00931DB8"/>
    <w:rsid w:val="00931E9A"/>
    <w:rsid w:val="00931EF6"/>
    <w:rsid w:val="00931EF8"/>
    <w:rsid w:val="009320B7"/>
    <w:rsid w:val="00932375"/>
    <w:rsid w:val="009323BE"/>
    <w:rsid w:val="009323D9"/>
    <w:rsid w:val="009325C3"/>
    <w:rsid w:val="00932BFE"/>
    <w:rsid w:val="00932C1A"/>
    <w:rsid w:val="00932CEB"/>
    <w:rsid w:val="009330DF"/>
    <w:rsid w:val="00933656"/>
    <w:rsid w:val="00933B80"/>
    <w:rsid w:val="00933CB6"/>
    <w:rsid w:val="0093415B"/>
    <w:rsid w:val="009341A0"/>
    <w:rsid w:val="009341D8"/>
    <w:rsid w:val="009349A1"/>
    <w:rsid w:val="0093508E"/>
    <w:rsid w:val="0093520C"/>
    <w:rsid w:val="0093552B"/>
    <w:rsid w:val="009358A9"/>
    <w:rsid w:val="009359F4"/>
    <w:rsid w:val="00936218"/>
    <w:rsid w:val="009378CD"/>
    <w:rsid w:val="00937975"/>
    <w:rsid w:val="00940654"/>
    <w:rsid w:val="0094067B"/>
    <w:rsid w:val="00940746"/>
    <w:rsid w:val="00940C04"/>
    <w:rsid w:val="0094106C"/>
    <w:rsid w:val="00941297"/>
    <w:rsid w:val="00941BA3"/>
    <w:rsid w:val="00942798"/>
    <w:rsid w:val="00942BC1"/>
    <w:rsid w:val="00942DB0"/>
    <w:rsid w:val="009433FC"/>
    <w:rsid w:val="009436EA"/>
    <w:rsid w:val="009438A0"/>
    <w:rsid w:val="009438A4"/>
    <w:rsid w:val="009438E3"/>
    <w:rsid w:val="0094411A"/>
    <w:rsid w:val="009442BB"/>
    <w:rsid w:val="009444C2"/>
    <w:rsid w:val="009445D8"/>
    <w:rsid w:val="00944AE7"/>
    <w:rsid w:val="00944B5A"/>
    <w:rsid w:val="00944B7A"/>
    <w:rsid w:val="00944C2C"/>
    <w:rsid w:val="0094565C"/>
    <w:rsid w:val="00945D9A"/>
    <w:rsid w:val="009462BB"/>
    <w:rsid w:val="00946360"/>
    <w:rsid w:val="0094665B"/>
    <w:rsid w:val="00946B20"/>
    <w:rsid w:val="009473DA"/>
    <w:rsid w:val="00947464"/>
    <w:rsid w:val="00950077"/>
    <w:rsid w:val="0095015A"/>
    <w:rsid w:val="00950547"/>
    <w:rsid w:val="0095066B"/>
    <w:rsid w:val="00950DC6"/>
    <w:rsid w:val="00950EA7"/>
    <w:rsid w:val="00950EFD"/>
    <w:rsid w:val="00950F59"/>
    <w:rsid w:val="0095149D"/>
    <w:rsid w:val="009514FA"/>
    <w:rsid w:val="0095168B"/>
    <w:rsid w:val="009518F2"/>
    <w:rsid w:val="00951A3C"/>
    <w:rsid w:val="00951B60"/>
    <w:rsid w:val="00951CC7"/>
    <w:rsid w:val="00951FB0"/>
    <w:rsid w:val="0095252E"/>
    <w:rsid w:val="009528A1"/>
    <w:rsid w:val="009528C9"/>
    <w:rsid w:val="00952CC5"/>
    <w:rsid w:val="00952CCE"/>
    <w:rsid w:val="009531BD"/>
    <w:rsid w:val="009532B7"/>
    <w:rsid w:val="009536B6"/>
    <w:rsid w:val="009536E6"/>
    <w:rsid w:val="0095387A"/>
    <w:rsid w:val="00953886"/>
    <w:rsid w:val="00953A01"/>
    <w:rsid w:val="00953B99"/>
    <w:rsid w:val="00953F9D"/>
    <w:rsid w:val="009544CB"/>
    <w:rsid w:val="00955113"/>
    <w:rsid w:val="009554C1"/>
    <w:rsid w:val="009559B4"/>
    <w:rsid w:val="00955A63"/>
    <w:rsid w:val="00955A6B"/>
    <w:rsid w:val="00955B9C"/>
    <w:rsid w:val="00955E00"/>
    <w:rsid w:val="00955E61"/>
    <w:rsid w:val="009560B3"/>
    <w:rsid w:val="00956235"/>
    <w:rsid w:val="00956969"/>
    <w:rsid w:val="00956BF9"/>
    <w:rsid w:val="00956C16"/>
    <w:rsid w:val="00956ED4"/>
    <w:rsid w:val="0095710B"/>
    <w:rsid w:val="009575C4"/>
    <w:rsid w:val="009578AA"/>
    <w:rsid w:val="00957B07"/>
    <w:rsid w:val="00960A50"/>
    <w:rsid w:val="00960B83"/>
    <w:rsid w:val="00961291"/>
    <w:rsid w:val="0096133D"/>
    <w:rsid w:val="0096227F"/>
    <w:rsid w:val="009623C9"/>
    <w:rsid w:val="00962651"/>
    <w:rsid w:val="00962EE1"/>
    <w:rsid w:val="0096305D"/>
    <w:rsid w:val="00963ABD"/>
    <w:rsid w:val="00963ACA"/>
    <w:rsid w:val="00963BFA"/>
    <w:rsid w:val="0096447C"/>
    <w:rsid w:val="00964499"/>
    <w:rsid w:val="009644BF"/>
    <w:rsid w:val="00964760"/>
    <w:rsid w:val="00964E2F"/>
    <w:rsid w:val="0096527C"/>
    <w:rsid w:val="009654AF"/>
    <w:rsid w:val="00965865"/>
    <w:rsid w:val="009659B2"/>
    <w:rsid w:val="00965A9A"/>
    <w:rsid w:val="00965D4F"/>
    <w:rsid w:val="009661AB"/>
    <w:rsid w:val="00966511"/>
    <w:rsid w:val="009669B0"/>
    <w:rsid w:val="00966CFF"/>
    <w:rsid w:val="00966E9E"/>
    <w:rsid w:val="00967793"/>
    <w:rsid w:val="00967C5E"/>
    <w:rsid w:val="00967DFA"/>
    <w:rsid w:val="00967E22"/>
    <w:rsid w:val="0097038D"/>
    <w:rsid w:val="0097047C"/>
    <w:rsid w:val="00970627"/>
    <w:rsid w:val="009706DD"/>
    <w:rsid w:val="00970C56"/>
    <w:rsid w:val="00970D04"/>
    <w:rsid w:val="009713FE"/>
    <w:rsid w:val="00971566"/>
    <w:rsid w:val="009719C1"/>
    <w:rsid w:val="00971E19"/>
    <w:rsid w:val="00972166"/>
    <w:rsid w:val="00972484"/>
    <w:rsid w:val="009725CE"/>
    <w:rsid w:val="0097277B"/>
    <w:rsid w:val="00972DAD"/>
    <w:rsid w:val="00973047"/>
    <w:rsid w:val="00973353"/>
    <w:rsid w:val="009734E7"/>
    <w:rsid w:val="00973873"/>
    <w:rsid w:val="00973D52"/>
    <w:rsid w:val="00973E9B"/>
    <w:rsid w:val="009745D4"/>
    <w:rsid w:val="00974A0D"/>
    <w:rsid w:val="00974F60"/>
    <w:rsid w:val="00975374"/>
    <w:rsid w:val="009756A8"/>
    <w:rsid w:val="009756DC"/>
    <w:rsid w:val="009758A9"/>
    <w:rsid w:val="00975A47"/>
    <w:rsid w:val="00975E26"/>
    <w:rsid w:val="00976109"/>
    <w:rsid w:val="0097612F"/>
    <w:rsid w:val="0097630B"/>
    <w:rsid w:val="00976320"/>
    <w:rsid w:val="00976695"/>
    <w:rsid w:val="00976D66"/>
    <w:rsid w:val="00977BC7"/>
    <w:rsid w:val="0098000D"/>
    <w:rsid w:val="00980088"/>
    <w:rsid w:val="009801CE"/>
    <w:rsid w:val="009802AE"/>
    <w:rsid w:val="009802BE"/>
    <w:rsid w:val="00980680"/>
    <w:rsid w:val="00980797"/>
    <w:rsid w:val="00980AE9"/>
    <w:rsid w:val="00981022"/>
    <w:rsid w:val="009811B6"/>
    <w:rsid w:val="009812A4"/>
    <w:rsid w:val="009815ED"/>
    <w:rsid w:val="00981EE5"/>
    <w:rsid w:val="00981EF8"/>
    <w:rsid w:val="0098227B"/>
    <w:rsid w:val="00982413"/>
    <w:rsid w:val="0098252D"/>
    <w:rsid w:val="009826E4"/>
    <w:rsid w:val="00982C74"/>
    <w:rsid w:val="009830B8"/>
    <w:rsid w:val="00983300"/>
    <w:rsid w:val="009834C6"/>
    <w:rsid w:val="00983722"/>
    <w:rsid w:val="009837CE"/>
    <w:rsid w:val="009838B0"/>
    <w:rsid w:val="00983BB5"/>
    <w:rsid w:val="00984D06"/>
    <w:rsid w:val="00984DAA"/>
    <w:rsid w:val="00985131"/>
    <w:rsid w:val="0098657E"/>
    <w:rsid w:val="0098699F"/>
    <w:rsid w:val="009869B5"/>
    <w:rsid w:val="00986C76"/>
    <w:rsid w:val="00986F4F"/>
    <w:rsid w:val="0098791E"/>
    <w:rsid w:val="00987C10"/>
    <w:rsid w:val="009901E7"/>
    <w:rsid w:val="00990290"/>
    <w:rsid w:val="009903D1"/>
    <w:rsid w:val="0099071D"/>
    <w:rsid w:val="00991369"/>
    <w:rsid w:val="009919CD"/>
    <w:rsid w:val="00991CD6"/>
    <w:rsid w:val="0099210B"/>
    <w:rsid w:val="009937D3"/>
    <w:rsid w:val="009939A1"/>
    <w:rsid w:val="00994057"/>
    <w:rsid w:val="00994286"/>
    <w:rsid w:val="009945AF"/>
    <w:rsid w:val="0099470F"/>
    <w:rsid w:val="00994D65"/>
    <w:rsid w:val="0099537E"/>
    <w:rsid w:val="009964EA"/>
    <w:rsid w:val="00996716"/>
    <w:rsid w:val="009967D6"/>
    <w:rsid w:val="00996B27"/>
    <w:rsid w:val="00996D56"/>
    <w:rsid w:val="00996DBB"/>
    <w:rsid w:val="009974F4"/>
    <w:rsid w:val="0099766E"/>
    <w:rsid w:val="00997CBE"/>
    <w:rsid w:val="009A0794"/>
    <w:rsid w:val="009A07E9"/>
    <w:rsid w:val="009A0C4F"/>
    <w:rsid w:val="009A0C92"/>
    <w:rsid w:val="009A0CB4"/>
    <w:rsid w:val="009A17FB"/>
    <w:rsid w:val="009A18C3"/>
    <w:rsid w:val="009A191D"/>
    <w:rsid w:val="009A1E12"/>
    <w:rsid w:val="009A39E8"/>
    <w:rsid w:val="009A3C7B"/>
    <w:rsid w:val="009A405A"/>
    <w:rsid w:val="009A4150"/>
    <w:rsid w:val="009A43FD"/>
    <w:rsid w:val="009A4A1D"/>
    <w:rsid w:val="009A4E04"/>
    <w:rsid w:val="009A55D8"/>
    <w:rsid w:val="009A5678"/>
    <w:rsid w:val="009A5751"/>
    <w:rsid w:val="009A583C"/>
    <w:rsid w:val="009A58B2"/>
    <w:rsid w:val="009A5D84"/>
    <w:rsid w:val="009A60D0"/>
    <w:rsid w:val="009A60D8"/>
    <w:rsid w:val="009A65CC"/>
    <w:rsid w:val="009A65D1"/>
    <w:rsid w:val="009A6671"/>
    <w:rsid w:val="009A6783"/>
    <w:rsid w:val="009A6CE5"/>
    <w:rsid w:val="009A6E7C"/>
    <w:rsid w:val="009A7810"/>
    <w:rsid w:val="009B0249"/>
    <w:rsid w:val="009B03E6"/>
    <w:rsid w:val="009B08A9"/>
    <w:rsid w:val="009B0D82"/>
    <w:rsid w:val="009B1151"/>
    <w:rsid w:val="009B18A7"/>
    <w:rsid w:val="009B1996"/>
    <w:rsid w:val="009B2949"/>
    <w:rsid w:val="009B2AF4"/>
    <w:rsid w:val="009B34C7"/>
    <w:rsid w:val="009B3592"/>
    <w:rsid w:val="009B3FD0"/>
    <w:rsid w:val="009B438C"/>
    <w:rsid w:val="009B43CA"/>
    <w:rsid w:val="009B4AAC"/>
    <w:rsid w:val="009B4B40"/>
    <w:rsid w:val="009B4BB8"/>
    <w:rsid w:val="009B4C32"/>
    <w:rsid w:val="009B4CF4"/>
    <w:rsid w:val="009B4F00"/>
    <w:rsid w:val="009B6FF9"/>
    <w:rsid w:val="009B70CF"/>
    <w:rsid w:val="009B72CE"/>
    <w:rsid w:val="009B78BB"/>
    <w:rsid w:val="009C0245"/>
    <w:rsid w:val="009C0AC2"/>
    <w:rsid w:val="009C0D72"/>
    <w:rsid w:val="009C0E26"/>
    <w:rsid w:val="009C0E59"/>
    <w:rsid w:val="009C1AD3"/>
    <w:rsid w:val="009C21F4"/>
    <w:rsid w:val="009C278B"/>
    <w:rsid w:val="009C2A92"/>
    <w:rsid w:val="009C2B18"/>
    <w:rsid w:val="009C332F"/>
    <w:rsid w:val="009C336D"/>
    <w:rsid w:val="009C34B7"/>
    <w:rsid w:val="009C3688"/>
    <w:rsid w:val="009C3750"/>
    <w:rsid w:val="009C38B3"/>
    <w:rsid w:val="009C4106"/>
    <w:rsid w:val="009C41CC"/>
    <w:rsid w:val="009C4268"/>
    <w:rsid w:val="009C4631"/>
    <w:rsid w:val="009C4C72"/>
    <w:rsid w:val="009C4C78"/>
    <w:rsid w:val="009C4FC1"/>
    <w:rsid w:val="009C55B3"/>
    <w:rsid w:val="009C574A"/>
    <w:rsid w:val="009C6966"/>
    <w:rsid w:val="009C6A0E"/>
    <w:rsid w:val="009C6A2C"/>
    <w:rsid w:val="009C6C76"/>
    <w:rsid w:val="009C6D2D"/>
    <w:rsid w:val="009C6FF8"/>
    <w:rsid w:val="009C7161"/>
    <w:rsid w:val="009C72DF"/>
    <w:rsid w:val="009C7A5C"/>
    <w:rsid w:val="009C7A61"/>
    <w:rsid w:val="009C7ED1"/>
    <w:rsid w:val="009C7EF3"/>
    <w:rsid w:val="009D035E"/>
    <w:rsid w:val="009D0A5C"/>
    <w:rsid w:val="009D0A99"/>
    <w:rsid w:val="009D0E73"/>
    <w:rsid w:val="009D17F5"/>
    <w:rsid w:val="009D19F9"/>
    <w:rsid w:val="009D2282"/>
    <w:rsid w:val="009D2551"/>
    <w:rsid w:val="009D295A"/>
    <w:rsid w:val="009D2E2C"/>
    <w:rsid w:val="009D34E7"/>
    <w:rsid w:val="009D355E"/>
    <w:rsid w:val="009D3B21"/>
    <w:rsid w:val="009D3BDB"/>
    <w:rsid w:val="009D3FC3"/>
    <w:rsid w:val="009D457B"/>
    <w:rsid w:val="009D483E"/>
    <w:rsid w:val="009D4BF2"/>
    <w:rsid w:val="009D4CFD"/>
    <w:rsid w:val="009D55A7"/>
    <w:rsid w:val="009D58DD"/>
    <w:rsid w:val="009D5985"/>
    <w:rsid w:val="009D5BA1"/>
    <w:rsid w:val="009D5E33"/>
    <w:rsid w:val="009D601F"/>
    <w:rsid w:val="009D632B"/>
    <w:rsid w:val="009D6D87"/>
    <w:rsid w:val="009D6EEA"/>
    <w:rsid w:val="009D6FAD"/>
    <w:rsid w:val="009D749D"/>
    <w:rsid w:val="009D762E"/>
    <w:rsid w:val="009D7A63"/>
    <w:rsid w:val="009D7DE9"/>
    <w:rsid w:val="009D7FD6"/>
    <w:rsid w:val="009E0411"/>
    <w:rsid w:val="009E077F"/>
    <w:rsid w:val="009E0814"/>
    <w:rsid w:val="009E0BDC"/>
    <w:rsid w:val="009E0D89"/>
    <w:rsid w:val="009E134F"/>
    <w:rsid w:val="009E158A"/>
    <w:rsid w:val="009E16A1"/>
    <w:rsid w:val="009E1B14"/>
    <w:rsid w:val="009E1DC4"/>
    <w:rsid w:val="009E203F"/>
    <w:rsid w:val="009E2064"/>
    <w:rsid w:val="009E2088"/>
    <w:rsid w:val="009E22C5"/>
    <w:rsid w:val="009E2401"/>
    <w:rsid w:val="009E2595"/>
    <w:rsid w:val="009E3045"/>
    <w:rsid w:val="009E3373"/>
    <w:rsid w:val="009E3506"/>
    <w:rsid w:val="009E3570"/>
    <w:rsid w:val="009E36A0"/>
    <w:rsid w:val="009E3CB6"/>
    <w:rsid w:val="009E4884"/>
    <w:rsid w:val="009E48EB"/>
    <w:rsid w:val="009E4AA8"/>
    <w:rsid w:val="009E4D0E"/>
    <w:rsid w:val="009E5180"/>
    <w:rsid w:val="009E5380"/>
    <w:rsid w:val="009E5490"/>
    <w:rsid w:val="009E568A"/>
    <w:rsid w:val="009E58BD"/>
    <w:rsid w:val="009E59AE"/>
    <w:rsid w:val="009E5C2A"/>
    <w:rsid w:val="009E6073"/>
    <w:rsid w:val="009E65B9"/>
    <w:rsid w:val="009E69AB"/>
    <w:rsid w:val="009E6ABC"/>
    <w:rsid w:val="009E7191"/>
    <w:rsid w:val="009E74CF"/>
    <w:rsid w:val="009E7AF4"/>
    <w:rsid w:val="009E7CEE"/>
    <w:rsid w:val="009E7CFF"/>
    <w:rsid w:val="009E7EC6"/>
    <w:rsid w:val="009E7F33"/>
    <w:rsid w:val="009F0D0E"/>
    <w:rsid w:val="009F1267"/>
    <w:rsid w:val="009F1418"/>
    <w:rsid w:val="009F1A40"/>
    <w:rsid w:val="009F20A2"/>
    <w:rsid w:val="009F243B"/>
    <w:rsid w:val="009F2A71"/>
    <w:rsid w:val="009F2CEC"/>
    <w:rsid w:val="009F2FC4"/>
    <w:rsid w:val="009F31C2"/>
    <w:rsid w:val="009F3292"/>
    <w:rsid w:val="009F3513"/>
    <w:rsid w:val="009F37B5"/>
    <w:rsid w:val="009F3F39"/>
    <w:rsid w:val="009F418F"/>
    <w:rsid w:val="009F4407"/>
    <w:rsid w:val="009F4815"/>
    <w:rsid w:val="009F4A6E"/>
    <w:rsid w:val="009F4DC0"/>
    <w:rsid w:val="009F502C"/>
    <w:rsid w:val="009F50A5"/>
    <w:rsid w:val="009F5151"/>
    <w:rsid w:val="009F5AC0"/>
    <w:rsid w:val="009F634F"/>
    <w:rsid w:val="009F65B7"/>
    <w:rsid w:val="009F69B9"/>
    <w:rsid w:val="009F6B19"/>
    <w:rsid w:val="009F6C0F"/>
    <w:rsid w:val="009F6E79"/>
    <w:rsid w:val="009F7915"/>
    <w:rsid w:val="009F7F65"/>
    <w:rsid w:val="00A004EE"/>
    <w:rsid w:val="00A00D88"/>
    <w:rsid w:val="00A01108"/>
    <w:rsid w:val="00A01304"/>
    <w:rsid w:val="00A016F4"/>
    <w:rsid w:val="00A01CAF"/>
    <w:rsid w:val="00A01CF8"/>
    <w:rsid w:val="00A02115"/>
    <w:rsid w:val="00A022FA"/>
    <w:rsid w:val="00A02667"/>
    <w:rsid w:val="00A02CAF"/>
    <w:rsid w:val="00A02EF1"/>
    <w:rsid w:val="00A031C3"/>
    <w:rsid w:val="00A03205"/>
    <w:rsid w:val="00A034B4"/>
    <w:rsid w:val="00A036F4"/>
    <w:rsid w:val="00A037CA"/>
    <w:rsid w:val="00A037EC"/>
    <w:rsid w:val="00A03BCA"/>
    <w:rsid w:val="00A03E8F"/>
    <w:rsid w:val="00A03EC1"/>
    <w:rsid w:val="00A0429A"/>
    <w:rsid w:val="00A046A3"/>
    <w:rsid w:val="00A04D4D"/>
    <w:rsid w:val="00A051A6"/>
    <w:rsid w:val="00A0544B"/>
    <w:rsid w:val="00A05CC0"/>
    <w:rsid w:val="00A05FB8"/>
    <w:rsid w:val="00A066C9"/>
    <w:rsid w:val="00A06775"/>
    <w:rsid w:val="00A06BED"/>
    <w:rsid w:val="00A07B83"/>
    <w:rsid w:val="00A07D24"/>
    <w:rsid w:val="00A10779"/>
    <w:rsid w:val="00A10B6C"/>
    <w:rsid w:val="00A10F15"/>
    <w:rsid w:val="00A110AF"/>
    <w:rsid w:val="00A11211"/>
    <w:rsid w:val="00A11A80"/>
    <w:rsid w:val="00A11AC5"/>
    <w:rsid w:val="00A11BC6"/>
    <w:rsid w:val="00A11D5F"/>
    <w:rsid w:val="00A11E9A"/>
    <w:rsid w:val="00A121B0"/>
    <w:rsid w:val="00A12367"/>
    <w:rsid w:val="00A124EF"/>
    <w:rsid w:val="00A12B8A"/>
    <w:rsid w:val="00A12BF2"/>
    <w:rsid w:val="00A12C60"/>
    <w:rsid w:val="00A13154"/>
    <w:rsid w:val="00A13448"/>
    <w:rsid w:val="00A146EA"/>
    <w:rsid w:val="00A1478E"/>
    <w:rsid w:val="00A1495C"/>
    <w:rsid w:val="00A149E6"/>
    <w:rsid w:val="00A14C95"/>
    <w:rsid w:val="00A14EE6"/>
    <w:rsid w:val="00A14F77"/>
    <w:rsid w:val="00A14F88"/>
    <w:rsid w:val="00A14F8D"/>
    <w:rsid w:val="00A15058"/>
    <w:rsid w:val="00A15090"/>
    <w:rsid w:val="00A1513E"/>
    <w:rsid w:val="00A155BB"/>
    <w:rsid w:val="00A15919"/>
    <w:rsid w:val="00A15F91"/>
    <w:rsid w:val="00A15FD9"/>
    <w:rsid w:val="00A16145"/>
    <w:rsid w:val="00A1642B"/>
    <w:rsid w:val="00A1667B"/>
    <w:rsid w:val="00A167F5"/>
    <w:rsid w:val="00A171D3"/>
    <w:rsid w:val="00A1743B"/>
    <w:rsid w:val="00A17500"/>
    <w:rsid w:val="00A175FA"/>
    <w:rsid w:val="00A202ED"/>
    <w:rsid w:val="00A2077F"/>
    <w:rsid w:val="00A209FA"/>
    <w:rsid w:val="00A20AEA"/>
    <w:rsid w:val="00A20B3E"/>
    <w:rsid w:val="00A20B90"/>
    <w:rsid w:val="00A20BB9"/>
    <w:rsid w:val="00A210D8"/>
    <w:rsid w:val="00A21725"/>
    <w:rsid w:val="00A21BA3"/>
    <w:rsid w:val="00A21DEA"/>
    <w:rsid w:val="00A21EC1"/>
    <w:rsid w:val="00A22495"/>
    <w:rsid w:val="00A224AE"/>
    <w:rsid w:val="00A224D9"/>
    <w:rsid w:val="00A22501"/>
    <w:rsid w:val="00A2255C"/>
    <w:rsid w:val="00A2257B"/>
    <w:rsid w:val="00A228DC"/>
    <w:rsid w:val="00A22A45"/>
    <w:rsid w:val="00A22B95"/>
    <w:rsid w:val="00A22C40"/>
    <w:rsid w:val="00A230E4"/>
    <w:rsid w:val="00A231C3"/>
    <w:rsid w:val="00A2393C"/>
    <w:rsid w:val="00A23A2A"/>
    <w:rsid w:val="00A23DDA"/>
    <w:rsid w:val="00A24828"/>
    <w:rsid w:val="00A24A8C"/>
    <w:rsid w:val="00A24D10"/>
    <w:rsid w:val="00A24E85"/>
    <w:rsid w:val="00A250A2"/>
    <w:rsid w:val="00A25793"/>
    <w:rsid w:val="00A2583C"/>
    <w:rsid w:val="00A258BA"/>
    <w:rsid w:val="00A25D37"/>
    <w:rsid w:val="00A25E0F"/>
    <w:rsid w:val="00A25FA6"/>
    <w:rsid w:val="00A2609C"/>
    <w:rsid w:val="00A2630F"/>
    <w:rsid w:val="00A265DF"/>
    <w:rsid w:val="00A26770"/>
    <w:rsid w:val="00A268B0"/>
    <w:rsid w:val="00A26D6D"/>
    <w:rsid w:val="00A2742C"/>
    <w:rsid w:val="00A27501"/>
    <w:rsid w:val="00A27F7B"/>
    <w:rsid w:val="00A30449"/>
    <w:rsid w:val="00A305C7"/>
    <w:rsid w:val="00A309C0"/>
    <w:rsid w:val="00A30CE6"/>
    <w:rsid w:val="00A30F5E"/>
    <w:rsid w:val="00A31196"/>
    <w:rsid w:val="00A317E2"/>
    <w:rsid w:val="00A319BC"/>
    <w:rsid w:val="00A31A4A"/>
    <w:rsid w:val="00A31B75"/>
    <w:rsid w:val="00A31C4C"/>
    <w:rsid w:val="00A31EBD"/>
    <w:rsid w:val="00A31F25"/>
    <w:rsid w:val="00A32332"/>
    <w:rsid w:val="00A32C2C"/>
    <w:rsid w:val="00A32D11"/>
    <w:rsid w:val="00A32EF3"/>
    <w:rsid w:val="00A32EF5"/>
    <w:rsid w:val="00A338DA"/>
    <w:rsid w:val="00A33D39"/>
    <w:rsid w:val="00A33E06"/>
    <w:rsid w:val="00A3404D"/>
    <w:rsid w:val="00A343BC"/>
    <w:rsid w:val="00A348CD"/>
    <w:rsid w:val="00A34BF7"/>
    <w:rsid w:val="00A34DE4"/>
    <w:rsid w:val="00A3507F"/>
    <w:rsid w:val="00A354C9"/>
    <w:rsid w:val="00A356FA"/>
    <w:rsid w:val="00A357E2"/>
    <w:rsid w:val="00A35807"/>
    <w:rsid w:val="00A35CC5"/>
    <w:rsid w:val="00A35CE4"/>
    <w:rsid w:val="00A35EE4"/>
    <w:rsid w:val="00A36460"/>
    <w:rsid w:val="00A3647E"/>
    <w:rsid w:val="00A3650C"/>
    <w:rsid w:val="00A3678C"/>
    <w:rsid w:val="00A36BD4"/>
    <w:rsid w:val="00A374E1"/>
    <w:rsid w:val="00A376E6"/>
    <w:rsid w:val="00A3791D"/>
    <w:rsid w:val="00A37984"/>
    <w:rsid w:val="00A37AC9"/>
    <w:rsid w:val="00A37D52"/>
    <w:rsid w:val="00A4022B"/>
    <w:rsid w:val="00A405BA"/>
    <w:rsid w:val="00A4067F"/>
    <w:rsid w:val="00A40A25"/>
    <w:rsid w:val="00A40C69"/>
    <w:rsid w:val="00A40F0D"/>
    <w:rsid w:val="00A41056"/>
    <w:rsid w:val="00A4149C"/>
    <w:rsid w:val="00A41857"/>
    <w:rsid w:val="00A41D88"/>
    <w:rsid w:val="00A41F8C"/>
    <w:rsid w:val="00A42132"/>
    <w:rsid w:val="00A42691"/>
    <w:rsid w:val="00A42CD1"/>
    <w:rsid w:val="00A43091"/>
    <w:rsid w:val="00A4347A"/>
    <w:rsid w:val="00A43945"/>
    <w:rsid w:val="00A439D0"/>
    <w:rsid w:val="00A43C39"/>
    <w:rsid w:val="00A43CE7"/>
    <w:rsid w:val="00A441EA"/>
    <w:rsid w:val="00A4466A"/>
    <w:rsid w:val="00A44ACC"/>
    <w:rsid w:val="00A44B08"/>
    <w:rsid w:val="00A44B23"/>
    <w:rsid w:val="00A44DBE"/>
    <w:rsid w:val="00A453F3"/>
    <w:rsid w:val="00A4576F"/>
    <w:rsid w:val="00A45BDD"/>
    <w:rsid w:val="00A45CE8"/>
    <w:rsid w:val="00A46091"/>
    <w:rsid w:val="00A46391"/>
    <w:rsid w:val="00A469D8"/>
    <w:rsid w:val="00A470D1"/>
    <w:rsid w:val="00A470FB"/>
    <w:rsid w:val="00A47589"/>
    <w:rsid w:val="00A4768D"/>
    <w:rsid w:val="00A47764"/>
    <w:rsid w:val="00A4781D"/>
    <w:rsid w:val="00A47A32"/>
    <w:rsid w:val="00A50494"/>
    <w:rsid w:val="00A507F8"/>
    <w:rsid w:val="00A50DA3"/>
    <w:rsid w:val="00A50FA0"/>
    <w:rsid w:val="00A512D8"/>
    <w:rsid w:val="00A51441"/>
    <w:rsid w:val="00A51CB7"/>
    <w:rsid w:val="00A52DCC"/>
    <w:rsid w:val="00A52EC8"/>
    <w:rsid w:val="00A530CB"/>
    <w:rsid w:val="00A53144"/>
    <w:rsid w:val="00A532E7"/>
    <w:rsid w:val="00A53819"/>
    <w:rsid w:val="00A53E58"/>
    <w:rsid w:val="00A544FE"/>
    <w:rsid w:val="00A54549"/>
    <w:rsid w:val="00A545A7"/>
    <w:rsid w:val="00A545C1"/>
    <w:rsid w:val="00A54B42"/>
    <w:rsid w:val="00A55981"/>
    <w:rsid w:val="00A55BA8"/>
    <w:rsid w:val="00A55D6D"/>
    <w:rsid w:val="00A55FD3"/>
    <w:rsid w:val="00A56266"/>
    <w:rsid w:val="00A564E8"/>
    <w:rsid w:val="00A56EBD"/>
    <w:rsid w:val="00A5756B"/>
    <w:rsid w:val="00A5765C"/>
    <w:rsid w:val="00A57A37"/>
    <w:rsid w:val="00A57CF0"/>
    <w:rsid w:val="00A57D38"/>
    <w:rsid w:val="00A60495"/>
    <w:rsid w:val="00A60A1E"/>
    <w:rsid w:val="00A60C96"/>
    <w:rsid w:val="00A60D11"/>
    <w:rsid w:val="00A60F2C"/>
    <w:rsid w:val="00A613B1"/>
    <w:rsid w:val="00A61773"/>
    <w:rsid w:val="00A62188"/>
    <w:rsid w:val="00A62699"/>
    <w:rsid w:val="00A62731"/>
    <w:rsid w:val="00A62C5D"/>
    <w:rsid w:val="00A631DE"/>
    <w:rsid w:val="00A636FC"/>
    <w:rsid w:val="00A6386C"/>
    <w:rsid w:val="00A638B5"/>
    <w:rsid w:val="00A63DF9"/>
    <w:rsid w:val="00A6486F"/>
    <w:rsid w:val="00A64FFD"/>
    <w:rsid w:val="00A6520F"/>
    <w:rsid w:val="00A652B3"/>
    <w:rsid w:val="00A6545D"/>
    <w:rsid w:val="00A65566"/>
    <w:rsid w:val="00A66663"/>
    <w:rsid w:val="00A66C10"/>
    <w:rsid w:val="00A6706E"/>
    <w:rsid w:val="00A671B2"/>
    <w:rsid w:val="00A671F3"/>
    <w:rsid w:val="00A6733E"/>
    <w:rsid w:val="00A679D7"/>
    <w:rsid w:val="00A67D09"/>
    <w:rsid w:val="00A70077"/>
    <w:rsid w:val="00A70B34"/>
    <w:rsid w:val="00A70BF9"/>
    <w:rsid w:val="00A71583"/>
    <w:rsid w:val="00A71D4E"/>
    <w:rsid w:val="00A71E6A"/>
    <w:rsid w:val="00A71ED3"/>
    <w:rsid w:val="00A71FEF"/>
    <w:rsid w:val="00A724D9"/>
    <w:rsid w:val="00A7260D"/>
    <w:rsid w:val="00A72EE3"/>
    <w:rsid w:val="00A73042"/>
    <w:rsid w:val="00A73378"/>
    <w:rsid w:val="00A733D7"/>
    <w:rsid w:val="00A73492"/>
    <w:rsid w:val="00A73689"/>
    <w:rsid w:val="00A73B3F"/>
    <w:rsid w:val="00A73E93"/>
    <w:rsid w:val="00A73ECE"/>
    <w:rsid w:val="00A73F56"/>
    <w:rsid w:val="00A740B0"/>
    <w:rsid w:val="00A74B08"/>
    <w:rsid w:val="00A74C31"/>
    <w:rsid w:val="00A74F0A"/>
    <w:rsid w:val="00A74F2B"/>
    <w:rsid w:val="00A7544B"/>
    <w:rsid w:val="00A764FD"/>
    <w:rsid w:val="00A76542"/>
    <w:rsid w:val="00A76A57"/>
    <w:rsid w:val="00A76AF3"/>
    <w:rsid w:val="00A76CA6"/>
    <w:rsid w:val="00A76D6A"/>
    <w:rsid w:val="00A771E7"/>
    <w:rsid w:val="00A77391"/>
    <w:rsid w:val="00A77435"/>
    <w:rsid w:val="00A7744B"/>
    <w:rsid w:val="00A77522"/>
    <w:rsid w:val="00A775DE"/>
    <w:rsid w:val="00A77B76"/>
    <w:rsid w:val="00A77D13"/>
    <w:rsid w:val="00A77F41"/>
    <w:rsid w:val="00A8030D"/>
    <w:rsid w:val="00A80357"/>
    <w:rsid w:val="00A80650"/>
    <w:rsid w:val="00A80679"/>
    <w:rsid w:val="00A80739"/>
    <w:rsid w:val="00A80819"/>
    <w:rsid w:val="00A80B2F"/>
    <w:rsid w:val="00A810B2"/>
    <w:rsid w:val="00A8136E"/>
    <w:rsid w:val="00A81504"/>
    <w:rsid w:val="00A815A3"/>
    <w:rsid w:val="00A81848"/>
    <w:rsid w:val="00A8204E"/>
    <w:rsid w:val="00A823C1"/>
    <w:rsid w:val="00A8247C"/>
    <w:rsid w:val="00A8254C"/>
    <w:rsid w:val="00A826A7"/>
    <w:rsid w:val="00A827C4"/>
    <w:rsid w:val="00A829FA"/>
    <w:rsid w:val="00A82FF1"/>
    <w:rsid w:val="00A831AB"/>
    <w:rsid w:val="00A832E5"/>
    <w:rsid w:val="00A846F4"/>
    <w:rsid w:val="00A84D67"/>
    <w:rsid w:val="00A84DFE"/>
    <w:rsid w:val="00A85036"/>
    <w:rsid w:val="00A85343"/>
    <w:rsid w:val="00A853A3"/>
    <w:rsid w:val="00A85766"/>
    <w:rsid w:val="00A85817"/>
    <w:rsid w:val="00A861CD"/>
    <w:rsid w:val="00A86260"/>
    <w:rsid w:val="00A862BF"/>
    <w:rsid w:val="00A862F6"/>
    <w:rsid w:val="00A86304"/>
    <w:rsid w:val="00A863B6"/>
    <w:rsid w:val="00A863E0"/>
    <w:rsid w:val="00A86682"/>
    <w:rsid w:val="00A86D8F"/>
    <w:rsid w:val="00A86FBA"/>
    <w:rsid w:val="00A8704D"/>
    <w:rsid w:val="00A87910"/>
    <w:rsid w:val="00A87B77"/>
    <w:rsid w:val="00A906B9"/>
    <w:rsid w:val="00A90783"/>
    <w:rsid w:val="00A90A42"/>
    <w:rsid w:val="00A90D80"/>
    <w:rsid w:val="00A912F1"/>
    <w:rsid w:val="00A9146B"/>
    <w:rsid w:val="00A9196A"/>
    <w:rsid w:val="00A91BA0"/>
    <w:rsid w:val="00A91CDF"/>
    <w:rsid w:val="00A9316B"/>
    <w:rsid w:val="00A93A32"/>
    <w:rsid w:val="00A93B73"/>
    <w:rsid w:val="00A93C7D"/>
    <w:rsid w:val="00A93ED0"/>
    <w:rsid w:val="00A943ED"/>
    <w:rsid w:val="00A9478B"/>
    <w:rsid w:val="00A949DB"/>
    <w:rsid w:val="00A94B3F"/>
    <w:rsid w:val="00A95004"/>
    <w:rsid w:val="00A953A4"/>
    <w:rsid w:val="00A958D5"/>
    <w:rsid w:val="00A95AA0"/>
    <w:rsid w:val="00A95B32"/>
    <w:rsid w:val="00A95BC5"/>
    <w:rsid w:val="00A962A4"/>
    <w:rsid w:val="00A962E6"/>
    <w:rsid w:val="00A964E6"/>
    <w:rsid w:val="00A969BF"/>
    <w:rsid w:val="00A97482"/>
    <w:rsid w:val="00A974BB"/>
    <w:rsid w:val="00A97A57"/>
    <w:rsid w:val="00A97E3A"/>
    <w:rsid w:val="00AA0121"/>
    <w:rsid w:val="00AA0268"/>
    <w:rsid w:val="00AA0DE7"/>
    <w:rsid w:val="00AA0EB9"/>
    <w:rsid w:val="00AA1075"/>
    <w:rsid w:val="00AA154F"/>
    <w:rsid w:val="00AA1809"/>
    <w:rsid w:val="00AA194B"/>
    <w:rsid w:val="00AA1C6E"/>
    <w:rsid w:val="00AA225E"/>
    <w:rsid w:val="00AA2272"/>
    <w:rsid w:val="00AA2382"/>
    <w:rsid w:val="00AA26AE"/>
    <w:rsid w:val="00AA2C9B"/>
    <w:rsid w:val="00AA390E"/>
    <w:rsid w:val="00AA3AE0"/>
    <w:rsid w:val="00AA413A"/>
    <w:rsid w:val="00AA4242"/>
    <w:rsid w:val="00AA4344"/>
    <w:rsid w:val="00AA4702"/>
    <w:rsid w:val="00AA4887"/>
    <w:rsid w:val="00AA4899"/>
    <w:rsid w:val="00AA4D13"/>
    <w:rsid w:val="00AA4F2E"/>
    <w:rsid w:val="00AA4FC6"/>
    <w:rsid w:val="00AA5911"/>
    <w:rsid w:val="00AA59BF"/>
    <w:rsid w:val="00AA5C21"/>
    <w:rsid w:val="00AA5C4A"/>
    <w:rsid w:val="00AA5F38"/>
    <w:rsid w:val="00AA60C2"/>
    <w:rsid w:val="00AA6367"/>
    <w:rsid w:val="00AA63D2"/>
    <w:rsid w:val="00AA67B3"/>
    <w:rsid w:val="00AA67B7"/>
    <w:rsid w:val="00AA6893"/>
    <w:rsid w:val="00AA6C18"/>
    <w:rsid w:val="00AA72CF"/>
    <w:rsid w:val="00AA7A05"/>
    <w:rsid w:val="00AA7D67"/>
    <w:rsid w:val="00AB015C"/>
    <w:rsid w:val="00AB0569"/>
    <w:rsid w:val="00AB0D93"/>
    <w:rsid w:val="00AB0FF4"/>
    <w:rsid w:val="00AB103B"/>
    <w:rsid w:val="00AB132C"/>
    <w:rsid w:val="00AB152A"/>
    <w:rsid w:val="00AB18C2"/>
    <w:rsid w:val="00AB1FFB"/>
    <w:rsid w:val="00AB2716"/>
    <w:rsid w:val="00AB2A29"/>
    <w:rsid w:val="00AB2B14"/>
    <w:rsid w:val="00AB31A7"/>
    <w:rsid w:val="00AB33B6"/>
    <w:rsid w:val="00AB3422"/>
    <w:rsid w:val="00AB37BB"/>
    <w:rsid w:val="00AB395A"/>
    <w:rsid w:val="00AB3E57"/>
    <w:rsid w:val="00AB403C"/>
    <w:rsid w:val="00AB40DD"/>
    <w:rsid w:val="00AB4B3A"/>
    <w:rsid w:val="00AB4BE9"/>
    <w:rsid w:val="00AB4DB4"/>
    <w:rsid w:val="00AB4DF7"/>
    <w:rsid w:val="00AB4F84"/>
    <w:rsid w:val="00AB4FD6"/>
    <w:rsid w:val="00AB5357"/>
    <w:rsid w:val="00AB5FC2"/>
    <w:rsid w:val="00AB63A9"/>
    <w:rsid w:val="00AB641A"/>
    <w:rsid w:val="00AB68C4"/>
    <w:rsid w:val="00AB7378"/>
    <w:rsid w:val="00AB743B"/>
    <w:rsid w:val="00AB78CD"/>
    <w:rsid w:val="00AB792A"/>
    <w:rsid w:val="00AC01DB"/>
    <w:rsid w:val="00AC0202"/>
    <w:rsid w:val="00AC0218"/>
    <w:rsid w:val="00AC041F"/>
    <w:rsid w:val="00AC064B"/>
    <w:rsid w:val="00AC0DF3"/>
    <w:rsid w:val="00AC1105"/>
    <w:rsid w:val="00AC1AF7"/>
    <w:rsid w:val="00AC1F50"/>
    <w:rsid w:val="00AC2226"/>
    <w:rsid w:val="00AC27EA"/>
    <w:rsid w:val="00AC29F8"/>
    <w:rsid w:val="00AC2F8D"/>
    <w:rsid w:val="00AC34BD"/>
    <w:rsid w:val="00AC3976"/>
    <w:rsid w:val="00AC3E8A"/>
    <w:rsid w:val="00AC41B4"/>
    <w:rsid w:val="00AC460D"/>
    <w:rsid w:val="00AC469E"/>
    <w:rsid w:val="00AC4921"/>
    <w:rsid w:val="00AC4E36"/>
    <w:rsid w:val="00AC50BE"/>
    <w:rsid w:val="00AC50F7"/>
    <w:rsid w:val="00AC5299"/>
    <w:rsid w:val="00AC59C2"/>
    <w:rsid w:val="00AC5F49"/>
    <w:rsid w:val="00AC5FF4"/>
    <w:rsid w:val="00AC60E9"/>
    <w:rsid w:val="00AC698A"/>
    <w:rsid w:val="00AC7299"/>
    <w:rsid w:val="00AC75A7"/>
    <w:rsid w:val="00AC7EFD"/>
    <w:rsid w:val="00AC7FB9"/>
    <w:rsid w:val="00AD00E6"/>
    <w:rsid w:val="00AD02AF"/>
    <w:rsid w:val="00AD02D3"/>
    <w:rsid w:val="00AD03CF"/>
    <w:rsid w:val="00AD0470"/>
    <w:rsid w:val="00AD0493"/>
    <w:rsid w:val="00AD0530"/>
    <w:rsid w:val="00AD055C"/>
    <w:rsid w:val="00AD05DE"/>
    <w:rsid w:val="00AD06C3"/>
    <w:rsid w:val="00AD0911"/>
    <w:rsid w:val="00AD0B88"/>
    <w:rsid w:val="00AD0E01"/>
    <w:rsid w:val="00AD0EC0"/>
    <w:rsid w:val="00AD11D4"/>
    <w:rsid w:val="00AD11FA"/>
    <w:rsid w:val="00AD1204"/>
    <w:rsid w:val="00AD139A"/>
    <w:rsid w:val="00AD15EE"/>
    <w:rsid w:val="00AD173A"/>
    <w:rsid w:val="00AD1E90"/>
    <w:rsid w:val="00AD1F8F"/>
    <w:rsid w:val="00AD2AFB"/>
    <w:rsid w:val="00AD2C41"/>
    <w:rsid w:val="00AD2D97"/>
    <w:rsid w:val="00AD2FF3"/>
    <w:rsid w:val="00AD3371"/>
    <w:rsid w:val="00AD3A33"/>
    <w:rsid w:val="00AD44BD"/>
    <w:rsid w:val="00AD44EE"/>
    <w:rsid w:val="00AD4655"/>
    <w:rsid w:val="00AD4FFB"/>
    <w:rsid w:val="00AD51E5"/>
    <w:rsid w:val="00AD550E"/>
    <w:rsid w:val="00AD5630"/>
    <w:rsid w:val="00AD5714"/>
    <w:rsid w:val="00AD59B0"/>
    <w:rsid w:val="00AD5B3C"/>
    <w:rsid w:val="00AD5BE7"/>
    <w:rsid w:val="00AD5F2F"/>
    <w:rsid w:val="00AD658E"/>
    <w:rsid w:val="00AD65D7"/>
    <w:rsid w:val="00AD6E7C"/>
    <w:rsid w:val="00AD752B"/>
    <w:rsid w:val="00AD7569"/>
    <w:rsid w:val="00AD78AF"/>
    <w:rsid w:val="00AD7A3A"/>
    <w:rsid w:val="00AD7D86"/>
    <w:rsid w:val="00AD7DC2"/>
    <w:rsid w:val="00AE05EF"/>
    <w:rsid w:val="00AE0A60"/>
    <w:rsid w:val="00AE0CB0"/>
    <w:rsid w:val="00AE0FC2"/>
    <w:rsid w:val="00AE0FF1"/>
    <w:rsid w:val="00AE10BC"/>
    <w:rsid w:val="00AE1210"/>
    <w:rsid w:val="00AE1710"/>
    <w:rsid w:val="00AE1871"/>
    <w:rsid w:val="00AE1A9F"/>
    <w:rsid w:val="00AE1B44"/>
    <w:rsid w:val="00AE1D35"/>
    <w:rsid w:val="00AE1FB1"/>
    <w:rsid w:val="00AE20D0"/>
    <w:rsid w:val="00AE2386"/>
    <w:rsid w:val="00AE27DE"/>
    <w:rsid w:val="00AE297C"/>
    <w:rsid w:val="00AE2AEE"/>
    <w:rsid w:val="00AE2E35"/>
    <w:rsid w:val="00AE30C8"/>
    <w:rsid w:val="00AE33CB"/>
    <w:rsid w:val="00AE3A95"/>
    <w:rsid w:val="00AE3D09"/>
    <w:rsid w:val="00AE4F58"/>
    <w:rsid w:val="00AE58FA"/>
    <w:rsid w:val="00AE596B"/>
    <w:rsid w:val="00AE5C10"/>
    <w:rsid w:val="00AE5D9C"/>
    <w:rsid w:val="00AE5EBB"/>
    <w:rsid w:val="00AE6012"/>
    <w:rsid w:val="00AE61DD"/>
    <w:rsid w:val="00AE652B"/>
    <w:rsid w:val="00AE6641"/>
    <w:rsid w:val="00AE68E2"/>
    <w:rsid w:val="00AE6ADF"/>
    <w:rsid w:val="00AE703D"/>
    <w:rsid w:val="00AE7480"/>
    <w:rsid w:val="00AE7EF6"/>
    <w:rsid w:val="00AF005D"/>
    <w:rsid w:val="00AF01B4"/>
    <w:rsid w:val="00AF041E"/>
    <w:rsid w:val="00AF04ED"/>
    <w:rsid w:val="00AF0690"/>
    <w:rsid w:val="00AF0A1D"/>
    <w:rsid w:val="00AF0CC6"/>
    <w:rsid w:val="00AF17E1"/>
    <w:rsid w:val="00AF1BC5"/>
    <w:rsid w:val="00AF1C33"/>
    <w:rsid w:val="00AF1F2C"/>
    <w:rsid w:val="00AF21EC"/>
    <w:rsid w:val="00AF2397"/>
    <w:rsid w:val="00AF2C92"/>
    <w:rsid w:val="00AF2D3C"/>
    <w:rsid w:val="00AF3309"/>
    <w:rsid w:val="00AF364F"/>
    <w:rsid w:val="00AF3681"/>
    <w:rsid w:val="00AF36FD"/>
    <w:rsid w:val="00AF3761"/>
    <w:rsid w:val="00AF37E8"/>
    <w:rsid w:val="00AF39CE"/>
    <w:rsid w:val="00AF3E81"/>
    <w:rsid w:val="00AF43D5"/>
    <w:rsid w:val="00AF4654"/>
    <w:rsid w:val="00AF4661"/>
    <w:rsid w:val="00AF47E7"/>
    <w:rsid w:val="00AF4A5F"/>
    <w:rsid w:val="00AF4E7A"/>
    <w:rsid w:val="00AF4F56"/>
    <w:rsid w:val="00AF50DA"/>
    <w:rsid w:val="00AF52AE"/>
    <w:rsid w:val="00AF5522"/>
    <w:rsid w:val="00AF554E"/>
    <w:rsid w:val="00AF590A"/>
    <w:rsid w:val="00AF5A12"/>
    <w:rsid w:val="00AF5DB7"/>
    <w:rsid w:val="00AF5F65"/>
    <w:rsid w:val="00AF5FA5"/>
    <w:rsid w:val="00AF630B"/>
    <w:rsid w:val="00AF680A"/>
    <w:rsid w:val="00AF6CA2"/>
    <w:rsid w:val="00AF6D72"/>
    <w:rsid w:val="00AF6F55"/>
    <w:rsid w:val="00AF6F57"/>
    <w:rsid w:val="00AF71DA"/>
    <w:rsid w:val="00AF7A9D"/>
    <w:rsid w:val="00B00F85"/>
    <w:rsid w:val="00B00FBC"/>
    <w:rsid w:val="00B0122F"/>
    <w:rsid w:val="00B012F4"/>
    <w:rsid w:val="00B014A4"/>
    <w:rsid w:val="00B014D4"/>
    <w:rsid w:val="00B01532"/>
    <w:rsid w:val="00B016B8"/>
    <w:rsid w:val="00B01721"/>
    <w:rsid w:val="00B01F39"/>
    <w:rsid w:val="00B023EC"/>
    <w:rsid w:val="00B03157"/>
    <w:rsid w:val="00B03A5D"/>
    <w:rsid w:val="00B03F6E"/>
    <w:rsid w:val="00B0409E"/>
    <w:rsid w:val="00B0464D"/>
    <w:rsid w:val="00B04BAD"/>
    <w:rsid w:val="00B04F22"/>
    <w:rsid w:val="00B04FF0"/>
    <w:rsid w:val="00B054EA"/>
    <w:rsid w:val="00B05852"/>
    <w:rsid w:val="00B0615B"/>
    <w:rsid w:val="00B06504"/>
    <w:rsid w:val="00B0735F"/>
    <w:rsid w:val="00B0746F"/>
    <w:rsid w:val="00B07D7C"/>
    <w:rsid w:val="00B07E63"/>
    <w:rsid w:val="00B105BE"/>
    <w:rsid w:val="00B107AA"/>
    <w:rsid w:val="00B108C5"/>
    <w:rsid w:val="00B110E3"/>
    <w:rsid w:val="00B11596"/>
    <w:rsid w:val="00B11959"/>
    <w:rsid w:val="00B11D0C"/>
    <w:rsid w:val="00B120C1"/>
    <w:rsid w:val="00B12100"/>
    <w:rsid w:val="00B12889"/>
    <w:rsid w:val="00B12AAA"/>
    <w:rsid w:val="00B12C58"/>
    <w:rsid w:val="00B12F35"/>
    <w:rsid w:val="00B13141"/>
    <w:rsid w:val="00B131F5"/>
    <w:rsid w:val="00B1330C"/>
    <w:rsid w:val="00B13331"/>
    <w:rsid w:val="00B13B7E"/>
    <w:rsid w:val="00B13E87"/>
    <w:rsid w:val="00B1424B"/>
    <w:rsid w:val="00B142DE"/>
    <w:rsid w:val="00B14495"/>
    <w:rsid w:val="00B15202"/>
    <w:rsid w:val="00B15321"/>
    <w:rsid w:val="00B15684"/>
    <w:rsid w:val="00B1593E"/>
    <w:rsid w:val="00B15ABC"/>
    <w:rsid w:val="00B15E87"/>
    <w:rsid w:val="00B15F51"/>
    <w:rsid w:val="00B16A40"/>
    <w:rsid w:val="00B16F09"/>
    <w:rsid w:val="00B170D8"/>
    <w:rsid w:val="00B17195"/>
    <w:rsid w:val="00B1724B"/>
    <w:rsid w:val="00B1732E"/>
    <w:rsid w:val="00B17440"/>
    <w:rsid w:val="00B176F5"/>
    <w:rsid w:val="00B17A42"/>
    <w:rsid w:val="00B17D52"/>
    <w:rsid w:val="00B2040C"/>
    <w:rsid w:val="00B2063E"/>
    <w:rsid w:val="00B20F73"/>
    <w:rsid w:val="00B21324"/>
    <w:rsid w:val="00B215FB"/>
    <w:rsid w:val="00B21AA3"/>
    <w:rsid w:val="00B2248F"/>
    <w:rsid w:val="00B22599"/>
    <w:rsid w:val="00B22644"/>
    <w:rsid w:val="00B22C00"/>
    <w:rsid w:val="00B22D32"/>
    <w:rsid w:val="00B22E0A"/>
    <w:rsid w:val="00B22E59"/>
    <w:rsid w:val="00B23038"/>
    <w:rsid w:val="00B233E0"/>
    <w:rsid w:val="00B23B50"/>
    <w:rsid w:val="00B2467D"/>
    <w:rsid w:val="00B2483F"/>
    <w:rsid w:val="00B24E89"/>
    <w:rsid w:val="00B2592F"/>
    <w:rsid w:val="00B25A67"/>
    <w:rsid w:val="00B25E48"/>
    <w:rsid w:val="00B25E77"/>
    <w:rsid w:val="00B26C38"/>
    <w:rsid w:val="00B26FEF"/>
    <w:rsid w:val="00B274ED"/>
    <w:rsid w:val="00B2771D"/>
    <w:rsid w:val="00B279EA"/>
    <w:rsid w:val="00B307F6"/>
    <w:rsid w:val="00B30B7E"/>
    <w:rsid w:val="00B30C5F"/>
    <w:rsid w:val="00B30E80"/>
    <w:rsid w:val="00B3105D"/>
    <w:rsid w:val="00B31069"/>
    <w:rsid w:val="00B3149A"/>
    <w:rsid w:val="00B316D7"/>
    <w:rsid w:val="00B31901"/>
    <w:rsid w:val="00B31EBC"/>
    <w:rsid w:val="00B3228F"/>
    <w:rsid w:val="00B324D0"/>
    <w:rsid w:val="00B330FB"/>
    <w:rsid w:val="00B3344B"/>
    <w:rsid w:val="00B339AB"/>
    <w:rsid w:val="00B33D3B"/>
    <w:rsid w:val="00B33EFA"/>
    <w:rsid w:val="00B3443B"/>
    <w:rsid w:val="00B34CF7"/>
    <w:rsid w:val="00B35677"/>
    <w:rsid w:val="00B35C88"/>
    <w:rsid w:val="00B3642C"/>
    <w:rsid w:val="00B3655A"/>
    <w:rsid w:val="00B36703"/>
    <w:rsid w:val="00B3677B"/>
    <w:rsid w:val="00B368FE"/>
    <w:rsid w:val="00B36AE3"/>
    <w:rsid w:val="00B3745E"/>
    <w:rsid w:val="00B375CF"/>
    <w:rsid w:val="00B37741"/>
    <w:rsid w:val="00B37873"/>
    <w:rsid w:val="00B37AD5"/>
    <w:rsid w:val="00B40176"/>
    <w:rsid w:val="00B411AC"/>
    <w:rsid w:val="00B416C6"/>
    <w:rsid w:val="00B42586"/>
    <w:rsid w:val="00B42BC5"/>
    <w:rsid w:val="00B42D26"/>
    <w:rsid w:val="00B42F6B"/>
    <w:rsid w:val="00B431BD"/>
    <w:rsid w:val="00B4325E"/>
    <w:rsid w:val="00B43810"/>
    <w:rsid w:val="00B43B7D"/>
    <w:rsid w:val="00B43D36"/>
    <w:rsid w:val="00B43FEC"/>
    <w:rsid w:val="00B440DD"/>
    <w:rsid w:val="00B441F3"/>
    <w:rsid w:val="00B45547"/>
    <w:rsid w:val="00B4554E"/>
    <w:rsid w:val="00B458E0"/>
    <w:rsid w:val="00B45904"/>
    <w:rsid w:val="00B45A02"/>
    <w:rsid w:val="00B45C67"/>
    <w:rsid w:val="00B45CF8"/>
    <w:rsid w:val="00B45FD1"/>
    <w:rsid w:val="00B46006"/>
    <w:rsid w:val="00B4661A"/>
    <w:rsid w:val="00B46C25"/>
    <w:rsid w:val="00B46F16"/>
    <w:rsid w:val="00B46FC6"/>
    <w:rsid w:val="00B5007C"/>
    <w:rsid w:val="00B504DA"/>
    <w:rsid w:val="00B509D8"/>
    <w:rsid w:val="00B50FC4"/>
    <w:rsid w:val="00B51504"/>
    <w:rsid w:val="00B51510"/>
    <w:rsid w:val="00B51611"/>
    <w:rsid w:val="00B5173B"/>
    <w:rsid w:val="00B519AE"/>
    <w:rsid w:val="00B51CED"/>
    <w:rsid w:val="00B5227A"/>
    <w:rsid w:val="00B5228A"/>
    <w:rsid w:val="00B52440"/>
    <w:rsid w:val="00B524F2"/>
    <w:rsid w:val="00B526F1"/>
    <w:rsid w:val="00B5274C"/>
    <w:rsid w:val="00B52B61"/>
    <w:rsid w:val="00B5317B"/>
    <w:rsid w:val="00B531A1"/>
    <w:rsid w:val="00B53D00"/>
    <w:rsid w:val="00B53D9A"/>
    <w:rsid w:val="00B53E2E"/>
    <w:rsid w:val="00B54496"/>
    <w:rsid w:val="00B54A6B"/>
    <w:rsid w:val="00B55334"/>
    <w:rsid w:val="00B5588A"/>
    <w:rsid w:val="00B55B94"/>
    <w:rsid w:val="00B55C61"/>
    <w:rsid w:val="00B5602E"/>
    <w:rsid w:val="00B56213"/>
    <w:rsid w:val="00B564F7"/>
    <w:rsid w:val="00B5664F"/>
    <w:rsid w:val="00B5677E"/>
    <w:rsid w:val="00B5686F"/>
    <w:rsid w:val="00B56F6D"/>
    <w:rsid w:val="00B570EE"/>
    <w:rsid w:val="00B5726B"/>
    <w:rsid w:val="00B572E1"/>
    <w:rsid w:val="00B57391"/>
    <w:rsid w:val="00B57791"/>
    <w:rsid w:val="00B57E69"/>
    <w:rsid w:val="00B61097"/>
    <w:rsid w:val="00B610A2"/>
    <w:rsid w:val="00B61319"/>
    <w:rsid w:val="00B617B7"/>
    <w:rsid w:val="00B622BB"/>
    <w:rsid w:val="00B622C4"/>
    <w:rsid w:val="00B622D7"/>
    <w:rsid w:val="00B62687"/>
    <w:rsid w:val="00B627F2"/>
    <w:rsid w:val="00B62B13"/>
    <w:rsid w:val="00B62CAC"/>
    <w:rsid w:val="00B62FA3"/>
    <w:rsid w:val="00B632EE"/>
    <w:rsid w:val="00B63412"/>
    <w:rsid w:val="00B635CF"/>
    <w:rsid w:val="00B63751"/>
    <w:rsid w:val="00B637DE"/>
    <w:rsid w:val="00B63D0B"/>
    <w:rsid w:val="00B63F83"/>
    <w:rsid w:val="00B64056"/>
    <w:rsid w:val="00B645FF"/>
    <w:rsid w:val="00B64646"/>
    <w:rsid w:val="00B64D66"/>
    <w:rsid w:val="00B65D1F"/>
    <w:rsid w:val="00B6681A"/>
    <w:rsid w:val="00B66ADF"/>
    <w:rsid w:val="00B66D11"/>
    <w:rsid w:val="00B6710F"/>
    <w:rsid w:val="00B67146"/>
    <w:rsid w:val="00B6722E"/>
    <w:rsid w:val="00B67607"/>
    <w:rsid w:val="00B67809"/>
    <w:rsid w:val="00B70F0F"/>
    <w:rsid w:val="00B710B7"/>
    <w:rsid w:val="00B711B7"/>
    <w:rsid w:val="00B712E9"/>
    <w:rsid w:val="00B71840"/>
    <w:rsid w:val="00B71B2C"/>
    <w:rsid w:val="00B71C28"/>
    <w:rsid w:val="00B71CD0"/>
    <w:rsid w:val="00B7216E"/>
    <w:rsid w:val="00B721C1"/>
    <w:rsid w:val="00B722E2"/>
    <w:rsid w:val="00B7237B"/>
    <w:rsid w:val="00B7295A"/>
    <w:rsid w:val="00B729ED"/>
    <w:rsid w:val="00B72C53"/>
    <w:rsid w:val="00B72CB5"/>
    <w:rsid w:val="00B72E78"/>
    <w:rsid w:val="00B73149"/>
    <w:rsid w:val="00B73154"/>
    <w:rsid w:val="00B731FE"/>
    <w:rsid w:val="00B73801"/>
    <w:rsid w:val="00B738B5"/>
    <w:rsid w:val="00B73E3F"/>
    <w:rsid w:val="00B742B7"/>
    <w:rsid w:val="00B74330"/>
    <w:rsid w:val="00B74755"/>
    <w:rsid w:val="00B74A4E"/>
    <w:rsid w:val="00B74B99"/>
    <w:rsid w:val="00B75217"/>
    <w:rsid w:val="00B75B28"/>
    <w:rsid w:val="00B75D76"/>
    <w:rsid w:val="00B76069"/>
    <w:rsid w:val="00B76283"/>
    <w:rsid w:val="00B76A77"/>
    <w:rsid w:val="00B76E72"/>
    <w:rsid w:val="00B775A2"/>
    <w:rsid w:val="00B77E22"/>
    <w:rsid w:val="00B80053"/>
    <w:rsid w:val="00B80B4B"/>
    <w:rsid w:val="00B81017"/>
    <w:rsid w:val="00B81A70"/>
    <w:rsid w:val="00B81C07"/>
    <w:rsid w:val="00B81CB9"/>
    <w:rsid w:val="00B81F2D"/>
    <w:rsid w:val="00B820CA"/>
    <w:rsid w:val="00B826AE"/>
    <w:rsid w:val="00B82994"/>
    <w:rsid w:val="00B83046"/>
    <w:rsid w:val="00B83716"/>
    <w:rsid w:val="00B83C1E"/>
    <w:rsid w:val="00B84034"/>
    <w:rsid w:val="00B840D4"/>
    <w:rsid w:val="00B84428"/>
    <w:rsid w:val="00B84877"/>
    <w:rsid w:val="00B84A37"/>
    <w:rsid w:val="00B85392"/>
    <w:rsid w:val="00B8569B"/>
    <w:rsid w:val="00B856C7"/>
    <w:rsid w:val="00B85CED"/>
    <w:rsid w:val="00B85D54"/>
    <w:rsid w:val="00B86096"/>
    <w:rsid w:val="00B864B6"/>
    <w:rsid w:val="00B864CD"/>
    <w:rsid w:val="00B864F6"/>
    <w:rsid w:val="00B86585"/>
    <w:rsid w:val="00B865F0"/>
    <w:rsid w:val="00B8694B"/>
    <w:rsid w:val="00B86BAC"/>
    <w:rsid w:val="00B86C4D"/>
    <w:rsid w:val="00B86C6E"/>
    <w:rsid w:val="00B8704C"/>
    <w:rsid w:val="00B873A6"/>
    <w:rsid w:val="00B87494"/>
    <w:rsid w:val="00B878FA"/>
    <w:rsid w:val="00B879C3"/>
    <w:rsid w:val="00B87F32"/>
    <w:rsid w:val="00B87F6D"/>
    <w:rsid w:val="00B90146"/>
    <w:rsid w:val="00B9086F"/>
    <w:rsid w:val="00B908BC"/>
    <w:rsid w:val="00B909E2"/>
    <w:rsid w:val="00B90A53"/>
    <w:rsid w:val="00B90B28"/>
    <w:rsid w:val="00B90E8B"/>
    <w:rsid w:val="00B915C3"/>
    <w:rsid w:val="00B918E7"/>
    <w:rsid w:val="00B921E4"/>
    <w:rsid w:val="00B92206"/>
    <w:rsid w:val="00B9230F"/>
    <w:rsid w:val="00B92320"/>
    <w:rsid w:val="00B92444"/>
    <w:rsid w:val="00B92750"/>
    <w:rsid w:val="00B92BC8"/>
    <w:rsid w:val="00B92CDE"/>
    <w:rsid w:val="00B9341D"/>
    <w:rsid w:val="00B93521"/>
    <w:rsid w:val="00B937EC"/>
    <w:rsid w:val="00B93B25"/>
    <w:rsid w:val="00B93D6C"/>
    <w:rsid w:val="00B946D9"/>
    <w:rsid w:val="00B94752"/>
    <w:rsid w:val="00B947BB"/>
    <w:rsid w:val="00B9485D"/>
    <w:rsid w:val="00B94A00"/>
    <w:rsid w:val="00B94B52"/>
    <w:rsid w:val="00B94E1C"/>
    <w:rsid w:val="00B94F30"/>
    <w:rsid w:val="00B94FA7"/>
    <w:rsid w:val="00B9507A"/>
    <w:rsid w:val="00B950A8"/>
    <w:rsid w:val="00B9510F"/>
    <w:rsid w:val="00B95244"/>
    <w:rsid w:val="00B95A41"/>
    <w:rsid w:val="00B95BD2"/>
    <w:rsid w:val="00B96269"/>
    <w:rsid w:val="00B96407"/>
    <w:rsid w:val="00B96468"/>
    <w:rsid w:val="00B96A3E"/>
    <w:rsid w:val="00B96C1F"/>
    <w:rsid w:val="00B96FB0"/>
    <w:rsid w:val="00B970FC"/>
    <w:rsid w:val="00B977D0"/>
    <w:rsid w:val="00B97810"/>
    <w:rsid w:val="00B97BC3"/>
    <w:rsid w:val="00BA001D"/>
    <w:rsid w:val="00BA0360"/>
    <w:rsid w:val="00BA07DA"/>
    <w:rsid w:val="00BA1154"/>
    <w:rsid w:val="00BA12DD"/>
    <w:rsid w:val="00BA14D8"/>
    <w:rsid w:val="00BA155C"/>
    <w:rsid w:val="00BA16DC"/>
    <w:rsid w:val="00BA1C8A"/>
    <w:rsid w:val="00BA1CFA"/>
    <w:rsid w:val="00BA1EAB"/>
    <w:rsid w:val="00BA1EB8"/>
    <w:rsid w:val="00BA255A"/>
    <w:rsid w:val="00BA26D9"/>
    <w:rsid w:val="00BA2773"/>
    <w:rsid w:val="00BA2B1D"/>
    <w:rsid w:val="00BA3A94"/>
    <w:rsid w:val="00BA3AC2"/>
    <w:rsid w:val="00BA3CD9"/>
    <w:rsid w:val="00BA3DD3"/>
    <w:rsid w:val="00BA3FAE"/>
    <w:rsid w:val="00BA416B"/>
    <w:rsid w:val="00BA4A97"/>
    <w:rsid w:val="00BA4B2D"/>
    <w:rsid w:val="00BA4F09"/>
    <w:rsid w:val="00BA5077"/>
    <w:rsid w:val="00BA5453"/>
    <w:rsid w:val="00BA5607"/>
    <w:rsid w:val="00BA58BD"/>
    <w:rsid w:val="00BA5B05"/>
    <w:rsid w:val="00BA5C56"/>
    <w:rsid w:val="00BA5D57"/>
    <w:rsid w:val="00BA6738"/>
    <w:rsid w:val="00BA6EB3"/>
    <w:rsid w:val="00BA77E9"/>
    <w:rsid w:val="00BA79B5"/>
    <w:rsid w:val="00BA7A2B"/>
    <w:rsid w:val="00BB00D2"/>
    <w:rsid w:val="00BB01A4"/>
    <w:rsid w:val="00BB0388"/>
    <w:rsid w:val="00BB03A5"/>
    <w:rsid w:val="00BB03BF"/>
    <w:rsid w:val="00BB09C9"/>
    <w:rsid w:val="00BB0EE7"/>
    <w:rsid w:val="00BB1066"/>
    <w:rsid w:val="00BB119F"/>
    <w:rsid w:val="00BB1341"/>
    <w:rsid w:val="00BB141D"/>
    <w:rsid w:val="00BB1B0E"/>
    <w:rsid w:val="00BB1EB6"/>
    <w:rsid w:val="00BB1F22"/>
    <w:rsid w:val="00BB1FE1"/>
    <w:rsid w:val="00BB2479"/>
    <w:rsid w:val="00BB2A0F"/>
    <w:rsid w:val="00BB3526"/>
    <w:rsid w:val="00BB355C"/>
    <w:rsid w:val="00BB3B82"/>
    <w:rsid w:val="00BB3CDD"/>
    <w:rsid w:val="00BB41C9"/>
    <w:rsid w:val="00BB4350"/>
    <w:rsid w:val="00BB4553"/>
    <w:rsid w:val="00BB463E"/>
    <w:rsid w:val="00BB46A2"/>
    <w:rsid w:val="00BB4D62"/>
    <w:rsid w:val="00BB4F2C"/>
    <w:rsid w:val="00BB4FFC"/>
    <w:rsid w:val="00BB5054"/>
    <w:rsid w:val="00BB50DA"/>
    <w:rsid w:val="00BB521F"/>
    <w:rsid w:val="00BB58F3"/>
    <w:rsid w:val="00BB5CE6"/>
    <w:rsid w:val="00BB6064"/>
    <w:rsid w:val="00BB616D"/>
    <w:rsid w:val="00BB62AF"/>
    <w:rsid w:val="00BB6393"/>
    <w:rsid w:val="00BB6883"/>
    <w:rsid w:val="00BB73FD"/>
    <w:rsid w:val="00BB7629"/>
    <w:rsid w:val="00BB7AB9"/>
    <w:rsid w:val="00BC004C"/>
    <w:rsid w:val="00BC0432"/>
    <w:rsid w:val="00BC083A"/>
    <w:rsid w:val="00BC0AE8"/>
    <w:rsid w:val="00BC13BD"/>
    <w:rsid w:val="00BC1B87"/>
    <w:rsid w:val="00BC1CB9"/>
    <w:rsid w:val="00BC1DEC"/>
    <w:rsid w:val="00BC2233"/>
    <w:rsid w:val="00BC266B"/>
    <w:rsid w:val="00BC279E"/>
    <w:rsid w:val="00BC2A03"/>
    <w:rsid w:val="00BC2EB5"/>
    <w:rsid w:val="00BC30C7"/>
    <w:rsid w:val="00BC3CF6"/>
    <w:rsid w:val="00BC3D7B"/>
    <w:rsid w:val="00BC3FFE"/>
    <w:rsid w:val="00BC40CA"/>
    <w:rsid w:val="00BC4273"/>
    <w:rsid w:val="00BC45DB"/>
    <w:rsid w:val="00BC49B6"/>
    <w:rsid w:val="00BC4AB4"/>
    <w:rsid w:val="00BC4E65"/>
    <w:rsid w:val="00BC4EAB"/>
    <w:rsid w:val="00BC5110"/>
    <w:rsid w:val="00BC54CF"/>
    <w:rsid w:val="00BC55CC"/>
    <w:rsid w:val="00BC5661"/>
    <w:rsid w:val="00BC586C"/>
    <w:rsid w:val="00BC5CD5"/>
    <w:rsid w:val="00BC629F"/>
    <w:rsid w:val="00BC650D"/>
    <w:rsid w:val="00BC6709"/>
    <w:rsid w:val="00BC6776"/>
    <w:rsid w:val="00BC67D7"/>
    <w:rsid w:val="00BC7050"/>
    <w:rsid w:val="00BC707F"/>
    <w:rsid w:val="00BC71B2"/>
    <w:rsid w:val="00BC71D2"/>
    <w:rsid w:val="00BC720F"/>
    <w:rsid w:val="00BC726F"/>
    <w:rsid w:val="00BC7B34"/>
    <w:rsid w:val="00BC7C97"/>
    <w:rsid w:val="00BD006A"/>
    <w:rsid w:val="00BD012A"/>
    <w:rsid w:val="00BD1B09"/>
    <w:rsid w:val="00BD1BB7"/>
    <w:rsid w:val="00BD1F0C"/>
    <w:rsid w:val="00BD1F8B"/>
    <w:rsid w:val="00BD202B"/>
    <w:rsid w:val="00BD20E7"/>
    <w:rsid w:val="00BD2274"/>
    <w:rsid w:val="00BD26ED"/>
    <w:rsid w:val="00BD2A49"/>
    <w:rsid w:val="00BD2ED8"/>
    <w:rsid w:val="00BD3179"/>
    <w:rsid w:val="00BD3338"/>
    <w:rsid w:val="00BD3954"/>
    <w:rsid w:val="00BD3A50"/>
    <w:rsid w:val="00BD3DF5"/>
    <w:rsid w:val="00BD4615"/>
    <w:rsid w:val="00BD46F3"/>
    <w:rsid w:val="00BD48B3"/>
    <w:rsid w:val="00BD4BCC"/>
    <w:rsid w:val="00BD55FF"/>
    <w:rsid w:val="00BD604B"/>
    <w:rsid w:val="00BD60A0"/>
    <w:rsid w:val="00BD6183"/>
    <w:rsid w:val="00BD6591"/>
    <w:rsid w:val="00BD659D"/>
    <w:rsid w:val="00BD6D2D"/>
    <w:rsid w:val="00BD6EC9"/>
    <w:rsid w:val="00BD7999"/>
    <w:rsid w:val="00BD7AB6"/>
    <w:rsid w:val="00BD7D14"/>
    <w:rsid w:val="00BD7DE3"/>
    <w:rsid w:val="00BE010F"/>
    <w:rsid w:val="00BE0906"/>
    <w:rsid w:val="00BE0B40"/>
    <w:rsid w:val="00BE180F"/>
    <w:rsid w:val="00BE1B91"/>
    <w:rsid w:val="00BE1EBC"/>
    <w:rsid w:val="00BE223F"/>
    <w:rsid w:val="00BE23EF"/>
    <w:rsid w:val="00BE2565"/>
    <w:rsid w:val="00BE25F2"/>
    <w:rsid w:val="00BE2CC2"/>
    <w:rsid w:val="00BE2EEF"/>
    <w:rsid w:val="00BE2F05"/>
    <w:rsid w:val="00BE3041"/>
    <w:rsid w:val="00BE3B9C"/>
    <w:rsid w:val="00BE3E56"/>
    <w:rsid w:val="00BE3F5E"/>
    <w:rsid w:val="00BE45EE"/>
    <w:rsid w:val="00BE4764"/>
    <w:rsid w:val="00BE4EB9"/>
    <w:rsid w:val="00BE4EE4"/>
    <w:rsid w:val="00BE502D"/>
    <w:rsid w:val="00BE53FF"/>
    <w:rsid w:val="00BE5571"/>
    <w:rsid w:val="00BE57DB"/>
    <w:rsid w:val="00BE67B2"/>
    <w:rsid w:val="00BE67D3"/>
    <w:rsid w:val="00BE6892"/>
    <w:rsid w:val="00BE6C76"/>
    <w:rsid w:val="00BE6E8C"/>
    <w:rsid w:val="00BE7596"/>
    <w:rsid w:val="00BE7681"/>
    <w:rsid w:val="00BE78B9"/>
    <w:rsid w:val="00BE7E9E"/>
    <w:rsid w:val="00BE7EC8"/>
    <w:rsid w:val="00BF02F3"/>
    <w:rsid w:val="00BF0518"/>
    <w:rsid w:val="00BF0E98"/>
    <w:rsid w:val="00BF1466"/>
    <w:rsid w:val="00BF178F"/>
    <w:rsid w:val="00BF1A35"/>
    <w:rsid w:val="00BF1CCE"/>
    <w:rsid w:val="00BF1E82"/>
    <w:rsid w:val="00BF2E71"/>
    <w:rsid w:val="00BF3109"/>
    <w:rsid w:val="00BF3335"/>
    <w:rsid w:val="00BF3340"/>
    <w:rsid w:val="00BF33FD"/>
    <w:rsid w:val="00BF386B"/>
    <w:rsid w:val="00BF3A6B"/>
    <w:rsid w:val="00BF3B2C"/>
    <w:rsid w:val="00BF3E55"/>
    <w:rsid w:val="00BF42B9"/>
    <w:rsid w:val="00BF4654"/>
    <w:rsid w:val="00BF47D6"/>
    <w:rsid w:val="00BF4816"/>
    <w:rsid w:val="00BF49C5"/>
    <w:rsid w:val="00BF4E96"/>
    <w:rsid w:val="00BF4FF6"/>
    <w:rsid w:val="00BF5528"/>
    <w:rsid w:val="00BF5569"/>
    <w:rsid w:val="00BF5F9D"/>
    <w:rsid w:val="00BF6052"/>
    <w:rsid w:val="00BF6098"/>
    <w:rsid w:val="00BF643B"/>
    <w:rsid w:val="00BF6873"/>
    <w:rsid w:val="00BF69A5"/>
    <w:rsid w:val="00BF6CBD"/>
    <w:rsid w:val="00BF6E5C"/>
    <w:rsid w:val="00BF6FF1"/>
    <w:rsid w:val="00BF701C"/>
    <w:rsid w:val="00BF72AB"/>
    <w:rsid w:val="00BF72B5"/>
    <w:rsid w:val="00BF7497"/>
    <w:rsid w:val="00BF770E"/>
    <w:rsid w:val="00BF7BC9"/>
    <w:rsid w:val="00BF7F78"/>
    <w:rsid w:val="00C00552"/>
    <w:rsid w:val="00C00891"/>
    <w:rsid w:val="00C00950"/>
    <w:rsid w:val="00C00BA7"/>
    <w:rsid w:val="00C00D48"/>
    <w:rsid w:val="00C0100F"/>
    <w:rsid w:val="00C01760"/>
    <w:rsid w:val="00C01D96"/>
    <w:rsid w:val="00C01F38"/>
    <w:rsid w:val="00C02147"/>
    <w:rsid w:val="00C0216B"/>
    <w:rsid w:val="00C021AE"/>
    <w:rsid w:val="00C0255B"/>
    <w:rsid w:val="00C028E8"/>
    <w:rsid w:val="00C02E9B"/>
    <w:rsid w:val="00C0326B"/>
    <w:rsid w:val="00C0351A"/>
    <w:rsid w:val="00C03B71"/>
    <w:rsid w:val="00C03C44"/>
    <w:rsid w:val="00C03D6A"/>
    <w:rsid w:val="00C04231"/>
    <w:rsid w:val="00C043C9"/>
    <w:rsid w:val="00C046A0"/>
    <w:rsid w:val="00C04927"/>
    <w:rsid w:val="00C04A07"/>
    <w:rsid w:val="00C052FF"/>
    <w:rsid w:val="00C0535A"/>
    <w:rsid w:val="00C055F4"/>
    <w:rsid w:val="00C05818"/>
    <w:rsid w:val="00C0632C"/>
    <w:rsid w:val="00C06951"/>
    <w:rsid w:val="00C07342"/>
    <w:rsid w:val="00C07553"/>
    <w:rsid w:val="00C07DCB"/>
    <w:rsid w:val="00C10831"/>
    <w:rsid w:val="00C10F01"/>
    <w:rsid w:val="00C11047"/>
    <w:rsid w:val="00C111A1"/>
    <w:rsid w:val="00C11A09"/>
    <w:rsid w:val="00C12105"/>
    <w:rsid w:val="00C125F5"/>
    <w:rsid w:val="00C126B6"/>
    <w:rsid w:val="00C126CB"/>
    <w:rsid w:val="00C12942"/>
    <w:rsid w:val="00C129DE"/>
    <w:rsid w:val="00C12ACC"/>
    <w:rsid w:val="00C12DCE"/>
    <w:rsid w:val="00C13031"/>
    <w:rsid w:val="00C13734"/>
    <w:rsid w:val="00C13D56"/>
    <w:rsid w:val="00C140E0"/>
    <w:rsid w:val="00C1434A"/>
    <w:rsid w:val="00C147AC"/>
    <w:rsid w:val="00C15159"/>
    <w:rsid w:val="00C15303"/>
    <w:rsid w:val="00C1537A"/>
    <w:rsid w:val="00C1548A"/>
    <w:rsid w:val="00C15677"/>
    <w:rsid w:val="00C15FB8"/>
    <w:rsid w:val="00C15FBE"/>
    <w:rsid w:val="00C16672"/>
    <w:rsid w:val="00C168B2"/>
    <w:rsid w:val="00C16B84"/>
    <w:rsid w:val="00C16CF1"/>
    <w:rsid w:val="00C17233"/>
    <w:rsid w:val="00C17453"/>
    <w:rsid w:val="00C175F2"/>
    <w:rsid w:val="00C17942"/>
    <w:rsid w:val="00C1795B"/>
    <w:rsid w:val="00C179C4"/>
    <w:rsid w:val="00C179E6"/>
    <w:rsid w:val="00C17C40"/>
    <w:rsid w:val="00C17CE1"/>
    <w:rsid w:val="00C17D75"/>
    <w:rsid w:val="00C20097"/>
    <w:rsid w:val="00C20158"/>
    <w:rsid w:val="00C20369"/>
    <w:rsid w:val="00C206C5"/>
    <w:rsid w:val="00C2097C"/>
    <w:rsid w:val="00C20CBA"/>
    <w:rsid w:val="00C20CEC"/>
    <w:rsid w:val="00C20DAE"/>
    <w:rsid w:val="00C20E20"/>
    <w:rsid w:val="00C210C2"/>
    <w:rsid w:val="00C21146"/>
    <w:rsid w:val="00C212DD"/>
    <w:rsid w:val="00C215AA"/>
    <w:rsid w:val="00C21775"/>
    <w:rsid w:val="00C21784"/>
    <w:rsid w:val="00C21D19"/>
    <w:rsid w:val="00C21E30"/>
    <w:rsid w:val="00C22278"/>
    <w:rsid w:val="00C22325"/>
    <w:rsid w:val="00C2245D"/>
    <w:rsid w:val="00C22701"/>
    <w:rsid w:val="00C228D9"/>
    <w:rsid w:val="00C22EEC"/>
    <w:rsid w:val="00C23006"/>
    <w:rsid w:val="00C23090"/>
    <w:rsid w:val="00C2333D"/>
    <w:rsid w:val="00C23713"/>
    <w:rsid w:val="00C237EE"/>
    <w:rsid w:val="00C23B06"/>
    <w:rsid w:val="00C23E99"/>
    <w:rsid w:val="00C2404A"/>
    <w:rsid w:val="00C24160"/>
    <w:rsid w:val="00C241A3"/>
    <w:rsid w:val="00C244D8"/>
    <w:rsid w:val="00C246D6"/>
    <w:rsid w:val="00C25316"/>
    <w:rsid w:val="00C2589A"/>
    <w:rsid w:val="00C25F3D"/>
    <w:rsid w:val="00C25F7F"/>
    <w:rsid w:val="00C26493"/>
    <w:rsid w:val="00C269F2"/>
    <w:rsid w:val="00C26BB6"/>
    <w:rsid w:val="00C26C3F"/>
    <w:rsid w:val="00C26E59"/>
    <w:rsid w:val="00C27466"/>
    <w:rsid w:val="00C27697"/>
    <w:rsid w:val="00C27C9F"/>
    <w:rsid w:val="00C308DF"/>
    <w:rsid w:val="00C30A93"/>
    <w:rsid w:val="00C30ABC"/>
    <w:rsid w:val="00C30B7F"/>
    <w:rsid w:val="00C30BEB"/>
    <w:rsid w:val="00C31EE5"/>
    <w:rsid w:val="00C320F2"/>
    <w:rsid w:val="00C322C9"/>
    <w:rsid w:val="00C322E5"/>
    <w:rsid w:val="00C3248F"/>
    <w:rsid w:val="00C32E68"/>
    <w:rsid w:val="00C3312E"/>
    <w:rsid w:val="00C3326E"/>
    <w:rsid w:val="00C3348B"/>
    <w:rsid w:val="00C33749"/>
    <w:rsid w:val="00C33797"/>
    <w:rsid w:val="00C33B9A"/>
    <w:rsid w:val="00C345B5"/>
    <w:rsid w:val="00C3474B"/>
    <w:rsid w:val="00C34A6C"/>
    <w:rsid w:val="00C34AAE"/>
    <w:rsid w:val="00C34B7B"/>
    <w:rsid w:val="00C353D3"/>
    <w:rsid w:val="00C358B7"/>
    <w:rsid w:val="00C35AC4"/>
    <w:rsid w:val="00C35B58"/>
    <w:rsid w:val="00C35E80"/>
    <w:rsid w:val="00C35FA6"/>
    <w:rsid w:val="00C3635F"/>
    <w:rsid w:val="00C364C5"/>
    <w:rsid w:val="00C366E0"/>
    <w:rsid w:val="00C36739"/>
    <w:rsid w:val="00C368B9"/>
    <w:rsid w:val="00C36F1C"/>
    <w:rsid w:val="00C37A99"/>
    <w:rsid w:val="00C37F12"/>
    <w:rsid w:val="00C37F2D"/>
    <w:rsid w:val="00C400D0"/>
    <w:rsid w:val="00C40489"/>
    <w:rsid w:val="00C409F6"/>
    <w:rsid w:val="00C40D00"/>
    <w:rsid w:val="00C41190"/>
    <w:rsid w:val="00C414A0"/>
    <w:rsid w:val="00C41B5C"/>
    <w:rsid w:val="00C41C47"/>
    <w:rsid w:val="00C42284"/>
    <w:rsid w:val="00C427B5"/>
    <w:rsid w:val="00C42A1F"/>
    <w:rsid w:val="00C42B0F"/>
    <w:rsid w:val="00C42B2F"/>
    <w:rsid w:val="00C43293"/>
    <w:rsid w:val="00C43A0A"/>
    <w:rsid w:val="00C43B99"/>
    <w:rsid w:val="00C43BFE"/>
    <w:rsid w:val="00C43DE6"/>
    <w:rsid w:val="00C44018"/>
    <w:rsid w:val="00C442B6"/>
    <w:rsid w:val="00C449DE"/>
    <w:rsid w:val="00C44ABB"/>
    <w:rsid w:val="00C45077"/>
    <w:rsid w:val="00C4509C"/>
    <w:rsid w:val="00C45421"/>
    <w:rsid w:val="00C454D4"/>
    <w:rsid w:val="00C45545"/>
    <w:rsid w:val="00C45B73"/>
    <w:rsid w:val="00C45C2F"/>
    <w:rsid w:val="00C45F38"/>
    <w:rsid w:val="00C4608B"/>
    <w:rsid w:val="00C4624E"/>
    <w:rsid w:val="00C468D5"/>
    <w:rsid w:val="00C46AF2"/>
    <w:rsid w:val="00C46C1A"/>
    <w:rsid w:val="00C46EB8"/>
    <w:rsid w:val="00C47193"/>
    <w:rsid w:val="00C471B9"/>
    <w:rsid w:val="00C47993"/>
    <w:rsid w:val="00C47C63"/>
    <w:rsid w:val="00C47E40"/>
    <w:rsid w:val="00C501B6"/>
    <w:rsid w:val="00C50262"/>
    <w:rsid w:val="00C50694"/>
    <w:rsid w:val="00C508C5"/>
    <w:rsid w:val="00C50AB2"/>
    <w:rsid w:val="00C50C30"/>
    <w:rsid w:val="00C510E8"/>
    <w:rsid w:val="00C513A8"/>
    <w:rsid w:val="00C5172F"/>
    <w:rsid w:val="00C51B4B"/>
    <w:rsid w:val="00C51DB6"/>
    <w:rsid w:val="00C51FDE"/>
    <w:rsid w:val="00C52079"/>
    <w:rsid w:val="00C527E5"/>
    <w:rsid w:val="00C53460"/>
    <w:rsid w:val="00C53477"/>
    <w:rsid w:val="00C5391F"/>
    <w:rsid w:val="00C5393E"/>
    <w:rsid w:val="00C53977"/>
    <w:rsid w:val="00C53DCD"/>
    <w:rsid w:val="00C54070"/>
    <w:rsid w:val="00C545D9"/>
    <w:rsid w:val="00C54786"/>
    <w:rsid w:val="00C54BEA"/>
    <w:rsid w:val="00C54D15"/>
    <w:rsid w:val="00C55629"/>
    <w:rsid w:val="00C55BEB"/>
    <w:rsid w:val="00C564CB"/>
    <w:rsid w:val="00C5698E"/>
    <w:rsid w:val="00C56C9D"/>
    <w:rsid w:val="00C56CE0"/>
    <w:rsid w:val="00C5710C"/>
    <w:rsid w:val="00C572DE"/>
    <w:rsid w:val="00C57377"/>
    <w:rsid w:val="00C574BF"/>
    <w:rsid w:val="00C5758D"/>
    <w:rsid w:val="00C575D8"/>
    <w:rsid w:val="00C5763C"/>
    <w:rsid w:val="00C602B9"/>
    <w:rsid w:val="00C604D4"/>
    <w:rsid w:val="00C604DC"/>
    <w:rsid w:val="00C609ED"/>
    <w:rsid w:val="00C60B8C"/>
    <w:rsid w:val="00C60BCA"/>
    <w:rsid w:val="00C60CD5"/>
    <w:rsid w:val="00C610A7"/>
    <w:rsid w:val="00C6163F"/>
    <w:rsid w:val="00C61B3A"/>
    <w:rsid w:val="00C61F65"/>
    <w:rsid w:val="00C61FA1"/>
    <w:rsid w:val="00C6231D"/>
    <w:rsid w:val="00C62D57"/>
    <w:rsid w:val="00C63094"/>
    <w:rsid w:val="00C632EB"/>
    <w:rsid w:val="00C635F3"/>
    <w:rsid w:val="00C637EF"/>
    <w:rsid w:val="00C638DD"/>
    <w:rsid w:val="00C63F92"/>
    <w:rsid w:val="00C646DB"/>
    <w:rsid w:val="00C64C78"/>
    <w:rsid w:val="00C64FA6"/>
    <w:rsid w:val="00C64FBF"/>
    <w:rsid w:val="00C6531B"/>
    <w:rsid w:val="00C65505"/>
    <w:rsid w:val="00C656B5"/>
    <w:rsid w:val="00C65930"/>
    <w:rsid w:val="00C65A63"/>
    <w:rsid w:val="00C65A82"/>
    <w:rsid w:val="00C65A98"/>
    <w:rsid w:val="00C65FBD"/>
    <w:rsid w:val="00C66545"/>
    <w:rsid w:val="00C67146"/>
    <w:rsid w:val="00C67501"/>
    <w:rsid w:val="00C67758"/>
    <w:rsid w:val="00C67AAB"/>
    <w:rsid w:val="00C70082"/>
    <w:rsid w:val="00C70250"/>
    <w:rsid w:val="00C704A4"/>
    <w:rsid w:val="00C707EA"/>
    <w:rsid w:val="00C707FA"/>
    <w:rsid w:val="00C70A5C"/>
    <w:rsid w:val="00C70BC8"/>
    <w:rsid w:val="00C70BFA"/>
    <w:rsid w:val="00C70C0D"/>
    <w:rsid w:val="00C70D5A"/>
    <w:rsid w:val="00C7192B"/>
    <w:rsid w:val="00C71CC7"/>
    <w:rsid w:val="00C72141"/>
    <w:rsid w:val="00C7241B"/>
    <w:rsid w:val="00C72554"/>
    <w:rsid w:val="00C72B92"/>
    <w:rsid w:val="00C7305F"/>
    <w:rsid w:val="00C7325E"/>
    <w:rsid w:val="00C7344D"/>
    <w:rsid w:val="00C735B9"/>
    <w:rsid w:val="00C73C46"/>
    <w:rsid w:val="00C7452A"/>
    <w:rsid w:val="00C749C9"/>
    <w:rsid w:val="00C74AE5"/>
    <w:rsid w:val="00C74C29"/>
    <w:rsid w:val="00C75518"/>
    <w:rsid w:val="00C75896"/>
    <w:rsid w:val="00C76636"/>
    <w:rsid w:val="00C768B8"/>
    <w:rsid w:val="00C76EAE"/>
    <w:rsid w:val="00C7714F"/>
    <w:rsid w:val="00C77152"/>
    <w:rsid w:val="00C77366"/>
    <w:rsid w:val="00C774E0"/>
    <w:rsid w:val="00C77627"/>
    <w:rsid w:val="00C77A33"/>
    <w:rsid w:val="00C77B1D"/>
    <w:rsid w:val="00C77D42"/>
    <w:rsid w:val="00C77FA9"/>
    <w:rsid w:val="00C8041C"/>
    <w:rsid w:val="00C80588"/>
    <w:rsid w:val="00C8067D"/>
    <w:rsid w:val="00C8078B"/>
    <w:rsid w:val="00C8106E"/>
    <w:rsid w:val="00C81A4D"/>
    <w:rsid w:val="00C81D76"/>
    <w:rsid w:val="00C8234F"/>
    <w:rsid w:val="00C823F2"/>
    <w:rsid w:val="00C826BE"/>
    <w:rsid w:val="00C8280A"/>
    <w:rsid w:val="00C82D1F"/>
    <w:rsid w:val="00C833D1"/>
    <w:rsid w:val="00C834F0"/>
    <w:rsid w:val="00C8396A"/>
    <w:rsid w:val="00C83AF2"/>
    <w:rsid w:val="00C83B15"/>
    <w:rsid w:val="00C840C0"/>
    <w:rsid w:val="00C84400"/>
    <w:rsid w:val="00C84C56"/>
    <w:rsid w:val="00C8553F"/>
    <w:rsid w:val="00C85774"/>
    <w:rsid w:val="00C85A2E"/>
    <w:rsid w:val="00C861A6"/>
    <w:rsid w:val="00C861E6"/>
    <w:rsid w:val="00C862BB"/>
    <w:rsid w:val="00C8656D"/>
    <w:rsid w:val="00C8670F"/>
    <w:rsid w:val="00C86CC9"/>
    <w:rsid w:val="00C86FD9"/>
    <w:rsid w:val="00C8717D"/>
    <w:rsid w:val="00C872E1"/>
    <w:rsid w:val="00C87381"/>
    <w:rsid w:val="00C876B2"/>
    <w:rsid w:val="00C87A3F"/>
    <w:rsid w:val="00C87B97"/>
    <w:rsid w:val="00C90135"/>
    <w:rsid w:val="00C90189"/>
    <w:rsid w:val="00C90337"/>
    <w:rsid w:val="00C904D6"/>
    <w:rsid w:val="00C905B8"/>
    <w:rsid w:val="00C905C7"/>
    <w:rsid w:val="00C91A09"/>
    <w:rsid w:val="00C91A7B"/>
    <w:rsid w:val="00C920D2"/>
    <w:rsid w:val="00C92804"/>
    <w:rsid w:val="00C92CCE"/>
    <w:rsid w:val="00C9320F"/>
    <w:rsid w:val="00C93A92"/>
    <w:rsid w:val="00C93ADA"/>
    <w:rsid w:val="00C93EFA"/>
    <w:rsid w:val="00C93F3D"/>
    <w:rsid w:val="00C9412E"/>
    <w:rsid w:val="00C94657"/>
    <w:rsid w:val="00C94955"/>
    <w:rsid w:val="00C94AE9"/>
    <w:rsid w:val="00C94CA7"/>
    <w:rsid w:val="00C94FF9"/>
    <w:rsid w:val="00C950E1"/>
    <w:rsid w:val="00C9516E"/>
    <w:rsid w:val="00C95668"/>
    <w:rsid w:val="00C95800"/>
    <w:rsid w:val="00C959DF"/>
    <w:rsid w:val="00C95AE1"/>
    <w:rsid w:val="00C95B42"/>
    <w:rsid w:val="00C95EBC"/>
    <w:rsid w:val="00C9659D"/>
    <w:rsid w:val="00C965B2"/>
    <w:rsid w:val="00C96C86"/>
    <w:rsid w:val="00C96DF2"/>
    <w:rsid w:val="00C97183"/>
    <w:rsid w:val="00C97427"/>
    <w:rsid w:val="00C979C5"/>
    <w:rsid w:val="00C97F8D"/>
    <w:rsid w:val="00CA00D8"/>
    <w:rsid w:val="00CA0157"/>
    <w:rsid w:val="00CA05B3"/>
    <w:rsid w:val="00CA0DB9"/>
    <w:rsid w:val="00CA10B1"/>
    <w:rsid w:val="00CA148B"/>
    <w:rsid w:val="00CA1DD8"/>
    <w:rsid w:val="00CA202C"/>
    <w:rsid w:val="00CA2264"/>
    <w:rsid w:val="00CA2374"/>
    <w:rsid w:val="00CA2A90"/>
    <w:rsid w:val="00CA2AFC"/>
    <w:rsid w:val="00CA2C80"/>
    <w:rsid w:val="00CA2E2B"/>
    <w:rsid w:val="00CA2F8A"/>
    <w:rsid w:val="00CA3405"/>
    <w:rsid w:val="00CA383E"/>
    <w:rsid w:val="00CA3BE7"/>
    <w:rsid w:val="00CA3F97"/>
    <w:rsid w:val="00CA3FF1"/>
    <w:rsid w:val="00CA467D"/>
    <w:rsid w:val="00CA47C7"/>
    <w:rsid w:val="00CA4CD9"/>
    <w:rsid w:val="00CA4D54"/>
    <w:rsid w:val="00CA4D76"/>
    <w:rsid w:val="00CA4F92"/>
    <w:rsid w:val="00CA4FD1"/>
    <w:rsid w:val="00CA550F"/>
    <w:rsid w:val="00CA5666"/>
    <w:rsid w:val="00CA5BB7"/>
    <w:rsid w:val="00CA7297"/>
    <w:rsid w:val="00CA796E"/>
    <w:rsid w:val="00CA7A89"/>
    <w:rsid w:val="00CA7CD5"/>
    <w:rsid w:val="00CA7E99"/>
    <w:rsid w:val="00CB017E"/>
    <w:rsid w:val="00CB0AAA"/>
    <w:rsid w:val="00CB0EAA"/>
    <w:rsid w:val="00CB12EE"/>
    <w:rsid w:val="00CB187C"/>
    <w:rsid w:val="00CB1935"/>
    <w:rsid w:val="00CB1DC2"/>
    <w:rsid w:val="00CB1EDC"/>
    <w:rsid w:val="00CB217A"/>
    <w:rsid w:val="00CB2680"/>
    <w:rsid w:val="00CB3139"/>
    <w:rsid w:val="00CB3248"/>
    <w:rsid w:val="00CB3284"/>
    <w:rsid w:val="00CB35A0"/>
    <w:rsid w:val="00CB3659"/>
    <w:rsid w:val="00CB3756"/>
    <w:rsid w:val="00CB3C23"/>
    <w:rsid w:val="00CB3E76"/>
    <w:rsid w:val="00CB3EAB"/>
    <w:rsid w:val="00CB4273"/>
    <w:rsid w:val="00CB477D"/>
    <w:rsid w:val="00CB4A37"/>
    <w:rsid w:val="00CB4DFE"/>
    <w:rsid w:val="00CB50D4"/>
    <w:rsid w:val="00CB567B"/>
    <w:rsid w:val="00CB5EBF"/>
    <w:rsid w:val="00CB5FB2"/>
    <w:rsid w:val="00CB606B"/>
    <w:rsid w:val="00CB60BC"/>
    <w:rsid w:val="00CB61D6"/>
    <w:rsid w:val="00CB63D6"/>
    <w:rsid w:val="00CB6535"/>
    <w:rsid w:val="00CB68F4"/>
    <w:rsid w:val="00CB6A1F"/>
    <w:rsid w:val="00CB6A51"/>
    <w:rsid w:val="00CB6DC2"/>
    <w:rsid w:val="00CB71EB"/>
    <w:rsid w:val="00CB75E1"/>
    <w:rsid w:val="00CB7D73"/>
    <w:rsid w:val="00CB7DA8"/>
    <w:rsid w:val="00CB7E15"/>
    <w:rsid w:val="00CC028B"/>
    <w:rsid w:val="00CC0317"/>
    <w:rsid w:val="00CC05C4"/>
    <w:rsid w:val="00CC063C"/>
    <w:rsid w:val="00CC0763"/>
    <w:rsid w:val="00CC0B03"/>
    <w:rsid w:val="00CC0FBE"/>
    <w:rsid w:val="00CC1071"/>
    <w:rsid w:val="00CC10F9"/>
    <w:rsid w:val="00CC1155"/>
    <w:rsid w:val="00CC11DD"/>
    <w:rsid w:val="00CC12A1"/>
    <w:rsid w:val="00CC1469"/>
    <w:rsid w:val="00CC1C1A"/>
    <w:rsid w:val="00CC1D82"/>
    <w:rsid w:val="00CC296B"/>
    <w:rsid w:val="00CC2E51"/>
    <w:rsid w:val="00CC2E9D"/>
    <w:rsid w:val="00CC313A"/>
    <w:rsid w:val="00CC342D"/>
    <w:rsid w:val="00CC369B"/>
    <w:rsid w:val="00CC377E"/>
    <w:rsid w:val="00CC37A4"/>
    <w:rsid w:val="00CC386B"/>
    <w:rsid w:val="00CC3BFA"/>
    <w:rsid w:val="00CC41DD"/>
    <w:rsid w:val="00CC44E8"/>
    <w:rsid w:val="00CC46AA"/>
    <w:rsid w:val="00CC49A9"/>
    <w:rsid w:val="00CC49DD"/>
    <w:rsid w:val="00CC4B60"/>
    <w:rsid w:val="00CC4D5B"/>
    <w:rsid w:val="00CC5665"/>
    <w:rsid w:val="00CC5A69"/>
    <w:rsid w:val="00CC6562"/>
    <w:rsid w:val="00CC6682"/>
    <w:rsid w:val="00CC6977"/>
    <w:rsid w:val="00CC6C7B"/>
    <w:rsid w:val="00CC71AB"/>
    <w:rsid w:val="00CC7C47"/>
    <w:rsid w:val="00CD0D77"/>
    <w:rsid w:val="00CD0E23"/>
    <w:rsid w:val="00CD0FB3"/>
    <w:rsid w:val="00CD104A"/>
    <w:rsid w:val="00CD139C"/>
    <w:rsid w:val="00CD1B95"/>
    <w:rsid w:val="00CD1BDF"/>
    <w:rsid w:val="00CD1E04"/>
    <w:rsid w:val="00CD25F6"/>
    <w:rsid w:val="00CD2A0D"/>
    <w:rsid w:val="00CD2B5B"/>
    <w:rsid w:val="00CD3593"/>
    <w:rsid w:val="00CD3604"/>
    <w:rsid w:val="00CD3909"/>
    <w:rsid w:val="00CD435D"/>
    <w:rsid w:val="00CD498F"/>
    <w:rsid w:val="00CD4B8D"/>
    <w:rsid w:val="00CD4BB1"/>
    <w:rsid w:val="00CD4EB7"/>
    <w:rsid w:val="00CD5175"/>
    <w:rsid w:val="00CD51ED"/>
    <w:rsid w:val="00CD550C"/>
    <w:rsid w:val="00CD5CB0"/>
    <w:rsid w:val="00CD5E5D"/>
    <w:rsid w:val="00CD62C6"/>
    <w:rsid w:val="00CD6440"/>
    <w:rsid w:val="00CD65E9"/>
    <w:rsid w:val="00CD685F"/>
    <w:rsid w:val="00CD6AA5"/>
    <w:rsid w:val="00CD6BD0"/>
    <w:rsid w:val="00CD6F3E"/>
    <w:rsid w:val="00CD77EA"/>
    <w:rsid w:val="00CE09C2"/>
    <w:rsid w:val="00CE0A59"/>
    <w:rsid w:val="00CE0A95"/>
    <w:rsid w:val="00CE0CE4"/>
    <w:rsid w:val="00CE0D8E"/>
    <w:rsid w:val="00CE0E56"/>
    <w:rsid w:val="00CE10A4"/>
    <w:rsid w:val="00CE1190"/>
    <w:rsid w:val="00CE17DD"/>
    <w:rsid w:val="00CE1A52"/>
    <w:rsid w:val="00CE1BEC"/>
    <w:rsid w:val="00CE1F85"/>
    <w:rsid w:val="00CE1FF3"/>
    <w:rsid w:val="00CE219F"/>
    <w:rsid w:val="00CE22BE"/>
    <w:rsid w:val="00CE2448"/>
    <w:rsid w:val="00CE2FF0"/>
    <w:rsid w:val="00CE3276"/>
    <w:rsid w:val="00CE32C6"/>
    <w:rsid w:val="00CE3322"/>
    <w:rsid w:val="00CE3773"/>
    <w:rsid w:val="00CE420A"/>
    <w:rsid w:val="00CE4780"/>
    <w:rsid w:val="00CE5087"/>
    <w:rsid w:val="00CE5938"/>
    <w:rsid w:val="00CE5BC9"/>
    <w:rsid w:val="00CE64BB"/>
    <w:rsid w:val="00CE6627"/>
    <w:rsid w:val="00CE6922"/>
    <w:rsid w:val="00CE720B"/>
    <w:rsid w:val="00CE7505"/>
    <w:rsid w:val="00CE7642"/>
    <w:rsid w:val="00CE7927"/>
    <w:rsid w:val="00CE7FCD"/>
    <w:rsid w:val="00CF05D5"/>
    <w:rsid w:val="00CF0E55"/>
    <w:rsid w:val="00CF0FBD"/>
    <w:rsid w:val="00CF17A6"/>
    <w:rsid w:val="00CF18D2"/>
    <w:rsid w:val="00CF1941"/>
    <w:rsid w:val="00CF263B"/>
    <w:rsid w:val="00CF294E"/>
    <w:rsid w:val="00CF29B6"/>
    <w:rsid w:val="00CF2A1A"/>
    <w:rsid w:val="00CF2ACE"/>
    <w:rsid w:val="00CF2C34"/>
    <w:rsid w:val="00CF3446"/>
    <w:rsid w:val="00CF3507"/>
    <w:rsid w:val="00CF3526"/>
    <w:rsid w:val="00CF3E93"/>
    <w:rsid w:val="00CF4223"/>
    <w:rsid w:val="00CF5012"/>
    <w:rsid w:val="00CF5AA9"/>
    <w:rsid w:val="00CF692D"/>
    <w:rsid w:val="00CF6BD3"/>
    <w:rsid w:val="00CF6FBD"/>
    <w:rsid w:val="00CF7110"/>
    <w:rsid w:val="00CF7220"/>
    <w:rsid w:val="00CF722A"/>
    <w:rsid w:val="00CF739C"/>
    <w:rsid w:val="00CF7630"/>
    <w:rsid w:val="00CF7788"/>
    <w:rsid w:val="00CF7BBE"/>
    <w:rsid w:val="00D00183"/>
    <w:rsid w:val="00D007D4"/>
    <w:rsid w:val="00D00D39"/>
    <w:rsid w:val="00D00D87"/>
    <w:rsid w:val="00D01452"/>
    <w:rsid w:val="00D0155A"/>
    <w:rsid w:val="00D018AA"/>
    <w:rsid w:val="00D01907"/>
    <w:rsid w:val="00D01E0E"/>
    <w:rsid w:val="00D01FC0"/>
    <w:rsid w:val="00D02619"/>
    <w:rsid w:val="00D027CA"/>
    <w:rsid w:val="00D02945"/>
    <w:rsid w:val="00D02B57"/>
    <w:rsid w:val="00D02CE3"/>
    <w:rsid w:val="00D02DC4"/>
    <w:rsid w:val="00D032E1"/>
    <w:rsid w:val="00D033A4"/>
    <w:rsid w:val="00D036D7"/>
    <w:rsid w:val="00D03AEC"/>
    <w:rsid w:val="00D03E4B"/>
    <w:rsid w:val="00D04375"/>
    <w:rsid w:val="00D04478"/>
    <w:rsid w:val="00D04546"/>
    <w:rsid w:val="00D046B5"/>
    <w:rsid w:val="00D04A4E"/>
    <w:rsid w:val="00D04AE8"/>
    <w:rsid w:val="00D052AB"/>
    <w:rsid w:val="00D0533D"/>
    <w:rsid w:val="00D054A7"/>
    <w:rsid w:val="00D054DD"/>
    <w:rsid w:val="00D05608"/>
    <w:rsid w:val="00D05662"/>
    <w:rsid w:val="00D05800"/>
    <w:rsid w:val="00D05BF2"/>
    <w:rsid w:val="00D05C53"/>
    <w:rsid w:val="00D061B4"/>
    <w:rsid w:val="00D0637F"/>
    <w:rsid w:val="00D0662D"/>
    <w:rsid w:val="00D06785"/>
    <w:rsid w:val="00D067B0"/>
    <w:rsid w:val="00D07498"/>
    <w:rsid w:val="00D076BB"/>
    <w:rsid w:val="00D077F3"/>
    <w:rsid w:val="00D079B6"/>
    <w:rsid w:val="00D07C23"/>
    <w:rsid w:val="00D07C57"/>
    <w:rsid w:val="00D10061"/>
    <w:rsid w:val="00D104DD"/>
    <w:rsid w:val="00D104E3"/>
    <w:rsid w:val="00D107C5"/>
    <w:rsid w:val="00D1089C"/>
    <w:rsid w:val="00D10A4D"/>
    <w:rsid w:val="00D10BE4"/>
    <w:rsid w:val="00D10C04"/>
    <w:rsid w:val="00D10D19"/>
    <w:rsid w:val="00D11029"/>
    <w:rsid w:val="00D11254"/>
    <w:rsid w:val="00D11557"/>
    <w:rsid w:val="00D11784"/>
    <w:rsid w:val="00D11C2D"/>
    <w:rsid w:val="00D120DA"/>
    <w:rsid w:val="00D121FA"/>
    <w:rsid w:val="00D1272F"/>
    <w:rsid w:val="00D12B98"/>
    <w:rsid w:val="00D12F5C"/>
    <w:rsid w:val="00D12FC5"/>
    <w:rsid w:val="00D13021"/>
    <w:rsid w:val="00D13AD2"/>
    <w:rsid w:val="00D13B7E"/>
    <w:rsid w:val="00D13B91"/>
    <w:rsid w:val="00D13E64"/>
    <w:rsid w:val="00D13FFE"/>
    <w:rsid w:val="00D14490"/>
    <w:rsid w:val="00D14B98"/>
    <w:rsid w:val="00D14BDB"/>
    <w:rsid w:val="00D14F87"/>
    <w:rsid w:val="00D1526E"/>
    <w:rsid w:val="00D158D8"/>
    <w:rsid w:val="00D15DD9"/>
    <w:rsid w:val="00D160B8"/>
    <w:rsid w:val="00D16344"/>
    <w:rsid w:val="00D164A3"/>
    <w:rsid w:val="00D165C4"/>
    <w:rsid w:val="00D166DA"/>
    <w:rsid w:val="00D16C91"/>
    <w:rsid w:val="00D16EAF"/>
    <w:rsid w:val="00D170CB"/>
    <w:rsid w:val="00D1712F"/>
    <w:rsid w:val="00D171B2"/>
    <w:rsid w:val="00D174FE"/>
    <w:rsid w:val="00D1763A"/>
    <w:rsid w:val="00D1786F"/>
    <w:rsid w:val="00D17A79"/>
    <w:rsid w:val="00D17AC2"/>
    <w:rsid w:val="00D17AF1"/>
    <w:rsid w:val="00D17BC2"/>
    <w:rsid w:val="00D17DAC"/>
    <w:rsid w:val="00D17F9C"/>
    <w:rsid w:val="00D20700"/>
    <w:rsid w:val="00D207D8"/>
    <w:rsid w:val="00D20A1E"/>
    <w:rsid w:val="00D20FD4"/>
    <w:rsid w:val="00D21086"/>
    <w:rsid w:val="00D21187"/>
    <w:rsid w:val="00D212BF"/>
    <w:rsid w:val="00D2131D"/>
    <w:rsid w:val="00D214DE"/>
    <w:rsid w:val="00D21523"/>
    <w:rsid w:val="00D219CE"/>
    <w:rsid w:val="00D21A24"/>
    <w:rsid w:val="00D21EBF"/>
    <w:rsid w:val="00D22203"/>
    <w:rsid w:val="00D23263"/>
    <w:rsid w:val="00D2345B"/>
    <w:rsid w:val="00D237E2"/>
    <w:rsid w:val="00D23A6F"/>
    <w:rsid w:val="00D24145"/>
    <w:rsid w:val="00D24191"/>
    <w:rsid w:val="00D24665"/>
    <w:rsid w:val="00D2467B"/>
    <w:rsid w:val="00D2483C"/>
    <w:rsid w:val="00D24968"/>
    <w:rsid w:val="00D2501F"/>
    <w:rsid w:val="00D25307"/>
    <w:rsid w:val="00D2539C"/>
    <w:rsid w:val="00D253F2"/>
    <w:rsid w:val="00D254E9"/>
    <w:rsid w:val="00D255CF"/>
    <w:rsid w:val="00D255ED"/>
    <w:rsid w:val="00D260FF"/>
    <w:rsid w:val="00D2678E"/>
    <w:rsid w:val="00D26863"/>
    <w:rsid w:val="00D2694C"/>
    <w:rsid w:val="00D271C9"/>
    <w:rsid w:val="00D276BB"/>
    <w:rsid w:val="00D27853"/>
    <w:rsid w:val="00D279DF"/>
    <w:rsid w:val="00D27B26"/>
    <w:rsid w:val="00D301A2"/>
    <w:rsid w:val="00D301F6"/>
    <w:rsid w:val="00D30889"/>
    <w:rsid w:val="00D30AE0"/>
    <w:rsid w:val="00D30AE8"/>
    <w:rsid w:val="00D30BB3"/>
    <w:rsid w:val="00D30FAA"/>
    <w:rsid w:val="00D3114C"/>
    <w:rsid w:val="00D32155"/>
    <w:rsid w:val="00D3239C"/>
    <w:rsid w:val="00D3296E"/>
    <w:rsid w:val="00D32D2D"/>
    <w:rsid w:val="00D3307C"/>
    <w:rsid w:val="00D331A9"/>
    <w:rsid w:val="00D331F1"/>
    <w:rsid w:val="00D33452"/>
    <w:rsid w:val="00D33581"/>
    <w:rsid w:val="00D33AC0"/>
    <w:rsid w:val="00D3434A"/>
    <w:rsid w:val="00D34379"/>
    <w:rsid w:val="00D3440D"/>
    <w:rsid w:val="00D34FB1"/>
    <w:rsid w:val="00D350AF"/>
    <w:rsid w:val="00D3512B"/>
    <w:rsid w:val="00D3525E"/>
    <w:rsid w:val="00D35339"/>
    <w:rsid w:val="00D3546A"/>
    <w:rsid w:val="00D358BB"/>
    <w:rsid w:val="00D35EFE"/>
    <w:rsid w:val="00D36107"/>
    <w:rsid w:val="00D36132"/>
    <w:rsid w:val="00D3650A"/>
    <w:rsid w:val="00D36A87"/>
    <w:rsid w:val="00D36F3D"/>
    <w:rsid w:val="00D37058"/>
    <w:rsid w:val="00D376CF"/>
    <w:rsid w:val="00D37B46"/>
    <w:rsid w:val="00D37BDE"/>
    <w:rsid w:val="00D37F37"/>
    <w:rsid w:val="00D40B8D"/>
    <w:rsid w:val="00D40D1B"/>
    <w:rsid w:val="00D41040"/>
    <w:rsid w:val="00D411B3"/>
    <w:rsid w:val="00D41292"/>
    <w:rsid w:val="00D4131F"/>
    <w:rsid w:val="00D413EC"/>
    <w:rsid w:val="00D41983"/>
    <w:rsid w:val="00D41BDF"/>
    <w:rsid w:val="00D41C99"/>
    <w:rsid w:val="00D41D11"/>
    <w:rsid w:val="00D41E44"/>
    <w:rsid w:val="00D41F1C"/>
    <w:rsid w:val="00D42293"/>
    <w:rsid w:val="00D42591"/>
    <w:rsid w:val="00D42923"/>
    <w:rsid w:val="00D429A5"/>
    <w:rsid w:val="00D42C97"/>
    <w:rsid w:val="00D4312C"/>
    <w:rsid w:val="00D433C8"/>
    <w:rsid w:val="00D43D4D"/>
    <w:rsid w:val="00D4402D"/>
    <w:rsid w:val="00D440A8"/>
    <w:rsid w:val="00D44136"/>
    <w:rsid w:val="00D4421B"/>
    <w:rsid w:val="00D447BF"/>
    <w:rsid w:val="00D4542C"/>
    <w:rsid w:val="00D45F34"/>
    <w:rsid w:val="00D462E4"/>
    <w:rsid w:val="00D4689C"/>
    <w:rsid w:val="00D46C51"/>
    <w:rsid w:val="00D472FC"/>
    <w:rsid w:val="00D473AE"/>
    <w:rsid w:val="00D476CA"/>
    <w:rsid w:val="00D50510"/>
    <w:rsid w:val="00D50DED"/>
    <w:rsid w:val="00D511DD"/>
    <w:rsid w:val="00D516AB"/>
    <w:rsid w:val="00D51842"/>
    <w:rsid w:val="00D523FF"/>
    <w:rsid w:val="00D5266F"/>
    <w:rsid w:val="00D5282D"/>
    <w:rsid w:val="00D52E71"/>
    <w:rsid w:val="00D5302B"/>
    <w:rsid w:val="00D5380F"/>
    <w:rsid w:val="00D53815"/>
    <w:rsid w:val="00D540FA"/>
    <w:rsid w:val="00D54599"/>
    <w:rsid w:val="00D54D41"/>
    <w:rsid w:val="00D551FD"/>
    <w:rsid w:val="00D5533A"/>
    <w:rsid w:val="00D55561"/>
    <w:rsid w:val="00D55B36"/>
    <w:rsid w:val="00D55CAA"/>
    <w:rsid w:val="00D55CED"/>
    <w:rsid w:val="00D5678D"/>
    <w:rsid w:val="00D56A30"/>
    <w:rsid w:val="00D56CA6"/>
    <w:rsid w:val="00D57670"/>
    <w:rsid w:val="00D57701"/>
    <w:rsid w:val="00D5794B"/>
    <w:rsid w:val="00D57A61"/>
    <w:rsid w:val="00D57C03"/>
    <w:rsid w:val="00D60077"/>
    <w:rsid w:val="00D601E6"/>
    <w:rsid w:val="00D60296"/>
    <w:rsid w:val="00D60DE4"/>
    <w:rsid w:val="00D60E3E"/>
    <w:rsid w:val="00D6125B"/>
    <w:rsid w:val="00D613D5"/>
    <w:rsid w:val="00D61583"/>
    <w:rsid w:val="00D61F26"/>
    <w:rsid w:val="00D6224C"/>
    <w:rsid w:val="00D622F2"/>
    <w:rsid w:val="00D6239D"/>
    <w:rsid w:val="00D62412"/>
    <w:rsid w:val="00D62613"/>
    <w:rsid w:val="00D6267B"/>
    <w:rsid w:val="00D62990"/>
    <w:rsid w:val="00D63108"/>
    <w:rsid w:val="00D634B7"/>
    <w:rsid w:val="00D635A7"/>
    <w:rsid w:val="00D63938"/>
    <w:rsid w:val="00D63D8D"/>
    <w:rsid w:val="00D63DFE"/>
    <w:rsid w:val="00D63EEE"/>
    <w:rsid w:val="00D6438E"/>
    <w:rsid w:val="00D6441B"/>
    <w:rsid w:val="00D647A5"/>
    <w:rsid w:val="00D647B3"/>
    <w:rsid w:val="00D649DE"/>
    <w:rsid w:val="00D64D7A"/>
    <w:rsid w:val="00D64E6F"/>
    <w:rsid w:val="00D65148"/>
    <w:rsid w:val="00D65430"/>
    <w:rsid w:val="00D65C6F"/>
    <w:rsid w:val="00D66130"/>
    <w:rsid w:val="00D66A2A"/>
    <w:rsid w:val="00D66E79"/>
    <w:rsid w:val="00D67079"/>
    <w:rsid w:val="00D67103"/>
    <w:rsid w:val="00D67439"/>
    <w:rsid w:val="00D67515"/>
    <w:rsid w:val="00D67AD0"/>
    <w:rsid w:val="00D67C6B"/>
    <w:rsid w:val="00D67CAC"/>
    <w:rsid w:val="00D70C0A"/>
    <w:rsid w:val="00D717BB"/>
    <w:rsid w:val="00D718B4"/>
    <w:rsid w:val="00D71D41"/>
    <w:rsid w:val="00D7226F"/>
    <w:rsid w:val="00D722F2"/>
    <w:rsid w:val="00D72391"/>
    <w:rsid w:val="00D7279E"/>
    <w:rsid w:val="00D727F1"/>
    <w:rsid w:val="00D72902"/>
    <w:rsid w:val="00D72D42"/>
    <w:rsid w:val="00D73626"/>
    <w:rsid w:val="00D73795"/>
    <w:rsid w:val="00D73849"/>
    <w:rsid w:val="00D7389B"/>
    <w:rsid w:val="00D738D4"/>
    <w:rsid w:val="00D73926"/>
    <w:rsid w:val="00D73AE7"/>
    <w:rsid w:val="00D73B6D"/>
    <w:rsid w:val="00D74197"/>
    <w:rsid w:val="00D74352"/>
    <w:rsid w:val="00D74913"/>
    <w:rsid w:val="00D74EF0"/>
    <w:rsid w:val="00D752C0"/>
    <w:rsid w:val="00D755EE"/>
    <w:rsid w:val="00D75740"/>
    <w:rsid w:val="00D75B73"/>
    <w:rsid w:val="00D75C84"/>
    <w:rsid w:val="00D75DFA"/>
    <w:rsid w:val="00D76007"/>
    <w:rsid w:val="00D76A39"/>
    <w:rsid w:val="00D76FBD"/>
    <w:rsid w:val="00D77217"/>
    <w:rsid w:val="00D774A9"/>
    <w:rsid w:val="00D77582"/>
    <w:rsid w:val="00D801C7"/>
    <w:rsid w:val="00D80359"/>
    <w:rsid w:val="00D80BB0"/>
    <w:rsid w:val="00D80CC9"/>
    <w:rsid w:val="00D80ECF"/>
    <w:rsid w:val="00D80FF9"/>
    <w:rsid w:val="00D811A2"/>
    <w:rsid w:val="00D8148B"/>
    <w:rsid w:val="00D8184C"/>
    <w:rsid w:val="00D82110"/>
    <w:rsid w:val="00D823E4"/>
    <w:rsid w:val="00D82472"/>
    <w:rsid w:val="00D82AAF"/>
    <w:rsid w:val="00D83081"/>
    <w:rsid w:val="00D83A5E"/>
    <w:rsid w:val="00D8434E"/>
    <w:rsid w:val="00D84418"/>
    <w:rsid w:val="00D84527"/>
    <w:rsid w:val="00D84B36"/>
    <w:rsid w:val="00D84D13"/>
    <w:rsid w:val="00D84E86"/>
    <w:rsid w:val="00D8514E"/>
    <w:rsid w:val="00D85D8D"/>
    <w:rsid w:val="00D86127"/>
    <w:rsid w:val="00D862A5"/>
    <w:rsid w:val="00D86DAA"/>
    <w:rsid w:val="00D8705E"/>
    <w:rsid w:val="00D871A8"/>
    <w:rsid w:val="00D877B9"/>
    <w:rsid w:val="00D900B2"/>
    <w:rsid w:val="00D901B9"/>
    <w:rsid w:val="00D90718"/>
    <w:rsid w:val="00D90961"/>
    <w:rsid w:val="00D90A7E"/>
    <w:rsid w:val="00D90D3F"/>
    <w:rsid w:val="00D90DAB"/>
    <w:rsid w:val="00D90E3F"/>
    <w:rsid w:val="00D911C5"/>
    <w:rsid w:val="00D912CC"/>
    <w:rsid w:val="00D915E4"/>
    <w:rsid w:val="00D915EC"/>
    <w:rsid w:val="00D9162B"/>
    <w:rsid w:val="00D917C7"/>
    <w:rsid w:val="00D91EAA"/>
    <w:rsid w:val="00D921F8"/>
    <w:rsid w:val="00D925B0"/>
    <w:rsid w:val="00D92AA1"/>
    <w:rsid w:val="00D92D12"/>
    <w:rsid w:val="00D92E04"/>
    <w:rsid w:val="00D937C9"/>
    <w:rsid w:val="00D93832"/>
    <w:rsid w:val="00D93C62"/>
    <w:rsid w:val="00D948E4"/>
    <w:rsid w:val="00D94AD0"/>
    <w:rsid w:val="00D94BE4"/>
    <w:rsid w:val="00D94C59"/>
    <w:rsid w:val="00D953CC"/>
    <w:rsid w:val="00D953FD"/>
    <w:rsid w:val="00D95578"/>
    <w:rsid w:val="00D9568C"/>
    <w:rsid w:val="00D9623F"/>
    <w:rsid w:val="00D96415"/>
    <w:rsid w:val="00D9648C"/>
    <w:rsid w:val="00D964C0"/>
    <w:rsid w:val="00D9660B"/>
    <w:rsid w:val="00D966FB"/>
    <w:rsid w:val="00D96856"/>
    <w:rsid w:val="00D968E7"/>
    <w:rsid w:val="00D96946"/>
    <w:rsid w:val="00D96BC1"/>
    <w:rsid w:val="00D96C63"/>
    <w:rsid w:val="00D96CD6"/>
    <w:rsid w:val="00D96EB1"/>
    <w:rsid w:val="00D970A6"/>
    <w:rsid w:val="00D9718F"/>
    <w:rsid w:val="00D971BC"/>
    <w:rsid w:val="00D972D1"/>
    <w:rsid w:val="00D972FA"/>
    <w:rsid w:val="00D97347"/>
    <w:rsid w:val="00D973CF"/>
    <w:rsid w:val="00DA0018"/>
    <w:rsid w:val="00DA0497"/>
    <w:rsid w:val="00DA0678"/>
    <w:rsid w:val="00DA0C46"/>
    <w:rsid w:val="00DA0CDD"/>
    <w:rsid w:val="00DA1133"/>
    <w:rsid w:val="00DA1A47"/>
    <w:rsid w:val="00DA1C12"/>
    <w:rsid w:val="00DA2519"/>
    <w:rsid w:val="00DA2661"/>
    <w:rsid w:val="00DA2864"/>
    <w:rsid w:val="00DA29B2"/>
    <w:rsid w:val="00DA2FAF"/>
    <w:rsid w:val="00DA356B"/>
    <w:rsid w:val="00DA3584"/>
    <w:rsid w:val="00DA3719"/>
    <w:rsid w:val="00DA39AF"/>
    <w:rsid w:val="00DA3DE7"/>
    <w:rsid w:val="00DA41D7"/>
    <w:rsid w:val="00DA4322"/>
    <w:rsid w:val="00DA4548"/>
    <w:rsid w:val="00DA49C7"/>
    <w:rsid w:val="00DA4BA5"/>
    <w:rsid w:val="00DA56EA"/>
    <w:rsid w:val="00DA5848"/>
    <w:rsid w:val="00DA59E2"/>
    <w:rsid w:val="00DA5E25"/>
    <w:rsid w:val="00DA5F3B"/>
    <w:rsid w:val="00DA5FC3"/>
    <w:rsid w:val="00DA6004"/>
    <w:rsid w:val="00DA6122"/>
    <w:rsid w:val="00DA68C4"/>
    <w:rsid w:val="00DA6DB6"/>
    <w:rsid w:val="00DA72FE"/>
    <w:rsid w:val="00DA7E90"/>
    <w:rsid w:val="00DB006F"/>
    <w:rsid w:val="00DB04A8"/>
    <w:rsid w:val="00DB0659"/>
    <w:rsid w:val="00DB0851"/>
    <w:rsid w:val="00DB0A25"/>
    <w:rsid w:val="00DB0B74"/>
    <w:rsid w:val="00DB1447"/>
    <w:rsid w:val="00DB1A40"/>
    <w:rsid w:val="00DB2612"/>
    <w:rsid w:val="00DB2745"/>
    <w:rsid w:val="00DB28C9"/>
    <w:rsid w:val="00DB2B5E"/>
    <w:rsid w:val="00DB334F"/>
    <w:rsid w:val="00DB33AC"/>
    <w:rsid w:val="00DB36B3"/>
    <w:rsid w:val="00DB36D3"/>
    <w:rsid w:val="00DB3831"/>
    <w:rsid w:val="00DB390C"/>
    <w:rsid w:val="00DB3EB7"/>
    <w:rsid w:val="00DB410A"/>
    <w:rsid w:val="00DB41E6"/>
    <w:rsid w:val="00DB46E1"/>
    <w:rsid w:val="00DB4A63"/>
    <w:rsid w:val="00DB5596"/>
    <w:rsid w:val="00DB5C18"/>
    <w:rsid w:val="00DB5C7A"/>
    <w:rsid w:val="00DB5D4E"/>
    <w:rsid w:val="00DB5DB6"/>
    <w:rsid w:val="00DB5F08"/>
    <w:rsid w:val="00DB60C9"/>
    <w:rsid w:val="00DB60D5"/>
    <w:rsid w:val="00DB6122"/>
    <w:rsid w:val="00DB627F"/>
    <w:rsid w:val="00DB6463"/>
    <w:rsid w:val="00DB66D5"/>
    <w:rsid w:val="00DB6ADD"/>
    <w:rsid w:val="00DB6E0F"/>
    <w:rsid w:val="00DB7236"/>
    <w:rsid w:val="00DB7445"/>
    <w:rsid w:val="00DB7E87"/>
    <w:rsid w:val="00DC00C5"/>
    <w:rsid w:val="00DC00E9"/>
    <w:rsid w:val="00DC00ED"/>
    <w:rsid w:val="00DC0453"/>
    <w:rsid w:val="00DC0A82"/>
    <w:rsid w:val="00DC0C44"/>
    <w:rsid w:val="00DC1550"/>
    <w:rsid w:val="00DC199A"/>
    <w:rsid w:val="00DC19D3"/>
    <w:rsid w:val="00DC2068"/>
    <w:rsid w:val="00DC231A"/>
    <w:rsid w:val="00DC2675"/>
    <w:rsid w:val="00DC2757"/>
    <w:rsid w:val="00DC28E0"/>
    <w:rsid w:val="00DC2CF9"/>
    <w:rsid w:val="00DC2E05"/>
    <w:rsid w:val="00DC2EF5"/>
    <w:rsid w:val="00DC2F7A"/>
    <w:rsid w:val="00DC30FF"/>
    <w:rsid w:val="00DC3147"/>
    <w:rsid w:val="00DC33A5"/>
    <w:rsid w:val="00DC342A"/>
    <w:rsid w:val="00DC3582"/>
    <w:rsid w:val="00DC3B80"/>
    <w:rsid w:val="00DC3F2C"/>
    <w:rsid w:val="00DC4385"/>
    <w:rsid w:val="00DC456C"/>
    <w:rsid w:val="00DC4C11"/>
    <w:rsid w:val="00DC4CA6"/>
    <w:rsid w:val="00DC4DE8"/>
    <w:rsid w:val="00DC5174"/>
    <w:rsid w:val="00DC5295"/>
    <w:rsid w:val="00DC5E34"/>
    <w:rsid w:val="00DC60CC"/>
    <w:rsid w:val="00DC621E"/>
    <w:rsid w:val="00DC6786"/>
    <w:rsid w:val="00DC6E69"/>
    <w:rsid w:val="00DC7040"/>
    <w:rsid w:val="00DC725F"/>
    <w:rsid w:val="00DC727A"/>
    <w:rsid w:val="00DC73DA"/>
    <w:rsid w:val="00DC78E1"/>
    <w:rsid w:val="00DC7D98"/>
    <w:rsid w:val="00DC7E68"/>
    <w:rsid w:val="00DD0368"/>
    <w:rsid w:val="00DD0860"/>
    <w:rsid w:val="00DD0FCD"/>
    <w:rsid w:val="00DD10AF"/>
    <w:rsid w:val="00DD17BD"/>
    <w:rsid w:val="00DD193F"/>
    <w:rsid w:val="00DD1C41"/>
    <w:rsid w:val="00DD1EEF"/>
    <w:rsid w:val="00DD1F49"/>
    <w:rsid w:val="00DD256F"/>
    <w:rsid w:val="00DD25B3"/>
    <w:rsid w:val="00DD2D0E"/>
    <w:rsid w:val="00DD35F1"/>
    <w:rsid w:val="00DD401E"/>
    <w:rsid w:val="00DD402C"/>
    <w:rsid w:val="00DD47C9"/>
    <w:rsid w:val="00DD4A14"/>
    <w:rsid w:val="00DD4A51"/>
    <w:rsid w:val="00DD4AB7"/>
    <w:rsid w:val="00DD50C0"/>
    <w:rsid w:val="00DD5E51"/>
    <w:rsid w:val="00DD63C8"/>
    <w:rsid w:val="00DD6BDF"/>
    <w:rsid w:val="00DD6D0E"/>
    <w:rsid w:val="00DD70B2"/>
    <w:rsid w:val="00DD7457"/>
    <w:rsid w:val="00DD76EF"/>
    <w:rsid w:val="00DD7D7F"/>
    <w:rsid w:val="00DE0386"/>
    <w:rsid w:val="00DE0635"/>
    <w:rsid w:val="00DE0C09"/>
    <w:rsid w:val="00DE1136"/>
    <w:rsid w:val="00DE1186"/>
    <w:rsid w:val="00DE120C"/>
    <w:rsid w:val="00DE1743"/>
    <w:rsid w:val="00DE19FA"/>
    <w:rsid w:val="00DE2073"/>
    <w:rsid w:val="00DE2320"/>
    <w:rsid w:val="00DE2958"/>
    <w:rsid w:val="00DE2AD2"/>
    <w:rsid w:val="00DE2D50"/>
    <w:rsid w:val="00DE2F92"/>
    <w:rsid w:val="00DE3137"/>
    <w:rsid w:val="00DE367F"/>
    <w:rsid w:val="00DE3829"/>
    <w:rsid w:val="00DE38AB"/>
    <w:rsid w:val="00DE3AA0"/>
    <w:rsid w:val="00DE3EE9"/>
    <w:rsid w:val="00DE417C"/>
    <w:rsid w:val="00DE4318"/>
    <w:rsid w:val="00DE476D"/>
    <w:rsid w:val="00DE534F"/>
    <w:rsid w:val="00DE5ABB"/>
    <w:rsid w:val="00DE64CA"/>
    <w:rsid w:val="00DE6649"/>
    <w:rsid w:val="00DE6908"/>
    <w:rsid w:val="00DE6A0E"/>
    <w:rsid w:val="00DE6F58"/>
    <w:rsid w:val="00DE7190"/>
    <w:rsid w:val="00DE7306"/>
    <w:rsid w:val="00DE788D"/>
    <w:rsid w:val="00DE79BA"/>
    <w:rsid w:val="00DE7A98"/>
    <w:rsid w:val="00DE7CAA"/>
    <w:rsid w:val="00DE7D84"/>
    <w:rsid w:val="00DE7DEE"/>
    <w:rsid w:val="00DE7E8A"/>
    <w:rsid w:val="00DF019D"/>
    <w:rsid w:val="00DF0206"/>
    <w:rsid w:val="00DF03D2"/>
    <w:rsid w:val="00DF0D99"/>
    <w:rsid w:val="00DF0EE1"/>
    <w:rsid w:val="00DF0F7A"/>
    <w:rsid w:val="00DF12C9"/>
    <w:rsid w:val="00DF13E0"/>
    <w:rsid w:val="00DF1677"/>
    <w:rsid w:val="00DF1E3F"/>
    <w:rsid w:val="00DF1EDD"/>
    <w:rsid w:val="00DF2375"/>
    <w:rsid w:val="00DF271C"/>
    <w:rsid w:val="00DF273A"/>
    <w:rsid w:val="00DF2791"/>
    <w:rsid w:val="00DF279B"/>
    <w:rsid w:val="00DF2941"/>
    <w:rsid w:val="00DF2A9B"/>
    <w:rsid w:val="00DF2CBB"/>
    <w:rsid w:val="00DF2FEE"/>
    <w:rsid w:val="00DF35AC"/>
    <w:rsid w:val="00DF35B5"/>
    <w:rsid w:val="00DF3CEC"/>
    <w:rsid w:val="00DF3F04"/>
    <w:rsid w:val="00DF3F7E"/>
    <w:rsid w:val="00DF41D0"/>
    <w:rsid w:val="00DF44F1"/>
    <w:rsid w:val="00DF4698"/>
    <w:rsid w:val="00DF46D8"/>
    <w:rsid w:val="00DF4808"/>
    <w:rsid w:val="00DF4D9C"/>
    <w:rsid w:val="00DF4E30"/>
    <w:rsid w:val="00DF54BA"/>
    <w:rsid w:val="00DF54E7"/>
    <w:rsid w:val="00DF56C1"/>
    <w:rsid w:val="00DF583C"/>
    <w:rsid w:val="00DF596D"/>
    <w:rsid w:val="00DF5A38"/>
    <w:rsid w:val="00DF5D0E"/>
    <w:rsid w:val="00DF60FF"/>
    <w:rsid w:val="00DF6603"/>
    <w:rsid w:val="00DF6660"/>
    <w:rsid w:val="00DF666E"/>
    <w:rsid w:val="00DF6A01"/>
    <w:rsid w:val="00E00098"/>
    <w:rsid w:val="00E00733"/>
    <w:rsid w:val="00E00749"/>
    <w:rsid w:val="00E00863"/>
    <w:rsid w:val="00E009CB"/>
    <w:rsid w:val="00E00C2D"/>
    <w:rsid w:val="00E00F61"/>
    <w:rsid w:val="00E0145F"/>
    <w:rsid w:val="00E01461"/>
    <w:rsid w:val="00E014D4"/>
    <w:rsid w:val="00E01786"/>
    <w:rsid w:val="00E01AD6"/>
    <w:rsid w:val="00E01F91"/>
    <w:rsid w:val="00E02134"/>
    <w:rsid w:val="00E021BF"/>
    <w:rsid w:val="00E0272B"/>
    <w:rsid w:val="00E027CF"/>
    <w:rsid w:val="00E033E5"/>
    <w:rsid w:val="00E03677"/>
    <w:rsid w:val="00E0389D"/>
    <w:rsid w:val="00E03C28"/>
    <w:rsid w:val="00E03CB6"/>
    <w:rsid w:val="00E04537"/>
    <w:rsid w:val="00E045E4"/>
    <w:rsid w:val="00E047AF"/>
    <w:rsid w:val="00E04C46"/>
    <w:rsid w:val="00E04CA6"/>
    <w:rsid w:val="00E04E85"/>
    <w:rsid w:val="00E0561E"/>
    <w:rsid w:val="00E0574C"/>
    <w:rsid w:val="00E05880"/>
    <w:rsid w:val="00E06409"/>
    <w:rsid w:val="00E06615"/>
    <w:rsid w:val="00E068ED"/>
    <w:rsid w:val="00E06A46"/>
    <w:rsid w:val="00E06A7C"/>
    <w:rsid w:val="00E06FCB"/>
    <w:rsid w:val="00E07227"/>
    <w:rsid w:val="00E07CCC"/>
    <w:rsid w:val="00E1000D"/>
    <w:rsid w:val="00E1005D"/>
    <w:rsid w:val="00E10595"/>
    <w:rsid w:val="00E10711"/>
    <w:rsid w:val="00E11264"/>
    <w:rsid w:val="00E116D2"/>
    <w:rsid w:val="00E118A2"/>
    <w:rsid w:val="00E11BAC"/>
    <w:rsid w:val="00E11FC1"/>
    <w:rsid w:val="00E121A1"/>
    <w:rsid w:val="00E1246E"/>
    <w:rsid w:val="00E12579"/>
    <w:rsid w:val="00E125D4"/>
    <w:rsid w:val="00E128FD"/>
    <w:rsid w:val="00E12BA1"/>
    <w:rsid w:val="00E12C60"/>
    <w:rsid w:val="00E12F98"/>
    <w:rsid w:val="00E1301E"/>
    <w:rsid w:val="00E1376B"/>
    <w:rsid w:val="00E138F6"/>
    <w:rsid w:val="00E141A4"/>
    <w:rsid w:val="00E14302"/>
    <w:rsid w:val="00E14D8B"/>
    <w:rsid w:val="00E15851"/>
    <w:rsid w:val="00E15884"/>
    <w:rsid w:val="00E160D6"/>
    <w:rsid w:val="00E16109"/>
    <w:rsid w:val="00E16427"/>
    <w:rsid w:val="00E170BD"/>
    <w:rsid w:val="00E17ED4"/>
    <w:rsid w:val="00E2002D"/>
    <w:rsid w:val="00E2032D"/>
    <w:rsid w:val="00E20BBC"/>
    <w:rsid w:val="00E20CB9"/>
    <w:rsid w:val="00E20E9A"/>
    <w:rsid w:val="00E214CF"/>
    <w:rsid w:val="00E21D1B"/>
    <w:rsid w:val="00E21E83"/>
    <w:rsid w:val="00E22433"/>
    <w:rsid w:val="00E22C09"/>
    <w:rsid w:val="00E232E9"/>
    <w:rsid w:val="00E23537"/>
    <w:rsid w:val="00E2392C"/>
    <w:rsid w:val="00E239A4"/>
    <w:rsid w:val="00E23FA5"/>
    <w:rsid w:val="00E2432B"/>
    <w:rsid w:val="00E243D5"/>
    <w:rsid w:val="00E24790"/>
    <w:rsid w:val="00E24C59"/>
    <w:rsid w:val="00E24D2F"/>
    <w:rsid w:val="00E24E26"/>
    <w:rsid w:val="00E24F16"/>
    <w:rsid w:val="00E25371"/>
    <w:rsid w:val="00E254E6"/>
    <w:rsid w:val="00E25819"/>
    <w:rsid w:val="00E25B68"/>
    <w:rsid w:val="00E2619E"/>
    <w:rsid w:val="00E261B2"/>
    <w:rsid w:val="00E26254"/>
    <w:rsid w:val="00E2651F"/>
    <w:rsid w:val="00E269D1"/>
    <w:rsid w:val="00E26C03"/>
    <w:rsid w:val="00E26CDF"/>
    <w:rsid w:val="00E27991"/>
    <w:rsid w:val="00E27D34"/>
    <w:rsid w:val="00E304CA"/>
    <w:rsid w:val="00E307B5"/>
    <w:rsid w:val="00E30A6F"/>
    <w:rsid w:val="00E30C61"/>
    <w:rsid w:val="00E30F62"/>
    <w:rsid w:val="00E30F75"/>
    <w:rsid w:val="00E31725"/>
    <w:rsid w:val="00E318E6"/>
    <w:rsid w:val="00E319A3"/>
    <w:rsid w:val="00E31AF9"/>
    <w:rsid w:val="00E31B50"/>
    <w:rsid w:val="00E32294"/>
    <w:rsid w:val="00E322D2"/>
    <w:rsid w:val="00E32699"/>
    <w:rsid w:val="00E327CC"/>
    <w:rsid w:val="00E32AC8"/>
    <w:rsid w:val="00E32E2C"/>
    <w:rsid w:val="00E33140"/>
    <w:rsid w:val="00E333D8"/>
    <w:rsid w:val="00E336F1"/>
    <w:rsid w:val="00E33BD8"/>
    <w:rsid w:val="00E33C8A"/>
    <w:rsid w:val="00E33E29"/>
    <w:rsid w:val="00E33F61"/>
    <w:rsid w:val="00E34480"/>
    <w:rsid w:val="00E34965"/>
    <w:rsid w:val="00E34C31"/>
    <w:rsid w:val="00E34E25"/>
    <w:rsid w:val="00E35484"/>
    <w:rsid w:val="00E36159"/>
    <w:rsid w:val="00E362C1"/>
    <w:rsid w:val="00E36708"/>
    <w:rsid w:val="00E36723"/>
    <w:rsid w:val="00E36B12"/>
    <w:rsid w:val="00E36B77"/>
    <w:rsid w:val="00E36E51"/>
    <w:rsid w:val="00E36F20"/>
    <w:rsid w:val="00E37307"/>
    <w:rsid w:val="00E37A4F"/>
    <w:rsid w:val="00E37D9F"/>
    <w:rsid w:val="00E37DEB"/>
    <w:rsid w:val="00E400F8"/>
    <w:rsid w:val="00E401BA"/>
    <w:rsid w:val="00E40630"/>
    <w:rsid w:val="00E407DE"/>
    <w:rsid w:val="00E40A22"/>
    <w:rsid w:val="00E40CEE"/>
    <w:rsid w:val="00E40DAD"/>
    <w:rsid w:val="00E415EA"/>
    <w:rsid w:val="00E4167D"/>
    <w:rsid w:val="00E41853"/>
    <w:rsid w:val="00E418FF"/>
    <w:rsid w:val="00E41923"/>
    <w:rsid w:val="00E42757"/>
    <w:rsid w:val="00E42AC8"/>
    <w:rsid w:val="00E42B53"/>
    <w:rsid w:val="00E42BB6"/>
    <w:rsid w:val="00E42CB4"/>
    <w:rsid w:val="00E42FD6"/>
    <w:rsid w:val="00E43074"/>
    <w:rsid w:val="00E43700"/>
    <w:rsid w:val="00E43FB3"/>
    <w:rsid w:val="00E445FC"/>
    <w:rsid w:val="00E449DB"/>
    <w:rsid w:val="00E44A7C"/>
    <w:rsid w:val="00E44EE9"/>
    <w:rsid w:val="00E44F95"/>
    <w:rsid w:val="00E45721"/>
    <w:rsid w:val="00E45B61"/>
    <w:rsid w:val="00E45BBC"/>
    <w:rsid w:val="00E45DA8"/>
    <w:rsid w:val="00E45E04"/>
    <w:rsid w:val="00E46574"/>
    <w:rsid w:val="00E465AD"/>
    <w:rsid w:val="00E46AC9"/>
    <w:rsid w:val="00E46E6E"/>
    <w:rsid w:val="00E47079"/>
    <w:rsid w:val="00E474F7"/>
    <w:rsid w:val="00E47CE8"/>
    <w:rsid w:val="00E50071"/>
    <w:rsid w:val="00E50651"/>
    <w:rsid w:val="00E5068A"/>
    <w:rsid w:val="00E50828"/>
    <w:rsid w:val="00E50A0E"/>
    <w:rsid w:val="00E50B5D"/>
    <w:rsid w:val="00E50DB2"/>
    <w:rsid w:val="00E512FB"/>
    <w:rsid w:val="00E514C6"/>
    <w:rsid w:val="00E521D8"/>
    <w:rsid w:val="00E522B2"/>
    <w:rsid w:val="00E5262F"/>
    <w:rsid w:val="00E529C3"/>
    <w:rsid w:val="00E52B68"/>
    <w:rsid w:val="00E532CD"/>
    <w:rsid w:val="00E5340D"/>
    <w:rsid w:val="00E5363B"/>
    <w:rsid w:val="00E539DD"/>
    <w:rsid w:val="00E53DDA"/>
    <w:rsid w:val="00E54169"/>
    <w:rsid w:val="00E543E0"/>
    <w:rsid w:val="00E545C6"/>
    <w:rsid w:val="00E54AAC"/>
    <w:rsid w:val="00E5576B"/>
    <w:rsid w:val="00E5595E"/>
    <w:rsid w:val="00E55AF7"/>
    <w:rsid w:val="00E55E9A"/>
    <w:rsid w:val="00E55F17"/>
    <w:rsid w:val="00E56F6A"/>
    <w:rsid w:val="00E57056"/>
    <w:rsid w:val="00E5764A"/>
    <w:rsid w:val="00E57777"/>
    <w:rsid w:val="00E5793B"/>
    <w:rsid w:val="00E57B75"/>
    <w:rsid w:val="00E57D64"/>
    <w:rsid w:val="00E57E87"/>
    <w:rsid w:val="00E57F3F"/>
    <w:rsid w:val="00E60CDD"/>
    <w:rsid w:val="00E60CF7"/>
    <w:rsid w:val="00E60DDF"/>
    <w:rsid w:val="00E61BEC"/>
    <w:rsid w:val="00E622C3"/>
    <w:rsid w:val="00E6250E"/>
    <w:rsid w:val="00E625CD"/>
    <w:rsid w:val="00E62705"/>
    <w:rsid w:val="00E62BE9"/>
    <w:rsid w:val="00E632BF"/>
    <w:rsid w:val="00E640D4"/>
    <w:rsid w:val="00E6453A"/>
    <w:rsid w:val="00E646BE"/>
    <w:rsid w:val="00E648C7"/>
    <w:rsid w:val="00E649E0"/>
    <w:rsid w:val="00E64D22"/>
    <w:rsid w:val="00E64DDF"/>
    <w:rsid w:val="00E6503E"/>
    <w:rsid w:val="00E650AC"/>
    <w:rsid w:val="00E651C2"/>
    <w:rsid w:val="00E65BB4"/>
    <w:rsid w:val="00E65C6C"/>
    <w:rsid w:val="00E66931"/>
    <w:rsid w:val="00E66F88"/>
    <w:rsid w:val="00E67342"/>
    <w:rsid w:val="00E67616"/>
    <w:rsid w:val="00E67853"/>
    <w:rsid w:val="00E67A55"/>
    <w:rsid w:val="00E67ADA"/>
    <w:rsid w:val="00E67B81"/>
    <w:rsid w:val="00E67D2A"/>
    <w:rsid w:val="00E70378"/>
    <w:rsid w:val="00E705CC"/>
    <w:rsid w:val="00E7099A"/>
    <w:rsid w:val="00E70B71"/>
    <w:rsid w:val="00E70DED"/>
    <w:rsid w:val="00E71220"/>
    <w:rsid w:val="00E71602"/>
    <w:rsid w:val="00E718C9"/>
    <w:rsid w:val="00E71B05"/>
    <w:rsid w:val="00E7244E"/>
    <w:rsid w:val="00E727D2"/>
    <w:rsid w:val="00E73258"/>
    <w:rsid w:val="00E733A0"/>
    <w:rsid w:val="00E73627"/>
    <w:rsid w:val="00E73768"/>
    <w:rsid w:val="00E73A5D"/>
    <w:rsid w:val="00E7461D"/>
    <w:rsid w:val="00E747AC"/>
    <w:rsid w:val="00E74B50"/>
    <w:rsid w:val="00E74CC6"/>
    <w:rsid w:val="00E7510E"/>
    <w:rsid w:val="00E754E4"/>
    <w:rsid w:val="00E7583A"/>
    <w:rsid w:val="00E75D52"/>
    <w:rsid w:val="00E77038"/>
    <w:rsid w:val="00E775DD"/>
    <w:rsid w:val="00E77C00"/>
    <w:rsid w:val="00E77EB8"/>
    <w:rsid w:val="00E77F0A"/>
    <w:rsid w:val="00E800ED"/>
    <w:rsid w:val="00E804AD"/>
    <w:rsid w:val="00E80590"/>
    <w:rsid w:val="00E8072F"/>
    <w:rsid w:val="00E80D20"/>
    <w:rsid w:val="00E811DB"/>
    <w:rsid w:val="00E8171D"/>
    <w:rsid w:val="00E81877"/>
    <w:rsid w:val="00E81BA8"/>
    <w:rsid w:val="00E8212C"/>
    <w:rsid w:val="00E822D9"/>
    <w:rsid w:val="00E823AB"/>
    <w:rsid w:val="00E824D7"/>
    <w:rsid w:val="00E82E5B"/>
    <w:rsid w:val="00E83209"/>
    <w:rsid w:val="00E835B4"/>
    <w:rsid w:val="00E836B2"/>
    <w:rsid w:val="00E83949"/>
    <w:rsid w:val="00E83BFB"/>
    <w:rsid w:val="00E83CFD"/>
    <w:rsid w:val="00E83E67"/>
    <w:rsid w:val="00E842EE"/>
    <w:rsid w:val="00E84598"/>
    <w:rsid w:val="00E848C5"/>
    <w:rsid w:val="00E84EF4"/>
    <w:rsid w:val="00E84FAC"/>
    <w:rsid w:val="00E852CF"/>
    <w:rsid w:val="00E8565A"/>
    <w:rsid w:val="00E85675"/>
    <w:rsid w:val="00E85EE6"/>
    <w:rsid w:val="00E86939"/>
    <w:rsid w:val="00E86C3F"/>
    <w:rsid w:val="00E86CA8"/>
    <w:rsid w:val="00E86E75"/>
    <w:rsid w:val="00E8766F"/>
    <w:rsid w:val="00E87FE8"/>
    <w:rsid w:val="00E90156"/>
    <w:rsid w:val="00E9042B"/>
    <w:rsid w:val="00E90763"/>
    <w:rsid w:val="00E909D4"/>
    <w:rsid w:val="00E90E1D"/>
    <w:rsid w:val="00E91032"/>
    <w:rsid w:val="00E9112C"/>
    <w:rsid w:val="00E9136C"/>
    <w:rsid w:val="00E9149B"/>
    <w:rsid w:val="00E916BF"/>
    <w:rsid w:val="00E918B9"/>
    <w:rsid w:val="00E91ADE"/>
    <w:rsid w:val="00E91DEC"/>
    <w:rsid w:val="00E91E40"/>
    <w:rsid w:val="00E92BB9"/>
    <w:rsid w:val="00E92BC1"/>
    <w:rsid w:val="00E92C0F"/>
    <w:rsid w:val="00E92C24"/>
    <w:rsid w:val="00E93069"/>
    <w:rsid w:val="00E93143"/>
    <w:rsid w:val="00E934BF"/>
    <w:rsid w:val="00E93772"/>
    <w:rsid w:val="00E9385C"/>
    <w:rsid w:val="00E939E9"/>
    <w:rsid w:val="00E94187"/>
    <w:rsid w:val="00E9447C"/>
    <w:rsid w:val="00E94CC7"/>
    <w:rsid w:val="00E94D73"/>
    <w:rsid w:val="00E9503B"/>
    <w:rsid w:val="00E9535E"/>
    <w:rsid w:val="00E95695"/>
    <w:rsid w:val="00E95C7C"/>
    <w:rsid w:val="00E96351"/>
    <w:rsid w:val="00E9658E"/>
    <w:rsid w:val="00E9681B"/>
    <w:rsid w:val="00E96B58"/>
    <w:rsid w:val="00E96E5B"/>
    <w:rsid w:val="00E972F0"/>
    <w:rsid w:val="00E97754"/>
    <w:rsid w:val="00E97AC6"/>
    <w:rsid w:val="00E97BD4"/>
    <w:rsid w:val="00EA0135"/>
    <w:rsid w:val="00EA05D5"/>
    <w:rsid w:val="00EA0A5B"/>
    <w:rsid w:val="00EA10A5"/>
    <w:rsid w:val="00EA17B6"/>
    <w:rsid w:val="00EA18F1"/>
    <w:rsid w:val="00EA1945"/>
    <w:rsid w:val="00EA1A86"/>
    <w:rsid w:val="00EA1B17"/>
    <w:rsid w:val="00EA1DBB"/>
    <w:rsid w:val="00EA1E33"/>
    <w:rsid w:val="00EA1E84"/>
    <w:rsid w:val="00EA25FF"/>
    <w:rsid w:val="00EA2AC6"/>
    <w:rsid w:val="00EA2B9F"/>
    <w:rsid w:val="00EA348D"/>
    <w:rsid w:val="00EA35C4"/>
    <w:rsid w:val="00EA3606"/>
    <w:rsid w:val="00EA369E"/>
    <w:rsid w:val="00EA38AA"/>
    <w:rsid w:val="00EA3A34"/>
    <w:rsid w:val="00EA4424"/>
    <w:rsid w:val="00EA4475"/>
    <w:rsid w:val="00EA4B34"/>
    <w:rsid w:val="00EA5055"/>
    <w:rsid w:val="00EA5772"/>
    <w:rsid w:val="00EA5B60"/>
    <w:rsid w:val="00EA5C88"/>
    <w:rsid w:val="00EA619E"/>
    <w:rsid w:val="00EA625F"/>
    <w:rsid w:val="00EA68A4"/>
    <w:rsid w:val="00EA7284"/>
    <w:rsid w:val="00EA7960"/>
    <w:rsid w:val="00EA7C4C"/>
    <w:rsid w:val="00EB0A8A"/>
    <w:rsid w:val="00EB0CC9"/>
    <w:rsid w:val="00EB0CDC"/>
    <w:rsid w:val="00EB0D9A"/>
    <w:rsid w:val="00EB0DC3"/>
    <w:rsid w:val="00EB1098"/>
    <w:rsid w:val="00EB1330"/>
    <w:rsid w:val="00EB1B98"/>
    <w:rsid w:val="00EB2153"/>
    <w:rsid w:val="00EB2188"/>
    <w:rsid w:val="00EB23AE"/>
    <w:rsid w:val="00EB2B75"/>
    <w:rsid w:val="00EB2E0F"/>
    <w:rsid w:val="00EB2F03"/>
    <w:rsid w:val="00EB30F3"/>
    <w:rsid w:val="00EB3135"/>
    <w:rsid w:val="00EB349D"/>
    <w:rsid w:val="00EB45A7"/>
    <w:rsid w:val="00EB4683"/>
    <w:rsid w:val="00EB4FB8"/>
    <w:rsid w:val="00EB5101"/>
    <w:rsid w:val="00EB5111"/>
    <w:rsid w:val="00EB543F"/>
    <w:rsid w:val="00EB56B1"/>
    <w:rsid w:val="00EB5A30"/>
    <w:rsid w:val="00EB5CF1"/>
    <w:rsid w:val="00EB5E97"/>
    <w:rsid w:val="00EB678A"/>
    <w:rsid w:val="00EB68F8"/>
    <w:rsid w:val="00EB6A6A"/>
    <w:rsid w:val="00EB6FF2"/>
    <w:rsid w:val="00EB7772"/>
    <w:rsid w:val="00EB7F43"/>
    <w:rsid w:val="00EC0A5C"/>
    <w:rsid w:val="00EC105F"/>
    <w:rsid w:val="00EC1675"/>
    <w:rsid w:val="00EC18E6"/>
    <w:rsid w:val="00EC243C"/>
    <w:rsid w:val="00EC25D8"/>
    <w:rsid w:val="00EC27B8"/>
    <w:rsid w:val="00EC2929"/>
    <w:rsid w:val="00EC2A27"/>
    <w:rsid w:val="00EC33FA"/>
    <w:rsid w:val="00EC36C5"/>
    <w:rsid w:val="00EC3B8D"/>
    <w:rsid w:val="00EC3DDA"/>
    <w:rsid w:val="00EC3F4B"/>
    <w:rsid w:val="00EC4379"/>
    <w:rsid w:val="00EC442A"/>
    <w:rsid w:val="00EC458C"/>
    <w:rsid w:val="00EC4972"/>
    <w:rsid w:val="00EC4C93"/>
    <w:rsid w:val="00EC5024"/>
    <w:rsid w:val="00EC5988"/>
    <w:rsid w:val="00EC59DD"/>
    <w:rsid w:val="00EC5CF9"/>
    <w:rsid w:val="00EC5EB6"/>
    <w:rsid w:val="00EC5F1F"/>
    <w:rsid w:val="00EC6474"/>
    <w:rsid w:val="00EC6530"/>
    <w:rsid w:val="00EC6B6B"/>
    <w:rsid w:val="00EC6BC1"/>
    <w:rsid w:val="00EC6C26"/>
    <w:rsid w:val="00EC6F12"/>
    <w:rsid w:val="00EC7257"/>
    <w:rsid w:val="00EC7329"/>
    <w:rsid w:val="00EC7BD2"/>
    <w:rsid w:val="00EC7C45"/>
    <w:rsid w:val="00ED0282"/>
    <w:rsid w:val="00ED0342"/>
    <w:rsid w:val="00ED050A"/>
    <w:rsid w:val="00ED0759"/>
    <w:rsid w:val="00ED0853"/>
    <w:rsid w:val="00ED10DF"/>
    <w:rsid w:val="00ED1239"/>
    <w:rsid w:val="00ED1806"/>
    <w:rsid w:val="00ED27F2"/>
    <w:rsid w:val="00ED2940"/>
    <w:rsid w:val="00ED3125"/>
    <w:rsid w:val="00ED31E8"/>
    <w:rsid w:val="00ED372A"/>
    <w:rsid w:val="00ED383D"/>
    <w:rsid w:val="00ED3905"/>
    <w:rsid w:val="00ED42B5"/>
    <w:rsid w:val="00ED44A3"/>
    <w:rsid w:val="00ED4814"/>
    <w:rsid w:val="00ED49B6"/>
    <w:rsid w:val="00ED4B38"/>
    <w:rsid w:val="00ED50DE"/>
    <w:rsid w:val="00ED51C5"/>
    <w:rsid w:val="00ED53EB"/>
    <w:rsid w:val="00ED5415"/>
    <w:rsid w:val="00ED5637"/>
    <w:rsid w:val="00ED56A6"/>
    <w:rsid w:val="00ED5C72"/>
    <w:rsid w:val="00ED5DFB"/>
    <w:rsid w:val="00ED5EA8"/>
    <w:rsid w:val="00ED7034"/>
    <w:rsid w:val="00ED7106"/>
    <w:rsid w:val="00ED71F7"/>
    <w:rsid w:val="00ED74A5"/>
    <w:rsid w:val="00ED7570"/>
    <w:rsid w:val="00ED759E"/>
    <w:rsid w:val="00ED75A9"/>
    <w:rsid w:val="00ED7EEA"/>
    <w:rsid w:val="00EE009D"/>
    <w:rsid w:val="00EE01DB"/>
    <w:rsid w:val="00EE039E"/>
    <w:rsid w:val="00EE0439"/>
    <w:rsid w:val="00EE0619"/>
    <w:rsid w:val="00EE0A56"/>
    <w:rsid w:val="00EE0AD6"/>
    <w:rsid w:val="00EE0B85"/>
    <w:rsid w:val="00EE0BAC"/>
    <w:rsid w:val="00EE13AE"/>
    <w:rsid w:val="00EE162E"/>
    <w:rsid w:val="00EE1B6B"/>
    <w:rsid w:val="00EE1DA3"/>
    <w:rsid w:val="00EE252D"/>
    <w:rsid w:val="00EE2DDA"/>
    <w:rsid w:val="00EE2E1D"/>
    <w:rsid w:val="00EE300F"/>
    <w:rsid w:val="00EE3199"/>
    <w:rsid w:val="00EE3B57"/>
    <w:rsid w:val="00EE3E09"/>
    <w:rsid w:val="00EE4103"/>
    <w:rsid w:val="00EE42C3"/>
    <w:rsid w:val="00EE450B"/>
    <w:rsid w:val="00EE4607"/>
    <w:rsid w:val="00EE4707"/>
    <w:rsid w:val="00EE487A"/>
    <w:rsid w:val="00EE4DB1"/>
    <w:rsid w:val="00EE520D"/>
    <w:rsid w:val="00EE5530"/>
    <w:rsid w:val="00EE5AC7"/>
    <w:rsid w:val="00EE5CAC"/>
    <w:rsid w:val="00EE6137"/>
    <w:rsid w:val="00EE634C"/>
    <w:rsid w:val="00EE674B"/>
    <w:rsid w:val="00EE71C8"/>
    <w:rsid w:val="00EE737F"/>
    <w:rsid w:val="00EE767B"/>
    <w:rsid w:val="00EE767E"/>
    <w:rsid w:val="00EE76ED"/>
    <w:rsid w:val="00EE7B24"/>
    <w:rsid w:val="00EF0013"/>
    <w:rsid w:val="00EF0BC9"/>
    <w:rsid w:val="00EF11D4"/>
    <w:rsid w:val="00EF1526"/>
    <w:rsid w:val="00EF2092"/>
    <w:rsid w:val="00EF24B9"/>
    <w:rsid w:val="00EF29FE"/>
    <w:rsid w:val="00EF2F49"/>
    <w:rsid w:val="00EF310B"/>
    <w:rsid w:val="00EF399E"/>
    <w:rsid w:val="00EF3A75"/>
    <w:rsid w:val="00EF3D0C"/>
    <w:rsid w:val="00EF450D"/>
    <w:rsid w:val="00EF45D7"/>
    <w:rsid w:val="00EF4611"/>
    <w:rsid w:val="00EF47C3"/>
    <w:rsid w:val="00EF48BC"/>
    <w:rsid w:val="00EF4967"/>
    <w:rsid w:val="00EF4B4A"/>
    <w:rsid w:val="00EF541C"/>
    <w:rsid w:val="00EF5463"/>
    <w:rsid w:val="00EF5484"/>
    <w:rsid w:val="00EF5A9C"/>
    <w:rsid w:val="00EF5C74"/>
    <w:rsid w:val="00EF5D21"/>
    <w:rsid w:val="00EF5DEC"/>
    <w:rsid w:val="00EF6D17"/>
    <w:rsid w:val="00EF6E84"/>
    <w:rsid w:val="00EF6FB7"/>
    <w:rsid w:val="00EF6FC3"/>
    <w:rsid w:val="00EF71BD"/>
    <w:rsid w:val="00EF72CB"/>
    <w:rsid w:val="00EF736B"/>
    <w:rsid w:val="00EF74A5"/>
    <w:rsid w:val="00EF7AA8"/>
    <w:rsid w:val="00F0039A"/>
    <w:rsid w:val="00F008B6"/>
    <w:rsid w:val="00F0093A"/>
    <w:rsid w:val="00F00CD6"/>
    <w:rsid w:val="00F00F8C"/>
    <w:rsid w:val="00F011DD"/>
    <w:rsid w:val="00F01233"/>
    <w:rsid w:val="00F01548"/>
    <w:rsid w:val="00F017E4"/>
    <w:rsid w:val="00F01F50"/>
    <w:rsid w:val="00F02128"/>
    <w:rsid w:val="00F02370"/>
    <w:rsid w:val="00F02871"/>
    <w:rsid w:val="00F029BA"/>
    <w:rsid w:val="00F02AC7"/>
    <w:rsid w:val="00F02C83"/>
    <w:rsid w:val="00F02F62"/>
    <w:rsid w:val="00F0301F"/>
    <w:rsid w:val="00F032DC"/>
    <w:rsid w:val="00F03DFF"/>
    <w:rsid w:val="00F03E8D"/>
    <w:rsid w:val="00F0422A"/>
    <w:rsid w:val="00F0424B"/>
    <w:rsid w:val="00F049F3"/>
    <w:rsid w:val="00F04AF2"/>
    <w:rsid w:val="00F04E85"/>
    <w:rsid w:val="00F04EE0"/>
    <w:rsid w:val="00F050AF"/>
    <w:rsid w:val="00F0577A"/>
    <w:rsid w:val="00F05C75"/>
    <w:rsid w:val="00F05E9D"/>
    <w:rsid w:val="00F066D7"/>
    <w:rsid w:val="00F0681C"/>
    <w:rsid w:val="00F06B37"/>
    <w:rsid w:val="00F06CD6"/>
    <w:rsid w:val="00F06DF9"/>
    <w:rsid w:val="00F06F97"/>
    <w:rsid w:val="00F07174"/>
    <w:rsid w:val="00F0728D"/>
    <w:rsid w:val="00F07843"/>
    <w:rsid w:val="00F07F57"/>
    <w:rsid w:val="00F10131"/>
    <w:rsid w:val="00F104E8"/>
    <w:rsid w:val="00F107B8"/>
    <w:rsid w:val="00F1099D"/>
    <w:rsid w:val="00F10BFD"/>
    <w:rsid w:val="00F10D66"/>
    <w:rsid w:val="00F10FBB"/>
    <w:rsid w:val="00F112BC"/>
    <w:rsid w:val="00F1166E"/>
    <w:rsid w:val="00F11EC8"/>
    <w:rsid w:val="00F12084"/>
    <w:rsid w:val="00F122A1"/>
    <w:rsid w:val="00F12702"/>
    <w:rsid w:val="00F128CE"/>
    <w:rsid w:val="00F12C6F"/>
    <w:rsid w:val="00F1319A"/>
    <w:rsid w:val="00F13286"/>
    <w:rsid w:val="00F13872"/>
    <w:rsid w:val="00F139B0"/>
    <w:rsid w:val="00F13DC1"/>
    <w:rsid w:val="00F13F00"/>
    <w:rsid w:val="00F1478E"/>
    <w:rsid w:val="00F14A28"/>
    <w:rsid w:val="00F14A98"/>
    <w:rsid w:val="00F14C76"/>
    <w:rsid w:val="00F14CBB"/>
    <w:rsid w:val="00F15148"/>
    <w:rsid w:val="00F15352"/>
    <w:rsid w:val="00F15510"/>
    <w:rsid w:val="00F15596"/>
    <w:rsid w:val="00F15868"/>
    <w:rsid w:val="00F15AD5"/>
    <w:rsid w:val="00F15F0F"/>
    <w:rsid w:val="00F161E1"/>
    <w:rsid w:val="00F1621C"/>
    <w:rsid w:val="00F164D6"/>
    <w:rsid w:val="00F16BFF"/>
    <w:rsid w:val="00F17518"/>
    <w:rsid w:val="00F1788C"/>
    <w:rsid w:val="00F17E92"/>
    <w:rsid w:val="00F20241"/>
    <w:rsid w:val="00F20D01"/>
    <w:rsid w:val="00F21296"/>
    <w:rsid w:val="00F21486"/>
    <w:rsid w:val="00F217FD"/>
    <w:rsid w:val="00F2182A"/>
    <w:rsid w:val="00F21906"/>
    <w:rsid w:val="00F2193C"/>
    <w:rsid w:val="00F21E9D"/>
    <w:rsid w:val="00F22117"/>
    <w:rsid w:val="00F221BC"/>
    <w:rsid w:val="00F2235F"/>
    <w:rsid w:val="00F22726"/>
    <w:rsid w:val="00F228E8"/>
    <w:rsid w:val="00F22D56"/>
    <w:rsid w:val="00F23340"/>
    <w:rsid w:val="00F23397"/>
    <w:rsid w:val="00F2356E"/>
    <w:rsid w:val="00F23B36"/>
    <w:rsid w:val="00F23D17"/>
    <w:rsid w:val="00F2482F"/>
    <w:rsid w:val="00F25323"/>
    <w:rsid w:val="00F2554E"/>
    <w:rsid w:val="00F25BC2"/>
    <w:rsid w:val="00F25FB3"/>
    <w:rsid w:val="00F2604A"/>
    <w:rsid w:val="00F2609C"/>
    <w:rsid w:val="00F26501"/>
    <w:rsid w:val="00F265A0"/>
    <w:rsid w:val="00F265E6"/>
    <w:rsid w:val="00F26675"/>
    <w:rsid w:val="00F26752"/>
    <w:rsid w:val="00F2709B"/>
    <w:rsid w:val="00F27238"/>
    <w:rsid w:val="00F2765F"/>
    <w:rsid w:val="00F27875"/>
    <w:rsid w:val="00F279CE"/>
    <w:rsid w:val="00F301ED"/>
    <w:rsid w:val="00F302FE"/>
    <w:rsid w:val="00F303E3"/>
    <w:rsid w:val="00F30D13"/>
    <w:rsid w:val="00F30E8A"/>
    <w:rsid w:val="00F30F46"/>
    <w:rsid w:val="00F30F77"/>
    <w:rsid w:val="00F31123"/>
    <w:rsid w:val="00F3147C"/>
    <w:rsid w:val="00F320F1"/>
    <w:rsid w:val="00F3226F"/>
    <w:rsid w:val="00F32DAB"/>
    <w:rsid w:val="00F33051"/>
    <w:rsid w:val="00F33233"/>
    <w:rsid w:val="00F3371B"/>
    <w:rsid w:val="00F33744"/>
    <w:rsid w:val="00F33751"/>
    <w:rsid w:val="00F33B90"/>
    <w:rsid w:val="00F33F0C"/>
    <w:rsid w:val="00F33F99"/>
    <w:rsid w:val="00F3431C"/>
    <w:rsid w:val="00F3526A"/>
    <w:rsid w:val="00F35D62"/>
    <w:rsid w:val="00F36097"/>
    <w:rsid w:val="00F36151"/>
    <w:rsid w:val="00F361B8"/>
    <w:rsid w:val="00F3664C"/>
    <w:rsid w:val="00F36826"/>
    <w:rsid w:val="00F36AF3"/>
    <w:rsid w:val="00F37149"/>
    <w:rsid w:val="00F3745C"/>
    <w:rsid w:val="00F3748B"/>
    <w:rsid w:val="00F37B45"/>
    <w:rsid w:val="00F37C4B"/>
    <w:rsid w:val="00F400D4"/>
    <w:rsid w:val="00F40220"/>
    <w:rsid w:val="00F4046C"/>
    <w:rsid w:val="00F406F8"/>
    <w:rsid w:val="00F4077C"/>
    <w:rsid w:val="00F40D4A"/>
    <w:rsid w:val="00F40E6E"/>
    <w:rsid w:val="00F40F3E"/>
    <w:rsid w:val="00F416A5"/>
    <w:rsid w:val="00F41BD5"/>
    <w:rsid w:val="00F41C0F"/>
    <w:rsid w:val="00F41FAA"/>
    <w:rsid w:val="00F42366"/>
    <w:rsid w:val="00F42C90"/>
    <w:rsid w:val="00F42EA4"/>
    <w:rsid w:val="00F42F9A"/>
    <w:rsid w:val="00F43361"/>
    <w:rsid w:val="00F43508"/>
    <w:rsid w:val="00F43679"/>
    <w:rsid w:val="00F43826"/>
    <w:rsid w:val="00F43A6E"/>
    <w:rsid w:val="00F43E2B"/>
    <w:rsid w:val="00F43F8B"/>
    <w:rsid w:val="00F442B1"/>
    <w:rsid w:val="00F44467"/>
    <w:rsid w:val="00F44806"/>
    <w:rsid w:val="00F44AA0"/>
    <w:rsid w:val="00F44C34"/>
    <w:rsid w:val="00F45303"/>
    <w:rsid w:val="00F456A8"/>
    <w:rsid w:val="00F459E9"/>
    <w:rsid w:val="00F45BD1"/>
    <w:rsid w:val="00F45C32"/>
    <w:rsid w:val="00F45CE2"/>
    <w:rsid w:val="00F45D39"/>
    <w:rsid w:val="00F4637F"/>
    <w:rsid w:val="00F46506"/>
    <w:rsid w:val="00F46726"/>
    <w:rsid w:val="00F4689B"/>
    <w:rsid w:val="00F46B54"/>
    <w:rsid w:val="00F46E96"/>
    <w:rsid w:val="00F472F6"/>
    <w:rsid w:val="00F475EE"/>
    <w:rsid w:val="00F4760C"/>
    <w:rsid w:val="00F47660"/>
    <w:rsid w:val="00F4777D"/>
    <w:rsid w:val="00F47A2C"/>
    <w:rsid w:val="00F47A87"/>
    <w:rsid w:val="00F5009E"/>
    <w:rsid w:val="00F50478"/>
    <w:rsid w:val="00F508C1"/>
    <w:rsid w:val="00F50EBA"/>
    <w:rsid w:val="00F50F36"/>
    <w:rsid w:val="00F512C3"/>
    <w:rsid w:val="00F5138E"/>
    <w:rsid w:val="00F515CC"/>
    <w:rsid w:val="00F517FD"/>
    <w:rsid w:val="00F51A46"/>
    <w:rsid w:val="00F51B4E"/>
    <w:rsid w:val="00F51E29"/>
    <w:rsid w:val="00F5204E"/>
    <w:rsid w:val="00F52181"/>
    <w:rsid w:val="00F52372"/>
    <w:rsid w:val="00F529BF"/>
    <w:rsid w:val="00F53147"/>
    <w:rsid w:val="00F53903"/>
    <w:rsid w:val="00F53B7F"/>
    <w:rsid w:val="00F53C64"/>
    <w:rsid w:val="00F53DDB"/>
    <w:rsid w:val="00F54060"/>
    <w:rsid w:val="00F5409B"/>
    <w:rsid w:val="00F545FE"/>
    <w:rsid w:val="00F54874"/>
    <w:rsid w:val="00F54942"/>
    <w:rsid w:val="00F54AF1"/>
    <w:rsid w:val="00F54EFC"/>
    <w:rsid w:val="00F55209"/>
    <w:rsid w:val="00F55344"/>
    <w:rsid w:val="00F55C12"/>
    <w:rsid w:val="00F55EC6"/>
    <w:rsid w:val="00F55FF7"/>
    <w:rsid w:val="00F56754"/>
    <w:rsid w:val="00F56AF3"/>
    <w:rsid w:val="00F56D12"/>
    <w:rsid w:val="00F56DD4"/>
    <w:rsid w:val="00F56DFE"/>
    <w:rsid w:val="00F571F2"/>
    <w:rsid w:val="00F574A1"/>
    <w:rsid w:val="00F57B24"/>
    <w:rsid w:val="00F57EB4"/>
    <w:rsid w:val="00F602AB"/>
    <w:rsid w:val="00F603CA"/>
    <w:rsid w:val="00F60852"/>
    <w:rsid w:val="00F60903"/>
    <w:rsid w:val="00F60E89"/>
    <w:rsid w:val="00F61EE4"/>
    <w:rsid w:val="00F61F8B"/>
    <w:rsid w:val="00F63034"/>
    <w:rsid w:val="00F6318B"/>
    <w:rsid w:val="00F63737"/>
    <w:rsid w:val="00F6377A"/>
    <w:rsid w:val="00F63BDB"/>
    <w:rsid w:val="00F642F0"/>
    <w:rsid w:val="00F64703"/>
    <w:rsid w:val="00F647C9"/>
    <w:rsid w:val="00F64887"/>
    <w:rsid w:val="00F64B4C"/>
    <w:rsid w:val="00F64E64"/>
    <w:rsid w:val="00F65330"/>
    <w:rsid w:val="00F6615C"/>
    <w:rsid w:val="00F668DF"/>
    <w:rsid w:val="00F66B2E"/>
    <w:rsid w:val="00F66EB6"/>
    <w:rsid w:val="00F66EC1"/>
    <w:rsid w:val="00F673A1"/>
    <w:rsid w:val="00F67489"/>
    <w:rsid w:val="00F67A7B"/>
    <w:rsid w:val="00F67D61"/>
    <w:rsid w:val="00F700D7"/>
    <w:rsid w:val="00F70486"/>
    <w:rsid w:val="00F7080E"/>
    <w:rsid w:val="00F70862"/>
    <w:rsid w:val="00F70885"/>
    <w:rsid w:val="00F70B38"/>
    <w:rsid w:val="00F70D48"/>
    <w:rsid w:val="00F70F8D"/>
    <w:rsid w:val="00F70FFD"/>
    <w:rsid w:val="00F710A1"/>
    <w:rsid w:val="00F7121D"/>
    <w:rsid w:val="00F712B8"/>
    <w:rsid w:val="00F7139E"/>
    <w:rsid w:val="00F7144B"/>
    <w:rsid w:val="00F71693"/>
    <w:rsid w:val="00F718A1"/>
    <w:rsid w:val="00F722D9"/>
    <w:rsid w:val="00F722FC"/>
    <w:rsid w:val="00F726E2"/>
    <w:rsid w:val="00F72744"/>
    <w:rsid w:val="00F73201"/>
    <w:rsid w:val="00F733D8"/>
    <w:rsid w:val="00F73505"/>
    <w:rsid w:val="00F735CD"/>
    <w:rsid w:val="00F736EB"/>
    <w:rsid w:val="00F73C3D"/>
    <w:rsid w:val="00F73CB4"/>
    <w:rsid w:val="00F73CE5"/>
    <w:rsid w:val="00F73E18"/>
    <w:rsid w:val="00F74231"/>
    <w:rsid w:val="00F7437E"/>
    <w:rsid w:val="00F7438A"/>
    <w:rsid w:val="00F746AF"/>
    <w:rsid w:val="00F746FB"/>
    <w:rsid w:val="00F748FD"/>
    <w:rsid w:val="00F74B88"/>
    <w:rsid w:val="00F74CEF"/>
    <w:rsid w:val="00F74F5C"/>
    <w:rsid w:val="00F751FD"/>
    <w:rsid w:val="00F75D5E"/>
    <w:rsid w:val="00F75F63"/>
    <w:rsid w:val="00F7606B"/>
    <w:rsid w:val="00F7637D"/>
    <w:rsid w:val="00F763F3"/>
    <w:rsid w:val="00F7691F"/>
    <w:rsid w:val="00F772D0"/>
    <w:rsid w:val="00F77630"/>
    <w:rsid w:val="00F779BA"/>
    <w:rsid w:val="00F77A1B"/>
    <w:rsid w:val="00F77C4D"/>
    <w:rsid w:val="00F77F4A"/>
    <w:rsid w:val="00F8037D"/>
    <w:rsid w:val="00F807C9"/>
    <w:rsid w:val="00F8082E"/>
    <w:rsid w:val="00F80B9E"/>
    <w:rsid w:val="00F80F70"/>
    <w:rsid w:val="00F812FB"/>
    <w:rsid w:val="00F813BA"/>
    <w:rsid w:val="00F81E30"/>
    <w:rsid w:val="00F821B2"/>
    <w:rsid w:val="00F82606"/>
    <w:rsid w:val="00F82630"/>
    <w:rsid w:val="00F82C75"/>
    <w:rsid w:val="00F82E73"/>
    <w:rsid w:val="00F83362"/>
    <w:rsid w:val="00F8347D"/>
    <w:rsid w:val="00F83872"/>
    <w:rsid w:val="00F838EB"/>
    <w:rsid w:val="00F83A8A"/>
    <w:rsid w:val="00F83F45"/>
    <w:rsid w:val="00F83FBE"/>
    <w:rsid w:val="00F847EA"/>
    <w:rsid w:val="00F848EF"/>
    <w:rsid w:val="00F849E3"/>
    <w:rsid w:val="00F852BD"/>
    <w:rsid w:val="00F852F4"/>
    <w:rsid w:val="00F85584"/>
    <w:rsid w:val="00F85662"/>
    <w:rsid w:val="00F85CCF"/>
    <w:rsid w:val="00F85F59"/>
    <w:rsid w:val="00F86526"/>
    <w:rsid w:val="00F866A0"/>
    <w:rsid w:val="00F866B1"/>
    <w:rsid w:val="00F8690F"/>
    <w:rsid w:val="00F870E3"/>
    <w:rsid w:val="00F874A9"/>
    <w:rsid w:val="00F875FB"/>
    <w:rsid w:val="00F877EA"/>
    <w:rsid w:val="00F905F4"/>
    <w:rsid w:val="00F90A38"/>
    <w:rsid w:val="00F90B95"/>
    <w:rsid w:val="00F913CB"/>
    <w:rsid w:val="00F91465"/>
    <w:rsid w:val="00F91683"/>
    <w:rsid w:val="00F91747"/>
    <w:rsid w:val="00F9187E"/>
    <w:rsid w:val="00F91A45"/>
    <w:rsid w:val="00F91D9A"/>
    <w:rsid w:val="00F91E3F"/>
    <w:rsid w:val="00F91E8A"/>
    <w:rsid w:val="00F922F5"/>
    <w:rsid w:val="00F9259F"/>
    <w:rsid w:val="00F92A0C"/>
    <w:rsid w:val="00F92BBE"/>
    <w:rsid w:val="00F92C73"/>
    <w:rsid w:val="00F92E27"/>
    <w:rsid w:val="00F92F24"/>
    <w:rsid w:val="00F93325"/>
    <w:rsid w:val="00F93E4F"/>
    <w:rsid w:val="00F93EE5"/>
    <w:rsid w:val="00F94B6A"/>
    <w:rsid w:val="00F94B93"/>
    <w:rsid w:val="00F9523F"/>
    <w:rsid w:val="00F958E3"/>
    <w:rsid w:val="00F959DB"/>
    <w:rsid w:val="00F95C16"/>
    <w:rsid w:val="00F95F51"/>
    <w:rsid w:val="00F96290"/>
    <w:rsid w:val="00F968AC"/>
    <w:rsid w:val="00F968C9"/>
    <w:rsid w:val="00F96B30"/>
    <w:rsid w:val="00F96FB5"/>
    <w:rsid w:val="00F971FC"/>
    <w:rsid w:val="00F974CE"/>
    <w:rsid w:val="00FA04FF"/>
    <w:rsid w:val="00FA0A3D"/>
    <w:rsid w:val="00FA0B76"/>
    <w:rsid w:val="00FA106C"/>
    <w:rsid w:val="00FA12C0"/>
    <w:rsid w:val="00FA17DE"/>
    <w:rsid w:val="00FA1C96"/>
    <w:rsid w:val="00FA1EEF"/>
    <w:rsid w:val="00FA20B3"/>
    <w:rsid w:val="00FA2148"/>
    <w:rsid w:val="00FA2344"/>
    <w:rsid w:val="00FA2603"/>
    <w:rsid w:val="00FA2A61"/>
    <w:rsid w:val="00FA2A6E"/>
    <w:rsid w:val="00FA2DB9"/>
    <w:rsid w:val="00FA2E58"/>
    <w:rsid w:val="00FA2F73"/>
    <w:rsid w:val="00FA331F"/>
    <w:rsid w:val="00FA3E1D"/>
    <w:rsid w:val="00FA46C1"/>
    <w:rsid w:val="00FA485F"/>
    <w:rsid w:val="00FA4B12"/>
    <w:rsid w:val="00FA4DD8"/>
    <w:rsid w:val="00FA4E1E"/>
    <w:rsid w:val="00FA5411"/>
    <w:rsid w:val="00FA54C8"/>
    <w:rsid w:val="00FA618C"/>
    <w:rsid w:val="00FA61D8"/>
    <w:rsid w:val="00FA6B30"/>
    <w:rsid w:val="00FA6B6A"/>
    <w:rsid w:val="00FA6DEA"/>
    <w:rsid w:val="00FA77A5"/>
    <w:rsid w:val="00FA7955"/>
    <w:rsid w:val="00FA7E79"/>
    <w:rsid w:val="00FB05E1"/>
    <w:rsid w:val="00FB0C3A"/>
    <w:rsid w:val="00FB0C6E"/>
    <w:rsid w:val="00FB125E"/>
    <w:rsid w:val="00FB150D"/>
    <w:rsid w:val="00FB165F"/>
    <w:rsid w:val="00FB1981"/>
    <w:rsid w:val="00FB1BAA"/>
    <w:rsid w:val="00FB1DCF"/>
    <w:rsid w:val="00FB20CD"/>
    <w:rsid w:val="00FB222A"/>
    <w:rsid w:val="00FB29F6"/>
    <w:rsid w:val="00FB2BA3"/>
    <w:rsid w:val="00FB2FD0"/>
    <w:rsid w:val="00FB33AC"/>
    <w:rsid w:val="00FB3400"/>
    <w:rsid w:val="00FB3419"/>
    <w:rsid w:val="00FB3509"/>
    <w:rsid w:val="00FB3688"/>
    <w:rsid w:val="00FB3D8A"/>
    <w:rsid w:val="00FB3E31"/>
    <w:rsid w:val="00FB43F0"/>
    <w:rsid w:val="00FB4913"/>
    <w:rsid w:val="00FB4EF8"/>
    <w:rsid w:val="00FB50A7"/>
    <w:rsid w:val="00FB5CF2"/>
    <w:rsid w:val="00FB5E10"/>
    <w:rsid w:val="00FB624E"/>
    <w:rsid w:val="00FB648A"/>
    <w:rsid w:val="00FB65F9"/>
    <w:rsid w:val="00FB66E9"/>
    <w:rsid w:val="00FB69D6"/>
    <w:rsid w:val="00FB6BC2"/>
    <w:rsid w:val="00FB6D52"/>
    <w:rsid w:val="00FB6DE2"/>
    <w:rsid w:val="00FB6F8A"/>
    <w:rsid w:val="00FB715E"/>
    <w:rsid w:val="00FB72E4"/>
    <w:rsid w:val="00FB73C0"/>
    <w:rsid w:val="00FB7784"/>
    <w:rsid w:val="00FB7DDE"/>
    <w:rsid w:val="00FB7F41"/>
    <w:rsid w:val="00FC0206"/>
    <w:rsid w:val="00FC022D"/>
    <w:rsid w:val="00FC0C72"/>
    <w:rsid w:val="00FC0CA2"/>
    <w:rsid w:val="00FC0D62"/>
    <w:rsid w:val="00FC0EB1"/>
    <w:rsid w:val="00FC1549"/>
    <w:rsid w:val="00FC1618"/>
    <w:rsid w:val="00FC18FD"/>
    <w:rsid w:val="00FC19B0"/>
    <w:rsid w:val="00FC1C79"/>
    <w:rsid w:val="00FC23DD"/>
    <w:rsid w:val="00FC2950"/>
    <w:rsid w:val="00FC2E03"/>
    <w:rsid w:val="00FC330C"/>
    <w:rsid w:val="00FC37B9"/>
    <w:rsid w:val="00FC382A"/>
    <w:rsid w:val="00FC38B2"/>
    <w:rsid w:val="00FC3A49"/>
    <w:rsid w:val="00FC3B08"/>
    <w:rsid w:val="00FC42D3"/>
    <w:rsid w:val="00FC486B"/>
    <w:rsid w:val="00FC4C85"/>
    <w:rsid w:val="00FC520C"/>
    <w:rsid w:val="00FC534A"/>
    <w:rsid w:val="00FC54D5"/>
    <w:rsid w:val="00FC5540"/>
    <w:rsid w:val="00FC564A"/>
    <w:rsid w:val="00FC578F"/>
    <w:rsid w:val="00FC5A33"/>
    <w:rsid w:val="00FC63EA"/>
    <w:rsid w:val="00FC6553"/>
    <w:rsid w:val="00FC6B4A"/>
    <w:rsid w:val="00FC6BE1"/>
    <w:rsid w:val="00FC6D1B"/>
    <w:rsid w:val="00FC7375"/>
    <w:rsid w:val="00FC7825"/>
    <w:rsid w:val="00FC7C90"/>
    <w:rsid w:val="00FD009B"/>
    <w:rsid w:val="00FD0142"/>
    <w:rsid w:val="00FD0291"/>
    <w:rsid w:val="00FD04B7"/>
    <w:rsid w:val="00FD0851"/>
    <w:rsid w:val="00FD0E93"/>
    <w:rsid w:val="00FD0EBA"/>
    <w:rsid w:val="00FD107E"/>
    <w:rsid w:val="00FD1D87"/>
    <w:rsid w:val="00FD26F6"/>
    <w:rsid w:val="00FD2938"/>
    <w:rsid w:val="00FD2F0A"/>
    <w:rsid w:val="00FD338A"/>
    <w:rsid w:val="00FD33B5"/>
    <w:rsid w:val="00FD33D9"/>
    <w:rsid w:val="00FD35CC"/>
    <w:rsid w:val="00FD3AC1"/>
    <w:rsid w:val="00FD3CE3"/>
    <w:rsid w:val="00FD3F5B"/>
    <w:rsid w:val="00FD4191"/>
    <w:rsid w:val="00FD4426"/>
    <w:rsid w:val="00FD447A"/>
    <w:rsid w:val="00FD46A6"/>
    <w:rsid w:val="00FD4887"/>
    <w:rsid w:val="00FD5010"/>
    <w:rsid w:val="00FD508A"/>
    <w:rsid w:val="00FD546D"/>
    <w:rsid w:val="00FD549B"/>
    <w:rsid w:val="00FD57C2"/>
    <w:rsid w:val="00FD583F"/>
    <w:rsid w:val="00FD5A4D"/>
    <w:rsid w:val="00FD6286"/>
    <w:rsid w:val="00FD629F"/>
    <w:rsid w:val="00FD6458"/>
    <w:rsid w:val="00FD645D"/>
    <w:rsid w:val="00FD67AC"/>
    <w:rsid w:val="00FD68DC"/>
    <w:rsid w:val="00FD76C3"/>
    <w:rsid w:val="00FD7B72"/>
    <w:rsid w:val="00FE0679"/>
    <w:rsid w:val="00FE07ED"/>
    <w:rsid w:val="00FE0844"/>
    <w:rsid w:val="00FE0D1B"/>
    <w:rsid w:val="00FE0F1B"/>
    <w:rsid w:val="00FE14CF"/>
    <w:rsid w:val="00FE172D"/>
    <w:rsid w:val="00FE1971"/>
    <w:rsid w:val="00FE1985"/>
    <w:rsid w:val="00FE199C"/>
    <w:rsid w:val="00FE1BE6"/>
    <w:rsid w:val="00FE1E3E"/>
    <w:rsid w:val="00FE200C"/>
    <w:rsid w:val="00FE2142"/>
    <w:rsid w:val="00FE21D2"/>
    <w:rsid w:val="00FE2375"/>
    <w:rsid w:val="00FE2B13"/>
    <w:rsid w:val="00FE2C1B"/>
    <w:rsid w:val="00FE2C2F"/>
    <w:rsid w:val="00FE2CBB"/>
    <w:rsid w:val="00FE31EB"/>
    <w:rsid w:val="00FE37F5"/>
    <w:rsid w:val="00FE3AC9"/>
    <w:rsid w:val="00FE3B61"/>
    <w:rsid w:val="00FE3BF0"/>
    <w:rsid w:val="00FE4037"/>
    <w:rsid w:val="00FE416E"/>
    <w:rsid w:val="00FE45C0"/>
    <w:rsid w:val="00FE4640"/>
    <w:rsid w:val="00FE4ED1"/>
    <w:rsid w:val="00FE5244"/>
    <w:rsid w:val="00FE5979"/>
    <w:rsid w:val="00FE5ACA"/>
    <w:rsid w:val="00FE5C42"/>
    <w:rsid w:val="00FE5D19"/>
    <w:rsid w:val="00FE6189"/>
    <w:rsid w:val="00FE6ACB"/>
    <w:rsid w:val="00FE6B3B"/>
    <w:rsid w:val="00FE6C5B"/>
    <w:rsid w:val="00FE7129"/>
    <w:rsid w:val="00FE767F"/>
    <w:rsid w:val="00FE78FD"/>
    <w:rsid w:val="00FE7BCC"/>
    <w:rsid w:val="00FF01C2"/>
    <w:rsid w:val="00FF022D"/>
    <w:rsid w:val="00FF028A"/>
    <w:rsid w:val="00FF03F3"/>
    <w:rsid w:val="00FF08AB"/>
    <w:rsid w:val="00FF0C3B"/>
    <w:rsid w:val="00FF0EE5"/>
    <w:rsid w:val="00FF10F0"/>
    <w:rsid w:val="00FF122A"/>
    <w:rsid w:val="00FF1869"/>
    <w:rsid w:val="00FF1D12"/>
    <w:rsid w:val="00FF1FCB"/>
    <w:rsid w:val="00FF2047"/>
    <w:rsid w:val="00FF26F6"/>
    <w:rsid w:val="00FF291E"/>
    <w:rsid w:val="00FF2C73"/>
    <w:rsid w:val="00FF31F9"/>
    <w:rsid w:val="00FF3517"/>
    <w:rsid w:val="00FF3610"/>
    <w:rsid w:val="00FF3859"/>
    <w:rsid w:val="00FF3BA1"/>
    <w:rsid w:val="00FF433E"/>
    <w:rsid w:val="00FF4458"/>
    <w:rsid w:val="00FF4512"/>
    <w:rsid w:val="00FF4D52"/>
    <w:rsid w:val="00FF4F84"/>
    <w:rsid w:val="00FF55CD"/>
    <w:rsid w:val="00FF618D"/>
    <w:rsid w:val="00FF6388"/>
    <w:rsid w:val="00FF64BD"/>
    <w:rsid w:val="00FF6813"/>
    <w:rsid w:val="00FF6869"/>
    <w:rsid w:val="00FF6BB8"/>
    <w:rsid w:val="00FF6C1C"/>
    <w:rsid w:val="00FF6CB1"/>
    <w:rsid w:val="00FF6F11"/>
    <w:rsid w:val="00FF7537"/>
    <w:rsid w:val="00FF75EC"/>
    <w:rsid w:val="171441B4"/>
    <w:rsid w:val="269E6708"/>
    <w:rsid w:val="3A5B7B48"/>
    <w:rsid w:val="4CE61742"/>
    <w:rsid w:val="5B9608D0"/>
    <w:rsid w:val="661B7749"/>
    <w:rsid w:val="671A7E78"/>
    <w:rsid w:val="6AFA016C"/>
    <w:rsid w:val="6FB801CC"/>
    <w:rsid w:val="748F47C8"/>
    <w:rsid w:val="7E9D38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D57D0"/>
  <w15:docId w15:val="{69F43429-D5B9-4239-8786-8AF76A60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1">
    <w:name w:val="heading 1"/>
    <w:basedOn w:val="a"/>
    <w:next w:val="a"/>
    <w:link w:val="10"/>
    <w:uiPriority w:val="99"/>
    <w:qFormat/>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basedOn w:val="a"/>
    <w:next w:val="a"/>
    <w:link w:val="20"/>
    <w:qFormat/>
    <w:pPr>
      <w:keepNext/>
      <w:keepLines/>
      <w:widowControl w:val="0"/>
      <w:spacing w:before="60" w:after="60"/>
      <w:ind w:left="200" w:hangingChars="200" w:hanging="200"/>
      <w:jc w:val="both"/>
      <w:outlineLvl w:val="1"/>
    </w:pPr>
    <w:rPr>
      <w:rFonts w:ascii="Arial" w:hAnsi="Arial" w:cs="Times New Roman"/>
      <w:b/>
      <w:bCs/>
      <w:kern w:val="2"/>
    </w:rPr>
  </w:style>
  <w:style w:type="paragraph" w:styleId="3">
    <w:name w:val="heading 3"/>
    <w:basedOn w:val="a"/>
    <w:next w:val="a"/>
    <w:link w:val="30"/>
    <w:uiPriority w:val="9"/>
    <w:qFormat/>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0"/>
    <w:uiPriority w:val="9"/>
    <w:qFormat/>
    <w:pPr>
      <w:keepNext/>
      <w:keepLines/>
      <w:widowControl w:val="0"/>
      <w:spacing w:before="60" w:after="60"/>
      <w:jc w:val="both"/>
      <w:outlineLvl w:val="3"/>
    </w:pPr>
    <w:rPr>
      <w:rFonts w:ascii="Cambria" w:hAnsi="Cambria" w:cs="Times New Roman"/>
      <w:b/>
      <w:bCs/>
      <w:kern w:val="2"/>
      <w:szCs w:val="28"/>
    </w:rPr>
  </w:style>
  <w:style w:type="paragraph" w:styleId="5">
    <w:name w:val="heading 5"/>
    <w:basedOn w:val="a"/>
    <w:next w:val="a"/>
    <w:link w:val="50"/>
    <w:uiPriority w:val="9"/>
    <w:qFormat/>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link w:val="60"/>
    <w:uiPriority w:val="9"/>
    <w:unhideWhenUsed/>
    <w:qFormat/>
    <w:pPr>
      <w:keepNext/>
      <w:keepLines/>
      <w:spacing w:before="60" w:after="60"/>
      <w:outlineLvl w:val="5"/>
    </w:pPr>
    <w:rPr>
      <w:rFonts w:asciiTheme="majorHAnsi" w:hAnsiTheme="majorHAnsi" w:cstheme="majorBidi"/>
      <w:b/>
      <w:bCs/>
    </w:rPr>
  </w:style>
  <w:style w:type="paragraph" w:styleId="7">
    <w:name w:val="heading 7"/>
    <w:basedOn w:val="a"/>
    <w:next w:val="a"/>
    <w:link w:val="70"/>
    <w:uiPriority w:val="9"/>
    <w:unhideWhenUsed/>
    <w:qFormat/>
    <w:pPr>
      <w:keepNext/>
      <w:keepLines/>
      <w:spacing w:before="240" w:after="64" w:line="320" w:lineRule="auto"/>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39"/>
    <w:unhideWhenUsed/>
    <w:qFormat/>
    <w:pPr>
      <w:ind w:left="1260"/>
    </w:pPr>
    <w:rPr>
      <w:rFonts w:asciiTheme="minorHAnsi" w:hAnsiTheme="minorHAnsi" w:cstheme="minorHAnsi"/>
      <w:bCs/>
      <w:sz w:val="18"/>
      <w:szCs w:val="18"/>
    </w:rPr>
  </w:style>
  <w:style w:type="paragraph" w:styleId="a3">
    <w:name w:val="Note Heading"/>
    <w:basedOn w:val="a"/>
    <w:next w:val="a"/>
    <w:link w:val="a4"/>
    <w:uiPriority w:val="99"/>
    <w:qFormat/>
    <w:pPr>
      <w:widowControl w:val="0"/>
      <w:jc w:val="center"/>
    </w:pPr>
    <w:rPr>
      <w:rFonts w:ascii="Times New Roman" w:hAnsi="Times New Roman" w:cs="Times New Roman"/>
      <w:kern w:val="2"/>
    </w:rPr>
  </w:style>
  <w:style w:type="paragraph" w:styleId="a5">
    <w:name w:val="Normal Indent"/>
    <w:basedOn w:val="a"/>
    <w:qFormat/>
    <w:pPr>
      <w:widowControl w:val="0"/>
      <w:ind w:firstLineChars="200" w:firstLine="420"/>
      <w:jc w:val="both"/>
    </w:pPr>
    <w:rPr>
      <w:rFonts w:ascii="Times New Roman" w:hAnsi="Times New Roman" w:cs="Times New Roman"/>
      <w:kern w:val="2"/>
    </w:rPr>
  </w:style>
  <w:style w:type="paragraph" w:styleId="a6">
    <w:name w:val="Document Map"/>
    <w:basedOn w:val="a"/>
    <w:link w:val="a7"/>
    <w:uiPriority w:val="99"/>
    <w:semiHidden/>
    <w:unhideWhenUsed/>
    <w:qFormat/>
    <w:pPr>
      <w:widowControl w:val="0"/>
      <w:jc w:val="both"/>
    </w:pPr>
    <w:rPr>
      <w:rFonts w:hAnsi="Calibri" w:cs="Times New Roman"/>
      <w:kern w:val="2"/>
      <w:sz w:val="18"/>
      <w:szCs w:val="18"/>
    </w:rPr>
  </w:style>
  <w:style w:type="paragraph" w:styleId="a8">
    <w:name w:val="toa heading"/>
    <w:basedOn w:val="a"/>
    <w:next w:val="a"/>
    <w:semiHidden/>
    <w:qFormat/>
    <w:pPr>
      <w:widowControl w:val="0"/>
      <w:spacing w:before="120"/>
      <w:jc w:val="both"/>
    </w:pPr>
    <w:rPr>
      <w:rFonts w:ascii="Arial" w:hAnsi="Arial" w:cs="Times New Roman"/>
      <w:b/>
      <w:bCs/>
      <w:kern w:val="2"/>
    </w:rPr>
  </w:style>
  <w:style w:type="paragraph" w:styleId="a9">
    <w:name w:val="annotation text"/>
    <w:basedOn w:val="a"/>
    <w:link w:val="aa"/>
    <w:qFormat/>
    <w:pPr>
      <w:widowControl w:val="0"/>
    </w:pPr>
    <w:rPr>
      <w:rFonts w:ascii="Times New Roman" w:hAnsi="Times New Roman" w:cs="Times New Roman"/>
      <w:kern w:val="2"/>
    </w:rPr>
  </w:style>
  <w:style w:type="paragraph" w:styleId="ab">
    <w:name w:val="Salutation"/>
    <w:basedOn w:val="a"/>
    <w:next w:val="a"/>
    <w:link w:val="ac"/>
    <w:uiPriority w:val="99"/>
    <w:qFormat/>
    <w:pPr>
      <w:widowControl w:val="0"/>
      <w:jc w:val="both"/>
    </w:pPr>
    <w:rPr>
      <w:rFonts w:ascii="Times New Roman" w:hAnsi="Times New Roman" w:cs="Times New Roman"/>
      <w:kern w:val="2"/>
    </w:rPr>
  </w:style>
  <w:style w:type="paragraph" w:styleId="31">
    <w:name w:val="List Bullet 3"/>
    <w:basedOn w:val="a"/>
    <w:qFormat/>
    <w:pPr>
      <w:widowControl w:val="0"/>
      <w:tabs>
        <w:tab w:val="left" w:pos="1200"/>
      </w:tabs>
      <w:jc w:val="both"/>
    </w:pPr>
    <w:rPr>
      <w:rFonts w:ascii="Times New Roman" w:hAnsi="Times New Roman" w:cs="Times New Roman"/>
      <w:kern w:val="2"/>
    </w:rPr>
  </w:style>
  <w:style w:type="paragraph" w:styleId="ad">
    <w:name w:val="Body Text"/>
    <w:basedOn w:val="a"/>
    <w:link w:val="ae"/>
    <w:uiPriority w:val="99"/>
    <w:qFormat/>
    <w:pPr>
      <w:widowControl w:val="0"/>
      <w:spacing w:after="120"/>
      <w:jc w:val="both"/>
    </w:pPr>
    <w:rPr>
      <w:rFonts w:ascii="Times New Roman" w:hAnsi="Times New Roman" w:cs="Times New Roman"/>
      <w:kern w:val="2"/>
    </w:rPr>
  </w:style>
  <w:style w:type="paragraph" w:styleId="TOC5">
    <w:name w:val="toc 5"/>
    <w:basedOn w:val="a"/>
    <w:next w:val="a"/>
    <w:autoRedefine/>
    <w:uiPriority w:val="39"/>
    <w:unhideWhenUsed/>
    <w:qFormat/>
    <w:pPr>
      <w:ind w:left="840"/>
    </w:pPr>
    <w:rPr>
      <w:rFonts w:asciiTheme="minorHAnsi" w:hAnsiTheme="minorHAnsi" w:cstheme="minorHAnsi"/>
      <w:bCs/>
      <w:sz w:val="18"/>
      <w:szCs w:val="18"/>
    </w:rPr>
  </w:style>
  <w:style w:type="paragraph" w:styleId="TOC3">
    <w:name w:val="toc 3"/>
    <w:basedOn w:val="a"/>
    <w:next w:val="a"/>
    <w:autoRedefine/>
    <w:uiPriority w:val="39"/>
    <w:unhideWhenUsed/>
    <w:qFormat/>
    <w:pPr>
      <w:ind w:left="420"/>
    </w:pPr>
    <w:rPr>
      <w:rFonts w:asciiTheme="minorHAnsi" w:hAnsiTheme="minorHAnsi" w:cstheme="minorHAnsi"/>
      <w:bCs/>
      <w:i/>
      <w:iCs/>
      <w:sz w:val="20"/>
      <w:szCs w:val="20"/>
    </w:rPr>
  </w:style>
  <w:style w:type="paragraph" w:styleId="af">
    <w:name w:val="Plain Text"/>
    <w:basedOn w:val="a"/>
    <w:link w:val="af0"/>
    <w:qFormat/>
    <w:pPr>
      <w:widowControl w:val="0"/>
      <w:jc w:val="both"/>
    </w:pPr>
    <w:rPr>
      <w:rFonts w:hAnsi="Courier New" w:cs="Times New Roman"/>
      <w:kern w:val="2"/>
      <w:szCs w:val="20"/>
    </w:rPr>
  </w:style>
  <w:style w:type="paragraph" w:styleId="TOC8">
    <w:name w:val="toc 8"/>
    <w:basedOn w:val="a"/>
    <w:next w:val="a"/>
    <w:autoRedefine/>
    <w:uiPriority w:val="39"/>
    <w:unhideWhenUsed/>
    <w:qFormat/>
    <w:pPr>
      <w:ind w:left="1470"/>
    </w:pPr>
    <w:rPr>
      <w:rFonts w:asciiTheme="minorHAnsi" w:hAnsiTheme="minorHAnsi" w:cstheme="minorHAnsi"/>
      <w:bCs/>
      <w:sz w:val="18"/>
      <w:szCs w:val="18"/>
    </w:rPr>
  </w:style>
  <w:style w:type="paragraph" w:styleId="af1">
    <w:name w:val="Date"/>
    <w:basedOn w:val="a"/>
    <w:next w:val="a"/>
    <w:link w:val="af2"/>
    <w:uiPriority w:val="99"/>
    <w:qFormat/>
    <w:pPr>
      <w:widowControl w:val="0"/>
      <w:ind w:leftChars="2500" w:left="100"/>
      <w:jc w:val="both"/>
    </w:pPr>
    <w:rPr>
      <w:rFonts w:ascii="Times New Roman" w:hAnsi="Times New Roman" w:cs="Times New Roman"/>
      <w:kern w:val="2"/>
    </w:rPr>
  </w:style>
  <w:style w:type="paragraph" w:styleId="af3">
    <w:name w:val="endnote text"/>
    <w:basedOn w:val="a"/>
    <w:link w:val="af4"/>
    <w:uiPriority w:val="99"/>
    <w:semiHidden/>
    <w:unhideWhenUsed/>
    <w:qFormat/>
    <w:pPr>
      <w:snapToGrid w:val="0"/>
    </w:pPr>
  </w:style>
  <w:style w:type="paragraph" w:styleId="af5">
    <w:name w:val="Balloon Text"/>
    <w:basedOn w:val="a"/>
    <w:link w:val="af6"/>
    <w:uiPriority w:val="99"/>
    <w:unhideWhenUsed/>
    <w:qFormat/>
    <w:pPr>
      <w:widowControl w:val="0"/>
      <w:jc w:val="both"/>
    </w:pPr>
    <w:rPr>
      <w:rFonts w:ascii="Calibri" w:hAnsi="Calibri" w:cs="Times New Roman"/>
      <w:kern w:val="2"/>
      <w:sz w:val="18"/>
      <w:szCs w:val="18"/>
    </w:rPr>
  </w:style>
  <w:style w:type="paragraph" w:styleId="af7">
    <w:name w:val="footer"/>
    <w:basedOn w:val="a"/>
    <w:link w:val="af8"/>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f9">
    <w:name w:val="header"/>
    <w:basedOn w:val="a"/>
    <w:link w:val="afa"/>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TOC1">
    <w:name w:val="toc 1"/>
    <w:basedOn w:val="a"/>
    <w:next w:val="a"/>
    <w:autoRedefine/>
    <w:uiPriority w:val="39"/>
    <w:qFormat/>
    <w:pPr>
      <w:spacing w:line="360" w:lineRule="auto"/>
      <w:ind w:left="200" w:hangingChars="200" w:hanging="200"/>
    </w:pPr>
    <w:rPr>
      <w:rFonts w:ascii="Times New Roman" w:hAnsi="Times New Roman" w:cstheme="minorHAnsi"/>
      <w:b/>
      <w:caps/>
      <w:szCs w:val="20"/>
    </w:rPr>
  </w:style>
  <w:style w:type="paragraph" w:styleId="TOC4">
    <w:name w:val="toc 4"/>
    <w:basedOn w:val="a"/>
    <w:next w:val="a"/>
    <w:autoRedefine/>
    <w:uiPriority w:val="39"/>
    <w:unhideWhenUsed/>
    <w:qFormat/>
    <w:pPr>
      <w:ind w:left="630"/>
    </w:pPr>
    <w:rPr>
      <w:rFonts w:asciiTheme="minorHAnsi" w:hAnsiTheme="minorHAnsi" w:cstheme="minorHAnsi"/>
      <w:bCs/>
      <w:sz w:val="18"/>
      <w:szCs w:val="18"/>
    </w:rPr>
  </w:style>
  <w:style w:type="paragraph" w:styleId="afb">
    <w:name w:val="footnote text"/>
    <w:basedOn w:val="a"/>
    <w:link w:val="afc"/>
    <w:uiPriority w:val="99"/>
    <w:semiHidden/>
    <w:unhideWhenUsed/>
    <w:qFormat/>
    <w:pPr>
      <w:widowControl w:val="0"/>
      <w:snapToGrid w:val="0"/>
    </w:pPr>
    <w:rPr>
      <w:rFonts w:ascii="Calibri" w:hAnsi="Calibri" w:cs="Times New Roman"/>
      <w:bCs/>
      <w:kern w:val="2"/>
      <w:sz w:val="18"/>
      <w:szCs w:val="18"/>
    </w:rPr>
  </w:style>
  <w:style w:type="paragraph" w:styleId="TOC6">
    <w:name w:val="toc 6"/>
    <w:basedOn w:val="a"/>
    <w:next w:val="a"/>
    <w:autoRedefine/>
    <w:uiPriority w:val="39"/>
    <w:unhideWhenUsed/>
    <w:qFormat/>
    <w:pPr>
      <w:ind w:left="1050"/>
    </w:pPr>
    <w:rPr>
      <w:rFonts w:asciiTheme="minorHAnsi" w:hAnsiTheme="minorHAnsi" w:cstheme="minorHAnsi"/>
      <w:bCs/>
      <w:sz w:val="18"/>
      <w:szCs w:val="18"/>
    </w:rPr>
  </w:style>
  <w:style w:type="paragraph" w:styleId="TOC2">
    <w:name w:val="toc 2"/>
    <w:basedOn w:val="a"/>
    <w:next w:val="a"/>
    <w:autoRedefine/>
    <w:uiPriority w:val="39"/>
    <w:qFormat/>
    <w:pPr>
      <w:ind w:left="210"/>
    </w:pPr>
    <w:rPr>
      <w:rFonts w:asciiTheme="minorHAnsi" w:hAnsiTheme="minorHAnsi" w:cstheme="minorHAnsi"/>
      <w:bCs/>
      <w:smallCaps/>
      <w:sz w:val="20"/>
      <w:szCs w:val="20"/>
    </w:rPr>
  </w:style>
  <w:style w:type="paragraph" w:styleId="TOC9">
    <w:name w:val="toc 9"/>
    <w:basedOn w:val="a"/>
    <w:next w:val="a"/>
    <w:autoRedefine/>
    <w:uiPriority w:val="39"/>
    <w:unhideWhenUsed/>
    <w:qFormat/>
    <w:pPr>
      <w:ind w:left="1680"/>
    </w:pPr>
    <w:rPr>
      <w:rFonts w:asciiTheme="minorHAnsi" w:hAnsiTheme="minorHAnsi" w:cstheme="minorHAnsi"/>
      <w:bCs/>
      <w:sz w:val="18"/>
      <w:szCs w:val="18"/>
    </w:rPr>
  </w:style>
  <w:style w:type="paragraph" w:styleId="afd">
    <w:name w:val="Normal (Web)"/>
    <w:basedOn w:val="a"/>
    <w:uiPriority w:val="99"/>
    <w:qFormat/>
    <w:pPr>
      <w:spacing w:before="100" w:beforeAutospacing="1" w:after="100" w:afterAutospacing="1"/>
    </w:pPr>
  </w:style>
  <w:style w:type="paragraph" w:styleId="11">
    <w:name w:val="index 1"/>
    <w:basedOn w:val="a"/>
    <w:next w:val="a"/>
    <w:autoRedefine/>
    <w:semiHidden/>
    <w:qFormat/>
    <w:pPr>
      <w:jc w:val="right"/>
    </w:pPr>
    <w:rPr>
      <w:rFonts w:cs="Times New Roman"/>
      <w:color w:val="000000" w:themeColor="text1"/>
      <w:sz w:val="21"/>
    </w:rPr>
  </w:style>
  <w:style w:type="paragraph" w:styleId="afe">
    <w:name w:val="Title"/>
    <w:basedOn w:val="a"/>
    <w:next w:val="a"/>
    <w:link w:val="aff"/>
    <w:uiPriority w:val="10"/>
    <w:qFormat/>
    <w:pPr>
      <w:widowControl w:val="0"/>
      <w:spacing w:before="240" w:after="60"/>
      <w:jc w:val="center"/>
      <w:outlineLvl w:val="0"/>
    </w:pPr>
    <w:rPr>
      <w:rFonts w:asciiTheme="majorHAnsi" w:hAnsiTheme="majorHAnsi" w:cstheme="majorBidi"/>
      <w:b/>
      <w:bCs/>
      <w:kern w:val="2"/>
      <w:sz w:val="32"/>
      <w:szCs w:val="32"/>
    </w:rPr>
  </w:style>
  <w:style w:type="paragraph" w:styleId="aff0">
    <w:name w:val="annotation subject"/>
    <w:basedOn w:val="a9"/>
    <w:next w:val="a9"/>
    <w:link w:val="aff1"/>
    <w:uiPriority w:val="99"/>
    <w:unhideWhenUsed/>
    <w:qFormat/>
    <w:rPr>
      <w:rFonts w:ascii="Calibri" w:hAnsi="Calibri"/>
      <w:b/>
      <w:bCs/>
      <w:szCs w:val="22"/>
    </w:rPr>
  </w:style>
  <w:style w:type="table" w:styleId="aff2">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ndnote reference"/>
    <w:basedOn w:val="a0"/>
    <w:uiPriority w:val="99"/>
    <w:semiHidden/>
    <w:unhideWhenUsed/>
    <w:qFormat/>
    <w:rPr>
      <w:vertAlign w:val="superscript"/>
    </w:rPr>
  </w:style>
  <w:style w:type="character" w:styleId="aff4">
    <w:name w:val="Hyperlink"/>
    <w:basedOn w:val="a0"/>
    <w:uiPriority w:val="99"/>
    <w:qFormat/>
    <w:rPr>
      <w:rFonts w:cs="Times New Roman"/>
      <w:color w:val="0000FF"/>
      <w:u w:val="single"/>
    </w:rPr>
  </w:style>
  <w:style w:type="character" w:styleId="aff5">
    <w:name w:val="annotation reference"/>
    <w:basedOn w:val="a0"/>
    <w:uiPriority w:val="99"/>
    <w:qFormat/>
    <w:rPr>
      <w:rFonts w:eastAsia="宋体" w:cs="Times New Roman"/>
      <w:kern w:val="2"/>
      <w:sz w:val="21"/>
      <w:szCs w:val="21"/>
      <w:lang w:val="en-US" w:eastAsia="zh-CN" w:bidi="ar-SA"/>
    </w:rPr>
  </w:style>
  <w:style w:type="character" w:styleId="aff6">
    <w:name w:val="footnote reference"/>
    <w:uiPriority w:val="99"/>
    <w:semiHidden/>
    <w:unhideWhenUsed/>
    <w:qFormat/>
    <w:rPr>
      <w:vertAlign w:val="superscript"/>
    </w:rPr>
  </w:style>
  <w:style w:type="character" w:customStyle="1" w:styleId="10">
    <w:name w:val="标题 1 字符"/>
    <w:basedOn w:val="a0"/>
    <w:link w:val="1"/>
    <w:uiPriority w:val="99"/>
    <w:qFormat/>
    <w:rPr>
      <w:rFonts w:eastAsia="黑体"/>
      <w:b/>
      <w:kern w:val="44"/>
      <w:sz w:val="28"/>
      <w:szCs w:val="44"/>
    </w:rPr>
  </w:style>
  <w:style w:type="character" w:customStyle="1" w:styleId="20">
    <w:name w:val="标题 2 字符"/>
    <w:basedOn w:val="a0"/>
    <w:link w:val="2"/>
    <w:qFormat/>
    <w:rPr>
      <w:rFonts w:ascii="Arial" w:hAnsi="Arial"/>
      <w:b/>
      <w:kern w:val="2"/>
      <w:sz w:val="21"/>
      <w:szCs w:val="21"/>
    </w:rPr>
  </w:style>
  <w:style w:type="character" w:customStyle="1" w:styleId="30">
    <w:name w:val="标题 3 字符"/>
    <w:basedOn w:val="a0"/>
    <w:link w:val="3"/>
    <w:uiPriority w:val="9"/>
    <w:qFormat/>
    <w:rPr>
      <w:b/>
      <w:kern w:val="2"/>
      <w:sz w:val="21"/>
      <w:szCs w:val="32"/>
    </w:rPr>
  </w:style>
  <w:style w:type="character" w:customStyle="1" w:styleId="40">
    <w:name w:val="标题 4 字符"/>
    <w:basedOn w:val="a0"/>
    <w:link w:val="4"/>
    <w:uiPriority w:val="9"/>
    <w:qFormat/>
    <w:rPr>
      <w:rFonts w:ascii="Cambria" w:hAnsi="Cambria"/>
      <w:b/>
      <w:kern w:val="2"/>
      <w:sz w:val="21"/>
      <w:szCs w:val="28"/>
    </w:rPr>
  </w:style>
  <w:style w:type="character" w:customStyle="1" w:styleId="50">
    <w:name w:val="标题 5 字符"/>
    <w:basedOn w:val="a0"/>
    <w:link w:val="5"/>
    <w:uiPriority w:val="9"/>
    <w:qFormat/>
    <w:rPr>
      <w:b/>
      <w:kern w:val="2"/>
      <w:sz w:val="21"/>
      <w:szCs w:val="28"/>
    </w:rPr>
  </w:style>
  <w:style w:type="character" w:customStyle="1" w:styleId="60">
    <w:name w:val="标题 6 字符"/>
    <w:basedOn w:val="a0"/>
    <w:link w:val="6"/>
    <w:uiPriority w:val="9"/>
    <w:qFormat/>
    <w:rPr>
      <w:rFonts w:asciiTheme="majorHAnsi" w:hAnsiTheme="majorHAnsi" w:cstheme="majorBidi"/>
      <w:b/>
      <w:sz w:val="21"/>
      <w:szCs w:val="24"/>
    </w:rPr>
  </w:style>
  <w:style w:type="character" w:customStyle="1" w:styleId="70">
    <w:name w:val="标题 7 字符"/>
    <w:basedOn w:val="a0"/>
    <w:link w:val="7"/>
    <w:uiPriority w:val="9"/>
    <w:qFormat/>
    <w:rPr>
      <w:rFonts w:ascii="宋体" w:hAnsi="宋体" w:cs="宋体"/>
      <w:b/>
      <w:sz w:val="24"/>
      <w:szCs w:val="24"/>
    </w:rPr>
  </w:style>
  <w:style w:type="character" w:customStyle="1" w:styleId="a4">
    <w:name w:val="注释标题 字符"/>
    <w:basedOn w:val="a0"/>
    <w:link w:val="a3"/>
    <w:uiPriority w:val="99"/>
    <w:qFormat/>
    <w:rPr>
      <w:rFonts w:ascii="Times New Roman" w:eastAsia="宋体" w:hAnsi="Times New Roman" w:cs="Times New Roman"/>
      <w:szCs w:val="21"/>
    </w:rPr>
  </w:style>
  <w:style w:type="character" w:customStyle="1" w:styleId="a7">
    <w:name w:val="文档结构图 字符"/>
    <w:basedOn w:val="a0"/>
    <w:link w:val="a6"/>
    <w:uiPriority w:val="99"/>
    <w:semiHidden/>
    <w:qFormat/>
    <w:rPr>
      <w:rFonts w:ascii="宋体"/>
      <w:kern w:val="2"/>
      <w:sz w:val="18"/>
      <w:szCs w:val="18"/>
    </w:rPr>
  </w:style>
  <w:style w:type="character" w:customStyle="1" w:styleId="aa">
    <w:name w:val="批注文字 字符"/>
    <w:basedOn w:val="a0"/>
    <w:link w:val="a9"/>
    <w:qFormat/>
    <w:rPr>
      <w:rFonts w:ascii="Times New Roman" w:eastAsia="宋体" w:hAnsi="Times New Roman" w:cs="Times New Roman"/>
      <w:szCs w:val="21"/>
    </w:rPr>
  </w:style>
  <w:style w:type="character" w:customStyle="1" w:styleId="ac">
    <w:name w:val="称呼 字符"/>
    <w:basedOn w:val="a0"/>
    <w:link w:val="ab"/>
    <w:uiPriority w:val="99"/>
    <w:qFormat/>
    <w:rPr>
      <w:rFonts w:ascii="Times New Roman" w:eastAsia="宋体" w:hAnsi="Times New Roman" w:cs="Times New Roman"/>
      <w:szCs w:val="21"/>
    </w:rPr>
  </w:style>
  <w:style w:type="character" w:customStyle="1" w:styleId="ae">
    <w:name w:val="正文文本 字符"/>
    <w:basedOn w:val="a0"/>
    <w:link w:val="ad"/>
    <w:uiPriority w:val="99"/>
    <w:qFormat/>
    <w:rPr>
      <w:rFonts w:ascii="Times New Roman" w:eastAsia="宋体" w:hAnsi="Times New Roman" w:cs="Times New Roman"/>
      <w:szCs w:val="21"/>
    </w:rPr>
  </w:style>
  <w:style w:type="character" w:customStyle="1" w:styleId="af0">
    <w:name w:val="纯文本 字符"/>
    <w:basedOn w:val="a0"/>
    <w:link w:val="af"/>
    <w:qFormat/>
    <w:rPr>
      <w:rFonts w:ascii="宋体" w:eastAsia="宋体" w:hAnsi="Courier New" w:cs="Times New Roman"/>
      <w:szCs w:val="20"/>
    </w:rPr>
  </w:style>
  <w:style w:type="character" w:customStyle="1" w:styleId="af2">
    <w:name w:val="日期 字符"/>
    <w:basedOn w:val="a0"/>
    <w:link w:val="af1"/>
    <w:uiPriority w:val="99"/>
    <w:qFormat/>
    <w:rPr>
      <w:rFonts w:ascii="Times New Roman" w:eastAsia="宋体" w:hAnsi="Times New Roman" w:cs="Times New Roman"/>
      <w:szCs w:val="21"/>
    </w:rPr>
  </w:style>
  <w:style w:type="character" w:customStyle="1" w:styleId="af4">
    <w:name w:val="尾注文本 字符"/>
    <w:basedOn w:val="a0"/>
    <w:link w:val="af3"/>
    <w:uiPriority w:val="99"/>
    <w:semiHidden/>
    <w:qFormat/>
    <w:rPr>
      <w:rFonts w:ascii="宋体" w:hAnsi="宋体" w:cs="宋体"/>
      <w:sz w:val="21"/>
      <w:szCs w:val="24"/>
    </w:rPr>
  </w:style>
  <w:style w:type="character" w:customStyle="1" w:styleId="af6">
    <w:name w:val="批注框文本 字符"/>
    <w:basedOn w:val="a0"/>
    <w:link w:val="af5"/>
    <w:uiPriority w:val="99"/>
    <w:qFormat/>
    <w:rPr>
      <w:rFonts w:ascii="Calibri" w:eastAsia="宋体" w:hAnsi="Calibri" w:cs="Times New Roman"/>
      <w:sz w:val="18"/>
      <w:szCs w:val="18"/>
    </w:rPr>
  </w:style>
  <w:style w:type="character" w:customStyle="1" w:styleId="af8">
    <w:name w:val="页脚 字符"/>
    <w:basedOn w:val="a0"/>
    <w:link w:val="af7"/>
    <w:uiPriority w:val="99"/>
    <w:qFormat/>
    <w:rPr>
      <w:rFonts w:ascii="Calibri" w:eastAsia="宋体" w:hAnsi="Calibri" w:cs="Times New Roman"/>
      <w:sz w:val="18"/>
      <w:szCs w:val="18"/>
    </w:rPr>
  </w:style>
  <w:style w:type="character" w:customStyle="1" w:styleId="afa">
    <w:name w:val="页眉 字符"/>
    <w:basedOn w:val="a0"/>
    <w:link w:val="af9"/>
    <w:uiPriority w:val="99"/>
    <w:qFormat/>
    <w:rPr>
      <w:rFonts w:ascii="Calibri" w:eastAsia="宋体" w:hAnsi="Calibri" w:cs="Times New Roman"/>
      <w:sz w:val="18"/>
      <w:szCs w:val="18"/>
    </w:rPr>
  </w:style>
  <w:style w:type="character" w:customStyle="1" w:styleId="afc">
    <w:name w:val="脚注文本 字符"/>
    <w:basedOn w:val="a0"/>
    <w:link w:val="afb"/>
    <w:uiPriority w:val="99"/>
    <w:semiHidden/>
    <w:qFormat/>
    <w:rPr>
      <w:rFonts w:ascii="Calibri" w:hAnsi="Calibri" w:cs="Times New Roman"/>
      <w:kern w:val="2"/>
      <w:sz w:val="18"/>
      <w:szCs w:val="18"/>
    </w:rPr>
  </w:style>
  <w:style w:type="character" w:customStyle="1" w:styleId="aff">
    <w:name w:val="标题 字符"/>
    <w:basedOn w:val="a0"/>
    <w:link w:val="afe"/>
    <w:uiPriority w:val="10"/>
    <w:qFormat/>
    <w:rPr>
      <w:rFonts w:asciiTheme="majorHAnsi" w:hAnsiTheme="majorHAnsi" w:cstheme="majorBidi"/>
      <w:b/>
      <w:kern w:val="2"/>
      <w:sz w:val="32"/>
      <w:szCs w:val="32"/>
    </w:rPr>
  </w:style>
  <w:style w:type="character" w:customStyle="1" w:styleId="aff1">
    <w:name w:val="批注主题 字符"/>
    <w:basedOn w:val="aa"/>
    <w:link w:val="aff0"/>
    <w:uiPriority w:val="99"/>
    <w:qFormat/>
    <w:rPr>
      <w:rFonts w:ascii="Calibri" w:eastAsia="宋体" w:hAnsi="Calibri" w:cs="Times New Roman"/>
      <w:b/>
      <w:szCs w:val="21"/>
    </w:rPr>
  </w:style>
  <w:style w:type="paragraph" w:customStyle="1" w:styleId="TOC10">
    <w:name w:val="TOC 标题1"/>
    <w:basedOn w:val="1"/>
    <w:next w:val="a"/>
    <w:uiPriority w:val="39"/>
    <w:qFormat/>
    <w:pPr>
      <w:widowControl/>
      <w:spacing w:before="480" w:after="0" w:line="276" w:lineRule="auto"/>
      <w:outlineLvl w:val="9"/>
    </w:pPr>
    <w:rPr>
      <w:rFonts w:ascii="Cambria" w:eastAsia="宋体" w:hAnsi="Cambria"/>
      <w:color w:val="365F91"/>
      <w:kern w:val="0"/>
      <w:szCs w:val="28"/>
    </w:rPr>
  </w:style>
  <w:style w:type="character" w:customStyle="1" w:styleId="notnullcss1">
    <w:name w:val="notnullcss1"/>
    <w:basedOn w:val="a0"/>
    <w:uiPriority w:val="99"/>
    <w:qFormat/>
    <w:rPr>
      <w:rFonts w:eastAsia="宋体" w:cs="Times New Roman"/>
      <w:color w:val="FF0000"/>
      <w:kern w:val="2"/>
      <w:sz w:val="24"/>
      <w:szCs w:val="24"/>
      <w:lang w:val="en-US" w:eastAsia="zh-CN" w:bidi="ar-SA"/>
    </w:rPr>
  </w:style>
  <w:style w:type="paragraph" w:customStyle="1" w:styleId="xl61">
    <w:name w:val="xl61"/>
    <w:basedOn w:val="a"/>
    <w:uiPriority w:val="99"/>
    <w:qFormat/>
    <w:pPr>
      <w:spacing w:before="100" w:after="100"/>
      <w:jc w:val="right"/>
    </w:pPr>
    <w:rPr>
      <w:rFonts w:ascii="Arial Unicode MS" w:eastAsia="Arial Unicode MS" w:hAnsi="Times New Roman" w:cs="Times New Roman"/>
      <w:sz w:val="18"/>
      <w:szCs w:val="18"/>
    </w:rPr>
  </w:style>
  <w:style w:type="paragraph" w:styleId="aff7">
    <w:name w:val="List Paragraph"/>
    <w:basedOn w:val="a"/>
    <w:uiPriority w:val="34"/>
    <w:qFormat/>
    <w:pPr>
      <w:widowControl w:val="0"/>
      <w:ind w:firstLineChars="200" w:firstLine="420"/>
      <w:jc w:val="both"/>
    </w:pPr>
    <w:rPr>
      <w:rFonts w:ascii="Calibri" w:hAnsi="Calibri" w:cs="Times New Roman"/>
      <w:kern w:val="2"/>
      <w:szCs w:val="22"/>
    </w:rPr>
  </w:style>
  <w:style w:type="character" w:customStyle="1" w:styleId="headline-content2">
    <w:name w:val="headline-content2"/>
    <w:basedOn w:val="a0"/>
    <w:qFormat/>
    <w:rPr>
      <w:rFonts w:eastAsia="宋体" w:cs="Times New Roman"/>
      <w:kern w:val="2"/>
      <w:sz w:val="24"/>
      <w:szCs w:val="24"/>
      <w:lang w:val="en-US" w:eastAsia="zh-CN" w:bidi="ar-SA"/>
    </w:rPr>
  </w:style>
  <w:style w:type="paragraph" w:customStyle="1" w:styleId="write2">
    <w:name w:val="write2"/>
    <w:basedOn w:val="a"/>
    <w:uiPriority w:val="99"/>
    <w:qFormat/>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customStyle="1" w:styleId="51">
    <w:name w:val="标题5"/>
    <w:basedOn w:val="a"/>
    <w:qFormat/>
    <w:pPr>
      <w:keepNext/>
      <w:keepLines/>
      <w:widowControl w:val="0"/>
      <w:spacing w:before="60" w:after="60"/>
      <w:ind w:hangingChars="200" w:hanging="420"/>
      <w:jc w:val="both"/>
      <w:outlineLvl w:val="4"/>
    </w:pPr>
    <w:rPr>
      <w:rFonts w:cs="Times New Roman"/>
      <w:b/>
      <w:bCs/>
      <w:kern w:val="2"/>
    </w:rPr>
  </w:style>
  <w:style w:type="paragraph" w:customStyle="1" w:styleId="12">
    <w:name w:val="修订1"/>
    <w:hidden/>
    <w:uiPriority w:val="99"/>
    <w:semiHidden/>
    <w:qFormat/>
    <w:rPr>
      <w:rFonts w:ascii="宋体" w:hAnsi="宋体" w:cs="宋体"/>
      <w:bCs/>
      <w:kern w:val="2"/>
      <w:sz w:val="21"/>
      <w:szCs w:val="22"/>
    </w:rPr>
  </w:style>
  <w:style w:type="character" w:customStyle="1" w:styleId="Char">
    <w:name w:val="正文的样式 Char"/>
    <w:basedOn w:val="a0"/>
    <w:link w:val="aff8"/>
    <w:qFormat/>
    <w:rPr>
      <w:kern w:val="2"/>
      <w:sz w:val="21"/>
      <w:szCs w:val="24"/>
    </w:rPr>
  </w:style>
  <w:style w:type="paragraph" w:customStyle="1" w:styleId="aff8">
    <w:name w:val="正文的样式"/>
    <w:basedOn w:val="a"/>
    <w:link w:val="Char"/>
    <w:qFormat/>
    <w:pPr>
      <w:widowControl w:val="0"/>
      <w:spacing w:before="100" w:after="100"/>
      <w:jc w:val="both"/>
    </w:pPr>
    <w:rPr>
      <w:rFonts w:ascii="Calibri" w:hAnsi="Calibri" w:cs="Times New Roman"/>
      <w:kern w:val="2"/>
    </w:rPr>
  </w:style>
  <w:style w:type="character" w:styleId="aff9">
    <w:name w:val="Placeholder Text"/>
    <w:basedOn w:val="a0"/>
    <w:uiPriority w:val="99"/>
    <w:semiHidden/>
    <w:qFormat/>
    <w:rPr>
      <w:color w:val="auto"/>
    </w:rPr>
  </w:style>
  <w:style w:type="paragraph" w:styleId="affa">
    <w:name w:val="No Spacing"/>
    <w:uiPriority w:val="1"/>
    <w:qFormat/>
    <w:pPr>
      <w:widowControl w:val="0"/>
      <w:jc w:val="both"/>
    </w:pPr>
    <w:rPr>
      <w:rFonts w:ascii="宋体" w:hAnsi="宋体" w:cs="宋体"/>
      <w:bCs/>
      <w:kern w:val="2"/>
      <w:sz w:val="21"/>
      <w:szCs w:val="22"/>
    </w:rPr>
  </w:style>
  <w:style w:type="character" w:customStyle="1" w:styleId="Char1">
    <w:name w:val="批注主题 Char1"/>
    <w:basedOn w:val="aa"/>
    <w:uiPriority w:val="99"/>
    <w:semiHidden/>
    <w:qFormat/>
    <w:rPr>
      <w:rFonts w:ascii="Times New Roman" w:eastAsia="宋体" w:hAnsi="Times New Roman" w:cs="Times New Roman"/>
      <w:b/>
      <w:szCs w:val="21"/>
    </w:rPr>
  </w:style>
  <w:style w:type="paragraph" w:customStyle="1" w:styleId="32">
    <w:name w:val="标题  3"/>
    <w:basedOn w:val="a"/>
    <w:next w:val="a"/>
    <w:link w:val="3Char"/>
    <w:qFormat/>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
    <w:name w:val="标题  3 Char"/>
    <w:basedOn w:val="a0"/>
    <w:link w:val="32"/>
    <w:qFormat/>
    <w:rPr>
      <w:rFonts w:ascii="Times New Roman" w:hAnsi="Times New Roman"/>
      <w:b/>
      <w:kern w:val="2"/>
      <w:sz w:val="21"/>
      <w:szCs w:val="24"/>
    </w:rPr>
  </w:style>
  <w:style w:type="character" w:customStyle="1" w:styleId="13">
    <w:name w:val="批注主题 字符1"/>
    <w:basedOn w:val="aa"/>
    <w:uiPriority w:val="99"/>
    <w:semiHidden/>
    <w:qFormat/>
    <w:rPr>
      <w:rFonts w:ascii="Times New Roman" w:eastAsia="宋体" w:hAnsi="Times New Roman" w:cs="Times New Roman"/>
      <w:b/>
      <w:szCs w:val="21"/>
    </w:rPr>
  </w:style>
  <w:style w:type="character" w:customStyle="1" w:styleId="span">
    <w:name w:val="span_"/>
    <w:basedOn w:val="a0"/>
    <w:qFormat/>
  </w:style>
  <w:style w:type="character" w:customStyle="1" w:styleId="4Char">
    <w:name w:val="标题 4 Char"/>
    <w:uiPriority w:val="9"/>
    <w:qFormat/>
    <w:rPr>
      <w:rFonts w:ascii="Cambria" w:hAnsi="Cambria"/>
      <w:b/>
      <w:kern w:val="2"/>
      <w:sz w:val="21"/>
      <w:szCs w:val="28"/>
    </w:rPr>
  </w:style>
  <w:style w:type="paragraph" w:customStyle="1" w:styleId="41">
    <w:name w:val="4"/>
    <w:basedOn w:val="a"/>
    <w:next w:val="aff7"/>
    <w:uiPriority w:val="34"/>
    <w:qFormat/>
    <w:pPr>
      <w:widowControl w:val="0"/>
      <w:ind w:firstLineChars="200" w:firstLine="420"/>
      <w:jc w:val="both"/>
    </w:pPr>
    <w:rPr>
      <w:rFonts w:ascii="Calibri" w:hAnsi="Calibri" w:cs="Times New Roman"/>
      <w:kern w:val="2"/>
      <w:szCs w:val="22"/>
    </w:rPr>
  </w:style>
  <w:style w:type="table" w:customStyle="1" w:styleId="21">
    <w:name w:val="无格式表格 21"/>
    <w:basedOn w:val="a1"/>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f7"/>
    <w:uiPriority w:val="34"/>
    <w:qFormat/>
    <w:pPr>
      <w:widowControl w:val="0"/>
      <w:ind w:firstLineChars="200" w:firstLine="420"/>
      <w:jc w:val="both"/>
    </w:pPr>
    <w:rPr>
      <w:rFonts w:ascii="Calibri" w:hAnsi="Calibri" w:cs="Times New Roman"/>
      <w:kern w:val="2"/>
      <w:szCs w:val="22"/>
    </w:rPr>
  </w:style>
  <w:style w:type="character" w:customStyle="1" w:styleId="3Char0">
    <w:name w:val="标题 3 Char"/>
    <w:uiPriority w:val="9"/>
    <w:qFormat/>
    <w:rPr>
      <w:b/>
      <w:kern w:val="2"/>
      <w:sz w:val="21"/>
      <w:szCs w:val="32"/>
    </w:rPr>
  </w:style>
  <w:style w:type="paragraph" w:customStyle="1" w:styleId="22">
    <w:name w:val="2"/>
    <w:basedOn w:val="a"/>
    <w:next w:val="aff7"/>
    <w:uiPriority w:val="34"/>
    <w:qFormat/>
    <w:pPr>
      <w:widowControl w:val="0"/>
      <w:ind w:firstLineChars="200" w:firstLine="420"/>
      <w:jc w:val="both"/>
    </w:pPr>
    <w:rPr>
      <w:rFonts w:ascii="Calibri" w:hAnsi="Calibri" w:cs="Times New Roman"/>
      <w:kern w:val="2"/>
      <w:szCs w:val="22"/>
    </w:rPr>
  </w:style>
  <w:style w:type="paragraph" w:customStyle="1" w:styleId="14">
    <w:name w:val="1"/>
    <w:basedOn w:val="a"/>
    <w:next w:val="aff7"/>
    <w:uiPriority w:val="34"/>
    <w:qFormat/>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uiPriority w:val="1"/>
    <w:qFormat/>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0">
    <w:name w:val="批注文字 Char"/>
    <w:qFormat/>
    <w:rPr>
      <w:rFonts w:ascii="Times New Roman" w:hAnsi="Times New Roman"/>
      <w:kern w:val="2"/>
      <w:sz w:val="21"/>
      <w:szCs w:val="21"/>
    </w:rPr>
  </w:style>
  <w:style w:type="character" w:customStyle="1" w:styleId="5Char">
    <w:name w:val="标题 5 Char"/>
    <w:uiPriority w:val="9"/>
    <w:qFormat/>
    <w:rPr>
      <w:b/>
      <w:kern w:val="2"/>
      <w:sz w:val="21"/>
      <w:szCs w:val="28"/>
    </w:rPr>
  </w:style>
  <w:style w:type="paragraph" w:customStyle="1" w:styleId="Style88">
    <w:name w:val="_Style 88"/>
    <w:basedOn w:val="a"/>
    <w:next w:val="aff7"/>
    <w:uiPriority w:val="34"/>
    <w:qFormat/>
    <w:pPr>
      <w:widowControl w:val="0"/>
      <w:ind w:firstLineChars="200" w:firstLine="420"/>
      <w:jc w:val="both"/>
    </w:pPr>
    <w:rPr>
      <w:rFonts w:ascii="Calibri" w:hAnsi="Calibri" w:cs="Times New Roman"/>
      <w:kern w:val="2"/>
      <w:szCs w:val="22"/>
    </w:rPr>
  </w:style>
  <w:style w:type="character" w:customStyle="1" w:styleId="Char10">
    <w:name w:val="批注文字 Char1"/>
    <w:uiPriority w:val="99"/>
    <w:qFormat/>
    <w:rPr>
      <w:rFonts w:ascii="Times New Roman" w:hAnsi="Times New Roman"/>
      <w:kern w:val="2"/>
      <w:sz w:val="21"/>
      <w:szCs w:val="21"/>
    </w:rPr>
  </w:style>
  <w:style w:type="character" w:customStyle="1" w:styleId="3Char1">
    <w:name w:val="标题 3 Char1"/>
    <w:uiPriority w:val="9"/>
    <w:qFormat/>
    <w:rPr>
      <w:b/>
      <w:kern w:val="2"/>
      <w:sz w:val="21"/>
      <w:szCs w:val="32"/>
    </w:rPr>
  </w:style>
  <w:style w:type="character" w:customStyle="1" w:styleId="2Char">
    <w:name w:val="标题 2 Char"/>
    <w:qFormat/>
    <w:rPr>
      <w:rFonts w:ascii="Arial" w:hAnsi="Arial"/>
      <w:b/>
      <w:kern w:val="2"/>
      <w:sz w:val="21"/>
      <w:szCs w:val="21"/>
    </w:rPr>
  </w:style>
  <w:style w:type="character" w:customStyle="1" w:styleId="4Char1">
    <w:name w:val="标题 4 Char1"/>
    <w:uiPriority w:val="9"/>
    <w:qFormat/>
    <w:rPr>
      <w:rFonts w:ascii="Cambria" w:hAnsi="Cambria"/>
      <w:b/>
      <w:kern w:val="2"/>
      <w:sz w:val="21"/>
      <w:szCs w:val="28"/>
    </w:rPr>
  </w:style>
  <w:style w:type="character" w:customStyle="1" w:styleId="5Char1">
    <w:name w:val="标题 5 Char1"/>
    <w:uiPriority w:val="9"/>
    <w:qFormat/>
    <w:rPr>
      <w:b/>
      <w:kern w:val="2"/>
      <w:sz w:val="21"/>
      <w:szCs w:val="28"/>
    </w:rPr>
  </w:style>
  <w:style w:type="paragraph" w:customStyle="1" w:styleId="Style94">
    <w:name w:val="_Style 94"/>
    <w:basedOn w:val="a"/>
    <w:next w:val="aff7"/>
    <w:uiPriority w:val="34"/>
    <w:qFormat/>
    <w:pPr>
      <w:widowControl w:val="0"/>
      <w:ind w:firstLineChars="200" w:firstLine="420"/>
      <w:jc w:val="both"/>
    </w:pPr>
    <w:rPr>
      <w:rFonts w:ascii="Calibri" w:hAnsi="Calibri" w:cs="Times New Roman"/>
      <w:kern w:val="2"/>
      <w:szCs w:val="22"/>
    </w:rPr>
  </w:style>
  <w:style w:type="character" w:customStyle="1" w:styleId="Char2">
    <w:name w:val="批注文字 Char2"/>
    <w:uiPriority w:val="99"/>
    <w:qFormat/>
    <w:rPr>
      <w:rFonts w:ascii="Times New Roman" w:hAnsi="Times New Roman"/>
      <w:kern w:val="2"/>
      <w:sz w:val="21"/>
      <w:szCs w:val="21"/>
    </w:rPr>
  </w:style>
  <w:style w:type="character" w:customStyle="1" w:styleId="Char3">
    <w:name w:val="批注文字 Char3"/>
    <w:qFormat/>
    <w:rPr>
      <w:rFonts w:ascii="Times New Roman" w:hAnsi="Times New Roman" w:cs="Times New Roman"/>
      <w:kern w:val="2"/>
      <w:sz w:val="21"/>
      <w:szCs w:val="21"/>
    </w:rPr>
  </w:style>
  <w:style w:type="character" w:customStyle="1" w:styleId="Char4">
    <w:name w:val="称呼 Char"/>
    <w:uiPriority w:val="99"/>
    <w:qFormat/>
    <w:rPr>
      <w:rFonts w:ascii="Times New Roman" w:hAnsi="Times New Roman"/>
      <w:kern w:val="2"/>
      <w:sz w:val="21"/>
      <w:szCs w:val="21"/>
    </w:rPr>
  </w:style>
  <w:style w:type="character" w:customStyle="1" w:styleId="fontstyle01">
    <w:name w:val="fontstyle01"/>
    <w:qFormat/>
    <w:rPr>
      <w:rFonts w:ascii="FZLTSK--GBK1-0" w:hAnsi="FZLTSK--GBK1-0" w:hint="default"/>
      <w:bCs/>
      <w:color w:val="000000"/>
      <w:sz w:val="20"/>
      <w:szCs w:val="20"/>
    </w:rPr>
  </w:style>
  <w:style w:type="character" w:customStyle="1" w:styleId="15">
    <w:name w:val="批注文字 字符1"/>
    <w:uiPriority w:val="99"/>
    <w:semiHidden/>
    <w:qFormat/>
    <w:locked/>
    <w:rPr>
      <w:rFonts w:ascii="Times New Roman" w:hAnsi="Times New Roman"/>
      <w:kern w:val="2"/>
      <w:sz w:val="21"/>
      <w:szCs w:val="21"/>
    </w:rPr>
  </w:style>
  <w:style w:type="character" w:customStyle="1" w:styleId="2Char1">
    <w:name w:val="标题 2 Char1"/>
    <w:qFormat/>
    <w:rPr>
      <w:rFonts w:ascii="Arial" w:hAnsi="Arial"/>
      <w:b/>
      <w:kern w:val="2"/>
      <w:sz w:val="21"/>
      <w:szCs w:val="21"/>
    </w:rPr>
  </w:style>
  <w:style w:type="character" w:customStyle="1" w:styleId="5Char2">
    <w:name w:val="标题 5 Char2"/>
    <w:uiPriority w:val="9"/>
    <w:qFormat/>
    <w:rPr>
      <w:b/>
      <w:kern w:val="2"/>
      <w:sz w:val="21"/>
      <w:szCs w:val="28"/>
    </w:rPr>
  </w:style>
  <w:style w:type="character" w:customStyle="1" w:styleId="3Char2">
    <w:name w:val="标题 3 Char2"/>
    <w:uiPriority w:val="9"/>
    <w:qFormat/>
    <w:rPr>
      <w:b/>
      <w:kern w:val="2"/>
      <w:sz w:val="21"/>
      <w:szCs w:val="32"/>
    </w:rPr>
  </w:style>
  <w:style w:type="character" w:customStyle="1" w:styleId="3Char3">
    <w:name w:val="标题 3 Char3"/>
    <w:uiPriority w:val="9"/>
    <w:qFormat/>
    <w:rPr>
      <w:b/>
      <w:kern w:val="2"/>
      <w:sz w:val="21"/>
      <w:szCs w:val="32"/>
    </w:rPr>
  </w:style>
  <w:style w:type="character" w:customStyle="1" w:styleId="16">
    <w:name w:val="未处理的提及1"/>
    <w:basedOn w:val="a0"/>
    <w:uiPriority w:val="99"/>
    <w:semiHidden/>
    <w:unhideWhenUsed/>
    <w:qFormat/>
    <w:rPr>
      <w:color w:val="605E5C"/>
      <w:shd w:val="clear" w:color="auto" w:fill="E1DFDD"/>
    </w:rPr>
  </w:style>
  <w:style w:type="paragraph" w:customStyle="1" w:styleId="17">
    <w:name w:val="列出段落1"/>
    <w:basedOn w:val="a"/>
    <w:qFormat/>
    <w:pPr>
      <w:widowControl w:val="0"/>
      <w:ind w:firstLineChars="200" w:firstLine="420"/>
      <w:jc w:val="both"/>
    </w:pPr>
    <w:rPr>
      <w:rFonts w:ascii="Calibri" w:hAnsi="Calibri" w:cs="Times New Roman"/>
      <w:bCs/>
      <w:kern w:val="2"/>
    </w:rPr>
  </w:style>
  <w:style w:type="character" w:customStyle="1" w:styleId="23">
    <w:name w:val="未处理的提及2"/>
    <w:basedOn w:val="a0"/>
    <w:uiPriority w:val="99"/>
    <w:semiHidden/>
    <w:unhideWhenUsed/>
    <w:qFormat/>
    <w:rPr>
      <w:color w:val="605E5C"/>
      <w:shd w:val="clear" w:color="auto" w:fill="E1DFDD"/>
    </w:rPr>
  </w:style>
  <w:style w:type="table" w:customStyle="1" w:styleId="18">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无格式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9">
    <w:name w:val="网格型1"/>
    <w:basedOn w:val="a1"/>
    <w:uiPriority w:val="59"/>
    <w:qFormat/>
    <w:pPr>
      <w:widowControl w:val="0"/>
      <w:jc w:val="both"/>
    </w:pPr>
    <w:rPr>
      <w:rFonts w:cs="宋体"/>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com.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GBC11111111111111111111111111111"/>
        <w:category>
          <w:name w:val="常规"/>
          <w:gallery w:val="placeholder"/>
        </w:category>
        <w:types>
          <w:type w:val="bbPlcHdr"/>
        </w:types>
        <w:behaviors>
          <w:behavior w:val="content"/>
        </w:behaviors>
        <w:guid w:val="{B960C2E6-8E28-4930-AAD5-AA36AFD6E523}"/>
      </w:docPartPr>
      <w:docPartBody>
        <w:p w:rsidR="00B36775" w:rsidRDefault="00B36775">
          <w:pPr>
            <w:rPr>
              <w:rFonts w:hint="eastAsia"/>
            </w:rPr>
          </w:pPr>
          <w:r>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162653D1-13D4-4E4F-AD1C-ABDFC36FDDF6}"/>
      </w:docPartPr>
      <w:docPartBody>
        <w:p w:rsidR="00B36775" w:rsidRDefault="00B36775">
          <w:pPr>
            <w:rPr>
              <w:rFonts w:hint="eastAsia"/>
            </w:rPr>
          </w:pPr>
          <w:r>
            <w:rPr>
              <w:rStyle w:val="a3"/>
              <w:rFonts w:hint="eastAsia"/>
              <w:color w:val="333399"/>
              <w:u w:val="single"/>
            </w:rPr>
            <w:t xml:space="preserve">　　　</w:t>
          </w:r>
        </w:p>
      </w:docPartBody>
    </w:docPart>
    <w:docPart>
      <w:docPartPr>
        <w:name w:val="CCD7322BDCCD4D1F9A9FE0BE15C584B5"/>
        <w:category>
          <w:name w:val="常规"/>
          <w:gallery w:val="placeholder"/>
        </w:category>
        <w:types>
          <w:type w:val="bbPlcHdr"/>
        </w:types>
        <w:behaviors>
          <w:behavior w:val="content"/>
        </w:behaviors>
        <w:guid w:val="{03ED2AAD-B9C9-473C-A0C4-0320E70D9423}"/>
      </w:docPartPr>
      <w:docPartBody>
        <w:p w:rsidR="00B36775" w:rsidRDefault="00B36775">
          <w:pPr>
            <w:pStyle w:val="CCD7322BDCCD4D1F9A9FE0BE15C584B5"/>
            <w:rPr>
              <w:rFonts w:hint="eastAsia"/>
            </w:rPr>
          </w:pPr>
          <w:r>
            <w:rPr>
              <w:rStyle w:val="a3"/>
              <w:rFonts w:hint="eastAsia"/>
              <w:color w:val="333399"/>
              <w:u w:val="single"/>
            </w:rPr>
            <w:t xml:space="preserve">　　　</w:t>
          </w:r>
        </w:p>
      </w:docPartBody>
    </w:docPart>
    <w:docPart>
      <w:docPartPr>
        <w:name w:val="9EC3DD024BBE432C9EBC7C6627288246"/>
        <w:category>
          <w:name w:val="常规"/>
          <w:gallery w:val="placeholder"/>
        </w:category>
        <w:types>
          <w:type w:val="bbPlcHdr"/>
        </w:types>
        <w:behaviors>
          <w:behavior w:val="content"/>
        </w:behaviors>
        <w:guid w:val="{86A369B3-8A1B-4831-9B94-339A057BD2DD}"/>
      </w:docPartPr>
      <w:docPartBody>
        <w:p w:rsidR="00B36775" w:rsidRDefault="00B36775">
          <w:pPr>
            <w:pStyle w:val="9EC3DD024BBE432C9EBC7C6627288246"/>
            <w:rPr>
              <w:rFonts w:hint="eastAsia"/>
            </w:rPr>
          </w:pPr>
          <w:r>
            <w:rPr>
              <w:rStyle w:val="a3"/>
              <w:rFonts w:hint="eastAsia"/>
              <w:color w:val="333399"/>
              <w:u w:val="single"/>
            </w:rPr>
            <w:t xml:space="preserve">　　　</w:t>
          </w:r>
        </w:p>
      </w:docPartBody>
    </w:docPart>
    <w:docPart>
      <w:docPartPr>
        <w:name w:val="A0998634EBF44F40BEDFAE93B93C0697"/>
        <w:category>
          <w:name w:val="常规"/>
          <w:gallery w:val="placeholder"/>
        </w:category>
        <w:types>
          <w:type w:val="bbPlcHdr"/>
        </w:types>
        <w:behaviors>
          <w:behavior w:val="content"/>
        </w:behaviors>
        <w:guid w:val="{F91CD1E9-D60F-437A-8736-5912B6E0BFA5}"/>
      </w:docPartPr>
      <w:docPartBody>
        <w:p w:rsidR="00B36775" w:rsidRDefault="00B36775">
          <w:pPr>
            <w:pStyle w:val="A0998634EBF44F40BEDFAE93B93C0697"/>
            <w:rPr>
              <w:rFonts w:hint="eastAsia"/>
            </w:rPr>
          </w:pPr>
          <w:r>
            <w:rPr>
              <w:rStyle w:val="a3"/>
              <w:rFonts w:hint="eastAsia"/>
              <w:color w:val="333399"/>
              <w:u w:val="single"/>
            </w:rPr>
            <w:t xml:space="preserve">　　　</w:t>
          </w:r>
        </w:p>
      </w:docPartBody>
    </w:docPart>
    <w:docPart>
      <w:docPartPr>
        <w:name w:val="A553908E4DFE4D5DA5B259BD07B582F7"/>
        <w:category>
          <w:name w:val="常规"/>
          <w:gallery w:val="placeholder"/>
        </w:category>
        <w:types>
          <w:type w:val="bbPlcHdr"/>
        </w:types>
        <w:behaviors>
          <w:behavior w:val="content"/>
        </w:behaviors>
        <w:guid w:val="{CFD174CA-3478-4BAF-A16E-07DD275AB6B5}"/>
      </w:docPartPr>
      <w:docPartBody>
        <w:p w:rsidR="00B36775" w:rsidRDefault="00B36775">
          <w:pPr>
            <w:pStyle w:val="A553908E4DFE4D5DA5B259BD07B582F7"/>
            <w:rPr>
              <w:rFonts w:hint="eastAsia"/>
            </w:rPr>
          </w:pPr>
          <w:r>
            <w:rPr>
              <w:rStyle w:val="a3"/>
              <w:rFonts w:hint="eastAsia"/>
              <w:color w:val="333399"/>
              <w:u w:val="single"/>
            </w:rPr>
            <w:t xml:space="preserve">　　　</w:t>
          </w:r>
        </w:p>
      </w:docPartBody>
    </w:docPart>
    <w:docPart>
      <w:docPartPr>
        <w:name w:val="00A67CF8406141A3956365F4BB740FA7"/>
        <w:category>
          <w:name w:val="常规"/>
          <w:gallery w:val="placeholder"/>
        </w:category>
        <w:types>
          <w:type w:val="bbPlcHdr"/>
        </w:types>
        <w:behaviors>
          <w:behavior w:val="content"/>
        </w:behaviors>
        <w:guid w:val="{43039932-8347-4835-AF63-6B401AB9FEF6}"/>
      </w:docPartPr>
      <w:docPartBody>
        <w:p w:rsidR="00B36775" w:rsidRDefault="00B36775">
          <w:pPr>
            <w:pStyle w:val="00A67CF8406141A3956365F4BB740FA7"/>
            <w:rPr>
              <w:rFonts w:hint="eastAsia"/>
            </w:rPr>
          </w:pPr>
          <w:r>
            <w:rPr>
              <w:rStyle w:val="a3"/>
              <w:rFonts w:hint="eastAsia"/>
              <w:color w:val="333399"/>
              <w:u w:val="single"/>
            </w:rPr>
            <w:t xml:space="preserve">　　　</w:t>
          </w:r>
        </w:p>
      </w:docPartBody>
    </w:docPart>
    <w:docPart>
      <w:docPartPr>
        <w:name w:val="DB91367CA4BB45DFBD72F0B85709EEBB"/>
        <w:category>
          <w:name w:val="常规"/>
          <w:gallery w:val="placeholder"/>
        </w:category>
        <w:types>
          <w:type w:val="bbPlcHdr"/>
        </w:types>
        <w:behaviors>
          <w:behavior w:val="content"/>
        </w:behaviors>
        <w:guid w:val="{A2EC980B-EC1A-4440-8C71-0999DD517EC8}"/>
      </w:docPartPr>
      <w:docPartBody>
        <w:p w:rsidR="00B36775" w:rsidRDefault="00B36775">
          <w:pPr>
            <w:pStyle w:val="DB91367CA4BB45DFBD72F0B85709EEBB"/>
            <w:rPr>
              <w:rFonts w:hint="eastAsia"/>
            </w:rPr>
          </w:pPr>
          <w:r>
            <w:rPr>
              <w:rStyle w:val="a3"/>
              <w:rFonts w:hint="eastAsia"/>
              <w:color w:val="333399"/>
              <w:u w:val="single"/>
            </w:rPr>
            <w:t xml:space="preserve">　　　</w:t>
          </w:r>
        </w:p>
      </w:docPartBody>
    </w:docPart>
    <w:docPart>
      <w:docPartPr>
        <w:name w:val="E866DC5378D245D9830401B9B7D39E50"/>
        <w:category>
          <w:name w:val="常规"/>
          <w:gallery w:val="placeholder"/>
        </w:category>
        <w:types>
          <w:type w:val="bbPlcHdr"/>
        </w:types>
        <w:behaviors>
          <w:behavior w:val="content"/>
        </w:behaviors>
        <w:guid w:val="{62F3A134-9CA1-4C9E-A00F-B1A043FFC0F8}"/>
      </w:docPartPr>
      <w:docPartBody>
        <w:p w:rsidR="00B36775" w:rsidRDefault="00B36775">
          <w:pPr>
            <w:pStyle w:val="E866DC5378D245D9830401B9B7D39E50"/>
            <w:rPr>
              <w:rFonts w:hint="eastAsia"/>
            </w:rPr>
          </w:pPr>
          <w:r>
            <w:rPr>
              <w:rStyle w:val="a3"/>
              <w:rFonts w:hint="eastAsia"/>
              <w:color w:val="333399"/>
              <w:u w:val="single"/>
            </w:rPr>
            <w:t xml:space="preserve">　　　</w:t>
          </w:r>
        </w:p>
      </w:docPartBody>
    </w:docPart>
    <w:docPart>
      <w:docPartPr>
        <w:name w:val="293774CBF9CC4AC89D2202FBB6840157"/>
        <w:category>
          <w:name w:val="常规"/>
          <w:gallery w:val="placeholder"/>
        </w:category>
        <w:types>
          <w:type w:val="bbPlcHdr"/>
        </w:types>
        <w:behaviors>
          <w:behavior w:val="content"/>
        </w:behaviors>
        <w:guid w:val="{A5A5EA0A-C709-44B6-989A-C3DAEEC21B46}"/>
      </w:docPartPr>
      <w:docPartBody>
        <w:p w:rsidR="00B36775" w:rsidRDefault="00B36775">
          <w:pPr>
            <w:pStyle w:val="293774CBF9CC4AC89D2202FBB6840157"/>
            <w:rPr>
              <w:rFonts w:hint="eastAsia"/>
            </w:rPr>
          </w:pPr>
          <w:r>
            <w:rPr>
              <w:rStyle w:val="a3"/>
              <w:rFonts w:hint="eastAsia"/>
              <w:color w:val="333399"/>
              <w:u w:val="single"/>
            </w:rPr>
            <w:t xml:space="preserve">　　　</w:t>
          </w:r>
        </w:p>
      </w:docPartBody>
    </w:docPart>
    <w:docPart>
      <w:docPartPr>
        <w:name w:val="60CB8780955446CF8BCB5D4742F625DA"/>
        <w:category>
          <w:name w:val="常规"/>
          <w:gallery w:val="placeholder"/>
        </w:category>
        <w:types>
          <w:type w:val="bbPlcHdr"/>
        </w:types>
        <w:behaviors>
          <w:behavior w:val="content"/>
        </w:behaviors>
        <w:guid w:val="{1D82637B-6E15-4ADF-9BAC-9F179074DF73}"/>
      </w:docPartPr>
      <w:docPartBody>
        <w:p w:rsidR="00B36775" w:rsidRDefault="00B36775">
          <w:pPr>
            <w:pStyle w:val="60CB8780955446CF8BCB5D4742F625DA"/>
            <w:rPr>
              <w:rFonts w:hint="eastAsia"/>
            </w:rPr>
          </w:pPr>
          <w:r>
            <w:rPr>
              <w:rStyle w:val="a3"/>
              <w:rFonts w:hint="eastAsia"/>
              <w:color w:val="333399"/>
              <w:u w:val="single"/>
            </w:rPr>
            <w:t xml:space="preserve">　　　</w:t>
          </w:r>
        </w:p>
      </w:docPartBody>
    </w:docPart>
    <w:docPart>
      <w:docPartPr>
        <w:name w:val="31955DEC8D6545179F21432C09D93059"/>
        <w:category>
          <w:name w:val="常规"/>
          <w:gallery w:val="placeholder"/>
        </w:category>
        <w:types>
          <w:type w:val="bbPlcHdr"/>
        </w:types>
        <w:behaviors>
          <w:behavior w:val="content"/>
        </w:behaviors>
        <w:guid w:val="{6D1DA4DB-E0AC-4E19-90EB-C4822FC17BEA}"/>
      </w:docPartPr>
      <w:docPartBody>
        <w:p w:rsidR="00B36775" w:rsidRDefault="00B36775">
          <w:pPr>
            <w:pStyle w:val="31955DEC8D6545179F21432C09D93059"/>
            <w:rPr>
              <w:rFonts w:hint="eastAsia"/>
            </w:rPr>
          </w:pPr>
          <w:r>
            <w:rPr>
              <w:rStyle w:val="a3"/>
              <w:rFonts w:hint="eastAsia"/>
              <w:color w:val="333399"/>
              <w:u w:val="single"/>
            </w:rPr>
            <w:t xml:space="preserve">　　　</w:t>
          </w:r>
        </w:p>
      </w:docPartBody>
    </w:docPart>
    <w:docPart>
      <w:docPartPr>
        <w:name w:val="FA7C0DB759C24618A5EC811FBD524A26"/>
        <w:category>
          <w:name w:val="常规"/>
          <w:gallery w:val="placeholder"/>
        </w:category>
        <w:types>
          <w:type w:val="bbPlcHdr"/>
        </w:types>
        <w:behaviors>
          <w:behavior w:val="content"/>
        </w:behaviors>
        <w:guid w:val="{14FF416C-EF37-4188-ABDE-9EEC53183296}"/>
      </w:docPartPr>
      <w:docPartBody>
        <w:p w:rsidR="00B36775" w:rsidRDefault="00B36775">
          <w:pPr>
            <w:pStyle w:val="FA7C0DB759C24618A5EC811FBD524A26"/>
            <w:rPr>
              <w:rFonts w:hint="eastAsia"/>
            </w:rPr>
          </w:pPr>
          <w:r>
            <w:rPr>
              <w:rStyle w:val="a3"/>
              <w:rFonts w:hint="eastAsia"/>
              <w:color w:val="333399"/>
              <w:u w:val="single"/>
            </w:rPr>
            <w:t xml:space="preserve">　　　</w:t>
          </w:r>
        </w:p>
      </w:docPartBody>
    </w:docPart>
    <w:docPart>
      <w:docPartPr>
        <w:name w:val="9C8852BD7F1A495C8C47786C921902BC"/>
        <w:category>
          <w:name w:val="常规"/>
          <w:gallery w:val="placeholder"/>
        </w:category>
        <w:types>
          <w:type w:val="bbPlcHdr"/>
        </w:types>
        <w:behaviors>
          <w:behavior w:val="content"/>
        </w:behaviors>
        <w:guid w:val="{5F83CF40-88A4-4F87-96F6-D46625C705F2}"/>
      </w:docPartPr>
      <w:docPartBody>
        <w:p w:rsidR="00B36775" w:rsidRDefault="00B36775">
          <w:pPr>
            <w:pStyle w:val="9C8852BD7F1A495C8C47786C921902BC"/>
            <w:rPr>
              <w:rFonts w:hint="eastAsia"/>
            </w:rPr>
          </w:pPr>
          <w:r>
            <w:rPr>
              <w:rStyle w:val="a3"/>
              <w:rFonts w:hint="eastAsia"/>
              <w:color w:val="333399"/>
              <w:u w:val="single"/>
            </w:rPr>
            <w:t xml:space="preserve">　　　</w:t>
          </w:r>
        </w:p>
      </w:docPartBody>
    </w:docPart>
    <w:docPart>
      <w:docPartPr>
        <w:name w:val="69BB8AE4043B4D1196AFA2DF3380D647"/>
        <w:category>
          <w:name w:val="常规"/>
          <w:gallery w:val="placeholder"/>
        </w:category>
        <w:types>
          <w:type w:val="bbPlcHdr"/>
        </w:types>
        <w:behaviors>
          <w:behavior w:val="content"/>
        </w:behaviors>
        <w:guid w:val="{877FC5A2-0C0A-41E2-85DC-54D665714F71}"/>
      </w:docPartPr>
      <w:docPartBody>
        <w:p w:rsidR="00B36775" w:rsidRDefault="00B36775">
          <w:pPr>
            <w:pStyle w:val="69BB8AE4043B4D1196AFA2DF3380D647"/>
            <w:rPr>
              <w:rFonts w:hint="eastAsia"/>
            </w:rPr>
          </w:pPr>
          <w:r>
            <w:rPr>
              <w:rStyle w:val="a3"/>
              <w:rFonts w:hint="eastAsia"/>
              <w:color w:val="333399"/>
              <w:u w:val="single"/>
            </w:rPr>
            <w:t xml:space="preserve">　　　</w:t>
          </w:r>
        </w:p>
      </w:docPartBody>
    </w:docPart>
    <w:docPart>
      <w:docPartPr>
        <w:name w:val="21F8EC8989D2481FB71BEE4C690A3195"/>
        <w:category>
          <w:name w:val="常规"/>
          <w:gallery w:val="placeholder"/>
        </w:category>
        <w:types>
          <w:type w:val="bbPlcHdr"/>
        </w:types>
        <w:behaviors>
          <w:behavior w:val="content"/>
        </w:behaviors>
        <w:guid w:val="{6F301625-4317-4B04-9ADF-0D4214CCBA31}"/>
      </w:docPartPr>
      <w:docPartBody>
        <w:p w:rsidR="00B36775" w:rsidRDefault="00B36775">
          <w:pPr>
            <w:pStyle w:val="21F8EC8989D2481FB71BEE4C690A3195"/>
            <w:rPr>
              <w:rFonts w:hint="eastAsia"/>
            </w:rPr>
          </w:pPr>
          <w:r>
            <w:rPr>
              <w:rStyle w:val="a3"/>
              <w:rFonts w:hint="eastAsia"/>
              <w:color w:val="333399"/>
              <w:u w:val="single"/>
            </w:rPr>
            <w:t xml:space="preserve">　　　</w:t>
          </w:r>
        </w:p>
      </w:docPartBody>
    </w:docPart>
    <w:docPart>
      <w:docPartPr>
        <w:name w:val="48C8D9151FC5430A9664EA477D88647C"/>
        <w:category>
          <w:name w:val="常规"/>
          <w:gallery w:val="placeholder"/>
        </w:category>
        <w:types>
          <w:type w:val="bbPlcHdr"/>
        </w:types>
        <w:behaviors>
          <w:behavior w:val="content"/>
        </w:behaviors>
        <w:guid w:val="{9EC96644-BFC7-4FC1-B24E-FB346220753B}"/>
      </w:docPartPr>
      <w:docPartBody>
        <w:p w:rsidR="00B36775" w:rsidRDefault="00B36775">
          <w:pPr>
            <w:pStyle w:val="48C8D9151FC5430A9664EA477D88647C"/>
            <w:rPr>
              <w:rFonts w:hint="eastAsia"/>
            </w:rPr>
          </w:pPr>
          <w:r>
            <w:rPr>
              <w:rStyle w:val="a3"/>
              <w:rFonts w:hint="eastAsia"/>
              <w:color w:val="333399"/>
              <w:u w:val="single"/>
            </w:rPr>
            <w:t xml:space="preserve">　　　</w:t>
          </w:r>
        </w:p>
      </w:docPartBody>
    </w:docPart>
    <w:docPart>
      <w:docPartPr>
        <w:name w:val="DD0252535F5C40839816CC3528FFE441"/>
        <w:category>
          <w:name w:val="常规"/>
          <w:gallery w:val="placeholder"/>
        </w:category>
        <w:types>
          <w:type w:val="bbPlcHdr"/>
        </w:types>
        <w:behaviors>
          <w:behavior w:val="content"/>
        </w:behaviors>
        <w:guid w:val="{E85D81DF-8DD1-4559-AF09-8FDAB6807BC8}"/>
      </w:docPartPr>
      <w:docPartBody>
        <w:p w:rsidR="00B36775" w:rsidRDefault="00B36775">
          <w:pPr>
            <w:pStyle w:val="DD0252535F5C40839816CC3528FFE441"/>
            <w:rPr>
              <w:rFonts w:hint="eastAsia"/>
            </w:rPr>
          </w:pPr>
          <w:r>
            <w:rPr>
              <w:rStyle w:val="a3"/>
              <w:rFonts w:hint="eastAsia"/>
              <w:color w:val="333399"/>
              <w:u w:val="single"/>
            </w:rPr>
            <w:t xml:space="preserve">　　　</w:t>
          </w:r>
        </w:p>
      </w:docPartBody>
    </w:docPart>
    <w:docPart>
      <w:docPartPr>
        <w:name w:val="A7D69C191E844704B932721BB0A01779"/>
        <w:category>
          <w:name w:val="常规"/>
          <w:gallery w:val="placeholder"/>
        </w:category>
        <w:types>
          <w:type w:val="bbPlcHdr"/>
        </w:types>
        <w:behaviors>
          <w:behavior w:val="content"/>
        </w:behaviors>
        <w:guid w:val="{E7CEE26D-CB0D-46E5-B908-4C54B2388F07}"/>
      </w:docPartPr>
      <w:docPartBody>
        <w:p w:rsidR="00B36775" w:rsidRDefault="00B36775">
          <w:pPr>
            <w:pStyle w:val="A7D69C191E844704B932721BB0A01779"/>
            <w:rPr>
              <w:rFonts w:hint="eastAsia"/>
            </w:rPr>
          </w:pPr>
          <w:r>
            <w:rPr>
              <w:rStyle w:val="a3"/>
              <w:rFonts w:hint="eastAsia"/>
              <w:color w:val="333399"/>
              <w:u w:val="single"/>
            </w:rPr>
            <w:t xml:space="preserve">　　　</w:t>
          </w:r>
        </w:p>
      </w:docPartBody>
    </w:docPart>
    <w:docPart>
      <w:docPartPr>
        <w:name w:val="CE3D961C7F0C40FBA0C36B3319779001"/>
        <w:category>
          <w:name w:val="常规"/>
          <w:gallery w:val="placeholder"/>
        </w:category>
        <w:types>
          <w:type w:val="bbPlcHdr"/>
        </w:types>
        <w:behaviors>
          <w:behavior w:val="content"/>
        </w:behaviors>
        <w:guid w:val="{78B04B0B-E878-4AA6-AEBA-228341B212ED}"/>
      </w:docPartPr>
      <w:docPartBody>
        <w:p w:rsidR="00B36775" w:rsidRDefault="00B36775">
          <w:pPr>
            <w:pStyle w:val="CE3D961C7F0C40FBA0C36B3319779001"/>
            <w:rPr>
              <w:rFonts w:hint="eastAsia"/>
            </w:rPr>
          </w:pPr>
          <w:r>
            <w:rPr>
              <w:rStyle w:val="a3"/>
              <w:rFonts w:hint="eastAsia"/>
              <w:color w:val="333399"/>
              <w:u w:val="single"/>
            </w:rPr>
            <w:t xml:space="preserve">　　　</w:t>
          </w:r>
        </w:p>
      </w:docPartBody>
    </w:docPart>
    <w:docPart>
      <w:docPartPr>
        <w:name w:val="481E40C4C7ED4F2B801923393B0848EE"/>
        <w:category>
          <w:name w:val="常规"/>
          <w:gallery w:val="placeholder"/>
        </w:category>
        <w:types>
          <w:type w:val="bbPlcHdr"/>
        </w:types>
        <w:behaviors>
          <w:behavior w:val="content"/>
        </w:behaviors>
        <w:guid w:val="{09644650-2183-4E80-A6AA-75C8C5BCAAF0}"/>
      </w:docPartPr>
      <w:docPartBody>
        <w:p w:rsidR="00B36775" w:rsidRDefault="00B36775">
          <w:pPr>
            <w:pStyle w:val="481E40C4C7ED4F2B801923393B0848EE"/>
            <w:rPr>
              <w:rFonts w:hint="eastAsia"/>
            </w:rPr>
          </w:pPr>
          <w:r>
            <w:rPr>
              <w:rStyle w:val="a3"/>
              <w:rFonts w:hint="eastAsia"/>
              <w:color w:val="333399"/>
              <w:u w:val="single"/>
            </w:rPr>
            <w:t xml:space="preserve">　　　</w:t>
          </w:r>
        </w:p>
      </w:docPartBody>
    </w:docPart>
    <w:docPart>
      <w:docPartPr>
        <w:name w:val="E41ECA9B3BB44869A334CCBBE4BC3F79"/>
        <w:category>
          <w:name w:val="常规"/>
          <w:gallery w:val="placeholder"/>
        </w:category>
        <w:types>
          <w:type w:val="bbPlcHdr"/>
        </w:types>
        <w:behaviors>
          <w:behavior w:val="content"/>
        </w:behaviors>
        <w:guid w:val="{5E344729-01CD-421B-ABB9-FED35FADF922}"/>
      </w:docPartPr>
      <w:docPartBody>
        <w:p w:rsidR="00B36775" w:rsidRDefault="00B36775">
          <w:pPr>
            <w:pStyle w:val="E41ECA9B3BB44869A334CCBBE4BC3F79"/>
            <w:rPr>
              <w:rFonts w:hint="eastAsia"/>
            </w:rPr>
          </w:pPr>
          <w:r>
            <w:rPr>
              <w:rStyle w:val="a3"/>
              <w:rFonts w:hint="eastAsia"/>
              <w:color w:val="333399"/>
              <w:u w:val="single"/>
            </w:rPr>
            <w:t xml:space="preserve">　　　</w:t>
          </w:r>
        </w:p>
      </w:docPartBody>
    </w:docPart>
    <w:docPart>
      <w:docPartPr>
        <w:name w:val="D87935C0AEDE47FFB5A115B9FAF5D203"/>
        <w:category>
          <w:name w:val="常规"/>
          <w:gallery w:val="placeholder"/>
        </w:category>
        <w:types>
          <w:type w:val="bbPlcHdr"/>
        </w:types>
        <w:behaviors>
          <w:behavior w:val="content"/>
        </w:behaviors>
        <w:guid w:val="{D94A8F62-A4B0-4012-95F0-01062B9D6545}"/>
      </w:docPartPr>
      <w:docPartBody>
        <w:p w:rsidR="00B36775" w:rsidRDefault="00B36775">
          <w:pPr>
            <w:pStyle w:val="FED3B0B3AFBD45858BFCF194FC3E6B4B"/>
            <w:rPr>
              <w:rFonts w:hint="eastAsia"/>
            </w:rPr>
          </w:pPr>
          <w:r>
            <w:rPr>
              <w:rStyle w:val="a3"/>
              <w:rFonts w:hint="eastAsia"/>
              <w:color w:val="333399"/>
              <w:u w:val="single"/>
            </w:rPr>
            <w:t xml:space="preserve">　　　</w:t>
          </w:r>
        </w:p>
      </w:docPartBody>
    </w:docPart>
    <w:docPart>
      <w:docPartPr>
        <w:name w:val="FED3B0B3AFBD45858BFCF194FC3E6B4B"/>
        <w:category>
          <w:name w:val="常规"/>
          <w:gallery w:val="placeholder"/>
        </w:category>
        <w:types>
          <w:type w:val="bbPlcHdr"/>
        </w:types>
        <w:behaviors>
          <w:behavior w:val="content"/>
        </w:behaviors>
        <w:guid w:val="{9A7DA882-8953-4715-B983-4C9A6FD5CEAE}"/>
      </w:docPartPr>
      <w:docPartBody>
        <w:p w:rsidR="00B36775" w:rsidRDefault="00B36775">
          <w:pPr>
            <w:rPr>
              <w:rFonts w:hint="eastAsia"/>
            </w:rPr>
          </w:pPr>
          <w:r>
            <w:rPr>
              <w:rStyle w:val="a3"/>
              <w:rFonts w:hint="eastAsia"/>
              <w:color w:val="333399"/>
              <w:u w:val="single"/>
            </w:rPr>
            <w:t xml:space="preserve">　　　</w:t>
          </w:r>
        </w:p>
      </w:docPartBody>
    </w:docPart>
    <w:docPart>
      <w:docPartPr>
        <w:name w:val="2724D6D422A745AE8CDC5868F21874FD"/>
        <w:category>
          <w:name w:val="常规"/>
          <w:gallery w:val="placeholder"/>
        </w:category>
        <w:types>
          <w:type w:val="bbPlcHdr"/>
        </w:types>
        <w:behaviors>
          <w:behavior w:val="content"/>
        </w:behaviors>
        <w:guid w:val="{9F127485-54DC-48D7-874F-C8F5094E60CD}"/>
      </w:docPartPr>
      <w:docPartBody>
        <w:p w:rsidR="00B36775" w:rsidRDefault="00B36775">
          <w:pPr>
            <w:rPr>
              <w:rFonts w:hint="eastAsia"/>
            </w:rPr>
          </w:pPr>
          <w:r>
            <w:rPr>
              <w:rStyle w:val="a3"/>
              <w:rFonts w:hint="eastAsia"/>
              <w:color w:val="333399"/>
              <w:u w:val="single"/>
            </w:rPr>
            <w:t xml:space="preserve">　　　</w:t>
          </w:r>
        </w:p>
      </w:docPartBody>
    </w:docPart>
    <w:docPart>
      <w:docPartPr>
        <w:name w:val="DefaultPlaceholder_-1854013440"/>
        <w:category>
          <w:name w:val="常规"/>
          <w:gallery w:val="placeholder"/>
        </w:category>
        <w:types>
          <w:type w:val="bbPlcHdr"/>
        </w:types>
        <w:behaviors>
          <w:behavior w:val="content"/>
        </w:behaviors>
        <w:guid w:val="{10CFA614-4901-4BB7-8FB9-EBB05ED7BD3A}"/>
      </w:docPartPr>
      <w:docPartBody>
        <w:p w:rsidR="00B36775" w:rsidRDefault="00B36775">
          <w:pPr>
            <w:rPr>
              <w:rFonts w:hint="eastAsia"/>
            </w:rPr>
          </w:pPr>
          <w:r>
            <w:rPr>
              <w:rStyle w:val="a3"/>
              <w:rFonts w:hint="eastAsia"/>
            </w:rPr>
            <w:t>单击或点击此处输入文字。</w:t>
          </w:r>
        </w:p>
      </w:docPartBody>
    </w:docPart>
    <w:docPart>
      <w:docPartPr>
        <w:name w:val="04CD74A3435B486C905560330A697042"/>
        <w:category>
          <w:name w:val="常规"/>
          <w:gallery w:val="placeholder"/>
        </w:category>
        <w:types>
          <w:type w:val="bbPlcHdr"/>
        </w:types>
        <w:behaviors>
          <w:behavior w:val="content"/>
        </w:behaviors>
        <w:guid w:val="{8C36C500-6233-4A57-8CF2-4D50F2108C78}"/>
      </w:docPartPr>
      <w:docPartBody>
        <w:p w:rsidR="00B36775" w:rsidRDefault="00B36775">
          <w:pPr>
            <w:pStyle w:val="04CD74A3435B486C905560330A697042"/>
            <w:rPr>
              <w:rFonts w:hint="eastAsia"/>
            </w:rPr>
          </w:pPr>
          <w:r>
            <w:rPr>
              <w:rStyle w:val="a3"/>
              <w:rFonts w:hint="eastAsia"/>
              <w:color w:val="333399"/>
              <w:u w:val="single"/>
            </w:rPr>
            <w:t xml:space="preserve">　　　</w:t>
          </w:r>
        </w:p>
      </w:docPartBody>
    </w:docPart>
    <w:docPart>
      <w:docPartPr>
        <w:name w:val="169275FA719349A18FA5579C3171B33B"/>
        <w:category>
          <w:name w:val="常规"/>
          <w:gallery w:val="placeholder"/>
        </w:category>
        <w:types>
          <w:type w:val="bbPlcHdr"/>
        </w:types>
        <w:behaviors>
          <w:behavior w:val="content"/>
        </w:behaviors>
        <w:guid w:val="{3D25E73D-13F3-4819-804D-567C4E5C608B}"/>
      </w:docPartPr>
      <w:docPartBody>
        <w:p w:rsidR="00B36775" w:rsidRDefault="00B36775">
          <w:pPr>
            <w:pStyle w:val="169275FA719349A18FA5579C3171B33B"/>
            <w:rPr>
              <w:rFonts w:hint="eastAsia"/>
            </w:rPr>
          </w:pPr>
          <w:r>
            <w:rPr>
              <w:rStyle w:val="a3"/>
              <w:rFonts w:hint="eastAsia"/>
              <w:color w:val="333399"/>
              <w:u w:val="single"/>
            </w:rPr>
            <w:t xml:space="preserve">　　　</w:t>
          </w:r>
        </w:p>
      </w:docPartBody>
    </w:docPart>
    <w:docPart>
      <w:docPartPr>
        <w:name w:val="BED05D58EE43485891CB82125E777414"/>
        <w:category>
          <w:name w:val="常规"/>
          <w:gallery w:val="placeholder"/>
        </w:category>
        <w:types>
          <w:type w:val="bbPlcHdr"/>
        </w:types>
        <w:behaviors>
          <w:behavior w:val="content"/>
        </w:behaviors>
        <w:guid w:val="{CCE18E52-8F09-4D5B-BF91-C68C62B02015}"/>
      </w:docPartPr>
      <w:docPartBody>
        <w:p w:rsidR="00B36775" w:rsidRDefault="00B36775">
          <w:pPr>
            <w:pStyle w:val="BED05D58EE43485891CB82125E777414"/>
            <w:rPr>
              <w:rFonts w:hint="eastAsia"/>
            </w:rPr>
          </w:pPr>
          <w:r>
            <w:rPr>
              <w:rStyle w:val="a3"/>
              <w:rFonts w:hint="eastAsia"/>
              <w:color w:val="333399"/>
              <w:u w:val="single"/>
            </w:rPr>
            <w:t xml:space="preserve">　　　</w:t>
          </w:r>
        </w:p>
      </w:docPartBody>
    </w:docPart>
    <w:docPart>
      <w:docPartPr>
        <w:name w:val="7AE524B1A4EF451583A184FAF89E17C1"/>
        <w:category>
          <w:name w:val="常规"/>
          <w:gallery w:val="placeholder"/>
        </w:category>
        <w:types>
          <w:type w:val="bbPlcHdr"/>
        </w:types>
        <w:behaviors>
          <w:behavior w:val="content"/>
        </w:behaviors>
        <w:guid w:val="{5F80C947-2F84-4CC3-B5D5-C8489A26DAEC}"/>
      </w:docPartPr>
      <w:docPartBody>
        <w:p w:rsidR="00B36775" w:rsidRDefault="00B36775">
          <w:pPr>
            <w:pStyle w:val="7AE524B1A4EF451583A184FAF89E17C1"/>
            <w:rPr>
              <w:rFonts w:hint="eastAsia"/>
            </w:rPr>
          </w:pPr>
          <w:r>
            <w:rPr>
              <w:rStyle w:val="a3"/>
              <w:rFonts w:hint="eastAsia"/>
              <w:color w:val="333399"/>
              <w:u w:val="single"/>
            </w:rPr>
            <w:t xml:space="preserve">　　　</w:t>
          </w:r>
        </w:p>
      </w:docPartBody>
    </w:docPart>
    <w:docPart>
      <w:docPartPr>
        <w:name w:val="185201DBF1D640CF9DF5A3B3CA53D2D7"/>
        <w:category>
          <w:name w:val="常规"/>
          <w:gallery w:val="placeholder"/>
        </w:category>
        <w:types>
          <w:type w:val="bbPlcHdr"/>
        </w:types>
        <w:behaviors>
          <w:behavior w:val="content"/>
        </w:behaviors>
        <w:guid w:val="{7B8AE2BC-ADBA-4ED3-AA81-8CDB1160EFAE}"/>
      </w:docPartPr>
      <w:docPartBody>
        <w:p w:rsidR="00B36775" w:rsidRDefault="00B36775">
          <w:pPr>
            <w:pStyle w:val="185201DBF1D640CF9DF5A3B3CA53D2D7"/>
            <w:rPr>
              <w:rFonts w:hint="eastAsia"/>
            </w:rPr>
          </w:pPr>
          <w:r>
            <w:rPr>
              <w:rStyle w:val="a3"/>
              <w:rFonts w:hint="eastAsia"/>
              <w:color w:val="333399"/>
              <w:u w:val="single"/>
            </w:rPr>
            <w:t xml:space="preserve">　　　</w:t>
          </w:r>
        </w:p>
      </w:docPartBody>
    </w:docPart>
    <w:docPart>
      <w:docPartPr>
        <w:name w:val="ADD233EC90D04F42B6FB45133267550A"/>
        <w:category>
          <w:name w:val="常规"/>
          <w:gallery w:val="placeholder"/>
        </w:category>
        <w:types>
          <w:type w:val="bbPlcHdr"/>
        </w:types>
        <w:behaviors>
          <w:behavior w:val="content"/>
        </w:behaviors>
        <w:guid w:val="{896A2E99-22C4-4F06-AAEF-EC1078690BBD}"/>
      </w:docPartPr>
      <w:docPartBody>
        <w:p w:rsidR="00B36775" w:rsidRDefault="00B36775">
          <w:pPr>
            <w:pStyle w:val="ADD233EC90D04F42B6FB45133267550A"/>
            <w:rPr>
              <w:rFonts w:hint="eastAsia"/>
            </w:rPr>
          </w:pPr>
          <w:r>
            <w:rPr>
              <w:rStyle w:val="a3"/>
              <w:rFonts w:hint="eastAsia"/>
              <w:color w:val="333399"/>
              <w:u w:val="single"/>
            </w:rPr>
            <w:t xml:space="preserve">　　　</w:t>
          </w:r>
        </w:p>
      </w:docPartBody>
    </w:docPart>
    <w:docPart>
      <w:docPartPr>
        <w:name w:val="52026F2849AB4C97B32161367751E413"/>
        <w:category>
          <w:name w:val="常规"/>
          <w:gallery w:val="placeholder"/>
        </w:category>
        <w:types>
          <w:type w:val="bbPlcHdr"/>
        </w:types>
        <w:behaviors>
          <w:behavior w:val="content"/>
        </w:behaviors>
        <w:guid w:val="{AD304504-D608-4C66-AA31-F0673665EBCD}"/>
      </w:docPartPr>
      <w:docPartBody>
        <w:p w:rsidR="00B36775" w:rsidRDefault="00B36775">
          <w:pPr>
            <w:pStyle w:val="52026F2849AB4C97B32161367751E413"/>
            <w:rPr>
              <w:rFonts w:hint="eastAsia"/>
            </w:rPr>
          </w:pPr>
          <w:r>
            <w:rPr>
              <w:rStyle w:val="a3"/>
              <w:rFonts w:hint="eastAsia"/>
              <w:color w:val="333399"/>
              <w:u w:val="single"/>
            </w:rPr>
            <w:t xml:space="preserve">　　　</w:t>
          </w:r>
        </w:p>
      </w:docPartBody>
    </w:docPart>
    <w:docPart>
      <w:docPartPr>
        <w:name w:val="A4A0C661F8D64B0BB0F7CB641F58CA72"/>
        <w:category>
          <w:name w:val="常规"/>
          <w:gallery w:val="placeholder"/>
        </w:category>
        <w:types>
          <w:type w:val="bbPlcHdr"/>
        </w:types>
        <w:behaviors>
          <w:behavior w:val="content"/>
        </w:behaviors>
        <w:guid w:val="{03ED11C5-9F86-43C9-AA1A-A09300220820}"/>
      </w:docPartPr>
      <w:docPartBody>
        <w:p w:rsidR="00B36775" w:rsidRDefault="00B36775">
          <w:pPr>
            <w:pStyle w:val="A4A0C661F8D64B0BB0F7CB641F58CA72"/>
            <w:rPr>
              <w:rFonts w:hint="eastAsia"/>
            </w:rPr>
          </w:pPr>
          <w:r>
            <w:rPr>
              <w:rStyle w:val="a3"/>
              <w:rFonts w:hint="eastAsia"/>
              <w:color w:val="333399"/>
              <w:u w:val="single"/>
            </w:rPr>
            <w:t xml:space="preserve">　　　</w:t>
          </w:r>
        </w:p>
      </w:docPartBody>
    </w:docPart>
    <w:docPart>
      <w:docPartPr>
        <w:name w:val="C6FB429BB0424CC2A29497699E2CA3C2"/>
        <w:category>
          <w:name w:val="常规"/>
          <w:gallery w:val="placeholder"/>
        </w:category>
        <w:types>
          <w:type w:val="bbPlcHdr"/>
        </w:types>
        <w:behaviors>
          <w:behavior w:val="content"/>
        </w:behaviors>
        <w:guid w:val="{085D96C5-5E7D-46AA-851C-27FE7C606911}"/>
      </w:docPartPr>
      <w:docPartBody>
        <w:p w:rsidR="00B36775" w:rsidRDefault="00B36775">
          <w:pPr>
            <w:pStyle w:val="C6FB429BB0424CC2A29497699E2CA3C2"/>
            <w:rPr>
              <w:rFonts w:hint="eastAsia"/>
            </w:rPr>
          </w:pPr>
          <w:r>
            <w:rPr>
              <w:rStyle w:val="a3"/>
              <w:rFonts w:hint="eastAsia"/>
              <w:color w:val="333399"/>
              <w:u w:val="single"/>
            </w:rPr>
            <w:t xml:space="preserve">　　　</w:t>
          </w:r>
        </w:p>
      </w:docPartBody>
    </w:docPart>
    <w:docPart>
      <w:docPartPr>
        <w:name w:val="8A69885AB3B04EA4B7B058ACE188D1D1"/>
        <w:category>
          <w:name w:val="常规"/>
          <w:gallery w:val="placeholder"/>
        </w:category>
        <w:types>
          <w:type w:val="bbPlcHdr"/>
        </w:types>
        <w:behaviors>
          <w:behavior w:val="content"/>
        </w:behaviors>
        <w:guid w:val="{C25580C6-BF5F-4AF6-B03B-79219B037534}"/>
      </w:docPartPr>
      <w:docPartBody>
        <w:p w:rsidR="00B36775" w:rsidRDefault="00B36775">
          <w:pPr>
            <w:pStyle w:val="8A69885AB3B04EA4B7B058ACE188D1D1"/>
            <w:rPr>
              <w:rFonts w:hint="eastAsia"/>
            </w:rPr>
          </w:pPr>
          <w:r>
            <w:rPr>
              <w:rStyle w:val="a3"/>
              <w:rFonts w:hint="eastAsia"/>
              <w:color w:val="333399"/>
              <w:u w:val="single"/>
            </w:rPr>
            <w:t xml:space="preserve">　　　</w:t>
          </w:r>
        </w:p>
      </w:docPartBody>
    </w:docPart>
    <w:docPart>
      <w:docPartPr>
        <w:name w:val="A8436EE264D444ECA21DD69F310646FB"/>
        <w:category>
          <w:name w:val="常规"/>
          <w:gallery w:val="placeholder"/>
        </w:category>
        <w:types>
          <w:type w:val="bbPlcHdr"/>
        </w:types>
        <w:behaviors>
          <w:behavior w:val="content"/>
        </w:behaviors>
        <w:guid w:val="{BF5CA30E-9ED7-4908-BAD6-CB10D64E7185}"/>
      </w:docPartPr>
      <w:docPartBody>
        <w:p w:rsidR="00B36775" w:rsidRDefault="00B36775">
          <w:pPr>
            <w:pStyle w:val="A8436EE264D444ECA21DD69F310646FB"/>
            <w:rPr>
              <w:rFonts w:hint="eastAsia"/>
            </w:rPr>
          </w:pPr>
          <w:r>
            <w:rPr>
              <w:rStyle w:val="a3"/>
              <w:rFonts w:hint="eastAsia"/>
            </w:rPr>
            <w:t xml:space="preserve">　</w:t>
          </w:r>
        </w:p>
      </w:docPartBody>
    </w:docPart>
    <w:docPart>
      <w:docPartPr>
        <w:name w:val="28E5EC474CE741F5BB11CB9981813D62"/>
        <w:category>
          <w:name w:val="常规"/>
          <w:gallery w:val="placeholder"/>
        </w:category>
        <w:types>
          <w:type w:val="bbPlcHdr"/>
        </w:types>
        <w:behaviors>
          <w:behavior w:val="content"/>
        </w:behaviors>
        <w:guid w:val="{51C51EE2-43F4-41BC-9467-9927A148B1FB}"/>
      </w:docPartPr>
      <w:docPartBody>
        <w:p w:rsidR="00B36775" w:rsidRDefault="00B36775">
          <w:pPr>
            <w:pStyle w:val="28E5EC474CE741F5BB11CB9981813D62"/>
            <w:rPr>
              <w:rFonts w:hint="eastAsia"/>
            </w:rPr>
          </w:pPr>
          <w:r>
            <w:rPr>
              <w:rStyle w:val="a3"/>
              <w:rFonts w:hint="eastAsia"/>
              <w:color w:val="333399"/>
              <w:u w:val="single"/>
            </w:rPr>
            <w:t xml:space="preserve">　　　</w:t>
          </w:r>
        </w:p>
      </w:docPartBody>
    </w:docPart>
    <w:docPart>
      <w:docPartPr>
        <w:name w:val="4C5E045A22BC4B39ACE1F36B48CDEDAF"/>
        <w:category>
          <w:name w:val="常规"/>
          <w:gallery w:val="placeholder"/>
        </w:category>
        <w:types>
          <w:type w:val="bbPlcHdr"/>
        </w:types>
        <w:behaviors>
          <w:behavior w:val="content"/>
        </w:behaviors>
        <w:guid w:val="{9B06DA1D-45E1-4B17-A52C-3AAC73758057}"/>
      </w:docPartPr>
      <w:docPartBody>
        <w:p w:rsidR="00B36775" w:rsidRDefault="00B36775">
          <w:pPr>
            <w:pStyle w:val="4C5E045A22BC4B39ACE1F36B48CDEDAF"/>
            <w:rPr>
              <w:rFonts w:hint="eastAsia"/>
            </w:rPr>
          </w:pPr>
          <w:r>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0" w:usb1="00000000" w:usb2="00000000" w:usb3="00000000" w:csb0="00000001" w:csb1="00000000"/>
  </w:font>
  <w:font w:name="Noto Sans CJK JP Regular">
    <w:altName w:val="微软雅黑"/>
    <w:charset w:val="86"/>
    <w:family w:val="swiss"/>
    <w:pitch w:val="default"/>
    <w:sig w:usb0="00000000" w:usb1="00000000" w:usb2="00000016" w:usb3="00000000" w:csb0="002E0107" w:csb1="00000000"/>
  </w:font>
  <w:font w:name="FZLTSK--GBK1-0">
    <w:altName w:val="Times New Roman"/>
    <w:charset w:val="00"/>
    <w:family w:val="roman"/>
    <w:pitch w:val="default"/>
  </w:font>
  <w:font w:name="宋体-方正超大字符集">
    <w:altName w:val="宋体"/>
    <w:charset w:val="86"/>
    <w:family w:val="script"/>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E43"/>
    <w:rsid w:val="0000161E"/>
    <w:rsid w:val="00002689"/>
    <w:rsid w:val="0000578B"/>
    <w:rsid w:val="00006480"/>
    <w:rsid w:val="00006B48"/>
    <w:rsid w:val="00011C18"/>
    <w:rsid w:val="00011E75"/>
    <w:rsid w:val="00012653"/>
    <w:rsid w:val="00012A0F"/>
    <w:rsid w:val="00013B71"/>
    <w:rsid w:val="00013C02"/>
    <w:rsid w:val="00015FD3"/>
    <w:rsid w:val="000171D4"/>
    <w:rsid w:val="00020357"/>
    <w:rsid w:val="00020790"/>
    <w:rsid w:val="00020D37"/>
    <w:rsid w:val="00021BC4"/>
    <w:rsid w:val="000234EA"/>
    <w:rsid w:val="0002361B"/>
    <w:rsid w:val="000236A0"/>
    <w:rsid w:val="0002605F"/>
    <w:rsid w:val="000278B2"/>
    <w:rsid w:val="00031EC1"/>
    <w:rsid w:val="00032504"/>
    <w:rsid w:val="00032ECB"/>
    <w:rsid w:val="000336AB"/>
    <w:rsid w:val="000353DC"/>
    <w:rsid w:val="0003608F"/>
    <w:rsid w:val="000373E9"/>
    <w:rsid w:val="000403D5"/>
    <w:rsid w:val="00040A6F"/>
    <w:rsid w:val="00041065"/>
    <w:rsid w:val="00044179"/>
    <w:rsid w:val="00044916"/>
    <w:rsid w:val="00045444"/>
    <w:rsid w:val="00051760"/>
    <w:rsid w:val="00051A21"/>
    <w:rsid w:val="000554CD"/>
    <w:rsid w:val="00055561"/>
    <w:rsid w:val="000565A1"/>
    <w:rsid w:val="0005740A"/>
    <w:rsid w:val="00060E7E"/>
    <w:rsid w:val="00061F65"/>
    <w:rsid w:val="000633F4"/>
    <w:rsid w:val="0006350E"/>
    <w:rsid w:val="00063874"/>
    <w:rsid w:val="00063A46"/>
    <w:rsid w:val="00063CC6"/>
    <w:rsid w:val="00065B5A"/>
    <w:rsid w:val="000667C2"/>
    <w:rsid w:val="00067DCC"/>
    <w:rsid w:val="00070A06"/>
    <w:rsid w:val="00070ACB"/>
    <w:rsid w:val="00070BF0"/>
    <w:rsid w:val="000714A0"/>
    <w:rsid w:val="00076D57"/>
    <w:rsid w:val="0007717F"/>
    <w:rsid w:val="00077530"/>
    <w:rsid w:val="000802FD"/>
    <w:rsid w:val="00081D6E"/>
    <w:rsid w:val="00082580"/>
    <w:rsid w:val="00083A50"/>
    <w:rsid w:val="00083B00"/>
    <w:rsid w:val="00083C63"/>
    <w:rsid w:val="00084E8F"/>
    <w:rsid w:val="00085A90"/>
    <w:rsid w:val="00087193"/>
    <w:rsid w:val="00087F7B"/>
    <w:rsid w:val="0009029E"/>
    <w:rsid w:val="00090A6F"/>
    <w:rsid w:val="00091B0E"/>
    <w:rsid w:val="00093BE5"/>
    <w:rsid w:val="000958C3"/>
    <w:rsid w:val="00096466"/>
    <w:rsid w:val="000A1F58"/>
    <w:rsid w:val="000A31F9"/>
    <w:rsid w:val="000B3464"/>
    <w:rsid w:val="000B513A"/>
    <w:rsid w:val="000B5761"/>
    <w:rsid w:val="000B5C82"/>
    <w:rsid w:val="000B644E"/>
    <w:rsid w:val="000C50BC"/>
    <w:rsid w:val="000C5E8F"/>
    <w:rsid w:val="000C5F2F"/>
    <w:rsid w:val="000C656D"/>
    <w:rsid w:val="000D0276"/>
    <w:rsid w:val="000D03BF"/>
    <w:rsid w:val="000D0BC7"/>
    <w:rsid w:val="000D45FB"/>
    <w:rsid w:val="000E18BB"/>
    <w:rsid w:val="000E3728"/>
    <w:rsid w:val="000E438B"/>
    <w:rsid w:val="000E5940"/>
    <w:rsid w:val="000E7091"/>
    <w:rsid w:val="000E7B4D"/>
    <w:rsid w:val="000F0BE1"/>
    <w:rsid w:val="000F147D"/>
    <w:rsid w:val="000F3B57"/>
    <w:rsid w:val="000F41A3"/>
    <w:rsid w:val="000F440D"/>
    <w:rsid w:val="000F597A"/>
    <w:rsid w:val="000F7993"/>
    <w:rsid w:val="001002C0"/>
    <w:rsid w:val="00101C5F"/>
    <w:rsid w:val="00101EE7"/>
    <w:rsid w:val="00103415"/>
    <w:rsid w:val="00103648"/>
    <w:rsid w:val="00104269"/>
    <w:rsid w:val="00105693"/>
    <w:rsid w:val="00105B3C"/>
    <w:rsid w:val="00110AE1"/>
    <w:rsid w:val="001111ED"/>
    <w:rsid w:val="00112E0D"/>
    <w:rsid w:val="001130FF"/>
    <w:rsid w:val="00114109"/>
    <w:rsid w:val="00114DC0"/>
    <w:rsid w:val="00114EE3"/>
    <w:rsid w:val="00117118"/>
    <w:rsid w:val="0011797F"/>
    <w:rsid w:val="001179BE"/>
    <w:rsid w:val="00122BB8"/>
    <w:rsid w:val="001279CA"/>
    <w:rsid w:val="00132C46"/>
    <w:rsid w:val="001332EC"/>
    <w:rsid w:val="00133739"/>
    <w:rsid w:val="00140824"/>
    <w:rsid w:val="00140AC4"/>
    <w:rsid w:val="0014233D"/>
    <w:rsid w:val="00142487"/>
    <w:rsid w:val="001425FD"/>
    <w:rsid w:val="00142BBE"/>
    <w:rsid w:val="00143BEA"/>
    <w:rsid w:val="00144665"/>
    <w:rsid w:val="00145233"/>
    <w:rsid w:val="001500BB"/>
    <w:rsid w:val="00150BE7"/>
    <w:rsid w:val="00151EE9"/>
    <w:rsid w:val="00152DC3"/>
    <w:rsid w:val="00152F0F"/>
    <w:rsid w:val="0015578A"/>
    <w:rsid w:val="00156634"/>
    <w:rsid w:val="00156761"/>
    <w:rsid w:val="00157128"/>
    <w:rsid w:val="00162B35"/>
    <w:rsid w:val="00164B05"/>
    <w:rsid w:val="00165D2C"/>
    <w:rsid w:val="00167914"/>
    <w:rsid w:val="00167B4F"/>
    <w:rsid w:val="001705F9"/>
    <w:rsid w:val="001722CC"/>
    <w:rsid w:val="001812E2"/>
    <w:rsid w:val="00182C09"/>
    <w:rsid w:val="00183634"/>
    <w:rsid w:val="00184093"/>
    <w:rsid w:val="0018427A"/>
    <w:rsid w:val="00184F9C"/>
    <w:rsid w:val="00186ABA"/>
    <w:rsid w:val="00190BFB"/>
    <w:rsid w:val="00191DA7"/>
    <w:rsid w:val="00191ED7"/>
    <w:rsid w:val="00192056"/>
    <w:rsid w:val="001940A4"/>
    <w:rsid w:val="001967D6"/>
    <w:rsid w:val="00197942"/>
    <w:rsid w:val="001A1B9B"/>
    <w:rsid w:val="001A2D80"/>
    <w:rsid w:val="001A3E54"/>
    <w:rsid w:val="001A4390"/>
    <w:rsid w:val="001A4BF1"/>
    <w:rsid w:val="001A57A7"/>
    <w:rsid w:val="001A5C0B"/>
    <w:rsid w:val="001A79B6"/>
    <w:rsid w:val="001A7DCE"/>
    <w:rsid w:val="001B1217"/>
    <w:rsid w:val="001B2FBB"/>
    <w:rsid w:val="001B3DB4"/>
    <w:rsid w:val="001B40F8"/>
    <w:rsid w:val="001B64A1"/>
    <w:rsid w:val="001B7441"/>
    <w:rsid w:val="001B7812"/>
    <w:rsid w:val="001B7C3F"/>
    <w:rsid w:val="001C18E2"/>
    <w:rsid w:val="001C2312"/>
    <w:rsid w:val="001C6758"/>
    <w:rsid w:val="001C6A27"/>
    <w:rsid w:val="001D261F"/>
    <w:rsid w:val="001D2ED1"/>
    <w:rsid w:val="001D4F3B"/>
    <w:rsid w:val="001E2A87"/>
    <w:rsid w:val="001E649A"/>
    <w:rsid w:val="001E6954"/>
    <w:rsid w:val="001E7AC2"/>
    <w:rsid w:val="001F792E"/>
    <w:rsid w:val="001F7AEB"/>
    <w:rsid w:val="00202BF5"/>
    <w:rsid w:val="00203E4B"/>
    <w:rsid w:val="00204019"/>
    <w:rsid w:val="002040F5"/>
    <w:rsid w:val="00211471"/>
    <w:rsid w:val="002118F6"/>
    <w:rsid w:val="0021263E"/>
    <w:rsid w:val="00214451"/>
    <w:rsid w:val="00214CAC"/>
    <w:rsid w:val="002157E5"/>
    <w:rsid w:val="002203AB"/>
    <w:rsid w:val="00222C1F"/>
    <w:rsid w:val="00223F84"/>
    <w:rsid w:val="00224D2C"/>
    <w:rsid w:val="002318AF"/>
    <w:rsid w:val="00235A03"/>
    <w:rsid w:val="00235CE8"/>
    <w:rsid w:val="00237E37"/>
    <w:rsid w:val="00237F24"/>
    <w:rsid w:val="00240BD1"/>
    <w:rsid w:val="00240E59"/>
    <w:rsid w:val="00241AA2"/>
    <w:rsid w:val="002424E5"/>
    <w:rsid w:val="00242BA5"/>
    <w:rsid w:val="00242E13"/>
    <w:rsid w:val="00245E71"/>
    <w:rsid w:val="00246DDB"/>
    <w:rsid w:val="00247189"/>
    <w:rsid w:val="0025162E"/>
    <w:rsid w:val="00252183"/>
    <w:rsid w:val="0025254C"/>
    <w:rsid w:val="00254A70"/>
    <w:rsid w:val="00255510"/>
    <w:rsid w:val="0026700C"/>
    <w:rsid w:val="00267758"/>
    <w:rsid w:val="0027269C"/>
    <w:rsid w:val="00275278"/>
    <w:rsid w:val="00277A8A"/>
    <w:rsid w:val="002806A5"/>
    <w:rsid w:val="00282709"/>
    <w:rsid w:val="00291691"/>
    <w:rsid w:val="002939B4"/>
    <w:rsid w:val="00295B2D"/>
    <w:rsid w:val="00296AA3"/>
    <w:rsid w:val="002A01D2"/>
    <w:rsid w:val="002A047F"/>
    <w:rsid w:val="002A133C"/>
    <w:rsid w:val="002A1B3D"/>
    <w:rsid w:val="002A3B78"/>
    <w:rsid w:val="002A3D43"/>
    <w:rsid w:val="002A71E8"/>
    <w:rsid w:val="002A7833"/>
    <w:rsid w:val="002A7F5F"/>
    <w:rsid w:val="002B0D5C"/>
    <w:rsid w:val="002B2E1D"/>
    <w:rsid w:val="002B6A1A"/>
    <w:rsid w:val="002B7219"/>
    <w:rsid w:val="002C052B"/>
    <w:rsid w:val="002C1384"/>
    <w:rsid w:val="002C1FA8"/>
    <w:rsid w:val="002C4EDD"/>
    <w:rsid w:val="002C60AD"/>
    <w:rsid w:val="002C74B0"/>
    <w:rsid w:val="002C7F45"/>
    <w:rsid w:val="002D1456"/>
    <w:rsid w:val="002D36DA"/>
    <w:rsid w:val="002D3F31"/>
    <w:rsid w:val="002D5902"/>
    <w:rsid w:val="002D5B51"/>
    <w:rsid w:val="002D6E4F"/>
    <w:rsid w:val="002D6EFF"/>
    <w:rsid w:val="002D76CF"/>
    <w:rsid w:val="002E51D6"/>
    <w:rsid w:val="002E52A1"/>
    <w:rsid w:val="002F2BCD"/>
    <w:rsid w:val="002F7996"/>
    <w:rsid w:val="003023FA"/>
    <w:rsid w:val="0030473E"/>
    <w:rsid w:val="003052E1"/>
    <w:rsid w:val="00305936"/>
    <w:rsid w:val="003076E0"/>
    <w:rsid w:val="003107C9"/>
    <w:rsid w:val="00311067"/>
    <w:rsid w:val="00313916"/>
    <w:rsid w:val="003145A5"/>
    <w:rsid w:val="003161CE"/>
    <w:rsid w:val="00317DF6"/>
    <w:rsid w:val="00321D6D"/>
    <w:rsid w:val="00323E29"/>
    <w:rsid w:val="0032625F"/>
    <w:rsid w:val="003262C7"/>
    <w:rsid w:val="00326ECB"/>
    <w:rsid w:val="00332387"/>
    <w:rsid w:val="003333AF"/>
    <w:rsid w:val="00335DE6"/>
    <w:rsid w:val="00342477"/>
    <w:rsid w:val="00343D04"/>
    <w:rsid w:val="00344D91"/>
    <w:rsid w:val="00346E6E"/>
    <w:rsid w:val="00347369"/>
    <w:rsid w:val="0035317B"/>
    <w:rsid w:val="00353AE0"/>
    <w:rsid w:val="00356A92"/>
    <w:rsid w:val="00357D61"/>
    <w:rsid w:val="0036347B"/>
    <w:rsid w:val="00363E3B"/>
    <w:rsid w:val="00371937"/>
    <w:rsid w:val="0037315D"/>
    <w:rsid w:val="00374D45"/>
    <w:rsid w:val="00377616"/>
    <w:rsid w:val="003804EA"/>
    <w:rsid w:val="00381BC0"/>
    <w:rsid w:val="00382F4F"/>
    <w:rsid w:val="00386864"/>
    <w:rsid w:val="0039064D"/>
    <w:rsid w:val="003908FA"/>
    <w:rsid w:val="00391982"/>
    <w:rsid w:val="0039324D"/>
    <w:rsid w:val="00394192"/>
    <w:rsid w:val="003962B1"/>
    <w:rsid w:val="003967B0"/>
    <w:rsid w:val="003A17E7"/>
    <w:rsid w:val="003A26AD"/>
    <w:rsid w:val="003A2DE3"/>
    <w:rsid w:val="003A3DBC"/>
    <w:rsid w:val="003A4370"/>
    <w:rsid w:val="003A5ECC"/>
    <w:rsid w:val="003A61DE"/>
    <w:rsid w:val="003A738C"/>
    <w:rsid w:val="003A7A50"/>
    <w:rsid w:val="003B210E"/>
    <w:rsid w:val="003B2D91"/>
    <w:rsid w:val="003B2E3D"/>
    <w:rsid w:val="003B4A6B"/>
    <w:rsid w:val="003B4D40"/>
    <w:rsid w:val="003B6680"/>
    <w:rsid w:val="003C0C12"/>
    <w:rsid w:val="003C1982"/>
    <w:rsid w:val="003C1EE8"/>
    <w:rsid w:val="003C5569"/>
    <w:rsid w:val="003C56E7"/>
    <w:rsid w:val="003D0725"/>
    <w:rsid w:val="003D26F4"/>
    <w:rsid w:val="003D35D9"/>
    <w:rsid w:val="003D3FEC"/>
    <w:rsid w:val="003D5E62"/>
    <w:rsid w:val="003D62D4"/>
    <w:rsid w:val="003D7851"/>
    <w:rsid w:val="003D7CE7"/>
    <w:rsid w:val="003E169C"/>
    <w:rsid w:val="003E248B"/>
    <w:rsid w:val="003E29F3"/>
    <w:rsid w:val="003E3750"/>
    <w:rsid w:val="003E4A55"/>
    <w:rsid w:val="003E7481"/>
    <w:rsid w:val="003F10C8"/>
    <w:rsid w:val="003F1975"/>
    <w:rsid w:val="003F208B"/>
    <w:rsid w:val="003F3961"/>
    <w:rsid w:val="003F3A03"/>
    <w:rsid w:val="003F61C2"/>
    <w:rsid w:val="0040196D"/>
    <w:rsid w:val="0040199D"/>
    <w:rsid w:val="0040287B"/>
    <w:rsid w:val="00404E3A"/>
    <w:rsid w:val="004073B3"/>
    <w:rsid w:val="00410006"/>
    <w:rsid w:val="00410557"/>
    <w:rsid w:val="0041132E"/>
    <w:rsid w:val="004140D9"/>
    <w:rsid w:val="00414CEC"/>
    <w:rsid w:val="004158B7"/>
    <w:rsid w:val="00415A60"/>
    <w:rsid w:val="004223B5"/>
    <w:rsid w:val="00424A0C"/>
    <w:rsid w:val="00425135"/>
    <w:rsid w:val="0043080F"/>
    <w:rsid w:val="00432A1F"/>
    <w:rsid w:val="004336EF"/>
    <w:rsid w:val="0043488A"/>
    <w:rsid w:val="00440F19"/>
    <w:rsid w:val="0044105B"/>
    <w:rsid w:val="00442316"/>
    <w:rsid w:val="00442E13"/>
    <w:rsid w:val="00447E3B"/>
    <w:rsid w:val="004506BE"/>
    <w:rsid w:val="00452790"/>
    <w:rsid w:val="004533D1"/>
    <w:rsid w:val="00455499"/>
    <w:rsid w:val="00455B73"/>
    <w:rsid w:val="00455C0C"/>
    <w:rsid w:val="00456406"/>
    <w:rsid w:val="004565C9"/>
    <w:rsid w:val="00457596"/>
    <w:rsid w:val="00462366"/>
    <w:rsid w:val="004629D5"/>
    <w:rsid w:val="00462C4D"/>
    <w:rsid w:val="00464166"/>
    <w:rsid w:val="004668C3"/>
    <w:rsid w:val="00470F61"/>
    <w:rsid w:val="004713ED"/>
    <w:rsid w:val="004714A5"/>
    <w:rsid w:val="004714D5"/>
    <w:rsid w:val="004719CF"/>
    <w:rsid w:val="0047340A"/>
    <w:rsid w:val="00474B95"/>
    <w:rsid w:val="00475FC2"/>
    <w:rsid w:val="004808A5"/>
    <w:rsid w:val="00480CD1"/>
    <w:rsid w:val="004814D3"/>
    <w:rsid w:val="004817C4"/>
    <w:rsid w:val="00482852"/>
    <w:rsid w:val="00482A9B"/>
    <w:rsid w:val="00486265"/>
    <w:rsid w:val="0048763F"/>
    <w:rsid w:val="00487A62"/>
    <w:rsid w:val="00491337"/>
    <w:rsid w:val="004920AA"/>
    <w:rsid w:val="0049223A"/>
    <w:rsid w:val="00492496"/>
    <w:rsid w:val="00492A9F"/>
    <w:rsid w:val="00493BA3"/>
    <w:rsid w:val="00494271"/>
    <w:rsid w:val="004942F5"/>
    <w:rsid w:val="0049694C"/>
    <w:rsid w:val="004A0313"/>
    <w:rsid w:val="004A03C7"/>
    <w:rsid w:val="004A20D7"/>
    <w:rsid w:val="004A65BD"/>
    <w:rsid w:val="004A68C6"/>
    <w:rsid w:val="004B03EC"/>
    <w:rsid w:val="004B276A"/>
    <w:rsid w:val="004B2FA4"/>
    <w:rsid w:val="004B3148"/>
    <w:rsid w:val="004B325E"/>
    <w:rsid w:val="004B44B8"/>
    <w:rsid w:val="004B4CFF"/>
    <w:rsid w:val="004B54E9"/>
    <w:rsid w:val="004B59D6"/>
    <w:rsid w:val="004B653C"/>
    <w:rsid w:val="004B6A92"/>
    <w:rsid w:val="004C0CD8"/>
    <w:rsid w:val="004C13E9"/>
    <w:rsid w:val="004C43A4"/>
    <w:rsid w:val="004C559B"/>
    <w:rsid w:val="004C7259"/>
    <w:rsid w:val="004C76CE"/>
    <w:rsid w:val="004D13C4"/>
    <w:rsid w:val="004D1741"/>
    <w:rsid w:val="004D20EE"/>
    <w:rsid w:val="004D2666"/>
    <w:rsid w:val="004D2E52"/>
    <w:rsid w:val="004D6AE4"/>
    <w:rsid w:val="004D702A"/>
    <w:rsid w:val="004D7489"/>
    <w:rsid w:val="004D7840"/>
    <w:rsid w:val="004E04F7"/>
    <w:rsid w:val="004E19E9"/>
    <w:rsid w:val="004E1E50"/>
    <w:rsid w:val="004E3AF1"/>
    <w:rsid w:val="004E7288"/>
    <w:rsid w:val="004F009B"/>
    <w:rsid w:val="004F0706"/>
    <w:rsid w:val="004F207A"/>
    <w:rsid w:val="004F2904"/>
    <w:rsid w:val="004F401F"/>
    <w:rsid w:val="004F52CE"/>
    <w:rsid w:val="004F6AED"/>
    <w:rsid w:val="004F6DA2"/>
    <w:rsid w:val="004F7002"/>
    <w:rsid w:val="005027B4"/>
    <w:rsid w:val="005027F0"/>
    <w:rsid w:val="00503995"/>
    <w:rsid w:val="00504773"/>
    <w:rsid w:val="00506383"/>
    <w:rsid w:val="005068BC"/>
    <w:rsid w:val="005127FE"/>
    <w:rsid w:val="00512EE4"/>
    <w:rsid w:val="00516D73"/>
    <w:rsid w:val="00520485"/>
    <w:rsid w:val="00520E6B"/>
    <w:rsid w:val="00522F6B"/>
    <w:rsid w:val="00523110"/>
    <w:rsid w:val="00523875"/>
    <w:rsid w:val="00524D62"/>
    <w:rsid w:val="00525721"/>
    <w:rsid w:val="005264DA"/>
    <w:rsid w:val="00526766"/>
    <w:rsid w:val="005268E0"/>
    <w:rsid w:val="00527DB2"/>
    <w:rsid w:val="005313CD"/>
    <w:rsid w:val="005335BB"/>
    <w:rsid w:val="00533650"/>
    <w:rsid w:val="00533F72"/>
    <w:rsid w:val="00536A57"/>
    <w:rsid w:val="00537979"/>
    <w:rsid w:val="005422E3"/>
    <w:rsid w:val="00542A0E"/>
    <w:rsid w:val="0054615B"/>
    <w:rsid w:val="005472A5"/>
    <w:rsid w:val="00550C78"/>
    <w:rsid w:val="00550DEC"/>
    <w:rsid w:val="00551DFD"/>
    <w:rsid w:val="00552952"/>
    <w:rsid w:val="00556A44"/>
    <w:rsid w:val="0055746E"/>
    <w:rsid w:val="00560A87"/>
    <w:rsid w:val="00562685"/>
    <w:rsid w:val="00564CD3"/>
    <w:rsid w:val="0056541D"/>
    <w:rsid w:val="005654AC"/>
    <w:rsid w:val="00565C40"/>
    <w:rsid w:val="00565DA6"/>
    <w:rsid w:val="005670C9"/>
    <w:rsid w:val="00567462"/>
    <w:rsid w:val="00567CB4"/>
    <w:rsid w:val="00567D9E"/>
    <w:rsid w:val="00567F61"/>
    <w:rsid w:val="00571479"/>
    <w:rsid w:val="00573A32"/>
    <w:rsid w:val="005752A8"/>
    <w:rsid w:val="00575D97"/>
    <w:rsid w:val="00576019"/>
    <w:rsid w:val="005779AE"/>
    <w:rsid w:val="005821C1"/>
    <w:rsid w:val="005822A8"/>
    <w:rsid w:val="00582E12"/>
    <w:rsid w:val="0058466B"/>
    <w:rsid w:val="005856BC"/>
    <w:rsid w:val="0058588D"/>
    <w:rsid w:val="0059307E"/>
    <w:rsid w:val="0059545D"/>
    <w:rsid w:val="005A2E6F"/>
    <w:rsid w:val="005A6D6C"/>
    <w:rsid w:val="005A6ED8"/>
    <w:rsid w:val="005A7AAD"/>
    <w:rsid w:val="005B2C3C"/>
    <w:rsid w:val="005B3CB6"/>
    <w:rsid w:val="005B5439"/>
    <w:rsid w:val="005C028E"/>
    <w:rsid w:val="005C1A0D"/>
    <w:rsid w:val="005C2D90"/>
    <w:rsid w:val="005C406C"/>
    <w:rsid w:val="005C46E9"/>
    <w:rsid w:val="005C4B09"/>
    <w:rsid w:val="005C5DA2"/>
    <w:rsid w:val="005D4530"/>
    <w:rsid w:val="005D64A0"/>
    <w:rsid w:val="005D6837"/>
    <w:rsid w:val="005D6C4C"/>
    <w:rsid w:val="005E287E"/>
    <w:rsid w:val="005E2D1E"/>
    <w:rsid w:val="005E3B88"/>
    <w:rsid w:val="005E4703"/>
    <w:rsid w:val="005E61F9"/>
    <w:rsid w:val="005E63F7"/>
    <w:rsid w:val="005E7CE3"/>
    <w:rsid w:val="005F0430"/>
    <w:rsid w:val="005F1E03"/>
    <w:rsid w:val="005F2F09"/>
    <w:rsid w:val="005F3BA5"/>
    <w:rsid w:val="005F50BA"/>
    <w:rsid w:val="005F589F"/>
    <w:rsid w:val="005F5B34"/>
    <w:rsid w:val="005F5C28"/>
    <w:rsid w:val="006008DC"/>
    <w:rsid w:val="00601FDC"/>
    <w:rsid w:val="00602D35"/>
    <w:rsid w:val="0060301F"/>
    <w:rsid w:val="00610B71"/>
    <w:rsid w:val="006126EC"/>
    <w:rsid w:val="00615DFE"/>
    <w:rsid w:val="00617EEA"/>
    <w:rsid w:val="0062450B"/>
    <w:rsid w:val="00624AF3"/>
    <w:rsid w:val="00626F2D"/>
    <w:rsid w:val="00626F33"/>
    <w:rsid w:val="006271F1"/>
    <w:rsid w:val="00627316"/>
    <w:rsid w:val="00632279"/>
    <w:rsid w:val="00635AC4"/>
    <w:rsid w:val="00640DE1"/>
    <w:rsid w:val="0064157C"/>
    <w:rsid w:val="006416B8"/>
    <w:rsid w:val="00643180"/>
    <w:rsid w:val="006433CC"/>
    <w:rsid w:val="00643FA8"/>
    <w:rsid w:val="0064473F"/>
    <w:rsid w:val="00644CC2"/>
    <w:rsid w:val="00653689"/>
    <w:rsid w:val="00653904"/>
    <w:rsid w:val="00654ABD"/>
    <w:rsid w:val="0065606C"/>
    <w:rsid w:val="00664757"/>
    <w:rsid w:val="00664E7A"/>
    <w:rsid w:val="0066607A"/>
    <w:rsid w:val="006679B5"/>
    <w:rsid w:val="00667ED8"/>
    <w:rsid w:val="0067183E"/>
    <w:rsid w:val="00671DB1"/>
    <w:rsid w:val="00672440"/>
    <w:rsid w:val="00674B33"/>
    <w:rsid w:val="0067564A"/>
    <w:rsid w:val="00675684"/>
    <w:rsid w:val="00676119"/>
    <w:rsid w:val="0068287F"/>
    <w:rsid w:val="00683837"/>
    <w:rsid w:val="0069152F"/>
    <w:rsid w:val="00696D0B"/>
    <w:rsid w:val="006979F0"/>
    <w:rsid w:val="006A05A7"/>
    <w:rsid w:val="006A1BF7"/>
    <w:rsid w:val="006A20D1"/>
    <w:rsid w:val="006A2991"/>
    <w:rsid w:val="006A6E01"/>
    <w:rsid w:val="006A7E2E"/>
    <w:rsid w:val="006B1968"/>
    <w:rsid w:val="006B25FE"/>
    <w:rsid w:val="006B2F1C"/>
    <w:rsid w:val="006B2F7C"/>
    <w:rsid w:val="006B428F"/>
    <w:rsid w:val="006B5B2D"/>
    <w:rsid w:val="006B5E23"/>
    <w:rsid w:val="006B626E"/>
    <w:rsid w:val="006B6DE4"/>
    <w:rsid w:val="006C0371"/>
    <w:rsid w:val="006C0CE7"/>
    <w:rsid w:val="006C425B"/>
    <w:rsid w:val="006C4D76"/>
    <w:rsid w:val="006C4F96"/>
    <w:rsid w:val="006C5037"/>
    <w:rsid w:val="006C59BD"/>
    <w:rsid w:val="006C7EDF"/>
    <w:rsid w:val="006D0081"/>
    <w:rsid w:val="006D0624"/>
    <w:rsid w:val="006D0751"/>
    <w:rsid w:val="006D2E8E"/>
    <w:rsid w:val="006D61A3"/>
    <w:rsid w:val="006D7274"/>
    <w:rsid w:val="006D7649"/>
    <w:rsid w:val="006E5795"/>
    <w:rsid w:val="006E6B2E"/>
    <w:rsid w:val="006E7EC9"/>
    <w:rsid w:val="006F09DE"/>
    <w:rsid w:val="006F13FA"/>
    <w:rsid w:val="006F311E"/>
    <w:rsid w:val="006F39D6"/>
    <w:rsid w:val="006F4FF6"/>
    <w:rsid w:val="00703C57"/>
    <w:rsid w:val="00704EC8"/>
    <w:rsid w:val="00705C49"/>
    <w:rsid w:val="00710A14"/>
    <w:rsid w:val="00711502"/>
    <w:rsid w:val="00711627"/>
    <w:rsid w:val="00712509"/>
    <w:rsid w:val="0071327A"/>
    <w:rsid w:val="007160BE"/>
    <w:rsid w:val="007172CA"/>
    <w:rsid w:val="00717B7C"/>
    <w:rsid w:val="00717E62"/>
    <w:rsid w:val="00731723"/>
    <w:rsid w:val="00732BBD"/>
    <w:rsid w:val="00734566"/>
    <w:rsid w:val="007355F3"/>
    <w:rsid w:val="00740175"/>
    <w:rsid w:val="00742B8F"/>
    <w:rsid w:val="007433AC"/>
    <w:rsid w:val="00743F53"/>
    <w:rsid w:val="0074529C"/>
    <w:rsid w:val="0074600A"/>
    <w:rsid w:val="007534BD"/>
    <w:rsid w:val="00753789"/>
    <w:rsid w:val="0075396A"/>
    <w:rsid w:val="007559F3"/>
    <w:rsid w:val="007571F3"/>
    <w:rsid w:val="00760883"/>
    <w:rsid w:val="007635BC"/>
    <w:rsid w:val="00764A07"/>
    <w:rsid w:val="00765FF6"/>
    <w:rsid w:val="007662F5"/>
    <w:rsid w:val="007675EA"/>
    <w:rsid w:val="007715AA"/>
    <w:rsid w:val="007729B5"/>
    <w:rsid w:val="00772AF0"/>
    <w:rsid w:val="0077360B"/>
    <w:rsid w:val="0077366C"/>
    <w:rsid w:val="007737FB"/>
    <w:rsid w:val="00774E2F"/>
    <w:rsid w:val="00775421"/>
    <w:rsid w:val="00776D56"/>
    <w:rsid w:val="00780475"/>
    <w:rsid w:val="00781FC8"/>
    <w:rsid w:val="00782C46"/>
    <w:rsid w:val="00784D7A"/>
    <w:rsid w:val="0079002E"/>
    <w:rsid w:val="00790D3F"/>
    <w:rsid w:val="007945B6"/>
    <w:rsid w:val="007967C1"/>
    <w:rsid w:val="007A0A96"/>
    <w:rsid w:val="007B135F"/>
    <w:rsid w:val="007B1B69"/>
    <w:rsid w:val="007B4384"/>
    <w:rsid w:val="007B5F58"/>
    <w:rsid w:val="007C0882"/>
    <w:rsid w:val="007C1043"/>
    <w:rsid w:val="007C4BE1"/>
    <w:rsid w:val="007C57B7"/>
    <w:rsid w:val="007D419F"/>
    <w:rsid w:val="007D6F29"/>
    <w:rsid w:val="007D735A"/>
    <w:rsid w:val="007E3A9C"/>
    <w:rsid w:val="007E40E3"/>
    <w:rsid w:val="007E4C54"/>
    <w:rsid w:val="007E5D8C"/>
    <w:rsid w:val="007F0584"/>
    <w:rsid w:val="007F11B8"/>
    <w:rsid w:val="007F1897"/>
    <w:rsid w:val="007F3ADC"/>
    <w:rsid w:val="007F3EEA"/>
    <w:rsid w:val="007F776F"/>
    <w:rsid w:val="0080028E"/>
    <w:rsid w:val="008012B4"/>
    <w:rsid w:val="00801A03"/>
    <w:rsid w:val="00802845"/>
    <w:rsid w:val="00802CB7"/>
    <w:rsid w:val="00803299"/>
    <w:rsid w:val="00804F6D"/>
    <w:rsid w:val="00805068"/>
    <w:rsid w:val="00810878"/>
    <w:rsid w:val="00811EE1"/>
    <w:rsid w:val="00811F4B"/>
    <w:rsid w:val="008165EA"/>
    <w:rsid w:val="00816907"/>
    <w:rsid w:val="00816CF0"/>
    <w:rsid w:val="0081790A"/>
    <w:rsid w:val="008201BA"/>
    <w:rsid w:val="008213A0"/>
    <w:rsid w:val="00821CF3"/>
    <w:rsid w:val="00822E96"/>
    <w:rsid w:val="00823DE0"/>
    <w:rsid w:val="00825D16"/>
    <w:rsid w:val="0083006E"/>
    <w:rsid w:val="00830A74"/>
    <w:rsid w:val="008325A3"/>
    <w:rsid w:val="008339EF"/>
    <w:rsid w:val="008348F3"/>
    <w:rsid w:val="00837A15"/>
    <w:rsid w:val="00842FF3"/>
    <w:rsid w:val="0084344B"/>
    <w:rsid w:val="00846C3B"/>
    <w:rsid w:val="00850ABF"/>
    <w:rsid w:val="00850C34"/>
    <w:rsid w:val="00850F04"/>
    <w:rsid w:val="0085197B"/>
    <w:rsid w:val="008543E1"/>
    <w:rsid w:val="008549B6"/>
    <w:rsid w:val="00856596"/>
    <w:rsid w:val="0086068B"/>
    <w:rsid w:val="008620B4"/>
    <w:rsid w:val="00862630"/>
    <w:rsid w:val="008657EC"/>
    <w:rsid w:val="00865910"/>
    <w:rsid w:val="00867369"/>
    <w:rsid w:val="00870DBE"/>
    <w:rsid w:val="0087109B"/>
    <w:rsid w:val="008718D8"/>
    <w:rsid w:val="00873818"/>
    <w:rsid w:val="00873F7F"/>
    <w:rsid w:val="00874239"/>
    <w:rsid w:val="00877A6D"/>
    <w:rsid w:val="00882006"/>
    <w:rsid w:val="00884630"/>
    <w:rsid w:val="00884EC1"/>
    <w:rsid w:val="00885BC5"/>
    <w:rsid w:val="00886903"/>
    <w:rsid w:val="00890F00"/>
    <w:rsid w:val="00891373"/>
    <w:rsid w:val="0089283A"/>
    <w:rsid w:val="0089696C"/>
    <w:rsid w:val="00897A46"/>
    <w:rsid w:val="008A06A1"/>
    <w:rsid w:val="008A1089"/>
    <w:rsid w:val="008A12DA"/>
    <w:rsid w:val="008A5DB2"/>
    <w:rsid w:val="008A6EC4"/>
    <w:rsid w:val="008B1A1A"/>
    <w:rsid w:val="008B1FF2"/>
    <w:rsid w:val="008B231B"/>
    <w:rsid w:val="008B4BFE"/>
    <w:rsid w:val="008B691B"/>
    <w:rsid w:val="008B7C13"/>
    <w:rsid w:val="008C255E"/>
    <w:rsid w:val="008C3D5E"/>
    <w:rsid w:val="008D4FC7"/>
    <w:rsid w:val="008D59A1"/>
    <w:rsid w:val="008E0178"/>
    <w:rsid w:val="008E0994"/>
    <w:rsid w:val="008E35F9"/>
    <w:rsid w:val="008E37A5"/>
    <w:rsid w:val="008E42C5"/>
    <w:rsid w:val="008F0B49"/>
    <w:rsid w:val="008F16CD"/>
    <w:rsid w:val="008F3574"/>
    <w:rsid w:val="008F4EA3"/>
    <w:rsid w:val="009036E4"/>
    <w:rsid w:val="00904A3E"/>
    <w:rsid w:val="00904B95"/>
    <w:rsid w:val="009050AC"/>
    <w:rsid w:val="00906D82"/>
    <w:rsid w:val="009078EE"/>
    <w:rsid w:val="00907A65"/>
    <w:rsid w:val="00910497"/>
    <w:rsid w:val="00913362"/>
    <w:rsid w:val="00916593"/>
    <w:rsid w:val="00916DBA"/>
    <w:rsid w:val="009215B7"/>
    <w:rsid w:val="00921CE2"/>
    <w:rsid w:val="00922EF8"/>
    <w:rsid w:val="009242EA"/>
    <w:rsid w:val="00924381"/>
    <w:rsid w:val="0093045C"/>
    <w:rsid w:val="009314BE"/>
    <w:rsid w:val="00932281"/>
    <w:rsid w:val="00934D2C"/>
    <w:rsid w:val="00935407"/>
    <w:rsid w:val="009402A5"/>
    <w:rsid w:val="009406CA"/>
    <w:rsid w:val="00941494"/>
    <w:rsid w:val="00941728"/>
    <w:rsid w:val="009422D4"/>
    <w:rsid w:val="009450E7"/>
    <w:rsid w:val="009457DA"/>
    <w:rsid w:val="00945BA6"/>
    <w:rsid w:val="0095041C"/>
    <w:rsid w:val="00952BD6"/>
    <w:rsid w:val="00952EAE"/>
    <w:rsid w:val="009535A7"/>
    <w:rsid w:val="00953A46"/>
    <w:rsid w:val="0095529C"/>
    <w:rsid w:val="0096111A"/>
    <w:rsid w:val="00967C28"/>
    <w:rsid w:val="00974A56"/>
    <w:rsid w:val="00976D34"/>
    <w:rsid w:val="00976D66"/>
    <w:rsid w:val="009779C3"/>
    <w:rsid w:val="009862E9"/>
    <w:rsid w:val="00986A33"/>
    <w:rsid w:val="009878E0"/>
    <w:rsid w:val="00991F79"/>
    <w:rsid w:val="00992658"/>
    <w:rsid w:val="009966D6"/>
    <w:rsid w:val="00996906"/>
    <w:rsid w:val="00997435"/>
    <w:rsid w:val="0099797C"/>
    <w:rsid w:val="009A550B"/>
    <w:rsid w:val="009A58AB"/>
    <w:rsid w:val="009A5B98"/>
    <w:rsid w:val="009A5C95"/>
    <w:rsid w:val="009A67AF"/>
    <w:rsid w:val="009A6C69"/>
    <w:rsid w:val="009A6CCE"/>
    <w:rsid w:val="009B293C"/>
    <w:rsid w:val="009B3A1B"/>
    <w:rsid w:val="009B472A"/>
    <w:rsid w:val="009B55CD"/>
    <w:rsid w:val="009C0F45"/>
    <w:rsid w:val="009C187A"/>
    <w:rsid w:val="009C2F06"/>
    <w:rsid w:val="009C64EC"/>
    <w:rsid w:val="009D05C1"/>
    <w:rsid w:val="009D15B0"/>
    <w:rsid w:val="009D2E2C"/>
    <w:rsid w:val="009D3FDD"/>
    <w:rsid w:val="009D55A7"/>
    <w:rsid w:val="009D6332"/>
    <w:rsid w:val="009D6F4A"/>
    <w:rsid w:val="009D7FA0"/>
    <w:rsid w:val="009E0E59"/>
    <w:rsid w:val="009E0F04"/>
    <w:rsid w:val="009E3402"/>
    <w:rsid w:val="009E3473"/>
    <w:rsid w:val="009E4101"/>
    <w:rsid w:val="009E4398"/>
    <w:rsid w:val="009E49FB"/>
    <w:rsid w:val="009E5DAB"/>
    <w:rsid w:val="009F0978"/>
    <w:rsid w:val="009F367F"/>
    <w:rsid w:val="009F5000"/>
    <w:rsid w:val="009F5450"/>
    <w:rsid w:val="009F7222"/>
    <w:rsid w:val="00A008F3"/>
    <w:rsid w:val="00A01D8D"/>
    <w:rsid w:val="00A02BBC"/>
    <w:rsid w:val="00A02CA0"/>
    <w:rsid w:val="00A02ED9"/>
    <w:rsid w:val="00A044B5"/>
    <w:rsid w:val="00A04892"/>
    <w:rsid w:val="00A04BB1"/>
    <w:rsid w:val="00A07390"/>
    <w:rsid w:val="00A0798E"/>
    <w:rsid w:val="00A10C4B"/>
    <w:rsid w:val="00A13335"/>
    <w:rsid w:val="00A144A5"/>
    <w:rsid w:val="00A15BB3"/>
    <w:rsid w:val="00A16D60"/>
    <w:rsid w:val="00A24107"/>
    <w:rsid w:val="00A24A10"/>
    <w:rsid w:val="00A262B8"/>
    <w:rsid w:val="00A270B9"/>
    <w:rsid w:val="00A27792"/>
    <w:rsid w:val="00A30A00"/>
    <w:rsid w:val="00A32526"/>
    <w:rsid w:val="00A3567A"/>
    <w:rsid w:val="00A3648F"/>
    <w:rsid w:val="00A41AB8"/>
    <w:rsid w:val="00A423C8"/>
    <w:rsid w:val="00A42B52"/>
    <w:rsid w:val="00A52BC4"/>
    <w:rsid w:val="00A5314E"/>
    <w:rsid w:val="00A54F3D"/>
    <w:rsid w:val="00A558D8"/>
    <w:rsid w:val="00A6203F"/>
    <w:rsid w:val="00A653BB"/>
    <w:rsid w:val="00A65574"/>
    <w:rsid w:val="00A677A4"/>
    <w:rsid w:val="00A70728"/>
    <w:rsid w:val="00A73492"/>
    <w:rsid w:val="00A74CBD"/>
    <w:rsid w:val="00A75E22"/>
    <w:rsid w:val="00A76206"/>
    <w:rsid w:val="00A80295"/>
    <w:rsid w:val="00A80AE4"/>
    <w:rsid w:val="00A80F35"/>
    <w:rsid w:val="00A83E9B"/>
    <w:rsid w:val="00A85F54"/>
    <w:rsid w:val="00A91F37"/>
    <w:rsid w:val="00A93100"/>
    <w:rsid w:val="00A93989"/>
    <w:rsid w:val="00A97852"/>
    <w:rsid w:val="00AA1E6B"/>
    <w:rsid w:val="00AA2031"/>
    <w:rsid w:val="00AA2955"/>
    <w:rsid w:val="00AA407F"/>
    <w:rsid w:val="00AA4415"/>
    <w:rsid w:val="00AA4A42"/>
    <w:rsid w:val="00AA67B7"/>
    <w:rsid w:val="00AB22E0"/>
    <w:rsid w:val="00AB3FDB"/>
    <w:rsid w:val="00AB431D"/>
    <w:rsid w:val="00AB49FC"/>
    <w:rsid w:val="00AB4F81"/>
    <w:rsid w:val="00AB7DCC"/>
    <w:rsid w:val="00AC01DB"/>
    <w:rsid w:val="00AC106B"/>
    <w:rsid w:val="00AC3C53"/>
    <w:rsid w:val="00AC5F56"/>
    <w:rsid w:val="00AC65C2"/>
    <w:rsid w:val="00AC7870"/>
    <w:rsid w:val="00AD1DD9"/>
    <w:rsid w:val="00AD55AC"/>
    <w:rsid w:val="00AD7569"/>
    <w:rsid w:val="00AE09D4"/>
    <w:rsid w:val="00AE33B7"/>
    <w:rsid w:val="00AE4374"/>
    <w:rsid w:val="00AE47A4"/>
    <w:rsid w:val="00AF2026"/>
    <w:rsid w:val="00AF2BB5"/>
    <w:rsid w:val="00AF3746"/>
    <w:rsid w:val="00AF4E8C"/>
    <w:rsid w:val="00AF514D"/>
    <w:rsid w:val="00AF7CDE"/>
    <w:rsid w:val="00B00E2E"/>
    <w:rsid w:val="00B018BE"/>
    <w:rsid w:val="00B02D4F"/>
    <w:rsid w:val="00B0308E"/>
    <w:rsid w:val="00B0508A"/>
    <w:rsid w:val="00B0575F"/>
    <w:rsid w:val="00B072FD"/>
    <w:rsid w:val="00B10F3E"/>
    <w:rsid w:val="00B116E7"/>
    <w:rsid w:val="00B1389C"/>
    <w:rsid w:val="00B13F09"/>
    <w:rsid w:val="00B235ED"/>
    <w:rsid w:val="00B24F71"/>
    <w:rsid w:val="00B251A2"/>
    <w:rsid w:val="00B259FF"/>
    <w:rsid w:val="00B25A6D"/>
    <w:rsid w:val="00B2605C"/>
    <w:rsid w:val="00B269B5"/>
    <w:rsid w:val="00B26BA7"/>
    <w:rsid w:val="00B27705"/>
    <w:rsid w:val="00B30435"/>
    <w:rsid w:val="00B314C5"/>
    <w:rsid w:val="00B331CF"/>
    <w:rsid w:val="00B347A2"/>
    <w:rsid w:val="00B355DA"/>
    <w:rsid w:val="00B35B8F"/>
    <w:rsid w:val="00B36775"/>
    <w:rsid w:val="00B412B5"/>
    <w:rsid w:val="00B421E5"/>
    <w:rsid w:val="00B426EF"/>
    <w:rsid w:val="00B4425C"/>
    <w:rsid w:val="00B474C7"/>
    <w:rsid w:val="00B527DA"/>
    <w:rsid w:val="00B541D3"/>
    <w:rsid w:val="00B54516"/>
    <w:rsid w:val="00B56E85"/>
    <w:rsid w:val="00B57015"/>
    <w:rsid w:val="00B60C5F"/>
    <w:rsid w:val="00B627D0"/>
    <w:rsid w:val="00B6456B"/>
    <w:rsid w:val="00B64A90"/>
    <w:rsid w:val="00B657AC"/>
    <w:rsid w:val="00B664BE"/>
    <w:rsid w:val="00B665F1"/>
    <w:rsid w:val="00B703D9"/>
    <w:rsid w:val="00B705F1"/>
    <w:rsid w:val="00B710F1"/>
    <w:rsid w:val="00B71517"/>
    <w:rsid w:val="00B719E8"/>
    <w:rsid w:val="00B72BF0"/>
    <w:rsid w:val="00B730A9"/>
    <w:rsid w:val="00B75B52"/>
    <w:rsid w:val="00B80537"/>
    <w:rsid w:val="00B81785"/>
    <w:rsid w:val="00B82959"/>
    <w:rsid w:val="00B84141"/>
    <w:rsid w:val="00B84645"/>
    <w:rsid w:val="00B85C61"/>
    <w:rsid w:val="00B917D9"/>
    <w:rsid w:val="00B94B8B"/>
    <w:rsid w:val="00B959B6"/>
    <w:rsid w:val="00B95AEF"/>
    <w:rsid w:val="00BA1623"/>
    <w:rsid w:val="00BA3F3A"/>
    <w:rsid w:val="00BA45EF"/>
    <w:rsid w:val="00BA5607"/>
    <w:rsid w:val="00BB1153"/>
    <w:rsid w:val="00BB2D98"/>
    <w:rsid w:val="00BB2FE6"/>
    <w:rsid w:val="00BB64AF"/>
    <w:rsid w:val="00BC285D"/>
    <w:rsid w:val="00BC2D65"/>
    <w:rsid w:val="00BC37E4"/>
    <w:rsid w:val="00BC44A2"/>
    <w:rsid w:val="00BC6582"/>
    <w:rsid w:val="00BC7C62"/>
    <w:rsid w:val="00BD038E"/>
    <w:rsid w:val="00BD1760"/>
    <w:rsid w:val="00BD272F"/>
    <w:rsid w:val="00BD2DA7"/>
    <w:rsid w:val="00BE0542"/>
    <w:rsid w:val="00BE326D"/>
    <w:rsid w:val="00BE5E61"/>
    <w:rsid w:val="00BE7E9E"/>
    <w:rsid w:val="00BF2714"/>
    <w:rsid w:val="00BF278F"/>
    <w:rsid w:val="00BF2A9F"/>
    <w:rsid w:val="00BF5D15"/>
    <w:rsid w:val="00BF7208"/>
    <w:rsid w:val="00C003A4"/>
    <w:rsid w:val="00C018C9"/>
    <w:rsid w:val="00C0324C"/>
    <w:rsid w:val="00C03C44"/>
    <w:rsid w:val="00C054C7"/>
    <w:rsid w:val="00C0767E"/>
    <w:rsid w:val="00C078B0"/>
    <w:rsid w:val="00C100A3"/>
    <w:rsid w:val="00C10164"/>
    <w:rsid w:val="00C15DC5"/>
    <w:rsid w:val="00C16784"/>
    <w:rsid w:val="00C16A2C"/>
    <w:rsid w:val="00C20CD3"/>
    <w:rsid w:val="00C21326"/>
    <w:rsid w:val="00C21D19"/>
    <w:rsid w:val="00C23C60"/>
    <w:rsid w:val="00C23E2C"/>
    <w:rsid w:val="00C23EC6"/>
    <w:rsid w:val="00C2637F"/>
    <w:rsid w:val="00C3021A"/>
    <w:rsid w:val="00C307D6"/>
    <w:rsid w:val="00C30B4B"/>
    <w:rsid w:val="00C31799"/>
    <w:rsid w:val="00C3290A"/>
    <w:rsid w:val="00C345B5"/>
    <w:rsid w:val="00C360F6"/>
    <w:rsid w:val="00C36EEA"/>
    <w:rsid w:val="00C371D5"/>
    <w:rsid w:val="00C37396"/>
    <w:rsid w:val="00C41406"/>
    <w:rsid w:val="00C43F05"/>
    <w:rsid w:val="00C43FC2"/>
    <w:rsid w:val="00C446D0"/>
    <w:rsid w:val="00C4516C"/>
    <w:rsid w:val="00C4655D"/>
    <w:rsid w:val="00C50694"/>
    <w:rsid w:val="00C508E4"/>
    <w:rsid w:val="00C51F2D"/>
    <w:rsid w:val="00C52C02"/>
    <w:rsid w:val="00C53EF3"/>
    <w:rsid w:val="00C5468E"/>
    <w:rsid w:val="00C54E4F"/>
    <w:rsid w:val="00C62834"/>
    <w:rsid w:val="00C63391"/>
    <w:rsid w:val="00C63576"/>
    <w:rsid w:val="00C63E3B"/>
    <w:rsid w:val="00C64B4D"/>
    <w:rsid w:val="00C653A2"/>
    <w:rsid w:val="00C66ECB"/>
    <w:rsid w:val="00C70AC4"/>
    <w:rsid w:val="00C70C3B"/>
    <w:rsid w:val="00C7241B"/>
    <w:rsid w:val="00C73C46"/>
    <w:rsid w:val="00C746FA"/>
    <w:rsid w:val="00C74D21"/>
    <w:rsid w:val="00C77D42"/>
    <w:rsid w:val="00C82982"/>
    <w:rsid w:val="00C84339"/>
    <w:rsid w:val="00C846DB"/>
    <w:rsid w:val="00C84C56"/>
    <w:rsid w:val="00C85478"/>
    <w:rsid w:val="00C86118"/>
    <w:rsid w:val="00C86188"/>
    <w:rsid w:val="00C86AAC"/>
    <w:rsid w:val="00C87130"/>
    <w:rsid w:val="00C953FB"/>
    <w:rsid w:val="00C96B2D"/>
    <w:rsid w:val="00CA08D7"/>
    <w:rsid w:val="00CA2544"/>
    <w:rsid w:val="00CA2B37"/>
    <w:rsid w:val="00CA3008"/>
    <w:rsid w:val="00CA5106"/>
    <w:rsid w:val="00CA73E8"/>
    <w:rsid w:val="00CB0F42"/>
    <w:rsid w:val="00CB3D3E"/>
    <w:rsid w:val="00CB55CF"/>
    <w:rsid w:val="00CB5A04"/>
    <w:rsid w:val="00CC224C"/>
    <w:rsid w:val="00CC2B0C"/>
    <w:rsid w:val="00CC4686"/>
    <w:rsid w:val="00CC6378"/>
    <w:rsid w:val="00CC71B4"/>
    <w:rsid w:val="00CD1620"/>
    <w:rsid w:val="00CD2A0D"/>
    <w:rsid w:val="00CD4579"/>
    <w:rsid w:val="00CD477E"/>
    <w:rsid w:val="00CD6909"/>
    <w:rsid w:val="00CE1EAA"/>
    <w:rsid w:val="00CE47FD"/>
    <w:rsid w:val="00CE4FC8"/>
    <w:rsid w:val="00CE6A40"/>
    <w:rsid w:val="00CE6C5B"/>
    <w:rsid w:val="00CF1B4D"/>
    <w:rsid w:val="00CF3CEB"/>
    <w:rsid w:val="00CF5F3A"/>
    <w:rsid w:val="00CF6280"/>
    <w:rsid w:val="00D00B95"/>
    <w:rsid w:val="00D0472A"/>
    <w:rsid w:val="00D049E9"/>
    <w:rsid w:val="00D059A8"/>
    <w:rsid w:val="00D05F1A"/>
    <w:rsid w:val="00D13563"/>
    <w:rsid w:val="00D13C3D"/>
    <w:rsid w:val="00D162E1"/>
    <w:rsid w:val="00D21CC4"/>
    <w:rsid w:val="00D21E95"/>
    <w:rsid w:val="00D22C1E"/>
    <w:rsid w:val="00D27E80"/>
    <w:rsid w:val="00D31746"/>
    <w:rsid w:val="00D323FD"/>
    <w:rsid w:val="00D3384A"/>
    <w:rsid w:val="00D346A9"/>
    <w:rsid w:val="00D347F3"/>
    <w:rsid w:val="00D40381"/>
    <w:rsid w:val="00D40765"/>
    <w:rsid w:val="00D411E6"/>
    <w:rsid w:val="00D44153"/>
    <w:rsid w:val="00D443FF"/>
    <w:rsid w:val="00D4672F"/>
    <w:rsid w:val="00D46FDF"/>
    <w:rsid w:val="00D514A5"/>
    <w:rsid w:val="00D52307"/>
    <w:rsid w:val="00D54728"/>
    <w:rsid w:val="00D57F45"/>
    <w:rsid w:val="00D616D7"/>
    <w:rsid w:val="00D6219A"/>
    <w:rsid w:val="00D658E6"/>
    <w:rsid w:val="00D7004A"/>
    <w:rsid w:val="00D70462"/>
    <w:rsid w:val="00D725E7"/>
    <w:rsid w:val="00D727F0"/>
    <w:rsid w:val="00D734F9"/>
    <w:rsid w:val="00D749EE"/>
    <w:rsid w:val="00D753B1"/>
    <w:rsid w:val="00D75C3F"/>
    <w:rsid w:val="00D76320"/>
    <w:rsid w:val="00D77C39"/>
    <w:rsid w:val="00D8279D"/>
    <w:rsid w:val="00D82E7A"/>
    <w:rsid w:val="00D8504A"/>
    <w:rsid w:val="00D866A6"/>
    <w:rsid w:val="00D87B29"/>
    <w:rsid w:val="00D902E8"/>
    <w:rsid w:val="00D94305"/>
    <w:rsid w:val="00D945A7"/>
    <w:rsid w:val="00D9649C"/>
    <w:rsid w:val="00DA16AE"/>
    <w:rsid w:val="00DA6EC7"/>
    <w:rsid w:val="00DA7FA8"/>
    <w:rsid w:val="00DB03AF"/>
    <w:rsid w:val="00DB1758"/>
    <w:rsid w:val="00DB2FA7"/>
    <w:rsid w:val="00DB64E6"/>
    <w:rsid w:val="00DC00ED"/>
    <w:rsid w:val="00DC08D5"/>
    <w:rsid w:val="00DC1EB4"/>
    <w:rsid w:val="00DC1FE5"/>
    <w:rsid w:val="00DC5A17"/>
    <w:rsid w:val="00DC639E"/>
    <w:rsid w:val="00DC7D1C"/>
    <w:rsid w:val="00DD0A6A"/>
    <w:rsid w:val="00DD4CDB"/>
    <w:rsid w:val="00DD54F8"/>
    <w:rsid w:val="00DD6A35"/>
    <w:rsid w:val="00DD7C5E"/>
    <w:rsid w:val="00DE02C2"/>
    <w:rsid w:val="00DE3145"/>
    <w:rsid w:val="00DE534F"/>
    <w:rsid w:val="00DE68D4"/>
    <w:rsid w:val="00DE6C3D"/>
    <w:rsid w:val="00DE7148"/>
    <w:rsid w:val="00DE75BF"/>
    <w:rsid w:val="00DF0AA5"/>
    <w:rsid w:val="00DF100E"/>
    <w:rsid w:val="00DF64A7"/>
    <w:rsid w:val="00DF6DB3"/>
    <w:rsid w:val="00DF7366"/>
    <w:rsid w:val="00DF7CA7"/>
    <w:rsid w:val="00E00C93"/>
    <w:rsid w:val="00E017B3"/>
    <w:rsid w:val="00E02E3F"/>
    <w:rsid w:val="00E02EBD"/>
    <w:rsid w:val="00E0415A"/>
    <w:rsid w:val="00E072DB"/>
    <w:rsid w:val="00E11CBA"/>
    <w:rsid w:val="00E1473C"/>
    <w:rsid w:val="00E1571C"/>
    <w:rsid w:val="00E15924"/>
    <w:rsid w:val="00E17B79"/>
    <w:rsid w:val="00E22970"/>
    <w:rsid w:val="00E22EA6"/>
    <w:rsid w:val="00E260CE"/>
    <w:rsid w:val="00E30789"/>
    <w:rsid w:val="00E3194B"/>
    <w:rsid w:val="00E33C52"/>
    <w:rsid w:val="00E33FB8"/>
    <w:rsid w:val="00E35136"/>
    <w:rsid w:val="00E40A31"/>
    <w:rsid w:val="00E40CE8"/>
    <w:rsid w:val="00E42BE9"/>
    <w:rsid w:val="00E45DB2"/>
    <w:rsid w:val="00E45E79"/>
    <w:rsid w:val="00E46646"/>
    <w:rsid w:val="00E50E43"/>
    <w:rsid w:val="00E525E5"/>
    <w:rsid w:val="00E533AE"/>
    <w:rsid w:val="00E6177C"/>
    <w:rsid w:val="00E66266"/>
    <w:rsid w:val="00E70071"/>
    <w:rsid w:val="00E71DB2"/>
    <w:rsid w:val="00E750F1"/>
    <w:rsid w:val="00E75506"/>
    <w:rsid w:val="00E80852"/>
    <w:rsid w:val="00E822A7"/>
    <w:rsid w:val="00E83CCB"/>
    <w:rsid w:val="00E86DC6"/>
    <w:rsid w:val="00E87146"/>
    <w:rsid w:val="00E90610"/>
    <w:rsid w:val="00E91C6E"/>
    <w:rsid w:val="00E92645"/>
    <w:rsid w:val="00E928CB"/>
    <w:rsid w:val="00E93248"/>
    <w:rsid w:val="00EA35D2"/>
    <w:rsid w:val="00EA3926"/>
    <w:rsid w:val="00EA3BC2"/>
    <w:rsid w:val="00EA4000"/>
    <w:rsid w:val="00EA4F59"/>
    <w:rsid w:val="00EB0325"/>
    <w:rsid w:val="00EB03F0"/>
    <w:rsid w:val="00EB07C7"/>
    <w:rsid w:val="00EB271D"/>
    <w:rsid w:val="00EC07FA"/>
    <w:rsid w:val="00EC152B"/>
    <w:rsid w:val="00EC68A5"/>
    <w:rsid w:val="00EC7F75"/>
    <w:rsid w:val="00ED1BD9"/>
    <w:rsid w:val="00ED27AA"/>
    <w:rsid w:val="00ED4CA9"/>
    <w:rsid w:val="00EE14AE"/>
    <w:rsid w:val="00EE425E"/>
    <w:rsid w:val="00EE5006"/>
    <w:rsid w:val="00EE58C6"/>
    <w:rsid w:val="00EF24B9"/>
    <w:rsid w:val="00EF40AB"/>
    <w:rsid w:val="00EF5435"/>
    <w:rsid w:val="00EF5A56"/>
    <w:rsid w:val="00EF6749"/>
    <w:rsid w:val="00F002E1"/>
    <w:rsid w:val="00F00B5C"/>
    <w:rsid w:val="00F03828"/>
    <w:rsid w:val="00F04B76"/>
    <w:rsid w:val="00F06716"/>
    <w:rsid w:val="00F0728E"/>
    <w:rsid w:val="00F1025B"/>
    <w:rsid w:val="00F104E1"/>
    <w:rsid w:val="00F10C71"/>
    <w:rsid w:val="00F11BD4"/>
    <w:rsid w:val="00F12194"/>
    <w:rsid w:val="00F127D0"/>
    <w:rsid w:val="00F12DBC"/>
    <w:rsid w:val="00F139B0"/>
    <w:rsid w:val="00F15795"/>
    <w:rsid w:val="00F1774F"/>
    <w:rsid w:val="00F21D18"/>
    <w:rsid w:val="00F22B4D"/>
    <w:rsid w:val="00F23E66"/>
    <w:rsid w:val="00F24689"/>
    <w:rsid w:val="00F2506E"/>
    <w:rsid w:val="00F25976"/>
    <w:rsid w:val="00F2609C"/>
    <w:rsid w:val="00F303F9"/>
    <w:rsid w:val="00F3517C"/>
    <w:rsid w:val="00F37A07"/>
    <w:rsid w:val="00F42EEF"/>
    <w:rsid w:val="00F44285"/>
    <w:rsid w:val="00F45171"/>
    <w:rsid w:val="00F476B3"/>
    <w:rsid w:val="00F47A33"/>
    <w:rsid w:val="00F51AA8"/>
    <w:rsid w:val="00F5460C"/>
    <w:rsid w:val="00F548A8"/>
    <w:rsid w:val="00F55406"/>
    <w:rsid w:val="00F55759"/>
    <w:rsid w:val="00F6039B"/>
    <w:rsid w:val="00F66C95"/>
    <w:rsid w:val="00F703C2"/>
    <w:rsid w:val="00F71FBE"/>
    <w:rsid w:val="00F73486"/>
    <w:rsid w:val="00F74180"/>
    <w:rsid w:val="00F76512"/>
    <w:rsid w:val="00F77164"/>
    <w:rsid w:val="00F775FB"/>
    <w:rsid w:val="00F80652"/>
    <w:rsid w:val="00F81367"/>
    <w:rsid w:val="00F838AC"/>
    <w:rsid w:val="00F83F69"/>
    <w:rsid w:val="00F8494E"/>
    <w:rsid w:val="00F8531C"/>
    <w:rsid w:val="00F9117D"/>
    <w:rsid w:val="00F94EB2"/>
    <w:rsid w:val="00FA0FA6"/>
    <w:rsid w:val="00FA33ED"/>
    <w:rsid w:val="00FA410E"/>
    <w:rsid w:val="00FA5149"/>
    <w:rsid w:val="00FA688E"/>
    <w:rsid w:val="00FB17A2"/>
    <w:rsid w:val="00FB1807"/>
    <w:rsid w:val="00FB2B02"/>
    <w:rsid w:val="00FB3EC4"/>
    <w:rsid w:val="00FB4311"/>
    <w:rsid w:val="00FB43DA"/>
    <w:rsid w:val="00FB4A29"/>
    <w:rsid w:val="00FB5A3B"/>
    <w:rsid w:val="00FB73D8"/>
    <w:rsid w:val="00FC0E7E"/>
    <w:rsid w:val="00FC1107"/>
    <w:rsid w:val="00FC19AC"/>
    <w:rsid w:val="00FC2DFF"/>
    <w:rsid w:val="00FC30EB"/>
    <w:rsid w:val="00FC382A"/>
    <w:rsid w:val="00FC3C8C"/>
    <w:rsid w:val="00FC5034"/>
    <w:rsid w:val="00FC5619"/>
    <w:rsid w:val="00FC786E"/>
    <w:rsid w:val="00FC7A92"/>
    <w:rsid w:val="00FE03EB"/>
    <w:rsid w:val="00FE125F"/>
    <w:rsid w:val="00FE508F"/>
    <w:rsid w:val="00FF064B"/>
    <w:rsid w:val="00FF1A62"/>
    <w:rsid w:val="00FF24FC"/>
    <w:rsid w:val="00FF28D2"/>
    <w:rsid w:val="00FF291E"/>
    <w:rsid w:val="00FF58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93774CBF9CC4AC89D2202FBB6840157">
    <w:name w:val="293774CBF9CC4AC89D2202FBB6840157"/>
    <w:pPr>
      <w:widowControl w:val="0"/>
      <w:jc w:val="both"/>
    </w:pPr>
    <w:rPr>
      <w:kern w:val="2"/>
      <w:sz w:val="21"/>
      <w:szCs w:val="22"/>
      <w14:ligatures w14:val="standardContextual"/>
    </w:rPr>
  </w:style>
  <w:style w:type="paragraph" w:customStyle="1" w:styleId="60CB8780955446CF8BCB5D4742F625DA">
    <w:name w:val="60CB8780955446CF8BCB5D4742F625DA"/>
    <w:pPr>
      <w:widowControl w:val="0"/>
      <w:jc w:val="both"/>
    </w:pPr>
    <w:rPr>
      <w:kern w:val="2"/>
      <w:sz w:val="21"/>
      <w:szCs w:val="22"/>
      <w14:ligatures w14:val="standardContextual"/>
    </w:rPr>
  </w:style>
  <w:style w:type="paragraph" w:customStyle="1" w:styleId="CCD7322BDCCD4D1F9A9FE0BE15C584B5">
    <w:name w:val="CCD7322BDCCD4D1F9A9FE0BE15C584B5"/>
    <w:pPr>
      <w:widowControl w:val="0"/>
      <w:jc w:val="both"/>
    </w:pPr>
    <w:rPr>
      <w:kern w:val="2"/>
      <w:sz w:val="21"/>
      <w:szCs w:val="22"/>
      <w14:ligatures w14:val="standardContextual"/>
    </w:rPr>
  </w:style>
  <w:style w:type="paragraph" w:customStyle="1" w:styleId="9EC3DD024BBE432C9EBC7C6627288246">
    <w:name w:val="9EC3DD024BBE432C9EBC7C6627288246"/>
    <w:pPr>
      <w:widowControl w:val="0"/>
      <w:jc w:val="both"/>
    </w:pPr>
    <w:rPr>
      <w:kern w:val="2"/>
      <w:sz w:val="21"/>
      <w:szCs w:val="22"/>
      <w14:ligatures w14:val="standardContextual"/>
    </w:rPr>
  </w:style>
  <w:style w:type="paragraph" w:customStyle="1" w:styleId="A0998634EBF44F40BEDFAE93B93C0697">
    <w:name w:val="A0998634EBF44F40BEDFAE93B93C0697"/>
    <w:pPr>
      <w:widowControl w:val="0"/>
      <w:jc w:val="both"/>
    </w:pPr>
    <w:rPr>
      <w:kern w:val="2"/>
      <w:sz w:val="21"/>
      <w:szCs w:val="22"/>
      <w14:ligatures w14:val="standardContextual"/>
    </w:rPr>
  </w:style>
  <w:style w:type="paragraph" w:customStyle="1" w:styleId="A553908E4DFE4D5DA5B259BD07B582F7">
    <w:name w:val="A553908E4DFE4D5DA5B259BD07B582F7"/>
    <w:pPr>
      <w:widowControl w:val="0"/>
      <w:jc w:val="both"/>
    </w:pPr>
    <w:rPr>
      <w:kern w:val="2"/>
      <w:sz w:val="21"/>
      <w:szCs w:val="22"/>
      <w14:ligatures w14:val="standardContextual"/>
    </w:rPr>
  </w:style>
  <w:style w:type="paragraph" w:customStyle="1" w:styleId="00A67CF8406141A3956365F4BB740FA7">
    <w:name w:val="00A67CF8406141A3956365F4BB740FA7"/>
    <w:pPr>
      <w:widowControl w:val="0"/>
      <w:jc w:val="both"/>
    </w:pPr>
    <w:rPr>
      <w:kern w:val="2"/>
      <w:sz w:val="21"/>
      <w:szCs w:val="22"/>
      <w14:ligatures w14:val="standardContextual"/>
    </w:rPr>
  </w:style>
  <w:style w:type="paragraph" w:customStyle="1" w:styleId="DB91367CA4BB45DFBD72F0B85709EEBB">
    <w:name w:val="DB91367CA4BB45DFBD72F0B85709EEBB"/>
    <w:pPr>
      <w:widowControl w:val="0"/>
      <w:jc w:val="both"/>
    </w:pPr>
    <w:rPr>
      <w:kern w:val="2"/>
      <w:sz w:val="21"/>
      <w:szCs w:val="22"/>
      <w14:ligatures w14:val="standardContextual"/>
    </w:rPr>
  </w:style>
  <w:style w:type="paragraph" w:customStyle="1" w:styleId="31955DEC8D6545179F21432C09D93059">
    <w:name w:val="31955DEC8D6545179F21432C09D93059"/>
    <w:pPr>
      <w:widowControl w:val="0"/>
      <w:jc w:val="both"/>
    </w:pPr>
    <w:rPr>
      <w:kern w:val="2"/>
      <w:sz w:val="21"/>
      <w:szCs w:val="22"/>
      <w14:ligatures w14:val="standardContextual"/>
    </w:rPr>
  </w:style>
  <w:style w:type="paragraph" w:customStyle="1" w:styleId="E866DC5378D245D9830401B9B7D39E50">
    <w:name w:val="E866DC5378D245D9830401B9B7D39E50"/>
    <w:pPr>
      <w:widowControl w:val="0"/>
      <w:jc w:val="both"/>
    </w:pPr>
    <w:rPr>
      <w:kern w:val="2"/>
      <w:sz w:val="21"/>
      <w:szCs w:val="22"/>
      <w14:ligatures w14:val="standardContextual"/>
    </w:rPr>
  </w:style>
  <w:style w:type="paragraph" w:customStyle="1" w:styleId="FA7C0DB759C24618A5EC811FBD524A26">
    <w:name w:val="FA7C0DB759C24618A5EC811FBD524A26"/>
    <w:pPr>
      <w:widowControl w:val="0"/>
      <w:jc w:val="both"/>
    </w:pPr>
    <w:rPr>
      <w:kern w:val="2"/>
      <w:sz w:val="21"/>
      <w:szCs w:val="22"/>
      <w14:ligatures w14:val="standardContextual"/>
    </w:rPr>
  </w:style>
  <w:style w:type="paragraph" w:customStyle="1" w:styleId="9C8852BD7F1A495C8C47786C921902BC">
    <w:name w:val="9C8852BD7F1A495C8C47786C921902BC"/>
    <w:pPr>
      <w:widowControl w:val="0"/>
      <w:jc w:val="both"/>
    </w:pPr>
    <w:rPr>
      <w:kern w:val="2"/>
      <w:sz w:val="21"/>
      <w:szCs w:val="22"/>
      <w14:ligatures w14:val="standardContextual"/>
    </w:rPr>
  </w:style>
  <w:style w:type="paragraph" w:customStyle="1" w:styleId="69BB8AE4043B4D1196AFA2DF3380D647">
    <w:name w:val="69BB8AE4043B4D1196AFA2DF3380D647"/>
    <w:pPr>
      <w:widowControl w:val="0"/>
      <w:jc w:val="both"/>
    </w:pPr>
    <w:rPr>
      <w:kern w:val="2"/>
      <w:sz w:val="21"/>
      <w:szCs w:val="22"/>
      <w14:ligatures w14:val="standardContextual"/>
    </w:rPr>
  </w:style>
  <w:style w:type="paragraph" w:customStyle="1" w:styleId="A4A0C661F8D64B0BB0F7CB641F58CA72">
    <w:name w:val="A4A0C661F8D64B0BB0F7CB641F58CA72"/>
    <w:pPr>
      <w:widowControl w:val="0"/>
      <w:jc w:val="both"/>
    </w:pPr>
    <w:rPr>
      <w:kern w:val="2"/>
      <w:sz w:val="21"/>
      <w:szCs w:val="22"/>
      <w14:ligatures w14:val="standardContextual"/>
    </w:rPr>
  </w:style>
  <w:style w:type="paragraph" w:customStyle="1" w:styleId="21F8EC8989D2481FB71BEE4C690A3195">
    <w:name w:val="21F8EC8989D2481FB71BEE4C690A3195"/>
    <w:pPr>
      <w:widowControl w:val="0"/>
      <w:jc w:val="both"/>
    </w:pPr>
    <w:rPr>
      <w:kern w:val="2"/>
      <w:sz w:val="21"/>
      <w:szCs w:val="22"/>
      <w14:ligatures w14:val="standardContextual"/>
    </w:rPr>
  </w:style>
  <w:style w:type="paragraph" w:customStyle="1" w:styleId="48C8D9151FC5430A9664EA477D88647C">
    <w:name w:val="48C8D9151FC5430A9664EA477D88647C"/>
    <w:pPr>
      <w:widowControl w:val="0"/>
      <w:jc w:val="both"/>
    </w:pPr>
    <w:rPr>
      <w:kern w:val="2"/>
      <w:sz w:val="21"/>
      <w:szCs w:val="22"/>
      <w14:ligatures w14:val="standardContextual"/>
    </w:rPr>
  </w:style>
  <w:style w:type="paragraph" w:customStyle="1" w:styleId="DD0252535F5C40839816CC3528FFE441">
    <w:name w:val="DD0252535F5C40839816CC3528FFE441"/>
    <w:pPr>
      <w:widowControl w:val="0"/>
      <w:jc w:val="both"/>
    </w:pPr>
    <w:rPr>
      <w:kern w:val="2"/>
      <w:sz w:val="21"/>
      <w:szCs w:val="22"/>
      <w14:ligatures w14:val="standardContextual"/>
    </w:rPr>
  </w:style>
  <w:style w:type="paragraph" w:customStyle="1" w:styleId="A7D69C191E844704B932721BB0A01779">
    <w:name w:val="A7D69C191E844704B932721BB0A01779"/>
    <w:pPr>
      <w:widowControl w:val="0"/>
      <w:jc w:val="both"/>
    </w:pPr>
    <w:rPr>
      <w:kern w:val="2"/>
      <w:sz w:val="21"/>
      <w:szCs w:val="22"/>
      <w14:ligatures w14:val="standardContextual"/>
    </w:rPr>
  </w:style>
  <w:style w:type="paragraph" w:customStyle="1" w:styleId="CE3D961C7F0C40FBA0C36B3319779001">
    <w:name w:val="CE3D961C7F0C40FBA0C36B3319779001"/>
    <w:pPr>
      <w:widowControl w:val="0"/>
      <w:jc w:val="both"/>
    </w:pPr>
    <w:rPr>
      <w:kern w:val="2"/>
      <w:sz w:val="21"/>
      <w:szCs w:val="22"/>
      <w14:ligatures w14:val="standardContextual"/>
    </w:rPr>
  </w:style>
  <w:style w:type="paragraph" w:customStyle="1" w:styleId="481E40C4C7ED4F2B801923393B0848EE">
    <w:name w:val="481E40C4C7ED4F2B801923393B0848EE"/>
    <w:pPr>
      <w:widowControl w:val="0"/>
      <w:jc w:val="both"/>
    </w:pPr>
    <w:rPr>
      <w:kern w:val="2"/>
      <w:sz w:val="21"/>
      <w:szCs w:val="22"/>
      <w14:ligatures w14:val="standardContextual"/>
    </w:rPr>
  </w:style>
  <w:style w:type="paragraph" w:customStyle="1" w:styleId="E41ECA9B3BB44869A334CCBBE4BC3F79">
    <w:name w:val="E41ECA9B3BB44869A334CCBBE4BC3F79"/>
    <w:pPr>
      <w:widowControl w:val="0"/>
      <w:jc w:val="both"/>
    </w:pPr>
    <w:rPr>
      <w:kern w:val="2"/>
      <w:sz w:val="21"/>
      <w:szCs w:val="22"/>
      <w14:ligatures w14:val="standardContextual"/>
    </w:rPr>
  </w:style>
  <w:style w:type="paragraph" w:customStyle="1" w:styleId="FED3B0B3AFBD45858BFCF194FC3E6B4B">
    <w:name w:val="FED3B0B3AFBD45858BFCF194FC3E6B4B"/>
    <w:pPr>
      <w:widowControl w:val="0"/>
      <w:jc w:val="both"/>
    </w:pPr>
    <w:rPr>
      <w:kern w:val="2"/>
      <w:sz w:val="21"/>
      <w:szCs w:val="22"/>
    </w:rPr>
  </w:style>
  <w:style w:type="paragraph" w:customStyle="1" w:styleId="04CD74A3435B486C905560330A697042">
    <w:name w:val="04CD74A3435B486C905560330A697042"/>
    <w:pPr>
      <w:widowControl w:val="0"/>
      <w:jc w:val="both"/>
    </w:pPr>
    <w:rPr>
      <w:kern w:val="2"/>
      <w:sz w:val="21"/>
      <w:szCs w:val="22"/>
    </w:rPr>
  </w:style>
  <w:style w:type="paragraph" w:customStyle="1" w:styleId="169275FA719349A18FA5579C3171B33B">
    <w:name w:val="169275FA719349A18FA5579C3171B33B"/>
    <w:pPr>
      <w:widowControl w:val="0"/>
      <w:jc w:val="both"/>
    </w:pPr>
    <w:rPr>
      <w:kern w:val="2"/>
      <w:sz w:val="21"/>
      <w:szCs w:val="22"/>
    </w:rPr>
  </w:style>
  <w:style w:type="paragraph" w:customStyle="1" w:styleId="BED05D58EE43485891CB82125E777414">
    <w:name w:val="BED05D58EE43485891CB82125E777414"/>
    <w:pPr>
      <w:widowControl w:val="0"/>
      <w:jc w:val="both"/>
    </w:pPr>
    <w:rPr>
      <w:kern w:val="2"/>
      <w:sz w:val="21"/>
      <w:szCs w:val="22"/>
    </w:rPr>
  </w:style>
  <w:style w:type="paragraph" w:customStyle="1" w:styleId="7AE524B1A4EF451583A184FAF89E17C1">
    <w:name w:val="7AE524B1A4EF451583A184FAF89E17C1"/>
    <w:pPr>
      <w:widowControl w:val="0"/>
      <w:jc w:val="both"/>
    </w:pPr>
    <w:rPr>
      <w:kern w:val="2"/>
      <w:sz w:val="21"/>
      <w:szCs w:val="22"/>
    </w:rPr>
  </w:style>
  <w:style w:type="paragraph" w:customStyle="1" w:styleId="185201DBF1D640CF9DF5A3B3CA53D2D7">
    <w:name w:val="185201DBF1D640CF9DF5A3B3CA53D2D7"/>
    <w:pPr>
      <w:widowControl w:val="0"/>
      <w:jc w:val="both"/>
    </w:pPr>
    <w:rPr>
      <w:kern w:val="2"/>
      <w:sz w:val="21"/>
      <w:szCs w:val="22"/>
    </w:rPr>
  </w:style>
  <w:style w:type="paragraph" w:customStyle="1" w:styleId="ADD233EC90D04F42B6FB45133267550A">
    <w:name w:val="ADD233EC90D04F42B6FB45133267550A"/>
    <w:pPr>
      <w:widowControl w:val="0"/>
      <w:jc w:val="both"/>
    </w:pPr>
    <w:rPr>
      <w:kern w:val="2"/>
      <w:sz w:val="21"/>
      <w:szCs w:val="22"/>
    </w:rPr>
  </w:style>
  <w:style w:type="paragraph" w:customStyle="1" w:styleId="52026F2849AB4C97B32161367751E413">
    <w:name w:val="52026F2849AB4C97B32161367751E413"/>
    <w:pPr>
      <w:widowControl w:val="0"/>
      <w:jc w:val="both"/>
    </w:pPr>
    <w:rPr>
      <w:kern w:val="2"/>
      <w:sz w:val="21"/>
      <w:szCs w:val="22"/>
    </w:rPr>
  </w:style>
  <w:style w:type="paragraph" w:customStyle="1" w:styleId="C6FB429BB0424CC2A29497699E2CA3C2">
    <w:name w:val="C6FB429BB0424CC2A29497699E2CA3C2"/>
    <w:pPr>
      <w:widowControl w:val="0"/>
      <w:jc w:val="both"/>
    </w:pPr>
    <w:rPr>
      <w:kern w:val="2"/>
      <w:sz w:val="21"/>
      <w:szCs w:val="22"/>
    </w:rPr>
  </w:style>
  <w:style w:type="paragraph" w:customStyle="1" w:styleId="8A69885AB3B04EA4B7B058ACE188D1D1">
    <w:name w:val="8A69885AB3B04EA4B7B058ACE188D1D1"/>
    <w:pPr>
      <w:widowControl w:val="0"/>
      <w:jc w:val="both"/>
    </w:pPr>
    <w:rPr>
      <w:kern w:val="2"/>
      <w:sz w:val="21"/>
      <w:szCs w:val="22"/>
      <w14:ligatures w14:val="standardContextual"/>
    </w:rPr>
  </w:style>
  <w:style w:type="paragraph" w:customStyle="1" w:styleId="A8436EE264D444ECA21DD69F310646FB">
    <w:name w:val="A8436EE264D444ECA21DD69F310646FB"/>
    <w:pPr>
      <w:widowControl w:val="0"/>
      <w:jc w:val="both"/>
    </w:pPr>
    <w:rPr>
      <w:kern w:val="2"/>
      <w:sz w:val="21"/>
      <w:szCs w:val="22"/>
    </w:rPr>
  </w:style>
  <w:style w:type="paragraph" w:customStyle="1" w:styleId="28E5EC474CE741F5BB11CB9981813D62">
    <w:name w:val="28E5EC474CE741F5BB11CB9981813D62"/>
    <w:pPr>
      <w:widowControl w:val="0"/>
      <w:jc w:val="both"/>
    </w:pPr>
    <w:rPr>
      <w:kern w:val="2"/>
      <w:sz w:val="21"/>
      <w:szCs w:val="22"/>
    </w:rPr>
  </w:style>
  <w:style w:type="paragraph" w:customStyle="1" w:styleId="4C5E045A22BC4B39ACE1F36B48CDEDAF">
    <w:name w:val="4C5E045A22BC4B39ACE1F36B48CDEDAF"/>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xmlns:bond="bond">
  <clcid-cgi:GongSiFaDingZhongWenMingCheng xmlns:clcid-cgi="clcid-cgi">津药药业股份有限公司</clcid-cgi:GongSiFaDingZhongWenMingCheng>
  <clcid-mr:GongSiFuZeRenXingMing xmlns:clcid-mr="clcid-mr">李书箱</clcid-mr:GongSiFuZeRenXingMing>
  <clcid-mr:ZhuGuanKuaiJiGongZuoFuZeRenXingMing xmlns:clcid-mr="clcid-mr">朱立延</clcid-mr:ZhuGuanKuaiJiGongZuoFuZeRenXingMing>
  <clcid-mr:KuaiJiJiGouFuZeRenXingMing xmlns:clcid-mr="clcid-mr">王于飞</clcid-mr:KuaiJiJiGouFuZeRenXingMing>
  <clcid-cgi:GongSiFaDingDaiBiaoRen xmlns:clcid-cgi="clcid-cgi"/>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
  <clcid-pte:FeiJingChangXingSunYiXiangMuZhongShaoShuGuDongQuanYiYingXiangEShuoMing xmlns:clcid-pte="clcid-pte"/>
  <clcid-pte:FeiJingChangXingSunYiDeKouChuXiangMuDuiSuoDeShuiDeYingXiang xmlns:clcid-pte="clcid-pte"/>
  <clcid-pte:FeiJingChangXingSunYiDeKouChuXiangMuDuiSuoDeShuiDeYingXiangShuoMing xmlns:clcid-pte="clcid-pte"/>
  <clcid-pte:KouChuDeFeiJingChangXingSunYiHeJi xmlns:clcid-pte="clcid-pte"/>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clcid-mr:DuiBaoGaoCunZaiYiYiDeDongShiXingMing/>
  <bond:DanWeiFeiJingYingXingWangLaiZhanKuanHeZiJinChaiJie>100000000</bond:DanWeiFeiJingYingXingWangLaiZhanKuanHeZiJinChaiJie>
  <bond:DanWeiMuGongSiYouXiZhaiWu>亿元</bond:DanWeiMuGongSiYouXiZhaiWu>
  <bond:DanWeiYouXiZhaiWu>亿元</bond:DanWeiYouXiZhaiWu>
  <bond:DanWeiFaXingRenJingWaiShiChangFaXingZhaiQuan>亿元</bond:DanWeiFaXingRenJingWaiShiChangFaXingZhaiQuan>
</b:binding>
</file>

<file path=customXml/item3.xml><?xml version="1.0" encoding="utf-8"?>
<sc:sections xmlns:sc="http://mapping.word.org/2014/section/customize"/>
</file>

<file path=customXml/item4.xml><?xml version="1.0" encoding="utf-8"?>
<m:mapping xmlns:m="http://mapping.word.org/2012/mapping">
  <m:sm4><![CDATA[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]]></m:sm4>
</m:mapping>
</file>

<file path=customXml/item5.xml><?xml version="1.0" encoding="utf-8"?>
<t:template xmlns:t="http://mapping.word.org/2012/template">
  <t:sse><![CDATA[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]]></t:sse>
</t:template>
</file>

<file path=customXml/itemProps1.xml><?xml version="1.0" encoding="utf-8"?>
<ds:datastoreItem xmlns:ds="http://schemas.openxmlformats.org/officeDocument/2006/customXml" ds:itemID="{8C70F433-0D91-4F27-BD9D-2403EA7E8A81}">
  <ds:schemaRefs/>
</ds:datastoreItem>
</file>

<file path=customXml/itemProps2.xml><?xml version="1.0" encoding="utf-8"?>
<ds:datastoreItem xmlns:ds="http://schemas.openxmlformats.org/officeDocument/2006/customXml" ds:itemID="{89EBAB94-44A0-46A2-B712-30D997D04A6D}">
  <ds:schemaRefs/>
</ds:datastoreItem>
</file>

<file path=customXml/itemProps3.xml><?xml version="1.0" encoding="utf-8"?>
<ds:datastoreItem xmlns:ds="http://schemas.openxmlformats.org/officeDocument/2006/customXml" ds:itemID="{1F37729E-89F6-4D70-BC0B-8EF77515B409}">
  <ds:schemaRefs/>
</ds:datastoreItem>
</file>

<file path=customXml/itemProps4.xml><?xml version="1.0" encoding="utf-8"?>
<ds:datastoreItem xmlns:ds="http://schemas.openxmlformats.org/officeDocument/2006/customXml" ds:itemID="{373B1A61-FF59-4F33-9FF0-8B0E0E47FA98}">
  <ds:schemaRefs/>
</ds:datastoreItem>
</file>

<file path=customXml/itemProps5.xml><?xml version="1.0" encoding="utf-8"?>
<ds:datastoreItem xmlns:ds="http://schemas.openxmlformats.org/officeDocument/2006/customXml" ds:itemID="{3BD9C69C-2FB6-40B0-9CCD-FD4CE07F4F2F}">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437</TotalTime>
  <Pages>143</Pages>
  <Words>28534</Words>
  <Characters>162646</Characters>
  <Application>Microsoft Office Word</Application>
  <DocSecurity>0</DocSecurity>
  <Lines>1355</Lines>
  <Paragraphs>381</Paragraphs>
  <ScaleCrop>false</ScaleCrop>
  <Company>Sky123.Org</Company>
  <LinksUpToDate>false</LinksUpToDate>
  <CharactersWithSpaces>190799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czq</dc:creator>
  <cp:lastModifiedBy>春丽 王</cp:lastModifiedBy>
  <cp:revision>107</cp:revision>
  <cp:lastPrinted>2024-08-13T06:04:00Z</cp:lastPrinted>
  <dcterms:created xsi:type="dcterms:W3CDTF">2024-08-19T01:57:00Z</dcterms:created>
  <dcterms:modified xsi:type="dcterms:W3CDTF">2024-08-28T08:36:00Z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D99B349AE97742669726FB04CD385E4B_12</vt:lpwstr>
  </property>
</Properties>
</file>